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68AE" w14:textId="79C1C05C" w:rsidR="00F925DD" w:rsidRDefault="00E705D7">
      <w:pPr>
        <w:rPr>
          <w:rFonts w:ascii="Times New Roman" w:hAnsi="Times New Roman"/>
          <w:sz w:val="20"/>
          <w:szCs w:val="20"/>
        </w:rPr>
      </w:pPr>
      <w:r>
        <w:rPr>
          <w:rFonts w:ascii="Times New Roman" w:hAnsi="Times New Roman"/>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F925DD" w14:paraId="555668B0" w14:textId="77777777">
        <w:trPr>
          <w:jc w:val="center"/>
        </w:trPr>
        <w:tc>
          <w:tcPr>
            <w:tcW w:w="0" w:type="auto"/>
            <w:shd w:val="clear" w:color="auto" w:fill="auto"/>
            <w:vAlign w:val="center"/>
          </w:tcPr>
          <w:p w14:paraId="555668AF" w14:textId="77777777" w:rsidR="00F925DD" w:rsidRDefault="00F925DD">
            <w:pPr>
              <w:rPr>
                <w:rFonts w:ascii="Times New Roman" w:hAnsi="Times New Roman"/>
                <w:sz w:val="20"/>
                <w:szCs w:val="20"/>
              </w:rPr>
            </w:pPr>
          </w:p>
        </w:tc>
      </w:tr>
      <w:tr w:rsidR="00F925DD" w14:paraId="555668B2" w14:textId="77777777">
        <w:trPr>
          <w:jc w:val="center"/>
        </w:trPr>
        <w:tc>
          <w:tcPr>
            <w:tcW w:w="5000" w:type="pct"/>
            <w:shd w:val="clear" w:color="auto" w:fill="auto"/>
            <w:vAlign w:val="center"/>
          </w:tcPr>
          <w:p w14:paraId="555668B1" w14:textId="77777777" w:rsidR="00F925DD" w:rsidRDefault="00F925DD">
            <w:pPr>
              <w:rPr>
                <w:rFonts w:ascii="Times New Roman" w:hAnsi="Times New Roman"/>
                <w:sz w:val="20"/>
                <w:szCs w:val="20"/>
              </w:rPr>
            </w:pPr>
          </w:p>
        </w:tc>
      </w:tr>
      <w:tr w:rsidR="00F925DD" w14:paraId="555668B4" w14:textId="77777777">
        <w:trPr>
          <w:jc w:val="center"/>
        </w:trPr>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68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68B5" w14:textId="77777777" w:rsidR="00F925DD" w:rsidRDefault="00E705D7">
      <w:pPr>
        <w:spacing w:line="288" w:lineRule="auto"/>
        <w:ind w:firstLine="600"/>
        <w:jc w:val="center"/>
        <w:rPr>
          <w:rFonts w:ascii="Times New Roman" w:hAnsi="Times New Roman"/>
          <w:sz w:val="30"/>
          <w:szCs w:val="30"/>
        </w:rPr>
      </w:pPr>
      <w:r>
        <w:rPr>
          <w:rFonts w:ascii="Arial" w:eastAsia="宋体" w:hAnsi="Arial" w:cs="Arial"/>
          <w:b/>
          <w:bCs/>
          <w:sz w:val="30"/>
          <w:szCs w:val="30"/>
        </w:rPr>
        <w:t>UNITED STATES</w:t>
      </w:r>
    </w:p>
    <w:p w14:paraId="555668B6" w14:textId="77777777" w:rsidR="00F925DD" w:rsidRDefault="00E705D7">
      <w:pPr>
        <w:spacing w:line="288" w:lineRule="auto"/>
        <w:ind w:firstLine="600"/>
        <w:jc w:val="center"/>
        <w:rPr>
          <w:rFonts w:ascii="Times New Roman" w:hAnsi="Times New Roman"/>
          <w:sz w:val="30"/>
          <w:szCs w:val="30"/>
        </w:rPr>
      </w:pPr>
      <w:r>
        <w:rPr>
          <w:rFonts w:ascii="Arial" w:eastAsia="宋体" w:hAnsi="Arial" w:cs="Arial"/>
          <w:b/>
          <w:bCs/>
          <w:sz w:val="30"/>
          <w:szCs w:val="30"/>
        </w:rPr>
        <w:t>SECURITIES AND EXCHANGE COMMISSION</w:t>
      </w:r>
    </w:p>
    <w:p w14:paraId="555668B7" w14:textId="77777777" w:rsidR="00F925DD" w:rsidRDefault="00E705D7">
      <w:pPr>
        <w:spacing w:line="288" w:lineRule="auto"/>
        <w:ind w:firstLine="600"/>
        <w:jc w:val="center"/>
        <w:rPr>
          <w:rFonts w:ascii="Times New Roman" w:hAnsi="Times New Roman"/>
          <w:sz w:val="30"/>
          <w:szCs w:val="30"/>
        </w:rPr>
      </w:pPr>
      <w:r>
        <w:rPr>
          <w:rFonts w:ascii="Arial" w:eastAsia="宋体" w:hAnsi="Arial" w:cs="Arial"/>
          <w:b/>
          <w:bCs/>
          <w:sz w:val="30"/>
          <w:szCs w:val="30"/>
        </w:rPr>
        <w:t>Washington, DC 20549</w:t>
      </w:r>
      <w:r>
        <w:rPr>
          <w:rFonts w:ascii="Arial" w:eastAsia="宋体" w:hAnsi="Arial" w:cs="Arial"/>
          <w:b/>
          <w:bCs/>
          <w:color w:val="FF0000"/>
          <w:sz w:val="30"/>
          <w:szCs w:val="30"/>
        </w:rPr>
        <w:t xml:space="preserve"> </w:t>
      </w:r>
    </w:p>
    <w:p w14:paraId="555668B8" w14:textId="77777777" w:rsidR="00F925DD" w:rsidRDefault="00E705D7">
      <w:pPr>
        <w:spacing w:line="288" w:lineRule="auto"/>
        <w:ind w:firstLine="480"/>
        <w:jc w:val="center"/>
        <w:rPr>
          <w:rFonts w:ascii="Times New Roman" w:hAnsi="Times New Roman"/>
          <w:sz w:val="30"/>
          <w:szCs w:val="30"/>
        </w:rPr>
      </w:pPr>
      <w:r>
        <w:rPr>
          <w:rFonts w:ascii="Arial" w:eastAsia="宋体" w:hAnsi="Arial" w:cs="Arial"/>
          <w:b/>
          <w:bCs/>
          <w:sz w:val="30"/>
          <w:szCs w:val="30"/>
        </w:rPr>
        <w:t xml:space="preserve">Form 10-K </w:t>
      </w:r>
    </w:p>
    <w:tbl>
      <w:tblPr>
        <w:tblW w:w="5000" w:type="pct"/>
        <w:jc w:val="center"/>
        <w:tblCellMar>
          <w:left w:w="0" w:type="dxa"/>
          <w:right w:w="0" w:type="dxa"/>
        </w:tblCellMar>
        <w:tblLook w:val="04A0" w:firstRow="1" w:lastRow="0" w:firstColumn="1" w:lastColumn="0" w:noHBand="0" w:noVBand="1"/>
      </w:tblPr>
      <w:tblGrid>
        <w:gridCol w:w="498"/>
        <w:gridCol w:w="7808"/>
      </w:tblGrid>
      <w:tr w:rsidR="00F925DD" w14:paraId="555668BA" w14:textId="77777777">
        <w:trPr>
          <w:jc w:val="center"/>
        </w:trPr>
        <w:tc>
          <w:tcPr>
            <w:tcW w:w="0" w:type="auto"/>
            <w:gridSpan w:val="2"/>
            <w:shd w:val="clear" w:color="auto" w:fill="auto"/>
            <w:vAlign w:val="center"/>
          </w:tcPr>
          <w:p w14:paraId="555668B9" w14:textId="77777777" w:rsidR="00F925DD" w:rsidRDefault="00F925DD">
            <w:pPr>
              <w:rPr>
                <w:rFonts w:ascii="Times New Roman" w:hAnsi="Times New Roman"/>
                <w:sz w:val="20"/>
                <w:szCs w:val="20"/>
              </w:rPr>
            </w:pPr>
          </w:p>
        </w:tc>
      </w:tr>
      <w:tr w:rsidR="00F925DD" w14:paraId="555668BD" w14:textId="77777777">
        <w:trPr>
          <w:jc w:val="center"/>
        </w:trPr>
        <w:tc>
          <w:tcPr>
            <w:tcW w:w="300" w:type="pct"/>
            <w:shd w:val="clear" w:color="auto" w:fill="auto"/>
            <w:vAlign w:val="center"/>
          </w:tcPr>
          <w:p w14:paraId="555668BB" w14:textId="77777777" w:rsidR="00F925DD" w:rsidRDefault="00F925DD">
            <w:pPr>
              <w:rPr>
                <w:rFonts w:ascii="Times New Roman" w:hAnsi="Times New Roman"/>
                <w:sz w:val="20"/>
                <w:szCs w:val="20"/>
              </w:rPr>
            </w:pPr>
          </w:p>
        </w:tc>
        <w:tc>
          <w:tcPr>
            <w:tcW w:w="4700" w:type="pct"/>
            <w:shd w:val="clear" w:color="auto" w:fill="auto"/>
            <w:vAlign w:val="center"/>
          </w:tcPr>
          <w:p w14:paraId="555668BC" w14:textId="77777777" w:rsidR="00F925DD" w:rsidRDefault="00F925DD">
            <w:pPr>
              <w:rPr>
                <w:rFonts w:ascii="Times New Roman" w:hAnsi="Times New Roman"/>
                <w:sz w:val="20"/>
                <w:szCs w:val="20"/>
              </w:rPr>
            </w:pPr>
          </w:p>
        </w:tc>
      </w:tr>
      <w:tr w:rsidR="00F925DD" w14:paraId="555668C0" w14:textId="77777777">
        <w:trPr>
          <w:jc w:val="center"/>
        </w:trPr>
        <w:tc>
          <w:tcPr>
            <w:tcW w:w="0" w:type="auto"/>
            <w:shd w:val="clear" w:color="auto" w:fill="auto"/>
            <w:tcMar>
              <w:top w:w="40" w:type="dxa"/>
              <w:left w:w="40" w:type="dxa"/>
              <w:bottom w:w="40" w:type="dxa"/>
              <w:right w:w="40" w:type="dxa"/>
            </w:tcMar>
          </w:tcPr>
          <w:p w14:paraId="555668BE" w14:textId="77777777" w:rsidR="00F925DD" w:rsidRDefault="00E705D7">
            <w:pPr>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tcPr>
          <w:p w14:paraId="555668BF" w14:textId="77777777" w:rsidR="00F925DD" w:rsidRDefault="00E705D7">
            <w:pPr>
              <w:textAlignment w:val="top"/>
              <w:rPr>
                <w:rFonts w:ascii="Times New Roman" w:hAnsi="Times New Roman"/>
                <w:sz w:val="20"/>
                <w:szCs w:val="20"/>
              </w:rPr>
            </w:pPr>
            <w:r>
              <w:rPr>
                <w:rFonts w:ascii="Arial" w:eastAsia="宋体" w:hAnsi="Arial" w:cs="Arial"/>
                <w:b/>
                <w:bCs/>
                <w:sz w:val="20"/>
                <w:szCs w:val="20"/>
              </w:rPr>
              <w:t>ANNUAL REPORT PURSUANT TO SECTION 13 OR 15(d) OF THE SECURITIES EXCHANGE ACT OF 1934</w:t>
            </w:r>
          </w:p>
        </w:tc>
      </w:tr>
    </w:tbl>
    <w:p w14:paraId="555668C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For the fiscal year ended December 31, 2019 </w:t>
      </w:r>
    </w:p>
    <w:p w14:paraId="555668C2" w14:textId="77777777" w:rsidR="00F925DD" w:rsidRDefault="00E705D7">
      <w:pPr>
        <w:spacing w:line="288" w:lineRule="auto"/>
        <w:ind w:firstLine="600"/>
        <w:rPr>
          <w:rFonts w:ascii="Times New Roman" w:hAnsi="Times New Roman"/>
          <w:sz w:val="20"/>
          <w:szCs w:val="20"/>
        </w:rPr>
      </w:pPr>
      <w:r>
        <w:rPr>
          <w:rFonts w:ascii="Arial" w:eastAsia="宋体" w:hAnsi="Arial" w:cs="Arial"/>
          <w:b/>
          <w:bCs/>
          <w:sz w:val="20"/>
          <w:szCs w:val="20"/>
        </w:rPr>
        <w:t> </w:t>
      </w:r>
    </w:p>
    <w:p w14:paraId="555668C3" w14:textId="77777777" w:rsidR="00F925DD" w:rsidRDefault="00E705D7">
      <w:pPr>
        <w:spacing w:line="288" w:lineRule="auto"/>
        <w:jc w:val="center"/>
        <w:rPr>
          <w:rFonts w:ascii="Times New Roman" w:hAnsi="Times New Roman"/>
          <w:sz w:val="20"/>
          <w:szCs w:val="20"/>
        </w:rPr>
      </w:pPr>
      <w:r>
        <w:rPr>
          <w:rFonts w:ascii="Arial" w:eastAsia="宋体" w:hAnsi="Arial" w:cs="Arial"/>
          <w:b/>
          <w:bCs/>
          <w:sz w:val="20"/>
          <w:szCs w:val="20"/>
        </w:rPr>
        <w:t>OR</w:t>
      </w:r>
    </w:p>
    <w:tbl>
      <w:tblPr>
        <w:tblW w:w="5000" w:type="pct"/>
        <w:jc w:val="center"/>
        <w:tblCellMar>
          <w:left w:w="0" w:type="dxa"/>
          <w:right w:w="0" w:type="dxa"/>
        </w:tblCellMar>
        <w:tblLook w:val="04A0" w:firstRow="1" w:lastRow="0" w:firstColumn="1" w:lastColumn="0" w:noHBand="0" w:noVBand="1"/>
      </w:tblPr>
      <w:tblGrid>
        <w:gridCol w:w="498"/>
        <w:gridCol w:w="7808"/>
      </w:tblGrid>
      <w:tr w:rsidR="00F925DD" w14:paraId="555668C5" w14:textId="77777777">
        <w:trPr>
          <w:jc w:val="center"/>
        </w:trPr>
        <w:tc>
          <w:tcPr>
            <w:tcW w:w="0" w:type="auto"/>
            <w:gridSpan w:val="2"/>
            <w:shd w:val="clear" w:color="auto" w:fill="auto"/>
            <w:vAlign w:val="center"/>
          </w:tcPr>
          <w:p w14:paraId="555668C4" w14:textId="77777777" w:rsidR="00F925DD" w:rsidRDefault="00F925DD">
            <w:pPr>
              <w:rPr>
                <w:rFonts w:ascii="Times New Roman" w:hAnsi="Times New Roman"/>
                <w:sz w:val="20"/>
                <w:szCs w:val="20"/>
              </w:rPr>
            </w:pPr>
          </w:p>
        </w:tc>
      </w:tr>
      <w:tr w:rsidR="00F925DD" w14:paraId="555668C8" w14:textId="77777777">
        <w:trPr>
          <w:jc w:val="center"/>
        </w:trPr>
        <w:tc>
          <w:tcPr>
            <w:tcW w:w="300" w:type="pct"/>
            <w:shd w:val="clear" w:color="auto" w:fill="auto"/>
            <w:vAlign w:val="center"/>
          </w:tcPr>
          <w:p w14:paraId="555668C6" w14:textId="77777777" w:rsidR="00F925DD" w:rsidRDefault="00F925DD">
            <w:pPr>
              <w:rPr>
                <w:rFonts w:ascii="Times New Roman" w:hAnsi="Times New Roman"/>
                <w:sz w:val="20"/>
                <w:szCs w:val="20"/>
              </w:rPr>
            </w:pPr>
          </w:p>
        </w:tc>
        <w:tc>
          <w:tcPr>
            <w:tcW w:w="4700" w:type="pct"/>
            <w:shd w:val="clear" w:color="auto" w:fill="auto"/>
            <w:vAlign w:val="center"/>
          </w:tcPr>
          <w:p w14:paraId="555668C7" w14:textId="77777777" w:rsidR="00F925DD" w:rsidRDefault="00F925DD">
            <w:pPr>
              <w:rPr>
                <w:rFonts w:ascii="Times New Roman" w:hAnsi="Times New Roman"/>
                <w:sz w:val="20"/>
                <w:szCs w:val="20"/>
              </w:rPr>
            </w:pPr>
          </w:p>
        </w:tc>
      </w:tr>
      <w:tr w:rsidR="00F925DD" w14:paraId="555668CB" w14:textId="77777777">
        <w:trPr>
          <w:jc w:val="center"/>
        </w:trPr>
        <w:tc>
          <w:tcPr>
            <w:tcW w:w="0" w:type="auto"/>
            <w:shd w:val="clear" w:color="auto" w:fill="auto"/>
            <w:tcMar>
              <w:top w:w="40" w:type="dxa"/>
              <w:left w:w="40" w:type="dxa"/>
              <w:bottom w:w="40" w:type="dxa"/>
              <w:right w:w="40" w:type="dxa"/>
            </w:tcMar>
          </w:tcPr>
          <w:p w14:paraId="555668C9" w14:textId="77777777" w:rsidR="00F925DD" w:rsidRDefault="00E705D7">
            <w:pPr>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tcPr>
          <w:p w14:paraId="555668CA" w14:textId="77777777" w:rsidR="00F925DD" w:rsidRDefault="00E705D7">
            <w:pPr>
              <w:textAlignment w:val="top"/>
              <w:rPr>
                <w:rFonts w:ascii="Times New Roman" w:hAnsi="Times New Roman"/>
                <w:sz w:val="20"/>
                <w:szCs w:val="20"/>
              </w:rPr>
            </w:pPr>
            <w:r>
              <w:rPr>
                <w:rFonts w:ascii="Arial" w:eastAsia="宋体" w:hAnsi="Arial" w:cs="Arial"/>
                <w:b/>
                <w:bCs/>
                <w:sz w:val="20"/>
                <w:szCs w:val="20"/>
              </w:rPr>
              <w:t>TRANSITION REPORT PURSUANT TO SECTION 13 OR 15(d) OF THE SECURITIES EXCHANGE ACT OF 1934</w:t>
            </w:r>
          </w:p>
        </w:tc>
      </w:tr>
    </w:tbl>
    <w:p w14:paraId="555668CC" w14:textId="77777777" w:rsidR="00F925DD" w:rsidRDefault="00E705D7">
      <w:pPr>
        <w:spacing w:line="288" w:lineRule="auto"/>
        <w:ind w:firstLine="600"/>
        <w:jc w:val="center"/>
        <w:rPr>
          <w:rFonts w:ascii="Times New Roman" w:hAnsi="Times New Roman"/>
          <w:sz w:val="18"/>
          <w:szCs w:val="18"/>
        </w:rPr>
      </w:pPr>
      <w:r>
        <w:rPr>
          <w:rFonts w:ascii="Arial" w:eastAsia="宋体" w:hAnsi="Arial" w:cs="Arial"/>
          <w:b/>
          <w:bCs/>
          <w:sz w:val="18"/>
          <w:szCs w:val="18"/>
        </w:rPr>
        <w:t>For the transition period from                      to                     </w:t>
      </w:r>
    </w:p>
    <w:p w14:paraId="555668CD" w14:textId="77777777" w:rsidR="00F925DD" w:rsidRDefault="00E705D7">
      <w:pPr>
        <w:spacing w:line="288" w:lineRule="auto"/>
        <w:ind w:firstLine="600"/>
        <w:jc w:val="center"/>
        <w:rPr>
          <w:rFonts w:ascii="Times New Roman" w:hAnsi="Times New Roman"/>
          <w:sz w:val="18"/>
          <w:szCs w:val="18"/>
        </w:rPr>
      </w:pPr>
      <w:r>
        <w:rPr>
          <w:rFonts w:ascii="Arial" w:eastAsia="宋体" w:hAnsi="Arial" w:cs="Arial"/>
          <w:b/>
          <w:bCs/>
          <w:sz w:val="18"/>
          <w:szCs w:val="18"/>
        </w:rPr>
        <w:t xml:space="preserve">Commission File No. 001-07511 </w:t>
      </w:r>
    </w:p>
    <w:p w14:paraId="555668CE" w14:textId="77777777" w:rsidR="00F925DD" w:rsidRDefault="00E705D7">
      <w:pPr>
        <w:spacing w:line="288" w:lineRule="auto"/>
        <w:ind w:firstLine="600"/>
        <w:jc w:val="center"/>
        <w:rPr>
          <w:rFonts w:ascii="Times New Roman" w:hAnsi="Times New Roman"/>
          <w:sz w:val="36"/>
          <w:szCs w:val="36"/>
        </w:rPr>
      </w:pPr>
      <w:r>
        <w:rPr>
          <w:rFonts w:ascii="Arial" w:eastAsia="宋体" w:hAnsi="Arial" w:cs="Arial"/>
          <w:b/>
          <w:bCs/>
          <w:sz w:val="36"/>
          <w:szCs w:val="36"/>
        </w:rPr>
        <w:t xml:space="preserve">STATE STREET CORPORATION </w:t>
      </w:r>
    </w:p>
    <w:p w14:paraId="555668C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sz w:val="20"/>
          <w:szCs w:val="20"/>
        </w:rPr>
        <w:t>(Exact name of registrant as specified in its charter)</w:t>
      </w:r>
    </w:p>
    <w:tbl>
      <w:tblPr>
        <w:tblW w:w="13560" w:type="dxa"/>
        <w:jc w:val="center"/>
        <w:tblCellMar>
          <w:left w:w="0" w:type="dxa"/>
          <w:right w:w="0" w:type="dxa"/>
        </w:tblCellMar>
        <w:tblLook w:val="04A0" w:firstRow="1" w:lastRow="0" w:firstColumn="1" w:lastColumn="0" w:noHBand="0" w:noVBand="1"/>
      </w:tblPr>
      <w:tblGrid>
        <w:gridCol w:w="2179"/>
        <w:gridCol w:w="2420"/>
        <w:gridCol w:w="2160"/>
        <w:gridCol w:w="980"/>
        <w:gridCol w:w="1222"/>
        <w:gridCol w:w="260"/>
        <w:gridCol w:w="740"/>
        <w:gridCol w:w="3199"/>
        <w:gridCol w:w="400"/>
      </w:tblGrid>
      <w:tr w:rsidR="00F925DD" w14:paraId="555668D1" w14:textId="77777777">
        <w:trPr>
          <w:jc w:val="center"/>
        </w:trPr>
        <w:tc>
          <w:tcPr>
            <w:tcW w:w="0" w:type="auto"/>
            <w:gridSpan w:val="9"/>
            <w:shd w:val="clear" w:color="auto" w:fill="auto"/>
            <w:vAlign w:val="center"/>
          </w:tcPr>
          <w:p w14:paraId="555668D0" w14:textId="77777777" w:rsidR="00F925DD" w:rsidRDefault="00F925DD">
            <w:pPr>
              <w:rPr>
                <w:rFonts w:ascii="Times New Roman" w:hAnsi="Times New Roman"/>
                <w:sz w:val="20"/>
                <w:szCs w:val="20"/>
              </w:rPr>
            </w:pPr>
          </w:p>
        </w:tc>
      </w:tr>
      <w:tr w:rsidR="00F925DD" w14:paraId="555668DB" w14:textId="77777777">
        <w:trPr>
          <w:jc w:val="center"/>
        </w:trPr>
        <w:tc>
          <w:tcPr>
            <w:tcW w:w="2180" w:type="dxa"/>
            <w:shd w:val="clear" w:color="auto" w:fill="auto"/>
            <w:vAlign w:val="center"/>
          </w:tcPr>
          <w:p w14:paraId="555668D2" w14:textId="77777777" w:rsidR="00F925DD" w:rsidRDefault="00F925DD">
            <w:pPr>
              <w:rPr>
                <w:rFonts w:ascii="Times New Roman" w:hAnsi="Times New Roman"/>
                <w:sz w:val="20"/>
                <w:szCs w:val="20"/>
              </w:rPr>
            </w:pPr>
          </w:p>
        </w:tc>
        <w:tc>
          <w:tcPr>
            <w:tcW w:w="2420" w:type="dxa"/>
            <w:shd w:val="clear" w:color="auto" w:fill="auto"/>
            <w:vAlign w:val="center"/>
          </w:tcPr>
          <w:p w14:paraId="555668D3" w14:textId="77777777" w:rsidR="00F925DD" w:rsidRDefault="00F925DD">
            <w:pPr>
              <w:rPr>
                <w:rFonts w:ascii="Times New Roman" w:hAnsi="Times New Roman"/>
                <w:sz w:val="20"/>
                <w:szCs w:val="20"/>
              </w:rPr>
            </w:pPr>
          </w:p>
        </w:tc>
        <w:tc>
          <w:tcPr>
            <w:tcW w:w="2160" w:type="dxa"/>
            <w:shd w:val="clear" w:color="auto" w:fill="auto"/>
            <w:vAlign w:val="center"/>
          </w:tcPr>
          <w:p w14:paraId="555668D4" w14:textId="77777777" w:rsidR="00F925DD" w:rsidRDefault="00F925DD">
            <w:pPr>
              <w:rPr>
                <w:rFonts w:ascii="Times New Roman" w:hAnsi="Times New Roman"/>
                <w:sz w:val="20"/>
                <w:szCs w:val="20"/>
              </w:rPr>
            </w:pPr>
          </w:p>
        </w:tc>
        <w:tc>
          <w:tcPr>
            <w:tcW w:w="980" w:type="dxa"/>
            <w:shd w:val="clear" w:color="auto" w:fill="auto"/>
            <w:vAlign w:val="center"/>
          </w:tcPr>
          <w:p w14:paraId="555668D5" w14:textId="77777777" w:rsidR="00F925DD" w:rsidRDefault="00F925DD">
            <w:pPr>
              <w:rPr>
                <w:rFonts w:ascii="Times New Roman" w:hAnsi="Times New Roman"/>
                <w:sz w:val="20"/>
                <w:szCs w:val="20"/>
              </w:rPr>
            </w:pPr>
          </w:p>
        </w:tc>
        <w:tc>
          <w:tcPr>
            <w:tcW w:w="1220" w:type="dxa"/>
            <w:shd w:val="clear" w:color="auto" w:fill="auto"/>
            <w:vAlign w:val="center"/>
          </w:tcPr>
          <w:p w14:paraId="555668D6" w14:textId="77777777" w:rsidR="00F925DD" w:rsidRDefault="00F925DD">
            <w:pPr>
              <w:rPr>
                <w:rFonts w:ascii="Times New Roman" w:hAnsi="Times New Roman"/>
                <w:sz w:val="20"/>
                <w:szCs w:val="20"/>
              </w:rPr>
            </w:pPr>
          </w:p>
        </w:tc>
        <w:tc>
          <w:tcPr>
            <w:tcW w:w="260" w:type="dxa"/>
            <w:shd w:val="clear" w:color="auto" w:fill="auto"/>
            <w:vAlign w:val="center"/>
          </w:tcPr>
          <w:p w14:paraId="555668D7" w14:textId="77777777" w:rsidR="00F925DD" w:rsidRDefault="00F925DD">
            <w:pPr>
              <w:rPr>
                <w:rFonts w:ascii="Times New Roman" w:hAnsi="Times New Roman"/>
                <w:sz w:val="20"/>
                <w:szCs w:val="20"/>
              </w:rPr>
            </w:pPr>
          </w:p>
        </w:tc>
        <w:tc>
          <w:tcPr>
            <w:tcW w:w="740" w:type="dxa"/>
            <w:shd w:val="clear" w:color="auto" w:fill="auto"/>
            <w:vAlign w:val="center"/>
          </w:tcPr>
          <w:p w14:paraId="555668D8" w14:textId="77777777" w:rsidR="00F925DD" w:rsidRDefault="00F925DD">
            <w:pPr>
              <w:rPr>
                <w:rFonts w:ascii="Times New Roman" w:hAnsi="Times New Roman"/>
                <w:sz w:val="20"/>
                <w:szCs w:val="20"/>
              </w:rPr>
            </w:pPr>
          </w:p>
        </w:tc>
        <w:tc>
          <w:tcPr>
            <w:tcW w:w="3200" w:type="dxa"/>
            <w:shd w:val="clear" w:color="auto" w:fill="auto"/>
            <w:vAlign w:val="center"/>
          </w:tcPr>
          <w:p w14:paraId="555668D9" w14:textId="77777777" w:rsidR="00F925DD" w:rsidRDefault="00F925DD">
            <w:pPr>
              <w:rPr>
                <w:rFonts w:ascii="Times New Roman" w:hAnsi="Times New Roman"/>
                <w:sz w:val="20"/>
                <w:szCs w:val="20"/>
              </w:rPr>
            </w:pPr>
          </w:p>
        </w:tc>
        <w:tc>
          <w:tcPr>
            <w:tcW w:w="400" w:type="dxa"/>
            <w:shd w:val="clear" w:color="auto" w:fill="auto"/>
            <w:vAlign w:val="center"/>
          </w:tcPr>
          <w:p w14:paraId="555668DA" w14:textId="77777777" w:rsidR="00F925DD" w:rsidRDefault="00F925DD">
            <w:pPr>
              <w:rPr>
                <w:rFonts w:ascii="Times New Roman" w:hAnsi="Times New Roman"/>
                <w:sz w:val="20"/>
                <w:szCs w:val="20"/>
              </w:rPr>
            </w:pPr>
          </w:p>
        </w:tc>
      </w:tr>
      <w:tr w:rsidR="00F925DD" w14:paraId="555668E4" w14:textId="77777777">
        <w:trPr>
          <w:jc w:val="center"/>
        </w:trPr>
        <w:tc>
          <w:tcPr>
            <w:tcW w:w="0" w:type="auto"/>
            <w:gridSpan w:val="2"/>
            <w:shd w:val="clear" w:color="auto" w:fill="auto"/>
            <w:tcMar>
              <w:top w:w="40" w:type="dxa"/>
              <w:left w:w="40" w:type="dxa"/>
              <w:bottom w:w="40" w:type="dxa"/>
              <w:right w:w="40" w:type="dxa"/>
            </w:tcMar>
            <w:vAlign w:val="bottom"/>
          </w:tcPr>
          <w:p w14:paraId="555668D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Massachusetts</w:t>
            </w:r>
          </w:p>
        </w:tc>
        <w:tc>
          <w:tcPr>
            <w:tcW w:w="0" w:type="auto"/>
            <w:shd w:val="clear" w:color="auto" w:fill="auto"/>
            <w:tcMar>
              <w:top w:w="40" w:type="dxa"/>
              <w:left w:w="40" w:type="dxa"/>
              <w:bottom w:w="40" w:type="dxa"/>
              <w:right w:w="40" w:type="dxa"/>
            </w:tcMar>
            <w:vAlign w:val="bottom"/>
          </w:tcPr>
          <w:p w14:paraId="555668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E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04-2456637</w:t>
            </w:r>
          </w:p>
        </w:tc>
        <w:tc>
          <w:tcPr>
            <w:tcW w:w="0" w:type="auto"/>
            <w:shd w:val="clear" w:color="auto" w:fill="auto"/>
            <w:tcMar>
              <w:top w:w="40" w:type="dxa"/>
              <w:left w:w="40" w:type="dxa"/>
              <w:bottom w:w="40" w:type="dxa"/>
              <w:right w:w="40" w:type="dxa"/>
            </w:tcMar>
            <w:vAlign w:val="bottom"/>
          </w:tcPr>
          <w:p w14:paraId="555668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8ED" w14:textId="77777777">
        <w:trPr>
          <w:jc w:val="center"/>
        </w:trPr>
        <w:tc>
          <w:tcPr>
            <w:tcW w:w="0" w:type="auto"/>
            <w:gridSpan w:val="2"/>
            <w:shd w:val="clear" w:color="auto" w:fill="auto"/>
            <w:tcMar>
              <w:top w:w="40" w:type="dxa"/>
              <w:left w:w="40" w:type="dxa"/>
              <w:bottom w:w="40" w:type="dxa"/>
              <w:right w:w="40" w:type="dxa"/>
            </w:tcMar>
            <w:vAlign w:val="bottom"/>
          </w:tcPr>
          <w:p w14:paraId="555668E5" w14:textId="77777777" w:rsidR="00F925DD" w:rsidRDefault="00E705D7">
            <w:pPr>
              <w:jc w:val="center"/>
              <w:textAlignment w:val="bottom"/>
              <w:rPr>
                <w:rFonts w:ascii="Times New Roman" w:hAnsi="Times New Roman"/>
                <w:sz w:val="14"/>
                <w:szCs w:val="14"/>
              </w:rPr>
            </w:pPr>
            <w:r>
              <w:rPr>
                <w:rFonts w:ascii="Arial" w:eastAsia="宋体" w:hAnsi="Arial" w:cs="Arial"/>
                <w:sz w:val="14"/>
                <w:szCs w:val="14"/>
              </w:rPr>
              <w:t>(State or other jurisdiction of incorporation)</w:t>
            </w:r>
          </w:p>
        </w:tc>
        <w:tc>
          <w:tcPr>
            <w:tcW w:w="0" w:type="auto"/>
            <w:shd w:val="clear" w:color="auto" w:fill="auto"/>
            <w:tcMar>
              <w:top w:w="40" w:type="dxa"/>
              <w:left w:w="40" w:type="dxa"/>
              <w:bottom w:w="40" w:type="dxa"/>
              <w:right w:w="40" w:type="dxa"/>
            </w:tcMar>
            <w:vAlign w:val="bottom"/>
          </w:tcPr>
          <w:p w14:paraId="555668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EB" w14:textId="77777777" w:rsidR="00F925DD" w:rsidRDefault="00E705D7">
            <w:pPr>
              <w:jc w:val="center"/>
              <w:textAlignment w:val="bottom"/>
              <w:rPr>
                <w:rFonts w:ascii="Times New Roman" w:hAnsi="Times New Roman"/>
                <w:sz w:val="14"/>
                <w:szCs w:val="14"/>
              </w:rPr>
            </w:pPr>
            <w:r>
              <w:rPr>
                <w:rFonts w:ascii="Arial" w:eastAsia="宋体" w:hAnsi="Arial" w:cs="Arial"/>
                <w:sz w:val="14"/>
                <w:szCs w:val="14"/>
              </w:rPr>
              <w:t xml:space="preserve">(I.R.S. Employer </w:t>
            </w:r>
            <w:r>
              <w:rPr>
                <w:rFonts w:ascii="Arial" w:eastAsia="宋体" w:hAnsi="Arial" w:cs="Arial"/>
                <w:sz w:val="14"/>
                <w:szCs w:val="14"/>
              </w:rPr>
              <w:t>Identification No.)</w:t>
            </w:r>
          </w:p>
        </w:tc>
        <w:tc>
          <w:tcPr>
            <w:tcW w:w="0" w:type="auto"/>
            <w:shd w:val="clear" w:color="auto" w:fill="auto"/>
            <w:tcMar>
              <w:top w:w="40" w:type="dxa"/>
              <w:left w:w="40" w:type="dxa"/>
              <w:bottom w:w="40" w:type="dxa"/>
              <w:right w:w="40" w:type="dxa"/>
            </w:tcMar>
            <w:vAlign w:val="bottom"/>
          </w:tcPr>
          <w:p w14:paraId="555668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8F6" w14:textId="77777777">
        <w:trPr>
          <w:jc w:val="center"/>
        </w:trPr>
        <w:tc>
          <w:tcPr>
            <w:tcW w:w="0" w:type="auto"/>
            <w:gridSpan w:val="2"/>
            <w:shd w:val="clear" w:color="auto" w:fill="auto"/>
            <w:tcMar>
              <w:top w:w="40" w:type="dxa"/>
              <w:left w:w="40" w:type="dxa"/>
              <w:bottom w:w="40" w:type="dxa"/>
              <w:right w:w="40" w:type="dxa"/>
            </w:tcMar>
            <w:vAlign w:val="bottom"/>
          </w:tcPr>
          <w:p w14:paraId="555668E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One Lincoln Street</w:t>
            </w:r>
          </w:p>
        </w:tc>
        <w:tc>
          <w:tcPr>
            <w:tcW w:w="0" w:type="auto"/>
            <w:shd w:val="clear" w:color="auto" w:fill="auto"/>
            <w:tcMar>
              <w:top w:w="40" w:type="dxa"/>
              <w:left w:w="40" w:type="dxa"/>
              <w:bottom w:w="40" w:type="dxa"/>
              <w:right w:w="40" w:type="dxa"/>
            </w:tcMar>
            <w:vAlign w:val="bottom"/>
          </w:tcPr>
          <w:p w14:paraId="555668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F4" w14:textId="77777777" w:rsidR="00F925DD" w:rsidRDefault="00F925DD">
            <w:pPr>
              <w:jc w:val="center"/>
              <w:textAlignment w:val="bottom"/>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555668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8FF" w14:textId="77777777">
        <w:trPr>
          <w:jc w:val="center"/>
        </w:trPr>
        <w:tc>
          <w:tcPr>
            <w:tcW w:w="0" w:type="auto"/>
            <w:shd w:val="clear" w:color="auto" w:fill="auto"/>
            <w:tcMar>
              <w:top w:w="40" w:type="dxa"/>
              <w:left w:w="40" w:type="dxa"/>
              <w:bottom w:w="40" w:type="dxa"/>
              <w:right w:w="40" w:type="dxa"/>
            </w:tcMar>
            <w:vAlign w:val="bottom"/>
          </w:tcPr>
          <w:p w14:paraId="555668F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Boston,</w:t>
            </w:r>
          </w:p>
        </w:tc>
        <w:tc>
          <w:tcPr>
            <w:tcW w:w="0" w:type="auto"/>
            <w:shd w:val="clear" w:color="auto" w:fill="auto"/>
            <w:tcMar>
              <w:top w:w="40" w:type="dxa"/>
              <w:left w:w="40" w:type="dxa"/>
              <w:bottom w:w="40" w:type="dxa"/>
              <w:right w:w="40" w:type="dxa"/>
            </w:tcMar>
            <w:vAlign w:val="bottom"/>
          </w:tcPr>
          <w:p w14:paraId="555668F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Massachusetts</w:t>
            </w:r>
          </w:p>
        </w:tc>
        <w:tc>
          <w:tcPr>
            <w:tcW w:w="0" w:type="auto"/>
            <w:gridSpan w:val="2"/>
            <w:shd w:val="clear" w:color="auto" w:fill="auto"/>
            <w:tcMar>
              <w:top w:w="40" w:type="dxa"/>
              <w:left w:w="40" w:type="dxa"/>
              <w:bottom w:w="40" w:type="dxa"/>
              <w:right w:w="40" w:type="dxa"/>
            </w:tcMar>
            <w:vAlign w:val="bottom"/>
          </w:tcPr>
          <w:p w14:paraId="555668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8F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02111</w:t>
            </w:r>
          </w:p>
        </w:tc>
        <w:tc>
          <w:tcPr>
            <w:tcW w:w="0" w:type="auto"/>
            <w:shd w:val="clear" w:color="auto" w:fill="auto"/>
            <w:tcMar>
              <w:top w:w="40" w:type="dxa"/>
              <w:left w:w="40" w:type="dxa"/>
              <w:bottom w:w="40" w:type="dxa"/>
              <w:right w:w="40" w:type="dxa"/>
            </w:tcMar>
            <w:vAlign w:val="bottom"/>
          </w:tcPr>
          <w:p w14:paraId="555668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07" w14:textId="77777777">
        <w:trPr>
          <w:jc w:val="center"/>
        </w:trPr>
        <w:tc>
          <w:tcPr>
            <w:tcW w:w="0" w:type="auto"/>
            <w:gridSpan w:val="2"/>
            <w:shd w:val="clear" w:color="auto" w:fill="auto"/>
            <w:tcMar>
              <w:top w:w="40" w:type="dxa"/>
              <w:left w:w="40" w:type="dxa"/>
              <w:bottom w:w="40" w:type="dxa"/>
              <w:right w:w="40" w:type="dxa"/>
            </w:tcMar>
            <w:vAlign w:val="bottom"/>
          </w:tcPr>
          <w:p w14:paraId="55566900" w14:textId="77777777" w:rsidR="00F925DD" w:rsidRDefault="00E705D7">
            <w:pPr>
              <w:jc w:val="center"/>
              <w:textAlignment w:val="bottom"/>
              <w:rPr>
                <w:rFonts w:ascii="Times New Roman" w:hAnsi="Times New Roman"/>
                <w:sz w:val="14"/>
                <w:szCs w:val="14"/>
              </w:rPr>
            </w:pPr>
            <w:r>
              <w:rPr>
                <w:rFonts w:ascii="Arial" w:eastAsia="宋体" w:hAnsi="Arial" w:cs="Arial"/>
                <w:sz w:val="14"/>
                <w:szCs w:val="14"/>
              </w:rPr>
              <w:t>(Address of principal executive offices)</w:t>
            </w:r>
          </w:p>
        </w:tc>
        <w:tc>
          <w:tcPr>
            <w:tcW w:w="0" w:type="auto"/>
            <w:gridSpan w:val="2"/>
            <w:shd w:val="clear" w:color="auto" w:fill="auto"/>
            <w:tcMar>
              <w:top w:w="40" w:type="dxa"/>
              <w:left w:w="40" w:type="dxa"/>
              <w:bottom w:w="40" w:type="dxa"/>
              <w:right w:w="40" w:type="dxa"/>
            </w:tcMar>
            <w:vAlign w:val="bottom"/>
          </w:tcPr>
          <w:p w14:paraId="555669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05" w14:textId="77777777" w:rsidR="00F925DD" w:rsidRDefault="00E705D7">
            <w:pPr>
              <w:jc w:val="center"/>
              <w:textAlignment w:val="bottom"/>
              <w:rPr>
                <w:rFonts w:ascii="Times New Roman" w:hAnsi="Times New Roman"/>
                <w:sz w:val="14"/>
                <w:szCs w:val="14"/>
              </w:rPr>
            </w:pPr>
            <w:r>
              <w:rPr>
                <w:rFonts w:ascii="Arial" w:eastAsia="宋体" w:hAnsi="Arial" w:cs="Arial"/>
                <w:sz w:val="14"/>
                <w:szCs w:val="14"/>
              </w:rPr>
              <w:t>(Zip Code)</w:t>
            </w:r>
          </w:p>
        </w:tc>
        <w:tc>
          <w:tcPr>
            <w:tcW w:w="0" w:type="auto"/>
            <w:shd w:val="clear" w:color="auto" w:fill="auto"/>
            <w:tcMar>
              <w:top w:w="40" w:type="dxa"/>
              <w:left w:w="40" w:type="dxa"/>
              <w:bottom w:w="40" w:type="dxa"/>
              <w:right w:w="40" w:type="dxa"/>
            </w:tcMar>
            <w:vAlign w:val="bottom"/>
          </w:tcPr>
          <w:p w14:paraId="555669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11" w14:textId="77777777">
        <w:trPr>
          <w:jc w:val="center"/>
        </w:trPr>
        <w:tc>
          <w:tcPr>
            <w:tcW w:w="0" w:type="auto"/>
            <w:shd w:val="clear" w:color="auto" w:fill="auto"/>
            <w:tcMar>
              <w:top w:w="40" w:type="dxa"/>
              <w:left w:w="40" w:type="dxa"/>
              <w:bottom w:w="40" w:type="dxa"/>
              <w:right w:w="40" w:type="dxa"/>
            </w:tcMar>
            <w:vAlign w:val="bottom"/>
          </w:tcPr>
          <w:p w14:paraId="555669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0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(617)</w:t>
            </w:r>
          </w:p>
        </w:tc>
        <w:tc>
          <w:tcPr>
            <w:tcW w:w="0" w:type="auto"/>
            <w:shd w:val="clear" w:color="auto" w:fill="auto"/>
            <w:tcMar>
              <w:top w:w="40" w:type="dxa"/>
              <w:left w:w="40" w:type="dxa"/>
              <w:bottom w:w="40" w:type="dxa"/>
              <w:right w:w="40" w:type="dxa"/>
            </w:tcMar>
            <w:vAlign w:val="bottom"/>
          </w:tcPr>
          <w:p w14:paraId="5556690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786-3000</w:t>
            </w:r>
          </w:p>
        </w:tc>
        <w:tc>
          <w:tcPr>
            <w:tcW w:w="0" w:type="auto"/>
            <w:shd w:val="clear" w:color="auto" w:fill="auto"/>
            <w:tcMar>
              <w:top w:w="40" w:type="dxa"/>
              <w:left w:w="40" w:type="dxa"/>
              <w:bottom w:w="40" w:type="dxa"/>
              <w:right w:w="40" w:type="dxa"/>
            </w:tcMar>
            <w:vAlign w:val="bottom"/>
          </w:tcPr>
          <w:p w14:paraId="5556690C" w14:textId="77777777" w:rsidR="00F925DD" w:rsidRDefault="00F925DD">
            <w:pPr>
              <w:textAlignment w:val="bottom"/>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555669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18" w14:textId="77777777">
        <w:trPr>
          <w:jc w:val="center"/>
        </w:trPr>
        <w:tc>
          <w:tcPr>
            <w:tcW w:w="0" w:type="auto"/>
            <w:shd w:val="clear" w:color="auto" w:fill="auto"/>
            <w:tcMar>
              <w:top w:w="40" w:type="dxa"/>
              <w:left w:w="40" w:type="dxa"/>
              <w:bottom w:w="40" w:type="dxa"/>
              <w:right w:w="40" w:type="dxa"/>
            </w:tcMar>
            <w:vAlign w:val="bottom"/>
          </w:tcPr>
          <w:p w14:paraId="555669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shd w:val="clear" w:color="auto" w:fill="auto"/>
            <w:tcMar>
              <w:top w:w="40" w:type="dxa"/>
              <w:left w:w="40" w:type="dxa"/>
              <w:bottom w:w="40" w:type="dxa"/>
              <w:right w:w="40" w:type="dxa"/>
            </w:tcMar>
            <w:vAlign w:val="bottom"/>
          </w:tcPr>
          <w:p w14:paraId="55566914" w14:textId="77777777" w:rsidR="00F925DD" w:rsidRDefault="00E705D7">
            <w:pPr>
              <w:textAlignment w:val="bottom"/>
              <w:rPr>
                <w:rFonts w:ascii="Times New Roman" w:hAnsi="Times New Roman"/>
                <w:sz w:val="14"/>
                <w:szCs w:val="14"/>
              </w:rPr>
            </w:pPr>
            <w:r>
              <w:rPr>
                <w:rFonts w:ascii="Arial" w:eastAsia="宋体" w:hAnsi="Arial" w:cs="Arial"/>
                <w:sz w:val="14"/>
                <w:szCs w:val="14"/>
              </w:rPr>
              <w:t>(Registrant's telephone number, including area code)</w:t>
            </w:r>
          </w:p>
        </w:tc>
        <w:tc>
          <w:tcPr>
            <w:tcW w:w="0" w:type="auto"/>
            <w:shd w:val="clear" w:color="auto" w:fill="auto"/>
            <w:tcMar>
              <w:top w:w="40" w:type="dxa"/>
              <w:left w:w="40" w:type="dxa"/>
              <w:bottom w:w="40" w:type="dxa"/>
              <w:right w:w="40" w:type="dxa"/>
            </w:tcMar>
            <w:vAlign w:val="bottom"/>
          </w:tcPr>
          <w:p w14:paraId="555669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1B" w14:textId="77777777">
        <w:trPr>
          <w:jc w:val="center"/>
        </w:trPr>
        <w:tc>
          <w:tcPr>
            <w:tcW w:w="0" w:type="auto"/>
            <w:gridSpan w:val="8"/>
            <w:shd w:val="clear" w:color="auto" w:fill="auto"/>
            <w:tcMar>
              <w:top w:w="40" w:type="dxa"/>
              <w:left w:w="40" w:type="dxa"/>
              <w:bottom w:w="40" w:type="dxa"/>
              <w:right w:w="40" w:type="dxa"/>
            </w:tcMar>
            <w:vAlign w:val="bottom"/>
          </w:tcPr>
          <w:p w14:paraId="555669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1E" w14:textId="77777777">
        <w:trPr>
          <w:jc w:val="center"/>
        </w:trPr>
        <w:tc>
          <w:tcPr>
            <w:tcW w:w="0" w:type="auto"/>
            <w:gridSpan w:val="8"/>
            <w:shd w:val="clear" w:color="auto" w:fill="auto"/>
            <w:tcMar>
              <w:top w:w="40" w:type="dxa"/>
              <w:left w:w="40" w:type="dxa"/>
              <w:bottom w:w="40" w:type="dxa"/>
              <w:right w:w="40" w:type="dxa"/>
            </w:tcMar>
            <w:vAlign w:val="bottom"/>
          </w:tcPr>
          <w:p w14:paraId="5556691C" w14:textId="77777777" w:rsidR="00F925DD" w:rsidRDefault="00E705D7">
            <w:pPr>
              <w:textAlignment w:val="bottom"/>
              <w:rPr>
                <w:rFonts w:ascii="Times New Roman" w:hAnsi="Times New Roman"/>
                <w:sz w:val="13"/>
                <w:szCs w:val="13"/>
              </w:rPr>
            </w:pPr>
            <w:r>
              <w:rPr>
                <w:rFonts w:ascii="Arial" w:eastAsia="宋体" w:hAnsi="Arial" w:cs="Arial"/>
                <w:sz w:val="13"/>
                <w:szCs w:val="13"/>
              </w:rPr>
              <w:t>Securities registered pursuant to Section 12(b) of the Act:</w:t>
            </w:r>
          </w:p>
        </w:tc>
        <w:tc>
          <w:tcPr>
            <w:tcW w:w="0" w:type="auto"/>
            <w:shd w:val="clear" w:color="auto" w:fill="auto"/>
            <w:tcMar>
              <w:top w:w="40" w:type="dxa"/>
              <w:left w:w="40" w:type="dxa"/>
              <w:bottom w:w="40" w:type="dxa"/>
              <w:right w:w="40" w:type="dxa"/>
            </w:tcMar>
            <w:vAlign w:val="bottom"/>
          </w:tcPr>
          <w:p w14:paraId="555669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26" w14:textId="77777777">
        <w:trPr>
          <w:jc w:val="center"/>
        </w:trPr>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691F"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Title of Each Class</w:t>
            </w:r>
          </w:p>
        </w:tc>
        <w:tc>
          <w:tcPr>
            <w:tcW w:w="0" w:type="auto"/>
            <w:shd w:val="clear" w:color="auto" w:fill="auto"/>
            <w:tcMar>
              <w:top w:w="40" w:type="dxa"/>
              <w:left w:w="40" w:type="dxa"/>
              <w:bottom w:w="40" w:type="dxa"/>
              <w:right w:w="40" w:type="dxa"/>
            </w:tcMar>
            <w:vAlign w:val="bottom"/>
          </w:tcPr>
          <w:p w14:paraId="555669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6921"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Trading Symbol(s)</w:t>
            </w:r>
          </w:p>
        </w:tc>
        <w:tc>
          <w:tcPr>
            <w:tcW w:w="0" w:type="auto"/>
            <w:shd w:val="clear" w:color="auto" w:fill="auto"/>
            <w:tcMar>
              <w:top w:w="40" w:type="dxa"/>
              <w:left w:w="40" w:type="dxa"/>
              <w:bottom w:w="40" w:type="dxa"/>
              <w:right w:w="40" w:type="dxa"/>
            </w:tcMar>
            <w:vAlign w:val="bottom"/>
          </w:tcPr>
          <w:p w14:paraId="555669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6924"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Name of each exchange on which registered</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69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2E" w14:textId="77777777">
        <w:trPr>
          <w:jc w:val="center"/>
        </w:trPr>
        <w:tc>
          <w:tcPr>
            <w:tcW w:w="0" w:type="auto"/>
            <w:gridSpan w:val="3"/>
            <w:shd w:val="clear" w:color="auto" w:fill="auto"/>
            <w:tcMar>
              <w:top w:w="40" w:type="dxa"/>
              <w:left w:w="40" w:type="dxa"/>
              <w:bottom w:w="40" w:type="dxa"/>
              <w:right w:w="40" w:type="dxa"/>
            </w:tcMar>
          </w:tcPr>
          <w:p w14:paraId="55566927" w14:textId="77777777" w:rsidR="00F925DD" w:rsidRDefault="00E705D7">
            <w:pPr>
              <w:jc w:val="center"/>
              <w:textAlignment w:val="top"/>
              <w:rPr>
                <w:rFonts w:ascii="Times New Roman" w:hAnsi="Times New Roman"/>
                <w:sz w:val="13"/>
                <w:szCs w:val="13"/>
              </w:rPr>
            </w:pPr>
            <w:r>
              <w:rPr>
                <w:rFonts w:ascii="Arial" w:eastAsia="宋体" w:hAnsi="Arial" w:cs="Arial"/>
                <w:sz w:val="13"/>
                <w:szCs w:val="13"/>
              </w:rPr>
              <w:t>Common Stock, $1 par value per share</w:t>
            </w:r>
          </w:p>
        </w:tc>
        <w:tc>
          <w:tcPr>
            <w:tcW w:w="0" w:type="auto"/>
            <w:shd w:val="clear" w:color="auto" w:fill="auto"/>
            <w:tcMar>
              <w:top w:w="40" w:type="dxa"/>
              <w:left w:w="40" w:type="dxa"/>
              <w:bottom w:w="40" w:type="dxa"/>
              <w:right w:w="40" w:type="dxa"/>
            </w:tcMar>
            <w:vAlign w:val="bottom"/>
          </w:tcPr>
          <w:p w14:paraId="555669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29" w14:textId="77777777" w:rsidR="00F925DD" w:rsidRDefault="00E705D7">
            <w:pPr>
              <w:jc w:val="center"/>
              <w:textAlignment w:val="bottom"/>
              <w:rPr>
                <w:rFonts w:ascii="Times New Roman" w:hAnsi="Times New Roman"/>
                <w:sz w:val="13"/>
                <w:szCs w:val="13"/>
              </w:rPr>
            </w:pPr>
            <w:r>
              <w:rPr>
                <w:rFonts w:ascii="Arial" w:eastAsia="宋体" w:hAnsi="Arial" w:cs="Arial"/>
                <w:sz w:val="13"/>
                <w:szCs w:val="13"/>
              </w:rPr>
              <w:t>STT</w:t>
            </w:r>
          </w:p>
        </w:tc>
        <w:tc>
          <w:tcPr>
            <w:tcW w:w="0" w:type="auto"/>
            <w:shd w:val="clear" w:color="auto" w:fill="auto"/>
            <w:tcMar>
              <w:top w:w="40" w:type="dxa"/>
              <w:left w:w="40" w:type="dxa"/>
              <w:bottom w:w="40" w:type="dxa"/>
              <w:right w:w="40" w:type="dxa"/>
            </w:tcMar>
            <w:vAlign w:val="bottom"/>
          </w:tcPr>
          <w:p w14:paraId="555669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692C" w14:textId="77777777" w:rsidR="00F925DD" w:rsidRDefault="00E705D7">
            <w:pPr>
              <w:jc w:val="center"/>
              <w:textAlignment w:val="center"/>
              <w:rPr>
                <w:rFonts w:ascii="Times New Roman" w:hAnsi="Times New Roman"/>
                <w:sz w:val="13"/>
                <w:szCs w:val="13"/>
              </w:rPr>
            </w:pPr>
            <w:r>
              <w:rPr>
                <w:rFonts w:ascii="Arial" w:eastAsia="宋体" w:hAnsi="Arial" w:cs="Arial"/>
                <w:sz w:val="13"/>
                <w:szCs w:val="13"/>
              </w:rPr>
              <w:t>New York Stock Exchange</w:t>
            </w:r>
          </w:p>
        </w:tc>
        <w:tc>
          <w:tcPr>
            <w:tcW w:w="0" w:type="auto"/>
            <w:shd w:val="clear" w:color="auto" w:fill="auto"/>
            <w:tcMar>
              <w:top w:w="40" w:type="dxa"/>
              <w:left w:w="40" w:type="dxa"/>
              <w:bottom w:w="40" w:type="dxa"/>
              <w:right w:w="40" w:type="dxa"/>
            </w:tcMar>
            <w:vAlign w:val="bottom"/>
          </w:tcPr>
          <w:p w14:paraId="555669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36" w14:textId="77777777">
        <w:trPr>
          <w:jc w:val="center"/>
        </w:trPr>
        <w:tc>
          <w:tcPr>
            <w:tcW w:w="0" w:type="auto"/>
            <w:gridSpan w:val="3"/>
            <w:shd w:val="clear" w:color="auto" w:fill="auto"/>
            <w:tcMar>
              <w:top w:w="40" w:type="dxa"/>
              <w:left w:w="40" w:type="dxa"/>
              <w:bottom w:w="40" w:type="dxa"/>
              <w:right w:w="40" w:type="dxa"/>
            </w:tcMar>
          </w:tcPr>
          <w:p w14:paraId="5556692F" w14:textId="77777777" w:rsidR="00F925DD" w:rsidRDefault="00E705D7">
            <w:pPr>
              <w:jc w:val="center"/>
              <w:textAlignment w:val="top"/>
              <w:rPr>
                <w:rFonts w:ascii="Times New Roman" w:hAnsi="Times New Roman"/>
                <w:sz w:val="13"/>
                <w:szCs w:val="13"/>
              </w:rPr>
            </w:pPr>
            <w:r>
              <w:rPr>
                <w:rFonts w:ascii="Arial" w:eastAsia="宋体" w:hAnsi="Arial" w:cs="Arial"/>
                <w:sz w:val="13"/>
                <w:szCs w:val="13"/>
              </w:rPr>
              <w:t xml:space="preserve">Depositary Shares, each representing a 1/4,000th ownership interest in a share of </w:t>
            </w:r>
          </w:p>
        </w:tc>
        <w:tc>
          <w:tcPr>
            <w:tcW w:w="0" w:type="auto"/>
            <w:shd w:val="clear" w:color="auto" w:fill="auto"/>
            <w:tcMar>
              <w:top w:w="40" w:type="dxa"/>
              <w:left w:w="40" w:type="dxa"/>
              <w:bottom w:w="40" w:type="dxa"/>
              <w:right w:w="40" w:type="dxa"/>
            </w:tcMar>
            <w:vAlign w:val="bottom"/>
          </w:tcPr>
          <w:p w14:paraId="555669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55566931" w14:textId="77777777" w:rsidR="00F925DD" w:rsidRDefault="00E705D7">
            <w:pPr>
              <w:jc w:val="center"/>
              <w:textAlignment w:val="center"/>
              <w:rPr>
                <w:rFonts w:ascii="Times New Roman" w:hAnsi="Times New Roman"/>
                <w:sz w:val="13"/>
                <w:szCs w:val="13"/>
              </w:rPr>
            </w:pPr>
            <w:r>
              <w:rPr>
                <w:rFonts w:ascii="Arial" w:eastAsia="宋体" w:hAnsi="Arial" w:cs="Arial"/>
                <w:sz w:val="13"/>
                <w:szCs w:val="13"/>
              </w:rPr>
              <w:t>STT.PRC.CL</w:t>
            </w:r>
          </w:p>
        </w:tc>
        <w:tc>
          <w:tcPr>
            <w:tcW w:w="0" w:type="auto"/>
            <w:shd w:val="clear" w:color="auto" w:fill="auto"/>
            <w:tcMar>
              <w:top w:w="40" w:type="dxa"/>
              <w:left w:w="40" w:type="dxa"/>
              <w:bottom w:w="40" w:type="dxa"/>
              <w:right w:w="40" w:type="dxa"/>
            </w:tcMar>
            <w:vAlign w:val="bottom"/>
          </w:tcPr>
          <w:p w14:paraId="555669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55566934" w14:textId="77777777" w:rsidR="00F925DD" w:rsidRDefault="00E705D7">
            <w:pPr>
              <w:jc w:val="center"/>
              <w:textAlignment w:val="center"/>
              <w:rPr>
                <w:rFonts w:ascii="Times New Roman" w:hAnsi="Times New Roman"/>
                <w:sz w:val="13"/>
                <w:szCs w:val="13"/>
              </w:rPr>
            </w:pPr>
            <w:r>
              <w:rPr>
                <w:rFonts w:ascii="Arial" w:eastAsia="宋体" w:hAnsi="Arial" w:cs="Arial"/>
                <w:sz w:val="13"/>
                <w:szCs w:val="13"/>
              </w:rPr>
              <w:t>New York Stock Exchange</w:t>
            </w:r>
          </w:p>
        </w:tc>
        <w:tc>
          <w:tcPr>
            <w:tcW w:w="0" w:type="auto"/>
            <w:shd w:val="clear" w:color="auto" w:fill="auto"/>
            <w:tcMar>
              <w:top w:w="40" w:type="dxa"/>
              <w:left w:w="40" w:type="dxa"/>
              <w:bottom w:w="40" w:type="dxa"/>
              <w:right w:w="40" w:type="dxa"/>
            </w:tcMar>
            <w:vAlign w:val="bottom"/>
          </w:tcPr>
          <w:p w14:paraId="555669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3E" w14:textId="77777777">
        <w:trPr>
          <w:jc w:val="center"/>
        </w:trPr>
        <w:tc>
          <w:tcPr>
            <w:tcW w:w="0" w:type="auto"/>
            <w:gridSpan w:val="3"/>
            <w:shd w:val="clear" w:color="auto" w:fill="auto"/>
            <w:tcMar>
              <w:top w:w="40" w:type="dxa"/>
              <w:left w:w="40" w:type="dxa"/>
              <w:bottom w:w="40" w:type="dxa"/>
              <w:right w:w="40" w:type="dxa"/>
            </w:tcMar>
          </w:tcPr>
          <w:p w14:paraId="55566937" w14:textId="77777777" w:rsidR="00F925DD" w:rsidRDefault="00E705D7">
            <w:pPr>
              <w:jc w:val="center"/>
              <w:textAlignment w:val="top"/>
              <w:rPr>
                <w:rFonts w:ascii="Times New Roman" w:hAnsi="Times New Roman"/>
                <w:sz w:val="13"/>
                <w:szCs w:val="13"/>
              </w:rPr>
            </w:pPr>
            <w:r>
              <w:rPr>
                <w:rFonts w:ascii="Arial" w:eastAsia="宋体" w:hAnsi="Arial" w:cs="Arial"/>
                <w:sz w:val="13"/>
                <w:szCs w:val="13"/>
              </w:rPr>
              <w:t>Non-Cumulative Perpetual Preferred Stock, Series C, without par value per share</w:t>
            </w:r>
          </w:p>
        </w:tc>
        <w:tc>
          <w:tcPr>
            <w:tcW w:w="0" w:type="auto"/>
            <w:shd w:val="clear" w:color="auto" w:fill="auto"/>
            <w:tcMar>
              <w:top w:w="40" w:type="dxa"/>
              <w:left w:w="40" w:type="dxa"/>
              <w:bottom w:w="40" w:type="dxa"/>
              <w:right w:w="40" w:type="dxa"/>
            </w:tcMar>
            <w:vAlign w:val="bottom"/>
          </w:tcPr>
          <w:p w14:paraId="555669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55566939"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69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5556693C"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69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46" w14:textId="77777777">
        <w:trPr>
          <w:jc w:val="center"/>
        </w:trPr>
        <w:tc>
          <w:tcPr>
            <w:tcW w:w="0" w:type="auto"/>
            <w:gridSpan w:val="3"/>
            <w:shd w:val="clear" w:color="auto" w:fill="auto"/>
            <w:tcMar>
              <w:top w:w="40" w:type="dxa"/>
              <w:left w:w="40" w:type="dxa"/>
              <w:bottom w:w="40" w:type="dxa"/>
              <w:right w:w="40" w:type="dxa"/>
            </w:tcMar>
            <w:vAlign w:val="bottom"/>
          </w:tcPr>
          <w:p w14:paraId="555669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4E" w14:textId="77777777">
        <w:trPr>
          <w:jc w:val="center"/>
        </w:trPr>
        <w:tc>
          <w:tcPr>
            <w:tcW w:w="0" w:type="auto"/>
            <w:gridSpan w:val="3"/>
            <w:shd w:val="clear" w:color="auto" w:fill="auto"/>
            <w:tcMar>
              <w:top w:w="40" w:type="dxa"/>
              <w:left w:w="40" w:type="dxa"/>
              <w:bottom w:w="40" w:type="dxa"/>
              <w:right w:w="40" w:type="dxa"/>
            </w:tcMar>
          </w:tcPr>
          <w:p w14:paraId="55566947" w14:textId="77777777" w:rsidR="00F925DD" w:rsidRDefault="00E705D7">
            <w:pPr>
              <w:jc w:val="center"/>
              <w:textAlignment w:val="top"/>
              <w:rPr>
                <w:rFonts w:ascii="Times New Roman" w:hAnsi="Times New Roman"/>
                <w:sz w:val="13"/>
                <w:szCs w:val="13"/>
              </w:rPr>
            </w:pPr>
            <w:r>
              <w:rPr>
                <w:rFonts w:ascii="Arial" w:eastAsia="宋体" w:hAnsi="Arial" w:cs="Arial"/>
                <w:sz w:val="13"/>
                <w:szCs w:val="13"/>
              </w:rPr>
              <w:t xml:space="preserve">Depositary Shares, each representing a 1/4,000th ownership interest in a share of </w:t>
            </w:r>
          </w:p>
        </w:tc>
        <w:tc>
          <w:tcPr>
            <w:tcW w:w="0" w:type="auto"/>
            <w:shd w:val="clear" w:color="auto" w:fill="auto"/>
            <w:tcMar>
              <w:top w:w="40" w:type="dxa"/>
              <w:left w:w="40" w:type="dxa"/>
              <w:bottom w:w="40" w:type="dxa"/>
              <w:right w:w="40" w:type="dxa"/>
            </w:tcMar>
            <w:vAlign w:val="bottom"/>
          </w:tcPr>
          <w:p w14:paraId="555669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55566949" w14:textId="77777777" w:rsidR="00F925DD" w:rsidRDefault="00E705D7">
            <w:pPr>
              <w:jc w:val="center"/>
              <w:textAlignment w:val="center"/>
              <w:rPr>
                <w:rFonts w:ascii="Times New Roman" w:hAnsi="Times New Roman"/>
                <w:sz w:val="13"/>
                <w:szCs w:val="13"/>
              </w:rPr>
            </w:pPr>
            <w:r>
              <w:rPr>
                <w:rFonts w:ascii="Arial" w:eastAsia="宋体" w:hAnsi="Arial" w:cs="Arial"/>
                <w:sz w:val="13"/>
                <w:szCs w:val="13"/>
              </w:rPr>
              <w:t>STT.PRD</w:t>
            </w:r>
          </w:p>
        </w:tc>
        <w:tc>
          <w:tcPr>
            <w:tcW w:w="0" w:type="auto"/>
            <w:shd w:val="clear" w:color="auto" w:fill="auto"/>
            <w:tcMar>
              <w:top w:w="40" w:type="dxa"/>
              <w:left w:w="40" w:type="dxa"/>
              <w:bottom w:w="40" w:type="dxa"/>
              <w:right w:w="40" w:type="dxa"/>
            </w:tcMar>
            <w:vAlign w:val="bottom"/>
          </w:tcPr>
          <w:p w14:paraId="555669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5556694C" w14:textId="77777777" w:rsidR="00F925DD" w:rsidRDefault="00E705D7">
            <w:pPr>
              <w:jc w:val="center"/>
              <w:textAlignment w:val="center"/>
              <w:rPr>
                <w:rFonts w:ascii="Times New Roman" w:hAnsi="Times New Roman"/>
                <w:sz w:val="13"/>
                <w:szCs w:val="13"/>
              </w:rPr>
            </w:pPr>
            <w:r>
              <w:rPr>
                <w:rFonts w:ascii="Arial" w:eastAsia="宋体" w:hAnsi="Arial" w:cs="Arial"/>
                <w:sz w:val="13"/>
                <w:szCs w:val="13"/>
              </w:rPr>
              <w:t>New York Stock Exchange</w:t>
            </w:r>
          </w:p>
        </w:tc>
        <w:tc>
          <w:tcPr>
            <w:tcW w:w="0" w:type="auto"/>
            <w:shd w:val="clear" w:color="auto" w:fill="auto"/>
            <w:tcMar>
              <w:top w:w="40" w:type="dxa"/>
              <w:left w:w="40" w:type="dxa"/>
              <w:bottom w:w="40" w:type="dxa"/>
              <w:right w:w="40" w:type="dxa"/>
            </w:tcMar>
            <w:vAlign w:val="bottom"/>
          </w:tcPr>
          <w:p w14:paraId="555669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56" w14:textId="77777777">
        <w:trPr>
          <w:jc w:val="center"/>
        </w:trPr>
        <w:tc>
          <w:tcPr>
            <w:tcW w:w="0" w:type="auto"/>
            <w:gridSpan w:val="3"/>
            <w:shd w:val="clear" w:color="auto" w:fill="auto"/>
            <w:tcMar>
              <w:top w:w="40" w:type="dxa"/>
              <w:left w:w="40" w:type="dxa"/>
              <w:bottom w:w="40" w:type="dxa"/>
              <w:right w:w="40" w:type="dxa"/>
            </w:tcMar>
            <w:vAlign w:val="bottom"/>
          </w:tcPr>
          <w:p w14:paraId="5556694F" w14:textId="77777777" w:rsidR="00F925DD" w:rsidRDefault="00E705D7">
            <w:pPr>
              <w:jc w:val="center"/>
              <w:textAlignment w:val="bottom"/>
              <w:rPr>
                <w:rFonts w:ascii="Times New Roman" w:hAnsi="Times New Roman"/>
                <w:sz w:val="13"/>
                <w:szCs w:val="13"/>
              </w:rPr>
            </w:pPr>
            <w:r>
              <w:rPr>
                <w:rFonts w:ascii="Arial" w:eastAsia="宋体" w:hAnsi="Arial" w:cs="Arial"/>
                <w:sz w:val="13"/>
                <w:szCs w:val="13"/>
              </w:rPr>
              <w:t>Fixed-to-Floating Rate Non-Cumulative Perpetual Preferred Stock, Series D, without par value per share</w:t>
            </w:r>
          </w:p>
        </w:tc>
        <w:tc>
          <w:tcPr>
            <w:tcW w:w="0" w:type="auto"/>
            <w:shd w:val="clear" w:color="auto" w:fill="auto"/>
            <w:tcMar>
              <w:top w:w="40" w:type="dxa"/>
              <w:left w:w="40" w:type="dxa"/>
              <w:bottom w:w="40" w:type="dxa"/>
              <w:right w:w="40" w:type="dxa"/>
            </w:tcMar>
            <w:vAlign w:val="bottom"/>
          </w:tcPr>
          <w:p w14:paraId="555669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55566951"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69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55566954"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69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5E" w14:textId="77777777">
        <w:trPr>
          <w:jc w:val="center"/>
        </w:trPr>
        <w:tc>
          <w:tcPr>
            <w:tcW w:w="0" w:type="auto"/>
            <w:gridSpan w:val="3"/>
            <w:shd w:val="clear" w:color="auto" w:fill="auto"/>
            <w:tcMar>
              <w:top w:w="40" w:type="dxa"/>
              <w:left w:w="40" w:type="dxa"/>
              <w:bottom w:w="40" w:type="dxa"/>
              <w:right w:w="40" w:type="dxa"/>
            </w:tcMar>
            <w:vAlign w:val="bottom"/>
          </w:tcPr>
          <w:p w14:paraId="555669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66" w14:textId="77777777">
        <w:trPr>
          <w:jc w:val="center"/>
        </w:trPr>
        <w:tc>
          <w:tcPr>
            <w:tcW w:w="0" w:type="auto"/>
            <w:gridSpan w:val="3"/>
            <w:shd w:val="clear" w:color="auto" w:fill="auto"/>
            <w:tcMar>
              <w:top w:w="40" w:type="dxa"/>
              <w:left w:w="40" w:type="dxa"/>
              <w:bottom w:w="40" w:type="dxa"/>
              <w:right w:w="40" w:type="dxa"/>
            </w:tcMar>
          </w:tcPr>
          <w:p w14:paraId="5556695F" w14:textId="77777777" w:rsidR="00F925DD" w:rsidRDefault="00E705D7">
            <w:pPr>
              <w:jc w:val="center"/>
              <w:textAlignment w:val="top"/>
              <w:rPr>
                <w:rFonts w:ascii="Times New Roman" w:hAnsi="Times New Roman"/>
                <w:sz w:val="13"/>
                <w:szCs w:val="13"/>
              </w:rPr>
            </w:pPr>
            <w:r>
              <w:rPr>
                <w:rFonts w:ascii="Arial" w:eastAsia="宋体" w:hAnsi="Arial" w:cs="Arial"/>
                <w:sz w:val="13"/>
                <w:szCs w:val="13"/>
              </w:rPr>
              <w:t xml:space="preserve">Depositary Shares, each representing a 1/4,000th ownership interest in a share of </w:t>
            </w:r>
          </w:p>
        </w:tc>
        <w:tc>
          <w:tcPr>
            <w:tcW w:w="0" w:type="auto"/>
            <w:shd w:val="clear" w:color="auto" w:fill="auto"/>
            <w:tcMar>
              <w:top w:w="40" w:type="dxa"/>
              <w:left w:w="40" w:type="dxa"/>
              <w:bottom w:w="40" w:type="dxa"/>
              <w:right w:w="40" w:type="dxa"/>
            </w:tcMar>
            <w:vAlign w:val="bottom"/>
          </w:tcPr>
          <w:p w14:paraId="555669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55566961" w14:textId="77777777" w:rsidR="00F925DD" w:rsidRDefault="00E705D7">
            <w:pPr>
              <w:jc w:val="center"/>
              <w:textAlignment w:val="center"/>
              <w:rPr>
                <w:rFonts w:ascii="Times New Roman" w:hAnsi="Times New Roman"/>
                <w:sz w:val="13"/>
                <w:szCs w:val="13"/>
              </w:rPr>
            </w:pPr>
            <w:r>
              <w:rPr>
                <w:rFonts w:ascii="Arial" w:eastAsia="宋体" w:hAnsi="Arial" w:cs="Arial"/>
                <w:sz w:val="13"/>
                <w:szCs w:val="13"/>
              </w:rPr>
              <w:t>STT.PRG</w:t>
            </w:r>
          </w:p>
        </w:tc>
        <w:tc>
          <w:tcPr>
            <w:tcW w:w="0" w:type="auto"/>
            <w:shd w:val="clear" w:color="auto" w:fill="auto"/>
            <w:tcMar>
              <w:top w:w="40" w:type="dxa"/>
              <w:left w:w="40" w:type="dxa"/>
              <w:bottom w:w="40" w:type="dxa"/>
              <w:right w:w="40" w:type="dxa"/>
            </w:tcMar>
            <w:vAlign w:val="bottom"/>
          </w:tcPr>
          <w:p w14:paraId="555669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55566964" w14:textId="77777777" w:rsidR="00F925DD" w:rsidRDefault="00E705D7">
            <w:pPr>
              <w:jc w:val="center"/>
              <w:textAlignment w:val="center"/>
              <w:rPr>
                <w:rFonts w:ascii="Times New Roman" w:hAnsi="Times New Roman"/>
                <w:sz w:val="13"/>
                <w:szCs w:val="13"/>
              </w:rPr>
            </w:pPr>
            <w:r>
              <w:rPr>
                <w:rFonts w:ascii="Arial" w:eastAsia="宋体" w:hAnsi="Arial" w:cs="Arial"/>
                <w:sz w:val="13"/>
                <w:szCs w:val="13"/>
              </w:rPr>
              <w:t>New York Stock Exchange</w:t>
            </w:r>
          </w:p>
        </w:tc>
        <w:tc>
          <w:tcPr>
            <w:tcW w:w="0" w:type="auto"/>
            <w:shd w:val="clear" w:color="auto" w:fill="auto"/>
            <w:tcMar>
              <w:top w:w="40" w:type="dxa"/>
              <w:left w:w="40" w:type="dxa"/>
              <w:bottom w:w="40" w:type="dxa"/>
              <w:right w:w="40" w:type="dxa"/>
            </w:tcMar>
            <w:vAlign w:val="bottom"/>
          </w:tcPr>
          <w:p w14:paraId="555669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6E" w14:textId="77777777">
        <w:trPr>
          <w:jc w:val="center"/>
        </w:trPr>
        <w:tc>
          <w:tcPr>
            <w:tcW w:w="0" w:type="auto"/>
            <w:gridSpan w:val="3"/>
            <w:shd w:val="clear" w:color="auto" w:fill="auto"/>
            <w:tcMar>
              <w:top w:w="40" w:type="dxa"/>
              <w:left w:w="40" w:type="dxa"/>
              <w:bottom w:w="40" w:type="dxa"/>
              <w:right w:w="40" w:type="dxa"/>
            </w:tcMar>
            <w:vAlign w:val="bottom"/>
          </w:tcPr>
          <w:p w14:paraId="55566967" w14:textId="77777777" w:rsidR="00F925DD" w:rsidRDefault="00E705D7">
            <w:pPr>
              <w:jc w:val="center"/>
              <w:textAlignment w:val="bottom"/>
              <w:rPr>
                <w:rFonts w:ascii="Times New Roman" w:hAnsi="Times New Roman"/>
                <w:sz w:val="13"/>
                <w:szCs w:val="13"/>
              </w:rPr>
            </w:pPr>
            <w:r>
              <w:rPr>
                <w:rFonts w:ascii="Arial" w:eastAsia="宋体" w:hAnsi="Arial" w:cs="Arial"/>
                <w:sz w:val="13"/>
                <w:szCs w:val="13"/>
              </w:rPr>
              <w:t>Fixed-to-Floating Rate Non-Cumulative Perpetual Preferred Stock, Series G, without par value per share</w:t>
            </w:r>
          </w:p>
        </w:tc>
        <w:tc>
          <w:tcPr>
            <w:tcW w:w="0" w:type="auto"/>
            <w:shd w:val="clear" w:color="auto" w:fill="auto"/>
            <w:tcMar>
              <w:top w:w="40" w:type="dxa"/>
              <w:left w:w="40" w:type="dxa"/>
              <w:bottom w:w="40" w:type="dxa"/>
              <w:right w:w="40" w:type="dxa"/>
            </w:tcMar>
            <w:vAlign w:val="bottom"/>
          </w:tcPr>
          <w:p w14:paraId="555669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55566969"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69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5556696C"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69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696F" w14:textId="77777777" w:rsidR="00F925DD" w:rsidRDefault="00F925DD">
      <w:pPr>
        <w:spacing w:line="288" w:lineRule="auto"/>
        <w:ind w:firstLine="600"/>
        <w:jc w:val="center"/>
        <w:rPr>
          <w:rFonts w:ascii="Times New Roman" w:hAnsi="Times New Roman"/>
          <w:sz w:val="18"/>
          <w:szCs w:val="18"/>
        </w:rPr>
      </w:pPr>
    </w:p>
    <w:p w14:paraId="55566970" w14:textId="77777777" w:rsidR="00F925DD" w:rsidRDefault="00E705D7">
      <w:pPr>
        <w:spacing w:line="288" w:lineRule="auto"/>
        <w:ind w:firstLine="600"/>
        <w:jc w:val="center"/>
        <w:rPr>
          <w:rFonts w:ascii="Times New Roman" w:hAnsi="Times New Roman"/>
          <w:sz w:val="14"/>
          <w:szCs w:val="14"/>
        </w:rPr>
      </w:pPr>
      <w:r>
        <w:rPr>
          <w:rFonts w:ascii="Arial" w:eastAsia="宋体" w:hAnsi="Arial" w:cs="Arial"/>
          <w:b/>
          <w:bCs/>
          <w:sz w:val="14"/>
          <w:szCs w:val="14"/>
        </w:rPr>
        <w:t>Securities registered pursuant to Section 12(g) of the Act:</w:t>
      </w:r>
    </w:p>
    <w:p w14:paraId="55566971" w14:textId="77777777" w:rsidR="00F925DD" w:rsidRDefault="00E705D7">
      <w:pPr>
        <w:spacing w:line="288" w:lineRule="auto"/>
        <w:ind w:firstLine="600"/>
        <w:jc w:val="center"/>
        <w:rPr>
          <w:rFonts w:ascii="Times New Roman" w:hAnsi="Times New Roman"/>
          <w:sz w:val="12"/>
          <w:szCs w:val="12"/>
        </w:rPr>
      </w:pPr>
      <w:r>
        <w:rPr>
          <w:rFonts w:ascii="Arial" w:eastAsia="宋体" w:hAnsi="Arial" w:cs="Arial"/>
          <w:sz w:val="12"/>
          <w:szCs w:val="12"/>
        </w:rPr>
        <w:t>None</w:t>
      </w:r>
    </w:p>
    <w:p w14:paraId="55566972" w14:textId="77777777" w:rsidR="00F925DD" w:rsidRDefault="00E705D7">
      <w:pPr>
        <w:spacing w:line="288" w:lineRule="auto"/>
        <w:ind w:firstLine="600"/>
        <w:rPr>
          <w:rFonts w:ascii="Times New Roman" w:hAnsi="Times New Roman"/>
          <w:sz w:val="13"/>
          <w:szCs w:val="13"/>
        </w:rPr>
      </w:pPr>
      <w:r>
        <w:rPr>
          <w:rFonts w:ascii="Arial" w:eastAsia="宋体" w:hAnsi="Arial" w:cs="Arial"/>
          <w:sz w:val="13"/>
          <w:szCs w:val="13"/>
        </w:rPr>
        <w:t>Indicate by check mark if the registrant is a well-known seasoned issuer, as defined in Rule 405 of the Securities Act.  Yes  </w:t>
      </w:r>
      <w:r>
        <w:rPr>
          <w:rFonts w:ascii="Arial Unicode MS" w:eastAsia="Arial Unicode MS" w:hAnsi="Arial Unicode MS" w:cs="Arial Unicode MS"/>
          <w:sz w:val="13"/>
          <w:szCs w:val="13"/>
        </w:rPr>
        <w:t>☐</w:t>
      </w:r>
      <w:r>
        <w:rPr>
          <w:rFonts w:ascii="Arial" w:eastAsia="宋体" w:hAnsi="Arial" w:cs="Arial"/>
          <w:sz w:val="13"/>
          <w:szCs w:val="13"/>
        </w:rPr>
        <w:t>   No </w:t>
      </w:r>
      <w:r>
        <w:rPr>
          <w:rFonts w:ascii="Arial Unicode MS" w:eastAsia="Arial Unicode MS" w:hAnsi="Arial Unicode MS" w:cs="Arial Unicode MS" w:hint="eastAsia"/>
          <w:sz w:val="13"/>
          <w:szCs w:val="13"/>
        </w:rPr>
        <w:t>☒</w:t>
      </w:r>
    </w:p>
    <w:p w14:paraId="55566973" w14:textId="77777777" w:rsidR="00F925DD" w:rsidRDefault="00E705D7">
      <w:pPr>
        <w:spacing w:line="288" w:lineRule="auto"/>
        <w:ind w:firstLine="600"/>
        <w:rPr>
          <w:rFonts w:ascii="Times New Roman" w:hAnsi="Times New Roman"/>
          <w:sz w:val="13"/>
          <w:szCs w:val="13"/>
        </w:rPr>
      </w:pPr>
      <w:r>
        <w:rPr>
          <w:rFonts w:ascii="Arial" w:eastAsia="宋体" w:hAnsi="Arial" w:cs="Arial"/>
          <w:sz w:val="13"/>
          <w:szCs w:val="13"/>
        </w:rPr>
        <w:lastRenderedPageBreak/>
        <w:t xml:space="preserve">Indicate by check mark if the registrant is not </w:t>
      </w:r>
      <w:r>
        <w:rPr>
          <w:rFonts w:ascii="Arial" w:eastAsia="宋体" w:hAnsi="Arial" w:cs="Arial"/>
          <w:sz w:val="13"/>
          <w:szCs w:val="13"/>
        </w:rPr>
        <w:t>required to file reports pursuant to Section 13 or Section 15(d) of the Act.  Yes  </w:t>
      </w:r>
      <w:r>
        <w:rPr>
          <w:rFonts w:ascii="Arial Unicode MS" w:eastAsia="Arial Unicode MS" w:hAnsi="Arial Unicode MS" w:cs="Arial Unicode MS" w:hint="eastAsia"/>
          <w:sz w:val="13"/>
          <w:szCs w:val="13"/>
        </w:rPr>
        <w:t>☐</w:t>
      </w:r>
      <w:r>
        <w:rPr>
          <w:rFonts w:ascii="Arial" w:eastAsia="宋体" w:hAnsi="Arial" w:cs="Arial"/>
          <w:sz w:val="13"/>
          <w:szCs w:val="13"/>
        </w:rPr>
        <w:t>  No  </w:t>
      </w:r>
      <w:r>
        <w:rPr>
          <w:rFonts w:ascii="Arial Unicode MS" w:eastAsia="Arial Unicode MS" w:hAnsi="Arial Unicode MS" w:cs="Arial Unicode MS" w:hint="eastAsia"/>
          <w:sz w:val="13"/>
          <w:szCs w:val="13"/>
        </w:rPr>
        <w:t>☒</w:t>
      </w:r>
      <w:r>
        <w:rPr>
          <w:rFonts w:ascii="Arial" w:eastAsia="宋体" w:hAnsi="Arial" w:cs="Arial"/>
          <w:sz w:val="13"/>
          <w:szCs w:val="13"/>
        </w:rPr>
        <w:t> </w:t>
      </w:r>
    </w:p>
    <w:p w14:paraId="55566974" w14:textId="77777777" w:rsidR="00F925DD" w:rsidRDefault="00E705D7">
      <w:pPr>
        <w:spacing w:line="288" w:lineRule="auto"/>
        <w:ind w:firstLine="600"/>
        <w:rPr>
          <w:rFonts w:ascii="Times New Roman" w:hAnsi="Times New Roman"/>
          <w:sz w:val="13"/>
          <w:szCs w:val="13"/>
        </w:rPr>
      </w:pPr>
      <w:r>
        <w:rPr>
          <w:rFonts w:ascii="Arial" w:eastAsia="宋体" w:hAnsi="Arial" w:cs="Arial"/>
          <w:sz w:val="13"/>
          <w:szCs w:val="13"/>
        </w:rPr>
        <w:t>Indicate by check mark whether the registrant (1) has filed all reports required to be filed by Section 13 or 15(d) of the Securities Exchange Act of 1934 during t</w:t>
      </w:r>
      <w:r>
        <w:rPr>
          <w:rFonts w:ascii="Arial" w:eastAsia="宋体" w:hAnsi="Arial" w:cs="Arial"/>
          <w:sz w:val="13"/>
          <w:szCs w:val="13"/>
        </w:rPr>
        <w: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sz w:val="13"/>
          <w:szCs w:val="13"/>
        </w:rPr>
        <w:t>☒</w:t>
      </w:r>
      <w:r>
        <w:rPr>
          <w:rFonts w:ascii="Arial" w:eastAsia="宋体" w:hAnsi="Arial" w:cs="Arial"/>
          <w:sz w:val="13"/>
          <w:szCs w:val="13"/>
        </w:rPr>
        <w:t>   No </w:t>
      </w:r>
      <w:r>
        <w:rPr>
          <w:rFonts w:ascii="Arial Unicode MS" w:eastAsia="Arial Unicode MS" w:hAnsi="Arial Unicode MS" w:cs="Arial Unicode MS" w:hint="eastAsia"/>
          <w:sz w:val="13"/>
          <w:szCs w:val="13"/>
        </w:rPr>
        <w:t>☐</w:t>
      </w:r>
    </w:p>
    <w:p w14:paraId="55566975" w14:textId="77777777" w:rsidR="00F925DD" w:rsidRDefault="00E705D7">
      <w:pPr>
        <w:spacing w:line="288" w:lineRule="auto"/>
        <w:ind w:firstLine="600"/>
        <w:rPr>
          <w:rFonts w:ascii="Times New Roman" w:hAnsi="Times New Roman"/>
          <w:sz w:val="13"/>
          <w:szCs w:val="13"/>
        </w:rPr>
      </w:pPr>
      <w:r>
        <w:rPr>
          <w:rFonts w:ascii="Arial" w:eastAsia="宋体" w:hAnsi="Arial" w:cs="Arial"/>
          <w:sz w:val="13"/>
          <w:szCs w:val="13"/>
        </w:rPr>
        <w:t xml:space="preserve">Indicate by check mark whether the registrant has submitted </w:t>
      </w:r>
      <w:r>
        <w:rPr>
          <w:rFonts w:ascii="Arial" w:eastAsia="宋体" w:hAnsi="Arial" w:cs="Arial"/>
          <w:sz w:val="13"/>
          <w:szCs w:val="13"/>
        </w:rPr>
        <w:t>electronically every Interactive Data File required to be submitted pursuant to Rule 405 of Regulation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sz w:val="13"/>
          <w:szCs w:val="13"/>
        </w:rPr>
        <w:t>☒</w:t>
      </w:r>
      <w:r>
        <w:rPr>
          <w:rFonts w:ascii="Arial" w:eastAsia="宋体" w:hAnsi="Arial" w:cs="Arial"/>
          <w:sz w:val="13"/>
          <w:szCs w:val="13"/>
        </w:rPr>
        <w:t>   No </w:t>
      </w:r>
      <w:r>
        <w:rPr>
          <w:rFonts w:ascii="Arial Unicode MS" w:eastAsia="Arial Unicode MS" w:hAnsi="Arial Unicode MS" w:cs="Arial Unicode MS" w:hint="eastAsia"/>
          <w:sz w:val="13"/>
          <w:szCs w:val="13"/>
        </w:rPr>
        <w:t>☐</w:t>
      </w:r>
    </w:p>
    <w:p w14:paraId="55566976" w14:textId="77777777" w:rsidR="00F925DD" w:rsidRDefault="00E705D7">
      <w:pPr>
        <w:spacing w:line="288" w:lineRule="auto"/>
        <w:ind w:firstLine="600"/>
        <w:rPr>
          <w:rFonts w:ascii="Times New Roman" w:hAnsi="Times New Roman"/>
          <w:sz w:val="20"/>
          <w:szCs w:val="20"/>
        </w:rPr>
      </w:pPr>
      <w:r>
        <w:rPr>
          <w:rFonts w:ascii="Arial" w:eastAsia="宋体" w:hAnsi="Arial" w:cs="Arial"/>
          <w:sz w:val="13"/>
          <w:szCs w:val="13"/>
        </w:rPr>
        <w:t>Indicate by check mark whether the registrant is a large accelerated filer, an accelerated filer, a non-accelerated filer, a smaller reporting company, or an emerging growth company. See the definitions of "large accelerated filer", "accelerated f</w:t>
      </w:r>
      <w:r>
        <w:rPr>
          <w:rFonts w:ascii="Arial" w:eastAsia="宋体" w:hAnsi="Arial" w:cs="Arial"/>
          <w:sz w:val="13"/>
          <w:szCs w:val="13"/>
        </w:rPr>
        <w:t>iler", "smaller reporting company", and "emerging growth company" in Rule 12b-2 of the Exchange Act.</w:t>
      </w:r>
      <w:r>
        <w:rPr>
          <w:rFonts w:ascii="Arial" w:eastAsia="宋体" w:hAnsi="Arial" w:cs="Arial"/>
          <w:sz w:val="12"/>
          <w:szCs w:val="12"/>
        </w:rPr>
        <w:t xml:space="preserve"> </w:t>
      </w:r>
    </w:p>
    <w:tbl>
      <w:tblPr>
        <w:tblW w:w="4891" w:type="pct"/>
        <w:tblCellMar>
          <w:left w:w="0" w:type="dxa"/>
          <w:right w:w="0" w:type="dxa"/>
        </w:tblCellMar>
        <w:tblLook w:val="04A0" w:firstRow="1" w:lastRow="0" w:firstColumn="1" w:lastColumn="0" w:noHBand="0" w:noVBand="1"/>
      </w:tblPr>
      <w:tblGrid>
        <w:gridCol w:w="1444"/>
        <w:gridCol w:w="225"/>
        <w:gridCol w:w="225"/>
        <w:gridCol w:w="1444"/>
        <w:gridCol w:w="201"/>
        <w:gridCol w:w="145"/>
        <w:gridCol w:w="1770"/>
        <w:gridCol w:w="307"/>
        <w:gridCol w:w="307"/>
        <w:gridCol w:w="1831"/>
        <w:gridCol w:w="226"/>
      </w:tblGrid>
      <w:tr w:rsidR="00F925DD" w14:paraId="55566978" w14:textId="77777777">
        <w:tc>
          <w:tcPr>
            <w:tcW w:w="0" w:type="auto"/>
            <w:gridSpan w:val="11"/>
            <w:shd w:val="clear" w:color="auto" w:fill="auto"/>
            <w:vAlign w:val="center"/>
          </w:tcPr>
          <w:p w14:paraId="55566977" w14:textId="77777777" w:rsidR="00F925DD" w:rsidRDefault="00F925DD">
            <w:pPr>
              <w:rPr>
                <w:rFonts w:ascii="Times New Roman" w:hAnsi="Times New Roman"/>
                <w:sz w:val="20"/>
                <w:szCs w:val="20"/>
              </w:rPr>
            </w:pPr>
          </w:p>
        </w:tc>
      </w:tr>
      <w:tr w:rsidR="00F925DD" w14:paraId="55566984" w14:textId="77777777">
        <w:tc>
          <w:tcPr>
            <w:tcW w:w="900" w:type="pct"/>
            <w:shd w:val="clear" w:color="auto" w:fill="auto"/>
            <w:vAlign w:val="center"/>
          </w:tcPr>
          <w:p w14:paraId="55566979" w14:textId="77777777" w:rsidR="00F925DD" w:rsidRDefault="00F925DD">
            <w:pPr>
              <w:rPr>
                <w:rFonts w:ascii="Times New Roman" w:hAnsi="Times New Roman"/>
                <w:sz w:val="20"/>
                <w:szCs w:val="20"/>
              </w:rPr>
            </w:pPr>
          </w:p>
        </w:tc>
        <w:tc>
          <w:tcPr>
            <w:tcW w:w="150" w:type="pct"/>
            <w:shd w:val="clear" w:color="auto" w:fill="auto"/>
            <w:vAlign w:val="center"/>
          </w:tcPr>
          <w:p w14:paraId="5556697A" w14:textId="77777777" w:rsidR="00F925DD" w:rsidRDefault="00F925DD">
            <w:pPr>
              <w:rPr>
                <w:rFonts w:ascii="Times New Roman" w:hAnsi="Times New Roman"/>
                <w:sz w:val="20"/>
                <w:szCs w:val="20"/>
              </w:rPr>
            </w:pPr>
          </w:p>
        </w:tc>
        <w:tc>
          <w:tcPr>
            <w:tcW w:w="150" w:type="pct"/>
            <w:shd w:val="clear" w:color="auto" w:fill="auto"/>
            <w:vAlign w:val="center"/>
          </w:tcPr>
          <w:p w14:paraId="5556697B" w14:textId="77777777" w:rsidR="00F925DD" w:rsidRDefault="00F925DD">
            <w:pPr>
              <w:rPr>
                <w:rFonts w:ascii="Times New Roman" w:hAnsi="Times New Roman"/>
                <w:sz w:val="20"/>
                <w:szCs w:val="20"/>
              </w:rPr>
            </w:pPr>
          </w:p>
        </w:tc>
        <w:tc>
          <w:tcPr>
            <w:tcW w:w="900" w:type="pct"/>
            <w:shd w:val="clear" w:color="auto" w:fill="auto"/>
            <w:vAlign w:val="center"/>
          </w:tcPr>
          <w:p w14:paraId="5556697C" w14:textId="77777777" w:rsidR="00F925DD" w:rsidRDefault="00F925DD">
            <w:pPr>
              <w:rPr>
                <w:rFonts w:ascii="Times New Roman" w:hAnsi="Times New Roman"/>
                <w:sz w:val="20"/>
                <w:szCs w:val="20"/>
              </w:rPr>
            </w:pPr>
          </w:p>
        </w:tc>
        <w:tc>
          <w:tcPr>
            <w:tcW w:w="100" w:type="pct"/>
            <w:shd w:val="clear" w:color="auto" w:fill="auto"/>
            <w:vAlign w:val="center"/>
          </w:tcPr>
          <w:p w14:paraId="5556697D" w14:textId="77777777" w:rsidR="00F925DD" w:rsidRDefault="00F925DD">
            <w:pPr>
              <w:rPr>
                <w:rFonts w:ascii="Times New Roman" w:hAnsi="Times New Roman"/>
                <w:sz w:val="20"/>
                <w:szCs w:val="20"/>
              </w:rPr>
            </w:pPr>
          </w:p>
        </w:tc>
        <w:tc>
          <w:tcPr>
            <w:tcW w:w="100" w:type="pct"/>
            <w:shd w:val="clear" w:color="auto" w:fill="auto"/>
            <w:vAlign w:val="center"/>
          </w:tcPr>
          <w:p w14:paraId="5556697E" w14:textId="77777777" w:rsidR="00F925DD" w:rsidRDefault="00F925DD">
            <w:pPr>
              <w:rPr>
                <w:rFonts w:ascii="Times New Roman" w:hAnsi="Times New Roman"/>
                <w:sz w:val="20"/>
                <w:szCs w:val="20"/>
              </w:rPr>
            </w:pPr>
          </w:p>
        </w:tc>
        <w:tc>
          <w:tcPr>
            <w:tcW w:w="1100" w:type="pct"/>
            <w:shd w:val="clear" w:color="auto" w:fill="auto"/>
            <w:vAlign w:val="center"/>
          </w:tcPr>
          <w:p w14:paraId="5556697F" w14:textId="77777777" w:rsidR="00F925DD" w:rsidRDefault="00F925DD">
            <w:pPr>
              <w:rPr>
                <w:rFonts w:ascii="Times New Roman" w:hAnsi="Times New Roman"/>
                <w:sz w:val="20"/>
                <w:szCs w:val="20"/>
              </w:rPr>
            </w:pPr>
          </w:p>
        </w:tc>
        <w:tc>
          <w:tcPr>
            <w:tcW w:w="200" w:type="pct"/>
            <w:shd w:val="clear" w:color="auto" w:fill="auto"/>
            <w:vAlign w:val="center"/>
          </w:tcPr>
          <w:p w14:paraId="55566980" w14:textId="77777777" w:rsidR="00F925DD" w:rsidRDefault="00F925DD">
            <w:pPr>
              <w:rPr>
                <w:rFonts w:ascii="Times New Roman" w:hAnsi="Times New Roman"/>
                <w:sz w:val="20"/>
                <w:szCs w:val="20"/>
              </w:rPr>
            </w:pPr>
          </w:p>
        </w:tc>
        <w:tc>
          <w:tcPr>
            <w:tcW w:w="200" w:type="pct"/>
            <w:shd w:val="clear" w:color="auto" w:fill="auto"/>
            <w:vAlign w:val="center"/>
          </w:tcPr>
          <w:p w14:paraId="55566981" w14:textId="77777777" w:rsidR="00F925DD" w:rsidRDefault="00F925DD">
            <w:pPr>
              <w:rPr>
                <w:rFonts w:ascii="Times New Roman" w:hAnsi="Times New Roman"/>
                <w:sz w:val="20"/>
                <w:szCs w:val="20"/>
              </w:rPr>
            </w:pPr>
          </w:p>
        </w:tc>
        <w:tc>
          <w:tcPr>
            <w:tcW w:w="1050" w:type="pct"/>
            <w:shd w:val="clear" w:color="auto" w:fill="auto"/>
            <w:vAlign w:val="center"/>
          </w:tcPr>
          <w:p w14:paraId="55566982" w14:textId="77777777" w:rsidR="00F925DD" w:rsidRDefault="00F925DD">
            <w:pPr>
              <w:rPr>
                <w:rFonts w:ascii="Times New Roman" w:hAnsi="Times New Roman"/>
                <w:sz w:val="20"/>
                <w:szCs w:val="20"/>
              </w:rPr>
            </w:pPr>
          </w:p>
        </w:tc>
        <w:tc>
          <w:tcPr>
            <w:tcW w:w="150" w:type="pct"/>
            <w:shd w:val="clear" w:color="auto" w:fill="auto"/>
            <w:vAlign w:val="center"/>
          </w:tcPr>
          <w:p w14:paraId="55566983" w14:textId="77777777" w:rsidR="00F925DD" w:rsidRDefault="00F925DD">
            <w:pPr>
              <w:rPr>
                <w:rFonts w:ascii="Times New Roman" w:hAnsi="Times New Roman"/>
                <w:sz w:val="20"/>
                <w:szCs w:val="20"/>
              </w:rPr>
            </w:pPr>
          </w:p>
        </w:tc>
      </w:tr>
      <w:tr w:rsidR="00F925DD" w14:paraId="55566991" w14:textId="77777777">
        <w:tc>
          <w:tcPr>
            <w:tcW w:w="0" w:type="auto"/>
            <w:shd w:val="clear" w:color="auto" w:fill="auto"/>
            <w:tcMar>
              <w:top w:w="40" w:type="dxa"/>
              <w:left w:w="240" w:type="dxa"/>
              <w:bottom w:w="40" w:type="dxa"/>
              <w:right w:w="40" w:type="dxa"/>
            </w:tcMar>
            <w:vAlign w:val="bottom"/>
          </w:tcPr>
          <w:p w14:paraId="55566985" w14:textId="77777777" w:rsidR="00F925DD" w:rsidRDefault="00E705D7">
            <w:pPr>
              <w:textAlignment w:val="bottom"/>
              <w:rPr>
                <w:rFonts w:ascii="Times New Roman" w:hAnsi="Times New Roman"/>
                <w:sz w:val="14"/>
                <w:szCs w:val="14"/>
              </w:rPr>
            </w:pPr>
            <w:r>
              <w:rPr>
                <w:rFonts w:ascii="Arial" w:eastAsia="宋体" w:hAnsi="Arial" w:cs="Arial"/>
                <w:sz w:val="14"/>
                <w:szCs w:val="14"/>
              </w:rPr>
              <w:t>Large accelerated filer</w:t>
            </w:r>
          </w:p>
        </w:tc>
        <w:tc>
          <w:tcPr>
            <w:tcW w:w="0" w:type="auto"/>
            <w:shd w:val="clear" w:color="auto" w:fill="auto"/>
            <w:tcMar>
              <w:top w:w="40" w:type="dxa"/>
              <w:left w:w="40" w:type="dxa"/>
              <w:bottom w:w="40" w:type="dxa"/>
              <w:right w:w="40" w:type="dxa"/>
            </w:tcMar>
            <w:vAlign w:val="bottom"/>
          </w:tcPr>
          <w:p w14:paraId="5556698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p w14:paraId="55566987" w14:textId="77777777" w:rsidR="00F925DD" w:rsidRDefault="00F925DD">
            <w:pPr>
              <w:textAlignment w:val="bottom"/>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555669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89" w14:textId="77777777" w:rsidR="00F925DD" w:rsidRDefault="00E705D7">
            <w:pPr>
              <w:textAlignment w:val="bottom"/>
              <w:rPr>
                <w:rFonts w:ascii="Times New Roman" w:hAnsi="Times New Roman"/>
                <w:sz w:val="14"/>
                <w:szCs w:val="14"/>
              </w:rPr>
            </w:pPr>
            <w:r>
              <w:rPr>
                <w:rFonts w:ascii="Arial" w:eastAsia="宋体" w:hAnsi="Arial" w:cs="Arial"/>
                <w:sz w:val="14"/>
                <w:szCs w:val="14"/>
              </w:rPr>
              <w:t>Accelerated filer </w:t>
            </w:r>
          </w:p>
        </w:tc>
        <w:tc>
          <w:tcPr>
            <w:tcW w:w="0" w:type="auto"/>
            <w:shd w:val="clear" w:color="auto" w:fill="auto"/>
            <w:tcMar>
              <w:top w:w="40" w:type="dxa"/>
              <w:left w:w="40" w:type="dxa"/>
              <w:bottom w:w="40" w:type="dxa"/>
              <w:right w:w="40" w:type="dxa"/>
            </w:tcMar>
            <w:vAlign w:val="bottom"/>
          </w:tcPr>
          <w:p w14:paraId="5556698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69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8C" w14:textId="77777777" w:rsidR="00F925DD" w:rsidRDefault="00E705D7">
            <w:pPr>
              <w:textAlignment w:val="bottom"/>
              <w:rPr>
                <w:rFonts w:ascii="Times New Roman" w:hAnsi="Times New Roman"/>
                <w:sz w:val="14"/>
                <w:szCs w:val="14"/>
              </w:rPr>
            </w:pPr>
            <w:r>
              <w:rPr>
                <w:rFonts w:ascii="Arial" w:eastAsia="宋体" w:hAnsi="Arial" w:cs="Arial"/>
                <w:sz w:val="14"/>
                <w:szCs w:val="14"/>
              </w:rPr>
              <w:t>Non-accelerated filer  </w:t>
            </w:r>
          </w:p>
        </w:tc>
        <w:tc>
          <w:tcPr>
            <w:tcW w:w="0" w:type="auto"/>
            <w:shd w:val="clear" w:color="auto" w:fill="auto"/>
            <w:tcMar>
              <w:top w:w="40" w:type="dxa"/>
              <w:left w:w="40" w:type="dxa"/>
              <w:bottom w:w="40" w:type="dxa"/>
              <w:right w:w="40" w:type="dxa"/>
            </w:tcMar>
            <w:vAlign w:val="bottom"/>
          </w:tcPr>
          <w:p w14:paraId="5556698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69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8F" w14:textId="77777777" w:rsidR="00F925DD" w:rsidRDefault="00E705D7">
            <w:pPr>
              <w:textAlignment w:val="bottom"/>
              <w:rPr>
                <w:rFonts w:ascii="Times New Roman" w:hAnsi="Times New Roman"/>
                <w:sz w:val="14"/>
                <w:szCs w:val="14"/>
              </w:rPr>
            </w:pPr>
            <w:r>
              <w:rPr>
                <w:rFonts w:ascii="Arial" w:eastAsia="宋体" w:hAnsi="Arial" w:cs="Arial"/>
                <w:sz w:val="14"/>
                <w:szCs w:val="14"/>
              </w:rPr>
              <w:t>Smaller reporting company  </w:t>
            </w:r>
          </w:p>
        </w:tc>
        <w:tc>
          <w:tcPr>
            <w:tcW w:w="0" w:type="auto"/>
            <w:shd w:val="clear" w:color="auto" w:fill="auto"/>
            <w:tcMar>
              <w:top w:w="40" w:type="dxa"/>
              <w:left w:w="40" w:type="dxa"/>
              <w:bottom w:w="40" w:type="dxa"/>
              <w:right w:w="40" w:type="dxa"/>
            </w:tcMar>
            <w:vAlign w:val="bottom"/>
          </w:tcPr>
          <w:p w14:paraId="5556699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699A" w14:textId="77777777">
        <w:tc>
          <w:tcPr>
            <w:tcW w:w="0" w:type="auto"/>
            <w:shd w:val="clear" w:color="auto" w:fill="auto"/>
            <w:tcMar>
              <w:top w:w="40" w:type="dxa"/>
              <w:left w:w="240" w:type="dxa"/>
              <w:bottom w:w="40" w:type="dxa"/>
              <w:right w:w="40" w:type="dxa"/>
            </w:tcMar>
            <w:vAlign w:val="bottom"/>
          </w:tcPr>
          <w:p w14:paraId="55566992"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Emerging growth </w:t>
            </w:r>
            <w:r>
              <w:rPr>
                <w:rFonts w:ascii="Arial" w:eastAsia="宋体" w:hAnsi="Arial" w:cs="Arial"/>
                <w:sz w:val="14"/>
                <w:szCs w:val="14"/>
              </w:rPr>
              <w:t>company </w:t>
            </w:r>
          </w:p>
        </w:tc>
        <w:tc>
          <w:tcPr>
            <w:tcW w:w="0" w:type="auto"/>
            <w:shd w:val="clear" w:color="auto" w:fill="auto"/>
            <w:tcMar>
              <w:top w:w="40" w:type="dxa"/>
              <w:left w:w="40" w:type="dxa"/>
              <w:bottom w:w="40" w:type="dxa"/>
              <w:right w:w="40" w:type="dxa"/>
            </w:tcMar>
            <w:vAlign w:val="bottom"/>
          </w:tcPr>
          <w:p w14:paraId="5556699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69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
            <w:shd w:val="clear" w:color="auto" w:fill="auto"/>
            <w:tcMar>
              <w:top w:w="40" w:type="dxa"/>
              <w:left w:w="40" w:type="dxa"/>
              <w:bottom w:w="40" w:type="dxa"/>
              <w:right w:w="40" w:type="dxa"/>
            </w:tcMar>
            <w:vAlign w:val="bottom"/>
          </w:tcPr>
          <w:p w14:paraId="555669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699B" w14:textId="77777777" w:rsidR="00F925DD" w:rsidRDefault="00E705D7">
      <w:pPr>
        <w:spacing w:line="288" w:lineRule="auto"/>
        <w:ind w:firstLine="600"/>
        <w:rPr>
          <w:rFonts w:ascii="Times New Roman" w:hAnsi="Times New Roman"/>
          <w:sz w:val="13"/>
          <w:szCs w:val="13"/>
        </w:rPr>
      </w:pPr>
      <w:r>
        <w:rPr>
          <w:rFonts w:ascii="Arial" w:eastAsia="宋体" w:hAnsi="Arial" w:cs="Arial"/>
          <w:sz w:val="13"/>
          <w:szCs w:val="13"/>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sz w:val="13"/>
          <w:szCs w:val="13"/>
        </w:rPr>
        <w:t>¨</w:t>
      </w:r>
    </w:p>
    <w:p w14:paraId="5556699C" w14:textId="77777777" w:rsidR="00F925DD" w:rsidRDefault="00E705D7">
      <w:pPr>
        <w:spacing w:line="288" w:lineRule="auto"/>
        <w:ind w:firstLine="600"/>
        <w:jc w:val="both"/>
        <w:rPr>
          <w:rFonts w:ascii="Times New Roman" w:hAnsi="Times New Roman"/>
          <w:sz w:val="13"/>
          <w:szCs w:val="13"/>
        </w:rPr>
      </w:pPr>
      <w:r>
        <w:rPr>
          <w:rFonts w:ascii="Arial" w:eastAsia="宋体" w:hAnsi="Arial" w:cs="Arial"/>
          <w:sz w:val="13"/>
          <w:szCs w:val="13"/>
        </w:rPr>
        <w:t>Ind</w:t>
      </w:r>
      <w:r>
        <w:rPr>
          <w:rFonts w:ascii="Arial" w:eastAsia="宋体" w:hAnsi="Arial" w:cs="Arial"/>
          <w:sz w:val="13"/>
          <w:szCs w:val="13"/>
        </w:rPr>
        <w:t xml:space="preserve">icate by check mark whether the registrant is a shell company (as defined in Rule 12b-2 of the Act). </w:t>
      </w:r>
      <w:r>
        <w:rPr>
          <w:rFonts w:ascii="Arial Unicode MS" w:eastAsia="Arial Unicode MS" w:hAnsi="Arial Unicode MS" w:cs="Arial Unicode MS" w:hint="eastAsia"/>
          <w:sz w:val="13"/>
          <w:szCs w:val="13"/>
        </w:rPr>
        <w:t>☐</w:t>
      </w:r>
      <w:r>
        <w:rPr>
          <w:rFonts w:ascii="Arial" w:eastAsia="宋体" w:hAnsi="Arial" w:cs="Arial"/>
          <w:sz w:val="13"/>
          <w:szCs w:val="13"/>
        </w:rPr>
        <w:t xml:space="preserve"> </w:t>
      </w:r>
    </w:p>
    <w:p w14:paraId="5556699D" w14:textId="77777777" w:rsidR="00F925DD" w:rsidRDefault="00E705D7">
      <w:pPr>
        <w:spacing w:line="288" w:lineRule="auto"/>
        <w:ind w:firstLine="600"/>
        <w:rPr>
          <w:rFonts w:ascii="Times New Roman" w:hAnsi="Times New Roman"/>
          <w:sz w:val="13"/>
          <w:szCs w:val="13"/>
        </w:rPr>
      </w:pPr>
      <w:r>
        <w:rPr>
          <w:rFonts w:ascii="Arial" w:eastAsia="宋体" w:hAnsi="Arial" w:cs="Arial"/>
          <w:sz w:val="13"/>
          <w:szCs w:val="13"/>
        </w:rPr>
        <w:t>The aggregate market value of the voting and non-voting common equity held by non-affiliates computed by reference to the per share price ($56.06) at wh</w:t>
      </w:r>
      <w:r>
        <w:rPr>
          <w:rFonts w:ascii="Arial" w:eastAsia="宋体" w:hAnsi="Arial" w:cs="Arial"/>
          <w:sz w:val="13"/>
          <w:szCs w:val="13"/>
        </w:rPr>
        <w:t xml:space="preserve">ich the common equity was last sold as of the last business day of the registrant’s most recently completed second fiscal quarter (June 30, 2019) was approximately $20.81 billion. </w:t>
      </w:r>
    </w:p>
    <w:p w14:paraId="5556699E" w14:textId="77777777" w:rsidR="00F925DD" w:rsidRDefault="00E705D7">
      <w:pPr>
        <w:spacing w:line="288" w:lineRule="auto"/>
        <w:ind w:firstLine="600"/>
        <w:rPr>
          <w:rFonts w:ascii="Times New Roman" w:hAnsi="Times New Roman"/>
          <w:sz w:val="13"/>
          <w:szCs w:val="13"/>
        </w:rPr>
      </w:pPr>
      <w:r>
        <w:rPr>
          <w:rFonts w:ascii="Arial" w:eastAsia="宋体" w:hAnsi="Arial" w:cs="Arial"/>
          <w:sz w:val="13"/>
          <w:szCs w:val="13"/>
        </w:rPr>
        <w:t>The number of shares of the registrant’s common stock outstanding as of Jan</w:t>
      </w:r>
      <w:r>
        <w:rPr>
          <w:rFonts w:ascii="Arial" w:eastAsia="宋体" w:hAnsi="Arial" w:cs="Arial"/>
          <w:sz w:val="13"/>
          <w:szCs w:val="13"/>
        </w:rPr>
        <w:t>uary 31, 2020 was 354,342,408.</w:t>
      </w:r>
    </w:p>
    <w:p w14:paraId="5556699F" w14:textId="77777777" w:rsidR="00F925DD" w:rsidRDefault="00E705D7">
      <w:pPr>
        <w:spacing w:line="288" w:lineRule="auto"/>
        <w:ind w:firstLine="600"/>
        <w:rPr>
          <w:rFonts w:ascii="Times New Roman" w:hAnsi="Times New Roman"/>
          <w:sz w:val="13"/>
          <w:szCs w:val="13"/>
        </w:rPr>
      </w:pPr>
      <w:r>
        <w:rPr>
          <w:rFonts w:ascii="Arial" w:eastAsia="宋体" w:hAnsi="Arial" w:cs="Arial"/>
          <w:sz w:val="13"/>
          <w:szCs w:val="13"/>
        </w:rPr>
        <w:t>Portions of the following documents are incorporated by reference into Parts of this Report on Form 10-K, to the extent noted in such Parts, as indicated below:</w:t>
      </w:r>
    </w:p>
    <w:p w14:paraId="555669A0" w14:textId="77777777" w:rsidR="00F925DD" w:rsidRDefault="00E705D7">
      <w:pPr>
        <w:spacing w:line="288" w:lineRule="auto"/>
        <w:ind w:firstLine="600"/>
        <w:rPr>
          <w:rFonts w:ascii="Times New Roman" w:hAnsi="Times New Roman"/>
          <w:sz w:val="13"/>
          <w:szCs w:val="13"/>
        </w:rPr>
      </w:pPr>
      <w:r>
        <w:rPr>
          <w:rFonts w:ascii="Arial" w:eastAsia="宋体" w:hAnsi="Arial" w:cs="Arial"/>
          <w:sz w:val="13"/>
          <w:szCs w:val="13"/>
        </w:rPr>
        <w:t>(1) The registrant’s definitive Proxy Statement for the 2020 Ann</w:t>
      </w:r>
      <w:r>
        <w:rPr>
          <w:rFonts w:ascii="Arial" w:eastAsia="宋体" w:hAnsi="Arial" w:cs="Arial"/>
          <w:sz w:val="13"/>
          <w:szCs w:val="13"/>
        </w:rPr>
        <w:t>ual Meeting of Shareholders to be filed pursuant to Regulation 14A on or before April 29, 2020 (Part III).</w:t>
      </w:r>
    </w:p>
    <w:tbl>
      <w:tblPr>
        <w:tblW w:w="5000" w:type="pct"/>
        <w:tblCellMar>
          <w:left w:w="0" w:type="dxa"/>
          <w:right w:w="0" w:type="dxa"/>
        </w:tblCellMar>
        <w:tblLook w:val="04A0" w:firstRow="1" w:lastRow="0" w:firstColumn="1" w:lastColumn="0" w:noHBand="0" w:noVBand="1"/>
      </w:tblPr>
      <w:tblGrid>
        <w:gridCol w:w="8306"/>
      </w:tblGrid>
      <w:tr w:rsidR="00F925DD" w14:paraId="555669A2" w14:textId="77777777">
        <w:tc>
          <w:tcPr>
            <w:tcW w:w="0" w:type="auto"/>
            <w:shd w:val="clear" w:color="auto" w:fill="auto"/>
            <w:vAlign w:val="center"/>
          </w:tcPr>
          <w:p w14:paraId="555669A1" w14:textId="77777777" w:rsidR="00F925DD" w:rsidRDefault="00F925DD">
            <w:pPr>
              <w:rPr>
                <w:rFonts w:ascii="Times New Roman" w:hAnsi="Times New Roman"/>
                <w:sz w:val="20"/>
                <w:szCs w:val="20"/>
              </w:rPr>
            </w:pPr>
          </w:p>
        </w:tc>
      </w:tr>
      <w:tr w:rsidR="00F925DD" w14:paraId="555669A4" w14:textId="77777777">
        <w:tc>
          <w:tcPr>
            <w:tcW w:w="5000" w:type="pct"/>
            <w:shd w:val="clear" w:color="auto" w:fill="auto"/>
            <w:vAlign w:val="center"/>
          </w:tcPr>
          <w:p w14:paraId="555669A3" w14:textId="77777777" w:rsidR="00F925DD" w:rsidRDefault="00F925DD">
            <w:pPr>
              <w:rPr>
                <w:rFonts w:ascii="Times New Roman" w:hAnsi="Times New Roman"/>
                <w:sz w:val="20"/>
                <w:szCs w:val="20"/>
              </w:rPr>
            </w:pPr>
          </w:p>
        </w:tc>
      </w:tr>
      <w:tr w:rsidR="00F925DD" w14:paraId="555669A6"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69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69A7" w14:textId="77777777" w:rsidR="00F925DD" w:rsidRDefault="00F925DD">
      <w:pPr>
        <w:spacing w:line="288" w:lineRule="auto"/>
        <w:ind w:firstLine="600"/>
        <w:rPr>
          <w:rFonts w:ascii="Times New Roman" w:hAnsi="Times New Roman"/>
          <w:sz w:val="20"/>
          <w:szCs w:val="20"/>
        </w:rPr>
      </w:pPr>
    </w:p>
    <w:p w14:paraId="555669A8" w14:textId="77777777" w:rsidR="00F925DD" w:rsidRDefault="00F925DD">
      <w:pPr>
        <w:rPr>
          <w:rFonts w:ascii="Times New Roman" w:hAnsi="Times New Roman"/>
          <w:sz w:val="20"/>
          <w:szCs w:val="20"/>
        </w:rPr>
      </w:pPr>
    </w:p>
    <w:p w14:paraId="555669A9" w14:textId="77777777" w:rsidR="00F925DD" w:rsidRDefault="00E705D7">
      <w:r>
        <w:rPr>
          <w:rFonts w:ascii="Times New Roman" w:hAnsi="Times New Roman"/>
          <w:sz w:val="20"/>
          <w:szCs w:val="20"/>
        </w:rPr>
        <w:pict w14:anchorId="55570639">
          <v:rect id="_x0000_i1025" style="width:415.3pt;height:1.5pt" o:hralign="center" o:hrstd="t" o:hr="t" fillcolor="#a0a0a0" stroked="f"/>
        </w:pict>
      </w:r>
    </w:p>
    <w:p w14:paraId="555669AA" w14:textId="77777777" w:rsidR="00F925DD" w:rsidRDefault="00F925DD">
      <w:pPr>
        <w:rPr>
          <w:rFonts w:ascii="Times New Roman" w:hAnsi="Times New Roman"/>
          <w:sz w:val="20"/>
          <w:szCs w:val="20"/>
        </w:rPr>
      </w:pPr>
    </w:p>
    <w:p w14:paraId="555669A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69A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ANNUAL REPORT ON FORM 10-K FOR THE YEAR ENDED</w:t>
      </w:r>
    </w:p>
    <w:p w14:paraId="555669A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December 31, 2019 </w:t>
      </w:r>
    </w:p>
    <w:p w14:paraId="555669AE" w14:textId="77777777" w:rsidR="00F925DD" w:rsidRDefault="00F925DD">
      <w:pPr>
        <w:spacing w:line="288" w:lineRule="auto"/>
        <w:ind w:firstLine="600"/>
        <w:jc w:val="center"/>
        <w:rPr>
          <w:rFonts w:ascii="Times New Roman" w:hAnsi="Times New Roman"/>
          <w:sz w:val="20"/>
          <w:szCs w:val="20"/>
        </w:rPr>
      </w:pPr>
    </w:p>
    <w:p w14:paraId="555669A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TABLE OF CONTENTS</w:t>
      </w:r>
    </w:p>
    <w:tbl>
      <w:tblPr>
        <w:tblW w:w="5000" w:type="pct"/>
        <w:tblCellMar>
          <w:left w:w="0" w:type="dxa"/>
          <w:right w:w="0" w:type="dxa"/>
        </w:tblCellMar>
        <w:tblLook w:val="04A0" w:firstRow="1" w:lastRow="0" w:firstColumn="1" w:lastColumn="0" w:noHBand="0" w:noVBand="1"/>
      </w:tblPr>
      <w:tblGrid>
        <w:gridCol w:w="1504"/>
        <w:gridCol w:w="6058"/>
        <w:gridCol w:w="744"/>
      </w:tblGrid>
      <w:tr w:rsidR="00F925DD" w14:paraId="555669B1" w14:textId="77777777">
        <w:tc>
          <w:tcPr>
            <w:tcW w:w="0" w:type="auto"/>
            <w:gridSpan w:val="3"/>
            <w:shd w:val="clear" w:color="auto" w:fill="auto"/>
            <w:vAlign w:val="center"/>
          </w:tcPr>
          <w:p w14:paraId="555669B0" w14:textId="77777777" w:rsidR="00F925DD" w:rsidRDefault="00F925DD">
            <w:pPr>
              <w:rPr>
                <w:rFonts w:ascii="Times New Roman" w:hAnsi="Times New Roman"/>
                <w:sz w:val="20"/>
                <w:szCs w:val="20"/>
              </w:rPr>
            </w:pPr>
          </w:p>
        </w:tc>
      </w:tr>
      <w:tr w:rsidR="00F925DD" w14:paraId="555669B5" w14:textId="77777777">
        <w:tc>
          <w:tcPr>
            <w:tcW w:w="900" w:type="pct"/>
            <w:shd w:val="clear" w:color="auto" w:fill="auto"/>
            <w:vAlign w:val="center"/>
          </w:tcPr>
          <w:p w14:paraId="555669B2" w14:textId="77777777" w:rsidR="00F925DD" w:rsidRDefault="00F925DD">
            <w:pPr>
              <w:rPr>
                <w:rFonts w:ascii="Times New Roman" w:hAnsi="Times New Roman"/>
                <w:sz w:val="20"/>
                <w:szCs w:val="20"/>
              </w:rPr>
            </w:pPr>
          </w:p>
        </w:tc>
        <w:tc>
          <w:tcPr>
            <w:tcW w:w="3650" w:type="pct"/>
            <w:shd w:val="clear" w:color="auto" w:fill="auto"/>
            <w:vAlign w:val="center"/>
          </w:tcPr>
          <w:p w14:paraId="555669B3" w14:textId="77777777" w:rsidR="00F925DD" w:rsidRDefault="00F925DD">
            <w:pPr>
              <w:rPr>
                <w:rFonts w:ascii="Times New Roman" w:hAnsi="Times New Roman"/>
                <w:sz w:val="20"/>
                <w:szCs w:val="20"/>
              </w:rPr>
            </w:pPr>
          </w:p>
        </w:tc>
        <w:tc>
          <w:tcPr>
            <w:tcW w:w="450" w:type="pct"/>
            <w:shd w:val="clear" w:color="auto" w:fill="auto"/>
            <w:vAlign w:val="center"/>
          </w:tcPr>
          <w:p w14:paraId="555669B4" w14:textId="77777777" w:rsidR="00F925DD" w:rsidRDefault="00F925DD">
            <w:pPr>
              <w:rPr>
                <w:rFonts w:ascii="Times New Roman" w:hAnsi="Times New Roman"/>
                <w:sz w:val="20"/>
                <w:szCs w:val="20"/>
              </w:rPr>
            </w:pPr>
          </w:p>
        </w:tc>
      </w:tr>
      <w:tr w:rsidR="00F925DD" w14:paraId="555669B9" w14:textId="77777777">
        <w:tc>
          <w:tcPr>
            <w:tcW w:w="0" w:type="auto"/>
            <w:shd w:val="clear" w:color="auto" w:fill="auto"/>
            <w:tcMar>
              <w:top w:w="40" w:type="dxa"/>
              <w:left w:w="40" w:type="dxa"/>
              <w:bottom w:w="40" w:type="dxa"/>
              <w:right w:w="40" w:type="dxa"/>
            </w:tcMar>
            <w:vAlign w:val="bottom"/>
          </w:tcPr>
          <w:p w14:paraId="555669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69B8" w14:textId="77777777" w:rsidR="00F925DD" w:rsidRDefault="00E705D7">
            <w:pPr>
              <w:jc w:val="right"/>
              <w:textAlignment w:val="center"/>
              <w:rPr>
                <w:rFonts w:ascii="Times New Roman" w:hAnsi="Times New Roman"/>
                <w:sz w:val="20"/>
                <w:szCs w:val="20"/>
              </w:rPr>
            </w:pPr>
            <w:r>
              <w:rPr>
                <w:rFonts w:ascii="Arial" w:eastAsia="宋体" w:hAnsi="Arial" w:cs="Arial"/>
                <w:sz w:val="20"/>
                <w:szCs w:val="20"/>
                <w:u w:val="single"/>
              </w:rPr>
              <w:t>Page</w:t>
            </w:r>
          </w:p>
        </w:tc>
      </w:tr>
      <w:tr w:rsidR="00F925DD" w14:paraId="555669BD" w14:textId="77777777">
        <w:tc>
          <w:tcPr>
            <w:tcW w:w="0" w:type="auto"/>
            <w:shd w:val="clear" w:color="auto" w:fill="auto"/>
            <w:tcMar>
              <w:top w:w="40" w:type="dxa"/>
              <w:left w:w="240" w:type="dxa"/>
              <w:bottom w:w="40" w:type="dxa"/>
              <w:right w:w="40" w:type="dxa"/>
            </w:tcMar>
            <w:vAlign w:val="center"/>
          </w:tcPr>
          <w:p w14:paraId="555669BA" w14:textId="77777777" w:rsidR="00F925DD" w:rsidRDefault="00E705D7">
            <w:pPr>
              <w:textAlignment w:val="center"/>
              <w:rPr>
                <w:rFonts w:ascii="Times New Roman" w:hAnsi="Times New Roman"/>
                <w:sz w:val="20"/>
                <w:szCs w:val="20"/>
              </w:rPr>
            </w:pPr>
            <w:r>
              <w:rPr>
                <w:rFonts w:ascii="Arial" w:eastAsia="宋体" w:hAnsi="Arial" w:cs="Arial"/>
                <w:b/>
                <w:bCs/>
                <w:sz w:val="20"/>
                <w:szCs w:val="20"/>
              </w:rPr>
              <w:t>PART I</w:t>
            </w:r>
          </w:p>
        </w:tc>
        <w:tc>
          <w:tcPr>
            <w:tcW w:w="0" w:type="auto"/>
            <w:shd w:val="clear" w:color="auto" w:fill="auto"/>
            <w:tcMar>
              <w:top w:w="40" w:type="dxa"/>
              <w:left w:w="40" w:type="dxa"/>
              <w:bottom w:w="40" w:type="dxa"/>
              <w:right w:w="40" w:type="dxa"/>
            </w:tcMar>
            <w:vAlign w:val="bottom"/>
          </w:tcPr>
          <w:p w14:paraId="555669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C1" w14:textId="77777777">
        <w:tc>
          <w:tcPr>
            <w:tcW w:w="0" w:type="auto"/>
            <w:shd w:val="clear" w:color="auto" w:fill="auto"/>
            <w:tcMar>
              <w:top w:w="40" w:type="dxa"/>
              <w:left w:w="240" w:type="dxa"/>
              <w:bottom w:w="40" w:type="dxa"/>
              <w:right w:w="40" w:type="dxa"/>
            </w:tcMar>
          </w:tcPr>
          <w:p w14:paraId="555669BE" w14:textId="77777777" w:rsidR="00F925DD" w:rsidRDefault="00E705D7">
            <w:pPr>
              <w:textAlignment w:val="top"/>
              <w:rPr>
                <w:rFonts w:ascii="Times New Roman" w:hAnsi="Times New Roman"/>
                <w:sz w:val="20"/>
                <w:szCs w:val="20"/>
              </w:rPr>
            </w:pPr>
            <w:r>
              <w:rPr>
                <w:rFonts w:ascii="Arial" w:eastAsia="宋体" w:hAnsi="Arial" w:cs="Arial"/>
                <w:sz w:val="20"/>
                <w:szCs w:val="20"/>
              </w:rPr>
              <w:t>Item 1</w:t>
            </w:r>
          </w:p>
        </w:tc>
        <w:tc>
          <w:tcPr>
            <w:tcW w:w="0" w:type="auto"/>
            <w:shd w:val="clear" w:color="auto" w:fill="auto"/>
            <w:tcMar>
              <w:top w:w="40" w:type="dxa"/>
              <w:left w:w="240" w:type="dxa"/>
              <w:bottom w:w="40" w:type="dxa"/>
              <w:right w:w="40" w:type="dxa"/>
            </w:tcMar>
            <w:vAlign w:val="center"/>
          </w:tcPr>
          <w:p w14:paraId="555669BF" w14:textId="77777777" w:rsidR="00F925DD" w:rsidRDefault="00E705D7">
            <w:pPr>
              <w:textAlignment w:val="center"/>
              <w:rPr>
                <w:rFonts w:ascii="Times New Roman" w:hAnsi="Times New Roman"/>
                <w:sz w:val="20"/>
                <w:szCs w:val="20"/>
              </w:rPr>
            </w:pPr>
            <w:r>
              <w:rPr>
                <w:rFonts w:ascii="Arial" w:eastAsia="宋体" w:hAnsi="Arial" w:cs="Arial"/>
                <w:sz w:val="20"/>
                <w:szCs w:val="20"/>
              </w:rPr>
              <w:t>Business</w:t>
            </w:r>
          </w:p>
        </w:tc>
        <w:tc>
          <w:tcPr>
            <w:tcW w:w="0" w:type="auto"/>
            <w:shd w:val="clear" w:color="auto" w:fill="auto"/>
            <w:tcMar>
              <w:top w:w="40" w:type="dxa"/>
              <w:left w:w="40" w:type="dxa"/>
              <w:bottom w:w="40" w:type="dxa"/>
              <w:right w:w="40" w:type="dxa"/>
            </w:tcMar>
            <w:vAlign w:val="center"/>
          </w:tcPr>
          <w:p w14:paraId="555669C0" w14:textId="77777777" w:rsidR="00F925DD" w:rsidRDefault="00E705D7">
            <w:pPr>
              <w:jc w:val="right"/>
              <w:textAlignment w:val="center"/>
              <w:rPr>
                <w:rFonts w:ascii="Times New Roman" w:hAnsi="Times New Roman"/>
                <w:sz w:val="20"/>
                <w:szCs w:val="20"/>
              </w:rPr>
            </w:pPr>
            <w:hyperlink r:id="rId6" w:anchor="sBD49C0854B3E735C720B143E850E7F68" w:history="1">
              <w:r>
                <w:rPr>
                  <w:rStyle w:val="a5"/>
                  <w:rFonts w:ascii="Arial" w:eastAsia="宋体" w:hAnsi="Arial" w:cs="Arial"/>
                  <w:color w:val="000000"/>
                  <w:sz w:val="20"/>
                  <w:szCs w:val="20"/>
                  <w:u w:val="none"/>
                </w:rPr>
                <w:t>4</w:t>
              </w:r>
            </w:hyperlink>
          </w:p>
        </w:tc>
      </w:tr>
      <w:tr w:rsidR="00F925DD" w14:paraId="555669C5" w14:textId="77777777">
        <w:tc>
          <w:tcPr>
            <w:tcW w:w="0" w:type="auto"/>
            <w:shd w:val="clear" w:color="auto" w:fill="auto"/>
            <w:tcMar>
              <w:top w:w="40" w:type="dxa"/>
              <w:left w:w="240" w:type="dxa"/>
              <w:bottom w:w="40" w:type="dxa"/>
              <w:right w:w="40" w:type="dxa"/>
            </w:tcMar>
          </w:tcPr>
          <w:p w14:paraId="555669C2" w14:textId="77777777" w:rsidR="00F925DD" w:rsidRDefault="00E705D7">
            <w:pPr>
              <w:textAlignment w:val="top"/>
              <w:rPr>
                <w:rFonts w:ascii="Times New Roman" w:hAnsi="Times New Roman"/>
                <w:sz w:val="20"/>
                <w:szCs w:val="20"/>
              </w:rPr>
            </w:pPr>
            <w:r>
              <w:rPr>
                <w:rFonts w:ascii="Arial" w:eastAsia="宋体" w:hAnsi="Arial" w:cs="Arial"/>
                <w:sz w:val="20"/>
                <w:szCs w:val="20"/>
              </w:rPr>
              <w:t>Item 1A</w:t>
            </w:r>
          </w:p>
        </w:tc>
        <w:tc>
          <w:tcPr>
            <w:tcW w:w="0" w:type="auto"/>
            <w:shd w:val="clear" w:color="auto" w:fill="auto"/>
            <w:tcMar>
              <w:top w:w="40" w:type="dxa"/>
              <w:left w:w="240" w:type="dxa"/>
              <w:bottom w:w="40" w:type="dxa"/>
              <w:right w:w="40" w:type="dxa"/>
            </w:tcMar>
            <w:vAlign w:val="center"/>
          </w:tcPr>
          <w:p w14:paraId="555669C3" w14:textId="77777777" w:rsidR="00F925DD" w:rsidRDefault="00E705D7">
            <w:pPr>
              <w:textAlignment w:val="center"/>
              <w:rPr>
                <w:rFonts w:ascii="Times New Roman" w:hAnsi="Times New Roman"/>
                <w:sz w:val="20"/>
                <w:szCs w:val="20"/>
              </w:rPr>
            </w:pPr>
            <w:r>
              <w:rPr>
                <w:rFonts w:ascii="Arial" w:eastAsia="宋体" w:hAnsi="Arial" w:cs="Arial"/>
                <w:sz w:val="20"/>
                <w:szCs w:val="20"/>
              </w:rPr>
              <w:t>Risk Factors</w:t>
            </w:r>
          </w:p>
        </w:tc>
        <w:tc>
          <w:tcPr>
            <w:tcW w:w="0" w:type="auto"/>
            <w:shd w:val="clear" w:color="auto" w:fill="auto"/>
            <w:tcMar>
              <w:top w:w="40" w:type="dxa"/>
              <w:left w:w="40" w:type="dxa"/>
              <w:bottom w:w="40" w:type="dxa"/>
              <w:right w:w="40" w:type="dxa"/>
            </w:tcMar>
            <w:vAlign w:val="center"/>
          </w:tcPr>
          <w:p w14:paraId="555669C4" w14:textId="77777777" w:rsidR="00F925DD" w:rsidRDefault="00E705D7">
            <w:pPr>
              <w:jc w:val="right"/>
              <w:textAlignment w:val="center"/>
              <w:rPr>
                <w:rFonts w:ascii="Times New Roman" w:hAnsi="Times New Roman"/>
                <w:sz w:val="20"/>
                <w:szCs w:val="20"/>
              </w:rPr>
            </w:pPr>
            <w:hyperlink r:id="rId7" w:anchor="s5AA407369875E5BA789B143E8680B5C1" w:history="1">
              <w:r>
                <w:rPr>
                  <w:rStyle w:val="a5"/>
                  <w:rFonts w:ascii="Arial" w:eastAsia="宋体" w:hAnsi="Arial" w:cs="Arial"/>
                  <w:color w:val="000000"/>
                  <w:sz w:val="20"/>
                  <w:szCs w:val="20"/>
                  <w:u w:val="none"/>
                </w:rPr>
                <w:t>18</w:t>
              </w:r>
            </w:hyperlink>
          </w:p>
        </w:tc>
      </w:tr>
      <w:tr w:rsidR="00F925DD" w14:paraId="555669C9" w14:textId="77777777">
        <w:tc>
          <w:tcPr>
            <w:tcW w:w="0" w:type="auto"/>
            <w:shd w:val="clear" w:color="auto" w:fill="auto"/>
            <w:tcMar>
              <w:top w:w="40" w:type="dxa"/>
              <w:left w:w="240" w:type="dxa"/>
              <w:bottom w:w="40" w:type="dxa"/>
              <w:right w:w="40" w:type="dxa"/>
            </w:tcMar>
          </w:tcPr>
          <w:p w14:paraId="555669C6" w14:textId="77777777" w:rsidR="00F925DD" w:rsidRDefault="00E705D7">
            <w:pPr>
              <w:textAlignment w:val="top"/>
              <w:rPr>
                <w:rFonts w:ascii="Times New Roman" w:hAnsi="Times New Roman"/>
                <w:sz w:val="20"/>
                <w:szCs w:val="20"/>
              </w:rPr>
            </w:pPr>
            <w:r>
              <w:rPr>
                <w:rFonts w:ascii="Arial" w:eastAsia="宋体" w:hAnsi="Arial" w:cs="Arial"/>
                <w:sz w:val="20"/>
                <w:szCs w:val="20"/>
              </w:rPr>
              <w:t>Item 1B</w:t>
            </w:r>
          </w:p>
        </w:tc>
        <w:tc>
          <w:tcPr>
            <w:tcW w:w="0" w:type="auto"/>
            <w:shd w:val="clear" w:color="auto" w:fill="auto"/>
            <w:tcMar>
              <w:top w:w="40" w:type="dxa"/>
              <w:left w:w="240" w:type="dxa"/>
              <w:bottom w:w="40" w:type="dxa"/>
              <w:right w:w="40" w:type="dxa"/>
            </w:tcMar>
            <w:vAlign w:val="center"/>
          </w:tcPr>
          <w:p w14:paraId="555669C7" w14:textId="77777777" w:rsidR="00F925DD" w:rsidRDefault="00E705D7">
            <w:pPr>
              <w:textAlignment w:val="center"/>
              <w:rPr>
                <w:rFonts w:ascii="Times New Roman" w:hAnsi="Times New Roman"/>
                <w:sz w:val="20"/>
                <w:szCs w:val="20"/>
              </w:rPr>
            </w:pPr>
            <w:r>
              <w:rPr>
                <w:rFonts w:ascii="Arial" w:eastAsia="宋体" w:hAnsi="Arial" w:cs="Arial"/>
                <w:sz w:val="20"/>
                <w:szCs w:val="20"/>
              </w:rPr>
              <w:t>Unresolved Staff Comments</w:t>
            </w:r>
          </w:p>
        </w:tc>
        <w:tc>
          <w:tcPr>
            <w:tcW w:w="0" w:type="auto"/>
            <w:shd w:val="clear" w:color="auto" w:fill="auto"/>
            <w:tcMar>
              <w:top w:w="40" w:type="dxa"/>
              <w:left w:w="40" w:type="dxa"/>
              <w:bottom w:w="40" w:type="dxa"/>
              <w:right w:w="40" w:type="dxa"/>
            </w:tcMar>
            <w:vAlign w:val="center"/>
          </w:tcPr>
          <w:p w14:paraId="555669C8" w14:textId="77777777" w:rsidR="00F925DD" w:rsidRDefault="00E705D7">
            <w:pPr>
              <w:jc w:val="right"/>
              <w:textAlignment w:val="center"/>
              <w:rPr>
                <w:rFonts w:ascii="Times New Roman" w:hAnsi="Times New Roman"/>
                <w:sz w:val="20"/>
                <w:szCs w:val="20"/>
              </w:rPr>
            </w:pPr>
            <w:hyperlink r:id="rId8" w:anchor="s2596645378DC168EEA29143E86D0F200" w:history="1">
              <w:r>
                <w:rPr>
                  <w:rStyle w:val="a5"/>
                  <w:rFonts w:ascii="Arial" w:eastAsia="宋体" w:hAnsi="Arial" w:cs="Arial"/>
                  <w:color w:val="000000"/>
                  <w:sz w:val="20"/>
                  <w:szCs w:val="20"/>
                  <w:u w:val="none"/>
                </w:rPr>
                <w:t>48</w:t>
              </w:r>
            </w:hyperlink>
          </w:p>
        </w:tc>
      </w:tr>
      <w:tr w:rsidR="00F925DD" w14:paraId="555669CD" w14:textId="77777777">
        <w:tc>
          <w:tcPr>
            <w:tcW w:w="0" w:type="auto"/>
            <w:shd w:val="clear" w:color="auto" w:fill="auto"/>
            <w:tcMar>
              <w:top w:w="40" w:type="dxa"/>
              <w:left w:w="240" w:type="dxa"/>
              <w:bottom w:w="40" w:type="dxa"/>
              <w:right w:w="40" w:type="dxa"/>
            </w:tcMar>
          </w:tcPr>
          <w:p w14:paraId="555669CA" w14:textId="77777777" w:rsidR="00F925DD" w:rsidRDefault="00E705D7">
            <w:pPr>
              <w:textAlignment w:val="top"/>
              <w:rPr>
                <w:rFonts w:ascii="Times New Roman" w:hAnsi="Times New Roman"/>
                <w:sz w:val="20"/>
                <w:szCs w:val="20"/>
              </w:rPr>
            </w:pPr>
            <w:r>
              <w:rPr>
                <w:rFonts w:ascii="Arial" w:eastAsia="宋体" w:hAnsi="Arial" w:cs="Arial"/>
                <w:sz w:val="20"/>
                <w:szCs w:val="20"/>
              </w:rPr>
              <w:t>Item 2</w:t>
            </w:r>
          </w:p>
        </w:tc>
        <w:tc>
          <w:tcPr>
            <w:tcW w:w="0" w:type="auto"/>
            <w:shd w:val="clear" w:color="auto" w:fill="auto"/>
            <w:tcMar>
              <w:top w:w="40" w:type="dxa"/>
              <w:left w:w="240" w:type="dxa"/>
              <w:bottom w:w="40" w:type="dxa"/>
              <w:right w:w="40" w:type="dxa"/>
            </w:tcMar>
            <w:vAlign w:val="center"/>
          </w:tcPr>
          <w:p w14:paraId="555669CB" w14:textId="77777777" w:rsidR="00F925DD" w:rsidRDefault="00E705D7">
            <w:pPr>
              <w:textAlignment w:val="center"/>
              <w:rPr>
                <w:rFonts w:ascii="Times New Roman" w:hAnsi="Times New Roman"/>
                <w:sz w:val="20"/>
                <w:szCs w:val="20"/>
              </w:rPr>
            </w:pPr>
            <w:r>
              <w:rPr>
                <w:rFonts w:ascii="Arial" w:eastAsia="宋体" w:hAnsi="Arial" w:cs="Arial"/>
                <w:sz w:val="20"/>
                <w:szCs w:val="20"/>
              </w:rPr>
              <w:t>Properties</w:t>
            </w:r>
          </w:p>
        </w:tc>
        <w:tc>
          <w:tcPr>
            <w:tcW w:w="0" w:type="auto"/>
            <w:shd w:val="clear" w:color="auto" w:fill="auto"/>
            <w:tcMar>
              <w:top w:w="40" w:type="dxa"/>
              <w:left w:w="40" w:type="dxa"/>
              <w:bottom w:w="40" w:type="dxa"/>
              <w:right w:w="40" w:type="dxa"/>
            </w:tcMar>
            <w:vAlign w:val="center"/>
          </w:tcPr>
          <w:p w14:paraId="555669CC" w14:textId="77777777" w:rsidR="00F925DD" w:rsidRDefault="00E705D7">
            <w:pPr>
              <w:jc w:val="right"/>
              <w:textAlignment w:val="center"/>
              <w:rPr>
                <w:rFonts w:ascii="Times New Roman" w:hAnsi="Times New Roman"/>
                <w:sz w:val="20"/>
                <w:szCs w:val="20"/>
              </w:rPr>
            </w:pPr>
            <w:hyperlink r:id="rId9" w:anchor="s7E32AAB2B6035CC239B3143BF8F9451A" w:history="1">
              <w:r>
                <w:rPr>
                  <w:rStyle w:val="a5"/>
                  <w:rFonts w:ascii="Arial" w:eastAsia="宋体" w:hAnsi="Arial" w:cs="Arial"/>
                  <w:color w:val="000000"/>
                  <w:sz w:val="20"/>
                  <w:szCs w:val="20"/>
                  <w:u w:val="none"/>
                </w:rPr>
                <w:t>48</w:t>
              </w:r>
            </w:hyperlink>
          </w:p>
        </w:tc>
      </w:tr>
      <w:tr w:rsidR="00F925DD" w14:paraId="555669D1" w14:textId="77777777">
        <w:tc>
          <w:tcPr>
            <w:tcW w:w="0" w:type="auto"/>
            <w:shd w:val="clear" w:color="auto" w:fill="auto"/>
            <w:tcMar>
              <w:top w:w="40" w:type="dxa"/>
              <w:left w:w="240" w:type="dxa"/>
              <w:bottom w:w="40" w:type="dxa"/>
              <w:right w:w="40" w:type="dxa"/>
            </w:tcMar>
          </w:tcPr>
          <w:p w14:paraId="555669CE" w14:textId="77777777" w:rsidR="00F925DD" w:rsidRDefault="00E705D7">
            <w:pPr>
              <w:textAlignment w:val="top"/>
              <w:rPr>
                <w:rFonts w:ascii="Times New Roman" w:hAnsi="Times New Roman"/>
                <w:sz w:val="20"/>
                <w:szCs w:val="20"/>
              </w:rPr>
            </w:pPr>
            <w:r>
              <w:rPr>
                <w:rFonts w:ascii="Arial" w:eastAsia="宋体" w:hAnsi="Arial" w:cs="Arial"/>
                <w:sz w:val="20"/>
                <w:szCs w:val="20"/>
              </w:rPr>
              <w:t>Item 3</w:t>
            </w:r>
          </w:p>
        </w:tc>
        <w:tc>
          <w:tcPr>
            <w:tcW w:w="0" w:type="auto"/>
            <w:shd w:val="clear" w:color="auto" w:fill="auto"/>
            <w:tcMar>
              <w:top w:w="40" w:type="dxa"/>
              <w:left w:w="240" w:type="dxa"/>
              <w:bottom w:w="40" w:type="dxa"/>
              <w:right w:w="40" w:type="dxa"/>
            </w:tcMar>
            <w:vAlign w:val="center"/>
          </w:tcPr>
          <w:p w14:paraId="555669CF" w14:textId="77777777" w:rsidR="00F925DD" w:rsidRDefault="00E705D7">
            <w:pPr>
              <w:textAlignment w:val="center"/>
              <w:rPr>
                <w:rFonts w:ascii="Times New Roman" w:hAnsi="Times New Roman"/>
                <w:sz w:val="20"/>
                <w:szCs w:val="20"/>
              </w:rPr>
            </w:pPr>
            <w:r>
              <w:rPr>
                <w:rFonts w:ascii="Arial" w:eastAsia="宋体" w:hAnsi="Arial" w:cs="Arial"/>
                <w:sz w:val="20"/>
                <w:szCs w:val="20"/>
              </w:rPr>
              <w:t>Legal Proceedings</w:t>
            </w:r>
          </w:p>
        </w:tc>
        <w:tc>
          <w:tcPr>
            <w:tcW w:w="0" w:type="auto"/>
            <w:shd w:val="clear" w:color="auto" w:fill="auto"/>
            <w:tcMar>
              <w:top w:w="40" w:type="dxa"/>
              <w:left w:w="40" w:type="dxa"/>
              <w:bottom w:w="40" w:type="dxa"/>
              <w:right w:w="40" w:type="dxa"/>
            </w:tcMar>
            <w:vAlign w:val="center"/>
          </w:tcPr>
          <w:p w14:paraId="555669D0" w14:textId="77777777" w:rsidR="00F925DD" w:rsidRDefault="00E705D7">
            <w:pPr>
              <w:jc w:val="right"/>
              <w:textAlignment w:val="center"/>
              <w:rPr>
                <w:rFonts w:ascii="Times New Roman" w:hAnsi="Times New Roman"/>
                <w:sz w:val="20"/>
                <w:szCs w:val="20"/>
              </w:rPr>
            </w:pPr>
            <w:hyperlink r:id="rId10" w:anchor="sD567E84C35E00AD58777143E872173EE" w:history="1">
              <w:r>
                <w:rPr>
                  <w:rStyle w:val="a5"/>
                  <w:rFonts w:ascii="Arial" w:eastAsia="宋体" w:hAnsi="Arial" w:cs="Arial"/>
                  <w:color w:val="000000"/>
                  <w:sz w:val="20"/>
                  <w:szCs w:val="20"/>
                  <w:u w:val="none"/>
                </w:rPr>
                <w:t>48</w:t>
              </w:r>
            </w:hyperlink>
          </w:p>
        </w:tc>
      </w:tr>
      <w:tr w:rsidR="00F925DD" w14:paraId="555669D5" w14:textId="77777777">
        <w:tc>
          <w:tcPr>
            <w:tcW w:w="0" w:type="auto"/>
            <w:shd w:val="clear" w:color="auto" w:fill="auto"/>
            <w:tcMar>
              <w:top w:w="40" w:type="dxa"/>
              <w:left w:w="240" w:type="dxa"/>
              <w:bottom w:w="40" w:type="dxa"/>
              <w:right w:w="40" w:type="dxa"/>
            </w:tcMar>
          </w:tcPr>
          <w:p w14:paraId="555669D2" w14:textId="77777777" w:rsidR="00F925DD" w:rsidRDefault="00E705D7">
            <w:pPr>
              <w:textAlignment w:val="top"/>
              <w:rPr>
                <w:rFonts w:ascii="Times New Roman" w:hAnsi="Times New Roman"/>
                <w:sz w:val="20"/>
                <w:szCs w:val="20"/>
              </w:rPr>
            </w:pPr>
            <w:r>
              <w:rPr>
                <w:rFonts w:ascii="Arial" w:eastAsia="宋体" w:hAnsi="Arial" w:cs="Arial"/>
                <w:sz w:val="20"/>
                <w:szCs w:val="20"/>
              </w:rPr>
              <w:t>Item 4</w:t>
            </w:r>
          </w:p>
        </w:tc>
        <w:tc>
          <w:tcPr>
            <w:tcW w:w="0" w:type="auto"/>
            <w:shd w:val="clear" w:color="auto" w:fill="auto"/>
            <w:tcMar>
              <w:top w:w="40" w:type="dxa"/>
              <w:left w:w="240" w:type="dxa"/>
              <w:bottom w:w="40" w:type="dxa"/>
              <w:right w:w="40" w:type="dxa"/>
            </w:tcMar>
            <w:vAlign w:val="center"/>
          </w:tcPr>
          <w:p w14:paraId="555669D3" w14:textId="77777777" w:rsidR="00F925DD" w:rsidRDefault="00E705D7">
            <w:pPr>
              <w:textAlignment w:val="center"/>
              <w:rPr>
                <w:rFonts w:ascii="Times New Roman" w:hAnsi="Times New Roman"/>
                <w:sz w:val="20"/>
                <w:szCs w:val="20"/>
              </w:rPr>
            </w:pPr>
            <w:r>
              <w:rPr>
                <w:rFonts w:ascii="Arial" w:eastAsia="宋体" w:hAnsi="Arial" w:cs="Arial"/>
                <w:sz w:val="20"/>
                <w:szCs w:val="20"/>
              </w:rPr>
              <w:t xml:space="preserve">Mine Safety Disclosures </w:t>
            </w:r>
          </w:p>
        </w:tc>
        <w:tc>
          <w:tcPr>
            <w:tcW w:w="0" w:type="auto"/>
            <w:shd w:val="clear" w:color="auto" w:fill="auto"/>
            <w:tcMar>
              <w:top w:w="40" w:type="dxa"/>
              <w:left w:w="40" w:type="dxa"/>
              <w:bottom w:w="40" w:type="dxa"/>
              <w:right w:w="40" w:type="dxa"/>
            </w:tcMar>
            <w:vAlign w:val="center"/>
          </w:tcPr>
          <w:p w14:paraId="555669D4" w14:textId="77777777" w:rsidR="00F925DD" w:rsidRDefault="00E705D7">
            <w:pPr>
              <w:jc w:val="right"/>
              <w:textAlignment w:val="center"/>
              <w:rPr>
                <w:rFonts w:ascii="Times New Roman" w:hAnsi="Times New Roman"/>
                <w:sz w:val="20"/>
                <w:szCs w:val="20"/>
              </w:rPr>
            </w:pPr>
            <w:hyperlink r:id="rId11" w:anchor="sA05BA71F17CB2DE5A207143E87490CB0" w:history="1">
              <w:r>
                <w:rPr>
                  <w:rStyle w:val="a5"/>
                  <w:rFonts w:ascii="Arial" w:eastAsia="宋体" w:hAnsi="Arial" w:cs="Arial"/>
                  <w:color w:val="000000"/>
                  <w:sz w:val="20"/>
                  <w:szCs w:val="20"/>
                  <w:u w:val="none"/>
                </w:rPr>
                <w:t>48</w:t>
              </w:r>
            </w:hyperlink>
          </w:p>
        </w:tc>
      </w:tr>
      <w:tr w:rsidR="00F925DD" w14:paraId="555669D9" w14:textId="77777777">
        <w:tc>
          <w:tcPr>
            <w:tcW w:w="0" w:type="auto"/>
            <w:shd w:val="clear" w:color="auto" w:fill="auto"/>
            <w:tcMar>
              <w:top w:w="40" w:type="dxa"/>
              <w:left w:w="240" w:type="dxa"/>
              <w:bottom w:w="40" w:type="dxa"/>
              <w:right w:w="40" w:type="dxa"/>
            </w:tcMar>
            <w:vAlign w:val="center"/>
          </w:tcPr>
          <w:p w14:paraId="555669D6" w14:textId="77777777" w:rsidR="00F925DD" w:rsidRDefault="00E705D7">
            <w:pPr>
              <w:textAlignment w:val="center"/>
              <w:rPr>
                <w:rFonts w:ascii="Times New Roman" w:hAnsi="Times New Roman"/>
                <w:sz w:val="20"/>
                <w:szCs w:val="20"/>
              </w:rPr>
            </w:pPr>
            <w:r>
              <w:rPr>
                <w:rFonts w:ascii="Arial" w:eastAsia="宋体" w:hAnsi="Arial" w:cs="Arial"/>
                <w:sz w:val="20"/>
                <w:szCs w:val="20"/>
              </w:rPr>
              <w:t>Supplemental Item</w:t>
            </w:r>
          </w:p>
        </w:tc>
        <w:tc>
          <w:tcPr>
            <w:tcW w:w="0" w:type="auto"/>
            <w:shd w:val="clear" w:color="auto" w:fill="auto"/>
            <w:tcMar>
              <w:top w:w="40" w:type="dxa"/>
              <w:left w:w="240" w:type="dxa"/>
              <w:bottom w:w="40" w:type="dxa"/>
              <w:right w:w="40" w:type="dxa"/>
            </w:tcMar>
            <w:vAlign w:val="center"/>
          </w:tcPr>
          <w:p w14:paraId="555669D7" w14:textId="77777777" w:rsidR="00F925DD" w:rsidRDefault="00E705D7">
            <w:pPr>
              <w:textAlignment w:val="center"/>
              <w:rPr>
                <w:rFonts w:ascii="Times New Roman" w:hAnsi="Times New Roman"/>
                <w:sz w:val="20"/>
                <w:szCs w:val="20"/>
              </w:rPr>
            </w:pPr>
            <w:r>
              <w:rPr>
                <w:rFonts w:ascii="Arial" w:eastAsia="宋体" w:hAnsi="Arial" w:cs="Arial"/>
                <w:sz w:val="20"/>
                <w:szCs w:val="20"/>
              </w:rPr>
              <w:t xml:space="preserve">Information about our Executive Officers </w:t>
            </w:r>
          </w:p>
        </w:tc>
        <w:tc>
          <w:tcPr>
            <w:tcW w:w="0" w:type="auto"/>
            <w:shd w:val="clear" w:color="auto" w:fill="auto"/>
            <w:tcMar>
              <w:top w:w="40" w:type="dxa"/>
              <w:left w:w="40" w:type="dxa"/>
              <w:bottom w:w="40" w:type="dxa"/>
              <w:right w:w="40" w:type="dxa"/>
            </w:tcMar>
            <w:vAlign w:val="center"/>
          </w:tcPr>
          <w:p w14:paraId="555669D8" w14:textId="77777777" w:rsidR="00F925DD" w:rsidRDefault="00E705D7">
            <w:pPr>
              <w:jc w:val="right"/>
              <w:textAlignment w:val="center"/>
              <w:rPr>
                <w:rFonts w:ascii="Times New Roman" w:hAnsi="Times New Roman"/>
                <w:sz w:val="20"/>
                <w:szCs w:val="20"/>
              </w:rPr>
            </w:pPr>
            <w:hyperlink r:id="rId12" w:anchor="s43A301D006377E74F45F143E877B566C" w:history="1">
              <w:r>
                <w:rPr>
                  <w:rStyle w:val="a5"/>
                  <w:rFonts w:ascii="Arial" w:eastAsia="宋体" w:hAnsi="Arial" w:cs="Arial"/>
                  <w:color w:val="000000"/>
                  <w:sz w:val="20"/>
                  <w:szCs w:val="20"/>
                  <w:u w:val="none"/>
                </w:rPr>
                <w:t>49</w:t>
              </w:r>
            </w:hyperlink>
          </w:p>
        </w:tc>
      </w:tr>
      <w:tr w:rsidR="00F925DD" w14:paraId="555669DD" w14:textId="77777777">
        <w:tc>
          <w:tcPr>
            <w:tcW w:w="0" w:type="auto"/>
            <w:shd w:val="clear" w:color="auto" w:fill="auto"/>
            <w:tcMar>
              <w:top w:w="40" w:type="dxa"/>
              <w:left w:w="240" w:type="dxa"/>
              <w:bottom w:w="40" w:type="dxa"/>
              <w:right w:w="40" w:type="dxa"/>
            </w:tcMar>
            <w:vAlign w:val="center"/>
          </w:tcPr>
          <w:p w14:paraId="555669DA" w14:textId="77777777" w:rsidR="00F925DD" w:rsidRDefault="00E705D7">
            <w:pPr>
              <w:textAlignment w:val="center"/>
              <w:rPr>
                <w:rFonts w:ascii="Times New Roman" w:hAnsi="Times New Roman"/>
                <w:sz w:val="20"/>
                <w:szCs w:val="20"/>
              </w:rPr>
            </w:pPr>
            <w:r>
              <w:rPr>
                <w:rFonts w:ascii="Arial" w:eastAsia="宋体" w:hAnsi="Arial" w:cs="Arial"/>
                <w:b/>
                <w:bCs/>
                <w:sz w:val="20"/>
                <w:szCs w:val="20"/>
              </w:rPr>
              <w:t>PART II</w:t>
            </w:r>
          </w:p>
        </w:tc>
        <w:tc>
          <w:tcPr>
            <w:tcW w:w="0" w:type="auto"/>
            <w:shd w:val="clear" w:color="auto" w:fill="auto"/>
            <w:tcMar>
              <w:top w:w="40" w:type="dxa"/>
              <w:left w:w="40" w:type="dxa"/>
              <w:bottom w:w="40" w:type="dxa"/>
              <w:right w:w="40" w:type="dxa"/>
            </w:tcMar>
            <w:vAlign w:val="bottom"/>
          </w:tcPr>
          <w:p w14:paraId="555669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9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9E1" w14:textId="77777777">
        <w:tc>
          <w:tcPr>
            <w:tcW w:w="0" w:type="auto"/>
            <w:shd w:val="clear" w:color="auto" w:fill="auto"/>
            <w:tcMar>
              <w:top w:w="40" w:type="dxa"/>
              <w:left w:w="240" w:type="dxa"/>
              <w:bottom w:w="40" w:type="dxa"/>
              <w:right w:w="40" w:type="dxa"/>
            </w:tcMar>
          </w:tcPr>
          <w:p w14:paraId="555669DE" w14:textId="77777777" w:rsidR="00F925DD" w:rsidRDefault="00E705D7">
            <w:pPr>
              <w:textAlignment w:val="top"/>
              <w:rPr>
                <w:rFonts w:ascii="Times New Roman" w:hAnsi="Times New Roman"/>
                <w:sz w:val="20"/>
                <w:szCs w:val="20"/>
              </w:rPr>
            </w:pPr>
            <w:r>
              <w:rPr>
                <w:rFonts w:ascii="Arial" w:eastAsia="宋体" w:hAnsi="Arial" w:cs="Arial"/>
                <w:sz w:val="20"/>
                <w:szCs w:val="20"/>
              </w:rPr>
              <w:t>Item 5</w:t>
            </w:r>
          </w:p>
        </w:tc>
        <w:tc>
          <w:tcPr>
            <w:tcW w:w="0" w:type="auto"/>
            <w:shd w:val="clear" w:color="auto" w:fill="auto"/>
            <w:tcMar>
              <w:top w:w="40" w:type="dxa"/>
              <w:left w:w="240" w:type="dxa"/>
              <w:bottom w:w="40" w:type="dxa"/>
              <w:right w:w="40" w:type="dxa"/>
            </w:tcMar>
            <w:vAlign w:val="center"/>
          </w:tcPr>
          <w:p w14:paraId="555669DF" w14:textId="77777777" w:rsidR="00F925DD" w:rsidRDefault="00E705D7">
            <w:pPr>
              <w:textAlignment w:val="center"/>
              <w:rPr>
                <w:rFonts w:ascii="Times New Roman" w:hAnsi="Times New Roman"/>
                <w:sz w:val="20"/>
                <w:szCs w:val="20"/>
              </w:rPr>
            </w:pPr>
            <w:r>
              <w:rPr>
                <w:rFonts w:ascii="Arial" w:eastAsia="宋体" w:hAnsi="Arial" w:cs="Arial"/>
                <w:sz w:val="20"/>
                <w:szCs w:val="20"/>
              </w:rPr>
              <w:t>Market for Registrant’s Common Equity, Related Stockholder Matters and Issuer Purchases of Equity Securities</w:t>
            </w:r>
          </w:p>
        </w:tc>
        <w:tc>
          <w:tcPr>
            <w:tcW w:w="0" w:type="auto"/>
            <w:shd w:val="clear" w:color="auto" w:fill="auto"/>
            <w:tcMar>
              <w:top w:w="40" w:type="dxa"/>
              <w:left w:w="40" w:type="dxa"/>
              <w:bottom w:w="40" w:type="dxa"/>
              <w:right w:w="40" w:type="dxa"/>
            </w:tcMar>
            <w:vAlign w:val="center"/>
          </w:tcPr>
          <w:p w14:paraId="555669E0" w14:textId="77777777" w:rsidR="00F925DD" w:rsidRDefault="00E705D7">
            <w:pPr>
              <w:jc w:val="right"/>
              <w:textAlignment w:val="center"/>
              <w:rPr>
                <w:rFonts w:ascii="Times New Roman" w:hAnsi="Times New Roman"/>
                <w:sz w:val="20"/>
                <w:szCs w:val="20"/>
              </w:rPr>
            </w:pPr>
            <w:hyperlink r:id="rId13" w:anchor="s236302A7D6DFFF50C80D143AA1F41CF8" w:history="1">
              <w:r>
                <w:rPr>
                  <w:rStyle w:val="a5"/>
                  <w:rFonts w:ascii="Arial" w:eastAsia="宋体" w:hAnsi="Arial" w:cs="Arial"/>
                  <w:color w:val="000000"/>
                  <w:sz w:val="20"/>
                  <w:szCs w:val="20"/>
                  <w:u w:val="none"/>
                </w:rPr>
                <w:t>52</w:t>
              </w:r>
            </w:hyperlink>
          </w:p>
        </w:tc>
      </w:tr>
      <w:tr w:rsidR="00F925DD" w14:paraId="555669E5" w14:textId="77777777">
        <w:tc>
          <w:tcPr>
            <w:tcW w:w="0" w:type="auto"/>
            <w:shd w:val="clear" w:color="auto" w:fill="auto"/>
            <w:tcMar>
              <w:top w:w="40" w:type="dxa"/>
              <w:left w:w="240" w:type="dxa"/>
              <w:bottom w:w="40" w:type="dxa"/>
              <w:right w:w="40" w:type="dxa"/>
            </w:tcMar>
          </w:tcPr>
          <w:p w14:paraId="555669E2" w14:textId="77777777" w:rsidR="00F925DD" w:rsidRDefault="00E705D7">
            <w:pPr>
              <w:textAlignment w:val="top"/>
              <w:rPr>
                <w:rFonts w:ascii="Times New Roman" w:hAnsi="Times New Roman"/>
                <w:sz w:val="20"/>
                <w:szCs w:val="20"/>
              </w:rPr>
            </w:pPr>
            <w:r>
              <w:rPr>
                <w:rFonts w:ascii="Arial" w:eastAsia="宋体" w:hAnsi="Arial" w:cs="Arial"/>
                <w:sz w:val="20"/>
                <w:szCs w:val="20"/>
              </w:rPr>
              <w:t>Item 6</w:t>
            </w:r>
          </w:p>
        </w:tc>
        <w:tc>
          <w:tcPr>
            <w:tcW w:w="0" w:type="auto"/>
            <w:shd w:val="clear" w:color="auto" w:fill="auto"/>
            <w:tcMar>
              <w:top w:w="40" w:type="dxa"/>
              <w:left w:w="240" w:type="dxa"/>
              <w:bottom w:w="40" w:type="dxa"/>
              <w:right w:w="40" w:type="dxa"/>
            </w:tcMar>
            <w:vAlign w:val="center"/>
          </w:tcPr>
          <w:p w14:paraId="555669E3" w14:textId="77777777" w:rsidR="00F925DD" w:rsidRDefault="00E705D7">
            <w:pPr>
              <w:textAlignment w:val="center"/>
              <w:rPr>
                <w:rFonts w:ascii="Times New Roman" w:hAnsi="Times New Roman"/>
                <w:sz w:val="20"/>
                <w:szCs w:val="20"/>
              </w:rPr>
            </w:pPr>
            <w:r>
              <w:rPr>
                <w:rFonts w:ascii="Arial" w:eastAsia="宋体" w:hAnsi="Arial" w:cs="Arial"/>
                <w:sz w:val="20"/>
                <w:szCs w:val="20"/>
              </w:rPr>
              <w:t>Selected Financial Data</w:t>
            </w:r>
          </w:p>
        </w:tc>
        <w:tc>
          <w:tcPr>
            <w:tcW w:w="0" w:type="auto"/>
            <w:shd w:val="clear" w:color="auto" w:fill="auto"/>
            <w:tcMar>
              <w:top w:w="40" w:type="dxa"/>
              <w:left w:w="40" w:type="dxa"/>
              <w:bottom w:w="40" w:type="dxa"/>
              <w:right w:w="40" w:type="dxa"/>
            </w:tcMar>
            <w:vAlign w:val="center"/>
          </w:tcPr>
          <w:p w14:paraId="555669E4" w14:textId="77777777" w:rsidR="00F925DD" w:rsidRDefault="00E705D7">
            <w:pPr>
              <w:jc w:val="right"/>
              <w:textAlignment w:val="center"/>
              <w:rPr>
                <w:rFonts w:ascii="Times New Roman" w:hAnsi="Times New Roman"/>
                <w:sz w:val="20"/>
                <w:szCs w:val="20"/>
              </w:rPr>
            </w:pPr>
            <w:hyperlink r:id="rId14" w:anchor="s4FC7DA9C4AE990B3FCCB143A9E0A62B1" w:history="1">
              <w:r>
                <w:rPr>
                  <w:rStyle w:val="a5"/>
                  <w:rFonts w:ascii="Arial" w:eastAsia="宋体" w:hAnsi="Arial" w:cs="Arial"/>
                  <w:color w:val="000000"/>
                  <w:sz w:val="20"/>
                  <w:szCs w:val="20"/>
                  <w:u w:val="none"/>
                </w:rPr>
                <w:t>54</w:t>
              </w:r>
            </w:hyperlink>
          </w:p>
        </w:tc>
      </w:tr>
      <w:tr w:rsidR="00F925DD" w14:paraId="555669E9" w14:textId="77777777">
        <w:tc>
          <w:tcPr>
            <w:tcW w:w="0" w:type="auto"/>
            <w:shd w:val="clear" w:color="auto" w:fill="auto"/>
            <w:tcMar>
              <w:top w:w="40" w:type="dxa"/>
              <w:left w:w="240" w:type="dxa"/>
              <w:bottom w:w="40" w:type="dxa"/>
              <w:right w:w="40" w:type="dxa"/>
            </w:tcMar>
          </w:tcPr>
          <w:p w14:paraId="555669E6" w14:textId="77777777" w:rsidR="00F925DD" w:rsidRDefault="00E705D7">
            <w:pPr>
              <w:textAlignment w:val="top"/>
              <w:rPr>
                <w:rFonts w:ascii="Times New Roman" w:hAnsi="Times New Roman"/>
                <w:sz w:val="20"/>
                <w:szCs w:val="20"/>
              </w:rPr>
            </w:pPr>
            <w:r>
              <w:rPr>
                <w:rFonts w:ascii="Arial" w:eastAsia="宋体" w:hAnsi="Arial" w:cs="Arial"/>
                <w:sz w:val="20"/>
                <w:szCs w:val="20"/>
              </w:rPr>
              <w:t>Item 7</w:t>
            </w:r>
          </w:p>
        </w:tc>
        <w:tc>
          <w:tcPr>
            <w:tcW w:w="0" w:type="auto"/>
            <w:shd w:val="clear" w:color="auto" w:fill="auto"/>
            <w:tcMar>
              <w:top w:w="40" w:type="dxa"/>
              <w:left w:w="240" w:type="dxa"/>
              <w:bottom w:w="40" w:type="dxa"/>
              <w:right w:w="40" w:type="dxa"/>
            </w:tcMar>
            <w:vAlign w:val="center"/>
          </w:tcPr>
          <w:p w14:paraId="555669E7" w14:textId="77777777" w:rsidR="00F925DD" w:rsidRDefault="00E705D7">
            <w:pPr>
              <w:textAlignment w:val="center"/>
              <w:rPr>
                <w:rFonts w:ascii="Times New Roman" w:hAnsi="Times New Roman"/>
                <w:sz w:val="20"/>
                <w:szCs w:val="20"/>
              </w:rPr>
            </w:pPr>
            <w:r>
              <w:rPr>
                <w:rFonts w:ascii="Arial" w:eastAsia="宋体" w:hAnsi="Arial" w:cs="Arial"/>
                <w:sz w:val="20"/>
                <w:szCs w:val="20"/>
              </w:rPr>
              <w:t>Management's Discussion and Analysis of Financial Condition and Results of Operations</w:t>
            </w:r>
          </w:p>
        </w:tc>
        <w:tc>
          <w:tcPr>
            <w:tcW w:w="0" w:type="auto"/>
            <w:shd w:val="clear" w:color="auto" w:fill="auto"/>
            <w:tcMar>
              <w:top w:w="40" w:type="dxa"/>
              <w:left w:w="40" w:type="dxa"/>
              <w:bottom w:w="40" w:type="dxa"/>
              <w:right w:w="40" w:type="dxa"/>
            </w:tcMar>
            <w:vAlign w:val="center"/>
          </w:tcPr>
          <w:p w14:paraId="555669E8" w14:textId="77777777" w:rsidR="00F925DD" w:rsidRDefault="00E705D7">
            <w:pPr>
              <w:jc w:val="right"/>
              <w:textAlignment w:val="center"/>
              <w:rPr>
                <w:rFonts w:ascii="Times New Roman" w:hAnsi="Times New Roman"/>
                <w:sz w:val="20"/>
                <w:szCs w:val="20"/>
              </w:rPr>
            </w:pPr>
            <w:hyperlink r:id="rId15" w:anchor="s46DDDD1BE4413E368D3B143E5668C802" w:history="1">
              <w:r>
                <w:rPr>
                  <w:rStyle w:val="a5"/>
                  <w:rFonts w:ascii="Arial" w:eastAsia="宋体" w:hAnsi="Arial" w:cs="Arial"/>
                  <w:color w:val="000000"/>
                  <w:sz w:val="20"/>
                  <w:szCs w:val="20"/>
                  <w:u w:val="none"/>
                </w:rPr>
                <w:t>55</w:t>
              </w:r>
            </w:hyperlink>
          </w:p>
        </w:tc>
      </w:tr>
      <w:tr w:rsidR="00F925DD" w14:paraId="555669ED" w14:textId="77777777">
        <w:tc>
          <w:tcPr>
            <w:tcW w:w="0" w:type="auto"/>
            <w:shd w:val="clear" w:color="auto" w:fill="auto"/>
            <w:tcMar>
              <w:top w:w="40" w:type="dxa"/>
              <w:left w:w="40" w:type="dxa"/>
              <w:bottom w:w="40" w:type="dxa"/>
              <w:right w:w="40" w:type="dxa"/>
            </w:tcMar>
            <w:vAlign w:val="bottom"/>
          </w:tcPr>
          <w:p w14:paraId="555669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560" w:type="dxa"/>
              <w:bottom w:w="40" w:type="dxa"/>
              <w:right w:w="40" w:type="dxa"/>
            </w:tcMar>
            <w:vAlign w:val="center"/>
          </w:tcPr>
          <w:p w14:paraId="555669EB" w14:textId="77777777" w:rsidR="00F925DD" w:rsidRDefault="00E705D7">
            <w:pPr>
              <w:textAlignment w:val="center"/>
              <w:rPr>
                <w:rFonts w:ascii="Times New Roman" w:hAnsi="Times New Roman"/>
                <w:sz w:val="20"/>
                <w:szCs w:val="20"/>
              </w:rPr>
            </w:pPr>
            <w:r>
              <w:rPr>
                <w:rFonts w:ascii="Arial" w:eastAsia="宋体" w:hAnsi="Arial" w:cs="Arial"/>
                <w:sz w:val="20"/>
                <w:szCs w:val="20"/>
              </w:rPr>
              <w:t>General</w:t>
            </w:r>
          </w:p>
        </w:tc>
        <w:tc>
          <w:tcPr>
            <w:tcW w:w="0" w:type="auto"/>
            <w:shd w:val="clear" w:color="auto" w:fill="auto"/>
            <w:tcMar>
              <w:top w:w="40" w:type="dxa"/>
              <w:left w:w="40" w:type="dxa"/>
              <w:bottom w:w="40" w:type="dxa"/>
              <w:right w:w="40" w:type="dxa"/>
            </w:tcMar>
            <w:vAlign w:val="center"/>
          </w:tcPr>
          <w:p w14:paraId="555669EC" w14:textId="77777777" w:rsidR="00F925DD" w:rsidRDefault="00E705D7">
            <w:pPr>
              <w:jc w:val="right"/>
              <w:textAlignment w:val="center"/>
              <w:rPr>
                <w:rFonts w:ascii="Times New Roman" w:hAnsi="Times New Roman"/>
                <w:sz w:val="20"/>
                <w:szCs w:val="20"/>
              </w:rPr>
            </w:pPr>
            <w:hyperlink r:id="rId16" w:anchor="s1E541A77ADF02C4B9C0E143E87FD0884" w:history="1">
              <w:r>
                <w:rPr>
                  <w:rStyle w:val="a5"/>
                  <w:rFonts w:ascii="Arial" w:eastAsia="宋体" w:hAnsi="Arial" w:cs="Arial"/>
                  <w:color w:val="000000"/>
                  <w:sz w:val="20"/>
                  <w:szCs w:val="20"/>
                  <w:u w:val="none"/>
                </w:rPr>
                <w:t>55</w:t>
              </w:r>
            </w:hyperlink>
          </w:p>
        </w:tc>
      </w:tr>
      <w:tr w:rsidR="00F925DD" w14:paraId="555669F1" w14:textId="77777777">
        <w:tc>
          <w:tcPr>
            <w:tcW w:w="0" w:type="auto"/>
            <w:shd w:val="clear" w:color="auto" w:fill="auto"/>
            <w:tcMar>
              <w:top w:w="40" w:type="dxa"/>
              <w:left w:w="40" w:type="dxa"/>
              <w:bottom w:w="40" w:type="dxa"/>
              <w:right w:w="40" w:type="dxa"/>
            </w:tcMar>
            <w:vAlign w:val="bottom"/>
          </w:tcPr>
          <w:p w14:paraId="555669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560" w:type="dxa"/>
              <w:bottom w:w="40" w:type="dxa"/>
              <w:right w:w="40" w:type="dxa"/>
            </w:tcMar>
            <w:vAlign w:val="center"/>
          </w:tcPr>
          <w:p w14:paraId="555669EF" w14:textId="77777777" w:rsidR="00F925DD" w:rsidRDefault="00E705D7">
            <w:pPr>
              <w:textAlignment w:val="center"/>
              <w:rPr>
                <w:rFonts w:ascii="Times New Roman" w:hAnsi="Times New Roman"/>
                <w:sz w:val="20"/>
                <w:szCs w:val="20"/>
              </w:rPr>
            </w:pPr>
            <w:r>
              <w:rPr>
                <w:rFonts w:ascii="Arial" w:eastAsia="宋体" w:hAnsi="Arial" w:cs="Arial"/>
                <w:sz w:val="20"/>
                <w:szCs w:val="20"/>
              </w:rPr>
              <w:t xml:space="preserve">Overview of </w:t>
            </w:r>
            <w:r>
              <w:rPr>
                <w:rFonts w:ascii="Arial" w:eastAsia="宋体" w:hAnsi="Arial" w:cs="Arial"/>
                <w:sz w:val="20"/>
                <w:szCs w:val="20"/>
              </w:rPr>
              <w:t>Financial Results</w:t>
            </w:r>
          </w:p>
        </w:tc>
        <w:tc>
          <w:tcPr>
            <w:tcW w:w="0" w:type="auto"/>
            <w:shd w:val="clear" w:color="auto" w:fill="auto"/>
            <w:tcMar>
              <w:top w:w="40" w:type="dxa"/>
              <w:left w:w="40" w:type="dxa"/>
              <w:bottom w:w="40" w:type="dxa"/>
              <w:right w:w="40" w:type="dxa"/>
            </w:tcMar>
            <w:vAlign w:val="center"/>
          </w:tcPr>
          <w:p w14:paraId="555669F0" w14:textId="77777777" w:rsidR="00F925DD" w:rsidRDefault="00E705D7">
            <w:pPr>
              <w:jc w:val="right"/>
              <w:textAlignment w:val="center"/>
              <w:rPr>
                <w:rFonts w:ascii="Times New Roman" w:hAnsi="Times New Roman"/>
                <w:sz w:val="20"/>
                <w:szCs w:val="20"/>
              </w:rPr>
            </w:pPr>
            <w:hyperlink r:id="rId17" w:anchor="sDDC2ED5D798A58EE5E92143A745B0217" w:history="1">
              <w:r>
                <w:rPr>
                  <w:rStyle w:val="a5"/>
                  <w:rFonts w:ascii="Arial" w:eastAsia="宋体" w:hAnsi="Arial" w:cs="Arial"/>
                  <w:color w:val="000000"/>
                  <w:sz w:val="20"/>
                  <w:szCs w:val="20"/>
                  <w:u w:val="none"/>
                </w:rPr>
                <w:t>57</w:t>
              </w:r>
            </w:hyperlink>
          </w:p>
        </w:tc>
      </w:tr>
      <w:tr w:rsidR="00F925DD" w14:paraId="555669F5" w14:textId="77777777">
        <w:tc>
          <w:tcPr>
            <w:tcW w:w="0" w:type="auto"/>
            <w:shd w:val="clear" w:color="auto" w:fill="auto"/>
            <w:tcMar>
              <w:top w:w="40" w:type="dxa"/>
              <w:left w:w="40" w:type="dxa"/>
              <w:bottom w:w="40" w:type="dxa"/>
              <w:right w:w="40" w:type="dxa"/>
            </w:tcMar>
            <w:vAlign w:val="bottom"/>
          </w:tcPr>
          <w:p w14:paraId="555669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560" w:type="dxa"/>
              <w:bottom w:w="40" w:type="dxa"/>
              <w:right w:w="40" w:type="dxa"/>
            </w:tcMar>
            <w:vAlign w:val="center"/>
          </w:tcPr>
          <w:p w14:paraId="555669F3" w14:textId="77777777" w:rsidR="00F925DD" w:rsidRDefault="00E705D7">
            <w:pPr>
              <w:textAlignment w:val="center"/>
              <w:rPr>
                <w:rFonts w:ascii="Times New Roman" w:hAnsi="Times New Roman"/>
                <w:sz w:val="20"/>
                <w:szCs w:val="20"/>
              </w:rPr>
            </w:pPr>
            <w:r>
              <w:rPr>
                <w:rFonts w:ascii="Arial" w:eastAsia="宋体" w:hAnsi="Arial" w:cs="Arial"/>
                <w:sz w:val="20"/>
                <w:szCs w:val="20"/>
              </w:rPr>
              <w:t>Consolidated Results of Operations</w:t>
            </w:r>
          </w:p>
        </w:tc>
        <w:tc>
          <w:tcPr>
            <w:tcW w:w="0" w:type="auto"/>
            <w:shd w:val="clear" w:color="auto" w:fill="auto"/>
            <w:tcMar>
              <w:top w:w="40" w:type="dxa"/>
              <w:left w:w="40" w:type="dxa"/>
              <w:bottom w:w="40" w:type="dxa"/>
              <w:right w:w="40" w:type="dxa"/>
            </w:tcMar>
            <w:vAlign w:val="center"/>
          </w:tcPr>
          <w:p w14:paraId="555669F4" w14:textId="77777777" w:rsidR="00F925DD" w:rsidRDefault="00E705D7">
            <w:pPr>
              <w:jc w:val="right"/>
              <w:textAlignment w:val="center"/>
              <w:rPr>
                <w:rFonts w:ascii="Times New Roman" w:hAnsi="Times New Roman"/>
                <w:sz w:val="20"/>
                <w:szCs w:val="20"/>
              </w:rPr>
            </w:pPr>
            <w:hyperlink r:id="rId18" w:anchor="s98E485791C383BC9B6F5143E58714605" w:history="1">
              <w:r>
                <w:rPr>
                  <w:rStyle w:val="a5"/>
                  <w:rFonts w:ascii="Arial" w:eastAsia="宋体" w:hAnsi="Arial" w:cs="Arial"/>
                  <w:color w:val="000000"/>
                  <w:sz w:val="20"/>
                  <w:szCs w:val="20"/>
                  <w:u w:val="none"/>
                </w:rPr>
                <w:t>61</w:t>
              </w:r>
            </w:hyperlink>
          </w:p>
        </w:tc>
      </w:tr>
      <w:tr w:rsidR="00F925DD" w14:paraId="555669F9" w14:textId="77777777">
        <w:tc>
          <w:tcPr>
            <w:tcW w:w="0" w:type="auto"/>
            <w:shd w:val="clear" w:color="auto" w:fill="auto"/>
            <w:tcMar>
              <w:top w:w="40" w:type="dxa"/>
              <w:left w:w="40" w:type="dxa"/>
              <w:bottom w:w="40" w:type="dxa"/>
              <w:right w:w="40" w:type="dxa"/>
            </w:tcMar>
            <w:vAlign w:val="bottom"/>
          </w:tcPr>
          <w:p w14:paraId="555669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9F7" w14:textId="77777777" w:rsidR="00F925DD" w:rsidRDefault="00E705D7">
            <w:pPr>
              <w:textAlignment w:val="center"/>
              <w:rPr>
                <w:rFonts w:ascii="Times New Roman" w:hAnsi="Times New Roman"/>
                <w:sz w:val="20"/>
                <w:szCs w:val="20"/>
              </w:rPr>
            </w:pPr>
            <w:r>
              <w:rPr>
                <w:rFonts w:ascii="Arial" w:eastAsia="宋体" w:hAnsi="Arial" w:cs="Arial"/>
                <w:sz w:val="20"/>
                <w:szCs w:val="20"/>
              </w:rPr>
              <w:t>Total Revenue</w:t>
            </w:r>
          </w:p>
        </w:tc>
        <w:tc>
          <w:tcPr>
            <w:tcW w:w="0" w:type="auto"/>
            <w:shd w:val="clear" w:color="auto" w:fill="auto"/>
            <w:tcMar>
              <w:top w:w="40" w:type="dxa"/>
              <w:left w:w="40" w:type="dxa"/>
              <w:bottom w:w="40" w:type="dxa"/>
              <w:right w:w="40" w:type="dxa"/>
            </w:tcMar>
            <w:vAlign w:val="center"/>
          </w:tcPr>
          <w:p w14:paraId="555669F8" w14:textId="77777777" w:rsidR="00F925DD" w:rsidRDefault="00E705D7">
            <w:pPr>
              <w:jc w:val="right"/>
              <w:textAlignment w:val="center"/>
              <w:rPr>
                <w:rFonts w:ascii="Times New Roman" w:hAnsi="Times New Roman"/>
                <w:sz w:val="20"/>
                <w:szCs w:val="20"/>
              </w:rPr>
            </w:pPr>
            <w:hyperlink r:id="rId19" w:anchor="sFC062DC19D40A815E551143A971D36D1" w:history="1">
              <w:r>
                <w:rPr>
                  <w:rStyle w:val="a5"/>
                  <w:rFonts w:ascii="Arial" w:eastAsia="宋体" w:hAnsi="Arial" w:cs="Arial"/>
                  <w:color w:val="000000"/>
                  <w:sz w:val="20"/>
                  <w:szCs w:val="20"/>
                  <w:u w:val="none"/>
                </w:rPr>
                <w:t>61</w:t>
              </w:r>
            </w:hyperlink>
          </w:p>
        </w:tc>
      </w:tr>
      <w:tr w:rsidR="00F925DD" w14:paraId="555669FD" w14:textId="77777777">
        <w:tc>
          <w:tcPr>
            <w:tcW w:w="0" w:type="auto"/>
            <w:shd w:val="clear" w:color="auto" w:fill="auto"/>
            <w:tcMar>
              <w:top w:w="40" w:type="dxa"/>
              <w:left w:w="40" w:type="dxa"/>
              <w:bottom w:w="40" w:type="dxa"/>
              <w:right w:w="40" w:type="dxa"/>
            </w:tcMar>
            <w:vAlign w:val="bottom"/>
          </w:tcPr>
          <w:p w14:paraId="555669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9FB" w14:textId="77777777" w:rsidR="00F925DD" w:rsidRDefault="00E705D7">
            <w:pPr>
              <w:textAlignment w:val="center"/>
              <w:rPr>
                <w:rFonts w:ascii="Times New Roman" w:hAnsi="Times New Roman"/>
                <w:sz w:val="20"/>
                <w:szCs w:val="20"/>
              </w:rPr>
            </w:pPr>
            <w:r>
              <w:rPr>
                <w:rFonts w:ascii="Arial" w:eastAsia="宋体" w:hAnsi="Arial" w:cs="Arial"/>
                <w:sz w:val="20"/>
                <w:szCs w:val="20"/>
              </w:rPr>
              <w:t>Net Interest Income</w:t>
            </w:r>
          </w:p>
        </w:tc>
        <w:tc>
          <w:tcPr>
            <w:tcW w:w="0" w:type="auto"/>
            <w:shd w:val="clear" w:color="auto" w:fill="auto"/>
            <w:tcMar>
              <w:top w:w="40" w:type="dxa"/>
              <w:left w:w="40" w:type="dxa"/>
              <w:bottom w:w="40" w:type="dxa"/>
              <w:right w:w="40" w:type="dxa"/>
            </w:tcMar>
            <w:vAlign w:val="center"/>
          </w:tcPr>
          <w:p w14:paraId="555669FC" w14:textId="77777777" w:rsidR="00F925DD" w:rsidRDefault="00E705D7">
            <w:pPr>
              <w:jc w:val="right"/>
              <w:textAlignment w:val="center"/>
              <w:rPr>
                <w:rFonts w:ascii="Times New Roman" w:hAnsi="Times New Roman"/>
                <w:sz w:val="20"/>
                <w:szCs w:val="20"/>
              </w:rPr>
            </w:pPr>
            <w:hyperlink r:id="rId20" w:anchor="s62FBD0D0006E7C4A5E8B143CF8EB1A8D" w:history="1">
              <w:r>
                <w:rPr>
                  <w:rStyle w:val="a5"/>
                  <w:rFonts w:ascii="Arial" w:eastAsia="宋体" w:hAnsi="Arial" w:cs="Arial"/>
                  <w:color w:val="000000"/>
                  <w:sz w:val="20"/>
                  <w:szCs w:val="20"/>
                  <w:u w:val="none"/>
                </w:rPr>
                <w:t>64</w:t>
              </w:r>
            </w:hyperlink>
          </w:p>
        </w:tc>
      </w:tr>
      <w:tr w:rsidR="00F925DD" w14:paraId="55566A01" w14:textId="77777777">
        <w:tc>
          <w:tcPr>
            <w:tcW w:w="0" w:type="auto"/>
            <w:shd w:val="clear" w:color="auto" w:fill="auto"/>
            <w:tcMar>
              <w:top w:w="40" w:type="dxa"/>
              <w:left w:w="40" w:type="dxa"/>
              <w:bottom w:w="40" w:type="dxa"/>
              <w:right w:w="40" w:type="dxa"/>
            </w:tcMar>
            <w:vAlign w:val="bottom"/>
          </w:tcPr>
          <w:p w14:paraId="555669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9FF" w14:textId="77777777" w:rsidR="00F925DD" w:rsidRDefault="00E705D7">
            <w:pPr>
              <w:textAlignment w:val="center"/>
              <w:rPr>
                <w:rFonts w:ascii="Times New Roman" w:hAnsi="Times New Roman"/>
                <w:sz w:val="20"/>
                <w:szCs w:val="20"/>
              </w:rPr>
            </w:pPr>
            <w:r>
              <w:rPr>
                <w:rFonts w:ascii="Arial" w:eastAsia="宋体" w:hAnsi="Arial" w:cs="Arial"/>
                <w:sz w:val="20"/>
                <w:szCs w:val="20"/>
              </w:rPr>
              <w:t>Provision for Loan Losses</w:t>
            </w:r>
          </w:p>
        </w:tc>
        <w:tc>
          <w:tcPr>
            <w:tcW w:w="0" w:type="auto"/>
            <w:shd w:val="clear" w:color="auto" w:fill="auto"/>
            <w:tcMar>
              <w:top w:w="40" w:type="dxa"/>
              <w:left w:w="40" w:type="dxa"/>
              <w:bottom w:w="40" w:type="dxa"/>
              <w:right w:w="40" w:type="dxa"/>
            </w:tcMar>
            <w:vAlign w:val="center"/>
          </w:tcPr>
          <w:p w14:paraId="55566A00" w14:textId="77777777" w:rsidR="00F925DD" w:rsidRDefault="00E705D7">
            <w:pPr>
              <w:jc w:val="right"/>
              <w:textAlignment w:val="center"/>
              <w:rPr>
                <w:rFonts w:ascii="Times New Roman" w:hAnsi="Times New Roman"/>
                <w:sz w:val="20"/>
                <w:szCs w:val="20"/>
              </w:rPr>
            </w:pPr>
            <w:hyperlink r:id="rId21" w:anchor="s750385E151B3877B9785143A84C747AB" w:history="1">
              <w:r>
                <w:rPr>
                  <w:rStyle w:val="a5"/>
                  <w:rFonts w:ascii="Arial" w:eastAsia="宋体" w:hAnsi="Arial" w:cs="Arial"/>
                  <w:color w:val="000000"/>
                  <w:sz w:val="20"/>
                  <w:szCs w:val="20"/>
                  <w:u w:val="none"/>
                </w:rPr>
                <w:t>67</w:t>
              </w:r>
            </w:hyperlink>
          </w:p>
        </w:tc>
      </w:tr>
      <w:tr w:rsidR="00F925DD" w14:paraId="55566A05" w14:textId="77777777">
        <w:tc>
          <w:tcPr>
            <w:tcW w:w="0" w:type="auto"/>
            <w:shd w:val="clear" w:color="auto" w:fill="auto"/>
            <w:tcMar>
              <w:top w:w="40" w:type="dxa"/>
              <w:left w:w="40" w:type="dxa"/>
              <w:bottom w:w="40" w:type="dxa"/>
              <w:right w:w="40" w:type="dxa"/>
            </w:tcMar>
            <w:vAlign w:val="bottom"/>
          </w:tcPr>
          <w:p w14:paraId="55566A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03" w14:textId="77777777" w:rsidR="00F925DD" w:rsidRDefault="00E705D7">
            <w:pPr>
              <w:textAlignment w:val="center"/>
              <w:rPr>
                <w:rFonts w:ascii="Times New Roman" w:hAnsi="Times New Roman"/>
                <w:sz w:val="20"/>
                <w:szCs w:val="20"/>
              </w:rPr>
            </w:pPr>
            <w:r>
              <w:rPr>
                <w:rFonts w:ascii="Arial" w:eastAsia="宋体" w:hAnsi="Arial" w:cs="Arial"/>
                <w:sz w:val="20"/>
                <w:szCs w:val="20"/>
              </w:rPr>
              <w:t>Expenses</w:t>
            </w:r>
          </w:p>
        </w:tc>
        <w:tc>
          <w:tcPr>
            <w:tcW w:w="0" w:type="auto"/>
            <w:shd w:val="clear" w:color="auto" w:fill="auto"/>
            <w:tcMar>
              <w:top w:w="40" w:type="dxa"/>
              <w:left w:w="40" w:type="dxa"/>
              <w:bottom w:w="40" w:type="dxa"/>
              <w:right w:w="40" w:type="dxa"/>
            </w:tcMar>
            <w:vAlign w:val="center"/>
          </w:tcPr>
          <w:p w14:paraId="55566A04" w14:textId="77777777" w:rsidR="00F925DD" w:rsidRDefault="00E705D7">
            <w:pPr>
              <w:jc w:val="right"/>
              <w:textAlignment w:val="center"/>
              <w:rPr>
                <w:rFonts w:ascii="Times New Roman" w:hAnsi="Times New Roman"/>
                <w:sz w:val="20"/>
                <w:szCs w:val="20"/>
              </w:rPr>
            </w:pPr>
            <w:hyperlink r:id="rId22" w:anchor="s750385E151B3877B9785143A84C747AB" w:history="1">
              <w:r>
                <w:rPr>
                  <w:rStyle w:val="a5"/>
                  <w:rFonts w:ascii="Arial" w:eastAsia="宋体" w:hAnsi="Arial" w:cs="Arial"/>
                  <w:color w:val="000000"/>
                  <w:sz w:val="20"/>
                  <w:szCs w:val="20"/>
                  <w:u w:val="none"/>
                </w:rPr>
                <w:t>67</w:t>
              </w:r>
            </w:hyperlink>
          </w:p>
        </w:tc>
      </w:tr>
      <w:tr w:rsidR="00F925DD" w14:paraId="55566A09" w14:textId="77777777">
        <w:tc>
          <w:tcPr>
            <w:tcW w:w="0" w:type="auto"/>
            <w:shd w:val="clear" w:color="auto" w:fill="auto"/>
            <w:tcMar>
              <w:top w:w="40" w:type="dxa"/>
              <w:left w:w="40" w:type="dxa"/>
              <w:bottom w:w="40" w:type="dxa"/>
              <w:right w:w="40" w:type="dxa"/>
            </w:tcMar>
            <w:vAlign w:val="bottom"/>
          </w:tcPr>
          <w:p w14:paraId="55566A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880" w:type="dxa"/>
              <w:bottom w:w="40" w:type="dxa"/>
              <w:right w:w="40" w:type="dxa"/>
            </w:tcMar>
            <w:vAlign w:val="center"/>
          </w:tcPr>
          <w:p w14:paraId="55566A07" w14:textId="77777777" w:rsidR="00F925DD" w:rsidRDefault="00E705D7">
            <w:pPr>
              <w:textAlignment w:val="center"/>
              <w:rPr>
                <w:rFonts w:ascii="Times New Roman" w:hAnsi="Times New Roman"/>
                <w:sz w:val="20"/>
                <w:szCs w:val="20"/>
              </w:rPr>
            </w:pPr>
            <w:r>
              <w:rPr>
                <w:rFonts w:ascii="Arial" w:eastAsia="宋体" w:hAnsi="Arial" w:cs="Arial"/>
                <w:sz w:val="20"/>
                <w:szCs w:val="20"/>
              </w:rPr>
              <w:t xml:space="preserve">Acquisition </w:t>
            </w:r>
            <w:r>
              <w:rPr>
                <w:rFonts w:ascii="Arial" w:eastAsia="宋体" w:hAnsi="Arial" w:cs="Arial"/>
                <w:sz w:val="20"/>
                <w:szCs w:val="20"/>
              </w:rPr>
              <w:t>Costs</w:t>
            </w:r>
          </w:p>
        </w:tc>
        <w:tc>
          <w:tcPr>
            <w:tcW w:w="0" w:type="auto"/>
            <w:shd w:val="clear" w:color="auto" w:fill="auto"/>
            <w:tcMar>
              <w:top w:w="40" w:type="dxa"/>
              <w:left w:w="40" w:type="dxa"/>
              <w:bottom w:w="40" w:type="dxa"/>
              <w:right w:w="40" w:type="dxa"/>
            </w:tcMar>
            <w:vAlign w:val="center"/>
          </w:tcPr>
          <w:p w14:paraId="55566A08" w14:textId="77777777" w:rsidR="00F925DD" w:rsidRDefault="00E705D7">
            <w:pPr>
              <w:jc w:val="right"/>
              <w:textAlignment w:val="center"/>
              <w:rPr>
                <w:rFonts w:ascii="Times New Roman" w:hAnsi="Times New Roman"/>
                <w:sz w:val="20"/>
                <w:szCs w:val="20"/>
              </w:rPr>
            </w:pPr>
            <w:hyperlink r:id="rId23" w:anchor="s750385E151B3877B9785143A84C747AB" w:history="1">
              <w:r>
                <w:rPr>
                  <w:rStyle w:val="a5"/>
                  <w:rFonts w:ascii="Arial" w:eastAsia="宋体" w:hAnsi="Arial" w:cs="Arial"/>
                  <w:color w:val="000000"/>
                  <w:sz w:val="20"/>
                  <w:szCs w:val="20"/>
                  <w:u w:val="none"/>
                </w:rPr>
                <w:t>67</w:t>
              </w:r>
            </w:hyperlink>
          </w:p>
        </w:tc>
      </w:tr>
      <w:tr w:rsidR="00F925DD" w14:paraId="55566A0D" w14:textId="77777777">
        <w:tc>
          <w:tcPr>
            <w:tcW w:w="0" w:type="auto"/>
            <w:shd w:val="clear" w:color="auto" w:fill="auto"/>
            <w:tcMar>
              <w:top w:w="40" w:type="dxa"/>
              <w:left w:w="40" w:type="dxa"/>
              <w:bottom w:w="40" w:type="dxa"/>
              <w:right w:w="40" w:type="dxa"/>
            </w:tcMar>
            <w:vAlign w:val="bottom"/>
          </w:tcPr>
          <w:p w14:paraId="55566A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880" w:type="dxa"/>
              <w:bottom w:w="40" w:type="dxa"/>
              <w:right w:w="40" w:type="dxa"/>
            </w:tcMar>
            <w:vAlign w:val="center"/>
          </w:tcPr>
          <w:p w14:paraId="55566A0B" w14:textId="77777777" w:rsidR="00F925DD" w:rsidRDefault="00E705D7">
            <w:pPr>
              <w:textAlignment w:val="center"/>
              <w:rPr>
                <w:rFonts w:ascii="Times New Roman" w:hAnsi="Times New Roman"/>
                <w:sz w:val="20"/>
                <w:szCs w:val="20"/>
              </w:rPr>
            </w:pPr>
            <w:r>
              <w:rPr>
                <w:rFonts w:ascii="Arial" w:eastAsia="宋体" w:hAnsi="Arial" w:cs="Arial"/>
                <w:sz w:val="20"/>
                <w:szCs w:val="20"/>
              </w:rPr>
              <w:t>Restructuring and Repositioning Charges</w:t>
            </w:r>
          </w:p>
        </w:tc>
        <w:tc>
          <w:tcPr>
            <w:tcW w:w="0" w:type="auto"/>
            <w:shd w:val="clear" w:color="auto" w:fill="auto"/>
            <w:tcMar>
              <w:top w:w="40" w:type="dxa"/>
              <w:left w:w="40" w:type="dxa"/>
              <w:bottom w:w="40" w:type="dxa"/>
              <w:right w:w="40" w:type="dxa"/>
            </w:tcMar>
            <w:vAlign w:val="center"/>
          </w:tcPr>
          <w:p w14:paraId="55566A0C" w14:textId="77777777" w:rsidR="00F925DD" w:rsidRDefault="00E705D7">
            <w:pPr>
              <w:jc w:val="right"/>
              <w:textAlignment w:val="center"/>
              <w:rPr>
                <w:rFonts w:ascii="Times New Roman" w:hAnsi="Times New Roman"/>
                <w:sz w:val="20"/>
                <w:szCs w:val="20"/>
              </w:rPr>
            </w:pPr>
            <w:hyperlink r:id="rId24" w:anchor="s750385E151B3877B9785143A84C747AB" w:history="1">
              <w:r>
                <w:rPr>
                  <w:rStyle w:val="a5"/>
                  <w:rFonts w:ascii="Arial" w:eastAsia="宋体" w:hAnsi="Arial" w:cs="Arial"/>
                  <w:color w:val="000000"/>
                  <w:sz w:val="20"/>
                  <w:szCs w:val="20"/>
                  <w:u w:val="none"/>
                </w:rPr>
                <w:t>67</w:t>
              </w:r>
            </w:hyperlink>
          </w:p>
        </w:tc>
      </w:tr>
      <w:tr w:rsidR="00F925DD" w14:paraId="55566A11" w14:textId="77777777">
        <w:tc>
          <w:tcPr>
            <w:tcW w:w="0" w:type="auto"/>
            <w:shd w:val="clear" w:color="auto" w:fill="auto"/>
            <w:tcMar>
              <w:top w:w="40" w:type="dxa"/>
              <w:left w:w="40" w:type="dxa"/>
              <w:bottom w:w="40" w:type="dxa"/>
              <w:right w:w="40" w:type="dxa"/>
            </w:tcMar>
            <w:vAlign w:val="bottom"/>
          </w:tcPr>
          <w:p w14:paraId="55566A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560" w:type="dxa"/>
              <w:bottom w:w="40" w:type="dxa"/>
              <w:right w:w="40" w:type="dxa"/>
            </w:tcMar>
            <w:vAlign w:val="center"/>
          </w:tcPr>
          <w:p w14:paraId="55566A0F" w14:textId="77777777" w:rsidR="00F925DD" w:rsidRDefault="00E705D7">
            <w:pPr>
              <w:textAlignment w:val="center"/>
              <w:rPr>
                <w:rFonts w:ascii="Times New Roman" w:hAnsi="Times New Roman"/>
                <w:sz w:val="20"/>
                <w:szCs w:val="20"/>
              </w:rPr>
            </w:pPr>
            <w:r>
              <w:rPr>
                <w:rFonts w:ascii="Arial" w:eastAsia="宋体" w:hAnsi="Arial" w:cs="Arial"/>
                <w:sz w:val="20"/>
                <w:szCs w:val="20"/>
              </w:rPr>
              <w:t>  Income Tax Expense</w:t>
            </w:r>
          </w:p>
        </w:tc>
        <w:tc>
          <w:tcPr>
            <w:tcW w:w="0" w:type="auto"/>
            <w:shd w:val="clear" w:color="auto" w:fill="auto"/>
            <w:tcMar>
              <w:top w:w="40" w:type="dxa"/>
              <w:left w:w="40" w:type="dxa"/>
              <w:bottom w:w="40" w:type="dxa"/>
              <w:right w:w="40" w:type="dxa"/>
            </w:tcMar>
            <w:vAlign w:val="center"/>
          </w:tcPr>
          <w:p w14:paraId="55566A10" w14:textId="77777777" w:rsidR="00F925DD" w:rsidRDefault="00E705D7">
            <w:pPr>
              <w:jc w:val="right"/>
              <w:textAlignment w:val="center"/>
              <w:rPr>
                <w:rFonts w:ascii="Times New Roman" w:hAnsi="Times New Roman"/>
                <w:sz w:val="20"/>
                <w:szCs w:val="20"/>
              </w:rPr>
            </w:pPr>
            <w:hyperlink r:id="rId25" w:anchor="s3F84A5D19C057AB1A715143E5CA9DBDA" w:history="1">
              <w:r>
                <w:rPr>
                  <w:rStyle w:val="a5"/>
                  <w:rFonts w:ascii="Arial" w:eastAsia="宋体" w:hAnsi="Arial" w:cs="Arial"/>
                  <w:color w:val="000000"/>
                  <w:sz w:val="20"/>
                  <w:szCs w:val="20"/>
                  <w:u w:val="none"/>
                </w:rPr>
                <w:t>68</w:t>
              </w:r>
            </w:hyperlink>
          </w:p>
        </w:tc>
      </w:tr>
      <w:tr w:rsidR="00F925DD" w14:paraId="55566A15" w14:textId="77777777">
        <w:tc>
          <w:tcPr>
            <w:tcW w:w="0" w:type="auto"/>
            <w:shd w:val="clear" w:color="auto" w:fill="auto"/>
            <w:tcMar>
              <w:top w:w="40" w:type="dxa"/>
              <w:left w:w="40" w:type="dxa"/>
              <w:bottom w:w="40" w:type="dxa"/>
              <w:right w:w="40" w:type="dxa"/>
            </w:tcMar>
            <w:vAlign w:val="bottom"/>
          </w:tcPr>
          <w:p w14:paraId="55566A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560" w:type="dxa"/>
              <w:bottom w:w="40" w:type="dxa"/>
              <w:right w:w="40" w:type="dxa"/>
            </w:tcMar>
            <w:vAlign w:val="center"/>
          </w:tcPr>
          <w:p w14:paraId="55566A13" w14:textId="77777777" w:rsidR="00F925DD" w:rsidRDefault="00E705D7">
            <w:pPr>
              <w:textAlignment w:val="center"/>
              <w:rPr>
                <w:rFonts w:ascii="Times New Roman" w:hAnsi="Times New Roman"/>
                <w:sz w:val="20"/>
                <w:szCs w:val="20"/>
              </w:rPr>
            </w:pPr>
            <w:r>
              <w:rPr>
                <w:rFonts w:ascii="Arial" w:eastAsia="宋体" w:hAnsi="Arial" w:cs="Arial"/>
                <w:sz w:val="20"/>
                <w:szCs w:val="20"/>
              </w:rPr>
              <w:t>Line of Business Information</w:t>
            </w:r>
          </w:p>
        </w:tc>
        <w:tc>
          <w:tcPr>
            <w:tcW w:w="0" w:type="auto"/>
            <w:shd w:val="clear" w:color="auto" w:fill="auto"/>
            <w:tcMar>
              <w:top w:w="40" w:type="dxa"/>
              <w:left w:w="40" w:type="dxa"/>
              <w:bottom w:w="40" w:type="dxa"/>
              <w:right w:w="40" w:type="dxa"/>
            </w:tcMar>
            <w:vAlign w:val="center"/>
          </w:tcPr>
          <w:p w14:paraId="55566A14" w14:textId="77777777" w:rsidR="00F925DD" w:rsidRDefault="00E705D7">
            <w:pPr>
              <w:jc w:val="right"/>
              <w:textAlignment w:val="center"/>
              <w:rPr>
                <w:rFonts w:ascii="Times New Roman" w:hAnsi="Times New Roman"/>
                <w:sz w:val="20"/>
                <w:szCs w:val="20"/>
              </w:rPr>
            </w:pPr>
            <w:hyperlink r:id="rId26" w:anchor="s28DCA791C6552801DD72143E5D03099B" w:history="1">
              <w:r>
                <w:rPr>
                  <w:rStyle w:val="a5"/>
                  <w:rFonts w:ascii="Arial" w:eastAsia="宋体" w:hAnsi="Arial" w:cs="Arial"/>
                  <w:color w:val="000000"/>
                  <w:sz w:val="20"/>
                  <w:szCs w:val="20"/>
                  <w:u w:val="none"/>
                </w:rPr>
                <w:t>68</w:t>
              </w:r>
            </w:hyperlink>
          </w:p>
        </w:tc>
      </w:tr>
      <w:tr w:rsidR="00F925DD" w14:paraId="55566A19" w14:textId="77777777">
        <w:tc>
          <w:tcPr>
            <w:tcW w:w="0" w:type="auto"/>
            <w:shd w:val="clear" w:color="auto" w:fill="auto"/>
            <w:tcMar>
              <w:top w:w="40" w:type="dxa"/>
              <w:left w:w="40" w:type="dxa"/>
              <w:bottom w:w="40" w:type="dxa"/>
              <w:right w:w="40" w:type="dxa"/>
            </w:tcMar>
            <w:vAlign w:val="bottom"/>
          </w:tcPr>
          <w:p w14:paraId="55566A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17" w14:textId="77777777" w:rsidR="00F925DD" w:rsidRDefault="00E705D7">
            <w:pPr>
              <w:textAlignment w:val="center"/>
              <w:rPr>
                <w:rFonts w:ascii="Times New Roman" w:hAnsi="Times New Roman"/>
                <w:sz w:val="20"/>
                <w:szCs w:val="20"/>
              </w:rPr>
            </w:pPr>
            <w:r>
              <w:rPr>
                <w:rFonts w:ascii="Arial" w:eastAsia="宋体" w:hAnsi="Arial" w:cs="Arial"/>
                <w:sz w:val="20"/>
                <w:szCs w:val="20"/>
              </w:rPr>
              <w:t>Investment Servicing</w:t>
            </w:r>
          </w:p>
        </w:tc>
        <w:tc>
          <w:tcPr>
            <w:tcW w:w="0" w:type="auto"/>
            <w:shd w:val="clear" w:color="auto" w:fill="auto"/>
            <w:tcMar>
              <w:top w:w="40" w:type="dxa"/>
              <w:left w:w="40" w:type="dxa"/>
              <w:bottom w:w="40" w:type="dxa"/>
              <w:right w:w="40" w:type="dxa"/>
            </w:tcMar>
            <w:vAlign w:val="center"/>
          </w:tcPr>
          <w:p w14:paraId="55566A18" w14:textId="77777777" w:rsidR="00F925DD" w:rsidRDefault="00E705D7">
            <w:pPr>
              <w:jc w:val="right"/>
              <w:textAlignment w:val="center"/>
              <w:rPr>
                <w:rFonts w:ascii="Times New Roman" w:hAnsi="Times New Roman"/>
                <w:sz w:val="20"/>
                <w:szCs w:val="20"/>
              </w:rPr>
            </w:pPr>
            <w:hyperlink r:id="rId27" w:anchor="sB0BCD223936D95DABE14143A7D136467" w:history="1">
              <w:r>
                <w:rPr>
                  <w:rStyle w:val="a5"/>
                  <w:rFonts w:ascii="Arial" w:eastAsia="宋体" w:hAnsi="Arial" w:cs="Arial"/>
                  <w:color w:val="000000"/>
                  <w:sz w:val="20"/>
                  <w:szCs w:val="20"/>
                  <w:u w:val="none"/>
                </w:rPr>
                <w:t>69</w:t>
              </w:r>
            </w:hyperlink>
          </w:p>
        </w:tc>
      </w:tr>
      <w:tr w:rsidR="00F925DD" w14:paraId="55566A1D" w14:textId="77777777">
        <w:tc>
          <w:tcPr>
            <w:tcW w:w="0" w:type="auto"/>
            <w:shd w:val="clear" w:color="auto" w:fill="auto"/>
            <w:tcMar>
              <w:top w:w="40" w:type="dxa"/>
              <w:left w:w="40" w:type="dxa"/>
              <w:bottom w:w="40" w:type="dxa"/>
              <w:right w:w="40" w:type="dxa"/>
            </w:tcMar>
            <w:vAlign w:val="bottom"/>
          </w:tcPr>
          <w:p w14:paraId="55566A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1B" w14:textId="77777777" w:rsidR="00F925DD" w:rsidRDefault="00E705D7">
            <w:pPr>
              <w:textAlignment w:val="center"/>
              <w:rPr>
                <w:rFonts w:ascii="Times New Roman" w:hAnsi="Times New Roman"/>
                <w:sz w:val="20"/>
                <w:szCs w:val="20"/>
              </w:rPr>
            </w:pPr>
            <w:r>
              <w:rPr>
                <w:rFonts w:ascii="Arial" w:eastAsia="宋体" w:hAnsi="Arial" w:cs="Arial"/>
                <w:sz w:val="20"/>
                <w:szCs w:val="20"/>
              </w:rPr>
              <w:t>Investment Management</w:t>
            </w:r>
          </w:p>
        </w:tc>
        <w:tc>
          <w:tcPr>
            <w:tcW w:w="0" w:type="auto"/>
            <w:shd w:val="clear" w:color="auto" w:fill="auto"/>
            <w:tcMar>
              <w:top w:w="40" w:type="dxa"/>
              <w:left w:w="40" w:type="dxa"/>
              <w:bottom w:w="40" w:type="dxa"/>
              <w:right w:w="40" w:type="dxa"/>
            </w:tcMar>
            <w:vAlign w:val="center"/>
          </w:tcPr>
          <w:p w14:paraId="55566A1C" w14:textId="77777777" w:rsidR="00F925DD" w:rsidRDefault="00E705D7">
            <w:pPr>
              <w:jc w:val="right"/>
              <w:textAlignment w:val="center"/>
              <w:rPr>
                <w:rFonts w:ascii="Times New Roman" w:hAnsi="Times New Roman"/>
                <w:sz w:val="20"/>
                <w:szCs w:val="20"/>
              </w:rPr>
            </w:pPr>
            <w:hyperlink r:id="rId28" w:anchor="s76842E88F525F92E0331143A895B2315" w:history="1">
              <w:r>
                <w:rPr>
                  <w:rStyle w:val="a5"/>
                  <w:rFonts w:ascii="Arial" w:eastAsia="宋体" w:hAnsi="Arial" w:cs="Arial"/>
                  <w:color w:val="000000"/>
                  <w:sz w:val="20"/>
                  <w:szCs w:val="20"/>
                  <w:u w:val="none"/>
                </w:rPr>
                <w:t>72</w:t>
              </w:r>
            </w:hyperlink>
          </w:p>
        </w:tc>
      </w:tr>
      <w:tr w:rsidR="00F925DD" w14:paraId="55566A21" w14:textId="77777777">
        <w:tc>
          <w:tcPr>
            <w:tcW w:w="0" w:type="auto"/>
            <w:shd w:val="clear" w:color="auto" w:fill="auto"/>
            <w:tcMar>
              <w:top w:w="40" w:type="dxa"/>
              <w:left w:w="40" w:type="dxa"/>
              <w:bottom w:w="40" w:type="dxa"/>
              <w:right w:w="40" w:type="dxa"/>
            </w:tcMar>
            <w:vAlign w:val="bottom"/>
          </w:tcPr>
          <w:p w14:paraId="55566A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560" w:type="dxa"/>
              <w:bottom w:w="40" w:type="dxa"/>
              <w:right w:w="40" w:type="dxa"/>
            </w:tcMar>
            <w:vAlign w:val="center"/>
          </w:tcPr>
          <w:p w14:paraId="55566A1F" w14:textId="77777777" w:rsidR="00F925DD" w:rsidRDefault="00E705D7">
            <w:pPr>
              <w:textAlignment w:val="center"/>
              <w:rPr>
                <w:rFonts w:ascii="Times New Roman" w:hAnsi="Times New Roman"/>
                <w:sz w:val="20"/>
                <w:szCs w:val="20"/>
              </w:rPr>
            </w:pPr>
            <w:r>
              <w:rPr>
                <w:rFonts w:ascii="Arial" w:eastAsia="宋体" w:hAnsi="Arial" w:cs="Arial"/>
                <w:sz w:val="20"/>
                <w:szCs w:val="20"/>
              </w:rPr>
              <w:t>Financial Condition</w:t>
            </w:r>
          </w:p>
        </w:tc>
        <w:tc>
          <w:tcPr>
            <w:tcW w:w="0" w:type="auto"/>
            <w:shd w:val="clear" w:color="auto" w:fill="auto"/>
            <w:tcMar>
              <w:top w:w="40" w:type="dxa"/>
              <w:left w:w="40" w:type="dxa"/>
              <w:bottom w:w="40" w:type="dxa"/>
              <w:right w:w="40" w:type="dxa"/>
            </w:tcMar>
            <w:vAlign w:val="center"/>
          </w:tcPr>
          <w:p w14:paraId="55566A20" w14:textId="77777777" w:rsidR="00F925DD" w:rsidRDefault="00E705D7">
            <w:pPr>
              <w:jc w:val="right"/>
              <w:textAlignment w:val="center"/>
              <w:rPr>
                <w:rFonts w:ascii="Times New Roman" w:hAnsi="Times New Roman"/>
                <w:sz w:val="20"/>
                <w:szCs w:val="20"/>
              </w:rPr>
            </w:pPr>
            <w:hyperlink r:id="rId29" w:anchor="sF6548C5988C23A82274C143A7D31909A" w:history="1">
              <w:r>
                <w:rPr>
                  <w:rStyle w:val="a5"/>
                  <w:rFonts w:ascii="Arial" w:eastAsia="宋体" w:hAnsi="Arial" w:cs="Arial"/>
                  <w:color w:val="000000"/>
                  <w:sz w:val="20"/>
                  <w:szCs w:val="20"/>
                  <w:u w:val="none"/>
                </w:rPr>
                <w:t>74</w:t>
              </w:r>
            </w:hyperlink>
          </w:p>
        </w:tc>
      </w:tr>
      <w:tr w:rsidR="00F925DD" w14:paraId="55566A25" w14:textId="77777777">
        <w:tc>
          <w:tcPr>
            <w:tcW w:w="0" w:type="auto"/>
            <w:shd w:val="clear" w:color="auto" w:fill="auto"/>
            <w:tcMar>
              <w:top w:w="40" w:type="dxa"/>
              <w:left w:w="40" w:type="dxa"/>
              <w:bottom w:w="40" w:type="dxa"/>
              <w:right w:w="40" w:type="dxa"/>
            </w:tcMar>
            <w:vAlign w:val="bottom"/>
          </w:tcPr>
          <w:p w14:paraId="55566A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23" w14:textId="77777777" w:rsidR="00F925DD" w:rsidRDefault="00E705D7">
            <w:pPr>
              <w:textAlignment w:val="center"/>
              <w:rPr>
                <w:rFonts w:ascii="Times New Roman" w:hAnsi="Times New Roman"/>
                <w:sz w:val="20"/>
                <w:szCs w:val="20"/>
              </w:rPr>
            </w:pPr>
            <w:r>
              <w:rPr>
                <w:rFonts w:ascii="Arial" w:eastAsia="宋体" w:hAnsi="Arial" w:cs="Arial"/>
                <w:sz w:val="20"/>
                <w:szCs w:val="20"/>
              </w:rPr>
              <w:t>Investment Securities</w:t>
            </w:r>
          </w:p>
        </w:tc>
        <w:tc>
          <w:tcPr>
            <w:tcW w:w="0" w:type="auto"/>
            <w:shd w:val="clear" w:color="auto" w:fill="auto"/>
            <w:tcMar>
              <w:top w:w="40" w:type="dxa"/>
              <w:left w:w="40" w:type="dxa"/>
              <w:bottom w:w="40" w:type="dxa"/>
              <w:right w:w="40" w:type="dxa"/>
            </w:tcMar>
            <w:vAlign w:val="center"/>
          </w:tcPr>
          <w:p w14:paraId="55566A24" w14:textId="77777777" w:rsidR="00F925DD" w:rsidRDefault="00E705D7">
            <w:pPr>
              <w:jc w:val="right"/>
              <w:textAlignment w:val="center"/>
              <w:rPr>
                <w:rFonts w:ascii="Times New Roman" w:hAnsi="Times New Roman"/>
                <w:sz w:val="20"/>
                <w:szCs w:val="20"/>
              </w:rPr>
            </w:pPr>
            <w:hyperlink r:id="rId30" w:anchor="sCED2EC369F8BDF510A48143AA73A71A5" w:history="1">
              <w:r>
                <w:rPr>
                  <w:rStyle w:val="a5"/>
                  <w:rFonts w:ascii="Arial" w:eastAsia="宋体" w:hAnsi="Arial" w:cs="Arial"/>
                  <w:color w:val="000000"/>
                  <w:sz w:val="20"/>
                  <w:szCs w:val="20"/>
                  <w:u w:val="none"/>
                </w:rPr>
                <w:t>75</w:t>
              </w:r>
            </w:hyperlink>
          </w:p>
        </w:tc>
      </w:tr>
      <w:tr w:rsidR="00F925DD" w14:paraId="55566A29" w14:textId="77777777">
        <w:tc>
          <w:tcPr>
            <w:tcW w:w="0" w:type="auto"/>
            <w:shd w:val="clear" w:color="auto" w:fill="auto"/>
            <w:tcMar>
              <w:top w:w="40" w:type="dxa"/>
              <w:left w:w="40" w:type="dxa"/>
              <w:bottom w:w="40" w:type="dxa"/>
              <w:right w:w="40" w:type="dxa"/>
            </w:tcMar>
            <w:vAlign w:val="bottom"/>
          </w:tcPr>
          <w:p w14:paraId="55566A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27" w14:textId="77777777" w:rsidR="00F925DD" w:rsidRDefault="00E705D7">
            <w:pPr>
              <w:textAlignment w:val="center"/>
              <w:rPr>
                <w:rFonts w:ascii="Times New Roman" w:hAnsi="Times New Roman"/>
                <w:sz w:val="20"/>
                <w:szCs w:val="20"/>
              </w:rPr>
            </w:pPr>
            <w:r>
              <w:rPr>
                <w:rFonts w:ascii="Arial" w:eastAsia="宋体" w:hAnsi="Arial" w:cs="Arial"/>
                <w:sz w:val="20"/>
                <w:szCs w:val="20"/>
              </w:rPr>
              <w:t>Loans and Leases</w:t>
            </w:r>
          </w:p>
        </w:tc>
        <w:tc>
          <w:tcPr>
            <w:tcW w:w="0" w:type="auto"/>
            <w:shd w:val="clear" w:color="auto" w:fill="auto"/>
            <w:tcMar>
              <w:top w:w="40" w:type="dxa"/>
              <w:left w:w="40" w:type="dxa"/>
              <w:bottom w:w="40" w:type="dxa"/>
              <w:right w:w="40" w:type="dxa"/>
            </w:tcMar>
            <w:vAlign w:val="center"/>
          </w:tcPr>
          <w:p w14:paraId="55566A28" w14:textId="77777777" w:rsidR="00F925DD" w:rsidRDefault="00E705D7">
            <w:pPr>
              <w:jc w:val="right"/>
              <w:textAlignment w:val="center"/>
              <w:rPr>
                <w:rFonts w:ascii="Times New Roman" w:hAnsi="Times New Roman"/>
                <w:sz w:val="20"/>
                <w:szCs w:val="20"/>
              </w:rPr>
            </w:pPr>
            <w:hyperlink r:id="rId31" w:anchor="s91952B8B9B2728CC6A99143A87207B9B" w:history="1">
              <w:r>
                <w:rPr>
                  <w:rStyle w:val="a5"/>
                  <w:rFonts w:ascii="Arial" w:eastAsia="宋体" w:hAnsi="Arial" w:cs="Arial"/>
                  <w:color w:val="000000"/>
                  <w:sz w:val="20"/>
                  <w:szCs w:val="20"/>
                  <w:u w:val="none"/>
                </w:rPr>
                <w:t>78</w:t>
              </w:r>
            </w:hyperlink>
          </w:p>
        </w:tc>
      </w:tr>
      <w:tr w:rsidR="00F925DD" w14:paraId="55566A2D" w14:textId="77777777">
        <w:tc>
          <w:tcPr>
            <w:tcW w:w="0" w:type="auto"/>
            <w:shd w:val="clear" w:color="auto" w:fill="auto"/>
            <w:tcMar>
              <w:top w:w="40" w:type="dxa"/>
              <w:left w:w="40" w:type="dxa"/>
              <w:bottom w:w="40" w:type="dxa"/>
              <w:right w:w="40" w:type="dxa"/>
            </w:tcMar>
            <w:vAlign w:val="bottom"/>
          </w:tcPr>
          <w:p w14:paraId="55566A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2B" w14:textId="77777777" w:rsidR="00F925DD" w:rsidRDefault="00E705D7">
            <w:pPr>
              <w:textAlignment w:val="center"/>
              <w:rPr>
                <w:rFonts w:ascii="Times New Roman" w:hAnsi="Times New Roman"/>
                <w:sz w:val="20"/>
                <w:szCs w:val="20"/>
              </w:rPr>
            </w:pPr>
            <w:r>
              <w:rPr>
                <w:rFonts w:ascii="Arial" w:eastAsia="宋体" w:hAnsi="Arial" w:cs="Arial"/>
                <w:sz w:val="20"/>
                <w:szCs w:val="20"/>
              </w:rPr>
              <w:t>Cross-Border Outstandings</w:t>
            </w:r>
          </w:p>
        </w:tc>
        <w:tc>
          <w:tcPr>
            <w:tcW w:w="0" w:type="auto"/>
            <w:shd w:val="clear" w:color="auto" w:fill="auto"/>
            <w:tcMar>
              <w:top w:w="40" w:type="dxa"/>
              <w:left w:w="40" w:type="dxa"/>
              <w:bottom w:w="40" w:type="dxa"/>
              <w:right w:w="40" w:type="dxa"/>
            </w:tcMar>
            <w:vAlign w:val="center"/>
          </w:tcPr>
          <w:p w14:paraId="55566A2C" w14:textId="77777777" w:rsidR="00F925DD" w:rsidRDefault="00E705D7">
            <w:pPr>
              <w:jc w:val="right"/>
              <w:textAlignment w:val="center"/>
              <w:rPr>
                <w:rFonts w:ascii="Times New Roman" w:hAnsi="Times New Roman"/>
                <w:sz w:val="20"/>
                <w:szCs w:val="20"/>
              </w:rPr>
            </w:pPr>
            <w:hyperlink r:id="rId32" w:anchor="s0D8B6C06650E1B834B64143AA9090D42" w:history="1">
              <w:r>
                <w:rPr>
                  <w:rStyle w:val="a5"/>
                  <w:rFonts w:ascii="Arial" w:eastAsia="宋体" w:hAnsi="Arial" w:cs="Arial"/>
                  <w:color w:val="000000"/>
                  <w:sz w:val="20"/>
                  <w:szCs w:val="20"/>
                  <w:u w:val="none"/>
                </w:rPr>
                <w:t>79</w:t>
              </w:r>
            </w:hyperlink>
          </w:p>
        </w:tc>
      </w:tr>
      <w:tr w:rsidR="00F925DD" w14:paraId="55566A31" w14:textId="77777777">
        <w:tc>
          <w:tcPr>
            <w:tcW w:w="0" w:type="auto"/>
            <w:shd w:val="clear" w:color="auto" w:fill="auto"/>
            <w:tcMar>
              <w:top w:w="40" w:type="dxa"/>
              <w:left w:w="40" w:type="dxa"/>
              <w:bottom w:w="40" w:type="dxa"/>
              <w:right w:w="40" w:type="dxa"/>
            </w:tcMar>
            <w:vAlign w:val="bottom"/>
          </w:tcPr>
          <w:p w14:paraId="55566A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2F" w14:textId="77777777" w:rsidR="00F925DD" w:rsidRDefault="00E705D7">
            <w:pPr>
              <w:textAlignment w:val="center"/>
              <w:rPr>
                <w:rFonts w:ascii="Times New Roman" w:hAnsi="Times New Roman"/>
                <w:sz w:val="20"/>
                <w:szCs w:val="20"/>
              </w:rPr>
            </w:pPr>
            <w:r>
              <w:rPr>
                <w:rFonts w:ascii="Arial" w:eastAsia="宋体" w:hAnsi="Arial" w:cs="Arial"/>
                <w:sz w:val="20"/>
                <w:szCs w:val="20"/>
              </w:rPr>
              <w:t>Risk Management</w:t>
            </w:r>
          </w:p>
        </w:tc>
        <w:tc>
          <w:tcPr>
            <w:tcW w:w="0" w:type="auto"/>
            <w:shd w:val="clear" w:color="auto" w:fill="auto"/>
            <w:tcMar>
              <w:top w:w="40" w:type="dxa"/>
              <w:left w:w="40" w:type="dxa"/>
              <w:bottom w:w="40" w:type="dxa"/>
              <w:right w:w="40" w:type="dxa"/>
            </w:tcMar>
            <w:vAlign w:val="center"/>
          </w:tcPr>
          <w:p w14:paraId="55566A30" w14:textId="77777777" w:rsidR="00F925DD" w:rsidRDefault="00E705D7">
            <w:pPr>
              <w:jc w:val="right"/>
              <w:textAlignment w:val="center"/>
              <w:rPr>
                <w:rFonts w:ascii="Times New Roman" w:hAnsi="Times New Roman"/>
                <w:sz w:val="20"/>
                <w:szCs w:val="20"/>
              </w:rPr>
            </w:pPr>
            <w:hyperlink r:id="rId33" w:anchor="s212EB97CB41248C0AA5D143E8A871FA3" w:history="1">
              <w:r>
                <w:rPr>
                  <w:rStyle w:val="a5"/>
                  <w:rFonts w:ascii="Arial" w:eastAsia="宋体" w:hAnsi="Arial" w:cs="Arial"/>
                  <w:color w:val="000000"/>
                  <w:sz w:val="20"/>
                  <w:szCs w:val="20"/>
                  <w:u w:val="none"/>
                </w:rPr>
                <w:t>80</w:t>
              </w:r>
            </w:hyperlink>
          </w:p>
        </w:tc>
      </w:tr>
      <w:tr w:rsidR="00F925DD" w14:paraId="55566A35" w14:textId="77777777">
        <w:tc>
          <w:tcPr>
            <w:tcW w:w="0" w:type="auto"/>
            <w:shd w:val="clear" w:color="auto" w:fill="auto"/>
            <w:tcMar>
              <w:top w:w="40" w:type="dxa"/>
              <w:left w:w="40" w:type="dxa"/>
              <w:bottom w:w="40" w:type="dxa"/>
              <w:right w:w="40" w:type="dxa"/>
            </w:tcMar>
            <w:vAlign w:val="bottom"/>
          </w:tcPr>
          <w:p w14:paraId="55566A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33" w14:textId="77777777" w:rsidR="00F925DD" w:rsidRDefault="00E705D7">
            <w:pPr>
              <w:textAlignment w:val="center"/>
              <w:rPr>
                <w:rFonts w:ascii="Times New Roman" w:hAnsi="Times New Roman"/>
                <w:sz w:val="20"/>
                <w:szCs w:val="20"/>
              </w:rPr>
            </w:pPr>
            <w:r>
              <w:rPr>
                <w:rFonts w:ascii="Arial" w:eastAsia="宋体" w:hAnsi="Arial" w:cs="Arial"/>
                <w:sz w:val="20"/>
                <w:szCs w:val="20"/>
              </w:rPr>
              <w:t>Credit Risk Management</w:t>
            </w:r>
          </w:p>
        </w:tc>
        <w:tc>
          <w:tcPr>
            <w:tcW w:w="0" w:type="auto"/>
            <w:shd w:val="clear" w:color="auto" w:fill="auto"/>
            <w:tcMar>
              <w:top w:w="40" w:type="dxa"/>
              <w:left w:w="40" w:type="dxa"/>
              <w:bottom w:w="40" w:type="dxa"/>
              <w:right w:w="40" w:type="dxa"/>
            </w:tcMar>
            <w:vAlign w:val="center"/>
          </w:tcPr>
          <w:p w14:paraId="55566A34" w14:textId="77777777" w:rsidR="00F925DD" w:rsidRDefault="00E705D7">
            <w:pPr>
              <w:jc w:val="right"/>
              <w:textAlignment w:val="center"/>
              <w:rPr>
                <w:rFonts w:ascii="Times New Roman" w:hAnsi="Times New Roman"/>
                <w:sz w:val="20"/>
                <w:szCs w:val="20"/>
              </w:rPr>
            </w:pPr>
            <w:hyperlink r:id="rId34" w:anchor="sF78C8075776EC50B4516143E881BB28D" w:history="1">
              <w:r>
                <w:rPr>
                  <w:rStyle w:val="a5"/>
                  <w:rFonts w:ascii="Arial" w:eastAsia="宋体" w:hAnsi="Arial" w:cs="Arial"/>
                  <w:color w:val="000000"/>
                  <w:sz w:val="20"/>
                  <w:szCs w:val="20"/>
                  <w:u w:val="none"/>
                </w:rPr>
                <w:t>84</w:t>
              </w:r>
            </w:hyperlink>
          </w:p>
        </w:tc>
      </w:tr>
      <w:tr w:rsidR="00F925DD" w14:paraId="55566A39" w14:textId="77777777">
        <w:tc>
          <w:tcPr>
            <w:tcW w:w="0" w:type="auto"/>
            <w:shd w:val="clear" w:color="auto" w:fill="auto"/>
            <w:tcMar>
              <w:top w:w="40" w:type="dxa"/>
              <w:left w:w="40" w:type="dxa"/>
              <w:bottom w:w="40" w:type="dxa"/>
              <w:right w:w="40" w:type="dxa"/>
            </w:tcMar>
            <w:vAlign w:val="bottom"/>
          </w:tcPr>
          <w:p w14:paraId="55566A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37" w14:textId="77777777" w:rsidR="00F925DD" w:rsidRDefault="00E705D7">
            <w:pPr>
              <w:textAlignment w:val="center"/>
              <w:rPr>
                <w:rFonts w:ascii="Times New Roman" w:hAnsi="Times New Roman"/>
                <w:sz w:val="20"/>
                <w:szCs w:val="20"/>
              </w:rPr>
            </w:pPr>
            <w:r>
              <w:rPr>
                <w:rFonts w:ascii="Arial" w:eastAsia="宋体" w:hAnsi="Arial" w:cs="Arial"/>
                <w:sz w:val="20"/>
                <w:szCs w:val="20"/>
              </w:rPr>
              <w:t>Liquidity Risk Management</w:t>
            </w:r>
          </w:p>
        </w:tc>
        <w:tc>
          <w:tcPr>
            <w:tcW w:w="0" w:type="auto"/>
            <w:shd w:val="clear" w:color="auto" w:fill="auto"/>
            <w:tcMar>
              <w:top w:w="40" w:type="dxa"/>
              <w:left w:w="40" w:type="dxa"/>
              <w:bottom w:w="40" w:type="dxa"/>
              <w:right w:w="40" w:type="dxa"/>
            </w:tcMar>
            <w:vAlign w:val="center"/>
          </w:tcPr>
          <w:p w14:paraId="55566A38" w14:textId="77777777" w:rsidR="00F925DD" w:rsidRDefault="00E705D7">
            <w:pPr>
              <w:jc w:val="right"/>
              <w:textAlignment w:val="center"/>
              <w:rPr>
                <w:rFonts w:ascii="Times New Roman" w:hAnsi="Times New Roman"/>
                <w:sz w:val="20"/>
                <w:szCs w:val="20"/>
              </w:rPr>
            </w:pPr>
            <w:hyperlink r:id="rId35" w:anchor="sD2CC329BE6569C4D4A82143E8B0AD910" w:history="1">
              <w:r>
                <w:rPr>
                  <w:rStyle w:val="a5"/>
                  <w:rFonts w:ascii="Arial" w:eastAsia="宋体" w:hAnsi="Arial" w:cs="Arial"/>
                  <w:color w:val="000000"/>
                  <w:sz w:val="20"/>
                  <w:szCs w:val="20"/>
                  <w:u w:val="none"/>
                </w:rPr>
                <w:t>89</w:t>
              </w:r>
            </w:hyperlink>
          </w:p>
        </w:tc>
      </w:tr>
      <w:tr w:rsidR="00F925DD" w14:paraId="55566A3D" w14:textId="77777777">
        <w:tc>
          <w:tcPr>
            <w:tcW w:w="0" w:type="auto"/>
            <w:shd w:val="clear" w:color="auto" w:fill="auto"/>
            <w:tcMar>
              <w:top w:w="40" w:type="dxa"/>
              <w:left w:w="40" w:type="dxa"/>
              <w:bottom w:w="40" w:type="dxa"/>
              <w:right w:w="40" w:type="dxa"/>
            </w:tcMar>
            <w:vAlign w:val="bottom"/>
          </w:tcPr>
          <w:p w14:paraId="55566A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3B" w14:textId="77777777" w:rsidR="00F925DD" w:rsidRDefault="00E705D7">
            <w:pPr>
              <w:textAlignment w:val="center"/>
              <w:rPr>
                <w:rFonts w:ascii="Times New Roman" w:hAnsi="Times New Roman"/>
                <w:sz w:val="20"/>
                <w:szCs w:val="20"/>
              </w:rPr>
            </w:pPr>
            <w:r>
              <w:rPr>
                <w:rFonts w:ascii="Arial" w:eastAsia="宋体" w:hAnsi="Arial" w:cs="Arial"/>
                <w:sz w:val="20"/>
                <w:szCs w:val="20"/>
              </w:rPr>
              <w:t>Operational Risk Management</w:t>
            </w:r>
          </w:p>
        </w:tc>
        <w:tc>
          <w:tcPr>
            <w:tcW w:w="0" w:type="auto"/>
            <w:shd w:val="clear" w:color="auto" w:fill="auto"/>
            <w:tcMar>
              <w:top w:w="40" w:type="dxa"/>
              <w:left w:w="40" w:type="dxa"/>
              <w:bottom w:w="40" w:type="dxa"/>
              <w:right w:w="40" w:type="dxa"/>
            </w:tcMar>
            <w:vAlign w:val="center"/>
          </w:tcPr>
          <w:p w14:paraId="55566A3C" w14:textId="77777777" w:rsidR="00F925DD" w:rsidRDefault="00E705D7">
            <w:pPr>
              <w:jc w:val="right"/>
              <w:textAlignment w:val="center"/>
              <w:rPr>
                <w:rFonts w:ascii="Times New Roman" w:hAnsi="Times New Roman"/>
                <w:sz w:val="20"/>
                <w:szCs w:val="20"/>
              </w:rPr>
            </w:pPr>
            <w:hyperlink r:id="rId36" w:anchor="s8E97D3704CAB391E67E7143B8E51013E" w:history="1">
              <w:r>
                <w:rPr>
                  <w:rStyle w:val="a5"/>
                  <w:rFonts w:ascii="Arial" w:eastAsia="宋体" w:hAnsi="Arial" w:cs="Arial"/>
                  <w:color w:val="000000"/>
                  <w:sz w:val="20"/>
                  <w:szCs w:val="20"/>
                  <w:u w:val="none"/>
                </w:rPr>
                <w:t>93</w:t>
              </w:r>
            </w:hyperlink>
          </w:p>
        </w:tc>
      </w:tr>
      <w:tr w:rsidR="00F925DD" w14:paraId="55566A41" w14:textId="77777777">
        <w:tc>
          <w:tcPr>
            <w:tcW w:w="0" w:type="auto"/>
            <w:shd w:val="clear" w:color="auto" w:fill="auto"/>
            <w:tcMar>
              <w:top w:w="40" w:type="dxa"/>
              <w:left w:w="40" w:type="dxa"/>
              <w:bottom w:w="40" w:type="dxa"/>
              <w:right w:w="40" w:type="dxa"/>
            </w:tcMar>
            <w:vAlign w:val="bottom"/>
          </w:tcPr>
          <w:p w14:paraId="55566A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3F" w14:textId="77777777" w:rsidR="00F925DD" w:rsidRDefault="00E705D7">
            <w:pPr>
              <w:textAlignment w:val="center"/>
              <w:rPr>
                <w:rFonts w:ascii="Times New Roman" w:hAnsi="Times New Roman"/>
                <w:sz w:val="20"/>
                <w:szCs w:val="20"/>
              </w:rPr>
            </w:pPr>
            <w:r>
              <w:rPr>
                <w:rFonts w:ascii="Arial" w:eastAsia="宋体" w:hAnsi="Arial" w:cs="Arial"/>
                <w:sz w:val="20"/>
                <w:szCs w:val="20"/>
              </w:rPr>
              <w:t>Information Technology Risk Management</w:t>
            </w:r>
          </w:p>
        </w:tc>
        <w:tc>
          <w:tcPr>
            <w:tcW w:w="0" w:type="auto"/>
            <w:shd w:val="clear" w:color="auto" w:fill="auto"/>
            <w:tcMar>
              <w:top w:w="40" w:type="dxa"/>
              <w:left w:w="40" w:type="dxa"/>
              <w:bottom w:w="40" w:type="dxa"/>
              <w:right w:w="40" w:type="dxa"/>
            </w:tcMar>
            <w:vAlign w:val="center"/>
          </w:tcPr>
          <w:p w14:paraId="55566A40" w14:textId="77777777" w:rsidR="00F925DD" w:rsidRDefault="00E705D7">
            <w:pPr>
              <w:jc w:val="right"/>
              <w:textAlignment w:val="center"/>
              <w:rPr>
                <w:rFonts w:ascii="Times New Roman" w:hAnsi="Times New Roman"/>
                <w:sz w:val="20"/>
                <w:szCs w:val="20"/>
              </w:rPr>
            </w:pPr>
            <w:hyperlink r:id="rId37" w:anchor="sA42E5BA6454433F5536F143E8D08F631" w:history="1">
              <w:r>
                <w:rPr>
                  <w:rStyle w:val="a5"/>
                  <w:rFonts w:ascii="Arial" w:eastAsia="宋体" w:hAnsi="Arial" w:cs="Arial"/>
                  <w:color w:val="000000"/>
                  <w:sz w:val="20"/>
                  <w:szCs w:val="20"/>
                  <w:u w:val="none"/>
                </w:rPr>
                <w:t>97</w:t>
              </w:r>
            </w:hyperlink>
          </w:p>
        </w:tc>
      </w:tr>
      <w:tr w:rsidR="00F925DD" w14:paraId="55566A45" w14:textId="77777777">
        <w:tc>
          <w:tcPr>
            <w:tcW w:w="0" w:type="auto"/>
            <w:shd w:val="clear" w:color="auto" w:fill="auto"/>
            <w:tcMar>
              <w:top w:w="40" w:type="dxa"/>
              <w:left w:w="40" w:type="dxa"/>
              <w:bottom w:w="40" w:type="dxa"/>
              <w:right w:w="40" w:type="dxa"/>
            </w:tcMar>
            <w:vAlign w:val="bottom"/>
          </w:tcPr>
          <w:p w14:paraId="55566A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43" w14:textId="77777777" w:rsidR="00F925DD" w:rsidRDefault="00E705D7">
            <w:pPr>
              <w:textAlignment w:val="center"/>
              <w:rPr>
                <w:rFonts w:ascii="Times New Roman" w:hAnsi="Times New Roman"/>
                <w:sz w:val="20"/>
                <w:szCs w:val="20"/>
              </w:rPr>
            </w:pPr>
            <w:r>
              <w:rPr>
                <w:rFonts w:ascii="Arial" w:eastAsia="宋体" w:hAnsi="Arial" w:cs="Arial"/>
                <w:sz w:val="20"/>
                <w:szCs w:val="20"/>
              </w:rPr>
              <w:t>Market Risk Management</w:t>
            </w:r>
          </w:p>
        </w:tc>
        <w:tc>
          <w:tcPr>
            <w:tcW w:w="0" w:type="auto"/>
            <w:shd w:val="clear" w:color="auto" w:fill="auto"/>
            <w:tcMar>
              <w:top w:w="40" w:type="dxa"/>
              <w:left w:w="40" w:type="dxa"/>
              <w:bottom w:w="40" w:type="dxa"/>
              <w:right w:w="40" w:type="dxa"/>
            </w:tcMar>
            <w:vAlign w:val="center"/>
          </w:tcPr>
          <w:p w14:paraId="55566A44" w14:textId="77777777" w:rsidR="00F925DD" w:rsidRDefault="00E705D7">
            <w:pPr>
              <w:jc w:val="right"/>
              <w:textAlignment w:val="center"/>
              <w:rPr>
                <w:rFonts w:ascii="Times New Roman" w:hAnsi="Times New Roman"/>
                <w:sz w:val="20"/>
                <w:szCs w:val="20"/>
              </w:rPr>
            </w:pPr>
            <w:hyperlink r:id="rId38" w:anchor="s2E9DCFF5212F99BD07EB143E89BFB2F5" w:history="1">
              <w:r>
                <w:rPr>
                  <w:rStyle w:val="a5"/>
                  <w:rFonts w:ascii="Arial" w:eastAsia="宋体" w:hAnsi="Arial" w:cs="Arial"/>
                  <w:color w:val="000000"/>
                  <w:sz w:val="20"/>
                  <w:szCs w:val="20"/>
                  <w:u w:val="none"/>
                </w:rPr>
                <w:t>98</w:t>
              </w:r>
            </w:hyperlink>
          </w:p>
        </w:tc>
      </w:tr>
      <w:tr w:rsidR="00F925DD" w14:paraId="55566A49" w14:textId="77777777">
        <w:tc>
          <w:tcPr>
            <w:tcW w:w="0" w:type="auto"/>
            <w:shd w:val="clear" w:color="auto" w:fill="auto"/>
            <w:tcMar>
              <w:top w:w="40" w:type="dxa"/>
              <w:left w:w="40" w:type="dxa"/>
              <w:bottom w:w="40" w:type="dxa"/>
              <w:right w:w="40" w:type="dxa"/>
            </w:tcMar>
            <w:vAlign w:val="bottom"/>
          </w:tcPr>
          <w:p w14:paraId="55566A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47" w14:textId="77777777" w:rsidR="00F925DD" w:rsidRDefault="00E705D7">
            <w:pPr>
              <w:textAlignment w:val="center"/>
              <w:rPr>
                <w:rFonts w:ascii="Times New Roman" w:hAnsi="Times New Roman"/>
                <w:sz w:val="20"/>
                <w:szCs w:val="20"/>
              </w:rPr>
            </w:pPr>
            <w:r>
              <w:rPr>
                <w:rFonts w:ascii="Arial" w:eastAsia="宋体" w:hAnsi="Arial" w:cs="Arial"/>
                <w:sz w:val="20"/>
                <w:szCs w:val="20"/>
              </w:rPr>
              <w:t>Model Risk Management</w:t>
            </w:r>
          </w:p>
        </w:tc>
        <w:tc>
          <w:tcPr>
            <w:tcW w:w="0" w:type="auto"/>
            <w:shd w:val="clear" w:color="auto" w:fill="auto"/>
            <w:tcMar>
              <w:top w:w="40" w:type="dxa"/>
              <w:left w:w="40" w:type="dxa"/>
              <w:bottom w:w="40" w:type="dxa"/>
              <w:right w:w="40" w:type="dxa"/>
            </w:tcMar>
            <w:vAlign w:val="center"/>
          </w:tcPr>
          <w:p w14:paraId="55566A48" w14:textId="77777777" w:rsidR="00F925DD" w:rsidRDefault="00E705D7">
            <w:pPr>
              <w:jc w:val="right"/>
              <w:textAlignment w:val="center"/>
              <w:rPr>
                <w:rFonts w:ascii="Times New Roman" w:hAnsi="Times New Roman"/>
                <w:sz w:val="20"/>
                <w:szCs w:val="20"/>
              </w:rPr>
            </w:pPr>
            <w:hyperlink r:id="rId39" w:anchor="sABA8CF41A2D51CD2F146143E8D26A6BD" w:history="1">
              <w:r>
                <w:rPr>
                  <w:rStyle w:val="a5"/>
                  <w:rFonts w:ascii="Arial" w:eastAsia="宋体" w:hAnsi="Arial" w:cs="Arial"/>
                  <w:color w:val="000000"/>
                  <w:sz w:val="20"/>
                  <w:szCs w:val="20"/>
                  <w:u w:val="none"/>
                </w:rPr>
                <w:t>105</w:t>
              </w:r>
            </w:hyperlink>
          </w:p>
        </w:tc>
      </w:tr>
      <w:tr w:rsidR="00F925DD" w14:paraId="55566A4D" w14:textId="77777777">
        <w:tc>
          <w:tcPr>
            <w:tcW w:w="0" w:type="auto"/>
            <w:shd w:val="clear" w:color="auto" w:fill="auto"/>
            <w:tcMar>
              <w:top w:w="40" w:type="dxa"/>
              <w:left w:w="40" w:type="dxa"/>
              <w:bottom w:w="40" w:type="dxa"/>
              <w:right w:w="40" w:type="dxa"/>
            </w:tcMar>
            <w:vAlign w:val="bottom"/>
          </w:tcPr>
          <w:p w14:paraId="55566A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4B" w14:textId="77777777" w:rsidR="00F925DD" w:rsidRDefault="00E705D7">
            <w:pPr>
              <w:textAlignment w:val="center"/>
              <w:rPr>
                <w:rFonts w:ascii="Times New Roman" w:hAnsi="Times New Roman"/>
                <w:sz w:val="20"/>
                <w:szCs w:val="20"/>
              </w:rPr>
            </w:pPr>
            <w:r>
              <w:rPr>
                <w:rFonts w:ascii="Arial" w:eastAsia="宋体" w:hAnsi="Arial" w:cs="Arial"/>
                <w:sz w:val="20"/>
                <w:szCs w:val="20"/>
              </w:rPr>
              <w:t>Strategic Risk Management</w:t>
            </w:r>
          </w:p>
        </w:tc>
        <w:tc>
          <w:tcPr>
            <w:tcW w:w="0" w:type="auto"/>
            <w:shd w:val="clear" w:color="auto" w:fill="auto"/>
            <w:tcMar>
              <w:top w:w="40" w:type="dxa"/>
              <w:left w:w="40" w:type="dxa"/>
              <w:bottom w:w="40" w:type="dxa"/>
              <w:right w:w="40" w:type="dxa"/>
            </w:tcMar>
            <w:vAlign w:val="center"/>
          </w:tcPr>
          <w:p w14:paraId="55566A4C" w14:textId="77777777" w:rsidR="00F925DD" w:rsidRDefault="00E705D7">
            <w:pPr>
              <w:jc w:val="right"/>
              <w:textAlignment w:val="center"/>
              <w:rPr>
                <w:rFonts w:ascii="Times New Roman" w:hAnsi="Times New Roman"/>
                <w:sz w:val="20"/>
                <w:szCs w:val="20"/>
              </w:rPr>
            </w:pPr>
            <w:hyperlink r:id="rId40" w:anchor="s622EBB32B4EEE0BDA938143E8CAE11BA" w:history="1">
              <w:r>
                <w:rPr>
                  <w:rStyle w:val="a5"/>
                  <w:rFonts w:ascii="Arial" w:eastAsia="宋体" w:hAnsi="Arial" w:cs="Arial"/>
                  <w:color w:val="000000"/>
                  <w:sz w:val="20"/>
                  <w:szCs w:val="20"/>
                  <w:u w:val="none"/>
                </w:rPr>
                <w:t>106</w:t>
              </w:r>
            </w:hyperlink>
          </w:p>
        </w:tc>
      </w:tr>
      <w:tr w:rsidR="00F925DD" w14:paraId="55566A51" w14:textId="77777777">
        <w:tc>
          <w:tcPr>
            <w:tcW w:w="0" w:type="auto"/>
            <w:shd w:val="clear" w:color="auto" w:fill="auto"/>
            <w:tcMar>
              <w:top w:w="40" w:type="dxa"/>
              <w:left w:w="40" w:type="dxa"/>
              <w:bottom w:w="40" w:type="dxa"/>
              <w:right w:w="40" w:type="dxa"/>
            </w:tcMar>
            <w:vAlign w:val="bottom"/>
          </w:tcPr>
          <w:p w14:paraId="55566A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4F" w14:textId="77777777" w:rsidR="00F925DD" w:rsidRDefault="00E705D7">
            <w:pPr>
              <w:textAlignment w:val="center"/>
              <w:rPr>
                <w:rFonts w:ascii="Times New Roman" w:hAnsi="Times New Roman"/>
                <w:sz w:val="20"/>
                <w:szCs w:val="20"/>
              </w:rPr>
            </w:pPr>
            <w:r>
              <w:rPr>
                <w:rFonts w:ascii="Arial" w:eastAsia="宋体" w:hAnsi="Arial" w:cs="Arial"/>
                <w:sz w:val="20"/>
                <w:szCs w:val="20"/>
              </w:rPr>
              <w:t>Capital</w:t>
            </w:r>
          </w:p>
        </w:tc>
        <w:tc>
          <w:tcPr>
            <w:tcW w:w="0" w:type="auto"/>
            <w:shd w:val="clear" w:color="auto" w:fill="auto"/>
            <w:tcMar>
              <w:top w:w="40" w:type="dxa"/>
              <w:left w:w="40" w:type="dxa"/>
              <w:bottom w:w="40" w:type="dxa"/>
              <w:right w:w="40" w:type="dxa"/>
            </w:tcMar>
            <w:vAlign w:val="center"/>
          </w:tcPr>
          <w:p w14:paraId="55566A50" w14:textId="77777777" w:rsidR="00F925DD" w:rsidRDefault="00E705D7">
            <w:pPr>
              <w:jc w:val="right"/>
              <w:textAlignment w:val="center"/>
              <w:rPr>
                <w:rFonts w:ascii="Times New Roman" w:hAnsi="Times New Roman"/>
                <w:sz w:val="20"/>
                <w:szCs w:val="20"/>
              </w:rPr>
            </w:pPr>
            <w:hyperlink r:id="rId41" w:anchor="s91DA8E1D2AF646B7A3F1143E677E96C2" w:history="1">
              <w:r>
                <w:rPr>
                  <w:rStyle w:val="a5"/>
                  <w:rFonts w:ascii="Arial" w:eastAsia="宋体" w:hAnsi="Arial" w:cs="Arial"/>
                  <w:color w:val="000000"/>
                  <w:sz w:val="20"/>
                  <w:szCs w:val="20"/>
                  <w:u w:val="none"/>
                </w:rPr>
                <w:t>106</w:t>
              </w:r>
            </w:hyperlink>
          </w:p>
        </w:tc>
      </w:tr>
      <w:tr w:rsidR="00F925DD" w14:paraId="55566A55" w14:textId="77777777">
        <w:tc>
          <w:tcPr>
            <w:tcW w:w="0" w:type="auto"/>
            <w:shd w:val="clear" w:color="auto" w:fill="auto"/>
            <w:tcMar>
              <w:top w:w="40" w:type="dxa"/>
              <w:left w:w="40" w:type="dxa"/>
              <w:bottom w:w="40" w:type="dxa"/>
              <w:right w:w="40" w:type="dxa"/>
            </w:tcMar>
            <w:vAlign w:val="bottom"/>
          </w:tcPr>
          <w:p w14:paraId="55566A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560" w:type="dxa"/>
              <w:bottom w:w="40" w:type="dxa"/>
              <w:right w:w="40" w:type="dxa"/>
            </w:tcMar>
            <w:vAlign w:val="center"/>
          </w:tcPr>
          <w:p w14:paraId="55566A53" w14:textId="77777777" w:rsidR="00F925DD" w:rsidRDefault="00E705D7">
            <w:pPr>
              <w:textAlignment w:val="center"/>
              <w:rPr>
                <w:rFonts w:ascii="Times New Roman" w:hAnsi="Times New Roman"/>
                <w:sz w:val="20"/>
                <w:szCs w:val="20"/>
              </w:rPr>
            </w:pPr>
            <w:r>
              <w:rPr>
                <w:rFonts w:ascii="Arial" w:eastAsia="宋体" w:hAnsi="Arial" w:cs="Arial"/>
                <w:sz w:val="20"/>
                <w:szCs w:val="20"/>
              </w:rPr>
              <w:t>Off-Balanc</w:t>
            </w:r>
            <w:r>
              <w:rPr>
                <w:rFonts w:ascii="Arial" w:eastAsia="宋体" w:hAnsi="Arial" w:cs="Arial"/>
                <w:sz w:val="20"/>
                <w:szCs w:val="20"/>
              </w:rPr>
              <w:t>e Sheet Arrangements</w:t>
            </w:r>
          </w:p>
        </w:tc>
        <w:tc>
          <w:tcPr>
            <w:tcW w:w="0" w:type="auto"/>
            <w:shd w:val="clear" w:color="auto" w:fill="auto"/>
            <w:tcMar>
              <w:top w:w="40" w:type="dxa"/>
              <w:left w:w="40" w:type="dxa"/>
              <w:bottom w:w="40" w:type="dxa"/>
              <w:right w:w="40" w:type="dxa"/>
            </w:tcMar>
            <w:vAlign w:val="center"/>
          </w:tcPr>
          <w:p w14:paraId="55566A54" w14:textId="77777777" w:rsidR="00F925DD" w:rsidRDefault="00E705D7">
            <w:pPr>
              <w:jc w:val="right"/>
              <w:textAlignment w:val="center"/>
              <w:rPr>
                <w:rFonts w:ascii="Times New Roman" w:hAnsi="Times New Roman"/>
                <w:sz w:val="20"/>
                <w:szCs w:val="20"/>
              </w:rPr>
            </w:pPr>
            <w:hyperlink r:id="rId42" w:anchor="s682E5D61D9EA9C220FA1143E6E922868" w:history="1">
              <w:r>
                <w:rPr>
                  <w:rStyle w:val="a5"/>
                  <w:rFonts w:ascii="Arial" w:eastAsia="宋体" w:hAnsi="Arial" w:cs="Arial"/>
                  <w:color w:val="000000"/>
                  <w:sz w:val="20"/>
                  <w:szCs w:val="20"/>
                  <w:u w:val="none"/>
                </w:rPr>
                <w:t>115</w:t>
              </w:r>
            </w:hyperlink>
          </w:p>
        </w:tc>
      </w:tr>
      <w:tr w:rsidR="00F925DD" w14:paraId="55566A59" w14:textId="77777777">
        <w:tc>
          <w:tcPr>
            <w:tcW w:w="0" w:type="auto"/>
            <w:shd w:val="clear" w:color="auto" w:fill="auto"/>
            <w:tcMar>
              <w:top w:w="40" w:type="dxa"/>
              <w:left w:w="40" w:type="dxa"/>
              <w:bottom w:w="40" w:type="dxa"/>
              <w:right w:w="40" w:type="dxa"/>
            </w:tcMar>
            <w:vAlign w:val="bottom"/>
          </w:tcPr>
          <w:p w14:paraId="55566A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560" w:type="dxa"/>
              <w:bottom w:w="40" w:type="dxa"/>
              <w:right w:w="40" w:type="dxa"/>
            </w:tcMar>
            <w:vAlign w:val="center"/>
          </w:tcPr>
          <w:p w14:paraId="55566A57" w14:textId="77777777" w:rsidR="00F925DD" w:rsidRDefault="00E705D7">
            <w:pPr>
              <w:textAlignment w:val="center"/>
              <w:rPr>
                <w:rFonts w:ascii="Times New Roman" w:hAnsi="Times New Roman"/>
                <w:sz w:val="20"/>
                <w:szCs w:val="20"/>
              </w:rPr>
            </w:pPr>
            <w:r>
              <w:rPr>
                <w:rFonts w:ascii="Arial" w:eastAsia="宋体" w:hAnsi="Arial" w:cs="Arial"/>
                <w:sz w:val="20"/>
                <w:szCs w:val="20"/>
              </w:rPr>
              <w:t>Significant Accounting Estimates</w:t>
            </w:r>
          </w:p>
        </w:tc>
        <w:tc>
          <w:tcPr>
            <w:tcW w:w="0" w:type="auto"/>
            <w:shd w:val="clear" w:color="auto" w:fill="auto"/>
            <w:tcMar>
              <w:top w:w="40" w:type="dxa"/>
              <w:left w:w="40" w:type="dxa"/>
              <w:bottom w:w="40" w:type="dxa"/>
              <w:right w:w="40" w:type="dxa"/>
            </w:tcMar>
            <w:vAlign w:val="center"/>
          </w:tcPr>
          <w:p w14:paraId="55566A58" w14:textId="77777777" w:rsidR="00F925DD" w:rsidRDefault="00E705D7">
            <w:pPr>
              <w:jc w:val="right"/>
              <w:textAlignment w:val="center"/>
              <w:rPr>
                <w:rFonts w:ascii="Times New Roman" w:hAnsi="Times New Roman"/>
                <w:sz w:val="20"/>
                <w:szCs w:val="20"/>
              </w:rPr>
            </w:pPr>
            <w:hyperlink r:id="rId43" w:anchor="s682E5D61D9EA9C220FA1143E6E922868" w:history="1">
              <w:r>
                <w:rPr>
                  <w:rStyle w:val="a5"/>
                  <w:rFonts w:ascii="Arial" w:eastAsia="宋体" w:hAnsi="Arial" w:cs="Arial"/>
                  <w:color w:val="000000"/>
                  <w:sz w:val="20"/>
                  <w:szCs w:val="20"/>
                  <w:u w:val="none"/>
                </w:rPr>
                <w:t>115</w:t>
              </w:r>
            </w:hyperlink>
          </w:p>
        </w:tc>
      </w:tr>
      <w:tr w:rsidR="00F925DD" w14:paraId="55566A5D" w14:textId="77777777">
        <w:tc>
          <w:tcPr>
            <w:tcW w:w="0" w:type="auto"/>
            <w:shd w:val="clear" w:color="auto" w:fill="auto"/>
            <w:tcMar>
              <w:top w:w="40" w:type="dxa"/>
              <w:left w:w="40" w:type="dxa"/>
              <w:bottom w:w="40" w:type="dxa"/>
              <w:right w:w="40" w:type="dxa"/>
            </w:tcMar>
            <w:vAlign w:val="bottom"/>
          </w:tcPr>
          <w:p w14:paraId="55566A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560" w:type="dxa"/>
              <w:bottom w:w="40" w:type="dxa"/>
              <w:right w:w="40" w:type="dxa"/>
            </w:tcMar>
            <w:vAlign w:val="center"/>
          </w:tcPr>
          <w:p w14:paraId="55566A5B" w14:textId="77777777" w:rsidR="00F925DD" w:rsidRDefault="00E705D7">
            <w:pPr>
              <w:textAlignment w:val="center"/>
              <w:rPr>
                <w:rFonts w:ascii="Times New Roman" w:hAnsi="Times New Roman"/>
                <w:sz w:val="20"/>
                <w:szCs w:val="20"/>
              </w:rPr>
            </w:pPr>
            <w:r>
              <w:rPr>
                <w:rFonts w:ascii="Arial" w:eastAsia="宋体" w:hAnsi="Arial" w:cs="Arial"/>
                <w:sz w:val="20"/>
                <w:szCs w:val="20"/>
              </w:rPr>
              <w:t>Recent Accounting Developments</w:t>
            </w:r>
          </w:p>
        </w:tc>
        <w:tc>
          <w:tcPr>
            <w:tcW w:w="0" w:type="auto"/>
            <w:shd w:val="clear" w:color="auto" w:fill="auto"/>
            <w:tcMar>
              <w:top w:w="40" w:type="dxa"/>
              <w:left w:w="40" w:type="dxa"/>
              <w:bottom w:w="40" w:type="dxa"/>
              <w:right w:w="40" w:type="dxa"/>
            </w:tcMar>
            <w:vAlign w:val="center"/>
          </w:tcPr>
          <w:p w14:paraId="55566A5C" w14:textId="77777777" w:rsidR="00F925DD" w:rsidRDefault="00E705D7">
            <w:pPr>
              <w:jc w:val="right"/>
              <w:textAlignment w:val="center"/>
              <w:rPr>
                <w:rFonts w:ascii="Times New Roman" w:hAnsi="Times New Roman"/>
                <w:sz w:val="20"/>
                <w:szCs w:val="20"/>
              </w:rPr>
            </w:pPr>
            <w:hyperlink r:id="rId44" w:anchor="sE8C94B03B9E1CC8A890E143E6EE28D6D" w:history="1">
              <w:r>
                <w:rPr>
                  <w:rStyle w:val="a5"/>
                  <w:rFonts w:ascii="Arial" w:eastAsia="宋体" w:hAnsi="Arial" w:cs="Arial"/>
                  <w:color w:val="000000"/>
                  <w:sz w:val="20"/>
                  <w:szCs w:val="20"/>
                  <w:u w:val="none"/>
                </w:rPr>
                <w:t>117</w:t>
              </w:r>
            </w:hyperlink>
          </w:p>
        </w:tc>
      </w:tr>
      <w:tr w:rsidR="00F925DD" w14:paraId="55566A61" w14:textId="77777777">
        <w:tc>
          <w:tcPr>
            <w:tcW w:w="0" w:type="auto"/>
            <w:shd w:val="clear" w:color="auto" w:fill="auto"/>
            <w:tcMar>
              <w:top w:w="40" w:type="dxa"/>
              <w:left w:w="240" w:type="dxa"/>
              <w:bottom w:w="40" w:type="dxa"/>
              <w:right w:w="40" w:type="dxa"/>
            </w:tcMar>
          </w:tcPr>
          <w:p w14:paraId="55566A5E" w14:textId="77777777" w:rsidR="00F925DD" w:rsidRDefault="00E705D7">
            <w:pPr>
              <w:textAlignment w:val="top"/>
              <w:rPr>
                <w:rFonts w:ascii="Times New Roman" w:hAnsi="Times New Roman"/>
                <w:sz w:val="20"/>
                <w:szCs w:val="20"/>
              </w:rPr>
            </w:pPr>
            <w:r>
              <w:rPr>
                <w:rFonts w:ascii="Arial" w:eastAsia="宋体" w:hAnsi="Arial" w:cs="Arial"/>
                <w:sz w:val="20"/>
                <w:szCs w:val="20"/>
              </w:rPr>
              <w:t>Item 7A</w:t>
            </w:r>
          </w:p>
        </w:tc>
        <w:tc>
          <w:tcPr>
            <w:tcW w:w="0" w:type="auto"/>
            <w:shd w:val="clear" w:color="auto" w:fill="auto"/>
            <w:tcMar>
              <w:top w:w="40" w:type="dxa"/>
              <w:left w:w="240" w:type="dxa"/>
              <w:bottom w:w="40" w:type="dxa"/>
              <w:right w:w="40" w:type="dxa"/>
            </w:tcMar>
            <w:vAlign w:val="center"/>
          </w:tcPr>
          <w:p w14:paraId="55566A5F" w14:textId="77777777" w:rsidR="00F925DD" w:rsidRDefault="00E705D7">
            <w:pPr>
              <w:textAlignment w:val="center"/>
              <w:rPr>
                <w:rFonts w:ascii="Times New Roman" w:hAnsi="Times New Roman"/>
                <w:sz w:val="20"/>
                <w:szCs w:val="20"/>
              </w:rPr>
            </w:pPr>
            <w:r>
              <w:rPr>
                <w:rFonts w:ascii="Arial" w:eastAsia="宋体" w:hAnsi="Arial" w:cs="Arial"/>
                <w:sz w:val="20"/>
                <w:szCs w:val="20"/>
              </w:rPr>
              <w:t>Quantitative and Qualitative Disclosures About Market Risk</w:t>
            </w:r>
          </w:p>
        </w:tc>
        <w:tc>
          <w:tcPr>
            <w:tcW w:w="0" w:type="auto"/>
            <w:shd w:val="clear" w:color="auto" w:fill="auto"/>
            <w:tcMar>
              <w:top w:w="40" w:type="dxa"/>
              <w:left w:w="40" w:type="dxa"/>
              <w:bottom w:w="40" w:type="dxa"/>
              <w:right w:w="40" w:type="dxa"/>
            </w:tcMar>
            <w:vAlign w:val="center"/>
          </w:tcPr>
          <w:p w14:paraId="55566A60" w14:textId="77777777" w:rsidR="00F925DD" w:rsidRDefault="00E705D7">
            <w:pPr>
              <w:jc w:val="right"/>
              <w:textAlignment w:val="center"/>
              <w:rPr>
                <w:rFonts w:ascii="Times New Roman" w:hAnsi="Times New Roman"/>
                <w:sz w:val="20"/>
                <w:szCs w:val="20"/>
              </w:rPr>
            </w:pPr>
            <w:hyperlink r:id="rId45" w:anchor="s21C9C81187F3D528D321143E6F148509" w:history="1">
              <w:r>
                <w:rPr>
                  <w:rStyle w:val="a5"/>
                  <w:rFonts w:ascii="Arial" w:eastAsia="宋体" w:hAnsi="Arial" w:cs="Arial"/>
                  <w:color w:val="000000"/>
                  <w:sz w:val="20"/>
                  <w:szCs w:val="20"/>
                  <w:u w:val="none"/>
                </w:rPr>
                <w:t>117</w:t>
              </w:r>
            </w:hyperlink>
          </w:p>
        </w:tc>
      </w:tr>
      <w:tr w:rsidR="00F925DD" w14:paraId="55566A65" w14:textId="77777777">
        <w:tc>
          <w:tcPr>
            <w:tcW w:w="0" w:type="auto"/>
            <w:shd w:val="clear" w:color="auto" w:fill="auto"/>
            <w:tcMar>
              <w:top w:w="40" w:type="dxa"/>
              <w:left w:w="240" w:type="dxa"/>
              <w:bottom w:w="40" w:type="dxa"/>
              <w:right w:w="40" w:type="dxa"/>
            </w:tcMar>
          </w:tcPr>
          <w:p w14:paraId="55566A62" w14:textId="77777777" w:rsidR="00F925DD" w:rsidRDefault="00E705D7">
            <w:pPr>
              <w:textAlignment w:val="top"/>
              <w:rPr>
                <w:rFonts w:ascii="Times New Roman" w:hAnsi="Times New Roman"/>
                <w:sz w:val="20"/>
                <w:szCs w:val="20"/>
              </w:rPr>
            </w:pPr>
            <w:r>
              <w:rPr>
                <w:rFonts w:ascii="Arial" w:eastAsia="宋体" w:hAnsi="Arial" w:cs="Arial"/>
                <w:sz w:val="20"/>
                <w:szCs w:val="20"/>
              </w:rPr>
              <w:t>Item 8</w:t>
            </w:r>
          </w:p>
        </w:tc>
        <w:tc>
          <w:tcPr>
            <w:tcW w:w="0" w:type="auto"/>
            <w:shd w:val="clear" w:color="auto" w:fill="auto"/>
            <w:tcMar>
              <w:top w:w="40" w:type="dxa"/>
              <w:left w:w="240" w:type="dxa"/>
              <w:bottom w:w="40" w:type="dxa"/>
              <w:right w:w="40" w:type="dxa"/>
            </w:tcMar>
            <w:vAlign w:val="center"/>
          </w:tcPr>
          <w:p w14:paraId="55566A63" w14:textId="77777777" w:rsidR="00F925DD" w:rsidRDefault="00E705D7">
            <w:pPr>
              <w:textAlignment w:val="center"/>
              <w:rPr>
                <w:rFonts w:ascii="Times New Roman" w:hAnsi="Times New Roman"/>
                <w:sz w:val="20"/>
                <w:szCs w:val="20"/>
              </w:rPr>
            </w:pPr>
            <w:r>
              <w:rPr>
                <w:rFonts w:ascii="Arial" w:eastAsia="宋体" w:hAnsi="Arial" w:cs="Arial"/>
                <w:sz w:val="20"/>
                <w:szCs w:val="20"/>
              </w:rPr>
              <w:t>Financial Statements and Supplementary Data</w:t>
            </w:r>
          </w:p>
        </w:tc>
        <w:tc>
          <w:tcPr>
            <w:tcW w:w="0" w:type="auto"/>
            <w:shd w:val="clear" w:color="auto" w:fill="auto"/>
            <w:tcMar>
              <w:top w:w="40" w:type="dxa"/>
              <w:left w:w="40" w:type="dxa"/>
              <w:bottom w:w="40" w:type="dxa"/>
              <w:right w:w="40" w:type="dxa"/>
            </w:tcMar>
            <w:vAlign w:val="center"/>
          </w:tcPr>
          <w:p w14:paraId="55566A64" w14:textId="77777777" w:rsidR="00F925DD" w:rsidRDefault="00E705D7">
            <w:pPr>
              <w:jc w:val="right"/>
              <w:textAlignment w:val="center"/>
              <w:rPr>
                <w:rFonts w:ascii="Times New Roman" w:hAnsi="Times New Roman"/>
                <w:sz w:val="20"/>
                <w:szCs w:val="20"/>
              </w:rPr>
            </w:pPr>
            <w:hyperlink r:id="rId46" w:anchor="s2DAE08401087A9DECEB5143E6F5A810E" w:history="1">
              <w:r>
                <w:rPr>
                  <w:rStyle w:val="a5"/>
                  <w:rFonts w:ascii="Arial" w:eastAsia="宋体" w:hAnsi="Arial" w:cs="Arial"/>
                  <w:color w:val="000000"/>
                  <w:sz w:val="20"/>
                  <w:szCs w:val="20"/>
                  <w:u w:val="none"/>
                </w:rPr>
                <w:t>117</w:t>
              </w:r>
            </w:hyperlink>
          </w:p>
        </w:tc>
      </w:tr>
    </w:tbl>
    <w:p w14:paraId="55566A66" w14:textId="77777777" w:rsidR="00F925DD" w:rsidRDefault="00F925DD">
      <w:pPr>
        <w:rPr>
          <w:rFonts w:ascii="Times New Roman" w:hAnsi="Times New Roman"/>
          <w:sz w:val="20"/>
          <w:szCs w:val="20"/>
        </w:rPr>
      </w:pPr>
    </w:p>
    <w:p w14:paraId="55566A6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w:t>
      </w:r>
    </w:p>
    <w:p w14:paraId="55566A68" w14:textId="77777777" w:rsidR="00F925DD" w:rsidRDefault="00F925DD">
      <w:pPr>
        <w:spacing w:line="288" w:lineRule="auto"/>
        <w:ind w:firstLine="600"/>
        <w:jc w:val="center"/>
        <w:rPr>
          <w:rFonts w:ascii="Times New Roman" w:hAnsi="Times New Roman"/>
          <w:sz w:val="18"/>
          <w:szCs w:val="18"/>
        </w:rPr>
      </w:pPr>
    </w:p>
    <w:p w14:paraId="55566A69" w14:textId="77777777" w:rsidR="00F925DD" w:rsidRDefault="00E705D7">
      <w:r>
        <w:rPr>
          <w:rFonts w:ascii="Times New Roman" w:hAnsi="Times New Roman"/>
          <w:sz w:val="18"/>
          <w:szCs w:val="18"/>
        </w:rPr>
        <w:pict w14:anchorId="5557063A">
          <v:rect id="_x0000_i1026" style="width:415.3pt;height:1.5pt" o:hralign="center" o:hrstd="t" o:hr="t" fillcolor="#a0a0a0" stroked="f"/>
        </w:pict>
      </w:r>
    </w:p>
    <w:p w14:paraId="55566A6A"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495"/>
        <w:gridCol w:w="6063"/>
        <w:gridCol w:w="748"/>
      </w:tblGrid>
      <w:tr w:rsidR="00F925DD" w14:paraId="55566A6C" w14:textId="77777777">
        <w:tc>
          <w:tcPr>
            <w:tcW w:w="0" w:type="auto"/>
            <w:gridSpan w:val="3"/>
            <w:shd w:val="clear" w:color="auto" w:fill="auto"/>
            <w:vAlign w:val="center"/>
          </w:tcPr>
          <w:p w14:paraId="55566A6B" w14:textId="77777777" w:rsidR="00F925DD" w:rsidRDefault="00F925DD">
            <w:pPr>
              <w:rPr>
                <w:rFonts w:ascii="Times New Roman" w:hAnsi="Times New Roman"/>
                <w:sz w:val="20"/>
                <w:szCs w:val="20"/>
              </w:rPr>
            </w:pPr>
          </w:p>
        </w:tc>
      </w:tr>
      <w:tr w:rsidR="00F925DD" w14:paraId="55566A70" w14:textId="77777777">
        <w:tc>
          <w:tcPr>
            <w:tcW w:w="900" w:type="pct"/>
            <w:shd w:val="clear" w:color="auto" w:fill="auto"/>
            <w:vAlign w:val="center"/>
          </w:tcPr>
          <w:p w14:paraId="55566A6D" w14:textId="77777777" w:rsidR="00F925DD" w:rsidRDefault="00F925DD">
            <w:pPr>
              <w:rPr>
                <w:rFonts w:ascii="Times New Roman" w:hAnsi="Times New Roman"/>
                <w:sz w:val="20"/>
                <w:szCs w:val="20"/>
              </w:rPr>
            </w:pPr>
          </w:p>
        </w:tc>
        <w:tc>
          <w:tcPr>
            <w:tcW w:w="3650" w:type="pct"/>
            <w:shd w:val="clear" w:color="auto" w:fill="auto"/>
            <w:vAlign w:val="center"/>
          </w:tcPr>
          <w:p w14:paraId="55566A6E" w14:textId="77777777" w:rsidR="00F925DD" w:rsidRDefault="00F925DD">
            <w:pPr>
              <w:rPr>
                <w:rFonts w:ascii="Times New Roman" w:hAnsi="Times New Roman"/>
                <w:sz w:val="20"/>
                <w:szCs w:val="20"/>
              </w:rPr>
            </w:pPr>
          </w:p>
        </w:tc>
        <w:tc>
          <w:tcPr>
            <w:tcW w:w="450" w:type="pct"/>
            <w:shd w:val="clear" w:color="auto" w:fill="auto"/>
            <w:vAlign w:val="center"/>
          </w:tcPr>
          <w:p w14:paraId="55566A6F" w14:textId="77777777" w:rsidR="00F925DD" w:rsidRDefault="00F925DD">
            <w:pPr>
              <w:rPr>
                <w:rFonts w:ascii="Times New Roman" w:hAnsi="Times New Roman"/>
                <w:sz w:val="20"/>
                <w:szCs w:val="20"/>
              </w:rPr>
            </w:pPr>
          </w:p>
        </w:tc>
      </w:tr>
      <w:tr w:rsidR="00F925DD" w14:paraId="55566A74" w14:textId="77777777">
        <w:tc>
          <w:tcPr>
            <w:tcW w:w="0" w:type="auto"/>
            <w:shd w:val="clear" w:color="auto" w:fill="auto"/>
            <w:tcMar>
              <w:top w:w="40" w:type="dxa"/>
              <w:left w:w="40" w:type="dxa"/>
              <w:bottom w:w="40" w:type="dxa"/>
              <w:right w:w="40" w:type="dxa"/>
            </w:tcMar>
            <w:vAlign w:val="bottom"/>
          </w:tcPr>
          <w:p w14:paraId="55566A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72" w14:textId="77777777" w:rsidR="00F925DD" w:rsidRDefault="00E705D7">
            <w:pPr>
              <w:textAlignment w:val="center"/>
              <w:rPr>
                <w:rFonts w:ascii="Times New Roman" w:hAnsi="Times New Roman"/>
                <w:sz w:val="20"/>
                <w:szCs w:val="20"/>
              </w:rPr>
            </w:pPr>
            <w:r>
              <w:rPr>
                <w:rFonts w:ascii="Arial" w:eastAsia="宋体" w:hAnsi="Arial" w:cs="Arial"/>
                <w:sz w:val="20"/>
                <w:szCs w:val="20"/>
              </w:rPr>
              <w:t>Consolidated statement of income</w:t>
            </w:r>
          </w:p>
        </w:tc>
        <w:tc>
          <w:tcPr>
            <w:tcW w:w="0" w:type="auto"/>
            <w:shd w:val="clear" w:color="auto" w:fill="auto"/>
            <w:tcMar>
              <w:top w:w="40" w:type="dxa"/>
              <w:left w:w="40" w:type="dxa"/>
              <w:bottom w:w="40" w:type="dxa"/>
              <w:right w:w="40" w:type="dxa"/>
            </w:tcMar>
            <w:vAlign w:val="center"/>
          </w:tcPr>
          <w:p w14:paraId="55566A73" w14:textId="77777777" w:rsidR="00F925DD" w:rsidRDefault="00E705D7">
            <w:pPr>
              <w:jc w:val="right"/>
              <w:textAlignment w:val="center"/>
              <w:rPr>
                <w:rFonts w:ascii="Times New Roman" w:hAnsi="Times New Roman"/>
                <w:sz w:val="20"/>
                <w:szCs w:val="20"/>
              </w:rPr>
            </w:pPr>
            <w:hyperlink r:id="rId47" w:anchor="s818246A8D3E664A67BCC143A3DF46FCB" w:history="1">
              <w:r>
                <w:rPr>
                  <w:rStyle w:val="a5"/>
                  <w:rFonts w:ascii="Arial" w:eastAsia="宋体" w:hAnsi="Arial" w:cs="Arial"/>
                  <w:color w:val="000000"/>
                  <w:sz w:val="20"/>
                  <w:szCs w:val="20"/>
                  <w:u w:val="none"/>
                </w:rPr>
                <w:t>120</w:t>
              </w:r>
            </w:hyperlink>
          </w:p>
        </w:tc>
      </w:tr>
      <w:tr w:rsidR="00F925DD" w14:paraId="55566A78" w14:textId="77777777">
        <w:tc>
          <w:tcPr>
            <w:tcW w:w="0" w:type="auto"/>
            <w:shd w:val="clear" w:color="auto" w:fill="auto"/>
            <w:tcMar>
              <w:top w:w="40" w:type="dxa"/>
              <w:left w:w="40" w:type="dxa"/>
              <w:bottom w:w="40" w:type="dxa"/>
              <w:right w:w="40" w:type="dxa"/>
            </w:tcMar>
            <w:vAlign w:val="bottom"/>
          </w:tcPr>
          <w:p w14:paraId="55566A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76" w14:textId="77777777" w:rsidR="00F925DD" w:rsidRDefault="00E705D7">
            <w:pPr>
              <w:textAlignment w:val="center"/>
              <w:rPr>
                <w:rFonts w:ascii="Times New Roman" w:hAnsi="Times New Roman"/>
                <w:sz w:val="20"/>
                <w:szCs w:val="20"/>
              </w:rPr>
            </w:pPr>
            <w:r>
              <w:rPr>
                <w:rFonts w:ascii="Arial" w:eastAsia="宋体" w:hAnsi="Arial" w:cs="Arial"/>
                <w:sz w:val="20"/>
                <w:szCs w:val="20"/>
              </w:rPr>
              <w:t>Consolidated statement of comprehensive income</w:t>
            </w:r>
          </w:p>
        </w:tc>
        <w:tc>
          <w:tcPr>
            <w:tcW w:w="0" w:type="auto"/>
            <w:shd w:val="clear" w:color="auto" w:fill="auto"/>
            <w:tcMar>
              <w:top w:w="40" w:type="dxa"/>
              <w:left w:w="40" w:type="dxa"/>
              <w:bottom w:w="40" w:type="dxa"/>
              <w:right w:w="40" w:type="dxa"/>
            </w:tcMar>
            <w:vAlign w:val="center"/>
          </w:tcPr>
          <w:p w14:paraId="55566A77" w14:textId="77777777" w:rsidR="00F925DD" w:rsidRDefault="00E705D7">
            <w:pPr>
              <w:jc w:val="right"/>
              <w:textAlignment w:val="center"/>
              <w:rPr>
                <w:rFonts w:ascii="Times New Roman" w:hAnsi="Times New Roman"/>
                <w:sz w:val="20"/>
                <w:szCs w:val="20"/>
              </w:rPr>
            </w:pPr>
            <w:hyperlink r:id="rId48" w:anchor="s7E67355158B0A90E8999143A3E44B3FE" w:history="1">
              <w:r>
                <w:rPr>
                  <w:rStyle w:val="a5"/>
                  <w:rFonts w:ascii="Arial" w:eastAsia="宋体" w:hAnsi="Arial" w:cs="Arial"/>
                  <w:color w:val="000000"/>
                  <w:sz w:val="20"/>
                  <w:szCs w:val="20"/>
                  <w:u w:val="none"/>
                </w:rPr>
                <w:t>121</w:t>
              </w:r>
            </w:hyperlink>
          </w:p>
        </w:tc>
      </w:tr>
      <w:tr w:rsidR="00F925DD" w14:paraId="55566A7C" w14:textId="77777777">
        <w:tc>
          <w:tcPr>
            <w:tcW w:w="0" w:type="auto"/>
            <w:shd w:val="clear" w:color="auto" w:fill="auto"/>
            <w:tcMar>
              <w:top w:w="40" w:type="dxa"/>
              <w:left w:w="40" w:type="dxa"/>
              <w:bottom w:w="40" w:type="dxa"/>
              <w:right w:w="40" w:type="dxa"/>
            </w:tcMar>
            <w:vAlign w:val="bottom"/>
          </w:tcPr>
          <w:p w14:paraId="55566A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7A" w14:textId="77777777" w:rsidR="00F925DD" w:rsidRDefault="00E705D7">
            <w:pPr>
              <w:textAlignment w:val="center"/>
              <w:rPr>
                <w:rFonts w:ascii="Times New Roman" w:hAnsi="Times New Roman"/>
                <w:sz w:val="20"/>
                <w:szCs w:val="20"/>
              </w:rPr>
            </w:pPr>
            <w:r>
              <w:rPr>
                <w:rFonts w:ascii="Arial" w:eastAsia="宋体" w:hAnsi="Arial" w:cs="Arial"/>
                <w:sz w:val="20"/>
                <w:szCs w:val="20"/>
              </w:rPr>
              <w:t>Consolidated statement of condition</w:t>
            </w:r>
          </w:p>
        </w:tc>
        <w:tc>
          <w:tcPr>
            <w:tcW w:w="0" w:type="auto"/>
            <w:shd w:val="clear" w:color="auto" w:fill="auto"/>
            <w:tcMar>
              <w:top w:w="40" w:type="dxa"/>
              <w:left w:w="40" w:type="dxa"/>
              <w:bottom w:w="40" w:type="dxa"/>
              <w:right w:w="40" w:type="dxa"/>
            </w:tcMar>
            <w:vAlign w:val="center"/>
          </w:tcPr>
          <w:p w14:paraId="55566A7B" w14:textId="77777777" w:rsidR="00F925DD" w:rsidRDefault="00E705D7">
            <w:pPr>
              <w:jc w:val="right"/>
              <w:textAlignment w:val="center"/>
              <w:rPr>
                <w:rFonts w:ascii="Times New Roman" w:hAnsi="Times New Roman"/>
                <w:sz w:val="20"/>
                <w:szCs w:val="20"/>
              </w:rPr>
            </w:pPr>
            <w:hyperlink r:id="rId49" w:anchor="sBA777BD8373A92B9606A143A3E9DCF14" w:history="1">
              <w:r>
                <w:rPr>
                  <w:rStyle w:val="a5"/>
                  <w:rFonts w:ascii="Arial" w:eastAsia="宋体" w:hAnsi="Arial" w:cs="Arial"/>
                  <w:color w:val="000000"/>
                  <w:sz w:val="20"/>
                  <w:szCs w:val="20"/>
                  <w:u w:val="none"/>
                </w:rPr>
                <w:t>122</w:t>
              </w:r>
            </w:hyperlink>
          </w:p>
        </w:tc>
      </w:tr>
      <w:tr w:rsidR="00F925DD" w14:paraId="55566A80" w14:textId="77777777">
        <w:tc>
          <w:tcPr>
            <w:tcW w:w="0" w:type="auto"/>
            <w:shd w:val="clear" w:color="auto" w:fill="auto"/>
            <w:tcMar>
              <w:top w:w="40" w:type="dxa"/>
              <w:left w:w="40" w:type="dxa"/>
              <w:bottom w:w="40" w:type="dxa"/>
              <w:right w:w="40" w:type="dxa"/>
            </w:tcMar>
            <w:vAlign w:val="bottom"/>
          </w:tcPr>
          <w:p w14:paraId="55566A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7E" w14:textId="77777777" w:rsidR="00F925DD" w:rsidRDefault="00E705D7">
            <w:pPr>
              <w:textAlignment w:val="center"/>
              <w:rPr>
                <w:rFonts w:ascii="Times New Roman" w:hAnsi="Times New Roman"/>
                <w:sz w:val="20"/>
                <w:szCs w:val="20"/>
              </w:rPr>
            </w:pPr>
            <w:r>
              <w:rPr>
                <w:rFonts w:ascii="Arial" w:eastAsia="宋体" w:hAnsi="Arial" w:cs="Arial"/>
                <w:sz w:val="20"/>
                <w:szCs w:val="20"/>
              </w:rPr>
              <w:t>Consolidated statement of changes in shareholders' equity</w:t>
            </w:r>
          </w:p>
        </w:tc>
        <w:tc>
          <w:tcPr>
            <w:tcW w:w="0" w:type="auto"/>
            <w:shd w:val="clear" w:color="auto" w:fill="auto"/>
            <w:tcMar>
              <w:top w:w="40" w:type="dxa"/>
              <w:left w:w="40" w:type="dxa"/>
              <w:bottom w:w="40" w:type="dxa"/>
              <w:right w:w="40" w:type="dxa"/>
            </w:tcMar>
            <w:vAlign w:val="center"/>
          </w:tcPr>
          <w:p w14:paraId="55566A7F" w14:textId="77777777" w:rsidR="00F925DD" w:rsidRDefault="00E705D7">
            <w:pPr>
              <w:jc w:val="right"/>
              <w:textAlignment w:val="center"/>
              <w:rPr>
                <w:rFonts w:ascii="Times New Roman" w:hAnsi="Times New Roman"/>
                <w:sz w:val="20"/>
                <w:szCs w:val="20"/>
              </w:rPr>
            </w:pPr>
            <w:hyperlink r:id="rId50" w:anchor="sDB674F7CF314285D7053143A3F138734" w:history="1">
              <w:r>
                <w:rPr>
                  <w:rStyle w:val="a5"/>
                  <w:rFonts w:ascii="Arial" w:eastAsia="宋体" w:hAnsi="Arial" w:cs="Arial"/>
                  <w:color w:val="000000"/>
                  <w:sz w:val="20"/>
                  <w:szCs w:val="20"/>
                  <w:u w:val="none"/>
                </w:rPr>
                <w:t>123</w:t>
              </w:r>
            </w:hyperlink>
          </w:p>
        </w:tc>
      </w:tr>
      <w:tr w:rsidR="00F925DD" w14:paraId="55566A84" w14:textId="77777777">
        <w:tc>
          <w:tcPr>
            <w:tcW w:w="0" w:type="auto"/>
            <w:shd w:val="clear" w:color="auto" w:fill="auto"/>
            <w:tcMar>
              <w:top w:w="40" w:type="dxa"/>
              <w:left w:w="40" w:type="dxa"/>
              <w:bottom w:w="40" w:type="dxa"/>
              <w:right w:w="40" w:type="dxa"/>
            </w:tcMar>
            <w:vAlign w:val="bottom"/>
          </w:tcPr>
          <w:p w14:paraId="55566A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82" w14:textId="77777777" w:rsidR="00F925DD" w:rsidRDefault="00E705D7">
            <w:pPr>
              <w:textAlignment w:val="center"/>
              <w:rPr>
                <w:rFonts w:ascii="Times New Roman" w:hAnsi="Times New Roman"/>
                <w:sz w:val="20"/>
                <w:szCs w:val="20"/>
              </w:rPr>
            </w:pPr>
            <w:r>
              <w:rPr>
                <w:rFonts w:ascii="Arial" w:eastAsia="宋体" w:hAnsi="Arial" w:cs="Arial"/>
                <w:sz w:val="20"/>
                <w:szCs w:val="20"/>
              </w:rPr>
              <w:t>Consolidated statement of cash flows</w:t>
            </w:r>
          </w:p>
        </w:tc>
        <w:tc>
          <w:tcPr>
            <w:tcW w:w="0" w:type="auto"/>
            <w:shd w:val="clear" w:color="auto" w:fill="auto"/>
            <w:tcMar>
              <w:top w:w="40" w:type="dxa"/>
              <w:left w:w="40" w:type="dxa"/>
              <w:bottom w:w="40" w:type="dxa"/>
              <w:right w:w="40" w:type="dxa"/>
            </w:tcMar>
            <w:vAlign w:val="center"/>
          </w:tcPr>
          <w:p w14:paraId="55566A83" w14:textId="77777777" w:rsidR="00F925DD" w:rsidRDefault="00E705D7">
            <w:pPr>
              <w:jc w:val="right"/>
              <w:textAlignment w:val="center"/>
              <w:rPr>
                <w:rFonts w:ascii="Times New Roman" w:hAnsi="Times New Roman"/>
                <w:sz w:val="20"/>
                <w:szCs w:val="20"/>
              </w:rPr>
            </w:pPr>
            <w:hyperlink r:id="rId51" w:anchor="sA0BB7CF0A66F85655937143A3FE8C3C5" w:history="1">
              <w:r>
                <w:rPr>
                  <w:rStyle w:val="a5"/>
                  <w:rFonts w:ascii="Arial" w:eastAsia="宋体" w:hAnsi="Arial" w:cs="Arial"/>
                  <w:color w:val="000000"/>
                  <w:sz w:val="20"/>
                  <w:szCs w:val="20"/>
                  <w:u w:val="none"/>
                </w:rPr>
                <w:t>124</w:t>
              </w:r>
            </w:hyperlink>
          </w:p>
        </w:tc>
      </w:tr>
      <w:tr w:rsidR="00F925DD" w14:paraId="55566A88" w14:textId="77777777">
        <w:tc>
          <w:tcPr>
            <w:tcW w:w="0" w:type="auto"/>
            <w:shd w:val="clear" w:color="auto" w:fill="auto"/>
            <w:tcMar>
              <w:top w:w="40" w:type="dxa"/>
              <w:left w:w="40" w:type="dxa"/>
              <w:bottom w:w="40" w:type="dxa"/>
              <w:right w:w="40" w:type="dxa"/>
            </w:tcMar>
            <w:vAlign w:val="bottom"/>
          </w:tcPr>
          <w:p w14:paraId="55566A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86"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 Summary of Significant Accounting Policies</w:t>
            </w:r>
          </w:p>
        </w:tc>
        <w:tc>
          <w:tcPr>
            <w:tcW w:w="0" w:type="auto"/>
            <w:shd w:val="clear" w:color="auto" w:fill="auto"/>
            <w:tcMar>
              <w:top w:w="40" w:type="dxa"/>
              <w:left w:w="40" w:type="dxa"/>
              <w:bottom w:w="40" w:type="dxa"/>
              <w:right w:w="40" w:type="dxa"/>
            </w:tcMar>
            <w:vAlign w:val="center"/>
          </w:tcPr>
          <w:p w14:paraId="55566A87" w14:textId="77777777" w:rsidR="00F925DD" w:rsidRDefault="00E705D7">
            <w:pPr>
              <w:jc w:val="right"/>
              <w:textAlignment w:val="center"/>
              <w:rPr>
                <w:rFonts w:ascii="Times New Roman" w:hAnsi="Times New Roman"/>
                <w:sz w:val="20"/>
                <w:szCs w:val="20"/>
              </w:rPr>
            </w:pPr>
            <w:hyperlink r:id="rId52" w:anchor="s9E0C56B75F726E7FAEAA143A40560B9D" w:history="1">
              <w:r>
                <w:rPr>
                  <w:rStyle w:val="a5"/>
                  <w:rFonts w:ascii="Arial" w:eastAsia="宋体" w:hAnsi="Arial" w:cs="Arial"/>
                  <w:color w:val="000000"/>
                  <w:sz w:val="20"/>
                  <w:szCs w:val="20"/>
                  <w:u w:val="none"/>
                </w:rPr>
                <w:t>125</w:t>
              </w:r>
            </w:hyperlink>
          </w:p>
        </w:tc>
      </w:tr>
      <w:tr w:rsidR="00F925DD" w14:paraId="55566A8C" w14:textId="77777777">
        <w:tc>
          <w:tcPr>
            <w:tcW w:w="0" w:type="auto"/>
            <w:shd w:val="clear" w:color="auto" w:fill="auto"/>
            <w:tcMar>
              <w:top w:w="40" w:type="dxa"/>
              <w:left w:w="40" w:type="dxa"/>
              <w:bottom w:w="40" w:type="dxa"/>
              <w:right w:w="40" w:type="dxa"/>
            </w:tcMar>
            <w:vAlign w:val="bottom"/>
          </w:tcPr>
          <w:p w14:paraId="55566A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8A" w14:textId="77777777" w:rsidR="00F925DD" w:rsidRDefault="00E705D7">
            <w:pPr>
              <w:textAlignment w:val="center"/>
              <w:rPr>
                <w:rFonts w:ascii="Times New Roman" w:hAnsi="Times New Roman"/>
                <w:sz w:val="20"/>
                <w:szCs w:val="20"/>
              </w:rPr>
            </w:pPr>
            <w:r>
              <w:rPr>
                <w:rFonts w:ascii="Arial" w:eastAsia="宋体" w:hAnsi="Arial" w:cs="Arial"/>
                <w:sz w:val="20"/>
                <w:szCs w:val="20"/>
              </w:rPr>
              <w:t>Note 2. Fair Value</w:t>
            </w:r>
          </w:p>
        </w:tc>
        <w:tc>
          <w:tcPr>
            <w:tcW w:w="0" w:type="auto"/>
            <w:shd w:val="clear" w:color="auto" w:fill="auto"/>
            <w:tcMar>
              <w:top w:w="40" w:type="dxa"/>
              <w:left w:w="40" w:type="dxa"/>
              <w:bottom w:w="40" w:type="dxa"/>
              <w:right w:w="40" w:type="dxa"/>
            </w:tcMar>
            <w:vAlign w:val="center"/>
          </w:tcPr>
          <w:p w14:paraId="55566A8B" w14:textId="77777777" w:rsidR="00F925DD" w:rsidRDefault="00E705D7">
            <w:pPr>
              <w:jc w:val="right"/>
              <w:textAlignment w:val="center"/>
              <w:rPr>
                <w:rFonts w:ascii="Times New Roman" w:hAnsi="Times New Roman"/>
                <w:sz w:val="20"/>
                <w:szCs w:val="20"/>
              </w:rPr>
            </w:pPr>
            <w:hyperlink r:id="rId53" w:anchor="s9D635DCAEDF12D9AC322143A407EC56B" w:history="1">
              <w:r>
                <w:rPr>
                  <w:rStyle w:val="a5"/>
                  <w:rFonts w:ascii="Arial" w:eastAsia="宋体" w:hAnsi="Arial" w:cs="Arial"/>
                  <w:color w:val="000000"/>
                  <w:sz w:val="20"/>
                  <w:szCs w:val="20"/>
                  <w:u w:val="none"/>
                </w:rPr>
                <w:t>128</w:t>
              </w:r>
            </w:hyperlink>
          </w:p>
        </w:tc>
      </w:tr>
      <w:tr w:rsidR="00F925DD" w14:paraId="55566A90" w14:textId="77777777">
        <w:tc>
          <w:tcPr>
            <w:tcW w:w="0" w:type="auto"/>
            <w:shd w:val="clear" w:color="auto" w:fill="auto"/>
            <w:tcMar>
              <w:top w:w="40" w:type="dxa"/>
              <w:left w:w="40" w:type="dxa"/>
              <w:bottom w:w="40" w:type="dxa"/>
              <w:right w:w="40" w:type="dxa"/>
            </w:tcMar>
            <w:vAlign w:val="bottom"/>
          </w:tcPr>
          <w:p w14:paraId="55566A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8E" w14:textId="77777777" w:rsidR="00F925DD" w:rsidRDefault="00E705D7">
            <w:pPr>
              <w:textAlignment w:val="center"/>
              <w:rPr>
                <w:rFonts w:ascii="Times New Roman" w:hAnsi="Times New Roman"/>
                <w:sz w:val="20"/>
                <w:szCs w:val="20"/>
              </w:rPr>
            </w:pPr>
            <w:r>
              <w:rPr>
                <w:rFonts w:ascii="Arial" w:eastAsia="宋体" w:hAnsi="Arial" w:cs="Arial"/>
                <w:sz w:val="20"/>
                <w:szCs w:val="20"/>
              </w:rPr>
              <w:t>Note 3. Investment Securities</w:t>
            </w:r>
          </w:p>
        </w:tc>
        <w:tc>
          <w:tcPr>
            <w:tcW w:w="0" w:type="auto"/>
            <w:shd w:val="clear" w:color="auto" w:fill="auto"/>
            <w:tcMar>
              <w:top w:w="40" w:type="dxa"/>
              <w:left w:w="40" w:type="dxa"/>
              <w:bottom w:w="40" w:type="dxa"/>
              <w:right w:w="40" w:type="dxa"/>
            </w:tcMar>
            <w:vAlign w:val="center"/>
          </w:tcPr>
          <w:p w14:paraId="55566A8F" w14:textId="77777777" w:rsidR="00F925DD" w:rsidRDefault="00E705D7">
            <w:pPr>
              <w:jc w:val="right"/>
              <w:textAlignment w:val="center"/>
              <w:rPr>
                <w:rFonts w:ascii="Times New Roman" w:hAnsi="Times New Roman"/>
                <w:sz w:val="20"/>
                <w:szCs w:val="20"/>
              </w:rPr>
            </w:pPr>
            <w:hyperlink r:id="rId54" w:anchor="s0E76B35A1252FEFE11FD143A47053D03" w:history="1">
              <w:r>
                <w:rPr>
                  <w:rStyle w:val="a5"/>
                  <w:rFonts w:ascii="Arial" w:eastAsia="宋体" w:hAnsi="Arial" w:cs="Arial"/>
                  <w:color w:val="000000"/>
                  <w:sz w:val="20"/>
                  <w:szCs w:val="20"/>
                  <w:u w:val="none"/>
                </w:rPr>
                <w:t>135</w:t>
              </w:r>
            </w:hyperlink>
          </w:p>
        </w:tc>
      </w:tr>
      <w:tr w:rsidR="00F925DD" w14:paraId="55566A94" w14:textId="77777777">
        <w:tc>
          <w:tcPr>
            <w:tcW w:w="0" w:type="auto"/>
            <w:shd w:val="clear" w:color="auto" w:fill="auto"/>
            <w:tcMar>
              <w:top w:w="40" w:type="dxa"/>
              <w:left w:w="40" w:type="dxa"/>
              <w:bottom w:w="40" w:type="dxa"/>
              <w:right w:w="40" w:type="dxa"/>
            </w:tcMar>
            <w:vAlign w:val="bottom"/>
          </w:tcPr>
          <w:p w14:paraId="55566A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92" w14:textId="77777777" w:rsidR="00F925DD" w:rsidRDefault="00E705D7">
            <w:pPr>
              <w:textAlignment w:val="center"/>
              <w:rPr>
                <w:rFonts w:ascii="Times New Roman" w:hAnsi="Times New Roman"/>
                <w:sz w:val="20"/>
                <w:szCs w:val="20"/>
              </w:rPr>
            </w:pPr>
            <w:r>
              <w:rPr>
                <w:rFonts w:ascii="Arial" w:eastAsia="宋体" w:hAnsi="Arial" w:cs="Arial"/>
                <w:sz w:val="20"/>
                <w:szCs w:val="20"/>
              </w:rPr>
              <w:t xml:space="preserve">Note 4. Loans </w:t>
            </w:r>
          </w:p>
        </w:tc>
        <w:tc>
          <w:tcPr>
            <w:tcW w:w="0" w:type="auto"/>
            <w:shd w:val="clear" w:color="auto" w:fill="auto"/>
            <w:tcMar>
              <w:top w:w="40" w:type="dxa"/>
              <w:left w:w="40" w:type="dxa"/>
              <w:bottom w:w="40" w:type="dxa"/>
              <w:right w:w="40" w:type="dxa"/>
            </w:tcMar>
            <w:vAlign w:val="center"/>
          </w:tcPr>
          <w:p w14:paraId="55566A93" w14:textId="77777777" w:rsidR="00F925DD" w:rsidRDefault="00E705D7">
            <w:pPr>
              <w:jc w:val="right"/>
              <w:textAlignment w:val="center"/>
              <w:rPr>
                <w:rFonts w:ascii="Times New Roman" w:hAnsi="Times New Roman"/>
                <w:sz w:val="20"/>
                <w:szCs w:val="20"/>
              </w:rPr>
            </w:pPr>
            <w:hyperlink r:id="rId55" w:anchor="sB272D50A93A5D0F51E1F143A5D012971" w:history="1">
              <w:r>
                <w:rPr>
                  <w:rStyle w:val="a5"/>
                  <w:rFonts w:ascii="Arial" w:eastAsia="宋体" w:hAnsi="Arial" w:cs="Arial"/>
                  <w:color w:val="000000"/>
                  <w:sz w:val="20"/>
                  <w:szCs w:val="20"/>
                  <w:u w:val="none"/>
                </w:rPr>
                <w:t>141</w:t>
              </w:r>
            </w:hyperlink>
          </w:p>
        </w:tc>
      </w:tr>
      <w:tr w:rsidR="00F925DD" w14:paraId="55566A98" w14:textId="77777777">
        <w:tc>
          <w:tcPr>
            <w:tcW w:w="0" w:type="auto"/>
            <w:shd w:val="clear" w:color="auto" w:fill="auto"/>
            <w:tcMar>
              <w:top w:w="40" w:type="dxa"/>
              <w:left w:w="40" w:type="dxa"/>
              <w:bottom w:w="40" w:type="dxa"/>
              <w:right w:w="40" w:type="dxa"/>
            </w:tcMar>
            <w:vAlign w:val="bottom"/>
          </w:tcPr>
          <w:p w14:paraId="55566A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96" w14:textId="77777777" w:rsidR="00F925DD" w:rsidRDefault="00E705D7">
            <w:pPr>
              <w:textAlignment w:val="center"/>
              <w:rPr>
                <w:rFonts w:ascii="Times New Roman" w:hAnsi="Times New Roman"/>
                <w:sz w:val="20"/>
                <w:szCs w:val="20"/>
              </w:rPr>
            </w:pPr>
            <w:r>
              <w:rPr>
                <w:rFonts w:ascii="Arial" w:eastAsia="宋体" w:hAnsi="Arial" w:cs="Arial"/>
                <w:sz w:val="20"/>
                <w:szCs w:val="20"/>
              </w:rPr>
              <w:t>Note 5. Goodwill and Other Intangible Assets</w:t>
            </w:r>
          </w:p>
        </w:tc>
        <w:tc>
          <w:tcPr>
            <w:tcW w:w="0" w:type="auto"/>
            <w:shd w:val="clear" w:color="auto" w:fill="auto"/>
            <w:tcMar>
              <w:top w:w="40" w:type="dxa"/>
              <w:left w:w="40" w:type="dxa"/>
              <w:bottom w:w="40" w:type="dxa"/>
              <w:right w:w="40" w:type="dxa"/>
            </w:tcMar>
            <w:vAlign w:val="center"/>
          </w:tcPr>
          <w:p w14:paraId="55566A97" w14:textId="77777777" w:rsidR="00F925DD" w:rsidRDefault="00E705D7">
            <w:pPr>
              <w:jc w:val="right"/>
              <w:textAlignment w:val="center"/>
              <w:rPr>
                <w:rFonts w:ascii="Times New Roman" w:hAnsi="Times New Roman"/>
                <w:sz w:val="20"/>
                <w:szCs w:val="20"/>
              </w:rPr>
            </w:pPr>
            <w:hyperlink r:id="rId56" w:anchor="s59C157974BD82240ADB6143A4B069CC7" w:history="1">
              <w:r>
                <w:rPr>
                  <w:rStyle w:val="a5"/>
                  <w:rFonts w:ascii="Arial" w:eastAsia="宋体" w:hAnsi="Arial" w:cs="Arial"/>
                  <w:color w:val="000000"/>
                  <w:sz w:val="20"/>
                  <w:szCs w:val="20"/>
                  <w:u w:val="none"/>
                </w:rPr>
                <w:t>143</w:t>
              </w:r>
            </w:hyperlink>
          </w:p>
        </w:tc>
      </w:tr>
      <w:tr w:rsidR="00F925DD" w14:paraId="55566A9C" w14:textId="77777777">
        <w:tc>
          <w:tcPr>
            <w:tcW w:w="0" w:type="auto"/>
            <w:shd w:val="clear" w:color="auto" w:fill="auto"/>
            <w:tcMar>
              <w:top w:w="40" w:type="dxa"/>
              <w:left w:w="40" w:type="dxa"/>
              <w:bottom w:w="40" w:type="dxa"/>
              <w:right w:w="40" w:type="dxa"/>
            </w:tcMar>
            <w:vAlign w:val="bottom"/>
          </w:tcPr>
          <w:p w14:paraId="55566A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9A" w14:textId="77777777" w:rsidR="00F925DD" w:rsidRDefault="00E705D7">
            <w:pPr>
              <w:textAlignment w:val="center"/>
              <w:rPr>
                <w:rFonts w:ascii="Times New Roman" w:hAnsi="Times New Roman"/>
                <w:sz w:val="20"/>
                <w:szCs w:val="20"/>
              </w:rPr>
            </w:pPr>
            <w:r>
              <w:rPr>
                <w:rFonts w:ascii="Arial" w:eastAsia="宋体" w:hAnsi="Arial" w:cs="Arial"/>
                <w:sz w:val="20"/>
                <w:szCs w:val="20"/>
              </w:rPr>
              <w:t>Note 6. Other Assets</w:t>
            </w:r>
          </w:p>
        </w:tc>
        <w:tc>
          <w:tcPr>
            <w:tcW w:w="0" w:type="auto"/>
            <w:shd w:val="clear" w:color="auto" w:fill="auto"/>
            <w:tcMar>
              <w:top w:w="40" w:type="dxa"/>
              <w:left w:w="40" w:type="dxa"/>
              <w:bottom w:w="40" w:type="dxa"/>
              <w:right w:w="40" w:type="dxa"/>
            </w:tcMar>
            <w:vAlign w:val="center"/>
          </w:tcPr>
          <w:p w14:paraId="55566A9B" w14:textId="77777777" w:rsidR="00F925DD" w:rsidRDefault="00E705D7">
            <w:pPr>
              <w:jc w:val="right"/>
              <w:textAlignment w:val="center"/>
              <w:rPr>
                <w:rFonts w:ascii="Times New Roman" w:hAnsi="Times New Roman"/>
                <w:sz w:val="20"/>
                <w:szCs w:val="20"/>
              </w:rPr>
            </w:pPr>
            <w:hyperlink r:id="rId57" w:anchor="s2EC2657D9EC4770600DA143A4B880C36" w:history="1">
              <w:r>
                <w:rPr>
                  <w:rStyle w:val="a5"/>
                  <w:rFonts w:ascii="Arial" w:eastAsia="宋体" w:hAnsi="Arial" w:cs="Arial"/>
                  <w:color w:val="000000"/>
                  <w:sz w:val="20"/>
                  <w:szCs w:val="20"/>
                  <w:u w:val="none"/>
                </w:rPr>
                <w:t>145</w:t>
              </w:r>
            </w:hyperlink>
          </w:p>
        </w:tc>
      </w:tr>
      <w:tr w:rsidR="00F925DD" w14:paraId="55566AA0" w14:textId="77777777">
        <w:tc>
          <w:tcPr>
            <w:tcW w:w="0" w:type="auto"/>
            <w:shd w:val="clear" w:color="auto" w:fill="auto"/>
            <w:tcMar>
              <w:top w:w="40" w:type="dxa"/>
              <w:left w:w="40" w:type="dxa"/>
              <w:bottom w:w="40" w:type="dxa"/>
              <w:right w:w="40" w:type="dxa"/>
            </w:tcMar>
            <w:vAlign w:val="bottom"/>
          </w:tcPr>
          <w:p w14:paraId="55566A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9E" w14:textId="77777777" w:rsidR="00F925DD" w:rsidRDefault="00E705D7">
            <w:pPr>
              <w:textAlignment w:val="center"/>
              <w:rPr>
                <w:rFonts w:ascii="Times New Roman" w:hAnsi="Times New Roman"/>
                <w:sz w:val="20"/>
                <w:szCs w:val="20"/>
              </w:rPr>
            </w:pPr>
            <w:r>
              <w:rPr>
                <w:rFonts w:ascii="Arial" w:eastAsia="宋体" w:hAnsi="Arial" w:cs="Arial"/>
                <w:sz w:val="20"/>
                <w:szCs w:val="20"/>
              </w:rPr>
              <w:t>Note 7. Deposits</w:t>
            </w:r>
          </w:p>
        </w:tc>
        <w:tc>
          <w:tcPr>
            <w:tcW w:w="0" w:type="auto"/>
            <w:shd w:val="clear" w:color="auto" w:fill="auto"/>
            <w:tcMar>
              <w:top w:w="40" w:type="dxa"/>
              <w:left w:w="40" w:type="dxa"/>
              <w:bottom w:w="40" w:type="dxa"/>
              <w:right w:w="40" w:type="dxa"/>
            </w:tcMar>
            <w:vAlign w:val="center"/>
          </w:tcPr>
          <w:p w14:paraId="55566A9F" w14:textId="77777777" w:rsidR="00F925DD" w:rsidRDefault="00E705D7">
            <w:pPr>
              <w:jc w:val="right"/>
              <w:textAlignment w:val="center"/>
              <w:rPr>
                <w:rFonts w:ascii="Times New Roman" w:hAnsi="Times New Roman"/>
                <w:sz w:val="20"/>
                <w:szCs w:val="20"/>
              </w:rPr>
            </w:pPr>
            <w:hyperlink r:id="rId58" w:anchor="s97A389943C213859F72F143A5DF151C8" w:history="1">
              <w:r>
                <w:rPr>
                  <w:rStyle w:val="a5"/>
                  <w:rFonts w:ascii="Arial" w:eastAsia="宋体" w:hAnsi="Arial" w:cs="Arial"/>
                  <w:color w:val="000000"/>
                  <w:sz w:val="20"/>
                  <w:szCs w:val="20"/>
                  <w:u w:val="none"/>
                </w:rPr>
                <w:t>145</w:t>
              </w:r>
            </w:hyperlink>
          </w:p>
        </w:tc>
      </w:tr>
      <w:tr w:rsidR="00F925DD" w14:paraId="55566AA4" w14:textId="77777777">
        <w:tc>
          <w:tcPr>
            <w:tcW w:w="0" w:type="auto"/>
            <w:shd w:val="clear" w:color="auto" w:fill="auto"/>
            <w:tcMar>
              <w:top w:w="40" w:type="dxa"/>
              <w:left w:w="40" w:type="dxa"/>
              <w:bottom w:w="40" w:type="dxa"/>
              <w:right w:w="40" w:type="dxa"/>
            </w:tcMar>
            <w:vAlign w:val="bottom"/>
          </w:tcPr>
          <w:p w14:paraId="55566A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A2" w14:textId="77777777" w:rsidR="00F925DD" w:rsidRDefault="00E705D7">
            <w:pPr>
              <w:textAlignment w:val="center"/>
              <w:rPr>
                <w:rFonts w:ascii="Times New Roman" w:hAnsi="Times New Roman"/>
                <w:sz w:val="20"/>
                <w:szCs w:val="20"/>
              </w:rPr>
            </w:pPr>
            <w:r>
              <w:rPr>
                <w:rFonts w:ascii="Arial" w:eastAsia="宋体" w:hAnsi="Arial" w:cs="Arial"/>
                <w:sz w:val="20"/>
                <w:szCs w:val="20"/>
              </w:rPr>
              <w:t>Note 8. Short-Term Borrowings</w:t>
            </w:r>
          </w:p>
        </w:tc>
        <w:tc>
          <w:tcPr>
            <w:tcW w:w="0" w:type="auto"/>
            <w:shd w:val="clear" w:color="auto" w:fill="auto"/>
            <w:tcMar>
              <w:top w:w="40" w:type="dxa"/>
              <w:left w:w="40" w:type="dxa"/>
              <w:bottom w:w="40" w:type="dxa"/>
              <w:right w:w="40" w:type="dxa"/>
            </w:tcMar>
            <w:vAlign w:val="center"/>
          </w:tcPr>
          <w:p w14:paraId="55566AA3" w14:textId="77777777" w:rsidR="00F925DD" w:rsidRDefault="00E705D7">
            <w:pPr>
              <w:jc w:val="right"/>
              <w:textAlignment w:val="center"/>
              <w:rPr>
                <w:rFonts w:ascii="Times New Roman" w:hAnsi="Times New Roman"/>
                <w:sz w:val="20"/>
                <w:szCs w:val="20"/>
              </w:rPr>
            </w:pPr>
            <w:hyperlink r:id="rId59" w:anchor="sF34B75828066DE523DEE143A5E055BB8" w:history="1">
              <w:r>
                <w:rPr>
                  <w:rStyle w:val="a5"/>
                  <w:rFonts w:ascii="Arial" w:eastAsia="宋体" w:hAnsi="Arial" w:cs="Arial"/>
                  <w:color w:val="000000"/>
                  <w:sz w:val="20"/>
                  <w:szCs w:val="20"/>
                  <w:u w:val="none"/>
                </w:rPr>
                <w:t>145</w:t>
              </w:r>
            </w:hyperlink>
          </w:p>
        </w:tc>
      </w:tr>
      <w:tr w:rsidR="00F925DD" w14:paraId="55566AA8" w14:textId="77777777">
        <w:tc>
          <w:tcPr>
            <w:tcW w:w="0" w:type="auto"/>
            <w:shd w:val="clear" w:color="auto" w:fill="auto"/>
            <w:tcMar>
              <w:top w:w="40" w:type="dxa"/>
              <w:left w:w="40" w:type="dxa"/>
              <w:bottom w:w="40" w:type="dxa"/>
              <w:right w:w="40" w:type="dxa"/>
            </w:tcMar>
            <w:vAlign w:val="bottom"/>
          </w:tcPr>
          <w:p w14:paraId="55566A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A6" w14:textId="77777777" w:rsidR="00F925DD" w:rsidRDefault="00E705D7">
            <w:pPr>
              <w:textAlignment w:val="center"/>
              <w:rPr>
                <w:rFonts w:ascii="Times New Roman" w:hAnsi="Times New Roman"/>
                <w:sz w:val="20"/>
                <w:szCs w:val="20"/>
              </w:rPr>
            </w:pPr>
            <w:r>
              <w:rPr>
                <w:rFonts w:ascii="Arial" w:eastAsia="宋体" w:hAnsi="Arial" w:cs="Arial"/>
                <w:sz w:val="20"/>
                <w:szCs w:val="20"/>
              </w:rPr>
              <w:t>Note 9. Long-Term Debt</w:t>
            </w:r>
          </w:p>
        </w:tc>
        <w:tc>
          <w:tcPr>
            <w:tcW w:w="0" w:type="auto"/>
            <w:shd w:val="clear" w:color="auto" w:fill="auto"/>
            <w:tcMar>
              <w:top w:w="40" w:type="dxa"/>
              <w:left w:w="40" w:type="dxa"/>
              <w:bottom w:w="40" w:type="dxa"/>
              <w:right w:w="40" w:type="dxa"/>
            </w:tcMar>
            <w:vAlign w:val="center"/>
          </w:tcPr>
          <w:p w14:paraId="55566AA7" w14:textId="77777777" w:rsidR="00F925DD" w:rsidRDefault="00E705D7">
            <w:pPr>
              <w:jc w:val="right"/>
              <w:textAlignment w:val="center"/>
              <w:rPr>
                <w:rFonts w:ascii="Times New Roman" w:hAnsi="Times New Roman"/>
                <w:sz w:val="20"/>
                <w:szCs w:val="20"/>
              </w:rPr>
            </w:pPr>
            <w:hyperlink r:id="rId60" w:anchor="sE8E7D8E08D16E307826B143A5E877133" w:history="1">
              <w:r>
                <w:rPr>
                  <w:rStyle w:val="a5"/>
                  <w:rFonts w:ascii="Arial" w:eastAsia="宋体" w:hAnsi="Arial" w:cs="Arial"/>
                  <w:color w:val="000000"/>
                  <w:sz w:val="20"/>
                  <w:szCs w:val="20"/>
                  <w:u w:val="none"/>
                </w:rPr>
                <w:t>146</w:t>
              </w:r>
            </w:hyperlink>
          </w:p>
        </w:tc>
      </w:tr>
      <w:tr w:rsidR="00F925DD" w14:paraId="55566AAC" w14:textId="77777777">
        <w:tc>
          <w:tcPr>
            <w:tcW w:w="0" w:type="auto"/>
            <w:shd w:val="clear" w:color="auto" w:fill="auto"/>
            <w:tcMar>
              <w:top w:w="40" w:type="dxa"/>
              <w:left w:w="40" w:type="dxa"/>
              <w:bottom w:w="40" w:type="dxa"/>
              <w:right w:w="40" w:type="dxa"/>
            </w:tcMar>
            <w:vAlign w:val="bottom"/>
          </w:tcPr>
          <w:p w14:paraId="55566A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AA"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10. Derivative Financial Instruments</w:t>
            </w:r>
          </w:p>
        </w:tc>
        <w:tc>
          <w:tcPr>
            <w:tcW w:w="0" w:type="auto"/>
            <w:shd w:val="clear" w:color="auto" w:fill="auto"/>
            <w:tcMar>
              <w:top w:w="40" w:type="dxa"/>
              <w:left w:w="40" w:type="dxa"/>
              <w:bottom w:w="40" w:type="dxa"/>
              <w:right w:w="40" w:type="dxa"/>
            </w:tcMar>
            <w:vAlign w:val="center"/>
          </w:tcPr>
          <w:p w14:paraId="55566AAB" w14:textId="77777777" w:rsidR="00F925DD" w:rsidRDefault="00E705D7">
            <w:pPr>
              <w:jc w:val="right"/>
              <w:textAlignment w:val="center"/>
              <w:rPr>
                <w:rFonts w:ascii="Times New Roman" w:hAnsi="Times New Roman"/>
                <w:sz w:val="20"/>
                <w:szCs w:val="20"/>
              </w:rPr>
            </w:pPr>
            <w:hyperlink r:id="rId61" w:anchor="s7347CFB3DF9D167154D0143A4B9C8F4F" w:history="1">
              <w:r>
                <w:rPr>
                  <w:rStyle w:val="a5"/>
                  <w:rFonts w:ascii="Arial" w:eastAsia="宋体" w:hAnsi="Arial" w:cs="Arial"/>
                  <w:color w:val="000000"/>
                  <w:sz w:val="20"/>
                  <w:szCs w:val="20"/>
                  <w:u w:val="none"/>
                </w:rPr>
                <w:t>147</w:t>
              </w:r>
            </w:hyperlink>
          </w:p>
        </w:tc>
      </w:tr>
      <w:tr w:rsidR="00F925DD" w14:paraId="55566AB0" w14:textId="77777777">
        <w:tc>
          <w:tcPr>
            <w:tcW w:w="0" w:type="auto"/>
            <w:shd w:val="clear" w:color="auto" w:fill="auto"/>
            <w:tcMar>
              <w:top w:w="40" w:type="dxa"/>
              <w:left w:w="40" w:type="dxa"/>
              <w:bottom w:w="40" w:type="dxa"/>
              <w:right w:w="40" w:type="dxa"/>
            </w:tcMar>
            <w:vAlign w:val="bottom"/>
          </w:tcPr>
          <w:p w14:paraId="55566A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AE"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11. Offsetting Arrangements</w:t>
            </w:r>
          </w:p>
        </w:tc>
        <w:tc>
          <w:tcPr>
            <w:tcW w:w="0" w:type="auto"/>
            <w:shd w:val="clear" w:color="auto" w:fill="auto"/>
            <w:tcMar>
              <w:top w:w="40" w:type="dxa"/>
              <w:left w:w="40" w:type="dxa"/>
              <w:bottom w:w="40" w:type="dxa"/>
              <w:right w:w="40" w:type="dxa"/>
            </w:tcMar>
            <w:vAlign w:val="center"/>
          </w:tcPr>
          <w:p w14:paraId="55566AAF" w14:textId="77777777" w:rsidR="00F925DD" w:rsidRDefault="00E705D7">
            <w:pPr>
              <w:jc w:val="right"/>
              <w:textAlignment w:val="center"/>
              <w:rPr>
                <w:rFonts w:ascii="Times New Roman" w:hAnsi="Times New Roman"/>
                <w:sz w:val="20"/>
                <w:szCs w:val="20"/>
              </w:rPr>
            </w:pPr>
            <w:hyperlink r:id="rId62" w:anchor="sAE93A2DAAC40C07B959B143A4E087C5C" w:history="1">
              <w:r>
                <w:rPr>
                  <w:rStyle w:val="a5"/>
                  <w:rFonts w:ascii="Arial" w:eastAsia="宋体" w:hAnsi="Arial" w:cs="Arial"/>
                  <w:color w:val="000000"/>
                  <w:sz w:val="20"/>
                  <w:szCs w:val="20"/>
                  <w:u w:val="none"/>
                </w:rPr>
                <w:t>152</w:t>
              </w:r>
            </w:hyperlink>
          </w:p>
        </w:tc>
      </w:tr>
      <w:tr w:rsidR="00F925DD" w14:paraId="55566AB4" w14:textId="77777777">
        <w:tc>
          <w:tcPr>
            <w:tcW w:w="0" w:type="auto"/>
            <w:shd w:val="clear" w:color="auto" w:fill="auto"/>
            <w:tcMar>
              <w:top w:w="40" w:type="dxa"/>
              <w:left w:w="40" w:type="dxa"/>
              <w:bottom w:w="40" w:type="dxa"/>
              <w:right w:w="40" w:type="dxa"/>
            </w:tcMar>
            <w:vAlign w:val="bottom"/>
          </w:tcPr>
          <w:p w14:paraId="55566A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B2"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12. Commitments and Guarantees</w:t>
            </w:r>
          </w:p>
        </w:tc>
        <w:tc>
          <w:tcPr>
            <w:tcW w:w="0" w:type="auto"/>
            <w:shd w:val="clear" w:color="auto" w:fill="auto"/>
            <w:tcMar>
              <w:top w:w="40" w:type="dxa"/>
              <w:left w:w="40" w:type="dxa"/>
              <w:bottom w:w="40" w:type="dxa"/>
              <w:right w:w="40" w:type="dxa"/>
            </w:tcMar>
            <w:vAlign w:val="center"/>
          </w:tcPr>
          <w:p w14:paraId="55566AB3" w14:textId="77777777" w:rsidR="00F925DD" w:rsidRDefault="00E705D7">
            <w:pPr>
              <w:jc w:val="right"/>
              <w:textAlignment w:val="center"/>
              <w:rPr>
                <w:rFonts w:ascii="Times New Roman" w:hAnsi="Times New Roman"/>
                <w:sz w:val="20"/>
                <w:szCs w:val="20"/>
              </w:rPr>
            </w:pPr>
            <w:hyperlink r:id="rId63" w:anchor="sC58C2A5DCCFAF6DE069E143A4F1638D6" w:history="1">
              <w:r>
                <w:rPr>
                  <w:rStyle w:val="a5"/>
                  <w:rFonts w:ascii="Arial" w:eastAsia="宋体" w:hAnsi="Arial" w:cs="Arial"/>
                  <w:color w:val="000000"/>
                  <w:sz w:val="20"/>
                  <w:szCs w:val="20"/>
                  <w:u w:val="none"/>
                </w:rPr>
                <w:t>155</w:t>
              </w:r>
            </w:hyperlink>
          </w:p>
        </w:tc>
      </w:tr>
      <w:tr w:rsidR="00F925DD" w14:paraId="55566AB8" w14:textId="77777777">
        <w:tc>
          <w:tcPr>
            <w:tcW w:w="0" w:type="auto"/>
            <w:shd w:val="clear" w:color="auto" w:fill="auto"/>
            <w:tcMar>
              <w:top w:w="40" w:type="dxa"/>
              <w:left w:w="40" w:type="dxa"/>
              <w:bottom w:w="40" w:type="dxa"/>
              <w:right w:w="40" w:type="dxa"/>
            </w:tcMar>
            <w:vAlign w:val="bottom"/>
          </w:tcPr>
          <w:p w14:paraId="55566A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B6"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13. Contingencies</w:t>
            </w:r>
          </w:p>
        </w:tc>
        <w:tc>
          <w:tcPr>
            <w:tcW w:w="0" w:type="auto"/>
            <w:shd w:val="clear" w:color="auto" w:fill="auto"/>
            <w:tcMar>
              <w:top w:w="40" w:type="dxa"/>
              <w:left w:w="40" w:type="dxa"/>
              <w:bottom w:w="40" w:type="dxa"/>
              <w:right w:w="40" w:type="dxa"/>
            </w:tcMar>
            <w:vAlign w:val="center"/>
          </w:tcPr>
          <w:p w14:paraId="55566AB7" w14:textId="77777777" w:rsidR="00F925DD" w:rsidRDefault="00E705D7">
            <w:pPr>
              <w:jc w:val="right"/>
              <w:textAlignment w:val="center"/>
              <w:rPr>
                <w:rFonts w:ascii="Times New Roman" w:hAnsi="Times New Roman"/>
                <w:sz w:val="20"/>
                <w:szCs w:val="20"/>
              </w:rPr>
            </w:pPr>
            <w:hyperlink r:id="rId64" w:anchor="s00A02816E9A0A3D886C9143A4F3494EC" w:history="1">
              <w:r>
                <w:rPr>
                  <w:rStyle w:val="a5"/>
                  <w:rFonts w:ascii="Arial" w:eastAsia="宋体" w:hAnsi="Arial" w:cs="Arial"/>
                  <w:color w:val="000000"/>
                  <w:sz w:val="20"/>
                  <w:szCs w:val="20"/>
                  <w:u w:val="none"/>
                </w:rPr>
                <w:t>156</w:t>
              </w:r>
            </w:hyperlink>
          </w:p>
        </w:tc>
      </w:tr>
      <w:tr w:rsidR="00F925DD" w14:paraId="55566ABC" w14:textId="77777777">
        <w:tc>
          <w:tcPr>
            <w:tcW w:w="0" w:type="auto"/>
            <w:shd w:val="clear" w:color="auto" w:fill="auto"/>
            <w:tcMar>
              <w:top w:w="40" w:type="dxa"/>
              <w:left w:w="40" w:type="dxa"/>
              <w:bottom w:w="40" w:type="dxa"/>
              <w:right w:w="40" w:type="dxa"/>
            </w:tcMar>
            <w:vAlign w:val="bottom"/>
          </w:tcPr>
          <w:p w14:paraId="55566A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BA"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14. Variable Interest Entities</w:t>
            </w:r>
          </w:p>
        </w:tc>
        <w:tc>
          <w:tcPr>
            <w:tcW w:w="0" w:type="auto"/>
            <w:shd w:val="clear" w:color="auto" w:fill="auto"/>
            <w:tcMar>
              <w:top w:w="40" w:type="dxa"/>
              <w:left w:w="40" w:type="dxa"/>
              <w:bottom w:w="40" w:type="dxa"/>
              <w:right w:w="40" w:type="dxa"/>
            </w:tcMar>
            <w:vAlign w:val="center"/>
          </w:tcPr>
          <w:p w14:paraId="55566ABB" w14:textId="77777777" w:rsidR="00F925DD" w:rsidRDefault="00E705D7">
            <w:pPr>
              <w:jc w:val="right"/>
              <w:textAlignment w:val="center"/>
              <w:rPr>
                <w:rFonts w:ascii="Times New Roman" w:hAnsi="Times New Roman"/>
                <w:sz w:val="20"/>
                <w:szCs w:val="20"/>
              </w:rPr>
            </w:pPr>
            <w:hyperlink r:id="rId65" w:anchor="sC36CE1B2B3BE27045F88143A5F3B7ED4" w:history="1">
              <w:r>
                <w:rPr>
                  <w:rStyle w:val="a5"/>
                  <w:rFonts w:ascii="Arial" w:eastAsia="宋体" w:hAnsi="Arial" w:cs="Arial"/>
                  <w:color w:val="000000"/>
                  <w:sz w:val="20"/>
                  <w:szCs w:val="20"/>
                  <w:u w:val="none"/>
                </w:rPr>
                <w:t>158</w:t>
              </w:r>
            </w:hyperlink>
          </w:p>
        </w:tc>
      </w:tr>
      <w:tr w:rsidR="00F925DD" w14:paraId="55566AC0" w14:textId="77777777">
        <w:tc>
          <w:tcPr>
            <w:tcW w:w="0" w:type="auto"/>
            <w:shd w:val="clear" w:color="auto" w:fill="auto"/>
            <w:tcMar>
              <w:top w:w="40" w:type="dxa"/>
              <w:left w:w="40" w:type="dxa"/>
              <w:bottom w:w="40" w:type="dxa"/>
              <w:right w:w="40" w:type="dxa"/>
            </w:tcMar>
            <w:vAlign w:val="bottom"/>
          </w:tcPr>
          <w:p w14:paraId="55566A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BE"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15. Shareholders' Equity</w:t>
            </w:r>
          </w:p>
        </w:tc>
        <w:tc>
          <w:tcPr>
            <w:tcW w:w="0" w:type="auto"/>
            <w:shd w:val="clear" w:color="auto" w:fill="auto"/>
            <w:tcMar>
              <w:top w:w="40" w:type="dxa"/>
              <w:left w:w="40" w:type="dxa"/>
              <w:bottom w:w="40" w:type="dxa"/>
              <w:right w:w="40" w:type="dxa"/>
            </w:tcMar>
            <w:vAlign w:val="center"/>
          </w:tcPr>
          <w:p w14:paraId="55566ABF" w14:textId="77777777" w:rsidR="00F925DD" w:rsidRDefault="00E705D7">
            <w:pPr>
              <w:jc w:val="right"/>
              <w:textAlignment w:val="center"/>
              <w:rPr>
                <w:rFonts w:ascii="Times New Roman" w:hAnsi="Times New Roman"/>
                <w:sz w:val="20"/>
                <w:szCs w:val="20"/>
              </w:rPr>
            </w:pPr>
            <w:hyperlink r:id="rId66" w:anchor="sC1DCC237CC25E84F1E7E143A4F52B99B" w:history="1">
              <w:r>
                <w:rPr>
                  <w:rStyle w:val="a5"/>
                  <w:rFonts w:ascii="Arial" w:eastAsia="宋体" w:hAnsi="Arial" w:cs="Arial"/>
                  <w:color w:val="000000"/>
                  <w:sz w:val="20"/>
                  <w:szCs w:val="20"/>
                  <w:u w:val="none"/>
                </w:rPr>
                <w:t>159</w:t>
              </w:r>
            </w:hyperlink>
          </w:p>
        </w:tc>
      </w:tr>
      <w:tr w:rsidR="00F925DD" w14:paraId="55566AC4" w14:textId="77777777">
        <w:tc>
          <w:tcPr>
            <w:tcW w:w="0" w:type="auto"/>
            <w:shd w:val="clear" w:color="auto" w:fill="auto"/>
            <w:tcMar>
              <w:top w:w="40" w:type="dxa"/>
              <w:left w:w="40" w:type="dxa"/>
              <w:bottom w:w="40" w:type="dxa"/>
              <w:right w:w="40" w:type="dxa"/>
            </w:tcMar>
            <w:vAlign w:val="bottom"/>
          </w:tcPr>
          <w:p w14:paraId="55566A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C2"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16. Regulatory Capital</w:t>
            </w:r>
          </w:p>
        </w:tc>
        <w:tc>
          <w:tcPr>
            <w:tcW w:w="0" w:type="auto"/>
            <w:shd w:val="clear" w:color="auto" w:fill="auto"/>
            <w:tcMar>
              <w:top w:w="40" w:type="dxa"/>
              <w:left w:w="40" w:type="dxa"/>
              <w:bottom w:w="40" w:type="dxa"/>
              <w:right w:w="40" w:type="dxa"/>
            </w:tcMar>
            <w:vAlign w:val="center"/>
          </w:tcPr>
          <w:p w14:paraId="55566AC3" w14:textId="77777777" w:rsidR="00F925DD" w:rsidRDefault="00E705D7">
            <w:pPr>
              <w:jc w:val="right"/>
              <w:textAlignment w:val="center"/>
              <w:rPr>
                <w:rFonts w:ascii="Times New Roman" w:hAnsi="Times New Roman"/>
                <w:sz w:val="20"/>
                <w:szCs w:val="20"/>
              </w:rPr>
            </w:pPr>
            <w:hyperlink r:id="rId67" w:anchor="s1F9576301F9E7C37B827143A516592BE" w:history="1">
              <w:r>
                <w:rPr>
                  <w:rStyle w:val="a5"/>
                  <w:rFonts w:ascii="Arial" w:eastAsia="宋体" w:hAnsi="Arial" w:cs="Arial"/>
                  <w:color w:val="000000"/>
                  <w:sz w:val="20"/>
                  <w:szCs w:val="20"/>
                  <w:u w:val="none"/>
                </w:rPr>
                <w:t>162</w:t>
              </w:r>
            </w:hyperlink>
          </w:p>
        </w:tc>
      </w:tr>
      <w:tr w:rsidR="00F925DD" w14:paraId="55566AC8" w14:textId="77777777">
        <w:tc>
          <w:tcPr>
            <w:tcW w:w="0" w:type="auto"/>
            <w:shd w:val="clear" w:color="auto" w:fill="auto"/>
            <w:tcMar>
              <w:top w:w="40" w:type="dxa"/>
              <w:left w:w="40" w:type="dxa"/>
              <w:bottom w:w="40" w:type="dxa"/>
              <w:right w:w="40" w:type="dxa"/>
            </w:tcMar>
            <w:vAlign w:val="bottom"/>
          </w:tcPr>
          <w:p w14:paraId="55566A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C6"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17. Net Interest Income</w:t>
            </w:r>
          </w:p>
        </w:tc>
        <w:tc>
          <w:tcPr>
            <w:tcW w:w="0" w:type="auto"/>
            <w:shd w:val="clear" w:color="auto" w:fill="auto"/>
            <w:tcMar>
              <w:top w:w="40" w:type="dxa"/>
              <w:left w:w="40" w:type="dxa"/>
              <w:bottom w:w="40" w:type="dxa"/>
              <w:right w:w="40" w:type="dxa"/>
            </w:tcMar>
            <w:vAlign w:val="center"/>
          </w:tcPr>
          <w:p w14:paraId="55566AC7" w14:textId="77777777" w:rsidR="00F925DD" w:rsidRDefault="00E705D7">
            <w:pPr>
              <w:jc w:val="right"/>
              <w:textAlignment w:val="center"/>
              <w:rPr>
                <w:rFonts w:ascii="Times New Roman" w:hAnsi="Times New Roman"/>
                <w:sz w:val="20"/>
                <w:szCs w:val="20"/>
              </w:rPr>
            </w:pPr>
            <w:hyperlink r:id="rId68" w:anchor="s9E2973F53CCAA95A916D143A52912AF0" w:history="1">
              <w:r>
                <w:rPr>
                  <w:rStyle w:val="a5"/>
                  <w:rFonts w:ascii="Arial" w:eastAsia="宋体" w:hAnsi="Arial" w:cs="Arial"/>
                  <w:color w:val="000000"/>
                  <w:sz w:val="20"/>
                  <w:szCs w:val="20"/>
                  <w:u w:val="none"/>
                </w:rPr>
                <w:t>164</w:t>
              </w:r>
            </w:hyperlink>
          </w:p>
        </w:tc>
      </w:tr>
      <w:tr w:rsidR="00F925DD" w14:paraId="55566ACC" w14:textId="77777777">
        <w:tc>
          <w:tcPr>
            <w:tcW w:w="0" w:type="auto"/>
            <w:shd w:val="clear" w:color="auto" w:fill="auto"/>
            <w:tcMar>
              <w:top w:w="40" w:type="dxa"/>
              <w:left w:w="40" w:type="dxa"/>
              <w:bottom w:w="40" w:type="dxa"/>
              <w:right w:w="40" w:type="dxa"/>
            </w:tcMar>
            <w:vAlign w:val="bottom"/>
          </w:tcPr>
          <w:p w14:paraId="55566A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CA"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18. Equity-Based Compensation</w:t>
            </w:r>
          </w:p>
        </w:tc>
        <w:tc>
          <w:tcPr>
            <w:tcW w:w="0" w:type="auto"/>
            <w:shd w:val="clear" w:color="auto" w:fill="auto"/>
            <w:tcMar>
              <w:top w:w="40" w:type="dxa"/>
              <w:left w:w="40" w:type="dxa"/>
              <w:bottom w:w="40" w:type="dxa"/>
              <w:right w:w="40" w:type="dxa"/>
            </w:tcMar>
            <w:vAlign w:val="center"/>
          </w:tcPr>
          <w:p w14:paraId="55566ACB" w14:textId="77777777" w:rsidR="00F925DD" w:rsidRDefault="00E705D7">
            <w:pPr>
              <w:jc w:val="right"/>
              <w:textAlignment w:val="center"/>
              <w:rPr>
                <w:rFonts w:ascii="Times New Roman" w:hAnsi="Times New Roman"/>
                <w:sz w:val="20"/>
                <w:szCs w:val="20"/>
              </w:rPr>
            </w:pPr>
            <w:hyperlink r:id="rId69" w:anchor="s87397F0F2CDE4B88C7C6143A5F4FB743" w:history="1">
              <w:r>
                <w:rPr>
                  <w:rStyle w:val="a5"/>
                  <w:rFonts w:ascii="Arial" w:eastAsia="宋体" w:hAnsi="Arial" w:cs="Arial"/>
                  <w:color w:val="000000"/>
                  <w:sz w:val="20"/>
                  <w:szCs w:val="20"/>
                  <w:u w:val="none"/>
                </w:rPr>
                <w:t>164</w:t>
              </w:r>
            </w:hyperlink>
          </w:p>
        </w:tc>
      </w:tr>
      <w:tr w:rsidR="00F925DD" w14:paraId="55566AD0" w14:textId="77777777">
        <w:tc>
          <w:tcPr>
            <w:tcW w:w="0" w:type="auto"/>
            <w:shd w:val="clear" w:color="auto" w:fill="auto"/>
            <w:tcMar>
              <w:top w:w="40" w:type="dxa"/>
              <w:left w:w="40" w:type="dxa"/>
              <w:bottom w:w="40" w:type="dxa"/>
              <w:right w:w="40" w:type="dxa"/>
            </w:tcMar>
            <w:vAlign w:val="bottom"/>
          </w:tcPr>
          <w:p w14:paraId="55566A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CE" w14:textId="77777777" w:rsidR="00F925DD" w:rsidRDefault="00E705D7">
            <w:pPr>
              <w:textAlignment w:val="center"/>
              <w:rPr>
                <w:rFonts w:ascii="Times New Roman" w:hAnsi="Times New Roman"/>
                <w:sz w:val="20"/>
                <w:szCs w:val="20"/>
              </w:rPr>
            </w:pPr>
            <w:r>
              <w:rPr>
                <w:rFonts w:ascii="Arial" w:eastAsia="宋体" w:hAnsi="Arial" w:cs="Arial"/>
                <w:sz w:val="20"/>
                <w:szCs w:val="20"/>
              </w:rPr>
              <w:t>Note 19. Employee Benefits</w:t>
            </w:r>
          </w:p>
        </w:tc>
        <w:tc>
          <w:tcPr>
            <w:tcW w:w="0" w:type="auto"/>
            <w:shd w:val="clear" w:color="auto" w:fill="auto"/>
            <w:tcMar>
              <w:top w:w="40" w:type="dxa"/>
              <w:left w:w="40" w:type="dxa"/>
              <w:bottom w:w="40" w:type="dxa"/>
              <w:right w:w="40" w:type="dxa"/>
            </w:tcMar>
            <w:vAlign w:val="center"/>
          </w:tcPr>
          <w:p w14:paraId="55566ACF" w14:textId="77777777" w:rsidR="00F925DD" w:rsidRDefault="00E705D7">
            <w:pPr>
              <w:jc w:val="right"/>
              <w:textAlignment w:val="center"/>
              <w:rPr>
                <w:rFonts w:ascii="Times New Roman" w:hAnsi="Times New Roman"/>
                <w:sz w:val="20"/>
                <w:szCs w:val="20"/>
              </w:rPr>
            </w:pPr>
            <w:hyperlink r:id="rId70" w:anchor="s819EE6874ED07F98BAD9143A5FD163CC" w:history="1">
              <w:r>
                <w:rPr>
                  <w:rStyle w:val="a5"/>
                  <w:rFonts w:ascii="Arial" w:eastAsia="宋体" w:hAnsi="Arial" w:cs="Arial"/>
                  <w:color w:val="000000"/>
                  <w:sz w:val="20"/>
                  <w:szCs w:val="20"/>
                  <w:u w:val="none"/>
                </w:rPr>
                <w:t>165</w:t>
              </w:r>
            </w:hyperlink>
          </w:p>
        </w:tc>
      </w:tr>
      <w:tr w:rsidR="00F925DD" w14:paraId="55566AD4" w14:textId="77777777">
        <w:tc>
          <w:tcPr>
            <w:tcW w:w="0" w:type="auto"/>
            <w:shd w:val="clear" w:color="auto" w:fill="auto"/>
            <w:tcMar>
              <w:top w:w="40" w:type="dxa"/>
              <w:left w:w="40" w:type="dxa"/>
              <w:bottom w:w="40" w:type="dxa"/>
              <w:right w:w="40" w:type="dxa"/>
            </w:tcMar>
            <w:vAlign w:val="bottom"/>
          </w:tcPr>
          <w:p w14:paraId="55566A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D2" w14:textId="77777777" w:rsidR="00F925DD" w:rsidRDefault="00E705D7">
            <w:pPr>
              <w:textAlignment w:val="center"/>
              <w:rPr>
                <w:rFonts w:ascii="Times New Roman" w:hAnsi="Times New Roman"/>
                <w:sz w:val="20"/>
                <w:szCs w:val="20"/>
              </w:rPr>
            </w:pPr>
            <w:r>
              <w:rPr>
                <w:rFonts w:ascii="Arial" w:eastAsia="宋体" w:hAnsi="Arial" w:cs="Arial"/>
                <w:sz w:val="20"/>
                <w:szCs w:val="20"/>
              </w:rPr>
              <w:t>Note 20. Occupancy Expense and Information Systems and Communications Expense</w:t>
            </w:r>
          </w:p>
        </w:tc>
        <w:tc>
          <w:tcPr>
            <w:tcW w:w="0" w:type="auto"/>
            <w:shd w:val="clear" w:color="auto" w:fill="auto"/>
            <w:tcMar>
              <w:top w:w="40" w:type="dxa"/>
              <w:left w:w="40" w:type="dxa"/>
              <w:bottom w:w="40" w:type="dxa"/>
              <w:right w:w="40" w:type="dxa"/>
            </w:tcMar>
            <w:vAlign w:val="center"/>
          </w:tcPr>
          <w:p w14:paraId="55566AD3" w14:textId="77777777" w:rsidR="00F925DD" w:rsidRDefault="00E705D7">
            <w:pPr>
              <w:jc w:val="right"/>
              <w:textAlignment w:val="center"/>
              <w:rPr>
                <w:rFonts w:ascii="Times New Roman" w:hAnsi="Times New Roman"/>
                <w:sz w:val="20"/>
                <w:szCs w:val="20"/>
              </w:rPr>
            </w:pPr>
            <w:hyperlink r:id="rId71" w:anchor="s877EE3E991AD320DA478143A5FEF290A" w:history="1">
              <w:r>
                <w:rPr>
                  <w:rStyle w:val="a5"/>
                  <w:rFonts w:ascii="Arial" w:eastAsia="宋体" w:hAnsi="Arial" w:cs="Arial"/>
                  <w:color w:val="000000"/>
                  <w:sz w:val="20"/>
                  <w:szCs w:val="20"/>
                  <w:u w:val="none"/>
                </w:rPr>
                <w:t>166</w:t>
              </w:r>
            </w:hyperlink>
          </w:p>
        </w:tc>
      </w:tr>
      <w:tr w:rsidR="00F925DD" w14:paraId="55566AD8" w14:textId="77777777">
        <w:tc>
          <w:tcPr>
            <w:tcW w:w="0" w:type="auto"/>
            <w:shd w:val="clear" w:color="auto" w:fill="auto"/>
            <w:tcMar>
              <w:top w:w="40" w:type="dxa"/>
              <w:left w:w="40" w:type="dxa"/>
              <w:bottom w:w="40" w:type="dxa"/>
              <w:right w:w="40" w:type="dxa"/>
            </w:tcMar>
            <w:vAlign w:val="bottom"/>
          </w:tcPr>
          <w:p w14:paraId="55566A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D6" w14:textId="77777777" w:rsidR="00F925DD" w:rsidRDefault="00E705D7">
            <w:pPr>
              <w:textAlignment w:val="center"/>
              <w:rPr>
                <w:rFonts w:ascii="Times New Roman" w:hAnsi="Times New Roman"/>
                <w:sz w:val="20"/>
                <w:szCs w:val="20"/>
              </w:rPr>
            </w:pPr>
            <w:r>
              <w:rPr>
                <w:rFonts w:ascii="Arial" w:eastAsia="宋体" w:hAnsi="Arial" w:cs="Arial"/>
                <w:sz w:val="20"/>
                <w:szCs w:val="20"/>
              </w:rPr>
              <w:t>Note 21. Expenses</w:t>
            </w:r>
          </w:p>
        </w:tc>
        <w:tc>
          <w:tcPr>
            <w:tcW w:w="0" w:type="auto"/>
            <w:shd w:val="clear" w:color="auto" w:fill="auto"/>
            <w:tcMar>
              <w:top w:w="40" w:type="dxa"/>
              <w:left w:w="40" w:type="dxa"/>
              <w:bottom w:w="40" w:type="dxa"/>
              <w:right w:w="40" w:type="dxa"/>
            </w:tcMar>
            <w:vAlign w:val="center"/>
          </w:tcPr>
          <w:p w14:paraId="55566AD7" w14:textId="77777777" w:rsidR="00F925DD" w:rsidRDefault="00E705D7">
            <w:pPr>
              <w:jc w:val="right"/>
              <w:textAlignment w:val="center"/>
              <w:rPr>
                <w:rFonts w:ascii="Times New Roman" w:hAnsi="Times New Roman"/>
                <w:sz w:val="20"/>
                <w:szCs w:val="20"/>
              </w:rPr>
            </w:pPr>
            <w:hyperlink r:id="rId72" w:anchor="sC3944E797B3706013739143A52C32C21" w:history="1">
              <w:r>
                <w:rPr>
                  <w:rStyle w:val="a5"/>
                  <w:rFonts w:ascii="Arial" w:eastAsia="宋体" w:hAnsi="Arial" w:cs="Arial"/>
                  <w:color w:val="000000"/>
                  <w:sz w:val="20"/>
                  <w:szCs w:val="20"/>
                  <w:u w:val="none"/>
                </w:rPr>
                <w:t>167</w:t>
              </w:r>
            </w:hyperlink>
          </w:p>
        </w:tc>
      </w:tr>
      <w:tr w:rsidR="00F925DD" w14:paraId="55566ADC" w14:textId="77777777">
        <w:tc>
          <w:tcPr>
            <w:tcW w:w="0" w:type="auto"/>
            <w:shd w:val="clear" w:color="auto" w:fill="auto"/>
            <w:tcMar>
              <w:top w:w="40" w:type="dxa"/>
              <w:left w:w="40" w:type="dxa"/>
              <w:bottom w:w="40" w:type="dxa"/>
              <w:right w:w="40" w:type="dxa"/>
            </w:tcMar>
            <w:vAlign w:val="bottom"/>
          </w:tcPr>
          <w:p w14:paraId="55566A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DA" w14:textId="77777777" w:rsidR="00F925DD" w:rsidRDefault="00E705D7">
            <w:pPr>
              <w:textAlignment w:val="center"/>
              <w:rPr>
                <w:rFonts w:ascii="Times New Roman" w:hAnsi="Times New Roman"/>
                <w:sz w:val="20"/>
                <w:szCs w:val="20"/>
              </w:rPr>
            </w:pPr>
            <w:r>
              <w:rPr>
                <w:rFonts w:ascii="Arial" w:eastAsia="宋体" w:hAnsi="Arial" w:cs="Arial"/>
                <w:sz w:val="20"/>
                <w:szCs w:val="20"/>
              </w:rPr>
              <w:t>Note 22. Income Taxes</w:t>
            </w:r>
          </w:p>
        </w:tc>
        <w:tc>
          <w:tcPr>
            <w:tcW w:w="0" w:type="auto"/>
            <w:shd w:val="clear" w:color="auto" w:fill="auto"/>
            <w:tcMar>
              <w:top w:w="40" w:type="dxa"/>
              <w:left w:w="40" w:type="dxa"/>
              <w:bottom w:w="40" w:type="dxa"/>
              <w:right w:w="40" w:type="dxa"/>
            </w:tcMar>
            <w:vAlign w:val="center"/>
          </w:tcPr>
          <w:p w14:paraId="55566ADB" w14:textId="77777777" w:rsidR="00F925DD" w:rsidRDefault="00E705D7">
            <w:pPr>
              <w:jc w:val="right"/>
              <w:textAlignment w:val="center"/>
              <w:rPr>
                <w:rFonts w:ascii="Times New Roman" w:hAnsi="Times New Roman"/>
                <w:sz w:val="20"/>
                <w:szCs w:val="20"/>
              </w:rPr>
            </w:pPr>
            <w:hyperlink r:id="rId73" w:anchor="s3F3881EAB7061B00ECCD143A6017BDA8" w:history="1">
              <w:r>
                <w:rPr>
                  <w:rStyle w:val="a5"/>
                  <w:rFonts w:ascii="Arial" w:eastAsia="宋体" w:hAnsi="Arial" w:cs="Arial"/>
                  <w:color w:val="000000"/>
                  <w:sz w:val="20"/>
                  <w:szCs w:val="20"/>
                  <w:u w:val="none"/>
                </w:rPr>
                <w:t>168</w:t>
              </w:r>
            </w:hyperlink>
          </w:p>
        </w:tc>
      </w:tr>
      <w:tr w:rsidR="00F925DD" w14:paraId="55566AE0" w14:textId="77777777">
        <w:tc>
          <w:tcPr>
            <w:tcW w:w="0" w:type="auto"/>
            <w:shd w:val="clear" w:color="auto" w:fill="auto"/>
            <w:tcMar>
              <w:top w:w="40" w:type="dxa"/>
              <w:left w:w="40" w:type="dxa"/>
              <w:bottom w:w="40" w:type="dxa"/>
              <w:right w:w="40" w:type="dxa"/>
            </w:tcMar>
            <w:vAlign w:val="bottom"/>
          </w:tcPr>
          <w:p w14:paraId="55566A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DE" w14:textId="77777777" w:rsidR="00F925DD" w:rsidRDefault="00E705D7">
            <w:pPr>
              <w:textAlignment w:val="center"/>
              <w:rPr>
                <w:rFonts w:ascii="Times New Roman" w:hAnsi="Times New Roman"/>
                <w:sz w:val="20"/>
                <w:szCs w:val="20"/>
              </w:rPr>
            </w:pPr>
            <w:r>
              <w:rPr>
                <w:rFonts w:ascii="Arial" w:eastAsia="宋体" w:hAnsi="Arial" w:cs="Arial"/>
                <w:sz w:val="20"/>
                <w:szCs w:val="20"/>
              </w:rPr>
              <w:t>Note 23. Earnings Per Common Share</w:t>
            </w:r>
          </w:p>
        </w:tc>
        <w:tc>
          <w:tcPr>
            <w:tcW w:w="0" w:type="auto"/>
            <w:shd w:val="clear" w:color="auto" w:fill="auto"/>
            <w:tcMar>
              <w:top w:w="40" w:type="dxa"/>
              <w:left w:w="40" w:type="dxa"/>
              <w:bottom w:w="40" w:type="dxa"/>
              <w:right w:w="40" w:type="dxa"/>
            </w:tcMar>
            <w:vAlign w:val="center"/>
          </w:tcPr>
          <w:p w14:paraId="55566ADF" w14:textId="77777777" w:rsidR="00F925DD" w:rsidRDefault="00E705D7">
            <w:pPr>
              <w:jc w:val="right"/>
              <w:textAlignment w:val="center"/>
              <w:rPr>
                <w:rFonts w:ascii="Times New Roman" w:hAnsi="Times New Roman"/>
                <w:sz w:val="20"/>
                <w:szCs w:val="20"/>
              </w:rPr>
            </w:pPr>
            <w:hyperlink r:id="rId74" w:anchor="s77FC53BDCEB6D5FE7214143A5396A98F" w:history="1">
              <w:r>
                <w:rPr>
                  <w:rStyle w:val="a5"/>
                  <w:rFonts w:ascii="Arial" w:eastAsia="宋体" w:hAnsi="Arial" w:cs="Arial"/>
                  <w:color w:val="000000"/>
                  <w:sz w:val="20"/>
                  <w:szCs w:val="20"/>
                  <w:u w:val="none"/>
                </w:rPr>
                <w:t>169</w:t>
              </w:r>
            </w:hyperlink>
          </w:p>
        </w:tc>
      </w:tr>
      <w:tr w:rsidR="00F925DD" w14:paraId="55566AE4" w14:textId="77777777">
        <w:tc>
          <w:tcPr>
            <w:tcW w:w="0" w:type="auto"/>
            <w:shd w:val="clear" w:color="auto" w:fill="auto"/>
            <w:tcMar>
              <w:top w:w="40" w:type="dxa"/>
              <w:left w:w="40" w:type="dxa"/>
              <w:bottom w:w="40" w:type="dxa"/>
              <w:right w:w="40" w:type="dxa"/>
            </w:tcMar>
            <w:vAlign w:val="bottom"/>
          </w:tcPr>
          <w:p w14:paraId="55566A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E2" w14:textId="77777777" w:rsidR="00F925DD" w:rsidRDefault="00E705D7">
            <w:pPr>
              <w:textAlignment w:val="center"/>
              <w:rPr>
                <w:rFonts w:ascii="Times New Roman" w:hAnsi="Times New Roman"/>
                <w:sz w:val="20"/>
                <w:szCs w:val="20"/>
              </w:rPr>
            </w:pPr>
            <w:r>
              <w:rPr>
                <w:rFonts w:ascii="Arial" w:eastAsia="宋体" w:hAnsi="Arial" w:cs="Arial"/>
                <w:sz w:val="20"/>
                <w:szCs w:val="20"/>
              </w:rPr>
              <w:t>Note 24. Line of Business Information</w:t>
            </w:r>
          </w:p>
        </w:tc>
        <w:tc>
          <w:tcPr>
            <w:tcW w:w="0" w:type="auto"/>
            <w:shd w:val="clear" w:color="auto" w:fill="auto"/>
            <w:tcMar>
              <w:top w:w="40" w:type="dxa"/>
              <w:left w:w="40" w:type="dxa"/>
              <w:bottom w:w="40" w:type="dxa"/>
              <w:right w:w="40" w:type="dxa"/>
            </w:tcMar>
            <w:vAlign w:val="center"/>
          </w:tcPr>
          <w:p w14:paraId="55566AE3" w14:textId="77777777" w:rsidR="00F925DD" w:rsidRDefault="00E705D7">
            <w:pPr>
              <w:jc w:val="right"/>
              <w:textAlignment w:val="center"/>
              <w:rPr>
                <w:rFonts w:ascii="Times New Roman" w:hAnsi="Times New Roman"/>
                <w:sz w:val="20"/>
                <w:szCs w:val="20"/>
              </w:rPr>
            </w:pPr>
            <w:hyperlink r:id="rId75" w:anchor="sF05B62D7E1F2209F67C2143A60715E44" w:history="1">
              <w:r>
                <w:rPr>
                  <w:rStyle w:val="a5"/>
                  <w:rFonts w:ascii="Arial" w:eastAsia="宋体" w:hAnsi="Arial" w:cs="Arial"/>
                  <w:color w:val="000000"/>
                  <w:sz w:val="20"/>
                  <w:szCs w:val="20"/>
                  <w:u w:val="none"/>
                </w:rPr>
                <w:t>170</w:t>
              </w:r>
            </w:hyperlink>
          </w:p>
        </w:tc>
      </w:tr>
      <w:tr w:rsidR="00F925DD" w14:paraId="55566AE8" w14:textId="77777777">
        <w:tc>
          <w:tcPr>
            <w:tcW w:w="0" w:type="auto"/>
            <w:shd w:val="clear" w:color="auto" w:fill="auto"/>
            <w:tcMar>
              <w:top w:w="40" w:type="dxa"/>
              <w:left w:w="40" w:type="dxa"/>
              <w:bottom w:w="40" w:type="dxa"/>
              <w:right w:w="40" w:type="dxa"/>
            </w:tcMar>
            <w:vAlign w:val="bottom"/>
          </w:tcPr>
          <w:p w14:paraId="55566A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E6" w14:textId="77777777" w:rsidR="00F925DD" w:rsidRDefault="00E705D7">
            <w:pPr>
              <w:textAlignment w:val="center"/>
              <w:rPr>
                <w:rFonts w:ascii="Times New Roman" w:hAnsi="Times New Roman"/>
                <w:sz w:val="20"/>
                <w:szCs w:val="20"/>
              </w:rPr>
            </w:pPr>
            <w:r>
              <w:rPr>
                <w:rFonts w:ascii="Arial" w:eastAsia="宋体" w:hAnsi="Arial" w:cs="Arial"/>
                <w:sz w:val="20"/>
                <w:szCs w:val="20"/>
              </w:rPr>
              <w:t>Note 25. Revenue From Contracts with customers</w:t>
            </w:r>
          </w:p>
        </w:tc>
        <w:tc>
          <w:tcPr>
            <w:tcW w:w="0" w:type="auto"/>
            <w:shd w:val="clear" w:color="auto" w:fill="auto"/>
            <w:tcMar>
              <w:top w:w="40" w:type="dxa"/>
              <w:left w:w="40" w:type="dxa"/>
              <w:bottom w:w="40" w:type="dxa"/>
              <w:right w:w="40" w:type="dxa"/>
            </w:tcMar>
            <w:vAlign w:val="center"/>
          </w:tcPr>
          <w:p w14:paraId="55566AE7" w14:textId="77777777" w:rsidR="00F925DD" w:rsidRDefault="00E705D7">
            <w:pPr>
              <w:jc w:val="right"/>
              <w:textAlignment w:val="center"/>
              <w:rPr>
                <w:rFonts w:ascii="Times New Roman" w:hAnsi="Times New Roman"/>
                <w:sz w:val="20"/>
                <w:szCs w:val="20"/>
              </w:rPr>
            </w:pPr>
            <w:hyperlink r:id="rId76" w:anchor="s9C54FF67DCD99F358C1F143A55B2E4A8" w:history="1">
              <w:r>
                <w:rPr>
                  <w:rStyle w:val="a5"/>
                  <w:rFonts w:ascii="Arial" w:eastAsia="宋体" w:hAnsi="Arial" w:cs="Arial"/>
                  <w:color w:val="000000"/>
                  <w:sz w:val="20"/>
                  <w:szCs w:val="20"/>
                  <w:u w:val="none"/>
                </w:rPr>
                <w:t>172</w:t>
              </w:r>
            </w:hyperlink>
          </w:p>
        </w:tc>
      </w:tr>
      <w:tr w:rsidR="00F925DD" w14:paraId="55566AEC" w14:textId="77777777">
        <w:tc>
          <w:tcPr>
            <w:tcW w:w="0" w:type="auto"/>
            <w:shd w:val="clear" w:color="auto" w:fill="auto"/>
            <w:tcMar>
              <w:top w:w="40" w:type="dxa"/>
              <w:left w:w="40" w:type="dxa"/>
              <w:bottom w:w="40" w:type="dxa"/>
              <w:right w:w="40" w:type="dxa"/>
            </w:tcMar>
            <w:vAlign w:val="bottom"/>
          </w:tcPr>
          <w:p w14:paraId="55566A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EA" w14:textId="77777777" w:rsidR="00F925DD" w:rsidRDefault="00E705D7">
            <w:pPr>
              <w:textAlignment w:val="center"/>
              <w:rPr>
                <w:rFonts w:ascii="Times New Roman" w:hAnsi="Times New Roman"/>
                <w:sz w:val="20"/>
                <w:szCs w:val="20"/>
              </w:rPr>
            </w:pPr>
            <w:r>
              <w:rPr>
                <w:rFonts w:ascii="Arial" w:eastAsia="宋体" w:hAnsi="Arial" w:cs="Arial"/>
                <w:sz w:val="20"/>
                <w:szCs w:val="20"/>
              </w:rPr>
              <w:t>Note 26. Non-U.S. Activities</w:t>
            </w:r>
          </w:p>
        </w:tc>
        <w:tc>
          <w:tcPr>
            <w:tcW w:w="0" w:type="auto"/>
            <w:shd w:val="clear" w:color="auto" w:fill="auto"/>
            <w:tcMar>
              <w:top w:w="40" w:type="dxa"/>
              <w:left w:w="40" w:type="dxa"/>
              <w:bottom w:w="40" w:type="dxa"/>
              <w:right w:w="40" w:type="dxa"/>
            </w:tcMar>
            <w:vAlign w:val="center"/>
          </w:tcPr>
          <w:p w14:paraId="55566AEB" w14:textId="77777777" w:rsidR="00F925DD" w:rsidRDefault="00E705D7">
            <w:pPr>
              <w:jc w:val="right"/>
              <w:textAlignment w:val="center"/>
              <w:rPr>
                <w:rFonts w:ascii="Times New Roman" w:hAnsi="Times New Roman"/>
                <w:sz w:val="20"/>
                <w:szCs w:val="20"/>
              </w:rPr>
            </w:pPr>
            <w:hyperlink r:id="rId77" w:anchor="s39FC85E7AB0A722B758E143A57EC2AAA" w:history="1">
              <w:r>
                <w:rPr>
                  <w:rStyle w:val="a5"/>
                  <w:rFonts w:ascii="Arial" w:eastAsia="宋体" w:hAnsi="Arial" w:cs="Arial"/>
                  <w:color w:val="000000"/>
                  <w:sz w:val="20"/>
                  <w:szCs w:val="20"/>
                  <w:u w:val="none"/>
                </w:rPr>
                <w:t>174</w:t>
              </w:r>
            </w:hyperlink>
          </w:p>
        </w:tc>
      </w:tr>
      <w:tr w:rsidR="00F925DD" w14:paraId="55566AF0" w14:textId="77777777">
        <w:tc>
          <w:tcPr>
            <w:tcW w:w="0" w:type="auto"/>
            <w:shd w:val="clear" w:color="auto" w:fill="auto"/>
            <w:tcMar>
              <w:top w:w="40" w:type="dxa"/>
              <w:left w:w="40" w:type="dxa"/>
              <w:bottom w:w="40" w:type="dxa"/>
              <w:right w:w="40" w:type="dxa"/>
            </w:tcMar>
            <w:vAlign w:val="bottom"/>
          </w:tcPr>
          <w:p w14:paraId="55566A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EE" w14:textId="77777777" w:rsidR="00F925DD" w:rsidRDefault="00E705D7">
            <w:pPr>
              <w:textAlignment w:val="center"/>
              <w:rPr>
                <w:rFonts w:ascii="Times New Roman" w:hAnsi="Times New Roman"/>
                <w:sz w:val="20"/>
                <w:szCs w:val="20"/>
              </w:rPr>
            </w:pPr>
            <w:r>
              <w:rPr>
                <w:rFonts w:ascii="Arial" w:eastAsia="宋体" w:hAnsi="Arial" w:cs="Arial"/>
                <w:sz w:val="20"/>
                <w:szCs w:val="20"/>
              </w:rPr>
              <w:t xml:space="preserve">Note 27. Parent Company </w:t>
            </w:r>
            <w:r>
              <w:rPr>
                <w:rFonts w:ascii="Arial" w:eastAsia="宋体" w:hAnsi="Arial" w:cs="Arial"/>
                <w:sz w:val="20"/>
                <w:szCs w:val="20"/>
              </w:rPr>
              <w:t>Financial Statements</w:t>
            </w:r>
          </w:p>
        </w:tc>
        <w:tc>
          <w:tcPr>
            <w:tcW w:w="0" w:type="auto"/>
            <w:shd w:val="clear" w:color="auto" w:fill="auto"/>
            <w:tcMar>
              <w:top w:w="40" w:type="dxa"/>
              <w:left w:w="40" w:type="dxa"/>
              <w:bottom w:w="40" w:type="dxa"/>
              <w:right w:w="40" w:type="dxa"/>
            </w:tcMar>
            <w:vAlign w:val="center"/>
          </w:tcPr>
          <w:p w14:paraId="55566AEF" w14:textId="77777777" w:rsidR="00F925DD" w:rsidRDefault="00E705D7">
            <w:pPr>
              <w:jc w:val="right"/>
              <w:textAlignment w:val="center"/>
              <w:rPr>
                <w:rFonts w:ascii="Times New Roman" w:hAnsi="Times New Roman"/>
                <w:sz w:val="20"/>
                <w:szCs w:val="20"/>
              </w:rPr>
            </w:pPr>
            <w:hyperlink r:id="rId78" w:anchor="sD8BFF13A222477AF5CF1143A62A25E4B" w:history="1">
              <w:r>
                <w:rPr>
                  <w:rStyle w:val="a5"/>
                  <w:rFonts w:ascii="Arial" w:eastAsia="宋体" w:hAnsi="Arial" w:cs="Arial"/>
                  <w:color w:val="000000"/>
                  <w:sz w:val="20"/>
                  <w:szCs w:val="20"/>
                  <w:u w:val="none"/>
                </w:rPr>
                <w:t>174</w:t>
              </w:r>
            </w:hyperlink>
          </w:p>
        </w:tc>
      </w:tr>
      <w:tr w:rsidR="00F925DD" w14:paraId="55566AF4" w14:textId="77777777">
        <w:tc>
          <w:tcPr>
            <w:tcW w:w="0" w:type="auto"/>
            <w:shd w:val="clear" w:color="auto" w:fill="auto"/>
            <w:tcMar>
              <w:top w:w="40" w:type="dxa"/>
              <w:left w:w="40" w:type="dxa"/>
              <w:bottom w:w="40" w:type="dxa"/>
              <w:right w:w="40" w:type="dxa"/>
            </w:tcMar>
            <w:vAlign w:val="bottom"/>
          </w:tcPr>
          <w:p w14:paraId="55566A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720" w:type="dxa"/>
              <w:bottom w:w="40" w:type="dxa"/>
              <w:right w:w="40" w:type="dxa"/>
            </w:tcMar>
            <w:vAlign w:val="center"/>
          </w:tcPr>
          <w:p w14:paraId="55566AF2" w14:textId="77777777" w:rsidR="00F925DD" w:rsidRDefault="00E705D7">
            <w:pPr>
              <w:textAlignment w:val="center"/>
              <w:rPr>
                <w:rFonts w:ascii="Times New Roman" w:hAnsi="Times New Roman"/>
                <w:sz w:val="20"/>
                <w:szCs w:val="20"/>
              </w:rPr>
            </w:pPr>
            <w:r>
              <w:rPr>
                <w:rFonts w:ascii="Arial" w:eastAsia="宋体" w:hAnsi="Arial" w:cs="Arial"/>
                <w:sz w:val="20"/>
                <w:szCs w:val="20"/>
              </w:rPr>
              <w:t>Note 28. Subsequent Events</w:t>
            </w:r>
          </w:p>
        </w:tc>
        <w:tc>
          <w:tcPr>
            <w:tcW w:w="0" w:type="auto"/>
            <w:shd w:val="clear" w:color="auto" w:fill="auto"/>
            <w:tcMar>
              <w:top w:w="40" w:type="dxa"/>
              <w:left w:w="40" w:type="dxa"/>
              <w:bottom w:w="40" w:type="dxa"/>
              <w:right w:w="40" w:type="dxa"/>
            </w:tcMar>
            <w:vAlign w:val="center"/>
          </w:tcPr>
          <w:p w14:paraId="55566AF3" w14:textId="77777777" w:rsidR="00F925DD" w:rsidRDefault="00E705D7">
            <w:pPr>
              <w:jc w:val="right"/>
              <w:textAlignment w:val="center"/>
              <w:rPr>
                <w:rFonts w:ascii="Times New Roman" w:hAnsi="Times New Roman"/>
                <w:sz w:val="20"/>
                <w:szCs w:val="20"/>
              </w:rPr>
            </w:pPr>
            <w:hyperlink r:id="rId79" w:anchor="s28FE82E58B6E47F49AB4143A581E0257" w:history="1">
              <w:r>
                <w:rPr>
                  <w:rStyle w:val="a5"/>
                  <w:rFonts w:ascii="Arial" w:eastAsia="宋体" w:hAnsi="Arial" w:cs="Arial"/>
                  <w:color w:val="000000"/>
                  <w:sz w:val="20"/>
                  <w:szCs w:val="20"/>
                  <w:u w:val="none"/>
                </w:rPr>
                <w:t>175</w:t>
              </w:r>
            </w:hyperlink>
          </w:p>
        </w:tc>
      </w:tr>
      <w:tr w:rsidR="00F925DD" w14:paraId="55566AF8" w14:textId="77777777">
        <w:tc>
          <w:tcPr>
            <w:tcW w:w="0" w:type="auto"/>
            <w:shd w:val="clear" w:color="auto" w:fill="auto"/>
            <w:tcMar>
              <w:top w:w="40" w:type="dxa"/>
              <w:left w:w="240" w:type="dxa"/>
              <w:bottom w:w="40" w:type="dxa"/>
              <w:right w:w="40" w:type="dxa"/>
            </w:tcMar>
          </w:tcPr>
          <w:p w14:paraId="55566AF5" w14:textId="77777777" w:rsidR="00F925DD" w:rsidRDefault="00E705D7">
            <w:pPr>
              <w:textAlignment w:val="top"/>
              <w:rPr>
                <w:rFonts w:ascii="Times New Roman" w:hAnsi="Times New Roman"/>
                <w:sz w:val="20"/>
                <w:szCs w:val="20"/>
              </w:rPr>
            </w:pPr>
            <w:r>
              <w:rPr>
                <w:rFonts w:ascii="Arial" w:eastAsia="宋体" w:hAnsi="Arial" w:cs="Arial"/>
                <w:sz w:val="20"/>
                <w:szCs w:val="20"/>
              </w:rPr>
              <w:t>Item 9</w:t>
            </w:r>
          </w:p>
        </w:tc>
        <w:tc>
          <w:tcPr>
            <w:tcW w:w="0" w:type="auto"/>
            <w:shd w:val="clear" w:color="auto" w:fill="auto"/>
            <w:tcMar>
              <w:top w:w="40" w:type="dxa"/>
              <w:left w:w="240" w:type="dxa"/>
              <w:bottom w:w="40" w:type="dxa"/>
              <w:right w:w="40" w:type="dxa"/>
            </w:tcMar>
            <w:vAlign w:val="center"/>
          </w:tcPr>
          <w:p w14:paraId="55566AF6" w14:textId="77777777" w:rsidR="00F925DD" w:rsidRDefault="00E705D7">
            <w:pPr>
              <w:textAlignment w:val="center"/>
              <w:rPr>
                <w:rFonts w:ascii="Times New Roman" w:hAnsi="Times New Roman"/>
                <w:sz w:val="20"/>
                <w:szCs w:val="20"/>
              </w:rPr>
            </w:pPr>
            <w:r>
              <w:rPr>
                <w:rFonts w:ascii="Arial" w:eastAsia="宋体" w:hAnsi="Arial" w:cs="Arial"/>
                <w:sz w:val="20"/>
                <w:szCs w:val="20"/>
              </w:rPr>
              <w:t>Changes in and Disagreements with Accountants on Accounting and Financial Disclosure</w:t>
            </w:r>
          </w:p>
        </w:tc>
        <w:tc>
          <w:tcPr>
            <w:tcW w:w="0" w:type="auto"/>
            <w:shd w:val="clear" w:color="auto" w:fill="auto"/>
            <w:tcMar>
              <w:top w:w="40" w:type="dxa"/>
              <w:left w:w="40" w:type="dxa"/>
              <w:bottom w:w="40" w:type="dxa"/>
              <w:right w:w="40" w:type="dxa"/>
            </w:tcMar>
            <w:vAlign w:val="center"/>
          </w:tcPr>
          <w:p w14:paraId="55566AF7" w14:textId="77777777" w:rsidR="00F925DD" w:rsidRDefault="00E705D7">
            <w:pPr>
              <w:jc w:val="right"/>
              <w:textAlignment w:val="center"/>
              <w:rPr>
                <w:rFonts w:ascii="Times New Roman" w:hAnsi="Times New Roman"/>
                <w:sz w:val="20"/>
                <w:szCs w:val="20"/>
              </w:rPr>
            </w:pPr>
            <w:hyperlink r:id="rId80" w:anchor="sCE1A59D719020D19E322143E8306F7C9" w:history="1">
              <w:r>
                <w:rPr>
                  <w:rStyle w:val="a5"/>
                  <w:rFonts w:ascii="Arial" w:eastAsia="宋体" w:hAnsi="Arial" w:cs="Arial"/>
                  <w:color w:val="000000"/>
                  <w:sz w:val="20"/>
                  <w:szCs w:val="20"/>
                  <w:u w:val="none"/>
                </w:rPr>
                <w:t>180</w:t>
              </w:r>
            </w:hyperlink>
          </w:p>
        </w:tc>
      </w:tr>
      <w:tr w:rsidR="00F925DD" w14:paraId="55566AFC" w14:textId="77777777">
        <w:tc>
          <w:tcPr>
            <w:tcW w:w="0" w:type="auto"/>
            <w:shd w:val="clear" w:color="auto" w:fill="auto"/>
            <w:tcMar>
              <w:top w:w="40" w:type="dxa"/>
              <w:left w:w="240" w:type="dxa"/>
              <w:bottom w:w="40" w:type="dxa"/>
              <w:right w:w="40" w:type="dxa"/>
            </w:tcMar>
          </w:tcPr>
          <w:p w14:paraId="55566AF9" w14:textId="77777777" w:rsidR="00F925DD" w:rsidRDefault="00E705D7">
            <w:pPr>
              <w:textAlignment w:val="top"/>
              <w:rPr>
                <w:rFonts w:ascii="Times New Roman" w:hAnsi="Times New Roman"/>
                <w:sz w:val="20"/>
                <w:szCs w:val="20"/>
              </w:rPr>
            </w:pPr>
            <w:r>
              <w:rPr>
                <w:rFonts w:ascii="Arial" w:eastAsia="宋体" w:hAnsi="Arial" w:cs="Arial"/>
                <w:sz w:val="20"/>
                <w:szCs w:val="20"/>
              </w:rPr>
              <w:t>Item 9A</w:t>
            </w:r>
          </w:p>
        </w:tc>
        <w:tc>
          <w:tcPr>
            <w:tcW w:w="0" w:type="auto"/>
            <w:shd w:val="clear" w:color="auto" w:fill="auto"/>
            <w:tcMar>
              <w:top w:w="40" w:type="dxa"/>
              <w:left w:w="240" w:type="dxa"/>
              <w:bottom w:w="40" w:type="dxa"/>
              <w:right w:w="40" w:type="dxa"/>
            </w:tcMar>
            <w:vAlign w:val="center"/>
          </w:tcPr>
          <w:p w14:paraId="55566AFA" w14:textId="77777777" w:rsidR="00F925DD" w:rsidRDefault="00E705D7">
            <w:pPr>
              <w:textAlignment w:val="center"/>
              <w:rPr>
                <w:rFonts w:ascii="Times New Roman" w:hAnsi="Times New Roman"/>
                <w:sz w:val="20"/>
                <w:szCs w:val="20"/>
              </w:rPr>
            </w:pPr>
            <w:r>
              <w:rPr>
                <w:rFonts w:ascii="Arial" w:eastAsia="宋体" w:hAnsi="Arial" w:cs="Arial"/>
                <w:sz w:val="20"/>
                <w:szCs w:val="20"/>
              </w:rPr>
              <w:t>Controls and Procedures</w:t>
            </w:r>
          </w:p>
        </w:tc>
        <w:tc>
          <w:tcPr>
            <w:tcW w:w="0" w:type="auto"/>
            <w:shd w:val="clear" w:color="auto" w:fill="auto"/>
            <w:tcMar>
              <w:top w:w="40" w:type="dxa"/>
              <w:left w:w="40" w:type="dxa"/>
              <w:bottom w:w="40" w:type="dxa"/>
              <w:right w:w="40" w:type="dxa"/>
            </w:tcMar>
            <w:vAlign w:val="center"/>
          </w:tcPr>
          <w:p w14:paraId="55566AFB" w14:textId="77777777" w:rsidR="00F925DD" w:rsidRDefault="00E705D7">
            <w:pPr>
              <w:jc w:val="right"/>
              <w:textAlignment w:val="center"/>
              <w:rPr>
                <w:rFonts w:ascii="Times New Roman" w:hAnsi="Times New Roman"/>
                <w:sz w:val="20"/>
                <w:szCs w:val="20"/>
              </w:rPr>
            </w:pPr>
            <w:hyperlink r:id="rId81" w:anchor="s6bf021f9d0274975bc692dc2c8644359" w:history="1">
              <w:r>
                <w:rPr>
                  <w:rStyle w:val="a5"/>
                  <w:rFonts w:ascii="Arial" w:eastAsia="宋体" w:hAnsi="Arial" w:cs="Arial"/>
                  <w:color w:val="000000"/>
                  <w:sz w:val="20"/>
                  <w:szCs w:val="20"/>
                  <w:u w:val="none"/>
                </w:rPr>
                <w:t>180</w:t>
              </w:r>
            </w:hyperlink>
          </w:p>
        </w:tc>
      </w:tr>
      <w:tr w:rsidR="00F925DD" w14:paraId="55566B00" w14:textId="77777777">
        <w:tc>
          <w:tcPr>
            <w:tcW w:w="0" w:type="auto"/>
            <w:shd w:val="clear" w:color="auto" w:fill="auto"/>
            <w:tcMar>
              <w:top w:w="40" w:type="dxa"/>
              <w:left w:w="240" w:type="dxa"/>
              <w:bottom w:w="40" w:type="dxa"/>
              <w:right w:w="40" w:type="dxa"/>
            </w:tcMar>
          </w:tcPr>
          <w:p w14:paraId="55566AFD" w14:textId="77777777" w:rsidR="00F925DD" w:rsidRDefault="00E705D7">
            <w:pPr>
              <w:textAlignment w:val="top"/>
              <w:rPr>
                <w:rFonts w:ascii="Times New Roman" w:hAnsi="Times New Roman"/>
                <w:sz w:val="20"/>
                <w:szCs w:val="20"/>
              </w:rPr>
            </w:pPr>
            <w:r>
              <w:rPr>
                <w:rFonts w:ascii="Arial" w:eastAsia="宋体" w:hAnsi="Arial" w:cs="Arial"/>
                <w:sz w:val="20"/>
                <w:szCs w:val="20"/>
              </w:rPr>
              <w:t>Item 9B</w:t>
            </w:r>
          </w:p>
        </w:tc>
        <w:tc>
          <w:tcPr>
            <w:tcW w:w="0" w:type="auto"/>
            <w:shd w:val="clear" w:color="auto" w:fill="auto"/>
            <w:tcMar>
              <w:top w:w="40" w:type="dxa"/>
              <w:left w:w="240" w:type="dxa"/>
              <w:bottom w:w="40" w:type="dxa"/>
              <w:right w:w="40" w:type="dxa"/>
            </w:tcMar>
            <w:vAlign w:val="center"/>
          </w:tcPr>
          <w:p w14:paraId="55566AFE" w14:textId="77777777" w:rsidR="00F925DD" w:rsidRDefault="00E705D7">
            <w:pPr>
              <w:textAlignment w:val="center"/>
              <w:rPr>
                <w:rFonts w:ascii="Times New Roman" w:hAnsi="Times New Roman"/>
                <w:sz w:val="20"/>
                <w:szCs w:val="20"/>
              </w:rPr>
            </w:pPr>
            <w:r>
              <w:rPr>
                <w:rFonts w:ascii="Arial" w:eastAsia="宋体" w:hAnsi="Arial" w:cs="Arial"/>
                <w:sz w:val="20"/>
                <w:szCs w:val="20"/>
              </w:rPr>
              <w:t>Other Information</w:t>
            </w:r>
          </w:p>
        </w:tc>
        <w:tc>
          <w:tcPr>
            <w:tcW w:w="0" w:type="auto"/>
            <w:shd w:val="clear" w:color="auto" w:fill="auto"/>
            <w:tcMar>
              <w:top w:w="40" w:type="dxa"/>
              <w:left w:w="40" w:type="dxa"/>
              <w:bottom w:w="40" w:type="dxa"/>
              <w:right w:w="40" w:type="dxa"/>
            </w:tcMar>
            <w:vAlign w:val="center"/>
          </w:tcPr>
          <w:p w14:paraId="55566AFF" w14:textId="77777777" w:rsidR="00F925DD" w:rsidRDefault="00E705D7">
            <w:pPr>
              <w:jc w:val="right"/>
              <w:textAlignment w:val="center"/>
              <w:rPr>
                <w:rFonts w:ascii="Times New Roman" w:hAnsi="Times New Roman"/>
                <w:sz w:val="20"/>
                <w:szCs w:val="20"/>
              </w:rPr>
            </w:pPr>
            <w:hyperlink r:id="rId82" w:anchor="sDB83C5C714138F9D483D143E8338952F" w:history="1">
              <w:r>
                <w:rPr>
                  <w:rStyle w:val="a5"/>
                  <w:rFonts w:ascii="Arial" w:eastAsia="宋体" w:hAnsi="Arial" w:cs="Arial"/>
                  <w:color w:val="000000"/>
                  <w:sz w:val="20"/>
                  <w:szCs w:val="20"/>
                  <w:u w:val="none"/>
                </w:rPr>
                <w:t>183</w:t>
              </w:r>
            </w:hyperlink>
          </w:p>
        </w:tc>
      </w:tr>
      <w:tr w:rsidR="00F925DD" w14:paraId="55566B04" w14:textId="77777777">
        <w:tc>
          <w:tcPr>
            <w:tcW w:w="0" w:type="auto"/>
            <w:shd w:val="clear" w:color="auto" w:fill="auto"/>
            <w:tcMar>
              <w:top w:w="40" w:type="dxa"/>
              <w:left w:w="240" w:type="dxa"/>
              <w:bottom w:w="40" w:type="dxa"/>
              <w:right w:w="40" w:type="dxa"/>
            </w:tcMar>
            <w:vAlign w:val="center"/>
          </w:tcPr>
          <w:p w14:paraId="55566B01" w14:textId="77777777" w:rsidR="00F925DD" w:rsidRDefault="00E705D7">
            <w:pPr>
              <w:textAlignment w:val="center"/>
              <w:rPr>
                <w:rFonts w:ascii="Times New Roman" w:hAnsi="Times New Roman"/>
                <w:sz w:val="20"/>
                <w:szCs w:val="20"/>
              </w:rPr>
            </w:pPr>
            <w:r>
              <w:rPr>
                <w:rFonts w:ascii="Arial" w:eastAsia="宋体" w:hAnsi="Arial" w:cs="Arial"/>
                <w:b/>
                <w:bCs/>
                <w:sz w:val="20"/>
                <w:szCs w:val="20"/>
              </w:rPr>
              <w:t>PART III</w:t>
            </w:r>
          </w:p>
        </w:tc>
        <w:tc>
          <w:tcPr>
            <w:tcW w:w="0" w:type="auto"/>
            <w:shd w:val="clear" w:color="auto" w:fill="auto"/>
            <w:tcMar>
              <w:top w:w="40" w:type="dxa"/>
              <w:left w:w="40" w:type="dxa"/>
              <w:bottom w:w="40" w:type="dxa"/>
              <w:right w:w="40" w:type="dxa"/>
            </w:tcMar>
            <w:vAlign w:val="bottom"/>
          </w:tcPr>
          <w:p w14:paraId="55566B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B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B08" w14:textId="77777777">
        <w:tc>
          <w:tcPr>
            <w:tcW w:w="0" w:type="auto"/>
            <w:shd w:val="clear" w:color="auto" w:fill="auto"/>
            <w:tcMar>
              <w:top w:w="40" w:type="dxa"/>
              <w:left w:w="240" w:type="dxa"/>
              <w:bottom w:w="40" w:type="dxa"/>
              <w:right w:w="40" w:type="dxa"/>
            </w:tcMar>
          </w:tcPr>
          <w:p w14:paraId="55566B05" w14:textId="77777777" w:rsidR="00F925DD" w:rsidRDefault="00E705D7">
            <w:pPr>
              <w:textAlignment w:val="top"/>
              <w:rPr>
                <w:rFonts w:ascii="Times New Roman" w:hAnsi="Times New Roman"/>
                <w:sz w:val="20"/>
                <w:szCs w:val="20"/>
              </w:rPr>
            </w:pPr>
            <w:r>
              <w:rPr>
                <w:rFonts w:ascii="Arial" w:eastAsia="宋体" w:hAnsi="Arial" w:cs="Arial"/>
                <w:sz w:val="20"/>
                <w:szCs w:val="20"/>
              </w:rPr>
              <w:t>Item 10</w:t>
            </w:r>
          </w:p>
        </w:tc>
        <w:tc>
          <w:tcPr>
            <w:tcW w:w="0" w:type="auto"/>
            <w:shd w:val="clear" w:color="auto" w:fill="auto"/>
            <w:tcMar>
              <w:top w:w="40" w:type="dxa"/>
              <w:left w:w="240" w:type="dxa"/>
              <w:bottom w:w="40" w:type="dxa"/>
              <w:right w:w="40" w:type="dxa"/>
            </w:tcMar>
            <w:vAlign w:val="center"/>
          </w:tcPr>
          <w:p w14:paraId="55566B06" w14:textId="77777777" w:rsidR="00F925DD" w:rsidRDefault="00E705D7">
            <w:pPr>
              <w:textAlignment w:val="center"/>
              <w:rPr>
                <w:rFonts w:ascii="Times New Roman" w:hAnsi="Times New Roman"/>
                <w:sz w:val="20"/>
                <w:szCs w:val="20"/>
              </w:rPr>
            </w:pPr>
            <w:r>
              <w:rPr>
                <w:rFonts w:ascii="Arial" w:eastAsia="宋体" w:hAnsi="Arial" w:cs="Arial"/>
                <w:sz w:val="20"/>
                <w:szCs w:val="20"/>
              </w:rPr>
              <w:t>Directors, Executive Officers and Corporate Governance</w:t>
            </w:r>
          </w:p>
        </w:tc>
        <w:tc>
          <w:tcPr>
            <w:tcW w:w="0" w:type="auto"/>
            <w:shd w:val="clear" w:color="auto" w:fill="auto"/>
            <w:tcMar>
              <w:top w:w="40" w:type="dxa"/>
              <w:left w:w="40" w:type="dxa"/>
              <w:bottom w:w="40" w:type="dxa"/>
              <w:right w:w="40" w:type="dxa"/>
            </w:tcMar>
            <w:vAlign w:val="center"/>
          </w:tcPr>
          <w:p w14:paraId="55566B07" w14:textId="77777777" w:rsidR="00F925DD" w:rsidRDefault="00E705D7">
            <w:pPr>
              <w:jc w:val="right"/>
              <w:textAlignment w:val="center"/>
              <w:rPr>
                <w:rFonts w:ascii="Times New Roman" w:hAnsi="Times New Roman"/>
                <w:sz w:val="20"/>
                <w:szCs w:val="20"/>
              </w:rPr>
            </w:pPr>
            <w:hyperlink r:id="rId83" w:anchor="sE21F4E70D4E63EA7A82F143E919BF974" w:history="1">
              <w:r>
                <w:rPr>
                  <w:rStyle w:val="a5"/>
                  <w:rFonts w:ascii="Arial" w:eastAsia="宋体" w:hAnsi="Arial" w:cs="Arial"/>
                  <w:color w:val="000000"/>
                  <w:sz w:val="20"/>
                  <w:szCs w:val="20"/>
                  <w:u w:val="none"/>
                </w:rPr>
                <w:t>183</w:t>
              </w:r>
            </w:hyperlink>
          </w:p>
        </w:tc>
      </w:tr>
      <w:tr w:rsidR="00F925DD" w14:paraId="55566B0C" w14:textId="77777777">
        <w:tc>
          <w:tcPr>
            <w:tcW w:w="0" w:type="auto"/>
            <w:shd w:val="clear" w:color="auto" w:fill="auto"/>
            <w:tcMar>
              <w:top w:w="40" w:type="dxa"/>
              <w:left w:w="240" w:type="dxa"/>
              <w:bottom w:w="40" w:type="dxa"/>
              <w:right w:w="40" w:type="dxa"/>
            </w:tcMar>
          </w:tcPr>
          <w:p w14:paraId="55566B09" w14:textId="77777777" w:rsidR="00F925DD" w:rsidRDefault="00E705D7">
            <w:pPr>
              <w:textAlignment w:val="top"/>
              <w:rPr>
                <w:rFonts w:ascii="Times New Roman" w:hAnsi="Times New Roman"/>
                <w:sz w:val="20"/>
                <w:szCs w:val="20"/>
              </w:rPr>
            </w:pPr>
            <w:r>
              <w:rPr>
                <w:rFonts w:ascii="Arial" w:eastAsia="宋体" w:hAnsi="Arial" w:cs="Arial"/>
                <w:sz w:val="20"/>
                <w:szCs w:val="20"/>
              </w:rPr>
              <w:t>Item 11</w:t>
            </w:r>
          </w:p>
        </w:tc>
        <w:tc>
          <w:tcPr>
            <w:tcW w:w="0" w:type="auto"/>
            <w:shd w:val="clear" w:color="auto" w:fill="auto"/>
            <w:tcMar>
              <w:top w:w="40" w:type="dxa"/>
              <w:left w:w="240" w:type="dxa"/>
              <w:bottom w:w="40" w:type="dxa"/>
              <w:right w:w="40" w:type="dxa"/>
            </w:tcMar>
            <w:vAlign w:val="center"/>
          </w:tcPr>
          <w:p w14:paraId="55566B0A" w14:textId="77777777" w:rsidR="00F925DD" w:rsidRDefault="00E705D7">
            <w:pPr>
              <w:textAlignment w:val="center"/>
              <w:rPr>
                <w:rFonts w:ascii="Times New Roman" w:hAnsi="Times New Roman"/>
                <w:sz w:val="20"/>
                <w:szCs w:val="20"/>
              </w:rPr>
            </w:pPr>
            <w:r>
              <w:rPr>
                <w:rFonts w:ascii="Arial" w:eastAsia="宋体" w:hAnsi="Arial" w:cs="Arial"/>
                <w:sz w:val="20"/>
                <w:szCs w:val="20"/>
              </w:rPr>
              <w:t>Executive Compensation</w:t>
            </w:r>
          </w:p>
        </w:tc>
        <w:tc>
          <w:tcPr>
            <w:tcW w:w="0" w:type="auto"/>
            <w:shd w:val="clear" w:color="auto" w:fill="auto"/>
            <w:tcMar>
              <w:top w:w="40" w:type="dxa"/>
              <w:left w:w="40" w:type="dxa"/>
              <w:bottom w:w="40" w:type="dxa"/>
              <w:right w:w="40" w:type="dxa"/>
            </w:tcMar>
            <w:vAlign w:val="center"/>
          </w:tcPr>
          <w:p w14:paraId="55566B0B" w14:textId="77777777" w:rsidR="00F925DD" w:rsidRDefault="00E705D7">
            <w:pPr>
              <w:jc w:val="right"/>
              <w:textAlignment w:val="center"/>
              <w:rPr>
                <w:rFonts w:ascii="Times New Roman" w:hAnsi="Times New Roman"/>
                <w:sz w:val="20"/>
                <w:szCs w:val="20"/>
              </w:rPr>
            </w:pPr>
            <w:hyperlink r:id="rId84" w:anchor="sF7F692BE94FBD57B9AD5143E91AF6AED" w:history="1">
              <w:r>
                <w:rPr>
                  <w:rStyle w:val="a5"/>
                  <w:rFonts w:ascii="Arial" w:eastAsia="宋体" w:hAnsi="Arial" w:cs="Arial"/>
                  <w:color w:val="000000"/>
                  <w:sz w:val="20"/>
                  <w:szCs w:val="20"/>
                  <w:u w:val="none"/>
                </w:rPr>
                <w:t>183</w:t>
              </w:r>
            </w:hyperlink>
          </w:p>
        </w:tc>
      </w:tr>
      <w:tr w:rsidR="00F925DD" w14:paraId="55566B10" w14:textId="77777777">
        <w:tc>
          <w:tcPr>
            <w:tcW w:w="0" w:type="auto"/>
            <w:shd w:val="clear" w:color="auto" w:fill="auto"/>
            <w:tcMar>
              <w:top w:w="40" w:type="dxa"/>
              <w:left w:w="240" w:type="dxa"/>
              <w:bottom w:w="40" w:type="dxa"/>
              <w:right w:w="40" w:type="dxa"/>
            </w:tcMar>
          </w:tcPr>
          <w:p w14:paraId="55566B0D" w14:textId="77777777" w:rsidR="00F925DD" w:rsidRDefault="00E705D7">
            <w:pPr>
              <w:textAlignment w:val="top"/>
              <w:rPr>
                <w:rFonts w:ascii="Times New Roman" w:hAnsi="Times New Roman"/>
                <w:sz w:val="20"/>
                <w:szCs w:val="20"/>
              </w:rPr>
            </w:pPr>
            <w:r>
              <w:rPr>
                <w:rFonts w:ascii="Arial" w:eastAsia="宋体" w:hAnsi="Arial" w:cs="Arial"/>
                <w:sz w:val="20"/>
                <w:szCs w:val="20"/>
              </w:rPr>
              <w:t>Item 12</w:t>
            </w:r>
          </w:p>
        </w:tc>
        <w:tc>
          <w:tcPr>
            <w:tcW w:w="0" w:type="auto"/>
            <w:shd w:val="clear" w:color="auto" w:fill="auto"/>
            <w:tcMar>
              <w:top w:w="40" w:type="dxa"/>
              <w:left w:w="240" w:type="dxa"/>
              <w:bottom w:w="40" w:type="dxa"/>
              <w:right w:w="40" w:type="dxa"/>
            </w:tcMar>
            <w:vAlign w:val="center"/>
          </w:tcPr>
          <w:p w14:paraId="55566B0E" w14:textId="77777777" w:rsidR="00F925DD" w:rsidRDefault="00E705D7">
            <w:pPr>
              <w:textAlignment w:val="center"/>
              <w:rPr>
                <w:rFonts w:ascii="Times New Roman" w:hAnsi="Times New Roman"/>
                <w:sz w:val="20"/>
                <w:szCs w:val="20"/>
              </w:rPr>
            </w:pPr>
            <w:r>
              <w:rPr>
                <w:rFonts w:ascii="Arial" w:eastAsia="宋体" w:hAnsi="Arial" w:cs="Arial"/>
                <w:sz w:val="20"/>
                <w:szCs w:val="20"/>
              </w:rPr>
              <w:t xml:space="preserve">Security Ownership of Certain Beneficial Owners and Management and Related </w:t>
            </w:r>
            <w:r>
              <w:rPr>
                <w:rFonts w:ascii="Arial" w:eastAsia="宋体" w:hAnsi="Arial" w:cs="Arial"/>
                <w:sz w:val="20"/>
                <w:szCs w:val="20"/>
              </w:rPr>
              <w:t>Stockholder Matters</w:t>
            </w:r>
          </w:p>
        </w:tc>
        <w:tc>
          <w:tcPr>
            <w:tcW w:w="0" w:type="auto"/>
            <w:shd w:val="clear" w:color="auto" w:fill="auto"/>
            <w:tcMar>
              <w:top w:w="40" w:type="dxa"/>
              <w:left w:w="40" w:type="dxa"/>
              <w:bottom w:w="40" w:type="dxa"/>
              <w:right w:w="40" w:type="dxa"/>
            </w:tcMar>
            <w:vAlign w:val="center"/>
          </w:tcPr>
          <w:p w14:paraId="55566B0F" w14:textId="77777777" w:rsidR="00F925DD" w:rsidRDefault="00E705D7">
            <w:pPr>
              <w:jc w:val="right"/>
              <w:textAlignment w:val="center"/>
              <w:rPr>
                <w:rFonts w:ascii="Times New Roman" w:hAnsi="Times New Roman"/>
                <w:sz w:val="20"/>
                <w:szCs w:val="20"/>
              </w:rPr>
            </w:pPr>
            <w:hyperlink r:id="rId85" w:anchor="s8522C4D2B9FE801502AD143CB4860045" w:history="1">
              <w:r>
                <w:rPr>
                  <w:rStyle w:val="a5"/>
                  <w:rFonts w:ascii="Arial" w:eastAsia="宋体" w:hAnsi="Arial" w:cs="Arial"/>
                  <w:color w:val="000000"/>
                  <w:sz w:val="20"/>
                  <w:szCs w:val="20"/>
                  <w:u w:val="none"/>
                </w:rPr>
                <w:t>183</w:t>
              </w:r>
            </w:hyperlink>
          </w:p>
        </w:tc>
      </w:tr>
      <w:tr w:rsidR="00F925DD" w14:paraId="55566B14" w14:textId="77777777">
        <w:tc>
          <w:tcPr>
            <w:tcW w:w="0" w:type="auto"/>
            <w:shd w:val="clear" w:color="auto" w:fill="auto"/>
            <w:tcMar>
              <w:top w:w="40" w:type="dxa"/>
              <w:left w:w="240" w:type="dxa"/>
              <w:bottom w:w="40" w:type="dxa"/>
              <w:right w:w="40" w:type="dxa"/>
            </w:tcMar>
          </w:tcPr>
          <w:p w14:paraId="55566B11" w14:textId="77777777" w:rsidR="00F925DD" w:rsidRDefault="00E705D7">
            <w:pPr>
              <w:textAlignment w:val="top"/>
              <w:rPr>
                <w:rFonts w:ascii="Times New Roman" w:hAnsi="Times New Roman"/>
                <w:sz w:val="20"/>
                <w:szCs w:val="20"/>
              </w:rPr>
            </w:pPr>
            <w:r>
              <w:rPr>
                <w:rFonts w:ascii="Arial" w:eastAsia="宋体" w:hAnsi="Arial" w:cs="Arial"/>
                <w:sz w:val="20"/>
                <w:szCs w:val="20"/>
              </w:rPr>
              <w:t>Item 13</w:t>
            </w:r>
          </w:p>
        </w:tc>
        <w:tc>
          <w:tcPr>
            <w:tcW w:w="0" w:type="auto"/>
            <w:shd w:val="clear" w:color="auto" w:fill="auto"/>
            <w:tcMar>
              <w:top w:w="40" w:type="dxa"/>
              <w:left w:w="240" w:type="dxa"/>
              <w:bottom w:w="40" w:type="dxa"/>
              <w:right w:w="40" w:type="dxa"/>
            </w:tcMar>
            <w:vAlign w:val="center"/>
          </w:tcPr>
          <w:p w14:paraId="55566B12" w14:textId="77777777" w:rsidR="00F925DD" w:rsidRDefault="00E705D7">
            <w:pPr>
              <w:textAlignment w:val="center"/>
              <w:rPr>
                <w:rFonts w:ascii="Times New Roman" w:hAnsi="Times New Roman"/>
                <w:sz w:val="20"/>
                <w:szCs w:val="20"/>
              </w:rPr>
            </w:pPr>
            <w:r>
              <w:rPr>
                <w:rFonts w:ascii="Arial" w:eastAsia="宋体" w:hAnsi="Arial" w:cs="Arial"/>
                <w:sz w:val="20"/>
                <w:szCs w:val="20"/>
              </w:rPr>
              <w:t>Certain Relationships and Related Transactions, and Director Independence</w:t>
            </w:r>
          </w:p>
        </w:tc>
        <w:tc>
          <w:tcPr>
            <w:tcW w:w="0" w:type="auto"/>
            <w:shd w:val="clear" w:color="auto" w:fill="auto"/>
            <w:tcMar>
              <w:top w:w="40" w:type="dxa"/>
              <w:left w:w="40" w:type="dxa"/>
              <w:bottom w:w="40" w:type="dxa"/>
              <w:right w:w="40" w:type="dxa"/>
            </w:tcMar>
            <w:vAlign w:val="center"/>
          </w:tcPr>
          <w:p w14:paraId="55566B13" w14:textId="77777777" w:rsidR="00F925DD" w:rsidRDefault="00E705D7">
            <w:pPr>
              <w:jc w:val="right"/>
              <w:textAlignment w:val="center"/>
              <w:rPr>
                <w:rFonts w:ascii="Times New Roman" w:hAnsi="Times New Roman"/>
                <w:sz w:val="20"/>
                <w:szCs w:val="20"/>
              </w:rPr>
            </w:pPr>
            <w:hyperlink r:id="rId86" w:anchor="sB3AB96507D77A044E3A5143E91E1C49C" w:history="1">
              <w:r>
                <w:rPr>
                  <w:rStyle w:val="a5"/>
                  <w:rFonts w:ascii="Arial" w:eastAsia="宋体" w:hAnsi="Arial" w:cs="Arial"/>
                  <w:color w:val="000000"/>
                  <w:sz w:val="20"/>
                  <w:szCs w:val="20"/>
                  <w:u w:val="none"/>
                </w:rPr>
                <w:t>184</w:t>
              </w:r>
            </w:hyperlink>
          </w:p>
        </w:tc>
      </w:tr>
      <w:tr w:rsidR="00F925DD" w14:paraId="55566B18" w14:textId="77777777">
        <w:tc>
          <w:tcPr>
            <w:tcW w:w="0" w:type="auto"/>
            <w:shd w:val="clear" w:color="auto" w:fill="auto"/>
            <w:tcMar>
              <w:top w:w="40" w:type="dxa"/>
              <w:left w:w="240" w:type="dxa"/>
              <w:bottom w:w="40" w:type="dxa"/>
              <w:right w:w="40" w:type="dxa"/>
            </w:tcMar>
          </w:tcPr>
          <w:p w14:paraId="55566B15" w14:textId="77777777" w:rsidR="00F925DD" w:rsidRDefault="00E705D7">
            <w:pPr>
              <w:textAlignment w:val="top"/>
              <w:rPr>
                <w:rFonts w:ascii="Times New Roman" w:hAnsi="Times New Roman"/>
                <w:sz w:val="20"/>
                <w:szCs w:val="20"/>
              </w:rPr>
            </w:pPr>
            <w:r>
              <w:rPr>
                <w:rFonts w:ascii="Arial" w:eastAsia="宋体" w:hAnsi="Arial" w:cs="Arial"/>
                <w:sz w:val="20"/>
                <w:szCs w:val="20"/>
              </w:rPr>
              <w:t>Item 14</w:t>
            </w:r>
          </w:p>
        </w:tc>
        <w:tc>
          <w:tcPr>
            <w:tcW w:w="0" w:type="auto"/>
            <w:shd w:val="clear" w:color="auto" w:fill="auto"/>
            <w:tcMar>
              <w:top w:w="40" w:type="dxa"/>
              <w:left w:w="240" w:type="dxa"/>
              <w:bottom w:w="40" w:type="dxa"/>
              <w:right w:w="40" w:type="dxa"/>
            </w:tcMar>
            <w:vAlign w:val="center"/>
          </w:tcPr>
          <w:p w14:paraId="55566B16" w14:textId="77777777" w:rsidR="00F925DD" w:rsidRDefault="00E705D7">
            <w:pPr>
              <w:textAlignment w:val="center"/>
              <w:rPr>
                <w:rFonts w:ascii="Times New Roman" w:hAnsi="Times New Roman"/>
                <w:sz w:val="20"/>
                <w:szCs w:val="20"/>
              </w:rPr>
            </w:pPr>
            <w:r>
              <w:rPr>
                <w:rFonts w:ascii="Arial" w:eastAsia="宋体" w:hAnsi="Arial" w:cs="Arial"/>
                <w:sz w:val="20"/>
                <w:szCs w:val="20"/>
              </w:rPr>
              <w:t>Principal Accounting Fees and Services</w:t>
            </w:r>
          </w:p>
        </w:tc>
        <w:tc>
          <w:tcPr>
            <w:tcW w:w="0" w:type="auto"/>
            <w:shd w:val="clear" w:color="auto" w:fill="auto"/>
            <w:tcMar>
              <w:top w:w="40" w:type="dxa"/>
              <w:left w:w="40" w:type="dxa"/>
              <w:bottom w:w="40" w:type="dxa"/>
              <w:right w:w="40" w:type="dxa"/>
            </w:tcMar>
            <w:vAlign w:val="center"/>
          </w:tcPr>
          <w:p w14:paraId="55566B17" w14:textId="77777777" w:rsidR="00F925DD" w:rsidRDefault="00E705D7">
            <w:pPr>
              <w:jc w:val="right"/>
              <w:textAlignment w:val="center"/>
              <w:rPr>
                <w:rFonts w:ascii="Times New Roman" w:hAnsi="Times New Roman"/>
                <w:sz w:val="20"/>
                <w:szCs w:val="20"/>
              </w:rPr>
            </w:pPr>
            <w:hyperlink r:id="rId87" w:anchor="s3A0D5570DD9C942BF036143E92098375" w:history="1">
              <w:r>
                <w:rPr>
                  <w:rStyle w:val="a5"/>
                  <w:rFonts w:ascii="Arial" w:eastAsia="宋体" w:hAnsi="Arial" w:cs="Arial"/>
                  <w:color w:val="000000"/>
                  <w:sz w:val="20"/>
                  <w:szCs w:val="20"/>
                  <w:u w:val="none"/>
                </w:rPr>
                <w:t>184</w:t>
              </w:r>
            </w:hyperlink>
          </w:p>
        </w:tc>
      </w:tr>
      <w:tr w:rsidR="00F925DD" w14:paraId="55566B1C" w14:textId="77777777">
        <w:tc>
          <w:tcPr>
            <w:tcW w:w="0" w:type="auto"/>
            <w:shd w:val="clear" w:color="auto" w:fill="auto"/>
            <w:tcMar>
              <w:top w:w="40" w:type="dxa"/>
              <w:left w:w="240" w:type="dxa"/>
              <w:bottom w:w="40" w:type="dxa"/>
              <w:right w:w="40" w:type="dxa"/>
            </w:tcMar>
            <w:vAlign w:val="center"/>
          </w:tcPr>
          <w:p w14:paraId="55566B19" w14:textId="77777777" w:rsidR="00F925DD" w:rsidRDefault="00E705D7">
            <w:pPr>
              <w:textAlignment w:val="center"/>
              <w:rPr>
                <w:rFonts w:ascii="Times New Roman" w:hAnsi="Times New Roman"/>
                <w:sz w:val="20"/>
                <w:szCs w:val="20"/>
              </w:rPr>
            </w:pPr>
            <w:r>
              <w:rPr>
                <w:rFonts w:ascii="Arial" w:eastAsia="宋体" w:hAnsi="Arial" w:cs="Arial"/>
                <w:b/>
                <w:bCs/>
                <w:sz w:val="20"/>
                <w:szCs w:val="20"/>
              </w:rPr>
              <w:t>PART IV</w:t>
            </w:r>
          </w:p>
        </w:tc>
        <w:tc>
          <w:tcPr>
            <w:tcW w:w="0" w:type="auto"/>
            <w:shd w:val="clear" w:color="auto" w:fill="auto"/>
            <w:tcMar>
              <w:top w:w="40" w:type="dxa"/>
              <w:left w:w="40" w:type="dxa"/>
              <w:bottom w:w="40" w:type="dxa"/>
              <w:right w:w="40" w:type="dxa"/>
            </w:tcMar>
            <w:vAlign w:val="bottom"/>
          </w:tcPr>
          <w:p w14:paraId="55566B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B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B20" w14:textId="77777777">
        <w:tc>
          <w:tcPr>
            <w:tcW w:w="0" w:type="auto"/>
            <w:shd w:val="clear" w:color="auto" w:fill="auto"/>
            <w:tcMar>
              <w:top w:w="40" w:type="dxa"/>
              <w:left w:w="240" w:type="dxa"/>
              <w:bottom w:w="40" w:type="dxa"/>
              <w:right w:w="40" w:type="dxa"/>
            </w:tcMar>
          </w:tcPr>
          <w:p w14:paraId="55566B1D" w14:textId="77777777" w:rsidR="00F925DD" w:rsidRDefault="00E705D7">
            <w:pPr>
              <w:textAlignment w:val="top"/>
              <w:rPr>
                <w:rFonts w:ascii="Times New Roman" w:hAnsi="Times New Roman"/>
                <w:sz w:val="20"/>
                <w:szCs w:val="20"/>
              </w:rPr>
            </w:pPr>
            <w:r>
              <w:rPr>
                <w:rFonts w:ascii="Arial" w:eastAsia="宋体" w:hAnsi="Arial" w:cs="Arial"/>
                <w:sz w:val="20"/>
                <w:szCs w:val="20"/>
              </w:rPr>
              <w:t>Item 15</w:t>
            </w:r>
          </w:p>
        </w:tc>
        <w:tc>
          <w:tcPr>
            <w:tcW w:w="0" w:type="auto"/>
            <w:shd w:val="clear" w:color="auto" w:fill="auto"/>
            <w:tcMar>
              <w:top w:w="40" w:type="dxa"/>
              <w:left w:w="240" w:type="dxa"/>
              <w:bottom w:w="40" w:type="dxa"/>
              <w:right w:w="40" w:type="dxa"/>
            </w:tcMar>
            <w:vAlign w:val="center"/>
          </w:tcPr>
          <w:p w14:paraId="55566B1E" w14:textId="77777777" w:rsidR="00F925DD" w:rsidRDefault="00E705D7">
            <w:pPr>
              <w:textAlignment w:val="center"/>
              <w:rPr>
                <w:rFonts w:ascii="Times New Roman" w:hAnsi="Times New Roman"/>
                <w:sz w:val="20"/>
                <w:szCs w:val="20"/>
              </w:rPr>
            </w:pPr>
            <w:r>
              <w:rPr>
                <w:rFonts w:ascii="Arial" w:eastAsia="宋体" w:hAnsi="Arial" w:cs="Arial"/>
                <w:sz w:val="20"/>
                <w:szCs w:val="20"/>
              </w:rPr>
              <w:t xml:space="preserve">Exhibits, Financial Statement Schedules </w:t>
            </w:r>
          </w:p>
        </w:tc>
        <w:tc>
          <w:tcPr>
            <w:tcW w:w="0" w:type="auto"/>
            <w:shd w:val="clear" w:color="auto" w:fill="auto"/>
            <w:tcMar>
              <w:top w:w="40" w:type="dxa"/>
              <w:left w:w="40" w:type="dxa"/>
              <w:bottom w:w="40" w:type="dxa"/>
              <w:right w:w="40" w:type="dxa"/>
            </w:tcMar>
            <w:vAlign w:val="center"/>
          </w:tcPr>
          <w:p w14:paraId="55566B1F" w14:textId="77777777" w:rsidR="00F925DD" w:rsidRDefault="00E705D7">
            <w:pPr>
              <w:jc w:val="right"/>
              <w:textAlignment w:val="center"/>
              <w:rPr>
                <w:rFonts w:ascii="Times New Roman" w:hAnsi="Times New Roman"/>
                <w:sz w:val="20"/>
                <w:szCs w:val="20"/>
              </w:rPr>
            </w:pPr>
            <w:hyperlink r:id="rId88" w:anchor="s89FD166C8F080CCFB358143E9259F538" w:history="1">
              <w:r>
                <w:rPr>
                  <w:rStyle w:val="a5"/>
                  <w:rFonts w:ascii="Arial" w:eastAsia="宋体" w:hAnsi="Arial" w:cs="Arial"/>
                  <w:color w:val="000000"/>
                  <w:sz w:val="20"/>
                  <w:szCs w:val="20"/>
                  <w:u w:val="none"/>
                </w:rPr>
                <w:t>184</w:t>
              </w:r>
            </w:hyperlink>
          </w:p>
        </w:tc>
      </w:tr>
      <w:tr w:rsidR="00F925DD" w14:paraId="55566B24" w14:textId="77777777">
        <w:tc>
          <w:tcPr>
            <w:tcW w:w="0" w:type="auto"/>
            <w:shd w:val="clear" w:color="auto" w:fill="auto"/>
            <w:tcMar>
              <w:top w:w="40" w:type="dxa"/>
              <w:left w:w="240" w:type="dxa"/>
              <w:bottom w:w="40" w:type="dxa"/>
              <w:right w:w="40" w:type="dxa"/>
            </w:tcMar>
          </w:tcPr>
          <w:p w14:paraId="55566B21" w14:textId="77777777" w:rsidR="00F925DD" w:rsidRDefault="00E705D7">
            <w:pPr>
              <w:textAlignment w:val="top"/>
              <w:rPr>
                <w:rFonts w:ascii="Times New Roman" w:hAnsi="Times New Roman"/>
                <w:sz w:val="20"/>
                <w:szCs w:val="20"/>
              </w:rPr>
            </w:pPr>
            <w:r>
              <w:rPr>
                <w:rFonts w:ascii="Arial" w:eastAsia="宋体" w:hAnsi="Arial" w:cs="Arial"/>
                <w:sz w:val="20"/>
                <w:szCs w:val="20"/>
              </w:rPr>
              <w:t>Item 16</w:t>
            </w:r>
          </w:p>
        </w:tc>
        <w:tc>
          <w:tcPr>
            <w:tcW w:w="0" w:type="auto"/>
            <w:shd w:val="clear" w:color="auto" w:fill="auto"/>
            <w:tcMar>
              <w:top w:w="40" w:type="dxa"/>
              <w:left w:w="240" w:type="dxa"/>
              <w:bottom w:w="40" w:type="dxa"/>
              <w:right w:w="40" w:type="dxa"/>
            </w:tcMar>
            <w:vAlign w:val="center"/>
          </w:tcPr>
          <w:p w14:paraId="55566B22" w14:textId="77777777" w:rsidR="00F925DD" w:rsidRDefault="00E705D7">
            <w:pPr>
              <w:textAlignment w:val="center"/>
              <w:rPr>
                <w:rFonts w:ascii="Times New Roman" w:hAnsi="Times New Roman"/>
                <w:sz w:val="20"/>
                <w:szCs w:val="20"/>
              </w:rPr>
            </w:pPr>
            <w:r>
              <w:rPr>
                <w:rFonts w:ascii="Arial" w:eastAsia="宋体" w:hAnsi="Arial" w:cs="Arial"/>
                <w:sz w:val="20"/>
                <w:szCs w:val="20"/>
              </w:rPr>
              <w:t>Form 10-K Summary</w:t>
            </w:r>
          </w:p>
        </w:tc>
        <w:tc>
          <w:tcPr>
            <w:tcW w:w="0" w:type="auto"/>
            <w:shd w:val="clear" w:color="auto" w:fill="auto"/>
            <w:tcMar>
              <w:top w:w="40" w:type="dxa"/>
              <w:left w:w="40" w:type="dxa"/>
              <w:bottom w:w="40" w:type="dxa"/>
              <w:right w:w="40" w:type="dxa"/>
            </w:tcMar>
            <w:vAlign w:val="center"/>
          </w:tcPr>
          <w:p w14:paraId="55566B23" w14:textId="77777777" w:rsidR="00F925DD" w:rsidRDefault="00E705D7">
            <w:pPr>
              <w:jc w:val="right"/>
              <w:textAlignment w:val="center"/>
              <w:rPr>
                <w:rFonts w:ascii="Times New Roman" w:hAnsi="Times New Roman"/>
                <w:sz w:val="20"/>
                <w:szCs w:val="20"/>
              </w:rPr>
            </w:pPr>
            <w:hyperlink r:id="rId89" w:anchor="sCDA1F3EF129011D75A78143E928B0B5E" w:history="1">
              <w:r>
                <w:rPr>
                  <w:rStyle w:val="a5"/>
                  <w:rFonts w:ascii="Arial" w:eastAsia="宋体" w:hAnsi="Arial" w:cs="Arial"/>
                  <w:color w:val="000000"/>
                  <w:sz w:val="20"/>
                  <w:szCs w:val="20"/>
                  <w:u w:val="none"/>
                </w:rPr>
                <w:t>184</w:t>
              </w:r>
            </w:hyperlink>
          </w:p>
        </w:tc>
      </w:tr>
      <w:tr w:rsidR="00F925DD" w14:paraId="55566B28" w14:textId="77777777">
        <w:tc>
          <w:tcPr>
            <w:tcW w:w="0" w:type="auto"/>
            <w:shd w:val="clear" w:color="auto" w:fill="auto"/>
            <w:tcMar>
              <w:top w:w="40" w:type="dxa"/>
              <w:left w:w="40" w:type="dxa"/>
              <w:bottom w:w="40" w:type="dxa"/>
              <w:right w:w="40" w:type="dxa"/>
            </w:tcMar>
            <w:vAlign w:val="bottom"/>
          </w:tcPr>
          <w:p w14:paraId="55566B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B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B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B2C" w14:textId="77777777">
        <w:tc>
          <w:tcPr>
            <w:tcW w:w="0" w:type="auto"/>
            <w:shd w:val="clear" w:color="auto" w:fill="auto"/>
            <w:tcMar>
              <w:top w:w="40" w:type="dxa"/>
              <w:left w:w="40" w:type="dxa"/>
              <w:bottom w:w="40" w:type="dxa"/>
              <w:right w:w="40" w:type="dxa"/>
            </w:tcMar>
            <w:vAlign w:val="bottom"/>
          </w:tcPr>
          <w:p w14:paraId="55566B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240" w:type="dxa"/>
              <w:bottom w:w="40" w:type="dxa"/>
              <w:right w:w="40" w:type="dxa"/>
            </w:tcMar>
            <w:vAlign w:val="center"/>
          </w:tcPr>
          <w:p w14:paraId="55566B2A" w14:textId="77777777" w:rsidR="00F925DD" w:rsidRDefault="00E705D7">
            <w:pPr>
              <w:textAlignment w:val="center"/>
              <w:rPr>
                <w:rFonts w:ascii="Times New Roman" w:hAnsi="Times New Roman"/>
                <w:sz w:val="20"/>
                <w:szCs w:val="20"/>
              </w:rPr>
            </w:pPr>
            <w:r>
              <w:rPr>
                <w:rFonts w:ascii="Arial" w:eastAsia="宋体" w:hAnsi="Arial" w:cs="Arial"/>
                <w:sz w:val="20"/>
                <w:szCs w:val="20"/>
              </w:rPr>
              <w:t xml:space="preserve">EXHIBIT INDEX </w:t>
            </w:r>
          </w:p>
        </w:tc>
        <w:tc>
          <w:tcPr>
            <w:tcW w:w="0" w:type="auto"/>
            <w:shd w:val="clear" w:color="auto" w:fill="auto"/>
            <w:tcMar>
              <w:top w:w="40" w:type="dxa"/>
              <w:left w:w="40" w:type="dxa"/>
              <w:bottom w:w="40" w:type="dxa"/>
              <w:right w:w="40" w:type="dxa"/>
            </w:tcMar>
            <w:vAlign w:val="center"/>
          </w:tcPr>
          <w:p w14:paraId="55566B2B" w14:textId="77777777" w:rsidR="00F925DD" w:rsidRDefault="00E705D7">
            <w:pPr>
              <w:jc w:val="right"/>
              <w:textAlignment w:val="center"/>
              <w:rPr>
                <w:rFonts w:ascii="Times New Roman" w:hAnsi="Times New Roman"/>
                <w:sz w:val="20"/>
                <w:szCs w:val="20"/>
              </w:rPr>
            </w:pPr>
            <w:hyperlink r:id="rId90" w:anchor="s519470120178E3B44B95143E92B38314" w:history="1">
              <w:r>
                <w:rPr>
                  <w:rStyle w:val="a5"/>
                  <w:rFonts w:ascii="Arial" w:eastAsia="宋体" w:hAnsi="Arial" w:cs="Arial"/>
                  <w:color w:val="000000"/>
                  <w:sz w:val="20"/>
                  <w:szCs w:val="20"/>
                  <w:u w:val="none"/>
                </w:rPr>
                <w:t>185</w:t>
              </w:r>
            </w:hyperlink>
          </w:p>
        </w:tc>
      </w:tr>
      <w:tr w:rsidR="00F925DD" w14:paraId="55566B30" w14:textId="77777777">
        <w:tc>
          <w:tcPr>
            <w:tcW w:w="0" w:type="auto"/>
            <w:shd w:val="clear" w:color="auto" w:fill="auto"/>
            <w:tcMar>
              <w:top w:w="40" w:type="dxa"/>
              <w:left w:w="40" w:type="dxa"/>
              <w:bottom w:w="40" w:type="dxa"/>
              <w:right w:w="40" w:type="dxa"/>
            </w:tcMar>
            <w:vAlign w:val="bottom"/>
          </w:tcPr>
          <w:p w14:paraId="55566B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240" w:type="dxa"/>
              <w:bottom w:w="40" w:type="dxa"/>
              <w:right w:w="40" w:type="dxa"/>
            </w:tcMar>
            <w:vAlign w:val="center"/>
          </w:tcPr>
          <w:p w14:paraId="55566B2E" w14:textId="77777777" w:rsidR="00F925DD" w:rsidRDefault="00E705D7">
            <w:pPr>
              <w:textAlignment w:val="center"/>
              <w:rPr>
                <w:rFonts w:ascii="Times New Roman" w:hAnsi="Times New Roman"/>
                <w:sz w:val="20"/>
                <w:szCs w:val="20"/>
              </w:rPr>
            </w:pPr>
            <w:r>
              <w:rPr>
                <w:rFonts w:ascii="Arial" w:eastAsia="宋体" w:hAnsi="Arial" w:cs="Arial"/>
                <w:sz w:val="20"/>
                <w:szCs w:val="20"/>
              </w:rPr>
              <w:t>SIGNATURES</w:t>
            </w:r>
          </w:p>
        </w:tc>
        <w:tc>
          <w:tcPr>
            <w:tcW w:w="0" w:type="auto"/>
            <w:shd w:val="clear" w:color="auto" w:fill="auto"/>
            <w:tcMar>
              <w:top w:w="40" w:type="dxa"/>
              <w:left w:w="40" w:type="dxa"/>
              <w:bottom w:w="40" w:type="dxa"/>
              <w:right w:w="40" w:type="dxa"/>
            </w:tcMar>
            <w:vAlign w:val="center"/>
          </w:tcPr>
          <w:p w14:paraId="55566B2F" w14:textId="77777777" w:rsidR="00F925DD" w:rsidRDefault="00E705D7">
            <w:pPr>
              <w:jc w:val="right"/>
              <w:textAlignment w:val="center"/>
              <w:rPr>
                <w:rFonts w:ascii="Times New Roman" w:hAnsi="Times New Roman"/>
                <w:sz w:val="20"/>
                <w:szCs w:val="20"/>
              </w:rPr>
            </w:pPr>
            <w:hyperlink r:id="rId91" w:anchor="sC026381101EA77E86BBD143E92DBA9CE" w:history="1">
              <w:r>
                <w:rPr>
                  <w:rStyle w:val="a5"/>
                  <w:rFonts w:ascii="Arial" w:eastAsia="宋体" w:hAnsi="Arial" w:cs="Arial"/>
                  <w:color w:val="000000"/>
                  <w:sz w:val="20"/>
                  <w:szCs w:val="20"/>
                  <w:u w:val="none"/>
                </w:rPr>
                <w:t>188</w:t>
              </w:r>
            </w:hyperlink>
          </w:p>
        </w:tc>
      </w:tr>
    </w:tbl>
    <w:p w14:paraId="55566B31" w14:textId="77777777" w:rsidR="00F925DD" w:rsidRDefault="00F925DD">
      <w:pPr>
        <w:rPr>
          <w:rFonts w:ascii="Times New Roman" w:hAnsi="Times New Roman"/>
          <w:sz w:val="20"/>
          <w:szCs w:val="20"/>
        </w:rPr>
      </w:pPr>
    </w:p>
    <w:p w14:paraId="55566B3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w:t>
      </w:r>
    </w:p>
    <w:p w14:paraId="55566B33" w14:textId="77777777" w:rsidR="00F925DD" w:rsidRDefault="00F925DD">
      <w:pPr>
        <w:spacing w:line="288" w:lineRule="auto"/>
        <w:ind w:firstLine="600"/>
        <w:jc w:val="center"/>
        <w:rPr>
          <w:rFonts w:ascii="Times New Roman" w:hAnsi="Times New Roman"/>
          <w:sz w:val="18"/>
          <w:szCs w:val="18"/>
        </w:rPr>
      </w:pPr>
    </w:p>
    <w:p w14:paraId="55566B34" w14:textId="77777777" w:rsidR="00F925DD" w:rsidRDefault="00E705D7">
      <w:r>
        <w:rPr>
          <w:rFonts w:ascii="Times New Roman" w:hAnsi="Times New Roman"/>
          <w:sz w:val="18"/>
          <w:szCs w:val="18"/>
        </w:rPr>
        <w:pict w14:anchorId="5557063B">
          <v:rect id="_x0000_i1027" style="width:415.3pt;height:1.5pt" o:hralign="center" o:hrstd="t" o:hr="t" fillcolor="#a0a0a0" stroked="f"/>
        </w:pict>
      </w:r>
    </w:p>
    <w:p w14:paraId="55566B35" w14:textId="77777777" w:rsidR="00F925DD" w:rsidRDefault="00F925DD">
      <w:pPr>
        <w:rPr>
          <w:rFonts w:ascii="Times New Roman" w:hAnsi="Times New Roman"/>
          <w:sz w:val="20"/>
          <w:szCs w:val="20"/>
        </w:rPr>
      </w:pPr>
    </w:p>
    <w:p w14:paraId="55566B36"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PART I</w:t>
      </w:r>
    </w:p>
    <w:p w14:paraId="55566B37"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ITEM 1. BUSINESS</w:t>
      </w:r>
    </w:p>
    <w:p w14:paraId="55566B38"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GENERAL</w:t>
      </w:r>
    </w:p>
    <w:p w14:paraId="55566B3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State Street Corporation, referred to as the Parent Company, is a financial holding company organized in 1969 under the </w:t>
      </w:r>
      <w:r>
        <w:rPr>
          <w:rFonts w:ascii="Arial" w:eastAsia="宋体" w:hAnsi="Arial" w:cs="Arial"/>
          <w:sz w:val="20"/>
          <w:szCs w:val="20"/>
        </w:rPr>
        <w:t>laws of the Commonwealth of Massachusetts. Our executive offices are located at One Lincoln Street, Boston, Massachusetts 02111 (telephone (617) 786-3000). For purposes of this Form 10-K, unless the context requires otherwise, references to “State Street,”</w:t>
      </w:r>
      <w:r>
        <w:rPr>
          <w:rFonts w:ascii="Arial" w:eastAsia="宋体" w:hAnsi="Arial" w:cs="Arial"/>
          <w:sz w:val="20"/>
          <w:szCs w:val="20"/>
        </w:rPr>
        <w:t xml:space="preserve"> “we,” “us,” “our” or similar terms mean State Street Corporation and its subsidiaries on a consolidated basis. The Parent Company is a source of financial and managerial strength to our subsidiaries. Through our subsidiaries, including our principal banki</w:t>
      </w:r>
      <w:r>
        <w:rPr>
          <w:rFonts w:ascii="Arial" w:eastAsia="宋体" w:hAnsi="Arial" w:cs="Arial"/>
          <w:sz w:val="20"/>
          <w:szCs w:val="20"/>
        </w:rPr>
        <w:t>ng subsidiary, State Street Bank and Trust Company, referred to as State Street Bank, we provide a broad range of financial products and services to institutional investors worldwide, with $34.36 trillion of AUC/A and $3.12 trillion of AUM as of December 3</w:t>
      </w:r>
      <w:r>
        <w:rPr>
          <w:rFonts w:ascii="Arial" w:eastAsia="宋体" w:hAnsi="Arial" w:cs="Arial"/>
          <w:sz w:val="20"/>
          <w:szCs w:val="20"/>
        </w:rPr>
        <w:t>1, 2019.</w:t>
      </w:r>
    </w:p>
    <w:p w14:paraId="55566B3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we had consolidated total assets of $245.61 billion, consolidated total deposits of $181.87 billion, consolidated total shareholders' equity of $24.43 billion and over 39,000 employees. We operate in more than 100 geograph</w:t>
      </w:r>
      <w:r>
        <w:rPr>
          <w:rFonts w:ascii="Arial" w:eastAsia="宋体" w:hAnsi="Arial" w:cs="Arial"/>
          <w:sz w:val="20"/>
          <w:szCs w:val="20"/>
        </w:rPr>
        <w:t>ic markets worldwide, including the U.S., Canada, Europe, the Middle East and Asia.</w:t>
      </w:r>
    </w:p>
    <w:p w14:paraId="55566B3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On the “Investor Relations” section of our corporate website at </w:t>
      </w:r>
      <w:r>
        <w:rPr>
          <w:rFonts w:ascii="Arial" w:eastAsia="宋体" w:hAnsi="Arial" w:cs="Arial"/>
          <w:i/>
          <w:iCs/>
          <w:sz w:val="20"/>
          <w:szCs w:val="20"/>
        </w:rPr>
        <w:t>www.statestreet.com</w:t>
      </w:r>
      <w:r>
        <w:rPr>
          <w:rFonts w:ascii="Arial" w:eastAsia="宋体" w:hAnsi="Arial" w:cs="Arial"/>
          <w:sz w:val="20"/>
          <w:szCs w:val="20"/>
        </w:rPr>
        <w:t xml:space="preserve">, we make available, free of charge, all reports we electronically file with, or furnish </w:t>
      </w:r>
      <w:r>
        <w:rPr>
          <w:rFonts w:ascii="Arial" w:eastAsia="宋体" w:hAnsi="Arial" w:cs="Arial"/>
          <w:sz w:val="20"/>
          <w:szCs w:val="20"/>
        </w:rPr>
        <w:t>to, the SEC including our Annual Reports on Form 10-K, Quarterly Reports on Form 10-Q and Current Reports on Form 8-K, as well as any amendments to those reports, as soon as reasonably practicable after those documents have been filed with, or furnished to</w:t>
      </w:r>
      <w:r>
        <w:rPr>
          <w:rFonts w:ascii="Arial" w:eastAsia="宋体" w:hAnsi="Arial" w:cs="Arial"/>
          <w:sz w:val="20"/>
          <w:szCs w:val="20"/>
        </w:rPr>
        <w:t xml:space="preserve">, the SEC. These documents are also accessible on the SEC’s website at </w:t>
      </w:r>
      <w:r>
        <w:rPr>
          <w:rFonts w:ascii="Arial" w:eastAsia="宋体" w:hAnsi="Arial" w:cs="Arial"/>
          <w:i/>
          <w:iCs/>
          <w:sz w:val="20"/>
          <w:szCs w:val="20"/>
        </w:rPr>
        <w:t>www.sec.gov</w:t>
      </w:r>
      <w:r>
        <w:rPr>
          <w:rFonts w:ascii="Arial" w:eastAsia="宋体" w:hAnsi="Arial" w:cs="Arial"/>
          <w:sz w:val="20"/>
          <w:szCs w:val="20"/>
        </w:rPr>
        <w:t xml:space="preserve">. We have included the website addresses of State Street and the SEC in this report as inactive textual references only. Information on those websites is not incorporated by </w:t>
      </w:r>
      <w:r>
        <w:rPr>
          <w:rFonts w:ascii="Arial" w:eastAsia="宋体" w:hAnsi="Arial" w:cs="Arial"/>
          <w:sz w:val="20"/>
          <w:szCs w:val="20"/>
        </w:rPr>
        <w:t>reference in this Form 10-K.</w:t>
      </w:r>
    </w:p>
    <w:p w14:paraId="55566B3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Corporate Governance Guidelines, as well as written charters for the Examining and Audit Committee, the Executive Committee, the Human Resources Committee, the Nominating and Corporate Governance Committee, the Risk Com</w:t>
      </w:r>
      <w:r>
        <w:rPr>
          <w:rFonts w:ascii="Arial" w:eastAsia="宋体" w:hAnsi="Arial" w:cs="Arial"/>
          <w:sz w:val="20"/>
          <w:szCs w:val="20"/>
        </w:rPr>
        <w:t>mittee and the Technology and Operations Committee of our Board of Directors, or Board, and a Code of Ethics for senior financial officers, a Standard of Conduct for Directors and a Standard of Conduct for our employees. Each of these documents is posted o</w:t>
      </w:r>
      <w:r>
        <w:rPr>
          <w:rFonts w:ascii="Arial" w:eastAsia="宋体" w:hAnsi="Arial" w:cs="Arial"/>
          <w:sz w:val="20"/>
          <w:szCs w:val="20"/>
        </w:rPr>
        <w:t>n the "Investor Relations" section of our website under "Corporate Governance."</w:t>
      </w:r>
    </w:p>
    <w:p w14:paraId="55566B3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provide additional disclosures required by applicable bank regulatory standards, including </w:t>
      </w:r>
    </w:p>
    <w:p w14:paraId="55566B3E"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B3F"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supplemental qualitative and quantitative information with respect to </w:t>
      </w:r>
      <w:r>
        <w:rPr>
          <w:rFonts w:ascii="Arial" w:eastAsia="宋体" w:hAnsi="Arial" w:cs="Arial"/>
          <w:sz w:val="20"/>
          <w:szCs w:val="20"/>
        </w:rPr>
        <w:t>regulatory capital (including market risk associated with our trading activities) and the liquidity coverage ratio, summary results of State Street-run stress tests which we conduct under the Dodd-Frank Act and resolution plan disclosures required under th</w:t>
      </w:r>
      <w:r>
        <w:rPr>
          <w:rFonts w:ascii="Arial" w:eastAsia="宋体" w:hAnsi="Arial" w:cs="Arial"/>
          <w:sz w:val="20"/>
          <w:szCs w:val="20"/>
        </w:rPr>
        <w:t>e Dodd-Frank Act. These additional disclosures are available on the “Investor Relations” section of our website under "Filings and Reports."</w:t>
      </w:r>
    </w:p>
    <w:p w14:paraId="55566B4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acronyms and other defined terms for certain business terms and abbreviations, as defined on the acronyms li</w:t>
      </w:r>
      <w:r>
        <w:rPr>
          <w:rFonts w:ascii="Arial" w:eastAsia="宋体" w:hAnsi="Arial" w:cs="Arial"/>
          <w:sz w:val="20"/>
          <w:szCs w:val="20"/>
        </w:rPr>
        <w:t>st and glossary under Item 8 in this Form 10-K.</w:t>
      </w:r>
    </w:p>
    <w:p w14:paraId="55566B41"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BUSINESS</w:t>
      </w:r>
      <w:r>
        <w:rPr>
          <w:rFonts w:ascii="Arial" w:eastAsia="宋体" w:hAnsi="Arial" w:cs="Arial"/>
          <w:b/>
          <w:bCs/>
          <w:sz w:val="20"/>
          <w:szCs w:val="20"/>
        </w:rPr>
        <w:t xml:space="preserve"> DESCRIPTION</w:t>
      </w:r>
    </w:p>
    <w:p w14:paraId="55566B42"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Overview</w:t>
      </w:r>
    </w:p>
    <w:p w14:paraId="55566B4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conduct our business primarily through State Street Bank, which traces its beginnings to the founding of the Union Bank in 1792. State Street Bank's current charter was author</w:t>
      </w:r>
      <w:r>
        <w:rPr>
          <w:rFonts w:ascii="Arial" w:eastAsia="宋体" w:hAnsi="Arial" w:cs="Arial"/>
          <w:sz w:val="20"/>
          <w:szCs w:val="20"/>
        </w:rPr>
        <w:t>ized by a special Act of the Massachusetts Legislature in 1891, and its present name was adopted in 1960. State Street Bank operates as a specialized bank, referred to as a trust or custody bank, that services and manages assets on behalf of its institutio</w:t>
      </w:r>
      <w:r>
        <w:rPr>
          <w:rFonts w:ascii="Arial" w:eastAsia="宋体" w:hAnsi="Arial" w:cs="Arial"/>
          <w:sz w:val="20"/>
          <w:szCs w:val="20"/>
        </w:rPr>
        <w:t xml:space="preserve">nal clients. </w:t>
      </w:r>
    </w:p>
    <w:p w14:paraId="55566B4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clients include mutual funds, collective investment funds and other investment pools, corporate and public retirement plans, insurance companies, foundations, endowments and investment managers.</w:t>
      </w:r>
    </w:p>
    <w:p w14:paraId="55566B45"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LINES OF</w:t>
      </w:r>
      <w:r>
        <w:rPr>
          <w:rFonts w:ascii="Arial" w:eastAsia="宋体" w:hAnsi="Arial" w:cs="Arial"/>
          <w:b/>
          <w:bCs/>
          <w:sz w:val="20"/>
          <w:szCs w:val="20"/>
        </w:rPr>
        <w:t xml:space="preserve"> BUSINESS</w:t>
      </w:r>
    </w:p>
    <w:p w14:paraId="55566B4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two lines of busi</w:t>
      </w:r>
      <w:r>
        <w:rPr>
          <w:rFonts w:ascii="Arial" w:eastAsia="宋体" w:hAnsi="Arial" w:cs="Arial"/>
          <w:sz w:val="20"/>
          <w:szCs w:val="20"/>
        </w:rPr>
        <w:t>ness: Investment Servicing and Investment Management.</w:t>
      </w:r>
    </w:p>
    <w:p w14:paraId="55566B47"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Investme</w:t>
      </w:r>
      <w:r>
        <w:rPr>
          <w:rFonts w:ascii="Arial" w:eastAsia="宋体" w:hAnsi="Arial" w:cs="Arial"/>
          <w:b/>
          <w:bCs/>
          <w:sz w:val="20"/>
          <w:szCs w:val="20"/>
        </w:rPr>
        <w:t>nt Servicing</w:t>
      </w:r>
    </w:p>
    <w:p w14:paraId="55566B4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Investment Servicing line of business performs core custody and related value-added functions, such as providing institutional investors with clearing, settlement and payment se</w:t>
      </w:r>
      <w:r>
        <w:rPr>
          <w:rFonts w:ascii="Arial" w:eastAsia="宋体" w:hAnsi="Arial" w:cs="Arial"/>
          <w:sz w:val="20"/>
          <w:szCs w:val="20"/>
        </w:rPr>
        <w:t>rvices. Our financial services and products allow our large institutional investor clients to execute financial transactions on a daily basis in markets across the globe. As most institutional investors cannot economically or efficiently build their own te</w:t>
      </w:r>
      <w:r>
        <w:rPr>
          <w:rFonts w:ascii="Arial" w:eastAsia="宋体" w:hAnsi="Arial" w:cs="Arial"/>
          <w:sz w:val="20"/>
          <w:szCs w:val="20"/>
        </w:rPr>
        <w:t>chnology and operational processes necessary to facilitate their global securities settlement needs, our role as a global trust and custody bank is generally to aid our clients to efficiently perform services associated with the clearing, settlement and ex</w:t>
      </w:r>
      <w:r>
        <w:rPr>
          <w:rFonts w:ascii="Arial" w:eastAsia="宋体" w:hAnsi="Arial" w:cs="Arial"/>
          <w:sz w:val="20"/>
          <w:szCs w:val="20"/>
        </w:rPr>
        <w:t>ecution of securities transactions and related payments.</w:t>
      </w:r>
    </w:p>
    <w:p w14:paraId="55566B4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Investment Servicing products and services include: custody; product and participant level accounting; daily pricing and administration; master trust and master custody; depotbank services (a fun</w:t>
      </w:r>
      <w:r>
        <w:rPr>
          <w:rFonts w:ascii="Arial" w:eastAsia="宋体" w:hAnsi="Arial" w:cs="Arial"/>
          <w:sz w:val="20"/>
          <w:szCs w:val="20"/>
        </w:rPr>
        <w:t xml:space="preserve">d oversight role created by non-U.S. regulation); record-keeping; cash management; foreign exchange, </w:t>
      </w:r>
    </w:p>
    <w:p w14:paraId="55566B4A" w14:textId="77777777" w:rsidR="00F925DD" w:rsidRDefault="00F925DD">
      <w:pPr>
        <w:rPr>
          <w:rFonts w:ascii="Times New Roman" w:hAnsi="Times New Roman"/>
          <w:sz w:val="20"/>
          <w:szCs w:val="20"/>
        </w:rPr>
      </w:pPr>
    </w:p>
    <w:p w14:paraId="55566B4B"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w:t>
      </w:r>
    </w:p>
    <w:p w14:paraId="55566B4C" w14:textId="77777777" w:rsidR="00F925DD" w:rsidRDefault="00F925DD">
      <w:pPr>
        <w:spacing w:line="288" w:lineRule="auto"/>
        <w:ind w:firstLine="600"/>
        <w:jc w:val="center"/>
        <w:rPr>
          <w:rFonts w:ascii="Times New Roman" w:hAnsi="Times New Roman"/>
          <w:sz w:val="18"/>
          <w:szCs w:val="18"/>
        </w:rPr>
      </w:pPr>
    </w:p>
    <w:p w14:paraId="55566B4D" w14:textId="77777777" w:rsidR="00F925DD" w:rsidRDefault="00E705D7">
      <w:r>
        <w:rPr>
          <w:rFonts w:ascii="Times New Roman" w:hAnsi="Times New Roman"/>
          <w:sz w:val="18"/>
          <w:szCs w:val="18"/>
        </w:rPr>
        <w:pict w14:anchorId="5557063C">
          <v:rect id="_x0000_i1028" style="width:415.3pt;height:1.5pt" o:hralign="center" o:hrstd="t" o:hr="t" fillcolor="#a0a0a0" stroked="f"/>
        </w:pict>
      </w:r>
    </w:p>
    <w:p w14:paraId="55566B4E" w14:textId="77777777" w:rsidR="00F925DD" w:rsidRDefault="00F925DD">
      <w:pPr>
        <w:spacing w:line="288" w:lineRule="auto"/>
        <w:ind w:firstLine="600"/>
        <w:rPr>
          <w:rFonts w:ascii="Times New Roman" w:hAnsi="Times New Roman"/>
          <w:sz w:val="18"/>
          <w:szCs w:val="18"/>
        </w:rPr>
      </w:pPr>
    </w:p>
    <w:p w14:paraId="55566B4F" w14:textId="77777777" w:rsidR="00F925DD" w:rsidRDefault="00F925DD">
      <w:pPr>
        <w:rPr>
          <w:rFonts w:ascii="Times New Roman" w:hAnsi="Times New Roman"/>
          <w:sz w:val="20"/>
          <w:szCs w:val="20"/>
        </w:rPr>
      </w:pPr>
    </w:p>
    <w:p w14:paraId="55566B50"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brokerage and other trading services; securities finance and enhanced custody products; deposit and </w:t>
      </w:r>
      <w:r>
        <w:rPr>
          <w:rFonts w:ascii="Arial" w:eastAsia="宋体" w:hAnsi="Arial" w:cs="Arial"/>
          <w:sz w:val="20"/>
          <w:szCs w:val="20"/>
        </w:rPr>
        <w:t>short-term investment facilities; loans and lease financing; investment manager and alternative investment manager operations outsourcing; performance, risk and compliance analytics; and financial data management to support institutional investors.</w:t>
      </w:r>
    </w:p>
    <w:p w14:paraId="55566B5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Include</w:t>
      </w:r>
      <w:r>
        <w:rPr>
          <w:rFonts w:ascii="Arial" w:eastAsia="宋体" w:hAnsi="Arial" w:cs="Arial"/>
          <w:sz w:val="20"/>
          <w:szCs w:val="20"/>
        </w:rPr>
        <w:t>d within our Investment Servicing line of business is Charles River Systems, Inc. (CRD), which we acquired on October 1, 2018. As a result of our acquisition of CRD, we are extending our core capabilities by creating our State Street Alpha</w:t>
      </w:r>
      <w:r>
        <w:rPr>
          <w:rFonts w:ascii="Arial" w:eastAsia="宋体" w:hAnsi="Arial" w:cs="Arial"/>
          <w:sz w:val="12"/>
          <w:szCs w:val="12"/>
        </w:rPr>
        <w:t>SM</w:t>
      </w:r>
      <w:r>
        <w:rPr>
          <w:rFonts w:ascii="Arial" w:eastAsia="宋体" w:hAnsi="Arial" w:cs="Arial"/>
          <w:sz w:val="20"/>
          <w:szCs w:val="20"/>
        </w:rPr>
        <w:t xml:space="preserve"> platform (Stat</w:t>
      </w:r>
      <w:r>
        <w:rPr>
          <w:rFonts w:ascii="Arial" w:eastAsia="宋体" w:hAnsi="Arial" w:cs="Arial"/>
          <w:sz w:val="20"/>
          <w:szCs w:val="20"/>
        </w:rPr>
        <w:t>e Street Alpha) that combines our core back and middle office services with front office solutions across all asset classes for portfolio management, trading and compliance. Products and services related to CRD include: portfolio modeling and construction,</w:t>
      </w:r>
      <w:r>
        <w:rPr>
          <w:rFonts w:ascii="Arial" w:eastAsia="宋体" w:hAnsi="Arial" w:cs="Arial"/>
          <w:sz w:val="20"/>
          <w:szCs w:val="20"/>
        </w:rPr>
        <w:t xml:space="preserve"> trade order management, investment risk and compliance and wealth management solutions. </w:t>
      </w:r>
    </w:p>
    <w:p w14:paraId="55566B5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provide some or all of the Investment Servicing integrated products and services to clients in the U.S. and in many other markets, including, among others, Austral</w:t>
      </w:r>
      <w:r>
        <w:rPr>
          <w:rFonts w:ascii="Arial" w:eastAsia="宋体" w:hAnsi="Arial" w:cs="Arial"/>
          <w:sz w:val="20"/>
          <w:szCs w:val="20"/>
        </w:rPr>
        <w:t>ia, Cayman Islands, France, Germany, Ireland, Italy, Japan, Luxembourg and the U.K. As of December 31, 2019, we serviced AUC/A of approximately $25.02 trillion in the Americas, approximately $7.33 trillion in Europe and the Middle East and approximately $2</w:t>
      </w:r>
      <w:r>
        <w:rPr>
          <w:rFonts w:ascii="Arial" w:eastAsia="宋体" w:hAnsi="Arial" w:cs="Arial"/>
          <w:sz w:val="20"/>
          <w:szCs w:val="20"/>
        </w:rPr>
        <w:t>.02 trillion in the Asia-Pacific region.</w:t>
      </w:r>
    </w:p>
    <w:p w14:paraId="55566B53"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Investment M</w:t>
      </w:r>
      <w:r>
        <w:rPr>
          <w:rFonts w:ascii="Arial" w:eastAsia="宋体" w:hAnsi="Arial" w:cs="Arial"/>
          <w:b/>
          <w:bCs/>
          <w:sz w:val="20"/>
          <w:szCs w:val="20"/>
        </w:rPr>
        <w:t>anagement</w:t>
      </w:r>
    </w:p>
    <w:p w14:paraId="55566B5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Investment Management line of business</w:t>
      </w:r>
      <w:r>
        <w:rPr>
          <w:rFonts w:ascii="Arial" w:eastAsia="宋体" w:hAnsi="Arial" w:cs="Arial"/>
          <w:i/>
          <w:iCs/>
          <w:sz w:val="20"/>
          <w:szCs w:val="20"/>
        </w:rPr>
        <w:t xml:space="preserve">, </w:t>
      </w:r>
      <w:r>
        <w:rPr>
          <w:rFonts w:ascii="Arial" w:eastAsia="宋体" w:hAnsi="Arial" w:cs="Arial"/>
          <w:sz w:val="20"/>
          <w:szCs w:val="20"/>
        </w:rPr>
        <w:t>through State Street Global Advisors, provides a broad range of investment management strategies and products for our clients. Our investment managem</w:t>
      </w:r>
      <w:r>
        <w:rPr>
          <w:rFonts w:ascii="Arial" w:eastAsia="宋体" w:hAnsi="Arial" w:cs="Arial"/>
          <w:sz w:val="20"/>
          <w:szCs w:val="20"/>
        </w:rPr>
        <w:t xml:space="preserve">ent strategies and products span the risk/reward spectrum, including core and enhanced indexing, multi-asset strategies, active quantitative and fundamental active capabilities and alternative investment strategies. Our AUM is currently primarily weighted </w:t>
      </w:r>
      <w:r>
        <w:rPr>
          <w:rFonts w:ascii="Arial" w:eastAsia="宋体" w:hAnsi="Arial" w:cs="Arial"/>
          <w:sz w:val="20"/>
          <w:szCs w:val="20"/>
        </w:rPr>
        <w:t>to indexed strategies. In addition, we provide a breadth of services and solutions, including environmental, social and governance investing, defined benefit and defined contribution and Global Fiduciary Solutions (formerly Outsourced Chief Investment Offi</w:t>
      </w:r>
      <w:r>
        <w:rPr>
          <w:rFonts w:ascii="Arial" w:eastAsia="宋体" w:hAnsi="Arial" w:cs="Arial"/>
          <w:sz w:val="20"/>
          <w:szCs w:val="20"/>
        </w:rPr>
        <w:t>cer). State Street Global Advisors is also a provider of ETFs, including the SPDR</w:t>
      </w:r>
      <w:r>
        <w:rPr>
          <w:rFonts w:ascii="Arial" w:eastAsia="宋体" w:hAnsi="Arial" w:cs="Arial"/>
          <w:sz w:val="12"/>
          <w:szCs w:val="12"/>
        </w:rPr>
        <w:t xml:space="preserve">® </w:t>
      </w:r>
      <w:r>
        <w:rPr>
          <w:rFonts w:ascii="Arial" w:eastAsia="宋体" w:hAnsi="Arial" w:cs="Arial"/>
          <w:sz w:val="20"/>
          <w:szCs w:val="20"/>
        </w:rPr>
        <w:t>ETF brand. While management fees are primarily determined by the values of AUM and the investment strategies employed, management fees reflect other factors as well, includi</w:t>
      </w:r>
      <w:r>
        <w:rPr>
          <w:rFonts w:ascii="Arial" w:eastAsia="宋体" w:hAnsi="Arial" w:cs="Arial"/>
          <w:sz w:val="20"/>
          <w:szCs w:val="20"/>
        </w:rPr>
        <w:t>ng the benchmarks specified in the respective management agreements related to performance fees. As of</w:t>
      </w:r>
      <w:r>
        <w:rPr>
          <w:rFonts w:ascii="Arial" w:eastAsia="宋体" w:hAnsi="Arial" w:cs="Arial"/>
          <w:i/>
          <w:iCs/>
          <w:sz w:val="20"/>
          <w:szCs w:val="20"/>
        </w:rPr>
        <w:t xml:space="preserve"> </w:t>
      </w:r>
      <w:r>
        <w:rPr>
          <w:rFonts w:ascii="Arial" w:eastAsia="宋体" w:hAnsi="Arial" w:cs="Arial"/>
          <w:sz w:val="20"/>
          <w:szCs w:val="20"/>
        </w:rPr>
        <w:t>December 31, 2019, State Street Global Advisors had AUM of approximately $3.12 trillion.</w:t>
      </w:r>
    </w:p>
    <w:p w14:paraId="55566B5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Additional information about our lines of business is provided under “Line of Business Information” included in our Management's Discussion and Analysis, and in Note 24 to the consolidated financial statements </w:t>
      </w:r>
    </w:p>
    <w:p w14:paraId="55566B56"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B5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in this Form 10-K. Additional information a</w:t>
      </w:r>
      <w:r>
        <w:rPr>
          <w:rFonts w:ascii="Arial" w:eastAsia="宋体" w:hAnsi="Arial" w:cs="Arial"/>
          <w:sz w:val="20"/>
          <w:szCs w:val="20"/>
        </w:rPr>
        <w:t>bout our non-U.S. activities is included in Note 26 to the consolidated financial statements in this Form 10-K.</w:t>
      </w:r>
    </w:p>
    <w:p w14:paraId="55566B58"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COMPET</w:t>
      </w:r>
      <w:r>
        <w:rPr>
          <w:rFonts w:ascii="Arial" w:eastAsia="宋体" w:hAnsi="Arial" w:cs="Arial"/>
          <w:b/>
          <w:bCs/>
          <w:sz w:val="20"/>
          <w:szCs w:val="20"/>
        </w:rPr>
        <w:t>ITION</w:t>
      </w:r>
    </w:p>
    <w:p w14:paraId="55566B5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operate in a highly competitive environment in all areas of our business globally. Our competitors include a broad range of </w:t>
      </w:r>
      <w:r>
        <w:rPr>
          <w:rFonts w:ascii="Arial" w:eastAsia="宋体" w:hAnsi="Arial" w:cs="Arial"/>
          <w:sz w:val="20"/>
          <w:szCs w:val="20"/>
        </w:rPr>
        <w:t>financial institutions and servicing companies, including other custodial banks, deposit-taking institutions, investment management firms, insurance companies, mutual funds, broker/dealers, investment banks, benefits consultants, investment analytics busin</w:t>
      </w:r>
      <w:r>
        <w:rPr>
          <w:rFonts w:ascii="Arial" w:eastAsia="宋体" w:hAnsi="Arial" w:cs="Arial"/>
          <w:sz w:val="20"/>
          <w:szCs w:val="20"/>
        </w:rPr>
        <w:t>esses, business service and software companies and information services firms. As our businesses grow and markets evolve, we may encounter increasing and new forms of competition around the world.</w:t>
      </w:r>
    </w:p>
    <w:p w14:paraId="55566B5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believe that many key factors drive competition in the m</w:t>
      </w:r>
      <w:r>
        <w:rPr>
          <w:rFonts w:ascii="Arial" w:eastAsia="宋体" w:hAnsi="Arial" w:cs="Arial"/>
          <w:sz w:val="20"/>
          <w:szCs w:val="20"/>
        </w:rPr>
        <w:t xml:space="preserve">arkets for our business. Technological expertise, economies of scale, required levels of capital, pricing, quality and scope of services, and sales and marketing are critical to our Investment Servicing line of business. For our Investment Management line </w:t>
      </w:r>
      <w:r>
        <w:rPr>
          <w:rFonts w:ascii="Arial" w:eastAsia="宋体" w:hAnsi="Arial" w:cs="Arial"/>
          <w:sz w:val="20"/>
          <w:szCs w:val="20"/>
        </w:rPr>
        <w:t>of business, key competitive factors include expertise, experience, availability of related service offerings, quality of service, price, efficiency of our products and services, and performance.</w:t>
      </w:r>
    </w:p>
    <w:p w14:paraId="55566B5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competitive success may depend on our ability to develop</w:t>
      </w:r>
      <w:r>
        <w:rPr>
          <w:rFonts w:ascii="Arial" w:eastAsia="宋体" w:hAnsi="Arial" w:cs="Arial"/>
          <w:sz w:val="20"/>
          <w:szCs w:val="20"/>
        </w:rPr>
        <w:t xml:space="preserve"> and market new and innovative services, to adopt or develop new technologies, to bring new services to market in a timely fashion at competitive prices, to integrate existing and future products and services effectively into our State Street Alpha, to con</w:t>
      </w:r>
      <w:r>
        <w:rPr>
          <w:rFonts w:ascii="Arial" w:eastAsia="宋体" w:hAnsi="Arial" w:cs="Arial"/>
          <w:sz w:val="20"/>
          <w:szCs w:val="20"/>
        </w:rPr>
        <w:t>tinue to expand our relationships with existing clients, and to attract new clients.</w:t>
      </w:r>
    </w:p>
    <w:p w14:paraId="55566B5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are a systemically important financial institution (SIFI) and are subject to extensive regulation and supervision with respect to our operations and activities. Not all</w:t>
      </w:r>
      <w:r>
        <w:rPr>
          <w:rFonts w:ascii="Arial" w:eastAsia="宋体" w:hAnsi="Arial" w:cs="Arial"/>
          <w:sz w:val="20"/>
          <w:szCs w:val="20"/>
        </w:rPr>
        <w:t xml:space="preserve"> of our competitors have similarly been designated as systemically important nor are all of them subject to the same degree of regulation as a bank or financial holding company, and therefore some of our competitors may not be subject to the same limitatio</w:t>
      </w:r>
      <w:r>
        <w:rPr>
          <w:rFonts w:ascii="Arial" w:eastAsia="宋体" w:hAnsi="Arial" w:cs="Arial"/>
          <w:sz w:val="20"/>
          <w:szCs w:val="20"/>
        </w:rPr>
        <w:t>ns, requirements and standards with respect to their operations and activities. Most other financial institutions designated as systemically important have substantially greater financial resources and a broader base of operations than us and are, conseque</w:t>
      </w:r>
      <w:r>
        <w:rPr>
          <w:rFonts w:ascii="Arial" w:eastAsia="宋体" w:hAnsi="Arial" w:cs="Arial"/>
          <w:sz w:val="20"/>
          <w:szCs w:val="20"/>
        </w:rPr>
        <w:t>ntly, in a better competitive position to manage and bear the costs of this enhanced regulatory requirement. See "Supervision and Regulation" in this Item for more information.</w:t>
      </w:r>
    </w:p>
    <w:p w14:paraId="55566B5D" w14:textId="77777777" w:rsidR="00F925DD" w:rsidRDefault="00F925DD">
      <w:pPr>
        <w:rPr>
          <w:rFonts w:ascii="Times New Roman" w:hAnsi="Times New Roman"/>
          <w:sz w:val="20"/>
          <w:szCs w:val="20"/>
        </w:rPr>
      </w:pPr>
    </w:p>
    <w:p w14:paraId="55566B5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w:t>
      </w:r>
    </w:p>
    <w:p w14:paraId="55566B5F" w14:textId="77777777" w:rsidR="00F925DD" w:rsidRDefault="00F925DD">
      <w:pPr>
        <w:spacing w:line="288" w:lineRule="auto"/>
        <w:ind w:firstLine="600"/>
        <w:jc w:val="center"/>
        <w:rPr>
          <w:rFonts w:ascii="Times New Roman" w:hAnsi="Times New Roman"/>
          <w:sz w:val="18"/>
          <w:szCs w:val="18"/>
        </w:rPr>
      </w:pPr>
    </w:p>
    <w:p w14:paraId="55566B60" w14:textId="77777777" w:rsidR="00F925DD" w:rsidRDefault="00E705D7">
      <w:r>
        <w:rPr>
          <w:rFonts w:ascii="Times New Roman" w:hAnsi="Times New Roman"/>
          <w:sz w:val="18"/>
          <w:szCs w:val="18"/>
        </w:rPr>
        <w:pict w14:anchorId="5557063D">
          <v:rect id="_x0000_i1029" style="width:415.3pt;height:1.5pt" o:hralign="center" o:hrstd="t" o:hr="t" fillcolor="#a0a0a0" stroked="f"/>
        </w:pict>
      </w:r>
    </w:p>
    <w:p w14:paraId="55566B61" w14:textId="77777777" w:rsidR="00F925DD" w:rsidRDefault="00F925DD">
      <w:pPr>
        <w:spacing w:line="288" w:lineRule="auto"/>
        <w:ind w:firstLine="600"/>
        <w:rPr>
          <w:rFonts w:ascii="Times New Roman" w:hAnsi="Times New Roman"/>
          <w:sz w:val="18"/>
          <w:szCs w:val="18"/>
        </w:rPr>
      </w:pPr>
    </w:p>
    <w:p w14:paraId="55566B62" w14:textId="77777777" w:rsidR="00F925DD" w:rsidRDefault="00F925DD">
      <w:pPr>
        <w:rPr>
          <w:rFonts w:ascii="Times New Roman" w:hAnsi="Times New Roman"/>
          <w:sz w:val="20"/>
          <w:szCs w:val="20"/>
        </w:rPr>
      </w:pPr>
    </w:p>
    <w:p w14:paraId="55566B63"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SUPERVISION</w:t>
      </w:r>
      <w:r>
        <w:rPr>
          <w:rFonts w:ascii="Arial" w:eastAsia="宋体" w:hAnsi="Arial" w:cs="Arial"/>
          <w:b/>
          <w:bCs/>
          <w:sz w:val="20"/>
          <w:szCs w:val="20"/>
        </w:rPr>
        <w:t xml:space="preserve"> </w:t>
      </w:r>
      <w:r>
        <w:rPr>
          <w:rFonts w:ascii="Arial" w:eastAsia="宋体" w:hAnsi="Arial" w:cs="Arial"/>
          <w:b/>
          <w:bCs/>
          <w:sz w:val="20"/>
          <w:szCs w:val="20"/>
        </w:rPr>
        <w:t>AND REGULATION</w:t>
      </w:r>
    </w:p>
    <w:p w14:paraId="55566B6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are registered</w:t>
      </w:r>
      <w:r>
        <w:rPr>
          <w:rFonts w:ascii="Arial" w:eastAsia="宋体" w:hAnsi="Arial" w:cs="Arial"/>
          <w:sz w:val="20"/>
          <w:szCs w:val="20"/>
        </w:rPr>
        <w:t xml:space="preserve"> with the Federal Reserve as a bank holding company pursuant to the Bank Holding Company Act of 1956. The Bank Holding Company Act generally limits the activities in which bank holding companies and their non-banking subsidiaries may engage to managing or </w:t>
      </w:r>
      <w:r>
        <w:rPr>
          <w:rFonts w:ascii="Arial" w:eastAsia="宋体" w:hAnsi="Arial" w:cs="Arial"/>
          <w:sz w:val="20"/>
          <w:szCs w:val="20"/>
        </w:rPr>
        <w:t>controlling banks and to a range of activities that are considered to be closely related to banking. Bank holding companies that have elected to be treated as financial holding companies, such as the Parent Company, may engage in a broader range of activit</w:t>
      </w:r>
      <w:r>
        <w:rPr>
          <w:rFonts w:ascii="Arial" w:eastAsia="宋体" w:hAnsi="Arial" w:cs="Arial"/>
          <w:sz w:val="20"/>
          <w:szCs w:val="20"/>
        </w:rPr>
        <w:t>ies considered to be "financial in nature." The regulatory limits on our activities also apply to non-banking entities that we are deemed to “control” for purposes of the Bank Holding Company Act, which may include companies of which we own or control more</w:t>
      </w:r>
      <w:r>
        <w:rPr>
          <w:rFonts w:ascii="Arial" w:eastAsia="宋体" w:hAnsi="Arial" w:cs="Arial"/>
          <w:sz w:val="20"/>
          <w:szCs w:val="20"/>
        </w:rPr>
        <w:t xml:space="preserve"> than 5% of a class of voting shares. The Federal Reserve may order a bank holding company to terminate any activity, or its ownership or control of a non-banking subsidiary, if the Federal Reserve finds that the activity, ownership or control constitutes </w:t>
      </w:r>
      <w:r>
        <w:rPr>
          <w:rFonts w:ascii="Arial" w:eastAsia="宋体" w:hAnsi="Arial" w:cs="Arial"/>
          <w:sz w:val="20"/>
          <w:szCs w:val="20"/>
        </w:rPr>
        <w:t>a serious risk to the financial safety, soundness or stability of a banking subsidiary or is inconsistent with sound banking principles or statutory purposes. The Bank Holding Company Act also requires a bank holding company to obtain prior approval of the</w:t>
      </w:r>
      <w:r>
        <w:rPr>
          <w:rFonts w:ascii="Arial" w:eastAsia="宋体" w:hAnsi="Arial" w:cs="Arial"/>
          <w:sz w:val="20"/>
          <w:szCs w:val="20"/>
        </w:rPr>
        <w:t xml:space="preserve"> Federal Reserve before it acquires substantially all the assets of any bank, or ownership or control of more than 5% of the voting shares of any bank.</w:t>
      </w:r>
    </w:p>
    <w:p w14:paraId="55566B6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Parent Company has elected to be treated as a financial holding company and, as such, may engage in </w:t>
      </w:r>
      <w:r>
        <w:rPr>
          <w:rFonts w:ascii="Arial" w:eastAsia="宋体" w:hAnsi="Arial" w:cs="Arial"/>
          <w:sz w:val="20"/>
          <w:szCs w:val="20"/>
        </w:rPr>
        <w:t>a broader range of non-banking activities than permitted for bank holding companies and their subsidiaries that have not elected to become financial holding companies. Financial holding companies may engage directly or indirectly, either de novo or by acqu</w:t>
      </w:r>
      <w:r>
        <w:rPr>
          <w:rFonts w:ascii="Arial" w:eastAsia="宋体" w:hAnsi="Arial" w:cs="Arial"/>
          <w:sz w:val="20"/>
          <w:szCs w:val="20"/>
        </w:rPr>
        <w:t>isition, in activities that are defined by the Federal Reserve to be financial in nature, provided that the financial holding company gives the Federal Reserve after-the-fact notice of the new activities. Activities defined to be financial in nature includ</w:t>
      </w:r>
      <w:r>
        <w:rPr>
          <w:rFonts w:ascii="Arial" w:eastAsia="宋体" w:hAnsi="Arial" w:cs="Arial"/>
          <w:sz w:val="20"/>
          <w:szCs w:val="20"/>
        </w:rPr>
        <w:t>e, but are not limited to, the following: providing financial or investment advice; underwriting; dealing in or making markets in securities; making merchant banking investments, subject to significant limitations; and any activities previously found by th</w:t>
      </w:r>
      <w:r>
        <w:rPr>
          <w:rFonts w:ascii="Arial" w:eastAsia="宋体" w:hAnsi="Arial" w:cs="Arial"/>
          <w:sz w:val="20"/>
          <w:szCs w:val="20"/>
        </w:rPr>
        <w:t>e Federal Reserve to be closely related to banking. In order to maintain our status as a financial holding company, we and each of our U.S. depository institution subsidiaries are expected to be well capitalized and well managed, as defined in applicable r</w:t>
      </w:r>
      <w:r>
        <w:rPr>
          <w:rFonts w:ascii="Arial" w:eastAsia="宋体" w:hAnsi="Arial" w:cs="Arial"/>
          <w:sz w:val="20"/>
          <w:szCs w:val="20"/>
        </w:rPr>
        <w:t>egulations and determined in part by the results of regulatory examinations, and must comply with Community Reinvestment Act obligations. Failure to maintain these standards may result in restrictions on our activities and may ultimately permit the Federal</w:t>
      </w:r>
      <w:r>
        <w:rPr>
          <w:rFonts w:ascii="Arial" w:eastAsia="宋体" w:hAnsi="Arial" w:cs="Arial"/>
          <w:sz w:val="20"/>
          <w:szCs w:val="20"/>
        </w:rPr>
        <w:t xml:space="preserve"> Reserve to take enforcement actions against us and restrict our ability to engage in activities defined to be financial in nature. Currently, under the Bank Holding </w:t>
      </w:r>
    </w:p>
    <w:p w14:paraId="55566B66"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B6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Company Act, we may not be able to engage in new activities or acquire shares or contro</w:t>
      </w:r>
      <w:r>
        <w:rPr>
          <w:rFonts w:ascii="Arial" w:eastAsia="宋体" w:hAnsi="Arial" w:cs="Arial"/>
          <w:sz w:val="20"/>
          <w:szCs w:val="20"/>
        </w:rPr>
        <w:t>l of other businesses.</w:t>
      </w:r>
    </w:p>
    <w:p w14:paraId="55566B6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response to the financial crisis, as well as other factors, such as technological and market changes, both the scope of the laws and regulations and the intensity of the supervision to which our business is subject have increased </w:t>
      </w:r>
      <w:r>
        <w:rPr>
          <w:rFonts w:ascii="Arial" w:eastAsia="宋体" w:hAnsi="Arial" w:cs="Arial"/>
          <w:sz w:val="20"/>
          <w:szCs w:val="20"/>
        </w:rPr>
        <w:t xml:space="preserve">in recent years. Regulatory enforcement and fines have also increased across the banking and financial services sector. Many of these changes have occurred as a result of the Dodd-Frank Act and its implementing regulations, most of which are now in place. </w:t>
      </w:r>
      <w:r>
        <w:rPr>
          <w:rFonts w:ascii="Arial" w:eastAsia="宋体" w:hAnsi="Arial" w:cs="Arial"/>
          <w:sz w:val="20"/>
          <w:szCs w:val="20"/>
        </w:rPr>
        <w:t xml:space="preserve">The U.S. President issued an executive order that sets forth principles for the reform of the federal financial regulatory framework, and, in May 2018, the Economic Growth, Regulatory Relief and Consumer Protection Act (EGRRCPA) was enacted. The EGRRCPA’s </w:t>
      </w:r>
      <w:r>
        <w:rPr>
          <w:rFonts w:ascii="Arial" w:eastAsia="宋体" w:hAnsi="Arial" w:cs="Arial"/>
          <w:sz w:val="20"/>
          <w:szCs w:val="20"/>
        </w:rPr>
        <w:t>revisions to the U.S. financial regulatory framework have altered certain laws and regulations applicable to us and other major financial services firms. Irrespective of any regulatory change, we expect that our business will remain subject to extensive re</w:t>
      </w:r>
      <w:r>
        <w:rPr>
          <w:rFonts w:ascii="Arial" w:eastAsia="宋体" w:hAnsi="Arial" w:cs="Arial"/>
          <w:sz w:val="20"/>
          <w:szCs w:val="20"/>
        </w:rPr>
        <w:t>gulation and supervision.</w:t>
      </w:r>
    </w:p>
    <w:p w14:paraId="55566B6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increased regulatory requirements have been and are being implemented internationally with respect to financial institutions, including, but not limited to, the implementation of the Basel III rule (refer to “Regulato</w:t>
      </w:r>
      <w:r>
        <w:rPr>
          <w:rFonts w:ascii="Arial" w:eastAsia="宋体" w:hAnsi="Arial" w:cs="Arial"/>
          <w:sz w:val="20"/>
          <w:szCs w:val="20"/>
        </w:rPr>
        <w:t xml:space="preserve">ry Capital Adequacy and Liquidity Standards” in this “Supervision and Regulation” section and under "Capital" in “Financial Condition” in our Management's Discussion and Analysis in this Form 10-K for a discussion of Basel III), the Alternative Investment </w:t>
      </w:r>
      <w:r>
        <w:rPr>
          <w:rFonts w:ascii="Arial" w:eastAsia="宋体" w:hAnsi="Arial" w:cs="Arial"/>
          <w:sz w:val="20"/>
          <w:szCs w:val="20"/>
        </w:rPr>
        <w:t>Fund Managers Directive, the Bank Recovery and Resolution Directive, the European Market Infrastructure Regulation (EMIR), the Undertakings for Collective Investment in Transferable Securities (UCITS) directives, the Markets in Financial Instruments Direct</w:t>
      </w:r>
      <w:r>
        <w:rPr>
          <w:rFonts w:ascii="Arial" w:eastAsia="宋体" w:hAnsi="Arial" w:cs="Arial"/>
          <w:sz w:val="20"/>
          <w:szCs w:val="20"/>
        </w:rPr>
        <w:t>ive II (MiFID II), the Markets in Financial Instruments Regulation (MiFIR) and the E.U. General Data Protection Regulation (GDPR).</w:t>
      </w:r>
    </w:p>
    <w:p w14:paraId="55566B6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Many aspects of our business are subject to regulation by other U.S. federal and state governmental and regulatory agencies a</w:t>
      </w:r>
      <w:r>
        <w:rPr>
          <w:rFonts w:ascii="Arial" w:eastAsia="宋体" w:hAnsi="Arial" w:cs="Arial"/>
          <w:sz w:val="20"/>
          <w:szCs w:val="20"/>
        </w:rPr>
        <w:t>nd self-regulatory organizations (including securities exchanges), and by non-U.S. governmental and regulatory agencies and self-regulatory organizations. Some aspects of our public disclosure, corporate governance principles and internal control systems a</w:t>
      </w:r>
      <w:r>
        <w:rPr>
          <w:rFonts w:ascii="Arial" w:eastAsia="宋体" w:hAnsi="Arial" w:cs="Arial"/>
          <w:sz w:val="20"/>
          <w:szCs w:val="20"/>
        </w:rPr>
        <w:t>re subject to the Sarbanes-Oxley Act of 2002 (SOX), the Dodd-Frank Act and regulations and rules of the SEC and the New York Stock Exchange.</w:t>
      </w:r>
    </w:p>
    <w:p w14:paraId="55566B6B"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Regulatory Capital Adequacy and Liquidity Standards</w:t>
      </w:r>
    </w:p>
    <w:p w14:paraId="55566B6C"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Basel III Rule</w:t>
      </w:r>
    </w:p>
    <w:p w14:paraId="55566B6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Parent Company and State Street Bank, as advanced approaches banking organizations, are subject to the Basel III framework in the U.S. Provisions </w:t>
      </w:r>
    </w:p>
    <w:p w14:paraId="55566B6E" w14:textId="77777777" w:rsidR="00F925DD" w:rsidRDefault="00F925DD">
      <w:pPr>
        <w:rPr>
          <w:rFonts w:ascii="Times New Roman" w:hAnsi="Times New Roman"/>
          <w:sz w:val="20"/>
          <w:szCs w:val="20"/>
        </w:rPr>
      </w:pPr>
    </w:p>
    <w:p w14:paraId="55566B6F"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w:t>
      </w:r>
    </w:p>
    <w:p w14:paraId="55566B70" w14:textId="77777777" w:rsidR="00F925DD" w:rsidRDefault="00F925DD">
      <w:pPr>
        <w:spacing w:line="288" w:lineRule="auto"/>
        <w:ind w:firstLine="600"/>
        <w:jc w:val="center"/>
        <w:rPr>
          <w:rFonts w:ascii="Times New Roman" w:hAnsi="Times New Roman"/>
          <w:sz w:val="18"/>
          <w:szCs w:val="18"/>
        </w:rPr>
      </w:pPr>
    </w:p>
    <w:p w14:paraId="55566B71" w14:textId="77777777" w:rsidR="00F925DD" w:rsidRDefault="00E705D7">
      <w:r>
        <w:rPr>
          <w:rFonts w:ascii="Times New Roman" w:hAnsi="Times New Roman"/>
          <w:sz w:val="18"/>
          <w:szCs w:val="18"/>
        </w:rPr>
        <w:pict w14:anchorId="5557063E">
          <v:rect id="_x0000_i1030" style="width:415.3pt;height:1.5pt" o:hralign="center" o:hrstd="t" o:hr="t" fillcolor="#a0a0a0" stroked="f"/>
        </w:pict>
      </w:r>
    </w:p>
    <w:p w14:paraId="55566B72" w14:textId="77777777" w:rsidR="00F925DD" w:rsidRDefault="00F925DD">
      <w:pPr>
        <w:spacing w:line="288" w:lineRule="auto"/>
        <w:ind w:firstLine="600"/>
        <w:rPr>
          <w:rFonts w:ascii="Times New Roman" w:hAnsi="Times New Roman"/>
          <w:sz w:val="18"/>
          <w:szCs w:val="18"/>
        </w:rPr>
      </w:pPr>
    </w:p>
    <w:p w14:paraId="55566B73" w14:textId="77777777" w:rsidR="00F925DD" w:rsidRDefault="00F925DD">
      <w:pPr>
        <w:rPr>
          <w:rFonts w:ascii="Times New Roman" w:hAnsi="Times New Roman"/>
          <w:sz w:val="20"/>
          <w:szCs w:val="20"/>
        </w:rPr>
      </w:pPr>
    </w:p>
    <w:p w14:paraId="55566B7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of the Basel III rule that became fully implemented as of January 1, 2</w:t>
      </w:r>
      <w:r>
        <w:rPr>
          <w:rFonts w:ascii="Arial" w:eastAsia="宋体" w:hAnsi="Arial" w:cs="Arial"/>
          <w:sz w:val="20"/>
          <w:szCs w:val="20"/>
        </w:rPr>
        <w:t xml:space="preserve">019. Since January 2013, we have been subject to the market risk capital rule jointly issued by U.S. banking regulators to implement the changes to the market risk capital framework in the U.S. </w:t>
      </w:r>
    </w:p>
    <w:p w14:paraId="55566B7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Basel III rule provides for two frameworks for the calcul</w:t>
      </w:r>
      <w:r>
        <w:rPr>
          <w:rFonts w:ascii="Arial" w:eastAsia="宋体" w:hAnsi="Arial" w:cs="Arial"/>
          <w:sz w:val="20"/>
          <w:szCs w:val="20"/>
        </w:rPr>
        <w:t>ation of RWA for purposes of bank regulatory compliance: the “standardized” approach and the “advanced” approaches, which are applicable to advanced approaches banking organizations, like us. The standardized approach prescribes standardized risk weights f</w:t>
      </w:r>
      <w:r>
        <w:rPr>
          <w:rFonts w:ascii="Arial" w:eastAsia="宋体" w:hAnsi="Arial" w:cs="Arial"/>
          <w:sz w:val="20"/>
          <w:szCs w:val="20"/>
        </w:rPr>
        <w:t>or certain on- and off-balance sheet exposures in the calculation of RWA. The advanced approaches consist of the Advanced Internal Ratings-Based Approach (AIRB) used for the calculation of RWA related to credit risk, and the Advanced Measurement Approach (</w:t>
      </w:r>
      <w:r>
        <w:rPr>
          <w:rFonts w:ascii="Arial" w:eastAsia="宋体" w:hAnsi="Arial" w:cs="Arial"/>
          <w:sz w:val="20"/>
          <w:szCs w:val="20"/>
        </w:rPr>
        <w:t>AMA) used for the calculation of RWA related to operational risk.</w:t>
      </w:r>
    </w:p>
    <w:p w14:paraId="55566B7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Among other things, the Basel III rule requires: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B79" w14:textId="77777777">
        <w:trPr>
          <w:tblCellSpacing w:w="0" w:type="dxa"/>
        </w:trPr>
        <w:tc>
          <w:tcPr>
            <w:tcW w:w="960" w:type="dxa"/>
            <w:shd w:val="clear" w:color="auto" w:fill="auto"/>
            <w:vAlign w:val="center"/>
          </w:tcPr>
          <w:p w14:paraId="55566B77" w14:textId="77777777" w:rsidR="00F925DD" w:rsidRDefault="00F925DD">
            <w:pPr>
              <w:rPr>
                <w:rFonts w:ascii="Times New Roman" w:hAnsi="Times New Roman"/>
                <w:sz w:val="20"/>
                <w:szCs w:val="20"/>
              </w:rPr>
            </w:pPr>
          </w:p>
        </w:tc>
        <w:tc>
          <w:tcPr>
            <w:tcW w:w="0" w:type="auto"/>
            <w:shd w:val="clear" w:color="auto" w:fill="auto"/>
            <w:vAlign w:val="center"/>
          </w:tcPr>
          <w:p w14:paraId="55566B78" w14:textId="77777777" w:rsidR="00F925DD" w:rsidRDefault="00F925DD">
            <w:pPr>
              <w:rPr>
                <w:rFonts w:ascii="Times New Roman" w:hAnsi="Times New Roman"/>
                <w:sz w:val="20"/>
                <w:szCs w:val="20"/>
              </w:rPr>
            </w:pPr>
          </w:p>
        </w:tc>
      </w:tr>
      <w:tr w:rsidR="00F925DD" w14:paraId="55566B7C" w14:textId="77777777">
        <w:trPr>
          <w:tblCellSpacing w:w="0" w:type="dxa"/>
        </w:trPr>
        <w:tc>
          <w:tcPr>
            <w:tcW w:w="0" w:type="auto"/>
            <w:shd w:val="clear" w:color="auto" w:fill="auto"/>
          </w:tcPr>
          <w:p w14:paraId="55566B7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B7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 minimum CET1 risk-based capital ratio of 4.5% and a minimum SLR of 3% for advanced approaches banking organizations;</w:t>
            </w:r>
          </w:p>
        </w:tc>
      </w:tr>
    </w:tbl>
    <w:p w14:paraId="55566B7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158"/>
      </w:tblGrid>
      <w:tr w:rsidR="00F925DD" w14:paraId="55566B80" w14:textId="77777777">
        <w:trPr>
          <w:tblCellSpacing w:w="0" w:type="dxa"/>
        </w:trPr>
        <w:tc>
          <w:tcPr>
            <w:tcW w:w="960" w:type="dxa"/>
            <w:shd w:val="clear" w:color="auto" w:fill="auto"/>
            <w:vAlign w:val="center"/>
          </w:tcPr>
          <w:p w14:paraId="55566B7E" w14:textId="77777777" w:rsidR="00F925DD" w:rsidRDefault="00F925DD">
            <w:pPr>
              <w:rPr>
                <w:rFonts w:ascii="Times New Roman" w:hAnsi="Times New Roman"/>
                <w:sz w:val="20"/>
                <w:szCs w:val="20"/>
              </w:rPr>
            </w:pPr>
          </w:p>
        </w:tc>
        <w:tc>
          <w:tcPr>
            <w:tcW w:w="0" w:type="auto"/>
            <w:shd w:val="clear" w:color="auto" w:fill="auto"/>
            <w:vAlign w:val="center"/>
          </w:tcPr>
          <w:p w14:paraId="55566B7F" w14:textId="77777777" w:rsidR="00F925DD" w:rsidRDefault="00F925DD">
            <w:pPr>
              <w:rPr>
                <w:rFonts w:ascii="Times New Roman" w:hAnsi="Times New Roman"/>
                <w:sz w:val="20"/>
                <w:szCs w:val="20"/>
              </w:rPr>
            </w:pPr>
          </w:p>
        </w:tc>
      </w:tr>
      <w:tr w:rsidR="00F925DD" w14:paraId="55566B83" w14:textId="77777777">
        <w:trPr>
          <w:tblCellSpacing w:w="0" w:type="dxa"/>
        </w:trPr>
        <w:tc>
          <w:tcPr>
            <w:tcW w:w="0" w:type="auto"/>
            <w:shd w:val="clear" w:color="auto" w:fill="auto"/>
          </w:tcPr>
          <w:p w14:paraId="55566B8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B8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minimum tier 1 risk-based capital ratio of 6%; </w:t>
            </w:r>
          </w:p>
        </w:tc>
      </w:tr>
    </w:tbl>
    <w:p w14:paraId="55566B8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113"/>
      </w:tblGrid>
      <w:tr w:rsidR="00F925DD" w14:paraId="55566B87" w14:textId="77777777">
        <w:trPr>
          <w:tblCellSpacing w:w="0" w:type="dxa"/>
        </w:trPr>
        <w:tc>
          <w:tcPr>
            <w:tcW w:w="960" w:type="dxa"/>
            <w:shd w:val="clear" w:color="auto" w:fill="auto"/>
            <w:vAlign w:val="center"/>
          </w:tcPr>
          <w:p w14:paraId="55566B85" w14:textId="77777777" w:rsidR="00F925DD" w:rsidRDefault="00F925DD">
            <w:pPr>
              <w:rPr>
                <w:rFonts w:ascii="Times New Roman" w:hAnsi="Times New Roman"/>
                <w:sz w:val="20"/>
                <w:szCs w:val="20"/>
              </w:rPr>
            </w:pPr>
          </w:p>
        </w:tc>
        <w:tc>
          <w:tcPr>
            <w:tcW w:w="0" w:type="auto"/>
            <w:shd w:val="clear" w:color="auto" w:fill="auto"/>
            <w:vAlign w:val="center"/>
          </w:tcPr>
          <w:p w14:paraId="55566B86" w14:textId="77777777" w:rsidR="00F925DD" w:rsidRDefault="00F925DD">
            <w:pPr>
              <w:rPr>
                <w:rFonts w:ascii="Times New Roman" w:hAnsi="Times New Roman"/>
                <w:sz w:val="20"/>
                <w:szCs w:val="20"/>
              </w:rPr>
            </w:pPr>
          </w:p>
        </w:tc>
      </w:tr>
      <w:tr w:rsidR="00F925DD" w14:paraId="55566B8A" w14:textId="77777777">
        <w:trPr>
          <w:tblCellSpacing w:w="0" w:type="dxa"/>
        </w:trPr>
        <w:tc>
          <w:tcPr>
            <w:tcW w:w="0" w:type="auto"/>
            <w:shd w:val="clear" w:color="auto" w:fill="auto"/>
          </w:tcPr>
          <w:p w14:paraId="55566B8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B8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 minimum total capital ratio of 8%;</w:t>
            </w:r>
          </w:p>
        </w:tc>
      </w:tr>
    </w:tbl>
    <w:p w14:paraId="55566B8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B8E" w14:textId="77777777">
        <w:trPr>
          <w:tblCellSpacing w:w="0" w:type="dxa"/>
        </w:trPr>
        <w:tc>
          <w:tcPr>
            <w:tcW w:w="960" w:type="dxa"/>
            <w:shd w:val="clear" w:color="auto" w:fill="auto"/>
            <w:vAlign w:val="center"/>
          </w:tcPr>
          <w:p w14:paraId="55566B8C" w14:textId="77777777" w:rsidR="00F925DD" w:rsidRDefault="00F925DD">
            <w:pPr>
              <w:rPr>
                <w:rFonts w:ascii="Times New Roman" w:hAnsi="Times New Roman"/>
                <w:sz w:val="20"/>
                <w:szCs w:val="20"/>
              </w:rPr>
            </w:pPr>
          </w:p>
        </w:tc>
        <w:tc>
          <w:tcPr>
            <w:tcW w:w="0" w:type="auto"/>
            <w:shd w:val="clear" w:color="auto" w:fill="auto"/>
            <w:vAlign w:val="center"/>
          </w:tcPr>
          <w:p w14:paraId="55566B8D" w14:textId="77777777" w:rsidR="00F925DD" w:rsidRDefault="00F925DD">
            <w:pPr>
              <w:rPr>
                <w:rFonts w:ascii="Times New Roman" w:hAnsi="Times New Roman"/>
                <w:sz w:val="20"/>
                <w:szCs w:val="20"/>
              </w:rPr>
            </w:pPr>
          </w:p>
        </w:tc>
      </w:tr>
      <w:tr w:rsidR="00F925DD" w14:paraId="55566B91" w14:textId="77777777">
        <w:trPr>
          <w:tblCellSpacing w:w="0" w:type="dxa"/>
        </w:trPr>
        <w:tc>
          <w:tcPr>
            <w:tcW w:w="0" w:type="auto"/>
            <w:shd w:val="clear" w:color="auto" w:fill="auto"/>
          </w:tcPr>
          <w:p w14:paraId="55566B8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B9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capital conservation and countercyclical capital buffers, referenced below, as well as a G-SIB surcharge included under "Capital" in </w:t>
            </w:r>
            <w:r>
              <w:rPr>
                <w:rFonts w:ascii="Arial" w:eastAsia="宋体" w:hAnsi="Arial" w:cs="Arial"/>
                <w:sz w:val="20"/>
                <w:szCs w:val="20"/>
              </w:rPr>
              <w:t>"Financial Condition" in our Management's Discussion and Analysis in this Form 10-K;</w:t>
            </w:r>
          </w:p>
        </w:tc>
      </w:tr>
    </w:tbl>
    <w:p w14:paraId="55566B9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B95" w14:textId="77777777">
        <w:trPr>
          <w:tblCellSpacing w:w="0" w:type="dxa"/>
        </w:trPr>
        <w:tc>
          <w:tcPr>
            <w:tcW w:w="960" w:type="dxa"/>
            <w:shd w:val="clear" w:color="auto" w:fill="auto"/>
            <w:vAlign w:val="center"/>
          </w:tcPr>
          <w:p w14:paraId="55566B93" w14:textId="77777777" w:rsidR="00F925DD" w:rsidRDefault="00F925DD">
            <w:pPr>
              <w:rPr>
                <w:rFonts w:ascii="Times New Roman" w:hAnsi="Times New Roman"/>
                <w:sz w:val="20"/>
                <w:szCs w:val="20"/>
              </w:rPr>
            </w:pPr>
          </w:p>
        </w:tc>
        <w:tc>
          <w:tcPr>
            <w:tcW w:w="0" w:type="auto"/>
            <w:shd w:val="clear" w:color="auto" w:fill="auto"/>
            <w:vAlign w:val="center"/>
          </w:tcPr>
          <w:p w14:paraId="55566B94" w14:textId="77777777" w:rsidR="00F925DD" w:rsidRDefault="00F925DD">
            <w:pPr>
              <w:rPr>
                <w:rFonts w:ascii="Times New Roman" w:hAnsi="Times New Roman"/>
                <w:sz w:val="20"/>
                <w:szCs w:val="20"/>
              </w:rPr>
            </w:pPr>
          </w:p>
        </w:tc>
      </w:tr>
      <w:tr w:rsidR="00F925DD" w14:paraId="55566B98" w14:textId="77777777">
        <w:trPr>
          <w:tblCellSpacing w:w="0" w:type="dxa"/>
        </w:trPr>
        <w:tc>
          <w:tcPr>
            <w:tcW w:w="0" w:type="auto"/>
            <w:shd w:val="clear" w:color="auto" w:fill="auto"/>
          </w:tcPr>
          <w:p w14:paraId="55566B9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B9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previously described standardized approach to replace the calculation of credit RWA under Basel I; and</w:t>
            </w:r>
          </w:p>
        </w:tc>
      </w:tr>
    </w:tbl>
    <w:p w14:paraId="55566B9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70"/>
      </w:tblGrid>
      <w:tr w:rsidR="00F925DD" w14:paraId="55566B9C" w14:textId="77777777">
        <w:trPr>
          <w:tblCellSpacing w:w="0" w:type="dxa"/>
        </w:trPr>
        <w:tc>
          <w:tcPr>
            <w:tcW w:w="960" w:type="dxa"/>
            <w:shd w:val="clear" w:color="auto" w:fill="auto"/>
            <w:vAlign w:val="center"/>
          </w:tcPr>
          <w:p w14:paraId="55566B9A" w14:textId="77777777" w:rsidR="00F925DD" w:rsidRDefault="00F925DD">
            <w:pPr>
              <w:rPr>
                <w:rFonts w:ascii="Times New Roman" w:hAnsi="Times New Roman"/>
                <w:sz w:val="20"/>
                <w:szCs w:val="20"/>
              </w:rPr>
            </w:pPr>
          </w:p>
        </w:tc>
        <w:tc>
          <w:tcPr>
            <w:tcW w:w="0" w:type="auto"/>
            <w:shd w:val="clear" w:color="auto" w:fill="auto"/>
            <w:vAlign w:val="center"/>
          </w:tcPr>
          <w:p w14:paraId="55566B9B" w14:textId="77777777" w:rsidR="00F925DD" w:rsidRDefault="00F925DD">
            <w:pPr>
              <w:rPr>
                <w:rFonts w:ascii="Times New Roman" w:hAnsi="Times New Roman"/>
                <w:sz w:val="20"/>
                <w:szCs w:val="20"/>
              </w:rPr>
            </w:pPr>
          </w:p>
        </w:tc>
      </w:tr>
      <w:tr w:rsidR="00F925DD" w14:paraId="55566B9F" w14:textId="77777777">
        <w:trPr>
          <w:tblCellSpacing w:w="0" w:type="dxa"/>
        </w:trPr>
        <w:tc>
          <w:tcPr>
            <w:tcW w:w="0" w:type="auto"/>
            <w:shd w:val="clear" w:color="auto" w:fill="auto"/>
          </w:tcPr>
          <w:p w14:paraId="55566B9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B9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advanced approaches for the </w:t>
            </w:r>
            <w:r>
              <w:rPr>
                <w:rFonts w:ascii="Arial" w:eastAsia="宋体" w:hAnsi="Arial" w:cs="Arial"/>
                <w:sz w:val="20"/>
                <w:szCs w:val="20"/>
              </w:rPr>
              <w:t>calculation of credit RWA.</w:t>
            </w:r>
          </w:p>
        </w:tc>
      </w:tr>
    </w:tbl>
    <w:p w14:paraId="55566BA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Under the Basel III rule, our total regulatory capital is composed of three tiers: CET1 capital, tier 1 capital (which includes CET1 capital), and tier 2 capital. The total of tier 1 and tier 2 capital, adjusted as applicable, i</w:t>
      </w:r>
      <w:r>
        <w:rPr>
          <w:rFonts w:ascii="Arial" w:eastAsia="宋体" w:hAnsi="Arial" w:cs="Arial"/>
          <w:sz w:val="20"/>
          <w:szCs w:val="20"/>
        </w:rPr>
        <w:t>s referred to as total regulatory capital.</w:t>
      </w:r>
    </w:p>
    <w:p w14:paraId="55566BA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CET1 capital is composed of core capital elements, such as qualifying common shareholders' equity and related surplus; retained earnings; the cumulative effect of foreign currency translation; and net unrealized g</w:t>
      </w:r>
      <w:r>
        <w:rPr>
          <w:rFonts w:ascii="Arial" w:eastAsia="宋体" w:hAnsi="Arial" w:cs="Arial"/>
          <w:sz w:val="20"/>
          <w:szCs w:val="20"/>
        </w:rPr>
        <w:t>ains (losses) on debt and equity securities classified as AFS; reduced by treasury stock. Goodwill and other intangible assets, net of related deferred tax liabilities, are deducted from the core CET1 capital elements. Tier 1 capital is composed of CET1 ca</w:t>
      </w:r>
      <w:r>
        <w:rPr>
          <w:rFonts w:ascii="Arial" w:eastAsia="宋体" w:hAnsi="Arial" w:cs="Arial"/>
          <w:sz w:val="20"/>
          <w:szCs w:val="20"/>
        </w:rPr>
        <w:t>pital plus additional tier 1 capital instruments which, for us, includes five series of preferred equity outstanding as of December 31, 2019. Tier 2 capital includes certain eligible subordinated long-term debt instruments. The Basel III phase-in and phase</w:t>
      </w:r>
      <w:r>
        <w:rPr>
          <w:rFonts w:ascii="Arial" w:eastAsia="宋体" w:hAnsi="Arial" w:cs="Arial"/>
          <w:sz w:val="20"/>
          <w:szCs w:val="20"/>
        </w:rPr>
        <w:t xml:space="preserve">-out schedules for calculating regulatory capital that apply to State Street have concluded and our capital measures are considered fully phased-in. Minimum </w:t>
      </w:r>
    </w:p>
    <w:p w14:paraId="55566BA2"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BA3"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capital ratio, buffer, and G-SIB surcharge requirements became fully phased-in as of January 1, </w:t>
      </w:r>
      <w:r>
        <w:rPr>
          <w:rFonts w:ascii="Arial" w:eastAsia="宋体" w:hAnsi="Arial" w:cs="Arial"/>
          <w:sz w:val="20"/>
          <w:szCs w:val="20"/>
        </w:rPr>
        <w:t>2019.</w:t>
      </w:r>
    </w:p>
    <w:p w14:paraId="55566BA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Certain other items, if applicable, must be deducted from tier 1 and tier 2 capital. These items primarily include deductible investments in unconsolidated banking, financial and insurance entities where we hold more than 50% of the entities' capital</w:t>
      </w:r>
      <w:r>
        <w:rPr>
          <w:rFonts w:ascii="Arial" w:eastAsia="宋体" w:hAnsi="Arial" w:cs="Arial"/>
          <w:sz w:val="20"/>
          <w:szCs w:val="20"/>
        </w:rPr>
        <w:t xml:space="preserve"> and the amount of expected credit losses that exceeds recorded allowances for loan and other credit losses. Expected credit losses are calculated for wholesale credit exposures by formula in conformity with the Basel III rule.</w:t>
      </w:r>
    </w:p>
    <w:p w14:paraId="55566BA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eight U.S. banks deemed </w:t>
      </w:r>
      <w:r>
        <w:rPr>
          <w:rFonts w:ascii="Arial" w:eastAsia="宋体" w:hAnsi="Arial" w:cs="Arial"/>
          <w:sz w:val="20"/>
          <w:szCs w:val="20"/>
        </w:rPr>
        <w:t>to be G-SIBs, including us, are required to calculate the G-SIB surcharge annually according to two methods, and be bound by the higher of the two:</w:t>
      </w:r>
    </w:p>
    <w:tbl>
      <w:tblPr>
        <w:tblW w:w="0" w:type="auto"/>
        <w:tblCellSpacing w:w="0" w:type="dxa"/>
        <w:tblCellMar>
          <w:left w:w="0" w:type="dxa"/>
          <w:right w:w="0" w:type="dxa"/>
        </w:tblCellMar>
        <w:tblLook w:val="04A0" w:firstRow="1" w:lastRow="0" w:firstColumn="1" w:lastColumn="0" w:noHBand="0" w:noVBand="1"/>
      </w:tblPr>
      <w:tblGrid>
        <w:gridCol w:w="820"/>
        <w:gridCol w:w="7486"/>
      </w:tblGrid>
      <w:tr w:rsidR="00F925DD" w14:paraId="55566BA8" w14:textId="77777777">
        <w:trPr>
          <w:tblCellSpacing w:w="0" w:type="dxa"/>
        </w:trPr>
        <w:tc>
          <w:tcPr>
            <w:tcW w:w="820" w:type="dxa"/>
            <w:shd w:val="clear" w:color="auto" w:fill="auto"/>
            <w:vAlign w:val="center"/>
          </w:tcPr>
          <w:p w14:paraId="55566BA6" w14:textId="77777777" w:rsidR="00F925DD" w:rsidRDefault="00F925DD">
            <w:pPr>
              <w:rPr>
                <w:rFonts w:ascii="Times New Roman" w:hAnsi="Times New Roman"/>
                <w:sz w:val="20"/>
                <w:szCs w:val="20"/>
              </w:rPr>
            </w:pPr>
          </w:p>
        </w:tc>
        <w:tc>
          <w:tcPr>
            <w:tcW w:w="0" w:type="auto"/>
            <w:shd w:val="clear" w:color="auto" w:fill="auto"/>
            <w:vAlign w:val="center"/>
          </w:tcPr>
          <w:p w14:paraId="55566BA7" w14:textId="77777777" w:rsidR="00F925DD" w:rsidRDefault="00F925DD">
            <w:pPr>
              <w:rPr>
                <w:rFonts w:ascii="Times New Roman" w:hAnsi="Times New Roman"/>
                <w:sz w:val="20"/>
                <w:szCs w:val="20"/>
              </w:rPr>
            </w:pPr>
          </w:p>
        </w:tc>
      </w:tr>
      <w:tr w:rsidR="00F925DD" w14:paraId="55566BAB" w14:textId="77777777">
        <w:trPr>
          <w:tblCellSpacing w:w="0" w:type="dxa"/>
        </w:trPr>
        <w:tc>
          <w:tcPr>
            <w:tcW w:w="0" w:type="auto"/>
            <w:shd w:val="clear" w:color="auto" w:fill="auto"/>
          </w:tcPr>
          <w:p w14:paraId="55566BA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BA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Method 1: Assesses systemic importance based upon five equally-weighted components: size, </w:t>
            </w:r>
            <w:r>
              <w:rPr>
                <w:rFonts w:ascii="Arial" w:eastAsia="宋体" w:hAnsi="Arial" w:cs="Arial"/>
                <w:sz w:val="20"/>
                <w:szCs w:val="20"/>
              </w:rPr>
              <w:t>interconnectedness, complexity, cross-jurisdictional activity and substitutability; or</w:t>
            </w:r>
          </w:p>
        </w:tc>
      </w:tr>
    </w:tbl>
    <w:p w14:paraId="55566BA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820"/>
        <w:gridCol w:w="7486"/>
      </w:tblGrid>
      <w:tr w:rsidR="00F925DD" w14:paraId="55566BAF" w14:textId="77777777">
        <w:trPr>
          <w:tblCellSpacing w:w="0" w:type="dxa"/>
        </w:trPr>
        <w:tc>
          <w:tcPr>
            <w:tcW w:w="820" w:type="dxa"/>
            <w:shd w:val="clear" w:color="auto" w:fill="auto"/>
            <w:vAlign w:val="center"/>
          </w:tcPr>
          <w:p w14:paraId="55566BAD" w14:textId="77777777" w:rsidR="00F925DD" w:rsidRDefault="00F925DD">
            <w:pPr>
              <w:rPr>
                <w:rFonts w:ascii="Times New Roman" w:hAnsi="Times New Roman"/>
                <w:sz w:val="20"/>
                <w:szCs w:val="20"/>
              </w:rPr>
            </w:pPr>
          </w:p>
        </w:tc>
        <w:tc>
          <w:tcPr>
            <w:tcW w:w="0" w:type="auto"/>
            <w:shd w:val="clear" w:color="auto" w:fill="auto"/>
            <w:vAlign w:val="center"/>
          </w:tcPr>
          <w:p w14:paraId="55566BAE" w14:textId="77777777" w:rsidR="00F925DD" w:rsidRDefault="00F925DD">
            <w:pPr>
              <w:rPr>
                <w:rFonts w:ascii="Times New Roman" w:hAnsi="Times New Roman"/>
                <w:sz w:val="20"/>
                <w:szCs w:val="20"/>
              </w:rPr>
            </w:pPr>
          </w:p>
        </w:tc>
      </w:tr>
      <w:tr w:rsidR="00F925DD" w14:paraId="55566BB2" w14:textId="77777777">
        <w:trPr>
          <w:tblCellSpacing w:w="0" w:type="dxa"/>
        </w:trPr>
        <w:tc>
          <w:tcPr>
            <w:tcW w:w="0" w:type="auto"/>
            <w:shd w:val="clear" w:color="auto" w:fill="auto"/>
          </w:tcPr>
          <w:p w14:paraId="55566BB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BB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Method 2: Alters the calculation from Method 1 by factoring in a wholesale funding score in place of substitutability and applying a 2x multiplier to the sum of </w:t>
            </w:r>
            <w:r>
              <w:rPr>
                <w:rFonts w:ascii="Arial" w:eastAsia="宋体" w:hAnsi="Arial" w:cs="Arial"/>
                <w:sz w:val="20"/>
                <w:szCs w:val="20"/>
              </w:rPr>
              <w:t>the five components.</w:t>
            </w:r>
          </w:p>
        </w:tc>
      </w:tr>
    </w:tbl>
    <w:p w14:paraId="55566BB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Method 2 at December 31, 2019 is the binding methodology for us, and our applicable surcharge for 2019 was calculated to be 1.5% based on a calculation date of December 31, 2017. Based on a calculation date of December 31, 2018, our G</w:t>
      </w:r>
      <w:r>
        <w:rPr>
          <w:rFonts w:ascii="Arial" w:eastAsia="宋体" w:hAnsi="Arial" w:cs="Arial"/>
          <w:sz w:val="20"/>
          <w:szCs w:val="20"/>
        </w:rPr>
        <w:t>-SIB capital surcharge for 2020 will be reduced to 1.0%. Assuming a countercyclical buffer of 0%, the minimum capital ratios as of January 1, 2020, including a capital conservation buffer of 2.5% and a G-SIB surcharge of 1.0% in 2020, are 8.0% for CET1 cap</w:t>
      </w:r>
      <w:r>
        <w:rPr>
          <w:rFonts w:ascii="Arial" w:eastAsia="宋体" w:hAnsi="Arial" w:cs="Arial"/>
          <w:sz w:val="20"/>
          <w:szCs w:val="20"/>
        </w:rPr>
        <w:t>ital, 9.5% for tier 1 risk-based capital and 11.5% for total risk-based capital, in order for us to make capital distributions and discretionary bonus payments without limitation.</w:t>
      </w:r>
    </w:p>
    <w:p w14:paraId="55566BB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Since January 1, 2018, the U.S. banking regulators have required (i) the eig</w:t>
      </w:r>
      <w:r>
        <w:rPr>
          <w:rFonts w:ascii="Arial" w:eastAsia="宋体" w:hAnsi="Arial" w:cs="Arial"/>
          <w:sz w:val="20"/>
          <w:szCs w:val="20"/>
        </w:rPr>
        <w:t xml:space="preserve">ht U.S. G-SIBs, including us, to maintain a minimum SLR of 5% in order to avoid any limitations on distributions to shareholders and discretionary bonus payments to certain executives and (ii) the insured depository institution subsidiaries of such G-SIBs </w:t>
      </w:r>
      <w:r>
        <w:rPr>
          <w:rFonts w:ascii="Arial" w:eastAsia="宋体" w:hAnsi="Arial" w:cs="Arial"/>
          <w:sz w:val="20"/>
          <w:szCs w:val="20"/>
        </w:rPr>
        <w:t>(in our case, State Street Bank) to maintain a minimum SLR of 6% to be considered well-capitalized. On April 11, 2018, the Federal Reserve proposed modifications to the SLR that would replace the current 2% SLR buffer applicable to us with a SLR buffer equ</w:t>
      </w:r>
      <w:r>
        <w:rPr>
          <w:rFonts w:ascii="Arial" w:eastAsia="宋体" w:hAnsi="Arial" w:cs="Arial"/>
          <w:sz w:val="20"/>
          <w:szCs w:val="20"/>
        </w:rPr>
        <w:t xml:space="preserve">al to 50% of our applicable G-SIB capital surcharge. Currently we are subject to a 2% leverage buffer under the Basel III rule, subject to the Federal Reserve’s proposed changes to the SLR. If we fail to maintain the 2% leverage buffer, we will be subject </w:t>
      </w:r>
      <w:r>
        <w:rPr>
          <w:rFonts w:ascii="Arial" w:eastAsia="宋体" w:hAnsi="Arial" w:cs="Arial"/>
          <w:sz w:val="20"/>
          <w:szCs w:val="20"/>
        </w:rPr>
        <w:t xml:space="preserve">to restrictions regarding capital distributions and discretionary executive bonus payments, which will be increasingly stringent based upon the extent of the shortfall. </w:t>
      </w:r>
    </w:p>
    <w:p w14:paraId="55566BB5" w14:textId="77777777" w:rsidR="00F925DD" w:rsidRDefault="00F925DD">
      <w:pPr>
        <w:rPr>
          <w:rFonts w:ascii="Times New Roman" w:hAnsi="Times New Roman"/>
          <w:sz w:val="20"/>
          <w:szCs w:val="20"/>
        </w:rPr>
      </w:pPr>
    </w:p>
    <w:p w14:paraId="55566BB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w:t>
      </w:r>
    </w:p>
    <w:p w14:paraId="55566BB7" w14:textId="77777777" w:rsidR="00F925DD" w:rsidRDefault="00F925DD">
      <w:pPr>
        <w:spacing w:line="288" w:lineRule="auto"/>
        <w:ind w:firstLine="600"/>
        <w:jc w:val="center"/>
        <w:rPr>
          <w:rFonts w:ascii="Times New Roman" w:hAnsi="Times New Roman"/>
          <w:sz w:val="18"/>
          <w:szCs w:val="18"/>
        </w:rPr>
      </w:pPr>
    </w:p>
    <w:p w14:paraId="55566BB8" w14:textId="77777777" w:rsidR="00F925DD" w:rsidRDefault="00E705D7">
      <w:r>
        <w:rPr>
          <w:rFonts w:ascii="Times New Roman" w:hAnsi="Times New Roman"/>
          <w:sz w:val="18"/>
          <w:szCs w:val="18"/>
        </w:rPr>
        <w:pict w14:anchorId="5557063F">
          <v:rect id="_x0000_i1031" style="width:415.3pt;height:1.5pt" o:hralign="center" o:hrstd="t" o:hr="t" fillcolor="#a0a0a0" stroked="f"/>
        </w:pict>
      </w:r>
    </w:p>
    <w:p w14:paraId="55566BB9" w14:textId="77777777" w:rsidR="00F925DD" w:rsidRDefault="00F925DD">
      <w:pPr>
        <w:spacing w:line="288" w:lineRule="auto"/>
        <w:ind w:firstLine="600"/>
        <w:rPr>
          <w:rFonts w:ascii="Times New Roman" w:hAnsi="Times New Roman"/>
          <w:sz w:val="18"/>
          <w:szCs w:val="18"/>
        </w:rPr>
      </w:pPr>
    </w:p>
    <w:p w14:paraId="55566BBA" w14:textId="77777777" w:rsidR="00F925DD" w:rsidRDefault="00F925DD">
      <w:pPr>
        <w:rPr>
          <w:rFonts w:ascii="Times New Roman" w:hAnsi="Times New Roman"/>
          <w:sz w:val="20"/>
          <w:szCs w:val="20"/>
        </w:rPr>
      </w:pPr>
    </w:p>
    <w:p w14:paraId="55566BB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to the SLR, we are subject to a minimum</w:t>
      </w:r>
      <w:r>
        <w:rPr>
          <w:rFonts w:ascii="Arial" w:eastAsia="宋体" w:hAnsi="Arial" w:cs="Arial"/>
          <w:sz w:val="20"/>
          <w:szCs w:val="20"/>
        </w:rPr>
        <w:t xml:space="preserve"> tier 1 leverage ratio of 4%, which differs from the SLR primarily in that the denominator of the tier 1 leverage ratio is a quarterly average of on-balance sheet assets and does not include any off-balance sheet exposures. </w:t>
      </w:r>
    </w:p>
    <w:p w14:paraId="55566BB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Furthermore, EGRRCPA directed t</w:t>
      </w:r>
      <w:r>
        <w:rPr>
          <w:rFonts w:ascii="Arial" w:eastAsia="宋体" w:hAnsi="Arial" w:cs="Arial"/>
          <w:sz w:val="20"/>
          <w:szCs w:val="20"/>
        </w:rPr>
        <w:t>he U.S. banking regulators to amend their regulations to exclude certain central bank balances from the measure of total leverage exposure, the SLR denominator, for custody banks (including the Parent Company and State Street Bank). Specifically, central b</w:t>
      </w:r>
      <w:r>
        <w:rPr>
          <w:rFonts w:ascii="Arial" w:eastAsia="宋体" w:hAnsi="Arial" w:cs="Arial"/>
          <w:sz w:val="20"/>
          <w:szCs w:val="20"/>
        </w:rPr>
        <w:t>ank balances would be excluded to the extent of the value of client deposits at the custody bank that are linked to fiduciary, custody or safekeeping accounts. In November 2019, the Federal Reserve and the other U.S. federal banking agencies adopted a fina</w:t>
      </w:r>
      <w:r>
        <w:rPr>
          <w:rFonts w:ascii="Arial" w:eastAsia="宋体" w:hAnsi="Arial" w:cs="Arial"/>
          <w:sz w:val="20"/>
          <w:szCs w:val="20"/>
        </w:rPr>
        <w:t xml:space="preserve">l rule that establishes a deduction for central bank deposits from a custodial banking organization’s total leverage exposure equal to the lesser of (i) the total amount of funds the custodial banking organization and its consolidated subsidiaries have on </w:t>
      </w:r>
      <w:r>
        <w:rPr>
          <w:rFonts w:ascii="Arial" w:eastAsia="宋体" w:hAnsi="Arial" w:cs="Arial"/>
          <w:sz w:val="20"/>
          <w:szCs w:val="20"/>
        </w:rPr>
        <w:t>deposit at qualifying central banks and (ii) the total amount of client funds on deposit at the custodial banking organization that are linked to fiduciary or custodial and safekeeping accounts. The rule becomes effective on April 1, 2020. In the quarter e</w:t>
      </w:r>
      <w:r>
        <w:rPr>
          <w:rFonts w:ascii="Arial" w:eastAsia="宋体" w:hAnsi="Arial" w:cs="Arial"/>
          <w:sz w:val="20"/>
          <w:szCs w:val="20"/>
        </w:rPr>
        <w:t>nded December 31, 2019, we estimated $48.87 billion of average balances held on deposit at central banks will be excluded from the SLR denominator under our interpretation of the rule, which would impact the SLR by approximately 150 bps. The TLAC and LTD t</w:t>
      </w:r>
      <w:r>
        <w:rPr>
          <w:rFonts w:ascii="Arial" w:eastAsia="宋体" w:hAnsi="Arial" w:cs="Arial"/>
          <w:sz w:val="20"/>
          <w:szCs w:val="20"/>
        </w:rPr>
        <w:t>hat State Street is required to hold as calculated under the current requirements will also be reduced as a consequence of the rule</w:t>
      </w:r>
      <w:r>
        <w:rPr>
          <w:rFonts w:ascii="Times New Roman" w:eastAsia="宋体" w:hAnsi="Times New Roman"/>
          <w:sz w:val="20"/>
          <w:szCs w:val="20"/>
        </w:rPr>
        <w:t>.</w:t>
      </w:r>
      <w:r>
        <w:rPr>
          <w:rFonts w:ascii="Arial" w:eastAsia="宋体" w:hAnsi="Arial" w:cs="Arial"/>
          <w:sz w:val="20"/>
          <w:szCs w:val="20"/>
        </w:rPr>
        <w:t xml:space="preserve"> </w:t>
      </w:r>
    </w:p>
    <w:p w14:paraId="55566BB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Under the Basel III rule, a banking organization would be able to make capital distributions (subject to other </w:t>
      </w:r>
      <w:r>
        <w:rPr>
          <w:rFonts w:ascii="Arial" w:eastAsia="宋体" w:hAnsi="Arial" w:cs="Arial"/>
          <w:sz w:val="20"/>
          <w:szCs w:val="20"/>
        </w:rPr>
        <w:t>regulatory constraints, such as regulatory review of its capital plans) and discretionary bonus payments without specified limitations, as long as it maintains the required capital conservation buffer of 2.5% plus the applicable G-SIB surcharge (plus any p</w:t>
      </w:r>
      <w:r>
        <w:rPr>
          <w:rFonts w:ascii="Arial" w:eastAsia="宋体" w:hAnsi="Arial" w:cs="Arial"/>
          <w:sz w:val="20"/>
          <w:szCs w:val="20"/>
        </w:rPr>
        <w:t>otentially applicable countercyclical capital buffer) over the minimum required risk-based capital ratios and well capitalized leverage based requirements. Banking regulators would establish the minimum countercyclical capital buffer, which was initially s</w:t>
      </w:r>
      <w:r>
        <w:rPr>
          <w:rFonts w:ascii="Arial" w:eastAsia="宋体" w:hAnsi="Arial" w:cs="Arial"/>
          <w:sz w:val="20"/>
          <w:szCs w:val="20"/>
        </w:rPr>
        <w:t>et by banking regulators at zero, up to a maximum of 2.5% of total RWAs under certain economic conditions. The Federal Reserve has proposed changes to its stress testing and capital planning rules that would replace the capital conservation buffer with a S</w:t>
      </w:r>
      <w:r>
        <w:rPr>
          <w:rFonts w:ascii="Arial" w:eastAsia="宋体" w:hAnsi="Arial" w:cs="Arial"/>
          <w:sz w:val="20"/>
          <w:szCs w:val="20"/>
        </w:rPr>
        <w:t>tress Capital Buffer. For additional information about the proposal, refer to “Capital Planning, Stress Tests and Dividends” in this "Supervision and Regulation" section.</w:t>
      </w:r>
    </w:p>
    <w:p w14:paraId="55566BB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On November 19, 2019, the U.S. federal banking regulators issued a final rule that, a</w:t>
      </w:r>
      <w:r>
        <w:rPr>
          <w:rFonts w:ascii="Arial" w:eastAsia="宋体" w:hAnsi="Arial" w:cs="Arial"/>
          <w:sz w:val="20"/>
          <w:szCs w:val="20"/>
        </w:rPr>
        <w:t xml:space="preserve">mong other things, implements the standardized approach for counterparty credit risk (SA-CCR), a new methodology for calculating the exposure amount for derivative contracts under the </w:t>
      </w:r>
    </w:p>
    <w:p w14:paraId="55566BBF"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BC0"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U.S. regulatory capital rules. Under the final rule, which </w:t>
      </w:r>
      <w:r>
        <w:rPr>
          <w:rFonts w:ascii="Arial" w:eastAsia="宋体" w:hAnsi="Arial" w:cs="Arial"/>
          <w:sz w:val="20"/>
          <w:szCs w:val="20"/>
        </w:rPr>
        <w:t>contains some modifications from the related proposal issued by the U.S. federal banking regulators on October 30, 2018, we will have the option to use the SA-CCR or the Internal Model Methodology (IMM) to measure the exposure amount of our cleared and unc</w:t>
      </w:r>
      <w:r>
        <w:rPr>
          <w:rFonts w:ascii="Arial" w:eastAsia="宋体" w:hAnsi="Arial" w:cs="Arial"/>
          <w:sz w:val="20"/>
          <w:szCs w:val="20"/>
        </w:rPr>
        <w:t>leared derivative transactions under our advanced approaches calculation. We will be required to determine the amount of these exposures using the SA-CCR under our standardized approach capital calculation. In addition, the final rule provides a simplified</w:t>
      </w:r>
      <w:r>
        <w:rPr>
          <w:rFonts w:ascii="Arial" w:eastAsia="宋体" w:hAnsi="Arial" w:cs="Arial"/>
          <w:sz w:val="20"/>
          <w:szCs w:val="20"/>
        </w:rPr>
        <w:t xml:space="preserve"> formula we will be required to use to determine the RWA amount of our central counterparty default fund contributions. The final rule also requires us to incorporate the SA-CCR into the calculation of our total leverage exposure for the purpose of calcula</w:t>
      </w:r>
      <w:r>
        <w:rPr>
          <w:rFonts w:ascii="Arial" w:eastAsia="宋体" w:hAnsi="Arial" w:cs="Arial"/>
          <w:sz w:val="20"/>
          <w:szCs w:val="20"/>
        </w:rPr>
        <w:t>ting SLR. The effective date of this final rule implementing the SA-CCR is April 1, 2020, with a mandatory compliance date for advanced approaches organizations, like us, of January 1, 2022.</w:t>
      </w:r>
    </w:p>
    <w:p w14:paraId="55566BC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required by the Dodd-Frank Act, we and State Street Bank, as a</w:t>
      </w:r>
      <w:r>
        <w:rPr>
          <w:rFonts w:ascii="Arial" w:eastAsia="宋体" w:hAnsi="Arial" w:cs="Arial"/>
          <w:sz w:val="20"/>
          <w:szCs w:val="20"/>
        </w:rPr>
        <w:t>dvanced approaches banking organizations, are subject to a permanent "capital floor," also referred to as the Collins Amendment, in the assessment of our regulatory capital adequacy, including the capital conservation buffer and countercyclical capital buf</w:t>
      </w:r>
      <w:r>
        <w:rPr>
          <w:rFonts w:ascii="Arial" w:eastAsia="宋体" w:hAnsi="Arial" w:cs="Arial"/>
          <w:sz w:val="20"/>
          <w:szCs w:val="20"/>
        </w:rPr>
        <w:t>fer described above in this "Supervision and Regulation" section. Our risk-based capital ratios for regulatory assessment purposes are the lower of each ratio calculated under the standardized approach and the advanced approaches.</w:t>
      </w:r>
    </w:p>
    <w:p w14:paraId="55566BC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a systemically importa</w:t>
      </w:r>
      <w:r>
        <w:rPr>
          <w:rFonts w:ascii="Arial" w:eastAsia="宋体" w:hAnsi="Arial" w:cs="Arial"/>
          <w:sz w:val="20"/>
          <w:szCs w:val="20"/>
        </w:rPr>
        <w:t>nt financial institution, we are subject to enhanced supervision and prudential standards. Our status as a G-SIB has also resulted in heightened prudential and conduct expectations of our U.S. and international regulators with respect to our capital and li</w:t>
      </w:r>
      <w:r>
        <w:rPr>
          <w:rFonts w:ascii="Arial" w:eastAsia="宋体" w:hAnsi="Arial" w:cs="Arial"/>
          <w:sz w:val="20"/>
          <w:szCs w:val="20"/>
        </w:rPr>
        <w:t>quidity management and our compliance and risk oversight programs. These heightened expectations have increased our regulatory compliance costs, including personnel, technology and systems, as well as significant additional implementation and related costs</w:t>
      </w:r>
      <w:r>
        <w:rPr>
          <w:rFonts w:ascii="Arial" w:eastAsia="宋体" w:hAnsi="Arial" w:cs="Arial"/>
          <w:sz w:val="20"/>
          <w:szCs w:val="20"/>
        </w:rPr>
        <w:t xml:space="preserve"> to enhance our regulatory compliance programs. Regulatory compliance requirements are anticipated to remain at least at the elevated levels we have experienced over the past several years.</w:t>
      </w:r>
    </w:p>
    <w:p w14:paraId="55566BC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Failure to meet current and future regulatory capital requirements</w:t>
      </w:r>
      <w:r>
        <w:rPr>
          <w:rFonts w:ascii="Arial" w:eastAsia="宋体" w:hAnsi="Arial" w:cs="Arial"/>
          <w:sz w:val="20"/>
          <w:szCs w:val="20"/>
        </w:rPr>
        <w:t xml:space="preserve"> could subject us to a variety of enforcement actions, including the termination of State Street Bank's deposit insurance by the FDIC, and to certain restrictions on our business, including those that are described above in this “Supervision and Regulation</w:t>
      </w:r>
      <w:r>
        <w:rPr>
          <w:rFonts w:ascii="Arial" w:eastAsia="宋体" w:hAnsi="Arial" w:cs="Arial"/>
          <w:sz w:val="20"/>
          <w:szCs w:val="20"/>
        </w:rPr>
        <w:t>” section.</w:t>
      </w:r>
    </w:p>
    <w:p w14:paraId="55566BC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Not all of our competitors have similarly been designated as systemically important nor are all of them subject to the same degree of regulation as a bank or financial holding company, and therefore some of our competitors may not be subject to </w:t>
      </w:r>
      <w:r>
        <w:rPr>
          <w:rFonts w:ascii="Arial" w:eastAsia="宋体" w:hAnsi="Arial" w:cs="Arial"/>
          <w:sz w:val="20"/>
          <w:szCs w:val="20"/>
        </w:rPr>
        <w:t>the same additional capital requirements.</w:t>
      </w:r>
    </w:p>
    <w:p w14:paraId="55566BC5" w14:textId="77777777" w:rsidR="00F925DD" w:rsidRDefault="00F925DD">
      <w:pPr>
        <w:rPr>
          <w:rFonts w:ascii="Times New Roman" w:hAnsi="Times New Roman"/>
          <w:sz w:val="20"/>
          <w:szCs w:val="20"/>
        </w:rPr>
      </w:pPr>
    </w:p>
    <w:p w14:paraId="55566BC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w:t>
      </w:r>
    </w:p>
    <w:p w14:paraId="55566BC7" w14:textId="77777777" w:rsidR="00F925DD" w:rsidRDefault="00F925DD">
      <w:pPr>
        <w:spacing w:line="288" w:lineRule="auto"/>
        <w:ind w:firstLine="600"/>
        <w:jc w:val="center"/>
        <w:rPr>
          <w:rFonts w:ascii="Times New Roman" w:hAnsi="Times New Roman"/>
          <w:sz w:val="18"/>
          <w:szCs w:val="18"/>
        </w:rPr>
      </w:pPr>
    </w:p>
    <w:p w14:paraId="55566BC8" w14:textId="77777777" w:rsidR="00F925DD" w:rsidRDefault="00E705D7">
      <w:r>
        <w:rPr>
          <w:rFonts w:ascii="Times New Roman" w:hAnsi="Times New Roman"/>
          <w:sz w:val="18"/>
          <w:szCs w:val="18"/>
        </w:rPr>
        <w:pict w14:anchorId="55570640">
          <v:rect id="_x0000_i1032" style="width:415.3pt;height:1.5pt" o:hralign="center" o:hrstd="t" o:hr="t" fillcolor="#a0a0a0" stroked="f"/>
        </w:pict>
      </w:r>
    </w:p>
    <w:p w14:paraId="55566BC9" w14:textId="77777777" w:rsidR="00F925DD" w:rsidRDefault="00F925DD">
      <w:pPr>
        <w:spacing w:line="288" w:lineRule="auto"/>
        <w:ind w:firstLine="600"/>
        <w:rPr>
          <w:rFonts w:ascii="Times New Roman" w:hAnsi="Times New Roman"/>
          <w:sz w:val="18"/>
          <w:szCs w:val="18"/>
        </w:rPr>
      </w:pPr>
    </w:p>
    <w:p w14:paraId="55566BCA" w14:textId="77777777" w:rsidR="00F925DD" w:rsidRDefault="00F925DD">
      <w:pPr>
        <w:rPr>
          <w:rFonts w:ascii="Times New Roman" w:hAnsi="Times New Roman"/>
          <w:sz w:val="20"/>
          <w:szCs w:val="20"/>
        </w:rPr>
      </w:pPr>
    </w:p>
    <w:p w14:paraId="55566BC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our regulatory capital position and our regulatory capital adequacy, as well as current and future regulatory capital requirements, refer to "Capi</w:t>
      </w:r>
      <w:r>
        <w:rPr>
          <w:rFonts w:ascii="Arial" w:eastAsia="宋体" w:hAnsi="Arial" w:cs="Arial"/>
          <w:sz w:val="20"/>
          <w:szCs w:val="20"/>
        </w:rPr>
        <w:t xml:space="preserve">tal" in “Financial Condition" in our Management's Discussion and Analysis, and Note 16 to the consolidated financial statements in this Form 10-K. </w:t>
      </w:r>
    </w:p>
    <w:p w14:paraId="55566BCC"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Total Loss-Absorbing Capacity</w:t>
      </w:r>
    </w:p>
    <w:p w14:paraId="55566BC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2016, the Federal Reserve released its final rule on TLAC, LTD and clean ho</w:t>
      </w:r>
      <w:r>
        <w:rPr>
          <w:rFonts w:ascii="Arial" w:eastAsia="宋体" w:hAnsi="Arial" w:cs="Arial"/>
          <w:sz w:val="20"/>
          <w:szCs w:val="20"/>
        </w:rPr>
        <w:t>lding company requirements for U.S. domiciled G-SIBs, such as us. The requirements are intended to improve the resiliency and resolvability of certain U.S. banking organizations through enhanced prudential standards. The TLAC rule imposes: (1) external TLA</w:t>
      </w:r>
      <w:r>
        <w:rPr>
          <w:rFonts w:ascii="Arial" w:eastAsia="宋体" w:hAnsi="Arial" w:cs="Arial"/>
          <w:sz w:val="20"/>
          <w:szCs w:val="20"/>
        </w:rPr>
        <w:t>C requirements (i.e., combined eligible tier 1 regulatory capital and LTD); (2) separate external LTD requirements; and (3) clean holding company requirements that impose restrictions on certain types of liabilities and limit non-TLAC related third party l</w:t>
      </w:r>
      <w:r>
        <w:rPr>
          <w:rFonts w:ascii="Arial" w:eastAsia="宋体" w:hAnsi="Arial" w:cs="Arial"/>
          <w:sz w:val="20"/>
          <w:szCs w:val="20"/>
        </w:rPr>
        <w:t>iabilities to 5% of external TLAC.</w:t>
      </w:r>
    </w:p>
    <w:p w14:paraId="55566BC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Among other things, the TLAC rule required us to comply with minimum requirements for external TLAC and external LTD as of January 1, 2019. Specifically, as of January 1, 2019, we must hold (1) combined eligible tier 1 re</w:t>
      </w:r>
      <w:r>
        <w:rPr>
          <w:rFonts w:ascii="Arial" w:eastAsia="宋体" w:hAnsi="Arial" w:cs="Arial"/>
          <w:sz w:val="20"/>
          <w:szCs w:val="20"/>
        </w:rPr>
        <w:t xml:space="preserve">gulatory capital and LTD in the amount equal to the greater of 21.5% of total RWA (18.0% minimum plus a 2.5% capital conservation buffer plus a G-SIB surcharge calculated for these purposes under Method 1 of 1.0%) and 9.5% of total leverage exposure (7.5% </w:t>
      </w:r>
      <w:r>
        <w:rPr>
          <w:rFonts w:ascii="Arial" w:eastAsia="宋体" w:hAnsi="Arial" w:cs="Arial"/>
          <w:sz w:val="20"/>
          <w:szCs w:val="20"/>
        </w:rPr>
        <w:t>minimum plus the eSLR buffer of 2.0%), as defined by the SLR rule; and (2) qualifying external LTD equal to the greater of 7.5% of RWA (6.0% minimum plus a G-SIB surcharge calculated for these purposes under method 2 of 1.5%) and 4.5% of total leverage exp</w:t>
      </w:r>
      <w:r>
        <w:rPr>
          <w:rFonts w:ascii="Arial" w:eastAsia="宋体" w:hAnsi="Arial" w:cs="Arial"/>
          <w:sz w:val="20"/>
          <w:szCs w:val="20"/>
        </w:rPr>
        <w:t>osure, as defined by the SLR rule. With our 2020 G-SIB surcharge of 1.0%, our LTD RWA requirement will decrease from 7.5% to 7.0% as of January 1, 2020.</w:t>
      </w:r>
    </w:p>
    <w:p w14:paraId="55566BC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requested and received from the Federal Reserve, an extension from January 1, 2019 to April 1, 2020,</w:t>
      </w:r>
      <w:r>
        <w:rPr>
          <w:rFonts w:ascii="Arial" w:eastAsia="宋体" w:hAnsi="Arial" w:cs="Arial"/>
          <w:sz w:val="20"/>
          <w:szCs w:val="20"/>
        </w:rPr>
        <w:t xml:space="preserve"> for compliance with the LTD SLR requirements of the rule to align with the implementation of EGRRCPA discussed above. </w:t>
      </w:r>
    </w:p>
    <w:p w14:paraId="55566BD0"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Liquidity Coverage Ratio and Net Stable Funding Ratio</w:t>
      </w:r>
    </w:p>
    <w:p w14:paraId="55566BD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to capital standards, the Basel III rule introduced two quantitative l</w:t>
      </w:r>
      <w:r>
        <w:rPr>
          <w:rFonts w:ascii="Arial" w:eastAsia="宋体" w:hAnsi="Arial" w:cs="Arial"/>
          <w:sz w:val="20"/>
          <w:szCs w:val="20"/>
        </w:rPr>
        <w:t>iquidity standards: the LCR and the NSFR.</w:t>
      </w:r>
    </w:p>
    <w:p w14:paraId="55566BD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are subject to the rule issued by the U.S. banking regulators implementing the Basel Committee on Banking Supervision's (BCBS) LCR in the U.S. The LCR is intended to promote the short-term resilience of internat</w:t>
      </w:r>
      <w:r>
        <w:rPr>
          <w:rFonts w:ascii="Arial" w:eastAsia="宋体" w:hAnsi="Arial" w:cs="Arial"/>
          <w:sz w:val="20"/>
          <w:szCs w:val="20"/>
        </w:rPr>
        <w:t>ionally active banking organizations, like us, to improve the banking industry's ability to absorb shocks arising from market stress over a 30 calendar day period and improve the measurement and management of liquidity risk.</w:t>
      </w:r>
    </w:p>
    <w:p w14:paraId="55566BD3"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BD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LCR measures an instituti</w:t>
      </w:r>
      <w:r>
        <w:rPr>
          <w:rFonts w:ascii="Arial" w:eastAsia="宋体" w:hAnsi="Arial" w:cs="Arial"/>
          <w:sz w:val="20"/>
          <w:szCs w:val="20"/>
        </w:rPr>
        <w:t>on’s HQLA against its net cash outflows under a prescribed stress environment. We report LCR to the Federal Reserve daily and are required to calculate and maintain an LCR that is equal to or greater than 100%. In addition, we publicly disclose certain qua</w:t>
      </w:r>
      <w:r>
        <w:rPr>
          <w:rFonts w:ascii="Arial" w:eastAsia="宋体" w:hAnsi="Arial" w:cs="Arial"/>
          <w:sz w:val="20"/>
          <w:szCs w:val="20"/>
        </w:rPr>
        <w:t>litative and quantitative information about our LCR consistent with the requirements of the Federal Reserve's December 2016 final rule.</w:t>
      </w:r>
    </w:p>
    <w:p w14:paraId="55566BD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Compliance with the LCR has required that we maintain an investment portfolio that contains an adequate amount of HQLA. </w:t>
      </w:r>
      <w:r>
        <w:rPr>
          <w:rFonts w:ascii="Arial" w:eastAsia="宋体" w:hAnsi="Arial" w:cs="Arial"/>
          <w:sz w:val="20"/>
          <w:szCs w:val="20"/>
        </w:rPr>
        <w:t>In general, HQLA investments generate a lower investment return than other types of investments, resulting in a negative impact on our NII and our NIM. In addition, the level of HQLA we are required to maintain under the LCR is dependent upon our client re</w:t>
      </w:r>
      <w:r>
        <w:rPr>
          <w:rFonts w:ascii="Arial" w:eastAsia="宋体" w:hAnsi="Arial" w:cs="Arial"/>
          <w:sz w:val="20"/>
          <w:szCs w:val="20"/>
        </w:rPr>
        <w:t>lationships and the nature of services we provide, which may change over time. Deposits resulting from certain services provided (“operational deposits”) are treated as more resilient during periods of stress than other deposits. As a result, if balances o</w:t>
      </w:r>
      <w:r>
        <w:rPr>
          <w:rFonts w:ascii="Arial" w:eastAsia="宋体" w:hAnsi="Arial" w:cs="Arial"/>
          <w:sz w:val="20"/>
          <w:szCs w:val="20"/>
        </w:rPr>
        <w:t>f operational deposits increased relative to our total client deposit base, we would expect to require less HQLA in order to maintain our LCR. Conversely, if balances of operational deposits decreased relative to our total client deposit base, we would exp</w:t>
      </w:r>
      <w:r>
        <w:rPr>
          <w:rFonts w:ascii="Arial" w:eastAsia="宋体" w:hAnsi="Arial" w:cs="Arial"/>
          <w:sz w:val="20"/>
          <w:szCs w:val="20"/>
        </w:rPr>
        <w:t>ect to require more HQLA.</w:t>
      </w:r>
    </w:p>
    <w:p w14:paraId="55566BD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BCBS has also issued final guidance with respect to the NSFR. In 2016, the Office of the Comptroller of the Currency (OCC), Federal Reserve and FDIC issued a proposal to implement the NSFR in the U.S. that is largely consisten</w:t>
      </w:r>
      <w:r>
        <w:rPr>
          <w:rFonts w:ascii="Arial" w:eastAsia="宋体" w:hAnsi="Arial" w:cs="Arial"/>
          <w:sz w:val="20"/>
          <w:szCs w:val="20"/>
        </w:rPr>
        <w:t>t with the BCBS guidance. The proposal would require banking organizations to maintain an amount of available stable funding, which is calculated by applying standardized weightings to its equity and liabilities based on their expected stability, that is n</w:t>
      </w:r>
      <w:r>
        <w:rPr>
          <w:rFonts w:ascii="Arial" w:eastAsia="宋体" w:hAnsi="Arial" w:cs="Arial"/>
          <w:sz w:val="20"/>
          <w:szCs w:val="20"/>
        </w:rPr>
        <w:t>o less than the amount of its required stable funding, which is calculated by applying standardized weightings to its assets, derivatives exposures, and certain other off-balance sheet exposures based on their liquidity characteristics.</w:t>
      </w:r>
    </w:p>
    <w:p w14:paraId="55566BD7"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Capital </w:t>
      </w:r>
      <w:r>
        <w:rPr>
          <w:rFonts w:ascii="Arial" w:eastAsia="宋体" w:hAnsi="Arial" w:cs="Arial"/>
          <w:b/>
          <w:bCs/>
          <w:i/>
          <w:iCs/>
          <w:color w:val="000000"/>
          <w:sz w:val="20"/>
          <w:szCs w:val="20"/>
        </w:rPr>
        <w:t>Planning, Stress Tests and Dividends</w:t>
      </w:r>
    </w:p>
    <w:p w14:paraId="55566BD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Pursuant to the Dodd-Frank Act, the Federal Reserve has adopted capital planning and stress test requirements for large bank holding companies, including us, which form part of the Federal Reserve’s annual CCAR framewor</w:t>
      </w:r>
      <w:r>
        <w:rPr>
          <w:rFonts w:ascii="Arial" w:eastAsia="宋体" w:hAnsi="Arial" w:cs="Arial"/>
          <w:sz w:val="20"/>
          <w:szCs w:val="20"/>
        </w:rPr>
        <w:t>k. CCAR is used by the Federal Reserve to evaluate our management of capital, the adequacy of our regulatory capital and the potential requirement for us to maintain capital levels above regulatory minimums. Under the Federal Reserve’s capital plan rule, w</w:t>
      </w:r>
      <w:r>
        <w:rPr>
          <w:rFonts w:ascii="Arial" w:eastAsia="宋体" w:hAnsi="Arial" w:cs="Arial"/>
          <w:sz w:val="20"/>
          <w:szCs w:val="20"/>
        </w:rPr>
        <w:t>e must conduct periodic stress testing of our business operations and submit an annual capital plan to the Federal Reserve, taking into account the results of separate stress tests designed by us and by the Federal Reserve.</w:t>
      </w:r>
    </w:p>
    <w:p w14:paraId="55566BD9" w14:textId="77777777" w:rsidR="00F925DD" w:rsidRDefault="00F925DD">
      <w:pPr>
        <w:rPr>
          <w:rFonts w:ascii="Times New Roman" w:hAnsi="Times New Roman"/>
          <w:sz w:val="20"/>
          <w:szCs w:val="20"/>
        </w:rPr>
      </w:pPr>
    </w:p>
    <w:p w14:paraId="55566BD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w:t>
      </w:r>
    </w:p>
    <w:p w14:paraId="55566BDB" w14:textId="77777777" w:rsidR="00F925DD" w:rsidRDefault="00F925DD">
      <w:pPr>
        <w:spacing w:line="288" w:lineRule="auto"/>
        <w:ind w:firstLine="600"/>
        <w:jc w:val="center"/>
        <w:rPr>
          <w:rFonts w:ascii="Times New Roman" w:hAnsi="Times New Roman"/>
          <w:sz w:val="18"/>
          <w:szCs w:val="18"/>
        </w:rPr>
      </w:pPr>
    </w:p>
    <w:p w14:paraId="55566BDC" w14:textId="77777777" w:rsidR="00F925DD" w:rsidRDefault="00E705D7">
      <w:r>
        <w:rPr>
          <w:rFonts w:ascii="Times New Roman" w:hAnsi="Times New Roman"/>
          <w:sz w:val="18"/>
          <w:szCs w:val="18"/>
        </w:rPr>
        <w:pict w14:anchorId="55570641">
          <v:rect id="_x0000_i1033" style="width:415.3pt;height:1.5pt" o:hralign="center" o:hrstd="t" o:hr="t" fillcolor="#a0a0a0" stroked="f"/>
        </w:pict>
      </w:r>
    </w:p>
    <w:p w14:paraId="55566BDD" w14:textId="77777777" w:rsidR="00F925DD" w:rsidRDefault="00F925DD">
      <w:pPr>
        <w:spacing w:line="288" w:lineRule="auto"/>
        <w:ind w:firstLine="600"/>
        <w:rPr>
          <w:rFonts w:ascii="Times New Roman" w:hAnsi="Times New Roman"/>
          <w:sz w:val="18"/>
          <w:szCs w:val="18"/>
        </w:rPr>
      </w:pPr>
    </w:p>
    <w:p w14:paraId="55566BDE" w14:textId="77777777" w:rsidR="00F925DD" w:rsidRDefault="00F925DD">
      <w:pPr>
        <w:rPr>
          <w:rFonts w:ascii="Times New Roman" w:hAnsi="Times New Roman"/>
          <w:sz w:val="20"/>
          <w:szCs w:val="20"/>
        </w:rPr>
      </w:pPr>
    </w:p>
    <w:p w14:paraId="55566BD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capital plan must include a description of all of our planned capital actions over a nine-quarter planning horizon, including any capital qualifying instruments, any capital distributions, such as payments of dividends on, or repurchases of, our sto</w:t>
      </w:r>
      <w:r>
        <w:rPr>
          <w:rFonts w:ascii="Arial" w:eastAsia="宋体" w:hAnsi="Arial" w:cs="Arial"/>
          <w:sz w:val="20"/>
          <w:szCs w:val="20"/>
        </w:rPr>
        <w:t>ck, and any similar action that the Federal Reserve determines could affect our consolidated capital. The capital plan must include a discussion of how we will maintain capital above the minimum regulatory capital ratios, including the minimum ratios under</w:t>
      </w:r>
      <w:r>
        <w:rPr>
          <w:rFonts w:ascii="Arial" w:eastAsia="宋体" w:hAnsi="Arial" w:cs="Arial"/>
          <w:sz w:val="20"/>
          <w:szCs w:val="20"/>
        </w:rPr>
        <w:t xml:space="preserve"> the Basel III rule, and serve as a source of strength to our U.S. depository institution subsidiaries under supervisory stress scenarios. The capital plan requirements mandate that we receive no objection to our plan from the Federal Reserve before making</w:t>
      </w:r>
      <w:r>
        <w:rPr>
          <w:rFonts w:ascii="Arial" w:eastAsia="宋体" w:hAnsi="Arial" w:cs="Arial"/>
          <w:sz w:val="20"/>
          <w:szCs w:val="20"/>
        </w:rPr>
        <w:t xml:space="preserve"> a capital distribution. These requirements could require us to revise our stress-testing or capital management approaches, resubmit our capital plan or postpone, cancel or alter our planned capital actions. In addition, changes in our strategy, merger or </w:t>
      </w:r>
      <w:r>
        <w:rPr>
          <w:rFonts w:ascii="Arial" w:eastAsia="宋体" w:hAnsi="Arial" w:cs="Arial"/>
          <w:sz w:val="20"/>
          <w:szCs w:val="20"/>
        </w:rPr>
        <w:t>acquisition activity or unanticipated uses of capital could result in a change in our capital plan and its associated capital actions, including capital raises or modifications to planned capital actions, such as repurchases of our stock, and may require r</w:t>
      </w:r>
      <w:r>
        <w:rPr>
          <w:rFonts w:ascii="Arial" w:eastAsia="宋体" w:hAnsi="Arial" w:cs="Arial"/>
          <w:sz w:val="20"/>
          <w:szCs w:val="20"/>
        </w:rPr>
        <w:t>esubmission of the capital plan to the Federal Reserve for its non-objection if, among other reasons, we would not meet our regulatory capital requirements after making the proposed capital distribution.</w:t>
      </w:r>
    </w:p>
    <w:p w14:paraId="55566BE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to its capital planning requirements, th</w:t>
      </w:r>
      <w:r>
        <w:rPr>
          <w:rFonts w:ascii="Arial" w:eastAsia="宋体" w:hAnsi="Arial" w:cs="Arial"/>
          <w:sz w:val="20"/>
          <w:szCs w:val="20"/>
        </w:rPr>
        <w:t>e Federal Reserve has the authority to prohibit or to limit the payment of dividends by the banking organizations it supervises, including the Parent Company and State Street Bank, if, in the Federal Reserve’s opinion, the payment of a dividend would const</w:t>
      </w:r>
      <w:r>
        <w:rPr>
          <w:rFonts w:ascii="Arial" w:eastAsia="宋体" w:hAnsi="Arial" w:cs="Arial"/>
          <w:sz w:val="20"/>
          <w:szCs w:val="20"/>
        </w:rPr>
        <w:t>itute an unsafe or unsound practice in light of the financial condition of the banking organization. All of these policies and other requirements could affect our ability to pay dividends and repurchase our stock or require us to provide capital assistance</w:t>
      </w:r>
      <w:r>
        <w:rPr>
          <w:rFonts w:ascii="Arial" w:eastAsia="宋体" w:hAnsi="Arial" w:cs="Arial"/>
          <w:sz w:val="20"/>
          <w:szCs w:val="20"/>
        </w:rPr>
        <w:t xml:space="preserve"> to State Street Bank and any other banking subsidiary. Our common stock and other stock dividends, including the declaration, timing and amount thereof, remain subject to consideration and approval by our Board of Directors at the relevant times.</w:t>
      </w:r>
    </w:p>
    <w:p w14:paraId="55566BE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June </w:t>
      </w:r>
      <w:r>
        <w:rPr>
          <w:rFonts w:ascii="Arial" w:eastAsia="宋体" w:hAnsi="Arial" w:cs="Arial"/>
          <w:sz w:val="20"/>
          <w:szCs w:val="20"/>
        </w:rPr>
        <w:t xml:space="preserve">2019, we received the results of the Federal Reserve's review of our 2019 capital plan in connection with its 2019 annual CCAR process. The Federal Reserve did not object to our capital plan as part of the 2019 CCAR process. In connection with the capital </w:t>
      </w:r>
      <w:r>
        <w:rPr>
          <w:rFonts w:ascii="Arial" w:eastAsia="宋体" w:hAnsi="Arial" w:cs="Arial"/>
          <w:sz w:val="20"/>
          <w:szCs w:val="20"/>
        </w:rPr>
        <w:t xml:space="preserve">plan, our Board approved a common stock purchase program authorizing the purchase of up to $2.0 billion of our common stock from July 1, 2019 through June 30, 2020 (the 2019 Program). We repurchased a total of $1.0 billion of our common stock in the third </w:t>
      </w:r>
      <w:r>
        <w:rPr>
          <w:rFonts w:ascii="Arial" w:eastAsia="宋体" w:hAnsi="Arial" w:cs="Arial"/>
          <w:sz w:val="20"/>
          <w:szCs w:val="20"/>
        </w:rPr>
        <w:t>and fourth quarters of 2019 under the 2019 Program.</w:t>
      </w:r>
    </w:p>
    <w:p w14:paraId="55566BE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June 2018, our Board approved a common stock purchase program authorizing the purchase of up </w:t>
      </w:r>
    </w:p>
    <w:p w14:paraId="55566BE3"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BE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to $1.2 billion of our common stock from July 1, 2018 through June 30, 2019 (the 2018 Program). We repurc</w:t>
      </w:r>
      <w:r>
        <w:rPr>
          <w:rFonts w:ascii="Arial" w:eastAsia="宋体" w:hAnsi="Arial" w:cs="Arial"/>
          <w:sz w:val="20"/>
          <w:szCs w:val="20"/>
        </w:rPr>
        <w:t>hased a total of $600 million of our common stock in the first and second quarters of 2019 under the 2018 Program.</w:t>
      </w:r>
    </w:p>
    <w:p w14:paraId="55566BE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color w:val="212529"/>
          <w:sz w:val="20"/>
          <w:szCs w:val="20"/>
        </w:rPr>
        <w:t>Stock purchases may be made using various types of mechanisms, including open market purchases, accelerated share repurchases or transactions</w:t>
      </w:r>
      <w:r>
        <w:rPr>
          <w:rFonts w:ascii="Arial" w:eastAsia="宋体" w:hAnsi="Arial" w:cs="Arial"/>
          <w:color w:val="212529"/>
          <w:sz w:val="20"/>
          <w:szCs w:val="20"/>
        </w:rPr>
        <w:t xml:space="preserve"> off market, and may be made under Rule 10b5-1 trading programs. The timing of stock purchases, types of transactions and number of shares purchased will depend on several factors, including market conditions and State Street’s capital positions, financial</w:t>
      </w:r>
      <w:r>
        <w:rPr>
          <w:rFonts w:ascii="Arial" w:eastAsia="宋体" w:hAnsi="Arial" w:cs="Arial"/>
          <w:color w:val="212529"/>
          <w:sz w:val="20"/>
          <w:szCs w:val="20"/>
        </w:rPr>
        <w:t xml:space="preserve"> performance and investment opportunities. Our common stock purchase programs do not have specific price targets and may be suspended at any time. We may employ third-party broker/dealers to acquire shares on the open market in connection with our common s</w:t>
      </w:r>
      <w:r>
        <w:rPr>
          <w:rFonts w:ascii="Arial" w:eastAsia="宋体" w:hAnsi="Arial" w:cs="Arial"/>
          <w:color w:val="212529"/>
          <w:sz w:val="20"/>
          <w:szCs w:val="20"/>
        </w:rPr>
        <w:t>tock purchase programs.</w:t>
      </w:r>
    </w:p>
    <w:p w14:paraId="55566BE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Federal Reserve, under the Dodd-Frank Act, requires us to conduct semi-annual State Street-run stress tests and to publicly disclose the summary results of our State Street-run stress tests under the severely adverse economic sc</w:t>
      </w:r>
      <w:r>
        <w:rPr>
          <w:rFonts w:ascii="Arial" w:eastAsia="宋体" w:hAnsi="Arial" w:cs="Arial"/>
          <w:sz w:val="20"/>
          <w:szCs w:val="20"/>
        </w:rPr>
        <w:t>enario. In November 2019, we provided summary results of our 2019 mid-cycle State Street-run stress tests on the “Investor Relations” section of our corporate website. We are also required to undergo an annual supervisory stress test conducted by the Feder</w:t>
      </w:r>
      <w:r>
        <w:rPr>
          <w:rFonts w:ascii="Arial" w:eastAsia="宋体" w:hAnsi="Arial" w:cs="Arial"/>
          <w:sz w:val="20"/>
          <w:szCs w:val="20"/>
        </w:rPr>
        <w:t>al Reserve. The EGRRCPA modifies certain aspects of these stress-testing requirements, reducing the number of scenarios in the Federal Reserve’s supervisory stress test from three to two and modifying our obligation to perform company-run stress-tests from</w:t>
      </w:r>
      <w:r>
        <w:rPr>
          <w:rFonts w:ascii="Arial" w:eastAsia="宋体" w:hAnsi="Arial" w:cs="Arial"/>
          <w:sz w:val="20"/>
          <w:szCs w:val="20"/>
        </w:rPr>
        <w:t xml:space="preserve"> semi-annually to annually. The Federal Reserve adopted a final rule in October 2019 that, among other things, implemented this modification.</w:t>
      </w:r>
    </w:p>
    <w:p w14:paraId="55566BE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Dodd-Frank Act also requires State Street Bank to conduct an annual stress test. State Street Bank published a</w:t>
      </w:r>
      <w:r>
        <w:rPr>
          <w:rFonts w:ascii="Arial" w:eastAsia="宋体" w:hAnsi="Arial" w:cs="Arial"/>
          <w:sz w:val="20"/>
          <w:szCs w:val="20"/>
        </w:rPr>
        <w:t xml:space="preserve"> summary of its stress test results on June 21, 2019. </w:t>
      </w:r>
    </w:p>
    <w:p w14:paraId="55566BE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Federal Reserve is currently considering making further changes to its capital planning and stress testing requirements. </w:t>
      </w:r>
    </w:p>
    <w:p w14:paraId="55566BE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On April 10, 2018, the Federal Reserve issued a proposal to integrate its a</w:t>
      </w:r>
      <w:r>
        <w:rPr>
          <w:rFonts w:ascii="Arial" w:eastAsia="宋体" w:hAnsi="Arial" w:cs="Arial"/>
          <w:sz w:val="20"/>
          <w:szCs w:val="20"/>
        </w:rPr>
        <w:t>nnual capital planning and stress testing requirements with certain ongoing regulatory capital requirements. The proposal, which would apply to certain bank holding companies, including us, would introduce a Stress Capital Buffer (SCB) and a Stress Leverag</w:t>
      </w:r>
      <w:r>
        <w:rPr>
          <w:rFonts w:ascii="Arial" w:eastAsia="宋体" w:hAnsi="Arial" w:cs="Arial"/>
          <w:sz w:val="20"/>
          <w:szCs w:val="20"/>
        </w:rPr>
        <w:t>e Buffer (SLB) and related changes to the capital planning and stress testing processes. Under the proposal, the requirements would apply only with respect to the standardized approach and tier 1 leverage regulatory capital requirements.</w:t>
      </w:r>
    </w:p>
    <w:p w14:paraId="55566BE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standardize</w:t>
      </w:r>
      <w:r>
        <w:rPr>
          <w:rFonts w:ascii="Arial" w:eastAsia="宋体" w:hAnsi="Arial" w:cs="Arial"/>
          <w:sz w:val="20"/>
          <w:szCs w:val="20"/>
        </w:rPr>
        <w:t xml:space="preserve">d approach, the SCB would replace the existing capital conservation buffer. The </w:t>
      </w:r>
    </w:p>
    <w:p w14:paraId="55566BEB" w14:textId="77777777" w:rsidR="00F925DD" w:rsidRDefault="00F925DD">
      <w:pPr>
        <w:rPr>
          <w:rFonts w:ascii="Times New Roman" w:hAnsi="Times New Roman"/>
          <w:sz w:val="20"/>
          <w:szCs w:val="20"/>
        </w:rPr>
      </w:pPr>
    </w:p>
    <w:p w14:paraId="55566BE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10</w:t>
      </w:r>
    </w:p>
    <w:p w14:paraId="55566BED" w14:textId="77777777" w:rsidR="00F925DD" w:rsidRDefault="00F925DD">
      <w:pPr>
        <w:spacing w:line="288" w:lineRule="auto"/>
        <w:ind w:firstLine="600"/>
        <w:jc w:val="center"/>
        <w:rPr>
          <w:rFonts w:ascii="Times New Roman" w:hAnsi="Times New Roman"/>
          <w:sz w:val="18"/>
          <w:szCs w:val="18"/>
        </w:rPr>
      </w:pPr>
    </w:p>
    <w:p w14:paraId="55566BEE" w14:textId="77777777" w:rsidR="00F925DD" w:rsidRDefault="00E705D7">
      <w:r>
        <w:rPr>
          <w:rFonts w:ascii="Times New Roman" w:hAnsi="Times New Roman"/>
          <w:sz w:val="18"/>
          <w:szCs w:val="18"/>
        </w:rPr>
        <w:pict w14:anchorId="55570642">
          <v:rect id="_x0000_i1034" style="width:415.3pt;height:1.5pt" o:hralign="center" o:hrstd="t" o:hr="t" fillcolor="#a0a0a0" stroked="f"/>
        </w:pict>
      </w:r>
    </w:p>
    <w:p w14:paraId="55566BEF" w14:textId="77777777" w:rsidR="00F925DD" w:rsidRDefault="00F925DD">
      <w:pPr>
        <w:spacing w:line="288" w:lineRule="auto"/>
        <w:ind w:firstLine="600"/>
        <w:rPr>
          <w:rFonts w:ascii="Times New Roman" w:hAnsi="Times New Roman"/>
          <w:sz w:val="18"/>
          <w:szCs w:val="18"/>
        </w:rPr>
      </w:pPr>
    </w:p>
    <w:p w14:paraId="55566BF0" w14:textId="77777777" w:rsidR="00F925DD" w:rsidRDefault="00F925DD">
      <w:pPr>
        <w:rPr>
          <w:rFonts w:ascii="Times New Roman" w:hAnsi="Times New Roman"/>
          <w:sz w:val="20"/>
          <w:szCs w:val="20"/>
        </w:rPr>
      </w:pPr>
    </w:p>
    <w:p w14:paraId="55566BF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standardized approach SCB would equal the greater of (i) the maximum decline in our CET1 capital ratio under the severely adverse </w:t>
      </w:r>
      <w:r>
        <w:rPr>
          <w:rFonts w:ascii="Arial" w:eastAsia="宋体" w:hAnsi="Arial" w:cs="Arial"/>
          <w:sz w:val="20"/>
          <w:szCs w:val="20"/>
        </w:rPr>
        <w:t>scenario over the supervisory stress test measurement period, plus the sum of the ratios of the dollar amount of our planned common stock dividends to our projected RWA for each of the fourth through seventh quarters of the supervisory stress test projecti</w:t>
      </w:r>
      <w:r>
        <w:rPr>
          <w:rFonts w:ascii="Arial" w:eastAsia="宋体" w:hAnsi="Arial" w:cs="Arial"/>
          <w:sz w:val="20"/>
          <w:szCs w:val="20"/>
        </w:rPr>
        <w:t>on period; and (ii) 2.5%. Regulatory capital requirements under the standardized approach would include the SCB, as summarized above, as well as our G-SIB capital surcharge and any applicable countercyclical capital buffer.</w:t>
      </w:r>
    </w:p>
    <w:p w14:paraId="55566BF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Like the SCB, the SLB would be c</w:t>
      </w:r>
      <w:r>
        <w:rPr>
          <w:rFonts w:ascii="Arial" w:eastAsia="宋体" w:hAnsi="Arial" w:cs="Arial"/>
          <w:sz w:val="20"/>
          <w:szCs w:val="20"/>
        </w:rPr>
        <w:t>alculated based on the results of our annual supervisory stress tests. The SLB would equal the maximum decline in our tier 1 leverage ratio under the severely adverse scenario, plus the sum of the ratios of the dollar amount of our planned common stock div</w:t>
      </w:r>
      <w:r>
        <w:rPr>
          <w:rFonts w:ascii="Arial" w:eastAsia="宋体" w:hAnsi="Arial" w:cs="Arial"/>
          <w:sz w:val="20"/>
          <w:szCs w:val="20"/>
        </w:rPr>
        <w:t>idends to our projected leverage ratio denominator for each of the fourth through seventh quarters of the supervisory stress test projection period. No floor would be established for the SLB, which would apply in addition to the current minimum tier 1 leve</w:t>
      </w:r>
      <w:r>
        <w:rPr>
          <w:rFonts w:ascii="Arial" w:eastAsia="宋体" w:hAnsi="Arial" w:cs="Arial"/>
          <w:sz w:val="20"/>
          <w:szCs w:val="20"/>
        </w:rPr>
        <w:t xml:space="preserve">rage ratio of 4%. </w:t>
      </w:r>
    </w:p>
    <w:p w14:paraId="55566BF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proposal would make related changes to capital planning and stress testing processes for bank holding companies subject to these requirements. In particular, the proposal would limit projected capital actions to planned common stock </w:t>
      </w:r>
      <w:r>
        <w:rPr>
          <w:rFonts w:ascii="Arial" w:eastAsia="宋体" w:hAnsi="Arial" w:cs="Arial"/>
          <w:sz w:val="20"/>
          <w:szCs w:val="20"/>
        </w:rPr>
        <w:t>dividends in the fourth through seventh quarters of the supervisory stress test projection period and would assume that bank holding companies maintain a constant level of assets and RWA throughout the supervisory stress test projection period.</w:t>
      </w:r>
    </w:p>
    <w:p w14:paraId="55566BF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If the prop</w:t>
      </w:r>
      <w:r>
        <w:rPr>
          <w:rFonts w:ascii="Arial" w:eastAsia="宋体" w:hAnsi="Arial" w:cs="Arial"/>
          <w:sz w:val="20"/>
          <w:szCs w:val="20"/>
        </w:rPr>
        <w:t>osal is adopted, limitations on capital distributions and discretionary bonus payments to executive officers would be determined by the most stringent limitation, if any, as determined under the standardized approach or the tier 1 leverage ratio, inclusive</w:t>
      </w:r>
      <w:r>
        <w:rPr>
          <w:rFonts w:ascii="Arial" w:eastAsia="宋体" w:hAnsi="Arial" w:cs="Arial"/>
          <w:sz w:val="20"/>
          <w:szCs w:val="20"/>
        </w:rPr>
        <w:t xml:space="preserve"> of the proposed stress buffer requirements, or the advanced approaches or SLR or TLAC requirements, inclusive of applicable buffers.</w:t>
      </w:r>
    </w:p>
    <w:p w14:paraId="55566BF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proposed stress buffer requirements are not yet effective. However, we expect the Federal Reserve may finalize certain</w:t>
      </w:r>
      <w:r>
        <w:rPr>
          <w:rFonts w:ascii="Arial" w:eastAsia="宋体" w:hAnsi="Arial" w:cs="Arial"/>
          <w:sz w:val="20"/>
          <w:szCs w:val="20"/>
        </w:rPr>
        <w:t xml:space="preserve"> elements of the proposed requirements and re-propose other elements, which re-proposals will again be subject to public comment.</w:t>
      </w:r>
    </w:p>
    <w:p w14:paraId="55566BF6"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The Volcker Rule</w:t>
      </w:r>
    </w:p>
    <w:p w14:paraId="55566BF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are subject to the Volcker Rule and implementing regulations. The Volcker Rule prohibits banking entities,</w:t>
      </w:r>
      <w:r>
        <w:rPr>
          <w:rFonts w:ascii="Arial" w:eastAsia="宋体" w:hAnsi="Arial" w:cs="Arial"/>
          <w:sz w:val="20"/>
          <w:szCs w:val="20"/>
        </w:rPr>
        <w:t xml:space="preserve"> including us and our affiliates, from engaging in certain prohibited proprietary trading activities, as defined in the Volcker Rule regulations, subject to exemptions for market-making related activities, risk-mitigating hedging, underwriting and certain </w:t>
      </w:r>
      <w:r>
        <w:rPr>
          <w:rFonts w:ascii="Arial" w:eastAsia="宋体" w:hAnsi="Arial" w:cs="Arial"/>
          <w:sz w:val="20"/>
          <w:szCs w:val="20"/>
        </w:rPr>
        <w:t xml:space="preserve">other activities. The Volcker Rule also requires banking entities to either restructure or divest certain ownership interests in, and relationships with, covered </w:t>
      </w:r>
    </w:p>
    <w:p w14:paraId="55566BF8"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BF9"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funds (as such terms are defined in the Volcker Rule regulations).</w:t>
      </w:r>
    </w:p>
    <w:p w14:paraId="55566BF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Volcker Rule </w:t>
      </w:r>
      <w:r>
        <w:rPr>
          <w:rFonts w:ascii="Arial" w:eastAsia="宋体" w:hAnsi="Arial" w:cs="Arial"/>
          <w:sz w:val="20"/>
          <w:szCs w:val="20"/>
        </w:rPr>
        <w:t>regulations require banking entities to establish extensive programs designed to promote compliance with the restrictions of the Volcker Rule. We have established a compliance program which we believe complies with the Volcker Rule regulations as currently</w:t>
      </w:r>
      <w:r>
        <w:rPr>
          <w:rFonts w:ascii="Arial" w:eastAsia="宋体" w:hAnsi="Arial" w:cs="Arial"/>
          <w:sz w:val="20"/>
          <w:szCs w:val="20"/>
        </w:rPr>
        <w:t xml:space="preserve"> in effect. Such compliance program restricts our ability in the future to service certain types of funds, in particular covered funds for which State Street Global Advisors acts as an advisor and certain types of trustee relationships. Consequently, Volck</w:t>
      </w:r>
      <w:r>
        <w:rPr>
          <w:rFonts w:ascii="Arial" w:eastAsia="宋体" w:hAnsi="Arial" w:cs="Arial"/>
          <w:sz w:val="20"/>
          <w:szCs w:val="20"/>
        </w:rPr>
        <w:t>er Rule compliance entails both the cost of a compliance program and loss of certain revenue and future opportunities.</w:t>
      </w:r>
    </w:p>
    <w:p w14:paraId="55566BF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October 2019, the Federal Reserve and the other federal financial regulatory agencies responsible for the Volcker Rule regulations ado</w:t>
      </w:r>
      <w:r>
        <w:rPr>
          <w:rFonts w:ascii="Arial" w:eastAsia="宋体" w:hAnsi="Arial" w:cs="Arial"/>
          <w:sz w:val="20"/>
          <w:szCs w:val="20"/>
        </w:rPr>
        <w:t>pted an interagency final rule that revised certain elements of those regulations. The changes focus on proprietary trading, including the metrics reporting requirements and certain requirements imposed in connection with permitted market making, underwrit</w:t>
      </w:r>
      <w:r>
        <w:rPr>
          <w:rFonts w:ascii="Arial" w:eastAsia="宋体" w:hAnsi="Arial" w:cs="Arial"/>
          <w:sz w:val="20"/>
          <w:szCs w:val="20"/>
        </w:rPr>
        <w:t>ing and risk-mitigating hedging activities, including market-making in and underwriting of covered funds. These revisions became effective on January 1, 2020, with compliance required by January 1, 2021. We do not expect the revisions to have a material im</w:t>
      </w:r>
      <w:r>
        <w:rPr>
          <w:rFonts w:ascii="Arial" w:eastAsia="宋体" w:hAnsi="Arial" w:cs="Arial"/>
          <w:sz w:val="20"/>
          <w:szCs w:val="20"/>
        </w:rPr>
        <w:t xml:space="preserve">pact on us. We understand the agencies responsible for the Volcker Rule regulations intend to issue a separate proposal recommending changes focused on the covered funds provisions which generally prohibit any banking entity from acquiring or retaining an </w:t>
      </w:r>
      <w:r>
        <w:rPr>
          <w:rFonts w:ascii="Arial" w:eastAsia="宋体" w:hAnsi="Arial" w:cs="Arial"/>
          <w:sz w:val="20"/>
          <w:szCs w:val="20"/>
        </w:rPr>
        <w:t>ownership interest in, sponsoring, or having certain relationships with, a hedge fund or private equity fund.</w:t>
      </w:r>
    </w:p>
    <w:p w14:paraId="55566BFC"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Enhanced Prudential Standards </w:t>
      </w:r>
    </w:p>
    <w:p w14:paraId="55566BF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Dodd-Frank Act, as amended by the EGRRCPA, establishes a systemic risk regime to which large bank holding compa</w:t>
      </w:r>
      <w:r>
        <w:rPr>
          <w:rFonts w:ascii="Arial" w:eastAsia="宋体" w:hAnsi="Arial" w:cs="Arial"/>
          <w:sz w:val="20"/>
          <w:szCs w:val="20"/>
        </w:rPr>
        <w:t>nies with $100 billion or more in consolidated assets, such as us, are subject. The Federal Reserve is required to tailor the application of the enhanced prudential standards to bank holding companies based on their size, complexity, risk profile and other</w:t>
      </w:r>
      <w:r>
        <w:rPr>
          <w:rFonts w:ascii="Arial" w:eastAsia="宋体" w:hAnsi="Arial" w:cs="Arial"/>
          <w:sz w:val="20"/>
          <w:szCs w:val="20"/>
        </w:rPr>
        <w:t xml:space="preserve"> factors. U.S. G-SIBs, such as us, are expected to remain subject to the most stringent requirements, including heightened capital, leverage, liquidity and risk management requirements and single-counterparty credit limits (SCCL).</w:t>
      </w:r>
    </w:p>
    <w:p w14:paraId="55566BF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FSOC can recommend pr</w:t>
      </w:r>
      <w:r>
        <w:rPr>
          <w:rFonts w:ascii="Arial" w:eastAsia="宋体" w:hAnsi="Arial" w:cs="Arial"/>
          <w:sz w:val="20"/>
          <w:szCs w:val="20"/>
        </w:rPr>
        <w:t xml:space="preserve">udential standards, reporting and disclosure requirements to the Federal Reserve for SIFIs, and must approve any finding by the Federal Reserve that a financial institution poses a grave threat to financial stability and must undertake mitigating actions. </w:t>
      </w:r>
      <w:r>
        <w:rPr>
          <w:rFonts w:ascii="Arial" w:eastAsia="宋体" w:hAnsi="Arial" w:cs="Arial"/>
          <w:sz w:val="20"/>
          <w:szCs w:val="20"/>
        </w:rPr>
        <w:t xml:space="preserve">The FSOC is also empowered to designate systemically important payment, clearing and settlement activities of financial institutions, subjecting them to prudential supervision and </w:t>
      </w:r>
    </w:p>
    <w:p w14:paraId="55566BFF" w14:textId="77777777" w:rsidR="00F925DD" w:rsidRDefault="00F925DD">
      <w:pPr>
        <w:rPr>
          <w:rFonts w:ascii="Times New Roman" w:hAnsi="Times New Roman"/>
          <w:sz w:val="20"/>
          <w:szCs w:val="20"/>
        </w:rPr>
      </w:pPr>
    </w:p>
    <w:p w14:paraId="55566C00"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11</w:t>
      </w:r>
    </w:p>
    <w:p w14:paraId="55566C01" w14:textId="77777777" w:rsidR="00F925DD" w:rsidRDefault="00F925DD">
      <w:pPr>
        <w:spacing w:line="288" w:lineRule="auto"/>
        <w:ind w:firstLine="600"/>
        <w:jc w:val="center"/>
        <w:rPr>
          <w:rFonts w:ascii="Times New Roman" w:hAnsi="Times New Roman"/>
          <w:sz w:val="18"/>
          <w:szCs w:val="18"/>
        </w:rPr>
      </w:pPr>
    </w:p>
    <w:p w14:paraId="55566C02" w14:textId="77777777" w:rsidR="00F925DD" w:rsidRDefault="00E705D7">
      <w:r>
        <w:rPr>
          <w:rFonts w:ascii="Times New Roman" w:hAnsi="Times New Roman"/>
          <w:sz w:val="18"/>
          <w:szCs w:val="18"/>
        </w:rPr>
        <w:pict w14:anchorId="55570643">
          <v:rect id="_x0000_i1035" style="width:415.3pt;height:1.5pt" o:hralign="center" o:hrstd="t" o:hr="t" fillcolor="#a0a0a0" stroked="f"/>
        </w:pict>
      </w:r>
    </w:p>
    <w:p w14:paraId="55566C03" w14:textId="77777777" w:rsidR="00F925DD" w:rsidRDefault="00F925DD">
      <w:pPr>
        <w:spacing w:line="288" w:lineRule="auto"/>
        <w:ind w:firstLine="600"/>
        <w:rPr>
          <w:rFonts w:ascii="Times New Roman" w:hAnsi="Times New Roman"/>
          <w:sz w:val="18"/>
          <w:szCs w:val="18"/>
        </w:rPr>
      </w:pPr>
    </w:p>
    <w:p w14:paraId="55566C04" w14:textId="77777777" w:rsidR="00F925DD" w:rsidRDefault="00F925DD">
      <w:pPr>
        <w:rPr>
          <w:rFonts w:ascii="Times New Roman" w:hAnsi="Times New Roman"/>
          <w:sz w:val="20"/>
          <w:szCs w:val="20"/>
        </w:rPr>
      </w:pPr>
    </w:p>
    <w:p w14:paraId="55566C05"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regulation, and, assisted by the </w:t>
      </w:r>
      <w:r>
        <w:rPr>
          <w:rFonts w:ascii="Arial" w:eastAsia="宋体" w:hAnsi="Arial" w:cs="Arial"/>
          <w:sz w:val="20"/>
          <w:szCs w:val="20"/>
        </w:rPr>
        <w:t>Office of Financial Research within the U.S. Department of the Treasury can gather data and reports from financial institutions, including us.</w:t>
      </w:r>
    </w:p>
    <w:p w14:paraId="55566C0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Under the Federal Reserve's enhanced prudential standards regulation under the Dodd-Frank Act, as amended by the </w:t>
      </w:r>
      <w:r>
        <w:rPr>
          <w:rFonts w:ascii="Arial" w:eastAsia="宋体" w:hAnsi="Arial" w:cs="Arial"/>
          <w:sz w:val="20"/>
          <w:szCs w:val="20"/>
        </w:rPr>
        <w:t>EGRRCPA, we are required to comply with various liquidity-related risk management standards and maintain a liquidity buffer of unencumbered highly liquid assets based on the results of internal liquidity stress testing. This liquidity buffer is in addition</w:t>
      </w:r>
      <w:r>
        <w:rPr>
          <w:rFonts w:ascii="Arial" w:eastAsia="宋体" w:hAnsi="Arial" w:cs="Arial"/>
          <w:sz w:val="20"/>
          <w:szCs w:val="20"/>
        </w:rPr>
        <w:t xml:space="preserve"> to other liquidity requirements, such as the LCR and, when implemented, the NSFR. The regulations also establish requirements and responsibilities for our risk committee and mandate risk management standards. </w:t>
      </w:r>
    </w:p>
    <w:p w14:paraId="55566C0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On June 14, 2018, the Federal Reserve finaliz</w:t>
      </w:r>
      <w:r>
        <w:rPr>
          <w:rFonts w:ascii="Arial" w:eastAsia="宋体" w:hAnsi="Arial" w:cs="Arial"/>
          <w:sz w:val="20"/>
          <w:szCs w:val="20"/>
        </w:rPr>
        <w:t xml:space="preserve">ed rules that established SCCL for large banking organizations. U.S. G-SIBs, including us, are subject to a limit of 15% of tier 1 capital for aggregate net credit exposures to any “major counterparty” (defined to include other U.S. G-SIBs, foreign G-SIBs </w:t>
      </w:r>
      <w:r>
        <w:rPr>
          <w:rFonts w:ascii="Arial" w:eastAsia="宋体" w:hAnsi="Arial" w:cs="Arial"/>
          <w:sz w:val="20"/>
          <w:szCs w:val="20"/>
        </w:rPr>
        <w:t>and non-bank systemically important financial institutions supervised by the Federal Reserve). In addition, we are subject to a limit of 25% of tier 1 capital for aggregate net credit exposures to any other unaffiliated counterparty. The final SCCL rules b</w:t>
      </w:r>
      <w:r>
        <w:rPr>
          <w:rFonts w:ascii="Arial" w:eastAsia="宋体" w:hAnsi="Arial" w:cs="Arial"/>
          <w:sz w:val="20"/>
          <w:szCs w:val="20"/>
        </w:rPr>
        <w:t>ecame effective for us on January 1, 2020.</w:t>
      </w:r>
    </w:p>
    <w:p w14:paraId="55566C0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Federal Reserve has established a rule that imposes contractual requirements on certain “qualified financial contracts” to which U.S. G-SIBs, including us, and their subsidiaries are parties. Under the rule, c</w:t>
      </w:r>
      <w:r>
        <w:rPr>
          <w:rFonts w:ascii="Arial" w:eastAsia="宋体" w:hAnsi="Arial" w:cs="Arial"/>
          <w:sz w:val="20"/>
          <w:szCs w:val="20"/>
        </w:rPr>
        <w:t>ertain qualified financial contracts generally must expressly provide that transfer restrictions and default rights against a U.S. G-SIB, or subsidiary of a U.S. G-SIB, are limited to the same extent as they would be under the Federal Deposit Insurance Act</w:t>
      </w:r>
      <w:r>
        <w:rPr>
          <w:rFonts w:ascii="Arial" w:eastAsia="宋体" w:hAnsi="Arial" w:cs="Arial"/>
          <w:sz w:val="20"/>
          <w:szCs w:val="20"/>
        </w:rPr>
        <w:t xml:space="preserve"> and Title II of the Dodd-Frank Act and their implementing regulations. In addition, certain qualified financial contracts may not, among other things, permit the exercise of any cross-default right against a U.S. G-SIB or subsidiary of a U.S. G-SIB based </w:t>
      </w:r>
      <w:r>
        <w:rPr>
          <w:rFonts w:ascii="Arial" w:eastAsia="宋体" w:hAnsi="Arial" w:cs="Arial"/>
          <w:sz w:val="20"/>
          <w:szCs w:val="20"/>
        </w:rPr>
        <w:t>on an affiliate’s entry into insolvency, resolution or similar proceedings, subject to certain creditor protections. There is a phased-in compliance schedule based on counterparty type, and the first compliance date was January 1, 2019.</w:t>
      </w:r>
    </w:p>
    <w:p w14:paraId="55566C0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systemic-risk r</w:t>
      </w:r>
      <w:r>
        <w:rPr>
          <w:rFonts w:ascii="Arial" w:eastAsia="宋体" w:hAnsi="Arial" w:cs="Arial"/>
          <w:sz w:val="20"/>
          <w:szCs w:val="20"/>
        </w:rPr>
        <w:t>egime also provides that for U.S. G-SIBs deemed to pose a grave threat to U.S. financial stability, the Federal Reserve, upon an FSOC vote, must limit that institution’s ability to merge, restrict its ability to offer financial products, require it to term</w:t>
      </w:r>
      <w:r>
        <w:rPr>
          <w:rFonts w:ascii="Arial" w:eastAsia="宋体" w:hAnsi="Arial" w:cs="Arial"/>
          <w:sz w:val="20"/>
          <w:szCs w:val="20"/>
        </w:rPr>
        <w:t>inate activities, impose conditions on activities or, as a last resort, require it to dispose of assets. Upon a grave threat determination by the FSOC, the Federal Reserve must issue rules that require financial institutions subject to the systemic-risk re</w:t>
      </w:r>
      <w:r>
        <w:rPr>
          <w:rFonts w:ascii="Arial" w:eastAsia="宋体" w:hAnsi="Arial" w:cs="Arial"/>
          <w:sz w:val="20"/>
          <w:szCs w:val="20"/>
        </w:rPr>
        <w:t xml:space="preserve">gime to maintain a debt-to-equity ratio of no more than 15 to 1 if the FSOC considers it necessary to mitigate the risk </w:t>
      </w:r>
    </w:p>
    <w:p w14:paraId="55566C0A"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C0B"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of the grave threat. The Federal Reserve also has the ability to establish further standards, including those regarding contingent ca</w:t>
      </w:r>
      <w:r>
        <w:rPr>
          <w:rFonts w:ascii="Arial" w:eastAsia="宋体" w:hAnsi="Arial" w:cs="Arial"/>
          <w:sz w:val="20"/>
          <w:szCs w:val="20"/>
        </w:rPr>
        <w:t>pital, enhanced public disclosures and limits on short-term debt, including off-balance sheet exposures.</w:t>
      </w:r>
    </w:p>
    <w:p w14:paraId="55566C0C"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Recovery and Resolution Planning</w:t>
      </w:r>
    </w:p>
    <w:p w14:paraId="55566C0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are required to periodically submit a plan for rapid and orderly resolution in the event of material financial dist</w:t>
      </w:r>
      <w:r>
        <w:rPr>
          <w:rFonts w:ascii="Arial" w:eastAsia="宋体" w:hAnsi="Arial" w:cs="Arial"/>
          <w:sz w:val="20"/>
          <w:szCs w:val="20"/>
        </w:rPr>
        <w:t>ress or failure, commonly referred to as a resolution plan or a living will, to the Federal Reserve and the FDIC under Section 165(d) of the Dodd-Frank Act. Through resolution planning, we seek, in the event of our insolvency, to maintain State Street Bank</w:t>
      </w:r>
      <w:r>
        <w:rPr>
          <w:rFonts w:ascii="Arial" w:eastAsia="宋体" w:hAnsi="Arial" w:cs="Arial"/>
          <w:sz w:val="20"/>
          <w:szCs w:val="20"/>
        </w:rPr>
        <w:t>’s role as a key infrastructure provider within the financial system, while minimizing risk to the financial system and maximizing value for the benefit of our stakeholders. We have and will continue to focus management attention and resources to meet regu</w:t>
      </w:r>
      <w:r>
        <w:rPr>
          <w:rFonts w:ascii="Arial" w:eastAsia="宋体" w:hAnsi="Arial" w:cs="Arial"/>
          <w:sz w:val="20"/>
          <w:szCs w:val="20"/>
        </w:rPr>
        <w:t xml:space="preserve">latory expectations with respect to resolution planning. </w:t>
      </w:r>
    </w:p>
    <w:p w14:paraId="55566C0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submitted our updated 2019 165(d) resolution plan describing our preferred resolution strategy to the Federal Reserve and FDIC (the Agencies) before July 1, 2019, and our resolution strategy is m</w:t>
      </w:r>
      <w:r>
        <w:rPr>
          <w:rFonts w:ascii="Arial" w:eastAsia="宋体" w:hAnsi="Arial" w:cs="Arial"/>
          <w:sz w:val="20"/>
          <w:szCs w:val="20"/>
        </w:rPr>
        <w:t>aterially consistent with our prior resolution strategy. The submitted 2019 resolution plan was reviewed by the Agencies, which did not identify any deficiencies in the plan, but did identify one shortcoming related to the implementation of governance mech</w:t>
      </w:r>
      <w:r>
        <w:rPr>
          <w:rFonts w:ascii="Arial" w:eastAsia="宋体" w:hAnsi="Arial" w:cs="Arial"/>
          <w:sz w:val="20"/>
          <w:szCs w:val="20"/>
        </w:rPr>
        <w:t>anisms. The Agencies have requested we submit our remediation project plan to address this feedback by March 31, 2020. Our next resolution plan is due July 1, 2021.</w:t>
      </w:r>
    </w:p>
    <w:p w14:paraId="55566C0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event of material financial distress or failure, our preferred resolution strategy i</w:t>
      </w:r>
      <w:r>
        <w:rPr>
          <w:rFonts w:ascii="Arial" w:eastAsia="宋体" w:hAnsi="Arial" w:cs="Arial"/>
          <w:sz w:val="20"/>
          <w:szCs w:val="20"/>
        </w:rPr>
        <w:t>s the SPOE Strategy. The SPOE Strategy provides that prior to the bankruptcy of the Parent Company and pursuant to a support agreement among the Parent Company, SSIF (a direct subsidiary of the Parent Company), our Beneficiary Entities (as defined below) a</w:t>
      </w:r>
      <w:r>
        <w:rPr>
          <w:rFonts w:ascii="Arial" w:eastAsia="宋体" w:hAnsi="Arial" w:cs="Arial"/>
          <w:sz w:val="20"/>
          <w:szCs w:val="20"/>
        </w:rPr>
        <w:t>nd certain of our other entities, SSIF is obligated, up to its available resources, to recapitalize and/or provide liquidity to State Street Bank and the other entities benefiting from such capital and/or liquidity support (collectively with State Street B</w:t>
      </w:r>
      <w:r>
        <w:rPr>
          <w:rFonts w:ascii="Arial" w:eastAsia="宋体" w:hAnsi="Arial" w:cs="Arial"/>
          <w:sz w:val="20"/>
          <w:szCs w:val="20"/>
        </w:rPr>
        <w:t>ank, “Beneficiary Entities”), in amounts designed to prevent the Beneficiary Entities from themselves entering into resolution proceedings. Following the recapitalization of, or provision of liquidity to the Beneficiary Entities, the Parent Company would e</w:t>
      </w:r>
      <w:r>
        <w:rPr>
          <w:rFonts w:ascii="Arial" w:eastAsia="宋体" w:hAnsi="Arial" w:cs="Arial"/>
          <w:sz w:val="20"/>
          <w:szCs w:val="20"/>
        </w:rPr>
        <w:t>nter into a bankruptcy proceeding under the U.S. Bankruptcy Code. The Beneficiary Entities and our other subsidiaries would be transferred to a newly organized holding company held by a reorganization trust for the benefit of the Parent Company’s claimants</w:t>
      </w:r>
      <w:r>
        <w:rPr>
          <w:rFonts w:ascii="Arial" w:eastAsia="宋体" w:hAnsi="Arial" w:cs="Arial"/>
          <w:sz w:val="20"/>
          <w:szCs w:val="20"/>
        </w:rPr>
        <w:t xml:space="preserve">. </w:t>
      </w:r>
    </w:p>
    <w:p w14:paraId="55566C1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Under the support agreement, the Parent Company pre-funded SSIF by contributing certain of its assets (primarily its liquid assets, cash deposits, investments in intercompany debt, investments in </w:t>
      </w:r>
    </w:p>
    <w:p w14:paraId="55566C11" w14:textId="77777777" w:rsidR="00F925DD" w:rsidRDefault="00F925DD">
      <w:pPr>
        <w:rPr>
          <w:rFonts w:ascii="Times New Roman" w:hAnsi="Times New Roman"/>
          <w:sz w:val="20"/>
          <w:szCs w:val="20"/>
        </w:rPr>
      </w:pPr>
    </w:p>
    <w:p w14:paraId="55566C1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w:t>
      </w:r>
    </w:p>
    <w:p w14:paraId="55566C13" w14:textId="77777777" w:rsidR="00F925DD" w:rsidRDefault="00F925DD">
      <w:pPr>
        <w:spacing w:line="288" w:lineRule="auto"/>
        <w:ind w:firstLine="600"/>
        <w:jc w:val="center"/>
        <w:rPr>
          <w:rFonts w:ascii="Times New Roman" w:hAnsi="Times New Roman"/>
          <w:sz w:val="18"/>
          <w:szCs w:val="18"/>
        </w:rPr>
      </w:pPr>
    </w:p>
    <w:p w14:paraId="55566C14" w14:textId="77777777" w:rsidR="00F925DD" w:rsidRDefault="00E705D7">
      <w:r>
        <w:rPr>
          <w:rFonts w:ascii="Times New Roman" w:hAnsi="Times New Roman"/>
          <w:sz w:val="18"/>
          <w:szCs w:val="18"/>
        </w:rPr>
        <w:pict w14:anchorId="55570644">
          <v:rect id="_x0000_i1036" style="width:415.3pt;height:1.5pt" o:hralign="center" o:hrstd="t" o:hr="t" fillcolor="#a0a0a0" stroked="f"/>
        </w:pict>
      </w:r>
    </w:p>
    <w:p w14:paraId="55566C15" w14:textId="77777777" w:rsidR="00F925DD" w:rsidRDefault="00F925DD">
      <w:pPr>
        <w:spacing w:line="288" w:lineRule="auto"/>
        <w:ind w:firstLine="600"/>
        <w:rPr>
          <w:rFonts w:ascii="Times New Roman" w:hAnsi="Times New Roman"/>
          <w:sz w:val="18"/>
          <w:szCs w:val="18"/>
        </w:rPr>
      </w:pPr>
    </w:p>
    <w:p w14:paraId="55566C16" w14:textId="77777777" w:rsidR="00F925DD" w:rsidRDefault="00F925DD">
      <w:pPr>
        <w:rPr>
          <w:rFonts w:ascii="Times New Roman" w:hAnsi="Times New Roman"/>
          <w:sz w:val="20"/>
          <w:szCs w:val="20"/>
        </w:rPr>
      </w:pPr>
    </w:p>
    <w:p w14:paraId="55566C1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marketable </w:t>
      </w:r>
      <w:r>
        <w:rPr>
          <w:rFonts w:ascii="Arial" w:eastAsia="宋体" w:hAnsi="Arial" w:cs="Arial"/>
          <w:sz w:val="20"/>
          <w:szCs w:val="20"/>
        </w:rPr>
        <w:t>securities and other cash and non-cash equivalent investments) to SSIF at the time it entered into the support agreement and will continue to contribute such assets, to the extent available, on an ongoing basis. In consideration for these contributions, SS</w:t>
      </w:r>
      <w:r>
        <w:rPr>
          <w:rFonts w:ascii="Arial" w:eastAsia="宋体" w:hAnsi="Arial" w:cs="Arial"/>
          <w:sz w:val="20"/>
          <w:szCs w:val="20"/>
        </w:rPr>
        <w:t>IF has agreed in the support agreement to provide capital and liquidity support to the Parent Company and all of the Beneficiary Entities in accordance with the Parent Company’s capital and liquidity policies. Under the support agreement, the Parent Compan</w:t>
      </w:r>
      <w:r>
        <w:rPr>
          <w:rFonts w:ascii="Arial" w:eastAsia="宋体" w:hAnsi="Arial" w:cs="Arial"/>
          <w:sz w:val="20"/>
          <w:szCs w:val="20"/>
        </w:rPr>
        <w:t>y is only permitted to retain cash needed to meet its upcoming obligations and to fund expected expenses during a potential bankruptcy proceeding. SSIF has provided the Parent Company with a committed credit line and issued (and may issue) one or more prom</w:t>
      </w:r>
      <w:r>
        <w:rPr>
          <w:rFonts w:ascii="Arial" w:eastAsia="宋体" w:hAnsi="Arial" w:cs="Arial"/>
          <w:sz w:val="20"/>
          <w:szCs w:val="20"/>
        </w:rPr>
        <w:t>issory notes to the Parent Company (the "Parent Company Funding Notes") that together are intended to allow the Parent Company to continue to meet its obligations throughout the period prior to the occurrence of a "Recapitalization Event" (as defined below</w:t>
      </w:r>
      <w:r>
        <w:rPr>
          <w:rFonts w:ascii="Arial" w:eastAsia="宋体" w:hAnsi="Arial" w:cs="Arial"/>
          <w:sz w:val="20"/>
          <w:szCs w:val="20"/>
        </w:rPr>
        <w:t>). The support agreement does not obligate SSIF to maintain any specific level of resources and SSIF may not have sufficient resources to implement the SPOE Strategy.</w:t>
      </w:r>
    </w:p>
    <w:p w14:paraId="55566C1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event a Recapitalization Event occurs, the obligations outstanding under the Paren</w:t>
      </w:r>
      <w:r>
        <w:rPr>
          <w:rFonts w:ascii="Arial" w:eastAsia="宋体" w:hAnsi="Arial" w:cs="Arial"/>
          <w:sz w:val="20"/>
          <w:szCs w:val="20"/>
        </w:rPr>
        <w:t>t Company Funding Notes would automatically convert into or be exchanged for capital contributed to SSIF. The obligations of the Parent Company and SSIF under the support agreement are secured through a security agreement that grants a lien on the assets t</w:t>
      </w:r>
      <w:r>
        <w:rPr>
          <w:rFonts w:ascii="Arial" w:eastAsia="宋体" w:hAnsi="Arial" w:cs="Arial"/>
          <w:sz w:val="20"/>
          <w:szCs w:val="20"/>
        </w:rPr>
        <w:t xml:space="preserve">hat the Parent Company and SSIF would use to fulfill their obligations under the support agreement to the Beneficiary Entities. SSIF is a distinct legal entity separate from the Parent Company and the Parent Company’s other affiliates. </w:t>
      </w:r>
    </w:p>
    <w:p w14:paraId="55566C1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accordance with </w:t>
      </w:r>
      <w:r>
        <w:rPr>
          <w:rFonts w:ascii="Arial" w:eastAsia="宋体" w:hAnsi="Arial" w:cs="Arial"/>
          <w:sz w:val="20"/>
          <w:szCs w:val="20"/>
        </w:rPr>
        <w:t xml:space="preserve">our policies, we are required to monitor, on an ongoing basis, the capital and liquidity needs of State Street Bank and our other Beneficiary Entities. To support this process, we have established a trigger framework that identifies key actions that would </w:t>
      </w:r>
      <w:r>
        <w:rPr>
          <w:rFonts w:ascii="Arial" w:eastAsia="宋体" w:hAnsi="Arial" w:cs="Arial"/>
          <w:sz w:val="20"/>
          <w:szCs w:val="20"/>
        </w:rPr>
        <w:t>need to be taken or decisions that would need to be made if certain events tied to our financial condition occur. In the event that we experience material financial distress, the support agreement requires us to model and calculate certain capital and liqu</w:t>
      </w:r>
      <w:r>
        <w:rPr>
          <w:rFonts w:ascii="Arial" w:eastAsia="宋体" w:hAnsi="Arial" w:cs="Arial"/>
          <w:sz w:val="20"/>
          <w:szCs w:val="20"/>
        </w:rPr>
        <w:t xml:space="preserve">idity triggers on a regular basis to determine whether or not the Parent Company should commence preparations for a bankruptcy filing and whether or not a Recapitalization Event has occurred. </w:t>
      </w:r>
    </w:p>
    <w:p w14:paraId="55566C1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Upon the occurrence of a Recapitalization Event: (1) SSIF would</w:t>
      </w:r>
      <w:r>
        <w:rPr>
          <w:rFonts w:ascii="Arial" w:eastAsia="宋体" w:hAnsi="Arial" w:cs="Arial"/>
          <w:sz w:val="20"/>
          <w:szCs w:val="20"/>
        </w:rPr>
        <w:t xml:space="preserve"> not be authorized to provide any further liquidity to the Parent Company; (2) the Parent Company would be required to contribute to SSIF any remaining assets it is required to contribute to SSIF under the support agreement (which specifically exclude amou</w:t>
      </w:r>
      <w:r>
        <w:rPr>
          <w:rFonts w:ascii="Arial" w:eastAsia="宋体" w:hAnsi="Arial" w:cs="Arial"/>
          <w:sz w:val="20"/>
          <w:szCs w:val="20"/>
        </w:rPr>
        <w:t xml:space="preserve">nts designated to fund expected expenses during a potential bankruptcy proceeding); (3) SSIF would be required to provide capital and </w:t>
      </w:r>
    </w:p>
    <w:p w14:paraId="55566C1B"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C1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liquidity support to the Beneficiary Entities to support such entities’ continued operation to the extent of its </w:t>
      </w:r>
      <w:r>
        <w:rPr>
          <w:rFonts w:ascii="Arial" w:eastAsia="宋体" w:hAnsi="Arial" w:cs="Arial"/>
          <w:sz w:val="20"/>
          <w:szCs w:val="20"/>
        </w:rPr>
        <w:t xml:space="preserve">available resources and consistent with the support agreement; and (4) the Parent Company would be expected to commence Chapter 11 proceedings under the U.S. Bankruptcy Code. No person or entity, other than a party to the support agreement, should rely on </w:t>
      </w:r>
      <w:r>
        <w:rPr>
          <w:rFonts w:ascii="Arial" w:eastAsia="宋体" w:hAnsi="Arial" w:cs="Arial"/>
          <w:sz w:val="20"/>
          <w:szCs w:val="20"/>
        </w:rPr>
        <w:t>any of our affiliates being or remaining a Beneficiary Entity or receiving capital or liquidity support pursuant to the support agreement, including in evaluating any of our entities from a creditor's perspective or determining whether to enter into a cont</w:t>
      </w:r>
      <w:r>
        <w:rPr>
          <w:rFonts w:ascii="Arial" w:eastAsia="宋体" w:hAnsi="Arial" w:cs="Arial"/>
          <w:sz w:val="20"/>
          <w:szCs w:val="20"/>
        </w:rPr>
        <w:t>ractual relationship with any of our entities.</w:t>
      </w:r>
    </w:p>
    <w:p w14:paraId="55566C1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 “Recapitalization Event” is defined under the support agreement as the earlier occurrence of: (1) one or more capital and liquidity thresholds being breached or (2) the authorization by the Parent Company's </w:t>
      </w:r>
      <w:r>
        <w:rPr>
          <w:rFonts w:ascii="Arial" w:eastAsia="宋体" w:hAnsi="Arial" w:cs="Arial"/>
          <w:sz w:val="20"/>
          <w:szCs w:val="20"/>
        </w:rPr>
        <w:t>Board of Directors for the Parent Company to commence bankruptcy proceedings. The thresholds are set at levels intended to provide for the availability of sufficient capital and liquidity to enable an orderly resolution without extraordinary government sup</w:t>
      </w:r>
      <w:r>
        <w:rPr>
          <w:rFonts w:ascii="Arial" w:eastAsia="宋体" w:hAnsi="Arial" w:cs="Arial"/>
          <w:sz w:val="20"/>
          <w:szCs w:val="20"/>
        </w:rPr>
        <w:t>port. The SPOE Strategy and the obligations under the support agreement may result in the recapitalization of State Street Bank and the commencement of bankruptcy proceedings by the Parent Company at an earlier stage of financial stress than might otherwis</w:t>
      </w:r>
      <w:r>
        <w:rPr>
          <w:rFonts w:ascii="Arial" w:eastAsia="宋体" w:hAnsi="Arial" w:cs="Arial"/>
          <w:sz w:val="20"/>
          <w:szCs w:val="20"/>
        </w:rPr>
        <w:t>e occur without such mechanisms in place. An expected effect of the SPOE Strategy and applicable TLAC regulatory requirements is that our losses will be imposed on the Parent Company shareholders and the holders of long-term debt and other forms of TLAC se</w:t>
      </w:r>
      <w:r>
        <w:rPr>
          <w:rFonts w:ascii="Arial" w:eastAsia="宋体" w:hAnsi="Arial" w:cs="Arial"/>
          <w:sz w:val="20"/>
          <w:szCs w:val="20"/>
        </w:rPr>
        <w:t>curities currently outstanding or issued in the future by the Parent Company, as well as on any other Parent Company creditors, before any of our losses are imposed on the holders of the debt securities of the Parent Company's operating subsidiaries or any</w:t>
      </w:r>
      <w:r>
        <w:rPr>
          <w:rFonts w:ascii="Arial" w:eastAsia="宋体" w:hAnsi="Arial" w:cs="Arial"/>
          <w:sz w:val="20"/>
          <w:szCs w:val="20"/>
        </w:rPr>
        <w:t xml:space="preserve"> of their depositors or creditors, or before U.S. taxpayers are put at risk.</w:t>
      </w:r>
    </w:p>
    <w:p w14:paraId="55566C1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There can be no assurance that credit rating agencies will not downgrade, place on negative watch or change their outlook on our debt credit ratings in response to our resolution </w:t>
      </w:r>
      <w:r>
        <w:rPr>
          <w:rFonts w:ascii="Arial" w:eastAsia="宋体" w:hAnsi="Arial" w:cs="Arial"/>
          <w:sz w:val="20"/>
          <w:szCs w:val="20"/>
        </w:rPr>
        <w:t>plan or the support agreement, either generally or with respect to specific debt securities. Any such downgrade, placement on negative watch or change in outlook could adversely affect our cost of borrowing, limit our access to the capital markets or resul</w:t>
      </w:r>
      <w:r>
        <w:rPr>
          <w:rFonts w:ascii="Arial" w:eastAsia="宋体" w:hAnsi="Arial" w:cs="Arial"/>
          <w:sz w:val="20"/>
          <w:szCs w:val="20"/>
        </w:rPr>
        <w:t>t in restrictive covenants in future debt agreements and could also adversely impact the trading prices, or the liquidity, of our outstanding debt securities.</w:t>
      </w:r>
    </w:p>
    <w:p w14:paraId="55566C1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State Street Bank is also required to submit periodically to the FDIC a plan for resolution in th</w:t>
      </w:r>
      <w:r>
        <w:rPr>
          <w:rFonts w:ascii="Arial" w:eastAsia="宋体" w:hAnsi="Arial" w:cs="Arial"/>
          <w:sz w:val="20"/>
          <w:szCs w:val="20"/>
        </w:rPr>
        <w:t>e event of its failure, referred to as an insured depository institution (IDI) plan. In April 2019, the FDIC issued an advance notice of proposed rulemaking in which it invited comment on potential revisions to its IDI plan requirements. Until the FDIC’s r</w:t>
      </w:r>
      <w:r>
        <w:rPr>
          <w:rFonts w:ascii="Arial" w:eastAsia="宋体" w:hAnsi="Arial" w:cs="Arial"/>
          <w:sz w:val="20"/>
          <w:szCs w:val="20"/>
        </w:rPr>
        <w:t xml:space="preserve">evisions to its IDI plan </w:t>
      </w:r>
    </w:p>
    <w:p w14:paraId="55566C20" w14:textId="77777777" w:rsidR="00F925DD" w:rsidRDefault="00F925DD">
      <w:pPr>
        <w:rPr>
          <w:rFonts w:ascii="Times New Roman" w:hAnsi="Times New Roman"/>
          <w:sz w:val="20"/>
          <w:szCs w:val="20"/>
        </w:rPr>
      </w:pPr>
    </w:p>
    <w:p w14:paraId="55566C21"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13</w:t>
      </w:r>
    </w:p>
    <w:p w14:paraId="55566C22" w14:textId="77777777" w:rsidR="00F925DD" w:rsidRDefault="00F925DD">
      <w:pPr>
        <w:spacing w:line="288" w:lineRule="auto"/>
        <w:ind w:firstLine="600"/>
        <w:jc w:val="center"/>
        <w:rPr>
          <w:rFonts w:ascii="Times New Roman" w:hAnsi="Times New Roman"/>
          <w:sz w:val="18"/>
          <w:szCs w:val="18"/>
        </w:rPr>
      </w:pPr>
    </w:p>
    <w:p w14:paraId="55566C23" w14:textId="77777777" w:rsidR="00F925DD" w:rsidRDefault="00E705D7">
      <w:r>
        <w:rPr>
          <w:rFonts w:ascii="Times New Roman" w:hAnsi="Times New Roman"/>
          <w:sz w:val="18"/>
          <w:szCs w:val="18"/>
        </w:rPr>
        <w:pict w14:anchorId="55570645">
          <v:rect id="_x0000_i1037" style="width:415.3pt;height:1.5pt" o:hralign="center" o:hrstd="t" o:hr="t" fillcolor="#a0a0a0" stroked="f"/>
        </w:pict>
      </w:r>
    </w:p>
    <w:p w14:paraId="55566C24" w14:textId="77777777" w:rsidR="00F925DD" w:rsidRDefault="00F925DD">
      <w:pPr>
        <w:spacing w:line="288" w:lineRule="auto"/>
        <w:ind w:firstLine="600"/>
        <w:rPr>
          <w:rFonts w:ascii="Times New Roman" w:hAnsi="Times New Roman"/>
          <w:sz w:val="18"/>
          <w:szCs w:val="18"/>
        </w:rPr>
      </w:pPr>
    </w:p>
    <w:p w14:paraId="55566C25" w14:textId="77777777" w:rsidR="00F925DD" w:rsidRDefault="00F925DD">
      <w:pPr>
        <w:rPr>
          <w:rFonts w:ascii="Times New Roman" w:hAnsi="Times New Roman"/>
          <w:sz w:val="20"/>
          <w:szCs w:val="20"/>
        </w:rPr>
      </w:pPr>
    </w:p>
    <w:p w14:paraId="55566C26"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requirements are finalized, no IDI plans will be required to be filed.</w:t>
      </w:r>
    </w:p>
    <w:p w14:paraId="55566C2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Additionally, we are required to submit a recovery plan for State Street to the Federal Reserve. This plan includes detaile</w:t>
      </w:r>
      <w:r>
        <w:rPr>
          <w:rFonts w:ascii="Arial" w:eastAsia="宋体" w:hAnsi="Arial" w:cs="Arial"/>
          <w:sz w:val="20"/>
          <w:szCs w:val="20"/>
        </w:rPr>
        <w:t xml:space="preserve">d governance triggers and contingency actions that can be implemented in a timely manner in the event of extreme financial distress in those entities. </w:t>
      </w:r>
    </w:p>
    <w:p w14:paraId="55566C28"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Orderly Liquidation Authority</w:t>
      </w:r>
    </w:p>
    <w:p w14:paraId="55566C2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Under the Dodd-Frank Act, certain financial companies, including bank hold</w:t>
      </w:r>
      <w:r>
        <w:rPr>
          <w:rFonts w:ascii="Arial" w:eastAsia="宋体" w:hAnsi="Arial" w:cs="Arial"/>
          <w:sz w:val="20"/>
          <w:szCs w:val="20"/>
        </w:rPr>
        <w:t>ing companies such as us, and certain covered subsidiaries, can be subjected to the orderly liquidation authority. For the FDIC to be appointed as our receiver, two-thirds of the FDIC Board and two-thirds of the Federal Reserve Board must recommend appoint</w:t>
      </w:r>
      <w:r>
        <w:rPr>
          <w:rFonts w:ascii="Arial" w:eastAsia="宋体" w:hAnsi="Arial" w:cs="Arial"/>
          <w:sz w:val="20"/>
          <w:szCs w:val="20"/>
        </w:rPr>
        <w:t>ment, and the U.S. Treasury Secretary, in consultation with the U.S. President, must then make certain extraordinary financial distress and systemic risk determinations. Absent such actions, we, as a bank holding company, would remain subject to the U.S. B</w:t>
      </w:r>
      <w:r>
        <w:rPr>
          <w:rFonts w:ascii="Arial" w:eastAsia="宋体" w:hAnsi="Arial" w:cs="Arial"/>
          <w:sz w:val="20"/>
          <w:szCs w:val="20"/>
        </w:rPr>
        <w:t>ankruptcy Code.</w:t>
      </w:r>
    </w:p>
    <w:p w14:paraId="55566C2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orderly liquidation authority went into effect in 2010, and rulemaking is proceeding incrementally, with some regulations now finalized and others planned but not yet proposed. If we were subject to the orderly liquidation authority, th</w:t>
      </w:r>
      <w:r>
        <w:rPr>
          <w:rFonts w:ascii="Arial" w:eastAsia="宋体" w:hAnsi="Arial" w:cs="Arial"/>
          <w:sz w:val="20"/>
          <w:szCs w:val="20"/>
        </w:rPr>
        <w:t>e FDIC would be appointed as the receiver of State Street Bank, which would give the FDIC considerable powers to resolve us, including: (1) the power to remove officers and directors responsible for our failure and to appoint new directors and officers; (2</w:t>
      </w:r>
      <w:r>
        <w:rPr>
          <w:rFonts w:ascii="Arial" w:eastAsia="宋体" w:hAnsi="Arial" w:cs="Arial"/>
          <w:sz w:val="20"/>
          <w:szCs w:val="20"/>
        </w:rPr>
        <w:t>) the power to assign assets and liabilities to a third party or bridge financial company without the need for creditor consent or prior court review; (3) the ability to differentiate among creditors, including by treating junior creditors better than seni</w:t>
      </w:r>
      <w:r>
        <w:rPr>
          <w:rFonts w:ascii="Arial" w:eastAsia="宋体" w:hAnsi="Arial" w:cs="Arial"/>
          <w:sz w:val="20"/>
          <w:szCs w:val="20"/>
        </w:rPr>
        <w:t>or creditors, subject to a minimum recovery right to receive at least what they would have received in bankruptcy liquidation; and (4) broad powers to administer the claims process to determine distributions from the assets of the receivership to creditors</w:t>
      </w:r>
      <w:r>
        <w:rPr>
          <w:rFonts w:ascii="Arial" w:eastAsia="宋体" w:hAnsi="Arial" w:cs="Arial"/>
          <w:sz w:val="20"/>
          <w:szCs w:val="20"/>
        </w:rPr>
        <w:t xml:space="preserve"> not transferred to a third party or bridge financial institution.</w:t>
      </w:r>
    </w:p>
    <w:p w14:paraId="55566C2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2013, the FDIC released its proposed SPOE strategy for resolution of a SIFI under the orderly liquidation authority. The FDIC’s release outlines how it would use its powers under the ord</w:t>
      </w:r>
      <w:r>
        <w:rPr>
          <w:rFonts w:ascii="Arial" w:eastAsia="宋体" w:hAnsi="Arial" w:cs="Arial"/>
          <w:sz w:val="20"/>
          <w:szCs w:val="20"/>
        </w:rPr>
        <w:t>erly liquidation authority to resolve a SIFI by placing its top-tier U.S. holding company in receivership and keeping its operating subsidiaries open and out of insolvency proceedings by transferring the operating subsidiaries to a new bridge holding compa</w:t>
      </w:r>
      <w:r>
        <w:rPr>
          <w:rFonts w:ascii="Arial" w:eastAsia="宋体" w:hAnsi="Arial" w:cs="Arial"/>
          <w:sz w:val="20"/>
          <w:szCs w:val="20"/>
        </w:rPr>
        <w:t>ny, recapitalizing the operating subsidiaries and imposing losses on the shareholders and creditors of the holding company in receivership according to their statutory order of priority.</w:t>
      </w:r>
    </w:p>
    <w:p w14:paraId="55566C2C"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Derivatives</w:t>
      </w:r>
    </w:p>
    <w:p w14:paraId="55566C2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Title VII of the Dodd-Frank Act imposed a comprehensive r</w:t>
      </w:r>
      <w:r>
        <w:rPr>
          <w:rFonts w:ascii="Arial" w:eastAsia="宋体" w:hAnsi="Arial" w:cs="Arial"/>
          <w:sz w:val="20"/>
          <w:szCs w:val="20"/>
        </w:rPr>
        <w:t>egulatory structure on the OTC derivatives market, including requirements for clearing, exchange trading, capital, margin, reporting and record-</w:t>
      </w:r>
    </w:p>
    <w:p w14:paraId="55566C2E"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C2F"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keeping. Title VII also requires certain persons to register as a major swap participant, a swap dealer or a </w:t>
      </w:r>
      <w:r>
        <w:rPr>
          <w:rFonts w:ascii="Arial" w:eastAsia="宋体" w:hAnsi="Arial" w:cs="Arial"/>
          <w:sz w:val="20"/>
          <w:szCs w:val="20"/>
        </w:rPr>
        <w:t>securities-based swap dealer. The CFTC, the SEC, and other U.S. regulators have largely implemented key provisions of Title VII, although certain final regulations have only been in place a short period of time and others have not been finalized. Through t</w:t>
      </w:r>
      <w:r>
        <w:rPr>
          <w:rFonts w:ascii="Arial" w:eastAsia="宋体" w:hAnsi="Arial" w:cs="Arial"/>
          <w:sz w:val="20"/>
          <w:szCs w:val="20"/>
        </w:rPr>
        <w:t>his rulemaking process, these regulators collectively have adopted or proposed, among other things, regulations relating to reporting and record-keeping obligations, margin and capital requirements, the scope of registration and the central clearing and ex</w:t>
      </w:r>
      <w:r>
        <w:rPr>
          <w:rFonts w:ascii="Arial" w:eastAsia="宋体" w:hAnsi="Arial" w:cs="Arial"/>
          <w:sz w:val="20"/>
          <w:szCs w:val="20"/>
        </w:rPr>
        <w:t xml:space="preserve">change trading requirements for certain OTC derivatives. The CFTC has also issued rules to enhance the oversight of clearing and trading entities. The CFTC, along with other regulators, including the Federal Reserve, have also issued rules with respect to </w:t>
      </w:r>
      <w:r>
        <w:rPr>
          <w:rFonts w:ascii="Arial" w:eastAsia="宋体" w:hAnsi="Arial" w:cs="Arial"/>
          <w:sz w:val="20"/>
          <w:szCs w:val="20"/>
        </w:rPr>
        <w:t xml:space="preserve">margin requirements for uncleared derivatives transactions. </w:t>
      </w:r>
    </w:p>
    <w:p w14:paraId="55566C3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State Street Bank has registered provisionally with the CFTC as a swap dealer. As a provisionally registered swap dealer, State Street Bank is subject to significant regulatory obligations regard</w:t>
      </w:r>
      <w:r>
        <w:rPr>
          <w:rFonts w:ascii="Arial" w:eastAsia="宋体" w:hAnsi="Arial" w:cs="Arial"/>
          <w:sz w:val="20"/>
          <w:szCs w:val="20"/>
        </w:rPr>
        <w:t>ing its swap activity and the supervision, examination and enforcement powers of the CFTC and other regulators. The CFTC has granted State Street Bank a limited-purpose swap dealer designation. Under this limited-purpose designation, interest rate swap act</w:t>
      </w:r>
      <w:r>
        <w:rPr>
          <w:rFonts w:ascii="Arial" w:eastAsia="宋体" w:hAnsi="Arial" w:cs="Arial"/>
          <w:sz w:val="20"/>
          <w:szCs w:val="20"/>
        </w:rPr>
        <w:t>ivity engaged in by State Street Bank’s Global Treasury group is not subject to certain of the swap regulatory requirements otherwise applicable to swaps entered into by a registered swap dealer, subject to a number of conditions. For all other swap transa</w:t>
      </w:r>
      <w:r>
        <w:rPr>
          <w:rFonts w:ascii="Arial" w:eastAsia="宋体" w:hAnsi="Arial" w:cs="Arial"/>
          <w:sz w:val="20"/>
          <w:szCs w:val="20"/>
        </w:rPr>
        <w:t>ctions, our swap activities remain subject to all applicable swap dealer regulations.</w:t>
      </w:r>
    </w:p>
    <w:p w14:paraId="55566C31"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Subsidiaries</w:t>
      </w:r>
    </w:p>
    <w:p w14:paraId="55566C3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Federal Reserve is the primary federal banking agency responsible for regulating us and our subsidiaries, including State Street Bank, with respect to bo</w:t>
      </w:r>
      <w:r>
        <w:rPr>
          <w:rFonts w:ascii="Arial" w:eastAsia="宋体" w:hAnsi="Arial" w:cs="Arial"/>
          <w:sz w:val="20"/>
          <w:szCs w:val="20"/>
        </w:rPr>
        <w:t>th our U.S. and non-U.S. operations.</w:t>
      </w:r>
    </w:p>
    <w:p w14:paraId="55566C3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banking subsidiaries are subject to supervision and examination by various regulatory authorities. State Street Bank is a member of the Federal Reserve System, its deposits are insured by the FDIC and it is subject to applicable federal and state banki</w:t>
      </w:r>
      <w:r>
        <w:rPr>
          <w:rFonts w:ascii="Arial" w:eastAsia="宋体" w:hAnsi="Arial" w:cs="Arial"/>
          <w:sz w:val="20"/>
          <w:szCs w:val="20"/>
        </w:rPr>
        <w:t>ng laws and to supervision and examination by the Federal Reserve, as well as by the Massachusetts Commissioner of Banks, the FDIC, and the regulatory authorities of those states and countries in which State Street Bank operates a branch. Our other subsidi</w:t>
      </w:r>
      <w:r>
        <w:rPr>
          <w:rFonts w:ascii="Arial" w:eastAsia="宋体" w:hAnsi="Arial" w:cs="Arial"/>
          <w:sz w:val="20"/>
          <w:szCs w:val="20"/>
        </w:rPr>
        <w:t>ary trust companies are subject to supervision and examination by the OCC, the Federal Reserve or by the appropriate state banking regulatory authorities of the states in which they are organized and operate. Our non-U.S. banking subsidiaries are subject t</w:t>
      </w:r>
      <w:r>
        <w:rPr>
          <w:rFonts w:ascii="Arial" w:eastAsia="宋体" w:hAnsi="Arial" w:cs="Arial"/>
          <w:sz w:val="20"/>
          <w:szCs w:val="20"/>
        </w:rPr>
        <w:t xml:space="preserve">o regulation by the regulatory authorities of the countries in which they operate. </w:t>
      </w:r>
    </w:p>
    <w:p w14:paraId="55566C34" w14:textId="77777777" w:rsidR="00F925DD" w:rsidRDefault="00F925DD">
      <w:pPr>
        <w:rPr>
          <w:rFonts w:ascii="Times New Roman" w:hAnsi="Times New Roman"/>
          <w:sz w:val="20"/>
          <w:szCs w:val="20"/>
        </w:rPr>
      </w:pPr>
    </w:p>
    <w:p w14:paraId="55566C35"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14</w:t>
      </w:r>
    </w:p>
    <w:p w14:paraId="55566C36" w14:textId="77777777" w:rsidR="00F925DD" w:rsidRDefault="00F925DD">
      <w:pPr>
        <w:spacing w:line="288" w:lineRule="auto"/>
        <w:ind w:firstLine="600"/>
        <w:jc w:val="center"/>
        <w:rPr>
          <w:rFonts w:ascii="Times New Roman" w:hAnsi="Times New Roman"/>
          <w:sz w:val="18"/>
          <w:szCs w:val="18"/>
        </w:rPr>
      </w:pPr>
    </w:p>
    <w:p w14:paraId="55566C37" w14:textId="77777777" w:rsidR="00F925DD" w:rsidRDefault="00E705D7">
      <w:r>
        <w:rPr>
          <w:rFonts w:ascii="Times New Roman" w:hAnsi="Times New Roman"/>
          <w:sz w:val="18"/>
          <w:szCs w:val="18"/>
        </w:rPr>
        <w:pict w14:anchorId="55570646">
          <v:rect id="_x0000_i1038" style="width:415.3pt;height:1.5pt" o:hralign="center" o:hrstd="t" o:hr="t" fillcolor="#a0a0a0" stroked="f"/>
        </w:pict>
      </w:r>
    </w:p>
    <w:p w14:paraId="55566C38" w14:textId="77777777" w:rsidR="00F925DD" w:rsidRDefault="00F925DD">
      <w:pPr>
        <w:spacing w:line="288" w:lineRule="auto"/>
        <w:ind w:firstLine="600"/>
        <w:rPr>
          <w:rFonts w:ascii="Times New Roman" w:hAnsi="Times New Roman"/>
          <w:sz w:val="18"/>
          <w:szCs w:val="18"/>
        </w:rPr>
      </w:pPr>
    </w:p>
    <w:p w14:paraId="55566C39" w14:textId="77777777" w:rsidR="00F925DD" w:rsidRDefault="00F925DD">
      <w:pPr>
        <w:rPr>
          <w:rFonts w:ascii="Times New Roman" w:hAnsi="Times New Roman"/>
          <w:sz w:val="20"/>
          <w:szCs w:val="20"/>
        </w:rPr>
      </w:pPr>
    </w:p>
    <w:p w14:paraId="55566C3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and our subsidiaries that are not subsidiaries of State Street Bank are affiliates of State Street Bank under federal banking </w:t>
      </w:r>
      <w:r>
        <w:rPr>
          <w:rFonts w:ascii="Arial" w:eastAsia="宋体" w:hAnsi="Arial" w:cs="Arial"/>
          <w:sz w:val="20"/>
          <w:szCs w:val="20"/>
        </w:rPr>
        <w:t>laws, which impose restrictions on various types of transactions, including loans, extensions of credit, investments or asset purchases by or from State Street Bank, on the one hand, to us and those of our subsidiaries, on the other. Transactions of this k</w:t>
      </w:r>
      <w:r>
        <w:rPr>
          <w:rFonts w:ascii="Arial" w:eastAsia="宋体" w:hAnsi="Arial" w:cs="Arial"/>
          <w:sz w:val="20"/>
          <w:szCs w:val="20"/>
        </w:rPr>
        <w:t>ind between State Street Bank and its affiliates are limited with respect to each affiliate to 10% of State Street Bank’s capital and surplus, as defined by the aforementioned banking laws, are limited in the aggregate for all affiliates to 20% of State St</w:t>
      </w:r>
      <w:r>
        <w:rPr>
          <w:rFonts w:ascii="Arial" w:eastAsia="宋体" w:hAnsi="Arial" w:cs="Arial"/>
          <w:sz w:val="20"/>
          <w:szCs w:val="20"/>
        </w:rPr>
        <w:t>reet Bank's capital and surplus, and in some cases are also subject to strict collateral requirements. Derivatives, securities borrowing and securities lending transactions between State Street Bank and its affiliates became subject to these restrictions p</w:t>
      </w:r>
      <w:r>
        <w:rPr>
          <w:rFonts w:ascii="Arial" w:eastAsia="宋体" w:hAnsi="Arial" w:cs="Arial"/>
          <w:sz w:val="20"/>
          <w:szCs w:val="20"/>
        </w:rPr>
        <w:t xml:space="preserve">ursuant to the Dodd-Frank Act. The Dodd-Frank Act also expanded the scope of transactions required to be collateralized. In addition, the Volcker Rule generally prohibits similar transactions between the Parent Company or any of its affiliates and covered </w:t>
      </w:r>
      <w:r>
        <w:rPr>
          <w:rFonts w:ascii="Arial" w:eastAsia="宋体" w:hAnsi="Arial" w:cs="Arial"/>
          <w:sz w:val="20"/>
          <w:szCs w:val="20"/>
        </w:rPr>
        <w:t>funds for which we or any of our affiliates serve as the investment manager, investment adviser, commodity trading advisor or sponsor and other covered funds organized and offered pursuant to specific exemptions in the Volcker Rule regulations.</w:t>
      </w:r>
    </w:p>
    <w:p w14:paraId="55566C3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Federal law</w:t>
      </w:r>
      <w:r>
        <w:rPr>
          <w:rFonts w:ascii="Arial" w:eastAsia="宋体" w:hAnsi="Arial" w:cs="Arial"/>
          <w:sz w:val="20"/>
          <w:szCs w:val="20"/>
        </w:rPr>
        <w:t xml:space="preserve"> also requires that certain transactions by a bank with affiliates be on terms and under circumstances, including credit standards, that are substantially the same, or at least as favorable to the bank, as those prevailing at the time for comparable transa</w:t>
      </w:r>
      <w:r>
        <w:rPr>
          <w:rFonts w:ascii="Arial" w:eastAsia="宋体" w:hAnsi="Arial" w:cs="Arial"/>
          <w:sz w:val="20"/>
          <w:szCs w:val="20"/>
        </w:rPr>
        <w:t>ctions involving other non-affiliated companies. Alternatively, in the absence of comparable transactions, the transactions must be on terms and under circumstances, including credit standards, that in good faith would be offered to, or would apply to, non</w:t>
      </w:r>
      <w:r>
        <w:rPr>
          <w:rFonts w:ascii="Arial" w:eastAsia="宋体" w:hAnsi="Arial" w:cs="Arial"/>
          <w:sz w:val="20"/>
          <w:szCs w:val="20"/>
        </w:rPr>
        <w:t>-affiliated companies.</w:t>
      </w:r>
    </w:p>
    <w:p w14:paraId="55566C3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State Street Bank is also prohibited from engaging in certain tie-in arrangements in connection with any extension of credit or lease or sale of property or furnishing of services. Federal law provides for a depositor preference on a</w:t>
      </w:r>
      <w:r>
        <w:rPr>
          <w:rFonts w:ascii="Arial" w:eastAsia="宋体" w:hAnsi="Arial" w:cs="Arial"/>
          <w:sz w:val="20"/>
          <w:szCs w:val="20"/>
        </w:rPr>
        <w:t>mounts realized from the liquidation or other resolution of any depository institution insured by the FDIC.</w:t>
      </w:r>
    </w:p>
    <w:p w14:paraId="55566C3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subsidiaries, State Street Global Advisors FM and State Street Global Advisors Ltd., act as investment advisers to investment companies register</w:t>
      </w:r>
      <w:r>
        <w:rPr>
          <w:rFonts w:ascii="Arial" w:eastAsia="宋体" w:hAnsi="Arial" w:cs="Arial"/>
          <w:sz w:val="20"/>
          <w:szCs w:val="20"/>
        </w:rPr>
        <w:t>ed under the Investment Company Act of 1940. State Street Global Advisors FM, incorporated in Massachusetts in 2001 and headquartered in Boston, Massachusetts, is registered with the SEC as an investment adviser under the Investment Advisers Act of 1940 an</w:t>
      </w:r>
      <w:r>
        <w:rPr>
          <w:rFonts w:ascii="Arial" w:eastAsia="宋体" w:hAnsi="Arial" w:cs="Arial"/>
          <w:sz w:val="20"/>
          <w:szCs w:val="20"/>
        </w:rPr>
        <w:t xml:space="preserve">d is registered with the CFTC as a commodity trading adviser and pool operator. State Street Global Advisors Ltd., incorporated in 1990 as a U.K. limited company and domiciled in the U.K., is also registered with the SEC as an investment adviser under the </w:t>
      </w:r>
      <w:r>
        <w:rPr>
          <w:rFonts w:ascii="Arial" w:eastAsia="宋体" w:hAnsi="Arial" w:cs="Arial"/>
          <w:sz w:val="20"/>
          <w:szCs w:val="20"/>
        </w:rPr>
        <w:t xml:space="preserve">Investment Advisers Act of 1940. State Street Global Advisors Ltd. is also </w:t>
      </w:r>
    </w:p>
    <w:p w14:paraId="55566C3E"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C3F"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authorized and regulated by the United Kingdom Financial Conduct Authority (U.K. FCA) and is an investment firm under the Markets in Financial Instruments Directive. Our subsidia</w:t>
      </w:r>
      <w:r>
        <w:rPr>
          <w:rFonts w:ascii="Arial" w:eastAsia="宋体" w:hAnsi="Arial" w:cs="Arial"/>
          <w:sz w:val="20"/>
          <w:szCs w:val="20"/>
        </w:rPr>
        <w:t>ry, State Street Global Advisors Asia Limited, a Hong Kong incorporated company, is registered as an investment adviser with the SEC and additionally is licensed by the Securities and Futures Commission of Hong Kong to perform a variety of activities, incl</w:t>
      </w:r>
      <w:r>
        <w:rPr>
          <w:rFonts w:ascii="Arial" w:eastAsia="宋体" w:hAnsi="Arial" w:cs="Arial"/>
          <w:sz w:val="20"/>
          <w:szCs w:val="20"/>
        </w:rPr>
        <w:t>uding asset management. State Street Global Advisors Asia Limited also holds permits as a qualified foreign institutional Investor (QFII) and a renminbi qualified foreign institutional investor (RQFII), approved by the Securities Regulatory Commission in t</w:t>
      </w:r>
      <w:r>
        <w:rPr>
          <w:rFonts w:ascii="Arial" w:eastAsia="宋体" w:hAnsi="Arial" w:cs="Arial"/>
          <w:sz w:val="20"/>
          <w:szCs w:val="20"/>
        </w:rPr>
        <w:t>he People’s Republic of China, and in Korea is registered with the Financial Services Commission as a cross-border investment advisory company and a cross-border discretionary investment management company. In addition, a major portion of our investment ma</w:t>
      </w:r>
      <w:r>
        <w:rPr>
          <w:rFonts w:ascii="Arial" w:eastAsia="宋体" w:hAnsi="Arial" w:cs="Arial"/>
          <w:sz w:val="20"/>
          <w:szCs w:val="20"/>
        </w:rPr>
        <w:t>nagement activities are conducted by State Street Global Advisors Trust Company, which is a subsidiary of State Street Bank and a Massachusetts chartered trust company subject to the supervision of the Massachusetts Commissioner of Banks and the Federal Re</w:t>
      </w:r>
      <w:r>
        <w:rPr>
          <w:rFonts w:ascii="Arial" w:eastAsia="宋体" w:hAnsi="Arial" w:cs="Arial"/>
          <w:sz w:val="20"/>
          <w:szCs w:val="20"/>
        </w:rPr>
        <w:t xml:space="preserve">serve with respect to these activities. </w:t>
      </w:r>
    </w:p>
    <w:p w14:paraId="55566C4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Many aspects of our investment management activities are subject to federal and state laws and regulations primarily intended to benefit the investment holder, rather than our shareholders. These laws and regulation</w:t>
      </w:r>
      <w:r>
        <w:rPr>
          <w:rFonts w:ascii="Arial" w:eastAsia="宋体" w:hAnsi="Arial" w:cs="Arial"/>
          <w:sz w:val="20"/>
          <w:szCs w:val="20"/>
        </w:rPr>
        <w:t>s generally grant supervisory agencies and bodies broad administrative powers, including the power to limit or restrict us from conducting our investment management activities in the event that we fail to comply with such laws and regulations, and examinat</w:t>
      </w:r>
      <w:r>
        <w:rPr>
          <w:rFonts w:ascii="Arial" w:eastAsia="宋体" w:hAnsi="Arial" w:cs="Arial"/>
          <w:sz w:val="20"/>
          <w:szCs w:val="20"/>
        </w:rPr>
        <w:t>ion authority. Our business related to investment management and trusteeship of collective trust funds and separate accounts offered to employee benefit plans is subject to Employee Retirement Income Security Act (ERISA), and is regulated by the U.S. DOL.</w:t>
      </w:r>
    </w:p>
    <w:p w14:paraId="55566C4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three subsidiaries that operate as a U.S. broker/dealer and are registered as such with the SEC, are subject to regulation by the SEC (including the SEC's net capital rule) and are members of the Financial Industry Regulatory Authority, a self-regu</w:t>
      </w:r>
      <w:r>
        <w:rPr>
          <w:rFonts w:ascii="Arial" w:eastAsia="宋体" w:hAnsi="Arial" w:cs="Arial"/>
          <w:sz w:val="20"/>
          <w:szCs w:val="20"/>
        </w:rPr>
        <w:t>latory organization. State Street Global Advisors Funds Distributors, LLC operates as a limited purpose broker/dealer that provides distributing and related marketing activities for U.S. mutual funds and ETFs associated with State Street Global Advisors. S</w:t>
      </w:r>
      <w:r>
        <w:rPr>
          <w:rFonts w:ascii="Arial" w:eastAsia="宋体" w:hAnsi="Arial" w:cs="Arial"/>
          <w:sz w:val="20"/>
          <w:szCs w:val="20"/>
        </w:rPr>
        <w:t>tate Street Global Advisors Funds Distributors, LLC also may privately offer certain State Street Global Advisors advised funds. State Street Global Markets, LLC is a U.S. broker/dealer that provides agency execution services. We also acquired Charles Rive</w:t>
      </w:r>
      <w:r>
        <w:rPr>
          <w:rFonts w:ascii="Arial" w:eastAsia="宋体" w:hAnsi="Arial" w:cs="Arial"/>
          <w:sz w:val="20"/>
          <w:szCs w:val="20"/>
        </w:rPr>
        <w:t>r Brokerage, LLC, a U.S. broker/dealer, as part of our acquisition of CRD. In addition, we have a subsidiary, SwapEX, LLC, registered with the CFTC in the U.S. as a swap execution facility.</w:t>
      </w:r>
    </w:p>
    <w:p w14:paraId="55566C42" w14:textId="77777777" w:rsidR="00F925DD" w:rsidRDefault="00F925DD">
      <w:pPr>
        <w:rPr>
          <w:rFonts w:ascii="Times New Roman" w:hAnsi="Times New Roman"/>
          <w:sz w:val="20"/>
          <w:szCs w:val="20"/>
        </w:rPr>
      </w:pPr>
    </w:p>
    <w:p w14:paraId="55566C4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15</w:t>
      </w:r>
    </w:p>
    <w:p w14:paraId="55566C44" w14:textId="77777777" w:rsidR="00F925DD" w:rsidRDefault="00F925DD">
      <w:pPr>
        <w:spacing w:line="288" w:lineRule="auto"/>
        <w:ind w:firstLine="600"/>
        <w:jc w:val="center"/>
        <w:rPr>
          <w:rFonts w:ascii="Times New Roman" w:hAnsi="Times New Roman"/>
          <w:sz w:val="18"/>
          <w:szCs w:val="18"/>
        </w:rPr>
      </w:pPr>
    </w:p>
    <w:p w14:paraId="55566C45" w14:textId="77777777" w:rsidR="00F925DD" w:rsidRDefault="00E705D7">
      <w:r>
        <w:rPr>
          <w:rFonts w:ascii="Times New Roman" w:hAnsi="Times New Roman"/>
          <w:sz w:val="18"/>
          <w:szCs w:val="18"/>
        </w:rPr>
        <w:pict w14:anchorId="55570647">
          <v:rect id="_x0000_i1039" style="width:415.3pt;height:1.5pt" o:hralign="center" o:hrstd="t" o:hr="t" fillcolor="#a0a0a0" stroked="f"/>
        </w:pict>
      </w:r>
    </w:p>
    <w:p w14:paraId="55566C46" w14:textId="77777777" w:rsidR="00F925DD" w:rsidRDefault="00F925DD">
      <w:pPr>
        <w:spacing w:line="288" w:lineRule="auto"/>
        <w:ind w:firstLine="600"/>
        <w:rPr>
          <w:rFonts w:ascii="Times New Roman" w:hAnsi="Times New Roman"/>
          <w:sz w:val="18"/>
          <w:szCs w:val="18"/>
        </w:rPr>
      </w:pPr>
    </w:p>
    <w:p w14:paraId="55566C47" w14:textId="77777777" w:rsidR="00F925DD" w:rsidRDefault="00F925DD">
      <w:pPr>
        <w:rPr>
          <w:rFonts w:ascii="Times New Roman" w:hAnsi="Times New Roman"/>
          <w:sz w:val="20"/>
          <w:szCs w:val="20"/>
        </w:rPr>
      </w:pPr>
    </w:p>
    <w:p w14:paraId="55566C4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businesses, including our </w:t>
      </w:r>
      <w:r>
        <w:rPr>
          <w:rFonts w:ascii="Arial" w:eastAsia="宋体" w:hAnsi="Arial" w:cs="Arial"/>
          <w:sz w:val="20"/>
          <w:szCs w:val="20"/>
        </w:rPr>
        <w:t>investment management and securities businesses, are also regulated extensively by non-U.S. governments, securities exchanges, self-regulatory organizations, central banks and regulatory bodies, especially in those jurisdictions in which we maintain an off</w:t>
      </w:r>
      <w:r>
        <w:rPr>
          <w:rFonts w:ascii="Arial" w:eastAsia="宋体" w:hAnsi="Arial" w:cs="Arial"/>
          <w:sz w:val="20"/>
          <w:szCs w:val="20"/>
        </w:rPr>
        <w:t>ice. For instance, among others, the U.K. FCA and the United Kingdom Prudential Regulation Authority regulate our activities in the U.K.; the Central Bank of Ireland regulates our activities in Ireland; the German Federal Financial Supervisory Authority re</w:t>
      </w:r>
      <w:r>
        <w:rPr>
          <w:rFonts w:ascii="Arial" w:eastAsia="宋体" w:hAnsi="Arial" w:cs="Arial"/>
          <w:sz w:val="20"/>
          <w:szCs w:val="20"/>
        </w:rPr>
        <w:t>gulates our activities in Germany; the Commission de Surveillance du Secteur Financier regulates our activities in Luxembourg; our German banking group is also subject to direct supervision by the European Central Bank under the ECB Single Supervisory Mech</w:t>
      </w:r>
      <w:r>
        <w:rPr>
          <w:rFonts w:ascii="Arial" w:eastAsia="宋体" w:hAnsi="Arial" w:cs="Arial"/>
          <w:sz w:val="20"/>
          <w:szCs w:val="20"/>
        </w:rPr>
        <w:t>anism; the Securities and Futures Commission regulates our asset management activities in Hong Kong; the Australian Prudential Regulation Authority and the Australian Securities and Investments Commission regulate our activities in Australia; and the Finan</w:t>
      </w:r>
      <w:r>
        <w:rPr>
          <w:rFonts w:ascii="Arial" w:eastAsia="宋体" w:hAnsi="Arial" w:cs="Arial"/>
          <w:sz w:val="20"/>
          <w:szCs w:val="20"/>
        </w:rPr>
        <w:t xml:space="preserve">cial Services Agency and the Bank of Japan regulate our activities in Japan. We have established policies, procedures and systems designed to comply with the requirements of these organizations. However, as a global financial services institution, we face </w:t>
      </w:r>
      <w:r>
        <w:rPr>
          <w:rFonts w:ascii="Arial" w:eastAsia="宋体" w:hAnsi="Arial" w:cs="Arial"/>
          <w:sz w:val="20"/>
          <w:szCs w:val="20"/>
        </w:rPr>
        <w:t>complexity, costs and risks related to regulation.</w:t>
      </w:r>
    </w:p>
    <w:p w14:paraId="55566C4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majority of our non-U.S. asset servicing operations are conducted pursuant to the Federal Reserve's Regulation K through State Street Bank’s Edge Act subsidiary or through international branches of Sta</w:t>
      </w:r>
      <w:r>
        <w:rPr>
          <w:rFonts w:ascii="Arial" w:eastAsia="宋体" w:hAnsi="Arial" w:cs="Arial"/>
          <w:sz w:val="20"/>
          <w:szCs w:val="20"/>
        </w:rPr>
        <w:t>te Street Bank. An Edge Act corporation is a corporation organized under federal law that conducts foreign business activities. In general, banks may not make investments in their Edge Act corporations (and similar state law corporations) that exceed 20% o</w:t>
      </w:r>
      <w:r>
        <w:rPr>
          <w:rFonts w:ascii="Arial" w:eastAsia="宋体" w:hAnsi="Arial" w:cs="Arial"/>
          <w:sz w:val="20"/>
          <w:szCs w:val="20"/>
        </w:rPr>
        <w:t>f their capital and surplus, as defined in the relevant banking regulations, and the investment of any amount in excess of 10% of capital and surplus requires the prior approval of the Federal Reserve.</w:t>
      </w:r>
    </w:p>
    <w:p w14:paraId="55566C4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addition to our non-U.S. operations </w:t>
      </w:r>
      <w:r>
        <w:rPr>
          <w:rFonts w:ascii="Arial" w:eastAsia="宋体" w:hAnsi="Arial" w:cs="Arial"/>
          <w:sz w:val="20"/>
          <w:szCs w:val="20"/>
        </w:rPr>
        <w:t>conducted pursuant to Regulation K, we also make new investments abroad directly (through us or through our non-banking subsidiaries) pursuant to the Federal Reserve's Regulation Y, or through international bank branch expansion, neither of which is subjec</w:t>
      </w:r>
      <w:r>
        <w:rPr>
          <w:rFonts w:ascii="Arial" w:eastAsia="宋体" w:hAnsi="Arial" w:cs="Arial"/>
          <w:sz w:val="20"/>
          <w:szCs w:val="20"/>
        </w:rPr>
        <w:t>t to the investment limitations applicable to Edge Act subsidiaries.</w:t>
      </w:r>
    </w:p>
    <w:p w14:paraId="55566C4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Additionally, Massachusetts has its own bank holding company statute, under which we, among other things, may be required to obtain prior approval by the Massachusetts Board of Bank Incor</w:t>
      </w:r>
      <w:r>
        <w:rPr>
          <w:rFonts w:ascii="Arial" w:eastAsia="宋体" w:hAnsi="Arial" w:cs="Arial"/>
          <w:sz w:val="20"/>
          <w:szCs w:val="20"/>
        </w:rPr>
        <w:t>poration for an acquisition of more than 5% of any additional bank's voting shares, or for other forms of bank acquisitions.</w:t>
      </w:r>
    </w:p>
    <w:p w14:paraId="55566C4C"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C4D"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Anti-Money Laundering and Financial Transparency</w:t>
      </w:r>
    </w:p>
    <w:p w14:paraId="55566C4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and certain of our subsidiaries are subject to the Bank Secrecy Act of 1970, </w:t>
      </w:r>
      <w:r>
        <w:rPr>
          <w:rFonts w:ascii="Arial" w:eastAsia="宋体" w:hAnsi="Arial" w:cs="Arial"/>
          <w:sz w:val="20"/>
          <w:szCs w:val="20"/>
        </w:rPr>
        <w:t>as amended by the USA PATRIOT Act of 2001, and related regulations, which contain AML and financial transparency provisions and which require implementation of an AML compliance program, including processes for verifying client identification and monitorin</w:t>
      </w:r>
      <w:r>
        <w:rPr>
          <w:rFonts w:ascii="Arial" w:eastAsia="宋体" w:hAnsi="Arial" w:cs="Arial"/>
          <w:sz w:val="20"/>
          <w:szCs w:val="20"/>
        </w:rPr>
        <w:t>g client transactions and detecting and reporting suspicious activities. AML laws outside the U.S. contain similar requirements. We have implemented policies, procedures and internal controls that are designed to promote compliance with applicable AML laws</w:t>
      </w:r>
      <w:r>
        <w:rPr>
          <w:rFonts w:ascii="Arial" w:eastAsia="宋体" w:hAnsi="Arial" w:cs="Arial"/>
          <w:sz w:val="20"/>
          <w:szCs w:val="20"/>
        </w:rPr>
        <w:t xml:space="preserve"> and regulations. AML laws and regulations applicable to our operations may be more stringent than similar requirements applicable to our non-regulated competitors or financial institutions principally operating in other jurisdictions. Compliance with appl</w:t>
      </w:r>
      <w:r>
        <w:rPr>
          <w:rFonts w:ascii="Arial" w:eastAsia="宋体" w:hAnsi="Arial" w:cs="Arial"/>
          <w:sz w:val="20"/>
          <w:szCs w:val="20"/>
        </w:rPr>
        <w:t>icable AML and related requirements is a common area of review for financial regulators, and any failure by us to comply with these requirements could result in fines, penalties, lawsuits, regulatory sanctions, difficulties in obtaining governmental approv</w:t>
      </w:r>
      <w:r>
        <w:rPr>
          <w:rFonts w:ascii="Arial" w:eastAsia="宋体" w:hAnsi="Arial" w:cs="Arial"/>
          <w:sz w:val="20"/>
          <w:szCs w:val="20"/>
        </w:rPr>
        <w:t>als, restrictions on our business activities or harm to our reputation.</w:t>
      </w:r>
    </w:p>
    <w:p w14:paraId="55566C4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2015, we entered into a written agreement with the Federal Reserve and the Massachusetts Division of Banks relating to deficiencies identified in our compliance programs with the re</w:t>
      </w:r>
      <w:r>
        <w:rPr>
          <w:rFonts w:ascii="Arial" w:eastAsia="宋体" w:hAnsi="Arial" w:cs="Arial"/>
          <w:sz w:val="20"/>
          <w:szCs w:val="20"/>
        </w:rPr>
        <w:t>quirements of the Bank Secrecy Act, AML regulations and U.S. economic sanctions regulations promulgated by Office of Foreign Assets Control (OFAC). As part of this agreement, we have been required to, among other things, implement improvements to our compl</w:t>
      </w:r>
      <w:r>
        <w:rPr>
          <w:rFonts w:ascii="Arial" w:eastAsia="宋体" w:hAnsi="Arial" w:cs="Arial"/>
          <w:sz w:val="20"/>
          <w:szCs w:val="20"/>
        </w:rPr>
        <w:t>iance programs. If we fail to comply with the terms of the written agreement, we may become subject to fines and other regulatory sanctions, which may have a material adverse effect on us.</w:t>
      </w:r>
    </w:p>
    <w:p w14:paraId="55566C50"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Deposit Insurance</w:t>
      </w:r>
    </w:p>
    <w:p w14:paraId="55566C5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Dodd-Frank Act made permanent the general $25</w:t>
      </w:r>
      <w:r>
        <w:rPr>
          <w:rFonts w:ascii="Arial" w:eastAsia="宋体" w:hAnsi="Arial" w:cs="Arial"/>
          <w:sz w:val="20"/>
          <w:szCs w:val="20"/>
        </w:rPr>
        <w:t>0,000 deposit insurance limit for insured deposits. The FDIC’s Deposit Insurance Fund (DIF) is funded by assessments on FDIC-insured depository institutions. The FDIC assesses DIF premiums based on an insured depository institution's average consolidated t</w:t>
      </w:r>
      <w:r>
        <w:rPr>
          <w:rFonts w:ascii="Arial" w:eastAsia="宋体" w:hAnsi="Arial" w:cs="Arial"/>
          <w:sz w:val="20"/>
          <w:szCs w:val="20"/>
        </w:rPr>
        <w:t>otal assets, less the average tangible equity of the insured depository institution during the assessment period. For larger institutions, such as State Street Bank, assessments are determined based on regulatory ratings and forward-looking financial measu</w:t>
      </w:r>
      <w:r>
        <w:rPr>
          <w:rFonts w:ascii="Arial" w:eastAsia="宋体" w:hAnsi="Arial" w:cs="Arial"/>
          <w:sz w:val="20"/>
          <w:szCs w:val="20"/>
        </w:rPr>
        <w:t>res to calculate the assessment rate, which is subject to adjustments by the FDIC, and the assessment base.</w:t>
      </w:r>
    </w:p>
    <w:p w14:paraId="55566C5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FDIC is required to determine whether and to what extent adjustments to the assessment base are appropriate for “custody banks" that satisfy spe</w:t>
      </w:r>
      <w:r>
        <w:rPr>
          <w:rFonts w:ascii="Arial" w:eastAsia="宋体" w:hAnsi="Arial" w:cs="Arial"/>
          <w:sz w:val="20"/>
          <w:szCs w:val="20"/>
        </w:rPr>
        <w:t xml:space="preserve">cified institutional eligibility criteria. The FDIC has concluded that certain liquid assets could be excluded from the deposit insurance assessment base of custody banks. </w:t>
      </w:r>
    </w:p>
    <w:p w14:paraId="55566C53" w14:textId="77777777" w:rsidR="00F925DD" w:rsidRDefault="00F925DD">
      <w:pPr>
        <w:rPr>
          <w:rFonts w:ascii="Times New Roman" w:hAnsi="Times New Roman"/>
          <w:sz w:val="20"/>
          <w:szCs w:val="20"/>
        </w:rPr>
      </w:pPr>
    </w:p>
    <w:p w14:paraId="55566C54"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w:t>
      </w:r>
    </w:p>
    <w:p w14:paraId="55566C55" w14:textId="77777777" w:rsidR="00F925DD" w:rsidRDefault="00F925DD">
      <w:pPr>
        <w:spacing w:line="288" w:lineRule="auto"/>
        <w:ind w:firstLine="600"/>
        <w:jc w:val="center"/>
        <w:rPr>
          <w:rFonts w:ascii="Times New Roman" w:hAnsi="Times New Roman"/>
          <w:sz w:val="18"/>
          <w:szCs w:val="18"/>
        </w:rPr>
      </w:pPr>
    </w:p>
    <w:p w14:paraId="55566C56" w14:textId="77777777" w:rsidR="00F925DD" w:rsidRDefault="00E705D7">
      <w:r>
        <w:rPr>
          <w:rFonts w:ascii="Times New Roman" w:hAnsi="Times New Roman"/>
          <w:sz w:val="18"/>
          <w:szCs w:val="18"/>
        </w:rPr>
        <w:pict w14:anchorId="55570648">
          <v:rect id="_x0000_i1040" style="width:415.3pt;height:1.5pt" o:hralign="center" o:hrstd="t" o:hr="t" fillcolor="#a0a0a0" stroked="f"/>
        </w:pict>
      </w:r>
    </w:p>
    <w:p w14:paraId="55566C57" w14:textId="77777777" w:rsidR="00F925DD" w:rsidRDefault="00F925DD">
      <w:pPr>
        <w:spacing w:line="288" w:lineRule="auto"/>
        <w:ind w:firstLine="600"/>
        <w:rPr>
          <w:rFonts w:ascii="Times New Roman" w:hAnsi="Times New Roman"/>
          <w:sz w:val="18"/>
          <w:szCs w:val="18"/>
        </w:rPr>
      </w:pPr>
    </w:p>
    <w:p w14:paraId="55566C58" w14:textId="77777777" w:rsidR="00F925DD" w:rsidRDefault="00F925DD">
      <w:pPr>
        <w:rPr>
          <w:rFonts w:ascii="Times New Roman" w:hAnsi="Times New Roman"/>
          <w:sz w:val="20"/>
          <w:szCs w:val="20"/>
        </w:rPr>
      </w:pPr>
    </w:p>
    <w:p w14:paraId="55566C59"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This has the effect of reducing the amount of D</w:t>
      </w:r>
      <w:r>
        <w:rPr>
          <w:rFonts w:ascii="Arial" w:eastAsia="宋体" w:hAnsi="Arial" w:cs="Arial"/>
          <w:sz w:val="20"/>
          <w:szCs w:val="20"/>
        </w:rPr>
        <w:t>IF insurance premiums due from custody banks. State Street Bank qualifies as a custody bank for this purpose. The custody bank assessment adjustment may not exceed total transaction account deposits identified by the institution as being directly linked to</w:t>
      </w:r>
      <w:r>
        <w:rPr>
          <w:rFonts w:ascii="Arial" w:eastAsia="宋体" w:hAnsi="Arial" w:cs="Arial"/>
          <w:sz w:val="20"/>
          <w:szCs w:val="20"/>
        </w:rPr>
        <w:t xml:space="preserve"> a fiduciary or custody and safekeeping asset. </w:t>
      </w:r>
    </w:p>
    <w:p w14:paraId="55566C5A"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Prompt Corrective Action</w:t>
      </w:r>
    </w:p>
    <w:p w14:paraId="55566C5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FDIC Improvement Act of 1991 requires the appropriate federal banking regulator to take “prompt corrective action” with respect to a depository institution if that </w:t>
      </w:r>
      <w:r>
        <w:rPr>
          <w:rFonts w:ascii="Arial" w:eastAsia="宋体" w:hAnsi="Arial" w:cs="Arial"/>
          <w:sz w:val="20"/>
          <w:szCs w:val="20"/>
        </w:rPr>
        <w:t>institution does not meet certain capital adequacy standards, including minimum capital ratios. While these regulations apply only to banks, such as State Street Bank, the Federal Reserve is authorized to take appropriate action against a parent bank holdi</w:t>
      </w:r>
      <w:r>
        <w:rPr>
          <w:rFonts w:ascii="Arial" w:eastAsia="宋体" w:hAnsi="Arial" w:cs="Arial"/>
          <w:sz w:val="20"/>
          <w:szCs w:val="20"/>
        </w:rPr>
        <w:t>ng company, such as our Parent Company, based on the under-capitalized status of any banking subsidiary. In certain instances, we would be required to guarantee the performance of a capital restoration plan if one of our banking subsidiaries were undercapi</w:t>
      </w:r>
      <w:r>
        <w:rPr>
          <w:rFonts w:ascii="Arial" w:eastAsia="宋体" w:hAnsi="Arial" w:cs="Arial"/>
          <w:sz w:val="20"/>
          <w:szCs w:val="20"/>
        </w:rPr>
        <w:t>talized.</w:t>
      </w:r>
    </w:p>
    <w:p w14:paraId="55566C5C"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Support of Subsidiary Banks</w:t>
      </w:r>
    </w:p>
    <w:p w14:paraId="55566C5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Under Federal Reserve regulations, a bank holding company such as our Parent Company is required to act as a source of financial and managerial strength to its banking subsidiaries. This requirement was added to the Fed</w:t>
      </w:r>
      <w:r>
        <w:rPr>
          <w:rFonts w:ascii="Arial" w:eastAsia="宋体" w:hAnsi="Arial" w:cs="Arial"/>
          <w:sz w:val="20"/>
          <w:szCs w:val="20"/>
        </w:rPr>
        <w:t xml:space="preserve">eral Deposit Insurance Act by the Dodd-Frank Act. This means that we have a statutory obligation to commit resources to State Street Bank and any other banking subsidiary in circumstances in which we otherwise might not do so absent such a requirement. In </w:t>
      </w:r>
      <w:r>
        <w:rPr>
          <w:rFonts w:ascii="Arial" w:eastAsia="宋体" w:hAnsi="Arial" w:cs="Arial"/>
          <w:sz w:val="20"/>
          <w:szCs w:val="20"/>
        </w:rPr>
        <w:t>the event of bankruptcy, any commitment by us to a federal bank regulatory agency to maintain the capital of a banking subsidiary will be assumed by the bankruptcy trustee and will be entitled to a priority payment.</w:t>
      </w:r>
    </w:p>
    <w:p w14:paraId="55566C5E"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Insolvency of an Insured U.S. Subsidiary</w:t>
      </w:r>
      <w:r>
        <w:rPr>
          <w:rFonts w:ascii="Arial" w:eastAsia="宋体" w:hAnsi="Arial" w:cs="Arial"/>
          <w:b/>
          <w:bCs/>
          <w:color w:val="000000"/>
          <w:sz w:val="20"/>
          <w:szCs w:val="20"/>
        </w:rPr>
        <w:t xml:space="preserve"> Depository Institution</w:t>
      </w:r>
    </w:p>
    <w:p w14:paraId="55566C5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If the FDIC is appointed the conservator or receiver of an FDIC-insured U.S. subsidiary depository institution, such as State Street Bank, upon its insolvency or certain other events, the FDIC has the ability to transfer any of the </w:t>
      </w:r>
      <w:r>
        <w:rPr>
          <w:rFonts w:ascii="Arial" w:eastAsia="宋体" w:hAnsi="Arial" w:cs="Arial"/>
          <w:sz w:val="20"/>
          <w:szCs w:val="20"/>
        </w:rPr>
        <w:t>depository institution’s assets and liabilities to a new obligor without the approval of the depository institution’s creditors, enforce the terms of the depository institution’s contracts pursuant to their terms or repudiate or disaffirm contracts or leas</w:t>
      </w:r>
      <w:r>
        <w:rPr>
          <w:rFonts w:ascii="Arial" w:eastAsia="宋体" w:hAnsi="Arial" w:cs="Arial"/>
          <w:sz w:val="20"/>
          <w:szCs w:val="20"/>
        </w:rPr>
        <w:t>es to which the depository institution is a party. Additionally, the claims of holders of deposit liabilities and certain claims for administrative expenses against an insured depository institution would be afforded priority over other general unsecured c</w:t>
      </w:r>
      <w:r>
        <w:rPr>
          <w:rFonts w:ascii="Arial" w:eastAsia="宋体" w:hAnsi="Arial" w:cs="Arial"/>
          <w:sz w:val="20"/>
          <w:szCs w:val="20"/>
        </w:rPr>
        <w:t>laims against such an institution, including claims of debt holders of the institution and, under current interpretation, depositors in non-U.S. branches and offices, in the liquidation or other resolution of such an institution by any receiver. As a resul</w:t>
      </w:r>
      <w:r>
        <w:rPr>
          <w:rFonts w:ascii="Arial" w:eastAsia="宋体" w:hAnsi="Arial" w:cs="Arial"/>
          <w:sz w:val="20"/>
          <w:szCs w:val="20"/>
        </w:rPr>
        <w:t xml:space="preserve">t, such persons </w:t>
      </w:r>
    </w:p>
    <w:p w14:paraId="55566C60"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C6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would be treated differently from and could receive, if anything, substantially less than the depositors in U.S. offices of the depository institution.</w:t>
      </w:r>
    </w:p>
    <w:p w14:paraId="55566C62"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Cyber Risk Management</w:t>
      </w:r>
    </w:p>
    <w:p w14:paraId="55566C6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October 2016, the Federal Reserve, FDIC and OCC issued an </w:t>
      </w:r>
      <w:r>
        <w:rPr>
          <w:rFonts w:ascii="Arial" w:eastAsia="宋体" w:hAnsi="Arial" w:cs="Arial"/>
          <w:sz w:val="20"/>
          <w:szCs w:val="20"/>
        </w:rPr>
        <w:t>advance notice of proposed rulemaking regarding enhanced cyber risk management standards, which would apply to a wide range of large financial institutions and their third-party service providers, including us and our banking subsidiaries. The proposed sta</w:t>
      </w:r>
      <w:r>
        <w:rPr>
          <w:rFonts w:ascii="Arial" w:eastAsia="宋体" w:hAnsi="Arial" w:cs="Arial"/>
          <w:sz w:val="20"/>
          <w:szCs w:val="20"/>
        </w:rPr>
        <w:t>ndards would expand existing cyber-security regulations and guidance to focus on cyber risk governance and management; management of internal and external dependencies; and incident response, cyber resilience and situational awareness. In addition, the pro</w:t>
      </w:r>
      <w:r>
        <w:rPr>
          <w:rFonts w:ascii="Arial" w:eastAsia="宋体" w:hAnsi="Arial" w:cs="Arial"/>
          <w:sz w:val="20"/>
          <w:szCs w:val="20"/>
        </w:rPr>
        <w:t>posal contemplates more stringent standards for institutions with systems that are critical to the financial sector. Although the FDIC and OCC in 2019 each withdrew the advance notice of proposed rulemaking, the Federal Reserve has not withdrawn the advanc</w:t>
      </w:r>
      <w:r>
        <w:rPr>
          <w:rFonts w:ascii="Arial" w:eastAsia="宋体" w:hAnsi="Arial" w:cs="Arial"/>
          <w:sz w:val="20"/>
          <w:szCs w:val="20"/>
        </w:rPr>
        <w:t>e notice and may still propose such a rule.</w:t>
      </w:r>
    </w:p>
    <w:p w14:paraId="55566C6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Further discussion of cyber-security risk management is provided in "Information Technology Risk Management" included in our Management's Discussion and Analysis in this Form 10-K.</w:t>
      </w:r>
    </w:p>
    <w:p w14:paraId="55566C65"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ECONOMIC CONDITIONS AND GOVERNM</w:t>
      </w:r>
      <w:r>
        <w:rPr>
          <w:rFonts w:ascii="Arial" w:eastAsia="宋体" w:hAnsi="Arial" w:cs="Arial"/>
          <w:b/>
          <w:bCs/>
          <w:color w:val="000000"/>
          <w:sz w:val="20"/>
          <w:szCs w:val="20"/>
        </w:rPr>
        <w:t>ENT POLICIES</w:t>
      </w:r>
    </w:p>
    <w:p w14:paraId="55566C6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Economic policies of the U.S. government and its agencies influence our operating environment. Monetary policy conducted by the Federal Reserve directly affects the level of interest rates, which may affect overall credit conditions of the eco</w:t>
      </w:r>
      <w:r>
        <w:rPr>
          <w:rFonts w:ascii="Arial" w:eastAsia="宋体" w:hAnsi="Arial" w:cs="Arial"/>
          <w:sz w:val="20"/>
          <w:szCs w:val="20"/>
        </w:rPr>
        <w:t>nomy. Monetary policy is applied by the Federal Reserve through open market operations in U.S. government securities, changes in reserve requirements for depository institutions, and changes in the discount rate and availability of borrowing from the Feder</w:t>
      </w:r>
      <w:r>
        <w:rPr>
          <w:rFonts w:ascii="Arial" w:eastAsia="宋体" w:hAnsi="Arial" w:cs="Arial"/>
          <w:sz w:val="20"/>
          <w:szCs w:val="20"/>
        </w:rPr>
        <w:t>al Reserve. Government regulation of banks and bank holding companies is intended primarily for the protection of depositors of the banks, rather than for the shareholders of the institutions and therefore may, in some cases, be adverse to the interests of</w:t>
      </w:r>
      <w:r>
        <w:rPr>
          <w:rFonts w:ascii="Arial" w:eastAsia="宋体" w:hAnsi="Arial" w:cs="Arial"/>
          <w:sz w:val="20"/>
          <w:szCs w:val="20"/>
        </w:rPr>
        <w:t xml:space="preserve"> those shareholders. We are similarly affected by the economic policies of non-U.S. government agencies, such as the ECB.</w:t>
      </w:r>
    </w:p>
    <w:p w14:paraId="55566C67"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STATIS</w:t>
      </w:r>
      <w:r>
        <w:rPr>
          <w:rFonts w:ascii="Arial" w:eastAsia="宋体" w:hAnsi="Arial" w:cs="Arial"/>
          <w:b/>
          <w:bCs/>
          <w:sz w:val="20"/>
          <w:szCs w:val="20"/>
        </w:rPr>
        <w:t>TICAL DISCLOSURE BY BANK HOLDING COMPANIES</w:t>
      </w:r>
    </w:p>
    <w:p w14:paraId="55566C6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information included under Items 6, 7 and 8 in this Form 10-K, is incor</w:t>
      </w:r>
      <w:r>
        <w:rPr>
          <w:rFonts w:ascii="Arial" w:eastAsia="宋体" w:hAnsi="Arial" w:cs="Arial"/>
          <w:sz w:val="20"/>
          <w:szCs w:val="20"/>
        </w:rPr>
        <w:t>porated by reference herein:</w:t>
      </w:r>
    </w:p>
    <w:p w14:paraId="55566C6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“Selected Financial Data” table (Item 6) - presents return on average common equity, return on average assets, common dividend payout and equity-to-assets ratios.</w:t>
      </w:r>
    </w:p>
    <w:p w14:paraId="55566C6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“Distribution of Average Assets, Liabilities and Shareholders’ E</w:t>
      </w:r>
      <w:r>
        <w:rPr>
          <w:rFonts w:ascii="Arial" w:eastAsia="宋体" w:hAnsi="Arial" w:cs="Arial"/>
          <w:sz w:val="20"/>
          <w:szCs w:val="20"/>
        </w:rPr>
        <w:t xml:space="preserve">quity; Interest Rates and Interest Differential” table (Item 8) - presents consolidated </w:t>
      </w:r>
    </w:p>
    <w:p w14:paraId="55566C6B" w14:textId="77777777" w:rsidR="00F925DD" w:rsidRDefault="00F925DD">
      <w:pPr>
        <w:rPr>
          <w:rFonts w:ascii="Times New Roman" w:hAnsi="Times New Roman"/>
          <w:sz w:val="20"/>
          <w:szCs w:val="20"/>
        </w:rPr>
      </w:pPr>
    </w:p>
    <w:p w14:paraId="55566C6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w:t>
      </w:r>
    </w:p>
    <w:p w14:paraId="55566C6D" w14:textId="77777777" w:rsidR="00F925DD" w:rsidRDefault="00F925DD">
      <w:pPr>
        <w:spacing w:line="288" w:lineRule="auto"/>
        <w:ind w:firstLine="600"/>
        <w:jc w:val="center"/>
        <w:rPr>
          <w:rFonts w:ascii="Times New Roman" w:hAnsi="Times New Roman"/>
          <w:sz w:val="18"/>
          <w:szCs w:val="18"/>
        </w:rPr>
      </w:pPr>
    </w:p>
    <w:p w14:paraId="55566C6E" w14:textId="77777777" w:rsidR="00F925DD" w:rsidRDefault="00E705D7">
      <w:r>
        <w:rPr>
          <w:rFonts w:ascii="Times New Roman" w:hAnsi="Times New Roman"/>
          <w:sz w:val="18"/>
          <w:szCs w:val="18"/>
        </w:rPr>
        <w:pict w14:anchorId="55570649">
          <v:rect id="_x0000_i1041" style="width:415.3pt;height:1.5pt" o:hralign="center" o:hrstd="t" o:hr="t" fillcolor="#a0a0a0" stroked="f"/>
        </w:pict>
      </w:r>
    </w:p>
    <w:p w14:paraId="55566C6F" w14:textId="77777777" w:rsidR="00F925DD" w:rsidRDefault="00F925DD">
      <w:pPr>
        <w:spacing w:line="288" w:lineRule="auto"/>
        <w:ind w:firstLine="600"/>
        <w:rPr>
          <w:rFonts w:ascii="Times New Roman" w:hAnsi="Times New Roman"/>
          <w:sz w:val="18"/>
          <w:szCs w:val="18"/>
        </w:rPr>
      </w:pPr>
    </w:p>
    <w:p w14:paraId="55566C70" w14:textId="77777777" w:rsidR="00F925DD" w:rsidRDefault="00F925DD">
      <w:pPr>
        <w:rPr>
          <w:rFonts w:ascii="Times New Roman" w:hAnsi="Times New Roman"/>
          <w:sz w:val="20"/>
          <w:szCs w:val="20"/>
        </w:rPr>
      </w:pPr>
    </w:p>
    <w:p w14:paraId="55566C7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average balance sheet amounts, related fully taxable-equivalent interest earned and paid, related average yields and rates paid and</w:t>
      </w:r>
      <w:r>
        <w:rPr>
          <w:rFonts w:ascii="Arial" w:eastAsia="宋体" w:hAnsi="Arial" w:cs="Arial"/>
          <w:sz w:val="20"/>
          <w:szCs w:val="20"/>
        </w:rPr>
        <w:t xml:space="preserve"> changes in fully taxable-equivalent interest income and interest expense for each major category of interest-earning assets and interest-bearing liabilities.</w:t>
      </w:r>
    </w:p>
    <w:p w14:paraId="55566C7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“Investment Securities” section included in our Management's Discussion and Analysis (Item 7) and</w:t>
      </w:r>
      <w:r>
        <w:rPr>
          <w:rFonts w:ascii="Arial" w:eastAsia="宋体" w:hAnsi="Arial" w:cs="Arial"/>
          <w:sz w:val="20"/>
          <w:szCs w:val="20"/>
        </w:rPr>
        <w:t xml:space="preserve"> Note 3, “Investment Securities,” to the consolidated financial statements (Item 8) - disclose information regarding book values, market values, maturities and weighted-average yields of securities (by category).</w:t>
      </w:r>
    </w:p>
    <w:p w14:paraId="55566C7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“Loans and Leases” section included in </w:t>
      </w:r>
      <w:r>
        <w:rPr>
          <w:rFonts w:ascii="Arial" w:eastAsia="宋体" w:hAnsi="Arial" w:cs="Arial"/>
          <w:sz w:val="20"/>
          <w:szCs w:val="20"/>
        </w:rPr>
        <w:t>our Management’s Discussion and Analysis (Item 7) and Note 4, “Loans,” to the consolidated financial statements (Item 8) - disclose our policy for placing loans and leases on non-accrual status and distribution of loans, loan maturities and sensitivities o</w:t>
      </w:r>
      <w:r>
        <w:rPr>
          <w:rFonts w:ascii="Arial" w:eastAsia="宋体" w:hAnsi="Arial" w:cs="Arial"/>
          <w:sz w:val="20"/>
          <w:szCs w:val="20"/>
        </w:rPr>
        <w:t>f loans to changes in interest rates.</w:t>
      </w:r>
    </w:p>
    <w:p w14:paraId="55566C7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“Loans and Leases” and “Cross-Border Outstandings” sections of Management’s Discussion and Analysis (Item 7) - disclose information regarding our cross-border outstandings and other loan concentrations.</w:t>
      </w:r>
    </w:p>
    <w:p w14:paraId="55566C7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“Credit Risk Ma</w:t>
      </w:r>
      <w:r>
        <w:rPr>
          <w:rFonts w:ascii="Arial" w:eastAsia="宋体" w:hAnsi="Arial" w:cs="Arial"/>
          <w:sz w:val="20"/>
          <w:szCs w:val="20"/>
        </w:rPr>
        <w:t>nagement” section included in Management’s Discussion and Analysis (Item 7) and Note 4, “Loans,” to the consolidated financial statements (Item 8) - present the allocation of the allowance for loan losses, and a description of factors which influenced mana</w:t>
      </w:r>
      <w:r>
        <w:rPr>
          <w:rFonts w:ascii="Arial" w:eastAsia="宋体" w:hAnsi="Arial" w:cs="Arial"/>
          <w:sz w:val="20"/>
          <w:szCs w:val="20"/>
        </w:rPr>
        <w:t>gement’s judgment in determining amounts of additions or reductions to the allowance, if any, charged or credited to results of operations.</w:t>
      </w:r>
    </w:p>
    <w:p w14:paraId="55566C7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“Distribution of Average Assets, Liabilities and Shareholders’ Equity; Interest Rates and Interest Differential” tab</w:t>
      </w:r>
      <w:r>
        <w:rPr>
          <w:rFonts w:ascii="Arial" w:eastAsia="宋体" w:hAnsi="Arial" w:cs="Arial"/>
          <w:sz w:val="20"/>
          <w:szCs w:val="20"/>
        </w:rPr>
        <w:t>le (Item 8) - discloses deposit information.</w:t>
      </w:r>
    </w:p>
    <w:p w14:paraId="55566C7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Note 8, “Short-Term Borrowings,” to the consolidated financial statements (Item 8) - discloses information regarding our short-term borrowings.</w:t>
      </w:r>
    </w:p>
    <w:p w14:paraId="55566C78"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ITEM 1A. RISK FACTOR</w:t>
      </w:r>
      <w:r>
        <w:rPr>
          <w:rFonts w:ascii="Arial" w:eastAsia="宋体" w:hAnsi="Arial" w:cs="Arial"/>
          <w:b/>
          <w:bCs/>
          <w:sz w:val="20"/>
          <w:szCs w:val="20"/>
        </w:rPr>
        <w:t>S</w:t>
      </w:r>
      <w:r>
        <w:rPr>
          <w:rFonts w:ascii="Arial" w:eastAsia="宋体" w:hAnsi="Arial" w:cs="Arial"/>
          <w:sz w:val="20"/>
          <w:szCs w:val="20"/>
        </w:rPr>
        <w:t> </w:t>
      </w:r>
    </w:p>
    <w:p w14:paraId="55566C79"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Forward-Looking Statements</w:t>
      </w:r>
    </w:p>
    <w:p w14:paraId="55566C7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This Form 10-K, as well as other reports and proxy materials submitted by us under the Securities Exchange Act of 1934, registration statements filed by us under the Securities Act of 1933, our annual report to shareholders and other public statements we m</w:t>
      </w:r>
      <w:r>
        <w:rPr>
          <w:rFonts w:ascii="Arial" w:eastAsia="宋体" w:hAnsi="Arial" w:cs="Arial"/>
          <w:sz w:val="20"/>
          <w:szCs w:val="20"/>
        </w:rPr>
        <w:t>ay make, may contain statements (including statements in our Management's Discussion and Analysis included in such reports, as applicable) that are considered “forward-looking statements” within the meaning of U.S. securities laws, including statements abo</w:t>
      </w:r>
      <w:r>
        <w:rPr>
          <w:rFonts w:ascii="Arial" w:eastAsia="宋体" w:hAnsi="Arial" w:cs="Arial"/>
          <w:sz w:val="20"/>
          <w:szCs w:val="20"/>
        </w:rPr>
        <w:t xml:space="preserve">ut our goals and expectations regarding our business, financial and capital condition, results of operations, strategies, cost savings and transformation initiatives, investment portfolio </w:t>
      </w:r>
    </w:p>
    <w:p w14:paraId="55566C7B"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C7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performance, dividend and stock purchase programs, outcomes of le</w:t>
      </w:r>
      <w:r>
        <w:rPr>
          <w:rFonts w:ascii="Arial" w:eastAsia="宋体" w:hAnsi="Arial" w:cs="Arial"/>
          <w:sz w:val="20"/>
          <w:szCs w:val="20"/>
        </w:rPr>
        <w:t>gal proceedings, market growth, acquisitions, joint ventures and divestitures, client growth and new technologies, services and opportunities, as well as industry, governmental, regulatory, economic and market trends, initiatives and developments, the busi</w:t>
      </w:r>
      <w:r>
        <w:rPr>
          <w:rFonts w:ascii="Arial" w:eastAsia="宋体" w:hAnsi="Arial" w:cs="Arial"/>
          <w:sz w:val="20"/>
          <w:szCs w:val="20"/>
        </w:rPr>
        <w:t>ness environment and other matters that do not relate strictly to historical facts.</w:t>
      </w:r>
    </w:p>
    <w:p w14:paraId="55566C7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Terminology such as “plan,” “expect,” “intend,” “objective,” “forecast,” “outlook,” “believe,” “priority,” “anticipate,” “estimate,” “seek,” “may,” “will,” “trend,” “target</w:t>
      </w:r>
      <w:r>
        <w:rPr>
          <w:rFonts w:ascii="Arial" w:eastAsia="宋体" w:hAnsi="Arial" w:cs="Arial"/>
          <w:sz w:val="20"/>
          <w:szCs w:val="20"/>
        </w:rPr>
        <w:t>,” “strategy” and “goal,” or similar statements or variations of such terms, are intended to identify forward-looking statements, although not all forward-looking statements contain such terms.</w:t>
      </w:r>
    </w:p>
    <w:p w14:paraId="55566C7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Forward-looking statements are subject to various risks and un</w:t>
      </w:r>
      <w:r>
        <w:rPr>
          <w:rFonts w:ascii="Arial" w:eastAsia="宋体" w:hAnsi="Arial" w:cs="Arial"/>
          <w:sz w:val="20"/>
          <w:szCs w:val="20"/>
        </w:rPr>
        <w:t>certainties, which change over time, are based on management's expectations and assumptions at the time the statements are made and are not guarantees of future results. Management's expectations and assumptions, and the continued validity of the forward-l</w:t>
      </w:r>
      <w:r>
        <w:rPr>
          <w:rFonts w:ascii="Arial" w:eastAsia="宋体" w:hAnsi="Arial" w:cs="Arial"/>
          <w:sz w:val="20"/>
          <w:szCs w:val="20"/>
        </w:rPr>
        <w:t>ooking statements, are subject to change due to a broad range of factors affecting the U.S. and global economies, regulatory environment and the equity</w:t>
      </w:r>
      <w:r>
        <w:rPr>
          <w:rFonts w:ascii="Times New Roman" w:eastAsia="宋体" w:hAnsi="Times New Roman"/>
          <w:sz w:val="20"/>
          <w:szCs w:val="20"/>
        </w:rPr>
        <w:t>,</w:t>
      </w:r>
      <w:r>
        <w:rPr>
          <w:rFonts w:ascii="Arial" w:eastAsia="宋体" w:hAnsi="Arial" w:cs="Arial"/>
          <w:sz w:val="20"/>
          <w:szCs w:val="20"/>
        </w:rPr>
        <w:t xml:space="preserve"> debt, currency and other financial markets, as well as factors specific to State Street and its subsidi</w:t>
      </w:r>
      <w:r>
        <w:rPr>
          <w:rFonts w:ascii="Arial" w:eastAsia="宋体" w:hAnsi="Arial" w:cs="Arial"/>
          <w:sz w:val="20"/>
          <w:szCs w:val="20"/>
        </w:rPr>
        <w:t>aries, including State Street Bank. Factors that could cause changes in the expectations or assumptions on which forward-looking statements are based cannot be foreseen with certainty and include the factors described below under the headings "Risk Factors</w:t>
      </w:r>
      <w:r>
        <w:rPr>
          <w:rFonts w:ascii="Arial" w:eastAsia="宋体" w:hAnsi="Arial" w:cs="Arial"/>
          <w:sz w:val="20"/>
          <w:szCs w:val="20"/>
        </w:rPr>
        <w:t xml:space="preserve"> Summary" and "Risk Factors" and elsewhere in this Form 10-K, including under "Management's Discussion and Analysis." </w:t>
      </w:r>
    </w:p>
    <w:p w14:paraId="55566C7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Actual outcomes and results may differ materially from what is expressed in our forward-looking statements and from our historical financ</w:t>
      </w:r>
      <w:r>
        <w:rPr>
          <w:rFonts w:ascii="Arial" w:eastAsia="宋体" w:hAnsi="Arial" w:cs="Arial"/>
          <w:sz w:val="20"/>
          <w:szCs w:val="20"/>
        </w:rPr>
        <w:t>ial results due to the factors discussed in this section and elsewhere in this Form 10-K or disclosed in our other SEC filings. Forward-looking statements in this Form 10-K should not be relied on as representing our expectations or assumptions as of any t</w:t>
      </w:r>
      <w:r>
        <w:rPr>
          <w:rFonts w:ascii="Arial" w:eastAsia="宋体" w:hAnsi="Arial" w:cs="Arial"/>
          <w:sz w:val="20"/>
          <w:szCs w:val="20"/>
        </w:rPr>
        <w:t>ime subsequent to the time this Form 10-K is filed with the SEC. We undertake no obligation to revise our forward-looking statements after the time they are made. The factors discussed herein are not intended to be a complete statement of all risks and unc</w:t>
      </w:r>
      <w:r>
        <w:rPr>
          <w:rFonts w:ascii="Arial" w:eastAsia="宋体" w:hAnsi="Arial" w:cs="Arial"/>
          <w:sz w:val="20"/>
          <w:szCs w:val="20"/>
        </w:rPr>
        <w:t xml:space="preserve">ertainties that may affect our businesses. We cannot anticipate all developments that may adversely affect our business or operations or our consolidated results of operations, financial condition or cash flows. </w:t>
      </w:r>
    </w:p>
    <w:p w14:paraId="55566C8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Forward-looking statements should not be vi</w:t>
      </w:r>
      <w:r>
        <w:rPr>
          <w:rFonts w:ascii="Arial" w:eastAsia="宋体" w:hAnsi="Arial" w:cs="Arial"/>
          <w:sz w:val="20"/>
          <w:szCs w:val="20"/>
        </w:rPr>
        <w:t>ewed as predictions and should not be the primary basis on which investors evaluate State Street. Any investor in State Street should consider all risks and uncertainties disclosed in our SEC filings, including our filings under the Securities Exchange Act</w:t>
      </w:r>
      <w:r>
        <w:rPr>
          <w:rFonts w:ascii="Arial" w:eastAsia="宋体" w:hAnsi="Arial" w:cs="Arial"/>
          <w:sz w:val="20"/>
          <w:szCs w:val="20"/>
        </w:rPr>
        <w:t xml:space="preserve"> of 1934, in particular our annual reports on Form 10-K, our quarterly reports on </w:t>
      </w:r>
    </w:p>
    <w:p w14:paraId="55566C81" w14:textId="77777777" w:rsidR="00F925DD" w:rsidRDefault="00F925DD">
      <w:pPr>
        <w:rPr>
          <w:rFonts w:ascii="Times New Roman" w:hAnsi="Times New Roman"/>
          <w:sz w:val="20"/>
          <w:szCs w:val="20"/>
        </w:rPr>
      </w:pPr>
    </w:p>
    <w:p w14:paraId="55566C8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18</w:t>
      </w:r>
    </w:p>
    <w:p w14:paraId="55566C83" w14:textId="77777777" w:rsidR="00F925DD" w:rsidRDefault="00F925DD">
      <w:pPr>
        <w:spacing w:line="288" w:lineRule="auto"/>
        <w:ind w:firstLine="600"/>
        <w:jc w:val="center"/>
        <w:rPr>
          <w:rFonts w:ascii="Times New Roman" w:hAnsi="Times New Roman"/>
          <w:sz w:val="18"/>
          <w:szCs w:val="18"/>
        </w:rPr>
      </w:pPr>
    </w:p>
    <w:p w14:paraId="55566C84" w14:textId="77777777" w:rsidR="00F925DD" w:rsidRDefault="00E705D7">
      <w:r>
        <w:rPr>
          <w:rFonts w:ascii="Times New Roman" w:hAnsi="Times New Roman"/>
          <w:sz w:val="18"/>
          <w:szCs w:val="18"/>
        </w:rPr>
        <w:pict w14:anchorId="5557064A">
          <v:rect id="_x0000_i1042" style="width:415.3pt;height:1.5pt" o:hralign="center" o:hrstd="t" o:hr="t" fillcolor="#a0a0a0" stroked="f"/>
        </w:pict>
      </w:r>
    </w:p>
    <w:p w14:paraId="55566C85" w14:textId="77777777" w:rsidR="00F925DD" w:rsidRDefault="00F925DD">
      <w:pPr>
        <w:rPr>
          <w:rFonts w:ascii="Times New Roman" w:hAnsi="Times New Roman"/>
          <w:sz w:val="20"/>
          <w:szCs w:val="20"/>
        </w:rPr>
      </w:pPr>
    </w:p>
    <w:p w14:paraId="55566C86"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Form 10-Q and our current reports on Form 8-K, or registration statements filed under the Securities Act of 1933, all of which are accessi</w:t>
      </w:r>
      <w:r>
        <w:rPr>
          <w:rFonts w:ascii="Arial" w:eastAsia="宋体" w:hAnsi="Arial" w:cs="Arial"/>
          <w:sz w:val="20"/>
          <w:szCs w:val="20"/>
        </w:rPr>
        <w:t xml:space="preserve">ble on the SEC's website at </w:t>
      </w:r>
      <w:r>
        <w:rPr>
          <w:rFonts w:ascii="Arial" w:eastAsia="宋体" w:hAnsi="Arial" w:cs="Arial"/>
          <w:i/>
          <w:iCs/>
          <w:sz w:val="20"/>
          <w:szCs w:val="20"/>
        </w:rPr>
        <w:t xml:space="preserve">www.sec.gov </w:t>
      </w:r>
      <w:r>
        <w:rPr>
          <w:rFonts w:ascii="Arial" w:eastAsia="宋体" w:hAnsi="Arial" w:cs="Arial"/>
          <w:sz w:val="20"/>
          <w:szCs w:val="20"/>
        </w:rPr>
        <w:t xml:space="preserve">or on the “Investor Relations” section of our corporate website at </w:t>
      </w:r>
      <w:r>
        <w:rPr>
          <w:rFonts w:ascii="Arial" w:eastAsia="宋体" w:hAnsi="Arial" w:cs="Arial"/>
          <w:i/>
          <w:iCs/>
          <w:sz w:val="20"/>
          <w:szCs w:val="20"/>
        </w:rPr>
        <w:t>www.statestreet.com</w:t>
      </w:r>
      <w:r>
        <w:rPr>
          <w:rFonts w:ascii="Times New Roman" w:eastAsia="宋体" w:hAnsi="Times New Roman"/>
          <w:sz w:val="20"/>
          <w:szCs w:val="20"/>
        </w:rPr>
        <w:t xml:space="preserve">. </w:t>
      </w:r>
    </w:p>
    <w:p w14:paraId="55566C87"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Risk Factors Summary</w:t>
      </w:r>
    </w:p>
    <w:p w14:paraId="55566C8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color w:val="212529"/>
          <w:sz w:val="20"/>
          <w:szCs w:val="20"/>
        </w:rPr>
        <w:t xml:space="preserve">The below summary risks provide an overview of many of the risks we are exposed to in the normal </w:t>
      </w:r>
      <w:r>
        <w:rPr>
          <w:rFonts w:ascii="Arial" w:eastAsia="宋体" w:hAnsi="Arial" w:cs="Arial"/>
          <w:color w:val="212529"/>
          <w:sz w:val="20"/>
          <w:szCs w:val="20"/>
        </w:rPr>
        <w:t>course of our business activities. As a result, the below summary risks do not contain all of the information that may be important to you, and you should read the summary risks together with the more detailed discussion of risks set forth following this s</w:t>
      </w:r>
      <w:r>
        <w:rPr>
          <w:rFonts w:ascii="Arial" w:eastAsia="宋体" w:hAnsi="Arial" w:cs="Arial"/>
          <w:color w:val="212529"/>
          <w:sz w:val="20"/>
          <w:szCs w:val="20"/>
        </w:rPr>
        <w:t>ection under the heading "Risk Factors," as well as elsewhere in this Form 10-K under the heading "Management's Discussion and Analysis." Additional risks, beyond those summarized below or discussed in "Risk Factors" and "Management's Discussion and Analys</w:t>
      </w:r>
      <w:r>
        <w:rPr>
          <w:rFonts w:ascii="Arial" w:eastAsia="宋体" w:hAnsi="Arial" w:cs="Arial"/>
          <w:color w:val="212529"/>
          <w:sz w:val="20"/>
          <w:szCs w:val="20"/>
        </w:rPr>
        <w:t>is", may apply to our activities or operations as currently conducted or as we may conduct them in the future or in the markets in which we operate or may in the future operate. Consistent with the foregoing, we are exposed to a variety of risks, including</w:t>
      </w:r>
      <w:r>
        <w:rPr>
          <w:rFonts w:ascii="Arial" w:eastAsia="宋体" w:hAnsi="Arial" w:cs="Arial"/>
          <w:color w:val="212529"/>
          <w:sz w:val="20"/>
          <w:szCs w:val="20"/>
        </w:rPr>
        <w:t xml:space="preserve"> risks associated with:</w:t>
      </w: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C8B" w14:textId="77777777">
        <w:trPr>
          <w:tblCellSpacing w:w="0" w:type="dxa"/>
        </w:trPr>
        <w:tc>
          <w:tcPr>
            <w:tcW w:w="580" w:type="dxa"/>
            <w:shd w:val="clear" w:color="auto" w:fill="auto"/>
            <w:vAlign w:val="center"/>
          </w:tcPr>
          <w:p w14:paraId="55566C89" w14:textId="77777777" w:rsidR="00F925DD" w:rsidRDefault="00F925DD">
            <w:pPr>
              <w:rPr>
                <w:rFonts w:ascii="Times New Roman" w:hAnsi="Times New Roman"/>
                <w:sz w:val="20"/>
                <w:szCs w:val="20"/>
              </w:rPr>
            </w:pPr>
          </w:p>
        </w:tc>
        <w:tc>
          <w:tcPr>
            <w:tcW w:w="0" w:type="auto"/>
            <w:shd w:val="clear" w:color="auto" w:fill="auto"/>
            <w:vAlign w:val="center"/>
          </w:tcPr>
          <w:p w14:paraId="55566C8A" w14:textId="77777777" w:rsidR="00F925DD" w:rsidRDefault="00F925DD">
            <w:pPr>
              <w:rPr>
                <w:rFonts w:ascii="Times New Roman" w:hAnsi="Times New Roman"/>
                <w:sz w:val="20"/>
                <w:szCs w:val="20"/>
              </w:rPr>
            </w:pPr>
          </w:p>
        </w:tc>
      </w:tr>
      <w:tr w:rsidR="00F925DD" w14:paraId="55566C8E" w14:textId="77777777">
        <w:trPr>
          <w:tblCellSpacing w:w="0" w:type="dxa"/>
        </w:trPr>
        <w:tc>
          <w:tcPr>
            <w:tcW w:w="0" w:type="auto"/>
            <w:shd w:val="clear" w:color="auto" w:fill="auto"/>
          </w:tcPr>
          <w:p w14:paraId="55566C8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8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financial strength of the counterparties with which we or our clients do business and to which we have investment, credit or financial exposures or to which our clients have such exposures as a result of our acting as agent, including as an asset manag</w:t>
            </w:r>
            <w:r>
              <w:rPr>
                <w:rFonts w:ascii="Arial" w:eastAsia="宋体" w:hAnsi="Arial" w:cs="Arial"/>
                <w:sz w:val="20"/>
                <w:szCs w:val="20"/>
              </w:rPr>
              <w:t xml:space="preserve">er or securities lending agent; </w:t>
            </w:r>
          </w:p>
        </w:tc>
      </w:tr>
    </w:tbl>
    <w:p w14:paraId="55566C8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92" w14:textId="77777777">
        <w:trPr>
          <w:tblCellSpacing w:w="0" w:type="dxa"/>
        </w:trPr>
        <w:tc>
          <w:tcPr>
            <w:tcW w:w="600" w:type="dxa"/>
            <w:shd w:val="clear" w:color="auto" w:fill="auto"/>
            <w:vAlign w:val="center"/>
          </w:tcPr>
          <w:p w14:paraId="55566C90" w14:textId="77777777" w:rsidR="00F925DD" w:rsidRDefault="00F925DD">
            <w:pPr>
              <w:rPr>
                <w:rFonts w:ascii="Times New Roman" w:hAnsi="Times New Roman"/>
                <w:sz w:val="20"/>
                <w:szCs w:val="20"/>
              </w:rPr>
            </w:pPr>
          </w:p>
        </w:tc>
        <w:tc>
          <w:tcPr>
            <w:tcW w:w="0" w:type="auto"/>
            <w:shd w:val="clear" w:color="auto" w:fill="auto"/>
            <w:vAlign w:val="center"/>
          </w:tcPr>
          <w:p w14:paraId="55566C91" w14:textId="77777777" w:rsidR="00F925DD" w:rsidRDefault="00F925DD">
            <w:pPr>
              <w:rPr>
                <w:rFonts w:ascii="Times New Roman" w:hAnsi="Times New Roman"/>
                <w:sz w:val="20"/>
                <w:szCs w:val="20"/>
              </w:rPr>
            </w:pPr>
          </w:p>
        </w:tc>
      </w:tr>
      <w:tr w:rsidR="00F925DD" w14:paraId="55566C95" w14:textId="77777777">
        <w:trPr>
          <w:tblCellSpacing w:w="0" w:type="dxa"/>
        </w:trPr>
        <w:tc>
          <w:tcPr>
            <w:tcW w:w="0" w:type="auto"/>
            <w:shd w:val="clear" w:color="auto" w:fill="auto"/>
          </w:tcPr>
          <w:p w14:paraId="55566C9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9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increases in the volatility of, or declines in the level of, our NII; changes in the composition or valuation of the assets recorded in our consolidated statement of condition (and our ability to measure the fair value of investment securities); and change</w:t>
            </w:r>
            <w:r>
              <w:rPr>
                <w:rFonts w:ascii="Arial" w:eastAsia="宋体" w:hAnsi="Arial" w:cs="Arial"/>
                <w:sz w:val="20"/>
                <w:szCs w:val="20"/>
              </w:rPr>
              <w:t xml:space="preserve">s in the manner in which we fund those assets; </w:t>
            </w:r>
          </w:p>
        </w:tc>
      </w:tr>
    </w:tbl>
    <w:p w14:paraId="55566C9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99" w14:textId="77777777">
        <w:trPr>
          <w:tblCellSpacing w:w="0" w:type="dxa"/>
        </w:trPr>
        <w:tc>
          <w:tcPr>
            <w:tcW w:w="600" w:type="dxa"/>
            <w:shd w:val="clear" w:color="auto" w:fill="auto"/>
            <w:vAlign w:val="center"/>
          </w:tcPr>
          <w:p w14:paraId="55566C97" w14:textId="77777777" w:rsidR="00F925DD" w:rsidRDefault="00F925DD">
            <w:pPr>
              <w:rPr>
                <w:rFonts w:ascii="Times New Roman" w:hAnsi="Times New Roman"/>
                <w:sz w:val="20"/>
                <w:szCs w:val="20"/>
              </w:rPr>
            </w:pPr>
          </w:p>
        </w:tc>
        <w:tc>
          <w:tcPr>
            <w:tcW w:w="0" w:type="auto"/>
            <w:shd w:val="clear" w:color="auto" w:fill="auto"/>
            <w:vAlign w:val="center"/>
          </w:tcPr>
          <w:p w14:paraId="55566C98" w14:textId="77777777" w:rsidR="00F925DD" w:rsidRDefault="00F925DD">
            <w:pPr>
              <w:rPr>
                <w:rFonts w:ascii="Times New Roman" w:hAnsi="Times New Roman"/>
                <w:sz w:val="20"/>
                <w:szCs w:val="20"/>
              </w:rPr>
            </w:pPr>
          </w:p>
        </w:tc>
      </w:tr>
      <w:tr w:rsidR="00F925DD" w14:paraId="55566C9C" w14:textId="77777777">
        <w:trPr>
          <w:tblCellSpacing w:w="0" w:type="dxa"/>
        </w:trPr>
        <w:tc>
          <w:tcPr>
            <w:tcW w:w="0" w:type="auto"/>
            <w:shd w:val="clear" w:color="auto" w:fill="auto"/>
          </w:tcPr>
          <w:p w14:paraId="55566C9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9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volatility of servicing fee, management fee, trading fee and securities finance revenues due to, among other factors, the value of equity and fixed-income markets, market interest and FX rates, the</w:t>
            </w:r>
            <w:r>
              <w:rPr>
                <w:rFonts w:ascii="Arial" w:eastAsia="宋体" w:hAnsi="Arial" w:cs="Arial"/>
                <w:sz w:val="20"/>
                <w:szCs w:val="20"/>
              </w:rPr>
              <w:t xml:space="preserve"> volume of client transaction activity, competitive pressures in the investment servicing and asset management industries, and the timing of revenue recognition with respect to software and processing fees revenues; </w:t>
            </w:r>
          </w:p>
        </w:tc>
      </w:tr>
    </w:tbl>
    <w:p w14:paraId="55566C9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A0" w14:textId="77777777">
        <w:trPr>
          <w:tblCellSpacing w:w="0" w:type="dxa"/>
        </w:trPr>
        <w:tc>
          <w:tcPr>
            <w:tcW w:w="600" w:type="dxa"/>
            <w:shd w:val="clear" w:color="auto" w:fill="auto"/>
            <w:vAlign w:val="center"/>
          </w:tcPr>
          <w:p w14:paraId="55566C9E" w14:textId="77777777" w:rsidR="00F925DD" w:rsidRDefault="00F925DD">
            <w:pPr>
              <w:rPr>
                <w:rFonts w:ascii="Times New Roman" w:hAnsi="Times New Roman"/>
                <w:sz w:val="20"/>
                <w:szCs w:val="20"/>
              </w:rPr>
            </w:pPr>
          </w:p>
        </w:tc>
        <w:tc>
          <w:tcPr>
            <w:tcW w:w="0" w:type="auto"/>
            <w:shd w:val="clear" w:color="auto" w:fill="auto"/>
            <w:vAlign w:val="center"/>
          </w:tcPr>
          <w:p w14:paraId="55566C9F" w14:textId="77777777" w:rsidR="00F925DD" w:rsidRDefault="00F925DD">
            <w:pPr>
              <w:rPr>
                <w:rFonts w:ascii="Times New Roman" w:hAnsi="Times New Roman"/>
                <w:sz w:val="20"/>
                <w:szCs w:val="20"/>
              </w:rPr>
            </w:pPr>
          </w:p>
        </w:tc>
      </w:tr>
      <w:tr w:rsidR="00F925DD" w14:paraId="55566CA3" w14:textId="77777777">
        <w:trPr>
          <w:tblCellSpacing w:w="0" w:type="dxa"/>
        </w:trPr>
        <w:tc>
          <w:tcPr>
            <w:tcW w:w="0" w:type="auto"/>
            <w:shd w:val="clear" w:color="auto" w:fill="auto"/>
          </w:tcPr>
          <w:p w14:paraId="55566CA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A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liquidity of the U.S. and international securities markets, particularly the markets for fixed-income securities and inter-bank credits; the liquidity of the assets on our balance sheet and changes or volatility in the sources of such funding, particul</w:t>
            </w:r>
            <w:r>
              <w:rPr>
                <w:rFonts w:ascii="Arial" w:eastAsia="宋体" w:hAnsi="Arial" w:cs="Arial"/>
                <w:sz w:val="20"/>
                <w:szCs w:val="20"/>
              </w:rPr>
              <w:t xml:space="preserve">arly the deposits of our clients; and demands upon our liquidity, including the liquidity demands and requirements of our clients; </w:t>
            </w:r>
          </w:p>
        </w:tc>
      </w:tr>
    </w:tbl>
    <w:p w14:paraId="55566CA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CA7" w14:textId="77777777">
        <w:trPr>
          <w:tblCellSpacing w:w="0" w:type="dxa"/>
        </w:trPr>
        <w:tc>
          <w:tcPr>
            <w:tcW w:w="580" w:type="dxa"/>
            <w:shd w:val="clear" w:color="auto" w:fill="auto"/>
            <w:vAlign w:val="center"/>
          </w:tcPr>
          <w:p w14:paraId="55566CA5" w14:textId="77777777" w:rsidR="00F925DD" w:rsidRDefault="00F925DD">
            <w:pPr>
              <w:rPr>
                <w:rFonts w:ascii="Times New Roman" w:hAnsi="Times New Roman"/>
                <w:sz w:val="20"/>
                <w:szCs w:val="20"/>
              </w:rPr>
            </w:pPr>
          </w:p>
        </w:tc>
        <w:tc>
          <w:tcPr>
            <w:tcW w:w="0" w:type="auto"/>
            <w:shd w:val="clear" w:color="auto" w:fill="auto"/>
            <w:vAlign w:val="center"/>
          </w:tcPr>
          <w:p w14:paraId="55566CA6" w14:textId="77777777" w:rsidR="00F925DD" w:rsidRDefault="00F925DD">
            <w:pPr>
              <w:rPr>
                <w:rFonts w:ascii="Times New Roman" w:hAnsi="Times New Roman"/>
                <w:sz w:val="20"/>
                <w:szCs w:val="20"/>
              </w:rPr>
            </w:pPr>
          </w:p>
        </w:tc>
      </w:tr>
      <w:tr w:rsidR="00F925DD" w14:paraId="55566CAA" w14:textId="77777777">
        <w:trPr>
          <w:tblCellSpacing w:w="0" w:type="dxa"/>
        </w:trPr>
        <w:tc>
          <w:tcPr>
            <w:tcW w:w="0" w:type="auto"/>
            <w:shd w:val="clear" w:color="auto" w:fill="auto"/>
          </w:tcPr>
          <w:p w14:paraId="55566CA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A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level, volatility and uncertainty of interest rates; the expected discontinuation of Interbank Offered Rates including London Interbank Offered Rate (LIBOR); the valuation of the U.S. dollar relative to other currencies in which we record revenue or </w:t>
            </w:r>
          </w:p>
        </w:tc>
      </w:tr>
    </w:tbl>
    <w:p w14:paraId="55566CAB"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CA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accrue expenses; the performance and volatility of securities, credit, currency and other markets in the U.S. and internationally; and the impact of monetary and fiscal policy in the U.S. and internationally on prevailing rates of interest and currency e</w:t>
      </w:r>
      <w:r>
        <w:rPr>
          <w:rFonts w:ascii="Arial" w:eastAsia="宋体" w:hAnsi="Arial" w:cs="Arial"/>
          <w:sz w:val="20"/>
          <w:szCs w:val="20"/>
        </w:rPr>
        <w:t xml:space="preserve">xchange rates in the markets in which we provide services to our clients; </w:t>
      </w: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AF" w14:textId="77777777">
        <w:trPr>
          <w:tblCellSpacing w:w="0" w:type="dxa"/>
        </w:trPr>
        <w:tc>
          <w:tcPr>
            <w:tcW w:w="600" w:type="dxa"/>
            <w:shd w:val="clear" w:color="auto" w:fill="auto"/>
            <w:vAlign w:val="center"/>
          </w:tcPr>
          <w:p w14:paraId="55566CAD" w14:textId="77777777" w:rsidR="00F925DD" w:rsidRDefault="00F925DD">
            <w:pPr>
              <w:rPr>
                <w:rFonts w:ascii="Times New Roman" w:hAnsi="Times New Roman"/>
                <w:sz w:val="20"/>
                <w:szCs w:val="20"/>
              </w:rPr>
            </w:pPr>
          </w:p>
        </w:tc>
        <w:tc>
          <w:tcPr>
            <w:tcW w:w="0" w:type="auto"/>
            <w:shd w:val="clear" w:color="auto" w:fill="auto"/>
            <w:vAlign w:val="center"/>
          </w:tcPr>
          <w:p w14:paraId="55566CAE" w14:textId="77777777" w:rsidR="00F925DD" w:rsidRDefault="00F925DD">
            <w:pPr>
              <w:rPr>
                <w:rFonts w:ascii="Times New Roman" w:hAnsi="Times New Roman"/>
                <w:sz w:val="20"/>
                <w:szCs w:val="20"/>
              </w:rPr>
            </w:pPr>
          </w:p>
        </w:tc>
      </w:tr>
      <w:tr w:rsidR="00F925DD" w14:paraId="55566CB2" w14:textId="77777777">
        <w:trPr>
          <w:tblCellSpacing w:w="0" w:type="dxa"/>
        </w:trPr>
        <w:tc>
          <w:tcPr>
            <w:tcW w:w="0" w:type="auto"/>
            <w:shd w:val="clear" w:color="auto" w:fill="auto"/>
          </w:tcPr>
          <w:p w14:paraId="55566CB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B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credit quality, credit-agency ratings and fair values of the securities in our investment securities portfolio, a deterioration or downgrade of which could lead to OTTI of such securities and the recognition of an impairment loss in our consolidated st</w:t>
            </w:r>
            <w:r>
              <w:rPr>
                <w:rFonts w:ascii="Arial" w:eastAsia="宋体" w:hAnsi="Arial" w:cs="Arial"/>
                <w:sz w:val="20"/>
                <w:szCs w:val="20"/>
              </w:rPr>
              <w:t xml:space="preserve">atement of income; </w:t>
            </w:r>
          </w:p>
        </w:tc>
      </w:tr>
    </w:tbl>
    <w:p w14:paraId="55566CB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B6" w14:textId="77777777">
        <w:trPr>
          <w:tblCellSpacing w:w="0" w:type="dxa"/>
        </w:trPr>
        <w:tc>
          <w:tcPr>
            <w:tcW w:w="600" w:type="dxa"/>
            <w:shd w:val="clear" w:color="auto" w:fill="auto"/>
            <w:vAlign w:val="center"/>
          </w:tcPr>
          <w:p w14:paraId="55566CB4" w14:textId="77777777" w:rsidR="00F925DD" w:rsidRDefault="00F925DD">
            <w:pPr>
              <w:rPr>
                <w:rFonts w:ascii="Times New Roman" w:hAnsi="Times New Roman"/>
                <w:sz w:val="20"/>
                <w:szCs w:val="20"/>
              </w:rPr>
            </w:pPr>
          </w:p>
        </w:tc>
        <w:tc>
          <w:tcPr>
            <w:tcW w:w="0" w:type="auto"/>
            <w:shd w:val="clear" w:color="auto" w:fill="auto"/>
            <w:vAlign w:val="center"/>
          </w:tcPr>
          <w:p w14:paraId="55566CB5" w14:textId="77777777" w:rsidR="00F925DD" w:rsidRDefault="00F925DD">
            <w:pPr>
              <w:rPr>
                <w:rFonts w:ascii="Times New Roman" w:hAnsi="Times New Roman"/>
                <w:sz w:val="20"/>
                <w:szCs w:val="20"/>
              </w:rPr>
            </w:pPr>
          </w:p>
        </w:tc>
      </w:tr>
      <w:tr w:rsidR="00F925DD" w14:paraId="55566CB9" w14:textId="77777777">
        <w:trPr>
          <w:tblCellSpacing w:w="0" w:type="dxa"/>
        </w:trPr>
        <w:tc>
          <w:tcPr>
            <w:tcW w:w="0" w:type="auto"/>
            <w:shd w:val="clear" w:color="auto" w:fill="auto"/>
          </w:tcPr>
          <w:p w14:paraId="55566CB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B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attract and retain deposits and other low-cost, short-term funding; our ability to manage the level and pricing of such deposits and the relative portion of our deposits that are determined to be operational under </w:t>
            </w:r>
            <w:r>
              <w:rPr>
                <w:rFonts w:ascii="Arial" w:eastAsia="宋体" w:hAnsi="Arial" w:cs="Arial"/>
                <w:sz w:val="20"/>
                <w:szCs w:val="20"/>
              </w:rPr>
              <w:t>regulatory guidelines; our ability to deploy deposits in a profitable manner consistent with our liquidity needs, regulatory requirements and risk profile; and the risks associated with the potential liquidity mismatch between short-term deposit funding an</w:t>
            </w:r>
            <w:r>
              <w:rPr>
                <w:rFonts w:ascii="Arial" w:eastAsia="宋体" w:hAnsi="Arial" w:cs="Arial"/>
                <w:sz w:val="20"/>
                <w:szCs w:val="20"/>
              </w:rPr>
              <w:t>d longer term investments;</w:t>
            </w:r>
          </w:p>
        </w:tc>
      </w:tr>
    </w:tbl>
    <w:p w14:paraId="55566CB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BD" w14:textId="77777777">
        <w:trPr>
          <w:tblCellSpacing w:w="0" w:type="dxa"/>
        </w:trPr>
        <w:tc>
          <w:tcPr>
            <w:tcW w:w="600" w:type="dxa"/>
            <w:shd w:val="clear" w:color="auto" w:fill="auto"/>
            <w:vAlign w:val="center"/>
          </w:tcPr>
          <w:p w14:paraId="55566CBB" w14:textId="77777777" w:rsidR="00F925DD" w:rsidRDefault="00F925DD">
            <w:pPr>
              <w:rPr>
                <w:rFonts w:ascii="Times New Roman" w:hAnsi="Times New Roman"/>
                <w:sz w:val="20"/>
                <w:szCs w:val="20"/>
              </w:rPr>
            </w:pPr>
          </w:p>
        </w:tc>
        <w:tc>
          <w:tcPr>
            <w:tcW w:w="0" w:type="auto"/>
            <w:shd w:val="clear" w:color="auto" w:fill="auto"/>
            <w:vAlign w:val="center"/>
          </w:tcPr>
          <w:p w14:paraId="55566CBC" w14:textId="77777777" w:rsidR="00F925DD" w:rsidRDefault="00F925DD">
            <w:pPr>
              <w:rPr>
                <w:rFonts w:ascii="Times New Roman" w:hAnsi="Times New Roman"/>
                <w:sz w:val="20"/>
                <w:szCs w:val="20"/>
              </w:rPr>
            </w:pPr>
          </w:p>
        </w:tc>
      </w:tr>
      <w:tr w:rsidR="00F925DD" w14:paraId="55566CC0" w14:textId="77777777">
        <w:trPr>
          <w:tblCellSpacing w:w="0" w:type="dxa"/>
        </w:trPr>
        <w:tc>
          <w:tcPr>
            <w:tcW w:w="0" w:type="auto"/>
            <w:shd w:val="clear" w:color="auto" w:fill="auto"/>
          </w:tcPr>
          <w:p w14:paraId="55566CB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B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manner and timing with which the Federal Reserve and other U.S. and non-U.S. regulators implement or reevaluate the regulatory framework applicable to our operations (as well as changes to that framework), </w:t>
            </w:r>
            <w:r>
              <w:rPr>
                <w:rFonts w:ascii="Arial" w:eastAsia="宋体" w:hAnsi="Arial" w:cs="Arial"/>
                <w:sz w:val="20"/>
                <w:szCs w:val="20"/>
              </w:rPr>
              <w:t>including implementation or modification of the Dodd-Frank Act and related stress testing and resolution planning requirements and implementation of international standards applicable to financial institutions, such as those proposed by the Basel Committee</w:t>
            </w:r>
            <w:r>
              <w:rPr>
                <w:rFonts w:ascii="Arial" w:eastAsia="宋体" w:hAnsi="Arial" w:cs="Arial"/>
                <w:sz w:val="20"/>
                <w:szCs w:val="20"/>
              </w:rPr>
              <w:t xml:space="preserve"> and European legislation (such as Undertakings for Collective Investments in Transferable Securities (UCITS) V, the Money Market Fund Regulation and the Markets in Financial Instruments Directive (MiFID II)/Markets in Financial Instruments Regulation (MiF</w:t>
            </w:r>
            <w:r>
              <w:rPr>
                <w:rFonts w:ascii="Arial" w:eastAsia="宋体" w:hAnsi="Arial" w:cs="Arial"/>
                <w:sz w:val="20"/>
                <w:szCs w:val="20"/>
              </w:rPr>
              <w:t>IR)); among other consequences, these regulatory changes impact the levels of regulatory capital, long-term debt and liquidity we must maintain, acceptable levels of credit exposure to third parties, margin requirements applicable to derivatives, restricti</w:t>
            </w:r>
            <w:r>
              <w:rPr>
                <w:rFonts w:ascii="Arial" w:eastAsia="宋体" w:hAnsi="Arial" w:cs="Arial"/>
                <w:sz w:val="20"/>
                <w:szCs w:val="20"/>
              </w:rPr>
              <w:t xml:space="preserve">ons on banking and financial activities and the manner in which we structure and implement our global operations and servicing relationships. In addition, our regulatory posture and related expenses have been and will continue to be affected by heightened </w:t>
            </w:r>
            <w:r>
              <w:rPr>
                <w:rFonts w:ascii="Arial" w:eastAsia="宋体" w:hAnsi="Arial" w:cs="Arial"/>
                <w:sz w:val="20"/>
                <w:szCs w:val="20"/>
              </w:rPr>
              <w:t>standards and changes in regulatory expectations for global systemically important financial institutions applicable to, among other things, risk management, liquidity and capital planning, cyber-security, resiliency, resolution planning and compliance pro</w:t>
            </w:r>
            <w:r>
              <w:rPr>
                <w:rFonts w:ascii="Arial" w:eastAsia="宋体" w:hAnsi="Arial" w:cs="Arial"/>
                <w:sz w:val="20"/>
                <w:szCs w:val="20"/>
              </w:rPr>
              <w:t>grams, as well as changes in governmental enforcement approaches to perceived failures to comply with regulatory or legal obligations;</w:t>
            </w:r>
          </w:p>
        </w:tc>
      </w:tr>
    </w:tbl>
    <w:p w14:paraId="55566CC1" w14:textId="77777777" w:rsidR="00F925DD" w:rsidRDefault="00F925DD">
      <w:pPr>
        <w:rPr>
          <w:rFonts w:ascii="Times New Roman" w:hAnsi="Times New Roman"/>
          <w:sz w:val="20"/>
          <w:szCs w:val="20"/>
        </w:rPr>
      </w:pPr>
    </w:p>
    <w:p w14:paraId="55566CC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19</w:t>
      </w:r>
    </w:p>
    <w:p w14:paraId="55566CC3" w14:textId="77777777" w:rsidR="00F925DD" w:rsidRDefault="00F925DD">
      <w:pPr>
        <w:spacing w:line="288" w:lineRule="auto"/>
        <w:ind w:firstLine="600"/>
        <w:jc w:val="center"/>
        <w:rPr>
          <w:rFonts w:ascii="Times New Roman" w:hAnsi="Times New Roman"/>
          <w:sz w:val="18"/>
          <w:szCs w:val="18"/>
        </w:rPr>
      </w:pPr>
    </w:p>
    <w:p w14:paraId="55566CC4" w14:textId="77777777" w:rsidR="00F925DD" w:rsidRDefault="00E705D7">
      <w:r>
        <w:rPr>
          <w:rFonts w:ascii="Times New Roman" w:hAnsi="Times New Roman"/>
          <w:sz w:val="18"/>
          <w:szCs w:val="18"/>
        </w:rPr>
        <w:pict w14:anchorId="5557064B">
          <v:rect id="_x0000_i1043" style="width:415.3pt;height:1.5pt" o:hralign="center" o:hrstd="t" o:hr="t" fillcolor="#a0a0a0" stroked="f"/>
        </w:pict>
      </w:r>
    </w:p>
    <w:p w14:paraId="55566CC5" w14:textId="77777777" w:rsidR="00F925DD" w:rsidRDefault="00F925DD">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C8" w14:textId="77777777">
        <w:trPr>
          <w:tblCellSpacing w:w="0" w:type="dxa"/>
        </w:trPr>
        <w:tc>
          <w:tcPr>
            <w:tcW w:w="600" w:type="dxa"/>
            <w:shd w:val="clear" w:color="auto" w:fill="auto"/>
            <w:vAlign w:val="center"/>
          </w:tcPr>
          <w:p w14:paraId="55566CC6" w14:textId="77777777" w:rsidR="00F925DD" w:rsidRDefault="00F925DD">
            <w:pPr>
              <w:rPr>
                <w:rFonts w:ascii="Times New Roman" w:hAnsi="Times New Roman"/>
                <w:sz w:val="20"/>
                <w:szCs w:val="20"/>
              </w:rPr>
            </w:pPr>
          </w:p>
        </w:tc>
        <w:tc>
          <w:tcPr>
            <w:tcW w:w="0" w:type="auto"/>
            <w:shd w:val="clear" w:color="auto" w:fill="auto"/>
            <w:vAlign w:val="center"/>
          </w:tcPr>
          <w:p w14:paraId="55566CC7" w14:textId="77777777" w:rsidR="00F925DD" w:rsidRDefault="00F925DD">
            <w:pPr>
              <w:rPr>
                <w:rFonts w:ascii="Times New Roman" w:hAnsi="Times New Roman"/>
                <w:sz w:val="20"/>
                <w:szCs w:val="20"/>
              </w:rPr>
            </w:pPr>
          </w:p>
        </w:tc>
      </w:tr>
      <w:tr w:rsidR="00F925DD" w14:paraId="55566CCB" w14:textId="77777777">
        <w:trPr>
          <w:tblCellSpacing w:w="0" w:type="dxa"/>
        </w:trPr>
        <w:tc>
          <w:tcPr>
            <w:tcW w:w="0" w:type="auto"/>
            <w:shd w:val="clear" w:color="auto" w:fill="auto"/>
          </w:tcPr>
          <w:p w14:paraId="55566CC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C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adverse changes in the regulatory ratios that we are, or will be, required to meet, whether arising under the Dodd-Frank Act or implementation of international standards applicable to financial institutions, such as those proposed by the Basel Committee, o</w:t>
            </w:r>
            <w:r>
              <w:rPr>
                <w:rFonts w:ascii="Arial" w:eastAsia="宋体" w:hAnsi="Arial" w:cs="Arial"/>
                <w:sz w:val="20"/>
                <w:szCs w:val="20"/>
              </w:rPr>
              <w:t>r due to changes in regulatory positions, practices or regulations in jurisdictions in which we engage in banking activities, including changes in internal or external data, formulae, models, assumptions or other advanced systems used in the calculation of</w:t>
            </w:r>
            <w:r>
              <w:rPr>
                <w:rFonts w:ascii="Arial" w:eastAsia="宋体" w:hAnsi="Arial" w:cs="Arial"/>
                <w:sz w:val="20"/>
                <w:szCs w:val="20"/>
              </w:rPr>
              <w:t xml:space="preserve"> our capital or liquidity ratios that cause changes in those ratios as they are measured from period to period; </w:t>
            </w:r>
          </w:p>
        </w:tc>
      </w:tr>
    </w:tbl>
    <w:p w14:paraId="55566CC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CF" w14:textId="77777777">
        <w:trPr>
          <w:tblCellSpacing w:w="0" w:type="dxa"/>
        </w:trPr>
        <w:tc>
          <w:tcPr>
            <w:tcW w:w="600" w:type="dxa"/>
            <w:shd w:val="clear" w:color="auto" w:fill="auto"/>
            <w:vAlign w:val="center"/>
          </w:tcPr>
          <w:p w14:paraId="55566CCD" w14:textId="77777777" w:rsidR="00F925DD" w:rsidRDefault="00F925DD">
            <w:pPr>
              <w:rPr>
                <w:rFonts w:ascii="Times New Roman" w:hAnsi="Times New Roman"/>
                <w:sz w:val="20"/>
                <w:szCs w:val="20"/>
              </w:rPr>
            </w:pPr>
          </w:p>
        </w:tc>
        <w:tc>
          <w:tcPr>
            <w:tcW w:w="0" w:type="auto"/>
            <w:shd w:val="clear" w:color="auto" w:fill="auto"/>
            <w:vAlign w:val="center"/>
          </w:tcPr>
          <w:p w14:paraId="55566CCE" w14:textId="77777777" w:rsidR="00F925DD" w:rsidRDefault="00F925DD">
            <w:pPr>
              <w:rPr>
                <w:rFonts w:ascii="Times New Roman" w:hAnsi="Times New Roman"/>
                <w:sz w:val="20"/>
                <w:szCs w:val="20"/>
              </w:rPr>
            </w:pPr>
          </w:p>
        </w:tc>
      </w:tr>
      <w:tr w:rsidR="00F925DD" w14:paraId="55566CD2" w14:textId="77777777">
        <w:trPr>
          <w:tblCellSpacing w:w="0" w:type="dxa"/>
        </w:trPr>
        <w:tc>
          <w:tcPr>
            <w:tcW w:w="0" w:type="auto"/>
            <w:shd w:val="clear" w:color="auto" w:fill="auto"/>
          </w:tcPr>
          <w:p w14:paraId="55566CD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D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requirements to obtain the prior approval or non-objection of the Federal Reserve or other U.S. and non-U.S. regulators for the use, allocation or distribution of our capital or other specific capital actions or corporate activities, including, without lim</w:t>
            </w:r>
            <w:r>
              <w:rPr>
                <w:rFonts w:ascii="Arial" w:eastAsia="宋体" w:hAnsi="Arial" w:cs="Arial"/>
                <w:sz w:val="20"/>
                <w:szCs w:val="20"/>
              </w:rPr>
              <w:t xml:space="preserve">itation, acquisitions, investments in subsidiaries, dividends and stock repurchases, without which our growth plans, distributions to shareholders, share repurchase programs or other capital or corporate initiatives may be restricted; </w:t>
            </w:r>
          </w:p>
        </w:tc>
      </w:tr>
    </w:tbl>
    <w:p w14:paraId="55566CD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D6" w14:textId="77777777">
        <w:trPr>
          <w:tblCellSpacing w:w="0" w:type="dxa"/>
        </w:trPr>
        <w:tc>
          <w:tcPr>
            <w:tcW w:w="600" w:type="dxa"/>
            <w:shd w:val="clear" w:color="auto" w:fill="auto"/>
            <w:vAlign w:val="center"/>
          </w:tcPr>
          <w:p w14:paraId="55566CD4" w14:textId="77777777" w:rsidR="00F925DD" w:rsidRDefault="00F925DD">
            <w:pPr>
              <w:rPr>
                <w:rFonts w:ascii="Times New Roman" w:hAnsi="Times New Roman"/>
                <w:sz w:val="20"/>
                <w:szCs w:val="20"/>
              </w:rPr>
            </w:pPr>
          </w:p>
        </w:tc>
        <w:tc>
          <w:tcPr>
            <w:tcW w:w="0" w:type="auto"/>
            <w:shd w:val="clear" w:color="auto" w:fill="auto"/>
            <w:vAlign w:val="center"/>
          </w:tcPr>
          <w:p w14:paraId="55566CD5" w14:textId="77777777" w:rsidR="00F925DD" w:rsidRDefault="00F925DD">
            <w:pPr>
              <w:rPr>
                <w:rFonts w:ascii="Times New Roman" w:hAnsi="Times New Roman"/>
                <w:sz w:val="20"/>
                <w:szCs w:val="20"/>
              </w:rPr>
            </w:pPr>
          </w:p>
        </w:tc>
      </w:tr>
      <w:tr w:rsidR="00F925DD" w14:paraId="55566CD9" w14:textId="77777777">
        <w:trPr>
          <w:tblCellSpacing w:w="0" w:type="dxa"/>
        </w:trPr>
        <w:tc>
          <w:tcPr>
            <w:tcW w:w="0" w:type="auto"/>
            <w:shd w:val="clear" w:color="auto" w:fill="auto"/>
          </w:tcPr>
          <w:p w14:paraId="55566CD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D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changes in law or regulation, or the enforcement of law or regulation, that may adversely affect our business activities or those of our clients or our counterparties, and the products or services that we sell, including, without limitation, additional or </w:t>
            </w:r>
            <w:r>
              <w:rPr>
                <w:rFonts w:ascii="Arial" w:eastAsia="宋体" w:hAnsi="Arial" w:cs="Arial"/>
                <w:sz w:val="20"/>
                <w:szCs w:val="20"/>
              </w:rPr>
              <w:t xml:space="preserve">increased taxes or assessments thereon, capital adequacy requirements, margin requirements and changes that expose us to risks related to our operating model and the adequacy and resiliency of our controls or compliance programs; </w:t>
            </w:r>
          </w:p>
        </w:tc>
      </w:tr>
    </w:tbl>
    <w:p w14:paraId="55566CD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DD" w14:textId="77777777">
        <w:trPr>
          <w:tblCellSpacing w:w="0" w:type="dxa"/>
        </w:trPr>
        <w:tc>
          <w:tcPr>
            <w:tcW w:w="600" w:type="dxa"/>
            <w:shd w:val="clear" w:color="auto" w:fill="auto"/>
            <w:vAlign w:val="center"/>
          </w:tcPr>
          <w:p w14:paraId="55566CDB" w14:textId="77777777" w:rsidR="00F925DD" w:rsidRDefault="00F925DD">
            <w:pPr>
              <w:rPr>
                <w:rFonts w:ascii="Times New Roman" w:hAnsi="Times New Roman"/>
                <w:sz w:val="20"/>
                <w:szCs w:val="20"/>
              </w:rPr>
            </w:pPr>
          </w:p>
        </w:tc>
        <w:tc>
          <w:tcPr>
            <w:tcW w:w="0" w:type="auto"/>
            <w:shd w:val="clear" w:color="auto" w:fill="auto"/>
            <w:vAlign w:val="center"/>
          </w:tcPr>
          <w:p w14:paraId="55566CDC" w14:textId="77777777" w:rsidR="00F925DD" w:rsidRDefault="00F925DD">
            <w:pPr>
              <w:rPr>
                <w:rFonts w:ascii="Times New Roman" w:hAnsi="Times New Roman"/>
                <w:sz w:val="20"/>
                <w:szCs w:val="20"/>
              </w:rPr>
            </w:pPr>
          </w:p>
        </w:tc>
      </w:tr>
      <w:tr w:rsidR="00F925DD" w14:paraId="55566CE0" w14:textId="77777777">
        <w:trPr>
          <w:tblCellSpacing w:w="0" w:type="dxa"/>
        </w:trPr>
        <w:tc>
          <w:tcPr>
            <w:tcW w:w="0" w:type="auto"/>
            <w:shd w:val="clear" w:color="auto" w:fill="auto"/>
          </w:tcPr>
          <w:p w14:paraId="55566CD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D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 cyber-security i</w:t>
            </w:r>
            <w:r>
              <w:rPr>
                <w:rFonts w:ascii="Arial" w:eastAsia="宋体" w:hAnsi="Arial" w:cs="Arial"/>
                <w:sz w:val="20"/>
                <w:szCs w:val="20"/>
              </w:rPr>
              <w:t>ncident, or a failure to protect our systems and our, our clients' and others' information against cyber-attacks, could result in the theft, loss, unauthorized access to, disclosure, use or alteration of information, system failures, or loss of access to i</w:t>
            </w:r>
            <w:r>
              <w:rPr>
                <w:rFonts w:ascii="Arial" w:eastAsia="宋体" w:hAnsi="Arial" w:cs="Arial"/>
                <w:sz w:val="20"/>
                <w:szCs w:val="20"/>
              </w:rPr>
              <w:t xml:space="preserve">nformation; any such incident or failure could adversely impact our ability to conduct our businesses, damage our reputation and cause losses, potentially materially; </w:t>
            </w:r>
          </w:p>
        </w:tc>
      </w:tr>
    </w:tbl>
    <w:p w14:paraId="55566CE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E4" w14:textId="77777777">
        <w:trPr>
          <w:tblCellSpacing w:w="0" w:type="dxa"/>
        </w:trPr>
        <w:tc>
          <w:tcPr>
            <w:tcW w:w="600" w:type="dxa"/>
            <w:shd w:val="clear" w:color="auto" w:fill="auto"/>
            <w:vAlign w:val="center"/>
          </w:tcPr>
          <w:p w14:paraId="55566CE2" w14:textId="77777777" w:rsidR="00F925DD" w:rsidRDefault="00F925DD">
            <w:pPr>
              <w:rPr>
                <w:rFonts w:ascii="Times New Roman" w:hAnsi="Times New Roman"/>
                <w:sz w:val="20"/>
                <w:szCs w:val="20"/>
              </w:rPr>
            </w:pPr>
          </w:p>
        </w:tc>
        <w:tc>
          <w:tcPr>
            <w:tcW w:w="0" w:type="auto"/>
            <w:shd w:val="clear" w:color="auto" w:fill="auto"/>
            <w:vAlign w:val="center"/>
          </w:tcPr>
          <w:p w14:paraId="55566CE3" w14:textId="77777777" w:rsidR="00F925DD" w:rsidRDefault="00F925DD">
            <w:pPr>
              <w:rPr>
                <w:rFonts w:ascii="Times New Roman" w:hAnsi="Times New Roman"/>
                <w:sz w:val="20"/>
                <w:szCs w:val="20"/>
              </w:rPr>
            </w:pPr>
          </w:p>
        </w:tc>
      </w:tr>
      <w:tr w:rsidR="00F925DD" w14:paraId="55566CE7" w14:textId="77777777">
        <w:trPr>
          <w:tblCellSpacing w:w="0" w:type="dxa"/>
        </w:trPr>
        <w:tc>
          <w:tcPr>
            <w:tcW w:w="0" w:type="auto"/>
            <w:shd w:val="clear" w:color="auto" w:fill="auto"/>
          </w:tcPr>
          <w:p w14:paraId="55566CE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E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our ability to expand our use of technology to enhance the efficiency, accuracy and reliability of our operations and our dependencies on information technology; to replace and consolidate systems, particularly those relying upon older technology, and to a</w:t>
            </w:r>
            <w:r>
              <w:rPr>
                <w:rFonts w:ascii="Arial" w:eastAsia="宋体" w:hAnsi="Arial" w:cs="Arial"/>
                <w:sz w:val="20"/>
                <w:szCs w:val="20"/>
              </w:rPr>
              <w:t>dequately incorporate cyber-security, resiliency and business continuity into our operations, information technology infrastructure and systems management; to implement robust management processes into our technology development and maintenance programs; a</w:t>
            </w:r>
            <w:r>
              <w:rPr>
                <w:rFonts w:ascii="Arial" w:eastAsia="宋体" w:hAnsi="Arial" w:cs="Arial"/>
                <w:sz w:val="20"/>
                <w:szCs w:val="20"/>
              </w:rPr>
              <w:t xml:space="preserve">nd to control risks related to use of technology, including cyber-crime and inadvertent data disclosures; </w:t>
            </w:r>
          </w:p>
        </w:tc>
      </w:tr>
    </w:tbl>
    <w:p w14:paraId="55566CE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4158"/>
      </w:tblGrid>
      <w:tr w:rsidR="00F925DD" w14:paraId="55566CEB" w14:textId="77777777">
        <w:trPr>
          <w:tblCellSpacing w:w="0" w:type="dxa"/>
        </w:trPr>
        <w:tc>
          <w:tcPr>
            <w:tcW w:w="600" w:type="dxa"/>
            <w:shd w:val="clear" w:color="auto" w:fill="auto"/>
            <w:vAlign w:val="center"/>
          </w:tcPr>
          <w:p w14:paraId="55566CE9" w14:textId="77777777" w:rsidR="00F925DD" w:rsidRDefault="00F925DD">
            <w:pPr>
              <w:rPr>
                <w:rFonts w:ascii="Times New Roman" w:hAnsi="Times New Roman"/>
                <w:sz w:val="20"/>
                <w:szCs w:val="20"/>
              </w:rPr>
            </w:pPr>
          </w:p>
        </w:tc>
        <w:tc>
          <w:tcPr>
            <w:tcW w:w="0" w:type="auto"/>
            <w:shd w:val="clear" w:color="auto" w:fill="auto"/>
            <w:vAlign w:val="center"/>
          </w:tcPr>
          <w:p w14:paraId="55566CEA" w14:textId="77777777" w:rsidR="00F925DD" w:rsidRDefault="00F925DD">
            <w:pPr>
              <w:rPr>
                <w:rFonts w:ascii="Times New Roman" w:hAnsi="Times New Roman"/>
                <w:sz w:val="20"/>
                <w:szCs w:val="20"/>
              </w:rPr>
            </w:pPr>
          </w:p>
        </w:tc>
      </w:tr>
      <w:tr w:rsidR="00F925DD" w14:paraId="55566CEE" w14:textId="77777777">
        <w:trPr>
          <w:tblCellSpacing w:w="0" w:type="dxa"/>
        </w:trPr>
        <w:tc>
          <w:tcPr>
            <w:tcW w:w="0" w:type="auto"/>
            <w:shd w:val="clear" w:color="auto" w:fill="auto"/>
          </w:tcPr>
          <w:p w14:paraId="55566CE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E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identify and address threats to our </w:t>
            </w:r>
          </w:p>
        </w:tc>
      </w:tr>
    </w:tbl>
    <w:p w14:paraId="55566CEF"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CF0"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information technology infrastructure and systems (including those of our third-party service providers); the effectiveness of our and our third party service providers' efforts to manage the resiliency of the systems on which we rely; controls regarding t</w:t>
      </w:r>
      <w:r>
        <w:rPr>
          <w:rFonts w:ascii="Arial" w:eastAsia="宋体" w:hAnsi="Arial" w:cs="Arial"/>
          <w:sz w:val="20"/>
          <w:szCs w:val="20"/>
        </w:rPr>
        <w:t xml:space="preserve">he access to, and integrity of, our and our clients' data; and complexities and costs of protecting the security of such systems and data; </w:t>
      </w: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F3" w14:textId="77777777">
        <w:trPr>
          <w:tblCellSpacing w:w="0" w:type="dxa"/>
        </w:trPr>
        <w:tc>
          <w:tcPr>
            <w:tcW w:w="600" w:type="dxa"/>
            <w:shd w:val="clear" w:color="auto" w:fill="auto"/>
            <w:vAlign w:val="center"/>
          </w:tcPr>
          <w:p w14:paraId="55566CF1" w14:textId="77777777" w:rsidR="00F925DD" w:rsidRDefault="00F925DD">
            <w:pPr>
              <w:rPr>
                <w:rFonts w:ascii="Times New Roman" w:hAnsi="Times New Roman"/>
                <w:sz w:val="20"/>
                <w:szCs w:val="20"/>
              </w:rPr>
            </w:pPr>
          </w:p>
        </w:tc>
        <w:tc>
          <w:tcPr>
            <w:tcW w:w="0" w:type="auto"/>
            <w:shd w:val="clear" w:color="auto" w:fill="auto"/>
            <w:vAlign w:val="center"/>
          </w:tcPr>
          <w:p w14:paraId="55566CF2" w14:textId="77777777" w:rsidR="00F925DD" w:rsidRDefault="00F925DD">
            <w:pPr>
              <w:rPr>
                <w:rFonts w:ascii="Times New Roman" w:hAnsi="Times New Roman"/>
                <w:sz w:val="20"/>
                <w:szCs w:val="20"/>
              </w:rPr>
            </w:pPr>
          </w:p>
        </w:tc>
      </w:tr>
      <w:tr w:rsidR="00F925DD" w14:paraId="55566CF6" w14:textId="77777777">
        <w:trPr>
          <w:tblCellSpacing w:w="0" w:type="dxa"/>
        </w:trPr>
        <w:tc>
          <w:tcPr>
            <w:tcW w:w="0" w:type="auto"/>
            <w:shd w:val="clear" w:color="auto" w:fill="auto"/>
          </w:tcPr>
          <w:p w14:paraId="55566CF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F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control operational and resiliency risks, data security breach risks and outsourcing risks; our ability to protect our intellectual property rights; the possibility of errors in the quantitative models we use to manage our business; and the </w:t>
            </w:r>
            <w:r>
              <w:rPr>
                <w:rFonts w:ascii="Arial" w:eastAsia="宋体" w:hAnsi="Arial" w:cs="Arial"/>
                <w:sz w:val="20"/>
                <w:szCs w:val="20"/>
              </w:rPr>
              <w:t xml:space="preserve">possibility that our controls will prove insufficient, fail or be circumvented; </w:t>
            </w:r>
          </w:p>
        </w:tc>
      </w:tr>
    </w:tbl>
    <w:p w14:paraId="55566CF7"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CFA" w14:textId="77777777">
        <w:trPr>
          <w:tblCellSpacing w:w="0" w:type="dxa"/>
        </w:trPr>
        <w:tc>
          <w:tcPr>
            <w:tcW w:w="600" w:type="dxa"/>
            <w:shd w:val="clear" w:color="auto" w:fill="auto"/>
            <w:vAlign w:val="center"/>
          </w:tcPr>
          <w:p w14:paraId="55566CF8" w14:textId="77777777" w:rsidR="00F925DD" w:rsidRDefault="00F925DD">
            <w:pPr>
              <w:rPr>
                <w:rFonts w:ascii="Times New Roman" w:hAnsi="Times New Roman"/>
                <w:sz w:val="20"/>
                <w:szCs w:val="20"/>
              </w:rPr>
            </w:pPr>
          </w:p>
        </w:tc>
        <w:tc>
          <w:tcPr>
            <w:tcW w:w="0" w:type="auto"/>
            <w:shd w:val="clear" w:color="auto" w:fill="auto"/>
            <w:vAlign w:val="center"/>
          </w:tcPr>
          <w:p w14:paraId="55566CF9" w14:textId="77777777" w:rsidR="00F925DD" w:rsidRDefault="00F925DD">
            <w:pPr>
              <w:rPr>
                <w:rFonts w:ascii="Times New Roman" w:hAnsi="Times New Roman"/>
                <w:sz w:val="20"/>
                <w:szCs w:val="20"/>
              </w:rPr>
            </w:pPr>
          </w:p>
        </w:tc>
      </w:tr>
      <w:tr w:rsidR="00F925DD" w14:paraId="55566CFD" w14:textId="77777777">
        <w:trPr>
          <w:tblCellSpacing w:w="0" w:type="dxa"/>
        </w:trPr>
        <w:tc>
          <w:tcPr>
            <w:tcW w:w="0" w:type="auto"/>
            <w:shd w:val="clear" w:color="auto" w:fill="auto"/>
          </w:tcPr>
          <w:p w14:paraId="55566CF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CF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economic or financial market disruptions in the U.S. or internationally, including those which may result from recessions or political instability; for example, the U.K</w:t>
            </w:r>
            <w:r>
              <w:rPr>
                <w:rFonts w:ascii="Arial" w:eastAsia="宋体" w:hAnsi="Arial" w:cs="Arial"/>
                <w:sz w:val="20"/>
                <w:szCs w:val="20"/>
              </w:rPr>
              <w:t xml:space="preserve">.'s exit from the European Union or actual or potential changes in trade policy, such as tariffs or bilateral and multilateral trade agreements; </w:t>
            </w:r>
          </w:p>
        </w:tc>
      </w:tr>
    </w:tbl>
    <w:p w14:paraId="55566CF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D01" w14:textId="77777777">
        <w:trPr>
          <w:tblCellSpacing w:w="0" w:type="dxa"/>
        </w:trPr>
        <w:tc>
          <w:tcPr>
            <w:tcW w:w="600" w:type="dxa"/>
            <w:shd w:val="clear" w:color="auto" w:fill="auto"/>
            <w:vAlign w:val="center"/>
          </w:tcPr>
          <w:p w14:paraId="55566CFF" w14:textId="77777777" w:rsidR="00F925DD" w:rsidRDefault="00F925DD">
            <w:pPr>
              <w:rPr>
                <w:rFonts w:ascii="Times New Roman" w:hAnsi="Times New Roman"/>
                <w:sz w:val="20"/>
                <w:szCs w:val="20"/>
              </w:rPr>
            </w:pPr>
          </w:p>
        </w:tc>
        <w:tc>
          <w:tcPr>
            <w:tcW w:w="0" w:type="auto"/>
            <w:shd w:val="clear" w:color="auto" w:fill="auto"/>
            <w:vAlign w:val="center"/>
          </w:tcPr>
          <w:p w14:paraId="55566D00" w14:textId="77777777" w:rsidR="00F925DD" w:rsidRDefault="00F925DD">
            <w:pPr>
              <w:rPr>
                <w:rFonts w:ascii="Times New Roman" w:hAnsi="Times New Roman"/>
                <w:sz w:val="20"/>
                <w:szCs w:val="20"/>
              </w:rPr>
            </w:pPr>
          </w:p>
        </w:tc>
      </w:tr>
      <w:tr w:rsidR="00F925DD" w14:paraId="55566D04" w14:textId="77777777">
        <w:trPr>
          <w:tblCellSpacing w:w="0" w:type="dxa"/>
        </w:trPr>
        <w:tc>
          <w:tcPr>
            <w:tcW w:w="0" w:type="auto"/>
            <w:shd w:val="clear" w:color="auto" w:fill="auto"/>
          </w:tcPr>
          <w:p w14:paraId="55566D0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0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create cost efficiencies through changes in our operational processes and to further digitize our processes and interfaces with our clients, any failure of which, in whole or in part, may among other things, reduce our competitive position, </w:t>
            </w:r>
            <w:r>
              <w:rPr>
                <w:rFonts w:ascii="Arial" w:eastAsia="宋体" w:hAnsi="Arial" w:cs="Arial"/>
                <w:sz w:val="20"/>
                <w:szCs w:val="20"/>
              </w:rPr>
              <w:t xml:space="preserve">diminish the cost-effectiveness of our systems and processes or provide an insufficient return on our associated investment; </w:t>
            </w:r>
          </w:p>
        </w:tc>
      </w:tr>
    </w:tbl>
    <w:p w14:paraId="55566D0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D08" w14:textId="77777777">
        <w:trPr>
          <w:tblCellSpacing w:w="0" w:type="dxa"/>
        </w:trPr>
        <w:tc>
          <w:tcPr>
            <w:tcW w:w="600" w:type="dxa"/>
            <w:shd w:val="clear" w:color="auto" w:fill="auto"/>
            <w:vAlign w:val="center"/>
          </w:tcPr>
          <w:p w14:paraId="55566D06" w14:textId="77777777" w:rsidR="00F925DD" w:rsidRDefault="00F925DD">
            <w:pPr>
              <w:rPr>
                <w:rFonts w:ascii="Times New Roman" w:hAnsi="Times New Roman"/>
                <w:sz w:val="20"/>
                <w:szCs w:val="20"/>
              </w:rPr>
            </w:pPr>
          </w:p>
        </w:tc>
        <w:tc>
          <w:tcPr>
            <w:tcW w:w="0" w:type="auto"/>
            <w:shd w:val="clear" w:color="auto" w:fill="auto"/>
            <w:vAlign w:val="center"/>
          </w:tcPr>
          <w:p w14:paraId="55566D07" w14:textId="77777777" w:rsidR="00F925DD" w:rsidRDefault="00F925DD">
            <w:pPr>
              <w:rPr>
                <w:rFonts w:ascii="Times New Roman" w:hAnsi="Times New Roman"/>
                <w:sz w:val="20"/>
                <w:szCs w:val="20"/>
              </w:rPr>
            </w:pPr>
          </w:p>
        </w:tc>
      </w:tr>
      <w:tr w:rsidR="00F925DD" w14:paraId="55566D0B" w14:textId="77777777">
        <w:trPr>
          <w:tblCellSpacing w:w="0" w:type="dxa"/>
        </w:trPr>
        <w:tc>
          <w:tcPr>
            <w:tcW w:w="0" w:type="auto"/>
            <w:shd w:val="clear" w:color="auto" w:fill="auto"/>
          </w:tcPr>
          <w:p w14:paraId="55566D0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0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our ability to promote a strong culture of risk management, operating controls, compliance oversight, ethical behavior and governance that meets our expectations and those of our clients and our regulators, and the financial, regulatory, reputational and o</w:t>
            </w:r>
            <w:r>
              <w:rPr>
                <w:rFonts w:ascii="Arial" w:eastAsia="宋体" w:hAnsi="Arial" w:cs="Arial"/>
                <w:sz w:val="20"/>
                <w:szCs w:val="20"/>
              </w:rPr>
              <w:t xml:space="preserve">ther consequences of our failure to meet such expectations; </w:t>
            </w:r>
          </w:p>
        </w:tc>
      </w:tr>
    </w:tbl>
    <w:p w14:paraId="55566D0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D0F" w14:textId="77777777">
        <w:trPr>
          <w:tblCellSpacing w:w="0" w:type="dxa"/>
        </w:trPr>
        <w:tc>
          <w:tcPr>
            <w:tcW w:w="600" w:type="dxa"/>
            <w:shd w:val="clear" w:color="auto" w:fill="auto"/>
            <w:vAlign w:val="center"/>
          </w:tcPr>
          <w:p w14:paraId="55566D0D" w14:textId="77777777" w:rsidR="00F925DD" w:rsidRDefault="00F925DD">
            <w:pPr>
              <w:rPr>
                <w:rFonts w:ascii="Times New Roman" w:hAnsi="Times New Roman"/>
                <w:sz w:val="20"/>
                <w:szCs w:val="20"/>
              </w:rPr>
            </w:pPr>
          </w:p>
        </w:tc>
        <w:tc>
          <w:tcPr>
            <w:tcW w:w="0" w:type="auto"/>
            <w:shd w:val="clear" w:color="auto" w:fill="auto"/>
            <w:vAlign w:val="center"/>
          </w:tcPr>
          <w:p w14:paraId="55566D0E" w14:textId="77777777" w:rsidR="00F925DD" w:rsidRDefault="00F925DD">
            <w:pPr>
              <w:rPr>
                <w:rFonts w:ascii="Times New Roman" w:hAnsi="Times New Roman"/>
                <w:sz w:val="20"/>
                <w:szCs w:val="20"/>
              </w:rPr>
            </w:pPr>
          </w:p>
        </w:tc>
      </w:tr>
      <w:tr w:rsidR="00F925DD" w14:paraId="55566D12" w14:textId="77777777">
        <w:trPr>
          <w:tblCellSpacing w:w="0" w:type="dxa"/>
        </w:trPr>
        <w:tc>
          <w:tcPr>
            <w:tcW w:w="0" w:type="auto"/>
            <w:shd w:val="clear" w:color="auto" w:fill="auto"/>
          </w:tcPr>
          <w:p w14:paraId="55566D1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1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impact on our compliance and controls enhancement programs associated with the appointment of a monitor under the deferred prosecution agreement with the DOJ and compliance consultant </w:t>
            </w:r>
            <w:r>
              <w:rPr>
                <w:rFonts w:ascii="Arial" w:eastAsia="宋体" w:hAnsi="Arial" w:cs="Arial"/>
                <w:sz w:val="20"/>
                <w:szCs w:val="20"/>
              </w:rPr>
              <w:t>appointed under a settlement with the SEC, including the potential for such monitor and compliance consultant to require changes to our programs or to identify other issues that require substantial expenditures, changes in our operations, payments to clien</w:t>
            </w:r>
            <w:r>
              <w:rPr>
                <w:rFonts w:ascii="Arial" w:eastAsia="宋体" w:hAnsi="Arial" w:cs="Arial"/>
                <w:sz w:val="20"/>
                <w:szCs w:val="20"/>
              </w:rPr>
              <w:t xml:space="preserve">ts or reporting to U.S. authorities; </w:t>
            </w:r>
          </w:p>
        </w:tc>
      </w:tr>
    </w:tbl>
    <w:p w14:paraId="55566D1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D16" w14:textId="77777777">
        <w:trPr>
          <w:tblCellSpacing w:w="0" w:type="dxa"/>
        </w:trPr>
        <w:tc>
          <w:tcPr>
            <w:tcW w:w="600" w:type="dxa"/>
            <w:shd w:val="clear" w:color="auto" w:fill="auto"/>
            <w:vAlign w:val="center"/>
          </w:tcPr>
          <w:p w14:paraId="55566D14" w14:textId="77777777" w:rsidR="00F925DD" w:rsidRDefault="00F925DD">
            <w:pPr>
              <w:rPr>
                <w:rFonts w:ascii="Times New Roman" w:hAnsi="Times New Roman"/>
                <w:sz w:val="20"/>
                <w:szCs w:val="20"/>
              </w:rPr>
            </w:pPr>
          </w:p>
        </w:tc>
        <w:tc>
          <w:tcPr>
            <w:tcW w:w="0" w:type="auto"/>
            <w:shd w:val="clear" w:color="auto" w:fill="auto"/>
            <w:vAlign w:val="center"/>
          </w:tcPr>
          <w:p w14:paraId="55566D15" w14:textId="77777777" w:rsidR="00F925DD" w:rsidRDefault="00F925DD">
            <w:pPr>
              <w:rPr>
                <w:rFonts w:ascii="Times New Roman" w:hAnsi="Times New Roman"/>
                <w:sz w:val="20"/>
                <w:szCs w:val="20"/>
              </w:rPr>
            </w:pPr>
          </w:p>
        </w:tc>
      </w:tr>
      <w:tr w:rsidR="00F925DD" w14:paraId="55566D19" w14:textId="77777777">
        <w:trPr>
          <w:tblCellSpacing w:w="0" w:type="dxa"/>
        </w:trPr>
        <w:tc>
          <w:tcPr>
            <w:tcW w:w="0" w:type="auto"/>
            <w:shd w:val="clear" w:color="auto" w:fill="auto"/>
          </w:tcPr>
          <w:p w14:paraId="55566D1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1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results of our review of our billing practices, including additional findings or amounts we may be required to reimburse clients, as well as potential consequences of such review, including damage to our client relationships or our reputation, adverse </w:t>
            </w:r>
            <w:r>
              <w:rPr>
                <w:rFonts w:ascii="Arial" w:eastAsia="宋体" w:hAnsi="Arial" w:cs="Arial"/>
                <w:sz w:val="20"/>
                <w:szCs w:val="20"/>
              </w:rPr>
              <w:t xml:space="preserve">actions or penalties imposed by governmental authorities and costs associated with remediation of identified deficiencies; </w:t>
            </w:r>
          </w:p>
        </w:tc>
      </w:tr>
    </w:tbl>
    <w:p w14:paraId="55566D1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227"/>
      </w:tblGrid>
      <w:tr w:rsidR="00F925DD" w14:paraId="55566D1D" w14:textId="77777777">
        <w:trPr>
          <w:tblCellSpacing w:w="0" w:type="dxa"/>
        </w:trPr>
        <w:tc>
          <w:tcPr>
            <w:tcW w:w="600" w:type="dxa"/>
            <w:shd w:val="clear" w:color="auto" w:fill="auto"/>
            <w:vAlign w:val="center"/>
          </w:tcPr>
          <w:p w14:paraId="55566D1B" w14:textId="77777777" w:rsidR="00F925DD" w:rsidRDefault="00F925DD">
            <w:pPr>
              <w:rPr>
                <w:rFonts w:ascii="Times New Roman" w:hAnsi="Times New Roman"/>
                <w:sz w:val="20"/>
                <w:szCs w:val="20"/>
              </w:rPr>
            </w:pPr>
          </w:p>
        </w:tc>
        <w:tc>
          <w:tcPr>
            <w:tcW w:w="0" w:type="auto"/>
            <w:shd w:val="clear" w:color="auto" w:fill="auto"/>
            <w:vAlign w:val="center"/>
          </w:tcPr>
          <w:p w14:paraId="55566D1C" w14:textId="77777777" w:rsidR="00F925DD" w:rsidRDefault="00F925DD">
            <w:pPr>
              <w:rPr>
                <w:rFonts w:ascii="Times New Roman" w:hAnsi="Times New Roman"/>
                <w:sz w:val="20"/>
                <w:szCs w:val="20"/>
              </w:rPr>
            </w:pPr>
          </w:p>
        </w:tc>
      </w:tr>
      <w:tr w:rsidR="00F925DD" w14:paraId="55566D20" w14:textId="77777777">
        <w:trPr>
          <w:tblCellSpacing w:w="0" w:type="dxa"/>
        </w:trPr>
        <w:tc>
          <w:tcPr>
            <w:tcW w:w="0" w:type="auto"/>
            <w:shd w:val="clear" w:color="auto" w:fill="auto"/>
          </w:tcPr>
          <w:p w14:paraId="55566D1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1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results of, and costs associated with, governmental or regulatory inquiries and </w:t>
            </w:r>
          </w:p>
        </w:tc>
      </w:tr>
    </w:tbl>
    <w:p w14:paraId="55566D21" w14:textId="77777777" w:rsidR="00F925DD" w:rsidRDefault="00F925DD">
      <w:pPr>
        <w:rPr>
          <w:rFonts w:ascii="Times New Roman" w:hAnsi="Times New Roman"/>
          <w:sz w:val="20"/>
          <w:szCs w:val="20"/>
        </w:rPr>
      </w:pPr>
    </w:p>
    <w:p w14:paraId="55566D2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20</w:t>
      </w:r>
    </w:p>
    <w:p w14:paraId="55566D23" w14:textId="77777777" w:rsidR="00F925DD" w:rsidRDefault="00F925DD">
      <w:pPr>
        <w:spacing w:line="288" w:lineRule="auto"/>
        <w:ind w:firstLine="600"/>
        <w:jc w:val="center"/>
        <w:rPr>
          <w:rFonts w:ascii="Times New Roman" w:hAnsi="Times New Roman"/>
          <w:sz w:val="18"/>
          <w:szCs w:val="18"/>
        </w:rPr>
      </w:pPr>
    </w:p>
    <w:p w14:paraId="55566D24" w14:textId="77777777" w:rsidR="00F925DD" w:rsidRDefault="00E705D7">
      <w:r>
        <w:rPr>
          <w:rFonts w:ascii="Times New Roman" w:hAnsi="Times New Roman"/>
          <w:sz w:val="18"/>
          <w:szCs w:val="18"/>
        </w:rPr>
        <w:pict w14:anchorId="5557064C">
          <v:rect id="_x0000_i1044" style="width:415.3pt;height:1.5pt" o:hralign="center" o:hrstd="t" o:hr="t" fillcolor="#a0a0a0" stroked="f"/>
        </w:pict>
      </w:r>
    </w:p>
    <w:p w14:paraId="55566D25" w14:textId="77777777" w:rsidR="00F925DD" w:rsidRDefault="00F925DD">
      <w:pPr>
        <w:rPr>
          <w:rFonts w:ascii="Times New Roman" w:hAnsi="Times New Roman"/>
          <w:sz w:val="20"/>
          <w:szCs w:val="20"/>
        </w:rPr>
      </w:pPr>
    </w:p>
    <w:p w14:paraId="55566D26"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investigations, litigation and similar claims, disputes, or civil or criminal proceedings; </w:t>
      </w: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D29" w14:textId="77777777">
        <w:trPr>
          <w:tblCellSpacing w:w="0" w:type="dxa"/>
        </w:trPr>
        <w:tc>
          <w:tcPr>
            <w:tcW w:w="580" w:type="dxa"/>
            <w:shd w:val="clear" w:color="auto" w:fill="auto"/>
            <w:vAlign w:val="center"/>
          </w:tcPr>
          <w:p w14:paraId="55566D27" w14:textId="77777777" w:rsidR="00F925DD" w:rsidRDefault="00F925DD">
            <w:pPr>
              <w:rPr>
                <w:rFonts w:ascii="Times New Roman" w:hAnsi="Times New Roman"/>
                <w:sz w:val="20"/>
                <w:szCs w:val="20"/>
              </w:rPr>
            </w:pPr>
          </w:p>
        </w:tc>
        <w:tc>
          <w:tcPr>
            <w:tcW w:w="0" w:type="auto"/>
            <w:shd w:val="clear" w:color="auto" w:fill="auto"/>
            <w:vAlign w:val="center"/>
          </w:tcPr>
          <w:p w14:paraId="55566D28" w14:textId="77777777" w:rsidR="00F925DD" w:rsidRDefault="00F925DD">
            <w:pPr>
              <w:rPr>
                <w:rFonts w:ascii="Times New Roman" w:hAnsi="Times New Roman"/>
                <w:sz w:val="20"/>
                <w:szCs w:val="20"/>
              </w:rPr>
            </w:pPr>
          </w:p>
        </w:tc>
      </w:tr>
      <w:tr w:rsidR="00F925DD" w14:paraId="55566D2C" w14:textId="77777777">
        <w:trPr>
          <w:tblCellSpacing w:w="0" w:type="dxa"/>
        </w:trPr>
        <w:tc>
          <w:tcPr>
            <w:tcW w:w="0" w:type="auto"/>
            <w:shd w:val="clear" w:color="auto" w:fill="auto"/>
          </w:tcPr>
          <w:p w14:paraId="55566D2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2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changes or potential changes in the amount of compensation we receive from clients for our services, and the mix of services provided by us that clients choose</w:t>
            </w:r>
            <w:r>
              <w:rPr>
                <w:rFonts w:ascii="Arial" w:eastAsia="宋体" w:hAnsi="Arial" w:cs="Arial"/>
                <w:sz w:val="20"/>
                <w:szCs w:val="20"/>
              </w:rPr>
              <w:t xml:space="preserve">; </w:t>
            </w:r>
          </w:p>
        </w:tc>
      </w:tr>
    </w:tbl>
    <w:p w14:paraId="55566D2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D30" w14:textId="77777777">
        <w:trPr>
          <w:tblCellSpacing w:w="0" w:type="dxa"/>
        </w:trPr>
        <w:tc>
          <w:tcPr>
            <w:tcW w:w="580" w:type="dxa"/>
            <w:shd w:val="clear" w:color="auto" w:fill="auto"/>
            <w:vAlign w:val="center"/>
          </w:tcPr>
          <w:p w14:paraId="55566D2E" w14:textId="77777777" w:rsidR="00F925DD" w:rsidRDefault="00F925DD">
            <w:pPr>
              <w:rPr>
                <w:rFonts w:ascii="Times New Roman" w:hAnsi="Times New Roman"/>
                <w:sz w:val="20"/>
                <w:szCs w:val="20"/>
              </w:rPr>
            </w:pPr>
          </w:p>
        </w:tc>
        <w:tc>
          <w:tcPr>
            <w:tcW w:w="0" w:type="auto"/>
            <w:shd w:val="clear" w:color="auto" w:fill="auto"/>
            <w:vAlign w:val="center"/>
          </w:tcPr>
          <w:p w14:paraId="55566D2F" w14:textId="77777777" w:rsidR="00F925DD" w:rsidRDefault="00F925DD">
            <w:pPr>
              <w:rPr>
                <w:rFonts w:ascii="Times New Roman" w:hAnsi="Times New Roman"/>
                <w:sz w:val="20"/>
                <w:szCs w:val="20"/>
              </w:rPr>
            </w:pPr>
          </w:p>
        </w:tc>
      </w:tr>
      <w:tr w:rsidR="00F925DD" w14:paraId="55566D33" w14:textId="77777777">
        <w:trPr>
          <w:tblCellSpacing w:w="0" w:type="dxa"/>
        </w:trPr>
        <w:tc>
          <w:tcPr>
            <w:tcW w:w="0" w:type="auto"/>
            <w:shd w:val="clear" w:color="auto" w:fill="auto"/>
          </w:tcPr>
          <w:p w14:paraId="55566D3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3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large institutional clients on which we focus are often able to exert considerable market influence and have diverse investment activities, and this, combined with strong competitive market forces, subjects us to significant pressure to reduce the fees</w:t>
            </w:r>
            <w:r>
              <w:rPr>
                <w:rFonts w:ascii="Arial" w:eastAsia="宋体" w:hAnsi="Arial" w:cs="Arial"/>
                <w:sz w:val="20"/>
                <w:szCs w:val="20"/>
              </w:rPr>
              <w:t xml:space="preserve"> we charge, to potentially significant changes in our AUC/A or our AUM in the event of the acquisition or loss of a client, in whole or in part, and to potentially significant changes in our revenue in the event a client re-balances or changes its investme</w:t>
            </w:r>
            <w:r>
              <w:rPr>
                <w:rFonts w:ascii="Arial" w:eastAsia="宋体" w:hAnsi="Arial" w:cs="Arial"/>
                <w:sz w:val="20"/>
                <w:szCs w:val="20"/>
              </w:rPr>
              <w:t xml:space="preserve">nt approach, re-directs assets to lower- or higher-fee asset classes or changes the mix of products or services that it receives from us; </w:t>
            </w:r>
          </w:p>
        </w:tc>
      </w:tr>
    </w:tbl>
    <w:p w14:paraId="55566D3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393"/>
      </w:tblGrid>
      <w:tr w:rsidR="00F925DD" w14:paraId="55566D37" w14:textId="77777777">
        <w:trPr>
          <w:tblCellSpacing w:w="0" w:type="dxa"/>
        </w:trPr>
        <w:tc>
          <w:tcPr>
            <w:tcW w:w="600" w:type="dxa"/>
            <w:shd w:val="clear" w:color="auto" w:fill="auto"/>
            <w:vAlign w:val="center"/>
          </w:tcPr>
          <w:p w14:paraId="55566D35" w14:textId="77777777" w:rsidR="00F925DD" w:rsidRDefault="00F925DD">
            <w:pPr>
              <w:rPr>
                <w:rFonts w:ascii="Times New Roman" w:hAnsi="Times New Roman"/>
                <w:sz w:val="20"/>
                <w:szCs w:val="20"/>
              </w:rPr>
            </w:pPr>
          </w:p>
        </w:tc>
        <w:tc>
          <w:tcPr>
            <w:tcW w:w="0" w:type="auto"/>
            <w:shd w:val="clear" w:color="auto" w:fill="auto"/>
            <w:vAlign w:val="center"/>
          </w:tcPr>
          <w:p w14:paraId="55566D36" w14:textId="77777777" w:rsidR="00F925DD" w:rsidRDefault="00F925DD">
            <w:pPr>
              <w:rPr>
                <w:rFonts w:ascii="Times New Roman" w:hAnsi="Times New Roman"/>
                <w:sz w:val="20"/>
                <w:szCs w:val="20"/>
              </w:rPr>
            </w:pPr>
          </w:p>
        </w:tc>
      </w:tr>
      <w:tr w:rsidR="00F925DD" w14:paraId="55566D3A" w14:textId="77777777">
        <w:trPr>
          <w:tblCellSpacing w:w="0" w:type="dxa"/>
        </w:trPr>
        <w:tc>
          <w:tcPr>
            <w:tcW w:w="0" w:type="auto"/>
            <w:shd w:val="clear" w:color="auto" w:fill="auto"/>
          </w:tcPr>
          <w:p w14:paraId="55566D3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3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potential for losses arising from our investments in sponsored investment funds; </w:t>
            </w:r>
          </w:p>
        </w:tc>
      </w:tr>
    </w:tbl>
    <w:p w14:paraId="55566D3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D3E" w14:textId="77777777">
        <w:trPr>
          <w:tblCellSpacing w:w="0" w:type="dxa"/>
        </w:trPr>
        <w:tc>
          <w:tcPr>
            <w:tcW w:w="600" w:type="dxa"/>
            <w:shd w:val="clear" w:color="auto" w:fill="auto"/>
            <w:vAlign w:val="center"/>
          </w:tcPr>
          <w:p w14:paraId="55566D3C" w14:textId="77777777" w:rsidR="00F925DD" w:rsidRDefault="00F925DD">
            <w:pPr>
              <w:rPr>
                <w:rFonts w:ascii="Times New Roman" w:hAnsi="Times New Roman"/>
                <w:sz w:val="20"/>
                <w:szCs w:val="20"/>
              </w:rPr>
            </w:pPr>
          </w:p>
        </w:tc>
        <w:tc>
          <w:tcPr>
            <w:tcW w:w="0" w:type="auto"/>
            <w:shd w:val="clear" w:color="auto" w:fill="auto"/>
            <w:vAlign w:val="center"/>
          </w:tcPr>
          <w:p w14:paraId="55566D3D" w14:textId="77777777" w:rsidR="00F925DD" w:rsidRDefault="00F925DD">
            <w:pPr>
              <w:rPr>
                <w:rFonts w:ascii="Times New Roman" w:hAnsi="Times New Roman"/>
                <w:sz w:val="20"/>
                <w:szCs w:val="20"/>
              </w:rPr>
            </w:pPr>
          </w:p>
        </w:tc>
      </w:tr>
      <w:tr w:rsidR="00F925DD" w14:paraId="55566D41" w14:textId="77777777">
        <w:trPr>
          <w:tblCellSpacing w:w="0" w:type="dxa"/>
        </w:trPr>
        <w:tc>
          <w:tcPr>
            <w:tcW w:w="0" w:type="auto"/>
            <w:shd w:val="clear" w:color="auto" w:fill="auto"/>
          </w:tcPr>
          <w:p w14:paraId="55566D3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4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possibility that our clients will incur substantial losses in investment pools for which we act as agent; the possibility of significant reductions in the liquidity or valuation of assets underlying those pools and the potential that clients will seek </w:t>
            </w:r>
            <w:r>
              <w:rPr>
                <w:rFonts w:ascii="Arial" w:eastAsia="宋体" w:hAnsi="Arial" w:cs="Arial"/>
                <w:sz w:val="20"/>
                <w:szCs w:val="20"/>
              </w:rPr>
              <w:t xml:space="preserve">to hold us liable for such losses; and the possibility that our clients or regulators will assert claims that our fees, with respect to such investment products, are not appropriate; </w:t>
            </w:r>
          </w:p>
        </w:tc>
      </w:tr>
    </w:tbl>
    <w:p w14:paraId="55566D4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D45" w14:textId="77777777">
        <w:trPr>
          <w:tblCellSpacing w:w="0" w:type="dxa"/>
        </w:trPr>
        <w:tc>
          <w:tcPr>
            <w:tcW w:w="600" w:type="dxa"/>
            <w:shd w:val="clear" w:color="auto" w:fill="auto"/>
            <w:vAlign w:val="center"/>
          </w:tcPr>
          <w:p w14:paraId="55566D43" w14:textId="77777777" w:rsidR="00F925DD" w:rsidRDefault="00F925DD">
            <w:pPr>
              <w:rPr>
                <w:rFonts w:ascii="Times New Roman" w:hAnsi="Times New Roman"/>
                <w:sz w:val="20"/>
                <w:szCs w:val="20"/>
              </w:rPr>
            </w:pPr>
          </w:p>
        </w:tc>
        <w:tc>
          <w:tcPr>
            <w:tcW w:w="0" w:type="auto"/>
            <w:shd w:val="clear" w:color="auto" w:fill="auto"/>
            <w:vAlign w:val="center"/>
          </w:tcPr>
          <w:p w14:paraId="55566D44" w14:textId="77777777" w:rsidR="00F925DD" w:rsidRDefault="00F925DD">
            <w:pPr>
              <w:rPr>
                <w:rFonts w:ascii="Times New Roman" w:hAnsi="Times New Roman"/>
                <w:sz w:val="20"/>
                <w:szCs w:val="20"/>
              </w:rPr>
            </w:pPr>
          </w:p>
        </w:tc>
      </w:tr>
      <w:tr w:rsidR="00F925DD" w14:paraId="55566D48" w14:textId="77777777">
        <w:trPr>
          <w:tblCellSpacing w:w="0" w:type="dxa"/>
        </w:trPr>
        <w:tc>
          <w:tcPr>
            <w:tcW w:w="0" w:type="auto"/>
            <w:shd w:val="clear" w:color="auto" w:fill="auto"/>
          </w:tcPr>
          <w:p w14:paraId="55566D4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4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our ability to anticipate and manage the level and timing of rede</w:t>
            </w:r>
            <w:r>
              <w:rPr>
                <w:rFonts w:ascii="Arial" w:eastAsia="宋体" w:hAnsi="Arial" w:cs="Arial"/>
                <w:sz w:val="20"/>
                <w:szCs w:val="20"/>
              </w:rPr>
              <w:t xml:space="preserve">mptions and withdrawals from our collateral pools and other collective investment products; </w:t>
            </w:r>
          </w:p>
        </w:tc>
      </w:tr>
    </w:tbl>
    <w:p w14:paraId="55566D4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D4C" w14:textId="77777777">
        <w:trPr>
          <w:tblCellSpacing w:w="0" w:type="dxa"/>
        </w:trPr>
        <w:tc>
          <w:tcPr>
            <w:tcW w:w="600" w:type="dxa"/>
            <w:shd w:val="clear" w:color="auto" w:fill="auto"/>
            <w:vAlign w:val="center"/>
          </w:tcPr>
          <w:p w14:paraId="55566D4A" w14:textId="77777777" w:rsidR="00F925DD" w:rsidRDefault="00F925DD">
            <w:pPr>
              <w:rPr>
                <w:rFonts w:ascii="Times New Roman" w:hAnsi="Times New Roman"/>
                <w:sz w:val="20"/>
                <w:szCs w:val="20"/>
              </w:rPr>
            </w:pPr>
          </w:p>
        </w:tc>
        <w:tc>
          <w:tcPr>
            <w:tcW w:w="0" w:type="auto"/>
            <w:shd w:val="clear" w:color="auto" w:fill="auto"/>
            <w:vAlign w:val="center"/>
          </w:tcPr>
          <w:p w14:paraId="55566D4B" w14:textId="77777777" w:rsidR="00F925DD" w:rsidRDefault="00F925DD">
            <w:pPr>
              <w:rPr>
                <w:rFonts w:ascii="Times New Roman" w:hAnsi="Times New Roman"/>
                <w:sz w:val="20"/>
                <w:szCs w:val="20"/>
              </w:rPr>
            </w:pPr>
          </w:p>
        </w:tc>
      </w:tr>
      <w:tr w:rsidR="00F925DD" w14:paraId="55566D4F" w14:textId="77777777">
        <w:trPr>
          <w:tblCellSpacing w:w="0" w:type="dxa"/>
        </w:trPr>
        <w:tc>
          <w:tcPr>
            <w:tcW w:w="0" w:type="auto"/>
            <w:shd w:val="clear" w:color="auto" w:fill="auto"/>
          </w:tcPr>
          <w:p w14:paraId="55566D4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4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credit agency ratings of our debt and depositary obligations and investor and client perceptions of our financial strength; </w:t>
            </w:r>
          </w:p>
        </w:tc>
      </w:tr>
    </w:tbl>
    <w:p w14:paraId="55566D50"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600"/>
        <w:gridCol w:w="7706"/>
      </w:tblGrid>
      <w:tr w:rsidR="00F925DD" w14:paraId="55566D53" w14:textId="77777777">
        <w:trPr>
          <w:tblCellSpacing w:w="0" w:type="dxa"/>
        </w:trPr>
        <w:tc>
          <w:tcPr>
            <w:tcW w:w="600" w:type="dxa"/>
            <w:shd w:val="clear" w:color="auto" w:fill="auto"/>
            <w:vAlign w:val="center"/>
          </w:tcPr>
          <w:p w14:paraId="55566D51" w14:textId="77777777" w:rsidR="00F925DD" w:rsidRDefault="00F925DD">
            <w:pPr>
              <w:rPr>
                <w:rFonts w:ascii="Times New Roman" w:hAnsi="Times New Roman"/>
                <w:sz w:val="20"/>
                <w:szCs w:val="20"/>
              </w:rPr>
            </w:pPr>
          </w:p>
        </w:tc>
        <w:tc>
          <w:tcPr>
            <w:tcW w:w="0" w:type="auto"/>
            <w:shd w:val="clear" w:color="auto" w:fill="auto"/>
            <w:vAlign w:val="center"/>
          </w:tcPr>
          <w:p w14:paraId="55566D52" w14:textId="77777777" w:rsidR="00F925DD" w:rsidRDefault="00F925DD">
            <w:pPr>
              <w:rPr>
                <w:rFonts w:ascii="Times New Roman" w:hAnsi="Times New Roman"/>
                <w:sz w:val="20"/>
                <w:szCs w:val="20"/>
              </w:rPr>
            </w:pPr>
          </w:p>
        </w:tc>
      </w:tr>
      <w:tr w:rsidR="00F925DD" w14:paraId="55566D56" w14:textId="77777777">
        <w:trPr>
          <w:tblCellSpacing w:w="0" w:type="dxa"/>
        </w:trPr>
        <w:tc>
          <w:tcPr>
            <w:tcW w:w="0" w:type="auto"/>
            <w:shd w:val="clear" w:color="auto" w:fill="auto"/>
          </w:tcPr>
          <w:p w14:paraId="55566D5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5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adverse publicity</w:t>
            </w:r>
            <w:r>
              <w:rPr>
                <w:rFonts w:ascii="Times New Roman" w:eastAsia="宋体" w:hAnsi="Times New Roman"/>
                <w:sz w:val="20"/>
                <w:szCs w:val="20"/>
              </w:rPr>
              <w:t>,</w:t>
            </w:r>
            <w:r>
              <w:rPr>
                <w:rFonts w:ascii="Arial" w:eastAsia="宋体" w:hAnsi="Arial" w:cs="Arial"/>
                <w:sz w:val="20"/>
                <w:szCs w:val="20"/>
              </w:rPr>
              <w:t xml:space="preserve"> whether specific to us or regarding other industry participants or industry-wide factors, or other reputational harm; </w:t>
            </w:r>
          </w:p>
        </w:tc>
      </w:tr>
    </w:tbl>
    <w:p w14:paraId="55566D57"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D5A" w14:textId="77777777">
        <w:trPr>
          <w:tblCellSpacing w:w="0" w:type="dxa"/>
        </w:trPr>
        <w:tc>
          <w:tcPr>
            <w:tcW w:w="580" w:type="dxa"/>
            <w:shd w:val="clear" w:color="auto" w:fill="auto"/>
            <w:vAlign w:val="center"/>
          </w:tcPr>
          <w:p w14:paraId="55566D58" w14:textId="77777777" w:rsidR="00F925DD" w:rsidRDefault="00F925DD">
            <w:pPr>
              <w:rPr>
                <w:rFonts w:ascii="Times New Roman" w:hAnsi="Times New Roman"/>
                <w:sz w:val="20"/>
                <w:szCs w:val="20"/>
              </w:rPr>
            </w:pPr>
          </w:p>
        </w:tc>
        <w:tc>
          <w:tcPr>
            <w:tcW w:w="0" w:type="auto"/>
            <w:shd w:val="clear" w:color="auto" w:fill="auto"/>
            <w:vAlign w:val="center"/>
          </w:tcPr>
          <w:p w14:paraId="55566D59" w14:textId="77777777" w:rsidR="00F925DD" w:rsidRDefault="00F925DD">
            <w:pPr>
              <w:rPr>
                <w:rFonts w:ascii="Times New Roman" w:hAnsi="Times New Roman"/>
                <w:sz w:val="20"/>
                <w:szCs w:val="20"/>
              </w:rPr>
            </w:pPr>
          </w:p>
        </w:tc>
      </w:tr>
      <w:tr w:rsidR="00F925DD" w14:paraId="55566D5D" w14:textId="77777777">
        <w:trPr>
          <w:tblCellSpacing w:w="0" w:type="dxa"/>
        </w:trPr>
        <w:tc>
          <w:tcPr>
            <w:tcW w:w="0" w:type="auto"/>
            <w:shd w:val="clear" w:color="auto" w:fill="auto"/>
          </w:tcPr>
          <w:p w14:paraId="55566D5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5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changes or potential changes to the competitive environment, due to, among other things, regulatory and technological changes, th</w:t>
            </w:r>
            <w:r>
              <w:rPr>
                <w:rFonts w:ascii="Arial" w:eastAsia="宋体" w:hAnsi="Arial" w:cs="Arial"/>
                <w:sz w:val="20"/>
                <w:szCs w:val="20"/>
              </w:rPr>
              <w:t xml:space="preserve">e effects of industry consolidation and perceptions of us, as a suitable service provider or counterparty; </w:t>
            </w:r>
          </w:p>
        </w:tc>
      </w:tr>
    </w:tbl>
    <w:p w14:paraId="55566D5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D61" w14:textId="77777777">
        <w:trPr>
          <w:tblCellSpacing w:w="0" w:type="dxa"/>
        </w:trPr>
        <w:tc>
          <w:tcPr>
            <w:tcW w:w="580" w:type="dxa"/>
            <w:shd w:val="clear" w:color="auto" w:fill="auto"/>
            <w:vAlign w:val="center"/>
          </w:tcPr>
          <w:p w14:paraId="55566D5F" w14:textId="77777777" w:rsidR="00F925DD" w:rsidRDefault="00F925DD">
            <w:pPr>
              <w:rPr>
                <w:rFonts w:ascii="Times New Roman" w:hAnsi="Times New Roman"/>
                <w:sz w:val="20"/>
                <w:szCs w:val="20"/>
              </w:rPr>
            </w:pPr>
          </w:p>
        </w:tc>
        <w:tc>
          <w:tcPr>
            <w:tcW w:w="0" w:type="auto"/>
            <w:shd w:val="clear" w:color="auto" w:fill="auto"/>
            <w:vAlign w:val="center"/>
          </w:tcPr>
          <w:p w14:paraId="55566D60" w14:textId="77777777" w:rsidR="00F925DD" w:rsidRDefault="00F925DD">
            <w:pPr>
              <w:rPr>
                <w:rFonts w:ascii="Times New Roman" w:hAnsi="Times New Roman"/>
                <w:sz w:val="20"/>
                <w:szCs w:val="20"/>
              </w:rPr>
            </w:pPr>
          </w:p>
        </w:tc>
      </w:tr>
      <w:tr w:rsidR="00F925DD" w14:paraId="55566D64" w14:textId="77777777">
        <w:trPr>
          <w:tblCellSpacing w:w="0" w:type="dxa"/>
        </w:trPr>
        <w:tc>
          <w:tcPr>
            <w:tcW w:w="0" w:type="auto"/>
            <w:shd w:val="clear" w:color="auto" w:fill="auto"/>
          </w:tcPr>
          <w:p w14:paraId="55566D6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6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complete acquisitions, joint ventures and divestitures, including, without limitation, our ability to obtain regulatory approvals, the ability to arrange financing as required and the ability to satisfy closing conditions; </w:t>
            </w:r>
          </w:p>
        </w:tc>
      </w:tr>
    </w:tbl>
    <w:p w14:paraId="55566D6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D68" w14:textId="77777777">
        <w:trPr>
          <w:tblCellSpacing w:w="0" w:type="dxa"/>
        </w:trPr>
        <w:tc>
          <w:tcPr>
            <w:tcW w:w="580" w:type="dxa"/>
            <w:shd w:val="clear" w:color="auto" w:fill="auto"/>
            <w:vAlign w:val="center"/>
          </w:tcPr>
          <w:p w14:paraId="55566D66" w14:textId="77777777" w:rsidR="00F925DD" w:rsidRDefault="00F925DD">
            <w:pPr>
              <w:rPr>
                <w:rFonts w:ascii="Times New Roman" w:hAnsi="Times New Roman"/>
                <w:sz w:val="20"/>
                <w:szCs w:val="20"/>
              </w:rPr>
            </w:pPr>
          </w:p>
        </w:tc>
        <w:tc>
          <w:tcPr>
            <w:tcW w:w="0" w:type="auto"/>
            <w:shd w:val="clear" w:color="auto" w:fill="auto"/>
            <w:vAlign w:val="center"/>
          </w:tcPr>
          <w:p w14:paraId="55566D67" w14:textId="77777777" w:rsidR="00F925DD" w:rsidRDefault="00F925DD">
            <w:pPr>
              <w:rPr>
                <w:rFonts w:ascii="Times New Roman" w:hAnsi="Times New Roman"/>
                <w:sz w:val="20"/>
                <w:szCs w:val="20"/>
              </w:rPr>
            </w:pPr>
          </w:p>
        </w:tc>
      </w:tr>
      <w:tr w:rsidR="00F925DD" w14:paraId="55566D6B" w14:textId="77777777">
        <w:trPr>
          <w:tblCellSpacing w:w="0" w:type="dxa"/>
        </w:trPr>
        <w:tc>
          <w:tcPr>
            <w:tcW w:w="0" w:type="auto"/>
            <w:shd w:val="clear" w:color="auto" w:fill="auto"/>
          </w:tcPr>
          <w:p w14:paraId="55566D6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6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risks that our acquired businesses, including, without limitation, our acquisition of CRD, and joint ventures will not achieve their anticipated financial, operational and product innovation benefits or will not be integrated successfully</w:t>
            </w:r>
            <w:r>
              <w:rPr>
                <w:rFonts w:ascii="Times New Roman" w:eastAsia="宋体" w:hAnsi="Times New Roman"/>
                <w:sz w:val="20"/>
                <w:szCs w:val="20"/>
              </w:rPr>
              <w:t>,</w:t>
            </w:r>
            <w:r>
              <w:rPr>
                <w:rFonts w:ascii="Arial" w:eastAsia="宋体" w:hAnsi="Arial" w:cs="Arial"/>
                <w:sz w:val="20"/>
                <w:szCs w:val="20"/>
              </w:rPr>
              <w:t xml:space="preserve"> or that the inte</w:t>
            </w:r>
            <w:r>
              <w:rPr>
                <w:rFonts w:ascii="Arial" w:eastAsia="宋体" w:hAnsi="Arial" w:cs="Arial"/>
                <w:sz w:val="20"/>
                <w:szCs w:val="20"/>
              </w:rPr>
              <w:t xml:space="preserve">gration will take longer than anticipated; that expected synergies will not be achieved or </w:t>
            </w:r>
          </w:p>
        </w:tc>
      </w:tr>
    </w:tbl>
    <w:p w14:paraId="55566D6C"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D6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unexpected negative synergies or liabilities will be experienced; that client and deposit retention goals will not be met; that other regulatory or operational c</w:t>
      </w:r>
      <w:r>
        <w:rPr>
          <w:rFonts w:ascii="Arial" w:eastAsia="宋体" w:hAnsi="Arial" w:cs="Arial"/>
          <w:sz w:val="20"/>
          <w:szCs w:val="20"/>
        </w:rPr>
        <w:t xml:space="preserve">hallenges will be experienced; and that disruptions from the transaction will harm our relationships with our clients, our employees or regulators; </w:t>
      </w: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D70" w14:textId="77777777">
        <w:trPr>
          <w:tblCellSpacing w:w="0" w:type="dxa"/>
        </w:trPr>
        <w:tc>
          <w:tcPr>
            <w:tcW w:w="580" w:type="dxa"/>
            <w:shd w:val="clear" w:color="auto" w:fill="auto"/>
            <w:vAlign w:val="center"/>
          </w:tcPr>
          <w:p w14:paraId="55566D6E" w14:textId="77777777" w:rsidR="00F925DD" w:rsidRDefault="00F925DD">
            <w:pPr>
              <w:rPr>
                <w:rFonts w:ascii="Times New Roman" w:hAnsi="Times New Roman"/>
                <w:sz w:val="20"/>
                <w:szCs w:val="20"/>
              </w:rPr>
            </w:pPr>
          </w:p>
        </w:tc>
        <w:tc>
          <w:tcPr>
            <w:tcW w:w="0" w:type="auto"/>
            <w:shd w:val="clear" w:color="auto" w:fill="auto"/>
            <w:vAlign w:val="center"/>
          </w:tcPr>
          <w:p w14:paraId="55566D6F" w14:textId="77777777" w:rsidR="00F925DD" w:rsidRDefault="00F925DD">
            <w:pPr>
              <w:rPr>
                <w:rFonts w:ascii="Times New Roman" w:hAnsi="Times New Roman"/>
                <w:sz w:val="20"/>
                <w:szCs w:val="20"/>
              </w:rPr>
            </w:pPr>
          </w:p>
        </w:tc>
      </w:tr>
      <w:tr w:rsidR="00F925DD" w14:paraId="55566D73" w14:textId="77777777">
        <w:trPr>
          <w:tblCellSpacing w:w="0" w:type="dxa"/>
        </w:trPr>
        <w:tc>
          <w:tcPr>
            <w:tcW w:w="0" w:type="auto"/>
            <w:shd w:val="clear" w:color="auto" w:fill="auto"/>
          </w:tcPr>
          <w:p w14:paraId="55566D7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7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our ability to integrate CRD's front office software solutions with our middle and back office capabilities to develop our front-to-middle-to-back office State Street Alpha that is competitive, generates revenues in line with our expectations and meets our</w:t>
            </w:r>
            <w:r>
              <w:rPr>
                <w:rFonts w:ascii="Arial" w:eastAsia="宋体" w:hAnsi="Arial" w:cs="Arial"/>
                <w:sz w:val="20"/>
                <w:szCs w:val="20"/>
              </w:rPr>
              <w:t xml:space="preserve"> clients' requirements; the dependency of State Street Alpha on enhancements to our data management and the risks to our servicing model associated with increased exposure to client data; </w:t>
            </w:r>
          </w:p>
        </w:tc>
      </w:tr>
    </w:tbl>
    <w:p w14:paraId="55566D7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D77" w14:textId="77777777">
        <w:trPr>
          <w:tblCellSpacing w:w="0" w:type="dxa"/>
        </w:trPr>
        <w:tc>
          <w:tcPr>
            <w:tcW w:w="580" w:type="dxa"/>
            <w:shd w:val="clear" w:color="auto" w:fill="auto"/>
            <w:vAlign w:val="center"/>
          </w:tcPr>
          <w:p w14:paraId="55566D75" w14:textId="77777777" w:rsidR="00F925DD" w:rsidRDefault="00F925DD">
            <w:pPr>
              <w:rPr>
                <w:rFonts w:ascii="Times New Roman" w:hAnsi="Times New Roman"/>
                <w:sz w:val="20"/>
                <w:szCs w:val="20"/>
              </w:rPr>
            </w:pPr>
          </w:p>
        </w:tc>
        <w:tc>
          <w:tcPr>
            <w:tcW w:w="0" w:type="auto"/>
            <w:shd w:val="clear" w:color="auto" w:fill="auto"/>
            <w:vAlign w:val="center"/>
          </w:tcPr>
          <w:p w14:paraId="55566D76" w14:textId="77777777" w:rsidR="00F925DD" w:rsidRDefault="00F925DD">
            <w:pPr>
              <w:rPr>
                <w:rFonts w:ascii="Times New Roman" w:hAnsi="Times New Roman"/>
                <w:sz w:val="20"/>
                <w:szCs w:val="20"/>
              </w:rPr>
            </w:pPr>
          </w:p>
        </w:tc>
      </w:tr>
      <w:tr w:rsidR="00F925DD" w14:paraId="55566D7A" w14:textId="77777777">
        <w:trPr>
          <w:tblCellSpacing w:w="0" w:type="dxa"/>
        </w:trPr>
        <w:tc>
          <w:tcPr>
            <w:tcW w:w="0" w:type="auto"/>
            <w:shd w:val="clear" w:color="auto" w:fill="auto"/>
          </w:tcPr>
          <w:p w14:paraId="55566D7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7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our ability to recognize evolving needs of our clients and t</w:t>
            </w:r>
            <w:r>
              <w:rPr>
                <w:rFonts w:ascii="Arial" w:eastAsia="宋体" w:hAnsi="Arial" w:cs="Arial"/>
                <w:sz w:val="20"/>
                <w:szCs w:val="20"/>
              </w:rPr>
              <w:t>o develop products that are responsive to such trends and profitable to us; the performance of and demand for the products and services we offer; and the potential for new products and services to impose additional costs on us and expose us to increased op</w:t>
            </w:r>
            <w:r>
              <w:rPr>
                <w:rFonts w:ascii="Arial" w:eastAsia="宋体" w:hAnsi="Arial" w:cs="Arial"/>
                <w:sz w:val="20"/>
                <w:szCs w:val="20"/>
              </w:rPr>
              <w:t xml:space="preserve">erational risk; </w:t>
            </w:r>
          </w:p>
        </w:tc>
      </w:tr>
    </w:tbl>
    <w:p w14:paraId="55566D7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D7E" w14:textId="77777777">
        <w:trPr>
          <w:tblCellSpacing w:w="0" w:type="dxa"/>
        </w:trPr>
        <w:tc>
          <w:tcPr>
            <w:tcW w:w="580" w:type="dxa"/>
            <w:shd w:val="clear" w:color="auto" w:fill="auto"/>
            <w:vAlign w:val="center"/>
          </w:tcPr>
          <w:p w14:paraId="55566D7C" w14:textId="77777777" w:rsidR="00F925DD" w:rsidRDefault="00F925DD">
            <w:pPr>
              <w:rPr>
                <w:rFonts w:ascii="Times New Roman" w:hAnsi="Times New Roman"/>
                <w:sz w:val="20"/>
                <w:szCs w:val="20"/>
              </w:rPr>
            </w:pPr>
          </w:p>
        </w:tc>
        <w:tc>
          <w:tcPr>
            <w:tcW w:w="0" w:type="auto"/>
            <w:shd w:val="clear" w:color="auto" w:fill="auto"/>
            <w:vAlign w:val="center"/>
          </w:tcPr>
          <w:p w14:paraId="55566D7D" w14:textId="77777777" w:rsidR="00F925DD" w:rsidRDefault="00F925DD">
            <w:pPr>
              <w:rPr>
                <w:rFonts w:ascii="Times New Roman" w:hAnsi="Times New Roman"/>
                <w:sz w:val="20"/>
                <w:szCs w:val="20"/>
              </w:rPr>
            </w:pPr>
          </w:p>
        </w:tc>
      </w:tr>
      <w:tr w:rsidR="00F925DD" w14:paraId="55566D81" w14:textId="77777777">
        <w:trPr>
          <w:tblCellSpacing w:w="0" w:type="dxa"/>
        </w:trPr>
        <w:tc>
          <w:tcPr>
            <w:tcW w:w="0" w:type="auto"/>
            <w:shd w:val="clear" w:color="auto" w:fill="auto"/>
          </w:tcPr>
          <w:p w14:paraId="55566D7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8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ability to grow revenue, manage expenses, attract and retain highly skilled people and raise the capital necessary to achieve our business goals and comply with regulatory requirements and expectations; </w:t>
            </w:r>
          </w:p>
        </w:tc>
      </w:tr>
    </w:tbl>
    <w:p w14:paraId="55566D8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4615"/>
      </w:tblGrid>
      <w:tr w:rsidR="00F925DD" w14:paraId="55566D85" w14:textId="77777777">
        <w:trPr>
          <w:tblCellSpacing w:w="0" w:type="dxa"/>
        </w:trPr>
        <w:tc>
          <w:tcPr>
            <w:tcW w:w="580" w:type="dxa"/>
            <w:shd w:val="clear" w:color="auto" w:fill="auto"/>
            <w:vAlign w:val="center"/>
          </w:tcPr>
          <w:p w14:paraId="55566D83" w14:textId="77777777" w:rsidR="00F925DD" w:rsidRDefault="00F925DD">
            <w:pPr>
              <w:rPr>
                <w:rFonts w:ascii="Times New Roman" w:hAnsi="Times New Roman"/>
                <w:sz w:val="20"/>
                <w:szCs w:val="20"/>
              </w:rPr>
            </w:pPr>
          </w:p>
        </w:tc>
        <w:tc>
          <w:tcPr>
            <w:tcW w:w="0" w:type="auto"/>
            <w:shd w:val="clear" w:color="auto" w:fill="auto"/>
            <w:vAlign w:val="center"/>
          </w:tcPr>
          <w:p w14:paraId="55566D84" w14:textId="77777777" w:rsidR="00F925DD" w:rsidRDefault="00F925DD">
            <w:pPr>
              <w:rPr>
                <w:rFonts w:ascii="Times New Roman" w:hAnsi="Times New Roman"/>
                <w:sz w:val="20"/>
                <w:szCs w:val="20"/>
              </w:rPr>
            </w:pPr>
          </w:p>
        </w:tc>
      </w:tr>
      <w:tr w:rsidR="00F925DD" w14:paraId="55566D88" w14:textId="77777777">
        <w:trPr>
          <w:tblCellSpacing w:w="0" w:type="dxa"/>
        </w:trPr>
        <w:tc>
          <w:tcPr>
            <w:tcW w:w="0" w:type="auto"/>
            <w:shd w:val="clear" w:color="auto" w:fill="auto"/>
          </w:tcPr>
          <w:p w14:paraId="55566D8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8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changes in accounting standards and practices; and </w:t>
            </w:r>
          </w:p>
        </w:tc>
      </w:tr>
    </w:tbl>
    <w:p w14:paraId="55566D8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580"/>
        <w:gridCol w:w="7726"/>
      </w:tblGrid>
      <w:tr w:rsidR="00F925DD" w14:paraId="55566D8C" w14:textId="77777777">
        <w:trPr>
          <w:tblCellSpacing w:w="0" w:type="dxa"/>
        </w:trPr>
        <w:tc>
          <w:tcPr>
            <w:tcW w:w="580" w:type="dxa"/>
            <w:shd w:val="clear" w:color="auto" w:fill="auto"/>
            <w:vAlign w:val="center"/>
          </w:tcPr>
          <w:p w14:paraId="55566D8A" w14:textId="77777777" w:rsidR="00F925DD" w:rsidRDefault="00F925DD">
            <w:pPr>
              <w:rPr>
                <w:rFonts w:ascii="Times New Roman" w:hAnsi="Times New Roman"/>
                <w:sz w:val="20"/>
                <w:szCs w:val="20"/>
              </w:rPr>
            </w:pPr>
          </w:p>
        </w:tc>
        <w:tc>
          <w:tcPr>
            <w:tcW w:w="0" w:type="auto"/>
            <w:shd w:val="clear" w:color="auto" w:fill="auto"/>
            <w:vAlign w:val="center"/>
          </w:tcPr>
          <w:p w14:paraId="55566D8B" w14:textId="77777777" w:rsidR="00F925DD" w:rsidRDefault="00F925DD">
            <w:pPr>
              <w:rPr>
                <w:rFonts w:ascii="Times New Roman" w:hAnsi="Times New Roman"/>
                <w:sz w:val="20"/>
                <w:szCs w:val="20"/>
              </w:rPr>
            </w:pPr>
          </w:p>
        </w:tc>
      </w:tr>
      <w:tr w:rsidR="00F925DD" w14:paraId="55566D8F" w14:textId="77777777">
        <w:trPr>
          <w:tblCellSpacing w:w="0" w:type="dxa"/>
        </w:trPr>
        <w:tc>
          <w:tcPr>
            <w:tcW w:w="0" w:type="auto"/>
            <w:shd w:val="clear" w:color="auto" w:fill="auto"/>
          </w:tcPr>
          <w:p w14:paraId="55566D8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8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impact of the U.S. tax legislation enacted in 2017, and changes in tax legislation and in the interpretation of existing tax laws by U.S. and non-U.S. tax authorities that affect the amount of taxes due. </w:t>
            </w:r>
          </w:p>
        </w:tc>
      </w:tr>
    </w:tbl>
    <w:p w14:paraId="55566D90"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Risk Factors</w:t>
      </w:r>
    </w:p>
    <w:p w14:paraId="55566D9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normal course of our busin</w:t>
      </w:r>
      <w:r>
        <w:rPr>
          <w:rFonts w:ascii="Arial" w:eastAsia="宋体" w:hAnsi="Arial" w:cs="Arial"/>
          <w:sz w:val="20"/>
          <w:szCs w:val="20"/>
        </w:rPr>
        <w:t xml:space="preserve">ess activities, we are exposed to a variety of risks. The following is a discussion of risk factors applicable to us. Additional information about our risk management framework is included under “Risk Management” in Management’s Discussion and Analysis in </w:t>
      </w:r>
      <w:r>
        <w:rPr>
          <w:rFonts w:ascii="Arial" w:eastAsia="宋体" w:hAnsi="Arial" w:cs="Arial"/>
          <w:sz w:val="20"/>
          <w:szCs w:val="20"/>
        </w:rPr>
        <w:t xml:space="preserve">this Form 10-K. Additional risks beyond those described in our Management's Discussion and Analysis or in the following discussion may apply to our activities or operations as currently conducted, or as we may conduct them in the future, or in the markets </w:t>
      </w:r>
      <w:r>
        <w:rPr>
          <w:rFonts w:ascii="Arial" w:eastAsia="宋体" w:hAnsi="Arial" w:cs="Arial"/>
          <w:sz w:val="20"/>
          <w:szCs w:val="20"/>
        </w:rPr>
        <w:t>in which we operate or may in the future operate.</w:t>
      </w:r>
    </w:p>
    <w:p w14:paraId="55566D9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Credit and Counterparty, Liquidity and Market Risks</w:t>
      </w:r>
    </w:p>
    <w:p w14:paraId="55566D93"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We assume significant credit risk to counterparties, many of which are major financial institutions. These financial institutions and other counterparties may also have substantial financial dependencies with other financial institutions and sovereign enti</w:t>
      </w:r>
      <w:r>
        <w:rPr>
          <w:rFonts w:ascii="Arial" w:eastAsia="宋体" w:hAnsi="Arial" w:cs="Arial"/>
          <w:b/>
          <w:bCs/>
          <w:sz w:val="20"/>
          <w:szCs w:val="20"/>
        </w:rPr>
        <w:t xml:space="preserve">ties. These credit exposures and </w:t>
      </w:r>
    </w:p>
    <w:p w14:paraId="55566D94" w14:textId="77777777" w:rsidR="00F925DD" w:rsidRDefault="00F925DD">
      <w:pPr>
        <w:rPr>
          <w:rFonts w:ascii="Times New Roman" w:hAnsi="Times New Roman"/>
          <w:sz w:val="20"/>
          <w:szCs w:val="20"/>
        </w:rPr>
      </w:pPr>
    </w:p>
    <w:p w14:paraId="55566D95"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21</w:t>
      </w:r>
    </w:p>
    <w:p w14:paraId="55566D96" w14:textId="77777777" w:rsidR="00F925DD" w:rsidRDefault="00F925DD">
      <w:pPr>
        <w:spacing w:line="288" w:lineRule="auto"/>
        <w:ind w:firstLine="600"/>
        <w:jc w:val="center"/>
        <w:rPr>
          <w:rFonts w:ascii="Times New Roman" w:hAnsi="Times New Roman"/>
          <w:sz w:val="18"/>
          <w:szCs w:val="18"/>
        </w:rPr>
      </w:pPr>
    </w:p>
    <w:p w14:paraId="55566D97" w14:textId="77777777" w:rsidR="00F925DD" w:rsidRDefault="00E705D7">
      <w:r>
        <w:rPr>
          <w:rFonts w:ascii="Times New Roman" w:hAnsi="Times New Roman"/>
          <w:sz w:val="18"/>
          <w:szCs w:val="18"/>
        </w:rPr>
        <w:pict w14:anchorId="5557064D">
          <v:rect id="_x0000_i1045" style="width:415.3pt;height:1.5pt" o:hralign="center" o:hrstd="t" o:hr="t" fillcolor="#a0a0a0" stroked="f"/>
        </w:pict>
      </w:r>
    </w:p>
    <w:p w14:paraId="55566D98" w14:textId="77777777" w:rsidR="00F925DD" w:rsidRDefault="00F925DD">
      <w:pPr>
        <w:spacing w:line="288" w:lineRule="auto"/>
        <w:ind w:firstLine="600"/>
        <w:rPr>
          <w:rFonts w:ascii="Times New Roman" w:hAnsi="Times New Roman"/>
          <w:sz w:val="18"/>
          <w:szCs w:val="18"/>
        </w:rPr>
      </w:pPr>
    </w:p>
    <w:p w14:paraId="55566D99" w14:textId="77777777" w:rsidR="00F925DD" w:rsidRDefault="00F925DD">
      <w:pPr>
        <w:rPr>
          <w:rFonts w:ascii="Times New Roman" w:hAnsi="Times New Roman"/>
          <w:sz w:val="20"/>
          <w:szCs w:val="20"/>
        </w:rPr>
      </w:pPr>
    </w:p>
    <w:p w14:paraId="55566D9A"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concentrations could expose us to financial loss.</w:t>
      </w:r>
    </w:p>
    <w:p w14:paraId="55566D9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financial markets are characterized by extensive interdependencies among numerous parties, including banks, central banks, </w:t>
      </w:r>
      <w:r>
        <w:rPr>
          <w:rFonts w:ascii="Arial" w:eastAsia="宋体" w:hAnsi="Arial" w:cs="Arial"/>
          <w:sz w:val="20"/>
          <w:szCs w:val="20"/>
        </w:rPr>
        <w:t>broker/dealers, insurance companies and other financial institutions. These financial institutions also include collective investment funds, such as mutual funds, UCITS and hedge funds that share these interdependencies. Many financial institutions, includ</w:t>
      </w:r>
      <w:r>
        <w:rPr>
          <w:rFonts w:ascii="Arial" w:eastAsia="宋体" w:hAnsi="Arial" w:cs="Arial"/>
          <w:sz w:val="20"/>
          <w:szCs w:val="20"/>
        </w:rPr>
        <w:t>ing collective investment funds, also hold, or are exposed to, loans, sovereign debt, fixed-income securities, derivatives, counterparty and other forms of credit risk in amounts that are material to their financial condition. As a result of our own busine</w:t>
      </w:r>
      <w:r>
        <w:rPr>
          <w:rFonts w:ascii="Arial" w:eastAsia="宋体" w:hAnsi="Arial" w:cs="Arial"/>
          <w:sz w:val="20"/>
          <w:szCs w:val="20"/>
        </w:rPr>
        <w:t>ss practices and these interdependencies, we and many of our clients have concentrated counterparty exposure to other financial institutions and collective investment funds, particularly large and complex institutions, sovereign issuers, mutual funds, UCIT</w:t>
      </w:r>
      <w:r>
        <w:rPr>
          <w:rFonts w:ascii="Arial" w:eastAsia="宋体" w:hAnsi="Arial" w:cs="Arial"/>
          <w:sz w:val="20"/>
          <w:szCs w:val="20"/>
        </w:rPr>
        <w:t>S and hedge funds. Although we have procedures for monitoring both individual and aggregate counterparty risk, significant individual and aggregate counterparty exposure is inherent in our business, as our focus is on servicing large institutional investor</w:t>
      </w:r>
      <w:r>
        <w:rPr>
          <w:rFonts w:ascii="Arial" w:eastAsia="宋体" w:hAnsi="Arial" w:cs="Arial"/>
          <w:sz w:val="20"/>
          <w:szCs w:val="20"/>
        </w:rPr>
        <w:t>s</w:t>
      </w:r>
      <w:r>
        <w:rPr>
          <w:rFonts w:ascii="Times New Roman" w:eastAsia="宋体" w:hAnsi="Times New Roman"/>
          <w:b/>
          <w:bCs/>
          <w:i/>
          <w:iCs/>
          <w:sz w:val="20"/>
          <w:szCs w:val="20"/>
        </w:rPr>
        <w:t>.</w:t>
      </w:r>
    </w:p>
    <w:p w14:paraId="55566D9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normal course of our business, we assume concentrated credit risk at the individual obligor</w:t>
      </w:r>
      <w:r>
        <w:rPr>
          <w:rFonts w:ascii="Times New Roman" w:eastAsia="宋体" w:hAnsi="Times New Roman"/>
          <w:sz w:val="20"/>
          <w:szCs w:val="20"/>
        </w:rPr>
        <w:t>,</w:t>
      </w:r>
      <w:r>
        <w:rPr>
          <w:rFonts w:ascii="Arial" w:eastAsia="宋体" w:hAnsi="Arial" w:cs="Arial"/>
          <w:sz w:val="20"/>
          <w:szCs w:val="20"/>
        </w:rPr>
        <w:t xml:space="preserve"> counterparty or group level. Such concentrations may be material and can often exceed 10% of our consolidated total shareholders' equity</w:t>
      </w:r>
      <w:r>
        <w:rPr>
          <w:rFonts w:ascii="Times New Roman" w:eastAsia="宋体" w:hAnsi="Times New Roman"/>
          <w:sz w:val="20"/>
          <w:szCs w:val="20"/>
        </w:rPr>
        <w:t xml:space="preserve">. </w:t>
      </w:r>
      <w:r>
        <w:rPr>
          <w:rFonts w:ascii="Arial" w:eastAsia="宋体" w:hAnsi="Arial" w:cs="Arial"/>
          <w:sz w:val="20"/>
          <w:szCs w:val="20"/>
        </w:rPr>
        <w:t>Our material co</w:t>
      </w:r>
      <w:r>
        <w:rPr>
          <w:rFonts w:ascii="Arial" w:eastAsia="宋体" w:hAnsi="Arial" w:cs="Arial"/>
          <w:sz w:val="20"/>
          <w:szCs w:val="20"/>
        </w:rPr>
        <w:t>unterparty exposures change daily</w:t>
      </w:r>
      <w:r>
        <w:rPr>
          <w:rFonts w:ascii="Times New Roman" w:eastAsia="宋体" w:hAnsi="Times New Roman"/>
          <w:sz w:val="20"/>
          <w:szCs w:val="20"/>
        </w:rPr>
        <w:t>,</w:t>
      </w:r>
      <w:r>
        <w:rPr>
          <w:rFonts w:ascii="Arial" w:eastAsia="宋体" w:hAnsi="Arial" w:cs="Arial"/>
          <w:sz w:val="20"/>
          <w:szCs w:val="20"/>
        </w:rPr>
        <w:t xml:space="preserve"> and the counterparties or groups of related counterparties to which our risk exposure exceeds 10% of our consolidated total shareholders' equity are also variable during any reported period; however</w:t>
      </w:r>
      <w:r>
        <w:rPr>
          <w:rFonts w:ascii="Times New Roman" w:eastAsia="宋体" w:hAnsi="Times New Roman"/>
          <w:sz w:val="20"/>
          <w:szCs w:val="20"/>
        </w:rPr>
        <w:t>,</w:t>
      </w:r>
      <w:r>
        <w:rPr>
          <w:rFonts w:ascii="Arial" w:eastAsia="宋体" w:hAnsi="Arial" w:cs="Arial"/>
          <w:sz w:val="20"/>
          <w:szCs w:val="20"/>
        </w:rPr>
        <w:t xml:space="preserve"> our largest exposures</w:t>
      </w:r>
      <w:r>
        <w:rPr>
          <w:rFonts w:ascii="Arial" w:eastAsia="宋体" w:hAnsi="Arial" w:cs="Arial"/>
          <w:sz w:val="20"/>
          <w:szCs w:val="20"/>
        </w:rPr>
        <w:t xml:space="preserve"> tend to be to other financial institutions.</w:t>
      </w:r>
    </w:p>
    <w:p w14:paraId="55566D9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Concentration of counterparty exposure presents significant risks to us and to our clients because the failure or perceived weakness of our counterparties (or in some cases of our clients' counterparties) has th</w:t>
      </w:r>
      <w:r>
        <w:rPr>
          <w:rFonts w:ascii="Arial" w:eastAsia="宋体" w:hAnsi="Arial" w:cs="Arial"/>
          <w:sz w:val="20"/>
          <w:szCs w:val="20"/>
        </w:rPr>
        <w:t>e potential to expose us to risk of financial loss. Changes in market perception of the financial strength of particular financial institutions or sovereign issuers can occur rapidly, are often based on a variety of factors and are difficult to predict.</w:t>
      </w:r>
    </w:p>
    <w:p w14:paraId="55566D9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w:t>
      </w:r>
      <w:r>
        <w:rPr>
          <w:rFonts w:ascii="Arial" w:eastAsia="宋体" w:hAnsi="Arial" w:cs="Arial"/>
          <w:sz w:val="20"/>
          <w:szCs w:val="20"/>
        </w:rPr>
        <w:t>is was observed during the financial crisis that began in 2007-2008, when economic, market, political and other factors contributed to the perception of many financial institutions and sovereign issuers as being less credit worthy</w:t>
      </w:r>
      <w:r>
        <w:rPr>
          <w:rFonts w:ascii="Times New Roman" w:eastAsia="宋体" w:hAnsi="Times New Roman"/>
          <w:sz w:val="20"/>
          <w:szCs w:val="20"/>
        </w:rPr>
        <w:t>.</w:t>
      </w:r>
      <w:r>
        <w:rPr>
          <w:rFonts w:ascii="Arial" w:eastAsia="宋体" w:hAnsi="Arial" w:cs="Arial"/>
          <w:sz w:val="20"/>
          <w:szCs w:val="20"/>
        </w:rPr>
        <w:t xml:space="preserve"> This led to credit downg</w:t>
      </w:r>
      <w:r>
        <w:rPr>
          <w:rFonts w:ascii="Arial" w:eastAsia="宋体" w:hAnsi="Arial" w:cs="Arial"/>
          <w:sz w:val="20"/>
          <w:szCs w:val="20"/>
        </w:rPr>
        <w:t>rades of numerous large U.S. and non-U.S. financial institutions and several sovereign issuers (which exposure stressed the perceived creditworthiness of financial institutions, many of which invest in, accept collateral in the form of, or value other tran</w:t>
      </w:r>
      <w:r>
        <w:rPr>
          <w:rFonts w:ascii="Arial" w:eastAsia="宋体" w:hAnsi="Arial" w:cs="Arial"/>
          <w:sz w:val="20"/>
          <w:szCs w:val="20"/>
        </w:rPr>
        <w:t>sactions based on the debt or other securities issued by sovereigns) and substantially reduced value and liquidity in the market for their credit instruments. These or other factors could again contribute to similar consequences or other market risks assoc</w:t>
      </w:r>
      <w:r>
        <w:rPr>
          <w:rFonts w:ascii="Arial" w:eastAsia="宋体" w:hAnsi="Arial" w:cs="Arial"/>
          <w:sz w:val="20"/>
          <w:szCs w:val="20"/>
        </w:rPr>
        <w:t>iated with reduced levels of liquidity</w:t>
      </w:r>
      <w:r>
        <w:rPr>
          <w:rFonts w:ascii="Times New Roman" w:eastAsia="宋体" w:hAnsi="Times New Roman"/>
          <w:sz w:val="20"/>
          <w:szCs w:val="20"/>
        </w:rPr>
        <w:t xml:space="preserve">. </w:t>
      </w:r>
    </w:p>
    <w:p w14:paraId="55566D9F"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DA0"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As a result, we may be exposed to increased counterparty risks, either resulting from our role as principal or because of commitments we make in our capacity as agent for some of our clients.</w:t>
      </w:r>
    </w:p>
    <w:p w14:paraId="55566DA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areas wher</w:t>
      </w:r>
      <w:r>
        <w:rPr>
          <w:rFonts w:ascii="Arial" w:eastAsia="宋体" w:hAnsi="Arial" w:cs="Arial"/>
          <w:sz w:val="20"/>
          <w:szCs w:val="20"/>
        </w:rPr>
        <w:t>e we experience exposure to credit risk include:</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A4" w14:textId="77777777">
        <w:trPr>
          <w:tblCellSpacing w:w="0" w:type="dxa"/>
        </w:trPr>
        <w:tc>
          <w:tcPr>
            <w:tcW w:w="960" w:type="dxa"/>
            <w:shd w:val="clear" w:color="auto" w:fill="auto"/>
            <w:vAlign w:val="center"/>
          </w:tcPr>
          <w:p w14:paraId="55566DA2" w14:textId="77777777" w:rsidR="00F925DD" w:rsidRDefault="00F925DD">
            <w:pPr>
              <w:rPr>
                <w:rFonts w:ascii="Times New Roman" w:hAnsi="Times New Roman"/>
                <w:sz w:val="20"/>
                <w:szCs w:val="20"/>
              </w:rPr>
            </w:pPr>
          </w:p>
        </w:tc>
        <w:tc>
          <w:tcPr>
            <w:tcW w:w="0" w:type="auto"/>
            <w:shd w:val="clear" w:color="auto" w:fill="auto"/>
            <w:vAlign w:val="center"/>
          </w:tcPr>
          <w:p w14:paraId="55566DA3" w14:textId="77777777" w:rsidR="00F925DD" w:rsidRDefault="00F925DD">
            <w:pPr>
              <w:rPr>
                <w:rFonts w:ascii="Times New Roman" w:hAnsi="Times New Roman"/>
                <w:sz w:val="20"/>
                <w:szCs w:val="20"/>
              </w:rPr>
            </w:pPr>
          </w:p>
        </w:tc>
      </w:tr>
      <w:tr w:rsidR="00F925DD" w14:paraId="55566DA7" w14:textId="77777777">
        <w:trPr>
          <w:tblCellSpacing w:w="0" w:type="dxa"/>
        </w:trPr>
        <w:tc>
          <w:tcPr>
            <w:tcW w:w="0" w:type="auto"/>
            <w:shd w:val="clear" w:color="auto" w:fill="auto"/>
          </w:tcPr>
          <w:p w14:paraId="55566DA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A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Short-term credit</w:t>
            </w:r>
            <w:r>
              <w:rPr>
                <w:rFonts w:ascii="Arial" w:eastAsia="宋体" w:hAnsi="Arial" w:cs="Arial"/>
                <w:sz w:val="20"/>
                <w:szCs w:val="20"/>
              </w:rPr>
              <w:t xml:space="preserve">. The degree of client demand for short-term credit tends to increase during periods of market turbulence, which may expose us to further counterparty-related risks. For </w:t>
            </w:r>
            <w:r>
              <w:rPr>
                <w:rFonts w:ascii="Arial" w:eastAsia="宋体" w:hAnsi="Arial" w:cs="Arial"/>
                <w:sz w:val="20"/>
                <w:szCs w:val="20"/>
              </w:rPr>
              <w:t>example, investors in collective investment vehicles for which we act as custodian may experience significant redemption activity due to adverse market or economic news. Our relationship with our clients and the nature of the settlement process for some ty</w:t>
            </w:r>
            <w:r>
              <w:rPr>
                <w:rFonts w:ascii="Arial" w:eastAsia="宋体" w:hAnsi="Arial" w:cs="Arial"/>
                <w:sz w:val="20"/>
                <w:szCs w:val="20"/>
              </w:rPr>
              <w:t>pes of payments may result in the extension of short-term credit in such circumstances. We also provide committed lines of credit to support such activity. For some types of clients, we provide credit to allow them to leverage their portfolios, which may e</w:t>
            </w:r>
            <w:r>
              <w:rPr>
                <w:rFonts w:ascii="Arial" w:eastAsia="宋体" w:hAnsi="Arial" w:cs="Arial"/>
                <w:sz w:val="20"/>
                <w:szCs w:val="20"/>
              </w:rPr>
              <w:t>xpose us to potential loss if the client experiences investment losses or other credit difficulties.</w:t>
            </w:r>
          </w:p>
        </w:tc>
      </w:tr>
    </w:tbl>
    <w:p w14:paraId="55566DA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AB" w14:textId="77777777">
        <w:trPr>
          <w:tblCellSpacing w:w="0" w:type="dxa"/>
        </w:trPr>
        <w:tc>
          <w:tcPr>
            <w:tcW w:w="960" w:type="dxa"/>
            <w:shd w:val="clear" w:color="auto" w:fill="auto"/>
            <w:vAlign w:val="center"/>
          </w:tcPr>
          <w:p w14:paraId="55566DA9" w14:textId="77777777" w:rsidR="00F925DD" w:rsidRDefault="00F925DD">
            <w:pPr>
              <w:rPr>
                <w:rFonts w:ascii="Times New Roman" w:hAnsi="Times New Roman"/>
                <w:sz w:val="20"/>
                <w:szCs w:val="20"/>
              </w:rPr>
            </w:pPr>
          </w:p>
        </w:tc>
        <w:tc>
          <w:tcPr>
            <w:tcW w:w="0" w:type="auto"/>
            <w:shd w:val="clear" w:color="auto" w:fill="auto"/>
            <w:vAlign w:val="center"/>
          </w:tcPr>
          <w:p w14:paraId="55566DAA" w14:textId="77777777" w:rsidR="00F925DD" w:rsidRDefault="00F925DD">
            <w:pPr>
              <w:rPr>
                <w:rFonts w:ascii="Times New Roman" w:hAnsi="Times New Roman"/>
                <w:sz w:val="20"/>
                <w:szCs w:val="20"/>
              </w:rPr>
            </w:pPr>
          </w:p>
        </w:tc>
      </w:tr>
      <w:tr w:rsidR="00F925DD" w14:paraId="55566DAE" w14:textId="77777777">
        <w:trPr>
          <w:tblCellSpacing w:w="0" w:type="dxa"/>
        </w:trPr>
        <w:tc>
          <w:tcPr>
            <w:tcW w:w="0" w:type="auto"/>
            <w:shd w:val="clear" w:color="auto" w:fill="auto"/>
          </w:tcPr>
          <w:p w14:paraId="55566DA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A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Industry and country risks</w:t>
            </w:r>
            <w:r>
              <w:rPr>
                <w:rFonts w:ascii="Arial" w:eastAsia="宋体" w:hAnsi="Arial" w:cs="Arial"/>
                <w:sz w:val="20"/>
                <w:szCs w:val="20"/>
              </w:rPr>
              <w:t>. In addition to our exposure to financial institutions, we are from time to time exposed to concentrated credit risk at a</w:t>
            </w:r>
            <w:r>
              <w:rPr>
                <w:rFonts w:ascii="Arial" w:eastAsia="宋体" w:hAnsi="Arial" w:cs="Arial"/>
                <w:sz w:val="20"/>
                <w:szCs w:val="20"/>
              </w:rPr>
              <w:t>n industry or country level. This concentration risk also applies to groups of unrelated counterparties that may have similar investment strategies involving one or more particular industries, regions, or other characteristics. These unrelated counterparti</w:t>
            </w:r>
            <w:r>
              <w:rPr>
                <w:rFonts w:ascii="Arial" w:eastAsia="宋体" w:hAnsi="Arial" w:cs="Arial"/>
                <w:sz w:val="20"/>
                <w:szCs w:val="20"/>
              </w:rPr>
              <w:t>es may concurrently experience adverse effects to their performance, liquidity or reputation due to events or other factors affecting such investment strategies. Though potentially not material individually (relative to any one such counterparty), our cred</w:t>
            </w:r>
            <w:r>
              <w:rPr>
                <w:rFonts w:ascii="Arial" w:eastAsia="宋体" w:hAnsi="Arial" w:cs="Arial"/>
                <w:sz w:val="20"/>
                <w:szCs w:val="20"/>
              </w:rPr>
              <w:t>it exposures to such a group of counterparties could expose us to a single market or political event or a correlated set of events that, in the aggregate, could have a material adverse impact on our business.</w:t>
            </w:r>
          </w:p>
        </w:tc>
      </w:tr>
    </w:tbl>
    <w:p w14:paraId="55566DA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B2" w14:textId="77777777">
        <w:trPr>
          <w:tblCellSpacing w:w="0" w:type="dxa"/>
        </w:trPr>
        <w:tc>
          <w:tcPr>
            <w:tcW w:w="960" w:type="dxa"/>
            <w:shd w:val="clear" w:color="auto" w:fill="auto"/>
            <w:vAlign w:val="center"/>
          </w:tcPr>
          <w:p w14:paraId="55566DB0" w14:textId="77777777" w:rsidR="00F925DD" w:rsidRDefault="00F925DD">
            <w:pPr>
              <w:rPr>
                <w:rFonts w:ascii="Times New Roman" w:hAnsi="Times New Roman"/>
                <w:sz w:val="20"/>
                <w:szCs w:val="20"/>
              </w:rPr>
            </w:pPr>
          </w:p>
        </w:tc>
        <w:tc>
          <w:tcPr>
            <w:tcW w:w="0" w:type="auto"/>
            <w:shd w:val="clear" w:color="auto" w:fill="auto"/>
            <w:vAlign w:val="center"/>
          </w:tcPr>
          <w:p w14:paraId="55566DB1" w14:textId="77777777" w:rsidR="00F925DD" w:rsidRDefault="00F925DD">
            <w:pPr>
              <w:rPr>
                <w:rFonts w:ascii="Times New Roman" w:hAnsi="Times New Roman"/>
                <w:sz w:val="20"/>
                <w:szCs w:val="20"/>
              </w:rPr>
            </w:pPr>
          </w:p>
        </w:tc>
      </w:tr>
      <w:tr w:rsidR="00F925DD" w14:paraId="55566DB5" w14:textId="77777777">
        <w:trPr>
          <w:tblCellSpacing w:w="0" w:type="dxa"/>
        </w:trPr>
        <w:tc>
          <w:tcPr>
            <w:tcW w:w="0" w:type="auto"/>
            <w:shd w:val="clear" w:color="auto" w:fill="auto"/>
          </w:tcPr>
          <w:p w14:paraId="55566DB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B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Subcustodian risks</w:t>
            </w:r>
            <w:r>
              <w:rPr>
                <w:rFonts w:ascii="Arial" w:eastAsia="宋体" w:hAnsi="Arial" w:cs="Arial"/>
                <w:sz w:val="20"/>
                <w:szCs w:val="20"/>
              </w:rPr>
              <w:t>. Our use of unaffiliated subcustodians exposes us to credit risk, in addition to other risks, such as operational risk, dependencies on credit extensions and risks of the legal systems of the jurisdictions in which the subcustodians operate, each of which</w:t>
            </w:r>
            <w:r>
              <w:rPr>
                <w:rFonts w:ascii="Arial" w:eastAsia="宋体" w:hAnsi="Arial" w:cs="Arial"/>
                <w:sz w:val="20"/>
                <w:szCs w:val="20"/>
              </w:rPr>
              <w:t xml:space="preserve"> may be material. Our operating model exposes us to risk of unaffiliated sub-custodians to a degree greater than some of our competitors who have banking operations in more jurisdictions than us. Our sub-custodians operate in all jurisdictions in which our</w:t>
            </w:r>
            <w:r>
              <w:rPr>
                <w:rFonts w:ascii="Arial" w:eastAsia="宋体" w:hAnsi="Arial" w:cs="Arial"/>
                <w:sz w:val="20"/>
                <w:szCs w:val="20"/>
              </w:rPr>
              <w:t xml:space="preserve"> clients invest, including emerging and other underdeveloped markets that entail heightened risks. These </w:t>
            </w:r>
          </w:p>
        </w:tc>
      </w:tr>
    </w:tbl>
    <w:p w14:paraId="55566DB6" w14:textId="77777777" w:rsidR="00F925DD" w:rsidRDefault="00F925DD">
      <w:pPr>
        <w:rPr>
          <w:rFonts w:ascii="Times New Roman" w:hAnsi="Times New Roman"/>
          <w:sz w:val="20"/>
          <w:szCs w:val="20"/>
        </w:rPr>
      </w:pPr>
    </w:p>
    <w:p w14:paraId="55566DB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22</w:t>
      </w:r>
    </w:p>
    <w:p w14:paraId="55566DB8" w14:textId="77777777" w:rsidR="00F925DD" w:rsidRDefault="00F925DD">
      <w:pPr>
        <w:spacing w:line="288" w:lineRule="auto"/>
        <w:ind w:firstLine="600"/>
        <w:jc w:val="center"/>
        <w:rPr>
          <w:rFonts w:ascii="Times New Roman" w:hAnsi="Times New Roman"/>
          <w:sz w:val="18"/>
          <w:szCs w:val="18"/>
        </w:rPr>
      </w:pPr>
    </w:p>
    <w:p w14:paraId="55566DB9" w14:textId="77777777" w:rsidR="00F925DD" w:rsidRDefault="00E705D7">
      <w:r>
        <w:rPr>
          <w:rFonts w:ascii="Times New Roman" w:hAnsi="Times New Roman"/>
          <w:sz w:val="18"/>
          <w:szCs w:val="18"/>
        </w:rPr>
        <w:pict w14:anchorId="5557064E">
          <v:rect id="_x0000_i1046" style="width:415.3pt;height:1.5pt" o:hralign="center" o:hrstd="t" o:hr="t" fillcolor="#a0a0a0" stroked="f"/>
        </w:pict>
      </w:r>
    </w:p>
    <w:p w14:paraId="55566DBA" w14:textId="77777777" w:rsidR="00F925DD" w:rsidRDefault="00F925DD">
      <w:pPr>
        <w:spacing w:line="288" w:lineRule="auto"/>
        <w:ind w:firstLine="600"/>
        <w:rPr>
          <w:rFonts w:ascii="Times New Roman" w:hAnsi="Times New Roman"/>
          <w:sz w:val="18"/>
          <w:szCs w:val="18"/>
        </w:rPr>
      </w:pPr>
    </w:p>
    <w:p w14:paraId="55566DBB" w14:textId="77777777" w:rsidR="00F925DD" w:rsidRDefault="00F925DD">
      <w:pPr>
        <w:rPr>
          <w:rFonts w:ascii="Times New Roman" w:hAnsi="Times New Roman"/>
          <w:sz w:val="20"/>
          <w:szCs w:val="20"/>
        </w:rPr>
      </w:pPr>
    </w:p>
    <w:p w14:paraId="55566DB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risks are amplified due to changing regulatory requirements with respect to our financial exposures in the </w:t>
      </w:r>
      <w:r>
        <w:rPr>
          <w:rFonts w:ascii="Arial" w:eastAsia="宋体" w:hAnsi="Arial" w:cs="Arial"/>
          <w:sz w:val="20"/>
          <w:szCs w:val="20"/>
        </w:rPr>
        <w:t>event those subcustodians are unable to return a client’s assets, including, in some regulatory regimes, such as the E.U.'s UCITS V directive, requirements that we be responsible for resulting losses suffered by our clients. We may agree to similar or more</w:t>
      </w:r>
      <w:r>
        <w:rPr>
          <w:rFonts w:ascii="Arial" w:eastAsia="宋体" w:hAnsi="Arial" w:cs="Arial"/>
          <w:sz w:val="20"/>
          <w:szCs w:val="20"/>
        </w:rPr>
        <w:t xml:space="preserve"> stringent standards with clients that are not subject to such regulations.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BF" w14:textId="77777777">
        <w:trPr>
          <w:tblCellSpacing w:w="0" w:type="dxa"/>
        </w:trPr>
        <w:tc>
          <w:tcPr>
            <w:tcW w:w="960" w:type="dxa"/>
            <w:shd w:val="clear" w:color="auto" w:fill="auto"/>
            <w:vAlign w:val="center"/>
          </w:tcPr>
          <w:p w14:paraId="55566DBD" w14:textId="77777777" w:rsidR="00F925DD" w:rsidRDefault="00F925DD">
            <w:pPr>
              <w:rPr>
                <w:rFonts w:ascii="Times New Roman" w:hAnsi="Times New Roman"/>
                <w:sz w:val="20"/>
                <w:szCs w:val="20"/>
              </w:rPr>
            </w:pPr>
          </w:p>
        </w:tc>
        <w:tc>
          <w:tcPr>
            <w:tcW w:w="0" w:type="auto"/>
            <w:shd w:val="clear" w:color="auto" w:fill="auto"/>
            <w:vAlign w:val="center"/>
          </w:tcPr>
          <w:p w14:paraId="55566DBE" w14:textId="77777777" w:rsidR="00F925DD" w:rsidRDefault="00F925DD">
            <w:pPr>
              <w:rPr>
                <w:rFonts w:ascii="Times New Roman" w:hAnsi="Times New Roman"/>
                <w:sz w:val="20"/>
                <w:szCs w:val="20"/>
              </w:rPr>
            </w:pPr>
          </w:p>
        </w:tc>
      </w:tr>
      <w:tr w:rsidR="00F925DD" w14:paraId="55566DC2" w14:textId="77777777">
        <w:trPr>
          <w:tblCellSpacing w:w="0" w:type="dxa"/>
        </w:trPr>
        <w:tc>
          <w:tcPr>
            <w:tcW w:w="0" w:type="auto"/>
            <w:shd w:val="clear" w:color="auto" w:fill="auto"/>
          </w:tcPr>
          <w:p w14:paraId="55566DC0" w14:textId="77777777" w:rsidR="00F925DD" w:rsidRDefault="00E705D7">
            <w:pPr>
              <w:spacing w:line="288" w:lineRule="auto"/>
              <w:textAlignment w:val="top"/>
              <w:rPr>
                <w:rFonts w:ascii="Times New Roman" w:hAnsi="Times New Roman"/>
                <w:sz w:val="20"/>
                <w:szCs w:val="20"/>
              </w:rPr>
            </w:pPr>
            <w:r>
              <w:rPr>
                <w:rFonts w:ascii="Arial" w:eastAsia="宋体" w:hAnsi="Arial" w:cs="Arial"/>
                <w:i/>
                <w:iCs/>
                <w:sz w:val="20"/>
                <w:szCs w:val="20"/>
              </w:rPr>
              <w:t>•</w:t>
            </w:r>
          </w:p>
        </w:tc>
        <w:tc>
          <w:tcPr>
            <w:tcW w:w="0" w:type="auto"/>
            <w:shd w:val="clear" w:color="auto" w:fill="auto"/>
          </w:tcPr>
          <w:p w14:paraId="55566DC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Settlement risks</w:t>
            </w:r>
            <w:r>
              <w:rPr>
                <w:rFonts w:ascii="Arial" w:eastAsia="宋体" w:hAnsi="Arial" w:cs="Arial"/>
                <w:sz w:val="20"/>
                <w:szCs w:val="20"/>
              </w:rPr>
              <w:t>. We are exposed to settlement risks, particularly in our payments and foreign exchange activities. Those activities may lead to extension of credit and conseq</w:t>
            </w:r>
            <w:r>
              <w:rPr>
                <w:rFonts w:ascii="Arial" w:eastAsia="宋体" w:hAnsi="Arial" w:cs="Arial"/>
                <w:sz w:val="20"/>
                <w:szCs w:val="20"/>
              </w:rPr>
              <w:t xml:space="preserve">uent losses in the event of a counterparty breach or an operational error, including the failure to provide credit. Due to our membership in several industry clearing or settlement exchanges, we may be required to guarantee obligations and liabilities, or </w:t>
            </w:r>
            <w:r>
              <w:rPr>
                <w:rFonts w:ascii="Arial" w:eastAsia="宋体" w:hAnsi="Arial" w:cs="Arial"/>
                <w:sz w:val="20"/>
                <w:szCs w:val="20"/>
              </w:rPr>
              <w:t>provide financial support, in the event that other members do not honor their obligations or default. Moreover, not all of our counterparty exposure is secured, and even when our exposure is secured, the realizable value of the collateral may have declined</w:t>
            </w:r>
            <w:r>
              <w:rPr>
                <w:rFonts w:ascii="Arial" w:eastAsia="宋体" w:hAnsi="Arial" w:cs="Arial"/>
                <w:sz w:val="20"/>
                <w:szCs w:val="20"/>
              </w:rPr>
              <w:t xml:space="preserve"> by the time we exercise our rights against that collateral. This risk may be particularly acute if we are required to sell the collateral into an illiquid or temporarily-impaired market or with respect to clients protected by sovereign immunity. We are ex</w:t>
            </w:r>
            <w:r>
              <w:rPr>
                <w:rFonts w:ascii="Arial" w:eastAsia="宋体" w:hAnsi="Arial" w:cs="Arial"/>
                <w:sz w:val="20"/>
                <w:szCs w:val="20"/>
              </w:rPr>
              <w:t>posed to risk of short-term credit or overdraft of our clients in connection with the process to facilitate settlement of trades and related foreign exchange activities, particularly when contractual settlement has been agreed with our clients. The occurre</w:t>
            </w:r>
            <w:r>
              <w:rPr>
                <w:rFonts w:ascii="Arial" w:eastAsia="宋体" w:hAnsi="Arial" w:cs="Arial"/>
                <w:sz w:val="20"/>
                <w:szCs w:val="20"/>
              </w:rPr>
              <w:t>nce of overdrafts at peak volatility could create significant credit exposure to our clients depending upon the value of such clients' collateral at the time.</w:t>
            </w:r>
          </w:p>
        </w:tc>
      </w:tr>
    </w:tbl>
    <w:p w14:paraId="55566DC3" w14:textId="77777777" w:rsidR="00F925DD" w:rsidRDefault="00F925DD">
      <w:pPr>
        <w:spacing w:line="288" w:lineRule="auto"/>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C6" w14:textId="77777777">
        <w:trPr>
          <w:tblCellSpacing w:w="0" w:type="dxa"/>
        </w:trPr>
        <w:tc>
          <w:tcPr>
            <w:tcW w:w="960" w:type="dxa"/>
            <w:shd w:val="clear" w:color="auto" w:fill="auto"/>
            <w:vAlign w:val="center"/>
          </w:tcPr>
          <w:p w14:paraId="55566DC4" w14:textId="77777777" w:rsidR="00F925DD" w:rsidRDefault="00F925DD">
            <w:pPr>
              <w:rPr>
                <w:rFonts w:ascii="Times New Roman" w:hAnsi="Times New Roman"/>
                <w:sz w:val="20"/>
                <w:szCs w:val="20"/>
              </w:rPr>
            </w:pPr>
          </w:p>
        </w:tc>
        <w:tc>
          <w:tcPr>
            <w:tcW w:w="0" w:type="auto"/>
            <w:shd w:val="clear" w:color="auto" w:fill="auto"/>
            <w:vAlign w:val="center"/>
          </w:tcPr>
          <w:p w14:paraId="55566DC5" w14:textId="77777777" w:rsidR="00F925DD" w:rsidRDefault="00F925DD">
            <w:pPr>
              <w:rPr>
                <w:rFonts w:ascii="Times New Roman" w:hAnsi="Times New Roman"/>
                <w:sz w:val="20"/>
                <w:szCs w:val="20"/>
              </w:rPr>
            </w:pPr>
          </w:p>
        </w:tc>
      </w:tr>
      <w:tr w:rsidR="00F925DD" w14:paraId="55566DC9" w14:textId="77777777">
        <w:trPr>
          <w:tblCellSpacing w:w="0" w:type="dxa"/>
        </w:trPr>
        <w:tc>
          <w:tcPr>
            <w:tcW w:w="0" w:type="auto"/>
            <w:shd w:val="clear" w:color="auto" w:fill="auto"/>
          </w:tcPr>
          <w:p w14:paraId="55566DC7" w14:textId="77777777" w:rsidR="00F925DD" w:rsidRDefault="00E705D7">
            <w:pPr>
              <w:spacing w:line="288" w:lineRule="auto"/>
              <w:textAlignment w:val="top"/>
              <w:rPr>
                <w:rFonts w:ascii="Times New Roman" w:hAnsi="Times New Roman"/>
                <w:sz w:val="20"/>
                <w:szCs w:val="20"/>
              </w:rPr>
            </w:pPr>
            <w:r>
              <w:rPr>
                <w:rFonts w:ascii="Arial" w:eastAsia="宋体" w:hAnsi="Arial" w:cs="Arial"/>
                <w:i/>
                <w:iCs/>
                <w:sz w:val="20"/>
                <w:szCs w:val="20"/>
              </w:rPr>
              <w:t>•</w:t>
            </w:r>
          </w:p>
        </w:tc>
        <w:tc>
          <w:tcPr>
            <w:tcW w:w="0" w:type="auto"/>
            <w:shd w:val="clear" w:color="auto" w:fill="auto"/>
          </w:tcPr>
          <w:p w14:paraId="55566DC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Securities lending and repurchase agreement indemnification</w:t>
            </w:r>
            <w:r>
              <w:rPr>
                <w:rFonts w:ascii="Arial" w:eastAsia="宋体" w:hAnsi="Arial" w:cs="Arial"/>
                <w:sz w:val="20"/>
                <w:szCs w:val="20"/>
              </w:rPr>
              <w:t xml:space="preserve">. On behalf of clients enrolled in our securities lending program, we lend securities to banks, broker/dealers and other institutions. In the event of a failure of the borrower to return such securities, we typically agree to indemnify our clients for the </w:t>
            </w:r>
            <w:r>
              <w:rPr>
                <w:rFonts w:ascii="Arial" w:eastAsia="宋体" w:hAnsi="Arial" w:cs="Arial"/>
                <w:sz w:val="20"/>
                <w:szCs w:val="20"/>
              </w:rPr>
              <w:t>amount by which the fair market value of those securities exceeds the proceeds of the disposition of the collateral posted by the borrower in connection with such transaction. We also lend and borrow securities as riskless principal, and in connection with</w:t>
            </w:r>
            <w:r>
              <w:rPr>
                <w:rFonts w:ascii="Arial" w:eastAsia="宋体" w:hAnsi="Arial" w:cs="Arial"/>
                <w:sz w:val="20"/>
                <w:szCs w:val="20"/>
              </w:rPr>
              <w:t xml:space="preserve"> those transactions receive a security interest in securities held by the borrowers in their securities portfolios and advance cash or securities as collateral to securities lenders. </w:t>
            </w:r>
          </w:p>
        </w:tc>
      </w:tr>
    </w:tbl>
    <w:p w14:paraId="55566DCA"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DCB"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Borrowers are generally required to provide collateral equal to a </w:t>
      </w:r>
      <w:r>
        <w:rPr>
          <w:rFonts w:ascii="Arial" w:eastAsia="宋体" w:hAnsi="Arial" w:cs="Arial"/>
          <w:sz w:val="20"/>
          <w:szCs w:val="20"/>
        </w:rPr>
        <w:t>contractually agreed percentage equal to or in excess of the fair market value of the loaned securities. As the fair market value of the loaned securities or collateral changes, additional collateral is provided by the borrower or collateral is returned to</w:t>
      </w:r>
      <w:r>
        <w:rPr>
          <w:rFonts w:ascii="Arial" w:eastAsia="宋体" w:hAnsi="Arial" w:cs="Arial"/>
          <w:sz w:val="20"/>
          <w:szCs w:val="20"/>
        </w:rPr>
        <w:t xml:space="preserve"> the borrower. In addition, our agency securities lending clients often purchase securities or other financial instruments from financial counterparties, including broker/dealers, under repurchase arrangements, frequently as a method of reinvesting the cas</w:t>
      </w:r>
      <w:r>
        <w:rPr>
          <w:rFonts w:ascii="Arial" w:eastAsia="宋体" w:hAnsi="Arial" w:cs="Arial"/>
          <w:sz w:val="20"/>
          <w:szCs w:val="20"/>
        </w:rPr>
        <w:t xml:space="preserve">h collateral they receive from lending their securities. Under these arrangements, the counterparty is obligated to repurchase these securities or financial instruments from the client at the same price (plus an agreed rate of return) at some point in the </w:t>
      </w:r>
      <w:r>
        <w:rPr>
          <w:rFonts w:ascii="Arial" w:eastAsia="宋体" w:hAnsi="Arial" w:cs="Arial"/>
          <w:sz w:val="20"/>
          <w:szCs w:val="20"/>
        </w:rPr>
        <w:t>future. The value of the collateral is intended to exceed the counterparty's payment obligation, and collateral is adjusted daily to account for shortfall under, or excess over, the agreed-upon collateralization level. As with the securities lending progra</w:t>
      </w:r>
      <w:r>
        <w:rPr>
          <w:rFonts w:ascii="Arial" w:eastAsia="宋体" w:hAnsi="Arial" w:cs="Arial"/>
          <w:sz w:val="20"/>
          <w:szCs w:val="20"/>
        </w:rPr>
        <w:t>m, we agree to indemnify our clients from any loss that would arise on a default by the counterparty under these repurchase arrangements if the proceeds from the disposition of the securities or other financial assets held as collateral are less than the a</w:t>
      </w:r>
      <w:r>
        <w:rPr>
          <w:rFonts w:ascii="Arial" w:eastAsia="宋体" w:hAnsi="Arial" w:cs="Arial"/>
          <w:sz w:val="20"/>
          <w:szCs w:val="20"/>
        </w:rPr>
        <w:t>mount of the repayment obligation by the client's counterparty. In such instances of counterparty default, for both securities lending and repurchase agreements, we, rather than our client, are exposed to the risks associated with collateral value.</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CE" w14:textId="77777777">
        <w:trPr>
          <w:tblCellSpacing w:w="0" w:type="dxa"/>
        </w:trPr>
        <w:tc>
          <w:tcPr>
            <w:tcW w:w="960" w:type="dxa"/>
            <w:shd w:val="clear" w:color="auto" w:fill="auto"/>
            <w:vAlign w:val="center"/>
          </w:tcPr>
          <w:p w14:paraId="55566DCC" w14:textId="77777777" w:rsidR="00F925DD" w:rsidRDefault="00F925DD">
            <w:pPr>
              <w:rPr>
                <w:rFonts w:ascii="Times New Roman" w:hAnsi="Times New Roman"/>
                <w:sz w:val="20"/>
                <w:szCs w:val="20"/>
              </w:rPr>
            </w:pPr>
          </w:p>
        </w:tc>
        <w:tc>
          <w:tcPr>
            <w:tcW w:w="0" w:type="auto"/>
            <w:shd w:val="clear" w:color="auto" w:fill="auto"/>
            <w:vAlign w:val="center"/>
          </w:tcPr>
          <w:p w14:paraId="55566DCD" w14:textId="77777777" w:rsidR="00F925DD" w:rsidRDefault="00F925DD">
            <w:pPr>
              <w:rPr>
                <w:rFonts w:ascii="Times New Roman" w:hAnsi="Times New Roman"/>
                <w:sz w:val="20"/>
                <w:szCs w:val="20"/>
              </w:rPr>
            </w:pPr>
          </w:p>
        </w:tc>
      </w:tr>
      <w:tr w:rsidR="00F925DD" w14:paraId="55566DD1" w14:textId="77777777">
        <w:trPr>
          <w:tblCellSpacing w:w="0" w:type="dxa"/>
        </w:trPr>
        <w:tc>
          <w:tcPr>
            <w:tcW w:w="0" w:type="auto"/>
            <w:shd w:val="clear" w:color="auto" w:fill="auto"/>
          </w:tcPr>
          <w:p w14:paraId="55566DCF" w14:textId="77777777" w:rsidR="00F925DD" w:rsidRDefault="00E705D7">
            <w:pPr>
              <w:spacing w:line="288" w:lineRule="auto"/>
              <w:textAlignment w:val="top"/>
              <w:rPr>
                <w:rFonts w:ascii="Times New Roman" w:hAnsi="Times New Roman"/>
                <w:sz w:val="22"/>
                <w:szCs w:val="22"/>
              </w:rPr>
            </w:pPr>
            <w:r>
              <w:rPr>
                <w:rFonts w:ascii="Arial" w:eastAsia="宋体" w:hAnsi="Arial" w:cs="Arial"/>
                <w:sz w:val="20"/>
                <w:szCs w:val="20"/>
              </w:rPr>
              <w:t>•</w:t>
            </w:r>
          </w:p>
        </w:tc>
        <w:tc>
          <w:tcPr>
            <w:tcW w:w="0" w:type="auto"/>
            <w:shd w:val="clear" w:color="auto" w:fill="auto"/>
          </w:tcPr>
          <w:p w14:paraId="55566DD0" w14:textId="77777777" w:rsidR="00F925DD" w:rsidRDefault="00E705D7">
            <w:pPr>
              <w:spacing w:line="288" w:lineRule="auto"/>
              <w:jc w:val="both"/>
              <w:textAlignment w:val="top"/>
              <w:rPr>
                <w:rFonts w:ascii="Times New Roman" w:hAnsi="Times New Roman"/>
                <w:sz w:val="22"/>
                <w:szCs w:val="22"/>
              </w:rPr>
            </w:pPr>
            <w:r>
              <w:rPr>
                <w:rFonts w:ascii="Arial" w:eastAsia="宋体" w:hAnsi="Arial" w:cs="Arial"/>
                <w:i/>
                <w:iCs/>
                <w:sz w:val="20"/>
                <w:szCs w:val="20"/>
              </w:rPr>
              <w:t>Stable value arrangements</w:t>
            </w:r>
            <w:r>
              <w:rPr>
                <w:rFonts w:ascii="Arial" w:eastAsia="宋体" w:hAnsi="Arial" w:cs="Arial"/>
                <w:sz w:val="20"/>
                <w:szCs w:val="20"/>
              </w:rPr>
              <w:t xml:space="preserve">. </w:t>
            </w:r>
            <w:r>
              <w:rPr>
                <w:rFonts w:ascii="Arial Narrow" w:eastAsia="Arial Narrow" w:hAnsi="Arial Narrow" w:cs="Arial Narrow"/>
                <w:sz w:val="22"/>
                <w:szCs w:val="22"/>
              </w:rPr>
              <w:t>W</w:t>
            </w:r>
            <w:r>
              <w:rPr>
                <w:rFonts w:ascii="Arial" w:eastAsia="宋体" w:hAnsi="Arial" w:cs="Arial"/>
                <w:sz w:val="20"/>
                <w:szCs w:val="20"/>
              </w:rPr>
              <w:t>e enter into stable value wrap derivative contracts with unaffiliated stable value funds that allow a stable value fund to provide book value coverage to its participants.</w:t>
            </w:r>
            <w:r>
              <w:rPr>
                <w:rFonts w:ascii="Times New Roman" w:eastAsia="宋体" w:hAnsi="Times New Roman"/>
                <w:sz w:val="22"/>
                <w:szCs w:val="22"/>
              </w:rPr>
              <w:t xml:space="preserve"> </w:t>
            </w:r>
            <w:r>
              <w:rPr>
                <w:rFonts w:ascii="Arial" w:eastAsia="宋体" w:hAnsi="Arial" w:cs="Arial"/>
                <w:sz w:val="20"/>
                <w:szCs w:val="20"/>
              </w:rPr>
              <w:t>During the financial crisis, the book value of obligatio</w:t>
            </w:r>
            <w:r>
              <w:rPr>
                <w:rFonts w:ascii="Arial" w:eastAsia="宋体" w:hAnsi="Arial" w:cs="Arial"/>
                <w:sz w:val="20"/>
                <w:szCs w:val="20"/>
              </w:rPr>
              <w:t>ns under many of these contracts exceeded the market value of the underlying portfolio holdings. Concerns regarding the portfolio of investments protected by such contracts, or regarding the investment manager overseeing such an investment option, may resu</w:t>
            </w:r>
            <w:r>
              <w:rPr>
                <w:rFonts w:ascii="Arial" w:eastAsia="宋体" w:hAnsi="Arial" w:cs="Arial"/>
                <w:sz w:val="20"/>
                <w:szCs w:val="20"/>
              </w:rPr>
              <w:t>lt in redemption demands from stable value products covered by benefit-responsive contracts at a time when the portfolio's market value is less than its book value, potentially exposing us to risk of loss.</w:t>
            </w:r>
          </w:p>
        </w:tc>
      </w:tr>
    </w:tbl>
    <w:p w14:paraId="55566DD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D5" w14:textId="77777777">
        <w:trPr>
          <w:tblCellSpacing w:w="0" w:type="dxa"/>
        </w:trPr>
        <w:tc>
          <w:tcPr>
            <w:tcW w:w="960" w:type="dxa"/>
            <w:shd w:val="clear" w:color="auto" w:fill="auto"/>
            <w:vAlign w:val="center"/>
          </w:tcPr>
          <w:p w14:paraId="55566DD3" w14:textId="77777777" w:rsidR="00F925DD" w:rsidRDefault="00F925DD">
            <w:pPr>
              <w:rPr>
                <w:rFonts w:ascii="Times New Roman" w:hAnsi="Times New Roman"/>
                <w:sz w:val="20"/>
                <w:szCs w:val="20"/>
              </w:rPr>
            </w:pPr>
          </w:p>
        </w:tc>
        <w:tc>
          <w:tcPr>
            <w:tcW w:w="0" w:type="auto"/>
            <w:shd w:val="clear" w:color="auto" w:fill="auto"/>
            <w:vAlign w:val="center"/>
          </w:tcPr>
          <w:p w14:paraId="55566DD4" w14:textId="77777777" w:rsidR="00F925DD" w:rsidRDefault="00F925DD">
            <w:pPr>
              <w:rPr>
                <w:rFonts w:ascii="Times New Roman" w:hAnsi="Times New Roman"/>
                <w:sz w:val="20"/>
                <w:szCs w:val="20"/>
              </w:rPr>
            </w:pPr>
          </w:p>
        </w:tc>
      </w:tr>
      <w:tr w:rsidR="00F925DD" w14:paraId="55566DD8" w14:textId="77777777">
        <w:trPr>
          <w:tblCellSpacing w:w="0" w:type="dxa"/>
        </w:trPr>
        <w:tc>
          <w:tcPr>
            <w:tcW w:w="0" w:type="auto"/>
            <w:shd w:val="clear" w:color="auto" w:fill="auto"/>
          </w:tcPr>
          <w:p w14:paraId="55566DD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D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 xml:space="preserve">Private equity subscription finance credit facilities. </w:t>
            </w:r>
            <w:r>
              <w:rPr>
                <w:rFonts w:ascii="Arial" w:eastAsia="宋体" w:hAnsi="Arial" w:cs="Arial"/>
                <w:sz w:val="20"/>
                <w:szCs w:val="20"/>
              </w:rPr>
              <w:t>We provide credit facilities to private equity funds. The portfolio consists of capital call lines of credit, the repayment of which is dependent on the receipt of capital calls from the underlying lim</w:t>
            </w:r>
            <w:r>
              <w:rPr>
                <w:rFonts w:ascii="Arial" w:eastAsia="宋体" w:hAnsi="Arial" w:cs="Arial"/>
                <w:sz w:val="20"/>
                <w:szCs w:val="20"/>
              </w:rPr>
              <w:t xml:space="preserve">ited partner investors in the </w:t>
            </w:r>
          </w:p>
        </w:tc>
      </w:tr>
    </w:tbl>
    <w:p w14:paraId="55566DD9" w14:textId="77777777" w:rsidR="00F925DD" w:rsidRDefault="00F925DD">
      <w:pPr>
        <w:rPr>
          <w:rFonts w:ascii="Times New Roman" w:hAnsi="Times New Roman"/>
          <w:sz w:val="20"/>
          <w:szCs w:val="20"/>
        </w:rPr>
      </w:pPr>
    </w:p>
    <w:p w14:paraId="55566DD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23</w:t>
      </w:r>
    </w:p>
    <w:p w14:paraId="55566DDB" w14:textId="77777777" w:rsidR="00F925DD" w:rsidRDefault="00F925DD">
      <w:pPr>
        <w:spacing w:line="288" w:lineRule="auto"/>
        <w:ind w:firstLine="600"/>
        <w:jc w:val="center"/>
        <w:rPr>
          <w:rFonts w:ascii="Times New Roman" w:hAnsi="Times New Roman"/>
          <w:sz w:val="18"/>
          <w:szCs w:val="18"/>
        </w:rPr>
      </w:pPr>
    </w:p>
    <w:p w14:paraId="55566DDC" w14:textId="77777777" w:rsidR="00F925DD" w:rsidRDefault="00E705D7">
      <w:r>
        <w:rPr>
          <w:rFonts w:ascii="Times New Roman" w:hAnsi="Times New Roman"/>
          <w:sz w:val="18"/>
          <w:szCs w:val="18"/>
        </w:rPr>
        <w:pict w14:anchorId="5557064F">
          <v:rect id="_x0000_i1047" style="width:415.3pt;height:1.5pt" o:hralign="center" o:hrstd="t" o:hr="t" fillcolor="#a0a0a0" stroked="f"/>
        </w:pict>
      </w:r>
    </w:p>
    <w:p w14:paraId="55566DDD" w14:textId="77777777" w:rsidR="00F925DD" w:rsidRDefault="00F925DD">
      <w:pPr>
        <w:spacing w:line="288" w:lineRule="auto"/>
        <w:ind w:firstLine="600"/>
        <w:rPr>
          <w:rFonts w:ascii="Times New Roman" w:hAnsi="Times New Roman"/>
          <w:sz w:val="18"/>
          <w:szCs w:val="18"/>
        </w:rPr>
      </w:pPr>
    </w:p>
    <w:p w14:paraId="55566DDE" w14:textId="77777777" w:rsidR="00F925DD" w:rsidRDefault="00F925DD">
      <w:pPr>
        <w:rPr>
          <w:rFonts w:ascii="Times New Roman" w:hAnsi="Times New Roman"/>
          <w:sz w:val="20"/>
          <w:szCs w:val="20"/>
        </w:rPr>
      </w:pPr>
    </w:p>
    <w:p w14:paraId="55566DDF"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funds managed by these firms.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E2" w14:textId="77777777">
        <w:trPr>
          <w:tblCellSpacing w:w="0" w:type="dxa"/>
        </w:trPr>
        <w:tc>
          <w:tcPr>
            <w:tcW w:w="960" w:type="dxa"/>
            <w:shd w:val="clear" w:color="auto" w:fill="auto"/>
            <w:vAlign w:val="center"/>
          </w:tcPr>
          <w:p w14:paraId="55566DE0" w14:textId="77777777" w:rsidR="00F925DD" w:rsidRDefault="00F925DD">
            <w:pPr>
              <w:rPr>
                <w:rFonts w:ascii="Times New Roman" w:hAnsi="Times New Roman"/>
                <w:sz w:val="20"/>
                <w:szCs w:val="20"/>
              </w:rPr>
            </w:pPr>
          </w:p>
        </w:tc>
        <w:tc>
          <w:tcPr>
            <w:tcW w:w="0" w:type="auto"/>
            <w:shd w:val="clear" w:color="auto" w:fill="auto"/>
            <w:vAlign w:val="center"/>
          </w:tcPr>
          <w:p w14:paraId="55566DE1" w14:textId="77777777" w:rsidR="00F925DD" w:rsidRDefault="00F925DD">
            <w:pPr>
              <w:rPr>
                <w:rFonts w:ascii="Times New Roman" w:hAnsi="Times New Roman"/>
                <w:sz w:val="20"/>
                <w:szCs w:val="20"/>
              </w:rPr>
            </w:pPr>
          </w:p>
        </w:tc>
      </w:tr>
      <w:tr w:rsidR="00F925DD" w14:paraId="55566DE5" w14:textId="77777777">
        <w:trPr>
          <w:tblCellSpacing w:w="0" w:type="dxa"/>
        </w:trPr>
        <w:tc>
          <w:tcPr>
            <w:tcW w:w="0" w:type="auto"/>
            <w:shd w:val="clear" w:color="auto" w:fill="auto"/>
          </w:tcPr>
          <w:p w14:paraId="55566DE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E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U.S. municipal obligations remarketing credit facilities</w:t>
            </w:r>
            <w:r>
              <w:rPr>
                <w:rFonts w:ascii="Arial" w:eastAsia="宋体" w:hAnsi="Arial" w:cs="Arial"/>
                <w:sz w:val="20"/>
                <w:szCs w:val="20"/>
              </w:rPr>
              <w:t xml:space="preserve">. We provide credit facilities in connection with the remarketing of U.S. municipal obligations, potentially exposing us to credit exposure to the municipalities issuing such bonds and contingent liquidity risk. </w:t>
            </w:r>
          </w:p>
        </w:tc>
      </w:tr>
    </w:tbl>
    <w:p w14:paraId="55566DE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E9" w14:textId="77777777">
        <w:trPr>
          <w:tblCellSpacing w:w="0" w:type="dxa"/>
        </w:trPr>
        <w:tc>
          <w:tcPr>
            <w:tcW w:w="960" w:type="dxa"/>
            <w:shd w:val="clear" w:color="auto" w:fill="auto"/>
            <w:vAlign w:val="center"/>
          </w:tcPr>
          <w:p w14:paraId="55566DE7" w14:textId="77777777" w:rsidR="00F925DD" w:rsidRDefault="00F925DD">
            <w:pPr>
              <w:rPr>
                <w:rFonts w:ascii="Times New Roman" w:hAnsi="Times New Roman"/>
                <w:sz w:val="20"/>
                <w:szCs w:val="20"/>
              </w:rPr>
            </w:pPr>
          </w:p>
        </w:tc>
        <w:tc>
          <w:tcPr>
            <w:tcW w:w="0" w:type="auto"/>
            <w:shd w:val="clear" w:color="auto" w:fill="auto"/>
            <w:vAlign w:val="center"/>
          </w:tcPr>
          <w:p w14:paraId="55566DE8" w14:textId="77777777" w:rsidR="00F925DD" w:rsidRDefault="00F925DD">
            <w:pPr>
              <w:rPr>
                <w:rFonts w:ascii="Times New Roman" w:hAnsi="Times New Roman"/>
                <w:sz w:val="20"/>
                <w:szCs w:val="20"/>
              </w:rPr>
            </w:pPr>
          </w:p>
        </w:tc>
      </w:tr>
      <w:tr w:rsidR="00F925DD" w14:paraId="55566DEC" w14:textId="77777777">
        <w:trPr>
          <w:tblCellSpacing w:w="0" w:type="dxa"/>
        </w:trPr>
        <w:tc>
          <w:tcPr>
            <w:tcW w:w="0" w:type="auto"/>
            <w:shd w:val="clear" w:color="auto" w:fill="auto"/>
          </w:tcPr>
          <w:p w14:paraId="55566DE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E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Senior secured bank loans</w:t>
            </w:r>
            <w:r>
              <w:rPr>
                <w:rFonts w:ascii="Arial" w:eastAsia="宋体" w:hAnsi="Arial" w:cs="Arial"/>
                <w:sz w:val="20"/>
                <w:szCs w:val="20"/>
              </w:rPr>
              <w:t xml:space="preserve">. In </w:t>
            </w:r>
            <w:r>
              <w:rPr>
                <w:rFonts w:ascii="Arial" w:eastAsia="宋体" w:hAnsi="Arial" w:cs="Arial"/>
                <w:sz w:val="20"/>
                <w:szCs w:val="20"/>
              </w:rPr>
              <w:t>recent years, we have increased our investment in senior secured bank loans, both in the U.S. and in Europe. We invest in these loans to non-investment grade borrowers through participation in loan syndications in the non-investment grade lending market. W</w:t>
            </w:r>
            <w:r>
              <w:rPr>
                <w:rFonts w:ascii="Arial" w:eastAsia="宋体" w:hAnsi="Arial" w:cs="Arial"/>
                <w:sz w:val="20"/>
                <w:szCs w:val="20"/>
              </w:rPr>
              <w:t>e rate these loans as "speculative" under our internal risk-rating framework, and these loans have significant exposure to credit losses relative to higher-rated loans. We are therefore at a higher risk of default with respect to these investments relative</w:t>
            </w:r>
            <w:r>
              <w:rPr>
                <w:rFonts w:ascii="Arial" w:eastAsia="宋体" w:hAnsi="Arial" w:cs="Arial"/>
                <w:sz w:val="20"/>
                <w:szCs w:val="20"/>
              </w:rPr>
              <w:t xml:space="preserve"> to other of our investments activities. In addition, unlike other financial institutions that may have an active role in managing individual loan compliance, our investment in these loans is generally as a passive investor with limited control. As this po</w:t>
            </w:r>
            <w:r>
              <w:rPr>
                <w:rFonts w:ascii="Arial" w:eastAsia="宋体" w:hAnsi="Arial" w:cs="Arial"/>
                <w:sz w:val="20"/>
                <w:szCs w:val="20"/>
              </w:rPr>
              <w:t>rtfolio grows and becomes more seasoned, our allowance for loan losses related to these loans may increase through additional provisions for credit losses.</w:t>
            </w:r>
          </w:p>
        </w:tc>
      </w:tr>
    </w:tbl>
    <w:p w14:paraId="55566DE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F0" w14:textId="77777777">
        <w:trPr>
          <w:tblCellSpacing w:w="0" w:type="dxa"/>
        </w:trPr>
        <w:tc>
          <w:tcPr>
            <w:tcW w:w="960" w:type="dxa"/>
            <w:shd w:val="clear" w:color="auto" w:fill="auto"/>
            <w:vAlign w:val="center"/>
          </w:tcPr>
          <w:p w14:paraId="55566DEE" w14:textId="77777777" w:rsidR="00F925DD" w:rsidRDefault="00F925DD">
            <w:pPr>
              <w:rPr>
                <w:rFonts w:ascii="Times New Roman" w:hAnsi="Times New Roman"/>
                <w:sz w:val="20"/>
                <w:szCs w:val="20"/>
              </w:rPr>
            </w:pPr>
          </w:p>
        </w:tc>
        <w:tc>
          <w:tcPr>
            <w:tcW w:w="0" w:type="auto"/>
            <w:shd w:val="clear" w:color="auto" w:fill="auto"/>
            <w:vAlign w:val="center"/>
          </w:tcPr>
          <w:p w14:paraId="55566DEF" w14:textId="77777777" w:rsidR="00F925DD" w:rsidRDefault="00F925DD">
            <w:pPr>
              <w:rPr>
                <w:rFonts w:ascii="Times New Roman" w:hAnsi="Times New Roman"/>
                <w:sz w:val="20"/>
                <w:szCs w:val="20"/>
              </w:rPr>
            </w:pPr>
          </w:p>
        </w:tc>
      </w:tr>
      <w:tr w:rsidR="00F925DD" w14:paraId="55566DF3" w14:textId="77777777">
        <w:trPr>
          <w:tblCellSpacing w:w="0" w:type="dxa"/>
        </w:trPr>
        <w:tc>
          <w:tcPr>
            <w:tcW w:w="0" w:type="auto"/>
            <w:shd w:val="clear" w:color="auto" w:fill="auto"/>
          </w:tcPr>
          <w:p w14:paraId="55566DF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F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 xml:space="preserve">Commercial Real Estate. </w:t>
            </w:r>
            <w:r>
              <w:rPr>
                <w:rFonts w:ascii="Arial" w:eastAsia="宋体" w:hAnsi="Arial" w:cs="Arial"/>
                <w:sz w:val="20"/>
                <w:szCs w:val="20"/>
              </w:rPr>
              <w:t>We finance commercial and multi-family properties, which serve as collateral for our loans. Although collateralized, these loans may become under-secured if the value of the collateral was over-estimated or changes. Loan payments are dependent on the succe</w:t>
            </w:r>
            <w:r>
              <w:rPr>
                <w:rFonts w:ascii="Arial" w:eastAsia="宋体" w:hAnsi="Arial" w:cs="Arial"/>
                <w:sz w:val="20"/>
                <w:szCs w:val="20"/>
              </w:rPr>
              <w:t>ssful operation and management of the underlying collateral property to generate sufficient cash flow to repay the loan in a timely fashion. A material decline in real estate markets or economic conditions could negatively impact value or property performa</w:t>
            </w:r>
            <w:r>
              <w:rPr>
                <w:rFonts w:ascii="Arial" w:eastAsia="宋体" w:hAnsi="Arial" w:cs="Arial"/>
                <w:sz w:val="20"/>
                <w:szCs w:val="20"/>
              </w:rPr>
              <w:t xml:space="preserve">nce, which could adversely impact timely loan repayment, which may result in increased provision for losses on loans, and actual losses, either of which would have an adverse impact on our net income. We seek to minimize these risks by maintaining lending </w:t>
            </w:r>
            <w:r>
              <w:rPr>
                <w:rFonts w:ascii="Arial" w:eastAsia="宋体" w:hAnsi="Arial" w:cs="Arial"/>
                <w:sz w:val="20"/>
                <w:szCs w:val="20"/>
              </w:rPr>
              <w:t xml:space="preserve">policies and procedures and underwriting standards, however, there can be no assurance that these will protect us from credit-related losses or delinquencies. </w:t>
            </w:r>
          </w:p>
        </w:tc>
      </w:tr>
    </w:tbl>
    <w:p w14:paraId="55566DF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DF7" w14:textId="77777777">
        <w:trPr>
          <w:tblCellSpacing w:w="0" w:type="dxa"/>
        </w:trPr>
        <w:tc>
          <w:tcPr>
            <w:tcW w:w="960" w:type="dxa"/>
            <w:shd w:val="clear" w:color="auto" w:fill="auto"/>
            <w:vAlign w:val="center"/>
          </w:tcPr>
          <w:p w14:paraId="55566DF5" w14:textId="77777777" w:rsidR="00F925DD" w:rsidRDefault="00F925DD">
            <w:pPr>
              <w:rPr>
                <w:rFonts w:ascii="Times New Roman" w:hAnsi="Times New Roman"/>
                <w:sz w:val="20"/>
                <w:szCs w:val="20"/>
              </w:rPr>
            </w:pPr>
          </w:p>
        </w:tc>
        <w:tc>
          <w:tcPr>
            <w:tcW w:w="0" w:type="auto"/>
            <w:shd w:val="clear" w:color="auto" w:fill="auto"/>
            <w:vAlign w:val="center"/>
          </w:tcPr>
          <w:p w14:paraId="55566DF6" w14:textId="77777777" w:rsidR="00F925DD" w:rsidRDefault="00F925DD">
            <w:pPr>
              <w:rPr>
                <w:rFonts w:ascii="Times New Roman" w:hAnsi="Times New Roman"/>
                <w:sz w:val="20"/>
                <w:szCs w:val="20"/>
              </w:rPr>
            </w:pPr>
          </w:p>
        </w:tc>
      </w:tr>
      <w:tr w:rsidR="00F925DD" w14:paraId="55566DFA" w14:textId="77777777">
        <w:trPr>
          <w:tblCellSpacing w:w="0" w:type="dxa"/>
        </w:trPr>
        <w:tc>
          <w:tcPr>
            <w:tcW w:w="0" w:type="auto"/>
            <w:shd w:val="clear" w:color="auto" w:fill="auto"/>
          </w:tcPr>
          <w:p w14:paraId="55566DF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DF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Unavailability of netting</w:t>
            </w:r>
            <w:r>
              <w:rPr>
                <w:rFonts w:ascii="Arial" w:eastAsia="宋体" w:hAnsi="Arial" w:cs="Arial"/>
                <w:sz w:val="20"/>
                <w:szCs w:val="20"/>
              </w:rPr>
              <w:t>. We are generally not able to net exposures across counterparties that are affiliated entities and may not be able in all circumstances to net exposures to the same legal entity across multiple products. As a consequence, we may incur a loss in relation t</w:t>
            </w:r>
            <w:r>
              <w:rPr>
                <w:rFonts w:ascii="Arial" w:eastAsia="宋体" w:hAnsi="Arial" w:cs="Arial"/>
                <w:sz w:val="20"/>
                <w:szCs w:val="20"/>
              </w:rPr>
              <w:t xml:space="preserve">o one entity or product even though our exposure to an entity's affiliates or across </w:t>
            </w:r>
          </w:p>
        </w:tc>
      </w:tr>
    </w:tbl>
    <w:p w14:paraId="55566DFB"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DF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product types is over-collateralized. In some cases, for example in our securities finance and foreign exchange activities, we are able to enter into netting agreement</w:t>
      </w:r>
      <w:r>
        <w:rPr>
          <w:rFonts w:ascii="Arial" w:eastAsia="宋体" w:hAnsi="Arial" w:cs="Arial"/>
          <w:sz w:val="20"/>
          <w:szCs w:val="20"/>
        </w:rPr>
        <w:t>s that allow us to net offsetting exposures and payment obligations against one another.  In the event we become unable, due to operational constraints, actions by regulators, changes in accounting principles, law or regulation (or related interpretations)</w:t>
      </w:r>
      <w:r>
        <w:rPr>
          <w:rFonts w:ascii="Arial" w:eastAsia="宋体" w:hAnsi="Arial" w:cs="Arial"/>
          <w:sz w:val="20"/>
          <w:szCs w:val="20"/>
        </w:rPr>
        <w:t xml:space="preserve"> or other factors, to net some or all of our offsetting exposures and payment obligations under those agreements, we would be required to gross up our assets and liabilities on our statement of condition and our calculation of RWA, accordingly.  This would</w:t>
      </w:r>
      <w:r>
        <w:rPr>
          <w:rFonts w:ascii="Arial" w:eastAsia="宋体" w:hAnsi="Arial" w:cs="Arial"/>
          <w:sz w:val="20"/>
          <w:szCs w:val="20"/>
        </w:rPr>
        <w:t xml:space="preserve"> result in a potentially material increase in our regulatory ratios, including LCR, and present increased credit, liquidity, asset-and-liability management and operational risks, some of which could be material.</w:t>
      </w:r>
    </w:p>
    <w:p w14:paraId="55566DF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Under evolving regulatory restrictions on cr</w:t>
      </w:r>
      <w:r>
        <w:rPr>
          <w:rFonts w:ascii="Arial" w:eastAsia="宋体" w:hAnsi="Arial" w:cs="Arial"/>
          <w:sz w:val="20"/>
          <w:szCs w:val="20"/>
        </w:rPr>
        <w:t>edit exposure we may be required to limit our exposures to specific issuers or counterparties or groups of counterparties, including financial institutions and sovereign issuers, to levels that we may currently exceed. These credit exposure restrictions un</w:t>
      </w:r>
      <w:r>
        <w:rPr>
          <w:rFonts w:ascii="Arial" w:eastAsia="宋体" w:hAnsi="Arial" w:cs="Arial"/>
          <w:sz w:val="20"/>
          <w:szCs w:val="20"/>
        </w:rPr>
        <w:t>der such evolving regulations have and may further adversely affect certain of our businesses, may require that we expand our credit exposure to a broader range of issuers and counterparties, including issuers and counterparties that represent increased cr</w:t>
      </w:r>
      <w:r>
        <w:rPr>
          <w:rFonts w:ascii="Arial" w:eastAsia="宋体" w:hAnsi="Arial" w:cs="Arial"/>
          <w:sz w:val="20"/>
          <w:szCs w:val="20"/>
        </w:rPr>
        <w:t>edit risk and may require that we modify our operating models or the policies and practices we use to manage our consolidated statement of condition. The effects of these considerations may increase when evaluated under a stressed environment in stress tes</w:t>
      </w:r>
      <w:r>
        <w:rPr>
          <w:rFonts w:ascii="Arial" w:eastAsia="宋体" w:hAnsi="Arial" w:cs="Arial"/>
          <w:sz w:val="20"/>
          <w:szCs w:val="20"/>
        </w:rPr>
        <w:t>ting, including CCAR. In addition, we are an adherent to the International Swaps and Derivatives Association 2015 Universal Resolution Stay Protocol and as such are subject to restrictions against the exercise of rights and remedies against fellow adherent</w:t>
      </w:r>
      <w:r>
        <w:rPr>
          <w:rFonts w:ascii="Arial" w:eastAsia="宋体" w:hAnsi="Arial" w:cs="Arial"/>
          <w:sz w:val="20"/>
          <w:szCs w:val="20"/>
        </w:rPr>
        <w:t>s, including other major financial institutions, in the event they or an affiliate of theirs enters into resolution. Although our overall business is subject to these factors, several of our activities are particularly sensitive to them including our curre</w:t>
      </w:r>
      <w:r>
        <w:rPr>
          <w:rFonts w:ascii="Arial" w:eastAsia="宋体" w:hAnsi="Arial" w:cs="Arial"/>
          <w:sz w:val="20"/>
          <w:szCs w:val="20"/>
        </w:rPr>
        <w:t xml:space="preserve">ncy trading business and our securities finance business. </w:t>
      </w:r>
    </w:p>
    <w:p w14:paraId="55566DF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Given the limited number of strong counterparties in the current market, we are not able to mitigate all of our and our clients' counterparty credit risk.</w:t>
      </w:r>
    </w:p>
    <w:p w14:paraId="55566DFF"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Our investment securities portfolio, conso</w:t>
      </w:r>
      <w:r>
        <w:rPr>
          <w:rFonts w:ascii="Arial" w:eastAsia="宋体" w:hAnsi="Arial" w:cs="Arial"/>
          <w:b/>
          <w:bCs/>
          <w:color w:val="000000"/>
          <w:sz w:val="20"/>
          <w:szCs w:val="20"/>
        </w:rPr>
        <w:t>lidated financial condition and consolidated results of operations could be adversely affected by changes in market factors, including interest rates, credit spreads and credit performance.</w:t>
      </w:r>
    </w:p>
    <w:p w14:paraId="55566E0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investment securities portfolio represented approximately 39% </w:t>
      </w:r>
      <w:r>
        <w:rPr>
          <w:rFonts w:ascii="Arial" w:eastAsia="宋体" w:hAnsi="Arial" w:cs="Arial"/>
          <w:sz w:val="20"/>
          <w:szCs w:val="20"/>
        </w:rPr>
        <w:t xml:space="preserve">of our total assets as of December </w:t>
      </w:r>
    </w:p>
    <w:p w14:paraId="55566E01" w14:textId="77777777" w:rsidR="00F925DD" w:rsidRDefault="00F925DD">
      <w:pPr>
        <w:rPr>
          <w:rFonts w:ascii="Times New Roman" w:hAnsi="Times New Roman"/>
          <w:sz w:val="20"/>
          <w:szCs w:val="20"/>
        </w:rPr>
      </w:pPr>
    </w:p>
    <w:p w14:paraId="55566E0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24</w:t>
      </w:r>
    </w:p>
    <w:p w14:paraId="55566E03" w14:textId="77777777" w:rsidR="00F925DD" w:rsidRDefault="00F925DD">
      <w:pPr>
        <w:spacing w:line="288" w:lineRule="auto"/>
        <w:ind w:firstLine="600"/>
        <w:jc w:val="center"/>
        <w:rPr>
          <w:rFonts w:ascii="Times New Roman" w:hAnsi="Times New Roman"/>
          <w:sz w:val="18"/>
          <w:szCs w:val="18"/>
        </w:rPr>
      </w:pPr>
    </w:p>
    <w:p w14:paraId="55566E04" w14:textId="77777777" w:rsidR="00F925DD" w:rsidRDefault="00E705D7">
      <w:r>
        <w:rPr>
          <w:rFonts w:ascii="Times New Roman" w:hAnsi="Times New Roman"/>
          <w:sz w:val="18"/>
          <w:szCs w:val="18"/>
        </w:rPr>
        <w:pict w14:anchorId="55570650">
          <v:rect id="_x0000_i1048" style="width:415.3pt;height:1.5pt" o:hralign="center" o:hrstd="t" o:hr="t" fillcolor="#a0a0a0" stroked="f"/>
        </w:pict>
      </w:r>
    </w:p>
    <w:p w14:paraId="55566E05" w14:textId="77777777" w:rsidR="00F925DD" w:rsidRDefault="00F925DD">
      <w:pPr>
        <w:spacing w:line="288" w:lineRule="auto"/>
        <w:ind w:firstLine="600"/>
        <w:rPr>
          <w:rFonts w:ascii="Times New Roman" w:hAnsi="Times New Roman"/>
          <w:sz w:val="18"/>
          <w:szCs w:val="18"/>
        </w:rPr>
      </w:pPr>
    </w:p>
    <w:p w14:paraId="55566E06" w14:textId="77777777" w:rsidR="00F925DD" w:rsidRDefault="00F925DD">
      <w:pPr>
        <w:rPr>
          <w:rFonts w:ascii="Times New Roman" w:hAnsi="Times New Roman"/>
          <w:sz w:val="20"/>
          <w:szCs w:val="20"/>
        </w:rPr>
      </w:pPr>
    </w:p>
    <w:p w14:paraId="55566E0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31, 2019. The gross interest income associated with our investment portfolio represented approximately 15% of our total gross revenue for the year ended December 31, 2019 and has </w:t>
      </w:r>
      <w:r>
        <w:rPr>
          <w:rFonts w:ascii="Arial" w:eastAsia="宋体" w:hAnsi="Arial" w:cs="Arial"/>
          <w:sz w:val="20"/>
          <w:szCs w:val="20"/>
        </w:rPr>
        <w:t>represented as much as 31% of our total gross revenue in the fiscal years since 2007. As such, our consolidated financial condition and results of operations are materially exposed to the risks associated with our investment portfolio, including changes in</w:t>
      </w:r>
      <w:r>
        <w:rPr>
          <w:rFonts w:ascii="Arial" w:eastAsia="宋体" w:hAnsi="Arial" w:cs="Arial"/>
          <w:sz w:val="20"/>
          <w:szCs w:val="20"/>
        </w:rPr>
        <w:t xml:space="preserve"> interest rates, credit spreads, credit performance (including risk of default), credit ratings, our access to liquidity</w:t>
      </w:r>
      <w:r>
        <w:rPr>
          <w:rFonts w:ascii="Times New Roman" w:eastAsia="宋体" w:hAnsi="Times New Roman"/>
          <w:sz w:val="20"/>
          <w:szCs w:val="20"/>
        </w:rPr>
        <w:t>,</w:t>
      </w:r>
      <w:r>
        <w:rPr>
          <w:rFonts w:ascii="Arial" w:eastAsia="宋体" w:hAnsi="Arial" w:cs="Arial"/>
          <w:sz w:val="20"/>
          <w:szCs w:val="20"/>
        </w:rPr>
        <w:t xml:space="preserve"> foreign exchange markets and mark- to-market valuations, and our ability to profitably manage changes in repayment rates of principal with respect to our portfolio securities. The continued low interest rate environment that has persisted since the financ</w:t>
      </w:r>
      <w:r>
        <w:rPr>
          <w:rFonts w:ascii="Arial" w:eastAsia="宋体" w:hAnsi="Arial" w:cs="Arial"/>
          <w:sz w:val="20"/>
          <w:szCs w:val="20"/>
        </w:rPr>
        <w:t>ial crisis began in mid-2007 limits our ability to achieve a NIM consistent with our prior historical averages. Increases in interest rates in the U.S. have the potential to improve NII and NIM over time. However, any such improvement could be mitigated du</w:t>
      </w:r>
      <w:r>
        <w:rPr>
          <w:rFonts w:ascii="Arial" w:eastAsia="宋体" w:hAnsi="Arial" w:cs="Arial"/>
          <w:sz w:val="20"/>
          <w:szCs w:val="20"/>
        </w:rPr>
        <w:t xml:space="preserve">e to a continued disparity between interest rates in the U.S. and international markets, especially to the extent that interest rates remain low or negative in Europe and Japan. Higher interest rates could also reduce mark-to-market valuations further. In </w:t>
      </w:r>
      <w:r>
        <w:rPr>
          <w:rFonts w:ascii="Arial" w:eastAsia="宋体" w:hAnsi="Arial" w:cs="Arial"/>
          <w:sz w:val="20"/>
          <w:szCs w:val="20"/>
        </w:rPr>
        <w:t>addition, recently introduced regulatory liquidity standards, such as the LCR, require that we maintain minimum levels of HQLA in our investment portfolio, which generally generate lower rates of return than other investment assets. This has resulted in in</w:t>
      </w:r>
      <w:r>
        <w:rPr>
          <w:rFonts w:ascii="Arial" w:eastAsia="宋体" w:hAnsi="Arial" w:cs="Arial"/>
          <w:sz w:val="20"/>
          <w:szCs w:val="20"/>
        </w:rPr>
        <w:t>creased levels of HQLA as a percentage of our investment portfolio and an associated negative impact on our NII and our NIM. As a result we may not be able to attain our prior historical levels of NII and NIM. For additional information regarding these liq</w:t>
      </w:r>
      <w:r>
        <w:rPr>
          <w:rFonts w:ascii="Arial" w:eastAsia="宋体" w:hAnsi="Arial" w:cs="Arial"/>
          <w:sz w:val="20"/>
          <w:szCs w:val="20"/>
        </w:rPr>
        <w:t>uidity requirements, refer to the “Liquidity Coverage Ratio and Net Stable Funding Ratio” section of “Supervision and Regulation” in Business in this Form 10-K. We may enter into derivative transactions to hedge or manage our exposure to interest rate risk</w:t>
      </w:r>
      <w:r>
        <w:rPr>
          <w:rFonts w:ascii="Arial" w:eastAsia="宋体" w:hAnsi="Arial" w:cs="Arial"/>
          <w:sz w:val="20"/>
          <w:szCs w:val="20"/>
        </w:rPr>
        <w:t>, as well as other risks, such as foreign exchange risk and credit risk. Derivative instruments that we hold for these or other purposes may not achieve their intended results and could result in unexpected losses or stresses on our liquidity or capital re</w:t>
      </w:r>
      <w:r>
        <w:rPr>
          <w:rFonts w:ascii="Arial" w:eastAsia="宋体" w:hAnsi="Arial" w:cs="Arial"/>
          <w:sz w:val="20"/>
          <w:szCs w:val="20"/>
        </w:rPr>
        <w:t>sources.</w:t>
      </w:r>
    </w:p>
    <w:p w14:paraId="55566E0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investment securities portfolio represents a greater proportion of our consolidated statement of condition and our loan portfolio represents a smaller proportion (approximately 11% of our total assets as of December 31, 2019), in comparison to</w:t>
      </w:r>
      <w:r>
        <w:rPr>
          <w:rFonts w:ascii="Arial" w:eastAsia="宋体" w:hAnsi="Arial" w:cs="Arial"/>
          <w:sz w:val="20"/>
          <w:szCs w:val="20"/>
        </w:rPr>
        <w:t xml:space="preserve"> many other major financial institutions. In some respects, the accounting and regulatory treatment of our investment securities portfolio may be less favorable to us than a more traditional held-for-investment lending portfolio. For example, under the Bas</w:t>
      </w:r>
      <w:r>
        <w:rPr>
          <w:rFonts w:ascii="Arial" w:eastAsia="宋体" w:hAnsi="Arial" w:cs="Arial"/>
          <w:sz w:val="20"/>
          <w:szCs w:val="20"/>
        </w:rPr>
        <w:t xml:space="preserve">el III rule, after-tax changes in the fair value of AFS investment securities, such as those which represent a majority of our investment portfolio, are included in tier 1 capital. Since loans held </w:t>
      </w:r>
    </w:p>
    <w:p w14:paraId="55566E09"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0A"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for investment are not subject to a fair value accounti</w:t>
      </w:r>
      <w:r>
        <w:rPr>
          <w:rFonts w:ascii="Arial" w:eastAsia="宋体" w:hAnsi="Arial" w:cs="Arial"/>
          <w:sz w:val="20"/>
          <w:szCs w:val="20"/>
        </w:rPr>
        <w:t>ng framework, changes in the fair value of loans (other than incurred credit losses) are not similarly included in the determination of tier 1 capital under the Basel III rule. Due to this differing treatment, we may experience increased variability in our</w:t>
      </w:r>
      <w:r>
        <w:rPr>
          <w:rFonts w:ascii="Arial" w:eastAsia="宋体" w:hAnsi="Arial" w:cs="Arial"/>
          <w:sz w:val="20"/>
          <w:szCs w:val="20"/>
        </w:rPr>
        <w:t xml:space="preserve"> tier 1 capital relative to other major financial institutions whose loan-and-lease portfolios represent a larger proportion of their consolidated total assets than ours.</w:t>
      </w:r>
    </w:p>
    <w:p w14:paraId="55566E0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risks associated with our investment portfolio include:</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E0E" w14:textId="77777777">
        <w:trPr>
          <w:tblCellSpacing w:w="0" w:type="dxa"/>
        </w:trPr>
        <w:tc>
          <w:tcPr>
            <w:tcW w:w="960" w:type="dxa"/>
            <w:shd w:val="clear" w:color="auto" w:fill="auto"/>
            <w:vAlign w:val="center"/>
          </w:tcPr>
          <w:p w14:paraId="55566E0C" w14:textId="77777777" w:rsidR="00F925DD" w:rsidRDefault="00F925DD">
            <w:pPr>
              <w:rPr>
                <w:rFonts w:ascii="Times New Roman" w:hAnsi="Times New Roman"/>
                <w:sz w:val="20"/>
                <w:szCs w:val="20"/>
              </w:rPr>
            </w:pPr>
          </w:p>
        </w:tc>
        <w:tc>
          <w:tcPr>
            <w:tcW w:w="0" w:type="auto"/>
            <w:shd w:val="clear" w:color="auto" w:fill="auto"/>
            <w:vAlign w:val="center"/>
          </w:tcPr>
          <w:p w14:paraId="55566E0D" w14:textId="77777777" w:rsidR="00F925DD" w:rsidRDefault="00F925DD">
            <w:pPr>
              <w:rPr>
                <w:rFonts w:ascii="Times New Roman" w:hAnsi="Times New Roman"/>
                <w:sz w:val="20"/>
                <w:szCs w:val="20"/>
              </w:rPr>
            </w:pPr>
          </w:p>
        </w:tc>
      </w:tr>
      <w:tr w:rsidR="00F925DD" w14:paraId="55566E11" w14:textId="77777777">
        <w:trPr>
          <w:tblCellSpacing w:w="0" w:type="dxa"/>
        </w:trPr>
        <w:tc>
          <w:tcPr>
            <w:tcW w:w="0" w:type="auto"/>
            <w:shd w:val="clear" w:color="auto" w:fill="auto"/>
          </w:tcPr>
          <w:p w14:paraId="55566E0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E1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Asset class c</w:t>
            </w:r>
            <w:r>
              <w:rPr>
                <w:rFonts w:ascii="Arial" w:eastAsia="宋体" w:hAnsi="Arial" w:cs="Arial"/>
                <w:i/>
                <w:iCs/>
                <w:sz w:val="20"/>
                <w:szCs w:val="20"/>
              </w:rPr>
              <w:t>oncentration</w:t>
            </w:r>
            <w:r>
              <w:rPr>
                <w:rFonts w:ascii="Arial" w:eastAsia="宋体" w:hAnsi="Arial" w:cs="Arial"/>
                <w:sz w:val="20"/>
                <w:szCs w:val="20"/>
              </w:rPr>
              <w:t xml:space="preserve">. Our investment portfolio continues to have significant concentrations in several classes of securities, including agency residential MBS, commercial MBS and other ABS, and securities with concentrated exposure to consumers. These classes and </w:t>
            </w:r>
            <w:r>
              <w:rPr>
                <w:rFonts w:ascii="Arial" w:eastAsia="宋体" w:hAnsi="Arial" w:cs="Arial"/>
                <w:sz w:val="20"/>
                <w:szCs w:val="20"/>
              </w:rPr>
              <w:t>types of securities experienced significant liquidity, valuation and credit quality deterioration during the financial crisis that began in mid-2007. We also hold non-U.S. government securities, non-U.S. MBS and ABS with exposures to European countries, wh</w:t>
            </w:r>
            <w:r>
              <w:rPr>
                <w:rFonts w:ascii="Arial" w:eastAsia="宋体" w:hAnsi="Arial" w:cs="Arial"/>
                <w:sz w:val="20"/>
                <w:szCs w:val="20"/>
              </w:rPr>
              <w:t xml:space="preserve">ose sovereign-debt markets have experienced increased stress at times since 2011 and may continue to experience stress in the future. For further information, refer to the risk factor titled </w:t>
            </w:r>
            <w:r>
              <w:rPr>
                <w:rFonts w:ascii="Arial" w:eastAsia="宋体" w:hAnsi="Arial" w:cs="Arial"/>
                <w:i/>
                <w:iCs/>
                <w:sz w:val="20"/>
                <w:szCs w:val="20"/>
              </w:rPr>
              <w:t>“Our businesses have significant European operations, and disrupt</w:t>
            </w:r>
            <w:r>
              <w:rPr>
                <w:rFonts w:ascii="Arial" w:eastAsia="宋体" w:hAnsi="Arial" w:cs="Arial"/>
                <w:i/>
                <w:iCs/>
                <w:sz w:val="20"/>
                <w:szCs w:val="20"/>
              </w:rPr>
              <w:t xml:space="preserve">ions in European economies could have an adverse effect on our consolidated results of operations or financial condition". </w:t>
            </w:r>
            <w:r>
              <w:rPr>
                <w:rFonts w:ascii="Arial" w:eastAsia="宋体" w:hAnsi="Arial" w:cs="Arial"/>
                <w:sz w:val="20"/>
                <w:szCs w:val="20"/>
              </w:rPr>
              <w:t>Further</w:t>
            </w:r>
            <w:r>
              <w:rPr>
                <w:rFonts w:ascii="Times New Roman" w:eastAsia="宋体" w:hAnsi="Times New Roman"/>
                <w:sz w:val="20"/>
                <w:szCs w:val="20"/>
              </w:rPr>
              <w:t>,</w:t>
            </w:r>
            <w:r>
              <w:rPr>
                <w:rFonts w:ascii="Arial" w:eastAsia="宋体" w:hAnsi="Arial" w:cs="Arial"/>
                <w:sz w:val="20"/>
                <w:szCs w:val="20"/>
              </w:rPr>
              <w:t xml:space="preserve"> we hold a portfolio of U.S. state and municipal bonds, the value of which may be affected by the budget deficits that a numb</w:t>
            </w:r>
            <w:r>
              <w:rPr>
                <w:rFonts w:ascii="Arial" w:eastAsia="宋体" w:hAnsi="Arial" w:cs="Arial"/>
                <w:sz w:val="20"/>
                <w:szCs w:val="20"/>
              </w:rPr>
              <w:t>er of states and municipalities currently face, resulting in risks associated with this portfolio.</w:t>
            </w:r>
          </w:p>
        </w:tc>
      </w:tr>
    </w:tbl>
    <w:p w14:paraId="55566E1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E15" w14:textId="77777777">
        <w:trPr>
          <w:tblCellSpacing w:w="0" w:type="dxa"/>
        </w:trPr>
        <w:tc>
          <w:tcPr>
            <w:tcW w:w="960" w:type="dxa"/>
            <w:shd w:val="clear" w:color="auto" w:fill="auto"/>
            <w:vAlign w:val="center"/>
          </w:tcPr>
          <w:p w14:paraId="55566E13" w14:textId="77777777" w:rsidR="00F925DD" w:rsidRDefault="00F925DD">
            <w:pPr>
              <w:rPr>
                <w:rFonts w:ascii="Times New Roman" w:hAnsi="Times New Roman"/>
                <w:sz w:val="20"/>
                <w:szCs w:val="20"/>
              </w:rPr>
            </w:pPr>
          </w:p>
        </w:tc>
        <w:tc>
          <w:tcPr>
            <w:tcW w:w="0" w:type="auto"/>
            <w:shd w:val="clear" w:color="auto" w:fill="auto"/>
            <w:vAlign w:val="center"/>
          </w:tcPr>
          <w:p w14:paraId="55566E14" w14:textId="77777777" w:rsidR="00F925DD" w:rsidRDefault="00F925DD">
            <w:pPr>
              <w:rPr>
                <w:rFonts w:ascii="Times New Roman" w:hAnsi="Times New Roman"/>
                <w:sz w:val="20"/>
                <w:szCs w:val="20"/>
              </w:rPr>
            </w:pPr>
          </w:p>
        </w:tc>
      </w:tr>
      <w:tr w:rsidR="00F925DD" w14:paraId="55566E18" w14:textId="77777777">
        <w:trPr>
          <w:tblCellSpacing w:w="0" w:type="dxa"/>
        </w:trPr>
        <w:tc>
          <w:tcPr>
            <w:tcW w:w="0" w:type="auto"/>
            <w:shd w:val="clear" w:color="auto" w:fill="auto"/>
          </w:tcPr>
          <w:p w14:paraId="55566E1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E1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Effects of market conditions</w:t>
            </w:r>
            <w:r>
              <w:rPr>
                <w:rFonts w:ascii="Arial" w:eastAsia="宋体" w:hAnsi="Arial" w:cs="Arial"/>
                <w:sz w:val="20"/>
                <w:szCs w:val="20"/>
              </w:rPr>
              <w:t>. If market conditions deteriorate, our investment portfolio could experience a decline in market value, whether due to a</w:t>
            </w:r>
            <w:r>
              <w:rPr>
                <w:rFonts w:ascii="Arial" w:eastAsia="宋体" w:hAnsi="Arial" w:cs="Arial"/>
                <w:sz w:val="20"/>
                <w:szCs w:val="20"/>
              </w:rPr>
              <w:t xml:space="preserve"> decline in liquidity or an increase in the yield required by investors to hold such securities, regardless of our credit view of our portfolio holdings. In addition, in general, deterioration in credit quality, or changes in management's expectations rega</w:t>
            </w:r>
            <w:r>
              <w:rPr>
                <w:rFonts w:ascii="Arial" w:eastAsia="宋体" w:hAnsi="Arial" w:cs="Arial"/>
                <w:sz w:val="20"/>
                <w:szCs w:val="20"/>
              </w:rPr>
              <w:t>rding repayment timing or in management's investment intent to hold securities to maturity, in each case with respect to our portfolio holdings, could result in OTTI. Similarly, if a material portion of our investment portfolio were to experience credit de</w:t>
            </w:r>
            <w:r>
              <w:rPr>
                <w:rFonts w:ascii="Arial" w:eastAsia="宋体" w:hAnsi="Arial" w:cs="Arial"/>
                <w:sz w:val="20"/>
                <w:szCs w:val="20"/>
              </w:rPr>
              <w:t>terioration, our capital ratios as calculated pursuant to the Basel III rule could be adversely affected. This risk is greater with portfolios of investment securities that contain credit risk than with holdings of U.S. Treasury securities.</w:t>
            </w:r>
          </w:p>
        </w:tc>
      </w:tr>
    </w:tbl>
    <w:p w14:paraId="55566E1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513"/>
      </w:tblGrid>
      <w:tr w:rsidR="00F925DD" w14:paraId="55566E1C" w14:textId="77777777">
        <w:trPr>
          <w:tblCellSpacing w:w="0" w:type="dxa"/>
        </w:trPr>
        <w:tc>
          <w:tcPr>
            <w:tcW w:w="960" w:type="dxa"/>
            <w:shd w:val="clear" w:color="auto" w:fill="auto"/>
            <w:vAlign w:val="center"/>
          </w:tcPr>
          <w:p w14:paraId="55566E1A" w14:textId="77777777" w:rsidR="00F925DD" w:rsidRDefault="00F925DD">
            <w:pPr>
              <w:rPr>
                <w:rFonts w:ascii="Times New Roman" w:hAnsi="Times New Roman"/>
                <w:sz w:val="20"/>
                <w:szCs w:val="20"/>
              </w:rPr>
            </w:pPr>
          </w:p>
        </w:tc>
        <w:tc>
          <w:tcPr>
            <w:tcW w:w="0" w:type="auto"/>
            <w:shd w:val="clear" w:color="auto" w:fill="auto"/>
            <w:vAlign w:val="center"/>
          </w:tcPr>
          <w:p w14:paraId="55566E1B" w14:textId="77777777" w:rsidR="00F925DD" w:rsidRDefault="00F925DD">
            <w:pPr>
              <w:rPr>
                <w:rFonts w:ascii="Times New Roman" w:hAnsi="Times New Roman"/>
                <w:sz w:val="20"/>
                <w:szCs w:val="20"/>
              </w:rPr>
            </w:pPr>
          </w:p>
        </w:tc>
      </w:tr>
      <w:tr w:rsidR="00F925DD" w14:paraId="55566E1F" w14:textId="77777777">
        <w:trPr>
          <w:tblCellSpacing w:w="0" w:type="dxa"/>
        </w:trPr>
        <w:tc>
          <w:tcPr>
            <w:tcW w:w="0" w:type="auto"/>
            <w:shd w:val="clear" w:color="auto" w:fill="auto"/>
          </w:tcPr>
          <w:p w14:paraId="55566E1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E1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Effects of interest rates</w:t>
            </w:r>
            <w:r>
              <w:rPr>
                <w:rFonts w:ascii="Arial" w:eastAsia="宋体" w:hAnsi="Arial" w:cs="Arial"/>
                <w:sz w:val="20"/>
                <w:szCs w:val="20"/>
              </w:rPr>
              <w:t xml:space="preserve">. Our investment </w:t>
            </w:r>
          </w:p>
        </w:tc>
      </w:tr>
    </w:tbl>
    <w:p w14:paraId="55566E20" w14:textId="77777777" w:rsidR="00F925DD" w:rsidRDefault="00F925DD">
      <w:pPr>
        <w:rPr>
          <w:rFonts w:ascii="Times New Roman" w:hAnsi="Times New Roman"/>
          <w:sz w:val="20"/>
          <w:szCs w:val="20"/>
        </w:rPr>
      </w:pPr>
    </w:p>
    <w:p w14:paraId="55566E21"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25</w:t>
      </w:r>
    </w:p>
    <w:p w14:paraId="55566E22" w14:textId="77777777" w:rsidR="00F925DD" w:rsidRDefault="00F925DD">
      <w:pPr>
        <w:spacing w:line="288" w:lineRule="auto"/>
        <w:ind w:firstLine="600"/>
        <w:jc w:val="center"/>
        <w:rPr>
          <w:rFonts w:ascii="Times New Roman" w:hAnsi="Times New Roman"/>
          <w:sz w:val="18"/>
          <w:szCs w:val="18"/>
        </w:rPr>
      </w:pPr>
    </w:p>
    <w:p w14:paraId="55566E23" w14:textId="77777777" w:rsidR="00F925DD" w:rsidRDefault="00E705D7">
      <w:r>
        <w:rPr>
          <w:rFonts w:ascii="Times New Roman" w:hAnsi="Times New Roman"/>
          <w:sz w:val="18"/>
          <w:szCs w:val="18"/>
        </w:rPr>
        <w:pict w14:anchorId="55570651">
          <v:rect id="_x0000_i1049" style="width:415.3pt;height:1.5pt" o:hralign="center" o:hrstd="t" o:hr="t" fillcolor="#a0a0a0" stroked="f"/>
        </w:pict>
      </w:r>
    </w:p>
    <w:p w14:paraId="55566E24" w14:textId="77777777" w:rsidR="00F925DD" w:rsidRDefault="00F925DD">
      <w:pPr>
        <w:spacing w:line="288" w:lineRule="auto"/>
        <w:ind w:firstLine="600"/>
        <w:rPr>
          <w:rFonts w:ascii="Times New Roman" w:hAnsi="Times New Roman"/>
          <w:sz w:val="18"/>
          <w:szCs w:val="18"/>
        </w:rPr>
      </w:pPr>
    </w:p>
    <w:p w14:paraId="55566E25" w14:textId="77777777" w:rsidR="00F925DD" w:rsidRDefault="00F925DD">
      <w:pPr>
        <w:rPr>
          <w:rFonts w:ascii="Times New Roman" w:hAnsi="Times New Roman"/>
          <w:sz w:val="20"/>
          <w:szCs w:val="20"/>
        </w:rPr>
      </w:pPr>
    </w:p>
    <w:p w14:paraId="55566E26"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portfolio is further subject to changes in both U.S. and non-U.S. (primarily in Europe) interest rates, and could be negatively affected by changes in those rates, </w:t>
      </w:r>
      <w:r>
        <w:rPr>
          <w:rFonts w:ascii="Arial" w:eastAsia="宋体" w:hAnsi="Arial" w:cs="Arial"/>
          <w:sz w:val="20"/>
          <w:szCs w:val="20"/>
        </w:rPr>
        <w:t xml:space="preserve">whether or not expected. This is particularly true in the case of a quicker-than-anticipated increase in interest rates, which would decrease market values in the near-term, or monetary policy that results in persistently low or negative rates of interest </w:t>
      </w:r>
      <w:r>
        <w:rPr>
          <w:rFonts w:ascii="Arial" w:eastAsia="宋体" w:hAnsi="Arial" w:cs="Arial"/>
          <w:sz w:val="20"/>
          <w:szCs w:val="20"/>
        </w:rPr>
        <w:t>on certain investments. The latter has been the case, for example, with respect to ECB monetary policy, including negative interest rates in some jurisdictions, with associated negative effects on our investment portfolio reinvestment, NII and NIM. The eff</w:t>
      </w:r>
      <w:r>
        <w:rPr>
          <w:rFonts w:ascii="Arial" w:eastAsia="宋体" w:hAnsi="Arial" w:cs="Arial"/>
          <w:sz w:val="20"/>
          <w:szCs w:val="20"/>
        </w:rPr>
        <w:t>ect on our NII has been exacerbated by the effects in recent fiscal years of the strong U.S. dollar relative to other currencies, particularly the Euro. If European interest rates remain low or decrease and the U.S. dollar strengthens relative to the Euro,</w:t>
      </w:r>
      <w:r>
        <w:rPr>
          <w:rFonts w:ascii="Arial" w:eastAsia="宋体" w:hAnsi="Arial" w:cs="Arial"/>
          <w:sz w:val="20"/>
          <w:szCs w:val="20"/>
        </w:rPr>
        <w:t xml:space="preserve"> the negative effects on our NII likely will continue or increase. The overall level of NII can also be impacted by the size of our deposit base, as further increases in interest rates could lead to reduced deposit levels and also lower overall NII. Furthe</w:t>
      </w:r>
      <w:r>
        <w:rPr>
          <w:rFonts w:ascii="Arial" w:eastAsia="宋体" w:hAnsi="Arial" w:cs="Arial"/>
          <w:sz w:val="20"/>
          <w:szCs w:val="20"/>
        </w:rPr>
        <w:t>r, a reduction in deposit levels could increase the requirements under the regulatory liquidity standards requiring us to invest a greater proportion of our investment portfolio holdings in HQLA that have lower yields than other investable assets. See also</w:t>
      </w:r>
      <w:r>
        <w:rPr>
          <w:rFonts w:ascii="Arial" w:eastAsia="宋体" w:hAnsi="Arial" w:cs="Arial"/>
          <w:sz w:val="20"/>
          <w:szCs w:val="20"/>
        </w:rPr>
        <w:t>, “Our business activities expose us to interest rate risk” in this section.</w:t>
      </w:r>
    </w:p>
    <w:p w14:paraId="55566E27"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Our business activities expose us to interest rate risk.</w:t>
      </w:r>
    </w:p>
    <w:p w14:paraId="55566E2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our business activities, we assume interest rate risk by investing short-term deposits received from our clients in our investment portfolio of longer- and intermediate-term assets. Our NII and NIM are affected by among other things, the levels of inter</w:t>
      </w:r>
      <w:r>
        <w:rPr>
          <w:rFonts w:ascii="Arial" w:eastAsia="宋体" w:hAnsi="Arial" w:cs="Arial"/>
          <w:sz w:val="20"/>
          <w:szCs w:val="20"/>
        </w:rPr>
        <w:t>est rates in global markets, changes in the relationship between short- and long-term interest rates, the direction and speed of interest rate changes and the asset and liability spreads relative to the currency and geographic mix of our interest-earning a</w:t>
      </w:r>
      <w:r>
        <w:rPr>
          <w:rFonts w:ascii="Arial" w:eastAsia="宋体" w:hAnsi="Arial" w:cs="Arial"/>
          <w:sz w:val="20"/>
          <w:szCs w:val="20"/>
        </w:rPr>
        <w:t>ssets and interest-bearing liabilities. These factors are influenced, among other things, by a variety of economic and market forces and expectations, including monetary policy and other activities of central banks, such as the Federal Reserve and ECB, tha</w:t>
      </w:r>
      <w:r>
        <w:rPr>
          <w:rFonts w:ascii="Arial" w:eastAsia="宋体" w:hAnsi="Arial" w:cs="Arial"/>
          <w:sz w:val="20"/>
          <w:szCs w:val="20"/>
        </w:rPr>
        <w:t>t we do not control. Our ability to anticipate changes in these factors or to hedge the related on- and off-balance sheet exposures, and the cost of any such hedging activity, can significantly influence the success of our asset-and-liability management ac</w:t>
      </w:r>
      <w:r>
        <w:rPr>
          <w:rFonts w:ascii="Arial" w:eastAsia="宋体" w:hAnsi="Arial" w:cs="Arial"/>
          <w:sz w:val="20"/>
          <w:szCs w:val="20"/>
        </w:rPr>
        <w:t xml:space="preserve">tivities and the resulting level of our NII and NIM. The impact of changes in interest rates and related factors will depend on the relative duration and fixed- or floating-rate nature of our </w:t>
      </w:r>
    </w:p>
    <w:p w14:paraId="55566E29"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2A"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assets and liabilities. Sustained lower interest rates, a fla</w:t>
      </w:r>
      <w:r>
        <w:rPr>
          <w:rFonts w:ascii="Arial" w:eastAsia="宋体" w:hAnsi="Arial" w:cs="Arial"/>
          <w:sz w:val="20"/>
          <w:szCs w:val="20"/>
        </w:rPr>
        <w:t>t or inverted yield curve and narrow credit spreads generally have a constraining effect on our NII. In addition, our ability to change deposit rates in response to changes in interest rates and other market and related factors is limited by client relatio</w:t>
      </w:r>
      <w:r>
        <w:rPr>
          <w:rFonts w:ascii="Arial" w:eastAsia="宋体" w:hAnsi="Arial" w:cs="Arial"/>
          <w:sz w:val="20"/>
          <w:szCs w:val="20"/>
        </w:rPr>
        <w:t>nship considerations. For additional information about the effects on interest rates on our business, refer to the Market Risk Management section, "Asset-and-Liability Management Activities" in our Management's Discussion and Analysis in this Form 10-K.</w:t>
      </w:r>
    </w:p>
    <w:p w14:paraId="55566E2B"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If</w:t>
      </w:r>
      <w:r>
        <w:rPr>
          <w:rFonts w:ascii="Arial" w:eastAsia="宋体" w:hAnsi="Arial" w:cs="Arial"/>
          <w:b/>
          <w:bCs/>
          <w:sz w:val="20"/>
          <w:szCs w:val="20"/>
        </w:rPr>
        <w:t xml:space="preserve"> we are unable to effectively manage our liquidity, including by continuously attracting deposits and other short-term funding, our consolidated financial condition, including our regulatory capital ratios, our consolidated results of operations and our bu</w:t>
      </w:r>
      <w:r>
        <w:rPr>
          <w:rFonts w:ascii="Arial" w:eastAsia="宋体" w:hAnsi="Arial" w:cs="Arial"/>
          <w:b/>
          <w:bCs/>
          <w:sz w:val="20"/>
          <w:szCs w:val="20"/>
        </w:rPr>
        <w:t>siness prospects, could be adversely affected.</w:t>
      </w:r>
    </w:p>
    <w:p w14:paraId="55566E2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Liquidity management, including on an intra-day basis, is critical to the management of our consolidated statement of condition and to our ability to service our client base. We generally use our liquidity to:</w:t>
      </w:r>
    </w:p>
    <w:tbl>
      <w:tblPr>
        <w:tblW w:w="0" w:type="auto"/>
        <w:tblCellSpacing w:w="0" w:type="dxa"/>
        <w:tblCellMar>
          <w:left w:w="0" w:type="dxa"/>
          <w:right w:w="0" w:type="dxa"/>
        </w:tblCellMar>
        <w:tblLook w:val="04A0" w:firstRow="1" w:lastRow="0" w:firstColumn="1" w:lastColumn="0" w:noHBand="0" w:noVBand="1"/>
      </w:tblPr>
      <w:tblGrid>
        <w:gridCol w:w="960"/>
        <w:gridCol w:w="4374"/>
      </w:tblGrid>
      <w:tr w:rsidR="00F925DD" w14:paraId="55566E2F" w14:textId="77777777">
        <w:trPr>
          <w:tblCellSpacing w:w="0" w:type="dxa"/>
        </w:trPr>
        <w:tc>
          <w:tcPr>
            <w:tcW w:w="960" w:type="dxa"/>
            <w:shd w:val="clear" w:color="auto" w:fill="auto"/>
            <w:vAlign w:val="center"/>
          </w:tcPr>
          <w:p w14:paraId="55566E2D" w14:textId="77777777" w:rsidR="00F925DD" w:rsidRDefault="00F925DD">
            <w:pPr>
              <w:rPr>
                <w:rFonts w:ascii="Times New Roman" w:hAnsi="Times New Roman"/>
                <w:sz w:val="20"/>
                <w:szCs w:val="20"/>
              </w:rPr>
            </w:pPr>
          </w:p>
        </w:tc>
        <w:tc>
          <w:tcPr>
            <w:tcW w:w="0" w:type="auto"/>
            <w:shd w:val="clear" w:color="auto" w:fill="auto"/>
            <w:vAlign w:val="center"/>
          </w:tcPr>
          <w:p w14:paraId="55566E2E" w14:textId="77777777" w:rsidR="00F925DD" w:rsidRDefault="00F925DD">
            <w:pPr>
              <w:rPr>
                <w:rFonts w:ascii="Times New Roman" w:hAnsi="Times New Roman"/>
                <w:sz w:val="20"/>
                <w:szCs w:val="20"/>
              </w:rPr>
            </w:pPr>
          </w:p>
        </w:tc>
      </w:tr>
      <w:tr w:rsidR="00F925DD" w14:paraId="55566E32" w14:textId="77777777">
        <w:trPr>
          <w:tblCellSpacing w:w="0" w:type="dxa"/>
        </w:trPr>
        <w:tc>
          <w:tcPr>
            <w:tcW w:w="0" w:type="auto"/>
            <w:shd w:val="clear" w:color="auto" w:fill="auto"/>
          </w:tcPr>
          <w:p w14:paraId="55566E3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E3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meet clients' demands for return of their deposits;</w:t>
            </w:r>
          </w:p>
        </w:tc>
      </w:tr>
    </w:tbl>
    <w:p w14:paraId="55566E3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E36" w14:textId="77777777">
        <w:trPr>
          <w:tblCellSpacing w:w="0" w:type="dxa"/>
        </w:trPr>
        <w:tc>
          <w:tcPr>
            <w:tcW w:w="960" w:type="dxa"/>
            <w:shd w:val="clear" w:color="auto" w:fill="auto"/>
            <w:vAlign w:val="center"/>
          </w:tcPr>
          <w:p w14:paraId="55566E34" w14:textId="77777777" w:rsidR="00F925DD" w:rsidRDefault="00F925DD">
            <w:pPr>
              <w:rPr>
                <w:rFonts w:ascii="Times New Roman" w:hAnsi="Times New Roman"/>
                <w:sz w:val="20"/>
                <w:szCs w:val="20"/>
              </w:rPr>
            </w:pPr>
          </w:p>
        </w:tc>
        <w:tc>
          <w:tcPr>
            <w:tcW w:w="0" w:type="auto"/>
            <w:shd w:val="clear" w:color="auto" w:fill="auto"/>
            <w:vAlign w:val="center"/>
          </w:tcPr>
          <w:p w14:paraId="55566E35" w14:textId="77777777" w:rsidR="00F925DD" w:rsidRDefault="00F925DD">
            <w:pPr>
              <w:rPr>
                <w:rFonts w:ascii="Times New Roman" w:hAnsi="Times New Roman"/>
                <w:sz w:val="20"/>
                <w:szCs w:val="20"/>
              </w:rPr>
            </w:pPr>
          </w:p>
        </w:tc>
      </w:tr>
      <w:tr w:rsidR="00F925DD" w14:paraId="55566E39" w14:textId="77777777">
        <w:trPr>
          <w:tblCellSpacing w:w="0" w:type="dxa"/>
        </w:trPr>
        <w:tc>
          <w:tcPr>
            <w:tcW w:w="0" w:type="auto"/>
            <w:shd w:val="clear" w:color="auto" w:fill="auto"/>
          </w:tcPr>
          <w:p w14:paraId="55566E3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E3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extend credit to our clients in connection with our investor services businesses; and</w:t>
            </w:r>
          </w:p>
        </w:tc>
      </w:tr>
    </w:tbl>
    <w:p w14:paraId="55566E3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E3D" w14:textId="77777777">
        <w:trPr>
          <w:tblCellSpacing w:w="0" w:type="dxa"/>
        </w:trPr>
        <w:tc>
          <w:tcPr>
            <w:tcW w:w="960" w:type="dxa"/>
            <w:shd w:val="clear" w:color="auto" w:fill="auto"/>
            <w:vAlign w:val="center"/>
          </w:tcPr>
          <w:p w14:paraId="55566E3B" w14:textId="77777777" w:rsidR="00F925DD" w:rsidRDefault="00F925DD">
            <w:pPr>
              <w:rPr>
                <w:rFonts w:ascii="Times New Roman" w:hAnsi="Times New Roman"/>
                <w:sz w:val="20"/>
                <w:szCs w:val="20"/>
              </w:rPr>
            </w:pPr>
          </w:p>
        </w:tc>
        <w:tc>
          <w:tcPr>
            <w:tcW w:w="0" w:type="auto"/>
            <w:shd w:val="clear" w:color="auto" w:fill="auto"/>
            <w:vAlign w:val="center"/>
          </w:tcPr>
          <w:p w14:paraId="55566E3C" w14:textId="77777777" w:rsidR="00F925DD" w:rsidRDefault="00F925DD">
            <w:pPr>
              <w:rPr>
                <w:rFonts w:ascii="Times New Roman" w:hAnsi="Times New Roman"/>
                <w:sz w:val="20"/>
                <w:szCs w:val="20"/>
              </w:rPr>
            </w:pPr>
          </w:p>
        </w:tc>
      </w:tr>
      <w:tr w:rsidR="00F925DD" w14:paraId="55566E40" w14:textId="77777777">
        <w:trPr>
          <w:tblCellSpacing w:w="0" w:type="dxa"/>
        </w:trPr>
        <w:tc>
          <w:tcPr>
            <w:tcW w:w="0" w:type="auto"/>
            <w:shd w:val="clear" w:color="auto" w:fill="auto"/>
          </w:tcPr>
          <w:p w14:paraId="55566E3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E3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fund the pool of long- and intermediate-term assets that are included in the investment </w:t>
            </w:r>
            <w:r>
              <w:rPr>
                <w:rFonts w:ascii="Arial" w:eastAsia="宋体" w:hAnsi="Arial" w:cs="Arial"/>
                <w:sz w:val="20"/>
                <w:szCs w:val="20"/>
              </w:rPr>
              <w:t>securities and loan portfolio carried in our consolidated statement of condition.</w:t>
            </w:r>
          </w:p>
        </w:tc>
      </w:tr>
    </w:tbl>
    <w:p w14:paraId="55566E4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Because the demand for credit by our clients, particularly settlement related extensions of credit, is difficult to predict and control, and may be at its peak at times of d</w:t>
      </w:r>
      <w:r>
        <w:rPr>
          <w:rFonts w:ascii="Arial" w:eastAsia="宋体" w:hAnsi="Arial" w:cs="Arial"/>
          <w:sz w:val="20"/>
          <w:szCs w:val="20"/>
        </w:rPr>
        <w:t>isruption in the securities markets, and because the average maturity of our investment securities and loan portfolios is longer than the contractual maturity of our client deposit base, we need to continuously attract, and are dependent on access to, vari</w:t>
      </w:r>
      <w:r>
        <w:rPr>
          <w:rFonts w:ascii="Arial" w:eastAsia="宋体" w:hAnsi="Arial" w:cs="Arial"/>
          <w:sz w:val="20"/>
          <w:szCs w:val="20"/>
        </w:rPr>
        <w:t>ous sources of short-term funding. Since the financial crisis, the level of client deposits held by us has tended to increase during times of market disruption; however</w:t>
      </w:r>
      <w:r>
        <w:rPr>
          <w:rFonts w:ascii="Times New Roman" w:eastAsia="宋体" w:hAnsi="Times New Roman"/>
          <w:sz w:val="20"/>
          <w:szCs w:val="20"/>
        </w:rPr>
        <w:t>,</w:t>
      </w:r>
      <w:r>
        <w:rPr>
          <w:rFonts w:ascii="Arial" w:eastAsia="宋体" w:hAnsi="Arial" w:cs="Arial"/>
          <w:sz w:val="20"/>
          <w:szCs w:val="20"/>
        </w:rPr>
        <w:t xml:space="preserve"> since such deposits are considered to be transitory</w:t>
      </w:r>
      <w:r>
        <w:rPr>
          <w:rFonts w:ascii="Times New Roman" w:eastAsia="宋体" w:hAnsi="Times New Roman"/>
          <w:sz w:val="20"/>
          <w:szCs w:val="20"/>
        </w:rPr>
        <w:t>,</w:t>
      </w:r>
      <w:r>
        <w:rPr>
          <w:rFonts w:ascii="Arial" w:eastAsia="宋体" w:hAnsi="Arial" w:cs="Arial"/>
          <w:sz w:val="20"/>
          <w:szCs w:val="20"/>
        </w:rPr>
        <w:t xml:space="preserve"> we have historically deposited so</w:t>
      </w:r>
      <w:r>
        <w:rPr>
          <w:rFonts w:ascii="Arial" w:eastAsia="宋体" w:hAnsi="Arial" w:cs="Arial"/>
          <w:sz w:val="20"/>
          <w:szCs w:val="20"/>
        </w:rPr>
        <w:t>-called excess deposits with U.S. and non-U.S. central banks and in other highly liquid but low-yielding instruments. These levels of excess client deposits, when they manifest, have increased our NII but have adversely affected our NIM.</w:t>
      </w:r>
    </w:p>
    <w:p w14:paraId="55566E4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managing our li</w:t>
      </w:r>
      <w:r>
        <w:rPr>
          <w:rFonts w:ascii="Arial" w:eastAsia="宋体" w:hAnsi="Arial" w:cs="Arial"/>
          <w:sz w:val="20"/>
          <w:szCs w:val="20"/>
        </w:rPr>
        <w:t>quidity</w:t>
      </w:r>
      <w:r>
        <w:rPr>
          <w:rFonts w:ascii="Times New Roman" w:eastAsia="宋体" w:hAnsi="Times New Roman"/>
          <w:sz w:val="20"/>
          <w:szCs w:val="20"/>
        </w:rPr>
        <w:t>,</w:t>
      </w:r>
      <w:r>
        <w:rPr>
          <w:rFonts w:ascii="Arial" w:eastAsia="宋体" w:hAnsi="Arial" w:cs="Arial"/>
          <w:sz w:val="20"/>
          <w:szCs w:val="20"/>
        </w:rPr>
        <w:t xml:space="preserve"> our primary source of short-term funding is client deposits, which are predominantly transaction-based deposits by institutional investors. Our ability to continue to attract these deposits, and other short-term funding sources such as certificate</w:t>
      </w:r>
      <w:r>
        <w:rPr>
          <w:rFonts w:ascii="Arial" w:eastAsia="宋体" w:hAnsi="Arial" w:cs="Arial"/>
          <w:sz w:val="20"/>
          <w:szCs w:val="20"/>
        </w:rPr>
        <w:t xml:space="preserve">s of deposit, is subject to variability based on a number of factors, including volume and volatility in global financial markets, the interest rates that we are prepared to pay for these deposits, the loss </w:t>
      </w:r>
    </w:p>
    <w:p w14:paraId="55566E43" w14:textId="77777777" w:rsidR="00F925DD" w:rsidRDefault="00F925DD">
      <w:pPr>
        <w:rPr>
          <w:rFonts w:ascii="Times New Roman" w:hAnsi="Times New Roman"/>
          <w:sz w:val="20"/>
          <w:szCs w:val="20"/>
        </w:rPr>
      </w:pPr>
    </w:p>
    <w:p w14:paraId="55566E44"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26</w:t>
      </w:r>
    </w:p>
    <w:p w14:paraId="55566E45" w14:textId="77777777" w:rsidR="00F925DD" w:rsidRDefault="00F925DD">
      <w:pPr>
        <w:spacing w:line="288" w:lineRule="auto"/>
        <w:ind w:firstLine="600"/>
        <w:jc w:val="center"/>
        <w:rPr>
          <w:rFonts w:ascii="Times New Roman" w:hAnsi="Times New Roman"/>
          <w:sz w:val="18"/>
          <w:szCs w:val="18"/>
        </w:rPr>
      </w:pPr>
    </w:p>
    <w:p w14:paraId="55566E46" w14:textId="77777777" w:rsidR="00F925DD" w:rsidRDefault="00E705D7">
      <w:r>
        <w:rPr>
          <w:rFonts w:ascii="Times New Roman" w:hAnsi="Times New Roman"/>
          <w:sz w:val="18"/>
          <w:szCs w:val="18"/>
        </w:rPr>
        <w:pict w14:anchorId="55570652">
          <v:rect id="_x0000_i1050" style="width:415.3pt;height:1.5pt" o:hralign="center" o:hrstd="t" o:hr="t" fillcolor="#a0a0a0" stroked="f"/>
        </w:pict>
      </w:r>
    </w:p>
    <w:p w14:paraId="55566E47" w14:textId="77777777" w:rsidR="00F925DD" w:rsidRDefault="00F925DD">
      <w:pPr>
        <w:spacing w:line="288" w:lineRule="auto"/>
        <w:ind w:firstLine="600"/>
        <w:rPr>
          <w:rFonts w:ascii="Times New Roman" w:hAnsi="Times New Roman"/>
          <w:sz w:val="18"/>
          <w:szCs w:val="18"/>
        </w:rPr>
      </w:pPr>
    </w:p>
    <w:p w14:paraId="55566E48" w14:textId="77777777" w:rsidR="00F925DD" w:rsidRDefault="00F925DD">
      <w:pPr>
        <w:rPr>
          <w:rFonts w:ascii="Times New Roman" w:hAnsi="Times New Roman"/>
          <w:sz w:val="20"/>
          <w:szCs w:val="20"/>
        </w:rPr>
      </w:pPr>
    </w:p>
    <w:p w14:paraId="55566E49"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or gain of </w:t>
      </w:r>
      <w:r>
        <w:rPr>
          <w:rFonts w:ascii="Arial" w:eastAsia="宋体" w:hAnsi="Arial" w:cs="Arial"/>
          <w:sz w:val="20"/>
          <w:szCs w:val="20"/>
        </w:rPr>
        <w:t>one or more clients, client interest in reducing non-interest bearing deposits, the perception of safety of these deposits or short-term obligations relative to alternative short-term investments available to our clients, including the capital markets, and</w:t>
      </w:r>
      <w:r>
        <w:rPr>
          <w:rFonts w:ascii="Arial" w:eastAsia="宋体" w:hAnsi="Arial" w:cs="Arial"/>
          <w:sz w:val="20"/>
          <w:szCs w:val="20"/>
        </w:rPr>
        <w:t xml:space="preserve"> the classification of certain deposits for regulatory purposes and related discussions we may have from time to time with clients regarding better balancing our clients' cash management needs with our economic and regulatory objectives.</w:t>
      </w:r>
    </w:p>
    <w:p w14:paraId="55566E4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Parent </w:t>
      </w:r>
      <w:r>
        <w:rPr>
          <w:rFonts w:ascii="Arial" w:eastAsia="宋体" w:hAnsi="Arial" w:cs="Arial"/>
          <w:sz w:val="20"/>
          <w:szCs w:val="20"/>
        </w:rPr>
        <w:t>Company is a non-operating holding company and generally maintains only limited cash and other liquid resources at any time primarily to meet anticipated near-term obligations</w:t>
      </w:r>
      <w:r>
        <w:rPr>
          <w:rFonts w:ascii="Times New Roman" w:eastAsia="宋体" w:hAnsi="Times New Roman"/>
          <w:sz w:val="20"/>
          <w:szCs w:val="20"/>
        </w:rPr>
        <w:t xml:space="preserve">. </w:t>
      </w:r>
      <w:r>
        <w:rPr>
          <w:rFonts w:ascii="Arial" w:eastAsia="宋体" w:hAnsi="Arial" w:cs="Arial"/>
          <w:sz w:val="20"/>
          <w:szCs w:val="20"/>
        </w:rPr>
        <w:t>To effectively manage our liquidity we routinely transfer assets among affiliat</w:t>
      </w:r>
      <w:r>
        <w:rPr>
          <w:rFonts w:ascii="Arial" w:eastAsia="宋体" w:hAnsi="Arial" w:cs="Arial"/>
          <w:sz w:val="20"/>
          <w:szCs w:val="20"/>
        </w:rPr>
        <w:t>ed entities, subsidiaries and branches. Internal or external factors, such as regulatory requirements and standards, including resolution planning, influence our liquidity management and may limit our ability to effectively transfer liquidity internally wh</w:t>
      </w:r>
      <w:r>
        <w:rPr>
          <w:rFonts w:ascii="Arial" w:eastAsia="宋体" w:hAnsi="Arial" w:cs="Arial"/>
          <w:sz w:val="20"/>
          <w:szCs w:val="20"/>
        </w:rPr>
        <w:t xml:space="preserve">ich could, among other things, restrict our ability to fund operations, dividends or stock repurchases, require us to seek external and potentially more costly capital and impact our liquidity position. </w:t>
      </w:r>
    </w:p>
    <w:p w14:paraId="55566E4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while not obligations of ours, the inve</w:t>
      </w:r>
      <w:r>
        <w:rPr>
          <w:rFonts w:ascii="Arial" w:eastAsia="宋体" w:hAnsi="Arial" w:cs="Arial"/>
          <w:sz w:val="20"/>
          <w:szCs w:val="20"/>
        </w:rPr>
        <w:t>stment products that we manage for third parties may be exposed to liquidity risks. These products may be funded on a short-term basis, or the clients participating in these products may have a right to the return of cash or assets on limited notice. These</w:t>
      </w:r>
      <w:r>
        <w:rPr>
          <w:rFonts w:ascii="Arial" w:eastAsia="宋体" w:hAnsi="Arial" w:cs="Arial"/>
          <w:sz w:val="20"/>
          <w:szCs w:val="20"/>
        </w:rPr>
        <w:t xml:space="preserve"> business activities include, among others, securities finance collateral pools, money market and other short-term investment funds and liquidity facilities utilized in connection with municipal bond programs. If clients demand a return of their cash or as</w:t>
      </w:r>
      <w:r>
        <w:rPr>
          <w:rFonts w:ascii="Arial" w:eastAsia="宋体" w:hAnsi="Arial" w:cs="Arial"/>
          <w:sz w:val="20"/>
          <w:szCs w:val="20"/>
        </w:rPr>
        <w:t>sets, particularly on limited notice, and these investment pools do not have the liquidity to support those demands, we could be forced to sell investment securities held by these asset pools at unfavorable prices, damaging our reputation as an asset manag</w:t>
      </w:r>
      <w:r>
        <w:rPr>
          <w:rFonts w:ascii="Arial" w:eastAsia="宋体" w:hAnsi="Arial" w:cs="Arial"/>
          <w:sz w:val="20"/>
          <w:szCs w:val="20"/>
        </w:rPr>
        <w:t>er and potentially exposing us to claims related to our management of the pools.</w:t>
      </w:r>
    </w:p>
    <w:p w14:paraId="55566E4C" w14:textId="77777777" w:rsidR="00F925DD" w:rsidRDefault="00F925DD">
      <w:pPr>
        <w:spacing w:line="288" w:lineRule="auto"/>
        <w:ind w:firstLine="600"/>
        <w:jc w:val="both"/>
        <w:rPr>
          <w:rFonts w:ascii="Times New Roman" w:hAnsi="Times New Roman"/>
          <w:sz w:val="20"/>
          <w:szCs w:val="20"/>
        </w:rPr>
      </w:pPr>
    </w:p>
    <w:p w14:paraId="55566E4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availability and cost of credit in short-term markets are highly dependent on the markets' perception of our liquidity and creditworthiness. Our efforts to monitor and ma</w:t>
      </w:r>
      <w:r>
        <w:rPr>
          <w:rFonts w:ascii="Arial" w:eastAsia="宋体" w:hAnsi="Arial" w:cs="Arial"/>
          <w:sz w:val="20"/>
          <w:szCs w:val="20"/>
        </w:rPr>
        <w:t>nage our liquidity risk, including on an intra-day basis, may not be successful or sufficient to deal with dramatic or unanticipated changes in the global securities markets or other event-driven reductions in liquidity</w:t>
      </w:r>
      <w:r>
        <w:rPr>
          <w:rFonts w:ascii="Times New Roman" w:eastAsia="宋体" w:hAnsi="Times New Roman"/>
          <w:sz w:val="20"/>
          <w:szCs w:val="20"/>
        </w:rPr>
        <w:t xml:space="preserve">. </w:t>
      </w:r>
      <w:r>
        <w:rPr>
          <w:rFonts w:ascii="Arial" w:eastAsia="宋体" w:hAnsi="Arial" w:cs="Arial"/>
          <w:sz w:val="20"/>
          <w:szCs w:val="20"/>
        </w:rPr>
        <w:t>As a result of such events, among o</w:t>
      </w:r>
      <w:r>
        <w:rPr>
          <w:rFonts w:ascii="Arial" w:eastAsia="宋体" w:hAnsi="Arial" w:cs="Arial"/>
          <w:sz w:val="20"/>
          <w:szCs w:val="20"/>
        </w:rPr>
        <w:t>ther things, our cost of funds may increase, thereby reducing our NII, or we may need to dispose of a portion of our investment securities portfolio, which, depending on market conditions, could result in a loss from such sales of investment securities bei</w:t>
      </w:r>
      <w:r>
        <w:rPr>
          <w:rFonts w:ascii="Arial" w:eastAsia="宋体" w:hAnsi="Arial" w:cs="Arial"/>
          <w:sz w:val="20"/>
          <w:szCs w:val="20"/>
        </w:rPr>
        <w:t>ng recorded in our consolidated statement of income.</w:t>
      </w:r>
    </w:p>
    <w:p w14:paraId="55566E4E"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4F"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Our business and capital-related activities, including our ability to return capital to shareholders and repurchase our capital stock, may be adversely affected by our implementation of regulatory capi</w:t>
      </w:r>
      <w:r>
        <w:rPr>
          <w:rFonts w:ascii="Arial" w:eastAsia="宋体" w:hAnsi="Arial" w:cs="Arial"/>
          <w:b/>
          <w:bCs/>
          <w:sz w:val="20"/>
          <w:szCs w:val="20"/>
        </w:rPr>
        <w:t>tal and liquidity standards that we must meet or in the event our capital plan or post-stress capital ratios are determined to be insufficient as a result of regulatory capital stress testing.</w:t>
      </w:r>
    </w:p>
    <w:p w14:paraId="55566E50"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Basel III and Dodd-Frank Act</w:t>
      </w:r>
    </w:p>
    <w:p w14:paraId="55566E5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are required to calculate our r</w:t>
      </w:r>
      <w:r>
        <w:rPr>
          <w:rFonts w:ascii="Arial" w:eastAsia="宋体" w:hAnsi="Arial" w:cs="Arial"/>
          <w:sz w:val="20"/>
          <w:szCs w:val="20"/>
        </w:rPr>
        <w:t>isk-based capital ratios under both the Basel III advanced approaches and the Basel III standardized approach, and we are subject to the more stringent of the risk-based capital ratios calculated under the advanced approaches and those calculated under the</w:t>
      </w:r>
      <w:r>
        <w:rPr>
          <w:rFonts w:ascii="Arial" w:eastAsia="宋体" w:hAnsi="Arial" w:cs="Arial"/>
          <w:sz w:val="20"/>
          <w:szCs w:val="20"/>
        </w:rPr>
        <w:t xml:space="preserve"> standardized approach in the assessment of our capital adequacy</w:t>
      </w:r>
      <w:r>
        <w:rPr>
          <w:rFonts w:ascii="Times New Roman" w:eastAsia="宋体" w:hAnsi="Times New Roman"/>
          <w:sz w:val="20"/>
          <w:szCs w:val="20"/>
        </w:rPr>
        <w:t>.</w:t>
      </w:r>
    </w:p>
    <w:p w14:paraId="55566E5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implementing various aspects of these capital regulations, we are making interpretations of the regulatory intent. The Federal Reserve may determine that we are not in compliance with the</w:t>
      </w:r>
      <w:r>
        <w:rPr>
          <w:rFonts w:ascii="Arial" w:eastAsia="宋体" w:hAnsi="Arial" w:cs="Arial"/>
          <w:sz w:val="20"/>
          <w:szCs w:val="20"/>
        </w:rPr>
        <w:t xml:space="preserve"> capital rules and may require us to take actions to come into compliance that could adversely affect our business operations, our regulatory capital structure, our capital ratios or our financial performance, or otherwise restrict our growth plans or stra</w:t>
      </w:r>
      <w:r>
        <w:rPr>
          <w:rFonts w:ascii="Arial" w:eastAsia="宋体" w:hAnsi="Arial" w:cs="Arial"/>
          <w:sz w:val="20"/>
          <w:szCs w:val="20"/>
        </w:rPr>
        <w:t>tegies. In addition, banking regulators could change the Basel III rule or their interpretations as they apply to us, including changes to these standards or interpretations made in regulations implementing provisions of the Dodd-Frank Act, which could adv</w:t>
      </w:r>
      <w:r>
        <w:rPr>
          <w:rFonts w:ascii="Arial" w:eastAsia="宋体" w:hAnsi="Arial" w:cs="Arial"/>
          <w:sz w:val="20"/>
          <w:szCs w:val="20"/>
        </w:rPr>
        <w:t>ersely affect us and our ability to comply with the Basel III rule.</w:t>
      </w:r>
    </w:p>
    <w:p w14:paraId="55566E5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Along with the Basel III rule, banking regulators also introduced additional requirements, such as the SLR, LCR and the proposed NSFR, each of which presents compliance risks.</w:t>
      </w:r>
    </w:p>
    <w:p w14:paraId="55566E5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example,</w:t>
      </w:r>
      <w:r>
        <w:rPr>
          <w:rFonts w:ascii="Arial" w:eastAsia="宋体" w:hAnsi="Arial" w:cs="Arial"/>
          <w:sz w:val="20"/>
          <w:szCs w:val="20"/>
        </w:rPr>
        <w:t xml:space="preserve"> the specification of the various elements of the NSFR in the final rule could have a material effect on our business activities, including the management and composition of our investment securities portfolio and our ability to extend credit through commi</w:t>
      </w:r>
      <w:r>
        <w:rPr>
          <w:rFonts w:ascii="Arial" w:eastAsia="宋体" w:hAnsi="Arial" w:cs="Arial"/>
          <w:sz w:val="20"/>
          <w:szCs w:val="20"/>
        </w:rPr>
        <w:t>tted facilities, loans to our clients or our principal securities lending activities. In addition, further capital and liquidity requirements are under consideration by U.S. and international banking regulators. Any of these rules could have a material eff</w:t>
      </w:r>
      <w:r>
        <w:rPr>
          <w:rFonts w:ascii="Arial" w:eastAsia="宋体" w:hAnsi="Arial" w:cs="Arial"/>
          <w:sz w:val="20"/>
          <w:szCs w:val="20"/>
        </w:rPr>
        <w:t>ect on our capital and liquidity planning and related activities, including the management and composition of our investment securities portfolio and our ability to extend committed contingent credit facilities to our clients. The full effects of these rul</w:t>
      </w:r>
      <w:r>
        <w:rPr>
          <w:rFonts w:ascii="Arial" w:eastAsia="宋体" w:hAnsi="Arial" w:cs="Arial"/>
          <w:sz w:val="20"/>
          <w:szCs w:val="20"/>
        </w:rPr>
        <w:t>es, and of other regulatory initiatives related to capital or liquidity</w:t>
      </w:r>
      <w:r>
        <w:rPr>
          <w:rFonts w:ascii="Times New Roman" w:eastAsia="宋体" w:hAnsi="Times New Roman"/>
          <w:sz w:val="20"/>
          <w:szCs w:val="20"/>
        </w:rPr>
        <w:t>,</w:t>
      </w:r>
      <w:r>
        <w:rPr>
          <w:rFonts w:ascii="Arial" w:eastAsia="宋体" w:hAnsi="Arial" w:cs="Arial"/>
          <w:sz w:val="20"/>
          <w:szCs w:val="20"/>
        </w:rPr>
        <w:t xml:space="preserve"> on us and State Street Bank are subject to further regulatory guidance, action or rule-making.</w:t>
      </w:r>
    </w:p>
    <w:p w14:paraId="55566E55" w14:textId="77777777" w:rsidR="00F925DD" w:rsidRDefault="00F925DD">
      <w:pPr>
        <w:rPr>
          <w:rFonts w:ascii="Times New Roman" w:hAnsi="Times New Roman"/>
          <w:sz w:val="20"/>
          <w:szCs w:val="20"/>
        </w:rPr>
      </w:pPr>
    </w:p>
    <w:p w14:paraId="55566E5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27</w:t>
      </w:r>
    </w:p>
    <w:p w14:paraId="55566E57" w14:textId="77777777" w:rsidR="00F925DD" w:rsidRDefault="00F925DD">
      <w:pPr>
        <w:spacing w:line="288" w:lineRule="auto"/>
        <w:ind w:firstLine="600"/>
        <w:jc w:val="center"/>
        <w:rPr>
          <w:rFonts w:ascii="Times New Roman" w:hAnsi="Times New Roman"/>
          <w:sz w:val="18"/>
          <w:szCs w:val="18"/>
        </w:rPr>
      </w:pPr>
    </w:p>
    <w:p w14:paraId="55566E58" w14:textId="77777777" w:rsidR="00F925DD" w:rsidRDefault="00E705D7">
      <w:r>
        <w:rPr>
          <w:rFonts w:ascii="Times New Roman" w:hAnsi="Times New Roman"/>
          <w:sz w:val="18"/>
          <w:szCs w:val="18"/>
        </w:rPr>
        <w:pict w14:anchorId="55570653">
          <v:rect id="_x0000_i1051" style="width:415.3pt;height:1.5pt" o:hralign="center" o:hrstd="t" o:hr="t" fillcolor="#a0a0a0" stroked="f"/>
        </w:pict>
      </w:r>
    </w:p>
    <w:p w14:paraId="55566E59" w14:textId="77777777" w:rsidR="00F925DD" w:rsidRDefault="00F925DD">
      <w:pPr>
        <w:spacing w:line="288" w:lineRule="auto"/>
        <w:ind w:firstLine="600"/>
        <w:rPr>
          <w:rFonts w:ascii="Times New Roman" w:hAnsi="Times New Roman"/>
          <w:sz w:val="18"/>
          <w:szCs w:val="18"/>
        </w:rPr>
      </w:pPr>
    </w:p>
    <w:p w14:paraId="55566E5A" w14:textId="77777777" w:rsidR="00F925DD" w:rsidRDefault="00F925DD">
      <w:pPr>
        <w:rPr>
          <w:rFonts w:ascii="Times New Roman" w:hAnsi="Times New Roman"/>
          <w:sz w:val="20"/>
          <w:szCs w:val="20"/>
        </w:rPr>
      </w:pPr>
    </w:p>
    <w:p w14:paraId="55566E5B"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Systemic Importance</w:t>
      </w:r>
    </w:p>
    <w:p w14:paraId="55566E5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As a G-SIB, we are </w:t>
      </w:r>
      <w:r>
        <w:rPr>
          <w:rFonts w:ascii="Arial" w:eastAsia="宋体" w:hAnsi="Arial" w:cs="Arial"/>
          <w:sz w:val="20"/>
          <w:szCs w:val="20"/>
        </w:rPr>
        <w:t>generally subject to the most stringent provisions under the Basel III rule. For example, we are subject to the Federal Reserve's rules on the implementation of capital surcharges for U.S. G-SIBs, and on TLAC, LTD and clean holding company requirements for</w:t>
      </w:r>
      <w:r>
        <w:rPr>
          <w:rFonts w:ascii="Arial" w:eastAsia="宋体" w:hAnsi="Arial" w:cs="Arial"/>
          <w:sz w:val="20"/>
          <w:szCs w:val="20"/>
        </w:rPr>
        <w:t xml:space="preserve"> U.S. G-SIBs which we refer to as the "TLAC rule". For additional information on these requirements, refer to the “Regulatory Capital Adequacy and Liquidity Standards” section under “Supervision and Regulation” in Business in this Form 10-K.</w:t>
      </w:r>
    </w:p>
    <w:p w14:paraId="55566E5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Not all of our</w:t>
      </w:r>
      <w:r>
        <w:rPr>
          <w:rFonts w:ascii="Arial" w:eastAsia="宋体" w:hAnsi="Arial" w:cs="Arial"/>
          <w:sz w:val="20"/>
          <w:szCs w:val="20"/>
        </w:rPr>
        <w:t xml:space="preserve"> competitors have similarly been designated as systemically important nor are all of them subject to the same degree of regulation as a bank or financial holding company, and therefore some of our competitors are not subject to the same additional capital </w:t>
      </w:r>
      <w:r>
        <w:rPr>
          <w:rFonts w:ascii="Arial" w:eastAsia="宋体" w:hAnsi="Arial" w:cs="Arial"/>
          <w:sz w:val="20"/>
          <w:szCs w:val="20"/>
        </w:rPr>
        <w:t>requirements.</w:t>
      </w:r>
    </w:p>
    <w:p w14:paraId="55566E5E"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Comprehensive Capital Analysis and Review</w:t>
      </w:r>
    </w:p>
    <w:p w14:paraId="55566E5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are required by the Federal Reserve to conduct periodic stress testing of our business operations and to develop an annual capital plan as part of the Federal Reserve's CCAR process. That process, </w:t>
      </w:r>
      <w:r>
        <w:rPr>
          <w:rFonts w:ascii="Arial" w:eastAsia="宋体" w:hAnsi="Arial" w:cs="Arial"/>
          <w:sz w:val="20"/>
          <w:szCs w:val="20"/>
        </w:rPr>
        <w:t>the severity and other characteristics of which may evolve from year-to-year, is used by the Federal Reserve to evaluate our management of capital, the adequacy of our regulatory capital and the requirement for us to maintain capital above our minimum regu</w:t>
      </w:r>
      <w:r>
        <w:rPr>
          <w:rFonts w:ascii="Arial" w:eastAsia="宋体" w:hAnsi="Arial" w:cs="Arial"/>
          <w:sz w:val="20"/>
          <w:szCs w:val="20"/>
        </w:rPr>
        <w:t>latory capital requirements under stressed economic conditions. The results of the CCAR process are difficult to predict due, among other things, to the Federal Reserve's use of proprietary stress models that differ from our internal models. The amounts of</w:t>
      </w:r>
      <w:r>
        <w:rPr>
          <w:rFonts w:ascii="Arial" w:eastAsia="宋体" w:hAnsi="Arial" w:cs="Arial"/>
          <w:sz w:val="20"/>
          <w:szCs w:val="20"/>
        </w:rPr>
        <w:t xml:space="preserve"> the planned capital actions in our capital plan in any year, including stock repurchases and dividends, may be substantially reduced from the amounts included in prior capital plans. These reductions may reflect changes in one or more different factors, i</w:t>
      </w:r>
      <w:r>
        <w:rPr>
          <w:rFonts w:ascii="Arial" w:eastAsia="宋体" w:hAnsi="Arial" w:cs="Arial"/>
          <w:sz w:val="20"/>
          <w:szCs w:val="20"/>
        </w:rPr>
        <w:t>ncluding our business prospects and related capital needs, our capital position, proposed acquisitions or other uses of capital, the models used in our capital planning process, the supervisory models used by the Federal Reserve to stress our balance sheet</w:t>
      </w:r>
      <w:r>
        <w:rPr>
          <w:rFonts w:ascii="Arial" w:eastAsia="宋体" w:hAnsi="Arial" w:cs="Arial"/>
          <w:sz w:val="20"/>
          <w:szCs w:val="20"/>
        </w:rPr>
        <w:t>, the Federal Reserve’s hypothetical economic scenarios for the CCAR process, the Federal Reserve’s CCAR instructions and the Federal Reserve’s supervisory expectations for the capital planning process. The Federal Reserve may object to our capital plan or</w:t>
      </w:r>
      <w:r>
        <w:rPr>
          <w:rFonts w:ascii="Arial" w:eastAsia="宋体" w:hAnsi="Arial" w:cs="Arial"/>
          <w:sz w:val="20"/>
          <w:szCs w:val="20"/>
        </w:rPr>
        <w:t xml:space="preserve"> impose conditions on us in connection with a non-objection to our capital plan, or we may decide that we need to adjust our capital plan to avoid an objection by the Federal Reserve. Any of these potential events potentially could require us, as applicabl</w:t>
      </w:r>
      <w:r>
        <w:rPr>
          <w:rFonts w:ascii="Arial" w:eastAsia="宋体" w:hAnsi="Arial" w:cs="Arial"/>
          <w:sz w:val="20"/>
          <w:szCs w:val="20"/>
        </w:rPr>
        <w:t>e, to revise our stress-testing or capital management approaches, resubmit our capital plan or postpone, cancel or alter our planned capital actions. In addition, changes in our business strategy, merger or acquisition activity or uses of capital could res</w:t>
      </w:r>
      <w:r>
        <w:rPr>
          <w:rFonts w:ascii="Arial" w:eastAsia="宋体" w:hAnsi="Arial" w:cs="Arial"/>
          <w:sz w:val="20"/>
          <w:szCs w:val="20"/>
        </w:rPr>
        <w:t xml:space="preserve">ult in a change in our capital plan </w:t>
      </w:r>
    </w:p>
    <w:p w14:paraId="55566E60"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6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and its associated capital actions, and may require us to resubmit our capital plan to the Federal Reserve for its non-objection. We are also subject to asset quality reviews and stress testing by the ECB and in the f</w:t>
      </w:r>
      <w:r>
        <w:rPr>
          <w:rFonts w:ascii="Arial" w:eastAsia="宋体" w:hAnsi="Arial" w:cs="Arial"/>
          <w:sz w:val="20"/>
          <w:szCs w:val="20"/>
        </w:rPr>
        <w:t>uture we may be subject to similar reviews and testing by other regulators.</w:t>
      </w:r>
    </w:p>
    <w:p w14:paraId="55566E6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implementation of capital and liquidity requirements, including our capital plan, may not be approved or may be objected to by the Federal Reserve, and the Federal Reserve may </w:t>
      </w:r>
      <w:r>
        <w:rPr>
          <w:rFonts w:ascii="Arial" w:eastAsia="宋体" w:hAnsi="Arial" w:cs="Arial"/>
          <w:sz w:val="20"/>
          <w:szCs w:val="20"/>
        </w:rPr>
        <w:t>impose capital requirements in excess of our expectations or require us to maintain levels of liquidity that are higher than we may expect and which may adversely affect our consolidated revenues. In the event that our implementation of capital and liquidi</w:t>
      </w:r>
      <w:r>
        <w:rPr>
          <w:rFonts w:ascii="Arial" w:eastAsia="宋体" w:hAnsi="Arial" w:cs="Arial"/>
          <w:sz w:val="20"/>
          <w:szCs w:val="20"/>
        </w:rPr>
        <w:t>ty requirements under regulatory initiatives or our current capital structure are determined not to conform with current and future capital requirements, our ability to deploy capital in the operation of our business or our ability to distribute capital to</w:t>
      </w:r>
      <w:r>
        <w:rPr>
          <w:rFonts w:ascii="Arial" w:eastAsia="宋体" w:hAnsi="Arial" w:cs="Arial"/>
          <w:sz w:val="20"/>
          <w:szCs w:val="20"/>
        </w:rPr>
        <w:t xml:space="preserve"> shareholders or to repurchase our capital stock may be constrained, and our business may be adversely affected. In addition, we may choose to forgo business opportunities, due to their impact on our capital plan or stress tests, including CCAR. Likewise, </w:t>
      </w:r>
      <w:r>
        <w:rPr>
          <w:rFonts w:ascii="Arial" w:eastAsia="宋体" w:hAnsi="Arial" w:cs="Arial"/>
          <w:sz w:val="20"/>
          <w:szCs w:val="20"/>
        </w:rPr>
        <w:t xml:space="preserve">in the event that regulators in other jurisdictions in which we have banking subsidiaries determine that our capital or liquidity levels do not conform with current and future regulatory requirements, our ability to deploy capital, our levels of liquidity </w:t>
      </w:r>
      <w:r>
        <w:rPr>
          <w:rFonts w:ascii="Arial" w:eastAsia="宋体" w:hAnsi="Arial" w:cs="Arial"/>
          <w:sz w:val="20"/>
          <w:szCs w:val="20"/>
        </w:rPr>
        <w:t>or our business operations in those jurisdictions may be adversely affected.</w:t>
      </w:r>
    </w:p>
    <w:p w14:paraId="55566E6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For additional information about the above matters, refer to “Regulatory Capital Adequacy and Liquidity Standards” section under "Supervision and Regulation" in Business and </w:t>
      </w:r>
      <w:r>
        <w:rPr>
          <w:rFonts w:ascii="Arial" w:eastAsia="宋体" w:hAnsi="Arial" w:cs="Arial"/>
          <w:sz w:val="20"/>
          <w:szCs w:val="20"/>
        </w:rPr>
        <w:t>“Capital” section under "Financial Condition" in our Management's Discussion and Analysis in this Form 10-K.</w:t>
      </w:r>
    </w:p>
    <w:p w14:paraId="55566E64"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Fee revenue represents a significant majority of our consolidated revenue and is subject to decline, among other things, in the event of a reductio</w:t>
      </w:r>
      <w:r>
        <w:rPr>
          <w:rFonts w:ascii="Arial" w:eastAsia="宋体" w:hAnsi="Arial" w:cs="Arial"/>
          <w:b/>
          <w:bCs/>
          <w:color w:val="000000"/>
          <w:sz w:val="20"/>
          <w:szCs w:val="20"/>
        </w:rPr>
        <w:t>n in, or changes to, the level or type of investment activity by our clients.</w:t>
      </w:r>
    </w:p>
    <w:p w14:paraId="55566E6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rely primarily on fee-based services to derive our revenue. This contrasts with commercial banks that may rely more heavily on interest-based sources of revenue, such as loans</w:t>
      </w:r>
      <w:r>
        <w:rPr>
          <w:rFonts w:ascii="Arial" w:eastAsia="宋体" w:hAnsi="Arial" w:cs="Arial"/>
          <w:sz w:val="20"/>
          <w:szCs w:val="20"/>
        </w:rPr>
        <w:t>. During 2019 total fee revenue represented approximately 78% of our total revenue. Fee revenue generated by our Investment Servicing and Investment Management businesses is augmented by foreign exchange trading services, securities finance and software an</w:t>
      </w:r>
      <w:r>
        <w:rPr>
          <w:rFonts w:ascii="Arial" w:eastAsia="宋体" w:hAnsi="Arial" w:cs="Arial"/>
          <w:sz w:val="20"/>
          <w:szCs w:val="20"/>
        </w:rPr>
        <w:t>d processing fee revenue.</w:t>
      </w:r>
    </w:p>
    <w:p w14:paraId="55566E6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level of these fees is influenced by several factors, including the mix and volume of our AUC/A and our AUM, the value and type of securities positions held (with respect to assets under custody) and the volume of our clients'</w:t>
      </w:r>
      <w:r>
        <w:rPr>
          <w:rFonts w:ascii="Arial" w:eastAsia="宋体" w:hAnsi="Arial" w:cs="Arial"/>
          <w:sz w:val="20"/>
          <w:szCs w:val="20"/>
        </w:rPr>
        <w:t xml:space="preserve"> portfolio transactions, and the types of products and services used by our clients. For example, reductions in the level of economic and capital markets </w:t>
      </w:r>
    </w:p>
    <w:p w14:paraId="55566E67" w14:textId="77777777" w:rsidR="00F925DD" w:rsidRDefault="00F925DD">
      <w:pPr>
        <w:rPr>
          <w:rFonts w:ascii="Times New Roman" w:hAnsi="Times New Roman"/>
          <w:sz w:val="20"/>
          <w:szCs w:val="20"/>
        </w:rPr>
      </w:pPr>
    </w:p>
    <w:p w14:paraId="55566E68"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28</w:t>
      </w:r>
    </w:p>
    <w:p w14:paraId="55566E69" w14:textId="77777777" w:rsidR="00F925DD" w:rsidRDefault="00F925DD">
      <w:pPr>
        <w:spacing w:line="288" w:lineRule="auto"/>
        <w:ind w:firstLine="600"/>
        <w:jc w:val="center"/>
        <w:rPr>
          <w:rFonts w:ascii="Times New Roman" w:hAnsi="Times New Roman"/>
          <w:sz w:val="18"/>
          <w:szCs w:val="18"/>
        </w:rPr>
      </w:pPr>
    </w:p>
    <w:p w14:paraId="55566E6A" w14:textId="77777777" w:rsidR="00F925DD" w:rsidRDefault="00E705D7">
      <w:r>
        <w:rPr>
          <w:rFonts w:ascii="Times New Roman" w:hAnsi="Times New Roman"/>
          <w:sz w:val="18"/>
          <w:szCs w:val="18"/>
        </w:rPr>
        <w:pict w14:anchorId="55570654">
          <v:rect id="_x0000_i1052" style="width:415.3pt;height:1.5pt" o:hralign="center" o:hrstd="t" o:hr="t" fillcolor="#a0a0a0" stroked="f"/>
        </w:pict>
      </w:r>
    </w:p>
    <w:p w14:paraId="55566E6B" w14:textId="77777777" w:rsidR="00F925DD" w:rsidRDefault="00F925DD">
      <w:pPr>
        <w:spacing w:line="288" w:lineRule="auto"/>
        <w:ind w:firstLine="600"/>
        <w:rPr>
          <w:rFonts w:ascii="Times New Roman" w:hAnsi="Times New Roman"/>
          <w:sz w:val="18"/>
          <w:szCs w:val="18"/>
        </w:rPr>
      </w:pPr>
    </w:p>
    <w:p w14:paraId="55566E6C" w14:textId="77777777" w:rsidR="00F925DD" w:rsidRDefault="00F925DD">
      <w:pPr>
        <w:rPr>
          <w:rFonts w:ascii="Times New Roman" w:hAnsi="Times New Roman"/>
          <w:sz w:val="20"/>
          <w:szCs w:val="20"/>
        </w:rPr>
      </w:pPr>
    </w:p>
    <w:p w14:paraId="55566E6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activity tend to have a negative effect on our fee revenue, as th</w:t>
      </w:r>
      <w:r>
        <w:rPr>
          <w:rFonts w:ascii="Arial" w:eastAsia="宋体" w:hAnsi="Arial" w:cs="Arial"/>
          <w:sz w:val="20"/>
          <w:szCs w:val="20"/>
        </w:rPr>
        <w:t>ese often result in reduced asset valuations and transaction volumes. They may also result in investor preference trends towards asset classes and markets deemed more secure, such as cash or non-emerging markets, with respect to which our fee rates are oft</w:t>
      </w:r>
      <w:r>
        <w:rPr>
          <w:rFonts w:ascii="Arial" w:eastAsia="宋体" w:hAnsi="Arial" w:cs="Arial"/>
          <w:sz w:val="20"/>
          <w:szCs w:val="20"/>
        </w:rPr>
        <w:t>en lower</w:t>
      </w:r>
      <w:r>
        <w:rPr>
          <w:rFonts w:ascii="Times New Roman" w:eastAsia="宋体" w:hAnsi="Times New Roman"/>
          <w:sz w:val="20"/>
          <w:szCs w:val="20"/>
        </w:rPr>
        <w:t>.</w:t>
      </w:r>
    </w:p>
    <w:p w14:paraId="55566E6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our clients include institutional investors, such as mutual funds, collective investment funds, UCITS, hedge funds and other investment pools, corporate and public retirement plans, insurance companies, foundations, endowments and in</w:t>
      </w:r>
      <w:r>
        <w:rPr>
          <w:rFonts w:ascii="Arial" w:eastAsia="宋体" w:hAnsi="Arial" w:cs="Arial"/>
          <w:sz w:val="20"/>
          <w:szCs w:val="20"/>
        </w:rPr>
        <w:t>vestment managers. Economic, market or other factors that reduce the level or rates of savings in or with those institutions, either through reductions in financial asset valuations or through changes in investor preferences, could materially reduce our fe</w:t>
      </w:r>
      <w:r>
        <w:rPr>
          <w:rFonts w:ascii="Arial" w:eastAsia="宋体" w:hAnsi="Arial" w:cs="Arial"/>
          <w:sz w:val="20"/>
          <w:szCs w:val="20"/>
        </w:rPr>
        <w:t>e revenue and have a material adverse effect on our consolidated results of operations.</w:t>
      </w:r>
    </w:p>
    <w:p w14:paraId="55566E6F"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Our businesses have significant European operations, and disruptions in European economies could have an adverse effect on our consolidated results of operations or fin</w:t>
      </w:r>
      <w:r>
        <w:rPr>
          <w:rFonts w:ascii="Arial" w:eastAsia="宋体" w:hAnsi="Arial" w:cs="Arial"/>
          <w:b/>
          <w:bCs/>
          <w:color w:val="000000"/>
          <w:sz w:val="20"/>
          <w:szCs w:val="20"/>
        </w:rPr>
        <w:t>ancial condition.</w:t>
      </w:r>
    </w:p>
    <w:p w14:paraId="55566E7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Economic growth continues to slow in Europe, with key economies, including Germany, drifting towards recession despite new stimulus from the European Central Bank, and concerns remain with regard to sovereign debt sustainability, interdep</w:t>
      </w:r>
      <w:r>
        <w:rPr>
          <w:rFonts w:ascii="Arial" w:eastAsia="宋体" w:hAnsi="Arial" w:cs="Arial"/>
          <w:sz w:val="20"/>
          <w:szCs w:val="20"/>
        </w:rPr>
        <w:t>endencies among financial institutions and sovereigns and political and other risks, including potential market disruptions associated with political conflicts and disputes and migrant flows in one or more European nations. In addition, continued uncertain</w:t>
      </w:r>
      <w:r>
        <w:rPr>
          <w:rFonts w:ascii="Arial" w:eastAsia="宋体" w:hAnsi="Arial" w:cs="Arial"/>
          <w:sz w:val="20"/>
          <w:szCs w:val="20"/>
        </w:rPr>
        <w:t>ty in the external environment for Europe, specifically with prospects for weaker external trade, have led to increased concern around the near- to medium-term outlook for economic progress in Europe</w:t>
      </w:r>
      <w:r>
        <w:rPr>
          <w:rFonts w:ascii="Times New Roman" w:eastAsia="宋体" w:hAnsi="Times New Roman"/>
          <w:sz w:val="20"/>
          <w:szCs w:val="20"/>
        </w:rPr>
        <w:t xml:space="preserve">. </w:t>
      </w:r>
    </w:p>
    <w:p w14:paraId="55566E7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uncertainty around implications of the United Kingdom's exit from the E.U., known as Brexit, and related developments, present risks which include potential negative impacts to economic activity or to cooperation in the future relationship bet</w:t>
      </w:r>
      <w:r>
        <w:rPr>
          <w:rFonts w:ascii="Arial" w:eastAsia="宋体" w:hAnsi="Arial" w:cs="Arial"/>
          <w:sz w:val="20"/>
          <w:szCs w:val="20"/>
        </w:rPr>
        <w:t>ween the U.K and E.U. and the resulting consequences for market access for financial services. In order to conform to anticipated restrictions on activity between the E.U. and the U.K. following Brexit, and based on a hard Brexit scenario, we have develope</w:t>
      </w:r>
      <w:r>
        <w:rPr>
          <w:rFonts w:ascii="Arial" w:eastAsia="宋体" w:hAnsi="Arial" w:cs="Arial"/>
          <w:sz w:val="20"/>
          <w:szCs w:val="20"/>
        </w:rPr>
        <w:t>d and implemented plans that seek to maintain our servicing and operational capabilities, in all material respects, independent of the final outcome. There can be no assurance, however, that our plans will address effectively, in whole or in part, all pote</w:t>
      </w:r>
      <w:r>
        <w:rPr>
          <w:rFonts w:ascii="Arial" w:eastAsia="宋体" w:hAnsi="Arial" w:cs="Arial"/>
          <w:sz w:val="20"/>
          <w:szCs w:val="20"/>
        </w:rPr>
        <w:t>ntial contingencies associated with Brexit, that we may not experience additional costs or inefficiencies associated with our European activities or client dissatisfaction, delays in receiving regulatory approvals or other difficulties in executing our reg</w:t>
      </w:r>
      <w:r>
        <w:rPr>
          <w:rFonts w:ascii="Arial" w:eastAsia="宋体" w:hAnsi="Arial" w:cs="Arial"/>
          <w:sz w:val="20"/>
          <w:szCs w:val="20"/>
        </w:rPr>
        <w:t xml:space="preserve">ional strategy. Given the scope of our European operations, economic </w:t>
      </w:r>
    </w:p>
    <w:p w14:paraId="55566E72"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73"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or market uncertainty, volatility, illiquidity or disruption resulting from these and related factors could have a material adverse impact on our consolidated results of operations or </w:t>
      </w:r>
      <w:r>
        <w:rPr>
          <w:rFonts w:ascii="Arial" w:eastAsia="宋体" w:hAnsi="Arial" w:cs="Arial"/>
          <w:sz w:val="20"/>
          <w:szCs w:val="20"/>
        </w:rPr>
        <w:t xml:space="preserve">financial condition. </w:t>
      </w:r>
    </w:p>
    <w:p w14:paraId="55566E74"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Geopolitical and economic conditions and developments could adversely affect us, particularly if we face increased uncertainty and unpredictability in managing our businesses</w:t>
      </w:r>
      <w:r>
        <w:rPr>
          <w:rFonts w:ascii="Arial" w:eastAsia="宋体" w:hAnsi="Arial" w:cs="Arial"/>
          <w:b/>
          <w:bCs/>
          <w:sz w:val="20"/>
          <w:szCs w:val="20"/>
        </w:rPr>
        <w:t>.</w:t>
      </w:r>
    </w:p>
    <w:p w14:paraId="55566E7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Global financial markets can suffer from substantial volat</w:t>
      </w:r>
      <w:r>
        <w:rPr>
          <w:rFonts w:ascii="Arial" w:eastAsia="宋体" w:hAnsi="Arial" w:cs="Arial"/>
          <w:sz w:val="20"/>
          <w:szCs w:val="20"/>
        </w:rPr>
        <w:t>ility</w:t>
      </w:r>
      <w:r>
        <w:rPr>
          <w:rFonts w:ascii="Times New Roman" w:eastAsia="宋体" w:hAnsi="Times New Roman"/>
          <w:sz w:val="20"/>
          <w:szCs w:val="20"/>
        </w:rPr>
        <w:t>,</w:t>
      </w:r>
      <w:r>
        <w:rPr>
          <w:rFonts w:ascii="Arial" w:eastAsia="宋体" w:hAnsi="Arial" w:cs="Arial"/>
          <w:sz w:val="20"/>
          <w:szCs w:val="20"/>
        </w:rPr>
        <w:t xml:space="preserve"> illiquidity and disruption, particularly as a result of geopolitical disruptions, slower economic growth and a shifting monetary policy stance from key central banks. If such volatility, illiquidity or disruption were to result in an adverse economi</w:t>
      </w:r>
      <w:r>
        <w:rPr>
          <w:rFonts w:ascii="Arial" w:eastAsia="宋体" w:hAnsi="Arial" w:cs="Arial"/>
          <w:sz w:val="20"/>
          <w:szCs w:val="20"/>
        </w:rPr>
        <w:t>c environment in the U.S. or internationally or result in a lack of confidence in the financial stability of major developed or emerging markets, such developments could have an adverse effect on our business, as well as the businesses of our clients and o</w:t>
      </w:r>
      <w:r>
        <w:rPr>
          <w:rFonts w:ascii="Arial" w:eastAsia="宋体" w:hAnsi="Arial" w:cs="Arial"/>
          <w:sz w:val="20"/>
          <w:szCs w:val="20"/>
        </w:rPr>
        <w:t xml:space="preserve">ur significant counterparties and could also increase the difficulty and unpredictability of aligning our business strategies, our infrastructure and our operating costs in light of uncertain market and economic conditions. These risks could be compounded </w:t>
      </w:r>
      <w:r>
        <w:rPr>
          <w:rFonts w:ascii="Arial" w:eastAsia="宋体" w:hAnsi="Arial" w:cs="Arial"/>
          <w:sz w:val="20"/>
          <w:szCs w:val="20"/>
        </w:rPr>
        <w:t>by tighter monetary policy conditions, disruptions to free trade and political uncertainty in the U.S. and internationally.</w:t>
      </w:r>
    </w:p>
    <w:p w14:paraId="55566E7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Market disruptions can adversely affect our consolidated results of operations if the value of our AUC/A or AUM decline, while the c</w:t>
      </w:r>
      <w:r>
        <w:rPr>
          <w:rFonts w:ascii="Arial" w:eastAsia="宋体" w:hAnsi="Arial" w:cs="Arial"/>
          <w:sz w:val="20"/>
          <w:szCs w:val="20"/>
        </w:rPr>
        <w:t>osts of providing the related services remain constant or increase. These factors could reduce the profitability of our asset-based fee revenue and could also adversely affect our transaction-based revenue, such as revenues from securities finance and fore</w:t>
      </w:r>
      <w:r>
        <w:rPr>
          <w:rFonts w:ascii="Arial" w:eastAsia="宋体" w:hAnsi="Arial" w:cs="Arial"/>
          <w:sz w:val="20"/>
          <w:szCs w:val="20"/>
        </w:rPr>
        <w:t>ign exchange activities, and the volume of transactions that we execute for or with our clients. Further</w:t>
      </w:r>
      <w:r>
        <w:rPr>
          <w:rFonts w:ascii="Times New Roman" w:eastAsia="宋体" w:hAnsi="Times New Roman"/>
          <w:sz w:val="20"/>
          <w:szCs w:val="20"/>
        </w:rPr>
        <w:t>,</w:t>
      </w:r>
      <w:r>
        <w:rPr>
          <w:rFonts w:ascii="Arial" w:eastAsia="宋体" w:hAnsi="Arial" w:cs="Arial"/>
          <w:sz w:val="20"/>
          <w:szCs w:val="20"/>
        </w:rPr>
        <w:t xml:space="preserve"> the degree of volatility in foreign exchange rates can affect our foreign exchange trading revenue. In general, increased currency volatility tends to</w:t>
      </w:r>
      <w:r>
        <w:rPr>
          <w:rFonts w:ascii="Arial" w:eastAsia="宋体" w:hAnsi="Arial" w:cs="Arial"/>
          <w:sz w:val="20"/>
          <w:szCs w:val="20"/>
        </w:rPr>
        <w:t xml:space="preserve"> increase our market risk but also increases our opportunity to generate foreign exchange revenue. Conversely, periods of lower currency volatility tend to decrease our market risk but also decrease our foreign exchange revenue.</w:t>
      </w:r>
    </w:p>
    <w:p w14:paraId="55566E7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as our busines</w:t>
      </w:r>
      <w:r>
        <w:rPr>
          <w:rFonts w:ascii="Arial" w:eastAsia="宋体" w:hAnsi="Arial" w:cs="Arial"/>
          <w:sz w:val="20"/>
          <w:szCs w:val="20"/>
        </w:rPr>
        <w:t xml:space="preserve">s grows globally and a significant percentage of our revenue is earned (and of our expenses paid) in currencies other than U.S. dollars, our exposure to foreign currency volatility could affect our levels of consolidated revenue, our consolidated expenses </w:t>
      </w:r>
      <w:r>
        <w:rPr>
          <w:rFonts w:ascii="Arial" w:eastAsia="宋体" w:hAnsi="Arial" w:cs="Arial"/>
          <w:sz w:val="20"/>
          <w:szCs w:val="20"/>
        </w:rPr>
        <w:t>and our consolidated results of operations, as well as the value of our investment in our non-U.S. operations and our non-U.S. investment portfolio holdings. The extent to which changes in the strength of the U.S. dollar relative to other currencies affect</w:t>
      </w:r>
      <w:r>
        <w:rPr>
          <w:rFonts w:ascii="Arial" w:eastAsia="宋体" w:hAnsi="Arial" w:cs="Arial"/>
          <w:sz w:val="20"/>
          <w:szCs w:val="20"/>
        </w:rPr>
        <w:t xml:space="preserve"> our consolidated results of operations, including the degree of any offset between increases or decreases to both revenue and expenses, will depend upon the nature and scope of our operations and activities in the relevant </w:t>
      </w:r>
    </w:p>
    <w:p w14:paraId="55566E78" w14:textId="77777777" w:rsidR="00F925DD" w:rsidRDefault="00F925DD">
      <w:pPr>
        <w:rPr>
          <w:rFonts w:ascii="Times New Roman" w:hAnsi="Times New Roman"/>
          <w:sz w:val="20"/>
          <w:szCs w:val="20"/>
        </w:rPr>
      </w:pPr>
    </w:p>
    <w:p w14:paraId="55566E79"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29</w:t>
      </w:r>
    </w:p>
    <w:p w14:paraId="55566E7A" w14:textId="77777777" w:rsidR="00F925DD" w:rsidRDefault="00F925DD">
      <w:pPr>
        <w:spacing w:line="288" w:lineRule="auto"/>
        <w:ind w:firstLine="600"/>
        <w:jc w:val="center"/>
        <w:rPr>
          <w:rFonts w:ascii="Times New Roman" w:hAnsi="Times New Roman"/>
          <w:sz w:val="18"/>
          <w:szCs w:val="18"/>
        </w:rPr>
      </w:pPr>
    </w:p>
    <w:p w14:paraId="55566E7B" w14:textId="77777777" w:rsidR="00F925DD" w:rsidRDefault="00E705D7">
      <w:r>
        <w:rPr>
          <w:rFonts w:ascii="Times New Roman" w:hAnsi="Times New Roman"/>
          <w:sz w:val="18"/>
          <w:szCs w:val="18"/>
        </w:rPr>
        <w:pict w14:anchorId="55570655">
          <v:rect id="_x0000_i1053" style="width:415.3pt;height:1.5pt" o:hralign="center" o:hrstd="t" o:hr="t" fillcolor="#a0a0a0" stroked="f"/>
        </w:pict>
      </w:r>
    </w:p>
    <w:p w14:paraId="55566E7C" w14:textId="77777777" w:rsidR="00F925DD" w:rsidRDefault="00F925DD">
      <w:pPr>
        <w:spacing w:line="288" w:lineRule="auto"/>
        <w:ind w:firstLine="600"/>
        <w:rPr>
          <w:rFonts w:ascii="Times New Roman" w:hAnsi="Times New Roman"/>
          <w:sz w:val="18"/>
          <w:szCs w:val="18"/>
        </w:rPr>
      </w:pPr>
    </w:p>
    <w:p w14:paraId="55566E7D" w14:textId="77777777" w:rsidR="00F925DD" w:rsidRDefault="00F925DD">
      <w:pPr>
        <w:rPr>
          <w:rFonts w:ascii="Times New Roman" w:hAnsi="Times New Roman"/>
          <w:sz w:val="20"/>
          <w:szCs w:val="20"/>
        </w:rPr>
      </w:pPr>
    </w:p>
    <w:p w14:paraId="55566E7E"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jurisdictions during the relevant periods, which may vary from period to period.</w:t>
      </w:r>
    </w:p>
    <w:p w14:paraId="55566E7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As our product offerings expand, in part as we seek to take advantage of perceived opportunities arising under various regulatory reforms and resulting market </w:t>
      </w:r>
      <w:r>
        <w:rPr>
          <w:rFonts w:ascii="Arial" w:eastAsia="宋体" w:hAnsi="Arial" w:cs="Arial"/>
          <w:sz w:val="20"/>
          <w:szCs w:val="20"/>
        </w:rPr>
        <w:t>changes, the degree of our exposure to various market and credit risks will evolve, potentially resulting in greater revenue volatility</w:t>
      </w:r>
      <w:r>
        <w:rPr>
          <w:rFonts w:ascii="Times New Roman" w:eastAsia="宋体" w:hAnsi="Times New Roman"/>
          <w:sz w:val="20"/>
          <w:szCs w:val="20"/>
        </w:rPr>
        <w:t xml:space="preserve">. </w:t>
      </w:r>
      <w:r>
        <w:rPr>
          <w:rFonts w:ascii="Arial" w:eastAsia="宋体" w:hAnsi="Arial" w:cs="Arial"/>
          <w:sz w:val="20"/>
          <w:szCs w:val="20"/>
        </w:rPr>
        <w:t>We also will need to make additional investments to develop the operational infrastructure and to enhance our complianc</w:t>
      </w:r>
      <w:r>
        <w:rPr>
          <w:rFonts w:ascii="Arial" w:eastAsia="宋体" w:hAnsi="Arial" w:cs="Arial"/>
          <w:sz w:val="20"/>
          <w:szCs w:val="20"/>
        </w:rPr>
        <w:t>e and risk management capabilities to support these businesses, which may increase the operating expenses of such businesses or, if our control environment fails to keep pace with product expansion, result in increased risk of loss from such businesses.</w:t>
      </w:r>
    </w:p>
    <w:p w14:paraId="55566E80"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We</w:t>
      </w:r>
      <w:r>
        <w:rPr>
          <w:rFonts w:ascii="Arial" w:eastAsia="宋体" w:hAnsi="Arial" w:cs="Arial"/>
          <w:b/>
          <w:bCs/>
          <w:color w:val="000000"/>
          <w:sz w:val="20"/>
          <w:szCs w:val="20"/>
        </w:rPr>
        <w:t xml:space="preserve"> may need to raise additional capital or debt in the future, which may not be available to us or may only be available on unfavorable terms.</w:t>
      </w:r>
    </w:p>
    <w:p w14:paraId="55566E8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may need to raise additional capital or debt in order to maintain our credit ratings, in response to regulatory </w:t>
      </w:r>
      <w:r>
        <w:rPr>
          <w:rFonts w:ascii="Arial" w:eastAsia="宋体" w:hAnsi="Arial" w:cs="Arial"/>
          <w:sz w:val="20"/>
          <w:szCs w:val="20"/>
        </w:rPr>
        <w:t>changes, including capital rules, or for other purposes, including financing acquisitions and joint ventures. For example, in November 2019 and January 2020, we issued additional long-term debt in order to maintain levels to satisfy our internal requiremen</w:t>
      </w:r>
      <w:r>
        <w:rPr>
          <w:rFonts w:ascii="Arial" w:eastAsia="宋体" w:hAnsi="Arial" w:cs="Arial"/>
          <w:sz w:val="20"/>
          <w:szCs w:val="20"/>
        </w:rPr>
        <w:t xml:space="preserve">ts based on the Federal Reserve’s TLAC final rule, and in September 2018 and July 2018 we issued preferred stock and common stock, respectively, to finance our acquisition of CRD. </w:t>
      </w:r>
    </w:p>
    <w:p w14:paraId="55566E8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However, our ability to access the capital markets, if needed, on a timely </w:t>
      </w:r>
      <w:r>
        <w:rPr>
          <w:rFonts w:ascii="Arial" w:eastAsia="宋体" w:hAnsi="Arial" w:cs="Arial"/>
          <w:sz w:val="20"/>
          <w:szCs w:val="20"/>
        </w:rPr>
        <w:t>basis or at all will depend on a number of factors, such as the state of the financial markets and securities law requirements and standards. In the event of rising interest rates, disruptions in financial markets, negative perceptions of our business or o</w:t>
      </w:r>
      <w:r>
        <w:rPr>
          <w:rFonts w:ascii="Arial" w:eastAsia="宋体" w:hAnsi="Arial" w:cs="Arial"/>
          <w:sz w:val="20"/>
          <w:szCs w:val="20"/>
        </w:rPr>
        <w:t>ur financial strength, or other factors that would increase our cost of borrowing, we cannot be sure of our ability to raise additional capital or debt, if needed, on terms acceptable to us. Any diminished ability to raise additional capital or debt, if ne</w:t>
      </w:r>
      <w:r>
        <w:rPr>
          <w:rFonts w:ascii="Arial" w:eastAsia="宋体" w:hAnsi="Arial" w:cs="Arial"/>
          <w:sz w:val="20"/>
          <w:szCs w:val="20"/>
        </w:rPr>
        <w:t>eded, could adversely affect our business and our ability to implement our business plan, capital plan and strategic goals, including the financing of acquisitions and joint ventures and our efforts to maintain regulatory compliance.</w:t>
      </w:r>
    </w:p>
    <w:p w14:paraId="55566E83"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 xml:space="preserve">Any downgrades in our </w:t>
      </w:r>
      <w:r>
        <w:rPr>
          <w:rFonts w:ascii="Arial" w:eastAsia="宋体" w:hAnsi="Arial" w:cs="Arial"/>
          <w:b/>
          <w:bCs/>
          <w:color w:val="000000"/>
          <w:sz w:val="20"/>
          <w:szCs w:val="20"/>
        </w:rPr>
        <w:t>credit ratings, or an actual or perceived reduction in our financial strength, could adversely affect our borrowing costs, capital costs and liquidity position and cause reputational harm.</w:t>
      </w:r>
    </w:p>
    <w:p w14:paraId="55566E8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Major independent rating agencies publish credit ratings for our de</w:t>
      </w:r>
      <w:r>
        <w:rPr>
          <w:rFonts w:ascii="Arial" w:eastAsia="宋体" w:hAnsi="Arial" w:cs="Arial"/>
          <w:sz w:val="20"/>
          <w:szCs w:val="20"/>
        </w:rPr>
        <w:t>bt obligations based on their evaluation of a number of factors, some of which relate to our performance and other corporate developments, including financings, acquisitions and joint ventures, and some of which relate to general industry conditions. We an</w:t>
      </w:r>
      <w:r>
        <w:rPr>
          <w:rFonts w:ascii="Arial" w:eastAsia="宋体" w:hAnsi="Arial" w:cs="Arial"/>
          <w:sz w:val="20"/>
          <w:szCs w:val="20"/>
        </w:rPr>
        <w:t xml:space="preserve">ticipate that the rating agencies will continue to </w:t>
      </w:r>
    </w:p>
    <w:p w14:paraId="55566E85"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86"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review our ratings regularly based on our consolidated results of operations and developments in our businesses, including regulatory considerations such as resolution planning. One or more of the major</w:t>
      </w:r>
      <w:r>
        <w:rPr>
          <w:rFonts w:ascii="Arial" w:eastAsia="宋体" w:hAnsi="Arial" w:cs="Arial"/>
          <w:sz w:val="20"/>
          <w:szCs w:val="20"/>
        </w:rPr>
        <w:t xml:space="preserve"> independent credit rating agencies have in the past downgraded, and may in the future downgrade, our credit ratings, or have negatively revised their outlook for our credit ratings. The current market and regulatory environment and our exposure to financi</w:t>
      </w:r>
      <w:r>
        <w:rPr>
          <w:rFonts w:ascii="Arial" w:eastAsia="宋体" w:hAnsi="Arial" w:cs="Arial"/>
          <w:sz w:val="20"/>
          <w:szCs w:val="20"/>
        </w:rPr>
        <w:t>al institutions and other counterparties, including sovereign entities, increase the risk that we may not maintain our current ratings, and we cannot provide assurance that we will continue to maintain our current credit ratings. Downgrades in our credit r</w:t>
      </w:r>
      <w:r>
        <w:rPr>
          <w:rFonts w:ascii="Arial" w:eastAsia="宋体" w:hAnsi="Arial" w:cs="Arial"/>
          <w:sz w:val="20"/>
          <w:szCs w:val="20"/>
        </w:rPr>
        <w:t>atings may adversely affect our borrowing costs, our capital costs and our ability to raise capital and, in turn, our liquidity</w:t>
      </w:r>
      <w:r>
        <w:rPr>
          <w:rFonts w:ascii="Times New Roman" w:eastAsia="宋体" w:hAnsi="Times New Roman"/>
          <w:sz w:val="20"/>
          <w:szCs w:val="20"/>
        </w:rPr>
        <w:t xml:space="preserve">. </w:t>
      </w:r>
      <w:r>
        <w:rPr>
          <w:rFonts w:ascii="Arial" w:eastAsia="宋体" w:hAnsi="Arial" w:cs="Arial"/>
          <w:sz w:val="20"/>
          <w:szCs w:val="20"/>
        </w:rPr>
        <w:t>A failure to maintain an acceptable credit rating may also preclude us from being competitive in various products.</w:t>
      </w:r>
    </w:p>
    <w:p w14:paraId="55566E8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Additionally</w:t>
      </w:r>
      <w:r>
        <w:rPr>
          <w:rFonts w:ascii="Arial" w:eastAsia="宋体" w:hAnsi="Arial" w:cs="Arial"/>
          <w:sz w:val="20"/>
          <w:szCs w:val="20"/>
        </w:rPr>
        <w:t>, our counterparties, as well as our clients, rely on our financial strength and stability and evaluate the risks of doing business with us. If we experience diminished financial strength or stability, actual or perceived, due to the effects of market or r</w:t>
      </w:r>
      <w:r>
        <w:rPr>
          <w:rFonts w:ascii="Arial" w:eastAsia="宋体" w:hAnsi="Arial" w:cs="Arial"/>
          <w:sz w:val="20"/>
          <w:szCs w:val="20"/>
        </w:rPr>
        <w:t>egulatory developments, announced or rumored business developments, consolidated results of operations, a decline in our stock price or a downgrade to our credit rating, our counterparties may be less willing to enter into transactions, secured or unsecure</w:t>
      </w:r>
      <w:r>
        <w:rPr>
          <w:rFonts w:ascii="Arial" w:eastAsia="宋体" w:hAnsi="Arial" w:cs="Arial"/>
          <w:sz w:val="20"/>
          <w:szCs w:val="20"/>
        </w:rPr>
        <w:t>d, with us; our clients may reduce or place limits on the level of service we provide to them or seek to transfer the business, in whole or in part, to other service providers; or our prospective clients may select other service providers, all of which may</w:t>
      </w:r>
      <w:r>
        <w:rPr>
          <w:rFonts w:ascii="Arial" w:eastAsia="宋体" w:hAnsi="Arial" w:cs="Arial"/>
          <w:sz w:val="20"/>
          <w:szCs w:val="20"/>
        </w:rPr>
        <w:t xml:space="preserve"> have adverse effects on our business and reputation.</w:t>
      </w:r>
    </w:p>
    <w:p w14:paraId="55566E8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risk that we may be perceived as less creditworthy than other market participants is higher as a result of recent market developments which include an environment in which the </w:t>
      </w:r>
      <w:r>
        <w:rPr>
          <w:rFonts w:ascii="Arial" w:eastAsia="宋体" w:hAnsi="Arial" w:cs="Arial"/>
          <w:sz w:val="20"/>
          <w:szCs w:val="20"/>
        </w:rPr>
        <w:t>consolidation, and in some instances failure, of financial institutions, including major global financial institutions, has resulted in a smaller number of much larger counterparties and competitors. If our counterparties perceive us to be a less viable co</w:t>
      </w:r>
      <w:r>
        <w:rPr>
          <w:rFonts w:ascii="Arial" w:eastAsia="宋体" w:hAnsi="Arial" w:cs="Arial"/>
          <w:sz w:val="20"/>
          <w:szCs w:val="20"/>
        </w:rPr>
        <w:t xml:space="preserve">unterparty, our ability to enter into financial transactions on terms acceptable to us or our clients, on our or our clients' behalf, will be materially compromised. If our clients reduce their deposits with us or select other service providers for all or </w:t>
      </w:r>
      <w:r>
        <w:rPr>
          <w:rFonts w:ascii="Arial" w:eastAsia="宋体" w:hAnsi="Arial" w:cs="Arial"/>
          <w:sz w:val="20"/>
          <w:szCs w:val="20"/>
        </w:rPr>
        <w:t>a portion of the services we provide to them, our revenues will decrease accordingly.</w:t>
      </w:r>
    </w:p>
    <w:p w14:paraId="55566E89"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Operational, Business and Reputational Risks</w:t>
      </w:r>
    </w:p>
    <w:p w14:paraId="55566E8A"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We face extensive and changing government regulation in the U.S. and in non-U.S. jurisdictions in which we operate, which may</w:t>
      </w:r>
      <w:r>
        <w:rPr>
          <w:rFonts w:ascii="Arial" w:eastAsia="宋体" w:hAnsi="Arial" w:cs="Arial"/>
          <w:b/>
          <w:bCs/>
          <w:color w:val="000000"/>
          <w:sz w:val="20"/>
          <w:szCs w:val="20"/>
        </w:rPr>
        <w:t xml:space="preserve"> increase our costs and expose us to risks related to compliance.</w:t>
      </w:r>
    </w:p>
    <w:p w14:paraId="55566E8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Most of our businesses are subject to extensive regulation by multiple regulatory bodies, and many of the clients to which we provide services are themselves </w:t>
      </w:r>
    </w:p>
    <w:p w14:paraId="55566E8C" w14:textId="77777777" w:rsidR="00F925DD" w:rsidRDefault="00F925DD">
      <w:pPr>
        <w:rPr>
          <w:rFonts w:ascii="Times New Roman" w:hAnsi="Times New Roman"/>
          <w:sz w:val="20"/>
          <w:szCs w:val="20"/>
        </w:rPr>
      </w:pPr>
    </w:p>
    <w:p w14:paraId="55566E8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30</w:t>
      </w:r>
    </w:p>
    <w:p w14:paraId="55566E8E" w14:textId="77777777" w:rsidR="00F925DD" w:rsidRDefault="00F925DD">
      <w:pPr>
        <w:spacing w:line="288" w:lineRule="auto"/>
        <w:ind w:firstLine="600"/>
        <w:jc w:val="center"/>
        <w:rPr>
          <w:rFonts w:ascii="Times New Roman" w:hAnsi="Times New Roman"/>
          <w:sz w:val="18"/>
          <w:szCs w:val="18"/>
        </w:rPr>
      </w:pPr>
    </w:p>
    <w:p w14:paraId="55566E8F" w14:textId="77777777" w:rsidR="00F925DD" w:rsidRDefault="00E705D7">
      <w:r>
        <w:rPr>
          <w:rFonts w:ascii="Times New Roman" w:hAnsi="Times New Roman"/>
          <w:sz w:val="18"/>
          <w:szCs w:val="18"/>
        </w:rPr>
        <w:pict w14:anchorId="55570656">
          <v:rect id="_x0000_i1054" style="width:415.3pt;height:1.5pt" o:hralign="center" o:hrstd="t" o:hr="t" fillcolor="#a0a0a0" stroked="f"/>
        </w:pict>
      </w:r>
    </w:p>
    <w:p w14:paraId="55566E90" w14:textId="77777777" w:rsidR="00F925DD" w:rsidRDefault="00F925DD">
      <w:pPr>
        <w:spacing w:line="288" w:lineRule="auto"/>
        <w:ind w:firstLine="600"/>
        <w:rPr>
          <w:rFonts w:ascii="Times New Roman" w:hAnsi="Times New Roman"/>
          <w:sz w:val="18"/>
          <w:szCs w:val="18"/>
        </w:rPr>
      </w:pPr>
    </w:p>
    <w:p w14:paraId="55566E91" w14:textId="77777777" w:rsidR="00F925DD" w:rsidRDefault="00F925DD">
      <w:pPr>
        <w:rPr>
          <w:rFonts w:ascii="Times New Roman" w:hAnsi="Times New Roman"/>
          <w:sz w:val="20"/>
          <w:szCs w:val="20"/>
        </w:rPr>
      </w:pPr>
    </w:p>
    <w:p w14:paraId="55566E9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subject to a broad range of regulatory requirements. These regulations may affect the scope of, and the manner and terms of delivery of, our services. As a financial institution with substantial international operations, we are subject to extensive re</w:t>
      </w:r>
      <w:r>
        <w:rPr>
          <w:rFonts w:ascii="Arial" w:eastAsia="宋体" w:hAnsi="Arial" w:cs="Arial"/>
          <w:sz w:val="20"/>
          <w:szCs w:val="20"/>
        </w:rPr>
        <w:t>gulation and supervisory oversight, both inside and outside of the U.S. This regulation and supervisory oversight affects, among other things, the scope of our activities and client services, our capital and organizational structure, our ability to fund th</w:t>
      </w:r>
      <w:r>
        <w:rPr>
          <w:rFonts w:ascii="Arial" w:eastAsia="宋体" w:hAnsi="Arial" w:cs="Arial"/>
          <w:sz w:val="20"/>
          <w:szCs w:val="20"/>
        </w:rPr>
        <w:t>e operations of our subsidiaries, our lending practices, our dividend policy</w:t>
      </w:r>
      <w:r>
        <w:rPr>
          <w:rFonts w:ascii="Times New Roman" w:eastAsia="宋体" w:hAnsi="Times New Roman"/>
          <w:sz w:val="20"/>
          <w:szCs w:val="20"/>
        </w:rPr>
        <w:t>,</w:t>
      </w:r>
      <w:r>
        <w:rPr>
          <w:rFonts w:ascii="Arial" w:eastAsia="宋体" w:hAnsi="Arial" w:cs="Arial"/>
          <w:sz w:val="20"/>
          <w:szCs w:val="20"/>
        </w:rPr>
        <w:t xml:space="preserve"> our common stock purchase actions, the manner in which we market our services, our acquisition activities and our interactions with foreign regulatory agencies and officials.</w:t>
      </w:r>
    </w:p>
    <w:p w14:paraId="55566E9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w:t>
      </w:r>
      <w:r>
        <w:rPr>
          <w:rFonts w:ascii="Arial" w:eastAsia="宋体" w:hAnsi="Arial" w:cs="Arial"/>
          <w:sz w:val="20"/>
          <w:szCs w:val="20"/>
        </w:rPr>
        <w:t>particular</w:t>
      </w:r>
      <w:r>
        <w:rPr>
          <w:rFonts w:ascii="Times New Roman" w:eastAsia="宋体" w:hAnsi="Times New Roman"/>
          <w:sz w:val="20"/>
          <w:szCs w:val="20"/>
        </w:rPr>
        <w:t>,</w:t>
      </w:r>
      <w:r>
        <w:rPr>
          <w:rFonts w:ascii="Arial" w:eastAsia="宋体" w:hAnsi="Arial" w:cs="Arial"/>
          <w:sz w:val="20"/>
          <w:szCs w:val="20"/>
        </w:rPr>
        <w:t xml:space="preserve"> we are registered with the Federal Reserve as a bank holding company pursuant to the Bank Holding Company Act of 1956. The Bank Holding Company Act generally limits the activities in which we and our non-banking subsidiaries may engage to manag</w:t>
      </w:r>
      <w:r>
        <w:rPr>
          <w:rFonts w:ascii="Arial" w:eastAsia="宋体" w:hAnsi="Arial" w:cs="Arial"/>
          <w:sz w:val="20"/>
          <w:szCs w:val="20"/>
        </w:rPr>
        <w:t xml:space="preserve">ing or controlling banks and to activities considered to be closely related to banking. As a bank holding company that has elected to be treated as a financial holding company under the Bank Holding Company Act, we and some of our non-banking subsidiaries </w:t>
      </w:r>
      <w:r>
        <w:rPr>
          <w:rFonts w:ascii="Arial" w:eastAsia="宋体" w:hAnsi="Arial" w:cs="Arial"/>
          <w:sz w:val="20"/>
          <w:szCs w:val="20"/>
        </w:rPr>
        <w:t>may also engage in a broader range of activities considered to be “financial in nature.” Financial holding company status may be denied if we and our banking subsidiaries do not remain well capitalized and well managed or fail to comply with Community Rein</w:t>
      </w:r>
      <w:r>
        <w:rPr>
          <w:rFonts w:ascii="Arial" w:eastAsia="宋体" w:hAnsi="Arial" w:cs="Arial"/>
          <w:sz w:val="20"/>
          <w:szCs w:val="20"/>
        </w:rPr>
        <w:t>vestment Act obligations. Currently, under the Bank Holding Company Act, we may not be able to engage in new activities or acquire shares or control of other businesses.</w:t>
      </w:r>
    </w:p>
    <w:p w14:paraId="55566E9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U.S. President issued an executive order that sets forth principles for the reform</w:t>
      </w:r>
      <w:r>
        <w:rPr>
          <w:rFonts w:ascii="Arial" w:eastAsia="宋体" w:hAnsi="Arial" w:cs="Arial"/>
          <w:sz w:val="20"/>
          <w:szCs w:val="20"/>
        </w:rPr>
        <w:t xml:space="preserve"> of the federal financial regulatory framework, and, in May 2018, the United States enacted EGRRCPA. The EGRRCPA’s revisions to the U.S. financial regulatory framework, some of which remain subject to further rulemaking, have altered certain laws and regul</w:t>
      </w:r>
      <w:r>
        <w:rPr>
          <w:rFonts w:ascii="Arial" w:eastAsia="宋体" w:hAnsi="Arial" w:cs="Arial"/>
          <w:sz w:val="20"/>
          <w:szCs w:val="20"/>
        </w:rPr>
        <w:t>ations applicable to us and other major financial firms. It is difficult to predict whether there will be any more changes to the regulatory environment or further rebalancing of the post financial crisis framework and what the impact will be on our result</w:t>
      </w:r>
      <w:r>
        <w:rPr>
          <w:rFonts w:ascii="Arial" w:eastAsia="宋体" w:hAnsi="Arial" w:cs="Arial"/>
          <w:sz w:val="20"/>
          <w:szCs w:val="20"/>
        </w:rPr>
        <w:t>s of operations or financial condition, including increased expenses or changes in the demand for our services, or on the U.S.-domestic or global economies or financial markets. We expect that our business will remain subject to extensive regulation and su</w:t>
      </w:r>
      <w:r>
        <w:rPr>
          <w:rFonts w:ascii="Arial" w:eastAsia="宋体" w:hAnsi="Arial" w:cs="Arial"/>
          <w:sz w:val="20"/>
          <w:szCs w:val="20"/>
        </w:rPr>
        <w:t>pervision. Several other aspects of the regulatory environment in which we operate, and related risks, are discussed below</w:t>
      </w:r>
      <w:r>
        <w:rPr>
          <w:rFonts w:ascii="Times New Roman" w:eastAsia="宋体" w:hAnsi="Times New Roman"/>
          <w:sz w:val="20"/>
          <w:szCs w:val="20"/>
        </w:rPr>
        <w:t xml:space="preserve">. </w:t>
      </w:r>
      <w:r>
        <w:rPr>
          <w:rFonts w:ascii="Arial" w:eastAsia="宋体" w:hAnsi="Arial" w:cs="Arial"/>
          <w:sz w:val="20"/>
          <w:szCs w:val="20"/>
        </w:rPr>
        <w:t>Additional information is provided under "Supervision and Regulation” in Business in this Form 10-K.</w:t>
      </w:r>
    </w:p>
    <w:p w14:paraId="55566E95"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Resolution Planning</w:t>
      </w:r>
    </w:p>
    <w:p w14:paraId="55566E9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are required to periodically submit a plan for </w:t>
      </w:r>
    </w:p>
    <w:p w14:paraId="55566E97"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98"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rapid and orderly resolution in the event of material financial distress or failure commonly referred to as a resolution plan or a living will to the Federal Reserve and the FDIC under Section 165(d) of </w:t>
      </w:r>
      <w:r>
        <w:rPr>
          <w:rFonts w:ascii="Arial" w:eastAsia="宋体" w:hAnsi="Arial" w:cs="Arial"/>
          <w:sz w:val="20"/>
          <w:szCs w:val="20"/>
        </w:rPr>
        <w:t xml:space="preserve">the Dodd-Frank Act. Through resolution planning, we seek, in the event of insolvency, to maintain State Street Bank’s role as a key infrastructure provider within the financial system, while minimizing risk to the financial system and maximizing value for </w:t>
      </w:r>
      <w:r>
        <w:rPr>
          <w:rFonts w:ascii="Arial" w:eastAsia="宋体" w:hAnsi="Arial" w:cs="Arial"/>
          <w:sz w:val="20"/>
          <w:szCs w:val="20"/>
        </w:rPr>
        <w:t xml:space="preserve">the benefit of our stakeholders. Significant management attention and resources are required in an effort to meet regulatory expectations with respect to resolution planning. </w:t>
      </w:r>
    </w:p>
    <w:p w14:paraId="55566E9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event of material financial distress or failure, our preferred resolution</w:t>
      </w:r>
      <w:r>
        <w:rPr>
          <w:rFonts w:ascii="Arial" w:eastAsia="宋体" w:hAnsi="Arial" w:cs="Arial"/>
          <w:sz w:val="20"/>
          <w:szCs w:val="20"/>
        </w:rPr>
        <w:t xml:space="preserve"> strategy is the SPOE Strategy. Our resolution plan, including our implementation of the SPOE Strategy with a secured support agreement, involves important risks, including that: (1) the SPOE Strategy and the obligations under the support agreement may res</w:t>
      </w:r>
      <w:r>
        <w:rPr>
          <w:rFonts w:ascii="Arial" w:eastAsia="宋体" w:hAnsi="Arial" w:cs="Arial"/>
          <w:sz w:val="20"/>
          <w:szCs w:val="20"/>
        </w:rPr>
        <w:t>ult in the recapitalization of State Street Bank and the commencement of bankruptcy proceedings by the Parent Company at an earlier stage of financial stress than might otherwise occur without such mechanisms in place; (2) an expected effect of the SPOE St</w:t>
      </w:r>
      <w:r>
        <w:rPr>
          <w:rFonts w:ascii="Arial" w:eastAsia="宋体" w:hAnsi="Arial" w:cs="Arial"/>
          <w:sz w:val="20"/>
          <w:szCs w:val="20"/>
        </w:rPr>
        <w:t>rategy, together with applicable TLAC regulatory requirements, is that our losses will be imposed on Parent Company shareholders and the holders of long-term debt and other forms of TLAC securities currently outstanding or issued in the future by the Paren</w:t>
      </w:r>
      <w:r>
        <w:rPr>
          <w:rFonts w:ascii="Arial" w:eastAsia="宋体" w:hAnsi="Arial" w:cs="Arial"/>
          <w:sz w:val="20"/>
          <w:szCs w:val="20"/>
        </w:rPr>
        <w:t>t Company, as well as on any other Parent Company creditors, before any of our losses are imposed on the holders of the debt securities of State Street Bank or certain of the Parent Company’s other operating subsidiaries or any of their depositors or credi</w:t>
      </w:r>
      <w:r>
        <w:rPr>
          <w:rFonts w:ascii="Arial" w:eastAsia="宋体" w:hAnsi="Arial" w:cs="Arial"/>
          <w:sz w:val="20"/>
          <w:szCs w:val="20"/>
        </w:rPr>
        <w:t>tors or before U.S. taxpayers are put at risk; (3) there can be no assurance that there would be sufficient recapitalization resources available to ensure that State Street Bank and our other material entities are adequately capitalized following the trigg</w:t>
      </w:r>
      <w:r>
        <w:rPr>
          <w:rFonts w:ascii="Arial" w:eastAsia="宋体" w:hAnsi="Arial" w:cs="Arial"/>
          <w:sz w:val="20"/>
          <w:szCs w:val="20"/>
        </w:rPr>
        <w:t>ering of the requirements to provide capital and/or liquidity under the support agreement; and (4) there can be no assurance that credit rating agencies, in response to our resolution plan or the support agreement, will not downgrade, place on negative wat</w:t>
      </w:r>
      <w:r>
        <w:rPr>
          <w:rFonts w:ascii="Arial" w:eastAsia="宋体" w:hAnsi="Arial" w:cs="Arial"/>
          <w:sz w:val="20"/>
          <w:szCs w:val="20"/>
        </w:rPr>
        <w:t>ch or change their outlook on our debt credit ratings, generally or on specific debt securities. Additional information about the SPOE Strategy, including related risks, is provided under "Recovery and Resolution Planning" in Business in this Form 10-K</w:t>
      </w:r>
      <w:r>
        <w:rPr>
          <w:rFonts w:ascii="Arial" w:eastAsia="宋体" w:hAnsi="Arial" w:cs="Arial"/>
          <w:color w:val="0000FF"/>
          <w:sz w:val="20"/>
          <w:szCs w:val="20"/>
        </w:rPr>
        <w:t>.</w:t>
      </w:r>
    </w:p>
    <w:p w14:paraId="55566E9A"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Sy</w:t>
      </w:r>
      <w:r>
        <w:rPr>
          <w:rFonts w:ascii="Arial" w:eastAsia="宋体" w:hAnsi="Arial" w:cs="Arial"/>
          <w:i/>
          <w:iCs/>
          <w:sz w:val="20"/>
          <w:szCs w:val="20"/>
        </w:rPr>
        <w:t>stemic Importance</w:t>
      </w:r>
    </w:p>
    <w:p w14:paraId="55566E9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qualification in the U.S. as a SIFI, and our designation by the Financial Stability Board as a G-SIB, to which certain regulatory capital surcharges may apply, subjects us to incrementally higher capital and prudential requirements, i</w:t>
      </w:r>
      <w:r>
        <w:rPr>
          <w:rFonts w:ascii="Arial" w:eastAsia="宋体" w:hAnsi="Arial" w:cs="Arial"/>
          <w:sz w:val="20"/>
          <w:szCs w:val="20"/>
        </w:rPr>
        <w:t xml:space="preserve">ncreased scrutiny of our activities and potential additional regulatory requirements or heightened regulatory expectations as compared to those applicable to some of the financial institutions with which we compete as a custodian or </w:t>
      </w:r>
    </w:p>
    <w:p w14:paraId="55566E9C" w14:textId="77777777" w:rsidR="00F925DD" w:rsidRDefault="00F925DD">
      <w:pPr>
        <w:rPr>
          <w:rFonts w:ascii="Times New Roman" w:hAnsi="Times New Roman"/>
          <w:sz w:val="20"/>
          <w:szCs w:val="20"/>
        </w:rPr>
      </w:pPr>
    </w:p>
    <w:p w14:paraId="55566E9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w:t>
      </w:r>
      <w:r>
        <w:rPr>
          <w:rFonts w:ascii="Arial" w:eastAsia="宋体" w:hAnsi="Arial" w:cs="Arial"/>
          <w:sz w:val="18"/>
          <w:szCs w:val="18"/>
        </w:rPr>
        <w:t>ion | 31</w:t>
      </w:r>
    </w:p>
    <w:p w14:paraId="55566E9E" w14:textId="77777777" w:rsidR="00F925DD" w:rsidRDefault="00F925DD">
      <w:pPr>
        <w:spacing w:line="288" w:lineRule="auto"/>
        <w:ind w:firstLine="600"/>
        <w:jc w:val="center"/>
        <w:rPr>
          <w:rFonts w:ascii="Times New Roman" w:hAnsi="Times New Roman"/>
          <w:sz w:val="18"/>
          <w:szCs w:val="18"/>
        </w:rPr>
      </w:pPr>
    </w:p>
    <w:p w14:paraId="55566E9F" w14:textId="77777777" w:rsidR="00F925DD" w:rsidRDefault="00E705D7">
      <w:r>
        <w:rPr>
          <w:rFonts w:ascii="Times New Roman" w:hAnsi="Times New Roman"/>
          <w:sz w:val="18"/>
          <w:szCs w:val="18"/>
        </w:rPr>
        <w:pict w14:anchorId="55570657">
          <v:rect id="_x0000_i1055" style="width:415.3pt;height:1.5pt" o:hralign="center" o:hrstd="t" o:hr="t" fillcolor="#a0a0a0" stroked="f"/>
        </w:pict>
      </w:r>
    </w:p>
    <w:p w14:paraId="55566EA0" w14:textId="77777777" w:rsidR="00F925DD" w:rsidRDefault="00F925DD">
      <w:pPr>
        <w:spacing w:line="288" w:lineRule="auto"/>
        <w:ind w:firstLine="600"/>
        <w:rPr>
          <w:rFonts w:ascii="Times New Roman" w:hAnsi="Times New Roman"/>
          <w:sz w:val="18"/>
          <w:szCs w:val="18"/>
        </w:rPr>
      </w:pPr>
    </w:p>
    <w:p w14:paraId="55566EA1" w14:textId="77777777" w:rsidR="00F925DD" w:rsidRDefault="00F925DD">
      <w:pPr>
        <w:rPr>
          <w:rFonts w:ascii="Times New Roman" w:hAnsi="Times New Roman"/>
          <w:sz w:val="20"/>
          <w:szCs w:val="20"/>
        </w:rPr>
      </w:pPr>
    </w:p>
    <w:p w14:paraId="55566EA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asset manager</w:t>
      </w:r>
      <w:r>
        <w:rPr>
          <w:rFonts w:ascii="Times New Roman" w:eastAsia="宋体" w:hAnsi="Times New Roman"/>
          <w:sz w:val="20"/>
          <w:szCs w:val="20"/>
        </w:rPr>
        <w:t xml:space="preserve">. </w:t>
      </w:r>
      <w:r>
        <w:rPr>
          <w:rFonts w:ascii="Arial" w:eastAsia="宋体" w:hAnsi="Arial" w:cs="Arial"/>
          <w:sz w:val="20"/>
          <w:szCs w:val="20"/>
        </w:rPr>
        <w:t xml:space="preserve">This qualification and designation also has significantly increased, and may continue to increase, our expenses associated with regulatory compliance, including personnel and systems, as well as implementation and </w:t>
      </w:r>
      <w:r>
        <w:rPr>
          <w:rFonts w:ascii="Arial" w:eastAsia="宋体" w:hAnsi="Arial" w:cs="Arial"/>
          <w:sz w:val="20"/>
          <w:szCs w:val="20"/>
        </w:rPr>
        <w:t>related costs to enhance our programs.</w:t>
      </w:r>
    </w:p>
    <w:p w14:paraId="55566EA3"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Global and Non-U.S. Regulatory Requirements</w:t>
      </w:r>
    </w:p>
    <w:p w14:paraId="55566EA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breadth of our business activities, together with the scope of our global operations and varying business practices in relevant jurisdictions, increase the complexity an</w:t>
      </w:r>
      <w:r>
        <w:rPr>
          <w:rFonts w:ascii="Arial" w:eastAsia="宋体" w:hAnsi="Arial" w:cs="Arial"/>
          <w:sz w:val="20"/>
          <w:szCs w:val="20"/>
        </w:rPr>
        <w:t>d costs of meeting our regulatory compliance obligations, including in areas that are receiving significant regulatory scrutiny</w:t>
      </w:r>
      <w:r>
        <w:rPr>
          <w:rFonts w:ascii="Times New Roman" w:eastAsia="宋体" w:hAnsi="Times New Roman"/>
          <w:sz w:val="20"/>
          <w:szCs w:val="20"/>
        </w:rPr>
        <w:t xml:space="preserve">. </w:t>
      </w:r>
      <w:r>
        <w:rPr>
          <w:rFonts w:ascii="Arial" w:eastAsia="宋体" w:hAnsi="Arial" w:cs="Arial"/>
          <w:sz w:val="20"/>
          <w:szCs w:val="20"/>
        </w:rPr>
        <w:t>We are, therefore, subject to related risks of non-compliance, including fines, penalties, lawsuits, regulatory sanctions, diff</w:t>
      </w:r>
      <w:r>
        <w:rPr>
          <w:rFonts w:ascii="Arial" w:eastAsia="宋体" w:hAnsi="Arial" w:cs="Arial"/>
          <w:sz w:val="20"/>
          <w:szCs w:val="20"/>
        </w:rPr>
        <w:t>iculties in obtaining governmental approvals, limitations on our business activities or reputational harm, any of which may be significant. For example, the global nature of our client base requires us to comply with complex laws and regulations of multipl</w:t>
      </w:r>
      <w:r>
        <w:rPr>
          <w:rFonts w:ascii="Arial" w:eastAsia="宋体" w:hAnsi="Arial" w:cs="Arial"/>
          <w:sz w:val="20"/>
          <w:szCs w:val="20"/>
        </w:rPr>
        <w:t xml:space="preserve">e jurisdictions relating to economic sanctions and money laundering. In addition, we are required to comply not only with the U.S. Foreign Corrupt Practices Act, but also with the applicable anti-corruption laws of other jurisdictions in which we operate. </w:t>
      </w:r>
      <w:r>
        <w:rPr>
          <w:rFonts w:ascii="Arial" w:eastAsia="宋体" w:hAnsi="Arial" w:cs="Arial"/>
          <w:sz w:val="20"/>
          <w:szCs w:val="20"/>
        </w:rPr>
        <w:t>Further, our global operating model requires that we comply with information security, resiliency and outsourcing oversight requirements, including with respect to affiliated entities, of multiple jurisdictions and enable our clients to comply with informa</w:t>
      </w:r>
      <w:r>
        <w:rPr>
          <w:rFonts w:ascii="Arial" w:eastAsia="宋体" w:hAnsi="Arial" w:cs="Arial"/>
          <w:sz w:val="20"/>
          <w:szCs w:val="20"/>
        </w:rPr>
        <w:t>tion security, resiliency and outsourcing oversight requirements imposed upon them. Regulatory scrutiny of compliance with these and other laws and regulations is increasing and may, in some respects, impede the implementation of our global operating model</w:t>
      </w:r>
      <w:r>
        <w:rPr>
          <w:rFonts w:ascii="Arial" w:eastAsia="宋体" w:hAnsi="Arial" w:cs="Arial"/>
          <w:sz w:val="20"/>
          <w:szCs w:val="20"/>
        </w:rPr>
        <w:t xml:space="preserve"> that is central to both delivery of client service requirements and cost efficiency. We sometimes face inconsistent laws and regulations across the various jurisdictions in which we operate. The evolving regulatory landscape may interfere with our ability</w:t>
      </w:r>
      <w:r>
        <w:rPr>
          <w:rFonts w:ascii="Arial" w:eastAsia="宋体" w:hAnsi="Arial" w:cs="Arial"/>
          <w:sz w:val="20"/>
          <w:szCs w:val="20"/>
        </w:rPr>
        <w:t xml:space="preserve"> to conduct our operations, with our pursuit of a common global operating model or with our ability to compete effectively with other financial institutions operating in those jurisdictions or which may be subject to different regulatory requirements than </w:t>
      </w:r>
      <w:r>
        <w:rPr>
          <w:rFonts w:ascii="Arial" w:eastAsia="宋体" w:hAnsi="Arial" w:cs="Arial"/>
          <w:sz w:val="20"/>
          <w:szCs w:val="20"/>
        </w:rPr>
        <w:t>apply to us. In particular</w:t>
      </w:r>
      <w:r>
        <w:rPr>
          <w:rFonts w:ascii="Times New Roman" w:eastAsia="宋体" w:hAnsi="Times New Roman"/>
          <w:sz w:val="20"/>
          <w:szCs w:val="20"/>
        </w:rPr>
        <w:t>,</w:t>
      </w:r>
      <w:r>
        <w:rPr>
          <w:rFonts w:ascii="Arial" w:eastAsia="宋体" w:hAnsi="Arial" w:cs="Arial"/>
          <w:sz w:val="20"/>
          <w:szCs w:val="20"/>
        </w:rPr>
        <w:t xml:space="preserve"> non-U.S. regulations and initiatives that may be inconsistent or conflict with current or proposed regulations in the U.S. could create increased compliance and other costs that would adversely affect our business, operations or</w:t>
      </w:r>
      <w:r>
        <w:rPr>
          <w:rFonts w:ascii="Arial" w:eastAsia="宋体" w:hAnsi="Arial" w:cs="Arial"/>
          <w:sz w:val="20"/>
          <w:szCs w:val="20"/>
        </w:rPr>
        <w:t xml:space="preserve"> profitability</w:t>
      </w:r>
      <w:r>
        <w:rPr>
          <w:rFonts w:ascii="Times New Roman" w:eastAsia="宋体" w:hAnsi="Times New Roman"/>
          <w:sz w:val="20"/>
          <w:szCs w:val="20"/>
        </w:rPr>
        <w:t xml:space="preserve">. </w:t>
      </w:r>
      <w:r>
        <w:rPr>
          <w:rFonts w:ascii="Arial" w:eastAsia="宋体" w:hAnsi="Arial" w:cs="Arial"/>
          <w:sz w:val="20"/>
          <w:szCs w:val="20"/>
        </w:rPr>
        <w:t>Geopolitical events such as the U.K.’s planned exit from the European Union also have the potential to increase the complexity and cost of regulatory compliance.</w:t>
      </w:r>
    </w:p>
    <w:p w14:paraId="55566EA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to U.S. regulatory initiatives, we are further affected by non-U.S</w:t>
      </w:r>
      <w:r>
        <w:rPr>
          <w:rFonts w:ascii="Arial" w:eastAsia="宋体" w:hAnsi="Arial" w:cs="Arial"/>
          <w:sz w:val="20"/>
          <w:szCs w:val="20"/>
        </w:rPr>
        <w:t xml:space="preserve">. regulatory initiatives, including the Risk Reduction Package, the Investment Firm Review, the Central Securities Depositories Regulation, the Shareholder Rights Directive and the Securities Financing Transactions Regulation. Recent, </w:t>
      </w:r>
    </w:p>
    <w:p w14:paraId="55566EA6"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A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proposed or potent</w:t>
      </w:r>
      <w:r>
        <w:rPr>
          <w:rFonts w:ascii="Arial" w:eastAsia="宋体" w:hAnsi="Arial" w:cs="Arial"/>
          <w:sz w:val="20"/>
          <w:szCs w:val="20"/>
        </w:rPr>
        <w:t>ial regulations in the U.S. and E.U. with respect to short-term wholesale funding, such as repurchase agreements or securities lending, or other non-bank finance activities, could also adversely affect not only our own operations but also the operations of</w:t>
      </w:r>
      <w:r>
        <w:rPr>
          <w:rFonts w:ascii="Arial" w:eastAsia="宋体" w:hAnsi="Arial" w:cs="Arial"/>
          <w:sz w:val="20"/>
          <w:szCs w:val="20"/>
        </w:rPr>
        <w:t xml:space="preserve"> the clients to which we provide services. In addition, anti-competitive, voting power, governance and other concerns with passive investment strategies continue to be the subject of legislative and regulatory debate which could significantly impact both o</w:t>
      </w:r>
      <w:r>
        <w:rPr>
          <w:rFonts w:ascii="Arial" w:eastAsia="宋体" w:hAnsi="Arial" w:cs="Arial"/>
          <w:sz w:val="20"/>
          <w:szCs w:val="20"/>
        </w:rPr>
        <w:t>ur asset management business and the clients that we service.</w:t>
      </w:r>
    </w:p>
    <w:p w14:paraId="55566EA8"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Consequences of Regulatory Environment and Compliance Risks</w:t>
      </w:r>
    </w:p>
    <w:p w14:paraId="55566EA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Domestic and international regulatory reform could limit our ability to pursue certain business opportunities, increase our regulatory</w:t>
      </w:r>
      <w:r>
        <w:rPr>
          <w:rFonts w:ascii="Arial" w:eastAsia="宋体" w:hAnsi="Arial" w:cs="Arial"/>
          <w:sz w:val="20"/>
          <w:szCs w:val="20"/>
        </w:rPr>
        <w:t xml:space="preserve"> capital requirements, alter the risk profile of certain of our core activities and impose additional costs on us, otherwise adversely affect our business, our consolidated results of operations or financial condition and have other negative consequences, </w:t>
      </w:r>
      <w:r>
        <w:rPr>
          <w:rFonts w:ascii="Arial" w:eastAsia="宋体" w:hAnsi="Arial" w:cs="Arial"/>
          <w:sz w:val="20"/>
          <w:szCs w:val="20"/>
        </w:rPr>
        <w:t>including, a reduction of our credit ratings. Different countries may respond to the market and economic environment in different and potentially conflicting manners, which could increase the cost of compliance for us.</w:t>
      </w:r>
    </w:p>
    <w:p w14:paraId="55566EA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evolving regulatory environment, </w:t>
      </w:r>
      <w:r>
        <w:rPr>
          <w:rFonts w:ascii="Arial" w:eastAsia="宋体" w:hAnsi="Arial" w:cs="Arial"/>
          <w:sz w:val="20"/>
          <w:szCs w:val="20"/>
        </w:rPr>
        <w:t>including changes to existing regulations and the introduction of new regulations, may also contribute to decisions we may make to suspend, reduce or withdraw from existing businesses, activities, markets or initiatives. In addition to potential lost reven</w:t>
      </w:r>
      <w:r>
        <w:rPr>
          <w:rFonts w:ascii="Arial" w:eastAsia="宋体" w:hAnsi="Arial" w:cs="Arial"/>
          <w:sz w:val="20"/>
          <w:szCs w:val="20"/>
        </w:rPr>
        <w:t>ue associated with any such suspensions, reductions or withdrawals, any such suspensions, reductions or withdrawals may result in significant restructuring or related costs or exposures.</w:t>
      </w:r>
    </w:p>
    <w:p w14:paraId="55566EA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If we do not comply with governmental regulations, we may be subject </w:t>
      </w:r>
      <w:r>
        <w:rPr>
          <w:rFonts w:ascii="Arial" w:eastAsia="宋体" w:hAnsi="Arial" w:cs="Arial"/>
          <w:sz w:val="20"/>
          <w:szCs w:val="20"/>
        </w:rPr>
        <w:t>to fines, penalties, lawsuits, delays, or difficulties in obtaining regulatory approvals or restrictions on our business activities or harm to our reputation, which may significantly and adversely affect our business operations and, in turn, our consolidat</w:t>
      </w:r>
      <w:r>
        <w:rPr>
          <w:rFonts w:ascii="Arial" w:eastAsia="宋体" w:hAnsi="Arial" w:cs="Arial"/>
          <w:sz w:val="20"/>
          <w:szCs w:val="20"/>
        </w:rPr>
        <w:t>ed results of operations. The willingness of regulatory authorities to impose meaningful sanctions, and the level of fines and penalties imposed in connection with regulatory violations, have increased substantially since the financial crisis. Regulatory a</w:t>
      </w:r>
      <w:r>
        <w:rPr>
          <w:rFonts w:ascii="Arial" w:eastAsia="宋体" w:hAnsi="Arial" w:cs="Arial"/>
          <w:sz w:val="20"/>
          <w:szCs w:val="20"/>
        </w:rPr>
        <w:t>gencies may</w:t>
      </w:r>
      <w:r>
        <w:rPr>
          <w:rFonts w:ascii="Times New Roman" w:eastAsia="宋体" w:hAnsi="Times New Roman"/>
          <w:sz w:val="20"/>
          <w:szCs w:val="20"/>
        </w:rPr>
        <w:t>,</w:t>
      </w:r>
      <w:r>
        <w:rPr>
          <w:rFonts w:ascii="Arial" w:eastAsia="宋体" w:hAnsi="Arial" w:cs="Arial"/>
          <w:sz w:val="20"/>
          <w:szCs w:val="20"/>
        </w:rPr>
        <w:t xml:space="preserve"> at times, limit our ability to disclose their findings, related actions or remedial measures. Similarly</w:t>
      </w:r>
      <w:r>
        <w:rPr>
          <w:rFonts w:ascii="Times New Roman" w:eastAsia="宋体" w:hAnsi="Times New Roman"/>
          <w:sz w:val="20"/>
          <w:szCs w:val="20"/>
        </w:rPr>
        <w:t>,</w:t>
      </w:r>
      <w:r>
        <w:rPr>
          <w:rFonts w:ascii="Arial" w:eastAsia="宋体" w:hAnsi="Arial" w:cs="Arial"/>
          <w:sz w:val="20"/>
          <w:szCs w:val="20"/>
        </w:rPr>
        <w:t xml:space="preserve"> many of our clients are subject to significant regulatory requirements and retain our services in order for us to assist them in complying with those legal requirements. Changes in these regulations can significantly affect the services that we are asked </w:t>
      </w:r>
      <w:r>
        <w:rPr>
          <w:rFonts w:ascii="Arial" w:eastAsia="宋体" w:hAnsi="Arial" w:cs="Arial"/>
          <w:sz w:val="20"/>
          <w:szCs w:val="20"/>
        </w:rPr>
        <w:t>to provide, as well as our costs.</w:t>
      </w:r>
    </w:p>
    <w:p w14:paraId="55566EA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Adverse publicity and damage to our reputation arising from the failure or perceived failure to comply with legal, regulatory or contractual requirements could affect our ability to attract and retain clients. If we cause </w:t>
      </w:r>
      <w:r>
        <w:rPr>
          <w:rFonts w:ascii="Arial" w:eastAsia="宋体" w:hAnsi="Arial" w:cs="Arial"/>
          <w:sz w:val="20"/>
          <w:szCs w:val="20"/>
        </w:rPr>
        <w:t xml:space="preserve">clients to fail to comply with any regulatory </w:t>
      </w:r>
    </w:p>
    <w:p w14:paraId="55566EAD" w14:textId="77777777" w:rsidR="00F925DD" w:rsidRDefault="00F925DD">
      <w:pPr>
        <w:rPr>
          <w:rFonts w:ascii="Times New Roman" w:hAnsi="Times New Roman"/>
          <w:sz w:val="20"/>
          <w:szCs w:val="20"/>
        </w:rPr>
      </w:pPr>
    </w:p>
    <w:p w14:paraId="55566EA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32</w:t>
      </w:r>
    </w:p>
    <w:p w14:paraId="55566EAF" w14:textId="77777777" w:rsidR="00F925DD" w:rsidRDefault="00F925DD">
      <w:pPr>
        <w:spacing w:line="288" w:lineRule="auto"/>
        <w:ind w:firstLine="600"/>
        <w:jc w:val="center"/>
        <w:rPr>
          <w:rFonts w:ascii="Times New Roman" w:hAnsi="Times New Roman"/>
          <w:sz w:val="18"/>
          <w:szCs w:val="18"/>
        </w:rPr>
      </w:pPr>
    </w:p>
    <w:p w14:paraId="55566EB0" w14:textId="77777777" w:rsidR="00F925DD" w:rsidRDefault="00E705D7">
      <w:r>
        <w:rPr>
          <w:rFonts w:ascii="Times New Roman" w:hAnsi="Times New Roman"/>
          <w:sz w:val="18"/>
          <w:szCs w:val="18"/>
        </w:rPr>
        <w:pict w14:anchorId="55570658">
          <v:rect id="_x0000_i1056" style="width:415.3pt;height:1.5pt" o:hralign="center" o:hrstd="t" o:hr="t" fillcolor="#a0a0a0" stroked="f"/>
        </w:pict>
      </w:r>
    </w:p>
    <w:p w14:paraId="55566EB1" w14:textId="77777777" w:rsidR="00F925DD" w:rsidRDefault="00F925DD">
      <w:pPr>
        <w:spacing w:line="288" w:lineRule="auto"/>
        <w:ind w:firstLine="600"/>
        <w:rPr>
          <w:rFonts w:ascii="Times New Roman" w:hAnsi="Times New Roman"/>
          <w:sz w:val="18"/>
          <w:szCs w:val="18"/>
        </w:rPr>
      </w:pPr>
    </w:p>
    <w:p w14:paraId="55566EB2" w14:textId="77777777" w:rsidR="00F925DD" w:rsidRDefault="00F925DD">
      <w:pPr>
        <w:rPr>
          <w:rFonts w:ascii="Times New Roman" w:hAnsi="Times New Roman"/>
          <w:sz w:val="20"/>
          <w:szCs w:val="20"/>
        </w:rPr>
      </w:pPr>
    </w:p>
    <w:p w14:paraId="55566EB3"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requirements, we may be liable to them for losses and expenses that they incur</w:t>
      </w:r>
      <w:r>
        <w:rPr>
          <w:rFonts w:ascii="Times New Roman" w:eastAsia="宋体" w:hAnsi="Times New Roman"/>
          <w:sz w:val="20"/>
          <w:szCs w:val="20"/>
        </w:rPr>
        <w:t xml:space="preserve">. </w:t>
      </w:r>
      <w:r>
        <w:rPr>
          <w:rFonts w:ascii="Arial" w:eastAsia="宋体" w:hAnsi="Arial" w:cs="Arial"/>
          <w:sz w:val="20"/>
          <w:szCs w:val="20"/>
        </w:rPr>
        <w:t>In recent years, regulatory oversight and enforcement have increased substantially</w:t>
      </w:r>
      <w:r>
        <w:rPr>
          <w:rFonts w:ascii="Times New Roman" w:eastAsia="宋体" w:hAnsi="Times New Roman"/>
          <w:sz w:val="20"/>
          <w:szCs w:val="20"/>
        </w:rPr>
        <w:t>,</w:t>
      </w:r>
      <w:r>
        <w:rPr>
          <w:rFonts w:ascii="Arial" w:eastAsia="宋体" w:hAnsi="Arial" w:cs="Arial"/>
          <w:sz w:val="20"/>
          <w:szCs w:val="20"/>
        </w:rPr>
        <w:t xml:space="preserve"> imposing </w:t>
      </w:r>
      <w:r>
        <w:rPr>
          <w:rFonts w:ascii="Arial" w:eastAsia="宋体" w:hAnsi="Arial" w:cs="Arial"/>
          <w:sz w:val="20"/>
          <w:szCs w:val="20"/>
        </w:rPr>
        <w:t>additional costs and increasing the potential risks associated with our operations. If this regulatory trend continues, it could continue to adversely affect our operations and, in turn, our consolidated results of operations and financial condition.</w:t>
      </w:r>
    </w:p>
    <w:p w14:paraId="55566EB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a</w:t>
      </w:r>
      <w:r>
        <w:rPr>
          <w:rFonts w:ascii="Arial" w:eastAsia="宋体" w:hAnsi="Arial" w:cs="Arial"/>
          <w:sz w:val="20"/>
          <w:szCs w:val="20"/>
        </w:rPr>
        <w:t>dditional information, see the risk factor</w:t>
      </w:r>
      <w:r>
        <w:rPr>
          <w:rFonts w:ascii="Times New Roman" w:eastAsia="宋体" w:hAnsi="Times New Roman"/>
          <w:sz w:val="20"/>
          <w:szCs w:val="20"/>
        </w:rPr>
        <w:t>,</w:t>
      </w:r>
      <w:r>
        <w:rPr>
          <w:rFonts w:ascii="Arial" w:eastAsia="宋体" w:hAnsi="Arial" w:cs="Arial"/>
          <w:sz w:val="20"/>
          <w:szCs w:val="20"/>
        </w:rPr>
        <w:t xml:space="preserve"> </w:t>
      </w:r>
      <w:r>
        <w:rPr>
          <w:rFonts w:ascii="Arial" w:eastAsia="宋体" w:hAnsi="Arial" w:cs="Arial"/>
          <w:i/>
          <w:iCs/>
          <w:sz w:val="20"/>
          <w:szCs w:val="20"/>
        </w:rPr>
        <w:t>“Our businesses may be adversely affected by government enforcement and litigation.”</w:t>
      </w:r>
    </w:p>
    <w:p w14:paraId="55566EB5"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Any failures of or damage to, attack on or unauthorized access to our information technology systems or facilities or disruptio</w:t>
      </w:r>
      <w:r>
        <w:rPr>
          <w:rFonts w:ascii="Arial" w:eastAsia="宋体" w:hAnsi="Arial" w:cs="Arial"/>
          <w:b/>
          <w:bCs/>
          <w:color w:val="000000"/>
          <w:sz w:val="20"/>
          <w:szCs w:val="20"/>
        </w:rPr>
        <w:t>ns to our continuous operations, including the systems, facilities or operations</w:t>
      </w:r>
      <w:r>
        <w:rPr>
          <w:rFonts w:ascii="Arial" w:eastAsia="宋体" w:hAnsi="Arial" w:cs="Arial"/>
          <w:b/>
          <w:bCs/>
          <w:sz w:val="20"/>
          <w:szCs w:val="20"/>
        </w:rPr>
        <w:t xml:space="preserve"> of third parties with which we do business, such as resulting from cyber-attacks, could result in significant limits on our ability to conduct our business activities, costs a</w:t>
      </w:r>
      <w:r>
        <w:rPr>
          <w:rFonts w:ascii="Arial" w:eastAsia="宋体" w:hAnsi="Arial" w:cs="Arial"/>
          <w:b/>
          <w:bCs/>
          <w:sz w:val="20"/>
          <w:szCs w:val="20"/>
        </w:rPr>
        <w:t>nd reputational damage.</w:t>
      </w:r>
    </w:p>
    <w:p w14:paraId="55566EB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businesses depend on information technology infrastructure, both internal and external, to, among other things, record and process a large volume of increasingly complex transactions and other data, in many </w:t>
      </w:r>
      <w:r>
        <w:rPr>
          <w:rFonts w:ascii="Arial" w:eastAsia="宋体" w:hAnsi="Arial" w:cs="Arial"/>
          <w:sz w:val="20"/>
          <w:szCs w:val="20"/>
        </w:rPr>
        <w:t>currencies, on a daily basis, across numerous and diverse markets and jurisdictions and to maintain that data securely. In recent years, several financial services firms have suffered successful cyber-attacks launched both domestically and from abroad, res</w:t>
      </w:r>
      <w:r>
        <w:rPr>
          <w:rFonts w:ascii="Arial" w:eastAsia="宋体" w:hAnsi="Arial" w:cs="Arial"/>
          <w:sz w:val="20"/>
          <w:szCs w:val="20"/>
        </w:rPr>
        <w:t>ulting in the disruption of services to clients, loss or misappropriation of sensitive or private data and reputational harm. We also have been subjected to cyber-attacks, and although we have not to our knowledge suffered a material breach or suspension o</w:t>
      </w:r>
      <w:r>
        <w:rPr>
          <w:rFonts w:ascii="Arial" w:eastAsia="宋体" w:hAnsi="Arial" w:cs="Arial"/>
          <w:sz w:val="20"/>
          <w:szCs w:val="20"/>
        </w:rPr>
        <w:t xml:space="preserve">f our systems, it is possible that we could suffer such a breach or suspension in the future (or that we may be unaware of a prior attack). Cyber-threats are sophisticated and continually evolving. We may not implement effective systems and other measures </w:t>
      </w:r>
      <w:r>
        <w:rPr>
          <w:rFonts w:ascii="Arial" w:eastAsia="宋体" w:hAnsi="Arial" w:cs="Arial"/>
          <w:sz w:val="20"/>
          <w:szCs w:val="20"/>
        </w:rPr>
        <w:t>to effectively identify, detect, prevent, mitigate, recover from or remediate the full diversity of cyber-threats or improve and adapt such systems and measures as such threats evolve and advance.</w:t>
      </w:r>
    </w:p>
    <w:p w14:paraId="55566EB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 cyber-security incident, or a failure to protect our tech</w:t>
      </w:r>
      <w:r>
        <w:rPr>
          <w:rFonts w:ascii="Arial" w:eastAsia="宋体" w:hAnsi="Arial" w:cs="Arial"/>
          <w:sz w:val="20"/>
          <w:szCs w:val="20"/>
        </w:rPr>
        <w:t>nology infrastructure, systems and information and our clients and others' information against cyber-security threats, could result in the theft, loss, unauthorized access to, disclosure, misuse or alteration of information, system failures or outages or l</w:t>
      </w:r>
      <w:r>
        <w:rPr>
          <w:rFonts w:ascii="Arial" w:eastAsia="宋体" w:hAnsi="Arial" w:cs="Arial"/>
          <w:sz w:val="20"/>
          <w:szCs w:val="20"/>
        </w:rPr>
        <w:t>oss of access to information. The expectations of our clients and regulators with respect to the resiliency of our systems and the adequacy of our control environment with respect to such systems has and is expected to increase as the risk of cyber-attacks</w:t>
      </w:r>
      <w:r>
        <w:rPr>
          <w:rFonts w:ascii="Arial" w:eastAsia="宋体" w:hAnsi="Arial" w:cs="Arial"/>
          <w:sz w:val="20"/>
          <w:szCs w:val="20"/>
        </w:rPr>
        <w:t xml:space="preserve"> and the consequences of those attacks become more pronounced. We may not be successful in meeting those expectations or in our efforts to identify, detect, </w:t>
      </w:r>
    </w:p>
    <w:p w14:paraId="55566EB8"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B9"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prevent, mitigate and respond to such cyber-incidents or for our systems to recover in a manner </w:t>
      </w:r>
      <w:r>
        <w:rPr>
          <w:rFonts w:ascii="Arial" w:eastAsia="宋体" w:hAnsi="Arial" w:cs="Arial"/>
          <w:sz w:val="20"/>
          <w:szCs w:val="20"/>
        </w:rPr>
        <w:t>that does not disrupt our ability to provide services to our clients. The failure to maintain an adequate technology infrastructure and applications with effective cyber-security controls could impact operations, adversely affect our financial results, res</w:t>
      </w:r>
      <w:r>
        <w:rPr>
          <w:rFonts w:ascii="Arial" w:eastAsia="宋体" w:hAnsi="Arial" w:cs="Arial"/>
          <w:sz w:val="20"/>
          <w:szCs w:val="20"/>
        </w:rPr>
        <w:t>ult in loss of business, damage our reputation or impact our ability to comply with regulatory obligations, leading to regulatory fines and sanctions. We may be required to expend significant additional resources to modify, investigate or remediate vulnera</w:t>
      </w:r>
      <w:r>
        <w:rPr>
          <w:rFonts w:ascii="Arial" w:eastAsia="宋体" w:hAnsi="Arial" w:cs="Arial"/>
          <w:sz w:val="20"/>
          <w:szCs w:val="20"/>
        </w:rPr>
        <w:t>bilities or other exposures arising from cyber-security threats.</w:t>
      </w:r>
    </w:p>
    <w:p w14:paraId="55566EB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computer</w:t>
      </w:r>
      <w:r>
        <w:rPr>
          <w:rFonts w:ascii="Times New Roman" w:eastAsia="宋体" w:hAnsi="Times New Roman"/>
          <w:sz w:val="20"/>
          <w:szCs w:val="20"/>
        </w:rPr>
        <w:t>,</w:t>
      </w:r>
      <w:r>
        <w:rPr>
          <w:rFonts w:ascii="Arial" w:eastAsia="宋体" w:hAnsi="Arial" w:cs="Arial"/>
          <w:sz w:val="20"/>
          <w:szCs w:val="20"/>
        </w:rPr>
        <w:t> communications, data processing, networks, backup, business continuity, disaster recovery or other operating, information or technology systems, facilities and activities have s</w:t>
      </w:r>
      <w:r>
        <w:rPr>
          <w:rFonts w:ascii="Arial" w:eastAsia="宋体" w:hAnsi="Arial" w:cs="Arial"/>
          <w:sz w:val="20"/>
          <w:szCs w:val="20"/>
        </w:rPr>
        <w:t>uffered and in the future may suffer disruptions or otherwise fail to operate properly or become disabled, overloaded or damaged as a result of a number of factors, including events that are wholly or partially beyond our control, which can adversely affec</w:t>
      </w:r>
      <w:r>
        <w:rPr>
          <w:rFonts w:ascii="Arial" w:eastAsia="宋体" w:hAnsi="Arial" w:cs="Arial"/>
          <w:sz w:val="20"/>
          <w:szCs w:val="20"/>
        </w:rPr>
        <w:t>t our ability to process transactions, provide services or maintain systems availability</w:t>
      </w:r>
      <w:r>
        <w:rPr>
          <w:rFonts w:ascii="Times New Roman" w:eastAsia="宋体" w:hAnsi="Times New Roman"/>
          <w:sz w:val="20"/>
          <w:szCs w:val="20"/>
        </w:rPr>
        <w:t xml:space="preserve">, </w:t>
      </w:r>
      <w:r>
        <w:rPr>
          <w:rFonts w:ascii="Arial" w:eastAsia="宋体" w:hAnsi="Arial" w:cs="Arial"/>
          <w:sz w:val="20"/>
          <w:szCs w:val="20"/>
        </w:rPr>
        <w:t>maintain information security, compliance and internal controls or otherwise appropriately conduct our business activities. For example, in addition to cyber-attacks,</w:t>
      </w:r>
      <w:r>
        <w:rPr>
          <w:rFonts w:ascii="Arial" w:eastAsia="宋体" w:hAnsi="Arial" w:cs="Arial"/>
          <w:sz w:val="20"/>
          <w:szCs w:val="20"/>
        </w:rPr>
        <w:t xml:space="preserve"> there could be sudden increases in transaction or data volumes, electrical or telecommunications outages, natural disasters, or employee or contractor error or malfeasance. Third parties may also attempt to place individuals within State Street or fraudul</w:t>
      </w:r>
      <w:r>
        <w:rPr>
          <w:rFonts w:ascii="Arial" w:eastAsia="宋体" w:hAnsi="Arial" w:cs="Arial"/>
          <w:sz w:val="20"/>
          <w:szCs w:val="20"/>
        </w:rPr>
        <w:t>ently induce employees, vendors, clients or other users of our systems to disclose sensitive information in order to gain access to our data or that of our clients or other parties. Any such disruptions or failures may require us, among other things, to re</w:t>
      </w:r>
      <w:r>
        <w:rPr>
          <w:rFonts w:ascii="Arial" w:eastAsia="宋体" w:hAnsi="Arial" w:cs="Arial"/>
          <w:sz w:val="20"/>
          <w:szCs w:val="20"/>
        </w:rPr>
        <w:t>construct lost data (which may not be possible), reimburse our clients' costs associated with such disruption or failure, result in loss of client business or damage our information technology infrastructure or systems or those of our clients or other part</w:t>
      </w:r>
      <w:r>
        <w:rPr>
          <w:rFonts w:ascii="Arial" w:eastAsia="宋体" w:hAnsi="Arial" w:cs="Arial"/>
          <w:sz w:val="20"/>
          <w:szCs w:val="20"/>
        </w:rPr>
        <w:t>ies. While we have not in the past suffered material harm or other adverse effects from such disruptions or failures, we may not successfully prevent, respond to or recover from such disruptions or failures in the future, and any such disruption or failure</w:t>
      </w:r>
      <w:r>
        <w:rPr>
          <w:rFonts w:ascii="Arial" w:eastAsia="宋体" w:hAnsi="Arial" w:cs="Arial"/>
          <w:sz w:val="20"/>
          <w:szCs w:val="20"/>
        </w:rPr>
        <w:t xml:space="preserve"> could adversely impact our ability to conduct our businesses, damage our reputation and cause losses, potentially materially.</w:t>
      </w:r>
    </w:p>
    <w:p w14:paraId="55566EB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third parties with which we do business, which facilitate our business activities, to whom we outsource operations or other a</w:t>
      </w:r>
      <w:r>
        <w:rPr>
          <w:rFonts w:ascii="Arial" w:eastAsia="宋体" w:hAnsi="Arial" w:cs="Arial"/>
          <w:sz w:val="20"/>
          <w:szCs w:val="20"/>
        </w:rPr>
        <w:t>ctivities, from whom we receive products or services or with whom we otherwise engage or interact, including financial intermediaries and technology infrastructure and service providers, are also susceptible to the foregoing risks (including the third part</w:t>
      </w:r>
      <w:r>
        <w:rPr>
          <w:rFonts w:ascii="Arial" w:eastAsia="宋体" w:hAnsi="Arial" w:cs="Arial"/>
          <w:sz w:val="20"/>
          <w:szCs w:val="20"/>
        </w:rPr>
        <w:t xml:space="preserve">ies with which they are similarly interconnected or on which they otherwise rely), and our or their business operations and activities have been and may in the future be adversely affected, perhaps materially, </w:t>
      </w:r>
    </w:p>
    <w:p w14:paraId="55566EBC" w14:textId="77777777" w:rsidR="00F925DD" w:rsidRDefault="00F925DD">
      <w:pPr>
        <w:rPr>
          <w:rFonts w:ascii="Times New Roman" w:hAnsi="Times New Roman"/>
          <w:sz w:val="20"/>
          <w:szCs w:val="20"/>
        </w:rPr>
      </w:pPr>
    </w:p>
    <w:p w14:paraId="55566EB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33</w:t>
      </w:r>
    </w:p>
    <w:p w14:paraId="55566EBE" w14:textId="77777777" w:rsidR="00F925DD" w:rsidRDefault="00F925DD">
      <w:pPr>
        <w:spacing w:line="288" w:lineRule="auto"/>
        <w:ind w:firstLine="600"/>
        <w:jc w:val="center"/>
        <w:rPr>
          <w:rFonts w:ascii="Times New Roman" w:hAnsi="Times New Roman"/>
          <w:sz w:val="18"/>
          <w:szCs w:val="18"/>
        </w:rPr>
      </w:pPr>
    </w:p>
    <w:p w14:paraId="55566EBF" w14:textId="77777777" w:rsidR="00F925DD" w:rsidRDefault="00E705D7">
      <w:r>
        <w:rPr>
          <w:rFonts w:ascii="Times New Roman" w:hAnsi="Times New Roman"/>
          <w:sz w:val="18"/>
          <w:szCs w:val="18"/>
        </w:rPr>
        <w:pict w14:anchorId="55570659">
          <v:rect id="_x0000_i1057" style="width:415.3pt;height:1.5pt" o:hralign="center" o:hrstd="t" o:hr="t" fillcolor="#a0a0a0" stroked="f"/>
        </w:pict>
      </w:r>
    </w:p>
    <w:p w14:paraId="55566EC0" w14:textId="77777777" w:rsidR="00F925DD" w:rsidRDefault="00F925DD">
      <w:pPr>
        <w:spacing w:line="288" w:lineRule="auto"/>
        <w:ind w:firstLine="600"/>
        <w:rPr>
          <w:rFonts w:ascii="Times New Roman" w:hAnsi="Times New Roman"/>
          <w:sz w:val="18"/>
          <w:szCs w:val="18"/>
        </w:rPr>
      </w:pPr>
    </w:p>
    <w:p w14:paraId="55566EC1" w14:textId="77777777" w:rsidR="00F925DD" w:rsidRDefault="00F925DD">
      <w:pPr>
        <w:rPr>
          <w:rFonts w:ascii="Times New Roman" w:hAnsi="Times New Roman"/>
          <w:sz w:val="20"/>
          <w:szCs w:val="20"/>
        </w:rPr>
      </w:pPr>
    </w:p>
    <w:p w14:paraId="55566EC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by </w:t>
      </w:r>
      <w:r>
        <w:rPr>
          <w:rFonts w:ascii="Arial" w:eastAsia="宋体" w:hAnsi="Arial" w:cs="Arial"/>
          <w:sz w:val="20"/>
          <w:szCs w:val="20"/>
        </w:rPr>
        <w:t>failures, terminations, errors or malfeasance by</w:t>
      </w:r>
      <w:r>
        <w:rPr>
          <w:rFonts w:ascii="Times New Roman" w:eastAsia="宋体" w:hAnsi="Times New Roman"/>
          <w:sz w:val="20"/>
          <w:szCs w:val="20"/>
        </w:rPr>
        <w:t>,</w:t>
      </w:r>
      <w:r>
        <w:rPr>
          <w:rFonts w:ascii="Arial" w:eastAsia="宋体" w:hAnsi="Arial" w:cs="Arial"/>
          <w:sz w:val="20"/>
          <w:szCs w:val="20"/>
        </w:rPr>
        <w:t> or attacks or constraints on, one or more financial, technology, infrastructure or government institutions or intermediaries with whom we or they are interconnected or conduct business.</w:t>
      </w:r>
    </w:p>
    <w:p w14:paraId="55566EC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particular, we, l</w:t>
      </w:r>
      <w:r>
        <w:rPr>
          <w:rFonts w:ascii="Arial" w:eastAsia="宋体" w:hAnsi="Arial" w:cs="Arial"/>
          <w:sz w:val="20"/>
          <w:szCs w:val="20"/>
        </w:rPr>
        <w:t>ike other financial services firms, will continue to face increasing cyber-threats, including computer viruses, malicious code, distributed denial of service attacks, phishing attacks, ransomware, hacker attacks, limited availability of services, unauthori</w:t>
      </w:r>
      <w:r>
        <w:rPr>
          <w:rFonts w:ascii="Arial" w:eastAsia="宋体" w:hAnsi="Arial" w:cs="Arial"/>
          <w:sz w:val="20"/>
          <w:szCs w:val="20"/>
        </w:rPr>
        <w:t>zed access, information security breaches or employee or contractor error or malfeasance that could result in the unauthorized release, gathering, monitoring, misuse, loss or destruction of our, our clients' or other parties' confidential, personal, propri</w:t>
      </w:r>
      <w:r>
        <w:rPr>
          <w:rFonts w:ascii="Arial" w:eastAsia="宋体" w:hAnsi="Arial" w:cs="Arial"/>
          <w:sz w:val="20"/>
          <w:szCs w:val="20"/>
        </w:rPr>
        <w:t>etary or other information or otherwise disrupt, compromise or damage our or our clients' or other parties' business assets, operations and activities. These and similar types of threats are occurring globally with greater frequency and intensity, and we m</w:t>
      </w:r>
      <w:r>
        <w:rPr>
          <w:rFonts w:ascii="Arial" w:eastAsia="宋体" w:hAnsi="Arial" w:cs="Arial"/>
          <w:sz w:val="20"/>
          <w:szCs w:val="20"/>
        </w:rPr>
        <w:t>ay not anticipate or implement effective preventative measures against, or identify and detect one or more, such threats, particularly because the techniques used change frequently or may not be recognized until after they are launched. Our status as a glo</w:t>
      </w:r>
      <w:r>
        <w:rPr>
          <w:rFonts w:ascii="Arial" w:eastAsia="宋体" w:hAnsi="Arial" w:cs="Arial"/>
          <w:sz w:val="20"/>
          <w:szCs w:val="20"/>
        </w:rPr>
        <w:t xml:space="preserve">bal SIFI likely increases the risk that we are targeted by such cyber-security threats. In addition, some of our service offerings, such as data warehousing, may also increase the risk we are, and the consequences of being, so targeted. We may be required </w:t>
      </w:r>
      <w:r>
        <w:rPr>
          <w:rFonts w:ascii="Arial" w:eastAsia="宋体" w:hAnsi="Arial" w:cs="Arial"/>
          <w:sz w:val="20"/>
          <w:szCs w:val="20"/>
        </w:rPr>
        <w:t>to expend significant additional resources to modify, investigate or remediate vulnerabilities or other exposures arising from cyber-security threats. We therefore could experience significant related costs and legal and financial exposures, including lost</w:t>
      </w:r>
      <w:r>
        <w:rPr>
          <w:rFonts w:ascii="Arial" w:eastAsia="宋体" w:hAnsi="Arial" w:cs="Arial"/>
          <w:sz w:val="20"/>
          <w:szCs w:val="20"/>
        </w:rPr>
        <w:t xml:space="preserve"> or constrained ability to provide our services or maintain systems availability to clients, regulatory inquiries, enforcements, actions and fines, litigation, damage to our reputation or property and enhanced competition.</w:t>
      </w:r>
    </w:p>
    <w:p w14:paraId="55566EC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Due to our dependence on technolo</w:t>
      </w:r>
      <w:r>
        <w:rPr>
          <w:rFonts w:ascii="Arial" w:eastAsia="宋体" w:hAnsi="Arial" w:cs="Arial"/>
          <w:sz w:val="20"/>
          <w:szCs w:val="20"/>
        </w:rPr>
        <w:t xml:space="preserve">gy and the important role it plays in our business operations, we are attempting to improve and update our information technology infrastructure, among other things: (1) as some of our systems are approaching the end of their useful life, are redundant or </w:t>
      </w:r>
      <w:r>
        <w:rPr>
          <w:rFonts w:ascii="Arial" w:eastAsia="宋体" w:hAnsi="Arial" w:cs="Arial"/>
          <w:sz w:val="20"/>
          <w:szCs w:val="20"/>
        </w:rPr>
        <w:t>do not share data without reconciliation; (2) to be more efficient, meet increasing client and regulatory security, resiliency and other expectations and support opportunities of growth; and (3) to enhance resiliency and maintain business continuity. Updat</w:t>
      </w:r>
      <w:r>
        <w:rPr>
          <w:rFonts w:ascii="Arial" w:eastAsia="宋体" w:hAnsi="Arial" w:cs="Arial"/>
          <w:sz w:val="20"/>
          <w:szCs w:val="20"/>
        </w:rPr>
        <w:t>ing these systems involves material costs and often involves implementation, integration and security risks, including risks that we may not adequately anticipate the market or technological trends, regulatory expectations or client needs or experience une</w:t>
      </w:r>
      <w:r>
        <w:rPr>
          <w:rFonts w:ascii="Arial" w:eastAsia="宋体" w:hAnsi="Arial" w:cs="Arial"/>
          <w:sz w:val="20"/>
          <w:szCs w:val="20"/>
        </w:rPr>
        <w:t>xpected challenges that could cause financial, reputational and operational harm. Failing to properly respond to and invest in changes and advancements in technology can limit our ability to attract and retain clients, prevent us from offering similar prod</w:t>
      </w:r>
      <w:r>
        <w:rPr>
          <w:rFonts w:ascii="Arial" w:eastAsia="宋体" w:hAnsi="Arial" w:cs="Arial"/>
          <w:sz w:val="20"/>
          <w:szCs w:val="20"/>
        </w:rPr>
        <w:t xml:space="preserve">ucts and services as those offered by our </w:t>
      </w:r>
    </w:p>
    <w:p w14:paraId="55566EC5"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C6"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competitors, impair our ability to maintain continuous operations, inhibit our ability to meet regulatory requirements and subject us to regulatory inquires.</w:t>
      </w:r>
    </w:p>
    <w:p w14:paraId="55566EC7"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Our controls and procedures may fail or be circumvent</w:t>
      </w:r>
      <w:r>
        <w:rPr>
          <w:rFonts w:ascii="Arial" w:eastAsia="宋体" w:hAnsi="Arial" w:cs="Arial"/>
          <w:b/>
          <w:bCs/>
          <w:color w:val="000000"/>
          <w:sz w:val="20"/>
          <w:szCs w:val="20"/>
        </w:rPr>
        <w:t>ed, our risk management policies and procedures may be inadequate, and operational risks could adversely affect our consolidated results of operations.</w:t>
      </w:r>
    </w:p>
    <w:p w14:paraId="55566EC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have in the past failed and may in the future fail to identify and manage risks related to a variety </w:t>
      </w:r>
      <w:r>
        <w:rPr>
          <w:rFonts w:ascii="Arial" w:eastAsia="宋体" w:hAnsi="Arial" w:cs="Arial"/>
          <w:sz w:val="20"/>
          <w:szCs w:val="20"/>
        </w:rPr>
        <w:t>of aspects of our business, including, but not limited to cyber-security, information technology risk, operational risk and resiliency, interest rate risk, foreign exchange risk, trading risk, fiduciary risk, legal and compliance risk, liquidity risk and c</w:t>
      </w:r>
      <w:r>
        <w:rPr>
          <w:rFonts w:ascii="Arial" w:eastAsia="宋体" w:hAnsi="Arial" w:cs="Arial"/>
          <w:sz w:val="20"/>
          <w:szCs w:val="20"/>
        </w:rPr>
        <w:t>redit risk. We have adopted various controls, procedures, policies and systems to monitor and manage risk. We cannot provide assurance that those controls, procedures, policies and systems are or will be adequate to identify and manage internal and externa</w:t>
      </w:r>
      <w:r>
        <w:rPr>
          <w:rFonts w:ascii="Arial" w:eastAsia="宋体" w:hAnsi="Arial" w:cs="Arial"/>
          <w:sz w:val="20"/>
          <w:szCs w:val="20"/>
        </w:rPr>
        <w:t>l risks, including risks related to service providers, in our various businesses. The risk of individuals, either employees or contractors, engaging in conduct harmful or misleading to clients or to us, such as consciously circumventing established control</w:t>
      </w:r>
      <w:r>
        <w:rPr>
          <w:rFonts w:ascii="Arial" w:eastAsia="宋体" w:hAnsi="Arial" w:cs="Arial"/>
          <w:sz w:val="20"/>
          <w:szCs w:val="20"/>
        </w:rPr>
        <w:t xml:space="preserve"> mechanisms to exceed trading or investment management limitations, committing fraud or improperly selling products or services to clients, is particularly challenging to manage through a control framework. In addition, we are subject to increased resilien</w:t>
      </w:r>
      <w:r>
        <w:rPr>
          <w:rFonts w:ascii="Arial" w:eastAsia="宋体" w:hAnsi="Arial" w:cs="Arial"/>
          <w:sz w:val="20"/>
          <w:szCs w:val="20"/>
        </w:rPr>
        <w:t>cy risk, and cyber-attacks from governmental and non-governmental actors are becoming more sophisticated and presenting increased risks, all requiring continuous reinvestment, enhancement and improvement in and of our information technology and operational</w:t>
      </w:r>
      <w:r>
        <w:rPr>
          <w:rFonts w:ascii="Arial" w:eastAsia="宋体" w:hAnsi="Arial" w:cs="Arial"/>
          <w:sz w:val="20"/>
          <w:szCs w:val="20"/>
        </w:rPr>
        <w:t xml:space="preserve"> infrastructure, controls and personnel which may not be effectively or timely deployed or integrated. Moreover, the financial and reputational impact of control or conduct failures can be significant. Persistent or repeated issues with respect to controls</w:t>
      </w:r>
      <w:r>
        <w:rPr>
          <w:rFonts w:ascii="Arial" w:eastAsia="宋体" w:hAnsi="Arial" w:cs="Arial"/>
          <w:sz w:val="20"/>
          <w:szCs w:val="20"/>
        </w:rPr>
        <w:t xml:space="preserve">, information technology resiliency or individual conduct have raised and may in the future raise concerns among regulators regarding our culture, governance and control environment. There can be no assurance that our efforts to address such risks will be </w:t>
      </w:r>
      <w:r>
        <w:rPr>
          <w:rFonts w:ascii="Arial" w:eastAsia="宋体" w:hAnsi="Arial" w:cs="Arial"/>
          <w:sz w:val="20"/>
          <w:szCs w:val="20"/>
        </w:rPr>
        <w:t>effective. While we seek to contractually limit our financial exposure to operational risk, the degree of protection that we are able to achieve varies, and our potential exposure may be greater than the revenue we anticipate that we will earn from servici</w:t>
      </w:r>
      <w:r>
        <w:rPr>
          <w:rFonts w:ascii="Arial" w:eastAsia="宋体" w:hAnsi="Arial" w:cs="Arial"/>
          <w:sz w:val="20"/>
          <w:szCs w:val="20"/>
        </w:rPr>
        <w:t>ng our clients.</w:t>
      </w:r>
    </w:p>
    <w:p w14:paraId="55566EC9" w14:textId="77777777" w:rsidR="00F925DD" w:rsidRDefault="00F925DD">
      <w:pPr>
        <w:rPr>
          <w:rFonts w:ascii="Times New Roman" w:hAnsi="Times New Roman"/>
          <w:sz w:val="20"/>
          <w:szCs w:val="20"/>
        </w:rPr>
      </w:pPr>
    </w:p>
    <w:p w14:paraId="55566EC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34</w:t>
      </w:r>
    </w:p>
    <w:p w14:paraId="55566ECB" w14:textId="77777777" w:rsidR="00F925DD" w:rsidRDefault="00F925DD">
      <w:pPr>
        <w:spacing w:line="288" w:lineRule="auto"/>
        <w:ind w:firstLine="600"/>
        <w:jc w:val="center"/>
        <w:rPr>
          <w:rFonts w:ascii="Times New Roman" w:hAnsi="Times New Roman"/>
          <w:sz w:val="18"/>
          <w:szCs w:val="18"/>
        </w:rPr>
      </w:pPr>
    </w:p>
    <w:p w14:paraId="55566ECC" w14:textId="77777777" w:rsidR="00F925DD" w:rsidRDefault="00E705D7">
      <w:r>
        <w:rPr>
          <w:rFonts w:ascii="Times New Roman" w:hAnsi="Times New Roman"/>
          <w:sz w:val="18"/>
          <w:szCs w:val="18"/>
        </w:rPr>
        <w:pict w14:anchorId="5557065A">
          <v:rect id="_x0000_i1058" style="width:415.3pt;height:1.5pt" o:hralign="center" o:hrstd="t" o:hr="t" fillcolor="#a0a0a0" stroked="f"/>
        </w:pict>
      </w:r>
    </w:p>
    <w:p w14:paraId="55566ECD" w14:textId="77777777" w:rsidR="00F925DD" w:rsidRDefault="00F925DD">
      <w:pPr>
        <w:spacing w:line="288" w:lineRule="auto"/>
        <w:ind w:firstLine="600"/>
        <w:rPr>
          <w:rFonts w:ascii="Times New Roman" w:hAnsi="Times New Roman"/>
          <w:sz w:val="18"/>
          <w:szCs w:val="18"/>
        </w:rPr>
      </w:pPr>
    </w:p>
    <w:p w14:paraId="55566ECE" w14:textId="77777777" w:rsidR="00F925DD" w:rsidRDefault="00F925DD">
      <w:pPr>
        <w:rPr>
          <w:rFonts w:ascii="Times New Roman" w:hAnsi="Times New Roman"/>
          <w:sz w:val="20"/>
          <w:szCs w:val="20"/>
        </w:rPr>
      </w:pPr>
    </w:p>
    <w:p w14:paraId="55566EC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addition, our businesses and the markets in which we operate are continuously evolving. We may fail to identify or fully understand the implications of changes in our businesses or the </w:t>
      </w:r>
      <w:r>
        <w:rPr>
          <w:rFonts w:ascii="Arial" w:eastAsia="宋体" w:hAnsi="Arial" w:cs="Arial"/>
          <w:sz w:val="20"/>
          <w:szCs w:val="20"/>
        </w:rPr>
        <w:t>financial markets and fail to adequately or timely enhance our risk framework to address those changes. To the extent that our risk framework is ineffective, either because it fails to keep pace with changes in the financial markets, regulatory or industry</w:t>
      </w:r>
      <w:r>
        <w:rPr>
          <w:rFonts w:ascii="Arial" w:eastAsia="宋体" w:hAnsi="Arial" w:cs="Arial"/>
          <w:sz w:val="20"/>
          <w:szCs w:val="20"/>
        </w:rPr>
        <w:t xml:space="preserve"> requirements, technology and cyber-security developments, our businesses, our counterparties, clients or service providers or for other reasons, we could incur losses, suffer reputational damage or find ourselves out of compliance with applicable regulato</w:t>
      </w:r>
      <w:r>
        <w:rPr>
          <w:rFonts w:ascii="Arial" w:eastAsia="宋体" w:hAnsi="Arial" w:cs="Arial"/>
          <w:sz w:val="20"/>
          <w:szCs w:val="20"/>
        </w:rPr>
        <w:t>ry or contractual mandates or expectations, and subject to regulatory inquiry or action against us.</w:t>
      </w:r>
    </w:p>
    <w:p w14:paraId="55566ED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Operational risk is inherent in all of our business activities. As a leading provider of services to institutional investors, we provide a broad array of se</w:t>
      </w:r>
      <w:r>
        <w:rPr>
          <w:rFonts w:ascii="Arial" w:eastAsia="宋体" w:hAnsi="Arial" w:cs="Arial"/>
          <w:sz w:val="20"/>
          <w:szCs w:val="20"/>
        </w:rPr>
        <w:t>rvices, including research, investment management, trading services and investment servicing that expose us to operational risk. In addition, these services generate a broad array of complex and specialized servicing, confidentiality and fiduciary requirem</w:t>
      </w:r>
      <w:r>
        <w:rPr>
          <w:rFonts w:ascii="Arial" w:eastAsia="宋体" w:hAnsi="Arial" w:cs="Arial"/>
          <w:sz w:val="20"/>
          <w:szCs w:val="20"/>
        </w:rPr>
        <w:t>ents, many of which involve the opportunity for human, systems or process errors. We face the risk that the control policies, procedures and systems we have established to comply with our operational or security requirements will fail, will be inadequate o</w:t>
      </w:r>
      <w:r>
        <w:rPr>
          <w:rFonts w:ascii="Arial" w:eastAsia="宋体" w:hAnsi="Arial" w:cs="Arial"/>
          <w:sz w:val="20"/>
          <w:szCs w:val="20"/>
        </w:rPr>
        <w:t>r will become outdated. We also face the potential for loss resulting from inadequate or failed internal processes, employee supervision or monitoring mechanisms, service-provider processes or other systems or controls, which could materially affect our fu</w:t>
      </w:r>
      <w:r>
        <w:rPr>
          <w:rFonts w:ascii="Arial" w:eastAsia="宋体" w:hAnsi="Arial" w:cs="Arial"/>
          <w:sz w:val="20"/>
          <w:szCs w:val="20"/>
        </w:rPr>
        <w:t>ture consolidated results of operations. Given the volume and magnitude of transactions we process on a daily basis, operational losses represent a potentially significant financial risk for our business. Operational errors that result in us remitting fund</w:t>
      </w:r>
      <w:r>
        <w:rPr>
          <w:rFonts w:ascii="Arial" w:eastAsia="宋体" w:hAnsi="Arial" w:cs="Arial"/>
          <w:sz w:val="20"/>
          <w:szCs w:val="20"/>
        </w:rPr>
        <w:t>s to a failing or bankrupt entity may be irreversible, and may subject us to losses.</w:t>
      </w:r>
    </w:p>
    <w:p w14:paraId="55566ED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may also be subject to disruptions from external events that are wholly or partially beyond our control, which could cause delays or disruptions to operational function</w:t>
      </w:r>
      <w:r>
        <w:rPr>
          <w:rFonts w:ascii="Arial" w:eastAsia="宋体" w:hAnsi="Arial" w:cs="Arial"/>
          <w:sz w:val="20"/>
          <w:szCs w:val="20"/>
        </w:rPr>
        <w:t>s, including information processing and financial market settlement functions. In addition, our clients, vendors and counterparties could suffer from such events. Should these events affect us, or the clients, vendors or counterparties with which we conduc</w:t>
      </w:r>
      <w:r>
        <w:rPr>
          <w:rFonts w:ascii="Arial" w:eastAsia="宋体" w:hAnsi="Arial" w:cs="Arial"/>
          <w:sz w:val="20"/>
          <w:szCs w:val="20"/>
        </w:rPr>
        <w:t>t business, our consolidated results of operations could be negatively affected. When we record balance sheet accruals for probable and estimable loss contingencies related to operational losses, we may be unable to accurately estimate our potential exposu</w:t>
      </w:r>
      <w:r>
        <w:rPr>
          <w:rFonts w:ascii="Arial" w:eastAsia="宋体" w:hAnsi="Arial" w:cs="Arial"/>
          <w:sz w:val="20"/>
          <w:szCs w:val="20"/>
        </w:rPr>
        <w:t>re, and any accruals we establish to cover operational losses may not be sufficient to cover our actual financial exposure, which could have a material adverse effect on our consolidated results of operations.</w:t>
      </w:r>
    </w:p>
    <w:p w14:paraId="55566ED2"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D3"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We are subject to enhanced external oversigh</w:t>
      </w:r>
      <w:r>
        <w:rPr>
          <w:rFonts w:ascii="Arial" w:eastAsia="宋体" w:hAnsi="Arial" w:cs="Arial"/>
          <w:b/>
          <w:bCs/>
          <w:color w:val="000000"/>
          <w:sz w:val="20"/>
          <w:szCs w:val="20"/>
        </w:rPr>
        <w:t>t as a result of certain agreements entered into in connection with the resolution of prior regulatory or governmental matters.</w:t>
      </w:r>
    </w:p>
    <w:p w14:paraId="55566ED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June 2015, we entered into a written agreement with the Federal Reserve and the Massachusetts Division of Banks relating to d</w:t>
      </w:r>
      <w:r>
        <w:rPr>
          <w:rFonts w:ascii="Arial" w:eastAsia="宋体" w:hAnsi="Arial" w:cs="Arial"/>
          <w:sz w:val="20"/>
          <w:szCs w:val="20"/>
        </w:rPr>
        <w:t>eficiencies identified in our compliance programs with the requirements of the Bank Secrecy Act, AML regulations and U.S. economic sanctions regulations promulgated by OFAC. As part of this agreement, we have been required to, among other things, implement</w:t>
      </w:r>
      <w:r>
        <w:rPr>
          <w:rFonts w:ascii="Arial" w:eastAsia="宋体" w:hAnsi="Arial" w:cs="Arial"/>
          <w:sz w:val="20"/>
          <w:szCs w:val="20"/>
        </w:rPr>
        <w:t xml:space="preserve"> improvements to our compliance programs. </w:t>
      </w:r>
    </w:p>
    <w:p w14:paraId="55566ED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Separately, in connection with the resolution of certain proceedings relating to our having charged six clients of our transition management business during 2010 and 2011 amounts in excess of the contractual terms</w:t>
      </w:r>
      <w:r>
        <w:rPr>
          <w:rFonts w:ascii="Arial" w:eastAsia="宋体" w:hAnsi="Arial" w:cs="Arial"/>
          <w:sz w:val="20"/>
          <w:szCs w:val="20"/>
        </w:rPr>
        <w:t>, in January 2017, we entered into a deferred prosecution agreement with the Department of Justice and the United States Attorney for the DOJ under which we agreed to retain an independent compliance and ethics monitor for a term which has now been extende</w:t>
      </w:r>
      <w:r>
        <w:rPr>
          <w:rFonts w:ascii="Arial" w:eastAsia="宋体" w:hAnsi="Arial" w:cs="Arial"/>
          <w:sz w:val="20"/>
          <w:szCs w:val="20"/>
        </w:rPr>
        <w:t>d to 2021 (subject to further extension) to, among other things, review and monitor the effectiveness of our compliance controls and business ethics and make related recommendations, and in September 2017, we entered into a settlement agreement with the SE</w:t>
      </w:r>
      <w:r>
        <w:rPr>
          <w:rFonts w:ascii="Arial" w:eastAsia="宋体" w:hAnsi="Arial" w:cs="Arial"/>
          <w:sz w:val="20"/>
          <w:szCs w:val="20"/>
        </w:rPr>
        <w:t>C that also requires us to retain an independent ethics and compliance consultant. We have retained a monitor who is fulfilling our obligations under both the deferred prosecution agreement and the SEC settlement. Responding to the monitor's requests entai</w:t>
      </w:r>
      <w:r>
        <w:rPr>
          <w:rFonts w:ascii="Arial" w:eastAsia="宋体" w:hAnsi="Arial" w:cs="Arial"/>
          <w:sz w:val="20"/>
          <w:szCs w:val="20"/>
        </w:rPr>
        <w:t>ls significant cost and management attention and we are, in general, required to implement remediation plans to address any of the monitor's recommendations. These recommendations may require substantial cost and effort to remediate and, even when consiste</w:t>
      </w:r>
      <w:r>
        <w:rPr>
          <w:rFonts w:ascii="Arial" w:eastAsia="宋体" w:hAnsi="Arial" w:cs="Arial"/>
          <w:sz w:val="20"/>
          <w:szCs w:val="20"/>
        </w:rPr>
        <w:t>nt with our own control enhancement objectives, may reflect differences in approach, timing and cost than we may independently intend. Under the deferred prosecution agreement we also have a heightened obligation promptly to report issues involving potenti</w:t>
      </w:r>
      <w:r>
        <w:rPr>
          <w:rFonts w:ascii="Arial" w:eastAsia="宋体" w:hAnsi="Arial" w:cs="Arial"/>
          <w:sz w:val="20"/>
          <w:szCs w:val="20"/>
        </w:rPr>
        <w:t>al or alleged fraudulent activities to the DOJ.</w:t>
      </w:r>
    </w:p>
    <w:p w14:paraId="55566ED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a result of the enhanced inspections and monitoring activities to which we are subject under these agreements, governmental authorities may identify areas in which we may need to take actions, which may be</w:t>
      </w:r>
      <w:r>
        <w:rPr>
          <w:rFonts w:ascii="Arial" w:eastAsia="宋体" w:hAnsi="Arial" w:cs="Arial"/>
          <w:sz w:val="20"/>
          <w:szCs w:val="20"/>
        </w:rPr>
        <w:t xml:space="preserve"> significant, to enhance our regulatory compliance or risk management practices. Such remedial actions may entail significant cost, management attention, and systems development and such efforts may affect our ability to expand our business until such reme</w:t>
      </w:r>
      <w:r>
        <w:rPr>
          <w:rFonts w:ascii="Arial" w:eastAsia="宋体" w:hAnsi="Arial" w:cs="Arial"/>
          <w:sz w:val="20"/>
          <w:szCs w:val="20"/>
        </w:rPr>
        <w:t>dial actions are completed. These actions may be in addition to remedial measures required by the Federal Reserve and other financial regulators following examinations as a result of increased prudential expectations regarding our compliance programs, cult</w:t>
      </w:r>
      <w:r>
        <w:rPr>
          <w:rFonts w:ascii="Arial" w:eastAsia="宋体" w:hAnsi="Arial" w:cs="Arial"/>
          <w:sz w:val="20"/>
          <w:szCs w:val="20"/>
        </w:rPr>
        <w:t xml:space="preserve">ure and risk management. </w:t>
      </w:r>
    </w:p>
    <w:p w14:paraId="55566ED7" w14:textId="77777777" w:rsidR="00F925DD" w:rsidRDefault="00F925DD">
      <w:pPr>
        <w:rPr>
          <w:rFonts w:ascii="Times New Roman" w:hAnsi="Times New Roman"/>
          <w:sz w:val="20"/>
          <w:szCs w:val="20"/>
        </w:rPr>
      </w:pPr>
    </w:p>
    <w:p w14:paraId="55566ED8"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35</w:t>
      </w:r>
    </w:p>
    <w:p w14:paraId="55566ED9" w14:textId="77777777" w:rsidR="00F925DD" w:rsidRDefault="00F925DD">
      <w:pPr>
        <w:spacing w:line="288" w:lineRule="auto"/>
        <w:ind w:firstLine="600"/>
        <w:jc w:val="center"/>
        <w:rPr>
          <w:rFonts w:ascii="Times New Roman" w:hAnsi="Times New Roman"/>
          <w:sz w:val="18"/>
          <w:szCs w:val="18"/>
        </w:rPr>
      </w:pPr>
    </w:p>
    <w:p w14:paraId="55566EDA" w14:textId="77777777" w:rsidR="00F925DD" w:rsidRDefault="00E705D7">
      <w:r>
        <w:rPr>
          <w:rFonts w:ascii="Times New Roman" w:hAnsi="Times New Roman"/>
          <w:sz w:val="18"/>
          <w:szCs w:val="18"/>
        </w:rPr>
        <w:pict w14:anchorId="5557065B">
          <v:rect id="_x0000_i1059" style="width:415.3pt;height:1.5pt" o:hralign="center" o:hrstd="t" o:hr="t" fillcolor="#a0a0a0" stroked="f"/>
        </w:pict>
      </w:r>
    </w:p>
    <w:p w14:paraId="55566EDB" w14:textId="77777777" w:rsidR="00F925DD" w:rsidRDefault="00F925DD">
      <w:pPr>
        <w:spacing w:line="288" w:lineRule="auto"/>
        <w:ind w:firstLine="600"/>
        <w:rPr>
          <w:rFonts w:ascii="Times New Roman" w:hAnsi="Times New Roman"/>
          <w:sz w:val="18"/>
          <w:szCs w:val="18"/>
        </w:rPr>
      </w:pPr>
    </w:p>
    <w:p w14:paraId="55566EDC" w14:textId="77777777" w:rsidR="00F925DD" w:rsidRDefault="00F925DD">
      <w:pPr>
        <w:rPr>
          <w:rFonts w:ascii="Times New Roman" w:hAnsi="Times New Roman"/>
          <w:sz w:val="20"/>
          <w:szCs w:val="20"/>
        </w:rPr>
      </w:pPr>
    </w:p>
    <w:p w14:paraId="55566ED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Our failure to implement enhanced compliance and risk management procedures in a manner and in a time frame deemed to be responsive by the applicable regulatory authority could adversely impact </w:t>
      </w:r>
      <w:r>
        <w:rPr>
          <w:rFonts w:ascii="Arial" w:eastAsia="宋体" w:hAnsi="Arial" w:cs="Arial"/>
          <w:sz w:val="20"/>
          <w:szCs w:val="20"/>
        </w:rPr>
        <w:t>our relationship with such regulatory authority and could lead to restrictions on our activities or other sanctions. Moreover, the identification of new or additional facts and circumstances suggesting inappropriate or non-compliant conduct, whether identi</w:t>
      </w:r>
      <w:r>
        <w:rPr>
          <w:rFonts w:ascii="Arial" w:eastAsia="宋体" w:hAnsi="Arial" w:cs="Arial"/>
          <w:sz w:val="20"/>
          <w:szCs w:val="20"/>
        </w:rPr>
        <w:t>fied by the monitor or a regulatory authority, in the course of an inspection, or independently by us could lead to new governmental proceedings or the re-opening of matters that were previously resolved. The presence of the monitor, as well as governmenta</w:t>
      </w:r>
      <w:r>
        <w:rPr>
          <w:rFonts w:ascii="Arial" w:eastAsia="宋体" w:hAnsi="Arial" w:cs="Arial"/>
          <w:sz w:val="20"/>
          <w:szCs w:val="20"/>
        </w:rPr>
        <w:t>l programs rewarding whistleblowing, may also increase the instances of current or former employees alleging that certain practices are inconsistent with our legal or regulatory obligations.</w:t>
      </w:r>
    </w:p>
    <w:p w14:paraId="55566EDE"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Our businesses may be adversely affected by government enforcemen</w:t>
      </w:r>
      <w:r>
        <w:rPr>
          <w:rFonts w:ascii="Arial" w:eastAsia="宋体" w:hAnsi="Arial" w:cs="Arial"/>
          <w:b/>
          <w:bCs/>
          <w:color w:val="000000"/>
          <w:sz w:val="20"/>
          <w:szCs w:val="20"/>
        </w:rPr>
        <w:t>t and litigation.</w:t>
      </w:r>
    </w:p>
    <w:p w14:paraId="55566ED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businesses in which we operate are highly-regulated and subject to extensive external scrutiny that may be directed generally to participants in the businesses or markets in which we are involved or may be specifically directed at us,</w:t>
      </w:r>
      <w:r>
        <w:rPr>
          <w:rFonts w:ascii="Arial" w:eastAsia="宋体" w:hAnsi="Arial" w:cs="Arial"/>
          <w:sz w:val="20"/>
          <w:szCs w:val="20"/>
        </w:rPr>
        <w:t xml:space="preserve"> including as a result of whistleblower and qui tam claims. In the course of our business, we are frequently subject to various regulatory, governmental and law enforcement inquiries, investigative demands and subpoenas, and from time to time, our clients,</w:t>
      </w:r>
      <w:r>
        <w:rPr>
          <w:rFonts w:ascii="Arial" w:eastAsia="宋体" w:hAnsi="Arial" w:cs="Arial"/>
          <w:sz w:val="20"/>
          <w:szCs w:val="20"/>
        </w:rPr>
        <w:t xml:space="preserve"> or the government on its own behalf or on behalf of our clients or others, make claims and take legal action relating to, among other things, our performance of our fiduciary, contractual or regulatory responsibilities. Often, the announcement of any such</w:t>
      </w:r>
      <w:r>
        <w:rPr>
          <w:rFonts w:ascii="Arial" w:eastAsia="宋体" w:hAnsi="Arial" w:cs="Arial"/>
          <w:sz w:val="20"/>
          <w:szCs w:val="20"/>
        </w:rPr>
        <w:t xml:space="preserve"> matters, or of any settlement of a claim or action, whether it involves us or others in our industry, may spur the initiation of similar claims by other clients or governmental parties. Regulatory authorities have, and are likely to continue to, initiate </w:t>
      </w:r>
      <w:r>
        <w:rPr>
          <w:rFonts w:ascii="Arial" w:eastAsia="宋体" w:hAnsi="Arial" w:cs="Arial"/>
          <w:sz w:val="20"/>
          <w:szCs w:val="20"/>
        </w:rPr>
        <w:t>cross industry reviews when a material issue is identified at a financial institution. Such inquiries involve costs and management time and may lead to proceedings relating to our own activities.</w:t>
      </w:r>
    </w:p>
    <w:p w14:paraId="55566EE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Regardless of the outcome of any governmental enforcement or litigation matter, responding to such matters is time-consuming and expensive and can divert the attention of senior management. Governmental enforcement and litigation matters can involve claims</w:t>
      </w:r>
      <w:r>
        <w:rPr>
          <w:rFonts w:ascii="Arial" w:eastAsia="宋体" w:hAnsi="Arial" w:cs="Arial"/>
          <w:sz w:val="20"/>
          <w:szCs w:val="20"/>
        </w:rPr>
        <w:t xml:space="preserve"> for disgorgement, demands for substantial monetary damages, the imposition of civil or criminal penalties, and the imposition of remedial sanctions or other required changes in our business practices, any of which could result in increased expenses, loss </w:t>
      </w:r>
      <w:r>
        <w:rPr>
          <w:rFonts w:ascii="Arial" w:eastAsia="宋体" w:hAnsi="Arial" w:cs="Arial"/>
          <w:sz w:val="20"/>
          <w:szCs w:val="20"/>
        </w:rPr>
        <w:t xml:space="preserve">of client demand for our products or services, or harm to our reputation. The exposure associated with any proceedings that may be threatened, commenced or filed against us could have a material adverse effect on our consolidated results of </w:t>
      </w:r>
    </w:p>
    <w:p w14:paraId="55566EE1"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E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operations f</w:t>
      </w:r>
      <w:r>
        <w:rPr>
          <w:rFonts w:ascii="Arial" w:eastAsia="宋体" w:hAnsi="Arial" w:cs="Arial"/>
          <w:sz w:val="20"/>
          <w:szCs w:val="20"/>
        </w:rPr>
        <w:t xml:space="preserve">or the period in which we establish a reserve with respect to such potential liability or upon our reputation. In government settlements since the financial crisis, the fines imposed by authorities have increased substantially and may exceed in some cases </w:t>
      </w:r>
      <w:r>
        <w:rPr>
          <w:rFonts w:ascii="Arial" w:eastAsia="宋体" w:hAnsi="Arial" w:cs="Arial"/>
          <w:sz w:val="20"/>
          <w:szCs w:val="20"/>
        </w:rPr>
        <w:t>the profit earned or harm caused by the regulatory or other breach. For example, in connection with the resolution of the transition management matter, we agreed to pay a fine of £22.9 million (approximately $37.8 million) to the U.K. FCA in 2014 and fines</w:t>
      </w:r>
      <w:r>
        <w:rPr>
          <w:rFonts w:ascii="Arial" w:eastAsia="宋体" w:hAnsi="Arial" w:cs="Arial"/>
          <w:sz w:val="20"/>
          <w:szCs w:val="20"/>
        </w:rPr>
        <w:t xml:space="preserve"> of $32.3 million to each of the DOJ and the SEC in 2017. As a further example, we paid an aggregate of $575 million in 2016 to resolve a series of investigations and governmental and private claims alleging that our indirect foreign exchange rates prior t</w:t>
      </w:r>
      <w:r>
        <w:rPr>
          <w:rFonts w:ascii="Arial" w:eastAsia="宋体" w:hAnsi="Arial" w:cs="Arial"/>
          <w:sz w:val="20"/>
          <w:szCs w:val="20"/>
        </w:rPr>
        <w:t>o 2008 were not adequately disclosed or were otherwise improper. These matters have also resulted in regulatory focus on the manner in which we charge clients and related disclosures. This focus may lead to increased and prolonged governmental inquiries an</w:t>
      </w:r>
      <w:r>
        <w:rPr>
          <w:rFonts w:ascii="Arial" w:eastAsia="宋体" w:hAnsi="Arial" w:cs="Arial"/>
          <w:sz w:val="20"/>
          <w:szCs w:val="20"/>
        </w:rPr>
        <w:t xml:space="preserve">d client, qui tam and whistleblower claims associated with the amount and disclosure of compensation we receive for our products and services. </w:t>
      </w:r>
    </w:p>
    <w:p w14:paraId="55566EE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Moreover, U.S. and certain international governmental authorities have increasingly brought criminal actions aga</w:t>
      </w:r>
      <w:r>
        <w:rPr>
          <w:rFonts w:ascii="Arial" w:eastAsia="宋体" w:hAnsi="Arial" w:cs="Arial"/>
          <w:sz w:val="20"/>
          <w:szCs w:val="20"/>
        </w:rPr>
        <w:t>inst financial institutions, and criminal prosecutors have increasingly sought and obtained criminal guilty pleas, deferred prosecution agreements or other criminal sanctions from financial institutions. For example, in 2017 we entered into a deferred pros</w:t>
      </w:r>
      <w:r>
        <w:rPr>
          <w:rFonts w:ascii="Arial" w:eastAsia="宋体" w:hAnsi="Arial" w:cs="Arial"/>
          <w:sz w:val="20"/>
          <w:szCs w:val="20"/>
        </w:rPr>
        <w:t>ecution agreement with the U.S. Department of Justice in connection with the resolution of the transition management matter, and such agreement could increase the likelihood that governmental authorities will seek criminal sanctions against us in pending o</w:t>
      </w:r>
      <w:r>
        <w:rPr>
          <w:rFonts w:ascii="Arial" w:eastAsia="宋体" w:hAnsi="Arial" w:cs="Arial"/>
          <w:sz w:val="20"/>
          <w:szCs w:val="20"/>
        </w:rPr>
        <w:t>r future legal proceedings. See section “We are subject to various legal proceedings relating to the manner in which we have invoiced certain expenses, and the outcome of such proceedings could materially adversely affect our results of operations, or harm</w:t>
      </w:r>
      <w:r>
        <w:rPr>
          <w:rFonts w:ascii="Arial" w:eastAsia="宋体" w:hAnsi="Arial" w:cs="Arial"/>
          <w:sz w:val="20"/>
          <w:szCs w:val="20"/>
        </w:rPr>
        <w:t xml:space="preserve"> our business or reputation.” Government authorities may also pursue criminal claims against current or former employees, and these matters can, among other things, involve continuing reputational harm to us. For example, four of our former employees were </w:t>
      </w:r>
      <w:r>
        <w:rPr>
          <w:rFonts w:ascii="Arial" w:eastAsia="宋体" w:hAnsi="Arial" w:cs="Arial"/>
          <w:sz w:val="20"/>
          <w:szCs w:val="20"/>
        </w:rPr>
        <w:t>indicted by U.S. prosecutors on charges of criminal conspiracy in connection with their involvement in the transition management matter. Two of these individuals pled guilty, and a third was convicted in 2018.</w:t>
      </w:r>
    </w:p>
    <w:p w14:paraId="55566EE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many cases, we are required or may choose to report inappropriate or non-compliant conduct to the authorities, and our failure or delay to do so may represent an independent regulatory violation or be treated as an indication of non-cooperation with gov</w:t>
      </w:r>
      <w:r>
        <w:rPr>
          <w:rFonts w:ascii="Arial" w:eastAsia="宋体" w:hAnsi="Arial" w:cs="Arial"/>
          <w:sz w:val="20"/>
          <w:szCs w:val="20"/>
        </w:rPr>
        <w:t xml:space="preserve">ernmental authorities. Even when we promptly report a matter, we may nonetheless experience regulatory fines, liabilities to clients, harm to our reputation or other adverse effects. Moreover, our </w:t>
      </w:r>
    </w:p>
    <w:p w14:paraId="55566EE5" w14:textId="77777777" w:rsidR="00F925DD" w:rsidRDefault="00F925DD">
      <w:pPr>
        <w:rPr>
          <w:rFonts w:ascii="Times New Roman" w:hAnsi="Times New Roman"/>
          <w:sz w:val="20"/>
          <w:szCs w:val="20"/>
        </w:rPr>
      </w:pPr>
    </w:p>
    <w:p w14:paraId="55566EE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36</w:t>
      </w:r>
    </w:p>
    <w:p w14:paraId="55566EE7" w14:textId="77777777" w:rsidR="00F925DD" w:rsidRDefault="00F925DD">
      <w:pPr>
        <w:spacing w:line="288" w:lineRule="auto"/>
        <w:ind w:firstLine="600"/>
        <w:jc w:val="center"/>
        <w:rPr>
          <w:rFonts w:ascii="Times New Roman" w:hAnsi="Times New Roman"/>
          <w:sz w:val="18"/>
          <w:szCs w:val="18"/>
        </w:rPr>
      </w:pPr>
    </w:p>
    <w:p w14:paraId="55566EE8" w14:textId="77777777" w:rsidR="00F925DD" w:rsidRDefault="00E705D7">
      <w:r>
        <w:rPr>
          <w:rFonts w:ascii="Times New Roman" w:hAnsi="Times New Roman"/>
          <w:sz w:val="18"/>
          <w:szCs w:val="18"/>
        </w:rPr>
        <w:pict w14:anchorId="5557065C">
          <v:rect id="_x0000_i1060" style="width:415.3pt;height:1.5pt" o:hralign="center" o:hrstd="t" o:hr="t" fillcolor="#a0a0a0" stroked="f"/>
        </w:pict>
      </w:r>
    </w:p>
    <w:p w14:paraId="55566EE9" w14:textId="77777777" w:rsidR="00F925DD" w:rsidRDefault="00F925DD">
      <w:pPr>
        <w:spacing w:line="288" w:lineRule="auto"/>
        <w:ind w:firstLine="600"/>
        <w:rPr>
          <w:rFonts w:ascii="Times New Roman" w:hAnsi="Times New Roman"/>
          <w:sz w:val="18"/>
          <w:szCs w:val="18"/>
        </w:rPr>
      </w:pPr>
    </w:p>
    <w:p w14:paraId="55566EEA" w14:textId="77777777" w:rsidR="00F925DD" w:rsidRDefault="00F925DD">
      <w:pPr>
        <w:rPr>
          <w:rFonts w:ascii="Times New Roman" w:hAnsi="Times New Roman"/>
          <w:sz w:val="20"/>
          <w:szCs w:val="20"/>
        </w:rPr>
      </w:pPr>
    </w:p>
    <w:p w14:paraId="55566EEB"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settlement or other re</w:t>
      </w:r>
      <w:r>
        <w:rPr>
          <w:rFonts w:ascii="Arial" w:eastAsia="宋体" w:hAnsi="Arial" w:cs="Arial"/>
          <w:sz w:val="20"/>
          <w:szCs w:val="20"/>
        </w:rPr>
        <w:t>solution of any matter with any one or more regulators or other applicable party may not forestall other regulators or parties in the same or other jurisdictions from pursuing a claim or other action against us with respect to the same or a similar matter.</w:t>
      </w:r>
      <w:r>
        <w:rPr>
          <w:rFonts w:ascii="Arial" w:eastAsia="宋体" w:hAnsi="Arial" w:cs="Arial"/>
          <w:sz w:val="20"/>
          <w:szCs w:val="20"/>
        </w:rPr>
        <w:t xml:space="preserve"> </w:t>
      </w:r>
    </w:p>
    <w:p w14:paraId="55566EE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more information about current contingencies relating to legal proceedings, see Note 13 to the consolidated financial statements in this Form 10-K. The resolution of certain pending or potential legal or regulatory matters could have a material adver</w:t>
      </w:r>
      <w:r>
        <w:rPr>
          <w:rFonts w:ascii="Arial" w:eastAsia="宋体" w:hAnsi="Arial" w:cs="Arial"/>
          <w:sz w:val="20"/>
          <w:szCs w:val="20"/>
        </w:rPr>
        <w:t>se effect on our consolidated results of operations for the period in which the relevant matter is resolved or an accrual is determined to be required, on our consolidated financial condition or on our reputation.</w:t>
      </w:r>
    </w:p>
    <w:p w14:paraId="55566EED" w14:textId="77777777" w:rsidR="00F925DD" w:rsidRDefault="00E705D7">
      <w:pPr>
        <w:spacing w:line="288" w:lineRule="auto"/>
        <w:ind w:firstLine="600"/>
        <w:jc w:val="both"/>
        <w:rPr>
          <w:rFonts w:ascii="Times New Roman" w:hAnsi="Times New Roman"/>
          <w:sz w:val="22"/>
          <w:szCs w:val="22"/>
        </w:rPr>
      </w:pPr>
      <w:r>
        <w:rPr>
          <w:rFonts w:ascii="Arial" w:eastAsia="宋体" w:hAnsi="Arial" w:cs="Arial"/>
          <w:sz w:val="20"/>
          <w:szCs w:val="20"/>
        </w:rPr>
        <w:t>In view of the inherent difficulty of pred</w:t>
      </w:r>
      <w:r>
        <w:rPr>
          <w:rFonts w:ascii="Arial" w:eastAsia="宋体" w:hAnsi="Arial" w:cs="Arial"/>
          <w:sz w:val="20"/>
          <w:szCs w:val="20"/>
        </w:rPr>
        <w:t>icting the outcome of legal and regulatory matters, we cannot provide assurance as to the outcome of any pending or potential matter or, if determined adversely against us, the costs associated with any such matter, particularly where the claimant seeks ve</w:t>
      </w:r>
      <w:r>
        <w:rPr>
          <w:rFonts w:ascii="Arial" w:eastAsia="宋体" w:hAnsi="Arial" w:cs="Arial"/>
          <w:sz w:val="20"/>
          <w:szCs w:val="20"/>
        </w:rPr>
        <w:t xml:space="preserve">ry large or indeterminate damages or where the matter presents novel legal theories, involves a large number of parties, involves the discretion of governmental authorities in seeking sanctions or negotiated resolution or is at a preliminary stage. We may </w:t>
      </w:r>
      <w:r>
        <w:rPr>
          <w:rFonts w:ascii="Arial" w:eastAsia="宋体" w:hAnsi="Arial" w:cs="Arial"/>
          <w:sz w:val="20"/>
          <w:szCs w:val="20"/>
        </w:rPr>
        <w:t>be unable to accurately estimate our exposure to the risks of legal and regulatory contingencies when we record reserves for probable and estimable loss contingencies. As a result, any reserves we establish may not be sufficient to cover our actual financi</w:t>
      </w:r>
      <w:r>
        <w:rPr>
          <w:rFonts w:ascii="Arial" w:eastAsia="宋体" w:hAnsi="Arial" w:cs="Arial"/>
          <w:sz w:val="20"/>
          <w:szCs w:val="20"/>
        </w:rPr>
        <w:t>al exposure. Similarly, our estimates of the aggregate range of reasonably possible loss for legal and regulatory contingencies are based upon then-available information and are subject to significant judgment and a variety of assumptions and known and unk</w:t>
      </w:r>
      <w:r>
        <w:rPr>
          <w:rFonts w:ascii="Arial" w:eastAsia="宋体" w:hAnsi="Arial" w:cs="Arial"/>
          <w:sz w:val="20"/>
          <w:szCs w:val="20"/>
        </w:rPr>
        <w:t>nown uncertainties. The matters underlying the estimated range will change from time to time, and actual results may vary significantly from the estimate at any time.</w:t>
      </w:r>
      <w:r>
        <w:rPr>
          <w:rFonts w:ascii="Arial" w:eastAsia="宋体" w:hAnsi="Arial" w:cs="Arial"/>
          <w:sz w:val="22"/>
          <w:szCs w:val="22"/>
        </w:rPr>
        <w:t xml:space="preserve"> </w:t>
      </w:r>
    </w:p>
    <w:p w14:paraId="55566EEE"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We are subject to various legal proceedings relating to the manner in which we have invo</w:t>
      </w:r>
      <w:r>
        <w:rPr>
          <w:rFonts w:ascii="Arial" w:eastAsia="宋体" w:hAnsi="Arial" w:cs="Arial"/>
          <w:b/>
          <w:bCs/>
          <w:color w:val="000000"/>
          <w:sz w:val="20"/>
          <w:szCs w:val="20"/>
        </w:rPr>
        <w:t>iced certain expenses, and the outcome of such proceedings could materially adversely affect our results of operations or harm our business or reputation.</w:t>
      </w:r>
    </w:p>
    <w:p w14:paraId="55566EE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2015, we determined we had incorrectly invoiced clients for certain expenses. We have reimbursed m</w:t>
      </w:r>
      <w:r>
        <w:rPr>
          <w:rFonts w:ascii="Arial" w:eastAsia="宋体" w:hAnsi="Arial" w:cs="Arial"/>
          <w:sz w:val="20"/>
          <w:szCs w:val="20"/>
        </w:rPr>
        <w:t>ost of our affected customers for those expenses, and we have implemented enhancements to our billing processes. In connection with our enhancements to our billing processes, we continue to review historical billing practices and may from time to time iden</w:t>
      </w:r>
      <w:r>
        <w:rPr>
          <w:rFonts w:ascii="Arial" w:eastAsia="宋体" w:hAnsi="Arial" w:cs="Arial"/>
          <w:sz w:val="20"/>
          <w:szCs w:val="20"/>
        </w:rPr>
        <w:t>tify additional required remediation. In 2017, we identified an additional area of incorrect expense billing associated with mailing services in our retirement services business. We currently expect the cumulative total of our payments to customers for the</w:t>
      </w:r>
      <w:r>
        <w:rPr>
          <w:rFonts w:ascii="Arial" w:eastAsia="宋体" w:hAnsi="Arial" w:cs="Arial"/>
          <w:sz w:val="20"/>
          <w:szCs w:val="20"/>
        </w:rPr>
        <w:t xml:space="preserve">se invoicing errors, including the error in the retirement services business, to be at least $380 million, all of which has </w:t>
      </w:r>
    </w:p>
    <w:p w14:paraId="55566EF0"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EF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been paid or is accrued. However, we may identify additional remediation costs. See the risk factor “</w:t>
      </w:r>
      <w:r>
        <w:rPr>
          <w:rFonts w:ascii="Arial" w:eastAsia="宋体" w:hAnsi="Arial" w:cs="Arial"/>
          <w:i/>
          <w:iCs/>
          <w:sz w:val="20"/>
          <w:szCs w:val="20"/>
        </w:rPr>
        <w:t>Our efforts to improve our b</w:t>
      </w:r>
      <w:r>
        <w:rPr>
          <w:rFonts w:ascii="Arial" w:eastAsia="宋体" w:hAnsi="Arial" w:cs="Arial"/>
          <w:i/>
          <w:iCs/>
          <w:sz w:val="20"/>
          <w:szCs w:val="20"/>
        </w:rPr>
        <w:t>illing processes and practices are ongoing and may result in the identification of additional billing errors</w:t>
      </w:r>
      <w:r>
        <w:rPr>
          <w:rFonts w:ascii="Arial" w:eastAsia="宋体" w:hAnsi="Arial" w:cs="Arial"/>
          <w:sz w:val="20"/>
          <w:szCs w:val="20"/>
        </w:rPr>
        <w:t xml:space="preserve">.” </w:t>
      </w:r>
    </w:p>
    <w:p w14:paraId="55566EF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March 2017, a purported class action was commenced against us alleging that our invoicing practices violated duties owed to retirement plan c</w:t>
      </w:r>
      <w:r>
        <w:rPr>
          <w:rFonts w:ascii="Arial" w:eastAsia="宋体" w:hAnsi="Arial" w:cs="Arial"/>
          <w:sz w:val="20"/>
          <w:szCs w:val="20"/>
        </w:rPr>
        <w:t>ustomers under ERISA. In addition, we have received a purported class action demand letter alleging that our invoicing practices were unfair and deceptive under Massachusetts law. A class of customers, or particular customers, may assert that we have not p</w:t>
      </w:r>
      <w:r>
        <w:rPr>
          <w:rFonts w:ascii="Arial" w:eastAsia="宋体" w:hAnsi="Arial" w:cs="Arial"/>
          <w:sz w:val="20"/>
          <w:szCs w:val="20"/>
        </w:rPr>
        <w:t>aid to them all amounts incorrectly invoiced, and may seek double or treble damages under Massachusetts law.</w:t>
      </w:r>
    </w:p>
    <w:p w14:paraId="55566EF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are also cooperating with investigations by governmental and regulatory authorities on these matters, including the civil and criminal divisions</w:t>
      </w:r>
      <w:r>
        <w:rPr>
          <w:rFonts w:ascii="Arial" w:eastAsia="宋体" w:hAnsi="Arial" w:cs="Arial"/>
          <w:sz w:val="20"/>
          <w:szCs w:val="20"/>
        </w:rPr>
        <w:t xml:space="preserve"> of the DOJ and the DOL which reviews could result in significant fines or other sanctions, civil and criminal, against us. If these governmental or regulatory authorities were to conclude that all or a portion of the billing errors merited civil or crimin</w:t>
      </w:r>
      <w:r>
        <w:rPr>
          <w:rFonts w:ascii="Arial" w:eastAsia="宋体" w:hAnsi="Arial" w:cs="Arial"/>
          <w:sz w:val="20"/>
          <w:szCs w:val="20"/>
        </w:rPr>
        <w:t>al sanctions, any fine or other penalty could be a significant percentage, or a multiple of, the portion of the overcharging serving as the basis of such a claim or of the full amount overcharged. The governmental and regulatory authorities have significan</w:t>
      </w:r>
      <w:r>
        <w:rPr>
          <w:rFonts w:ascii="Arial" w:eastAsia="宋体" w:hAnsi="Arial" w:cs="Arial"/>
          <w:sz w:val="20"/>
          <w:szCs w:val="20"/>
        </w:rPr>
        <w:t>t discretion in civil and criminal matters as to the fines and other penalties they may seek to impose. The severity of such fines or other penalties could take into account factors such as the amount and duration of our incorrect invoicing, the government</w:t>
      </w:r>
      <w:r>
        <w:rPr>
          <w:rFonts w:ascii="Arial" w:eastAsia="宋体" w:hAnsi="Arial" w:cs="Arial"/>
          <w:sz w:val="20"/>
          <w:szCs w:val="20"/>
        </w:rPr>
        <w:t>’s or regulator's assessment of the conduct of our employees, as well as prior conduct such as that which resulted in our January 2017 deferred prosecution agreement in connection with transition management services and our settlement of civil claims regar</w:t>
      </w:r>
      <w:r>
        <w:rPr>
          <w:rFonts w:ascii="Arial" w:eastAsia="宋体" w:hAnsi="Arial" w:cs="Arial"/>
          <w:sz w:val="20"/>
          <w:szCs w:val="20"/>
        </w:rPr>
        <w:t>ding our indirect foreign exchange business.</w:t>
      </w:r>
    </w:p>
    <w:p w14:paraId="55566EF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June 2019, we reached an agreement with the SEC to settle its claims that we violated the recordkeeping provisions of Section 34(b) of the Investment Company Act of 1940 and caused violations of Section 31(a)</w:t>
      </w:r>
      <w:r>
        <w:rPr>
          <w:rFonts w:ascii="Arial" w:eastAsia="宋体" w:hAnsi="Arial" w:cs="Arial"/>
          <w:sz w:val="20"/>
          <w:szCs w:val="20"/>
        </w:rPr>
        <w:t xml:space="preserve"> of the Investment Company Act and Rules 31a-1(a) and 31a-1(b) thereunder in connection with our overcharges of customers which are registered investment companies. In reaching this settlement, we neither admitted nor denied the claims contained in the SEC</w:t>
      </w:r>
      <w:r>
        <w:rPr>
          <w:rFonts w:ascii="Arial" w:eastAsia="宋体" w:hAnsi="Arial" w:cs="Arial"/>
          <w:sz w:val="20"/>
          <w:szCs w:val="20"/>
        </w:rPr>
        <w:t xml:space="preserve">’s order, and agreed to pay a civil monetary penalty of $40 million. Also in June 2019, we reached an agreement with the Massachusetts Attorney General’s office to resolve its claims related to this matter. In reaching this settlement, we neither admitted </w:t>
      </w:r>
      <w:r>
        <w:rPr>
          <w:rFonts w:ascii="Arial" w:eastAsia="宋体" w:hAnsi="Arial" w:cs="Arial"/>
          <w:sz w:val="20"/>
          <w:szCs w:val="20"/>
        </w:rPr>
        <w:t>nor denied the claims in the order and agreed to pay a civil monetary penalty of $5.5 million.</w:t>
      </w:r>
    </w:p>
    <w:p w14:paraId="55566EF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late January 2020, the DOJ outlined a framework for a possible resolution of their review. We intend to attempt to negotiate a settlement of this matter with </w:t>
      </w:r>
      <w:r>
        <w:rPr>
          <w:rFonts w:ascii="Arial" w:eastAsia="宋体" w:hAnsi="Arial" w:cs="Arial"/>
          <w:sz w:val="20"/>
          <w:szCs w:val="20"/>
        </w:rPr>
        <w:t xml:space="preserve">the DOJ. We expect that any settlement with the </w:t>
      </w:r>
    </w:p>
    <w:p w14:paraId="55566EF6" w14:textId="77777777" w:rsidR="00F925DD" w:rsidRDefault="00F925DD">
      <w:pPr>
        <w:rPr>
          <w:rFonts w:ascii="Times New Roman" w:hAnsi="Times New Roman"/>
          <w:sz w:val="20"/>
          <w:szCs w:val="20"/>
        </w:rPr>
      </w:pPr>
    </w:p>
    <w:p w14:paraId="55566EF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37</w:t>
      </w:r>
    </w:p>
    <w:p w14:paraId="55566EF8" w14:textId="77777777" w:rsidR="00F925DD" w:rsidRDefault="00F925DD">
      <w:pPr>
        <w:spacing w:line="288" w:lineRule="auto"/>
        <w:ind w:firstLine="600"/>
        <w:jc w:val="center"/>
        <w:rPr>
          <w:rFonts w:ascii="Times New Roman" w:hAnsi="Times New Roman"/>
          <w:sz w:val="18"/>
          <w:szCs w:val="18"/>
        </w:rPr>
      </w:pPr>
    </w:p>
    <w:p w14:paraId="55566EF9" w14:textId="77777777" w:rsidR="00F925DD" w:rsidRDefault="00E705D7">
      <w:r>
        <w:rPr>
          <w:rFonts w:ascii="Times New Roman" w:hAnsi="Times New Roman"/>
          <w:sz w:val="18"/>
          <w:szCs w:val="18"/>
        </w:rPr>
        <w:pict w14:anchorId="5557065D">
          <v:rect id="_x0000_i1061" style="width:415.3pt;height:1.5pt" o:hralign="center" o:hrstd="t" o:hr="t" fillcolor="#a0a0a0" stroked="f"/>
        </w:pict>
      </w:r>
    </w:p>
    <w:p w14:paraId="55566EFA" w14:textId="77777777" w:rsidR="00F925DD" w:rsidRDefault="00F925DD">
      <w:pPr>
        <w:spacing w:line="288" w:lineRule="auto"/>
        <w:ind w:firstLine="600"/>
        <w:rPr>
          <w:rFonts w:ascii="Times New Roman" w:hAnsi="Times New Roman"/>
          <w:sz w:val="18"/>
          <w:szCs w:val="18"/>
        </w:rPr>
      </w:pPr>
    </w:p>
    <w:p w14:paraId="55566EFB" w14:textId="77777777" w:rsidR="00F925DD" w:rsidRDefault="00F925DD">
      <w:pPr>
        <w:rPr>
          <w:rFonts w:ascii="Times New Roman" w:hAnsi="Times New Roman"/>
          <w:sz w:val="20"/>
          <w:szCs w:val="20"/>
        </w:rPr>
      </w:pPr>
    </w:p>
    <w:p w14:paraId="55566EF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DOJ will include both financial and non-financial provisions. Separately, we have inquired of the DOL as to the status of their review. There can be no assurance that </w:t>
      </w:r>
      <w:r>
        <w:rPr>
          <w:rFonts w:ascii="Arial" w:eastAsia="宋体" w:hAnsi="Arial" w:cs="Arial"/>
          <w:sz w:val="20"/>
          <w:szCs w:val="20"/>
        </w:rPr>
        <w:t>any settlement with the DOJ or DOL will be reached on financial or other terms acceptable to us or at all. The aggregate amount of penalties that may potentially be imposed upon us in connection with the resolution of all outstanding investigations into ou</w:t>
      </w:r>
      <w:r>
        <w:rPr>
          <w:rFonts w:ascii="Arial" w:eastAsia="宋体" w:hAnsi="Arial" w:cs="Arial"/>
          <w:sz w:val="20"/>
          <w:szCs w:val="20"/>
        </w:rPr>
        <w:t>r historical billing practices is not currently known. We have increased our legal accrual with respect to the pending government investigations and civil litigation with respect to this matter. However, our ultimate liability with respect to this matter m</w:t>
      </w:r>
      <w:r>
        <w:rPr>
          <w:rFonts w:ascii="Arial" w:eastAsia="宋体" w:hAnsi="Arial" w:cs="Arial"/>
          <w:sz w:val="20"/>
          <w:szCs w:val="20"/>
        </w:rPr>
        <w:t>ight be significantly in excess of our current accrual.</w:t>
      </w:r>
    </w:p>
    <w:p w14:paraId="55566EF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outcome of any of these proceedings and, in particular, any criminal sanction could materially adversely affect our results of operations and could have significant collateral consequences for our</w:t>
      </w:r>
      <w:r>
        <w:rPr>
          <w:rFonts w:ascii="Arial" w:eastAsia="宋体" w:hAnsi="Arial" w:cs="Arial"/>
          <w:sz w:val="20"/>
          <w:szCs w:val="20"/>
        </w:rPr>
        <w:t xml:space="preserve"> business and reputation.</w:t>
      </w:r>
    </w:p>
    <w:p w14:paraId="55566EFE"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Our efforts to improve our billing processes and practices are ongoing and may result in the identification of additional billing errors.</w:t>
      </w:r>
    </w:p>
    <w:p w14:paraId="55566EF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2015, we determined we had incorrectly invoiced some of our Investment Servicing clients </w:t>
      </w:r>
      <w:r>
        <w:rPr>
          <w:rFonts w:ascii="Arial" w:eastAsia="宋体" w:hAnsi="Arial" w:cs="Arial"/>
          <w:sz w:val="20"/>
          <w:szCs w:val="20"/>
        </w:rPr>
        <w:t xml:space="preserve">for certain expenses. At that time, we began the process of remediating these errors, improving our billing processes and controls in the asset servicing business and other businesses, and testing these improved billing processes and controls. As a result </w:t>
      </w:r>
      <w:r>
        <w:rPr>
          <w:rFonts w:ascii="Arial" w:eastAsia="宋体" w:hAnsi="Arial" w:cs="Arial"/>
          <w:sz w:val="20"/>
          <w:szCs w:val="20"/>
        </w:rPr>
        <w:t>of ongoing reviews, we continue to modify, enhance, and, where necessary, replace our existing global billing processes and implement and test controls for the new system. The objective of this billing transformation program is to obtain greater billing ac</w:t>
      </w:r>
      <w:r>
        <w:rPr>
          <w:rFonts w:ascii="Arial" w:eastAsia="宋体" w:hAnsi="Arial" w:cs="Arial"/>
          <w:sz w:val="20"/>
          <w:szCs w:val="20"/>
        </w:rPr>
        <w:t>curacy and consistency across business lines. We expect this billing transformation program to be substantially completed over the next two or more years. Because of the scale of our business identifying and remediating all weaknesses and inefficiencies in</w:t>
      </w:r>
      <w:r>
        <w:rPr>
          <w:rFonts w:ascii="Arial" w:eastAsia="宋体" w:hAnsi="Arial" w:cs="Arial"/>
          <w:sz w:val="20"/>
          <w:szCs w:val="20"/>
        </w:rPr>
        <w:t xml:space="preserve"> our billing processes cannot be implemented in all our business units concurrently. Accordingly the costs to remediate billing errors which may be discovered in that process, would likely be incurred over a period that we are now unable accurately to dete</w:t>
      </w:r>
      <w:r>
        <w:rPr>
          <w:rFonts w:ascii="Arial" w:eastAsia="宋体" w:hAnsi="Arial" w:cs="Arial"/>
          <w:sz w:val="20"/>
          <w:szCs w:val="20"/>
        </w:rPr>
        <w:t xml:space="preserve">rmine. As we work through this process, we have discovered and may continue to discover areas where we believe our billing processes need improvement, where we believe we have made billing errors with respect to particular customers and categories of fees </w:t>
      </w:r>
      <w:r>
        <w:rPr>
          <w:rFonts w:ascii="Arial" w:eastAsia="宋体" w:hAnsi="Arial" w:cs="Arial"/>
          <w:sz w:val="20"/>
          <w:szCs w:val="20"/>
        </w:rPr>
        <w:t>and expenses, and where we believe billing arrangements between ourselves and particular customers should be clarified. Such discoveries may lead to increased expense and decreased revenues, the need to remediate prior billing errors, government investigat</w:t>
      </w:r>
      <w:r>
        <w:rPr>
          <w:rFonts w:ascii="Arial" w:eastAsia="宋体" w:hAnsi="Arial" w:cs="Arial"/>
          <w:sz w:val="20"/>
          <w:szCs w:val="20"/>
        </w:rPr>
        <w:t>ions, or litigation that may materially impact our business, financial results and reputation.</w:t>
      </w:r>
    </w:p>
    <w:p w14:paraId="55566F00"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 xml:space="preserve">Any theft, loss, damage to or other misappropriation or inadvertent disclosure of, or inappropriate access to, the confidential </w:t>
      </w:r>
    </w:p>
    <w:p w14:paraId="55566F01"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F02"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information we possess could h</w:t>
      </w:r>
      <w:r>
        <w:rPr>
          <w:rFonts w:ascii="Arial" w:eastAsia="宋体" w:hAnsi="Arial" w:cs="Arial"/>
          <w:b/>
          <w:bCs/>
          <w:color w:val="000000"/>
          <w:sz w:val="20"/>
          <w:szCs w:val="20"/>
        </w:rPr>
        <w:t>ave an adverse impact on our business and could subject us to regulatory actions, litigation and other adverse effects.</w:t>
      </w:r>
    </w:p>
    <w:p w14:paraId="55566F0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businesses and relationships with clients are dependent on our ability to maintain the confidentiality of our and our clients' trade</w:t>
      </w:r>
      <w:r>
        <w:rPr>
          <w:rFonts w:ascii="Arial" w:eastAsia="宋体" w:hAnsi="Arial" w:cs="Arial"/>
          <w:sz w:val="20"/>
          <w:szCs w:val="20"/>
        </w:rPr>
        <w:t xml:space="preserve"> secrets and other confidential information (including client transactional and holdings data and personal data about our clients, our clients' clients and our employees). Unauthorized access, or failure of our controls with respect to granting access to o</w:t>
      </w:r>
      <w:r>
        <w:rPr>
          <w:rFonts w:ascii="Arial" w:eastAsia="宋体" w:hAnsi="Arial" w:cs="Arial"/>
          <w:sz w:val="20"/>
          <w:szCs w:val="20"/>
        </w:rPr>
        <w:t>ur systems, has in the past occurred and may in the future occur</w:t>
      </w:r>
      <w:r>
        <w:rPr>
          <w:rFonts w:ascii="Times New Roman" w:eastAsia="宋体" w:hAnsi="Times New Roman"/>
          <w:sz w:val="20"/>
          <w:szCs w:val="20"/>
        </w:rPr>
        <w:t>,</w:t>
      </w:r>
      <w:r>
        <w:rPr>
          <w:rFonts w:ascii="Arial" w:eastAsia="宋体" w:hAnsi="Arial" w:cs="Arial"/>
          <w:sz w:val="20"/>
          <w:szCs w:val="20"/>
        </w:rPr>
        <w:t> resulting in theft, loss, damage to or other misappropriation of such information. In addition, our and our vendors’ personnel have in the past and may in the future inadvertently or deliber</w:t>
      </w:r>
      <w:r>
        <w:rPr>
          <w:rFonts w:ascii="Arial" w:eastAsia="宋体" w:hAnsi="Arial" w:cs="Arial"/>
          <w:sz w:val="20"/>
          <w:szCs w:val="20"/>
        </w:rPr>
        <w:t>ately disclose client or other confidential information. Any theft, loss, damage to other misappropriation or inadvertent disclosure of confidential information could have a material adverse impact on our competitive position, our relationships with our cl</w:t>
      </w:r>
      <w:r>
        <w:rPr>
          <w:rFonts w:ascii="Arial" w:eastAsia="宋体" w:hAnsi="Arial" w:cs="Arial"/>
          <w:sz w:val="20"/>
          <w:szCs w:val="20"/>
        </w:rPr>
        <w:t>ients and our reputation and could subject us to regulatory inquiries, enforcement and fines, civil litigation and possible financial liability or costs. To the extent any of these events involve personal information, the risks of enhanced regulatory scrut</w:t>
      </w:r>
      <w:r>
        <w:rPr>
          <w:rFonts w:ascii="Arial" w:eastAsia="宋体" w:hAnsi="Arial" w:cs="Arial"/>
          <w:sz w:val="20"/>
          <w:szCs w:val="20"/>
        </w:rPr>
        <w:t>iny and the potential financial liabilities are exacerbated, particularly under data protection regulations such as the GDPR.</w:t>
      </w:r>
    </w:p>
    <w:p w14:paraId="55566F04"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 xml:space="preserve">We are subject to variability in our assets under custody and/or administration and assets under management, and in our financial </w:t>
      </w:r>
      <w:r>
        <w:rPr>
          <w:rFonts w:ascii="Arial" w:eastAsia="宋体" w:hAnsi="Arial" w:cs="Arial"/>
          <w:b/>
          <w:bCs/>
          <w:color w:val="000000"/>
          <w:sz w:val="20"/>
          <w:szCs w:val="20"/>
        </w:rPr>
        <w:t>results, due to the significant size of many of our institutional clients, and are also subject to significant pricing pressure due to the considerable market influence exerted by those clients.</w:t>
      </w:r>
    </w:p>
    <w:p w14:paraId="55566F0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clients include institutional investors, such as mutual f</w:t>
      </w:r>
      <w:r>
        <w:rPr>
          <w:rFonts w:ascii="Arial" w:eastAsia="宋体" w:hAnsi="Arial" w:cs="Arial"/>
          <w:sz w:val="20"/>
          <w:szCs w:val="20"/>
        </w:rPr>
        <w:t>unds, collective investment funds, UCITS, hedge funds and other investment pools, corporate and public retirement plans, insurance companies, foundations, endowments and investment managers. In both our asset servicing and asset management businesses, we e</w:t>
      </w:r>
      <w:r>
        <w:rPr>
          <w:rFonts w:ascii="Arial" w:eastAsia="宋体" w:hAnsi="Arial" w:cs="Arial"/>
          <w:sz w:val="20"/>
          <w:szCs w:val="20"/>
        </w:rPr>
        <w:t xml:space="preserve">ndeavor to attract institutional investors controlling large and diverse pools of assets, as those clients typically have the opportunity to benefit from the full range of our expertise and service offerings. Due to the large pools of assets controlled by </w:t>
      </w:r>
      <w:r>
        <w:rPr>
          <w:rFonts w:ascii="Arial" w:eastAsia="宋体" w:hAnsi="Arial" w:cs="Arial"/>
          <w:sz w:val="20"/>
          <w:szCs w:val="20"/>
        </w:rPr>
        <w:t>these clients, the loss or gain of one client, or even a portion of the assets controlled by one client, could have a significant effect on our AUC/A or our AUM, as applicable, in the relevant period. Loss of all or a portion of the servicing of a client's</w:t>
      </w:r>
      <w:r>
        <w:rPr>
          <w:rFonts w:ascii="Arial" w:eastAsia="宋体" w:hAnsi="Arial" w:cs="Arial"/>
          <w:sz w:val="20"/>
          <w:szCs w:val="20"/>
        </w:rPr>
        <w:t xml:space="preserve"> assets can occur for a variety of reasons. For example, as previously reported, as a result of a decision to diversify providers, in 2018 one of our large clients decided to move the servicing for a portion of its assets, largely common trust funds, to an</w:t>
      </w:r>
      <w:r>
        <w:rPr>
          <w:rFonts w:ascii="Arial" w:eastAsia="宋体" w:hAnsi="Arial" w:cs="Arial"/>
          <w:sz w:val="20"/>
          <w:szCs w:val="20"/>
        </w:rPr>
        <w:t xml:space="preserve">other provider. The transition represented approximately $1 trillion in assets with respect to which we will no longer derive revenue. Our AUM or AUC/A </w:t>
      </w:r>
    </w:p>
    <w:p w14:paraId="55566F06" w14:textId="77777777" w:rsidR="00F925DD" w:rsidRDefault="00F925DD">
      <w:pPr>
        <w:rPr>
          <w:rFonts w:ascii="Times New Roman" w:hAnsi="Times New Roman"/>
          <w:sz w:val="20"/>
          <w:szCs w:val="20"/>
        </w:rPr>
      </w:pPr>
    </w:p>
    <w:p w14:paraId="55566F0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38</w:t>
      </w:r>
    </w:p>
    <w:p w14:paraId="55566F08" w14:textId="77777777" w:rsidR="00F925DD" w:rsidRDefault="00F925DD">
      <w:pPr>
        <w:spacing w:line="288" w:lineRule="auto"/>
        <w:ind w:firstLine="600"/>
        <w:jc w:val="center"/>
        <w:rPr>
          <w:rFonts w:ascii="Times New Roman" w:hAnsi="Times New Roman"/>
          <w:sz w:val="18"/>
          <w:szCs w:val="18"/>
        </w:rPr>
      </w:pPr>
    </w:p>
    <w:p w14:paraId="55566F09" w14:textId="77777777" w:rsidR="00F925DD" w:rsidRDefault="00E705D7">
      <w:r>
        <w:rPr>
          <w:rFonts w:ascii="Times New Roman" w:hAnsi="Times New Roman"/>
          <w:sz w:val="18"/>
          <w:szCs w:val="18"/>
        </w:rPr>
        <w:pict w14:anchorId="5557065E">
          <v:rect id="_x0000_i1062" style="width:415.3pt;height:1.5pt" o:hralign="center" o:hrstd="t" o:hr="t" fillcolor="#a0a0a0" stroked="f"/>
        </w:pict>
      </w:r>
    </w:p>
    <w:p w14:paraId="55566F0A" w14:textId="77777777" w:rsidR="00F925DD" w:rsidRDefault="00F925DD">
      <w:pPr>
        <w:spacing w:line="288" w:lineRule="auto"/>
        <w:ind w:firstLine="600"/>
        <w:rPr>
          <w:rFonts w:ascii="Times New Roman" w:hAnsi="Times New Roman"/>
          <w:sz w:val="18"/>
          <w:szCs w:val="18"/>
        </w:rPr>
      </w:pPr>
    </w:p>
    <w:p w14:paraId="55566F0B" w14:textId="77777777" w:rsidR="00F925DD" w:rsidRDefault="00F925DD">
      <w:pPr>
        <w:rPr>
          <w:rFonts w:ascii="Times New Roman" w:hAnsi="Times New Roman"/>
          <w:sz w:val="20"/>
          <w:szCs w:val="20"/>
        </w:rPr>
      </w:pPr>
    </w:p>
    <w:p w14:paraId="55566F0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are also affected by decisions by institutional owners to favor or </w:t>
      </w:r>
      <w:r>
        <w:rPr>
          <w:rFonts w:ascii="Arial" w:eastAsia="宋体" w:hAnsi="Arial" w:cs="Arial"/>
          <w:sz w:val="20"/>
          <w:szCs w:val="20"/>
        </w:rPr>
        <w:t>disfavor certain investment instruments or categories. Similarly, if one or more clients change the asset class in which a significant portion of assets are invested (e.g., by shifting investments from emerging markets to the U.S.), those changes could hav</w:t>
      </w:r>
      <w:r>
        <w:rPr>
          <w:rFonts w:ascii="Arial" w:eastAsia="宋体" w:hAnsi="Arial" w:cs="Arial"/>
          <w:sz w:val="20"/>
          <w:szCs w:val="20"/>
        </w:rPr>
        <w:t xml:space="preserve">e a significant effect on our results of operations in the relevant period, as our fee rates often change based on the type of asset classes we are servicing or managing. As our fee revenue is significantly impacted by our levels of AUC/A and AUM, changes </w:t>
      </w:r>
      <w:r>
        <w:rPr>
          <w:rFonts w:ascii="Arial" w:eastAsia="宋体" w:hAnsi="Arial" w:cs="Arial"/>
          <w:sz w:val="20"/>
          <w:szCs w:val="20"/>
        </w:rPr>
        <w:t>in levels of different asset classes could have a corresponding significant effect on our results of operations in the relevant period. Large institutional clients also, by their nature, are often able to exert considerable market influence, and this, comb</w:t>
      </w:r>
      <w:r>
        <w:rPr>
          <w:rFonts w:ascii="Arial" w:eastAsia="宋体" w:hAnsi="Arial" w:cs="Arial"/>
          <w:sz w:val="20"/>
          <w:szCs w:val="20"/>
        </w:rPr>
        <w:t xml:space="preserve">ined with strong competitive forces in the markets for our services, has resulted in, and may continue to result in, significant pressure to reduce the fees we charge for our services in both our asset servicing and asset management lines of business. Our </w:t>
      </w:r>
      <w:r>
        <w:rPr>
          <w:rFonts w:ascii="Arial" w:eastAsia="宋体" w:hAnsi="Arial" w:cs="Arial"/>
          <w:sz w:val="20"/>
          <w:szCs w:val="20"/>
        </w:rPr>
        <w:t>strategy of focusing our efforts on the segments of the market for investor services represented by very large asset managers and asset owners causes us to be particularly impacted by this industry trend. Many of these large clients are also under competit</w:t>
      </w:r>
      <w:r>
        <w:rPr>
          <w:rFonts w:ascii="Arial" w:eastAsia="宋体" w:hAnsi="Arial" w:cs="Arial"/>
          <w:sz w:val="20"/>
          <w:szCs w:val="20"/>
        </w:rPr>
        <w:t>ive and regulatory pressures that are driving them to manage the expenses that they and their investment products incur more aggressively, which in turn exacerbates their pressures on our fees.</w:t>
      </w:r>
    </w:p>
    <w:p w14:paraId="55566F0D"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Our business may be negatively affected by our failure to prop</w:t>
      </w:r>
      <w:r>
        <w:rPr>
          <w:rFonts w:ascii="Arial" w:eastAsia="宋体" w:hAnsi="Arial" w:cs="Arial"/>
          <w:b/>
          <w:bCs/>
          <w:color w:val="000000"/>
          <w:sz w:val="20"/>
          <w:szCs w:val="20"/>
        </w:rPr>
        <w:t>erly implement technology transformation.</w:t>
      </w:r>
    </w:p>
    <w:p w14:paraId="55566F0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order to maintain and grow our business, we must make strategic decisions about our current and future business plans and effectively execute upon those plans. Strategic initiatives that we are currently develop</w:t>
      </w:r>
      <w:r>
        <w:rPr>
          <w:rFonts w:ascii="Arial" w:eastAsia="宋体" w:hAnsi="Arial" w:cs="Arial"/>
          <w:sz w:val="20"/>
          <w:szCs w:val="20"/>
        </w:rPr>
        <w:t>ing or executing against include cost initiatives, enhancements and efficiencies to our operational processes, improvements to existing and new service offerings, targeting for sales growth certain segments of the markets for investor services and asset ma</w:t>
      </w:r>
      <w:r>
        <w:rPr>
          <w:rFonts w:ascii="Arial" w:eastAsia="宋体" w:hAnsi="Arial" w:cs="Arial"/>
          <w:sz w:val="20"/>
          <w:szCs w:val="20"/>
        </w:rPr>
        <w:t>nagement, and enhancements to existing and development of new information technology and other systems. Implementing strategic programs and creating cost efficiencies involves certain strategic, technological and operational risks. Many features of our pre</w:t>
      </w:r>
      <w:r>
        <w:rPr>
          <w:rFonts w:ascii="Arial" w:eastAsia="宋体" w:hAnsi="Arial" w:cs="Arial"/>
          <w:sz w:val="20"/>
          <w:szCs w:val="20"/>
        </w:rPr>
        <w:t>sent initiatives include investment in systems integration and new technologies and also the development of new</w:t>
      </w:r>
      <w:r>
        <w:rPr>
          <w:rFonts w:ascii="Times New Roman" w:eastAsia="宋体" w:hAnsi="Times New Roman"/>
          <w:sz w:val="20"/>
          <w:szCs w:val="20"/>
        </w:rPr>
        <w:t>,</w:t>
      </w:r>
      <w:r>
        <w:rPr>
          <w:rFonts w:ascii="Arial" w:eastAsia="宋体" w:hAnsi="Arial" w:cs="Arial"/>
          <w:sz w:val="20"/>
          <w:szCs w:val="20"/>
        </w:rPr>
        <w:t xml:space="preserve"> and the evolution of existing, methods and tools to accelerate the pace of innovation, the introduction of new services and enhancements to the</w:t>
      </w:r>
      <w:r>
        <w:rPr>
          <w:rFonts w:ascii="Arial" w:eastAsia="宋体" w:hAnsi="Arial" w:cs="Arial"/>
          <w:sz w:val="20"/>
          <w:szCs w:val="20"/>
        </w:rPr>
        <w:t xml:space="preserve"> security of our data systems. These initiatives also may result in increased or unanticipated costs, may result in earnings volatility, may take longer than anticipated to implement and may result in increases in operating losses, inadvertent data disclos</w:t>
      </w:r>
      <w:r>
        <w:rPr>
          <w:rFonts w:ascii="Arial" w:eastAsia="宋体" w:hAnsi="Arial" w:cs="Arial"/>
          <w:sz w:val="20"/>
          <w:szCs w:val="20"/>
        </w:rPr>
        <w:t xml:space="preserve">ures or other operating errors. In implementing these programs, we may have material dependencies on third parties. The </w:t>
      </w:r>
    </w:p>
    <w:p w14:paraId="55566F0F"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F10"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transition to new operating processes and technology infrastructure may also cause disruptions in our relationships with clients and </w:t>
      </w:r>
      <w:r>
        <w:rPr>
          <w:rFonts w:ascii="Arial" w:eastAsia="宋体" w:hAnsi="Arial" w:cs="Arial"/>
          <w:sz w:val="20"/>
          <w:szCs w:val="20"/>
        </w:rPr>
        <w:t>employees or loss of institutional understanding and may present other unanticipated technical or operational hurdles. In addition, the relocation to or expansion of servicing activities and other operations in different geographic regions or vendors may e</w:t>
      </w:r>
      <w:r>
        <w:rPr>
          <w:rFonts w:ascii="Arial" w:eastAsia="宋体" w:hAnsi="Arial" w:cs="Arial"/>
          <w:sz w:val="20"/>
          <w:szCs w:val="20"/>
        </w:rPr>
        <w:t>ntail client, regulatory and other third party data use, storage and security challenges, as well as other regulatory compliance, business continuity and other considerations. As a result, we may not achieve some or all of the cost savings or other benefit</w:t>
      </w:r>
      <w:r>
        <w:rPr>
          <w:rFonts w:ascii="Arial" w:eastAsia="宋体" w:hAnsi="Arial" w:cs="Arial"/>
          <w:sz w:val="20"/>
          <w:szCs w:val="20"/>
        </w:rPr>
        <w:t>s anticipated and may experience unanticipated challenges from clients, regulators or other parties or reputational harm. In addition, some systems development initiatives may not have access to significant resources or management attention and, consequent</w:t>
      </w:r>
      <w:r>
        <w:rPr>
          <w:rFonts w:ascii="Arial" w:eastAsia="宋体" w:hAnsi="Arial" w:cs="Arial"/>
          <w:sz w:val="20"/>
          <w:szCs w:val="20"/>
        </w:rPr>
        <w:t>ly, may be delayed or unsuccessful. Many of our systems require enhancements to meet the requirements of evolving regulation, to enhance security and resiliency and decommission obsolete technologies, to permit us to optimize our use of capital or to reduc</w:t>
      </w:r>
      <w:r>
        <w:rPr>
          <w:rFonts w:ascii="Arial" w:eastAsia="宋体" w:hAnsi="Arial" w:cs="Arial"/>
          <w:sz w:val="20"/>
          <w:szCs w:val="20"/>
        </w:rPr>
        <w:t>e the risk of operating error</w:t>
      </w:r>
      <w:r>
        <w:rPr>
          <w:rFonts w:ascii="Times New Roman" w:eastAsia="宋体" w:hAnsi="Times New Roman"/>
          <w:sz w:val="20"/>
          <w:szCs w:val="20"/>
        </w:rPr>
        <w:t xml:space="preserve">. </w:t>
      </w:r>
      <w:r>
        <w:rPr>
          <w:rFonts w:ascii="Arial" w:eastAsia="宋体" w:hAnsi="Arial" w:cs="Arial"/>
          <w:sz w:val="20"/>
          <w:szCs w:val="20"/>
        </w:rPr>
        <w:t>In addition, the implementation of our State Street Alpha and integration of CRD requires substantial systems development and expense. We may not have the resources to pursue all of these objectives simultaneously</w:t>
      </w:r>
      <w:r>
        <w:rPr>
          <w:rFonts w:ascii="Times New Roman" w:eastAsia="宋体" w:hAnsi="Times New Roman"/>
          <w:sz w:val="20"/>
          <w:szCs w:val="20"/>
        </w:rPr>
        <w:t>.</w:t>
      </w:r>
    </w:p>
    <w:p w14:paraId="55566F11"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Developmen</w:t>
      </w:r>
      <w:r>
        <w:rPr>
          <w:rFonts w:ascii="Arial" w:eastAsia="宋体" w:hAnsi="Arial" w:cs="Arial"/>
          <w:b/>
          <w:bCs/>
          <w:color w:val="000000"/>
          <w:sz w:val="20"/>
          <w:szCs w:val="20"/>
        </w:rPr>
        <w:t>t and completion of new products and services, including our State Street Alpha, may impose additional costs on us, involve dependencies on third parties and may expose us to increased operational and model risk.</w:t>
      </w:r>
    </w:p>
    <w:p w14:paraId="55566F1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financial performance depends, in part, on our ability to develop and market new and innovative services and to adopt or develop new technologies that differentiate our products or provide cost efficiencies, while avoiding increased related expenses. T</w:t>
      </w:r>
      <w:r>
        <w:rPr>
          <w:rFonts w:ascii="Arial" w:eastAsia="宋体" w:hAnsi="Arial" w:cs="Arial"/>
          <w:sz w:val="20"/>
          <w:szCs w:val="20"/>
        </w:rPr>
        <w:t xml:space="preserve">his dependency is exacerbated in the current “FinTech” environment, where financial institutions are investing significantly in evaluating new technologies, such as distributed ledger technology (“Blockchain"), and developing potentially industry-changing </w:t>
      </w:r>
      <w:r>
        <w:rPr>
          <w:rFonts w:ascii="Arial" w:eastAsia="宋体" w:hAnsi="Arial" w:cs="Arial"/>
          <w:sz w:val="20"/>
          <w:szCs w:val="20"/>
        </w:rPr>
        <w:t>new products, services and industry standards. For example, in 2018, we acquired CRD, and we are leveraging the capabilities we acquired in that transaction to create our State Street Alpha combining the offerings within our Investment Servicing business l</w:t>
      </w:r>
      <w:r>
        <w:rPr>
          <w:rFonts w:ascii="Arial" w:eastAsia="宋体" w:hAnsi="Arial" w:cs="Arial"/>
          <w:sz w:val="20"/>
          <w:szCs w:val="20"/>
        </w:rPr>
        <w:t>ine. The introduction of new products and services can require significant time and resources, including regulatory approvals and the development and implementation of technical data management, control and model validation requirements and effective secur</w:t>
      </w:r>
      <w:r>
        <w:rPr>
          <w:rFonts w:ascii="Arial" w:eastAsia="宋体" w:hAnsi="Arial" w:cs="Arial"/>
          <w:sz w:val="20"/>
          <w:szCs w:val="20"/>
        </w:rPr>
        <w:t>ity and resiliency elements. New products and services, such as State Street Alpha, often also involve dependencies on third parties to, among other things, access innovative technologies, develop new distribution channels or form collaborative product and</w:t>
      </w:r>
      <w:r>
        <w:rPr>
          <w:rFonts w:ascii="Arial" w:eastAsia="宋体" w:hAnsi="Arial" w:cs="Arial"/>
          <w:sz w:val="20"/>
          <w:szCs w:val="20"/>
        </w:rPr>
        <w:t xml:space="preserve"> service offerings, and can </w:t>
      </w:r>
    </w:p>
    <w:p w14:paraId="55566F13" w14:textId="77777777" w:rsidR="00F925DD" w:rsidRDefault="00F925DD">
      <w:pPr>
        <w:rPr>
          <w:rFonts w:ascii="Times New Roman" w:hAnsi="Times New Roman"/>
          <w:sz w:val="20"/>
          <w:szCs w:val="20"/>
        </w:rPr>
      </w:pPr>
    </w:p>
    <w:p w14:paraId="55566F14"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39</w:t>
      </w:r>
    </w:p>
    <w:p w14:paraId="55566F15" w14:textId="77777777" w:rsidR="00F925DD" w:rsidRDefault="00F925DD">
      <w:pPr>
        <w:spacing w:line="288" w:lineRule="auto"/>
        <w:ind w:firstLine="600"/>
        <w:jc w:val="center"/>
        <w:rPr>
          <w:rFonts w:ascii="Times New Roman" w:hAnsi="Times New Roman"/>
          <w:sz w:val="18"/>
          <w:szCs w:val="18"/>
        </w:rPr>
      </w:pPr>
    </w:p>
    <w:p w14:paraId="55566F16" w14:textId="77777777" w:rsidR="00F925DD" w:rsidRDefault="00E705D7">
      <w:r>
        <w:rPr>
          <w:rFonts w:ascii="Times New Roman" w:hAnsi="Times New Roman"/>
          <w:sz w:val="18"/>
          <w:szCs w:val="18"/>
        </w:rPr>
        <w:pict w14:anchorId="5557065F">
          <v:rect id="_x0000_i1063" style="width:415.3pt;height:1.5pt" o:hralign="center" o:hrstd="t" o:hr="t" fillcolor="#a0a0a0" stroked="f"/>
        </w:pict>
      </w:r>
    </w:p>
    <w:p w14:paraId="55566F17" w14:textId="77777777" w:rsidR="00F925DD" w:rsidRDefault="00F925DD">
      <w:pPr>
        <w:spacing w:line="288" w:lineRule="auto"/>
        <w:ind w:firstLine="600"/>
        <w:rPr>
          <w:rFonts w:ascii="Times New Roman" w:hAnsi="Times New Roman"/>
          <w:sz w:val="18"/>
          <w:szCs w:val="18"/>
        </w:rPr>
      </w:pPr>
    </w:p>
    <w:p w14:paraId="55566F18" w14:textId="77777777" w:rsidR="00F925DD" w:rsidRDefault="00F925DD">
      <w:pPr>
        <w:rPr>
          <w:rFonts w:ascii="Times New Roman" w:hAnsi="Times New Roman"/>
          <w:sz w:val="20"/>
          <w:szCs w:val="20"/>
        </w:rPr>
      </w:pPr>
    </w:p>
    <w:p w14:paraId="55566F19"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require complex strategic alliances and joint venture relationships. Substantial risks and uncertainties are associated with the introduction of new products and services, strategic </w:t>
      </w:r>
      <w:r>
        <w:rPr>
          <w:rFonts w:ascii="Arial" w:eastAsia="宋体" w:hAnsi="Arial" w:cs="Arial"/>
          <w:sz w:val="20"/>
          <w:szCs w:val="20"/>
        </w:rPr>
        <w:t>alliances and joint ventures including rapid technological change in the industry, our ability to access technical, data and other information from our clients, the significant and ongoing investments required to bring new products and services to market i</w:t>
      </w:r>
      <w:r>
        <w:rPr>
          <w:rFonts w:ascii="Arial" w:eastAsia="宋体" w:hAnsi="Arial" w:cs="Arial"/>
          <w:sz w:val="20"/>
          <w:szCs w:val="20"/>
        </w:rPr>
        <w:t xml:space="preserve">n a timely manner at competitive prices, the sharing of benefits in those relationships, conflicts with existing business partners and clients and sales and other materials that fully and accurately describe the product or service and its underlying risks </w:t>
      </w:r>
      <w:r>
        <w:rPr>
          <w:rFonts w:ascii="Arial" w:eastAsia="宋体" w:hAnsi="Arial" w:cs="Arial"/>
          <w:sz w:val="20"/>
          <w:szCs w:val="20"/>
        </w:rPr>
        <w:t>and are compliant with applicable regulations. New products or services may fail to operate or perform as expected and may not be suitable for the intended client. Our failure to manage these risks and uncertainties also exposes us to enhanced risk of oper</w:t>
      </w:r>
      <w:r>
        <w:rPr>
          <w:rFonts w:ascii="Arial" w:eastAsia="宋体" w:hAnsi="Arial" w:cs="Arial"/>
          <w:sz w:val="20"/>
          <w:szCs w:val="20"/>
        </w:rPr>
        <w:t>ational lapses which may result in the recognition of financial statement</w:t>
      </w:r>
      <w:r>
        <w:rPr>
          <w:rFonts w:ascii="Arial" w:eastAsia="宋体" w:hAnsi="Arial" w:cs="Arial"/>
          <w:b/>
          <w:bCs/>
          <w:color w:val="000000"/>
          <w:sz w:val="20"/>
          <w:szCs w:val="20"/>
        </w:rPr>
        <w:t xml:space="preserve"> </w:t>
      </w:r>
      <w:r>
        <w:rPr>
          <w:rFonts w:ascii="Arial" w:eastAsia="宋体" w:hAnsi="Arial" w:cs="Arial"/>
          <w:sz w:val="20"/>
          <w:szCs w:val="20"/>
        </w:rPr>
        <w:t>liabilities. Regulatory and internal control requirements, capital requirements, competitive alternatives, vendor relationships and</w:t>
      </w:r>
      <w:r>
        <w:rPr>
          <w:rFonts w:ascii="Arial" w:eastAsia="宋体" w:hAnsi="Arial" w:cs="Arial"/>
          <w:b/>
          <w:bCs/>
          <w:color w:val="000000"/>
          <w:sz w:val="20"/>
          <w:szCs w:val="20"/>
        </w:rPr>
        <w:t xml:space="preserve"> </w:t>
      </w:r>
      <w:r>
        <w:rPr>
          <w:rFonts w:ascii="Arial" w:eastAsia="宋体" w:hAnsi="Arial" w:cs="Arial"/>
          <w:sz w:val="20"/>
          <w:szCs w:val="20"/>
        </w:rPr>
        <w:t>shifting</w:t>
      </w:r>
      <w:r>
        <w:rPr>
          <w:rFonts w:ascii="Arial" w:eastAsia="宋体" w:hAnsi="Arial" w:cs="Arial"/>
          <w:b/>
          <w:bCs/>
          <w:color w:val="000000"/>
          <w:sz w:val="20"/>
          <w:szCs w:val="20"/>
        </w:rPr>
        <w:t xml:space="preserve"> </w:t>
      </w:r>
      <w:r>
        <w:rPr>
          <w:rFonts w:ascii="Arial" w:eastAsia="宋体" w:hAnsi="Arial" w:cs="Arial"/>
          <w:sz w:val="20"/>
          <w:szCs w:val="20"/>
        </w:rPr>
        <w:t>market</w:t>
      </w:r>
      <w:r>
        <w:rPr>
          <w:rFonts w:ascii="Arial" w:eastAsia="宋体" w:hAnsi="Arial" w:cs="Arial"/>
          <w:b/>
          <w:bCs/>
          <w:color w:val="000000"/>
          <w:sz w:val="20"/>
          <w:szCs w:val="20"/>
        </w:rPr>
        <w:t xml:space="preserve"> </w:t>
      </w:r>
      <w:r>
        <w:rPr>
          <w:rFonts w:ascii="Arial" w:eastAsia="宋体" w:hAnsi="Arial" w:cs="Arial"/>
          <w:sz w:val="20"/>
          <w:szCs w:val="20"/>
        </w:rPr>
        <w:t xml:space="preserve">preferences may also determine if </w:t>
      </w:r>
      <w:r>
        <w:rPr>
          <w:rFonts w:ascii="Arial" w:eastAsia="宋体" w:hAnsi="Arial" w:cs="Arial"/>
          <w:sz w:val="20"/>
          <w:szCs w:val="20"/>
        </w:rPr>
        <w:t>such initiatives can be brought to market in a manner that is timely and attractive to our clients. Failure to successfully manage all of the above risks in the development and implementation of new products or services, including completion of our State S</w:t>
      </w:r>
      <w:r>
        <w:rPr>
          <w:rFonts w:ascii="Arial" w:eastAsia="宋体" w:hAnsi="Arial" w:cs="Arial"/>
          <w:sz w:val="20"/>
          <w:szCs w:val="20"/>
        </w:rPr>
        <w:t xml:space="preserve">treet Alpha, could have a material adverse effect on our business and reputation, consolidated results of operations or financial condition. </w:t>
      </w:r>
    </w:p>
    <w:p w14:paraId="55566F1A"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Acquisitions, strategic alliances, joint ventures and divestitures pose risks for our business.</w:t>
      </w:r>
    </w:p>
    <w:p w14:paraId="55566F1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part of our bus</w:t>
      </w:r>
      <w:r>
        <w:rPr>
          <w:rFonts w:ascii="Arial" w:eastAsia="宋体" w:hAnsi="Arial" w:cs="Arial"/>
          <w:sz w:val="20"/>
          <w:szCs w:val="20"/>
        </w:rPr>
        <w:t>iness strategy, we acquire complementary businesses and technologies, enter into strategic alliances and joint ventures and divest portions of our business. We undertake transactions of varying sizes to, among other reasons, expand our geographic footprint</w:t>
      </w:r>
      <w:r>
        <w:rPr>
          <w:rFonts w:ascii="Arial" w:eastAsia="宋体" w:hAnsi="Arial" w:cs="Arial"/>
          <w:sz w:val="20"/>
          <w:szCs w:val="20"/>
        </w:rPr>
        <w:t>, access new clients distribution channels, technologies or services, develop closer or more collaborative relationships with our business partners, bolster existing capabilities, efficiently deploy capital or leverage cost savings or other business or fin</w:t>
      </w:r>
      <w:r>
        <w:rPr>
          <w:rFonts w:ascii="Arial" w:eastAsia="宋体" w:hAnsi="Arial" w:cs="Arial"/>
          <w:sz w:val="20"/>
          <w:szCs w:val="20"/>
        </w:rPr>
        <w:t>ancial opportunities. We may not achieve the expected benefits of these transactions, which could result in increased costs, lowered revenues, ineffective deployment of capital, regulatory concerns, exit costs or diminished competitive position or reputati</w:t>
      </w:r>
      <w:r>
        <w:rPr>
          <w:rFonts w:ascii="Arial" w:eastAsia="宋体" w:hAnsi="Arial" w:cs="Arial"/>
          <w:sz w:val="20"/>
          <w:szCs w:val="20"/>
        </w:rPr>
        <w:t>on.</w:t>
      </w:r>
    </w:p>
    <w:p w14:paraId="55566F1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Transactions of this nature also involve a number of risks and financial, accounting, tax, regulatory, strategic, managerial, operational, cultural and employment challenges, which could adversely affect our consolidated results of operations and finan</w:t>
      </w:r>
      <w:r>
        <w:rPr>
          <w:rFonts w:ascii="Arial" w:eastAsia="宋体" w:hAnsi="Arial" w:cs="Arial"/>
          <w:sz w:val="20"/>
          <w:szCs w:val="20"/>
        </w:rPr>
        <w:t>cial condition. For example, the businesses that we acquire or our strategic alliances or joint ventures may under-perform relative to the price paid or the resources committed by us; we may not achieve anticipated revenue growth or cost savings; or we may</w:t>
      </w:r>
      <w:r>
        <w:rPr>
          <w:rFonts w:ascii="Arial" w:eastAsia="宋体" w:hAnsi="Arial" w:cs="Arial"/>
          <w:sz w:val="20"/>
          <w:szCs w:val="20"/>
        </w:rPr>
        <w:t xml:space="preserve"> otherwise be adversely affected by acquisition-related charges. </w:t>
      </w:r>
    </w:p>
    <w:p w14:paraId="55566F1D"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F1E"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The intellectual property of an acquired business may be an important component of the value that we agree to pay for such a business. However, such acquisitions are subject to the risks t</w:t>
      </w:r>
      <w:r>
        <w:rPr>
          <w:rFonts w:ascii="Arial" w:eastAsia="宋体" w:hAnsi="Arial" w:cs="Arial"/>
          <w:sz w:val="20"/>
          <w:szCs w:val="20"/>
        </w:rPr>
        <w:t>hat the acquired business may not own the intellectual property that we believe we are acquiring, that the intellectual property is dependent on licenses from third parties, that the acquired business infringes on the intellectual property rights of others</w:t>
      </w:r>
      <w:r>
        <w:rPr>
          <w:rFonts w:ascii="Arial" w:eastAsia="宋体" w:hAnsi="Arial" w:cs="Arial"/>
          <w:sz w:val="20"/>
          <w:szCs w:val="20"/>
        </w:rPr>
        <w:t>, that the technology does not have the acceptance in the marketplace that we anticipated or that the technology requires significant investment to remain competitive. The integration of an acquired business's information technology infrastructure into our</w:t>
      </w:r>
      <w:r>
        <w:rPr>
          <w:rFonts w:ascii="Arial" w:eastAsia="宋体" w:hAnsi="Arial" w:cs="Arial"/>
          <w:sz w:val="20"/>
          <w:szCs w:val="20"/>
        </w:rPr>
        <w:t>s has in the past and may in the future also expose us to additional security and resiliency risks. Further</w:t>
      </w:r>
      <w:r>
        <w:rPr>
          <w:rFonts w:ascii="Times New Roman" w:eastAsia="宋体" w:hAnsi="Times New Roman"/>
          <w:sz w:val="20"/>
          <w:szCs w:val="20"/>
        </w:rPr>
        <w:t>,</w:t>
      </w:r>
      <w:r>
        <w:rPr>
          <w:rFonts w:ascii="Arial" w:eastAsia="宋体" w:hAnsi="Arial" w:cs="Arial"/>
          <w:sz w:val="20"/>
          <w:szCs w:val="20"/>
        </w:rPr>
        <w:t xml:space="preserve"> past acquisitions have resulted in the recognition of goodwill and other significant intangible assets in our consolidated statement of condition. </w:t>
      </w:r>
      <w:r>
        <w:rPr>
          <w:rFonts w:ascii="Arial" w:eastAsia="宋体" w:hAnsi="Arial" w:cs="Arial"/>
          <w:sz w:val="20"/>
          <w:szCs w:val="20"/>
        </w:rPr>
        <w:t>For example, we recorded goodwill and intangible assets of approximately $2.46 billion associated with our acquisition of CRD in 2018. These assets are not eligible for inclusion in regulatory capital under applicable requirements. In addition, we may be r</w:t>
      </w:r>
      <w:r>
        <w:rPr>
          <w:rFonts w:ascii="Arial" w:eastAsia="宋体" w:hAnsi="Arial" w:cs="Arial"/>
          <w:sz w:val="20"/>
          <w:szCs w:val="20"/>
        </w:rPr>
        <w:t>equired to record impairment in our consolidated statement of income in future periods if we determine that the value of these assets has declined.</w:t>
      </w:r>
    </w:p>
    <w:p w14:paraId="55566F1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Through our acquisitions or joint ventures, we may also assume unknown or undisclosed business, operational,</w:t>
      </w:r>
      <w:r>
        <w:rPr>
          <w:rFonts w:ascii="Arial" w:eastAsia="宋体" w:hAnsi="Arial" w:cs="Arial"/>
          <w:sz w:val="20"/>
          <w:szCs w:val="20"/>
        </w:rPr>
        <w:t xml:space="preserve"> tax, regulatory and other liabilities, fail to properly assess known contingent liabilities or assume businesses with internal control deficiencies. While in most of our transactions we seek to mitigate these risks through, among other things, due diligen</w:t>
      </w:r>
      <w:r>
        <w:rPr>
          <w:rFonts w:ascii="Arial" w:eastAsia="宋体" w:hAnsi="Arial" w:cs="Arial"/>
          <w:sz w:val="20"/>
          <w:szCs w:val="20"/>
        </w:rPr>
        <w:t>ce, indemnification provisions or insurance, these or other risk-mitigating provisions we put in place may not be sufficient to address these liabilities and contingencies and involve credit and execution risks associated with successfully seeking recourse</w:t>
      </w:r>
      <w:r>
        <w:rPr>
          <w:rFonts w:ascii="Arial" w:eastAsia="宋体" w:hAnsi="Arial" w:cs="Arial"/>
          <w:sz w:val="20"/>
          <w:szCs w:val="20"/>
        </w:rPr>
        <w:t xml:space="preserve"> from a third party, such as the seller or an insurance provider. Other major financial services firms have recently paid significant penalties to resolve government investigations into matters conducted in significant part by acquired entities.</w:t>
      </w:r>
    </w:p>
    <w:p w14:paraId="55566F2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Various re</w:t>
      </w:r>
      <w:r>
        <w:rPr>
          <w:rFonts w:ascii="Arial" w:eastAsia="宋体" w:hAnsi="Arial" w:cs="Arial"/>
          <w:sz w:val="20"/>
          <w:szCs w:val="20"/>
        </w:rPr>
        <w:t>gulatory approvals or consents, formal or informal, are generally required prior to closing of these transactions, which may include approvals or non-objections from the Federal Reserve and other domestic and non-U.S. regulatory authorities. These regulato</w:t>
      </w:r>
      <w:r>
        <w:rPr>
          <w:rFonts w:ascii="Arial" w:eastAsia="宋体" w:hAnsi="Arial" w:cs="Arial"/>
          <w:sz w:val="20"/>
          <w:szCs w:val="20"/>
        </w:rPr>
        <w:t>ry authorities may impose conditions on the completion of the acquisition or require changes to its terms that materially affect the terms of the transaction or our ability to capture some of the opportunities presented by the transaction, or may not appro</w:t>
      </w:r>
      <w:r>
        <w:rPr>
          <w:rFonts w:ascii="Arial" w:eastAsia="宋体" w:hAnsi="Arial" w:cs="Arial"/>
          <w:sz w:val="20"/>
          <w:szCs w:val="20"/>
        </w:rPr>
        <w:t>ve the transaction. Any such conditions, or any associated regulatory delays, could limit the benefits of the transaction. Acquisitions or joint ventures we announce may not be completed if we do not receive the required regulatory approvals, if regulatory</w:t>
      </w:r>
      <w:r>
        <w:rPr>
          <w:rFonts w:ascii="Arial" w:eastAsia="宋体" w:hAnsi="Arial" w:cs="Arial"/>
          <w:sz w:val="20"/>
          <w:szCs w:val="20"/>
        </w:rPr>
        <w:t xml:space="preserve"> approvals are </w:t>
      </w:r>
    </w:p>
    <w:p w14:paraId="55566F21" w14:textId="77777777" w:rsidR="00F925DD" w:rsidRDefault="00F925DD">
      <w:pPr>
        <w:rPr>
          <w:rFonts w:ascii="Times New Roman" w:hAnsi="Times New Roman"/>
          <w:sz w:val="20"/>
          <w:szCs w:val="20"/>
        </w:rPr>
      </w:pPr>
    </w:p>
    <w:p w14:paraId="55566F2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40</w:t>
      </w:r>
    </w:p>
    <w:p w14:paraId="55566F23" w14:textId="77777777" w:rsidR="00F925DD" w:rsidRDefault="00F925DD">
      <w:pPr>
        <w:spacing w:line="288" w:lineRule="auto"/>
        <w:ind w:firstLine="600"/>
        <w:jc w:val="center"/>
        <w:rPr>
          <w:rFonts w:ascii="Times New Roman" w:hAnsi="Times New Roman"/>
          <w:sz w:val="18"/>
          <w:szCs w:val="18"/>
        </w:rPr>
      </w:pPr>
    </w:p>
    <w:p w14:paraId="55566F24" w14:textId="77777777" w:rsidR="00F925DD" w:rsidRDefault="00E705D7">
      <w:r>
        <w:rPr>
          <w:rFonts w:ascii="Times New Roman" w:hAnsi="Times New Roman"/>
          <w:sz w:val="18"/>
          <w:szCs w:val="18"/>
        </w:rPr>
        <w:pict w14:anchorId="55570660">
          <v:rect id="_x0000_i1064" style="width:415.3pt;height:1.5pt" o:hralign="center" o:hrstd="t" o:hr="t" fillcolor="#a0a0a0" stroked="f"/>
        </w:pict>
      </w:r>
    </w:p>
    <w:p w14:paraId="55566F25" w14:textId="77777777" w:rsidR="00F925DD" w:rsidRDefault="00F925DD">
      <w:pPr>
        <w:spacing w:line="288" w:lineRule="auto"/>
        <w:ind w:firstLine="600"/>
        <w:rPr>
          <w:rFonts w:ascii="Times New Roman" w:hAnsi="Times New Roman"/>
          <w:sz w:val="18"/>
          <w:szCs w:val="18"/>
        </w:rPr>
      </w:pPr>
    </w:p>
    <w:p w14:paraId="55566F26" w14:textId="77777777" w:rsidR="00F925DD" w:rsidRDefault="00F925DD">
      <w:pPr>
        <w:rPr>
          <w:rFonts w:ascii="Times New Roman" w:hAnsi="Times New Roman"/>
          <w:sz w:val="20"/>
          <w:szCs w:val="20"/>
        </w:rPr>
      </w:pPr>
    </w:p>
    <w:p w14:paraId="55566F2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significantly delayed or if other closing conditions are not satisfied.</w:t>
      </w:r>
    </w:p>
    <w:p w14:paraId="55566F28"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The integration and the retention and development of the benefits of our acquisitions results in risks to our business and other unc</w:t>
      </w:r>
      <w:r>
        <w:rPr>
          <w:rFonts w:ascii="Arial" w:eastAsia="宋体" w:hAnsi="Arial" w:cs="Arial"/>
          <w:b/>
          <w:bCs/>
          <w:color w:val="000000"/>
          <w:sz w:val="20"/>
          <w:szCs w:val="20"/>
        </w:rPr>
        <w:t>ertainties.</w:t>
      </w:r>
    </w:p>
    <w:p w14:paraId="55566F2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recent years, we have undertaken several acquisitions, including our 2018 acquisition of CRD and our 2016 acquisition of the General Electric Asset Management (GEAM) business. The integration of acquisitions presents risks that differ from the risks ass</w:t>
      </w:r>
      <w:r>
        <w:rPr>
          <w:rFonts w:ascii="Arial" w:eastAsia="宋体" w:hAnsi="Arial" w:cs="Arial"/>
          <w:sz w:val="20"/>
          <w:szCs w:val="20"/>
        </w:rPr>
        <w:t>ociated with our ongoing operations. Integration activities are complicated and time consuming and can involve significant unforeseen costs. We may not be able to effectively assimilate services, technologies, key personnel or businesses of acquired compan</w:t>
      </w:r>
      <w:r>
        <w:rPr>
          <w:rFonts w:ascii="Arial" w:eastAsia="宋体" w:hAnsi="Arial" w:cs="Arial"/>
          <w:sz w:val="20"/>
          <w:szCs w:val="20"/>
        </w:rPr>
        <w:t>ies into our business or service offerings as anticipated, and we may not achieve related revenue growth or cost savings. We also face the risk of being unable to retain, or cross-sell our products or services to, the clients of acquired companies or joint</w:t>
      </w:r>
      <w:r>
        <w:rPr>
          <w:rFonts w:ascii="Arial" w:eastAsia="宋体" w:hAnsi="Arial" w:cs="Arial"/>
          <w:sz w:val="20"/>
          <w:szCs w:val="20"/>
        </w:rPr>
        <w:t xml:space="preserve"> ventures and the risk of being unable to cross-sell acquired products or services to our existing clients. In particular, some clients, including significant clients, of an acquired business may have the right to transition their business to other provide</w:t>
      </w:r>
      <w:r>
        <w:rPr>
          <w:rFonts w:ascii="Arial" w:eastAsia="宋体" w:hAnsi="Arial" w:cs="Arial"/>
          <w:sz w:val="20"/>
          <w:szCs w:val="20"/>
        </w:rPr>
        <w:t>rs on short notice for convenience, fiduciary or other reasons and may take the opportunity of the acquisition or market, commercial, relationship, service satisfaction or other developments following the acquisition to terminate, reduce or renegotiate the</w:t>
      </w:r>
      <w:r>
        <w:rPr>
          <w:rFonts w:ascii="Arial" w:eastAsia="宋体" w:hAnsi="Arial" w:cs="Arial"/>
          <w:sz w:val="20"/>
          <w:szCs w:val="20"/>
        </w:rPr>
        <w:t xml:space="preserve"> fees or other terms of our relationship. Any such client losses, reductions or renegotiations likely will reduce the expected benefits of the acquisition, including revenues, cross-selling opportunities and market share or cause impairment to goodwill and</w:t>
      </w:r>
      <w:r>
        <w:rPr>
          <w:rFonts w:ascii="Arial" w:eastAsia="宋体" w:hAnsi="Arial" w:cs="Arial"/>
          <w:sz w:val="20"/>
          <w:szCs w:val="20"/>
        </w:rPr>
        <w:t xml:space="preserve"> other intangibles, which effects could be material, and we may not have recourse against the seller of the business or the client. The risk of client loss is even greater where the client is a competitor of ours. Acquisitions of technology firms can invol</w:t>
      </w:r>
      <w:r>
        <w:rPr>
          <w:rFonts w:ascii="Arial" w:eastAsia="宋体" w:hAnsi="Arial" w:cs="Arial"/>
          <w:sz w:val="20"/>
          <w:szCs w:val="20"/>
        </w:rPr>
        <w:t>ve extensive information technology integration, with associated risk of defects, security breaches and resiliency lapses and product enhancement and development activities, the costs of which can be difficult to estimate as well as heightened cultural and</w:t>
      </w:r>
      <w:r>
        <w:rPr>
          <w:rFonts w:ascii="Arial" w:eastAsia="宋体" w:hAnsi="Arial" w:cs="Arial"/>
          <w:sz w:val="20"/>
          <w:szCs w:val="20"/>
        </w:rPr>
        <w:t xml:space="preserve"> compliance concerns in integrating an unregulated firm into a bank regulatory environment. Acquisitions of Investment Servicing businesses entail information technology systems conversions, which involve operational risks, as well as fiduciary and other r</w:t>
      </w:r>
      <w:r>
        <w:rPr>
          <w:rFonts w:ascii="Arial" w:eastAsia="宋体" w:hAnsi="Arial" w:cs="Arial"/>
          <w:sz w:val="20"/>
          <w:szCs w:val="20"/>
        </w:rPr>
        <w:t xml:space="preserve">isks associated with client retention. Acquisitions of Asset Management businesses similarly involve fiduciary and similar risks associated with client retention, distribution channels and additional servicing opportunities. </w:t>
      </w:r>
    </w:p>
    <w:p w14:paraId="55566F2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With any acquisition, the inte</w:t>
      </w:r>
      <w:r>
        <w:rPr>
          <w:rFonts w:ascii="Arial" w:eastAsia="宋体" w:hAnsi="Arial" w:cs="Arial"/>
          <w:sz w:val="20"/>
          <w:szCs w:val="20"/>
        </w:rPr>
        <w:t xml:space="preserve">gration of the operations and resources of the businesses could result in the loss of key employees, the disruption of our and the acquired company's ongoing businesses or inconsistencies in standards, controls, procedures or </w:t>
      </w:r>
    </w:p>
    <w:p w14:paraId="55566F2B"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F2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policies that could </w:t>
      </w:r>
      <w:r>
        <w:rPr>
          <w:rFonts w:ascii="Arial" w:eastAsia="宋体" w:hAnsi="Arial" w:cs="Arial"/>
          <w:sz w:val="20"/>
          <w:szCs w:val="20"/>
        </w:rPr>
        <w:t>adversely affect our ability to maintain relationships with clients, business partners or employees, maintain regulatory compliance or achieve the anticipated benefits of the acquisition. Integration efforts may also divert management attention and resourc</w:t>
      </w:r>
      <w:r>
        <w:rPr>
          <w:rFonts w:ascii="Arial" w:eastAsia="宋体" w:hAnsi="Arial" w:cs="Arial"/>
          <w:sz w:val="20"/>
          <w:szCs w:val="20"/>
        </w:rPr>
        <w:t>es.</w:t>
      </w:r>
    </w:p>
    <w:p w14:paraId="55566F2D"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Our acquisition of CRD and the integration of its business, operations and employees with our own may be more difficult, costly or time consuming than expected, and the anticipated benefits and cost synergies of the acquisition may not be fully realize</w:t>
      </w:r>
      <w:r>
        <w:rPr>
          <w:rFonts w:ascii="Arial" w:eastAsia="宋体" w:hAnsi="Arial" w:cs="Arial"/>
          <w:b/>
          <w:bCs/>
          <w:color w:val="000000"/>
          <w:sz w:val="20"/>
          <w:szCs w:val="20"/>
        </w:rPr>
        <w:t xml:space="preserve">d, which could adversely impact our business operations, financial condition and results of operations. </w:t>
      </w:r>
    </w:p>
    <w:p w14:paraId="55566F2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completed our acquisition of CRD on October 1, 2018. The success of the acquisition, including the achievement of anticipated growth opportunities a</w:t>
      </w:r>
      <w:r>
        <w:rPr>
          <w:rFonts w:ascii="Arial" w:eastAsia="宋体" w:hAnsi="Arial" w:cs="Arial"/>
          <w:sz w:val="20"/>
          <w:szCs w:val="20"/>
        </w:rPr>
        <w:t>nd cost synergies of the acquisition, is subject to a number of uncertainties and will depend, in part, on our ability to successfully combine and integrate CRD’s business into our business in an efficient and effective manner. The combined company may fac</w:t>
      </w:r>
      <w:r>
        <w:rPr>
          <w:rFonts w:ascii="Arial" w:eastAsia="宋体" w:hAnsi="Arial" w:cs="Arial"/>
          <w:sz w:val="20"/>
          <w:szCs w:val="20"/>
        </w:rPr>
        <w:t xml:space="preserve">e significant challenges in implementing such integration, including challenges related to: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F31" w14:textId="77777777">
        <w:trPr>
          <w:tblCellSpacing w:w="0" w:type="dxa"/>
        </w:trPr>
        <w:tc>
          <w:tcPr>
            <w:tcW w:w="960" w:type="dxa"/>
            <w:shd w:val="clear" w:color="auto" w:fill="auto"/>
            <w:vAlign w:val="center"/>
          </w:tcPr>
          <w:p w14:paraId="55566F2F" w14:textId="77777777" w:rsidR="00F925DD" w:rsidRDefault="00F925DD">
            <w:pPr>
              <w:rPr>
                <w:rFonts w:ascii="Times New Roman" w:hAnsi="Times New Roman"/>
                <w:sz w:val="20"/>
                <w:szCs w:val="20"/>
              </w:rPr>
            </w:pPr>
          </w:p>
        </w:tc>
        <w:tc>
          <w:tcPr>
            <w:tcW w:w="0" w:type="auto"/>
            <w:shd w:val="clear" w:color="auto" w:fill="auto"/>
            <w:vAlign w:val="center"/>
          </w:tcPr>
          <w:p w14:paraId="55566F30" w14:textId="77777777" w:rsidR="00F925DD" w:rsidRDefault="00F925DD">
            <w:pPr>
              <w:rPr>
                <w:rFonts w:ascii="Times New Roman" w:hAnsi="Times New Roman"/>
                <w:sz w:val="20"/>
                <w:szCs w:val="20"/>
              </w:rPr>
            </w:pPr>
          </w:p>
        </w:tc>
      </w:tr>
      <w:tr w:rsidR="00F925DD" w14:paraId="55566F34" w14:textId="77777777">
        <w:trPr>
          <w:tblCellSpacing w:w="0" w:type="dxa"/>
        </w:trPr>
        <w:tc>
          <w:tcPr>
            <w:tcW w:w="0" w:type="auto"/>
            <w:shd w:val="clear" w:color="auto" w:fill="auto"/>
          </w:tcPr>
          <w:p w14:paraId="55566F3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F3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integrating CRD's business into our own in a manner that permits the combined company to achieve the cost and operating synergies anticipated to result from t</w:t>
            </w:r>
            <w:r>
              <w:rPr>
                <w:rFonts w:ascii="Arial" w:eastAsia="宋体" w:hAnsi="Arial" w:cs="Arial"/>
                <w:sz w:val="20"/>
                <w:szCs w:val="20"/>
              </w:rPr>
              <w:t xml:space="preserve">he acquisition, which could result in the anticipated benefits of the acquisition not being realized partly or wholly in the time frame currently anticipated or at all; </w:t>
            </w:r>
          </w:p>
        </w:tc>
      </w:tr>
    </w:tbl>
    <w:p w14:paraId="55566F3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47"/>
      </w:tblGrid>
      <w:tr w:rsidR="00F925DD" w14:paraId="55566F38" w14:textId="77777777">
        <w:trPr>
          <w:tblCellSpacing w:w="0" w:type="dxa"/>
        </w:trPr>
        <w:tc>
          <w:tcPr>
            <w:tcW w:w="960" w:type="dxa"/>
            <w:shd w:val="clear" w:color="auto" w:fill="auto"/>
            <w:vAlign w:val="center"/>
          </w:tcPr>
          <w:p w14:paraId="55566F36" w14:textId="77777777" w:rsidR="00F925DD" w:rsidRDefault="00F925DD">
            <w:pPr>
              <w:rPr>
                <w:rFonts w:ascii="Times New Roman" w:hAnsi="Times New Roman"/>
                <w:sz w:val="20"/>
                <w:szCs w:val="20"/>
              </w:rPr>
            </w:pPr>
          </w:p>
        </w:tc>
        <w:tc>
          <w:tcPr>
            <w:tcW w:w="0" w:type="auto"/>
            <w:shd w:val="clear" w:color="auto" w:fill="auto"/>
            <w:vAlign w:val="center"/>
          </w:tcPr>
          <w:p w14:paraId="55566F37" w14:textId="77777777" w:rsidR="00F925DD" w:rsidRDefault="00F925DD">
            <w:pPr>
              <w:rPr>
                <w:rFonts w:ascii="Times New Roman" w:hAnsi="Times New Roman"/>
                <w:sz w:val="20"/>
                <w:szCs w:val="20"/>
              </w:rPr>
            </w:pPr>
          </w:p>
        </w:tc>
      </w:tr>
      <w:tr w:rsidR="00F925DD" w14:paraId="55566F3B" w14:textId="77777777">
        <w:trPr>
          <w:tblCellSpacing w:w="0" w:type="dxa"/>
        </w:trPr>
        <w:tc>
          <w:tcPr>
            <w:tcW w:w="0" w:type="auto"/>
            <w:shd w:val="clear" w:color="auto" w:fill="auto"/>
          </w:tcPr>
          <w:p w14:paraId="55566F3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F3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retaining CRD’s clients, some of which are our competitors;</w:t>
            </w:r>
          </w:p>
        </w:tc>
      </w:tr>
    </w:tbl>
    <w:p w14:paraId="55566F3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581"/>
      </w:tblGrid>
      <w:tr w:rsidR="00F925DD" w14:paraId="55566F3F" w14:textId="77777777">
        <w:trPr>
          <w:tblCellSpacing w:w="0" w:type="dxa"/>
        </w:trPr>
        <w:tc>
          <w:tcPr>
            <w:tcW w:w="960" w:type="dxa"/>
            <w:shd w:val="clear" w:color="auto" w:fill="auto"/>
            <w:vAlign w:val="center"/>
          </w:tcPr>
          <w:p w14:paraId="55566F3D" w14:textId="77777777" w:rsidR="00F925DD" w:rsidRDefault="00F925DD">
            <w:pPr>
              <w:rPr>
                <w:rFonts w:ascii="Times New Roman" w:hAnsi="Times New Roman"/>
                <w:sz w:val="20"/>
                <w:szCs w:val="20"/>
              </w:rPr>
            </w:pPr>
          </w:p>
        </w:tc>
        <w:tc>
          <w:tcPr>
            <w:tcW w:w="0" w:type="auto"/>
            <w:shd w:val="clear" w:color="auto" w:fill="auto"/>
            <w:vAlign w:val="center"/>
          </w:tcPr>
          <w:p w14:paraId="55566F3E" w14:textId="77777777" w:rsidR="00F925DD" w:rsidRDefault="00F925DD">
            <w:pPr>
              <w:rPr>
                <w:rFonts w:ascii="Times New Roman" w:hAnsi="Times New Roman"/>
                <w:sz w:val="20"/>
                <w:szCs w:val="20"/>
              </w:rPr>
            </w:pPr>
          </w:p>
        </w:tc>
      </w:tr>
      <w:tr w:rsidR="00F925DD" w14:paraId="55566F42" w14:textId="77777777">
        <w:trPr>
          <w:tblCellSpacing w:w="0" w:type="dxa"/>
        </w:trPr>
        <w:tc>
          <w:tcPr>
            <w:tcW w:w="0" w:type="auto"/>
            <w:shd w:val="clear" w:color="auto" w:fill="auto"/>
          </w:tcPr>
          <w:p w14:paraId="55566F4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F4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retaining key management and technical personnel;</w:t>
            </w:r>
          </w:p>
        </w:tc>
      </w:tr>
    </w:tbl>
    <w:p w14:paraId="55566F4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F46" w14:textId="77777777">
        <w:trPr>
          <w:tblCellSpacing w:w="0" w:type="dxa"/>
        </w:trPr>
        <w:tc>
          <w:tcPr>
            <w:tcW w:w="960" w:type="dxa"/>
            <w:shd w:val="clear" w:color="auto" w:fill="auto"/>
            <w:vAlign w:val="center"/>
          </w:tcPr>
          <w:p w14:paraId="55566F44" w14:textId="77777777" w:rsidR="00F925DD" w:rsidRDefault="00F925DD">
            <w:pPr>
              <w:rPr>
                <w:rFonts w:ascii="Times New Roman" w:hAnsi="Times New Roman"/>
                <w:sz w:val="20"/>
                <w:szCs w:val="20"/>
              </w:rPr>
            </w:pPr>
          </w:p>
        </w:tc>
        <w:tc>
          <w:tcPr>
            <w:tcW w:w="0" w:type="auto"/>
            <w:shd w:val="clear" w:color="auto" w:fill="auto"/>
            <w:vAlign w:val="center"/>
          </w:tcPr>
          <w:p w14:paraId="55566F45" w14:textId="77777777" w:rsidR="00F925DD" w:rsidRDefault="00F925DD">
            <w:pPr>
              <w:rPr>
                <w:rFonts w:ascii="Times New Roman" w:hAnsi="Times New Roman"/>
                <w:sz w:val="20"/>
                <w:szCs w:val="20"/>
              </w:rPr>
            </w:pPr>
          </w:p>
        </w:tc>
      </w:tr>
      <w:tr w:rsidR="00F925DD" w14:paraId="55566F49" w14:textId="77777777">
        <w:trPr>
          <w:tblCellSpacing w:w="0" w:type="dxa"/>
        </w:trPr>
        <w:tc>
          <w:tcPr>
            <w:tcW w:w="0" w:type="auto"/>
            <w:shd w:val="clear" w:color="auto" w:fill="auto"/>
          </w:tcPr>
          <w:p w14:paraId="55566F4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F4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integrating CRD’s software solutions with our existing products and services and related operations and systems, including performance, risk and compliance analytics, investment manager </w:t>
            </w:r>
            <w:r>
              <w:rPr>
                <w:rFonts w:ascii="Arial" w:eastAsia="宋体" w:hAnsi="Arial" w:cs="Arial"/>
                <w:sz w:val="20"/>
                <w:szCs w:val="20"/>
              </w:rPr>
              <w:t>operations outsourcing, accounting, administration and custody;</w:t>
            </w:r>
          </w:p>
        </w:tc>
      </w:tr>
    </w:tbl>
    <w:p w14:paraId="55566F4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F4D" w14:textId="77777777">
        <w:trPr>
          <w:tblCellSpacing w:w="0" w:type="dxa"/>
        </w:trPr>
        <w:tc>
          <w:tcPr>
            <w:tcW w:w="960" w:type="dxa"/>
            <w:shd w:val="clear" w:color="auto" w:fill="auto"/>
            <w:vAlign w:val="center"/>
          </w:tcPr>
          <w:p w14:paraId="55566F4B" w14:textId="77777777" w:rsidR="00F925DD" w:rsidRDefault="00F925DD">
            <w:pPr>
              <w:rPr>
                <w:rFonts w:ascii="Times New Roman" w:hAnsi="Times New Roman"/>
                <w:sz w:val="20"/>
                <w:szCs w:val="20"/>
              </w:rPr>
            </w:pPr>
          </w:p>
        </w:tc>
        <w:tc>
          <w:tcPr>
            <w:tcW w:w="0" w:type="auto"/>
            <w:shd w:val="clear" w:color="auto" w:fill="auto"/>
            <w:vAlign w:val="center"/>
          </w:tcPr>
          <w:p w14:paraId="55566F4C" w14:textId="77777777" w:rsidR="00F925DD" w:rsidRDefault="00F925DD">
            <w:pPr>
              <w:rPr>
                <w:rFonts w:ascii="Times New Roman" w:hAnsi="Times New Roman"/>
                <w:sz w:val="20"/>
                <w:szCs w:val="20"/>
              </w:rPr>
            </w:pPr>
          </w:p>
        </w:tc>
      </w:tr>
      <w:tr w:rsidR="00F925DD" w14:paraId="55566F50" w14:textId="77777777">
        <w:trPr>
          <w:tblCellSpacing w:w="0" w:type="dxa"/>
        </w:trPr>
        <w:tc>
          <w:tcPr>
            <w:tcW w:w="0" w:type="auto"/>
            <w:shd w:val="clear" w:color="auto" w:fill="auto"/>
          </w:tcPr>
          <w:p w14:paraId="55566F4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F4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accelerating the development of enhancements to the features and functions of CRD’s software solutions;</w:t>
            </w:r>
          </w:p>
        </w:tc>
      </w:tr>
    </w:tbl>
    <w:p w14:paraId="55566F5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F54" w14:textId="77777777">
        <w:trPr>
          <w:tblCellSpacing w:w="0" w:type="dxa"/>
        </w:trPr>
        <w:tc>
          <w:tcPr>
            <w:tcW w:w="960" w:type="dxa"/>
            <w:shd w:val="clear" w:color="auto" w:fill="auto"/>
            <w:vAlign w:val="center"/>
          </w:tcPr>
          <w:p w14:paraId="55566F52" w14:textId="77777777" w:rsidR="00F925DD" w:rsidRDefault="00F925DD">
            <w:pPr>
              <w:rPr>
                <w:rFonts w:ascii="Times New Roman" w:hAnsi="Times New Roman"/>
                <w:sz w:val="20"/>
                <w:szCs w:val="20"/>
              </w:rPr>
            </w:pPr>
          </w:p>
        </w:tc>
        <w:tc>
          <w:tcPr>
            <w:tcW w:w="0" w:type="auto"/>
            <w:shd w:val="clear" w:color="auto" w:fill="auto"/>
            <w:vAlign w:val="center"/>
          </w:tcPr>
          <w:p w14:paraId="55566F53" w14:textId="77777777" w:rsidR="00F925DD" w:rsidRDefault="00F925DD">
            <w:pPr>
              <w:rPr>
                <w:rFonts w:ascii="Times New Roman" w:hAnsi="Times New Roman"/>
                <w:sz w:val="20"/>
                <w:szCs w:val="20"/>
              </w:rPr>
            </w:pPr>
          </w:p>
        </w:tc>
      </w:tr>
      <w:tr w:rsidR="00F925DD" w14:paraId="55566F57" w14:textId="77777777">
        <w:trPr>
          <w:tblCellSpacing w:w="0" w:type="dxa"/>
        </w:trPr>
        <w:tc>
          <w:tcPr>
            <w:tcW w:w="0" w:type="auto"/>
            <w:shd w:val="clear" w:color="auto" w:fill="auto"/>
          </w:tcPr>
          <w:p w14:paraId="55566F5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F5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coordinating and integrating our internal operations, compensation programs, policies and procedures, and corporate structures; </w:t>
            </w:r>
          </w:p>
        </w:tc>
      </w:tr>
    </w:tbl>
    <w:p w14:paraId="55566F5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905"/>
      </w:tblGrid>
      <w:tr w:rsidR="00F925DD" w14:paraId="55566F5B" w14:textId="77777777">
        <w:trPr>
          <w:tblCellSpacing w:w="0" w:type="dxa"/>
        </w:trPr>
        <w:tc>
          <w:tcPr>
            <w:tcW w:w="960" w:type="dxa"/>
            <w:shd w:val="clear" w:color="auto" w:fill="auto"/>
            <w:vAlign w:val="center"/>
          </w:tcPr>
          <w:p w14:paraId="55566F59" w14:textId="77777777" w:rsidR="00F925DD" w:rsidRDefault="00F925DD">
            <w:pPr>
              <w:rPr>
                <w:rFonts w:ascii="Times New Roman" w:hAnsi="Times New Roman"/>
                <w:sz w:val="20"/>
                <w:szCs w:val="20"/>
              </w:rPr>
            </w:pPr>
          </w:p>
        </w:tc>
        <w:tc>
          <w:tcPr>
            <w:tcW w:w="0" w:type="auto"/>
            <w:shd w:val="clear" w:color="auto" w:fill="auto"/>
            <w:vAlign w:val="center"/>
          </w:tcPr>
          <w:p w14:paraId="55566F5A" w14:textId="77777777" w:rsidR="00F925DD" w:rsidRDefault="00F925DD">
            <w:pPr>
              <w:rPr>
                <w:rFonts w:ascii="Times New Roman" w:hAnsi="Times New Roman"/>
                <w:sz w:val="20"/>
                <w:szCs w:val="20"/>
              </w:rPr>
            </w:pPr>
          </w:p>
        </w:tc>
      </w:tr>
      <w:tr w:rsidR="00F925DD" w14:paraId="55566F5E" w14:textId="77777777">
        <w:trPr>
          <w:tblCellSpacing w:w="0" w:type="dxa"/>
        </w:trPr>
        <w:tc>
          <w:tcPr>
            <w:tcW w:w="0" w:type="auto"/>
            <w:shd w:val="clear" w:color="auto" w:fill="auto"/>
          </w:tcPr>
          <w:p w14:paraId="55566F5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F5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potential unknown liabilities and unforeseen or increased costs and expenses; </w:t>
            </w:r>
          </w:p>
        </w:tc>
      </w:tr>
    </w:tbl>
    <w:p w14:paraId="55566F5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F62" w14:textId="77777777">
        <w:trPr>
          <w:tblCellSpacing w:w="0" w:type="dxa"/>
        </w:trPr>
        <w:tc>
          <w:tcPr>
            <w:tcW w:w="960" w:type="dxa"/>
            <w:shd w:val="clear" w:color="auto" w:fill="auto"/>
            <w:vAlign w:val="center"/>
          </w:tcPr>
          <w:p w14:paraId="55566F60" w14:textId="77777777" w:rsidR="00F925DD" w:rsidRDefault="00F925DD">
            <w:pPr>
              <w:rPr>
                <w:rFonts w:ascii="Times New Roman" w:hAnsi="Times New Roman"/>
                <w:sz w:val="20"/>
                <w:szCs w:val="20"/>
              </w:rPr>
            </w:pPr>
          </w:p>
        </w:tc>
        <w:tc>
          <w:tcPr>
            <w:tcW w:w="0" w:type="auto"/>
            <w:shd w:val="clear" w:color="auto" w:fill="auto"/>
            <w:vAlign w:val="center"/>
          </w:tcPr>
          <w:p w14:paraId="55566F61" w14:textId="77777777" w:rsidR="00F925DD" w:rsidRDefault="00F925DD">
            <w:pPr>
              <w:rPr>
                <w:rFonts w:ascii="Times New Roman" w:hAnsi="Times New Roman"/>
                <w:sz w:val="20"/>
                <w:szCs w:val="20"/>
              </w:rPr>
            </w:pPr>
          </w:p>
        </w:tc>
      </w:tr>
      <w:tr w:rsidR="00F925DD" w14:paraId="55566F65" w14:textId="77777777">
        <w:trPr>
          <w:tblCellSpacing w:w="0" w:type="dxa"/>
        </w:trPr>
        <w:tc>
          <w:tcPr>
            <w:tcW w:w="0" w:type="auto"/>
            <w:shd w:val="clear" w:color="auto" w:fill="auto"/>
          </w:tcPr>
          <w:p w14:paraId="55566F6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F6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possibility of faulty assumptions underlying expectations regarding potential synergies and the integration process; </w:t>
            </w:r>
          </w:p>
        </w:tc>
      </w:tr>
    </w:tbl>
    <w:p w14:paraId="55566F6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F69" w14:textId="77777777">
        <w:trPr>
          <w:tblCellSpacing w:w="0" w:type="dxa"/>
        </w:trPr>
        <w:tc>
          <w:tcPr>
            <w:tcW w:w="960" w:type="dxa"/>
            <w:shd w:val="clear" w:color="auto" w:fill="auto"/>
            <w:vAlign w:val="center"/>
          </w:tcPr>
          <w:p w14:paraId="55566F67" w14:textId="77777777" w:rsidR="00F925DD" w:rsidRDefault="00F925DD">
            <w:pPr>
              <w:rPr>
                <w:rFonts w:ascii="Times New Roman" w:hAnsi="Times New Roman"/>
                <w:sz w:val="20"/>
                <w:szCs w:val="20"/>
              </w:rPr>
            </w:pPr>
          </w:p>
        </w:tc>
        <w:tc>
          <w:tcPr>
            <w:tcW w:w="0" w:type="auto"/>
            <w:shd w:val="clear" w:color="auto" w:fill="auto"/>
            <w:vAlign w:val="center"/>
          </w:tcPr>
          <w:p w14:paraId="55566F68" w14:textId="77777777" w:rsidR="00F925DD" w:rsidRDefault="00F925DD">
            <w:pPr>
              <w:rPr>
                <w:rFonts w:ascii="Times New Roman" w:hAnsi="Times New Roman"/>
                <w:sz w:val="20"/>
                <w:szCs w:val="20"/>
              </w:rPr>
            </w:pPr>
          </w:p>
        </w:tc>
      </w:tr>
      <w:tr w:rsidR="00F925DD" w14:paraId="55566F6C" w14:textId="77777777">
        <w:trPr>
          <w:tblCellSpacing w:w="0" w:type="dxa"/>
        </w:trPr>
        <w:tc>
          <w:tcPr>
            <w:tcW w:w="0" w:type="auto"/>
            <w:shd w:val="clear" w:color="auto" w:fill="auto"/>
          </w:tcPr>
          <w:p w14:paraId="55566F6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F6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incurring significant acquisition-related costs and expenses associated with combining our operations; and</w:t>
            </w:r>
          </w:p>
        </w:tc>
      </w:tr>
    </w:tbl>
    <w:p w14:paraId="55566F6D" w14:textId="77777777" w:rsidR="00F925DD" w:rsidRDefault="00F925DD">
      <w:pPr>
        <w:rPr>
          <w:rFonts w:ascii="Times New Roman" w:hAnsi="Times New Roman"/>
          <w:sz w:val="20"/>
          <w:szCs w:val="20"/>
        </w:rPr>
      </w:pPr>
    </w:p>
    <w:p w14:paraId="55566F6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Street </w:t>
      </w:r>
      <w:r>
        <w:rPr>
          <w:rFonts w:ascii="Arial" w:eastAsia="宋体" w:hAnsi="Arial" w:cs="Arial"/>
          <w:sz w:val="18"/>
          <w:szCs w:val="18"/>
        </w:rPr>
        <w:t>Corporation | 41</w:t>
      </w:r>
    </w:p>
    <w:p w14:paraId="55566F6F" w14:textId="77777777" w:rsidR="00F925DD" w:rsidRDefault="00F925DD">
      <w:pPr>
        <w:spacing w:line="288" w:lineRule="auto"/>
        <w:ind w:firstLine="600"/>
        <w:jc w:val="center"/>
        <w:rPr>
          <w:rFonts w:ascii="Times New Roman" w:hAnsi="Times New Roman"/>
          <w:sz w:val="18"/>
          <w:szCs w:val="18"/>
        </w:rPr>
      </w:pPr>
    </w:p>
    <w:p w14:paraId="55566F70" w14:textId="77777777" w:rsidR="00F925DD" w:rsidRDefault="00E705D7">
      <w:r>
        <w:rPr>
          <w:rFonts w:ascii="Times New Roman" w:hAnsi="Times New Roman"/>
          <w:sz w:val="18"/>
          <w:szCs w:val="18"/>
        </w:rPr>
        <w:pict w14:anchorId="55570661">
          <v:rect id="_x0000_i1065" style="width:415.3pt;height:1.5pt" o:hralign="center" o:hrstd="t" o:hr="t" fillcolor="#a0a0a0" stroked="f"/>
        </w:pict>
      </w:r>
    </w:p>
    <w:p w14:paraId="55566F71" w14:textId="77777777" w:rsidR="00F925DD" w:rsidRDefault="00F925DD">
      <w:pPr>
        <w:spacing w:line="288" w:lineRule="auto"/>
        <w:ind w:firstLine="600"/>
        <w:rPr>
          <w:rFonts w:ascii="Times New Roman" w:hAnsi="Times New Roman"/>
          <w:sz w:val="18"/>
          <w:szCs w:val="18"/>
        </w:rPr>
      </w:pPr>
    </w:p>
    <w:p w14:paraId="55566F72" w14:textId="77777777" w:rsidR="00F925DD" w:rsidRDefault="00F925DD">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6F75" w14:textId="77777777">
        <w:trPr>
          <w:tblCellSpacing w:w="0" w:type="dxa"/>
        </w:trPr>
        <w:tc>
          <w:tcPr>
            <w:tcW w:w="960" w:type="dxa"/>
            <w:shd w:val="clear" w:color="auto" w:fill="auto"/>
            <w:vAlign w:val="center"/>
          </w:tcPr>
          <w:p w14:paraId="55566F73" w14:textId="77777777" w:rsidR="00F925DD" w:rsidRDefault="00F925DD">
            <w:pPr>
              <w:rPr>
                <w:rFonts w:ascii="Times New Roman" w:hAnsi="Times New Roman"/>
                <w:sz w:val="20"/>
                <w:szCs w:val="20"/>
              </w:rPr>
            </w:pPr>
          </w:p>
        </w:tc>
        <w:tc>
          <w:tcPr>
            <w:tcW w:w="0" w:type="auto"/>
            <w:shd w:val="clear" w:color="auto" w:fill="auto"/>
            <w:vAlign w:val="center"/>
          </w:tcPr>
          <w:p w14:paraId="55566F74" w14:textId="77777777" w:rsidR="00F925DD" w:rsidRDefault="00F925DD">
            <w:pPr>
              <w:rPr>
                <w:rFonts w:ascii="Times New Roman" w:hAnsi="Times New Roman"/>
                <w:sz w:val="20"/>
                <w:szCs w:val="20"/>
              </w:rPr>
            </w:pPr>
          </w:p>
        </w:tc>
      </w:tr>
      <w:tr w:rsidR="00F925DD" w14:paraId="55566F78" w14:textId="77777777">
        <w:trPr>
          <w:tblCellSpacing w:w="0" w:type="dxa"/>
        </w:trPr>
        <w:tc>
          <w:tcPr>
            <w:tcW w:w="0" w:type="auto"/>
            <w:shd w:val="clear" w:color="auto" w:fill="auto"/>
          </w:tcPr>
          <w:p w14:paraId="55566F7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6F7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performance shortfalls as a result of the diversion of management’s attention and resources caused by integrating the companies’ operations. </w:t>
            </w:r>
          </w:p>
        </w:tc>
      </w:tr>
    </w:tbl>
    <w:p w14:paraId="55566F7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Any of these factors could result in our failure to realize the anticipated </w:t>
      </w:r>
      <w:r>
        <w:rPr>
          <w:rFonts w:ascii="Arial" w:eastAsia="宋体" w:hAnsi="Arial" w:cs="Arial"/>
          <w:sz w:val="20"/>
          <w:szCs w:val="20"/>
        </w:rPr>
        <w:t>benefits of the acquisition, on the expected timeline or at all, and could adversely impact our business operations, financial condition and results of operations.</w:t>
      </w:r>
    </w:p>
    <w:p w14:paraId="55566F7A"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Cost shifting to non-U.S. jurisdictions and outsourcing may expose us to increased operation</w:t>
      </w:r>
      <w:r>
        <w:rPr>
          <w:rFonts w:ascii="Arial" w:eastAsia="宋体" w:hAnsi="Arial" w:cs="Arial"/>
          <w:b/>
          <w:bCs/>
          <w:color w:val="000000"/>
          <w:sz w:val="20"/>
          <w:szCs w:val="20"/>
        </w:rPr>
        <w:t>al risk and reputational harm and may not result in expected cost savings.</w:t>
      </w:r>
    </w:p>
    <w:p w14:paraId="55566F7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manage expenses by migrating certain business processes and business support functions to lower-cost geographic locations, such as India, Poland and China, and by outsourcing to </w:t>
      </w:r>
      <w:r>
        <w:rPr>
          <w:rFonts w:ascii="Arial" w:eastAsia="宋体" w:hAnsi="Arial" w:cs="Arial"/>
          <w:sz w:val="20"/>
          <w:szCs w:val="20"/>
        </w:rPr>
        <w:t>vendors in various jurisdictions and to joint ventures. This effort exposes us to the risk that we may not maintain service quality, control and effective management or business resiliency within these operations during and after transitions. These migrati</w:t>
      </w:r>
      <w:r>
        <w:rPr>
          <w:rFonts w:ascii="Arial" w:eastAsia="宋体" w:hAnsi="Arial" w:cs="Arial"/>
          <w:sz w:val="20"/>
          <w:szCs w:val="20"/>
        </w:rPr>
        <w:t>ons also involve risks that our outsourcing vendors or joint ventures may not comply with their servicing and other contractual obligations to us, including with respect to indemnification and information security, and to the risk that we may not satisfy a</w:t>
      </w:r>
      <w:r>
        <w:rPr>
          <w:rFonts w:ascii="Arial" w:eastAsia="宋体" w:hAnsi="Arial" w:cs="Arial"/>
          <w:sz w:val="20"/>
          <w:szCs w:val="20"/>
        </w:rPr>
        <w:t xml:space="preserve">pplicable regulatory responsibilities regarding the management and oversight of third parties and outsourcing providers. Our geographic footprint also exposes us to the relevant macroeconomic, political, legal and similar risks generally involved in doing </w:t>
      </w:r>
      <w:r>
        <w:rPr>
          <w:rFonts w:ascii="Arial" w:eastAsia="宋体" w:hAnsi="Arial" w:cs="Arial"/>
          <w:sz w:val="20"/>
          <w:szCs w:val="20"/>
        </w:rPr>
        <w:t>business in the jurisdictions in which we establish lower-cost locations or joint ventures or in which our outsourcing vendors locate their operations. The increased elements of risk that arise from certain operating processes being conducted in some juris</w:t>
      </w:r>
      <w:r>
        <w:rPr>
          <w:rFonts w:ascii="Arial" w:eastAsia="宋体" w:hAnsi="Arial" w:cs="Arial"/>
          <w:sz w:val="20"/>
          <w:szCs w:val="20"/>
        </w:rPr>
        <w:t>dictions could lead to an increase in reputational risk. During periods of transition of operations, greater operational risk and client concerns exist with respect to maintaining a high level of service delivery and business resiliency</w:t>
      </w:r>
      <w:r>
        <w:rPr>
          <w:rFonts w:ascii="Times New Roman" w:eastAsia="宋体" w:hAnsi="Times New Roman"/>
          <w:sz w:val="20"/>
          <w:szCs w:val="20"/>
        </w:rPr>
        <w:t xml:space="preserve">. </w:t>
      </w:r>
      <w:r>
        <w:rPr>
          <w:rFonts w:ascii="Arial" w:eastAsia="宋体" w:hAnsi="Arial" w:cs="Arial"/>
          <w:sz w:val="20"/>
          <w:szCs w:val="20"/>
        </w:rPr>
        <w:t>The extent and pac</w:t>
      </w:r>
      <w:r>
        <w:rPr>
          <w:rFonts w:ascii="Arial" w:eastAsia="宋体" w:hAnsi="Arial" w:cs="Arial"/>
          <w:sz w:val="20"/>
          <w:szCs w:val="20"/>
        </w:rPr>
        <w:t>e at which we are able to move functions to lower-cost locations, joint ventures and outsourcing providers may also be affected by political, regulatory and client acceptance issues, including with respect to data use, storage and security. Such relocation</w:t>
      </w:r>
      <w:r>
        <w:rPr>
          <w:rFonts w:ascii="Arial" w:eastAsia="宋体" w:hAnsi="Arial" w:cs="Arial"/>
          <w:sz w:val="20"/>
          <w:szCs w:val="20"/>
        </w:rPr>
        <w:t xml:space="preserve"> or outsourcing of functions also entails costs, such as technology</w:t>
      </w:r>
      <w:r>
        <w:rPr>
          <w:rFonts w:ascii="Times New Roman" w:eastAsia="宋体" w:hAnsi="Times New Roman"/>
          <w:sz w:val="20"/>
          <w:szCs w:val="20"/>
        </w:rPr>
        <w:t>,</w:t>
      </w:r>
      <w:r>
        <w:rPr>
          <w:rFonts w:ascii="Arial" w:eastAsia="宋体" w:hAnsi="Arial" w:cs="Arial"/>
          <w:sz w:val="20"/>
          <w:szCs w:val="20"/>
        </w:rPr>
        <w:t xml:space="preserve"> real estate and restructuring expenses, which may offset or exceed the expected financial benefits of the relocation or outsourcing. In addition, the financial benefits of lower-cost loca</w:t>
      </w:r>
      <w:r>
        <w:rPr>
          <w:rFonts w:ascii="Arial" w:eastAsia="宋体" w:hAnsi="Arial" w:cs="Arial"/>
          <w:sz w:val="20"/>
          <w:szCs w:val="20"/>
        </w:rPr>
        <w:t>tions and of outsourcings may diminish over time or could be offset in the event that the U.S. or other jurisdictions impose tax, trade barrier or other measures which seek to discourage the use of lower cost jurisdictions.</w:t>
      </w:r>
    </w:p>
    <w:p w14:paraId="55566F7C"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The market</w:t>
      </w:r>
      <w:r>
        <w:rPr>
          <w:rFonts w:ascii="Arial" w:eastAsia="宋体" w:hAnsi="Arial" w:cs="Arial"/>
          <w:b/>
          <w:bCs/>
          <w:color w:val="000000"/>
          <w:sz w:val="20"/>
          <w:szCs w:val="20"/>
        </w:rPr>
        <w:t xml:space="preserve"> </w:t>
      </w:r>
      <w:r>
        <w:rPr>
          <w:rFonts w:ascii="Arial" w:eastAsia="宋体" w:hAnsi="Arial" w:cs="Arial"/>
          <w:b/>
          <w:bCs/>
          <w:sz w:val="20"/>
          <w:szCs w:val="20"/>
        </w:rPr>
        <w:t xml:space="preserve">transition away from </w:t>
      </w:r>
      <w:r>
        <w:rPr>
          <w:rFonts w:ascii="Arial" w:eastAsia="宋体" w:hAnsi="Arial" w:cs="Arial"/>
          <w:b/>
          <w:bCs/>
          <w:sz w:val="20"/>
          <w:szCs w:val="20"/>
        </w:rPr>
        <w:t xml:space="preserve">broad use of the London Interbank Offered Rate (LIBOR) as an </w:t>
      </w:r>
    </w:p>
    <w:p w14:paraId="55566F7D"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F7E"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interest rate benchmark may impose additional costs on us and may expose us to increased operational, model and financial risk.</w:t>
      </w:r>
    </w:p>
    <w:p w14:paraId="55566F7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Globally, regulators have advised large banks to assess the risks and to prepare for transition from LIBOR to alternative rates ahead of year end 2021. Our financial performance depends, in part, on our ability to adapt to market changes promptly, while av</w:t>
      </w:r>
      <w:r>
        <w:rPr>
          <w:rFonts w:ascii="Arial" w:eastAsia="宋体" w:hAnsi="Arial" w:cs="Arial"/>
          <w:sz w:val="20"/>
          <w:szCs w:val="20"/>
        </w:rPr>
        <w:t>oiding increased related expenses or operational errors. Substantial risks and uncertainties are associated with the market transition away from the use of LIBOR as a critical interest rate benchmark used to determine amounts payable under, and the value o</w:t>
      </w:r>
      <w:r>
        <w:rPr>
          <w:rFonts w:ascii="Arial" w:eastAsia="宋体" w:hAnsi="Arial" w:cs="Arial"/>
          <w:sz w:val="20"/>
          <w:szCs w:val="20"/>
        </w:rPr>
        <w:t xml:space="preserve">f, financial instruments and contracts. </w:t>
      </w:r>
    </w:p>
    <w:p w14:paraId="55566F8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Due to our dependencies on LIBOR, the failure or inability to timely plan and implement a LIBOR transition program to maintain operational continuity and minimize economic impact for our clients, ourselves and other</w:t>
      </w:r>
      <w:r>
        <w:rPr>
          <w:rFonts w:ascii="Arial" w:eastAsia="宋体" w:hAnsi="Arial" w:cs="Arial"/>
          <w:sz w:val="20"/>
          <w:szCs w:val="20"/>
        </w:rPr>
        <w:t xml:space="preserve"> stakeholders could negatively impact our business and financial performance. Those dependencies include LIBOR-based securities and loans held in our investment portfolio, LIBOR-based preferred stock and long-term debt issued by us and LIBOR-based client f</w:t>
      </w:r>
      <w:r>
        <w:rPr>
          <w:rFonts w:ascii="Arial" w:eastAsia="宋体" w:hAnsi="Arial" w:cs="Arial"/>
          <w:sz w:val="20"/>
          <w:szCs w:val="20"/>
        </w:rPr>
        <w:t>ee schedules and deposit pricing. Also, our internal models which support decision making and risk management will require adjustments, which may cause weaknesses in the underlying model, inadequate assumptions or lead to reliance on poor or inaccurate dat</w:t>
      </w:r>
      <w:r>
        <w:rPr>
          <w:rFonts w:ascii="Arial" w:eastAsia="宋体" w:hAnsi="Arial" w:cs="Arial"/>
          <w:sz w:val="20"/>
          <w:szCs w:val="20"/>
        </w:rPr>
        <w:t>a. Assets held by our customers in their investment portfolios or in the investment portfolios we manage for others have LIBOR-based terms. We need to enhance our processes and systems to account for the new alternative rates-based instruments as they come</w:t>
      </w:r>
      <w:r>
        <w:rPr>
          <w:rFonts w:ascii="Arial" w:eastAsia="宋体" w:hAnsi="Arial" w:cs="Arial"/>
          <w:sz w:val="20"/>
          <w:szCs w:val="20"/>
        </w:rPr>
        <w:t xml:space="preserve"> to market, the transition of LIBOR-based instruments to their fallback language and uncertainty as to how such instruments should be valued where such fallback language is unclear. These process and systems requirements could adversely impact our business</w:t>
      </w:r>
      <w:r>
        <w:rPr>
          <w:rFonts w:ascii="Arial" w:eastAsia="宋体" w:hAnsi="Arial" w:cs="Arial"/>
          <w:sz w:val="20"/>
          <w:szCs w:val="20"/>
        </w:rPr>
        <w:t>, which in some instances is dependent on critical inputs from third parties, who themselves must timely adapt to the market changes and failure to implement the terms of those instruments in a manner consistent with customer expectation could lead to disp</w:t>
      </w:r>
      <w:r>
        <w:rPr>
          <w:rFonts w:ascii="Arial" w:eastAsia="宋体" w:hAnsi="Arial" w:cs="Arial"/>
          <w:sz w:val="20"/>
          <w:szCs w:val="20"/>
        </w:rPr>
        <w:t>utes and operational issues. Failure or perceived failure to adequately prepare for LIBOR transition could affect our ability to attract and retain clients. Uncertainty relative to external developments necessary for the market transition away from LIBOR b</w:t>
      </w:r>
      <w:r>
        <w:rPr>
          <w:rFonts w:ascii="Arial" w:eastAsia="宋体" w:hAnsi="Arial" w:cs="Arial"/>
          <w:sz w:val="20"/>
          <w:szCs w:val="20"/>
        </w:rPr>
        <w:t>ut outside of our control could further increase the costs and risks of the transition for us or our subsidiaries and have an adverse impact on our operational and financial performance.</w:t>
      </w:r>
    </w:p>
    <w:p w14:paraId="55566F81"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Our calculations of credit, market and operational risk exposures, to</w:t>
      </w:r>
      <w:r>
        <w:rPr>
          <w:rFonts w:ascii="Arial" w:eastAsia="宋体" w:hAnsi="Arial" w:cs="Arial"/>
          <w:b/>
          <w:bCs/>
          <w:color w:val="000000"/>
          <w:sz w:val="20"/>
          <w:szCs w:val="20"/>
        </w:rPr>
        <w:t xml:space="preserve">tal RWA and capital ratios for regulatory purposes depend on data inputs, formulae, models, correlations and assumptions that are subject to change over time, which changes, in addition to our consolidated financial </w:t>
      </w:r>
    </w:p>
    <w:p w14:paraId="55566F82" w14:textId="77777777" w:rsidR="00F925DD" w:rsidRDefault="00F925DD">
      <w:pPr>
        <w:rPr>
          <w:rFonts w:ascii="Times New Roman" w:hAnsi="Times New Roman"/>
          <w:sz w:val="20"/>
          <w:szCs w:val="20"/>
        </w:rPr>
      </w:pPr>
    </w:p>
    <w:p w14:paraId="55566F8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42</w:t>
      </w:r>
    </w:p>
    <w:p w14:paraId="55566F84" w14:textId="77777777" w:rsidR="00F925DD" w:rsidRDefault="00F925DD">
      <w:pPr>
        <w:spacing w:line="288" w:lineRule="auto"/>
        <w:ind w:firstLine="600"/>
        <w:jc w:val="center"/>
        <w:rPr>
          <w:rFonts w:ascii="Times New Roman" w:hAnsi="Times New Roman"/>
          <w:sz w:val="18"/>
          <w:szCs w:val="18"/>
        </w:rPr>
      </w:pPr>
    </w:p>
    <w:p w14:paraId="55566F85" w14:textId="77777777" w:rsidR="00F925DD" w:rsidRDefault="00E705D7">
      <w:r>
        <w:rPr>
          <w:rFonts w:ascii="Times New Roman" w:hAnsi="Times New Roman"/>
          <w:sz w:val="18"/>
          <w:szCs w:val="18"/>
        </w:rPr>
        <w:pict w14:anchorId="55570662">
          <v:rect id="_x0000_i1066" style="width:415.3pt;height:1.5pt" o:hralign="center" o:hrstd="t" o:hr="t" fillcolor="#a0a0a0" stroked="f"/>
        </w:pict>
      </w:r>
    </w:p>
    <w:p w14:paraId="55566F86" w14:textId="77777777" w:rsidR="00F925DD" w:rsidRDefault="00F925DD">
      <w:pPr>
        <w:spacing w:line="288" w:lineRule="auto"/>
        <w:ind w:firstLine="600"/>
        <w:rPr>
          <w:rFonts w:ascii="Times New Roman" w:hAnsi="Times New Roman"/>
          <w:sz w:val="18"/>
          <w:szCs w:val="18"/>
        </w:rPr>
      </w:pPr>
    </w:p>
    <w:p w14:paraId="55566F87" w14:textId="77777777" w:rsidR="00F925DD" w:rsidRDefault="00F925DD">
      <w:pPr>
        <w:rPr>
          <w:rFonts w:ascii="Times New Roman" w:hAnsi="Times New Roman"/>
          <w:sz w:val="20"/>
          <w:szCs w:val="20"/>
        </w:rPr>
      </w:pPr>
    </w:p>
    <w:p w14:paraId="55566F88"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res</w:t>
      </w:r>
      <w:r>
        <w:rPr>
          <w:rFonts w:ascii="Arial" w:eastAsia="宋体" w:hAnsi="Arial" w:cs="Arial"/>
          <w:b/>
          <w:bCs/>
          <w:color w:val="000000"/>
          <w:sz w:val="20"/>
          <w:szCs w:val="20"/>
        </w:rPr>
        <w:t>ults, could materially impact our risk exposures, our total RWA and our capital ratios from period to period.</w:t>
      </w:r>
    </w:p>
    <w:p w14:paraId="55566F8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To calculate our credit, market and operational risk exposures, our total RWA and our capital ratios for regulatory purposes, the Basel III </w:t>
      </w:r>
      <w:r>
        <w:rPr>
          <w:rFonts w:ascii="Arial" w:eastAsia="宋体" w:hAnsi="Arial" w:cs="Arial"/>
          <w:sz w:val="20"/>
          <w:szCs w:val="20"/>
        </w:rPr>
        <w:t xml:space="preserve">rule involves the use of current and historical data, including our own loss data and similar information from other industry participants, market volatility measures, interest rates and spreads, asset valuations, credit exposures and the creditworthiness </w:t>
      </w:r>
      <w:r>
        <w:rPr>
          <w:rFonts w:ascii="Arial" w:eastAsia="宋体" w:hAnsi="Arial" w:cs="Arial"/>
          <w:sz w:val="20"/>
          <w:szCs w:val="20"/>
        </w:rPr>
        <w:t>of our counterparties. These calculations also involve the use of quantitative formulae, statistical models, historical correlations and significant assumptions. We refer to the data, formulae, models, correlations and assumptions, as well as our related i</w:t>
      </w:r>
      <w:r>
        <w:rPr>
          <w:rFonts w:ascii="Arial" w:eastAsia="宋体" w:hAnsi="Arial" w:cs="Arial"/>
          <w:sz w:val="20"/>
          <w:szCs w:val="20"/>
        </w:rPr>
        <w:t>nternal processes, as our “advanced systems.” While our advanced systems are generally quantitative in nature, significant components involve the exercise of judgment based on, among other factors, our and the financial services industry's evolving experie</w:t>
      </w:r>
      <w:r>
        <w:rPr>
          <w:rFonts w:ascii="Arial" w:eastAsia="宋体" w:hAnsi="Arial" w:cs="Arial"/>
          <w:sz w:val="20"/>
          <w:szCs w:val="20"/>
        </w:rPr>
        <w:t>nce. Any of these judgments or other elements of our advanced systems may not, individually or collectively</w:t>
      </w:r>
      <w:r>
        <w:rPr>
          <w:rFonts w:ascii="Times New Roman" w:eastAsia="宋体" w:hAnsi="Times New Roman"/>
          <w:sz w:val="20"/>
          <w:szCs w:val="20"/>
        </w:rPr>
        <w:t>,</w:t>
      </w:r>
      <w:r>
        <w:rPr>
          <w:rFonts w:ascii="Arial" w:eastAsia="宋体" w:hAnsi="Arial" w:cs="Arial"/>
          <w:sz w:val="20"/>
          <w:szCs w:val="20"/>
        </w:rPr>
        <w:t xml:space="preserve"> precisely represent or calculate the scenarios, circumstances, outputs or other results for which they are designed or intended. Collectively, they</w:t>
      </w:r>
      <w:r>
        <w:rPr>
          <w:rFonts w:ascii="Arial" w:eastAsia="宋体" w:hAnsi="Arial" w:cs="Arial"/>
          <w:sz w:val="20"/>
          <w:szCs w:val="20"/>
        </w:rPr>
        <w:t xml:space="preserve"> represent only our estimate of associated risk.</w:t>
      </w:r>
    </w:p>
    <w:p w14:paraId="55566F8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our advanced systems are subject to update and periodic revalidation in response to changes in our business activities and our historical experiences, forces and events experienced by the market</w:t>
      </w:r>
      <w:r>
        <w:rPr>
          <w:rFonts w:ascii="Arial" w:eastAsia="宋体" w:hAnsi="Arial" w:cs="Arial"/>
          <w:sz w:val="20"/>
          <w:szCs w:val="20"/>
        </w:rPr>
        <w:t xml:space="preserve"> broadly or by individual financial institutions, changes in regulations and regulatory interpretations and other factors, and are also subject to continuing regulatory review and approval. For example, a significant operational loss experienced by another</w:t>
      </w:r>
      <w:r>
        <w:rPr>
          <w:rFonts w:ascii="Arial" w:eastAsia="宋体" w:hAnsi="Arial" w:cs="Arial"/>
          <w:sz w:val="20"/>
          <w:szCs w:val="20"/>
        </w:rPr>
        <w:t xml:space="preserve"> financial institution, even if we do not experience a related loss, could result in a material change in the output of our advanced systems and a corresponding material change in our risk exposures, our total RWA and our capital ratios compared to prior p</w:t>
      </w:r>
      <w:r>
        <w:rPr>
          <w:rFonts w:ascii="Arial" w:eastAsia="宋体" w:hAnsi="Arial" w:cs="Arial"/>
          <w:sz w:val="20"/>
          <w:szCs w:val="20"/>
        </w:rPr>
        <w:t>eriods. An operational loss that we experience could also result in a material change in our capital requirements for operational risk under the advanced approaches, depending on the severity of the loss event, its characterization among the seven Basel-de</w:t>
      </w:r>
      <w:r>
        <w:rPr>
          <w:rFonts w:ascii="Arial" w:eastAsia="宋体" w:hAnsi="Arial" w:cs="Arial"/>
          <w:sz w:val="20"/>
          <w:szCs w:val="20"/>
        </w:rPr>
        <w:t xml:space="preserve">fined UOM, and the stability of the distributional approach for a particular UOM, and without direct correlation to the effects of the loss event, or the timing of such effects, on our results of operations. Due to the influence of changes in our advanced </w:t>
      </w:r>
      <w:r>
        <w:rPr>
          <w:rFonts w:ascii="Arial" w:eastAsia="宋体" w:hAnsi="Arial" w:cs="Arial"/>
          <w:sz w:val="20"/>
          <w:szCs w:val="20"/>
        </w:rPr>
        <w:t xml:space="preserve">systems, whether resulting from changes in data inputs, regulation or regulatory supervision or interpretation, specific to us or more general market, or individual financial institution-specific, activities or experiences, or other updates or factors, we </w:t>
      </w:r>
      <w:r>
        <w:rPr>
          <w:rFonts w:ascii="Arial" w:eastAsia="宋体" w:hAnsi="Arial" w:cs="Arial"/>
          <w:sz w:val="20"/>
          <w:szCs w:val="20"/>
        </w:rPr>
        <w:t xml:space="preserve">expect that our advanced systems and our credit, market and operational risk exposures, our total RWA and our capital ratios calculated under the Basel III rule will change, and may be volatile, over time, and that those latter changes or </w:t>
      </w:r>
    </w:p>
    <w:p w14:paraId="55566F8B"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F8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volatility cou</w:t>
      </w:r>
      <w:r>
        <w:rPr>
          <w:rFonts w:ascii="Arial" w:eastAsia="宋体" w:hAnsi="Arial" w:cs="Arial"/>
          <w:sz w:val="20"/>
          <w:szCs w:val="20"/>
        </w:rPr>
        <w:t>ld be material as calculated and measured from period to period.</w:t>
      </w:r>
    </w:p>
    <w:p w14:paraId="55566F8D"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Our businesses may be negatively affected by adverse publicity or other reputational harm.</w:t>
      </w:r>
    </w:p>
    <w:p w14:paraId="55566F8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relationship with many of our clients is predicated on our reputation as a fiduciary and a servi</w:t>
      </w:r>
      <w:r>
        <w:rPr>
          <w:rFonts w:ascii="Arial" w:eastAsia="宋体" w:hAnsi="Arial" w:cs="Arial"/>
          <w:sz w:val="20"/>
          <w:szCs w:val="20"/>
        </w:rPr>
        <w:t>ce provider that adheres to the highest standards of ethics, service quality and regulatory compliance. Adverse publicity, regulatory actions or fines, litigation, operational failures or the failure to meet client expectations or fiduciary or other obliga</w:t>
      </w:r>
      <w:r>
        <w:rPr>
          <w:rFonts w:ascii="Arial" w:eastAsia="宋体" w:hAnsi="Arial" w:cs="Arial"/>
          <w:sz w:val="20"/>
          <w:szCs w:val="20"/>
        </w:rPr>
        <w:t>tions could materially and adversely affect our reputation, our ability to attract and retain clients or key employees or our sources of funding for the same or other businesses. For example, over the past several years we have experienced adverse publicit</w:t>
      </w:r>
      <w:r>
        <w:rPr>
          <w:rFonts w:ascii="Arial" w:eastAsia="宋体" w:hAnsi="Arial" w:cs="Arial"/>
          <w:sz w:val="20"/>
          <w:szCs w:val="20"/>
        </w:rPr>
        <w:t>y with respect to our indirect foreign exchange trading, and this adverse publicity has contributed to a shift of client volume to other foreign exchange execution methods. Similarly, governmental actions and reputational issues in our transition managemen</w:t>
      </w:r>
      <w:r>
        <w:rPr>
          <w:rFonts w:ascii="Arial" w:eastAsia="宋体" w:hAnsi="Arial" w:cs="Arial"/>
          <w:sz w:val="20"/>
          <w:szCs w:val="20"/>
        </w:rPr>
        <w:t>t business in the U.K. have adversely affected our transition management revenue and, with criminal convictions or guilty pleas of three of our former employees in 2018 and the deferred prosecution agreement we entered into with the DOJ in early 2017 and t</w:t>
      </w:r>
      <w:r>
        <w:rPr>
          <w:rFonts w:ascii="Arial" w:eastAsia="宋体" w:hAnsi="Arial" w:cs="Arial"/>
          <w:sz w:val="20"/>
          <w:szCs w:val="20"/>
        </w:rPr>
        <w:t>he related SEC settlement, these effects have the potential to continue. The client invoicing matter we announced in late 2015 has the potential to result in similar effects. For additional information about these matters, see the risk factor "</w:t>
      </w:r>
      <w:r>
        <w:rPr>
          <w:rFonts w:ascii="Arial" w:eastAsia="宋体" w:hAnsi="Arial" w:cs="Arial"/>
          <w:i/>
          <w:iCs/>
          <w:sz w:val="20"/>
          <w:szCs w:val="20"/>
        </w:rPr>
        <w:t>Our business</w:t>
      </w:r>
      <w:r>
        <w:rPr>
          <w:rFonts w:ascii="Arial" w:eastAsia="宋体" w:hAnsi="Arial" w:cs="Arial"/>
          <w:i/>
          <w:iCs/>
          <w:sz w:val="20"/>
          <w:szCs w:val="20"/>
        </w:rPr>
        <w:t>es may be adversely affected by government enforcement and litigation.</w:t>
      </w:r>
      <w:r>
        <w:rPr>
          <w:rFonts w:ascii="Arial" w:eastAsia="宋体" w:hAnsi="Arial" w:cs="Arial"/>
          <w:sz w:val="20"/>
          <w:szCs w:val="20"/>
        </w:rPr>
        <w:t>"</w:t>
      </w:r>
    </w:p>
    <w:p w14:paraId="55566F8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Preserving and enhancing our reputation also depends on maintaining systems, procedures and controls that address known risks and regulatory requirements, as well as our ability to tim</w:t>
      </w:r>
      <w:r>
        <w:rPr>
          <w:rFonts w:ascii="Arial" w:eastAsia="宋体" w:hAnsi="Arial" w:cs="Arial"/>
          <w:sz w:val="20"/>
          <w:szCs w:val="20"/>
        </w:rPr>
        <w:t>ely identify</w:t>
      </w:r>
      <w:r>
        <w:rPr>
          <w:rFonts w:ascii="Times New Roman" w:eastAsia="宋体" w:hAnsi="Times New Roman"/>
          <w:sz w:val="20"/>
          <w:szCs w:val="20"/>
        </w:rPr>
        <w:t>,</w:t>
      </w:r>
      <w:r>
        <w:rPr>
          <w:rFonts w:ascii="Arial" w:eastAsia="宋体" w:hAnsi="Arial" w:cs="Arial"/>
          <w:sz w:val="20"/>
          <w:szCs w:val="20"/>
        </w:rPr>
        <w:t xml:space="preserve"> understand and mitigate additional risks that arise due to changes in our businesses and the marketplaces in which we operate, the regulatory environment and client expectations.</w:t>
      </w:r>
    </w:p>
    <w:p w14:paraId="55566F90"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We may not be able to protect our intellectual property, and we</w:t>
      </w:r>
      <w:r>
        <w:rPr>
          <w:rFonts w:ascii="Arial" w:eastAsia="宋体" w:hAnsi="Arial" w:cs="Arial"/>
          <w:b/>
          <w:bCs/>
          <w:color w:val="000000"/>
          <w:sz w:val="20"/>
          <w:szCs w:val="20"/>
        </w:rPr>
        <w:t xml:space="preserve"> are subject to claims of third-party intellectual property rights</w:t>
      </w:r>
      <w:r>
        <w:rPr>
          <w:rFonts w:ascii="Arial" w:eastAsia="宋体" w:hAnsi="Arial" w:cs="Arial"/>
          <w:b/>
          <w:bCs/>
          <w:sz w:val="20"/>
          <w:szCs w:val="20"/>
        </w:rPr>
        <w:t>.</w:t>
      </w:r>
    </w:p>
    <w:p w14:paraId="55566F9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potential inability to protect our intellectual property and proprietary technology effectively may allow competitors to duplicate our technology and products and may adversely affect </w:t>
      </w:r>
      <w:r>
        <w:rPr>
          <w:rFonts w:ascii="Arial" w:eastAsia="宋体" w:hAnsi="Arial" w:cs="Arial"/>
          <w:sz w:val="20"/>
          <w:szCs w:val="20"/>
        </w:rPr>
        <w:t>our ability to compete with them. To the extent that we do not protect our intellectual property effectively through patents, maintaining trade secrets or other means, other parties, including former employees, with knowledge of our intellectual property m</w:t>
      </w:r>
      <w:r>
        <w:rPr>
          <w:rFonts w:ascii="Arial" w:eastAsia="宋体" w:hAnsi="Arial" w:cs="Arial"/>
          <w:sz w:val="20"/>
          <w:szCs w:val="20"/>
        </w:rPr>
        <w:t>ay seek to exploit our intellectual property for their own or others' advantage. In addition, we may infringe on claims of third-party patents, and we may face intellectual property challenges from other parties, including clients or service providers with</w:t>
      </w:r>
      <w:r>
        <w:rPr>
          <w:rFonts w:ascii="Arial" w:eastAsia="宋体" w:hAnsi="Arial" w:cs="Arial"/>
          <w:sz w:val="20"/>
          <w:szCs w:val="20"/>
        </w:rPr>
        <w:t xml:space="preserve"> whom we may engage in the development or implementation </w:t>
      </w:r>
    </w:p>
    <w:p w14:paraId="55566F92" w14:textId="77777777" w:rsidR="00F925DD" w:rsidRDefault="00F925DD">
      <w:pPr>
        <w:rPr>
          <w:rFonts w:ascii="Times New Roman" w:hAnsi="Times New Roman"/>
          <w:sz w:val="20"/>
          <w:szCs w:val="20"/>
        </w:rPr>
      </w:pPr>
    </w:p>
    <w:p w14:paraId="55566F9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43</w:t>
      </w:r>
    </w:p>
    <w:p w14:paraId="55566F94" w14:textId="77777777" w:rsidR="00F925DD" w:rsidRDefault="00F925DD">
      <w:pPr>
        <w:spacing w:line="288" w:lineRule="auto"/>
        <w:ind w:firstLine="600"/>
        <w:jc w:val="center"/>
        <w:rPr>
          <w:rFonts w:ascii="Times New Roman" w:hAnsi="Times New Roman"/>
          <w:sz w:val="18"/>
          <w:szCs w:val="18"/>
        </w:rPr>
      </w:pPr>
    </w:p>
    <w:p w14:paraId="55566F95" w14:textId="77777777" w:rsidR="00F925DD" w:rsidRDefault="00E705D7">
      <w:r>
        <w:rPr>
          <w:rFonts w:ascii="Times New Roman" w:hAnsi="Times New Roman"/>
          <w:sz w:val="18"/>
          <w:szCs w:val="18"/>
        </w:rPr>
        <w:pict w14:anchorId="55570663">
          <v:rect id="_x0000_i1067" style="width:415.3pt;height:1.5pt" o:hralign="center" o:hrstd="t" o:hr="t" fillcolor="#a0a0a0" stroked="f"/>
        </w:pict>
      </w:r>
    </w:p>
    <w:p w14:paraId="55566F96" w14:textId="77777777" w:rsidR="00F925DD" w:rsidRDefault="00F925DD">
      <w:pPr>
        <w:spacing w:line="288" w:lineRule="auto"/>
        <w:ind w:firstLine="600"/>
        <w:rPr>
          <w:rFonts w:ascii="Times New Roman" w:hAnsi="Times New Roman"/>
          <w:sz w:val="18"/>
          <w:szCs w:val="18"/>
        </w:rPr>
      </w:pPr>
    </w:p>
    <w:p w14:paraId="55566F97" w14:textId="77777777" w:rsidR="00F925DD" w:rsidRDefault="00F925DD">
      <w:pPr>
        <w:rPr>
          <w:rFonts w:ascii="Times New Roman" w:hAnsi="Times New Roman"/>
          <w:sz w:val="20"/>
          <w:szCs w:val="20"/>
        </w:rPr>
      </w:pPr>
    </w:p>
    <w:p w14:paraId="55566F98"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of other products, services or solutions or to whose information we may have access for limited permitted purposes but with whom we also compete. The risk of </w:t>
      </w:r>
      <w:r>
        <w:rPr>
          <w:rFonts w:ascii="Arial" w:eastAsia="宋体" w:hAnsi="Arial" w:cs="Arial"/>
          <w:sz w:val="20"/>
          <w:szCs w:val="20"/>
        </w:rPr>
        <w:t xml:space="preserve">such infringement is enhanced in the current competitive “Fintech” environment, particularly with respect to our development of new products and services containing significant technology elements and dependencies, any of which could become the subject of </w:t>
      </w:r>
      <w:r>
        <w:rPr>
          <w:rFonts w:ascii="Arial" w:eastAsia="宋体" w:hAnsi="Arial" w:cs="Arial"/>
          <w:sz w:val="20"/>
          <w:szCs w:val="20"/>
        </w:rPr>
        <w:t>an infringement claim. We may not be successful in defending against any such challenges or in obtaining licenses to avoid or resolve any intellectual property disputes. Third-party intellectual rights, valid or not, may also impede our deployment of the f</w:t>
      </w:r>
      <w:r>
        <w:rPr>
          <w:rFonts w:ascii="Arial" w:eastAsia="宋体" w:hAnsi="Arial" w:cs="Arial"/>
          <w:sz w:val="20"/>
          <w:szCs w:val="20"/>
        </w:rPr>
        <w:t>ull scope of our products and service capabilities in all jurisdictions in which we operate or market our products and services.</w:t>
      </w:r>
    </w:p>
    <w:p w14:paraId="55566F99"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The quantitative models we use to manage our business may contain errors that result in inadequate risk assessments, inaccurate</w:t>
      </w:r>
      <w:r>
        <w:rPr>
          <w:rFonts w:ascii="Arial" w:eastAsia="宋体" w:hAnsi="Arial" w:cs="Arial"/>
          <w:b/>
          <w:bCs/>
          <w:color w:val="000000"/>
          <w:sz w:val="20"/>
          <w:szCs w:val="20"/>
        </w:rPr>
        <w:t xml:space="preserve"> valuations or poor business decisions, and lapses in disclosure controls and procedures or internal control over financial reporting could occur, any of which could result in material</w:t>
      </w:r>
      <w:r>
        <w:rPr>
          <w:rFonts w:ascii="Arial" w:eastAsia="宋体" w:hAnsi="Arial" w:cs="Arial"/>
          <w:b/>
          <w:bCs/>
          <w:sz w:val="20"/>
          <w:szCs w:val="20"/>
        </w:rPr>
        <w:t xml:space="preserve"> harm.</w:t>
      </w:r>
    </w:p>
    <w:p w14:paraId="55566F9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use quantitative models to help manage many different aspects </w:t>
      </w:r>
      <w:r>
        <w:rPr>
          <w:rFonts w:ascii="Arial" w:eastAsia="宋体" w:hAnsi="Arial" w:cs="Arial"/>
          <w:sz w:val="20"/>
          <w:szCs w:val="20"/>
        </w:rPr>
        <w:t>of our businesses. As an input to our overall assessment of capital adequacy</w:t>
      </w:r>
      <w:r>
        <w:rPr>
          <w:rFonts w:ascii="Times New Roman" w:eastAsia="宋体" w:hAnsi="Times New Roman"/>
          <w:sz w:val="20"/>
          <w:szCs w:val="20"/>
        </w:rPr>
        <w:t>,</w:t>
      </w:r>
      <w:r>
        <w:rPr>
          <w:rFonts w:ascii="Arial" w:eastAsia="宋体" w:hAnsi="Arial" w:cs="Arial"/>
          <w:sz w:val="20"/>
          <w:szCs w:val="20"/>
        </w:rPr>
        <w:t xml:space="preserve"> we use models to measure the amount of credit risk, market risk, operational risk, interest rate risk and liquidity risk we face. During the preparation of our consolidated finan</w:t>
      </w:r>
      <w:r>
        <w:rPr>
          <w:rFonts w:ascii="Arial" w:eastAsia="宋体" w:hAnsi="Arial" w:cs="Arial"/>
          <w:sz w:val="20"/>
          <w:szCs w:val="20"/>
        </w:rPr>
        <w:t>cial statements, we sometimes use models to measure the value of asset and liability positions for which reliable market prices are not available. We also use models to support many different types of business decisions including trading activities, hedgin</w:t>
      </w:r>
      <w:r>
        <w:rPr>
          <w:rFonts w:ascii="Arial" w:eastAsia="宋体" w:hAnsi="Arial" w:cs="Arial"/>
          <w:sz w:val="20"/>
          <w:szCs w:val="20"/>
        </w:rPr>
        <w:t>g, asset-and-liability management and whether to change business strategy</w:t>
      </w:r>
      <w:r>
        <w:rPr>
          <w:rFonts w:ascii="Times New Roman" w:eastAsia="宋体" w:hAnsi="Times New Roman"/>
          <w:sz w:val="20"/>
          <w:szCs w:val="20"/>
        </w:rPr>
        <w:t xml:space="preserve">. </w:t>
      </w:r>
      <w:r>
        <w:rPr>
          <w:rFonts w:ascii="Arial" w:eastAsia="宋体" w:hAnsi="Arial" w:cs="Arial"/>
          <w:sz w:val="20"/>
          <w:szCs w:val="20"/>
        </w:rPr>
        <w:t>Weaknesses in the underlying model, inadequate model assumptions, normal model limitations, inappropriate model use, weaknesses in model implementation or poor data quality, could r</w:t>
      </w:r>
      <w:r>
        <w:rPr>
          <w:rFonts w:ascii="Arial" w:eastAsia="宋体" w:hAnsi="Arial" w:cs="Arial"/>
          <w:sz w:val="20"/>
          <w:szCs w:val="20"/>
        </w:rPr>
        <w:t xml:space="preserve">esult in unanticipated and adverse consequences, including material loss and material non-compliance with regulatory requirements or expectations. Because of our widespread usage of models, potential weaknesses in our MRM practices pose an ongoing risk to </w:t>
      </w:r>
      <w:r>
        <w:rPr>
          <w:rFonts w:ascii="Arial" w:eastAsia="宋体" w:hAnsi="Arial" w:cs="Arial"/>
          <w:sz w:val="20"/>
          <w:szCs w:val="20"/>
        </w:rPr>
        <w:t>us.</w:t>
      </w:r>
    </w:p>
    <w:p w14:paraId="55566F9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also may fail to accurately quantify the magnitude of the risks we face. Our measurement methodologies rely on many assumptions and historical analyses and correlations. These assumptions may be incorrect, and the historical correlations on which we</w:t>
      </w:r>
      <w:r>
        <w:rPr>
          <w:rFonts w:ascii="Arial" w:eastAsia="宋体" w:hAnsi="Arial" w:cs="Arial"/>
          <w:sz w:val="20"/>
          <w:szCs w:val="20"/>
        </w:rPr>
        <w:t xml:space="preserve"> rely may not continue to be relevant. Consequently</w:t>
      </w:r>
      <w:r>
        <w:rPr>
          <w:rFonts w:ascii="Times New Roman" w:eastAsia="宋体" w:hAnsi="Times New Roman"/>
          <w:sz w:val="20"/>
          <w:szCs w:val="20"/>
        </w:rPr>
        <w:t>,</w:t>
      </w:r>
      <w:r>
        <w:rPr>
          <w:rFonts w:ascii="Arial" w:eastAsia="宋体" w:hAnsi="Arial" w:cs="Arial"/>
          <w:sz w:val="20"/>
          <w:szCs w:val="20"/>
        </w:rPr>
        <w:t xml:space="preserve"> the measurements that we make for regulatory purposes may not adequately capture or express the true risk profiles of our businesses. Moreover, as businesses and markets evolve, our measurements may not </w:t>
      </w:r>
      <w:r>
        <w:rPr>
          <w:rFonts w:ascii="Arial" w:eastAsia="宋体" w:hAnsi="Arial" w:cs="Arial"/>
          <w:sz w:val="20"/>
          <w:szCs w:val="20"/>
        </w:rPr>
        <w:t>accurately reflect this evolution. While our risk measures may indicate sufficient capitalization, they may underestimate the level of capital necessary to conduct our businesses.</w:t>
      </w:r>
    </w:p>
    <w:p w14:paraId="55566F9C"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F9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Additionally</w:t>
      </w:r>
      <w:r>
        <w:rPr>
          <w:rFonts w:ascii="Times New Roman" w:eastAsia="宋体" w:hAnsi="Times New Roman"/>
          <w:sz w:val="20"/>
          <w:szCs w:val="20"/>
        </w:rPr>
        <w:t>,</w:t>
      </w:r>
      <w:r>
        <w:rPr>
          <w:rFonts w:ascii="Arial" w:eastAsia="宋体" w:hAnsi="Arial" w:cs="Arial"/>
          <w:sz w:val="20"/>
          <w:szCs w:val="20"/>
        </w:rPr>
        <w:t xml:space="preserve"> our disclosure controls and procedures may not be effective </w:t>
      </w:r>
      <w:r>
        <w:rPr>
          <w:rFonts w:ascii="Arial" w:eastAsia="宋体" w:hAnsi="Arial" w:cs="Arial"/>
          <w:sz w:val="20"/>
          <w:szCs w:val="20"/>
        </w:rPr>
        <w:t>in every circumstance, and, similarly, it is possible we may identify a material weakness or significant deficiency in internal control over financial reporting. Any such lapses or deficiencies may materially and adversely affect our business and consolida</w:t>
      </w:r>
      <w:r>
        <w:rPr>
          <w:rFonts w:ascii="Arial" w:eastAsia="宋体" w:hAnsi="Arial" w:cs="Arial"/>
          <w:sz w:val="20"/>
          <w:szCs w:val="20"/>
        </w:rPr>
        <w:t>ted results of operations or consolidated financial condition, restrict our ability to access the capital markets, require us to expend significant resources to correct the lapses or deficiencies, expose us to regulatory or legal proceedings, subject us to</w:t>
      </w:r>
      <w:r>
        <w:rPr>
          <w:rFonts w:ascii="Arial" w:eastAsia="宋体" w:hAnsi="Arial" w:cs="Arial"/>
          <w:sz w:val="20"/>
          <w:szCs w:val="20"/>
        </w:rPr>
        <w:t xml:space="preserve"> fines, penalties or judgments or harm our reputation.</w:t>
      </w:r>
    </w:p>
    <w:p w14:paraId="55566F9E"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We may incur losses arising from our investments in sponsored investment funds, which could be material to our consolidated results of operations in the periods incurred.</w:t>
      </w:r>
    </w:p>
    <w:p w14:paraId="55566F9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normal course of busine</w:t>
      </w:r>
      <w:r>
        <w:rPr>
          <w:rFonts w:ascii="Arial" w:eastAsia="宋体" w:hAnsi="Arial" w:cs="Arial"/>
          <w:sz w:val="20"/>
          <w:szCs w:val="20"/>
        </w:rPr>
        <w:t>ss, we manage various types of sponsored investment funds through State Street Global Advisors. The services we provide to these sponsored investment funds generate management fee revenue, as well as servicing fees from our other businesses. From time to t</w:t>
      </w:r>
      <w:r>
        <w:rPr>
          <w:rFonts w:ascii="Arial" w:eastAsia="宋体" w:hAnsi="Arial" w:cs="Arial"/>
          <w:sz w:val="20"/>
          <w:szCs w:val="20"/>
        </w:rPr>
        <w:t>ime, we may invest in the funds, which we refer to as seed capital, in order for the funds to establish a performance history for newly launched strategies. These funds may meet the definition of variable interest entities, as defined by U.S. GAAP</w:t>
      </w:r>
      <w:r>
        <w:rPr>
          <w:rFonts w:ascii="Times New Roman" w:eastAsia="宋体" w:hAnsi="Times New Roman"/>
          <w:sz w:val="20"/>
          <w:szCs w:val="20"/>
        </w:rPr>
        <w:t>,</w:t>
      </w:r>
      <w:r>
        <w:rPr>
          <w:rFonts w:ascii="Arial" w:eastAsia="宋体" w:hAnsi="Arial" w:cs="Arial"/>
          <w:sz w:val="20"/>
          <w:szCs w:val="20"/>
        </w:rPr>
        <w:t xml:space="preserve"> and if </w:t>
      </w:r>
      <w:r>
        <w:rPr>
          <w:rFonts w:ascii="Arial" w:eastAsia="宋体" w:hAnsi="Arial" w:cs="Arial"/>
          <w:sz w:val="20"/>
          <w:szCs w:val="20"/>
        </w:rPr>
        <w:t>we are deemed to be the primary beneficiary of these funds, we may be required to consolidate these funds in our consolidated financial statements under U.S. GAAP</w:t>
      </w:r>
      <w:r>
        <w:rPr>
          <w:rFonts w:ascii="Times New Roman" w:eastAsia="宋体" w:hAnsi="Times New Roman"/>
          <w:sz w:val="20"/>
          <w:szCs w:val="20"/>
        </w:rPr>
        <w:t xml:space="preserve">. </w:t>
      </w:r>
      <w:r>
        <w:rPr>
          <w:rFonts w:ascii="Arial" w:eastAsia="宋体" w:hAnsi="Arial" w:cs="Arial"/>
          <w:sz w:val="20"/>
          <w:szCs w:val="20"/>
        </w:rPr>
        <w:t xml:space="preserve">The funds follow specialized investment company accounting rules which prescribe fair value </w:t>
      </w:r>
      <w:r>
        <w:rPr>
          <w:rFonts w:ascii="Arial" w:eastAsia="宋体" w:hAnsi="Arial" w:cs="Arial"/>
          <w:sz w:val="20"/>
          <w:szCs w:val="20"/>
        </w:rPr>
        <w:t>for the underlying investment securities held by the funds.</w:t>
      </w:r>
    </w:p>
    <w:p w14:paraId="55566FA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the aggregate, we expect any financial losses that we realize over time from these seed investments to be limited to the actual amount invested in the consolidated fund. However, in the </w:t>
      </w:r>
      <w:r>
        <w:rPr>
          <w:rFonts w:ascii="Arial" w:eastAsia="宋体" w:hAnsi="Arial" w:cs="Arial"/>
          <w:sz w:val="20"/>
          <w:szCs w:val="20"/>
        </w:rPr>
        <w:t xml:space="preserve">event of a fund wind-down, gross gains and losses of the fund may be recognized for financial accounting purposes in different periods during the time the fund is consolidated but not wholly owned. Although we expect the actual economic loss to be limited </w:t>
      </w:r>
      <w:r>
        <w:rPr>
          <w:rFonts w:ascii="Arial" w:eastAsia="宋体" w:hAnsi="Arial" w:cs="Arial"/>
          <w:sz w:val="20"/>
          <w:szCs w:val="20"/>
        </w:rPr>
        <w:t>to the amount invested, our losses in any period for financial accounting purposes could exceed the value of our economic interests in the fund and could exceed the value of our initial seed capital investment.</w:t>
      </w:r>
    </w:p>
    <w:p w14:paraId="55566FA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instances where we are not deemed to be th</w:t>
      </w:r>
      <w:r>
        <w:rPr>
          <w:rFonts w:ascii="Arial" w:eastAsia="宋体" w:hAnsi="Arial" w:cs="Arial"/>
          <w:sz w:val="20"/>
          <w:szCs w:val="20"/>
        </w:rPr>
        <w:t xml:space="preserve">e primary beneficiary of the sponsored investment fund, we do not include the funds in our consolidated financial statements. Our risk of loss associated with investment in these unconsolidated funds primarily represents our seed capital investment, which </w:t>
      </w:r>
      <w:r>
        <w:rPr>
          <w:rFonts w:ascii="Arial" w:eastAsia="宋体" w:hAnsi="Arial" w:cs="Arial"/>
          <w:sz w:val="20"/>
          <w:szCs w:val="20"/>
        </w:rPr>
        <w:t>could become realized as a result of poor investment performance. However</w:t>
      </w:r>
      <w:r>
        <w:rPr>
          <w:rFonts w:ascii="Times New Roman" w:eastAsia="宋体" w:hAnsi="Times New Roman"/>
          <w:sz w:val="20"/>
          <w:szCs w:val="20"/>
        </w:rPr>
        <w:t>,</w:t>
      </w:r>
      <w:r>
        <w:rPr>
          <w:rFonts w:ascii="Arial" w:eastAsia="宋体" w:hAnsi="Arial" w:cs="Arial"/>
          <w:sz w:val="20"/>
          <w:szCs w:val="20"/>
        </w:rPr>
        <w:t xml:space="preserve"> the amount of loss we may recognize during any period would be limited to the carrying amount of our investment.</w:t>
      </w:r>
    </w:p>
    <w:p w14:paraId="55566FA2" w14:textId="77777777" w:rsidR="00F925DD" w:rsidRDefault="00F925DD">
      <w:pPr>
        <w:rPr>
          <w:rFonts w:ascii="Times New Roman" w:hAnsi="Times New Roman"/>
          <w:sz w:val="20"/>
          <w:szCs w:val="20"/>
        </w:rPr>
      </w:pPr>
    </w:p>
    <w:p w14:paraId="55566FA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44</w:t>
      </w:r>
    </w:p>
    <w:p w14:paraId="55566FA4" w14:textId="77777777" w:rsidR="00F925DD" w:rsidRDefault="00F925DD">
      <w:pPr>
        <w:spacing w:line="288" w:lineRule="auto"/>
        <w:ind w:firstLine="600"/>
        <w:jc w:val="center"/>
        <w:rPr>
          <w:rFonts w:ascii="Times New Roman" w:hAnsi="Times New Roman"/>
          <w:sz w:val="18"/>
          <w:szCs w:val="18"/>
        </w:rPr>
      </w:pPr>
    </w:p>
    <w:p w14:paraId="55566FA5" w14:textId="77777777" w:rsidR="00F925DD" w:rsidRDefault="00E705D7">
      <w:r>
        <w:rPr>
          <w:rFonts w:ascii="Times New Roman" w:hAnsi="Times New Roman"/>
          <w:sz w:val="18"/>
          <w:szCs w:val="18"/>
        </w:rPr>
        <w:pict w14:anchorId="55570664">
          <v:rect id="_x0000_i1068" style="width:415.3pt;height:1.5pt" o:hralign="center" o:hrstd="t" o:hr="t" fillcolor="#a0a0a0" stroked="f"/>
        </w:pict>
      </w:r>
    </w:p>
    <w:p w14:paraId="55566FA6" w14:textId="77777777" w:rsidR="00F925DD" w:rsidRDefault="00F925DD">
      <w:pPr>
        <w:spacing w:line="288" w:lineRule="auto"/>
        <w:ind w:firstLine="600"/>
        <w:rPr>
          <w:rFonts w:ascii="Times New Roman" w:hAnsi="Times New Roman"/>
          <w:sz w:val="18"/>
          <w:szCs w:val="18"/>
        </w:rPr>
      </w:pPr>
    </w:p>
    <w:p w14:paraId="55566FA7" w14:textId="77777777" w:rsidR="00F925DD" w:rsidRDefault="00F925DD">
      <w:pPr>
        <w:rPr>
          <w:rFonts w:ascii="Times New Roman" w:hAnsi="Times New Roman"/>
          <w:sz w:val="20"/>
          <w:szCs w:val="20"/>
        </w:rPr>
      </w:pPr>
    </w:p>
    <w:p w14:paraId="55566FA8"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Our reputation and business pros</w:t>
      </w:r>
      <w:r>
        <w:rPr>
          <w:rFonts w:ascii="Arial" w:eastAsia="宋体" w:hAnsi="Arial" w:cs="Arial"/>
          <w:b/>
          <w:bCs/>
          <w:color w:val="000000"/>
          <w:sz w:val="20"/>
          <w:szCs w:val="20"/>
        </w:rPr>
        <w:t>pects may be damaged if our clients incur substantial losses in investment pools in which we act as agent or are restricted in redeeming their interests in these investment pools.</w:t>
      </w:r>
    </w:p>
    <w:p w14:paraId="55566FA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manage assets on behalf of clients in several forms, including in collect</w:t>
      </w:r>
      <w:r>
        <w:rPr>
          <w:rFonts w:ascii="Arial" w:eastAsia="宋体" w:hAnsi="Arial" w:cs="Arial"/>
          <w:sz w:val="20"/>
          <w:szCs w:val="20"/>
        </w:rPr>
        <w:t>ive investment pools, money market funds, securities finance collateral pools, cash collateral and other cash products and short-term investment funds. Our management of collective investment pools on behalf of clients exposes us to reputational risk and o</w:t>
      </w:r>
      <w:r>
        <w:rPr>
          <w:rFonts w:ascii="Arial" w:eastAsia="宋体" w:hAnsi="Arial" w:cs="Arial"/>
          <w:sz w:val="20"/>
          <w:szCs w:val="20"/>
        </w:rPr>
        <w:t>perational losses. If our clients incur substantial investment losses in these pools, receive redemptions as in-kind distributions rather than in cash, or experience significant under-performance relative to the market or our competitors' products, our rep</w:t>
      </w:r>
      <w:r>
        <w:rPr>
          <w:rFonts w:ascii="Arial" w:eastAsia="宋体" w:hAnsi="Arial" w:cs="Arial"/>
          <w:sz w:val="20"/>
          <w:szCs w:val="20"/>
        </w:rPr>
        <w:t>utation could be significantly harmed, which harm could significantly and adversely affect the prospects of our associated business units. Because we often implement investment and operational decisions and actions over multiple investment pools to achieve</w:t>
      </w:r>
      <w:r>
        <w:rPr>
          <w:rFonts w:ascii="Arial" w:eastAsia="宋体" w:hAnsi="Arial" w:cs="Arial"/>
          <w:sz w:val="20"/>
          <w:szCs w:val="20"/>
        </w:rPr>
        <w:t xml:space="preserve"> scale, we face the risk that losses, even small losses, may have a significant effect in the aggregate.</w:t>
      </w:r>
    </w:p>
    <w:p w14:paraId="55566FA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Within our Investment Management business, we manage investment pools, such as mutual funds and collective investment funds that generally offer our </w:t>
      </w:r>
      <w:r>
        <w:rPr>
          <w:rFonts w:ascii="Arial" w:eastAsia="宋体" w:hAnsi="Arial" w:cs="Arial"/>
          <w:sz w:val="20"/>
          <w:szCs w:val="20"/>
        </w:rPr>
        <w:t>clients the ability to withdraw their investments on short notice, generally daily or monthly</w:t>
      </w:r>
      <w:r>
        <w:rPr>
          <w:rFonts w:ascii="Times New Roman" w:eastAsia="宋体" w:hAnsi="Times New Roman"/>
          <w:sz w:val="20"/>
          <w:szCs w:val="20"/>
        </w:rPr>
        <w:t xml:space="preserve">. </w:t>
      </w:r>
      <w:r>
        <w:rPr>
          <w:rFonts w:ascii="Arial" w:eastAsia="宋体" w:hAnsi="Arial" w:cs="Arial"/>
          <w:sz w:val="20"/>
          <w:szCs w:val="20"/>
        </w:rPr>
        <w:t>This feature requires that we manage those pools in a manner that takes into account both maximizing the long-term return on the investment pool and retaining su</w:t>
      </w:r>
      <w:r>
        <w:rPr>
          <w:rFonts w:ascii="Arial" w:eastAsia="宋体" w:hAnsi="Arial" w:cs="Arial"/>
          <w:sz w:val="20"/>
          <w:szCs w:val="20"/>
        </w:rPr>
        <w:t>fficient liquidity to meet reasonably anticipated liquidity requirements of our clients. The importance of maintaining liquidity varies by product type, but it is a particularly important feature in money market funds and other products designed to maintai</w:t>
      </w:r>
      <w:r>
        <w:rPr>
          <w:rFonts w:ascii="Arial" w:eastAsia="宋体" w:hAnsi="Arial" w:cs="Arial"/>
          <w:sz w:val="20"/>
          <w:szCs w:val="20"/>
        </w:rPr>
        <w:t>n a constant net asset value of $1.00. In the past, we have imposed restrictions on cash redemptions from the agency lending collateral pools, as the per-unit market value of those funds' assets had declined below the constant $1.00 the funds employ to eff</w:t>
      </w:r>
      <w:r>
        <w:rPr>
          <w:rFonts w:ascii="Arial" w:eastAsia="宋体" w:hAnsi="Arial" w:cs="Arial"/>
          <w:sz w:val="20"/>
          <w:szCs w:val="20"/>
        </w:rPr>
        <w:t>ect purchase and redemption transactions. Both the decline of the funds' net asset value below $1.00 and the imposition of restrictions on redemptions had a significant client, reputational and regulatory impact on us, and the recurrence of such or similar</w:t>
      </w:r>
      <w:r>
        <w:rPr>
          <w:rFonts w:ascii="Arial" w:eastAsia="宋体" w:hAnsi="Arial" w:cs="Arial"/>
          <w:sz w:val="20"/>
          <w:szCs w:val="20"/>
        </w:rPr>
        <w:t xml:space="preserve"> circumstances in the future could adversely impact our consolidated results of operations and financial condition. We have also in the past continued to process purchase and redemption of units of investment products designed to maintain a constant net as</w:t>
      </w:r>
      <w:r>
        <w:rPr>
          <w:rFonts w:ascii="Arial" w:eastAsia="宋体" w:hAnsi="Arial" w:cs="Arial"/>
          <w:sz w:val="20"/>
          <w:szCs w:val="20"/>
        </w:rPr>
        <w:t>set value at $1.00 although the fair market value of the fund’s assets were less than $1.00. If in the future we were to continue to process purchases and redemptions from such products at $1.00 when the fair market value of our collateral pools' assets is</w:t>
      </w:r>
      <w:r>
        <w:rPr>
          <w:rFonts w:ascii="Arial" w:eastAsia="宋体" w:hAnsi="Arial" w:cs="Arial"/>
          <w:sz w:val="20"/>
          <w:szCs w:val="20"/>
        </w:rPr>
        <w:t xml:space="preserve"> less than $1.00, we could be exposed to significant liability.</w:t>
      </w:r>
    </w:p>
    <w:p w14:paraId="55566FA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If higher than normal demands for liquidity from our clients were to occur, managing the liquidity requirements of our collective investment pools could </w:t>
      </w:r>
    </w:p>
    <w:p w14:paraId="55566FAC"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FA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become more difficult. If such liqui</w:t>
      </w:r>
      <w:r>
        <w:rPr>
          <w:rFonts w:ascii="Arial" w:eastAsia="宋体" w:hAnsi="Arial" w:cs="Arial"/>
          <w:sz w:val="20"/>
          <w:szCs w:val="20"/>
        </w:rPr>
        <w:t xml:space="preserve">dity problems were to recur, our relationships with our clients may be adversely affected, and, we could, in certain circumstances, be required to consolidate the investment pools into our consolidated statement of condition; levels of redemption activity </w:t>
      </w:r>
      <w:r>
        <w:rPr>
          <w:rFonts w:ascii="Arial" w:eastAsia="宋体" w:hAnsi="Arial" w:cs="Arial"/>
          <w:sz w:val="20"/>
          <w:szCs w:val="20"/>
        </w:rPr>
        <w:t>could increase; and our consolidated results of operations and business prospects could be adversely affected. In addition, if a money market fund that we manage were to have unexpected liquidity demands from investors in the fund that exceeded available l</w:t>
      </w:r>
      <w:r>
        <w:rPr>
          <w:rFonts w:ascii="Arial" w:eastAsia="宋体" w:hAnsi="Arial" w:cs="Arial"/>
          <w:sz w:val="20"/>
          <w:szCs w:val="20"/>
        </w:rPr>
        <w:t>iquidity</w:t>
      </w:r>
      <w:r>
        <w:rPr>
          <w:rFonts w:ascii="Times New Roman" w:eastAsia="宋体" w:hAnsi="Times New Roman"/>
          <w:sz w:val="20"/>
          <w:szCs w:val="20"/>
        </w:rPr>
        <w:t>,</w:t>
      </w:r>
      <w:r>
        <w:rPr>
          <w:rFonts w:ascii="Arial" w:eastAsia="宋体" w:hAnsi="Arial" w:cs="Arial"/>
          <w:sz w:val="20"/>
          <w:szCs w:val="20"/>
        </w:rPr>
        <w:t xml:space="preserve"> the fund could be required to sell assets to meet those redemption requirements, and selling the assets held by the fund at a reasonable price, if at all, may then be difficult.</w:t>
      </w:r>
    </w:p>
    <w:p w14:paraId="55566FA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Because of the size of the investment pools that we manage, we may n</w:t>
      </w:r>
      <w:r>
        <w:rPr>
          <w:rFonts w:ascii="Arial" w:eastAsia="宋体" w:hAnsi="Arial" w:cs="Arial"/>
          <w:sz w:val="20"/>
          <w:szCs w:val="20"/>
        </w:rPr>
        <w:t>ot have the financial ability or regulatory authority to support the liquidity or other demands of our clients. Any decision by us to provide financial support to an investment pool to support our reputation in circumstances where we are not statutorily or</w:t>
      </w:r>
      <w:r>
        <w:rPr>
          <w:rFonts w:ascii="Arial" w:eastAsia="宋体" w:hAnsi="Arial" w:cs="Arial"/>
          <w:sz w:val="20"/>
          <w:szCs w:val="20"/>
        </w:rPr>
        <w:t xml:space="preserve"> contractually obligated to do so could result in the recognition of significant losses, could adversely affect the regulatory view of our capital levels or plans and could, in some cases, require us to consolidate the investment pools into our consolidate</w:t>
      </w:r>
      <w:r>
        <w:rPr>
          <w:rFonts w:ascii="Arial" w:eastAsia="宋体" w:hAnsi="Arial" w:cs="Arial"/>
          <w:sz w:val="20"/>
          <w:szCs w:val="20"/>
        </w:rPr>
        <w:t>d statement of condition. Any failure of the pools to meet redemption requests, or under- performance of our pools relative to similar products offered by our competitors, could harm our business and our reputation.</w:t>
      </w:r>
    </w:p>
    <w:p w14:paraId="55566FAF"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Competition for our employees is intense</w:t>
      </w:r>
      <w:r>
        <w:rPr>
          <w:rFonts w:ascii="Arial" w:eastAsia="宋体" w:hAnsi="Arial" w:cs="Arial"/>
          <w:b/>
          <w:bCs/>
          <w:sz w:val="20"/>
          <w:szCs w:val="20"/>
        </w:rPr>
        <w:t>, and we may not be able to attract and retain the highly skilled people we need to support our business.</w:t>
      </w:r>
    </w:p>
    <w:p w14:paraId="55566FB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success depends, in large part, on our ability to attract and retain key personnel. Competition for the best people in most activities in which we</w:t>
      </w:r>
      <w:r>
        <w:rPr>
          <w:rFonts w:ascii="Arial" w:eastAsia="宋体" w:hAnsi="Arial" w:cs="Arial"/>
          <w:sz w:val="20"/>
          <w:szCs w:val="20"/>
        </w:rPr>
        <w:t xml:space="preserve"> engage can be intense, and we may not be able to hire people or retain them, particularly in light of challenges associated with evolving compensation restrictions applicable, or which may become applicable, to banks and some asset managers and that poten</w:t>
      </w:r>
      <w:r>
        <w:rPr>
          <w:rFonts w:ascii="Arial" w:eastAsia="宋体" w:hAnsi="Arial" w:cs="Arial"/>
          <w:sz w:val="20"/>
          <w:szCs w:val="20"/>
        </w:rPr>
        <w:t>tially are not applicable to other financial services firms in all jurisdictions or to technology firms, generally. The unexpected loss of services of key personnel in business units, control functions, information technology, operations or other areas cou</w:t>
      </w:r>
      <w:r>
        <w:rPr>
          <w:rFonts w:ascii="Arial" w:eastAsia="宋体" w:hAnsi="Arial" w:cs="Arial"/>
          <w:sz w:val="20"/>
          <w:szCs w:val="20"/>
        </w:rPr>
        <w:t>ld have a material adverse impact on our business because of their skills, their knowledge of our markets, operations and clients, their years of industry experience and, in some cases, the difficulty of promptly finding qualified replacement personnel. Si</w:t>
      </w:r>
      <w:r>
        <w:rPr>
          <w:rFonts w:ascii="Arial" w:eastAsia="宋体" w:hAnsi="Arial" w:cs="Arial"/>
          <w:sz w:val="20"/>
          <w:szCs w:val="20"/>
        </w:rPr>
        <w:t>milarly, the loss of key personnel, either individually or as a group, could adversely affect our clients' perception of our ability to continue to manage certain types of investment management mandates to provide other services to them or to maintain a cu</w:t>
      </w:r>
      <w:r>
        <w:rPr>
          <w:rFonts w:ascii="Arial" w:eastAsia="宋体" w:hAnsi="Arial" w:cs="Arial"/>
          <w:sz w:val="20"/>
          <w:szCs w:val="20"/>
        </w:rPr>
        <w:t>lture of innovation and proficiency.</w:t>
      </w:r>
    </w:p>
    <w:p w14:paraId="55566FB1" w14:textId="77777777" w:rsidR="00F925DD" w:rsidRDefault="00F925DD">
      <w:pPr>
        <w:rPr>
          <w:rFonts w:ascii="Times New Roman" w:hAnsi="Times New Roman"/>
          <w:sz w:val="20"/>
          <w:szCs w:val="20"/>
        </w:rPr>
      </w:pPr>
    </w:p>
    <w:p w14:paraId="55566FB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45</w:t>
      </w:r>
    </w:p>
    <w:p w14:paraId="55566FB3" w14:textId="77777777" w:rsidR="00F925DD" w:rsidRDefault="00F925DD">
      <w:pPr>
        <w:spacing w:line="288" w:lineRule="auto"/>
        <w:ind w:firstLine="600"/>
        <w:jc w:val="center"/>
        <w:rPr>
          <w:rFonts w:ascii="Times New Roman" w:hAnsi="Times New Roman"/>
          <w:sz w:val="18"/>
          <w:szCs w:val="18"/>
        </w:rPr>
      </w:pPr>
    </w:p>
    <w:p w14:paraId="55566FB4" w14:textId="77777777" w:rsidR="00F925DD" w:rsidRDefault="00E705D7">
      <w:r>
        <w:rPr>
          <w:rFonts w:ascii="Times New Roman" w:hAnsi="Times New Roman"/>
          <w:sz w:val="18"/>
          <w:szCs w:val="18"/>
        </w:rPr>
        <w:pict w14:anchorId="55570665">
          <v:rect id="_x0000_i1069" style="width:415.3pt;height:1.5pt" o:hralign="center" o:hrstd="t" o:hr="t" fillcolor="#a0a0a0" stroked="f"/>
        </w:pict>
      </w:r>
    </w:p>
    <w:p w14:paraId="55566FB5" w14:textId="77777777" w:rsidR="00F925DD" w:rsidRDefault="00F925DD">
      <w:pPr>
        <w:spacing w:line="288" w:lineRule="auto"/>
        <w:ind w:firstLine="600"/>
        <w:rPr>
          <w:rFonts w:ascii="Times New Roman" w:hAnsi="Times New Roman"/>
          <w:sz w:val="18"/>
          <w:szCs w:val="18"/>
        </w:rPr>
      </w:pPr>
    </w:p>
    <w:p w14:paraId="55566FB6" w14:textId="77777777" w:rsidR="00F925DD" w:rsidRDefault="00F925DD">
      <w:pPr>
        <w:rPr>
          <w:rFonts w:ascii="Times New Roman" w:hAnsi="Times New Roman"/>
          <w:sz w:val="20"/>
          <w:szCs w:val="20"/>
        </w:rPr>
      </w:pPr>
    </w:p>
    <w:p w14:paraId="55566FB7"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We are subject to intense competition in all aspects of our business, which could negatively affect our ability to maintain or increase our profitability.</w:t>
      </w:r>
    </w:p>
    <w:p w14:paraId="55566FB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markets in which we </w:t>
      </w:r>
      <w:r>
        <w:rPr>
          <w:rFonts w:ascii="Arial" w:eastAsia="宋体" w:hAnsi="Arial" w:cs="Arial"/>
          <w:sz w:val="20"/>
          <w:szCs w:val="20"/>
        </w:rPr>
        <w:t xml:space="preserve">operate across all facets of our business are both highly competitive and global. These markets are changing as a result of new and evolving laws and regulations applicable to financial services institutions. Regulatory-driven market changes cannot always </w:t>
      </w:r>
      <w:r>
        <w:rPr>
          <w:rFonts w:ascii="Arial" w:eastAsia="宋体" w:hAnsi="Arial" w:cs="Arial"/>
          <w:sz w:val="20"/>
          <w:szCs w:val="20"/>
        </w:rPr>
        <w:t>be anticipated, and may adversely affect the demand for, and profitability of, the products and services that we offer. In addition, new market entrants and competitors may address changes in the markets more rapidly than we do, or may provide clients with</w:t>
      </w:r>
      <w:r>
        <w:rPr>
          <w:rFonts w:ascii="Arial" w:eastAsia="宋体" w:hAnsi="Arial" w:cs="Arial"/>
          <w:sz w:val="20"/>
          <w:szCs w:val="20"/>
        </w:rPr>
        <w:t xml:space="preserve"> a more attractive offering of products and services, adversely affecting our business. Our efforts to develop and market new products, particularly in the “Fintech” sector, may position us in new markets with pre-existing competitors with strong market po</w:t>
      </w:r>
      <w:r>
        <w:rPr>
          <w:rFonts w:ascii="Arial" w:eastAsia="宋体" w:hAnsi="Arial" w:cs="Arial"/>
          <w:sz w:val="20"/>
          <w:szCs w:val="20"/>
        </w:rPr>
        <w:t xml:space="preserve">sition. We have also experienced, and anticipate that we will continue to experience, significant pricing pressure in many of our core businesses, particularly our custodial and investment management services. This pricing pressure has and may continue to </w:t>
      </w:r>
      <w:r>
        <w:rPr>
          <w:rFonts w:ascii="Arial" w:eastAsia="宋体" w:hAnsi="Arial" w:cs="Arial"/>
          <w:sz w:val="20"/>
          <w:szCs w:val="20"/>
        </w:rPr>
        <w:t>impact our revenue growth and operational margins and may limit the positive impact of new client demand and growth in AUC/A. Many of our businesses compete with other domestic and international banks and financial services companies, such as custody banks</w:t>
      </w:r>
      <w:r>
        <w:rPr>
          <w:rFonts w:ascii="Arial" w:eastAsia="宋体" w:hAnsi="Arial" w:cs="Arial"/>
          <w:sz w:val="20"/>
          <w:szCs w:val="20"/>
        </w:rPr>
        <w:t>, investment advisors, broker/dealers, outsourcing companies and data processing companies. Further consolidation within the financial services industry could also pose challenges to us in the markets we serve, including potentially increased downward pric</w:t>
      </w:r>
      <w:r>
        <w:rPr>
          <w:rFonts w:ascii="Arial" w:eastAsia="宋体" w:hAnsi="Arial" w:cs="Arial"/>
          <w:sz w:val="20"/>
          <w:szCs w:val="20"/>
        </w:rPr>
        <w:t>ing pressure across our businesses.</w:t>
      </w:r>
    </w:p>
    <w:p w14:paraId="55566FB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Some of our competitors including our competitors in core services, have substantially greater capital resources than we do or are not subject to as stringent capital or other regulatory requirements as are we. In some o</w:t>
      </w:r>
      <w:r>
        <w:rPr>
          <w:rFonts w:ascii="Arial" w:eastAsia="宋体" w:hAnsi="Arial" w:cs="Arial"/>
          <w:sz w:val="20"/>
          <w:szCs w:val="20"/>
        </w:rPr>
        <w:t>f our businesses, we are service providers to significant competitors. These competitors are in some instances significant clients, and the retention of these clients involves additional risks, such as the avoidance of actual or perceived conflicts of inte</w:t>
      </w:r>
      <w:r>
        <w:rPr>
          <w:rFonts w:ascii="Arial" w:eastAsia="宋体" w:hAnsi="Arial" w:cs="Arial"/>
          <w:sz w:val="20"/>
          <w:szCs w:val="20"/>
        </w:rPr>
        <w:t>rest and the maintenance of high levels of service quality and intra-company confidentiality. The ability of a competitor to offer comparable or improved products or services at a lower price would likely negatively affect our ability to maintain or increa</w:t>
      </w:r>
      <w:r>
        <w:rPr>
          <w:rFonts w:ascii="Arial" w:eastAsia="宋体" w:hAnsi="Arial" w:cs="Arial"/>
          <w:sz w:val="20"/>
          <w:szCs w:val="20"/>
        </w:rPr>
        <w:t>se our profitability. Many of our core services are subject to contracts that have relatively short terms or may be terminated by our client after a short notice period. In addition, pricing pressures as a result of the activities of competitors, client pr</w:t>
      </w:r>
      <w:r>
        <w:rPr>
          <w:rFonts w:ascii="Arial" w:eastAsia="宋体" w:hAnsi="Arial" w:cs="Arial"/>
          <w:sz w:val="20"/>
          <w:szCs w:val="20"/>
        </w:rPr>
        <w:t>icing reviews, and rebids, as well as the introduction of new products, may result in a reduction in the prices we can charge for our products and services.</w:t>
      </w:r>
    </w:p>
    <w:p w14:paraId="55566FBA"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FBB"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Long-term contracts expose us to pricing and performance risk.</w:t>
      </w:r>
    </w:p>
    <w:p w14:paraId="55566FB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enter into long-term contracts </w:t>
      </w:r>
      <w:r>
        <w:rPr>
          <w:rFonts w:ascii="Arial" w:eastAsia="宋体" w:hAnsi="Arial" w:cs="Arial"/>
          <w:sz w:val="20"/>
          <w:szCs w:val="20"/>
        </w:rPr>
        <w:t>to provide middle office or investment manager and alternative investment manager operations outsourcing services to clients, including services related to certain trading activities, cash reporting, settlement and reconciliation activities, collateral man</w:t>
      </w:r>
      <w:r>
        <w:rPr>
          <w:rFonts w:ascii="Arial" w:eastAsia="宋体" w:hAnsi="Arial" w:cs="Arial"/>
          <w:sz w:val="20"/>
          <w:szCs w:val="20"/>
        </w:rPr>
        <w:t>agement and information technology development. We also may enter into longer-term arrangements with respect to custody</w:t>
      </w:r>
      <w:r>
        <w:rPr>
          <w:rFonts w:ascii="Times New Roman" w:eastAsia="宋体" w:hAnsi="Times New Roman"/>
          <w:sz w:val="20"/>
          <w:szCs w:val="20"/>
        </w:rPr>
        <w:t>,</w:t>
      </w:r>
      <w:r>
        <w:rPr>
          <w:rFonts w:ascii="Arial" w:eastAsia="宋体" w:hAnsi="Arial" w:cs="Arial"/>
          <w:sz w:val="20"/>
          <w:szCs w:val="20"/>
        </w:rPr>
        <w:t xml:space="preserve"> fund administration and depository services. These arrangements generally set forth our fee schedule for the term of the contract and, </w:t>
      </w:r>
      <w:r>
        <w:rPr>
          <w:rFonts w:ascii="Arial" w:eastAsia="宋体" w:hAnsi="Arial" w:cs="Arial"/>
          <w:sz w:val="20"/>
          <w:szCs w:val="20"/>
        </w:rPr>
        <w:t>absent a change in service requirements, do not permit us to re-price the contract for changes in our costs or for market pricing. The long-term contracts for these relationships require, in some cases, considerable up-front investment by us, including tec</w:t>
      </w:r>
      <w:r>
        <w:rPr>
          <w:rFonts w:ascii="Arial" w:eastAsia="宋体" w:hAnsi="Arial" w:cs="Arial"/>
          <w:sz w:val="20"/>
          <w:szCs w:val="20"/>
        </w:rPr>
        <w:t>hnology and conversion costs, and carry the risk that pricing for the products and services we provide might not prove adequate to generate expected operating margins over the term of the contracts.</w:t>
      </w:r>
    </w:p>
    <w:p w14:paraId="55566FB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profitability of these contracts is largely a functio</w:t>
      </w:r>
      <w:r>
        <w:rPr>
          <w:rFonts w:ascii="Arial" w:eastAsia="宋体" w:hAnsi="Arial" w:cs="Arial"/>
          <w:sz w:val="20"/>
          <w:szCs w:val="20"/>
        </w:rPr>
        <w:t>n of our ability to accurately calculate pricing for our services, efficiently assume our contractual responsibilities in a timely manner</w:t>
      </w:r>
      <w:r>
        <w:rPr>
          <w:rFonts w:ascii="Times New Roman" w:eastAsia="宋体" w:hAnsi="Times New Roman"/>
          <w:sz w:val="20"/>
          <w:szCs w:val="20"/>
        </w:rPr>
        <w:t>,</w:t>
      </w:r>
      <w:r>
        <w:rPr>
          <w:rFonts w:ascii="Arial" w:eastAsia="宋体" w:hAnsi="Arial" w:cs="Arial"/>
          <w:sz w:val="20"/>
          <w:szCs w:val="20"/>
        </w:rPr>
        <w:t xml:space="preserve"> control our costs and maintain the relationship with the client for an adequate period of time to recover our up-fron</w:t>
      </w:r>
      <w:r>
        <w:rPr>
          <w:rFonts w:ascii="Arial" w:eastAsia="宋体" w:hAnsi="Arial" w:cs="Arial"/>
          <w:sz w:val="20"/>
          <w:szCs w:val="20"/>
        </w:rPr>
        <w:t>t investment. Our estimate of the profitability of these arrangements can be adversely affected by declines in the assets under the clients' management, whether due to general declines in the securities markets or client-specific issues. In addition, the p</w:t>
      </w:r>
      <w:r>
        <w:rPr>
          <w:rFonts w:ascii="Arial" w:eastAsia="宋体" w:hAnsi="Arial" w:cs="Arial"/>
          <w:sz w:val="20"/>
          <w:szCs w:val="20"/>
        </w:rPr>
        <w:t>rofitability of these arrangements may be based on our ability to cross-sell additional services to these clients, and we may be unable to do so. In addition, such contracts may permit early termination or reduction in services in the event that certain se</w:t>
      </w:r>
      <w:r>
        <w:rPr>
          <w:rFonts w:ascii="Arial" w:eastAsia="宋体" w:hAnsi="Arial" w:cs="Arial"/>
          <w:sz w:val="20"/>
          <w:szCs w:val="20"/>
        </w:rPr>
        <w:t>rvice levels are not met, which termination or service reduction may result in loss of upfront investment in onboarding the client.</w:t>
      </w:r>
    </w:p>
    <w:p w14:paraId="55566FB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Performance risk exists in each contract, given our dependence on successful conversion and implementation onto our own oper</w:t>
      </w:r>
      <w:r>
        <w:rPr>
          <w:rFonts w:ascii="Arial" w:eastAsia="宋体" w:hAnsi="Arial" w:cs="Arial"/>
          <w:sz w:val="20"/>
          <w:szCs w:val="20"/>
        </w:rPr>
        <w:t>ating platforms of the service activities provided. Our failure to meet specified service levels or implementation timelines may also adversely affect our revenue from such arrangements, or permit early termination of the contracts by the client. If the de</w:t>
      </w:r>
      <w:r>
        <w:rPr>
          <w:rFonts w:ascii="Arial" w:eastAsia="宋体" w:hAnsi="Arial" w:cs="Arial"/>
          <w:sz w:val="20"/>
          <w:szCs w:val="20"/>
        </w:rPr>
        <w:t>mand for these types of services were to decline, we could see our revenue decline.</w:t>
      </w:r>
    </w:p>
    <w:p w14:paraId="55566FBF" w14:textId="77777777" w:rsidR="00F925DD" w:rsidRDefault="00F925DD">
      <w:pPr>
        <w:rPr>
          <w:rFonts w:ascii="Times New Roman" w:hAnsi="Times New Roman"/>
          <w:sz w:val="20"/>
          <w:szCs w:val="20"/>
        </w:rPr>
      </w:pPr>
    </w:p>
    <w:p w14:paraId="55566FC0"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46</w:t>
      </w:r>
    </w:p>
    <w:p w14:paraId="55566FC1" w14:textId="77777777" w:rsidR="00F925DD" w:rsidRDefault="00F925DD">
      <w:pPr>
        <w:spacing w:line="288" w:lineRule="auto"/>
        <w:ind w:firstLine="600"/>
        <w:jc w:val="center"/>
        <w:rPr>
          <w:rFonts w:ascii="Times New Roman" w:hAnsi="Times New Roman"/>
          <w:sz w:val="18"/>
          <w:szCs w:val="18"/>
        </w:rPr>
      </w:pPr>
    </w:p>
    <w:p w14:paraId="55566FC2" w14:textId="77777777" w:rsidR="00F925DD" w:rsidRDefault="00E705D7">
      <w:r>
        <w:rPr>
          <w:rFonts w:ascii="Times New Roman" w:hAnsi="Times New Roman"/>
          <w:sz w:val="18"/>
          <w:szCs w:val="18"/>
        </w:rPr>
        <w:pict w14:anchorId="55570666">
          <v:rect id="_x0000_i1070" style="width:415.3pt;height:1.5pt" o:hralign="center" o:hrstd="t" o:hr="t" fillcolor="#a0a0a0" stroked="f"/>
        </w:pict>
      </w:r>
    </w:p>
    <w:p w14:paraId="55566FC3" w14:textId="77777777" w:rsidR="00F925DD" w:rsidRDefault="00F925DD">
      <w:pPr>
        <w:spacing w:line="288" w:lineRule="auto"/>
        <w:ind w:firstLine="600"/>
        <w:rPr>
          <w:rFonts w:ascii="Times New Roman" w:hAnsi="Times New Roman"/>
          <w:sz w:val="18"/>
          <w:szCs w:val="18"/>
        </w:rPr>
      </w:pPr>
    </w:p>
    <w:p w14:paraId="55566FC4" w14:textId="77777777" w:rsidR="00F925DD" w:rsidRDefault="00F925DD">
      <w:pPr>
        <w:rPr>
          <w:rFonts w:ascii="Times New Roman" w:hAnsi="Times New Roman"/>
          <w:sz w:val="20"/>
          <w:szCs w:val="20"/>
        </w:rPr>
      </w:pPr>
    </w:p>
    <w:p w14:paraId="55566FC5"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Changes in accounting standards may adversely affect our consolidated financial statements</w:t>
      </w:r>
      <w:r>
        <w:rPr>
          <w:rFonts w:ascii="Arial" w:eastAsia="宋体" w:hAnsi="Arial" w:cs="Arial"/>
          <w:b/>
          <w:bCs/>
          <w:sz w:val="20"/>
          <w:szCs w:val="20"/>
        </w:rPr>
        <w:t>.</w:t>
      </w:r>
    </w:p>
    <w:p w14:paraId="55566FC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New accounting standards, or changes to </w:t>
      </w:r>
      <w:r>
        <w:rPr>
          <w:rFonts w:ascii="Arial" w:eastAsia="宋体" w:hAnsi="Arial" w:cs="Arial"/>
          <w:sz w:val="20"/>
          <w:szCs w:val="20"/>
        </w:rPr>
        <w:t xml:space="preserve">existing accounting standards, resulting both from initiatives of the FASB as well as changes in the interpretation of existing accounting standards potentially could affect our consolidated results of operations, cash flows and financial condition. These </w:t>
      </w:r>
      <w:r>
        <w:rPr>
          <w:rFonts w:ascii="Arial" w:eastAsia="宋体" w:hAnsi="Arial" w:cs="Arial"/>
          <w:sz w:val="20"/>
          <w:szCs w:val="20"/>
        </w:rPr>
        <w:t>changes can materially affect how we record and report our consolidated results of operations, cash flows, financial condition and other financial information. In some cases, we could elect, or be required, to apply a new or revised standard retroactively,</w:t>
      </w:r>
      <w:r>
        <w:rPr>
          <w:rFonts w:ascii="Arial" w:eastAsia="宋体" w:hAnsi="Arial" w:cs="Arial"/>
          <w:sz w:val="20"/>
          <w:szCs w:val="20"/>
        </w:rPr>
        <w:t xml:space="preserve"> resulting in the revised treatment of certain transactions or activities, and, in some cases, the revision of our consolidated financial statements for prior periods. For additional information regarding changes in accounting standards, refer to the “Rece</w:t>
      </w:r>
      <w:r>
        <w:rPr>
          <w:rFonts w:ascii="Arial" w:eastAsia="宋体" w:hAnsi="Arial" w:cs="Arial"/>
          <w:sz w:val="20"/>
          <w:szCs w:val="20"/>
        </w:rPr>
        <w:t>nt Accounting Developments” section of Note 1 to the consolidated financial statements in this Form 10-K.</w:t>
      </w:r>
    </w:p>
    <w:p w14:paraId="55566FC7"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 xml:space="preserve">Changes in tax laws, rules or regulations, challenges to our tax positions with respect to historical transactions, and changes in the composition of </w:t>
      </w:r>
      <w:r>
        <w:rPr>
          <w:rFonts w:ascii="Arial" w:eastAsia="宋体" w:hAnsi="Arial" w:cs="Arial"/>
          <w:b/>
          <w:bCs/>
          <w:color w:val="000000"/>
          <w:sz w:val="20"/>
          <w:szCs w:val="20"/>
        </w:rPr>
        <w:t>our pre-tax earnings may increase our effective tax rate and thus adversely affect our consolidated financial statements.</w:t>
      </w:r>
    </w:p>
    <w:p w14:paraId="55566FC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businesses can be directly or indirectly affected by new tax legislation, the expiration of existing tax laws or the interpretatio</w:t>
      </w:r>
      <w:r>
        <w:rPr>
          <w:rFonts w:ascii="Arial" w:eastAsia="宋体" w:hAnsi="Arial" w:cs="Arial"/>
          <w:sz w:val="20"/>
          <w:szCs w:val="20"/>
        </w:rPr>
        <w:t>n of existing tax laws worldwide. On December 22, 2017, the United States enacted the Tax Cuts and Jobs Act (TCJA), generally effective January 2018. This decreased the U.S. corporate income tax rate from 35% to 21%, repealed the corporate alternative mini</w:t>
      </w:r>
      <w:r>
        <w:rPr>
          <w:rFonts w:ascii="Arial" w:eastAsia="宋体" w:hAnsi="Arial" w:cs="Arial"/>
          <w:sz w:val="20"/>
          <w:szCs w:val="20"/>
        </w:rPr>
        <w:t>mum tax and replaced the existing worldwide tax system with a modified territorial system. The modified territorial system eliminates income tax on foreign dividends and introduces new provisions that generate incremental tax on foreign earnings, base eros</w:t>
      </w:r>
      <w:r>
        <w:rPr>
          <w:rFonts w:ascii="Arial" w:eastAsia="宋体" w:hAnsi="Arial" w:cs="Arial"/>
          <w:sz w:val="20"/>
          <w:szCs w:val="20"/>
        </w:rPr>
        <w:t>ion payments and limit the benefit of foreign tax credits. The U.S. Treasury has yet to issue final guidance on certain of these provisions and depending on that guidance, our effective tax rate could be adversely affected.</w:t>
      </w:r>
    </w:p>
    <w:p w14:paraId="55566FC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U.S. state governments, includin</w:t>
      </w:r>
      <w:r>
        <w:rPr>
          <w:rFonts w:ascii="Arial" w:eastAsia="宋体" w:hAnsi="Arial" w:cs="Arial"/>
          <w:sz w:val="20"/>
          <w:szCs w:val="20"/>
        </w:rPr>
        <w:t>g Massachusetts, and jurisdictions around the world continue to review proposals to amend tax laws, rules and regulations applicable to our businesses that could have a negative impact on our capital or after-tax earnings. In the normal course of our busin</w:t>
      </w:r>
      <w:r>
        <w:rPr>
          <w:rFonts w:ascii="Arial" w:eastAsia="宋体" w:hAnsi="Arial" w:cs="Arial"/>
          <w:sz w:val="20"/>
          <w:szCs w:val="20"/>
        </w:rPr>
        <w:t>ess, we are subject to review by U.S. and non-U.S. tax authorities. A review by any such authority could result in an increase in our recorded tax liability. In addition to the aforementioned risks, our effective tax rate is dependent on the nature and geo</w:t>
      </w:r>
      <w:r>
        <w:rPr>
          <w:rFonts w:ascii="Arial" w:eastAsia="宋体" w:hAnsi="Arial" w:cs="Arial"/>
          <w:sz w:val="20"/>
          <w:szCs w:val="20"/>
        </w:rPr>
        <w:t>graphic composition of our pre-tax earnings and could be negatively affected by changes in these factors.</w:t>
      </w:r>
    </w:p>
    <w:p w14:paraId="55566FCA"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6FCB"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We may incur losses as a result of unforeseen events including terrorist attacks, natural disasters, the emergence of a pandemic or acts of embezzle</w:t>
      </w:r>
      <w:r>
        <w:rPr>
          <w:rFonts w:ascii="Arial" w:eastAsia="宋体" w:hAnsi="Arial" w:cs="Arial"/>
          <w:b/>
          <w:bCs/>
          <w:color w:val="000000"/>
          <w:sz w:val="20"/>
          <w:szCs w:val="20"/>
        </w:rPr>
        <w:t>ment.</w:t>
      </w:r>
    </w:p>
    <w:p w14:paraId="55566FC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Acts of terrorism, natural disasters or the emergence of a pandemic could significantly affect our business. We have instituted disaster recovery and continuity plans to address risks from terrorism, natural disasters and pandemic; however, anticipat</w:t>
      </w:r>
      <w:r>
        <w:rPr>
          <w:rFonts w:ascii="Arial" w:eastAsia="宋体" w:hAnsi="Arial" w:cs="Arial"/>
          <w:sz w:val="20"/>
          <w:szCs w:val="20"/>
        </w:rPr>
        <w:t>ing or addressing all potential contingencies is not possible for events of this nature. Acts of terrorism, either targeted or broad in scope, or natural disasters could damage our physical facilities, harm our employees and disrupt our operations. A pande</w:t>
      </w:r>
      <w:r>
        <w:rPr>
          <w:rFonts w:ascii="Arial" w:eastAsia="宋体" w:hAnsi="Arial" w:cs="Arial"/>
          <w:sz w:val="20"/>
          <w:szCs w:val="20"/>
        </w:rPr>
        <w:t>mic, or concern about a possible pandemic, could lead to operational difficulties and impair our ability to manage our business. Acts of terrorism, natural disasters and pandemics could also negatively affect our clients, counterparties and service provide</w:t>
      </w:r>
      <w:r>
        <w:rPr>
          <w:rFonts w:ascii="Arial" w:eastAsia="宋体" w:hAnsi="Arial" w:cs="Arial"/>
          <w:sz w:val="20"/>
          <w:szCs w:val="20"/>
        </w:rPr>
        <w:t>rs, as well as result in disruptions in general economic activity and the financial markets.</w:t>
      </w:r>
    </w:p>
    <w:p w14:paraId="55566FCD" w14:textId="77777777" w:rsidR="00F925DD" w:rsidRDefault="00F925DD">
      <w:pPr>
        <w:rPr>
          <w:rFonts w:ascii="Times New Roman" w:hAnsi="Times New Roman"/>
          <w:sz w:val="20"/>
          <w:szCs w:val="20"/>
        </w:rPr>
      </w:pPr>
    </w:p>
    <w:p w14:paraId="55566FC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47</w:t>
      </w:r>
    </w:p>
    <w:p w14:paraId="55566FCF" w14:textId="77777777" w:rsidR="00F925DD" w:rsidRDefault="00F925DD">
      <w:pPr>
        <w:spacing w:line="288" w:lineRule="auto"/>
        <w:ind w:firstLine="600"/>
        <w:jc w:val="center"/>
        <w:rPr>
          <w:rFonts w:ascii="Times New Roman" w:hAnsi="Times New Roman"/>
          <w:sz w:val="18"/>
          <w:szCs w:val="18"/>
        </w:rPr>
      </w:pPr>
    </w:p>
    <w:p w14:paraId="55566FD0" w14:textId="77777777" w:rsidR="00F925DD" w:rsidRDefault="00E705D7">
      <w:r>
        <w:rPr>
          <w:rFonts w:ascii="Times New Roman" w:hAnsi="Times New Roman"/>
          <w:sz w:val="18"/>
          <w:szCs w:val="18"/>
        </w:rPr>
        <w:pict w14:anchorId="55570667">
          <v:rect id="_x0000_i1071" style="width:415.3pt;height:1.5pt" o:hralign="center" o:hrstd="t" o:hr="t" fillcolor="#a0a0a0" stroked="f"/>
        </w:pict>
      </w:r>
    </w:p>
    <w:p w14:paraId="55566FD1" w14:textId="77777777" w:rsidR="00F925DD" w:rsidRDefault="00F925DD">
      <w:pPr>
        <w:spacing w:line="288" w:lineRule="auto"/>
        <w:ind w:firstLine="600"/>
        <w:rPr>
          <w:rFonts w:ascii="Times New Roman" w:hAnsi="Times New Roman"/>
          <w:sz w:val="18"/>
          <w:szCs w:val="18"/>
        </w:rPr>
      </w:pPr>
    </w:p>
    <w:p w14:paraId="55566FD2" w14:textId="77777777" w:rsidR="00F925DD" w:rsidRDefault="00F925DD">
      <w:pPr>
        <w:rPr>
          <w:rFonts w:ascii="Times New Roman" w:hAnsi="Times New Roman"/>
          <w:sz w:val="20"/>
          <w:szCs w:val="20"/>
        </w:rPr>
      </w:pPr>
    </w:p>
    <w:p w14:paraId="55566FD3"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ITEM 1</w:t>
      </w:r>
      <w:r>
        <w:rPr>
          <w:rFonts w:ascii="Arial" w:eastAsia="宋体" w:hAnsi="Arial" w:cs="Arial"/>
          <w:b/>
          <w:bCs/>
          <w:sz w:val="20"/>
          <w:szCs w:val="20"/>
        </w:rPr>
        <w:t>B. UNRESOLVED STAFF COMMENTS</w:t>
      </w:r>
    </w:p>
    <w:p w14:paraId="55566FD4" w14:textId="77777777" w:rsidR="00F925DD" w:rsidRDefault="00E705D7">
      <w:pPr>
        <w:spacing w:line="288" w:lineRule="auto"/>
        <w:ind w:firstLine="600"/>
        <w:rPr>
          <w:rFonts w:ascii="Times New Roman" w:hAnsi="Times New Roman"/>
          <w:sz w:val="20"/>
          <w:szCs w:val="20"/>
        </w:rPr>
      </w:pPr>
      <w:r>
        <w:rPr>
          <w:rFonts w:ascii="Arial" w:eastAsia="宋体" w:hAnsi="Arial" w:cs="Arial"/>
          <w:sz w:val="20"/>
          <w:szCs w:val="20"/>
        </w:rPr>
        <w:t>None.</w:t>
      </w:r>
    </w:p>
    <w:p w14:paraId="55566FD5"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ITEM 2. PROPERTIES</w:t>
      </w:r>
    </w:p>
    <w:p w14:paraId="55566FD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headquarters is located at State Street Financial </w:t>
      </w:r>
      <w:r>
        <w:rPr>
          <w:rFonts w:ascii="Arial" w:eastAsia="宋体" w:hAnsi="Arial" w:cs="Arial"/>
          <w:sz w:val="20"/>
          <w:szCs w:val="20"/>
        </w:rPr>
        <w:t>Center, One Lincoln Street, Boston, Massachusetts, a 36-story leased office building. Various divisions of our two lines of business, as well as support functions, occupy space in this building. We occupy three buildings located in Quincy, Massachusetts, o</w:t>
      </w:r>
      <w:r>
        <w:rPr>
          <w:rFonts w:ascii="Arial" w:eastAsia="宋体" w:hAnsi="Arial" w:cs="Arial"/>
          <w:sz w:val="20"/>
          <w:szCs w:val="20"/>
        </w:rPr>
        <w:t>ne of which we own and two of which we lease, along with the Channel Center and Summer Street, other leased office buildings located in Boston, all of which function as our principal facilities.</w:t>
      </w:r>
    </w:p>
    <w:p w14:paraId="55566FD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occupy a total of approximately 7.8 million square feet of</w:t>
      </w:r>
      <w:r>
        <w:rPr>
          <w:rFonts w:ascii="Arial" w:eastAsia="宋体" w:hAnsi="Arial" w:cs="Arial"/>
          <w:sz w:val="20"/>
          <w:szCs w:val="20"/>
        </w:rPr>
        <w:t xml:space="preserve"> office space and related facilities worldwide, of which approximately 6.8 million square feet are leased. The following table provides information on certain of our office space and related facilities:</w:t>
      </w:r>
    </w:p>
    <w:tbl>
      <w:tblPr>
        <w:tblW w:w="5000" w:type="pct"/>
        <w:tblCellMar>
          <w:left w:w="0" w:type="dxa"/>
          <w:right w:w="0" w:type="dxa"/>
        </w:tblCellMar>
        <w:tblLook w:val="04A0" w:firstRow="1" w:lastRow="0" w:firstColumn="1" w:lastColumn="0" w:noHBand="0" w:noVBand="1"/>
      </w:tblPr>
      <w:tblGrid>
        <w:gridCol w:w="2042"/>
        <w:gridCol w:w="130"/>
        <w:gridCol w:w="1958"/>
        <w:gridCol w:w="130"/>
        <w:gridCol w:w="1958"/>
        <w:gridCol w:w="130"/>
        <w:gridCol w:w="1958"/>
      </w:tblGrid>
      <w:tr w:rsidR="00F925DD" w14:paraId="55566FD9" w14:textId="77777777">
        <w:tc>
          <w:tcPr>
            <w:tcW w:w="0" w:type="auto"/>
            <w:gridSpan w:val="7"/>
            <w:shd w:val="clear" w:color="auto" w:fill="auto"/>
            <w:vAlign w:val="center"/>
          </w:tcPr>
          <w:p w14:paraId="55566FD8" w14:textId="77777777" w:rsidR="00F925DD" w:rsidRDefault="00F925DD">
            <w:pPr>
              <w:rPr>
                <w:rFonts w:ascii="Times New Roman" w:hAnsi="Times New Roman"/>
                <w:sz w:val="20"/>
                <w:szCs w:val="20"/>
              </w:rPr>
            </w:pPr>
          </w:p>
        </w:tc>
      </w:tr>
      <w:tr w:rsidR="00F925DD" w14:paraId="55566FE1" w14:textId="77777777">
        <w:tc>
          <w:tcPr>
            <w:tcW w:w="1250" w:type="pct"/>
            <w:shd w:val="clear" w:color="auto" w:fill="auto"/>
            <w:vAlign w:val="center"/>
          </w:tcPr>
          <w:p w14:paraId="55566FDA" w14:textId="77777777" w:rsidR="00F925DD" w:rsidRDefault="00F925DD">
            <w:pPr>
              <w:rPr>
                <w:rFonts w:ascii="Times New Roman" w:hAnsi="Times New Roman"/>
                <w:sz w:val="20"/>
                <w:szCs w:val="20"/>
              </w:rPr>
            </w:pPr>
          </w:p>
        </w:tc>
        <w:tc>
          <w:tcPr>
            <w:tcW w:w="50" w:type="pct"/>
            <w:shd w:val="clear" w:color="auto" w:fill="auto"/>
            <w:vAlign w:val="center"/>
          </w:tcPr>
          <w:p w14:paraId="55566FDB" w14:textId="77777777" w:rsidR="00F925DD" w:rsidRDefault="00F925DD">
            <w:pPr>
              <w:rPr>
                <w:rFonts w:ascii="Times New Roman" w:hAnsi="Times New Roman"/>
                <w:sz w:val="20"/>
                <w:szCs w:val="20"/>
              </w:rPr>
            </w:pPr>
          </w:p>
        </w:tc>
        <w:tc>
          <w:tcPr>
            <w:tcW w:w="1200" w:type="pct"/>
            <w:shd w:val="clear" w:color="auto" w:fill="auto"/>
            <w:vAlign w:val="center"/>
          </w:tcPr>
          <w:p w14:paraId="55566FDC" w14:textId="77777777" w:rsidR="00F925DD" w:rsidRDefault="00F925DD">
            <w:pPr>
              <w:rPr>
                <w:rFonts w:ascii="Times New Roman" w:hAnsi="Times New Roman"/>
                <w:sz w:val="20"/>
                <w:szCs w:val="20"/>
              </w:rPr>
            </w:pPr>
          </w:p>
        </w:tc>
        <w:tc>
          <w:tcPr>
            <w:tcW w:w="50" w:type="pct"/>
            <w:shd w:val="clear" w:color="auto" w:fill="auto"/>
            <w:vAlign w:val="center"/>
          </w:tcPr>
          <w:p w14:paraId="55566FDD" w14:textId="77777777" w:rsidR="00F925DD" w:rsidRDefault="00F925DD">
            <w:pPr>
              <w:rPr>
                <w:rFonts w:ascii="Times New Roman" w:hAnsi="Times New Roman"/>
                <w:sz w:val="20"/>
                <w:szCs w:val="20"/>
              </w:rPr>
            </w:pPr>
          </w:p>
        </w:tc>
        <w:tc>
          <w:tcPr>
            <w:tcW w:w="1200" w:type="pct"/>
            <w:shd w:val="clear" w:color="auto" w:fill="auto"/>
            <w:vAlign w:val="center"/>
          </w:tcPr>
          <w:p w14:paraId="55566FDE" w14:textId="77777777" w:rsidR="00F925DD" w:rsidRDefault="00F925DD">
            <w:pPr>
              <w:rPr>
                <w:rFonts w:ascii="Times New Roman" w:hAnsi="Times New Roman"/>
                <w:sz w:val="20"/>
                <w:szCs w:val="20"/>
              </w:rPr>
            </w:pPr>
          </w:p>
        </w:tc>
        <w:tc>
          <w:tcPr>
            <w:tcW w:w="50" w:type="pct"/>
            <w:shd w:val="clear" w:color="auto" w:fill="auto"/>
            <w:vAlign w:val="center"/>
          </w:tcPr>
          <w:p w14:paraId="55566FDF" w14:textId="77777777" w:rsidR="00F925DD" w:rsidRDefault="00F925DD">
            <w:pPr>
              <w:rPr>
                <w:rFonts w:ascii="Times New Roman" w:hAnsi="Times New Roman"/>
                <w:sz w:val="20"/>
                <w:szCs w:val="20"/>
              </w:rPr>
            </w:pPr>
          </w:p>
        </w:tc>
        <w:tc>
          <w:tcPr>
            <w:tcW w:w="1200" w:type="pct"/>
            <w:shd w:val="clear" w:color="auto" w:fill="auto"/>
            <w:vAlign w:val="center"/>
          </w:tcPr>
          <w:p w14:paraId="55566FE0" w14:textId="77777777" w:rsidR="00F925DD" w:rsidRDefault="00F925DD">
            <w:pPr>
              <w:rPr>
                <w:rFonts w:ascii="Times New Roman" w:hAnsi="Times New Roman"/>
                <w:sz w:val="20"/>
                <w:szCs w:val="20"/>
              </w:rPr>
            </w:pPr>
          </w:p>
        </w:tc>
      </w:tr>
      <w:tr w:rsidR="00F925DD" w14:paraId="55566FE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6FE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Principal Properties</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6F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6FE4"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City</w:t>
            </w:r>
          </w:p>
        </w:tc>
        <w:tc>
          <w:tcPr>
            <w:tcW w:w="0" w:type="auto"/>
            <w:shd w:val="clear" w:color="auto" w:fill="auto"/>
            <w:tcMar>
              <w:top w:w="40" w:type="dxa"/>
              <w:left w:w="40" w:type="dxa"/>
              <w:bottom w:w="40" w:type="dxa"/>
              <w:right w:w="40" w:type="dxa"/>
            </w:tcMar>
            <w:vAlign w:val="bottom"/>
          </w:tcPr>
          <w:p w14:paraId="55566F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6FE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State/</w:t>
            </w:r>
          </w:p>
          <w:p w14:paraId="55566FE7"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Country</w:t>
            </w:r>
          </w:p>
        </w:tc>
        <w:tc>
          <w:tcPr>
            <w:tcW w:w="0" w:type="auto"/>
            <w:shd w:val="clear" w:color="auto" w:fill="auto"/>
            <w:tcMar>
              <w:top w:w="40" w:type="dxa"/>
              <w:left w:w="40" w:type="dxa"/>
              <w:bottom w:w="40" w:type="dxa"/>
              <w:right w:w="40" w:type="dxa"/>
            </w:tcMar>
            <w:vAlign w:val="bottom"/>
          </w:tcPr>
          <w:p w14:paraId="55566F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6FE9"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Owned/</w:t>
            </w:r>
          </w:p>
          <w:p w14:paraId="55566FEA"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Leased</w:t>
            </w:r>
          </w:p>
        </w:tc>
      </w:tr>
      <w:tr w:rsidR="00F925DD" w14:paraId="55566FF3" w14:textId="77777777">
        <w:tc>
          <w:tcPr>
            <w:tcW w:w="0" w:type="auto"/>
            <w:shd w:val="clear" w:color="auto" w:fill="auto"/>
            <w:tcMar>
              <w:top w:w="40" w:type="dxa"/>
              <w:left w:w="40" w:type="dxa"/>
              <w:bottom w:w="40" w:type="dxa"/>
              <w:right w:w="40" w:type="dxa"/>
            </w:tcMar>
            <w:vAlign w:val="bottom"/>
          </w:tcPr>
          <w:p w14:paraId="55566F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6FFB" w14:textId="77777777">
        <w:tc>
          <w:tcPr>
            <w:tcW w:w="0" w:type="auto"/>
            <w:shd w:val="clear" w:color="auto" w:fill="auto"/>
            <w:tcMar>
              <w:top w:w="40" w:type="dxa"/>
              <w:left w:w="40" w:type="dxa"/>
              <w:bottom w:w="40" w:type="dxa"/>
              <w:right w:w="40" w:type="dxa"/>
            </w:tcMar>
            <w:vAlign w:val="bottom"/>
          </w:tcPr>
          <w:p w14:paraId="55566FF4"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U.S. and Canada:</w:t>
            </w:r>
          </w:p>
        </w:tc>
        <w:tc>
          <w:tcPr>
            <w:tcW w:w="0" w:type="auto"/>
            <w:shd w:val="clear" w:color="auto" w:fill="auto"/>
            <w:tcMar>
              <w:top w:w="40" w:type="dxa"/>
              <w:left w:w="40" w:type="dxa"/>
              <w:bottom w:w="40" w:type="dxa"/>
              <w:right w:w="40" w:type="dxa"/>
            </w:tcMar>
            <w:vAlign w:val="bottom"/>
          </w:tcPr>
          <w:p w14:paraId="55566F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6F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003" w14:textId="77777777">
        <w:tc>
          <w:tcPr>
            <w:tcW w:w="0" w:type="auto"/>
            <w:shd w:val="clear" w:color="auto" w:fill="CCEEFF"/>
            <w:tcMar>
              <w:top w:w="40" w:type="dxa"/>
              <w:left w:w="40" w:type="dxa"/>
              <w:bottom w:w="40" w:type="dxa"/>
              <w:right w:w="40" w:type="dxa"/>
            </w:tcMar>
            <w:vAlign w:val="bottom"/>
          </w:tcPr>
          <w:p w14:paraId="55566FFC" w14:textId="77777777" w:rsidR="00F925DD" w:rsidRDefault="00E705D7">
            <w:pPr>
              <w:textAlignment w:val="bottom"/>
              <w:rPr>
                <w:rFonts w:ascii="Times New Roman" w:hAnsi="Times New Roman"/>
                <w:sz w:val="16"/>
                <w:szCs w:val="16"/>
              </w:rPr>
            </w:pPr>
            <w:r>
              <w:rPr>
                <w:rFonts w:ascii="Arial" w:eastAsia="宋体" w:hAnsi="Arial" w:cs="Arial"/>
                <w:sz w:val="16"/>
                <w:szCs w:val="16"/>
              </w:rPr>
              <w:t>State Street Financial Center</w:t>
            </w:r>
          </w:p>
        </w:tc>
        <w:tc>
          <w:tcPr>
            <w:tcW w:w="0" w:type="auto"/>
            <w:shd w:val="clear" w:color="auto" w:fill="CCEEFF"/>
            <w:tcMar>
              <w:top w:w="40" w:type="dxa"/>
              <w:left w:w="40" w:type="dxa"/>
              <w:bottom w:w="40" w:type="dxa"/>
              <w:right w:w="40" w:type="dxa"/>
            </w:tcMar>
            <w:vAlign w:val="bottom"/>
          </w:tcPr>
          <w:p w14:paraId="55566F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6FF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Boston</w:t>
            </w:r>
          </w:p>
        </w:tc>
        <w:tc>
          <w:tcPr>
            <w:tcW w:w="0" w:type="auto"/>
            <w:shd w:val="clear" w:color="auto" w:fill="CCEEFF"/>
            <w:tcMar>
              <w:top w:w="40" w:type="dxa"/>
              <w:left w:w="40" w:type="dxa"/>
              <w:bottom w:w="40" w:type="dxa"/>
              <w:right w:w="40" w:type="dxa"/>
            </w:tcMar>
            <w:vAlign w:val="bottom"/>
          </w:tcPr>
          <w:p w14:paraId="55566F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00"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MA</w:t>
            </w:r>
          </w:p>
        </w:tc>
        <w:tc>
          <w:tcPr>
            <w:tcW w:w="0" w:type="auto"/>
            <w:shd w:val="clear" w:color="auto" w:fill="CCEEFF"/>
            <w:tcMar>
              <w:top w:w="40" w:type="dxa"/>
              <w:left w:w="40" w:type="dxa"/>
              <w:bottom w:w="40" w:type="dxa"/>
              <w:right w:w="40" w:type="dxa"/>
            </w:tcMar>
            <w:vAlign w:val="bottom"/>
          </w:tcPr>
          <w:p w14:paraId="555670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0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0B" w14:textId="77777777">
        <w:tc>
          <w:tcPr>
            <w:tcW w:w="0" w:type="auto"/>
            <w:shd w:val="clear" w:color="auto" w:fill="auto"/>
            <w:tcMar>
              <w:top w:w="40" w:type="dxa"/>
              <w:left w:w="40" w:type="dxa"/>
              <w:bottom w:w="40" w:type="dxa"/>
              <w:right w:w="40" w:type="dxa"/>
            </w:tcMar>
            <w:vAlign w:val="bottom"/>
          </w:tcPr>
          <w:p w14:paraId="55567004" w14:textId="77777777" w:rsidR="00F925DD" w:rsidRDefault="00E705D7">
            <w:pPr>
              <w:textAlignment w:val="bottom"/>
              <w:rPr>
                <w:rFonts w:ascii="Times New Roman" w:hAnsi="Times New Roman"/>
                <w:sz w:val="16"/>
                <w:szCs w:val="16"/>
              </w:rPr>
            </w:pPr>
            <w:r>
              <w:rPr>
                <w:rFonts w:ascii="Arial" w:eastAsia="宋体" w:hAnsi="Arial" w:cs="Arial"/>
                <w:sz w:val="16"/>
                <w:szCs w:val="16"/>
              </w:rPr>
              <w:t>Channel Center</w:t>
            </w:r>
          </w:p>
        </w:tc>
        <w:tc>
          <w:tcPr>
            <w:tcW w:w="0" w:type="auto"/>
            <w:shd w:val="clear" w:color="auto" w:fill="auto"/>
            <w:tcMar>
              <w:top w:w="40" w:type="dxa"/>
              <w:left w:w="40" w:type="dxa"/>
              <w:bottom w:w="40" w:type="dxa"/>
              <w:right w:w="40" w:type="dxa"/>
            </w:tcMar>
            <w:vAlign w:val="bottom"/>
          </w:tcPr>
          <w:p w14:paraId="555670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0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Boston</w:t>
            </w:r>
          </w:p>
        </w:tc>
        <w:tc>
          <w:tcPr>
            <w:tcW w:w="0" w:type="auto"/>
            <w:shd w:val="clear" w:color="auto" w:fill="auto"/>
            <w:tcMar>
              <w:top w:w="40" w:type="dxa"/>
              <w:left w:w="40" w:type="dxa"/>
              <w:bottom w:w="40" w:type="dxa"/>
              <w:right w:w="40" w:type="dxa"/>
            </w:tcMar>
            <w:vAlign w:val="bottom"/>
          </w:tcPr>
          <w:p w14:paraId="555670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08"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MA</w:t>
            </w:r>
          </w:p>
        </w:tc>
        <w:tc>
          <w:tcPr>
            <w:tcW w:w="0" w:type="auto"/>
            <w:shd w:val="clear" w:color="auto" w:fill="auto"/>
            <w:tcMar>
              <w:top w:w="40" w:type="dxa"/>
              <w:left w:w="40" w:type="dxa"/>
              <w:bottom w:w="40" w:type="dxa"/>
              <w:right w:w="40" w:type="dxa"/>
            </w:tcMar>
            <w:vAlign w:val="bottom"/>
          </w:tcPr>
          <w:p w14:paraId="555670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0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13" w14:textId="77777777">
        <w:tc>
          <w:tcPr>
            <w:tcW w:w="0" w:type="auto"/>
            <w:shd w:val="clear" w:color="auto" w:fill="CCEEFF"/>
            <w:tcMar>
              <w:top w:w="40" w:type="dxa"/>
              <w:left w:w="40" w:type="dxa"/>
              <w:bottom w:w="40" w:type="dxa"/>
              <w:right w:w="40" w:type="dxa"/>
            </w:tcMar>
            <w:vAlign w:val="bottom"/>
          </w:tcPr>
          <w:p w14:paraId="5556700C" w14:textId="77777777" w:rsidR="00F925DD" w:rsidRDefault="00E705D7">
            <w:pPr>
              <w:textAlignment w:val="bottom"/>
              <w:rPr>
                <w:rFonts w:ascii="Times New Roman" w:hAnsi="Times New Roman"/>
                <w:sz w:val="16"/>
                <w:szCs w:val="16"/>
              </w:rPr>
            </w:pPr>
            <w:r>
              <w:rPr>
                <w:rFonts w:ascii="Arial" w:eastAsia="宋体" w:hAnsi="Arial" w:cs="Arial"/>
                <w:sz w:val="16"/>
                <w:szCs w:val="16"/>
              </w:rPr>
              <w:t>Summer Street</w:t>
            </w:r>
          </w:p>
        </w:tc>
        <w:tc>
          <w:tcPr>
            <w:tcW w:w="0" w:type="auto"/>
            <w:shd w:val="clear" w:color="auto" w:fill="CCEEFF"/>
            <w:tcMar>
              <w:top w:w="40" w:type="dxa"/>
              <w:left w:w="40" w:type="dxa"/>
              <w:bottom w:w="40" w:type="dxa"/>
              <w:right w:w="40" w:type="dxa"/>
            </w:tcMar>
            <w:vAlign w:val="bottom"/>
          </w:tcPr>
          <w:p w14:paraId="555670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0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Boston</w:t>
            </w:r>
          </w:p>
        </w:tc>
        <w:tc>
          <w:tcPr>
            <w:tcW w:w="0" w:type="auto"/>
            <w:shd w:val="clear" w:color="auto" w:fill="CCEEFF"/>
            <w:tcMar>
              <w:top w:w="40" w:type="dxa"/>
              <w:left w:w="40" w:type="dxa"/>
              <w:bottom w:w="40" w:type="dxa"/>
              <w:right w:w="40" w:type="dxa"/>
            </w:tcMar>
            <w:vAlign w:val="bottom"/>
          </w:tcPr>
          <w:p w14:paraId="555670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10"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MA</w:t>
            </w:r>
          </w:p>
        </w:tc>
        <w:tc>
          <w:tcPr>
            <w:tcW w:w="0" w:type="auto"/>
            <w:shd w:val="clear" w:color="auto" w:fill="CCEEFF"/>
            <w:tcMar>
              <w:top w:w="40" w:type="dxa"/>
              <w:left w:w="40" w:type="dxa"/>
              <w:bottom w:w="40" w:type="dxa"/>
              <w:right w:w="40" w:type="dxa"/>
            </w:tcMar>
            <w:vAlign w:val="bottom"/>
          </w:tcPr>
          <w:p w14:paraId="555670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1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1B" w14:textId="77777777">
        <w:tc>
          <w:tcPr>
            <w:tcW w:w="0" w:type="auto"/>
            <w:shd w:val="clear" w:color="auto" w:fill="auto"/>
            <w:tcMar>
              <w:top w:w="40" w:type="dxa"/>
              <w:left w:w="40" w:type="dxa"/>
              <w:bottom w:w="40" w:type="dxa"/>
              <w:right w:w="40" w:type="dxa"/>
            </w:tcMar>
            <w:vAlign w:val="bottom"/>
          </w:tcPr>
          <w:p w14:paraId="55567014" w14:textId="77777777" w:rsidR="00F925DD" w:rsidRDefault="00E705D7">
            <w:pPr>
              <w:textAlignment w:val="bottom"/>
              <w:rPr>
                <w:rFonts w:ascii="Times New Roman" w:hAnsi="Times New Roman"/>
                <w:sz w:val="16"/>
                <w:szCs w:val="16"/>
              </w:rPr>
            </w:pPr>
            <w:r>
              <w:rPr>
                <w:rFonts w:ascii="Arial" w:eastAsia="宋体" w:hAnsi="Arial" w:cs="Arial"/>
                <w:sz w:val="16"/>
                <w:szCs w:val="16"/>
              </w:rPr>
              <w:t>District Avenue</w:t>
            </w:r>
          </w:p>
        </w:tc>
        <w:tc>
          <w:tcPr>
            <w:tcW w:w="0" w:type="auto"/>
            <w:shd w:val="clear" w:color="auto" w:fill="auto"/>
            <w:tcMar>
              <w:top w:w="40" w:type="dxa"/>
              <w:left w:w="40" w:type="dxa"/>
              <w:bottom w:w="40" w:type="dxa"/>
              <w:right w:w="40" w:type="dxa"/>
            </w:tcMar>
            <w:vAlign w:val="bottom"/>
          </w:tcPr>
          <w:p w14:paraId="555670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1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Burlington</w:t>
            </w:r>
          </w:p>
        </w:tc>
        <w:tc>
          <w:tcPr>
            <w:tcW w:w="0" w:type="auto"/>
            <w:shd w:val="clear" w:color="auto" w:fill="auto"/>
            <w:tcMar>
              <w:top w:w="40" w:type="dxa"/>
              <w:left w:w="40" w:type="dxa"/>
              <w:bottom w:w="40" w:type="dxa"/>
              <w:right w:w="40" w:type="dxa"/>
            </w:tcMar>
            <w:vAlign w:val="bottom"/>
          </w:tcPr>
          <w:p w14:paraId="555670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18"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MA</w:t>
            </w:r>
          </w:p>
        </w:tc>
        <w:tc>
          <w:tcPr>
            <w:tcW w:w="0" w:type="auto"/>
            <w:shd w:val="clear" w:color="auto" w:fill="auto"/>
            <w:tcMar>
              <w:top w:w="40" w:type="dxa"/>
              <w:left w:w="40" w:type="dxa"/>
              <w:bottom w:w="40" w:type="dxa"/>
              <w:right w:w="40" w:type="dxa"/>
            </w:tcMar>
            <w:vAlign w:val="bottom"/>
          </w:tcPr>
          <w:p w14:paraId="555670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1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23" w14:textId="77777777">
        <w:tc>
          <w:tcPr>
            <w:tcW w:w="0" w:type="auto"/>
            <w:shd w:val="clear" w:color="auto" w:fill="CCEEFF"/>
            <w:tcMar>
              <w:top w:w="40" w:type="dxa"/>
              <w:left w:w="40" w:type="dxa"/>
              <w:bottom w:w="40" w:type="dxa"/>
              <w:right w:w="40" w:type="dxa"/>
            </w:tcMar>
            <w:vAlign w:val="bottom"/>
          </w:tcPr>
          <w:p w14:paraId="5556701C"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Heritage Drive </w:t>
            </w:r>
          </w:p>
        </w:tc>
        <w:tc>
          <w:tcPr>
            <w:tcW w:w="0" w:type="auto"/>
            <w:shd w:val="clear" w:color="auto" w:fill="CCEEFF"/>
            <w:tcMar>
              <w:top w:w="40" w:type="dxa"/>
              <w:left w:w="40" w:type="dxa"/>
              <w:bottom w:w="40" w:type="dxa"/>
              <w:right w:w="40" w:type="dxa"/>
            </w:tcMar>
            <w:vAlign w:val="bottom"/>
          </w:tcPr>
          <w:p w14:paraId="555670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1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Quincy</w:t>
            </w:r>
          </w:p>
        </w:tc>
        <w:tc>
          <w:tcPr>
            <w:tcW w:w="0" w:type="auto"/>
            <w:shd w:val="clear" w:color="auto" w:fill="CCEEFF"/>
            <w:tcMar>
              <w:top w:w="40" w:type="dxa"/>
              <w:left w:w="40" w:type="dxa"/>
              <w:bottom w:w="40" w:type="dxa"/>
              <w:right w:w="40" w:type="dxa"/>
            </w:tcMar>
            <w:vAlign w:val="bottom"/>
          </w:tcPr>
          <w:p w14:paraId="555670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20"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MA</w:t>
            </w:r>
          </w:p>
        </w:tc>
        <w:tc>
          <w:tcPr>
            <w:tcW w:w="0" w:type="auto"/>
            <w:shd w:val="clear" w:color="auto" w:fill="CCEEFF"/>
            <w:tcMar>
              <w:top w:w="40" w:type="dxa"/>
              <w:left w:w="40" w:type="dxa"/>
              <w:bottom w:w="40" w:type="dxa"/>
              <w:right w:w="40" w:type="dxa"/>
            </w:tcMar>
            <w:vAlign w:val="bottom"/>
          </w:tcPr>
          <w:p w14:paraId="555670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2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2B" w14:textId="77777777">
        <w:tc>
          <w:tcPr>
            <w:tcW w:w="0" w:type="auto"/>
            <w:shd w:val="clear" w:color="auto" w:fill="auto"/>
            <w:tcMar>
              <w:top w:w="40" w:type="dxa"/>
              <w:left w:w="40" w:type="dxa"/>
              <w:bottom w:w="40" w:type="dxa"/>
              <w:right w:w="40" w:type="dxa"/>
            </w:tcMar>
            <w:vAlign w:val="bottom"/>
          </w:tcPr>
          <w:p w14:paraId="55567024" w14:textId="77777777" w:rsidR="00F925DD" w:rsidRDefault="00E705D7">
            <w:pPr>
              <w:textAlignment w:val="bottom"/>
              <w:rPr>
                <w:rFonts w:ascii="Times New Roman" w:hAnsi="Times New Roman"/>
                <w:sz w:val="16"/>
                <w:szCs w:val="16"/>
              </w:rPr>
            </w:pPr>
            <w:r>
              <w:rPr>
                <w:rFonts w:ascii="Arial" w:eastAsia="宋体" w:hAnsi="Arial" w:cs="Arial"/>
                <w:sz w:val="16"/>
                <w:szCs w:val="16"/>
              </w:rPr>
              <w:t>John Adams Building</w:t>
            </w:r>
          </w:p>
        </w:tc>
        <w:tc>
          <w:tcPr>
            <w:tcW w:w="0" w:type="auto"/>
            <w:shd w:val="clear" w:color="auto" w:fill="auto"/>
            <w:tcMar>
              <w:top w:w="40" w:type="dxa"/>
              <w:left w:w="40" w:type="dxa"/>
              <w:bottom w:w="40" w:type="dxa"/>
              <w:right w:w="40" w:type="dxa"/>
            </w:tcMar>
            <w:vAlign w:val="bottom"/>
          </w:tcPr>
          <w:p w14:paraId="555670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2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Quincy</w:t>
            </w:r>
          </w:p>
        </w:tc>
        <w:tc>
          <w:tcPr>
            <w:tcW w:w="0" w:type="auto"/>
            <w:shd w:val="clear" w:color="auto" w:fill="auto"/>
            <w:tcMar>
              <w:top w:w="40" w:type="dxa"/>
              <w:left w:w="40" w:type="dxa"/>
              <w:bottom w:w="40" w:type="dxa"/>
              <w:right w:w="40" w:type="dxa"/>
            </w:tcMar>
            <w:vAlign w:val="bottom"/>
          </w:tcPr>
          <w:p w14:paraId="555670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28"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MA</w:t>
            </w:r>
          </w:p>
        </w:tc>
        <w:tc>
          <w:tcPr>
            <w:tcW w:w="0" w:type="auto"/>
            <w:shd w:val="clear" w:color="auto" w:fill="auto"/>
            <w:tcMar>
              <w:top w:w="40" w:type="dxa"/>
              <w:left w:w="40" w:type="dxa"/>
              <w:bottom w:w="40" w:type="dxa"/>
              <w:right w:w="40" w:type="dxa"/>
            </w:tcMar>
            <w:vAlign w:val="bottom"/>
          </w:tcPr>
          <w:p w14:paraId="555670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2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Owned</w:t>
            </w:r>
          </w:p>
        </w:tc>
      </w:tr>
      <w:tr w:rsidR="00F925DD" w14:paraId="55567033" w14:textId="77777777">
        <w:tc>
          <w:tcPr>
            <w:tcW w:w="0" w:type="auto"/>
            <w:shd w:val="clear" w:color="auto" w:fill="CCEEFF"/>
            <w:tcMar>
              <w:top w:w="40" w:type="dxa"/>
              <w:left w:w="40" w:type="dxa"/>
              <w:bottom w:w="40" w:type="dxa"/>
              <w:right w:w="40" w:type="dxa"/>
            </w:tcMar>
            <w:vAlign w:val="bottom"/>
          </w:tcPr>
          <w:p w14:paraId="5556702C"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Josiah Quincy Building </w:t>
            </w:r>
          </w:p>
        </w:tc>
        <w:tc>
          <w:tcPr>
            <w:tcW w:w="0" w:type="auto"/>
            <w:shd w:val="clear" w:color="auto" w:fill="CCEEFF"/>
            <w:tcMar>
              <w:top w:w="40" w:type="dxa"/>
              <w:left w:w="40" w:type="dxa"/>
              <w:bottom w:w="40" w:type="dxa"/>
              <w:right w:w="40" w:type="dxa"/>
            </w:tcMar>
            <w:vAlign w:val="bottom"/>
          </w:tcPr>
          <w:p w14:paraId="555670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2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Quincy</w:t>
            </w:r>
          </w:p>
        </w:tc>
        <w:tc>
          <w:tcPr>
            <w:tcW w:w="0" w:type="auto"/>
            <w:shd w:val="clear" w:color="auto" w:fill="CCEEFF"/>
            <w:tcMar>
              <w:top w:w="40" w:type="dxa"/>
              <w:left w:w="40" w:type="dxa"/>
              <w:bottom w:w="40" w:type="dxa"/>
              <w:right w:w="40" w:type="dxa"/>
            </w:tcMar>
            <w:vAlign w:val="bottom"/>
          </w:tcPr>
          <w:p w14:paraId="555670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30"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MA</w:t>
            </w:r>
          </w:p>
        </w:tc>
        <w:tc>
          <w:tcPr>
            <w:tcW w:w="0" w:type="auto"/>
            <w:shd w:val="clear" w:color="auto" w:fill="CCEEFF"/>
            <w:tcMar>
              <w:top w:w="40" w:type="dxa"/>
              <w:left w:w="40" w:type="dxa"/>
              <w:bottom w:w="40" w:type="dxa"/>
              <w:right w:w="40" w:type="dxa"/>
            </w:tcMar>
            <w:vAlign w:val="bottom"/>
          </w:tcPr>
          <w:p w14:paraId="555670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3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3B" w14:textId="77777777">
        <w:tc>
          <w:tcPr>
            <w:tcW w:w="0" w:type="auto"/>
            <w:shd w:val="clear" w:color="auto" w:fill="auto"/>
            <w:tcMar>
              <w:top w:w="40" w:type="dxa"/>
              <w:left w:w="40" w:type="dxa"/>
              <w:bottom w:w="40" w:type="dxa"/>
              <w:right w:w="40" w:type="dxa"/>
            </w:tcMar>
            <w:vAlign w:val="bottom"/>
          </w:tcPr>
          <w:p w14:paraId="55567034" w14:textId="77777777" w:rsidR="00F925DD" w:rsidRDefault="00E705D7">
            <w:pPr>
              <w:textAlignment w:val="bottom"/>
              <w:rPr>
                <w:rFonts w:ascii="Times New Roman" w:hAnsi="Times New Roman"/>
                <w:sz w:val="16"/>
                <w:szCs w:val="16"/>
              </w:rPr>
            </w:pPr>
            <w:r>
              <w:rPr>
                <w:rFonts w:ascii="Arial" w:eastAsia="宋体" w:hAnsi="Arial" w:cs="Arial"/>
                <w:sz w:val="16"/>
                <w:szCs w:val="16"/>
              </w:rPr>
              <w:t>Grafton Data Center</w:t>
            </w:r>
          </w:p>
        </w:tc>
        <w:tc>
          <w:tcPr>
            <w:tcW w:w="0" w:type="auto"/>
            <w:shd w:val="clear" w:color="auto" w:fill="auto"/>
            <w:tcMar>
              <w:top w:w="40" w:type="dxa"/>
              <w:left w:w="40" w:type="dxa"/>
              <w:bottom w:w="40" w:type="dxa"/>
              <w:right w:w="40" w:type="dxa"/>
            </w:tcMar>
            <w:vAlign w:val="bottom"/>
          </w:tcPr>
          <w:p w14:paraId="555670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3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Grafton</w:t>
            </w:r>
          </w:p>
        </w:tc>
        <w:tc>
          <w:tcPr>
            <w:tcW w:w="0" w:type="auto"/>
            <w:shd w:val="clear" w:color="auto" w:fill="auto"/>
            <w:tcMar>
              <w:top w:w="40" w:type="dxa"/>
              <w:left w:w="40" w:type="dxa"/>
              <w:bottom w:w="40" w:type="dxa"/>
              <w:right w:w="40" w:type="dxa"/>
            </w:tcMar>
            <w:vAlign w:val="bottom"/>
          </w:tcPr>
          <w:p w14:paraId="555670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38"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MA</w:t>
            </w:r>
          </w:p>
        </w:tc>
        <w:tc>
          <w:tcPr>
            <w:tcW w:w="0" w:type="auto"/>
            <w:shd w:val="clear" w:color="auto" w:fill="auto"/>
            <w:tcMar>
              <w:top w:w="40" w:type="dxa"/>
              <w:left w:w="40" w:type="dxa"/>
              <w:bottom w:w="40" w:type="dxa"/>
              <w:right w:w="40" w:type="dxa"/>
            </w:tcMar>
            <w:vAlign w:val="bottom"/>
          </w:tcPr>
          <w:p w14:paraId="555670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3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Owned</w:t>
            </w:r>
          </w:p>
        </w:tc>
      </w:tr>
      <w:tr w:rsidR="00F925DD" w14:paraId="55567043" w14:textId="77777777">
        <w:tc>
          <w:tcPr>
            <w:tcW w:w="0" w:type="auto"/>
            <w:shd w:val="clear" w:color="auto" w:fill="CCEEFF"/>
            <w:tcMar>
              <w:top w:w="40" w:type="dxa"/>
              <w:left w:w="40" w:type="dxa"/>
              <w:bottom w:w="40" w:type="dxa"/>
              <w:right w:w="40" w:type="dxa"/>
            </w:tcMar>
            <w:vAlign w:val="bottom"/>
          </w:tcPr>
          <w:p w14:paraId="5556703C" w14:textId="77777777" w:rsidR="00F925DD" w:rsidRDefault="00E705D7">
            <w:pPr>
              <w:textAlignment w:val="bottom"/>
              <w:rPr>
                <w:rFonts w:ascii="Times New Roman" w:hAnsi="Times New Roman"/>
                <w:sz w:val="16"/>
                <w:szCs w:val="16"/>
              </w:rPr>
            </w:pPr>
            <w:r>
              <w:rPr>
                <w:rFonts w:ascii="Arial" w:eastAsia="宋体" w:hAnsi="Arial" w:cs="Arial"/>
                <w:sz w:val="16"/>
                <w:szCs w:val="16"/>
              </w:rPr>
              <w:t>Westborough Data Center</w:t>
            </w:r>
          </w:p>
        </w:tc>
        <w:tc>
          <w:tcPr>
            <w:tcW w:w="0" w:type="auto"/>
            <w:shd w:val="clear" w:color="auto" w:fill="CCEEFF"/>
            <w:tcMar>
              <w:top w:w="40" w:type="dxa"/>
              <w:left w:w="40" w:type="dxa"/>
              <w:bottom w:w="40" w:type="dxa"/>
              <w:right w:w="40" w:type="dxa"/>
            </w:tcMar>
            <w:vAlign w:val="bottom"/>
          </w:tcPr>
          <w:p w14:paraId="555670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3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Westborough</w:t>
            </w:r>
          </w:p>
        </w:tc>
        <w:tc>
          <w:tcPr>
            <w:tcW w:w="0" w:type="auto"/>
            <w:shd w:val="clear" w:color="auto" w:fill="CCEEFF"/>
            <w:tcMar>
              <w:top w:w="40" w:type="dxa"/>
              <w:left w:w="40" w:type="dxa"/>
              <w:bottom w:w="40" w:type="dxa"/>
              <w:right w:w="40" w:type="dxa"/>
            </w:tcMar>
            <w:vAlign w:val="bottom"/>
          </w:tcPr>
          <w:p w14:paraId="555670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40"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MA</w:t>
            </w:r>
          </w:p>
        </w:tc>
        <w:tc>
          <w:tcPr>
            <w:tcW w:w="0" w:type="auto"/>
            <w:shd w:val="clear" w:color="auto" w:fill="CCEEFF"/>
            <w:tcMar>
              <w:top w:w="40" w:type="dxa"/>
              <w:left w:w="40" w:type="dxa"/>
              <w:bottom w:w="40" w:type="dxa"/>
              <w:right w:w="40" w:type="dxa"/>
            </w:tcMar>
            <w:vAlign w:val="bottom"/>
          </w:tcPr>
          <w:p w14:paraId="555670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4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Owned</w:t>
            </w:r>
          </w:p>
        </w:tc>
      </w:tr>
      <w:tr w:rsidR="00F925DD" w14:paraId="5556704B" w14:textId="77777777">
        <w:tc>
          <w:tcPr>
            <w:tcW w:w="0" w:type="auto"/>
            <w:shd w:val="clear" w:color="auto" w:fill="auto"/>
            <w:tcMar>
              <w:top w:w="40" w:type="dxa"/>
              <w:left w:w="40" w:type="dxa"/>
              <w:bottom w:w="40" w:type="dxa"/>
              <w:right w:w="40" w:type="dxa"/>
            </w:tcMar>
            <w:vAlign w:val="bottom"/>
          </w:tcPr>
          <w:p w14:paraId="55567044" w14:textId="77777777" w:rsidR="00F925DD" w:rsidRDefault="00E705D7">
            <w:pPr>
              <w:textAlignment w:val="bottom"/>
              <w:rPr>
                <w:rFonts w:ascii="Times New Roman" w:hAnsi="Times New Roman"/>
                <w:sz w:val="16"/>
                <w:szCs w:val="16"/>
              </w:rPr>
            </w:pPr>
            <w:r>
              <w:rPr>
                <w:rFonts w:ascii="Arial" w:eastAsia="宋体" w:hAnsi="Arial" w:cs="Arial"/>
                <w:sz w:val="16"/>
                <w:szCs w:val="16"/>
              </w:rPr>
              <w:t>Summer Street</w:t>
            </w:r>
          </w:p>
        </w:tc>
        <w:tc>
          <w:tcPr>
            <w:tcW w:w="0" w:type="auto"/>
            <w:shd w:val="clear" w:color="auto" w:fill="auto"/>
            <w:tcMar>
              <w:top w:w="40" w:type="dxa"/>
              <w:left w:w="40" w:type="dxa"/>
              <w:bottom w:w="40" w:type="dxa"/>
              <w:right w:w="40" w:type="dxa"/>
            </w:tcMar>
            <w:vAlign w:val="bottom"/>
          </w:tcPr>
          <w:p w14:paraId="555670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4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Stamford</w:t>
            </w:r>
          </w:p>
        </w:tc>
        <w:tc>
          <w:tcPr>
            <w:tcW w:w="0" w:type="auto"/>
            <w:shd w:val="clear" w:color="auto" w:fill="auto"/>
            <w:tcMar>
              <w:top w:w="40" w:type="dxa"/>
              <w:left w:w="40" w:type="dxa"/>
              <w:bottom w:w="40" w:type="dxa"/>
              <w:right w:w="40" w:type="dxa"/>
            </w:tcMar>
            <w:vAlign w:val="bottom"/>
          </w:tcPr>
          <w:p w14:paraId="555670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48"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CT</w:t>
            </w:r>
          </w:p>
        </w:tc>
        <w:tc>
          <w:tcPr>
            <w:tcW w:w="0" w:type="auto"/>
            <w:shd w:val="clear" w:color="auto" w:fill="auto"/>
            <w:tcMar>
              <w:top w:w="40" w:type="dxa"/>
              <w:left w:w="40" w:type="dxa"/>
              <w:bottom w:w="40" w:type="dxa"/>
              <w:right w:w="40" w:type="dxa"/>
            </w:tcMar>
            <w:vAlign w:val="bottom"/>
          </w:tcPr>
          <w:p w14:paraId="555670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4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53" w14:textId="77777777">
        <w:tc>
          <w:tcPr>
            <w:tcW w:w="0" w:type="auto"/>
            <w:shd w:val="clear" w:color="auto" w:fill="CCEEFF"/>
            <w:tcMar>
              <w:top w:w="40" w:type="dxa"/>
              <w:left w:w="40" w:type="dxa"/>
              <w:bottom w:w="40" w:type="dxa"/>
              <w:right w:w="40" w:type="dxa"/>
            </w:tcMar>
            <w:vAlign w:val="bottom"/>
          </w:tcPr>
          <w:p w14:paraId="5556704C" w14:textId="77777777" w:rsidR="00F925DD" w:rsidRDefault="00E705D7">
            <w:pPr>
              <w:textAlignment w:val="bottom"/>
              <w:rPr>
                <w:rFonts w:ascii="Times New Roman" w:hAnsi="Times New Roman"/>
                <w:sz w:val="16"/>
                <w:szCs w:val="16"/>
              </w:rPr>
            </w:pPr>
            <w:r>
              <w:rPr>
                <w:rFonts w:ascii="Arial" w:eastAsia="宋体" w:hAnsi="Arial" w:cs="Arial"/>
                <w:sz w:val="16"/>
                <w:szCs w:val="16"/>
              </w:rPr>
              <w:t>Pennsylvania Avenue</w:t>
            </w:r>
          </w:p>
        </w:tc>
        <w:tc>
          <w:tcPr>
            <w:tcW w:w="0" w:type="auto"/>
            <w:shd w:val="clear" w:color="auto" w:fill="CCEEFF"/>
            <w:tcMar>
              <w:top w:w="40" w:type="dxa"/>
              <w:left w:w="40" w:type="dxa"/>
              <w:bottom w:w="40" w:type="dxa"/>
              <w:right w:w="40" w:type="dxa"/>
            </w:tcMar>
            <w:vAlign w:val="bottom"/>
          </w:tcPr>
          <w:p w14:paraId="555670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4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Kansas City</w:t>
            </w:r>
          </w:p>
        </w:tc>
        <w:tc>
          <w:tcPr>
            <w:tcW w:w="0" w:type="auto"/>
            <w:shd w:val="clear" w:color="auto" w:fill="CCEEFF"/>
            <w:tcMar>
              <w:top w:w="40" w:type="dxa"/>
              <w:left w:w="40" w:type="dxa"/>
              <w:bottom w:w="40" w:type="dxa"/>
              <w:right w:w="40" w:type="dxa"/>
            </w:tcMar>
            <w:vAlign w:val="bottom"/>
          </w:tcPr>
          <w:p w14:paraId="555670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50"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MO</w:t>
            </w:r>
          </w:p>
        </w:tc>
        <w:tc>
          <w:tcPr>
            <w:tcW w:w="0" w:type="auto"/>
            <w:shd w:val="clear" w:color="auto" w:fill="CCEEFF"/>
            <w:tcMar>
              <w:top w:w="40" w:type="dxa"/>
              <w:left w:w="40" w:type="dxa"/>
              <w:bottom w:w="40" w:type="dxa"/>
              <w:right w:w="40" w:type="dxa"/>
            </w:tcMar>
            <w:vAlign w:val="bottom"/>
          </w:tcPr>
          <w:p w14:paraId="555670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5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5B" w14:textId="77777777">
        <w:tc>
          <w:tcPr>
            <w:tcW w:w="0" w:type="auto"/>
            <w:shd w:val="clear" w:color="auto" w:fill="auto"/>
            <w:tcMar>
              <w:top w:w="40" w:type="dxa"/>
              <w:left w:w="40" w:type="dxa"/>
              <w:bottom w:w="40" w:type="dxa"/>
              <w:right w:w="40" w:type="dxa"/>
            </w:tcMar>
            <w:vAlign w:val="bottom"/>
          </w:tcPr>
          <w:p w14:paraId="55567054" w14:textId="77777777" w:rsidR="00F925DD" w:rsidRDefault="00E705D7">
            <w:pPr>
              <w:textAlignment w:val="bottom"/>
              <w:rPr>
                <w:rFonts w:ascii="Times New Roman" w:hAnsi="Times New Roman"/>
                <w:sz w:val="16"/>
                <w:szCs w:val="16"/>
              </w:rPr>
            </w:pPr>
            <w:r>
              <w:rPr>
                <w:rFonts w:ascii="Arial" w:eastAsia="宋体" w:hAnsi="Arial" w:cs="Arial"/>
                <w:sz w:val="16"/>
                <w:szCs w:val="16"/>
              </w:rPr>
              <w:t>College Road East</w:t>
            </w:r>
          </w:p>
        </w:tc>
        <w:tc>
          <w:tcPr>
            <w:tcW w:w="0" w:type="auto"/>
            <w:shd w:val="clear" w:color="auto" w:fill="auto"/>
            <w:tcMar>
              <w:top w:w="40" w:type="dxa"/>
              <w:left w:w="40" w:type="dxa"/>
              <w:bottom w:w="40" w:type="dxa"/>
              <w:right w:w="40" w:type="dxa"/>
            </w:tcMar>
            <w:vAlign w:val="bottom"/>
          </w:tcPr>
          <w:p w14:paraId="555670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5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Princeton</w:t>
            </w:r>
          </w:p>
        </w:tc>
        <w:tc>
          <w:tcPr>
            <w:tcW w:w="0" w:type="auto"/>
            <w:shd w:val="clear" w:color="auto" w:fill="auto"/>
            <w:tcMar>
              <w:top w:w="40" w:type="dxa"/>
              <w:left w:w="40" w:type="dxa"/>
              <w:bottom w:w="40" w:type="dxa"/>
              <w:right w:w="40" w:type="dxa"/>
            </w:tcMar>
            <w:vAlign w:val="bottom"/>
          </w:tcPr>
          <w:p w14:paraId="555670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58"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NJ</w:t>
            </w:r>
          </w:p>
        </w:tc>
        <w:tc>
          <w:tcPr>
            <w:tcW w:w="0" w:type="auto"/>
            <w:shd w:val="clear" w:color="auto" w:fill="auto"/>
            <w:tcMar>
              <w:top w:w="40" w:type="dxa"/>
              <w:left w:w="40" w:type="dxa"/>
              <w:bottom w:w="40" w:type="dxa"/>
              <w:right w:w="40" w:type="dxa"/>
            </w:tcMar>
            <w:vAlign w:val="bottom"/>
          </w:tcPr>
          <w:p w14:paraId="555670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5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63" w14:textId="77777777">
        <w:tc>
          <w:tcPr>
            <w:tcW w:w="0" w:type="auto"/>
            <w:shd w:val="clear" w:color="auto" w:fill="CCEEFF"/>
            <w:tcMar>
              <w:top w:w="40" w:type="dxa"/>
              <w:left w:w="40" w:type="dxa"/>
              <w:bottom w:w="40" w:type="dxa"/>
              <w:right w:w="40" w:type="dxa"/>
            </w:tcMar>
            <w:vAlign w:val="bottom"/>
          </w:tcPr>
          <w:p w14:paraId="5556705C"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Avenue of the Americas </w:t>
            </w:r>
          </w:p>
        </w:tc>
        <w:tc>
          <w:tcPr>
            <w:tcW w:w="0" w:type="auto"/>
            <w:shd w:val="clear" w:color="auto" w:fill="CCEEFF"/>
            <w:tcMar>
              <w:top w:w="40" w:type="dxa"/>
              <w:left w:w="40" w:type="dxa"/>
              <w:bottom w:w="40" w:type="dxa"/>
              <w:right w:w="40" w:type="dxa"/>
            </w:tcMar>
            <w:vAlign w:val="bottom"/>
          </w:tcPr>
          <w:p w14:paraId="555670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5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New York</w:t>
            </w:r>
          </w:p>
        </w:tc>
        <w:tc>
          <w:tcPr>
            <w:tcW w:w="0" w:type="auto"/>
            <w:shd w:val="clear" w:color="auto" w:fill="CCEEFF"/>
            <w:tcMar>
              <w:top w:w="40" w:type="dxa"/>
              <w:left w:w="40" w:type="dxa"/>
              <w:bottom w:w="40" w:type="dxa"/>
              <w:right w:w="40" w:type="dxa"/>
            </w:tcMar>
            <w:vAlign w:val="bottom"/>
          </w:tcPr>
          <w:p w14:paraId="555670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60"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NY</w:t>
            </w:r>
          </w:p>
        </w:tc>
        <w:tc>
          <w:tcPr>
            <w:tcW w:w="0" w:type="auto"/>
            <w:shd w:val="clear" w:color="auto" w:fill="CCEEFF"/>
            <w:tcMar>
              <w:top w:w="40" w:type="dxa"/>
              <w:left w:w="40" w:type="dxa"/>
              <w:bottom w:w="40" w:type="dxa"/>
              <w:right w:w="40" w:type="dxa"/>
            </w:tcMar>
            <w:vAlign w:val="bottom"/>
          </w:tcPr>
          <w:p w14:paraId="555670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6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6B" w14:textId="77777777">
        <w:tc>
          <w:tcPr>
            <w:tcW w:w="0" w:type="auto"/>
            <w:shd w:val="clear" w:color="auto" w:fill="auto"/>
            <w:tcMar>
              <w:top w:w="40" w:type="dxa"/>
              <w:left w:w="40" w:type="dxa"/>
              <w:bottom w:w="40" w:type="dxa"/>
              <w:right w:w="40" w:type="dxa"/>
            </w:tcMar>
            <w:vAlign w:val="bottom"/>
          </w:tcPr>
          <w:p w14:paraId="55567064"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Adelaide Street East </w:t>
            </w:r>
          </w:p>
        </w:tc>
        <w:tc>
          <w:tcPr>
            <w:tcW w:w="0" w:type="auto"/>
            <w:shd w:val="clear" w:color="auto" w:fill="auto"/>
            <w:tcMar>
              <w:top w:w="40" w:type="dxa"/>
              <w:left w:w="40" w:type="dxa"/>
              <w:bottom w:w="40" w:type="dxa"/>
              <w:right w:w="40" w:type="dxa"/>
            </w:tcMar>
            <w:vAlign w:val="bottom"/>
          </w:tcPr>
          <w:p w14:paraId="555670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6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Toronto</w:t>
            </w:r>
          </w:p>
        </w:tc>
        <w:tc>
          <w:tcPr>
            <w:tcW w:w="0" w:type="auto"/>
            <w:shd w:val="clear" w:color="auto" w:fill="auto"/>
            <w:tcMar>
              <w:top w:w="40" w:type="dxa"/>
              <w:left w:w="40" w:type="dxa"/>
              <w:bottom w:w="40" w:type="dxa"/>
              <w:right w:w="40" w:type="dxa"/>
            </w:tcMar>
            <w:vAlign w:val="bottom"/>
          </w:tcPr>
          <w:p w14:paraId="555670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68"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Canada</w:t>
            </w:r>
          </w:p>
        </w:tc>
        <w:tc>
          <w:tcPr>
            <w:tcW w:w="0" w:type="auto"/>
            <w:shd w:val="clear" w:color="auto" w:fill="auto"/>
            <w:tcMar>
              <w:top w:w="40" w:type="dxa"/>
              <w:left w:w="40" w:type="dxa"/>
              <w:bottom w:w="40" w:type="dxa"/>
              <w:right w:w="40" w:type="dxa"/>
            </w:tcMar>
            <w:vAlign w:val="bottom"/>
          </w:tcPr>
          <w:p w14:paraId="555670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6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73" w14:textId="77777777">
        <w:tc>
          <w:tcPr>
            <w:tcW w:w="0" w:type="auto"/>
            <w:shd w:val="clear" w:color="auto" w:fill="auto"/>
            <w:tcMar>
              <w:top w:w="40" w:type="dxa"/>
              <w:left w:w="40" w:type="dxa"/>
              <w:bottom w:w="40" w:type="dxa"/>
              <w:right w:w="40" w:type="dxa"/>
            </w:tcMar>
            <w:vAlign w:val="bottom"/>
          </w:tcPr>
          <w:p w14:paraId="555670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077" w14:textId="77777777">
        <w:tc>
          <w:tcPr>
            <w:tcW w:w="0" w:type="auto"/>
            <w:gridSpan w:val="5"/>
            <w:shd w:val="clear" w:color="auto" w:fill="auto"/>
            <w:tcMar>
              <w:top w:w="40" w:type="dxa"/>
              <w:left w:w="40" w:type="dxa"/>
              <w:bottom w:w="40" w:type="dxa"/>
              <w:right w:w="40" w:type="dxa"/>
            </w:tcMar>
            <w:vAlign w:val="bottom"/>
          </w:tcPr>
          <w:p w14:paraId="55567074"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 xml:space="preserve">Europe, Middle </w:t>
            </w:r>
            <w:r>
              <w:rPr>
                <w:rFonts w:ascii="Arial" w:eastAsia="宋体" w:hAnsi="Arial" w:cs="Arial"/>
                <w:b/>
                <w:bCs/>
                <w:sz w:val="16"/>
                <w:szCs w:val="16"/>
              </w:rPr>
              <w:t>East and Africa:</w:t>
            </w:r>
          </w:p>
        </w:tc>
        <w:tc>
          <w:tcPr>
            <w:tcW w:w="0" w:type="auto"/>
            <w:shd w:val="clear" w:color="auto" w:fill="auto"/>
            <w:tcMar>
              <w:top w:w="40" w:type="dxa"/>
              <w:left w:w="40" w:type="dxa"/>
              <w:bottom w:w="40" w:type="dxa"/>
              <w:right w:w="40" w:type="dxa"/>
            </w:tcMar>
            <w:vAlign w:val="bottom"/>
          </w:tcPr>
          <w:p w14:paraId="555670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07F" w14:textId="77777777">
        <w:tc>
          <w:tcPr>
            <w:tcW w:w="0" w:type="auto"/>
            <w:shd w:val="clear" w:color="auto" w:fill="CCEEFF"/>
            <w:tcMar>
              <w:top w:w="40" w:type="dxa"/>
              <w:left w:w="40" w:type="dxa"/>
              <w:bottom w:w="40" w:type="dxa"/>
              <w:right w:w="40" w:type="dxa"/>
            </w:tcMar>
            <w:vAlign w:val="bottom"/>
          </w:tcPr>
          <w:p w14:paraId="55567078"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Churchill Place </w:t>
            </w:r>
          </w:p>
        </w:tc>
        <w:tc>
          <w:tcPr>
            <w:tcW w:w="0" w:type="auto"/>
            <w:shd w:val="clear" w:color="auto" w:fill="CCEEFF"/>
            <w:tcMar>
              <w:top w:w="40" w:type="dxa"/>
              <w:left w:w="40" w:type="dxa"/>
              <w:bottom w:w="40" w:type="dxa"/>
              <w:right w:w="40" w:type="dxa"/>
            </w:tcMar>
            <w:vAlign w:val="bottom"/>
          </w:tcPr>
          <w:p w14:paraId="555670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7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London</w:t>
            </w:r>
          </w:p>
        </w:tc>
        <w:tc>
          <w:tcPr>
            <w:tcW w:w="0" w:type="auto"/>
            <w:shd w:val="clear" w:color="auto" w:fill="CCEEFF"/>
            <w:tcMar>
              <w:top w:w="40" w:type="dxa"/>
              <w:left w:w="40" w:type="dxa"/>
              <w:bottom w:w="40" w:type="dxa"/>
              <w:right w:w="40" w:type="dxa"/>
            </w:tcMar>
            <w:vAlign w:val="bottom"/>
          </w:tcPr>
          <w:p w14:paraId="555670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7C"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England</w:t>
            </w:r>
          </w:p>
        </w:tc>
        <w:tc>
          <w:tcPr>
            <w:tcW w:w="0" w:type="auto"/>
            <w:shd w:val="clear" w:color="auto" w:fill="CCEEFF"/>
            <w:tcMar>
              <w:top w:w="40" w:type="dxa"/>
              <w:left w:w="40" w:type="dxa"/>
              <w:bottom w:w="40" w:type="dxa"/>
              <w:right w:w="40" w:type="dxa"/>
            </w:tcMar>
            <w:vAlign w:val="bottom"/>
          </w:tcPr>
          <w:p w14:paraId="555670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7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87" w14:textId="77777777">
        <w:tc>
          <w:tcPr>
            <w:tcW w:w="0" w:type="auto"/>
            <w:shd w:val="clear" w:color="auto" w:fill="auto"/>
            <w:tcMar>
              <w:top w:w="40" w:type="dxa"/>
              <w:left w:w="40" w:type="dxa"/>
              <w:bottom w:w="40" w:type="dxa"/>
              <w:right w:w="40" w:type="dxa"/>
            </w:tcMar>
            <w:vAlign w:val="bottom"/>
          </w:tcPr>
          <w:p w14:paraId="55567080"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Brienner Strasse </w:t>
            </w:r>
          </w:p>
        </w:tc>
        <w:tc>
          <w:tcPr>
            <w:tcW w:w="0" w:type="auto"/>
            <w:shd w:val="clear" w:color="auto" w:fill="auto"/>
            <w:tcMar>
              <w:top w:w="40" w:type="dxa"/>
              <w:left w:w="40" w:type="dxa"/>
              <w:bottom w:w="40" w:type="dxa"/>
              <w:right w:w="40" w:type="dxa"/>
            </w:tcMar>
            <w:vAlign w:val="bottom"/>
          </w:tcPr>
          <w:p w14:paraId="555670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8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Munich</w:t>
            </w:r>
          </w:p>
        </w:tc>
        <w:tc>
          <w:tcPr>
            <w:tcW w:w="0" w:type="auto"/>
            <w:shd w:val="clear" w:color="auto" w:fill="auto"/>
            <w:tcMar>
              <w:top w:w="40" w:type="dxa"/>
              <w:left w:w="40" w:type="dxa"/>
              <w:bottom w:w="40" w:type="dxa"/>
              <w:right w:w="40" w:type="dxa"/>
            </w:tcMar>
            <w:vAlign w:val="bottom"/>
          </w:tcPr>
          <w:p w14:paraId="555670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84"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Germany</w:t>
            </w:r>
          </w:p>
        </w:tc>
        <w:tc>
          <w:tcPr>
            <w:tcW w:w="0" w:type="auto"/>
            <w:shd w:val="clear" w:color="auto" w:fill="auto"/>
            <w:tcMar>
              <w:top w:w="40" w:type="dxa"/>
              <w:left w:w="40" w:type="dxa"/>
              <w:bottom w:w="40" w:type="dxa"/>
              <w:right w:w="40" w:type="dxa"/>
            </w:tcMar>
            <w:vAlign w:val="bottom"/>
          </w:tcPr>
          <w:p w14:paraId="555670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8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8F" w14:textId="77777777">
        <w:tc>
          <w:tcPr>
            <w:tcW w:w="0" w:type="auto"/>
            <w:shd w:val="clear" w:color="auto" w:fill="CCEEFF"/>
            <w:tcMar>
              <w:top w:w="40" w:type="dxa"/>
              <w:left w:w="40" w:type="dxa"/>
              <w:bottom w:w="40" w:type="dxa"/>
              <w:right w:w="40" w:type="dxa"/>
            </w:tcMar>
            <w:vAlign w:val="bottom"/>
          </w:tcPr>
          <w:p w14:paraId="55567088" w14:textId="77777777" w:rsidR="00F925DD" w:rsidRDefault="00E705D7">
            <w:pPr>
              <w:textAlignment w:val="bottom"/>
              <w:rPr>
                <w:rFonts w:ascii="Times New Roman" w:hAnsi="Times New Roman"/>
                <w:sz w:val="16"/>
                <w:szCs w:val="16"/>
              </w:rPr>
            </w:pPr>
            <w:r>
              <w:rPr>
                <w:rFonts w:ascii="Arial" w:eastAsia="宋体" w:hAnsi="Arial" w:cs="Arial"/>
                <w:sz w:val="16"/>
                <w:szCs w:val="16"/>
              </w:rPr>
              <w:t>Sir John Rogerson's Quay</w:t>
            </w:r>
          </w:p>
        </w:tc>
        <w:tc>
          <w:tcPr>
            <w:tcW w:w="0" w:type="auto"/>
            <w:shd w:val="clear" w:color="auto" w:fill="CCEEFF"/>
            <w:tcMar>
              <w:top w:w="40" w:type="dxa"/>
              <w:left w:w="40" w:type="dxa"/>
              <w:bottom w:w="40" w:type="dxa"/>
              <w:right w:w="40" w:type="dxa"/>
            </w:tcMar>
            <w:vAlign w:val="bottom"/>
          </w:tcPr>
          <w:p w14:paraId="555670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8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Dublin</w:t>
            </w:r>
          </w:p>
        </w:tc>
        <w:tc>
          <w:tcPr>
            <w:tcW w:w="0" w:type="auto"/>
            <w:shd w:val="clear" w:color="auto" w:fill="CCEEFF"/>
            <w:tcMar>
              <w:top w:w="40" w:type="dxa"/>
              <w:left w:w="40" w:type="dxa"/>
              <w:bottom w:w="40" w:type="dxa"/>
              <w:right w:w="40" w:type="dxa"/>
            </w:tcMar>
            <w:vAlign w:val="bottom"/>
          </w:tcPr>
          <w:p w14:paraId="555670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8C"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Ireland</w:t>
            </w:r>
          </w:p>
        </w:tc>
        <w:tc>
          <w:tcPr>
            <w:tcW w:w="0" w:type="auto"/>
            <w:shd w:val="clear" w:color="auto" w:fill="CCEEFF"/>
            <w:tcMar>
              <w:top w:w="40" w:type="dxa"/>
              <w:left w:w="40" w:type="dxa"/>
              <w:bottom w:w="40" w:type="dxa"/>
              <w:right w:w="40" w:type="dxa"/>
            </w:tcMar>
            <w:vAlign w:val="bottom"/>
          </w:tcPr>
          <w:p w14:paraId="555670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8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97" w14:textId="77777777">
        <w:tc>
          <w:tcPr>
            <w:tcW w:w="0" w:type="auto"/>
            <w:shd w:val="clear" w:color="auto" w:fill="auto"/>
            <w:tcMar>
              <w:top w:w="40" w:type="dxa"/>
              <w:left w:w="40" w:type="dxa"/>
              <w:bottom w:w="40" w:type="dxa"/>
              <w:right w:w="40" w:type="dxa"/>
            </w:tcMar>
            <w:vAlign w:val="bottom"/>
          </w:tcPr>
          <w:p w14:paraId="55567090" w14:textId="77777777" w:rsidR="00F925DD" w:rsidRDefault="00E705D7">
            <w:pPr>
              <w:textAlignment w:val="bottom"/>
              <w:rPr>
                <w:rFonts w:ascii="Times New Roman" w:hAnsi="Times New Roman"/>
                <w:sz w:val="16"/>
                <w:szCs w:val="16"/>
              </w:rPr>
            </w:pPr>
            <w:r>
              <w:rPr>
                <w:rFonts w:ascii="Arial" w:eastAsia="宋体" w:hAnsi="Arial" w:cs="Arial"/>
                <w:sz w:val="16"/>
                <w:szCs w:val="16"/>
              </w:rPr>
              <w:t>Via Ferrante Aporti</w:t>
            </w:r>
          </w:p>
        </w:tc>
        <w:tc>
          <w:tcPr>
            <w:tcW w:w="0" w:type="auto"/>
            <w:shd w:val="clear" w:color="auto" w:fill="auto"/>
            <w:tcMar>
              <w:top w:w="40" w:type="dxa"/>
              <w:left w:w="40" w:type="dxa"/>
              <w:bottom w:w="40" w:type="dxa"/>
              <w:right w:w="40" w:type="dxa"/>
            </w:tcMar>
            <w:vAlign w:val="bottom"/>
          </w:tcPr>
          <w:p w14:paraId="555670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9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Milan</w:t>
            </w:r>
          </w:p>
        </w:tc>
        <w:tc>
          <w:tcPr>
            <w:tcW w:w="0" w:type="auto"/>
            <w:shd w:val="clear" w:color="auto" w:fill="auto"/>
            <w:tcMar>
              <w:top w:w="40" w:type="dxa"/>
              <w:left w:w="40" w:type="dxa"/>
              <w:bottom w:w="40" w:type="dxa"/>
              <w:right w:w="40" w:type="dxa"/>
            </w:tcMar>
            <w:vAlign w:val="bottom"/>
          </w:tcPr>
          <w:p w14:paraId="555670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94"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Italy</w:t>
            </w:r>
          </w:p>
        </w:tc>
        <w:tc>
          <w:tcPr>
            <w:tcW w:w="0" w:type="auto"/>
            <w:shd w:val="clear" w:color="auto" w:fill="auto"/>
            <w:tcMar>
              <w:top w:w="40" w:type="dxa"/>
              <w:left w:w="40" w:type="dxa"/>
              <w:bottom w:w="40" w:type="dxa"/>
              <w:right w:w="40" w:type="dxa"/>
            </w:tcMar>
            <w:vAlign w:val="bottom"/>
          </w:tcPr>
          <w:p w14:paraId="555670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9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9F" w14:textId="77777777">
        <w:tc>
          <w:tcPr>
            <w:tcW w:w="0" w:type="auto"/>
            <w:shd w:val="clear" w:color="auto" w:fill="CCEEFF"/>
            <w:tcMar>
              <w:top w:w="40" w:type="dxa"/>
              <w:left w:w="40" w:type="dxa"/>
              <w:bottom w:w="40" w:type="dxa"/>
              <w:right w:w="40" w:type="dxa"/>
            </w:tcMar>
            <w:vAlign w:val="bottom"/>
          </w:tcPr>
          <w:p w14:paraId="55567098"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Kirchberg </w:t>
            </w:r>
          </w:p>
        </w:tc>
        <w:tc>
          <w:tcPr>
            <w:tcW w:w="0" w:type="auto"/>
            <w:shd w:val="clear" w:color="auto" w:fill="CCEEFF"/>
            <w:tcMar>
              <w:top w:w="40" w:type="dxa"/>
              <w:left w:w="40" w:type="dxa"/>
              <w:bottom w:w="40" w:type="dxa"/>
              <w:right w:w="40" w:type="dxa"/>
            </w:tcMar>
            <w:vAlign w:val="bottom"/>
          </w:tcPr>
          <w:p w14:paraId="555670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9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Luxembourg</w:t>
            </w:r>
          </w:p>
        </w:tc>
        <w:tc>
          <w:tcPr>
            <w:tcW w:w="0" w:type="auto"/>
            <w:shd w:val="clear" w:color="auto" w:fill="CCEEFF"/>
            <w:tcMar>
              <w:top w:w="40" w:type="dxa"/>
              <w:left w:w="40" w:type="dxa"/>
              <w:bottom w:w="40" w:type="dxa"/>
              <w:right w:w="40" w:type="dxa"/>
            </w:tcMar>
            <w:vAlign w:val="bottom"/>
          </w:tcPr>
          <w:p w14:paraId="555670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9C"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Luxembourg</w:t>
            </w:r>
          </w:p>
        </w:tc>
        <w:tc>
          <w:tcPr>
            <w:tcW w:w="0" w:type="auto"/>
            <w:shd w:val="clear" w:color="auto" w:fill="CCEEFF"/>
            <w:tcMar>
              <w:top w:w="40" w:type="dxa"/>
              <w:left w:w="40" w:type="dxa"/>
              <w:bottom w:w="40" w:type="dxa"/>
              <w:right w:w="40" w:type="dxa"/>
            </w:tcMar>
            <w:vAlign w:val="bottom"/>
          </w:tcPr>
          <w:p w14:paraId="555670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9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A7" w14:textId="77777777">
        <w:tc>
          <w:tcPr>
            <w:tcW w:w="0" w:type="auto"/>
            <w:shd w:val="clear" w:color="auto" w:fill="auto"/>
            <w:tcMar>
              <w:top w:w="40" w:type="dxa"/>
              <w:left w:w="40" w:type="dxa"/>
              <w:bottom w:w="40" w:type="dxa"/>
              <w:right w:w="40" w:type="dxa"/>
            </w:tcMar>
            <w:vAlign w:val="bottom"/>
          </w:tcPr>
          <w:p w14:paraId="555670A0"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Titanium Tower </w:t>
            </w:r>
          </w:p>
        </w:tc>
        <w:tc>
          <w:tcPr>
            <w:tcW w:w="0" w:type="auto"/>
            <w:shd w:val="clear" w:color="auto" w:fill="auto"/>
            <w:tcMar>
              <w:top w:w="40" w:type="dxa"/>
              <w:left w:w="40" w:type="dxa"/>
              <w:bottom w:w="40" w:type="dxa"/>
              <w:right w:w="40" w:type="dxa"/>
            </w:tcMar>
            <w:vAlign w:val="bottom"/>
          </w:tcPr>
          <w:p w14:paraId="555670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A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Gdansk</w:t>
            </w:r>
          </w:p>
        </w:tc>
        <w:tc>
          <w:tcPr>
            <w:tcW w:w="0" w:type="auto"/>
            <w:shd w:val="clear" w:color="auto" w:fill="auto"/>
            <w:tcMar>
              <w:top w:w="40" w:type="dxa"/>
              <w:left w:w="40" w:type="dxa"/>
              <w:bottom w:w="40" w:type="dxa"/>
              <w:right w:w="40" w:type="dxa"/>
            </w:tcMar>
            <w:vAlign w:val="bottom"/>
          </w:tcPr>
          <w:p w14:paraId="555670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A4"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Poland</w:t>
            </w:r>
          </w:p>
        </w:tc>
        <w:tc>
          <w:tcPr>
            <w:tcW w:w="0" w:type="auto"/>
            <w:shd w:val="clear" w:color="auto" w:fill="auto"/>
            <w:tcMar>
              <w:top w:w="40" w:type="dxa"/>
              <w:left w:w="40" w:type="dxa"/>
              <w:bottom w:w="40" w:type="dxa"/>
              <w:right w:w="40" w:type="dxa"/>
            </w:tcMar>
            <w:vAlign w:val="bottom"/>
          </w:tcPr>
          <w:p w14:paraId="555670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A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AF" w14:textId="77777777">
        <w:tc>
          <w:tcPr>
            <w:tcW w:w="0" w:type="auto"/>
            <w:shd w:val="clear" w:color="auto" w:fill="CCEEFF"/>
            <w:tcMar>
              <w:top w:w="40" w:type="dxa"/>
              <w:left w:w="40" w:type="dxa"/>
              <w:bottom w:w="40" w:type="dxa"/>
              <w:right w:w="40" w:type="dxa"/>
            </w:tcMar>
            <w:vAlign w:val="bottom"/>
          </w:tcPr>
          <w:p w14:paraId="555670A8" w14:textId="77777777" w:rsidR="00F925DD" w:rsidRDefault="00E705D7">
            <w:pPr>
              <w:textAlignment w:val="bottom"/>
              <w:rPr>
                <w:rFonts w:ascii="Times New Roman" w:hAnsi="Times New Roman"/>
                <w:sz w:val="16"/>
                <w:szCs w:val="16"/>
              </w:rPr>
            </w:pPr>
            <w:r>
              <w:rPr>
                <w:rFonts w:ascii="Arial" w:eastAsia="宋体" w:hAnsi="Arial" w:cs="Arial"/>
                <w:sz w:val="16"/>
                <w:szCs w:val="16"/>
              </w:rPr>
              <w:t>BIG</w:t>
            </w:r>
          </w:p>
        </w:tc>
        <w:tc>
          <w:tcPr>
            <w:tcW w:w="0" w:type="auto"/>
            <w:shd w:val="clear" w:color="auto" w:fill="CCEEFF"/>
            <w:tcMar>
              <w:top w:w="40" w:type="dxa"/>
              <w:left w:w="40" w:type="dxa"/>
              <w:bottom w:w="40" w:type="dxa"/>
              <w:right w:w="40" w:type="dxa"/>
            </w:tcMar>
            <w:vAlign w:val="bottom"/>
          </w:tcPr>
          <w:p w14:paraId="555670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A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Krakow</w:t>
            </w:r>
          </w:p>
        </w:tc>
        <w:tc>
          <w:tcPr>
            <w:tcW w:w="0" w:type="auto"/>
            <w:shd w:val="clear" w:color="auto" w:fill="CCEEFF"/>
            <w:tcMar>
              <w:top w:w="40" w:type="dxa"/>
              <w:left w:w="40" w:type="dxa"/>
              <w:bottom w:w="40" w:type="dxa"/>
              <w:right w:w="40" w:type="dxa"/>
            </w:tcMar>
            <w:vAlign w:val="bottom"/>
          </w:tcPr>
          <w:p w14:paraId="555670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AC"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Poland</w:t>
            </w:r>
          </w:p>
        </w:tc>
        <w:tc>
          <w:tcPr>
            <w:tcW w:w="0" w:type="auto"/>
            <w:shd w:val="clear" w:color="auto" w:fill="CCEEFF"/>
            <w:tcMar>
              <w:top w:w="40" w:type="dxa"/>
              <w:left w:w="40" w:type="dxa"/>
              <w:bottom w:w="40" w:type="dxa"/>
              <w:right w:w="40" w:type="dxa"/>
            </w:tcMar>
            <w:vAlign w:val="bottom"/>
          </w:tcPr>
          <w:p w14:paraId="555670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A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B7" w14:textId="77777777">
        <w:tc>
          <w:tcPr>
            <w:tcW w:w="0" w:type="auto"/>
            <w:shd w:val="clear" w:color="auto" w:fill="auto"/>
            <w:tcMar>
              <w:top w:w="40" w:type="dxa"/>
              <w:left w:w="40" w:type="dxa"/>
              <w:bottom w:w="40" w:type="dxa"/>
              <w:right w:w="40" w:type="dxa"/>
            </w:tcMar>
            <w:vAlign w:val="bottom"/>
          </w:tcPr>
          <w:p w14:paraId="555670B0"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Bonarka </w:t>
            </w:r>
          </w:p>
        </w:tc>
        <w:tc>
          <w:tcPr>
            <w:tcW w:w="0" w:type="auto"/>
            <w:shd w:val="clear" w:color="auto" w:fill="auto"/>
            <w:tcMar>
              <w:top w:w="40" w:type="dxa"/>
              <w:left w:w="40" w:type="dxa"/>
              <w:bottom w:w="40" w:type="dxa"/>
              <w:right w:w="40" w:type="dxa"/>
            </w:tcMar>
            <w:vAlign w:val="bottom"/>
          </w:tcPr>
          <w:p w14:paraId="555670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B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Krakow</w:t>
            </w:r>
          </w:p>
        </w:tc>
        <w:tc>
          <w:tcPr>
            <w:tcW w:w="0" w:type="auto"/>
            <w:shd w:val="clear" w:color="auto" w:fill="auto"/>
            <w:tcMar>
              <w:top w:w="40" w:type="dxa"/>
              <w:left w:w="40" w:type="dxa"/>
              <w:bottom w:w="40" w:type="dxa"/>
              <w:right w:w="40" w:type="dxa"/>
            </w:tcMar>
            <w:vAlign w:val="bottom"/>
          </w:tcPr>
          <w:p w14:paraId="555670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B4"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Poland</w:t>
            </w:r>
          </w:p>
        </w:tc>
        <w:tc>
          <w:tcPr>
            <w:tcW w:w="0" w:type="auto"/>
            <w:shd w:val="clear" w:color="auto" w:fill="auto"/>
            <w:tcMar>
              <w:top w:w="40" w:type="dxa"/>
              <w:left w:w="40" w:type="dxa"/>
              <w:bottom w:w="40" w:type="dxa"/>
              <w:right w:w="40" w:type="dxa"/>
            </w:tcMar>
            <w:vAlign w:val="bottom"/>
          </w:tcPr>
          <w:p w14:paraId="555670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B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BF" w14:textId="77777777">
        <w:tc>
          <w:tcPr>
            <w:tcW w:w="0" w:type="auto"/>
            <w:shd w:val="clear" w:color="auto" w:fill="CCEEFF"/>
            <w:tcMar>
              <w:top w:w="40" w:type="dxa"/>
              <w:left w:w="40" w:type="dxa"/>
              <w:bottom w:w="40" w:type="dxa"/>
              <w:right w:w="40" w:type="dxa"/>
            </w:tcMar>
            <w:vAlign w:val="bottom"/>
          </w:tcPr>
          <w:p w14:paraId="555670B8" w14:textId="77777777" w:rsidR="00F925DD" w:rsidRDefault="00E705D7">
            <w:pPr>
              <w:textAlignment w:val="bottom"/>
              <w:rPr>
                <w:rFonts w:ascii="Times New Roman" w:hAnsi="Times New Roman"/>
                <w:sz w:val="16"/>
                <w:szCs w:val="16"/>
              </w:rPr>
            </w:pPr>
            <w:r>
              <w:rPr>
                <w:rFonts w:ascii="Arial" w:eastAsia="宋体" w:hAnsi="Arial" w:cs="Arial"/>
                <w:sz w:val="16"/>
                <w:szCs w:val="16"/>
              </w:rPr>
              <w:t>CBK</w:t>
            </w:r>
          </w:p>
        </w:tc>
        <w:tc>
          <w:tcPr>
            <w:tcW w:w="0" w:type="auto"/>
            <w:shd w:val="clear" w:color="auto" w:fill="CCEEFF"/>
            <w:tcMar>
              <w:top w:w="40" w:type="dxa"/>
              <w:left w:w="40" w:type="dxa"/>
              <w:bottom w:w="40" w:type="dxa"/>
              <w:right w:w="40" w:type="dxa"/>
            </w:tcMar>
            <w:vAlign w:val="bottom"/>
          </w:tcPr>
          <w:p w14:paraId="555670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B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Krakow</w:t>
            </w:r>
          </w:p>
        </w:tc>
        <w:tc>
          <w:tcPr>
            <w:tcW w:w="0" w:type="auto"/>
            <w:shd w:val="clear" w:color="auto" w:fill="CCEEFF"/>
            <w:tcMar>
              <w:top w:w="40" w:type="dxa"/>
              <w:left w:w="40" w:type="dxa"/>
              <w:bottom w:w="40" w:type="dxa"/>
              <w:right w:w="40" w:type="dxa"/>
            </w:tcMar>
            <w:vAlign w:val="bottom"/>
          </w:tcPr>
          <w:p w14:paraId="555670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BC"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Poland</w:t>
            </w:r>
          </w:p>
        </w:tc>
        <w:tc>
          <w:tcPr>
            <w:tcW w:w="0" w:type="auto"/>
            <w:shd w:val="clear" w:color="auto" w:fill="CCEEFF"/>
            <w:tcMar>
              <w:top w:w="40" w:type="dxa"/>
              <w:left w:w="40" w:type="dxa"/>
              <w:bottom w:w="40" w:type="dxa"/>
              <w:right w:w="40" w:type="dxa"/>
            </w:tcMar>
            <w:vAlign w:val="bottom"/>
          </w:tcPr>
          <w:p w14:paraId="555670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B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C7" w14:textId="77777777">
        <w:tc>
          <w:tcPr>
            <w:tcW w:w="0" w:type="auto"/>
            <w:shd w:val="clear" w:color="auto" w:fill="auto"/>
            <w:tcMar>
              <w:top w:w="40" w:type="dxa"/>
              <w:left w:w="40" w:type="dxa"/>
              <w:bottom w:w="40" w:type="dxa"/>
              <w:right w:w="40" w:type="dxa"/>
            </w:tcMar>
            <w:vAlign w:val="bottom"/>
          </w:tcPr>
          <w:p w14:paraId="555670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0CF" w14:textId="77777777">
        <w:tc>
          <w:tcPr>
            <w:tcW w:w="0" w:type="auto"/>
            <w:shd w:val="clear" w:color="auto" w:fill="auto"/>
            <w:tcMar>
              <w:top w:w="40" w:type="dxa"/>
              <w:left w:w="40" w:type="dxa"/>
              <w:bottom w:w="40" w:type="dxa"/>
              <w:right w:w="40" w:type="dxa"/>
            </w:tcMar>
            <w:vAlign w:val="bottom"/>
          </w:tcPr>
          <w:p w14:paraId="555670C8"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Asia Pacific:</w:t>
            </w:r>
          </w:p>
        </w:tc>
        <w:tc>
          <w:tcPr>
            <w:tcW w:w="0" w:type="auto"/>
            <w:shd w:val="clear" w:color="auto" w:fill="auto"/>
            <w:tcMar>
              <w:top w:w="40" w:type="dxa"/>
              <w:left w:w="40" w:type="dxa"/>
              <w:bottom w:w="40" w:type="dxa"/>
              <w:right w:w="40" w:type="dxa"/>
            </w:tcMar>
            <w:vAlign w:val="bottom"/>
          </w:tcPr>
          <w:p w14:paraId="555670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0D7" w14:textId="77777777">
        <w:tc>
          <w:tcPr>
            <w:tcW w:w="0" w:type="auto"/>
            <w:shd w:val="clear" w:color="auto" w:fill="CCEEFF"/>
            <w:tcMar>
              <w:top w:w="40" w:type="dxa"/>
              <w:left w:w="40" w:type="dxa"/>
              <w:bottom w:w="40" w:type="dxa"/>
              <w:right w:w="40" w:type="dxa"/>
            </w:tcMar>
            <w:vAlign w:val="bottom"/>
          </w:tcPr>
          <w:p w14:paraId="555670D0"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George Street </w:t>
            </w:r>
          </w:p>
        </w:tc>
        <w:tc>
          <w:tcPr>
            <w:tcW w:w="0" w:type="auto"/>
            <w:shd w:val="clear" w:color="auto" w:fill="CCEEFF"/>
            <w:tcMar>
              <w:top w:w="40" w:type="dxa"/>
              <w:left w:w="40" w:type="dxa"/>
              <w:bottom w:w="40" w:type="dxa"/>
              <w:right w:w="40" w:type="dxa"/>
            </w:tcMar>
            <w:vAlign w:val="bottom"/>
          </w:tcPr>
          <w:p w14:paraId="555670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D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Sydney</w:t>
            </w:r>
          </w:p>
        </w:tc>
        <w:tc>
          <w:tcPr>
            <w:tcW w:w="0" w:type="auto"/>
            <w:shd w:val="clear" w:color="auto" w:fill="CCEEFF"/>
            <w:tcMar>
              <w:top w:w="40" w:type="dxa"/>
              <w:left w:w="40" w:type="dxa"/>
              <w:bottom w:w="40" w:type="dxa"/>
              <w:right w:w="40" w:type="dxa"/>
            </w:tcMar>
            <w:vAlign w:val="bottom"/>
          </w:tcPr>
          <w:p w14:paraId="555670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D4"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Australia</w:t>
            </w:r>
          </w:p>
        </w:tc>
        <w:tc>
          <w:tcPr>
            <w:tcW w:w="0" w:type="auto"/>
            <w:shd w:val="clear" w:color="auto" w:fill="CCEEFF"/>
            <w:tcMar>
              <w:top w:w="40" w:type="dxa"/>
              <w:left w:w="40" w:type="dxa"/>
              <w:bottom w:w="40" w:type="dxa"/>
              <w:right w:w="40" w:type="dxa"/>
            </w:tcMar>
            <w:vAlign w:val="bottom"/>
          </w:tcPr>
          <w:p w14:paraId="555670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D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DF" w14:textId="77777777">
        <w:tc>
          <w:tcPr>
            <w:tcW w:w="0" w:type="auto"/>
            <w:shd w:val="clear" w:color="auto" w:fill="auto"/>
            <w:tcMar>
              <w:top w:w="40" w:type="dxa"/>
              <w:left w:w="40" w:type="dxa"/>
              <w:bottom w:w="40" w:type="dxa"/>
              <w:right w:w="40" w:type="dxa"/>
            </w:tcMar>
            <w:vAlign w:val="bottom"/>
          </w:tcPr>
          <w:p w14:paraId="555670D8" w14:textId="77777777" w:rsidR="00F925DD" w:rsidRDefault="00E705D7">
            <w:pPr>
              <w:textAlignment w:val="bottom"/>
              <w:rPr>
                <w:rFonts w:ascii="Times New Roman" w:hAnsi="Times New Roman"/>
                <w:sz w:val="16"/>
                <w:szCs w:val="16"/>
              </w:rPr>
            </w:pPr>
            <w:r>
              <w:rPr>
                <w:rFonts w:ascii="Arial" w:eastAsia="宋体" w:hAnsi="Arial" w:cs="Arial"/>
                <w:sz w:val="16"/>
                <w:szCs w:val="16"/>
              </w:rPr>
              <w:t>San Dun</w:t>
            </w:r>
          </w:p>
        </w:tc>
        <w:tc>
          <w:tcPr>
            <w:tcW w:w="0" w:type="auto"/>
            <w:shd w:val="clear" w:color="auto" w:fill="auto"/>
            <w:tcMar>
              <w:top w:w="40" w:type="dxa"/>
              <w:left w:w="40" w:type="dxa"/>
              <w:bottom w:w="40" w:type="dxa"/>
              <w:right w:w="40" w:type="dxa"/>
            </w:tcMar>
            <w:vAlign w:val="bottom"/>
          </w:tcPr>
          <w:p w14:paraId="555670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D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Hangzhou</w:t>
            </w:r>
          </w:p>
        </w:tc>
        <w:tc>
          <w:tcPr>
            <w:tcW w:w="0" w:type="auto"/>
            <w:shd w:val="clear" w:color="auto" w:fill="auto"/>
            <w:tcMar>
              <w:top w:w="40" w:type="dxa"/>
              <w:left w:w="40" w:type="dxa"/>
              <w:bottom w:w="40" w:type="dxa"/>
              <w:right w:w="40" w:type="dxa"/>
            </w:tcMar>
            <w:vAlign w:val="bottom"/>
          </w:tcPr>
          <w:p w14:paraId="555670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DC"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China</w:t>
            </w:r>
          </w:p>
        </w:tc>
        <w:tc>
          <w:tcPr>
            <w:tcW w:w="0" w:type="auto"/>
            <w:shd w:val="clear" w:color="auto" w:fill="auto"/>
            <w:tcMar>
              <w:top w:w="40" w:type="dxa"/>
              <w:left w:w="40" w:type="dxa"/>
              <w:bottom w:w="40" w:type="dxa"/>
              <w:right w:w="40" w:type="dxa"/>
            </w:tcMar>
            <w:vAlign w:val="bottom"/>
          </w:tcPr>
          <w:p w14:paraId="555670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D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E7" w14:textId="77777777">
        <w:tc>
          <w:tcPr>
            <w:tcW w:w="0" w:type="auto"/>
            <w:shd w:val="clear" w:color="auto" w:fill="CCEEFF"/>
            <w:tcMar>
              <w:top w:w="40" w:type="dxa"/>
              <w:left w:w="40" w:type="dxa"/>
              <w:bottom w:w="40" w:type="dxa"/>
              <w:right w:w="40" w:type="dxa"/>
            </w:tcMar>
            <w:vAlign w:val="bottom"/>
          </w:tcPr>
          <w:p w14:paraId="555670E0" w14:textId="77777777" w:rsidR="00F925DD" w:rsidRDefault="00E705D7">
            <w:pPr>
              <w:textAlignment w:val="bottom"/>
              <w:rPr>
                <w:rFonts w:ascii="Times New Roman" w:hAnsi="Times New Roman"/>
                <w:sz w:val="16"/>
                <w:szCs w:val="16"/>
              </w:rPr>
            </w:pPr>
            <w:r>
              <w:rPr>
                <w:rFonts w:ascii="Arial" w:eastAsia="宋体" w:hAnsi="Arial" w:cs="Arial"/>
                <w:sz w:val="16"/>
                <w:szCs w:val="16"/>
              </w:rPr>
              <w:t>Tian Tang</w:t>
            </w:r>
          </w:p>
        </w:tc>
        <w:tc>
          <w:tcPr>
            <w:tcW w:w="0" w:type="auto"/>
            <w:shd w:val="clear" w:color="auto" w:fill="CCEEFF"/>
            <w:tcMar>
              <w:top w:w="40" w:type="dxa"/>
              <w:left w:w="40" w:type="dxa"/>
              <w:bottom w:w="40" w:type="dxa"/>
              <w:right w:w="40" w:type="dxa"/>
            </w:tcMar>
            <w:vAlign w:val="bottom"/>
          </w:tcPr>
          <w:p w14:paraId="555670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E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Hangzhou</w:t>
            </w:r>
          </w:p>
        </w:tc>
        <w:tc>
          <w:tcPr>
            <w:tcW w:w="0" w:type="auto"/>
            <w:shd w:val="clear" w:color="auto" w:fill="CCEEFF"/>
            <w:tcMar>
              <w:top w:w="40" w:type="dxa"/>
              <w:left w:w="40" w:type="dxa"/>
              <w:bottom w:w="40" w:type="dxa"/>
              <w:right w:w="40" w:type="dxa"/>
            </w:tcMar>
            <w:vAlign w:val="bottom"/>
          </w:tcPr>
          <w:p w14:paraId="555670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E4"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China</w:t>
            </w:r>
          </w:p>
        </w:tc>
        <w:tc>
          <w:tcPr>
            <w:tcW w:w="0" w:type="auto"/>
            <w:shd w:val="clear" w:color="auto" w:fill="CCEEFF"/>
            <w:tcMar>
              <w:top w:w="40" w:type="dxa"/>
              <w:left w:w="40" w:type="dxa"/>
              <w:bottom w:w="40" w:type="dxa"/>
              <w:right w:w="40" w:type="dxa"/>
            </w:tcMar>
            <w:vAlign w:val="bottom"/>
          </w:tcPr>
          <w:p w14:paraId="555670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E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EF" w14:textId="77777777">
        <w:tc>
          <w:tcPr>
            <w:tcW w:w="0" w:type="auto"/>
            <w:shd w:val="clear" w:color="auto" w:fill="auto"/>
            <w:tcMar>
              <w:top w:w="40" w:type="dxa"/>
              <w:left w:w="40" w:type="dxa"/>
              <w:bottom w:w="40" w:type="dxa"/>
              <w:right w:w="40" w:type="dxa"/>
            </w:tcMar>
            <w:vAlign w:val="bottom"/>
          </w:tcPr>
          <w:p w14:paraId="555670E8" w14:textId="77777777" w:rsidR="00F925DD" w:rsidRDefault="00E705D7">
            <w:pPr>
              <w:textAlignment w:val="bottom"/>
              <w:rPr>
                <w:rFonts w:ascii="Times New Roman" w:hAnsi="Times New Roman"/>
                <w:sz w:val="16"/>
                <w:szCs w:val="16"/>
              </w:rPr>
            </w:pPr>
            <w:r>
              <w:rPr>
                <w:rFonts w:ascii="Arial" w:eastAsia="宋体" w:hAnsi="Arial" w:cs="Arial"/>
                <w:sz w:val="16"/>
                <w:szCs w:val="16"/>
              </w:rPr>
              <w:t>Ecoworld 6B</w:t>
            </w:r>
          </w:p>
        </w:tc>
        <w:tc>
          <w:tcPr>
            <w:tcW w:w="0" w:type="auto"/>
            <w:shd w:val="clear" w:color="auto" w:fill="auto"/>
            <w:tcMar>
              <w:top w:w="40" w:type="dxa"/>
              <w:left w:w="40" w:type="dxa"/>
              <w:bottom w:w="40" w:type="dxa"/>
              <w:right w:w="40" w:type="dxa"/>
            </w:tcMar>
            <w:vAlign w:val="bottom"/>
          </w:tcPr>
          <w:p w14:paraId="555670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E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Bangalore</w:t>
            </w:r>
          </w:p>
        </w:tc>
        <w:tc>
          <w:tcPr>
            <w:tcW w:w="0" w:type="auto"/>
            <w:shd w:val="clear" w:color="auto" w:fill="auto"/>
            <w:tcMar>
              <w:top w:w="40" w:type="dxa"/>
              <w:left w:w="40" w:type="dxa"/>
              <w:bottom w:w="40" w:type="dxa"/>
              <w:right w:w="40" w:type="dxa"/>
            </w:tcMar>
            <w:vAlign w:val="bottom"/>
          </w:tcPr>
          <w:p w14:paraId="555670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EC"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India</w:t>
            </w:r>
          </w:p>
        </w:tc>
        <w:tc>
          <w:tcPr>
            <w:tcW w:w="0" w:type="auto"/>
            <w:shd w:val="clear" w:color="auto" w:fill="auto"/>
            <w:tcMar>
              <w:top w:w="40" w:type="dxa"/>
              <w:left w:w="40" w:type="dxa"/>
              <w:bottom w:w="40" w:type="dxa"/>
              <w:right w:w="40" w:type="dxa"/>
            </w:tcMar>
            <w:vAlign w:val="bottom"/>
          </w:tcPr>
          <w:p w14:paraId="555670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E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F7" w14:textId="77777777">
        <w:tc>
          <w:tcPr>
            <w:tcW w:w="0" w:type="auto"/>
            <w:shd w:val="clear" w:color="auto" w:fill="CCEEFF"/>
            <w:tcMar>
              <w:top w:w="40" w:type="dxa"/>
              <w:left w:w="40" w:type="dxa"/>
              <w:bottom w:w="40" w:type="dxa"/>
              <w:right w:w="40" w:type="dxa"/>
            </w:tcMar>
            <w:vAlign w:val="bottom"/>
          </w:tcPr>
          <w:p w14:paraId="555670F0" w14:textId="77777777" w:rsidR="00F925DD" w:rsidRDefault="00E705D7">
            <w:pPr>
              <w:textAlignment w:val="bottom"/>
              <w:rPr>
                <w:rFonts w:ascii="Times New Roman" w:hAnsi="Times New Roman"/>
                <w:sz w:val="16"/>
                <w:szCs w:val="16"/>
              </w:rPr>
            </w:pPr>
            <w:r>
              <w:rPr>
                <w:rFonts w:ascii="Arial" w:eastAsia="宋体" w:hAnsi="Arial" w:cs="Arial"/>
                <w:sz w:val="16"/>
                <w:szCs w:val="16"/>
              </w:rPr>
              <w:t>Ecoworld 7</w:t>
            </w:r>
          </w:p>
        </w:tc>
        <w:tc>
          <w:tcPr>
            <w:tcW w:w="0" w:type="auto"/>
            <w:shd w:val="clear" w:color="auto" w:fill="CCEEFF"/>
            <w:tcMar>
              <w:top w:w="40" w:type="dxa"/>
              <w:left w:w="40" w:type="dxa"/>
              <w:bottom w:w="40" w:type="dxa"/>
              <w:right w:w="40" w:type="dxa"/>
            </w:tcMar>
            <w:vAlign w:val="bottom"/>
          </w:tcPr>
          <w:p w14:paraId="555670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F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Bangalore</w:t>
            </w:r>
          </w:p>
        </w:tc>
        <w:tc>
          <w:tcPr>
            <w:tcW w:w="0" w:type="auto"/>
            <w:shd w:val="clear" w:color="auto" w:fill="CCEEFF"/>
            <w:tcMar>
              <w:top w:w="40" w:type="dxa"/>
              <w:left w:w="40" w:type="dxa"/>
              <w:bottom w:w="40" w:type="dxa"/>
              <w:right w:w="40" w:type="dxa"/>
            </w:tcMar>
            <w:vAlign w:val="bottom"/>
          </w:tcPr>
          <w:p w14:paraId="555670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F4"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India</w:t>
            </w:r>
          </w:p>
        </w:tc>
        <w:tc>
          <w:tcPr>
            <w:tcW w:w="0" w:type="auto"/>
            <w:shd w:val="clear" w:color="auto" w:fill="CCEEFF"/>
            <w:tcMar>
              <w:top w:w="40" w:type="dxa"/>
              <w:left w:w="40" w:type="dxa"/>
              <w:bottom w:w="40" w:type="dxa"/>
              <w:right w:w="40" w:type="dxa"/>
            </w:tcMar>
            <w:vAlign w:val="bottom"/>
          </w:tcPr>
          <w:p w14:paraId="555670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0F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0FF" w14:textId="77777777">
        <w:tc>
          <w:tcPr>
            <w:tcW w:w="0" w:type="auto"/>
            <w:shd w:val="clear" w:color="auto" w:fill="auto"/>
            <w:tcMar>
              <w:top w:w="40" w:type="dxa"/>
              <w:left w:w="40" w:type="dxa"/>
              <w:bottom w:w="40" w:type="dxa"/>
              <w:right w:w="40" w:type="dxa"/>
            </w:tcMar>
            <w:vAlign w:val="bottom"/>
          </w:tcPr>
          <w:p w14:paraId="555670F8" w14:textId="77777777" w:rsidR="00F925DD" w:rsidRDefault="00E705D7">
            <w:pPr>
              <w:textAlignment w:val="bottom"/>
              <w:rPr>
                <w:rFonts w:ascii="Times New Roman" w:hAnsi="Times New Roman"/>
                <w:sz w:val="16"/>
                <w:szCs w:val="16"/>
              </w:rPr>
            </w:pPr>
            <w:r>
              <w:rPr>
                <w:rFonts w:ascii="Arial" w:eastAsia="宋体" w:hAnsi="Arial" w:cs="Arial"/>
                <w:sz w:val="16"/>
                <w:szCs w:val="16"/>
              </w:rPr>
              <w:t>Knowledge City Salarpuria</w:t>
            </w:r>
          </w:p>
        </w:tc>
        <w:tc>
          <w:tcPr>
            <w:tcW w:w="0" w:type="auto"/>
            <w:shd w:val="clear" w:color="auto" w:fill="auto"/>
            <w:tcMar>
              <w:top w:w="40" w:type="dxa"/>
              <w:left w:w="40" w:type="dxa"/>
              <w:bottom w:w="40" w:type="dxa"/>
              <w:right w:w="40" w:type="dxa"/>
            </w:tcMar>
            <w:vAlign w:val="bottom"/>
          </w:tcPr>
          <w:p w14:paraId="555670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F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Hyderabad</w:t>
            </w:r>
          </w:p>
        </w:tc>
        <w:tc>
          <w:tcPr>
            <w:tcW w:w="0" w:type="auto"/>
            <w:shd w:val="clear" w:color="auto" w:fill="auto"/>
            <w:tcMar>
              <w:top w:w="40" w:type="dxa"/>
              <w:left w:w="40" w:type="dxa"/>
              <w:bottom w:w="40" w:type="dxa"/>
              <w:right w:w="40" w:type="dxa"/>
            </w:tcMar>
            <w:vAlign w:val="bottom"/>
          </w:tcPr>
          <w:p w14:paraId="555670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FC"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India</w:t>
            </w:r>
          </w:p>
        </w:tc>
        <w:tc>
          <w:tcPr>
            <w:tcW w:w="0" w:type="auto"/>
            <w:shd w:val="clear" w:color="auto" w:fill="auto"/>
            <w:tcMar>
              <w:top w:w="40" w:type="dxa"/>
              <w:left w:w="40" w:type="dxa"/>
              <w:bottom w:w="40" w:type="dxa"/>
              <w:right w:w="40" w:type="dxa"/>
            </w:tcMar>
            <w:vAlign w:val="bottom"/>
          </w:tcPr>
          <w:p w14:paraId="555670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0F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r w:rsidR="00F925DD" w14:paraId="55567107" w14:textId="77777777">
        <w:tc>
          <w:tcPr>
            <w:tcW w:w="0" w:type="auto"/>
            <w:shd w:val="clear" w:color="auto" w:fill="CCEEFF"/>
            <w:tcMar>
              <w:top w:w="40" w:type="dxa"/>
              <w:left w:w="40" w:type="dxa"/>
              <w:bottom w:w="40" w:type="dxa"/>
              <w:right w:w="40" w:type="dxa"/>
            </w:tcMar>
            <w:vAlign w:val="bottom"/>
          </w:tcPr>
          <w:p w14:paraId="55567100" w14:textId="77777777" w:rsidR="00F925DD" w:rsidRDefault="00E705D7">
            <w:pPr>
              <w:textAlignment w:val="bottom"/>
              <w:rPr>
                <w:rFonts w:ascii="Times New Roman" w:hAnsi="Times New Roman"/>
                <w:sz w:val="16"/>
                <w:szCs w:val="16"/>
              </w:rPr>
            </w:pPr>
            <w:r>
              <w:rPr>
                <w:rFonts w:ascii="Arial" w:eastAsia="宋体" w:hAnsi="Arial" w:cs="Arial"/>
                <w:sz w:val="16"/>
                <w:szCs w:val="16"/>
              </w:rPr>
              <w:t>Knowledge City Octave</w:t>
            </w:r>
          </w:p>
        </w:tc>
        <w:tc>
          <w:tcPr>
            <w:tcW w:w="0" w:type="auto"/>
            <w:shd w:val="clear" w:color="auto" w:fill="CCEEFF"/>
            <w:tcMar>
              <w:top w:w="40" w:type="dxa"/>
              <w:left w:w="40" w:type="dxa"/>
              <w:bottom w:w="40" w:type="dxa"/>
              <w:right w:w="40" w:type="dxa"/>
            </w:tcMar>
            <w:vAlign w:val="bottom"/>
          </w:tcPr>
          <w:p w14:paraId="555671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10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Hyderabad</w:t>
            </w:r>
          </w:p>
        </w:tc>
        <w:tc>
          <w:tcPr>
            <w:tcW w:w="0" w:type="auto"/>
            <w:shd w:val="clear" w:color="auto" w:fill="CCEEFF"/>
            <w:tcMar>
              <w:top w:w="40" w:type="dxa"/>
              <w:left w:w="40" w:type="dxa"/>
              <w:bottom w:w="40" w:type="dxa"/>
              <w:right w:w="40" w:type="dxa"/>
            </w:tcMar>
            <w:vAlign w:val="bottom"/>
          </w:tcPr>
          <w:p w14:paraId="555671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104"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India</w:t>
            </w:r>
          </w:p>
        </w:tc>
        <w:tc>
          <w:tcPr>
            <w:tcW w:w="0" w:type="auto"/>
            <w:shd w:val="clear" w:color="auto" w:fill="CCEEFF"/>
            <w:tcMar>
              <w:top w:w="40" w:type="dxa"/>
              <w:left w:w="40" w:type="dxa"/>
              <w:bottom w:w="40" w:type="dxa"/>
              <w:right w:w="40" w:type="dxa"/>
            </w:tcMar>
            <w:vAlign w:val="bottom"/>
          </w:tcPr>
          <w:p w14:paraId="555671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10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Leased</w:t>
            </w:r>
          </w:p>
        </w:tc>
      </w:tr>
    </w:tbl>
    <w:p w14:paraId="55567108"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1993"/>
        <w:gridCol w:w="1246"/>
        <w:gridCol w:w="5067"/>
      </w:tblGrid>
      <w:tr w:rsidR="00F925DD" w14:paraId="5556710A" w14:textId="77777777">
        <w:tc>
          <w:tcPr>
            <w:tcW w:w="0" w:type="auto"/>
            <w:gridSpan w:val="3"/>
            <w:shd w:val="clear" w:color="auto" w:fill="auto"/>
            <w:vAlign w:val="center"/>
          </w:tcPr>
          <w:p w14:paraId="55567109" w14:textId="77777777" w:rsidR="00F925DD" w:rsidRDefault="00F925DD">
            <w:pPr>
              <w:rPr>
                <w:rFonts w:ascii="Times New Roman" w:hAnsi="Times New Roman"/>
                <w:sz w:val="20"/>
                <w:szCs w:val="20"/>
              </w:rPr>
            </w:pPr>
          </w:p>
        </w:tc>
      </w:tr>
      <w:tr w:rsidR="00F925DD" w14:paraId="5556710E" w14:textId="77777777">
        <w:tc>
          <w:tcPr>
            <w:tcW w:w="1200" w:type="pct"/>
            <w:shd w:val="clear" w:color="auto" w:fill="auto"/>
            <w:vAlign w:val="center"/>
          </w:tcPr>
          <w:p w14:paraId="5556710B" w14:textId="77777777" w:rsidR="00F925DD" w:rsidRDefault="00F925DD">
            <w:pPr>
              <w:rPr>
                <w:rFonts w:ascii="Times New Roman" w:hAnsi="Times New Roman"/>
                <w:sz w:val="20"/>
                <w:szCs w:val="20"/>
              </w:rPr>
            </w:pPr>
          </w:p>
        </w:tc>
        <w:tc>
          <w:tcPr>
            <w:tcW w:w="750" w:type="pct"/>
            <w:shd w:val="clear" w:color="auto" w:fill="auto"/>
            <w:vAlign w:val="center"/>
          </w:tcPr>
          <w:p w14:paraId="5556710C" w14:textId="77777777" w:rsidR="00F925DD" w:rsidRDefault="00F925DD">
            <w:pPr>
              <w:rPr>
                <w:rFonts w:ascii="Times New Roman" w:hAnsi="Times New Roman"/>
                <w:sz w:val="20"/>
                <w:szCs w:val="20"/>
              </w:rPr>
            </w:pPr>
          </w:p>
        </w:tc>
        <w:tc>
          <w:tcPr>
            <w:tcW w:w="3050" w:type="pct"/>
            <w:shd w:val="clear" w:color="auto" w:fill="auto"/>
            <w:vAlign w:val="center"/>
          </w:tcPr>
          <w:p w14:paraId="5556710D" w14:textId="77777777" w:rsidR="00F925DD" w:rsidRDefault="00F925DD">
            <w:pPr>
              <w:rPr>
                <w:rFonts w:ascii="Times New Roman" w:hAnsi="Times New Roman"/>
                <w:sz w:val="20"/>
                <w:szCs w:val="20"/>
              </w:rPr>
            </w:pPr>
          </w:p>
        </w:tc>
      </w:tr>
      <w:tr w:rsidR="00F925DD" w14:paraId="5556711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71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1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1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7113"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We lease other properties in the above regions which consists of 42 locations in the U.S. and Canada, 34 locations in Europe, Middle East, and Africa</w:t>
      </w:r>
    </w:p>
    <w:p w14:paraId="55567114" w14:textId="77777777" w:rsidR="00F925DD" w:rsidRDefault="00E705D7">
      <w:pPr>
        <w:spacing w:line="288" w:lineRule="auto"/>
        <w:jc w:val="both"/>
        <w:rPr>
          <w:rFonts w:ascii="Times New Roman" w:hAnsi="Times New Roman"/>
          <w:sz w:val="14"/>
          <w:szCs w:val="14"/>
        </w:rPr>
      </w:pPr>
      <w:r>
        <w:rPr>
          <w:rFonts w:ascii="Arial" w:eastAsia="宋体" w:hAnsi="Arial" w:cs="Arial"/>
          <w:sz w:val="14"/>
          <w:szCs w:val="14"/>
        </w:rPr>
        <w:t>(EMEA) and 38 locations in Asia Pacific.</w:t>
      </w:r>
    </w:p>
    <w:p w14:paraId="55567115"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ITEM</w:t>
      </w:r>
      <w:r>
        <w:rPr>
          <w:rFonts w:ascii="Arial" w:eastAsia="宋体" w:hAnsi="Arial" w:cs="Arial"/>
          <w:b/>
          <w:bCs/>
          <w:sz w:val="20"/>
          <w:szCs w:val="20"/>
        </w:rPr>
        <w:t xml:space="preserve"> 3. LEGAL PROCEEDINGS</w:t>
      </w:r>
    </w:p>
    <w:p w14:paraId="5556711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information required by this </w:t>
      </w:r>
      <w:r>
        <w:rPr>
          <w:rFonts w:ascii="Arial" w:eastAsia="宋体" w:hAnsi="Arial" w:cs="Arial"/>
          <w:sz w:val="20"/>
          <w:szCs w:val="20"/>
        </w:rPr>
        <w:t>Item is provided under "Legal and Regulatory Matters" in Note 13 to the consolidated financial statements in this Form 10-K, and is incorporated herein by reference.</w:t>
      </w:r>
    </w:p>
    <w:p w14:paraId="55567117"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ITEM 4.</w:t>
      </w:r>
      <w:r>
        <w:rPr>
          <w:rFonts w:ascii="Arial" w:eastAsia="宋体" w:hAnsi="Arial" w:cs="Arial"/>
          <w:b/>
          <w:bCs/>
          <w:sz w:val="20"/>
          <w:szCs w:val="20"/>
        </w:rPr>
        <w:t>     MINE SAFETY DISCLOSURES</w:t>
      </w:r>
    </w:p>
    <w:p w14:paraId="55567118" w14:textId="77777777" w:rsidR="00F925DD" w:rsidRDefault="00E705D7">
      <w:pPr>
        <w:spacing w:line="288" w:lineRule="auto"/>
        <w:ind w:firstLine="600"/>
        <w:rPr>
          <w:rFonts w:ascii="Times New Roman" w:hAnsi="Times New Roman"/>
          <w:sz w:val="20"/>
          <w:szCs w:val="20"/>
        </w:rPr>
      </w:pPr>
      <w:r>
        <w:rPr>
          <w:rFonts w:ascii="Arial" w:eastAsia="宋体" w:hAnsi="Arial" w:cs="Arial"/>
          <w:sz w:val="20"/>
          <w:szCs w:val="20"/>
        </w:rPr>
        <w:t>Not applicable.</w:t>
      </w:r>
    </w:p>
    <w:p w14:paraId="55567119" w14:textId="77777777" w:rsidR="00F925DD" w:rsidRDefault="00F925DD">
      <w:pPr>
        <w:rPr>
          <w:rFonts w:ascii="Times New Roman" w:hAnsi="Times New Roman"/>
          <w:sz w:val="20"/>
          <w:szCs w:val="20"/>
        </w:rPr>
      </w:pPr>
    </w:p>
    <w:p w14:paraId="5556711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48</w:t>
      </w:r>
    </w:p>
    <w:p w14:paraId="5556711B" w14:textId="77777777" w:rsidR="00F925DD" w:rsidRDefault="00F925DD">
      <w:pPr>
        <w:spacing w:line="288" w:lineRule="auto"/>
        <w:ind w:firstLine="600"/>
        <w:jc w:val="center"/>
        <w:rPr>
          <w:rFonts w:ascii="Times New Roman" w:hAnsi="Times New Roman"/>
          <w:sz w:val="18"/>
          <w:szCs w:val="18"/>
        </w:rPr>
      </w:pPr>
    </w:p>
    <w:p w14:paraId="5556711C" w14:textId="77777777" w:rsidR="00F925DD" w:rsidRDefault="00E705D7">
      <w:r>
        <w:rPr>
          <w:rFonts w:ascii="Times New Roman" w:hAnsi="Times New Roman"/>
          <w:sz w:val="18"/>
          <w:szCs w:val="18"/>
        </w:rPr>
        <w:pict w14:anchorId="55570668">
          <v:rect id="_x0000_i1072" style="width:415.3pt;height:1.5pt" o:hralign="center" o:hrstd="t" o:hr="t" fillcolor="#a0a0a0" stroked="f"/>
        </w:pict>
      </w:r>
    </w:p>
    <w:p w14:paraId="5556711D" w14:textId="77777777" w:rsidR="00F925DD" w:rsidRDefault="00F925DD">
      <w:pPr>
        <w:spacing w:line="288" w:lineRule="auto"/>
        <w:ind w:firstLine="600"/>
        <w:rPr>
          <w:rFonts w:ascii="Times New Roman" w:hAnsi="Times New Roman"/>
          <w:sz w:val="18"/>
          <w:szCs w:val="18"/>
        </w:rPr>
      </w:pPr>
    </w:p>
    <w:p w14:paraId="5556711E" w14:textId="77777777" w:rsidR="00F925DD" w:rsidRDefault="00F925DD">
      <w:pPr>
        <w:rPr>
          <w:rFonts w:ascii="Times New Roman" w:hAnsi="Times New Roman"/>
          <w:sz w:val="20"/>
          <w:szCs w:val="20"/>
        </w:rPr>
      </w:pPr>
    </w:p>
    <w:p w14:paraId="5556711F"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INFORMATION ABOUT OUR EXECUTIV</w:t>
      </w:r>
      <w:r>
        <w:rPr>
          <w:rFonts w:ascii="Arial" w:eastAsia="宋体" w:hAnsi="Arial" w:cs="Arial"/>
          <w:b/>
          <w:bCs/>
          <w:sz w:val="20"/>
          <w:szCs w:val="20"/>
        </w:rPr>
        <w:t xml:space="preserve">E OFFICERS </w:t>
      </w:r>
    </w:p>
    <w:p w14:paraId="5556712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certain information with respect to each of our executive officers as of February 20, 2020.</w:t>
      </w:r>
    </w:p>
    <w:tbl>
      <w:tblPr>
        <w:tblW w:w="5000" w:type="pct"/>
        <w:tblCellMar>
          <w:left w:w="0" w:type="dxa"/>
          <w:right w:w="0" w:type="dxa"/>
        </w:tblCellMar>
        <w:tblLook w:val="04A0" w:firstRow="1" w:lastRow="0" w:firstColumn="1" w:lastColumn="0" w:noHBand="0" w:noVBand="1"/>
      </w:tblPr>
      <w:tblGrid>
        <w:gridCol w:w="1694"/>
        <w:gridCol w:w="130"/>
        <w:gridCol w:w="421"/>
        <w:gridCol w:w="130"/>
        <w:gridCol w:w="5931"/>
      </w:tblGrid>
      <w:tr w:rsidR="00F925DD" w14:paraId="55567122" w14:textId="77777777">
        <w:tc>
          <w:tcPr>
            <w:tcW w:w="0" w:type="auto"/>
            <w:gridSpan w:val="5"/>
            <w:shd w:val="clear" w:color="auto" w:fill="auto"/>
            <w:vAlign w:val="center"/>
          </w:tcPr>
          <w:p w14:paraId="55567121" w14:textId="77777777" w:rsidR="00F925DD" w:rsidRDefault="00F925DD">
            <w:pPr>
              <w:rPr>
                <w:rFonts w:ascii="Times New Roman" w:hAnsi="Times New Roman"/>
                <w:sz w:val="20"/>
                <w:szCs w:val="20"/>
              </w:rPr>
            </w:pPr>
          </w:p>
        </w:tc>
      </w:tr>
      <w:tr w:rsidR="00F925DD" w14:paraId="55567128" w14:textId="77777777">
        <w:tc>
          <w:tcPr>
            <w:tcW w:w="1050" w:type="pct"/>
            <w:shd w:val="clear" w:color="auto" w:fill="auto"/>
            <w:vAlign w:val="center"/>
          </w:tcPr>
          <w:p w14:paraId="55567123" w14:textId="77777777" w:rsidR="00F925DD" w:rsidRDefault="00F925DD">
            <w:pPr>
              <w:rPr>
                <w:rFonts w:ascii="Times New Roman" w:hAnsi="Times New Roman"/>
                <w:sz w:val="20"/>
                <w:szCs w:val="20"/>
              </w:rPr>
            </w:pPr>
          </w:p>
        </w:tc>
        <w:tc>
          <w:tcPr>
            <w:tcW w:w="50" w:type="pct"/>
            <w:shd w:val="clear" w:color="auto" w:fill="auto"/>
            <w:vAlign w:val="center"/>
          </w:tcPr>
          <w:p w14:paraId="55567124" w14:textId="77777777" w:rsidR="00F925DD" w:rsidRDefault="00F925DD">
            <w:pPr>
              <w:rPr>
                <w:rFonts w:ascii="Times New Roman" w:hAnsi="Times New Roman"/>
                <w:sz w:val="20"/>
                <w:szCs w:val="20"/>
              </w:rPr>
            </w:pPr>
          </w:p>
        </w:tc>
        <w:tc>
          <w:tcPr>
            <w:tcW w:w="250" w:type="pct"/>
            <w:shd w:val="clear" w:color="auto" w:fill="auto"/>
            <w:vAlign w:val="center"/>
          </w:tcPr>
          <w:p w14:paraId="55567125" w14:textId="77777777" w:rsidR="00F925DD" w:rsidRDefault="00F925DD">
            <w:pPr>
              <w:rPr>
                <w:rFonts w:ascii="Times New Roman" w:hAnsi="Times New Roman"/>
                <w:sz w:val="20"/>
                <w:szCs w:val="20"/>
              </w:rPr>
            </w:pPr>
          </w:p>
        </w:tc>
        <w:tc>
          <w:tcPr>
            <w:tcW w:w="50" w:type="pct"/>
            <w:shd w:val="clear" w:color="auto" w:fill="auto"/>
            <w:vAlign w:val="center"/>
          </w:tcPr>
          <w:p w14:paraId="55567126" w14:textId="77777777" w:rsidR="00F925DD" w:rsidRDefault="00F925DD">
            <w:pPr>
              <w:rPr>
                <w:rFonts w:ascii="Times New Roman" w:hAnsi="Times New Roman"/>
                <w:sz w:val="20"/>
                <w:szCs w:val="20"/>
              </w:rPr>
            </w:pPr>
          </w:p>
        </w:tc>
        <w:tc>
          <w:tcPr>
            <w:tcW w:w="3600" w:type="pct"/>
            <w:shd w:val="clear" w:color="auto" w:fill="auto"/>
            <w:vAlign w:val="center"/>
          </w:tcPr>
          <w:p w14:paraId="55567127" w14:textId="77777777" w:rsidR="00F925DD" w:rsidRDefault="00F925DD">
            <w:pPr>
              <w:rPr>
                <w:rFonts w:ascii="Times New Roman" w:hAnsi="Times New Roman"/>
                <w:sz w:val="20"/>
                <w:szCs w:val="20"/>
              </w:rPr>
            </w:pPr>
          </w:p>
        </w:tc>
      </w:tr>
      <w:tr w:rsidR="00F925DD" w14:paraId="5556712E" w14:textId="77777777">
        <w:tc>
          <w:tcPr>
            <w:tcW w:w="0" w:type="auto"/>
            <w:tcBorders>
              <w:bottom w:val="single" w:sz="8" w:space="0" w:color="000000"/>
            </w:tcBorders>
            <w:shd w:val="clear" w:color="auto" w:fill="auto"/>
            <w:tcMar>
              <w:top w:w="40" w:type="dxa"/>
              <w:left w:w="40" w:type="dxa"/>
              <w:bottom w:w="40" w:type="dxa"/>
              <w:right w:w="40" w:type="dxa"/>
            </w:tcMar>
            <w:vAlign w:val="center"/>
          </w:tcPr>
          <w:p w14:paraId="55567129" w14:textId="77777777" w:rsidR="00F925DD" w:rsidRDefault="00E705D7">
            <w:pPr>
              <w:jc w:val="center"/>
              <w:textAlignment w:val="center"/>
              <w:rPr>
                <w:rFonts w:ascii="Times New Roman" w:hAnsi="Times New Roman"/>
                <w:sz w:val="18"/>
                <w:szCs w:val="18"/>
              </w:rPr>
            </w:pPr>
            <w:r>
              <w:rPr>
                <w:rFonts w:ascii="Arial" w:eastAsia="宋体" w:hAnsi="Arial" w:cs="Arial"/>
                <w:b/>
                <w:bCs/>
                <w:sz w:val="18"/>
                <w:szCs w:val="18"/>
              </w:rPr>
              <w:t>Name</w:t>
            </w:r>
          </w:p>
        </w:tc>
        <w:tc>
          <w:tcPr>
            <w:tcW w:w="0" w:type="auto"/>
            <w:shd w:val="clear" w:color="auto" w:fill="auto"/>
            <w:tcMar>
              <w:top w:w="40" w:type="dxa"/>
              <w:left w:w="40" w:type="dxa"/>
              <w:bottom w:w="40" w:type="dxa"/>
              <w:right w:w="40" w:type="dxa"/>
            </w:tcMar>
            <w:vAlign w:val="bottom"/>
          </w:tcPr>
          <w:p w14:paraId="555671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5556712B" w14:textId="77777777" w:rsidR="00F925DD" w:rsidRDefault="00E705D7">
            <w:pPr>
              <w:jc w:val="center"/>
              <w:textAlignment w:val="center"/>
              <w:rPr>
                <w:rFonts w:ascii="Times New Roman" w:hAnsi="Times New Roman"/>
                <w:sz w:val="18"/>
                <w:szCs w:val="18"/>
              </w:rPr>
            </w:pPr>
            <w:r>
              <w:rPr>
                <w:rFonts w:ascii="Arial" w:eastAsia="宋体" w:hAnsi="Arial" w:cs="Arial"/>
                <w:b/>
                <w:bCs/>
                <w:sz w:val="18"/>
                <w:szCs w:val="18"/>
              </w:rPr>
              <w:t>Age</w:t>
            </w:r>
          </w:p>
        </w:tc>
        <w:tc>
          <w:tcPr>
            <w:tcW w:w="0" w:type="auto"/>
            <w:shd w:val="clear" w:color="auto" w:fill="auto"/>
            <w:tcMar>
              <w:top w:w="40" w:type="dxa"/>
              <w:left w:w="40" w:type="dxa"/>
              <w:bottom w:w="40" w:type="dxa"/>
              <w:right w:w="40" w:type="dxa"/>
            </w:tcMar>
            <w:vAlign w:val="bottom"/>
          </w:tcPr>
          <w:p w14:paraId="555671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5556712D" w14:textId="77777777" w:rsidR="00F925DD" w:rsidRDefault="00E705D7">
            <w:pPr>
              <w:jc w:val="center"/>
              <w:textAlignment w:val="center"/>
              <w:rPr>
                <w:rFonts w:ascii="Times New Roman" w:hAnsi="Times New Roman"/>
                <w:sz w:val="18"/>
                <w:szCs w:val="18"/>
              </w:rPr>
            </w:pPr>
            <w:r>
              <w:rPr>
                <w:rFonts w:ascii="Arial" w:eastAsia="宋体" w:hAnsi="Arial" w:cs="Arial"/>
                <w:b/>
                <w:bCs/>
                <w:sz w:val="18"/>
                <w:szCs w:val="18"/>
              </w:rPr>
              <w:t>Position</w:t>
            </w:r>
          </w:p>
        </w:tc>
      </w:tr>
      <w:tr w:rsidR="00F925DD" w14:paraId="55567134" w14:textId="77777777">
        <w:tc>
          <w:tcPr>
            <w:tcW w:w="0" w:type="auto"/>
            <w:tcBorders>
              <w:top w:val="single" w:sz="8" w:space="0" w:color="000000"/>
            </w:tcBorders>
            <w:shd w:val="clear" w:color="auto" w:fill="CCEEFF"/>
            <w:tcMar>
              <w:top w:w="40" w:type="dxa"/>
              <w:left w:w="40" w:type="dxa"/>
              <w:bottom w:w="40" w:type="dxa"/>
              <w:right w:w="40" w:type="dxa"/>
            </w:tcMar>
            <w:vAlign w:val="center"/>
          </w:tcPr>
          <w:p w14:paraId="5556712F" w14:textId="77777777" w:rsidR="00F925DD" w:rsidRDefault="00E705D7">
            <w:pPr>
              <w:textAlignment w:val="center"/>
              <w:rPr>
                <w:rFonts w:ascii="Times New Roman" w:hAnsi="Times New Roman"/>
                <w:sz w:val="18"/>
                <w:szCs w:val="18"/>
              </w:rPr>
            </w:pPr>
            <w:r>
              <w:rPr>
                <w:rFonts w:ascii="Arial" w:eastAsia="宋体" w:hAnsi="Arial" w:cs="Arial"/>
                <w:sz w:val="18"/>
                <w:szCs w:val="18"/>
              </w:rPr>
              <w:t>Ronald P. O'Hanley</w:t>
            </w:r>
          </w:p>
        </w:tc>
        <w:tc>
          <w:tcPr>
            <w:tcW w:w="0" w:type="auto"/>
            <w:shd w:val="clear" w:color="auto" w:fill="CCEEFF"/>
            <w:tcMar>
              <w:top w:w="40" w:type="dxa"/>
              <w:left w:w="40" w:type="dxa"/>
              <w:bottom w:w="40" w:type="dxa"/>
              <w:right w:w="40" w:type="dxa"/>
            </w:tcMar>
            <w:vAlign w:val="bottom"/>
          </w:tcPr>
          <w:p w14:paraId="555671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55567131"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63</w:t>
            </w:r>
          </w:p>
        </w:tc>
        <w:tc>
          <w:tcPr>
            <w:tcW w:w="0" w:type="auto"/>
            <w:shd w:val="clear" w:color="auto" w:fill="CCEEFF"/>
            <w:tcMar>
              <w:top w:w="40" w:type="dxa"/>
              <w:left w:w="40" w:type="dxa"/>
              <w:bottom w:w="40" w:type="dxa"/>
              <w:right w:w="40" w:type="dxa"/>
            </w:tcMar>
            <w:vAlign w:val="bottom"/>
          </w:tcPr>
          <w:p w14:paraId="555671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55567133" w14:textId="77777777" w:rsidR="00F925DD" w:rsidRDefault="00E705D7">
            <w:pPr>
              <w:textAlignment w:val="center"/>
              <w:rPr>
                <w:rFonts w:ascii="Times New Roman" w:hAnsi="Times New Roman"/>
                <w:sz w:val="18"/>
                <w:szCs w:val="18"/>
              </w:rPr>
            </w:pPr>
            <w:r>
              <w:rPr>
                <w:rFonts w:ascii="Arial" w:eastAsia="宋体" w:hAnsi="Arial" w:cs="Arial"/>
                <w:sz w:val="18"/>
                <w:szCs w:val="18"/>
              </w:rPr>
              <w:t xml:space="preserve">Chairman, President and Chief Executive Officer </w:t>
            </w:r>
          </w:p>
        </w:tc>
      </w:tr>
      <w:tr w:rsidR="00F925DD" w14:paraId="5556713A" w14:textId="77777777">
        <w:tc>
          <w:tcPr>
            <w:tcW w:w="0" w:type="auto"/>
            <w:shd w:val="clear" w:color="auto" w:fill="auto"/>
            <w:tcMar>
              <w:top w:w="40" w:type="dxa"/>
              <w:left w:w="40" w:type="dxa"/>
              <w:bottom w:w="40" w:type="dxa"/>
              <w:right w:w="40" w:type="dxa"/>
            </w:tcMar>
            <w:vAlign w:val="center"/>
          </w:tcPr>
          <w:p w14:paraId="55567135" w14:textId="77777777" w:rsidR="00F925DD" w:rsidRDefault="00E705D7">
            <w:pPr>
              <w:textAlignment w:val="center"/>
              <w:rPr>
                <w:rFonts w:ascii="Times New Roman" w:hAnsi="Times New Roman"/>
                <w:sz w:val="18"/>
                <w:szCs w:val="18"/>
              </w:rPr>
            </w:pPr>
            <w:r>
              <w:rPr>
                <w:rFonts w:ascii="Arial" w:eastAsia="宋体" w:hAnsi="Arial" w:cs="Arial"/>
                <w:sz w:val="18"/>
                <w:szCs w:val="18"/>
              </w:rPr>
              <w:t>Eric W. Aboaf</w:t>
            </w:r>
          </w:p>
        </w:tc>
        <w:tc>
          <w:tcPr>
            <w:tcW w:w="0" w:type="auto"/>
            <w:shd w:val="clear" w:color="auto" w:fill="auto"/>
            <w:tcMar>
              <w:top w:w="40" w:type="dxa"/>
              <w:left w:w="40" w:type="dxa"/>
              <w:bottom w:w="40" w:type="dxa"/>
              <w:right w:w="40" w:type="dxa"/>
            </w:tcMar>
            <w:vAlign w:val="bottom"/>
          </w:tcPr>
          <w:p w14:paraId="555671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37"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55</w:t>
            </w:r>
          </w:p>
        </w:tc>
        <w:tc>
          <w:tcPr>
            <w:tcW w:w="0" w:type="auto"/>
            <w:shd w:val="clear" w:color="auto" w:fill="auto"/>
            <w:tcMar>
              <w:top w:w="40" w:type="dxa"/>
              <w:left w:w="40" w:type="dxa"/>
              <w:bottom w:w="40" w:type="dxa"/>
              <w:right w:w="40" w:type="dxa"/>
            </w:tcMar>
            <w:vAlign w:val="bottom"/>
          </w:tcPr>
          <w:p w14:paraId="555671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39"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Chief Financial Officer</w:t>
            </w:r>
          </w:p>
        </w:tc>
      </w:tr>
      <w:tr w:rsidR="00F925DD" w14:paraId="55567140" w14:textId="77777777">
        <w:tc>
          <w:tcPr>
            <w:tcW w:w="0" w:type="auto"/>
            <w:shd w:val="clear" w:color="auto" w:fill="CCEEFF"/>
            <w:tcMar>
              <w:top w:w="40" w:type="dxa"/>
              <w:left w:w="40" w:type="dxa"/>
              <w:bottom w:w="40" w:type="dxa"/>
              <w:right w:w="40" w:type="dxa"/>
            </w:tcMar>
            <w:vAlign w:val="center"/>
          </w:tcPr>
          <w:p w14:paraId="5556713B" w14:textId="77777777" w:rsidR="00F925DD" w:rsidRDefault="00E705D7">
            <w:pPr>
              <w:textAlignment w:val="center"/>
              <w:rPr>
                <w:rFonts w:ascii="Times New Roman" w:hAnsi="Times New Roman"/>
                <w:sz w:val="18"/>
                <w:szCs w:val="18"/>
              </w:rPr>
            </w:pPr>
            <w:r>
              <w:rPr>
                <w:rFonts w:ascii="Arial" w:eastAsia="宋体" w:hAnsi="Arial" w:cs="Arial"/>
                <w:sz w:val="18"/>
                <w:szCs w:val="18"/>
              </w:rPr>
              <w:t>Ian W. Appleyard</w:t>
            </w:r>
          </w:p>
        </w:tc>
        <w:tc>
          <w:tcPr>
            <w:tcW w:w="0" w:type="auto"/>
            <w:shd w:val="clear" w:color="auto" w:fill="CCEEFF"/>
            <w:tcMar>
              <w:top w:w="40" w:type="dxa"/>
              <w:left w:w="40" w:type="dxa"/>
              <w:bottom w:w="40" w:type="dxa"/>
              <w:right w:w="40" w:type="dxa"/>
            </w:tcMar>
            <w:vAlign w:val="bottom"/>
          </w:tcPr>
          <w:p w14:paraId="555671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3D"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55</w:t>
            </w:r>
          </w:p>
        </w:tc>
        <w:tc>
          <w:tcPr>
            <w:tcW w:w="0" w:type="auto"/>
            <w:shd w:val="clear" w:color="auto" w:fill="CCEEFF"/>
            <w:tcMar>
              <w:top w:w="40" w:type="dxa"/>
              <w:left w:w="40" w:type="dxa"/>
              <w:bottom w:w="40" w:type="dxa"/>
              <w:right w:w="40" w:type="dxa"/>
            </w:tcMar>
            <w:vAlign w:val="bottom"/>
          </w:tcPr>
          <w:p w14:paraId="555671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3F"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Global Controller and Chief Accounting Officer</w:t>
            </w:r>
          </w:p>
        </w:tc>
      </w:tr>
      <w:tr w:rsidR="00F925DD" w14:paraId="55567146" w14:textId="77777777">
        <w:tc>
          <w:tcPr>
            <w:tcW w:w="0" w:type="auto"/>
            <w:shd w:val="clear" w:color="auto" w:fill="auto"/>
            <w:tcMar>
              <w:top w:w="40" w:type="dxa"/>
              <w:left w:w="40" w:type="dxa"/>
              <w:bottom w:w="40" w:type="dxa"/>
              <w:right w:w="40" w:type="dxa"/>
            </w:tcMar>
            <w:vAlign w:val="center"/>
          </w:tcPr>
          <w:p w14:paraId="55567141" w14:textId="77777777" w:rsidR="00F925DD" w:rsidRDefault="00E705D7">
            <w:pPr>
              <w:textAlignment w:val="center"/>
              <w:rPr>
                <w:rFonts w:ascii="Times New Roman" w:hAnsi="Times New Roman"/>
                <w:sz w:val="18"/>
                <w:szCs w:val="18"/>
              </w:rPr>
            </w:pPr>
            <w:r>
              <w:rPr>
                <w:rFonts w:ascii="Arial" w:eastAsia="宋体" w:hAnsi="Arial" w:cs="Arial"/>
                <w:sz w:val="18"/>
                <w:szCs w:val="18"/>
              </w:rPr>
              <w:t>Jorg Ambrosius</w:t>
            </w:r>
          </w:p>
        </w:tc>
        <w:tc>
          <w:tcPr>
            <w:tcW w:w="0" w:type="auto"/>
            <w:shd w:val="clear" w:color="auto" w:fill="auto"/>
            <w:tcMar>
              <w:top w:w="40" w:type="dxa"/>
              <w:left w:w="40" w:type="dxa"/>
              <w:bottom w:w="40" w:type="dxa"/>
              <w:right w:w="40" w:type="dxa"/>
            </w:tcMar>
            <w:vAlign w:val="bottom"/>
          </w:tcPr>
          <w:p w14:paraId="555671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43"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49</w:t>
            </w:r>
          </w:p>
        </w:tc>
        <w:tc>
          <w:tcPr>
            <w:tcW w:w="0" w:type="auto"/>
            <w:shd w:val="clear" w:color="auto" w:fill="auto"/>
            <w:tcMar>
              <w:top w:w="40" w:type="dxa"/>
              <w:left w:w="40" w:type="dxa"/>
              <w:bottom w:w="40" w:type="dxa"/>
              <w:right w:w="40" w:type="dxa"/>
            </w:tcMar>
            <w:vAlign w:val="bottom"/>
          </w:tcPr>
          <w:p w14:paraId="555671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45"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Head of Europe, Middle East and Africa</w:t>
            </w:r>
          </w:p>
        </w:tc>
      </w:tr>
      <w:tr w:rsidR="00F925DD" w14:paraId="5556714C" w14:textId="77777777">
        <w:tc>
          <w:tcPr>
            <w:tcW w:w="0" w:type="auto"/>
            <w:shd w:val="clear" w:color="auto" w:fill="CCEEFF"/>
            <w:tcMar>
              <w:top w:w="40" w:type="dxa"/>
              <w:left w:w="40" w:type="dxa"/>
              <w:bottom w:w="40" w:type="dxa"/>
              <w:right w:w="40" w:type="dxa"/>
            </w:tcMar>
            <w:vAlign w:val="center"/>
          </w:tcPr>
          <w:p w14:paraId="55567147" w14:textId="77777777" w:rsidR="00F925DD" w:rsidRDefault="00E705D7">
            <w:pPr>
              <w:textAlignment w:val="center"/>
              <w:rPr>
                <w:rFonts w:ascii="Times New Roman" w:hAnsi="Times New Roman"/>
                <w:sz w:val="18"/>
                <w:szCs w:val="18"/>
              </w:rPr>
            </w:pPr>
            <w:r>
              <w:rPr>
                <w:rFonts w:ascii="Arial" w:eastAsia="宋体" w:hAnsi="Arial" w:cs="Arial"/>
                <w:sz w:val="18"/>
                <w:szCs w:val="18"/>
              </w:rPr>
              <w:t>Francisco Aristeguieta</w:t>
            </w:r>
          </w:p>
        </w:tc>
        <w:tc>
          <w:tcPr>
            <w:tcW w:w="0" w:type="auto"/>
            <w:shd w:val="clear" w:color="auto" w:fill="CCEEFF"/>
            <w:tcMar>
              <w:top w:w="40" w:type="dxa"/>
              <w:left w:w="40" w:type="dxa"/>
              <w:bottom w:w="40" w:type="dxa"/>
              <w:right w:w="40" w:type="dxa"/>
            </w:tcMar>
            <w:vAlign w:val="bottom"/>
          </w:tcPr>
          <w:p w14:paraId="555671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49"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54</w:t>
            </w:r>
          </w:p>
        </w:tc>
        <w:tc>
          <w:tcPr>
            <w:tcW w:w="0" w:type="auto"/>
            <w:shd w:val="clear" w:color="auto" w:fill="CCEEFF"/>
            <w:tcMar>
              <w:top w:w="40" w:type="dxa"/>
              <w:left w:w="40" w:type="dxa"/>
              <w:bottom w:w="40" w:type="dxa"/>
              <w:right w:w="40" w:type="dxa"/>
            </w:tcMar>
            <w:vAlign w:val="bottom"/>
          </w:tcPr>
          <w:p w14:paraId="555671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4B"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Chief Executive Officer for International Business</w:t>
            </w:r>
          </w:p>
        </w:tc>
      </w:tr>
      <w:tr w:rsidR="00F925DD" w14:paraId="55567152" w14:textId="77777777">
        <w:tc>
          <w:tcPr>
            <w:tcW w:w="0" w:type="auto"/>
            <w:shd w:val="clear" w:color="auto" w:fill="auto"/>
            <w:tcMar>
              <w:top w:w="40" w:type="dxa"/>
              <w:left w:w="40" w:type="dxa"/>
              <w:bottom w:w="40" w:type="dxa"/>
              <w:right w:w="40" w:type="dxa"/>
            </w:tcMar>
            <w:vAlign w:val="center"/>
          </w:tcPr>
          <w:p w14:paraId="5556714D" w14:textId="77777777" w:rsidR="00F925DD" w:rsidRDefault="00E705D7">
            <w:pPr>
              <w:textAlignment w:val="center"/>
              <w:rPr>
                <w:rFonts w:ascii="Times New Roman" w:hAnsi="Times New Roman"/>
                <w:sz w:val="18"/>
                <w:szCs w:val="18"/>
              </w:rPr>
            </w:pPr>
            <w:r>
              <w:rPr>
                <w:rFonts w:ascii="Arial" w:eastAsia="宋体" w:hAnsi="Arial" w:cs="Arial"/>
                <w:sz w:val="18"/>
                <w:szCs w:val="18"/>
              </w:rPr>
              <w:t>Tracy Atkinson</w:t>
            </w:r>
          </w:p>
        </w:tc>
        <w:tc>
          <w:tcPr>
            <w:tcW w:w="0" w:type="auto"/>
            <w:shd w:val="clear" w:color="auto" w:fill="auto"/>
            <w:tcMar>
              <w:top w:w="40" w:type="dxa"/>
              <w:left w:w="40" w:type="dxa"/>
              <w:bottom w:w="40" w:type="dxa"/>
              <w:right w:w="40" w:type="dxa"/>
            </w:tcMar>
            <w:vAlign w:val="bottom"/>
          </w:tcPr>
          <w:p w14:paraId="555671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4F"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55</w:t>
            </w:r>
          </w:p>
        </w:tc>
        <w:tc>
          <w:tcPr>
            <w:tcW w:w="0" w:type="auto"/>
            <w:shd w:val="clear" w:color="auto" w:fill="auto"/>
            <w:tcMar>
              <w:top w:w="40" w:type="dxa"/>
              <w:left w:w="40" w:type="dxa"/>
              <w:bottom w:w="40" w:type="dxa"/>
              <w:right w:w="40" w:type="dxa"/>
            </w:tcMar>
            <w:vAlign w:val="bottom"/>
          </w:tcPr>
          <w:p w14:paraId="555671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51" w14:textId="77777777" w:rsidR="00F925DD" w:rsidRDefault="00E705D7">
            <w:pPr>
              <w:textAlignment w:val="center"/>
              <w:rPr>
                <w:rFonts w:ascii="Times New Roman" w:hAnsi="Times New Roman"/>
                <w:sz w:val="18"/>
                <w:szCs w:val="18"/>
              </w:rPr>
            </w:pPr>
            <w:r>
              <w:rPr>
                <w:rFonts w:ascii="Arial" w:eastAsia="宋体" w:hAnsi="Arial" w:cs="Arial"/>
                <w:sz w:val="18"/>
                <w:szCs w:val="18"/>
              </w:rPr>
              <w:t xml:space="preserve">Executive Vice President and Acting Chief </w:t>
            </w:r>
            <w:r>
              <w:rPr>
                <w:rFonts w:ascii="Arial" w:eastAsia="宋体" w:hAnsi="Arial" w:cs="Arial"/>
                <w:sz w:val="18"/>
                <w:szCs w:val="18"/>
              </w:rPr>
              <w:t>Administrative Officer</w:t>
            </w:r>
          </w:p>
        </w:tc>
      </w:tr>
      <w:tr w:rsidR="00F925DD" w14:paraId="55567158" w14:textId="77777777">
        <w:tc>
          <w:tcPr>
            <w:tcW w:w="0" w:type="auto"/>
            <w:shd w:val="clear" w:color="auto" w:fill="CCEEFF"/>
            <w:tcMar>
              <w:top w:w="40" w:type="dxa"/>
              <w:left w:w="40" w:type="dxa"/>
              <w:bottom w:w="40" w:type="dxa"/>
              <w:right w:w="40" w:type="dxa"/>
            </w:tcMar>
            <w:vAlign w:val="center"/>
          </w:tcPr>
          <w:p w14:paraId="55567153" w14:textId="77777777" w:rsidR="00F925DD" w:rsidRDefault="00E705D7">
            <w:pPr>
              <w:textAlignment w:val="center"/>
              <w:rPr>
                <w:rFonts w:ascii="Times New Roman" w:hAnsi="Times New Roman"/>
                <w:sz w:val="18"/>
                <w:szCs w:val="18"/>
              </w:rPr>
            </w:pPr>
            <w:r>
              <w:rPr>
                <w:rFonts w:ascii="Arial" w:eastAsia="宋体" w:hAnsi="Arial" w:cs="Arial"/>
                <w:sz w:val="18"/>
                <w:szCs w:val="18"/>
              </w:rPr>
              <w:t>Aunoy Banerjee</w:t>
            </w:r>
          </w:p>
        </w:tc>
        <w:tc>
          <w:tcPr>
            <w:tcW w:w="0" w:type="auto"/>
            <w:shd w:val="clear" w:color="auto" w:fill="CCEEFF"/>
            <w:tcMar>
              <w:top w:w="40" w:type="dxa"/>
              <w:left w:w="40" w:type="dxa"/>
              <w:bottom w:w="40" w:type="dxa"/>
              <w:right w:w="40" w:type="dxa"/>
            </w:tcMar>
            <w:vAlign w:val="bottom"/>
          </w:tcPr>
          <w:p w14:paraId="555671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55"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41</w:t>
            </w:r>
          </w:p>
        </w:tc>
        <w:tc>
          <w:tcPr>
            <w:tcW w:w="0" w:type="auto"/>
            <w:shd w:val="clear" w:color="auto" w:fill="CCEEFF"/>
            <w:tcMar>
              <w:top w:w="40" w:type="dxa"/>
              <w:left w:w="40" w:type="dxa"/>
              <w:bottom w:w="40" w:type="dxa"/>
              <w:right w:w="40" w:type="dxa"/>
            </w:tcMar>
            <w:vAlign w:val="bottom"/>
          </w:tcPr>
          <w:p w14:paraId="555671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57"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Chief Transformation Officer</w:t>
            </w:r>
          </w:p>
        </w:tc>
      </w:tr>
      <w:tr w:rsidR="00F925DD" w14:paraId="5556715E" w14:textId="77777777">
        <w:tc>
          <w:tcPr>
            <w:tcW w:w="0" w:type="auto"/>
            <w:shd w:val="clear" w:color="auto" w:fill="auto"/>
            <w:tcMar>
              <w:top w:w="40" w:type="dxa"/>
              <w:left w:w="40" w:type="dxa"/>
              <w:bottom w:w="40" w:type="dxa"/>
              <w:right w:w="40" w:type="dxa"/>
            </w:tcMar>
            <w:vAlign w:val="center"/>
          </w:tcPr>
          <w:p w14:paraId="55567159" w14:textId="77777777" w:rsidR="00F925DD" w:rsidRDefault="00E705D7">
            <w:pPr>
              <w:textAlignment w:val="center"/>
              <w:rPr>
                <w:rFonts w:ascii="Times New Roman" w:hAnsi="Times New Roman"/>
                <w:sz w:val="18"/>
                <w:szCs w:val="18"/>
              </w:rPr>
            </w:pPr>
            <w:r>
              <w:rPr>
                <w:rFonts w:ascii="Arial" w:eastAsia="宋体" w:hAnsi="Arial" w:cs="Arial"/>
                <w:sz w:val="18"/>
                <w:szCs w:val="18"/>
              </w:rPr>
              <w:t>Jeffrey N. Carp</w:t>
            </w:r>
          </w:p>
        </w:tc>
        <w:tc>
          <w:tcPr>
            <w:tcW w:w="0" w:type="auto"/>
            <w:shd w:val="clear" w:color="auto" w:fill="auto"/>
            <w:tcMar>
              <w:top w:w="40" w:type="dxa"/>
              <w:left w:w="40" w:type="dxa"/>
              <w:bottom w:w="40" w:type="dxa"/>
              <w:right w:w="40" w:type="dxa"/>
            </w:tcMar>
            <w:vAlign w:val="bottom"/>
          </w:tcPr>
          <w:p w14:paraId="555671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5B"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63</w:t>
            </w:r>
          </w:p>
        </w:tc>
        <w:tc>
          <w:tcPr>
            <w:tcW w:w="0" w:type="auto"/>
            <w:shd w:val="clear" w:color="auto" w:fill="auto"/>
            <w:tcMar>
              <w:top w:w="40" w:type="dxa"/>
              <w:left w:w="40" w:type="dxa"/>
              <w:bottom w:w="40" w:type="dxa"/>
              <w:right w:w="40" w:type="dxa"/>
            </w:tcMar>
            <w:vAlign w:val="bottom"/>
          </w:tcPr>
          <w:p w14:paraId="555671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5D"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Chief Legal Officer and Secretary</w:t>
            </w:r>
          </w:p>
        </w:tc>
      </w:tr>
      <w:tr w:rsidR="00F925DD" w14:paraId="55567164" w14:textId="77777777">
        <w:tc>
          <w:tcPr>
            <w:tcW w:w="0" w:type="auto"/>
            <w:shd w:val="clear" w:color="auto" w:fill="CCEEFF"/>
            <w:tcMar>
              <w:top w:w="40" w:type="dxa"/>
              <w:left w:w="40" w:type="dxa"/>
              <w:bottom w:w="40" w:type="dxa"/>
              <w:right w:w="40" w:type="dxa"/>
            </w:tcMar>
            <w:vAlign w:val="center"/>
          </w:tcPr>
          <w:p w14:paraId="5556715F" w14:textId="77777777" w:rsidR="00F925DD" w:rsidRDefault="00E705D7">
            <w:pPr>
              <w:textAlignment w:val="center"/>
              <w:rPr>
                <w:rFonts w:ascii="Times New Roman" w:hAnsi="Times New Roman"/>
                <w:sz w:val="18"/>
                <w:szCs w:val="18"/>
              </w:rPr>
            </w:pPr>
            <w:r>
              <w:rPr>
                <w:rFonts w:ascii="Arial" w:eastAsia="宋体" w:hAnsi="Arial" w:cs="Arial"/>
                <w:sz w:val="18"/>
                <w:szCs w:val="18"/>
              </w:rPr>
              <w:t>Nadine Chakar</w:t>
            </w:r>
          </w:p>
        </w:tc>
        <w:tc>
          <w:tcPr>
            <w:tcW w:w="0" w:type="auto"/>
            <w:shd w:val="clear" w:color="auto" w:fill="CCEEFF"/>
            <w:tcMar>
              <w:top w:w="40" w:type="dxa"/>
              <w:left w:w="40" w:type="dxa"/>
              <w:bottom w:w="40" w:type="dxa"/>
              <w:right w:w="40" w:type="dxa"/>
            </w:tcMar>
            <w:vAlign w:val="bottom"/>
          </w:tcPr>
          <w:p w14:paraId="555671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61"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55</w:t>
            </w:r>
          </w:p>
        </w:tc>
        <w:tc>
          <w:tcPr>
            <w:tcW w:w="0" w:type="auto"/>
            <w:shd w:val="clear" w:color="auto" w:fill="CCEEFF"/>
            <w:tcMar>
              <w:top w:w="40" w:type="dxa"/>
              <w:left w:w="40" w:type="dxa"/>
              <w:bottom w:w="40" w:type="dxa"/>
              <w:right w:w="40" w:type="dxa"/>
            </w:tcMar>
            <w:vAlign w:val="bottom"/>
          </w:tcPr>
          <w:p w14:paraId="555671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63" w14:textId="77777777" w:rsidR="00F925DD" w:rsidRDefault="00E705D7">
            <w:pPr>
              <w:textAlignment w:val="center"/>
              <w:rPr>
                <w:rFonts w:ascii="Times New Roman" w:hAnsi="Times New Roman"/>
                <w:sz w:val="18"/>
                <w:szCs w:val="18"/>
              </w:rPr>
            </w:pPr>
            <w:r>
              <w:rPr>
                <w:rFonts w:ascii="Arial" w:eastAsia="宋体" w:hAnsi="Arial" w:cs="Arial"/>
                <w:sz w:val="18"/>
                <w:szCs w:val="18"/>
              </w:rPr>
              <w:t xml:space="preserve">Executive Vice President and Head of </w:t>
            </w:r>
            <w:r>
              <w:rPr>
                <w:rFonts w:ascii="Arial" w:eastAsia="宋体" w:hAnsi="Arial" w:cs="Arial"/>
                <w:sz w:val="18"/>
                <w:szCs w:val="18"/>
              </w:rPr>
              <w:t>Global Markets</w:t>
            </w:r>
          </w:p>
        </w:tc>
      </w:tr>
      <w:tr w:rsidR="00F925DD" w14:paraId="5556716A" w14:textId="77777777">
        <w:tc>
          <w:tcPr>
            <w:tcW w:w="0" w:type="auto"/>
            <w:shd w:val="clear" w:color="auto" w:fill="auto"/>
            <w:tcMar>
              <w:top w:w="40" w:type="dxa"/>
              <w:left w:w="40" w:type="dxa"/>
              <w:bottom w:w="40" w:type="dxa"/>
              <w:right w:w="40" w:type="dxa"/>
            </w:tcMar>
            <w:vAlign w:val="center"/>
          </w:tcPr>
          <w:p w14:paraId="55567165" w14:textId="77777777" w:rsidR="00F925DD" w:rsidRDefault="00E705D7">
            <w:pPr>
              <w:textAlignment w:val="center"/>
              <w:rPr>
                <w:rFonts w:ascii="Times New Roman" w:hAnsi="Times New Roman"/>
                <w:sz w:val="18"/>
                <w:szCs w:val="18"/>
              </w:rPr>
            </w:pPr>
            <w:r>
              <w:rPr>
                <w:rFonts w:ascii="Arial" w:eastAsia="宋体" w:hAnsi="Arial" w:cs="Arial"/>
                <w:sz w:val="18"/>
                <w:szCs w:val="18"/>
              </w:rPr>
              <w:t>Andrew J. Erickson</w:t>
            </w:r>
          </w:p>
        </w:tc>
        <w:tc>
          <w:tcPr>
            <w:tcW w:w="0" w:type="auto"/>
            <w:shd w:val="clear" w:color="auto" w:fill="auto"/>
            <w:tcMar>
              <w:top w:w="40" w:type="dxa"/>
              <w:left w:w="40" w:type="dxa"/>
              <w:bottom w:w="40" w:type="dxa"/>
              <w:right w:w="40" w:type="dxa"/>
            </w:tcMar>
            <w:vAlign w:val="bottom"/>
          </w:tcPr>
          <w:p w14:paraId="555671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67"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50</w:t>
            </w:r>
          </w:p>
        </w:tc>
        <w:tc>
          <w:tcPr>
            <w:tcW w:w="0" w:type="auto"/>
            <w:shd w:val="clear" w:color="auto" w:fill="auto"/>
            <w:tcMar>
              <w:top w:w="40" w:type="dxa"/>
              <w:left w:w="40" w:type="dxa"/>
              <w:bottom w:w="40" w:type="dxa"/>
              <w:right w:w="40" w:type="dxa"/>
            </w:tcMar>
            <w:vAlign w:val="bottom"/>
          </w:tcPr>
          <w:p w14:paraId="555671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69"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Head of Global Services</w:t>
            </w:r>
          </w:p>
        </w:tc>
      </w:tr>
      <w:tr w:rsidR="00F925DD" w14:paraId="55567170" w14:textId="77777777">
        <w:tc>
          <w:tcPr>
            <w:tcW w:w="0" w:type="auto"/>
            <w:shd w:val="clear" w:color="auto" w:fill="CCEEFF"/>
            <w:tcMar>
              <w:top w:w="40" w:type="dxa"/>
              <w:left w:w="40" w:type="dxa"/>
              <w:bottom w:w="40" w:type="dxa"/>
              <w:right w:w="40" w:type="dxa"/>
            </w:tcMar>
            <w:vAlign w:val="center"/>
          </w:tcPr>
          <w:p w14:paraId="5556716B" w14:textId="77777777" w:rsidR="00F925DD" w:rsidRDefault="00E705D7">
            <w:pPr>
              <w:textAlignment w:val="center"/>
              <w:rPr>
                <w:rFonts w:ascii="Times New Roman" w:hAnsi="Times New Roman"/>
                <w:sz w:val="18"/>
                <w:szCs w:val="18"/>
              </w:rPr>
            </w:pPr>
            <w:r>
              <w:rPr>
                <w:rFonts w:ascii="Arial" w:eastAsia="宋体" w:hAnsi="Arial" w:cs="Arial"/>
                <w:sz w:val="18"/>
                <w:szCs w:val="18"/>
              </w:rPr>
              <w:t>Brian Franz</w:t>
            </w:r>
          </w:p>
        </w:tc>
        <w:tc>
          <w:tcPr>
            <w:tcW w:w="0" w:type="auto"/>
            <w:shd w:val="clear" w:color="auto" w:fill="CCEEFF"/>
            <w:tcMar>
              <w:top w:w="40" w:type="dxa"/>
              <w:left w:w="40" w:type="dxa"/>
              <w:bottom w:w="40" w:type="dxa"/>
              <w:right w:w="40" w:type="dxa"/>
            </w:tcMar>
            <w:vAlign w:val="bottom"/>
          </w:tcPr>
          <w:p w14:paraId="555671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6D"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54</w:t>
            </w:r>
          </w:p>
        </w:tc>
        <w:tc>
          <w:tcPr>
            <w:tcW w:w="0" w:type="auto"/>
            <w:shd w:val="clear" w:color="auto" w:fill="CCEEFF"/>
            <w:tcMar>
              <w:top w:w="40" w:type="dxa"/>
              <w:left w:w="40" w:type="dxa"/>
              <w:bottom w:w="40" w:type="dxa"/>
              <w:right w:w="40" w:type="dxa"/>
            </w:tcMar>
            <w:vAlign w:val="bottom"/>
          </w:tcPr>
          <w:p w14:paraId="555671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6F"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Chief Information Officer</w:t>
            </w:r>
          </w:p>
        </w:tc>
      </w:tr>
      <w:tr w:rsidR="00F925DD" w14:paraId="55567176" w14:textId="77777777">
        <w:tc>
          <w:tcPr>
            <w:tcW w:w="0" w:type="auto"/>
            <w:shd w:val="clear" w:color="auto" w:fill="auto"/>
            <w:tcMar>
              <w:top w:w="40" w:type="dxa"/>
              <w:left w:w="40" w:type="dxa"/>
              <w:bottom w:w="40" w:type="dxa"/>
              <w:right w:w="40" w:type="dxa"/>
            </w:tcMar>
            <w:vAlign w:val="center"/>
          </w:tcPr>
          <w:p w14:paraId="55567171" w14:textId="77777777" w:rsidR="00F925DD" w:rsidRDefault="00E705D7">
            <w:pPr>
              <w:textAlignment w:val="center"/>
              <w:rPr>
                <w:rFonts w:ascii="Times New Roman" w:hAnsi="Times New Roman"/>
                <w:sz w:val="18"/>
                <w:szCs w:val="18"/>
              </w:rPr>
            </w:pPr>
            <w:r>
              <w:rPr>
                <w:rFonts w:ascii="Arial" w:eastAsia="宋体" w:hAnsi="Arial" w:cs="Arial"/>
                <w:sz w:val="18"/>
                <w:szCs w:val="18"/>
              </w:rPr>
              <w:t>Hannah M. Grove</w:t>
            </w:r>
          </w:p>
        </w:tc>
        <w:tc>
          <w:tcPr>
            <w:tcW w:w="0" w:type="auto"/>
            <w:shd w:val="clear" w:color="auto" w:fill="auto"/>
            <w:tcMar>
              <w:top w:w="40" w:type="dxa"/>
              <w:left w:w="40" w:type="dxa"/>
              <w:bottom w:w="40" w:type="dxa"/>
              <w:right w:w="40" w:type="dxa"/>
            </w:tcMar>
            <w:vAlign w:val="bottom"/>
          </w:tcPr>
          <w:p w14:paraId="555671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73"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56</w:t>
            </w:r>
          </w:p>
        </w:tc>
        <w:tc>
          <w:tcPr>
            <w:tcW w:w="0" w:type="auto"/>
            <w:shd w:val="clear" w:color="auto" w:fill="auto"/>
            <w:tcMar>
              <w:top w:w="40" w:type="dxa"/>
              <w:left w:w="40" w:type="dxa"/>
              <w:bottom w:w="40" w:type="dxa"/>
              <w:right w:w="40" w:type="dxa"/>
            </w:tcMar>
            <w:vAlign w:val="bottom"/>
          </w:tcPr>
          <w:p w14:paraId="555671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75"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Chief Marketing Officer</w:t>
            </w:r>
          </w:p>
        </w:tc>
      </w:tr>
      <w:tr w:rsidR="00F925DD" w14:paraId="5556717C" w14:textId="77777777">
        <w:tc>
          <w:tcPr>
            <w:tcW w:w="0" w:type="auto"/>
            <w:shd w:val="clear" w:color="auto" w:fill="CCEEFF"/>
            <w:tcMar>
              <w:top w:w="40" w:type="dxa"/>
              <w:left w:w="40" w:type="dxa"/>
              <w:bottom w:w="40" w:type="dxa"/>
              <w:right w:w="40" w:type="dxa"/>
            </w:tcMar>
            <w:vAlign w:val="center"/>
          </w:tcPr>
          <w:p w14:paraId="55567177" w14:textId="77777777" w:rsidR="00F925DD" w:rsidRDefault="00E705D7">
            <w:pPr>
              <w:textAlignment w:val="center"/>
              <w:rPr>
                <w:rFonts w:ascii="Times New Roman" w:hAnsi="Times New Roman"/>
                <w:sz w:val="18"/>
                <w:szCs w:val="18"/>
              </w:rPr>
            </w:pPr>
            <w:r>
              <w:rPr>
                <w:rFonts w:ascii="Arial" w:eastAsia="宋体" w:hAnsi="Arial" w:cs="Arial"/>
                <w:sz w:val="18"/>
                <w:szCs w:val="18"/>
              </w:rPr>
              <w:t>Kathryn M. Horgan</w:t>
            </w:r>
          </w:p>
        </w:tc>
        <w:tc>
          <w:tcPr>
            <w:tcW w:w="0" w:type="auto"/>
            <w:shd w:val="clear" w:color="auto" w:fill="CCEEFF"/>
            <w:tcMar>
              <w:top w:w="40" w:type="dxa"/>
              <w:left w:w="40" w:type="dxa"/>
              <w:bottom w:w="40" w:type="dxa"/>
              <w:right w:w="40" w:type="dxa"/>
            </w:tcMar>
            <w:vAlign w:val="bottom"/>
          </w:tcPr>
          <w:p w14:paraId="555671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79"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54</w:t>
            </w:r>
          </w:p>
        </w:tc>
        <w:tc>
          <w:tcPr>
            <w:tcW w:w="0" w:type="auto"/>
            <w:shd w:val="clear" w:color="auto" w:fill="CCEEFF"/>
            <w:tcMar>
              <w:top w:w="40" w:type="dxa"/>
              <w:left w:w="40" w:type="dxa"/>
              <w:bottom w:w="40" w:type="dxa"/>
              <w:right w:w="40" w:type="dxa"/>
            </w:tcMar>
            <w:vAlign w:val="bottom"/>
          </w:tcPr>
          <w:p w14:paraId="555671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7B"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Chief Human Resources and Citizenship Officer</w:t>
            </w:r>
          </w:p>
        </w:tc>
      </w:tr>
      <w:tr w:rsidR="00F925DD" w14:paraId="55567182" w14:textId="77777777">
        <w:tc>
          <w:tcPr>
            <w:tcW w:w="0" w:type="auto"/>
            <w:shd w:val="clear" w:color="auto" w:fill="auto"/>
            <w:tcMar>
              <w:top w:w="40" w:type="dxa"/>
              <w:left w:w="40" w:type="dxa"/>
              <w:bottom w:w="40" w:type="dxa"/>
              <w:right w:w="40" w:type="dxa"/>
            </w:tcMar>
            <w:vAlign w:val="center"/>
          </w:tcPr>
          <w:p w14:paraId="5556717D" w14:textId="77777777" w:rsidR="00F925DD" w:rsidRDefault="00E705D7">
            <w:pPr>
              <w:textAlignment w:val="center"/>
              <w:rPr>
                <w:rFonts w:ascii="Times New Roman" w:hAnsi="Times New Roman"/>
                <w:sz w:val="18"/>
                <w:szCs w:val="18"/>
              </w:rPr>
            </w:pPr>
            <w:r>
              <w:rPr>
                <w:rFonts w:ascii="Arial" w:eastAsia="宋体" w:hAnsi="Arial" w:cs="Arial"/>
                <w:sz w:val="18"/>
                <w:szCs w:val="18"/>
              </w:rPr>
              <w:t>Andrew P. Kuritzkes</w:t>
            </w:r>
          </w:p>
        </w:tc>
        <w:tc>
          <w:tcPr>
            <w:tcW w:w="0" w:type="auto"/>
            <w:shd w:val="clear" w:color="auto" w:fill="auto"/>
            <w:tcMar>
              <w:top w:w="40" w:type="dxa"/>
              <w:left w:w="40" w:type="dxa"/>
              <w:bottom w:w="40" w:type="dxa"/>
              <w:right w:w="40" w:type="dxa"/>
            </w:tcMar>
            <w:vAlign w:val="bottom"/>
          </w:tcPr>
          <w:p w14:paraId="555671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7F"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59</w:t>
            </w:r>
          </w:p>
        </w:tc>
        <w:tc>
          <w:tcPr>
            <w:tcW w:w="0" w:type="auto"/>
            <w:shd w:val="clear" w:color="auto" w:fill="auto"/>
            <w:tcMar>
              <w:top w:w="40" w:type="dxa"/>
              <w:left w:w="40" w:type="dxa"/>
              <w:bottom w:w="40" w:type="dxa"/>
              <w:right w:w="40" w:type="dxa"/>
            </w:tcMar>
            <w:vAlign w:val="bottom"/>
          </w:tcPr>
          <w:p w14:paraId="555671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81"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Chief Risk Officer</w:t>
            </w:r>
          </w:p>
        </w:tc>
      </w:tr>
      <w:tr w:rsidR="00F925DD" w14:paraId="55567188" w14:textId="77777777">
        <w:tc>
          <w:tcPr>
            <w:tcW w:w="0" w:type="auto"/>
            <w:shd w:val="clear" w:color="auto" w:fill="CCEEFF"/>
            <w:tcMar>
              <w:top w:w="40" w:type="dxa"/>
              <w:left w:w="40" w:type="dxa"/>
              <w:bottom w:w="40" w:type="dxa"/>
              <w:right w:w="40" w:type="dxa"/>
            </w:tcMar>
            <w:vAlign w:val="center"/>
          </w:tcPr>
          <w:p w14:paraId="55567183" w14:textId="77777777" w:rsidR="00F925DD" w:rsidRDefault="00E705D7">
            <w:pPr>
              <w:textAlignment w:val="center"/>
              <w:rPr>
                <w:rFonts w:ascii="Times New Roman" w:hAnsi="Times New Roman"/>
                <w:sz w:val="18"/>
                <w:szCs w:val="18"/>
              </w:rPr>
            </w:pPr>
            <w:r>
              <w:rPr>
                <w:rFonts w:ascii="Arial" w:eastAsia="宋体" w:hAnsi="Arial" w:cs="Arial"/>
                <w:sz w:val="18"/>
                <w:szCs w:val="18"/>
              </w:rPr>
              <w:t>John Lehner</w:t>
            </w:r>
          </w:p>
        </w:tc>
        <w:tc>
          <w:tcPr>
            <w:tcW w:w="0" w:type="auto"/>
            <w:shd w:val="clear" w:color="auto" w:fill="CCEEFF"/>
            <w:tcMar>
              <w:top w:w="40" w:type="dxa"/>
              <w:left w:w="40" w:type="dxa"/>
              <w:bottom w:w="40" w:type="dxa"/>
              <w:right w:w="40" w:type="dxa"/>
            </w:tcMar>
            <w:vAlign w:val="bottom"/>
          </w:tcPr>
          <w:p w14:paraId="555671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85"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54</w:t>
            </w:r>
          </w:p>
        </w:tc>
        <w:tc>
          <w:tcPr>
            <w:tcW w:w="0" w:type="auto"/>
            <w:shd w:val="clear" w:color="auto" w:fill="CCEEFF"/>
            <w:tcMar>
              <w:top w:w="40" w:type="dxa"/>
              <w:left w:w="40" w:type="dxa"/>
              <w:bottom w:w="40" w:type="dxa"/>
              <w:right w:w="40" w:type="dxa"/>
            </w:tcMar>
            <w:vAlign w:val="bottom"/>
          </w:tcPr>
          <w:p w14:paraId="555671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87" w14:textId="77777777" w:rsidR="00F925DD" w:rsidRDefault="00E705D7">
            <w:pPr>
              <w:textAlignment w:val="center"/>
              <w:rPr>
                <w:rFonts w:ascii="Times New Roman" w:hAnsi="Times New Roman"/>
                <w:sz w:val="18"/>
                <w:szCs w:val="18"/>
              </w:rPr>
            </w:pPr>
            <w:r>
              <w:rPr>
                <w:rFonts w:ascii="Arial" w:eastAsia="宋体" w:hAnsi="Arial" w:cs="Arial"/>
                <w:sz w:val="18"/>
                <w:szCs w:val="18"/>
              </w:rPr>
              <w:t xml:space="preserve">Executive Vice President and Head of Global </w:t>
            </w:r>
            <w:r>
              <w:rPr>
                <w:rFonts w:ascii="Arial" w:eastAsia="宋体" w:hAnsi="Arial" w:cs="Arial"/>
                <w:sz w:val="18"/>
                <w:szCs w:val="18"/>
              </w:rPr>
              <w:t>Services, North America</w:t>
            </w:r>
          </w:p>
        </w:tc>
      </w:tr>
      <w:tr w:rsidR="00F925DD" w14:paraId="5556718E" w14:textId="77777777">
        <w:tc>
          <w:tcPr>
            <w:tcW w:w="0" w:type="auto"/>
            <w:shd w:val="clear" w:color="auto" w:fill="auto"/>
            <w:tcMar>
              <w:top w:w="40" w:type="dxa"/>
              <w:left w:w="40" w:type="dxa"/>
              <w:bottom w:w="40" w:type="dxa"/>
              <w:right w:w="40" w:type="dxa"/>
            </w:tcMar>
            <w:vAlign w:val="center"/>
          </w:tcPr>
          <w:p w14:paraId="55567189" w14:textId="77777777" w:rsidR="00F925DD" w:rsidRDefault="00E705D7">
            <w:pPr>
              <w:textAlignment w:val="center"/>
              <w:rPr>
                <w:rFonts w:ascii="Times New Roman" w:hAnsi="Times New Roman"/>
                <w:sz w:val="18"/>
                <w:szCs w:val="18"/>
              </w:rPr>
            </w:pPr>
            <w:r>
              <w:rPr>
                <w:rFonts w:ascii="Arial" w:eastAsia="宋体" w:hAnsi="Arial" w:cs="Arial"/>
                <w:sz w:val="18"/>
                <w:szCs w:val="18"/>
              </w:rPr>
              <w:t>Louis D. Maiuri</w:t>
            </w:r>
          </w:p>
        </w:tc>
        <w:tc>
          <w:tcPr>
            <w:tcW w:w="0" w:type="auto"/>
            <w:shd w:val="clear" w:color="auto" w:fill="auto"/>
            <w:tcMar>
              <w:top w:w="40" w:type="dxa"/>
              <w:left w:w="40" w:type="dxa"/>
              <w:bottom w:w="40" w:type="dxa"/>
              <w:right w:w="40" w:type="dxa"/>
            </w:tcMar>
            <w:vAlign w:val="bottom"/>
          </w:tcPr>
          <w:p w14:paraId="555671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8B"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55</w:t>
            </w:r>
          </w:p>
        </w:tc>
        <w:tc>
          <w:tcPr>
            <w:tcW w:w="0" w:type="auto"/>
            <w:shd w:val="clear" w:color="auto" w:fill="auto"/>
            <w:tcMar>
              <w:top w:w="40" w:type="dxa"/>
              <w:left w:w="40" w:type="dxa"/>
              <w:bottom w:w="40" w:type="dxa"/>
              <w:right w:w="40" w:type="dxa"/>
            </w:tcMar>
            <w:vAlign w:val="bottom"/>
          </w:tcPr>
          <w:p w14:paraId="555671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8D"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Chief Operating Officer</w:t>
            </w:r>
          </w:p>
        </w:tc>
      </w:tr>
      <w:tr w:rsidR="00F925DD" w14:paraId="55567194" w14:textId="77777777">
        <w:tc>
          <w:tcPr>
            <w:tcW w:w="0" w:type="auto"/>
            <w:shd w:val="clear" w:color="auto" w:fill="CCEEFF"/>
            <w:tcMar>
              <w:top w:w="40" w:type="dxa"/>
              <w:left w:w="40" w:type="dxa"/>
              <w:bottom w:w="40" w:type="dxa"/>
              <w:right w:w="40" w:type="dxa"/>
            </w:tcMar>
            <w:vAlign w:val="center"/>
          </w:tcPr>
          <w:p w14:paraId="5556718F" w14:textId="77777777" w:rsidR="00F925DD" w:rsidRDefault="00E705D7">
            <w:pPr>
              <w:textAlignment w:val="center"/>
              <w:rPr>
                <w:rFonts w:ascii="Times New Roman" w:hAnsi="Times New Roman"/>
                <w:sz w:val="18"/>
                <w:szCs w:val="18"/>
              </w:rPr>
            </w:pPr>
            <w:r>
              <w:rPr>
                <w:rFonts w:ascii="Arial" w:eastAsia="宋体" w:hAnsi="Arial" w:cs="Arial"/>
                <w:sz w:val="18"/>
                <w:szCs w:val="18"/>
              </w:rPr>
              <w:t>Ian Martin</w:t>
            </w:r>
          </w:p>
        </w:tc>
        <w:tc>
          <w:tcPr>
            <w:tcW w:w="0" w:type="auto"/>
            <w:shd w:val="clear" w:color="auto" w:fill="CCEEFF"/>
            <w:tcMar>
              <w:top w:w="40" w:type="dxa"/>
              <w:left w:w="40" w:type="dxa"/>
              <w:bottom w:w="40" w:type="dxa"/>
              <w:right w:w="40" w:type="dxa"/>
            </w:tcMar>
            <w:vAlign w:val="bottom"/>
          </w:tcPr>
          <w:p w14:paraId="555671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91"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58</w:t>
            </w:r>
          </w:p>
        </w:tc>
        <w:tc>
          <w:tcPr>
            <w:tcW w:w="0" w:type="auto"/>
            <w:shd w:val="clear" w:color="auto" w:fill="CCEEFF"/>
            <w:tcMar>
              <w:top w:w="40" w:type="dxa"/>
              <w:left w:w="40" w:type="dxa"/>
              <w:bottom w:w="40" w:type="dxa"/>
              <w:right w:w="40" w:type="dxa"/>
            </w:tcMar>
            <w:vAlign w:val="bottom"/>
          </w:tcPr>
          <w:p w14:paraId="555671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93" w14:textId="77777777" w:rsidR="00F925DD" w:rsidRDefault="00E705D7">
            <w:pPr>
              <w:textAlignment w:val="center"/>
              <w:rPr>
                <w:rFonts w:ascii="Times New Roman" w:hAnsi="Times New Roman"/>
                <w:sz w:val="18"/>
                <w:szCs w:val="18"/>
              </w:rPr>
            </w:pPr>
            <w:r>
              <w:rPr>
                <w:rFonts w:ascii="Arial" w:eastAsia="宋体" w:hAnsi="Arial" w:cs="Arial"/>
                <w:sz w:val="18"/>
                <w:szCs w:val="18"/>
              </w:rPr>
              <w:t xml:space="preserve">Executive Vice President and Head of Asia Pacific </w:t>
            </w:r>
          </w:p>
        </w:tc>
      </w:tr>
      <w:tr w:rsidR="00F925DD" w14:paraId="5556719A" w14:textId="77777777">
        <w:tc>
          <w:tcPr>
            <w:tcW w:w="0" w:type="auto"/>
            <w:shd w:val="clear" w:color="auto" w:fill="auto"/>
            <w:tcMar>
              <w:top w:w="40" w:type="dxa"/>
              <w:left w:w="40" w:type="dxa"/>
              <w:bottom w:w="40" w:type="dxa"/>
              <w:right w:w="40" w:type="dxa"/>
            </w:tcMar>
            <w:vAlign w:val="center"/>
          </w:tcPr>
          <w:p w14:paraId="55567195" w14:textId="77777777" w:rsidR="00F925DD" w:rsidRDefault="00E705D7">
            <w:pPr>
              <w:textAlignment w:val="center"/>
              <w:rPr>
                <w:rFonts w:ascii="Times New Roman" w:hAnsi="Times New Roman"/>
                <w:sz w:val="18"/>
                <w:szCs w:val="18"/>
              </w:rPr>
            </w:pPr>
            <w:r>
              <w:rPr>
                <w:rFonts w:ascii="Arial" w:eastAsia="宋体" w:hAnsi="Arial" w:cs="Arial"/>
                <w:sz w:val="18"/>
                <w:szCs w:val="18"/>
              </w:rPr>
              <w:t>Donna M. Milrod</w:t>
            </w:r>
          </w:p>
        </w:tc>
        <w:tc>
          <w:tcPr>
            <w:tcW w:w="0" w:type="auto"/>
            <w:shd w:val="clear" w:color="auto" w:fill="auto"/>
            <w:tcMar>
              <w:top w:w="40" w:type="dxa"/>
              <w:left w:w="40" w:type="dxa"/>
              <w:bottom w:w="40" w:type="dxa"/>
              <w:right w:w="40" w:type="dxa"/>
            </w:tcMar>
            <w:vAlign w:val="bottom"/>
          </w:tcPr>
          <w:p w14:paraId="555671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97"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52</w:t>
            </w:r>
          </w:p>
        </w:tc>
        <w:tc>
          <w:tcPr>
            <w:tcW w:w="0" w:type="auto"/>
            <w:shd w:val="clear" w:color="auto" w:fill="auto"/>
            <w:tcMar>
              <w:top w:w="40" w:type="dxa"/>
              <w:left w:w="40" w:type="dxa"/>
              <w:bottom w:w="40" w:type="dxa"/>
              <w:right w:w="40" w:type="dxa"/>
            </w:tcMar>
            <w:vAlign w:val="bottom"/>
          </w:tcPr>
          <w:p w14:paraId="555671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99" w14:textId="77777777" w:rsidR="00F925DD" w:rsidRDefault="00E705D7">
            <w:pPr>
              <w:textAlignment w:val="center"/>
              <w:rPr>
                <w:rFonts w:ascii="Times New Roman" w:hAnsi="Times New Roman"/>
                <w:sz w:val="18"/>
                <w:szCs w:val="18"/>
              </w:rPr>
            </w:pPr>
            <w:r>
              <w:rPr>
                <w:rFonts w:ascii="Arial" w:eastAsia="宋体" w:hAnsi="Arial" w:cs="Arial"/>
                <w:sz w:val="18"/>
                <w:szCs w:val="18"/>
              </w:rPr>
              <w:t xml:space="preserve">Executive Vice President and Head of Global Clients </w:t>
            </w:r>
            <w:r>
              <w:rPr>
                <w:rFonts w:ascii="Arial" w:eastAsia="宋体" w:hAnsi="Arial" w:cs="Arial"/>
                <w:sz w:val="18"/>
                <w:szCs w:val="18"/>
              </w:rPr>
              <w:t>Division</w:t>
            </w:r>
          </w:p>
        </w:tc>
      </w:tr>
      <w:tr w:rsidR="00F925DD" w14:paraId="555671A0" w14:textId="77777777">
        <w:tc>
          <w:tcPr>
            <w:tcW w:w="0" w:type="auto"/>
            <w:shd w:val="clear" w:color="auto" w:fill="CCEEFF"/>
            <w:tcMar>
              <w:top w:w="40" w:type="dxa"/>
              <w:left w:w="40" w:type="dxa"/>
              <w:bottom w:w="40" w:type="dxa"/>
              <w:right w:w="40" w:type="dxa"/>
            </w:tcMar>
            <w:vAlign w:val="center"/>
          </w:tcPr>
          <w:p w14:paraId="5556719B" w14:textId="77777777" w:rsidR="00F925DD" w:rsidRDefault="00E705D7">
            <w:pPr>
              <w:textAlignment w:val="center"/>
              <w:rPr>
                <w:rFonts w:ascii="Times New Roman" w:hAnsi="Times New Roman"/>
                <w:sz w:val="18"/>
                <w:szCs w:val="18"/>
              </w:rPr>
            </w:pPr>
            <w:r>
              <w:rPr>
                <w:rFonts w:ascii="Arial" w:eastAsia="宋体" w:hAnsi="Arial" w:cs="Arial"/>
                <w:sz w:val="18"/>
                <w:szCs w:val="18"/>
              </w:rPr>
              <w:t>Elizabeth Nolan</w:t>
            </w:r>
          </w:p>
        </w:tc>
        <w:tc>
          <w:tcPr>
            <w:tcW w:w="0" w:type="auto"/>
            <w:shd w:val="clear" w:color="auto" w:fill="CCEEFF"/>
            <w:tcMar>
              <w:top w:w="40" w:type="dxa"/>
              <w:left w:w="40" w:type="dxa"/>
              <w:bottom w:w="40" w:type="dxa"/>
              <w:right w:w="40" w:type="dxa"/>
            </w:tcMar>
            <w:vAlign w:val="bottom"/>
          </w:tcPr>
          <w:p w14:paraId="555671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9D"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57</w:t>
            </w:r>
          </w:p>
        </w:tc>
        <w:tc>
          <w:tcPr>
            <w:tcW w:w="0" w:type="auto"/>
            <w:shd w:val="clear" w:color="auto" w:fill="CCEEFF"/>
            <w:tcMar>
              <w:top w:w="40" w:type="dxa"/>
              <w:left w:w="40" w:type="dxa"/>
              <w:bottom w:w="40" w:type="dxa"/>
              <w:right w:w="40" w:type="dxa"/>
            </w:tcMar>
            <w:vAlign w:val="bottom"/>
          </w:tcPr>
          <w:p w14:paraId="555671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9F" w14:textId="77777777" w:rsidR="00F925DD" w:rsidRDefault="00E705D7">
            <w:pPr>
              <w:textAlignment w:val="center"/>
              <w:rPr>
                <w:rFonts w:ascii="Times New Roman" w:hAnsi="Times New Roman"/>
                <w:sz w:val="18"/>
                <w:szCs w:val="18"/>
              </w:rPr>
            </w:pPr>
            <w:r>
              <w:rPr>
                <w:rFonts w:ascii="Arial" w:eastAsia="宋体" w:hAnsi="Arial" w:cs="Arial"/>
                <w:sz w:val="18"/>
                <w:szCs w:val="18"/>
              </w:rPr>
              <w:t>Executive Vice President and Head of Global Delivery</w:t>
            </w:r>
          </w:p>
        </w:tc>
      </w:tr>
      <w:tr w:rsidR="00F925DD" w14:paraId="555671A6" w14:textId="77777777">
        <w:tc>
          <w:tcPr>
            <w:tcW w:w="0" w:type="auto"/>
            <w:shd w:val="clear" w:color="auto" w:fill="auto"/>
            <w:tcMar>
              <w:top w:w="40" w:type="dxa"/>
              <w:left w:w="40" w:type="dxa"/>
              <w:bottom w:w="40" w:type="dxa"/>
              <w:right w:w="40" w:type="dxa"/>
            </w:tcMar>
            <w:vAlign w:val="center"/>
          </w:tcPr>
          <w:p w14:paraId="555671A1" w14:textId="77777777" w:rsidR="00F925DD" w:rsidRDefault="00E705D7">
            <w:pPr>
              <w:textAlignment w:val="center"/>
              <w:rPr>
                <w:rFonts w:ascii="Times New Roman" w:hAnsi="Times New Roman"/>
                <w:sz w:val="18"/>
                <w:szCs w:val="18"/>
              </w:rPr>
            </w:pPr>
            <w:r>
              <w:rPr>
                <w:rFonts w:ascii="Arial" w:eastAsia="宋体" w:hAnsi="Arial" w:cs="Arial"/>
                <w:sz w:val="18"/>
                <w:szCs w:val="18"/>
              </w:rPr>
              <w:t>John Plansky</w:t>
            </w:r>
          </w:p>
        </w:tc>
        <w:tc>
          <w:tcPr>
            <w:tcW w:w="0" w:type="auto"/>
            <w:shd w:val="clear" w:color="auto" w:fill="auto"/>
            <w:tcMar>
              <w:top w:w="40" w:type="dxa"/>
              <w:left w:w="40" w:type="dxa"/>
              <w:bottom w:w="40" w:type="dxa"/>
              <w:right w:w="40" w:type="dxa"/>
            </w:tcMar>
            <w:vAlign w:val="bottom"/>
          </w:tcPr>
          <w:p w14:paraId="555671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A3"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55</w:t>
            </w:r>
          </w:p>
        </w:tc>
        <w:tc>
          <w:tcPr>
            <w:tcW w:w="0" w:type="auto"/>
            <w:shd w:val="clear" w:color="auto" w:fill="auto"/>
            <w:tcMar>
              <w:top w:w="40" w:type="dxa"/>
              <w:left w:w="40" w:type="dxa"/>
              <w:bottom w:w="40" w:type="dxa"/>
              <w:right w:w="40" w:type="dxa"/>
            </w:tcMar>
            <w:vAlign w:val="bottom"/>
          </w:tcPr>
          <w:p w14:paraId="555671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71A5" w14:textId="77777777" w:rsidR="00F925DD" w:rsidRDefault="00E705D7">
            <w:pPr>
              <w:textAlignment w:val="center"/>
              <w:rPr>
                <w:rFonts w:ascii="Times New Roman" w:hAnsi="Times New Roman"/>
                <w:sz w:val="18"/>
                <w:szCs w:val="18"/>
              </w:rPr>
            </w:pPr>
            <w:r>
              <w:rPr>
                <w:rFonts w:ascii="Arial" w:eastAsia="宋体" w:hAnsi="Arial" w:cs="Arial"/>
                <w:sz w:val="18"/>
                <w:szCs w:val="18"/>
              </w:rPr>
              <w:t xml:space="preserve">Executive Vice President, Head of Global Exchange and Chief Executive Officer of Charles River Development </w:t>
            </w:r>
          </w:p>
        </w:tc>
      </w:tr>
      <w:tr w:rsidR="00F925DD" w14:paraId="555671AC" w14:textId="77777777">
        <w:tc>
          <w:tcPr>
            <w:tcW w:w="0" w:type="auto"/>
            <w:shd w:val="clear" w:color="auto" w:fill="CCEEFF"/>
            <w:tcMar>
              <w:top w:w="40" w:type="dxa"/>
              <w:left w:w="40" w:type="dxa"/>
              <w:bottom w:w="40" w:type="dxa"/>
              <w:right w:w="40" w:type="dxa"/>
            </w:tcMar>
            <w:vAlign w:val="center"/>
          </w:tcPr>
          <w:p w14:paraId="555671A7" w14:textId="77777777" w:rsidR="00F925DD" w:rsidRDefault="00E705D7">
            <w:pPr>
              <w:textAlignment w:val="center"/>
              <w:rPr>
                <w:rFonts w:ascii="Times New Roman" w:hAnsi="Times New Roman"/>
                <w:sz w:val="18"/>
                <w:szCs w:val="18"/>
              </w:rPr>
            </w:pPr>
            <w:r>
              <w:rPr>
                <w:rFonts w:ascii="Arial" w:eastAsia="宋体" w:hAnsi="Arial" w:cs="Arial"/>
                <w:sz w:val="18"/>
                <w:szCs w:val="18"/>
              </w:rPr>
              <w:t>Cyrus Taraporevala</w:t>
            </w:r>
          </w:p>
        </w:tc>
        <w:tc>
          <w:tcPr>
            <w:tcW w:w="0" w:type="auto"/>
            <w:shd w:val="clear" w:color="auto" w:fill="CCEEFF"/>
            <w:tcMar>
              <w:top w:w="40" w:type="dxa"/>
              <w:left w:w="40" w:type="dxa"/>
              <w:bottom w:w="40" w:type="dxa"/>
              <w:right w:w="40" w:type="dxa"/>
            </w:tcMar>
            <w:vAlign w:val="bottom"/>
          </w:tcPr>
          <w:p w14:paraId="555671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A9" w14:textId="77777777" w:rsidR="00F925DD" w:rsidRDefault="00E705D7">
            <w:pPr>
              <w:jc w:val="center"/>
              <w:textAlignment w:val="center"/>
              <w:rPr>
                <w:rFonts w:ascii="Times New Roman" w:hAnsi="Times New Roman"/>
                <w:sz w:val="18"/>
                <w:szCs w:val="18"/>
              </w:rPr>
            </w:pPr>
            <w:r>
              <w:rPr>
                <w:rFonts w:ascii="Arial" w:eastAsia="宋体" w:hAnsi="Arial" w:cs="Arial"/>
                <w:sz w:val="18"/>
                <w:szCs w:val="18"/>
              </w:rPr>
              <w:t>53</w:t>
            </w:r>
          </w:p>
        </w:tc>
        <w:tc>
          <w:tcPr>
            <w:tcW w:w="0" w:type="auto"/>
            <w:shd w:val="clear" w:color="auto" w:fill="CCEEFF"/>
            <w:tcMar>
              <w:top w:w="40" w:type="dxa"/>
              <w:left w:w="40" w:type="dxa"/>
              <w:bottom w:w="40" w:type="dxa"/>
              <w:right w:w="40" w:type="dxa"/>
            </w:tcMar>
            <w:vAlign w:val="bottom"/>
          </w:tcPr>
          <w:p w14:paraId="555671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71AB" w14:textId="77777777" w:rsidR="00F925DD" w:rsidRDefault="00E705D7">
            <w:pPr>
              <w:textAlignment w:val="center"/>
              <w:rPr>
                <w:rFonts w:ascii="Times New Roman" w:hAnsi="Times New Roman"/>
                <w:sz w:val="18"/>
                <w:szCs w:val="18"/>
              </w:rPr>
            </w:pPr>
            <w:r>
              <w:rPr>
                <w:rFonts w:ascii="Arial" w:eastAsia="宋体" w:hAnsi="Arial" w:cs="Arial"/>
                <w:sz w:val="18"/>
                <w:szCs w:val="18"/>
              </w:rPr>
              <w:t>President and Chief Executive Officer, State Street Global Advisors</w:t>
            </w:r>
          </w:p>
        </w:tc>
      </w:tr>
    </w:tbl>
    <w:p w14:paraId="555671A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All executive officers are appointed by the </w:t>
      </w:r>
      <w:r>
        <w:rPr>
          <w:rFonts w:ascii="Arial" w:eastAsia="宋体" w:hAnsi="Arial" w:cs="Arial"/>
          <w:sz w:val="20"/>
          <w:szCs w:val="20"/>
        </w:rPr>
        <w:t>Board of Directors and hold office at the discretion of the Board. No family relationships exist among any of our directors and executive officers.</w:t>
      </w:r>
    </w:p>
    <w:p w14:paraId="555671A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O'Hanley joined State Street in April 2015 and since January 1, 2019 has served as the President and Chi</w:t>
      </w:r>
      <w:r>
        <w:rPr>
          <w:rFonts w:ascii="Arial" w:eastAsia="宋体" w:hAnsi="Arial" w:cs="Arial"/>
          <w:sz w:val="20"/>
          <w:szCs w:val="20"/>
        </w:rPr>
        <w:t xml:space="preserve">ef Executive Officer. He was appointed Chairman of the Board effective January 1, 2020. Prior to this role Mr. O'Hanley served as President and Chief Operating Officer from November 2017 to December 2018 and served as Vice Chairman from January 1, 2017 to </w:t>
      </w:r>
      <w:r>
        <w:rPr>
          <w:rFonts w:ascii="Arial" w:eastAsia="宋体" w:hAnsi="Arial" w:cs="Arial"/>
          <w:sz w:val="20"/>
          <w:szCs w:val="20"/>
        </w:rPr>
        <w:t>November 2017. He served as the Chief Executive Officer and President of State Street Global Advisors, the investment management arm of State Street Corporation, from April 2015 to November 2017. Prior to joining State Street, Mr. O'Hanley was president of</w:t>
      </w:r>
      <w:r>
        <w:rPr>
          <w:rFonts w:ascii="Arial" w:eastAsia="宋体" w:hAnsi="Arial" w:cs="Arial"/>
          <w:sz w:val="20"/>
          <w:szCs w:val="20"/>
        </w:rPr>
        <w:t xml:space="preserve"> Asset Management &amp; Corporate Services for Fidelity Investments, a financial and mutual fund services corporation, from 2010 to February 2014. From 1997 to 2010, Mr. O'Hanley served in various positions at Bank of New York Mellon, a global banking and fina</w:t>
      </w:r>
      <w:r>
        <w:rPr>
          <w:rFonts w:ascii="Arial" w:eastAsia="宋体" w:hAnsi="Arial" w:cs="Arial"/>
          <w:sz w:val="20"/>
          <w:szCs w:val="20"/>
        </w:rPr>
        <w:t>ncial services corporation, serving as president and chief executive officer of BNY Asset Management in Boston from 2007 to 2010.</w:t>
      </w:r>
    </w:p>
    <w:p w14:paraId="555671A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Aboaf joined State Street in December 2016 as Executive Vice President and has served as Executive Vice President and Chie</w:t>
      </w:r>
      <w:r>
        <w:rPr>
          <w:rFonts w:ascii="Arial" w:eastAsia="宋体" w:hAnsi="Arial" w:cs="Arial"/>
          <w:sz w:val="20"/>
          <w:szCs w:val="20"/>
        </w:rPr>
        <w:t xml:space="preserve">f Financial Officer since February 2017. Prior to joining State Street, Mr. Aboaf served as chief financial officer of Citizens Financial Group, a financial services and retail banking </w:t>
      </w:r>
    </w:p>
    <w:p w14:paraId="555671B0"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1B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firm, from April 2015 to December 2016, with responsibility for all </w:t>
      </w:r>
      <w:r>
        <w:rPr>
          <w:rFonts w:ascii="Arial" w:eastAsia="宋体" w:hAnsi="Arial" w:cs="Arial"/>
          <w:sz w:val="20"/>
          <w:szCs w:val="20"/>
        </w:rPr>
        <w:t>finance functions and corporate development. From 2003 to March 2015, he served in several senior management positions for Citigroup, a global investment banking and financial services corporation, including as global treasurer and as the chief financial o</w:t>
      </w:r>
      <w:r>
        <w:rPr>
          <w:rFonts w:ascii="Arial" w:eastAsia="宋体" w:hAnsi="Arial" w:cs="Arial"/>
          <w:sz w:val="20"/>
          <w:szCs w:val="20"/>
        </w:rPr>
        <w:t>fficer of the institutional client group, which included the custody business.</w:t>
      </w:r>
    </w:p>
    <w:p w14:paraId="555671B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Appleyard joined State Street in May 2018 as Executive Vice President, Global Controller and Chief Accounting Officer. Prior to joining State Street, Mr. Appleyard served as</w:t>
      </w:r>
      <w:r>
        <w:rPr>
          <w:rFonts w:ascii="Arial" w:eastAsia="宋体" w:hAnsi="Arial" w:cs="Arial"/>
          <w:sz w:val="20"/>
          <w:szCs w:val="20"/>
        </w:rPr>
        <w:t xml:space="preserve"> managing director in group finance for Credit Suisse, a provider of financial services, from May 2013 to April 2018 and held several senior management positions with Credit Suisse after joining in September 2008. Prior to Credit Suisse, Mr. Appleyard held</w:t>
      </w:r>
      <w:r>
        <w:rPr>
          <w:rFonts w:ascii="Arial" w:eastAsia="宋体" w:hAnsi="Arial" w:cs="Arial"/>
          <w:sz w:val="20"/>
          <w:szCs w:val="20"/>
        </w:rPr>
        <w:t xml:space="preserve"> senior positions at HSBC and JPMorgan.</w:t>
      </w:r>
    </w:p>
    <w:p w14:paraId="555671B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Ambrosius joined State Street in 2001 and since July 2019 has served as Executive Vice President and head of Europe, the Middle East and Africa. Prior to this role, he served as co-head of Global Services, Europe</w:t>
      </w:r>
      <w:r>
        <w:rPr>
          <w:rFonts w:ascii="Arial" w:eastAsia="宋体" w:hAnsi="Arial" w:cs="Arial"/>
          <w:sz w:val="20"/>
          <w:szCs w:val="20"/>
        </w:rPr>
        <w:t>, the Middle East and Africa from August 2018 to June 2019. Prior to that role, he was head of Sector Solutions, Europe, the Middle East and Africa from January 2019 to June 2019. Mr. Ambrosius has held several other positions within State Street during hi</w:t>
      </w:r>
      <w:r>
        <w:rPr>
          <w:rFonts w:ascii="Arial" w:eastAsia="宋体" w:hAnsi="Arial" w:cs="Arial"/>
          <w:sz w:val="20"/>
          <w:szCs w:val="20"/>
        </w:rPr>
        <w:t>s over 18 years with State Street.</w:t>
      </w:r>
    </w:p>
    <w:p w14:paraId="555671B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Mr. Aristeguieta joined State Street in July 2019 as Executive Vice President and Chief Executive Officer </w:t>
      </w:r>
    </w:p>
    <w:p w14:paraId="555671B5" w14:textId="77777777" w:rsidR="00F925DD" w:rsidRDefault="00F925DD">
      <w:pPr>
        <w:rPr>
          <w:rFonts w:ascii="Times New Roman" w:hAnsi="Times New Roman"/>
          <w:sz w:val="20"/>
          <w:szCs w:val="20"/>
        </w:rPr>
      </w:pPr>
    </w:p>
    <w:p w14:paraId="555671B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49</w:t>
      </w:r>
    </w:p>
    <w:p w14:paraId="555671B7" w14:textId="77777777" w:rsidR="00F925DD" w:rsidRDefault="00F925DD">
      <w:pPr>
        <w:spacing w:line="288" w:lineRule="auto"/>
        <w:ind w:firstLine="600"/>
        <w:jc w:val="center"/>
        <w:rPr>
          <w:rFonts w:ascii="Times New Roman" w:hAnsi="Times New Roman"/>
          <w:sz w:val="18"/>
          <w:szCs w:val="18"/>
        </w:rPr>
      </w:pPr>
    </w:p>
    <w:p w14:paraId="555671B8" w14:textId="77777777" w:rsidR="00F925DD" w:rsidRDefault="00E705D7">
      <w:r>
        <w:rPr>
          <w:rFonts w:ascii="Times New Roman" w:hAnsi="Times New Roman"/>
          <w:sz w:val="18"/>
          <w:szCs w:val="18"/>
        </w:rPr>
        <w:pict w14:anchorId="55570669">
          <v:rect id="_x0000_i1073" style="width:415.3pt;height:1.5pt" o:hralign="center" o:hrstd="t" o:hr="t" fillcolor="#a0a0a0" stroked="f"/>
        </w:pict>
      </w:r>
    </w:p>
    <w:p w14:paraId="555671B9" w14:textId="77777777" w:rsidR="00F925DD" w:rsidRDefault="00F925DD">
      <w:pPr>
        <w:spacing w:line="288" w:lineRule="auto"/>
        <w:ind w:firstLine="600"/>
        <w:rPr>
          <w:rFonts w:ascii="Times New Roman" w:hAnsi="Times New Roman"/>
          <w:sz w:val="18"/>
          <w:szCs w:val="18"/>
        </w:rPr>
      </w:pPr>
    </w:p>
    <w:p w14:paraId="555671BA" w14:textId="77777777" w:rsidR="00F925DD" w:rsidRDefault="00F925DD">
      <w:pPr>
        <w:rPr>
          <w:rFonts w:ascii="Times New Roman" w:hAnsi="Times New Roman"/>
          <w:sz w:val="20"/>
          <w:szCs w:val="20"/>
        </w:rPr>
      </w:pPr>
    </w:p>
    <w:p w14:paraId="555671BB"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of International Business. Prior to joining State Street, </w:t>
      </w:r>
      <w:r>
        <w:rPr>
          <w:rFonts w:ascii="Arial" w:eastAsia="宋体" w:hAnsi="Arial" w:cs="Arial"/>
          <w:sz w:val="20"/>
          <w:szCs w:val="20"/>
        </w:rPr>
        <w:t>Mr. Aristeguieta was Chief Executive Officer of Asia for Citigroup, an international investment banking and financial services provider, from June 2015 to June 2019. Prior to that role, he served as Chief Executive Officer of Citigroup Latin America from J</w:t>
      </w:r>
      <w:r>
        <w:rPr>
          <w:rFonts w:ascii="Arial" w:eastAsia="宋体" w:hAnsi="Arial" w:cs="Arial"/>
          <w:sz w:val="20"/>
          <w:szCs w:val="20"/>
        </w:rPr>
        <w:t>anuary 2013 to June 2015 and before that he led Citigroup’s Transaction Services Group in Latin America encompassing securities servicing, trade and cash management, and served as vice chairman of Banco de Chile.</w:t>
      </w:r>
    </w:p>
    <w:p w14:paraId="555671B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Ms. Atkinson joined State Street in 2008 an</w:t>
      </w:r>
      <w:r>
        <w:rPr>
          <w:rFonts w:ascii="Arial" w:eastAsia="宋体" w:hAnsi="Arial" w:cs="Arial"/>
          <w:sz w:val="20"/>
          <w:szCs w:val="20"/>
        </w:rPr>
        <w:t xml:space="preserve">d since May 2019 has served as Executive Vice President and Acting Chief Administrative Officer. Prior to this role, she </w:t>
      </w:r>
      <w:r>
        <w:rPr>
          <w:rFonts w:ascii="Arial" w:eastAsia="宋体" w:hAnsi="Arial" w:cs="Arial"/>
          <w:color w:val="333333"/>
          <w:sz w:val="20"/>
          <w:szCs w:val="20"/>
        </w:rPr>
        <w:t xml:space="preserve">served as Executive Vice President and Chief Compliance Officer from 2017 to 2019 and as Treasurer from 2016 to 2017. Ms. Atkinson has </w:t>
      </w:r>
      <w:r>
        <w:rPr>
          <w:rFonts w:ascii="Arial" w:eastAsia="宋体" w:hAnsi="Arial" w:cs="Arial"/>
          <w:color w:val="333333"/>
          <w:sz w:val="20"/>
          <w:szCs w:val="20"/>
        </w:rPr>
        <w:t>served as an Executive Vice President of State Street since joining in 2008 and has hel</w:t>
      </w:r>
      <w:r>
        <w:rPr>
          <w:rFonts w:ascii="Arial" w:eastAsia="宋体" w:hAnsi="Arial" w:cs="Arial"/>
          <w:color w:val="292B2C"/>
          <w:sz w:val="20"/>
          <w:szCs w:val="20"/>
        </w:rPr>
        <w:t>d many leadership positions in finance, including oversight of treasury, investor relations, business unit finance and enterprise decision support and was previously Res</w:t>
      </w:r>
      <w:r>
        <w:rPr>
          <w:rFonts w:ascii="Arial" w:eastAsia="宋体" w:hAnsi="Arial" w:cs="Arial"/>
          <w:color w:val="292B2C"/>
          <w:sz w:val="20"/>
          <w:szCs w:val="20"/>
        </w:rPr>
        <w:t>olution Officer for State Street</w:t>
      </w:r>
      <w:r>
        <w:rPr>
          <w:rFonts w:ascii="Arial" w:eastAsia="宋体" w:hAnsi="Arial" w:cs="Arial"/>
          <w:color w:val="333333"/>
          <w:sz w:val="20"/>
          <w:szCs w:val="20"/>
        </w:rPr>
        <w:t>.</w:t>
      </w:r>
      <w:r>
        <w:rPr>
          <w:rFonts w:ascii="Arial" w:eastAsia="宋体" w:hAnsi="Arial" w:cs="Arial"/>
          <w:sz w:val="20"/>
          <w:szCs w:val="20"/>
        </w:rPr>
        <w:t xml:space="preserve"> Prior to joining State Street, Ms. Atkinson s</w:t>
      </w:r>
      <w:r>
        <w:rPr>
          <w:rFonts w:ascii="Arial" w:eastAsia="宋体" w:hAnsi="Arial" w:cs="Arial"/>
          <w:color w:val="333333"/>
          <w:sz w:val="20"/>
          <w:szCs w:val="20"/>
        </w:rPr>
        <w:t xml:space="preserve">erved in leadership positions at Massachusetts Financial Services </w:t>
      </w:r>
      <w:r>
        <w:rPr>
          <w:rFonts w:ascii="Arial" w:eastAsia="宋体" w:hAnsi="Arial" w:cs="Arial"/>
          <w:sz w:val="20"/>
          <w:szCs w:val="20"/>
        </w:rPr>
        <w:t xml:space="preserve">and was a partner at PricewaterhouseCoopers, where she led risk and controls assurance reviews for </w:t>
      </w:r>
      <w:r>
        <w:rPr>
          <w:rFonts w:ascii="Arial" w:eastAsia="宋体" w:hAnsi="Arial" w:cs="Arial"/>
          <w:sz w:val="20"/>
          <w:szCs w:val="20"/>
        </w:rPr>
        <w:t>financial services firms. Ms. Atkinson has informed us that she will retire in the second quarter of 2020.</w:t>
      </w:r>
    </w:p>
    <w:p w14:paraId="555671B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Banerjee joined State Street in February 2016 and has served as Executive Vice President and Chief Transformation Officer since September 2019. F</w:t>
      </w:r>
      <w:r>
        <w:rPr>
          <w:rFonts w:ascii="Arial" w:eastAsia="宋体" w:hAnsi="Arial" w:cs="Arial"/>
          <w:sz w:val="20"/>
          <w:szCs w:val="20"/>
        </w:rPr>
        <w:t xml:space="preserve">rom February 2016 to August 2019, he served as an Executive Vice President in State Street’s finance division where he was responsible for </w:t>
      </w:r>
      <w:r>
        <w:rPr>
          <w:rFonts w:ascii="Arial" w:eastAsia="宋体" w:hAnsi="Arial" w:cs="Arial"/>
          <w:color w:val="292B2C"/>
          <w:sz w:val="20"/>
          <w:szCs w:val="20"/>
        </w:rPr>
        <w:t>enterprise-wide financial management, budgeting, forecasting and strategic financial planning and procurement</w:t>
      </w:r>
      <w:r>
        <w:rPr>
          <w:rFonts w:ascii="Arial" w:eastAsia="宋体" w:hAnsi="Arial" w:cs="Arial"/>
          <w:sz w:val="20"/>
          <w:szCs w:val="20"/>
        </w:rPr>
        <w:t xml:space="preserve">. Prior </w:t>
      </w:r>
      <w:r>
        <w:rPr>
          <w:rFonts w:ascii="Arial" w:eastAsia="宋体" w:hAnsi="Arial" w:cs="Arial"/>
          <w:sz w:val="20"/>
          <w:szCs w:val="20"/>
        </w:rPr>
        <w:t>to joining State Street, Mr. Banerjee was a Managing Director in Markets &amp; Securities Services for Citigroup, an international investment banking and financial services provider, from January 2015 to February 2016 and Director of Markets &amp; Securities Servi</w:t>
      </w:r>
      <w:r>
        <w:rPr>
          <w:rFonts w:ascii="Arial" w:eastAsia="宋体" w:hAnsi="Arial" w:cs="Arial"/>
          <w:sz w:val="20"/>
          <w:szCs w:val="20"/>
        </w:rPr>
        <w:t xml:space="preserve">ces for Citigroup from March 2013 to March 2014. </w:t>
      </w:r>
    </w:p>
    <w:p w14:paraId="555671B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Carp joined State Street in 2006 as Executive Vice President and Chief Legal Officer. Later in 2006, he was also appointed Secretary. From 2004 to 2005, Mr. Carp served as executive vice president and g</w:t>
      </w:r>
      <w:r>
        <w:rPr>
          <w:rFonts w:ascii="Arial" w:eastAsia="宋体" w:hAnsi="Arial" w:cs="Arial"/>
          <w:sz w:val="20"/>
          <w:szCs w:val="20"/>
        </w:rPr>
        <w:t>eneral counsel of Massachusetts Financial Services, an investment management and research company. From 1989 until 2004, Mr. Carp was a senior partner at the law firm of Hale and Dorr LLP, where he was an attorney since 1982. Mr. Carp served as State Stree</w:t>
      </w:r>
      <w:r>
        <w:rPr>
          <w:rFonts w:ascii="Arial" w:eastAsia="宋体" w:hAnsi="Arial" w:cs="Arial"/>
          <w:sz w:val="20"/>
          <w:szCs w:val="20"/>
        </w:rPr>
        <w:t>t's interim chief risk officer from February 2010 until September 2010. Mr. Carp has informed us that he will retire in summer 2020.</w:t>
      </w:r>
    </w:p>
    <w:p w14:paraId="555671B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Ms. Chakar joined State Street in March 2019 as Executive Vice President and head of Global Markets. Prior to joining State</w:t>
      </w:r>
      <w:r>
        <w:rPr>
          <w:rFonts w:ascii="Arial" w:eastAsia="宋体" w:hAnsi="Arial" w:cs="Arial"/>
          <w:sz w:val="20"/>
          <w:szCs w:val="20"/>
        </w:rPr>
        <w:t xml:space="preserve"> Street, Ms. Chakar served as the </w:t>
      </w:r>
    </w:p>
    <w:p w14:paraId="555671C0"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1C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global head of operations for the global wealth and asset management division of Manulife Financial, an international insurance company and financial services provider, from March 2016 to March 2019. Prior to that, Ms. </w:t>
      </w:r>
      <w:r>
        <w:rPr>
          <w:rFonts w:ascii="Arial" w:eastAsia="宋体" w:hAnsi="Arial" w:cs="Arial"/>
          <w:sz w:val="20"/>
          <w:szCs w:val="20"/>
        </w:rPr>
        <w:t>Chakar served as Executive Vice President and led the global asset servicing teams for BNY Mellon, a global banking and financial services corporation, where she was head of financial institutions, eCommerce strategy and research, and financial markets inf</w:t>
      </w:r>
      <w:r>
        <w:rPr>
          <w:rFonts w:ascii="Arial" w:eastAsia="宋体" w:hAnsi="Arial" w:cs="Arial"/>
          <w:sz w:val="20"/>
          <w:szCs w:val="20"/>
        </w:rPr>
        <w:t>rastructure from January 2012 to August 2015. Ms. Chakar joined BNY Mellon in 1989 and held a variety of senior management positions during her tenure.</w:t>
      </w:r>
    </w:p>
    <w:p w14:paraId="555671C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Erickson joined State Street in April 1991 and since November 2017 has served as Executive Vice Pres</w:t>
      </w:r>
      <w:r>
        <w:rPr>
          <w:rFonts w:ascii="Arial" w:eastAsia="宋体" w:hAnsi="Arial" w:cs="Arial"/>
          <w:sz w:val="20"/>
          <w:szCs w:val="20"/>
        </w:rPr>
        <w:t>ident and head of the Global Services business. Prior to this role and commencing in June 2016, he served as Executive Vice President and head of Investment Services business in the Americas. Prior to that role, Mr. Erickson was the head of the Global Serv</w:t>
      </w:r>
      <w:r>
        <w:rPr>
          <w:rFonts w:ascii="Arial" w:eastAsia="宋体" w:hAnsi="Arial" w:cs="Arial"/>
          <w:sz w:val="20"/>
          <w:szCs w:val="20"/>
        </w:rPr>
        <w:t>ices business in Asia Pacific from April 2014 to June 2016 and prior to that was head of North Asia for Global Services from 2010 to April 2014. Mr. Erickson has also held several other positions within State Street during his over 25 years with State Stre</w:t>
      </w:r>
      <w:r>
        <w:rPr>
          <w:rFonts w:ascii="Arial" w:eastAsia="宋体" w:hAnsi="Arial" w:cs="Arial"/>
          <w:sz w:val="20"/>
          <w:szCs w:val="20"/>
        </w:rPr>
        <w:t>et.</w:t>
      </w:r>
    </w:p>
    <w:p w14:paraId="555671C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Franz joined State Street in January 2020 as Chief Information Officer. Prior to this role, Mr Franz served as Chief Productivity Officer and Chief Information Officer at Diageo PLC, a British multinational alcoholic beverages company, with respons</w:t>
      </w:r>
      <w:r>
        <w:rPr>
          <w:rFonts w:ascii="Arial" w:eastAsia="宋体" w:hAnsi="Arial" w:cs="Arial"/>
          <w:sz w:val="20"/>
          <w:szCs w:val="20"/>
        </w:rPr>
        <w:t>ibility for enterprise operations, technology and business service functions. Prior to joining Diageo in 2008, he was Chief Information Officer at PepsiCo International, and before that in leadership roles at General Electric, including GE Capital, and AT&amp;</w:t>
      </w:r>
      <w:r>
        <w:rPr>
          <w:rFonts w:ascii="Arial" w:eastAsia="宋体" w:hAnsi="Arial" w:cs="Arial"/>
          <w:sz w:val="20"/>
          <w:szCs w:val="20"/>
        </w:rPr>
        <w:t>T.</w:t>
      </w:r>
    </w:p>
    <w:p w14:paraId="555671C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Ms. Grove joined State Street in 1998 and currently serves as Executive Vice President and Chief Marketing Officer, a role she has been in since 2008. Prior to this role, Ms. Grove served as Senior Vice President for State Street’s Global Marketing divi</w:t>
      </w:r>
      <w:r>
        <w:rPr>
          <w:rFonts w:ascii="Arial" w:eastAsia="宋体" w:hAnsi="Arial" w:cs="Arial"/>
          <w:sz w:val="20"/>
          <w:szCs w:val="20"/>
        </w:rPr>
        <w:t>sion. Prior to joining State Street, Ms. Grove was the marketing director for World Times' Money Matters Institute, a collaboration between the United Nations and the World Bank that sought to foster sustainable development in emerging economies.</w:t>
      </w:r>
    </w:p>
    <w:p w14:paraId="555671C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Ms. Horga</w:t>
      </w:r>
      <w:r>
        <w:rPr>
          <w:rFonts w:ascii="Arial" w:eastAsia="宋体" w:hAnsi="Arial" w:cs="Arial"/>
          <w:sz w:val="20"/>
          <w:szCs w:val="20"/>
        </w:rPr>
        <w:t>n joined State Street in April 2009 and has served as Executive Vice President and Chief Human Resources and Citizenship Officer since March 2017. Prior to March 2017, she served as Executive Vice President from 2012, and Chief Operating Officer, from 2011</w:t>
      </w:r>
      <w:r>
        <w:rPr>
          <w:rFonts w:ascii="Arial" w:eastAsia="宋体" w:hAnsi="Arial" w:cs="Arial"/>
          <w:sz w:val="20"/>
          <w:szCs w:val="20"/>
        </w:rPr>
        <w:t>, for State Street's Global Human Resources division. Prior to that role, Ms. Horgan served as the Senior Vice President of Human Resources for State Street Global Advisors. Prior to joining State Street, Ms. Horgan was the executive vice president of huma</w:t>
      </w:r>
      <w:r>
        <w:rPr>
          <w:rFonts w:ascii="Arial" w:eastAsia="宋体" w:hAnsi="Arial" w:cs="Arial"/>
          <w:sz w:val="20"/>
          <w:szCs w:val="20"/>
        </w:rPr>
        <w:t xml:space="preserve">n resources for Old Mutual Asset Management, a global, diversified multi-boutique asset management company, from 2006 to 2009. </w:t>
      </w:r>
    </w:p>
    <w:p w14:paraId="555671C6" w14:textId="77777777" w:rsidR="00F925DD" w:rsidRDefault="00F925DD">
      <w:pPr>
        <w:rPr>
          <w:rFonts w:ascii="Times New Roman" w:hAnsi="Times New Roman"/>
          <w:sz w:val="20"/>
          <w:szCs w:val="20"/>
        </w:rPr>
      </w:pPr>
    </w:p>
    <w:p w14:paraId="555671C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50</w:t>
      </w:r>
    </w:p>
    <w:p w14:paraId="555671C8" w14:textId="77777777" w:rsidR="00F925DD" w:rsidRDefault="00F925DD">
      <w:pPr>
        <w:spacing w:line="288" w:lineRule="auto"/>
        <w:ind w:firstLine="600"/>
        <w:jc w:val="center"/>
        <w:rPr>
          <w:rFonts w:ascii="Times New Roman" w:hAnsi="Times New Roman"/>
          <w:sz w:val="18"/>
          <w:szCs w:val="18"/>
        </w:rPr>
      </w:pPr>
    </w:p>
    <w:p w14:paraId="555671C9" w14:textId="77777777" w:rsidR="00F925DD" w:rsidRDefault="00E705D7">
      <w:r>
        <w:rPr>
          <w:rFonts w:ascii="Times New Roman" w:hAnsi="Times New Roman"/>
          <w:sz w:val="18"/>
          <w:szCs w:val="18"/>
        </w:rPr>
        <w:pict w14:anchorId="5557066A">
          <v:rect id="_x0000_i1074" style="width:415.3pt;height:1.5pt" o:hralign="center" o:hrstd="t" o:hr="t" fillcolor="#a0a0a0" stroked="f"/>
        </w:pict>
      </w:r>
    </w:p>
    <w:p w14:paraId="555671CA" w14:textId="77777777" w:rsidR="00F925DD" w:rsidRDefault="00F925DD">
      <w:pPr>
        <w:spacing w:line="288" w:lineRule="auto"/>
        <w:ind w:firstLine="600"/>
        <w:rPr>
          <w:rFonts w:ascii="Times New Roman" w:hAnsi="Times New Roman"/>
          <w:sz w:val="18"/>
          <w:szCs w:val="18"/>
        </w:rPr>
      </w:pPr>
    </w:p>
    <w:p w14:paraId="555671CB" w14:textId="77777777" w:rsidR="00F925DD" w:rsidRDefault="00F925DD">
      <w:pPr>
        <w:rPr>
          <w:rFonts w:ascii="Times New Roman" w:hAnsi="Times New Roman"/>
          <w:sz w:val="20"/>
          <w:szCs w:val="20"/>
        </w:rPr>
      </w:pPr>
    </w:p>
    <w:p w14:paraId="555671C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Kuritzkes joined State Street in 2010 as Executive Vice President and Chief Risk Officer</w:t>
      </w:r>
      <w:r>
        <w:rPr>
          <w:rFonts w:ascii="Arial" w:eastAsia="宋体" w:hAnsi="Arial" w:cs="Arial"/>
          <w:sz w:val="20"/>
          <w:szCs w:val="20"/>
        </w:rPr>
        <w:t>. Prior to joining State Street, Mr. Kuritzkes was a partner at Oliver, Wyman &amp; Company, an international management consulting firm, and led the firm’s Public Policy practice in North America. He joined Oliver, Wyman &amp; Company in 1988, was a managing dire</w:t>
      </w:r>
      <w:r>
        <w:rPr>
          <w:rFonts w:ascii="Arial" w:eastAsia="宋体" w:hAnsi="Arial" w:cs="Arial"/>
          <w:sz w:val="20"/>
          <w:szCs w:val="20"/>
        </w:rPr>
        <w:t xml:space="preserve">ctor in the firm’s London office from 1993 to 1997, and served as vice chairman of Oliver, Wyman &amp; Company globally from 2000 until the firm’s acquisition by MMC in 2003. From 1986 to 1988, he worked as an economist and lawyer for the Federal Reserve Bank </w:t>
      </w:r>
      <w:r>
        <w:rPr>
          <w:rFonts w:ascii="Arial" w:eastAsia="宋体" w:hAnsi="Arial" w:cs="Arial"/>
          <w:sz w:val="20"/>
          <w:szCs w:val="20"/>
        </w:rPr>
        <w:t>of New York.</w:t>
      </w:r>
    </w:p>
    <w:p w14:paraId="555671C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Lehner joined State Street in November 2016 and since September 2019 has served as Executive Vice President and head of Global Services, North America. Prior to this role, Mr. Lehner served as Executive Vice President and head of Investmen</w:t>
      </w:r>
      <w:r>
        <w:rPr>
          <w:rFonts w:ascii="Arial" w:eastAsia="宋体" w:hAnsi="Arial" w:cs="Arial"/>
          <w:sz w:val="20"/>
          <w:szCs w:val="20"/>
        </w:rPr>
        <w:t>t Manager Services from November 2016 to September 2019. Prior to joining State Street, Mr. Lehner served as Chief Executive Officer of BNY Mellon Technology Solutions, a BNY Mellon company, from January 2015 to November 2016, President and Chief Executive</w:t>
      </w:r>
      <w:r>
        <w:rPr>
          <w:rFonts w:ascii="Arial" w:eastAsia="宋体" w:hAnsi="Arial" w:cs="Arial"/>
          <w:sz w:val="20"/>
          <w:szCs w:val="20"/>
        </w:rPr>
        <w:t xml:space="preserve"> Officer of Eagle Investment Systems, a BNY Mellon subsidiary, from January 2010 to January 2015 and Chairman of Eagle Investment Systems from January 2015 to November 2016.</w:t>
      </w:r>
    </w:p>
    <w:p w14:paraId="555671C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Mr. Maiuri joined State Street in October 2013 and since February 2019 has served </w:t>
      </w:r>
      <w:r>
        <w:rPr>
          <w:rFonts w:ascii="Arial" w:eastAsia="宋体" w:hAnsi="Arial" w:cs="Arial"/>
          <w:sz w:val="20"/>
          <w:szCs w:val="20"/>
        </w:rPr>
        <w:t>as Executive Vice President and Chief Operating Officer. Prior to this role, Mr. Maiuri served as Executive Vice President and head of State Street Global Markets from June 2016 to February 2019 and head of State Street Global Exchange from July 2015 to Ja</w:t>
      </w:r>
      <w:r>
        <w:rPr>
          <w:rFonts w:ascii="Arial" w:eastAsia="宋体" w:hAnsi="Arial" w:cs="Arial"/>
          <w:sz w:val="20"/>
          <w:szCs w:val="20"/>
        </w:rPr>
        <w:t>nuary 2017. From 2013 to July 2015, he led State Street's Securities Finance division. Before joining State Street, Mr. Maiuri served as executive vice president and deputy chief executive officer of asset servicing at BNY Mellon, a global banking and fina</w:t>
      </w:r>
      <w:r>
        <w:rPr>
          <w:rFonts w:ascii="Arial" w:eastAsia="宋体" w:hAnsi="Arial" w:cs="Arial"/>
          <w:sz w:val="20"/>
          <w:szCs w:val="20"/>
        </w:rPr>
        <w:t>ncial services corporation, from 2009 to 2013.</w:t>
      </w:r>
    </w:p>
    <w:p w14:paraId="555671C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Martin joined State Street in 1993 and since January 2019 has served as Executive Vice President and head of Asia Pacific. Prior to this role, he served as the head of Global Services and Global Exchange f</w:t>
      </w:r>
      <w:r>
        <w:rPr>
          <w:rFonts w:ascii="Arial" w:eastAsia="宋体" w:hAnsi="Arial" w:cs="Arial"/>
          <w:sz w:val="20"/>
          <w:szCs w:val="20"/>
        </w:rPr>
        <w:t>or Asia Pacific from May 2016 to December 2018. Mr. Martin has held various senior management positions with State Street since 1993, including head of Global Markets for Asia Pacific, head of Global Services for Australia, Southeast Asia and Pacific, head</w:t>
      </w:r>
      <w:r>
        <w:rPr>
          <w:rFonts w:ascii="Arial" w:eastAsia="宋体" w:hAnsi="Arial" w:cs="Arial"/>
          <w:sz w:val="20"/>
          <w:szCs w:val="20"/>
        </w:rPr>
        <w:t xml:space="preserve"> of Foreign Exchange for Asia Pacific and Treasury manager of the Sydney branch</w:t>
      </w:r>
      <w:r>
        <w:rPr>
          <w:rFonts w:ascii="Times New Roman" w:eastAsia="宋体" w:hAnsi="Times New Roman"/>
          <w:sz w:val="20"/>
          <w:szCs w:val="20"/>
        </w:rPr>
        <w:t>.</w:t>
      </w:r>
    </w:p>
    <w:p w14:paraId="555671D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Ms. Milrod joined State Street in December 2018 as Executive Vice President and Head of Global Clients Division. Prior to joining State Street, Ms. Milrod was most recently a senior advisor to Broadridge Financial Solutions, a provider of investor communic</w:t>
      </w:r>
      <w:r>
        <w:rPr>
          <w:rFonts w:ascii="Arial" w:eastAsia="宋体" w:hAnsi="Arial" w:cs="Arial"/>
          <w:sz w:val="20"/>
          <w:szCs w:val="20"/>
        </w:rPr>
        <w:t xml:space="preserve">ations and technology-driven solutions to banks, broker/dealers, asset managers and corporate issuers globally, from January 2018 through November 2018 and senior </w:t>
      </w:r>
    </w:p>
    <w:p w14:paraId="555671D1"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1D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advisor to McKinsey &amp; Co, a global management consulting firm, from May 2017 to June 2018.</w:t>
      </w:r>
      <w:r>
        <w:rPr>
          <w:rFonts w:ascii="Arial" w:eastAsia="宋体" w:hAnsi="Arial" w:cs="Arial"/>
          <w:sz w:val="20"/>
          <w:szCs w:val="20"/>
        </w:rPr>
        <w:t xml:space="preserve"> Ms. Milrod served as head of DTCC Solutions at the Depository Trust &amp; Clearing Corporation, a provider of information-based and business processing solutions to financial intermediaries globally, from February 2015 to November 2016 and before that served </w:t>
      </w:r>
      <w:r>
        <w:rPr>
          <w:rFonts w:ascii="Arial" w:eastAsia="宋体" w:hAnsi="Arial" w:cs="Arial"/>
          <w:sz w:val="20"/>
          <w:szCs w:val="20"/>
        </w:rPr>
        <w:t>as chief administrative officer, leading operations and finance, from October 2012 to February 2015. Ms. Milrod held several senior positions with Deutsche Bank from 1993 to 2012.</w:t>
      </w:r>
    </w:p>
    <w:p w14:paraId="555671D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Ms. Nolan joined State Street in October 2015 and has served as Head of Glob</w:t>
      </w:r>
      <w:r>
        <w:rPr>
          <w:rFonts w:ascii="Arial" w:eastAsia="宋体" w:hAnsi="Arial" w:cs="Arial"/>
          <w:sz w:val="20"/>
          <w:szCs w:val="20"/>
        </w:rPr>
        <w:t>al Delivery since February 2019. Prior to that, she served as Chief Executive Officer for Europe, the Middle East and Africa from January 2018 to July 2019 and as part of her transition from that role she remains responsible for some of our UK-regulated ac</w:t>
      </w:r>
      <w:r>
        <w:rPr>
          <w:rFonts w:ascii="Arial" w:eastAsia="宋体" w:hAnsi="Arial" w:cs="Arial"/>
          <w:sz w:val="20"/>
          <w:szCs w:val="20"/>
        </w:rPr>
        <w:t>tivities.  Prior to that, she served as Executive Vice President and co-head of State Street Global Services for Europe, the Middle East and Africa from January 2017 to January 2018. Prior to that role, she served as head of European Banking from October 2</w:t>
      </w:r>
      <w:r>
        <w:rPr>
          <w:rFonts w:ascii="Arial" w:eastAsia="宋体" w:hAnsi="Arial" w:cs="Arial"/>
          <w:sz w:val="20"/>
          <w:szCs w:val="20"/>
        </w:rPr>
        <w:t>015 to January 2017.  Before joining State Street, from January 2015 to October 2015, Ms. Nolan served as managing director at Deutsche Bank in the global custody and clearing business. Prior to that role, Ms. Nolan spent 12 years at J.P. Morgan in various</w:t>
      </w:r>
      <w:r>
        <w:rPr>
          <w:rFonts w:ascii="Arial" w:eastAsia="宋体" w:hAnsi="Arial" w:cs="Arial"/>
          <w:sz w:val="20"/>
          <w:szCs w:val="20"/>
        </w:rPr>
        <w:t xml:space="preserve"> senior leadership roles, including from 2009 to 2014 as the head of client services and client onboarding globally for markets and investor services.</w:t>
      </w:r>
    </w:p>
    <w:p w14:paraId="555671D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 Plansky joined State Street in January 2017 and has served as Executive Vice President and Chief Exec</w:t>
      </w:r>
      <w:r>
        <w:rPr>
          <w:rFonts w:ascii="Arial" w:eastAsia="宋体" w:hAnsi="Arial" w:cs="Arial"/>
          <w:sz w:val="20"/>
          <w:szCs w:val="20"/>
        </w:rPr>
        <w:t>utive Officer of CRD since October 2018 and head of State Street Global Exchange since January 2017. Before joining State Street, Mr. Plansky led the U</w:t>
      </w:r>
      <w:r>
        <w:rPr>
          <w:rFonts w:ascii="Times New Roman" w:eastAsia="宋体" w:hAnsi="Times New Roman"/>
          <w:sz w:val="20"/>
          <w:szCs w:val="20"/>
        </w:rPr>
        <w:t>.</w:t>
      </w:r>
      <w:r>
        <w:rPr>
          <w:rFonts w:ascii="Arial" w:eastAsia="宋体" w:hAnsi="Arial" w:cs="Arial"/>
          <w:sz w:val="20"/>
          <w:szCs w:val="20"/>
        </w:rPr>
        <w:t>S</w:t>
      </w:r>
      <w:r>
        <w:rPr>
          <w:rFonts w:ascii="Times New Roman" w:eastAsia="宋体" w:hAnsi="Times New Roman"/>
          <w:sz w:val="20"/>
          <w:szCs w:val="20"/>
        </w:rPr>
        <w:t>.</w:t>
      </w:r>
      <w:r>
        <w:rPr>
          <w:rFonts w:ascii="Arial" w:eastAsia="宋体" w:hAnsi="Arial" w:cs="Arial"/>
          <w:sz w:val="20"/>
          <w:szCs w:val="20"/>
        </w:rPr>
        <w:t xml:space="preserve"> Strategy business and U</w:t>
      </w:r>
      <w:r>
        <w:rPr>
          <w:rFonts w:ascii="Times New Roman" w:eastAsia="宋体" w:hAnsi="Times New Roman"/>
          <w:sz w:val="20"/>
          <w:szCs w:val="20"/>
        </w:rPr>
        <w:t>.</w:t>
      </w:r>
      <w:r>
        <w:rPr>
          <w:rFonts w:ascii="Arial" w:eastAsia="宋体" w:hAnsi="Arial" w:cs="Arial"/>
          <w:sz w:val="20"/>
          <w:szCs w:val="20"/>
        </w:rPr>
        <w:t>S</w:t>
      </w:r>
      <w:r>
        <w:rPr>
          <w:rFonts w:ascii="Times New Roman" w:eastAsia="宋体" w:hAnsi="Times New Roman"/>
          <w:sz w:val="20"/>
          <w:szCs w:val="20"/>
        </w:rPr>
        <w:t>.</w:t>
      </w:r>
      <w:r>
        <w:rPr>
          <w:rFonts w:ascii="Arial" w:eastAsia="宋体" w:hAnsi="Arial" w:cs="Arial"/>
          <w:sz w:val="20"/>
          <w:szCs w:val="20"/>
        </w:rPr>
        <w:t xml:space="preserve"> Global Platforms business for PricewaterhouseCoopers, an international professional services firm, from April 2014 to November 2016. Prior to the acquisition of Booz &amp; Co. by PricewaterhouseCoopers, he was a senior partner at Booz &amp; Co. leading the techno</w:t>
      </w:r>
      <w:r>
        <w:rPr>
          <w:rFonts w:ascii="Arial" w:eastAsia="宋体" w:hAnsi="Arial" w:cs="Arial"/>
          <w:sz w:val="20"/>
          <w:szCs w:val="20"/>
        </w:rPr>
        <w:t>logy practice and serving as a senior advisor to global financial institutions</w:t>
      </w:r>
      <w:r>
        <w:rPr>
          <w:rFonts w:ascii="Times New Roman" w:eastAsia="宋体" w:hAnsi="Times New Roman"/>
          <w:sz w:val="20"/>
          <w:szCs w:val="20"/>
        </w:rPr>
        <w:t>.</w:t>
      </w:r>
    </w:p>
    <w:p w14:paraId="555671D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Mr. Taraporevala joined State Street in April 2016 and since November 2017 has served as President and Chief Executive Officer of State Street Global Advisors. He joined State </w:t>
      </w:r>
      <w:r>
        <w:rPr>
          <w:rFonts w:ascii="Arial" w:eastAsia="宋体" w:hAnsi="Arial" w:cs="Arial"/>
          <w:sz w:val="20"/>
          <w:szCs w:val="20"/>
        </w:rPr>
        <w:t>Street Global Advisors as Executive Vice President and Global Head of Product and Marketing. Prior to joining State Street Global Advisors, Mr. Taraporevala was the head of Retail Managed Accounts and Life Insurance &amp; Annuities for Fidelity Investments fro</w:t>
      </w:r>
      <w:r>
        <w:rPr>
          <w:rFonts w:ascii="Arial" w:eastAsia="宋体" w:hAnsi="Arial" w:cs="Arial"/>
          <w:sz w:val="20"/>
          <w:szCs w:val="20"/>
        </w:rPr>
        <w:t>m 2012 to October 2015. Prior to that, Mr. Taraporevala held senior leadership roles at BNY Mellon Asset Management, including executive director of North American distribution.</w:t>
      </w:r>
    </w:p>
    <w:p w14:paraId="555671D6" w14:textId="77777777" w:rsidR="00F925DD" w:rsidRDefault="00F925DD">
      <w:pPr>
        <w:rPr>
          <w:rFonts w:ascii="Times New Roman" w:hAnsi="Times New Roman"/>
          <w:sz w:val="20"/>
          <w:szCs w:val="20"/>
        </w:rPr>
      </w:pPr>
    </w:p>
    <w:p w14:paraId="555671D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51</w:t>
      </w:r>
    </w:p>
    <w:p w14:paraId="555671D8" w14:textId="77777777" w:rsidR="00F925DD" w:rsidRDefault="00F925DD">
      <w:pPr>
        <w:spacing w:line="288" w:lineRule="auto"/>
        <w:ind w:firstLine="600"/>
        <w:jc w:val="center"/>
        <w:rPr>
          <w:rFonts w:ascii="Times New Roman" w:hAnsi="Times New Roman"/>
          <w:sz w:val="18"/>
          <w:szCs w:val="18"/>
        </w:rPr>
      </w:pPr>
    </w:p>
    <w:p w14:paraId="555671D9" w14:textId="77777777" w:rsidR="00F925DD" w:rsidRDefault="00E705D7">
      <w:r>
        <w:rPr>
          <w:rFonts w:ascii="Times New Roman" w:hAnsi="Times New Roman"/>
          <w:sz w:val="18"/>
          <w:szCs w:val="18"/>
        </w:rPr>
        <w:pict w14:anchorId="5557066B">
          <v:rect id="_x0000_i1075" style="width:415.3pt;height:1.5pt" o:hralign="center" o:hrstd="t" o:hr="t" fillcolor="#a0a0a0" stroked="f"/>
        </w:pict>
      </w:r>
    </w:p>
    <w:p w14:paraId="555671DA" w14:textId="77777777" w:rsidR="00F925DD" w:rsidRDefault="00F925DD">
      <w:pPr>
        <w:spacing w:line="288" w:lineRule="auto"/>
        <w:ind w:firstLine="600"/>
        <w:rPr>
          <w:rFonts w:ascii="Times New Roman" w:hAnsi="Times New Roman"/>
          <w:sz w:val="18"/>
          <w:szCs w:val="18"/>
        </w:rPr>
      </w:pPr>
    </w:p>
    <w:p w14:paraId="555671DB" w14:textId="77777777" w:rsidR="00F925DD" w:rsidRDefault="00F925DD">
      <w:pPr>
        <w:rPr>
          <w:rFonts w:ascii="Times New Roman" w:hAnsi="Times New Roman"/>
          <w:sz w:val="20"/>
          <w:szCs w:val="20"/>
        </w:rPr>
      </w:pPr>
    </w:p>
    <w:p w14:paraId="555671DC"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PART II</w:t>
      </w:r>
    </w:p>
    <w:p w14:paraId="555671DD"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ITEM 5. MARKET FOR REGISTRANT’S CO</w:t>
      </w:r>
      <w:r>
        <w:rPr>
          <w:rFonts w:ascii="Arial" w:eastAsia="宋体" w:hAnsi="Arial" w:cs="Arial"/>
          <w:b/>
          <w:bCs/>
          <w:sz w:val="20"/>
          <w:szCs w:val="20"/>
        </w:rPr>
        <w:t>MMON EQUITY, RELATED STOCKHOLDER MATTERS AND ISSUER PURCHASES OF EQUITY SECURITIES</w:t>
      </w:r>
    </w:p>
    <w:p w14:paraId="555671DE"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MARKET F</w:t>
      </w:r>
      <w:r>
        <w:rPr>
          <w:rFonts w:ascii="Arial" w:eastAsia="宋体" w:hAnsi="Arial" w:cs="Arial"/>
          <w:b/>
          <w:bCs/>
          <w:sz w:val="20"/>
          <w:szCs w:val="20"/>
        </w:rPr>
        <w:t>OR REGISTRANT'S COMMON EQUITY</w:t>
      </w:r>
    </w:p>
    <w:p w14:paraId="555671D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common stock is listed on the New York Stock Exchange under the ticker symbol STT. There were 2,367 shareholders of record as of Ja</w:t>
      </w:r>
      <w:r>
        <w:rPr>
          <w:rFonts w:ascii="Arial" w:eastAsia="宋体" w:hAnsi="Arial" w:cs="Arial"/>
          <w:sz w:val="20"/>
          <w:szCs w:val="20"/>
        </w:rPr>
        <w:t>nuary 31, 2020.</w:t>
      </w:r>
    </w:p>
    <w:p w14:paraId="555671E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June 2019, our Board approved a common stock purchase program authorizing the purchase of up to $2.0 billion of our common stock from July 1, 2019 through June 30, 2020 (the 2019 Program). As of December 31, 2019, we had approximately $1</w:t>
      </w:r>
      <w:r>
        <w:rPr>
          <w:rFonts w:ascii="Arial" w:eastAsia="宋体" w:hAnsi="Arial" w:cs="Arial"/>
          <w:sz w:val="20"/>
          <w:szCs w:val="20"/>
        </w:rPr>
        <w:t>.0 billion remaining under the 2019 Program. The following table presents purchases of our common stock and related information for each of the months in the quarter ended December 31, 2019. All shares of our common stock purchased during the quarter ended</w:t>
      </w:r>
      <w:r>
        <w:rPr>
          <w:rFonts w:ascii="Arial" w:eastAsia="宋体" w:hAnsi="Arial" w:cs="Arial"/>
          <w:sz w:val="20"/>
          <w:szCs w:val="20"/>
        </w:rPr>
        <w:t xml:space="preserve"> December 31, 2019 were purchased under the 2019 Program.</w:t>
      </w:r>
    </w:p>
    <w:tbl>
      <w:tblPr>
        <w:tblW w:w="5000" w:type="pct"/>
        <w:tblCellMar>
          <w:left w:w="0" w:type="dxa"/>
          <w:right w:w="0" w:type="dxa"/>
        </w:tblCellMar>
        <w:tblLook w:val="04A0" w:firstRow="1" w:lastRow="0" w:firstColumn="1" w:lastColumn="0" w:noHBand="0" w:noVBand="1"/>
      </w:tblPr>
      <w:tblGrid>
        <w:gridCol w:w="1656"/>
        <w:gridCol w:w="1241"/>
        <w:gridCol w:w="79"/>
        <w:gridCol w:w="162"/>
        <w:gridCol w:w="108"/>
        <w:gridCol w:w="910"/>
        <w:gridCol w:w="79"/>
        <w:gridCol w:w="162"/>
        <w:gridCol w:w="2073"/>
        <w:gridCol w:w="79"/>
        <w:gridCol w:w="162"/>
        <w:gridCol w:w="108"/>
        <w:gridCol w:w="1408"/>
        <w:gridCol w:w="79"/>
      </w:tblGrid>
      <w:tr w:rsidR="00F925DD" w14:paraId="555671E2" w14:textId="77777777">
        <w:tc>
          <w:tcPr>
            <w:tcW w:w="0" w:type="auto"/>
            <w:gridSpan w:val="14"/>
            <w:shd w:val="clear" w:color="auto" w:fill="auto"/>
            <w:vAlign w:val="center"/>
          </w:tcPr>
          <w:p w14:paraId="555671E1" w14:textId="77777777" w:rsidR="00F925DD" w:rsidRDefault="00F925DD">
            <w:pPr>
              <w:rPr>
                <w:rFonts w:ascii="Times New Roman" w:hAnsi="Times New Roman"/>
                <w:sz w:val="20"/>
                <w:szCs w:val="20"/>
              </w:rPr>
            </w:pPr>
          </w:p>
        </w:tc>
      </w:tr>
      <w:tr w:rsidR="00F925DD" w14:paraId="555671F1" w14:textId="77777777">
        <w:tc>
          <w:tcPr>
            <w:tcW w:w="1000" w:type="pct"/>
            <w:shd w:val="clear" w:color="auto" w:fill="auto"/>
            <w:vAlign w:val="center"/>
          </w:tcPr>
          <w:p w14:paraId="555671E3" w14:textId="77777777" w:rsidR="00F925DD" w:rsidRDefault="00F925DD">
            <w:pPr>
              <w:rPr>
                <w:rFonts w:ascii="Times New Roman" w:hAnsi="Times New Roman"/>
                <w:sz w:val="20"/>
                <w:szCs w:val="20"/>
              </w:rPr>
            </w:pPr>
          </w:p>
        </w:tc>
        <w:tc>
          <w:tcPr>
            <w:tcW w:w="750" w:type="pct"/>
            <w:shd w:val="clear" w:color="auto" w:fill="auto"/>
            <w:vAlign w:val="center"/>
          </w:tcPr>
          <w:p w14:paraId="555671E4" w14:textId="77777777" w:rsidR="00F925DD" w:rsidRDefault="00F925DD">
            <w:pPr>
              <w:rPr>
                <w:rFonts w:ascii="Times New Roman" w:hAnsi="Times New Roman"/>
                <w:sz w:val="20"/>
                <w:szCs w:val="20"/>
              </w:rPr>
            </w:pPr>
          </w:p>
        </w:tc>
        <w:tc>
          <w:tcPr>
            <w:tcW w:w="50" w:type="pct"/>
            <w:shd w:val="clear" w:color="auto" w:fill="auto"/>
            <w:vAlign w:val="center"/>
          </w:tcPr>
          <w:p w14:paraId="555671E5" w14:textId="77777777" w:rsidR="00F925DD" w:rsidRDefault="00F925DD">
            <w:pPr>
              <w:rPr>
                <w:rFonts w:ascii="Times New Roman" w:hAnsi="Times New Roman"/>
                <w:sz w:val="20"/>
                <w:szCs w:val="20"/>
              </w:rPr>
            </w:pPr>
          </w:p>
        </w:tc>
        <w:tc>
          <w:tcPr>
            <w:tcW w:w="100" w:type="pct"/>
            <w:shd w:val="clear" w:color="auto" w:fill="auto"/>
            <w:vAlign w:val="center"/>
          </w:tcPr>
          <w:p w14:paraId="555671E6" w14:textId="77777777" w:rsidR="00F925DD" w:rsidRDefault="00F925DD">
            <w:pPr>
              <w:rPr>
                <w:rFonts w:ascii="Times New Roman" w:hAnsi="Times New Roman"/>
                <w:sz w:val="20"/>
                <w:szCs w:val="20"/>
              </w:rPr>
            </w:pPr>
          </w:p>
        </w:tc>
        <w:tc>
          <w:tcPr>
            <w:tcW w:w="50" w:type="pct"/>
            <w:shd w:val="clear" w:color="auto" w:fill="auto"/>
            <w:vAlign w:val="center"/>
          </w:tcPr>
          <w:p w14:paraId="555671E7" w14:textId="77777777" w:rsidR="00F925DD" w:rsidRDefault="00F925DD">
            <w:pPr>
              <w:rPr>
                <w:rFonts w:ascii="Times New Roman" w:hAnsi="Times New Roman"/>
                <w:sz w:val="20"/>
                <w:szCs w:val="20"/>
              </w:rPr>
            </w:pPr>
          </w:p>
        </w:tc>
        <w:tc>
          <w:tcPr>
            <w:tcW w:w="550" w:type="pct"/>
            <w:shd w:val="clear" w:color="auto" w:fill="auto"/>
            <w:vAlign w:val="center"/>
          </w:tcPr>
          <w:p w14:paraId="555671E8" w14:textId="77777777" w:rsidR="00F925DD" w:rsidRDefault="00F925DD">
            <w:pPr>
              <w:rPr>
                <w:rFonts w:ascii="Times New Roman" w:hAnsi="Times New Roman"/>
                <w:sz w:val="20"/>
                <w:szCs w:val="20"/>
              </w:rPr>
            </w:pPr>
          </w:p>
        </w:tc>
        <w:tc>
          <w:tcPr>
            <w:tcW w:w="50" w:type="pct"/>
            <w:shd w:val="clear" w:color="auto" w:fill="auto"/>
            <w:vAlign w:val="center"/>
          </w:tcPr>
          <w:p w14:paraId="555671E9" w14:textId="77777777" w:rsidR="00F925DD" w:rsidRDefault="00F925DD">
            <w:pPr>
              <w:rPr>
                <w:rFonts w:ascii="Times New Roman" w:hAnsi="Times New Roman"/>
                <w:sz w:val="20"/>
                <w:szCs w:val="20"/>
              </w:rPr>
            </w:pPr>
          </w:p>
        </w:tc>
        <w:tc>
          <w:tcPr>
            <w:tcW w:w="100" w:type="pct"/>
            <w:shd w:val="clear" w:color="auto" w:fill="auto"/>
            <w:vAlign w:val="center"/>
          </w:tcPr>
          <w:p w14:paraId="555671EA" w14:textId="77777777" w:rsidR="00F925DD" w:rsidRDefault="00F925DD">
            <w:pPr>
              <w:rPr>
                <w:rFonts w:ascii="Times New Roman" w:hAnsi="Times New Roman"/>
                <w:sz w:val="20"/>
                <w:szCs w:val="20"/>
              </w:rPr>
            </w:pPr>
          </w:p>
        </w:tc>
        <w:tc>
          <w:tcPr>
            <w:tcW w:w="1250" w:type="pct"/>
            <w:shd w:val="clear" w:color="auto" w:fill="auto"/>
            <w:vAlign w:val="center"/>
          </w:tcPr>
          <w:p w14:paraId="555671EB" w14:textId="77777777" w:rsidR="00F925DD" w:rsidRDefault="00F925DD">
            <w:pPr>
              <w:rPr>
                <w:rFonts w:ascii="Times New Roman" w:hAnsi="Times New Roman"/>
                <w:sz w:val="20"/>
                <w:szCs w:val="20"/>
              </w:rPr>
            </w:pPr>
          </w:p>
        </w:tc>
        <w:tc>
          <w:tcPr>
            <w:tcW w:w="50" w:type="pct"/>
            <w:shd w:val="clear" w:color="auto" w:fill="auto"/>
            <w:vAlign w:val="center"/>
          </w:tcPr>
          <w:p w14:paraId="555671EC" w14:textId="77777777" w:rsidR="00F925DD" w:rsidRDefault="00F925DD">
            <w:pPr>
              <w:rPr>
                <w:rFonts w:ascii="Times New Roman" w:hAnsi="Times New Roman"/>
                <w:sz w:val="20"/>
                <w:szCs w:val="20"/>
              </w:rPr>
            </w:pPr>
          </w:p>
        </w:tc>
        <w:tc>
          <w:tcPr>
            <w:tcW w:w="100" w:type="pct"/>
            <w:shd w:val="clear" w:color="auto" w:fill="auto"/>
            <w:vAlign w:val="center"/>
          </w:tcPr>
          <w:p w14:paraId="555671ED" w14:textId="77777777" w:rsidR="00F925DD" w:rsidRDefault="00F925DD">
            <w:pPr>
              <w:rPr>
                <w:rFonts w:ascii="Times New Roman" w:hAnsi="Times New Roman"/>
                <w:sz w:val="20"/>
                <w:szCs w:val="20"/>
              </w:rPr>
            </w:pPr>
          </w:p>
        </w:tc>
        <w:tc>
          <w:tcPr>
            <w:tcW w:w="50" w:type="pct"/>
            <w:shd w:val="clear" w:color="auto" w:fill="auto"/>
            <w:vAlign w:val="center"/>
          </w:tcPr>
          <w:p w14:paraId="555671EE" w14:textId="77777777" w:rsidR="00F925DD" w:rsidRDefault="00F925DD">
            <w:pPr>
              <w:rPr>
                <w:rFonts w:ascii="Times New Roman" w:hAnsi="Times New Roman"/>
                <w:sz w:val="20"/>
                <w:szCs w:val="20"/>
              </w:rPr>
            </w:pPr>
          </w:p>
        </w:tc>
        <w:tc>
          <w:tcPr>
            <w:tcW w:w="850" w:type="pct"/>
            <w:shd w:val="clear" w:color="auto" w:fill="auto"/>
            <w:vAlign w:val="center"/>
          </w:tcPr>
          <w:p w14:paraId="555671EF" w14:textId="77777777" w:rsidR="00F925DD" w:rsidRDefault="00F925DD">
            <w:pPr>
              <w:rPr>
                <w:rFonts w:ascii="Times New Roman" w:hAnsi="Times New Roman"/>
                <w:sz w:val="20"/>
                <w:szCs w:val="20"/>
              </w:rPr>
            </w:pPr>
          </w:p>
        </w:tc>
        <w:tc>
          <w:tcPr>
            <w:tcW w:w="50" w:type="pct"/>
            <w:shd w:val="clear" w:color="auto" w:fill="auto"/>
            <w:vAlign w:val="center"/>
          </w:tcPr>
          <w:p w14:paraId="555671F0" w14:textId="77777777" w:rsidR="00F925DD" w:rsidRDefault="00F925DD">
            <w:pPr>
              <w:rPr>
                <w:rFonts w:ascii="Times New Roman" w:hAnsi="Times New Roman"/>
                <w:sz w:val="20"/>
                <w:szCs w:val="20"/>
              </w:rPr>
            </w:pPr>
          </w:p>
        </w:tc>
      </w:tr>
      <w:tr w:rsidR="00F925DD" w14:paraId="555671FA" w14:textId="77777777">
        <w:tc>
          <w:tcPr>
            <w:tcW w:w="0" w:type="auto"/>
            <w:shd w:val="clear" w:color="auto" w:fill="auto"/>
            <w:tcMar>
              <w:top w:w="40" w:type="dxa"/>
              <w:left w:w="40" w:type="dxa"/>
              <w:bottom w:w="40" w:type="dxa"/>
              <w:right w:w="40" w:type="dxa"/>
            </w:tcMar>
            <w:vAlign w:val="bottom"/>
          </w:tcPr>
          <w:p w14:paraId="555671F2"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(Dollars in millions except per share amounts; shares in thousands)</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1F3"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Total Number of shares purchased</w:t>
            </w:r>
          </w:p>
        </w:tc>
        <w:tc>
          <w:tcPr>
            <w:tcW w:w="0" w:type="auto"/>
            <w:shd w:val="clear" w:color="auto" w:fill="auto"/>
            <w:tcMar>
              <w:top w:w="40" w:type="dxa"/>
              <w:left w:w="40" w:type="dxa"/>
              <w:bottom w:w="40" w:type="dxa"/>
              <w:right w:w="40" w:type="dxa"/>
            </w:tcMar>
            <w:vAlign w:val="bottom"/>
          </w:tcPr>
          <w:p w14:paraId="555671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1F5"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Average price per share</w:t>
            </w:r>
          </w:p>
        </w:tc>
        <w:tc>
          <w:tcPr>
            <w:tcW w:w="0" w:type="auto"/>
            <w:shd w:val="clear" w:color="auto" w:fill="auto"/>
            <w:tcMar>
              <w:top w:w="40" w:type="dxa"/>
              <w:left w:w="40" w:type="dxa"/>
              <w:bottom w:w="40" w:type="dxa"/>
              <w:right w:w="40" w:type="dxa"/>
            </w:tcMar>
            <w:vAlign w:val="bottom"/>
          </w:tcPr>
          <w:p w14:paraId="555671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1F7"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Total number of shares purchased as part of </w:t>
            </w:r>
            <w:r>
              <w:rPr>
                <w:rFonts w:ascii="Arial" w:eastAsia="宋体" w:hAnsi="Arial" w:cs="Arial"/>
                <w:b/>
                <w:bCs/>
                <w:sz w:val="12"/>
                <w:szCs w:val="12"/>
              </w:rPr>
              <w:t>publicly announced program</w:t>
            </w:r>
          </w:p>
        </w:tc>
        <w:tc>
          <w:tcPr>
            <w:tcW w:w="0" w:type="auto"/>
            <w:shd w:val="clear" w:color="auto" w:fill="auto"/>
            <w:tcMar>
              <w:top w:w="40" w:type="dxa"/>
              <w:left w:w="40" w:type="dxa"/>
              <w:bottom w:w="40" w:type="dxa"/>
              <w:right w:w="40" w:type="dxa"/>
            </w:tcMar>
            <w:vAlign w:val="bottom"/>
          </w:tcPr>
          <w:p w14:paraId="555671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1F9"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Approximate dollar value of shares that may yet be purchased under publicly announced program</w:t>
            </w:r>
          </w:p>
        </w:tc>
      </w:tr>
      <w:tr w:rsidR="00F925DD" w14:paraId="55567203" w14:textId="77777777">
        <w:tc>
          <w:tcPr>
            <w:tcW w:w="0" w:type="auto"/>
            <w:shd w:val="clear" w:color="auto" w:fill="auto"/>
            <w:tcMar>
              <w:top w:w="40" w:type="dxa"/>
              <w:left w:w="40" w:type="dxa"/>
              <w:bottom w:w="40" w:type="dxa"/>
              <w:right w:w="40" w:type="dxa"/>
            </w:tcMar>
          </w:tcPr>
          <w:p w14:paraId="555671FB" w14:textId="77777777" w:rsidR="00F925DD" w:rsidRDefault="00E705D7">
            <w:pPr>
              <w:textAlignment w:val="top"/>
              <w:rPr>
                <w:rFonts w:ascii="Times New Roman" w:hAnsi="Times New Roman"/>
                <w:sz w:val="12"/>
                <w:szCs w:val="12"/>
              </w:rPr>
            </w:pPr>
            <w:r>
              <w:rPr>
                <w:rFonts w:ascii="Arial" w:eastAsia="宋体" w:hAnsi="Arial" w:cs="Arial"/>
                <w:b/>
                <w:bCs/>
                <w:sz w:val="12"/>
                <w:szCs w:val="12"/>
              </w:rPr>
              <w:t>Period:</w:t>
            </w:r>
          </w:p>
        </w:tc>
        <w:tc>
          <w:tcPr>
            <w:tcW w:w="0" w:type="auto"/>
            <w:gridSpan w:val="2"/>
            <w:shd w:val="clear" w:color="auto" w:fill="auto"/>
            <w:tcMar>
              <w:top w:w="40" w:type="dxa"/>
              <w:left w:w="40" w:type="dxa"/>
              <w:bottom w:w="40" w:type="dxa"/>
              <w:right w:w="40" w:type="dxa"/>
            </w:tcMar>
            <w:vAlign w:val="bottom"/>
          </w:tcPr>
          <w:p w14:paraId="555671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1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1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1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2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2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2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212" w14:textId="77777777">
        <w:tc>
          <w:tcPr>
            <w:tcW w:w="0" w:type="auto"/>
            <w:shd w:val="clear" w:color="auto" w:fill="CCEEFF"/>
            <w:tcMar>
              <w:top w:w="40" w:type="dxa"/>
              <w:left w:w="40" w:type="dxa"/>
              <w:bottom w:w="40" w:type="dxa"/>
              <w:right w:w="40" w:type="dxa"/>
            </w:tcMar>
          </w:tcPr>
          <w:p w14:paraId="55567204" w14:textId="77777777" w:rsidR="00F925DD" w:rsidRDefault="00E705D7">
            <w:pPr>
              <w:textAlignment w:val="top"/>
              <w:rPr>
                <w:rFonts w:ascii="Times New Roman" w:hAnsi="Times New Roman"/>
                <w:sz w:val="12"/>
                <w:szCs w:val="12"/>
              </w:rPr>
            </w:pPr>
            <w:r>
              <w:rPr>
                <w:rFonts w:ascii="Arial" w:eastAsia="宋体" w:hAnsi="Arial" w:cs="Arial"/>
                <w:sz w:val="12"/>
                <w:szCs w:val="12"/>
              </w:rPr>
              <w:t>October 1 - October 31, 2019</w:t>
            </w:r>
          </w:p>
        </w:tc>
        <w:tc>
          <w:tcPr>
            <w:tcW w:w="0" w:type="auto"/>
            <w:shd w:val="clear" w:color="auto" w:fill="CCEEFF"/>
            <w:tcMar>
              <w:top w:w="40" w:type="dxa"/>
              <w:left w:w="40" w:type="dxa"/>
              <w:bottom w:w="40" w:type="dxa"/>
            </w:tcMar>
          </w:tcPr>
          <w:p w14:paraId="55567205"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609</w:t>
            </w:r>
          </w:p>
        </w:tc>
        <w:tc>
          <w:tcPr>
            <w:tcW w:w="0" w:type="auto"/>
            <w:shd w:val="clear" w:color="auto" w:fill="CCEEFF"/>
            <w:vAlign w:val="bottom"/>
          </w:tcPr>
          <w:p w14:paraId="5556720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5567208" w14:textId="77777777" w:rsidR="00F925DD" w:rsidRDefault="00E705D7">
            <w:pPr>
              <w:textAlignment w:val="top"/>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tcPr>
          <w:p w14:paraId="55567209"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66.62</w:t>
            </w:r>
          </w:p>
        </w:tc>
        <w:tc>
          <w:tcPr>
            <w:tcW w:w="0" w:type="auto"/>
            <w:shd w:val="clear" w:color="auto" w:fill="CCEEFF"/>
            <w:vAlign w:val="bottom"/>
          </w:tcPr>
          <w:p w14:paraId="5556720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556720C"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609</w:t>
            </w:r>
          </w:p>
        </w:tc>
        <w:tc>
          <w:tcPr>
            <w:tcW w:w="0" w:type="auto"/>
            <w:shd w:val="clear" w:color="auto" w:fill="CCEEFF"/>
            <w:vAlign w:val="bottom"/>
          </w:tcPr>
          <w:p w14:paraId="5556720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556720F" w14:textId="77777777" w:rsidR="00F925DD" w:rsidRDefault="00E705D7">
            <w:pPr>
              <w:textAlignment w:val="top"/>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tcPr>
          <w:p w14:paraId="55567210"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1,459</w:t>
            </w:r>
          </w:p>
        </w:tc>
        <w:tc>
          <w:tcPr>
            <w:tcW w:w="0" w:type="auto"/>
            <w:shd w:val="clear" w:color="auto" w:fill="CCEEFF"/>
            <w:vAlign w:val="bottom"/>
          </w:tcPr>
          <w:p w14:paraId="55567211" w14:textId="77777777" w:rsidR="00F925DD" w:rsidRDefault="00F925DD">
            <w:pPr>
              <w:textAlignment w:val="bottom"/>
              <w:rPr>
                <w:rFonts w:ascii="Times New Roman" w:hAnsi="Times New Roman"/>
                <w:sz w:val="20"/>
                <w:szCs w:val="20"/>
              </w:rPr>
            </w:pPr>
          </w:p>
        </w:tc>
      </w:tr>
      <w:tr w:rsidR="00F925DD" w14:paraId="5556721F" w14:textId="77777777">
        <w:tc>
          <w:tcPr>
            <w:tcW w:w="0" w:type="auto"/>
            <w:shd w:val="clear" w:color="auto" w:fill="auto"/>
            <w:tcMar>
              <w:top w:w="40" w:type="dxa"/>
              <w:left w:w="40" w:type="dxa"/>
              <w:bottom w:w="40" w:type="dxa"/>
              <w:right w:w="40" w:type="dxa"/>
            </w:tcMar>
          </w:tcPr>
          <w:p w14:paraId="55567213" w14:textId="77777777" w:rsidR="00F925DD" w:rsidRDefault="00E705D7">
            <w:pPr>
              <w:textAlignment w:val="top"/>
              <w:rPr>
                <w:rFonts w:ascii="Times New Roman" w:hAnsi="Times New Roman"/>
                <w:sz w:val="12"/>
                <w:szCs w:val="12"/>
              </w:rPr>
            </w:pPr>
            <w:r>
              <w:rPr>
                <w:rFonts w:ascii="Arial" w:eastAsia="宋体" w:hAnsi="Arial" w:cs="Arial"/>
                <w:sz w:val="12"/>
                <w:szCs w:val="12"/>
              </w:rPr>
              <w:t>November 1 - November 30, 2019</w:t>
            </w:r>
          </w:p>
        </w:tc>
        <w:tc>
          <w:tcPr>
            <w:tcW w:w="0" w:type="auto"/>
            <w:shd w:val="clear" w:color="auto" w:fill="auto"/>
            <w:tcMar>
              <w:top w:w="40" w:type="dxa"/>
              <w:left w:w="40" w:type="dxa"/>
              <w:bottom w:w="40" w:type="dxa"/>
            </w:tcMar>
          </w:tcPr>
          <w:p w14:paraId="55567214"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2,389</w:t>
            </w:r>
          </w:p>
        </w:tc>
        <w:tc>
          <w:tcPr>
            <w:tcW w:w="0" w:type="auto"/>
            <w:shd w:val="clear" w:color="auto" w:fill="auto"/>
            <w:vAlign w:val="bottom"/>
          </w:tcPr>
          <w:p w14:paraId="5556721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5567217"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72.82</w:t>
            </w:r>
          </w:p>
        </w:tc>
        <w:tc>
          <w:tcPr>
            <w:tcW w:w="0" w:type="auto"/>
            <w:shd w:val="clear" w:color="auto" w:fill="auto"/>
            <w:vAlign w:val="bottom"/>
          </w:tcPr>
          <w:p w14:paraId="5556721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556721A"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2,389</w:t>
            </w:r>
          </w:p>
        </w:tc>
        <w:tc>
          <w:tcPr>
            <w:tcW w:w="0" w:type="auto"/>
            <w:shd w:val="clear" w:color="auto" w:fill="auto"/>
            <w:vAlign w:val="bottom"/>
          </w:tcPr>
          <w:p w14:paraId="5556721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5556721D"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1,285</w:t>
            </w:r>
          </w:p>
        </w:tc>
        <w:tc>
          <w:tcPr>
            <w:tcW w:w="0" w:type="auto"/>
            <w:shd w:val="clear" w:color="auto" w:fill="auto"/>
            <w:vAlign w:val="bottom"/>
          </w:tcPr>
          <w:p w14:paraId="5556721E" w14:textId="77777777" w:rsidR="00F925DD" w:rsidRDefault="00F925DD">
            <w:pPr>
              <w:textAlignment w:val="bottom"/>
              <w:rPr>
                <w:rFonts w:ascii="Times New Roman" w:hAnsi="Times New Roman"/>
                <w:sz w:val="20"/>
                <w:szCs w:val="20"/>
              </w:rPr>
            </w:pPr>
          </w:p>
        </w:tc>
      </w:tr>
      <w:tr w:rsidR="00F925DD" w14:paraId="5556722C" w14:textId="77777777">
        <w:tc>
          <w:tcPr>
            <w:tcW w:w="0" w:type="auto"/>
            <w:shd w:val="clear" w:color="auto" w:fill="CCEEFF"/>
            <w:tcMar>
              <w:top w:w="40" w:type="dxa"/>
              <w:left w:w="40" w:type="dxa"/>
              <w:bottom w:w="40" w:type="dxa"/>
              <w:right w:w="40" w:type="dxa"/>
            </w:tcMar>
          </w:tcPr>
          <w:p w14:paraId="55567220" w14:textId="77777777" w:rsidR="00F925DD" w:rsidRDefault="00E705D7">
            <w:pPr>
              <w:textAlignment w:val="top"/>
              <w:rPr>
                <w:rFonts w:ascii="Times New Roman" w:hAnsi="Times New Roman"/>
                <w:sz w:val="12"/>
                <w:szCs w:val="12"/>
              </w:rPr>
            </w:pPr>
            <w:r>
              <w:rPr>
                <w:rFonts w:ascii="Arial" w:eastAsia="宋体" w:hAnsi="Arial" w:cs="Arial"/>
                <w:sz w:val="12"/>
                <w:szCs w:val="12"/>
              </w:rPr>
              <w:t>December 1 - December 31, 2019</w:t>
            </w:r>
          </w:p>
        </w:tc>
        <w:tc>
          <w:tcPr>
            <w:tcW w:w="0" w:type="auto"/>
            <w:shd w:val="clear" w:color="auto" w:fill="CCEEFF"/>
            <w:tcMar>
              <w:top w:w="40" w:type="dxa"/>
              <w:left w:w="40" w:type="dxa"/>
              <w:bottom w:w="40" w:type="dxa"/>
            </w:tcMar>
          </w:tcPr>
          <w:p w14:paraId="55567221"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3,651</w:t>
            </w:r>
          </w:p>
        </w:tc>
        <w:tc>
          <w:tcPr>
            <w:tcW w:w="0" w:type="auto"/>
            <w:shd w:val="clear" w:color="auto" w:fill="CCEEFF"/>
            <w:vAlign w:val="bottom"/>
          </w:tcPr>
          <w:p w14:paraId="5556722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5567224"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78.19</w:t>
            </w:r>
          </w:p>
        </w:tc>
        <w:tc>
          <w:tcPr>
            <w:tcW w:w="0" w:type="auto"/>
            <w:shd w:val="clear" w:color="auto" w:fill="CCEEFF"/>
            <w:vAlign w:val="bottom"/>
          </w:tcPr>
          <w:p w14:paraId="555672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55567227"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3,651</w:t>
            </w:r>
          </w:p>
        </w:tc>
        <w:tc>
          <w:tcPr>
            <w:tcW w:w="0" w:type="auto"/>
            <w:shd w:val="clear" w:color="auto" w:fill="CCEEFF"/>
            <w:vAlign w:val="bottom"/>
          </w:tcPr>
          <w:p w14:paraId="5556722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5556722A"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1,000</w:t>
            </w:r>
          </w:p>
        </w:tc>
        <w:tc>
          <w:tcPr>
            <w:tcW w:w="0" w:type="auto"/>
            <w:shd w:val="clear" w:color="auto" w:fill="CCEEFF"/>
            <w:vAlign w:val="bottom"/>
          </w:tcPr>
          <w:p w14:paraId="5556722B" w14:textId="77777777" w:rsidR="00F925DD" w:rsidRDefault="00F925DD">
            <w:pPr>
              <w:textAlignment w:val="bottom"/>
              <w:rPr>
                <w:rFonts w:ascii="Times New Roman" w:hAnsi="Times New Roman"/>
                <w:sz w:val="20"/>
                <w:szCs w:val="20"/>
              </w:rPr>
            </w:pPr>
          </w:p>
        </w:tc>
      </w:tr>
      <w:tr w:rsidR="00F925DD" w14:paraId="5556723B" w14:textId="77777777">
        <w:tc>
          <w:tcPr>
            <w:tcW w:w="0" w:type="auto"/>
            <w:shd w:val="clear" w:color="auto" w:fill="auto"/>
            <w:tcMar>
              <w:top w:w="40" w:type="dxa"/>
              <w:left w:w="40" w:type="dxa"/>
              <w:bottom w:w="40" w:type="dxa"/>
              <w:right w:w="40" w:type="dxa"/>
            </w:tcMar>
          </w:tcPr>
          <w:p w14:paraId="5556722D" w14:textId="77777777" w:rsidR="00F925DD" w:rsidRDefault="00E705D7">
            <w:pPr>
              <w:textAlignment w:val="top"/>
              <w:rPr>
                <w:rFonts w:ascii="Times New Roman" w:hAnsi="Times New Roman"/>
                <w:sz w:val="12"/>
                <w:szCs w:val="12"/>
              </w:rPr>
            </w:pPr>
            <w:r>
              <w:rPr>
                <w:rFonts w:ascii="Arial" w:eastAsia="宋体" w:hAnsi="Arial" w:cs="Arial"/>
                <w:sz w:val="12"/>
                <w:szCs w:val="12"/>
              </w:rPr>
              <w:t>Total</w:t>
            </w:r>
          </w:p>
        </w:tc>
        <w:tc>
          <w:tcPr>
            <w:tcW w:w="0" w:type="auto"/>
            <w:tcBorders>
              <w:top w:val="single" w:sz="8" w:space="0" w:color="000000"/>
              <w:bottom w:val="double" w:sz="6" w:space="0" w:color="000000"/>
            </w:tcBorders>
            <w:shd w:val="clear" w:color="auto" w:fill="auto"/>
            <w:tcMar>
              <w:top w:w="40" w:type="dxa"/>
              <w:left w:w="40" w:type="dxa"/>
              <w:bottom w:w="40" w:type="dxa"/>
            </w:tcMar>
          </w:tcPr>
          <w:p w14:paraId="5556722E"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6,649</w:t>
            </w:r>
          </w:p>
        </w:tc>
        <w:tc>
          <w:tcPr>
            <w:tcW w:w="0" w:type="auto"/>
            <w:tcBorders>
              <w:top w:val="single" w:sz="8" w:space="0" w:color="000000"/>
              <w:bottom w:val="double" w:sz="6" w:space="0" w:color="000000"/>
            </w:tcBorders>
            <w:shd w:val="clear" w:color="auto" w:fill="auto"/>
            <w:vAlign w:val="bottom"/>
          </w:tcPr>
          <w:p w14:paraId="5556722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5567231" w14:textId="77777777" w:rsidR="00F925DD" w:rsidRDefault="00E705D7">
            <w:pPr>
              <w:textAlignment w:val="top"/>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tcPr>
          <w:p w14:paraId="55567232"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75.20</w:t>
            </w:r>
          </w:p>
        </w:tc>
        <w:tc>
          <w:tcPr>
            <w:tcW w:w="0" w:type="auto"/>
            <w:shd w:val="clear" w:color="auto" w:fill="auto"/>
            <w:vAlign w:val="bottom"/>
          </w:tcPr>
          <w:p w14:paraId="5556723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tcPr>
          <w:p w14:paraId="55567235"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6,649</w:t>
            </w:r>
          </w:p>
        </w:tc>
        <w:tc>
          <w:tcPr>
            <w:tcW w:w="0" w:type="auto"/>
            <w:tcBorders>
              <w:top w:val="single" w:sz="8" w:space="0" w:color="000000"/>
              <w:bottom w:val="double" w:sz="6" w:space="0" w:color="000000"/>
            </w:tcBorders>
            <w:shd w:val="clear" w:color="auto" w:fill="auto"/>
            <w:vAlign w:val="bottom"/>
          </w:tcPr>
          <w:p w14:paraId="5556723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55567238" w14:textId="77777777" w:rsidR="00F925DD" w:rsidRDefault="00E705D7">
            <w:pPr>
              <w:textAlignment w:val="top"/>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tcPr>
          <w:p w14:paraId="55567239" w14:textId="77777777" w:rsidR="00F925DD" w:rsidRDefault="00E705D7">
            <w:pPr>
              <w:jc w:val="right"/>
              <w:textAlignment w:val="top"/>
              <w:rPr>
                <w:rFonts w:ascii="Times New Roman" w:hAnsi="Times New Roman"/>
                <w:sz w:val="12"/>
                <w:szCs w:val="12"/>
              </w:rPr>
            </w:pPr>
            <w:r>
              <w:rPr>
                <w:rFonts w:ascii="Arial" w:eastAsia="宋体" w:hAnsi="Arial" w:cs="Arial"/>
                <w:sz w:val="12"/>
                <w:szCs w:val="12"/>
              </w:rPr>
              <w:t>1,000</w:t>
            </w:r>
          </w:p>
        </w:tc>
        <w:tc>
          <w:tcPr>
            <w:tcW w:w="0" w:type="auto"/>
            <w:shd w:val="clear" w:color="auto" w:fill="auto"/>
            <w:vAlign w:val="bottom"/>
          </w:tcPr>
          <w:p w14:paraId="5556723A" w14:textId="77777777" w:rsidR="00F925DD" w:rsidRDefault="00F925DD">
            <w:pPr>
              <w:textAlignment w:val="bottom"/>
              <w:rPr>
                <w:rFonts w:ascii="Times New Roman" w:hAnsi="Times New Roman"/>
                <w:sz w:val="20"/>
                <w:szCs w:val="20"/>
              </w:rPr>
            </w:pPr>
          </w:p>
        </w:tc>
      </w:tr>
    </w:tbl>
    <w:p w14:paraId="5556723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Stock purchases may be made using various types of mechanisms, including open market purchases or </w:t>
      </w:r>
      <w:r>
        <w:rPr>
          <w:rFonts w:ascii="Arial" w:eastAsia="宋体" w:hAnsi="Arial" w:cs="Arial"/>
          <w:sz w:val="20"/>
          <w:szCs w:val="20"/>
        </w:rPr>
        <w:t>transactions off market, and may be made under Rule 10b5-1 trading programs. The timing of stock purchases, types of transactions and number of shares purchased will depend on several factors, including market conditions, our capital position, our financia</w:t>
      </w:r>
      <w:r>
        <w:rPr>
          <w:rFonts w:ascii="Arial" w:eastAsia="宋体" w:hAnsi="Arial" w:cs="Arial"/>
          <w:sz w:val="20"/>
          <w:szCs w:val="20"/>
        </w:rPr>
        <w:t>l performance and investment opportunities. Our common stock purchase program does not have specific price targets and may be suspended at any time. We may employ third-party broker/dealers to acquire shares on the open market in connection with our common</w:t>
      </w:r>
      <w:r>
        <w:rPr>
          <w:rFonts w:ascii="Arial" w:eastAsia="宋体" w:hAnsi="Arial" w:cs="Arial"/>
          <w:sz w:val="20"/>
          <w:szCs w:val="20"/>
        </w:rPr>
        <w:t xml:space="preserve"> stock purchase programs.</w:t>
      </w:r>
    </w:p>
    <w:p w14:paraId="5556723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our common stock, including Board authorization with respect to purchases by us of our common stock, is provided under "Capital" in “Financial Condition” in our Management's Discussion and Analysis and</w:t>
      </w:r>
      <w:r>
        <w:rPr>
          <w:rFonts w:ascii="Arial" w:eastAsia="宋体" w:hAnsi="Arial" w:cs="Arial"/>
          <w:sz w:val="20"/>
          <w:szCs w:val="20"/>
        </w:rPr>
        <w:t xml:space="preserve"> in Note 15 to the consolidated financial statements in this Form 10-K, and is incorporated herein by reference.</w:t>
      </w:r>
    </w:p>
    <w:p w14:paraId="5556723E"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RELATED STOCKHOLDER MATTERS</w:t>
      </w:r>
    </w:p>
    <w:p w14:paraId="5556723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a bank holding company, our Parent Company is a legal entity separate and distinct from its principal banking su</w:t>
      </w:r>
      <w:r>
        <w:rPr>
          <w:rFonts w:ascii="Arial" w:eastAsia="宋体" w:hAnsi="Arial" w:cs="Arial"/>
          <w:sz w:val="20"/>
          <w:szCs w:val="20"/>
        </w:rPr>
        <w:t xml:space="preserve">bsidiary, State Street Bank, and its non-banking subsidiaries. The right of the Parent Company </w:t>
      </w:r>
    </w:p>
    <w:p w14:paraId="55567240"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24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to participate as a shareholder in any distribution of assets of State Street Bank upon its liquidation, reorganization or otherwise is subject to the prior c</w:t>
      </w:r>
      <w:r>
        <w:rPr>
          <w:rFonts w:ascii="Arial" w:eastAsia="宋体" w:hAnsi="Arial" w:cs="Arial"/>
          <w:sz w:val="20"/>
          <w:szCs w:val="20"/>
        </w:rPr>
        <w:t xml:space="preserve">laims by creditors of State Street Bank, including obligations for federal funds purchased and securities sold under repurchase agreements and deposit liabilities. </w:t>
      </w:r>
    </w:p>
    <w:p w14:paraId="5556724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Payment of dividends by State Street Bank is subject to the provisions of the Massachusetts</w:t>
      </w:r>
      <w:r>
        <w:rPr>
          <w:rFonts w:ascii="Arial" w:eastAsia="宋体" w:hAnsi="Arial" w:cs="Arial"/>
          <w:sz w:val="20"/>
          <w:szCs w:val="20"/>
        </w:rPr>
        <w:t xml:space="preserve"> banking law, which provide that State Street Bank's Board of Directors may declare, from State Street Bank's "net profits," as defined below, cash dividends annually, semi-annually or quarterly (but not more frequently) and can declare non-cash dividends </w:t>
      </w:r>
      <w:r>
        <w:rPr>
          <w:rFonts w:ascii="Arial" w:eastAsia="宋体" w:hAnsi="Arial" w:cs="Arial"/>
          <w:sz w:val="20"/>
          <w:szCs w:val="20"/>
        </w:rPr>
        <w:t>at any time. Under Massachusetts banking law, for purposes of determining the amount of cash dividends that are payable by State Street Bank, “net profits” is defined as an amount equal to the remainder of all earnings from current operations plus actual r</w:t>
      </w:r>
      <w:r>
        <w:rPr>
          <w:rFonts w:ascii="Arial" w:eastAsia="宋体" w:hAnsi="Arial" w:cs="Arial"/>
          <w:sz w:val="20"/>
          <w:szCs w:val="20"/>
        </w:rPr>
        <w:t>ecoveries on loans and investments and other assets, after deducting from the total thereof all current operating expenses, actual losses, accrued dividends on preferred stock, if any, and all federal and state taxes.</w:t>
      </w:r>
    </w:p>
    <w:p w14:paraId="5556724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No dividends may be declared, credited</w:t>
      </w:r>
      <w:r>
        <w:rPr>
          <w:rFonts w:ascii="Arial" w:eastAsia="宋体" w:hAnsi="Arial" w:cs="Arial"/>
          <w:sz w:val="20"/>
          <w:szCs w:val="20"/>
        </w:rPr>
        <w:t xml:space="preserve"> or paid so long as there is any impairment of State Street Bank's capital stock. The approval of the Massachusetts Commissioner of Banks is required if the total of all dividends declared by State Street Bank in any calendar year would exceed the total of</w:t>
      </w:r>
      <w:r>
        <w:rPr>
          <w:rFonts w:ascii="Arial" w:eastAsia="宋体" w:hAnsi="Arial" w:cs="Arial"/>
          <w:sz w:val="20"/>
          <w:szCs w:val="20"/>
        </w:rPr>
        <w:t xml:space="preserve"> its net profits for that year combined with its retained net profits for the preceding two years, less any required transfer to surplus or to a fund for the retirement of any preferred stock.</w:t>
      </w:r>
    </w:p>
    <w:p w14:paraId="5556724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Under Federal Reserve regulations, the approval of the Federal </w:t>
      </w:r>
      <w:r>
        <w:rPr>
          <w:rFonts w:ascii="Arial" w:eastAsia="宋体" w:hAnsi="Arial" w:cs="Arial"/>
          <w:sz w:val="20"/>
          <w:szCs w:val="20"/>
        </w:rPr>
        <w:t>Reserve would be required for the payment of dividends by State Street Bank if the total amount of all dividends declared by State Street Bank in any calendar year, including any proposed dividend, would exceed the total of its net income for such calendar</w:t>
      </w:r>
      <w:r>
        <w:rPr>
          <w:rFonts w:ascii="Arial" w:eastAsia="宋体" w:hAnsi="Arial" w:cs="Arial"/>
          <w:sz w:val="20"/>
          <w:szCs w:val="20"/>
        </w:rPr>
        <w:t xml:space="preserve"> year as reported in State Street Bank's </w:t>
      </w:r>
      <w:r>
        <w:rPr>
          <w:rFonts w:ascii="Arial" w:eastAsia="宋体" w:hAnsi="Arial" w:cs="Arial"/>
          <w:i/>
          <w:iCs/>
          <w:sz w:val="20"/>
          <w:szCs w:val="20"/>
        </w:rPr>
        <w:t>Consolidated Reports of Condition and Income for a Bank with Domestic and Foreign Offices Only - FFIEC 031</w:t>
      </w:r>
      <w:r>
        <w:rPr>
          <w:rFonts w:ascii="Arial" w:eastAsia="宋体" w:hAnsi="Arial" w:cs="Arial"/>
          <w:sz w:val="20"/>
          <w:szCs w:val="20"/>
        </w:rPr>
        <w:t>, commonly referred to as the “Call Report,” as submitted through the Federal Financial Institutions Examination Council and provided to the Federal Reserve, plus its “retained net income” for the preceding two calendar years. For these purposes, “retained</w:t>
      </w:r>
      <w:r>
        <w:rPr>
          <w:rFonts w:ascii="Arial" w:eastAsia="宋体" w:hAnsi="Arial" w:cs="Arial"/>
          <w:sz w:val="20"/>
          <w:szCs w:val="20"/>
        </w:rPr>
        <w:t xml:space="preserve"> net income,” as of any date of determination, is defined as an amount equal to State Street Bank's net income (as reported in its Call Reports for the calendar year in which retained net income is being determined) less any dividends declared during such </w:t>
      </w:r>
      <w:r>
        <w:rPr>
          <w:rFonts w:ascii="Arial" w:eastAsia="宋体" w:hAnsi="Arial" w:cs="Arial"/>
          <w:sz w:val="20"/>
          <w:szCs w:val="20"/>
        </w:rPr>
        <w:t>year. In determining the amount of dividends that are payable, the total of State Street Bank's net income for the current year and its retained net income for the preceding two calendar years is reduced by any net losses incurred in the current or precedi</w:t>
      </w:r>
      <w:r>
        <w:rPr>
          <w:rFonts w:ascii="Arial" w:eastAsia="宋体" w:hAnsi="Arial" w:cs="Arial"/>
          <w:sz w:val="20"/>
          <w:szCs w:val="20"/>
        </w:rPr>
        <w:t xml:space="preserve">ng two-year period and by any required transfers to surplus or to a fund for the retirement of preferred stock. </w:t>
      </w:r>
    </w:p>
    <w:p w14:paraId="55567245" w14:textId="77777777" w:rsidR="00F925DD" w:rsidRDefault="00F925DD">
      <w:pPr>
        <w:rPr>
          <w:rFonts w:ascii="Times New Roman" w:hAnsi="Times New Roman"/>
          <w:sz w:val="20"/>
          <w:szCs w:val="20"/>
        </w:rPr>
      </w:pPr>
    </w:p>
    <w:p w14:paraId="5556724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52</w:t>
      </w:r>
    </w:p>
    <w:p w14:paraId="55567247" w14:textId="77777777" w:rsidR="00F925DD" w:rsidRDefault="00F925DD">
      <w:pPr>
        <w:spacing w:line="288" w:lineRule="auto"/>
        <w:ind w:firstLine="600"/>
        <w:jc w:val="center"/>
        <w:rPr>
          <w:rFonts w:ascii="Times New Roman" w:hAnsi="Times New Roman"/>
          <w:sz w:val="18"/>
          <w:szCs w:val="18"/>
        </w:rPr>
      </w:pPr>
    </w:p>
    <w:p w14:paraId="55567248" w14:textId="77777777" w:rsidR="00F925DD" w:rsidRDefault="00E705D7">
      <w:r>
        <w:rPr>
          <w:rFonts w:ascii="Times New Roman" w:hAnsi="Times New Roman"/>
          <w:sz w:val="18"/>
          <w:szCs w:val="18"/>
        </w:rPr>
        <w:pict w14:anchorId="5557066C">
          <v:rect id="_x0000_i1076" style="width:415.3pt;height:1.5pt" o:hralign="center" o:hrstd="t" o:hr="t" fillcolor="#a0a0a0" stroked="f"/>
        </w:pict>
      </w:r>
    </w:p>
    <w:p w14:paraId="55567249" w14:textId="77777777" w:rsidR="00F925DD" w:rsidRDefault="00F925DD">
      <w:pPr>
        <w:spacing w:line="288" w:lineRule="auto"/>
        <w:ind w:firstLine="600"/>
        <w:rPr>
          <w:rFonts w:ascii="Times New Roman" w:hAnsi="Times New Roman"/>
          <w:sz w:val="18"/>
          <w:szCs w:val="18"/>
        </w:rPr>
      </w:pPr>
    </w:p>
    <w:p w14:paraId="5556724A" w14:textId="77777777" w:rsidR="00F925DD" w:rsidRDefault="00F925DD">
      <w:pPr>
        <w:rPr>
          <w:rFonts w:ascii="Times New Roman" w:hAnsi="Times New Roman"/>
          <w:sz w:val="20"/>
          <w:szCs w:val="20"/>
        </w:rPr>
      </w:pPr>
    </w:p>
    <w:p w14:paraId="5556724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Prior Federal Reserve approval also must be obtained if a proposed dividend would exceed State Street Bank'</w:t>
      </w:r>
      <w:r>
        <w:rPr>
          <w:rFonts w:ascii="Arial" w:eastAsia="宋体" w:hAnsi="Arial" w:cs="Arial"/>
          <w:sz w:val="20"/>
          <w:szCs w:val="20"/>
        </w:rPr>
        <w:t>s “undivided profits” (retained earnings) as reported in its Call Reports. State Street Bank may include in its undivided profits amounts contained in its surplus account, if the amounts reflect transfers of undivided profits made in prior periods and if t</w:t>
      </w:r>
      <w:r>
        <w:rPr>
          <w:rFonts w:ascii="Arial" w:eastAsia="宋体" w:hAnsi="Arial" w:cs="Arial"/>
          <w:sz w:val="20"/>
          <w:szCs w:val="20"/>
        </w:rPr>
        <w:t xml:space="preserve">he Federal Reserve's approval for the transfer back to undivided profits has been obtained. </w:t>
      </w:r>
    </w:p>
    <w:p w14:paraId="5556724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Under the PCA provisions adopted pursuant to the FDIC Improvement Act of 1991, State Street Bank may not pay a dividend when it is deemed, under the PCA framework,</w:t>
      </w:r>
      <w:r>
        <w:rPr>
          <w:rFonts w:ascii="Arial" w:eastAsia="宋体" w:hAnsi="Arial" w:cs="Arial"/>
          <w:sz w:val="20"/>
          <w:szCs w:val="20"/>
        </w:rPr>
        <w:t xml:space="preserve"> to be under-capitalized, or when the payment of the dividend would cause State Street Bank to be under-capitalized. If State Street Bank is under-capitalized for purposes of the PCA framework, it must cease paying dividends for so long as it is deemed to </w:t>
      </w:r>
      <w:r>
        <w:rPr>
          <w:rFonts w:ascii="Arial" w:eastAsia="宋体" w:hAnsi="Arial" w:cs="Arial"/>
          <w:sz w:val="20"/>
          <w:szCs w:val="20"/>
        </w:rPr>
        <w:t xml:space="preserve">be under-capitalized. Once earnings have begun to improve and an adequate capital position has been restored, dividend payments may resume in accordance with federal and state statutory limitations and guidelines. </w:t>
      </w:r>
    </w:p>
    <w:p w14:paraId="5556724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Currently, any payment of future common s</w:t>
      </w:r>
      <w:r>
        <w:rPr>
          <w:rFonts w:ascii="Arial" w:eastAsia="宋体" w:hAnsi="Arial" w:cs="Arial"/>
          <w:sz w:val="20"/>
          <w:szCs w:val="20"/>
        </w:rPr>
        <w:t>tock dividends by our Parent Company to its shareholders is subject to the review of our capital plan by the Federal Reserve in connection with its CCAR process. Information about dividends declared by our Parent Company and dividends from our subsidiary b</w:t>
      </w:r>
      <w:r>
        <w:rPr>
          <w:rFonts w:ascii="Arial" w:eastAsia="宋体" w:hAnsi="Arial" w:cs="Arial"/>
          <w:sz w:val="20"/>
          <w:szCs w:val="20"/>
        </w:rPr>
        <w:t>anks is provided under "Capital" in “Financial Condition” in our Management's Discussion and Analysis, and in Note 15 to the consolidated financial statements in this Form 10-K, and is incorporated herein by reference. Future dividend payments of State Str</w:t>
      </w:r>
      <w:r>
        <w:rPr>
          <w:rFonts w:ascii="Arial" w:eastAsia="宋体" w:hAnsi="Arial" w:cs="Arial"/>
          <w:sz w:val="20"/>
          <w:szCs w:val="20"/>
        </w:rPr>
        <w:t>eet Bank and our non-banking subsidiaries cannot be determined at this time. In addition, refer to “Capital Planning, Stress Tests and Dividends” in "Supervision and Regulation" in Business in this Form 10-K and the risk factor “</w:t>
      </w:r>
      <w:r>
        <w:rPr>
          <w:rFonts w:ascii="Arial" w:eastAsia="宋体" w:hAnsi="Arial" w:cs="Arial"/>
          <w:i/>
          <w:iCs/>
          <w:sz w:val="20"/>
          <w:szCs w:val="20"/>
        </w:rPr>
        <w:t>Our business and capital-re</w:t>
      </w:r>
      <w:r>
        <w:rPr>
          <w:rFonts w:ascii="Arial" w:eastAsia="宋体" w:hAnsi="Arial" w:cs="Arial"/>
          <w:i/>
          <w:iCs/>
          <w:sz w:val="20"/>
          <w:szCs w:val="20"/>
        </w:rPr>
        <w:t xml:space="preserve">lated activities, including our ability to return capital to shareholders and repurchase our capital stock, may be adversely affected by our implementation of regulatory capital and liquidity standards that we must meet or in the event our capital plan or </w:t>
      </w:r>
      <w:r>
        <w:rPr>
          <w:rFonts w:ascii="Arial" w:eastAsia="宋体" w:hAnsi="Arial" w:cs="Arial"/>
          <w:i/>
          <w:iCs/>
          <w:sz w:val="20"/>
          <w:szCs w:val="20"/>
        </w:rPr>
        <w:t>post-stress capital ratios are determined to be insufficient as a result of regulatory capital stress testing</w:t>
      </w:r>
      <w:r>
        <w:rPr>
          <w:rFonts w:ascii="Arial" w:eastAsia="宋体" w:hAnsi="Arial" w:cs="Arial"/>
          <w:sz w:val="20"/>
          <w:szCs w:val="20"/>
        </w:rPr>
        <w:t>” in Risk Factors in this Form 10-K.</w:t>
      </w:r>
    </w:p>
    <w:p w14:paraId="5556724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Information about our equity compensation plans is in Security Ownership of Certain Beneficial Owners and Mana</w:t>
      </w:r>
      <w:r>
        <w:rPr>
          <w:rFonts w:ascii="Arial" w:eastAsia="宋体" w:hAnsi="Arial" w:cs="Arial"/>
          <w:sz w:val="20"/>
          <w:szCs w:val="20"/>
        </w:rPr>
        <w:t>gement and Related Stockholder Matters, and in Note 18 to the consolidated financial statements in this Form 10-K, and is incorporated herein by reference.</w:t>
      </w:r>
    </w:p>
    <w:p w14:paraId="5556724F"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SHAREHOLDER RETURN PERFORMANCE PRESENTATION</w:t>
      </w:r>
    </w:p>
    <w:p w14:paraId="5556725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graph presented below compares the cumulative total </w:t>
      </w:r>
      <w:r>
        <w:rPr>
          <w:rFonts w:ascii="Arial" w:eastAsia="宋体" w:hAnsi="Arial" w:cs="Arial"/>
          <w:sz w:val="20"/>
          <w:szCs w:val="20"/>
        </w:rPr>
        <w:t>shareholder return on our common stock to the cumulative total return of the S&amp;P 500 Index, the S&amp;P Financial Index and the KBW Bank Index over a five-year period. The cumulative total shareholder return assumes the investment of $100 in our common stock a</w:t>
      </w:r>
      <w:r>
        <w:rPr>
          <w:rFonts w:ascii="Arial" w:eastAsia="宋体" w:hAnsi="Arial" w:cs="Arial"/>
          <w:sz w:val="20"/>
          <w:szCs w:val="20"/>
        </w:rPr>
        <w:t>nd in each index on December 31, 2014. It also assumes reinvestment of common stock dividends.</w:t>
      </w:r>
    </w:p>
    <w:p w14:paraId="5556725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S&amp;P Financial Index is a publicly available, capitalization-weighted index, comprised of 66 of the Standard &amp; Poor’s 500 companies, representing 26 diversifi</w:t>
      </w:r>
      <w:r>
        <w:rPr>
          <w:rFonts w:ascii="Arial" w:eastAsia="宋体" w:hAnsi="Arial" w:cs="Arial"/>
          <w:sz w:val="20"/>
          <w:szCs w:val="20"/>
        </w:rPr>
        <w:t>ed financial services companies, 22 insurance companies and 18 banking companies. The KBW Bank Index is a modified cap-weighted index consisting of 24 exchange-listed stocks, representing national money center banks and leading regional institutions.</w:t>
      </w:r>
    </w:p>
    <w:p w14:paraId="55567252" w14:textId="77777777" w:rsidR="00F925DD" w:rsidRDefault="00E705D7">
      <w:pPr>
        <w:spacing w:line="288" w:lineRule="auto"/>
        <w:ind w:firstLine="600"/>
        <w:jc w:val="both"/>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INCLU</w:instrText>
      </w:r>
      <w:r>
        <w:rPr>
          <w:rFonts w:ascii="Times New Roman" w:eastAsia="宋体" w:hAnsi="Times New Roman"/>
          <w:sz w:val="20"/>
          <w:szCs w:val="20"/>
        </w:rPr>
        <w:instrText xml:space="preserve">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/State Street /./Inline XBRL Viewer11_files/stt-2016930_chartx36284a21.jpg"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5557066D" wp14:editId="5557066E">
            <wp:extent cx="304800" cy="304800"/>
            <wp:effectExtent l="0" t="0" r="0" b="0"/>
            <wp:docPr id="18" name="图片 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6" descr="IMG_256"/>
                    <pic:cNvPicPr>
                      <a:picLocks noChangeAspect="1"/>
                    </pic:cNvPicPr>
                  </pic:nvPicPr>
                  <pic:blipFill>
                    <a:blip r:embed="rId92"/>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tbl>
      <w:tblPr>
        <w:tblW w:w="5000" w:type="pct"/>
        <w:tblCellMar>
          <w:left w:w="0" w:type="dxa"/>
          <w:right w:w="0" w:type="dxa"/>
        </w:tblCellMar>
        <w:tblLook w:val="04A0" w:firstRow="1" w:lastRow="0" w:firstColumn="1" w:lastColumn="0" w:noHBand="0" w:noVBand="1"/>
      </w:tblPr>
      <w:tblGrid>
        <w:gridCol w:w="2362"/>
        <w:gridCol w:w="142"/>
        <w:gridCol w:w="701"/>
        <w:gridCol w:w="43"/>
        <w:gridCol w:w="130"/>
        <w:gridCol w:w="142"/>
        <w:gridCol w:w="695"/>
        <w:gridCol w:w="43"/>
        <w:gridCol w:w="130"/>
        <w:gridCol w:w="142"/>
        <w:gridCol w:w="695"/>
        <w:gridCol w:w="43"/>
        <w:gridCol w:w="130"/>
        <w:gridCol w:w="142"/>
        <w:gridCol w:w="697"/>
        <w:gridCol w:w="43"/>
        <w:gridCol w:w="130"/>
        <w:gridCol w:w="142"/>
        <w:gridCol w:w="698"/>
        <w:gridCol w:w="43"/>
        <w:gridCol w:w="130"/>
        <w:gridCol w:w="142"/>
        <w:gridCol w:w="698"/>
        <w:gridCol w:w="43"/>
      </w:tblGrid>
      <w:tr w:rsidR="00F925DD" w14:paraId="55567254" w14:textId="77777777">
        <w:tc>
          <w:tcPr>
            <w:tcW w:w="0" w:type="auto"/>
            <w:gridSpan w:val="24"/>
            <w:shd w:val="clear" w:color="auto" w:fill="auto"/>
            <w:vAlign w:val="center"/>
          </w:tcPr>
          <w:p w14:paraId="55567253" w14:textId="77777777" w:rsidR="00F925DD" w:rsidRDefault="00F925DD">
            <w:pPr>
              <w:rPr>
                <w:rFonts w:ascii="Times New Roman" w:hAnsi="Times New Roman"/>
                <w:sz w:val="20"/>
                <w:szCs w:val="20"/>
              </w:rPr>
            </w:pPr>
          </w:p>
        </w:tc>
      </w:tr>
      <w:tr w:rsidR="00F925DD" w14:paraId="5556726D" w14:textId="77777777">
        <w:tc>
          <w:tcPr>
            <w:tcW w:w="1450" w:type="pct"/>
            <w:shd w:val="clear" w:color="auto" w:fill="auto"/>
            <w:vAlign w:val="center"/>
          </w:tcPr>
          <w:p w14:paraId="55567255" w14:textId="77777777" w:rsidR="00F925DD" w:rsidRDefault="00F925DD">
            <w:pPr>
              <w:rPr>
                <w:rFonts w:ascii="Times New Roman" w:hAnsi="Times New Roman"/>
                <w:sz w:val="20"/>
                <w:szCs w:val="20"/>
              </w:rPr>
            </w:pPr>
          </w:p>
        </w:tc>
        <w:tc>
          <w:tcPr>
            <w:tcW w:w="50" w:type="pct"/>
            <w:shd w:val="clear" w:color="auto" w:fill="auto"/>
            <w:vAlign w:val="center"/>
          </w:tcPr>
          <w:p w14:paraId="55567256" w14:textId="77777777" w:rsidR="00F925DD" w:rsidRDefault="00F925DD">
            <w:pPr>
              <w:rPr>
                <w:rFonts w:ascii="Times New Roman" w:hAnsi="Times New Roman"/>
                <w:sz w:val="20"/>
                <w:szCs w:val="20"/>
              </w:rPr>
            </w:pPr>
          </w:p>
        </w:tc>
        <w:tc>
          <w:tcPr>
            <w:tcW w:w="450" w:type="pct"/>
            <w:shd w:val="clear" w:color="auto" w:fill="auto"/>
            <w:vAlign w:val="center"/>
          </w:tcPr>
          <w:p w14:paraId="55567257" w14:textId="77777777" w:rsidR="00F925DD" w:rsidRDefault="00F925DD">
            <w:pPr>
              <w:rPr>
                <w:rFonts w:ascii="Times New Roman" w:hAnsi="Times New Roman"/>
                <w:sz w:val="20"/>
                <w:szCs w:val="20"/>
              </w:rPr>
            </w:pPr>
          </w:p>
        </w:tc>
        <w:tc>
          <w:tcPr>
            <w:tcW w:w="50" w:type="pct"/>
            <w:shd w:val="clear" w:color="auto" w:fill="auto"/>
            <w:vAlign w:val="center"/>
          </w:tcPr>
          <w:p w14:paraId="55567258" w14:textId="77777777" w:rsidR="00F925DD" w:rsidRDefault="00F925DD">
            <w:pPr>
              <w:rPr>
                <w:rFonts w:ascii="Times New Roman" w:hAnsi="Times New Roman"/>
                <w:sz w:val="20"/>
                <w:szCs w:val="20"/>
              </w:rPr>
            </w:pPr>
          </w:p>
        </w:tc>
        <w:tc>
          <w:tcPr>
            <w:tcW w:w="50" w:type="pct"/>
            <w:shd w:val="clear" w:color="auto" w:fill="auto"/>
            <w:vAlign w:val="center"/>
          </w:tcPr>
          <w:p w14:paraId="55567259" w14:textId="77777777" w:rsidR="00F925DD" w:rsidRDefault="00F925DD">
            <w:pPr>
              <w:rPr>
                <w:rFonts w:ascii="Times New Roman" w:hAnsi="Times New Roman"/>
                <w:sz w:val="20"/>
                <w:szCs w:val="20"/>
              </w:rPr>
            </w:pPr>
          </w:p>
        </w:tc>
        <w:tc>
          <w:tcPr>
            <w:tcW w:w="50" w:type="pct"/>
            <w:shd w:val="clear" w:color="auto" w:fill="auto"/>
            <w:vAlign w:val="center"/>
          </w:tcPr>
          <w:p w14:paraId="5556725A" w14:textId="77777777" w:rsidR="00F925DD" w:rsidRDefault="00F925DD">
            <w:pPr>
              <w:rPr>
                <w:rFonts w:ascii="Times New Roman" w:hAnsi="Times New Roman"/>
                <w:sz w:val="20"/>
                <w:szCs w:val="20"/>
              </w:rPr>
            </w:pPr>
          </w:p>
        </w:tc>
        <w:tc>
          <w:tcPr>
            <w:tcW w:w="450" w:type="pct"/>
            <w:shd w:val="clear" w:color="auto" w:fill="auto"/>
            <w:vAlign w:val="center"/>
          </w:tcPr>
          <w:p w14:paraId="5556725B" w14:textId="77777777" w:rsidR="00F925DD" w:rsidRDefault="00F925DD">
            <w:pPr>
              <w:rPr>
                <w:rFonts w:ascii="Times New Roman" w:hAnsi="Times New Roman"/>
                <w:sz w:val="20"/>
                <w:szCs w:val="20"/>
              </w:rPr>
            </w:pPr>
          </w:p>
        </w:tc>
        <w:tc>
          <w:tcPr>
            <w:tcW w:w="50" w:type="pct"/>
            <w:shd w:val="clear" w:color="auto" w:fill="auto"/>
            <w:vAlign w:val="center"/>
          </w:tcPr>
          <w:p w14:paraId="5556725C" w14:textId="77777777" w:rsidR="00F925DD" w:rsidRDefault="00F925DD">
            <w:pPr>
              <w:rPr>
                <w:rFonts w:ascii="Times New Roman" w:hAnsi="Times New Roman"/>
                <w:sz w:val="20"/>
                <w:szCs w:val="20"/>
              </w:rPr>
            </w:pPr>
          </w:p>
        </w:tc>
        <w:tc>
          <w:tcPr>
            <w:tcW w:w="50" w:type="pct"/>
            <w:shd w:val="clear" w:color="auto" w:fill="auto"/>
            <w:vAlign w:val="center"/>
          </w:tcPr>
          <w:p w14:paraId="5556725D" w14:textId="77777777" w:rsidR="00F925DD" w:rsidRDefault="00F925DD">
            <w:pPr>
              <w:rPr>
                <w:rFonts w:ascii="Times New Roman" w:hAnsi="Times New Roman"/>
                <w:sz w:val="20"/>
                <w:szCs w:val="20"/>
              </w:rPr>
            </w:pPr>
          </w:p>
        </w:tc>
        <w:tc>
          <w:tcPr>
            <w:tcW w:w="50" w:type="pct"/>
            <w:shd w:val="clear" w:color="auto" w:fill="auto"/>
            <w:vAlign w:val="center"/>
          </w:tcPr>
          <w:p w14:paraId="5556725E" w14:textId="77777777" w:rsidR="00F925DD" w:rsidRDefault="00F925DD">
            <w:pPr>
              <w:rPr>
                <w:rFonts w:ascii="Times New Roman" w:hAnsi="Times New Roman"/>
                <w:sz w:val="20"/>
                <w:szCs w:val="20"/>
              </w:rPr>
            </w:pPr>
          </w:p>
        </w:tc>
        <w:tc>
          <w:tcPr>
            <w:tcW w:w="450" w:type="pct"/>
            <w:shd w:val="clear" w:color="auto" w:fill="auto"/>
            <w:vAlign w:val="center"/>
          </w:tcPr>
          <w:p w14:paraId="5556725F" w14:textId="77777777" w:rsidR="00F925DD" w:rsidRDefault="00F925DD">
            <w:pPr>
              <w:rPr>
                <w:rFonts w:ascii="Times New Roman" w:hAnsi="Times New Roman"/>
                <w:sz w:val="20"/>
                <w:szCs w:val="20"/>
              </w:rPr>
            </w:pPr>
          </w:p>
        </w:tc>
        <w:tc>
          <w:tcPr>
            <w:tcW w:w="50" w:type="pct"/>
            <w:shd w:val="clear" w:color="auto" w:fill="auto"/>
            <w:vAlign w:val="center"/>
          </w:tcPr>
          <w:p w14:paraId="55567260" w14:textId="77777777" w:rsidR="00F925DD" w:rsidRDefault="00F925DD">
            <w:pPr>
              <w:rPr>
                <w:rFonts w:ascii="Times New Roman" w:hAnsi="Times New Roman"/>
                <w:sz w:val="20"/>
                <w:szCs w:val="20"/>
              </w:rPr>
            </w:pPr>
          </w:p>
        </w:tc>
        <w:tc>
          <w:tcPr>
            <w:tcW w:w="50" w:type="pct"/>
            <w:shd w:val="clear" w:color="auto" w:fill="auto"/>
            <w:vAlign w:val="center"/>
          </w:tcPr>
          <w:p w14:paraId="55567261" w14:textId="77777777" w:rsidR="00F925DD" w:rsidRDefault="00F925DD">
            <w:pPr>
              <w:rPr>
                <w:rFonts w:ascii="Times New Roman" w:hAnsi="Times New Roman"/>
                <w:sz w:val="20"/>
                <w:szCs w:val="20"/>
              </w:rPr>
            </w:pPr>
          </w:p>
        </w:tc>
        <w:tc>
          <w:tcPr>
            <w:tcW w:w="50" w:type="pct"/>
            <w:shd w:val="clear" w:color="auto" w:fill="auto"/>
            <w:vAlign w:val="center"/>
          </w:tcPr>
          <w:p w14:paraId="55567262" w14:textId="77777777" w:rsidR="00F925DD" w:rsidRDefault="00F925DD">
            <w:pPr>
              <w:rPr>
                <w:rFonts w:ascii="Times New Roman" w:hAnsi="Times New Roman"/>
                <w:sz w:val="20"/>
                <w:szCs w:val="20"/>
              </w:rPr>
            </w:pPr>
          </w:p>
        </w:tc>
        <w:tc>
          <w:tcPr>
            <w:tcW w:w="450" w:type="pct"/>
            <w:shd w:val="clear" w:color="auto" w:fill="auto"/>
            <w:vAlign w:val="center"/>
          </w:tcPr>
          <w:p w14:paraId="55567263" w14:textId="77777777" w:rsidR="00F925DD" w:rsidRDefault="00F925DD">
            <w:pPr>
              <w:rPr>
                <w:rFonts w:ascii="Times New Roman" w:hAnsi="Times New Roman"/>
                <w:sz w:val="20"/>
                <w:szCs w:val="20"/>
              </w:rPr>
            </w:pPr>
          </w:p>
        </w:tc>
        <w:tc>
          <w:tcPr>
            <w:tcW w:w="50" w:type="pct"/>
            <w:shd w:val="clear" w:color="auto" w:fill="auto"/>
            <w:vAlign w:val="center"/>
          </w:tcPr>
          <w:p w14:paraId="55567264" w14:textId="77777777" w:rsidR="00F925DD" w:rsidRDefault="00F925DD">
            <w:pPr>
              <w:rPr>
                <w:rFonts w:ascii="Times New Roman" w:hAnsi="Times New Roman"/>
                <w:sz w:val="20"/>
                <w:szCs w:val="20"/>
              </w:rPr>
            </w:pPr>
          </w:p>
        </w:tc>
        <w:tc>
          <w:tcPr>
            <w:tcW w:w="50" w:type="pct"/>
            <w:shd w:val="clear" w:color="auto" w:fill="auto"/>
            <w:vAlign w:val="center"/>
          </w:tcPr>
          <w:p w14:paraId="55567265" w14:textId="77777777" w:rsidR="00F925DD" w:rsidRDefault="00F925DD">
            <w:pPr>
              <w:rPr>
                <w:rFonts w:ascii="Times New Roman" w:hAnsi="Times New Roman"/>
                <w:sz w:val="20"/>
                <w:szCs w:val="20"/>
              </w:rPr>
            </w:pPr>
          </w:p>
        </w:tc>
        <w:tc>
          <w:tcPr>
            <w:tcW w:w="50" w:type="pct"/>
            <w:shd w:val="clear" w:color="auto" w:fill="auto"/>
            <w:vAlign w:val="center"/>
          </w:tcPr>
          <w:p w14:paraId="55567266" w14:textId="77777777" w:rsidR="00F925DD" w:rsidRDefault="00F925DD">
            <w:pPr>
              <w:rPr>
                <w:rFonts w:ascii="Times New Roman" w:hAnsi="Times New Roman"/>
                <w:sz w:val="20"/>
                <w:szCs w:val="20"/>
              </w:rPr>
            </w:pPr>
          </w:p>
        </w:tc>
        <w:tc>
          <w:tcPr>
            <w:tcW w:w="450" w:type="pct"/>
            <w:shd w:val="clear" w:color="auto" w:fill="auto"/>
            <w:vAlign w:val="center"/>
          </w:tcPr>
          <w:p w14:paraId="55567267" w14:textId="77777777" w:rsidR="00F925DD" w:rsidRDefault="00F925DD">
            <w:pPr>
              <w:rPr>
                <w:rFonts w:ascii="Times New Roman" w:hAnsi="Times New Roman"/>
                <w:sz w:val="20"/>
                <w:szCs w:val="20"/>
              </w:rPr>
            </w:pPr>
          </w:p>
        </w:tc>
        <w:tc>
          <w:tcPr>
            <w:tcW w:w="50" w:type="pct"/>
            <w:shd w:val="clear" w:color="auto" w:fill="auto"/>
            <w:vAlign w:val="center"/>
          </w:tcPr>
          <w:p w14:paraId="55567268" w14:textId="77777777" w:rsidR="00F925DD" w:rsidRDefault="00F925DD">
            <w:pPr>
              <w:rPr>
                <w:rFonts w:ascii="Times New Roman" w:hAnsi="Times New Roman"/>
                <w:sz w:val="20"/>
                <w:szCs w:val="20"/>
              </w:rPr>
            </w:pPr>
          </w:p>
        </w:tc>
        <w:tc>
          <w:tcPr>
            <w:tcW w:w="50" w:type="pct"/>
            <w:shd w:val="clear" w:color="auto" w:fill="auto"/>
            <w:vAlign w:val="center"/>
          </w:tcPr>
          <w:p w14:paraId="55567269" w14:textId="77777777" w:rsidR="00F925DD" w:rsidRDefault="00F925DD">
            <w:pPr>
              <w:rPr>
                <w:rFonts w:ascii="Times New Roman" w:hAnsi="Times New Roman"/>
                <w:sz w:val="20"/>
                <w:szCs w:val="20"/>
              </w:rPr>
            </w:pPr>
          </w:p>
        </w:tc>
        <w:tc>
          <w:tcPr>
            <w:tcW w:w="50" w:type="pct"/>
            <w:shd w:val="clear" w:color="auto" w:fill="auto"/>
            <w:vAlign w:val="center"/>
          </w:tcPr>
          <w:p w14:paraId="5556726A" w14:textId="77777777" w:rsidR="00F925DD" w:rsidRDefault="00F925DD">
            <w:pPr>
              <w:rPr>
                <w:rFonts w:ascii="Times New Roman" w:hAnsi="Times New Roman"/>
                <w:sz w:val="20"/>
                <w:szCs w:val="20"/>
              </w:rPr>
            </w:pPr>
          </w:p>
        </w:tc>
        <w:tc>
          <w:tcPr>
            <w:tcW w:w="450" w:type="pct"/>
            <w:shd w:val="clear" w:color="auto" w:fill="auto"/>
            <w:vAlign w:val="center"/>
          </w:tcPr>
          <w:p w14:paraId="5556726B" w14:textId="77777777" w:rsidR="00F925DD" w:rsidRDefault="00F925DD">
            <w:pPr>
              <w:rPr>
                <w:rFonts w:ascii="Times New Roman" w:hAnsi="Times New Roman"/>
                <w:sz w:val="20"/>
                <w:szCs w:val="20"/>
              </w:rPr>
            </w:pPr>
          </w:p>
        </w:tc>
        <w:tc>
          <w:tcPr>
            <w:tcW w:w="50" w:type="pct"/>
            <w:shd w:val="clear" w:color="auto" w:fill="auto"/>
            <w:vAlign w:val="center"/>
          </w:tcPr>
          <w:p w14:paraId="5556726C" w14:textId="77777777" w:rsidR="00F925DD" w:rsidRDefault="00F925DD">
            <w:pPr>
              <w:rPr>
                <w:rFonts w:ascii="Times New Roman" w:hAnsi="Times New Roman"/>
                <w:sz w:val="20"/>
                <w:szCs w:val="20"/>
              </w:rPr>
            </w:pPr>
          </w:p>
        </w:tc>
      </w:tr>
      <w:tr w:rsidR="00F925DD" w14:paraId="5556727A" w14:textId="77777777">
        <w:tc>
          <w:tcPr>
            <w:tcW w:w="0" w:type="auto"/>
            <w:shd w:val="clear" w:color="auto" w:fill="auto"/>
            <w:tcMar>
              <w:top w:w="40" w:type="dxa"/>
              <w:left w:w="40" w:type="dxa"/>
              <w:bottom w:w="40" w:type="dxa"/>
              <w:right w:w="40" w:type="dxa"/>
            </w:tcMar>
            <w:vAlign w:val="bottom"/>
          </w:tcPr>
          <w:p w14:paraId="555672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26F"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2014</w:t>
            </w:r>
          </w:p>
        </w:tc>
        <w:tc>
          <w:tcPr>
            <w:tcW w:w="0" w:type="auto"/>
            <w:shd w:val="clear" w:color="auto" w:fill="auto"/>
            <w:tcMar>
              <w:top w:w="40" w:type="dxa"/>
              <w:left w:w="40" w:type="dxa"/>
              <w:bottom w:w="40" w:type="dxa"/>
              <w:right w:w="40" w:type="dxa"/>
            </w:tcMar>
            <w:vAlign w:val="bottom"/>
          </w:tcPr>
          <w:p w14:paraId="555672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271"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2015</w:t>
            </w:r>
          </w:p>
        </w:tc>
        <w:tc>
          <w:tcPr>
            <w:tcW w:w="0" w:type="auto"/>
            <w:shd w:val="clear" w:color="auto" w:fill="auto"/>
            <w:tcMar>
              <w:top w:w="40" w:type="dxa"/>
              <w:left w:w="40" w:type="dxa"/>
              <w:bottom w:w="40" w:type="dxa"/>
              <w:right w:w="40" w:type="dxa"/>
            </w:tcMar>
            <w:vAlign w:val="bottom"/>
          </w:tcPr>
          <w:p w14:paraId="555672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273"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2016</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72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275"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2017</w:t>
            </w:r>
          </w:p>
        </w:tc>
        <w:tc>
          <w:tcPr>
            <w:tcW w:w="0" w:type="auto"/>
            <w:shd w:val="clear" w:color="auto" w:fill="auto"/>
            <w:tcMar>
              <w:top w:w="40" w:type="dxa"/>
              <w:left w:w="40" w:type="dxa"/>
              <w:bottom w:w="40" w:type="dxa"/>
              <w:right w:w="40" w:type="dxa"/>
            </w:tcMar>
            <w:vAlign w:val="bottom"/>
          </w:tcPr>
          <w:p w14:paraId="555672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277"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2018</w:t>
            </w:r>
          </w:p>
        </w:tc>
        <w:tc>
          <w:tcPr>
            <w:tcW w:w="0" w:type="auto"/>
            <w:shd w:val="clear" w:color="auto" w:fill="auto"/>
            <w:tcMar>
              <w:top w:w="40" w:type="dxa"/>
              <w:left w:w="40" w:type="dxa"/>
              <w:bottom w:w="40" w:type="dxa"/>
              <w:right w:w="40" w:type="dxa"/>
            </w:tcMar>
            <w:vAlign w:val="bottom"/>
          </w:tcPr>
          <w:p w14:paraId="555672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279"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2019</w:t>
            </w:r>
          </w:p>
        </w:tc>
      </w:tr>
      <w:tr w:rsidR="00F925DD" w14:paraId="55567293" w14:textId="77777777">
        <w:tc>
          <w:tcPr>
            <w:tcW w:w="0" w:type="auto"/>
            <w:shd w:val="clear" w:color="auto" w:fill="CCEEFF"/>
            <w:tcMar>
              <w:top w:w="40" w:type="dxa"/>
              <w:left w:w="40" w:type="dxa"/>
              <w:bottom w:w="40" w:type="dxa"/>
              <w:right w:w="40" w:type="dxa"/>
            </w:tcMar>
          </w:tcPr>
          <w:p w14:paraId="5556727B" w14:textId="77777777" w:rsidR="00F925DD" w:rsidRDefault="00E705D7">
            <w:pPr>
              <w:textAlignment w:val="top"/>
              <w:rPr>
                <w:rFonts w:ascii="Times New Roman" w:hAnsi="Times New Roman"/>
                <w:sz w:val="18"/>
                <w:szCs w:val="18"/>
              </w:rPr>
            </w:pPr>
            <w:r>
              <w:rPr>
                <w:rFonts w:ascii="Arial" w:eastAsia="宋体" w:hAnsi="Arial" w:cs="Arial"/>
                <w:sz w:val="18"/>
                <w:szCs w:val="18"/>
              </w:rPr>
              <w:t>State Street Corporation</w:t>
            </w:r>
          </w:p>
        </w:tc>
        <w:tc>
          <w:tcPr>
            <w:tcW w:w="0" w:type="auto"/>
            <w:shd w:val="clear" w:color="auto" w:fill="CCEEFF"/>
            <w:tcMar>
              <w:top w:w="40" w:type="dxa"/>
              <w:left w:w="40" w:type="dxa"/>
              <w:bottom w:w="40" w:type="dxa"/>
            </w:tcMar>
            <w:vAlign w:val="bottom"/>
          </w:tcPr>
          <w:p w14:paraId="5556727C"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5556727D"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100</w:t>
            </w:r>
          </w:p>
        </w:tc>
        <w:tc>
          <w:tcPr>
            <w:tcW w:w="0" w:type="auto"/>
            <w:shd w:val="clear" w:color="auto" w:fill="CCEEFF"/>
            <w:vAlign w:val="bottom"/>
          </w:tcPr>
          <w:p w14:paraId="5556727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280"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55567281"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86</w:t>
            </w:r>
          </w:p>
        </w:tc>
        <w:tc>
          <w:tcPr>
            <w:tcW w:w="0" w:type="auto"/>
            <w:shd w:val="clear" w:color="auto" w:fill="CCEEFF"/>
            <w:vAlign w:val="bottom"/>
          </w:tcPr>
          <w:p w14:paraId="5556728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284"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CCEEFF"/>
            <w:tcMar>
              <w:top w:w="40" w:type="dxa"/>
              <w:bottom w:w="40" w:type="dxa"/>
            </w:tcMar>
            <w:vAlign w:val="bottom"/>
          </w:tcPr>
          <w:p w14:paraId="5556728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103</w:t>
            </w:r>
          </w:p>
        </w:tc>
        <w:tc>
          <w:tcPr>
            <w:tcW w:w="0" w:type="auto"/>
            <w:tcBorders>
              <w:top w:val="single" w:sz="8" w:space="0" w:color="000000"/>
            </w:tcBorders>
            <w:shd w:val="clear" w:color="auto" w:fill="CCEEFF"/>
            <w:vAlign w:val="bottom"/>
          </w:tcPr>
          <w:p w14:paraId="5556728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288"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55567289"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132</w:t>
            </w:r>
          </w:p>
        </w:tc>
        <w:tc>
          <w:tcPr>
            <w:tcW w:w="0" w:type="auto"/>
            <w:shd w:val="clear" w:color="auto" w:fill="CCEEFF"/>
            <w:vAlign w:val="bottom"/>
          </w:tcPr>
          <w:p w14:paraId="5556728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28C"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5556728D"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87</w:t>
            </w:r>
          </w:p>
        </w:tc>
        <w:tc>
          <w:tcPr>
            <w:tcW w:w="0" w:type="auto"/>
            <w:shd w:val="clear" w:color="auto" w:fill="CCEEFF"/>
            <w:vAlign w:val="bottom"/>
          </w:tcPr>
          <w:p w14:paraId="555672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290"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55567291"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113</w:t>
            </w:r>
          </w:p>
        </w:tc>
        <w:tc>
          <w:tcPr>
            <w:tcW w:w="0" w:type="auto"/>
            <w:shd w:val="clear" w:color="auto" w:fill="CCEEFF"/>
            <w:vAlign w:val="bottom"/>
          </w:tcPr>
          <w:p w14:paraId="55567292" w14:textId="77777777" w:rsidR="00F925DD" w:rsidRDefault="00F925DD">
            <w:pPr>
              <w:textAlignment w:val="bottom"/>
              <w:rPr>
                <w:rFonts w:ascii="Times New Roman" w:hAnsi="Times New Roman"/>
                <w:sz w:val="20"/>
                <w:szCs w:val="20"/>
              </w:rPr>
            </w:pPr>
          </w:p>
        </w:tc>
      </w:tr>
      <w:tr w:rsidR="00F925DD" w14:paraId="555672A6" w14:textId="77777777">
        <w:tc>
          <w:tcPr>
            <w:tcW w:w="0" w:type="auto"/>
            <w:shd w:val="clear" w:color="auto" w:fill="auto"/>
            <w:tcMar>
              <w:top w:w="40" w:type="dxa"/>
              <w:left w:w="40" w:type="dxa"/>
              <w:bottom w:w="40" w:type="dxa"/>
              <w:right w:w="40" w:type="dxa"/>
            </w:tcMar>
          </w:tcPr>
          <w:p w14:paraId="55567294" w14:textId="77777777" w:rsidR="00F925DD" w:rsidRDefault="00E705D7">
            <w:pPr>
              <w:textAlignment w:val="top"/>
              <w:rPr>
                <w:rFonts w:ascii="Times New Roman" w:hAnsi="Times New Roman"/>
                <w:sz w:val="18"/>
                <w:szCs w:val="18"/>
              </w:rPr>
            </w:pPr>
            <w:r>
              <w:rPr>
                <w:rFonts w:ascii="Arial" w:eastAsia="宋体" w:hAnsi="Arial" w:cs="Arial"/>
                <w:sz w:val="18"/>
                <w:szCs w:val="18"/>
              </w:rPr>
              <w:t>S&amp;P 500 Index</w:t>
            </w:r>
          </w:p>
        </w:tc>
        <w:tc>
          <w:tcPr>
            <w:tcW w:w="0" w:type="auto"/>
            <w:gridSpan w:val="2"/>
            <w:shd w:val="clear" w:color="auto" w:fill="auto"/>
            <w:tcMar>
              <w:top w:w="40" w:type="dxa"/>
              <w:left w:w="40" w:type="dxa"/>
              <w:bottom w:w="40" w:type="dxa"/>
            </w:tcMar>
            <w:vAlign w:val="bottom"/>
          </w:tcPr>
          <w:p w14:paraId="5556729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100</w:t>
            </w:r>
          </w:p>
        </w:tc>
        <w:tc>
          <w:tcPr>
            <w:tcW w:w="0" w:type="auto"/>
            <w:shd w:val="clear" w:color="auto" w:fill="auto"/>
            <w:vAlign w:val="bottom"/>
          </w:tcPr>
          <w:p w14:paraId="5556729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298"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101</w:t>
            </w:r>
          </w:p>
        </w:tc>
        <w:tc>
          <w:tcPr>
            <w:tcW w:w="0" w:type="auto"/>
            <w:shd w:val="clear" w:color="auto" w:fill="auto"/>
            <w:vAlign w:val="bottom"/>
          </w:tcPr>
          <w:p w14:paraId="5556729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29B"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113</w:t>
            </w:r>
          </w:p>
        </w:tc>
        <w:tc>
          <w:tcPr>
            <w:tcW w:w="0" w:type="auto"/>
            <w:shd w:val="clear" w:color="auto" w:fill="auto"/>
            <w:vAlign w:val="bottom"/>
          </w:tcPr>
          <w:p w14:paraId="5556729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29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138</w:t>
            </w:r>
          </w:p>
        </w:tc>
        <w:tc>
          <w:tcPr>
            <w:tcW w:w="0" w:type="auto"/>
            <w:shd w:val="clear" w:color="auto" w:fill="auto"/>
            <w:vAlign w:val="bottom"/>
          </w:tcPr>
          <w:p w14:paraId="5556729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2A1"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132</w:t>
            </w:r>
          </w:p>
        </w:tc>
        <w:tc>
          <w:tcPr>
            <w:tcW w:w="0" w:type="auto"/>
            <w:shd w:val="clear" w:color="auto" w:fill="auto"/>
            <w:vAlign w:val="bottom"/>
          </w:tcPr>
          <w:p w14:paraId="555672A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2A4"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174</w:t>
            </w:r>
          </w:p>
        </w:tc>
        <w:tc>
          <w:tcPr>
            <w:tcW w:w="0" w:type="auto"/>
            <w:shd w:val="clear" w:color="auto" w:fill="auto"/>
            <w:vAlign w:val="bottom"/>
          </w:tcPr>
          <w:p w14:paraId="555672A5" w14:textId="77777777" w:rsidR="00F925DD" w:rsidRDefault="00F925DD">
            <w:pPr>
              <w:textAlignment w:val="bottom"/>
              <w:rPr>
                <w:rFonts w:ascii="Times New Roman" w:hAnsi="Times New Roman"/>
                <w:sz w:val="20"/>
                <w:szCs w:val="20"/>
              </w:rPr>
            </w:pPr>
          </w:p>
        </w:tc>
      </w:tr>
      <w:tr w:rsidR="00F925DD" w14:paraId="555672B9" w14:textId="77777777">
        <w:tc>
          <w:tcPr>
            <w:tcW w:w="0" w:type="auto"/>
            <w:shd w:val="clear" w:color="auto" w:fill="CCEEFF"/>
            <w:tcMar>
              <w:top w:w="40" w:type="dxa"/>
              <w:left w:w="40" w:type="dxa"/>
              <w:bottom w:w="40" w:type="dxa"/>
              <w:right w:w="40" w:type="dxa"/>
            </w:tcMar>
          </w:tcPr>
          <w:p w14:paraId="555672A7" w14:textId="77777777" w:rsidR="00F925DD" w:rsidRDefault="00E705D7">
            <w:pPr>
              <w:textAlignment w:val="top"/>
              <w:rPr>
                <w:rFonts w:ascii="Times New Roman" w:hAnsi="Times New Roman"/>
                <w:sz w:val="18"/>
                <w:szCs w:val="18"/>
              </w:rPr>
            </w:pPr>
            <w:r>
              <w:rPr>
                <w:rFonts w:ascii="Arial" w:eastAsia="宋体" w:hAnsi="Arial" w:cs="Arial"/>
                <w:sz w:val="18"/>
                <w:szCs w:val="18"/>
              </w:rPr>
              <w:t>S&amp;P Financial Index</w:t>
            </w:r>
          </w:p>
        </w:tc>
        <w:tc>
          <w:tcPr>
            <w:tcW w:w="0" w:type="auto"/>
            <w:gridSpan w:val="2"/>
            <w:shd w:val="clear" w:color="auto" w:fill="CCEEFF"/>
            <w:tcMar>
              <w:top w:w="40" w:type="dxa"/>
              <w:left w:w="40" w:type="dxa"/>
              <w:bottom w:w="40" w:type="dxa"/>
            </w:tcMar>
            <w:vAlign w:val="bottom"/>
          </w:tcPr>
          <w:p w14:paraId="555672A8"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100</w:t>
            </w:r>
          </w:p>
        </w:tc>
        <w:tc>
          <w:tcPr>
            <w:tcW w:w="0" w:type="auto"/>
            <w:shd w:val="clear" w:color="auto" w:fill="CCEEFF"/>
            <w:vAlign w:val="bottom"/>
          </w:tcPr>
          <w:p w14:paraId="555672A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2AB"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98</w:t>
            </w:r>
          </w:p>
        </w:tc>
        <w:tc>
          <w:tcPr>
            <w:tcW w:w="0" w:type="auto"/>
            <w:shd w:val="clear" w:color="auto" w:fill="CCEEFF"/>
            <w:vAlign w:val="bottom"/>
          </w:tcPr>
          <w:p w14:paraId="555672A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2A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121</w:t>
            </w:r>
          </w:p>
        </w:tc>
        <w:tc>
          <w:tcPr>
            <w:tcW w:w="0" w:type="auto"/>
            <w:shd w:val="clear" w:color="auto" w:fill="CCEEFF"/>
            <w:vAlign w:val="bottom"/>
          </w:tcPr>
          <w:p w14:paraId="555672A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2B1"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148</w:t>
            </w:r>
          </w:p>
        </w:tc>
        <w:tc>
          <w:tcPr>
            <w:tcW w:w="0" w:type="auto"/>
            <w:shd w:val="clear" w:color="auto" w:fill="CCEEFF"/>
            <w:vAlign w:val="bottom"/>
          </w:tcPr>
          <w:p w14:paraId="555672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2B4"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128</w:t>
            </w:r>
          </w:p>
        </w:tc>
        <w:tc>
          <w:tcPr>
            <w:tcW w:w="0" w:type="auto"/>
            <w:shd w:val="clear" w:color="auto" w:fill="CCEEFF"/>
            <w:vAlign w:val="bottom"/>
          </w:tcPr>
          <w:p w14:paraId="555672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2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2B7"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170</w:t>
            </w:r>
          </w:p>
        </w:tc>
        <w:tc>
          <w:tcPr>
            <w:tcW w:w="0" w:type="auto"/>
            <w:shd w:val="clear" w:color="auto" w:fill="CCEEFF"/>
            <w:vAlign w:val="bottom"/>
          </w:tcPr>
          <w:p w14:paraId="555672B8" w14:textId="77777777" w:rsidR="00F925DD" w:rsidRDefault="00F925DD">
            <w:pPr>
              <w:textAlignment w:val="bottom"/>
              <w:rPr>
                <w:rFonts w:ascii="Times New Roman" w:hAnsi="Times New Roman"/>
                <w:sz w:val="20"/>
                <w:szCs w:val="20"/>
              </w:rPr>
            </w:pPr>
          </w:p>
        </w:tc>
      </w:tr>
      <w:tr w:rsidR="00F925DD" w14:paraId="555672CC" w14:textId="77777777">
        <w:tc>
          <w:tcPr>
            <w:tcW w:w="0" w:type="auto"/>
            <w:shd w:val="clear" w:color="auto" w:fill="auto"/>
            <w:tcMar>
              <w:top w:w="40" w:type="dxa"/>
              <w:left w:w="40" w:type="dxa"/>
              <w:bottom w:w="40" w:type="dxa"/>
              <w:right w:w="40" w:type="dxa"/>
            </w:tcMar>
          </w:tcPr>
          <w:p w14:paraId="555672BA" w14:textId="77777777" w:rsidR="00F925DD" w:rsidRDefault="00E705D7">
            <w:pPr>
              <w:textAlignment w:val="top"/>
              <w:rPr>
                <w:rFonts w:ascii="Times New Roman" w:hAnsi="Times New Roman"/>
                <w:sz w:val="18"/>
                <w:szCs w:val="18"/>
              </w:rPr>
            </w:pPr>
            <w:r>
              <w:rPr>
                <w:rFonts w:ascii="Arial" w:eastAsia="宋体" w:hAnsi="Arial" w:cs="Arial"/>
                <w:sz w:val="18"/>
                <w:szCs w:val="18"/>
              </w:rPr>
              <w:t>KBW Bank Index</w:t>
            </w:r>
          </w:p>
        </w:tc>
        <w:tc>
          <w:tcPr>
            <w:tcW w:w="0" w:type="auto"/>
            <w:gridSpan w:val="2"/>
            <w:shd w:val="clear" w:color="auto" w:fill="auto"/>
            <w:tcMar>
              <w:top w:w="40" w:type="dxa"/>
              <w:left w:w="40" w:type="dxa"/>
              <w:bottom w:w="40" w:type="dxa"/>
            </w:tcMar>
            <w:vAlign w:val="bottom"/>
          </w:tcPr>
          <w:p w14:paraId="555672BB"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100</w:t>
            </w:r>
          </w:p>
        </w:tc>
        <w:tc>
          <w:tcPr>
            <w:tcW w:w="0" w:type="auto"/>
            <w:shd w:val="clear" w:color="auto" w:fill="auto"/>
            <w:vAlign w:val="bottom"/>
          </w:tcPr>
          <w:p w14:paraId="555672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2B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100</w:t>
            </w:r>
          </w:p>
        </w:tc>
        <w:tc>
          <w:tcPr>
            <w:tcW w:w="0" w:type="auto"/>
            <w:shd w:val="clear" w:color="auto" w:fill="auto"/>
            <w:vAlign w:val="bottom"/>
          </w:tcPr>
          <w:p w14:paraId="555672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2C1"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129</w:t>
            </w:r>
          </w:p>
        </w:tc>
        <w:tc>
          <w:tcPr>
            <w:tcW w:w="0" w:type="auto"/>
            <w:shd w:val="clear" w:color="auto" w:fill="auto"/>
            <w:vAlign w:val="bottom"/>
          </w:tcPr>
          <w:p w14:paraId="555672C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2C4"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153</w:t>
            </w:r>
          </w:p>
        </w:tc>
        <w:tc>
          <w:tcPr>
            <w:tcW w:w="0" w:type="auto"/>
            <w:shd w:val="clear" w:color="auto" w:fill="auto"/>
            <w:vAlign w:val="bottom"/>
          </w:tcPr>
          <w:p w14:paraId="555672C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2C7"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126</w:t>
            </w:r>
          </w:p>
        </w:tc>
        <w:tc>
          <w:tcPr>
            <w:tcW w:w="0" w:type="auto"/>
            <w:shd w:val="clear" w:color="auto" w:fill="auto"/>
            <w:vAlign w:val="bottom"/>
          </w:tcPr>
          <w:p w14:paraId="555672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2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2CA"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172</w:t>
            </w:r>
          </w:p>
        </w:tc>
        <w:tc>
          <w:tcPr>
            <w:tcW w:w="0" w:type="auto"/>
            <w:shd w:val="clear" w:color="auto" w:fill="auto"/>
            <w:vAlign w:val="bottom"/>
          </w:tcPr>
          <w:p w14:paraId="555672CB" w14:textId="77777777" w:rsidR="00F925DD" w:rsidRDefault="00F925DD">
            <w:pPr>
              <w:textAlignment w:val="bottom"/>
              <w:rPr>
                <w:rFonts w:ascii="Times New Roman" w:hAnsi="Times New Roman"/>
                <w:sz w:val="20"/>
                <w:szCs w:val="20"/>
              </w:rPr>
            </w:pPr>
          </w:p>
        </w:tc>
      </w:tr>
    </w:tbl>
    <w:p w14:paraId="555672CD" w14:textId="77777777" w:rsidR="00F925DD" w:rsidRDefault="00F925DD">
      <w:pPr>
        <w:rPr>
          <w:rFonts w:ascii="Times New Roman" w:hAnsi="Times New Roman"/>
          <w:sz w:val="20"/>
          <w:szCs w:val="20"/>
        </w:rPr>
      </w:pPr>
    </w:p>
    <w:p w14:paraId="555672C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Street </w:t>
      </w:r>
      <w:r>
        <w:rPr>
          <w:rFonts w:ascii="Arial" w:eastAsia="宋体" w:hAnsi="Arial" w:cs="Arial"/>
          <w:sz w:val="18"/>
          <w:szCs w:val="18"/>
        </w:rPr>
        <w:t>Corporation | 53</w:t>
      </w:r>
    </w:p>
    <w:p w14:paraId="555672CF" w14:textId="77777777" w:rsidR="00F925DD" w:rsidRDefault="00F925DD">
      <w:pPr>
        <w:spacing w:line="288" w:lineRule="auto"/>
        <w:ind w:firstLine="600"/>
        <w:jc w:val="center"/>
        <w:rPr>
          <w:rFonts w:ascii="Times New Roman" w:hAnsi="Times New Roman"/>
          <w:sz w:val="18"/>
          <w:szCs w:val="18"/>
        </w:rPr>
      </w:pPr>
    </w:p>
    <w:p w14:paraId="555672D0" w14:textId="77777777" w:rsidR="00F925DD" w:rsidRDefault="00E705D7">
      <w:r>
        <w:rPr>
          <w:rFonts w:ascii="Times New Roman" w:hAnsi="Times New Roman"/>
          <w:sz w:val="18"/>
          <w:szCs w:val="18"/>
        </w:rPr>
        <w:pict w14:anchorId="5557066F">
          <v:rect id="_x0000_i1077" style="width:415.3pt;height:1.5pt" o:hralign="center" o:hrstd="t" o:hr="t" fillcolor="#a0a0a0" stroked="f"/>
        </w:pict>
      </w:r>
    </w:p>
    <w:p w14:paraId="555672D1" w14:textId="77777777" w:rsidR="00F925DD" w:rsidRDefault="00F925DD">
      <w:pPr>
        <w:spacing w:line="288" w:lineRule="auto"/>
        <w:ind w:firstLine="600"/>
        <w:rPr>
          <w:rFonts w:ascii="Times New Roman" w:hAnsi="Times New Roman"/>
          <w:sz w:val="18"/>
          <w:szCs w:val="18"/>
        </w:rPr>
      </w:pPr>
    </w:p>
    <w:p w14:paraId="555672D2" w14:textId="77777777" w:rsidR="00F925DD" w:rsidRDefault="00F925DD">
      <w:pPr>
        <w:rPr>
          <w:rFonts w:ascii="Times New Roman" w:hAnsi="Times New Roman"/>
          <w:sz w:val="20"/>
          <w:szCs w:val="20"/>
        </w:rPr>
      </w:pPr>
    </w:p>
    <w:p w14:paraId="555672D3"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ITEM 6. SELECTED FINANCIAL DATA</w:t>
      </w:r>
    </w:p>
    <w:tbl>
      <w:tblPr>
        <w:tblW w:w="5000" w:type="pct"/>
        <w:tblCellMar>
          <w:left w:w="0" w:type="dxa"/>
          <w:right w:w="0" w:type="dxa"/>
        </w:tblCellMar>
        <w:tblLook w:val="04A0" w:firstRow="1" w:lastRow="0" w:firstColumn="1" w:lastColumn="0" w:noHBand="0" w:noVBand="1"/>
      </w:tblPr>
      <w:tblGrid>
        <w:gridCol w:w="3611"/>
        <w:gridCol w:w="129"/>
        <w:gridCol w:w="490"/>
        <w:gridCol w:w="183"/>
        <w:gridCol w:w="130"/>
        <w:gridCol w:w="129"/>
        <w:gridCol w:w="490"/>
        <w:gridCol w:w="183"/>
        <w:gridCol w:w="200"/>
        <w:gridCol w:w="6"/>
        <w:gridCol w:w="129"/>
        <w:gridCol w:w="490"/>
        <w:gridCol w:w="183"/>
        <w:gridCol w:w="130"/>
        <w:gridCol w:w="129"/>
        <w:gridCol w:w="490"/>
        <w:gridCol w:w="183"/>
        <w:gridCol w:w="130"/>
        <w:gridCol w:w="129"/>
        <w:gridCol w:w="579"/>
        <w:gridCol w:w="183"/>
      </w:tblGrid>
      <w:tr w:rsidR="00F925DD" w14:paraId="555672D5" w14:textId="77777777">
        <w:tc>
          <w:tcPr>
            <w:tcW w:w="0" w:type="auto"/>
            <w:gridSpan w:val="21"/>
            <w:shd w:val="clear" w:color="auto" w:fill="auto"/>
            <w:vAlign w:val="center"/>
          </w:tcPr>
          <w:p w14:paraId="555672D4" w14:textId="77777777" w:rsidR="00F925DD" w:rsidRDefault="00F925DD">
            <w:pPr>
              <w:rPr>
                <w:rFonts w:ascii="Times New Roman" w:hAnsi="Times New Roman"/>
                <w:sz w:val="20"/>
                <w:szCs w:val="20"/>
              </w:rPr>
            </w:pPr>
          </w:p>
        </w:tc>
      </w:tr>
      <w:tr w:rsidR="00F925DD" w14:paraId="555672EB" w14:textId="77777777">
        <w:tc>
          <w:tcPr>
            <w:tcW w:w="2550" w:type="pct"/>
            <w:shd w:val="clear" w:color="auto" w:fill="auto"/>
            <w:vAlign w:val="center"/>
          </w:tcPr>
          <w:p w14:paraId="555672D6" w14:textId="77777777" w:rsidR="00F925DD" w:rsidRDefault="00F925DD">
            <w:pPr>
              <w:rPr>
                <w:rFonts w:ascii="Times New Roman" w:hAnsi="Times New Roman"/>
                <w:sz w:val="20"/>
                <w:szCs w:val="20"/>
              </w:rPr>
            </w:pPr>
          </w:p>
        </w:tc>
        <w:tc>
          <w:tcPr>
            <w:tcW w:w="50" w:type="pct"/>
            <w:shd w:val="clear" w:color="auto" w:fill="auto"/>
            <w:vAlign w:val="center"/>
          </w:tcPr>
          <w:p w14:paraId="555672D7" w14:textId="77777777" w:rsidR="00F925DD" w:rsidRDefault="00F925DD">
            <w:pPr>
              <w:rPr>
                <w:rFonts w:ascii="Times New Roman" w:hAnsi="Times New Roman"/>
                <w:sz w:val="20"/>
                <w:szCs w:val="20"/>
              </w:rPr>
            </w:pPr>
          </w:p>
        </w:tc>
        <w:tc>
          <w:tcPr>
            <w:tcW w:w="350" w:type="pct"/>
            <w:shd w:val="clear" w:color="auto" w:fill="auto"/>
            <w:vAlign w:val="center"/>
          </w:tcPr>
          <w:p w14:paraId="555672D8" w14:textId="77777777" w:rsidR="00F925DD" w:rsidRDefault="00F925DD">
            <w:pPr>
              <w:rPr>
                <w:rFonts w:ascii="Times New Roman" w:hAnsi="Times New Roman"/>
                <w:sz w:val="20"/>
                <w:szCs w:val="20"/>
              </w:rPr>
            </w:pPr>
          </w:p>
        </w:tc>
        <w:tc>
          <w:tcPr>
            <w:tcW w:w="50" w:type="pct"/>
            <w:shd w:val="clear" w:color="auto" w:fill="auto"/>
            <w:vAlign w:val="center"/>
          </w:tcPr>
          <w:p w14:paraId="555672D9" w14:textId="77777777" w:rsidR="00F925DD" w:rsidRDefault="00F925DD">
            <w:pPr>
              <w:rPr>
                <w:rFonts w:ascii="Times New Roman" w:hAnsi="Times New Roman"/>
                <w:sz w:val="20"/>
                <w:szCs w:val="20"/>
              </w:rPr>
            </w:pPr>
          </w:p>
        </w:tc>
        <w:tc>
          <w:tcPr>
            <w:tcW w:w="50" w:type="pct"/>
            <w:shd w:val="clear" w:color="auto" w:fill="auto"/>
            <w:vAlign w:val="center"/>
          </w:tcPr>
          <w:p w14:paraId="555672DA" w14:textId="77777777" w:rsidR="00F925DD" w:rsidRDefault="00F925DD">
            <w:pPr>
              <w:rPr>
                <w:rFonts w:ascii="Times New Roman" w:hAnsi="Times New Roman"/>
                <w:sz w:val="20"/>
                <w:szCs w:val="20"/>
              </w:rPr>
            </w:pPr>
          </w:p>
        </w:tc>
        <w:tc>
          <w:tcPr>
            <w:tcW w:w="50" w:type="pct"/>
            <w:shd w:val="clear" w:color="auto" w:fill="auto"/>
            <w:vAlign w:val="center"/>
          </w:tcPr>
          <w:p w14:paraId="555672DB" w14:textId="77777777" w:rsidR="00F925DD" w:rsidRDefault="00F925DD">
            <w:pPr>
              <w:rPr>
                <w:rFonts w:ascii="Times New Roman" w:hAnsi="Times New Roman"/>
                <w:sz w:val="20"/>
                <w:szCs w:val="20"/>
              </w:rPr>
            </w:pPr>
          </w:p>
        </w:tc>
        <w:tc>
          <w:tcPr>
            <w:tcW w:w="350" w:type="pct"/>
            <w:shd w:val="clear" w:color="auto" w:fill="auto"/>
            <w:vAlign w:val="center"/>
          </w:tcPr>
          <w:p w14:paraId="555672DC" w14:textId="77777777" w:rsidR="00F925DD" w:rsidRDefault="00F925DD">
            <w:pPr>
              <w:rPr>
                <w:rFonts w:ascii="Times New Roman" w:hAnsi="Times New Roman"/>
                <w:sz w:val="20"/>
                <w:szCs w:val="20"/>
              </w:rPr>
            </w:pPr>
          </w:p>
        </w:tc>
        <w:tc>
          <w:tcPr>
            <w:tcW w:w="50" w:type="pct"/>
            <w:shd w:val="clear" w:color="auto" w:fill="auto"/>
            <w:vAlign w:val="center"/>
          </w:tcPr>
          <w:p w14:paraId="555672DD" w14:textId="77777777" w:rsidR="00F925DD" w:rsidRDefault="00F925DD">
            <w:pPr>
              <w:rPr>
                <w:rFonts w:ascii="Times New Roman" w:hAnsi="Times New Roman"/>
                <w:sz w:val="20"/>
                <w:szCs w:val="20"/>
              </w:rPr>
            </w:pPr>
          </w:p>
        </w:tc>
        <w:tc>
          <w:tcPr>
            <w:tcW w:w="0" w:type="pct"/>
            <w:shd w:val="clear" w:color="auto" w:fill="auto"/>
            <w:vAlign w:val="center"/>
          </w:tcPr>
          <w:p w14:paraId="555672DE" w14:textId="77777777" w:rsidR="00F925DD" w:rsidRDefault="00F925DD">
            <w:pPr>
              <w:rPr>
                <w:rFonts w:ascii="Times New Roman" w:hAnsi="Times New Roman"/>
                <w:sz w:val="20"/>
                <w:szCs w:val="20"/>
              </w:rPr>
            </w:pPr>
          </w:p>
        </w:tc>
        <w:tc>
          <w:tcPr>
            <w:tcW w:w="50" w:type="pct"/>
            <w:shd w:val="clear" w:color="auto" w:fill="auto"/>
            <w:vAlign w:val="center"/>
          </w:tcPr>
          <w:p w14:paraId="555672DF" w14:textId="77777777" w:rsidR="00F925DD" w:rsidRDefault="00F925DD">
            <w:pPr>
              <w:rPr>
                <w:rFonts w:ascii="Times New Roman" w:hAnsi="Times New Roman"/>
                <w:sz w:val="20"/>
                <w:szCs w:val="20"/>
              </w:rPr>
            </w:pPr>
          </w:p>
        </w:tc>
        <w:tc>
          <w:tcPr>
            <w:tcW w:w="50" w:type="pct"/>
            <w:shd w:val="clear" w:color="auto" w:fill="auto"/>
            <w:vAlign w:val="center"/>
          </w:tcPr>
          <w:p w14:paraId="555672E0" w14:textId="77777777" w:rsidR="00F925DD" w:rsidRDefault="00F925DD">
            <w:pPr>
              <w:rPr>
                <w:rFonts w:ascii="Times New Roman" w:hAnsi="Times New Roman"/>
                <w:sz w:val="20"/>
                <w:szCs w:val="20"/>
              </w:rPr>
            </w:pPr>
          </w:p>
        </w:tc>
        <w:tc>
          <w:tcPr>
            <w:tcW w:w="350" w:type="pct"/>
            <w:shd w:val="clear" w:color="auto" w:fill="auto"/>
            <w:vAlign w:val="center"/>
          </w:tcPr>
          <w:p w14:paraId="555672E1" w14:textId="77777777" w:rsidR="00F925DD" w:rsidRDefault="00F925DD">
            <w:pPr>
              <w:rPr>
                <w:rFonts w:ascii="Times New Roman" w:hAnsi="Times New Roman"/>
                <w:sz w:val="20"/>
                <w:szCs w:val="20"/>
              </w:rPr>
            </w:pPr>
          </w:p>
        </w:tc>
        <w:tc>
          <w:tcPr>
            <w:tcW w:w="50" w:type="pct"/>
            <w:shd w:val="clear" w:color="auto" w:fill="auto"/>
            <w:vAlign w:val="center"/>
          </w:tcPr>
          <w:p w14:paraId="555672E2" w14:textId="77777777" w:rsidR="00F925DD" w:rsidRDefault="00F925DD">
            <w:pPr>
              <w:rPr>
                <w:rFonts w:ascii="Times New Roman" w:hAnsi="Times New Roman"/>
                <w:sz w:val="20"/>
                <w:szCs w:val="20"/>
              </w:rPr>
            </w:pPr>
          </w:p>
        </w:tc>
        <w:tc>
          <w:tcPr>
            <w:tcW w:w="50" w:type="pct"/>
            <w:shd w:val="clear" w:color="auto" w:fill="auto"/>
            <w:vAlign w:val="center"/>
          </w:tcPr>
          <w:p w14:paraId="555672E3" w14:textId="77777777" w:rsidR="00F925DD" w:rsidRDefault="00F925DD">
            <w:pPr>
              <w:rPr>
                <w:rFonts w:ascii="Times New Roman" w:hAnsi="Times New Roman"/>
                <w:sz w:val="20"/>
                <w:szCs w:val="20"/>
              </w:rPr>
            </w:pPr>
          </w:p>
        </w:tc>
        <w:tc>
          <w:tcPr>
            <w:tcW w:w="50" w:type="pct"/>
            <w:shd w:val="clear" w:color="auto" w:fill="auto"/>
            <w:vAlign w:val="center"/>
          </w:tcPr>
          <w:p w14:paraId="555672E4" w14:textId="77777777" w:rsidR="00F925DD" w:rsidRDefault="00F925DD">
            <w:pPr>
              <w:rPr>
                <w:rFonts w:ascii="Times New Roman" w:hAnsi="Times New Roman"/>
                <w:sz w:val="20"/>
                <w:szCs w:val="20"/>
              </w:rPr>
            </w:pPr>
          </w:p>
        </w:tc>
        <w:tc>
          <w:tcPr>
            <w:tcW w:w="350" w:type="pct"/>
            <w:shd w:val="clear" w:color="auto" w:fill="auto"/>
            <w:vAlign w:val="center"/>
          </w:tcPr>
          <w:p w14:paraId="555672E5" w14:textId="77777777" w:rsidR="00F925DD" w:rsidRDefault="00F925DD">
            <w:pPr>
              <w:rPr>
                <w:rFonts w:ascii="Times New Roman" w:hAnsi="Times New Roman"/>
                <w:sz w:val="20"/>
                <w:szCs w:val="20"/>
              </w:rPr>
            </w:pPr>
          </w:p>
        </w:tc>
        <w:tc>
          <w:tcPr>
            <w:tcW w:w="50" w:type="pct"/>
            <w:shd w:val="clear" w:color="auto" w:fill="auto"/>
            <w:vAlign w:val="center"/>
          </w:tcPr>
          <w:p w14:paraId="555672E6" w14:textId="77777777" w:rsidR="00F925DD" w:rsidRDefault="00F925DD">
            <w:pPr>
              <w:rPr>
                <w:rFonts w:ascii="Times New Roman" w:hAnsi="Times New Roman"/>
                <w:sz w:val="20"/>
                <w:szCs w:val="20"/>
              </w:rPr>
            </w:pPr>
          </w:p>
        </w:tc>
        <w:tc>
          <w:tcPr>
            <w:tcW w:w="50" w:type="pct"/>
            <w:shd w:val="clear" w:color="auto" w:fill="auto"/>
            <w:vAlign w:val="center"/>
          </w:tcPr>
          <w:p w14:paraId="555672E7" w14:textId="77777777" w:rsidR="00F925DD" w:rsidRDefault="00F925DD">
            <w:pPr>
              <w:rPr>
                <w:rFonts w:ascii="Times New Roman" w:hAnsi="Times New Roman"/>
                <w:sz w:val="20"/>
                <w:szCs w:val="20"/>
              </w:rPr>
            </w:pPr>
          </w:p>
        </w:tc>
        <w:tc>
          <w:tcPr>
            <w:tcW w:w="50" w:type="pct"/>
            <w:shd w:val="clear" w:color="auto" w:fill="auto"/>
            <w:vAlign w:val="center"/>
          </w:tcPr>
          <w:p w14:paraId="555672E8" w14:textId="77777777" w:rsidR="00F925DD" w:rsidRDefault="00F925DD">
            <w:pPr>
              <w:rPr>
                <w:rFonts w:ascii="Times New Roman" w:hAnsi="Times New Roman"/>
                <w:sz w:val="20"/>
                <w:szCs w:val="20"/>
              </w:rPr>
            </w:pPr>
          </w:p>
        </w:tc>
        <w:tc>
          <w:tcPr>
            <w:tcW w:w="350" w:type="pct"/>
            <w:shd w:val="clear" w:color="auto" w:fill="auto"/>
            <w:vAlign w:val="center"/>
          </w:tcPr>
          <w:p w14:paraId="555672E9" w14:textId="77777777" w:rsidR="00F925DD" w:rsidRDefault="00F925DD">
            <w:pPr>
              <w:rPr>
                <w:rFonts w:ascii="Times New Roman" w:hAnsi="Times New Roman"/>
                <w:sz w:val="20"/>
                <w:szCs w:val="20"/>
              </w:rPr>
            </w:pPr>
          </w:p>
        </w:tc>
        <w:tc>
          <w:tcPr>
            <w:tcW w:w="50" w:type="pct"/>
            <w:shd w:val="clear" w:color="auto" w:fill="auto"/>
            <w:vAlign w:val="center"/>
          </w:tcPr>
          <w:p w14:paraId="555672EA" w14:textId="77777777" w:rsidR="00F925DD" w:rsidRDefault="00F925DD">
            <w:pPr>
              <w:rPr>
                <w:rFonts w:ascii="Times New Roman" w:hAnsi="Times New Roman"/>
                <w:sz w:val="20"/>
                <w:szCs w:val="20"/>
              </w:rPr>
            </w:pPr>
          </w:p>
        </w:tc>
      </w:tr>
      <w:tr w:rsidR="00F925DD" w14:paraId="555672F6" w14:textId="77777777">
        <w:tc>
          <w:tcPr>
            <w:tcW w:w="0" w:type="auto"/>
            <w:shd w:val="clear" w:color="auto" w:fill="auto"/>
            <w:tcMar>
              <w:top w:w="40" w:type="dxa"/>
              <w:left w:w="40" w:type="dxa"/>
              <w:bottom w:w="40" w:type="dxa"/>
              <w:right w:w="240" w:type="dxa"/>
            </w:tcMar>
            <w:vAlign w:val="bottom"/>
          </w:tcPr>
          <w:p w14:paraId="555672E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(Dolla</w:t>
            </w:r>
            <w:r>
              <w:rPr>
                <w:rFonts w:ascii="Arial" w:eastAsia="宋体" w:hAnsi="Arial" w:cs="Arial"/>
                <w:b/>
                <w:bCs/>
                <w:sz w:val="16"/>
                <w:szCs w:val="16"/>
              </w:rPr>
              <w:t>rs in millions, except per share amounts or where otherwise noted)</w:t>
            </w:r>
          </w:p>
        </w:tc>
        <w:tc>
          <w:tcPr>
            <w:tcW w:w="0" w:type="auto"/>
            <w:gridSpan w:val="3"/>
            <w:shd w:val="clear" w:color="auto" w:fill="auto"/>
            <w:tcMar>
              <w:top w:w="40" w:type="dxa"/>
              <w:left w:w="40" w:type="dxa"/>
              <w:bottom w:w="40" w:type="dxa"/>
              <w:right w:w="40" w:type="dxa"/>
            </w:tcMar>
            <w:vAlign w:val="bottom"/>
          </w:tcPr>
          <w:p w14:paraId="555672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2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2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2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2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2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2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2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2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301" w14:textId="77777777">
        <w:tc>
          <w:tcPr>
            <w:tcW w:w="0" w:type="auto"/>
            <w:shd w:val="clear" w:color="auto" w:fill="auto"/>
            <w:tcMar>
              <w:top w:w="40" w:type="dxa"/>
              <w:left w:w="40" w:type="dxa"/>
              <w:bottom w:w="40" w:type="dxa"/>
              <w:right w:w="40" w:type="dxa"/>
            </w:tcMar>
            <w:vAlign w:val="bottom"/>
          </w:tcPr>
          <w:p w14:paraId="555672F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YEARS ENDED DECEMBER 31:</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2F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72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2FA"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r>
              <w:rPr>
                <w:rFonts w:ascii="Arial" w:eastAsia="宋体" w:hAnsi="Arial" w:cs="Arial"/>
                <w:b/>
                <w:bCs/>
                <w:sz w:val="10"/>
                <w:szCs w:val="10"/>
              </w:rPr>
              <w:t>(1)</w:t>
            </w:r>
          </w:p>
        </w:tc>
        <w:tc>
          <w:tcPr>
            <w:tcW w:w="0" w:type="auto"/>
            <w:gridSpan w:val="2"/>
            <w:shd w:val="clear" w:color="auto" w:fill="auto"/>
            <w:tcMar>
              <w:top w:w="40" w:type="dxa"/>
              <w:left w:w="40" w:type="dxa"/>
              <w:bottom w:w="40" w:type="dxa"/>
              <w:right w:w="40" w:type="dxa"/>
            </w:tcMar>
            <w:vAlign w:val="bottom"/>
          </w:tcPr>
          <w:p w14:paraId="555672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2FC"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c>
          <w:tcPr>
            <w:tcW w:w="0" w:type="auto"/>
            <w:shd w:val="clear" w:color="auto" w:fill="auto"/>
            <w:tcMar>
              <w:top w:w="40" w:type="dxa"/>
              <w:left w:w="40" w:type="dxa"/>
              <w:bottom w:w="40" w:type="dxa"/>
              <w:right w:w="40" w:type="dxa"/>
            </w:tcMar>
            <w:vAlign w:val="bottom"/>
          </w:tcPr>
          <w:p w14:paraId="555672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2FE"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2016</w:t>
            </w:r>
          </w:p>
        </w:tc>
        <w:tc>
          <w:tcPr>
            <w:tcW w:w="0" w:type="auto"/>
            <w:shd w:val="clear" w:color="auto" w:fill="auto"/>
            <w:tcMar>
              <w:top w:w="40" w:type="dxa"/>
              <w:left w:w="40" w:type="dxa"/>
              <w:bottom w:w="40" w:type="dxa"/>
              <w:right w:w="40" w:type="dxa"/>
            </w:tcMar>
            <w:vAlign w:val="bottom"/>
          </w:tcPr>
          <w:p w14:paraId="555672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300"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2015</w:t>
            </w:r>
          </w:p>
        </w:tc>
      </w:tr>
      <w:tr w:rsidR="00F925DD" w14:paraId="55567316" w14:textId="77777777">
        <w:tc>
          <w:tcPr>
            <w:tcW w:w="0" w:type="auto"/>
            <w:shd w:val="clear" w:color="auto" w:fill="CCEEFF"/>
            <w:tcMar>
              <w:top w:w="40" w:type="dxa"/>
              <w:left w:w="40" w:type="dxa"/>
              <w:bottom w:w="40" w:type="dxa"/>
              <w:right w:w="40" w:type="dxa"/>
            </w:tcMar>
            <w:vAlign w:val="bottom"/>
          </w:tcPr>
          <w:p w14:paraId="55567302"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fee revenue</w:t>
            </w:r>
          </w:p>
        </w:tc>
        <w:tc>
          <w:tcPr>
            <w:tcW w:w="0" w:type="auto"/>
            <w:shd w:val="clear" w:color="auto" w:fill="CCEEFF"/>
            <w:tcMar>
              <w:top w:w="40" w:type="dxa"/>
              <w:left w:w="40" w:type="dxa"/>
              <w:bottom w:w="40" w:type="dxa"/>
            </w:tcMar>
            <w:vAlign w:val="bottom"/>
          </w:tcPr>
          <w:p w14:paraId="5556730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730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9,147</w:t>
            </w:r>
          </w:p>
        </w:tc>
        <w:tc>
          <w:tcPr>
            <w:tcW w:w="0" w:type="auto"/>
            <w:shd w:val="clear" w:color="auto" w:fill="CCEEFF"/>
            <w:vAlign w:val="bottom"/>
          </w:tcPr>
          <w:p w14:paraId="555673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30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30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9,454</w:t>
            </w:r>
          </w:p>
        </w:tc>
        <w:tc>
          <w:tcPr>
            <w:tcW w:w="0" w:type="auto"/>
            <w:shd w:val="clear" w:color="auto" w:fill="CCEEFF"/>
            <w:vAlign w:val="bottom"/>
          </w:tcPr>
          <w:p w14:paraId="55567309"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3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30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30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9,001</w:t>
            </w:r>
          </w:p>
        </w:tc>
        <w:tc>
          <w:tcPr>
            <w:tcW w:w="0" w:type="auto"/>
            <w:shd w:val="clear" w:color="auto" w:fill="CCEEFF"/>
            <w:vAlign w:val="bottom"/>
          </w:tcPr>
          <w:p w14:paraId="5556730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30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31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8,200</w:t>
            </w:r>
          </w:p>
        </w:tc>
        <w:tc>
          <w:tcPr>
            <w:tcW w:w="0" w:type="auto"/>
            <w:shd w:val="clear" w:color="auto" w:fill="CCEEFF"/>
            <w:vAlign w:val="bottom"/>
          </w:tcPr>
          <w:p w14:paraId="5556731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31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31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8,351</w:t>
            </w:r>
          </w:p>
        </w:tc>
        <w:tc>
          <w:tcPr>
            <w:tcW w:w="0" w:type="auto"/>
            <w:shd w:val="clear" w:color="auto" w:fill="CCEEFF"/>
            <w:vAlign w:val="bottom"/>
          </w:tcPr>
          <w:p w14:paraId="55567315" w14:textId="77777777" w:rsidR="00F925DD" w:rsidRDefault="00F925DD">
            <w:pPr>
              <w:textAlignment w:val="bottom"/>
              <w:rPr>
                <w:rFonts w:ascii="Times New Roman" w:hAnsi="Times New Roman"/>
                <w:sz w:val="20"/>
                <w:szCs w:val="20"/>
              </w:rPr>
            </w:pPr>
          </w:p>
        </w:tc>
      </w:tr>
      <w:tr w:rsidR="00F925DD" w14:paraId="55567326" w14:textId="77777777">
        <w:tc>
          <w:tcPr>
            <w:tcW w:w="0" w:type="auto"/>
            <w:shd w:val="clear" w:color="auto" w:fill="auto"/>
            <w:tcMar>
              <w:top w:w="40" w:type="dxa"/>
              <w:left w:w="40" w:type="dxa"/>
              <w:bottom w:w="40" w:type="dxa"/>
              <w:right w:w="40" w:type="dxa"/>
            </w:tcMar>
            <w:vAlign w:val="bottom"/>
          </w:tcPr>
          <w:p w14:paraId="55567317"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interest income</w:t>
            </w:r>
          </w:p>
        </w:tc>
        <w:tc>
          <w:tcPr>
            <w:tcW w:w="0" w:type="auto"/>
            <w:gridSpan w:val="2"/>
            <w:shd w:val="clear" w:color="auto" w:fill="auto"/>
            <w:tcMar>
              <w:top w:w="40" w:type="dxa"/>
              <w:left w:w="40" w:type="dxa"/>
              <w:bottom w:w="40" w:type="dxa"/>
            </w:tcMar>
            <w:vAlign w:val="bottom"/>
          </w:tcPr>
          <w:p w14:paraId="5556731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2,566</w:t>
            </w:r>
          </w:p>
        </w:tc>
        <w:tc>
          <w:tcPr>
            <w:tcW w:w="0" w:type="auto"/>
            <w:shd w:val="clear" w:color="auto" w:fill="auto"/>
            <w:vAlign w:val="bottom"/>
          </w:tcPr>
          <w:p w14:paraId="5556731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31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2,671</w:t>
            </w:r>
          </w:p>
        </w:tc>
        <w:tc>
          <w:tcPr>
            <w:tcW w:w="0" w:type="auto"/>
            <w:shd w:val="clear" w:color="auto" w:fill="auto"/>
            <w:vAlign w:val="bottom"/>
          </w:tcPr>
          <w:p w14:paraId="5556731C"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3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31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2,304</w:t>
            </w:r>
          </w:p>
        </w:tc>
        <w:tc>
          <w:tcPr>
            <w:tcW w:w="0" w:type="auto"/>
            <w:shd w:val="clear" w:color="auto" w:fill="auto"/>
            <w:vAlign w:val="bottom"/>
          </w:tcPr>
          <w:p w14:paraId="5556731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32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2,084</w:t>
            </w:r>
          </w:p>
        </w:tc>
        <w:tc>
          <w:tcPr>
            <w:tcW w:w="0" w:type="auto"/>
            <w:shd w:val="clear" w:color="auto" w:fill="auto"/>
            <w:vAlign w:val="bottom"/>
          </w:tcPr>
          <w:p w14:paraId="555673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32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2,088</w:t>
            </w:r>
          </w:p>
        </w:tc>
        <w:tc>
          <w:tcPr>
            <w:tcW w:w="0" w:type="auto"/>
            <w:shd w:val="clear" w:color="auto" w:fill="auto"/>
            <w:vAlign w:val="bottom"/>
          </w:tcPr>
          <w:p w14:paraId="55567325" w14:textId="77777777" w:rsidR="00F925DD" w:rsidRDefault="00F925DD">
            <w:pPr>
              <w:textAlignment w:val="bottom"/>
              <w:rPr>
                <w:rFonts w:ascii="Times New Roman" w:hAnsi="Times New Roman"/>
                <w:sz w:val="20"/>
                <w:szCs w:val="20"/>
              </w:rPr>
            </w:pPr>
          </w:p>
        </w:tc>
      </w:tr>
      <w:tr w:rsidR="00F925DD" w14:paraId="55567337" w14:textId="77777777">
        <w:tc>
          <w:tcPr>
            <w:tcW w:w="0" w:type="auto"/>
            <w:shd w:val="clear" w:color="auto" w:fill="CCEEFF"/>
            <w:tcMar>
              <w:top w:w="40" w:type="dxa"/>
              <w:left w:w="40" w:type="dxa"/>
              <w:bottom w:w="40" w:type="dxa"/>
              <w:right w:w="40" w:type="dxa"/>
            </w:tcMar>
            <w:vAlign w:val="bottom"/>
          </w:tcPr>
          <w:p w14:paraId="55567327"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other income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32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43</w:t>
            </w:r>
          </w:p>
        </w:tc>
        <w:tc>
          <w:tcPr>
            <w:tcW w:w="0" w:type="auto"/>
            <w:tcBorders>
              <w:bottom w:val="single" w:sz="8" w:space="0" w:color="000000"/>
            </w:tcBorders>
            <w:shd w:val="clear" w:color="auto" w:fill="CCEEFF"/>
            <w:vAlign w:val="bottom"/>
          </w:tcPr>
          <w:p w14:paraId="555673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32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w:t>
            </w:r>
          </w:p>
        </w:tc>
        <w:tc>
          <w:tcPr>
            <w:tcW w:w="0" w:type="auto"/>
            <w:tcBorders>
              <w:bottom w:val="single" w:sz="8" w:space="0" w:color="000000"/>
            </w:tcBorders>
            <w:shd w:val="clear" w:color="auto" w:fill="CCEEFF"/>
            <w:vAlign w:val="bottom"/>
          </w:tcPr>
          <w:p w14:paraId="5556732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5556732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732E" w14:textId="77777777" w:rsidR="00F925DD" w:rsidRDefault="00F925DD">
            <w:pPr>
              <w:textAlignment w:val="bottom"/>
              <w:rPr>
                <w:rFonts w:ascii="Times New Roman" w:hAnsi="Times New Roman"/>
                <w:sz w:val="20"/>
                <w:szCs w:val="20"/>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732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(39</w:t>
            </w:r>
          </w:p>
        </w:tc>
        <w:tc>
          <w:tcPr>
            <w:tcW w:w="0" w:type="auto"/>
            <w:tcBorders>
              <w:bottom w:val="single" w:sz="8" w:space="0" w:color="000000"/>
            </w:tcBorders>
            <w:shd w:val="clear" w:color="auto" w:fill="CCEEFF"/>
            <w:tcMar>
              <w:top w:w="40" w:type="dxa"/>
              <w:bottom w:w="40" w:type="dxa"/>
              <w:right w:w="40" w:type="dxa"/>
            </w:tcMar>
            <w:vAlign w:val="bottom"/>
          </w:tcPr>
          <w:p w14:paraId="55567330"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3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33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w:t>
            </w:r>
          </w:p>
        </w:tc>
        <w:tc>
          <w:tcPr>
            <w:tcW w:w="0" w:type="auto"/>
            <w:tcBorders>
              <w:bottom w:val="single" w:sz="8" w:space="0" w:color="000000"/>
            </w:tcBorders>
            <w:shd w:val="clear" w:color="auto" w:fill="CCEEFF"/>
            <w:vAlign w:val="bottom"/>
          </w:tcPr>
          <w:p w14:paraId="5556733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33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w:t>
            </w:r>
          </w:p>
        </w:tc>
        <w:tc>
          <w:tcPr>
            <w:tcW w:w="0" w:type="auto"/>
            <w:tcBorders>
              <w:bottom w:val="single" w:sz="8" w:space="0" w:color="000000"/>
            </w:tcBorders>
            <w:shd w:val="clear" w:color="auto" w:fill="CCEEFF"/>
            <w:tcMar>
              <w:top w:w="40" w:type="dxa"/>
              <w:bottom w:w="40" w:type="dxa"/>
              <w:right w:w="40" w:type="dxa"/>
            </w:tcMar>
            <w:vAlign w:val="bottom"/>
          </w:tcPr>
          <w:p w14:paraId="5556733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7347" w14:textId="77777777">
        <w:tc>
          <w:tcPr>
            <w:tcW w:w="0" w:type="auto"/>
            <w:shd w:val="clear" w:color="auto" w:fill="auto"/>
            <w:tcMar>
              <w:top w:w="40" w:type="dxa"/>
              <w:left w:w="40" w:type="dxa"/>
              <w:bottom w:w="40" w:type="dxa"/>
              <w:right w:w="40" w:type="dxa"/>
            </w:tcMar>
            <w:vAlign w:val="bottom"/>
          </w:tcPr>
          <w:p w14:paraId="55567338"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Total </w:t>
            </w:r>
            <w:r>
              <w:rPr>
                <w:rFonts w:ascii="Arial" w:eastAsia="宋体" w:hAnsi="Arial" w:cs="Arial"/>
                <w:sz w:val="16"/>
                <w:szCs w:val="16"/>
              </w:rPr>
              <w:t>revenue</w:t>
            </w:r>
          </w:p>
        </w:tc>
        <w:tc>
          <w:tcPr>
            <w:tcW w:w="0" w:type="auto"/>
            <w:gridSpan w:val="2"/>
            <w:shd w:val="clear" w:color="auto" w:fill="auto"/>
            <w:tcMar>
              <w:top w:w="40" w:type="dxa"/>
              <w:left w:w="40" w:type="dxa"/>
              <w:bottom w:w="40" w:type="dxa"/>
            </w:tcMar>
            <w:vAlign w:val="bottom"/>
          </w:tcPr>
          <w:p w14:paraId="5556733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11,756</w:t>
            </w:r>
          </w:p>
        </w:tc>
        <w:tc>
          <w:tcPr>
            <w:tcW w:w="0" w:type="auto"/>
            <w:shd w:val="clear" w:color="auto" w:fill="auto"/>
            <w:vAlign w:val="bottom"/>
          </w:tcPr>
          <w:p w14:paraId="5556733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733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12,131</w:t>
            </w:r>
          </w:p>
        </w:tc>
        <w:tc>
          <w:tcPr>
            <w:tcW w:w="0" w:type="auto"/>
            <w:tcBorders>
              <w:top w:val="single" w:sz="8" w:space="0" w:color="000000"/>
            </w:tcBorders>
            <w:shd w:val="clear" w:color="auto" w:fill="auto"/>
            <w:vAlign w:val="bottom"/>
          </w:tcPr>
          <w:p w14:paraId="5556733D"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3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733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11,266</w:t>
            </w:r>
          </w:p>
        </w:tc>
        <w:tc>
          <w:tcPr>
            <w:tcW w:w="0" w:type="auto"/>
            <w:tcBorders>
              <w:top w:val="single" w:sz="8" w:space="0" w:color="000000"/>
            </w:tcBorders>
            <w:shd w:val="clear" w:color="auto" w:fill="auto"/>
            <w:vAlign w:val="bottom"/>
          </w:tcPr>
          <w:p w14:paraId="5556734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734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10,291</w:t>
            </w:r>
          </w:p>
        </w:tc>
        <w:tc>
          <w:tcPr>
            <w:tcW w:w="0" w:type="auto"/>
            <w:tcBorders>
              <w:top w:val="single" w:sz="8" w:space="0" w:color="000000"/>
            </w:tcBorders>
            <w:shd w:val="clear" w:color="auto" w:fill="auto"/>
            <w:vAlign w:val="bottom"/>
          </w:tcPr>
          <w:p w14:paraId="5556734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734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10,433</w:t>
            </w:r>
          </w:p>
        </w:tc>
        <w:tc>
          <w:tcPr>
            <w:tcW w:w="0" w:type="auto"/>
            <w:tcBorders>
              <w:top w:val="single" w:sz="8" w:space="0" w:color="000000"/>
            </w:tcBorders>
            <w:shd w:val="clear" w:color="auto" w:fill="auto"/>
            <w:vAlign w:val="bottom"/>
          </w:tcPr>
          <w:p w14:paraId="55567346" w14:textId="77777777" w:rsidR="00F925DD" w:rsidRDefault="00F925DD">
            <w:pPr>
              <w:textAlignment w:val="bottom"/>
              <w:rPr>
                <w:rFonts w:ascii="Times New Roman" w:hAnsi="Times New Roman"/>
                <w:sz w:val="20"/>
                <w:szCs w:val="20"/>
              </w:rPr>
            </w:pPr>
          </w:p>
        </w:tc>
      </w:tr>
      <w:tr w:rsidR="00F925DD" w14:paraId="55567357" w14:textId="77777777">
        <w:tc>
          <w:tcPr>
            <w:tcW w:w="0" w:type="auto"/>
            <w:shd w:val="clear" w:color="auto" w:fill="CCEEFF"/>
            <w:tcMar>
              <w:top w:w="40" w:type="dxa"/>
              <w:left w:w="40" w:type="dxa"/>
              <w:bottom w:w="40" w:type="dxa"/>
              <w:right w:w="40" w:type="dxa"/>
            </w:tcMar>
            <w:vAlign w:val="bottom"/>
          </w:tcPr>
          <w:p w14:paraId="55567348" w14:textId="77777777" w:rsidR="00F925DD" w:rsidRDefault="00E705D7">
            <w:pPr>
              <w:textAlignment w:val="bottom"/>
              <w:rPr>
                <w:rFonts w:ascii="Times New Roman" w:hAnsi="Times New Roman"/>
                <w:sz w:val="16"/>
                <w:szCs w:val="16"/>
              </w:rPr>
            </w:pPr>
            <w:r>
              <w:rPr>
                <w:rFonts w:ascii="Arial" w:eastAsia="宋体" w:hAnsi="Arial" w:cs="Arial"/>
                <w:sz w:val="16"/>
                <w:szCs w:val="16"/>
              </w:rPr>
              <w:t>Provision for loan losses</w:t>
            </w:r>
          </w:p>
        </w:tc>
        <w:tc>
          <w:tcPr>
            <w:tcW w:w="0" w:type="auto"/>
            <w:gridSpan w:val="2"/>
            <w:shd w:val="clear" w:color="auto" w:fill="CCEEFF"/>
            <w:tcMar>
              <w:top w:w="40" w:type="dxa"/>
              <w:left w:w="40" w:type="dxa"/>
              <w:bottom w:w="40" w:type="dxa"/>
            </w:tcMar>
            <w:vAlign w:val="bottom"/>
          </w:tcPr>
          <w:p w14:paraId="5556734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10</w:t>
            </w:r>
          </w:p>
        </w:tc>
        <w:tc>
          <w:tcPr>
            <w:tcW w:w="0" w:type="auto"/>
            <w:shd w:val="clear" w:color="auto" w:fill="CCEEFF"/>
            <w:vAlign w:val="bottom"/>
          </w:tcPr>
          <w:p w14:paraId="5556734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4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CCEEFF"/>
            <w:vAlign w:val="bottom"/>
          </w:tcPr>
          <w:p w14:paraId="5556734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3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4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CCEEFF"/>
            <w:vAlign w:val="bottom"/>
          </w:tcPr>
          <w:p w14:paraId="5556735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5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w:t>
            </w:r>
          </w:p>
        </w:tc>
        <w:tc>
          <w:tcPr>
            <w:tcW w:w="0" w:type="auto"/>
            <w:shd w:val="clear" w:color="auto" w:fill="CCEEFF"/>
            <w:vAlign w:val="bottom"/>
          </w:tcPr>
          <w:p w14:paraId="555673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5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w:t>
            </w:r>
          </w:p>
        </w:tc>
        <w:tc>
          <w:tcPr>
            <w:tcW w:w="0" w:type="auto"/>
            <w:shd w:val="clear" w:color="auto" w:fill="CCEEFF"/>
            <w:vAlign w:val="bottom"/>
          </w:tcPr>
          <w:p w14:paraId="55567356" w14:textId="77777777" w:rsidR="00F925DD" w:rsidRDefault="00F925DD">
            <w:pPr>
              <w:textAlignment w:val="bottom"/>
              <w:rPr>
                <w:rFonts w:ascii="Times New Roman" w:hAnsi="Times New Roman"/>
                <w:sz w:val="20"/>
                <w:szCs w:val="20"/>
              </w:rPr>
            </w:pPr>
          </w:p>
        </w:tc>
      </w:tr>
      <w:tr w:rsidR="00F925DD" w14:paraId="55567367" w14:textId="77777777">
        <w:tc>
          <w:tcPr>
            <w:tcW w:w="0" w:type="auto"/>
            <w:shd w:val="clear" w:color="auto" w:fill="auto"/>
            <w:tcMar>
              <w:top w:w="40" w:type="dxa"/>
              <w:left w:w="40" w:type="dxa"/>
              <w:bottom w:w="40" w:type="dxa"/>
              <w:right w:w="40" w:type="dxa"/>
            </w:tcMar>
            <w:vAlign w:val="bottom"/>
          </w:tcPr>
          <w:p w14:paraId="55567358"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5556735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9,034</w:t>
            </w:r>
          </w:p>
        </w:tc>
        <w:tc>
          <w:tcPr>
            <w:tcW w:w="0" w:type="auto"/>
            <w:tcBorders>
              <w:bottom w:val="single" w:sz="8" w:space="0" w:color="000000"/>
            </w:tcBorders>
            <w:shd w:val="clear" w:color="auto" w:fill="auto"/>
            <w:vAlign w:val="bottom"/>
          </w:tcPr>
          <w:p w14:paraId="5556735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35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9,015</w:t>
            </w:r>
          </w:p>
        </w:tc>
        <w:tc>
          <w:tcPr>
            <w:tcW w:w="0" w:type="auto"/>
            <w:tcBorders>
              <w:bottom w:val="single" w:sz="8" w:space="0" w:color="000000"/>
            </w:tcBorders>
            <w:shd w:val="clear" w:color="auto" w:fill="auto"/>
            <w:vAlign w:val="bottom"/>
          </w:tcPr>
          <w:p w14:paraId="5556735D"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3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35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8,269</w:t>
            </w:r>
          </w:p>
        </w:tc>
        <w:tc>
          <w:tcPr>
            <w:tcW w:w="0" w:type="auto"/>
            <w:tcBorders>
              <w:bottom w:val="single" w:sz="8" w:space="0" w:color="000000"/>
            </w:tcBorders>
            <w:shd w:val="clear" w:color="auto" w:fill="auto"/>
            <w:vAlign w:val="bottom"/>
          </w:tcPr>
          <w:p w14:paraId="555673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36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8,077</w:t>
            </w:r>
          </w:p>
        </w:tc>
        <w:tc>
          <w:tcPr>
            <w:tcW w:w="0" w:type="auto"/>
            <w:tcBorders>
              <w:bottom w:val="single" w:sz="8" w:space="0" w:color="000000"/>
            </w:tcBorders>
            <w:shd w:val="clear" w:color="auto" w:fill="auto"/>
            <w:vAlign w:val="bottom"/>
          </w:tcPr>
          <w:p w14:paraId="555673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36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8,050</w:t>
            </w:r>
          </w:p>
        </w:tc>
        <w:tc>
          <w:tcPr>
            <w:tcW w:w="0" w:type="auto"/>
            <w:tcBorders>
              <w:bottom w:val="single" w:sz="8" w:space="0" w:color="000000"/>
            </w:tcBorders>
            <w:shd w:val="clear" w:color="auto" w:fill="auto"/>
            <w:vAlign w:val="bottom"/>
          </w:tcPr>
          <w:p w14:paraId="55567366" w14:textId="77777777" w:rsidR="00F925DD" w:rsidRDefault="00F925DD">
            <w:pPr>
              <w:textAlignment w:val="bottom"/>
              <w:rPr>
                <w:rFonts w:ascii="Times New Roman" w:hAnsi="Times New Roman"/>
                <w:sz w:val="20"/>
                <w:szCs w:val="20"/>
              </w:rPr>
            </w:pPr>
          </w:p>
        </w:tc>
      </w:tr>
      <w:tr w:rsidR="00F925DD" w14:paraId="55567377" w14:textId="77777777">
        <w:tc>
          <w:tcPr>
            <w:tcW w:w="0" w:type="auto"/>
            <w:shd w:val="clear" w:color="auto" w:fill="CCEEFF"/>
            <w:tcMar>
              <w:top w:w="40" w:type="dxa"/>
              <w:left w:w="40" w:type="dxa"/>
              <w:bottom w:w="40" w:type="dxa"/>
              <w:right w:w="40" w:type="dxa"/>
            </w:tcMar>
            <w:vAlign w:val="bottom"/>
          </w:tcPr>
          <w:p w14:paraId="55567368" w14:textId="77777777" w:rsidR="00F925DD" w:rsidRDefault="00E705D7">
            <w:pPr>
              <w:textAlignment w:val="bottom"/>
              <w:rPr>
                <w:rFonts w:ascii="Times New Roman" w:hAnsi="Times New Roman"/>
                <w:sz w:val="16"/>
                <w:szCs w:val="16"/>
              </w:rPr>
            </w:pPr>
            <w:r>
              <w:rPr>
                <w:rFonts w:ascii="Arial" w:eastAsia="宋体" w:hAnsi="Arial" w:cs="Arial"/>
                <w:sz w:val="16"/>
                <w:szCs w:val="16"/>
              </w:rPr>
              <w:t>Income before income tax expense</w:t>
            </w:r>
          </w:p>
        </w:tc>
        <w:tc>
          <w:tcPr>
            <w:tcW w:w="0" w:type="auto"/>
            <w:gridSpan w:val="2"/>
            <w:shd w:val="clear" w:color="auto" w:fill="CCEEFF"/>
            <w:tcMar>
              <w:top w:w="40" w:type="dxa"/>
              <w:left w:w="40" w:type="dxa"/>
              <w:bottom w:w="40" w:type="dxa"/>
            </w:tcMar>
            <w:vAlign w:val="bottom"/>
          </w:tcPr>
          <w:p w14:paraId="5556736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2,712</w:t>
            </w:r>
          </w:p>
        </w:tc>
        <w:tc>
          <w:tcPr>
            <w:tcW w:w="0" w:type="auto"/>
            <w:shd w:val="clear" w:color="auto" w:fill="CCEEFF"/>
            <w:vAlign w:val="bottom"/>
          </w:tcPr>
          <w:p w14:paraId="5556736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6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3,101</w:t>
            </w:r>
          </w:p>
        </w:tc>
        <w:tc>
          <w:tcPr>
            <w:tcW w:w="0" w:type="auto"/>
            <w:shd w:val="clear" w:color="auto" w:fill="CCEEFF"/>
            <w:vAlign w:val="bottom"/>
          </w:tcPr>
          <w:p w14:paraId="5556736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3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6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2,995</w:t>
            </w:r>
          </w:p>
        </w:tc>
        <w:tc>
          <w:tcPr>
            <w:tcW w:w="0" w:type="auto"/>
            <w:shd w:val="clear" w:color="auto" w:fill="CCEEFF"/>
            <w:vAlign w:val="bottom"/>
          </w:tcPr>
          <w:p w14:paraId="5556737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7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2,204</w:t>
            </w:r>
          </w:p>
        </w:tc>
        <w:tc>
          <w:tcPr>
            <w:tcW w:w="0" w:type="auto"/>
            <w:shd w:val="clear" w:color="auto" w:fill="CCEEFF"/>
            <w:vAlign w:val="bottom"/>
          </w:tcPr>
          <w:p w14:paraId="555673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737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2,371</w:t>
            </w:r>
          </w:p>
        </w:tc>
        <w:tc>
          <w:tcPr>
            <w:tcW w:w="0" w:type="auto"/>
            <w:tcBorders>
              <w:top w:val="single" w:sz="8" w:space="0" w:color="000000"/>
            </w:tcBorders>
            <w:shd w:val="clear" w:color="auto" w:fill="CCEEFF"/>
            <w:vAlign w:val="bottom"/>
          </w:tcPr>
          <w:p w14:paraId="55567376" w14:textId="77777777" w:rsidR="00F925DD" w:rsidRDefault="00F925DD">
            <w:pPr>
              <w:textAlignment w:val="bottom"/>
              <w:rPr>
                <w:rFonts w:ascii="Times New Roman" w:hAnsi="Times New Roman"/>
                <w:sz w:val="20"/>
                <w:szCs w:val="20"/>
              </w:rPr>
            </w:pPr>
          </w:p>
        </w:tc>
      </w:tr>
      <w:tr w:rsidR="00F925DD" w14:paraId="55567387" w14:textId="77777777">
        <w:tc>
          <w:tcPr>
            <w:tcW w:w="0" w:type="auto"/>
            <w:shd w:val="clear" w:color="auto" w:fill="auto"/>
            <w:tcMar>
              <w:top w:w="40" w:type="dxa"/>
              <w:left w:w="40" w:type="dxa"/>
              <w:bottom w:w="40" w:type="dxa"/>
              <w:right w:w="40" w:type="dxa"/>
            </w:tcMar>
            <w:vAlign w:val="bottom"/>
          </w:tcPr>
          <w:p w14:paraId="55567378" w14:textId="77777777" w:rsidR="00F925DD" w:rsidRDefault="00E705D7">
            <w:pPr>
              <w:textAlignment w:val="bottom"/>
              <w:rPr>
                <w:rFonts w:ascii="Times New Roman" w:hAnsi="Times New Roman"/>
                <w:sz w:val="16"/>
                <w:szCs w:val="16"/>
              </w:rPr>
            </w:pPr>
            <w:r>
              <w:rPr>
                <w:rFonts w:ascii="Arial" w:eastAsia="宋体" w:hAnsi="Arial" w:cs="Arial"/>
                <w:sz w:val="16"/>
                <w:szCs w:val="16"/>
              </w:rPr>
              <w:t>Income tax expense (benefit)</w:t>
            </w:r>
          </w:p>
        </w:tc>
        <w:tc>
          <w:tcPr>
            <w:tcW w:w="0" w:type="auto"/>
            <w:gridSpan w:val="2"/>
            <w:shd w:val="clear" w:color="auto" w:fill="auto"/>
            <w:tcMar>
              <w:top w:w="40" w:type="dxa"/>
              <w:left w:w="40" w:type="dxa"/>
              <w:bottom w:w="40" w:type="dxa"/>
            </w:tcMar>
            <w:vAlign w:val="bottom"/>
          </w:tcPr>
          <w:p w14:paraId="5556737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470</w:t>
            </w:r>
          </w:p>
        </w:tc>
        <w:tc>
          <w:tcPr>
            <w:tcW w:w="0" w:type="auto"/>
            <w:shd w:val="clear" w:color="auto" w:fill="auto"/>
            <w:vAlign w:val="bottom"/>
          </w:tcPr>
          <w:p w14:paraId="555673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37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508</w:t>
            </w:r>
          </w:p>
        </w:tc>
        <w:tc>
          <w:tcPr>
            <w:tcW w:w="0" w:type="auto"/>
            <w:shd w:val="clear" w:color="auto" w:fill="auto"/>
            <w:vAlign w:val="bottom"/>
          </w:tcPr>
          <w:p w14:paraId="5556737D"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3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37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839</w:t>
            </w:r>
          </w:p>
        </w:tc>
        <w:tc>
          <w:tcPr>
            <w:tcW w:w="0" w:type="auto"/>
            <w:shd w:val="clear" w:color="auto" w:fill="auto"/>
            <w:vAlign w:val="bottom"/>
          </w:tcPr>
          <w:p w14:paraId="555673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38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67</w:t>
            </w:r>
          </w:p>
        </w:tc>
        <w:tc>
          <w:tcPr>
            <w:tcW w:w="0" w:type="auto"/>
            <w:shd w:val="clear" w:color="auto" w:fill="auto"/>
            <w:vAlign w:val="bottom"/>
          </w:tcPr>
          <w:p w14:paraId="5556738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38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398</w:t>
            </w:r>
          </w:p>
        </w:tc>
        <w:tc>
          <w:tcPr>
            <w:tcW w:w="0" w:type="auto"/>
            <w:shd w:val="clear" w:color="auto" w:fill="auto"/>
            <w:vAlign w:val="bottom"/>
          </w:tcPr>
          <w:p w14:paraId="55567386" w14:textId="77777777" w:rsidR="00F925DD" w:rsidRDefault="00F925DD">
            <w:pPr>
              <w:textAlignment w:val="bottom"/>
              <w:rPr>
                <w:rFonts w:ascii="Times New Roman" w:hAnsi="Times New Roman"/>
                <w:sz w:val="20"/>
                <w:szCs w:val="20"/>
              </w:rPr>
            </w:pPr>
          </w:p>
        </w:tc>
      </w:tr>
      <w:tr w:rsidR="00F925DD" w14:paraId="55567397" w14:textId="77777777">
        <w:tc>
          <w:tcPr>
            <w:tcW w:w="0" w:type="auto"/>
            <w:shd w:val="clear" w:color="auto" w:fill="CCEEFF"/>
            <w:tcMar>
              <w:top w:w="40" w:type="dxa"/>
              <w:left w:w="40" w:type="dxa"/>
              <w:bottom w:w="40" w:type="dxa"/>
              <w:right w:w="40" w:type="dxa"/>
            </w:tcMar>
            <w:vAlign w:val="bottom"/>
          </w:tcPr>
          <w:p w14:paraId="55567388"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income from non-controlling interest</w:t>
            </w:r>
          </w:p>
        </w:tc>
        <w:tc>
          <w:tcPr>
            <w:tcW w:w="0" w:type="auto"/>
            <w:gridSpan w:val="2"/>
            <w:shd w:val="clear" w:color="auto" w:fill="CCEEFF"/>
            <w:tcMar>
              <w:top w:w="40" w:type="dxa"/>
              <w:left w:w="40" w:type="dxa"/>
              <w:bottom w:w="40" w:type="dxa"/>
            </w:tcMar>
            <w:vAlign w:val="bottom"/>
          </w:tcPr>
          <w:p w14:paraId="5556738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vAlign w:val="bottom"/>
          </w:tcPr>
          <w:p w14:paraId="5556738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8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738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3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8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739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9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CCEEFF"/>
            <w:vAlign w:val="bottom"/>
          </w:tcPr>
          <w:p w14:paraId="5556739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39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7396" w14:textId="77777777" w:rsidR="00F925DD" w:rsidRDefault="00F925DD">
            <w:pPr>
              <w:textAlignment w:val="bottom"/>
              <w:rPr>
                <w:rFonts w:ascii="Times New Roman" w:hAnsi="Times New Roman"/>
                <w:sz w:val="20"/>
                <w:szCs w:val="20"/>
              </w:rPr>
            </w:pPr>
          </w:p>
        </w:tc>
      </w:tr>
      <w:tr w:rsidR="00F925DD" w14:paraId="555673AD" w14:textId="77777777">
        <w:tc>
          <w:tcPr>
            <w:tcW w:w="0" w:type="auto"/>
            <w:shd w:val="clear" w:color="auto" w:fill="auto"/>
            <w:tcMar>
              <w:top w:w="40" w:type="dxa"/>
              <w:left w:w="40" w:type="dxa"/>
              <w:bottom w:w="40" w:type="dxa"/>
              <w:right w:w="40" w:type="dxa"/>
            </w:tcMar>
            <w:vAlign w:val="bottom"/>
          </w:tcPr>
          <w:p w14:paraId="55567398"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399"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39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2,242</w:t>
            </w:r>
          </w:p>
        </w:tc>
        <w:tc>
          <w:tcPr>
            <w:tcW w:w="0" w:type="auto"/>
            <w:tcBorders>
              <w:top w:val="single" w:sz="8" w:space="0" w:color="000000"/>
              <w:bottom w:val="double" w:sz="6" w:space="0" w:color="000000"/>
            </w:tcBorders>
            <w:shd w:val="clear" w:color="auto" w:fill="auto"/>
            <w:vAlign w:val="bottom"/>
          </w:tcPr>
          <w:p w14:paraId="555673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9C" w14:textId="77777777" w:rsidR="00F925DD" w:rsidRDefault="00F925DD">
            <w:pPr>
              <w:jc w:val="right"/>
              <w:textAlignment w:val="bottom"/>
              <w:rPr>
                <w:rFonts w:ascii="Times New Roman" w:hAnsi="Times New Roman"/>
                <w:sz w:val="16"/>
                <w:szCs w:val="16"/>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39D"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39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2,593</w:t>
            </w:r>
          </w:p>
        </w:tc>
        <w:tc>
          <w:tcPr>
            <w:tcW w:w="0" w:type="auto"/>
            <w:tcBorders>
              <w:top w:val="single" w:sz="8" w:space="0" w:color="000000"/>
              <w:bottom w:val="double" w:sz="6" w:space="0" w:color="000000"/>
            </w:tcBorders>
            <w:shd w:val="clear" w:color="auto" w:fill="auto"/>
            <w:vAlign w:val="bottom"/>
          </w:tcPr>
          <w:p w14:paraId="5556739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555673A0" w14:textId="77777777" w:rsidR="00F925DD" w:rsidRDefault="00F925DD">
            <w:pPr>
              <w:jc w:val="right"/>
              <w:textAlignment w:val="bottom"/>
              <w:rPr>
                <w:rFonts w:ascii="Times New Roman" w:hAnsi="Times New Roman"/>
                <w:sz w:val="16"/>
                <w:szCs w:val="16"/>
              </w:rPr>
            </w:pPr>
          </w:p>
        </w:tc>
        <w:tc>
          <w:tcPr>
            <w:tcW w:w="0" w:type="auto"/>
            <w:shd w:val="clear" w:color="auto" w:fill="auto"/>
            <w:vAlign w:val="bottom"/>
          </w:tcPr>
          <w:p w14:paraId="555673A1" w14:textId="77777777" w:rsidR="00F925DD" w:rsidRDefault="00F925D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3A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3A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2,156</w:t>
            </w:r>
          </w:p>
        </w:tc>
        <w:tc>
          <w:tcPr>
            <w:tcW w:w="0" w:type="auto"/>
            <w:tcBorders>
              <w:top w:val="single" w:sz="8" w:space="0" w:color="000000"/>
              <w:bottom w:val="double" w:sz="6" w:space="0" w:color="000000"/>
            </w:tcBorders>
            <w:shd w:val="clear" w:color="auto" w:fill="auto"/>
            <w:vAlign w:val="bottom"/>
          </w:tcPr>
          <w:p w14:paraId="555673A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A5" w14:textId="77777777" w:rsidR="00F925DD" w:rsidRDefault="00F925DD">
            <w:pPr>
              <w:jc w:val="right"/>
              <w:textAlignment w:val="bottom"/>
              <w:rPr>
                <w:rFonts w:ascii="Times New Roman" w:hAnsi="Times New Roman"/>
                <w:sz w:val="16"/>
                <w:szCs w:val="16"/>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3A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3A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2,138</w:t>
            </w:r>
          </w:p>
        </w:tc>
        <w:tc>
          <w:tcPr>
            <w:tcW w:w="0" w:type="auto"/>
            <w:tcBorders>
              <w:top w:val="single" w:sz="8" w:space="0" w:color="000000"/>
              <w:bottom w:val="double" w:sz="6" w:space="0" w:color="000000"/>
            </w:tcBorders>
            <w:shd w:val="clear" w:color="auto" w:fill="auto"/>
            <w:vAlign w:val="bottom"/>
          </w:tcPr>
          <w:p w14:paraId="555673A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A9" w14:textId="77777777" w:rsidR="00F925DD" w:rsidRDefault="00F925DD">
            <w:pPr>
              <w:jc w:val="right"/>
              <w:textAlignment w:val="bottom"/>
              <w:rPr>
                <w:rFonts w:ascii="Times New Roman" w:hAnsi="Times New Roman"/>
                <w:sz w:val="16"/>
                <w:szCs w:val="16"/>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3A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3A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1,973</w:t>
            </w:r>
          </w:p>
        </w:tc>
        <w:tc>
          <w:tcPr>
            <w:tcW w:w="0" w:type="auto"/>
            <w:tcBorders>
              <w:top w:val="single" w:sz="8" w:space="0" w:color="000000"/>
              <w:bottom w:val="double" w:sz="6" w:space="0" w:color="000000"/>
            </w:tcBorders>
            <w:shd w:val="clear" w:color="auto" w:fill="auto"/>
            <w:vAlign w:val="bottom"/>
          </w:tcPr>
          <w:p w14:paraId="555673AC" w14:textId="77777777" w:rsidR="00F925DD" w:rsidRDefault="00F925DD">
            <w:pPr>
              <w:textAlignment w:val="bottom"/>
              <w:rPr>
                <w:rFonts w:ascii="Times New Roman" w:hAnsi="Times New Roman"/>
                <w:sz w:val="20"/>
                <w:szCs w:val="20"/>
              </w:rPr>
            </w:pPr>
          </w:p>
        </w:tc>
      </w:tr>
      <w:tr w:rsidR="00F925DD" w14:paraId="555673BD" w14:textId="77777777">
        <w:tc>
          <w:tcPr>
            <w:tcW w:w="0" w:type="auto"/>
            <w:shd w:val="clear" w:color="auto" w:fill="CCEEFF"/>
            <w:tcMar>
              <w:top w:w="40" w:type="dxa"/>
              <w:left w:w="40" w:type="dxa"/>
              <w:bottom w:w="40" w:type="dxa"/>
              <w:right w:w="40" w:type="dxa"/>
            </w:tcMar>
            <w:vAlign w:val="bottom"/>
          </w:tcPr>
          <w:p w14:paraId="555673AE" w14:textId="77777777" w:rsidR="00F925DD" w:rsidRDefault="00E705D7">
            <w:pPr>
              <w:textAlignment w:val="bottom"/>
              <w:rPr>
                <w:rFonts w:ascii="Times New Roman" w:hAnsi="Times New Roman"/>
                <w:sz w:val="16"/>
                <w:szCs w:val="16"/>
              </w:rPr>
            </w:pPr>
            <w:r>
              <w:rPr>
                <w:rFonts w:ascii="Arial" w:eastAsia="宋体" w:hAnsi="Arial" w:cs="Arial"/>
                <w:sz w:val="16"/>
                <w:szCs w:val="16"/>
              </w:rPr>
              <w:t>Adjustments to net income</w:t>
            </w:r>
            <w:r>
              <w:rPr>
                <w:rFonts w:ascii="Arial" w:eastAsia="宋体" w:hAnsi="Arial" w:cs="Arial"/>
                <w:sz w:val="10"/>
                <w:szCs w:val="10"/>
              </w:rPr>
              <w:t>(2)</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3A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(233</w:t>
            </w:r>
          </w:p>
        </w:tc>
        <w:tc>
          <w:tcPr>
            <w:tcW w:w="0" w:type="auto"/>
            <w:tcBorders>
              <w:bottom w:val="single" w:sz="8" w:space="0" w:color="000000"/>
            </w:tcBorders>
            <w:shd w:val="clear" w:color="auto" w:fill="CCEEFF"/>
            <w:tcMar>
              <w:top w:w="40" w:type="dxa"/>
              <w:bottom w:w="40" w:type="dxa"/>
              <w:right w:w="40" w:type="dxa"/>
            </w:tcMar>
            <w:vAlign w:val="bottom"/>
          </w:tcPr>
          <w:p w14:paraId="555673B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73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3B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(189</w:t>
            </w:r>
          </w:p>
        </w:tc>
        <w:tc>
          <w:tcPr>
            <w:tcW w:w="0" w:type="auto"/>
            <w:tcBorders>
              <w:bottom w:val="single" w:sz="8" w:space="0" w:color="000000"/>
            </w:tcBorders>
            <w:shd w:val="clear" w:color="auto" w:fill="CCEEFF"/>
            <w:tcMar>
              <w:top w:w="40" w:type="dxa"/>
              <w:bottom w:w="40" w:type="dxa"/>
              <w:right w:w="40" w:type="dxa"/>
            </w:tcMar>
            <w:vAlign w:val="bottom"/>
          </w:tcPr>
          <w:p w14:paraId="555673B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CCEEFF"/>
            <w:tcMar>
              <w:top w:w="40" w:type="dxa"/>
              <w:left w:w="40" w:type="dxa"/>
              <w:bottom w:w="40" w:type="dxa"/>
              <w:right w:w="40" w:type="dxa"/>
            </w:tcMar>
            <w:vAlign w:val="bottom"/>
          </w:tcPr>
          <w:p w14:paraId="555673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3B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(184</w:t>
            </w:r>
          </w:p>
        </w:tc>
        <w:tc>
          <w:tcPr>
            <w:tcW w:w="0" w:type="auto"/>
            <w:tcBorders>
              <w:bottom w:val="single" w:sz="8" w:space="0" w:color="000000"/>
            </w:tcBorders>
            <w:shd w:val="clear" w:color="auto" w:fill="CCEEFF"/>
            <w:tcMar>
              <w:top w:w="40" w:type="dxa"/>
              <w:bottom w:w="40" w:type="dxa"/>
              <w:right w:w="40" w:type="dxa"/>
            </w:tcMar>
            <w:vAlign w:val="bottom"/>
          </w:tcPr>
          <w:p w14:paraId="555673B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3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single" w:sz="8" w:space="0" w:color="000000"/>
            </w:tcBorders>
            <w:shd w:val="clear" w:color="auto" w:fill="CCEEFF"/>
            <w:tcMar>
              <w:top w:w="40" w:type="dxa"/>
              <w:left w:w="40" w:type="dxa"/>
              <w:bottom w:w="40" w:type="dxa"/>
            </w:tcMar>
            <w:vAlign w:val="bottom"/>
          </w:tcPr>
          <w:p w14:paraId="555673B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(175</w:t>
            </w:r>
          </w:p>
        </w:tc>
        <w:tc>
          <w:tcPr>
            <w:tcW w:w="0" w:type="auto"/>
            <w:tcBorders>
              <w:top w:val="double" w:sz="6" w:space="0" w:color="000000"/>
              <w:bottom w:val="single" w:sz="8" w:space="0" w:color="000000"/>
            </w:tcBorders>
            <w:shd w:val="clear" w:color="auto" w:fill="CCEEFF"/>
            <w:tcMar>
              <w:top w:w="40" w:type="dxa"/>
              <w:bottom w:w="40" w:type="dxa"/>
              <w:right w:w="40" w:type="dxa"/>
            </w:tcMar>
            <w:vAlign w:val="bottom"/>
          </w:tcPr>
          <w:p w14:paraId="555673B9"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3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single" w:sz="8" w:space="0" w:color="000000"/>
            </w:tcBorders>
            <w:shd w:val="clear" w:color="auto" w:fill="CCEEFF"/>
            <w:tcMar>
              <w:top w:w="40" w:type="dxa"/>
              <w:left w:w="40" w:type="dxa"/>
              <w:bottom w:w="40" w:type="dxa"/>
            </w:tcMar>
            <w:vAlign w:val="bottom"/>
          </w:tcPr>
          <w:p w14:paraId="555673B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(132</w:t>
            </w:r>
          </w:p>
        </w:tc>
        <w:tc>
          <w:tcPr>
            <w:tcW w:w="0" w:type="auto"/>
            <w:tcBorders>
              <w:top w:val="double" w:sz="6" w:space="0" w:color="000000"/>
              <w:bottom w:val="single" w:sz="8" w:space="0" w:color="000000"/>
            </w:tcBorders>
            <w:shd w:val="clear" w:color="auto" w:fill="CCEEFF"/>
            <w:tcMar>
              <w:top w:w="40" w:type="dxa"/>
              <w:bottom w:w="40" w:type="dxa"/>
              <w:right w:w="40" w:type="dxa"/>
            </w:tcMar>
            <w:vAlign w:val="bottom"/>
          </w:tcPr>
          <w:p w14:paraId="555673B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73D2" w14:textId="77777777">
        <w:tc>
          <w:tcPr>
            <w:tcW w:w="0" w:type="auto"/>
            <w:shd w:val="clear" w:color="auto" w:fill="auto"/>
            <w:tcMar>
              <w:top w:w="40" w:type="dxa"/>
              <w:left w:w="40" w:type="dxa"/>
              <w:bottom w:w="40" w:type="dxa"/>
              <w:right w:w="40" w:type="dxa"/>
            </w:tcMar>
            <w:vAlign w:val="bottom"/>
          </w:tcPr>
          <w:p w14:paraId="555673BE"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income available to common shareholders</w:t>
            </w:r>
          </w:p>
        </w:tc>
        <w:tc>
          <w:tcPr>
            <w:tcW w:w="0" w:type="auto"/>
            <w:tcBorders>
              <w:bottom w:val="double" w:sz="6" w:space="0" w:color="000000"/>
            </w:tcBorders>
            <w:shd w:val="clear" w:color="auto" w:fill="auto"/>
            <w:tcMar>
              <w:top w:w="40" w:type="dxa"/>
              <w:left w:w="40" w:type="dxa"/>
              <w:bottom w:w="40" w:type="dxa"/>
            </w:tcMar>
            <w:vAlign w:val="bottom"/>
          </w:tcPr>
          <w:p w14:paraId="555673B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double" w:sz="6" w:space="0" w:color="000000"/>
            </w:tcBorders>
            <w:shd w:val="clear" w:color="auto" w:fill="auto"/>
            <w:tcMar>
              <w:top w:w="40" w:type="dxa"/>
              <w:bottom w:w="40" w:type="dxa"/>
            </w:tcMar>
            <w:vAlign w:val="bottom"/>
          </w:tcPr>
          <w:p w14:paraId="555673C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2,009</w:t>
            </w:r>
          </w:p>
        </w:tc>
        <w:tc>
          <w:tcPr>
            <w:tcW w:w="0" w:type="auto"/>
            <w:tcBorders>
              <w:bottom w:val="double" w:sz="6" w:space="0" w:color="000000"/>
            </w:tcBorders>
            <w:shd w:val="clear" w:color="auto" w:fill="auto"/>
            <w:vAlign w:val="bottom"/>
          </w:tcPr>
          <w:p w14:paraId="555673C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3C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3C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2,404</w:t>
            </w:r>
          </w:p>
        </w:tc>
        <w:tc>
          <w:tcPr>
            <w:tcW w:w="0" w:type="auto"/>
            <w:tcBorders>
              <w:top w:val="single" w:sz="8" w:space="0" w:color="000000"/>
              <w:bottom w:val="double" w:sz="6" w:space="0" w:color="000000"/>
            </w:tcBorders>
            <w:shd w:val="clear" w:color="auto" w:fill="auto"/>
            <w:vAlign w:val="bottom"/>
          </w:tcPr>
          <w:p w14:paraId="555673C5"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3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73C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555673C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1,972</w:t>
            </w:r>
          </w:p>
        </w:tc>
        <w:tc>
          <w:tcPr>
            <w:tcW w:w="0" w:type="auto"/>
            <w:tcBorders>
              <w:bottom w:val="double" w:sz="6" w:space="0" w:color="000000"/>
            </w:tcBorders>
            <w:shd w:val="clear" w:color="auto" w:fill="auto"/>
            <w:vAlign w:val="bottom"/>
          </w:tcPr>
          <w:p w14:paraId="555673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73C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555673C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1,963</w:t>
            </w:r>
          </w:p>
        </w:tc>
        <w:tc>
          <w:tcPr>
            <w:tcW w:w="0" w:type="auto"/>
            <w:tcBorders>
              <w:bottom w:val="double" w:sz="6" w:space="0" w:color="000000"/>
            </w:tcBorders>
            <w:shd w:val="clear" w:color="auto" w:fill="auto"/>
            <w:vAlign w:val="bottom"/>
          </w:tcPr>
          <w:p w14:paraId="555673C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3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3C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3D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1,841</w:t>
            </w:r>
          </w:p>
        </w:tc>
        <w:tc>
          <w:tcPr>
            <w:tcW w:w="0" w:type="auto"/>
            <w:tcBorders>
              <w:top w:val="single" w:sz="8" w:space="0" w:color="000000"/>
              <w:bottom w:val="double" w:sz="6" w:space="0" w:color="000000"/>
            </w:tcBorders>
            <w:shd w:val="clear" w:color="auto" w:fill="auto"/>
            <w:vAlign w:val="bottom"/>
          </w:tcPr>
          <w:p w14:paraId="555673D1" w14:textId="77777777" w:rsidR="00F925DD" w:rsidRDefault="00F925DD">
            <w:pPr>
              <w:textAlignment w:val="bottom"/>
              <w:rPr>
                <w:rFonts w:ascii="Times New Roman" w:hAnsi="Times New Roman"/>
                <w:sz w:val="20"/>
                <w:szCs w:val="20"/>
              </w:rPr>
            </w:pPr>
          </w:p>
        </w:tc>
      </w:tr>
      <w:tr w:rsidR="00F925DD" w14:paraId="555673DD" w14:textId="77777777">
        <w:tc>
          <w:tcPr>
            <w:tcW w:w="0" w:type="auto"/>
            <w:shd w:val="clear" w:color="auto" w:fill="CCEEFF"/>
            <w:tcMar>
              <w:top w:w="40" w:type="dxa"/>
              <w:left w:w="40" w:type="dxa"/>
              <w:bottom w:w="40" w:type="dxa"/>
              <w:right w:w="40" w:type="dxa"/>
            </w:tcMar>
            <w:vAlign w:val="bottom"/>
          </w:tcPr>
          <w:p w14:paraId="555673D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PER COMMON SHARE:</w:t>
            </w:r>
          </w:p>
        </w:tc>
        <w:tc>
          <w:tcPr>
            <w:tcW w:w="0" w:type="auto"/>
            <w:gridSpan w:val="3"/>
            <w:shd w:val="clear" w:color="auto" w:fill="CCEEFF"/>
            <w:tcMar>
              <w:top w:w="40" w:type="dxa"/>
              <w:left w:w="40" w:type="dxa"/>
              <w:bottom w:w="40" w:type="dxa"/>
              <w:right w:w="40" w:type="dxa"/>
            </w:tcMar>
            <w:vAlign w:val="bottom"/>
          </w:tcPr>
          <w:p w14:paraId="555673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3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3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3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3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3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3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3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3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3E8" w14:textId="77777777">
        <w:tc>
          <w:tcPr>
            <w:tcW w:w="0" w:type="auto"/>
            <w:shd w:val="clear" w:color="auto" w:fill="auto"/>
            <w:tcMar>
              <w:top w:w="40" w:type="dxa"/>
              <w:left w:w="40" w:type="dxa"/>
              <w:bottom w:w="40" w:type="dxa"/>
              <w:right w:w="40" w:type="dxa"/>
            </w:tcMar>
            <w:vAlign w:val="bottom"/>
          </w:tcPr>
          <w:p w14:paraId="555673DE" w14:textId="77777777" w:rsidR="00F925DD" w:rsidRDefault="00E705D7">
            <w:pPr>
              <w:textAlignment w:val="bottom"/>
              <w:rPr>
                <w:rFonts w:ascii="Times New Roman" w:hAnsi="Times New Roman"/>
                <w:sz w:val="16"/>
                <w:szCs w:val="16"/>
              </w:rPr>
            </w:pPr>
            <w:r>
              <w:rPr>
                <w:rFonts w:ascii="Arial" w:eastAsia="宋体" w:hAnsi="Arial" w:cs="Arial"/>
                <w:sz w:val="16"/>
                <w:szCs w:val="16"/>
              </w:rPr>
              <w:t>Earnings per common share:</w:t>
            </w:r>
          </w:p>
        </w:tc>
        <w:tc>
          <w:tcPr>
            <w:tcW w:w="0" w:type="auto"/>
            <w:gridSpan w:val="3"/>
            <w:shd w:val="clear" w:color="auto" w:fill="auto"/>
            <w:tcMar>
              <w:top w:w="40" w:type="dxa"/>
              <w:left w:w="40" w:type="dxa"/>
              <w:bottom w:w="40" w:type="dxa"/>
              <w:right w:w="40" w:type="dxa"/>
            </w:tcMar>
            <w:vAlign w:val="bottom"/>
          </w:tcPr>
          <w:p w14:paraId="555673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3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3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3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3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3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3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3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3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3FD" w14:textId="77777777">
        <w:tc>
          <w:tcPr>
            <w:tcW w:w="0" w:type="auto"/>
            <w:shd w:val="clear" w:color="auto" w:fill="CCEEFF"/>
            <w:tcMar>
              <w:top w:w="40" w:type="dxa"/>
              <w:left w:w="240" w:type="dxa"/>
              <w:bottom w:w="40" w:type="dxa"/>
              <w:right w:w="40" w:type="dxa"/>
            </w:tcMar>
            <w:vAlign w:val="bottom"/>
          </w:tcPr>
          <w:p w14:paraId="555673E9" w14:textId="77777777" w:rsidR="00F925DD" w:rsidRDefault="00E705D7">
            <w:pPr>
              <w:textAlignment w:val="bottom"/>
              <w:rPr>
                <w:rFonts w:ascii="Times New Roman" w:hAnsi="Times New Roman"/>
                <w:sz w:val="16"/>
                <w:szCs w:val="16"/>
              </w:rPr>
            </w:pPr>
            <w:r>
              <w:rPr>
                <w:rFonts w:ascii="Arial" w:eastAsia="宋体" w:hAnsi="Arial" w:cs="Arial"/>
                <w:sz w:val="16"/>
                <w:szCs w:val="16"/>
              </w:rPr>
              <w:t>Basic</w:t>
            </w:r>
          </w:p>
        </w:tc>
        <w:tc>
          <w:tcPr>
            <w:tcW w:w="0" w:type="auto"/>
            <w:shd w:val="clear" w:color="auto" w:fill="CCEEFF"/>
            <w:tcMar>
              <w:top w:w="40" w:type="dxa"/>
              <w:left w:w="40" w:type="dxa"/>
              <w:bottom w:w="40" w:type="dxa"/>
            </w:tcMar>
            <w:vAlign w:val="bottom"/>
          </w:tcPr>
          <w:p w14:paraId="555673E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73E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5.43</w:t>
            </w:r>
          </w:p>
        </w:tc>
        <w:tc>
          <w:tcPr>
            <w:tcW w:w="0" w:type="auto"/>
            <w:shd w:val="clear" w:color="auto" w:fill="CCEEFF"/>
            <w:vAlign w:val="bottom"/>
          </w:tcPr>
          <w:p w14:paraId="555673E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3EE"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3E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6.46</w:t>
            </w:r>
          </w:p>
        </w:tc>
        <w:tc>
          <w:tcPr>
            <w:tcW w:w="0" w:type="auto"/>
            <w:shd w:val="clear" w:color="auto" w:fill="CCEEFF"/>
            <w:vAlign w:val="bottom"/>
          </w:tcPr>
          <w:p w14:paraId="555673F0"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3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3F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3F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5.26</w:t>
            </w:r>
          </w:p>
        </w:tc>
        <w:tc>
          <w:tcPr>
            <w:tcW w:w="0" w:type="auto"/>
            <w:shd w:val="clear" w:color="auto" w:fill="CCEEFF"/>
            <w:vAlign w:val="bottom"/>
          </w:tcPr>
          <w:p w14:paraId="555673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3F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3F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5.01</w:t>
            </w:r>
          </w:p>
        </w:tc>
        <w:tc>
          <w:tcPr>
            <w:tcW w:w="0" w:type="auto"/>
            <w:shd w:val="clear" w:color="auto" w:fill="CCEEFF"/>
            <w:vAlign w:val="bottom"/>
          </w:tcPr>
          <w:p w14:paraId="555673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3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3F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3F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4.51</w:t>
            </w:r>
          </w:p>
        </w:tc>
        <w:tc>
          <w:tcPr>
            <w:tcW w:w="0" w:type="auto"/>
            <w:shd w:val="clear" w:color="auto" w:fill="CCEEFF"/>
            <w:vAlign w:val="bottom"/>
          </w:tcPr>
          <w:p w14:paraId="555673FC" w14:textId="77777777" w:rsidR="00F925DD" w:rsidRDefault="00F925DD">
            <w:pPr>
              <w:textAlignment w:val="bottom"/>
              <w:rPr>
                <w:rFonts w:ascii="Times New Roman" w:hAnsi="Times New Roman"/>
                <w:sz w:val="20"/>
                <w:szCs w:val="20"/>
              </w:rPr>
            </w:pPr>
          </w:p>
        </w:tc>
      </w:tr>
      <w:tr w:rsidR="00F925DD" w14:paraId="5556740D" w14:textId="77777777">
        <w:tc>
          <w:tcPr>
            <w:tcW w:w="0" w:type="auto"/>
            <w:shd w:val="clear" w:color="auto" w:fill="auto"/>
            <w:tcMar>
              <w:top w:w="40" w:type="dxa"/>
              <w:left w:w="240" w:type="dxa"/>
              <w:bottom w:w="40" w:type="dxa"/>
              <w:right w:w="40" w:type="dxa"/>
            </w:tcMar>
            <w:vAlign w:val="bottom"/>
          </w:tcPr>
          <w:p w14:paraId="555673FE" w14:textId="77777777" w:rsidR="00F925DD" w:rsidRDefault="00E705D7">
            <w:pPr>
              <w:textAlignment w:val="bottom"/>
              <w:rPr>
                <w:rFonts w:ascii="Times New Roman" w:hAnsi="Times New Roman"/>
                <w:sz w:val="16"/>
                <w:szCs w:val="16"/>
              </w:rPr>
            </w:pPr>
            <w:r>
              <w:rPr>
                <w:rFonts w:ascii="Arial" w:eastAsia="宋体" w:hAnsi="Arial" w:cs="Arial"/>
                <w:sz w:val="16"/>
                <w:szCs w:val="16"/>
              </w:rPr>
              <w:t>Diluted</w:t>
            </w:r>
          </w:p>
        </w:tc>
        <w:tc>
          <w:tcPr>
            <w:tcW w:w="0" w:type="auto"/>
            <w:gridSpan w:val="2"/>
            <w:shd w:val="clear" w:color="auto" w:fill="auto"/>
            <w:tcMar>
              <w:top w:w="40" w:type="dxa"/>
              <w:left w:w="40" w:type="dxa"/>
              <w:bottom w:w="40" w:type="dxa"/>
            </w:tcMar>
            <w:vAlign w:val="bottom"/>
          </w:tcPr>
          <w:p w14:paraId="555673F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5.38</w:t>
            </w:r>
          </w:p>
        </w:tc>
        <w:tc>
          <w:tcPr>
            <w:tcW w:w="0" w:type="auto"/>
            <w:shd w:val="clear" w:color="auto" w:fill="auto"/>
            <w:vAlign w:val="bottom"/>
          </w:tcPr>
          <w:p w14:paraId="555674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0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6.39</w:t>
            </w:r>
          </w:p>
        </w:tc>
        <w:tc>
          <w:tcPr>
            <w:tcW w:w="0" w:type="auto"/>
            <w:shd w:val="clear" w:color="auto" w:fill="auto"/>
            <w:vAlign w:val="bottom"/>
          </w:tcPr>
          <w:p w14:paraId="5556740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4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0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5.19</w:t>
            </w:r>
          </w:p>
        </w:tc>
        <w:tc>
          <w:tcPr>
            <w:tcW w:w="0" w:type="auto"/>
            <w:shd w:val="clear" w:color="auto" w:fill="auto"/>
            <w:vAlign w:val="bottom"/>
          </w:tcPr>
          <w:p w14:paraId="5556740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0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4.96</w:t>
            </w:r>
          </w:p>
        </w:tc>
        <w:tc>
          <w:tcPr>
            <w:tcW w:w="0" w:type="auto"/>
            <w:shd w:val="clear" w:color="auto" w:fill="auto"/>
            <w:vAlign w:val="bottom"/>
          </w:tcPr>
          <w:p w14:paraId="555674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0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4.45</w:t>
            </w:r>
          </w:p>
        </w:tc>
        <w:tc>
          <w:tcPr>
            <w:tcW w:w="0" w:type="auto"/>
            <w:shd w:val="clear" w:color="auto" w:fill="auto"/>
            <w:vAlign w:val="bottom"/>
          </w:tcPr>
          <w:p w14:paraId="5556740C" w14:textId="77777777" w:rsidR="00F925DD" w:rsidRDefault="00F925DD">
            <w:pPr>
              <w:textAlignment w:val="bottom"/>
              <w:rPr>
                <w:rFonts w:ascii="Times New Roman" w:hAnsi="Times New Roman"/>
                <w:sz w:val="20"/>
                <w:szCs w:val="20"/>
              </w:rPr>
            </w:pPr>
          </w:p>
        </w:tc>
      </w:tr>
      <w:tr w:rsidR="00F925DD" w14:paraId="5556741D" w14:textId="77777777">
        <w:tc>
          <w:tcPr>
            <w:tcW w:w="0" w:type="auto"/>
            <w:shd w:val="clear" w:color="auto" w:fill="CCEEFF"/>
            <w:tcMar>
              <w:top w:w="40" w:type="dxa"/>
              <w:left w:w="40" w:type="dxa"/>
              <w:bottom w:w="40" w:type="dxa"/>
              <w:right w:w="40" w:type="dxa"/>
            </w:tcMar>
            <w:vAlign w:val="bottom"/>
          </w:tcPr>
          <w:p w14:paraId="5556740E" w14:textId="77777777" w:rsidR="00F925DD" w:rsidRDefault="00E705D7">
            <w:pPr>
              <w:textAlignment w:val="bottom"/>
              <w:rPr>
                <w:rFonts w:ascii="Times New Roman" w:hAnsi="Times New Roman"/>
                <w:sz w:val="16"/>
                <w:szCs w:val="16"/>
              </w:rPr>
            </w:pPr>
            <w:r>
              <w:rPr>
                <w:rFonts w:ascii="Arial" w:eastAsia="宋体" w:hAnsi="Arial" w:cs="Arial"/>
                <w:sz w:val="16"/>
                <w:szCs w:val="16"/>
              </w:rPr>
              <w:t>Cash dividends declared</w:t>
            </w:r>
          </w:p>
        </w:tc>
        <w:tc>
          <w:tcPr>
            <w:tcW w:w="0" w:type="auto"/>
            <w:gridSpan w:val="2"/>
            <w:shd w:val="clear" w:color="auto" w:fill="CCEEFF"/>
            <w:tcMar>
              <w:top w:w="40" w:type="dxa"/>
              <w:left w:w="40" w:type="dxa"/>
              <w:bottom w:w="40" w:type="dxa"/>
            </w:tcMar>
            <w:vAlign w:val="bottom"/>
          </w:tcPr>
          <w:p w14:paraId="5556740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1.98</w:t>
            </w:r>
          </w:p>
        </w:tc>
        <w:tc>
          <w:tcPr>
            <w:tcW w:w="0" w:type="auto"/>
            <w:shd w:val="clear" w:color="auto" w:fill="CCEEFF"/>
            <w:vAlign w:val="bottom"/>
          </w:tcPr>
          <w:p w14:paraId="555674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1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1.78</w:t>
            </w:r>
          </w:p>
        </w:tc>
        <w:tc>
          <w:tcPr>
            <w:tcW w:w="0" w:type="auto"/>
            <w:shd w:val="clear" w:color="auto" w:fill="CCEEFF"/>
            <w:vAlign w:val="bottom"/>
          </w:tcPr>
          <w:p w14:paraId="55567413"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4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1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1.60</w:t>
            </w:r>
          </w:p>
        </w:tc>
        <w:tc>
          <w:tcPr>
            <w:tcW w:w="0" w:type="auto"/>
            <w:shd w:val="clear" w:color="auto" w:fill="CCEEFF"/>
            <w:vAlign w:val="bottom"/>
          </w:tcPr>
          <w:p w14:paraId="555674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1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1.44</w:t>
            </w:r>
          </w:p>
        </w:tc>
        <w:tc>
          <w:tcPr>
            <w:tcW w:w="0" w:type="auto"/>
            <w:shd w:val="clear" w:color="auto" w:fill="CCEEFF"/>
            <w:vAlign w:val="bottom"/>
          </w:tcPr>
          <w:p w14:paraId="555674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1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1.32</w:t>
            </w:r>
          </w:p>
        </w:tc>
        <w:tc>
          <w:tcPr>
            <w:tcW w:w="0" w:type="auto"/>
            <w:shd w:val="clear" w:color="auto" w:fill="CCEEFF"/>
            <w:vAlign w:val="bottom"/>
          </w:tcPr>
          <w:p w14:paraId="5556741C" w14:textId="77777777" w:rsidR="00F925DD" w:rsidRDefault="00F925DD">
            <w:pPr>
              <w:textAlignment w:val="bottom"/>
              <w:rPr>
                <w:rFonts w:ascii="Times New Roman" w:hAnsi="Times New Roman"/>
                <w:sz w:val="20"/>
                <w:szCs w:val="20"/>
              </w:rPr>
            </w:pPr>
          </w:p>
        </w:tc>
      </w:tr>
      <w:tr w:rsidR="00F925DD" w14:paraId="5556742D" w14:textId="77777777">
        <w:tc>
          <w:tcPr>
            <w:tcW w:w="0" w:type="auto"/>
            <w:shd w:val="clear" w:color="auto" w:fill="auto"/>
            <w:tcMar>
              <w:top w:w="40" w:type="dxa"/>
              <w:left w:w="40" w:type="dxa"/>
              <w:bottom w:w="40" w:type="dxa"/>
              <w:right w:w="40" w:type="dxa"/>
            </w:tcMar>
            <w:vAlign w:val="bottom"/>
          </w:tcPr>
          <w:p w14:paraId="5556741E" w14:textId="77777777" w:rsidR="00F925DD" w:rsidRDefault="00E705D7">
            <w:pPr>
              <w:textAlignment w:val="bottom"/>
              <w:rPr>
                <w:rFonts w:ascii="Times New Roman" w:hAnsi="Times New Roman"/>
                <w:sz w:val="16"/>
                <w:szCs w:val="16"/>
              </w:rPr>
            </w:pPr>
            <w:r>
              <w:rPr>
                <w:rFonts w:ascii="Arial" w:eastAsia="宋体" w:hAnsi="Arial" w:cs="Arial"/>
                <w:sz w:val="16"/>
                <w:szCs w:val="16"/>
              </w:rPr>
              <w:t>Closing market price (at year end)</w:t>
            </w:r>
          </w:p>
        </w:tc>
        <w:tc>
          <w:tcPr>
            <w:tcW w:w="0" w:type="auto"/>
            <w:gridSpan w:val="2"/>
            <w:shd w:val="clear" w:color="auto" w:fill="auto"/>
            <w:tcMar>
              <w:top w:w="40" w:type="dxa"/>
              <w:left w:w="40" w:type="dxa"/>
              <w:bottom w:w="40" w:type="dxa"/>
            </w:tcMar>
            <w:vAlign w:val="bottom"/>
          </w:tcPr>
          <w:p w14:paraId="5556741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79.10</w:t>
            </w:r>
          </w:p>
        </w:tc>
        <w:tc>
          <w:tcPr>
            <w:tcW w:w="0" w:type="auto"/>
            <w:shd w:val="clear" w:color="auto" w:fill="auto"/>
            <w:vAlign w:val="bottom"/>
          </w:tcPr>
          <w:p w14:paraId="5556742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2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63.07</w:t>
            </w:r>
          </w:p>
        </w:tc>
        <w:tc>
          <w:tcPr>
            <w:tcW w:w="0" w:type="auto"/>
            <w:shd w:val="clear" w:color="auto" w:fill="auto"/>
            <w:vAlign w:val="bottom"/>
          </w:tcPr>
          <w:p w14:paraId="5556742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4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2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97.61</w:t>
            </w:r>
          </w:p>
        </w:tc>
        <w:tc>
          <w:tcPr>
            <w:tcW w:w="0" w:type="auto"/>
            <w:shd w:val="clear" w:color="auto" w:fill="auto"/>
            <w:vAlign w:val="bottom"/>
          </w:tcPr>
          <w:p w14:paraId="5556742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2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77.72</w:t>
            </w:r>
          </w:p>
        </w:tc>
        <w:tc>
          <w:tcPr>
            <w:tcW w:w="0" w:type="auto"/>
            <w:shd w:val="clear" w:color="auto" w:fill="auto"/>
            <w:vAlign w:val="bottom"/>
          </w:tcPr>
          <w:p w14:paraId="555674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2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66.36</w:t>
            </w:r>
          </w:p>
        </w:tc>
        <w:tc>
          <w:tcPr>
            <w:tcW w:w="0" w:type="auto"/>
            <w:shd w:val="clear" w:color="auto" w:fill="auto"/>
            <w:vAlign w:val="bottom"/>
          </w:tcPr>
          <w:p w14:paraId="5556742C" w14:textId="77777777" w:rsidR="00F925DD" w:rsidRDefault="00F925DD">
            <w:pPr>
              <w:textAlignment w:val="bottom"/>
              <w:rPr>
                <w:rFonts w:ascii="Times New Roman" w:hAnsi="Times New Roman"/>
                <w:sz w:val="20"/>
                <w:szCs w:val="20"/>
              </w:rPr>
            </w:pPr>
          </w:p>
        </w:tc>
      </w:tr>
      <w:tr w:rsidR="00F925DD" w14:paraId="55567438" w14:textId="77777777">
        <w:tc>
          <w:tcPr>
            <w:tcW w:w="0" w:type="auto"/>
            <w:shd w:val="clear" w:color="auto" w:fill="CCEEFF"/>
            <w:tcMar>
              <w:top w:w="40" w:type="dxa"/>
              <w:left w:w="40" w:type="dxa"/>
              <w:bottom w:w="40" w:type="dxa"/>
              <w:right w:w="40" w:type="dxa"/>
            </w:tcMar>
            <w:vAlign w:val="bottom"/>
          </w:tcPr>
          <w:p w14:paraId="5556742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AS OF DECEMBER 31:</w:t>
            </w:r>
          </w:p>
        </w:tc>
        <w:tc>
          <w:tcPr>
            <w:tcW w:w="0" w:type="auto"/>
            <w:gridSpan w:val="3"/>
            <w:shd w:val="clear" w:color="auto" w:fill="CCEEFF"/>
            <w:tcMar>
              <w:top w:w="40" w:type="dxa"/>
              <w:left w:w="40" w:type="dxa"/>
              <w:bottom w:w="40" w:type="dxa"/>
              <w:right w:w="40" w:type="dxa"/>
            </w:tcMar>
            <w:vAlign w:val="bottom"/>
          </w:tcPr>
          <w:p w14:paraId="555674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4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4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4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4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4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4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4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4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44D" w14:textId="77777777">
        <w:tc>
          <w:tcPr>
            <w:tcW w:w="0" w:type="auto"/>
            <w:shd w:val="clear" w:color="auto" w:fill="auto"/>
            <w:tcMar>
              <w:top w:w="40" w:type="dxa"/>
              <w:left w:w="40" w:type="dxa"/>
              <w:bottom w:w="40" w:type="dxa"/>
              <w:right w:w="40" w:type="dxa"/>
            </w:tcMar>
            <w:vAlign w:val="bottom"/>
          </w:tcPr>
          <w:p w14:paraId="55567439"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Investment </w:t>
            </w:r>
            <w:r>
              <w:rPr>
                <w:rFonts w:ascii="Arial" w:eastAsia="宋体" w:hAnsi="Arial" w:cs="Arial"/>
                <w:sz w:val="16"/>
                <w:szCs w:val="16"/>
              </w:rPr>
              <w:t>securities</w:t>
            </w:r>
          </w:p>
        </w:tc>
        <w:tc>
          <w:tcPr>
            <w:tcW w:w="0" w:type="auto"/>
            <w:shd w:val="clear" w:color="auto" w:fill="auto"/>
            <w:tcMar>
              <w:top w:w="40" w:type="dxa"/>
              <w:left w:w="40" w:type="dxa"/>
              <w:bottom w:w="40" w:type="dxa"/>
            </w:tcMar>
            <w:vAlign w:val="bottom"/>
          </w:tcPr>
          <w:p w14:paraId="5556743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bottom w:w="40" w:type="dxa"/>
            </w:tcMar>
            <w:vAlign w:val="bottom"/>
          </w:tcPr>
          <w:p w14:paraId="5556743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95,597</w:t>
            </w:r>
          </w:p>
        </w:tc>
        <w:tc>
          <w:tcPr>
            <w:tcW w:w="0" w:type="auto"/>
            <w:shd w:val="clear" w:color="auto" w:fill="auto"/>
            <w:vAlign w:val="bottom"/>
          </w:tcPr>
          <w:p w14:paraId="5556743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43E"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5556743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87,062</w:t>
            </w:r>
          </w:p>
        </w:tc>
        <w:tc>
          <w:tcPr>
            <w:tcW w:w="0" w:type="auto"/>
            <w:shd w:val="clear" w:color="auto" w:fill="auto"/>
            <w:vAlign w:val="bottom"/>
          </w:tcPr>
          <w:p w14:paraId="55567440"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4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44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5556744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97,579</w:t>
            </w:r>
          </w:p>
        </w:tc>
        <w:tc>
          <w:tcPr>
            <w:tcW w:w="0" w:type="auto"/>
            <w:shd w:val="clear" w:color="auto" w:fill="auto"/>
            <w:vAlign w:val="bottom"/>
          </w:tcPr>
          <w:p w14:paraId="555674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44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5556744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97,167</w:t>
            </w:r>
          </w:p>
        </w:tc>
        <w:tc>
          <w:tcPr>
            <w:tcW w:w="0" w:type="auto"/>
            <w:shd w:val="clear" w:color="auto" w:fill="auto"/>
            <w:vAlign w:val="bottom"/>
          </w:tcPr>
          <w:p w14:paraId="555674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44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5556744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100,022</w:t>
            </w:r>
          </w:p>
        </w:tc>
        <w:tc>
          <w:tcPr>
            <w:tcW w:w="0" w:type="auto"/>
            <w:shd w:val="clear" w:color="auto" w:fill="auto"/>
            <w:vAlign w:val="bottom"/>
          </w:tcPr>
          <w:p w14:paraId="5556744C" w14:textId="77777777" w:rsidR="00F925DD" w:rsidRDefault="00F925DD">
            <w:pPr>
              <w:textAlignment w:val="bottom"/>
              <w:rPr>
                <w:rFonts w:ascii="Times New Roman" w:hAnsi="Times New Roman"/>
                <w:sz w:val="20"/>
                <w:szCs w:val="20"/>
              </w:rPr>
            </w:pPr>
          </w:p>
        </w:tc>
      </w:tr>
      <w:tr w:rsidR="00F925DD" w14:paraId="5556745D" w14:textId="77777777">
        <w:tc>
          <w:tcPr>
            <w:tcW w:w="0" w:type="auto"/>
            <w:shd w:val="clear" w:color="auto" w:fill="CCEEFF"/>
            <w:tcMar>
              <w:top w:w="40" w:type="dxa"/>
              <w:left w:w="40" w:type="dxa"/>
              <w:bottom w:w="40" w:type="dxa"/>
              <w:right w:w="40" w:type="dxa"/>
            </w:tcMar>
            <w:vAlign w:val="bottom"/>
          </w:tcPr>
          <w:p w14:paraId="5556744E" w14:textId="77777777" w:rsidR="00F925DD" w:rsidRDefault="00E705D7">
            <w:pPr>
              <w:textAlignment w:val="bottom"/>
              <w:rPr>
                <w:rFonts w:ascii="Times New Roman" w:hAnsi="Times New Roman"/>
                <w:sz w:val="16"/>
                <w:szCs w:val="16"/>
              </w:rPr>
            </w:pPr>
            <w:r>
              <w:rPr>
                <w:rFonts w:ascii="Arial" w:eastAsia="宋体" w:hAnsi="Arial" w:cs="Arial"/>
                <w:sz w:val="16"/>
                <w:szCs w:val="16"/>
              </w:rPr>
              <w:t>Average total interest-earning assets</w:t>
            </w:r>
          </w:p>
        </w:tc>
        <w:tc>
          <w:tcPr>
            <w:tcW w:w="0" w:type="auto"/>
            <w:gridSpan w:val="2"/>
            <w:shd w:val="clear" w:color="auto" w:fill="CCEEFF"/>
            <w:tcMar>
              <w:top w:w="40" w:type="dxa"/>
              <w:left w:w="40" w:type="dxa"/>
              <w:bottom w:w="40" w:type="dxa"/>
            </w:tcMar>
            <w:vAlign w:val="bottom"/>
          </w:tcPr>
          <w:p w14:paraId="5556744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181,891</w:t>
            </w:r>
          </w:p>
        </w:tc>
        <w:tc>
          <w:tcPr>
            <w:tcW w:w="0" w:type="auto"/>
            <w:shd w:val="clear" w:color="auto" w:fill="CCEEFF"/>
            <w:vAlign w:val="bottom"/>
          </w:tcPr>
          <w:p w14:paraId="5556745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5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185,637</w:t>
            </w:r>
          </w:p>
        </w:tc>
        <w:tc>
          <w:tcPr>
            <w:tcW w:w="0" w:type="auto"/>
            <w:shd w:val="clear" w:color="auto" w:fill="CCEEFF"/>
            <w:vAlign w:val="bottom"/>
          </w:tcPr>
          <w:p w14:paraId="55567453"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4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5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191,235</w:t>
            </w:r>
          </w:p>
        </w:tc>
        <w:tc>
          <w:tcPr>
            <w:tcW w:w="0" w:type="auto"/>
            <w:shd w:val="clear" w:color="auto" w:fill="CCEEFF"/>
            <w:vAlign w:val="bottom"/>
          </w:tcPr>
          <w:p w14:paraId="5556745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5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199,184</w:t>
            </w:r>
          </w:p>
        </w:tc>
        <w:tc>
          <w:tcPr>
            <w:tcW w:w="0" w:type="auto"/>
            <w:shd w:val="clear" w:color="auto" w:fill="CCEEFF"/>
            <w:vAlign w:val="bottom"/>
          </w:tcPr>
          <w:p w14:paraId="5556745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5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220,456</w:t>
            </w:r>
          </w:p>
        </w:tc>
        <w:tc>
          <w:tcPr>
            <w:tcW w:w="0" w:type="auto"/>
            <w:shd w:val="clear" w:color="auto" w:fill="CCEEFF"/>
            <w:vAlign w:val="bottom"/>
          </w:tcPr>
          <w:p w14:paraId="5556745C" w14:textId="77777777" w:rsidR="00F925DD" w:rsidRDefault="00F925DD">
            <w:pPr>
              <w:textAlignment w:val="bottom"/>
              <w:rPr>
                <w:rFonts w:ascii="Times New Roman" w:hAnsi="Times New Roman"/>
                <w:sz w:val="20"/>
                <w:szCs w:val="20"/>
              </w:rPr>
            </w:pPr>
          </w:p>
        </w:tc>
      </w:tr>
      <w:tr w:rsidR="00F925DD" w14:paraId="5556746D" w14:textId="77777777">
        <w:tc>
          <w:tcPr>
            <w:tcW w:w="0" w:type="auto"/>
            <w:shd w:val="clear" w:color="auto" w:fill="auto"/>
            <w:tcMar>
              <w:top w:w="40" w:type="dxa"/>
              <w:left w:w="40" w:type="dxa"/>
              <w:bottom w:w="40" w:type="dxa"/>
              <w:right w:w="40" w:type="dxa"/>
            </w:tcMar>
            <w:vAlign w:val="bottom"/>
          </w:tcPr>
          <w:p w14:paraId="5556745E"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assets</w:t>
            </w:r>
          </w:p>
        </w:tc>
        <w:tc>
          <w:tcPr>
            <w:tcW w:w="0" w:type="auto"/>
            <w:gridSpan w:val="2"/>
            <w:shd w:val="clear" w:color="auto" w:fill="auto"/>
            <w:tcMar>
              <w:top w:w="40" w:type="dxa"/>
              <w:left w:w="40" w:type="dxa"/>
              <w:bottom w:w="40" w:type="dxa"/>
            </w:tcMar>
            <w:vAlign w:val="bottom"/>
          </w:tcPr>
          <w:p w14:paraId="5556745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245,610</w:t>
            </w:r>
          </w:p>
        </w:tc>
        <w:tc>
          <w:tcPr>
            <w:tcW w:w="0" w:type="auto"/>
            <w:shd w:val="clear" w:color="auto" w:fill="auto"/>
            <w:vAlign w:val="bottom"/>
          </w:tcPr>
          <w:p w14:paraId="555674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6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244,596</w:t>
            </w:r>
          </w:p>
        </w:tc>
        <w:tc>
          <w:tcPr>
            <w:tcW w:w="0" w:type="auto"/>
            <w:shd w:val="clear" w:color="auto" w:fill="auto"/>
            <w:vAlign w:val="bottom"/>
          </w:tcPr>
          <w:p w14:paraId="5556746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4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6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238,392</w:t>
            </w:r>
          </w:p>
        </w:tc>
        <w:tc>
          <w:tcPr>
            <w:tcW w:w="0" w:type="auto"/>
            <w:shd w:val="clear" w:color="auto" w:fill="auto"/>
            <w:vAlign w:val="bottom"/>
          </w:tcPr>
          <w:p w14:paraId="555674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6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242,689</w:t>
            </w:r>
          </w:p>
        </w:tc>
        <w:tc>
          <w:tcPr>
            <w:tcW w:w="0" w:type="auto"/>
            <w:shd w:val="clear" w:color="auto" w:fill="auto"/>
            <w:vAlign w:val="bottom"/>
          </w:tcPr>
          <w:p w14:paraId="5556746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6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245,149</w:t>
            </w:r>
          </w:p>
        </w:tc>
        <w:tc>
          <w:tcPr>
            <w:tcW w:w="0" w:type="auto"/>
            <w:shd w:val="clear" w:color="auto" w:fill="auto"/>
            <w:vAlign w:val="bottom"/>
          </w:tcPr>
          <w:p w14:paraId="5556746C" w14:textId="77777777" w:rsidR="00F925DD" w:rsidRDefault="00F925DD">
            <w:pPr>
              <w:textAlignment w:val="bottom"/>
              <w:rPr>
                <w:rFonts w:ascii="Times New Roman" w:hAnsi="Times New Roman"/>
                <w:sz w:val="20"/>
                <w:szCs w:val="20"/>
              </w:rPr>
            </w:pPr>
          </w:p>
        </w:tc>
      </w:tr>
      <w:tr w:rsidR="00F925DD" w14:paraId="5556747D" w14:textId="77777777">
        <w:tc>
          <w:tcPr>
            <w:tcW w:w="0" w:type="auto"/>
            <w:shd w:val="clear" w:color="auto" w:fill="CCEEFF"/>
            <w:tcMar>
              <w:top w:w="40" w:type="dxa"/>
              <w:left w:w="40" w:type="dxa"/>
              <w:bottom w:w="40" w:type="dxa"/>
              <w:right w:w="40" w:type="dxa"/>
            </w:tcMar>
            <w:vAlign w:val="bottom"/>
          </w:tcPr>
          <w:p w14:paraId="5556746E" w14:textId="77777777" w:rsidR="00F925DD" w:rsidRDefault="00E705D7">
            <w:pPr>
              <w:textAlignment w:val="bottom"/>
              <w:rPr>
                <w:rFonts w:ascii="Times New Roman" w:hAnsi="Times New Roman"/>
                <w:sz w:val="16"/>
                <w:szCs w:val="16"/>
              </w:rPr>
            </w:pPr>
            <w:r>
              <w:rPr>
                <w:rFonts w:ascii="Arial" w:eastAsia="宋体" w:hAnsi="Arial" w:cs="Arial"/>
                <w:sz w:val="16"/>
                <w:szCs w:val="16"/>
              </w:rPr>
              <w:t>Deposits</w:t>
            </w:r>
          </w:p>
        </w:tc>
        <w:tc>
          <w:tcPr>
            <w:tcW w:w="0" w:type="auto"/>
            <w:gridSpan w:val="2"/>
            <w:shd w:val="clear" w:color="auto" w:fill="CCEEFF"/>
            <w:tcMar>
              <w:top w:w="40" w:type="dxa"/>
              <w:left w:w="40" w:type="dxa"/>
              <w:bottom w:w="40" w:type="dxa"/>
            </w:tcMar>
            <w:vAlign w:val="bottom"/>
          </w:tcPr>
          <w:p w14:paraId="5556746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181,872</w:t>
            </w:r>
          </w:p>
        </w:tc>
        <w:tc>
          <w:tcPr>
            <w:tcW w:w="0" w:type="auto"/>
            <w:shd w:val="clear" w:color="auto" w:fill="CCEEFF"/>
            <w:vAlign w:val="bottom"/>
          </w:tcPr>
          <w:p w14:paraId="5556747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7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180,360</w:t>
            </w:r>
          </w:p>
        </w:tc>
        <w:tc>
          <w:tcPr>
            <w:tcW w:w="0" w:type="auto"/>
            <w:shd w:val="clear" w:color="auto" w:fill="CCEEFF"/>
            <w:vAlign w:val="bottom"/>
          </w:tcPr>
          <w:p w14:paraId="55567473"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4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7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184,896</w:t>
            </w:r>
          </w:p>
        </w:tc>
        <w:tc>
          <w:tcPr>
            <w:tcW w:w="0" w:type="auto"/>
            <w:shd w:val="clear" w:color="auto" w:fill="CCEEFF"/>
            <w:vAlign w:val="bottom"/>
          </w:tcPr>
          <w:p w14:paraId="5556747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7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187,163</w:t>
            </w:r>
          </w:p>
        </w:tc>
        <w:tc>
          <w:tcPr>
            <w:tcW w:w="0" w:type="auto"/>
            <w:shd w:val="clear" w:color="auto" w:fill="CCEEFF"/>
            <w:vAlign w:val="bottom"/>
          </w:tcPr>
          <w:p w14:paraId="5556747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7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191,627</w:t>
            </w:r>
          </w:p>
        </w:tc>
        <w:tc>
          <w:tcPr>
            <w:tcW w:w="0" w:type="auto"/>
            <w:shd w:val="clear" w:color="auto" w:fill="CCEEFF"/>
            <w:vAlign w:val="bottom"/>
          </w:tcPr>
          <w:p w14:paraId="5556747C" w14:textId="77777777" w:rsidR="00F925DD" w:rsidRDefault="00F925DD">
            <w:pPr>
              <w:textAlignment w:val="bottom"/>
              <w:rPr>
                <w:rFonts w:ascii="Times New Roman" w:hAnsi="Times New Roman"/>
                <w:sz w:val="20"/>
                <w:szCs w:val="20"/>
              </w:rPr>
            </w:pPr>
          </w:p>
        </w:tc>
      </w:tr>
      <w:tr w:rsidR="00F925DD" w14:paraId="5556748D" w14:textId="77777777">
        <w:tc>
          <w:tcPr>
            <w:tcW w:w="0" w:type="auto"/>
            <w:shd w:val="clear" w:color="auto" w:fill="auto"/>
            <w:tcMar>
              <w:top w:w="40" w:type="dxa"/>
              <w:left w:w="40" w:type="dxa"/>
              <w:bottom w:w="40" w:type="dxa"/>
              <w:right w:w="40" w:type="dxa"/>
            </w:tcMar>
            <w:vAlign w:val="bottom"/>
          </w:tcPr>
          <w:p w14:paraId="5556747E" w14:textId="77777777" w:rsidR="00F925DD" w:rsidRDefault="00E705D7">
            <w:pPr>
              <w:textAlignment w:val="bottom"/>
              <w:rPr>
                <w:rFonts w:ascii="Times New Roman" w:hAnsi="Times New Roman"/>
                <w:sz w:val="16"/>
                <w:szCs w:val="16"/>
              </w:rPr>
            </w:pPr>
            <w:r>
              <w:rPr>
                <w:rFonts w:ascii="Arial" w:eastAsia="宋体" w:hAnsi="Arial" w:cs="Arial"/>
                <w:sz w:val="16"/>
                <w:szCs w:val="16"/>
              </w:rPr>
              <w:t>Long-term debt</w:t>
            </w:r>
          </w:p>
        </w:tc>
        <w:tc>
          <w:tcPr>
            <w:tcW w:w="0" w:type="auto"/>
            <w:gridSpan w:val="2"/>
            <w:shd w:val="clear" w:color="auto" w:fill="auto"/>
            <w:tcMar>
              <w:top w:w="40" w:type="dxa"/>
              <w:left w:w="40" w:type="dxa"/>
              <w:bottom w:w="40" w:type="dxa"/>
            </w:tcMar>
            <w:vAlign w:val="bottom"/>
          </w:tcPr>
          <w:p w14:paraId="5556747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12,509</w:t>
            </w:r>
          </w:p>
        </w:tc>
        <w:tc>
          <w:tcPr>
            <w:tcW w:w="0" w:type="auto"/>
            <w:shd w:val="clear" w:color="auto" w:fill="auto"/>
            <w:vAlign w:val="bottom"/>
          </w:tcPr>
          <w:p w14:paraId="555674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8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11,093</w:t>
            </w:r>
          </w:p>
        </w:tc>
        <w:tc>
          <w:tcPr>
            <w:tcW w:w="0" w:type="auto"/>
            <w:shd w:val="clear" w:color="auto" w:fill="auto"/>
            <w:vAlign w:val="bottom"/>
          </w:tcPr>
          <w:p w14:paraId="5556748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4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8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11,620</w:t>
            </w:r>
          </w:p>
        </w:tc>
        <w:tc>
          <w:tcPr>
            <w:tcW w:w="0" w:type="auto"/>
            <w:shd w:val="clear" w:color="auto" w:fill="auto"/>
            <w:vAlign w:val="bottom"/>
          </w:tcPr>
          <w:p w14:paraId="555674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8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11,430</w:t>
            </w:r>
          </w:p>
        </w:tc>
        <w:tc>
          <w:tcPr>
            <w:tcW w:w="0" w:type="auto"/>
            <w:shd w:val="clear" w:color="auto" w:fill="auto"/>
            <w:vAlign w:val="bottom"/>
          </w:tcPr>
          <w:p w14:paraId="555674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8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11,497</w:t>
            </w:r>
          </w:p>
        </w:tc>
        <w:tc>
          <w:tcPr>
            <w:tcW w:w="0" w:type="auto"/>
            <w:shd w:val="clear" w:color="auto" w:fill="auto"/>
            <w:vAlign w:val="bottom"/>
          </w:tcPr>
          <w:p w14:paraId="5556748C" w14:textId="77777777" w:rsidR="00F925DD" w:rsidRDefault="00F925DD">
            <w:pPr>
              <w:textAlignment w:val="bottom"/>
              <w:rPr>
                <w:rFonts w:ascii="Times New Roman" w:hAnsi="Times New Roman"/>
                <w:sz w:val="20"/>
                <w:szCs w:val="20"/>
              </w:rPr>
            </w:pPr>
          </w:p>
        </w:tc>
      </w:tr>
      <w:tr w:rsidR="00F925DD" w14:paraId="5556749D" w14:textId="77777777">
        <w:tc>
          <w:tcPr>
            <w:tcW w:w="0" w:type="auto"/>
            <w:shd w:val="clear" w:color="auto" w:fill="CCEEFF"/>
            <w:tcMar>
              <w:top w:w="40" w:type="dxa"/>
              <w:left w:w="40" w:type="dxa"/>
              <w:bottom w:w="40" w:type="dxa"/>
              <w:right w:w="40" w:type="dxa"/>
            </w:tcMar>
            <w:vAlign w:val="bottom"/>
          </w:tcPr>
          <w:p w14:paraId="5556748E"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shareholders' equity</w:t>
            </w:r>
          </w:p>
        </w:tc>
        <w:tc>
          <w:tcPr>
            <w:tcW w:w="0" w:type="auto"/>
            <w:gridSpan w:val="2"/>
            <w:shd w:val="clear" w:color="auto" w:fill="CCEEFF"/>
            <w:tcMar>
              <w:top w:w="40" w:type="dxa"/>
              <w:left w:w="40" w:type="dxa"/>
              <w:bottom w:w="40" w:type="dxa"/>
            </w:tcMar>
            <w:vAlign w:val="bottom"/>
          </w:tcPr>
          <w:p w14:paraId="5556748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24,431</w:t>
            </w:r>
          </w:p>
        </w:tc>
        <w:tc>
          <w:tcPr>
            <w:tcW w:w="0" w:type="auto"/>
            <w:shd w:val="clear" w:color="auto" w:fill="CCEEFF"/>
            <w:vAlign w:val="bottom"/>
          </w:tcPr>
          <w:p w14:paraId="5556749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9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24,737</w:t>
            </w:r>
          </w:p>
        </w:tc>
        <w:tc>
          <w:tcPr>
            <w:tcW w:w="0" w:type="auto"/>
            <w:shd w:val="clear" w:color="auto" w:fill="CCEEFF"/>
            <w:vAlign w:val="bottom"/>
          </w:tcPr>
          <w:p w14:paraId="55567493"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4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9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22,270</w:t>
            </w:r>
          </w:p>
        </w:tc>
        <w:tc>
          <w:tcPr>
            <w:tcW w:w="0" w:type="auto"/>
            <w:shd w:val="clear" w:color="auto" w:fill="CCEEFF"/>
            <w:vAlign w:val="bottom"/>
          </w:tcPr>
          <w:p w14:paraId="555674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9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21,193</w:t>
            </w:r>
          </w:p>
        </w:tc>
        <w:tc>
          <w:tcPr>
            <w:tcW w:w="0" w:type="auto"/>
            <w:shd w:val="clear" w:color="auto" w:fill="CCEEFF"/>
            <w:vAlign w:val="bottom"/>
          </w:tcPr>
          <w:p w14:paraId="555674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9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21,082</w:t>
            </w:r>
          </w:p>
        </w:tc>
        <w:tc>
          <w:tcPr>
            <w:tcW w:w="0" w:type="auto"/>
            <w:shd w:val="clear" w:color="auto" w:fill="CCEEFF"/>
            <w:vAlign w:val="bottom"/>
          </w:tcPr>
          <w:p w14:paraId="5556749C" w14:textId="77777777" w:rsidR="00F925DD" w:rsidRDefault="00F925DD">
            <w:pPr>
              <w:textAlignment w:val="bottom"/>
              <w:rPr>
                <w:rFonts w:ascii="Times New Roman" w:hAnsi="Times New Roman"/>
                <w:sz w:val="20"/>
                <w:szCs w:val="20"/>
              </w:rPr>
            </w:pPr>
          </w:p>
        </w:tc>
      </w:tr>
      <w:tr w:rsidR="00F925DD" w14:paraId="555674AD" w14:textId="77777777">
        <w:tc>
          <w:tcPr>
            <w:tcW w:w="0" w:type="auto"/>
            <w:shd w:val="clear" w:color="auto" w:fill="auto"/>
            <w:tcMar>
              <w:top w:w="40" w:type="dxa"/>
              <w:left w:w="40" w:type="dxa"/>
              <w:bottom w:w="40" w:type="dxa"/>
              <w:right w:w="40" w:type="dxa"/>
            </w:tcMar>
            <w:vAlign w:val="bottom"/>
          </w:tcPr>
          <w:p w14:paraId="5556749E" w14:textId="77777777" w:rsidR="00F925DD" w:rsidRDefault="00E705D7">
            <w:pPr>
              <w:textAlignment w:val="bottom"/>
              <w:rPr>
                <w:rFonts w:ascii="Times New Roman" w:hAnsi="Times New Roman"/>
                <w:sz w:val="16"/>
                <w:szCs w:val="16"/>
              </w:rPr>
            </w:pPr>
            <w:r>
              <w:rPr>
                <w:rFonts w:ascii="Arial" w:eastAsia="宋体" w:hAnsi="Arial" w:cs="Arial"/>
                <w:sz w:val="16"/>
                <w:szCs w:val="16"/>
              </w:rPr>
              <w:t>Assets under custody and/or administration (in billions)</w:t>
            </w:r>
          </w:p>
        </w:tc>
        <w:tc>
          <w:tcPr>
            <w:tcW w:w="0" w:type="auto"/>
            <w:gridSpan w:val="2"/>
            <w:shd w:val="clear" w:color="auto" w:fill="auto"/>
            <w:tcMar>
              <w:top w:w="40" w:type="dxa"/>
              <w:left w:w="40" w:type="dxa"/>
              <w:bottom w:w="40" w:type="dxa"/>
            </w:tcMar>
            <w:vAlign w:val="bottom"/>
          </w:tcPr>
          <w:p w14:paraId="5556749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34,358</w:t>
            </w:r>
          </w:p>
        </w:tc>
        <w:tc>
          <w:tcPr>
            <w:tcW w:w="0" w:type="auto"/>
            <w:shd w:val="clear" w:color="auto" w:fill="auto"/>
            <w:vAlign w:val="bottom"/>
          </w:tcPr>
          <w:p w14:paraId="555674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A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31,620</w:t>
            </w:r>
          </w:p>
        </w:tc>
        <w:tc>
          <w:tcPr>
            <w:tcW w:w="0" w:type="auto"/>
            <w:shd w:val="clear" w:color="auto" w:fill="auto"/>
            <w:vAlign w:val="bottom"/>
          </w:tcPr>
          <w:p w14:paraId="555674A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4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A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33,119</w:t>
            </w:r>
          </w:p>
        </w:tc>
        <w:tc>
          <w:tcPr>
            <w:tcW w:w="0" w:type="auto"/>
            <w:shd w:val="clear" w:color="auto" w:fill="auto"/>
            <w:vAlign w:val="bottom"/>
          </w:tcPr>
          <w:p w14:paraId="555674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A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28,771</w:t>
            </w:r>
          </w:p>
        </w:tc>
        <w:tc>
          <w:tcPr>
            <w:tcW w:w="0" w:type="auto"/>
            <w:shd w:val="clear" w:color="auto" w:fill="auto"/>
            <w:vAlign w:val="bottom"/>
          </w:tcPr>
          <w:p w14:paraId="555674A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A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27,508</w:t>
            </w:r>
          </w:p>
        </w:tc>
        <w:tc>
          <w:tcPr>
            <w:tcW w:w="0" w:type="auto"/>
            <w:shd w:val="clear" w:color="auto" w:fill="auto"/>
            <w:vAlign w:val="bottom"/>
          </w:tcPr>
          <w:p w14:paraId="555674AC" w14:textId="77777777" w:rsidR="00F925DD" w:rsidRDefault="00F925DD">
            <w:pPr>
              <w:textAlignment w:val="bottom"/>
              <w:rPr>
                <w:rFonts w:ascii="Times New Roman" w:hAnsi="Times New Roman"/>
                <w:sz w:val="20"/>
                <w:szCs w:val="20"/>
              </w:rPr>
            </w:pPr>
          </w:p>
        </w:tc>
      </w:tr>
      <w:tr w:rsidR="00F925DD" w14:paraId="555674BD" w14:textId="77777777">
        <w:tc>
          <w:tcPr>
            <w:tcW w:w="0" w:type="auto"/>
            <w:shd w:val="clear" w:color="auto" w:fill="CCEEFF"/>
            <w:tcMar>
              <w:top w:w="40" w:type="dxa"/>
              <w:left w:w="40" w:type="dxa"/>
              <w:bottom w:w="40" w:type="dxa"/>
              <w:right w:w="40" w:type="dxa"/>
            </w:tcMar>
            <w:vAlign w:val="bottom"/>
          </w:tcPr>
          <w:p w14:paraId="555674AE"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Assets under management (in </w:t>
            </w:r>
            <w:r>
              <w:rPr>
                <w:rFonts w:ascii="Arial" w:eastAsia="宋体" w:hAnsi="Arial" w:cs="Arial"/>
                <w:sz w:val="16"/>
                <w:szCs w:val="16"/>
              </w:rPr>
              <w:t>billions)</w:t>
            </w:r>
          </w:p>
        </w:tc>
        <w:tc>
          <w:tcPr>
            <w:tcW w:w="0" w:type="auto"/>
            <w:gridSpan w:val="2"/>
            <w:shd w:val="clear" w:color="auto" w:fill="CCEEFF"/>
            <w:tcMar>
              <w:top w:w="40" w:type="dxa"/>
              <w:left w:w="40" w:type="dxa"/>
              <w:bottom w:w="40" w:type="dxa"/>
            </w:tcMar>
            <w:vAlign w:val="bottom"/>
          </w:tcPr>
          <w:p w14:paraId="555674A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3,116</w:t>
            </w:r>
          </w:p>
        </w:tc>
        <w:tc>
          <w:tcPr>
            <w:tcW w:w="0" w:type="auto"/>
            <w:shd w:val="clear" w:color="auto" w:fill="CCEEFF"/>
            <w:vAlign w:val="bottom"/>
          </w:tcPr>
          <w:p w14:paraId="555674B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B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2,511</w:t>
            </w:r>
          </w:p>
        </w:tc>
        <w:tc>
          <w:tcPr>
            <w:tcW w:w="0" w:type="auto"/>
            <w:shd w:val="clear" w:color="auto" w:fill="CCEEFF"/>
            <w:vAlign w:val="bottom"/>
          </w:tcPr>
          <w:p w14:paraId="555674B3"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4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B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2,782</w:t>
            </w:r>
          </w:p>
        </w:tc>
        <w:tc>
          <w:tcPr>
            <w:tcW w:w="0" w:type="auto"/>
            <w:shd w:val="clear" w:color="auto" w:fill="CCEEFF"/>
            <w:vAlign w:val="bottom"/>
          </w:tcPr>
          <w:p w14:paraId="555674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B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2,468</w:t>
            </w:r>
          </w:p>
        </w:tc>
        <w:tc>
          <w:tcPr>
            <w:tcW w:w="0" w:type="auto"/>
            <w:shd w:val="clear" w:color="auto" w:fill="CCEEFF"/>
            <w:vAlign w:val="bottom"/>
          </w:tcPr>
          <w:p w14:paraId="555674B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B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2,245</w:t>
            </w:r>
          </w:p>
        </w:tc>
        <w:tc>
          <w:tcPr>
            <w:tcW w:w="0" w:type="auto"/>
            <w:shd w:val="clear" w:color="auto" w:fill="CCEEFF"/>
            <w:vAlign w:val="bottom"/>
          </w:tcPr>
          <w:p w14:paraId="555674BC" w14:textId="77777777" w:rsidR="00F925DD" w:rsidRDefault="00F925DD">
            <w:pPr>
              <w:textAlignment w:val="bottom"/>
              <w:rPr>
                <w:rFonts w:ascii="Times New Roman" w:hAnsi="Times New Roman"/>
                <w:sz w:val="20"/>
                <w:szCs w:val="20"/>
              </w:rPr>
            </w:pPr>
          </w:p>
        </w:tc>
      </w:tr>
      <w:tr w:rsidR="00F925DD" w14:paraId="555674CD" w14:textId="77777777">
        <w:tc>
          <w:tcPr>
            <w:tcW w:w="0" w:type="auto"/>
            <w:shd w:val="clear" w:color="auto" w:fill="auto"/>
            <w:tcMar>
              <w:top w:w="40" w:type="dxa"/>
              <w:left w:w="40" w:type="dxa"/>
              <w:bottom w:w="40" w:type="dxa"/>
              <w:right w:w="40" w:type="dxa"/>
            </w:tcMar>
            <w:vAlign w:val="bottom"/>
          </w:tcPr>
          <w:p w14:paraId="555674BE" w14:textId="77777777" w:rsidR="00F925DD" w:rsidRDefault="00E705D7">
            <w:pPr>
              <w:textAlignment w:val="bottom"/>
              <w:rPr>
                <w:rFonts w:ascii="Times New Roman" w:hAnsi="Times New Roman"/>
                <w:sz w:val="16"/>
                <w:szCs w:val="16"/>
              </w:rPr>
            </w:pPr>
            <w:r>
              <w:rPr>
                <w:rFonts w:ascii="Arial" w:eastAsia="宋体" w:hAnsi="Arial" w:cs="Arial"/>
                <w:sz w:val="16"/>
                <w:szCs w:val="16"/>
              </w:rPr>
              <w:t>Number of employees</w:t>
            </w:r>
          </w:p>
        </w:tc>
        <w:tc>
          <w:tcPr>
            <w:tcW w:w="0" w:type="auto"/>
            <w:gridSpan w:val="2"/>
            <w:shd w:val="clear" w:color="auto" w:fill="auto"/>
            <w:tcMar>
              <w:top w:w="40" w:type="dxa"/>
              <w:left w:w="40" w:type="dxa"/>
              <w:bottom w:w="40" w:type="dxa"/>
            </w:tcMar>
            <w:vAlign w:val="bottom"/>
          </w:tcPr>
          <w:p w14:paraId="555674B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39,103</w:t>
            </w:r>
          </w:p>
        </w:tc>
        <w:tc>
          <w:tcPr>
            <w:tcW w:w="0" w:type="auto"/>
            <w:shd w:val="clear" w:color="auto" w:fill="auto"/>
            <w:vAlign w:val="bottom"/>
          </w:tcPr>
          <w:p w14:paraId="555674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C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40,142</w:t>
            </w:r>
          </w:p>
        </w:tc>
        <w:tc>
          <w:tcPr>
            <w:tcW w:w="0" w:type="auto"/>
            <w:shd w:val="clear" w:color="auto" w:fill="auto"/>
            <w:vAlign w:val="bottom"/>
          </w:tcPr>
          <w:p w14:paraId="555674C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4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C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36,643</w:t>
            </w:r>
          </w:p>
        </w:tc>
        <w:tc>
          <w:tcPr>
            <w:tcW w:w="0" w:type="auto"/>
            <w:shd w:val="clear" w:color="auto" w:fill="auto"/>
            <w:vAlign w:val="bottom"/>
          </w:tcPr>
          <w:p w14:paraId="555674C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C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33,783</w:t>
            </w:r>
          </w:p>
        </w:tc>
        <w:tc>
          <w:tcPr>
            <w:tcW w:w="0" w:type="auto"/>
            <w:shd w:val="clear" w:color="auto" w:fill="auto"/>
            <w:vAlign w:val="bottom"/>
          </w:tcPr>
          <w:p w14:paraId="555674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C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32,356</w:t>
            </w:r>
          </w:p>
        </w:tc>
        <w:tc>
          <w:tcPr>
            <w:tcW w:w="0" w:type="auto"/>
            <w:shd w:val="clear" w:color="auto" w:fill="auto"/>
            <w:vAlign w:val="bottom"/>
          </w:tcPr>
          <w:p w14:paraId="555674CC" w14:textId="77777777" w:rsidR="00F925DD" w:rsidRDefault="00F925DD">
            <w:pPr>
              <w:textAlignment w:val="bottom"/>
              <w:rPr>
                <w:rFonts w:ascii="Times New Roman" w:hAnsi="Times New Roman"/>
                <w:sz w:val="20"/>
                <w:szCs w:val="20"/>
              </w:rPr>
            </w:pPr>
          </w:p>
        </w:tc>
      </w:tr>
      <w:tr w:rsidR="00F925DD" w14:paraId="555674D8" w14:textId="77777777">
        <w:tc>
          <w:tcPr>
            <w:tcW w:w="0" w:type="auto"/>
            <w:shd w:val="clear" w:color="auto" w:fill="CCEEFF"/>
            <w:tcMar>
              <w:top w:w="40" w:type="dxa"/>
              <w:left w:w="40" w:type="dxa"/>
              <w:bottom w:w="40" w:type="dxa"/>
              <w:right w:w="40" w:type="dxa"/>
            </w:tcMar>
            <w:vAlign w:val="bottom"/>
          </w:tcPr>
          <w:p w14:paraId="555674C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RATIOS:</w:t>
            </w:r>
          </w:p>
        </w:tc>
        <w:tc>
          <w:tcPr>
            <w:tcW w:w="0" w:type="auto"/>
            <w:gridSpan w:val="3"/>
            <w:shd w:val="clear" w:color="auto" w:fill="CCEEFF"/>
            <w:tcMar>
              <w:top w:w="40" w:type="dxa"/>
              <w:left w:w="40" w:type="dxa"/>
              <w:bottom w:w="40" w:type="dxa"/>
              <w:right w:w="40" w:type="dxa"/>
            </w:tcMar>
            <w:vAlign w:val="bottom"/>
          </w:tcPr>
          <w:p w14:paraId="555674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4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4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4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4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4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4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4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4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4E8" w14:textId="77777777">
        <w:tc>
          <w:tcPr>
            <w:tcW w:w="0" w:type="auto"/>
            <w:shd w:val="clear" w:color="auto" w:fill="auto"/>
            <w:tcMar>
              <w:top w:w="40" w:type="dxa"/>
              <w:left w:w="40" w:type="dxa"/>
              <w:bottom w:w="40" w:type="dxa"/>
              <w:right w:w="40" w:type="dxa"/>
            </w:tcMar>
            <w:vAlign w:val="bottom"/>
          </w:tcPr>
          <w:p w14:paraId="555674D9" w14:textId="77777777" w:rsidR="00F925DD" w:rsidRDefault="00E705D7">
            <w:pPr>
              <w:textAlignment w:val="bottom"/>
              <w:rPr>
                <w:rFonts w:ascii="Times New Roman" w:hAnsi="Times New Roman"/>
                <w:sz w:val="16"/>
                <w:szCs w:val="16"/>
              </w:rPr>
            </w:pPr>
            <w:r>
              <w:rPr>
                <w:rFonts w:ascii="Arial" w:eastAsia="宋体" w:hAnsi="Arial" w:cs="Arial"/>
                <w:sz w:val="16"/>
                <w:szCs w:val="16"/>
              </w:rPr>
              <w:t>Return on average common shareholders' equity</w:t>
            </w:r>
          </w:p>
        </w:tc>
        <w:tc>
          <w:tcPr>
            <w:tcW w:w="0" w:type="auto"/>
            <w:gridSpan w:val="2"/>
            <w:shd w:val="clear" w:color="auto" w:fill="auto"/>
            <w:tcMar>
              <w:top w:w="40" w:type="dxa"/>
              <w:left w:w="40" w:type="dxa"/>
              <w:bottom w:w="40" w:type="dxa"/>
            </w:tcMar>
            <w:vAlign w:val="bottom"/>
          </w:tcPr>
          <w:p w14:paraId="555674D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9.4</w:t>
            </w:r>
          </w:p>
        </w:tc>
        <w:tc>
          <w:tcPr>
            <w:tcW w:w="0" w:type="auto"/>
            <w:shd w:val="clear" w:color="auto" w:fill="auto"/>
            <w:tcMar>
              <w:top w:w="40" w:type="dxa"/>
              <w:bottom w:w="40" w:type="dxa"/>
              <w:right w:w="40" w:type="dxa"/>
            </w:tcMar>
            <w:vAlign w:val="bottom"/>
          </w:tcPr>
          <w:p w14:paraId="555674D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74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D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12.1</w:t>
            </w:r>
          </w:p>
        </w:tc>
        <w:tc>
          <w:tcPr>
            <w:tcW w:w="0" w:type="auto"/>
            <w:shd w:val="clear" w:color="auto" w:fill="auto"/>
            <w:tcMar>
              <w:top w:w="40" w:type="dxa"/>
              <w:bottom w:w="40" w:type="dxa"/>
              <w:right w:w="40" w:type="dxa"/>
            </w:tcMar>
            <w:vAlign w:val="bottom"/>
          </w:tcPr>
          <w:p w14:paraId="555674DE"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auto"/>
            <w:tcMar>
              <w:top w:w="40" w:type="dxa"/>
              <w:left w:w="40" w:type="dxa"/>
              <w:bottom w:w="40" w:type="dxa"/>
              <w:right w:w="40" w:type="dxa"/>
            </w:tcMar>
            <w:vAlign w:val="bottom"/>
          </w:tcPr>
          <w:p w14:paraId="555674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E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10.5</w:t>
            </w:r>
          </w:p>
        </w:tc>
        <w:tc>
          <w:tcPr>
            <w:tcW w:w="0" w:type="auto"/>
            <w:shd w:val="clear" w:color="auto" w:fill="auto"/>
            <w:tcMar>
              <w:top w:w="40" w:type="dxa"/>
              <w:bottom w:w="40" w:type="dxa"/>
              <w:right w:w="40" w:type="dxa"/>
            </w:tcMar>
            <w:vAlign w:val="bottom"/>
          </w:tcPr>
          <w:p w14:paraId="555674E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74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E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10.4</w:t>
            </w:r>
          </w:p>
        </w:tc>
        <w:tc>
          <w:tcPr>
            <w:tcW w:w="0" w:type="auto"/>
            <w:shd w:val="clear" w:color="auto" w:fill="auto"/>
            <w:tcMar>
              <w:top w:w="40" w:type="dxa"/>
              <w:bottom w:w="40" w:type="dxa"/>
              <w:right w:w="40" w:type="dxa"/>
            </w:tcMar>
            <w:vAlign w:val="bottom"/>
          </w:tcPr>
          <w:p w14:paraId="555674E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74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E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9.7</w:t>
            </w:r>
          </w:p>
        </w:tc>
        <w:tc>
          <w:tcPr>
            <w:tcW w:w="0" w:type="auto"/>
            <w:shd w:val="clear" w:color="auto" w:fill="auto"/>
            <w:tcMar>
              <w:top w:w="40" w:type="dxa"/>
              <w:bottom w:w="40" w:type="dxa"/>
              <w:right w:w="40" w:type="dxa"/>
            </w:tcMar>
            <w:vAlign w:val="bottom"/>
          </w:tcPr>
          <w:p w14:paraId="555674E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74F8" w14:textId="77777777">
        <w:tc>
          <w:tcPr>
            <w:tcW w:w="0" w:type="auto"/>
            <w:shd w:val="clear" w:color="auto" w:fill="CCEEFF"/>
            <w:tcMar>
              <w:top w:w="40" w:type="dxa"/>
              <w:left w:w="40" w:type="dxa"/>
              <w:bottom w:w="40" w:type="dxa"/>
              <w:right w:w="40" w:type="dxa"/>
            </w:tcMar>
            <w:vAlign w:val="bottom"/>
          </w:tcPr>
          <w:p w14:paraId="555674E9"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Return on </w:t>
            </w:r>
            <w:r>
              <w:rPr>
                <w:rFonts w:ascii="Arial" w:eastAsia="宋体" w:hAnsi="Arial" w:cs="Arial"/>
                <w:sz w:val="16"/>
                <w:szCs w:val="16"/>
              </w:rPr>
              <w:t>average assets</w:t>
            </w:r>
          </w:p>
        </w:tc>
        <w:tc>
          <w:tcPr>
            <w:tcW w:w="0" w:type="auto"/>
            <w:gridSpan w:val="2"/>
            <w:shd w:val="clear" w:color="auto" w:fill="CCEEFF"/>
            <w:tcMar>
              <w:top w:w="40" w:type="dxa"/>
              <w:left w:w="40" w:type="dxa"/>
              <w:bottom w:w="40" w:type="dxa"/>
            </w:tcMar>
            <w:vAlign w:val="bottom"/>
          </w:tcPr>
          <w:p w14:paraId="555674E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1.0</w:t>
            </w:r>
          </w:p>
        </w:tc>
        <w:tc>
          <w:tcPr>
            <w:tcW w:w="0" w:type="auto"/>
            <w:shd w:val="clear" w:color="auto" w:fill="CCEEFF"/>
            <w:vAlign w:val="bottom"/>
          </w:tcPr>
          <w:p w14:paraId="555674E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E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w:t>
            </w:r>
          </w:p>
        </w:tc>
        <w:tc>
          <w:tcPr>
            <w:tcW w:w="0" w:type="auto"/>
            <w:shd w:val="clear" w:color="auto" w:fill="CCEEFF"/>
            <w:vAlign w:val="bottom"/>
          </w:tcPr>
          <w:p w14:paraId="555674EE"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4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F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w:t>
            </w:r>
          </w:p>
        </w:tc>
        <w:tc>
          <w:tcPr>
            <w:tcW w:w="0" w:type="auto"/>
            <w:shd w:val="clear" w:color="auto" w:fill="CCEEFF"/>
            <w:vAlign w:val="bottom"/>
          </w:tcPr>
          <w:p w14:paraId="555674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F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0.9</w:t>
            </w:r>
          </w:p>
        </w:tc>
        <w:tc>
          <w:tcPr>
            <w:tcW w:w="0" w:type="auto"/>
            <w:shd w:val="clear" w:color="auto" w:fill="CCEEFF"/>
            <w:vAlign w:val="bottom"/>
          </w:tcPr>
          <w:p w14:paraId="555674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4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4F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0.8</w:t>
            </w:r>
          </w:p>
        </w:tc>
        <w:tc>
          <w:tcPr>
            <w:tcW w:w="0" w:type="auto"/>
            <w:shd w:val="clear" w:color="auto" w:fill="CCEEFF"/>
            <w:vAlign w:val="bottom"/>
          </w:tcPr>
          <w:p w14:paraId="555674F7" w14:textId="77777777" w:rsidR="00F925DD" w:rsidRDefault="00F925DD">
            <w:pPr>
              <w:textAlignment w:val="bottom"/>
              <w:rPr>
                <w:rFonts w:ascii="Times New Roman" w:hAnsi="Times New Roman"/>
                <w:sz w:val="20"/>
                <w:szCs w:val="20"/>
              </w:rPr>
            </w:pPr>
          </w:p>
        </w:tc>
      </w:tr>
      <w:tr w:rsidR="00F925DD" w14:paraId="55567508" w14:textId="77777777">
        <w:tc>
          <w:tcPr>
            <w:tcW w:w="0" w:type="auto"/>
            <w:shd w:val="clear" w:color="auto" w:fill="auto"/>
            <w:tcMar>
              <w:top w:w="40" w:type="dxa"/>
              <w:left w:w="40" w:type="dxa"/>
              <w:bottom w:w="40" w:type="dxa"/>
              <w:right w:w="40" w:type="dxa"/>
            </w:tcMar>
            <w:vAlign w:val="bottom"/>
          </w:tcPr>
          <w:p w14:paraId="555674F9" w14:textId="77777777" w:rsidR="00F925DD" w:rsidRDefault="00E705D7">
            <w:pPr>
              <w:textAlignment w:val="bottom"/>
              <w:rPr>
                <w:rFonts w:ascii="Times New Roman" w:hAnsi="Times New Roman"/>
                <w:sz w:val="16"/>
                <w:szCs w:val="16"/>
              </w:rPr>
            </w:pPr>
            <w:r>
              <w:rPr>
                <w:rFonts w:ascii="Arial" w:eastAsia="宋体" w:hAnsi="Arial" w:cs="Arial"/>
                <w:sz w:val="16"/>
                <w:szCs w:val="16"/>
              </w:rPr>
              <w:t>Common dividend payout</w:t>
            </w:r>
          </w:p>
        </w:tc>
        <w:tc>
          <w:tcPr>
            <w:tcW w:w="0" w:type="auto"/>
            <w:gridSpan w:val="2"/>
            <w:shd w:val="clear" w:color="auto" w:fill="auto"/>
            <w:tcMar>
              <w:top w:w="40" w:type="dxa"/>
              <w:left w:w="40" w:type="dxa"/>
              <w:bottom w:w="40" w:type="dxa"/>
            </w:tcMar>
            <w:vAlign w:val="bottom"/>
          </w:tcPr>
          <w:p w14:paraId="555674F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36.8</w:t>
            </w:r>
          </w:p>
        </w:tc>
        <w:tc>
          <w:tcPr>
            <w:tcW w:w="0" w:type="auto"/>
            <w:shd w:val="clear" w:color="auto" w:fill="auto"/>
            <w:vAlign w:val="bottom"/>
          </w:tcPr>
          <w:p w14:paraId="555674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4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4F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27.6</w:t>
            </w:r>
          </w:p>
        </w:tc>
        <w:tc>
          <w:tcPr>
            <w:tcW w:w="0" w:type="auto"/>
            <w:shd w:val="clear" w:color="auto" w:fill="auto"/>
            <w:vAlign w:val="bottom"/>
          </w:tcPr>
          <w:p w14:paraId="555674FE"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4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0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30.2</w:t>
            </w:r>
          </w:p>
        </w:tc>
        <w:tc>
          <w:tcPr>
            <w:tcW w:w="0" w:type="auto"/>
            <w:shd w:val="clear" w:color="auto" w:fill="auto"/>
            <w:vAlign w:val="bottom"/>
          </w:tcPr>
          <w:p w14:paraId="5556750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0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28.5</w:t>
            </w:r>
          </w:p>
        </w:tc>
        <w:tc>
          <w:tcPr>
            <w:tcW w:w="0" w:type="auto"/>
            <w:shd w:val="clear" w:color="auto" w:fill="auto"/>
            <w:vAlign w:val="bottom"/>
          </w:tcPr>
          <w:p w14:paraId="5556750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0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29.1</w:t>
            </w:r>
          </w:p>
        </w:tc>
        <w:tc>
          <w:tcPr>
            <w:tcW w:w="0" w:type="auto"/>
            <w:shd w:val="clear" w:color="auto" w:fill="auto"/>
            <w:vAlign w:val="bottom"/>
          </w:tcPr>
          <w:p w14:paraId="55567507" w14:textId="77777777" w:rsidR="00F925DD" w:rsidRDefault="00F925DD">
            <w:pPr>
              <w:textAlignment w:val="bottom"/>
              <w:rPr>
                <w:rFonts w:ascii="Times New Roman" w:hAnsi="Times New Roman"/>
                <w:sz w:val="20"/>
                <w:szCs w:val="20"/>
              </w:rPr>
            </w:pPr>
          </w:p>
        </w:tc>
      </w:tr>
      <w:tr w:rsidR="00F925DD" w14:paraId="55567518" w14:textId="77777777">
        <w:tc>
          <w:tcPr>
            <w:tcW w:w="0" w:type="auto"/>
            <w:shd w:val="clear" w:color="auto" w:fill="CCEEFF"/>
            <w:tcMar>
              <w:top w:w="40" w:type="dxa"/>
              <w:left w:w="40" w:type="dxa"/>
              <w:bottom w:w="40" w:type="dxa"/>
              <w:right w:w="40" w:type="dxa"/>
            </w:tcMar>
            <w:vAlign w:val="bottom"/>
          </w:tcPr>
          <w:p w14:paraId="55567509" w14:textId="77777777" w:rsidR="00F925DD" w:rsidRDefault="00E705D7">
            <w:pPr>
              <w:textAlignment w:val="bottom"/>
              <w:rPr>
                <w:rFonts w:ascii="Times New Roman" w:hAnsi="Times New Roman"/>
                <w:sz w:val="16"/>
                <w:szCs w:val="16"/>
              </w:rPr>
            </w:pPr>
            <w:r>
              <w:rPr>
                <w:rFonts w:ascii="Arial" w:eastAsia="宋体" w:hAnsi="Arial" w:cs="Arial"/>
                <w:sz w:val="16"/>
                <w:szCs w:val="16"/>
              </w:rPr>
              <w:t>Average common equity to average total assets</w:t>
            </w:r>
          </w:p>
        </w:tc>
        <w:tc>
          <w:tcPr>
            <w:tcW w:w="0" w:type="auto"/>
            <w:gridSpan w:val="2"/>
            <w:shd w:val="clear" w:color="auto" w:fill="CCEEFF"/>
            <w:tcMar>
              <w:top w:w="40" w:type="dxa"/>
              <w:left w:w="40" w:type="dxa"/>
              <w:bottom w:w="40" w:type="dxa"/>
            </w:tcMar>
            <w:vAlign w:val="bottom"/>
          </w:tcPr>
          <w:p w14:paraId="5556750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9.6</w:t>
            </w:r>
          </w:p>
        </w:tc>
        <w:tc>
          <w:tcPr>
            <w:tcW w:w="0" w:type="auto"/>
            <w:shd w:val="clear" w:color="auto" w:fill="CCEEFF"/>
            <w:vAlign w:val="bottom"/>
          </w:tcPr>
          <w:p w14:paraId="5556750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0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8.9</w:t>
            </w:r>
          </w:p>
        </w:tc>
        <w:tc>
          <w:tcPr>
            <w:tcW w:w="0" w:type="auto"/>
            <w:shd w:val="clear" w:color="auto" w:fill="CCEEFF"/>
            <w:vAlign w:val="bottom"/>
          </w:tcPr>
          <w:p w14:paraId="5556750E"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5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1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8.6</w:t>
            </w:r>
          </w:p>
        </w:tc>
        <w:tc>
          <w:tcPr>
            <w:tcW w:w="0" w:type="auto"/>
            <w:shd w:val="clear" w:color="auto" w:fill="CCEEFF"/>
            <w:vAlign w:val="bottom"/>
          </w:tcPr>
          <w:p w14:paraId="5556751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1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8.2</w:t>
            </w:r>
          </w:p>
        </w:tc>
        <w:tc>
          <w:tcPr>
            <w:tcW w:w="0" w:type="auto"/>
            <w:shd w:val="clear" w:color="auto" w:fill="CCEEFF"/>
            <w:vAlign w:val="bottom"/>
          </w:tcPr>
          <w:p w14:paraId="5556751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1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7.6</w:t>
            </w:r>
          </w:p>
        </w:tc>
        <w:tc>
          <w:tcPr>
            <w:tcW w:w="0" w:type="auto"/>
            <w:shd w:val="clear" w:color="auto" w:fill="CCEEFF"/>
            <w:vAlign w:val="bottom"/>
          </w:tcPr>
          <w:p w14:paraId="55567517" w14:textId="77777777" w:rsidR="00F925DD" w:rsidRDefault="00F925DD">
            <w:pPr>
              <w:textAlignment w:val="bottom"/>
              <w:rPr>
                <w:rFonts w:ascii="Times New Roman" w:hAnsi="Times New Roman"/>
                <w:sz w:val="20"/>
                <w:szCs w:val="20"/>
              </w:rPr>
            </w:pPr>
          </w:p>
        </w:tc>
      </w:tr>
      <w:tr w:rsidR="00F925DD" w14:paraId="55567528" w14:textId="77777777">
        <w:tc>
          <w:tcPr>
            <w:tcW w:w="0" w:type="auto"/>
            <w:shd w:val="clear" w:color="auto" w:fill="auto"/>
            <w:tcMar>
              <w:top w:w="40" w:type="dxa"/>
              <w:left w:w="40" w:type="dxa"/>
              <w:bottom w:w="40" w:type="dxa"/>
              <w:right w:w="40" w:type="dxa"/>
            </w:tcMar>
            <w:vAlign w:val="bottom"/>
          </w:tcPr>
          <w:p w14:paraId="55567519"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interest margin, fully taxable-equivalent basis</w:t>
            </w:r>
          </w:p>
        </w:tc>
        <w:tc>
          <w:tcPr>
            <w:tcW w:w="0" w:type="auto"/>
            <w:gridSpan w:val="2"/>
            <w:shd w:val="clear" w:color="auto" w:fill="auto"/>
            <w:tcMar>
              <w:top w:w="40" w:type="dxa"/>
              <w:left w:w="40" w:type="dxa"/>
              <w:bottom w:w="40" w:type="dxa"/>
            </w:tcMar>
            <w:vAlign w:val="bottom"/>
          </w:tcPr>
          <w:p w14:paraId="5556751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1.42</w:t>
            </w:r>
          </w:p>
        </w:tc>
        <w:tc>
          <w:tcPr>
            <w:tcW w:w="0" w:type="auto"/>
            <w:shd w:val="clear" w:color="auto" w:fill="auto"/>
            <w:vAlign w:val="bottom"/>
          </w:tcPr>
          <w:p w14:paraId="5556751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1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1.47</w:t>
            </w:r>
          </w:p>
        </w:tc>
        <w:tc>
          <w:tcPr>
            <w:tcW w:w="0" w:type="auto"/>
            <w:shd w:val="clear" w:color="auto" w:fill="auto"/>
            <w:vAlign w:val="bottom"/>
          </w:tcPr>
          <w:p w14:paraId="5556751E"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5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2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1.29</w:t>
            </w:r>
          </w:p>
        </w:tc>
        <w:tc>
          <w:tcPr>
            <w:tcW w:w="0" w:type="auto"/>
            <w:shd w:val="clear" w:color="auto" w:fill="auto"/>
            <w:vAlign w:val="bottom"/>
          </w:tcPr>
          <w:p w14:paraId="5556752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2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1.13</w:t>
            </w:r>
          </w:p>
        </w:tc>
        <w:tc>
          <w:tcPr>
            <w:tcW w:w="0" w:type="auto"/>
            <w:shd w:val="clear" w:color="auto" w:fill="auto"/>
            <w:vAlign w:val="bottom"/>
          </w:tcPr>
          <w:p w14:paraId="5556752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2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1.03</w:t>
            </w:r>
          </w:p>
        </w:tc>
        <w:tc>
          <w:tcPr>
            <w:tcW w:w="0" w:type="auto"/>
            <w:shd w:val="clear" w:color="auto" w:fill="auto"/>
            <w:vAlign w:val="bottom"/>
          </w:tcPr>
          <w:p w14:paraId="55567527" w14:textId="77777777" w:rsidR="00F925DD" w:rsidRDefault="00F925DD">
            <w:pPr>
              <w:textAlignment w:val="bottom"/>
              <w:rPr>
                <w:rFonts w:ascii="Times New Roman" w:hAnsi="Times New Roman"/>
                <w:sz w:val="20"/>
                <w:szCs w:val="20"/>
              </w:rPr>
            </w:pPr>
          </w:p>
        </w:tc>
      </w:tr>
      <w:tr w:rsidR="00F925DD" w14:paraId="55567538" w14:textId="77777777">
        <w:tc>
          <w:tcPr>
            <w:tcW w:w="0" w:type="auto"/>
            <w:shd w:val="clear" w:color="auto" w:fill="CCEEFF"/>
            <w:tcMar>
              <w:top w:w="40" w:type="dxa"/>
              <w:left w:w="40" w:type="dxa"/>
              <w:bottom w:w="40" w:type="dxa"/>
              <w:right w:w="40" w:type="dxa"/>
            </w:tcMar>
            <w:vAlign w:val="bottom"/>
          </w:tcPr>
          <w:p w14:paraId="55567529" w14:textId="77777777" w:rsidR="00F925DD" w:rsidRDefault="00E705D7">
            <w:pPr>
              <w:textAlignment w:val="bottom"/>
              <w:rPr>
                <w:rFonts w:ascii="Times New Roman" w:hAnsi="Times New Roman"/>
                <w:sz w:val="16"/>
                <w:szCs w:val="16"/>
              </w:rPr>
            </w:pPr>
            <w:r>
              <w:rPr>
                <w:rFonts w:ascii="Arial" w:eastAsia="宋体" w:hAnsi="Arial" w:cs="Arial"/>
                <w:sz w:val="16"/>
                <w:szCs w:val="16"/>
              </w:rPr>
              <w:t>Common equity tier 1 ratio</w:t>
            </w:r>
            <w:r>
              <w:rPr>
                <w:rFonts w:ascii="Arial" w:eastAsia="宋体" w:hAnsi="Arial" w:cs="Arial"/>
                <w:sz w:val="10"/>
                <w:szCs w:val="10"/>
              </w:rPr>
              <w:t>(3)</w:t>
            </w:r>
          </w:p>
        </w:tc>
        <w:tc>
          <w:tcPr>
            <w:tcW w:w="0" w:type="auto"/>
            <w:gridSpan w:val="2"/>
            <w:shd w:val="clear" w:color="auto" w:fill="CCEEFF"/>
            <w:tcMar>
              <w:top w:w="40" w:type="dxa"/>
              <w:left w:w="40" w:type="dxa"/>
              <w:bottom w:w="40" w:type="dxa"/>
            </w:tcMar>
            <w:vAlign w:val="bottom"/>
          </w:tcPr>
          <w:p w14:paraId="5556752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11.7</w:t>
            </w:r>
          </w:p>
        </w:tc>
        <w:tc>
          <w:tcPr>
            <w:tcW w:w="0" w:type="auto"/>
            <w:shd w:val="clear" w:color="auto" w:fill="CCEEFF"/>
            <w:vAlign w:val="bottom"/>
          </w:tcPr>
          <w:p w14:paraId="555675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2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12.1</w:t>
            </w:r>
          </w:p>
        </w:tc>
        <w:tc>
          <w:tcPr>
            <w:tcW w:w="0" w:type="auto"/>
            <w:shd w:val="clear" w:color="auto" w:fill="CCEEFF"/>
            <w:vAlign w:val="bottom"/>
          </w:tcPr>
          <w:p w14:paraId="5556752E"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5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3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12.3</w:t>
            </w:r>
          </w:p>
        </w:tc>
        <w:tc>
          <w:tcPr>
            <w:tcW w:w="0" w:type="auto"/>
            <w:shd w:val="clear" w:color="auto" w:fill="CCEEFF"/>
            <w:vAlign w:val="bottom"/>
          </w:tcPr>
          <w:p w14:paraId="5556753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3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11.7</w:t>
            </w:r>
          </w:p>
        </w:tc>
        <w:tc>
          <w:tcPr>
            <w:tcW w:w="0" w:type="auto"/>
            <w:shd w:val="clear" w:color="auto" w:fill="CCEEFF"/>
            <w:vAlign w:val="bottom"/>
          </w:tcPr>
          <w:p w14:paraId="555675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3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12.5</w:t>
            </w:r>
          </w:p>
        </w:tc>
        <w:tc>
          <w:tcPr>
            <w:tcW w:w="0" w:type="auto"/>
            <w:shd w:val="clear" w:color="auto" w:fill="CCEEFF"/>
            <w:vAlign w:val="bottom"/>
          </w:tcPr>
          <w:p w14:paraId="55567537" w14:textId="77777777" w:rsidR="00F925DD" w:rsidRDefault="00F925DD">
            <w:pPr>
              <w:textAlignment w:val="bottom"/>
              <w:rPr>
                <w:rFonts w:ascii="Times New Roman" w:hAnsi="Times New Roman"/>
                <w:sz w:val="20"/>
                <w:szCs w:val="20"/>
              </w:rPr>
            </w:pPr>
          </w:p>
        </w:tc>
      </w:tr>
      <w:tr w:rsidR="00F925DD" w14:paraId="55567548" w14:textId="77777777">
        <w:tc>
          <w:tcPr>
            <w:tcW w:w="0" w:type="auto"/>
            <w:shd w:val="clear" w:color="auto" w:fill="auto"/>
            <w:tcMar>
              <w:top w:w="40" w:type="dxa"/>
              <w:left w:w="40" w:type="dxa"/>
              <w:bottom w:w="40" w:type="dxa"/>
              <w:right w:w="40" w:type="dxa"/>
            </w:tcMar>
            <w:vAlign w:val="bottom"/>
          </w:tcPr>
          <w:p w14:paraId="55567539" w14:textId="77777777" w:rsidR="00F925DD" w:rsidRDefault="00E705D7">
            <w:pPr>
              <w:textAlignment w:val="bottom"/>
              <w:rPr>
                <w:rFonts w:ascii="Times New Roman" w:hAnsi="Times New Roman"/>
                <w:sz w:val="16"/>
                <w:szCs w:val="16"/>
              </w:rPr>
            </w:pPr>
            <w:r>
              <w:rPr>
                <w:rFonts w:ascii="Arial" w:eastAsia="宋体" w:hAnsi="Arial" w:cs="Arial"/>
                <w:sz w:val="16"/>
                <w:szCs w:val="16"/>
              </w:rPr>
              <w:t>Tier 1 capital ratio</w:t>
            </w:r>
            <w:r>
              <w:rPr>
                <w:rFonts w:ascii="Arial" w:eastAsia="宋体" w:hAnsi="Arial" w:cs="Arial"/>
                <w:sz w:val="10"/>
                <w:szCs w:val="10"/>
              </w:rPr>
              <w:t>(3)</w:t>
            </w:r>
          </w:p>
        </w:tc>
        <w:tc>
          <w:tcPr>
            <w:tcW w:w="0" w:type="auto"/>
            <w:gridSpan w:val="2"/>
            <w:shd w:val="clear" w:color="auto" w:fill="auto"/>
            <w:tcMar>
              <w:top w:w="40" w:type="dxa"/>
              <w:left w:w="40" w:type="dxa"/>
              <w:bottom w:w="40" w:type="dxa"/>
            </w:tcMar>
            <w:vAlign w:val="bottom"/>
          </w:tcPr>
          <w:p w14:paraId="5556753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14.5</w:t>
            </w:r>
          </w:p>
        </w:tc>
        <w:tc>
          <w:tcPr>
            <w:tcW w:w="0" w:type="auto"/>
            <w:shd w:val="clear" w:color="auto" w:fill="auto"/>
            <w:vAlign w:val="bottom"/>
          </w:tcPr>
          <w:p w14:paraId="5556753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3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16.0</w:t>
            </w:r>
          </w:p>
        </w:tc>
        <w:tc>
          <w:tcPr>
            <w:tcW w:w="0" w:type="auto"/>
            <w:shd w:val="clear" w:color="auto" w:fill="auto"/>
            <w:vAlign w:val="bottom"/>
          </w:tcPr>
          <w:p w14:paraId="5556753E"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5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4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15.5</w:t>
            </w:r>
          </w:p>
        </w:tc>
        <w:tc>
          <w:tcPr>
            <w:tcW w:w="0" w:type="auto"/>
            <w:shd w:val="clear" w:color="auto" w:fill="auto"/>
            <w:vAlign w:val="bottom"/>
          </w:tcPr>
          <w:p w14:paraId="555675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4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14.8</w:t>
            </w:r>
          </w:p>
        </w:tc>
        <w:tc>
          <w:tcPr>
            <w:tcW w:w="0" w:type="auto"/>
            <w:shd w:val="clear" w:color="auto" w:fill="auto"/>
            <w:vAlign w:val="bottom"/>
          </w:tcPr>
          <w:p w14:paraId="555675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4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15.3</w:t>
            </w:r>
          </w:p>
        </w:tc>
        <w:tc>
          <w:tcPr>
            <w:tcW w:w="0" w:type="auto"/>
            <w:shd w:val="clear" w:color="auto" w:fill="auto"/>
            <w:vAlign w:val="bottom"/>
          </w:tcPr>
          <w:p w14:paraId="55567547" w14:textId="77777777" w:rsidR="00F925DD" w:rsidRDefault="00F925DD">
            <w:pPr>
              <w:textAlignment w:val="bottom"/>
              <w:rPr>
                <w:rFonts w:ascii="Times New Roman" w:hAnsi="Times New Roman"/>
                <w:sz w:val="20"/>
                <w:szCs w:val="20"/>
              </w:rPr>
            </w:pPr>
          </w:p>
        </w:tc>
      </w:tr>
      <w:tr w:rsidR="00F925DD" w14:paraId="55567558" w14:textId="77777777">
        <w:tc>
          <w:tcPr>
            <w:tcW w:w="0" w:type="auto"/>
            <w:shd w:val="clear" w:color="auto" w:fill="CCEEFF"/>
            <w:tcMar>
              <w:top w:w="40" w:type="dxa"/>
              <w:left w:w="40" w:type="dxa"/>
              <w:bottom w:w="40" w:type="dxa"/>
              <w:right w:w="40" w:type="dxa"/>
            </w:tcMar>
            <w:vAlign w:val="bottom"/>
          </w:tcPr>
          <w:p w14:paraId="55567549"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capital ratio</w:t>
            </w:r>
            <w:r>
              <w:rPr>
                <w:rFonts w:ascii="Arial" w:eastAsia="宋体" w:hAnsi="Arial" w:cs="Arial"/>
                <w:sz w:val="10"/>
                <w:szCs w:val="10"/>
              </w:rPr>
              <w:t>(3)</w:t>
            </w:r>
          </w:p>
        </w:tc>
        <w:tc>
          <w:tcPr>
            <w:tcW w:w="0" w:type="auto"/>
            <w:gridSpan w:val="2"/>
            <w:shd w:val="clear" w:color="auto" w:fill="CCEEFF"/>
            <w:tcMar>
              <w:top w:w="40" w:type="dxa"/>
              <w:left w:w="40" w:type="dxa"/>
              <w:bottom w:w="40" w:type="dxa"/>
            </w:tcMar>
            <w:vAlign w:val="bottom"/>
          </w:tcPr>
          <w:p w14:paraId="5556754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15.6</w:t>
            </w:r>
          </w:p>
        </w:tc>
        <w:tc>
          <w:tcPr>
            <w:tcW w:w="0" w:type="auto"/>
            <w:shd w:val="clear" w:color="auto" w:fill="CCEEFF"/>
            <w:vAlign w:val="bottom"/>
          </w:tcPr>
          <w:p w14:paraId="5556754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4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16.9</w:t>
            </w:r>
          </w:p>
        </w:tc>
        <w:tc>
          <w:tcPr>
            <w:tcW w:w="0" w:type="auto"/>
            <w:shd w:val="clear" w:color="auto" w:fill="CCEEFF"/>
            <w:vAlign w:val="bottom"/>
          </w:tcPr>
          <w:p w14:paraId="5556754E"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5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5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16.5</w:t>
            </w:r>
          </w:p>
        </w:tc>
        <w:tc>
          <w:tcPr>
            <w:tcW w:w="0" w:type="auto"/>
            <w:shd w:val="clear" w:color="auto" w:fill="CCEEFF"/>
            <w:vAlign w:val="bottom"/>
          </w:tcPr>
          <w:p w14:paraId="5556755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5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16.0</w:t>
            </w:r>
          </w:p>
        </w:tc>
        <w:tc>
          <w:tcPr>
            <w:tcW w:w="0" w:type="auto"/>
            <w:shd w:val="clear" w:color="auto" w:fill="CCEEFF"/>
            <w:vAlign w:val="bottom"/>
          </w:tcPr>
          <w:p w14:paraId="555675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5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17.4</w:t>
            </w:r>
          </w:p>
        </w:tc>
        <w:tc>
          <w:tcPr>
            <w:tcW w:w="0" w:type="auto"/>
            <w:shd w:val="clear" w:color="auto" w:fill="CCEEFF"/>
            <w:vAlign w:val="bottom"/>
          </w:tcPr>
          <w:p w14:paraId="55567557" w14:textId="77777777" w:rsidR="00F925DD" w:rsidRDefault="00F925DD">
            <w:pPr>
              <w:textAlignment w:val="bottom"/>
              <w:rPr>
                <w:rFonts w:ascii="Times New Roman" w:hAnsi="Times New Roman"/>
                <w:sz w:val="20"/>
                <w:szCs w:val="20"/>
              </w:rPr>
            </w:pPr>
          </w:p>
        </w:tc>
      </w:tr>
      <w:tr w:rsidR="00F925DD" w14:paraId="55567568" w14:textId="77777777">
        <w:tc>
          <w:tcPr>
            <w:tcW w:w="0" w:type="auto"/>
            <w:shd w:val="clear" w:color="auto" w:fill="auto"/>
            <w:tcMar>
              <w:top w:w="40" w:type="dxa"/>
              <w:left w:w="40" w:type="dxa"/>
              <w:bottom w:w="40" w:type="dxa"/>
              <w:right w:w="40" w:type="dxa"/>
            </w:tcMar>
            <w:vAlign w:val="bottom"/>
          </w:tcPr>
          <w:p w14:paraId="55567559" w14:textId="77777777" w:rsidR="00F925DD" w:rsidRDefault="00E705D7">
            <w:pPr>
              <w:textAlignment w:val="bottom"/>
              <w:rPr>
                <w:rFonts w:ascii="Times New Roman" w:hAnsi="Times New Roman"/>
                <w:sz w:val="16"/>
                <w:szCs w:val="16"/>
              </w:rPr>
            </w:pPr>
            <w:r>
              <w:rPr>
                <w:rFonts w:ascii="Arial" w:eastAsia="宋体" w:hAnsi="Arial" w:cs="Arial"/>
                <w:sz w:val="16"/>
                <w:szCs w:val="16"/>
              </w:rPr>
              <w:t>Tier 1 leverage ratio</w:t>
            </w:r>
            <w:r>
              <w:rPr>
                <w:rFonts w:ascii="Arial" w:eastAsia="宋体" w:hAnsi="Arial" w:cs="Arial"/>
                <w:sz w:val="10"/>
                <w:szCs w:val="10"/>
              </w:rPr>
              <w:t>(4)</w:t>
            </w:r>
          </w:p>
        </w:tc>
        <w:tc>
          <w:tcPr>
            <w:tcW w:w="0" w:type="auto"/>
            <w:gridSpan w:val="2"/>
            <w:shd w:val="clear" w:color="auto" w:fill="auto"/>
            <w:tcMar>
              <w:top w:w="40" w:type="dxa"/>
              <w:left w:w="40" w:type="dxa"/>
              <w:bottom w:w="40" w:type="dxa"/>
            </w:tcMar>
            <w:vAlign w:val="bottom"/>
          </w:tcPr>
          <w:p w14:paraId="5556755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6.9</w:t>
            </w:r>
          </w:p>
        </w:tc>
        <w:tc>
          <w:tcPr>
            <w:tcW w:w="0" w:type="auto"/>
            <w:shd w:val="clear" w:color="auto" w:fill="auto"/>
            <w:vAlign w:val="bottom"/>
          </w:tcPr>
          <w:p w14:paraId="5556755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5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7.2</w:t>
            </w:r>
          </w:p>
        </w:tc>
        <w:tc>
          <w:tcPr>
            <w:tcW w:w="0" w:type="auto"/>
            <w:shd w:val="clear" w:color="auto" w:fill="auto"/>
            <w:vAlign w:val="bottom"/>
          </w:tcPr>
          <w:p w14:paraId="5556755E"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5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6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7.3</w:t>
            </w:r>
          </w:p>
        </w:tc>
        <w:tc>
          <w:tcPr>
            <w:tcW w:w="0" w:type="auto"/>
            <w:shd w:val="clear" w:color="auto" w:fill="auto"/>
            <w:vAlign w:val="bottom"/>
          </w:tcPr>
          <w:p w14:paraId="5556756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6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6.5</w:t>
            </w:r>
          </w:p>
        </w:tc>
        <w:tc>
          <w:tcPr>
            <w:tcW w:w="0" w:type="auto"/>
            <w:shd w:val="clear" w:color="auto" w:fill="auto"/>
            <w:vAlign w:val="bottom"/>
          </w:tcPr>
          <w:p w14:paraId="5556756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5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6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6.9</w:t>
            </w:r>
          </w:p>
        </w:tc>
        <w:tc>
          <w:tcPr>
            <w:tcW w:w="0" w:type="auto"/>
            <w:shd w:val="clear" w:color="auto" w:fill="auto"/>
            <w:vAlign w:val="bottom"/>
          </w:tcPr>
          <w:p w14:paraId="55567567" w14:textId="77777777" w:rsidR="00F925DD" w:rsidRDefault="00F925DD">
            <w:pPr>
              <w:textAlignment w:val="bottom"/>
              <w:rPr>
                <w:rFonts w:ascii="Times New Roman" w:hAnsi="Times New Roman"/>
                <w:sz w:val="20"/>
                <w:szCs w:val="20"/>
              </w:rPr>
            </w:pPr>
          </w:p>
        </w:tc>
      </w:tr>
      <w:tr w:rsidR="00F925DD" w14:paraId="55567578" w14:textId="77777777">
        <w:tc>
          <w:tcPr>
            <w:tcW w:w="0" w:type="auto"/>
            <w:shd w:val="clear" w:color="auto" w:fill="CCEEFF"/>
            <w:tcMar>
              <w:top w:w="40" w:type="dxa"/>
              <w:left w:w="40" w:type="dxa"/>
              <w:bottom w:w="40" w:type="dxa"/>
              <w:right w:w="40" w:type="dxa"/>
            </w:tcMar>
            <w:vAlign w:val="bottom"/>
          </w:tcPr>
          <w:p w14:paraId="55567569" w14:textId="77777777" w:rsidR="00F925DD" w:rsidRDefault="00E705D7">
            <w:pPr>
              <w:textAlignment w:val="bottom"/>
              <w:rPr>
                <w:rFonts w:ascii="Times New Roman" w:hAnsi="Times New Roman"/>
                <w:sz w:val="16"/>
                <w:szCs w:val="16"/>
              </w:rPr>
            </w:pPr>
            <w:r>
              <w:rPr>
                <w:rFonts w:ascii="Arial" w:eastAsia="宋体" w:hAnsi="Arial" w:cs="Arial"/>
                <w:sz w:val="16"/>
                <w:szCs w:val="16"/>
              </w:rPr>
              <w:t>Supplementary leverage ratio</w:t>
            </w:r>
            <w:r>
              <w:rPr>
                <w:rFonts w:ascii="Arial" w:eastAsia="宋体" w:hAnsi="Arial" w:cs="Arial"/>
                <w:sz w:val="10"/>
                <w:szCs w:val="10"/>
              </w:rPr>
              <w:t>(5)</w:t>
            </w:r>
          </w:p>
        </w:tc>
        <w:tc>
          <w:tcPr>
            <w:tcW w:w="0" w:type="auto"/>
            <w:gridSpan w:val="2"/>
            <w:shd w:val="clear" w:color="auto" w:fill="CCEEFF"/>
            <w:tcMar>
              <w:top w:w="40" w:type="dxa"/>
              <w:left w:w="40" w:type="dxa"/>
              <w:bottom w:w="40" w:type="dxa"/>
            </w:tcMar>
            <w:vAlign w:val="bottom"/>
          </w:tcPr>
          <w:p w14:paraId="5556756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6.1</w:t>
            </w:r>
          </w:p>
        </w:tc>
        <w:tc>
          <w:tcPr>
            <w:tcW w:w="0" w:type="auto"/>
            <w:shd w:val="clear" w:color="auto" w:fill="CCEEFF"/>
            <w:vAlign w:val="bottom"/>
          </w:tcPr>
          <w:p w14:paraId="5556756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6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6.3</w:t>
            </w:r>
          </w:p>
        </w:tc>
        <w:tc>
          <w:tcPr>
            <w:tcW w:w="0" w:type="auto"/>
            <w:shd w:val="clear" w:color="auto" w:fill="CCEEFF"/>
            <w:vAlign w:val="bottom"/>
          </w:tcPr>
          <w:p w14:paraId="5556756E"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5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7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6.5</w:t>
            </w:r>
          </w:p>
        </w:tc>
        <w:tc>
          <w:tcPr>
            <w:tcW w:w="0" w:type="auto"/>
            <w:shd w:val="clear" w:color="auto" w:fill="CCEEFF"/>
            <w:vAlign w:val="bottom"/>
          </w:tcPr>
          <w:p w14:paraId="5556757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7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5.9</w:t>
            </w:r>
          </w:p>
        </w:tc>
        <w:tc>
          <w:tcPr>
            <w:tcW w:w="0" w:type="auto"/>
            <w:shd w:val="clear" w:color="auto" w:fill="CCEEFF"/>
            <w:vAlign w:val="bottom"/>
          </w:tcPr>
          <w:p w14:paraId="5556757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5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57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6.2</w:t>
            </w:r>
          </w:p>
        </w:tc>
        <w:tc>
          <w:tcPr>
            <w:tcW w:w="0" w:type="auto"/>
            <w:shd w:val="clear" w:color="auto" w:fill="CCEEFF"/>
            <w:vAlign w:val="bottom"/>
          </w:tcPr>
          <w:p w14:paraId="55567577" w14:textId="77777777" w:rsidR="00F925DD" w:rsidRDefault="00F925DD">
            <w:pPr>
              <w:textAlignment w:val="bottom"/>
              <w:rPr>
                <w:rFonts w:ascii="Times New Roman" w:hAnsi="Times New Roman"/>
                <w:sz w:val="20"/>
                <w:szCs w:val="20"/>
              </w:rPr>
            </w:pPr>
          </w:p>
        </w:tc>
      </w:tr>
    </w:tbl>
    <w:p w14:paraId="55567579" w14:textId="77777777" w:rsidR="00F925DD" w:rsidRDefault="00F925DD">
      <w:pPr>
        <w:rPr>
          <w:vanish/>
        </w:rPr>
      </w:pPr>
    </w:p>
    <w:tbl>
      <w:tblPr>
        <w:tblW w:w="13580" w:type="dxa"/>
        <w:tblCellMar>
          <w:left w:w="0" w:type="dxa"/>
          <w:right w:w="0" w:type="dxa"/>
        </w:tblCellMar>
        <w:tblLook w:val="04A0" w:firstRow="1" w:lastRow="0" w:firstColumn="1" w:lastColumn="0" w:noHBand="0" w:noVBand="1"/>
      </w:tblPr>
      <w:tblGrid>
        <w:gridCol w:w="3850"/>
        <w:gridCol w:w="4273"/>
        <w:gridCol w:w="1886"/>
        <w:gridCol w:w="3571"/>
      </w:tblGrid>
      <w:tr w:rsidR="00F925DD" w14:paraId="5556757B" w14:textId="77777777">
        <w:tc>
          <w:tcPr>
            <w:tcW w:w="0" w:type="auto"/>
            <w:gridSpan w:val="4"/>
            <w:shd w:val="clear" w:color="auto" w:fill="auto"/>
            <w:vAlign w:val="center"/>
          </w:tcPr>
          <w:p w14:paraId="5556757A" w14:textId="77777777" w:rsidR="00F925DD" w:rsidRDefault="00F925DD">
            <w:pPr>
              <w:rPr>
                <w:rFonts w:ascii="Times New Roman" w:hAnsi="Times New Roman"/>
                <w:sz w:val="20"/>
                <w:szCs w:val="20"/>
              </w:rPr>
            </w:pPr>
          </w:p>
        </w:tc>
      </w:tr>
      <w:tr w:rsidR="00F925DD" w14:paraId="55567580" w14:textId="77777777">
        <w:tc>
          <w:tcPr>
            <w:tcW w:w="3840" w:type="dxa"/>
            <w:shd w:val="clear" w:color="auto" w:fill="auto"/>
            <w:vAlign w:val="center"/>
          </w:tcPr>
          <w:p w14:paraId="5556757C" w14:textId="77777777" w:rsidR="00F925DD" w:rsidRDefault="00F925DD">
            <w:pPr>
              <w:rPr>
                <w:rFonts w:ascii="Times New Roman" w:hAnsi="Times New Roman"/>
                <w:sz w:val="20"/>
                <w:szCs w:val="20"/>
              </w:rPr>
            </w:pPr>
          </w:p>
        </w:tc>
        <w:tc>
          <w:tcPr>
            <w:tcW w:w="4260" w:type="dxa"/>
            <w:shd w:val="clear" w:color="auto" w:fill="auto"/>
            <w:vAlign w:val="center"/>
          </w:tcPr>
          <w:p w14:paraId="5556757D" w14:textId="77777777" w:rsidR="00F925DD" w:rsidRDefault="00F925DD">
            <w:pPr>
              <w:rPr>
                <w:rFonts w:ascii="Times New Roman" w:hAnsi="Times New Roman"/>
                <w:sz w:val="20"/>
                <w:szCs w:val="20"/>
              </w:rPr>
            </w:pPr>
          </w:p>
        </w:tc>
        <w:tc>
          <w:tcPr>
            <w:tcW w:w="1880" w:type="dxa"/>
            <w:shd w:val="clear" w:color="auto" w:fill="auto"/>
            <w:vAlign w:val="center"/>
          </w:tcPr>
          <w:p w14:paraId="5556757E" w14:textId="77777777" w:rsidR="00F925DD" w:rsidRDefault="00F925DD">
            <w:pPr>
              <w:rPr>
                <w:rFonts w:ascii="Times New Roman" w:hAnsi="Times New Roman"/>
                <w:sz w:val="20"/>
                <w:szCs w:val="20"/>
              </w:rPr>
            </w:pPr>
          </w:p>
        </w:tc>
        <w:tc>
          <w:tcPr>
            <w:tcW w:w="3560" w:type="dxa"/>
            <w:shd w:val="clear" w:color="auto" w:fill="auto"/>
            <w:vAlign w:val="center"/>
          </w:tcPr>
          <w:p w14:paraId="5556757F" w14:textId="77777777" w:rsidR="00F925DD" w:rsidRDefault="00F925DD">
            <w:pPr>
              <w:rPr>
                <w:rFonts w:ascii="Times New Roman" w:hAnsi="Times New Roman"/>
                <w:sz w:val="20"/>
                <w:szCs w:val="20"/>
              </w:rPr>
            </w:pPr>
          </w:p>
        </w:tc>
      </w:tr>
      <w:tr w:rsidR="00F925DD" w14:paraId="5556758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75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5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5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5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7586"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CRD was acquired on October 1, 2018. 2018 includes results of CRD for one quarter. 2019 includes results of CRD for a full year. Additional information about CRD is included in our Management's Discussion and Analysis.</w:t>
      </w:r>
    </w:p>
    <w:p w14:paraId="55567587"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Amounts represent preferred stoc</w:t>
      </w:r>
      <w:r>
        <w:rPr>
          <w:rFonts w:ascii="Arial" w:eastAsia="宋体" w:hAnsi="Arial" w:cs="Arial"/>
          <w:sz w:val="14"/>
          <w:szCs w:val="14"/>
        </w:rPr>
        <w:t xml:space="preserve">k dividends and the allocation of earnings to participating securities using the two-class method. </w:t>
      </w:r>
    </w:p>
    <w:p w14:paraId="55567588"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(3)</w:t>
      </w:r>
      <w:r>
        <w:rPr>
          <w:rFonts w:ascii="Arial" w:eastAsia="宋体" w:hAnsi="Arial" w:cs="Arial"/>
          <w:sz w:val="14"/>
          <w:szCs w:val="14"/>
        </w:rPr>
        <w:t xml:space="preserve"> Ratios were calculated in conformity with the advanced approaches provisions of the Basel III rule. Refer to Note 16 to the consolidated financial state</w:t>
      </w:r>
      <w:r>
        <w:rPr>
          <w:rFonts w:ascii="Arial" w:eastAsia="宋体" w:hAnsi="Arial" w:cs="Arial"/>
          <w:sz w:val="14"/>
          <w:szCs w:val="14"/>
        </w:rPr>
        <w:t>ments in this Form 10-K.</w:t>
      </w:r>
    </w:p>
    <w:p w14:paraId="55567589"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(4)</w:t>
      </w:r>
      <w:r>
        <w:rPr>
          <w:rFonts w:ascii="Arial" w:eastAsia="宋体" w:hAnsi="Arial" w:cs="Arial"/>
          <w:sz w:val="14"/>
          <w:szCs w:val="14"/>
        </w:rPr>
        <w:t xml:space="preserve"> The tier 1 leverage ratio was calculated in conformity with the Basel III rule.</w:t>
      </w:r>
    </w:p>
    <w:p w14:paraId="5556758A"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(5)</w:t>
      </w:r>
      <w:r>
        <w:rPr>
          <w:rFonts w:ascii="Arial" w:eastAsia="宋体" w:hAnsi="Arial" w:cs="Arial"/>
          <w:sz w:val="14"/>
          <w:szCs w:val="14"/>
        </w:rPr>
        <w:t xml:space="preserve"> The SLR was calculated using the tier 1 capital as calculated under the SLR provisions of the Basel III rule.</w:t>
      </w:r>
    </w:p>
    <w:p w14:paraId="5556758B" w14:textId="77777777" w:rsidR="00F925DD" w:rsidRDefault="00F925DD">
      <w:pPr>
        <w:rPr>
          <w:rFonts w:ascii="Times New Roman" w:hAnsi="Times New Roman"/>
          <w:sz w:val="20"/>
          <w:szCs w:val="20"/>
        </w:rPr>
      </w:pPr>
    </w:p>
    <w:p w14:paraId="5556758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54</w:t>
      </w:r>
    </w:p>
    <w:p w14:paraId="5556758D" w14:textId="77777777" w:rsidR="00F925DD" w:rsidRDefault="00F925DD">
      <w:pPr>
        <w:spacing w:line="288" w:lineRule="auto"/>
        <w:ind w:firstLine="600"/>
        <w:jc w:val="center"/>
        <w:rPr>
          <w:rFonts w:ascii="Times New Roman" w:hAnsi="Times New Roman"/>
          <w:sz w:val="18"/>
          <w:szCs w:val="18"/>
        </w:rPr>
      </w:pPr>
    </w:p>
    <w:p w14:paraId="5556758E" w14:textId="77777777" w:rsidR="00F925DD" w:rsidRDefault="00E705D7">
      <w:r>
        <w:rPr>
          <w:rFonts w:ascii="Times New Roman" w:hAnsi="Times New Roman"/>
          <w:sz w:val="18"/>
          <w:szCs w:val="18"/>
        </w:rPr>
        <w:pict w14:anchorId="55570670">
          <v:rect id="_x0000_i1078" style="width:415.3pt;height:1.5pt" o:hralign="center" o:hrstd="t" o:hr="t" fillcolor="#a0a0a0" stroked="f"/>
        </w:pict>
      </w:r>
    </w:p>
    <w:p w14:paraId="5556758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59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591" w14:textId="77777777" w:rsidR="00F925DD" w:rsidRDefault="00F925DD">
      <w:pPr>
        <w:rPr>
          <w:rFonts w:ascii="Times New Roman" w:hAnsi="Times New Roman"/>
          <w:sz w:val="20"/>
          <w:szCs w:val="20"/>
        </w:rPr>
      </w:pPr>
    </w:p>
    <w:p w14:paraId="55567592"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ITEM 7. MANAGEMENT’S DISCUSSION AND ANALYSIS OF FINANCIAL CONDITION AND RESULTS OF OPERATIONS</w:t>
      </w:r>
    </w:p>
    <w:p w14:paraId="55567593"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GENERAL</w:t>
      </w:r>
    </w:p>
    <w:p w14:paraId="5556759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December 31, 2019, we had consolidated total assets of </w:t>
      </w:r>
      <w:r>
        <w:rPr>
          <w:rFonts w:ascii="Arial" w:eastAsia="宋体" w:hAnsi="Arial" w:cs="Arial"/>
          <w:sz w:val="20"/>
          <w:szCs w:val="20"/>
        </w:rPr>
        <w:t>$245.61 billion, consolidated total deposits of $181.87 billion, consolidated total shareholders' equity of $24.43 billion and over 39,000 employees. We operate in more than 100 geographic markets worldwide, including the U.S., Canada, Europe, the Middle E</w:t>
      </w:r>
      <w:r>
        <w:rPr>
          <w:rFonts w:ascii="Arial" w:eastAsia="宋体" w:hAnsi="Arial" w:cs="Arial"/>
          <w:sz w:val="20"/>
          <w:szCs w:val="20"/>
        </w:rPr>
        <w:t>ast and Asia.</w:t>
      </w:r>
    </w:p>
    <w:p w14:paraId="5556759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operations are organized into two lines of business, Investment Servicing and Investment Management, which are defined based on products and services provided.</w:t>
      </w:r>
    </w:p>
    <w:p w14:paraId="5556759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Investment Servicing</w:t>
      </w:r>
      <w:r>
        <w:rPr>
          <w:rFonts w:ascii="Arial" w:eastAsia="宋体" w:hAnsi="Arial" w:cs="Arial"/>
          <w:sz w:val="20"/>
          <w:szCs w:val="20"/>
        </w:rPr>
        <w:t xml:space="preserve"> provides services for institutional clients, including mu</w:t>
      </w:r>
      <w:r>
        <w:rPr>
          <w:rFonts w:ascii="Arial" w:eastAsia="宋体" w:hAnsi="Arial" w:cs="Arial"/>
          <w:sz w:val="20"/>
          <w:szCs w:val="20"/>
        </w:rPr>
        <w:t xml:space="preserve">tual funds, collective investment funds and other investment pools, corporate and public retirement plans, insurance companies, investment managers, foundations and endowments worldwide. Products include: custody; product and participant level accounting; </w:t>
      </w:r>
      <w:r>
        <w:rPr>
          <w:rFonts w:ascii="Arial" w:eastAsia="宋体" w:hAnsi="Arial" w:cs="Arial"/>
          <w:sz w:val="20"/>
          <w:szCs w:val="20"/>
        </w:rPr>
        <w:t>daily pricing and administration; master trust and master custody; depotbank services (a fund oversight role created by non-U.S. regulation); record-keeping; cash management; foreign exchange, brokerage and other trading services; securities finance and en</w:t>
      </w:r>
      <w:r>
        <w:rPr>
          <w:rFonts w:ascii="Arial" w:eastAsia="宋体" w:hAnsi="Arial" w:cs="Arial"/>
          <w:sz w:val="20"/>
          <w:szCs w:val="20"/>
        </w:rPr>
        <w:t>hanced custody products; deposit and short-term investment facilities; loans and lease financing; investment manager and alternative investment manager operations outsourcing; performance, risk and compliance analytics; and financial data management to sup</w:t>
      </w:r>
      <w:r>
        <w:rPr>
          <w:rFonts w:ascii="Arial" w:eastAsia="宋体" w:hAnsi="Arial" w:cs="Arial"/>
          <w:sz w:val="20"/>
          <w:szCs w:val="20"/>
        </w:rPr>
        <w:t xml:space="preserve">port institutional investors. Our CRD business also falls within our Investment Servicing line of business and includes products and services, such as: portfolio modeling and construction; trade order management; investment risk and compliance; and wealth </w:t>
      </w:r>
      <w:r>
        <w:rPr>
          <w:rFonts w:ascii="Arial" w:eastAsia="宋体" w:hAnsi="Arial" w:cs="Arial"/>
          <w:sz w:val="20"/>
          <w:szCs w:val="20"/>
        </w:rPr>
        <w:t xml:space="preserve">management solutions. </w:t>
      </w:r>
    </w:p>
    <w:p w14:paraId="5556759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Investment Management</w:t>
      </w:r>
      <w:r>
        <w:rPr>
          <w:rFonts w:ascii="Arial" w:eastAsia="宋体" w:hAnsi="Arial" w:cs="Arial"/>
          <w:sz w:val="20"/>
          <w:szCs w:val="20"/>
        </w:rPr>
        <w:t>, through State Street Global Advisors, provides a broad range of investment management strategies and products for our clients. Our investment management strategies and products span the risk/reward spectrum, in</w:t>
      </w:r>
      <w:r>
        <w:rPr>
          <w:rFonts w:ascii="Arial" w:eastAsia="宋体" w:hAnsi="Arial" w:cs="Arial"/>
          <w:sz w:val="20"/>
          <w:szCs w:val="20"/>
        </w:rPr>
        <w:t>cluding core and enhanced indexing, multi-asset strategies, active quantitative and fundamental active capabilities and alternative investment strategies. Our AUM is currently primarily weighted to indexed strategies. In addition, we provide a breadth of s</w:t>
      </w:r>
      <w:r>
        <w:rPr>
          <w:rFonts w:ascii="Arial" w:eastAsia="宋体" w:hAnsi="Arial" w:cs="Arial"/>
          <w:sz w:val="20"/>
          <w:szCs w:val="20"/>
        </w:rPr>
        <w:t>ervices and solutions, including environmental, social and governance investing, defined benefit and defined contribution and Global Fiduciary Solutions (formerly Outsourced Chief Investment Officer). State Street Global Advisors is also a provider of ETFs</w:t>
      </w:r>
      <w:r>
        <w:rPr>
          <w:rFonts w:ascii="Arial" w:eastAsia="宋体" w:hAnsi="Arial" w:cs="Arial"/>
          <w:sz w:val="20"/>
          <w:szCs w:val="20"/>
        </w:rPr>
        <w:t>, including the SPDR</w:t>
      </w:r>
      <w:r>
        <w:rPr>
          <w:rFonts w:ascii="Arial" w:eastAsia="宋体" w:hAnsi="Arial" w:cs="Arial"/>
          <w:sz w:val="12"/>
          <w:szCs w:val="12"/>
        </w:rPr>
        <w:t xml:space="preserve">® </w:t>
      </w:r>
      <w:r>
        <w:rPr>
          <w:rFonts w:ascii="Arial" w:eastAsia="宋体" w:hAnsi="Arial" w:cs="Arial"/>
          <w:sz w:val="20"/>
          <w:szCs w:val="20"/>
        </w:rPr>
        <w:t xml:space="preserve">ETF brand. While management fees are primarily determined by the values of AUM and the investment strategies employed, management fees reflect other factors as </w:t>
      </w:r>
    </w:p>
    <w:p w14:paraId="55567598"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599"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well, including the benchmarks specified in the respective management a</w:t>
      </w:r>
      <w:r>
        <w:rPr>
          <w:rFonts w:ascii="Arial" w:eastAsia="宋体" w:hAnsi="Arial" w:cs="Arial"/>
          <w:sz w:val="20"/>
          <w:szCs w:val="20"/>
        </w:rPr>
        <w:t>greements related to performance fees.</w:t>
      </w:r>
    </w:p>
    <w:p w14:paraId="5556759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financial and other information about our lines of business, refer to “Line of Business Information” in this Management's Discussion and Analysis and Note 24 to the consolidated financial statements in this Form 1</w:t>
      </w:r>
      <w:r>
        <w:rPr>
          <w:rFonts w:ascii="Arial" w:eastAsia="宋体" w:hAnsi="Arial" w:cs="Arial"/>
          <w:sz w:val="20"/>
          <w:szCs w:val="20"/>
        </w:rPr>
        <w:t>0-K.</w:t>
      </w:r>
    </w:p>
    <w:p w14:paraId="5556759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This Management's Discussion and Analysis should be read in conjunction with the consolidated financial statements and accompanying notes to consolidated financial statements in this Form 10-K. Certain previously reported amounts presented in this For</w:t>
      </w:r>
      <w:r>
        <w:rPr>
          <w:rFonts w:ascii="Arial" w:eastAsia="宋体" w:hAnsi="Arial" w:cs="Arial"/>
          <w:sz w:val="20"/>
          <w:szCs w:val="20"/>
        </w:rPr>
        <w:t>m 10-K have been reclassified to conform to current-period presentation.</w:t>
      </w:r>
    </w:p>
    <w:p w14:paraId="5556759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prepare our consolidated financial statements in conformity with U.S. GAAP. The preparation of financial statements in conformity with U.S. GAAP requires management to make estimat</w:t>
      </w:r>
      <w:r>
        <w:rPr>
          <w:rFonts w:ascii="Arial" w:eastAsia="宋体" w:hAnsi="Arial" w:cs="Arial"/>
          <w:sz w:val="20"/>
          <w:szCs w:val="20"/>
        </w:rPr>
        <w:t>es and assumptions in its application of certain accounting policies that materially affect the reported amounts of assets, liabilities, equity, revenue and expenses.</w:t>
      </w:r>
    </w:p>
    <w:p w14:paraId="5556759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significant accounting policies that require us to make judgments, estimates and assu</w:t>
      </w:r>
      <w:r>
        <w:rPr>
          <w:rFonts w:ascii="Arial" w:eastAsia="宋体" w:hAnsi="Arial" w:cs="Arial"/>
          <w:sz w:val="20"/>
          <w:szCs w:val="20"/>
        </w:rPr>
        <w:t>mptions that are difficult, subjective or complex about matters that are uncertain and may change in subsequent periods include:</w:t>
      </w:r>
    </w:p>
    <w:tbl>
      <w:tblPr>
        <w:tblW w:w="0" w:type="auto"/>
        <w:tblCellSpacing w:w="0" w:type="dxa"/>
        <w:tblCellMar>
          <w:left w:w="0" w:type="dxa"/>
          <w:right w:w="0" w:type="dxa"/>
        </w:tblCellMar>
        <w:tblLook w:val="04A0" w:firstRow="1" w:lastRow="0" w:firstColumn="1" w:lastColumn="0" w:noHBand="0" w:noVBand="1"/>
      </w:tblPr>
      <w:tblGrid>
        <w:gridCol w:w="960"/>
        <w:gridCol w:w="3558"/>
      </w:tblGrid>
      <w:tr w:rsidR="00F925DD" w14:paraId="555675A0" w14:textId="77777777">
        <w:trPr>
          <w:tblCellSpacing w:w="0" w:type="dxa"/>
        </w:trPr>
        <w:tc>
          <w:tcPr>
            <w:tcW w:w="960" w:type="dxa"/>
            <w:shd w:val="clear" w:color="auto" w:fill="auto"/>
            <w:vAlign w:val="center"/>
          </w:tcPr>
          <w:p w14:paraId="5556759E" w14:textId="77777777" w:rsidR="00F925DD" w:rsidRDefault="00F925DD">
            <w:pPr>
              <w:rPr>
                <w:rFonts w:ascii="Times New Roman" w:hAnsi="Times New Roman"/>
                <w:sz w:val="20"/>
                <w:szCs w:val="20"/>
              </w:rPr>
            </w:pPr>
          </w:p>
        </w:tc>
        <w:tc>
          <w:tcPr>
            <w:tcW w:w="0" w:type="auto"/>
            <w:shd w:val="clear" w:color="auto" w:fill="auto"/>
            <w:vAlign w:val="center"/>
          </w:tcPr>
          <w:p w14:paraId="5556759F" w14:textId="77777777" w:rsidR="00F925DD" w:rsidRDefault="00F925DD">
            <w:pPr>
              <w:rPr>
                <w:rFonts w:ascii="Times New Roman" w:hAnsi="Times New Roman"/>
                <w:sz w:val="20"/>
                <w:szCs w:val="20"/>
              </w:rPr>
            </w:pPr>
          </w:p>
        </w:tc>
      </w:tr>
      <w:tr w:rsidR="00F925DD" w14:paraId="555675A3" w14:textId="77777777">
        <w:trPr>
          <w:tblCellSpacing w:w="0" w:type="dxa"/>
        </w:trPr>
        <w:tc>
          <w:tcPr>
            <w:tcW w:w="0" w:type="auto"/>
            <w:shd w:val="clear" w:color="auto" w:fill="auto"/>
          </w:tcPr>
          <w:p w14:paraId="555675A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5A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accounting for fair value measurements;</w:t>
            </w:r>
          </w:p>
        </w:tc>
      </w:tr>
    </w:tbl>
    <w:p w14:paraId="555675A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881"/>
      </w:tblGrid>
      <w:tr w:rsidR="00F925DD" w14:paraId="555675A7" w14:textId="77777777">
        <w:trPr>
          <w:tblCellSpacing w:w="0" w:type="dxa"/>
        </w:trPr>
        <w:tc>
          <w:tcPr>
            <w:tcW w:w="960" w:type="dxa"/>
            <w:shd w:val="clear" w:color="auto" w:fill="auto"/>
            <w:vAlign w:val="center"/>
          </w:tcPr>
          <w:p w14:paraId="555675A5" w14:textId="77777777" w:rsidR="00F925DD" w:rsidRDefault="00F925DD">
            <w:pPr>
              <w:rPr>
                <w:rFonts w:ascii="Times New Roman" w:hAnsi="Times New Roman"/>
                <w:sz w:val="20"/>
                <w:szCs w:val="20"/>
              </w:rPr>
            </w:pPr>
          </w:p>
        </w:tc>
        <w:tc>
          <w:tcPr>
            <w:tcW w:w="0" w:type="auto"/>
            <w:shd w:val="clear" w:color="auto" w:fill="auto"/>
            <w:vAlign w:val="center"/>
          </w:tcPr>
          <w:p w14:paraId="555675A6" w14:textId="77777777" w:rsidR="00F925DD" w:rsidRDefault="00F925DD">
            <w:pPr>
              <w:rPr>
                <w:rFonts w:ascii="Times New Roman" w:hAnsi="Times New Roman"/>
                <w:sz w:val="20"/>
                <w:szCs w:val="20"/>
              </w:rPr>
            </w:pPr>
          </w:p>
        </w:tc>
      </w:tr>
      <w:tr w:rsidR="00F925DD" w14:paraId="555675AA" w14:textId="77777777">
        <w:trPr>
          <w:tblCellSpacing w:w="0" w:type="dxa"/>
        </w:trPr>
        <w:tc>
          <w:tcPr>
            <w:tcW w:w="0" w:type="auto"/>
            <w:shd w:val="clear" w:color="auto" w:fill="auto"/>
          </w:tcPr>
          <w:p w14:paraId="555675A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5A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impairment of goodwill and other intangible assets; and</w:t>
            </w:r>
          </w:p>
        </w:tc>
      </w:tr>
    </w:tbl>
    <w:p w14:paraId="555675A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279"/>
      </w:tblGrid>
      <w:tr w:rsidR="00F925DD" w14:paraId="555675AE" w14:textId="77777777">
        <w:trPr>
          <w:tblCellSpacing w:w="0" w:type="dxa"/>
        </w:trPr>
        <w:tc>
          <w:tcPr>
            <w:tcW w:w="960" w:type="dxa"/>
            <w:shd w:val="clear" w:color="auto" w:fill="auto"/>
            <w:vAlign w:val="center"/>
          </w:tcPr>
          <w:p w14:paraId="555675AC" w14:textId="77777777" w:rsidR="00F925DD" w:rsidRDefault="00F925DD">
            <w:pPr>
              <w:rPr>
                <w:rFonts w:ascii="Times New Roman" w:hAnsi="Times New Roman"/>
                <w:sz w:val="20"/>
                <w:szCs w:val="20"/>
              </w:rPr>
            </w:pPr>
          </w:p>
        </w:tc>
        <w:tc>
          <w:tcPr>
            <w:tcW w:w="0" w:type="auto"/>
            <w:shd w:val="clear" w:color="auto" w:fill="auto"/>
            <w:vAlign w:val="center"/>
          </w:tcPr>
          <w:p w14:paraId="555675AD" w14:textId="77777777" w:rsidR="00F925DD" w:rsidRDefault="00F925DD">
            <w:pPr>
              <w:rPr>
                <w:rFonts w:ascii="Times New Roman" w:hAnsi="Times New Roman"/>
                <w:sz w:val="20"/>
                <w:szCs w:val="20"/>
              </w:rPr>
            </w:pPr>
          </w:p>
        </w:tc>
      </w:tr>
      <w:tr w:rsidR="00F925DD" w14:paraId="555675B1" w14:textId="77777777">
        <w:trPr>
          <w:tblCellSpacing w:w="0" w:type="dxa"/>
        </w:trPr>
        <w:tc>
          <w:tcPr>
            <w:tcW w:w="0" w:type="auto"/>
            <w:shd w:val="clear" w:color="auto" w:fill="auto"/>
          </w:tcPr>
          <w:p w14:paraId="555675A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5B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contingencies.</w:t>
            </w:r>
          </w:p>
        </w:tc>
      </w:tr>
    </w:tbl>
    <w:p w14:paraId="555675B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These significant accounting policies require the most subjective or complex judgments, and underlying estimates and assumptions could be subject to revision as new information becomes available. Additional information about these </w:t>
      </w:r>
      <w:r>
        <w:rPr>
          <w:rFonts w:ascii="Arial" w:eastAsia="宋体" w:hAnsi="Arial" w:cs="Arial"/>
          <w:sz w:val="20"/>
          <w:szCs w:val="20"/>
        </w:rPr>
        <w:t>significant accounting policies is included under “Significant Accounting Estimates” in this Management's Discussion and Analysis.</w:t>
      </w:r>
    </w:p>
    <w:p w14:paraId="555675B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Certain financial information provided in this Form 10-K, including this Management's Discussion and Analysis, is prepared on</w:t>
      </w:r>
      <w:r>
        <w:rPr>
          <w:rFonts w:ascii="Arial" w:eastAsia="宋体" w:hAnsi="Arial" w:cs="Arial"/>
          <w:sz w:val="20"/>
          <w:szCs w:val="20"/>
        </w:rPr>
        <w:t xml:space="preserve"> both a U.S. GAAP, or reported basis, and a non-GAAP basis, including certain non-GAAP measures used in the calculation of identified regulatory ratios. We measure and compare certain financial information on a non-GAAP basis, including information that ma</w:t>
      </w:r>
      <w:r>
        <w:rPr>
          <w:rFonts w:ascii="Arial" w:eastAsia="宋体" w:hAnsi="Arial" w:cs="Arial"/>
          <w:sz w:val="20"/>
          <w:szCs w:val="20"/>
        </w:rPr>
        <w:t>nagement uses in evaluating our business and activities. Non-GAAP financial information should be considered in addition to, and not as a substitute for or superior to, financial information prepared in conformity with U.S. GAAP. Any non-GAAP financial inf</w:t>
      </w:r>
      <w:r>
        <w:rPr>
          <w:rFonts w:ascii="Arial" w:eastAsia="宋体" w:hAnsi="Arial" w:cs="Arial"/>
          <w:sz w:val="20"/>
          <w:szCs w:val="20"/>
        </w:rPr>
        <w:t xml:space="preserve">ormation presented in this Form 10-K, </w:t>
      </w:r>
    </w:p>
    <w:p w14:paraId="555675B4" w14:textId="77777777" w:rsidR="00F925DD" w:rsidRDefault="00F925DD">
      <w:pPr>
        <w:rPr>
          <w:rFonts w:ascii="Times New Roman" w:hAnsi="Times New Roman"/>
          <w:sz w:val="20"/>
          <w:szCs w:val="20"/>
        </w:rPr>
      </w:pPr>
    </w:p>
    <w:p w14:paraId="555675B5"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55</w:t>
      </w:r>
    </w:p>
    <w:p w14:paraId="555675B6" w14:textId="77777777" w:rsidR="00F925DD" w:rsidRDefault="00F925DD">
      <w:pPr>
        <w:spacing w:line="288" w:lineRule="auto"/>
        <w:ind w:firstLine="600"/>
        <w:jc w:val="center"/>
        <w:rPr>
          <w:rFonts w:ascii="Times New Roman" w:hAnsi="Times New Roman"/>
          <w:sz w:val="18"/>
          <w:szCs w:val="18"/>
        </w:rPr>
      </w:pPr>
    </w:p>
    <w:p w14:paraId="555675B7" w14:textId="77777777" w:rsidR="00F925DD" w:rsidRDefault="00E705D7">
      <w:r>
        <w:rPr>
          <w:rFonts w:ascii="Times New Roman" w:hAnsi="Times New Roman"/>
          <w:sz w:val="18"/>
          <w:szCs w:val="18"/>
        </w:rPr>
        <w:pict w14:anchorId="55570671">
          <v:rect id="_x0000_i1079" style="width:415.3pt;height:1.5pt" o:hralign="center" o:hrstd="t" o:hr="t" fillcolor="#a0a0a0" stroked="f"/>
        </w:pict>
      </w:r>
    </w:p>
    <w:p w14:paraId="555675B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5B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5BA" w14:textId="77777777" w:rsidR="00F925DD" w:rsidRDefault="00F925DD">
      <w:pPr>
        <w:rPr>
          <w:rFonts w:ascii="Times New Roman" w:hAnsi="Times New Roman"/>
          <w:sz w:val="20"/>
          <w:szCs w:val="20"/>
        </w:rPr>
      </w:pPr>
    </w:p>
    <w:p w14:paraId="555675BB"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including this Management’s Discussion and Analysis, is reconciled to its most directly comparab</w:t>
      </w:r>
      <w:r>
        <w:rPr>
          <w:rFonts w:ascii="Arial" w:eastAsia="宋体" w:hAnsi="Arial" w:cs="Arial"/>
          <w:sz w:val="20"/>
          <w:szCs w:val="20"/>
        </w:rPr>
        <w:t>le currently applicable regulatory ratio or U.S. GAAP-basis measure. We further believe that our presentation of fully taxable-equivalent NII, a non-GAAP measure, which reports non-taxable revenue, such as interest income associated with tax-exempt investm</w:t>
      </w:r>
      <w:r>
        <w:rPr>
          <w:rFonts w:ascii="Arial" w:eastAsia="宋体" w:hAnsi="Arial" w:cs="Arial"/>
          <w:sz w:val="20"/>
          <w:szCs w:val="20"/>
        </w:rPr>
        <w:t>ent securities, on a fully taxable-equivalent basis, facilitates an investor's understanding and analysis of our underlying financial performance and trends.</w:t>
      </w:r>
    </w:p>
    <w:p w14:paraId="555675B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This Management's Discussion and Analysis contains statements that are considered "forward-looking</w:t>
      </w:r>
      <w:r>
        <w:rPr>
          <w:rFonts w:ascii="Arial" w:eastAsia="宋体" w:hAnsi="Arial" w:cs="Arial"/>
          <w:sz w:val="20"/>
          <w:szCs w:val="20"/>
        </w:rPr>
        <w:t xml:space="preserve"> statements" within the meaning of U.S. securities laws. Forward-looking statements include statements about our goals and expectations regarding our business, financial and capital condition, results of operations, strategies, cost savings and transformat</w:t>
      </w:r>
      <w:r>
        <w:rPr>
          <w:rFonts w:ascii="Arial" w:eastAsia="宋体" w:hAnsi="Arial" w:cs="Arial"/>
          <w:sz w:val="20"/>
          <w:szCs w:val="20"/>
        </w:rPr>
        <w:t>ion initiatives, investment portfolio performance, dividend and stock purchase programs, outcomes of legal proceedings, market growth, acquisitions, joint ventures and divestitures, client growth and new technologies, services and opportunities, as well as</w:t>
      </w:r>
      <w:r>
        <w:rPr>
          <w:rFonts w:ascii="Arial" w:eastAsia="宋体" w:hAnsi="Arial" w:cs="Arial"/>
          <w:sz w:val="20"/>
          <w:szCs w:val="20"/>
        </w:rPr>
        <w:t xml:space="preserve"> industry, governmental, regulatory, economic and market trends, initiatives and developments, the business environment and other matters that do not relate strictly to historical facts. These forward-looking statements involve certain risks and uncertaint</w:t>
      </w:r>
      <w:r>
        <w:rPr>
          <w:rFonts w:ascii="Arial" w:eastAsia="宋体" w:hAnsi="Arial" w:cs="Arial"/>
          <w:sz w:val="20"/>
          <w:szCs w:val="20"/>
        </w:rPr>
        <w:t>ies which could cause actual results to differ materially. We undertake no obligation to revise the forward-looking statements contained in this Management's Discussion and Analysis to reflect events after the time we file this Form 10-K with the SEC. Addi</w:t>
      </w:r>
      <w:r>
        <w:rPr>
          <w:rFonts w:ascii="Arial" w:eastAsia="宋体" w:hAnsi="Arial" w:cs="Arial"/>
          <w:sz w:val="20"/>
          <w:szCs w:val="20"/>
        </w:rPr>
        <w:t>tional information about forward-looking statements and related risks and uncertainties is provided in "Risk Factors" in this Form 10-K.</w:t>
      </w:r>
    </w:p>
    <w:p w14:paraId="555675B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provide additional disclosures required by applicable bank regulatory standards, including supplemental qualitative </w:t>
      </w:r>
      <w:r>
        <w:rPr>
          <w:rFonts w:ascii="Arial" w:eastAsia="宋体" w:hAnsi="Arial" w:cs="Arial"/>
          <w:sz w:val="20"/>
          <w:szCs w:val="20"/>
        </w:rPr>
        <w:t xml:space="preserve">and quantitative information with respect to regulatory capital (including market risk associated with our trading activities) and the liquidity coverage ratio, summary results of State Street-run stress tests which we conduct under the Dodd-Frank Act and </w:t>
      </w:r>
      <w:r>
        <w:rPr>
          <w:rFonts w:ascii="Arial" w:eastAsia="宋体" w:hAnsi="Arial" w:cs="Arial"/>
          <w:sz w:val="20"/>
          <w:szCs w:val="20"/>
        </w:rPr>
        <w:t>resolution plan disclosures required under the Dodd-Frank Act. These additional disclosures are available on the “Investor Relations” section of our website under "Filings and Reports."</w:t>
      </w:r>
    </w:p>
    <w:p w14:paraId="555675B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included our website address in this report as an inactive tex</w:t>
      </w:r>
      <w:r>
        <w:rPr>
          <w:rFonts w:ascii="Arial" w:eastAsia="宋体" w:hAnsi="Arial" w:cs="Arial"/>
          <w:sz w:val="20"/>
          <w:szCs w:val="20"/>
        </w:rPr>
        <w:t>tual reference only. Information on our website is not incorporated by reference in this Form 10-K.</w:t>
      </w:r>
    </w:p>
    <w:p w14:paraId="555675B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acronyms and other defined terms for certain business terms and abbreviations, as defined on the acronyms list and glossary in this Form 10-K.</w:t>
      </w:r>
    </w:p>
    <w:p w14:paraId="555675C0" w14:textId="77777777" w:rsidR="00F925DD" w:rsidRDefault="00F925DD">
      <w:pPr>
        <w:spacing w:line="288" w:lineRule="auto"/>
        <w:ind w:firstLine="600"/>
        <w:rPr>
          <w:rFonts w:ascii="Times New Roman" w:hAnsi="Times New Roman"/>
          <w:sz w:val="20"/>
          <w:szCs w:val="20"/>
        </w:rPr>
      </w:pPr>
    </w:p>
    <w:p w14:paraId="555675C1" w14:textId="77777777" w:rsidR="00F925DD" w:rsidRDefault="00F925DD">
      <w:pPr>
        <w:rPr>
          <w:rFonts w:ascii="Times New Roman" w:hAnsi="Times New Roman"/>
          <w:sz w:val="20"/>
          <w:szCs w:val="20"/>
        </w:rPr>
      </w:pPr>
    </w:p>
    <w:p w14:paraId="555675C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56</w:t>
      </w:r>
    </w:p>
    <w:p w14:paraId="555675C3" w14:textId="77777777" w:rsidR="00F925DD" w:rsidRDefault="00F925DD">
      <w:pPr>
        <w:spacing w:line="288" w:lineRule="auto"/>
        <w:ind w:firstLine="600"/>
        <w:jc w:val="center"/>
        <w:rPr>
          <w:rFonts w:ascii="Times New Roman" w:hAnsi="Times New Roman"/>
          <w:sz w:val="18"/>
          <w:szCs w:val="18"/>
        </w:rPr>
      </w:pPr>
    </w:p>
    <w:p w14:paraId="555675C4" w14:textId="77777777" w:rsidR="00F925DD" w:rsidRDefault="00E705D7">
      <w:r>
        <w:rPr>
          <w:rFonts w:ascii="Times New Roman" w:hAnsi="Times New Roman"/>
          <w:sz w:val="18"/>
          <w:szCs w:val="18"/>
        </w:rPr>
        <w:pict w14:anchorId="55570672">
          <v:rect id="_x0000_i1080" style="width:415.3pt;height:1.5pt" o:hralign="center" o:hrstd="t" o:hr="t" fillcolor="#a0a0a0" stroked="f"/>
        </w:pict>
      </w:r>
    </w:p>
    <w:p w14:paraId="555675C5"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5C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5C7" w14:textId="77777777" w:rsidR="00F925DD" w:rsidRDefault="00F925DD">
      <w:pPr>
        <w:rPr>
          <w:rFonts w:ascii="Times New Roman" w:hAnsi="Times New Roman"/>
          <w:sz w:val="20"/>
          <w:szCs w:val="20"/>
        </w:rPr>
      </w:pPr>
    </w:p>
    <w:p w14:paraId="555675C8"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OVERVIEW OF FINANCIAL RESULTS</w:t>
      </w:r>
    </w:p>
    <w:tbl>
      <w:tblPr>
        <w:tblW w:w="5000" w:type="pct"/>
        <w:tblCellMar>
          <w:left w:w="0" w:type="dxa"/>
          <w:right w:w="0" w:type="dxa"/>
        </w:tblCellMar>
        <w:tblLook w:val="04A0" w:firstRow="1" w:lastRow="0" w:firstColumn="1" w:lastColumn="0" w:noHBand="0" w:noVBand="1"/>
      </w:tblPr>
      <w:tblGrid>
        <w:gridCol w:w="5009"/>
        <w:gridCol w:w="130"/>
        <w:gridCol w:w="690"/>
        <w:gridCol w:w="183"/>
        <w:gridCol w:w="200"/>
        <w:gridCol w:w="6"/>
        <w:gridCol w:w="130"/>
        <w:gridCol w:w="628"/>
        <w:gridCol w:w="183"/>
        <w:gridCol w:w="200"/>
        <w:gridCol w:w="6"/>
        <w:gridCol w:w="130"/>
        <w:gridCol w:w="628"/>
        <w:gridCol w:w="183"/>
      </w:tblGrid>
      <w:tr w:rsidR="00F925DD" w14:paraId="555675CA" w14:textId="77777777">
        <w:tc>
          <w:tcPr>
            <w:tcW w:w="0" w:type="auto"/>
            <w:gridSpan w:val="14"/>
            <w:shd w:val="clear" w:color="auto" w:fill="auto"/>
            <w:vAlign w:val="center"/>
          </w:tcPr>
          <w:p w14:paraId="555675C9" w14:textId="77777777" w:rsidR="00F925DD" w:rsidRDefault="00F925DD">
            <w:pPr>
              <w:rPr>
                <w:rFonts w:ascii="Times New Roman" w:hAnsi="Times New Roman"/>
                <w:sz w:val="20"/>
                <w:szCs w:val="20"/>
              </w:rPr>
            </w:pPr>
          </w:p>
        </w:tc>
      </w:tr>
      <w:tr w:rsidR="00F925DD" w14:paraId="555675D9" w14:textId="77777777">
        <w:tc>
          <w:tcPr>
            <w:tcW w:w="3100" w:type="pct"/>
            <w:shd w:val="clear" w:color="auto" w:fill="auto"/>
            <w:vAlign w:val="center"/>
          </w:tcPr>
          <w:p w14:paraId="555675CB" w14:textId="77777777" w:rsidR="00F925DD" w:rsidRDefault="00F925DD">
            <w:pPr>
              <w:rPr>
                <w:rFonts w:ascii="Times New Roman" w:hAnsi="Times New Roman"/>
                <w:sz w:val="20"/>
                <w:szCs w:val="20"/>
              </w:rPr>
            </w:pPr>
          </w:p>
        </w:tc>
        <w:tc>
          <w:tcPr>
            <w:tcW w:w="50" w:type="pct"/>
            <w:shd w:val="clear" w:color="auto" w:fill="auto"/>
            <w:vAlign w:val="center"/>
          </w:tcPr>
          <w:p w14:paraId="555675CC" w14:textId="77777777" w:rsidR="00F925DD" w:rsidRDefault="00F925DD">
            <w:pPr>
              <w:rPr>
                <w:rFonts w:ascii="Times New Roman" w:hAnsi="Times New Roman"/>
                <w:sz w:val="20"/>
                <w:szCs w:val="20"/>
              </w:rPr>
            </w:pPr>
          </w:p>
        </w:tc>
        <w:tc>
          <w:tcPr>
            <w:tcW w:w="500" w:type="pct"/>
            <w:shd w:val="clear" w:color="auto" w:fill="auto"/>
            <w:vAlign w:val="center"/>
          </w:tcPr>
          <w:p w14:paraId="555675CD" w14:textId="77777777" w:rsidR="00F925DD" w:rsidRDefault="00F925DD">
            <w:pPr>
              <w:rPr>
                <w:rFonts w:ascii="Times New Roman" w:hAnsi="Times New Roman"/>
                <w:sz w:val="20"/>
                <w:szCs w:val="20"/>
              </w:rPr>
            </w:pPr>
          </w:p>
        </w:tc>
        <w:tc>
          <w:tcPr>
            <w:tcW w:w="50" w:type="pct"/>
            <w:shd w:val="clear" w:color="auto" w:fill="auto"/>
            <w:vAlign w:val="center"/>
          </w:tcPr>
          <w:p w14:paraId="555675CE" w14:textId="77777777" w:rsidR="00F925DD" w:rsidRDefault="00F925DD">
            <w:pPr>
              <w:rPr>
                <w:rFonts w:ascii="Times New Roman" w:hAnsi="Times New Roman"/>
                <w:sz w:val="20"/>
                <w:szCs w:val="20"/>
              </w:rPr>
            </w:pPr>
          </w:p>
        </w:tc>
        <w:tc>
          <w:tcPr>
            <w:tcW w:w="0" w:type="pct"/>
            <w:shd w:val="clear" w:color="auto" w:fill="auto"/>
            <w:vAlign w:val="center"/>
          </w:tcPr>
          <w:p w14:paraId="555675CF" w14:textId="77777777" w:rsidR="00F925DD" w:rsidRDefault="00F925DD">
            <w:pPr>
              <w:rPr>
                <w:rFonts w:ascii="Times New Roman" w:hAnsi="Times New Roman"/>
                <w:sz w:val="20"/>
                <w:szCs w:val="20"/>
              </w:rPr>
            </w:pPr>
          </w:p>
        </w:tc>
        <w:tc>
          <w:tcPr>
            <w:tcW w:w="50" w:type="pct"/>
            <w:shd w:val="clear" w:color="auto" w:fill="auto"/>
            <w:vAlign w:val="center"/>
          </w:tcPr>
          <w:p w14:paraId="555675D0" w14:textId="77777777" w:rsidR="00F925DD" w:rsidRDefault="00F925DD">
            <w:pPr>
              <w:rPr>
                <w:rFonts w:ascii="Times New Roman" w:hAnsi="Times New Roman"/>
                <w:sz w:val="20"/>
                <w:szCs w:val="20"/>
              </w:rPr>
            </w:pPr>
          </w:p>
        </w:tc>
        <w:tc>
          <w:tcPr>
            <w:tcW w:w="50" w:type="pct"/>
            <w:shd w:val="clear" w:color="auto" w:fill="auto"/>
            <w:vAlign w:val="center"/>
          </w:tcPr>
          <w:p w14:paraId="555675D1" w14:textId="77777777" w:rsidR="00F925DD" w:rsidRDefault="00F925DD">
            <w:pPr>
              <w:rPr>
                <w:rFonts w:ascii="Times New Roman" w:hAnsi="Times New Roman"/>
                <w:sz w:val="20"/>
                <w:szCs w:val="20"/>
              </w:rPr>
            </w:pPr>
          </w:p>
        </w:tc>
        <w:tc>
          <w:tcPr>
            <w:tcW w:w="500" w:type="pct"/>
            <w:shd w:val="clear" w:color="auto" w:fill="auto"/>
            <w:vAlign w:val="center"/>
          </w:tcPr>
          <w:p w14:paraId="555675D2" w14:textId="77777777" w:rsidR="00F925DD" w:rsidRDefault="00F925DD">
            <w:pPr>
              <w:rPr>
                <w:rFonts w:ascii="Times New Roman" w:hAnsi="Times New Roman"/>
                <w:sz w:val="20"/>
                <w:szCs w:val="20"/>
              </w:rPr>
            </w:pPr>
          </w:p>
        </w:tc>
        <w:tc>
          <w:tcPr>
            <w:tcW w:w="50" w:type="pct"/>
            <w:shd w:val="clear" w:color="auto" w:fill="auto"/>
            <w:vAlign w:val="center"/>
          </w:tcPr>
          <w:p w14:paraId="555675D3" w14:textId="77777777" w:rsidR="00F925DD" w:rsidRDefault="00F925DD">
            <w:pPr>
              <w:rPr>
                <w:rFonts w:ascii="Times New Roman" w:hAnsi="Times New Roman"/>
                <w:sz w:val="20"/>
                <w:szCs w:val="20"/>
              </w:rPr>
            </w:pPr>
          </w:p>
        </w:tc>
        <w:tc>
          <w:tcPr>
            <w:tcW w:w="0" w:type="pct"/>
            <w:shd w:val="clear" w:color="auto" w:fill="auto"/>
            <w:vAlign w:val="center"/>
          </w:tcPr>
          <w:p w14:paraId="555675D4" w14:textId="77777777" w:rsidR="00F925DD" w:rsidRDefault="00F925DD">
            <w:pPr>
              <w:rPr>
                <w:rFonts w:ascii="Times New Roman" w:hAnsi="Times New Roman"/>
                <w:sz w:val="20"/>
                <w:szCs w:val="20"/>
              </w:rPr>
            </w:pPr>
          </w:p>
        </w:tc>
        <w:tc>
          <w:tcPr>
            <w:tcW w:w="50" w:type="pct"/>
            <w:shd w:val="clear" w:color="auto" w:fill="auto"/>
            <w:vAlign w:val="center"/>
          </w:tcPr>
          <w:p w14:paraId="555675D5" w14:textId="77777777" w:rsidR="00F925DD" w:rsidRDefault="00F925DD">
            <w:pPr>
              <w:rPr>
                <w:rFonts w:ascii="Times New Roman" w:hAnsi="Times New Roman"/>
                <w:sz w:val="20"/>
                <w:szCs w:val="20"/>
              </w:rPr>
            </w:pPr>
          </w:p>
        </w:tc>
        <w:tc>
          <w:tcPr>
            <w:tcW w:w="50" w:type="pct"/>
            <w:shd w:val="clear" w:color="auto" w:fill="auto"/>
            <w:vAlign w:val="center"/>
          </w:tcPr>
          <w:p w14:paraId="555675D6" w14:textId="77777777" w:rsidR="00F925DD" w:rsidRDefault="00F925DD">
            <w:pPr>
              <w:rPr>
                <w:rFonts w:ascii="Times New Roman" w:hAnsi="Times New Roman"/>
                <w:sz w:val="20"/>
                <w:szCs w:val="20"/>
              </w:rPr>
            </w:pPr>
          </w:p>
        </w:tc>
        <w:tc>
          <w:tcPr>
            <w:tcW w:w="500" w:type="pct"/>
            <w:shd w:val="clear" w:color="auto" w:fill="auto"/>
            <w:vAlign w:val="center"/>
          </w:tcPr>
          <w:p w14:paraId="555675D7" w14:textId="77777777" w:rsidR="00F925DD" w:rsidRDefault="00F925DD">
            <w:pPr>
              <w:rPr>
                <w:rFonts w:ascii="Times New Roman" w:hAnsi="Times New Roman"/>
                <w:sz w:val="20"/>
                <w:szCs w:val="20"/>
              </w:rPr>
            </w:pPr>
          </w:p>
        </w:tc>
        <w:tc>
          <w:tcPr>
            <w:tcW w:w="50" w:type="pct"/>
            <w:shd w:val="clear" w:color="auto" w:fill="auto"/>
            <w:vAlign w:val="center"/>
          </w:tcPr>
          <w:p w14:paraId="555675D8" w14:textId="77777777" w:rsidR="00F925DD" w:rsidRDefault="00F925DD">
            <w:pPr>
              <w:rPr>
                <w:rFonts w:ascii="Times New Roman" w:hAnsi="Times New Roman"/>
                <w:sz w:val="20"/>
                <w:szCs w:val="20"/>
              </w:rPr>
            </w:pPr>
          </w:p>
        </w:tc>
      </w:tr>
      <w:tr w:rsidR="00F925DD" w14:paraId="555675DB" w14:textId="77777777">
        <w:tc>
          <w:tcPr>
            <w:tcW w:w="0" w:type="auto"/>
            <w:gridSpan w:val="14"/>
            <w:shd w:val="clear" w:color="auto" w:fill="auto"/>
            <w:tcMar>
              <w:top w:w="40" w:type="dxa"/>
              <w:left w:w="40" w:type="dxa"/>
              <w:bottom w:w="40" w:type="dxa"/>
              <w:right w:w="40" w:type="dxa"/>
            </w:tcMar>
            <w:vAlign w:val="bottom"/>
          </w:tcPr>
          <w:p w14:paraId="555675DA"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TABLE 1: OVERVIEW OF FINANCIAL RESULTS</w:t>
            </w:r>
          </w:p>
        </w:tc>
      </w:tr>
      <w:tr w:rsidR="00F925DD" w14:paraId="555675DE" w14:textId="77777777">
        <w:tc>
          <w:tcPr>
            <w:tcW w:w="0" w:type="auto"/>
            <w:shd w:val="clear" w:color="auto" w:fill="auto"/>
            <w:tcMar>
              <w:top w:w="40" w:type="dxa"/>
              <w:left w:w="40" w:type="dxa"/>
              <w:bottom w:w="40" w:type="dxa"/>
              <w:right w:w="40" w:type="dxa"/>
            </w:tcMar>
            <w:vAlign w:val="bottom"/>
          </w:tcPr>
          <w:p w14:paraId="555675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55675D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Years Ended December 31,</w:t>
            </w:r>
          </w:p>
        </w:tc>
      </w:tr>
      <w:tr w:rsidR="00F925DD" w14:paraId="555675E5" w14:textId="77777777">
        <w:tc>
          <w:tcPr>
            <w:tcW w:w="0" w:type="auto"/>
            <w:shd w:val="clear" w:color="auto" w:fill="auto"/>
            <w:tcMar>
              <w:top w:w="40" w:type="dxa"/>
              <w:left w:w="40" w:type="dxa"/>
              <w:bottom w:w="40" w:type="dxa"/>
              <w:right w:w="40" w:type="dxa"/>
            </w:tcMar>
            <w:vAlign w:val="bottom"/>
          </w:tcPr>
          <w:p w14:paraId="555675D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 xml:space="preserve">(Dollars in </w:t>
            </w:r>
            <w:r>
              <w:rPr>
                <w:rFonts w:ascii="Arial" w:eastAsia="宋体" w:hAnsi="Arial" w:cs="Arial"/>
                <w:b/>
                <w:bCs/>
                <w:sz w:val="16"/>
                <w:szCs w:val="16"/>
              </w:rPr>
              <w:t>millions, except per share amounts)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5E0"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gridSpan w:val="2"/>
            <w:shd w:val="clear" w:color="auto" w:fill="auto"/>
            <w:tcMar>
              <w:top w:w="40" w:type="dxa"/>
              <w:left w:w="40" w:type="dxa"/>
              <w:bottom w:w="40" w:type="dxa"/>
              <w:right w:w="40" w:type="dxa"/>
            </w:tcMar>
            <w:vAlign w:val="bottom"/>
          </w:tcPr>
          <w:p w14:paraId="555675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5E2"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gridSpan w:val="2"/>
            <w:shd w:val="clear" w:color="auto" w:fill="auto"/>
            <w:tcMar>
              <w:top w:w="40" w:type="dxa"/>
              <w:left w:w="40" w:type="dxa"/>
              <w:bottom w:w="40" w:type="dxa"/>
              <w:right w:w="40" w:type="dxa"/>
            </w:tcMar>
            <w:vAlign w:val="bottom"/>
          </w:tcPr>
          <w:p w14:paraId="555675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75E4"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r>
      <w:tr w:rsidR="00F925DD" w14:paraId="555675F2" w14:textId="77777777">
        <w:tc>
          <w:tcPr>
            <w:tcW w:w="0" w:type="auto"/>
            <w:shd w:val="clear" w:color="auto" w:fill="CCEEFF"/>
            <w:tcMar>
              <w:top w:w="40" w:type="dxa"/>
              <w:left w:w="40" w:type="dxa"/>
              <w:bottom w:w="40" w:type="dxa"/>
              <w:right w:w="40" w:type="dxa"/>
            </w:tcMar>
            <w:vAlign w:val="bottom"/>
          </w:tcPr>
          <w:p w14:paraId="555675E6"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fee revenue</w:t>
            </w:r>
            <w:r>
              <w:rPr>
                <w:rFonts w:ascii="Arial" w:eastAsia="宋体" w:hAnsi="Arial" w:cs="Arial"/>
                <w:sz w:val="10"/>
                <w:szCs w:val="10"/>
              </w:rPr>
              <w:t>(1)(2)</w:t>
            </w:r>
          </w:p>
        </w:tc>
        <w:tc>
          <w:tcPr>
            <w:tcW w:w="0" w:type="auto"/>
            <w:tcBorders>
              <w:top w:val="single" w:sz="8" w:space="0" w:color="000000"/>
            </w:tcBorders>
            <w:shd w:val="clear" w:color="auto" w:fill="CCEEFF"/>
            <w:tcMar>
              <w:top w:w="40" w:type="dxa"/>
              <w:left w:w="40" w:type="dxa"/>
              <w:bottom w:w="40" w:type="dxa"/>
            </w:tcMar>
            <w:vAlign w:val="bottom"/>
          </w:tcPr>
          <w:p w14:paraId="555675E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75E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9,147</w:t>
            </w:r>
          </w:p>
        </w:tc>
        <w:tc>
          <w:tcPr>
            <w:tcW w:w="0" w:type="auto"/>
            <w:tcBorders>
              <w:top w:val="single" w:sz="8" w:space="0" w:color="000000"/>
            </w:tcBorders>
            <w:shd w:val="clear" w:color="auto" w:fill="CCEEFF"/>
            <w:vAlign w:val="bottom"/>
          </w:tcPr>
          <w:p w14:paraId="555675E9"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5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5E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75E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9,454</w:t>
            </w:r>
          </w:p>
        </w:tc>
        <w:tc>
          <w:tcPr>
            <w:tcW w:w="0" w:type="auto"/>
            <w:tcBorders>
              <w:top w:val="single" w:sz="8" w:space="0" w:color="000000"/>
            </w:tcBorders>
            <w:shd w:val="clear" w:color="auto" w:fill="CCEEFF"/>
            <w:vAlign w:val="bottom"/>
          </w:tcPr>
          <w:p w14:paraId="555675E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5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5E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75F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9,001</w:t>
            </w:r>
          </w:p>
        </w:tc>
        <w:tc>
          <w:tcPr>
            <w:tcW w:w="0" w:type="auto"/>
            <w:tcBorders>
              <w:top w:val="single" w:sz="8" w:space="0" w:color="000000"/>
            </w:tcBorders>
            <w:shd w:val="clear" w:color="auto" w:fill="CCEEFF"/>
            <w:vAlign w:val="bottom"/>
          </w:tcPr>
          <w:p w14:paraId="555675F1" w14:textId="77777777" w:rsidR="00F925DD" w:rsidRDefault="00F925DD">
            <w:pPr>
              <w:textAlignment w:val="bottom"/>
              <w:rPr>
                <w:rFonts w:ascii="Times New Roman" w:hAnsi="Times New Roman"/>
                <w:sz w:val="20"/>
                <w:szCs w:val="20"/>
              </w:rPr>
            </w:pPr>
          </w:p>
        </w:tc>
      </w:tr>
      <w:tr w:rsidR="00F925DD" w14:paraId="555675FC" w14:textId="77777777">
        <w:tc>
          <w:tcPr>
            <w:tcW w:w="0" w:type="auto"/>
            <w:shd w:val="clear" w:color="auto" w:fill="auto"/>
            <w:tcMar>
              <w:top w:w="40" w:type="dxa"/>
              <w:left w:w="40" w:type="dxa"/>
              <w:bottom w:w="40" w:type="dxa"/>
              <w:right w:w="40" w:type="dxa"/>
            </w:tcMar>
            <w:vAlign w:val="bottom"/>
          </w:tcPr>
          <w:p w14:paraId="555675F3"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interest income</w:t>
            </w:r>
          </w:p>
        </w:tc>
        <w:tc>
          <w:tcPr>
            <w:tcW w:w="0" w:type="auto"/>
            <w:gridSpan w:val="2"/>
            <w:shd w:val="clear" w:color="auto" w:fill="auto"/>
            <w:tcMar>
              <w:top w:w="40" w:type="dxa"/>
              <w:left w:w="40" w:type="dxa"/>
              <w:bottom w:w="40" w:type="dxa"/>
            </w:tcMar>
            <w:vAlign w:val="bottom"/>
          </w:tcPr>
          <w:p w14:paraId="555675F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2,566</w:t>
            </w:r>
          </w:p>
        </w:tc>
        <w:tc>
          <w:tcPr>
            <w:tcW w:w="0" w:type="auto"/>
            <w:shd w:val="clear" w:color="auto" w:fill="auto"/>
            <w:vAlign w:val="bottom"/>
          </w:tcPr>
          <w:p w14:paraId="555675F5"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5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F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2,671</w:t>
            </w:r>
          </w:p>
        </w:tc>
        <w:tc>
          <w:tcPr>
            <w:tcW w:w="0" w:type="auto"/>
            <w:shd w:val="clear" w:color="auto" w:fill="auto"/>
            <w:vAlign w:val="bottom"/>
          </w:tcPr>
          <w:p w14:paraId="555675F8"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5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5F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2,304</w:t>
            </w:r>
          </w:p>
        </w:tc>
        <w:tc>
          <w:tcPr>
            <w:tcW w:w="0" w:type="auto"/>
            <w:shd w:val="clear" w:color="auto" w:fill="auto"/>
            <w:vAlign w:val="bottom"/>
          </w:tcPr>
          <w:p w14:paraId="555675FB" w14:textId="77777777" w:rsidR="00F925DD" w:rsidRDefault="00F925DD">
            <w:pPr>
              <w:textAlignment w:val="bottom"/>
              <w:rPr>
                <w:rFonts w:ascii="Times New Roman" w:hAnsi="Times New Roman"/>
                <w:sz w:val="20"/>
                <w:szCs w:val="20"/>
              </w:rPr>
            </w:pPr>
          </w:p>
        </w:tc>
      </w:tr>
      <w:tr w:rsidR="00F925DD" w14:paraId="55567608" w14:textId="77777777">
        <w:tc>
          <w:tcPr>
            <w:tcW w:w="0" w:type="auto"/>
            <w:shd w:val="clear" w:color="auto" w:fill="CCEEFF"/>
            <w:tcMar>
              <w:top w:w="40" w:type="dxa"/>
              <w:left w:w="40" w:type="dxa"/>
              <w:bottom w:w="40" w:type="dxa"/>
              <w:right w:w="40" w:type="dxa"/>
            </w:tcMar>
            <w:vAlign w:val="bottom"/>
          </w:tcPr>
          <w:p w14:paraId="555675FD"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other income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5F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43</w:t>
            </w:r>
          </w:p>
        </w:tc>
        <w:tc>
          <w:tcPr>
            <w:tcW w:w="0" w:type="auto"/>
            <w:tcBorders>
              <w:bottom w:val="single" w:sz="8" w:space="0" w:color="000000"/>
            </w:tcBorders>
            <w:shd w:val="clear" w:color="auto" w:fill="CCEEFF"/>
            <w:vAlign w:val="bottom"/>
          </w:tcPr>
          <w:p w14:paraId="555675F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5556760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7601" w14:textId="77777777" w:rsidR="00F925DD" w:rsidRDefault="00F925DD">
            <w:pPr>
              <w:textAlignment w:val="bottom"/>
              <w:rPr>
                <w:rFonts w:ascii="Times New Roman" w:hAnsi="Times New Roman"/>
                <w:sz w:val="20"/>
                <w:szCs w:val="20"/>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760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w:t>
            </w:r>
          </w:p>
        </w:tc>
        <w:tc>
          <w:tcPr>
            <w:tcW w:w="0" w:type="auto"/>
            <w:tcBorders>
              <w:bottom w:val="single" w:sz="8" w:space="0" w:color="000000"/>
            </w:tcBorders>
            <w:shd w:val="clear" w:color="auto" w:fill="CCEEFF"/>
            <w:vAlign w:val="bottom"/>
          </w:tcPr>
          <w:p w14:paraId="5556760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5556760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7605" w14:textId="77777777" w:rsidR="00F925DD" w:rsidRDefault="00F925DD">
            <w:pPr>
              <w:textAlignment w:val="bottom"/>
              <w:rPr>
                <w:rFonts w:ascii="Times New Roman" w:hAnsi="Times New Roman"/>
                <w:sz w:val="20"/>
                <w:szCs w:val="20"/>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760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(39</w:t>
            </w:r>
          </w:p>
        </w:tc>
        <w:tc>
          <w:tcPr>
            <w:tcW w:w="0" w:type="auto"/>
            <w:tcBorders>
              <w:bottom w:val="single" w:sz="8" w:space="0" w:color="000000"/>
            </w:tcBorders>
            <w:shd w:val="clear" w:color="auto" w:fill="CCEEFF"/>
            <w:tcMar>
              <w:top w:w="40" w:type="dxa"/>
              <w:bottom w:w="40" w:type="dxa"/>
              <w:right w:w="40" w:type="dxa"/>
            </w:tcMar>
            <w:vAlign w:val="bottom"/>
          </w:tcPr>
          <w:p w14:paraId="5556760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7612" w14:textId="77777777">
        <w:tc>
          <w:tcPr>
            <w:tcW w:w="0" w:type="auto"/>
            <w:shd w:val="clear" w:color="auto" w:fill="auto"/>
            <w:tcMar>
              <w:top w:w="40" w:type="dxa"/>
              <w:left w:w="40" w:type="dxa"/>
              <w:bottom w:w="40" w:type="dxa"/>
              <w:right w:w="40" w:type="dxa"/>
            </w:tcMar>
            <w:vAlign w:val="bottom"/>
          </w:tcPr>
          <w:p w14:paraId="55567609"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revenue</w:t>
            </w:r>
            <w:r>
              <w:rPr>
                <w:rFonts w:ascii="Arial" w:eastAsia="宋体" w:hAnsi="Arial" w:cs="Arial"/>
                <w:sz w:val="10"/>
                <w:szCs w:val="10"/>
              </w:rPr>
              <w:t>(1)(2)</w:t>
            </w:r>
          </w:p>
        </w:tc>
        <w:tc>
          <w:tcPr>
            <w:tcW w:w="0" w:type="auto"/>
            <w:gridSpan w:val="2"/>
            <w:shd w:val="clear" w:color="auto" w:fill="auto"/>
            <w:tcMar>
              <w:top w:w="40" w:type="dxa"/>
              <w:left w:w="40" w:type="dxa"/>
              <w:bottom w:w="40" w:type="dxa"/>
            </w:tcMar>
            <w:vAlign w:val="bottom"/>
          </w:tcPr>
          <w:p w14:paraId="5556760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11,756</w:t>
            </w:r>
          </w:p>
        </w:tc>
        <w:tc>
          <w:tcPr>
            <w:tcW w:w="0" w:type="auto"/>
            <w:shd w:val="clear" w:color="auto" w:fill="auto"/>
            <w:vAlign w:val="bottom"/>
          </w:tcPr>
          <w:p w14:paraId="5556760B"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60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12,131</w:t>
            </w:r>
          </w:p>
        </w:tc>
        <w:tc>
          <w:tcPr>
            <w:tcW w:w="0" w:type="auto"/>
            <w:shd w:val="clear" w:color="auto" w:fill="auto"/>
            <w:vAlign w:val="bottom"/>
          </w:tcPr>
          <w:p w14:paraId="5556760E"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761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11,266</w:t>
            </w:r>
          </w:p>
        </w:tc>
        <w:tc>
          <w:tcPr>
            <w:tcW w:w="0" w:type="auto"/>
            <w:tcBorders>
              <w:top w:val="single" w:sz="8" w:space="0" w:color="000000"/>
            </w:tcBorders>
            <w:shd w:val="clear" w:color="auto" w:fill="auto"/>
            <w:vAlign w:val="bottom"/>
          </w:tcPr>
          <w:p w14:paraId="55567611" w14:textId="77777777" w:rsidR="00F925DD" w:rsidRDefault="00F925DD">
            <w:pPr>
              <w:textAlignment w:val="bottom"/>
              <w:rPr>
                <w:rFonts w:ascii="Times New Roman" w:hAnsi="Times New Roman"/>
                <w:sz w:val="20"/>
                <w:szCs w:val="20"/>
              </w:rPr>
            </w:pPr>
          </w:p>
        </w:tc>
      </w:tr>
      <w:tr w:rsidR="00F925DD" w14:paraId="5556761C" w14:textId="77777777">
        <w:tc>
          <w:tcPr>
            <w:tcW w:w="0" w:type="auto"/>
            <w:shd w:val="clear" w:color="auto" w:fill="CCEEFF"/>
            <w:tcMar>
              <w:top w:w="40" w:type="dxa"/>
              <w:left w:w="40" w:type="dxa"/>
              <w:bottom w:w="40" w:type="dxa"/>
              <w:right w:w="40" w:type="dxa"/>
            </w:tcMar>
            <w:vAlign w:val="bottom"/>
          </w:tcPr>
          <w:p w14:paraId="55567613" w14:textId="77777777" w:rsidR="00F925DD" w:rsidRDefault="00E705D7">
            <w:pPr>
              <w:textAlignment w:val="bottom"/>
              <w:rPr>
                <w:rFonts w:ascii="Times New Roman" w:hAnsi="Times New Roman"/>
                <w:sz w:val="16"/>
                <w:szCs w:val="16"/>
              </w:rPr>
            </w:pPr>
            <w:r>
              <w:rPr>
                <w:rFonts w:ascii="Arial" w:eastAsia="宋体" w:hAnsi="Arial" w:cs="Arial"/>
                <w:sz w:val="16"/>
                <w:szCs w:val="16"/>
              </w:rPr>
              <w:t>Provision for loan losses</w:t>
            </w:r>
          </w:p>
        </w:tc>
        <w:tc>
          <w:tcPr>
            <w:tcW w:w="0" w:type="auto"/>
            <w:gridSpan w:val="2"/>
            <w:shd w:val="clear" w:color="auto" w:fill="CCEEFF"/>
            <w:tcMar>
              <w:top w:w="40" w:type="dxa"/>
              <w:left w:w="40" w:type="dxa"/>
              <w:bottom w:w="40" w:type="dxa"/>
            </w:tcMar>
            <w:vAlign w:val="bottom"/>
          </w:tcPr>
          <w:p w14:paraId="5556761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10</w:t>
            </w:r>
          </w:p>
        </w:tc>
        <w:tc>
          <w:tcPr>
            <w:tcW w:w="0" w:type="auto"/>
            <w:shd w:val="clear" w:color="auto" w:fill="CCEEFF"/>
            <w:vAlign w:val="bottom"/>
          </w:tcPr>
          <w:p w14:paraId="55567615"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61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CCEEFF"/>
            <w:vAlign w:val="bottom"/>
          </w:tcPr>
          <w:p w14:paraId="55567618"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61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CCEEFF"/>
            <w:vAlign w:val="bottom"/>
          </w:tcPr>
          <w:p w14:paraId="5556761B" w14:textId="77777777" w:rsidR="00F925DD" w:rsidRDefault="00F925DD">
            <w:pPr>
              <w:textAlignment w:val="bottom"/>
              <w:rPr>
                <w:rFonts w:ascii="Times New Roman" w:hAnsi="Times New Roman"/>
                <w:sz w:val="20"/>
                <w:szCs w:val="20"/>
              </w:rPr>
            </w:pPr>
          </w:p>
        </w:tc>
      </w:tr>
      <w:tr w:rsidR="00F925DD" w14:paraId="55567626" w14:textId="77777777">
        <w:tc>
          <w:tcPr>
            <w:tcW w:w="0" w:type="auto"/>
            <w:shd w:val="clear" w:color="auto" w:fill="auto"/>
            <w:tcMar>
              <w:top w:w="40" w:type="dxa"/>
              <w:left w:w="40" w:type="dxa"/>
              <w:bottom w:w="40" w:type="dxa"/>
              <w:right w:w="40" w:type="dxa"/>
            </w:tcMar>
            <w:vAlign w:val="bottom"/>
          </w:tcPr>
          <w:p w14:paraId="5556761D"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expenses</w:t>
            </w:r>
            <w:r>
              <w:rPr>
                <w:rFonts w:ascii="Arial" w:eastAsia="宋体" w:hAnsi="Arial" w:cs="Arial"/>
                <w:sz w:val="10"/>
                <w:szCs w:val="10"/>
              </w:rPr>
              <w:t>(1)(2)</w:t>
            </w:r>
          </w:p>
        </w:tc>
        <w:tc>
          <w:tcPr>
            <w:tcW w:w="0" w:type="auto"/>
            <w:gridSpan w:val="2"/>
            <w:tcBorders>
              <w:bottom w:val="single" w:sz="8" w:space="0" w:color="000000"/>
            </w:tcBorders>
            <w:shd w:val="clear" w:color="auto" w:fill="auto"/>
            <w:tcMar>
              <w:top w:w="40" w:type="dxa"/>
              <w:left w:w="40" w:type="dxa"/>
              <w:bottom w:w="40" w:type="dxa"/>
            </w:tcMar>
            <w:vAlign w:val="bottom"/>
          </w:tcPr>
          <w:p w14:paraId="5556761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9,034</w:t>
            </w:r>
          </w:p>
        </w:tc>
        <w:tc>
          <w:tcPr>
            <w:tcW w:w="0" w:type="auto"/>
            <w:tcBorders>
              <w:bottom w:val="single" w:sz="8" w:space="0" w:color="000000"/>
            </w:tcBorders>
            <w:shd w:val="clear" w:color="auto" w:fill="auto"/>
            <w:vAlign w:val="bottom"/>
          </w:tcPr>
          <w:p w14:paraId="5556761F"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62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9,015</w:t>
            </w:r>
          </w:p>
        </w:tc>
        <w:tc>
          <w:tcPr>
            <w:tcW w:w="0" w:type="auto"/>
            <w:tcBorders>
              <w:bottom w:val="single" w:sz="8" w:space="0" w:color="000000"/>
            </w:tcBorders>
            <w:shd w:val="clear" w:color="auto" w:fill="auto"/>
            <w:vAlign w:val="bottom"/>
          </w:tcPr>
          <w:p w14:paraId="55567622"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62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8,269</w:t>
            </w:r>
          </w:p>
        </w:tc>
        <w:tc>
          <w:tcPr>
            <w:tcW w:w="0" w:type="auto"/>
            <w:tcBorders>
              <w:bottom w:val="single" w:sz="8" w:space="0" w:color="000000"/>
            </w:tcBorders>
            <w:shd w:val="clear" w:color="auto" w:fill="auto"/>
            <w:vAlign w:val="bottom"/>
          </w:tcPr>
          <w:p w14:paraId="55567625" w14:textId="77777777" w:rsidR="00F925DD" w:rsidRDefault="00F925DD">
            <w:pPr>
              <w:textAlignment w:val="bottom"/>
              <w:rPr>
                <w:rFonts w:ascii="Times New Roman" w:hAnsi="Times New Roman"/>
                <w:sz w:val="20"/>
                <w:szCs w:val="20"/>
              </w:rPr>
            </w:pPr>
          </w:p>
        </w:tc>
      </w:tr>
      <w:tr w:rsidR="00F925DD" w14:paraId="55567630" w14:textId="77777777">
        <w:tc>
          <w:tcPr>
            <w:tcW w:w="0" w:type="auto"/>
            <w:shd w:val="clear" w:color="auto" w:fill="CCEEFF"/>
            <w:tcMar>
              <w:top w:w="40" w:type="dxa"/>
              <w:left w:w="40" w:type="dxa"/>
              <w:bottom w:w="40" w:type="dxa"/>
              <w:right w:w="40" w:type="dxa"/>
            </w:tcMar>
            <w:vAlign w:val="bottom"/>
          </w:tcPr>
          <w:p w14:paraId="55567627" w14:textId="77777777" w:rsidR="00F925DD" w:rsidRDefault="00E705D7">
            <w:pPr>
              <w:textAlignment w:val="bottom"/>
              <w:rPr>
                <w:rFonts w:ascii="Times New Roman" w:hAnsi="Times New Roman"/>
                <w:sz w:val="16"/>
                <w:szCs w:val="16"/>
              </w:rPr>
            </w:pPr>
            <w:r>
              <w:rPr>
                <w:rFonts w:ascii="Arial" w:eastAsia="宋体" w:hAnsi="Arial" w:cs="Arial"/>
                <w:sz w:val="16"/>
                <w:szCs w:val="16"/>
              </w:rPr>
              <w:t>Income before income tax expense</w:t>
            </w:r>
          </w:p>
        </w:tc>
        <w:tc>
          <w:tcPr>
            <w:tcW w:w="0" w:type="auto"/>
            <w:gridSpan w:val="2"/>
            <w:shd w:val="clear" w:color="auto" w:fill="CCEEFF"/>
            <w:tcMar>
              <w:top w:w="40" w:type="dxa"/>
              <w:left w:w="40" w:type="dxa"/>
              <w:bottom w:w="40" w:type="dxa"/>
            </w:tcMar>
            <w:vAlign w:val="bottom"/>
          </w:tcPr>
          <w:p w14:paraId="5556762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2,712</w:t>
            </w:r>
          </w:p>
        </w:tc>
        <w:tc>
          <w:tcPr>
            <w:tcW w:w="0" w:type="auto"/>
            <w:shd w:val="clear" w:color="auto" w:fill="CCEEFF"/>
            <w:vAlign w:val="bottom"/>
          </w:tcPr>
          <w:p w14:paraId="55567629"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62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3,101</w:t>
            </w:r>
          </w:p>
        </w:tc>
        <w:tc>
          <w:tcPr>
            <w:tcW w:w="0" w:type="auto"/>
            <w:shd w:val="clear" w:color="auto" w:fill="CCEEFF"/>
            <w:vAlign w:val="bottom"/>
          </w:tcPr>
          <w:p w14:paraId="5556762C"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62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2,995</w:t>
            </w:r>
          </w:p>
        </w:tc>
        <w:tc>
          <w:tcPr>
            <w:tcW w:w="0" w:type="auto"/>
            <w:shd w:val="clear" w:color="auto" w:fill="CCEEFF"/>
            <w:vAlign w:val="bottom"/>
          </w:tcPr>
          <w:p w14:paraId="5556762F" w14:textId="77777777" w:rsidR="00F925DD" w:rsidRDefault="00F925DD">
            <w:pPr>
              <w:textAlignment w:val="bottom"/>
              <w:rPr>
                <w:rFonts w:ascii="Times New Roman" w:hAnsi="Times New Roman"/>
                <w:sz w:val="20"/>
                <w:szCs w:val="20"/>
              </w:rPr>
            </w:pPr>
          </w:p>
        </w:tc>
      </w:tr>
      <w:tr w:rsidR="00F925DD" w14:paraId="5556763A" w14:textId="77777777">
        <w:tc>
          <w:tcPr>
            <w:tcW w:w="0" w:type="auto"/>
            <w:shd w:val="clear" w:color="auto" w:fill="auto"/>
            <w:tcMar>
              <w:top w:w="40" w:type="dxa"/>
              <w:left w:w="40" w:type="dxa"/>
              <w:bottom w:w="40" w:type="dxa"/>
              <w:right w:w="40" w:type="dxa"/>
            </w:tcMar>
            <w:vAlign w:val="bottom"/>
          </w:tcPr>
          <w:p w14:paraId="55567631"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Income tax expense </w:t>
            </w:r>
          </w:p>
        </w:tc>
        <w:tc>
          <w:tcPr>
            <w:tcW w:w="0" w:type="auto"/>
            <w:gridSpan w:val="2"/>
            <w:shd w:val="clear" w:color="auto" w:fill="auto"/>
            <w:tcMar>
              <w:top w:w="40" w:type="dxa"/>
              <w:left w:w="40" w:type="dxa"/>
              <w:bottom w:w="40" w:type="dxa"/>
            </w:tcMar>
            <w:vAlign w:val="bottom"/>
          </w:tcPr>
          <w:p w14:paraId="5556763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470</w:t>
            </w:r>
          </w:p>
        </w:tc>
        <w:tc>
          <w:tcPr>
            <w:tcW w:w="0" w:type="auto"/>
            <w:shd w:val="clear" w:color="auto" w:fill="auto"/>
            <w:vAlign w:val="bottom"/>
          </w:tcPr>
          <w:p w14:paraId="5556763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63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508</w:t>
            </w:r>
          </w:p>
        </w:tc>
        <w:tc>
          <w:tcPr>
            <w:tcW w:w="0" w:type="auto"/>
            <w:shd w:val="clear" w:color="auto" w:fill="auto"/>
            <w:vAlign w:val="bottom"/>
          </w:tcPr>
          <w:p w14:paraId="55567636"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63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839</w:t>
            </w:r>
          </w:p>
        </w:tc>
        <w:tc>
          <w:tcPr>
            <w:tcW w:w="0" w:type="auto"/>
            <w:shd w:val="clear" w:color="auto" w:fill="auto"/>
            <w:vAlign w:val="bottom"/>
          </w:tcPr>
          <w:p w14:paraId="55567639" w14:textId="77777777" w:rsidR="00F925DD" w:rsidRDefault="00F925DD">
            <w:pPr>
              <w:textAlignment w:val="bottom"/>
              <w:rPr>
                <w:rFonts w:ascii="Times New Roman" w:hAnsi="Times New Roman"/>
                <w:sz w:val="20"/>
                <w:szCs w:val="20"/>
              </w:rPr>
            </w:pPr>
          </w:p>
        </w:tc>
      </w:tr>
      <w:tr w:rsidR="00F925DD" w14:paraId="55567647" w14:textId="77777777">
        <w:tc>
          <w:tcPr>
            <w:tcW w:w="0" w:type="auto"/>
            <w:shd w:val="clear" w:color="auto" w:fill="CCEEFF"/>
            <w:tcMar>
              <w:top w:w="40" w:type="dxa"/>
              <w:left w:w="40" w:type="dxa"/>
              <w:bottom w:w="40" w:type="dxa"/>
              <w:right w:w="40" w:type="dxa"/>
            </w:tcMar>
            <w:vAlign w:val="bottom"/>
          </w:tcPr>
          <w:p w14:paraId="5556763B"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63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63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2,242</w:t>
            </w:r>
          </w:p>
        </w:tc>
        <w:tc>
          <w:tcPr>
            <w:tcW w:w="0" w:type="auto"/>
            <w:tcBorders>
              <w:top w:val="single" w:sz="8" w:space="0" w:color="000000"/>
              <w:bottom w:val="double" w:sz="6" w:space="0" w:color="000000"/>
            </w:tcBorders>
            <w:shd w:val="clear" w:color="auto" w:fill="CCEEFF"/>
            <w:vAlign w:val="bottom"/>
          </w:tcPr>
          <w:p w14:paraId="5556763E"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3F" w14:textId="77777777" w:rsidR="00F925DD" w:rsidRDefault="00F925DD">
            <w:pPr>
              <w:textAlignment w:val="bottom"/>
              <w:rPr>
                <w:rFonts w:ascii="Times New Roman" w:hAnsi="Times New Roman"/>
                <w:sz w:val="16"/>
                <w:szCs w:val="16"/>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640"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64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2,593</w:t>
            </w:r>
          </w:p>
        </w:tc>
        <w:tc>
          <w:tcPr>
            <w:tcW w:w="0" w:type="auto"/>
            <w:tcBorders>
              <w:top w:val="single" w:sz="8" w:space="0" w:color="000000"/>
              <w:bottom w:val="double" w:sz="6" w:space="0" w:color="000000"/>
            </w:tcBorders>
            <w:shd w:val="clear" w:color="auto" w:fill="CCEEFF"/>
            <w:vAlign w:val="bottom"/>
          </w:tcPr>
          <w:p w14:paraId="55567642"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64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64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2,156</w:t>
            </w:r>
          </w:p>
        </w:tc>
        <w:tc>
          <w:tcPr>
            <w:tcW w:w="0" w:type="auto"/>
            <w:tcBorders>
              <w:top w:val="single" w:sz="8" w:space="0" w:color="000000"/>
              <w:bottom w:val="double" w:sz="6" w:space="0" w:color="000000"/>
            </w:tcBorders>
            <w:shd w:val="clear" w:color="auto" w:fill="CCEEFF"/>
            <w:vAlign w:val="bottom"/>
          </w:tcPr>
          <w:p w14:paraId="55567646" w14:textId="77777777" w:rsidR="00F925DD" w:rsidRDefault="00F925DD">
            <w:pPr>
              <w:textAlignment w:val="bottom"/>
              <w:rPr>
                <w:rFonts w:ascii="Times New Roman" w:hAnsi="Times New Roman"/>
                <w:sz w:val="20"/>
                <w:szCs w:val="20"/>
              </w:rPr>
            </w:pPr>
          </w:p>
        </w:tc>
      </w:tr>
      <w:tr w:rsidR="00F925DD" w14:paraId="5556764E" w14:textId="77777777">
        <w:tc>
          <w:tcPr>
            <w:tcW w:w="0" w:type="auto"/>
            <w:shd w:val="clear" w:color="auto" w:fill="auto"/>
            <w:tcMar>
              <w:top w:w="40" w:type="dxa"/>
              <w:left w:w="40" w:type="dxa"/>
              <w:bottom w:w="40" w:type="dxa"/>
              <w:right w:w="40" w:type="dxa"/>
            </w:tcMar>
            <w:vAlign w:val="bottom"/>
          </w:tcPr>
          <w:p w14:paraId="55567648"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Adjustments to net </w:t>
            </w:r>
            <w:r>
              <w:rPr>
                <w:rFonts w:ascii="Arial" w:eastAsia="宋体" w:hAnsi="Arial" w:cs="Arial"/>
                <w:sz w:val="16"/>
                <w:szCs w:val="16"/>
              </w:rPr>
              <w:t>income:</w:t>
            </w:r>
          </w:p>
        </w:tc>
        <w:tc>
          <w:tcPr>
            <w:tcW w:w="0" w:type="auto"/>
            <w:gridSpan w:val="3"/>
            <w:shd w:val="clear" w:color="auto" w:fill="auto"/>
            <w:tcMar>
              <w:top w:w="40" w:type="dxa"/>
              <w:left w:w="40" w:type="dxa"/>
              <w:bottom w:w="40" w:type="dxa"/>
              <w:right w:w="40" w:type="dxa"/>
            </w:tcMar>
            <w:vAlign w:val="bottom"/>
          </w:tcPr>
          <w:p w14:paraId="55567649" w14:textId="77777777" w:rsidR="00F925DD" w:rsidRDefault="00F925DD">
            <w:pPr>
              <w:textAlignment w:val="bottom"/>
              <w:rPr>
                <w:rFonts w:ascii="Times New Roman" w:hAnsi="Times New Roman"/>
                <w:sz w:val="16"/>
                <w:szCs w:val="16"/>
              </w:rPr>
            </w:pPr>
          </w:p>
        </w:tc>
        <w:tc>
          <w:tcPr>
            <w:tcW w:w="0" w:type="auto"/>
            <w:gridSpan w:val="2"/>
            <w:shd w:val="clear" w:color="auto" w:fill="auto"/>
            <w:tcMar>
              <w:top w:w="40" w:type="dxa"/>
              <w:left w:w="40" w:type="dxa"/>
              <w:bottom w:w="40" w:type="dxa"/>
              <w:right w:w="40" w:type="dxa"/>
            </w:tcMar>
            <w:vAlign w:val="bottom"/>
          </w:tcPr>
          <w:p w14:paraId="555676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6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6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6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65B" w14:textId="77777777">
        <w:tc>
          <w:tcPr>
            <w:tcW w:w="0" w:type="auto"/>
            <w:shd w:val="clear" w:color="auto" w:fill="CCEEFF"/>
            <w:tcMar>
              <w:top w:w="40" w:type="dxa"/>
              <w:left w:w="400" w:type="dxa"/>
              <w:bottom w:w="40" w:type="dxa"/>
              <w:right w:w="40" w:type="dxa"/>
            </w:tcMar>
            <w:vAlign w:val="bottom"/>
          </w:tcPr>
          <w:p w14:paraId="5556764F" w14:textId="77777777" w:rsidR="00F925DD" w:rsidRDefault="00E705D7">
            <w:pPr>
              <w:textAlignment w:val="bottom"/>
              <w:rPr>
                <w:rFonts w:ascii="Times New Roman" w:hAnsi="Times New Roman"/>
                <w:sz w:val="16"/>
                <w:szCs w:val="16"/>
              </w:rPr>
            </w:pPr>
            <w:r>
              <w:rPr>
                <w:rFonts w:ascii="Arial" w:eastAsia="宋体" w:hAnsi="Arial" w:cs="Arial"/>
                <w:sz w:val="16"/>
                <w:szCs w:val="16"/>
              </w:rPr>
              <w:t>Dividends on preferred stock</w:t>
            </w:r>
            <w:r>
              <w:rPr>
                <w:rFonts w:ascii="Arial" w:eastAsia="宋体" w:hAnsi="Arial" w:cs="Arial"/>
                <w:sz w:val="10"/>
                <w:szCs w:val="10"/>
              </w:rPr>
              <w:t>(3)</w:t>
            </w:r>
          </w:p>
        </w:tc>
        <w:tc>
          <w:tcPr>
            <w:tcW w:w="0" w:type="auto"/>
            <w:shd w:val="clear" w:color="auto" w:fill="CCEEFF"/>
            <w:tcMar>
              <w:top w:w="40" w:type="dxa"/>
              <w:left w:w="40" w:type="dxa"/>
              <w:bottom w:w="40" w:type="dxa"/>
            </w:tcMar>
            <w:vAlign w:val="bottom"/>
          </w:tcPr>
          <w:p w14:paraId="5556765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765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(232</w:t>
            </w:r>
          </w:p>
        </w:tc>
        <w:tc>
          <w:tcPr>
            <w:tcW w:w="0" w:type="auto"/>
            <w:shd w:val="clear" w:color="auto" w:fill="CCEEFF"/>
            <w:tcMar>
              <w:top w:w="40" w:type="dxa"/>
              <w:bottom w:w="40" w:type="dxa"/>
              <w:right w:w="40" w:type="dxa"/>
            </w:tcMar>
            <w:vAlign w:val="bottom"/>
          </w:tcPr>
          <w:p w14:paraId="5556765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CCEEFF"/>
            <w:tcMar>
              <w:top w:w="40" w:type="dxa"/>
              <w:left w:w="40" w:type="dxa"/>
              <w:bottom w:w="40" w:type="dxa"/>
              <w:right w:w="40" w:type="dxa"/>
            </w:tcMar>
            <w:vAlign w:val="bottom"/>
          </w:tcPr>
          <w:p w14:paraId="555676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65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65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(188</w:t>
            </w:r>
          </w:p>
        </w:tc>
        <w:tc>
          <w:tcPr>
            <w:tcW w:w="0" w:type="auto"/>
            <w:shd w:val="clear" w:color="auto" w:fill="CCEEFF"/>
            <w:tcMar>
              <w:top w:w="40" w:type="dxa"/>
              <w:bottom w:w="40" w:type="dxa"/>
              <w:right w:w="40" w:type="dxa"/>
            </w:tcMar>
            <w:vAlign w:val="bottom"/>
          </w:tcPr>
          <w:p w14:paraId="5556765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CCEEFF"/>
            <w:tcMar>
              <w:top w:w="40" w:type="dxa"/>
              <w:left w:w="40" w:type="dxa"/>
              <w:bottom w:w="40" w:type="dxa"/>
              <w:right w:w="40" w:type="dxa"/>
            </w:tcMar>
            <w:vAlign w:val="bottom"/>
          </w:tcPr>
          <w:p w14:paraId="555676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65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65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(182</w:t>
            </w:r>
          </w:p>
        </w:tc>
        <w:tc>
          <w:tcPr>
            <w:tcW w:w="0" w:type="auto"/>
            <w:shd w:val="clear" w:color="auto" w:fill="CCEEFF"/>
            <w:tcMar>
              <w:top w:w="40" w:type="dxa"/>
              <w:bottom w:w="40" w:type="dxa"/>
              <w:right w:w="40" w:type="dxa"/>
            </w:tcMar>
            <w:vAlign w:val="bottom"/>
          </w:tcPr>
          <w:p w14:paraId="5556765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7665" w14:textId="77777777">
        <w:tc>
          <w:tcPr>
            <w:tcW w:w="0" w:type="auto"/>
            <w:shd w:val="clear" w:color="auto" w:fill="auto"/>
            <w:tcMar>
              <w:top w:w="40" w:type="dxa"/>
              <w:left w:w="400" w:type="dxa"/>
              <w:bottom w:w="40" w:type="dxa"/>
              <w:right w:w="40" w:type="dxa"/>
            </w:tcMar>
            <w:vAlign w:val="bottom"/>
          </w:tcPr>
          <w:p w14:paraId="5556765C" w14:textId="77777777" w:rsidR="00F925DD" w:rsidRDefault="00E705D7">
            <w:pPr>
              <w:textAlignment w:val="bottom"/>
              <w:rPr>
                <w:rFonts w:ascii="Times New Roman" w:hAnsi="Times New Roman"/>
                <w:sz w:val="16"/>
                <w:szCs w:val="16"/>
              </w:rPr>
            </w:pPr>
            <w:r>
              <w:rPr>
                <w:rFonts w:ascii="Arial" w:eastAsia="宋体" w:hAnsi="Arial" w:cs="Arial"/>
                <w:sz w:val="16"/>
                <w:szCs w:val="16"/>
              </w:rPr>
              <w:t>Earnings allocated to participating securities</w:t>
            </w:r>
            <w:r>
              <w:rPr>
                <w:rFonts w:ascii="Arial" w:eastAsia="宋体" w:hAnsi="Arial" w:cs="Arial"/>
                <w:sz w:val="10"/>
                <w:szCs w:val="10"/>
              </w:rPr>
              <w:t>(4)</w:t>
            </w:r>
          </w:p>
        </w:tc>
        <w:tc>
          <w:tcPr>
            <w:tcW w:w="0" w:type="auto"/>
            <w:gridSpan w:val="2"/>
            <w:tcBorders>
              <w:bottom w:val="single" w:sz="8" w:space="0" w:color="000000"/>
            </w:tcBorders>
            <w:shd w:val="clear" w:color="auto" w:fill="auto"/>
            <w:tcMar>
              <w:top w:w="40" w:type="dxa"/>
              <w:left w:w="40" w:type="dxa"/>
              <w:bottom w:w="40" w:type="dxa"/>
            </w:tcMar>
            <w:vAlign w:val="bottom"/>
          </w:tcPr>
          <w:p w14:paraId="5556765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tcBorders>
              <w:bottom w:val="single" w:sz="8" w:space="0" w:color="000000"/>
            </w:tcBorders>
            <w:shd w:val="clear" w:color="auto" w:fill="auto"/>
            <w:tcMar>
              <w:top w:w="40" w:type="dxa"/>
              <w:bottom w:w="40" w:type="dxa"/>
              <w:right w:w="40" w:type="dxa"/>
            </w:tcMar>
            <w:vAlign w:val="bottom"/>
          </w:tcPr>
          <w:p w14:paraId="5556765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auto"/>
            <w:tcMar>
              <w:top w:w="40" w:type="dxa"/>
              <w:left w:w="40" w:type="dxa"/>
              <w:bottom w:w="40" w:type="dxa"/>
              <w:right w:w="40" w:type="dxa"/>
            </w:tcMar>
            <w:vAlign w:val="bottom"/>
          </w:tcPr>
          <w:p w14:paraId="555676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66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bottom w:val="single" w:sz="8" w:space="0" w:color="000000"/>
            </w:tcBorders>
            <w:shd w:val="clear" w:color="auto" w:fill="auto"/>
            <w:tcMar>
              <w:top w:w="40" w:type="dxa"/>
              <w:bottom w:w="40" w:type="dxa"/>
              <w:right w:w="40" w:type="dxa"/>
            </w:tcMar>
            <w:vAlign w:val="bottom"/>
          </w:tcPr>
          <w:p w14:paraId="5556766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auto"/>
            <w:tcMar>
              <w:top w:w="40" w:type="dxa"/>
              <w:left w:w="40" w:type="dxa"/>
              <w:bottom w:w="40" w:type="dxa"/>
              <w:right w:w="40" w:type="dxa"/>
            </w:tcMar>
            <w:vAlign w:val="bottom"/>
          </w:tcPr>
          <w:p w14:paraId="555676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66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w:t>
            </w:r>
          </w:p>
        </w:tc>
        <w:tc>
          <w:tcPr>
            <w:tcW w:w="0" w:type="auto"/>
            <w:tcBorders>
              <w:bottom w:val="single" w:sz="8" w:space="0" w:color="000000"/>
            </w:tcBorders>
            <w:shd w:val="clear" w:color="auto" w:fill="auto"/>
            <w:tcMar>
              <w:top w:w="40" w:type="dxa"/>
              <w:bottom w:w="40" w:type="dxa"/>
              <w:right w:w="40" w:type="dxa"/>
            </w:tcMar>
            <w:vAlign w:val="bottom"/>
          </w:tcPr>
          <w:p w14:paraId="5556766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7672" w14:textId="77777777">
        <w:tc>
          <w:tcPr>
            <w:tcW w:w="0" w:type="auto"/>
            <w:shd w:val="clear" w:color="auto" w:fill="CCEEFF"/>
            <w:tcMar>
              <w:top w:w="40" w:type="dxa"/>
              <w:left w:w="40" w:type="dxa"/>
              <w:bottom w:w="40" w:type="dxa"/>
              <w:right w:w="40" w:type="dxa"/>
            </w:tcMar>
            <w:vAlign w:val="bottom"/>
          </w:tcPr>
          <w:p w14:paraId="55567666"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income available to common shareholders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66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66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2,009</w:t>
            </w:r>
          </w:p>
        </w:tc>
        <w:tc>
          <w:tcPr>
            <w:tcW w:w="0" w:type="auto"/>
            <w:tcBorders>
              <w:top w:val="single" w:sz="8" w:space="0" w:color="000000"/>
              <w:bottom w:val="double" w:sz="6" w:space="0" w:color="000000"/>
            </w:tcBorders>
            <w:shd w:val="clear" w:color="auto" w:fill="CCEEFF"/>
            <w:vAlign w:val="bottom"/>
          </w:tcPr>
          <w:p w14:paraId="55567669"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66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66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2,404</w:t>
            </w:r>
          </w:p>
        </w:tc>
        <w:tc>
          <w:tcPr>
            <w:tcW w:w="0" w:type="auto"/>
            <w:tcBorders>
              <w:top w:val="single" w:sz="8" w:space="0" w:color="000000"/>
              <w:bottom w:val="double" w:sz="6" w:space="0" w:color="000000"/>
            </w:tcBorders>
            <w:shd w:val="clear" w:color="auto" w:fill="CCEEFF"/>
            <w:vAlign w:val="bottom"/>
          </w:tcPr>
          <w:p w14:paraId="5556766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66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67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1,972</w:t>
            </w:r>
          </w:p>
        </w:tc>
        <w:tc>
          <w:tcPr>
            <w:tcW w:w="0" w:type="auto"/>
            <w:tcBorders>
              <w:top w:val="single" w:sz="8" w:space="0" w:color="000000"/>
              <w:bottom w:val="double" w:sz="6" w:space="0" w:color="000000"/>
            </w:tcBorders>
            <w:shd w:val="clear" w:color="auto" w:fill="CCEEFF"/>
            <w:vAlign w:val="bottom"/>
          </w:tcPr>
          <w:p w14:paraId="55567671" w14:textId="77777777" w:rsidR="00F925DD" w:rsidRDefault="00F925DD">
            <w:pPr>
              <w:textAlignment w:val="bottom"/>
              <w:rPr>
                <w:rFonts w:ascii="Times New Roman" w:hAnsi="Times New Roman"/>
                <w:sz w:val="20"/>
                <w:szCs w:val="20"/>
              </w:rPr>
            </w:pPr>
          </w:p>
        </w:tc>
      </w:tr>
      <w:tr w:rsidR="00F925DD" w14:paraId="55567679" w14:textId="77777777">
        <w:tc>
          <w:tcPr>
            <w:tcW w:w="0" w:type="auto"/>
            <w:shd w:val="clear" w:color="auto" w:fill="auto"/>
            <w:tcMar>
              <w:top w:w="40" w:type="dxa"/>
              <w:left w:w="40" w:type="dxa"/>
              <w:bottom w:w="40" w:type="dxa"/>
              <w:right w:w="40" w:type="dxa"/>
            </w:tcMar>
            <w:vAlign w:val="bottom"/>
          </w:tcPr>
          <w:p w14:paraId="55567673"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Earnings per common </w:t>
            </w:r>
            <w:r>
              <w:rPr>
                <w:rFonts w:ascii="Arial" w:eastAsia="宋体" w:hAnsi="Arial" w:cs="Arial"/>
                <w:sz w:val="16"/>
                <w:szCs w:val="16"/>
              </w:rPr>
              <w:t>share:</w:t>
            </w:r>
          </w:p>
        </w:tc>
        <w:tc>
          <w:tcPr>
            <w:tcW w:w="0" w:type="auto"/>
            <w:gridSpan w:val="3"/>
            <w:shd w:val="clear" w:color="auto" w:fill="auto"/>
            <w:tcMar>
              <w:top w:w="40" w:type="dxa"/>
              <w:left w:w="40" w:type="dxa"/>
              <w:bottom w:w="40" w:type="dxa"/>
              <w:right w:w="40" w:type="dxa"/>
            </w:tcMar>
            <w:vAlign w:val="bottom"/>
          </w:tcPr>
          <w:p w14:paraId="555676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6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6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6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6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686" w14:textId="77777777">
        <w:tc>
          <w:tcPr>
            <w:tcW w:w="0" w:type="auto"/>
            <w:shd w:val="clear" w:color="auto" w:fill="CCEEFF"/>
            <w:tcMar>
              <w:top w:w="40" w:type="dxa"/>
              <w:left w:w="400" w:type="dxa"/>
              <w:bottom w:w="40" w:type="dxa"/>
              <w:right w:w="40" w:type="dxa"/>
            </w:tcMar>
            <w:vAlign w:val="bottom"/>
          </w:tcPr>
          <w:p w14:paraId="5556767A" w14:textId="77777777" w:rsidR="00F925DD" w:rsidRDefault="00E705D7">
            <w:pPr>
              <w:textAlignment w:val="bottom"/>
              <w:rPr>
                <w:rFonts w:ascii="Times New Roman" w:hAnsi="Times New Roman"/>
                <w:sz w:val="16"/>
                <w:szCs w:val="16"/>
              </w:rPr>
            </w:pPr>
            <w:r>
              <w:rPr>
                <w:rFonts w:ascii="Arial" w:eastAsia="宋体" w:hAnsi="Arial" w:cs="Arial"/>
                <w:sz w:val="16"/>
                <w:szCs w:val="16"/>
              </w:rPr>
              <w:t>Basic</w:t>
            </w:r>
          </w:p>
        </w:tc>
        <w:tc>
          <w:tcPr>
            <w:tcW w:w="0" w:type="auto"/>
            <w:shd w:val="clear" w:color="auto" w:fill="CCEEFF"/>
            <w:tcMar>
              <w:top w:w="40" w:type="dxa"/>
              <w:left w:w="40" w:type="dxa"/>
              <w:bottom w:w="40" w:type="dxa"/>
            </w:tcMar>
            <w:vAlign w:val="bottom"/>
          </w:tcPr>
          <w:p w14:paraId="5556767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767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5.43</w:t>
            </w:r>
          </w:p>
        </w:tc>
        <w:tc>
          <w:tcPr>
            <w:tcW w:w="0" w:type="auto"/>
            <w:shd w:val="clear" w:color="auto" w:fill="CCEEFF"/>
            <w:vAlign w:val="bottom"/>
          </w:tcPr>
          <w:p w14:paraId="5556767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67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68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6.46</w:t>
            </w:r>
          </w:p>
        </w:tc>
        <w:tc>
          <w:tcPr>
            <w:tcW w:w="0" w:type="auto"/>
            <w:shd w:val="clear" w:color="auto" w:fill="CCEEFF"/>
            <w:vAlign w:val="bottom"/>
          </w:tcPr>
          <w:p w14:paraId="55567681"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68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68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5.26</w:t>
            </w:r>
          </w:p>
        </w:tc>
        <w:tc>
          <w:tcPr>
            <w:tcW w:w="0" w:type="auto"/>
            <w:shd w:val="clear" w:color="auto" w:fill="CCEEFF"/>
            <w:vAlign w:val="bottom"/>
          </w:tcPr>
          <w:p w14:paraId="55567685" w14:textId="77777777" w:rsidR="00F925DD" w:rsidRDefault="00F925DD">
            <w:pPr>
              <w:textAlignment w:val="bottom"/>
              <w:rPr>
                <w:rFonts w:ascii="Times New Roman" w:hAnsi="Times New Roman"/>
                <w:sz w:val="20"/>
                <w:szCs w:val="20"/>
              </w:rPr>
            </w:pPr>
          </w:p>
        </w:tc>
      </w:tr>
      <w:tr w:rsidR="00F925DD" w14:paraId="55567690" w14:textId="77777777">
        <w:tc>
          <w:tcPr>
            <w:tcW w:w="0" w:type="auto"/>
            <w:shd w:val="clear" w:color="auto" w:fill="auto"/>
            <w:tcMar>
              <w:top w:w="40" w:type="dxa"/>
              <w:left w:w="400" w:type="dxa"/>
              <w:bottom w:w="40" w:type="dxa"/>
              <w:right w:w="40" w:type="dxa"/>
            </w:tcMar>
            <w:vAlign w:val="bottom"/>
          </w:tcPr>
          <w:p w14:paraId="55567687" w14:textId="77777777" w:rsidR="00F925DD" w:rsidRDefault="00E705D7">
            <w:pPr>
              <w:textAlignment w:val="bottom"/>
              <w:rPr>
                <w:rFonts w:ascii="Times New Roman" w:hAnsi="Times New Roman"/>
                <w:sz w:val="16"/>
                <w:szCs w:val="16"/>
              </w:rPr>
            </w:pPr>
            <w:r>
              <w:rPr>
                <w:rFonts w:ascii="Arial" w:eastAsia="宋体" w:hAnsi="Arial" w:cs="Arial"/>
                <w:sz w:val="16"/>
                <w:szCs w:val="16"/>
              </w:rPr>
              <w:t>Diluted</w:t>
            </w:r>
          </w:p>
        </w:tc>
        <w:tc>
          <w:tcPr>
            <w:tcW w:w="0" w:type="auto"/>
            <w:gridSpan w:val="2"/>
            <w:shd w:val="clear" w:color="auto" w:fill="auto"/>
            <w:tcMar>
              <w:top w:w="40" w:type="dxa"/>
              <w:left w:w="40" w:type="dxa"/>
              <w:bottom w:w="40" w:type="dxa"/>
            </w:tcMar>
            <w:vAlign w:val="bottom"/>
          </w:tcPr>
          <w:p w14:paraId="5556768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5.38</w:t>
            </w:r>
          </w:p>
        </w:tc>
        <w:tc>
          <w:tcPr>
            <w:tcW w:w="0" w:type="auto"/>
            <w:shd w:val="clear" w:color="auto" w:fill="auto"/>
            <w:vAlign w:val="bottom"/>
          </w:tcPr>
          <w:p w14:paraId="55567689"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68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6.39</w:t>
            </w:r>
          </w:p>
        </w:tc>
        <w:tc>
          <w:tcPr>
            <w:tcW w:w="0" w:type="auto"/>
            <w:shd w:val="clear" w:color="auto" w:fill="auto"/>
            <w:vAlign w:val="bottom"/>
          </w:tcPr>
          <w:p w14:paraId="5556768C"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68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5.19</w:t>
            </w:r>
          </w:p>
        </w:tc>
        <w:tc>
          <w:tcPr>
            <w:tcW w:w="0" w:type="auto"/>
            <w:shd w:val="clear" w:color="auto" w:fill="auto"/>
            <w:vAlign w:val="bottom"/>
          </w:tcPr>
          <w:p w14:paraId="5556768F" w14:textId="77777777" w:rsidR="00F925DD" w:rsidRDefault="00F925DD">
            <w:pPr>
              <w:textAlignment w:val="bottom"/>
              <w:rPr>
                <w:rFonts w:ascii="Times New Roman" w:hAnsi="Times New Roman"/>
                <w:sz w:val="20"/>
                <w:szCs w:val="20"/>
              </w:rPr>
            </w:pPr>
          </w:p>
        </w:tc>
      </w:tr>
      <w:tr w:rsidR="00F925DD" w14:paraId="55567697" w14:textId="77777777">
        <w:tc>
          <w:tcPr>
            <w:tcW w:w="0" w:type="auto"/>
            <w:shd w:val="clear" w:color="auto" w:fill="CCEEFF"/>
            <w:tcMar>
              <w:top w:w="40" w:type="dxa"/>
              <w:left w:w="40" w:type="dxa"/>
              <w:bottom w:w="40" w:type="dxa"/>
              <w:right w:w="40" w:type="dxa"/>
            </w:tcMar>
            <w:vAlign w:val="bottom"/>
          </w:tcPr>
          <w:p w14:paraId="55567691" w14:textId="77777777" w:rsidR="00F925DD" w:rsidRDefault="00E705D7">
            <w:pPr>
              <w:textAlignment w:val="bottom"/>
              <w:rPr>
                <w:rFonts w:ascii="Times New Roman" w:hAnsi="Times New Roman"/>
                <w:sz w:val="16"/>
                <w:szCs w:val="16"/>
              </w:rPr>
            </w:pPr>
            <w:r>
              <w:rPr>
                <w:rFonts w:ascii="Arial" w:eastAsia="宋体" w:hAnsi="Arial" w:cs="Arial"/>
                <w:sz w:val="16"/>
                <w:szCs w:val="16"/>
              </w:rPr>
              <w:t>Average common shares outstanding (in thousands):</w:t>
            </w:r>
          </w:p>
        </w:tc>
        <w:tc>
          <w:tcPr>
            <w:tcW w:w="0" w:type="auto"/>
            <w:gridSpan w:val="3"/>
            <w:shd w:val="clear" w:color="auto" w:fill="CCEEFF"/>
            <w:tcMar>
              <w:top w:w="40" w:type="dxa"/>
              <w:left w:w="40" w:type="dxa"/>
              <w:bottom w:w="40" w:type="dxa"/>
              <w:right w:w="40" w:type="dxa"/>
            </w:tcMar>
            <w:vAlign w:val="bottom"/>
          </w:tcPr>
          <w:p w14:paraId="555676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6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6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6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6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6A1" w14:textId="77777777">
        <w:tc>
          <w:tcPr>
            <w:tcW w:w="0" w:type="auto"/>
            <w:shd w:val="clear" w:color="auto" w:fill="auto"/>
            <w:tcMar>
              <w:top w:w="40" w:type="dxa"/>
              <w:left w:w="400" w:type="dxa"/>
              <w:bottom w:w="40" w:type="dxa"/>
              <w:right w:w="40" w:type="dxa"/>
            </w:tcMar>
            <w:vAlign w:val="bottom"/>
          </w:tcPr>
          <w:p w14:paraId="55567698" w14:textId="77777777" w:rsidR="00F925DD" w:rsidRDefault="00E705D7">
            <w:pPr>
              <w:textAlignment w:val="bottom"/>
              <w:rPr>
                <w:rFonts w:ascii="Times New Roman" w:hAnsi="Times New Roman"/>
                <w:sz w:val="16"/>
                <w:szCs w:val="16"/>
              </w:rPr>
            </w:pPr>
            <w:r>
              <w:rPr>
                <w:rFonts w:ascii="Arial" w:eastAsia="宋体" w:hAnsi="Arial" w:cs="Arial"/>
                <w:sz w:val="16"/>
                <w:szCs w:val="16"/>
              </w:rPr>
              <w:t>Basic</w:t>
            </w:r>
          </w:p>
        </w:tc>
        <w:tc>
          <w:tcPr>
            <w:tcW w:w="0" w:type="auto"/>
            <w:gridSpan w:val="2"/>
            <w:shd w:val="clear" w:color="auto" w:fill="auto"/>
            <w:tcMar>
              <w:top w:w="40" w:type="dxa"/>
              <w:left w:w="40" w:type="dxa"/>
              <w:bottom w:w="40" w:type="dxa"/>
            </w:tcMar>
            <w:vAlign w:val="bottom"/>
          </w:tcPr>
          <w:p w14:paraId="5556769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369,911</w:t>
            </w:r>
          </w:p>
        </w:tc>
        <w:tc>
          <w:tcPr>
            <w:tcW w:w="0" w:type="auto"/>
            <w:shd w:val="clear" w:color="auto" w:fill="auto"/>
            <w:vAlign w:val="bottom"/>
          </w:tcPr>
          <w:p w14:paraId="5556769A"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69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371,983</w:t>
            </w:r>
          </w:p>
        </w:tc>
        <w:tc>
          <w:tcPr>
            <w:tcW w:w="0" w:type="auto"/>
            <w:shd w:val="clear" w:color="auto" w:fill="auto"/>
            <w:vAlign w:val="bottom"/>
          </w:tcPr>
          <w:p w14:paraId="5556769D"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69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374,793</w:t>
            </w:r>
          </w:p>
        </w:tc>
        <w:tc>
          <w:tcPr>
            <w:tcW w:w="0" w:type="auto"/>
            <w:shd w:val="clear" w:color="auto" w:fill="auto"/>
            <w:vAlign w:val="bottom"/>
          </w:tcPr>
          <w:p w14:paraId="555676A0" w14:textId="77777777" w:rsidR="00F925DD" w:rsidRDefault="00F925DD">
            <w:pPr>
              <w:textAlignment w:val="bottom"/>
              <w:rPr>
                <w:rFonts w:ascii="Times New Roman" w:hAnsi="Times New Roman"/>
                <w:sz w:val="20"/>
                <w:szCs w:val="20"/>
              </w:rPr>
            </w:pPr>
          </w:p>
        </w:tc>
      </w:tr>
      <w:tr w:rsidR="00F925DD" w14:paraId="555676AB" w14:textId="77777777">
        <w:tc>
          <w:tcPr>
            <w:tcW w:w="0" w:type="auto"/>
            <w:shd w:val="clear" w:color="auto" w:fill="CCEEFF"/>
            <w:tcMar>
              <w:top w:w="40" w:type="dxa"/>
              <w:left w:w="400" w:type="dxa"/>
              <w:bottom w:w="40" w:type="dxa"/>
              <w:right w:w="40" w:type="dxa"/>
            </w:tcMar>
            <w:vAlign w:val="bottom"/>
          </w:tcPr>
          <w:p w14:paraId="555676A2" w14:textId="77777777" w:rsidR="00F925DD" w:rsidRDefault="00E705D7">
            <w:pPr>
              <w:textAlignment w:val="bottom"/>
              <w:rPr>
                <w:rFonts w:ascii="Times New Roman" w:hAnsi="Times New Roman"/>
                <w:sz w:val="16"/>
                <w:szCs w:val="16"/>
              </w:rPr>
            </w:pPr>
            <w:r>
              <w:rPr>
                <w:rFonts w:ascii="Arial" w:eastAsia="宋体" w:hAnsi="Arial" w:cs="Arial"/>
                <w:sz w:val="16"/>
                <w:szCs w:val="16"/>
              </w:rPr>
              <w:t>Diluted</w:t>
            </w:r>
          </w:p>
        </w:tc>
        <w:tc>
          <w:tcPr>
            <w:tcW w:w="0" w:type="auto"/>
            <w:gridSpan w:val="2"/>
            <w:shd w:val="clear" w:color="auto" w:fill="CCEEFF"/>
            <w:tcMar>
              <w:top w:w="40" w:type="dxa"/>
              <w:left w:w="40" w:type="dxa"/>
              <w:bottom w:w="40" w:type="dxa"/>
            </w:tcMar>
            <w:vAlign w:val="bottom"/>
          </w:tcPr>
          <w:p w14:paraId="555676A3"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373,666</w:t>
            </w:r>
          </w:p>
        </w:tc>
        <w:tc>
          <w:tcPr>
            <w:tcW w:w="0" w:type="auto"/>
            <w:shd w:val="clear" w:color="auto" w:fill="CCEEFF"/>
            <w:vAlign w:val="bottom"/>
          </w:tcPr>
          <w:p w14:paraId="555676A4"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6A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376,476</w:t>
            </w:r>
          </w:p>
        </w:tc>
        <w:tc>
          <w:tcPr>
            <w:tcW w:w="0" w:type="auto"/>
            <w:shd w:val="clear" w:color="auto" w:fill="CCEEFF"/>
            <w:vAlign w:val="bottom"/>
          </w:tcPr>
          <w:p w14:paraId="555676A7"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6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6A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380,213</w:t>
            </w:r>
          </w:p>
        </w:tc>
        <w:tc>
          <w:tcPr>
            <w:tcW w:w="0" w:type="auto"/>
            <w:shd w:val="clear" w:color="auto" w:fill="CCEEFF"/>
            <w:vAlign w:val="bottom"/>
          </w:tcPr>
          <w:p w14:paraId="555676AA" w14:textId="77777777" w:rsidR="00F925DD" w:rsidRDefault="00F925DD">
            <w:pPr>
              <w:textAlignment w:val="bottom"/>
              <w:rPr>
                <w:rFonts w:ascii="Times New Roman" w:hAnsi="Times New Roman"/>
                <w:sz w:val="20"/>
                <w:szCs w:val="20"/>
              </w:rPr>
            </w:pPr>
          </w:p>
        </w:tc>
      </w:tr>
      <w:tr w:rsidR="00F925DD" w14:paraId="555676B8" w14:textId="77777777">
        <w:tc>
          <w:tcPr>
            <w:tcW w:w="0" w:type="auto"/>
            <w:shd w:val="clear" w:color="auto" w:fill="auto"/>
            <w:tcMar>
              <w:top w:w="40" w:type="dxa"/>
              <w:left w:w="40" w:type="dxa"/>
              <w:bottom w:w="40" w:type="dxa"/>
              <w:right w:w="40" w:type="dxa"/>
            </w:tcMar>
            <w:vAlign w:val="bottom"/>
          </w:tcPr>
          <w:p w14:paraId="555676AC"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Cash dividends declared per </w:t>
            </w:r>
            <w:r>
              <w:rPr>
                <w:rFonts w:ascii="Arial" w:eastAsia="宋体" w:hAnsi="Arial" w:cs="Arial"/>
                <w:sz w:val="16"/>
                <w:szCs w:val="16"/>
              </w:rPr>
              <w:t>common share</w:t>
            </w:r>
          </w:p>
        </w:tc>
        <w:tc>
          <w:tcPr>
            <w:tcW w:w="0" w:type="auto"/>
            <w:shd w:val="clear" w:color="auto" w:fill="auto"/>
            <w:tcMar>
              <w:top w:w="40" w:type="dxa"/>
              <w:left w:w="40" w:type="dxa"/>
              <w:bottom w:w="40" w:type="dxa"/>
            </w:tcMar>
            <w:vAlign w:val="bottom"/>
          </w:tcPr>
          <w:p w14:paraId="555676AD"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bottom w:w="40" w:type="dxa"/>
            </w:tcMar>
            <w:vAlign w:val="bottom"/>
          </w:tcPr>
          <w:p w14:paraId="555676A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1.98</w:t>
            </w:r>
          </w:p>
        </w:tc>
        <w:tc>
          <w:tcPr>
            <w:tcW w:w="0" w:type="auto"/>
            <w:shd w:val="clear" w:color="auto" w:fill="auto"/>
            <w:vAlign w:val="bottom"/>
          </w:tcPr>
          <w:p w14:paraId="555676AF"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6B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555676B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1.78</w:t>
            </w:r>
          </w:p>
        </w:tc>
        <w:tc>
          <w:tcPr>
            <w:tcW w:w="0" w:type="auto"/>
            <w:shd w:val="clear" w:color="auto" w:fill="auto"/>
            <w:vAlign w:val="bottom"/>
          </w:tcPr>
          <w:p w14:paraId="555676B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6B5"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555676B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1.60</w:t>
            </w:r>
          </w:p>
        </w:tc>
        <w:tc>
          <w:tcPr>
            <w:tcW w:w="0" w:type="auto"/>
            <w:shd w:val="clear" w:color="auto" w:fill="auto"/>
            <w:vAlign w:val="bottom"/>
          </w:tcPr>
          <w:p w14:paraId="555676B7" w14:textId="77777777" w:rsidR="00F925DD" w:rsidRDefault="00F925DD">
            <w:pPr>
              <w:textAlignment w:val="bottom"/>
              <w:rPr>
                <w:rFonts w:ascii="Times New Roman" w:hAnsi="Times New Roman"/>
                <w:sz w:val="20"/>
                <w:szCs w:val="20"/>
              </w:rPr>
            </w:pPr>
          </w:p>
        </w:tc>
      </w:tr>
      <w:tr w:rsidR="00F925DD" w14:paraId="555676C2" w14:textId="77777777">
        <w:tc>
          <w:tcPr>
            <w:tcW w:w="0" w:type="auto"/>
            <w:shd w:val="clear" w:color="auto" w:fill="CCEEFF"/>
            <w:tcMar>
              <w:top w:w="40" w:type="dxa"/>
              <w:left w:w="40" w:type="dxa"/>
              <w:bottom w:w="40" w:type="dxa"/>
              <w:right w:w="40" w:type="dxa"/>
            </w:tcMar>
            <w:vAlign w:val="bottom"/>
          </w:tcPr>
          <w:p w14:paraId="555676B9" w14:textId="77777777" w:rsidR="00F925DD" w:rsidRDefault="00E705D7">
            <w:pPr>
              <w:textAlignment w:val="bottom"/>
              <w:rPr>
                <w:rFonts w:ascii="Times New Roman" w:hAnsi="Times New Roman"/>
                <w:sz w:val="16"/>
                <w:szCs w:val="16"/>
              </w:rPr>
            </w:pPr>
            <w:r>
              <w:rPr>
                <w:rFonts w:ascii="Arial" w:eastAsia="宋体" w:hAnsi="Arial" w:cs="Arial"/>
                <w:sz w:val="16"/>
                <w:szCs w:val="16"/>
              </w:rPr>
              <w:t>Return on average common equity</w:t>
            </w:r>
          </w:p>
        </w:tc>
        <w:tc>
          <w:tcPr>
            <w:tcW w:w="0" w:type="auto"/>
            <w:gridSpan w:val="2"/>
            <w:shd w:val="clear" w:color="auto" w:fill="CCEEFF"/>
            <w:tcMar>
              <w:top w:w="40" w:type="dxa"/>
              <w:left w:w="40" w:type="dxa"/>
              <w:bottom w:w="40" w:type="dxa"/>
            </w:tcMar>
            <w:vAlign w:val="bottom"/>
          </w:tcPr>
          <w:p w14:paraId="555676B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9.4</w:t>
            </w:r>
          </w:p>
        </w:tc>
        <w:tc>
          <w:tcPr>
            <w:tcW w:w="0" w:type="auto"/>
            <w:shd w:val="clear" w:color="auto" w:fill="CCEEFF"/>
            <w:tcMar>
              <w:top w:w="40" w:type="dxa"/>
              <w:bottom w:w="40" w:type="dxa"/>
              <w:right w:w="40" w:type="dxa"/>
            </w:tcMar>
            <w:vAlign w:val="bottom"/>
          </w:tcPr>
          <w:p w14:paraId="555676B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CCEEFF"/>
            <w:tcMar>
              <w:top w:w="40" w:type="dxa"/>
              <w:left w:w="40" w:type="dxa"/>
              <w:bottom w:w="40" w:type="dxa"/>
              <w:right w:w="40" w:type="dxa"/>
            </w:tcMar>
            <w:vAlign w:val="bottom"/>
          </w:tcPr>
          <w:p w14:paraId="555676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6B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12.1</w:t>
            </w:r>
          </w:p>
        </w:tc>
        <w:tc>
          <w:tcPr>
            <w:tcW w:w="0" w:type="auto"/>
            <w:shd w:val="clear" w:color="auto" w:fill="CCEEFF"/>
            <w:tcMar>
              <w:top w:w="40" w:type="dxa"/>
              <w:bottom w:w="40" w:type="dxa"/>
              <w:right w:w="40" w:type="dxa"/>
            </w:tcMar>
            <w:vAlign w:val="bottom"/>
          </w:tcPr>
          <w:p w14:paraId="555676BE"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CCEEFF"/>
            <w:tcMar>
              <w:top w:w="40" w:type="dxa"/>
              <w:left w:w="40" w:type="dxa"/>
              <w:bottom w:w="40" w:type="dxa"/>
              <w:right w:w="40" w:type="dxa"/>
            </w:tcMar>
            <w:vAlign w:val="bottom"/>
          </w:tcPr>
          <w:p w14:paraId="555676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6C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10.5</w:t>
            </w:r>
          </w:p>
        </w:tc>
        <w:tc>
          <w:tcPr>
            <w:tcW w:w="0" w:type="auto"/>
            <w:shd w:val="clear" w:color="auto" w:fill="CCEEFF"/>
            <w:tcMar>
              <w:top w:w="40" w:type="dxa"/>
              <w:bottom w:w="40" w:type="dxa"/>
              <w:right w:w="40" w:type="dxa"/>
            </w:tcMar>
            <w:vAlign w:val="bottom"/>
          </w:tcPr>
          <w:p w14:paraId="555676C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76CC" w14:textId="77777777">
        <w:tc>
          <w:tcPr>
            <w:tcW w:w="0" w:type="auto"/>
            <w:shd w:val="clear" w:color="auto" w:fill="auto"/>
            <w:tcMar>
              <w:top w:w="40" w:type="dxa"/>
              <w:left w:w="40" w:type="dxa"/>
              <w:bottom w:w="40" w:type="dxa"/>
              <w:right w:w="40" w:type="dxa"/>
            </w:tcMar>
            <w:vAlign w:val="bottom"/>
          </w:tcPr>
          <w:p w14:paraId="555676C3" w14:textId="77777777" w:rsidR="00F925DD" w:rsidRDefault="00E705D7">
            <w:pPr>
              <w:textAlignment w:val="bottom"/>
              <w:rPr>
                <w:rFonts w:ascii="Times New Roman" w:hAnsi="Times New Roman"/>
                <w:sz w:val="16"/>
                <w:szCs w:val="16"/>
              </w:rPr>
            </w:pPr>
            <w:r>
              <w:rPr>
                <w:rFonts w:ascii="Arial" w:eastAsia="宋体" w:hAnsi="Arial" w:cs="Arial"/>
                <w:sz w:val="16"/>
                <w:szCs w:val="16"/>
              </w:rPr>
              <w:t>Pre-tax margin</w:t>
            </w:r>
          </w:p>
        </w:tc>
        <w:tc>
          <w:tcPr>
            <w:tcW w:w="0" w:type="auto"/>
            <w:gridSpan w:val="2"/>
            <w:shd w:val="clear" w:color="auto" w:fill="auto"/>
            <w:tcMar>
              <w:top w:w="40" w:type="dxa"/>
              <w:left w:w="40" w:type="dxa"/>
              <w:bottom w:w="40" w:type="dxa"/>
            </w:tcMar>
            <w:vAlign w:val="bottom"/>
          </w:tcPr>
          <w:p w14:paraId="555676C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23.1</w:t>
            </w:r>
          </w:p>
        </w:tc>
        <w:tc>
          <w:tcPr>
            <w:tcW w:w="0" w:type="auto"/>
            <w:shd w:val="clear" w:color="auto" w:fill="auto"/>
            <w:vAlign w:val="bottom"/>
          </w:tcPr>
          <w:p w14:paraId="555676C5"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6C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25.6</w:t>
            </w:r>
          </w:p>
        </w:tc>
        <w:tc>
          <w:tcPr>
            <w:tcW w:w="0" w:type="auto"/>
            <w:shd w:val="clear" w:color="auto" w:fill="auto"/>
            <w:vAlign w:val="bottom"/>
          </w:tcPr>
          <w:p w14:paraId="555676C8"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6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6C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26.6</w:t>
            </w:r>
          </w:p>
        </w:tc>
        <w:tc>
          <w:tcPr>
            <w:tcW w:w="0" w:type="auto"/>
            <w:shd w:val="clear" w:color="auto" w:fill="auto"/>
            <w:vAlign w:val="bottom"/>
          </w:tcPr>
          <w:p w14:paraId="555676CB" w14:textId="77777777" w:rsidR="00F925DD" w:rsidRDefault="00F925DD">
            <w:pPr>
              <w:textAlignment w:val="bottom"/>
              <w:rPr>
                <w:rFonts w:ascii="Times New Roman" w:hAnsi="Times New Roman"/>
                <w:sz w:val="20"/>
                <w:szCs w:val="20"/>
              </w:rPr>
            </w:pPr>
          </w:p>
        </w:tc>
      </w:tr>
    </w:tbl>
    <w:p w14:paraId="555676CD"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76CF" w14:textId="77777777">
        <w:tc>
          <w:tcPr>
            <w:tcW w:w="0" w:type="auto"/>
            <w:gridSpan w:val="2"/>
            <w:shd w:val="clear" w:color="auto" w:fill="auto"/>
            <w:vAlign w:val="center"/>
          </w:tcPr>
          <w:p w14:paraId="555676CE" w14:textId="77777777" w:rsidR="00F925DD" w:rsidRDefault="00F925DD">
            <w:pPr>
              <w:rPr>
                <w:rFonts w:ascii="Times New Roman" w:hAnsi="Times New Roman"/>
                <w:sz w:val="20"/>
                <w:szCs w:val="20"/>
              </w:rPr>
            </w:pPr>
          </w:p>
        </w:tc>
      </w:tr>
      <w:tr w:rsidR="00F925DD" w14:paraId="555676D2" w14:textId="77777777">
        <w:tc>
          <w:tcPr>
            <w:tcW w:w="1400" w:type="pct"/>
            <w:shd w:val="clear" w:color="auto" w:fill="auto"/>
            <w:vAlign w:val="center"/>
          </w:tcPr>
          <w:p w14:paraId="555676D0" w14:textId="77777777" w:rsidR="00F925DD" w:rsidRDefault="00F925DD">
            <w:pPr>
              <w:rPr>
                <w:rFonts w:ascii="Times New Roman" w:hAnsi="Times New Roman"/>
                <w:sz w:val="20"/>
                <w:szCs w:val="20"/>
              </w:rPr>
            </w:pPr>
          </w:p>
        </w:tc>
        <w:tc>
          <w:tcPr>
            <w:tcW w:w="3600" w:type="pct"/>
            <w:shd w:val="clear" w:color="auto" w:fill="auto"/>
            <w:vAlign w:val="center"/>
          </w:tcPr>
          <w:p w14:paraId="555676D1" w14:textId="77777777" w:rsidR="00F925DD" w:rsidRDefault="00F925DD">
            <w:pPr>
              <w:rPr>
                <w:rFonts w:ascii="Times New Roman" w:hAnsi="Times New Roman"/>
                <w:sz w:val="20"/>
                <w:szCs w:val="20"/>
              </w:rPr>
            </w:pPr>
          </w:p>
        </w:tc>
      </w:tr>
      <w:tr w:rsidR="00F925DD" w14:paraId="555676D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76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6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76D6"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CRD contributed approximately $385 million and $201 million in total revenue and total expenses, respectively, in 2019. Revenue includes approximately $370 million in software and processing fees and $15 million in brokerage and other trading services wit</w:t>
      </w:r>
      <w:r>
        <w:rPr>
          <w:rFonts w:ascii="Arial" w:eastAsia="宋体" w:hAnsi="Arial" w:cs="Arial"/>
          <w:sz w:val="14"/>
          <w:szCs w:val="14"/>
        </w:rPr>
        <w:t>hin foreign exchange trading services, and expenses include approximately $148 million in compensation and employee benefits and $53 million in other expense lines. In addition, CRD-related expenses in 2019 include $65 million in amortization of other inta</w:t>
      </w:r>
      <w:r>
        <w:rPr>
          <w:rFonts w:ascii="Arial" w:eastAsia="宋体" w:hAnsi="Arial" w:cs="Arial"/>
          <w:sz w:val="14"/>
          <w:szCs w:val="14"/>
        </w:rPr>
        <w:t>ngible assets.</w:t>
      </w:r>
    </w:p>
    <w:p w14:paraId="555676D7" w14:textId="77777777" w:rsidR="00F925DD" w:rsidRDefault="00E705D7">
      <w:pPr>
        <w:spacing w:line="288" w:lineRule="auto"/>
        <w:jc w:val="both"/>
        <w:rPr>
          <w:rFonts w:ascii="Times New Roman" w:hAnsi="Times New Roman"/>
          <w:sz w:val="14"/>
          <w:szCs w:val="14"/>
        </w:rPr>
      </w:pPr>
      <w:r>
        <w:rPr>
          <w:rFonts w:ascii="Arial" w:eastAsia="宋体" w:hAnsi="Arial" w:cs="Arial"/>
          <w:sz w:val="14"/>
          <w:szCs w:val="14"/>
        </w:rPr>
        <w:t xml:space="preserve">CRD contributed approximately $119 million and $39 million in total revenue and total expenses, respectively, in 2018. Revenue includes approximately $114 million in software and processing fees and $5 million in brokerage and other trading </w:t>
      </w:r>
      <w:r>
        <w:rPr>
          <w:rFonts w:ascii="Arial" w:eastAsia="宋体" w:hAnsi="Arial" w:cs="Arial"/>
          <w:sz w:val="14"/>
          <w:szCs w:val="14"/>
        </w:rPr>
        <w:t>services within foreign exchange trading services, and expenses include approximately $28 million in compensation and employee benefits and $11 million in other expense lines. In addition, CRD-related expenses in 2018 include $18 million in amortization of</w:t>
      </w:r>
      <w:r>
        <w:rPr>
          <w:rFonts w:ascii="Arial" w:eastAsia="宋体" w:hAnsi="Arial" w:cs="Arial"/>
          <w:sz w:val="14"/>
          <w:szCs w:val="14"/>
        </w:rPr>
        <w:t xml:space="preserve"> other intangible assets.</w:t>
      </w:r>
    </w:p>
    <w:p w14:paraId="555676D8"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The revenue recognition standard impact was approximately $319 million in total revenue and total expenses for 2018, compared to 2017, including approximately $190 million in management fees, $58 million in foreign exchange tr</w:t>
      </w:r>
      <w:r>
        <w:rPr>
          <w:rFonts w:ascii="Arial" w:eastAsia="宋体" w:hAnsi="Arial" w:cs="Arial"/>
          <w:sz w:val="14"/>
          <w:szCs w:val="14"/>
        </w:rPr>
        <w:t>ading services and $71 million across all other revenue lines, and expenses contributed approximately $183 million in other expenses, $106 million in transaction processing and $30 million across other expense line items.</w:t>
      </w:r>
    </w:p>
    <w:p w14:paraId="555676D9"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(3) </w:t>
      </w:r>
      <w:r>
        <w:rPr>
          <w:rFonts w:ascii="Arial" w:eastAsia="宋体" w:hAnsi="Arial" w:cs="Arial"/>
          <w:sz w:val="14"/>
          <w:szCs w:val="14"/>
        </w:rPr>
        <w:t>Additional information about o</w:t>
      </w:r>
      <w:r>
        <w:rPr>
          <w:rFonts w:ascii="Arial" w:eastAsia="宋体" w:hAnsi="Arial" w:cs="Arial"/>
          <w:sz w:val="14"/>
          <w:szCs w:val="14"/>
        </w:rPr>
        <w:t>ur preferred stock dividends is provided in Note 15 to the consolidated financial statements in this Form 10-K.</w:t>
      </w:r>
    </w:p>
    <w:p w14:paraId="555676DA"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(4) </w:t>
      </w:r>
      <w:r>
        <w:rPr>
          <w:rFonts w:ascii="Arial" w:eastAsia="宋体" w:hAnsi="Arial" w:cs="Arial"/>
          <w:sz w:val="14"/>
          <w:szCs w:val="14"/>
        </w:rPr>
        <w:t>Represents the portion of net income available to common equity allocated to participating securities, composed of unvested and fully vested</w:t>
      </w:r>
      <w:r>
        <w:rPr>
          <w:rFonts w:ascii="Arial" w:eastAsia="宋体" w:hAnsi="Arial" w:cs="Arial"/>
          <w:sz w:val="14"/>
          <w:szCs w:val="14"/>
        </w:rPr>
        <w:t xml:space="preserve"> SERP (Supplemental executive retirement plans) shares and fully vested deferred director stock awards, which are equity-based awards that contain non-forfeitable rights to dividends, and are considered to participate with the common stock in undistributed</w:t>
      </w:r>
      <w:r>
        <w:rPr>
          <w:rFonts w:ascii="Arial" w:eastAsia="宋体" w:hAnsi="Arial" w:cs="Arial"/>
          <w:sz w:val="14"/>
          <w:szCs w:val="14"/>
        </w:rPr>
        <w:t xml:space="preserve"> earnings.</w:t>
      </w:r>
    </w:p>
    <w:p w14:paraId="555676DB" w14:textId="77777777" w:rsidR="00F925DD" w:rsidRDefault="00F925DD">
      <w:pPr>
        <w:rPr>
          <w:rFonts w:ascii="Times New Roman" w:hAnsi="Times New Roman"/>
          <w:sz w:val="20"/>
          <w:szCs w:val="20"/>
        </w:rPr>
      </w:pPr>
    </w:p>
    <w:p w14:paraId="555676D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57</w:t>
      </w:r>
    </w:p>
    <w:p w14:paraId="555676DD" w14:textId="77777777" w:rsidR="00F925DD" w:rsidRDefault="00F925DD">
      <w:pPr>
        <w:spacing w:line="288" w:lineRule="auto"/>
        <w:ind w:firstLine="600"/>
        <w:jc w:val="center"/>
        <w:rPr>
          <w:rFonts w:ascii="Times New Roman" w:hAnsi="Times New Roman"/>
          <w:sz w:val="18"/>
          <w:szCs w:val="18"/>
        </w:rPr>
      </w:pPr>
    </w:p>
    <w:p w14:paraId="555676DE" w14:textId="77777777" w:rsidR="00F925DD" w:rsidRDefault="00E705D7">
      <w:r>
        <w:rPr>
          <w:rFonts w:ascii="Times New Roman" w:hAnsi="Times New Roman"/>
          <w:sz w:val="18"/>
          <w:szCs w:val="18"/>
        </w:rPr>
        <w:pict w14:anchorId="55570673">
          <v:rect id="_x0000_i1081" style="width:415.3pt;height:1.5pt" o:hralign="center" o:hrstd="t" o:hr="t" fillcolor="#a0a0a0" stroked="f"/>
        </w:pict>
      </w:r>
    </w:p>
    <w:p w14:paraId="555676D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6E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6E1" w14:textId="77777777" w:rsidR="00F925DD" w:rsidRDefault="00F925DD">
      <w:pPr>
        <w:rPr>
          <w:rFonts w:ascii="Times New Roman" w:hAnsi="Times New Roman"/>
          <w:sz w:val="20"/>
          <w:szCs w:val="20"/>
        </w:rPr>
      </w:pPr>
    </w:p>
    <w:p w14:paraId="555676E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“Financial Results and Highlights” section provides information related to significant events, as well as high</w:t>
      </w:r>
      <w:r>
        <w:rPr>
          <w:rFonts w:ascii="Arial" w:eastAsia="宋体" w:hAnsi="Arial" w:cs="Arial"/>
          <w:sz w:val="20"/>
          <w:szCs w:val="20"/>
        </w:rPr>
        <w:t>lights of our consolidated financial results for the year ended December 31, 2019 presented in Table 1: Overview of Financial Results. More detailed information about our consolidated financial results, including the comparison of our financial results for</w:t>
      </w:r>
      <w:r>
        <w:rPr>
          <w:rFonts w:ascii="Arial" w:eastAsia="宋体" w:hAnsi="Arial" w:cs="Arial"/>
          <w:sz w:val="20"/>
          <w:szCs w:val="20"/>
        </w:rPr>
        <w:t xml:space="preserve"> the year ended December 31, 2019 to those for the year ended December 31, 2018, is provided under “Consolidated Results of Operations”, "Line of Business Information" and "Capital" which follows these sections, as well as in our consolidated financial sta</w:t>
      </w:r>
      <w:r>
        <w:rPr>
          <w:rFonts w:ascii="Arial" w:eastAsia="宋体" w:hAnsi="Arial" w:cs="Arial"/>
          <w:sz w:val="20"/>
          <w:szCs w:val="20"/>
        </w:rPr>
        <w:t>tements in this Form 10-K.</w:t>
      </w:r>
    </w:p>
    <w:p w14:paraId="555676E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comparison of our financial results for the year ended December 31, 2018 to those for the year ended December 31, 2017, is included in our </w:t>
      </w:r>
      <w:hyperlink r:id="rId93" w:history="1">
        <w:r>
          <w:rPr>
            <w:rStyle w:val="a5"/>
            <w:rFonts w:ascii="Arial" w:eastAsia="宋体" w:hAnsi="Arial" w:cs="Arial"/>
            <w:sz w:val="20"/>
            <w:szCs w:val="20"/>
          </w:rPr>
          <w:t>Management's Discussion and Analysis in the Annual Report on Form 10-K for the fiscal year ended December 31, 2018 filed with the SEC on February 21, 2019</w:t>
        </w:r>
      </w:hyperlink>
      <w:r>
        <w:rPr>
          <w:rFonts w:ascii="Arial" w:eastAsia="宋体" w:hAnsi="Arial" w:cs="Arial"/>
          <w:sz w:val="20"/>
          <w:szCs w:val="20"/>
        </w:rPr>
        <w:t>, as amended by</w:t>
      </w:r>
      <w:hyperlink r:id="rId94" w:history="1">
        <w:r>
          <w:rPr>
            <w:rStyle w:val="a5"/>
            <w:rFonts w:ascii="Arial" w:eastAsia="宋体" w:hAnsi="Arial" w:cs="Arial"/>
            <w:sz w:val="20"/>
            <w:szCs w:val="20"/>
          </w:rPr>
          <w:t xml:space="preserve"> Exhibit 99.2 to our Current Report on Form 8-K filed with the SEC on May 2, 2019.</w:t>
        </w:r>
      </w:hyperlink>
    </w:p>
    <w:p w14:paraId="555676E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the fourth quarter of 2019, we recorded a charge of $140 m</w:t>
      </w:r>
      <w:r>
        <w:rPr>
          <w:rFonts w:ascii="Arial" w:eastAsia="宋体" w:hAnsi="Arial" w:cs="Arial"/>
          <w:sz w:val="20"/>
          <w:szCs w:val="20"/>
        </w:rPr>
        <w:t>illion to increase our legal accrual for government investigations and civil litigation associated with our invoicing matter first reported in December 2015. This additional legal accrual relates to events that developed subsequent to January 17, 2020, the</w:t>
      </w:r>
      <w:r>
        <w:rPr>
          <w:rFonts w:ascii="Arial" w:eastAsia="宋体" w:hAnsi="Arial" w:cs="Arial"/>
          <w:sz w:val="20"/>
          <w:szCs w:val="20"/>
        </w:rPr>
        <w:t xml:space="preserve"> date we originally announced our financial results for the fourth quarter and year ended December 31, 2019, and was reported on February 20, 2020. The effects of the additional accrual are reflected in the financial and other information reported in this </w:t>
      </w:r>
      <w:r>
        <w:rPr>
          <w:rFonts w:ascii="Arial" w:eastAsia="宋体" w:hAnsi="Arial" w:cs="Arial"/>
          <w:sz w:val="20"/>
          <w:szCs w:val="20"/>
        </w:rPr>
        <w:t>Form 10-K.</w:t>
      </w:r>
    </w:p>
    <w:p w14:paraId="555676E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this Management’s Discussion and Analysis, where we describe the effects of changes in FX rates, those effects are determined by applying applicable weighted average FX rates from the relevant 2018 period to the relevant 2019 period results.</w:t>
      </w:r>
    </w:p>
    <w:p w14:paraId="555676E6"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Financial Results and Highlights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6E9" w14:textId="77777777">
        <w:trPr>
          <w:tblCellSpacing w:w="0" w:type="dxa"/>
        </w:trPr>
        <w:tc>
          <w:tcPr>
            <w:tcW w:w="960" w:type="dxa"/>
            <w:shd w:val="clear" w:color="auto" w:fill="auto"/>
            <w:vAlign w:val="center"/>
          </w:tcPr>
          <w:p w14:paraId="555676E7" w14:textId="77777777" w:rsidR="00F925DD" w:rsidRDefault="00F925DD">
            <w:pPr>
              <w:rPr>
                <w:rFonts w:ascii="Times New Roman" w:hAnsi="Times New Roman"/>
                <w:sz w:val="20"/>
                <w:szCs w:val="20"/>
              </w:rPr>
            </w:pPr>
          </w:p>
        </w:tc>
        <w:tc>
          <w:tcPr>
            <w:tcW w:w="0" w:type="auto"/>
            <w:shd w:val="clear" w:color="auto" w:fill="auto"/>
            <w:vAlign w:val="center"/>
          </w:tcPr>
          <w:p w14:paraId="555676E8" w14:textId="77777777" w:rsidR="00F925DD" w:rsidRDefault="00F925DD">
            <w:pPr>
              <w:rPr>
                <w:rFonts w:ascii="Times New Roman" w:hAnsi="Times New Roman"/>
                <w:sz w:val="20"/>
                <w:szCs w:val="20"/>
              </w:rPr>
            </w:pPr>
          </w:p>
        </w:tc>
      </w:tr>
      <w:tr w:rsidR="00F925DD" w14:paraId="555676EC" w14:textId="77777777">
        <w:trPr>
          <w:tblCellSpacing w:w="0" w:type="dxa"/>
        </w:trPr>
        <w:tc>
          <w:tcPr>
            <w:tcW w:w="0" w:type="auto"/>
            <w:shd w:val="clear" w:color="auto" w:fill="auto"/>
          </w:tcPr>
          <w:p w14:paraId="555676E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6E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EPS of $5.38 in 2019 decreased 16% compared to $6.39 in 2018. Both years include the impact of notable items:</w:t>
            </w:r>
          </w:p>
        </w:tc>
      </w:tr>
    </w:tbl>
    <w:p w14:paraId="555676E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547"/>
      </w:tblGrid>
      <w:tr w:rsidR="00F925DD" w14:paraId="555676F0" w14:textId="77777777">
        <w:trPr>
          <w:tblCellSpacing w:w="0" w:type="dxa"/>
        </w:trPr>
        <w:tc>
          <w:tcPr>
            <w:tcW w:w="960" w:type="dxa"/>
            <w:shd w:val="clear" w:color="auto" w:fill="auto"/>
            <w:vAlign w:val="center"/>
          </w:tcPr>
          <w:p w14:paraId="555676EE" w14:textId="77777777" w:rsidR="00F925DD" w:rsidRDefault="00F925DD">
            <w:pPr>
              <w:rPr>
                <w:rFonts w:ascii="Times New Roman" w:hAnsi="Times New Roman"/>
                <w:sz w:val="20"/>
                <w:szCs w:val="20"/>
              </w:rPr>
            </w:pPr>
          </w:p>
        </w:tc>
        <w:tc>
          <w:tcPr>
            <w:tcW w:w="0" w:type="auto"/>
            <w:shd w:val="clear" w:color="auto" w:fill="auto"/>
            <w:vAlign w:val="center"/>
          </w:tcPr>
          <w:p w14:paraId="555676EF" w14:textId="77777777" w:rsidR="00F925DD" w:rsidRDefault="00F925DD">
            <w:pPr>
              <w:rPr>
                <w:rFonts w:ascii="Times New Roman" w:hAnsi="Times New Roman"/>
                <w:sz w:val="20"/>
                <w:szCs w:val="20"/>
              </w:rPr>
            </w:pPr>
          </w:p>
        </w:tc>
      </w:tr>
      <w:tr w:rsidR="00F925DD" w14:paraId="555676F3" w14:textId="77777777">
        <w:trPr>
          <w:tblCellSpacing w:w="0" w:type="dxa"/>
        </w:trPr>
        <w:tc>
          <w:tcPr>
            <w:tcW w:w="0" w:type="auto"/>
            <w:shd w:val="clear" w:color="auto" w:fill="auto"/>
          </w:tcPr>
          <w:p w14:paraId="555676F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6F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2019 notable items included:</w:t>
            </w:r>
          </w:p>
        </w:tc>
      </w:tr>
    </w:tbl>
    <w:p w14:paraId="555676F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4603"/>
      </w:tblGrid>
      <w:tr w:rsidR="00F925DD" w14:paraId="555676F7" w14:textId="77777777">
        <w:trPr>
          <w:tblCellSpacing w:w="0" w:type="dxa"/>
        </w:trPr>
        <w:tc>
          <w:tcPr>
            <w:tcW w:w="1920" w:type="dxa"/>
            <w:shd w:val="clear" w:color="auto" w:fill="auto"/>
            <w:vAlign w:val="center"/>
          </w:tcPr>
          <w:p w14:paraId="555676F5" w14:textId="77777777" w:rsidR="00F925DD" w:rsidRDefault="00F925DD">
            <w:pPr>
              <w:rPr>
                <w:rFonts w:ascii="Times New Roman" w:hAnsi="Times New Roman"/>
                <w:sz w:val="20"/>
                <w:szCs w:val="20"/>
              </w:rPr>
            </w:pPr>
          </w:p>
        </w:tc>
        <w:tc>
          <w:tcPr>
            <w:tcW w:w="0" w:type="auto"/>
            <w:shd w:val="clear" w:color="auto" w:fill="auto"/>
            <w:vAlign w:val="center"/>
          </w:tcPr>
          <w:p w14:paraId="555676F6" w14:textId="77777777" w:rsidR="00F925DD" w:rsidRDefault="00F925DD">
            <w:pPr>
              <w:rPr>
                <w:rFonts w:ascii="Times New Roman" w:hAnsi="Times New Roman"/>
                <w:sz w:val="20"/>
                <w:szCs w:val="20"/>
              </w:rPr>
            </w:pPr>
          </w:p>
        </w:tc>
      </w:tr>
      <w:tr w:rsidR="00F925DD" w14:paraId="555676FA" w14:textId="77777777">
        <w:trPr>
          <w:tblCellSpacing w:w="0" w:type="dxa"/>
        </w:trPr>
        <w:tc>
          <w:tcPr>
            <w:tcW w:w="0" w:type="auto"/>
            <w:shd w:val="clear" w:color="auto" w:fill="auto"/>
          </w:tcPr>
          <w:p w14:paraId="555676F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6F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repositioning charges of approximately $110 million;</w:t>
            </w:r>
          </w:p>
        </w:tc>
      </w:tr>
    </w:tbl>
    <w:p w14:paraId="555676F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F925DD" w14:paraId="555676FE" w14:textId="77777777">
        <w:trPr>
          <w:tblCellSpacing w:w="0" w:type="dxa"/>
        </w:trPr>
        <w:tc>
          <w:tcPr>
            <w:tcW w:w="1920" w:type="dxa"/>
            <w:shd w:val="clear" w:color="auto" w:fill="auto"/>
            <w:vAlign w:val="center"/>
          </w:tcPr>
          <w:p w14:paraId="555676FC" w14:textId="77777777" w:rsidR="00F925DD" w:rsidRDefault="00F925DD">
            <w:pPr>
              <w:rPr>
                <w:rFonts w:ascii="Times New Roman" w:hAnsi="Times New Roman"/>
                <w:sz w:val="20"/>
                <w:szCs w:val="20"/>
              </w:rPr>
            </w:pPr>
          </w:p>
        </w:tc>
        <w:tc>
          <w:tcPr>
            <w:tcW w:w="0" w:type="auto"/>
            <w:shd w:val="clear" w:color="auto" w:fill="auto"/>
            <w:vAlign w:val="center"/>
          </w:tcPr>
          <w:p w14:paraId="555676FD" w14:textId="77777777" w:rsidR="00F925DD" w:rsidRDefault="00F925DD">
            <w:pPr>
              <w:rPr>
                <w:rFonts w:ascii="Times New Roman" w:hAnsi="Times New Roman"/>
                <w:sz w:val="20"/>
                <w:szCs w:val="20"/>
              </w:rPr>
            </w:pPr>
          </w:p>
        </w:tc>
      </w:tr>
      <w:tr w:rsidR="00F925DD" w14:paraId="55567701" w14:textId="77777777">
        <w:trPr>
          <w:tblCellSpacing w:w="0" w:type="dxa"/>
        </w:trPr>
        <w:tc>
          <w:tcPr>
            <w:tcW w:w="0" w:type="auto"/>
            <w:shd w:val="clear" w:color="auto" w:fill="auto"/>
          </w:tcPr>
          <w:p w14:paraId="555676F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0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acquisition and restructuring costs of approximately $77 million, primarily related to CRD;</w:t>
            </w:r>
          </w:p>
        </w:tc>
      </w:tr>
    </w:tbl>
    <w:p w14:paraId="5556770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F925DD" w14:paraId="55567705" w14:textId="77777777">
        <w:trPr>
          <w:tblCellSpacing w:w="0" w:type="dxa"/>
        </w:trPr>
        <w:tc>
          <w:tcPr>
            <w:tcW w:w="1920" w:type="dxa"/>
            <w:shd w:val="clear" w:color="auto" w:fill="auto"/>
            <w:vAlign w:val="center"/>
          </w:tcPr>
          <w:p w14:paraId="55567703" w14:textId="77777777" w:rsidR="00F925DD" w:rsidRDefault="00F925DD">
            <w:pPr>
              <w:rPr>
                <w:rFonts w:ascii="Times New Roman" w:hAnsi="Times New Roman"/>
                <w:sz w:val="20"/>
                <w:szCs w:val="20"/>
              </w:rPr>
            </w:pPr>
          </w:p>
        </w:tc>
        <w:tc>
          <w:tcPr>
            <w:tcW w:w="0" w:type="auto"/>
            <w:shd w:val="clear" w:color="auto" w:fill="auto"/>
            <w:vAlign w:val="center"/>
          </w:tcPr>
          <w:p w14:paraId="55567704" w14:textId="77777777" w:rsidR="00F925DD" w:rsidRDefault="00F925DD">
            <w:pPr>
              <w:rPr>
                <w:rFonts w:ascii="Times New Roman" w:hAnsi="Times New Roman"/>
                <w:sz w:val="20"/>
                <w:szCs w:val="20"/>
              </w:rPr>
            </w:pPr>
          </w:p>
        </w:tc>
      </w:tr>
      <w:tr w:rsidR="00F925DD" w14:paraId="55567708" w14:textId="77777777">
        <w:trPr>
          <w:tblCellSpacing w:w="0" w:type="dxa"/>
        </w:trPr>
        <w:tc>
          <w:tcPr>
            <w:tcW w:w="0" w:type="auto"/>
            <w:shd w:val="clear" w:color="auto" w:fill="auto"/>
          </w:tcPr>
          <w:p w14:paraId="5556770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0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gain of approximately $44 million on the extinguishment of approximately $297 million of our outstanding floating rate junior subordinated debentures due 204</w:t>
            </w:r>
            <w:r>
              <w:rPr>
                <w:rFonts w:ascii="Arial" w:eastAsia="宋体" w:hAnsi="Arial" w:cs="Arial"/>
                <w:sz w:val="20"/>
                <w:szCs w:val="20"/>
              </w:rPr>
              <w:t>7 following a cash tender offer;</w:t>
            </w:r>
          </w:p>
        </w:tc>
      </w:tr>
    </w:tbl>
    <w:p w14:paraId="5556770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5482"/>
      </w:tblGrid>
      <w:tr w:rsidR="00F925DD" w14:paraId="5556770C" w14:textId="77777777">
        <w:trPr>
          <w:tblCellSpacing w:w="0" w:type="dxa"/>
        </w:trPr>
        <w:tc>
          <w:tcPr>
            <w:tcW w:w="1920" w:type="dxa"/>
            <w:shd w:val="clear" w:color="auto" w:fill="auto"/>
            <w:vAlign w:val="center"/>
          </w:tcPr>
          <w:p w14:paraId="5556770A" w14:textId="77777777" w:rsidR="00F925DD" w:rsidRDefault="00F925DD">
            <w:pPr>
              <w:rPr>
                <w:rFonts w:ascii="Times New Roman" w:hAnsi="Times New Roman"/>
                <w:sz w:val="20"/>
                <w:szCs w:val="20"/>
              </w:rPr>
            </w:pPr>
          </w:p>
        </w:tc>
        <w:tc>
          <w:tcPr>
            <w:tcW w:w="0" w:type="auto"/>
            <w:shd w:val="clear" w:color="auto" w:fill="auto"/>
            <w:vAlign w:val="center"/>
          </w:tcPr>
          <w:p w14:paraId="5556770B" w14:textId="77777777" w:rsidR="00F925DD" w:rsidRDefault="00F925DD">
            <w:pPr>
              <w:rPr>
                <w:rFonts w:ascii="Times New Roman" w:hAnsi="Times New Roman"/>
                <w:sz w:val="20"/>
                <w:szCs w:val="20"/>
              </w:rPr>
            </w:pPr>
          </w:p>
        </w:tc>
      </w:tr>
      <w:tr w:rsidR="00F925DD" w14:paraId="5556770F" w14:textId="77777777">
        <w:trPr>
          <w:tblCellSpacing w:w="0" w:type="dxa"/>
        </w:trPr>
        <w:tc>
          <w:tcPr>
            <w:tcW w:w="0" w:type="auto"/>
            <w:shd w:val="clear" w:color="auto" w:fill="auto"/>
          </w:tcPr>
          <w:p w14:paraId="5556770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0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legal and related expenses of approximately $172 million; and</w:t>
            </w:r>
          </w:p>
        </w:tc>
      </w:tr>
    </w:tbl>
    <w:p w14:paraId="55567710" w14:textId="77777777" w:rsidR="00F925DD" w:rsidRDefault="00E705D7">
      <w:pPr>
        <w:rPr>
          <w:rFonts w:ascii="Times New Roman" w:hAnsi="Times New Roman"/>
          <w:sz w:val="20"/>
          <w:szCs w:val="20"/>
        </w:rPr>
      </w:pPr>
      <w:r>
        <w:rPr>
          <w:rFonts w:ascii="Times New Roman" w:eastAsia="宋体" w:hAnsi="Times New Roman"/>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F925DD" w14:paraId="55567713" w14:textId="77777777">
        <w:trPr>
          <w:tblCellSpacing w:w="0" w:type="dxa"/>
        </w:trPr>
        <w:tc>
          <w:tcPr>
            <w:tcW w:w="1920" w:type="dxa"/>
            <w:shd w:val="clear" w:color="auto" w:fill="auto"/>
            <w:vAlign w:val="center"/>
          </w:tcPr>
          <w:p w14:paraId="55567711" w14:textId="77777777" w:rsidR="00F925DD" w:rsidRDefault="00F925DD">
            <w:pPr>
              <w:rPr>
                <w:rFonts w:ascii="Times New Roman" w:hAnsi="Times New Roman"/>
                <w:sz w:val="20"/>
                <w:szCs w:val="20"/>
              </w:rPr>
            </w:pPr>
          </w:p>
        </w:tc>
        <w:tc>
          <w:tcPr>
            <w:tcW w:w="0" w:type="auto"/>
            <w:shd w:val="clear" w:color="auto" w:fill="auto"/>
            <w:vAlign w:val="center"/>
          </w:tcPr>
          <w:p w14:paraId="55567712" w14:textId="77777777" w:rsidR="00F925DD" w:rsidRDefault="00F925DD">
            <w:pPr>
              <w:rPr>
                <w:rFonts w:ascii="Times New Roman" w:hAnsi="Times New Roman"/>
                <w:sz w:val="20"/>
                <w:szCs w:val="20"/>
              </w:rPr>
            </w:pPr>
          </w:p>
        </w:tc>
      </w:tr>
      <w:tr w:rsidR="00F925DD" w14:paraId="55567716" w14:textId="77777777">
        <w:trPr>
          <w:tblCellSpacing w:w="0" w:type="dxa"/>
        </w:trPr>
        <w:tc>
          <w:tcPr>
            <w:tcW w:w="0" w:type="auto"/>
            <w:shd w:val="clear" w:color="auto" w:fill="auto"/>
          </w:tcPr>
          <w:p w14:paraId="5556771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1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costs of $22 million due to the redemption of all outstanding Series E non-cumulative perpetual preferred stock representing the </w:t>
            </w:r>
            <w:r>
              <w:rPr>
                <w:rFonts w:ascii="Arial" w:eastAsia="宋体" w:hAnsi="Arial" w:cs="Arial"/>
                <w:sz w:val="20"/>
                <w:szCs w:val="20"/>
              </w:rPr>
              <w:t>difference between the redemption value and the net carrying value of the preferred stock.</w:t>
            </w:r>
          </w:p>
        </w:tc>
      </w:tr>
    </w:tbl>
    <w:p w14:paraId="55567717"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547"/>
      </w:tblGrid>
      <w:tr w:rsidR="00F925DD" w14:paraId="5556771A" w14:textId="77777777">
        <w:trPr>
          <w:tblCellSpacing w:w="0" w:type="dxa"/>
        </w:trPr>
        <w:tc>
          <w:tcPr>
            <w:tcW w:w="960" w:type="dxa"/>
            <w:shd w:val="clear" w:color="auto" w:fill="auto"/>
            <w:vAlign w:val="center"/>
          </w:tcPr>
          <w:p w14:paraId="55567718" w14:textId="77777777" w:rsidR="00F925DD" w:rsidRDefault="00F925DD">
            <w:pPr>
              <w:rPr>
                <w:rFonts w:ascii="Times New Roman" w:hAnsi="Times New Roman"/>
                <w:sz w:val="20"/>
                <w:szCs w:val="20"/>
              </w:rPr>
            </w:pPr>
          </w:p>
        </w:tc>
        <w:tc>
          <w:tcPr>
            <w:tcW w:w="0" w:type="auto"/>
            <w:shd w:val="clear" w:color="auto" w:fill="auto"/>
            <w:vAlign w:val="center"/>
          </w:tcPr>
          <w:p w14:paraId="55567719" w14:textId="77777777" w:rsidR="00F925DD" w:rsidRDefault="00F925DD">
            <w:pPr>
              <w:rPr>
                <w:rFonts w:ascii="Times New Roman" w:hAnsi="Times New Roman"/>
                <w:sz w:val="20"/>
                <w:szCs w:val="20"/>
              </w:rPr>
            </w:pPr>
          </w:p>
        </w:tc>
      </w:tr>
      <w:tr w:rsidR="00F925DD" w14:paraId="5556771D" w14:textId="77777777">
        <w:trPr>
          <w:tblCellSpacing w:w="0" w:type="dxa"/>
        </w:trPr>
        <w:tc>
          <w:tcPr>
            <w:tcW w:w="0" w:type="auto"/>
            <w:shd w:val="clear" w:color="auto" w:fill="auto"/>
          </w:tcPr>
          <w:p w14:paraId="5556771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1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2018 notable items included:</w:t>
            </w:r>
          </w:p>
        </w:tc>
      </w:tr>
    </w:tbl>
    <w:p w14:paraId="5556771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4603"/>
      </w:tblGrid>
      <w:tr w:rsidR="00F925DD" w14:paraId="55567721" w14:textId="77777777">
        <w:trPr>
          <w:tblCellSpacing w:w="0" w:type="dxa"/>
        </w:trPr>
        <w:tc>
          <w:tcPr>
            <w:tcW w:w="1920" w:type="dxa"/>
            <w:shd w:val="clear" w:color="auto" w:fill="auto"/>
            <w:vAlign w:val="center"/>
          </w:tcPr>
          <w:p w14:paraId="5556771F" w14:textId="77777777" w:rsidR="00F925DD" w:rsidRDefault="00F925DD">
            <w:pPr>
              <w:rPr>
                <w:rFonts w:ascii="Times New Roman" w:hAnsi="Times New Roman"/>
                <w:sz w:val="20"/>
                <w:szCs w:val="20"/>
              </w:rPr>
            </w:pPr>
          </w:p>
        </w:tc>
        <w:tc>
          <w:tcPr>
            <w:tcW w:w="0" w:type="auto"/>
            <w:shd w:val="clear" w:color="auto" w:fill="auto"/>
            <w:vAlign w:val="center"/>
          </w:tcPr>
          <w:p w14:paraId="55567720" w14:textId="77777777" w:rsidR="00F925DD" w:rsidRDefault="00F925DD">
            <w:pPr>
              <w:rPr>
                <w:rFonts w:ascii="Times New Roman" w:hAnsi="Times New Roman"/>
                <w:sz w:val="20"/>
                <w:szCs w:val="20"/>
              </w:rPr>
            </w:pPr>
          </w:p>
        </w:tc>
      </w:tr>
      <w:tr w:rsidR="00F925DD" w14:paraId="55567724" w14:textId="77777777">
        <w:trPr>
          <w:tblCellSpacing w:w="0" w:type="dxa"/>
        </w:trPr>
        <w:tc>
          <w:tcPr>
            <w:tcW w:w="0" w:type="auto"/>
            <w:shd w:val="clear" w:color="auto" w:fill="auto"/>
          </w:tcPr>
          <w:p w14:paraId="5556772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2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repositioning charges of approximately $300 million;</w:t>
            </w:r>
          </w:p>
        </w:tc>
      </w:tr>
    </w:tbl>
    <w:p w14:paraId="5556772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5371"/>
      </w:tblGrid>
      <w:tr w:rsidR="00F925DD" w14:paraId="55567728" w14:textId="77777777">
        <w:trPr>
          <w:tblCellSpacing w:w="0" w:type="dxa"/>
        </w:trPr>
        <w:tc>
          <w:tcPr>
            <w:tcW w:w="1920" w:type="dxa"/>
            <w:shd w:val="clear" w:color="auto" w:fill="auto"/>
            <w:vAlign w:val="center"/>
          </w:tcPr>
          <w:p w14:paraId="55567726" w14:textId="77777777" w:rsidR="00F925DD" w:rsidRDefault="00F925DD">
            <w:pPr>
              <w:rPr>
                <w:rFonts w:ascii="Times New Roman" w:hAnsi="Times New Roman"/>
                <w:sz w:val="20"/>
                <w:szCs w:val="20"/>
              </w:rPr>
            </w:pPr>
          </w:p>
        </w:tc>
        <w:tc>
          <w:tcPr>
            <w:tcW w:w="0" w:type="auto"/>
            <w:shd w:val="clear" w:color="auto" w:fill="auto"/>
            <w:vAlign w:val="center"/>
          </w:tcPr>
          <w:p w14:paraId="55567727" w14:textId="77777777" w:rsidR="00F925DD" w:rsidRDefault="00F925DD">
            <w:pPr>
              <w:rPr>
                <w:rFonts w:ascii="Times New Roman" w:hAnsi="Times New Roman"/>
                <w:sz w:val="20"/>
                <w:szCs w:val="20"/>
              </w:rPr>
            </w:pPr>
          </w:p>
        </w:tc>
      </w:tr>
      <w:tr w:rsidR="00F925DD" w14:paraId="5556772B" w14:textId="77777777">
        <w:trPr>
          <w:tblCellSpacing w:w="0" w:type="dxa"/>
        </w:trPr>
        <w:tc>
          <w:tcPr>
            <w:tcW w:w="0" w:type="auto"/>
            <w:shd w:val="clear" w:color="auto" w:fill="auto"/>
          </w:tcPr>
          <w:p w14:paraId="5556772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2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legal and related expenses of approximately $50 </w:t>
            </w:r>
            <w:r>
              <w:rPr>
                <w:rFonts w:ascii="Arial" w:eastAsia="宋体" w:hAnsi="Arial" w:cs="Arial"/>
                <w:sz w:val="20"/>
                <w:szCs w:val="20"/>
              </w:rPr>
              <w:t>million; and</w:t>
            </w:r>
          </w:p>
        </w:tc>
      </w:tr>
    </w:tbl>
    <w:p w14:paraId="5556772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F925DD" w14:paraId="5556772F" w14:textId="77777777">
        <w:trPr>
          <w:tblCellSpacing w:w="0" w:type="dxa"/>
        </w:trPr>
        <w:tc>
          <w:tcPr>
            <w:tcW w:w="1920" w:type="dxa"/>
            <w:shd w:val="clear" w:color="auto" w:fill="auto"/>
            <w:vAlign w:val="center"/>
          </w:tcPr>
          <w:p w14:paraId="5556772D" w14:textId="77777777" w:rsidR="00F925DD" w:rsidRDefault="00F925DD">
            <w:pPr>
              <w:rPr>
                <w:rFonts w:ascii="Times New Roman" w:hAnsi="Times New Roman"/>
                <w:sz w:val="20"/>
                <w:szCs w:val="20"/>
              </w:rPr>
            </w:pPr>
          </w:p>
        </w:tc>
        <w:tc>
          <w:tcPr>
            <w:tcW w:w="0" w:type="auto"/>
            <w:shd w:val="clear" w:color="auto" w:fill="auto"/>
            <w:vAlign w:val="center"/>
          </w:tcPr>
          <w:p w14:paraId="5556772E" w14:textId="77777777" w:rsidR="00F925DD" w:rsidRDefault="00F925DD">
            <w:pPr>
              <w:rPr>
                <w:rFonts w:ascii="Times New Roman" w:hAnsi="Times New Roman"/>
                <w:sz w:val="20"/>
                <w:szCs w:val="20"/>
              </w:rPr>
            </w:pPr>
          </w:p>
        </w:tc>
      </w:tr>
      <w:tr w:rsidR="00F925DD" w14:paraId="55567732" w14:textId="77777777">
        <w:trPr>
          <w:tblCellSpacing w:w="0" w:type="dxa"/>
        </w:trPr>
        <w:tc>
          <w:tcPr>
            <w:tcW w:w="0" w:type="auto"/>
            <w:shd w:val="clear" w:color="auto" w:fill="auto"/>
          </w:tcPr>
          <w:p w14:paraId="5556773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3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acquisition and restructuring costs primarily related to CRD of approximately $24 million.</w:t>
            </w:r>
          </w:p>
        </w:tc>
      </w:tr>
    </w:tbl>
    <w:p w14:paraId="5556773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36" w14:textId="77777777">
        <w:trPr>
          <w:tblCellSpacing w:w="0" w:type="dxa"/>
        </w:trPr>
        <w:tc>
          <w:tcPr>
            <w:tcW w:w="960" w:type="dxa"/>
            <w:shd w:val="clear" w:color="auto" w:fill="auto"/>
            <w:vAlign w:val="center"/>
          </w:tcPr>
          <w:p w14:paraId="55567734" w14:textId="77777777" w:rsidR="00F925DD" w:rsidRDefault="00F925DD">
            <w:pPr>
              <w:rPr>
                <w:rFonts w:ascii="Times New Roman" w:hAnsi="Times New Roman"/>
                <w:sz w:val="20"/>
                <w:szCs w:val="20"/>
              </w:rPr>
            </w:pPr>
          </w:p>
        </w:tc>
        <w:tc>
          <w:tcPr>
            <w:tcW w:w="0" w:type="auto"/>
            <w:shd w:val="clear" w:color="auto" w:fill="auto"/>
            <w:vAlign w:val="center"/>
          </w:tcPr>
          <w:p w14:paraId="55567735" w14:textId="77777777" w:rsidR="00F925DD" w:rsidRDefault="00F925DD">
            <w:pPr>
              <w:rPr>
                <w:rFonts w:ascii="Times New Roman" w:hAnsi="Times New Roman"/>
                <w:sz w:val="20"/>
                <w:szCs w:val="20"/>
              </w:rPr>
            </w:pPr>
          </w:p>
        </w:tc>
      </w:tr>
      <w:tr w:rsidR="00F925DD" w14:paraId="55567739" w14:textId="77777777">
        <w:trPr>
          <w:tblCellSpacing w:w="0" w:type="dxa"/>
        </w:trPr>
        <w:tc>
          <w:tcPr>
            <w:tcW w:w="0" w:type="auto"/>
            <w:shd w:val="clear" w:color="auto" w:fill="auto"/>
          </w:tcPr>
          <w:p w14:paraId="5556773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3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CRD was acquired on October 1, 2018. Total revenue contributed by CRD was approximately $385 million and $119 million in 2019 and </w:t>
            </w:r>
            <w:r>
              <w:rPr>
                <w:rFonts w:ascii="Arial" w:eastAsia="宋体" w:hAnsi="Arial" w:cs="Arial"/>
                <w:sz w:val="20"/>
                <w:szCs w:val="20"/>
              </w:rPr>
              <w:t>2018, respectively. Total expenses contributed by CRD were approximately $201 million and $39 million in 2019 and 2018, respectively. In addition, CRD-related expenses include $65 million and $18 million in amortization of other intangible assets in 2019 a</w:t>
            </w:r>
            <w:r>
              <w:rPr>
                <w:rFonts w:ascii="Arial" w:eastAsia="宋体" w:hAnsi="Arial" w:cs="Arial"/>
                <w:sz w:val="20"/>
                <w:szCs w:val="20"/>
              </w:rPr>
              <w:t>nd 2018, respectively.</w:t>
            </w:r>
          </w:p>
        </w:tc>
      </w:tr>
    </w:tbl>
    <w:p w14:paraId="5556773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3D" w14:textId="77777777">
        <w:trPr>
          <w:tblCellSpacing w:w="0" w:type="dxa"/>
        </w:trPr>
        <w:tc>
          <w:tcPr>
            <w:tcW w:w="960" w:type="dxa"/>
            <w:shd w:val="clear" w:color="auto" w:fill="auto"/>
            <w:vAlign w:val="center"/>
          </w:tcPr>
          <w:p w14:paraId="5556773B" w14:textId="77777777" w:rsidR="00F925DD" w:rsidRDefault="00F925DD">
            <w:pPr>
              <w:rPr>
                <w:rFonts w:ascii="Times New Roman" w:hAnsi="Times New Roman"/>
                <w:sz w:val="20"/>
                <w:szCs w:val="20"/>
              </w:rPr>
            </w:pPr>
          </w:p>
        </w:tc>
        <w:tc>
          <w:tcPr>
            <w:tcW w:w="0" w:type="auto"/>
            <w:shd w:val="clear" w:color="auto" w:fill="auto"/>
            <w:vAlign w:val="center"/>
          </w:tcPr>
          <w:p w14:paraId="5556773C" w14:textId="77777777" w:rsidR="00F925DD" w:rsidRDefault="00F925DD">
            <w:pPr>
              <w:rPr>
                <w:rFonts w:ascii="Times New Roman" w:hAnsi="Times New Roman"/>
                <w:sz w:val="20"/>
                <w:szCs w:val="20"/>
              </w:rPr>
            </w:pPr>
          </w:p>
        </w:tc>
      </w:tr>
      <w:tr w:rsidR="00F925DD" w14:paraId="55567740" w14:textId="77777777">
        <w:trPr>
          <w:tblCellSpacing w:w="0" w:type="dxa"/>
        </w:trPr>
        <w:tc>
          <w:tcPr>
            <w:tcW w:w="0" w:type="auto"/>
            <w:shd w:val="clear" w:color="auto" w:fill="auto"/>
          </w:tcPr>
          <w:p w14:paraId="5556773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3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Total expenses were up slightly in 2019 compared to 2018, including the impact of the incremental legal reserve, and reflect our successfully executed previously announced 2019 expense savings program. That program achieved ap</w:t>
            </w:r>
            <w:r>
              <w:rPr>
                <w:rFonts w:ascii="Arial" w:eastAsia="宋体" w:hAnsi="Arial" w:cs="Arial"/>
                <w:sz w:val="20"/>
                <w:szCs w:val="20"/>
              </w:rPr>
              <w:t xml:space="preserve">proximately $415 million in gross savings in 2019 through expense savings of approximately $230 million in resource discipline initiatives and $185 million in process re-engineering and automation benefits, exceeding our revised goal of $400 million gross </w:t>
            </w:r>
            <w:r>
              <w:rPr>
                <w:rFonts w:ascii="Arial" w:eastAsia="宋体" w:hAnsi="Arial" w:cs="Arial"/>
                <w:sz w:val="20"/>
                <w:szCs w:val="20"/>
              </w:rPr>
              <w:t>savings in 2019 (itself reflecting an increase from our initial goal of $350 million gross savings).</w:t>
            </w:r>
          </w:p>
        </w:tc>
      </w:tr>
    </w:tbl>
    <w:p w14:paraId="5556774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44" w14:textId="77777777">
        <w:trPr>
          <w:tblCellSpacing w:w="0" w:type="dxa"/>
        </w:trPr>
        <w:tc>
          <w:tcPr>
            <w:tcW w:w="960" w:type="dxa"/>
            <w:shd w:val="clear" w:color="auto" w:fill="auto"/>
            <w:vAlign w:val="center"/>
          </w:tcPr>
          <w:p w14:paraId="55567742" w14:textId="77777777" w:rsidR="00F925DD" w:rsidRDefault="00F925DD">
            <w:pPr>
              <w:rPr>
                <w:rFonts w:ascii="Times New Roman" w:hAnsi="Times New Roman"/>
                <w:sz w:val="20"/>
                <w:szCs w:val="20"/>
              </w:rPr>
            </w:pPr>
          </w:p>
        </w:tc>
        <w:tc>
          <w:tcPr>
            <w:tcW w:w="0" w:type="auto"/>
            <w:shd w:val="clear" w:color="auto" w:fill="auto"/>
            <w:vAlign w:val="center"/>
          </w:tcPr>
          <w:p w14:paraId="55567743" w14:textId="77777777" w:rsidR="00F925DD" w:rsidRDefault="00F925DD">
            <w:pPr>
              <w:rPr>
                <w:rFonts w:ascii="Times New Roman" w:hAnsi="Times New Roman"/>
                <w:sz w:val="20"/>
                <w:szCs w:val="20"/>
              </w:rPr>
            </w:pPr>
          </w:p>
        </w:tc>
      </w:tr>
      <w:tr w:rsidR="00F925DD" w14:paraId="55567747" w14:textId="77777777">
        <w:trPr>
          <w:tblCellSpacing w:w="0" w:type="dxa"/>
        </w:trPr>
        <w:tc>
          <w:tcPr>
            <w:tcW w:w="0" w:type="auto"/>
            <w:shd w:val="clear" w:color="auto" w:fill="auto"/>
          </w:tcPr>
          <w:p w14:paraId="5556774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4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 2019, return on equity of 9.4% decreased from 12.1% in 2018, primarily due to a decrease in net income available to common </w:t>
            </w:r>
            <w:r>
              <w:rPr>
                <w:rFonts w:ascii="Arial" w:eastAsia="宋体" w:hAnsi="Arial" w:cs="Arial"/>
                <w:sz w:val="20"/>
                <w:szCs w:val="20"/>
              </w:rPr>
              <w:t>shareholders. Pre-tax margin of 23.1% in 2019 decreased from 25.6% in 2018, primarily due to a decrease in total revenue.</w:t>
            </w:r>
          </w:p>
        </w:tc>
      </w:tr>
    </w:tbl>
    <w:p w14:paraId="5556774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4B" w14:textId="77777777">
        <w:trPr>
          <w:tblCellSpacing w:w="0" w:type="dxa"/>
        </w:trPr>
        <w:tc>
          <w:tcPr>
            <w:tcW w:w="960" w:type="dxa"/>
            <w:shd w:val="clear" w:color="auto" w:fill="auto"/>
            <w:vAlign w:val="center"/>
          </w:tcPr>
          <w:p w14:paraId="55567749" w14:textId="77777777" w:rsidR="00F925DD" w:rsidRDefault="00F925DD">
            <w:pPr>
              <w:rPr>
                <w:rFonts w:ascii="Times New Roman" w:hAnsi="Times New Roman"/>
                <w:sz w:val="20"/>
                <w:szCs w:val="20"/>
              </w:rPr>
            </w:pPr>
          </w:p>
        </w:tc>
        <w:tc>
          <w:tcPr>
            <w:tcW w:w="0" w:type="auto"/>
            <w:shd w:val="clear" w:color="auto" w:fill="auto"/>
            <w:vAlign w:val="center"/>
          </w:tcPr>
          <w:p w14:paraId="5556774A" w14:textId="77777777" w:rsidR="00F925DD" w:rsidRDefault="00F925DD">
            <w:pPr>
              <w:rPr>
                <w:rFonts w:ascii="Times New Roman" w:hAnsi="Times New Roman"/>
                <w:sz w:val="20"/>
                <w:szCs w:val="20"/>
              </w:rPr>
            </w:pPr>
          </w:p>
        </w:tc>
      </w:tr>
      <w:tr w:rsidR="00F925DD" w14:paraId="5556774E" w14:textId="77777777">
        <w:trPr>
          <w:tblCellSpacing w:w="0" w:type="dxa"/>
        </w:trPr>
        <w:tc>
          <w:tcPr>
            <w:tcW w:w="0" w:type="auto"/>
            <w:shd w:val="clear" w:color="auto" w:fill="auto"/>
          </w:tcPr>
          <w:p w14:paraId="5556774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4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Operating leverage was (3.3)% in 2019. Operating leverage represents the difference between the percentage change in total </w:t>
            </w:r>
            <w:r>
              <w:rPr>
                <w:rFonts w:ascii="Arial" w:eastAsia="宋体" w:hAnsi="Arial" w:cs="Arial"/>
                <w:sz w:val="20"/>
                <w:szCs w:val="20"/>
              </w:rPr>
              <w:t>revenue and the percentage change in total expenses, in each case relative to the prior year period.</w:t>
            </w:r>
          </w:p>
        </w:tc>
      </w:tr>
    </w:tbl>
    <w:p w14:paraId="5556774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52" w14:textId="77777777">
        <w:trPr>
          <w:tblCellSpacing w:w="0" w:type="dxa"/>
        </w:trPr>
        <w:tc>
          <w:tcPr>
            <w:tcW w:w="960" w:type="dxa"/>
            <w:shd w:val="clear" w:color="auto" w:fill="auto"/>
            <w:vAlign w:val="center"/>
          </w:tcPr>
          <w:p w14:paraId="55567750" w14:textId="77777777" w:rsidR="00F925DD" w:rsidRDefault="00F925DD">
            <w:pPr>
              <w:rPr>
                <w:rFonts w:ascii="Times New Roman" w:hAnsi="Times New Roman"/>
                <w:sz w:val="20"/>
                <w:szCs w:val="20"/>
              </w:rPr>
            </w:pPr>
          </w:p>
        </w:tc>
        <w:tc>
          <w:tcPr>
            <w:tcW w:w="0" w:type="auto"/>
            <w:shd w:val="clear" w:color="auto" w:fill="auto"/>
            <w:vAlign w:val="center"/>
          </w:tcPr>
          <w:p w14:paraId="55567751" w14:textId="77777777" w:rsidR="00F925DD" w:rsidRDefault="00F925DD">
            <w:pPr>
              <w:rPr>
                <w:rFonts w:ascii="Times New Roman" w:hAnsi="Times New Roman"/>
                <w:sz w:val="20"/>
                <w:szCs w:val="20"/>
              </w:rPr>
            </w:pPr>
          </w:p>
        </w:tc>
      </w:tr>
      <w:tr w:rsidR="00F925DD" w14:paraId="55567755" w14:textId="77777777">
        <w:trPr>
          <w:tblCellSpacing w:w="0" w:type="dxa"/>
        </w:trPr>
        <w:tc>
          <w:tcPr>
            <w:tcW w:w="0" w:type="auto"/>
            <w:shd w:val="clear" w:color="auto" w:fill="auto"/>
          </w:tcPr>
          <w:p w14:paraId="5556775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5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We purchased a total of approximately $1.6 billion and $350 million of our common stock in 2019 and 2018, respectively. These purchases were all con</w:t>
            </w:r>
            <w:r>
              <w:rPr>
                <w:rFonts w:ascii="Arial" w:eastAsia="宋体" w:hAnsi="Arial" w:cs="Arial"/>
                <w:sz w:val="20"/>
                <w:szCs w:val="20"/>
              </w:rPr>
              <w:t xml:space="preserve">ducted under share purchase </w:t>
            </w:r>
          </w:p>
        </w:tc>
      </w:tr>
    </w:tbl>
    <w:p w14:paraId="55567756" w14:textId="77777777" w:rsidR="00F925DD" w:rsidRDefault="00F925DD">
      <w:pPr>
        <w:rPr>
          <w:rFonts w:ascii="Times New Roman" w:hAnsi="Times New Roman"/>
          <w:sz w:val="20"/>
          <w:szCs w:val="20"/>
        </w:rPr>
      </w:pPr>
    </w:p>
    <w:p w14:paraId="5556775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58</w:t>
      </w:r>
    </w:p>
    <w:p w14:paraId="55567758" w14:textId="77777777" w:rsidR="00F925DD" w:rsidRDefault="00F925DD">
      <w:pPr>
        <w:spacing w:line="288" w:lineRule="auto"/>
        <w:ind w:firstLine="600"/>
        <w:jc w:val="center"/>
        <w:rPr>
          <w:rFonts w:ascii="Times New Roman" w:hAnsi="Times New Roman"/>
          <w:sz w:val="18"/>
          <w:szCs w:val="18"/>
        </w:rPr>
      </w:pPr>
    </w:p>
    <w:p w14:paraId="55567759" w14:textId="77777777" w:rsidR="00F925DD" w:rsidRDefault="00E705D7">
      <w:r>
        <w:rPr>
          <w:rFonts w:ascii="Times New Roman" w:hAnsi="Times New Roman"/>
          <w:sz w:val="18"/>
          <w:szCs w:val="18"/>
        </w:rPr>
        <w:pict w14:anchorId="55570674">
          <v:rect id="_x0000_i1082" style="width:415.3pt;height:1.5pt" o:hralign="center" o:hrstd="t" o:hr="t" fillcolor="#a0a0a0" stroked="f"/>
        </w:pict>
      </w:r>
    </w:p>
    <w:p w14:paraId="5556775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75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75C" w14:textId="77777777" w:rsidR="00F925DD" w:rsidRDefault="00F925DD">
      <w:pPr>
        <w:rPr>
          <w:rFonts w:ascii="Times New Roman" w:hAnsi="Times New Roman"/>
          <w:sz w:val="20"/>
          <w:szCs w:val="20"/>
        </w:rPr>
      </w:pPr>
    </w:p>
    <w:p w14:paraId="5556775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programs approved by our Board of Directors. Our current share purchase program authorizes the </w:t>
      </w:r>
      <w:r>
        <w:rPr>
          <w:rFonts w:ascii="Arial" w:eastAsia="宋体" w:hAnsi="Arial" w:cs="Arial"/>
          <w:sz w:val="20"/>
          <w:szCs w:val="20"/>
        </w:rPr>
        <w:t>purchase of up to $2.0 billion of our common stock from July 1, 2019 through June 30, 2020 (the 2019 Program). $1.0 billion remains available for repurchases under that program in the first and second quarters of 2020. The lower level of common stock repur</w:t>
      </w:r>
      <w:r>
        <w:rPr>
          <w:rFonts w:ascii="Arial" w:eastAsia="宋体" w:hAnsi="Arial" w:cs="Arial"/>
          <w:sz w:val="20"/>
          <w:szCs w:val="20"/>
        </w:rPr>
        <w:t>chases in 2018 reflects our funding plan for our acquisition of CRD, which included an issuance of approximately $1.15 billion of common stock and a suspension of approximately $950 million of common stock repurchases in 2018.</w:t>
      </w:r>
    </w:p>
    <w:p w14:paraId="5556775E"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Revenue</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61" w14:textId="77777777">
        <w:trPr>
          <w:tblCellSpacing w:w="0" w:type="dxa"/>
        </w:trPr>
        <w:tc>
          <w:tcPr>
            <w:tcW w:w="960" w:type="dxa"/>
            <w:shd w:val="clear" w:color="auto" w:fill="auto"/>
            <w:vAlign w:val="center"/>
          </w:tcPr>
          <w:p w14:paraId="5556775F" w14:textId="77777777" w:rsidR="00F925DD" w:rsidRDefault="00F925DD">
            <w:pPr>
              <w:rPr>
                <w:rFonts w:ascii="Times New Roman" w:hAnsi="Times New Roman"/>
                <w:sz w:val="20"/>
                <w:szCs w:val="20"/>
              </w:rPr>
            </w:pPr>
          </w:p>
        </w:tc>
        <w:tc>
          <w:tcPr>
            <w:tcW w:w="0" w:type="auto"/>
            <w:shd w:val="clear" w:color="auto" w:fill="auto"/>
            <w:vAlign w:val="center"/>
          </w:tcPr>
          <w:p w14:paraId="55567760" w14:textId="77777777" w:rsidR="00F925DD" w:rsidRDefault="00F925DD">
            <w:pPr>
              <w:rPr>
                <w:rFonts w:ascii="Times New Roman" w:hAnsi="Times New Roman"/>
                <w:sz w:val="20"/>
                <w:szCs w:val="20"/>
              </w:rPr>
            </w:pPr>
          </w:p>
        </w:tc>
      </w:tr>
      <w:tr w:rsidR="00F925DD" w14:paraId="55567764" w14:textId="77777777">
        <w:trPr>
          <w:tblCellSpacing w:w="0" w:type="dxa"/>
        </w:trPr>
        <w:tc>
          <w:tcPr>
            <w:tcW w:w="0" w:type="auto"/>
            <w:shd w:val="clear" w:color="auto" w:fill="auto"/>
          </w:tcPr>
          <w:p w14:paraId="5556776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6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Total revenue</w:t>
            </w:r>
            <w:r>
              <w:rPr>
                <w:rFonts w:ascii="Arial" w:eastAsia="宋体" w:hAnsi="Arial" w:cs="Arial"/>
                <w:sz w:val="12"/>
                <w:szCs w:val="12"/>
              </w:rPr>
              <w:t xml:space="preserve"> </w:t>
            </w:r>
            <w:r>
              <w:rPr>
                <w:rFonts w:ascii="Arial" w:eastAsia="宋体" w:hAnsi="Arial" w:cs="Arial"/>
                <w:sz w:val="20"/>
                <w:szCs w:val="20"/>
              </w:rPr>
              <w:t>an</w:t>
            </w:r>
            <w:r>
              <w:rPr>
                <w:rFonts w:ascii="Arial" w:eastAsia="宋体" w:hAnsi="Arial" w:cs="Arial"/>
                <w:sz w:val="20"/>
                <w:szCs w:val="20"/>
              </w:rPr>
              <w:t>d fee revenue both</w:t>
            </w:r>
            <w:r>
              <w:rPr>
                <w:rFonts w:ascii="Arial" w:eastAsia="宋体" w:hAnsi="Arial" w:cs="Arial"/>
                <w:sz w:val="12"/>
                <w:szCs w:val="12"/>
              </w:rPr>
              <w:t xml:space="preserve"> </w:t>
            </w:r>
            <w:r>
              <w:rPr>
                <w:rFonts w:ascii="Arial" w:eastAsia="宋体" w:hAnsi="Arial" w:cs="Arial"/>
                <w:sz w:val="20"/>
                <w:szCs w:val="20"/>
              </w:rPr>
              <w:t>decreased 3% in 2019 compared to 2018, primarily driven by decreases in servicing fees, management fees, foreign exchange trading services and securities finance revenues and, in the case of total revenue, by NII. These decreases were pa</w:t>
            </w:r>
            <w:r>
              <w:rPr>
                <w:rFonts w:ascii="Arial" w:eastAsia="宋体" w:hAnsi="Arial" w:cs="Arial"/>
                <w:sz w:val="20"/>
                <w:szCs w:val="20"/>
              </w:rPr>
              <w:t>rtially offset by higher software and processing fee revenue in 2019, which includes a full year of revenue from CRD. Total fee revenue in the second half of 2019 was approximately $4.63 billion compared to $4.52 billion in the first half of 2019, represen</w:t>
            </w:r>
            <w:r>
              <w:rPr>
                <w:rFonts w:ascii="Arial" w:eastAsia="宋体" w:hAnsi="Arial" w:cs="Arial"/>
                <w:sz w:val="20"/>
                <w:szCs w:val="20"/>
              </w:rPr>
              <w:t>ting a 2% increase, primarily driven by higher equity markets as well as moderating fee pressure in the second half of the year.</w:t>
            </w:r>
          </w:p>
        </w:tc>
      </w:tr>
    </w:tbl>
    <w:p w14:paraId="5556776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F925DD" w14:paraId="55567768" w14:textId="77777777">
        <w:trPr>
          <w:tblCellSpacing w:w="0" w:type="dxa"/>
        </w:trPr>
        <w:tc>
          <w:tcPr>
            <w:tcW w:w="1920" w:type="dxa"/>
            <w:shd w:val="clear" w:color="auto" w:fill="auto"/>
            <w:vAlign w:val="center"/>
          </w:tcPr>
          <w:p w14:paraId="55567766" w14:textId="77777777" w:rsidR="00F925DD" w:rsidRDefault="00F925DD">
            <w:pPr>
              <w:rPr>
                <w:rFonts w:ascii="Times New Roman" w:hAnsi="Times New Roman"/>
                <w:sz w:val="20"/>
                <w:szCs w:val="20"/>
              </w:rPr>
            </w:pPr>
          </w:p>
        </w:tc>
        <w:tc>
          <w:tcPr>
            <w:tcW w:w="0" w:type="auto"/>
            <w:shd w:val="clear" w:color="auto" w:fill="auto"/>
            <w:vAlign w:val="center"/>
          </w:tcPr>
          <w:p w14:paraId="55567767" w14:textId="77777777" w:rsidR="00F925DD" w:rsidRDefault="00F925DD">
            <w:pPr>
              <w:rPr>
                <w:rFonts w:ascii="Times New Roman" w:hAnsi="Times New Roman"/>
                <w:sz w:val="20"/>
                <w:szCs w:val="20"/>
              </w:rPr>
            </w:pPr>
          </w:p>
        </w:tc>
      </w:tr>
      <w:tr w:rsidR="00F925DD" w14:paraId="5556776B" w14:textId="77777777">
        <w:trPr>
          <w:tblCellSpacing w:w="0" w:type="dxa"/>
        </w:trPr>
        <w:tc>
          <w:tcPr>
            <w:tcW w:w="0" w:type="auto"/>
            <w:shd w:val="clear" w:color="auto" w:fill="auto"/>
          </w:tcPr>
          <w:p w14:paraId="5556776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6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Total revenues contributed by CRD in 2019 were approximately $385 million, including $370 million in software and </w:t>
            </w:r>
            <w:r>
              <w:rPr>
                <w:rFonts w:ascii="Arial" w:eastAsia="宋体" w:hAnsi="Arial" w:cs="Arial"/>
                <w:sz w:val="20"/>
                <w:szCs w:val="20"/>
              </w:rPr>
              <w:t>processing fees and $15 million in brokerage and other trading services, within foreign exchange trading services.</w:t>
            </w:r>
          </w:p>
        </w:tc>
      </w:tr>
    </w:tbl>
    <w:p w14:paraId="5556776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6F" w14:textId="77777777">
        <w:trPr>
          <w:tblCellSpacing w:w="0" w:type="dxa"/>
        </w:trPr>
        <w:tc>
          <w:tcPr>
            <w:tcW w:w="960" w:type="dxa"/>
            <w:shd w:val="clear" w:color="auto" w:fill="auto"/>
            <w:vAlign w:val="center"/>
          </w:tcPr>
          <w:p w14:paraId="5556776D" w14:textId="77777777" w:rsidR="00F925DD" w:rsidRDefault="00F925DD">
            <w:pPr>
              <w:rPr>
                <w:rFonts w:ascii="Times New Roman" w:hAnsi="Times New Roman"/>
                <w:sz w:val="20"/>
                <w:szCs w:val="20"/>
              </w:rPr>
            </w:pPr>
          </w:p>
        </w:tc>
        <w:tc>
          <w:tcPr>
            <w:tcW w:w="0" w:type="auto"/>
            <w:shd w:val="clear" w:color="auto" w:fill="auto"/>
            <w:vAlign w:val="center"/>
          </w:tcPr>
          <w:p w14:paraId="5556776E" w14:textId="77777777" w:rsidR="00F925DD" w:rsidRDefault="00F925DD">
            <w:pPr>
              <w:rPr>
                <w:rFonts w:ascii="Times New Roman" w:hAnsi="Times New Roman"/>
                <w:sz w:val="20"/>
                <w:szCs w:val="20"/>
              </w:rPr>
            </w:pPr>
          </w:p>
        </w:tc>
      </w:tr>
      <w:tr w:rsidR="00F925DD" w14:paraId="55567772" w14:textId="77777777">
        <w:trPr>
          <w:tblCellSpacing w:w="0" w:type="dxa"/>
        </w:trPr>
        <w:tc>
          <w:tcPr>
            <w:tcW w:w="0" w:type="auto"/>
            <w:shd w:val="clear" w:color="auto" w:fill="auto"/>
          </w:tcPr>
          <w:p w14:paraId="5556777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7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Servicing fee revenue decreased 6% in 2019 compared to 2018, primarily due to elevated fee pressure and lower client activity and </w:t>
            </w:r>
            <w:r>
              <w:rPr>
                <w:rFonts w:ascii="Arial" w:eastAsia="宋体" w:hAnsi="Arial" w:cs="Arial"/>
                <w:sz w:val="20"/>
                <w:szCs w:val="20"/>
              </w:rPr>
              <w:t>flows.</w:t>
            </w:r>
          </w:p>
        </w:tc>
      </w:tr>
    </w:tbl>
    <w:p w14:paraId="5556777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76" w14:textId="77777777">
        <w:trPr>
          <w:tblCellSpacing w:w="0" w:type="dxa"/>
        </w:trPr>
        <w:tc>
          <w:tcPr>
            <w:tcW w:w="960" w:type="dxa"/>
            <w:shd w:val="clear" w:color="auto" w:fill="auto"/>
            <w:vAlign w:val="center"/>
          </w:tcPr>
          <w:p w14:paraId="55567774" w14:textId="77777777" w:rsidR="00F925DD" w:rsidRDefault="00F925DD">
            <w:pPr>
              <w:rPr>
                <w:rFonts w:ascii="Times New Roman" w:hAnsi="Times New Roman"/>
                <w:sz w:val="20"/>
                <w:szCs w:val="20"/>
              </w:rPr>
            </w:pPr>
          </w:p>
        </w:tc>
        <w:tc>
          <w:tcPr>
            <w:tcW w:w="0" w:type="auto"/>
            <w:shd w:val="clear" w:color="auto" w:fill="auto"/>
            <w:vAlign w:val="center"/>
          </w:tcPr>
          <w:p w14:paraId="55567775" w14:textId="77777777" w:rsidR="00F925DD" w:rsidRDefault="00F925DD">
            <w:pPr>
              <w:rPr>
                <w:rFonts w:ascii="Times New Roman" w:hAnsi="Times New Roman"/>
                <w:sz w:val="20"/>
                <w:szCs w:val="20"/>
              </w:rPr>
            </w:pPr>
          </w:p>
        </w:tc>
      </w:tr>
      <w:tr w:rsidR="00F925DD" w14:paraId="55567779" w14:textId="77777777">
        <w:trPr>
          <w:tblCellSpacing w:w="0" w:type="dxa"/>
        </w:trPr>
        <w:tc>
          <w:tcPr>
            <w:tcW w:w="0" w:type="auto"/>
            <w:shd w:val="clear" w:color="auto" w:fill="auto"/>
          </w:tcPr>
          <w:p w14:paraId="5556777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7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Management fee revenue decreased 4% in 2019 compared to 2018, primarily reflecting the run rate impact of late 2018 outflows and mix changes away from higher fee products, partially offset by higher equity market levels.</w:t>
            </w:r>
          </w:p>
        </w:tc>
      </w:tr>
    </w:tbl>
    <w:p w14:paraId="5556777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7D" w14:textId="77777777">
        <w:trPr>
          <w:tblCellSpacing w:w="0" w:type="dxa"/>
        </w:trPr>
        <w:tc>
          <w:tcPr>
            <w:tcW w:w="960" w:type="dxa"/>
            <w:shd w:val="clear" w:color="auto" w:fill="auto"/>
            <w:vAlign w:val="center"/>
          </w:tcPr>
          <w:p w14:paraId="5556777B" w14:textId="77777777" w:rsidR="00F925DD" w:rsidRDefault="00F925DD">
            <w:pPr>
              <w:rPr>
                <w:rFonts w:ascii="Times New Roman" w:hAnsi="Times New Roman"/>
                <w:sz w:val="20"/>
                <w:szCs w:val="20"/>
              </w:rPr>
            </w:pPr>
          </w:p>
        </w:tc>
        <w:tc>
          <w:tcPr>
            <w:tcW w:w="0" w:type="auto"/>
            <w:shd w:val="clear" w:color="auto" w:fill="auto"/>
            <w:vAlign w:val="center"/>
          </w:tcPr>
          <w:p w14:paraId="5556777C" w14:textId="77777777" w:rsidR="00F925DD" w:rsidRDefault="00F925DD">
            <w:pPr>
              <w:rPr>
                <w:rFonts w:ascii="Times New Roman" w:hAnsi="Times New Roman"/>
                <w:sz w:val="20"/>
                <w:szCs w:val="20"/>
              </w:rPr>
            </w:pPr>
          </w:p>
        </w:tc>
      </w:tr>
      <w:tr w:rsidR="00F925DD" w14:paraId="55567780" w14:textId="77777777">
        <w:trPr>
          <w:tblCellSpacing w:w="0" w:type="dxa"/>
        </w:trPr>
        <w:tc>
          <w:tcPr>
            <w:tcW w:w="0" w:type="auto"/>
            <w:shd w:val="clear" w:color="auto" w:fill="auto"/>
          </w:tcPr>
          <w:p w14:paraId="5556777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7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Foreign </w:t>
            </w:r>
            <w:r>
              <w:rPr>
                <w:rFonts w:ascii="Arial" w:eastAsia="宋体" w:hAnsi="Arial" w:cs="Arial"/>
                <w:sz w:val="20"/>
                <w:szCs w:val="20"/>
              </w:rPr>
              <w:t>exchange trading services decreased 7% in 2019 compared to 2018 primarily due to lower market volatility.</w:t>
            </w:r>
          </w:p>
        </w:tc>
      </w:tr>
    </w:tbl>
    <w:p w14:paraId="5556778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84" w14:textId="77777777">
        <w:trPr>
          <w:tblCellSpacing w:w="0" w:type="dxa"/>
        </w:trPr>
        <w:tc>
          <w:tcPr>
            <w:tcW w:w="960" w:type="dxa"/>
            <w:shd w:val="clear" w:color="auto" w:fill="auto"/>
            <w:vAlign w:val="center"/>
          </w:tcPr>
          <w:p w14:paraId="55567782" w14:textId="77777777" w:rsidR="00F925DD" w:rsidRDefault="00F925DD">
            <w:pPr>
              <w:rPr>
                <w:rFonts w:ascii="Times New Roman" w:hAnsi="Times New Roman"/>
                <w:sz w:val="20"/>
                <w:szCs w:val="20"/>
              </w:rPr>
            </w:pPr>
          </w:p>
        </w:tc>
        <w:tc>
          <w:tcPr>
            <w:tcW w:w="0" w:type="auto"/>
            <w:shd w:val="clear" w:color="auto" w:fill="auto"/>
            <w:vAlign w:val="center"/>
          </w:tcPr>
          <w:p w14:paraId="55567783" w14:textId="77777777" w:rsidR="00F925DD" w:rsidRDefault="00F925DD">
            <w:pPr>
              <w:rPr>
                <w:rFonts w:ascii="Times New Roman" w:hAnsi="Times New Roman"/>
                <w:sz w:val="20"/>
                <w:szCs w:val="20"/>
              </w:rPr>
            </w:pPr>
          </w:p>
        </w:tc>
      </w:tr>
      <w:tr w:rsidR="00F925DD" w14:paraId="55567787" w14:textId="77777777">
        <w:trPr>
          <w:tblCellSpacing w:w="0" w:type="dxa"/>
        </w:trPr>
        <w:tc>
          <w:tcPr>
            <w:tcW w:w="0" w:type="auto"/>
            <w:shd w:val="clear" w:color="auto" w:fill="auto"/>
          </w:tcPr>
          <w:p w14:paraId="5556778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8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Securities finance revenue decreased 13% in 2019 compared to 2018, reflecting lower securities on loan, enhanced custody balances and spreads, </w:t>
            </w:r>
            <w:r>
              <w:rPr>
                <w:rFonts w:ascii="Arial" w:eastAsia="宋体" w:hAnsi="Arial" w:cs="Arial"/>
                <w:sz w:val="20"/>
                <w:szCs w:val="20"/>
              </w:rPr>
              <w:t>and the impact of balance sheet optimization efforts implemented in the second half of 2018.</w:t>
            </w:r>
          </w:p>
        </w:tc>
      </w:tr>
    </w:tbl>
    <w:p w14:paraId="55567788" w14:textId="77777777" w:rsidR="00F925DD" w:rsidRDefault="00E705D7">
      <w:pPr>
        <w:rPr>
          <w:rFonts w:ascii="Times New Roman" w:hAnsi="Times New Roman"/>
          <w:sz w:val="20"/>
          <w:szCs w:val="20"/>
        </w:rPr>
      </w:pPr>
      <w:r>
        <w:rPr>
          <w:rFonts w:ascii="Times New Roman" w:eastAsia="宋体" w:hAnsi="Times New Roman"/>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8B" w14:textId="77777777">
        <w:trPr>
          <w:tblCellSpacing w:w="0" w:type="dxa"/>
        </w:trPr>
        <w:tc>
          <w:tcPr>
            <w:tcW w:w="960" w:type="dxa"/>
            <w:shd w:val="clear" w:color="auto" w:fill="auto"/>
            <w:vAlign w:val="center"/>
          </w:tcPr>
          <w:p w14:paraId="55567789" w14:textId="77777777" w:rsidR="00F925DD" w:rsidRDefault="00F925DD">
            <w:pPr>
              <w:rPr>
                <w:rFonts w:ascii="Times New Roman" w:hAnsi="Times New Roman"/>
                <w:sz w:val="20"/>
                <w:szCs w:val="20"/>
              </w:rPr>
            </w:pPr>
          </w:p>
        </w:tc>
        <w:tc>
          <w:tcPr>
            <w:tcW w:w="0" w:type="auto"/>
            <w:shd w:val="clear" w:color="auto" w:fill="auto"/>
            <w:vAlign w:val="center"/>
          </w:tcPr>
          <w:p w14:paraId="5556778A" w14:textId="77777777" w:rsidR="00F925DD" w:rsidRDefault="00F925DD">
            <w:pPr>
              <w:rPr>
                <w:rFonts w:ascii="Times New Roman" w:hAnsi="Times New Roman"/>
                <w:sz w:val="20"/>
                <w:szCs w:val="20"/>
              </w:rPr>
            </w:pPr>
          </w:p>
        </w:tc>
      </w:tr>
      <w:tr w:rsidR="00F925DD" w14:paraId="5556778E" w14:textId="77777777">
        <w:trPr>
          <w:tblCellSpacing w:w="0" w:type="dxa"/>
        </w:trPr>
        <w:tc>
          <w:tcPr>
            <w:tcW w:w="0" w:type="auto"/>
            <w:shd w:val="clear" w:color="auto" w:fill="auto"/>
          </w:tcPr>
          <w:p w14:paraId="5556778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8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Software and processing fees revenue increased 64% in 2019 compared to 2018 primarily due to $370 million from CRD, which we acquired in October 2018.</w:t>
            </w:r>
          </w:p>
        </w:tc>
      </w:tr>
    </w:tbl>
    <w:p w14:paraId="5556778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92" w14:textId="77777777">
        <w:trPr>
          <w:tblCellSpacing w:w="0" w:type="dxa"/>
        </w:trPr>
        <w:tc>
          <w:tcPr>
            <w:tcW w:w="960" w:type="dxa"/>
            <w:shd w:val="clear" w:color="auto" w:fill="auto"/>
            <w:vAlign w:val="center"/>
          </w:tcPr>
          <w:p w14:paraId="55567790" w14:textId="77777777" w:rsidR="00F925DD" w:rsidRDefault="00F925DD">
            <w:pPr>
              <w:rPr>
                <w:rFonts w:ascii="Times New Roman" w:hAnsi="Times New Roman"/>
                <w:sz w:val="20"/>
                <w:szCs w:val="20"/>
              </w:rPr>
            </w:pPr>
          </w:p>
        </w:tc>
        <w:tc>
          <w:tcPr>
            <w:tcW w:w="0" w:type="auto"/>
            <w:shd w:val="clear" w:color="auto" w:fill="auto"/>
            <w:vAlign w:val="center"/>
          </w:tcPr>
          <w:p w14:paraId="55567791" w14:textId="77777777" w:rsidR="00F925DD" w:rsidRDefault="00F925DD">
            <w:pPr>
              <w:rPr>
                <w:rFonts w:ascii="Times New Roman" w:hAnsi="Times New Roman"/>
                <w:sz w:val="20"/>
                <w:szCs w:val="20"/>
              </w:rPr>
            </w:pPr>
          </w:p>
        </w:tc>
      </w:tr>
      <w:tr w:rsidR="00F925DD" w14:paraId="55567795" w14:textId="77777777">
        <w:trPr>
          <w:tblCellSpacing w:w="0" w:type="dxa"/>
        </w:trPr>
        <w:tc>
          <w:tcPr>
            <w:tcW w:w="0" w:type="auto"/>
            <w:shd w:val="clear" w:color="auto" w:fill="auto"/>
          </w:tcPr>
          <w:p w14:paraId="5556779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9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NII decreased 4% in 2019 compared to 2018, primarily due to lower average non-interest bearing client deposit balances and lower long-end U.S. market rates, partially offset by FICC, investment portfolio and loan growth.</w:t>
            </w:r>
          </w:p>
        </w:tc>
      </w:tr>
    </w:tbl>
    <w:p w14:paraId="55567796"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Expenses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99" w14:textId="77777777">
        <w:trPr>
          <w:tblCellSpacing w:w="0" w:type="dxa"/>
        </w:trPr>
        <w:tc>
          <w:tcPr>
            <w:tcW w:w="960" w:type="dxa"/>
            <w:shd w:val="clear" w:color="auto" w:fill="auto"/>
            <w:vAlign w:val="center"/>
          </w:tcPr>
          <w:p w14:paraId="55567797" w14:textId="77777777" w:rsidR="00F925DD" w:rsidRDefault="00F925DD">
            <w:pPr>
              <w:rPr>
                <w:rFonts w:ascii="Times New Roman" w:hAnsi="Times New Roman"/>
                <w:sz w:val="20"/>
                <w:szCs w:val="20"/>
              </w:rPr>
            </w:pPr>
          </w:p>
        </w:tc>
        <w:tc>
          <w:tcPr>
            <w:tcW w:w="0" w:type="auto"/>
            <w:shd w:val="clear" w:color="auto" w:fill="auto"/>
            <w:vAlign w:val="center"/>
          </w:tcPr>
          <w:p w14:paraId="55567798" w14:textId="77777777" w:rsidR="00F925DD" w:rsidRDefault="00F925DD">
            <w:pPr>
              <w:rPr>
                <w:rFonts w:ascii="Times New Roman" w:hAnsi="Times New Roman"/>
                <w:sz w:val="20"/>
                <w:szCs w:val="20"/>
              </w:rPr>
            </w:pPr>
          </w:p>
        </w:tc>
      </w:tr>
      <w:tr w:rsidR="00F925DD" w14:paraId="5556779C" w14:textId="77777777">
        <w:trPr>
          <w:tblCellSpacing w:w="0" w:type="dxa"/>
        </w:trPr>
        <w:tc>
          <w:tcPr>
            <w:tcW w:w="0" w:type="auto"/>
            <w:shd w:val="clear" w:color="auto" w:fill="auto"/>
          </w:tcPr>
          <w:p w14:paraId="5556779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9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Total </w:t>
            </w:r>
            <w:r>
              <w:rPr>
                <w:rFonts w:ascii="Arial" w:eastAsia="宋体" w:hAnsi="Arial" w:cs="Arial"/>
                <w:sz w:val="20"/>
                <w:szCs w:val="20"/>
              </w:rPr>
              <w:t>expenses were up slightly in 2019 compared to 2018, primarily reflecting the impact of the incremental legal reserve of $140 million, technology infrastructure investments and the impact of the CRD acquisition, partially offset by savings from resource dis</w:t>
            </w:r>
            <w:r>
              <w:rPr>
                <w:rFonts w:ascii="Arial" w:eastAsia="宋体" w:hAnsi="Arial" w:cs="Arial"/>
                <w:sz w:val="20"/>
                <w:szCs w:val="20"/>
              </w:rPr>
              <w:t>cipline, process re-engineering and automation initiatives and lower repositioning charges in 2019 compared to 2018.</w:t>
            </w:r>
          </w:p>
        </w:tc>
      </w:tr>
    </w:tbl>
    <w:p w14:paraId="5556779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F925DD" w14:paraId="555677A0" w14:textId="77777777">
        <w:trPr>
          <w:tblCellSpacing w:w="0" w:type="dxa"/>
        </w:trPr>
        <w:tc>
          <w:tcPr>
            <w:tcW w:w="1920" w:type="dxa"/>
            <w:shd w:val="clear" w:color="auto" w:fill="auto"/>
            <w:vAlign w:val="center"/>
          </w:tcPr>
          <w:p w14:paraId="5556779E" w14:textId="77777777" w:rsidR="00F925DD" w:rsidRDefault="00F925DD">
            <w:pPr>
              <w:rPr>
                <w:rFonts w:ascii="Times New Roman" w:hAnsi="Times New Roman"/>
                <w:sz w:val="20"/>
                <w:szCs w:val="20"/>
              </w:rPr>
            </w:pPr>
          </w:p>
        </w:tc>
        <w:tc>
          <w:tcPr>
            <w:tcW w:w="0" w:type="auto"/>
            <w:shd w:val="clear" w:color="auto" w:fill="auto"/>
            <w:vAlign w:val="center"/>
          </w:tcPr>
          <w:p w14:paraId="5556779F" w14:textId="77777777" w:rsidR="00F925DD" w:rsidRDefault="00F925DD">
            <w:pPr>
              <w:rPr>
                <w:rFonts w:ascii="Times New Roman" w:hAnsi="Times New Roman"/>
                <w:sz w:val="20"/>
                <w:szCs w:val="20"/>
              </w:rPr>
            </w:pPr>
          </w:p>
        </w:tc>
      </w:tr>
      <w:tr w:rsidR="00F925DD" w14:paraId="555677A3" w14:textId="77777777">
        <w:trPr>
          <w:tblCellSpacing w:w="0" w:type="dxa"/>
        </w:trPr>
        <w:tc>
          <w:tcPr>
            <w:tcW w:w="0" w:type="auto"/>
            <w:shd w:val="clear" w:color="auto" w:fill="auto"/>
          </w:tcPr>
          <w:p w14:paraId="555677A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A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recorded a repositioning charge in 2019 of approximately $110 million, consisting of $98 million of compensation and </w:t>
            </w:r>
            <w:r>
              <w:rPr>
                <w:rFonts w:ascii="Arial" w:eastAsia="宋体" w:hAnsi="Arial" w:cs="Arial"/>
                <w:sz w:val="20"/>
                <w:szCs w:val="20"/>
              </w:rPr>
              <w:t>employee benefits expenses and $12 million of occupancy expenses, to further drive process automation, information technology optimizations and organization rationalization in 2020.</w:t>
            </w:r>
          </w:p>
        </w:tc>
      </w:tr>
    </w:tbl>
    <w:p w14:paraId="555677A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F925DD" w14:paraId="555677A7" w14:textId="77777777">
        <w:trPr>
          <w:tblCellSpacing w:w="0" w:type="dxa"/>
        </w:trPr>
        <w:tc>
          <w:tcPr>
            <w:tcW w:w="1920" w:type="dxa"/>
            <w:shd w:val="clear" w:color="auto" w:fill="auto"/>
            <w:vAlign w:val="center"/>
          </w:tcPr>
          <w:p w14:paraId="555677A5" w14:textId="77777777" w:rsidR="00F925DD" w:rsidRDefault="00F925DD">
            <w:pPr>
              <w:rPr>
                <w:rFonts w:ascii="Times New Roman" w:hAnsi="Times New Roman"/>
                <w:sz w:val="20"/>
                <w:szCs w:val="20"/>
              </w:rPr>
            </w:pPr>
          </w:p>
        </w:tc>
        <w:tc>
          <w:tcPr>
            <w:tcW w:w="0" w:type="auto"/>
            <w:shd w:val="clear" w:color="auto" w:fill="auto"/>
            <w:vAlign w:val="center"/>
          </w:tcPr>
          <w:p w14:paraId="555677A6" w14:textId="77777777" w:rsidR="00F925DD" w:rsidRDefault="00F925DD">
            <w:pPr>
              <w:rPr>
                <w:rFonts w:ascii="Times New Roman" w:hAnsi="Times New Roman"/>
                <w:sz w:val="20"/>
                <w:szCs w:val="20"/>
              </w:rPr>
            </w:pPr>
          </w:p>
        </w:tc>
      </w:tr>
      <w:tr w:rsidR="00F925DD" w14:paraId="555677AA" w14:textId="77777777">
        <w:trPr>
          <w:tblCellSpacing w:w="0" w:type="dxa"/>
        </w:trPr>
        <w:tc>
          <w:tcPr>
            <w:tcW w:w="0" w:type="auto"/>
            <w:shd w:val="clear" w:color="auto" w:fill="auto"/>
          </w:tcPr>
          <w:p w14:paraId="555677A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A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Total expenses contributed by CRD in 2019 and 2018 were </w:t>
            </w:r>
            <w:r>
              <w:rPr>
                <w:rFonts w:ascii="Arial" w:eastAsia="宋体" w:hAnsi="Arial" w:cs="Arial"/>
                <w:sz w:val="20"/>
                <w:szCs w:val="20"/>
              </w:rPr>
              <w:t xml:space="preserve">approximately $201 million and $39 million, respectively, including $148 million and $28 million in compensation and employee benefits and $53 million and $11 million in other expense lines, respectively. In addition, CRD-related expenses in 2019 and 2018 </w:t>
            </w:r>
            <w:r>
              <w:rPr>
                <w:rFonts w:ascii="Arial" w:eastAsia="宋体" w:hAnsi="Arial" w:cs="Arial"/>
                <w:sz w:val="20"/>
                <w:szCs w:val="20"/>
              </w:rPr>
              <w:t>included $65 million and $18 million, respectively in amortization of other intangible assets.</w:t>
            </w:r>
          </w:p>
        </w:tc>
      </w:tr>
    </w:tbl>
    <w:p w14:paraId="555677A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F925DD" w14:paraId="555677AE" w14:textId="77777777">
        <w:trPr>
          <w:tblCellSpacing w:w="0" w:type="dxa"/>
        </w:trPr>
        <w:tc>
          <w:tcPr>
            <w:tcW w:w="1920" w:type="dxa"/>
            <w:shd w:val="clear" w:color="auto" w:fill="auto"/>
            <w:vAlign w:val="center"/>
          </w:tcPr>
          <w:p w14:paraId="555677AC" w14:textId="77777777" w:rsidR="00F925DD" w:rsidRDefault="00F925DD">
            <w:pPr>
              <w:rPr>
                <w:rFonts w:ascii="Times New Roman" w:hAnsi="Times New Roman"/>
                <w:sz w:val="20"/>
                <w:szCs w:val="20"/>
              </w:rPr>
            </w:pPr>
          </w:p>
        </w:tc>
        <w:tc>
          <w:tcPr>
            <w:tcW w:w="0" w:type="auto"/>
            <w:shd w:val="clear" w:color="auto" w:fill="auto"/>
            <w:vAlign w:val="center"/>
          </w:tcPr>
          <w:p w14:paraId="555677AD" w14:textId="77777777" w:rsidR="00F925DD" w:rsidRDefault="00F925DD">
            <w:pPr>
              <w:rPr>
                <w:rFonts w:ascii="Times New Roman" w:hAnsi="Times New Roman"/>
                <w:sz w:val="20"/>
                <w:szCs w:val="20"/>
              </w:rPr>
            </w:pPr>
          </w:p>
        </w:tc>
      </w:tr>
      <w:tr w:rsidR="00F925DD" w14:paraId="555677B1" w14:textId="77777777">
        <w:trPr>
          <w:tblCellSpacing w:w="0" w:type="dxa"/>
        </w:trPr>
        <w:tc>
          <w:tcPr>
            <w:tcW w:w="0" w:type="auto"/>
            <w:shd w:val="clear" w:color="auto" w:fill="auto"/>
          </w:tcPr>
          <w:p w14:paraId="555677A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B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recorded a $140 million increase to our legal accrual for government investigations and civil litigation associated with our invoicing matter </w:t>
            </w:r>
            <w:r>
              <w:rPr>
                <w:rFonts w:ascii="Arial" w:eastAsia="宋体" w:hAnsi="Arial" w:cs="Arial"/>
                <w:sz w:val="20"/>
                <w:szCs w:val="20"/>
              </w:rPr>
              <w:t>first reported in December 2015. The accrual reflects our intention to seek to resolve these matters.</w:t>
            </w:r>
          </w:p>
        </w:tc>
      </w:tr>
    </w:tbl>
    <w:p w14:paraId="555677B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AUC/A and AUM</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B5" w14:textId="77777777">
        <w:trPr>
          <w:tblCellSpacing w:w="0" w:type="dxa"/>
        </w:trPr>
        <w:tc>
          <w:tcPr>
            <w:tcW w:w="960" w:type="dxa"/>
            <w:shd w:val="clear" w:color="auto" w:fill="auto"/>
            <w:vAlign w:val="center"/>
          </w:tcPr>
          <w:p w14:paraId="555677B3" w14:textId="77777777" w:rsidR="00F925DD" w:rsidRDefault="00F925DD">
            <w:pPr>
              <w:rPr>
                <w:rFonts w:ascii="Times New Roman" w:hAnsi="Times New Roman"/>
                <w:sz w:val="20"/>
                <w:szCs w:val="20"/>
              </w:rPr>
            </w:pPr>
          </w:p>
        </w:tc>
        <w:tc>
          <w:tcPr>
            <w:tcW w:w="0" w:type="auto"/>
            <w:shd w:val="clear" w:color="auto" w:fill="auto"/>
            <w:vAlign w:val="center"/>
          </w:tcPr>
          <w:p w14:paraId="555677B4" w14:textId="77777777" w:rsidR="00F925DD" w:rsidRDefault="00F925DD">
            <w:pPr>
              <w:rPr>
                <w:rFonts w:ascii="Times New Roman" w:hAnsi="Times New Roman"/>
                <w:sz w:val="20"/>
                <w:szCs w:val="20"/>
              </w:rPr>
            </w:pPr>
          </w:p>
        </w:tc>
      </w:tr>
      <w:tr w:rsidR="00F925DD" w14:paraId="555677B8" w14:textId="77777777">
        <w:trPr>
          <w:tblCellSpacing w:w="0" w:type="dxa"/>
        </w:trPr>
        <w:tc>
          <w:tcPr>
            <w:tcW w:w="0" w:type="auto"/>
            <w:shd w:val="clear" w:color="auto" w:fill="auto"/>
          </w:tcPr>
          <w:p w14:paraId="555677B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B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AUC/A increased 9% as of December 31, 2019 compared to December 31, 2018, primarily due to higher end of period market levels and client flows, partially offset by a previously announced client transition. In 2019, newly announced asset servicing mandates </w:t>
            </w:r>
            <w:r>
              <w:rPr>
                <w:rFonts w:ascii="Arial" w:eastAsia="宋体" w:hAnsi="Arial" w:cs="Arial"/>
                <w:sz w:val="20"/>
                <w:szCs w:val="20"/>
              </w:rPr>
              <w:t xml:space="preserve">totaled approximately $1.84 trillion, in line with a high </w:t>
            </w:r>
          </w:p>
        </w:tc>
      </w:tr>
    </w:tbl>
    <w:p w14:paraId="555677B9" w14:textId="77777777" w:rsidR="00F925DD" w:rsidRDefault="00F925DD">
      <w:pPr>
        <w:rPr>
          <w:rFonts w:ascii="Times New Roman" w:hAnsi="Times New Roman"/>
          <w:sz w:val="20"/>
          <w:szCs w:val="20"/>
        </w:rPr>
      </w:pPr>
    </w:p>
    <w:p w14:paraId="555677B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59</w:t>
      </w:r>
    </w:p>
    <w:p w14:paraId="555677BB" w14:textId="77777777" w:rsidR="00F925DD" w:rsidRDefault="00F925DD">
      <w:pPr>
        <w:spacing w:line="288" w:lineRule="auto"/>
        <w:ind w:firstLine="600"/>
        <w:jc w:val="center"/>
        <w:rPr>
          <w:rFonts w:ascii="Times New Roman" w:hAnsi="Times New Roman"/>
          <w:sz w:val="18"/>
          <w:szCs w:val="18"/>
        </w:rPr>
      </w:pPr>
    </w:p>
    <w:p w14:paraId="555677BC" w14:textId="77777777" w:rsidR="00F925DD" w:rsidRDefault="00E705D7">
      <w:r>
        <w:rPr>
          <w:rFonts w:ascii="Times New Roman" w:hAnsi="Times New Roman"/>
          <w:sz w:val="18"/>
          <w:szCs w:val="18"/>
        </w:rPr>
        <w:pict w14:anchorId="55570675">
          <v:rect id="_x0000_i1083" style="width:415.3pt;height:1.5pt" o:hralign="center" o:hrstd="t" o:hr="t" fillcolor="#a0a0a0" stroked="f"/>
        </w:pict>
      </w:r>
    </w:p>
    <w:p w14:paraId="555677B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7B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7BF" w14:textId="77777777" w:rsidR="00F925DD" w:rsidRDefault="00F925DD">
      <w:pPr>
        <w:rPr>
          <w:rFonts w:ascii="Times New Roman" w:hAnsi="Times New Roman"/>
          <w:sz w:val="20"/>
          <w:szCs w:val="20"/>
        </w:rPr>
      </w:pPr>
    </w:p>
    <w:p w14:paraId="555677C0"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of $1.89 trillion in 2018, primarily driven by additional services for an </w:t>
      </w:r>
      <w:r>
        <w:rPr>
          <w:rFonts w:ascii="Arial" w:eastAsia="宋体" w:hAnsi="Arial" w:cs="Arial"/>
          <w:sz w:val="20"/>
          <w:szCs w:val="20"/>
        </w:rPr>
        <w:t>existing large asset manager client. Servicing assets remaining to be installed in future periods totaled approximately $1.17 trillion as of December 31, 2019.</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C3" w14:textId="77777777">
        <w:trPr>
          <w:tblCellSpacing w:w="0" w:type="dxa"/>
        </w:trPr>
        <w:tc>
          <w:tcPr>
            <w:tcW w:w="960" w:type="dxa"/>
            <w:shd w:val="clear" w:color="auto" w:fill="auto"/>
            <w:vAlign w:val="center"/>
          </w:tcPr>
          <w:p w14:paraId="555677C1" w14:textId="77777777" w:rsidR="00F925DD" w:rsidRDefault="00F925DD">
            <w:pPr>
              <w:rPr>
                <w:rFonts w:ascii="Times New Roman" w:hAnsi="Times New Roman"/>
                <w:sz w:val="20"/>
                <w:szCs w:val="20"/>
              </w:rPr>
            </w:pPr>
          </w:p>
        </w:tc>
        <w:tc>
          <w:tcPr>
            <w:tcW w:w="0" w:type="auto"/>
            <w:shd w:val="clear" w:color="auto" w:fill="auto"/>
            <w:vAlign w:val="center"/>
          </w:tcPr>
          <w:p w14:paraId="555677C2" w14:textId="77777777" w:rsidR="00F925DD" w:rsidRDefault="00F925DD">
            <w:pPr>
              <w:rPr>
                <w:rFonts w:ascii="Times New Roman" w:hAnsi="Times New Roman"/>
                <w:sz w:val="20"/>
                <w:szCs w:val="20"/>
              </w:rPr>
            </w:pPr>
          </w:p>
        </w:tc>
      </w:tr>
      <w:tr w:rsidR="00F925DD" w14:paraId="555677C6" w14:textId="77777777">
        <w:trPr>
          <w:tblCellSpacing w:w="0" w:type="dxa"/>
        </w:trPr>
        <w:tc>
          <w:tcPr>
            <w:tcW w:w="0" w:type="auto"/>
            <w:shd w:val="clear" w:color="auto" w:fill="auto"/>
          </w:tcPr>
          <w:p w14:paraId="555677C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C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AUM increased 24% as of December 31, 2019 compared to December 31, 2018, primarily due to h</w:t>
            </w:r>
            <w:r>
              <w:rPr>
                <w:rFonts w:ascii="Arial" w:eastAsia="宋体" w:hAnsi="Arial" w:cs="Arial"/>
                <w:sz w:val="20"/>
                <w:szCs w:val="20"/>
              </w:rPr>
              <w:t>igher end of period market levels and net inflows, driven by institutional, ETF and cash inflows.</w:t>
            </w:r>
          </w:p>
        </w:tc>
      </w:tr>
    </w:tbl>
    <w:p w14:paraId="555677C7"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Capital and Capital Redemptions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CA" w14:textId="77777777">
        <w:trPr>
          <w:tblCellSpacing w:w="0" w:type="dxa"/>
        </w:trPr>
        <w:tc>
          <w:tcPr>
            <w:tcW w:w="960" w:type="dxa"/>
            <w:shd w:val="clear" w:color="auto" w:fill="auto"/>
            <w:vAlign w:val="center"/>
          </w:tcPr>
          <w:p w14:paraId="555677C8" w14:textId="77777777" w:rsidR="00F925DD" w:rsidRDefault="00F925DD">
            <w:pPr>
              <w:rPr>
                <w:rFonts w:ascii="Times New Roman" w:hAnsi="Times New Roman"/>
                <w:sz w:val="20"/>
                <w:szCs w:val="20"/>
              </w:rPr>
            </w:pPr>
          </w:p>
        </w:tc>
        <w:tc>
          <w:tcPr>
            <w:tcW w:w="0" w:type="auto"/>
            <w:shd w:val="clear" w:color="auto" w:fill="auto"/>
            <w:vAlign w:val="center"/>
          </w:tcPr>
          <w:p w14:paraId="555677C9" w14:textId="77777777" w:rsidR="00F925DD" w:rsidRDefault="00F925DD">
            <w:pPr>
              <w:rPr>
                <w:rFonts w:ascii="Times New Roman" w:hAnsi="Times New Roman"/>
                <w:sz w:val="20"/>
                <w:szCs w:val="20"/>
              </w:rPr>
            </w:pPr>
          </w:p>
        </w:tc>
      </w:tr>
      <w:tr w:rsidR="00F925DD" w14:paraId="555677CD" w14:textId="77777777">
        <w:trPr>
          <w:tblCellSpacing w:w="0" w:type="dxa"/>
        </w:trPr>
        <w:tc>
          <w:tcPr>
            <w:tcW w:w="0" w:type="auto"/>
            <w:shd w:val="clear" w:color="auto" w:fill="auto"/>
          </w:tcPr>
          <w:p w14:paraId="555677C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C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 2019, we returned a total of approximately $2.33 billion to our shareholders in the form of common stock </w:t>
            </w:r>
            <w:r>
              <w:rPr>
                <w:rFonts w:ascii="Arial" w:eastAsia="宋体" w:hAnsi="Arial" w:cs="Arial"/>
                <w:sz w:val="20"/>
                <w:szCs w:val="20"/>
              </w:rPr>
              <w:t>dividends and share purchases.</w:t>
            </w:r>
          </w:p>
        </w:tc>
      </w:tr>
    </w:tbl>
    <w:p w14:paraId="555677C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F925DD" w14:paraId="555677D1" w14:textId="77777777">
        <w:trPr>
          <w:tblCellSpacing w:w="0" w:type="dxa"/>
        </w:trPr>
        <w:tc>
          <w:tcPr>
            <w:tcW w:w="1920" w:type="dxa"/>
            <w:shd w:val="clear" w:color="auto" w:fill="auto"/>
            <w:vAlign w:val="center"/>
          </w:tcPr>
          <w:p w14:paraId="555677CF" w14:textId="77777777" w:rsidR="00F925DD" w:rsidRDefault="00F925DD">
            <w:pPr>
              <w:rPr>
                <w:rFonts w:ascii="Times New Roman" w:hAnsi="Times New Roman"/>
                <w:sz w:val="20"/>
                <w:szCs w:val="20"/>
              </w:rPr>
            </w:pPr>
          </w:p>
        </w:tc>
        <w:tc>
          <w:tcPr>
            <w:tcW w:w="0" w:type="auto"/>
            <w:shd w:val="clear" w:color="auto" w:fill="auto"/>
            <w:vAlign w:val="center"/>
          </w:tcPr>
          <w:p w14:paraId="555677D0" w14:textId="77777777" w:rsidR="00F925DD" w:rsidRDefault="00F925DD">
            <w:pPr>
              <w:rPr>
                <w:rFonts w:ascii="Times New Roman" w:hAnsi="Times New Roman"/>
                <w:sz w:val="20"/>
                <w:szCs w:val="20"/>
              </w:rPr>
            </w:pPr>
          </w:p>
        </w:tc>
      </w:tr>
      <w:tr w:rsidR="00F925DD" w14:paraId="555677D4" w14:textId="77777777">
        <w:trPr>
          <w:tblCellSpacing w:w="0" w:type="dxa"/>
        </w:trPr>
        <w:tc>
          <w:tcPr>
            <w:tcW w:w="0" w:type="auto"/>
            <w:shd w:val="clear" w:color="auto" w:fill="auto"/>
          </w:tcPr>
          <w:p w14:paraId="555677D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D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declared aggregate common stock dividends of $1.98 per share, totaling $728 million in 2019, compared to $1.78 per share, totaling $665 million in 2018, representing an increase of approximately 11% on a per </w:t>
            </w:r>
            <w:r>
              <w:rPr>
                <w:rFonts w:ascii="Arial" w:eastAsia="宋体" w:hAnsi="Arial" w:cs="Arial"/>
                <w:sz w:val="20"/>
                <w:szCs w:val="20"/>
              </w:rPr>
              <w:t>share basis.</w:t>
            </w:r>
          </w:p>
        </w:tc>
      </w:tr>
    </w:tbl>
    <w:p w14:paraId="555677D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F925DD" w14:paraId="555677D8" w14:textId="77777777">
        <w:trPr>
          <w:tblCellSpacing w:w="0" w:type="dxa"/>
        </w:trPr>
        <w:tc>
          <w:tcPr>
            <w:tcW w:w="1920" w:type="dxa"/>
            <w:shd w:val="clear" w:color="auto" w:fill="auto"/>
            <w:vAlign w:val="center"/>
          </w:tcPr>
          <w:p w14:paraId="555677D6" w14:textId="77777777" w:rsidR="00F925DD" w:rsidRDefault="00F925DD">
            <w:pPr>
              <w:rPr>
                <w:rFonts w:ascii="Times New Roman" w:hAnsi="Times New Roman"/>
                <w:sz w:val="20"/>
                <w:szCs w:val="20"/>
              </w:rPr>
            </w:pPr>
          </w:p>
        </w:tc>
        <w:tc>
          <w:tcPr>
            <w:tcW w:w="0" w:type="auto"/>
            <w:shd w:val="clear" w:color="auto" w:fill="auto"/>
            <w:vAlign w:val="center"/>
          </w:tcPr>
          <w:p w14:paraId="555677D7" w14:textId="77777777" w:rsidR="00F925DD" w:rsidRDefault="00F925DD">
            <w:pPr>
              <w:rPr>
                <w:rFonts w:ascii="Times New Roman" w:hAnsi="Times New Roman"/>
                <w:sz w:val="20"/>
                <w:szCs w:val="20"/>
              </w:rPr>
            </w:pPr>
          </w:p>
        </w:tc>
      </w:tr>
      <w:tr w:rsidR="00F925DD" w14:paraId="555677DB" w14:textId="77777777">
        <w:trPr>
          <w:tblCellSpacing w:w="0" w:type="dxa"/>
        </w:trPr>
        <w:tc>
          <w:tcPr>
            <w:tcW w:w="0" w:type="auto"/>
            <w:shd w:val="clear" w:color="auto" w:fill="auto"/>
          </w:tcPr>
          <w:p w14:paraId="555677D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D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 2019, we acquired 24.9 million shares of common stock at an average per share cost of $64.30 and an aggregate cost of approximately $1.6 billion. In 2018, we acquired 3.3 million shares of common stock at an average per share </w:t>
            </w:r>
            <w:r>
              <w:rPr>
                <w:rFonts w:ascii="Arial" w:eastAsia="宋体" w:hAnsi="Arial" w:cs="Arial"/>
                <w:sz w:val="20"/>
                <w:szCs w:val="20"/>
              </w:rPr>
              <w:t>cost of $105.31 and an aggregate cost of approximately $350 million. These purchases were all conducted under share purchase programs approved by our Board of Directors.</w:t>
            </w:r>
          </w:p>
        </w:tc>
      </w:tr>
    </w:tbl>
    <w:p w14:paraId="555677D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DF" w14:textId="77777777">
        <w:trPr>
          <w:tblCellSpacing w:w="0" w:type="dxa"/>
        </w:trPr>
        <w:tc>
          <w:tcPr>
            <w:tcW w:w="960" w:type="dxa"/>
            <w:shd w:val="clear" w:color="auto" w:fill="auto"/>
            <w:vAlign w:val="center"/>
          </w:tcPr>
          <w:p w14:paraId="555677DD" w14:textId="77777777" w:rsidR="00F925DD" w:rsidRDefault="00F925DD">
            <w:pPr>
              <w:rPr>
                <w:rFonts w:ascii="Times New Roman" w:hAnsi="Times New Roman"/>
                <w:sz w:val="20"/>
                <w:szCs w:val="20"/>
              </w:rPr>
            </w:pPr>
          </w:p>
        </w:tc>
        <w:tc>
          <w:tcPr>
            <w:tcW w:w="0" w:type="auto"/>
            <w:shd w:val="clear" w:color="auto" w:fill="auto"/>
            <w:vAlign w:val="center"/>
          </w:tcPr>
          <w:p w14:paraId="555677DE" w14:textId="77777777" w:rsidR="00F925DD" w:rsidRDefault="00F925DD">
            <w:pPr>
              <w:rPr>
                <w:rFonts w:ascii="Times New Roman" w:hAnsi="Times New Roman"/>
                <w:sz w:val="20"/>
                <w:szCs w:val="20"/>
              </w:rPr>
            </w:pPr>
          </w:p>
        </w:tc>
      </w:tr>
      <w:tr w:rsidR="00F925DD" w14:paraId="555677E2" w14:textId="77777777">
        <w:trPr>
          <w:tblCellSpacing w:w="0" w:type="dxa"/>
        </w:trPr>
        <w:tc>
          <w:tcPr>
            <w:tcW w:w="0" w:type="auto"/>
            <w:shd w:val="clear" w:color="auto" w:fill="auto"/>
          </w:tcPr>
          <w:p w14:paraId="555677E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E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 June 2019, the Federal Reserve issued a non-objection to our capital </w:t>
            </w:r>
            <w:r>
              <w:rPr>
                <w:rFonts w:ascii="Arial" w:eastAsia="宋体" w:hAnsi="Arial" w:cs="Arial"/>
                <w:sz w:val="20"/>
                <w:szCs w:val="20"/>
              </w:rPr>
              <w:t>plan included as part of our 2019 CCAR submission. Pursuant to that plan, our Board authorized the 2019 Program and we increased our quarterly common stock dividend to $0.52 per share in the third quarter of 2019.</w:t>
            </w:r>
          </w:p>
        </w:tc>
      </w:tr>
    </w:tbl>
    <w:p w14:paraId="555677E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E6" w14:textId="77777777">
        <w:trPr>
          <w:tblCellSpacing w:w="0" w:type="dxa"/>
        </w:trPr>
        <w:tc>
          <w:tcPr>
            <w:tcW w:w="960" w:type="dxa"/>
            <w:shd w:val="clear" w:color="auto" w:fill="auto"/>
            <w:vAlign w:val="center"/>
          </w:tcPr>
          <w:p w14:paraId="555677E4" w14:textId="77777777" w:rsidR="00F925DD" w:rsidRDefault="00F925DD">
            <w:pPr>
              <w:rPr>
                <w:rFonts w:ascii="Times New Roman" w:hAnsi="Times New Roman"/>
                <w:sz w:val="20"/>
                <w:szCs w:val="20"/>
              </w:rPr>
            </w:pPr>
          </w:p>
        </w:tc>
        <w:tc>
          <w:tcPr>
            <w:tcW w:w="0" w:type="auto"/>
            <w:shd w:val="clear" w:color="auto" w:fill="auto"/>
            <w:vAlign w:val="center"/>
          </w:tcPr>
          <w:p w14:paraId="555677E5" w14:textId="77777777" w:rsidR="00F925DD" w:rsidRDefault="00F925DD">
            <w:pPr>
              <w:rPr>
                <w:rFonts w:ascii="Times New Roman" w:hAnsi="Times New Roman"/>
                <w:sz w:val="20"/>
                <w:szCs w:val="20"/>
              </w:rPr>
            </w:pPr>
          </w:p>
        </w:tc>
      </w:tr>
      <w:tr w:rsidR="00F925DD" w14:paraId="555677E9" w14:textId="77777777">
        <w:trPr>
          <w:tblCellSpacing w:w="0" w:type="dxa"/>
        </w:trPr>
        <w:tc>
          <w:tcPr>
            <w:tcW w:w="0" w:type="auto"/>
            <w:shd w:val="clear" w:color="auto" w:fill="auto"/>
          </w:tcPr>
          <w:p w14:paraId="555677E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E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Our CET1 capital ratio was </w:t>
            </w:r>
            <w:r>
              <w:rPr>
                <w:rFonts w:ascii="Arial" w:eastAsia="宋体" w:hAnsi="Arial" w:cs="Arial"/>
                <w:sz w:val="20"/>
                <w:szCs w:val="20"/>
              </w:rPr>
              <w:t>11.7% as of both December 31, 2019 and 2018, and Tier 1 leverage ratio decreased to 6.9% as of December 31, 2019, compared to 7.2% as of December 31, 2018. As of December 31, 2019, advanced approaches capital ratios were binding for the period. As of Decem</w:t>
            </w:r>
            <w:r>
              <w:rPr>
                <w:rFonts w:ascii="Arial" w:eastAsia="宋体" w:hAnsi="Arial" w:cs="Arial"/>
                <w:sz w:val="20"/>
                <w:szCs w:val="20"/>
              </w:rPr>
              <w:t>ber 31, 2018, standardized approaches capital ratios were binding for the period.</w:t>
            </w:r>
          </w:p>
        </w:tc>
      </w:tr>
    </w:tbl>
    <w:p w14:paraId="555677EA"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Capital Redemptions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ED" w14:textId="77777777">
        <w:trPr>
          <w:tblCellSpacing w:w="0" w:type="dxa"/>
        </w:trPr>
        <w:tc>
          <w:tcPr>
            <w:tcW w:w="960" w:type="dxa"/>
            <w:shd w:val="clear" w:color="auto" w:fill="auto"/>
            <w:vAlign w:val="center"/>
          </w:tcPr>
          <w:p w14:paraId="555677EB" w14:textId="77777777" w:rsidR="00F925DD" w:rsidRDefault="00F925DD">
            <w:pPr>
              <w:rPr>
                <w:rFonts w:ascii="Times New Roman" w:hAnsi="Times New Roman"/>
                <w:sz w:val="20"/>
                <w:szCs w:val="20"/>
              </w:rPr>
            </w:pPr>
          </w:p>
        </w:tc>
        <w:tc>
          <w:tcPr>
            <w:tcW w:w="0" w:type="auto"/>
            <w:shd w:val="clear" w:color="auto" w:fill="auto"/>
            <w:vAlign w:val="center"/>
          </w:tcPr>
          <w:p w14:paraId="555677EC" w14:textId="77777777" w:rsidR="00F925DD" w:rsidRDefault="00F925DD">
            <w:pPr>
              <w:rPr>
                <w:rFonts w:ascii="Times New Roman" w:hAnsi="Times New Roman"/>
                <w:sz w:val="20"/>
                <w:szCs w:val="20"/>
              </w:rPr>
            </w:pPr>
          </w:p>
        </w:tc>
      </w:tr>
      <w:tr w:rsidR="00F925DD" w14:paraId="555677F0" w14:textId="77777777">
        <w:trPr>
          <w:tblCellSpacing w:w="0" w:type="dxa"/>
        </w:trPr>
        <w:tc>
          <w:tcPr>
            <w:tcW w:w="0" w:type="auto"/>
            <w:shd w:val="clear" w:color="auto" w:fill="auto"/>
          </w:tcPr>
          <w:p w14:paraId="555677E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E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redeemed all outstanding Series E non-cumulative perpetual preferred stock as of December 15, 2019 at a redemption price of $750 million ($100,000 per share equivalent to </w:t>
            </w:r>
          </w:p>
        </w:tc>
      </w:tr>
    </w:tbl>
    <w:p w14:paraId="555677F1"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7F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$25.00 per depositary share) plus accrued and unpaid dividends. The difference</w:t>
      </w:r>
      <w:r>
        <w:rPr>
          <w:rFonts w:ascii="Arial" w:eastAsia="宋体" w:hAnsi="Arial" w:cs="Arial"/>
          <w:sz w:val="20"/>
          <w:szCs w:val="20"/>
        </w:rPr>
        <w:t xml:space="preserve"> of $22 million between the redemption value and the net carrying value resulted in an EPS impact of approximately ($0.06) per share in 2019.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F5" w14:textId="77777777">
        <w:trPr>
          <w:tblCellSpacing w:w="0" w:type="dxa"/>
        </w:trPr>
        <w:tc>
          <w:tcPr>
            <w:tcW w:w="960" w:type="dxa"/>
            <w:shd w:val="clear" w:color="auto" w:fill="auto"/>
            <w:vAlign w:val="center"/>
          </w:tcPr>
          <w:p w14:paraId="555677F3" w14:textId="77777777" w:rsidR="00F925DD" w:rsidRDefault="00F925DD">
            <w:pPr>
              <w:rPr>
                <w:rFonts w:ascii="Times New Roman" w:hAnsi="Times New Roman"/>
                <w:sz w:val="20"/>
                <w:szCs w:val="20"/>
              </w:rPr>
            </w:pPr>
          </w:p>
        </w:tc>
        <w:tc>
          <w:tcPr>
            <w:tcW w:w="0" w:type="auto"/>
            <w:shd w:val="clear" w:color="auto" w:fill="auto"/>
            <w:vAlign w:val="center"/>
          </w:tcPr>
          <w:p w14:paraId="555677F4" w14:textId="77777777" w:rsidR="00F925DD" w:rsidRDefault="00F925DD">
            <w:pPr>
              <w:rPr>
                <w:rFonts w:ascii="Times New Roman" w:hAnsi="Times New Roman"/>
                <w:sz w:val="20"/>
                <w:szCs w:val="20"/>
              </w:rPr>
            </w:pPr>
          </w:p>
        </w:tc>
      </w:tr>
      <w:tr w:rsidR="00F925DD" w14:paraId="555677F8" w14:textId="77777777">
        <w:trPr>
          <w:tblCellSpacing w:w="0" w:type="dxa"/>
        </w:trPr>
        <w:tc>
          <w:tcPr>
            <w:tcW w:w="0" w:type="auto"/>
            <w:shd w:val="clear" w:color="auto" w:fill="auto"/>
          </w:tcPr>
          <w:p w14:paraId="555677F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F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On February 12, 2020, we announced that we will redeem all 5,000 of our outstanding shares of our </w:t>
            </w:r>
            <w:r>
              <w:rPr>
                <w:rFonts w:ascii="Arial" w:eastAsia="宋体" w:hAnsi="Arial" w:cs="Arial"/>
                <w:sz w:val="20"/>
                <w:szCs w:val="20"/>
              </w:rPr>
              <w:t>non-cumulative perpetual preferred stock, Series C, for cash at a redemption price of $100,000 per share (equivalent to $25.00 per depositary share) plus all declared and unpaid dividends. The redemption price will be payable on March 16, 2020, and this re</w:t>
            </w:r>
            <w:r>
              <w:rPr>
                <w:rFonts w:ascii="Arial" w:eastAsia="宋体" w:hAnsi="Arial" w:cs="Arial"/>
                <w:sz w:val="20"/>
                <w:szCs w:val="20"/>
              </w:rPr>
              <w:t>demption will be reflected in our first quarter 2020 results of operations.</w:t>
            </w:r>
          </w:p>
        </w:tc>
      </w:tr>
    </w:tbl>
    <w:p w14:paraId="555677F9"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Debt Issuances and Redemptions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7FC" w14:textId="77777777">
        <w:trPr>
          <w:tblCellSpacing w:w="0" w:type="dxa"/>
        </w:trPr>
        <w:tc>
          <w:tcPr>
            <w:tcW w:w="960" w:type="dxa"/>
            <w:shd w:val="clear" w:color="auto" w:fill="auto"/>
            <w:vAlign w:val="center"/>
          </w:tcPr>
          <w:p w14:paraId="555677FA" w14:textId="77777777" w:rsidR="00F925DD" w:rsidRDefault="00F925DD">
            <w:pPr>
              <w:rPr>
                <w:rFonts w:ascii="Times New Roman" w:hAnsi="Times New Roman"/>
                <w:sz w:val="20"/>
                <w:szCs w:val="20"/>
              </w:rPr>
            </w:pPr>
          </w:p>
        </w:tc>
        <w:tc>
          <w:tcPr>
            <w:tcW w:w="0" w:type="auto"/>
            <w:shd w:val="clear" w:color="auto" w:fill="auto"/>
            <w:vAlign w:val="center"/>
          </w:tcPr>
          <w:p w14:paraId="555677FB" w14:textId="77777777" w:rsidR="00F925DD" w:rsidRDefault="00F925DD">
            <w:pPr>
              <w:rPr>
                <w:rFonts w:ascii="Times New Roman" w:hAnsi="Times New Roman"/>
                <w:sz w:val="20"/>
                <w:szCs w:val="20"/>
              </w:rPr>
            </w:pPr>
          </w:p>
        </w:tc>
      </w:tr>
      <w:tr w:rsidR="00F925DD" w14:paraId="555677FF" w14:textId="77777777">
        <w:trPr>
          <w:tblCellSpacing w:w="0" w:type="dxa"/>
        </w:trPr>
        <w:tc>
          <w:tcPr>
            <w:tcW w:w="0" w:type="auto"/>
            <w:shd w:val="clear" w:color="auto" w:fill="auto"/>
          </w:tcPr>
          <w:p w14:paraId="555677F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7F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On November 1, 2019, we issued $1 billion aggregate principal amount of fixed-to-floating rate senior notes due 2025 and $500 million aggregate</w:t>
            </w:r>
            <w:r>
              <w:rPr>
                <w:rFonts w:ascii="Arial" w:eastAsia="宋体" w:hAnsi="Arial" w:cs="Arial"/>
                <w:sz w:val="20"/>
                <w:szCs w:val="20"/>
              </w:rPr>
              <w:t xml:space="preserve"> principal amount of fixed-to-floating rate senior subordinated notes due 2034 in a public offering.</w:t>
            </w:r>
          </w:p>
        </w:tc>
      </w:tr>
    </w:tbl>
    <w:p w14:paraId="55567800"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803" w14:textId="77777777">
        <w:trPr>
          <w:tblCellSpacing w:w="0" w:type="dxa"/>
        </w:trPr>
        <w:tc>
          <w:tcPr>
            <w:tcW w:w="960" w:type="dxa"/>
            <w:shd w:val="clear" w:color="auto" w:fill="auto"/>
            <w:vAlign w:val="center"/>
          </w:tcPr>
          <w:p w14:paraId="55567801" w14:textId="77777777" w:rsidR="00F925DD" w:rsidRDefault="00F925DD">
            <w:pPr>
              <w:rPr>
                <w:rFonts w:ascii="Times New Roman" w:hAnsi="Times New Roman"/>
                <w:sz w:val="20"/>
                <w:szCs w:val="20"/>
              </w:rPr>
            </w:pPr>
          </w:p>
        </w:tc>
        <w:tc>
          <w:tcPr>
            <w:tcW w:w="0" w:type="auto"/>
            <w:shd w:val="clear" w:color="auto" w:fill="auto"/>
            <w:vAlign w:val="center"/>
          </w:tcPr>
          <w:p w14:paraId="55567802" w14:textId="77777777" w:rsidR="00F925DD" w:rsidRDefault="00F925DD">
            <w:pPr>
              <w:rPr>
                <w:rFonts w:ascii="Times New Roman" w:hAnsi="Times New Roman"/>
                <w:sz w:val="20"/>
                <w:szCs w:val="20"/>
              </w:rPr>
            </w:pPr>
          </w:p>
        </w:tc>
      </w:tr>
      <w:tr w:rsidR="00F925DD" w14:paraId="55567806" w14:textId="77777777">
        <w:trPr>
          <w:tblCellSpacing w:w="0" w:type="dxa"/>
        </w:trPr>
        <w:tc>
          <w:tcPr>
            <w:tcW w:w="0" w:type="auto"/>
            <w:shd w:val="clear" w:color="auto" w:fill="auto"/>
          </w:tcPr>
          <w:p w14:paraId="5556780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80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On January 24, 2020, we issued $750 million aggregate principal amount of 2.400% Senior Notes due 2030 in a public offering.</w:t>
            </w:r>
          </w:p>
        </w:tc>
      </w:tr>
    </w:tbl>
    <w:p w14:paraId="55567807"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 xml:space="preserve">Debt </w:t>
      </w:r>
      <w:r>
        <w:rPr>
          <w:rFonts w:ascii="Arial" w:eastAsia="宋体" w:hAnsi="Arial" w:cs="Arial"/>
          <w:i/>
          <w:iCs/>
          <w:sz w:val="20"/>
          <w:szCs w:val="20"/>
        </w:rPr>
        <w:t>Redemptions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80A" w14:textId="77777777">
        <w:trPr>
          <w:tblCellSpacing w:w="0" w:type="dxa"/>
        </w:trPr>
        <w:tc>
          <w:tcPr>
            <w:tcW w:w="960" w:type="dxa"/>
            <w:shd w:val="clear" w:color="auto" w:fill="auto"/>
            <w:vAlign w:val="center"/>
          </w:tcPr>
          <w:p w14:paraId="55567808" w14:textId="77777777" w:rsidR="00F925DD" w:rsidRDefault="00F925DD">
            <w:pPr>
              <w:rPr>
                <w:rFonts w:ascii="Times New Roman" w:hAnsi="Times New Roman"/>
                <w:sz w:val="20"/>
                <w:szCs w:val="20"/>
              </w:rPr>
            </w:pPr>
          </w:p>
        </w:tc>
        <w:tc>
          <w:tcPr>
            <w:tcW w:w="0" w:type="auto"/>
            <w:shd w:val="clear" w:color="auto" w:fill="auto"/>
            <w:vAlign w:val="center"/>
          </w:tcPr>
          <w:p w14:paraId="55567809" w14:textId="77777777" w:rsidR="00F925DD" w:rsidRDefault="00F925DD">
            <w:pPr>
              <w:rPr>
                <w:rFonts w:ascii="Times New Roman" w:hAnsi="Times New Roman"/>
                <w:sz w:val="20"/>
                <w:szCs w:val="20"/>
              </w:rPr>
            </w:pPr>
          </w:p>
        </w:tc>
      </w:tr>
      <w:tr w:rsidR="00F925DD" w14:paraId="5556780D" w14:textId="77777777">
        <w:trPr>
          <w:tblCellSpacing w:w="0" w:type="dxa"/>
        </w:trPr>
        <w:tc>
          <w:tcPr>
            <w:tcW w:w="0" w:type="auto"/>
            <w:shd w:val="clear" w:color="auto" w:fill="auto"/>
          </w:tcPr>
          <w:p w14:paraId="5556780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80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 the fourth quarter of 2019, we completed a cash tender offer for approximately $297 million of our $800 million aggregate principal amount of outstanding floating rate junior subordinated debentures due 2047, resulting in a gain of </w:t>
            </w:r>
            <w:r>
              <w:rPr>
                <w:rFonts w:ascii="Arial" w:eastAsia="宋体" w:hAnsi="Arial" w:cs="Arial"/>
                <w:sz w:val="20"/>
                <w:szCs w:val="20"/>
              </w:rPr>
              <w:t>approximately $44 million.</w:t>
            </w:r>
          </w:p>
        </w:tc>
      </w:tr>
    </w:tbl>
    <w:p w14:paraId="5556780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811" w14:textId="77777777">
        <w:trPr>
          <w:tblCellSpacing w:w="0" w:type="dxa"/>
        </w:trPr>
        <w:tc>
          <w:tcPr>
            <w:tcW w:w="960" w:type="dxa"/>
            <w:shd w:val="clear" w:color="auto" w:fill="auto"/>
            <w:vAlign w:val="center"/>
          </w:tcPr>
          <w:p w14:paraId="5556780F" w14:textId="77777777" w:rsidR="00F925DD" w:rsidRDefault="00F925DD">
            <w:pPr>
              <w:rPr>
                <w:rFonts w:ascii="Times New Roman" w:hAnsi="Times New Roman"/>
                <w:sz w:val="20"/>
                <w:szCs w:val="20"/>
              </w:rPr>
            </w:pPr>
          </w:p>
        </w:tc>
        <w:tc>
          <w:tcPr>
            <w:tcW w:w="0" w:type="auto"/>
            <w:shd w:val="clear" w:color="auto" w:fill="auto"/>
            <w:vAlign w:val="center"/>
          </w:tcPr>
          <w:p w14:paraId="55567810" w14:textId="77777777" w:rsidR="00F925DD" w:rsidRDefault="00F925DD">
            <w:pPr>
              <w:rPr>
                <w:rFonts w:ascii="Times New Roman" w:hAnsi="Times New Roman"/>
                <w:sz w:val="20"/>
                <w:szCs w:val="20"/>
              </w:rPr>
            </w:pPr>
          </w:p>
        </w:tc>
      </w:tr>
      <w:tr w:rsidR="00F925DD" w14:paraId="55567814" w14:textId="77777777">
        <w:trPr>
          <w:tblCellSpacing w:w="0" w:type="dxa"/>
        </w:trPr>
        <w:tc>
          <w:tcPr>
            <w:tcW w:w="0" w:type="auto"/>
            <w:shd w:val="clear" w:color="auto" w:fill="auto"/>
          </w:tcPr>
          <w:p w14:paraId="5556781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81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In the fourth quarter of 2019, we redeemed approximately $50 million of our $150 million aggregate principal amount of outstanding floating rate junior subordinated debentures due 2028.</w:t>
            </w:r>
          </w:p>
        </w:tc>
      </w:tr>
    </w:tbl>
    <w:p w14:paraId="55567815" w14:textId="77777777" w:rsidR="00F925DD" w:rsidRDefault="00F925DD">
      <w:pPr>
        <w:spacing w:line="288" w:lineRule="auto"/>
        <w:ind w:firstLine="600"/>
        <w:jc w:val="both"/>
        <w:rPr>
          <w:rFonts w:ascii="Times New Roman" w:hAnsi="Times New Roman"/>
          <w:sz w:val="20"/>
          <w:szCs w:val="20"/>
        </w:rPr>
      </w:pPr>
    </w:p>
    <w:p w14:paraId="55567816" w14:textId="77777777" w:rsidR="00F925DD" w:rsidRDefault="00F925DD">
      <w:pPr>
        <w:spacing w:line="288" w:lineRule="auto"/>
        <w:ind w:firstLine="600"/>
        <w:jc w:val="both"/>
        <w:rPr>
          <w:rFonts w:ascii="Times New Roman" w:hAnsi="Times New Roman"/>
          <w:sz w:val="20"/>
          <w:szCs w:val="20"/>
        </w:rPr>
      </w:pPr>
    </w:p>
    <w:p w14:paraId="55567817" w14:textId="77777777" w:rsidR="00F925DD" w:rsidRDefault="00F925DD">
      <w:pPr>
        <w:rPr>
          <w:rFonts w:ascii="Times New Roman" w:hAnsi="Times New Roman"/>
          <w:sz w:val="20"/>
          <w:szCs w:val="20"/>
        </w:rPr>
      </w:pPr>
    </w:p>
    <w:p w14:paraId="55567818"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Street </w:t>
      </w:r>
      <w:r>
        <w:rPr>
          <w:rFonts w:ascii="Arial" w:eastAsia="宋体" w:hAnsi="Arial" w:cs="Arial"/>
          <w:sz w:val="18"/>
          <w:szCs w:val="18"/>
        </w:rPr>
        <w:t>Corporation | 60</w:t>
      </w:r>
    </w:p>
    <w:p w14:paraId="55567819" w14:textId="77777777" w:rsidR="00F925DD" w:rsidRDefault="00F925DD">
      <w:pPr>
        <w:spacing w:line="288" w:lineRule="auto"/>
        <w:ind w:firstLine="600"/>
        <w:jc w:val="center"/>
        <w:rPr>
          <w:rFonts w:ascii="Times New Roman" w:hAnsi="Times New Roman"/>
          <w:sz w:val="18"/>
          <w:szCs w:val="18"/>
        </w:rPr>
      </w:pPr>
    </w:p>
    <w:p w14:paraId="5556781A" w14:textId="77777777" w:rsidR="00F925DD" w:rsidRDefault="00E705D7">
      <w:r>
        <w:rPr>
          <w:rFonts w:ascii="Times New Roman" w:hAnsi="Times New Roman"/>
          <w:sz w:val="18"/>
          <w:szCs w:val="18"/>
        </w:rPr>
        <w:pict w14:anchorId="55570676">
          <v:rect id="_x0000_i1084" style="width:415.3pt;height:1.5pt" o:hralign="center" o:hrstd="t" o:hr="t" fillcolor="#a0a0a0" stroked="f"/>
        </w:pict>
      </w:r>
    </w:p>
    <w:p w14:paraId="5556781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81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81D" w14:textId="77777777" w:rsidR="00F925DD" w:rsidRDefault="00F925DD">
      <w:pPr>
        <w:rPr>
          <w:rFonts w:ascii="Times New Roman" w:hAnsi="Times New Roman"/>
          <w:sz w:val="20"/>
          <w:szCs w:val="20"/>
        </w:rPr>
      </w:pPr>
    </w:p>
    <w:p w14:paraId="5556781E"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CONSOLIDATED RESULTS OF OPERATIONS</w:t>
      </w:r>
    </w:p>
    <w:p w14:paraId="5556781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This section discusses our consolidated results of operations for 2019 compared to 2018 and should be read in conj</w:t>
      </w:r>
      <w:r>
        <w:rPr>
          <w:rFonts w:ascii="Arial" w:eastAsia="宋体" w:hAnsi="Arial" w:cs="Arial"/>
          <w:sz w:val="20"/>
          <w:szCs w:val="20"/>
        </w:rPr>
        <w:t>unction with the consolidated financial statements and accompanying condensed notes to the consolidated financial statements in this Form 10-K.</w:t>
      </w:r>
    </w:p>
    <w:p w14:paraId="55567820"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Total Revenue</w:t>
      </w:r>
    </w:p>
    <w:tbl>
      <w:tblPr>
        <w:tblW w:w="5000" w:type="pct"/>
        <w:tblCellMar>
          <w:left w:w="0" w:type="dxa"/>
          <w:right w:w="0" w:type="dxa"/>
        </w:tblCellMar>
        <w:tblLook w:val="04A0" w:firstRow="1" w:lastRow="0" w:firstColumn="1" w:lastColumn="0" w:noHBand="0" w:noVBand="1"/>
      </w:tblPr>
      <w:tblGrid>
        <w:gridCol w:w="2039"/>
        <w:gridCol w:w="129"/>
        <w:gridCol w:w="876"/>
        <w:gridCol w:w="94"/>
        <w:gridCol w:w="200"/>
        <w:gridCol w:w="6"/>
        <w:gridCol w:w="129"/>
        <w:gridCol w:w="833"/>
        <w:gridCol w:w="94"/>
        <w:gridCol w:w="200"/>
        <w:gridCol w:w="6"/>
        <w:gridCol w:w="129"/>
        <w:gridCol w:w="834"/>
        <w:gridCol w:w="94"/>
        <w:gridCol w:w="130"/>
        <w:gridCol w:w="960"/>
        <w:gridCol w:w="236"/>
        <w:gridCol w:w="130"/>
        <w:gridCol w:w="960"/>
        <w:gridCol w:w="227"/>
      </w:tblGrid>
      <w:tr w:rsidR="00F925DD" w14:paraId="55567822" w14:textId="77777777">
        <w:tc>
          <w:tcPr>
            <w:tcW w:w="0" w:type="auto"/>
            <w:gridSpan w:val="20"/>
            <w:shd w:val="clear" w:color="auto" w:fill="auto"/>
            <w:vAlign w:val="center"/>
          </w:tcPr>
          <w:p w14:paraId="55567821" w14:textId="77777777" w:rsidR="00F925DD" w:rsidRDefault="00F925DD">
            <w:pPr>
              <w:rPr>
                <w:rFonts w:ascii="Times New Roman" w:hAnsi="Times New Roman"/>
                <w:sz w:val="20"/>
                <w:szCs w:val="20"/>
              </w:rPr>
            </w:pPr>
          </w:p>
        </w:tc>
      </w:tr>
      <w:tr w:rsidR="00F925DD" w14:paraId="55567837" w14:textId="77777777">
        <w:tc>
          <w:tcPr>
            <w:tcW w:w="1300" w:type="pct"/>
            <w:shd w:val="clear" w:color="auto" w:fill="auto"/>
            <w:vAlign w:val="center"/>
          </w:tcPr>
          <w:p w14:paraId="55567823" w14:textId="77777777" w:rsidR="00F925DD" w:rsidRDefault="00F925DD">
            <w:pPr>
              <w:rPr>
                <w:rFonts w:ascii="Times New Roman" w:hAnsi="Times New Roman"/>
                <w:sz w:val="20"/>
                <w:szCs w:val="20"/>
              </w:rPr>
            </w:pPr>
          </w:p>
        </w:tc>
        <w:tc>
          <w:tcPr>
            <w:tcW w:w="50" w:type="pct"/>
            <w:shd w:val="clear" w:color="auto" w:fill="auto"/>
            <w:vAlign w:val="center"/>
          </w:tcPr>
          <w:p w14:paraId="55567824" w14:textId="77777777" w:rsidR="00F925DD" w:rsidRDefault="00F925DD">
            <w:pPr>
              <w:rPr>
                <w:rFonts w:ascii="Times New Roman" w:hAnsi="Times New Roman"/>
                <w:sz w:val="20"/>
                <w:szCs w:val="20"/>
              </w:rPr>
            </w:pPr>
          </w:p>
        </w:tc>
        <w:tc>
          <w:tcPr>
            <w:tcW w:w="600" w:type="pct"/>
            <w:shd w:val="clear" w:color="auto" w:fill="auto"/>
            <w:vAlign w:val="center"/>
          </w:tcPr>
          <w:p w14:paraId="55567825" w14:textId="77777777" w:rsidR="00F925DD" w:rsidRDefault="00F925DD">
            <w:pPr>
              <w:rPr>
                <w:rFonts w:ascii="Times New Roman" w:hAnsi="Times New Roman"/>
                <w:sz w:val="20"/>
                <w:szCs w:val="20"/>
              </w:rPr>
            </w:pPr>
          </w:p>
        </w:tc>
        <w:tc>
          <w:tcPr>
            <w:tcW w:w="50" w:type="pct"/>
            <w:shd w:val="clear" w:color="auto" w:fill="auto"/>
            <w:vAlign w:val="center"/>
          </w:tcPr>
          <w:p w14:paraId="55567826" w14:textId="77777777" w:rsidR="00F925DD" w:rsidRDefault="00F925DD">
            <w:pPr>
              <w:rPr>
                <w:rFonts w:ascii="Times New Roman" w:hAnsi="Times New Roman"/>
                <w:sz w:val="20"/>
                <w:szCs w:val="20"/>
              </w:rPr>
            </w:pPr>
          </w:p>
        </w:tc>
        <w:tc>
          <w:tcPr>
            <w:tcW w:w="0" w:type="pct"/>
            <w:shd w:val="clear" w:color="auto" w:fill="auto"/>
            <w:vAlign w:val="center"/>
          </w:tcPr>
          <w:p w14:paraId="55567827" w14:textId="77777777" w:rsidR="00F925DD" w:rsidRDefault="00F925DD">
            <w:pPr>
              <w:rPr>
                <w:rFonts w:ascii="Times New Roman" w:hAnsi="Times New Roman"/>
                <w:sz w:val="20"/>
                <w:szCs w:val="20"/>
              </w:rPr>
            </w:pPr>
          </w:p>
        </w:tc>
        <w:tc>
          <w:tcPr>
            <w:tcW w:w="50" w:type="pct"/>
            <w:shd w:val="clear" w:color="auto" w:fill="auto"/>
            <w:vAlign w:val="center"/>
          </w:tcPr>
          <w:p w14:paraId="55567828" w14:textId="77777777" w:rsidR="00F925DD" w:rsidRDefault="00F925DD">
            <w:pPr>
              <w:rPr>
                <w:rFonts w:ascii="Times New Roman" w:hAnsi="Times New Roman"/>
                <w:sz w:val="20"/>
                <w:szCs w:val="20"/>
              </w:rPr>
            </w:pPr>
          </w:p>
        </w:tc>
        <w:tc>
          <w:tcPr>
            <w:tcW w:w="50" w:type="pct"/>
            <w:shd w:val="clear" w:color="auto" w:fill="auto"/>
            <w:vAlign w:val="center"/>
          </w:tcPr>
          <w:p w14:paraId="55567829" w14:textId="77777777" w:rsidR="00F925DD" w:rsidRDefault="00F925DD">
            <w:pPr>
              <w:rPr>
                <w:rFonts w:ascii="Times New Roman" w:hAnsi="Times New Roman"/>
                <w:sz w:val="20"/>
                <w:szCs w:val="20"/>
              </w:rPr>
            </w:pPr>
          </w:p>
        </w:tc>
        <w:tc>
          <w:tcPr>
            <w:tcW w:w="600" w:type="pct"/>
            <w:shd w:val="clear" w:color="auto" w:fill="auto"/>
            <w:vAlign w:val="center"/>
          </w:tcPr>
          <w:p w14:paraId="5556782A" w14:textId="77777777" w:rsidR="00F925DD" w:rsidRDefault="00F925DD">
            <w:pPr>
              <w:rPr>
                <w:rFonts w:ascii="Times New Roman" w:hAnsi="Times New Roman"/>
                <w:sz w:val="20"/>
                <w:szCs w:val="20"/>
              </w:rPr>
            </w:pPr>
          </w:p>
        </w:tc>
        <w:tc>
          <w:tcPr>
            <w:tcW w:w="50" w:type="pct"/>
            <w:shd w:val="clear" w:color="auto" w:fill="auto"/>
            <w:vAlign w:val="center"/>
          </w:tcPr>
          <w:p w14:paraId="5556782B" w14:textId="77777777" w:rsidR="00F925DD" w:rsidRDefault="00F925DD">
            <w:pPr>
              <w:rPr>
                <w:rFonts w:ascii="Times New Roman" w:hAnsi="Times New Roman"/>
                <w:sz w:val="20"/>
                <w:szCs w:val="20"/>
              </w:rPr>
            </w:pPr>
          </w:p>
        </w:tc>
        <w:tc>
          <w:tcPr>
            <w:tcW w:w="0" w:type="pct"/>
            <w:shd w:val="clear" w:color="auto" w:fill="auto"/>
            <w:vAlign w:val="center"/>
          </w:tcPr>
          <w:p w14:paraId="5556782C" w14:textId="77777777" w:rsidR="00F925DD" w:rsidRDefault="00F925DD">
            <w:pPr>
              <w:rPr>
                <w:rFonts w:ascii="Times New Roman" w:hAnsi="Times New Roman"/>
                <w:sz w:val="20"/>
                <w:szCs w:val="20"/>
              </w:rPr>
            </w:pPr>
          </w:p>
        </w:tc>
        <w:tc>
          <w:tcPr>
            <w:tcW w:w="50" w:type="pct"/>
            <w:shd w:val="clear" w:color="auto" w:fill="auto"/>
            <w:vAlign w:val="center"/>
          </w:tcPr>
          <w:p w14:paraId="5556782D" w14:textId="77777777" w:rsidR="00F925DD" w:rsidRDefault="00F925DD">
            <w:pPr>
              <w:rPr>
                <w:rFonts w:ascii="Times New Roman" w:hAnsi="Times New Roman"/>
                <w:sz w:val="20"/>
                <w:szCs w:val="20"/>
              </w:rPr>
            </w:pPr>
          </w:p>
        </w:tc>
        <w:tc>
          <w:tcPr>
            <w:tcW w:w="50" w:type="pct"/>
            <w:shd w:val="clear" w:color="auto" w:fill="auto"/>
            <w:vAlign w:val="center"/>
          </w:tcPr>
          <w:p w14:paraId="5556782E" w14:textId="77777777" w:rsidR="00F925DD" w:rsidRDefault="00F925DD">
            <w:pPr>
              <w:rPr>
                <w:rFonts w:ascii="Times New Roman" w:hAnsi="Times New Roman"/>
                <w:sz w:val="20"/>
                <w:szCs w:val="20"/>
              </w:rPr>
            </w:pPr>
          </w:p>
        </w:tc>
        <w:tc>
          <w:tcPr>
            <w:tcW w:w="600" w:type="pct"/>
            <w:shd w:val="clear" w:color="auto" w:fill="auto"/>
            <w:vAlign w:val="center"/>
          </w:tcPr>
          <w:p w14:paraId="5556782F" w14:textId="77777777" w:rsidR="00F925DD" w:rsidRDefault="00F925DD">
            <w:pPr>
              <w:rPr>
                <w:rFonts w:ascii="Times New Roman" w:hAnsi="Times New Roman"/>
                <w:sz w:val="20"/>
                <w:szCs w:val="20"/>
              </w:rPr>
            </w:pPr>
          </w:p>
        </w:tc>
        <w:tc>
          <w:tcPr>
            <w:tcW w:w="50" w:type="pct"/>
            <w:shd w:val="clear" w:color="auto" w:fill="auto"/>
            <w:vAlign w:val="center"/>
          </w:tcPr>
          <w:p w14:paraId="55567830" w14:textId="77777777" w:rsidR="00F925DD" w:rsidRDefault="00F925DD">
            <w:pPr>
              <w:rPr>
                <w:rFonts w:ascii="Times New Roman" w:hAnsi="Times New Roman"/>
                <w:sz w:val="20"/>
                <w:szCs w:val="20"/>
              </w:rPr>
            </w:pPr>
          </w:p>
        </w:tc>
        <w:tc>
          <w:tcPr>
            <w:tcW w:w="50" w:type="pct"/>
            <w:shd w:val="clear" w:color="auto" w:fill="auto"/>
            <w:vAlign w:val="center"/>
          </w:tcPr>
          <w:p w14:paraId="55567831" w14:textId="77777777" w:rsidR="00F925DD" w:rsidRDefault="00F925DD">
            <w:pPr>
              <w:rPr>
                <w:rFonts w:ascii="Times New Roman" w:hAnsi="Times New Roman"/>
                <w:sz w:val="20"/>
                <w:szCs w:val="20"/>
              </w:rPr>
            </w:pPr>
          </w:p>
        </w:tc>
        <w:tc>
          <w:tcPr>
            <w:tcW w:w="650" w:type="pct"/>
            <w:shd w:val="clear" w:color="auto" w:fill="auto"/>
            <w:vAlign w:val="center"/>
          </w:tcPr>
          <w:p w14:paraId="55567832" w14:textId="77777777" w:rsidR="00F925DD" w:rsidRDefault="00F925DD">
            <w:pPr>
              <w:rPr>
                <w:rFonts w:ascii="Times New Roman" w:hAnsi="Times New Roman"/>
                <w:sz w:val="20"/>
                <w:szCs w:val="20"/>
              </w:rPr>
            </w:pPr>
          </w:p>
        </w:tc>
        <w:tc>
          <w:tcPr>
            <w:tcW w:w="50" w:type="pct"/>
            <w:shd w:val="clear" w:color="auto" w:fill="auto"/>
            <w:vAlign w:val="center"/>
          </w:tcPr>
          <w:p w14:paraId="55567833" w14:textId="77777777" w:rsidR="00F925DD" w:rsidRDefault="00F925DD">
            <w:pPr>
              <w:rPr>
                <w:rFonts w:ascii="Times New Roman" w:hAnsi="Times New Roman"/>
                <w:sz w:val="20"/>
                <w:szCs w:val="20"/>
              </w:rPr>
            </w:pPr>
          </w:p>
        </w:tc>
        <w:tc>
          <w:tcPr>
            <w:tcW w:w="50" w:type="pct"/>
            <w:shd w:val="clear" w:color="auto" w:fill="auto"/>
            <w:vAlign w:val="center"/>
          </w:tcPr>
          <w:p w14:paraId="55567834" w14:textId="77777777" w:rsidR="00F925DD" w:rsidRDefault="00F925DD">
            <w:pPr>
              <w:rPr>
                <w:rFonts w:ascii="Times New Roman" w:hAnsi="Times New Roman"/>
                <w:sz w:val="20"/>
                <w:szCs w:val="20"/>
              </w:rPr>
            </w:pPr>
          </w:p>
        </w:tc>
        <w:tc>
          <w:tcPr>
            <w:tcW w:w="650" w:type="pct"/>
            <w:shd w:val="clear" w:color="auto" w:fill="auto"/>
            <w:vAlign w:val="center"/>
          </w:tcPr>
          <w:p w14:paraId="55567835" w14:textId="77777777" w:rsidR="00F925DD" w:rsidRDefault="00F925DD">
            <w:pPr>
              <w:rPr>
                <w:rFonts w:ascii="Times New Roman" w:hAnsi="Times New Roman"/>
                <w:sz w:val="20"/>
                <w:szCs w:val="20"/>
              </w:rPr>
            </w:pPr>
          </w:p>
        </w:tc>
        <w:tc>
          <w:tcPr>
            <w:tcW w:w="50" w:type="pct"/>
            <w:shd w:val="clear" w:color="auto" w:fill="auto"/>
            <w:vAlign w:val="center"/>
          </w:tcPr>
          <w:p w14:paraId="55567836" w14:textId="77777777" w:rsidR="00F925DD" w:rsidRDefault="00F925DD">
            <w:pPr>
              <w:rPr>
                <w:rFonts w:ascii="Times New Roman" w:hAnsi="Times New Roman"/>
                <w:sz w:val="20"/>
                <w:szCs w:val="20"/>
              </w:rPr>
            </w:pPr>
          </w:p>
        </w:tc>
      </w:tr>
      <w:tr w:rsidR="00F925DD" w14:paraId="55567839" w14:textId="77777777">
        <w:tc>
          <w:tcPr>
            <w:tcW w:w="0" w:type="auto"/>
            <w:gridSpan w:val="20"/>
            <w:shd w:val="clear" w:color="auto" w:fill="auto"/>
            <w:tcMar>
              <w:top w:w="40" w:type="dxa"/>
              <w:left w:w="40" w:type="dxa"/>
              <w:bottom w:w="40" w:type="dxa"/>
              <w:right w:w="40" w:type="dxa"/>
            </w:tcMar>
            <w:vAlign w:val="bottom"/>
          </w:tcPr>
          <w:p w14:paraId="55567838"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w:t>
            </w:r>
            <w:r>
              <w:rPr>
                <w:rFonts w:ascii="Arial" w:eastAsia="宋体" w:hAnsi="Arial" w:cs="Arial"/>
                <w:b/>
                <w:bCs/>
                <w:sz w:val="16"/>
                <w:szCs w:val="16"/>
              </w:rPr>
              <w:t>LE 2: TOTAL REVENUE</w:t>
            </w:r>
          </w:p>
        </w:tc>
      </w:tr>
      <w:tr w:rsidR="00F925DD" w14:paraId="55567840" w14:textId="77777777">
        <w:tc>
          <w:tcPr>
            <w:tcW w:w="0" w:type="auto"/>
            <w:shd w:val="clear" w:color="auto" w:fill="auto"/>
            <w:tcMar>
              <w:top w:w="40" w:type="dxa"/>
              <w:left w:w="40" w:type="dxa"/>
              <w:bottom w:w="40" w:type="dxa"/>
              <w:right w:w="40" w:type="dxa"/>
            </w:tcMar>
            <w:vAlign w:val="bottom"/>
          </w:tcPr>
          <w:p w14:paraId="555678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tcBorders>
              <w:bottom w:val="single" w:sz="8" w:space="0" w:color="000000"/>
            </w:tcBorders>
            <w:shd w:val="clear" w:color="auto" w:fill="auto"/>
            <w:tcMar>
              <w:top w:w="40" w:type="dxa"/>
              <w:left w:w="40" w:type="dxa"/>
              <w:bottom w:w="40" w:type="dxa"/>
            </w:tcMar>
            <w:vAlign w:val="bottom"/>
          </w:tcPr>
          <w:p w14:paraId="5556783B"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Years Ended December 31,</w:t>
            </w:r>
          </w:p>
        </w:tc>
        <w:tc>
          <w:tcPr>
            <w:tcW w:w="0" w:type="auto"/>
            <w:shd w:val="clear" w:color="auto" w:fill="auto"/>
            <w:tcMar>
              <w:top w:w="40" w:type="dxa"/>
              <w:left w:w="40" w:type="dxa"/>
              <w:bottom w:w="40" w:type="dxa"/>
              <w:right w:w="40" w:type="dxa"/>
            </w:tcMar>
            <w:vAlign w:val="bottom"/>
          </w:tcPr>
          <w:p w14:paraId="555678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5556783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 Change 2019 vs. 2018</w:t>
            </w:r>
          </w:p>
        </w:tc>
        <w:tc>
          <w:tcPr>
            <w:tcW w:w="0" w:type="auto"/>
            <w:shd w:val="clear" w:color="auto" w:fill="auto"/>
            <w:tcMar>
              <w:top w:w="40" w:type="dxa"/>
              <w:left w:w="40" w:type="dxa"/>
              <w:bottom w:w="40" w:type="dxa"/>
              <w:right w:w="40" w:type="dxa"/>
            </w:tcMar>
            <w:vAlign w:val="bottom"/>
          </w:tcPr>
          <w:p w14:paraId="555678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5556783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 Change 2018 vs. 2017</w:t>
            </w:r>
          </w:p>
        </w:tc>
      </w:tr>
      <w:tr w:rsidR="00F925DD" w14:paraId="5556784B" w14:textId="77777777">
        <w:tc>
          <w:tcPr>
            <w:tcW w:w="0" w:type="auto"/>
            <w:shd w:val="clear" w:color="auto" w:fill="auto"/>
            <w:tcMar>
              <w:top w:w="40" w:type="dxa"/>
              <w:left w:w="40" w:type="dxa"/>
              <w:bottom w:w="40" w:type="dxa"/>
              <w:right w:w="40" w:type="dxa"/>
            </w:tcMar>
            <w:vAlign w:val="bottom"/>
          </w:tcPr>
          <w:p w14:paraId="55567841"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842"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gridSpan w:val="2"/>
            <w:shd w:val="clear" w:color="auto" w:fill="auto"/>
            <w:tcMar>
              <w:top w:w="40" w:type="dxa"/>
              <w:left w:w="40" w:type="dxa"/>
              <w:bottom w:w="40" w:type="dxa"/>
              <w:right w:w="40" w:type="dxa"/>
            </w:tcMar>
            <w:vAlign w:val="bottom"/>
          </w:tcPr>
          <w:p w14:paraId="555678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844"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gridSpan w:val="2"/>
            <w:shd w:val="clear" w:color="auto" w:fill="auto"/>
            <w:tcMar>
              <w:top w:w="40" w:type="dxa"/>
              <w:left w:w="40" w:type="dxa"/>
              <w:bottom w:w="40" w:type="dxa"/>
              <w:right w:w="40" w:type="dxa"/>
            </w:tcMar>
            <w:vAlign w:val="bottom"/>
          </w:tcPr>
          <w:p w14:paraId="555678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84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c>
          <w:tcPr>
            <w:tcW w:w="0" w:type="auto"/>
            <w:shd w:val="clear" w:color="auto" w:fill="auto"/>
            <w:tcMar>
              <w:top w:w="40" w:type="dxa"/>
              <w:left w:w="40" w:type="dxa"/>
              <w:bottom w:w="40" w:type="dxa"/>
              <w:right w:w="40" w:type="dxa"/>
            </w:tcMar>
            <w:vAlign w:val="bottom"/>
          </w:tcPr>
          <w:p w14:paraId="555678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55567848"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8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5556784A" w14:textId="77777777" w:rsidR="00F925DD" w:rsidRDefault="00F925DD">
            <w:pPr>
              <w:rPr>
                <w:rFonts w:ascii="Times New Roman" w:hAnsi="Times New Roman"/>
                <w:sz w:val="20"/>
                <w:szCs w:val="20"/>
              </w:rPr>
            </w:pPr>
          </w:p>
        </w:tc>
      </w:tr>
      <w:tr w:rsidR="00F925DD" w14:paraId="55567856" w14:textId="77777777">
        <w:tc>
          <w:tcPr>
            <w:tcW w:w="0" w:type="auto"/>
            <w:shd w:val="clear" w:color="auto" w:fill="auto"/>
            <w:tcMar>
              <w:top w:w="40" w:type="dxa"/>
              <w:left w:w="40" w:type="dxa"/>
              <w:bottom w:w="40" w:type="dxa"/>
              <w:right w:w="40" w:type="dxa"/>
            </w:tcMar>
            <w:vAlign w:val="bottom"/>
          </w:tcPr>
          <w:p w14:paraId="5556784C" w14:textId="77777777" w:rsidR="00F925DD" w:rsidRDefault="00E705D7">
            <w:pPr>
              <w:textAlignment w:val="bottom"/>
              <w:rPr>
                <w:rFonts w:ascii="Times New Roman" w:hAnsi="Times New Roman"/>
                <w:sz w:val="16"/>
                <w:szCs w:val="16"/>
              </w:rPr>
            </w:pPr>
            <w:r>
              <w:rPr>
                <w:rFonts w:ascii="Arial" w:eastAsia="宋体" w:hAnsi="Arial" w:cs="Arial"/>
                <w:sz w:val="16"/>
                <w:szCs w:val="16"/>
              </w:rPr>
              <w:t>Fee revenue:</w:t>
            </w:r>
          </w:p>
        </w:tc>
        <w:tc>
          <w:tcPr>
            <w:tcW w:w="0" w:type="auto"/>
            <w:gridSpan w:val="3"/>
            <w:shd w:val="clear" w:color="auto" w:fill="auto"/>
            <w:tcMar>
              <w:top w:w="40" w:type="dxa"/>
              <w:left w:w="40" w:type="dxa"/>
              <w:bottom w:w="40" w:type="dxa"/>
              <w:right w:w="40" w:type="dxa"/>
            </w:tcMar>
            <w:vAlign w:val="bottom"/>
          </w:tcPr>
          <w:p w14:paraId="555678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8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8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8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8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8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8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8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8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869" w14:textId="77777777">
        <w:tc>
          <w:tcPr>
            <w:tcW w:w="0" w:type="auto"/>
            <w:shd w:val="clear" w:color="auto" w:fill="CCEEFF"/>
            <w:tcMar>
              <w:top w:w="40" w:type="dxa"/>
              <w:left w:w="40" w:type="dxa"/>
              <w:bottom w:w="40" w:type="dxa"/>
              <w:right w:w="40" w:type="dxa"/>
            </w:tcMar>
            <w:vAlign w:val="bottom"/>
          </w:tcPr>
          <w:p w14:paraId="55567857" w14:textId="77777777" w:rsidR="00F925DD" w:rsidRDefault="00E705D7">
            <w:pPr>
              <w:textAlignment w:val="bottom"/>
              <w:rPr>
                <w:rFonts w:ascii="Times New Roman" w:hAnsi="Times New Roman"/>
                <w:sz w:val="16"/>
                <w:szCs w:val="16"/>
              </w:rPr>
            </w:pPr>
            <w:r>
              <w:rPr>
                <w:rFonts w:ascii="Arial" w:eastAsia="宋体" w:hAnsi="Arial" w:cs="Arial"/>
                <w:sz w:val="16"/>
                <w:szCs w:val="16"/>
              </w:rPr>
              <w:t>Servicing fees</w:t>
            </w:r>
          </w:p>
        </w:tc>
        <w:tc>
          <w:tcPr>
            <w:tcW w:w="0" w:type="auto"/>
            <w:shd w:val="clear" w:color="auto" w:fill="CCEEFF"/>
            <w:tcMar>
              <w:top w:w="40" w:type="dxa"/>
              <w:left w:w="40" w:type="dxa"/>
              <w:bottom w:w="40" w:type="dxa"/>
            </w:tcMar>
            <w:vAlign w:val="bottom"/>
          </w:tcPr>
          <w:p w14:paraId="55567858"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785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5,074</w:t>
            </w:r>
          </w:p>
        </w:tc>
        <w:tc>
          <w:tcPr>
            <w:tcW w:w="0" w:type="auto"/>
            <w:shd w:val="clear" w:color="auto" w:fill="CCEEFF"/>
            <w:vAlign w:val="bottom"/>
          </w:tcPr>
          <w:p w14:paraId="5556785A"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8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5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85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5,421</w:t>
            </w:r>
          </w:p>
        </w:tc>
        <w:tc>
          <w:tcPr>
            <w:tcW w:w="0" w:type="auto"/>
            <w:shd w:val="clear" w:color="auto" w:fill="CCEEFF"/>
            <w:vAlign w:val="bottom"/>
          </w:tcPr>
          <w:p w14:paraId="5556785E"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8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60"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86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5,365</w:t>
            </w:r>
          </w:p>
        </w:tc>
        <w:tc>
          <w:tcPr>
            <w:tcW w:w="0" w:type="auto"/>
            <w:shd w:val="clear" w:color="auto" w:fill="CCEEFF"/>
            <w:vAlign w:val="bottom"/>
          </w:tcPr>
          <w:p w14:paraId="5556786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8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6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CCEEFF"/>
            <w:tcMar>
              <w:top w:w="40" w:type="dxa"/>
              <w:bottom w:w="40" w:type="dxa"/>
              <w:right w:w="40" w:type="dxa"/>
            </w:tcMar>
            <w:vAlign w:val="bottom"/>
          </w:tcPr>
          <w:p w14:paraId="55567865"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8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6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CCEEFF"/>
            <w:tcMar>
              <w:top w:w="40" w:type="dxa"/>
              <w:bottom w:w="40" w:type="dxa"/>
              <w:right w:w="40" w:type="dxa"/>
            </w:tcMar>
            <w:vAlign w:val="bottom"/>
          </w:tcPr>
          <w:p w14:paraId="55567868" w14:textId="77777777" w:rsidR="00F925DD" w:rsidRDefault="00E705D7">
            <w:pPr>
              <w:textAlignment w:val="bottom"/>
              <w:rPr>
                <w:rFonts w:ascii="Times New Roman" w:hAnsi="Times New Roman"/>
                <w:sz w:val="16"/>
                <w:szCs w:val="16"/>
              </w:rPr>
            </w:pPr>
            <w:r>
              <w:rPr>
                <w:rFonts w:ascii="Arial" w:eastAsia="宋体" w:hAnsi="Arial" w:cs="Arial"/>
                <w:sz w:val="16"/>
                <w:szCs w:val="16"/>
              </w:rPr>
              <w:t> %</w:t>
            </w:r>
          </w:p>
        </w:tc>
      </w:tr>
      <w:tr w:rsidR="00F925DD" w14:paraId="55567879" w14:textId="77777777">
        <w:tc>
          <w:tcPr>
            <w:tcW w:w="0" w:type="auto"/>
            <w:shd w:val="clear" w:color="auto" w:fill="auto"/>
            <w:tcMar>
              <w:top w:w="40" w:type="dxa"/>
              <w:left w:w="40" w:type="dxa"/>
              <w:bottom w:w="40" w:type="dxa"/>
              <w:right w:w="40" w:type="dxa"/>
            </w:tcMar>
            <w:vAlign w:val="bottom"/>
          </w:tcPr>
          <w:p w14:paraId="5556786A" w14:textId="77777777" w:rsidR="00F925DD" w:rsidRDefault="00E705D7">
            <w:pPr>
              <w:textAlignment w:val="bottom"/>
              <w:rPr>
                <w:rFonts w:ascii="Times New Roman" w:hAnsi="Times New Roman"/>
                <w:sz w:val="16"/>
                <w:szCs w:val="16"/>
              </w:rPr>
            </w:pPr>
            <w:r>
              <w:rPr>
                <w:rFonts w:ascii="Arial" w:eastAsia="宋体" w:hAnsi="Arial" w:cs="Arial"/>
                <w:sz w:val="16"/>
                <w:szCs w:val="16"/>
              </w:rPr>
              <w:t>Management fees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786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1,771</w:t>
            </w:r>
          </w:p>
        </w:tc>
        <w:tc>
          <w:tcPr>
            <w:tcW w:w="0" w:type="auto"/>
            <w:shd w:val="clear" w:color="auto" w:fill="auto"/>
            <w:vAlign w:val="bottom"/>
          </w:tcPr>
          <w:p w14:paraId="5556786C"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8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86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1,851</w:t>
            </w:r>
          </w:p>
        </w:tc>
        <w:tc>
          <w:tcPr>
            <w:tcW w:w="0" w:type="auto"/>
            <w:shd w:val="clear" w:color="auto" w:fill="auto"/>
            <w:vAlign w:val="bottom"/>
          </w:tcPr>
          <w:p w14:paraId="5556786F"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8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87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1,616</w:t>
            </w:r>
          </w:p>
        </w:tc>
        <w:tc>
          <w:tcPr>
            <w:tcW w:w="0" w:type="auto"/>
            <w:shd w:val="clear" w:color="auto" w:fill="auto"/>
            <w:vAlign w:val="bottom"/>
          </w:tcPr>
          <w:p w14:paraId="5556787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8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87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auto"/>
            <w:tcMar>
              <w:top w:w="40" w:type="dxa"/>
              <w:bottom w:w="40" w:type="dxa"/>
              <w:right w:w="40" w:type="dxa"/>
            </w:tcMar>
            <w:vAlign w:val="bottom"/>
          </w:tcPr>
          <w:p w14:paraId="55567875"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78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87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auto"/>
            <w:vAlign w:val="bottom"/>
          </w:tcPr>
          <w:p w14:paraId="55567878" w14:textId="77777777" w:rsidR="00F925DD" w:rsidRDefault="00F925DD">
            <w:pPr>
              <w:textAlignment w:val="bottom"/>
              <w:rPr>
                <w:rFonts w:ascii="Times New Roman" w:hAnsi="Times New Roman"/>
                <w:sz w:val="20"/>
                <w:szCs w:val="20"/>
              </w:rPr>
            </w:pPr>
          </w:p>
        </w:tc>
      </w:tr>
      <w:tr w:rsidR="00F925DD" w14:paraId="55567889" w14:textId="77777777">
        <w:tc>
          <w:tcPr>
            <w:tcW w:w="0" w:type="auto"/>
            <w:shd w:val="clear" w:color="auto" w:fill="CCEEFF"/>
            <w:tcMar>
              <w:top w:w="40" w:type="dxa"/>
              <w:left w:w="40" w:type="dxa"/>
              <w:bottom w:w="40" w:type="dxa"/>
              <w:right w:w="40" w:type="dxa"/>
            </w:tcMar>
            <w:vAlign w:val="bottom"/>
          </w:tcPr>
          <w:p w14:paraId="5556787A" w14:textId="77777777" w:rsidR="00F925DD" w:rsidRDefault="00E705D7">
            <w:pPr>
              <w:textAlignment w:val="bottom"/>
              <w:rPr>
                <w:rFonts w:ascii="Times New Roman" w:hAnsi="Times New Roman"/>
                <w:sz w:val="16"/>
                <w:szCs w:val="16"/>
              </w:rPr>
            </w:pPr>
            <w:r>
              <w:rPr>
                <w:rFonts w:ascii="Arial" w:eastAsia="宋体" w:hAnsi="Arial" w:cs="Arial"/>
                <w:sz w:val="16"/>
                <w:szCs w:val="16"/>
              </w:rPr>
              <w:t>Foreign exchange trading services</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5556787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1,111</w:t>
            </w:r>
          </w:p>
        </w:tc>
        <w:tc>
          <w:tcPr>
            <w:tcW w:w="0" w:type="auto"/>
            <w:shd w:val="clear" w:color="auto" w:fill="CCEEFF"/>
            <w:vAlign w:val="bottom"/>
          </w:tcPr>
          <w:p w14:paraId="5556787C"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8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87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1,201</w:t>
            </w:r>
          </w:p>
        </w:tc>
        <w:tc>
          <w:tcPr>
            <w:tcW w:w="0" w:type="auto"/>
            <w:shd w:val="clear" w:color="auto" w:fill="CCEEFF"/>
            <w:vAlign w:val="bottom"/>
          </w:tcPr>
          <w:p w14:paraId="5556787F"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8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88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1,071</w:t>
            </w:r>
          </w:p>
        </w:tc>
        <w:tc>
          <w:tcPr>
            <w:tcW w:w="0" w:type="auto"/>
            <w:shd w:val="clear" w:color="auto" w:fill="CCEEFF"/>
            <w:vAlign w:val="bottom"/>
          </w:tcPr>
          <w:p w14:paraId="5556788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8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8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w:t>
            </w:r>
          </w:p>
        </w:tc>
        <w:tc>
          <w:tcPr>
            <w:tcW w:w="0" w:type="auto"/>
            <w:shd w:val="clear" w:color="auto" w:fill="CCEEFF"/>
            <w:tcMar>
              <w:top w:w="40" w:type="dxa"/>
              <w:bottom w:w="40" w:type="dxa"/>
              <w:right w:w="40" w:type="dxa"/>
            </w:tcMar>
            <w:vAlign w:val="bottom"/>
          </w:tcPr>
          <w:p w14:paraId="55567885"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8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8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w:t>
            </w:r>
          </w:p>
        </w:tc>
        <w:tc>
          <w:tcPr>
            <w:tcW w:w="0" w:type="auto"/>
            <w:shd w:val="clear" w:color="auto" w:fill="CCEEFF"/>
            <w:vAlign w:val="bottom"/>
          </w:tcPr>
          <w:p w14:paraId="55567888" w14:textId="77777777" w:rsidR="00F925DD" w:rsidRDefault="00F925DD">
            <w:pPr>
              <w:textAlignment w:val="bottom"/>
              <w:rPr>
                <w:rFonts w:ascii="Times New Roman" w:hAnsi="Times New Roman"/>
                <w:sz w:val="20"/>
                <w:szCs w:val="20"/>
              </w:rPr>
            </w:pPr>
          </w:p>
        </w:tc>
      </w:tr>
      <w:tr w:rsidR="00F925DD" w14:paraId="55567899" w14:textId="77777777">
        <w:tc>
          <w:tcPr>
            <w:tcW w:w="0" w:type="auto"/>
            <w:shd w:val="clear" w:color="auto" w:fill="auto"/>
            <w:tcMar>
              <w:top w:w="40" w:type="dxa"/>
              <w:left w:w="40" w:type="dxa"/>
              <w:bottom w:w="40" w:type="dxa"/>
              <w:right w:w="40" w:type="dxa"/>
            </w:tcMar>
            <w:vAlign w:val="bottom"/>
          </w:tcPr>
          <w:p w14:paraId="5556788A" w14:textId="77777777" w:rsidR="00F925DD" w:rsidRDefault="00E705D7">
            <w:pPr>
              <w:textAlignment w:val="bottom"/>
              <w:rPr>
                <w:rFonts w:ascii="Times New Roman" w:hAnsi="Times New Roman"/>
                <w:sz w:val="16"/>
                <w:szCs w:val="16"/>
              </w:rPr>
            </w:pPr>
            <w:r>
              <w:rPr>
                <w:rFonts w:ascii="Arial" w:eastAsia="宋体" w:hAnsi="Arial" w:cs="Arial"/>
                <w:sz w:val="16"/>
                <w:szCs w:val="16"/>
              </w:rPr>
              <w:t>Securities finance</w:t>
            </w:r>
          </w:p>
        </w:tc>
        <w:tc>
          <w:tcPr>
            <w:tcW w:w="0" w:type="auto"/>
            <w:gridSpan w:val="2"/>
            <w:shd w:val="clear" w:color="auto" w:fill="auto"/>
            <w:tcMar>
              <w:top w:w="40" w:type="dxa"/>
              <w:left w:w="40" w:type="dxa"/>
              <w:bottom w:w="40" w:type="dxa"/>
            </w:tcMar>
            <w:vAlign w:val="bottom"/>
          </w:tcPr>
          <w:p w14:paraId="5556788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471</w:t>
            </w:r>
          </w:p>
        </w:tc>
        <w:tc>
          <w:tcPr>
            <w:tcW w:w="0" w:type="auto"/>
            <w:shd w:val="clear" w:color="auto" w:fill="auto"/>
            <w:vAlign w:val="bottom"/>
          </w:tcPr>
          <w:p w14:paraId="5556788C"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8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88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543</w:t>
            </w:r>
          </w:p>
        </w:tc>
        <w:tc>
          <w:tcPr>
            <w:tcW w:w="0" w:type="auto"/>
            <w:shd w:val="clear" w:color="auto" w:fill="auto"/>
            <w:vAlign w:val="bottom"/>
          </w:tcPr>
          <w:p w14:paraId="5556788F"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8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89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606</w:t>
            </w:r>
          </w:p>
        </w:tc>
        <w:tc>
          <w:tcPr>
            <w:tcW w:w="0" w:type="auto"/>
            <w:shd w:val="clear" w:color="auto" w:fill="auto"/>
            <w:vAlign w:val="bottom"/>
          </w:tcPr>
          <w:p w14:paraId="5556789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8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89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w:t>
            </w:r>
          </w:p>
        </w:tc>
        <w:tc>
          <w:tcPr>
            <w:tcW w:w="0" w:type="auto"/>
            <w:shd w:val="clear" w:color="auto" w:fill="auto"/>
            <w:tcMar>
              <w:top w:w="40" w:type="dxa"/>
              <w:bottom w:w="40" w:type="dxa"/>
              <w:right w:w="40" w:type="dxa"/>
            </w:tcMar>
            <w:vAlign w:val="bottom"/>
          </w:tcPr>
          <w:p w14:paraId="55567895"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78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89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w:t>
            </w:r>
          </w:p>
        </w:tc>
        <w:tc>
          <w:tcPr>
            <w:tcW w:w="0" w:type="auto"/>
            <w:shd w:val="clear" w:color="auto" w:fill="auto"/>
            <w:tcMar>
              <w:top w:w="40" w:type="dxa"/>
              <w:bottom w:w="40" w:type="dxa"/>
              <w:right w:w="40" w:type="dxa"/>
            </w:tcMar>
            <w:vAlign w:val="bottom"/>
          </w:tcPr>
          <w:p w14:paraId="5556789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78A9" w14:textId="77777777">
        <w:tc>
          <w:tcPr>
            <w:tcW w:w="0" w:type="auto"/>
            <w:shd w:val="clear" w:color="auto" w:fill="CCEEFF"/>
            <w:tcMar>
              <w:top w:w="40" w:type="dxa"/>
              <w:left w:w="40" w:type="dxa"/>
              <w:bottom w:w="40" w:type="dxa"/>
              <w:right w:w="40" w:type="dxa"/>
            </w:tcMar>
            <w:vAlign w:val="bottom"/>
          </w:tcPr>
          <w:p w14:paraId="5556789A" w14:textId="77777777" w:rsidR="00F925DD" w:rsidRDefault="00E705D7">
            <w:pPr>
              <w:textAlignment w:val="bottom"/>
              <w:rPr>
                <w:rFonts w:ascii="Times New Roman" w:hAnsi="Times New Roman"/>
                <w:sz w:val="16"/>
                <w:szCs w:val="16"/>
              </w:rPr>
            </w:pPr>
            <w:r>
              <w:rPr>
                <w:rFonts w:ascii="Arial" w:eastAsia="宋体" w:hAnsi="Arial" w:cs="Arial"/>
                <w:sz w:val="16"/>
                <w:szCs w:val="16"/>
              </w:rPr>
              <w:t>Software and processing fees</w:t>
            </w:r>
            <w:r>
              <w:rPr>
                <w:rFonts w:ascii="Arial" w:eastAsia="宋体" w:hAnsi="Arial" w:cs="Arial"/>
                <w:sz w:val="10"/>
                <w:szCs w:val="10"/>
              </w:rPr>
              <w:t>(2)</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89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720</w:t>
            </w:r>
          </w:p>
        </w:tc>
        <w:tc>
          <w:tcPr>
            <w:tcW w:w="0" w:type="auto"/>
            <w:tcBorders>
              <w:bottom w:val="single" w:sz="8" w:space="0" w:color="000000"/>
            </w:tcBorders>
            <w:shd w:val="clear" w:color="auto" w:fill="CCEEFF"/>
            <w:vAlign w:val="bottom"/>
          </w:tcPr>
          <w:p w14:paraId="5556789C"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8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89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438</w:t>
            </w:r>
          </w:p>
        </w:tc>
        <w:tc>
          <w:tcPr>
            <w:tcW w:w="0" w:type="auto"/>
            <w:tcBorders>
              <w:bottom w:val="single" w:sz="8" w:space="0" w:color="000000"/>
            </w:tcBorders>
            <w:shd w:val="clear" w:color="auto" w:fill="CCEEFF"/>
            <w:vAlign w:val="bottom"/>
          </w:tcPr>
          <w:p w14:paraId="5556789F"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8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8A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343</w:t>
            </w:r>
          </w:p>
        </w:tc>
        <w:tc>
          <w:tcPr>
            <w:tcW w:w="0" w:type="auto"/>
            <w:tcBorders>
              <w:bottom w:val="single" w:sz="8" w:space="0" w:color="000000"/>
            </w:tcBorders>
            <w:shd w:val="clear" w:color="auto" w:fill="CCEEFF"/>
            <w:vAlign w:val="bottom"/>
          </w:tcPr>
          <w:p w14:paraId="555678A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8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A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64</w:t>
            </w:r>
          </w:p>
        </w:tc>
        <w:tc>
          <w:tcPr>
            <w:tcW w:w="0" w:type="auto"/>
            <w:shd w:val="clear" w:color="auto" w:fill="CCEEFF"/>
            <w:vAlign w:val="bottom"/>
          </w:tcPr>
          <w:p w14:paraId="555678A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8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A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28</w:t>
            </w:r>
          </w:p>
        </w:tc>
        <w:tc>
          <w:tcPr>
            <w:tcW w:w="0" w:type="auto"/>
            <w:shd w:val="clear" w:color="auto" w:fill="CCEEFF"/>
            <w:vAlign w:val="bottom"/>
          </w:tcPr>
          <w:p w14:paraId="555678A8" w14:textId="77777777" w:rsidR="00F925DD" w:rsidRDefault="00F925DD">
            <w:pPr>
              <w:textAlignment w:val="bottom"/>
              <w:rPr>
                <w:rFonts w:ascii="Times New Roman" w:hAnsi="Times New Roman"/>
                <w:sz w:val="20"/>
                <w:szCs w:val="20"/>
              </w:rPr>
            </w:pPr>
          </w:p>
        </w:tc>
      </w:tr>
      <w:tr w:rsidR="00F925DD" w14:paraId="555678B9" w14:textId="77777777">
        <w:tc>
          <w:tcPr>
            <w:tcW w:w="0" w:type="auto"/>
            <w:shd w:val="clear" w:color="auto" w:fill="auto"/>
            <w:tcMar>
              <w:top w:w="40" w:type="dxa"/>
              <w:left w:w="40" w:type="dxa"/>
              <w:bottom w:w="40" w:type="dxa"/>
              <w:right w:w="40" w:type="dxa"/>
            </w:tcMar>
            <w:vAlign w:val="bottom"/>
          </w:tcPr>
          <w:p w14:paraId="555678AA"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fee revenue</w:t>
            </w:r>
            <w:r>
              <w:rPr>
                <w:rFonts w:ascii="Arial" w:eastAsia="宋体" w:hAnsi="Arial" w:cs="Arial"/>
                <w:sz w:val="10"/>
                <w:szCs w:val="10"/>
              </w:rPr>
              <w:t>(2)</w:t>
            </w:r>
          </w:p>
        </w:tc>
        <w:tc>
          <w:tcPr>
            <w:tcW w:w="0" w:type="auto"/>
            <w:gridSpan w:val="2"/>
            <w:tcBorders>
              <w:top w:val="single" w:sz="8" w:space="0" w:color="000000"/>
            </w:tcBorders>
            <w:shd w:val="clear" w:color="auto" w:fill="auto"/>
            <w:tcMar>
              <w:top w:w="40" w:type="dxa"/>
              <w:left w:w="40" w:type="dxa"/>
              <w:bottom w:w="40" w:type="dxa"/>
            </w:tcMar>
            <w:vAlign w:val="bottom"/>
          </w:tcPr>
          <w:p w14:paraId="555678A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9,147</w:t>
            </w:r>
          </w:p>
        </w:tc>
        <w:tc>
          <w:tcPr>
            <w:tcW w:w="0" w:type="auto"/>
            <w:tcBorders>
              <w:top w:val="single" w:sz="8" w:space="0" w:color="000000"/>
            </w:tcBorders>
            <w:shd w:val="clear" w:color="auto" w:fill="auto"/>
            <w:vAlign w:val="bottom"/>
          </w:tcPr>
          <w:p w14:paraId="555678AC"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8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78A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9,454</w:t>
            </w:r>
          </w:p>
        </w:tc>
        <w:tc>
          <w:tcPr>
            <w:tcW w:w="0" w:type="auto"/>
            <w:tcBorders>
              <w:top w:val="single" w:sz="8" w:space="0" w:color="000000"/>
            </w:tcBorders>
            <w:shd w:val="clear" w:color="auto" w:fill="auto"/>
            <w:vAlign w:val="bottom"/>
          </w:tcPr>
          <w:p w14:paraId="555678AF"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8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8B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9,001</w:t>
            </w:r>
          </w:p>
        </w:tc>
        <w:tc>
          <w:tcPr>
            <w:tcW w:w="0" w:type="auto"/>
            <w:shd w:val="clear" w:color="auto" w:fill="auto"/>
            <w:vAlign w:val="bottom"/>
          </w:tcPr>
          <w:p w14:paraId="555678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8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8B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auto"/>
            <w:tcMar>
              <w:top w:w="40" w:type="dxa"/>
              <w:bottom w:w="40" w:type="dxa"/>
              <w:right w:w="40" w:type="dxa"/>
            </w:tcMar>
            <w:vAlign w:val="bottom"/>
          </w:tcPr>
          <w:p w14:paraId="555678B5"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78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8B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vAlign w:val="bottom"/>
          </w:tcPr>
          <w:p w14:paraId="555678B8" w14:textId="77777777" w:rsidR="00F925DD" w:rsidRDefault="00F925DD">
            <w:pPr>
              <w:textAlignment w:val="bottom"/>
              <w:rPr>
                <w:rFonts w:ascii="Times New Roman" w:hAnsi="Times New Roman"/>
                <w:sz w:val="20"/>
                <w:szCs w:val="20"/>
              </w:rPr>
            </w:pPr>
          </w:p>
        </w:tc>
      </w:tr>
      <w:tr w:rsidR="00F925DD" w14:paraId="555678C5" w14:textId="77777777">
        <w:tc>
          <w:tcPr>
            <w:tcW w:w="0" w:type="auto"/>
            <w:shd w:val="clear" w:color="auto" w:fill="CCEEFF"/>
            <w:tcMar>
              <w:top w:w="40" w:type="dxa"/>
              <w:left w:w="40" w:type="dxa"/>
              <w:bottom w:w="40" w:type="dxa"/>
              <w:right w:w="40" w:type="dxa"/>
            </w:tcMar>
            <w:vAlign w:val="bottom"/>
          </w:tcPr>
          <w:p w14:paraId="555678BA"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interest income:</w:t>
            </w:r>
          </w:p>
        </w:tc>
        <w:tc>
          <w:tcPr>
            <w:tcW w:w="0" w:type="auto"/>
            <w:gridSpan w:val="3"/>
            <w:shd w:val="clear" w:color="auto" w:fill="CCEEFF"/>
            <w:tcMar>
              <w:top w:w="40" w:type="dxa"/>
              <w:left w:w="40" w:type="dxa"/>
              <w:bottom w:w="40" w:type="dxa"/>
              <w:right w:w="40" w:type="dxa"/>
            </w:tcMar>
            <w:vAlign w:val="bottom"/>
          </w:tcPr>
          <w:p w14:paraId="555678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8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8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8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8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8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8C1" w14:textId="77777777" w:rsidR="00F925DD" w:rsidRDefault="00F925DD">
            <w:pPr>
              <w:textAlignment w:val="bottom"/>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555678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C3" w14:textId="77777777" w:rsidR="00F925DD" w:rsidRDefault="00F925DD">
            <w:pPr>
              <w:jc w:val="right"/>
              <w:textAlignment w:val="bottom"/>
              <w:rPr>
                <w:rFonts w:ascii="Times New Roman" w:hAnsi="Times New Roman"/>
                <w:sz w:val="16"/>
                <w:szCs w:val="16"/>
              </w:rPr>
            </w:pPr>
          </w:p>
        </w:tc>
        <w:tc>
          <w:tcPr>
            <w:tcW w:w="0" w:type="auto"/>
            <w:shd w:val="clear" w:color="auto" w:fill="CCEEFF"/>
            <w:vAlign w:val="bottom"/>
          </w:tcPr>
          <w:p w14:paraId="555678C4" w14:textId="77777777" w:rsidR="00F925DD" w:rsidRDefault="00F925DD">
            <w:pPr>
              <w:textAlignment w:val="bottom"/>
              <w:rPr>
                <w:rFonts w:ascii="Times New Roman" w:hAnsi="Times New Roman"/>
                <w:sz w:val="20"/>
                <w:szCs w:val="20"/>
              </w:rPr>
            </w:pPr>
          </w:p>
        </w:tc>
      </w:tr>
      <w:tr w:rsidR="00F925DD" w14:paraId="555678D5" w14:textId="77777777">
        <w:tc>
          <w:tcPr>
            <w:tcW w:w="0" w:type="auto"/>
            <w:shd w:val="clear" w:color="auto" w:fill="auto"/>
            <w:tcMar>
              <w:top w:w="40" w:type="dxa"/>
              <w:left w:w="40" w:type="dxa"/>
              <w:bottom w:w="40" w:type="dxa"/>
              <w:right w:w="40" w:type="dxa"/>
            </w:tcMar>
            <w:vAlign w:val="bottom"/>
          </w:tcPr>
          <w:p w14:paraId="555678C6" w14:textId="77777777" w:rsidR="00F925DD" w:rsidRDefault="00E705D7">
            <w:pPr>
              <w:textAlignment w:val="bottom"/>
              <w:rPr>
                <w:rFonts w:ascii="Times New Roman" w:hAnsi="Times New Roman"/>
                <w:sz w:val="16"/>
                <w:szCs w:val="16"/>
              </w:rPr>
            </w:pPr>
            <w:r>
              <w:rPr>
                <w:rFonts w:ascii="Arial" w:eastAsia="宋体" w:hAnsi="Arial" w:cs="Arial"/>
                <w:sz w:val="16"/>
                <w:szCs w:val="16"/>
              </w:rPr>
              <w:t>Interest income</w:t>
            </w:r>
          </w:p>
        </w:tc>
        <w:tc>
          <w:tcPr>
            <w:tcW w:w="0" w:type="auto"/>
            <w:gridSpan w:val="2"/>
            <w:shd w:val="clear" w:color="auto" w:fill="auto"/>
            <w:tcMar>
              <w:top w:w="40" w:type="dxa"/>
              <w:left w:w="40" w:type="dxa"/>
              <w:bottom w:w="40" w:type="dxa"/>
            </w:tcMar>
            <w:vAlign w:val="bottom"/>
          </w:tcPr>
          <w:p w14:paraId="555678C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3,941</w:t>
            </w:r>
          </w:p>
        </w:tc>
        <w:tc>
          <w:tcPr>
            <w:tcW w:w="0" w:type="auto"/>
            <w:shd w:val="clear" w:color="auto" w:fill="auto"/>
            <w:vAlign w:val="bottom"/>
          </w:tcPr>
          <w:p w14:paraId="555678C8"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8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8C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3,662</w:t>
            </w:r>
          </w:p>
        </w:tc>
        <w:tc>
          <w:tcPr>
            <w:tcW w:w="0" w:type="auto"/>
            <w:shd w:val="clear" w:color="auto" w:fill="auto"/>
            <w:vAlign w:val="bottom"/>
          </w:tcPr>
          <w:p w14:paraId="555678CB"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8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8C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2,908</w:t>
            </w:r>
          </w:p>
        </w:tc>
        <w:tc>
          <w:tcPr>
            <w:tcW w:w="0" w:type="auto"/>
            <w:shd w:val="clear" w:color="auto" w:fill="auto"/>
            <w:vAlign w:val="bottom"/>
          </w:tcPr>
          <w:p w14:paraId="555678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8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8D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w:t>
            </w:r>
          </w:p>
        </w:tc>
        <w:tc>
          <w:tcPr>
            <w:tcW w:w="0" w:type="auto"/>
            <w:shd w:val="clear" w:color="auto" w:fill="auto"/>
            <w:vAlign w:val="bottom"/>
          </w:tcPr>
          <w:p w14:paraId="555678D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8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8D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w:t>
            </w:r>
          </w:p>
        </w:tc>
        <w:tc>
          <w:tcPr>
            <w:tcW w:w="0" w:type="auto"/>
            <w:shd w:val="clear" w:color="auto" w:fill="auto"/>
            <w:vAlign w:val="bottom"/>
          </w:tcPr>
          <w:p w14:paraId="555678D4" w14:textId="77777777" w:rsidR="00F925DD" w:rsidRDefault="00F925DD">
            <w:pPr>
              <w:textAlignment w:val="bottom"/>
              <w:rPr>
                <w:rFonts w:ascii="Times New Roman" w:hAnsi="Times New Roman"/>
                <w:sz w:val="20"/>
                <w:szCs w:val="20"/>
              </w:rPr>
            </w:pPr>
          </w:p>
        </w:tc>
      </w:tr>
      <w:tr w:rsidR="00F925DD" w14:paraId="555678E5" w14:textId="77777777">
        <w:tc>
          <w:tcPr>
            <w:tcW w:w="0" w:type="auto"/>
            <w:shd w:val="clear" w:color="auto" w:fill="CCEEFF"/>
            <w:tcMar>
              <w:top w:w="40" w:type="dxa"/>
              <w:left w:w="40" w:type="dxa"/>
              <w:bottom w:w="40" w:type="dxa"/>
              <w:right w:w="40" w:type="dxa"/>
            </w:tcMar>
            <w:vAlign w:val="bottom"/>
          </w:tcPr>
          <w:p w14:paraId="555678D6" w14:textId="77777777" w:rsidR="00F925DD" w:rsidRDefault="00E705D7">
            <w:pPr>
              <w:textAlignment w:val="bottom"/>
              <w:rPr>
                <w:rFonts w:ascii="Times New Roman" w:hAnsi="Times New Roman"/>
                <w:sz w:val="16"/>
                <w:szCs w:val="16"/>
              </w:rPr>
            </w:pPr>
            <w:r>
              <w:rPr>
                <w:rFonts w:ascii="Arial" w:eastAsia="宋体" w:hAnsi="Arial" w:cs="Arial"/>
                <w:sz w:val="16"/>
                <w:szCs w:val="16"/>
              </w:rPr>
              <w:t>Interest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8D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1,375</w:t>
            </w:r>
          </w:p>
        </w:tc>
        <w:tc>
          <w:tcPr>
            <w:tcW w:w="0" w:type="auto"/>
            <w:tcBorders>
              <w:bottom w:val="single" w:sz="8" w:space="0" w:color="000000"/>
            </w:tcBorders>
            <w:shd w:val="clear" w:color="auto" w:fill="CCEEFF"/>
            <w:vAlign w:val="bottom"/>
          </w:tcPr>
          <w:p w14:paraId="555678D8"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8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8D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991</w:t>
            </w:r>
          </w:p>
        </w:tc>
        <w:tc>
          <w:tcPr>
            <w:tcW w:w="0" w:type="auto"/>
            <w:tcBorders>
              <w:bottom w:val="single" w:sz="8" w:space="0" w:color="000000"/>
            </w:tcBorders>
            <w:shd w:val="clear" w:color="auto" w:fill="CCEEFF"/>
            <w:vAlign w:val="bottom"/>
          </w:tcPr>
          <w:p w14:paraId="555678DB"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8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8D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604</w:t>
            </w:r>
          </w:p>
        </w:tc>
        <w:tc>
          <w:tcPr>
            <w:tcW w:w="0" w:type="auto"/>
            <w:tcBorders>
              <w:bottom w:val="single" w:sz="8" w:space="0" w:color="000000"/>
            </w:tcBorders>
            <w:shd w:val="clear" w:color="auto" w:fill="CCEEFF"/>
            <w:vAlign w:val="bottom"/>
          </w:tcPr>
          <w:p w14:paraId="555678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8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E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39</w:t>
            </w:r>
          </w:p>
        </w:tc>
        <w:tc>
          <w:tcPr>
            <w:tcW w:w="0" w:type="auto"/>
            <w:shd w:val="clear" w:color="auto" w:fill="CCEEFF"/>
            <w:vAlign w:val="bottom"/>
          </w:tcPr>
          <w:p w14:paraId="555678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8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8E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64</w:t>
            </w:r>
          </w:p>
        </w:tc>
        <w:tc>
          <w:tcPr>
            <w:tcW w:w="0" w:type="auto"/>
            <w:shd w:val="clear" w:color="auto" w:fill="CCEEFF"/>
            <w:vAlign w:val="bottom"/>
          </w:tcPr>
          <w:p w14:paraId="555678E4" w14:textId="77777777" w:rsidR="00F925DD" w:rsidRDefault="00F925DD">
            <w:pPr>
              <w:textAlignment w:val="bottom"/>
              <w:rPr>
                <w:rFonts w:ascii="Times New Roman" w:hAnsi="Times New Roman"/>
                <w:sz w:val="20"/>
                <w:szCs w:val="20"/>
              </w:rPr>
            </w:pPr>
          </w:p>
        </w:tc>
      </w:tr>
      <w:tr w:rsidR="00F925DD" w14:paraId="555678F5" w14:textId="77777777">
        <w:tc>
          <w:tcPr>
            <w:tcW w:w="0" w:type="auto"/>
            <w:shd w:val="clear" w:color="auto" w:fill="auto"/>
            <w:tcMar>
              <w:top w:w="40" w:type="dxa"/>
              <w:left w:w="40" w:type="dxa"/>
              <w:bottom w:w="40" w:type="dxa"/>
              <w:right w:w="40" w:type="dxa"/>
            </w:tcMar>
            <w:vAlign w:val="bottom"/>
          </w:tcPr>
          <w:p w14:paraId="555678E6"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interest income</w:t>
            </w:r>
          </w:p>
        </w:tc>
        <w:tc>
          <w:tcPr>
            <w:tcW w:w="0" w:type="auto"/>
            <w:gridSpan w:val="2"/>
            <w:shd w:val="clear" w:color="auto" w:fill="auto"/>
            <w:tcMar>
              <w:top w:w="40" w:type="dxa"/>
              <w:left w:w="40" w:type="dxa"/>
              <w:bottom w:w="40" w:type="dxa"/>
            </w:tcMar>
            <w:vAlign w:val="bottom"/>
          </w:tcPr>
          <w:p w14:paraId="555678E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2,566</w:t>
            </w:r>
          </w:p>
        </w:tc>
        <w:tc>
          <w:tcPr>
            <w:tcW w:w="0" w:type="auto"/>
            <w:shd w:val="clear" w:color="auto" w:fill="auto"/>
            <w:vAlign w:val="bottom"/>
          </w:tcPr>
          <w:p w14:paraId="555678E8"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8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8E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2,671</w:t>
            </w:r>
          </w:p>
        </w:tc>
        <w:tc>
          <w:tcPr>
            <w:tcW w:w="0" w:type="auto"/>
            <w:shd w:val="clear" w:color="auto" w:fill="auto"/>
            <w:vAlign w:val="bottom"/>
          </w:tcPr>
          <w:p w14:paraId="555678EB"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8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8E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2,304</w:t>
            </w:r>
          </w:p>
        </w:tc>
        <w:tc>
          <w:tcPr>
            <w:tcW w:w="0" w:type="auto"/>
            <w:shd w:val="clear" w:color="auto" w:fill="auto"/>
            <w:vAlign w:val="bottom"/>
          </w:tcPr>
          <w:p w14:paraId="555678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8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8F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auto"/>
            <w:tcMar>
              <w:top w:w="40" w:type="dxa"/>
              <w:bottom w:w="40" w:type="dxa"/>
              <w:right w:w="40" w:type="dxa"/>
            </w:tcMar>
            <w:vAlign w:val="bottom"/>
          </w:tcPr>
          <w:p w14:paraId="555678F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78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8F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w:t>
            </w:r>
          </w:p>
        </w:tc>
        <w:tc>
          <w:tcPr>
            <w:tcW w:w="0" w:type="auto"/>
            <w:shd w:val="clear" w:color="auto" w:fill="auto"/>
            <w:vAlign w:val="bottom"/>
          </w:tcPr>
          <w:p w14:paraId="555678F4" w14:textId="77777777" w:rsidR="00F925DD" w:rsidRDefault="00F925DD">
            <w:pPr>
              <w:textAlignment w:val="bottom"/>
              <w:rPr>
                <w:rFonts w:ascii="Times New Roman" w:hAnsi="Times New Roman"/>
                <w:sz w:val="20"/>
                <w:szCs w:val="20"/>
              </w:rPr>
            </w:pPr>
          </w:p>
        </w:tc>
      </w:tr>
      <w:tr w:rsidR="00F925DD" w14:paraId="55567900" w14:textId="77777777">
        <w:tc>
          <w:tcPr>
            <w:tcW w:w="0" w:type="auto"/>
            <w:shd w:val="clear" w:color="auto" w:fill="CCEEFF"/>
            <w:tcMar>
              <w:top w:w="40" w:type="dxa"/>
              <w:left w:w="40" w:type="dxa"/>
              <w:bottom w:w="40" w:type="dxa"/>
              <w:right w:w="40" w:type="dxa"/>
            </w:tcMar>
            <w:vAlign w:val="bottom"/>
          </w:tcPr>
          <w:p w14:paraId="555678F6" w14:textId="77777777" w:rsidR="00F925DD" w:rsidRDefault="00E705D7">
            <w:pPr>
              <w:textAlignment w:val="bottom"/>
              <w:rPr>
                <w:rFonts w:ascii="Times New Roman" w:hAnsi="Times New Roman"/>
                <w:sz w:val="16"/>
                <w:szCs w:val="16"/>
              </w:rPr>
            </w:pPr>
            <w:r>
              <w:rPr>
                <w:rFonts w:ascii="Arial" w:eastAsia="宋体" w:hAnsi="Arial" w:cs="Arial"/>
                <w:sz w:val="16"/>
                <w:szCs w:val="16"/>
              </w:rPr>
              <w:t>Other income:</w:t>
            </w:r>
          </w:p>
        </w:tc>
        <w:tc>
          <w:tcPr>
            <w:tcW w:w="0" w:type="auto"/>
            <w:gridSpan w:val="3"/>
            <w:shd w:val="clear" w:color="auto" w:fill="CCEEFF"/>
            <w:tcMar>
              <w:top w:w="40" w:type="dxa"/>
              <w:left w:w="40" w:type="dxa"/>
              <w:bottom w:w="40" w:type="dxa"/>
              <w:right w:w="40" w:type="dxa"/>
            </w:tcMar>
            <w:vAlign w:val="bottom"/>
          </w:tcPr>
          <w:p w14:paraId="555678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8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8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8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8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8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8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8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8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910" w14:textId="77777777">
        <w:tc>
          <w:tcPr>
            <w:tcW w:w="0" w:type="auto"/>
            <w:shd w:val="clear" w:color="auto" w:fill="auto"/>
            <w:tcMar>
              <w:top w:w="40" w:type="dxa"/>
              <w:left w:w="40" w:type="dxa"/>
              <w:bottom w:w="40" w:type="dxa"/>
              <w:right w:w="40" w:type="dxa"/>
            </w:tcMar>
            <w:vAlign w:val="bottom"/>
          </w:tcPr>
          <w:p w14:paraId="55567901" w14:textId="77777777" w:rsidR="00F925DD" w:rsidRDefault="00E705D7">
            <w:pPr>
              <w:textAlignment w:val="bottom"/>
              <w:rPr>
                <w:rFonts w:ascii="Times New Roman" w:hAnsi="Times New Roman"/>
                <w:sz w:val="16"/>
                <w:szCs w:val="16"/>
              </w:rPr>
            </w:pPr>
            <w:r>
              <w:rPr>
                <w:rFonts w:ascii="Arial" w:eastAsia="宋体" w:hAnsi="Arial" w:cs="Arial"/>
                <w:sz w:val="16"/>
                <w:szCs w:val="16"/>
              </w:rPr>
              <w:t>Gains (losses) related to investment securities, net</w:t>
            </w:r>
          </w:p>
        </w:tc>
        <w:tc>
          <w:tcPr>
            <w:tcW w:w="0" w:type="auto"/>
            <w:gridSpan w:val="2"/>
            <w:shd w:val="clear" w:color="auto" w:fill="auto"/>
            <w:tcMar>
              <w:top w:w="40" w:type="dxa"/>
              <w:left w:w="40" w:type="dxa"/>
              <w:bottom w:w="40" w:type="dxa"/>
            </w:tcMar>
            <w:vAlign w:val="bottom"/>
          </w:tcPr>
          <w:p w14:paraId="5556790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shd w:val="clear" w:color="auto" w:fill="auto"/>
            <w:tcMar>
              <w:top w:w="40" w:type="dxa"/>
              <w:bottom w:w="40" w:type="dxa"/>
              <w:right w:w="40" w:type="dxa"/>
            </w:tcMar>
            <w:vAlign w:val="bottom"/>
          </w:tcPr>
          <w:p w14:paraId="5556790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gridSpan w:val="2"/>
            <w:shd w:val="clear" w:color="auto" w:fill="auto"/>
            <w:tcMar>
              <w:top w:w="40" w:type="dxa"/>
              <w:left w:w="40" w:type="dxa"/>
              <w:bottom w:w="40" w:type="dxa"/>
              <w:right w:w="40" w:type="dxa"/>
            </w:tcMar>
            <w:vAlign w:val="bottom"/>
          </w:tcPr>
          <w:p w14:paraId="555679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90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w:t>
            </w:r>
          </w:p>
        </w:tc>
        <w:tc>
          <w:tcPr>
            <w:tcW w:w="0" w:type="auto"/>
            <w:shd w:val="clear" w:color="auto" w:fill="auto"/>
            <w:vAlign w:val="bottom"/>
          </w:tcPr>
          <w:p w14:paraId="55567906"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79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90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(39</w:t>
            </w:r>
          </w:p>
        </w:tc>
        <w:tc>
          <w:tcPr>
            <w:tcW w:w="0" w:type="auto"/>
            <w:shd w:val="clear" w:color="auto" w:fill="auto"/>
            <w:tcMar>
              <w:top w:w="40" w:type="dxa"/>
              <w:bottom w:w="40" w:type="dxa"/>
              <w:right w:w="40" w:type="dxa"/>
            </w:tcMar>
            <w:vAlign w:val="bottom"/>
          </w:tcPr>
          <w:p w14:paraId="55567909"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79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90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auto"/>
            <w:vAlign w:val="bottom"/>
          </w:tcPr>
          <w:p w14:paraId="555679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9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90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auto"/>
            <w:vAlign w:val="bottom"/>
          </w:tcPr>
          <w:p w14:paraId="5556790F" w14:textId="77777777" w:rsidR="00F925DD" w:rsidRDefault="00F925DD">
            <w:pPr>
              <w:textAlignment w:val="bottom"/>
              <w:rPr>
                <w:rFonts w:ascii="Times New Roman" w:hAnsi="Times New Roman"/>
                <w:sz w:val="20"/>
                <w:szCs w:val="20"/>
              </w:rPr>
            </w:pPr>
          </w:p>
        </w:tc>
      </w:tr>
      <w:tr w:rsidR="00F925DD" w14:paraId="55567920" w14:textId="77777777">
        <w:tc>
          <w:tcPr>
            <w:tcW w:w="0" w:type="auto"/>
            <w:shd w:val="clear" w:color="auto" w:fill="CCEEFF"/>
            <w:tcMar>
              <w:top w:w="40" w:type="dxa"/>
              <w:left w:w="40" w:type="dxa"/>
              <w:bottom w:w="40" w:type="dxa"/>
              <w:right w:w="40" w:type="dxa"/>
            </w:tcMar>
            <w:vAlign w:val="bottom"/>
          </w:tcPr>
          <w:p w14:paraId="55567911" w14:textId="77777777" w:rsidR="00F925DD" w:rsidRDefault="00E705D7">
            <w:pPr>
              <w:textAlignment w:val="bottom"/>
              <w:rPr>
                <w:rFonts w:ascii="Times New Roman" w:hAnsi="Times New Roman"/>
                <w:sz w:val="16"/>
                <w:szCs w:val="16"/>
              </w:rPr>
            </w:pPr>
            <w:r>
              <w:rPr>
                <w:rFonts w:ascii="Arial" w:eastAsia="宋体" w:hAnsi="Arial" w:cs="Arial"/>
                <w:sz w:val="16"/>
                <w:szCs w:val="16"/>
              </w:rPr>
              <w:t>Other income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91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44</w:t>
            </w:r>
          </w:p>
        </w:tc>
        <w:tc>
          <w:tcPr>
            <w:tcW w:w="0" w:type="auto"/>
            <w:tcBorders>
              <w:bottom w:val="single" w:sz="8" w:space="0" w:color="000000"/>
            </w:tcBorders>
            <w:shd w:val="clear" w:color="auto" w:fill="CCEEFF"/>
            <w:vAlign w:val="bottom"/>
          </w:tcPr>
          <w:p w14:paraId="55567913"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9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91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w:t>
            </w:r>
          </w:p>
        </w:tc>
        <w:tc>
          <w:tcPr>
            <w:tcW w:w="0" w:type="auto"/>
            <w:tcBorders>
              <w:bottom w:val="single" w:sz="8" w:space="0" w:color="000000"/>
            </w:tcBorders>
            <w:shd w:val="clear" w:color="auto" w:fill="CCEEFF"/>
            <w:tcMar>
              <w:top w:w="40" w:type="dxa"/>
              <w:bottom w:w="40" w:type="dxa"/>
              <w:right w:w="40" w:type="dxa"/>
            </w:tcMar>
            <w:vAlign w:val="bottom"/>
          </w:tcPr>
          <w:p w14:paraId="5556791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gridSpan w:val="2"/>
            <w:shd w:val="clear" w:color="auto" w:fill="CCEEFF"/>
            <w:tcMar>
              <w:top w:w="40" w:type="dxa"/>
              <w:left w:w="40" w:type="dxa"/>
              <w:bottom w:w="40" w:type="dxa"/>
              <w:right w:w="40" w:type="dxa"/>
            </w:tcMar>
            <w:vAlign w:val="bottom"/>
          </w:tcPr>
          <w:p w14:paraId="555679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91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CCEEFF"/>
            <w:vAlign w:val="bottom"/>
          </w:tcPr>
          <w:p w14:paraId="555679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91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CCEEFF"/>
            <w:vAlign w:val="bottom"/>
          </w:tcPr>
          <w:p w14:paraId="555679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91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CCEEFF"/>
            <w:vAlign w:val="bottom"/>
          </w:tcPr>
          <w:p w14:paraId="5556791F" w14:textId="77777777" w:rsidR="00F925DD" w:rsidRDefault="00F925DD">
            <w:pPr>
              <w:textAlignment w:val="bottom"/>
              <w:rPr>
                <w:rFonts w:ascii="Times New Roman" w:hAnsi="Times New Roman"/>
                <w:sz w:val="20"/>
                <w:szCs w:val="20"/>
              </w:rPr>
            </w:pPr>
          </w:p>
        </w:tc>
      </w:tr>
      <w:tr w:rsidR="00F925DD" w14:paraId="55567932" w14:textId="77777777">
        <w:tc>
          <w:tcPr>
            <w:tcW w:w="0" w:type="auto"/>
            <w:shd w:val="clear" w:color="auto" w:fill="auto"/>
            <w:tcMar>
              <w:top w:w="40" w:type="dxa"/>
              <w:left w:w="40" w:type="dxa"/>
              <w:bottom w:w="40" w:type="dxa"/>
              <w:right w:w="40" w:type="dxa"/>
            </w:tcMar>
            <w:vAlign w:val="bottom"/>
          </w:tcPr>
          <w:p w14:paraId="55567921"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other income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792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43</w:t>
            </w:r>
          </w:p>
        </w:tc>
        <w:tc>
          <w:tcPr>
            <w:tcW w:w="0" w:type="auto"/>
            <w:tcBorders>
              <w:top w:val="single" w:sz="8" w:space="0" w:color="000000"/>
              <w:bottom w:val="single" w:sz="8" w:space="0" w:color="000000"/>
            </w:tcBorders>
            <w:shd w:val="clear" w:color="auto" w:fill="auto"/>
            <w:vAlign w:val="bottom"/>
          </w:tcPr>
          <w:p w14:paraId="5556792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5556792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vAlign w:val="bottom"/>
          </w:tcPr>
          <w:p w14:paraId="55567925" w14:textId="77777777" w:rsidR="00F925DD" w:rsidRDefault="00F925D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792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w:t>
            </w:r>
          </w:p>
        </w:tc>
        <w:tc>
          <w:tcPr>
            <w:tcW w:w="0" w:type="auto"/>
            <w:tcBorders>
              <w:top w:val="single" w:sz="8" w:space="0" w:color="000000"/>
              <w:bottom w:val="single" w:sz="8" w:space="0" w:color="000000"/>
            </w:tcBorders>
            <w:shd w:val="clear" w:color="auto" w:fill="auto"/>
            <w:vAlign w:val="bottom"/>
          </w:tcPr>
          <w:p w14:paraId="5556792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5556792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55567929" w14:textId="77777777" w:rsidR="00F925DD" w:rsidRDefault="00F925D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792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(39</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556792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79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92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auto"/>
            <w:vAlign w:val="bottom"/>
          </w:tcPr>
          <w:p w14:paraId="555679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9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93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auto"/>
            <w:vAlign w:val="bottom"/>
          </w:tcPr>
          <w:p w14:paraId="55567931" w14:textId="77777777" w:rsidR="00F925DD" w:rsidRDefault="00F925DD">
            <w:pPr>
              <w:textAlignment w:val="bottom"/>
              <w:rPr>
                <w:rFonts w:ascii="Times New Roman" w:hAnsi="Times New Roman"/>
                <w:sz w:val="20"/>
                <w:szCs w:val="20"/>
              </w:rPr>
            </w:pPr>
          </w:p>
        </w:tc>
      </w:tr>
      <w:tr w:rsidR="00F925DD" w14:paraId="55567945" w14:textId="77777777">
        <w:tc>
          <w:tcPr>
            <w:tcW w:w="0" w:type="auto"/>
            <w:shd w:val="clear" w:color="auto" w:fill="CCEEFF"/>
            <w:tcMar>
              <w:top w:w="40" w:type="dxa"/>
              <w:left w:w="40" w:type="dxa"/>
              <w:bottom w:w="40" w:type="dxa"/>
              <w:right w:w="40" w:type="dxa"/>
            </w:tcMar>
            <w:vAlign w:val="bottom"/>
          </w:tcPr>
          <w:p w14:paraId="55567933"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revenue</w:t>
            </w:r>
            <w:r>
              <w:rPr>
                <w:rFonts w:ascii="Arial" w:eastAsia="宋体" w:hAnsi="Arial" w:cs="Arial"/>
                <w:sz w:val="10"/>
                <w:szCs w:val="10"/>
              </w:rPr>
              <w:t>(2)</w:t>
            </w:r>
          </w:p>
        </w:tc>
        <w:tc>
          <w:tcPr>
            <w:tcW w:w="0" w:type="auto"/>
            <w:tcBorders>
              <w:bottom w:val="double" w:sz="6" w:space="0" w:color="000000"/>
            </w:tcBorders>
            <w:shd w:val="clear" w:color="auto" w:fill="CCEEFF"/>
            <w:tcMar>
              <w:top w:w="40" w:type="dxa"/>
              <w:left w:w="40" w:type="dxa"/>
              <w:bottom w:w="40" w:type="dxa"/>
            </w:tcMar>
            <w:vAlign w:val="bottom"/>
          </w:tcPr>
          <w:p w14:paraId="55567934"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double" w:sz="6" w:space="0" w:color="000000"/>
            </w:tcBorders>
            <w:shd w:val="clear" w:color="auto" w:fill="CCEEFF"/>
            <w:tcMar>
              <w:top w:w="40" w:type="dxa"/>
              <w:bottom w:w="40" w:type="dxa"/>
            </w:tcMar>
            <w:vAlign w:val="bottom"/>
          </w:tcPr>
          <w:p w14:paraId="5556793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11,756</w:t>
            </w:r>
          </w:p>
        </w:tc>
        <w:tc>
          <w:tcPr>
            <w:tcW w:w="0" w:type="auto"/>
            <w:tcBorders>
              <w:bottom w:val="double" w:sz="6" w:space="0" w:color="000000"/>
            </w:tcBorders>
            <w:shd w:val="clear" w:color="auto" w:fill="CCEEFF"/>
            <w:vAlign w:val="bottom"/>
          </w:tcPr>
          <w:p w14:paraId="55567936"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9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793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CCEEFF"/>
            <w:tcMar>
              <w:top w:w="40" w:type="dxa"/>
              <w:bottom w:w="40" w:type="dxa"/>
            </w:tcMar>
            <w:vAlign w:val="bottom"/>
          </w:tcPr>
          <w:p w14:paraId="5556793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12,131</w:t>
            </w:r>
          </w:p>
        </w:tc>
        <w:tc>
          <w:tcPr>
            <w:tcW w:w="0" w:type="auto"/>
            <w:tcBorders>
              <w:bottom w:val="double" w:sz="6" w:space="0" w:color="000000"/>
            </w:tcBorders>
            <w:shd w:val="clear" w:color="auto" w:fill="CCEEFF"/>
            <w:vAlign w:val="bottom"/>
          </w:tcPr>
          <w:p w14:paraId="5556793A"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79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93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93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11,266</w:t>
            </w:r>
          </w:p>
        </w:tc>
        <w:tc>
          <w:tcPr>
            <w:tcW w:w="0" w:type="auto"/>
            <w:tcBorders>
              <w:top w:val="single" w:sz="8" w:space="0" w:color="000000"/>
              <w:bottom w:val="double" w:sz="6" w:space="0" w:color="000000"/>
            </w:tcBorders>
            <w:shd w:val="clear" w:color="auto" w:fill="CCEEFF"/>
            <w:vAlign w:val="bottom"/>
          </w:tcPr>
          <w:p w14:paraId="555679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94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CCEEFF"/>
            <w:tcMar>
              <w:top w:w="40" w:type="dxa"/>
              <w:bottom w:w="40" w:type="dxa"/>
              <w:right w:w="40" w:type="dxa"/>
            </w:tcMar>
            <w:vAlign w:val="bottom"/>
          </w:tcPr>
          <w:p w14:paraId="5556794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9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94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w:t>
            </w:r>
          </w:p>
        </w:tc>
        <w:tc>
          <w:tcPr>
            <w:tcW w:w="0" w:type="auto"/>
            <w:shd w:val="clear" w:color="auto" w:fill="CCEEFF"/>
            <w:vAlign w:val="bottom"/>
          </w:tcPr>
          <w:p w14:paraId="55567944" w14:textId="77777777" w:rsidR="00F925DD" w:rsidRDefault="00F925DD">
            <w:pPr>
              <w:textAlignment w:val="bottom"/>
              <w:rPr>
                <w:rFonts w:ascii="Times New Roman" w:hAnsi="Times New Roman"/>
                <w:sz w:val="20"/>
                <w:szCs w:val="20"/>
              </w:rPr>
            </w:pPr>
          </w:p>
        </w:tc>
      </w:tr>
    </w:tbl>
    <w:p w14:paraId="55567946"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7948" w14:textId="77777777">
        <w:tc>
          <w:tcPr>
            <w:tcW w:w="0" w:type="auto"/>
            <w:gridSpan w:val="2"/>
            <w:shd w:val="clear" w:color="auto" w:fill="auto"/>
            <w:vAlign w:val="center"/>
          </w:tcPr>
          <w:p w14:paraId="55567947" w14:textId="77777777" w:rsidR="00F925DD" w:rsidRDefault="00F925DD">
            <w:pPr>
              <w:rPr>
                <w:rFonts w:ascii="Times New Roman" w:hAnsi="Times New Roman"/>
                <w:sz w:val="20"/>
                <w:szCs w:val="20"/>
              </w:rPr>
            </w:pPr>
          </w:p>
        </w:tc>
      </w:tr>
      <w:tr w:rsidR="00F925DD" w14:paraId="5556794B" w14:textId="77777777">
        <w:tc>
          <w:tcPr>
            <w:tcW w:w="1400" w:type="pct"/>
            <w:shd w:val="clear" w:color="auto" w:fill="auto"/>
            <w:vAlign w:val="center"/>
          </w:tcPr>
          <w:p w14:paraId="55567949" w14:textId="77777777" w:rsidR="00F925DD" w:rsidRDefault="00F925DD">
            <w:pPr>
              <w:rPr>
                <w:rFonts w:ascii="Times New Roman" w:hAnsi="Times New Roman"/>
                <w:sz w:val="20"/>
                <w:szCs w:val="20"/>
              </w:rPr>
            </w:pPr>
          </w:p>
        </w:tc>
        <w:tc>
          <w:tcPr>
            <w:tcW w:w="3600" w:type="pct"/>
            <w:shd w:val="clear" w:color="auto" w:fill="auto"/>
            <w:vAlign w:val="center"/>
          </w:tcPr>
          <w:p w14:paraId="5556794A" w14:textId="77777777" w:rsidR="00F925DD" w:rsidRDefault="00F925DD">
            <w:pPr>
              <w:rPr>
                <w:rFonts w:ascii="Times New Roman" w:hAnsi="Times New Roman"/>
                <w:sz w:val="20"/>
                <w:szCs w:val="20"/>
              </w:rPr>
            </w:pPr>
          </w:p>
        </w:tc>
      </w:tr>
      <w:tr w:rsidR="00F925DD" w14:paraId="5556794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79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9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794F"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The revenue recognition standard impact was approximately $319 million in total revenue for 2018, including approximately $190 million in management fees, $58 million in foreign exchange </w:t>
      </w:r>
      <w:r>
        <w:rPr>
          <w:rFonts w:ascii="Arial" w:eastAsia="宋体" w:hAnsi="Arial" w:cs="Arial"/>
          <w:sz w:val="14"/>
          <w:szCs w:val="14"/>
        </w:rPr>
        <w:t>trading services and $71 million across all other revenue lines.</w:t>
      </w:r>
    </w:p>
    <w:p w14:paraId="55567950"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 xml:space="preserve">CRD contributed approximately $385 million in total revenue in 2019, including approximately $370 million in software and processing fees and $15 million in brokerage and other </w:t>
      </w:r>
      <w:r>
        <w:rPr>
          <w:rFonts w:ascii="Arial" w:eastAsia="宋体" w:hAnsi="Arial" w:cs="Arial"/>
          <w:sz w:val="14"/>
          <w:szCs w:val="14"/>
        </w:rPr>
        <w:t>trading services within foreign exchange trading services. CRD contributed approximately $119 million in total revenue in 2018, including approximately $114 million in software and processing fees and $5 million in brokerage and other trading services with</w:t>
      </w:r>
      <w:r>
        <w:rPr>
          <w:rFonts w:ascii="Arial" w:eastAsia="宋体" w:hAnsi="Arial" w:cs="Arial"/>
          <w:sz w:val="14"/>
          <w:szCs w:val="14"/>
        </w:rPr>
        <w:t>in foreign exchange trading services.</w:t>
      </w:r>
    </w:p>
    <w:p w14:paraId="55567951"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nm</w:t>
      </w:r>
      <w:r>
        <w:rPr>
          <w:rFonts w:ascii="Arial" w:eastAsia="宋体" w:hAnsi="Arial" w:cs="Arial"/>
          <w:sz w:val="14"/>
          <w:szCs w:val="14"/>
        </w:rPr>
        <w:t xml:space="preserve"> Not meaningful</w:t>
      </w:r>
    </w:p>
    <w:p w14:paraId="55567952" w14:textId="77777777" w:rsidR="00F925DD" w:rsidRDefault="00F925DD">
      <w:pPr>
        <w:rPr>
          <w:rFonts w:ascii="Times New Roman" w:hAnsi="Times New Roman"/>
          <w:sz w:val="20"/>
          <w:szCs w:val="20"/>
        </w:rPr>
      </w:pPr>
    </w:p>
    <w:p w14:paraId="5556795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61</w:t>
      </w:r>
    </w:p>
    <w:p w14:paraId="55567954" w14:textId="77777777" w:rsidR="00F925DD" w:rsidRDefault="00F925DD">
      <w:pPr>
        <w:spacing w:line="288" w:lineRule="auto"/>
        <w:ind w:firstLine="600"/>
        <w:jc w:val="center"/>
        <w:rPr>
          <w:rFonts w:ascii="Times New Roman" w:hAnsi="Times New Roman"/>
          <w:sz w:val="18"/>
          <w:szCs w:val="18"/>
        </w:rPr>
      </w:pPr>
    </w:p>
    <w:p w14:paraId="55567955" w14:textId="77777777" w:rsidR="00F925DD" w:rsidRDefault="00E705D7">
      <w:r>
        <w:rPr>
          <w:rFonts w:ascii="Times New Roman" w:hAnsi="Times New Roman"/>
          <w:sz w:val="18"/>
          <w:szCs w:val="18"/>
        </w:rPr>
        <w:pict w14:anchorId="55570677">
          <v:rect id="_x0000_i1085" style="width:415.3pt;height:1.5pt" o:hralign="center" o:hrstd="t" o:hr="t" fillcolor="#a0a0a0" stroked="f"/>
        </w:pict>
      </w:r>
    </w:p>
    <w:p w14:paraId="5556795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95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958" w14:textId="77777777" w:rsidR="00F925DD" w:rsidRDefault="00F925DD">
      <w:pPr>
        <w:rPr>
          <w:rFonts w:ascii="Times New Roman" w:hAnsi="Times New Roman"/>
          <w:sz w:val="20"/>
          <w:szCs w:val="20"/>
        </w:rPr>
      </w:pPr>
    </w:p>
    <w:p w14:paraId="55567959"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Fee Revenue</w:t>
      </w:r>
    </w:p>
    <w:p w14:paraId="5556795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Table 2: Total Revenue, provides the breakout of fee revenue for th</w:t>
      </w:r>
      <w:r>
        <w:rPr>
          <w:rFonts w:ascii="Arial" w:eastAsia="宋体" w:hAnsi="Arial" w:cs="Arial"/>
          <w:sz w:val="20"/>
          <w:szCs w:val="20"/>
        </w:rPr>
        <w:t>e years ended December 31, 2019, 2018 and 2017. Servicing and management fees collectively made up approximately 75%, 77% and 78% of the total fee revenue in 2019, 2018 and 2017, respectively.</w:t>
      </w:r>
    </w:p>
    <w:p w14:paraId="5556795B"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Servicing Fee Revenue</w:t>
      </w:r>
    </w:p>
    <w:p w14:paraId="5556795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Generally, our servicing fee revenues are</w:t>
      </w:r>
      <w:r>
        <w:rPr>
          <w:rFonts w:ascii="Arial" w:eastAsia="宋体" w:hAnsi="Arial" w:cs="Arial"/>
          <w:sz w:val="20"/>
          <w:szCs w:val="20"/>
        </w:rPr>
        <w:t xml:space="preserve"> affected by several factors including changes in market valuations, client activity and asset flows, net new business and the manner in which we price our services. We provide a range of services to our clients, including core custody services, accounting</w:t>
      </w:r>
      <w:r>
        <w:rPr>
          <w:rFonts w:ascii="Arial" w:eastAsia="宋体" w:hAnsi="Arial" w:cs="Arial"/>
          <w:sz w:val="20"/>
          <w:szCs w:val="20"/>
        </w:rPr>
        <w:t>, reporting and administration and middle office services, and the nature and mix of services provided affects our servicing fees. The basis for fees will differ across regions and clients. On average and over time, approximately 55% of our servicing fee r</w:t>
      </w:r>
      <w:r>
        <w:rPr>
          <w:rFonts w:ascii="Arial" w:eastAsia="宋体" w:hAnsi="Arial" w:cs="Arial"/>
          <w:sz w:val="20"/>
          <w:szCs w:val="20"/>
        </w:rPr>
        <w:t>evenues have been variable due to changes in asset valuations including changes in daily average valuations of AUC/A; another 15% of our servicing fees are impacted by the volume of activity in the funds we serve; and the remaining 30% of our servicing fee</w:t>
      </w:r>
      <w:r>
        <w:rPr>
          <w:rFonts w:ascii="Arial" w:eastAsia="宋体" w:hAnsi="Arial" w:cs="Arial"/>
          <w:sz w:val="20"/>
          <w:szCs w:val="20"/>
        </w:rPr>
        <w:t>s tend not to be variable in nature nor impacted by market fluctuations or values.</w:t>
      </w:r>
    </w:p>
    <w:p w14:paraId="5556795D" w14:textId="77777777" w:rsidR="00F925DD" w:rsidRDefault="00E705D7">
      <w:pPr>
        <w:spacing w:line="288" w:lineRule="auto"/>
        <w:rPr>
          <w:rFonts w:ascii="Times New Roman" w:hAnsi="Times New Roman"/>
          <w:sz w:val="20"/>
          <w:szCs w:val="20"/>
        </w:rPr>
      </w:pPr>
      <w:r>
        <w:rPr>
          <w:rFonts w:ascii="Arial" w:eastAsia="宋体" w:hAnsi="Arial" w:cs="Arial"/>
          <w:i/>
          <w:iCs/>
          <w:sz w:val="20"/>
          <w:szCs w:val="20"/>
        </w:rPr>
        <w:t>Changes in Market Valuations</w:t>
      </w:r>
    </w:p>
    <w:p w14:paraId="5556795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servicing fee revenue is impacted by both our levels and the geographic and product mix of our AUC/A. Increases or decreases in market valua</w:t>
      </w:r>
      <w:r>
        <w:rPr>
          <w:rFonts w:ascii="Arial" w:eastAsia="宋体" w:hAnsi="Arial" w:cs="Arial"/>
          <w:sz w:val="20"/>
          <w:szCs w:val="20"/>
        </w:rPr>
        <w:t>tions have a corresponding impact on the level of our AUC/A and servicing fee revenues, though the degree of impact will vary depending on asset types and classes and geography of assets held within our clients’ portfolios.</w:t>
      </w:r>
    </w:p>
    <w:p w14:paraId="5556795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Over the five years ended Decemb</w:t>
      </w:r>
      <w:r>
        <w:rPr>
          <w:rFonts w:ascii="Arial" w:eastAsia="宋体" w:hAnsi="Arial" w:cs="Arial"/>
          <w:sz w:val="20"/>
          <w:szCs w:val="20"/>
        </w:rPr>
        <w:t>er 31, 2019, we estimate that worldwide market valuations impacted our servicing fee revenues by approximately (2)% to 5% annually and approximately 0% and 2% in 2019 and 2018, respectively. See Table 3: Daily Averages, Month-End Averages and Year-End Equi</w:t>
      </w:r>
      <w:r>
        <w:rPr>
          <w:rFonts w:ascii="Arial" w:eastAsia="宋体" w:hAnsi="Arial" w:cs="Arial"/>
          <w:sz w:val="20"/>
          <w:szCs w:val="20"/>
        </w:rPr>
        <w:t>ty Indices for selected indices. While the specific indices presented are indicative of general market trends, the asset types and classes relevant to individual client portfolios can and do differ, and the performance of associated relevant indices and of</w:t>
      </w:r>
      <w:r>
        <w:rPr>
          <w:rFonts w:ascii="Arial" w:eastAsia="宋体" w:hAnsi="Arial" w:cs="Arial"/>
          <w:sz w:val="20"/>
          <w:szCs w:val="20"/>
        </w:rPr>
        <w:t xml:space="preserve"> client portfolios can therefore differ from the performance of the indices presented. In addition, our asset classifications may differ from those industry classifications presented.</w:t>
      </w:r>
    </w:p>
    <w:p w14:paraId="5556796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estimate, using relevant information as of December 31, 2019 and assu</w:t>
      </w:r>
      <w:r>
        <w:rPr>
          <w:rFonts w:ascii="Arial" w:eastAsia="宋体" w:hAnsi="Arial" w:cs="Arial"/>
          <w:sz w:val="20"/>
          <w:szCs w:val="20"/>
        </w:rPr>
        <w:t>ming that all other factors remain constant, that:</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963" w14:textId="77777777">
        <w:trPr>
          <w:tblCellSpacing w:w="0" w:type="dxa"/>
        </w:trPr>
        <w:tc>
          <w:tcPr>
            <w:tcW w:w="960" w:type="dxa"/>
            <w:shd w:val="clear" w:color="auto" w:fill="auto"/>
            <w:vAlign w:val="center"/>
          </w:tcPr>
          <w:p w14:paraId="55567961" w14:textId="77777777" w:rsidR="00F925DD" w:rsidRDefault="00F925DD">
            <w:pPr>
              <w:rPr>
                <w:rFonts w:ascii="Times New Roman" w:hAnsi="Times New Roman"/>
                <w:sz w:val="20"/>
                <w:szCs w:val="20"/>
              </w:rPr>
            </w:pPr>
          </w:p>
        </w:tc>
        <w:tc>
          <w:tcPr>
            <w:tcW w:w="0" w:type="auto"/>
            <w:shd w:val="clear" w:color="auto" w:fill="auto"/>
            <w:vAlign w:val="center"/>
          </w:tcPr>
          <w:p w14:paraId="55567962" w14:textId="77777777" w:rsidR="00F925DD" w:rsidRDefault="00F925DD">
            <w:pPr>
              <w:rPr>
                <w:rFonts w:ascii="Times New Roman" w:hAnsi="Times New Roman"/>
                <w:sz w:val="20"/>
                <w:szCs w:val="20"/>
              </w:rPr>
            </w:pPr>
          </w:p>
        </w:tc>
      </w:tr>
      <w:tr w:rsidR="00F925DD" w14:paraId="55567966" w14:textId="77777777">
        <w:trPr>
          <w:tblCellSpacing w:w="0" w:type="dxa"/>
        </w:trPr>
        <w:tc>
          <w:tcPr>
            <w:tcW w:w="0" w:type="auto"/>
            <w:shd w:val="clear" w:color="auto" w:fill="auto"/>
          </w:tcPr>
          <w:p w14:paraId="5556796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96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10% increase or decrease in worldwide equity valuations, on a weighted average basis, over the relevant periods for which our servicing fees are calculated, would result in a </w:t>
            </w:r>
            <w:r>
              <w:rPr>
                <w:rFonts w:ascii="Arial" w:eastAsia="宋体" w:hAnsi="Arial" w:cs="Arial"/>
                <w:sz w:val="20"/>
                <w:szCs w:val="20"/>
              </w:rPr>
              <w:t>corresponding change in our total servicing fee revenues, on average and over time, of approximately 3%; and</w:t>
            </w:r>
          </w:p>
        </w:tc>
      </w:tr>
    </w:tbl>
    <w:p w14:paraId="55567967"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96A" w14:textId="77777777">
        <w:trPr>
          <w:tblCellSpacing w:w="0" w:type="dxa"/>
        </w:trPr>
        <w:tc>
          <w:tcPr>
            <w:tcW w:w="960" w:type="dxa"/>
            <w:shd w:val="clear" w:color="auto" w:fill="auto"/>
            <w:vAlign w:val="center"/>
          </w:tcPr>
          <w:p w14:paraId="55567968" w14:textId="77777777" w:rsidR="00F925DD" w:rsidRDefault="00F925DD">
            <w:pPr>
              <w:rPr>
                <w:rFonts w:ascii="Times New Roman" w:hAnsi="Times New Roman"/>
                <w:sz w:val="20"/>
                <w:szCs w:val="20"/>
              </w:rPr>
            </w:pPr>
          </w:p>
        </w:tc>
        <w:tc>
          <w:tcPr>
            <w:tcW w:w="0" w:type="auto"/>
            <w:shd w:val="clear" w:color="auto" w:fill="auto"/>
            <w:vAlign w:val="center"/>
          </w:tcPr>
          <w:p w14:paraId="55567969" w14:textId="77777777" w:rsidR="00F925DD" w:rsidRDefault="00F925DD">
            <w:pPr>
              <w:rPr>
                <w:rFonts w:ascii="Times New Roman" w:hAnsi="Times New Roman"/>
                <w:sz w:val="20"/>
                <w:szCs w:val="20"/>
              </w:rPr>
            </w:pPr>
          </w:p>
        </w:tc>
      </w:tr>
      <w:tr w:rsidR="00F925DD" w14:paraId="5556796D" w14:textId="77777777">
        <w:trPr>
          <w:tblCellSpacing w:w="0" w:type="dxa"/>
        </w:trPr>
        <w:tc>
          <w:tcPr>
            <w:tcW w:w="0" w:type="auto"/>
            <w:shd w:val="clear" w:color="auto" w:fill="auto"/>
          </w:tcPr>
          <w:p w14:paraId="5556796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96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 10% increase or decrease in worldwide fixed income valuations, on a weighted average basis, over the relevant periods for which our servic</w:t>
            </w:r>
            <w:r>
              <w:rPr>
                <w:rFonts w:ascii="Arial" w:eastAsia="宋体" w:hAnsi="Arial" w:cs="Arial"/>
                <w:sz w:val="20"/>
                <w:szCs w:val="20"/>
              </w:rPr>
              <w:t>ing fees are calculated, would result in a corresponding change in our total servicing fee revenues</w:t>
            </w:r>
            <w:r>
              <w:rPr>
                <w:rFonts w:ascii="Arial" w:eastAsia="宋体" w:hAnsi="Arial" w:cs="Arial"/>
                <w:color w:val="1F497D"/>
                <w:sz w:val="20"/>
                <w:szCs w:val="20"/>
              </w:rPr>
              <w:t xml:space="preserve">, </w:t>
            </w:r>
            <w:r>
              <w:rPr>
                <w:rFonts w:ascii="Arial" w:eastAsia="宋体" w:hAnsi="Arial" w:cs="Arial"/>
                <w:sz w:val="20"/>
                <w:szCs w:val="20"/>
              </w:rPr>
              <w:t>on average and over time, of approximately 1%.</w:t>
            </w:r>
          </w:p>
        </w:tc>
      </w:tr>
    </w:tbl>
    <w:p w14:paraId="5556796E"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1588"/>
        <w:gridCol w:w="508"/>
        <w:gridCol w:w="10"/>
        <w:gridCol w:w="130"/>
        <w:gridCol w:w="508"/>
        <w:gridCol w:w="10"/>
        <w:gridCol w:w="130"/>
        <w:gridCol w:w="663"/>
        <w:gridCol w:w="204"/>
        <w:gridCol w:w="130"/>
        <w:gridCol w:w="509"/>
        <w:gridCol w:w="11"/>
        <w:gridCol w:w="130"/>
        <w:gridCol w:w="509"/>
        <w:gridCol w:w="11"/>
        <w:gridCol w:w="130"/>
        <w:gridCol w:w="663"/>
        <w:gridCol w:w="204"/>
        <w:gridCol w:w="130"/>
        <w:gridCol w:w="509"/>
        <w:gridCol w:w="11"/>
        <w:gridCol w:w="130"/>
        <w:gridCol w:w="509"/>
        <w:gridCol w:w="11"/>
        <w:gridCol w:w="130"/>
        <w:gridCol w:w="663"/>
        <w:gridCol w:w="165"/>
      </w:tblGrid>
      <w:tr w:rsidR="00F925DD" w14:paraId="55567970" w14:textId="77777777">
        <w:tc>
          <w:tcPr>
            <w:tcW w:w="0" w:type="auto"/>
            <w:gridSpan w:val="27"/>
            <w:shd w:val="clear" w:color="auto" w:fill="auto"/>
            <w:vAlign w:val="center"/>
          </w:tcPr>
          <w:p w14:paraId="5556796F" w14:textId="77777777" w:rsidR="00F925DD" w:rsidRDefault="00F925DD">
            <w:pPr>
              <w:rPr>
                <w:rFonts w:ascii="Times New Roman" w:hAnsi="Times New Roman"/>
                <w:sz w:val="20"/>
                <w:szCs w:val="20"/>
              </w:rPr>
            </w:pPr>
          </w:p>
        </w:tc>
      </w:tr>
      <w:tr w:rsidR="00F925DD" w14:paraId="5556798C" w14:textId="77777777">
        <w:tc>
          <w:tcPr>
            <w:tcW w:w="1000" w:type="pct"/>
            <w:shd w:val="clear" w:color="auto" w:fill="auto"/>
            <w:vAlign w:val="center"/>
          </w:tcPr>
          <w:p w14:paraId="55567971" w14:textId="77777777" w:rsidR="00F925DD" w:rsidRDefault="00F925DD">
            <w:pPr>
              <w:rPr>
                <w:rFonts w:ascii="Times New Roman" w:hAnsi="Times New Roman"/>
                <w:sz w:val="20"/>
                <w:szCs w:val="20"/>
              </w:rPr>
            </w:pPr>
          </w:p>
        </w:tc>
        <w:tc>
          <w:tcPr>
            <w:tcW w:w="350" w:type="pct"/>
            <w:shd w:val="clear" w:color="auto" w:fill="auto"/>
            <w:vAlign w:val="center"/>
          </w:tcPr>
          <w:p w14:paraId="55567972" w14:textId="77777777" w:rsidR="00F925DD" w:rsidRDefault="00F925DD">
            <w:pPr>
              <w:rPr>
                <w:rFonts w:ascii="Times New Roman" w:hAnsi="Times New Roman"/>
                <w:sz w:val="20"/>
                <w:szCs w:val="20"/>
              </w:rPr>
            </w:pPr>
          </w:p>
        </w:tc>
        <w:tc>
          <w:tcPr>
            <w:tcW w:w="50" w:type="pct"/>
            <w:shd w:val="clear" w:color="auto" w:fill="auto"/>
            <w:vAlign w:val="center"/>
          </w:tcPr>
          <w:p w14:paraId="55567973" w14:textId="77777777" w:rsidR="00F925DD" w:rsidRDefault="00F925DD">
            <w:pPr>
              <w:rPr>
                <w:rFonts w:ascii="Times New Roman" w:hAnsi="Times New Roman"/>
                <w:sz w:val="20"/>
                <w:szCs w:val="20"/>
              </w:rPr>
            </w:pPr>
          </w:p>
        </w:tc>
        <w:tc>
          <w:tcPr>
            <w:tcW w:w="50" w:type="pct"/>
            <w:shd w:val="clear" w:color="auto" w:fill="auto"/>
            <w:vAlign w:val="center"/>
          </w:tcPr>
          <w:p w14:paraId="55567974" w14:textId="77777777" w:rsidR="00F925DD" w:rsidRDefault="00F925DD">
            <w:pPr>
              <w:rPr>
                <w:rFonts w:ascii="Times New Roman" w:hAnsi="Times New Roman"/>
                <w:sz w:val="20"/>
                <w:szCs w:val="20"/>
              </w:rPr>
            </w:pPr>
          </w:p>
        </w:tc>
        <w:tc>
          <w:tcPr>
            <w:tcW w:w="350" w:type="pct"/>
            <w:shd w:val="clear" w:color="auto" w:fill="auto"/>
            <w:vAlign w:val="center"/>
          </w:tcPr>
          <w:p w14:paraId="55567975" w14:textId="77777777" w:rsidR="00F925DD" w:rsidRDefault="00F925DD">
            <w:pPr>
              <w:rPr>
                <w:rFonts w:ascii="Times New Roman" w:hAnsi="Times New Roman"/>
                <w:sz w:val="20"/>
                <w:szCs w:val="20"/>
              </w:rPr>
            </w:pPr>
          </w:p>
        </w:tc>
        <w:tc>
          <w:tcPr>
            <w:tcW w:w="50" w:type="pct"/>
            <w:shd w:val="clear" w:color="auto" w:fill="auto"/>
            <w:vAlign w:val="center"/>
          </w:tcPr>
          <w:p w14:paraId="55567976" w14:textId="77777777" w:rsidR="00F925DD" w:rsidRDefault="00F925DD">
            <w:pPr>
              <w:rPr>
                <w:rFonts w:ascii="Times New Roman" w:hAnsi="Times New Roman"/>
                <w:sz w:val="20"/>
                <w:szCs w:val="20"/>
              </w:rPr>
            </w:pPr>
          </w:p>
        </w:tc>
        <w:tc>
          <w:tcPr>
            <w:tcW w:w="50" w:type="pct"/>
            <w:shd w:val="clear" w:color="auto" w:fill="auto"/>
            <w:vAlign w:val="center"/>
          </w:tcPr>
          <w:p w14:paraId="55567977" w14:textId="77777777" w:rsidR="00F925DD" w:rsidRDefault="00F925DD">
            <w:pPr>
              <w:rPr>
                <w:rFonts w:ascii="Times New Roman" w:hAnsi="Times New Roman"/>
                <w:sz w:val="20"/>
                <w:szCs w:val="20"/>
              </w:rPr>
            </w:pPr>
          </w:p>
        </w:tc>
        <w:tc>
          <w:tcPr>
            <w:tcW w:w="350" w:type="pct"/>
            <w:shd w:val="clear" w:color="auto" w:fill="auto"/>
            <w:vAlign w:val="center"/>
          </w:tcPr>
          <w:p w14:paraId="55567978" w14:textId="77777777" w:rsidR="00F925DD" w:rsidRDefault="00F925DD">
            <w:pPr>
              <w:rPr>
                <w:rFonts w:ascii="Times New Roman" w:hAnsi="Times New Roman"/>
                <w:sz w:val="20"/>
                <w:szCs w:val="20"/>
              </w:rPr>
            </w:pPr>
          </w:p>
        </w:tc>
        <w:tc>
          <w:tcPr>
            <w:tcW w:w="50" w:type="pct"/>
            <w:shd w:val="clear" w:color="auto" w:fill="auto"/>
            <w:vAlign w:val="center"/>
          </w:tcPr>
          <w:p w14:paraId="55567979" w14:textId="77777777" w:rsidR="00F925DD" w:rsidRDefault="00F925DD">
            <w:pPr>
              <w:rPr>
                <w:rFonts w:ascii="Times New Roman" w:hAnsi="Times New Roman"/>
                <w:sz w:val="20"/>
                <w:szCs w:val="20"/>
              </w:rPr>
            </w:pPr>
          </w:p>
        </w:tc>
        <w:tc>
          <w:tcPr>
            <w:tcW w:w="50" w:type="pct"/>
            <w:shd w:val="clear" w:color="auto" w:fill="auto"/>
            <w:vAlign w:val="center"/>
          </w:tcPr>
          <w:p w14:paraId="5556797A" w14:textId="77777777" w:rsidR="00F925DD" w:rsidRDefault="00F925DD">
            <w:pPr>
              <w:rPr>
                <w:rFonts w:ascii="Times New Roman" w:hAnsi="Times New Roman"/>
                <w:sz w:val="20"/>
                <w:szCs w:val="20"/>
              </w:rPr>
            </w:pPr>
          </w:p>
        </w:tc>
        <w:tc>
          <w:tcPr>
            <w:tcW w:w="350" w:type="pct"/>
            <w:shd w:val="clear" w:color="auto" w:fill="auto"/>
            <w:vAlign w:val="center"/>
          </w:tcPr>
          <w:p w14:paraId="5556797B" w14:textId="77777777" w:rsidR="00F925DD" w:rsidRDefault="00F925DD">
            <w:pPr>
              <w:rPr>
                <w:rFonts w:ascii="Times New Roman" w:hAnsi="Times New Roman"/>
                <w:sz w:val="20"/>
                <w:szCs w:val="20"/>
              </w:rPr>
            </w:pPr>
          </w:p>
        </w:tc>
        <w:tc>
          <w:tcPr>
            <w:tcW w:w="50" w:type="pct"/>
            <w:shd w:val="clear" w:color="auto" w:fill="auto"/>
            <w:vAlign w:val="center"/>
          </w:tcPr>
          <w:p w14:paraId="5556797C" w14:textId="77777777" w:rsidR="00F925DD" w:rsidRDefault="00F925DD">
            <w:pPr>
              <w:rPr>
                <w:rFonts w:ascii="Times New Roman" w:hAnsi="Times New Roman"/>
                <w:sz w:val="20"/>
                <w:szCs w:val="20"/>
              </w:rPr>
            </w:pPr>
          </w:p>
        </w:tc>
        <w:tc>
          <w:tcPr>
            <w:tcW w:w="50" w:type="pct"/>
            <w:shd w:val="clear" w:color="auto" w:fill="auto"/>
            <w:vAlign w:val="center"/>
          </w:tcPr>
          <w:p w14:paraId="5556797D" w14:textId="77777777" w:rsidR="00F925DD" w:rsidRDefault="00F925DD">
            <w:pPr>
              <w:rPr>
                <w:rFonts w:ascii="Times New Roman" w:hAnsi="Times New Roman"/>
                <w:sz w:val="20"/>
                <w:szCs w:val="20"/>
              </w:rPr>
            </w:pPr>
          </w:p>
        </w:tc>
        <w:tc>
          <w:tcPr>
            <w:tcW w:w="350" w:type="pct"/>
            <w:shd w:val="clear" w:color="auto" w:fill="auto"/>
            <w:vAlign w:val="center"/>
          </w:tcPr>
          <w:p w14:paraId="5556797E" w14:textId="77777777" w:rsidR="00F925DD" w:rsidRDefault="00F925DD">
            <w:pPr>
              <w:rPr>
                <w:rFonts w:ascii="Times New Roman" w:hAnsi="Times New Roman"/>
                <w:sz w:val="20"/>
                <w:szCs w:val="20"/>
              </w:rPr>
            </w:pPr>
          </w:p>
        </w:tc>
        <w:tc>
          <w:tcPr>
            <w:tcW w:w="50" w:type="pct"/>
            <w:shd w:val="clear" w:color="auto" w:fill="auto"/>
            <w:vAlign w:val="center"/>
          </w:tcPr>
          <w:p w14:paraId="5556797F" w14:textId="77777777" w:rsidR="00F925DD" w:rsidRDefault="00F925DD">
            <w:pPr>
              <w:rPr>
                <w:rFonts w:ascii="Times New Roman" w:hAnsi="Times New Roman"/>
                <w:sz w:val="20"/>
                <w:szCs w:val="20"/>
              </w:rPr>
            </w:pPr>
          </w:p>
        </w:tc>
        <w:tc>
          <w:tcPr>
            <w:tcW w:w="50" w:type="pct"/>
            <w:shd w:val="clear" w:color="auto" w:fill="auto"/>
            <w:vAlign w:val="center"/>
          </w:tcPr>
          <w:p w14:paraId="55567980" w14:textId="77777777" w:rsidR="00F925DD" w:rsidRDefault="00F925DD">
            <w:pPr>
              <w:rPr>
                <w:rFonts w:ascii="Times New Roman" w:hAnsi="Times New Roman"/>
                <w:sz w:val="20"/>
                <w:szCs w:val="20"/>
              </w:rPr>
            </w:pPr>
          </w:p>
        </w:tc>
        <w:tc>
          <w:tcPr>
            <w:tcW w:w="350" w:type="pct"/>
            <w:shd w:val="clear" w:color="auto" w:fill="auto"/>
            <w:vAlign w:val="center"/>
          </w:tcPr>
          <w:p w14:paraId="55567981" w14:textId="77777777" w:rsidR="00F925DD" w:rsidRDefault="00F925DD">
            <w:pPr>
              <w:rPr>
                <w:rFonts w:ascii="Times New Roman" w:hAnsi="Times New Roman"/>
                <w:sz w:val="20"/>
                <w:szCs w:val="20"/>
              </w:rPr>
            </w:pPr>
          </w:p>
        </w:tc>
        <w:tc>
          <w:tcPr>
            <w:tcW w:w="50" w:type="pct"/>
            <w:shd w:val="clear" w:color="auto" w:fill="auto"/>
            <w:vAlign w:val="center"/>
          </w:tcPr>
          <w:p w14:paraId="55567982" w14:textId="77777777" w:rsidR="00F925DD" w:rsidRDefault="00F925DD">
            <w:pPr>
              <w:rPr>
                <w:rFonts w:ascii="Times New Roman" w:hAnsi="Times New Roman"/>
                <w:sz w:val="20"/>
                <w:szCs w:val="20"/>
              </w:rPr>
            </w:pPr>
          </w:p>
        </w:tc>
        <w:tc>
          <w:tcPr>
            <w:tcW w:w="50" w:type="pct"/>
            <w:shd w:val="clear" w:color="auto" w:fill="auto"/>
            <w:vAlign w:val="center"/>
          </w:tcPr>
          <w:p w14:paraId="55567983" w14:textId="77777777" w:rsidR="00F925DD" w:rsidRDefault="00F925DD">
            <w:pPr>
              <w:rPr>
                <w:rFonts w:ascii="Times New Roman" w:hAnsi="Times New Roman"/>
                <w:sz w:val="20"/>
                <w:szCs w:val="20"/>
              </w:rPr>
            </w:pPr>
          </w:p>
        </w:tc>
        <w:tc>
          <w:tcPr>
            <w:tcW w:w="350" w:type="pct"/>
            <w:shd w:val="clear" w:color="auto" w:fill="auto"/>
            <w:vAlign w:val="center"/>
          </w:tcPr>
          <w:p w14:paraId="55567984" w14:textId="77777777" w:rsidR="00F925DD" w:rsidRDefault="00F925DD">
            <w:pPr>
              <w:rPr>
                <w:rFonts w:ascii="Times New Roman" w:hAnsi="Times New Roman"/>
                <w:sz w:val="20"/>
                <w:szCs w:val="20"/>
              </w:rPr>
            </w:pPr>
          </w:p>
        </w:tc>
        <w:tc>
          <w:tcPr>
            <w:tcW w:w="50" w:type="pct"/>
            <w:shd w:val="clear" w:color="auto" w:fill="auto"/>
            <w:vAlign w:val="center"/>
          </w:tcPr>
          <w:p w14:paraId="55567985" w14:textId="77777777" w:rsidR="00F925DD" w:rsidRDefault="00F925DD">
            <w:pPr>
              <w:rPr>
                <w:rFonts w:ascii="Times New Roman" w:hAnsi="Times New Roman"/>
                <w:sz w:val="20"/>
                <w:szCs w:val="20"/>
              </w:rPr>
            </w:pPr>
          </w:p>
        </w:tc>
        <w:tc>
          <w:tcPr>
            <w:tcW w:w="50" w:type="pct"/>
            <w:shd w:val="clear" w:color="auto" w:fill="auto"/>
            <w:vAlign w:val="center"/>
          </w:tcPr>
          <w:p w14:paraId="55567986" w14:textId="77777777" w:rsidR="00F925DD" w:rsidRDefault="00F925DD">
            <w:pPr>
              <w:rPr>
                <w:rFonts w:ascii="Times New Roman" w:hAnsi="Times New Roman"/>
                <w:sz w:val="20"/>
                <w:szCs w:val="20"/>
              </w:rPr>
            </w:pPr>
          </w:p>
        </w:tc>
        <w:tc>
          <w:tcPr>
            <w:tcW w:w="350" w:type="pct"/>
            <w:shd w:val="clear" w:color="auto" w:fill="auto"/>
            <w:vAlign w:val="center"/>
          </w:tcPr>
          <w:p w14:paraId="55567987" w14:textId="77777777" w:rsidR="00F925DD" w:rsidRDefault="00F925DD">
            <w:pPr>
              <w:rPr>
                <w:rFonts w:ascii="Times New Roman" w:hAnsi="Times New Roman"/>
                <w:sz w:val="20"/>
                <w:szCs w:val="20"/>
              </w:rPr>
            </w:pPr>
          </w:p>
        </w:tc>
        <w:tc>
          <w:tcPr>
            <w:tcW w:w="50" w:type="pct"/>
            <w:shd w:val="clear" w:color="auto" w:fill="auto"/>
            <w:vAlign w:val="center"/>
          </w:tcPr>
          <w:p w14:paraId="55567988" w14:textId="77777777" w:rsidR="00F925DD" w:rsidRDefault="00F925DD">
            <w:pPr>
              <w:rPr>
                <w:rFonts w:ascii="Times New Roman" w:hAnsi="Times New Roman"/>
                <w:sz w:val="20"/>
                <w:szCs w:val="20"/>
              </w:rPr>
            </w:pPr>
          </w:p>
        </w:tc>
        <w:tc>
          <w:tcPr>
            <w:tcW w:w="50" w:type="pct"/>
            <w:shd w:val="clear" w:color="auto" w:fill="auto"/>
            <w:vAlign w:val="center"/>
          </w:tcPr>
          <w:p w14:paraId="55567989" w14:textId="77777777" w:rsidR="00F925DD" w:rsidRDefault="00F925DD">
            <w:pPr>
              <w:rPr>
                <w:rFonts w:ascii="Times New Roman" w:hAnsi="Times New Roman"/>
                <w:sz w:val="20"/>
                <w:szCs w:val="20"/>
              </w:rPr>
            </w:pPr>
          </w:p>
        </w:tc>
        <w:tc>
          <w:tcPr>
            <w:tcW w:w="350" w:type="pct"/>
            <w:shd w:val="clear" w:color="auto" w:fill="auto"/>
            <w:vAlign w:val="center"/>
          </w:tcPr>
          <w:p w14:paraId="5556798A" w14:textId="77777777" w:rsidR="00F925DD" w:rsidRDefault="00F925DD">
            <w:pPr>
              <w:rPr>
                <w:rFonts w:ascii="Times New Roman" w:hAnsi="Times New Roman"/>
                <w:sz w:val="20"/>
                <w:szCs w:val="20"/>
              </w:rPr>
            </w:pPr>
          </w:p>
        </w:tc>
        <w:tc>
          <w:tcPr>
            <w:tcW w:w="50" w:type="pct"/>
            <w:shd w:val="clear" w:color="auto" w:fill="auto"/>
            <w:vAlign w:val="center"/>
          </w:tcPr>
          <w:p w14:paraId="5556798B" w14:textId="77777777" w:rsidR="00F925DD" w:rsidRDefault="00F925DD">
            <w:pPr>
              <w:rPr>
                <w:rFonts w:ascii="Times New Roman" w:hAnsi="Times New Roman"/>
                <w:sz w:val="20"/>
                <w:szCs w:val="20"/>
              </w:rPr>
            </w:pPr>
          </w:p>
        </w:tc>
      </w:tr>
      <w:tr w:rsidR="00F925DD" w14:paraId="5556798E" w14:textId="77777777">
        <w:tc>
          <w:tcPr>
            <w:tcW w:w="0" w:type="auto"/>
            <w:gridSpan w:val="27"/>
            <w:shd w:val="clear" w:color="auto" w:fill="auto"/>
            <w:tcMar>
              <w:top w:w="40" w:type="dxa"/>
              <w:left w:w="40" w:type="dxa"/>
              <w:bottom w:w="40" w:type="dxa"/>
              <w:right w:w="40" w:type="dxa"/>
            </w:tcMar>
            <w:vAlign w:val="bottom"/>
          </w:tcPr>
          <w:p w14:paraId="5556798D"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3: DAILY AVERAGES, MONTH-END AVERAGES AND YEAR-END EQUITY INDICES</w:t>
            </w:r>
            <w:r>
              <w:rPr>
                <w:rFonts w:ascii="Arial" w:eastAsia="宋体" w:hAnsi="Arial" w:cs="Arial"/>
                <w:b/>
                <w:bCs/>
                <w:sz w:val="10"/>
                <w:szCs w:val="10"/>
              </w:rPr>
              <w:t>(1)</w:t>
            </w:r>
          </w:p>
        </w:tc>
      </w:tr>
      <w:tr w:rsidR="00F925DD" w14:paraId="55567995" w14:textId="77777777">
        <w:tc>
          <w:tcPr>
            <w:tcW w:w="0" w:type="auto"/>
            <w:shd w:val="clear" w:color="auto" w:fill="auto"/>
            <w:tcMar>
              <w:top w:w="40" w:type="dxa"/>
              <w:left w:w="40" w:type="dxa"/>
              <w:bottom w:w="40" w:type="dxa"/>
              <w:right w:w="40" w:type="dxa"/>
            </w:tcMar>
            <w:vAlign w:val="bottom"/>
          </w:tcPr>
          <w:p w14:paraId="555679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556799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Daily Averages of Indices</w:t>
            </w:r>
          </w:p>
        </w:tc>
        <w:tc>
          <w:tcPr>
            <w:tcW w:w="0" w:type="auto"/>
            <w:shd w:val="clear" w:color="auto" w:fill="auto"/>
            <w:tcMar>
              <w:top w:w="40" w:type="dxa"/>
              <w:left w:w="40" w:type="dxa"/>
              <w:bottom w:w="40" w:type="dxa"/>
              <w:right w:w="40" w:type="dxa"/>
            </w:tcMar>
            <w:vAlign w:val="bottom"/>
          </w:tcPr>
          <w:p w14:paraId="555679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556799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Month-End Averages of Indices</w:t>
            </w:r>
          </w:p>
        </w:tc>
        <w:tc>
          <w:tcPr>
            <w:tcW w:w="0" w:type="auto"/>
            <w:shd w:val="clear" w:color="auto" w:fill="auto"/>
            <w:tcMar>
              <w:top w:w="40" w:type="dxa"/>
              <w:left w:w="40" w:type="dxa"/>
              <w:bottom w:w="40" w:type="dxa"/>
              <w:right w:w="40" w:type="dxa"/>
            </w:tcMar>
            <w:vAlign w:val="bottom"/>
          </w:tcPr>
          <w:p w14:paraId="555679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556799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Year-End Indices</w:t>
            </w:r>
          </w:p>
        </w:tc>
      </w:tr>
      <w:tr w:rsidR="00F925DD" w14:paraId="5556799C" w14:textId="77777777">
        <w:tc>
          <w:tcPr>
            <w:tcW w:w="0" w:type="auto"/>
            <w:shd w:val="clear" w:color="auto" w:fill="auto"/>
            <w:tcMar>
              <w:top w:w="40" w:type="dxa"/>
              <w:left w:w="40" w:type="dxa"/>
              <w:bottom w:w="40" w:type="dxa"/>
              <w:right w:w="40" w:type="dxa"/>
            </w:tcMar>
            <w:vAlign w:val="bottom"/>
          </w:tcPr>
          <w:p w14:paraId="555679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556799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c>
          <w:tcPr>
            <w:tcW w:w="0" w:type="auto"/>
            <w:shd w:val="clear" w:color="auto" w:fill="auto"/>
            <w:tcMar>
              <w:top w:w="40" w:type="dxa"/>
              <w:left w:w="40" w:type="dxa"/>
              <w:bottom w:w="40" w:type="dxa"/>
              <w:right w:w="40" w:type="dxa"/>
            </w:tcMar>
            <w:vAlign w:val="bottom"/>
          </w:tcPr>
          <w:p w14:paraId="555679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556799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c>
          <w:tcPr>
            <w:tcW w:w="0" w:type="auto"/>
            <w:shd w:val="clear" w:color="auto" w:fill="auto"/>
            <w:tcMar>
              <w:top w:w="40" w:type="dxa"/>
              <w:left w:w="40" w:type="dxa"/>
              <w:bottom w:w="40" w:type="dxa"/>
              <w:right w:w="40" w:type="dxa"/>
            </w:tcMar>
            <w:vAlign w:val="bottom"/>
          </w:tcPr>
          <w:p w14:paraId="555679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556799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79AF" w14:textId="77777777">
        <w:tc>
          <w:tcPr>
            <w:tcW w:w="0" w:type="auto"/>
            <w:shd w:val="clear" w:color="auto" w:fill="auto"/>
            <w:tcMar>
              <w:top w:w="40" w:type="dxa"/>
              <w:left w:w="40" w:type="dxa"/>
              <w:bottom w:w="40" w:type="dxa"/>
              <w:right w:w="40" w:type="dxa"/>
            </w:tcMar>
            <w:vAlign w:val="bottom"/>
          </w:tcPr>
          <w:p w14:paraId="555679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99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79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9A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79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9A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555679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9A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79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9A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79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9A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w:t>
            </w:r>
          </w:p>
        </w:tc>
        <w:tc>
          <w:tcPr>
            <w:tcW w:w="0" w:type="auto"/>
            <w:shd w:val="clear" w:color="auto" w:fill="auto"/>
            <w:tcMar>
              <w:top w:w="40" w:type="dxa"/>
              <w:left w:w="40" w:type="dxa"/>
              <w:bottom w:w="40" w:type="dxa"/>
              <w:right w:w="40" w:type="dxa"/>
            </w:tcMar>
            <w:vAlign w:val="bottom"/>
          </w:tcPr>
          <w:p w14:paraId="555679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9A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79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9A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79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9A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w:t>
            </w:r>
          </w:p>
        </w:tc>
      </w:tr>
      <w:tr w:rsidR="00F925DD" w14:paraId="555679CB" w14:textId="77777777">
        <w:tc>
          <w:tcPr>
            <w:tcW w:w="0" w:type="auto"/>
            <w:shd w:val="clear" w:color="auto" w:fill="CCEEFF"/>
            <w:tcMar>
              <w:top w:w="40" w:type="dxa"/>
              <w:left w:w="40" w:type="dxa"/>
              <w:bottom w:w="40" w:type="dxa"/>
              <w:right w:w="40" w:type="dxa"/>
            </w:tcMar>
            <w:vAlign w:val="center"/>
          </w:tcPr>
          <w:p w14:paraId="555679B0" w14:textId="77777777" w:rsidR="00F925DD" w:rsidRDefault="00E705D7">
            <w:pPr>
              <w:textAlignment w:val="center"/>
              <w:rPr>
                <w:rFonts w:ascii="Times New Roman" w:hAnsi="Times New Roman"/>
                <w:sz w:val="14"/>
                <w:szCs w:val="14"/>
              </w:rPr>
            </w:pPr>
            <w:r>
              <w:rPr>
                <w:rFonts w:ascii="Arial" w:eastAsia="宋体" w:hAnsi="Arial" w:cs="Arial"/>
                <w:sz w:val="14"/>
                <w:szCs w:val="14"/>
              </w:rPr>
              <w:t>S&amp;P 500</w:t>
            </w:r>
            <w:r>
              <w:rPr>
                <w:rFonts w:ascii="Arial" w:eastAsia="宋体" w:hAnsi="Arial" w:cs="Arial"/>
                <w:sz w:val="10"/>
                <w:szCs w:val="10"/>
              </w:rPr>
              <w:t>®</w:t>
            </w:r>
          </w:p>
        </w:tc>
        <w:tc>
          <w:tcPr>
            <w:tcW w:w="0" w:type="auto"/>
            <w:tcBorders>
              <w:top w:val="single" w:sz="8" w:space="0" w:color="000000"/>
            </w:tcBorders>
            <w:shd w:val="clear" w:color="auto" w:fill="CCEEFF"/>
            <w:tcMar>
              <w:top w:w="40" w:type="dxa"/>
              <w:left w:w="40" w:type="dxa"/>
              <w:bottom w:w="40" w:type="dxa"/>
            </w:tcMar>
            <w:vAlign w:val="center"/>
          </w:tcPr>
          <w:p w14:paraId="555679B1"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2,913</w:t>
            </w:r>
          </w:p>
        </w:tc>
        <w:tc>
          <w:tcPr>
            <w:tcW w:w="0" w:type="auto"/>
            <w:tcBorders>
              <w:top w:val="single" w:sz="8" w:space="0" w:color="000000"/>
            </w:tcBorders>
            <w:shd w:val="clear" w:color="auto" w:fill="CCEEFF"/>
            <w:vAlign w:val="bottom"/>
          </w:tcPr>
          <w:p w14:paraId="555679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555679B4"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2,746</w:t>
            </w:r>
          </w:p>
        </w:tc>
        <w:tc>
          <w:tcPr>
            <w:tcW w:w="0" w:type="auto"/>
            <w:tcBorders>
              <w:top w:val="single" w:sz="8" w:space="0" w:color="000000"/>
            </w:tcBorders>
            <w:shd w:val="clear" w:color="auto" w:fill="CCEEFF"/>
            <w:vAlign w:val="bottom"/>
          </w:tcPr>
          <w:p w14:paraId="555679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555679B7"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6</w:t>
            </w:r>
          </w:p>
        </w:tc>
        <w:tc>
          <w:tcPr>
            <w:tcW w:w="0" w:type="auto"/>
            <w:tcBorders>
              <w:top w:val="single" w:sz="8" w:space="0" w:color="000000"/>
            </w:tcBorders>
            <w:shd w:val="clear" w:color="auto" w:fill="CCEEFF"/>
            <w:tcMar>
              <w:top w:w="40" w:type="dxa"/>
              <w:bottom w:w="40" w:type="dxa"/>
              <w:right w:w="40" w:type="dxa"/>
            </w:tcMar>
            <w:vAlign w:val="center"/>
          </w:tcPr>
          <w:p w14:paraId="555679B8" w14:textId="77777777" w:rsidR="00F925DD" w:rsidRDefault="00E705D7">
            <w:pPr>
              <w:textAlignment w:val="center"/>
              <w:rPr>
                <w:rFonts w:ascii="Times New Roman" w:hAnsi="Times New Roman"/>
                <w:sz w:val="14"/>
                <w:szCs w:val="14"/>
              </w:rPr>
            </w:pPr>
            <w:r>
              <w:rPr>
                <w:rFonts w:ascii="Arial" w:eastAsia="宋体" w:hAnsi="Arial" w:cs="Arial"/>
                <w:sz w:val="14"/>
                <w:szCs w:val="14"/>
              </w:rPr>
              <w:t> %</w:t>
            </w:r>
          </w:p>
        </w:tc>
        <w:tc>
          <w:tcPr>
            <w:tcW w:w="0" w:type="auto"/>
            <w:shd w:val="clear" w:color="auto" w:fill="CCEEFF"/>
            <w:tcMar>
              <w:top w:w="40" w:type="dxa"/>
              <w:left w:w="40" w:type="dxa"/>
              <w:bottom w:w="40" w:type="dxa"/>
              <w:right w:w="40" w:type="dxa"/>
            </w:tcMar>
            <w:vAlign w:val="bottom"/>
          </w:tcPr>
          <w:p w14:paraId="555679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555679BA"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2,938</w:t>
            </w:r>
          </w:p>
        </w:tc>
        <w:tc>
          <w:tcPr>
            <w:tcW w:w="0" w:type="auto"/>
            <w:tcBorders>
              <w:top w:val="single" w:sz="8" w:space="0" w:color="000000"/>
            </w:tcBorders>
            <w:shd w:val="clear" w:color="auto" w:fill="CCEEFF"/>
            <w:vAlign w:val="bottom"/>
          </w:tcPr>
          <w:p w14:paraId="555679B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555679BD"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2,738</w:t>
            </w:r>
          </w:p>
        </w:tc>
        <w:tc>
          <w:tcPr>
            <w:tcW w:w="0" w:type="auto"/>
            <w:tcBorders>
              <w:top w:val="single" w:sz="8" w:space="0" w:color="000000"/>
            </w:tcBorders>
            <w:shd w:val="clear" w:color="auto" w:fill="CCEEFF"/>
            <w:vAlign w:val="bottom"/>
          </w:tcPr>
          <w:p w14:paraId="555679B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555679C0"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7</w:t>
            </w:r>
          </w:p>
        </w:tc>
        <w:tc>
          <w:tcPr>
            <w:tcW w:w="0" w:type="auto"/>
            <w:tcBorders>
              <w:top w:val="single" w:sz="8" w:space="0" w:color="000000"/>
            </w:tcBorders>
            <w:shd w:val="clear" w:color="auto" w:fill="CCEEFF"/>
            <w:tcMar>
              <w:top w:w="40" w:type="dxa"/>
              <w:bottom w:w="40" w:type="dxa"/>
              <w:right w:w="40" w:type="dxa"/>
            </w:tcMar>
            <w:vAlign w:val="center"/>
          </w:tcPr>
          <w:p w14:paraId="555679C1" w14:textId="77777777" w:rsidR="00F925DD" w:rsidRDefault="00E705D7">
            <w:pPr>
              <w:textAlignment w:val="center"/>
              <w:rPr>
                <w:rFonts w:ascii="Times New Roman" w:hAnsi="Times New Roman"/>
                <w:sz w:val="14"/>
                <w:szCs w:val="14"/>
              </w:rPr>
            </w:pPr>
            <w:r>
              <w:rPr>
                <w:rFonts w:ascii="Arial" w:eastAsia="宋体" w:hAnsi="Arial" w:cs="Arial"/>
                <w:sz w:val="14"/>
                <w:szCs w:val="14"/>
              </w:rPr>
              <w:t> %</w:t>
            </w:r>
          </w:p>
        </w:tc>
        <w:tc>
          <w:tcPr>
            <w:tcW w:w="0" w:type="auto"/>
            <w:shd w:val="clear" w:color="auto" w:fill="CCEEFF"/>
            <w:tcMar>
              <w:top w:w="40" w:type="dxa"/>
              <w:left w:w="40" w:type="dxa"/>
              <w:bottom w:w="40" w:type="dxa"/>
              <w:right w:w="40" w:type="dxa"/>
            </w:tcMar>
            <w:vAlign w:val="bottom"/>
          </w:tcPr>
          <w:p w14:paraId="555679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555679C3"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3,231</w:t>
            </w:r>
          </w:p>
        </w:tc>
        <w:tc>
          <w:tcPr>
            <w:tcW w:w="0" w:type="auto"/>
            <w:tcBorders>
              <w:top w:val="single" w:sz="8" w:space="0" w:color="000000"/>
            </w:tcBorders>
            <w:shd w:val="clear" w:color="auto" w:fill="CCEEFF"/>
            <w:vAlign w:val="bottom"/>
          </w:tcPr>
          <w:p w14:paraId="555679C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555679C6"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2,507</w:t>
            </w:r>
          </w:p>
        </w:tc>
        <w:tc>
          <w:tcPr>
            <w:tcW w:w="0" w:type="auto"/>
            <w:tcBorders>
              <w:top w:val="single" w:sz="8" w:space="0" w:color="000000"/>
            </w:tcBorders>
            <w:shd w:val="clear" w:color="auto" w:fill="CCEEFF"/>
            <w:vAlign w:val="bottom"/>
          </w:tcPr>
          <w:p w14:paraId="555679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555679C9"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29</w:t>
            </w:r>
          </w:p>
        </w:tc>
        <w:tc>
          <w:tcPr>
            <w:tcW w:w="0" w:type="auto"/>
            <w:tcBorders>
              <w:top w:val="single" w:sz="8" w:space="0" w:color="000000"/>
            </w:tcBorders>
            <w:shd w:val="clear" w:color="auto" w:fill="CCEEFF"/>
            <w:tcMar>
              <w:top w:w="40" w:type="dxa"/>
              <w:bottom w:w="40" w:type="dxa"/>
              <w:right w:w="40" w:type="dxa"/>
            </w:tcMar>
            <w:vAlign w:val="center"/>
          </w:tcPr>
          <w:p w14:paraId="555679CA"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r>
      <w:tr w:rsidR="00F925DD" w14:paraId="555679E7" w14:textId="77777777">
        <w:tc>
          <w:tcPr>
            <w:tcW w:w="0" w:type="auto"/>
            <w:shd w:val="clear" w:color="auto" w:fill="auto"/>
            <w:tcMar>
              <w:top w:w="40" w:type="dxa"/>
              <w:left w:w="40" w:type="dxa"/>
              <w:bottom w:w="40" w:type="dxa"/>
              <w:right w:w="40" w:type="dxa"/>
            </w:tcMar>
            <w:vAlign w:val="center"/>
          </w:tcPr>
          <w:p w14:paraId="555679CC" w14:textId="77777777" w:rsidR="00F925DD" w:rsidRDefault="00E705D7">
            <w:pPr>
              <w:textAlignment w:val="center"/>
              <w:rPr>
                <w:rFonts w:ascii="Times New Roman" w:hAnsi="Times New Roman"/>
                <w:sz w:val="14"/>
                <w:szCs w:val="14"/>
              </w:rPr>
            </w:pPr>
            <w:r>
              <w:rPr>
                <w:rFonts w:ascii="Arial" w:eastAsia="宋体" w:hAnsi="Arial" w:cs="Arial"/>
                <w:sz w:val="14"/>
                <w:szCs w:val="14"/>
              </w:rPr>
              <w:t>MSCI EAFE</w:t>
            </w:r>
            <w:r>
              <w:rPr>
                <w:rFonts w:ascii="Arial" w:eastAsia="宋体" w:hAnsi="Arial" w:cs="Arial"/>
                <w:sz w:val="10"/>
                <w:szCs w:val="10"/>
              </w:rPr>
              <w:t>®</w:t>
            </w:r>
          </w:p>
        </w:tc>
        <w:tc>
          <w:tcPr>
            <w:tcW w:w="0" w:type="auto"/>
            <w:shd w:val="clear" w:color="auto" w:fill="auto"/>
            <w:tcMar>
              <w:top w:w="40" w:type="dxa"/>
              <w:left w:w="40" w:type="dxa"/>
              <w:bottom w:w="40" w:type="dxa"/>
            </w:tcMar>
            <w:vAlign w:val="center"/>
          </w:tcPr>
          <w:p w14:paraId="555679CD"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1,892</w:t>
            </w:r>
          </w:p>
        </w:tc>
        <w:tc>
          <w:tcPr>
            <w:tcW w:w="0" w:type="auto"/>
            <w:shd w:val="clear" w:color="auto" w:fill="auto"/>
            <w:vAlign w:val="bottom"/>
          </w:tcPr>
          <w:p w14:paraId="555679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9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79D0"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1,965</w:t>
            </w:r>
          </w:p>
        </w:tc>
        <w:tc>
          <w:tcPr>
            <w:tcW w:w="0" w:type="auto"/>
            <w:shd w:val="clear" w:color="auto" w:fill="auto"/>
            <w:vAlign w:val="bottom"/>
          </w:tcPr>
          <w:p w14:paraId="555679D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9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79D3"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(4</w:t>
            </w:r>
          </w:p>
        </w:tc>
        <w:tc>
          <w:tcPr>
            <w:tcW w:w="0" w:type="auto"/>
            <w:shd w:val="clear" w:color="auto" w:fill="auto"/>
            <w:tcMar>
              <w:top w:w="40" w:type="dxa"/>
              <w:bottom w:w="40" w:type="dxa"/>
              <w:right w:w="40" w:type="dxa"/>
            </w:tcMar>
            <w:vAlign w:val="center"/>
          </w:tcPr>
          <w:p w14:paraId="555679D4"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79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79D6"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1,903</w:t>
            </w:r>
          </w:p>
        </w:tc>
        <w:tc>
          <w:tcPr>
            <w:tcW w:w="0" w:type="auto"/>
            <w:shd w:val="clear" w:color="auto" w:fill="auto"/>
            <w:vAlign w:val="bottom"/>
          </w:tcPr>
          <w:p w14:paraId="555679D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9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79D9"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1,957</w:t>
            </w:r>
          </w:p>
        </w:tc>
        <w:tc>
          <w:tcPr>
            <w:tcW w:w="0" w:type="auto"/>
            <w:shd w:val="clear" w:color="auto" w:fill="auto"/>
            <w:vAlign w:val="bottom"/>
          </w:tcPr>
          <w:p w14:paraId="555679D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9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79DC"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(3</w:t>
            </w:r>
          </w:p>
        </w:tc>
        <w:tc>
          <w:tcPr>
            <w:tcW w:w="0" w:type="auto"/>
            <w:shd w:val="clear" w:color="auto" w:fill="auto"/>
            <w:tcMar>
              <w:top w:w="40" w:type="dxa"/>
              <w:bottom w:w="40" w:type="dxa"/>
              <w:right w:w="40" w:type="dxa"/>
            </w:tcMar>
            <w:vAlign w:val="center"/>
          </w:tcPr>
          <w:p w14:paraId="555679DD"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79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79DF"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2,037</w:t>
            </w:r>
          </w:p>
        </w:tc>
        <w:tc>
          <w:tcPr>
            <w:tcW w:w="0" w:type="auto"/>
            <w:shd w:val="clear" w:color="auto" w:fill="auto"/>
            <w:vAlign w:val="bottom"/>
          </w:tcPr>
          <w:p w14:paraId="555679E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9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79E2"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1,720</w:t>
            </w:r>
          </w:p>
        </w:tc>
        <w:tc>
          <w:tcPr>
            <w:tcW w:w="0" w:type="auto"/>
            <w:shd w:val="clear" w:color="auto" w:fill="auto"/>
            <w:vAlign w:val="bottom"/>
          </w:tcPr>
          <w:p w14:paraId="555679E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9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79E5"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18</w:t>
            </w:r>
          </w:p>
        </w:tc>
        <w:tc>
          <w:tcPr>
            <w:tcW w:w="0" w:type="auto"/>
            <w:shd w:val="clear" w:color="auto" w:fill="auto"/>
            <w:vAlign w:val="bottom"/>
          </w:tcPr>
          <w:p w14:paraId="555679E6" w14:textId="77777777" w:rsidR="00F925DD" w:rsidRDefault="00F925DD">
            <w:pPr>
              <w:textAlignment w:val="bottom"/>
              <w:rPr>
                <w:rFonts w:ascii="Times New Roman" w:hAnsi="Times New Roman"/>
                <w:sz w:val="20"/>
                <w:szCs w:val="20"/>
              </w:rPr>
            </w:pPr>
          </w:p>
        </w:tc>
      </w:tr>
      <w:tr w:rsidR="00F925DD" w14:paraId="55567A04" w14:textId="77777777">
        <w:tc>
          <w:tcPr>
            <w:tcW w:w="0" w:type="auto"/>
            <w:shd w:val="clear" w:color="auto" w:fill="CCEEFF"/>
            <w:tcMar>
              <w:top w:w="40" w:type="dxa"/>
              <w:left w:w="40" w:type="dxa"/>
              <w:bottom w:w="40" w:type="dxa"/>
              <w:right w:w="40" w:type="dxa"/>
            </w:tcMar>
            <w:vAlign w:val="center"/>
          </w:tcPr>
          <w:p w14:paraId="555679E8" w14:textId="77777777" w:rsidR="00F925DD" w:rsidRDefault="00E705D7">
            <w:pPr>
              <w:textAlignment w:val="center"/>
              <w:rPr>
                <w:rFonts w:ascii="Times New Roman" w:hAnsi="Times New Roman"/>
                <w:sz w:val="14"/>
                <w:szCs w:val="14"/>
              </w:rPr>
            </w:pPr>
            <w:r>
              <w:rPr>
                <w:rFonts w:ascii="Arial" w:eastAsia="宋体" w:hAnsi="Arial" w:cs="Arial"/>
                <w:sz w:val="14"/>
                <w:szCs w:val="14"/>
              </w:rPr>
              <w:t>MSCI</w:t>
            </w:r>
            <w:r>
              <w:rPr>
                <w:rFonts w:ascii="Arial" w:eastAsia="宋体" w:hAnsi="Arial" w:cs="Arial"/>
                <w:sz w:val="10"/>
                <w:szCs w:val="10"/>
              </w:rPr>
              <w:t>®</w:t>
            </w:r>
            <w:r>
              <w:rPr>
                <w:rFonts w:ascii="Arial" w:eastAsia="宋体" w:hAnsi="Arial" w:cs="Arial"/>
                <w:sz w:val="14"/>
                <w:szCs w:val="14"/>
              </w:rPr>
              <w:t> Emerging Markets</w:t>
            </w:r>
          </w:p>
          <w:p w14:paraId="555679E9" w14:textId="77777777" w:rsidR="00F925DD" w:rsidRDefault="00F925DD">
            <w:pPr>
              <w:textAlignment w:val="center"/>
              <w:rPr>
                <w:rFonts w:ascii="Times New Roman" w:hAnsi="Times New Roman"/>
                <w:sz w:val="14"/>
                <w:szCs w:val="14"/>
              </w:rPr>
            </w:pPr>
          </w:p>
        </w:tc>
        <w:tc>
          <w:tcPr>
            <w:tcW w:w="0" w:type="auto"/>
            <w:shd w:val="clear" w:color="auto" w:fill="CCEEFF"/>
            <w:tcMar>
              <w:top w:w="40" w:type="dxa"/>
              <w:left w:w="40" w:type="dxa"/>
              <w:bottom w:w="40" w:type="dxa"/>
            </w:tcMar>
            <w:vAlign w:val="center"/>
          </w:tcPr>
          <w:p w14:paraId="555679EA"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1,036</w:t>
            </w:r>
          </w:p>
        </w:tc>
        <w:tc>
          <w:tcPr>
            <w:tcW w:w="0" w:type="auto"/>
            <w:shd w:val="clear" w:color="auto" w:fill="CCEEFF"/>
            <w:vAlign w:val="bottom"/>
          </w:tcPr>
          <w:p w14:paraId="555679E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79ED"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1,093</w:t>
            </w:r>
          </w:p>
        </w:tc>
        <w:tc>
          <w:tcPr>
            <w:tcW w:w="0" w:type="auto"/>
            <w:shd w:val="clear" w:color="auto" w:fill="CCEEFF"/>
            <w:vAlign w:val="bottom"/>
          </w:tcPr>
          <w:p w14:paraId="555679E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79F0"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(5</w:t>
            </w:r>
          </w:p>
        </w:tc>
        <w:tc>
          <w:tcPr>
            <w:tcW w:w="0" w:type="auto"/>
            <w:shd w:val="clear" w:color="auto" w:fill="CCEEFF"/>
            <w:tcMar>
              <w:top w:w="40" w:type="dxa"/>
              <w:bottom w:w="40" w:type="dxa"/>
              <w:right w:w="40" w:type="dxa"/>
            </w:tcMar>
            <w:vAlign w:val="center"/>
          </w:tcPr>
          <w:p w14:paraId="555679F1"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9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79F3"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1,043</w:t>
            </w:r>
          </w:p>
        </w:tc>
        <w:tc>
          <w:tcPr>
            <w:tcW w:w="0" w:type="auto"/>
            <w:shd w:val="clear" w:color="auto" w:fill="CCEEFF"/>
            <w:vAlign w:val="bottom"/>
          </w:tcPr>
          <w:p w14:paraId="555679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79F6"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1,090</w:t>
            </w:r>
          </w:p>
        </w:tc>
        <w:tc>
          <w:tcPr>
            <w:tcW w:w="0" w:type="auto"/>
            <w:shd w:val="clear" w:color="auto" w:fill="CCEEFF"/>
            <w:vAlign w:val="bottom"/>
          </w:tcPr>
          <w:p w14:paraId="555679F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79F9"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(4</w:t>
            </w:r>
          </w:p>
        </w:tc>
        <w:tc>
          <w:tcPr>
            <w:tcW w:w="0" w:type="auto"/>
            <w:shd w:val="clear" w:color="auto" w:fill="CCEEFF"/>
            <w:tcMar>
              <w:top w:w="40" w:type="dxa"/>
              <w:bottom w:w="40" w:type="dxa"/>
              <w:right w:w="40" w:type="dxa"/>
            </w:tcMar>
            <w:vAlign w:val="center"/>
          </w:tcPr>
          <w:p w14:paraId="555679FA"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9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79FC"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1,115</w:t>
            </w:r>
          </w:p>
        </w:tc>
        <w:tc>
          <w:tcPr>
            <w:tcW w:w="0" w:type="auto"/>
            <w:shd w:val="clear" w:color="auto" w:fill="CCEEFF"/>
            <w:vAlign w:val="bottom"/>
          </w:tcPr>
          <w:p w14:paraId="555679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9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79FF"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966</w:t>
            </w:r>
          </w:p>
        </w:tc>
        <w:tc>
          <w:tcPr>
            <w:tcW w:w="0" w:type="auto"/>
            <w:shd w:val="clear" w:color="auto" w:fill="CCEEFF"/>
            <w:vAlign w:val="bottom"/>
          </w:tcPr>
          <w:p w14:paraId="55567A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A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7A02"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15</w:t>
            </w:r>
          </w:p>
        </w:tc>
        <w:tc>
          <w:tcPr>
            <w:tcW w:w="0" w:type="auto"/>
            <w:shd w:val="clear" w:color="auto" w:fill="CCEEFF"/>
            <w:vAlign w:val="bottom"/>
          </w:tcPr>
          <w:p w14:paraId="55567A03" w14:textId="77777777" w:rsidR="00F925DD" w:rsidRDefault="00F925DD">
            <w:pPr>
              <w:textAlignment w:val="bottom"/>
              <w:rPr>
                <w:rFonts w:ascii="Times New Roman" w:hAnsi="Times New Roman"/>
                <w:sz w:val="20"/>
                <w:szCs w:val="20"/>
              </w:rPr>
            </w:pPr>
          </w:p>
        </w:tc>
      </w:tr>
    </w:tbl>
    <w:p w14:paraId="55567A05"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7A07" w14:textId="77777777">
        <w:tc>
          <w:tcPr>
            <w:tcW w:w="0" w:type="auto"/>
            <w:gridSpan w:val="2"/>
            <w:shd w:val="clear" w:color="auto" w:fill="auto"/>
            <w:vAlign w:val="center"/>
          </w:tcPr>
          <w:p w14:paraId="55567A06" w14:textId="77777777" w:rsidR="00F925DD" w:rsidRDefault="00F925DD">
            <w:pPr>
              <w:rPr>
                <w:rFonts w:ascii="Times New Roman" w:hAnsi="Times New Roman"/>
                <w:sz w:val="20"/>
                <w:szCs w:val="20"/>
              </w:rPr>
            </w:pPr>
          </w:p>
        </w:tc>
      </w:tr>
      <w:tr w:rsidR="00F925DD" w14:paraId="55567A0A" w14:textId="77777777">
        <w:tc>
          <w:tcPr>
            <w:tcW w:w="1400" w:type="pct"/>
            <w:shd w:val="clear" w:color="auto" w:fill="auto"/>
            <w:vAlign w:val="center"/>
          </w:tcPr>
          <w:p w14:paraId="55567A08" w14:textId="77777777" w:rsidR="00F925DD" w:rsidRDefault="00F925DD">
            <w:pPr>
              <w:rPr>
                <w:rFonts w:ascii="Times New Roman" w:hAnsi="Times New Roman"/>
                <w:sz w:val="20"/>
                <w:szCs w:val="20"/>
              </w:rPr>
            </w:pPr>
          </w:p>
        </w:tc>
        <w:tc>
          <w:tcPr>
            <w:tcW w:w="3600" w:type="pct"/>
            <w:shd w:val="clear" w:color="auto" w:fill="auto"/>
            <w:vAlign w:val="center"/>
          </w:tcPr>
          <w:p w14:paraId="55567A09" w14:textId="77777777" w:rsidR="00F925DD" w:rsidRDefault="00F925DD">
            <w:pPr>
              <w:rPr>
                <w:rFonts w:ascii="Times New Roman" w:hAnsi="Times New Roman"/>
                <w:sz w:val="20"/>
                <w:szCs w:val="20"/>
              </w:rPr>
            </w:pPr>
          </w:p>
        </w:tc>
      </w:tr>
      <w:tr w:rsidR="00F925DD" w14:paraId="55567A0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7A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A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7A0E" w14:textId="77777777" w:rsidR="00F925DD" w:rsidRDefault="00E705D7">
      <w:pPr>
        <w:spacing w:line="288" w:lineRule="auto"/>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The index names listed in the table are service marks of their respective owners.</w:t>
      </w:r>
    </w:p>
    <w:p w14:paraId="55567A0F" w14:textId="77777777" w:rsidR="00F925DD" w:rsidRDefault="00E705D7">
      <w:pPr>
        <w:spacing w:line="288" w:lineRule="auto"/>
        <w:rPr>
          <w:rFonts w:ascii="Times New Roman" w:hAnsi="Times New Roman"/>
          <w:sz w:val="14"/>
          <w:szCs w:val="14"/>
        </w:rPr>
      </w:pPr>
      <w:r>
        <w:rPr>
          <w:rFonts w:ascii="Arial" w:eastAsia="宋体" w:hAnsi="Arial" w:cs="Arial"/>
          <w:sz w:val="10"/>
          <w:szCs w:val="10"/>
        </w:rPr>
        <w:t>NA</w:t>
      </w:r>
      <w:r>
        <w:rPr>
          <w:rFonts w:ascii="Arial" w:eastAsia="宋体" w:hAnsi="Arial" w:cs="Arial"/>
          <w:sz w:val="14"/>
          <w:szCs w:val="14"/>
        </w:rPr>
        <w:t xml:space="preserve"> Not applicable</w:t>
      </w:r>
    </w:p>
    <w:tbl>
      <w:tblPr>
        <w:tblW w:w="5000" w:type="pct"/>
        <w:tblCellMar>
          <w:left w:w="0" w:type="dxa"/>
          <w:right w:w="0" w:type="dxa"/>
        </w:tblCellMar>
        <w:tblLook w:val="04A0" w:firstRow="1" w:lastRow="0" w:firstColumn="1" w:lastColumn="0" w:noHBand="0" w:noVBand="1"/>
      </w:tblPr>
      <w:tblGrid>
        <w:gridCol w:w="4123"/>
        <w:gridCol w:w="1216"/>
        <w:gridCol w:w="54"/>
        <w:gridCol w:w="130"/>
        <w:gridCol w:w="1217"/>
        <w:gridCol w:w="54"/>
        <w:gridCol w:w="130"/>
        <w:gridCol w:w="1217"/>
        <w:gridCol w:w="165"/>
      </w:tblGrid>
      <w:tr w:rsidR="00F925DD" w14:paraId="55567A11" w14:textId="77777777">
        <w:tc>
          <w:tcPr>
            <w:tcW w:w="0" w:type="auto"/>
            <w:gridSpan w:val="9"/>
            <w:shd w:val="clear" w:color="auto" w:fill="auto"/>
            <w:vAlign w:val="center"/>
          </w:tcPr>
          <w:p w14:paraId="55567A10" w14:textId="77777777" w:rsidR="00F925DD" w:rsidRDefault="00F925DD">
            <w:pPr>
              <w:rPr>
                <w:rFonts w:ascii="Times New Roman" w:hAnsi="Times New Roman"/>
                <w:sz w:val="20"/>
                <w:szCs w:val="20"/>
              </w:rPr>
            </w:pPr>
          </w:p>
        </w:tc>
      </w:tr>
      <w:tr w:rsidR="00F925DD" w14:paraId="55567A1B" w14:textId="77777777">
        <w:tc>
          <w:tcPr>
            <w:tcW w:w="2500" w:type="pct"/>
            <w:shd w:val="clear" w:color="auto" w:fill="auto"/>
            <w:vAlign w:val="center"/>
          </w:tcPr>
          <w:p w14:paraId="55567A12" w14:textId="77777777" w:rsidR="00F925DD" w:rsidRDefault="00F925DD">
            <w:pPr>
              <w:rPr>
                <w:rFonts w:ascii="Times New Roman" w:hAnsi="Times New Roman"/>
                <w:sz w:val="20"/>
                <w:szCs w:val="20"/>
              </w:rPr>
            </w:pPr>
          </w:p>
        </w:tc>
        <w:tc>
          <w:tcPr>
            <w:tcW w:w="750" w:type="pct"/>
            <w:shd w:val="clear" w:color="auto" w:fill="auto"/>
            <w:vAlign w:val="center"/>
          </w:tcPr>
          <w:p w14:paraId="55567A13" w14:textId="77777777" w:rsidR="00F925DD" w:rsidRDefault="00F925DD">
            <w:pPr>
              <w:rPr>
                <w:rFonts w:ascii="Times New Roman" w:hAnsi="Times New Roman"/>
                <w:sz w:val="20"/>
                <w:szCs w:val="20"/>
              </w:rPr>
            </w:pPr>
          </w:p>
        </w:tc>
        <w:tc>
          <w:tcPr>
            <w:tcW w:w="50" w:type="pct"/>
            <w:shd w:val="clear" w:color="auto" w:fill="auto"/>
            <w:vAlign w:val="center"/>
          </w:tcPr>
          <w:p w14:paraId="55567A14" w14:textId="77777777" w:rsidR="00F925DD" w:rsidRDefault="00F925DD">
            <w:pPr>
              <w:rPr>
                <w:rFonts w:ascii="Times New Roman" w:hAnsi="Times New Roman"/>
                <w:sz w:val="20"/>
                <w:szCs w:val="20"/>
              </w:rPr>
            </w:pPr>
          </w:p>
        </w:tc>
        <w:tc>
          <w:tcPr>
            <w:tcW w:w="50" w:type="pct"/>
            <w:shd w:val="clear" w:color="auto" w:fill="auto"/>
            <w:vAlign w:val="center"/>
          </w:tcPr>
          <w:p w14:paraId="55567A15" w14:textId="77777777" w:rsidR="00F925DD" w:rsidRDefault="00F925DD">
            <w:pPr>
              <w:rPr>
                <w:rFonts w:ascii="Times New Roman" w:hAnsi="Times New Roman"/>
                <w:sz w:val="20"/>
                <w:szCs w:val="20"/>
              </w:rPr>
            </w:pPr>
          </w:p>
        </w:tc>
        <w:tc>
          <w:tcPr>
            <w:tcW w:w="750" w:type="pct"/>
            <w:shd w:val="clear" w:color="auto" w:fill="auto"/>
            <w:vAlign w:val="center"/>
          </w:tcPr>
          <w:p w14:paraId="55567A16" w14:textId="77777777" w:rsidR="00F925DD" w:rsidRDefault="00F925DD">
            <w:pPr>
              <w:rPr>
                <w:rFonts w:ascii="Times New Roman" w:hAnsi="Times New Roman"/>
                <w:sz w:val="20"/>
                <w:szCs w:val="20"/>
              </w:rPr>
            </w:pPr>
          </w:p>
        </w:tc>
        <w:tc>
          <w:tcPr>
            <w:tcW w:w="50" w:type="pct"/>
            <w:shd w:val="clear" w:color="auto" w:fill="auto"/>
            <w:vAlign w:val="center"/>
          </w:tcPr>
          <w:p w14:paraId="55567A17" w14:textId="77777777" w:rsidR="00F925DD" w:rsidRDefault="00F925DD">
            <w:pPr>
              <w:rPr>
                <w:rFonts w:ascii="Times New Roman" w:hAnsi="Times New Roman"/>
                <w:sz w:val="20"/>
                <w:szCs w:val="20"/>
              </w:rPr>
            </w:pPr>
          </w:p>
        </w:tc>
        <w:tc>
          <w:tcPr>
            <w:tcW w:w="50" w:type="pct"/>
            <w:shd w:val="clear" w:color="auto" w:fill="auto"/>
            <w:vAlign w:val="center"/>
          </w:tcPr>
          <w:p w14:paraId="55567A18" w14:textId="77777777" w:rsidR="00F925DD" w:rsidRDefault="00F925DD">
            <w:pPr>
              <w:rPr>
                <w:rFonts w:ascii="Times New Roman" w:hAnsi="Times New Roman"/>
                <w:sz w:val="20"/>
                <w:szCs w:val="20"/>
              </w:rPr>
            </w:pPr>
          </w:p>
        </w:tc>
        <w:tc>
          <w:tcPr>
            <w:tcW w:w="750" w:type="pct"/>
            <w:shd w:val="clear" w:color="auto" w:fill="auto"/>
            <w:vAlign w:val="center"/>
          </w:tcPr>
          <w:p w14:paraId="55567A19" w14:textId="77777777" w:rsidR="00F925DD" w:rsidRDefault="00F925DD">
            <w:pPr>
              <w:rPr>
                <w:rFonts w:ascii="Times New Roman" w:hAnsi="Times New Roman"/>
                <w:sz w:val="20"/>
                <w:szCs w:val="20"/>
              </w:rPr>
            </w:pPr>
          </w:p>
        </w:tc>
        <w:tc>
          <w:tcPr>
            <w:tcW w:w="50" w:type="pct"/>
            <w:shd w:val="clear" w:color="auto" w:fill="auto"/>
            <w:vAlign w:val="center"/>
          </w:tcPr>
          <w:p w14:paraId="55567A1A" w14:textId="77777777" w:rsidR="00F925DD" w:rsidRDefault="00F925DD">
            <w:pPr>
              <w:rPr>
                <w:rFonts w:ascii="Times New Roman" w:hAnsi="Times New Roman"/>
                <w:sz w:val="20"/>
                <w:szCs w:val="20"/>
              </w:rPr>
            </w:pPr>
          </w:p>
        </w:tc>
      </w:tr>
      <w:tr w:rsidR="00F925DD" w14:paraId="55567A1D" w14:textId="77777777">
        <w:tc>
          <w:tcPr>
            <w:tcW w:w="0" w:type="auto"/>
            <w:gridSpan w:val="9"/>
            <w:shd w:val="clear" w:color="auto" w:fill="auto"/>
            <w:tcMar>
              <w:top w:w="40" w:type="dxa"/>
              <w:left w:w="40" w:type="dxa"/>
              <w:bottom w:w="40" w:type="dxa"/>
              <w:right w:w="40" w:type="dxa"/>
            </w:tcMar>
            <w:vAlign w:val="bottom"/>
          </w:tcPr>
          <w:p w14:paraId="55567A1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4: YEAR-END DEBT INDICES</w:t>
            </w:r>
            <w:r>
              <w:rPr>
                <w:rFonts w:ascii="Arial" w:eastAsia="宋体" w:hAnsi="Arial" w:cs="Arial"/>
                <w:b/>
                <w:bCs/>
                <w:sz w:val="10"/>
                <w:szCs w:val="10"/>
              </w:rPr>
              <w:t>(1)</w:t>
            </w:r>
          </w:p>
        </w:tc>
      </w:tr>
      <w:tr w:rsidR="00F925DD" w14:paraId="55567A20" w14:textId="77777777">
        <w:tc>
          <w:tcPr>
            <w:tcW w:w="0" w:type="auto"/>
            <w:shd w:val="clear" w:color="auto" w:fill="auto"/>
            <w:tcMar>
              <w:top w:w="40" w:type="dxa"/>
              <w:left w:w="40" w:type="dxa"/>
              <w:bottom w:w="40" w:type="dxa"/>
              <w:right w:w="40" w:type="dxa"/>
            </w:tcMar>
            <w:vAlign w:val="bottom"/>
          </w:tcPr>
          <w:p w14:paraId="55567A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5567A1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 of December 31,</w:t>
            </w:r>
          </w:p>
        </w:tc>
      </w:tr>
      <w:tr w:rsidR="00F925DD" w14:paraId="55567A27" w14:textId="77777777">
        <w:tc>
          <w:tcPr>
            <w:tcW w:w="0" w:type="auto"/>
            <w:shd w:val="clear" w:color="auto" w:fill="auto"/>
            <w:tcMar>
              <w:top w:w="40" w:type="dxa"/>
              <w:left w:w="40" w:type="dxa"/>
              <w:bottom w:w="40" w:type="dxa"/>
              <w:right w:w="40" w:type="dxa"/>
            </w:tcMar>
            <w:vAlign w:val="bottom"/>
          </w:tcPr>
          <w:p w14:paraId="55567A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7A2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7A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7A2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7A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7A2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w:t>
            </w:r>
          </w:p>
        </w:tc>
      </w:tr>
      <w:tr w:rsidR="00F925DD" w14:paraId="55567A31" w14:textId="77777777">
        <w:tc>
          <w:tcPr>
            <w:tcW w:w="0" w:type="auto"/>
            <w:shd w:val="clear" w:color="auto" w:fill="CCEEFF"/>
            <w:tcMar>
              <w:top w:w="40" w:type="dxa"/>
              <w:left w:w="40" w:type="dxa"/>
              <w:bottom w:w="40" w:type="dxa"/>
              <w:right w:w="40" w:type="dxa"/>
            </w:tcMar>
            <w:vAlign w:val="center"/>
          </w:tcPr>
          <w:p w14:paraId="55567A28" w14:textId="77777777" w:rsidR="00F925DD" w:rsidRDefault="00E705D7">
            <w:pPr>
              <w:textAlignment w:val="center"/>
              <w:rPr>
                <w:rFonts w:ascii="Times New Roman" w:hAnsi="Times New Roman"/>
                <w:sz w:val="14"/>
                <w:szCs w:val="14"/>
              </w:rPr>
            </w:pPr>
            <w:r>
              <w:rPr>
                <w:rFonts w:ascii="Arial" w:eastAsia="宋体" w:hAnsi="Arial" w:cs="Arial"/>
                <w:sz w:val="14"/>
                <w:szCs w:val="14"/>
              </w:rPr>
              <w:t>Barclays Capital U.S. Aggregate Bond Index</w:t>
            </w:r>
            <w:r>
              <w:rPr>
                <w:rFonts w:ascii="Arial" w:eastAsia="宋体" w:hAnsi="Arial" w:cs="Arial"/>
                <w:sz w:val="10"/>
                <w:szCs w:val="10"/>
              </w:rPr>
              <w:t>®</w:t>
            </w:r>
          </w:p>
        </w:tc>
        <w:tc>
          <w:tcPr>
            <w:tcW w:w="0" w:type="auto"/>
            <w:shd w:val="clear" w:color="auto" w:fill="CCEEFF"/>
            <w:tcMar>
              <w:top w:w="40" w:type="dxa"/>
              <w:left w:w="40" w:type="dxa"/>
              <w:bottom w:w="40" w:type="dxa"/>
            </w:tcMar>
            <w:vAlign w:val="center"/>
          </w:tcPr>
          <w:p w14:paraId="55567A29"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2,225</w:t>
            </w:r>
          </w:p>
        </w:tc>
        <w:tc>
          <w:tcPr>
            <w:tcW w:w="0" w:type="auto"/>
            <w:shd w:val="clear" w:color="auto" w:fill="CCEEFF"/>
            <w:vAlign w:val="bottom"/>
          </w:tcPr>
          <w:p w14:paraId="55567A2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A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7A2C"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2,047</w:t>
            </w:r>
          </w:p>
        </w:tc>
        <w:tc>
          <w:tcPr>
            <w:tcW w:w="0" w:type="auto"/>
            <w:shd w:val="clear" w:color="auto" w:fill="CCEEFF"/>
            <w:vAlign w:val="bottom"/>
          </w:tcPr>
          <w:p w14:paraId="55567A2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A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7A2F"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9</w:t>
            </w:r>
          </w:p>
        </w:tc>
        <w:tc>
          <w:tcPr>
            <w:tcW w:w="0" w:type="auto"/>
            <w:shd w:val="clear" w:color="auto" w:fill="CCEEFF"/>
            <w:tcMar>
              <w:top w:w="40" w:type="dxa"/>
              <w:bottom w:w="40" w:type="dxa"/>
              <w:right w:w="40" w:type="dxa"/>
            </w:tcMar>
            <w:vAlign w:val="center"/>
          </w:tcPr>
          <w:p w14:paraId="55567A30"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r>
      <w:tr w:rsidR="00F925DD" w14:paraId="55567A3B" w14:textId="77777777">
        <w:tc>
          <w:tcPr>
            <w:tcW w:w="0" w:type="auto"/>
            <w:shd w:val="clear" w:color="auto" w:fill="auto"/>
            <w:tcMar>
              <w:top w:w="40" w:type="dxa"/>
              <w:left w:w="40" w:type="dxa"/>
              <w:bottom w:w="40" w:type="dxa"/>
              <w:right w:w="40" w:type="dxa"/>
            </w:tcMar>
            <w:vAlign w:val="center"/>
          </w:tcPr>
          <w:p w14:paraId="55567A32" w14:textId="77777777" w:rsidR="00F925DD" w:rsidRDefault="00E705D7">
            <w:pPr>
              <w:textAlignment w:val="center"/>
              <w:rPr>
                <w:rFonts w:ascii="Times New Roman" w:hAnsi="Times New Roman"/>
                <w:sz w:val="14"/>
                <w:szCs w:val="14"/>
              </w:rPr>
            </w:pPr>
            <w:r>
              <w:rPr>
                <w:rFonts w:ascii="Arial" w:eastAsia="宋体" w:hAnsi="Arial" w:cs="Arial"/>
                <w:sz w:val="14"/>
                <w:szCs w:val="14"/>
              </w:rPr>
              <w:t>Barclays Capital Global Aggregate Bond Index</w:t>
            </w:r>
            <w:r>
              <w:rPr>
                <w:rFonts w:ascii="Arial" w:eastAsia="宋体" w:hAnsi="Arial" w:cs="Arial"/>
                <w:sz w:val="10"/>
                <w:szCs w:val="10"/>
              </w:rPr>
              <w:t>®</w:t>
            </w:r>
          </w:p>
        </w:tc>
        <w:tc>
          <w:tcPr>
            <w:tcW w:w="0" w:type="auto"/>
            <w:shd w:val="clear" w:color="auto" w:fill="auto"/>
            <w:tcMar>
              <w:top w:w="40" w:type="dxa"/>
              <w:left w:w="40" w:type="dxa"/>
              <w:bottom w:w="40" w:type="dxa"/>
            </w:tcMar>
            <w:vAlign w:val="center"/>
          </w:tcPr>
          <w:p w14:paraId="55567A33"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512</w:t>
            </w:r>
          </w:p>
        </w:tc>
        <w:tc>
          <w:tcPr>
            <w:tcW w:w="0" w:type="auto"/>
            <w:shd w:val="clear" w:color="auto" w:fill="auto"/>
            <w:vAlign w:val="bottom"/>
          </w:tcPr>
          <w:p w14:paraId="55567A3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A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7A36"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479</w:t>
            </w:r>
          </w:p>
        </w:tc>
        <w:tc>
          <w:tcPr>
            <w:tcW w:w="0" w:type="auto"/>
            <w:shd w:val="clear" w:color="auto" w:fill="auto"/>
            <w:vAlign w:val="bottom"/>
          </w:tcPr>
          <w:p w14:paraId="55567A3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A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7A39"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7</w:t>
            </w:r>
          </w:p>
        </w:tc>
        <w:tc>
          <w:tcPr>
            <w:tcW w:w="0" w:type="auto"/>
            <w:shd w:val="clear" w:color="auto" w:fill="auto"/>
            <w:vAlign w:val="bottom"/>
          </w:tcPr>
          <w:p w14:paraId="55567A3A" w14:textId="77777777" w:rsidR="00F925DD" w:rsidRDefault="00F925DD">
            <w:pPr>
              <w:textAlignment w:val="bottom"/>
              <w:rPr>
                <w:rFonts w:ascii="Times New Roman" w:hAnsi="Times New Roman"/>
                <w:sz w:val="20"/>
                <w:szCs w:val="20"/>
              </w:rPr>
            </w:pPr>
          </w:p>
        </w:tc>
      </w:tr>
    </w:tbl>
    <w:p w14:paraId="55567A3C"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7A3E" w14:textId="77777777">
        <w:tc>
          <w:tcPr>
            <w:tcW w:w="0" w:type="auto"/>
            <w:gridSpan w:val="2"/>
            <w:shd w:val="clear" w:color="auto" w:fill="auto"/>
            <w:vAlign w:val="center"/>
          </w:tcPr>
          <w:p w14:paraId="55567A3D" w14:textId="77777777" w:rsidR="00F925DD" w:rsidRDefault="00F925DD">
            <w:pPr>
              <w:rPr>
                <w:rFonts w:ascii="Times New Roman" w:hAnsi="Times New Roman"/>
                <w:sz w:val="20"/>
                <w:szCs w:val="20"/>
              </w:rPr>
            </w:pPr>
          </w:p>
        </w:tc>
      </w:tr>
      <w:tr w:rsidR="00F925DD" w14:paraId="55567A41" w14:textId="77777777">
        <w:tc>
          <w:tcPr>
            <w:tcW w:w="1400" w:type="pct"/>
            <w:shd w:val="clear" w:color="auto" w:fill="auto"/>
            <w:vAlign w:val="center"/>
          </w:tcPr>
          <w:p w14:paraId="55567A3F" w14:textId="77777777" w:rsidR="00F925DD" w:rsidRDefault="00F925DD">
            <w:pPr>
              <w:rPr>
                <w:rFonts w:ascii="Times New Roman" w:hAnsi="Times New Roman"/>
                <w:sz w:val="20"/>
                <w:szCs w:val="20"/>
              </w:rPr>
            </w:pPr>
          </w:p>
        </w:tc>
        <w:tc>
          <w:tcPr>
            <w:tcW w:w="3600" w:type="pct"/>
            <w:shd w:val="clear" w:color="auto" w:fill="auto"/>
            <w:vAlign w:val="center"/>
          </w:tcPr>
          <w:p w14:paraId="55567A40" w14:textId="77777777" w:rsidR="00F925DD" w:rsidRDefault="00F925DD">
            <w:pPr>
              <w:rPr>
                <w:rFonts w:ascii="Times New Roman" w:hAnsi="Times New Roman"/>
                <w:sz w:val="20"/>
                <w:szCs w:val="20"/>
              </w:rPr>
            </w:pPr>
          </w:p>
        </w:tc>
      </w:tr>
      <w:tr w:rsidR="00F925DD" w14:paraId="55567A4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7A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A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7A45" w14:textId="77777777" w:rsidR="00F925DD" w:rsidRDefault="00E705D7">
      <w:pPr>
        <w:spacing w:line="288" w:lineRule="auto"/>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The index names listed in the table are service marks of their respective owners.</w:t>
      </w:r>
    </w:p>
    <w:p w14:paraId="55567A46" w14:textId="77777777" w:rsidR="00F925DD" w:rsidRDefault="00F925DD">
      <w:pPr>
        <w:rPr>
          <w:rFonts w:ascii="Times New Roman" w:hAnsi="Times New Roman"/>
          <w:sz w:val="20"/>
          <w:szCs w:val="20"/>
        </w:rPr>
      </w:pPr>
    </w:p>
    <w:p w14:paraId="55567A4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62</w:t>
      </w:r>
    </w:p>
    <w:p w14:paraId="55567A48" w14:textId="77777777" w:rsidR="00F925DD" w:rsidRDefault="00F925DD">
      <w:pPr>
        <w:spacing w:line="288" w:lineRule="auto"/>
        <w:ind w:firstLine="600"/>
        <w:jc w:val="center"/>
        <w:rPr>
          <w:rFonts w:ascii="Times New Roman" w:hAnsi="Times New Roman"/>
          <w:sz w:val="18"/>
          <w:szCs w:val="18"/>
        </w:rPr>
      </w:pPr>
    </w:p>
    <w:p w14:paraId="55567A49" w14:textId="77777777" w:rsidR="00F925DD" w:rsidRDefault="00E705D7">
      <w:r>
        <w:rPr>
          <w:rFonts w:ascii="Times New Roman" w:hAnsi="Times New Roman"/>
          <w:sz w:val="18"/>
          <w:szCs w:val="18"/>
        </w:rPr>
        <w:pict w14:anchorId="55570678">
          <v:rect id="_x0000_i1086" style="width:415.3pt;height:1.5pt" o:hralign="center" o:hrstd="t" o:hr="t" fillcolor="#a0a0a0" stroked="f"/>
        </w:pict>
      </w:r>
    </w:p>
    <w:p w14:paraId="55567A4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A4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A4C" w14:textId="77777777" w:rsidR="00F925DD" w:rsidRDefault="00F925DD">
      <w:pPr>
        <w:rPr>
          <w:rFonts w:ascii="Times New Roman" w:hAnsi="Times New Roman"/>
          <w:sz w:val="20"/>
          <w:szCs w:val="20"/>
        </w:rPr>
      </w:pPr>
    </w:p>
    <w:p w14:paraId="55567A4D" w14:textId="77777777" w:rsidR="00F925DD" w:rsidRDefault="00E705D7">
      <w:pPr>
        <w:spacing w:line="288" w:lineRule="auto"/>
        <w:rPr>
          <w:rFonts w:ascii="Times New Roman" w:hAnsi="Times New Roman"/>
          <w:sz w:val="20"/>
          <w:szCs w:val="20"/>
        </w:rPr>
      </w:pPr>
      <w:r>
        <w:rPr>
          <w:rFonts w:ascii="Arial" w:eastAsia="宋体" w:hAnsi="Arial" w:cs="Arial"/>
          <w:i/>
          <w:iCs/>
          <w:sz w:val="20"/>
          <w:szCs w:val="20"/>
        </w:rPr>
        <w:t>Client Activity and Asset Flows</w:t>
      </w:r>
    </w:p>
    <w:p w14:paraId="55567A4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Client </w:t>
      </w:r>
      <w:r>
        <w:rPr>
          <w:rFonts w:ascii="Arial" w:eastAsia="宋体" w:hAnsi="Arial" w:cs="Arial"/>
          <w:sz w:val="20"/>
          <w:szCs w:val="20"/>
        </w:rPr>
        <w:t>activity and asset flows are impacted by the number of transactions we execute on behalf of our clients, including FX settlements, equity and derivative trades, and wire transfer activity, as well as actions by our clients to change the asset class in whic</w:t>
      </w:r>
      <w:r>
        <w:rPr>
          <w:rFonts w:ascii="Arial" w:eastAsia="宋体" w:hAnsi="Arial" w:cs="Arial"/>
          <w:sz w:val="20"/>
          <w:szCs w:val="20"/>
        </w:rPr>
        <w:t>h their assets are invested. Our servicing fee revenues are impacted by a number of factors, including transaction volumes, asset levels and asset classes in which funds are invested, as well as industry trends associated with these client-related activiti</w:t>
      </w:r>
      <w:r>
        <w:rPr>
          <w:rFonts w:ascii="Arial" w:eastAsia="宋体" w:hAnsi="Arial" w:cs="Arial"/>
          <w:sz w:val="20"/>
          <w:szCs w:val="20"/>
        </w:rPr>
        <w:t>es.</w:t>
      </w:r>
    </w:p>
    <w:p w14:paraId="55567A4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clients may change the asset classes in which their assets are invested, based on their market outlook, risk acceptance tolerance or other considerations. Over the five years ended December 31, 2019, we estimate that client activity and asset flows</w:t>
      </w:r>
      <w:r>
        <w:rPr>
          <w:rFonts w:ascii="Arial" w:eastAsia="宋体" w:hAnsi="Arial" w:cs="Arial"/>
          <w:sz w:val="20"/>
          <w:szCs w:val="20"/>
        </w:rPr>
        <w:t>, together, impacted our servicing fee revenues by approximately (1)% to 2% annually and approximately (1)% and 1% in 2019 and 2018, respectively. See Table 5: Industry Asset Flows for selected asset flow information. While the asset flows presented are in</w:t>
      </w:r>
      <w:r>
        <w:rPr>
          <w:rFonts w:ascii="Arial" w:eastAsia="宋体" w:hAnsi="Arial" w:cs="Arial"/>
          <w:sz w:val="20"/>
          <w:szCs w:val="20"/>
        </w:rPr>
        <w:t>dicative of general market trends, the asset types and classes relevant to individual client portfolios can and do differ, and our flows may differ from those market trends. In addition, our asset classifications may differ from those industry classificati</w:t>
      </w:r>
      <w:r>
        <w:rPr>
          <w:rFonts w:ascii="Arial" w:eastAsia="宋体" w:hAnsi="Arial" w:cs="Arial"/>
          <w:sz w:val="20"/>
          <w:szCs w:val="20"/>
        </w:rPr>
        <w:t>ons presented.</w:t>
      </w:r>
    </w:p>
    <w:tbl>
      <w:tblPr>
        <w:tblW w:w="5000" w:type="pct"/>
        <w:tblCellMar>
          <w:left w:w="0" w:type="dxa"/>
          <w:right w:w="0" w:type="dxa"/>
        </w:tblCellMar>
        <w:tblLook w:val="04A0" w:firstRow="1" w:lastRow="0" w:firstColumn="1" w:lastColumn="0" w:noHBand="0" w:noVBand="1"/>
      </w:tblPr>
      <w:tblGrid>
        <w:gridCol w:w="4881"/>
        <w:gridCol w:w="118"/>
        <w:gridCol w:w="1392"/>
        <w:gridCol w:w="87"/>
        <w:gridCol w:w="230"/>
        <w:gridCol w:w="118"/>
        <w:gridCol w:w="1393"/>
        <w:gridCol w:w="87"/>
      </w:tblGrid>
      <w:tr w:rsidR="00F925DD" w14:paraId="55567A51" w14:textId="77777777">
        <w:tc>
          <w:tcPr>
            <w:tcW w:w="0" w:type="auto"/>
            <w:gridSpan w:val="8"/>
            <w:shd w:val="clear" w:color="auto" w:fill="auto"/>
            <w:vAlign w:val="center"/>
          </w:tcPr>
          <w:p w14:paraId="55567A50" w14:textId="77777777" w:rsidR="00F925DD" w:rsidRDefault="00F925DD">
            <w:pPr>
              <w:rPr>
                <w:rFonts w:ascii="Times New Roman" w:hAnsi="Times New Roman"/>
                <w:sz w:val="20"/>
                <w:szCs w:val="20"/>
              </w:rPr>
            </w:pPr>
          </w:p>
        </w:tc>
      </w:tr>
      <w:tr w:rsidR="00F925DD" w14:paraId="55567A5A" w14:textId="77777777">
        <w:tc>
          <w:tcPr>
            <w:tcW w:w="2950" w:type="pct"/>
            <w:shd w:val="clear" w:color="auto" w:fill="auto"/>
            <w:vAlign w:val="center"/>
          </w:tcPr>
          <w:p w14:paraId="55567A52" w14:textId="77777777" w:rsidR="00F925DD" w:rsidRDefault="00F925DD">
            <w:pPr>
              <w:rPr>
                <w:rFonts w:ascii="Times New Roman" w:hAnsi="Times New Roman"/>
                <w:sz w:val="20"/>
                <w:szCs w:val="20"/>
              </w:rPr>
            </w:pPr>
          </w:p>
        </w:tc>
        <w:tc>
          <w:tcPr>
            <w:tcW w:w="50" w:type="pct"/>
            <w:shd w:val="clear" w:color="auto" w:fill="auto"/>
            <w:vAlign w:val="center"/>
          </w:tcPr>
          <w:p w14:paraId="55567A53" w14:textId="77777777" w:rsidR="00F925DD" w:rsidRDefault="00F925DD">
            <w:pPr>
              <w:rPr>
                <w:rFonts w:ascii="Times New Roman" w:hAnsi="Times New Roman"/>
                <w:sz w:val="20"/>
                <w:szCs w:val="20"/>
              </w:rPr>
            </w:pPr>
          </w:p>
        </w:tc>
        <w:tc>
          <w:tcPr>
            <w:tcW w:w="850" w:type="pct"/>
            <w:shd w:val="clear" w:color="auto" w:fill="auto"/>
            <w:vAlign w:val="center"/>
          </w:tcPr>
          <w:p w14:paraId="55567A54" w14:textId="77777777" w:rsidR="00F925DD" w:rsidRDefault="00F925DD">
            <w:pPr>
              <w:rPr>
                <w:rFonts w:ascii="Times New Roman" w:hAnsi="Times New Roman"/>
                <w:sz w:val="20"/>
                <w:szCs w:val="20"/>
              </w:rPr>
            </w:pPr>
          </w:p>
        </w:tc>
        <w:tc>
          <w:tcPr>
            <w:tcW w:w="50" w:type="pct"/>
            <w:shd w:val="clear" w:color="auto" w:fill="auto"/>
            <w:vAlign w:val="center"/>
          </w:tcPr>
          <w:p w14:paraId="55567A55" w14:textId="77777777" w:rsidR="00F925DD" w:rsidRDefault="00F925DD">
            <w:pPr>
              <w:rPr>
                <w:rFonts w:ascii="Times New Roman" w:hAnsi="Times New Roman"/>
                <w:sz w:val="20"/>
                <w:szCs w:val="20"/>
              </w:rPr>
            </w:pPr>
          </w:p>
        </w:tc>
        <w:tc>
          <w:tcPr>
            <w:tcW w:w="150" w:type="pct"/>
            <w:shd w:val="clear" w:color="auto" w:fill="auto"/>
            <w:vAlign w:val="center"/>
          </w:tcPr>
          <w:p w14:paraId="55567A56" w14:textId="77777777" w:rsidR="00F925DD" w:rsidRDefault="00F925DD">
            <w:pPr>
              <w:rPr>
                <w:rFonts w:ascii="Times New Roman" w:hAnsi="Times New Roman"/>
                <w:sz w:val="20"/>
                <w:szCs w:val="20"/>
              </w:rPr>
            </w:pPr>
          </w:p>
        </w:tc>
        <w:tc>
          <w:tcPr>
            <w:tcW w:w="50" w:type="pct"/>
            <w:shd w:val="clear" w:color="auto" w:fill="auto"/>
            <w:vAlign w:val="center"/>
          </w:tcPr>
          <w:p w14:paraId="55567A57" w14:textId="77777777" w:rsidR="00F925DD" w:rsidRDefault="00F925DD">
            <w:pPr>
              <w:rPr>
                <w:rFonts w:ascii="Times New Roman" w:hAnsi="Times New Roman"/>
                <w:sz w:val="20"/>
                <w:szCs w:val="20"/>
              </w:rPr>
            </w:pPr>
          </w:p>
        </w:tc>
        <w:tc>
          <w:tcPr>
            <w:tcW w:w="850" w:type="pct"/>
            <w:shd w:val="clear" w:color="auto" w:fill="auto"/>
            <w:vAlign w:val="center"/>
          </w:tcPr>
          <w:p w14:paraId="55567A58" w14:textId="77777777" w:rsidR="00F925DD" w:rsidRDefault="00F925DD">
            <w:pPr>
              <w:rPr>
                <w:rFonts w:ascii="Times New Roman" w:hAnsi="Times New Roman"/>
                <w:sz w:val="20"/>
                <w:szCs w:val="20"/>
              </w:rPr>
            </w:pPr>
          </w:p>
        </w:tc>
        <w:tc>
          <w:tcPr>
            <w:tcW w:w="50" w:type="pct"/>
            <w:shd w:val="clear" w:color="auto" w:fill="auto"/>
            <w:vAlign w:val="center"/>
          </w:tcPr>
          <w:p w14:paraId="55567A59" w14:textId="77777777" w:rsidR="00F925DD" w:rsidRDefault="00F925DD">
            <w:pPr>
              <w:rPr>
                <w:rFonts w:ascii="Times New Roman" w:hAnsi="Times New Roman"/>
                <w:sz w:val="20"/>
                <w:szCs w:val="20"/>
              </w:rPr>
            </w:pPr>
          </w:p>
        </w:tc>
      </w:tr>
      <w:tr w:rsidR="00F925DD" w14:paraId="55567A5C" w14:textId="77777777">
        <w:tc>
          <w:tcPr>
            <w:tcW w:w="0" w:type="auto"/>
            <w:gridSpan w:val="8"/>
            <w:shd w:val="clear" w:color="auto" w:fill="auto"/>
            <w:tcMar>
              <w:top w:w="40" w:type="dxa"/>
              <w:left w:w="40" w:type="dxa"/>
              <w:bottom w:w="40" w:type="dxa"/>
              <w:right w:w="40" w:type="dxa"/>
            </w:tcMar>
            <w:vAlign w:val="bottom"/>
          </w:tcPr>
          <w:p w14:paraId="55567A5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5: INDUSTRY ASSET FLOWS</w:t>
            </w:r>
          </w:p>
        </w:tc>
      </w:tr>
      <w:tr w:rsidR="00F925DD" w14:paraId="55567A5F" w14:textId="77777777">
        <w:tc>
          <w:tcPr>
            <w:tcW w:w="0" w:type="auto"/>
            <w:shd w:val="clear" w:color="auto" w:fill="auto"/>
            <w:tcMar>
              <w:top w:w="40" w:type="dxa"/>
              <w:left w:w="40" w:type="dxa"/>
              <w:bottom w:w="40" w:type="dxa"/>
              <w:right w:w="40" w:type="dxa"/>
            </w:tcMar>
            <w:vAlign w:val="bottom"/>
          </w:tcPr>
          <w:p w14:paraId="55567A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7A5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7A64" w14:textId="77777777">
        <w:tc>
          <w:tcPr>
            <w:tcW w:w="0" w:type="auto"/>
            <w:shd w:val="clear" w:color="auto" w:fill="auto"/>
            <w:tcMar>
              <w:top w:w="40" w:type="dxa"/>
              <w:left w:w="40" w:type="dxa"/>
              <w:bottom w:w="40" w:type="dxa"/>
              <w:right w:w="40" w:type="dxa"/>
            </w:tcMar>
            <w:vAlign w:val="bottom"/>
          </w:tcPr>
          <w:p w14:paraId="55567A6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A6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7A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A6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r>
      <w:tr w:rsidR="00F925DD" w14:paraId="55567A69" w14:textId="77777777">
        <w:tc>
          <w:tcPr>
            <w:tcW w:w="0" w:type="auto"/>
            <w:shd w:val="clear" w:color="auto" w:fill="auto"/>
            <w:tcMar>
              <w:top w:w="40" w:type="dxa"/>
              <w:left w:w="40" w:type="dxa"/>
              <w:bottom w:w="40" w:type="dxa"/>
              <w:right w:w="40" w:type="dxa"/>
            </w:tcMar>
            <w:vAlign w:val="bottom"/>
          </w:tcPr>
          <w:p w14:paraId="55567A6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North America - ICI Market Data</w:t>
            </w:r>
            <w:r>
              <w:rPr>
                <w:rFonts w:ascii="Arial" w:eastAsia="宋体" w:hAnsi="Arial" w:cs="Arial"/>
                <w:b/>
                <w:bCs/>
                <w:sz w:val="10"/>
                <w:szCs w:val="10"/>
              </w:rPr>
              <w:t>(1)(2)(3)</w:t>
            </w:r>
          </w:p>
        </w:tc>
        <w:tc>
          <w:tcPr>
            <w:tcW w:w="0" w:type="auto"/>
            <w:gridSpan w:val="3"/>
            <w:shd w:val="clear" w:color="auto" w:fill="auto"/>
            <w:tcMar>
              <w:top w:w="40" w:type="dxa"/>
              <w:left w:w="40" w:type="dxa"/>
              <w:bottom w:w="40" w:type="dxa"/>
              <w:right w:w="40" w:type="dxa"/>
            </w:tcMar>
            <w:vAlign w:val="bottom"/>
          </w:tcPr>
          <w:p w14:paraId="55567A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A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7A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A72" w14:textId="77777777">
        <w:tc>
          <w:tcPr>
            <w:tcW w:w="0" w:type="auto"/>
            <w:shd w:val="clear" w:color="auto" w:fill="CCEEFF"/>
            <w:tcMar>
              <w:top w:w="40" w:type="dxa"/>
              <w:left w:w="240" w:type="dxa"/>
              <w:bottom w:w="40" w:type="dxa"/>
              <w:right w:w="40" w:type="dxa"/>
            </w:tcMar>
            <w:vAlign w:val="bottom"/>
          </w:tcPr>
          <w:p w14:paraId="55567A6A" w14:textId="77777777" w:rsidR="00F925DD" w:rsidRDefault="00E705D7">
            <w:pPr>
              <w:textAlignment w:val="bottom"/>
              <w:rPr>
                <w:rFonts w:ascii="Times New Roman" w:hAnsi="Times New Roman"/>
                <w:sz w:val="14"/>
                <w:szCs w:val="14"/>
              </w:rPr>
            </w:pPr>
            <w:r>
              <w:rPr>
                <w:rFonts w:ascii="Arial" w:eastAsia="宋体" w:hAnsi="Arial" w:cs="Arial"/>
                <w:sz w:val="14"/>
                <w:szCs w:val="14"/>
              </w:rPr>
              <w:t>Long-Term Funds</w:t>
            </w:r>
            <w:r>
              <w:rPr>
                <w:rFonts w:ascii="Arial" w:eastAsia="宋体" w:hAnsi="Arial" w:cs="Arial"/>
                <w:sz w:val="10"/>
                <w:szCs w:val="10"/>
              </w:rPr>
              <w:t>(4)</w:t>
            </w:r>
          </w:p>
        </w:tc>
        <w:tc>
          <w:tcPr>
            <w:tcW w:w="0" w:type="auto"/>
            <w:shd w:val="clear" w:color="auto" w:fill="CCEEFF"/>
            <w:tcMar>
              <w:top w:w="40" w:type="dxa"/>
              <w:left w:w="40" w:type="dxa"/>
              <w:bottom w:w="40" w:type="dxa"/>
            </w:tcMar>
            <w:vAlign w:val="bottom"/>
          </w:tcPr>
          <w:p w14:paraId="55567A6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7A6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(95.6</w:t>
            </w:r>
          </w:p>
        </w:tc>
        <w:tc>
          <w:tcPr>
            <w:tcW w:w="0" w:type="auto"/>
            <w:shd w:val="clear" w:color="auto" w:fill="CCEEFF"/>
            <w:tcMar>
              <w:top w:w="40" w:type="dxa"/>
              <w:bottom w:w="40" w:type="dxa"/>
              <w:right w:w="40" w:type="dxa"/>
            </w:tcMar>
            <w:vAlign w:val="bottom"/>
          </w:tcPr>
          <w:p w14:paraId="55567A6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7A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A6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7A7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(349.6</w:t>
            </w:r>
          </w:p>
        </w:tc>
        <w:tc>
          <w:tcPr>
            <w:tcW w:w="0" w:type="auto"/>
            <w:shd w:val="clear" w:color="auto" w:fill="CCEEFF"/>
            <w:tcMar>
              <w:top w:w="40" w:type="dxa"/>
              <w:bottom w:w="40" w:type="dxa"/>
              <w:right w:w="40" w:type="dxa"/>
            </w:tcMar>
            <w:vAlign w:val="bottom"/>
          </w:tcPr>
          <w:p w14:paraId="55567A7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7A79" w14:textId="77777777">
        <w:tc>
          <w:tcPr>
            <w:tcW w:w="0" w:type="auto"/>
            <w:shd w:val="clear" w:color="auto" w:fill="auto"/>
            <w:tcMar>
              <w:top w:w="40" w:type="dxa"/>
              <w:left w:w="240" w:type="dxa"/>
              <w:bottom w:w="40" w:type="dxa"/>
              <w:right w:w="40" w:type="dxa"/>
            </w:tcMar>
            <w:vAlign w:val="bottom"/>
          </w:tcPr>
          <w:p w14:paraId="55567A73" w14:textId="77777777" w:rsidR="00F925DD" w:rsidRDefault="00E705D7">
            <w:pPr>
              <w:textAlignment w:val="bottom"/>
              <w:rPr>
                <w:rFonts w:ascii="Times New Roman" w:hAnsi="Times New Roman"/>
                <w:sz w:val="14"/>
                <w:szCs w:val="14"/>
              </w:rPr>
            </w:pPr>
            <w:r>
              <w:rPr>
                <w:rFonts w:ascii="Arial" w:eastAsia="宋体" w:hAnsi="Arial" w:cs="Arial"/>
                <w:sz w:val="14"/>
                <w:szCs w:val="14"/>
              </w:rPr>
              <w:t>Money Market</w:t>
            </w:r>
          </w:p>
        </w:tc>
        <w:tc>
          <w:tcPr>
            <w:tcW w:w="0" w:type="auto"/>
            <w:gridSpan w:val="2"/>
            <w:shd w:val="clear" w:color="auto" w:fill="auto"/>
            <w:tcMar>
              <w:top w:w="40" w:type="dxa"/>
              <w:left w:w="40" w:type="dxa"/>
              <w:bottom w:w="40" w:type="dxa"/>
            </w:tcMar>
            <w:vAlign w:val="bottom"/>
          </w:tcPr>
          <w:p w14:paraId="55567A7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584.4</w:t>
            </w:r>
          </w:p>
        </w:tc>
        <w:tc>
          <w:tcPr>
            <w:tcW w:w="0" w:type="auto"/>
            <w:shd w:val="clear" w:color="auto" w:fill="auto"/>
            <w:vAlign w:val="bottom"/>
          </w:tcPr>
          <w:p w14:paraId="55567A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A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A7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119.8</w:t>
            </w:r>
          </w:p>
        </w:tc>
        <w:tc>
          <w:tcPr>
            <w:tcW w:w="0" w:type="auto"/>
            <w:shd w:val="clear" w:color="auto" w:fill="auto"/>
            <w:vAlign w:val="bottom"/>
          </w:tcPr>
          <w:p w14:paraId="55567A78" w14:textId="77777777" w:rsidR="00F925DD" w:rsidRDefault="00F925DD">
            <w:pPr>
              <w:textAlignment w:val="bottom"/>
              <w:rPr>
                <w:rFonts w:ascii="Times New Roman" w:hAnsi="Times New Roman"/>
                <w:sz w:val="20"/>
                <w:szCs w:val="20"/>
              </w:rPr>
            </w:pPr>
          </w:p>
        </w:tc>
      </w:tr>
      <w:tr w:rsidR="00F925DD" w14:paraId="55567A80" w14:textId="77777777">
        <w:tc>
          <w:tcPr>
            <w:tcW w:w="0" w:type="auto"/>
            <w:shd w:val="clear" w:color="auto" w:fill="CCEEFF"/>
            <w:tcMar>
              <w:top w:w="40" w:type="dxa"/>
              <w:left w:w="240" w:type="dxa"/>
              <w:bottom w:w="40" w:type="dxa"/>
              <w:right w:w="40" w:type="dxa"/>
            </w:tcMar>
            <w:vAlign w:val="bottom"/>
          </w:tcPr>
          <w:p w14:paraId="55567A7A" w14:textId="77777777" w:rsidR="00F925DD" w:rsidRDefault="00E705D7">
            <w:pPr>
              <w:textAlignment w:val="bottom"/>
              <w:rPr>
                <w:rFonts w:ascii="Times New Roman" w:hAnsi="Times New Roman"/>
                <w:sz w:val="14"/>
                <w:szCs w:val="14"/>
              </w:rPr>
            </w:pPr>
            <w:r>
              <w:rPr>
                <w:rFonts w:ascii="Arial" w:eastAsia="宋体" w:hAnsi="Arial" w:cs="Arial"/>
                <w:sz w:val="14"/>
                <w:szCs w:val="14"/>
              </w:rPr>
              <w:t>Exchange-Traded Fund</w:t>
            </w:r>
          </w:p>
        </w:tc>
        <w:tc>
          <w:tcPr>
            <w:tcW w:w="0" w:type="auto"/>
            <w:gridSpan w:val="2"/>
            <w:shd w:val="clear" w:color="auto" w:fill="CCEEFF"/>
            <w:tcMar>
              <w:top w:w="40" w:type="dxa"/>
              <w:left w:w="40" w:type="dxa"/>
              <w:bottom w:w="40" w:type="dxa"/>
            </w:tcMar>
            <w:vAlign w:val="bottom"/>
          </w:tcPr>
          <w:p w14:paraId="55567A7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328.2</w:t>
            </w:r>
          </w:p>
        </w:tc>
        <w:tc>
          <w:tcPr>
            <w:tcW w:w="0" w:type="auto"/>
            <w:shd w:val="clear" w:color="auto" w:fill="CCEEFF"/>
            <w:vAlign w:val="bottom"/>
          </w:tcPr>
          <w:p w14:paraId="55567A7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A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A7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310.9</w:t>
            </w:r>
          </w:p>
        </w:tc>
        <w:tc>
          <w:tcPr>
            <w:tcW w:w="0" w:type="auto"/>
            <w:shd w:val="clear" w:color="auto" w:fill="CCEEFF"/>
            <w:vAlign w:val="bottom"/>
          </w:tcPr>
          <w:p w14:paraId="55567A7F" w14:textId="77777777" w:rsidR="00F925DD" w:rsidRDefault="00F925DD">
            <w:pPr>
              <w:textAlignment w:val="bottom"/>
              <w:rPr>
                <w:rFonts w:ascii="Times New Roman" w:hAnsi="Times New Roman"/>
                <w:sz w:val="20"/>
                <w:szCs w:val="20"/>
              </w:rPr>
            </w:pPr>
          </w:p>
        </w:tc>
      </w:tr>
      <w:tr w:rsidR="00F925DD" w14:paraId="55567A89" w14:textId="77777777">
        <w:tc>
          <w:tcPr>
            <w:tcW w:w="0" w:type="auto"/>
            <w:shd w:val="clear" w:color="auto" w:fill="auto"/>
            <w:tcMar>
              <w:top w:w="40" w:type="dxa"/>
              <w:left w:w="40" w:type="dxa"/>
              <w:bottom w:w="40" w:type="dxa"/>
              <w:right w:w="40" w:type="dxa"/>
            </w:tcMar>
            <w:vAlign w:val="bottom"/>
          </w:tcPr>
          <w:p w14:paraId="55567A8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Total ICI Flows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A8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A8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817.0</w:t>
            </w:r>
          </w:p>
        </w:tc>
        <w:tc>
          <w:tcPr>
            <w:tcW w:w="0" w:type="auto"/>
            <w:tcBorders>
              <w:top w:val="single" w:sz="8" w:space="0" w:color="000000"/>
              <w:bottom w:val="double" w:sz="6" w:space="0" w:color="000000"/>
            </w:tcBorders>
            <w:shd w:val="clear" w:color="auto" w:fill="auto"/>
            <w:vAlign w:val="bottom"/>
          </w:tcPr>
          <w:p w14:paraId="55567A8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A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A8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A8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81.1</w:t>
            </w:r>
          </w:p>
        </w:tc>
        <w:tc>
          <w:tcPr>
            <w:tcW w:w="0" w:type="auto"/>
            <w:tcBorders>
              <w:top w:val="single" w:sz="8" w:space="0" w:color="000000"/>
              <w:bottom w:val="double" w:sz="6" w:space="0" w:color="000000"/>
            </w:tcBorders>
            <w:shd w:val="clear" w:color="auto" w:fill="auto"/>
            <w:vAlign w:val="bottom"/>
          </w:tcPr>
          <w:p w14:paraId="55567A88" w14:textId="77777777" w:rsidR="00F925DD" w:rsidRDefault="00F925DD">
            <w:pPr>
              <w:textAlignment w:val="bottom"/>
              <w:rPr>
                <w:rFonts w:ascii="Times New Roman" w:hAnsi="Times New Roman"/>
                <w:sz w:val="20"/>
                <w:szCs w:val="20"/>
              </w:rPr>
            </w:pPr>
          </w:p>
        </w:tc>
      </w:tr>
      <w:tr w:rsidR="00F925DD" w14:paraId="55567A8E" w14:textId="77777777">
        <w:tc>
          <w:tcPr>
            <w:tcW w:w="0" w:type="auto"/>
            <w:shd w:val="clear" w:color="auto" w:fill="auto"/>
            <w:tcMar>
              <w:top w:w="40" w:type="dxa"/>
              <w:left w:w="40" w:type="dxa"/>
              <w:bottom w:w="40" w:type="dxa"/>
              <w:right w:w="40" w:type="dxa"/>
            </w:tcMar>
            <w:vAlign w:val="bottom"/>
          </w:tcPr>
          <w:p w14:paraId="55567A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A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A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A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A93" w14:textId="77777777">
        <w:tc>
          <w:tcPr>
            <w:tcW w:w="0" w:type="auto"/>
            <w:shd w:val="clear" w:color="auto" w:fill="auto"/>
            <w:tcMar>
              <w:top w:w="40" w:type="dxa"/>
              <w:left w:w="40" w:type="dxa"/>
              <w:bottom w:w="40" w:type="dxa"/>
              <w:right w:w="40" w:type="dxa"/>
            </w:tcMar>
            <w:vAlign w:val="bottom"/>
          </w:tcPr>
          <w:p w14:paraId="55567A8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Europe - Broadridge Market Data</w:t>
            </w:r>
            <w:r>
              <w:rPr>
                <w:rFonts w:ascii="Arial" w:eastAsia="宋体" w:hAnsi="Arial" w:cs="Arial"/>
                <w:b/>
                <w:bCs/>
                <w:sz w:val="10"/>
                <w:szCs w:val="10"/>
              </w:rPr>
              <w:t>(1)(5)(6)</w:t>
            </w:r>
          </w:p>
        </w:tc>
        <w:tc>
          <w:tcPr>
            <w:tcW w:w="0" w:type="auto"/>
            <w:gridSpan w:val="3"/>
            <w:shd w:val="clear" w:color="auto" w:fill="auto"/>
            <w:tcMar>
              <w:top w:w="40" w:type="dxa"/>
              <w:left w:w="40" w:type="dxa"/>
              <w:bottom w:w="40" w:type="dxa"/>
              <w:right w:w="40" w:type="dxa"/>
            </w:tcMar>
            <w:vAlign w:val="bottom"/>
          </w:tcPr>
          <w:p w14:paraId="55567A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A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A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A9C" w14:textId="77777777">
        <w:tc>
          <w:tcPr>
            <w:tcW w:w="0" w:type="auto"/>
            <w:shd w:val="clear" w:color="auto" w:fill="CCEEFF"/>
            <w:tcMar>
              <w:top w:w="40" w:type="dxa"/>
              <w:left w:w="240" w:type="dxa"/>
              <w:bottom w:w="40" w:type="dxa"/>
              <w:right w:w="40" w:type="dxa"/>
            </w:tcMar>
            <w:vAlign w:val="bottom"/>
          </w:tcPr>
          <w:p w14:paraId="55567A94" w14:textId="77777777" w:rsidR="00F925DD" w:rsidRDefault="00E705D7">
            <w:pPr>
              <w:textAlignment w:val="bottom"/>
              <w:rPr>
                <w:rFonts w:ascii="Times New Roman" w:hAnsi="Times New Roman"/>
                <w:sz w:val="14"/>
                <w:szCs w:val="14"/>
              </w:rPr>
            </w:pPr>
            <w:r>
              <w:rPr>
                <w:rFonts w:ascii="Arial" w:eastAsia="宋体" w:hAnsi="Arial" w:cs="Arial"/>
                <w:sz w:val="14"/>
                <w:szCs w:val="14"/>
              </w:rPr>
              <w:t>Long-Term Funds</w:t>
            </w:r>
            <w:r>
              <w:rPr>
                <w:rFonts w:ascii="Arial" w:eastAsia="宋体" w:hAnsi="Arial" w:cs="Arial"/>
                <w:sz w:val="10"/>
                <w:szCs w:val="10"/>
              </w:rPr>
              <w:t>(4)</w:t>
            </w:r>
          </w:p>
        </w:tc>
        <w:tc>
          <w:tcPr>
            <w:tcW w:w="0" w:type="auto"/>
            <w:shd w:val="clear" w:color="auto" w:fill="CCEEFF"/>
            <w:tcMar>
              <w:top w:w="40" w:type="dxa"/>
              <w:left w:w="40" w:type="dxa"/>
              <w:bottom w:w="40" w:type="dxa"/>
            </w:tcMar>
            <w:vAlign w:val="bottom"/>
          </w:tcPr>
          <w:p w14:paraId="55567A9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7A9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188.8</w:t>
            </w:r>
          </w:p>
        </w:tc>
        <w:tc>
          <w:tcPr>
            <w:tcW w:w="0" w:type="auto"/>
            <w:shd w:val="clear" w:color="auto" w:fill="CCEEFF"/>
            <w:vAlign w:val="bottom"/>
          </w:tcPr>
          <w:p w14:paraId="55567A9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A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A9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7A9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(52.1</w:t>
            </w:r>
          </w:p>
        </w:tc>
        <w:tc>
          <w:tcPr>
            <w:tcW w:w="0" w:type="auto"/>
            <w:shd w:val="clear" w:color="auto" w:fill="CCEEFF"/>
            <w:tcMar>
              <w:top w:w="40" w:type="dxa"/>
              <w:bottom w:w="40" w:type="dxa"/>
              <w:right w:w="40" w:type="dxa"/>
            </w:tcMar>
            <w:vAlign w:val="bottom"/>
          </w:tcPr>
          <w:p w14:paraId="55567A9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7AA3" w14:textId="77777777">
        <w:tc>
          <w:tcPr>
            <w:tcW w:w="0" w:type="auto"/>
            <w:shd w:val="clear" w:color="auto" w:fill="auto"/>
            <w:tcMar>
              <w:top w:w="40" w:type="dxa"/>
              <w:left w:w="240" w:type="dxa"/>
              <w:bottom w:w="40" w:type="dxa"/>
              <w:right w:w="40" w:type="dxa"/>
            </w:tcMar>
            <w:vAlign w:val="bottom"/>
          </w:tcPr>
          <w:p w14:paraId="55567A9D" w14:textId="77777777" w:rsidR="00F925DD" w:rsidRDefault="00E705D7">
            <w:pPr>
              <w:textAlignment w:val="bottom"/>
              <w:rPr>
                <w:rFonts w:ascii="Times New Roman" w:hAnsi="Times New Roman"/>
                <w:sz w:val="14"/>
                <w:szCs w:val="14"/>
              </w:rPr>
            </w:pPr>
            <w:r>
              <w:rPr>
                <w:rFonts w:ascii="Arial" w:eastAsia="宋体" w:hAnsi="Arial" w:cs="Arial"/>
                <w:sz w:val="14"/>
                <w:szCs w:val="14"/>
              </w:rPr>
              <w:t>Money Market</w:t>
            </w:r>
          </w:p>
        </w:tc>
        <w:tc>
          <w:tcPr>
            <w:tcW w:w="0" w:type="auto"/>
            <w:gridSpan w:val="2"/>
            <w:shd w:val="clear" w:color="auto" w:fill="auto"/>
            <w:tcMar>
              <w:top w:w="40" w:type="dxa"/>
              <w:left w:w="40" w:type="dxa"/>
              <w:bottom w:w="40" w:type="dxa"/>
            </w:tcMar>
            <w:vAlign w:val="bottom"/>
          </w:tcPr>
          <w:p w14:paraId="55567A9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54.9</w:t>
            </w:r>
          </w:p>
        </w:tc>
        <w:tc>
          <w:tcPr>
            <w:tcW w:w="0" w:type="auto"/>
            <w:shd w:val="clear" w:color="auto" w:fill="auto"/>
            <w:vAlign w:val="bottom"/>
          </w:tcPr>
          <w:p w14:paraId="55567A9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A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AA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12.4</w:t>
            </w:r>
          </w:p>
        </w:tc>
        <w:tc>
          <w:tcPr>
            <w:tcW w:w="0" w:type="auto"/>
            <w:shd w:val="clear" w:color="auto" w:fill="auto"/>
            <w:vAlign w:val="bottom"/>
          </w:tcPr>
          <w:p w14:paraId="55567AA2" w14:textId="77777777" w:rsidR="00F925DD" w:rsidRDefault="00F925DD">
            <w:pPr>
              <w:textAlignment w:val="bottom"/>
              <w:rPr>
                <w:rFonts w:ascii="Times New Roman" w:hAnsi="Times New Roman"/>
                <w:sz w:val="20"/>
                <w:szCs w:val="20"/>
              </w:rPr>
            </w:pPr>
          </w:p>
        </w:tc>
      </w:tr>
      <w:tr w:rsidR="00F925DD" w14:paraId="55567AAC" w14:textId="77777777">
        <w:tc>
          <w:tcPr>
            <w:tcW w:w="0" w:type="auto"/>
            <w:shd w:val="clear" w:color="auto" w:fill="CCEEFF"/>
            <w:tcMar>
              <w:top w:w="40" w:type="dxa"/>
              <w:left w:w="40" w:type="dxa"/>
              <w:bottom w:w="40" w:type="dxa"/>
              <w:right w:w="40" w:type="dxa"/>
            </w:tcMar>
            <w:vAlign w:val="bottom"/>
          </w:tcPr>
          <w:p w14:paraId="55567AA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Total Broadridge Flows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AA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AA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243.7</w:t>
            </w:r>
          </w:p>
        </w:tc>
        <w:tc>
          <w:tcPr>
            <w:tcW w:w="0" w:type="auto"/>
            <w:tcBorders>
              <w:top w:val="single" w:sz="8" w:space="0" w:color="000000"/>
              <w:bottom w:val="double" w:sz="6" w:space="0" w:color="000000"/>
            </w:tcBorders>
            <w:shd w:val="clear" w:color="auto" w:fill="CCEEFF"/>
            <w:vAlign w:val="bottom"/>
          </w:tcPr>
          <w:p w14:paraId="55567A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A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AA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AA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7AA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bl>
    <w:p w14:paraId="55567AAD"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4984"/>
        <w:gridCol w:w="166"/>
        <w:gridCol w:w="3156"/>
      </w:tblGrid>
      <w:tr w:rsidR="00F925DD" w14:paraId="55567AAF" w14:textId="77777777">
        <w:tc>
          <w:tcPr>
            <w:tcW w:w="0" w:type="auto"/>
            <w:gridSpan w:val="3"/>
            <w:shd w:val="clear" w:color="auto" w:fill="auto"/>
            <w:vAlign w:val="center"/>
          </w:tcPr>
          <w:p w14:paraId="55567AAE" w14:textId="77777777" w:rsidR="00F925DD" w:rsidRDefault="00F925DD">
            <w:pPr>
              <w:rPr>
                <w:rFonts w:ascii="Times New Roman" w:hAnsi="Times New Roman"/>
                <w:sz w:val="20"/>
                <w:szCs w:val="20"/>
              </w:rPr>
            </w:pPr>
          </w:p>
        </w:tc>
      </w:tr>
      <w:tr w:rsidR="00F925DD" w14:paraId="55567AB3" w14:textId="77777777">
        <w:tc>
          <w:tcPr>
            <w:tcW w:w="3000" w:type="pct"/>
            <w:shd w:val="clear" w:color="auto" w:fill="auto"/>
            <w:vAlign w:val="center"/>
          </w:tcPr>
          <w:p w14:paraId="55567AB0" w14:textId="77777777" w:rsidR="00F925DD" w:rsidRDefault="00F925DD">
            <w:pPr>
              <w:rPr>
                <w:rFonts w:ascii="Times New Roman" w:hAnsi="Times New Roman"/>
                <w:sz w:val="20"/>
                <w:szCs w:val="20"/>
              </w:rPr>
            </w:pPr>
          </w:p>
        </w:tc>
        <w:tc>
          <w:tcPr>
            <w:tcW w:w="100" w:type="pct"/>
            <w:shd w:val="clear" w:color="auto" w:fill="auto"/>
            <w:vAlign w:val="center"/>
          </w:tcPr>
          <w:p w14:paraId="55567AB1" w14:textId="77777777" w:rsidR="00F925DD" w:rsidRDefault="00F925DD">
            <w:pPr>
              <w:rPr>
                <w:rFonts w:ascii="Times New Roman" w:hAnsi="Times New Roman"/>
                <w:sz w:val="20"/>
                <w:szCs w:val="20"/>
              </w:rPr>
            </w:pPr>
          </w:p>
        </w:tc>
        <w:tc>
          <w:tcPr>
            <w:tcW w:w="1900" w:type="pct"/>
            <w:shd w:val="clear" w:color="auto" w:fill="auto"/>
            <w:vAlign w:val="center"/>
          </w:tcPr>
          <w:p w14:paraId="55567AB2" w14:textId="77777777" w:rsidR="00F925DD" w:rsidRDefault="00F925DD">
            <w:pPr>
              <w:rPr>
                <w:rFonts w:ascii="Times New Roman" w:hAnsi="Times New Roman"/>
                <w:sz w:val="20"/>
                <w:szCs w:val="20"/>
              </w:rPr>
            </w:pPr>
          </w:p>
        </w:tc>
      </w:tr>
      <w:tr w:rsidR="00F925DD" w14:paraId="55567AB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7A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A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A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7AB8"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(1) Industry data is provided for illustrative purposes only and is not intended to reflect our activity or its clients' activity.</w:t>
      </w:r>
    </w:p>
    <w:p w14:paraId="55567AB9"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(2) Source: Investment Company Institute. Investment Company Institute (ICI) data includes funds not registered under the</w:t>
      </w:r>
      <w:r>
        <w:rPr>
          <w:rFonts w:ascii="Arial" w:eastAsia="宋体" w:hAnsi="Arial" w:cs="Arial"/>
          <w:sz w:val="13"/>
          <w:szCs w:val="13"/>
        </w:rPr>
        <w:t xml:space="preserve"> Investment Company Act of 1940. Mutual fund data represents estimates of net new cash flow, which is new sales minus redemptions combined with net exchanges, while ETF data represents net issuance, which is gross issuance less gross redemptions. Data for </w:t>
      </w:r>
      <w:r>
        <w:rPr>
          <w:rFonts w:ascii="Arial" w:eastAsia="宋体" w:hAnsi="Arial" w:cs="Arial"/>
          <w:sz w:val="13"/>
          <w:szCs w:val="13"/>
        </w:rPr>
        <w:t xml:space="preserve">mutual funds that invest primarily in other mutual funds and ETFs that invest primarily in other ETFs were excluded from the series. ICI classifies mutual funds and ETFs based on language in the fund prospectus. </w:t>
      </w:r>
    </w:p>
    <w:p w14:paraId="55567ABA"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(3) The year ended December 31, 2019 data i</w:t>
      </w:r>
      <w:r>
        <w:rPr>
          <w:rFonts w:ascii="Arial" w:eastAsia="宋体" w:hAnsi="Arial" w:cs="Arial"/>
          <w:sz w:val="13"/>
          <w:szCs w:val="13"/>
        </w:rPr>
        <w:t xml:space="preserve">ncludes ICI actuals for January 2019 through November 2019 and ICI estimates for December 2019. </w:t>
      </w:r>
    </w:p>
    <w:p w14:paraId="55567ABB"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(4) The long-term fund flows reported by ICI are composed of North America Market flows mainly in Equities, Hybrids and Fixed-Income Asset Classes. The </w:t>
      </w:r>
      <w:r>
        <w:rPr>
          <w:rFonts w:ascii="Arial" w:eastAsia="宋体" w:hAnsi="Arial" w:cs="Arial"/>
          <w:sz w:val="13"/>
          <w:szCs w:val="13"/>
        </w:rPr>
        <w:t>long-term fund flows reported by Broadridge are composed of the European, Middle-Eastern, and African market flows mainly in Equities, Fixed-Income and Multi Asset Classes.</w:t>
      </w:r>
    </w:p>
    <w:p w14:paraId="55567ABC"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(5) Source: © Copyright 2019, Broadridge Financial Solutions, Inc.</w:t>
      </w:r>
      <w:r>
        <w:rPr>
          <w:rFonts w:ascii="Arial" w:eastAsia="宋体" w:hAnsi="Arial" w:cs="Arial"/>
          <w:color w:val="FF0000"/>
          <w:sz w:val="13"/>
          <w:szCs w:val="13"/>
        </w:rPr>
        <w:t xml:space="preserve"> </w:t>
      </w:r>
      <w:r>
        <w:rPr>
          <w:rFonts w:ascii="Arial" w:eastAsia="宋体" w:hAnsi="Arial" w:cs="Arial"/>
          <w:sz w:val="13"/>
          <w:szCs w:val="13"/>
        </w:rPr>
        <w:t>Funds of funds h</w:t>
      </w:r>
      <w:r>
        <w:rPr>
          <w:rFonts w:ascii="Arial" w:eastAsia="宋体" w:hAnsi="Arial" w:cs="Arial"/>
          <w:sz w:val="13"/>
          <w:szCs w:val="13"/>
        </w:rPr>
        <w:t>ave been excluded from Broadridge data (to avoid double counting). Therefore, a market total is the sum of all the investment categories excluding the three funds of funds categories (in-house, ex-house and hedge). ETFs are included in Broadridge’s databas</w:t>
      </w:r>
      <w:r>
        <w:rPr>
          <w:rFonts w:ascii="Arial" w:eastAsia="宋体" w:hAnsi="Arial" w:cs="Arial"/>
          <w:sz w:val="13"/>
          <w:szCs w:val="13"/>
        </w:rPr>
        <w:t>e on mutual funds, but this excludes exchange-traded commodity products that are not mutual funds.</w:t>
      </w:r>
    </w:p>
    <w:p w14:paraId="55567ABD"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(6) The year ended December 31, 2019 data is on a rolling twelve month basis for December 2018 through November 2019 for EMEA (Copyright 2019 Broadridge Fina</w:t>
      </w:r>
      <w:r>
        <w:rPr>
          <w:rFonts w:ascii="Arial" w:eastAsia="宋体" w:hAnsi="Arial" w:cs="Arial"/>
          <w:sz w:val="13"/>
          <w:szCs w:val="13"/>
        </w:rPr>
        <w:t>ncial Solutions, Inc.).</w:t>
      </w:r>
    </w:p>
    <w:p w14:paraId="55567ABE"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ABF"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Pricing</w:t>
      </w:r>
    </w:p>
    <w:p w14:paraId="55567AC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industry in which we operate has historically faced pricing pressure, and our servicing fee revenues are also affected by such pressures today. Consequently, no assumption should be drawn as to future revenue run rate </w:t>
      </w:r>
      <w:r>
        <w:rPr>
          <w:rFonts w:ascii="Arial" w:eastAsia="宋体" w:hAnsi="Arial" w:cs="Arial"/>
          <w:sz w:val="20"/>
          <w:szCs w:val="20"/>
        </w:rPr>
        <w:t>from announced servicing wins, as the amount of revenue associated with AUC/A can vary materially. On average, over the five years ended December 31, 2019, we estimate that pricing pressure with respect to existing clients has impacted our servicing fees b</w:t>
      </w:r>
      <w:r>
        <w:rPr>
          <w:rFonts w:ascii="Arial" w:eastAsia="宋体" w:hAnsi="Arial" w:cs="Arial"/>
          <w:sz w:val="20"/>
          <w:szCs w:val="20"/>
        </w:rPr>
        <w:t xml:space="preserve">y approximately (2)% annually, with the impact ranging from (1)% to (4)% in any given year, and approximately (4)% in both 2019 and 2018. Pricing concessions can be a part of a contract renegotiation with a client including terms that may benefit us, such </w:t>
      </w:r>
      <w:r>
        <w:rPr>
          <w:rFonts w:ascii="Arial" w:eastAsia="宋体" w:hAnsi="Arial" w:cs="Arial"/>
          <w:sz w:val="20"/>
          <w:szCs w:val="20"/>
        </w:rPr>
        <w:t>as extending the terms of our relationship with the client, expanding the scope of services that we provide or reducing our dependency on manual processes through the standardization of the services we provide. The timing of the impact of additional revenu</w:t>
      </w:r>
      <w:r>
        <w:rPr>
          <w:rFonts w:ascii="Arial" w:eastAsia="宋体" w:hAnsi="Arial" w:cs="Arial"/>
          <w:sz w:val="20"/>
          <w:szCs w:val="20"/>
        </w:rPr>
        <w:t>e generated by anticipated additional services, and the amount of revenue generated, may differ from the impact of pricing concessions on existing services due to the necessary time required to onboard those new services, the nature of those services and c</w:t>
      </w:r>
      <w:r>
        <w:rPr>
          <w:rFonts w:ascii="Arial" w:eastAsia="宋体" w:hAnsi="Arial" w:cs="Arial"/>
          <w:sz w:val="20"/>
          <w:szCs w:val="20"/>
        </w:rPr>
        <w:t>lient investment practices. These same market pressures also impact the fees we negotiate when we win business from new clients.</w:t>
      </w:r>
    </w:p>
    <w:p w14:paraId="55567AC1"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Net New Business</w:t>
      </w:r>
    </w:p>
    <w:p w14:paraId="55567AC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Over the five years ended December 31, 2019, net new business, which includes business both won and lost, has affected our servicing fee revenues by approximately 2% on average with a range of 0% to 3% annually and approximately 0% and 1% in 2019 and 2018,</w:t>
      </w:r>
      <w:r>
        <w:rPr>
          <w:rFonts w:ascii="Arial" w:eastAsia="宋体" w:hAnsi="Arial" w:cs="Arial"/>
          <w:sz w:val="20"/>
          <w:szCs w:val="20"/>
        </w:rPr>
        <w:t xml:space="preserve"> respectively, inclusive of a client transition. </w:t>
      </w:r>
    </w:p>
    <w:p w14:paraId="55567AC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New business impacting servicing fees can include: custody; product and participant level accounting; daily valuation and administration; record-keeping; cash management; and other services. Revenues associ</w:t>
      </w:r>
      <w:r>
        <w:rPr>
          <w:rFonts w:ascii="Arial" w:eastAsia="宋体" w:hAnsi="Arial" w:cs="Arial"/>
          <w:sz w:val="20"/>
          <w:szCs w:val="20"/>
        </w:rPr>
        <w:t>ated with new servicing mandates may vary based on the breadth of services provided, the time required to install the assets, and the types of assets installed.</w:t>
      </w:r>
    </w:p>
    <w:p w14:paraId="55567AC4"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Management Fee Revenue</w:t>
      </w:r>
    </w:p>
    <w:p w14:paraId="55567AC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Management fees generally are affected by our level of AUM, which we rep</w:t>
      </w:r>
      <w:r>
        <w:rPr>
          <w:rFonts w:ascii="Arial" w:eastAsia="宋体" w:hAnsi="Arial" w:cs="Arial"/>
          <w:sz w:val="20"/>
          <w:szCs w:val="20"/>
        </w:rPr>
        <w:t>ort based on month-end valuations. Management fees for certain components of managed assets, such as ETFs, mutual funds and UCITS, are affected by daily average valuations of AUM. Management fee revenue is more sensitive to market valuations than servicing</w:t>
      </w:r>
      <w:r>
        <w:rPr>
          <w:rFonts w:ascii="Arial" w:eastAsia="宋体" w:hAnsi="Arial" w:cs="Arial"/>
          <w:sz w:val="20"/>
          <w:szCs w:val="20"/>
        </w:rPr>
        <w:t xml:space="preserve"> fee revenue, as a higher proportion of the underlying services provided, and the associated management fees earned, are dependent on equity and fixed-income security valuations. Additional factors, such as the relative mix of assets managed, may have a si</w:t>
      </w:r>
      <w:r>
        <w:rPr>
          <w:rFonts w:ascii="Arial" w:eastAsia="宋体" w:hAnsi="Arial" w:cs="Arial"/>
          <w:sz w:val="20"/>
          <w:szCs w:val="20"/>
        </w:rPr>
        <w:t xml:space="preserve">gnificant effect on our </w:t>
      </w:r>
    </w:p>
    <w:p w14:paraId="55567AC6" w14:textId="77777777" w:rsidR="00F925DD" w:rsidRDefault="00F925DD">
      <w:pPr>
        <w:rPr>
          <w:rFonts w:ascii="Times New Roman" w:hAnsi="Times New Roman"/>
          <w:sz w:val="20"/>
          <w:szCs w:val="20"/>
        </w:rPr>
      </w:pPr>
    </w:p>
    <w:p w14:paraId="55567AC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63</w:t>
      </w:r>
    </w:p>
    <w:p w14:paraId="55567AC8" w14:textId="77777777" w:rsidR="00F925DD" w:rsidRDefault="00F925DD">
      <w:pPr>
        <w:spacing w:line="288" w:lineRule="auto"/>
        <w:ind w:firstLine="600"/>
        <w:jc w:val="center"/>
        <w:rPr>
          <w:rFonts w:ascii="Times New Roman" w:hAnsi="Times New Roman"/>
          <w:sz w:val="18"/>
          <w:szCs w:val="18"/>
        </w:rPr>
      </w:pPr>
    </w:p>
    <w:p w14:paraId="55567AC9" w14:textId="77777777" w:rsidR="00F925DD" w:rsidRDefault="00E705D7">
      <w:r>
        <w:rPr>
          <w:rFonts w:ascii="Times New Roman" w:hAnsi="Times New Roman"/>
          <w:sz w:val="18"/>
          <w:szCs w:val="18"/>
        </w:rPr>
        <w:pict w14:anchorId="55570679">
          <v:rect id="_x0000_i1087" style="width:415.3pt;height:1.5pt" o:hralign="center" o:hrstd="t" o:hr="t" fillcolor="#a0a0a0" stroked="f"/>
        </w:pict>
      </w:r>
    </w:p>
    <w:p w14:paraId="55567AC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AC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ACC" w14:textId="77777777" w:rsidR="00F925DD" w:rsidRDefault="00F925DD">
      <w:pPr>
        <w:rPr>
          <w:rFonts w:ascii="Times New Roman" w:hAnsi="Times New Roman"/>
          <w:sz w:val="20"/>
          <w:szCs w:val="20"/>
        </w:rPr>
      </w:pPr>
    </w:p>
    <w:p w14:paraId="55567AC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management fee revenue. While certain management fees are directly determined by the values of AUM and the inv</w:t>
      </w:r>
      <w:r>
        <w:rPr>
          <w:rFonts w:ascii="Arial" w:eastAsia="宋体" w:hAnsi="Arial" w:cs="Arial"/>
          <w:sz w:val="20"/>
          <w:szCs w:val="20"/>
        </w:rPr>
        <w:t>estment strategies employed, management fees may reflect other factors, including performance fee arrangements, as well as our relationship pricing for clients.</w:t>
      </w:r>
    </w:p>
    <w:p w14:paraId="55567AC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Asset-based management fees for passively managed products, to which our AUM is currently prima</w:t>
      </w:r>
      <w:r>
        <w:rPr>
          <w:rFonts w:ascii="Arial" w:eastAsia="宋体" w:hAnsi="Arial" w:cs="Arial"/>
          <w:sz w:val="20"/>
          <w:szCs w:val="20"/>
        </w:rPr>
        <w:t>rily weighted, are generally charged at a lower fee of AUM than for actively managed products. Actively managed products may also include performance fee arrangements which are recorded when the fee is earned, based on predetermined benchmarks associated w</w:t>
      </w:r>
      <w:r>
        <w:rPr>
          <w:rFonts w:ascii="Arial" w:eastAsia="宋体" w:hAnsi="Arial" w:cs="Arial"/>
          <w:sz w:val="20"/>
          <w:szCs w:val="20"/>
        </w:rPr>
        <w:t xml:space="preserve">ith the applicable account's performance. </w:t>
      </w:r>
    </w:p>
    <w:p w14:paraId="55567AC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light of the above, we estimate, using relevant information as of December 31, 2019 and assuming that all other factors remain constant, including the impact of business won and lost and client flows, that:</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AD2" w14:textId="77777777">
        <w:trPr>
          <w:tblCellSpacing w:w="0" w:type="dxa"/>
        </w:trPr>
        <w:tc>
          <w:tcPr>
            <w:tcW w:w="960" w:type="dxa"/>
            <w:shd w:val="clear" w:color="auto" w:fill="auto"/>
            <w:vAlign w:val="center"/>
          </w:tcPr>
          <w:p w14:paraId="55567AD0" w14:textId="77777777" w:rsidR="00F925DD" w:rsidRDefault="00F925DD">
            <w:pPr>
              <w:rPr>
                <w:rFonts w:ascii="Times New Roman" w:hAnsi="Times New Roman"/>
                <w:sz w:val="20"/>
                <w:szCs w:val="20"/>
              </w:rPr>
            </w:pPr>
          </w:p>
        </w:tc>
        <w:tc>
          <w:tcPr>
            <w:tcW w:w="0" w:type="auto"/>
            <w:shd w:val="clear" w:color="auto" w:fill="auto"/>
            <w:vAlign w:val="center"/>
          </w:tcPr>
          <w:p w14:paraId="55567AD1" w14:textId="77777777" w:rsidR="00F925DD" w:rsidRDefault="00F925DD">
            <w:pPr>
              <w:rPr>
                <w:rFonts w:ascii="Times New Roman" w:hAnsi="Times New Roman"/>
                <w:sz w:val="20"/>
                <w:szCs w:val="20"/>
              </w:rPr>
            </w:pPr>
          </w:p>
        </w:tc>
      </w:tr>
      <w:tr w:rsidR="00F925DD" w14:paraId="55567AD5" w14:textId="77777777">
        <w:trPr>
          <w:tblCellSpacing w:w="0" w:type="dxa"/>
        </w:trPr>
        <w:tc>
          <w:tcPr>
            <w:tcW w:w="0" w:type="auto"/>
            <w:shd w:val="clear" w:color="auto" w:fill="auto"/>
          </w:tcPr>
          <w:p w14:paraId="55567AD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AD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 10% increase or decrease in worldwide equity valuations, on a weighted average basis, over the relevant periods for which our management fees are calculated, would result in a corresponding change in our total management fee revenues, on average and o</w:t>
            </w:r>
            <w:r>
              <w:rPr>
                <w:rFonts w:ascii="Arial" w:eastAsia="宋体" w:hAnsi="Arial" w:cs="Arial"/>
                <w:sz w:val="20"/>
                <w:szCs w:val="20"/>
              </w:rPr>
              <w:t>ver time, of approximately 5%; and</w:t>
            </w:r>
          </w:p>
        </w:tc>
      </w:tr>
    </w:tbl>
    <w:p w14:paraId="55567AD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7AD9" w14:textId="77777777">
        <w:trPr>
          <w:tblCellSpacing w:w="0" w:type="dxa"/>
        </w:trPr>
        <w:tc>
          <w:tcPr>
            <w:tcW w:w="960" w:type="dxa"/>
            <w:shd w:val="clear" w:color="auto" w:fill="auto"/>
            <w:vAlign w:val="center"/>
          </w:tcPr>
          <w:p w14:paraId="55567AD7" w14:textId="77777777" w:rsidR="00F925DD" w:rsidRDefault="00F925DD">
            <w:pPr>
              <w:rPr>
                <w:rFonts w:ascii="Times New Roman" w:hAnsi="Times New Roman"/>
                <w:sz w:val="20"/>
                <w:szCs w:val="20"/>
              </w:rPr>
            </w:pPr>
          </w:p>
        </w:tc>
        <w:tc>
          <w:tcPr>
            <w:tcW w:w="0" w:type="auto"/>
            <w:shd w:val="clear" w:color="auto" w:fill="auto"/>
            <w:vAlign w:val="center"/>
          </w:tcPr>
          <w:p w14:paraId="55567AD8" w14:textId="77777777" w:rsidR="00F925DD" w:rsidRDefault="00F925DD">
            <w:pPr>
              <w:rPr>
                <w:rFonts w:ascii="Times New Roman" w:hAnsi="Times New Roman"/>
                <w:sz w:val="20"/>
                <w:szCs w:val="20"/>
              </w:rPr>
            </w:pPr>
          </w:p>
        </w:tc>
      </w:tr>
      <w:tr w:rsidR="00F925DD" w14:paraId="55567ADC" w14:textId="77777777">
        <w:trPr>
          <w:tblCellSpacing w:w="0" w:type="dxa"/>
        </w:trPr>
        <w:tc>
          <w:tcPr>
            <w:tcW w:w="0" w:type="auto"/>
            <w:shd w:val="clear" w:color="auto" w:fill="auto"/>
          </w:tcPr>
          <w:p w14:paraId="55567AD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7AD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 10% increase or decrease in worldwide fixed-income valuations, on a weighted average basis, over the relevant periods for which our management fees are calculated, would result in a corresponding change in our to</w:t>
            </w:r>
            <w:r>
              <w:rPr>
                <w:rFonts w:ascii="Arial" w:eastAsia="宋体" w:hAnsi="Arial" w:cs="Arial"/>
                <w:sz w:val="20"/>
                <w:szCs w:val="20"/>
              </w:rPr>
              <w:t>tal management fee revenues</w:t>
            </w:r>
            <w:r>
              <w:rPr>
                <w:rFonts w:ascii="Arial" w:eastAsia="宋体" w:hAnsi="Arial" w:cs="Arial"/>
                <w:color w:val="1F497D"/>
                <w:sz w:val="20"/>
                <w:szCs w:val="20"/>
              </w:rPr>
              <w:t xml:space="preserve">, </w:t>
            </w:r>
            <w:r>
              <w:rPr>
                <w:rFonts w:ascii="Arial" w:eastAsia="宋体" w:hAnsi="Arial" w:cs="Arial"/>
                <w:sz w:val="20"/>
                <w:szCs w:val="20"/>
              </w:rPr>
              <w:t>on average and over time, of approximately 4%.</w:t>
            </w:r>
          </w:p>
        </w:tc>
      </w:tr>
    </w:tbl>
    <w:p w14:paraId="55567AD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Daily averages, month-end averages and year-end indices demonstrate worldwide changes in equity and debt markets that affect our management fee revenue. Year-end indices </w:t>
      </w:r>
      <w:r>
        <w:rPr>
          <w:rFonts w:ascii="Arial" w:eastAsia="宋体" w:hAnsi="Arial" w:cs="Arial"/>
          <w:sz w:val="20"/>
          <w:szCs w:val="20"/>
        </w:rPr>
        <w:t>affect the values of AUM as of those dates. See Table 3: Daily Averages, Month-End Averages and Year-End Equity Indices for selected indices.</w:t>
      </w:r>
    </w:p>
    <w:p w14:paraId="55567AD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fee revenue is provided under "Line of Business Information" included in this Managem</w:t>
      </w:r>
      <w:r>
        <w:rPr>
          <w:rFonts w:ascii="Arial" w:eastAsia="宋体" w:hAnsi="Arial" w:cs="Arial"/>
          <w:sz w:val="20"/>
          <w:szCs w:val="20"/>
        </w:rPr>
        <w:t>ent's Discussion and Analysis.</w:t>
      </w:r>
    </w:p>
    <w:p w14:paraId="55567ADF"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Net Interest Income</w:t>
      </w:r>
    </w:p>
    <w:p w14:paraId="55567AE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See Table 2: Total Revenue, for the breakout of interest income and interest expense for the years ended December 31, 2019, 2018 and 2017. </w:t>
      </w:r>
    </w:p>
    <w:p w14:paraId="55567AE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NII is defined as interest income earned on interest-earning asse</w:t>
      </w:r>
      <w:r>
        <w:rPr>
          <w:rFonts w:ascii="Arial" w:eastAsia="宋体" w:hAnsi="Arial" w:cs="Arial"/>
          <w:sz w:val="20"/>
          <w:szCs w:val="20"/>
        </w:rPr>
        <w:t>ts less interest expense incurred on interest-bearing liabilities. Interest-earning assets, which principally consist of investment securities, interest-bearing deposits with banks, resale agreements, loans and other liquid assets, are financed primarily b</w:t>
      </w:r>
      <w:r>
        <w:rPr>
          <w:rFonts w:ascii="Arial" w:eastAsia="宋体" w:hAnsi="Arial" w:cs="Arial"/>
          <w:sz w:val="20"/>
          <w:szCs w:val="20"/>
        </w:rPr>
        <w:t>y client deposits, short-term borrowings and long-term debt.</w:t>
      </w:r>
    </w:p>
    <w:p w14:paraId="55567AE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NIM represents the relationship between annualized FTE NII and average total interest-earning </w:t>
      </w:r>
    </w:p>
    <w:p w14:paraId="55567AE3"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AE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assets for the period. It is calculated by dividing FTE NII by average interest-earning assets. Re</w:t>
      </w:r>
      <w:r>
        <w:rPr>
          <w:rFonts w:ascii="Arial" w:eastAsia="宋体" w:hAnsi="Arial" w:cs="Arial"/>
          <w:sz w:val="20"/>
          <w:szCs w:val="20"/>
        </w:rPr>
        <w:t>venue that is exempt from income taxes, mainly earned from certain investment securities (state and political subdivisions), is adjusted to a FTE basis using the U.S. federal and state statutory income tax rates.</w:t>
      </w:r>
    </w:p>
    <w:p w14:paraId="55567AE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NII on a FTE basis decreased in 2019 compar</w:t>
      </w:r>
      <w:r>
        <w:rPr>
          <w:rFonts w:ascii="Arial" w:eastAsia="宋体" w:hAnsi="Arial" w:cs="Arial"/>
          <w:sz w:val="20"/>
          <w:szCs w:val="20"/>
        </w:rPr>
        <w:t>ed to 2018, primarily due to lower long-end U.S. market rates and lower average non-interest bearing deposit balances, partially offset by FICC expansion and higher core loan and investment securities balances. Investment securities net premium amortizatio</w:t>
      </w:r>
      <w:r>
        <w:rPr>
          <w:rFonts w:ascii="Arial" w:eastAsia="宋体" w:hAnsi="Arial" w:cs="Arial"/>
          <w:sz w:val="20"/>
          <w:szCs w:val="20"/>
        </w:rPr>
        <w:t>n, which is included in interest income, was $434 million in 2019 compared to $391 million in 2018 and $364 million in 2017, primarily related to higher MBS premium amortization.</w:t>
      </w:r>
    </w:p>
    <w:p w14:paraId="55567AE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Interest income related to debt securities is recognized in our consolidated </w:t>
      </w:r>
      <w:r>
        <w:rPr>
          <w:rFonts w:ascii="Arial" w:eastAsia="宋体" w:hAnsi="Arial" w:cs="Arial"/>
          <w:sz w:val="20"/>
          <w:szCs w:val="20"/>
        </w:rPr>
        <w:t xml:space="preserve">statement of income using the effective interest method, or on a basis approximating a level rate of return over the contractual or estimated life of the security. The rate of return considers any non-refundable fees or costs, as well as purchase premiums </w:t>
      </w:r>
      <w:r>
        <w:rPr>
          <w:rFonts w:ascii="Arial" w:eastAsia="宋体" w:hAnsi="Arial" w:cs="Arial"/>
          <w:sz w:val="20"/>
          <w:szCs w:val="20"/>
        </w:rPr>
        <w:t xml:space="preserve">or discounts, resulting in amortization or accretion, accordingly. The amortization of premiums and accretion of discounts are adjusted for prepayments when they occur, such that the level rate of return remains constant throughout the contractual life of </w:t>
      </w:r>
      <w:r>
        <w:rPr>
          <w:rFonts w:ascii="Arial" w:eastAsia="宋体" w:hAnsi="Arial" w:cs="Arial"/>
          <w:sz w:val="20"/>
          <w:szCs w:val="20"/>
        </w:rPr>
        <w:t>the security.</w:t>
      </w:r>
    </w:p>
    <w:p w14:paraId="55567AE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The following table presents the investment securities amortizable purchase premium net of discount accretion for the periods indicated:</w:t>
      </w:r>
    </w:p>
    <w:tbl>
      <w:tblPr>
        <w:tblW w:w="5000" w:type="pct"/>
        <w:tblCellMar>
          <w:left w:w="0" w:type="dxa"/>
          <w:right w:w="0" w:type="dxa"/>
        </w:tblCellMar>
        <w:tblLook w:val="04A0" w:firstRow="1" w:lastRow="0" w:firstColumn="1" w:lastColumn="0" w:noHBand="0" w:noVBand="1"/>
      </w:tblPr>
      <w:tblGrid>
        <w:gridCol w:w="3724"/>
        <w:gridCol w:w="124"/>
        <w:gridCol w:w="1232"/>
        <w:gridCol w:w="69"/>
        <w:gridCol w:w="152"/>
        <w:gridCol w:w="124"/>
        <w:gridCol w:w="1232"/>
        <w:gridCol w:w="69"/>
        <w:gridCol w:w="153"/>
        <w:gridCol w:w="124"/>
        <w:gridCol w:w="1233"/>
        <w:gridCol w:w="70"/>
      </w:tblGrid>
      <w:tr w:rsidR="00F925DD" w14:paraId="55567AE9" w14:textId="77777777">
        <w:tc>
          <w:tcPr>
            <w:tcW w:w="0" w:type="auto"/>
            <w:gridSpan w:val="12"/>
            <w:shd w:val="clear" w:color="auto" w:fill="auto"/>
            <w:vAlign w:val="center"/>
          </w:tcPr>
          <w:p w14:paraId="55567AE8" w14:textId="77777777" w:rsidR="00F925DD" w:rsidRDefault="00F925DD">
            <w:pPr>
              <w:rPr>
                <w:rFonts w:ascii="Times New Roman" w:hAnsi="Times New Roman"/>
                <w:sz w:val="20"/>
                <w:szCs w:val="20"/>
              </w:rPr>
            </w:pPr>
          </w:p>
        </w:tc>
      </w:tr>
      <w:tr w:rsidR="00F925DD" w14:paraId="55567AF6" w14:textId="77777777">
        <w:tc>
          <w:tcPr>
            <w:tcW w:w="2250" w:type="pct"/>
            <w:shd w:val="clear" w:color="auto" w:fill="auto"/>
            <w:vAlign w:val="center"/>
          </w:tcPr>
          <w:p w14:paraId="55567AEA" w14:textId="77777777" w:rsidR="00F925DD" w:rsidRDefault="00F925DD">
            <w:pPr>
              <w:rPr>
                <w:rFonts w:ascii="Times New Roman" w:hAnsi="Times New Roman"/>
                <w:sz w:val="20"/>
                <w:szCs w:val="20"/>
              </w:rPr>
            </w:pPr>
          </w:p>
        </w:tc>
        <w:tc>
          <w:tcPr>
            <w:tcW w:w="50" w:type="pct"/>
            <w:shd w:val="clear" w:color="auto" w:fill="auto"/>
            <w:vAlign w:val="center"/>
          </w:tcPr>
          <w:p w14:paraId="55567AEB" w14:textId="77777777" w:rsidR="00F925DD" w:rsidRDefault="00F925DD">
            <w:pPr>
              <w:rPr>
                <w:rFonts w:ascii="Times New Roman" w:hAnsi="Times New Roman"/>
                <w:sz w:val="20"/>
                <w:szCs w:val="20"/>
              </w:rPr>
            </w:pPr>
          </w:p>
        </w:tc>
        <w:tc>
          <w:tcPr>
            <w:tcW w:w="750" w:type="pct"/>
            <w:shd w:val="clear" w:color="auto" w:fill="auto"/>
            <w:vAlign w:val="center"/>
          </w:tcPr>
          <w:p w14:paraId="55567AEC" w14:textId="77777777" w:rsidR="00F925DD" w:rsidRDefault="00F925DD">
            <w:pPr>
              <w:rPr>
                <w:rFonts w:ascii="Times New Roman" w:hAnsi="Times New Roman"/>
                <w:sz w:val="20"/>
                <w:szCs w:val="20"/>
              </w:rPr>
            </w:pPr>
          </w:p>
        </w:tc>
        <w:tc>
          <w:tcPr>
            <w:tcW w:w="50" w:type="pct"/>
            <w:shd w:val="clear" w:color="auto" w:fill="auto"/>
            <w:vAlign w:val="center"/>
          </w:tcPr>
          <w:p w14:paraId="55567AED" w14:textId="77777777" w:rsidR="00F925DD" w:rsidRDefault="00F925DD">
            <w:pPr>
              <w:rPr>
                <w:rFonts w:ascii="Times New Roman" w:hAnsi="Times New Roman"/>
                <w:sz w:val="20"/>
                <w:szCs w:val="20"/>
              </w:rPr>
            </w:pPr>
          </w:p>
        </w:tc>
        <w:tc>
          <w:tcPr>
            <w:tcW w:w="100" w:type="pct"/>
            <w:shd w:val="clear" w:color="auto" w:fill="auto"/>
            <w:vAlign w:val="center"/>
          </w:tcPr>
          <w:p w14:paraId="55567AEE" w14:textId="77777777" w:rsidR="00F925DD" w:rsidRDefault="00F925DD">
            <w:pPr>
              <w:rPr>
                <w:rFonts w:ascii="Times New Roman" w:hAnsi="Times New Roman"/>
                <w:sz w:val="20"/>
                <w:szCs w:val="20"/>
              </w:rPr>
            </w:pPr>
          </w:p>
        </w:tc>
        <w:tc>
          <w:tcPr>
            <w:tcW w:w="50" w:type="pct"/>
            <w:shd w:val="clear" w:color="auto" w:fill="auto"/>
            <w:vAlign w:val="center"/>
          </w:tcPr>
          <w:p w14:paraId="55567AEF" w14:textId="77777777" w:rsidR="00F925DD" w:rsidRDefault="00F925DD">
            <w:pPr>
              <w:rPr>
                <w:rFonts w:ascii="Times New Roman" w:hAnsi="Times New Roman"/>
                <w:sz w:val="20"/>
                <w:szCs w:val="20"/>
              </w:rPr>
            </w:pPr>
          </w:p>
        </w:tc>
        <w:tc>
          <w:tcPr>
            <w:tcW w:w="750" w:type="pct"/>
            <w:shd w:val="clear" w:color="auto" w:fill="auto"/>
            <w:vAlign w:val="center"/>
          </w:tcPr>
          <w:p w14:paraId="55567AF0" w14:textId="77777777" w:rsidR="00F925DD" w:rsidRDefault="00F925DD">
            <w:pPr>
              <w:rPr>
                <w:rFonts w:ascii="Times New Roman" w:hAnsi="Times New Roman"/>
                <w:sz w:val="20"/>
                <w:szCs w:val="20"/>
              </w:rPr>
            </w:pPr>
          </w:p>
        </w:tc>
        <w:tc>
          <w:tcPr>
            <w:tcW w:w="50" w:type="pct"/>
            <w:shd w:val="clear" w:color="auto" w:fill="auto"/>
            <w:vAlign w:val="center"/>
          </w:tcPr>
          <w:p w14:paraId="55567AF1" w14:textId="77777777" w:rsidR="00F925DD" w:rsidRDefault="00F925DD">
            <w:pPr>
              <w:rPr>
                <w:rFonts w:ascii="Times New Roman" w:hAnsi="Times New Roman"/>
                <w:sz w:val="20"/>
                <w:szCs w:val="20"/>
              </w:rPr>
            </w:pPr>
          </w:p>
        </w:tc>
        <w:tc>
          <w:tcPr>
            <w:tcW w:w="100" w:type="pct"/>
            <w:shd w:val="clear" w:color="auto" w:fill="auto"/>
            <w:vAlign w:val="center"/>
          </w:tcPr>
          <w:p w14:paraId="55567AF2" w14:textId="77777777" w:rsidR="00F925DD" w:rsidRDefault="00F925DD">
            <w:pPr>
              <w:rPr>
                <w:rFonts w:ascii="Times New Roman" w:hAnsi="Times New Roman"/>
                <w:sz w:val="20"/>
                <w:szCs w:val="20"/>
              </w:rPr>
            </w:pPr>
          </w:p>
        </w:tc>
        <w:tc>
          <w:tcPr>
            <w:tcW w:w="50" w:type="pct"/>
            <w:shd w:val="clear" w:color="auto" w:fill="auto"/>
            <w:vAlign w:val="center"/>
          </w:tcPr>
          <w:p w14:paraId="55567AF3" w14:textId="77777777" w:rsidR="00F925DD" w:rsidRDefault="00F925DD">
            <w:pPr>
              <w:rPr>
                <w:rFonts w:ascii="Times New Roman" w:hAnsi="Times New Roman"/>
                <w:sz w:val="20"/>
                <w:szCs w:val="20"/>
              </w:rPr>
            </w:pPr>
          </w:p>
        </w:tc>
        <w:tc>
          <w:tcPr>
            <w:tcW w:w="750" w:type="pct"/>
            <w:shd w:val="clear" w:color="auto" w:fill="auto"/>
            <w:vAlign w:val="center"/>
          </w:tcPr>
          <w:p w14:paraId="55567AF4" w14:textId="77777777" w:rsidR="00F925DD" w:rsidRDefault="00F925DD">
            <w:pPr>
              <w:rPr>
                <w:rFonts w:ascii="Times New Roman" w:hAnsi="Times New Roman"/>
                <w:sz w:val="20"/>
                <w:szCs w:val="20"/>
              </w:rPr>
            </w:pPr>
          </w:p>
        </w:tc>
        <w:tc>
          <w:tcPr>
            <w:tcW w:w="50" w:type="pct"/>
            <w:shd w:val="clear" w:color="auto" w:fill="auto"/>
            <w:vAlign w:val="center"/>
          </w:tcPr>
          <w:p w14:paraId="55567AF5" w14:textId="77777777" w:rsidR="00F925DD" w:rsidRDefault="00F925DD">
            <w:pPr>
              <w:rPr>
                <w:rFonts w:ascii="Times New Roman" w:hAnsi="Times New Roman"/>
                <w:sz w:val="20"/>
                <w:szCs w:val="20"/>
              </w:rPr>
            </w:pPr>
          </w:p>
        </w:tc>
      </w:tr>
      <w:tr w:rsidR="00F925DD" w14:paraId="55567AF8" w14:textId="77777777">
        <w:tc>
          <w:tcPr>
            <w:tcW w:w="0" w:type="auto"/>
            <w:gridSpan w:val="12"/>
            <w:shd w:val="clear" w:color="auto" w:fill="auto"/>
            <w:tcMar>
              <w:top w:w="40" w:type="dxa"/>
              <w:left w:w="40" w:type="dxa"/>
              <w:bottom w:w="40" w:type="dxa"/>
              <w:right w:w="40" w:type="dxa"/>
            </w:tcMar>
            <w:vAlign w:val="bottom"/>
          </w:tcPr>
          <w:p w14:paraId="55567AF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6: INVESTMENT SECURITIES NET PREMIUM AMORTIZATION</w:t>
            </w:r>
          </w:p>
        </w:tc>
      </w:tr>
      <w:tr w:rsidR="00F925DD" w14:paraId="55567AFB" w14:textId="77777777">
        <w:tc>
          <w:tcPr>
            <w:tcW w:w="0" w:type="auto"/>
            <w:shd w:val="clear" w:color="auto" w:fill="auto"/>
            <w:tcMar>
              <w:top w:w="40" w:type="dxa"/>
              <w:left w:w="40" w:type="dxa"/>
              <w:bottom w:w="40" w:type="dxa"/>
              <w:right w:w="40" w:type="dxa"/>
            </w:tcMar>
            <w:vAlign w:val="bottom"/>
          </w:tcPr>
          <w:p w14:paraId="55567A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7AF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Years Ended December 31,</w:t>
            </w:r>
          </w:p>
        </w:tc>
      </w:tr>
      <w:tr w:rsidR="00F925DD" w14:paraId="55567B02" w14:textId="77777777">
        <w:tc>
          <w:tcPr>
            <w:tcW w:w="0" w:type="auto"/>
            <w:shd w:val="clear" w:color="auto" w:fill="auto"/>
            <w:tcMar>
              <w:top w:w="40" w:type="dxa"/>
              <w:left w:w="40" w:type="dxa"/>
              <w:bottom w:w="40" w:type="dxa"/>
              <w:right w:w="40" w:type="dxa"/>
            </w:tcMar>
            <w:vAlign w:val="bottom"/>
          </w:tcPr>
          <w:p w14:paraId="55567AF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AF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shd w:val="clear" w:color="auto" w:fill="auto"/>
            <w:tcMar>
              <w:top w:w="40" w:type="dxa"/>
              <w:left w:w="40" w:type="dxa"/>
              <w:bottom w:w="40" w:type="dxa"/>
              <w:right w:w="40" w:type="dxa"/>
            </w:tcMar>
            <w:vAlign w:val="bottom"/>
          </w:tcPr>
          <w:p w14:paraId="55567A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AF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2018</w:t>
            </w:r>
          </w:p>
        </w:tc>
        <w:tc>
          <w:tcPr>
            <w:tcW w:w="0" w:type="auto"/>
            <w:shd w:val="clear" w:color="auto" w:fill="auto"/>
            <w:tcMar>
              <w:top w:w="40" w:type="dxa"/>
              <w:left w:w="40" w:type="dxa"/>
              <w:bottom w:w="40" w:type="dxa"/>
              <w:right w:w="40" w:type="dxa"/>
            </w:tcMar>
            <w:vAlign w:val="bottom"/>
          </w:tcPr>
          <w:p w14:paraId="55567B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7B0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2017</w:t>
            </w:r>
          </w:p>
        </w:tc>
      </w:tr>
      <w:tr w:rsidR="00F925DD" w14:paraId="55567B0F" w14:textId="77777777">
        <w:tc>
          <w:tcPr>
            <w:tcW w:w="0" w:type="auto"/>
            <w:shd w:val="clear" w:color="auto" w:fill="CCEEFF"/>
            <w:tcMar>
              <w:top w:w="40" w:type="dxa"/>
              <w:left w:w="40" w:type="dxa"/>
              <w:bottom w:w="40" w:type="dxa"/>
              <w:right w:w="40" w:type="dxa"/>
            </w:tcMar>
            <w:vAlign w:val="bottom"/>
          </w:tcPr>
          <w:p w14:paraId="55567B03" w14:textId="77777777" w:rsidR="00F925DD" w:rsidRDefault="00E705D7">
            <w:pPr>
              <w:textAlignment w:val="bottom"/>
              <w:rPr>
                <w:rFonts w:ascii="Times New Roman" w:hAnsi="Times New Roman"/>
                <w:sz w:val="15"/>
                <w:szCs w:val="15"/>
              </w:rPr>
            </w:pPr>
            <w:r>
              <w:rPr>
                <w:rFonts w:ascii="Arial" w:eastAsia="宋体" w:hAnsi="Arial" w:cs="Arial"/>
                <w:sz w:val="15"/>
                <w:szCs w:val="15"/>
              </w:rPr>
              <w:t>Unamortized premiums, net of discounts at period end</w:t>
            </w:r>
          </w:p>
        </w:tc>
        <w:tc>
          <w:tcPr>
            <w:tcW w:w="0" w:type="auto"/>
            <w:shd w:val="clear" w:color="auto" w:fill="CCEEFF"/>
            <w:tcMar>
              <w:top w:w="40" w:type="dxa"/>
              <w:left w:w="40" w:type="dxa"/>
              <w:bottom w:w="40" w:type="dxa"/>
            </w:tcMar>
            <w:vAlign w:val="bottom"/>
          </w:tcPr>
          <w:p w14:paraId="55567B0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7B0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1,585</w:t>
            </w:r>
          </w:p>
        </w:tc>
        <w:tc>
          <w:tcPr>
            <w:tcW w:w="0" w:type="auto"/>
            <w:shd w:val="clear" w:color="auto" w:fill="CCEEFF"/>
            <w:vAlign w:val="bottom"/>
          </w:tcPr>
          <w:p w14:paraId="55567B0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B0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7B0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1,575</w:t>
            </w:r>
          </w:p>
        </w:tc>
        <w:tc>
          <w:tcPr>
            <w:tcW w:w="0" w:type="auto"/>
            <w:shd w:val="clear" w:color="auto" w:fill="CCEEFF"/>
            <w:vAlign w:val="bottom"/>
          </w:tcPr>
          <w:p w14:paraId="55567B0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B0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7B0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2,249</w:t>
            </w:r>
          </w:p>
        </w:tc>
        <w:tc>
          <w:tcPr>
            <w:tcW w:w="0" w:type="auto"/>
            <w:shd w:val="clear" w:color="auto" w:fill="CCEEFF"/>
            <w:vAlign w:val="bottom"/>
          </w:tcPr>
          <w:p w14:paraId="55567B0E" w14:textId="77777777" w:rsidR="00F925DD" w:rsidRDefault="00F925DD">
            <w:pPr>
              <w:textAlignment w:val="bottom"/>
              <w:rPr>
                <w:rFonts w:ascii="Times New Roman" w:hAnsi="Times New Roman"/>
                <w:sz w:val="20"/>
                <w:szCs w:val="20"/>
              </w:rPr>
            </w:pPr>
          </w:p>
        </w:tc>
      </w:tr>
      <w:tr w:rsidR="00F925DD" w14:paraId="55567B19" w14:textId="77777777">
        <w:tc>
          <w:tcPr>
            <w:tcW w:w="0" w:type="auto"/>
            <w:shd w:val="clear" w:color="auto" w:fill="auto"/>
            <w:tcMar>
              <w:top w:w="40" w:type="dxa"/>
              <w:left w:w="40" w:type="dxa"/>
              <w:bottom w:w="40" w:type="dxa"/>
              <w:right w:w="40" w:type="dxa"/>
            </w:tcMar>
            <w:vAlign w:val="bottom"/>
          </w:tcPr>
          <w:p w14:paraId="55567B10" w14:textId="77777777" w:rsidR="00F925DD" w:rsidRDefault="00E705D7">
            <w:pPr>
              <w:textAlignment w:val="bottom"/>
              <w:rPr>
                <w:rFonts w:ascii="Times New Roman" w:hAnsi="Times New Roman"/>
                <w:sz w:val="15"/>
                <w:szCs w:val="15"/>
              </w:rPr>
            </w:pPr>
            <w:r>
              <w:rPr>
                <w:rFonts w:ascii="Arial" w:eastAsia="宋体" w:hAnsi="Arial" w:cs="Arial"/>
                <w:sz w:val="15"/>
                <w:szCs w:val="15"/>
              </w:rPr>
              <w:t>Net premium amortization</w:t>
            </w:r>
          </w:p>
        </w:tc>
        <w:tc>
          <w:tcPr>
            <w:tcW w:w="0" w:type="auto"/>
            <w:gridSpan w:val="2"/>
            <w:shd w:val="clear" w:color="auto" w:fill="auto"/>
            <w:tcMar>
              <w:top w:w="40" w:type="dxa"/>
              <w:left w:w="40" w:type="dxa"/>
              <w:bottom w:w="40" w:type="dxa"/>
            </w:tcMar>
            <w:vAlign w:val="bottom"/>
          </w:tcPr>
          <w:p w14:paraId="55567B1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434</w:t>
            </w:r>
          </w:p>
        </w:tc>
        <w:tc>
          <w:tcPr>
            <w:tcW w:w="0" w:type="auto"/>
            <w:shd w:val="clear" w:color="auto" w:fill="auto"/>
            <w:vAlign w:val="bottom"/>
          </w:tcPr>
          <w:p w14:paraId="55567B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1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391</w:t>
            </w:r>
          </w:p>
        </w:tc>
        <w:tc>
          <w:tcPr>
            <w:tcW w:w="0" w:type="auto"/>
            <w:shd w:val="clear" w:color="auto" w:fill="auto"/>
            <w:vAlign w:val="bottom"/>
          </w:tcPr>
          <w:p w14:paraId="55567B1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1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364</w:t>
            </w:r>
          </w:p>
        </w:tc>
        <w:tc>
          <w:tcPr>
            <w:tcW w:w="0" w:type="auto"/>
            <w:shd w:val="clear" w:color="auto" w:fill="auto"/>
            <w:vAlign w:val="bottom"/>
          </w:tcPr>
          <w:p w14:paraId="55567B18" w14:textId="77777777" w:rsidR="00F925DD" w:rsidRDefault="00F925DD">
            <w:pPr>
              <w:textAlignment w:val="bottom"/>
              <w:rPr>
                <w:rFonts w:ascii="Times New Roman" w:hAnsi="Times New Roman"/>
                <w:sz w:val="20"/>
                <w:szCs w:val="20"/>
              </w:rPr>
            </w:pPr>
          </w:p>
        </w:tc>
      </w:tr>
      <w:tr w:rsidR="00F925DD" w14:paraId="55567B23" w14:textId="77777777">
        <w:tc>
          <w:tcPr>
            <w:tcW w:w="0" w:type="auto"/>
            <w:shd w:val="clear" w:color="auto" w:fill="CCEEFF"/>
            <w:tcMar>
              <w:top w:w="40" w:type="dxa"/>
              <w:left w:w="40" w:type="dxa"/>
              <w:bottom w:w="40" w:type="dxa"/>
              <w:right w:w="40" w:type="dxa"/>
            </w:tcMar>
            <w:vAlign w:val="bottom"/>
          </w:tcPr>
          <w:p w14:paraId="55567B1A" w14:textId="77777777" w:rsidR="00F925DD" w:rsidRDefault="00E705D7">
            <w:pPr>
              <w:textAlignment w:val="bottom"/>
              <w:rPr>
                <w:rFonts w:ascii="Times New Roman" w:hAnsi="Times New Roman"/>
                <w:sz w:val="15"/>
                <w:szCs w:val="15"/>
              </w:rPr>
            </w:pPr>
            <w:r>
              <w:rPr>
                <w:rFonts w:ascii="Arial" w:eastAsia="宋体" w:hAnsi="Arial" w:cs="Arial"/>
                <w:sz w:val="15"/>
                <w:szCs w:val="15"/>
              </w:rPr>
              <w:t>Investment securities duration (years)</w:t>
            </w:r>
          </w:p>
        </w:tc>
        <w:tc>
          <w:tcPr>
            <w:tcW w:w="0" w:type="auto"/>
            <w:gridSpan w:val="2"/>
            <w:shd w:val="clear" w:color="auto" w:fill="CCEEFF"/>
            <w:tcMar>
              <w:top w:w="40" w:type="dxa"/>
              <w:left w:w="40" w:type="dxa"/>
              <w:bottom w:w="40" w:type="dxa"/>
            </w:tcMar>
            <w:vAlign w:val="bottom"/>
          </w:tcPr>
          <w:p w14:paraId="55567B1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w:t>
            </w:r>
          </w:p>
        </w:tc>
        <w:tc>
          <w:tcPr>
            <w:tcW w:w="0" w:type="auto"/>
            <w:shd w:val="clear" w:color="auto" w:fill="CCEEFF"/>
            <w:vAlign w:val="bottom"/>
          </w:tcPr>
          <w:p w14:paraId="55567B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1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w:t>
            </w:r>
          </w:p>
        </w:tc>
        <w:tc>
          <w:tcPr>
            <w:tcW w:w="0" w:type="auto"/>
            <w:shd w:val="clear" w:color="auto" w:fill="CCEEFF"/>
            <w:vAlign w:val="bottom"/>
          </w:tcPr>
          <w:p w14:paraId="55567B1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2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2.7</w:t>
            </w:r>
          </w:p>
        </w:tc>
        <w:tc>
          <w:tcPr>
            <w:tcW w:w="0" w:type="auto"/>
            <w:shd w:val="clear" w:color="auto" w:fill="CCEEFF"/>
            <w:vAlign w:val="bottom"/>
          </w:tcPr>
          <w:p w14:paraId="55567B22" w14:textId="77777777" w:rsidR="00F925DD" w:rsidRDefault="00F925DD">
            <w:pPr>
              <w:textAlignment w:val="bottom"/>
              <w:rPr>
                <w:rFonts w:ascii="Times New Roman" w:hAnsi="Times New Roman"/>
                <w:sz w:val="20"/>
                <w:szCs w:val="20"/>
              </w:rPr>
            </w:pPr>
          </w:p>
        </w:tc>
      </w:tr>
    </w:tbl>
    <w:p w14:paraId="55567B24" w14:textId="77777777" w:rsidR="00F925DD" w:rsidRDefault="00F925DD">
      <w:pPr>
        <w:rPr>
          <w:rFonts w:ascii="Times New Roman" w:hAnsi="Times New Roman"/>
          <w:sz w:val="20"/>
          <w:szCs w:val="20"/>
        </w:rPr>
      </w:pPr>
    </w:p>
    <w:p w14:paraId="55567B25"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Street </w:t>
      </w:r>
      <w:r>
        <w:rPr>
          <w:rFonts w:ascii="Arial" w:eastAsia="宋体" w:hAnsi="Arial" w:cs="Arial"/>
          <w:sz w:val="18"/>
          <w:szCs w:val="18"/>
        </w:rPr>
        <w:t>Corporation | 64</w:t>
      </w:r>
    </w:p>
    <w:p w14:paraId="55567B26" w14:textId="77777777" w:rsidR="00F925DD" w:rsidRDefault="00F925DD">
      <w:pPr>
        <w:spacing w:line="288" w:lineRule="auto"/>
        <w:ind w:firstLine="600"/>
        <w:jc w:val="center"/>
        <w:rPr>
          <w:rFonts w:ascii="Times New Roman" w:hAnsi="Times New Roman"/>
          <w:sz w:val="18"/>
          <w:szCs w:val="18"/>
        </w:rPr>
      </w:pPr>
    </w:p>
    <w:p w14:paraId="55567B27" w14:textId="77777777" w:rsidR="00F925DD" w:rsidRDefault="00E705D7">
      <w:r>
        <w:rPr>
          <w:rFonts w:ascii="Times New Roman" w:hAnsi="Times New Roman"/>
          <w:sz w:val="18"/>
          <w:szCs w:val="18"/>
        </w:rPr>
        <w:pict w14:anchorId="5557067A">
          <v:rect id="_x0000_i1088" style="width:415.3pt;height:1.5pt" o:hralign="center" o:hrstd="t" o:hr="t" fillcolor="#a0a0a0" stroked="f"/>
        </w:pict>
      </w:r>
    </w:p>
    <w:p w14:paraId="55567B2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B2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B2A" w14:textId="77777777" w:rsidR="00F925DD" w:rsidRDefault="00F925DD">
      <w:pPr>
        <w:rPr>
          <w:rFonts w:ascii="Times New Roman" w:hAnsi="Times New Roman"/>
          <w:sz w:val="20"/>
          <w:szCs w:val="20"/>
        </w:rPr>
      </w:pPr>
    </w:p>
    <w:p w14:paraId="55567B2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See Table 7: Average Balances and Interest Rates - Fully Taxable-Equivalent Basis, for the breakout of NII on a FTE basis for the years ended </w:t>
      </w:r>
      <w:r>
        <w:rPr>
          <w:rFonts w:ascii="Arial" w:eastAsia="宋体" w:hAnsi="Arial" w:cs="Arial"/>
          <w:sz w:val="20"/>
          <w:szCs w:val="20"/>
        </w:rPr>
        <w:t>December 31, 2019, 2018 and 2017.</w:t>
      </w:r>
    </w:p>
    <w:tbl>
      <w:tblPr>
        <w:tblW w:w="5000" w:type="pct"/>
        <w:tblCellMar>
          <w:left w:w="0" w:type="dxa"/>
          <w:right w:w="0" w:type="dxa"/>
        </w:tblCellMar>
        <w:tblLook w:val="04A0" w:firstRow="1" w:lastRow="0" w:firstColumn="1" w:lastColumn="0" w:noHBand="0" w:noVBand="1"/>
      </w:tblPr>
      <w:tblGrid>
        <w:gridCol w:w="1226"/>
        <w:gridCol w:w="117"/>
        <w:gridCol w:w="438"/>
        <w:gridCol w:w="5"/>
        <w:gridCol w:w="118"/>
        <w:gridCol w:w="142"/>
        <w:gridCol w:w="853"/>
        <w:gridCol w:w="132"/>
        <w:gridCol w:w="118"/>
        <w:gridCol w:w="353"/>
        <w:gridCol w:w="148"/>
        <w:gridCol w:w="118"/>
        <w:gridCol w:w="117"/>
        <w:gridCol w:w="438"/>
        <w:gridCol w:w="5"/>
        <w:gridCol w:w="118"/>
        <w:gridCol w:w="142"/>
        <w:gridCol w:w="853"/>
        <w:gridCol w:w="132"/>
        <w:gridCol w:w="118"/>
        <w:gridCol w:w="353"/>
        <w:gridCol w:w="148"/>
        <w:gridCol w:w="118"/>
        <w:gridCol w:w="117"/>
        <w:gridCol w:w="438"/>
        <w:gridCol w:w="5"/>
        <w:gridCol w:w="118"/>
        <w:gridCol w:w="117"/>
        <w:gridCol w:w="467"/>
        <w:gridCol w:w="81"/>
        <w:gridCol w:w="118"/>
        <w:gridCol w:w="353"/>
        <w:gridCol w:w="182"/>
      </w:tblGrid>
      <w:tr w:rsidR="00F925DD" w14:paraId="55567B2D" w14:textId="77777777">
        <w:tc>
          <w:tcPr>
            <w:tcW w:w="0" w:type="auto"/>
            <w:gridSpan w:val="33"/>
            <w:shd w:val="clear" w:color="auto" w:fill="auto"/>
            <w:vAlign w:val="center"/>
          </w:tcPr>
          <w:p w14:paraId="55567B2C" w14:textId="77777777" w:rsidR="00F925DD" w:rsidRDefault="00F925DD">
            <w:pPr>
              <w:rPr>
                <w:rFonts w:ascii="Times New Roman" w:hAnsi="Times New Roman"/>
                <w:sz w:val="20"/>
                <w:szCs w:val="20"/>
              </w:rPr>
            </w:pPr>
          </w:p>
        </w:tc>
      </w:tr>
      <w:tr w:rsidR="00F925DD" w14:paraId="55567B4F" w14:textId="77777777">
        <w:tc>
          <w:tcPr>
            <w:tcW w:w="850" w:type="pct"/>
            <w:shd w:val="clear" w:color="auto" w:fill="auto"/>
            <w:vAlign w:val="center"/>
          </w:tcPr>
          <w:p w14:paraId="55567B2E" w14:textId="77777777" w:rsidR="00F925DD" w:rsidRDefault="00F925DD">
            <w:pPr>
              <w:rPr>
                <w:rFonts w:ascii="Times New Roman" w:hAnsi="Times New Roman"/>
                <w:sz w:val="20"/>
                <w:szCs w:val="20"/>
              </w:rPr>
            </w:pPr>
          </w:p>
        </w:tc>
        <w:tc>
          <w:tcPr>
            <w:tcW w:w="50" w:type="pct"/>
            <w:shd w:val="clear" w:color="auto" w:fill="auto"/>
            <w:vAlign w:val="center"/>
          </w:tcPr>
          <w:p w14:paraId="55567B2F" w14:textId="77777777" w:rsidR="00F925DD" w:rsidRDefault="00F925DD">
            <w:pPr>
              <w:rPr>
                <w:rFonts w:ascii="Times New Roman" w:hAnsi="Times New Roman"/>
                <w:sz w:val="20"/>
                <w:szCs w:val="20"/>
              </w:rPr>
            </w:pPr>
          </w:p>
        </w:tc>
        <w:tc>
          <w:tcPr>
            <w:tcW w:w="300" w:type="pct"/>
            <w:shd w:val="clear" w:color="auto" w:fill="auto"/>
            <w:vAlign w:val="center"/>
          </w:tcPr>
          <w:p w14:paraId="55567B30" w14:textId="77777777" w:rsidR="00F925DD" w:rsidRDefault="00F925DD">
            <w:pPr>
              <w:rPr>
                <w:rFonts w:ascii="Times New Roman" w:hAnsi="Times New Roman"/>
                <w:sz w:val="20"/>
                <w:szCs w:val="20"/>
              </w:rPr>
            </w:pPr>
          </w:p>
        </w:tc>
        <w:tc>
          <w:tcPr>
            <w:tcW w:w="50" w:type="pct"/>
            <w:shd w:val="clear" w:color="auto" w:fill="auto"/>
            <w:vAlign w:val="center"/>
          </w:tcPr>
          <w:p w14:paraId="55567B31" w14:textId="77777777" w:rsidR="00F925DD" w:rsidRDefault="00F925DD">
            <w:pPr>
              <w:rPr>
                <w:rFonts w:ascii="Times New Roman" w:hAnsi="Times New Roman"/>
                <w:sz w:val="20"/>
                <w:szCs w:val="20"/>
              </w:rPr>
            </w:pPr>
          </w:p>
        </w:tc>
        <w:tc>
          <w:tcPr>
            <w:tcW w:w="50" w:type="pct"/>
            <w:shd w:val="clear" w:color="auto" w:fill="auto"/>
            <w:vAlign w:val="center"/>
          </w:tcPr>
          <w:p w14:paraId="55567B32" w14:textId="77777777" w:rsidR="00F925DD" w:rsidRDefault="00F925DD">
            <w:pPr>
              <w:rPr>
                <w:rFonts w:ascii="Times New Roman" w:hAnsi="Times New Roman"/>
                <w:sz w:val="20"/>
                <w:szCs w:val="20"/>
              </w:rPr>
            </w:pPr>
          </w:p>
        </w:tc>
        <w:tc>
          <w:tcPr>
            <w:tcW w:w="50" w:type="pct"/>
            <w:shd w:val="clear" w:color="auto" w:fill="auto"/>
            <w:vAlign w:val="center"/>
          </w:tcPr>
          <w:p w14:paraId="55567B33" w14:textId="77777777" w:rsidR="00F925DD" w:rsidRDefault="00F925DD">
            <w:pPr>
              <w:rPr>
                <w:rFonts w:ascii="Times New Roman" w:hAnsi="Times New Roman"/>
                <w:sz w:val="20"/>
                <w:szCs w:val="20"/>
              </w:rPr>
            </w:pPr>
          </w:p>
        </w:tc>
        <w:tc>
          <w:tcPr>
            <w:tcW w:w="350" w:type="pct"/>
            <w:shd w:val="clear" w:color="auto" w:fill="auto"/>
            <w:vAlign w:val="center"/>
          </w:tcPr>
          <w:p w14:paraId="55567B34" w14:textId="77777777" w:rsidR="00F925DD" w:rsidRDefault="00F925DD">
            <w:pPr>
              <w:rPr>
                <w:rFonts w:ascii="Times New Roman" w:hAnsi="Times New Roman"/>
                <w:sz w:val="20"/>
                <w:szCs w:val="20"/>
              </w:rPr>
            </w:pPr>
          </w:p>
        </w:tc>
        <w:tc>
          <w:tcPr>
            <w:tcW w:w="50" w:type="pct"/>
            <w:shd w:val="clear" w:color="auto" w:fill="auto"/>
            <w:vAlign w:val="center"/>
          </w:tcPr>
          <w:p w14:paraId="55567B35" w14:textId="77777777" w:rsidR="00F925DD" w:rsidRDefault="00F925DD">
            <w:pPr>
              <w:rPr>
                <w:rFonts w:ascii="Times New Roman" w:hAnsi="Times New Roman"/>
                <w:sz w:val="20"/>
                <w:szCs w:val="20"/>
              </w:rPr>
            </w:pPr>
          </w:p>
        </w:tc>
        <w:tc>
          <w:tcPr>
            <w:tcW w:w="50" w:type="pct"/>
            <w:shd w:val="clear" w:color="auto" w:fill="auto"/>
            <w:vAlign w:val="center"/>
          </w:tcPr>
          <w:p w14:paraId="55567B36" w14:textId="77777777" w:rsidR="00F925DD" w:rsidRDefault="00F925DD">
            <w:pPr>
              <w:rPr>
                <w:rFonts w:ascii="Times New Roman" w:hAnsi="Times New Roman"/>
                <w:sz w:val="20"/>
                <w:szCs w:val="20"/>
              </w:rPr>
            </w:pPr>
          </w:p>
        </w:tc>
        <w:tc>
          <w:tcPr>
            <w:tcW w:w="350" w:type="pct"/>
            <w:shd w:val="clear" w:color="auto" w:fill="auto"/>
            <w:vAlign w:val="center"/>
          </w:tcPr>
          <w:p w14:paraId="55567B37" w14:textId="77777777" w:rsidR="00F925DD" w:rsidRDefault="00F925DD">
            <w:pPr>
              <w:rPr>
                <w:rFonts w:ascii="Times New Roman" w:hAnsi="Times New Roman"/>
                <w:sz w:val="20"/>
                <w:szCs w:val="20"/>
              </w:rPr>
            </w:pPr>
          </w:p>
        </w:tc>
        <w:tc>
          <w:tcPr>
            <w:tcW w:w="50" w:type="pct"/>
            <w:shd w:val="clear" w:color="auto" w:fill="auto"/>
            <w:vAlign w:val="center"/>
          </w:tcPr>
          <w:p w14:paraId="55567B38" w14:textId="77777777" w:rsidR="00F925DD" w:rsidRDefault="00F925DD">
            <w:pPr>
              <w:rPr>
                <w:rFonts w:ascii="Times New Roman" w:hAnsi="Times New Roman"/>
                <w:sz w:val="20"/>
                <w:szCs w:val="20"/>
              </w:rPr>
            </w:pPr>
          </w:p>
        </w:tc>
        <w:tc>
          <w:tcPr>
            <w:tcW w:w="50" w:type="pct"/>
            <w:shd w:val="clear" w:color="auto" w:fill="auto"/>
            <w:vAlign w:val="center"/>
          </w:tcPr>
          <w:p w14:paraId="55567B39" w14:textId="77777777" w:rsidR="00F925DD" w:rsidRDefault="00F925DD">
            <w:pPr>
              <w:rPr>
                <w:rFonts w:ascii="Times New Roman" w:hAnsi="Times New Roman"/>
                <w:sz w:val="20"/>
                <w:szCs w:val="20"/>
              </w:rPr>
            </w:pPr>
          </w:p>
        </w:tc>
        <w:tc>
          <w:tcPr>
            <w:tcW w:w="50" w:type="pct"/>
            <w:shd w:val="clear" w:color="auto" w:fill="auto"/>
            <w:vAlign w:val="center"/>
          </w:tcPr>
          <w:p w14:paraId="55567B3A" w14:textId="77777777" w:rsidR="00F925DD" w:rsidRDefault="00F925DD">
            <w:pPr>
              <w:rPr>
                <w:rFonts w:ascii="Times New Roman" w:hAnsi="Times New Roman"/>
                <w:sz w:val="20"/>
                <w:szCs w:val="20"/>
              </w:rPr>
            </w:pPr>
          </w:p>
        </w:tc>
        <w:tc>
          <w:tcPr>
            <w:tcW w:w="300" w:type="pct"/>
            <w:shd w:val="clear" w:color="auto" w:fill="auto"/>
            <w:vAlign w:val="center"/>
          </w:tcPr>
          <w:p w14:paraId="55567B3B" w14:textId="77777777" w:rsidR="00F925DD" w:rsidRDefault="00F925DD">
            <w:pPr>
              <w:rPr>
                <w:rFonts w:ascii="Times New Roman" w:hAnsi="Times New Roman"/>
                <w:sz w:val="20"/>
                <w:szCs w:val="20"/>
              </w:rPr>
            </w:pPr>
          </w:p>
        </w:tc>
        <w:tc>
          <w:tcPr>
            <w:tcW w:w="50" w:type="pct"/>
            <w:shd w:val="clear" w:color="auto" w:fill="auto"/>
            <w:vAlign w:val="center"/>
          </w:tcPr>
          <w:p w14:paraId="55567B3C" w14:textId="77777777" w:rsidR="00F925DD" w:rsidRDefault="00F925DD">
            <w:pPr>
              <w:rPr>
                <w:rFonts w:ascii="Times New Roman" w:hAnsi="Times New Roman"/>
                <w:sz w:val="20"/>
                <w:szCs w:val="20"/>
              </w:rPr>
            </w:pPr>
          </w:p>
        </w:tc>
        <w:tc>
          <w:tcPr>
            <w:tcW w:w="50" w:type="pct"/>
            <w:shd w:val="clear" w:color="auto" w:fill="auto"/>
            <w:vAlign w:val="center"/>
          </w:tcPr>
          <w:p w14:paraId="55567B3D" w14:textId="77777777" w:rsidR="00F925DD" w:rsidRDefault="00F925DD">
            <w:pPr>
              <w:rPr>
                <w:rFonts w:ascii="Times New Roman" w:hAnsi="Times New Roman"/>
                <w:sz w:val="20"/>
                <w:szCs w:val="20"/>
              </w:rPr>
            </w:pPr>
          </w:p>
        </w:tc>
        <w:tc>
          <w:tcPr>
            <w:tcW w:w="50" w:type="pct"/>
            <w:shd w:val="clear" w:color="auto" w:fill="auto"/>
            <w:vAlign w:val="center"/>
          </w:tcPr>
          <w:p w14:paraId="55567B3E" w14:textId="77777777" w:rsidR="00F925DD" w:rsidRDefault="00F925DD">
            <w:pPr>
              <w:rPr>
                <w:rFonts w:ascii="Times New Roman" w:hAnsi="Times New Roman"/>
                <w:sz w:val="20"/>
                <w:szCs w:val="20"/>
              </w:rPr>
            </w:pPr>
          </w:p>
        </w:tc>
        <w:tc>
          <w:tcPr>
            <w:tcW w:w="350" w:type="pct"/>
            <w:shd w:val="clear" w:color="auto" w:fill="auto"/>
            <w:vAlign w:val="center"/>
          </w:tcPr>
          <w:p w14:paraId="55567B3F" w14:textId="77777777" w:rsidR="00F925DD" w:rsidRDefault="00F925DD">
            <w:pPr>
              <w:rPr>
                <w:rFonts w:ascii="Times New Roman" w:hAnsi="Times New Roman"/>
                <w:sz w:val="20"/>
                <w:szCs w:val="20"/>
              </w:rPr>
            </w:pPr>
          </w:p>
        </w:tc>
        <w:tc>
          <w:tcPr>
            <w:tcW w:w="50" w:type="pct"/>
            <w:shd w:val="clear" w:color="auto" w:fill="auto"/>
            <w:vAlign w:val="center"/>
          </w:tcPr>
          <w:p w14:paraId="55567B40" w14:textId="77777777" w:rsidR="00F925DD" w:rsidRDefault="00F925DD">
            <w:pPr>
              <w:rPr>
                <w:rFonts w:ascii="Times New Roman" w:hAnsi="Times New Roman"/>
                <w:sz w:val="20"/>
                <w:szCs w:val="20"/>
              </w:rPr>
            </w:pPr>
          </w:p>
        </w:tc>
        <w:tc>
          <w:tcPr>
            <w:tcW w:w="50" w:type="pct"/>
            <w:shd w:val="clear" w:color="auto" w:fill="auto"/>
            <w:vAlign w:val="center"/>
          </w:tcPr>
          <w:p w14:paraId="55567B41" w14:textId="77777777" w:rsidR="00F925DD" w:rsidRDefault="00F925DD">
            <w:pPr>
              <w:rPr>
                <w:rFonts w:ascii="Times New Roman" w:hAnsi="Times New Roman"/>
                <w:sz w:val="20"/>
                <w:szCs w:val="20"/>
              </w:rPr>
            </w:pPr>
          </w:p>
        </w:tc>
        <w:tc>
          <w:tcPr>
            <w:tcW w:w="350" w:type="pct"/>
            <w:shd w:val="clear" w:color="auto" w:fill="auto"/>
            <w:vAlign w:val="center"/>
          </w:tcPr>
          <w:p w14:paraId="55567B42" w14:textId="77777777" w:rsidR="00F925DD" w:rsidRDefault="00F925DD">
            <w:pPr>
              <w:rPr>
                <w:rFonts w:ascii="Times New Roman" w:hAnsi="Times New Roman"/>
                <w:sz w:val="20"/>
                <w:szCs w:val="20"/>
              </w:rPr>
            </w:pPr>
          </w:p>
        </w:tc>
        <w:tc>
          <w:tcPr>
            <w:tcW w:w="50" w:type="pct"/>
            <w:shd w:val="clear" w:color="auto" w:fill="auto"/>
            <w:vAlign w:val="center"/>
          </w:tcPr>
          <w:p w14:paraId="55567B43" w14:textId="77777777" w:rsidR="00F925DD" w:rsidRDefault="00F925DD">
            <w:pPr>
              <w:rPr>
                <w:rFonts w:ascii="Times New Roman" w:hAnsi="Times New Roman"/>
                <w:sz w:val="20"/>
                <w:szCs w:val="20"/>
              </w:rPr>
            </w:pPr>
          </w:p>
        </w:tc>
        <w:tc>
          <w:tcPr>
            <w:tcW w:w="50" w:type="pct"/>
            <w:shd w:val="clear" w:color="auto" w:fill="auto"/>
            <w:vAlign w:val="center"/>
          </w:tcPr>
          <w:p w14:paraId="55567B44" w14:textId="77777777" w:rsidR="00F925DD" w:rsidRDefault="00F925DD">
            <w:pPr>
              <w:rPr>
                <w:rFonts w:ascii="Times New Roman" w:hAnsi="Times New Roman"/>
                <w:sz w:val="20"/>
                <w:szCs w:val="20"/>
              </w:rPr>
            </w:pPr>
          </w:p>
        </w:tc>
        <w:tc>
          <w:tcPr>
            <w:tcW w:w="50" w:type="pct"/>
            <w:shd w:val="clear" w:color="auto" w:fill="auto"/>
            <w:vAlign w:val="center"/>
          </w:tcPr>
          <w:p w14:paraId="55567B45" w14:textId="77777777" w:rsidR="00F925DD" w:rsidRDefault="00F925DD">
            <w:pPr>
              <w:rPr>
                <w:rFonts w:ascii="Times New Roman" w:hAnsi="Times New Roman"/>
                <w:sz w:val="20"/>
                <w:szCs w:val="20"/>
              </w:rPr>
            </w:pPr>
          </w:p>
        </w:tc>
        <w:tc>
          <w:tcPr>
            <w:tcW w:w="300" w:type="pct"/>
            <w:shd w:val="clear" w:color="auto" w:fill="auto"/>
            <w:vAlign w:val="center"/>
          </w:tcPr>
          <w:p w14:paraId="55567B46" w14:textId="77777777" w:rsidR="00F925DD" w:rsidRDefault="00F925DD">
            <w:pPr>
              <w:rPr>
                <w:rFonts w:ascii="Times New Roman" w:hAnsi="Times New Roman"/>
                <w:sz w:val="20"/>
                <w:szCs w:val="20"/>
              </w:rPr>
            </w:pPr>
          </w:p>
        </w:tc>
        <w:tc>
          <w:tcPr>
            <w:tcW w:w="50" w:type="pct"/>
            <w:shd w:val="clear" w:color="auto" w:fill="auto"/>
            <w:vAlign w:val="center"/>
          </w:tcPr>
          <w:p w14:paraId="55567B47" w14:textId="77777777" w:rsidR="00F925DD" w:rsidRDefault="00F925DD">
            <w:pPr>
              <w:rPr>
                <w:rFonts w:ascii="Times New Roman" w:hAnsi="Times New Roman"/>
                <w:sz w:val="20"/>
                <w:szCs w:val="20"/>
              </w:rPr>
            </w:pPr>
          </w:p>
        </w:tc>
        <w:tc>
          <w:tcPr>
            <w:tcW w:w="50" w:type="pct"/>
            <w:shd w:val="clear" w:color="auto" w:fill="auto"/>
            <w:vAlign w:val="center"/>
          </w:tcPr>
          <w:p w14:paraId="55567B48" w14:textId="77777777" w:rsidR="00F925DD" w:rsidRDefault="00F925DD">
            <w:pPr>
              <w:rPr>
                <w:rFonts w:ascii="Times New Roman" w:hAnsi="Times New Roman"/>
                <w:sz w:val="20"/>
                <w:szCs w:val="20"/>
              </w:rPr>
            </w:pPr>
          </w:p>
        </w:tc>
        <w:tc>
          <w:tcPr>
            <w:tcW w:w="50" w:type="pct"/>
            <w:shd w:val="clear" w:color="auto" w:fill="auto"/>
            <w:vAlign w:val="center"/>
          </w:tcPr>
          <w:p w14:paraId="55567B49" w14:textId="77777777" w:rsidR="00F925DD" w:rsidRDefault="00F925DD">
            <w:pPr>
              <w:rPr>
                <w:rFonts w:ascii="Times New Roman" w:hAnsi="Times New Roman"/>
                <w:sz w:val="20"/>
                <w:szCs w:val="20"/>
              </w:rPr>
            </w:pPr>
          </w:p>
        </w:tc>
        <w:tc>
          <w:tcPr>
            <w:tcW w:w="350" w:type="pct"/>
            <w:shd w:val="clear" w:color="auto" w:fill="auto"/>
            <w:vAlign w:val="center"/>
          </w:tcPr>
          <w:p w14:paraId="55567B4A" w14:textId="77777777" w:rsidR="00F925DD" w:rsidRDefault="00F925DD">
            <w:pPr>
              <w:rPr>
                <w:rFonts w:ascii="Times New Roman" w:hAnsi="Times New Roman"/>
                <w:sz w:val="20"/>
                <w:szCs w:val="20"/>
              </w:rPr>
            </w:pPr>
          </w:p>
        </w:tc>
        <w:tc>
          <w:tcPr>
            <w:tcW w:w="50" w:type="pct"/>
            <w:shd w:val="clear" w:color="auto" w:fill="auto"/>
            <w:vAlign w:val="center"/>
          </w:tcPr>
          <w:p w14:paraId="55567B4B" w14:textId="77777777" w:rsidR="00F925DD" w:rsidRDefault="00F925DD">
            <w:pPr>
              <w:rPr>
                <w:rFonts w:ascii="Times New Roman" w:hAnsi="Times New Roman"/>
                <w:sz w:val="20"/>
                <w:szCs w:val="20"/>
              </w:rPr>
            </w:pPr>
          </w:p>
        </w:tc>
        <w:tc>
          <w:tcPr>
            <w:tcW w:w="50" w:type="pct"/>
            <w:shd w:val="clear" w:color="auto" w:fill="auto"/>
            <w:vAlign w:val="center"/>
          </w:tcPr>
          <w:p w14:paraId="55567B4C" w14:textId="77777777" w:rsidR="00F925DD" w:rsidRDefault="00F925DD">
            <w:pPr>
              <w:rPr>
                <w:rFonts w:ascii="Times New Roman" w:hAnsi="Times New Roman"/>
                <w:sz w:val="20"/>
                <w:szCs w:val="20"/>
              </w:rPr>
            </w:pPr>
          </w:p>
        </w:tc>
        <w:tc>
          <w:tcPr>
            <w:tcW w:w="350" w:type="pct"/>
            <w:shd w:val="clear" w:color="auto" w:fill="auto"/>
            <w:vAlign w:val="center"/>
          </w:tcPr>
          <w:p w14:paraId="55567B4D" w14:textId="77777777" w:rsidR="00F925DD" w:rsidRDefault="00F925DD">
            <w:pPr>
              <w:rPr>
                <w:rFonts w:ascii="Times New Roman" w:hAnsi="Times New Roman"/>
                <w:sz w:val="20"/>
                <w:szCs w:val="20"/>
              </w:rPr>
            </w:pPr>
          </w:p>
        </w:tc>
        <w:tc>
          <w:tcPr>
            <w:tcW w:w="50" w:type="pct"/>
            <w:shd w:val="clear" w:color="auto" w:fill="auto"/>
            <w:vAlign w:val="center"/>
          </w:tcPr>
          <w:p w14:paraId="55567B4E" w14:textId="77777777" w:rsidR="00F925DD" w:rsidRDefault="00F925DD">
            <w:pPr>
              <w:rPr>
                <w:rFonts w:ascii="Times New Roman" w:hAnsi="Times New Roman"/>
                <w:sz w:val="20"/>
                <w:szCs w:val="20"/>
              </w:rPr>
            </w:pPr>
          </w:p>
        </w:tc>
      </w:tr>
      <w:tr w:rsidR="00F925DD" w14:paraId="55567B51" w14:textId="77777777">
        <w:tc>
          <w:tcPr>
            <w:tcW w:w="0" w:type="auto"/>
            <w:gridSpan w:val="33"/>
            <w:shd w:val="clear" w:color="auto" w:fill="auto"/>
            <w:tcMar>
              <w:top w:w="40" w:type="dxa"/>
              <w:left w:w="40" w:type="dxa"/>
              <w:bottom w:w="40" w:type="dxa"/>
              <w:right w:w="40" w:type="dxa"/>
            </w:tcMar>
            <w:vAlign w:val="bottom"/>
          </w:tcPr>
          <w:p w14:paraId="55567B5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7: AVERAGE BALANCES AND INTEREST RATES - FULLY TAXABLE-EQUIVALENT BASIS</w:t>
            </w:r>
            <w:r>
              <w:rPr>
                <w:rFonts w:ascii="Arial" w:eastAsia="宋体" w:hAnsi="Arial" w:cs="Arial"/>
                <w:b/>
                <w:bCs/>
                <w:sz w:val="10"/>
                <w:szCs w:val="10"/>
              </w:rPr>
              <w:t>(1)</w:t>
            </w:r>
          </w:p>
        </w:tc>
      </w:tr>
      <w:tr w:rsidR="00F925DD" w14:paraId="55567B54" w14:textId="77777777">
        <w:tc>
          <w:tcPr>
            <w:tcW w:w="0" w:type="auto"/>
            <w:shd w:val="clear" w:color="auto" w:fill="auto"/>
            <w:tcMar>
              <w:top w:w="40" w:type="dxa"/>
              <w:left w:w="40" w:type="dxa"/>
              <w:bottom w:w="40" w:type="dxa"/>
              <w:right w:w="40" w:type="dxa"/>
            </w:tcMar>
            <w:vAlign w:val="bottom"/>
          </w:tcPr>
          <w:p w14:paraId="55567B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2"/>
            <w:tcBorders>
              <w:bottom w:val="single" w:sz="8" w:space="0" w:color="000000"/>
            </w:tcBorders>
            <w:shd w:val="clear" w:color="auto" w:fill="auto"/>
            <w:tcMar>
              <w:top w:w="40" w:type="dxa"/>
              <w:left w:w="40" w:type="dxa"/>
              <w:bottom w:w="40" w:type="dxa"/>
            </w:tcMar>
            <w:vAlign w:val="bottom"/>
          </w:tcPr>
          <w:p w14:paraId="55567B53"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Years Ended December 31,</w:t>
            </w:r>
          </w:p>
        </w:tc>
      </w:tr>
      <w:tr w:rsidR="00F925DD" w14:paraId="55567B5B" w14:textId="77777777">
        <w:tc>
          <w:tcPr>
            <w:tcW w:w="0" w:type="auto"/>
            <w:shd w:val="clear" w:color="auto" w:fill="auto"/>
            <w:tcMar>
              <w:top w:w="40" w:type="dxa"/>
              <w:left w:w="40" w:type="dxa"/>
              <w:bottom w:w="40" w:type="dxa"/>
              <w:right w:w="40" w:type="dxa"/>
            </w:tcMar>
            <w:vAlign w:val="bottom"/>
          </w:tcPr>
          <w:p w14:paraId="55567B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bottom w:val="single" w:sz="8" w:space="0" w:color="000000"/>
            </w:tcBorders>
            <w:shd w:val="clear" w:color="auto" w:fill="auto"/>
            <w:tcMar>
              <w:top w:w="40" w:type="dxa"/>
              <w:left w:w="40" w:type="dxa"/>
              <w:bottom w:w="40" w:type="dxa"/>
            </w:tcMar>
            <w:vAlign w:val="bottom"/>
          </w:tcPr>
          <w:p w14:paraId="55567B5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7B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55567B5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55567B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55567B5A"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r>
      <w:tr w:rsidR="00F925DD" w14:paraId="55567B72" w14:textId="77777777">
        <w:tc>
          <w:tcPr>
            <w:tcW w:w="0" w:type="auto"/>
            <w:shd w:val="clear" w:color="auto" w:fill="auto"/>
            <w:tcMar>
              <w:top w:w="40" w:type="dxa"/>
              <w:left w:w="40" w:type="dxa"/>
              <w:bottom w:w="40" w:type="dxa"/>
              <w:right w:w="40" w:type="dxa"/>
            </w:tcMar>
            <w:vAlign w:val="bottom"/>
          </w:tcPr>
          <w:p w14:paraId="55567B5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(Dollars in millions; fully taxable-equivalent basis)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B5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Average</w:t>
            </w:r>
          </w:p>
          <w:p w14:paraId="55567B5E"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Balance</w:t>
            </w:r>
          </w:p>
        </w:tc>
        <w:tc>
          <w:tcPr>
            <w:tcW w:w="0" w:type="auto"/>
            <w:shd w:val="clear" w:color="auto" w:fill="auto"/>
            <w:tcMar>
              <w:top w:w="40" w:type="dxa"/>
              <w:left w:w="40" w:type="dxa"/>
              <w:bottom w:w="40" w:type="dxa"/>
              <w:right w:w="40" w:type="dxa"/>
            </w:tcMar>
            <w:vAlign w:val="bottom"/>
          </w:tcPr>
          <w:p w14:paraId="55567B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B60"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Interest</w:t>
            </w:r>
          </w:p>
          <w:p w14:paraId="55567B6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Revenue/Expense</w:t>
            </w:r>
          </w:p>
        </w:tc>
        <w:tc>
          <w:tcPr>
            <w:tcW w:w="0" w:type="auto"/>
            <w:shd w:val="clear" w:color="auto" w:fill="auto"/>
            <w:tcMar>
              <w:top w:w="40" w:type="dxa"/>
              <w:left w:w="40" w:type="dxa"/>
              <w:bottom w:w="40" w:type="dxa"/>
              <w:right w:w="40" w:type="dxa"/>
            </w:tcMar>
            <w:vAlign w:val="bottom"/>
          </w:tcPr>
          <w:p w14:paraId="55567B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7B63"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Rate</w:t>
            </w:r>
          </w:p>
        </w:tc>
        <w:tc>
          <w:tcPr>
            <w:tcW w:w="0" w:type="auto"/>
            <w:shd w:val="clear" w:color="auto" w:fill="auto"/>
            <w:tcMar>
              <w:top w:w="40" w:type="dxa"/>
              <w:left w:w="40" w:type="dxa"/>
              <w:bottom w:w="40" w:type="dxa"/>
              <w:right w:w="40" w:type="dxa"/>
            </w:tcMar>
            <w:vAlign w:val="bottom"/>
          </w:tcPr>
          <w:p w14:paraId="55567B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B65"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Average</w:t>
            </w:r>
          </w:p>
          <w:p w14:paraId="55567B6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Balance</w:t>
            </w:r>
          </w:p>
        </w:tc>
        <w:tc>
          <w:tcPr>
            <w:tcW w:w="0" w:type="auto"/>
            <w:shd w:val="clear" w:color="auto" w:fill="auto"/>
            <w:tcMar>
              <w:top w:w="40" w:type="dxa"/>
              <w:left w:w="40" w:type="dxa"/>
              <w:bottom w:w="40" w:type="dxa"/>
              <w:right w:w="40" w:type="dxa"/>
            </w:tcMar>
            <w:vAlign w:val="bottom"/>
          </w:tcPr>
          <w:p w14:paraId="55567B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B6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Interest</w:t>
            </w:r>
          </w:p>
          <w:p w14:paraId="55567B69"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Revenue/Expense</w:t>
            </w:r>
          </w:p>
        </w:tc>
        <w:tc>
          <w:tcPr>
            <w:tcW w:w="0" w:type="auto"/>
            <w:shd w:val="clear" w:color="auto" w:fill="auto"/>
            <w:tcMar>
              <w:top w:w="40" w:type="dxa"/>
              <w:left w:w="40" w:type="dxa"/>
              <w:bottom w:w="40" w:type="dxa"/>
              <w:right w:w="40" w:type="dxa"/>
            </w:tcMar>
            <w:vAlign w:val="bottom"/>
          </w:tcPr>
          <w:p w14:paraId="55567B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7B6B"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Rate</w:t>
            </w:r>
          </w:p>
        </w:tc>
        <w:tc>
          <w:tcPr>
            <w:tcW w:w="0" w:type="auto"/>
            <w:shd w:val="clear" w:color="auto" w:fill="auto"/>
            <w:tcMar>
              <w:top w:w="40" w:type="dxa"/>
              <w:left w:w="40" w:type="dxa"/>
              <w:bottom w:w="40" w:type="dxa"/>
              <w:right w:w="40" w:type="dxa"/>
            </w:tcMar>
            <w:vAlign w:val="bottom"/>
          </w:tcPr>
          <w:p w14:paraId="55567B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B6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Average</w:t>
            </w:r>
            <w:r>
              <w:rPr>
                <w:rFonts w:ascii="Arial" w:eastAsia="宋体" w:hAnsi="Arial" w:cs="Arial"/>
                <w:b/>
                <w:bCs/>
                <w:sz w:val="16"/>
                <w:szCs w:val="16"/>
              </w:rPr>
              <w:br/>
              <w:t>Balance</w:t>
            </w:r>
          </w:p>
        </w:tc>
        <w:tc>
          <w:tcPr>
            <w:tcW w:w="0" w:type="auto"/>
            <w:shd w:val="clear" w:color="auto" w:fill="auto"/>
            <w:tcMar>
              <w:top w:w="40" w:type="dxa"/>
              <w:left w:w="40" w:type="dxa"/>
              <w:bottom w:w="40" w:type="dxa"/>
              <w:right w:w="40" w:type="dxa"/>
            </w:tcMar>
            <w:vAlign w:val="bottom"/>
          </w:tcPr>
          <w:p w14:paraId="55567B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B6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Interest</w:t>
            </w:r>
            <w:r>
              <w:rPr>
                <w:rFonts w:ascii="Arial" w:eastAsia="宋体" w:hAnsi="Arial" w:cs="Arial"/>
                <w:b/>
                <w:bCs/>
                <w:sz w:val="16"/>
                <w:szCs w:val="16"/>
              </w:rPr>
              <w:br/>
              <w:t>Revenue/</w:t>
            </w:r>
            <w:r>
              <w:rPr>
                <w:rFonts w:ascii="Arial" w:eastAsia="宋体" w:hAnsi="Arial" w:cs="Arial"/>
                <w:b/>
                <w:bCs/>
                <w:sz w:val="16"/>
                <w:szCs w:val="16"/>
              </w:rPr>
              <w:br/>
              <w:t>Expense</w:t>
            </w:r>
          </w:p>
        </w:tc>
        <w:tc>
          <w:tcPr>
            <w:tcW w:w="0" w:type="auto"/>
            <w:shd w:val="clear" w:color="auto" w:fill="auto"/>
            <w:tcMar>
              <w:top w:w="40" w:type="dxa"/>
              <w:left w:w="40" w:type="dxa"/>
              <w:bottom w:w="40" w:type="dxa"/>
              <w:right w:w="40" w:type="dxa"/>
            </w:tcMar>
            <w:vAlign w:val="bottom"/>
          </w:tcPr>
          <w:p w14:paraId="55567B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7B7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Rate</w:t>
            </w:r>
          </w:p>
        </w:tc>
      </w:tr>
      <w:tr w:rsidR="00E705D7" w14:paraId="55567B94" w14:textId="77777777">
        <w:tc>
          <w:tcPr>
            <w:tcW w:w="0" w:type="auto"/>
            <w:shd w:val="clear" w:color="auto" w:fill="CCEEFF"/>
            <w:tcMar>
              <w:top w:w="40" w:type="dxa"/>
              <w:left w:w="40" w:type="dxa"/>
              <w:bottom w:w="40" w:type="dxa"/>
              <w:right w:w="40" w:type="dxa"/>
            </w:tcMar>
            <w:vAlign w:val="bottom"/>
          </w:tcPr>
          <w:p w14:paraId="55567B73" w14:textId="77777777" w:rsidR="00F925DD" w:rsidRDefault="00E705D7">
            <w:pPr>
              <w:textAlignment w:val="bottom"/>
              <w:rPr>
                <w:rFonts w:ascii="Times New Roman" w:hAnsi="Times New Roman"/>
                <w:sz w:val="16"/>
                <w:szCs w:val="16"/>
              </w:rPr>
            </w:pPr>
            <w:r>
              <w:rPr>
                <w:rFonts w:ascii="Arial" w:eastAsia="宋体" w:hAnsi="Arial" w:cs="Arial"/>
                <w:sz w:val="16"/>
                <w:szCs w:val="16"/>
              </w:rPr>
              <w:t>Interest-bearing deposits with banks</w:t>
            </w:r>
          </w:p>
        </w:tc>
        <w:tc>
          <w:tcPr>
            <w:tcW w:w="0" w:type="auto"/>
            <w:tcBorders>
              <w:top w:val="single" w:sz="8" w:space="0" w:color="000000"/>
            </w:tcBorders>
            <w:shd w:val="clear" w:color="auto" w:fill="CCEEFF"/>
            <w:tcMar>
              <w:top w:w="40" w:type="dxa"/>
              <w:left w:w="40" w:type="dxa"/>
              <w:bottom w:w="40" w:type="dxa"/>
            </w:tcMar>
            <w:vAlign w:val="bottom"/>
          </w:tcPr>
          <w:p w14:paraId="55567B74"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7B7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48,500</w:t>
            </w:r>
          </w:p>
        </w:tc>
        <w:tc>
          <w:tcPr>
            <w:tcW w:w="0" w:type="auto"/>
            <w:tcBorders>
              <w:top w:val="single" w:sz="8" w:space="0" w:color="000000"/>
            </w:tcBorders>
            <w:shd w:val="clear" w:color="auto" w:fill="CCEEFF"/>
            <w:vAlign w:val="bottom"/>
          </w:tcPr>
          <w:p w14:paraId="55567B7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B78"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7B7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416</w:t>
            </w:r>
          </w:p>
        </w:tc>
        <w:tc>
          <w:tcPr>
            <w:tcW w:w="0" w:type="auto"/>
            <w:tcBorders>
              <w:top w:val="single" w:sz="8" w:space="0" w:color="000000"/>
            </w:tcBorders>
            <w:shd w:val="clear" w:color="auto" w:fill="CCEEFF"/>
            <w:vAlign w:val="bottom"/>
          </w:tcPr>
          <w:p w14:paraId="55567B7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B7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.86</w:t>
            </w:r>
          </w:p>
        </w:tc>
        <w:tc>
          <w:tcPr>
            <w:tcW w:w="0" w:type="auto"/>
            <w:tcBorders>
              <w:top w:val="single" w:sz="8" w:space="0" w:color="000000"/>
            </w:tcBorders>
            <w:shd w:val="clear" w:color="auto" w:fill="CCEEFF"/>
            <w:tcMar>
              <w:top w:w="40" w:type="dxa"/>
              <w:bottom w:w="40" w:type="dxa"/>
              <w:right w:w="40" w:type="dxa"/>
            </w:tcMar>
            <w:vAlign w:val="bottom"/>
          </w:tcPr>
          <w:p w14:paraId="55567B7D"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7B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B7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7B8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54,328</w:t>
            </w:r>
          </w:p>
        </w:tc>
        <w:tc>
          <w:tcPr>
            <w:tcW w:w="0" w:type="auto"/>
            <w:tcBorders>
              <w:top w:val="single" w:sz="8" w:space="0" w:color="000000"/>
            </w:tcBorders>
            <w:shd w:val="clear" w:color="auto" w:fill="CCEEFF"/>
            <w:vAlign w:val="bottom"/>
          </w:tcPr>
          <w:p w14:paraId="55567B8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B8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7B8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387</w:t>
            </w:r>
          </w:p>
        </w:tc>
        <w:tc>
          <w:tcPr>
            <w:tcW w:w="0" w:type="auto"/>
            <w:tcBorders>
              <w:top w:val="single" w:sz="8" w:space="0" w:color="000000"/>
            </w:tcBorders>
            <w:shd w:val="clear" w:color="auto" w:fill="CCEEFF"/>
            <w:vAlign w:val="bottom"/>
          </w:tcPr>
          <w:p w14:paraId="55567B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B8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.71</w:t>
            </w:r>
          </w:p>
        </w:tc>
        <w:tc>
          <w:tcPr>
            <w:tcW w:w="0" w:type="auto"/>
            <w:tcBorders>
              <w:top w:val="single" w:sz="8" w:space="0" w:color="000000"/>
            </w:tcBorders>
            <w:shd w:val="clear" w:color="auto" w:fill="CCEEFF"/>
            <w:tcMar>
              <w:top w:w="40" w:type="dxa"/>
              <w:bottom w:w="40" w:type="dxa"/>
              <w:right w:w="40" w:type="dxa"/>
            </w:tcMar>
            <w:vAlign w:val="bottom"/>
          </w:tcPr>
          <w:p w14:paraId="55567B8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B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B8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7B8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47,514</w:t>
            </w:r>
          </w:p>
        </w:tc>
        <w:tc>
          <w:tcPr>
            <w:tcW w:w="0" w:type="auto"/>
            <w:tcBorders>
              <w:top w:val="single" w:sz="8" w:space="0" w:color="000000"/>
            </w:tcBorders>
            <w:shd w:val="clear" w:color="auto" w:fill="CCEEFF"/>
            <w:vAlign w:val="bottom"/>
          </w:tcPr>
          <w:p w14:paraId="55567B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B8E"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7B8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180</w:t>
            </w:r>
          </w:p>
        </w:tc>
        <w:tc>
          <w:tcPr>
            <w:tcW w:w="0" w:type="auto"/>
            <w:tcBorders>
              <w:top w:val="single" w:sz="8" w:space="0" w:color="000000"/>
            </w:tcBorders>
            <w:shd w:val="clear" w:color="auto" w:fill="CCEEFF"/>
            <w:vAlign w:val="bottom"/>
          </w:tcPr>
          <w:p w14:paraId="55567B9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B9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.38</w:t>
            </w:r>
          </w:p>
        </w:tc>
        <w:tc>
          <w:tcPr>
            <w:tcW w:w="0" w:type="auto"/>
            <w:tcBorders>
              <w:top w:val="single" w:sz="8" w:space="0" w:color="000000"/>
            </w:tcBorders>
            <w:shd w:val="clear" w:color="auto" w:fill="CCEEFF"/>
            <w:tcMar>
              <w:top w:w="40" w:type="dxa"/>
              <w:bottom w:w="40" w:type="dxa"/>
              <w:right w:w="40" w:type="dxa"/>
            </w:tcMar>
            <w:vAlign w:val="bottom"/>
          </w:tcPr>
          <w:p w14:paraId="55567B93" w14:textId="77777777" w:rsidR="00F925DD" w:rsidRDefault="00E705D7">
            <w:pPr>
              <w:textAlignment w:val="bottom"/>
              <w:rPr>
                <w:rFonts w:ascii="Times New Roman" w:hAnsi="Times New Roman"/>
                <w:sz w:val="16"/>
                <w:szCs w:val="16"/>
              </w:rPr>
            </w:pPr>
            <w:r>
              <w:rPr>
                <w:rFonts w:ascii="Arial" w:eastAsia="宋体" w:hAnsi="Arial" w:cs="Arial"/>
                <w:sz w:val="16"/>
                <w:szCs w:val="16"/>
              </w:rPr>
              <w:t> %</w:t>
            </w:r>
          </w:p>
        </w:tc>
      </w:tr>
      <w:tr w:rsidR="00F925DD" w14:paraId="55567BB0" w14:textId="77777777">
        <w:tc>
          <w:tcPr>
            <w:tcW w:w="0" w:type="auto"/>
            <w:shd w:val="clear" w:color="auto" w:fill="auto"/>
            <w:tcMar>
              <w:top w:w="40" w:type="dxa"/>
              <w:left w:w="40" w:type="dxa"/>
              <w:bottom w:w="40" w:type="dxa"/>
              <w:right w:w="40" w:type="dxa"/>
            </w:tcMar>
            <w:vAlign w:val="bottom"/>
          </w:tcPr>
          <w:p w14:paraId="55567B95" w14:textId="77777777" w:rsidR="00F925DD" w:rsidRDefault="00E705D7">
            <w:pPr>
              <w:textAlignment w:val="bottom"/>
              <w:rPr>
                <w:rFonts w:ascii="Times New Roman" w:hAnsi="Times New Roman"/>
                <w:sz w:val="16"/>
                <w:szCs w:val="16"/>
              </w:rPr>
            </w:pPr>
            <w:r>
              <w:rPr>
                <w:rFonts w:ascii="Arial" w:eastAsia="宋体" w:hAnsi="Arial" w:cs="Arial"/>
                <w:sz w:val="16"/>
                <w:szCs w:val="16"/>
              </w:rPr>
              <w:t>Securities purchased under re</w:t>
            </w:r>
            <w:r>
              <w:rPr>
                <w:rFonts w:ascii="Arial" w:eastAsia="宋体" w:hAnsi="Arial" w:cs="Arial"/>
                <w:sz w:val="16"/>
                <w:szCs w:val="16"/>
              </w:rPr>
              <w:t>sale agreements</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55567B96"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2,506</w:t>
            </w:r>
          </w:p>
        </w:tc>
        <w:tc>
          <w:tcPr>
            <w:tcW w:w="0" w:type="auto"/>
            <w:shd w:val="clear" w:color="auto" w:fill="auto"/>
            <w:vAlign w:val="bottom"/>
          </w:tcPr>
          <w:p w14:paraId="55567B9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9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364</w:t>
            </w:r>
          </w:p>
        </w:tc>
        <w:tc>
          <w:tcPr>
            <w:tcW w:w="0" w:type="auto"/>
            <w:shd w:val="clear" w:color="auto" w:fill="auto"/>
            <w:vAlign w:val="bottom"/>
          </w:tcPr>
          <w:p w14:paraId="55567B9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B9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14.54</w:t>
            </w:r>
          </w:p>
        </w:tc>
        <w:tc>
          <w:tcPr>
            <w:tcW w:w="0" w:type="auto"/>
            <w:shd w:val="clear" w:color="auto" w:fill="auto"/>
            <w:vAlign w:val="bottom"/>
          </w:tcPr>
          <w:p w14:paraId="55567B9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9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2,901</w:t>
            </w:r>
          </w:p>
        </w:tc>
        <w:tc>
          <w:tcPr>
            <w:tcW w:w="0" w:type="auto"/>
            <w:shd w:val="clear" w:color="auto" w:fill="auto"/>
            <w:vAlign w:val="bottom"/>
          </w:tcPr>
          <w:p w14:paraId="55567B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A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335</w:t>
            </w:r>
          </w:p>
        </w:tc>
        <w:tc>
          <w:tcPr>
            <w:tcW w:w="0" w:type="auto"/>
            <w:shd w:val="clear" w:color="auto" w:fill="auto"/>
            <w:vAlign w:val="bottom"/>
          </w:tcPr>
          <w:p w14:paraId="55567BA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BA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11.55</w:t>
            </w:r>
          </w:p>
        </w:tc>
        <w:tc>
          <w:tcPr>
            <w:tcW w:w="0" w:type="auto"/>
            <w:shd w:val="clear" w:color="auto" w:fill="auto"/>
            <w:vAlign w:val="bottom"/>
          </w:tcPr>
          <w:p w14:paraId="55567B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A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2,131</w:t>
            </w:r>
          </w:p>
        </w:tc>
        <w:tc>
          <w:tcPr>
            <w:tcW w:w="0" w:type="auto"/>
            <w:shd w:val="clear" w:color="auto" w:fill="auto"/>
            <w:vAlign w:val="bottom"/>
          </w:tcPr>
          <w:p w14:paraId="55567BA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A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264</w:t>
            </w:r>
          </w:p>
        </w:tc>
        <w:tc>
          <w:tcPr>
            <w:tcW w:w="0" w:type="auto"/>
            <w:shd w:val="clear" w:color="auto" w:fill="auto"/>
            <w:vAlign w:val="bottom"/>
          </w:tcPr>
          <w:p w14:paraId="55567BA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BA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12.38</w:t>
            </w:r>
          </w:p>
        </w:tc>
        <w:tc>
          <w:tcPr>
            <w:tcW w:w="0" w:type="auto"/>
            <w:shd w:val="clear" w:color="auto" w:fill="auto"/>
            <w:vAlign w:val="bottom"/>
          </w:tcPr>
          <w:p w14:paraId="55567BAF" w14:textId="77777777" w:rsidR="00F925DD" w:rsidRDefault="00F925DD">
            <w:pPr>
              <w:textAlignment w:val="bottom"/>
              <w:rPr>
                <w:rFonts w:ascii="Times New Roman" w:hAnsi="Times New Roman"/>
                <w:sz w:val="20"/>
                <w:szCs w:val="20"/>
              </w:rPr>
            </w:pPr>
          </w:p>
        </w:tc>
      </w:tr>
      <w:tr w:rsidR="00F925DD" w14:paraId="55567BCC" w14:textId="77777777">
        <w:tc>
          <w:tcPr>
            <w:tcW w:w="0" w:type="auto"/>
            <w:shd w:val="clear" w:color="auto" w:fill="CCEEFF"/>
            <w:tcMar>
              <w:top w:w="40" w:type="dxa"/>
              <w:left w:w="40" w:type="dxa"/>
              <w:bottom w:w="40" w:type="dxa"/>
              <w:right w:w="40" w:type="dxa"/>
            </w:tcMar>
            <w:vAlign w:val="bottom"/>
          </w:tcPr>
          <w:p w14:paraId="55567BB1" w14:textId="77777777" w:rsidR="00F925DD" w:rsidRDefault="00E705D7">
            <w:pPr>
              <w:textAlignment w:val="bottom"/>
              <w:rPr>
                <w:rFonts w:ascii="Times New Roman" w:hAnsi="Times New Roman"/>
                <w:sz w:val="16"/>
                <w:szCs w:val="16"/>
              </w:rPr>
            </w:pPr>
            <w:r>
              <w:rPr>
                <w:rFonts w:ascii="Arial" w:eastAsia="宋体" w:hAnsi="Arial" w:cs="Arial"/>
                <w:sz w:val="16"/>
                <w:szCs w:val="16"/>
              </w:rPr>
              <w:t>Trading account assets</w:t>
            </w:r>
          </w:p>
        </w:tc>
        <w:tc>
          <w:tcPr>
            <w:tcW w:w="0" w:type="auto"/>
            <w:gridSpan w:val="2"/>
            <w:shd w:val="clear" w:color="auto" w:fill="CCEEFF"/>
            <w:tcMar>
              <w:top w:w="40" w:type="dxa"/>
              <w:left w:w="40" w:type="dxa"/>
              <w:bottom w:w="40" w:type="dxa"/>
            </w:tcMar>
            <w:vAlign w:val="bottom"/>
          </w:tcPr>
          <w:p w14:paraId="55567BB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884</w:t>
            </w:r>
          </w:p>
        </w:tc>
        <w:tc>
          <w:tcPr>
            <w:tcW w:w="0" w:type="auto"/>
            <w:shd w:val="clear" w:color="auto" w:fill="CCEEFF"/>
            <w:vAlign w:val="bottom"/>
          </w:tcPr>
          <w:p w14:paraId="55567B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B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w:t>
            </w:r>
          </w:p>
        </w:tc>
        <w:tc>
          <w:tcPr>
            <w:tcW w:w="0" w:type="auto"/>
            <w:shd w:val="clear" w:color="auto" w:fill="CCEEFF"/>
            <w:vAlign w:val="bottom"/>
          </w:tcPr>
          <w:p w14:paraId="55567B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BB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w:t>
            </w:r>
          </w:p>
        </w:tc>
        <w:tc>
          <w:tcPr>
            <w:tcW w:w="0" w:type="auto"/>
            <w:shd w:val="clear" w:color="auto" w:fill="CCEEFF"/>
            <w:vAlign w:val="bottom"/>
          </w:tcPr>
          <w:p w14:paraId="55567BB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B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1,051</w:t>
            </w:r>
          </w:p>
        </w:tc>
        <w:tc>
          <w:tcPr>
            <w:tcW w:w="0" w:type="auto"/>
            <w:shd w:val="clear" w:color="auto" w:fill="CCEEFF"/>
            <w:vAlign w:val="bottom"/>
          </w:tcPr>
          <w:p w14:paraId="55567BB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B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7B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BC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7BC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C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1,011</w:t>
            </w:r>
          </w:p>
        </w:tc>
        <w:tc>
          <w:tcPr>
            <w:tcW w:w="0" w:type="auto"/>
            <w:shd w:val="clear" w:color="auto" w:fill="CCEEFF"/>
            <w:vAlign w:val="bottom"/>
          </w:tcPr>
          <w:p w14:paraId="55567B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C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CCEEFF"/>
            <w:tcMar>
              <w:top w:w="40" w:type="dxa"/>
              <w:bottom w:w="40" w:type="dxa"/>
              <w:right w:w="40" w:type="dxa"/>
            </w:tcMar>
            <w:vAlign w:val="bottom"/>
          </w:tcPr>
          <w:p w14:paraId="55567BC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B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BC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w:t>
            </w:r>
          </w:p>
        </w:tc>
        <w:tc>
          <w:tcPr>
            <w:tcW w:w="0" w:type="auto"/>
            <w:shd w:val="clear" w:color="auto" w:fill="CCEEFF"/>
            <w:tcMar>
              <w:top w:w="40" w:type="dxa"/>
              <w:bottom w:w="40" w:type="dxa"/>
              <w:right w:w="40" w:type="dxa"/>
            </w:tcMar>
            <w:vAlign w:val="bottom"/>
          </w:tcPr>
          <w:p w14:paraId="55567BC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7BE8" w14:textId="77777777">
        <w:tc>
          <w:tcPr>
            <w:tcW w:w="0" w:type="auto"/>
            <w:shd w:val="clear" w:color="auto" w:fill="auto"/>
            <w:tcMar>
              <w:top w:w="40" w:type="dxa"/>
              <w:left w:w="40" w:type="dxa"/>
              <w:bottom w:w="40" w:type="dxa"/>
              <w:right w:w="40" w:type="dxa"/>
            </w:tcMar>
            <w:vAlign w:val="bottom"/>
          </w:tcPr>
          <w:p w14:paraId="55567BCD" w14:textId="77777777" w:rsidR="00F925DD" w:rsidRDefault="00E705D7">
            <w:pPr>
              <w:textAlignment w:val="bottom"/>
              <w:rPr>
                <w:rFonts w:ascii="Times New Roman" w:hAnsi="Times New Roman"/>
                <w:sz w:val="16"/>
                <w:szCs w:val="16"/>
              </w:rPr>
            </w:pPr>
            <w:r>
              <w:rPr>
                <w:rFonts w:ascii="Arial" w:eastAsia="宋体" w:hAnsi="Arial" w:cs="Arial"/>
                <w:sz w:val="16"/>
                <w:szCs w:val="16"/>
              </w:rPr>
              <w:t>Investment securities</w:t>
            </w:r>
          </w:p>
        </w:tc>
        <w:tc>
          <w:tcPr>
            <w:tcW w:w="0" w:type="auto"/>
            <w:gridSpan w:val="2"/>
            <w:shd w:val="clear" w:color="auto" w:fill="auto"/>
            <w:tcMar>
              <w:top w:w="40" w:type="dxa"/>
              <w:left w:w="40" w:type="dxa"/>
              <w:bottom w:w="40" w:type="dxa"/>
            </w:tcMar>
            <w:vAlign w:val="bottom"/>
          </w:tcPr>
          <w:p w14:paraId="55567BC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91,768</w:t>
            </w:r>
          </w:p>
        </w:tc>
        <w:tc>
          <w:tcPr>
            <w:tcW w:w="0" w:type="auto"/>
            <w:shd w:val="clear" w:color="auto" w:fill="auto"/>
            <w:vAlign w:val="bottom"/>
          </w:tcPr>
          <w:p w14:paraId="55567BC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D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2,009</w:t>
            </w:r>
          </w:p>
        </w:tc>
        <w:tc>
          <w:tcPr>
            <w:tcW w:w="0" w:type="auto"/>
            <w:shd w:val="clear" w:color="auto" w:fill="auto"/>
            <w:vAlign w:val="bottom"/>
          </w:tcPr>
          <w:p w14:paraId="55567BD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BD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2.19</w:t>
            </w:r>
          </w:p>
        </w:tc>
        <w:tc>
          <w:tcPr>
            <w:tcW w:w="0" w:type="auto"/>
            <w:shd w:val="clear" w:color="auto" w:fill="auto"/>
            <w:vAlign w:val="bottom"/>
          </w:tcPr>
          <w:p w14:paraId="55567BD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D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88,070</w:t>
            </w:r>
          </w:p>
        </w:tc>
        <w:tc>
          <w:tcPr>
            <w:tcW w:w="0" w:type="auto"/>
            <w:shd w:val="clear" w:color="auto" w:fill="auto"/>
            <w:vAlign w:val="bottom"/>
          </w:tcPr>
          <w:p w14:paraId="55567BD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D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1,927</w:t>
            </w:r>
          </w:p>
        </w:tc>
        <w:tc>
          <w:tcPr>
            <w:tcW w:w="0" w:type="auto"/>
            <w:shd w:val="clear" w:color="auto" w:fill="auto"/>
            <w:vAlign w:val="bottom"/>
          </w:tcPr>
          <w:p w14:paraId="55567BD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BD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2.19</w:t>
            </w:r>
          </w:p>
        </w:tc>
        <w:tc>
          <w:tcPr>
            <w:tcW w:w="0" w:type="auto"/>
            <w:shd w:val="clear" w:color="auto" w:fill="auto"/>
            <w:vAlign w:val="bottom"/>
          </w:tcPr>
          <w:p w14:paraId="55567BD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E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95,779</w:t>
            </w:r>
          </w:p>
        </w:tc>
        <w:tc>
          <w:tcPr>
            <w:tcW w:w="0" w:type="auto"/>
            <w:shd w:val="clear" w:color="auto" w:fill="auto"/>
            <w:vAlign w:val="bottom"/>
          </w:tcPr>
          <w:p w14:paraId="55567BE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BE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1,891</w:t>
            </w:r>
          </w:p>
        </w:tc>
        <w:tc>
          <w:tcPr>
            <w:tcW w:w="0" w:type="auto"/>
            <w:shd w:val="clear" w:color="auto" w:fill="auto"/>
            <w:vAlign w:val="bottom"/>
          </w:tcPr>
          <w:p w14:paraId="55567B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B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BE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1.97</w:t>
            </w:r>
          </w:p>
        </w:tc>
        <w:tc>
          <w:tcPr>
            <w:tcW w:w="0" w:type="auto"/>
            <w:shd w:val="clear" w:color="auto" w:fill="auto"/>
            <w:vAlign w:val="bottom"/>
          </w:tcPr>
          <w:p w14:paraId="55567BE7" w14:textId="77777777" w:rsidR="00F925DD" w:rsidRDefault="00F925DD">
            <w:pPr>
              <w:textAlignment w:val="bottom"/>
              <w:rPr>
                <w:rFonts w:ascii="Times New Roman" w:hAnsi="Times New Roman"/>
                <w:sz w:val="20"/>
                <w:szCs w:val="20"/>
              </w:rPr>
            </w:pPr>
          </w:p>
        </w:tc>
      </w:tr>
      <w:tr w:rsidR="00F925DD" w14:paraId="55567C04" w14:textId="77777777">
        <w:tc>
          <w:tcPr>
            <w:tcW w:w="0" w:type="auto"/>
            <w:shd w:val="clear" w:color="auto" w:fill="CCEEFF"/>
            <w:tcMar>
              <w:top w:w="40" w:type="dxa"/>
              <w:left w:w="40" w:type="dxa"/>
              <w:bottom w:w="40" w:type="dxa"/>
              <w:right w:w="40" w:type="dxa"/>
            </w:tcMar>
            <w:vAlign w:val="bottom"/>
          </w:tcPr>
          <w:p w14:paraId="55567BE9" w14:textId="77777777" w:rsidR="00F925DD" w:rsidRDefault="00E705D7">
            <w:pPr>
              <w:textAlignment w:val="bottom"/>
              <w:rPr>
                <w:rFonts w:ascii="Times New Roman" w:hAnsi="Times New Roman"/>
                <w:sz w:val="16"/>
                <w:szCs w:val="16"/>
              </w:rPr>
            </w:pPr>
            <w:r>
              <w:rPr>
                <w:rFonts w:ascii="Arial" w:eastAsia="宋体" w:hAnsi="Arial" w:cs="Arial"/>
                <w:sz w:val="16"/>
                <w:szCs w:val="16"/>
              </w:rPr>
              <w:t>Loans and leases</w:t>
            </w:r>
          </w:p>
        </w:tc>
        <w:tc>
          <w:tcPr>
            <w:tcW w:w="0" w:type="auto"/>
            <w:gridSpan w:val="2"/>
            <w:shd w:val="clear" w:color="auto" w:fill="CCEEFF"/>
            <w:tcMar>
              <w:top w:w="40" w:type="dxa"/>
              <w:left w:w="40" w:type="dxa"/>
              <w:bottom w:w="40" w:type="dxa"/>
            </w:tcMar>
            <w:vAlign w:val="bottom"/>
          </w:tcPr>
          <w:p w14:paraId="55567BE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24,073</w:t>
            </w:r>
          </w:p>
        </w:tc>
        <w:tc>
          <w:tcPr>
            <w:tcW w:w="0" w:type="auto"/>
            <w:shd w:val="clear" w:color="auto" w:fill="CCEEFF"/>
            <w:vAlign w:val="bottom"/>
          </w:tcPr>
          <w:p w14:paraId="55567BE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E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775</w:t>
            </w:r>
          </w:p>
        </w:tc>
        <w:tc>
          <w:tcPr>
            <w:tcW w:w="0" w:type="auto"/>
            <w:shd w:val="clear" w:color="auto" w:fill="CCEEFF"/>
            <w:vAlign w:val="bottom"/>
          </w:tcPr>
          <w:p w14:paraId="55567BE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BF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3.22</w:t>
            </w:r>
          </w:p>
        </w:tc>
        <w:tc>
          <w:tcPr>
            <w:tcW w:w="0" w:type="auto"/>
            <w:shd w:val="clear" w:color="auto" w:fill="CCEEFF"/>
            <w:vAlign w:val="bottom"/>
          </w:tcPr>
          <w:p w14:paraId="55567B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F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23,573</w:t>
            </w:r>
          </w:p>
        </w:tc>
        <w:tc>
          <w:tcPr>
            <w:tcW w:w="0" w:type="auto"/>
            <w:shd w:val="clear" w:color="auto" w:fill="CCEEFF"/>
            <w:vAlign w:val="bottom"/>
          </w:tcPr>
          <w:p w14:paraId="55567B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F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698</w:t>
            </w:r>
          </w:p>
        </w:tc>
        <w:tc>
          <w:tcPr>
            <w:tcW w:w="0" w:type="auto"/>
            <w:shd w:val="clear" w:color="auto" w:fill="CCEEFF"/>
            <w:vAlign w:val="bottom"/>
          </w:tcPr>
          <w:p w14:paraId="55567BF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BF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2.96</w:t>
            </w:r>
          </w:p>
        </w:tc>
        <w:tc>
          <w:tcPr>
            <w:tcW w:w="0" w:type="auto"/>
            <w:shd w:val="clear" w:color="auto" w:fill="CCEEFF"/>
            <w:vAlign w:val="bottom"/>
          </w:tcPr>
          <w:p w14:paraId="55567BF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F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21,916</w:t>
            </w:r>
          </w:p>
        </w:tc>
        <w:tc>
          <w:tcPr>
            <w:tcW w:w="0" w:type="auto"/>
            <w:shd w:val="clear" w:color="auto" w:fill="CCEEFF"/>
            <w:vAlign w:val="bottom"/>
          </w:tcPr>
          <w:p w14:paraId="55567B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B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BF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519</w:t>
            </w:r>
          </w:p>
        </w:tc>
        <w:tc>
          <w:tcPr>
            <w:tcW w:w="0" w:type="auto"/>
            <w:shd w:val="clear" w:color="auto" w:fill="CCEEFF"/>
            <w:vAlign w:val="bottom"/>
          </w:tcPr>
          <w:p w14:paraId="55567C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0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2.37</w:t>
            </w:r>
          </w:p>
        </w:tc>
        <w:tc>
          <w:tcPr>
            <w:tcW w:w="0" w:type="auto"/>
            <w:shd w:val="clear" w:color="auto" w:fill="CCEEFF"/>
            <w:vAlign w:val="bottom"/>
          </w:tcPr>
          <w:p w14:paraId="55567C03" w14:textId="77777777" w:rsidR="00F925DD" w:rsidRDefault="00F925DD">
            <w:pPr>
              <w:textAlignment w:val="bottom"/>
              <w:rPr>
                <w:rFonts w:ascii="Times New Roman" w:hAnsi="Times New Roman"/>
                <w:sz w:val="20"/>
                <w:szCs w:val="20"/>
              </w:rPr>
            </w:pPr>
          </w:p>
        </w:tc>
      </w:tr>
      <w:tr w:rsidR="00F925DD" w14:paraId="55567C20" w14:textId="77777777">
        <w:tc>
          <w:tcPr>
            <w:tcW w:w="0" w:type="auto"/>
            <w:shd w:val="clear" w:color="auto" w:fill="auto"/>
            <w:tcMar>
              <w:top w:w="40" w:type="dxa"/>
              <w:left w:w="40" w:type="dxa"/>
              <w:bottom w:w="40" w:type="dxa"/>
              <w:right w:w="40" w:type="dxa"/>
            </w:tcMar>
            <w:vAlign w:val="bottom"/>
          </w:tcPr>
          <w:p w14:paraId="55567C05" w14:textId="77777777" w:rsidR="00F925DD" w:rsidRDefault="00E705D7">
            <w:pPr>
              <w:textAlignment w:val="bottom"/>
              <w:rPr>
                <w:rFonts w:ascii="Times New Roman" w:hAnsi="Times New Roman"/>
                <w:sz w:val="16"/>
                <w:szCs w:val="16"/>
              </w:rPr>
            </w:pPr>
            <w:r>
              <w:rPr>
                <w:rFonts w:ascii="Arial" w:eastAsia="宋体" w:hAnsi="Arial" w:cs="Arial"/>
                <w:sz w:val="16"/>
                <w:szCs w:val="16"/>
              </w:rPr>
              <w:t>Other interest-earning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55567C06"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14,160</w:t>
            </w:r>
          </w:p>
        </w:tc>
        <w:tc>
          <w:tcPr>
            <w:tcW w:w="0" w:type="auto"/>
            <w:tcBorders>
              <w:bottom w:val="single" w:sz="8" w:space="0" w:color="000000"/>
            </w:tcBorders>
            <w:shd w:val="clear" w:color="auto" w:fill="auto"/>
            <w:vAlign w:val="bottom"/>
          </w:tcPr>
          <w:p w14:paraId="55567C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C0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395</w:t>
            </w:r>
          </w:p>
        </w:tc>
        <w:tc>
          <w:tcPr>
            <w:tcW w:w="0" w:type="auto"/>
            <w:tcBorders>
              <w:bottom w:val="single" w:sz="8" w:space="0" w:color="000000"/>
            </w:tcBorders>
            <w:shd w:val="clear" w:color="auto" w:fill="auto"/>
            <w:vAlign w:val="bottom"/>
          </w:tcPr>
          <w:p w14:paraId="55567C0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0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2.79</w:t>
            </w:r>
          </w:p>
        </w:tc>
        <w:tc>
          <w:tcPr>
            <w:tcW w:w="0" w:type="auto"/>
            <w:shd w:val="clear" w:color="auto" w:fill="auto"/>
            <w:vAlign w:val="bottom"/>
          </w:tcPr>
          <w:p w14:paraId="55567C0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C0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15,714</w:t>
            </w:r>
          </w:p>
        </w:tc>
        <w:tc>
          <w:tcPr>
            <w:tcW w:w="0" w:type="auto"/>
            <w:tcBorders>
              <w:bottom w:val="single" w:sz="8" w:space="0" w:color="000000"/>
            </w:tcBorders>
            <w:shd w:val="clear" w:color="auto" w:fill="auto"/>
            <w:vAlign w:val="bottom"/>
          </w:tcPr>
          <w:p w14:paraId="55567C1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C1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372</w:t>
            </w:r>
          </w:p>
        </w:tc>
        <w:tc>
          <w:tcPr>
            <w:tcW w:w="0" w:type="auto"/>
            <w:tcBorders>
              <w:bottom w:val="single" w:sz="8" w:space="0" w:color="000000"/>
            </w:tcBorders>
            <w:shd w:val="clear" w:color="auto" w:fill="auto"/>
            <w:vAlign w:val="bottom"/>
          </w:tcPr>
          <w:p w14:paraId="55567C1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1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2.37</w:t>
            </w:r>
          </w:p>
        </w:tc>
        <w:tc>
          <w:tcPr>
            <w:tcW w:w="0" w:type="auto"/>
            <w:shd w:val="clear" w:color="auto" w:fill="auto"/>
            <w:vAlign w:val="bottom"/>
          </w:tcPr>
          <w:p w14:paraId="55567C1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C1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22,884</w:t>
            </w:r>
          </w:p>
        </w:tc>
        <w:tc>
          <w:tcPr>
            <w:tcW w:w="0" w:type="auto"/>
            <w:tcBorders>
              <w:bottom w:val="single" w:sz="8" w:space="0" w:color="000000"/>
            </w:tcBorders>
            <w:shd w:val="clear" w:color="auto" w:fill="auto"/>
            <w:vAlign w:val="bottom"/>
          </w:tcPr>
          <w:p w14:paraId="55567C1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C1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222</w:t>
            </w:r>
          </w:p>
        </w:tc>
        <w:tc>
          <w:tcPr>
            <w:tcW w:w="0" w:type="auto"/>
            <w:tcBorders>
              <w:bottom w:val="single" w:sz="8" w:space="0" w:color="000000"/>
            </w:tcBorders>
            <w:shd w:val="clear" w:color="auto" w:fill="auto"/>
            <w:vAlign w:val="bottom"/>
          </w:tcPr>
          <w:p w14:paraId="55567C1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1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.97</w:t>
            </w:r>
          </w:p>
        </w:tc>
        <w:tc>
          <w:tcPr>
            <w:tcW w:w="0" w:type="auto"/>
            <w:shd w:val="clear" w:color="auto" w:fill="auto"/>
            <w:vAlign w:val="bottom"/>
          </w:tcPr>
          <w:p w14:paraId="55567C1F" w14:textId="77777777" w:rsidR="00F925DD" w:rsidRDefault="00F925DD">
            <w:pPr>
              <w:textAlignment w:val="bottom"/>
              <w:rPr>
                <w:rFonts w:ascii="Times New Roman" w:hAnsi="Times New Roman"/>
                <w:sz w:val="20"/>
                <w:szCs w:val="20"/>
              </w:rPr>
            </w:pPr>
          </w:p>
        </w:tc>
      </w:tr>
      <w:tr w:rsidR="00E705D7" w14:paraId="55567C42" w14:textId="77777777">
        <w:tc>
          <w:tcPr>
            <w:tcW w:w="0" w:type="auto"/>
            <w:shd w:val="clear" w:color="auto" w:fill="CCEEFF"/>
            <w:tcMar>
              <w:top w:w="40" w:type="dxa"/>
              <w:left w:w="40" w:type="dxa"/>
              <w:bottom w:w="40" w:type="dxa"/>
              <w:right w:w="40" w:type="dxa"/>
            </w:tcMar>
            <w:vAlign w:val="bottom"/>
          </w:tcPr>
          <w:p w14:paraId="55567C21" w14:textId="77777777" w:rsidR="00F925DD" w:rsidRDefault="00E705D7">
            <w:pPr>
              <w:textAlignment w:val="bottom"/>
              <w:rPr>
                <w:rFonts w:ascii="Times New Roman" w:hAnsi="Times New Roman"/>
                <w:sz w:val="16"/>
                <w:szCs w:val="16"/>
              </w:rPr>
            </w:pPr>
            <w:r>
              <w:rPr>
                <w:rFonts w:ascii="Arial" w:eastAsia="宋体" w:hAnsi="Arial" w:cs="Arial"/>
                <w:sz w:val="16"/>
                <w:szCs w:val="16"/>
              </w:rPr>
              <w:t>Average total interest-earning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C2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C23"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181,891</w:t>
            </w:r>
          </w:p>
        </w:tc>
        <w:tc>
          <w:tcPr>
            <w:tcW w:w="0" w:type="auto"/>
            <w:tcBorders>
              <w:top w:val="single" w:sz="8" w:space="0" w:color="000000"/>
              <w:bottom w:val="double" w:sz="6" w:space="0" w:color="000000"/>
            </w:tcBorders>
            <w:shd w:val="clear" w:color="auto" w:fill="CCEEFF"/>
            <w:vAlign w:val="bottom"/>
          </w:tcPr>
          <w:p w14:paraId="55567C2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C26"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C2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3,960</w:t>
            </w:r>
          </w:p>
        </w:tc>
        <w:tc>
          <w:tcPr>
            <w:tcW w:w="0" w:type="auto"/>
            <w:tcBorders>
              <w:top w:val="single" w:sz="8" w:space="0" w:color="000000"/>
              <w:bottom w:val="double" w:sz="6" w:space="0" w:color="000000"/>
            </w:tcBorders>
            <w:shd w:val="clear" w:color="auto" w:fill="CCEEFF"/>
            <w:vAlign w:val="bottom"/>
          </w:tcPr>
          <w:p w14:paraId="55567C2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2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2.18</w:t>
            </w:r>
          </w:p>
        </w:tc>
        <w:tc>
          <w:tcPr>
            <w:tcW w:w="0" w:type="auto"/>
            <w:shd w:val="clear" w:color="auto" w:fill="CCEEFF"/>
            <w:vAlign w:val="bottom"/>
          </w:tcPr>
          <w:p w14:paraId="55567C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C2D"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C2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185,637</w:t>
            </w:r>
          </w:p>
        </w:tc>
        <w:tc>
          <w:tcPr>
            <w:tcW w:w="0" w:type="auto"/>
            <w:tcBorders>
              <w:top w:val="single" w:sz="8" w:space="0" w:color="000000"/>
              <w:bottom w:val="double" w:sz="6" w:space="0" w:color="000000"/>
            </w:tcBorders>
            <w:shd w:val="clear" w:color="auto" w:fill="CCEEFF"/>
            <w:vAlign w:val="bottom"/>
          </w:tcPr>
          <w:p w14:paraId="55567C2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C3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C3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3,719</w:t>
            </w:r>
          </w:p>
        </w:tc>
        <w:tc>
          <w:tcPr>
            <w:tcW w:w="0" w:type="auto"/>
            <w:tcBorders>
              <w:top w:val="single" w:sz="8" w:space="0" w:color="000000"/>
              <w:bottom w:val="double" w:sz="6" w:space="0" w:color="000000"/>
            </w:tcBorders>
            <w:shd w:val="clear" w:color="auto" w:fill="CCEEFF"/>
            <w:vAlign w:val="bottom"/>
          </w:tcPr>
          <w:p w14:paraId="55567C3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3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2.00</w:t>
            </w:r>
          </w:p>
        </w:tc>
        <w:tc>
          <w:tcPr>
            <w:tcW w:w="0" w:type="auto"/>
            <w:shd w:val="clear" w:color="auto" w:fill="CCEEFF"/>
            <w:vAlign w:val="bottom"/>
          </w:tcPr>
          <w:p w14:paraId="55567C3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C3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C3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191,235</w:t>
            </w:r>
          </w:p>
        </w:tc>
        <w:tc>
          <w:tcPr>
            <w:tcW w:w="0" w:type="auto"/>
            <w:tcBorders>
              <w:top w:val="single" w:sz="8" w:space="0" w:color="000000"/>
              <w:bottom w:val="double" w:sz="6" w:space="0" w:color="000000"/>
            </w:tcBorders>
            <w:shd w:val="clear" w:color="auto" w:fill="CCEEFF"/>
            <w:vAlign w:val="bottom"/>
          </w:tcPr>
          <w:p w14:paraId="55567C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3B" w14:textId="77777777" w:rsidR="00F925DD" w:rsidRDefault="00F925DD">
            <w:pPr>
              <w:jc w:val="right"/>
              <w:textAlignment w:val="bottom"/>
              <w:rPr>
                <w:rFonts w:ascii="Times New Roman" w:hAnsi="Times New Roman"/>
                <w:sz w:val="16"/>
                <w:szCs w:val="16"/>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C3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C3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3,075</w:t>
            </w:r>
          </w:p>
        </w:tc>
        <w:tc>
          <w:tcPr>
            <w:tcW w:w="0" w:type="auto"/>
            <w:tcBorders>
              <w:top w:val="single" w:sz="8" w:space="0" w:color="000000"/>
              <w:bottom w:val="double" w:sz="6" w:space="0" w:color="000000"/>
            </w:tcBorders>
            <w:shd w:val="clear" w:color="auto" w:fill="CCEEFF"/>
            <w:vAlign w:val="bottom"/>
          </w:tcPr>
          <w:p w14:paraId="55567C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4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1.61</w:t>
            </w:r>
          </w:p>
        </w:tc>
        <w:tc>
          <w:tcPr>
            <w:tcW w:w="0" w:type="auto"/>
            <w:shd w:val="clear" w:color="auto" w:fill="CCEEFF"/>
            <w:vAlign w:val="bottom"/>
          </w:tcPr>
          <w:p w14:paraId="55567C41" w14:textId="77777777" w:rsidR="00F925DD" w:rsidRDefault="00F925DD">
            <w:pPr>
              <w:textAlignment w:val="bottom"/>
              <w:rPr>
                <w:rFonts w:ascii="Times New Roman" w:hAnsi="Times New Roman"/>
                <w:sz w:val="20"/>
                <w:szCs w:val="20"/>
              </w:rPr>
            </w:pPr>
          </w:p>
        </w:tc>
      </w:tr>
      <w:tr w:rsidR="00F925DD" w14:paraId="55567C55" w14:textId="77777777">
        <w:tc>
          <w:tcPr>
            <w:tcW w:w="0" w:type="auto"/>
            <w:shd w:val="clear" w:color="auto" w:fill="auto"/>
            <w:tcMar>
              <w:top w:w="40" w:type="dxa"/>
              <w:left w:w="40" w:type="dxa"/>
              <w:bottom w:w="40" w:type="dxa"/>
              <w:right w:w="40" w:type="dxa"/>
            </w:tcMar>
            <w:vAlign w:val="bottom"/>
          </w:tcPr>
          <w:p w14:paraId="55567C43" w14:textId="77777777" w:rsidR="00F925DD" w:rsidRDefault="00E705D7">
            <w:pPr>
              <w:textAlignment w:val="bottom"/>
              <w:rPr>
                <w:rFonts w:ascii="Times New Roman" w:hAnsi="Times New Roman"/>
                <w:sz w:val="16"/>
                <w:szCs w:val="16"/>
              </w:rPr>
            </w:pPr>
            <w:r>
              <w:rPr>
                <w:rFonts w:ascii="Arial" w:eastAsia="宋体" w:hAnsi="Arial" w:cs="Arial"/>
                <w:sz w:val="16"/>
                <w:szCs w:val="16"/>
              </w:rPr>
              <w:t>Interest-bearing depo</w:t>
            </w:r>
            <w:r>
              <w:rPr>
                <w:rFonts w:ascii="Arial" w:eastAsia="宋体" w:hAnsi="Arial" w:cs="Arial"/>
                <w:sz w:val="16"/>
                <w:szCs w:val="16"/>
              </w:rPr>
              <w:t>sits:</w:t>
            </w:r>
          </w:p>
        </w:tc>
        <w:tc>
          <w:tcPr>
            <w:tcW w:w="0" w:type="auto"/>
            <w:gridSpan w:val="3"/>
            <w:shd w:val="clear" w:color="auto" w:fill="auto"/>
            <w:tcMar>
              <w:top w:w="40" w:type="dxa"/>
              <w:left w:w="40" w:type="dxa"/>
              <w:bottom w:w="40" w:type="dxa"/>
              <w:right w:w="40" w:type="dxa"/>
            </w:tcMar>
            <w:vAlign w:val="bottom"/>
          </w:tcPr>
          <w:p w14:paraId="55567C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C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C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C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C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C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C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C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C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C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C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C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C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C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C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C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C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7C77" w14:textId="77777777">
        <w:tc>
          <w:tcPr>
            <w:tcW w:w="0" w:type="auto"/>
            <w:shd w:val="clear" w:color="auto" w:fill="CCEEFF"/>
            <w:tcMar>
              <w:top w:w="40" w:type="dxa"/>
              <w:left w:w="400" w:type="dxa"/>
              <w:bottom w:w="40" w:type="dxa"/>
              <w:right w:w="40" w:type="dxa"/>
            </w:tcMar>
            <w:vAlign w:val="bottom"/>
          </w:tcPr>
          <w:p w14:paraId="55567C56" w14:textId="77777777" w:rsidR="00F925DD" w:rsidRDefault="00E705D7">
            <w:pPr>
              <w:textAlignment w:val="bottom"/>
              <w:rPr>
                <w:rFonts w:ascii="Times New Roman" w:hAnsi="Times New Roman"/>
                <w:sz w:val="16"/>
                <w:szCs w:val="16"/>
              </w:rPr>
            </w:pPr>
            <w:r>
              <w:rPr>
                <w:rFonts w:ascii="Arial" w:eastAsia="宋体" w:hAnsi="Arial" w:cs="Arial"/>
                <w:sz w:val="16"/>
                <w:szCs w:val="16"/>
              </w:rPr>
              <w:t>U.S.</w:t>
            </w:r>
          </w:p>
        </w:tc>
        <w:tc>
          <w:tcPr>
            <w:tcW w:w="0" w:type="auto"/>
            <w:shd w:val="clear" w:color="auto" w:fill="CCEEFF"/>
            <w:tcMar>
              <w:top w:w="40" w:type="dxa"/>
              <w:left w:w="40" w:type="dxa"/>
              <w:bottom w:w="40" w:type="dxa"/>
            </w:tcMar>
            <w:vAlign w:val="bottom"/>
          </w:tcPr>
          <w:p w14:paraId="55567C5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7C5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67,547</w:t>
            </w:r>
          </w:p>
        </w:tc>
        <w:tc>
          <w:tcPr>
            <w:tcW w:w="0" w:type="auto"/>
            <w:shd w:val="clear" w:color="auto" w:fill="CCEEFF"/>
            <w:vAlign w:val="bottom"/>
          </w:tcPr>
          <w:p w14:paraId="55567C5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5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7C5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539</w:t>
            </w:r>
          </w:p>
        </w:tc>
        <w:tc>
          <w:tcPr>
            <w:tcW w:w="0" w:type="auto"/>
            <w:shd w:val="clear" w:color="auto" w:fill="CCEEFF"/>
            <w:vAlign w:val="bottom"/>
          </w:tcPr>
          <w:p w14:paraId="55567C5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5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.80</w:t>
            </w:r>
          </w:p>
        </w:tc>
        <w:tc>
          <w:tcPr>
            <w:tcW w:w="0" w:type="auto"/>
            <w:shd w:val="clear" w:color="auto" w:fill="CCEEFF"/>
            <w:tcMar>
              <w:top w:w="40" w:type="dxa"/>
              <w:bottom w:w="40" w:type="dxa"/>
              <w:right w:w="40" w:type="dxa"/>
            </w:tcMar>
            <w:vAlign w:val="bottom"/>
          </w:tcPr>
          <w:p w14:paraId="55567C6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7C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6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C6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54,953</w:t>
            </w:r>
          </w:p>
        </w:tc>
        <w:tc>
          <w:tcPr>
            <w:tcW w:w="0" w:type="auto"/>
            <w:shd w:val="clear" w:color="auto" w:fill="CCEEFF"/>
            <w:vAlign w:val="bottom"/>
          </w:tcPr>
          <w:p w14:paraId="55567C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6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C6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256</w:t>
            </w:r>
          </w:p>
        </w:tc>
        <w:tc>
          <w:tcPr>
            <w:tcW w:w="0" w:type="auto"/>
            <w:shd w:val="clear" w:color="auto" w:fill="CCEEFF"/>
            <w:vAlign w:val="bottom"/>
          </w:tcPr>
          <w:p w14:paraId="55567C6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6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.47</w:t>
            </w:r>
          </w:p>
        </w:tc>
        <w:tc>
          <w:tcPr>
            <w:tcW w:w="0" w:type="auto"/>
            <w:shd w:val="clear" w:color="auto" w:fill="CCEEFF"/>
            <w:tcMar>
              <w:top w:w="40" w:type="dxa"/>
              <w:bottom w:w="40" w:type="dxa"/>
              <w:right w:w="40" w:type="dxa"/>
            </w:tcMar>
            <w:vAlign w:val="bottom"/>
          </w:tcPr>
          <w:p w14:paraId="55567C6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C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6D"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C6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30,623</w:t>
            </w:r>
          </w:p>
        </w:tc>
        <w:tc>
          <w:tcPr>
            <w:tcW w:w="0" w:type="auto"/>
            <w:shd w:val="clear" w:color="auto" w:fill="CCEEFF"/>
            <w:vAlign w:val="bottom"/>
          </w:tcPr>
          <w:p w14:paraId="55567C6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7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7C7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96</w:t>
            </w:r>
          </w:p>
        </w:tc>
        <w:tc>
          <w:tcPr>
            <w:tcW w:w="0" w:type="auto"/>
            <w:shd w:val="clear" w:color="auto" w:fill="CCEEFF"/>
            <w:vAlign w:val="bottom"/>
          </w:tcPr>
          <w:p w14:paraId="55567C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7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.31</w:t>
            </w:r>
          </w:p>
        </w:tc>
        <w:tc>
          <w:tcPr>
            <w:tcW w:w="0" w:type="auto"/>
            <w:shd w:val="clear" w:color="auto" w:fill="CCEEFF"/>
            <w:tcMar>
              <w:top w:w="40" w:type="dxa"/>
              <w:bottom w:w="40" w:type="dxa"/>
              <w:right w:w="40" w:type="dxa"/>
            </w:tcMar>
            <w:vAlign w:val="bottom"/>
          </w:tcPr>
          <w:p w14:paraId="55567C76" w14:textId="77777777" w:rsidR="00F925DD" w:rsidRDefault="00E705D7">
            <w:pPr>
              <w:textAlignment w:val="bottom"/>
              <w:rPr>
                <w:rFonts w:ascii="Times New Roman" w:hAnsi="Times New Roman"/>
                <w:sz w:val="16"/>
                <w:szCs w:val="16"/>
              </w:rPr>
            </w:pPr>
            <w:r>
              <w:rPr>
                <w:rFonts w:ascii="Arial" w:eastAsia="宋体" w:hAnsi="Arial" w:cs="Arial"/>
                <w:sz w:val="16"/>
                <w:szCs w:val="16"/>
              </w:rPr>
              <w:t> %</w:t>
            </w:r>
          </w:p>
        </w:tc>
      </w:tr>
      <w:tr w:rsidR="00F925DD" w14:paraId="55567C93" w14:textId="77777777">
        <w:tc>
          <w:tcPr>
            <w:tcW w:w="0" w:type="auto"/>
            <w:shd w:val="clear" w:color="auto" w:fill="auto"/>
            <w:tcMar>
              <w:top w:w="40" w:type="dxa"/>
              <w:left w:w="400" w:type="dxa"/>
              <w:bottom w:w="40" w:type="dxa"/>
              <w:right w:w="40" w:type="dxa"/>
            </w:tcMar>
            <w:vAlign w:val="bottom"/>
          </w:tcPr>
          <w:p w14:paraId="55567C78" w14:textId="77777777" w:rsidR="00F925DD" w:rsidRDefault="00E705D7">
            <w:pPr>
              <w:textAlignment w:val="bottom"/>
              <w:rPr>
                <w:rFonts w:ascii="Times New Roman" w:hAnsi="Times New Roman"/>
                <w:sz w:val="16"/>
                <w:szCs w:val="16"/>
              </w:rPr>
            </w:pPr>
            <w:r>
              <w:rPr>
                <w:rFonts w:ascii="Arial" w:eastAsia="宋体" w:hAnsi="Arial" w:cs="Arial"/>
                <w:sz w:val="16"/>
                <w:szCs w:val="16"/>
              </w:rPr>
              <w:t>Non-U.S.</w:t>
            </w:r>
            <w:r>
              <w:rPr>
                <w:rFonts w:ascii="Arial" w:eastAsia="宋体" w:hAnsi="Arial" w:cs="Arial"/>
                <w:sz w:val="10"/>
                <w:szCs w:val="10"/>
              </w:rPr>
              <w:t>(3)</w:t>
            </w:r>
          </w:p>
        </w:tc>
        <w:tc>
          <w:tcPr>
            <w:tcW w:w="0" w:type="auto"/>
            <w:gridSpan w:val="2"/>
            <w:tcBorders>
              <w:bottom w:val="single" w:sz="8" w:space="0" w:color="000000"/>
            </w:tcBorders>
            <w:shd w:val="clear" w:color="auto" w:fill="auto"/>
            <w:tcMar>
              <w:top w:w="40" w:type="dxa"/>
              <w:left w:w="40" w:type="dxa"/>
              <w:bottom w:w="40" w:type="dxa"/>
            </w:tcMar>
            <w:vAlign w:val="bottom"/>
          </w:tcPr>
          <w:p w14:paraId="55567C7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61,301</w:t>
            </w:r>
          </w:p>
        </w:tc>
        <w:tc>
          <w:tcPr>
            <w:tcW w:w="0" w:type="auto"/>
            <w:tcBorders>
              <w:bottom w:val="single" w:sz="8" w:space="0" w:color="000000"/>
            </w:tcBorders>
            <w:shd w:val="clear" w:color="auto" w:fill="auto"/>
            <w:vAlign w:val="bottom"/>
          </w:tcPr>
          <w:p w14:paraId="55567C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C7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124</w:t>
            </w:r>
          </w:p>
        </w:tc>
        <w:tc>
          <w:tcPr>
            <w:tcW w:w="0" w:type="auto"/>
            <w:tcBorders>
              <w:bottom w:val="single" w:sz="8" w:space="0" w:color="000000"/>
            </w:tcBorders>
            <w:shd w:val="clear" w:color="auto" w:fill="auto"/>
            <w:vAlign w:val="bottom"/>
          </w:tcPr>
          <w:p w14:paraId="55567C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7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.20</w:t>
            </w:r>
          </w:p>
        </w:tc>
        <w:tc>
          <w:tcPr>
            <w:tcW w:w="0" w:type="auto"/>
            <w:shd w:val="clear" w:color="auto" w:fill="auto"/>
            <w:vAlign w:val="bottom"/>
          </w:tcPr>
          <w:p w14:paraId="55567C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C8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70,623</w:t>
            </w:r>
          </w:p>
        </w:tc>
        <w:tc>
          <w:tcPr>
            <w:tcW w:w="0" w:type="auto"/>
            <w:tcBorders>
              <w:bottom w:val="single" w:sz="8" w:space="0" w:color="000000"/>
            </w:tcBorders>
            <w:shd w:val="clear" w:color="auto" w:fill="auto"/>
            <w:vAlign w:val="bottom"/>
          </w:tcPr>
          <w:p w14:paraId="55567C8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C8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107</w:t>
            </w:r>
          </w:p>
        </w:tc>
        <w:tc>
          <w:tcPr>
            <w:tcW w:w="0" w:type="auto"/>
            <w:tcBorders>
              <w:bottom w:val="single" w:sz="8" w:space="0" w:color="000000"/>
            </w:tcBorders>
            <w:shd w:val="clear" w:color="auto" w:fill="auto"/>
            <w:vAlign w:val="bottom"/>
          </w:tcPr>
          <w:p w14:paraId="55567C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8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auto"/>
            <w:vAlign w:val="bottom"/>
          </w:tcPr>
          <w:p w14:paraId="55567C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C8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91,937</w:t>
            </w:r>
          </w:p>
        </w:tc>
        <w:tc>
          <w:tcPr>
            <w:tcW w:w="0" w:type="auto"/>
            <w:tcBorders>
              <w:bottom w:val="single" w:sz="8" w:space="0" w:color="000000"/>
            </w:tcBorders>
            <w:shd w:val="clear" w:color="auto" w:fill="auto"/>
            <w:vAlign w:val="bottom"/>
          </w:tcPr>
          <w:p w14:paraId="55567C8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C8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67</w:t>
            </w:r>
          </w:p>
        </w:tc>
        <w:tc>
          <w:tcPr>
            <w:tcW w:w="0" w:type="auto"/>
            <w:tcBorders>
              <w:bottom w:val="single" w:sz="8" w:space="0" w:color="000000"/>
            </w:tcBorders>
            <w:shd w:val="clear" w:color="auto" w:fill="auto"/>
            <w:vAlign w:val="bottom"/>
          </w:tcPr>
          <w:p w14:paraId="55567C8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9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.07</w:t>
            </w:r>
          </w:p>
        </w:tc>
        <w:tc>
          <w:tcPr>
            <w:tcW w:w="0" w:type="auto"/>
            <w:shd w:val="clear" w:color="auto" w:fill="auto"/>
            <w:vAlign w:val="bottom"/>
          </w:tcPr>
          <w:p w14:paraId="55567C92" w14:textId="77777777" w:rsidR="00F925DD" w:rsidRDefault="00F925DD">
            <w:pPr>
              <w:textAlignment w:val="bottom"/>
              <w:rPr>
                <w:rFonts w:ascii="Times New Roman" w:hAnsi="Times New Roman"/>
                <w:sz w:val="20"/>
                <w:szCs w:val="20"/>
              </w:rPr>
            </w:pPr>
          </w:p>
        </w:tc>
      </w:tr>
      <w:tr w:rsidR="00F925DD" w14:paraId="55567CAF" w14:textId="77777777">
        <w:tc>
          <w:tcPr>
            <w:tcW w:w="0" w:type="auto"/>
            <w:shd w:val="clear" w:color="auto" w:fill="CCEEFF"/>
            <w:tcMar>
              <w:top w:w="40" w:type="dxa"/>
              <w:left w:w="40" w:type="dxa"/>
              <w:bottom w:w="40" w:type="dxa"/>
              <w:right w:w="40" w:type="dxa"/>
            </w:tcMar>
            <w:vAlign w:val="bottom"/>
          </w:tcPr>
          <w:p w14:paraId="55567C94"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interest-bearing deposits</w:t>
            </w:r>
            <w:r>
              <w:rPr>
                <w:rFonts w:ascii="Arial" w:eastAsia="宋体" w:hAnsi="Arial" w:cs="Arial"/>
                <w:sz w:val="10"/>
                <w:szCs w:val="10"/>
              </w:rPr>
              <w:t>(3)(4)</w:t>
            </w:r>
          </w:p>
        </w:tc>
        <w:tc>
          <w:tcPr>
            <w:tcW w:w="0" w:type="auto"/>
            <w:gridSpan w:val="2"/>
            <w:shd w:val="clear" w:color="auto" w:fill="CCEEFF"/>
            <w:tcMar>
              <w:top w:w="40" w:type="dxa"/>
              <w:left w:w="40" w:type="dxa"/>
              <w:bottom w:w="40" w:type="dxa"/>
            </w:tcMar>
            <w:vAlign w:val="bottom"/>
          </w:tcPr>
          <w:p w14:paraId="55567C9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128,848</w:t>
            </w:r>
          </w:p>
        </w:tc>
        <w:tc>
          <w:tcPr>
            <w:tcW w:w="0" w:type="auto"/>
            <w:shd w:val="clear" w:color="auto" w:fill="CCEEFF"/>
            <w:vAlign w:val="bottom"/>
          </w:tcPr>
          <w:p w14:paraId="55567C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C9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663</w:t>
            </w:r>
          </w:p>
        </w:tc>
        <w:tc>
          <w:tcPr>
            <w:tcW w:w="0" w:type="auto"/>
            <w:shd w:val="clear" w:color="auto" w:fill="CCEEFF"/>
            <w:vAlign w:val="bottom"/>
          </w:tcPr>
          <w:p w14:paraId="55567C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9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.51</w:t>
            </w:r>
          </w:p>
        </w:tc>
        <w:tc>
          <w:tcPr>
            <w:tcW w:w="0" w:type="auto"/>
            <w:shd w:val="clear" w:color="auto" w:fill="CCEEFF"/>
            <w:vAlign w:val="bottom"/>
          </w:tcPr>
          <w:p w14:paraId="55567C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C9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125,576</w:t>
            </w:r>
          </w:p>
        </w:tc>
        <w:tc>
          <w:tcPr>
            <w:tcW w:w="0" w:type="auto"/>
            <w:shd w:val="clear" w:color="auto" w:fill="CCEEFF"/>
            <w:vAlign w:val="bottom"/>
          </w:tcPr>
          <w:p w14:paraId="55567C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CA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363</w:t>
            </w:r>
          </w:p>
        </w:tc>
        <w:tc>
          <w:tcPr>
            <w:tcW w:w="0" w:type="auto"/>
            <w:shd w:val="clear" w:color="auto" w:fill="CCEEFF"/>
            <w:vAlign w:val="bottom"/>
          </w:tcPr>
          <w:p w14:paraId="55567CA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A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.29</w:t>
            </w:r>
          </w:p>
        </w:tc>
        <w:tc>
          <w:tcPr>
            <w:tcW w:w="0" w:type="auto"/>
            <w:shd w:val="clear" w:color="auto" w:fill="CCEEFF"/>
            <w:vAlign w:val="bottom"/>
          </w:tcPr>
          <w:p w14:paraId="55567CA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CA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122,560</w:t>
            </w:r>
          </w:p>
        </w:tc>
        <w:tc>
          <w:tcPr>
            <w:tcW w:w="0" w:type="auto"/>
            <w:shd w:val="clear" w:color="auto" w:fill="CCEEFF"/>
            <w:vAlign w:val="bottom"/>
          </w:tcPr>
          <w:p w14:paraId="55567C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CA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163</w:t>
            </w:r>
          </w:p>
        </w:tc>
        <w:tc>
          <w:tcPr>
            <w:tcW w:w="0" w:type="auto"/>
            <w:shd w:val="clear" w:color="auto" w:fill="CCEEFF"/>
            <w:vAlign w:val="bottom"/>
          </w:tcPr>
          <w:p w14:paraId="55567C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A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w:t>
            </w:r>
          </w:p>
        </w:tc>
        <w:tc>
          <w:tcPr>
            <w:tcW w:w="0" w:type="auto"/>
            <w:shd w:val="clear" w:color="auto" w:fill="CCEEFF"/>
            <w:vAlign w:val="bottom"/>
          </w:tcPr>
          <w:p w14:paraId="55567CAE" w14:textId="77777777" w:rsidR="00F925DD" w:rsidRDefault="00F925DD">
            <w:pPr>
              <w:textAlignment w:val="bottom"/>
              <w:rPr>
                <w:rFonts w:ascii="Times New Roman" w:hAnsi="Times New Roman"/>
                <w:sz w:val="20"/>
                <w:szCs w:val="20"/>
              </w:rPr>
            </w:pPr>
          </w:p>
        </w:tc>
      </w:tr>
      <w:tr w:rsidR="00F925DD" w14:paraId="55567CCB" w14:textId="77777777">
        <w:tc>
          <w:tcPr>
            <w:tcW w:w="0" w:type="auto"/>
            <w:shd w:val="clear" w:color="auto" w:fill="auto"/>
            <w:tcMar>
              <w:top w:w="40" w:type="dxa"/>
              <w:left w:w="40" w:type="dxa"/>
              <w:bottom w:w="40" w:type="dxa"/>
              <w:right w:w="40" w:type="dxa"/>
            </w:tcMar>
            <w:vAlign w:val="bottom"/>
          </w:tcPr>
          <w:p w14:paraId="55567CB0" w14:textId="77777777" w:rsidR="00F925DD" w:rsidRDefault="00E705D7">
            <w:pPr>
              <w:textAlignment w:val="bottom"/>
              <w:rPr>
                <w:rFonts w:ascii="Times New Roman" w:hAnsi="Times New Roman"/>
                <w:sz w:val="16"/>
                <w:szCs w:val="16"/>
              </w:rPr>
            </w:pPr>
            <w:r>
              <w:rPr>
                <w:rFonts w:ascii="Arial" w:eastAsia="宋体" w:hAnsi="Arial" w:cs="Arial"/>
                <w:sz w:val="16"/>
                <w:szCs w:val="16"/>
              </w:rPr>
              <w:t>Securities sold under repurchase agreements</w:t>
            </w:r>
          </w:p>
        </w:tc>
        <w:tc>
          <w:tcPr>
            <w:tcW w:w="0" w:type="auto"/>
            <w:gridSpan w:val="2"/>
            <w:shd w:val="clear" w:color="auto" w:fill="auto"/>
            <w:tcMar>
              <w:top w:w="40" w:type="dxa"/>
              <w:left w:w="40" w:type="dxa"/>
              <w:bottom w:w="40" w:type="dxa"/>
            </w:tcMar>
            <w:vAlign w:val="bottom"/>
          </w:tcPr>
          <w:p w14:paraId="55567CB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1,616</w:t>
            </w:r>
          </w:p>
        </w:tc>
        <w:tc>
          <w:tcPr>
            <w:tcW w:w="0" w:type="auto"/>
            <w:shd w:val="clear" w:color="auto" w:fill="auto"/>
            <w:vAlign w:val="bottom"/>
          </w:tcPr>
          <w:p w14:paraId="55567C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CB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31</w:t>
            </w:r>
          </w:p>
        </w:tc>
        <w:tc>
          <w:tcPr>
            <w:tcW w:w="0" w:type="auto"/>
            <w:shd w:val="clear" w:color="auto" w:fill="auto"/>
            <w:vAlign w:val="bottom"/>
          </w:tcPr>
          <w:p w14:paraId="55567C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B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1.90</w:t>
            </w:r>
          </w:p>
        </w:tc>
        <w:tc>
          <w:tcPr>
            <w:tcW w:w="0" w:type="auto"/>
            <w:shd w:val="clear" w:color="auto" w:fill="auto"/>
            <w:vAlign w:val="bottom"/>
          </w:tcPr>
          <w:p w14:paraId="55567C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CB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2,048</w:t>
            </w:r>
          </w:p>
        </w:tc>
        <w:tc>
          <w:tcPr>
            <w:tcW w:w="0" w:type="auto"/>
            <w:shd w:val="clear" w:color="auto" w:fill="auto"/>
            <w:vAlign w:val="bottom"/>
          </w:tcPr>
          <w:p w14:paraId="55567CB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CB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w:t>
            </w:r>
          </w:p>
        </w:tc>
        <w:tc>
          <w:tcPr>
            <w:tcW w:w="0" w:type="auto"/>
            <w:shd w:val="clear" w:color="auto" w:fill="auto"/>
            <w:vAlign w:val="bottom"/>
          </w:tcPr>
          <w:p w14:paraId="55567CB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C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.62</w:t>
            </w:r>
          </w:p>
        </w:tc>
        <w:tc>
          <w:tcPr>
            <w:tcW w:w="0" w:type="auto"/>
            <w:shd w:val="clear" w:color="auto" w:fill="auto"/>
            <w:vAlign w:val="bottom"/>
          </w:tcPr>
          <w:p w14:paraId="55567CC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CC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3,683</w:t>
            </w:r>
          </w:p>
        </w:tc>
        <w:tc>
          <w:tcPr>
            <w:tcW w:w="0" w:type="auto"/>
            <w:shd w:val="clear" w:color="auto" w:fill="auto"/>
            <w:vAlign w:val="bottom"/>
          </w:tcPr>
          <w:p w14:paraId="55567CC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CC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auto"/>
            <w:vAlign w:val="bottom"/>
          </w:tcPr>
          <w:p w14:paraId="55567CC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C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.05</w:t>
            </w:r>
          </w:p>
        </w:tc>
        <w:tc>
          <w:tcPr>
            <w:tcW w:w="0" w:type="auto"/>
            <w:shd w:val="clear" w:color="auto" w:fill="auto"/>
            <w:vAlign w:val="bottom"/>
          </w:tcPr>
          <w:p w14:paraId="55567CCA" w14:textId="77777777" w:rsidR="00F925DD" w:rsidRDefault="00F925DD">
            <w:pPr>
              <w:textAlignment w:val="bottom"/>
              <w:rPr>
                <w:rFonts w:ascii="Times New Roman" w:hAnsi="Times New Roman"/>
                <w:sz w:val="20"/>
                <w:szCs w:val="20"/>
              </w:rPr>
            </w:pPr>
          </w:p>
        </w:tc>
      </w:tr>
      <w:tr w:rsidR="00F925DD" w14:paraId="55567CE7" w14:textId="77777777">
        <w:tc>
          <w:tcPr>
            <w:tcW w:w="0" w:type="auto"/>
            <w:shd w:val="clear" w:color="auto" w:fill="CCEEFF"/>
            <w:tcMar>
              <w:top w:w="40" w:type="dxa"/>
              <w:left w:w="40" w:type="dxa"/>
              <w:bottom w:w="40" w:type="dxa"/>
              <w:right w:w="40" w:type="dxa"/>
            </w:tcMar>
            <w:vAlign w:val="bottom"/>
          </w:tcPr>
          <w:p w14:paraId="55567CCC" w14:textId="77777777" w:rsidR="00F925DD" w:rsidRDefault="00E705D7">
            <w:pPr>
              <w:textAlignment w:val="bottom"/>
              <w:rPr>
                <w:rFonts w:ascii="Times New Roman" w:hAnsi="Times New Roman"/>
                <w:sz w:val="16"/>
                <w:szCs w:val="16"/>
              </w:rPr>
            </w:pPr>
            <w:r>
              <w:rPr>
                <w:rFonts w:ascii="Arial" w:eastAsia="宋体" w:hAnsi="Arial" w:cs="Arial"/>
                <w:sz w:val="16"/>
                <w:szCs w:val="16"/>
              </w:rPr>
              <w:t>Other short-term borrowings</w:t>
            </w:r>
          </w:p>
        </w:tc>
        <w:tc>
          <w:tcPr>
            <w:tcW w:w="0" w:type="auto"/>
            <w:gridSpan w:val="2"/>
            <w:shd w:val="clear" w:color="auto" w:fill="CCEEFF"/>
            <w:tcMar>
              <w:top w:w="40" w:type="dxa"/>
              <w:left w:w="40" w:type="dxa"/>
              <w:bottom w:w="40" w:type="dxa"/>
            </w:tcMar>
            <w:vAlign w:val="bottom"/>
          </w:tcPr>
          <w:p w14:paraId="55567CC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1,524</w:t>
            </w:r>
          </w:p>
        </w:tc>
        <w:tc>
          <w:tcPr>
            <w:tcW w:w="0" w:type="auto"/>
            <w:shd w:val="clear" w:color="auto" w:fill="CCEEFF"/>
            <w:vAlign w:val="bottom"/>
          </w:tcPr>
          <w:p w14:paraId="55567CC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CD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21</w:t>
            </w:r>
          </w:p>
        </w:tc>
        <w:tc>
          <w:tcPr>
            <w:tcW w:w="0" w:type="auto"/>
            <w:shd w:val="clear" w:color="auto" w:fill="CCEEFF"/>
            <w:vAlign w:val="bottom"/>
          </w:tcPr>
          <w:p w14:paraId="55567CD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D3"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1.37</w:t>
            </w:r>
          </w:p>
        </w:tc>
        <w:tc>
          <w:tcPr>
            <w:tcW w:w="0" w:type="auto"/>
            <w:shd w:val="clear" w:color="auto" w:fill="CCEEFF"/>
            <w:vAlign w:val="bottom"/>
          </w:tcPr>
          <w:p w14:paraId="55567C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CD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1,327</w:t>
            </w:r>
          </w:p>
        </w:tc>
        <w:tc>
          <w:tcPr>
            <w:tcW w:w="0" w:type="auto"/>
            <w:shd w:val="clear" w:color="auto" w:fill="CCEEFF"/>
            <w:vAlign w:val="bottom"/>
          </w:tcPr>
          <w:p w14:paraId="55567CD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CD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w:t>
            </w:r>
          </w:p>
        </w:tc>
        <w:tc>
          <w:tcPr>
            <w:tcW w:w="0" w:type="auto"/>
            <w:shd w:val="clear" w:color="auto" w:fill="CCEEFF"/>
            <w:vAlign w:val="bottom"/>
          </w:tcPr>
          <w:p w14:paraId="55567CD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D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1.28</w:t>
            </w:r>
          </w:p>
        </w:tc>
        <w:tc>
          <w:tcPr>
            <w:tcW w:w="0" w:type="auto"/>
            <w:shd w:val="clear" w:color="auto" w:fill="CCEEFF"/>
            <w:vAlign w:val="bottom"/>
          </w:tcPr>
          <w:p w14:paraId="55567CD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CD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1,313</w:t>
            </w:r>
          </w:p>
        </w:tc>
        <w:tc>
          <w:tcPr>
            <w:tcW w:w="0" w:type="auto"/>
            <w:shd w:val="clear" w:color="auto" w:fill="CCEEFF"/>
            <w:vAlign w:val="bottom"/>
          </w:tcPr>
          <w:p w14:paraId="55567CE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CE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w:t>
            </w:r>
          </w:p>
        </w:tc>
        <w:tc>
          <w:tcPr>
            <w:tcW w:w="0" w:type="auto"/>
            <w:shd w:val="clear" w:color="auto" w:fill="CCEEFF"/>
            <w:vAlign w:val="bottom"/>
          </w:tcPr>
          <w:p w14:paraId="55567CE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C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CE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.80</w:t>
            </w:r>
          </w:p>
        </w:tc>
        <w:tc>
          <w:tcPr>
            <w:tcW w:w="0" w:type="auto"/>
            <w:shd w:val="clear" w:color="auto" w:fill="CCEEFF"/>
            <w:vAlign w:val="bottom"/>
          </w:tcPr>
          <w:p w14:paraId="55567CE6" w14:textId="77777777" w:rsidR="00F925DD" w:rsidRDefault="00F925DD">
            <w:pPr>
              <w:textAlignment w:val="bottom"/>
              <w:rPr>
                <w:rFonts w:ascii="Times New Roman" w:hAnsi="Times New Roman"/>
                <w:sz w:val="20"/>
                <w:szCs w:val="20"/>
              </w:rPr>
            </w:pPr>
          </w:p>
        </w:tc>
      </w:tr>
      <w:tr w:rsidR="00F925DD" w14:paraId="55567D03" w14:textId="77777777">
        <w:tc>
          <w:tcPr>
            <w:tcW w:w="0" w:type="auto"/>
            <w:shd w:val="clear" w:color="auto" w:fill="auto"/>
            <w:tcMar>
              <w:top w:w="40" w:type="dxa"/>
              <w:left w:w="40" w:type="dxa"/>
              <w:bottom w:w="40" w:type="dxa"/>
              <w:right w:w="40" w:type="dxa"/>
            </w:tcMar>
            <w:vAlign w:val="bottom"/>
          </w:tcPr>
          <w:p w14:paraId="55567CE8" w14:textId="77777777" w:rsidR="00F925DD" w:rsidRDefault="00E705D7">
            <w:pPr>
              <w:textAlignment w:val="bottom"/>
              <w:rPr>
                <w:rFonts w:ascii="Times New Roman" w:hAnsi="Times New Roman"/>
                <w:sz w:val="16"/>
                <w:szCs w:val="16"/>
              </w:rPr>
            </w:pPr>
            <w:r>
              <w:rPr>
                <w:rFonts w:ascii="Arial" w:eastAsia="宋体" w:hAnsi="Arial" w:cs="Arial"/>
                <w:sz w:val="16"/>
                <w:szCs w:val="16"/>
              </w:rPr>
              <w:t>Long-term debt</w:t>
            </w:r>
          </w:p>
        </w:tc>
        <w:tc>
          <w:tcPr>
            <w:tcW w:w="0" w:type="auto"/>
            <w:gridSpan w:val="2"/>
            <w:shd w:val="clear" w:color="auto" w:fill="auto"/>
            <w:tcMar>
              <w:top w:w="40" w:type="dxa"/>
              <w:left w:w="40" w:type="dxa"/>
              <w:bottom w:w="40" w:type="dxa"/>
            </w:tcMar>
            <w:vAlign w:val="bottom"/>
          </w:tcPr>
          <w:p w14:paraId="55567CE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11,474</w:t>
            </w:r>
          </w:p>
        </w:tc>
        <w:tc>
          <w:tcPr>
            <w:tcW w:w="0" w:type="auto"/>
            <w:shd w:val="clear" w:color="auto" w:fill="auto"/>
            <w:vAlign w:val="bottom"/>
          </w:tcPr>
          <w:p w14:paraId="55567CE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CE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414</w:t>
            </w:r>
          </w:p>
        </w:tc>
        <w:tc>
          <w:tcPr>
            <w:tcW w:w="0" w:type="auto"/>
            <w:shd w:val="clear" w:color="auto" w:fill="auto"/>
            <w:vAlign w:val="bottom"/>
          </w:tcPr>
          <w:p w14:paraId="55567CE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E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3.61</w:t>
            </w:r>
          </w:p>
        </w:tc>
        <w:tc>
          <w:tcPr>
            <w:tcW w:w="0" w:type="auto"/>
            <w:shd w:val="clear" w:color="auto" w:fill="auto"/>
            <w:vAlign w:val="bottom"/>
          </w:tcPr>
          <w:p w14:paraId="55567CF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CF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10,686</w:t>
            </w:r>
          </w:p>
        </w:tc>
        <w:tc>
          <w:tcPr>
            <w:tcW w:w="0" w:type="auto"/>
            <w:shd w:val="clear" w:color="auto" w:fill="auto"/>
            <w:vAlign w:val="bottom"/>
          </w:tcPr>
          <w:p w14:paraId="55567CF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CF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389</w:t>
            </w:r>
          </w:p>
        </w:tc>
        <w:tc>
          <w:tcPr>
            <w:tcW w:w="0" w:type="auto"/>
            <w:shd w:val="clear" w:color="auto" w:fill="auto"/>
            <w:vAlign w:val="bottom"/>
          </w:tcPr>
          <w:p w14:paraId="55567CF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CF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3.64</w:t>
            </w:r>
          </w:p>
        </w:tc>
        <w:tc>
          <w:tcPr>
            <w:tcW w:w="0" w:type="auto"/>
            <w:shd w:val="clear" w:color="auto" w:fill="auto"/>
            <w:vAlign w:val="bottom"/>
          </w:tcPr>
          <w:p w14:paraId="55567CF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CF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11,595</w:t>
            </w:r>
          </w:p>
        </w:tc>
        <w:tc>
          <w:tcPr>
            <w:tcW w:w="0" w:type="auto"/>
            <w:shd w:val="clear" w:color="auto" w:fill="auto"/>
            <w:vAlign w:val="bottom"/>
          </w:tcPr>
          <w:p w14:paraId="55567CF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C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CF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308</w:t>
            </w:r>
          </w:p>
        </w:tc>
        <w:tc>
          <w:tcPr>
            <w:tcW w:w="0" w:type="auto"/>
            <w:shd w:val="clear" w:color="auto" w:fill="auto"/>
            <w:vAlign w:val="bottom"/>
          </w:tcPr>
          <w:p w14:paraId="55567CF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D0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2.66</w:t>
            </w:r>
          </w:p>
        </w:tc>
        <w:tc>
          <w:tcPr>
            <w:tcW w:w="0" w:type="auto"/>
            <w:shd w:val="clear" w:color="auto" w:fill="auto"/>
            <w:vAlign w:val="bottom"/>
          </w:tcPr>
          <w:p w14:paraId="55567D02" w14:textId="77777777" w:rsidR="00F925DD" w:rsidRDefault="00F925DD">
            <w:pPr>
              <w:textAlignment w:val="bottom"/>
              <w:rPr>
                <w:rFonts w:ascii="Times New Roman" w:hAnsi="Times New Roman"/>
                <w:sz w:val="20"/>
                <w:szCs w:val="20"/>
              </w:rPr>
            </w:pPr>
          </w:p>
        </w:tc>
      </w:tr>
      <w:tr w:rsidR="00F925DD" w14:paraId="55567D1F" w14:textId="77777777">
        <w:tc>
          <w:tcPr>
            <w:tcW w:w="0" w:type="auto"/>
            <w:shd w:val="clear" w:color="auto" w:fill="CCEEFF"/>
            <w:tcMar>
              <w:top w:w="40" w:type="dxa"/>
              <w:left w:w="40" w:type="dxa"/>
              <w:bottom w:w="40" w:type="dxa"/>
              <w:right w:w="40" w:type="dxa"/>
            </w:tcMar>
            <w:vAlign w:val="bottom"/>
          </w:tcPr>
          <w:p w14:paraId="55567D04" w14:textId="77777777" w:rsidR="00F925DD" w:rsidRDefault="00E705D7">
            <w:pPr>
              <w:textAlignment w:val="bottom"/>
              <w:rPr>
                <w:rFonts w:ascii="Times New Roman" w:hAnsi="Times New Roman"/>
                <w:sz w:val="16"/>
                <w:szCs w:val="16"/>
              </w:rPr>
            </w:pPr>
            <w:r>
              <w:rPr>
                <w:rFonts w:ascii="Arial" w:eastAsia="宋体" w:hAnsi="Arial" w:cs="Arial"/>
                <w:sz w:val="16"/>
                <w:szCs w:val="16"/>
              </w:rPr>
              <w:t>Other interest-bearing 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D0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4,103</w:t>
            </w:r>
          </w:p>
        </w:tc>
        <w:tc>
          <w:tcPr>
            <w:tcW w:w="0" w:type="auto"/>
            <w:tcBorders>
              <w:bottom w:val="single" w:sz="8" w:space="0" w:color="000000"/>
            </w:tcBorders>
            <w:shd w:val="clear" w:color="auto" w:fill="CCEEFF"/>
            <w:vAlign w:val="bottom"/>
          </w:tcPr>
          <w:p w14:paraId="55567D0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D0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246</w:t>
            </w:r>
          </w:p>
        </w:tc>
        <w:tc>
          <w:tcPr>
            <w:tcW w:w="0" w:type="auto"/>
            <w:tcBorders>
              <w:bottom w:val="single" w:sz="8" w:space="0" w:color="000000"/>
            </w:tcBorders>
            <w:shd w:val="clear" w:color="auto" w:fill="CCEEFF"/>
            <w:vAlign w:val="bottom"/>
          </w:tcPr>
          <w:p w14:paraId="55567D0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D0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6.00</w:t>
            </w:r>
          </w:p>
        </w:tc>
        <w:tc>
          <w:tcPr>
            <w:tcW w:w="0" w:type="auto"/>
            <w:shd w:val="clear" w:color="auto" w:fill="CCEEFF"/>
            <w:vAlign w:val="bottom"/>
          </w:tcPr>
          <w:p w14:paraId="55567D0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D0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4,956</w:t>
            </w:r>
          </w:p>
        </w:tc>
        <w:tc>
          <w:tcPr>
            <w:tcW w:w="0" w:type="auto"/>
            <w:tcBorders>
              <w:bottom w:val="single" w:sz="8" w:space="0" w:color="000000"/>
            </w:tcBorders>
            <w:shd w:val="clear" w:color="auto" w:fill="CCEEFF"/>
            <w:vAlign w:val="bottom"/>
          </w:tcPr>
          <w:p w14:paraId="55567D0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D1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209</w:t>
            </w:r>
          </w:p>
        </w:tc>
        <w:tc>
          <w:tcPr>
            <w:tcW w:w="0" w:type="auto"/>
            <w:tcBorders>
              <w:bottom w:val="single" w:sz="8" w:space="0" w:color="000000"/>
            </w:tcBorders>
            <w:shd w:val="clear" w:color="auto" w:fill="CCEEFF"/>
            <w:vAlign w:val="bottom"/>
          </w:tcPr>
          <w:p w14:paraId="55567D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D1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4.20</w:t>
            </w:r>
          </w:p>
        </w:tc>
        <w:tc>
          <w:tcPr>
            <w:tcW w:w="0" w:type="auto"/>
            <w:shd w:val="clear" w:color="auto" w:fill="CCEEFF"/>
            <w:vAlign w:val="bottom"/>
          </w:tcPr>
          <w:p w14:paraId="55567D1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D1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4,607</w:t>
            </w:r>
          </w:p>
        </w:tc>
        <w:tc>
          <w:tcPr>
            <w:tcW w:w="0" w:type="auto"/>
            <w:tcBorders>
              <w:bottom w:val="single" w:sz="8" w:space="0" w:color="000000"/>
            </w:tcBorders>
            <w:shd w:val="clear" w:color="auto" w:fill="CCEEFF"/>
            <w:vAlign w:val="bottom"/>
          </w:tcPr>
          <w:p w14:paraId="55567D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D1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121</w:t>
            </w:r>
          </w:p>
        </w:tc>
        <w:tc>
          <w:tcPr>
            <w:tcW w:w="0" w:type="auto"/>
            <w:tcBorders>
              <w:bottom w:val="single" w:sz="8" w:space="0" w:color="000000"/>
            </w:tcBorders>
            <w:shd w:val="clear" w:color="auto" w:fill="CCEEFF"/>
            <w:vAlign w:val="bottom"/>
          </w:tcPr>
          <w:p w14:paraId="55567D1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D1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2.63</w:t>
            </w:r>
          </w:p>
        </w:tc>
        <w:tc>
          <w:tcPr>
            <w:tcW w:w="0" w:type="auto"/>
            <w:shd w:val="clear" w:color="auto" w:fill="CCEEFF"/>
            <w:vAlign w:val="bottom"/>
          </w:tcPr>
          <w:p w14:paraId="55567D1E" w14:textId="77777777" w:rsidR="00F925DD" w:rsidRDefault="00F925DD">
            <w:pPr>
              <w:textAlignment w:val="bottom"/>
              <w:rPr>
                <w:rFonts w:ascii="Times New Roman" w:hAnsi="Times New Roman"/>
                <w:sz w:val="20"/>
                <w:szCs w:val="20"/>
              </w:rPr>
            </w:pPr>
          </w:p>
        </w:tc>
      </w:tr>
      <w:tr w:rsidR="00F925DD" w14:paraId="55567D41" w14:textId="77777777">
        <w:tc>
          <w:tcPr>
            <w:tcW w:w="0" w:type="auto"/>
            <w:shd w:val="clear" w:color="auto" w:fill="auto"/>
            <w:tcMar>
              <w:top w:w="40" w:type="dxa"/>
              <w:left w:w="40" w:type="dxa"/>
              <w:bottom w:w="40" w:type="dxa"/>
              <w:right w:w="40" w:type="dxa"/>
            </w:tcMar>
            <w:vAlign w:val="bottom"/>
          </w:tcPr>
          <w:p w14:paraId="55567D20" w14:textId="77777777" w:rsidR="00F925DD" w:rsidRDefault="00E705D7">
            <w:pPr>
              <w:textAlignment w:val="bottom"/>
              <w:rPr>
                <w:rFonts w:ascii="Times New Roman" w:hAnsi="Times New Roman"/>
                <w:sz w:val="16"/>
                <w:szCs w:val="16"/>
              </w:rPr>
            </w:pPr>
            <w:r>
              <w:rPr>
                <w:rFonts w:ascii="Arial" w:eastAsia="宋体" w:hAnsi="Arial" w:cs="Arial"/>
                <w:sz w:val="16"/>
                <w:szCs w:val="16"/>
              </w:rPr>
              <w:t>Average total interest-bearing liabilities</w:t>
            </w:r>
          </w:p>
        </w:tc>
        <w:tc>
          <w:tcPr>
            <w:tcW w:w="0" w:type="auto"/>
            <w:tcBorders>
              <w:bottom w:val="double" w:sz="6" w:space="0" w:color="000000"/>
            </w:tcBorders>
            <w:shd w:val="clear" w:color="auto" w:fill="auto"/>
            <w:tcMar>
              <w:top w:w="40" w:type="dxa"/>
              <w:left w:w="40" w:type="dxa"/>
              <w:bottom w:w="40" w:type="dxa"/>
            </w:tcMar>
            <w:vAlign w:val="bottom"/>
          </w:tcPr>
          <w:p w14:paraId="55567D21"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double" w:sz="6" w:space="0" w:color="000000"/>
            </w:tcBorders>
            <w:shd w:val="clear" w:color="auto" w:fill="auto"/>
            <w:tcMar>
              <w:top w:w="40" w:type="dxa"/>
              <w:bottom w:w="40" w:type="dxa"/>
            </w:tcMar>
            <w:vAlign w:val="bottom"/>
          </w:tcPr>
          <w:p w14:paraId="55567D2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147,565</w:t>
            </w:r>
          </w:p>
        </w:tc>
        <w:tc>
          <w:tcPr>
            <w:tcW w:w="0" w:type="auto"/>
            <w:tcBorders>
              <w:bottom w:val="double" w:sz="6" w:space="0" w:color="000000"/>
            </w:tcBorders>
            <w:shd w:val="clear" w:color="auto" w:fill="auto"/>
            <w:vAlign w:val="bottom"/>
          </w:tcPr>
          <w:p w14:paraId="55567D2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7D25"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double" w:sz="6" w:space="0" w:color="000000"/>
            </w:tcBorders>
            <w:shd w:val="clear" w:color="auto" w:fill="auto"/>
            <w:tcMar>
              <w:top w:w="40" w:type="dxa"/>
              <w:bottom w:w="40" w:type="dxa"/>
            </w:tcMar>
            <w:vAlign w:val="bottom"/>
          </w:tcPr>
          <w:p w14:paraId="55567D26"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1,375</w:t>
            </w:r>
          </w:p>
        </w:tc>
        <w:tc>
          <w:tcPr>
            <w:tcW w:w="0" w:type="auto"/>
            <w:tcBorders>
              <w:bottom w:val="double" w:sz="6" w:space="0" w:color="000000"/>
            </w:tcBorders>
            <w:shd w:val="clear" w:color="auto" w:fill="auto"/>
            <w:vAlign w:val="bottom"/>
          </w:tcPr>
          <w:p w14:paraId="55567D2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D2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.93</w:t>
            </w:r>
          </w:p>
        </w:tc>
        <w:tc>
          <w:tcPr>
            <w:tcW w:w="0" w:type="auto"/>
            <w:shd w:val="clear" w:color="auto" w:fill="auto"/>
            <w:vAlign w:val="bottom"/>
          </w:tcPr>
          <w:p w14:paraId="55567D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7D2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55567D2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144,593</w:t>
            </w:r>
          </w:p>
        </w:tc>
        <w:tc>
          <w:tcPr>
            <w:tcW w:w="0" w:type="auto"/>
            <w:tcBorders>
              <w:bottom w:val="double" w:sz="6" w:space="0" w:color="000000"/>
            </w:tcBorders>
            <w:shd w:val="clear" w:color="auto" w:fill="auto"/>
            <w:vAlign w:val="bottom"/>
          </w:tcPr>
          <w:p w14:paraId="55567D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7D30"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55567D3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991</w:t>
            </w:r>
          </w:p>
        </w:tc>
        <w:tc>
          <w:tcPr>
            <w:tcW w:w="0" w:type="auto"/>
            <w:tcBorders>
              <w:bottom w:val="double" w:sz="6" w:space="0" w:color="000000"/>
            </w:tcBorders>
            <w:shd w:val="clear" w:color="auto" w:fill="auto"/>
            <w:vAlign w:val="bottom"/>
          </w:tcPr>
          <w:p w14:paraId="55567D3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D3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.68</w:t>
            </w:r>
          </w:p>
        </w:tc>
        <w:tc>
          <w:tcPr>
            <w:tcW w:w="0" w:type="auto"/>
            <w:shd w:val="clear" w:color="auto" w:fill="auto"/>
            <w:vAlign w:val="bottom"/>
          </w:tcPr>
          <w:p w14:paraId="55567D3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7D3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55567D3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143,758</w:t>
            </w:r>
          </w:p>
        </w:tc>
        <w:tc>
          <w:tcPr>
            <w:tcW w:w="0" w:type="auto"/>
            <w:tcBorders>
              <w:bottom w:val="double" w:sz="6" w:space="0" w:color="000000"/>
            </w:tcBorders>
            <w:shd w:val="clear" w:color="auto" w:fill="auto"/>
            <w:vAlign w:val="bottom"/>
          </w:tcPr>
          <w:p w14:paraId="55567D3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7D3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55567D3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604</w:t>
            </w:r>
          </w:p>
        </w:tc>
        <w:tc>
          <w:tcPr>
            <w:tcW w:w="0" w:type="auto"/>
            <w:tcBorders>
              <w:bottom w:val="double" w:sz="6" w:space="0" w:color="000000"/>
            </w:tcBorders>
            <w:shd w:val="clear" w:color="auto" w:fill="auto"/>
            <w:vAlign w:val="bottom"/>
          </w:tcPr>
          <w:p w14:paraId="55567D3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D3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.42</w:t>
            </w:r>
          </w:p>
        </w:tc>
        <w:tc>
          <w:tcPr>
            <w:tcW w:w="0" w:type="auto"/>
            <w:shd w:val="clear" w:color="auto" w:fill="auto"/>
            <w:vAlign w:val="bottom"/>
          </w:tcPr>
          <w:p w14:paraId="55567D40" w14:textId="77777777" w:rsidR="00F925DD" w:rsidRDefault="00F925DD">
            <w:pPr>
              <w:textAlignment w:val="bottom"/>
              <w:rPr>
                <w:rFonts w:ascii="Times New Roman" w:hAnsi="Times New Roman"/>
                <w:sz w:val="20"/>
                <w:szCs w:val="20"/>
              </w:rPr>
            </w:pPr>
          </w:p>
        </w:tc>
      </w:tr>
      <w:tr w:rsidR="00F925DD" w14:paraId="55567D58" w14:textId="77777777">
        <w:tc>
          <w:tcPr>
            <w:tcW w:w="0" w:type="auto"/>
            <w:shd w:val="clear" w:color="auto" w:fill="CCEEFF"/>
            <w:tcMar>
              <w:top w:w="40" w:type="dxa"/>
              <w:left w:w="40" w:type="dxa"/>
              <w:bottom w:w="40" w:type="dxa"/>
              <w:right w:w="40" w:type="dxa"/>
            </w:tcMar>
            <w:vAlign w:val="bottom"/>
          </w:tcPr>
          <w:p w14:paraId="55567D42" w14:textId="77777777" w:rsidR="00F925DD" w:rsidRDefault="00E705D7">
            <w:pPr>
              <w:textAlignment w:val="bottom"/>
              <w:rPr>
                <w:rFonts w:ascii="Times New Roman" w:hAnsi="Times New Roman"/>
                <w:sz w:val="16"/>
                <w:szCs w:val="16"/>
              </w:rPr>
            </w:pPr>
            <w:r>
              <w:rPr>
                <w:rFonts w:ascii="Arial" w:eastAsia="宋体" w:hAnsi="Arial" w:cs="Arial"/>
                <w:sz w:val="16"/>
                <w:szCs w:val="16"/>
              </w:rPr>
              <w:t>Interest rate spread</w:t>
            </w:r>
          </w:p>
        </w:tc>
        <w:tc>
          <w:tcPr>
            <w:tcW w:w="0" w:type="auto"/>
            <w:gridSpan w:val="3"/>
            <w:shd w:val="clear" w:color="auto" w:fill="CCEEFF"/>
            <w:tcMar>
              <w:top w:w="40" w:type="dxa"/>
              <w:left w:w="40" w:type="dxa"/>
              <w:bottom w:w="40" w:type="dxa"/>
              <w:right w:w="40" w:type="dxa"/>
            </w:tcMar>
            <w:vAlign w:val="bottom"/>
          </w:tcPr>
          <w:p w14:paraId="55567D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D4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1.25</w:t>
            </w:r>
          </w:p>
        </w:tc>
        <w:tc>
          <w:tcPr>
            <w:tcW w:w="0" w:type="auto"/>
            <w:shd w:val="clear" w:color="auto" w:fill="CCEEFF"/>
            <w:tcMar>
              <w:top w:w="40" w:type="dxa"/>
              <w:bottom w:w="40" w:type="dxa"/>
              <w:right w:w="40" w:type="dxa"/>
            </w:tcMar>
            <w:vAlign w:val="bottom"/>
          </w:tcPr>
          <w:p w14:paraId="55567D48"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7D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D4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1.32</w:t>
            </w:r>
          </w:p>
        </w:tc>
        <w:tc>
          <w:tcPr>
            <w:tcW w:w="0" w:type="auto"/>
            <w:shd w:val="clear" w:color="auto" w:fill="CCEEFF"/>
            <w:tcMar>
              <w:top w:w="40" w:type="dxa"/>
              <w:bottom w:w="40" w:type="dxa"/>
              <w:right w:w="40" w:type="dxa"/>
            </w:tcMar>
            <w:vAlign w:val="bottom"/>
          </w:tcPr>
          <w:p w14:paraId="55567D4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D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D51" w14:textId="77777777" w:rsidR="00F925DD" w:rsidRDefault="00F925DD">
            <w:pPr>
              <w:jc w:val="right"/>
              <w:textAlignment w:val="bottom"/>
              <w:rPr>
                <w:rFonts w:ascii="Times New Roman" w:hAnsi="Times New Roman"/>
                <w:sz w:val="16"/>
                <w:szCs w:val="16"/>
              </w:rPr>
            </w:pPr>
          </w:p>
        </w:tc>
        <w:tc>
          <w:tcPr>
            <w:tcW w:w="0" w:type="auto"/>
            <w:shd w:val="clear" w:color="auto" w:fill="CCEEFF"/>
            <w:vAlign w:val="bottom"/>
          </w:tcPr>
          <w:p w14:paraId="55567D5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D5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1.19</w:t>
            </w:r>
          </w:p>
        </w:tc>
        <w:tc>
          <w:tcPr>
            <w:tcW w:w="0" w:type="auto"/>
            <w:shd w:val="clear" w:color="auto" w:fill="CCEEFF"/>
            <w:tcMar>
              <w:top w:w="40" w:type="dxa"/>
              <w:bottom w:w="40" w:type="dxa"/>
              <w:right w:w="40" w:type="dxa"/>
            </w:tcMar>
            <w:vAlign w:val="bottom"/>
          </w:tcPr>
          <w:p w14:paraId="55567D57" w14:textId="77777777" w:rsidR="00F925DD" w:rsidRDefault="00E705D7">
            <w:pPr>
              <w:textAlignment w:val="bottom"/>
              <w:rPr>
                <w:rFonts w:ascii="Times New Roman" w:hAnsi="Times New Roman"/>
                <w:sz w:val="16"/>
                <w:szCs w:val="16"/>
              </w:rPr>
            </w:pPr>
            <w:r>
              <w:rPr>
                <w:rFonts w:ascii="Arial" w:eastAsia="宋体" w:hAnsi="Arial" w:cs="Arial"/>
                <w:sz w:val="16"/>
                <w:szCs w:val="16"/>
              </w:rPr>
              <w:t> %</w:t>
            </w:r>
          </w:p>
        </w:tc>
      </w:tr>
      <w:tr w:rsidR="00F925DD" w14:paraId="55567D71" w14:textId="77777777">
        <w:tc>
          <w:tcPr>
            <w:tcW w:w="0" w:type="auto"/>
            <w:shd w:val="clear" w:color="auto" w:fill="auto"/>
            <w:tcMar>
              <w:top w:w="40" w:type="dxa"/>
              <w:left w:w="40" w:type="dxa"/>
              <w:bottom w:w="40" w:type="dxa"/>
              <w:right w:w="40" w:type="dxa"/>
            </w:tcMar>
            <w:vAlign w:val="bottom"/>
          </w:tcPr>
          <w:p w14:paraId="55567D59"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interest income, fully taxable-equivalent basis</w:t>
            </w:r>
          </w:p>
        </w:tc>
        <w:tc>
          <w:tcPr>
            <w:tcW w:w="0" w:type="auto"/>
            <w:gridSpan w:val="3"/>
            <w:shd w:val="clear" w:color="auto" w:fill="auto"/>
            <w:tcMar>
              <w:top w:w="40" w:type="dxa"/>
              <w:left w:w="40" w:type="dxa"/>
              <w:bottom w:w="40" w:type="dxa"/>
              <w:right w:w="40" w:type="dxa"/>
            </w:tcMar>
            <w:vAlign w:val="bottom"/>
          </w:tcPr>
          <w:p w14:paraId="55567D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D5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bottom w:w="40" w:type="dxa"/>
            </w:tcMar>
            <w:vAlign w:val="bottom"/>
          </w:tcPr>
          <w:p w14:paraId="55567D5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2,585</w:t>
            </w:r>
          </w:p>
        </w:tc>
        <w:tc>
          <w:tcPr>
            <w:tcW w:w="0" w:type="auto"/>
            <w:shd w:val="clear" w:color="auto" w:fill="auto"/>
            <w:vAlign w:val="bottom"/>
          </w:tcPr>
          <w:p w14:paraId="55567D5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D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D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D6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55567D6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2,728</w:t>
            </w:r>
          </w:p>
        </w:tc>
        <w:tc>
          <w:tcPr>
            <w:tcW w:w="0" w:type="auto"/>
            <w:shd w:val="clear" w:color="auto" w:fill="auto"/>
            <w:vAlign w:val="bottom"/>
          </w:tcPr>
          <w:p w14:paraId="55567D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D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D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D6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55567D6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2,471</w:t>
            </w:r>
          </w:p>
        </w:tc>
        <w:tc>
          <w:tcPr>
            <w:tcW w:w="0" w:type="auto"/>
            <w:shd w:val="clear" w:color="auto" w:fill="auto"/>
            <w:vAlign w:val="bottom"/>
          </w:tcPr>
          <w:p w14:paraId="55567D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D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D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D87" w14:textId="77777777">
        <w:tc>
          <w:tcPr>
            <w:tcW w:w="0" w:type="auto"/>
            <w:shd w:val="clear" w:color="auto" w:fill="CCEEFF"/>
            <w:tcMar>
              <w:top w:w="40" w:type="dxa"/>
              <w:left w:w="40" w:type="dxa"/>
              <w:bottom w:w="40" w:type="dxa"/>
              <w:right w:w="40" w:type="dxa"/>
            </w:tcMar>
            <w:vAlign w:val="bottom"/>
          </w:tcPr>
          <w:p w14:paraId="55567D72"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interest margin, fully taxable-equivalent basis</w:t>
            </w:r>
          </w:p>
        </w:tc>
        <w:tc>
          <w:tcPr>
            <w:tcW w:w="0" w:type="auto"/>
            <w:gridSpan w:val="3"/>
            <w:shd w:val="clear" w:color="auto" w:fill="CCEEFF"/>
            <w:tcMar>
              <w:top w:w="40" w:type="dxa"/>
              <w:left w:w="40" w:type="dxa"/>
              <w:bottom w:w="40" w:type="dxa"/>
              <w:right w:w="40" w:type="dxa"/>
            </w:tcMar>
            <w:vAlign w:val="bottom"/>
          </w:tcPr>
          <w:p w14:paraId="55567D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D7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1.42</w:t>
            </w:r>
          </w:p>
        </w:tc>
        <w:tc>
          <w:tcPr>
            <w:tcW w:w="0" w:type="auto"/>
            <w:shd w:val="clear" w:color="auto" w:fill="CCEEFF"/>
            <w:tcMar>
              <w:top w:w="40" w:type="dxa"/>
              <w:bottom w:w="40" w:type="dxa"/>
              <w:right w:w="40" w:type="dxa"/>
            </w:tcMar>
            <w:vAlign w:val="bottom"/>
          </w:tcPr>
          <w:p w14:paraId="55567D78"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7D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D7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1.47</w:t>
            </w:r>
          </w:p>
        </w:tc>
        <w:tc>
          <w:tcPr>
            <w:tcW w:w="0" w:type="auto"/>
            <w:shd w:val="clear" w:color="auto" w:fill="CCEEFF"/>
            <w:tcMar>
              <w:top w:w="40" w:type="dxa"/>
              <w:bottom w:w="40" w:type="dxa"/>
              <w:right w:w="40" w:type="dxa"/>
            </w:tcMar>
            <w:vAlign w:val="bottom"/>
          </w:tcPr>
          <w:p w14:paraId="55567D7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7D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D8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1.29</w:t>
            </w:r>
          </w:p>
        </w:tc>
        <w:tc>
          <w:tcPr>
            <w:tcW w:w="0" w:type="auto"/>
            <w:shd w:val="clear" w:color="auto" w:fill="CCEEFF"/>
            <w:tcMar>
              <w:top w:w="40" w:type="dxa"/>
              <w:bottom w:w="40" w:type="dxa"/>
              <w:right w:w="40" w:type="dxa"/>
            </w:tcMar>
            <w:vAlign w:val="bottom"/>
          </w:tcPr>
          <w:p w14:paraId="55567D86" w14:textId="77777777" w:rsidR="00F925DD" w:rsidRDefault="00E705D7">
            <w:pPr>
              <w:textAlignment w:val="bottom"/>
              <w:rPr>
                <w:rFonts w:ascii="Times New Roman" w:hAnsi="Times New Roman"/>
                <w:sz w:val="16"/>
                <w:szCs w:val="16"/>
              </w:rPr>
            </w:pPr>
            <w:r>
              <w:rPr>
                <w:rFonts w:ascii="Arial" w:eastAsia="宋体" w:hAnsi="Arial" w:cs="Arial"/>
                <w:sz w:val="16"/>
                <w:szCs w:val="16"/>
              </w:rPr>
              <w:t> %</w:t>
            </w:r>
          </w:p>
        </w:tc>
      </w:tr>
      <w:tr w:rsidR="00F925DD" w14:paraId="55567D9D" w14:textId="77777777">
        <w:tc>
          <w:tcPr>
            <w:tcW w:w="0" w:type="auto"/>
            <w:shd w:val="clear" w:color="auto" w:fill="auto"/>
            <w:tcMar>
              <w:top w:w="40" w:type="dxa"/>
              <w:left w:w="40" w:type="dxa"/>
              <w:bottom w:w="40" w:type="dxa"/>
              <w:right w:w="40" w:type="dxa"/>
            </w:tcMar>
            <w:vAlign w:val="bottom"/>
          </w:tcPr>
          <w:p w14:paraId="55567D88" w14:textId="77777777" w:rsidR="00F925DD" w:rsidRDefault="00E705D7">
            <w:pPr>
              <w:textAlignment w:val="bottom"/>
              <w:rPr>
                <w:rFonts w:ascii="Times New Roman" w:hAnsi="Times New Roman"/>
                <w:sz w:val="16"/>
                <w:szCs w:val="16"/>
              </w:rPr>
            </w:pPr>
            <w:r>
              <w:rPr>
                <w:rFonts w:ascii="Arial" w:eastAsia="宋体" w:hAnsi="Arial" w:cs="Arial"/>
                <w:sz w:val="16"/>
                <w:szCs w:val="16"/>
              </w:rPr>
              <w:t>Tax-equivalent adjustment</w:t>
            </w:r>
          </w:p>
        </w:tc>
        <w:tc>
          <w:tcPr>
            <w:tcW w:w="0" w:type="auto"/>
            <w:gridSpan w:val="3"/>
            <w:shd w:val="clear" w:color="auto" w:fill="auto"/>
            <w:tcMar>
              <w:top w:w="40" w:type="dxa"/>
              <w:left w:w="40" w:type="dxa"/>
              <w:bottom w:w="40" w:type="dxa"/>
              <w:right w:w="40" w:type="dxa"/>
            </w:tcMar>
            <w:vAlign w:val="bottom"/>
          </w:tcPr>
          <w:p w14:paraId="55567D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D8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(19</w:t>
            </w:r>
          </w:p>
        </w:tc>
        <w:tc>
          <w:tcPr>
            <w:tcW w:w="0" w:type="auto"/>
            <w:shd w:val="clear" w:color="auto" w:fill="auto"/>
            <w:tcMar>
              <w:top w:w="40" w:type="dxa"/>
              <w:bottom w:w="40" w:type="dxa"/>
              <w:right w:w="40" w:type="dxa"/>
            </w:tcMar>
            <w:vAlign w:val="bottom"/>
          </w:tcPr>
          <w:p w14:paraId="55567D8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7D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D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D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D9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(57</w:t>
            </w:r>
          </w:p>
        </w:tc>
        <w:tc>
          <w:tcPr>
            <w:tcW w:w="0" w:type="auto"/>
            <w:shd w:val="clear" w:color="auto" w:fill="auto"/>
            <w:tcMar>
              <w:top w:w="40" w:type="dxa"/>
              <w:bottom w:w="40" w:type="dxa"/>
              <w:right w:w="40" w:type="dxa"/>
            </w:tcMar>
            <w:vAlign w:val="bottom"/>
          </w:tcPr>
          <w:p w14:paraId="55567D9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7D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D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D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D9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(167</w:t>
            </w:r>
          </w:p>
        </w:tc>
        <w:tc>
          <w:tcPr>
            <w:tcW w:w="0" w:type="auto"/>
            <w:shd w:val="clear" w:color="auto" w:fill="auto"/>
            <w:tcMar>
              <w:top w:w="40" w:type="dxa"/>
              <w:bottom w:w="40" w:type="dxa"/>
              <w:right w:w="40" w:type="dxa"/>
            </w:tcMar>
            <w:vAlign w:val="bottom"/>
          </w:tcPr>
          <w:p w14:paraId="55567D9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7D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D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DB6" w14:textId="77777777">
        <w:tc>
          <w:tcPr>
            <w:tcW w:w="0" w:type="auto"/>
            <w:shd w:val="clear" w:color="auto" w:fill="CCEEFF"/>
            <w:tcMar>
              <w:top w:w="40" w:type="dxa"/>
              <w:left w:w="40" w:type="dxa"/>
              <w:bottom w:w="40" w:type="dxa"/>
              <w:right w:w="40" w:type="dxa"/>
            </w:tcMar>
            <w:vAlign w:val="bottom"/>
          </w:tcPr>
          <w:p w14:paraId="55567D9E"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intere</w:t>
            </w:r>
            <w:r>
              <w:rPr>
                <w:rFonts w:ascii="Arial" w:eastAsia="宋体" w:hAnsi="Arial" w:cs="Arial"/>
                <w:sz w:val="16"/>
                <w:szCs w:val="16"/>
              </w:rPr>
              <w:t xml:space="preserve">st income, GAAP basis </w:t>
            </w:r>
          </w:p>
        </w:tc>
        <w:tc>
          <w:tcPr>
            <w:tcW w:w="0" w:type="auto"/>
            <w:gridSpan w:val="3"/>
            <w:shd w:val="clear" w:color="auto" w:fill="CCEEFF"/>
            <w:tcMar>
              <w:top w:w="40" w:type="dxa"/>
              <w:left w:w="40" w:type="dxa"/>
              <w:bottom w:w="40" w:type="dxa"/>
              <w:right w:w="40" w:type="dxa"/>
            </w:tcMar>
            <w:vAlign w:val="bottom"/>
          </w:tcPr>
          <w:p w14:paraId="55567D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DA1"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DA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2,566</w:t>
            </w:r>
          </w:p>
        </w:tc>
        <w:tc>
          <w:tcPr>
            <w:tcW w:w="0" w:type="auto"/>
            <w:tcBorders>
              <w:top w:val="single" w:sz="8" w:space="0" w:color="000000"/>
              <w:bottom w:val="double" w:sz="6" w:space="0" w:color="000000"/>
            </w:tcBorders>
            <w:shd w:val="clear" w:color="auto" w:fill="CCEEFF"/>
            <w:vAlign w:val="bottom"/>
          </w:tcPr>
          <w:p w14:paraId="55567D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D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DA9"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DA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2,671</w:t>
            </w:r>
          </w:p>
        </w:tc>
        <w:tc>
          <w:tcPr>
            <w:tcW w:w="0" w:type="auto"/>
            <w:tcBorders>
              <w:top w:val="single" w:sz="8" w:space="0" w:color="000000"/>
              <w:bottom w:val="double" w:sz="6" w:space="0" w:color="000000"/>
            </w:tcBorders>
            <w:shd w:val="clear" w:color="auto" w:fill="CCEEFF"/>
            <w:vAlign w:val="bottom"/>
          </w:tcPr>
          <w:p w14:paraId="55567D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D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7D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7D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7DB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7DB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2,304</w:t>
            </w:r>
          </w:p>
        </w:tc>
        <w:tc>
          <w:tcPr>
            <w:tcW w:w="0" w:type="auto"/>
            <w:tcBorders>
              <w:top w:val="single" w:sz="8" w:space="0" w:color="000000"/>
              <w:bottom w:val="double" w:sz="6" w:space="0" w:color="000000"/>
            </w:tcBorders>
            <w:shd w:val="clear" w:color="auto" w:fill="CCEEFF"/>
            <w:vAlign w:val="bottom"/>
          </w:tcPr>
          <w:p w14:paraId="55567D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D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7D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7DB7"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7DB9" w14:textId="77777777">
        <w:tc>
          <w:tcPr>
            <w:tcW w:w="0" w:type="auto"/>
            <w:gridSpan w:val="2"/>
            <w:shd w:val="clear" w:color="auto" w:fill="auto"/>
            <w:vAlign w:val="center"/>
          </w:tcPr>
          <w:p w14:paraId="55567DB8" w14:textId="77777777" w:rsidR="00F925DD" w:rsidRDefault="00F925DD">
            <w:pPr>
              <w:rPr>
                <w:rFonts w:ascii="Times New Roman" w:hAnsi="Times New Roman"/>
                <w:sz w:val="20"/>
                <w:szCs w:val="20"/>
              </w:rPr>
            </w:pPr>
          </w:p>
        </w:tc>
      </w:tr>
      <w:tr w:rsidR="00F925DD" w14:paraId="55567DBC" w14:textId="77777777">
        <w:tc>
          <w:tcPr>
            <w:tcW w:w="1400" w:type="pct"/>
            <w:shd w:val="clear" w:color="auto" w:fill="auto"/>
            <w:vAlign w:val="center"/>
          </w:tcPr>
          <w:p w14:paraId="55567DBA" w14:textId="77777777" w:rsidR="00F925DD" w:rsidRDefault="00F925DD">
            <w:pPr>
              <w:rPr>
                <w:rFonts w:ascii="Times New Roman" w:hAnsi="Times New Roman"/>
                <w:sz w:val="20"/>
                <w:szCs w:val="20"/>
              </w:rPr>
            </w:pPr>
          </w:p>
        </w:tc>
        <w:tc>
          <w:tcPr>
            <w:tcW w:w="3600" w:type="pct"/>
            <w:shd w:val="clear" w:color="auto" w:fill="auto"/>
            <w:vAlign w:val="center"/>
          </w:tcPr>
          <w:p w14:paraId="55567DBB" w14:textId="77777777" w:rsidR="00F925DD" w:rsidRDefault="00F925DD">
            <w:pPr>
              <w:rPr>
                <w:rFonts w:ascii="Times New Roman" w:hAnsi="Times New Roman"/>
                <w:sz w:val="20"/>
                <w:szCs w:val="20"/>
              </w:rPr>
            </w:pPr>
          </w:p>
        </w:tc>
      </w:tr>
      <w:tr w:rsidR="00F925DD" w14:paraId="55567DB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7D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D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7DC0"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Rates earned/paid on interest-earning assets and interest-bearing liabilities include the impact of hedge activities associated with our asset and liability management activities where applicable.</w:t>
      </w:r>
    </w:p>
    <w:p w14:paraId="55567DC1"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(2)</w:t>
      </w:r>
      <w:r>
        <w:rPr>
          <w:rFonts w:ascii="Arial" w:eastAsia="宋体" w:hAnsi="Arial" w:cs="Arial"/>
          <w:sz w:val="14"/>
          <w:szCs w:val="14"/>
        </w:rPr>
        <w:t xml:space="preserve"> Reflects the impact of balance sheet netting under enf</w:t>
      </w:r>
      <w:r>
        <w:rPr>
          <w:rFonts w:ascii="Arial" w:eastAsia="宋体" w:hAnsi="Arial" w:cs="Arial"/>
          <w:sz w:val="14"/>
          <w:szCs w:val="14"/>
        </w:rPr>
        <w:t>orceable netting agreements of approximately $86.67 billion, $35.74 billion and $31.15 billion for the years ended December 31, 2019, 2018 and 2017, respectively. Excluding the impact of netting, the average interest rates would be approximately 0.41%, 0.8</w:t>
      </w:r>
      <w:r>
        <w:rPr>
          <w:rFonts w:ascii="Arial" w:eastAsia="宋体" w:hAnsi="Arial" w:cs="Arial"/>
          <w:sz w:val="14"/>
          <w:szCs w:val="14"/>
        </w:rPr>
        <w:t>7% and 0.79% for the years ended December 31, 2019, 2018 and 2017, respectively.</w:t>
      </w:r>
    </w:p>
    <w:p w14:paraId="55567DC2"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(3)</w:t>
      </w:r>
      <w:r>
        <w:rPr>
          <w:rFonts w:ascii="Arial" w:eastAsia="宋体" w:hAnsi="Arial" w:cs="Arial"/>
          <w:sz w:val="14"/>
          <w:szCs w:val="14"/>
        </w:rPr>
        <w:t xml:space="preserve"> Average rate includes the impact of FX swap costs of approximately $153 million, $106 million and $141 million for the years ended December 31, 2019, 2018 and 2017, respec</w:t>
      </w:r>
      <w:r>
        <w:rPr>
          <w:rFonts w:ascii="Arial" w:eastAsia="宋体" w:hAnsi="Arial" w:cs="Arial"/>
          <w:sz w:val="14"/>
          <w:szCs w:val="14"/>
        </w:rPr>
        <w:t xml:space="preserve">tively. Average rates for total interest-bearing deposits excluding the impact of FX swap costs were 0.40%, 0.20% and 0.02% for the years ended December 31, 2019, 2018 and 2017, respectively. </w:t>
      </w:r>
    </w:p>
    <w:p w14:paraId="55567DC3"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(4)</w:t>
      </w:r>
      <w:r>
        <w:rPr>
          <w:rFonts w:ascii="Arial" w:eastAsia="宋体" w:hAnsi="Arial" w:cs="Arial"/>
          <w:sz w:val="14"/>
          <w:szCs w:val="14"/>
        </w:rPr>
        <w:t xml:space="preserve"> Total deposits averaged $158.26 billion compared to $161.41</w:t>
      </w:r>
      <w:r>
        <w:rPr>
          <w:rFonts w:ascii="Arial" w:eastAsia="宋体" w:hAnsi="Arial" w:cs="Arial"/>
          <w:sz w:val="14"/>
          <w:szCs w:val="14"/>
        </w:rPr>
        <w:t xml:space="preserve"> billion and $163.81 billion for 2018 and 2017, respectively.</w:t>
      </w:r>
    </w:p>
    <w:p w14:paraId="55567DC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Changes in the components of interest-earning assets and interest-bearing liabilities are discussed in more detail below. Additional information about the components of interest income and inter</w:t>
      </w:r>
      <w:r>
        <w:rPr>
          <w:rFonts w:ascii="Arial" w:eastAsia="宋体" w:hAnsi="Arial" w:cs="Arial"/>
          <w:sz w:val="20"/>
          <w:szCs w:val="20"/>
        </w:rPr>
        <w:t>est expense is provided in Note 17 to the consolidated financial statements in this Form 10-K.</w:t>
      </w:r>
    </w:p>
    <w:p w14:paraId="55567DC5" w14:textId="77777777" w:rsidR="00F925DD" w:rsidRDefault="00F925DD">
      <w:pPr>
        <w:rPr>
          <w:rFonts w:ascii="Times New Roman" w:hAnsi="Times New Roman"/>
          <w:sz w:val="20"/>
          <w:szCs w:val="20"/>
        </w:rPr>
      </w:pPr>
    </w:p>
    <w:p w14:paraId="55567DC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65</w:t>
      </w:r>
    </w:p>
    <w:p w14:paraId="55567DC7" w14:textId="77777777" w:rsidR="00F925DD" w:rsidRDefault="00F925DD">
      <w:pPr>
        <w:spacing w:line="288" w:lineRule="auto"/>
        <w:ind w:firstLine="600"/>
        <w:jc w:val="center"/>
        <w:rPr>
          <w:rFonts w:ascii="Times New Roman" w:hAnsi="Times New Roman"/>
          <w:sz w:val="18"/>
          <w:szCs w:val="18"/>
        </w:rPr>
      </w:pPr>
    </w:p>
    <w:p w14:paraId="55567DC8" w14:textId="77777777" w:rsidR="00F925DD" w:rsidRDefault="00E705D7">
      <w:r>
        <w:rPr>
          <w:rFonts w:ascii="Times New Roman" w:hAnsi="Times New Roman"/>
          <w:sz w:val="18"/>
          <w:szCs w:val="18"/>
        </w:rPr>
        <w:pict w14:anchorId="5557067B">
          <v:rect id="_x0000_i1089" style="width:415.3pt;height:1.5pt" o:hralign="center" o:hrstd="t" o:hr="t" fillcolor="#a0a0a0" stroked="f"/>
        </w:pict>
      </w:r>
    </w:p>
    <w:p w14:paraId="55567DC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DC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DCB" w14:textId="77777777" w:rsidR="00F925DD" w:rsidRDefault="00F925DD">
      <w:pPr>
        <w:rPr>
          <w:rFonts w:ascii="Times New Roman" w:hAnsi="Times New Roman"/>
          <w:sz w:val="20"/>
          <w:szCs w:val="20"/>
        </w:rPr>
      </w:pPr>
    </w:p>
    <w:p w14:paraId="55567DC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Average total </w:t>
      </w:r>
      <w:r>
        <w:rPr>
          <w:rFonts w:ascii="Arial" w:eastAsia="宋体" w:hAnsi="Arial" w:cs="Arial"/>
          <w:sz w:val="20"/>
          <w:szCs w:val="20"/>
        </w:rPr>
        <w:t>interest-earning assets were $181.89 billion in 2019 compared to $185.64 billion in 2018. The decrease is primarily driven by lower average total client deposits.</w:t>
      </w:r>
    </w:p>
    <w:p w14:paraId="55567DC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Interest-bearing deposits with banks averaged $48.50 billion in 2019 compared to $54.33 billi</w:t>
      </w:r>
      <w:r>
        <w:rPr>
          <w:rFonts w:ascii="Arial" w:eastAsia="宋体" w:hAnsi="Arial" w:cs="Arial"/>
          <w:sz w:val="20"/>
          <w:szCs w:val="20"/>
        </w:rPr>
        <w:t>on in 2018. These deposits primarily reflect our maintenance of cash balances at the Federal Reserve, the European Central Bank (ECB) and other non-U.S. central banks. The lower levels of average cash balances with central banks reflect lower levels of cli</w:t>
      </w:r>
      <w:r>
        <w:rPr>
          <w:rFonts w:ascii="Arial" w:eastAsia="宋体" w:hAnsi="Arial" w:cs="Arial"/>
          <w:sz w:val="20"/>
          <w:szCs w:val="20"/>
        </w:rPr>
        <w:t>ent deposits and an increase in the investment portfolio.</w:t>
      </w:r>
    </w:p>
    <w:p w14:paraId="55567DC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Securities purchased under resale agreements averaged $2.51 billion in 2019 compared to $2.90 billion in 2018. While the on-balance sheet amount has remained relatively stable, the impact of balance</w:t>
      </w:r>
      <w:r>
        <w:rPr>
          <w:rFonts w:ascii="Arial" w:eastAsia="宋体" w:hAnsi="Arial" w:cs="Arial"/>
          <w:sz w:val="20"/>
          <w:szCs w:val="20"/>
        </w:rPr>
        <w:t xml:space="preserve"> sheet netting increased to $86.67 billion on average in 2019</w:t>
      </w:r>
      <w:r>
        <w:rPr>
          <w:rFonts w:ascii="Arial" w:eastAsia="宋体" w:hAnsi="Arial" w:cs="Arial"/>
          <w:sz w:val="13"/>
          <w:szCs w:val="13"/>
        </w:rPr>
        <w:t xml:space="preserve">, </w:t>
      </w:r>
      <w:r>
        <w:rPr>
          <w:rFonts w:ascii="Arial" w:eastAsia="宋体" w:hAnsi="Arial" w:cs="Arial"/>
          <w:sz w:val="20"/>
          <w:szCs w:val="20"/>
        </w:rPr>
        <w:t>respectively</w:t>
      </w:r>
      <w:r>
        <w:rPr>
          <w:rFonts w:ascii="Arial" w:eastAsia="宋体" w:hAnsi="Arial" w:cs="Arial"/>
          <w:sz w:val="13"/>
          <w:szCs w:val="13"/>
        </w:rPr>
        <w:t xml:space="preserve">, </w:t>
      </w:r>
      <w:r>
        <w:rPr>
          <w:rFonts w:ascii="Arial" w:eastAsia="宋体" w:hAnsi="Arial" w:cs="Arial"/>
          <w:sz w:val="20"/>
          <w:szCs w:val="20"/>
        </w:rPr>
        <w:t>compared to $35.74 billion in 2018. We maintain an agreement with Fixed Income Clearing Corporation (FICC), a clearing organization that enables us to net all securities sold unde</w:t>
      </w:r>
      <w:r>
        <w:rPr>
          <w:rFonts w:ascii="Arial" w:eastAsia="宋体" w:hAnsi="Arial" w:cs="Arial"/>
          <w:sz w:val="20"/>
          <w:szCs w:val="20"/>
        </w:rPr>
        <w:t>r repurchase agreements against those purchased under resale agreements with counterparties that are also members of the clearing organization. The increase in average balance sheet netting, in 2019 compared to 2018, is primarily due to the expansion of ou</w:t>
      </w:r>
      <w:r>
        <w:rPr>
          <w:rFonts w:ascii="Arial" w:eastAsia="宋体" w:hAnsi="Arial" w:cs="Arial"/>
          <w:sz w:val="20"/>
          <w:szCs w:val="20"/>
        </w:rPr>
        <w:t>r FICC program and new client activity.</w:t>
      </w:r>
    </w:p>
    <w:p w14:paraId="55567DC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been a netting and sponsoring member within FICC since 2005. FICC expanded the service in 2017, and since then, we have increased our participation. We enter into repurchase and resale transactions in eligibl</w:t>
      </w:r>
      <w:r>
        <w:rPr>
          <w:rFonts w:ascii="Arial" w:eastAsia="宋体" w:hAnsi="Arial" w:cs="Arial"/>
          <w:sz w:val="20"/>
          <w:szCs w:val="20"/>
        </w:rPr>
        <w:t>e securities with sponsored clients and with other FICC members and, pursuant to FICC Government Securities Division rules, submit, novate and net the transactions. We may sponsor clients to clear their eligible repurchase transactions with FICC, backed by</w:t>
      </w:r>
      <w:r>
        <w:rPr>
          <w:rFonts w:ascii="Arial" w:eastAsia="宋体" w:hAnsi="Arial" w:cs="Arial"/>
          <w:sz w:val="20"/>
          <w:szCs w:val="20"/>
        </w:rPr>
        <w:t xml:space="preserve"> our guarantee to FICC of the prompt and full payment and performance of our sponsored member clients’ respective obligations. We obtain a security interest from our sponsored clients in the high quality securities collateral that they receive, which is de</w:t>
      </w:r>
      <w:r>
        <w:rPr>
          <w:rFonts w:ascii="Arial" w:eastAsia="宋体" w:hAnsi="Arial" w:cs="Arial"/>
          <w:sz w:val="20"/>
          <w:szCs w:val="20"/>
        </w:rPr>
        <w:t>signed to mitigate our potential exposure to FICC.</w:t>
      </w:r>
    </w:p>
    <w:p w14:paraId="55567DD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Average investment securities increased to $91.77 billion in 2019 from $88.07 billion in 2018 primarily driven by increased investment in MBS. </w:t>
      </w:r>
    </w:p>
    <w:p w14:paraId="55567DD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Loans averaged $24.07 billion in 2019 compared to $23.57 bill</w:t>
      </w:r>
      <w:r>
        <w:rPr>
          <w:rFonts w:ascii="Arial" w:eastAsia="宋体" w:hAnsi="Arial" w:cs="Arial"/>
          <w:sz w:val="20"/>
          <w:szCs w:val="20"/>
        </w:rPr>
        <w:t xml:space="preserve">ion in 2018. Average core loans, which exclude overdrafts, averaged $19.95 billion in 2019 compared to $18.65 billion in 2018. </w:t>
      </w:r>
    </w:p>
    <w:p w14:paraId="55567DD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Average other interest-earning assets, largely associated with our enhanced custody business, decreased to $14.16 billion in 201</w:t>
      </w:r>
      <w:r>
        <w:rPr>
          <w:rFonts w:ascii="Arial" w:eastAsia="宋体" w:hAnsi="Arial" w:cs="Arial"/>
          <w:sz w:val="20"/>
          <w:szCs w:val="20"/>
        </w:rPr>
        <w:t xml:space="preserve">9 from $15.71 billion in 2018, primarily driven by a reduction in the level of cash collateral posted. Enhanced custody is our securities financing business where we act as principal with respect to our custody clients and generate </w:t>
      </w:r>
    </w:p>
    <w:p w14:paraId="55567DD3"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DD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securities finance re</w:t>
      </w:r>
      <w:r>
        <w:rPr>
          <w:rFonts w:ascii="Arial" w:eastAsia="宋体" w:hAnsi="Arial" w:cs="Arial"/>
          <w:sz w:val="20"/>
          <w:szCs w:val="20"/>
        </w:rPr>
        <w:t>venue. The NII earned on these transactions is generally lower than the interest earned on other alternative investments.</w:t>
      </w:r>
    </w:p>
    <w:p w14:paraId="55567DD5" w14:textId="77777777" w:rsidR="00F925DD" w:rsidRDefault="00E705D7">
      <w:pPr>
        <w:spacing w:line="288" w:lineRule="auto"/>
        <w:ind w:firstLine="600"/>
        <w:jc w:val="both"/>
        <w:rPr>
          <w:rFonts w:ascii="Times New Roman" w:hAnsi="Times New Roman"/>
          <w:sz w:val="22"/>
          <w:szCs w:val="22"/>
        </w:rPr>
      </w:pPr>
      <w:r>
        <w:rPr>
          <w:rFonts w:ascii="Arial" w:eastAsia="宋体" w:hAnsi="Arial" w:cs="Arial"/>
          <w:sz w:val="20"/>
          <w:szCs w:val="20"/>
        </w:rPr>
        <w:t>Aggregate average total interest-bearing deposits increased to $128.85 billion in 2019 from $125.58 billion in 2018. Average U.S. inte</w:t>
      </w:r>
      <w:r>
        <w:rPr>
          <w:rFonts w:ascii="Arial" w:eastAsia="宋体" w:hAnsi="Arial" w:cs="Arial"/>
          <w:sz w:val="20"/>
          <w:szCs w:val="20"/>
        </w:rPr>
        <w:t>rest-bearing deposits increased as a result of a gradual shift from non-interest bearing deposits and new deposit initiatives. Future deposit levels will be influenced by the underlying asset servicing business, client deposit</w:t>
      </w:r>
      <w:r>
        <w:rPr>
          <w:rFonts w:ascii="Times New Roman" w:eastAsia="宋体" w:hAnsi="Times New Roman"/>
          <w:sz w:val="22"/>
          <w:szCs w:val="22"/>
        </w:rPr>
        <w:t xml:space="preserve"> </w:t>
      </w:r>
      <w:r>
        <w:rPr>
          <w:rFonts w:ascii="Arial" w:eastAsia="宋体" w:hAnsi="Arial" w:cs="Arial"/>
          <w:sz w:val="20"/>
          <w:szCs w:val="20"/>
        </w:rPr>
        <w:t>behavior and market condition</w:t>
      </w:r>
      <w:r>
        <w:rPr>
          <w:rFonts w:ascii="Arial" w:eastAsia="宋体" w:hAnsi="Arial" w:cs="Arial"/>
          <w:sz w:val="20"/>
          <w:szCs w:val="20"/>
        </w:rPr>
        <w:t>s, including the general levels of U.S. and non-U.S. interest rates.</w:t>
      </w:r>
    </w:p>
    <w:p w14:paraId="55567DD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Average other short-term borrowings, typically associated with our tax-exempt investment program, increased to $1.52 billion in 2019 from $1.33 billion in 2018.</w:t>
      </w:r>
    </w:p>
    <w:p w14:paraId="55567DD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Average long-term debt was</w:t>
      </w:r>
      <w:r>
        <w:rPr>
          <w:rFonts w:ascii="Arial" w:eastAsia="宋体" w:hAnsi="Arial" w:cs="Arial"/>
          <w:sz w:val="20"/>
          <w:szCs w:val="20"/>
        </w:rPr>
        <w:t xml:space="preserve"> $11.47 billion in 2019 compared to $10.69 billion in 2018. These amounts reflect issuances, redemptions and maturities of senior debt during the respective periods, including the issuance of $1.0 billion of senior debt and $500 million of subordinated deb</w:t>
      </w:r>
      <w:r>
        <w:rPr>
          <w:rFonts w:ascii="Arial" w:eastAsia="宋体" w:hAnsi="Arial" w:cs="Arial"/>
          <w:sz w:val="20"/>
          <w:szCs w:val="20"/>
        </w:rPr>
        <w:t>t in November 2019.</w:t>
      </w:r>
    </w:p>
    <w:p w14:paraId="55567DD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Average other interest-bearing liabilities were $4.10 billion in 2019 compared to $4.96 billion in 2018. Other interest-bearing liabilities primarily reflect our level of cash collateral received from clients in connection with our </w:t>
      </w:r>
      <w:r>
        <w:rPr>
          <w:rFonts w:ascii="Arial" w:eastAsia="宋体" w:hAnsi="Arial" w:cs="Arial"/>
          <w:sz w:val="20"/>
          <w:szCs w:val="20"/>
        </w:rPr>
        <w:t>enhanced custody business, which is presented on a net basis where we have enforceable netting agreements.</w:t>
      </w:r>
    </w:p>
    <w:p w14:paraId="55567DD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Several factors could affect future levels of NII and NIM, including the volume and mix of client deposits and funding sources; central bank actions;</w:t>
      </w:r>
      <w:r>
        <w:rPr>
          <w:rFonts w:ascii="Arial" w:eastAsia="宋体" w:hAnsi="Arial" w:cs="Arial"/>
          <w:sz w:val="20"/>
          <w:szCs w:val="20"/>
        </w:rPr>
        <w:t xml:space="preserve"> balance sheet management activities; changes in the level and slope of U.S. and non-U.S. interest rates; revised or proposed regulatory capital or liquidity standards, or interpretations of those standards; the yields earned on securities purchased compar</w:t>
      </w:r>
      <w:r>
        <w:rPr>
          <w:rFonts w:ascii="Arial" w:eastAsia="宋体" w:hAnsi="Arial" w:cs="Arial"/>
          <w:sz w:val="20"/>
          <w:szCs w:val="20"/>
        </w:rPr>
        <w:t>ed to the yields earned on securities sold or matured and changes in the type and amount of credit or other loans we extend.</w:t>
      </w:r>
    </w:p>
    <w:p w14:paraId="55567DD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Based on market conditions and other factors, including regulatory standards, we continue to reinvest the majority of the proceeds </w:t>
      </w:r>
      <w:r>
        <w:rPr>
          <w:rFonts w:ascii="Arial" w:eastAsia="宋体" w:hAnsi="Arial" w:cs="Arial"/>
          <w:sz w:val="20"/>
          <w:szCs w:val="20"/>
        </w:rPr>
        <w:t>from pay-downs and maturities of investment securities in highly-rated U.S. and non-U.S. securities, such as federal agency MBS, sovereign debt securities and U.S. Treasury and agency securities. The pace at which we reinvest and the types of investment se</w:t>
      </w:r>
      <w:r>
        <w:rPr>
          <w:rFonts w:ascii="Arial" w:eastAsia="宋体" w:hAnsi="Arial" w:cs="Arial"/>
          <w:sz w:val="20"/>
          <w:szCs w:val="20"/>
        </w:rPr>
        <w:t>curities purchased will depend on the impact of market conditions, the implementation of regulatory standards, including interpretation of those standards and other factors over time. We expect these factors and the levels of global interest rates to impac</w:t>
      </w:r>
      <w:r>
        <w:rPr>
          <w:rFonts w:ascii="Arial" w:eastAsia="宋体" w:hAnsi="Arial" w:cs="Arial"/>
          <w:sz w:val="20"/>
          <w:szCs w:val="20"/>
        </w:rPr>
        <w:t>t our reinvestment program and future levels of NII and NIM.</w:t>
      </w:r>
    </w:p>
    <w:p w14:paraId="55567DDB" w14:textId="77777777" w:rsidR="00F925DD" w:rsidRDefault="00F925DD">
      <w:pPr>
        <w:rPr>
          <w:rFonts w:ascii="Times New Roman" w:hAnsi="Times New Roman"/>
          <w:sz w:val="20"/>
          <w:szCs w:val="20"/>
        </w:rPr>
      </w:pPr>
    </w:p>
    <w:p w14:paraId="55567DD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66</w:t>
      </w:r>
    </w:p>
    <w:p w14:paraId="55567DDD" w14:textId="77777777" w:rsidR="00F925DD" w:rsidRDefault="00F925DD">
      <w:pPr>
        <w:spacing w:line="288" w:lineRule="auto"/>
        <w:ind w:firstLine="600"/>
        <w:jc w:val="center"/>
        <w:rPr>
          <w:rFonts w:ascii="Times New Roman" w:hAnsi="Times New Roman"/>
          <w:sz w:val="18"/>
          <w:szCs w:val="18"/>
        </w:rPr>
      </w:pPr>
    </w:p>
    <w:p w14:paraId="55567DDE" w14:textId="77777777" w:rsidR="00F925DD" w:rsidRDefault="00E705D7">
      <w:r>
        <w:rPr>
          <w:rFonts w:ascii="Times New Roman" w:hAnsi="Times New Roman"/>
          <w:sz w:val="18"/>
          <w:szCs w:val="18"/>
        </w:rPr>
        <w:pict w14:anchorId="5557067C">
          <v:rect id="_x0000_i1090" style="width:415.3pt;height:1.5pt" o:hralign="center" o:hrstd="t" o:hr="t" fillcolor="#a0a0a0" stroked="f"/>
        </w:pict>
      </w:r>
    </w:p>
    <w:p w14:paraId="55567DD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DE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DE1" w14:textId="77777777" w:rsidR="00F925DD" w:rsidRDefault="00F925DD">
      <w:pPr>
        <w:rPr>
          <w:rFonts w:ascii="Times New Roman" w:hAnsi="Times New Roman"/>
          <w:sz w:val="20"/>
          <w:szCs w:val="20"/>
        </w:rPr>
      </w:pPr>
    </w:p>
    <w:p w14:paraId="55567DE2"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Provision for Loan Losses</w:t>
      </w:r>
    </w:p>
    <w:p w14:paraId="55567DE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recorded a provision for loan losses of </w:t>
      </w:r>
      <w:r>
        <w:rPr>
          <w:rFonts w:ascii="Arial" w:eastAsia="宋体" w:hAnsi="Arial" w:cs="Arial"/>
          <w:sz w:val="20"/>
          <w:szCs w:val="20"/>
        </w:rPr>
        <w:t>$10 million in 2019 compared to $15 million in 2018 and $2 million in 2017. Additional information is provided under “Loans and Leases” in "Financial Condition" in this Management's Discussion and Analysis and in Note 4 to the consolidated financial statem</w:t>
      </w:r>
      <w:r>
        <w:rPr>
          <w:rFonts w:ascii="Arial" w:eastAsia="宋体" w:hAnsi="Arial" w:cs="Arial"/>
          <w:sz w:val="20"/>
          <w:szCs w:val="20"/>
        </w:rPr>
        <w:t>ents in this Form 10-K.</w:t>
      </w:r>
    </w:p>
    <w:p w14:paraId="55567DE4"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Expenses</w:t>
      </w:r>
    </w:p>
    <w:p w14:paraId="55567DE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Table 8: Expenses, provides the breakout of expenses for the years ended December 31, 2019, 2018 and 2017.</w:t>
      </w:r>
    </w:p>
    <w:tbl>
      <w:tblPr>
        <w:tblW w:w="5000" w:type="pct"/>
        <w:tblCellMar>
          <w:left w:w="0" w:type="dxa"/>
          <w:right w:w="0" w:type="dxa"/>
        </w:tblCellMar>
        <w:tblLook w:val="04A0" w:firstRow="1" w:lastRow="0" w:firstColumn="1" w:lastColumn="0" w:noHBand="0" w:noVBand="1"/>
      </w:tblPr>
      <w:tblGrid>
        <w:gridCol w:w="1963"/>
        <w:gridCol w:w="118"/>
        <w:gridCol w:w="967"/>
        <w:gridCol w:w="87"/>
        <w:gridCol w:w="136"/>
        <w:gridCol w:w="118"/>
        <w:gridCol w:w="967"/>
        <w:gridCol w:w="87"/>
        <w:gridCol w:w="136"/>
        <w:gridCol w:w="118"/>
        <w:gridCol w:w="968"/>
        <w:gridCol w:w="54"/>
        <w:gridCol w:w="137"/>
        <w:gridCol w:w="968"/>
        <w:gridCol w:w="212"/>
        <w:gridCol w:w="137"/>
        <w:gridCol w:w="968"/>
        <w:gridCol w:w="165"/>
      </w:tblGrid>
      <w:tr w:rsidR="00F925DD" w14:paraId="55567DE7" w14:textId="77777777">
        <w:tc>
          <w:tcPr>
            <w:tcW w:w="0" w:type="auto"/>
            <w:gridSpan w:val="18"/>
            <w:shd w:val="clear" w:color="auto" w:fill="auto"/>
            <w:vAlign w:val="center"/>
          </w:tcPr>
          <w:p w14:paraId="55567DE6" w14:textId="77777777" w:rsidR="00F925DD" w:rsidRDefault="00F925DD">
            <w:pPr>
              <w:rPr>
                <w:rFonts w:ascii="Times New Roman" w:hAnsi="Times New Roman"/>
                <w:sz w:val="20"/>
                <w:szCs w:val="20"/>
              </w:rPr>
            </w:pPr>
          </w:p>
        </w:tc>
      </w:tr>
      <w:tr w:rsidR="00F925DD" w14:paraId="55567DFA" w14:textId="77777777">
        <w:tc>
          <w:tcPr>
            <w:tcW w:w="1200" w:type="pct"/>
            <w:shd w:val="clear" w:color="auto" w:fill="auto"/>
            <w:vAlign w:val="center"/>
          </w:tcPr>
          <w:p w14:paraId="55567DE8" w14:textId="77777777" w:rsidR="00F925DD" w:rsidRDefault="00F925DD">
            <w:pPr>
              <w:rPr>
                <w:rFonts w:ascii="Times New Roman" w:hAnsi="Times New Roman"/>
                <w:sz w:val="20"/>
                <w:szCs w:val="20"/>
              </w:rPr>
            </w:pPr>
          </w:p>
        </w:tc>
        <w:tc>
          <w:tcPr>
            <w:tcW w:w="50" w:type="pct"/>
            <w:shd w:val="clear" w:color="auto" w:fill="auto"/>
            <w:vAlign w:val="center"/>
          </w:tcPr>
          <w:p w14:paraId="55567DE9" w14:textId="77777777" w:rsidR="00F925DD" w:rsidRDefault="00F925DD">
            <w:pPr>
              <w:rPr>
                <w:rFonts w:ascii="Times New Roman" w:hAnsi="Times New Roman"/>
                <w:sz w:val="20"/>
                <w:szCs w:val="20"/>
              </w:rPr>
            </w:pPr>
          </w:p>
        </w:tc>
        <w:tc>
          <w:tcPr>
            <w:tcW w:w="600" w:type="pct"/>
            <w:shd w:val="clear" w:color="auto" w:fill="auto"/>
            <w:vAlign w:val="center"/>
          </w:tcPr>
          <w:p w14:paraId="55567DEA" w14:textId="77777777" w:rsidR="00F925DD" w:rsidRDefault="00F925DD">
            <w:pPr>
              <w:rPr>
                <w:rFonts w:ascii="Times New Roman" w:hAnsi="Times New Roman"/>
                <w:sz w:val="20"/>
                <w:szCs w:val="20"/>
              </w:rPr>
            </w:pPr>
          </w:p>
        </w:tc>
        <w:tc>
          <w:tcPr>
            <w:tcW w:w="50" w:type="pct"/>
            <w:shd w:val="clear" w:color="auto" w:fill="auto"/>
            <w:vAlign w:val="center"/>
          </w:tcPr>
          <w:p w14:paraId="55567DEB" w14:textId="77777777" w:rsidR="00F925DD" w:rsidRDefault="00F925DD">
            <w:pPr>
              <w:rPr>
                <w:rFonts w:ascii="Times New Roman" w:hAnsi="Times New Roman"/>
                <w:sz w:val="20"/>
                <w:szCs w:val="20"/>
              </w:rPr>
            </w:pPr>
          </w:p>
        </w:tc>
        <w:tc>
          <w:tcPr>
            <w:tcW w:w="100" w:type="pct"/>
            <w:shd w:val="clear" w:color="auto" w:fill="auto"/>
            <w:vAlign w:val="center"/>
          </w:tcPr>
          <w:p w14:paraId="55567DEC" w14:textId="77777777" w:rsidR="00F925DD" w:rsidRDefault="00F925DD">
            <w:pPr>
              <w:rPr>
                <w:rFonts w:ascii="Times New Roman" w:hAnsi="Times New Roman"/>
                <w:sz w:val="20"/>
                <w:szCs w:val="20"/>
              </w:rPr>
            </w:pPr>
          </w:p>
        </w:tc>
        <w:tc>
          <w:tcPr>
            <w:tcW w:w="50" w:type="pct"/>
            <w:shd w:val="clear" w:color="auto" w:fill="auto"/>
            <w:vAlign w:val="center"/>
          </w:tcPr>
          <w:p w14:paraId="55567DED" w14:textId="77777777" w:rsidR="00F925DD" w:rsidRDefault="00F925DD">
            <w:pPr>
              <w:rPr>
                <w:rFonts w:ascii="Times New Roman" w:hAnsi="Times New Roman"/>
                <w:sz w:val="20"/>
                <w:szCs w:val="20"/>
              </w:rPr>
            </w:pPr>
          </w:p>
        </w:tc>
        <w:tc>
          <w:tcPr>
            <w:tcW w:w="600" w:type="pct"/>
            <w:shd w:val="clear" w:color="auto" w:fill="auto"/>
            <w:vAlign w:val="center"/>
          </w:tcPr>
          <w:p w14:paraId="55567DEE" w14:textId="77777777" w:rsidR="00F925DD" w:rsidRDefault="00F925DD">
            <w:pPr>
              <w:rPr>
                <w:rFonts w:ascii="Times New Roman" w:hAnsi="Times New Roman"/>
                <w:sz w:val="20"/>
                <w:szCs w:val="20"/>
              </w:rPr>
            </w:pPr>
          </w:p>
        </w:tc>
        <w:tc>
          <w:tcPr>
            <w:tcW w:w="50" w:type="pct"/>
            <w:shd w:val="clear" w:color="auto" w:fill="auto"/>
            <w:vAlign w:val="center"/>
          </w:tcPr>
          <w:p w14:paraId="55567DEF" w14:textId="77777777" w:rsidR="00F925DD" w:rsidRDefault="00F925DD">
            <w:pPr>
              <w:rPr>
                <w:rFonts w:ascii="Times New Roman" w:hAnsi="Times New Roman"/>
                <w:sz w:val="20"/>
                <w:szCs w:val="20"/>
              </w:rPr>
            </w:pPr>
          </w:p>
        </w:tc>
        <w:tc>
          <w:tcPr>
            <w:tcW w:w="100" w:type="pct"/>
            <w:shd w:val="clear" w:color="auto" w:fill="auto"/>
            <w:vAlign w:val="center"/>
          </w:tcPr>
          <w:p w14:paraId="55567DF0" w14:textId="77777777" w:rsidR="00F925DD" w:rsidRDefault="00F925DD">
            <w:pPr>
              <w:rPr>
                <w:rFonts w:ascii="Times New Roman" w:hAnsi="Times New Roman"/>
                <w:sz w:val="20"/>
                <w:szCs w:val="20"/>
              </w:rPr>
            </w:pPr>
          </w:p>
        </w:tc>
        <w:tc>
          <w:tcPr>
            <w:tcW w:w="50" w:type="pct"/>
            <w:shd w:val="clear" w:color="auto" w:fill="auto"/>
            <w:vAlign w:val="center"/>
          </w:tcPr>
          <w:p w14:paraId="55567DF1" w14:textId="77777777" w:rsidR="00F925DD" w:rsidRDefault="00F925DD">
            <w:pPr>
              <w:rPr>
                <w:rFonts w:ascii="Times New Roman" w:hAnsi="Times New Roman"/>
                <w:sz w:val="20"/>
                <w:szCs w:val="20"/>
              </w:rPr>
            </w:pPr>
          </w:p>
        </w:tc>
        <w:tc>
          <w:tcPr>
            <w:tcW w:w="600" w:type="pct"/>
            <w:shd w:val="clear" w:color="auto" w:fill="auto"/>
            <w:vAlign w:val="center"/>
          </w:tcPr>
          <w:p w14:paraId="55567DF2" w14:textId="77777777" w:rsidR="00F925DD" w:rsidRDefault="00F925DD">
            <w:pPr>
              <w:rPr>
                <w:rFonts w:ascii="Times New Roman" w:hAnsi="Times New Roman"/>
                <w:sz w:val="20"/>
                <w:szCs w:val="20"/>
              </w:rPr>
            </w:pPr>
          </w:p>
        </w:tc>
        <w:tc>
          <w:tcPr>
            <w:tcW w:w="50" w:type="pct"/>
            <w:shd w:val="clear" w:color="auto" w:fill="auto"/>
            <w:vAlign w:val="center"/>
          </w:tcPr>
          <w:p w14:paraId="55567DF3" w14:textId="77777777" w:rsidR="00F925DD" w:rsidRDefault="00F925DD">
            <w:pPr>
              <w:rPr>
                <w:rFonts w:ascii="Times New Roman" w:hAnsi="Times New Roman"/>
                <w:sz w:val="20"/>
                <w:szCs w:val="20"/>
              </w:rPr>
            </w:pPr>
          </w:p>
        </w:tc>
        <w:tc>
          <w:tcPr>
            <w:tcW w:w="100" w:type="pct"/>
            <w:shd w:val="clear" w:color="auto" w:fill="auto"/>
            <w:vAlign w:val="center"/>
          </w:tcPr>
          <w:p w14:paraId="55567DF4" w14:textId="77777777" w:rsidR="00F925DD" w:rsidRDefault="00F925DD">
            <w:pPr>
              <w:rPr>
                <w:rFonts w:ascii="Times New Roman" w:hAnsi="Times New Roman"/>
                <w:sz w:val="20"/>
                <w:szCs w:val="20"/>
              </w:rPr>
            </w:pPr>
          </w:p>
        </w:tc>
        <w:tc>
          <w:tcPr>
            <w:tcW w:w="600" w:type="pct"/>
            <w:shd w:val="clear" w:color="auto" w:fill="auto"/>
            <w:vAlign w:val="center"/>
          </w:tcPr>
          <w:p w14:paraId="55567DF5" w14:textId="77777777" w:rsidR="00F925DD" w:rsidRDefault="00F925DD">
            <w:pPr>
              <w:rPr>
                <w:rFonts w:ascii="Times New Roman" w:hAnsi="Times New Roman"/>
                <w:sz w:val="20"/>
                <w:szCs w:val="20"/>
              </w:rPr>
            </w:pPr>
          </w:p>
        </w:tc>
        <w:tc>
          <w:tcPr>
            <w:tcW w:w="50" w:type="pct"/>
            <w:shd w:val="clear" w:color="auto" w:fill="auto"/>
            <w:vAlign w:val="center"/>
          </w:tcPr>
          <w:p w14:paraId="55567DF6" w14:textId="77777777" w:rsidR="00F925DD" w:rsidRDefault="00F925DD">
            <w:pPr>
              <w:rPr>
                <w:rFonts w:ascii="Times New Roman" w:hAnsi="Times New Roman"/>
                <w:sz w:val="20"/>
                <w:szCs w:val="20"/>
              </w:rPr>
            </w:pPr>
          </w:p>
        </w:tc>
        <w:tc>
          <w:tcPr>
            <w:tcW w:w="100" w:type="pct"/>
            <w:shd w:val="clear" w:color="auto" w:fill="auto"/>
            <w:vAlign w:val="center"/>
          </w:tcPr>
          <w:p w14:paraId="55567DF7" w14:textId="77777777" w:rsidR="00F925DD" w:rsidRDefault="00F925DD">
            <w:pPr>
              <w:rPr>
                <w:rFonts w:ascii="Times New Roman" w:hAnsi="Times New Roman"/>
                <w:sz w:val="20"/>
                <w:szCs w:val="20"/>
              </w:rPr>
            </w:pPr>
          </w:p>
        </w:tc>
        <w:tc>
          <w:tcPr>
            <w:tcW w:w="600" w:type="pct"/>
            <w:shd w:val="clear" w:color="auto" w:fill="auto"/>
            <w:vAlign w:val="center"/>
          </w:tcPr>
          <w:p w14:paraId="55567DF8" w14:textId="77777777" w:rsidR="00F925DD" w:rsidRDefault="00F925DD">
            <w:pPr>
              <w:rPr>
                <w:rFonts w:ascii="Times New Roman" w:hAnsi="Times New Roman"/>
                <w:sz w:val="20"/>
                <w:szCs w:val="20"/>
              </w:rPr>
            </w:pPr>
          </w:p>
        </w:tc>
        <w:tc>
          <w:tcPr>
            <w:tcW w:w="50" w:type="pct"/>
            <w:shd w:val="clear" w:color="auto" w:fill="auto"/>
            <w:vAlign w:val="center"/>
          </w:tcPr>
          <w:p w14:paraId="55567DF9" w14:textId="77777777" w:rsidR="00F925DD" w:rsidRDefault="00F925DD">
            <w:pPr>
              <w:rPr>
                <w:rFonts w:ascii="Times New Roman" w:hAnsi="Times New Roman"/>
                <w:sz w:val="20"/>
                <w:szCs w:val="20"/>
              </w:rPr>
            </w:pPr>
          </w:p>
        </w:tc>
      </w:tr>
      <w:tr w:rsidR="00F925DD" w14:paraId="55567DFC" w14:textId="77777777">
        <w:tc>
          <w:tcPr>
            <w:tcW w:w="0" w:type="auto"/>
            <w:gridSpan w:val="18"/>
            <w:shd w:val="clear" w:color="auto" w:fill="auto"/>
            <w:tcMar>
              <w:top w:w="40" w:type="dxa"/>
              <w:left w:w="40" w:type="dxa"/>
              <w:bottom w:w="40" w:type="dxa"/>
              <w:right w:w="40" w:type="dxa"/>
            </w:tcMar>
            <w:vAlign w:val="bottom"/>
          </w:tcPr>
          <w:p w14:paraId="55567DF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8: EX</w:t>
            </w:r>
            <w:r>
              <w:rPr>
                <w:rFonts w:ascii="Arial" w:eastAsia="宋体" w:hAnsi="Arial" w:cs="Arial"/>
                <w:b/>
                <w:bCs/>
                <w:sz w:val="16"/>
                <w:szCs w:val="16"/>
              </w:rPr>
              <w:t>PENSES</w:t>
            </w:r>
          </w:p>
        </w:tc>
      </w:tr>
      <w:tr w:rsidR="00F925DD" w14:paraId="55567E03" w14:textId="77777777">
        <w:tc>
          <w:tcPr>
            <w:tcW w:w="0" w:type="auto"/>
            <w:shd w:val="clear" w:color="auto" w:fill="auto"/>
            <w:tcMar>
              <w:top w:w="40" w:type="dxa"/>
              <w:left w:w="40" w:type="dxa"/>
              <w:bottom w:w="40" w:type="dxa"/>
              <w:right w:w="40" w:type="dxa"/>
            </w:tcMar>
            <w:vAlign w:val="bottom"/>
          </w:tcPr>
          <w:p w14:paraId="55567D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7DF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c>
          <w:tcPr>
            <w:tcW w:w="0" w:type="auto"/>
            <w:shd w:val="clear" w:color="auto" w:fill="auto"/>
            <w:tcMar>
              <w:top w:w="40" w:type="dxa"/>
              <w:left w:w="40" w:type="dxa"/>
              <w:bottom w:w="40" w:type="dxa"/>
              <w:right w:w="40" w:type="dxa"/>
            </w:tcMar>
            <w:vAlign w:val="bottom"/>
          </w:tcPr>
          <w:p w14:paraId="55567D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55567E0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 2019 vs. 2018</w:t>
            </w:r>
          </w:p>
        </w:tc>
        <w:tc>
          <w:tcPr>
            <w:tcW w:w="0" w:type="auto"/>
            <w:shd w:val="clear" w:color="auto" w:fill="auto"/>
            <w:tcMar>
              <w:top w:w="40" w:type="dxa"/>
              <w:left w:w="40" w:type="dxa"/>
              <w:bottom w:w="40" w:type="dxa"/>
              <w:right w:w="40" w:type="dxa"/>
            </w:tcMar>
            <w:vAlign w:val="bottom"/>
          </w:tcPr>
          <w:p w14:paraId="55567E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55567E0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 2018 vs. 2017</w:t>
            </w:r>
          </w:p>
        </w:tc>
      </w:tr>
      <w:tr w:rsidR="00F925DD" w14:paraId="55567E0E" w14:textId="77777777">
        <w:tc>
          <w:tcPr>
            <w:tcW w:w="0" w:type="auto"/>
            <w:shd w:val="clear" w:color="auto" w:fill="auto"/>
            <w:tcMar>
              <w:top w:w="40" w:type="dxa"/>
              <w:left w:w="40" w:type="dxa"/>
              <w:bottom w:w="40" w:type="dxa"/>
              <w:right w:w="40" w:type="dxa"/>
            </w:tcMar>
            <w:vAlign w:val="bottom"/>
          </w:tcPr>
          <w:p w14:paraId="55567E0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7E0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7E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7E0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7E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7E0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c>
          <w:tcPr>
            <w:tcW w:w="0" w:type="auto"/>
            <w:shd w:val="clear" w:color="auto" w:fill="auto"/>
            <w:tcMar>
              <w:top w:w="40" w:type="dxa"/>
              <w:left w:w="40" w:type="dxa"/>
              <w:bottom w:w="40" w:type="dxa"/>
              <w:right w:w="40" w:type="dxa"/>
            </w:tcMar>
            <w:vAlign w:val="bottom"/>
          </w:tcPr>
          <w:p w14:paraId="55567E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55567E0B"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55567E0D" w14:textId="77777777" w:rsidR="00F925DD" w:rsidRDefault="00F925DD">
            <w:pPr>
              <w:rPr>
                <w:rFonts w:ascii="Times New Roman" w:hAnsi="Times New Roman"/>
                <w:sz w:val="20"/>
                <w:szCs w:val="20"/>
              </w:rPr>
            </w:pPr>
          </w:p>
        </w:tc>
      </w:tr>
      <w:tr w:rsidR="00F925DD" w14:paraId="55567E21" w14:textId="77777777">
        <w:tc>
          <w:tcPr>
            <w:tcW w:w="0" w:type="auto"/>
            <w:shd w:val="clear" w:color="auto" w:fill="CCEEFF"/>
            <w:tcMar>
              <w:top w:w="40" w:type="dxa"/>
              <w:left w:w="40" w:type="dxa"/>
              <w:bottom w:w="40" w:type="dxa"/>
              <w:right w:w="40" w:type="dxa"/>
            </w:tcMar>
            <w:vAlign w:val="bottom"/>
          </w:tcPr>
          <w:p w14:paraId="55567E0F" w14:textId="77777777" w:rsidR="00F925DD" w:rsidRDefault="00E705D7">
            <w:pPr>
              <w:textAlignment w:val="bottom"/>
              <w:rPr>
                <w:rFonts w:ascii="Times New Roman" w:hAnsi="Times New Roman"/>
                <w:sz w:val="14"/>
                <w:szCs w:val="14"/>
              </w:rPr>
            </w:pPr>
            <w:r>
              <w:rPr>
                <w:rFonts w:ascii="Arial" w:eastAsia="宋体" w:hAnsi="Arial" w:cs="Arial"/>
                <w:sz w:val="14"/>
                <w:szCs w:val="14"/>
              </w:rPr>
              <w:t>Compensation and employee benefits</w:t>
            </w:r>
            <w:r>
              <w:rPr>
                <w:rFonts w:ascii="Arial" w:eastAsia="宋体" w:hAnsi="Arial" w:cs="Arial"/>
                <w:sz w:val="10"/>
                <w:szCs w:val="10"/>
              </w:rPr>
              <w:t>(1)</w:t>
            </w:r>
          </w:p>
        </w:tc>
        <w:tc>
          <w:tcPr>
            <w:tcW w:w="0" w:type="auto"/>
            <w:tcBorders>
              <w:top w:val="single" w:sz="8" w:space="0" w:color="000000"/>
            </w:tcBorders>
            <w:shd w:val="clear" w:color="auto" w:fill="CCEEFF"/>
            <w:tcMar>
              <w:top w:w="40" w:type="dxa"/>
              <w:left w:w="40" w:type="dxa"/>
              <w:bottom w:w="40" w:type="dxa"/>
            </w:tcMar>
            <w:vAlign w:val="bottom"/>
          </w:tcPr>
          <w:p w14:paraId="55567E1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7E1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4,541</w:t>
            </w:r>
          </w:p>
        </w:tc>
        <w:tc>
          <w:tcPr>
            <w:tcW w:w="0" w:type="auto"/>
            <w:tcBorders>
              <w:top w:val="single" w:sz="8" w:space="0" w:color="000000"/>
            </w:tcBorders>
            <w:shd w:val="clear" w:color="auto" w:fill="CCEEFF"/>
            <w:vAlign w:val="bottom"/>
          </w:tcPr>
          <w:p w14:paraId="55567E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E1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7E1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4,780</w:t>
            </w:r>
          </w:p>
        </w:tc>
        <w:tc>
          <w:tcPr>
            <w:tcW w:w="0" w:type="auto"/>
            <w:tcBorders>
              <w:top w:val="single" w:sz="8" w:space="0" w:color="000000"/>
            </w:tcBorders>
            <w:shd w:val="clear" w:color="auto" w:fill="CCEEFF"/>
            <w:vAlign w:val="bottom"/>
          </w:tcPr>
          <w:p w14:paraId="55567E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E1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7E1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4,394</w:t>
            </w:r>
          </w:p>
        </w:tc>
        <w:tc>
          <w:tcPr>
            <w:tcW w:w="0" w:type="auto"/>
            <w:tcBorders>
              <w:top w:val="single" w:sz="8" w:space="0" w:color="000000"/>
            </w:tcBorders>
            <w:shd w:val="clear" w:color="auto" w:fill="CCEEFF"/>
            <w:vAlign w:val="bottom"/>
          </w:tcPr>
          <w:p w14:paraId="55567E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E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tcBorders>
              <w:top w:val="single" w:sz="8" w:space="0" w:color="000000"/>
            </w:tcBorders>
            <w:shd w:val="clear" w:color="auto" w:fill="CCEEFF"/>
            <w:tcMar>
              <w:top w:w="40" w:type="dxa"/>
              <w:bottom w:w="40" w:type="dxa"/>
              <w:right w:w="40" w:type="dxa"/>
            </w:tcMar>
            <w:vAlign w:val="bottom"/>
          </w:tcPr>
          <w:p w14:paraId="55567E1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E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1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CCEEFF"/>
            <w:tcMar>
              <w:top w:w="40" w:type="dxa"/>
              <w:bottom w:w="40" w:type="dxa"/>
              <w:right w:w="40" w:type="dxa"/>
            </w:tcMar>
            <w:vAlign w:val="bottom"/>
          </w:tcPr>
          <w:p w14:paraId="55567E2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7E31" w14:textId="77777777">
        <w:tc>
          <w:tcPr>
            <w:tcW w:w="0" w:type="auto"/>
            <w:shd w:val="clear" w:color="auto" w:fill="auto"/>
            <w:tcMar>
              <w:top w:w="40" w:type="dxa"/>
              <w:left w:w="40" w:type="dxa"/>
              <w:bottom w:w="40" w:type="dxa"/>
              <w:right w:w="40" w:type="dxa"/>
            </w:tcMar>
            <w:vAlign w:val="bottom"/>
          </w:tcPr>
          <w:p w14:paraId="55567E22" w14:textId="77777777" w:rsidR="00F925DD" w:rsidRDefault="00E705D7">
            <w:pPr>
              <w:textAlignment w:val="bottom"/>
              <w:rPr>
                <w:rFonts w:ascii="Times New Roman" w:hAnsi="Times New Roman"/>
                <w:sz w:val="14"/>
                <w:szCs w:val="14"/>
              </w:rPr>
            </w:pPr>
            <w:r>
              <w:rPr>
                <w:rFonts w:ascii="Arial" w:eastAsia="宋体" w:hAnsi="Arial" w:cs="Arial"/>
                <w:sz w:val="14"/>
                <w:szCs w:val="14"/>
              </w:rPr>
              <w:t>Information systems and communications</w:t>
            </w:r>
          </w:p>
        </w:tc>
        <w:tc>
          <w:tcPr>
            <w:tcW w:w="0" w:type="auto"/>
            <w:gridSpan w:val="2"/>
            <w:shd w:val="clear" w:color="auto" w:fill="auto"/>
            <w:tcMar>
              <w:top w:w="40" w:type="dxa"/>
              <w:left w:w="40" w:type="dxa"/>
              <w:bottom w:w="40" w:type="dxa"/>
            </w:tcMar>
            <w:vAlign w:val="bottom"/>
          </w:tcPr>
          <w:p w14:paraId="55567E2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1,465</w:t>
            </w:r>
          </w:p>
        </w:tc>
        <w:tc>
          <w:tcPr>
            <w:tcW w:w="0" w:type="auto"/>
            <w:shd w:val="clear" w:color="auto" w:fill="auto"/>
            <w:vAlign w:val="bottom"/>
          </w:tcPr>
          <w:p w14:paraId="55567E2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E2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1,324</w:t>
            </w:r>
          </w:p>
        </w:tc>
        <w:tc>
          <w:tcPr>
            <w:tcW w:w="0" w:type="auto"/>
            <w:shd w:val="clear" w:color="auto" w:fill="auto"/>
            <w:vAlign w:val="bottom"/>
          </w:tcPr>
          <w:p w14:paraId="55567E2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E2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1,167</w:t>
            </w:r>
          </w:p>
        </w:tc>
        <w:tc>
          <w:tcPr>
            <w:tcW w:w="0" w:type="auto"/>
            <w:shd w:val="clear" w:color="auto" w:fill="auto"/>
            <w:vAlign w:val="bottom"/>
          </w:tcPr>
          <w:p w14:paraId="55567E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w:t>
            </w:r>
          </w:p>
        </w:tc>
        <w:tc>
          <w:tcPr>
            <w:tcW w:w="0" w:type="auto"/>
            <w:shd w:val="clear" w:color="auto" w:fill="auto"/>
            <w:vAlign w:val="bottom"/>
          </w:tcPr>
          <w:p w14:paraId="55567E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2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w:t>
            </w:r>
          </w:p>
        </w:tc>
        <w:tc>
          <w:tcPr>
            <w:tcW w:w="0" w:type="auto"/>
            <w:shd w:val="clear" w:color="auto" w:fill="auto"/>
            <w:vAlign w:val="bottom"/>
          </w:tcPr>
          <w:p w14:paraId="55567E30" w14:textId="77777777" w:rsidR="00F925DD" w:rsidRDefault="00F925DD">
            <w:pPr>
              <w:textAlignment w:val="bottom"/>
              <w:rPr>
                <w:rFonts w:ascii="Times New Roman" w:hAnsi="Times New Roman"/>
                <w:sz w:val="20"/>
                <w:szCs w:val="20"/>
              </w:rPr>
            </w:pPr>
          </w:p>
        </w:tc>
      </w:tr>
      <w:tr w:rsidR="00F925DD" w14:paraId="55567E41" w14:textId="77777777">
        <w:tc>
          <w:tcPr>
            <w:tcW w:w="0" w:type="auto"/>
            <w:shd w:val="clear" w:color="auto" w:fill="CCEEFF"/>
            <w:tcMar>
              <w:top w:w="40" w:type="dxa"/>
              <w:left w:w="40" w:type="dxa"/>
              <w:bottom w:w="40" w:type="dxa"/>
              <w:right w:w="40" w:type="dxa"/>
            </w:tcMar>
            <w:vAlign w:val="bottom"/>
          </w:tcPr>
          <w:p w14:paraId="55567E32" w14:textId="77777777" w:rsidR="00F925DD" w:rsidRDefault="00E705D7">
            <w:pPr>
              <w:textAlignment w:val="bottom"/>
              <w:rPr>
                <w:rFonts w:ascii="Times New Roman" w:hAnsi="Times New Roman"/>
                <w:sz w:val="14"/>
                <w:szCs w:val="14"/>
              </w:rPr>
            </w:pPr>
            <w:r>
              <w:rPr>
                <w:rFonts w:ascii="Arial" w:eastAsia="宋体" w:hAnsi="Arial" w:cs="Arial"/>
                <w:sz w:val="14"/>
                <w:szCs w:val="14"/>
              </w:rPr>
              <w:t>Transaction processing services</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55567E3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983</w:t>
            </w:r>
          </w:p>
        </w:tc>
        <w:tc>
          <w:tcPr>
            <w:tcW w:w="0" w:type="auto"/>
            <w:shd w:val="clear" w:color="auto" w:fill="CCEEFF"/>
            <w:vAlign w:val="bottom"/>
          </w:tcPr>
          <w:p w14:paraId="55567E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E3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985</w:t>
            </w:r>
          </w:p>
        </w:tc>
        <w:tc>
          <w:tcPr>
            <w:tcW w:w="0" w:type="auto"/>
            <w:shd w:val="clear" w:color="auto" w:fill="CCEEFF"/>
            <w:vAlign w:val="bottom"/>
          </w:tcPr>
          <w:p w14:paraId="55567E3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E3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838</w:t>
            </w:r>
          </w:p>
        </w:tc>
        <w:tc>
          <w:tcPr>
            <w:tcW w:w="0" w:type="auto"/>
            <w:shd w:val="clear" w:color="auto" w:fill="CCEEFF"/>
            <w:vAlign w:val="bottom"/>
          </w:tcPr>
          <w:p w14:paraId="55567E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3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7E3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3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w:t>
            </w:r>
          </w:p>
        </w:tc>
        <w:tc>
          <w:tcPr>
            <w:tcW w:w="0" w:type="auto"/>
            <w:shd w:val="clear" w:color="auto" w:fill="CCEEFF"/>
            <w:vAlign w:val="bottom"/>
          </w:tcPr>
          <w:p w14:paraId="55567E40" w14:textId="77777777" w:rsidR="00F925DD" w:rsidRDefault="00F925DD">
            <w:pPr>
              <w:textAlignment w:val="bottom"/>
              <w:rPr>
                <w:rFonts w:ascii="Times New Roman" w:hAnsi="Times New Roman"/>
                <w:sz w:val="20"/>
                <w:szCs w:val="20"/>
              </w:rPr>
            </w:pPr>
          </w:p>
        </w:tc>
      </w:tr>
      <w:tr w:rsidR="00F925DD" w14:paraId="55567E51" w14:textId="77777777">
        <w:tc>
          <w:tcPr>
            <w:tcW w:w="0" w:type="auto"/>
            <w:shd w:val="clear" w:color="auto" w:fill="auto"/>
            <w:tcMar>
              <w:top w:w="40" w:type="dxa"/>
              <w:left w:w="40" w:type="dxa"/>
              <w:bottom w:w="40" w:type="dxa"/>
              <w:right w:w="40" w:type="dxa"/>
            </w:tcMar>
            <w:vAlign w:val="bottom"/>
          </w:tcPr>
          <w:p w14:paraId="55567E42" w14:textId="77777777" w:rsidR="00F925DD" w:rsidRDefault="00E705D7">
            <w:pPr>
              <w:textAlignment w:val="bottom"/>
              <w:rPr>
                <w:rFonts w:ascii="Times New Roman" w:hAnsi="Times New Roman"/>
                <w:sz w:val="14"/>
                <w:szCs w:val="14"/>
              </w:rPr>
            </w:pPr>
            <w:r>
              <w:rPr>
                <w:rFonts w:ascii="Arial" w:eastAsia="宋体" w:hAnsi="Arial" w:cs="Arial"/>
                <w:sz w:val="14"/>
                <w:szCs w:val="14"/>
              </w:rPr>
              <w:t>Occupancy</w:t>
            </w:r>
          </w:p>
        </w:tc>
        <w:tc>
          <w:tcPr>
            <w:tcW w:w="0" w:type="auto"/>
            <w:gridSpan w:val="2"/>
            <w:shd w:val="clear" w:color="auto" w:fill="auto"/>
            <w:tcMar>
              <w:top w:w="40" w:type="dxa"/>
              <w:left w:w="40" w:type="dxa"/>
              <w:bottom w:w="40" w:type="dxa"/>
            </w:tcMar>
            <w:vAlign w:val="bottom"/>
          </w:tcPr>
          <w:p w14:paraId="55567E4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470</w:t>
            </w:r>
          </w:p>
        </w:tc>
        <w:tc>
          <w:tcPr>
            <w:tcW w:w="0" w:type="auto"/>
            <w:shd w:val="clear" w:color="auto" w:fill="auto"/>
            <w:vAlign w:val="bottom"/>
          </w:tcPr>
          <w:p w14:paraId="55567E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E4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500</w:t>
            </w:r>
          </w:p>
        </w:tc>
        <w:tc>
          <w:tcPr>
            <w:tcW w:w="0" w:type="auto"/>
            <w:shd w:val="clear" w:color="auto" w:fill="auto"/>
            <w:vAlign w:val="bottom"/>
          </w:tcPr>
          <w:p w14:paraId="55567E4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E4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461</w:t>
            </w:r>
          </w:p>
        </w:tc>
        <w:tc>
          <w:tcPr>
            <w:tcW w:w="0" w:type="auto"/>
            <w:shd w:val="clear" w:color="auto" w:fill="auto"/>
            <w:vAlign w:val="bottom"/>
          </w:tcPr>
          <w:p w14:paraId="55567E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4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auto"/>
            <w:tcMar>
              <w:top w:w="40" w:type="dxa"/>
              <w:bottom w:w="40" w:type="dxa"/>
              <w:right w:w="40" w:type="dxa"/>
            </w:tcMar>
            <w:vAlign w:val="bottom"/>
          </w:tcPr>
          <w:p w14:paraId="55567E4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7E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4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vAlign w:val="bottom"/>
          </w:tcPr>
          <w:p w14:paraId="55567E50" w14:textId="77777777" w:rsidR="00F925DD" w:rsidRDefault="00F925DD">
            <w:pPr>
              <w:textAlignment w:val="bottom"/>
              <w:rPr>
                <w:rFonts w:ascii="Times New Roman" w:hAnsi="Times New Roman"/>
                <w:sz w:val="20"/>
                <w:szCs w:val="20"/>
              </w:rPr>
            </w:pPr>
          </w:p>
        </w:tc>
      </w:tr>
      <w:tr w:rsidR="00F925DD" w14:paraId="55567E61" w14:textId="77777777">
        <w:tc>
          <w:tcPr>
            <w:tcW w:w="0" w:type="auto"/>
            <w:shd w:val="clear" w:color="auto" w:fill="CCEEFF"/>
            <w:tcMar>
              <w:top w:w="40" w:type="dxa"/>
              <w:left w:w="40" w:type="dxa"/>
              <w:bottom w:w="40" w:type="dxa"/>
              <w:right w:w="40" w:type="dxa"/>
            </w:tcMar>
            <w:vAlign w:val="bottom"/>
          </w:tcPr>
          <w:p w14:paraId="55567E52" w14:textId="77777777" w:rsidR="00F925DD" w:rsidRDefault="00E705D7">
            <w:pPr>
              <w:textAlignment w:val="bottom"/>
              <w:rPr>
                <w:rFonts w:ascii="Times New Roman" w:hAnsi="Times New Roman"/>
                <w:sz w:val="14"/>
                <w:szCs w:val="14"/>
              </w:rPr>
            </w:pPr>
            <w:r>
              <w:rPr>
                <w:rFonts w:ascii="Arial" w:eastAsia="宋体" w:hAnsi="Arial" w:cs="Arial"/>
                <w:sz w:val="14"/>
                <w:szCs w:val="14"/>
              </w:rPr>
              <w:t>Acquisition costs</w:t>
            </w:r>
          </w:p>
        </w:tc>
        <w:tc>
          <w:tcPr>
            <w:tcW w:w="0" w:type="auto"/>
            <w:gridSpan w:val="2"/>
            <w:shd w:val="clear" w:color="auto" w:fill="CCEEFF"/>
            <w:tcMar>
              <w:top w:w="40" w:type="dxa"/>
              <w:left w:w="40" w:type="dxa"/>
              <w:bottom w:w="40" w:type="dxa"/>
            </w:tcMar>
            <w:vAlign w:val="bottom"/>
          </w:tcPr>
          <w:p w14:paraId="55567E5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79</w:t>
            </w:r>
          </w:p>
        </w:tc>
        <w:tc>
          <w:tcPr>
            <w:tcW w:w="0" w:type="auto"/>
            <w:shd w:val="clear" w:color="auto" w:fill="CCEEFF"/>
            <w:vAlign w:val="bottom"/>
          </w:tcPr>
          <w:p w14:paraId="55567E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E5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w:t>
            </w:r>
          </w:p>
        </w:tc>
        <w:tc>
          <w:tcPr>
            <w:tcW w:w="0" w:type="auto"/>
            <w:shd w:val="clear" w:color="auto" w:fill="CCEEFF"/>
            <w:vAlign w:val="bottom"/>
          </w:tcPr>
          <w:p w14:paraId="55567E5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E5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w:t>
            </w:r>
          </w:p>
        </w:tc>
        <w:tc>
          <w:tcPr>
            <w:tcW w:w="0" w:type="auto"/>
            <w:shd w:val="clear" w:color="auto" w:fill="CCEEFF"/>
            <w:vAlign w:val="bottom"/>
          </w:tcPr>
          <w:p w14:paraId="55567E5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5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155</w:t>
            </w:r>
          </w:p>
        </w:tc>
        <w:tc>
          <w:tcPr>
            <w:tcW w:w="0" w:type="auto"/>
            <w:shd w:val="clear" w:color="auto" w:fill="CCEEFF"/>
            <w:vAlign w:val="bottom"/>
          </w:tcPr>
          <w:p w14:paraId="55567E5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5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48</w:t>
            </w:r>
          </w:p>
        </w:tc>
        <w:tc>
          <w:tcPr>
            <w:tcW w:w="0" w:type="auto"/>
            <w:shd w:val="clear" w:color="auto" w:fill="CCEEFF"/>
            <w:vAlign w:val="bottom"/>
          </w:tcPr>
          <w:p w14:paraId="55567E60" w14:textId="77777777" w:rsidR="00F925DD" w:rsidRDefault="00F925DD">
            <w:pPr>
              <w:textAlignment w:val="bottom"/>
              <w:rPr>
                <w:rFonts w:ascii="Times New Roman" w:hAnsi="Times New Roman"/>
                <w:sz w:val="20"/>
                <w:szCs w:val="20"/>
              </w:rPr>
            </w:pPr>
          </w:p>
        </w:tc>
      </w:tr>
      <w:tr w:rsidR="00F925DD" w14:paraId="55567E71" w14:textId="77777777">
        <w:tc>
          <w:tcPr>
            <w:tcW w:w="0" w:type="auto"/>
            <w:shd w:val="clear" w:color="auto" w:fill="auto"/>
            <w:tcMar>
              <w:top w:w="40" w:type="dxa"/>
              <w:left w:w="40" w:type="dxa"/>
              <w:bottom w:w="40" w:type="dxa"/>
              <w:right w:w="40" w:type="dxa"/>
            </w:tcMar>
            <w:vAlign w:val="bottom"/>
          </w:tcPr>
          <w:p w14:paraId="55567E62" w14:textId="77777777" w:rsidR="00F925DD" w:rsidRDefault="00E705D7">
            <w:pPr>
              <w:textAlignment w:val="bottom"/>
              <w:rPr>
                <w:rFonts w:ascii="Times New Roman" w:hAnsi="Times New Roman"/>
                <w:sz w:val="14"/>
                <w:szCs w:val="14"/>
              </w:rPr>
            </w:pPr>
            <w:r>
              <w:rPr>
                <w:rFonts w:ascii="Arial" w:eastAsia="宋体" w:hAnsi="Arial" w:cs="Arial"/>
                <w:sz w:val="14"/>
                <w:szCs w:val="14"/>
              </w:rPr>
              <w:t>Restructuring charges, net</w:t>
            </w:r>
          </w:p>
        </w:tc>
        <w:tc>
          <w:tcPr>
            <w:tcW w:w="0" w:type="auto"/>
            <w:gridSpan w:val="2"/>
            <w:shd w:val="clear" w:color="auto" w:fill="auto"/>
            <w:tcMar>
              <w:top w:w="40" w:type="dxa"/>
              <w:left w:w="40" w:type="dxa"/>
              <w:bottom w:w="40" w:type="dxa"/>
            </w:tcMar>
            <w:vAlign w:val="bottom"/>
          </w:tcPr>
          <w:p w14:paraId="55567E6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auto"/>
            <w:tcMar>
              <w:top w:w="40" w:type="dxa"/>
              <w:bottom w:w="40" w:type="dxa"/>
              <w:right w:w="40" w:type="dxa"/>
            </w:tcMar>
            <w:vAlign w:val="bottom"/>
          </w:tcPr>
          <w:p w14:paraId="55567E6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7E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E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auto"/>
            <w:tcMar>
              <w:top w:w="40" w:type="dxa"/>
              <w:bottom w:w="40" w:type="dxa"/>
              <w:right w:w="40" w:type="dxa"/>
            </w:tcMar>
            <w:vAlign w:val="bottom"/>
          </w:tcPr>
          <w:p w14:paraId="55567E6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7E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E6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245</w:t>
            </w:r>
          </w:p>
        </w:tc>
        <w:tc>
          <w:tcPr>
            <w:tcW w:w="0" w:type="auto"/>
            <w:shd w:val="clear" w:color="auto" w:fill="auto"/>
            <w:vAlign w:val="bottom"/>
          </w:tcPr>
          <w:p w14:paraId="55567E6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6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(71</w:t>
            </w:r>
          </w:p>
        </w:tc>
        <w:tc>
          <w:tcPr>
            <w:tcW w:w="0" w:type="auto"/>
            <w:shd w:val="clear" w:color="auto" w:fill="auto"/>
            <w:tcMar>
              <w:top w:w="40" w:type="dxa"/>
              <w:bottom w:w="40" w:type="dxa"/>
              <w:right w:w="40" w:type="dxa"/>
            </w:tcMar>
            <w:vAlign w:val="bottom"/>
          </w:tcPr>
          <w:p w14:paraId="55567E6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7E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6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auto"/>
            <w:vAlign w:val="bottom"/>
          </w:tcPr>
          <w:p w14:paraId="55567E70" w14:textId="77777777" w:rsidR="00F925DD" w:rsidRDefault="00F925DD">
            <w:pPr>
              <w:textAlignment w:val="bottom"/>
              <w:rPr>
                <w:rFonts w:ascii="Times New Roman" w:hAnsi="Times New Roman"/>
                <w:sz w:val="20"/>
                <w:szCs w:val="20"/>
              </w:rPr>
            </w:pPr>
          </w:p>
        </w:tc>
      </w:tr>
      <w:tr w:rsidR="00F925DD" w14:paraId="55567E81" w14:textId="77777777">
        <w:tc>
          <w:tcPr>
            <w:tcW w:w="0" w:type="auto"/>
            <w:shd w:val="clear" w:color="auto" w:fill="CCEEFF"/>
            <w:tcMar>
              <w:top w:w="40" w:type="dxa"/>
              <w:left w:w="40" w:type="dxa"/>
              <w:bottom w:w="40" w:type="dxa"/>
              <w:right w:w="40" w:type="dxa"/>
            </w:tcMar>
          </w:tcPr>
          <w:p w14:paraId="55567E72" w14:textId="77777777" w:rsidR="00F925DD" w:rsidRDefault="00E705D7">
            <w:pPr>
              <w:textAlignment w:val="top"/>
              <w:rPr>
                <w:rFonts w:ascii="Times New Roman" w:hAnsi="Times New Roman"/>
                <w:sz w:val="14"/>
                <w:szCs w:val="14"/>
              </w:rPr>
            </w:pPr>
            <w:r>
              <w:rPr>
                <w:rFonts w:ascii="Arial" w:eastAsia="宋体" w:hAnsi="Arial" w:cs="Arial"/>
                <w:sz w:val="14"/>
                <w:szCs w:val="14"/>
              </w:rPr>
              <w:t>Amortization of other intangible assets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55567E7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236</w:t>
            </w:r>
          </w:p>
        </w:tc>
        <w:tc>
          <w:tcPr>
            <w:tcW w:w="0" w:type="auto"/>
            <w:shd w:val="clear" w:color="auto" w:fill="CCEEFF"/>
            <w:vAlign w:val="bottom"/>
          </w:tcPr>
          <w:p w14:paraId="55567E7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E7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226</w:t>
            </w:r>
          </w:p>
        </w:tc>
        <w:tc>
          <w:tcPr>
            <w:tcW w:w="0" w:type="auto"/>
            <w:shd w:val="clear" w:color="auto" w:fill="CCEEFF"/>
            <w:vAlign w:val="bottom"/>
          </w:tcPr>
          <w:p w14:paraId="55567E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E7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214</w:t>
            </w:r>
          </w:p>
        </w:tc>
        <w:tc>
          <w:tcPr>
            <w:tcW w:w="0" w:type="auto"/>
            <w:shd w:val="clear" w:color="auto" w:fill="CCEEFF"/>
            <w:vAlign w:val="bottom"/>
          </w:tcPr>
          <w:p w14:paraId="55567E7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7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CCEEFF"/>
            <w:vAlign w:val="bottom"/>
          </w:tcPr>
          <w:p w14:paraId="55567E7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7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CCEEFF"/>
            <w:vAlign w:val="bottom"/>
          </w:tcPr>
          <w:p w14:paraId="55567E80" w14:textId="77777777" w:rsidR="00F925DD" w:rsidRDefault="00F925DD">
            <w:pPr>
              <w:textAlignment w:val="bottom"/>
              <w:rPr>
                <w:rFonts w:ascii="Times New Roman" w:hAnsi="Times New Roman"/>
                <w:sz w:val="20"/>
                <w:szCs w:val="20"/>
              </w:rPr>
            </w:pPr>
          </w:p>
        </w:tc>
      </w:tr>
      <w:tr w:rsidR="00F925DD" w14:paraId="55567E8D" w14:textId="77777777">
        <w:tc>
          <w:tcPr>
            <w:tcW w:w="0" w:type="auto"/>
            <w:shd w:val="clear" w:color="auto" w:fill="auto"/>
            <w:tcMar>
              <w:top w:w="40" w:type="dxa"/>
              <w:left w:w="40" w:type="dxa"/>
              <w:bottom w:w="40" w:type="dxa"/>
              <w:right w:w="40" w:type="dxa"/>
            </w:tcMar>
            <w:vAlign w:val="bottom"/>
          </w:tcPr>
          <w:p w14:paraId="55567E82"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3"/>
            <w:shd w:val="clear" w:color="auto" w:fill="auto"/>
            <w:tcMar>
              <w:top w:w="40" w:type="dxa"/>
              <w:left w:w="40" w:type="dxa"/>
              <w:bottom w:w="40" w:type="dxa"/>
              <w:right w:w="40" w:type="dxa"/>
            </w:tcMar>
            <w:vAlign w:val="bottom"/>
          </w:tcPr>
          <w:p w14:paraId="55567E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E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E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E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7E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E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E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E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8B"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7E8C" w14:textId="77777777" w:rsidR="00F925DD" w:rsidRDefault="00F925DD">
            <w:pPr>
              <w:textAlignment w:val="bottom"/>
              <w:rPr>
                <w:rFonts w:ascii="Times New Roman" w:hAnsi="Times New Roman"/>
                <w:sz w:val="20"/>
                <w:szCs w:val="20"/>
              </w:rPr>
            </w:pPr>
          </w:p>
        </w:tc>
      </w:tr>
      <w:tr w:rsidR="00F925DD" w14:paraId="55567E9D" w14:textId="77777777">
        <w:tc>
          <w:tcPr>
            <w:tcW w:w="0" w:type="auto"/>
            <w:shd w:val="clear" w:color="auto" w:fill="CCEEFF"/>
            <w:tcMar>
              <w:top w:w="40" w:type="dxa"/>
              <w:left w:w="240" w:type="dxa"/>
              <w:bottom w:w="40" w:type="dxa"/>
              <w:right w:w="40" w:type="dxa"/>
            </w:tcMar>
            <w:vAlign w:val="bottom"/>
          </w:tcPr>
          <w:p w14:paraId="55567E8E" w14:textId="77777777" w:rsidR="00F925DD" w:rsidRDefault="00E705D7">
            <w:pPr>
              <w:textAlignment w:val="bottom"/>
              <w:rPr>
                <w:rFonts w:ascii="Times New Roman" w:hAnsi="Times New Roman"/>
                <w:sz w:val="14"/>
                <w:szCs w:val="14"/>
              </w:rPr>
            </w:pPr>
            <w:r>
              <w:rPr>
                <w:rFonts w:ascii="Arial" w:eastAsia="宋体" w:hAnsi="Arial" w:cs="Arial"/>
                <w:sz w:val="14"/>
                <w:szCs w:val="14"/>
              </w:rPr>
              <w:t>Professional services</w:t>
            </w:r>
          </w:p>
        </w:tc>
        <w:tc>
          <w:tcPr>
            <w:tcW w:w="0" w:type="auto"/>
            <w:gridSpan w:val="2"/>
            <w:shd w:val="clear" w:color="auto" w:fill="CCEEFF"/>
            <w:tcMar>
              <w:top w:w="40" w:type="dxa"/>
              <w:left w:w="40" w:type="dxa"/>
              <w:bottom w:w="40" w:type="dxa"/>
            </w:tcMar>
            <w:vAlign w:val="bottom"/>
          </w:tcPr>
          <w:p w14:paraId="55567E8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321</w:t>
            </w:r>
          </w:p>
        </w:tc>
        <w:tc>
          <w:tcPr>
            <w:tcW w:w="0" w:type="auto"/>
            <w:shd w:val="clear" w:color="auto" w:fill="CCEEFF"/>
            <w:vAlign w:val="bottom"/>
          </w:tcPr>
          <w:p w14:paraId="55567E9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E9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357</w:t>
            </w:r>
          </w:p>
        </w:tc>
        <w:tc>
          <w:tcPr>
            <w:tcW w:w="0" w:type="auto"/>
            <w:shd w:val="clear" w:color="auto" w:fill="CCEEFF"/>
            <w:vAlign w:val="bottom"/>
          </w:tcPr>
          <w:p w14:paraId="55567E9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E9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340</w:t>
            </w:r>
          </w:p>
        </w:tc>
        <w:tc>
          <w:tcPr>
            <w:tcW w:w="0" w:type="auto"/>
            <w:shd w:val="clear" w:color="auto" w:fill="CCEEFF"/>
            <w:vAlign w:val="bottom"/>
          </w:tcPr>
          <w:p w14:paraId="55567E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9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CCEEFF"/>
            <w:tcMar>
              <w:top w:w="40" w:type="dxa"/>
              <w:bottom w:w="40" w:type="dxa"/>
              <w:right w:w="40" w:type="dxa"/>
            </w:tcMar>
            <w:vAlign w:val="bottom"/>
          </w:tcPr>
          <w:p w14:paraId="55567E9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E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9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CCEEFF"/>
            <w:vAlign w:val="bottom"/>
          </w:tcPr>
          <w:p w14:paraId="55567E9C" w14:textId="77777777" w:rsidR="00F925DD" w:rsidRDefault="00F925DD">
            <w:pPr>
              <w:textAlignment w:val="bottom"/>
              <w:rPr>
                <w:rFonts w:ascii="Times New Roman" w:hAnsi="Times New Roman"/>
                <w:sz w:val="20"/>
                <w:szCs w:val="20"/>
              </w:rPr>
            </w:pPr>
          </w:p>
        </w:tc>
      </w:tr>
      <w:tr w:rsidR="00F925DD" w14:paraId="55567EAD" w14:textId="77777777">
        <w:tc>
          <w:tcPr>
            <w:tcW w:w="0" w:type="auto"/>
            <w:shd w:val="clear" w:color="auto" w:fill="auto"/>
            <w:tcMar>
              <w:top w:w="40" w:type="dxa"/>
              <w:left w:w="240" w:type="dxa"/>
              <w:bottom w:w="40" w:type="dxa"/>
              <w:right w:w="40" w:type="dxa"/>
            </w:tcMar>
            <w:vAlign w:val="bottom"/>
          </w:tcPr>
          <w:p w14:paraId="55567E9E"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gridSpan w:val="2"/>
            <w:tcBorders>
              <w:bottom w:val="single" w:sz="8" w:space="0" w:color="000000"/>
            </w:tcBorders>
            <w:shd w:val="clear" w:color="auto" w:fill="auto"/>
            <w:tcMar>
              <w:top w:w="40" w:type="dxa"/>
              <w:left w:w="40" w:type="dxa"/>
              <w:bottom w:w="40" w:type="dxa"/>
            </w:tcMar>
            <w:vAlign w:val="bottom"/>
          </w:tcPr>
          <w:p w14:paraId="55567E9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941</w:t>
            </w:r>
          </w:p>
        </w:tc>
        <w:tc>
          <w:tcPr>
            <w:tcW w:w="0" w:type="auto"/>
            <w:tcBorders>
              <w:bottom w:val="single" w:sz="8" w:space="0" w:color="000000"/>
            </w:tcBorders>
            <w:shd w:val="clear" w:color="auto" w:fill="auto"/>
            <w:vAlign w:val="bottom"/>
          </w:tcPr>
          <w:p w14:paraId="55567E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EA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819</w:t>
            </w:r>
          </w:p>
        </w:tc>
        <w:tc>
          <w:tcPr>
            <w:tcW w:w="0" w:type="auto"/>
            <w:tcBorders>
              <w:bottom w:val="single" w:sz="8" w:space="0" w:color="000000"/>
            </w:tcBorders>
            <w:shd w:val="clear" w:color="auto" w:fill="auto"/>
            <w:vAlign w:val="bottom"/>
          </w:tcPr>
          <w:p w14:paraId="55567EA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7EA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589</w:t>
            </w:r>
          </w:p>
        </w:tc>
        <w:tc>
          <w:tcPr>
            <w:tcW w:w="0" w:type="auto"/>
            <w:tcBorders>
              <w:bottom w:val="single" w:sz="8" w:space="0" w:color="000000"/>
            </w:tcBorders>
            <w:shd w:val="clear" w:color="auto" w:fill="auto"/>
            <w:vAlign w:val="bottom"/>
          </w:tcPr>
          <w:p w14:paraId="55567E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A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auto"/>
            <w:vAlign w:val="bottom"/>
          </w:tcPr>
          <w:p w14:paraId="55567EA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A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w:t>
            </w:r>
          </w:p>
        </w:tc>
        <w:tc>
          <w:tcPr>
            <w:tcW w:w="0" w:type="auto"/>
            <w:shd w:val="clear" w:color="auto" w:fill="auto"/>
            <w:vAlign w:val="bottom"/>
          </w:tcPr>
          <w:p w14:paraId="55567EAC" w14:textId="77777777" w:rsidR="00F925DD" w:rsidRDefault="00F925DD">
            <w:pPr>
              <w:textAlignment w:val="bottom"/>
              <w:rPr>
                <w:rFonts w:ascii="Times New Roman" w:hAnsi="Times New Roman"/>
                <w:sz w:val="20"/>
                <w:szCs w:val="20"/>
              </w:rPr>
            </w:pPr>
          </w:p>
        </w:tc>
      </w:tr>
      <w:tr w:rsidR="00F925DD" w14:paraId="55567EBD" w14:textId="77777777">
        <w:tc>
          <w:tcPr>
            <w:tcW w:w="0" w:type="auto"/>
            <w:shd w:val="clear" w:color="auto" w:fill="CCEEFF"/>
            <w:tcMar>
              <w:top w:w="40" w:type="dxa"/>
              <w:left w:w="40" w:type="dxa"/>
              <w:bottom w:w="40" w:type="dxa"/>
              <w:right w:w="40" w:type="dxa"/>
            </w:tcMar>
            <w:vAlign w:val="bottom"/>
          </w:tcPr>
          <w:p w14:paraId="55567EAE"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other</w:t>
            </w:r>
            <w:r>
              <w:rPr>
                <w:rFonts w:ascii="Arial" w:eastAsia="宋体" w:hAnsi="Arial" w:cs="Arial"/>
                <w:sz w:val="10"/>
                <w:szCs w:val="10"/>
              </w:rPr>
              <w:t>(2)</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EA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1,262</w:t>
            </w:r>
          </w:p>
        </w:tc>
        <w:tc>
          <w:tcPr>
            <w:tcW w:w="0" w:type="auto"/>
            <w:tcBorders>
              <w:bottom w:val="single" w:sz="8" w:space="0" w:color="000000"/>
            </w:tcBorders>
            <w:shd w:val="clear" w:color="auto" w:fill="CCEEFF"/>
            <w:vAlign w:val="bottom"/>
          </w:tcPr>
          <w:p w14:paraId="55567EB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EB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1,176</w:t>
            </w:r>
          </w:p>
        </w:tc>
        <w:tc>
          <w:tcPr>
            <w:tcW w:w="0" w:type="auto"/>
            <w:tcBorders>
              <w:bottom w:val="single" w:sz="8" w:space="0" w:color="000000"/>
            </w:tcBorders>
            <w:shd w:val="clear" w:color="auto" w:fill="CCEEFF"/>
            <w:vAlign w:val="bottom"/>
          </w:tcPr>
          <w:p w14:paraId="55567E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7EB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929</w:t>
            </w:r>
          </w:p>
        </w:tc>
        <w:tc>
          <w:tcPr>
            <w:tcW w:w="0" w:type="auto"/>
            <w:tcBorders>
              <w:top w:val="single" w:sz="8" w:space="0" w:color="000000"/>
              <w:bottom w:val="single" w:sz="8" w:space="0" w:color="000000"/>
            </w:tcBorders>
            <w:shd w:val="clear" w:color="auto" w:fill="CCEEFF"/>
            <w:vAlign w:val="bottom"/>
          </w:tcPr>
          <w:p w14:paraId="55567E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B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vAlign w:val="bottom"/>
          </w:tcPr>
          <w:p w14:paraId="55567EB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B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w:t>
            </w:r>
          </w:p>
        </w:tc>
        <w:tc>
          <w:tcPr>
            <w:tcW w:w="0" w:type="auto"/>
            <w:shd w:val="clear" w:color="auto" w:fill="CCEEFF"/>
            <w:vAlign w:val="bottom"/>
          </w:tcPr>
          <w:p w14:paraId="55567EBC" w14:textId="77777777" w:rsidR="00F925DD" w:rsidRDefault="00F925DD">
            <w:pPr>
              <w:textAlignment w:val="bottom"/>
              <w:rPr>
                <w:rFonts w:ascii="Times New Roman" w:hAnsi="Times New Roman"/>
                <w:sz w:val="20"/>
                <w:szCs w:val="20"/>
              </w:rPr>
            </w:pPr>
          </w:p>
        </w:tc>
      </w:tr>
      <w:tr w:rsidR="00F925DD" w14:paraId="55567ED0" w14:textId="77777777">
        <w:tc>
          <w:tcPr>
            <w:tcW w:w="0" w:type="auto"/>
            <w:shd w:val="clear" w:color="auto" w:fill="auto"/>
            <w:tcMar>
              <w:top w:w="40" w:type="dxa"/>
              <w:left w:w="40" w:type="dxa"/>
              <w:bottom w:w="40" w:type="dxa"/>
              <w:right w:w="40" w:type="dxa"/>
            </w:tcMar>
            <w:vAlign w:val="bottom"/>
          </w:tcPr>
          <w:p w14:paraId="55567EBE"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expenses</w:t>
            </w:r>
            <w:r>
              <w:rPr>
                <w:rFonts w:ascii="Arial" w:eastAsia="宋体" w:hAnsi="Arial" w:cs="Arial"/>
                <w:sz w:val="10"/>
                <w:szCs w:val="10"/>
              </w:rPr>
              <w:t>(1)</w:t>
            </w:r>
          </w:p>
        </w:tc>
        <w:tc>
          <w:tcPr>
            <w:tcW w:w="0" w:type="auto"/>
            <w:tcBorders>
              <w:bottom w:val="double" w:sz="6" w:space="0" w:color="000000"/>
            </w:tcBorders>
            <w:shd w:val="clear" w:color="auto" w:fill="auto"/>
            <w:tcMar>
              <w:top w:w="40" w:type="dxa"/>
              <w:left w:w="40" w:type="dxa"/>
              <w:bottom w:w="40" w:type="dxa"/>
            </w:tcMar>
            <w:vAlign w:val="bottom"/>
          </w:tcPr>
          <w:p w14:paraId="55567EB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67EC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9,034</w:t>
            </w:r>
          </w:p>
        </w:tc>
        <w:tc>
          <w:tcPr>
            <w:tcW w:w="0" w:type="auto"/>
            <w:tcBorders>
              <w:bottom w:val="double" w:sz="6" w:space="0" w:color="000000"/>
            </w:tcBorders>
            <w:shd w:val="clear" w:color="auto" w:fill="auto"/>
            <w:vAlign w:val="bottom"/>
          </w:tcPr>
          <w:p w14:paraId="55567EC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7EC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7EC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9,015</w:t>
            </w:r>
          </w:p>
        </w:tc>
        <w:tc>
          <w:tcPr>
            <w:tcW w:w="0" w:type="auto"/>
            <w:tcBorders>
              <w:bottom w:val="double" w:sz="6" w:space="0" w:color="000000"/>
            </w:tcBorders>
            <w:shd w:val="clear" w:color="auto" w:fill="auto"/>
            <w:vAlign w:val="bottom"/>
          </w:tcPr>
          <w:p w14:paraId="55567EC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7EC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7EC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8,269</w:t>
            </w:r>
          </w:p>
        </w:tc>
        <w:tc>
          <w:tcPr>
            <w:tcW w:w="0" w:type="auto"/>
            <w:tcBorders>
              <w:bottom w:val="double" w:sz="6" w:space="0" w:color="000000"/>
            </w:tcBorders>
            <w:shd w:val="clear" w:color="auto" w:fill="auto"/>
            <w:vAlign w:val="bottom"/>
          </w:tcPr>
          <w:p w14:paraId="55567E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C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7EC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E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7EC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vAlign w:val="bottom"/>
          </w:tcPr>
          <w:p w14:paraId="55567ECF" w14:textId="77777777" w:rsidR="00F925DD" w:rsidRDefault="00F925DD">
            <w:pPr>
              <w:textAlignment w:val="bottom"/>
              <w:rPr>
                <w:rFonts w:ascii="Times New Roman" w:hAnsi="Times New Roman"/>
                <w:sz w:val="20"/>
                <w:szCs w:val="20"/>
              </w:rPr>
            </w:pPr>
          </w:p>
        </w:tc>
      </w:tr>
      <w:tr w:rsidR="00F925DD" w14:paraId="55567EE0" w14:textId="77777777">
        <w:tc>
          <w:tcPr>
            <w:tcW w:w="0" w:type="auto"/>
            <w:shd w:val="clear" w:color="auto" w:fill="CCEEFF"/>
            <w:tcMar>
              <w:top w:w="40" w:type="dxa"/>
              <w:left w:w="40" w:type="dxa"/>
              <w:bottom w:w="40" w:type="dxa"/>
              <w:right w:w="40" w:type="dxa"/>
            </w:tcMar>
            <w:vAlign w:val="bottom"/>
          </w:tcPr>
          <w:p w14:paraId="55567ED1" w14:textId="77777777" w:rsidR="00F925DD" w:rsidRDefault="00E705D7">
            <w:pPr>
              <w:textAlignment w:val="bottom"/>
              <w:rPr>
                <w:rFonts w:ascii="Times New Roman" w:hAnsi="Times New Roman"/>
                <w:sz w:val="14"/>
                <w:szCs w:val="14"/>
              </w:rPr>
            </w:pPr>
            <w:r>
              <w:rPr>
                <w:rFonts w:ascii="Arial" w:eastAsia="宋体" w:hAnsi="Arial" w:cs="Arial"/>
                <w:sz w:val="14"/>
                <w:szCs w:val="14"/>
              </w:rPr>
              <w:t>Number of employees at year-end</w:t>
            </w:r>
          </w:p>
        </w:tc>
        <w:tc>
          <w:tcPr>
            <w:tcW w:w="0" w:type="auto"/>
            <w:gridSpan w:val="2"/>
            <w:shd w:val="clear" w:color="auto" w:fill="CCEEFF"/>
            <w:tcMar>
              <w:top w:w="40" w:type="dxa"/>
              <w:left w:w="40" w:type="dxa"/>
              <w:bottom w:w="40" w:type="dxa"/>
            </w:tcMar>
            <w:vAlign w:val="bottom"/>
          </w:tcPr>
          <w:p w14:paraId="55567ED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39,103</w:t>
            </w:r>
          </w:p>
        </w:tc>
        <w:tc>
          <w:tcPr>
            <w:tcW w:w="0" w:type="auto"/>
            <w:shd w:val="clear" w:color="auto" w:fill="CCEEFF"/>
            <w:vAlign w:val="bottom"/>
          </w:tcPr>
          <w:p w14:paraId="55567ED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ED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40,142</w:t>
            </w:r>
          </w:p>
        </w:tc>
        <w:tc>
          <w:tcPr>
            <w:tcW w:w="0" w:type="auto"/>
            <w:shd w:val="clear" w:color="auto" w:fill="CCEEFF"/>
            <w:vAlign w:val="bottom"/>
          </w:tcPr>
          <w:p w14:paraId="55567E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ED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36,643</w:t>
            </w:r>
          </w:p>
        </w:tc>
        <w:tc>
          <w:tcPr>
            <w:tcW w:w="0" w:type="auto"/>
            <w:shd w:val="clear" w:color="auto" w:fill="CCEEFF"/>
            <w:vAlign w:val="bottom"/>
          </w:tcPr>
          <w:p w14:paraId="55567ED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E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D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CCEEFF"/>
            <w:tcMar>
              <w:top w:w="40" w:type="dxa"/>
              <w:bottom w:w="40" w:type="dxa"/>
              <w:right w:w="40" w:type="dxa"/>
            </w:tcMar>
            <w:vAlign w:val="bottom"/>
          </w:tcPr>
          <w:p w14:paraId="55567ED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E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7ED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CCEEFF"/>
            <w:vAlign w:val="bottom"/>
          </w:tcPr>
          <w:p w14:paraId="55567EDF" w14:textId="77777777" w:rsidR="00F925DD" w:rsidRDefault="00F925DD">
            <w:pPr>
              <w:textAlignment w:val="bottom"/>
              <w:rPr>
                <w:rFonts w:ascii="Times New Roman" w:hAnsi="Times New Roman"/>
                <w:sz w:val="20"/>
                <w:szCs w:val="20"/>
              </w:rPr>
            </w:pPr>
          </w:p>
        </w:tc>
      </w:tr>
    </w:tbl>
    <w:p w14:paraId="55567EE1"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4319"/>
        <w:gridCol w:w="3987"/>
      </w:tblGrid>
      <w:tr w:rsidR="00F925DD" w14:paraId="55567EE3" w14:textId="77777777">
        <w:tc>
          <w:tcPr>
            <w:tcW w:w="0" w:type="auto"/>
            <w:gridSpan w:val="2"/>
            <w:shd w:val="clear" w:color="auto" w:fill="auto"/>
            <w:vAlign w:val="center"/>
          </w:tcPr>
          <w:p w14:paraId="55567EE2" w14:textId="77777777" w:rsidR="00F925DD" w:rsidRDefault="00F925DD">
            <w:pPr>
              <w:rPr>
                <w:rFonts w:ascii="Times New Roman" w:hAnsi="Times New Roman"/>
                <w:sz w:val="20"/>
                <w:szCs w:val="20"/>
              </w:rPr>
            </w:pPr>
          </w:p>
        </w:tc>
      </w:tr>
      <w:tr w:rsidR="00F925DD" w14:paraId="55567EE6" w14:textId="77777777">
        <w:tc>
          <w:tcPr>
            <w:tcW w:w="2600" w:type="pct"/>
            <w:shd w:val="clear" w:color="auto" w:fill="auto"/>
            <w:vAlign w:val="center"/>
          </w:tcPr>
          <w:p w14:paraId="55567EE4" w14:textId="77777777" w:rsidR="00F925DD" w:rsidRDefault="00F925DD">
            <w:pPr>
              <w:rPr>
                <w:rFonts w:ascii="Times New Roman" w:hAnsi="Times New Roman"/>
                <w:sz w:val="20"/>
                <w:szCs w:val="20"/>
              </w:rPr>
            </w:pPr>
          </w:p>
        </w:tc>
        <w:tc>
          <w:tcPr>
            <w:tcW w:w="2400" w:type="pct"/>
            <w:shd w:val="clear" w:color="auto" w:fill="auto"/>
            <w:vAlign w:val="center"/>
          </w:tcPr>
          <w:p w14:paraId="55567EE5" w14:textId="77777777" w:rsidR="00F925DD" w:rsidRDefault="00F925DD">
            <w:pPr>
              <w:rPr>
                <w:rFonts w:ascii="Times New Roman" w:hAnsi="Times New Roman"/>
                <w:sz w:val="20"/>
                <w:szCs w:val="20"/>
              </w:rPr>
            </w:pPr>
          </w:p>
        </w:tc>
      </w:tr>
      <w:tr w:rsidR="00F925DD" w14:paraId="55567EE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7E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7E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7EEA" w14:textId="77777777" w:rsidR="00F925DD" w:rsidRDefault="00E705D7">
      <w:pPr>
        <w:spacing w:line="288" w:lineRule="auto"/>
        <w:jc w:val="both"/>
        <w:rPr>
          <w:rFonts w:ascii="Times New Roman" w:hAnsi="Times New Roman"/>
          <w:sz w:val="20"/>
          <w:szCs w:val="20"/>
        </w:rPr>
      </w:pPr>
      <w:r>
        <w:rPr>
          <w:rFonts w:ascii="Arial" w:eastAsia="宋体" w:hAnsi="Arial" w:cs="Arial"/>
          <w:sz w:val="13"/>
          <w:szCs w:val="13"/>
        </w:rPr>
        <w:t xml:space="preserve">(1) </w:t>
      </w:r>
      <w:r>
        <w:rPr>
          <w:rFonts w:ascii="Arial" w:eastAsia="宋体" w:hAnsi="Arial" w:cs="Arial"/>
          <w:sz w:val="12"/>
          <w:szCs w:val="12"/>
        </w:rPr>
        <w:t xml:space="preserve">CRD contributed approximately $201 million in total expenses in 2019, including approximately $148 million in compensation and employee benefits and $53 </w:t>
      </w:r>
      <w:r>
        <w:rPr>
          <w:rFonts w:ascii="Arial" w:eastAsia="宋体" w:hAnsi="Arial" w:cs="Arial"/>
          <w:sz w:val="12"/>
          <w:szCs w:val="12"/>
        </w:rPr>
        <w:t>million in other expense lines. In addition, CRD-related expenses in 2019 include $65 million in amortization of other intangible assets.</w:t>
      </w:r>
    </w:p>
    <w:p w14:paraId="55567EEB" w14:textId="77777777" w:rsidR="00F925DD" w:rsidRDefault="00E705D7">
      <w:pPr>
        <w:spacing w:line="288" w:lineRule="auto"/>
        <w:jc w:val="both"/>
        <w:rPr>
          <w:rFonts w:ascii="Times New Roman" w:hAnsi="Times New Roman"/>
          <w:sz w:val="12"/>
          <w:szCs w:val="12"/>
        </w:rPr>
      </w:pPr>
      <w:r>
        <w:rPr>
          <w:rFonts w:ascii="Arial" w:eastAsia="宋体" w:hAnsi="Arial" w:cs="Arial"/>
          <w:sz w:val="12"/>
          <w:szCs w:val="12"/>
        </w:rPr>
        <w:t>CRD contributed approximately $39 million in total expenses in 2018, including approximately $28 million in compensati</w:t>
      </w:r>
      <w:r>
        <w:rPr>
          <w:rFonts w:ascii="Arial" w:eastAsia="宋体" w:hAnsi="Arial" w:cs="Arial"/>
          <w:sz w:val="12"/>
          <w:szCs w:val="12"/>
        </w:rPr>
        <w:t>on and employee benefits and $11 million in other expense lines. In addition, CRD-related expenses in 2018 include $18 million in amortization of other intangible assets.</w:t>
      </w:r>
    </w:p>
    <w:p w14:paraId="55567EEC"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 xml:space="preserve">The revenue recognition standard contributed approximately $319 million in total </w:t>
      </w:r>
      <w:r>
        <w:rPr>
          <w:rFonts w:ascii="Arial" w:eastAsia="宋体" w:hAnsi="Arial" w:cs="Arial"/>
          <w:sz w:val="12"/>
          <w:szCs w:val="12"/>
        </w:rPr>
        <w:t>expenses for 2018, including approximately $183 million in other expenses, $106 million in transaction processing and $30 million across other expense line items.</w:t>
      </w:r>
    </w:p>
    <w:p w14:paraId="55567EED"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nm Not meaningful</w:t>
      </w:r>
    </w:p>
    <w:p w14:paraId="55567EE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Compensation and employee benefits expenses decreased 5% in 2019 </w:t>
      </w:r>
      <w:r>
        <w:rPr>
          <w:rFonts w:ascii="Arial" w:eastAsia="宋体" w:hAnsi="Arial" w:cs="Arial"/>
          <w:sz w:val="20"/>
          <w:szCs w:val="20"/>
        </w:rPr>
        <w:t xml:space="preserve">compared to 2018, primarily driven by savings from the process re-engineering and resource discipline savings initiatives under our expense savings program and lower repositioning charges in 2019 compared to 2018, partially offset by the impact of the CRD </w:t>
      </w:r>
      <w:r>
        <w:rPr>
          <w:rFonts w:ascii="Arial" w:eastAsia="宋体" w:hAnsi="Arial" w:cs="Arial"/>
          <w:sz w:val="20"/>
          <w:szCs w:val="20"/>
        </w:rPr>
        <w:t>acquisition and annual merit increases.</w:t>
      </w:r>
    </w:p>
    <w:p w14:paraId="55567EEF"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EF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Total headcount decreased by approximately 3% as of December 31, 2019 compared to December 31, 2018, primarily driven by productivity savings, including a reduction in headcount in higher cost locations.</w:t>
      </w:r>
    </w:p>
    <w:p w14:paraId="55567EF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Informatio</w:t>
      </w:r>
      <w:r>
        <w:rPr>
          <w:rFonts w:ascii="Arial" w:eastAsia="宋体" w:hAnsi="Arial" w:cs="Arial"/>
          <w:sz w:val="20"/>
          <w:szCs w:val="20"/>
        </w:rPr>
        <w:t>n systems and communications expenses increased 11% in 2019 compared to 2018. The increase was primarily related to technology infrastructure enhancements.</w:t>
      </w:r>
    </w:p>
    <w:p w14:paraId="55567EF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Transaction processing services expenses remained flat in 2019 compared to 2018.</w:t>
      </w:r>
    </w:p>
    <w:p w14:paraId="55567EF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Occupancy expenses </w:t>
      </w:r>
      <w:r>
        <w:rPr>
          <w:rFonts w:ascii="Arial" w:eastAsia="宋体" w:hAnsi="Arial" w:cs="Arial"/>
          <w:sz w:val="20"/>
          <w:szCs w:val="20"/>
        </w:rPr>
        <w:t xml:space="preserve">decreased 6% in 2019 compared to 2018, primarily due to lower repositioning charges in 2019 compared to 2018 and the advancement of our global footprint strategy. </w:t>
      </w:r>
    </w:p>
    <w:p w14:paraId="55567EF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Amortization of other intangible assets increased 4% in 2019 compared to 2018, primarily due</w:t>
      </w:r>
      <w:r>
        <w:rPr>
          <w:rFonts w:ascii="Arial" w:eastAsia="宋体" w:hAnsi="Arial" w:cs="Arial"/>
          <w:sz w:val="20"/>
          <w:szCs w:val="20"/>
        </w:rPr>
        <w:t xml:space="preserve"> to the CRD acquisition.</w:t>
      </w:r>
    </w:p>
    <w:p w14:paraId="55567EF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Other expenses increased 7% in 2019 compared to 2018, primarily driven by higher legal expenses and State Street Foundation funding, partially offset by lower professional services, travel, and insurance costs.</w:t>
      </w:r>
    </w:p>
    <w:p w14:paraId="55567EF6"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Acquisition Costs</w:t>
      </w:r>
    </w:p>
    <w:p w14:paraId="55567EF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w:t>
      </w:r>
      <w:r>
        <w:rPr>
          <w:rFonts w:ascii="Arial" w:eastAsia="宋体" w:hAnsi="Arial" w:cs="Arial"/>
          <w:sz w:val="20"/>
          <w:szCs w:val="20"/>
        </w:rPr>
        <w:t xml:space="preserve"> recorded approximately $79 million of acquisition costs in 2019 compared to $31 million in 2018, related to our acquisition of CRD, and $21 million in 2017 related to our acquisition of the GEAM business. As we integrate CRD into our business, we expect t</w:t>
      </w:r>
      <w:r>
        <w:rPr>
          <w:rFonts w:ascii="Arial" w:eastAsia="宋体" w:hAnsi="Arial" w:cs="Arial"/>
          <w:sz w:val="20"/>
          <w:szCs w:val="20"/>
        </w:rPr>
        <w:t>o incur a total of approximately $200 million of acquisition costs, including merger and integration costs, through 2021, out of which $110 million has been incurred as of December 31, 2019, since the acquisition.</w:t>
      </w:r>
    </w:p>
    <w:p w14:paraId="55567EF8"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Restructuring and Repositioning Charges</w:t>
      </w:r>
    </w:p>
    <w:p w14:paraId="55567EF9"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Re</w:t>
      </w:r>
      <w:r>
        <w:rPr>
          <w:rFonts w:ascii="Arial" w:eastAsia="宋体" w:hAnsi="Arial" w:cs="Arial"/>
          <w:i/>
          <w:iCs/>
          <w:sz w:val="20"/>
          <w:szCs w:val="20"/>
        </w:rPr>
        <w:t>positioning Charges</w:t>
      </w:r>
    </w:p>
    <w:p w14:paraId="55567EF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late 2018, we initiated an expense program to accelerate efforts to become a higher-performing organization and help navigate challenging market and industry conditions, with an initial goal to realize $350 million in gross expense s</w:t>
      </w:r>
      <w:r>
        <w:rPr>
          <w:rFonts w:ascii="Arial" w:eastAsia="宋体" w:hAnsi="Arial" w:cs="Arial"/>
          <w:sz w:val="20"/>
          <w:szCs w:val="20"/>
        </w:rPr>
        <w:t xml:space="preserve">avings in 2019, which was subsequently revised to $400 million gross savings for 2019. In 2019, we achieved approximately $415 million of gross expense savings under this program, including approximately $230 million in resource discipline initiatives and </w:t>
      </w:r>
      <w:r>
        <w:rPr>
          <w:rFonts w:ascii="Arial" w:eastAsia="宋体" w:hAnsi="Arial" w:cs="Arial"/>
          <w:sz w:val="20"/>
          <w:szCs w:val="20"/>
        </w:rPr>
        <w:t xml:space="preserve">$185 million in process re-engineering and automation benefits. </w:t>
      </w:r>
    </w:p>
    <w:p w14:paraId="55567EF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Resource discipline initiatives include reducing senior management headcount, rigorous performance management, vendor management and optimization of real estate. Process re-engineering and au</w:t>
      </w:r>
      <w:r>
        <w:rPr>
          <w:rFonts w:ascii="Arial" w:eastAsia="宋体" w:hAnsi="Arial" w:cs="Arial"/>
          <w:sz w:val="20"/>
          <w:szCs w:val="20"/>
        </w:rPr>
        <w:t>tomation benefits can include high-cost location workforce reductions, reducing manual/bespoke and redundant activities, streamlining operational centers and moving to common platforms/retiring legacy applications.</w:t>
      </w:r>
    </w:p>
    <w:p w14:paraId="55567EF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Expenses for 2019 included a repositionin</w:t>
      </w:r>
      <w:r>
        <w:rPr>
          <w:rFonts w:ascii="Arial" w:eastAsia="宋体" w:hAnsi="Arial" w:cs="Arial"/>
          <w:sz w:val="20"/>
          <w:szCs w:val="20"/>
        </w:rPr>
        <w:t xml:space="preserve">g charge of $110 million to further drive process </w:t>
      </w:r>
    </w:p>
    <w:p w14:paraId="55567EFD" w14:textId="77777777" w:rsidR="00F925DD" w:rsidRDefault="00F925DD">
      <w:pPr>
        <w:rPr>
          <w:rFonts w:ascii="Times New Roman" w:hAnsi="Times New Roman"/>
          <w:sz w:val="20"/>
          <w:szCs w:val="20"/>
        </w:rPr>
      </w:pPr>
    </w:p>
    <w:p w14:paraId="55567EF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67</w:t>
      </w:r>
    </w:p>
    <w:p w14:paraId="55567EFF" w14:textId="77777777" w:rsidR="00F925DD" w:rsidRDefault="00F925DD">
      <w:pPr>
        <w:spacing w:line="288" w:lineRule="auto"/>
        <w:ind w:firstLine="600"/>
        <w:jc w:val="center"/>
        <w:rPr>
          <w:rFonts w:ascii="Times New Roman" w:hAnsi="Times New Roman"/>
          <w:sz w:val="18"/>
          <w:szCs w:val="18"/>
        </w:rPr>
      </w:pPr>
    </w:p>
    <w:p w14:paraId="55567F00" w14:textId="77777777" w:rsidR="00F925DD" w:rsidRDefault="00E705D7">
      <w:r>
        <w:rPr>
          <w:rFonts w:ascii="Times New Roman" w:hAnsi="Times New Roman"/>
          <w:sz w:val="18"/>
          <w:szCs w:val="18"/>
        </w:rPr>
        <w:pict w14:anchorId="5557067D">
          <v:rect id="_x0000_i1091" style="width:415.3pt;height:1.5pt" o:hralign="center" o:hrstd="t" o:hr="t" fillcolor="#a0a0a0" stroked="f"/>
        </w:pict>
      </w:r>
    </w:p>
    <w:p w14:paraId="55567F0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7F02"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F03" w14:textId="77777777" w:rsidR="00F925DD" w:rsidRDefault="00F925DD">
      <w:pPr>
        <w:rPr>
          <w:rFonts w:ascii="Times New Roman" w:hAnsi="Times New Roman"/>
          <w:sz w:val="20"/>
          <w:szCs w:val="20"/>
        </w:rPr>
      </w:pPr>
    </w:p>
    <w:p w14:paraId="55567F0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automation, information technology optimizations and organization </w:t>
      </w:r>
      <w:r>
        <w:rPr>
          <w:rFonts w:ascii="Arial" w:eastAsia="宋体" w:hAnsi="Arial" w:cs="Arial"/>
          <w:sz w:val="20"/>
          <w:szCs w:val="20"/>
        </w:rPr>
        <w:t>rationalization in 2020, consisting of $98 million of compensation and employee benefits and $12 million of occupancy expenses. Total repositioning charges were $300 million in 2018.</w:t>
      </w:r>
    </w:p>
    <w:p w14:paraId="55567F0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aggregate activity for repositioning charges</w:t>
      </w:r>
      <w:r>
        <w:rPr>
          <w:rFonts w:ascii="Arial" w:eastAsia="宋体" w:hAnsi="Arial" w:cs="Arial"/>
          <w:sz w:val="20"/>
          <w:szCs w:val="20"/>
        </w:rPr>
        <w:t xml:space="preserve"> and activity related to previous Beacon restructuring charges for the periods indicated:</w:t>
      </w:r>
    </w:p>
    <w:tbl>
      <w:tblPr>
        <w:tblW w:w="5000" w:type="pct"/>
        <w:tblCellMar>
          <w:left w:w="0" w:type="dxa"/>
          <w:right w:w="0" w:type="dxa"/>
        </w:tblCellMar>
        <w:tblLook w:val="04A0" w:firstRow="1" w:lastRow="0" w:firstColumn="1" w:lastColumn="0" w:noHBand="0" w:noVBand="1"/>
      </w:tblPr>
      <w:tblGrid>
        <w:gridCol w:w="2472"/>
        <w:gridCol w:w="119"/>
        <w:gridCol w:w="1226"/>
        <w:gridCol w:w="87"/>
        <w:gridCol w:w="146"/>
        <w:gridCol w:w="119"/>
        <w:gridCol w:w="1143"/>
        <w:gridCol w:w="87"/>
        <w:gridCol w:w="146"/>
        <w:gridCol w:w="119"/>
        <w:gridCol w:w="1226"/>
        <w:gridCol w:w="87"/>
        <w:gridCol w:w="146"/>
        <w:gridCol w:w="118"/>
        <w:gridCol w:w="978"/>
        <w:gridCol w:w="87"/>
      </w:tblGrid>
      <w:tr w:rsidR="00F925DD" w14:paraId="55567F07" w14:textId="77777777">
        <w:tc>
          <w:tcPr>
            <w:tcW w:w="0" w:type="auto"/>
            <w:gridSpan w:val="16"/>
            <w:shd w:val="clear" w:color="auto" w:fill="auto"/>
            <w:vAlign w:val="center"/>
          </w:tcPr>
          <w:p w14:paraId="55567F06" w14:textId="77777777" w:rsidR="00F925DD" w:rsidRDefault="00F925DD">
            <w:pPr>
              <w:rPr>
                <w:rFonts w:ascii="Times New Roman" w:hAnsi="Times New Roman"/>
                <w:sz w:val="20"/>
                <w:szCs w:val="20"/>
              </w:rPr>
            </w:pPr>
          </w:p>
        </w:tc>
      </w:tr>
      <w:tr w:rsidR="00F925DD" w14:paraId="55567F18" w14:textId="77777777">
        <w:tc>
          <w:tcPr>
            <w:tcW w:w="1500" w:type="pct"/>
            <w:shd w:val="clear" w:color="auto" w:fill="auto"/>
            <w:vAlign w:val="center"/>
          </w:tcPr>
          <w:p w14:paraId="55567F08" w14:textId="77777777" w:rsidR="00F925DD" w:rsidRDefault="00F925DD">
            <w:pPr>
              <w:rPr>
                <w:rFonts w:ascii="Times New Roman" w:hAnsi="Times New Roman"/>
                <w:sz w:val="20"/>
                <w:szCs w:val="20"/>
              </w:rPr>
            </w:pPr>
          </w:p>
        </w:tc>
        <w:tc>
          <w:tcPr>
            <w:tcW w:w="50" w:type="pct"/>
            <w:shd w:val="clear" w:color="auto" w:fill="auto"/>
            <w:vAlign w:val="center"/>
          </w:tcPr>
          <w:p w14:paraId="55567F09" w14:textId="77777777" w:rsidR="00F925DD" w:rsidRDefault="00F925DD">
            <w:pPr>
              <w:rPr>
                <w:rFonts w:ascii="Times New Roman" w:hAnsi="Times New Roman"/>
                <w:sz w:val="20"/>
                <w:szCs w:val="20"/>
              </w:rPr>
            </w:pPr>
          </w:p>
        </w:tc>
        <w:tc>
          <w:tcPr>
            <w:tcW w:w="750" w:type="pct"/>
            <w:shd w:val="clear" w:color="auto" w:fill="auto"/>
            <w:vAlign w:val="center"/>
          </w:tcPr>
          <w:p w14:paraId="55567F0A" w14:textId="77777777" w:rsidR="00F925DD" w:rsidRDefault="00F925DD">
            <w:pPr>
              <w:rPr>
                <w:rFonts w:ascii="Times New Roman" w:hAnsi="Times New Roman"/>
                <w:sz w:val="20"/>
                <w:szCs w:val="20"/>
              </w:rPr>
            </w:pPr>
          </w:p>
        </w:tc>
        <w:tc>
          <w:tcPr>
            <w:tcW w:w="50" w:type="pct"/>
            <w:shd w:val="clear" w:color="auto" w:fill="auto"/>
            <w:vAlign w:val="center"/>
          </w:tcPr>
          <w:p w14:paraId="55567F0B" w14:textId="77777777" w:rsidR="00F925DD" w:rsidRDefault="00F925DD">
            <w:pPr>
              <w:rPr>
                <w:rFonts w:ascii="Times New Roman" w:hAnsi="Times New Roman"/>
                <w:sz w:val="20"/>
                <w:szCs w:val="20"/>
              </w:rPr>
            </w:pPr>
          </w:p>
        </w:tc>
        <w:tc>
          <w:tcPr>
            <w:tcW w:w="100" w:type="pct"/>
            <w:shd w:val="clear" w:color="auto" w:fill="auto"/>
            <w:vAlign w:val="center"/>
          </w:tcPr>
          <w:p w14:paraId="55567F0C" w14:textId="77777777" w:rsidR="00F925DD" w:rsidRDefault="00F925DD">
            <w:pPr>
              <w:rPr>
                <w:rFonts w:ascii="Times New Roman" w:hAnsi="Times New Roman"/>
                <w:sz w:val="20"/>
                <w:szCs w:val="20"/>
              </w:rPr>
            </w:pPr>
          </w:p>
        </w:tc>
        <w:tc>
          <w:tcPr>
            <w:tcW w:w="50" w:type="pct"/>
            <w:shd w:val="clear" w:color="auto" w:fill="auto"/>
            <w:vAlign w:val="center"/>
          </w:tcPr>
          <w:p w14:paraId="55567F0D" w14:textId="77777777" w:rsidR="00F925DD" w:rsidRDefault="00F925DD">
            <w:pPr>
              <w:rPr>
                <w:rFonts w:ascii="Times New Roman" w:hAnsi="Times New Roman"/>
                <w:sz w:val="20"/>
                <w:szCs w:val="20"/>
              </w:rPr>
            </w:pPr>
          </w:p>
        </w:tc>
        <w:tc>
          <w:tcPr>
            <w:tcW w:w="700" w:type="pct"/>
            <w:shd w:val="clear" w:color="auto" w:fill="auto"/>
            <w:vAlign w:val="center"/>
          </w:tcPr>
          <w:p w14:paraId="55567F0E" w14:textId="77777777" w:rsidR="00F925DD" w:rsidRDefault="00F925DD">
            <w:pPr>
              <w:rPr>
                <w:rFonts w:ascii="Times New Roman" w:hAnsi="Times New Roman"/>
                <w:sz w:val="20"/>
                <w:szCs w:val="20"/>
              </w:rPr>
            </w:pPr>
          </w:p>
        </w:tc>
        <w:tc>
          <w:tcPr>
            <w:tcW w:w="50" w:type="pct"/>
            <w:shd w:val="clear" w:color="auto" w:fill="auto"/>
            <w:vAlign w:val="center"/>
          </w:tcPr>
          <w:p w14:paraId="55567F0F" w14:textId="77777777" w:rsidR="00F925DD" w:rsidRDefault="00F925DD">
            <w:pPr>
              <w:rPr>
                <w:rFonts w:ascii="Times New Roman" w:hAnsi="Times New Roman"/>
                <w:sz w:val="20"/>
                <w:szCs w:val="20"/>
              </w:rPr>
            </w:pPr>
          </w:p>
        </w:tc>
        <w:tc>
          <w:tcPr>
            <w:tcW w:w="100" w:type="pct"/>
            <w:shd w:val="clear" w:color="auto" w:fill="auto"/>
            <w:vAlign w:val="center"/>
          </w:tcPr>
          <w:p w14:paraId="55567F10" w14:textId="77777777" w:rsidR="00F925DD" w:rsidRDefault="00F925DD">
            <w:pPr>
              <w:rPr>
                <w:rFonts w:ascii="Times New Roman" w:hAnsi="Times New Roman"/>
                <w:sz w:val="20"/>
                <w:szCs w:val="20"/>
              </w:rPr>
            </w:pPr>
          </w:p>
        </w:tc>
        <w:tc>
          <w:tcPr>
            <w:tcW w:w="50" w:type="pct"/>
            <w:shd w:val="clear" w:color="auto" w:fill="auto"/>
            <w:vAlign w:val="center"/>
          </w:tcPr>
          <w:p w14:paraId="55567F11" w14:textId="77777777" w:rsidR="00F925DD" w:rsidRDefault="00F925DD">
            <w:pPr>
              <w:rPr>
                <w:rFonts w:ascii="Times New Roman" w:hAnsi="Times New Roman"/>
                <w:sz w:val="20"/>
                <w:szCs w:val="20"/>
              </w:rPr>
            </w:pPr>
          </w:p>
        </w:tc>
        <w:tc>
          <w:tcPr>
            <w:tcW w:w="750" w:type="pct"/>
            <w:shd w:val="clear" w:color="auto" w:fill="auto"/>
            <w:vAlign w:val="center"/>
          </w:tcPr>
          <w:p w14:paraId="55567F12" w14:textId="77777777" w:rsidR="00F925DD" w:rsidRDefault="00F925DD">
            <w:pPr>
              <w:rPr>
                <w:rFonts w:ascii="Times New Roman" w:hAnsi="Times New Roman"/>
                <w:sz w:val="20"/>
                <w:szCs w:val="20"/>
              </w:rPr>
            </w:pPr>
          </w:p>
        </w:tc>
        <w:tc>
          <w:tcPr>
            <w:tcW w:w="50" w:type="pct"/>
            <w:shd w:val="clear" w:color="auto" w:fill="auto"/>
            <w:vAlign w:val="center"/>
          </w:tcPr>
          <w:p w14:paraId="55567F13" w14:textId="77777777" w:rsidR="00F925DD" w:rsidRDefault="00F925DD">
            <w:pPr>
              <w:rPr>
                <w:rFonts w:ascii="Times New Roman" w:hAnsi="Times New Roman"/>
                <w:sz w:val="20"/>
                <w:szCs w:val="20"/>
              </w:rPr>
            </w:pPr>
          </w:p>
        </w:tc>
        <w:tc>
          <w:tcPr>
            <w:tcW w:w="100" w:type="pct"/>
            <w:shd w:val="clear" w:color="auto" w:fill="auto"/>
            <w:vAlign w:val="center"/>
          </w:tcPr>
          <w:p w14:paraId="55567F14" w14:textId="77777777" w:rsidR="00F925DD" w:rsidRDefault="00F925DD">
            <w:pPr>
              <w:rPr>
                <w:rFonts w:ascii="Times New Roman" w:hAnsi="Times New Roman"/>
                <w:sz w:val="20"/>
                <w:szCs w:val="20"/>
              </w:rPr>
            </w:pPr>
          </w:p>
        </w:tc>
        <w:tc>
          <w:tcPr>
            <w:tcW w:w="50" w:type="pct"/>
            <w:shd w:val="clear" w:color="auto" w:fill="auto"/>
            <w:vAlign w:val="center"/>
          </w:tcPr>
          <w:p w14:paraId="55567F15" w14:textId="77777777" w:rsidR="00F925DD" w:rsidRDefault="00F925DD">
            <w:pPr>
              <w:rPr>
                <w:rFonts w:ascii="Times New Roman" w:hAnsi="Times New Roman"/>
                <w:sz w:val="20"/>
                <w:szCs w:val="20"/>
              </w:rPr>
            </w:pPr>
          </w:p>
        </w:tc>
        <w:tc>
          <w:tcPr>
            <w:tcW w:w="600" w:type="pct"/>
            <w:shd w:val="clear" w:color="auto" w:fill="auto"/>
            <w:vAlign w:val="center"/>
          </w:tcPr>
          <w:p w14:paraId="55567F16" w14:textId="77777777" w:rsidR="00F925DD" w:rsidRDefault="00F925DD">
            <w:pPr>
              <w:rPr>
                <w:rFonts w:ascii="Times New Roman" w:hAnsi="Times New Roman"/>
                <w:sz w:val="20"/>
                <w:szCs w:val="20"/>
              </w:rPr>
            </w:pPr>
          </w:p>
        </w:tc>
        <w:tc>
          <w:tcPr>
            <w:tcW w:w="50" w:type="pct"/>
            <w:shd w:val="clear" w:color="auto" w:fill="auto"/>
            <w:vAlign w:val="center"/>
          </w:tcPr>
          <w:p w14:paraId="55567F17" w14:textId="77777777" w:rsidR="00F925DD" w:rsidRDefault="00F925DD">
            <w:pPr>
              <w:rPr>
                <w:rFonts w:ascii="Times New Roman" w:hAnsi="Times New Roman"/>
                <w:sz w:val="20"/>
                <w:szCs w:val="20"/>
              </w:rPr>
            </w:pPr>
          </w:p>
        </w:tc>
      </w:tr>
      <w:tr w:rsidR="00F925DD" w14:paraId="55567F1A" w14:textId="77777777">
        <w:tc>
          <w:tcPr>
            <w:tcW w:w="0" w:type="auto"/>
            <w:gridSpan w:val="16"/>
            <w:shd w:val="clear" w:color="auto" w:fill="auto"/>
            <w:tcMar>
              <w:top w:w="40" w:type="dxa"/>
              <w:left w:w="40" w:type="dxa"/>
              <w:bottom w:w="40" w:type="dxa"/>
              <w:right w:w="40" w:type="dxa"/>
            </w:tcMar>
            <w:vAlign w:val="bottom"/>
          </w:tcPr>
          <w:p w14:paraId="55567F19" w14:textId="77777777" w:rsidR="00F925DD" w:rsidRDefault="00E705D7">
            <w:pPr>
              <w:jc w:val="both"/>
              <w:textAlignment w:val="bottom"/>
              <w:rPr>
                <w:rFonts w:ascii="Times New Roman" w:hAnsi="Times New Roman"/>
                <w:sz w:val="16"/>
                <w:szCs w:val="16"/>
              </w:rPr>
            </w:pPr>
            <w:r>
              <w:rPr>
                <w:rFonts w:ascii="Arial" w:eastAsia="宋体" w:hAnsi="Arial" w:cs="Arial"/>
                <w:b/>
                <w:bCs/>
                <w:sz w:val="16"/>
                <w:szCs w:val="16"/>
              </w:rPr>
              <w:t>TABLE 9: RESTRUCTURING AND REPOSITIONING CHARGES</w:t>
            </w:r>
          </w:p>
        </w:tc>
      </w:tr>
      <w:tr w:rsidR="00F925DD" w14:paraId="55567F23" w14:textId="77777777">
        <w:tc>
          <w:tcPr>
            <w:tcW w:w="0" w:type="auto"/>
            <w:shd w:val="clear" w:color="auto" w:fill="auto"/>
            <w:tcMar>
              <w:top w:w="40" w:type="dxa"/>
              <w:left w:w="40" w:type="dxa"/>
              <w:bottom w:w="40" w:type="dxa"/>
              <w:right w:w="40" w:type="dxa"/>
            </w:tcMar>
            <w:vAlign w:val="bottom"/>
          </w:tcPr>
          <w:p w14:paraId="55567F1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F1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Employee</w:t>
            </w:r>
            <w:r>
              <w:rPr>
                <w:rFonts w:ascii="Arial" w:eastAsia="宋体" w:hAnsi="Arial" w:cs="Arial"/>
                <w:b/>
                <w:bCs/>
                <w:sz w:val="14"/>
                <w:szCs w:val="14"/>
              </w:rPr>
              <w:br/>
              <w:t>Related Costs</w:t>
            </w:r>
          </w:p>
        </w:tc>
        <w:tc>
          <w:tcPr>
            <w:tcW w:w="0" w:type="auto"/>
            <w:shd w:val="clear" w:color="auto" w:fill="auto"/>
            <w:tcMar>
              <w:top w:w="40" w:type="dxa"/>
              <w:left w:w="40" w:type="dxa"/>
              <w:bottom w:w="40" w:type="dxa"/>
              <w:right w:w="40" w:type="dxa"/>
            </w:tcMar>
            <w:vAlign w:val="bottom"/>
          </w:tcPr>
          <w:p w14:paraId="55567F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F1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Real Estate</w:t>
            </w:r>
            <w:r>
              <w:rPr>
                <w:rFonts w:ascii="Arial" w:eastAsia="宋体" w:hAnsi="Arial" w:cs="Arial"/>
                <w:b/>
                <w:bCs/>
                <w:sz w:val="14"/>
                <w:szCs w:val="14"/>
              </w:rPr>
              <w:br/>
              <w:t>Actions</w:t>
            </w:r>
          </w:p>
        </w:tc>
        <w:tc>
          <w:tcPr>
            <w:tcW w:w="0" w:type="auto"/>
            <w:shd w:val="clear" w:color="auto" w:fill="auto"/>
            <w:tcMar>
              <w:top w:w="40" w:type="dxa"/>
              <w:left w:w="40" w:type="dxa"/>
              <w:bottom w:w="40" w:type="dxa"/>
              <w:right w:w="40" w:type="dxa"/>
            </w:tcMar>
            <w:vAlign w:val="bottom"/>
          </w:tcPr>
          <w:p w14:paraId="55567F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F2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Asset and Other Write-offs</w:t>
            </w:r>
          </w:p>
        </w:tc>
        <w:tc>
          <w:tcPr>
            <w:tcW w:w="0" w:type="auto"/>
            <w:shd w:val="clear" w:color="auto" w:fill="auto"/>
            <w:tcMar>
              <w:top w:w="40" w:type="dxa"/>
              <w:left w:w="40" w:type="dxa"/>
              <w:bottom w:w="40" w:type="dxa"/>
              <w:right w:w="40" w:type="dxa"/>
            </w:tcMar>
            <w:vAlign w:val="bottom"/>
          </w:tcPr>
          <w:p w14:paraId="55567F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F2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r>
      <w:tr w:rsidR="00F925DD" w14:paraId="55567F34" w14:textId="77777777">
        <w:tc>
          <w:tcPr>
            <w:tcW w:w="0" w:type="auto"/>
            <w:shd w:val="clear" w:color="auto" w:fill="CCEEFF"/>
            <w:tcMar>
              <w:top w:w="40" w:type="dxa"/>
              <w:left w:w="40" w:type="dxa"/>
              <w:bottom w:w="40" w:type="dxa"/>
              <w:right w:w="40" w:type="dxa"/>
            </w:tcMar>
            <w:vAlign w:val="bottom"/>
          </w:tcPr>
          <w:p w14:paraId="55567F2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Accrual Balance at December 31, 2016</w:t>
            </w:r>
          </w:p>
        </w:tc>
        <w:tc>
          <w:tcPr>
            <w:tcW w:w="0" w:type="auto"/>
            <w:tcBorders>
              <w:top w:val="single" w:sz="8" w:space="0" w:color="000000"/>
            </w:tcBorders>
            <w:shd w:val="clear" w:color="auto" w:fill="CCEEFF"/>
            <w:tcMar>
              <w:top w:w="40" w:type="dxa"/>
              <w:left w:w="40" w:type="dxa"/>
              <w:bottom w:w="40" w:type="dxa"/>
            </w:tcMar>
            <w:vAlign w:val="bottom"/>
          </w:tcPr>
          <w:p w14:paraId="55567F2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7F2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w:t>
            </w:r>
          </w:p>
        </w:tc>
        <w:tc>
          <w:tcPr>
            <w:tcW w:w="0" w:type="auto"/>
            <w:tcBorders>
              <w:top w:val="single" w:sz="8" w:space="0" w:color="000000"/>
            </w:tcBorders>
            <w:shd w:val="clear" w:color="auto" w:fill="CCEEFF"/>
            <w:vAlign w:val="bottom"/>
          </w:tcPr>
          <w:p w14:paraId="55567F2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F28" w14:textId="77777777" w:rsidR="00F925DD" w:rsidRDefault="00F925DD">
            <w:pPr>
              <w:jc w:val="right"/>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bottom"/>
          </w:tcPr>
          <w:p w14:paraId="55567F2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7F2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w:t>
            </w:r>
          </w:p>
        </w:tc>
        <w:tc>
          <w:tcPr>
            <w:tcW w:w="0" w:type="auto"/>
            <w:tcBorders>
              <w:top w:val="single" w:sz="8" w:space="0" w:color="000000"/>
            </w:tcBorders>
            <w:shd w:val="clear" w:color="auto" w:fill="CCEEFF"/>
            <w:vAlign w:val="bottom"/>
          </w:tcPr>
          <w:p w14:paraId="55567F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F2C" w14:textId="77777777" w:rsidR="00F925DD" w:rsidRDefault="00F925DD">
            <w:pPr>
              <w:textAlignment w:val="bottom"/>
              <w:rPr>
                <w:rFonts w:ascii="Times New Roman" w:hAnsi="Times New Roman"/>
                <w:sz w:val="14"/>
                <w:szCs w:val="14"/>
              </w:rPr>
            </w:pPr>
          </w:p>
        </w:tc>
        <w:tc>
          <w:tcPr>
            <w:tcW w:w="0" w:type="auto"/>
            <w:tcBorders>
              <w:top w:val="single" w:sz="8" w:space="0" w:color="000000"/>
            </w:tcBorders>
            <w:shd w:val="clear" w:color="auto" w:fill="CCEEFF"/>
            <w:tcMar>
              <w:top w:w="40" w:type="dxa"/>
              <w:left w:w="40" w:type="dxa"/>
              <w:bottom w:w="40" w:type="dxa"/>
            </w:tcMar>
            <w:vAlign w:val="bottom"/>
          </w:tcPr>
          <w:p w14:paraId="55567F2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7F2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tcBorders>
            <w:shd w:val="clear" w:color="auto" w:fill="CCEEFF"/>
            <w:vAlign w:val="bottom"/>
          </w:tcPr>
          <w:p w14:paraId="55567F2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F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7F3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7F3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56</w:t>
            </w:r>
          </w:p>
        </w:tc>
        <w:tc>
          <w:tcPr>
            <w:tcW w:w="0" w:type="auto"/>
            <w:tcBorders>
              <w:top w:val="single" w:sz="8" w:space="0" w:color="000000"/>
            </w:tcBorders>
            <w:shd w:val="clear" w:color="auto" w:fill="CCEEFF"/>
            <w:vAlign w:val="bottom"/>
          </w:tcPr>
          <w:p w14:paraId="55567F33" w14:textId="77777777" w:rsidR="00F925DD" w:rsidRDefault="00F925DD">
            <w:pPr>
              <w:textAlignment w:val="bottom"/>
              <w:rPr>
                <w:rFonts w:ascii="Times New Roman" w:hAnsi="Times New Roman"/>
                <w:sz w:val="20"/>
                <w:szCs w:val="20"/>
              </w:rPr>
            </w:pPr>
          </w:p>
        </w:tc>
      </w:tr>
      <w:tr w:rsidR="00F925DD" w14:paraId="55567F41" w14:textId="77777777">
        <w:tc>
          <w:tcPr>
            <w:tcW w:w="0" w:type="auto"/>
            <w:shd w:val="clear" w:color="auto" w:fill="auto"/>
            <w:tcMar>
              <w:top w:w="40" w:type="dxa"/>
              <w:left w:w="40" w:type="dxa"/>
              <w:bottom w:w="40" w:type="dxa"/>
              <w:right w:w="40" w:type="dxa"/>
            </w:tcMar>
            <w:vAlign w:val="bottom"/>
          </w:tcPr>
          <w:p w14:paraId="55567F35" w14:textId="77777777" w:rsidR="00F925DD" w:rsidRDefault="00E705D7">
            <w:pPr>
              <w:textAlignment w:val="bottom"/>
              <w:rPr>
                <w:rFonts w:ascii="Times New Roman" w:hAnsi="Times New Roman"/>
                <w:sz w:val="14"/>
                <w:szCs w:val="14"/>
              </w:rPr>
            </w:pPr>
            <w:r>
              <w:rPr>
                <w:rFonts w:ascii="Arial" w:eastAsia="宋体" w:hAnsi="Arial" w:cs="Arial"/>
                <w:sz w:val="14"/>
                <w:szCs w:val="14"/>
              </w:rPr>
              <w:t>Accruals for Beacon</w:t>
            </w:r>
          </w:p>
        </w:tc>
        <w:tc>
          <w:tcPr>
            <w:tcW w:w="0" w:type="auto"/>
            <w:gridSpan w:val="2"/>
            <w:shd w:val="clear" w:color="auto" w:fill="auto"/>
            <w:tcMar>
              <w:top w:w="40" w:type="dxa"/>
              <w:left w:w="40" w:type="dxa"/>
              <w:bottom w:w="40" w:type="dxa"/>
            </w:tcMar>
            <w:vAlign w:val="bottom"/>
          </w:tcPr>
          <w:p w14:paraId="55567F3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186</w:t>
            </w:r>
          </w:p>
        </w:tc>
        <w:tc>
          <w:tcPr>
            <w:tcW w:w="0" w:type="auto"/>
            <w:shd w:val="clear" w:color="auto" w:fill="auto"/>
            <w:vAlign w:val="bottom"/>
          </w:tcPr>
          <w:p w14:paraId="55567F3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38" w14:textId="77777777" w:rsidR="00F925DD" w:rsidRDefault="00F925DD">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55567F3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w:t>
            </w:r>
          </w:p>
        </w:tc>
        <w:tc>
          <w:tcPr>
            <w:tcW w:w="0" w:type="auto"/>
            <w:shd w:val="clear" w:color="auto" w:fill="auto"/>
            <w:vAlign w:val="bottom"/>
          </w:tcPr>
          <w:p w14:paraId="55567F3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3B" w14:textId="77777777" w:rsidR="00F925DD" w:rsidRDefault="00F925DD">
            <w:pPr>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7F3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w:t>
            </w:r>
          </w:p>
        </w:tc>
        <w:tc>
          <w:tcPr>
            <w:tcW w:w="0" w:type="auto"/>
            <w:shd w:val="clear" w:color="auto" w:fill="auto"/>
            <w:vAlign w:val="bottom"/>
          </w:tcPr>
          <w:p w14:paraId="55567F3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F3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245</w:t>
            </w:r>
          </w:p>
        </w:tc>
        <w:tc>
          <w:tcPr>
            <w:tcW w:w="0" w:type="auto"/>
            <w:shd w:val="clear" w:color="auto" w:fill="auto"/>
            <w:vAlign w:val="bottom"/>
          </w:tcPr>
          <w:p w14:paraId="55567F40" w14:textId="77777777" w:rsidR="00F925DD" w:rsidRDefault="00F925DD">
            <w:pPr>
              <w:textAlignment w:val="bottom"/>
              <w:rPr>
                <w:rFonts w:ascii="Times New Roman" w:hAnsi="Times New Roman"/>
                <w:sz w:val="20"/>
                <w:szCs w:val="20"/>
              </w:rPr>
            </w:pPr>
          </w:p>
        </w:tc>
      </w:tr>
      <w:tr w:rsidR="00F925DD" w14:paraId="55567F4E" w14:textId="77777777">
        <w:tc>
          <w:tcPr>
            <w:tcW w:w="0" w:type="auto"/>
            <w:shd w:val="clear" w:color="auto" w:fill="CCEEFF"/>
            <w:tcMar>
              <w:top w:w="40" w:type="dxa"/>
              <w:left w:w="40" w:type="dxa"/>
              <w:bottom w:w="40" w:type="dxa"/>
              <w:right w:w="40" w:type="dxa"/>
            </w:tcMar>
            <w:vAlign w:val="bottom"/>
          </w:tcPr>
          <w:p w14:paraId="55567F42" w14:textId="77777777" w:rsidR="00F925DD" w:rsidRDefault="00E705D7">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shd w:val="clear" w:color="auto" w:fill="CCEEFF"/>
            <w:tcMar>
              <w:top w:w="40" w:type="dxa"/>
              <w:left w:w="40" w:type="dxa"/>
              <w:bottom w:w="40" w:type="dxa"/>
            </w:tcMar>
            <w:vAlign w:val="bottom"/>
          </w:tcPr>
          <w:p w14:paraId="55567F4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(57</w:t>
            </w:r>
          </w:p>
        </w:tc>
        <w:tc>
          <w:tcPr>
            <w:tcW w:w="0" w:type="auto"/>
            <w:shd w:val="clear" w:color="auto" w:fill="CCEEFF"/>
            <w:tcMar>
              <w:top w:w="40" w:type="dxa"/>
              <w:bottom w:w="40" w:type="dxa"/>
              <w:right w:w="40" w:type="dxa"/>
            </w:tcMar>
            <w:vAlign w:val="bottom"/>
          </w:tcPr>
          <w:p w14:paraId="55567F4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F45" w14:textId="77777777" w:rsidR="00F925DD" w:rsidRDefault="00F925DD">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55567F4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w:t>
            </w:r>
          </w:p>
        </w:tc>
        <w:tc>
          <w:tcPr>
            <w:tcW w:w="0" w:type="auto"/>
            <w:shd w:val="clear" w:color="auto" w:fill="CCEEFF"/>
            <w:tcMar>
              <w:top w:w="40" w:type="dxa"/>
              <w:bottom w:w="40" w:type="dxa"/>
              <w:right w:w="40" w:type="dxa"/>
            </w:tcMar>
            <w:vAlign w:val="bottom"/>
          </w:tcPr>
          <w:p w14:paraId="55567F4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F48" w14:textId="77777777" w:rsidR="00F925DD" w:rsidRDefault="00F925DD">
            <w:pPr>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7F4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w:t>
            </w:r>
          </w:p>
        </w:tc>
        <w:tc>
          <w:tcPr>
            <w:tcW w:w="0" w:type="auto"/>
            <w:shd w:val="clear" w:color="auto" w:fill="CCEEFF"/>
            <w:tcMar>
              <w:top w:w="40" w:type="dxa"/>
              <w:bottom w:w="40" w:type="dxa"/>
              <w:right w:w="40" w:type="dxa"/>
            </w:tcMar>
            <w:vAlign w:val="bottom"/>
          </w:tcPr>
          <w:p w14:paraId="55567F4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F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F4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(100</w:t>
            </w:r>
          </w:p>
        </w:tc>
        <w:tc>
          <w:tcPr>
            <w:tcW w:w="0" w:type="auto"/>
            <w:shd w:val="clear" w:color="auto" w:fill="CCEEFF"/>
            <w:tcMar>
              <w:top w:w="40" w:type="dxa"/>
              <w:bottom w:w="40" w:type="dxa"/>
              <w:right w:w="40" w:type="dxa"/>
            </w:tcMar>
            <w:vAlign w:val="bottom"/>
          </w:tcPr>
          <w:p w14:paraId="55567F4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7F5B" w14:textId="77777777">
        <w:tc>
          <w:tcPr>
            <w:tcW w:w="0" w:type="auto"/>
            <w:shd w:val="clear" w:color="auto" w:fill="auto"/>
            <w:tcMar>
              <w:top w:w="40" w:type="dxa"/>
              <w:left w:w="40" w:type="dxa"/>
              <w:bottom w:w="40" w:type="dxa"/>
              <w:right w:w="40" w:type="dxa"/>
            </w:tcMar>
            <w:vAlign w:val="bottom"/>
          </w:tcPr>
          <w:p w14:paraId="55567F4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Accrual Balance at December 31, 2017</w:t>
            </w:r>
          </w:p>
        </w:tc>
        <w:tc>
          <w:tcPr>
            <w:tcW w:w="0" w:type="auto"/>
            <w:gridSpan w:val="2"/>
            <w:tcBorders>
              <w:top w:val="single" w:sz="8" w:space="0" w:color="000000"/>
            </w:tcBorders>
            <w:shd w:val="clear" w:color="auto" w:fill="auto"/>
            <w:tcMar>
              <w:top w:w="40" w:type="dxa"/>
              <w:left w:w="40" w:type="dxa"/>
              <w:bottom w:w="40" w:type="dxa"/>
            </w:tcMar>
            <w:vAlign w:val="bottom"/>
          </w:tcPr>
          <w:p w14:paraId="55567F5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166</w:t>
            </w:r>
          </w:p>
        </w:tc>
        <w:tc>
          <w:tcPr>
            <w:tcW w:w="0" w:type="auto"/>
            <w:tcBorders>
              <w:top w:val="single" w:sz="8" w:space="0" w:color="000000"/>
            </w:tcBorders>
            <w:shd w:val="clear" w:color="auto" w:fill="auto"/>
            <w:vAlign w:val="bottom"/>
          </w:tcPr>
          <w:p w14:paraId="55567F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52" w14:textId="77777777" w:rsidR="00F925DD" w:rsidRDefault="00F925DD">
            <w:pPr>
              <w:jc w:val="right"/>
              <w:textAlignment w:val="bottom"/>
              <w:rPr>
                <w:rFonts w:ascii="Times New Roman" w:hAnsi="Times New Roman"/>
                <w:sz w:val="20"/>
                <w:szCs w:val="20"/>
              </w:rPr>
            </w:pPr>
          </w:p>
        </w:tc>
        <w:tc>
          <w:tcPr>
            <w:tcW w:w="0" w:type="auto"/>
            <w:gridSpan w:val="2"/>
            <w:tcBorders>
              <w:top w:val="single" w:sz="8" w:space="0" w:color="000000"/>
            </w:tcBorders>
            <w:shd w:val="clear" w:color="auto" w:fill="auto"/>
            <w:tcMar>
              <w:top w:w="40" w:type="dxa"/>
              <w:left w:w="40" w:type="dxa"/>
              <w:bottom w:w="40" w:type="dxa"/>
            </w:tcMar>
            <w:vAlign w:val="bottom"/>
          </w:tcPr>
          <w:p w14:paraId="55567F5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w:t>
            </w:r>
          </w:p>
        </w:tc>
        <w:tc>
          <w:tcPr>
            <w:tcW w:w="0" w:type="auto"/>
            <w:tcBorders>
              <w:top w:val="single" w:sz="8" w:space="0" w:color="000000"/>
            </w:tcBorders>
            <w:shd w:val="clear" w:color="auto" w:fill="auto"/>
            <w:vAlign w:val="bottom"/>
          </w:tcPr>
          <w:p w14:paraId="55567F5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55" w14:textId="77777777" w:rsidR="00F925DD" w:rsidRDefault="00F925DD">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55567F5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tcBorders>
              <w:top w:val="single" w:sz="8" w:space="0" w:color="000000"/>
            </w:tcBorders>
            <w:shd w:val="clear" w:color="auto" w:fill="auto"/>
            <w:vAlign w:val="bottom"/>
          </w:tcPr>
          <w:p w14:paraId="55567F5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7F5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201</w:t>
            </w:r>
          </w:p>
        </w:tc>
        <w:tc>
          <w:tcPr>
            <w:tcW w:w="0" w:type="auto"/>
            <w:tcBorders>
              <w:top w:val="single" w:sz="8" w:space="0" w:color="000000"/>
            </w:tcBorders>
            <w:shd w:val="clear" w:color="auto" w:fill="auto"/>
            <w:vAlign w:val="bottom"/>
          </w:tcPr>
          <w:p w14:paraId="55567F5A" w14:textId="77777777" w:rsidR="00F925DD" w:rsidRDefault="00F925DD">
            <w:pPr>
              <w:textAlignment w:val="bottom"/>
              <w:rPr>
                <w:rFonts w:ascii="Times New Roman" w:hAnsi="Times New Roman"/>
                <w:sz w:val="20"/>
                <w:szCs w:val="20"/>
              </w:rPr>
            </w:pPr>
          </w:p>
        </w:tc>
      </w:tr>
      <w:tr w:rsidR="00F925DD" w14:paraId="55567F68" w14:textId="77777777">
        <w:tc>
          <w:tcPr>
            <w:tcW w:w="0" w:type="auto"/>
            <w:shd w:val="clear" w:color="auto" w:fill="CCEEFF"/>
            <w:tcMar>
              <w:top w:w="40" w:type="dxa"/>
              <w:left w:w="40" w:type="dxa"/>
              <w:bottom w:w="40" w:type="dxa"/>
              <w:right w:w="40" w:type="dxa"/>
            </w:tcMar>
            <w:vAlign w:val="bottom"/>
          </w:tcPr>
          <w:p w14:paraId="55567F5C"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Accruals for </w:t>
            </w:r>
            <w:r>
              <w:rPr>
                <w:rFonts w:ascii="Arial" w:eastAsia="宋体" w:hAnsi="Arial" w:cs="Arial"/>
                <w:sz w:val="14"/>
                <w:szCs w:val="14"/>
              </w:rPr>
              <w:t>Beacon</w:t>
            </w:r>
          </w:p>
        </w:tc>
        <w:tc>
          <w:tcPr>
            <w:tcW w:w="0" w:type="auto"/>
            <w:gridSpan w:val="2"/>
            <w:shd w:val="clear" w:color="auto" w:fill="CCEEFF"/>
            <w:tcMar>
              <w:top w:w="40" w:type="dxa"/>
              <w:left w:w="40" w:type="dxa"/>
              <w:bottom w:w="40" w:type="dxa"/>
            </w:tcMar>
            <w:vAlign w:val="bottom"/>
          </w:tcPr>
          <w:p w14:paraId="55567F5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tcMar>
              <w:top w:w="40" w:type="dxa"/>
              <w:bottom w:w="40" w:type="dxa"/>
              <w:right w:w="40" w:type="dxa"/>
            </w:tcMar>
            <w:vAlign w:val="bottom"/>
          </w:tcPr>
          <w:p w14:paraId="55567F5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F5F" w14:textId="77777777" w:rsidR="00F925DD" w:rsidRDefault="00F925DD">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55567F6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7F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F62" w14:textId="77777777" w:rsidR="00F925DD" w:rsidRDefault="00F925DD">
            <w:pPr>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7F6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7F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F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F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tcMar>
              <w:top w:w="40" w:type="dxa"/>
              <w:bottom w:w="40" w:type="dxa"/>
              <w:right w:w="40" w:type="dxa"/>
            </w:tcMar>
            <w:vAlign w:val="bottom"/>
          </w:tcPr>
          <w:p w14:paraId="55567F6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7F75" w14:textId="77777777">
        <w:tc>
          <w:tcPr>
            <w:tcW w:w="0" w:type="auto"/>
            <w:shd w:val="clear" w:color="auto" w:fill="auto"/>
            <w:tcMar>
              <w:top w:w="40" w:type="dxa"/>
              <w:left w:w="40" w:type="dxa"/>
              <w:bottom w:w="40" w:type="dxa"/>
              <w:right w:w="40" w:type="dxa"/>
            </w:tcMar>
            <w:vAlign w:val="bottom"/>
          </w:tcPr>
          <w:p w14:paraId="55567F69" w14:textId="77777777" w:rsidR="00F925DD" w:rsidRDefault="00E705D7">
            <w:pPr>
              <w:textAlignment w:val="bottom"/>
              <w:rPr>
                <w:rFonts w:ascii="Times New Roman" w:hAnsi="Times New Roman"/>
                <w:sz w:val="14"/>
                <w:szCs w:val="14"/>
              </w:rPr>
            </w:pPr>
            <w:r>
              <w:rPr>
                <w:rFonts w:ascii="Arial" w:eastAsia="宋体" w:hAnsi="Arial" w:cs="Arial"/>
                <w:sz w:val="14"/>
                <w:szCs w:val="14"/>
              </w:rPr>
              <w:t>Accruals for Repositioning Charges</w:t>
            </w:r>
          </w:p>
        </w:tc>
        <w:tc>
          <w:tcPr>
            <w:tcW w:w="0" w:type="auto"/>
            <w:gridSpan w:val="2"/>
            <w:shd w:val="clear" w:color="auto" w:fill="auto"/>
            <w:tcMar>
              <w:top w:w="40" w:type="dxa"/>
              <w:left w:w="40" w:type="dxa"/>
              <w:bottom w:w="40" w:type="dxa"/>
            </w:tcMar>
            <w:vAlign w:val="bottom"/>
          </w:tcPr>
          <w:p w14:paraId="55567F6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259</w:t>
            </w:r>
          </w:p>
        </w:tc>
        <w:tc>
          <w:tcPr>
            <w:tcW w:w="0" w:type="auto"/>
            <w:shd w:val="clear" w:color="auto" w:fill="auto"/>
            <w:vAlign w:val="bottom"/>
          </w:tcPr>
          <w:p w14:paraId="55567F6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6C" w14:textId="77777777" w:rsidR="00F925DD" w:rsidRDefault="00F925DD">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55567F6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41</w:t>
            </w:r>
          </w:p>
        </w:tc>
        <w:tc>
          <w:tcPr>
            <w:tcW w:w="0" w:type="auto"/>
            <w:shd w:val="clear" w:color="auto" w:fill="auto"/>
            <w:vAlign w:val="bottom"/>
          </w:tcPr>
          <w:p w14:paraId="55567F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6F" w14:textId="77777777" w:rsidR="00F925DD" w:rsidRDefault="00F925DD">
            <w:pPr>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7F7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7F7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F7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300</w:t>
            </w:r>
          </w:p>
        </w:tc>
        <w:tc>
          <w:tcPr>
            <w:tcW w:w="0" w:type="auto"/>
            <w:shd w:val="clear" w:color="auto" w:fill="auto"/>
            <w:vAlign w:val="bottom"/>
          </w:tcPr>
          <w:p w14:paraId="55567F74" w14:textId="77777777" w:rsidR="00F925DD" w:rsidRDefault="00F925DD">
            <w:pPr>
              <w:textAlignment w:val="bottom"/>
              <w:rPr>
                <w:rFonts w:ascii="Times New Roman" w:hAnsi="Times New Roman"/>
                <w:sz w:val="20"/>
                <w:szCs w:val="20"/>
              </w:rPr>
            </w:pPr>
          </w:p>
        </w:tc>
      </w:tr>
      <w:tr w:rsidR="00F925DD" w14:paraId="55567F82" w14:textId="77777777">
        <w:tc>
          <w:tcPr>
            <w:tcW w:w="0" w:type="auto"/>
            <w:shd w:val="clear" w:color="auto" w:fill="CCEEFF"/>
            <w:tcMar>
              <w:top w:w="40" w:type="dxa"/>
              <w:left w:w="40" w:type="dxa"/>
              <w:bottom w:w="40" w:type="dxa"/>
              <w:right w:w="40" w:type="dxa"/>
            </w:tcMar>
            <w:vAlign w:val="bottom"/>
          </w:tcPr>
          <w:p w14:paraId="55567F76" w14:textId="77777777" w:rsidR="00F925DD" w:rsidRDefault="00E705D7">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shd w:val="clear" w:color="auto" w:fill="CCEEFF"/>
            <w:tcMar>
              <w:top w:w="40" w:type="dxa"/>
              <w:left w:w="40" w:type="dxa"/>
              <w:bottom w:w="40" w:type="dxa"/>
            </w:tcMar>
            <w:vAlign w:val="bottom"/>
          </w:tcPr>
          <w:p w14:paraId="55567F7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(115</w:t>
            </w:r>
          </w:p>
        </w:tc>
        <w:tc>
          <w:tcPr>
            <w:tcW w:w="0" w:type="auto"/>
            <w:shd w:val="clear" w:color="auto" w:fill="CCEEFF"/>
            <w:tcMar>
              <w:top w:w="40" w:type="dxa"/>
              <w:bottom w:w="40" w:type="dxa"/>
              <w:right w:w="40" w:type="dxa"/>
            </w:tcMar>
            <w:vAlign w:val="bottom"/>
          </w:tcPr>
          <w:p w14:paraId="55567F7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F79" w14:textId="77777777" w:rsidR="00F925DD" w:rsidRDefault="00F925DD">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55567F7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w:t>
            </w:r>
          </w:p>
        </w:tc>
        <w:tc>
          <w:tcPr>
            <w:tcW w:w="0" w:type="auto"/>
            <w:shd w:val="clear" w:color="auto" w:fill="CCEEFF"/>
            <w:tcMar>
              <w:top w:w="40" w:type="dxa"/>
              <w:bottom w:w="40" w:type="dxa"/>
              <w:right w:w="40" w:type="dxa"/>
            </w:tcMar>
            <w:vAlign w:val="bottom"/>
          </w:tcPr>
          <w:p w14:paraId="55567F7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F7C" w14:textId="77777777" w:rsidR="00F925DD" w:rsidRDefault="00F925DD">
            <w:pPr>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7F7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55567F7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7F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F8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(153</w:t>
            </w:r>
          </w:p>
        </w:tc>
        <w:tc>
          <w:tcPr>
            <w:tcW w:w="0" w:type="auto"/>
            <w:shd w:val="clear" w:color="auto" w:fill="CCEEFF"/>
            <w:tcMar>
              <w:top w:w="40" w:type="dxa"/>
              <w:bottom w:w="40" w:type="dxa"/>
              <w:right w:w="40" w:type="dxa"/>
            </w:tcMar>
            <w:vAlign w:val="bottom"/>
          </w:tcPr>
          <w:p w14:paraId="55567F8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7F8F" w14:textId="77777777">
        <w:tc>
          <w:tcPr>
            <w:tcW w:w="0" w:type="auto"/>
            <w:shd w:val="clear" w:color="auto" w:fill="auto"/>
            <w:tcMar>
              <w:top w:w="40" w:type="dxa"/>
              <w:left w:w="40" w:type="dxa"/>
              <w:bottom w:w="40" w:type="dxa"/>
              <w:right w:w="40" w:type="dxa"/>
            </w:tcMar>
            <w:vAlign w:val="bottom"/>
          </w:tcPr>
          <w:p w14:paraId="55567F8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Accrual Balance at December 31, 2018</w:t>
            </w:r>
          </w:p>
        </w:tc>
        <w:tc>
          <w:tcPr>
            <w:tcW w:w="0" w:type="auto"/>
            <w:gridSpan w:val="2"/>
            <w:tcBorders>
              <w:top w:val="single" w:sz="8" w:space="0" w:color="000000"/>
            </w:tcBorders>
            <w:shd w:val="clear" w:color="auto" w:fill="auto"/>
            <w:tcMar>
              <w:top w:w="40" w:type="dxa"/>
              <w:left w:w="40" w:type="dxa"/>
              <w:bottom w:w="40" w:type="dxa"/>
            </w:tcMar>
            <w:vAlign w:val="bottom"/>
          </w:tcPr>
          <w:p w14:paraId="55567F8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303</w:t>
            </w:r>
          </w:p>
        </w:tc>
        <w:tc>
          <w:tcPr>
            <w:tcW w:w="0" w:type="auto"/>
            <w:tcBorders>
              <w:top w:val="single" w:sz="8" w:space="0" w:color="000000"/>
            </w:tcBorders>
            <w:shd w:val="clear" w:color="auto" w:fill="auto"/>
            <w:vAlign w:val="bottom"/>
          </w:tcPr>
          <w:p w14:paraId="55567F8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86" w14:textId="77777777" w:rsidR="00F925DD" w:rsidRDefault="00F925DD">
            <w:pPr>
              <w:jc w:val="right"/>
              <w:textAlignment w:val="bottom"/>
              <w:rPr>
                <w:rFonts w:ascii="Times New Roman" w:hAnsi="Times New Roman"/>
                <w:sz w:val="20"/>
                <w:szCs w:val="20"/>
              </w:rPr>
            </w:pPr>
          </w:p>
        </w:tc>
        <w:tc>
          <w:tcPr>
            <w:tcW w:w="0" w:type="auto"/>
            <w:gridSpan w:val="2"/>
            <w:tcBorders>
              <w:top w:val="single" w:sz="8" w:space="0" w:color="000000"/>
            </w:tcBorders>
            <w:shd w:val="clear" w:color="auto" w:fill="auto"/>
            <w:tcMar>
              <w:top w:w="40" w:type="dxa"/>
              <w:left w:w="40" w:type="dxa"/>
              <w:bottom w:w="40" w:type="dxa"/>
            </w:tcMar>
            <w:vAlign w:val="bottom"/>
          </w:tcPr>
          <w:p w14:paraId="55567F8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w:t>
            </w:r>
          </w:p>
        </w:tc>
        <w:tc>
          <w:tcPr>
            <w:tcW w:w="0" w:type="auto"/>
            <w:tcBorders>
              <w:top w:val="single" w:sz="8" w:space="0" w:color="000000"/>
            </w:tcBorders>
            <w:shd w:val="clear" w:color="auto" w:fill="auto"/>
            <w:vAlign w:val="bottom"/>
          </w:tcPr>
          <w:p w14:paraId="55567F8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89" w14:textId="77777777" w:rsidR="00F925DD" w:rsidRDefault="00F925DD">
            <w:pPr>
              <w:textAlignment w:val="bottom"/>
              <w:rPr>
                <w:rFonts w:ascii="Times New Roman" w:hAnsi="Times New Roman"/>
                <w:sz w:val="14"/>
                <w:szCs w:val="14"/>
              </w:rPr>
            </w:pPr>
          </w:p>
        </w:tc>
        <w:tc>
          <w:tcPr>
            <w:tcW w:w="0" w:type="auto"/>
            <w:gridSpan w:val="2"/>
            <w:tcBorders>
              <w:top w:val="single" w:sz="8" w:space="0" w:color="000000"/>
            </w:tcBorders>
            <w:shd w:val="clear" w:color="auto" w:fill="auto"/>
            <w:tcMar>
              <w:top w:w="40" w:type="dxa"/>
              <w:left w:w="40" w:type="dxa"/>
              <w:bottom w:w="40" w:type="dxa"/>
            </w:tcMar>
            <w:vAlign w:val="bottom"/>
          </w:tcPr>
          <w:p w14:paraId="55567F8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tcBorders>
            <w:shd w:val="clear" w:color="auto" w:fill="auto"/>
            <w:vAlign w:val="bottom"/>
          </w:tcPr>
          <w:p w14:paraId="55567F8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7F8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341</w:t>
            </w:r>
          </w:p>
        </w:tc>
        <w:tc>
          <w:tcPr>
            <w:tcW w:w="0" w:type="auto"/>
            <w:tcBorders>
              <w:top w:val="single" w:sz="8" w:space="0" w:color="000000"/>
            </w:tcBorders>
            <w:shd w:val="clear" w:color="auto" w:fill="auto"/>
            <w:vAlign w:val="bottom"/>
          </w:tcPr>
          <w:p w14:paraId="55567F8E" w14:textId="77777777" w:rsidR="00F925DD" w:rsidRDefault="00F925DD">
            <w:pPr>
              <w:textAlignment w:val="bottom"/>
              <w:rPr>
                <w:rFonts w:ascii="Times New Roman" w:hAnsi="Times New Roman"/>
                <w:sz w:val="20"/>
                <w:szCs w:val="20"/>
              </w:rPr>
            </w:pPr>
          </w:p>
        </w:tc>
      </w:tr>
      <w:tr w:rsidR="00F925DD" w14:paraId="55567F9C" w14:textId="77777777">
        <w:tc>
          <w:tcPr>
            <w:tcW w:w="0" w:type="auto"/>
            <w:shd w:val="clear" w:color="auto" w:fill="CCEEFF"/>
            <w:tcMar>
              <w:top w:w="40" w:type="dxa"/>
              <w:left w:w="40" w:type="dxa"/>
              <w:bottom w:w="40" w:type="dxa"/>
              <w:right w:w="40" w:type="dxa"/>
            </w:tcMar>
            <w:vAlign w:val="bottom"/>
          </w:tcPr>
          <w:p w14:paraId="55567F90" w14:textId="77777777" w:rsidR="00F925DD" w:rsidRDefault="00E705D7">
            <w:pPr>
              <w:textAlignment w:val="bottom"/>
              <w:rPr>
                <w:rFonts w:ascii="Times New Roman" w:hAnsi="Times New Roman"/>
                <w:sz w:val="14"/>
                <w:szCs w:val="14"/>
              </w:rPr>
            </w:pPr>
            <w:r>
              <w:rPr>
                <w:rFonts w:ascii="Arial" w:eastAsia="宋体" w:hAnsi="Arial" w:cs="Arial"/>
                <w:sz w:val="14"/>
                <w:szCs w:val="14"/>
              </w:rPr>
              <w:t>Accruals for Beacon</w:t>
            </w:r>
          </w:p>
        </w:tc>
        <w:tc>
          <w:tcPr>
            <w:tcW w:w="0" w:type="auto"/>
            <w:gridSpan w:val="2"/>
            <w:shd w:val="clear" w:color="auto" w:fill="CCEEFF"/>
            <w:tcMar>
              <w:top w:w="40" w:type="dxa"/>
              <w:left w:w="40" w:type="dxa"/>
              <w:bottom w:w="40" w:type="dxa"/>
            </w:tcMar>
            <w:vAlign w:val="bottom"/>
          </w:tcPr>
          <w:p w14:paraId="55567F9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tcMar>
              <w:top w:w="40" w:type="dxa"/>
              <w:bottom w:w="40" w:type="dxa"/>
              <w:right w:w="40" w:type="dxa"/>
            </w:tcMar>
            <w:vAlign w:val="bottom"/>
          </w:tcPr>
          <w:p w14:paraId="55567F9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7F93" w14:textId="77777777" w:rsidR="00F925DD" w:rsidRDefault="00F925DD">
            <w:pPr>
              <w:jc w:val="right"/>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55567F9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7F9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F96" w14:textId="77777777" w:rsidR="00F925DD" w:rsidRDefault="00F925DD">
            <w:pPr>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7F9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7F9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F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7F9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tcMar>
              <w:top w:w="40" w:type="dxa"/>
              <w:bottom w:w="40" w:type="dxa"/>
              <w:right w:w="40" w:type="dxa"/>
            </w:tcMar>
            <w:vAlign w:val="bottom"/>
          </w:tcPr>
          <w:p w14:paraId="55567F9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7FA9" w14:textId="77777777">
        <w:tc>
          <w:tcPr>
            <w:tcW w:w="0" w:type="auto"/>
            <w:shd w:val="clear" w:color="auto" w:fill="auto"/>
            <w:tcMar>
              <w:top w:w="40" w:type="dxa"/>
              <w:left w:w="40" w:type="dxa"/>
              <w:bottom w:w="40" w:type="dxa"/>
              <w:right w:w="40" w:type="dxa"/>
            </w:tcMar>
            <w:vAlign w:val="bottom"/>
          </w:tcPr>
          <w:p w14:paraId="55567F9D" w14:textId="77777777" w:rsidR="00F925DD" w:rsidRDefault="00E705D7">
            <w:pPr>
              <w:textAlignment w:val="bottom"/>
              <w:rPr>
                <w:rFonts w:ascii="Times New Roman" w:hAnsi="Times New Roman"/>
                <w:sz w:val="14"/>
                <w:szCs w:val="14"/>
              </w:rPr>
            </w:pPr>
            <w:r>
              <w:rPr>
                <w:rFonts w:ascii="Arial" w:eastAsia="宋体" w:hAnsi="Arial" w:cs="Arial"/>
                <w:sz w:val="14"/>
                <w:szCs w:val="14"/>
              </w:rPr>
              <w:t>Accruals for Repositioning Charges</w:t>
            </w:r>
          </w:p>
        </w:tc>
        <w:tc>
          <w:tcPr>
            <w:tcW w:w="0" w:type="auto"/>
            <w:gridSpan w:val="2"/>
            <w:shd w:val="clear" w:color="auto" w:fill="auto"/>
            <w:tcMar>
              <w:top w:w="40" w:type="dxa"/>
              <w:left w:w="40" w:type="dxa"/>
              <w:bottom w:w="40" w:type="dxa"/>
            </w:tcMar>
            <w:vAlign w:val="bottom"/>
          </w:tcPr>
          <w:p w14:paraId="55567F9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98</w:t>
            </w:r>
          </w:p>
        </w:tc>
        <w:tc>
          <w:tcPr>
            <w:tcW w:w="0" w:type="auto"/>
            <w:shd w:val="clear" w:color="auto" w:fill="auto"/>
            <w:vAlign w:val="bottom"/>
          </w:tcPr>
          <w:p w14:paraId="55567F9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A0" w14:textId="77777777" w:rsidR="00F925DD" w:rsidRDefault="00F925DD">
            <w:pPr>
              <w:jc w:val="right"/>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55567FA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shd w:val="clear" w:color="auto" w:fill="auto"/>
            <w:vAlign w:val="bottom"/>
          </w:tcPr>
          <w:p w14:paraId="55567FA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A3" w14:textId="77777777" w:rsidR="00F925DD" w:rsidRDefault="00F925DD">
            <w:pPr>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7FA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7FA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7FA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110</w:t>
            </w:r>
          </w:p>
        </w:tc>
        <w:tc>
          <w:tcPr>
            <w:tcW w:w="0" w:type="auto"/>
            <w:shd w:val="clear" w:color="auto" w:fill="auto"/>
            <w:vAlign w:val="bottom"/>
          </w:tcPr>
          <w:p w14:paraId="55567FA8" w14:textId="77777777" w:rsidR="00F925DD" w:rsidRDefault="00F925DD">
            <w:pPr>
              <w:textAlignment w:val="bottom"/>
              <w:rPr>
                <w:rFonts w:ascii="Times New Roman" w:hAnsi="Times New Roman"/>
                <w:sz w:val="20"/>
                <w:szCs w:val="20"/>
              </w:rPr>
            </w:pPr>
          </w:p>
        </w:tc>
      </w:tr>
      <w:tr w:rsidR="00F925DD" w14:paraId="55567FB6" w14:textId="77777777">
        <w:tc>
          <w:tcPr>
            <w:tcW w:w="0" w:type="auto"/>
            <w:shd w:val="clear" w:color="auto" w:fill="CCEEFF"/>
            <w:tcMar>
              <w:top w:w="40" w:type="dxa"/>
              <w:left w:w="40" w:type="dxa"/>
              <w:bottom w:w="40" w:type="dxa"/>
              <w:right w:w="40" w:type="dxa"/>
            </w:tcMar>
            <w:vAlign w:val="bottom"/>
          </w:tcPr>
          <w:p w14:paraId="55567FAA" w14:textId="77777777" w:rsidR="00F925DD" w:rsidRDefault="00E705D7">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FA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(209</w:t>
            </w:r>
          </w:p>
        </w:tc>
        <w:tc>
          <w:tcPr>
            <w:tcW w:w="0" w:type="auto"/>
            <w:tcBorders>
              <w:bottom w:val="single" w:sz="8" w:space="0" w:color="000000"/>
            </w:tcBorders>
            <w:shd w:val="clear" w:color="auto" w:fill="CCEEFF"/>
            <w:tcMar>
              <w:top w:w="40" w:type="dxa"/>
              <w:bottom w:w="40" w:type="dxa"/>
              <w:right w:w="40" w:type="dxa"/>
            </w:tcMar>
            <w:vAlign w:val="bottom"/>
          </w:tcPr>
          <w:p w14:paraId="55567FA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7FAD" w14:textId="77777777" w:rsidR="00F925DD" w:rsidRDefault="00F925DD">
            <w:pPr>
              <w:jc w:val="right"/>
              <w:textAlignment w:val="bottom"/>
              <w:rPr>
                <w:rFonts w:ascii="Times New Roman" w:hAnsi="Times New Roman"/>
                <w:sz w:val="20"/>
                <w:szCs w:val="20"/>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7FA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(42</w:t>
            </w:r>
          </w:p>
        </w:tc>
        <w:tc>
          <w:tcPr>
            <w:tcW w:w="0" w:type="auto"/>
            <w:tcBorders>
              <w:bottom w:val="single" w:sz="8" w:space="0" w:color="000000"/>
            </w:tcBorders>
            <w:shd w:val="clear" w:color="auto" w:fill="CCEEFF"/>
            <w:tcMar>
              <w:top w:w="40" w:type="dxa"/>
              <w:bottom w:w="40" w:type="dxa"/>
              <w:right w:w="40" w:type="dxa"/>
            </w:tcMar>
            <w:vAlign w:val="bottom"/>
          </w:tcPr>
          <w:p w14:paraId="55567FA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7FB0" w14:textId="77777777" w:rsidR="00F925DD" w:rsidRDefault="00F925DD">
            <w:pPr>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7FB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7F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7F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7FB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(251</w:t>
            </w:r>
          </w:p>
        </w:tc>
        <w:tc>
          <w:tcPr>
            <w:tcW w:w="0" w:type="auto"/>
            <w:tcBorders>
              <w:bottom w:val="single" w:sz="8" w:space="0" w:color="000000"/>
            </w:tcBorders>
            <w:shd w:val="clear" w:color="auto" w:fill="CCEEFF"/>
            <w:tcMar>
              <w:top w:w="40" w:type="dxa"/>
              <w:bottom w:w="40" w:type="dxa"/>
              <w:right w:w="40" w:type="dxa"/>
            </w:tcMar>
            <w:vAlign w:val="bottom"/>
          </w:tcPr>
          <w:p w14:paraId="55567FB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7FC7" w14:textId="77777777">
        <w:tc>
          <w:tcPr>
            <w:tcW w:w="0" w:type="auto"/>
            <w:shd w:val="clear" w:color="auto" w:fill="auto"/>
            <w:tcMar>
              <w:top w:w="40" w:type="dxa"/>
              <w:left w:w="40" w:type="dxa"/>
              <w:bottom w:w="40" w:type="dxa"/>
              <w:right w:w="40" w:type="dxa"/>
            </w:tcMar>
            <w:vAlign w:val="bottom"/>
          </w:tcPr>
          <w:p w14:paraId="55567FB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Accrual Balance at December 31,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FB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FB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190</w:t>
            </w:r>
          </w:p>
        </w:tc>
        <w:tc>
          <w:tcPr>
            <w:tcW w:w="0" w:type="auto"/>
            <w:tcBorders>
              <w:top w:val="single" w:sz="8" w:space="0" w:color="000000"/>
              <w:bottom w:val="double" w:sz="6" w:space="0" w:color="000000"/>
            </w:tcBorders>
            <w:shd w:val="clear" w:color="auto" w:fill="auto"/>
            <w:vAlign w:val="bottom"/>
          </w:tcPr>
          <w:p w14:paraId="55567FB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FB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FB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tcBorders>
              <w:top w:val="single" w:sz="8" w:space="0" w:color="000000"/>
              <w:bottom w:val="double" w:sz="6" w:space="0" w:color="000000"/>
            </w:tcBorders>
            <w:shd w:val="clear" w:color="auto" w:fill="auto"/>
            <w:vAlign w:val="bottom"/>
          </w:tcPr>
          <w:p w14:paraId="55567FB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FC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FC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top w:val="single" w:sz="8" w:space="0" w:color="000000"/>
              <w:bottom w:val="double" w:sz="6" w:space="0" w:color="000000"/>
            </w:tcBorders>
            <w:shd w:val="clear" w:color="auto" w:fill="auto"/>
            <w:vAlign w:val="bottom"/>
          </w:tcPr>
          <w:p w14:paraId="55567FC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7F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7FC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7FC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198</w:t>
            </w:r>
          </w:p>
        </w:tc>
        <w:tc>
          <w:tcPr>
            <w:tcW w:w="0" w:type="auto"/>
            <w:tcBorders>
              <w:top w:val="single" w:sz="8" w:space="0" w:color="000000"/>
              <w:bottom w:val="double" w:sz="6" w:space="0" w:color="000000"/>
            </w:tcBorders>
            <w:shd w:val="clear" w:color="auto" w:fill="auto"/>
            <w:vAlign w:val="bottom"/>
          </w:tcPr>
          <w:p w14:paraId="55567FC6" w14:textId="77777777" w:rsidR="00F925DD" w:rsidRDefault="00F925DD">
            <w:pPr>
              <w:textAlignment w:val="bottom"/>
              <w:rPr>
                <w:rFonts w:ascii="Times New Roman" w:hAnsi="Times New Roman"/>
                <w:sz w:val="20"/>
                <w:szCs w:val="20"/>
              </w:rPr>
            </w:pPr>
          </w:p>
        </w:tc>
      </w:tr>
    </w:tbl>
    <w:p w14:paraId="55567FC8"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Income Tax Expense</w:t>
      </w:r>
    </w:p>
    <w:p w14:paraId="55567FC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Income tax expense was $470 million in 2019 compared to $508 million and $839 million in 2018 and 2017, respectively. Our effective tax rate was 17.3% in 2019, compared to 16.3% and 27.9% in 2018 and 2017, respectively. Th</w:t>
      </w:r>
      <w:r>
        <w:rPr>
          <w:rFonts w:ascii="Arial" w:eastAsia="宋体" w:hAnsi="Arial" w:cs="Arial"/>
          <w:sz w:val="20"/>
          <w:szCs w:val="20"/>
        </w:rPr>
        <w:t>e effective tax rate for 2019 included a benefit attributable to a foreign legal entity restructuring which was partially offset by legal accruals, limitations on foreign tax credit benefits and a decrease in deductions related to stock based compensation.</w:t>
      </w:r>
      <w:r>
        <w:rPr>
          <w:rFonts w:ascii="Arial" w:eastAsia="宋体" w:hAnsi="Arial" w:cs="Arial"/>
          <w:sz w:val="20"/>
          <w:szCs w:val="20"/>
        </w:rPr>
        <w:t xml:space="preserve"> The effective tax rate in 2018 included an additional deferred tax benefit of $32 million related to adjustments from the Tax Cuts and Jobs Act provisional estimate recorded in 2017. </w:t>
      </w:r>
    </w:p>
    <w:p w14:paraId="55567FC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regarding income tax expense, including unrecogn</w:t>
      </w:r>
      <w:r>
        <w:rPr>
          <w:rFonts w:ascii="Arial" w:eastAsia="宋体" w:hAnsi="Arial" w:cs="Arial"/>
          <w:sz w:val="20"/>
          <w:szCs w:val="20"/>
        </w:rPr>
        <w:t>ized tax benefits and tax contingencies, are provided in Notes 13 and 22 to the consolidated financial statements in this Form 10-K.</w:t>
      </w:r>
    </w:p>
    <w:p w14:paraId="55567FCB"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LINE OF BUSINESS INFORMATION</w:t>
      </w:r>
    </w:p>
    <w:p w14:paraId="55567FC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operations are organized into two lines of business: Investment Servicing and Investment M</w:t>
      </w:r>
      <w:r>
        <w:rPr>
          <w:rFonts w:ascii="Arial" w:eastAsia="宋体" w:hAnsi="Arial" w:cs="Arial"/>
          <w:sz w:val="20"/>
          <w:szCs w:val="20"/>
        </w:rPr>
        <w:t xml:space="preserve">anagement, which are defined based on products and services provided. The results of operations for these </w:t>
      </w:r>
    </w:p>
    <w:p w14:paraId="55567FCD"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7FCE"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lines of business are not necessarily comparable with those of other companies, including companies in the financial services industry.</w:t>
      </w:r>
    </w:p>
    <w:p w14:paraId="55567FC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 xml:space="preserve">Investment Servicing, </w:t>
      </w:r>
      <w:r>
        <w:rPr>
          <w:rFonts w:ascii="Arial" w:eastAsia="宋体" w:hAnsi="Arial" w:cs="Arial"/>
          <w:sz w:val="20"/>
          <w:szCs w:val="20"/>
        </w:rPr>
        <w:t>through</w:t>
      </w:r>
      <w:r>
        <w:rPr>
          <w:rFonts w:ascii="Arial" w:eastAsia="宋体" w:hAnsi="Arial" w:cs="Arial"/>
          <w:i/>
          <w:iCs/>
          <w:sz w:val="20"/>
          <w:szCs w:val="20"/>
        </w:rPr>
        <w:t xml:space="preserve"> </w:t>
      </w:r>
      <w:r>
        <w:rPr>
          <w:rFonts w:ascii="Arial" w:eastAsia="宋体" w:hAnsi="Arial" w:cs="Arial"/>
          <w:sz w:val="20"/>
          <w:szCs w:val="20"/>
        </w:rPr>
        <w:t>State Street Global Services, State Street Global Markets, State Street Global Exchange and CRD, provides services for institutional clients, including mutual funds, collective investment funds and other investment pools, corp</w:t>
      </w:r>
      <w:r>
        <w:rPr>
          <w:rFonts w:ascii="Arial" w:eastAsia="宋体" w:hAnsi="Arial" w:cs="Arial"/>
          <w:sz w:val="20"/>
          <w:szCs w:val="20"/>
        </w:rPr>
        <w:t>orate and public retirement plans, insurance companies, investment managers, foundations and endowments worldwide. Products include: custody; product and participant level accounting; daily pricing and administration; master trust and master custody; depot</w:t>
      </w:r>
      <w:r>
        <w:rPr>
          <w:rFonts w:ascii="Arial" w:eastAsia="宋体" w:hAnsi="Arial" w:cs="Arial"/>
          <w:sz w:val="20"/>
          <w:szCs w:val="20"/>
        </w:rPr>
        <w:t>bank services (a fund oversight role created by non-U.S. regulation); record-keeping; cash management; foreign exchange, brokerage and other trading services; securities finance and enhanced custody products; deposit and short-term investment facilities; l</w:t>
      </w:r>
      <w:r>
        <w:rPr>
          <w:rFonts w:ascii="Arial" w:eastAsia="宋体" w:hAnsi="Arial" w:cs="Arial"/>
          <w:sz w:val="20"/>
          <w:szCs w:val="20"/>
        </w:rPr>
        <w:t>oans and lease financing; investment manager and alternative investment manager operations outsourcing; performance, risk and compliance analytics; and financial data management to support institutional investors. Our CRD business also falls within our Inv</w:t>
      </w:r>
      <w:r>
        <w:rPr>
          <w:rFonts w:ascii="Arial" w:eastAsia="宋体" w:hAnsi="Arial" w:cs="Arial"/>
          <w:sz w:val="20"/>
          <w:szCs w:val="20"/>
        </w:rPr>
        <w:t>estment Servicing line of business and includes products and services, such as: portfolio modeling and construction; trade order management; investment risk and compliance; and wealth management solutions.</w:t>
      </w:r>
    </w:p>
    <w:p w14:paraId="55567FD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Investment Management</w:t>
      </w:r>
      <w:r>
        <w:rPr>
          <w:rFonts w:ascii="Arial" w:eastAsia="宋体" w:hAnsi="Arial" w:cs="Arial"/>
          <w:sz w:val="20"/>
          <w:szCs w:val="20"/>
        </w:rPr>
        <w:t>, through State Street Global</w:t>
      </w:r>
      <w:r>
        <w:rPr>
          <w:rFonts w:ascii="Arial" w:eastAsia="宋体" w:hAnsi="Arial" w:cs="Arial"/>
          <w:sz w:val="20"/>
          <w:szCs w:val="20"/>
        </w:rPr>
        <w:t xml:space="preserve"> Advisors, provides a broad range of investment management strategies and products for our clients. Our investment management strategies and products span the risk/reward spectrum, including core and enhanced indexing, multi-asset strategies, active quanti</w:t>
      </w:r>
      <w:r>
        <w:rPr>
          <w:rFonts w:ascii="Arial" w:eastAsia="宋体" w:hAnsi="Arial" w:cs="Arial"/>
          <w:sz w:val="20"/>
          <w:szCs w:val="20"/>
        </w:rPr>
        <w:t>tative and fundamental active capabilities and alternative investment strategies. Our AUM is currently primarily weighted to indexed strategies. In addition, we provide a breadth of services and solutions, including environmental, social and governance inv</w:t>
      </w:r>
      <w:r>
        <w:rPr>
          <w:rFonts w:ascii="Arial" w:eastAsia="宋体" w:hAnsi="Arial" w:cs="Arial"/>
          <w:sz w:val="20"/>
          <w:szCs w:val="20"/>
        </w:rPr>
        <w:t>esting, defined benefit and defined contribution and Global Fiduciary Solutions (formerly Outsourced Chief Investment Officer). State Street Global Advisors is also a provider of ETFs, including the SPDR</w:t>
      </w:r>
      <w:r>
        <w:rPr>
          <w:rFonts w:ascii="Arial" w:eastAsia="宋体" w:hAnsi="Arial" w:cs="Arial"/>
          <w:sz w:val="12"/>
          <w:szCs w:val="12"/>
        </w:rPr>
        <w:t xml:space="preserve">® </w:t>
      </w:r>
      <w:r>
        <w:rPr>
          <w:rFonts w:ascii="Arial" w:eastAsia="宋体" w:hAnsi="Arial" w:cs="Arial"/>
          <w:sz w:val="20"/>
          <w:szCs w:val="20"/>
        </w:rPr>
        <w:t>ETF brand. While management fees are primarily dete</w:t>
      </w:r>
      <w:r>
        <w:rPr>
          <w:rFonts w:ascii="Arial" w:eastAsia="宋体" w:hAnsi="Arial" w:cs="Arial"/>
          <w:sz w:val="20"/>
          <w:szCs w:val="20"/>
        </w:rPr>
        <w:t>rmined by the values of AUM and the investment strategies employed, management fees reflect other factors as well, including the benchmarks specified in the respective management agreements related to performance fees.</w:t>
      </w:r>
    </w:p>
    <w:p w14:paraId="55567FD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information about our two lines o</w:t>
      </w:r>
      <w:r>
        <w:rPr>
          <w:rFonts w:ascii="Arial" w:eastAsia="宋体" w:hAnsi="Arial" w:cs="Arial"/>
          <w:sz w:val="20"/>
          <w:szCs w:val="20"/>
        </w:rPr>
        <w:t>f business, as well as the revenues, expenses and capital allocation methodologies associated with them, refer to Note 24 to the consolidated financial statements in this Form 10-K.</w:t>
      </w:r>
    </w:p>
    <w:p w14:paraId="55567FD2" w14:textId="77777777" w:rsidR="00F925DD" w:rsidRDefault="00F925DD">
      <w:pPr>
        <w:rPr>
          <w:rFonts w:ascii="Times New Roman" w:hAnsi="Times New Roman"/>
          <w:sz w:val="20"/>
          <w:szCs w:val="20"/>
        </w:rPr>
      </w:pPr>
    </w:p>
    <w:p w14:paraId="55567FD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68</w:t>
      </w:r>
    </w:p>
    <w:p w14:paraId="55567FD4" w14:textId="77777777" w:rsidR="00F925DD" w:rsidRDefault="00F925DD">
      <w:pPr>
        <w:spacing w:line="288" w:lineRule="auto"/>
        <w:ind w:firstLine="600"/>
        <w:jc w:val="center"/>
        <w:rPr>
          <w:rFonts w:ascii="Times New Roman" w:hAnsi="Times New Roman"/>
          <w:sz w:val="18"/>
          <w:szCs w:val="18"/>
        </w:rPr>
      </w:pPr>
    </w:p>
    <w:p w14:paraId="55567FD5" w14:textId="77777777" w:rsidR="00F925DD" w:rsidRDefault="00E705D7">
      <w:r>
        <w:rPr>
          <w:rFonts w:ascii="Times New Roman" w:hAnsi="Times New Roman"/>
          <w:sz w:val="18"/>
          <w:szCs w:val="18"/>
        </w:rPr>
        <w:pict w14:anchorId="5557067E">
          <v:rect id="_x0000_i1092" style="width:415.3pt;height:1.5pt" o:hralign="center" o:hrstd="t" o:hr="t" fillcolor="#a0a0a0" stroked="f"/>
        </w:pict>
      </w:r>
    </w:p>
    <w:p w14:paraId="55567FD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DISCUSSION AND </w:t>
      </w:r>
      <w:r>
        <w:rPr>
          <w:rFonts w:ascii="Arial" w:eastAsia="宋体" w:hAnsi="Arial" w:cs="Arial"/>
          <w:b/>
          <w:bCs/>
          <w:sz w:val="20"/>
          <w:szCs w:val="20"/>
        </w:rPr>
        <w:t>ANALYSIS OF FINANCIAL CONDITION</w:t>
      </w:r>
    </w:p>
    <w:p w14:paraId="55567FD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7FD8" w14:textId="77777777" w:rsidR="00F925DD" w:rsidRDefault="00F925DD">
      <w:pPr>
        <w:rPr>
          <w:rFonts w:ascii="Times New Roman" w:hAnsi="Times New Roman"/>
          <w:sz w:val="20"/>
          <w:szCs w:val="20"/>
        </w:rPr>
      </w:pPr>
    </w:p>
    <w:p w14:paraId="55567FD9"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Investment Servicing</w:t>
      </w:r>
    </w:p>
    <w:tbl>
      <w:tblPr>
        <w:tblW w:w="5000" w:type="pct"/>
        <w:tblCellMar>
          <w:left w:w="0" w:type="dxa"/>
          <w:right w:w="0" w:type="dxa"/>
        </w:tblCellMar>
        <w:tblLook w:val="04A0" w:firstRow="1" w:lastRow="0" w:firstColumn="1" w:lastColumn="0" w:noHBand="0" w:noVBand="1"/>
      </w:tblPr>
      <w:tblGrid>
        <w:gridCol w:w="3689"/>
        <w:gridCol w:w="118"/>
        <w:gridCol w:w="532"/>
        <w:gridCol w:w="165"/>
        <w:gridCol w:w="130"/>
        <w:gridCol w:w="118"/>
        <w:gridCol w:w="533"/>
        <w:gridCol w:w="165"/>
        <w:gridCol w:w="130"/>
        <w:gridCol w:w="118"/>
        <w:gridCol w:w="533"/>
        <w:gridCol w:w="165"/>
        <w:gridCol w:w="130"/>
        <w:gridCol w:w="617"/>
        <w:gridCol w:w="212"/>
        <w:gridCol w:w="130"/>
        <w:gridCol w:w="617"/>
        <w:gridCol w:w="204"/>
      </w:tblGrid>
      <w:tr w:rsidR="00F925DD" w14:paraId="55567FDB" w14:textId="77777777">
        <w:tc>
          <w:tcPr>
            <w:tcW w:w="0" w:type="auto"/>
            <w:gridSpan w:val="18"/>
            <w:shd w:val="clear" w:color="auto" w:fill="auto"/>
            <w:vAlign w:val="center"/>
          </w:tcPr>
          <w:p w14:paraId="55567FDA" w14:textId="77777777" w:rsidR="00F925DD" w:rsidRDefault="00F925DD">
            <w:pPr>
              <w:rPr>
                <w:rFonts w:ascii="Times New Roman" w:hAnsi="Times New Roman"/>
                <w:sz w:val="20"/>
                <w:szCs w:val="20"/>
              </w:rPr>
            </w:pPr>
          </w:p>
        </w:tc>
      </w:tr>
      <w:tr w:rsidR="00F925DD" w14:paraId="55567FEE" w14:textId="77777777">
        <w:tc>
          <w:tcPr>
            <w:tcW w:w="2300" w:type="pct"/>
            <w:shd w:val="clear" w:color="auto" w:fill="auto"/>
            <w:vAlign w:val="center"/>
          </w:tcPr>
          <w:p w14:paraId="55567FDC" w14:textId="77777777" w:rsidR="00F925DD" w:rsidRDefault="00F925DD">
            <w:pPr>
              <w:rPr>
                <w:rFonts w:ascii="Times New Roman" w:hAnsi="Times New Roman"/>
                <w:sz w:val="20"/>
                <w:szCs w:val="20"/>
              </w:rPr>
            </w:pPr>
          </w:p>
        </w:tc>
        <w:tc>
          <w:tcPr>
            <w:tcW w:w="50" w:type="pct"/>
            <w:shd w:val="clear" w:color="auto" w:fill="auto"/>
            <w:vAlign w:val="center"/>
          </w:tcPr>
          <w:p w14:paraId="55567FDD" w14:textId="77777777" w:rsidR="00F925DD" w:rsidRDefault="00F925DD">
            <w:pPr>
              <w:rPr>
                <w:rFonts w:ascii="Times New Roman" w:hAnsi="Times New Roman"/>
                <w:sz w:val="20"/>
                <w:szCs w:val="20"/>
              </w:rPr>
            </w:pPr>
          </w:p>
        </w:tc>
        <w:tc>
          <w:tcPr>
            <w:tcW w:w="400" w:type="pct"/>
            <w:shd w:val="clear" w:color="auto" w:fill="auto"/>
            <w:vAlign w:val="center"/>
          </w:tcPr>
          <w:p w14:paraId="55567FDE" w14:textId="77777777" w:rsidR="00F925DD" w:rsidRDefault="00F925DD">
            <w:pPr>
              <w:rPr>
                <w:rFonts w:ascii="Times New Roman" w:hAnsi="Times New Roman"/>
                <w:sz w:val="20"/>
                <w:szCs w:val="20"/>
              </w:rPr>
            </w:pPr>
          </w:p>
        </w:tc>
        <w:tc>
          <w:tcPr>
            <w:tcW w:w="50" w:type="pct"/>
            <w:shd w:val="clear" w:color="auto" w:fill="auto"/>
            <w:vAlign w:val="center"/>
          </w:tcPr>
          <w:p w14:paraId="55567FDF" w14:textId="77777777" w:rsidR="00F925DD" w:rsidRDefault="00F925DD">
            <w:pPr>
              <w:rPr>
                <w:rFonts w:ascii="Times New Roman" w:hAnsi="Times New Roman"/>
                <w:sz w:val="20"/>
                <w:szCs w:val="20"/>
              </w:rPr>
            </w:pPr>
          </w:p>
        </w:tc>
        <w:tc>
          <w:tcPr>
            <w:tcW w:w="50" w:type="pct"/>
            <w:shd w:val="clear" w:color="auto" w:fill="auto"/>
            <w:vAlign w:val="center"/>
          </w:tcPr>
          <w:p w14:paraId="55567FE0" w14:textId="77777777" w:rsidR="00F925DD" w:rsidRDefault="00F925DD">
            <w:pPr>
              <w:rPr>
                <w:rFonts w:ascii="Times New Roman" w:hAnsi="Times New Roman"/>
                <w:sz w:val="20"/>
                <w:szCs w:val="20"/>
              </w:rPr>
            </w:pPr>
          </w:p>
        </w:tc>
        <w:tc>
          <w:tcPr>
            <w:tcW w:w="50" w:type="pct"/>
            <w:shd w:val="clear" w:color="auto" w:fill="auto"/>
            <w:vAlign w:val="center"/>
          </w:tcPr>
          <w:p w14:paraId="55567FE1" w14:textId="77777777" w:rsidR="00F925DD" w:rsidRDefault="00F925DD">
            <w:pPr>
              <w:rPr>
                <w:rFonts w:ascii="Times New Roman" w:hAnsi="Times New Roman"/>
                <w:sz w:val="20"/>
                <w:szCs w:val="20"/>
              </w:rPr>
            </w:pPr>
          </w:p>
        </w:tc>
        <w:tc>
          <w:tcPr>
            <w:tcW w:w="400" w:type="pct"/>
            <w:shd w:val="clear" w:color="auto" w:fill="auto"/>
            <w:vAlign w:val="center"/>
          </w:tcPr>
          <w:p w14:paraId="55567FE2" w14:textId="77777777" w:rsidR="00F925DD" w:rsidRDefault="00F925DD">
            <w:pPr>
              <w:rPr>
                <w:rFonts w:ascii="Times New Roman" w:hAnsi="Times New Roman"/>
                <w:sz w:val="20"/>
                <w:szCs w:val="20"/>
              </w:rPr>
            </w:pPr>
          </w:p>
        </w:tc>
        <w:tc>
          <w:tcPr>
            <w:tcW w:w="50" w:type="pct"/>
            <w:shd w:val="clear" w:color="auto" w:fill="auto"/>
            <w:vAlign w:val="center"/>
          </w:tcPr>
          <w:p w14:paraId="55567FE3" w14:textId="77777777" w:rsidR="00F925DD" w:rsidRDefault="00F925DD">
            <w:pPr>
              <w:rPr>
                <w:rFonts w:ascii="Times New Roman" w:hAnsi="Times New Roman"/>
                <w:sz w:val="20"/>
                <w:szCs w:val="20"/>
              </w:rPr>
            </w:pPr>
          </w:p>
        </w:tc>
        <w:tc>
          <w:tcPr>
            <w:tcW w:w="50" w:type="pct"/>
            <w:shd w:val="clear" w:color="auto" w:fill="auto"/>
            <w:vAlign w:val="center"/>
          </w:tcPr>
          <w:p w14:paraId="55567FE4" w14:textId="77777777" w:rsidR="00F925DD" w:rsidRDefault="00F925DD">
            <w:pPr>
              <w:rPr>
                <w:rFonts w:ascii="Times New Roman" w:hAnsi="Times New Roman"/>
                <w:sz w:val="20"/>
                <w:szCs w:val="20"/>
              </w:rPr>
            </w:pPr>
          </w:p>
        </w:tc>
        <w:tc>
          <w:tcPr>
            <w:tcW w:w="50" w:type="pct"/>
            <w:shd w:val="clear" w:color="auto" w:fill="auto"/>
            <w:vAlign w:val="center"/>
          </w:tcPr>
          <w:p w14:paraId="55567FE5" w14:textId="77777777" w:rsidR="00F925DD" w:rsidRDefault="00F925DD">
            <w:pPr>
              <w:rPr>
                <w:rFonts w:ascii="Times New Roman" w:hAnsi="Times New Roman"/>
                <w:sz w:val="20"/>
                <w:szCs w:val="20"/>
              </w:rPr>
            </w:pPr>
          </w:p>
        </w:tc>
        <w:tc>
          <w:tcPr>
            <w:tcW w:w="400" w:type="pct"/>
            <w:shd w:val="clear" w:color="auto" w:fill="auto"/>
            <w:vAlign w:val="center"/>
          </w:tcPr>
          <w:p w14:paraId="55567FE6" w14:textId="77777777" w:rsidR="00F925DD" w:rsidRDefault="00F925DD">
            <w:pPr>
              <w:rPr>
                <w:rFonts w:ascii="Times New Roman" w:hAnsi="Times New Roman"/>
                <w:sz w:val="20"/>
                <w:szCs w:val="20"/>
              </w:rPr>
            </w:pPr>
          </w:p>
        </w:tc>
        <w:tc>
          <w:tcPr>
            <w:tcW w:w="50" w:type="pct"/>
            <w:shd w:val="clear" w:color="auto" w:fill="auto"/>
            <w:vAlign w:val="center"/>
          </w:tcPr>
          <w:p w14:paraId="55567FE7" w14:textId="77777777" w:rsidR="00F925DD" w:rsidRDefault="00F925DD">
            <w:pPr>
              <w:rPr>
                <w:rFonts w:ascii="Times New Roman" w:hAnsi="Times New Roman"/>
                <w:sz w:val="20"/>
                <w:szCs w:val="20"/>
              </w:rPr>
            </w:pPr>
          </w:p>
        </w:tc>
        <w:tc>
          <w:tcPr>
            <w:tcW w:w="50" w:type="pct"/>
            <w:shd w:val="clear" w:color="auto" w:fill="auto"/>
            <w:vAlign w:val="center"/>
          </w:tcPr>
          <w:p w14:paraId="55567FE8" w14:textId="77777777" w:rsidR="00F925DD" w:rsidRDefault="00F925DD">
            <w:pPr>
              <w:rPr>
                <w:rFonts w:ascii="Times New Roman" w:hAnsi="Times New Roman"/>
                <w:sz w:val="20"/>
                <w:szCs w:val="20"/>
              </w:rPr>
            </w:pPr>
          </w:p>
        </w:tc>
        <w:tc>
          <w:tcPr>
            <w:tcW w:w="450" w:type="pct"/>
            <w:shd w:val="clear" w:color="auto" w:fill="auto"/>
            <w:vAlign w:val="center"/>
          </w:tcPr>
          <w:p w14:paraId="55567FE9" w14:textId="77777777" w:rsidR="00F925DD" w:rsidRDefault="00F925DD">
            <w:pPr>
              <w:rPr>
                <w:rFonts w:ascii="Times New Roman" w:hAnsi="Times New Roman"/>
                <w:sz w:val="20"/>
                <w:szCs w:val="20"/>
              </w:rPr>
            </w:pPr>
          </w:p>
        </w:tc>
        <w:tc>
          <w:tcPr>
            <w:tcW w:w="50" w:type="pct"/>
            <w:shd w:val="clear" w:color="auto" w:fill="auto"/>
            <w:vAlign w:val="center"/>
          </w:tcPr>
          <w:p w14:paraId="55567FEA" w14:textId="77777777" w:rsidR="00F925DD" w:rsidRDefault="00F925DD">
            <w:pPr>
              <w:rPr>
                <w:rFonts w:ascii="Times New Roman" w:hAnsi="Times New Roman"/>
                <w:sz w:val="20"/>
                <w:szCs w:val="20"/>
              </w:rPr>
            </w:pPr>
          </w:p>
        </w:tc>
        <w:tc>
          <w:tcPr>
            <w:tcW w:w="50" w:type="pct"/>
            <w:shd w:val="clear" w:color="auto" w:fill="auto"/>
            <w:vAlign w:val="center"/>
          </w:tcPr>
          <w:p w14:paraId="55567FEB" w14:textId="77777777" w:rsidR="00F925DD" w:rsidRDefault="00F925DD">
            <w:pPr>
              <w:rPr>
                <w:rFonts w:ascii="Times New Roman" w:hAnsi="Times New Roman"/>
                <w:sz w:val="20"/>
                <w:szCs w:val="20"/>
              </w:rPr>
            </w:pPr>
          </w:p>
        </w:tc>
        <w:tc>
          <w:tcPr>
            <w:tcW w:w="450" w:type="pct"/>
            <w:shd w:val="clear" w:color="auto" w:fill="auto"/>
            <w:vAlign w:val="center"/>
          </w:tcPr>
          <w:p w14:paraId="55567FEC" w14:textId="77777777" w:rsidR="00F925DD" w:rsidRDefault="00F925DD">
            <w:pPr>
              <w:rPr>
                <w:rFonts w:ascii="Times New Roman" w:hAnsi="Times New Roman"/>
                <w:sz w:val="20"/>
                <w:szCs w:val="20"/>
              </w:rPr>
            </w:pPr>
          </w:p>
        </w:tc>
        <w:tc>
          <w:tcPr>
            <w:tcW w:w="50" w:type="pct"/>
            <w:shd w:val="clear" w:color="auto" w:fill="auto"/>
            <w:vAlign w:val="center"/>
          </w:tcPr>
          <w:p w14:paraId="55567FED" w14:textId="77777777" w:rsidR="00F925DD" w:rsidRDefault="00F925DD">
            <w:pPr>
              <w:rPr>
                <w:rFonts w:ascii="Times New Roman" w:hAnsi="Times New Roman"/>
                <w:sz w:val="20"/>
                <w:szCs w:val="20"/>
              </w:rPr>
            </w:pPr>
          </w:p>
        </w:tc>
      </w:tr>
      <w:tr w:rsidR="00F925DD" w14:paraId="55567FF2" w14:textId="77777777">
        <w:tc>
          <w:tcPr>
            <w:tcW w:w="0" w:type="auto"/>
            <w:gridSpan w:val="15"/>
            <w:shd w:val="clear" w:color="auto" w:fill="auto"/>
            <w:tcMar>
              <w:top w:w="40" w:type="dxa"/>
              <w:left w:w="40" w:type="dxa"/>
              <w:bottom w:w="40" w:type="dxa"/>
              <w:right w:w="40" w:type="dxa"/>
            </w:tcMar>
            <w:vAlign w:val="bottom"/>
          </w:tcPr>
          <w:p w14:paraId="55567FE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10: INVESTMENT SERVICING LINE OF BUSINESS RESULTS</w:t>
            </w:r>
          </w:p>
        </w:tc>
        <w:tc>
          <w:tcPr>
            <w:tcW w:w="0" w:type="auto"/>
            <w:shd w:val="clear" w:color="auto" w:fill="auto"/>
            <w:tcMar>
              <w:top w:w="40" w:type="dxa"/>
              <w:left w:w="40" w:type="dxa"/>
              <w:bottom w:w="40" w:type="dxa"/>
              <w:right w:w="40" w:type="dxa"/>
            </w:tcMar>
            <w:vAlign w:val="bottom"/>
          </w:tcPr>
          <w:p w14:paraId="55567F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7F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7FF9" w14:textId="77777777">
        <w:tc>
          <w:tcPr>
            <w:tcW w:w="0" w:type="auto"/>
            <w:vMerge w:val="restart"/>
            <w:shd w:val="clear" w:color="auto" w:fill="auto"/>
            <w:tcMar>
              <w:top w:w="40" w:type="dxa"/>
              <w:left w:w="40" w:type="dxa"/>
              <w:bottom w:w="40" w:type="dxa"/>
              <w:right w:w="40" w:type="dxa"/>
            </w:tcMar>
            <w:vAlign w:val="bottom"/>
          </w:tcPr>
          <w:p w14:paraId="55567FF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(Dollars in millions, except where otherwise noted)</w:t>
            </w:r>
          </w:p>
        </w:tc>
        <w:tc>
          <w:tcPr>
            <w:tcW w:w="0" w:type="auto"/>
            <w:gridSpan w:val="11"/>
            <w:tcBorders>
              <w:bottom w:val="single" w:sz="8" w:space="0" w:color="000000"/>
            </w:tcBorders>
            <w:shd w:val="clear" w:color="auto" w:fill="auto"/>
            <w:tcMar>
              <w:top w:w="40" w:type="dxa"/>
              <w:left w:w="40" w:type="dxa"/>
              <w:bottom w:w="40" w:type="dxa"/>
            </w:tcMar>
            <w:vAlign w:val="bottom"/>
          </w:tcPr>
          <w:p w14:paraId="55567FF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c>
          <w:tcPr>
            <w:tcW w:w="0" w:type="auto"/>
            <w:shd w:val="clear" w:color="auto" w:fill="auto"/>
            <w:tcMar>
              <w:top w:w="40" w:type="dxa"/>
              <w:left w:w="40" w:type="dxa"/>
              <w:bottom w:w="40" w:type="dxa"/>
              <w:right w:w="40" w:type="dxa"/>
            </w:tcMar>
            <w:vAlign w:val="bottom"/>
          </w:tcPr>
          <w:p w14:paraId="55567F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55567FF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 Change </w:t>
            </w:r>
            <w:r>
              <w:rPr>
                <w:rFonts w:ascii="Arial" w:eastAsia="宋体" w:hAnsi="Arial" w:cs="Arial"/>
                <w:b/>
                <w:bCs/>
                <w:sz w:val="14"/>
                <w:szCs w:val="14"/>
              </w:rPr>
              <w:t>2019 vs. 2018</w:t>
            </w:r>
          </w:p>
        </w:tc>
        <w:tc>
          <w:tcPr>
            <w:tcW w:w="0" w:type="auto"/>
            <w:shd w:val="clear" w:color="auto" w:fill="auto"/>
            <w:tcMar>
              <w:top w:w="40" w:type="dxa"/>
              <w:left w:w="40" w:type="dxa"/>
              <w:bottom w:w="40" w:type="dxa"/>
              <w:right w:w="40" w:type="dxa"/>
            </w:tcMar>
            <w:vAlign w:val="bottom"/>
          </w:tcPr>
          <w:p w14:paraId="55567F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55567FF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 2018 vs. 2017</w:t>
            </w:r>
          </w:p>
        </w:tc>
      </w:tr>
      <w:tr w:rsidR="00F925DD" w14:paraId="55568004" w14:textId="77777777">
        <w:tc>
          <w:tcPr>
            <w:tcW w:w="0" w:type="auto"/>
            <w:vMerge/>
            <w:shd w:val="clear" w:color="auto" w:fill="auto"/>
            <w:tcMar>
              <w:top w:w="40" w:type="dxa"/>
              <w:left w:w="40" w:type="dxa"/>
              <w:bottom w:w="40" w:type="dxa"/>
              <w:right w:w="40" w:type="dxa"/>
            </w:tcMar>
            <w:vAlign w:val="bottom"/>
          </w:tcPr>
          <w:p w14:paraId="55567FFA" w14:textId="77777777" w:rsidR="00F925DD" w:rsidRDefault="00F925DD">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FF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7F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FF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7F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7FF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c>
          <w:tcPr>
            <w:tcW w:w="0" w:type="auto"/>
            <w:shd w:val="clear" w:color="auto" w:fill="auto"/>
            <w:tcMar>
              <w:top w:w="40" w:type="dxa"/>
              <w:left w:w="40" w:type="dxa"/>
              <w:bottom w:w="40" w:type="dxa"/>
              <w:right w:w="40" w:type="dxa"/>
            </w:tcMar>
            <w:vAlign w:val="bottom"/>
          </w:tcPr>
          <w:p w14:paraId="555680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55568001"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55568003" w14:textId="77777777" w:rsidR="00F925DD" w:rsidRDefault="00F925DD">
            <w:pPr>
              <w:rPr>
                <w:rFonts w:ascii="Times New Roman" w:hAnsi="Times New Roman"/>
                <w:sz w:val="20"/>
                <w:szCs w:val="20"/>
              </w:rPr>
            </w:pPr>
          </w:p>
        </w:tc>
      </w:tr>
      <w:tr w:rsidR="00F925DD" w14:paraId="55568017" w14:textId="77777777">
        <w:tc>
          <w:tcPr>
            <w:tcW w:w="0" w:type="auto"/>
            <w:shd w:val="clear" w:color="auto" w:fill="CCEEFF"/>
            <w:tcMar>
              <w:top w:w="40" w:type="dxa"/>
              <w:left w:w="40" w:type="dxa"/>
              <w:bottom w:w="40" w:type="dxa"/>
              <w:right w:w="40" w:type="dxa"/>
            </w:tcMar>
            <w:vAlign w:val="bottom"/>
          </w:tcPr>
          <w:p w14:paraId="55568005" w14:textId="77777777" w:rsidR="00F925DD" w:rsidRDefault="00E705D7">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5556800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800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5,074</w:t>
            </w:r>
          </w:p>
        </w:tc>
        <w:tc>
          <w:tcPr>
            <w:tcW w:w="0" w:type="auto"/>
            <w:tcBorders>
              <w:top w:val="single" w:sz="8" w:space="0" w:color="000000"/>
            </w:tcBorders>
            <w:shd w:val="clear" w:color="auto" w:fill="CCEEFF"/>
            <w:vAlign w:val="bottom"/>
          </w:tcPr>
          <w:p w14:paraId="5556800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0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00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5,429</w:t>
            </w:r>
          </w:p>
        </w:tc>
        <w:tc>
          <w:tcPr>
            <w:tcW w:w="0" w:type="auto"/>
            <w:shd w:val="clear" w:color="auto" w:fill="CCEEFF"/>
            <w:vAlign w:val="bottom"/>
          </w:tcPr>
          <w:p w14:paraId="5556800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00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800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5,365</w:t>
            </w:r>
          </w:p>
        </w:tc>
        <w:tc>
          <w:tcPr>
            <w:tcW w:w="0" w:type="auto"/>
            <w:tcBorders>
              <w:top w:val="single" w:sz="8" w:space="0" w:color="000000"/>
            </w:tcBorders>
            <w:shd w:val="clear" w:color="auto" w:fill="CCEEFF"/>
            <w:vAlign w:val="bottom"/>
          </w:tcPr>
          <w:p w14:paraId="555680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1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tcMar>
              <w:top w:w="40" w:type="dxa"/>
              <w:bottom w:w="40" w:type="dxa"/>
              <w:right w:w="40" w:type="dxa"/>
            </w:tcMar>
            <w:vAlign w:val="bottom"/>
          </w:tcPr>
          <w:p w14:paraId="5556801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80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1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tcMar>
              <w:top w:w="40" w:type="dxa"/>
              <w:bottom w:w="40" w:type="dxa"/>
              <w:right w:w="40" w:type="dxa"/>
            </w:tcMar>
            <w:vAlign w:val="bottom"/>
          </w:tcPr>
          <w:p w14:paraId="55568016"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r>
      <w:tr w:rsidR="00F925DD" w14:paraId="55568027" w14:textId="77777777">
        <w:tc>
          <w:tcPr>
            <w:tcW w:w="0" w:type="auto"/>
            <w:shd w:val="clear" w:color="auto" w:fill="auto"/>
            <w:tcMar>
              <w:top w:w="40" w:type="dxa"/>
              <w:left w:w="40" w:type="dxa"/>
              <w:bottom w:w="40" w:type="dxa"/>
              <w:right w:w="40" w:type="dxa"/>
            </w:tcMar>
            <w:vAlign w:val="bottom"/>
          </w:tcPr>
          <w:p w14:paraId="55568018"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exchange trading services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801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974</w:t>
            </w:r>
          </w:p>
        </w:tc>
        <w:tc>
          <w:tcPr>
            <w:tcW w:w="0" w:type="auto"/>
            <w:shd w:val="clear" w:color="auto" w:fill="auto"/>
            <w:vAlign w:val="bottom"/>
          </w:tcPr>
          <w:p w14:paraId="5556801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0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1,071</w:t>
            </w:r>
          </w:p>
        </w:tc>
        <w:tc>
          <w:tcPr>
            <w:tcW w:w="0" w:type="auto"/>
            <w:shd w:val="clear" w:color="auto" w:fill="auto"/>
            <w:vAlign w:val="bottom"/>
          </w:tcPr>
          <w:p w14:paraId="5556801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01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999</w:t>
            </w:r>
          </w:p>
        </w:tc>
        <w:tc>
          <w:tcPr>
            <w:tcW w:w="0" w:type="auto"/>
            <w:shd w:val="clear" w:color="auto" w:fill="auto"/>
            <w:vAlign w:val="bottom"/>
          </w:tcPr>
          <w:p w14:paraId="5556802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02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tcMar>
              <w:top w:w="40" w:type="dxa"/>
              <w:bottom w:w="40" w:type="dxa"/>
              <w:right w:w="40" w:type="dxa"/>
            </w:tcMar>
            <w:vAlign w:val="bottom"/>
          </w:tcPr>
          <w:p w14:paraId="5556802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80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02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auto"/>
            <w:vAlign w:val="bottom"/>
          </w:tcPr>
          <w:p w14:paraId="55568026" w14:textId="77777777" w:rsidR="00F925DD" w:rsidRDefault="00F925DD">
            <w:pPr>
              <w:textAlignment w:val="bottom"/>
              <w:rPr>
                <w:rFonts w:ascii="Times New Roman" w:hAnsi="Times New Roman"/>
                <w:sz w:val="20"/>
                <w:szCs w:val="20"/>
              </w:rPr>
            </w:pPr>
          </w:p>
        </w:tc>
      </w:tr>
      <w:tr w:rsidR="00F925DD" w14:paraId="55568037" w14:textId="77777777">
        <w:tc>
          <w:tcPr>
            <w:tcW w:w="0" w:type="auto"/>
            <w:shd w:val="clear" w:color="auto" w:fill="CCEEFF"/>
            <w:tcMar>
              <w:top w:w="40" w:type="dxa"/>
              <w:left w:w="40" w:type="dxa"/>
              <w:bottom w:w="40" w:type="dxa"/>
              <w:right w:w="40" w:type="dxa"/>
            </w:tcMar>
            <w:vAlign w:val="bottom"/>
          </w:tcPr>
          <w:p w14:paraId="55568028"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CCEEFF"/>
            <w:tcMar>
              <w:top w:w="40" w:type="dxa"/>
              <w:left w:w="40" w:type="dxa"/>
              <w:bottom w:w="40" w:type="dxa"/>
            </w:tcMar>
            <w:vAlign w:val="bottom"/>
          </w:tcPr>
          <w:p w14:paraId="5556802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462</w:t>
            </w:r>
          </w:p>
        </w:tc>
        <w:tc>
          <w:tcPr>
            <w:tcW w:w="0" w:type="auto"/>
            <w:shd w:val="clear" w:color="auto" w:fill="CCEEFF"/>
            <w:vAlign w:val="bottom"/>
          </w:tcPr>
          <w:p w14:paraId="5556802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0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543</w:t>
            </w:r>
          </w:p>
        </w:tc>
        <w:tc>
          <w:tcPr>
            <w:tcW w:w="0" w:type="auto"/>
            <w:shd w:val="clear" w:color="auto" w:fill="CCEEFF"/>
            <w:vAlign w:val="bottom"/>
          </w:tcPr>
          <w:p w14:paraId="5556802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02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606</w:t>
            </w:r>
          </w:p>
        </w:tc>
        <w:tc>
          <w:tcPr>
            <w:tcW w:w="0" w:type="auto"/>
            <w:shd w:val="clear" w:color="auto" w:fill="CCEEFF"/>
            <w:vAlign w:val="bottom"/>
          </w:tcPr>
          <w:p w14:paraId="5556803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3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CCEEFF"/>
            <w:tcMar>
              <w:top w:w="40" w:type="dxa"/>
              <w:bottom w:w="40" w:type="dxa"/>
              <w:right w:w="40" w:type="dxa"/>
            </w:tcMar>
            <w:vAlign w:val="bottom"/>
          </w:tcPr>
          <w:p w14:paraId="5556803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80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3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CCEEFF"/>
            <w:tcMar>
              <w:top w:w="40" w:type="dxa"/>
              <w:bottom w:w="40" w:type="dxa"/>
              <w:right w:w="40" w:type="dxa"/>
            </w:tcMar>
            <w:vAlign w:val="bottom"/>
          </w:tcPr>
          <w:p w14:paraId="5556803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8047" w14:textId="77777777">
        <w:tc>
          <w:tcPr>
            <w:tcW w:w="0" w:type="auto"/>
            <w:shd w:val="clear" w:color="auto" w:fill="auto"/>
            <w:tcMar>
              <w:top w:w="40" w:type="dxa"/>
              <w:left w:w="40" w:type="dxa"/>
              <w:bottom w:w="40" w:type="dxa"/>
              <w:right w:w="40" w:type="dxa"/>
            </w:tcMar>
            <w:vAlign w:val="bottom"/>
          </w:tcPr>
          <w:p w14:paraId="55568038" w14:textId="77777777" w:rsidR="00F925DD" w:rsidRDefault="00E705D7">
            <w:pPr>
              <w:textAlignment w:val="bottom"/>
              <w:rPr>
                <w:rFonts w:ascii="Times New Roman" w:hAnsi="Times New Roman"/>
                <w:sz w:val="14"/>
                <w:szCs w:val="14"/>
              </w:rPr>
            </w:pPr>
            <w:r>
              <w:rPr>
                <w:rFonts w:ascii="Arial" w:eastAsia="宋体" w:hAnsi="Arial" w:cs="Arial"/>
                <w:sz w:val="14"/>
                <w:szCs w:val="14"/>
              </w:rPr>
              <w:t>Software and processing fees</w:t>
            </w:r>
            <w:r>
              <w:rPr>
                <w:rFonts w:ascii="Arial" w:eastAsia="宋体" w:hAnsi="Arial" w:cs="Arial"/>
                <w:sz w:val="10"/>
                <w:szCs w:val="10"/>
              </w:rPr>
              <w:t>(1)</w:t>
            </w:r>
          </w:p>
        </w:tc>
        <w:tc>
          <w:tcPr>
            <w:tcW w:w="0" w:type="auto"/>
            <w:gridSpan w:val="2"/>
            <w:tcBorders>
              <w:bottom w:val="single" w:sz="8" w:space="0" w:color="000000"/>
            </w:tcBorders>
            <w:shd w:val="clear" w:color="auto" w:fill="auto"/>
            <w:tcMar>
              <w:top w:w="40" w:type="dxa"/>
              <w:left w:w="40" w:type="dxa"/>
              <w:bottom w:w="40" w:type="dxa"/>
            </w:tcMar>
            <w:vAlign w:val="bottom"/>
          </w:tcPr>
          <w:p w14:paraId="5556803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691</w:t>
            </w:r>
          </w:p>
        </w:tc>
        <w:tc>
          <w:tcPr>
            <w:tcW w:w="0" w:type="auto"/>
            <w:tcBorders>
              <w:bottom w:val="single" w:sz="8" w:space="0" w:color="000000"/>
            </w:tcBorders>
            <w:shd w:val="clear" w:color="auto" w:fill="auto"/>
            <w:vAlign w:val="bottom"/>
          </w:tcPr>
          <w:p w14:paraId="5556803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03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443</w:t>
            </w:r>
          </w:p>
        </w:tc>
        <w:tc>
          <w:tcPr>
            <w:tcW w:w="0" w:type="auto"/>
            <w:tcBorders>
              <w:bottom w:val="single" w:sz="8" w:space="0" w:color="000000"/>
            </w:tcBorders>
            <w:shd w:val="clear" w:color="auto" w:fill="auto"/>
            <w:vAlign w:val="bottom"/>
          </w:tcPr>
          <w:p w14:paraId="5556803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03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336</w:t>
            </w:r>
          </w:p>
        </w:tc>
        <w:tc>
          <w:tcPr>
            <w:tcW w:w="0" w:type="auto"/>
            <w:shd w:val="clear" w:color="auto" w:fill="auto"/>
            <w:vAlign w:val="bottom"/>
          </w:tcPr>
          <w:p w14:paraId="5556804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04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56</w:t>
            </w:r>
          </w:p>
        </w:tc>
        <w:tc>
          <w:tcPr>
            <w:tcW w:w="0" w:type="auto"/>
            <w:shd w:val="clear" w:color="auto" w:fill="auto"/>
            <w:vAlign w:val="bottom"/>
          </w:tcPr>
          <w:p w14:paraId="5556804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04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w:t>
            </w:r>
          </w:p>
        </w:tc>
        <w:tc>
          <w:tcPr>
            <w:tcW w:w="0" w:type="auto"/>
            <w:shd w:val="clear" w:color="auto" w:fill="auto"/>
            <w:vAlign w:val="bottom"/>
          </w:tcPr>
          <w:p w14:paraId="55568046" w14:textId="77777777" w:rsidR="00F925DD" w:rsidRDefault="00F925DD">
            <w:pPr>
              <w:textAlignment w:val="bottom"/>
              <w:rPr>
                <w:rFonts w:ascii="Times New Roman" w:hAnsi="Times New Roman"/>
                <w:sz w:val="20"/>
                <w:szCs w:val="20"/>
              </w:rPr>
            </w:pPr>
          </w:p>
        </w:tc>
      </w:tr>
      <w:tr w:rsidR="00F925DD" w14:paraId="55568057" w14:textId="77777777">
        <w:tc>
          <w:tcPr>
            <w:tcW w:w="0" w:type="auto"/>
            <w:shd w:val="clear" w:color="auto" w:fill="CCEEFF"/>
            <w:tcMar>
              <w:top w:w="40" w:type="dxa"/>
              <w:left w:w="40" w:type="dxa"/>
              <w:bottom w:w="40" w:type="dxa"/>
              <w:right w:w="40" w:type="dxa"/>
            </w:tcMar>
            <w:vAlign w:val="bottom"/>
          </w:tcPr>
          <w:p w14:paraId="55568048"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fee revenue</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5556804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7,201</w:t>
            </w:r>
          </w:p>
        </w:tc>
        <w:tc>
          <w:tcPr>
            <w:tcW w:w="0" w:type="auto"/>
            <w:shd w:val="clear" w:color="auto" w:fill="CCEEFF"/>
            <w:vAlign w:val="bottom"/>
          </w:tcPr>
          <w:p w14:paraId="5556804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04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7,486</w:t>
            </w:r>
          </w:p>
        </w:tc>
        <w:tc>
          <w:tcPr>
            <w:tcW w:w="0" w:type="auto"/>
            <w:shd w:val="clear" w:color="auto" w:fill="CCEEFF"/>
            <w:vAlign w:val="bottom"/>
          </w:tcPr>
          <w:p w14:paraId="5556804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04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7,306</w:t>
            </w:r>
          </w:p>
        </w:tc>
        <w:tc>
          <w:tcPr>
            <w:tcW w:w="0" w:type="auto"/>
            <w:tcBorders>
              <w:top w:val="single" w:sz="8" w:space="0" w:color="000000"/>
            </w:tcBorders>
            <w:shd w:val="clear" w:color="auto" w:fill="CCEEFF"/>
            <w:vAlign w:val="bottom"/>
          </w:tcPr>
          <w:p w14:paraId="5556805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5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CCEEFF"/>
            <w:tcMar>
              <w:top w:w="40" w:type="dxa"/>
              <w:bottom w:w="40" w:type="dxa"/>
              <w:right w:w="40" w:type="dxa"/>
            </w:tcMar>
            <w:vAlign w:val="bottom"/>
          </w:tcPr>
          <w:p w14:paraId="5556805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80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5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vAlign w:val="bottom"/>
          </w:tcPr>
          <w:p w14:paraId="55568056" w14:textId="77777777" w:rsidR="00F925DD" w:rsidRDefault="00F925DD">
            <w:pPr>
              <w:textAlignment w:val="bottom"/>
              <w:rPr>
                <w:rFonts w:ascii="Times New Roman" w:hAnsi="Times New Roman"/>
                <w:sz w:val="20"/>
                <w:szCs w:val="20"/>
              </w:rPr>
            </w:pPr>
          </w:p>
        </w:tc>
      </w:tr>
      <w:tr w:rsidR="00F925DD" w14:paraId="55568067" w14:textId="77777777">
        <w:tc>
          <w:tcPr>
            <w:tcW w:w="0" w:type="auto"/>
            <w:shd w:val="clear" w:color="auto" w:fill="auto"/>
            <w:tcMar>
              <w:top w:w="40" w:type="dxa"/>
              <w:left w:w="40" w:type="dxa"/>
              <w:bottom w:w="40" w:type="dxa"/>
              <w:right w:w="40" w:type="dxa"/>
            </w:tcMar>
            <w:vAlign w:val="bottom"/>
          </w:tcPr>
          <w:p w14:paraId="55568058"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shd w:val="clear" w:color="auto" w:fill="auto"/>
            <w:tcMar>
              <w:top w:w="40" w:type="dxa"/>
              <w:left w:w="40" w:type="dxa"/>
              <w:bottom w:w="40" w:type="dxa"/>
            </w:tcMar>
            <w:vAlign w:val="bottom"/>
          </w:tcPr>
          <w:p w14:paraId="5556805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2,590</w:t>
            </w:r>
          </w:p>
        </w:tc>
        <w:tc>
          <w:tcPr>
            <w:tcW w:w="0" w:type="auto"/>
            <w:shd w:val="clear" w:color="auto" w:fill="auto"/>
            <w:vAlign w:val="bottom"/>
          </w:tcPr>
          <w:p w14:paraId="5556805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05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2,691</w:t>
            </w:r>
          </w:p>
        </w:tc>
        <w:tc>
          <w:tcPr>
            <w:tcW w:w="0" w:type="auto"/>
            <w:shd w:val="clear" w:color="auto" w:fill="auto"/>
            <w:vAlign w:val="bottom"/>
          </w:tcPr>
          <w:p w14:paraId="5556805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05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2,309</w:t>
            </w:r>
          </w:p>
        </w:tc>
        <w:tc>
          <w:tcPr>
            <w:tcW w:w="0" w:type="auto"/>
            <w:shd w:val="clear" w:color="auto" w:fill="auto"/>
            <w:vAlign w:val="bottom"/>
          </w:tcPr>
          <w:p w14:paraId="555680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06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tcMar>
              <w:top w:w="40" w:type="dxa"/>
              <w:bottom w:w="40" w:type="dxa"/>
              <w:right w:w="40" w:type="dxa"/>
            </w:tcMar>
            <w:vAlign w:val="bottom"/>
          </w:tcPr>
          <w:p w14:paraId="5556806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80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06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w:t>
            </w:r>
          </w:p>
        </w:tc>
        <w:tc>
          <w:tcPr>
            <w:tcW w:w="0" w:type="auto"/>
            <w:shd w:val="clear" w:color="auto" w:fill="auto"/>
            <w:vAlign w:val="bottom"/>
          </w:tcPr>
          <w:p w14:paraId="55568066" w14:textId="77777777" w:rsidR="00F925DD" w:rsidRDefault="00F925DD">
            <w:pPr>
              <w:textAlignment w:val="bottom"/>
              <w:rPr>
                <w:rFonts w:ascii="Times New Roman" w:hAnsi="Times New Roman"/>
                <w:sz w:val="20"/>
                <w:szCs w:val="20"/>
              </w:rPr>
            </w:pPr>
          </w:p>
        </w:tc>
      </w:tr>
      <w:tr w:rsidR="00F925DD" w14:paraId="55568077" w14:textId="77777777">
        <w:tc>
          <w:tcPr>
            <w:tcW w:w="0" w:type="auto"/>
            <w:shd w:val="clear" w:color="auto" w:fill="CCEEFF"/>
            <w:tcMar>
              <w:top w:w="40" w:type="dxa"/>
              <w:left w:w="40" w:type="dxa"/>
              <w:bottom w:w="40" w:type="dxa"/>
              <w:right w:w="40" w:type="dxa"/>
            </w:tcMar>
            <w:vAlign w:val="bottom"/>
          </w:tcPr>
          <w:p w14:paraId="55568068"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other income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06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w:t>
            </w:r>
          </w:p>
        </w:tc>
        <w:tc>
          <w:tcPr>
            <w:tcW w:w="0" w:type="auto"/>
            <w:tcBorders>
              <w:bottom w:val="single" w:sz="8" w:space="0" w:color="000000"/>
            </w:tcBorders>
            <w:shd w:val="clear" w:color="auto" w:fill="CCEEFF"/>
            <w:vAlign w:val="bottom"/>
          </w:tcPr>
          <w:p w14:paraId="5556806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06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tcBorders>
              <w:bottom w:val="single" w:sz="8" w:space="0" w:color="000000"/>
            </w:tcBorders>
            <w:shd w:val="clear" w:color="auto" w:fill="CCEEFF"/>
            <w:vAlign w:val="bottom"/>
          </w:tcPr>
          <w:p w14:paraId="5556806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06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w:t>
            </w:r>
          </w:p>
        </w:tc>
        <w:tc>
          <w:tcPr>
            <w:tcW w:w="0" w:type="auto"/>
            <w:shd w:val="clear" w:color="auto" w:fill="CCEEFF"/>
            <w:tcMar>
              <w:top w:w="40" w:type="dxa"/>
              <w:bottom w:w="40" w:type="dxa"/>
              <w:right w:w="40" w:type="dxa"/>
            </w:tcMar>
            <w:vAlign w:val="bottom"/>
          </w:tcPr>
          <w:p w14:paraId="5556807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80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7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CCEEFF"/>
            <w:vAlign w:val="bottom"/>
          </w:tcPr>
          <w:p w14:paraId="555680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7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nm</w:t>
            </w:r>
          </w:p>
        </w:tc>
        <w:tc>
          <w:tcPr>
            <w:tcW w:w="0" w:type="auto"/>
            <w:shd w:val="clear" w:color="auto" w:fill="CCEEFF"/>
            <w:vAlign w:val="bottom"/>
          </w:tcPr>
          <w:p w14:paraId="55568076" w14:textId="77777777" w:rsidR="00F925DD" w:rsidRDefault="00F925DD">
            <w:pPr>
              <w:textAlignment w:val="bottom"/>
              <w:rPr>
                <w:rFonts w:ascii="Times New Roman" w:hAnsi="Times New Roman"/>
                <w:sz w:val="20"/>
                <w:szCs w:val="20"/>
              </w:rPr>
            </w:pPr>
          </w:p>
        </w:tc>
      </w:tr>
      <w:tr w:rsidR="00F925DD" w14:paraId="55568087" w14:textId="77777777">
        <w:tc>
          <w:tcPr>
            <w:tcW w:w="0" w:type="auto"/>
            <w:shd w:val="clear" w:color="auto" w:fill="auto"/>
            <w:tcMar>
              <w:top w:w="40" w:type="dxa"/>
              <w:left w:w="40" w:type="dxa"/>
              <w:bottom w:w="40" w:type="dxa"/>
              <w:right w:w="40" w:type="dxa"/>
            </w:tcMar>
            <w:vAlign w:val="bottom"/>
          </w:tcPr>
          <w:p w14:paraId="5556807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Total revenue</w:t>
            </w:r>
            <w:r>
              <w:rPr>
                <w:rFonts w:ascii="Arial" w:eastAsia="宋体" w:hAnsi="Arial" w:cs="Arial"/>
                <w:b/>
                <w:bCs/>
                <w:sz w:val="10"/>
                <w:szCs w:val="10"/>
              </w:rPr>
              <w:t>(1)</w:t>
            </w:r>
          </w:p>
        </w:tc>
        <w:tc>
          <w:tcPr>
            <w:tcW w:w="0" w:type="auto"/>
            <w:gridSpan w:val="2"/>
            <w:shd w:val="clear" w:color="auto" w:fill="auto"/>
            <w:tcMar>
              <w:top w:w="40" w:type="dxa"/>
              <w:left w:w="40" w:type="dxa"/>
              <w:bottom w:w="40" w:type="dxa"/>
            </w:tcMar>
            <w:vAlign w:val="bottom"/>
          </w:tcPr>
          <w:p w14:paraId="5556807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9,834</w:t>
            </w:r>
          </w:p>
        </w:tc>
        <w:tc>
          <w:tcPr>
            <w:tcW w:w="0" w:type="auto"/>
            <w:shd w:val="clear" w:color="auto" w:fill="auto"/>
            <w:vAlign w:val="bottom"/>
          </w:tcPr>
          <w:p w14:paraId="555680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07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10,183</w:t>
            </w:r>
          </w:p>
        </w:tc>
        <w:tc>
          <w:tcPr>
            <w:tcW w:w="0" w:type="auto"/>
            <w:shd w:val="clear" w:color="auto" w:fill="auto"/>
            <w:vAlign w:val="bottom"/>
          </w:tcPr>
          <w:p w14:paraId="555680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807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9,576</w:t>
            </w:r>
          </w:p>
        </w:tc>
        <w:tc>
          <w:tcPr>
            <w:tcW w:w="0" w:type="auto"/>
            <w:tcBorders>
              <w:top w:val="single" w:sz="8" w:space="0" w:color="000000"/>
            </w:tcBorders>
            <w:shd w:val="clear" w:color="auto" w:fill="auto"/>
            <w:vAlign w:val="bottom"/>
          </w:tcPr>
          <w:p w14:paraId="555680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08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auto"/>
            <w:tcMar>
              <w:top w:w="40" w:type="dxa"/>
              <w:bottom w:w="40" w:type="dxa"/>
              <w:right w:w="40" w:type="dxa"/>
            </w:tcMar>
            <w:vAlign w:val="bottom"/>
          </w:tcPr>
          <w:p w14:paraId="5556808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80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08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auto"/>
            <w:vAlign w:val="bottom"/>
          </w:tcPr>
          <w:p w14:paraId="55568086" w14:textId="77777777" w:rsidR="00F925DD" w:rsidRDefault="00F925DD">
            <w:pPr>
              <w:textAlignment w:val="bottom"/>
              <w:rPr>
                <w:rFonts w:ascii="Times New Roman" w:hAnsi="Times New Roman"/>
                <w:sz w:val="20"/>
                <w:szCs w:val="20"/>
              </w:rPr>
            </w:pPr>
          </w:p>
        </w:tc>
      </w:tr>
      <w:tr w:rsidR="00F925DD" w14:paraId="55568097" w14:textId="77777777">
        <w:tc>
          <w:tcPr>
            <w:tcW w:w="0" w:type="auto"/>
            <w:shd w:val="clear" w:color="auto" w:fill="CCEEFF"/>
            <w:tcMar>
              <w:top w:w="40" w:type="dxa"/>
              <w:left w:w="40" w:type="dxa"/>
              <w:bottom w:w="40" w:type="dxa"/>
              <w:right w:w="40" w:type="dxa"/>
            </w:tcMar>
            <w:vAlign w:val="bottom"/>
          </w:tcPr>
          <w:p w14:paraId="55568088" w14:textId="77777777" w:rsidR="00F925DD" w:rsidRDefault="00E705D7">
            <w:pPr>
              <w:textAlignment w:val="bottom"/>
              <w:rPr>
                <w:rFonts w:ascii="Times New Roman" w:hAnsi="Times New Roman"/>
                <w:sz w:val="14"/>
                <w:szCs w:val="14"/>
              </w:rPr>
            </w:pPr>
            <w:r>
              <w:rPr>
                <w:rFonts w:ascii="Arial" w:eastAsia="宋体" w:hAnsi="Arial" w:cs="Arial"/>
                <w:sz w:val="14"/>
                <w:szCs w:val="14"/>
              </w:rPr>
              <w:t>Provision for loan losses</w:t>
            </w:r>
          </w:p>
        </w:tc>
        <w:tc>
          <w:tcPr>
            <w:tcW w:w="0" w:type="auto"/>
            <w:gridSpan w:val="2"/>
            <w:shd w:val="clear" w:color="auto" w:fill="CCEEFF"/>
            <w:tcMar>
              <w:top w:w="40" w:type="dxa"/>
              <w:left w:w="40" w:type="dxa"/>
              <w:bottom w:w="40" w:type="dxa"/>
            </w:tcMar>
            <w:vAlign w:val="bottom"/>
          </w:tcPr>
          <w:p w14:paraId="5556808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w:t>
            </w:r>
          </w:p>
        </w:tc>
        <w:tc>
          <w:tcPr>
            <w:tcW w:w="0" w:type="auto"/>
            <w:shd w:val="clear" w:color="auto" w:fill="CCEEFF"/>
            <w:vAlign w:val="bottom"/>
          </w:tcPr>
          <w:p w14:paraId="5556808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08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CCEEFF"/>
            <w:vAlign w:val="bottom"/>
          </w:tcPr>
          <w:p w14:paraId="5556808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08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vAlign w:val="bottom"/>
          </w:tcPr>
          <w:p w14:paraId="5556809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9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w:t>
            </w:r>
          </w:p>
        </w:tc>
        <w:tc>
          <w:tcPr>
            <w:tcW w:w="0" w:type="auto"/>
            <w:shd w:val="clear" w:color="auto" w:fill="CCEEFF"/>
            <w:tcMar>
              <w:top w:w="40" w:type="dxa"/>
              <w:bottom w:w="40" w:type="dxa"/>
              <w:right w:w="40" w:type="dxa"/>
            </w:tcMar>
            <w:vAlign w:val="bottom"/>
          </w:tcPr>
          <w:p w14:paraId="5556809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80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9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650</w:t>
            </w:r>
          </w:p>
        </w:tc>
        <w:tc>
          <w:tcPr>
            <w:tcW w:w="0" w:type="auto"/>
            <w:shd w:val="clear" w:color="auto" w:fill="CCEEFF"/>
            <w:vAlign w:val="bottom"/>
          </w:tcPr>
          <w:p w14:paraId="55568096" w14:textId="77777777" w:rsidR="00F925DD" w:rsidRDefault="00F925DD">
            <w:pPr>
              <w:textAlignment w:val="bottom"/>
              <w:rPr>
                <w:rFonts w:ascii="Times New Roman" w:hAnsi="Times New Roman"/>
                <w:sz w:val="20"/>
                <w:szCs w:val="20"/>
              </w:rPr>
            </w:pPr>
          </w:p>
        </w:tc>
      </w:tr>
      <w:tr w:rsidR="00F925DD" w14:paraId="555680A7" w14:textId="77777777">
        <w:tc>
          <w:tcPr>
            <w:tcW w:w="0" w:type="auto"/>
            <w:shd w:val="clear" w:color="auto" w:fill="auto"/>
            <w:tcMar>
              <w:top w:w="40" w:type="dxa"/>
              <w:left w:w="40" w:type="dxa"/>
              <w:bottom w:w="40" w:type="dxa"/>
              <w:right w:w="40" w:type="dxa"/>
            </w:tcMar>
            <w:vAlign w:val="bottom"/>
          </w:tcPr>
          <w:p w14:paraId="5556809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Total expenses</w:t>
            </w:r>
            <w:r>
              <w:rPr>
                <w:rFonts w:ascii="Arial" w:eastAsia="宋体" w:hAnsi="Arial" w:cs="Arial"/>
                <w:b/>
                <w:bCs/>
                <w:sz w:val="10"/>
                <w:szCs w:val="10"/>
              </w:rPr>
              <w:t>(1)</w:t>
            </w:r>
          </w:p>
        </w:tc>
        <w:tc>
          <w:tcPr>
            <w:tcW w:w="0" w:type="auto"/>
            <w:gridSpan w:val="2"/>
            <w:tcBorders>
              <w:bottom w:val="single" w:sz="8" w:space="0" w:color="000000"/>
            </w:tcBorders>
            <w:shd w:val="clear" w:color="auto" w:fill="auto"/>
            <w:tcMar>
              <w:top w:w="40" w:type="dxa"/>
              <w:left w:w="40" w:type="dxa"/>
              <w:bottom w:w="40" w:type="dxa"/>
            </w:tcMar>
            <w:vAlign w:val="bottom"/>
          </w:tcPr>
          <w:p w14:paraId="5556809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7,140</w:t>
            </w:r>
          </w:p>
        </w:tc>
        <w:tc>
          <w:tcPr>
            <w:tcW w:w="0" w:type="auto"/>
            <w:tcBorders>
              <w:bottom w:val="single" w:sz="8" w:space="0" w:color="000000"/>
            </w:tcBorders>
            <w:shd w:val="clear" w:color="auto" w:fill="auto"/>
            <w:vAlign w:val="bottom"/>
          </w:tcPr>
          <w:p w14:paraId="5556809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09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7,081</w:t>
            </w:r>
          </w:p>
        </w:tc>
        <w:tc>
          <w:tcPr>
            <w:tcW w:w="0" w:type="auto"/>
            <w:tcBorders>
              <w:bottom w:val="single" w:sz="8" w:space="0" w:color="000000"/>
            </w:tcBorders>
            <w:shd w:val="clear" w:color="auto" w:fill="auto"/>
            <w:vAlign w:val="bottom"/>
          </w:tcPr>
          <w:p w14:paraId="5556809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09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6,717</w:t>
            </w:r>
          </w:p>
        </w:tc>
        <w:tc>
          <w:tcPr>
            <w:tcW w:w="0" w:type="auto"/>
            <w:shd w:val="clear" w:color="auto" w:fill="auto"/>
            <w:vAlign w:val="bottom"/>
          </w:tcPr>
          <w:p w14:paraId="555680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0A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vAlign w:val="bottom"/>
          </w:tcPr>
          <w:p w14:paraId="555680A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0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0A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vAlign w:val="bottom"/>
          </w:tcPr>
          <w:p w14:paraId="555680A6" w14:textId="77777777" w:rsidR="00F925DD" w:rsidRDefault="00F925DD">
            <w:pPr>
              <w:textAlignment w:val="bottom"/>
              <w:rPr>
                <w:rFonts w:ascii="Times New Roman" w:hAnsi="Times New Roman"/>
                <w:sz w:val="20"/>
                <w:szCs w:val="20"/>
              </w:rPr>
            </w:pPr>
          </w:p>
        </w:tc>
      </w:tr>
      <w:tr w:rsidR="00F925DD" w14:paraId="555680BA" w14:textId="77777777">
        <w:tc>
          <w:tcPr>
            <w:tcW w:w="0" w:type="auto"/>
            <w:shd w:val="clear" w:color="auto" w:fill="CCEEFF"/>
            <w:tcMar>
              <w:top w:w="40" w:type="dxa"/>
              <w:left w:w="40" w:type="dxa"/>
              <w:bottom w:w="40" w:type="dxa"/>
              <w:right w:w="40" w:type="dxa"/>
            </w:tcMar>
            <w:vAlign w:val="bottom"/>
          </w:tcPr>
          <w:p w14:paraId="555680A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Income before income tax expense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0A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0A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2,684</w:t>
            </w:r>
          </w:p>
        </w:tc>
        <w:tc>
          <w:tcPr>
            <w:tcW w:w="0" w:type="auto"/>
            <w:tcBorders>
              <w:top w:val="single" w:sz="8" w:space="0" w:color="000000"/>
              <w:bottom w:val="double" w:sz="6" w:space="0" w:color="000000"/>
            </w:tcBorders>
            <w:shd w:val="clear" w:color="auto" w:fill="CCEEFF"/>
            <w:vAlign w:val="bottom"/>
          </w:tcPr>
          <w:p w14:paraId="555680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0A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0A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3,087</w:t>
            </w:r>
          </w:p>
        </w:tc>
        <w:tc>
          <w:tcPr>
            <w:tcW w:w="0" w:type="auto"/>
            <w:tcBorders>
              <w:top w:val="single" w:sz="8" w:space="0" w:color="000000"/>
              <w:bottom w:val="double" w:sz="6" w:space="0" w:color="000000"/>
            </w:tcBorders>
            <w:shd w:val="clear" w:color="auto" w:fill="CCEEFF"/>
            <w:vAlign w:val="bottom"/>
          </w:tcPr>
          <w:p w14:paraId="555680A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0B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0B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2,857</w:t>
            </w:r>
          </w:p>
        </w:tc>
        <w:tc>
          <w:tcPr>
            <w:tcW w:w="0" w:type="auto"/>
            <w:tcBorders>
              <w:top w:val="single" w:sz="8" w:space="0" w:color="000000"/>
              <w:bottom w:val="double" w:sz="6" w:space="0" w:color="000000"/>
            </w:tcBorders>
            <w:shd w:val="clear" w:color="auto" w:fill="CCEEFF"/>
            <w:vAlign w:val="bottom"/>
          </w:tcPr>
          <w:p w14:paraId="555680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B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w:t>
            </w:r>
          </w:p>
        </w:tc>
        <w:tc>
          <w:tcPr>
            <w:tcW w:w="0" w:type="auto"/>
            <w:shd w:val="clear" w:color="auto" w:fill="CCEEFF"/>
            <w:tcMar>
              <w:top w:w="40" w:type="dxa"/>
              <w:bottom w:w="40" w:type="dxa"/>
              <w:right w:w="40" w:type="dxa"/>
            </w:tcMar>
            <w:vAlign w:val="bottom"/>
          </w:tcPr>
          <w:p w14:paraId="555680B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80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B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shd w:val="clear" w:color="auto" w:fill="CCEEFF"/>
            <w:vAlign w:val="bottom"/>
          </w:tcPr>
          <w:p w14:paraId="555680B9" w14:textId="77777777" w:rsidR="00F925DD" w:rsidRDefault="00F925DD">
            <w:pPr>
              <w:textAlignment w:val="bottom"/>
              <w:rPr>
                <w:rFonts w:ascii="Times New Roman" w:hAnsi="Times New Roman"/>
                <w:sz w:val="20"/>
                <w:szCs w:val="20"/>
              </w:rPr>
            </w:pPr>
          </w:p>
        </w:tc>
      </w:tr>
      <w:tr w:rsidR="00F925DD" w14:paraId="555680C8" w14:textId="77777777">
        <w:tc>
          <w:tcPr>
            <w:tcW w:w="0" w:type="auto"/>
            <w:shd w:val="clear" w:color="auto" w:fill="auto"/>
            <w:tcMar>
              <w:top w:w="40" w:type="dxa"/>
              <w:left w:w="40" w:type="dxa"/>
              <w:bottom w:w="40" w:type="dxa"/>
              <w:right w:w="40" w:type="dxa"/>
            </w:tcMar>
            <w:vAlign w:val="bottom"/>
          </w:tcPr>
          <w:p w14:paraId="555680BB" w14:textId="77777777" w:rsidR="00F925DD" w:rsidRDefault="00E705D7">
            <w:pPr>
              <w:textAlignment w:val="bottom"/>
              <w:rPr>
                <w:rFonts w:ascii="Times New Roman" w:hAnsi="Times New Roman"/>
                <w:sz w:val="14"/>
                <w:szCs w:val="14"/>
              </w:rPr>
            </w:pPr>
            <w:r>
              <w:rPr>
                <w:rFonts w:ascii="Arial" w:eastAsia="宋体" w:hAnsi="Arial" w:cs="Arial"/>
                <w:sz w:val="14"/>
                <w:szCs w:val="14"/>
              </w:rPr>
              <w:t>Pre-tax margin</w:t>
            </w:r>
          </w:p>
        </w:tc>
        <w:tc>
          <w:tcPr>
            <w:tcW w:w="0" w:type="auto"/>
            <w:gridSpan w:val="2"/>
            <w:tcBorders>
              <w:top w:val="double" w:sz="6" w:space="0" w:color="000000"/>
            </w:tcBorders>
            <w:shd w:val="clear" w:color="auto" w:fill="auto"/>
            <w:tcMar>
              <w:top w:w="40" w:type="dxa"/>
              <w:left w:w="40" w:type="dxa"/>
              <w:bottom w:w="40" w:type="dxa"/>
            </w:tcMar>
            <w:vAlign w:val="bottom"/>
          </w:tcPr>
          <w:p w14:paraId="555680B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27</w:t>
            </w:r>
          </w:p>
        </w:tc>
        <w:tc>
          <w:tcPr>
            <w:tcW w:w="0" w:type="auto"/>
            <w:tcBorders>
              <w:top w:val="double" w:sz="6" w:space="0" w:color="000000"/>
            </w:tcBorders>
            <w:shd w:val="clear" w:color="auto" w:fill="auto"/>
            <w:tcMar>
              <w:top w:w="40" w:type="dxa"/>
              <w:bottom w:w="40" w:type="dxa"/>
              <w:right w:w="40" w:type="dxa"/>
            </w:tcMar>
            <w:vAlign w:val="bottom"/>
          </w:tcPr>
          <w:p w14:paraId="555680B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80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555680B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w:t>
            </w:r>
          </w:p>
        </w:tc>
        <w:tc>
          <w:tcPr>
            <w:tcW w:w="0" w:type="auto"/>
            <w:tcBorders>
              <w:top w:val="double" w:sz="6" w:space="0" w:color="000000"/>
            </w:tcBorders>
            <w:shd w:val="clear" w:color="auto" w:fill="auto"/>
            <w:tcMar>
              <w:top w:w="40" w:type="dxa"/>
              <w:bottom w:w="40" w:type="dxa"/>
              <w:right w:w="40" w:type="dxa"/>
            </w:tcMar>
            <w:vAlign w:val="bottom"/>
          </w:tcPr>
          <w:p w14:paraId="555680C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80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0C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w:t>
            </w:r>
          </w:p>
        </w:tc>
        <w:tc>
          <w:tcPr>
            <w:tcW w:w="0" w:type="auto"/>
            <w:shd w:val="clear" w:color="auto" w:fill="auto"/>
            <w:tcMar>
              <w:top w:w="40" w:type="dxa"/>
              <w:bottom w:w="40" w:type="dxa"/>
              <w:right w:w="40" w:type="dxa"/>
            </w:tcMar>
            <w:vAlign w:val="bottom"/>
          </w:tcPr>
          <w:p w14:paraId="555680C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80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0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0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0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0D9" w14:textId="77777777">
        <w:tc>
          <w:tcPr>
            <w:tcW w:w="0" w:type="auto"/>
            <w:shd w:val="clear" w:color="auto" w:fill="CCEEFF"/>
            <w:tcMar>
              <w:top w:w="40" w:type="dxa"/>
              <w:left w:w="40" w:type="dxa"/>
              <w:bottom w:w="40" w:type="dxa"/>
              <w:right w:w="40" w:type="dxa"/>
            </w:tcMar>
            <w:vAlign w:val="bottom"/>
          </w:tcPr>
          <w:p w14:paraId="555680C9" w14:textId="77777777" w:rsidR="00F925DD" w:rsidRDefault="00E705D7">
            <w:pPr>
              <w:textAlignment w:val="bottom"/>
              <w:rPr>
                <w:rFonts w:ascii="Times New Roman" w:hAnsi="Times New Roman"/>
                <w:sz w:val="13"/>
                <w:szCs w:val="13"/>
              </w:rPr>
            </w:pPr>
            <w:r>
              <w:rPr>
                <w:rFonts w:ascii="Arial" w:eastAsia="宋体" w:hAnsi="Arial" w:cs="Arial"/>
                <w:sz w:val="13"/>
                <w:szCs w:val="13"/>
              </w:rPr>
              <w:t>Average assets (in billions)</w:t>
            </w:r>
          </w:p>
        </w:tc>
        <w:tc>
          <w:tcPr>
            <w:tcW w:w="0" w:type="auto"/>
            <w:shd w:val="clear" w:color="auto" w:fill="CCEEFF"/>
            <w:tcMar>
              <w:top w:w="40" w:type="dxa"/>
              <w:left w:w="40" w:type="dxa"/>
              <w:bottom w:w="40" w:type="dxa"/>
            </w:tcMar>
            <w:vAlign w:val="bottom"/>
          </w:tcPr>
          <w:p w14:paraId="555680CA"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555680CB"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220.3</w:t>
            </w:r>
          </w:p>
        </w:tc>
        <w:tc>
          <w:tcPr>
            <w:tcW w:w="0" w:type="auto"/>
            <w:shd w:val="clear" w:color="auto" w:fill="CCEEFF"/>
            <w:vAlign w:val="bottom"/>
          </w:tcPr>
          <w:p w14:paraId="555680C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CE"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555680CF"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220.2</w:t>
            </w:r>
          </w:p>
        </w:tc>
        <w:tc>
          <w:tcPr>
            <w:tcW w:w="0" w:type="auto"/>
            <w:shd w:val="clear" w:color="auto" w:fill="CCEEFF"/>
            <w:vAlign w:val="bottom"/>
          </w:tcPr>
          <w:p w14:paraId="555680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0D2"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555680D3"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214.0</w:t>
            </w:r>
          </w:p>
        </w:tc>
        <w:tc>
          <w:tcPr>
            <w:tcW w:w="0" w:type="auto"/>
            <w:shd w:val="clear" w:color="auto" w:fill="CCEEFF"/>
            <w:vAlign w:val="bottom"/>
          </w:tcPr>
          <w:p w14:paraId="555680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0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0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0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0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0DA"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399"/>
        <w:gridCol w:w="581"/>
      </w:tblGrid>
      <w:tr w:rsidR="00F925DD" w14:paraId="555680DC" w14:textId="77777777">
        <w:tc>
          <w:tcPr>
            <w:tcW w:w="0" w:type="auto"/>
            <w:gridSpan w:val="3"/>
            <w:shd w:val="clear" w:color="auto" w:fill="auto"/>
            <w:vAlign w:val="center"/>
          </w:tcPr>
          <w:p w14:paraId="555680DB" w14:textId="77777777" w:rsidR="00F925DD" w:rsidRDefault="00F925DD">
            <w:pPr>
              <w:rPr>
                <w:rFonts w:ascii="Times New Roman" w:hAnsi="Times New Roman"/>
                <w:sz w:val="20"/>
                <w:szCs w:val="20"/>
              </w:rPr>
            </w:pPr>
          </w:p>
        </w:tc>
      </w:tr>
      <w:tr w:rsidR="00F925DD" w14:paraId="555680E0" w14:textId="77777777">
        <w:tc>
          <w:tcPr>
            <w:tcW w:w="1400" w:type="pct"/>
            <w:shd w:val="clear" w:color="auto" w:fill="auto"/>
            <w:vAlign w:val="center"/>
          </w:tcPr>
          <w:p w14:paraId="555680DD" w14:textId="77777777" w:rsidR="00F925DD" w:rsidRDefault="00F925DD">
            <w:pPr>
              <w:rPr>
                <w:rFonts w:ascii="Times New Roman" w:hAnsi="Times New Roman"/>
                <w:sz w:val="20"/>
                <w:szCs w:val="20"/>
              </w:rPr>
            </w:pPr>
          </w:p>
        </w:tc>
        <w:tc>
          <w:tcPr>
            <w:tcW w:w="3250" w:type="pct"/>
            <w:shd w:val="clear" w:color="auto" w:fill="auto"/>
            <w:vAlign w:val="center"/>
          </w:tcPr>
          <w:p w14:paraId="555680DE" w14:textId="77777777" w:rsidR="00F925DD" w:rsidRDefault="00F925DD">
            <w:pPr>
              <w:rPr>
                <w:rFonts w:ascii="Times New Roman" w:hAnsi="Times New Roman"/>
                <w:sz w:val="20"/>
                <w:szCs w:val="20"/>
              </w:rPr>
            </w:pPr>
          </w:p>
        </w:tc>
        <w:tc>
          <w:tcPr>
            <w:tcW w:w="350" w:type="pct"/>
            <w:shd w:val="clear" w:color="auto" w:fill="auto"/>
            <w:vAlign w:val="center"/>
          </w:tcPr>
          <w:p w14:paraId="555680DF" w14:textId="77777777" w:rsidR="00F925DD" w:rsidRDefault="00F925DD">
            <w:pPr>
              <w:rPr>
                <w:rFonts w:ascii="Times New Roman" w:hAnsi="Times New Roman"/>
                <w:sz w:val="20"/>
                <w:szCs w:val="20"/>
              </w:rPr>
            </w:pPr>
          </w:p>
        </w:tc>
      </w:tr>
      <w:tr w:rsidR="00F925DD" w14:paraId="555680E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0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0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0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0E5"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(1)</w:t>
      </w:r>
      <w:r>
        <w:rPr>
          <w:rFonts w:ascii="Arial" w:eastAsia="宋体" w:hAnsi="Arial" w:cs="Arial"/>
          <w:sz w:val="12"/>
          <w:szCs w:val="12"/>
        </w:rPr>
        <w:t xml:space="preserve"> CRD contributed approximately $385 million and $201 million in total revenue and total expenses, respectively, in 2019, including approximately $370 million in software and processing fees and $15 million in brokerage and other trading services within for</w:t>
      </w:r>
      <w:r>
        <w:rPr>
          <w:rFonts w:ascii="Arial" w:eastAsia="宋体" w:hAnsi="Arial" w:cs="Arial"/>
          <w:sz w:val="12"/>
          <w:szCs w:val="12"/>
        </w:rPr>
        <w:t>eign exchange trading services, and expenses contributed approximately $148 million in compensation and employee benefits and $53 million in other expense lines. In addition, CRD-related expenses in 2019 include $65 million in amortization of other intangi</w:t>
      </w:r>
      <w:r>
        <w:rPr>
          <w:rFonts w:ascii="Arial" w:eastAsia="宋体" w:hAnsi="Arial" w:cs="Arial"/>
          <w:sz w:val="12"/>
          <w:szCs w:val="12"/>
        </w:rPr>
        <w:t>ble assets.</w:t>
      </w:r>
    </w:p>
    <w:p w14:paraId="555680E6" w14:textId="77777777" w:rsidR="00F925DD" w:rsidRDefault="00E705D7">
      <w:pPr>
        <w:spacing w:line="288" w:lineRule="auto"/>
        <w:jc w:val="both"/>
        <w:rPr>
          <w:rFonts w:ascii="Times New Roman" w:hAnsi="Times New Roman"/>
          <w:sz w:val="12"/>
          <w:szCs w:val="12"/>
        </w:rPr>
      </w:pPr>
      <w:r>
        <w:rPr>
          <w:rFonts w:ascii="Arial" w:eastAsia="宋体" w:hAnsi="Arial" w:cs="Arial"/>
          <w:sz w:val="12"/>
          <w:szCs w:val="12"/>
        </w:rPr>
        <w:t>CRD contributed approximately $119 million and $39 million in total revenue and total expenses, respectively, in 2018. Revenue includes approximately $114 million in software and processing fees and $5 million in brokerage and other trading ser</w:t>
      </w:r>
      <w:r>
        <w:rPr>
          <w:rFonts w:ascii="Arial" w:eastAsia="宋体" w:hAnsi="Arial" w:cs="Arial"/>
          <w:sz w:val="12"/>
          <w:szCs w:val="12"/>
        </w:rPr>
        <w:t>vices within foreign exchange trading services, and expenses include approximately $28 million in compensation and employee benefits and $11 million in other expense lines. In addition, CRD-related expenses in 2018 include $18 million in amortization of ot</w:t>
      </w:r>
      <w:r>
        <w:rPr>
          <w:rFonts w:ascii="Arial" w:eastAsia="宋体" w:hAnsi="Arial" w:cs="Arial"/>
          <w:sz w:val="12"/>
          <w:szCs w:val="12"/>
        </w:rPr>
        <w:t>her intangible assets.</w:t>
      </w:r>
    </w:p>
    <w:p w14:paraId="555680E7" w14:textId="77777777" w:rsidR="00F925DD" w:rsidRDefault="00E705D7">
      <w:pPr>
        <w:spacing w:line="288" w:lineRule="auto"/>
        <w:rPr>
          <w:rFonts w:ascii="Times New Roman" w:hAnsi="Times New Roman"/>
          <w:sz w:val="12"/>
          <w:szCs w:val="12"/>
        </w:rPr>
      </w:pPr>
      <w:r>
        <w:rPr>
          <w:rFonts w:ascii="Arial" w:eastAsia="宋体" w:hAnsi="Arial" w:cs="Arial"/>
          <w:sz w:val="8"/>
          <w:szCs w:val="8"/>
        </w:rPr>
        <w:t>nm</w:t>
      </w:r>
      <w:r>
        <w:rPr>
          <w:rFonts w:ascii="Arial" w:eastAsia="宋体" w:hAnsi="Arial" w:cs="Arial"/>
          <w:sz w:val="12"/>
          <w:szCs w:val="12"/>
        </w:rPr>
        <w:t xml:space="preserve"> Not meaningful</w:t>
      </w:r>
    </w:p>
    <w:p w14:paraId="555680E8"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Servicing Fees</w:t>
      </w:r>
    </w:p>
    <w:p w14:paraId="555680E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Servicing fees, as presented in Table 10: Investment Servicing Line of Business Results, decreased 7% in 2019 compared to 2018 primarily due to elevated fee pressure and lower client activity and </w:t>
      </w:r>
      <w:r>
        <w:rPr>
          <w:rFonts w:ascii="Arial" w:eastAsia="宋体" w:hAnsi="Arial" w:cs="Arial"/>
          <w:sz w:val="20"/>
          <w:szCs w:val="20"/>
        </w:rPr>
        <w:t>flows. FX rates negatively impacted servicing fees by 1% in 2019 and positively impacted servicing fees by 1% in 2018.</w:t>
      </w:r>
    </w:p>
    <w:p w14:paraId="555680E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Servicing fees generated outside the U.S. were approximately 47% of total servicing fees in both 2019 and 2018 compared to approximately </w:t>
      </w:r>
      <w:r>
        <w:rPr>
          <w:rFonts w:ascii="Arial" w:eastAsia="宋体" w:hAnsi="Arial" w:cs="Arial"/>
          <w:sz w:val="20"/>
          <w:szCs w:val="20"/>
        </w:rPr>
        <w:t>45% in 2017.</w:t>
      </w:r>
    </w:p>
    <w:tbl>
      <w:tblPr>
        <w:tblW w:w="5000" w:type="pct"/>
        <w:tblCellMar>
          <w:left w:w="0" w:type="dxa"/>
          <w:right w:w="0" w:type="dxa"/>
        </w:tblCellMar>
        <w:tblLook w:val="04A0" w:firstRow="1" w:lastRow="0" w:firstColumn="1" w:lastColumn="0" w:noHBand="0" w:noVBand="1"/>
      </w:tblPr>
      <w:tblGrid>
        <w:gridCol w:w="1687"/>
        <w:gridCol w:w="119"/>
        <w:gridCol w:w="1189"/>
        <w:gridCol w:w="44"/>
        <w:gridCol w:w="130"/>
        <w:gridCol w:w="119"/>
        <w:gridCol w:w="1172"/>
        <w:gridCol w:w="44"/>
        <w:gridCol w:w="130"/>
        <w:gridCol w:w="119"/>
        <w:gridCol w:w="1173"/>
        <w:gridCol w:w="44"/>
        <w:gridCol w:w="130"/>
        <w:gridCol w:w="841"/>
        <w:gridCol w:w="165"/>
        <w:gridCol w:w="130"/>
        <w:gridCol w:w="858"/>
        <w:gridCol w:w="212"/>
      </w:tblGrid>
      <w:tr w:rsidR="00F925DD" w14:paraId="555680EC" w14:textId="77777777">
        <w:tc>
          <w:tcPr>
            <w:tcW w:w="0" w:type="auto"/>
            <w:gridSpan w:val="18"/>
            <w:shd w:val="clear" w:color="auto" w:fill="auto"/>
            <w:vAlign w:val="center"/>
          </w:tcPr>
          <w:p w14:paraId="555680EB" w14:textId="77777777" w:rsidR="00F925DD" w:rsidRDefault="00F925DD">
            <w:pPr>
              <w:rPr>
                <w:rFonts w:ascii="Times New Roman" w:hAnsi="Times New Roman"/>
                <w:sz w:val="20"/>
                <w:szCs w:val="20"/>
              </w:rPr>
            </w:pPr>
          </w:p>
        </w:tc>
      </w:tr>
      <w:tr w:rsidR="00F925DD" w14:paraId="555680FF" w14:textId="77777777">
        <w:tc>
          <w:tcPr>
            <w:tcW w:w="1050" w:type="pct"/>
            <w:shd w:val="clear" w:color="auto" w:fill="auto"/>
            <w:vAlign w:val="center"/>
          </w:tcPr>
          <w:p w14:paraId="555680ED" w14:textId="77777777" w:rsidR="00F925DD" w:rsidRDefault="00F925DD">
            <w:pPr>
              <w:rPr>
                <w:rFonts w:ascii="Times New Roman" w:hAnsi="Times New Roman"/>
                <w:sz w:val="20"/>
                <w:szCs w:val="20"/>
              </w:rPr>
            </w:pPr>
          </w:p>
        </w:tc>
        <w:tc>
          <w:tcPr>
            <w:tcW w:w="50" w:type="pct"/>
            <w:shd w:val="clear" w:color="auto" w:fill="auto"/>
            <w:vAlign w:val="center"/>
          </w:tcPr>
          <w:p w14:paraId="555680EE" w14:textId="77777777" w:rsidR="00F925DD" w:rsidRDefault="00F925DD">
            <w:pPr>
              <w:rPr>
                <w:rFonts w:ascii="Times New Roman" w:hAnsi="Times New Roman"/>
                <w:sz w:val="20"/>
                <w:szCs w:val="20"/>
              </w:rPr>
            </w:pPr>
          </w:p>
        </w:tc>
        <w:tc>
          <w:tcPr>
            <w:tcW w:w="750" w:type="pct"/>
            <w:shd w:val="clear" w:color="auto" w:fill="auto"/>
            <w:vAlign w:val="center"/>
          </w:tcPr>
          <w:p w14:paraId="555680EF" w14:textId="77777777" w:rsidR="00F925DD" w:rsidRDefault="00F925DD">
            <w:pPr>
              <w:rPr>
                <w:rFonts w:ascii="Times New Roman" w:hAnsi="Times New Roman"/>
                <w:sz w:val="20"/>
                <w:szCs w:val="20"/>
              </w:rPr>
            </w:pPr>
          </w:p>
        </w:tc>
        <w:tc>
          <w:tcPr>
            <w:tcW w:w="50" w:type="pct"/>
            <w:shd w:val="clear" w:color="auto" w:fill="auto"/>
            <w:vAlign w:val="center"/>
          </w:tcPr>
          <w:p w14:paraId="555680F0" w14:textId="77777777" w:rsidR="00F925DD" w:rsidRDefault="00F925DD">
            <w:pPr>
              <w:rPr>
                <w:rFonts w:ascii="Times New Roman" w:hAnsi="Times New Roman"/>
                <w:sz w:val="20"/>
                <w:szCs w:val="20"/>
              </w:rPr>
            </w:pPr>
          </w:p>
        </w:tc>
        <w:tc>
          <w:tcPr>
            <w:tcW w:w="50" w:type="pct"/>
            <w:shd w:val="clear" w:color="auto" w:fill="auto"/>
            <w:vAlign w:val="center"/>
          </w:tcPr>
          <w:p w14:paraId="555680F1" w14:textId="77777777" w:rsidR="00F925DD" w:rsidRDefault="00F925DD">
            <w:pPr>
              <w:rPr>
                <w:rFonts w:ascii="Times New Roman" w:hAnsi="Times New Roman"/>
                <w:sz w:val="20"/>
                <w:szCs w:val="20"/>
              </w:rPr>
            </w:pPr>
          </w:p>
        </w:tc>
        <w:tc>
          <w:tcPr>
            <w:tcW w:w="50" w:type="pct"/>
            <w:shd w:val="clear" w:color="auto" w:fill="auto"/>
            <w:vAlign w:val="center"/>
          </w:tcPr>
          <w:p w14:paraId="555680F2" w14:textId="77777777" w:rsidR="00F925DD" w:rsidRDefault="00F925DD">
            <w:pPr>
              <w:rPr>
                <w:rFonts w:ascii="Times New Roman" w:hAnsi="Times New Roman"/>
                <w:sz w:val="20"/>
                <w:szCs w:val="20"/>
              </w:rPr>
            </w:pPr>
          </w:p>
        </w:tc>
        <w:tc>
          <w:tcPr>
            <w:tcW w:w="750" w:type="pct"/>
            <w:shd w:val="clear" w:color="auto" w:fill="auto"/>
            <w:vAlign w:val="center"/>
          </w:tcPr>
          <w:p w14:paraId="555680F3" w14:textId="77777777" w:rsidR="00F925DD" w:rsidRDefault="00F925DD">
            <w:pPr>
              <w:rPr>
                <w:rFonts w:ascii="Times New Roman" w:hAnsi="Times New Roman"/>
                <w:sz w:val="20"/>
                <w:szCs w:val="20"/>
              </w:rPr>
            </w:pPr>
          </w:p>
        </w:tc>
        <w:tc>
          <w:tcPr>
            <w:tcW w:w="50" w:type="pct"/>
            <w:shd w:val="clear" w:color="auto" w:fill="auto"/>
            <w:vAlign w:val="center"/>
          </w:tcPr>
          <w:p w14:paraId="555680F4" w14:textId="77777777" w:rsidR="00F925DD" w:rsidRDefault="00F925DD">
            <w:pPr>
              <w:rPr>
                <w:rFonts w:ascii="Times New Roman" w:hAnsi="Times New Roman"/>
                <w:sz w:val="20"/>
                <w:szCs w:val="20"/>
              </w:rPr>
            </w:pPr>
          </w:p>
        </w:tc>
        <w:tc>
          <w:tcPr>
            <w:tcW w:w="50" w:type="pct"/>
            <w:shd w:val="clear" w:color="auto" w:fill="auto"/>
            <w:vAlign w:val="center"/>
          </w:tcPr>
          <w:p w14:paraId="555680F5" w14:textId="77777777" w:rsidR="00F925DD" w:rsidRDefault="00F925DD">
            <w:pPr>
              <w:rPr>
                <w:rFonts w:ascii="Times New Roman" w:hAnsi="Times New Roman"/>
                <w:sz w:val="20"/>
                <w:szCs w:val="20"/>
              </w:rPr>
            </w:pPr>
          </w:p>
        </w:tc>
        <w:tc>
          <w:tcPr>
            <w:tcW w:w="50" w:type="pct"/>
            <w:shd w:val="clear" w:color="auto" w:fill="auto"/>
            <w:vAlign w:val="center"/>
          </w:tcPr>
          <w:p w14:paraId="555680F6" w14:textId="77777777" w:rsidR="00F925DD" w:rsidRDefault="00F925DD">
            <w:pPr>
              <w:rPr>
                <w:rFonts w:ascii="Times New Roman" w:hAnsi="Times New Roman"/>
                <w:sz w:val="20"/>
                <w:szCs w:val="20"/>
              </w:rPr>
            </w:pPr>
          </w:p>
        </w:tc>
        <w:tc>
          <w:tcPr>
            <w:tcW w:w="750" w:type="pct"/>
            <w:shd w:val="clear" w:color="auto" w:fill="auto"/>
            <w:vAlign w:val="center"/>
          </w:tcPr>
          <w:p w14:paraId="555680F7" w14:textId="77777777" w:rsidR="00F925DD" w:rsidRDefault="00F925DD">
            <w:pPr>
              <w:rPr>
                <w:rFonts w:ascii="Times New Roman" w:hAnsi="Times New Roman"/>
                <w:sz w:val="20"/>
                <w:szCs w:val="20"/>
              </w:rPr>
            </w:pPr>
          </w:p>
        </w:tc>
        <w:tc>
          <w:tcPr>
            <w:tcW w:w="50" w:type="pct"/>
            <w:shd w:val="clear" w:color="auto" w:fill="auto"/>
            <w:vAlign w:val="center"/>
          </w:tcPr>
          <w:p w14:paraId="555680F8" w14:textId="77777777" w:rsidR="00F925DD" w:rsidRDefault="00F925DD">
            <w:pPr>
              <w:rPr>
                <w:rFonts w:ascii="Times New Roman" w:hAnsi="Times New Roman"/>
                <w:sz w:val="20"/>
                <w:szCs w:val="20"/>
              </w:rPr>
            </w:pPr>
          </w:p>
        </w:tc>
        <w:tc>
          <w:tcPr>
            <w:tcW w:w="50" w:type="pct"/>
            <w:shd w:val="clear" w:color="auto" w:fill="auto"/>
            <w:vAlign w:val="center"/>
          </w:tcPr>
          <w:p w14:paraId="555680F9" w14:textId="77777777" w:rsidR="00F925DD" w:rsidRDefault="00F925DD">
            <w:pPr>
              <w:rPr>
                <w:rFonts w:ascii="Times New Roman" w:hAnsi="Times New Roman"/>
                <w:sz w:val="20"/>
                <w:szCs w:val="20"/>
              </w:rPr>
            </w:pPr>
          </w:p>
        </w:tc>
        <w:tc>
          <w:tcPr>
            <w:tcW w:w="550" w:type="pct"/>
            <w:shd w:val="clear" w:color="auto" w:fill="auto"/>
            <w:vAlign w:val="center"/>
          </w:tcPr>
          <w:p w14:paraId="555680FA" w14:textId="77777777" w:rsidR="00F925DD" w:rsidRDefault="00F925DD">
            <w:pPr>
              <w:rPr>
                <w:rFonts w:ascii="Times New Roman" w:hAnsi="Times New Roman"/>
                <w:sz w:val="20"/>
                <w:szCs w:val="20"/>
              </w:rPr>
            </w:pPr>
          </w:p>
        </w:tc>
        <w:tc>
          <w:tcPr>
            <w:tcW w:w="50" w:type="pct"/>
            <w:shd w:val="clear" w:color="auto" w:fill="auto"/>
            <w:vAlign w:val="center"/>
          </w:tcPr>
          <w:p w14:paraId="555680FB" w14:textId="77777777" w:rsidR="00F925DD" w:rsidRDefault="00F925DD">
            <w:pPr>
              <w:rPr>
                <w:rFonts w:ascii="Times New Roman" w:hAnsi="Times New Roman"/>
                <w:sz w:val="20"/>
                <w:szCs w:val="20"/>
              </w:rPr>
            </w:pPr>
          </w:p>
        </w:tc>
        <w:tc>
          <w:tcPr>
            <w:tcW w:w="50" w:type="pct"/>
            <w:shd w:val="clear" w:color="auto" w:fill="auto"/>
            <w:vAlign w:val="center"/>
          </w:tcPr>
          <w:p w14:paraId="555680FC" w14:textId="77777777" w:rsidR="00F925DD" w:rsidRDefault="00F925DD">
            <w:pPr>
              <w:rPr>
                <w:rFonts w:ascii="Times New Roman" w:hAnsi="Times New Roman"/>
                <w:sz w:val="20"/>
                <w:szCs w:val="20"/>
              </w:rPr>
            </w:pPr>
          </w:p>
        </w:tc>
        <w:tc>
          <w:tcPr>
            <w:tcW w:w="550" w:type="pct"/>
            <w:shd w:val="clear" w:color="auto" w:fill="auto"/>
            <w:vAlign w:val="center"/>
          </w:tcPr>
          <w:p w14:paraId="555680FD" w14:textId="77777777" w:rsidR="00F925DD" w:rsidRDefault="00F925DD">
            <w:pPr>
              <w:rPr>
                <w:rFonts w:ascii="Times New Roman" w:hAnsi="Times New Roman"/>
                <w:sz w:val="20"/>
                <w:szCs w:val="20"/>
              </w:rPr>
            </w:pPr>
          </w:p>
        </w:tc>
        <w:tc>
          <w:tcPr>
            <w:tcW w:w="50" w:type="pct"/>
            <w:shd w:val="clear" w:color="auto" w:fill="auto"/>
            <w:vAlign w:val="center"/>
          </w:tcPr>
          <w:p w14:paraId="555680FE" w14:textId="77777777" w:rsidR="00F925DD" w:rsidRDefault="00F925DD">
            <w:pPr>
              <w:rPr>
                <w:rFonts w:ascii="Times New Roman" w:hAnsi="Times New Roman"/>
                <w:sz w:val="20"/>
                <w:szCs w:val="20"/>
              </w:rPr>
            </w:pPr>
          </w:p>
        </w:tc>
      </w:tr>
      <w:tr w:rsidR="00F925DD" w14:paraId="55568101" w14:textId="77777777">
        <w:tc>
          <w:tcPr>
            <w:tcW w:w="0" w:type="auto"/>
            <w:gridSpan w:val="18"/>
            <w:shd w:val="clear" w:color="auto" w:fill="auto"/>
            <w:tcMar>
              <w:top w:w="40" w:type="dxa"/>
              <w:left w:w="40" w:type="dxa"/>
              <w:bottom w:w="40" w:type="dxa"/>
              <w:right w:w="40" w:type="dxa"/>
            </w:tcMar>
            <w:vAlign w:val="bottom"/>
          </w:tcPr>
          <w:p w14:paraId="5556810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11: ASSETS UNDER CUSTODY AND/OR ADMINISTRATION BY PRODUCT</w:t>
            </w:r>
          </w:p>
        </w:tc>
      </w:tr>
      <w:tr w:rsidR="00F925DD" w14:paraId="5556810C" w14:textId="77777777">
        <w:tc>
          <w:tcPr>
            <w:tcW w:w="0" w:type="auto"/>
            <w:shd w:val="clear" w:color="auto" w:fill="auto"/>
            <w:tcMar>
              <w:top w:w="40" w:type="dxa"/>
              <w:left w:w="40" w:type="dxa"/>
              <w:bottom w:w="40" w:type="dxa"/>
              <w:right w:w="40" w:type="dxa"/>
            </w:tcMar>
            <w:vAlign w:val="bottom"/>
          </w:tcPr>
          <w:p w14:paraId="5556810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10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555681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10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2018</w:t>
            </w:r>
          </w:p>
        </w:tc>
        <w:tc>
          <w:tcPr>
            <w:tcW w:w="0" w:type="auto"/>
            <w:shd w:val="clear" w:color="auto" w:fill="auto"/>
            <w:tcMar>
              <w:top w:w="40" w:type="dxa"/>
              <w:left w:w="40" w:type="dxa"/>
              <w:bottom w:w="40" w:type="dxa"/>
              <w:right w:w="40" w:type="dxa"/>
            </w:tcMar>
            <w:vAlign w:val="bottom"/>
          </w:tcPr>
          <w:p w14:paraId="555681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10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2017</w:t>
            </w:r>
          </w:p>
        </w:tc>
        <w:tc>
          <w:tcPr>
            <w:tcW w:w="0" w:type="auto"/>
            <w:shd w:val="clear" w:color="auto" w:fill="auto"/>
            <w:tcMar>
              <w:top w:w="40" w:type="dxa"/>
              <w:left w:w="40" w:type="dxa"/>
              <w:bottom w:w="40" w:type="dxa"/>
              <w:right w:w="40" w:type="dxa"/>
            </w:tcMar>
            <w:vAlign w:val="bottom"/>
          </w:tcPr>
          <w:p w14:paraId="555681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10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w:t>
            </w:r>
            <w:r>
              <w:rPr>
                <w:rFonts w:ascii="Arial" w:eastAsia="宋体" w:hAnsi="Arial" w:cs="Arial"/>
                <w:b/>
                <w:bCs/>
                <w:sz w:val="14"/>
                <w:szCs w:val="14"/>
              </w:rPr>
              <w:br/>
              <w:t>2019 vs. 2018</w:t>
            </w:r>
          </w:p>
        </w:tc>
        <w:tc>
          <w:tcPr>
            <w:tcW w:w="0" w:type="auto"/>
            <w:shd w:val="clear" w:color="auto" w:fill="auto"/>
            <w:tcMar>
              <w:top w:w="40" w:type="dxa"/>
              <w:left w:w="40" w:type="dxa"/>
              <w:bottom w:w="40" w:type="dxa"/>
              <w:right w:w="40" w:type="dxa"/>
            </w:tcMar>
            <w:vAlign w:val="bottom"/>
          </w:tcPr>
          <w:p w14:paraId="555681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10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w:t>
            </w:r>
            <w:r>
              <w:rPr>
                <w:rFonts w:ascii="Arial" w:eastAsia="宋体" w:hAnsi="Arial" w:cs="Arial"/>
                <w:b/>
                <w:bCs/>
                <w:sz w:val="14"/>
                <w:szCs w:val="14"/>
              </w:rPr>
              <w:br/>
              <w:t>2018 vs. 2017</w:t>
            </w:r>
          </w:p>
        </w:tc>
      </w:tr>
      <w:tr w:rsidR="00F925DD" w14:paraId="5556811F" w14:textId="77777777">
        <w:tc>
          <w:tcPr>
            <w:tcW w:w="0" w:type="auto"/>
            <w:shd w:val="clear" w:color="auto" w:fill="CCEEFF"/>
            <w:tcMar>
              <w:top w:w="40" w:type="dxa"/>
              <w:left w:w="40" w:type="dxa"/>
              <w:bottom w:w="40" w:type="dxa"/>
              <w:right w:w="40" w:type="dxa"/>
            </w:tcMar>
            <w:vAlign w:val="bottom"/>
          </w:tcPr>
          <w:p w14:paraId="5556810D" w14:textId="77777777" w:rsidR="00F925DD" w:rsidRDefault="00E705D7">
            <w:pPr>
              <w:textAlignment w:val="bottom"/>
              <w:rPr>
                <w:rFonts w:ascii="Times New Roman" w:hAnsi="Times New Roman"/>
                <w:sz w:val="14"/>
                <w:szCs w:val="14"/>
              </w:rPr>
            </w:pPr>
            <w:r>
              <w:rPr>
                <w:rFonts w:ascii="Arial" w:eastAsia="宋体" w:hAnsi="Arial" w:cs="Arial"/>
                <w:sz w:val="14"/>
                <w:szCs w:val="14"/>
              </w:rPr>
              <w:t>Collective funds</w:t>
            </w:r>
          </w:p>
        </w:tc>
        <w:tc>
          <w:tcPr>
            <w:tcW w:w="0" w:type="auto"/>
            <w:tcBorders>
              <w:top w:val="single" w:sz="8" w:space="0" w:color="000000"/>
            </w:tcBorders>
            <w:shd w:val="clear" w:color="auto" w:fill="CCEEFF"/>
            <w:tcMar>
              <w:top w:w="40" w:type="dxa"/>
              <w:left w:w="40" w:type="dxa"/>
              <w:bottom w:w="40" w:type="dxa"/>
            </w:tcMar>
            <w:vAlign w:val="bottom"/>
          </w:tcPr>
          <w:p w14:paraId="5556810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810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9,796</w:t>
            </w:r>
          </w:p>
        </w:tc>
        <w:tc>
          <w:tcPr>
            <w:tcW w:w="0" w:type="auto"/>
            <w:tcBorders>
              <w:top w:val="single" w:sz="8" w:space="0" w:color="000000"/>
            </w:tcBorders>
            <w:shd w:val="clear" w:color="auto" w:fill="CCEEFF"/>
            <w:vAlign w:val="bottom"/>
          </w:tcPr>
          <w:p w14:paraId="555681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11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811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8,999</w:t>
            </w:r>
          </w:p>
        </w:tc>
        <w:tc>
          <w:tcPr>
            <w:tcW w:w="0" w:type="auto"/>
            <w:tcBorders>
              <w:top w:val="single" w:sz="8" w:space="0" w:color="000000"/>
            </w:tcBorders>
            <w:shd w:val="clear" w:color="auto" w:fill="CCEEFF"/>
            <w:vAlign w:val="bottom"/>
          </w:tcPr>
          <w:p w14:paraId="5556811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11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811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9,707</w:t>
            </w:r>
          </w:p>
        </w:tc>
        <w:tc>
          <w:tcPr>
            <w:tcW w:w="0" w:type="auto"/>
            <w:tcBorders>
              <w:top w:val="single" w:sz="8" w:space="0" w:color="000000"/>
            </w:tcBorders>
            <w:shd w:val="clear" w:color="auto" w:fill="CCEEFF"/>
            <w:vAlign w:val="bottom"/>
          </w:tcPr>
          <w:p w14:paraId="555681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1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CCEEFF"/>
            <w:tcMar>
              <w:top w:w="40" w:type="dxa"/>
              <w:bottom w:w="40" w:type="dxa"/>
              <w:right w:w="40" w:type="dxa"/>
            </w:tcMar>
            <w:vAlign w:val="bottom"/>
          </w:tcPr>
          <w:p w14:paraId="5556811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81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1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tcMar>
              <w:top w:w="40" w:type="dxa"/>
              <w:bottom w:w="40" w:type="dxa"/>
              <w:right w:w="40" w:type="dxa"/>
            </w:tcMar>
            <w:vAlign w:val="bottom"/>
          </w:tcPr>
          <w:p w14:paraId="5556811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812F" w14:textId="77777777">
        <w:tc>
          <w:tcPr>
            <w:tcW w:w="0" w:type="auto"/>
            <w:shd w:val="clear" w:color="auto" w:fill="auto"/>
            <w:tcMar>
              <w:top w:w="40" w:type="dxa"/>
              <w:left w:w="40" w:type="dxa"/>
              <w:bottom w:w="40" w:type="dxa"/>
              <w:right w:w="40" w:type="dxa"/>
            </w:tcMar>
            <w:vAlign w:val="bottom"/>
          </w:tcPr>
          <w:p w14:paraId="55568120" w14:textId="77777777" w:rsidR="00F925DD" w:rsidRDefault="00E705D7">
            <w:pPr>
              <w:textAlignment w:val="bottom"/>
              <w:rPr>
                <w:rFonts w:ascii="Times New Roman" w:hAnsi="Times New Roman"/>
                <w:sz w:val="14"/>
                <w:szCs w:val="14"/>
              </w:rPr>
            </w:pPr>
            <w:r>
              <w:rPr>
                <w:rFonts w:ascii="Arial" w:eastAsia="宋体" w:hAnsi="Arial" w:cs="Arial"/>
                <w:sz w:val="14"/>
                <w:szCs w:val="14"/>
              </w:rPr>
              <w:t>Mutual funds</w:t>
            </w:r>
          </w:p>
        </w:tc>
        <w:tc>
          <w:tcPr>
            <w:tcW w:w="0" w:type="auto"/>
            <w:gridSpan w:val="2"/>
            <w:shd w:val="clear" w:color="auto" w:fill="auto"/>
            <w:tcMar>
              <w:top w:w="40" w:type="dxa"/>
              <w:left w:w="40" w:type="dxa"/>
              <w:bottom w:w="40" w:type="dxa"/>
            </w:tcMar>
            <w:vAlign w:val="bottom"/>
          </w:tcPr>
          <w:p w14:paraId="5556812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9,221</w:t>
            </w:r>
          </w:p>
        </w:tc>
        <w:tc>
          <w:tcPr>
            <w:tcW w:w="0" w:type="auto"/>
            <w:shd w:val="clear" w:color="auto" w:fill="auto"/>
            <w:vAlign w:val="bottom"/>
          </w:tcPr>
          <w:p w14:paraId="555681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12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7,912</w:t>
            </w:r>
          </w:p>
        </w:tc>
        <w:tc>
          <w:tcPr>
            <w:tcW w:w="0" w:type="auto"/>
            <w:shd w:val="clear" w:color="auto" w:fill="auto"/>
            <w:vAlign w:val="bottom"/>
          </w:tcPr>
          <w:p w14:paraId="5556812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12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7,603</w:t>
            </w:r>
          </w:p>
        </w:tc>
        <w:tc>
          <w:tcPr>
            <w:tcW w:w="0" w:type="auto"/>
            <w:shd w:val="clear" w:color="auto" w:fill="auto"/>
            <w:vAlign w:val="bottom"/>
          </w:tcPr>
          <w:p w14:paraId="5556812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12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w:t>
            </w:r>
          </w:p>
        </w:tc>
        <w:tc>
          <w:tcPr>
            <w:tcW w:w="0" w:type="auto"/>
            <w:shd w:val="clear" w:color="auto" w:fill="auto"/>
            <w:vAlign w:val="bottom"/>
          </w:tcPr>
          <w:p w14:paraId="5556812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12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vAlign w:val="bottom"/>
          </w:tcPr>
          <w:p w14:paraId="5556812E" w14:textId="77777777" w:rsidR="00F925DD" w:rsidRDefault="00F925DD">
            <w:pPr>
              <w:textAlignment w:val="bottom"/>
              <w:rPr>
                <w:rFonts w:ascii="Times New Roman" w:hAnsi="Times New Roman"/>
                <w:sz w:val="20"/>
                <w:szCs w:val="20"/>
              </w:rPr>
            </w:pPr>
          </w:p>
        </w:tc>
      </w:tr>
      <w:tr w:rsidR="00F925DD" w14:paraId="5556813F" w14:textId="77777777">
        <w:tc>
          <w:tcPr>
            <w:tcW w:w="0" w:type="auto"/>
            <w:shd w:val="clear" w:color="auto" w:fill="CCEEFF"/>
            <w:tcMar>
              <w:top w:w="40" w:type="dxa"/>
              <w:left w:w="40" w:type="dxa"/>
              <w:bottom w:w="40" w:type="dxa"/>
              <w:right w:w="40" w:type="dxa"/>
            </w:tcMar>
            <w:vAlign w:val="bottom"/>
          </w:tcPr>
          <w:p w14:paraId="55568130" w14:textId="77777777" w:rsidR="00F925DD" w:rsidRDefault="00E705D7">
            <w:pPr>
              <w:textAlignment w:val="bottom"/>
              <w:rPr>
                <w:rFonts w:ascii="Times New Roman" w:hAnsi="Times New Roman"/>
                <w:sz w:val="14"/>
                <w:szCs w:val="14"/>
              </w:rPr>
            </w:pPr>
            <w:r>
              <w:rPr>
                <w:rFonts w:ascii="Arial" w:eastAsia="宋体" w:hAnsi="Arial" w:cs="Arial"/>
                <w:sz w:val="14"/>
                <w:szCs w:val="14"/>
              </w:rPr>
              <w:t>Insurance and other products</w:t>
            </w:r>
          </w:p>
        </w:tc>
        <w:tc>
          <w:tcPr>
            <w:tcW w:w="0" w:type="auto"/>
            <w:gridSpan w:val="2"/>
            <w:shd w:val="clear" w:color="auto" w:fill="CCEEFF"/>
            <w:tcMar>
              <w:top w:w="40" w:type="dxa"/>
              <w:left w:w="40" w:type="dxa"/>
              <w:bottom w:w="40" w:type="dxa"/>
            </w:tcMar>
            <w:vAlign w:val="bottom"/>
          </w:tcPr>
          <w:p w14:paraId="5556813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8,417</w:t>
            </w:r>
          </w:p>
        </w:tc>
        <w:tc>
          <w:tcPr>
            <w:tcW w:w="0" w:type="auto"/>
            <w:shd w:val="clear" w:color="auto" w:fill="CCEEFF"/>
            <w:vAlign w:val="bottom"/>
          </w:tcPr>
          <w:p w14:paraId="5556813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13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8,220</w:t>
            </w:r>
          </w:p>
        </w:tc>
        <w:tc>
          <w:tcPr>
            <w:tcW w:w="0" w:type="auto"/>
            <w:shd w:val="clear" w:color="auto" w:fill="CCEEFF"/>
            <w:vAlign w:val="bottom"/>
          </w:tcPr>
          <w:p w14:paraId="555681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13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9,105</w:t>
            </w:r>
          </w:p>
        </w:tc>
        <w:tc>
          <w:tcPr>
            <w:tcW w:w="0" w:type="auto"/>
            <w:shd w:val="clear" w:color="auto" w:fill="CCEEFF"/>
            <w:vAlign w:val="bottom"/>
          </w:tcPr>
          <w:p w14:paraId="555681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3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vAlign w:val="bottom"/>
          </w:tcPr>
          <w:p w14:paraId="555681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3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CCEEFF"/>
            <w:tcMar>
              <w:top w:w="40" w:type="dxa"/>
              <w:bottom w:w="40" w:type="dxa"/>
              <w:right w:w="40" w:type="dxa"/>
            </w:tcMar>
            <w:vAlign w:val="bottom"/>
          </w:tcPr>
          <w:p w14:paraId="5556813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814F" w14:textId="77777777">
        <w:tc>
          <w:tcPr>
            <w:tcW w:w="0" w:type="auto"/>
            <w:shd w:val="clear" w:color="auto" w:fill="auto"/>
            <w:tcMar>
              <w:top w:w="40" w:type="dxa"/>
              <w:left w:w="40" w:type="dxa"/>
              <w:bottom w:w="40" w:type="dxa"/>
              <w:right w:w="40" w:type="dxa"/>
            </w:tcMar>
            <w:vAlign w:val="bottom"/>
          </w:tcPr>
          <w:p w14:paraId="55568140" w14:textId="77777777" w:rsidR="00F925DD" w:rsidRDefault="00E705D7">
            <w:pPr>
              <w:textAlignment w:val="bottom"/>
              <w:rPr>
                <w:rFonts w:ascii="Times New Roman" w:hAnsi="Times New Roman"/>
                <w:sz w:val="14"/>
                <w:szCs w:val="14"/>
              </w:rPr>
            </w:pPr>
            <w:r>
              <w:rPr>
                <w:rFonts w:ascii="Arial" w:eastAsia="宋体" w:hAnsi="Arial" w:cs="Arial"/>
                <w:sz w:val="14"/>
                <w:szCs w:val="14"/>
              </w:rPr>
              <w:t>Pension products</w:t>
            </w:r>
          </w:p>
        </w:tc>
        <w:tc>
          <w:tcPr>
            <w:tcW w:w="0" w:type="auto"/>
            <w:gridSpan w:val="2"/>
            <w:tcBorders>
              <w:bottom w:val="single" w:sz="8" w:space="0" w:color="000000"/>
            </w:tcBorders>
            <w:shd w:val="clear" w:color="auto" w:fill="auto"/>
            <w:tcMar>
              <w:top w:w="40" w:type="dxa"/>
              <w:left w:w="40" w:type="dxa"/>
              <w:bottom w:w="40" w:type="dxa"/>
            </w:tcMar>
            <w:vAlign w:val="bottom"/>
          </w:tcPr>
          <w:p w14:paraId="5556814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6,924</w:t>
            </w:r>
          </w:p>
        </w:tc>
        <w:tc>
          <w:tcPr>
            <w:tcW w:w="0" w:type="auto"/>
            <w:tcBorders>
              <w:bottom w:val="single" w:sz="8" w:space="0" w:color="000000"/>
            </w:tcBorders>
            <w:shd w:val="clear" w:color="auto" w:fill="auto"/>
            <w:vAlign w:val="bottom"/>
          </w:tcPr>
          <w:p w14:paraId="555681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14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6,489</w:t>
            </w:r>
          </w:p>
        </w:tc>
        <w:tc>
          <w:tcPr>
            <w:tcW w:w="0" w:type="auto"/>
            <w:tcBorders>
              <w:bottom w:val="single" w:sz="8" w:space="0" w:color="000000"/>
            </w:tcBorders>
            <w:shd w:val="clear" w:color="auto" w:fill="auto"/>
            <w:vAlign w:val="bottom"/>
          </w:tcPr>
          <w:p w14:paraId="555681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14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6,704</w:t>
            </w:r>
          </w:p>
        </w:tc>
        <w:tc>
          <w:tcPr>
            <w:tcW w:w="0" w:type="auto"/>
            <w:tcBorders>
              <w:bottom w:val="single" w:sz="8" w:space="0" w:color="000000"/>
            </w:tcBorders>
            <w:shd w:val="clear" w:color="auto" w:fill="auto"/>
            <w:vAlign w:val="bottom"/>
          </w:tcPr>
          <w:p w14:paraId="555681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14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auto"/>
            <w:vAlign w:val="bottom"/>
          </w:tcPr>
          <w:p w14:paraId="555681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14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auto"/>
            <w:tcMar>
              <w:top w:w="40" w:type="dxa"/>
              <w:bottom w:w="40" w:type="dxa"/>
              <w:right w:w="40" w:type="dxa"/>
            </w:tcMar>
            <w:vAlign w:val="bottom"/>
          </w:tcPr>
          <w:p w14:paraId="5556814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8162" w14:textId="77777777">
        <w:tc>
          <w:tcPr>
            <w:tcW w:w="0" w:type="auto"/>
            <w:shd w:val="clear" w:color="auto" w:fill="CCEEFF"/>
            <w:tcMar>
              <w:top w:w="40" w:type="dxa"/>
              <w:left w:w="40" w:type="dxa"/>
              <w:bottom w:w="40" w:type="dxa"/>
              <w:right w:w="40" w:type="dxa"/>
            </w:tcMar>
            <w:vAlign w:val="bottom"/>
          </w:tcPr>
          <w:p w14:paraId="5556815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 xml:space="preserve">Total </w:t>
            </w:r>
          </w:p>
        </w:tc>
        <w:tc>
          <w:tcPr>
            <w:tcW w:w="0" w:type="auto"/>
            <w:tcBorders>
              <w:bottom w:val="double" w:sz="6" w:space="0" w:color="000000"/>
            </w:tcBorders>
            <w:shd w:val="clear" w:color="auto" w:fill="CCEEFF"/>
            <w:tcMar>
              <w:top w:w="40" w:type="dxa"/>
              <w:left w:w="40" w:type="dxa"/>
              <w:bottom w:w="40" w:type="dxa"/>
            </w:tcMar>
            <w:vAlign w:val="bottom"/>
          </w:tcPr>
          <w:p w14:paraId="5556815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815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34,358</w:t>
            </w:r>
          </w:p>
        </w:tc>
        <w:tc>
          <w:tcPr>
            <w:tcW w:w="0" w:type="auto"/>
            <w:tcBorders>
              <w:bottom w:val="double" w:sz="6" w:space="0" w:color="000000"/>
            </w:tcBorders>
            <w:shd w:val="clear" w:color="auto" w:fill="CCEEFF"/>
            <w:vAlign w:val="bottom"/>
          </w:tcPr>
          <w:p w14:paraId="555681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815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815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31,620</w:t>
            </w:r>
          </w:p>
        </w:tc>
        <w:tc>
          <w:tcPr>
            <w:tcW w:w="0" w:type="auto"/>
            <w:tcBorders>
              <w:bottom w:val="double" w:sz="6" w:space="0" w:color="000000"/>
            </w:tcBorders>
            <w:shd w:val="clear" w:color="auto" w:fill="CCEEFF"/>
            <w:vAlign w:val="bottom"/>
          </w:tcPr>
          <w:p w14:paraId="5556815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815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815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33,119</w:t>
            </w:r>
          </w:p>
        </w:tc>
        <w:tc>
          <w:tcPr>
            <w:tcW w:w="0" w:type="auto"/>
            <w:tcBorders>
              <w:bottom w:val="double" w:sz="6" w:space="0" w:color="000000"/>
            </w:tcBorders>
            <w:shd w:val="clear" w:color="auto" w:fill="CCEEFF"/>
            <w:vAlign w:val="bottom"/>
          </w:tcPr>
          <w:p w14:paraId="555681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5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CCEEFF"/>
            <w:vAlign w:val="bottom"/>
          </w:tcPr>
          <w:p w14:paraId="555681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6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CCEEFF"/>
            <w:tcMar>
              <w:top w:w="40" w:type="dxa"/>
              <w:bottom w:w="40" w:type="dxa"/>
              <w:right w:w="40" w:type="dxa"/>
            </w:tcMar>
            <w:vAlign w:val="bottom"/>
          </w:tcPr>
          <w:p w14:paraId="5556816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bl>
    <w:p w14:paraId="55568163"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1687"/>
        <w:gridCol w:w="119"/>
        <w:gridCol w:w="1189"/>
        <w:gridCol w:w="44"/>
        <w:gridCol w:w="130"/>
        <w:gridCol w:w="119"/>
        <w:gridCol w:w="1172"/>
        <w:gridCol w:w="44"/>
        <w:gridCol w:w="130"/>
        <w:gridCol w:w="119"/>
        <w:gridCol w:w="1173"/>
        <w:gridCol w:w="44"/>
        <w:gridCol w:w="130"/>
        <w:gridCol w:w="841"/>
        <w:gridCol w:w="165"/>
        <w:gridCol w:w="130"/>
        <w:gridCol w:w="858"/>
        <w:gridCol w:w="212"/>
      </w:tblGrid>
      <w:tr w:rsidR="00F925DD" w14:paraId="55568165" w14:textId="77777777">
        <w:tc>
          <w:tcPr>
            <w:tcW w:w="0" w:type="auto"/>
            <w:gridSpan w:val="18"/>
            <w:shd w:val="clear" w:color="auto" w:fill="auto"/>
            <w:vAlign w:val="center"/>
          </w:tcPr>
          <w:p w14:paraId="55568164" w14:textId="77777777" w:rsidR="00F925DD" w:rsidRDefault="00F925DD">
            <w:pPr>
              <w:rPr>
                <w:rFonts w:ascii="Times New Roman" w:hAnsi="Times New Roman"/>
                <w:sz w:val="20"/>
                <w:szCs w:val="20"/>
              </w:rPr>
            </w:pPr>
          </w:p>
        </w:tc>
      </w:tr>
      <w:tr w:rsidR="00F925DD" w14:paraId="55568178" w14:textId="77777777">
        <w:tc>
          <w:tcPr>
            <w:tcW w:w="1050" w:type="pct"/>
            <w:shd w:val="clear" w:color="auto" w:fill="auto"/>
            <w:vAlign w:val="center"/>
          </w:tcPr>
          <w:p w14:paraId="55568166" w14:textId="77777777" w:rsidR="00F925DD" w:rsidRDefault="00F925DD">
            <w:pPr>
              <w:rPr>
                <w:rFonts w:ascii="Times New Roman" w:hAnsi="Times New Roman"/>
                <w:sz w:val="20"/>
                <w:szCs w:val="20"/>
              </w:rPr>
            </w:pPr>
          </w:p>
        </w:tc>
        <w:tc>
          <w:tcPr>
            <w:tcW w:w="50" w:type="pct"/>
            <w:shd w:val="clear" w:color="auto" w:fill="auto"/>
            <w:vAlign w:val="center"/>
          </w:tcPr>
          <w:p w14:paraId="55568167" w14:textId="77777777" w:rsidR="00F925DD" w:rsidRDefault="00F925DD">
            <w:pPr>
              <w:rPr>
                <w:rFonts w:ascii="Times New Roman" w:hAnsi="Times New Roman"/>
                <w:sz w:val="20"/>
                <w:szCs w:val="20"/>
              </w:rPr>
            </w:pPr>
          </w:p>
        </w:tc>
        <w:tc>
          <w:tcPr>
            <w:tcW w:w="750" w:type="pct"/>
            <w:shd w:val="clear" w:color="auto" w:fill="auto"/>
            <w:vAlign w:val="center"/>
          </w:tcPr>
          <w:p w14:paraId="55568168" w14:textId="77777777" w:rsidR="00F925DD" w:rsidRDefault="00F925DD">
            <w:pPr>
              <w:rPr>
                <w:rFonts w:ascii="Times New Roman" w:hAnsi="Times New Roman"/>
                <w:sz w:val="20"/>
                <w:szCs w:val="20"/>
              </w:rPr>
            </w:pPr>
          </w:p>
        </w:tc>
        <w:tc>
          <w:tcPr>
            <w:tcW w:w="50" w:type="pct"/>
            <w:shd w:val="clear" w:color="auto" w:fill="auto"/>
            <w:vAlign w:val="center"/>
          </w:tcPr>
          <w:p w14:paraId="55568169" w14:textId="77777777" w:rsidR="00F925DD" w:rsidRDefault="00F925DD">
            <w:pPr>
              <w:rPr>
                <w:rFonts w:ascii="Times New Roman" w:hAnsi="Times New Roman"/>
                <w:sz w:val="20"/>
                <w:szCs w:val="20"/>
              </w:rPr>
            </w:pPr>
          </w:p>
        </w:tc>
        <w:tc>
          <w:tcPr>
            <w:tcW w:w="50" w:type="pct"/>
            <w:shd w:val="clear" w:color="auto" w:fill="auto"/>
            <w:vAlign w:val="center"/>
          </w:tcPr>
          <w:p w14:paraId="5556816A" w14:textId="77777777" w:rsidR="00F925DD" w:rsidRDefault="00F925DD">
            <w:pPr>
              <w:rPr>
                <w:rFonts w:ascii="Times New Roman" w:hAnsi="Times New Roman"/>
                <w:sz w:val="20"/>
                <w:szCs w:val="20"/>
              </w:rPr>
            </w:pPr>
          </w:p>
        </w:tc>
        <w:tc>
          <w:tcPr>
            <w:tcW w:w="50" w:type="pct"/>
            <w:shd w:val="clear" w:color="auto" w:fill="auto"/>
            <w:vAlign w:val="center"/>
          </w:tcPr>
          <w:p w14:paraId="5556816B" w14:textId="77777777" w:rsidR="00F925DD" w:rsidRDefault="00F925DD">
            <w:pPr>
              <w:rPr>
                <w:rFonts w:ascii="Times New Roman" w:hAnsi="Times New Roman"/>
                <w:sz w:val="20"/>
                <w:szCs w:val="20"/>
              </w:rPr>
            </w:pPr>
          </w:p>
        </w:tc>
        <w:tc>
          <w:tcPr>
            <w:tcW w:w="750" w:type="pct"/>
            <w:shd w:val="clear" w:color="auto" w:fill="auto"/>
            <w:vAlign w:val="center"/>
          </w:tcPr>
          <w:p w14:paraId="5556816C" w14:textId="77777777" w:rsidR="00F925DD" w:rsidRDefault="00F925DD">
            <w:pPr>
              <w:rPr>
                <w:rFonts w:ascii="Times New Roman" w:hAnsi="Times New Roman"/>
                <w:sz w:val="20"/>
                <w:szCs w:val="20"/>
              </w:rPr>
            </w:pPr>
          </w:p>
        </w:tc>
        <w:tc>
          <w:tcPr>
            <w:tcW w:w="50" w:type="pct"/>
            <w:shd w:val="clear" w:color="auto" w:fill="auto"/>
            <w:vAlign w:val="center"/>
          </w:tcPr>
          <w:p w14:paraId="5556816D" w14:textId="77777777" w:rsidR="00F925DD" w:rsidRDefault="00F925DD">
            <w:pPr>
              <w:rPr>
                <w:rFonts w:ascii="Times New Roman" w:hAnsi="Times New Roman"/>
                <w:sz w:val="20"/>
                <w:szCs w:val="20"/>
              </w:rPr>
            </w:pPr>
          </w:p>
        </w:tc>
        <w:tc>
          <w:tcPr>
            <w:tcW w:w="50" w:type="pct"/>
            <w:shd w:val="clear" w:color="auto" w:fill="auto"/>
            <w:vAlign w:val="center"/>
          </w:tcPr>
          <w:p w14:paraId="5556816E" w14:textId="77777777" w:rsidR="00F925DD" w:rsidRDefault="00F925DD">
            <w:pPr>
              <w:rPr>
                <w:rFonts w:ascii="Times New Roman" w:hAnsi="Times New Roman"/>
                <w:sz w:val="20"/>
                <w:szCs w:val="20"/>
              </w:rPr>
            </w:pPr>
          </w:p>
        </w:tc>
        <w:tc>
          <w:tcPr>
            <w:tcW w:w="50" w:type="pct"/>
            <w:shd w:val="clear" w:color="auto" w:fill="auto"/>
            <w:vAlign w:val="center"/>
          </w:tcPr>
          <w:p w14:paraId="5556816F" w14:textId="77777777" w:rsidR="00F925DD" w:rsidRDefault="00F925DD">
            <w:pPr>
              <w:rPr>
                <w:rFonts w:ascii="Times New Roman" w:hAnsi="Times New Roman"/>
                <w:sz w:val="20"/>
                <w:szCs w:val="20"/>
              </w:rPr>
            </w:pPr>
          </w:p>
        </w:tc>
        <w:tc>
          <w:tcPr>
            <w:tcW w:w="750" w:type="pct"/>
            <w:shd w:val="clear" w:color="auto" w:fill="auto"/>
            <w:vAlign w:val="center"/>
          </w:tcPr>
          <w:p w14:paraId="55568170" w14:textId="77777777" w:rsidR="00F925DD" w:rsidRDefault="00F925DD">
            <w:pPr>
              <w:rPr>
                <w:rFonts w:ascii="Times New Roman" w:hAnsi="Times New Roman"/>
                <w:sz w:val="20"/>
                <w:szCs w:val="20"/>
              </w:rPr>
            </w:pPr>
          </w:p>
        </w:tc>
        <w:tc>
          <w:tcPr>
            <w:tcW w:w="50" w:type="pct"/>
            <w:shd w:val="clear" w:color="auto" w:fill="auto"/>
            <w:vAlign w:val="center"/>
          </w:tcPr>
          <w:p w14:paraId="55568171" w14:textId="77777777" w:rsidR="00F925DD" w:rsidRDefault="00F925DD">
            <w:pPr>
              <w:rPr>
                <w:rFonts w:ascii="Times New Roman" w:hAnsi="Times New Roman"/>
                <w:sz w:val="20"/>
                <w:szCs w:val="20"/>
              </w:rPr>
            </w:pPr>
          </w:p>
        </w:tc>
        <w:tc>
          <w:tcPr>
            <w:tcW w:w="50" w:type="pct"/>
            <w:shd w:val="clear" w:color="auto" w:fill="auto"/>
            <w:vAlign w:val="center"/>
          </w:tcPr>
          <w:p w14:paraId="55568172" w14:textId="77777777" w:rsidR="00F925DD" w:rsidRDefault="00F925DD">
            <w:pPr>
              <w:rPr>
                <w:rFonts w:ascii="Times New Roman" w:hAnsi="Times New Roman"/>
                <w:sz w:val="20"/>
                <w:szCs w:val="20"/>
              </w:rPr>
            </w:pPr>
          </w:p>
        </w:tc>
        <w:tc>
          <w:tcPr>
            <w:tcW w:w="550" w:type="pct"/>
            <w:shd w:val="clear" w:color="auto" w:fill="auto"/>
            <w:vAlign w:val="center"/>
          </w:tcPr>
          <w:p w14:paraId="55568173" w14:textId="77777777" w:rsidR="00F925DD" w:rsidRDefault="00F925DD">
            <w:pPr>
              <w:rPr>
                <w:rFonts w:ascii="Times New Roman" w:hAnsi="Times New Roman"/>
                <w:sz w:val="20"/>
                <w:szCs w:val="20"/>
              </w:rPr>
            </w:pPr>
          </w:p>
        </w:tc>
        <w:tc>
          <w:tcPr>
            <w:tcW w:w="50" w:type="pct"/>
            <w:shd w:val="clear" w:color="auto" w:fill="auto"/>
            <w:vAlign w:val="center"/>
          </w:tcPr>
          <w:p w14:paraId="55568174" w14:textId="77777777" w:rsidR="00F925DD" w:rsidRDefault="00F925DD">
            <w:pPr>
              <w:rPr>
                <w:rFonts w:ascii="Times New Roman" w:hAnsi="Times New Roman"/>
                <w:sz w:val="20"/>
                <w:szCs w:val="20"/>
              </w:rPr>
            </w:pPr>
          </w:p>
        </w:tc>
        <w:tc>
          <w:tcPr>
            <w:tcW w:w="50" w:type="pct"/>
            <w:shd w:val="clear" w:color="auto" w:fill="auto"/>
            <w:vAlign w:val="center"/>
          </w:tcPr>
          <w:p w14:paraId="55568175" w14:textId="77777777" w:rsidR="00F925DD" w:rsidRDefault="00F925DD">
            <w:pPr>
              <w:rPr>
                <w:rFonts w:ascii="Times New Roman" w:hAnsi="Times New Roman"/>
                <w:sz w:val="20"/>
                <w:szCs w:val="20"/>
              </w:rPr>
            </w:pPr>
          </w:p>
        </w:tc>
        <w:tc>
          <w:tcPr>
            <w:tcW w:w="550" w:type="pct"/>
            <w:shd w:val="clear" w:color="auto" w:fill="auto"/>
            <w:vAlign w:val="center"/>
          </w:tcPr>
          <w:p w14:paraId="55568176" w14:textId="77777777" w:rsidR="00F925DD" w:rsidRDefault="00F925DD">
            <w:pPr>
              <w:rPr>
                <w:rFonts w:ascii="Times New Roman" w:hAnsi="Times New Roman"/>
                <w:sz w:val="20"/>
                <w:szCs w:val="20"/>
              </w:rPr>
            </w:pPr>
          </w:p>
        </w:tc>
        <w:tc>
          <w:tcPr>
            <w:tcW w:w="50" w:type="pct"/>
            <w:shd w:val="clear" w:color="auto" w:fill="auto"/>
            <w:vAlign w:val="center"/>
          </w:tcPr>
          <w:p w14:paraId="55568177" w14:textId="77777777" w:rsidR="00F925DD" w:rsidRDefault="00F925DD">
            <w:pPr>
              <w:rPr>
                <w:rFonts w:ascii="Times New Roman" w:hAnsi="Times New Roman"/>
                <w:sz w:val="20"/>
                <w:szCs w:val="20"/>
              </w:rPr>
            </w:pPr>
          </w:p>
        </w:tc>
      </w:tr>
      <w:tr w:rsidR="00F925DD" w14:paraId="5556817A" w14:textId="77777777">
        <w:tc>
          <w:tcPr>
            <w:tcW w:w="0" w:type="auto"/>
            <w:gridSpan w:val="18"/>
            <w:shd w:val="clear" w:color="auto" w:fill="auto"/>
            <w:tcMar>
              <w:top w:w="40" w:type="dxa"/>
              <w:left w:w="40" w:type="dxa"/>
              <w:bottom w:w="40" w:type="dxa"/>
              <w:right w:w="40" w:type="dxa"/>
            </w:tcMar>
            <w:vAlign w:val="bottom"/>
          </w:tcPr>
          <w:p w14:paraId="55568179"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12: ASSETS UNDER CUSTODY AND/OR ADMINISTRATION BY ASSET CLASS</w:t>
            </w:r>
          </w:p>
        </w:tc>
      </w:tr>
      <w:tr w:rsidR="00F925DD" w14:paraId="55568185" w14:textId="77777777">
        <w:tc>
          <w:tcPr>
            <w:tcW w:w="0" w:type="auto"/>
            <w:shd w:val="clear" w:color="auto" w:fill="auto"/>
            <w:tcMar>
              <w:top w:w="40" w:type="dxa"/>
              <w:left w:w="40" w:type="dxa"/>
              <w:bottom w:w="40" w:type="dxa"/>
              <w:right w:w="40" w:type="dxa"/>
            </w:tcMar>
            <w:vAlign w:val="bottom"/>
          </w:tcPr>
          <w:p w14:paraId="5556817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17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555681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17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2018</w:t>
            </w:r>
          </w:p>
        </w:tc>
        <w:tc>
          <w:tcPr>
            <w:tcW w:w="0" w:type="auto"/>
            <w:shd w:val="clear" w:color="auto" w:fill="auto"/>
            <w:tcMar>
              <w:top w:w="40" w:type="dxa"/>
              <w:left w:w="40" w:type="dxa"/>
              <w:bottom w:w="40" w:type="dxa"/>
              <w:right w:w="40" w:type="dxa"/>
            </w:tcMar>
            <w:vAlign w:val="bottom"/>
          </w:tcPr>
          <w:p w14:paraId="555681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18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2017</w:t>
            </w:r>
          </w:p>
        </w:tc>
        <w:tc>
          <w:tcPr>
            <w:tcW w:w="0" w:type="auto"/>
            <w:shd w:val="clear" w:color="auto" w:fill="auto"/>
            <w:tcMar>
              <w:top w:w="40" w:type="dxa"/>
              <w:left w:w="40" w:type="dxa"/>
              <w:bottom w:w="40" w:type="dxa"/>
              <w:right w:w="40" w:type="dxa"/>
            </w:tcMar>
            <w:vAlign w:val="bottom"/>
          </w:tcPr>
          <w:p w14:paraId="555681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18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w:t>
            </w:r>
            <w:r>
              <w:rPr>
                <w:rFonts w:ascii="Arial" w:eastAsia="宋体" w:hAnsi="Arial" w:cs="Arial"/>
                <w:b/>
                <w:bCs/>
                <w:sz w:val="14"/>
                <w:szCs w:val="14"/>
              </w:rPr>
              <w:br/>
              <w:t>2019 vs. 2018</w:t>
            </w:r>
          </w:p>
        </w:tc>
        <w:tc>
          <w:tcPr>
            <w:tcW w:w="0" w:type="auto"/>
            <w:shd w:val="clear" w:color="auto" w:fill="auto"/>
            <w:tcMar>
              <w:top w:w="40" w:type="dxa"/>
              <w:left w:w="40" w:type="dxa"/>
              <w:bottom w:w="40" w:type="dxa"/>
              <w:right w:w="40" w:type="dxa"/>
            </w:tcMar>
            <w:vAlign w:val="bottom"/>
          </w:tcPr>
          <w:p w14:paraId="555681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18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w:t>
            </w:r>
            <w:r>
              <w:rPr>
                <w:rFonts w:ascii="Arial" w:eastAsia="宋体" w:hAnsi="Arial" w:cs="Arial"/>
                <w:b/>
                <w:bCs/>
                <w:sz w:val="14"/>
                <w:szCs w:val="14"/>
              </w:rPr>
              <w:br/>
              <w:t>2018 vs. 2017</w:t>
            </w:r>
          </w:p>
        </w:tc>
      </w:tr>
      <w:tr w:rsidR="00F925DD" w14:paraId="55568198" w14:textId="77777777">
        <w:tc>
          <w:tcPr>
            <w:tcW w:w="0" w:type="auto"/>
            <w:shd w:val="clear" w:color="auto" w:fill="CCEEFF"/>
            <w:tcMar>
              <w:top w:w="40" w:type="dxa"/>
              <w:left w:w="40" w:type="dxa"/>
              <w:bottom w:w="40" w:type="dxa"/>
              <w:right w:w="40" w:type="dxa"/>
            </w:tcMar>
            <w:vAlign w:val="bottom"/>
          </w:tcPr>
          <w:p w14:paraId="55568186" w14:textId="77777777" w:rsidR="00F925DD" w:rsidRDefault="00E705D7">
            <w:pPr>
              <w:textAlignment w:val="bottom"/>
              <w:rPr>
                <w:rFonts w:ascii="Times New Roman" w:hAnsi="Times New Roman"/>
                <w:sz w:val="14"/>
                <w:szCs w:val="14"/>
              </w:rPr>
            </w:pPr>
            <w:r>
              <w:rPr>
                <w:rFonts w:ascii="Arial" w:eastAsia="宋体" w:hAnsi="Arial" w:cs="Arial"/>
                <w:sz w:val="14"/>
                <w:szCs w:val="14"/>
              </w:rPr>
              <w:t>Equities</w:t>
            </w:r>
          </w:p>
        </w:tc>
        <w:tc>
          <w:tcPr>
            <w:tcW w:w="0" w:type="auto"/>
            <w:tcBorders>
              <w:top w:val="single" w:sz="8" w:space="0" w:color="000000"/>
            </w:tcBorders>
            <w:shd w:val="clear" w:color="auto" w:fill="CCEEFF"/>
            <w:tcMar>
              <w:top w:w="40" w:type="dxa"/>
              <w:left w:w="40" w:type="dxa"/>
              <w:bottom w:w="40" w:type="dxa"/>
            </w:tcMar>
            <w:vAlign w:val="bottom"/>
          </w:tcPr>
          <w:p w14:paraId="5556818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818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19,301</w:t>
            </w:r>
          </w:p>
        </w:tc>
        <w:tc>
          <w:tcPr>
            <w:tcW w:w="0" w:type="auto"/>
            <w:tcBorders>
              <w:top w:val="single" w:sz="8" w:space="0" w:color="000000"/>
            </w:tcBorders>
            <w:shd w:val="clear" w:color="auto" w:fill="CCEEFF"/>
            <w:vAlign w:val="bottom"/>
          </w:tcPr>
          <w:p w14:paraId="555681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8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18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18,041</w:t>
            </w:r>
          </w:p>
        </w:tc>
        <w:tc>
          <w:tcPr>
            <w:tcW w:w="0" w:type="auto"/>
            <w:shd w:val="clear" w:color="auto" w:fill="CCEEFF"/>
            <w:vAlign w:val="bottom"/>
          </w:tcPr>
          <w:p w14:paraId="5556818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8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19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19,214</w:t>
            </w:r>
          </w:p>
        </w:tc>
        <w:tc>
          <w:tcPr>
            <w:tcW w:w="0" w:type="auto"/>
            <w:shd w:val="clear" w:color="auto" w:fill="CCEEFF"/>
            <w:vAlign w:val="bottom"/>
          </w:tcPr>
          <w:p w14:paraId="5556819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9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tcMar>
              <w:top w:w="40" w:type="dxa"/>
              <w:bottom w:w="40" w:type="dxa"/>
              <w:right w:w="40" w:type="dxa"/>
            </w:tcMar>
            <w:vAlign w:val="bottom"/>
          </w:tcPr>
          <w:p w14:paraId="5556819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81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9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CCEEFF"/>
            <w:tcMar>
              <w:top w:w="40" w:type="dxa"/>
              <w:bottom w:w="40" w:type="dxa"/>
              <w:right w:w="40" w:type="dxa"/>
            </w:tcMar>
            <w:vAlign w:val="bottom"/>
          </w:tcPr>
          <w:p w14:paraId="5556819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81A8" w14:textId="77777777">
        <w:tc>
          <w:tcPr>
            <w:tcW w:w="0" w:type="auto"/>
            <w:shd w:val="clear" w:color="auto" w:fill="auto"/>
            <w:tcMar>
              <w:top w:w="40" w:type="dxa"/>
              <w:left w:w="40" w:type="dxa"/>
              <w:bottom w:w="40" w:type="dxa"/>
              <w:right w:w="40" w:type="dxa"/>
            </w:tcMar>
            <w:vAlign w:val="bottom"/>
          </w:tcPr>
          <w:p w14:paraId="55568199" w14:textId="77777777" w:rsidR="00F925DD" w:rsidRDefault="00E705D7">
            <w:pPr>
              <w:textAlignment w:val="bottom"/>
              <w:rPr>
                <w:rFonts w:ascii="Times New Roman" w:hAnsi="Times New Roman"/>
                <w:sz w:val="14"/>
                <w:szCs w:val="14"/>
              </w:rPr>
            </w:pPr>
            <w:r>
              <w:rPr>
                <w:rFonts w:ascii="Arial" w:eastAsia="宋体" w:hAnsi="Arial" w:cs="Arial"/>
                <w:sz w:val="14"/>
                <w:szCs w:val="14"/>
              </w:rPr>
              <w:t>Fixed-income</w:t>
            </w:r>
          </w:p>
        </w:tc>
        <w:tc>
          <w:tcPr>
            <w:tcW w:w="0" w:type="auto"/>
            <w:gridSpan w:val="2"/>
            <w:shd w:val="clear" w:color="auto" w:fill="auto"/>
            <w:tcMar>
              <w:top w:w="40" w:type="dxa"/>
              <w:left w:w="40" w:type="dxa"/>
              <w:bottom w:w="40" w:type="dxa"/>
            </w:tcMar>
            <w:vAlign w:val="bottom"/>
          </w:tcPr>
          <w:p w14:paraId="5556819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10,766</w:t>
            </w:r>
          </w:p>
        </w:tc>
        <w:tc>
          <w:tcPr>
            <w:tcW w:w="0" w:type="auto"/>
            <w:shd w:val="clear" w:color="auto" w:fill="auto"/>
            <w:vAlign w:val="bottom"/>
          </w:tcPr>
          <w:p w14:paraId="555681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19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9,758</w:t>
            </w:r>
          </w:p>
        </w:tc>
        <w:tc>
          <w:tcPr>
            <w:tcW w:w="0" w:type="auto"/>
            <w:shd w:val="clear" w:color="auto" w:fill="auto"/>
            <w:vAlign w:val="bottom"/>
          </w:tcPr>
          <w:p w14:paraId="5556819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1A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10,070</w:t>
            </w:r>
          </w:p>
        </w:tc>
        <w:tc>
          <w:tcPr>
            <w:tcW w:w="0" w:type="auto"/>
            <w:shd w:val="clear" w:color="auto" w:fill="auto"/>
            <w:vAlign w:val="bottom"/>
          </w:tcPr>
          <w:p w14:paraId="555681A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1A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auto"/>
            <w:vAlign w:val="bottom"/>
          </w:tcPr>
          <w:p w14:paraId="555681A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1A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auto"/>
            <w:tcMar>
              <w:top w:w="40" w:type="dxa"/>
              <w:bottom w:w="40" w:type="dxa"/>
              <w:right w:w="40" w:type="dxa"/>
            </w:tcMar>
            <w:vAlign w:val="bottom"/>
          </w:tcPr>
          <w:p w14:paraId="555681A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81B8" w14:textId="77777777">
        <w:tc>
          <w:tcPr>
            <w:tcW w:w="0" w:type="auto"/>
            <w:shd w:val="clear" w:color="auto" w:fill="CCEEFF"/>
            <w:tcMar>
              <w:top w:w="40" w:type="dxa"/>
              <w:left w:w="40" w:type="dxa"/>
              <w:bottom w:w="40" w:type="dxa"/>
              <w:right w:w="40" w:type="dxa"/>
            </w:tcMar>
            <w:vAlign w:val="bottom"/>
          </w:tcPr>
          <w:p w14:paraId="555681A9" w14:textId="77777777" w:rsidR="00F925DD" w:rsidRDefault="00E705D7">
            <w:pPr>
              <w:textAlignment w:val="bottom"/>
              <w:rPr>
                <w:rFonts w:ascii="Times New Roman" w:hAnsi="Times New Roman"/>
                <w:sz w:val="14"/>
                <w:szCs w:val="14"/>
              </w:rPr>
            </w:pPr>
            <w:r>
              <w:rPr>
                <w:rFonts w:ascii="Arial" w:eastAsia="宋体" w:hAnsi="Arial" w:cs="Arial"/>
                <w:sz w:val="14"/>
                <w:szCs w:val="14"/>
              </w:rPr>
              <w:t>Short-term and other investments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1A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4,291</w:t>
            </w:r>
          </w:p>
        </w:tc>
        <w:tc>
          <w:tcPr>
            <w:tcW w:w="0" w:type="auto"/>
            <w:tcBorders>
              <w:bottom w:val="single" w:sz="8" w:space="0" w:color="000000"/>
            </w:tcBorders>
            <w:shd w:val="clear" w:color="auto" w:fill="CCEEFF"/>
            <w:vAlign w:val="bottom"/>
          </w:tcPr>
          <w:p w14:paraId="555681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1A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3,821</w:t>
            </w:r>
          </w:p>
        </w:tc>
        <w:tc>
          <w:tcPr>
            <w:tcW w:w="0" w:type="auto"/>
            <w:tcBorders>
              <w:bottom w:val="single" w:sz="8" w:space="0" w:color="000000"/>
            </w:tcBorders>
            <w:shd w:val="clear" w:color="auto" w:fill="CCEEFF"/>
            <w:vAlign w:val="bottom"/>
          </w:tcPr>
          <w:p w14:paraId="555681A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1B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3,835</w:t>
            </w:r>
          </w:p>
        </w:tc>
        <w:tc>
          <w:tcPr>
            <w:tcW w:w="0" w:type="auto"/>
            <w:tcBorders>
              <w:bottom w:val="single" w:sz="8" w:space="0" w:color="000000"/>
            </w:tcBorders>
            <w:shd w:val="clear" w:color="auto" w:fill="CCEEFF"/>
            <w:vAlign w:val="bottom"/>
          </w:tcPr>
          <w:p w14:paraId="555681B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B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w:t>
            </w:r>
          </w:p>
        </w:tc>
        <w:tc>
          <w:tcPr>
            <w:tcW w:w="0" w:type="auto"/>
            <w:shd w:val="clear" w:color="auto" w:fill="CCEEFF"/>
            <w:vAlign w:val="bottom"/>
          </w:tcPr>
          <w:p w14:paraId="555681B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B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81B7" w14:textId="77777777" w:rsidR="00F925DD" w:rsidRDefault="00F925DD">
            <w:pPr>
              <w:textAlignment w:val="bottom"/>
              <w:rPr>
                <w:rFonts w:ascii="Times New Roman" w:hAnsi="Times New Roman"/>
                <w:sz w:val="20"/>
                <w:szCs w:val="20"/>
              </w:rPr>
            </w:pPr>
          </w:p>
        </w:tc>
      </w:tr>
      <w:tr w:rsidR="00F925DD" w14:paraId="555681CB" w14:textId="77777777">
        <w:tc>
          <w:tcPr>
            <w:tcW w:w="0" w:type="auto"/>
            <w:shd w:val="clear" w:color="auto" w:fill="auto"/>
            <w:tcMar>
              <w:top w:w="40" w:type="dxa"/>
              <w:left w:w="40" w:type="dxa"/>
              <w:bottom w:w="40" w:type="dxa"/>
              <w:right w:w="40" w:type="dxa"/>
            </w:tcMar>
            <w:vAlign w:val="bottom"/>
          </w:tcPr>
          <w:p w14:paraId="555681B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 xml:space="preserve">Total </w:t>
            </w:r>
          </w:p>
        </w:tc>
        <w:tc>
          <w:tcPr>
            <w:tcW w:w="0" w:type="auto"/>
            <w:tcBorders>
              <w:bottom w:val="double" w:sz="6" w:space="0" w:color="000000"/>
            </w:tcBorders>
            <w:shd w:val="clear" w:color="auto" w:fill="auto"/>
            <w:tcMar>
              <w:top w:w="40" w:type="dxa"/>
              <w:left w:w="40" w:type="dxa"/>
              <w:bottom w:w="40" w:type="dxa"/>
            </w:tcMar>
            <w:vAlign w:val="bottom"/>
          </w:tcPr>
          <w:p w14:paraId="555681B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681B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34,358</w:t>
            </w:r>
          </w:p>
        </w:tc>
        <w:tc>
          <w:tcPr>
            <w:tcW w:w="0" w:type="auto"/>
            <w:tcBorders>
              <w:bottom w:val="double" w:sz="6" w:space="0" w:color="000000"/>
            </w:tcBorders>
            <w:shd w:val="clear" w:color="auto" w:fill="auto"/>
            <w:vAlign w:val="bottom"/>
          </w:tcPr>
          <w:p w14:paraId="555681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81B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81B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31,620</w:t>
            </w:r>
          </w:p>
        </w:tc>
        <w:tc>
          <w:tcPr>
            <w:tcW w:w="0" w:type="auto"/>
            <w:tcBorders>
              <w:bottom w:val="double" w:sz="6" w:space="0" w:color="000000"/>
            </w:tcBorders>
            <w:shd w:val="clear" w:color="auto" w:fill="auto"/>
            <w:vAlign w:val="bottom"/>
          </w:tcPr>
          <w:p w14:paraId="555681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81C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81C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33,119</w:t>
            </w:r>
          </w:p>
        </w:tc>
        <w:tc>
          <w:tcPr>
            <w:tcW w:w="0" w:type="auto"/>
            <w:tcBorders>
              <w:bottom w:val="double" w:sz="6" w:space="0" w:color="000000"/>
            </w:tcBorders>
            <w:shd w:val="clear" w:color="auto" w:fill="auto"/>
            <w:vAlign w:val="bottom"/>
          </w:tcPr>
          <w:p w14:paraId="555681C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1C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vAlign w:val="bottom"/>
          </w:tcPr>
          <w:p w14:paraId="555681C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1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1C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tcMar>
              <w:top w:w="40" w:type="dxa"/>
              <w:bottom w:w="40" w:type="dxa"/>
              <w:right w:w="40" w:type="dxa"/>
            </w:tcMar>
            <w:vAlign w:val="bottom"/>
          </w:tcPr>
          <w:p w14:paraId="555681C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bl>
    <w:p w14:paraId="555681CC"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1687"/>
        <w:gridCol w:w="120"/>
        <w:gridCol w:w="1189"/>
        <w:gridCol w:w="44"/>
        <w:gridCol w:w="130"/>
        <w:gridCol w:w="120"/>
        <w:gridCol w:w="1171"/>
        <w:gridCol w:w="44"/>
        <w:gridCol w:w="130"/>
        <w:gridCol w:w="120"/>
        <w:gridCol w:w="1171"/>
        <w:gridCol w:w="44"/>
        <w:gridCol w:w="130"/>
        <w:gridCol w:w="841"/>
        <w:gridCol w:w="165"/>
        <w:gridCol w:w="130"/>
        <w:gridCol w:w="858"/>
        <w:gridCol w:w="212"/>
      </w:tblGrid>
      <w:tr w:rsidR="00F925DD" w14:paraId="555681CE" w14:textId="77777777">
        <w:tc>
          <w:tcPr>
            <w:tcW w:w="0" w:type="auto"/>
            <w:gridSpan w:val="18"/>
            <w:shd w:val="clear" w:color="auto" w:fill="auto"/>
            <w:vAlign w:val="center"/>
          </w:tcPr>
          <w:p w14:paraId="555681CD" w14:textId="77777777" w:rsidR="00F925DD" w:rsidRDefault="00F925DD">
            <w:pPr>
              <w:rPr>
                <w:rFonts w:ascii="Times New Roman" w:hAnsi="Times New Roman"/>
                <w:sz w:val="20"/>
                <w:szCs w:val="20"/>
              </w:rPr>
            </w:pPr>
          </w:p>
        </w:tc>
      </w:tr>
      <w:tr w:rsidR="00F925DD" w14:paraId="555681E1" w14:textId="77777777">
        <w:tc>
          <w:tcPr>
            <w:tcW w:w="1050" w:type="pct"/>
            <w:shd w:val="clear" w:color="auto" w:fill="auto"/>
            <w:vAlign w:val="center"/>
          </w:tcPr>
          <w:p w14:paraId="555681CF" w14:textId="77777777" w:rsidR="00F925DD" w:rsidRDefault="00F925DD">
            <w:pPr>
              <w:rPr>
                <w:rFonts w:ascii="Times New Roman" w:hAnsi="Times New Roman"/>
                <w:sz w:val="20"/>
                <w:szCs w:val="20"/>
              </w:rPr>
            </w:pPr>
          </w:p>
        </w:tc>
        <w:tc>
          <w:tcPr>
            <w:tcW w:w="50" w:type="pct"/>
            <w:shd w:val="clear" w:color="auto" w:fill="auto"/>
            <w:vAlign w:val="center"/>
          </w:tcPr>
          <w:p w14:paraId="555681D0" w14:textId="77777777" w:rsidR="00F925DD" w:rsidRDefault="00F925DD">
            <w:pPr>
              <w:rPr>
                <w:rFonts w:ascii="Times New Roman" w:hAnsi="Times New Roman"/>
                <w:sz w:val="20"/>
                <w:szCs w:val="20"/>
              </w:rPr>
            </w:pPr>
          </w:p>
        </w:tc>
        <w:tc>
          <w:tcPr>
            <w:tcW w:w="750" w:type="pct"/>
            <w:shd w:val="clear" w:color="auto" w:fill="auto"/>
            <w:vAlign w:val="center"/>
          </w:tcPr>
          <w:p w14:paraId="555681D1" w14:textId="77777777" w:rsidR="00F925DD" w:rsidRDefault="00F925DD">
            <w:pPr>
              <w:rPr>
                <w:rFonts w:ascii="Times New Roman" w:hAnsi="Times New Roman"/>
                <w:sz w:val="20"/>
                <w:szCs w:val="20"/>
              </w:rPr>
            </w:pPr>
          </w:p>
        </w:tc>
        <w:tc>
          <w:tcPr>
            <w:tcW w:w="50" w:type="pct"/>
            <w:shd w:val="clear" w:color="auto" w:fill="auto"/>
            <w:vAlign w:val="center"/>
          </w:tcPr>
          <w:p w14:paraId="555681D2" w14:textId="77777777" w:rsidR="00F925DD" w:rsidRDefault="00F925DD">
            <w:pPr>
              <w:rPr>
                <w:rFonts w:ascii="Times New Roman" w:hAnsi="Times New Roman"/>
                <w:sz w:val="20"/>
                <w:szCs w:val="20"/>
              </w:rPr>
            </w:pPr>
          </w:p>
        </w:tc>
        <w:tc>
          <w:tcPr>
            <w:tcW w:w="50" w:type="pct"/>
            <w:shd w:val="clear" w:color="auto" w:fill="auto"/>
            <w:vAlign w:val="center"/>
          </w:tcPr>
          <w:p w14:paraId="555681D3" w14:textId="77777777" w:rsidR="00F925DD" w:rsidRDefault="00F925DD">
            <w:pPr>
              <w:rPr>
                <w:rFonts w:ascii="Times New Roman" w:hAnsi="Times New Roman"/>
                <w:sz w:val="20"/>
                <w:szCs w:val="20"/>
              </w:rPr>
            </w:pPr>
          </w:p>
        </w:tc>
        <w:tc>
          <w:tcPr>
            <w:tcW w:w="50" w:type="pct"/>
            <w:shd w:val="clear" w:color="auto" w:fill="auto"/>
            <w:vAlign w:val="center"/>
          </w:tcPr>
          <w:p w14:paraId="555681D4" w14:textId="77777777" w:rsidR="00F925DD" w:rsidRDefault="00F925DD">
            <w:pPr>
              <w:rPr>
                <w:rFonts w:ascii="Times New Roman" w:hAnsi="Times New Roman"/>
                <w:sz w:val="20"/>
                <w:szCs w:val="20"/>
              </w:rPr>
            </w:pPr>
          </w:p>
        </w:tc>
        <w:tc>
          <w:tcPr>
            <w:tcW w:w="750" w:type="pct"/>
            <w:shd w:val="clear" w:color="auto" w:fill="auto"/>
            <w:vAlign w:val="center"/>
          </w:tcPr>
          <w:p w14:paraId="555681D5" w14:textId="77777777" w:rsidR="00F925DD" w:rsidRDefault="00F925DD">
            <w:pPr>
              <w:rPr>
                <w:rFonts w:ascii="Times New Roman" w:hAnsi="Times New Roman"/>
                <w:sz w:val="20"/>
                <w:szCs w:val="20"/>
              </w:rPr>
            </w:pPr>
          </w:p>
        </w:tc>
        <w:tc>
          <w:tcPr>
            <w:tcW w:w="50" w:type="pct"/>
            <w:shd w:val="clear" w:color="auto" w:fill="auto"/>
            <w:vAlign w:val="center"/>
          </w:tcPr>
          <w:p w14:paraId="555681D6" w14:textId="77777777" w:rsidR="00F925DD" w:rsidRDefault="00F925DD">
            <w:pPr>
              <w:rPr>
                <w:rFonts w:ascii="Times New Roman" w:hAnsi="Times New Roman"/>
                <w:sz w:val="20"/>
                <w:szCs w:val="20"/>
              </w:rPr>
            </w:pPr>
          </w:p>
        </w:tc>
        <w:tc>
          <w:tcPr>
            <w:tcW w:w="50" w:type="pct"/>
            <w:shd w:val="clear" w:color="auto" w:fill="auto"/>
            <w:vAlign w:val="center"/>
          </w:tcPr>
          <w:p w14:paraId="555681D7" w14:textId="77777777" w:rsidR="00F925DD" w:rsidRDefault="00F925DD">
            <w:pPr>
              <w:rPr>
                <w:rFonts w:ascii="Times New Roman" w:hAnsi="Times New Roman"/>
                <w:sz w:val="20"/>
                <w:szCs w:val="20"/>
              </w:rPr>
            </w:pPr>
          </w:p>
        </w:tc>
        <w:tc>
          <w:tcPr>
            <w:tcW w:w="50" w:type="pct"/>
            <w:shd w:val="clear" w:color="auto" w:fill="auto"/>
            <w:vAlign w:val="center"/>
          </w:tcPr>
          <w:p w14:paraId="555681D8" w14:textId="77777777" w:rsidR="00F925DD" w:rsidRDefault="00F925DD">
            <w:pPr>
              <w:rPr>
                <w:rFonts w:ascii="Times New Roman" w:hAnsi="Times New Roman"/>
                <w:sz w:val="20"/>
                <w:szCs w:val="20"/>
              </w:rPr>
            </w:pPr>
          </w:p>
        </w:tc>
        <w:tc>
          <w:tcPr>
            <w:tcW w:w="750" w:type="pct"/>
            <w:shd w:val="clear" w:color="auto" w:fill="auto"/>
            <w:vAlign w:val="center"/>
          </w:tcPr>
          <w:p w14:paraId="555681D9" w14:textId="77777777" w:rsidR="00F925DD" w:rsidRDefault="00F925DD">
            <w:pPr>
              <w:rPr>
                <w:rFonts w:ascii="Times New Roman" w:hAnsi="Times New Roman"/>
                <w:sz w:val="20"/>
                <w:szCs w:val="20"/>
              </w:rPr>
            </w:pPr>
          </w:p>
        </w:tc>
        <w:tc>
          <w:tcPr>
            <w:tcW w:w="50" w:type="pct"/>
            <w:shd w:val="clear" w:color="auto" w:fill="auto"/>
            <w:vAlign w:val="center"/>
          </w:tcPr>
          <w:p w14:paraId="555681DA" w14:textId="77777777" w:rsidR="00F925DD" w:rsidRDefault="00F925DD">
            <w:pPr>
              <w:rPr>
                <w:rFonts w:ascii="Times New Roman" w:hAnsi="Times New Roman"/>
                <w:sz w:val="20"/>
                <w:szCs w:val="20"/>
              </w:rPr>
            </w:pPr>
          </w:p>
        </w:tc>
        <w:tc>
          <w:tcPr>
            <w:tcW w:w="50" w:type="pct"/>
            <w:shd w:val="clear" w:color="auto" w:fill="auto"/>
            <w:vAlign w:val="center"/>
          </w:tcPr>
          <w:p w14:paraId="555681DB" w14:textId="77777777" w:rsidR="00F925DD" w:rsidRDefault="00F925DD">
            <w:pPr>
              <w:rPr>
                <w:rFonts w:ascii="Times New Roman" w:hAnsi="Times New Roman"/>
                <w:sz w:val="20"/>
                <w:szCs w:val="20"/>
              </w:rPr>
            </w:pPr>
          </w:p>
        </w:tc>
        <w:tc>
          <w:tcPr>
            <w:tcW w:w="550" w:type="pct"/>
            <w:shd w:val="clear" w:color="auto" w:fill="auto"/>
            <w:vAlign w:val="center"/>
          </w:tcPr>
          <w:p w14:paraId="555681DC" w14:textId="77777777" w:rsidR="00F925DD" w:rsidRDefault="00F925DD">
            <w:pPr>
              <w:rPr>
                <w:rFonts w:ascii="Times New Roman" w:hAnsi="Times New Roman"/>
                <w:sz w:val="20"/>
                <w:szCs w:val="20"/>
              </w:rPr>
            </w:pPr>
          </w:p>
        </w:tc>
        <w:tc>
          <w:tcPr>
            <w:tcW w:w="50" w:type="pct"/>
            <w:shd w:val="clear" w:color="auto" w:fill="auto"/>
            <w:vAlign w:val="center"/>
          </w:tcPr>
          <w:p w14:paraId="555681DD" w14:textId="77777777" w:rsidR="00F925DD" w:rsidRDefault="00F925DD">
            <w:pPr>
              <w:rPr>
                <w:rFonts w:ascii="Times New Roman" w:hAnsi="Times New Roman"/>
                <w:sz w:val="20"/>
                <w:szCs w:val="20"/>
              </w:rPr>
            </w:pPr>
          </w:p>
        </w:tc>
        <w:tc>
          <w:tcPr>
            <w:tcW w:w="50" w:type="pct"/>
            <w:shd w:val="clear" w:color="auto" w:fill="auto"/>
            <w:vAlign w:val="center"/>
          </w:tcPr>
          <w:p w14:paraId="555681DE" w14:textId="77777777" w:rsidR="00F925DD" w:rsidRDefault="00F925DD">
            <w:pPr>
              <w:rPr>
                <w:rFonts w:ascii="Times New Roman" w:hAnsi="Times New Roman"/>
                <w:sz w:val="20"/>
                <w:szCs w:val="20"/>
              </w:rPr>
            </w:pPr>
          </w:p>
        </w:tc>
        <w:tc>
          <w:tcPr>
            <w:tcW w:w="550" w:type="pct"/>
            <w:shd w:val="clear" w:color="auto" w:fill="auto"/>
            <w:vAlign w:val="center"/>
          </w:tcPr>
          <w:p w14:paraId="555681DF" w14:textId="77777777" w:rsidR="00F925DD" w:rsidRDefault="00F925DD">
            <w:pPr>
              <w:rPr>
                <w:rFonts w:ascii="Times New Roman" w:hAnsi="Times New Roman"/>
                <w:sz w:val="20"/>
                <w:szCs w:val="20"/>
              </w:rPr>
            </w:pPr>
          </w:p>
        </w:tc>
        <w:tc>
          <w:tcPr>
            <w:tcW w:w="50" w:type="pct"/>
            <w:shd w:val="clear" w:color="auto" w:fill="auto"/>
            <w:vAlign w:val="center"/>
          </w:tcPr>
          <w:p w14:paraId="555681E0" w14:textId="77777777" w:rsidR="00F925DD" w:rsidRDefault="00F925DD">
            <w:pPr>
              <w:rPr>
                <w:rFonts w:ascii="Times New Roman" w:hAnsi="Times New Roman"/>
                <w:sz w:val="20"/>
                <w:szCs w:val="20"/>
              </w:rPr>
            </w:pPr>
          </w:p>
        </w:tc>
      </w:tr>
      <w:tr w:rsidR="00F925DD" w14:paraId="555681E3" w14:textId="77777777">
        <w:tc>
          <w:tcPr>
            <w:tcW w:w="0" w:type="auto"/>
            <w:gridSpan w:val="18"/>
            <w:shd w:val="clear" w:color="auto" w:fill="auto"/>
            <w:tcMar>
              <w:top w:w="40" w:type="dxa"/>
              <w:left w:w="40" w:type="dxa"/>
              <w:bottom w:w="40" w:type="dxa"/>
              <w:right w:w="40" w:type="dxa"/>
            </w:tcMar>
            <w:vAlign w:val="bottom"/>
          </w:tcPr>
          <w:p w14:paraId="555681E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13: ASSETS UNDER CUSTODY AND/OR ADMINISTRATION BY GEOGRAPHY</w:t>
            </w:r>
            <w:r>
              <w:rPr>
                <w:rFonts w:ascii="Arial" w:eastAsia="宋体" w:hAnsi="Arial" w:cs="Arial"/>
                <w:b/>
                <w:bCs/>
                <w:sz w:val="10"/>
                <w:szCs w:val="10"/>
              </w:rPr>
              <w:t>(1)</w:t>
            </w:r>
          </w:p>
        </w:tc>
      </w:tr>
      <w:tr w:rsidR="00F925DD" w14:paraId="555681EE" w14:textId="77777777">
        <w:tc>
          <w:tcPr>
            <w:tcW w:w="0" w:type="auto"/>
            <w:shd w:val="clear" w:color="auto" w:fill="auto"/>
            <w:tcMar>
              <w:top w:w="40" w:type="dxa"/>
              <w:left w:w="40" w:type="dxa"/>
              <w:bottom w:w="40" w:type="dxa"/>
              <w:right w:w="40" w:type="dxa"/>
            </w:tcMar>
            <w:vAlign w:val="bottom"/>
          </w:tcPr>
          <w:p w14:paraId="555681E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1E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555681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1E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2018</w:t>
            </w:r>
          </w:p>
        </w:tc>
        <w:tc>
          <w:tcPr>
            <w:tcW w:w="0" w:type="auto"/>
            <w:shd w:val="clear" w:color="auto" w:fill="auto"/>
            <w:tcMar>
              <w:top w:w="40" w:type="dxa"/>
              <w:left w:w="40" w:type="dxa"/>
              <w:bottom w:w="40" w:type="dxa"/>
              <w:right w:w="40" w:type="dxa"/>
            </w:tcMar>
            <w:vAlign w:val="bottom"/>
          </w:tcPr>
          <w:p w14:paraId="555681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1E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2017</w:t>
            </w:r>
          </w:p>
        </w:tc>
        <w:tc>
          <w:tcPr>
            <w:tcW w:w="0" w:type="auto"/>
            <w:shd w:val="clear" w:color="auto" w:fill="auto"/>
            <w:tcMar>
              <w:top w:w="40" w:type="dxa"/>
              <w:left w:w="40" w:type="dxa"/>
              <w:bottom w:w="40" w:type="dxa"/>
              <w:right w:w="40" w:type="dxa"/>
            </w:tcMar>
            <w:vAlign w:val="bottom"/>
          </w:tcPr>
          <w:p w14:paraId="555681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1E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w:t>
            </w:r>
            <w:r>
              <w:rPr>
                <w:rFonts w:ascii="Arial" w:eastAsia="宋体" w:hAnsi="Arial" w:cs="Arial"/>
                <w:b/>
                <w:bCs/>
                <w:sz w:val="14"/>
                <w:szCs w:val="14"/>
              </w:rPr>
              <w:br/>
              <w:t>2019 vs. 2018</w:t>
            </w:r>
          </w:p>
        </w:tc>
        <w:tc>
          <w:tcPr>
            <w:tcW w:w="0" w:type="auto"/>
            <w:shd w:val="clear" w:color="auto" w:fill="auto"/>
            <w:tcMar>
              <w:top w:w="40" w:type="dxa"/>
              <w:left w:w="40" w:type="dxa"/>
              <w:bottom w:w="40" w:type="dxa"/>
              <w:right w:w="40" w:type="dxa"/>
            </w:tcMar>
            <w:vAlign w:val="bottom"/>
          </w:tcPr>
          <w:p w14:paraId="555681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1E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Change</w:t>
            </w:r>
            <w:r>
              <w:rPr>
                <w:rFonts w:ascii="Arial" w:eastAsia="宋体" w:hAnsi="Arial" w:cs="Arial"/>
                <w:b/>
                <w:bCs/>
                <w:sz w:val="14"/>
                <w:szCs w:val="14"/>
              </w:rPr>
              <w:br/>
              <w:t>2018 vs. 2017</w:t>
            </w:r>
          </w:p>
        </w:tc>
      </w:tr>
      <w:tr w:rsidR="00F925DD" w14:paraId="55568201" w14:textId="77777777">
        <w:tc>
          <w:tcPr>
            <w:tcW w:w="0" w:type="auto"/>
            <w:shd w:val="clear" w:color="auto" w:fill="CCEEFF"/>
            <w:tcMar>
              <w:top w:w="40" w:type="dxa"/>
              <w:left w:w="40" w:type="dxa"/>
              <w:bottom w:w="40" w:type="dxa"/>
              <w:right w:w="40" w:type="dxa"/>
            </w:tcMar>
            <w:vAlign w:val="bottom"/>
          </w:tcPr>
          <w:p w14:paraId="555681EF" w14:textId="77777777" w:rsidR="00F925DD" w:rsidRDefault="00E705D7">
            <w:pPr>
              <w:textAlignment w:val="bottom"/>
              <w:rPr>
                <w:rFonts w:ascii="Times New Roman" w:hAnsi="Times New Roman"/>
                <w:sz w:val="14"/>
                <w:szCs w:val="14"/>
              </w:rPr>
            </w:pPr>
            <w:r>
              <w:rPr>
                <w:rFonts w:ascii="Arial" w:eastAsia="宋体" w:hAnsi="Arial" w:cs="Arial"/>
                <w:sz w:val="14"/>
                <w:szCs w:val="14"/>
              </w:rPr>
              <w:t>Americas</w:t>
            </w:r>
          </w:p>
        </w:tc>
        <w:tc>
          <w:tcPr>
            <w:tcW w:w="0" w:type="auto"/>
            <w:shd w:val="clear" w:color="auto" w:fill="CCEEFF"/>
            <w:tcMar>
              <w:top w:w="40" w:type="dxa"/>
              <w:left w:w="40" w:type="dxa"/>
              <w:bottom w:w="40" w:type="dxa"/>
            </w:tcMar>
            <w:vAlign w:val="bottom"/>
          </w:tcPr>
          <w:p w14:paraId="555681F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81F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25,018</w:t>
            </w:r>
          </w:p>
        </w:tc>
        <w:tc>
          <w:tcPr>
            <w:tcW w:w="0" w:type="auto"/>
            <w:shd w:val="clear" w:color="auto" w:fill="CCEEFF"/>
            <w:vAlign w:val="bottom"/>
          </w:tcPr>
          <w:p w14:paraId="555681F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F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1F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23,203</w:t>
            </w:r>
          </w:p>
        </w:tc>
        <w:tc>
          <w:tcPr>
            <w:tcW w:w="0" w:type="auto"/>
            <w:shd w:val="clear" w:color="auto" w:fill="CCEEFF"/>
            <w:vAlign w:val="bottom"/>
          </w:tcPr>
          <w:p w14:paraId="555681F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F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1F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24,418</w:t>
            </w:r>
          </w:p>
        </w:tc>
        <w:tc>
          <w:tcPr>
            <w:tcW w:w="0" w:type="auto"/>
            <w:shd w:val="clear" w:color="auto" w:fill="CCEEFF"/>
            <w:vAlign w:val="bottom"/>
          </w:tcPr>
          <w:p w14:paraId="555681F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1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F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shd w:val="clear" w:color="auto" w:fill="CCEEFF"/>
            <w:tcMar>
              <w:top w:w="40" w:type="dxa"/>
              <w:bottom w:w="40" w:type="dxa"/>
              <w:right w:w="40" w:type="dxa"/>
            </w:tcMar>
            <w:vAlign w:val="bottom"/>
          </w:tcPr>
          <w:p w14:paraId="555681F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81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1F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CCEEFF"/>
            <w:tcMar>
              <w:top w:w="40" w:type="dxa"/>
              <w:bottom w:w="40" w:type="dxa"/>
              <w:right w:w="40" w:type="dxa"/>
            </w:tcMar>
            <w:vAlign w:val="bottom"/>
          </w:tcPr>
          <w:p w14:paraId="5556820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8211" w14:textId="77777777">
        <w:tc>
          <w:tcPr>
            <w:tcW w:w="0" w:type="auto"/>
            <w:shd w:val="clear" w:color="auto" w:fill="auto"/>
            <w:tcMar>
              <w:top w:w="40" w:type="dxa"/>
              <w:left w:w="40" w:type="dxa"/>
              <w:bottom w:w="40" w:type="dxa"/>
              <w:right w:w="40" w:type="dxa"/>
            </w:tcMar>
            <w:vAlign w:val="bottom"/>
          </w:tcPr>
          <w:p w14:paraId="55568202" w14:textId="77777777" w:rsidR="00F925DD" w:rsidRDefault="00E705D7">
            <w:pPr>
              <w:textAlignment w:val="bottom"/>
              <w:rPr>
                <w:rFonts w:ascii="Times New Roman" w:hAnsi="Times New Roman"/>
                <w:sz w:val="14"/>
                <w:szCs w:val="14"/>
              </w:rPr>
            </w:pPr>
            <w:r>
              <w:rPr>
                <w:rFonts w:ascii="Arial" w:eastAsia="宋体" w:hAnsi="Arial" w:cs="Arial"/>
                <w:sz w:val="14"/>
                <w:szCs w:val="14"/>
              </w:rPr>
              <w:t>Europe/Middle East/Africa</w:t>
            </w:r>
          </w:p>
        </w:tc>
        <w:tc>
          <w:tcPr>
            <w:tcW w:w="0" w:type="auto"/>
            <w:gridSpan w:val="2"/>
            <w:shd w:val="clear" w:color="auto" w:fill="auto"/>
            <w:tcMar>
              <w:top w:w="40" w:type="dxa"/>
              <w:left w:w="40" w:type="dxa"/>
              <w:bottom w:w="40" w:type="dxa"/>
            </w:tcMar>
            <w:vAlign w:val="bottom"/>
          </w:tcPr>
          <w:p w14:paraId="5556820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7,325</w:t>
            </w:r>
          </w:p>
        </w:tc>
        <w:tc>
          <w:tcPr>
            <w:tcW w:w="0" w:type="auto"/>
            <w:shd w:val="clear" w:color="auto" w:fill="auto"/>
            <w:vAlign w:val="bottom"/>
          </w:tcPr>
          <w:p w14:paraId="5556820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20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6,699</w:t>
            </w:r>
          </w:p>
        </w:tc>
        <w:tc>
          <w:tcPr>
            <w:tcW w:w="0" w:type="auto"/>
            <w:shd w:val="clear" w:color="auto" w:fill="auto"/>
            <w:vAlign w:val="bottom"/>
          </w:tcPr>
          <w:p w14:paraId="555682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20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7,028</w:t>
            </w:r>
          </w:p>
        </w:tc>
        <w:tc>
          <w:tcPr>
            <w:tcW w:w="0" w:type="auto"/>
            <w:shd w:val="clear" w:color="auto" w:fill="auto"/>
            <w:vAlign w:val="bottom"/>
          </w:tcPr>
          <w:p w14:paraId="5556820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20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vAlign w:val="bottom"/>
          </w:tcPr>
          <w:p w14:paraId="5556820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20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tcMar>
              <w:top w:w="40" w:type="dxa"/>
              <w:bottom w:w="40" w:type="dxa"/>
              <w:right w:w="40" w:type="dxa"/>
            </w:tcMar>
            <w:vAlign w:val="bottom"/>
          </w:tcPr>
          <w:p w14:paraId="5556821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8221" w14:textId="77777777">
        <w:tc>
          <w:tcPr>
            <w:tcW w:w="0" w:type="auto"/>
            <w:shd w:val="clear" w:color="auto" w:fill="CCEEFF"/>
            <w:tcMar>
              <w:top w:w="40" w:type="dxa"/>
              <w:left w:w="40" w:type="dxa"/>
              <w:bottom w:w="40" w:type="dxa"/>
              <w:right w:w="40" w:type="dxa"/>
            </w:tcMar>
            <w:vAlign w:val="bottom"/>
          </w:tcPr>
          <w:p w14:paraId="55568212" w14:textId="77777777" w:rsidR="00F925DD" w:rsidRDefault="00E705D7">
            <w:pPr>
              <w:textAlignment w:val="bottom"/>
              <w:rPr>
                <w:rFonts w:ascii="Times New Roman" w:hAnsi="Times New Roman"/>
                <w:sz w:val="14"/>
                <w:szCs w:val="14"/>
              </w:rPr>
            </w:pPr>
            <w:r>
              <w:rPr>
                <w:rFonts w:ascii="Arial" w:eastAsia="宋体" w:hAnsi="Arial" w:cs="Arial"/>
                <w:sz w:val="14"/>
                <w:szCs w:val="14"/>
              </w:rPr>
              <w:t>Asia/Pacific</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21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2,015</w:t>
            </w:r>
          </w:p>
        </w:tc>
        <w:tc>
          <w:tcPr>
            <w:tcW w:w="0" w:type="auto"/>
            <w:tcBorders>
              <w:bottom w:val="single" w:sz="8" w:space="0" w:color="000000"/>
            </w:tcBorders>
            <w:shd w:val="clear" w:color="auto" w:fill="CCEEFF"/>
            <w:vAlign w:val="bottom"/>
          </w:tcPr>
          <w:p w14:paraId="5556821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21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1,718</w:t>
            </w:r>
          </w:p>
        </w:tc>
        <w:tc>
          <w:tcPr>
            <w:tcW w:w="0" w:type="auto"/>
            <w:tcBorders>
              <w:bottom w:val="single" w:sz="8" w:space="0" w:color="000000"/>
            </w:tcBorders>
            <w:shd w:val="clear" w:color="auto" w:fill="CCEEFF"/>
            <w:vAlign w:val="bottom"/>
          </w:tcPr>
          <w:p w14:paraId="5556821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21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1,673</w:t>
            </w:r>
          </w:p>
        </w:tc>
        <w:tc>
          <w:tcPr>
            <w:tcW w:w="0" w:type="auto"/>
            <w:tcBorders>
              <w:bottom w:val="single" w:sz="8" w:space="0" w:color="000000"/>
            </w:tcBorders>
            <w:shd w:val="clear" w:color="auto" w:fill="CCEEFF"/>
            <w:vAlign w:val="bottom"/>
          </w:tcPr>
          <w:p w14:paraId="555682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2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w:t>
            </w:r>
          </w:p>
        </w:tc>
        <w:tc>
          <w:tcPr>
            <w:tcW w:w="0" w:type="auto"/>
            <w:shd w:val="clear" w:color="auto" w:fill="CCEEFF"/>
            <w:vAlign w:val="bottom"/>
          </w:tcPr>
          <w:p w14:paraId="5556821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21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CCEEFF"/>
            <w:vAlign w:val="bottom"/>
          </w:tcPr>
          <w:p w14:paraId="55568220" w14:textId="77777777" w:rsidR="00F925DD" w:rsidRDefault="00F925DD">
            <w:pPr>
              <w:textAlignment w:val="bottom"/>
              <w:rPr>
                <w:rFonts w:ascii="Times New Roman" w:hAnsi="Times New Roman"/>
                <w:sz w:val="20"/>
                <w:szCs w:val="20"/>
              </w:rPr>
            </w:pPr>
          </w:p>
        </w:tc>
      </w:tr>
      <w:tr w:rsidR="00F925DD" w14:paraId="55568234" w14:textId="77777777">
        <w:tc>
          <w:tcPr>
            <w:tcW w:w="0" w:type="auto"/>
            <w:shd w:val="clear" w:color="auto" w:fill="auto"/>
            <w:tcMar>
              <w:top w:w="40" w:type="dxa"/>
              <w:left w:w="40" w:type="dxa"/>
              <w:bottom w:w="40" w:type="dxa"/>
              <w:right w:w="40" w:type="dxa"/>
            </w:tcMar>
            <w:vAlign w:val="bottom"/>
          </w:tcPr>
          <w:p w14:paraId="5556822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22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22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34,358</w:t>
            </w:r>
          </w:p>
        </w:tc>
        <w:tc>
          <w:tcPr>
            <w:tcW w:w="0" w:type="auto"/>
            <w:tcBorders>
              <w:top w:val="single" w:sz="8" w:space="0" w:color="000000"/>
              <w:bottom w:val="double" w:sz="6" w:space="0" w:color="000000"/>
            </w:tcBorders>
            <w:shd w:val="clear" w:color="auto" w:fill="auto"/>
            <w:vAlign w:val="bottom"/>
          </w:tcPr>
          <w:p w14:paraId="5556822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22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22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31,620</w:t>
            </w:r>
          </w:p>
        </w:tc>
        <w:tc>
          <w:tcPr>
            <w:tcW w:w="0" w:type="auto"/>
            <w:tcBorders>
              <w:top w:val="single" w:sz="8" w:space="0" w:color="000000"/>
              <w:bottom w:val="double" w:sz="6" w:space="0" w:color="000000"/>
            </w:tcBorders>
            <w:shd w:val="clear" w:color="auto" w:fill="auto"/>
            <w:vAlign w:val="bottom"/>
          </w:tcPr>
          <w:p w14:paraId="555682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22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2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33,119</w:t>
            </w:r>
          </w:p>
        </w:tc>
        <w:tc>
          <w:tcPr>
            <w:tcW w:w="0" w:type="auto"/>
            <w:tcBorders>
              <w:top w:val="single" w:sz="8" w:space="0" w:color="000000"/>
              <w:bottom w:val="double" w:sz="6" w:space="0" w:color="000000"/>
            </w:tcBorders>
            <w:shd w:val="clear" w:color="auto" w:fill="auto"/>
            <w:vAlign w:val="bottom"/>
          </w:tcPr>
          <w:p w14:paraId="555682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22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vAlign w:val="bottom"/>
          </w:tcPr>
          <w:p w14:paraId="5556823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23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tcMar>
              <w:top w:w="40" w:type="dxa"/>
              <w:bottom w:w="40" w:type="dxa"/>
              <w:right w:w="40" w:type="dxa"/>
            </w:tcMar>
            <w:vAlign w:val="bottom"/>
          </w:tcPr>
          <w:p w14:paraId="5556823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bl>
    <w:p w14:paraId="55568235"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8237" w14:textId="77777777">
        <w:tc>
          <w:tcPr>
            <w:tcW w:w="0" w:type="auto"/>
            <w:gridSpan w:val="2"/>
            <w:shd w:val="clear" w:color="auto" w:fill="auto"/>
            <w:vAlign w:val="center"/>
          </w:tcPr>
          <w:p w14:paraId="55568236" w14:textId="77777777" w:rsidR="00F925DD" w:rsidRDefault="00F925DD">
            <w:pPr>
              <w:rPr>
                <w:rFonts w:ascii="Times New Roman" w:hAnsi="Times New Roman"/>
                <w:sz w:val="20"/>
                <w:szCs w:val="20"/>
              </w:rPr>
            </w:pPr>
          </w:p>
        </w:tc>
      </w:tr>
      <w:tr w:rsidR="00F925DD" w14:paraId="5556823A" w14:textId="77777777">
        <w:tc>
          <w:tcPr>
            <w:tcW w:w="1400" w:type="pct"/>
            <w:shd w:val="clear" w:color="auto" w:fill="auto"/>
            <w:vAlign w:val="center"/>
          </w:tcPr>
          <w:p w14:paraId="55568238" w14:textId="77777777" w:rsidR="00F925DD" w:rsidRDefault="00F925DD">
            <w:pPr>
              <w:rPr>
                <w:rFonts w:ascii="Times New Roman" w:hAnsi="Times New Roman"/>
                <w:sz w:val="20"/>
                <w:szCs w:val="20"/>
              </w:rPr>
            </w:pPr>
          </w:p>
        </w:tc>
        <w:tc>
          <w:tcPr>
            <w:tcW w:w="3600" w:type="pct"/>
            <w:shd w:val="clear" w:color="auto" w:fill="auto"/>
            <w:vAlign w:val="center"/>
          </w:tcPr>
          <w:p w14:paraId="55568239" w14:textId="77777777" w:rsidR="00F925DD" w:rsidRDefault="00F925DD">
            <w:pPr>
              <w:rPr>
                <w:rFonts w:ascii="Times New Roman" w:hAnsi="Times New Roman"/>
                <w:sz w:val="20"/>
                <w:szCs w:val="20"/>
              </w:rPr>
            </w:pPr>
          </w:p>
        </w:tc>
      </w:tr>
      <w:tr w:rsidR="00F925DD" w14:paraId="5556823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2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2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23E"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Geographic mix is generally based on the domicile of the entity servicing the funds and is not necessarily representative of the underlying asset mix.</w:t>
      </w:r>
    </w:p>
    <w:p w14:paraId="5556823F" w14:textId="77777777" w:rsidR="00F925DD" w:rsidRDefault="00F925DD">
      <w:pPr>
        <w:rPr>
          <w:rFonts w:ascii="Times New Roman" w:hAnsi="Times New Roman"/>
          <w:sz w:val="20"/>
          <w:szCs w:val="20"/>
        </w:rPr>
      </w:pPr>
    </w:p>
    <w:p w14:paraId="55568240"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69</w:t>
      </w:r>
    </w:p>
    <w:p w14:paraId="55568241" w14:textId="77777777" w:rsidR="00F925DD" w:rsidRDefault="00F925DD">
      <w:pPr>
        <w:spacing w:line="288" w:lineRule="auto"/>
        <w:ind w:firstLine="600"/>
        <w:jc w:val="center"/>
        <w:rPr>
          <w:rFonts w:ascii="Times New Roman" w:hAnsi="Times New Roman"/>
          <w:sz w:val="18"/>
          <w:szCs w:val="18"/>
        </w:rPr>
      </w:pPr>
    </w:p>
    <w:p w14:paraId="55568242" w14:textId="77777777" w:rsidR="00F925DD" w:rsidRDefault="00E705D7">
      <w:r>
        <w:rPr>
          <w:rFonts w:ascii="Times New Roman" w:hAnsi="Times New Roman"/>
          <w:sz w:val="18"/>
          <w:szCs w:val="18"/>
        </w:rPr>
        <w:pict w14:anchorId="5557067F">
          <v:rect id="_x0000_i1093" style="width:415.3pt;height:1.5pt" o:hralign="center" o:hrstd="t" o:hr="t" fillcolor="#a0a0a0" stroked="f"/>
        </w:pict>
      </w:r>
    </w:p>
    <w:p w14:paraId="5556824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w:t>
      </w:r>
      <w:r>
        <w:rPr>
          <w:rFonts w:ascii="Arial" w:eastAsia="宋体" w:hAnsi="Arial" w:cs="Arial"/>
          <w:b/>
          <w:bCs/>
          <w:sz w:val="20"/>
          <w:szCs w:val="20"/>
        </w:rPr>
        <w:t>DISCUSSION AND ANALYSIS OF FINANCIAL CONDITION</w:t>
      </w:r>
    </w:p>
    <w:p w14:paraId="55568244"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8245" w14:textId="77777777" w:rsidR="00F925DD" w:rsidRDefault="00F925DD">
      <w:pPr>
        <w:rPr>
          <w:rFonts w:ascii="Times New Roman" w:hAnsi="Times New Roman"/>
          <w:sz w:val="20"/>
          <w:szCs w:val="20"/>
        </w:rPr>
      </w:pPr>
    </w:p>
    <w:p w14:paraId="5556824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Asset servicing mandates newly announced in 2019 totaled approximately $1.84 trillion, in line with a high of $1.89 trillion in 2018. Servicing assets remaining to be installed in fu</w:t>
      </w:r>
      <w:r>
        <w:rPr>
          <w:rFonts w:ascii="Arial" w:eastAsia="宋体" w:hAnsi="Arial" w:cs="Arial"/>
          <w:sz w:val="20"/>
          <w:szCs w:val="20"/>
        </w:rPr>
        <w:t>ture periods totaled approximately $1.17 trillion as of December 31, 2019, which will be reflected in AUC/A in future periods after installation and will generate servicing fee revenue in subsequent periods. The full revenue impact of such mandates will be</w:t>
      </w:r>
      <w:r>
        <w:rPr>
          <w:rFonts w:ascii="Arial" w:eastAsia="宋体" w:hAnsi="Arial" w:cs="Arial"/>
          <w:sz w:val="20"/>
          <w:szCs w:val="20"/>
        </w:rPr>
        <w:t xml:space="preserve"> realized over several quarters as the assets are installed and additional services are added over that period.</w:t>
      </w:r>
    </w:p>
    <w:p w14:paraId="5556824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New asset servicing mandates may be subject to completion of definitive agreements, approval of applicable boards and shareholders and </w:t>
      </w:r>
      <w:r>
        <w:rPr>
          <w:rFonts w:ascii="Arial" w:eastAsia="宋体" w:hAnsi="Arial" w:cs="Arial"/>
          <w:sz w:val="20"/>
          <w:szCs w:val="20"/>
        </w:rPr>
        <w:t>customary regulatory approvals. New asset servicing mandates and servicing assets remaining to be installed in future periods exclude certain new business which has been contracted, but for which the client has not yet provided permission to publicly discl</w:t>
      </w:r>
      <w:r>
        <w:rPr>
          <w:rFonts w:ascii="Arial" w:eastAsia="宋体" w:hAnsi="Arial" w:cs="Arial"/>
          <w:sz w:val="20"/>
          <w:szCs w:val="20"/>
        </w:rPr>
        <w:t>ose and the expected installation date extends beyond one quarter. These excluded assets, which from time to time may be significant, will be included in new asset servicing mandates and reflected in servicing assets remaining to be installed in the period</w:t>
      </w:r>
      <w:r>
        <w:rPr>
          <w:rFonts w:ascii="Arial" w:eastAsia="宋体" w:hAnsi="Arial" w:cs="Arial"/>
          <w:sz w:val="20"/>
          <w:szCs w:val="20"/>
        </w:rPr>
        <w:t xml:space="preserve"> in which the client provides its permission. Servicing mandates and servicing assets remaining to be installed in future periods are presented on a gross basis and therefore also do not include the impact of clients who have notified us during the period </w:t>
      </w:r>
      <w:r>
        <w:rPr>
          <w:rFonts w:ascii="Arial" w:eastAsia="宋体" w:hAnsi="Arial" w:cs="Arial"/>
          <w:sz w:val="20"/>
          <w:szCs w:val="20"/>
        </w:rPr>
        <w:t>of their intent to terminate or reduce their relationship with us, which may from time to time be significant.</w:t>
      </w:r>
    </w:p>
    <w:p w14:paraId="5556824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With respect to these new servicing mandates, once installed we may provide various services, including accounting, bank loan servicing, complian</w:t>
      </w:r>
      <w:r>
        <w:rPr>
          <w:rFonts w:ascii="Arial" w:eastAsia="宋体" w:hAnsi="Arial" w:cs="Arial"/>
          <w:sz w:val="20"/>
          <w:szCs w:val="20"/>
        </w:rPr>
        <w:t xml:space="preserve">ce reporting and monitoring, custody, depository banking services, FX, fund administration, hedge fund servicing, middle office outsourcing, performance and analytics, private equity administration, real estate administration, securities finance, transfer </w:t>
      </w:r>
      <w:r>
        <w:rPr>
          <w:rFonts w:ascii="Arial" w:eastAsia="宋体" w:hAnsi="Arial" w:cs="Arial"/>
          <w:sz w:val="20"/>
          <w:szCs w:val="20"/>
        </w:rPr>
        <w:t>agency and wealth management services. Revenues associated with new servicing mandates may vary based on the breadth of services provided and the timing of installation, and the types of assets.</w:t>
      </w:r>
    </w:p>
    <w:p w14:paraId="5556824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additional information about the impact of worldwide equi</w:t>
      </w:r>
      <w:r>
        <w:rPr>
          <w:rFonts w:ascii="Arial" w:eastAsia="宋体" w:hAnsi="Arial" w:cs="Arial"/>
          <w:sz w:val="20"/>
          <w:szCs w:val="20"/>
        </w:rPr>
        <w:t>ty and fixed-income valuations on our fee revenue, as well as other key drivers of our servicing fee revenue, refer to "Fee Revenue" in "Consolidated Results of Operations" included in this Management's Discussion and Analysis.</w:t>
      </w:r>
    </w:p>
    <w:p w14:paraId="5556824A"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Foreign Exchange Trading Ser</w:t>
      </w:r>
      <w:r>
        <w:rPr>
          <w:rFonts w:ascii="Arial" w:eastAsia="宋体" w:hAnsi="Arial" w:cs="Arial"/>
          <w:b/>
          <w:bCs/>
          <w:i/>
          <w:iCs/>
          <w:color w:val="000000"/>
          <w:sz w:val="20"/>
          <w:szCs w:val="20"/>
        </w:rPr>
        <w:t>vices</w:t>
      </w:r>
    </w:p>
    <w:p w14:paraId="5556824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Foreign exchange trading services revenue, as presented in Table 10: Investment Servicing Line of Business Results, decreased 9% in 2019 compared to 2018, primarily due to lower market volatility. Foreign exchange trading services is composed of reve</w:t>
      </w:r>
      <w:r>
        <w:rPr>
          <w:rFonts w:ascii="Arial" w:eastAsia="宋体" w:hAnsi="Arial" w:cs="Arial"/>
          <w:sz w:val="20"/>
          <w:szCs w:val="20"/>
        </w:rPr>
        <w:t xml:space="preserve">nue generated by FX trading and revenue generated by </w:t>
      </w:r>
    </w:p>
    <w:p w14:paraId="5556824C"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824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brokerage and other trading services, which made up 56% and 44%, respectively, of foreign exchange trading services revenue in 2019.</w:t>
      </w:r>
    </w:p>
    <w:p w14:paraId="5556824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primarily earn FX trading revenue by acting as a principal marke</w:t>
      </w:r>
      <w:r>
        <w:rPr>
          <w:rFonts w:ascii="Arial" w:eastAsia="宋体" w:hAnsi="Arial" w:cs="Arial"/>
          <w:sz w:val="20"/>
          <w:szCs w:val="20"/>
        </w:rPr>
        <w:t>t-maker through both "direct sales and trading” and “indirect FX trading.”</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8251" w14:textId="77777777">
        <w:trPr>
          <w:tblCellSpacing w:w="0" w:type="dxa"/>
        </w:trPr>
        <w:tc>
          <w:tcPr>
            <w:tcW w:w="960" w:type="dxa"/>
            <w:shd w:val="clear" w:color="auto" w:fill="auto"/>
            <w:vAlign w:val="center"/>
          </w:tcPr>
          <w:p w14:paraId="5556824F" w14:textId="77777777" w:rsidR="00F925DD" w:rsidRDefault="00F925DD">
            <w:pPr>
              <w:rPr>
                <w:rFonts w:ascii="Times New Roman" w:hAnsi="Times New Roman"/>
                <w:sz w:val="20"/>
                <w:szCs w:val="20"/>
              </w:rPr>
            </w:pPr>
          </w:p>
        </w:tc>
        <w:tc>
          <w:tcPr>
            <w:tcW w:w="0" w:type="auto"/>
            <w:shd w:val="clear" w:color="auto" w:fill="auto"/>
            <w:vAlign w:val="center"/>
          </w:tcPr>
          <w:p w14:paraId="55568250" w14:textId="77777777" w:rsidR="00F925DD" w:rsidRDefault="00F925DD">
            <w:pPr>
              <w:rPr>
                <w:rFonts w:ascii="Times New Roman" w:hAnsi="Times New Roman"/>
                <w:sz w:val="20"/>
                <w:szCs w:val="20"/>
              </w:rPr>
            </w:pPr>
          </w:p>
        </w:tc>
      </w:tr>
      <w:tr w:rsidR="00F925DD" w14:paraId="55568254" w14:textId="77777777">
        <w:trPr>
          <w:tblCellSpacing w:w="0" w:type="dxa"/>
        </w:trPr>
        <w:tc>
          <w:tcPr>
            <w:tcW w:w="0" w:type="auto"/>
            <w:shd w:val="clear" w:color="auto" w:fill="auto"/>
          </w:tcPr>
          <w:p w14:paraId="55568252" w14:textId="77777777" w:rsidR="00F925DD" w:rsidRDefault="00E705D7">
            <w:pPr>
              <w:spacing w:line="288" w:lineRule="auto"/>
              <w:textAlignment w:val="top"/>
              <w:rPr>
                <w:rFonts w:ascii="Times New Roman" w:hAnsi="Times New Roman"/>
                <w:sz w:val="20"/>
                <w:szCs w:val="20"/>
              </w:rPr>
            </w:pPr>
            <w:r>
              <w:rPr>
                <w:rFonts w:ascii="Arial" w:eastAsia="宋体" w:hAnsi="Arial" w:cs="Arial"/>
                <w:i/>
                <w:iCs/>
                <w:sz w:val="20"/>
                <w:szCs w:val="20"/>
              </w:rPr>
              <w:t>•</w:t>
            </w:r>
          </w:p>
        </w:tc>
        <w:tc>
          <w:tcPr>
            <w:tcW w:w="0" w:type="auto"/>
            <w:shd w:val="clear" w:color="auto" w:fill="auto"/>
          </w:tcPr>
          <w:p w14:paraId="5556825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Direct sales and trading</w:t>
            </w:r>
            <w:r>
              <w:rPr>
                <w:rFonts w:ascii="Arial" w:eastAsia="宋体" w:hAnsi="Arial" w:cs="Arial"/>
                <w:sz w:val="20"/>
                <w:szCs w:val="20"/>
              </w:rPr>
              <w:t xml:space="preserve">: Represent FX transactions at negotiated rates with clients and investment managers that contact our trading desk directly. These principal </w:t>
            </w:r>
            <w:r>
              <w:rPr>
                <w:rFonts w:ascii="Arial" w:eastAsia="宋体" w:hAnsi="Arial" w:cs="Arial"/>
                <w:sz w:val="20"/>
                <w:szCs w:val="20"/>
              </w:rPr>
              <w:t>market-making activities include transactions for funds serviced by third party custodians or prime brokers, as well as those funds under custody with us.</w:t>
            </w:r>
          </w:p>
        </w:tc>
      </w:tr>
    </w:tbl>
    <w:p w14:paraId="5556825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8258" w14:textId="77777777">
        <w:trPr>
          <w:tblCellSpacing w:w="0" w:type="dxa"/>
        </w:trPr>
        <w:tc>
          <w:tcPr>
            <w:tcW w:w="960" w:type="dxa"/>
            <w:shd w:val="clear" w:color="auto" w:fill="auto"/>
            <w:vAlign w:val="center"/>
          </w:tcPr>
          <w:p w14:paraId="55568256" w14:textId="77777777" w:rsidR="00F925DD" w:rsidRDefault="00F925DD">
            <w:pPr>
              <w:rPr>
                <w:rFonts w:ascii="Times New Roman" w:hAnsi="Times New Roman"/>
                <w:sz w:val="20"/>
                <w:szCs w:val="20"/>
              </w:rPr>
            </w:pPr>
          </w:p>
        </w:tc>
        <w:tc>
          <w:tcPr>
            <w:tcW w:w="0" w:type="auto"/>
            <w:shd w:val="clear" w:color="auto" w:fill="auto"/>
            <w:vAlign w:val="center"/>
          </w:tcPr>
          <w:p w14:paraId="55568257" w14:textId="77777777" w:rsidR="00F925DD" w:rsidRDefault="00F925DD">
            <w:pPr>
              <w:rPr>
                <w:rFonts w:ascii="Times New Roman" w:hAnsi="Times New Roman"/>
                <w:sz w:val="20"/>
                <w:szCs w:val="20"/>
              </w:rPr>
            </w:pPr>
          </w:p>
        </w:tc>
      </w:tr>
      <w:tr w:rsidR="00F925DD" w14:paraId="5556825B" w14:textId="77777777">
        <w:trPr>
          <w:tblCellSpacing w:w="0" w:type="dxa"/>
        </w:trPr>
        <w:tc>
          <w:tcPr>
            <w:tcW w:w="0" w:type="auto"/>
            <w:shd w:val="clear" w:color="auto" w:fill="auto"/>
          </w:tcPr>
          <w:p w14:paraId="5556825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825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Indirect FX trading</w:t>
            </w:r>
            <w:r>
              <w:rPr>
                <w:rFonts w:ascii="Arial" w:eastAsia="宋体" w:hAnsi="Arial" w:cs="Arial"/>
                <w:sz w:val="20"/>
                <w:szCs w:val="20"/>
              </w:rPr>
              <w:t>: Represents FX transactions with clients, for which we are the funds' cust</w:t>
            </w:r>
            <w:r>
              <w:rPr>
                <w:rFonts w:ascii="Arial" w:eastAsia="宋体" w:hAnsi="Arial" w:cs="Arial"/>
                <w:sz w:val="20"/>
                <w:szCs w:val="20"/>
              </w:rPr>
              <w:t>odian, or their investment managers, routed to our FX desk through our asset-servicing operation. We execute indirect FX trades as a principal at rates disclosed to our clients.</w:t>
            </w:r>
          </w:p>
        </w:tc>
      </w:tr>
    </w:tbl>
    <w:p w14:paraId="5556825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FX trading revenue is influenced by multiple factors, including: the volume and type of client FX transactions and related spreads; currency volatility, reflecting market conditions; and our management of exchange rate, interest rate and other market r</w:t>
      </w:r>
      <w:r>
        <w:rPr>
          <w:rFonts w:ascii="Arial" w:eastAsia="宋体" w:hAnsi="Arial" w:cs="Arial"/>
          <w:sz w:val="20"/>
          <w:szCs w:val="20"/>
        </w:rPr>
        <w:t>isks associated with our FX activities. The relative impact of these factors on our total FX trading revenues often differs from period to period. For example, assuming all other factors remain constant, increases or decreases in volumes or bid-offer sprea</w:t>
      </w:r>
      <w:r>
        <w:rPr>
          <w:rFonts w:ascii="Arial" w:eastAsia="宋体" w:hAnsi="Arial" w:cs="Arial"/>
          <w:sz w:val="20"/>
          <w:szCs w:val="20"/>
        </w:rPr>
        <w:t xml:space="preserve">ds across product mix tend to result in increases or decreases, as the case may be, in client-related FX revenue. </w:t>
      </w:r>
    </w:p>
    <w:p w14:paraId="5556825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clients that utilize indirect FX trading can, in addition to executing their FX transactions through dealers not affiliated with us, tran</w:t>
      </w:r>
      <w:r>
        <w:rPr>
          <w:rFonts w:ascii="Arial" w:eastAsia="宋体" w:hAnsi="Arial" w:cs="Arial"/>
          <w:sz w:val="20"/>
          <w:szCs w:val="20"/>
        </w:rPr>
        <w:t>sition from indirect FX trading to either direct sales and trading execution, including our “Street FX” service, or to one of our electronic trading platforms. Street FX, in which we continue to act as a principal market-maker, enables our clients to defin</w:t>
      </w:r>
      <w:r>
        <w:rPr>
          <w:rFonts w:ascii="Arial" w:eastAsia="宋体" w:hAnsi="Arial" w:cs="Arial"/>
          <w:sz w:val="20"/>
          <w:szCs w:val="20"/>
        </w:rPr>
        <w:t>e their FX execution strategy and automate the FX trade execution process, both for funds under custody with us as well as those under custody at another bank.</w:t>
      </w:r>
    </w:p>
    <w:p w14:paraId="5556825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also earn foreign exchange trading services revenue through "electronic FX services" and "oth</w:t>
      </w:r>
      <w:r>
        <w:rPr>
          <w:rFonts w:ascii="Arial" w:eastAsia="宋体" w:hAnsi="Arial" w:cs="Arial"/>
          <w:sz w:val="20"/>
          <w:szCs w:val="20"/>
        </w:rPr>
        <w:t xml:space="preserve">er trading, transition management and brokerage revenue."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8261" w14:textId="77777777">
        <w:trPr>
          <w:tblCellSpacing w:w="0" w:type="dxa"/>
        </w:trPr>
        <w:tc>
          <w:tcPr>
            <w:tcW w:w="960" w:type="dxa"/>
            <w:shd w:val="clear" w:color="auto" w:fill="auto"/>
            <w:vAlign w:val="center"/>
          </w:tcPr>
          <w:p w14:paraId="5556825F" w14:textId="77777777" w:rsidR="00F925DD" w:rsidRDefault="00F925DD">
            <w:pPr>
              <w:rPr>
                <w:rFonts w:ascii="Times New Roman" w:hAnsi="Times New Roman"/>
                <w:sz w:val="20"/>
                <w:szCs w:val="20"/>
              </w:rPr>
            </w:pPr>
          </w:p>
        </w:tc>
        <w:tc>
          <w:tcPr>
            <w:tcW w:w="0" w:type="auto"/>
            <w:shd w:val="clear" w:color="auto" w:fill="auto"/>
            <w:vAlign w:val="center"/>
          </w:tcPr>
          <w:p w14:paraId="55568260" w14:textId="77777777" w:rsidR="00F925DD" w:rsidRDefault="00F925DD">
            <w:pPr>
              <w:rPr>
                <w:rFonts w:ascii="Times New Roman" w:hAnsi="Times New Roman"/>
                <w:sz w:val="20"/>
                <w:szCs w:val="20"/>
              </w:rPr>
            </w:pPr>
          </w:p>
        </w:tc>
      </w:tr>
      <w:tr w:rsidR="00F925DD" w14:paraId="55568264" w14:textId="77777777">
        <w:trPr>
          <w:tblCellSpacing w:w="0" w:type="dxa"/>
        </w:trPr>
        <w:tc>
          <w:tcPr>
            <w:tcW w:w="0" w:type="auto"/>
            <w:shd w:val="clear" w:color="auto" w:fill="auto"/>
          </w:tcPr>
          <w:p w14:paraId="5556826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826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Electronic FX services: Our clients may choose to execute FX transactions through one of our electronic trading platforms. These transactions generate revenue through a “click” fee.</w:t>
            </w:r>
          </w:p>
        </w:tc>
      </w:tr>
    </w:tbl>
    <w:p w14:paraId="5556826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8268" w14:textId="77777777">
        <w:trPr>
          <w:tblCellSpacing w:w="0" w:type="dxa"/>
        </w:trPr>
        <w:tc>
          <w:tcPr>
            <w:tcW w:w="960" w:type="dxa"/>
            <w:shd w:val="clear" w:color="auto" w:fill="auto"/>
            <w:vAlign w:val="center"/>
          </w:tcPr>
          <w:p w14:paraId="55568266" w14:textId="77777777" w:rsidR="00F925DD" w:rsidRDefault="00F925DD">
            <w:pPr>
              <w:rPr>
                <w:rFonts w:ascii="Times New Roman" w:hAnsi="Times New Roman"/>
                <w:sz w:val="20"/>
                <w:szCs w:val="20"/>
              </w:rPr>
            </w:pPr>
          </w:p>
        </w:tc>
        <w:tc>
          <w:tcPr>
            <w:tcW w:w="0" w:type="auto"/>
            <w:shd w:val="clear" w:color="auto" w:fill="auto"/>
            <w:vAlign w:val="center"/>
          </w:tcPr>
          <w:p w14:paraId="55568267" w14:textId="77777777" w:rsidR="00F925DD" w:rsidRDefault="00F925DD">
            <w:pPr>
              <w:rPr>
                <w:rFonts w:ascii="Times New Roman" w:hAnsi="Times New Roman"/>
                <w:sz w:val="20"/>
                <w:szCs w:val="20"/>
              </w:rPr>
            </w:pPr>
          </w:p>
        </w:tc>
      </w:tr>
      <w:tr w:rsidR="00F925DD" w14:paraId="5556826B" w14:textId="77777777">
        <w:trPr>
          <w:tblCellSpacing w:w="0" w:type="dxa"/>
        </w:trPr>
        <w:tc>
          <w:tcPr>
            <w:tcW w:w="0" w:type="auto"/>
            <w:shd w:val="clear" w:color="auto" w:fill="auto"/>
          </w:tcPr>
          <w:p w14:paraId="5556826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826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Other trading, transition management and brokerage revenue: As our clients look to us to </w:t>
            </w:r>
          </w:p>
        </w:tc>
      </w:tr>
    </w:tbl>
    <w:p w14:paraId="5556826C" w14:textId="77777777" w:rsidR="00F925DD" w:rsidRDefault="00F925DD">
      <w:pPr>
        <w:rPr>
          <w:rFonts w:ascii="Times New Roman" w:hAnsi="Times New Roman"/>
          <w:sz w:val="20"/>
          <w:szCs w:val="20"/>
        </w:rPr>
      </w:pPr>
    </w:p>
    <w:p w14:paraId="5556826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70</w:t>
      </w:r>
    </w:p>
    <w:p w14:paraId="5556826E" w14:textId="77777777" w:rsidR="00F925DD" w:rsidRDefault="00F925DD">
      <w:pPr>
        <w:spacing w:line="288" w:lineRule="auto"/>
        <w:ind w:firstLine="600"/>
        <w:jc w:val="center"/>
        <w:rPr>
          <w:rFonts w:ascii="Times New Roman" w:hAnsi="Times New Roman"/>
          <w:sz w:val="18"/>
          <w:szCs w:val="18"/>
        </w:rPr>
      </w:pPr>
    </w:p>
    <w:p w14:paraId="5556826F" w14:textId="77777777" w:rsidR="00F925DD" w:rsidRDefault="00E705D7">
      <w:r>
        <w:rPr>
          <w:rFonts w:ascii="Times New Roman" w:hAnsi="Times New Roman"/>
          <w:sz w:val="18"/>
          <w:szCs w:val="18"/>
        </w:rPr>
        <w:pict w14:anchorId="55570680">
          <v:rect id="_x0000_i1094" style="width:415.3pt;height:1.5pt" o:hralign="center" o:hrstd="t" o:hr="t" fillcolor="#a0a0a0" stroked="f"/>
        </w:pict>
      </w:r>
    </w:p>
    <w:p w14:paraId="5556827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827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8272" w14:textId="77777777" w:rsidR="00F925DD" w:rsidRDefault="00F925DD">
      <w:pPr>
        <w:rPr>
          <w:rFonts w:ascii="Times New Roman" w:hAnsi="Times New Roman"/>
          <w:sz w:val="20"/>
          <w:szCs w:val="20"/>
        </w:rPr>
      </w:pPr>
    </w:p>
    <w:p w14:paraId="55568273"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enhance and preserve portfolio </w:t>
      </w:r>
      <w:r>
        <w:rPr>
          <w:rFonts w:ascii="Arial" w:eastAsia="宋体" w:hAnsi="Arial" w:cs="Arial"/>
          <w:sz w:val="20"/>
          <w:szCs w:val="20"/>
        </w:rPr>
        <w:t>values, they may choose to utilize our Transition or Currency Management capabilities or transact with our Equity Trade execution group. These transactions, which are not limited to foreign exchange, generate revenue via commissions charged for trades tran</w:t>
      </w:r>
      <w:r>
        <w:rPr>
          <w:rFonts w:ascii="Arial" w:eastAsia="宋体" w:hAnsi="Arial" w:cs="Arial"/>
          <w:sz w:val="20"/>
          <w:szCs w:val="20"/>
        </w:rPr>
        <w:t>sacted during the management of these portfolios.</w:t>
      </w:r>
    </w:p>
    <w:p w14:paraId="55568274"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Securities Finance</w:t>
      </w:r>
    </w:p>
    <w:p w14:paraId="5556827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securities finance business consists of three components: </w:t>
      </w:r>
    </w:p>
    <w:p w14:paraId="5556827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(1) an agency lending program for State Street Global Advisors managed investment funds with a broad range of investment obj</w:t>
      </w:r>
      <w:r>
        <w:rPr>
          <w:rFonts w:ascii="Arial" w:eastAsia="宋体" w:hAnsi="Arial" w:cs="Arial"/>
          <w:sz w:val="20"/>
          <w:szCs w:val="20"/>
        </w:rPr>
        <w:t xml:space="preserve">ectives, which we refer to as the State Street Global Advisors lending funds; </w:t>
      </w:r>
    </w:p>
    <w:p w14:paraId="5556827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(2) an agency lending program for third-party investment managers and asset owners, which we refer to as the agency lending funds; and </w:t>
      </w:r>
    </w:p>
    <w:p w14:paraId="5556827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(3) security lending transactions which w</w:t>
      </w:r>
      <w:r>
        <w:rPr>
          <w:rFonts w:ascii="Arial" w:eastAsia="宋体" w:hAnsi="Arial" w:cs="Arial"/>
          <w:sz w:val="20"/>
          <w:szCs w:val="20"/>
        </w:rPr>
        <w:t>e enter into as principal, which we refer to as our enhanced custody business.</w:t>
      </w:r>
    </w:p>
    <w:p w14:paraId="5556827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Securities finance revenue earned from our agency lending activities, which is composed of our split of both the spreads related to cash collateral and the fees related to non-c</w:t>
      </w:r>
      <w:r>
        <w:rPr>
          <w:rFonts w:ascii="Arial" w:eastAsia="宋体" w:hAnsi="Arial" w:cs="Arial"/>
          <w:sz w:val="20"/>
          <w:szCs w:val="20"/>
        </w:rPr>
        <w:t>ash collateral, is principally a function of the volume of securities on loan, the interest rate spreads and fees earned on the underlying collateral and our share of the fee split.</w:t>
      </w:r>
    </w:p>
    <w:p w14:paraId="5556827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principal, our enhanced custody business borrows securities from the le</w:t>
      </w:r>
      <w:r>
        <w:rPr>
          <w:rFonts w:ascii="Arial" w:eastAsia="宋体" w:hAnsi="Arial" w:cs="Arial"/>
          <w:sz w:val="20"/>
          <w:szCs w:val="20"/>
        </w:rPr>
        <w:t>nding client or other market participants and then lends such securities to the subsequent borrower, either our client or a broker/dealer. We act as principal when the lending client is unable to, or elects not to, transact directly with the market and exe</w:t>
      </w:r>
      <w:r>
        <w:rPr>
          <w:rFonts w:ascii="Arial" w:eastAsia="宋体" w:hAnsi="Arial" w:cs="Arial"/>
          <w:sz w:val="20"/>
          <w:szCs w:val="20"/>
        </w:rPr>
        <w:t>cute the transaction and furnish the securities. In our role as principal, we provide support to the transaction through our credit rating. While we source a significant proportion of the securities furnished by us in our role as principal from third parti</w:t>
      </w:r>
      <w:r>
        <w:rPr>
          <w:rFonts w:ascii="Arial" w:eastAsia="宋体" w:hAnsi="Arial" w:cs="Arial"/>
          <w:sz w:val="20"/>
          <w:szCs w:val="20"/>
        </w:rPr>
        <w:t>es, we have the ability to source securities through assets under custody from clients who have designated us as an eligible borrower.</w:t>
      </w:r>
    </w:p>
    <w:p w14:paraId="5556827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Securities finance revenue, as presented in Table 10: Investment Servicing Line of Business Results, decreased 15% in 201</w:t>
      </w:r>
      <w:r>
        <w:rPr>
          <w:rFonts w:ascii="Arial" w:eastAsia="宋体" w:hAnsi="Arial" w:cs="Arial"/>
          <w:sz w:val="20"/>
          <w:szCs w:val="20"/>
        </w:rPr>
        <w:t>9 compared to 2018, reflecting lower securities on loan, enhanced custody balances and spreads and the impact of balance sheet optimization efforts implemented in the second half of 2018.</w:t>
      </w:r>
    </w:p>
    <w:p w14:paraId="5556827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Market influences may continue to affect client demand for securitie</w:t>
      </w:r>
      <w:r>
        <w:rPr>
          <w:rFonts w:ascii="Arial" w:eastAsia="宋体" w:hAnsi="Arial" w:cs="Arial"/>
          <w:sz w:val="20"/>
          <w:szCs w:val="20"/>
        </w:rPr>
        <w:t xml:space="preserve">s finance, and as a result our revenue from, and the profitability of, our securities lending activities in future periods. In addition, the </w:t>
      </w:r>
    </w:p>
    <w:p w14:paraId="5556827D"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827E"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constantly evolving regulatory environment, including revised or proposed capital and liquidity standards, inter</w:t>
      </w:r>
      <w:r>
        <w:rPr>
          <w:rFonts w:ascii="Arial" w:eastAsia="宋体" w:hAnsi="Arial" w:cs="Arial"/>
          <w:sz w:val="20"/>
          <w:szCs w:val="20"/>
        </w:rPr>
        <w:t xml:space="preserve">pretations of those standards, and our own balance sheet management activities, may influence modifications to the way in which we deliver our agency lending or enhanced custody businesses, the volume of our securities lending activity and related revenue </w:t>
      </w:r>
      <w:r>
        <w:rPr>
          <w:rFonts w:ascii="Arial" w:eastAsia="宋体" w:hAnsi="Arial" w:cs="Arial"/>
          <w:sz w:val="20"/>
          <w:szCs w:val="20"/>
        </w:rPr>
        <w:t>and profitability in future periods.</w:t>
      </w:r>
    </w:p>
    <w:p w14:paraId="5556827F"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Software and Processing Fees</w:t>
      </w:r>
    </w:p>
    <w:p w14:paraId="5556828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Software and processing fees revenue includes diverse types of fees and revenue, including fees from software licensing and maintenance, fees from our structured products business and other </w:t>
      </w:r>
      <w:r>
        <w:rPr>
          <w:rFonts w:ascii="Arial" w:eastAsia="宋体" w:hAnsi="Arial" w:cs="Arial"/>
          <w:sz w:val="20"/>
          <w:szCs w:val="20"/>
        </w:rPr>
        <w:t>revenue including equity income from our joint venture investments, gains and losses on sales of other assets and amortization of our tax-advantaged investments.</w:t>
      </w:r>
    </w:p>
    <w:p w14:paraId="5556828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Software and processing fees revenue, presented in Table 10: Investment Servicing Line of Busi</w:t>
      </w:r>
      <w:r>
        <w:rPr>
          <w:rFonts w:ascii="Arial" w:eastAsia="宋体" w:hAnsi="Arial" w:cs="Arial"/>
          <w:sz w:val="20"/>
          <w:szCs w:val="20"/>
        </w:rPr>
        <w:t>ness Results, increased significantly in 2019 compared to 2018 and reflects approximately $370 million from CRD in 2019. CRD was acquired on October 1, 2018. Revenue related to the front office solutions provided by CRD is primarily driven by the sale of t</w:t>
      </w:r>
      <w:r>
        <w:rPr>
          <w:rFonts w:ascii="Arial" w:eastAsia="宋体" w:hAnsi="Arial" w:cs="Arial"/>
          <w:sz w:val="20"/>
          <w:szCs w:val="20"/>
        </w:rPr>
        <w:t>erm software licenses and software as service arrangements, including professional services such as consulting and implementation services, software support and maintenance. Revenue for a sale of software to be installed on premise is recognized at a point</w:t>
      </w:r>
      <w:r>
        <w:rPr>
          <w:rFonts w:ascii="Arial" w:eastAsia="宋体" w:hAnsi="Arial" w:cs="Arial"/>
          <w:sz w:val="20"/>
          <w:szCs w:val="20"/>
        </w:rPr>
        <w:t xml:space="preserve"> in time when the customer benefits from obtaining access to and use of the software license. Revenue for a Software as a Service (SaaS) related arrangement is recognized over time as services are provided.</w:t>
      </w:r>
    </w:p>
    <w:p w14:paraId="5556828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Other Income</w:t>
      </w:r>
    </w:p>
    <w:p w14:paraId="5556828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fourth quarter of 2019, we co</w:t>
      </w:r>
      <w:r>
        <w:rPr>
          <w:rFonts w:ascii="Arial" w:eastAsia="宋体" w:hAnsi="Arial" w:cs="Arial"/>
          <w:sz w:val="20"/>
          <w:szCs w:val="20"/>
        </w:rPr>
        <w:t>mpleted a cash tender offer for approximately $297 million of our $800 million aggregate principal amount of outstanding floating rate junior subordinated debentures due 2047, resulting in a gain of approximately $44 million</w:t>
      </w:r>
      <w:r>
        <w:rPr>
          <w:rFonts w:ascii="Arial" w:eastAsia="宋体" w:hAnsi="Arial" w:cs="Arial"/>
          <w:b/>
          <w:bCs/>
          <w:i/>
          <w:iCs/>
          <w:color w:val="000000"/>
          <w:sz w:val="20"/>
          <w:szCs w:val="20"/>
        </w:rPr>
        <w:t>.</w:t>
      </w:r>
    </w:p>
    <w:p w14:paraId="55568284"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Expenses</w:t>
      </w:r>
    </w:p>
    <w:p w14:paraId="5556828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Total expenses for In</w:t>
      </w:r>
      <w:r>
        <w:rPr>
          <w:rFonts w:ascii="Arial" w:eastAsia="宋体" w:hAnsi="Arial" w:cs="Arial"/>
          <w:sz w:val="20"/>
          <w:szCs w:val="20"/>
        </w:rPr>
        <w:t>vestment Servicing increased 1% in 2019 compared to 2018. The increases are primarily due to the impact of the CRD acquisition, technology infrastructure investments and business volumes, partially offset by savings from resource discipline initiatives and</w:t>
      </w:r>
      <w:r>
        <w:rPr>
          <w:rFonts w:ascii="Arial" w:eastAsia="宋体" w:hAnsi="Arial" w:cs="Arial"/>
          <w:sz w:val="20"/>
          <w:szCs w:val="20"/>
        </w:rPr>
        <w:t xml:space="preserve"> process re-engineering benefits through our expense savings program. Total expenses contributed by CRD in 2019 were approximately $201 million. In addition, CRD-related expenses in 2019 include $65 million in amortization of other intangible assets. Addit</w:t>
      </w:r>
      <w:r>
        <w:rPr>
          <w:rFonts w:ascii="Arial" w:eastAsia="宋体" w:hAnsi="Arial" w:cs="Arial"/>
          <w:sz w:val="20"/>
          <w:szCs w:val="20"/>
        </w:rPr>
        <w:t>ional information about expenses is provided under "Expenses" in "Consolidated Results of Operations" included in this Management's Discussion and Analysis.</w:t>
      </w:r>
    </w:p>
    <w:p w14:paraId="55568286" w14:textId="77777777" w:rsidR="00F925DD" w:rsidRDefault="00F925DD">
      <w:pPr>
        <w:rPr>
          <w:rFonts w:ascii="Times New Roman" w:hAnsi="Times New Roman"/>
          <w:sz w:val="20"/>
          <w:szCs w:val="20"/>
        </w:rPr>
      </w:pPr>
    </w:p>
    <w:p w14:paraId="5556828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71</w:t>
      </w:r>
    </w:p>
    <w:p w14:paraId="55568288" w14:textId="77777777" w:rsidR="00F925DD" w:rsidRDefault="00F925DD">
      <w:pPr>
        <w:spacing w:line="288" w:lineRule="auto"/>
        <w:ind w:firstLine="600"/>
        <w:jc w:val="center"/>
        <w:rPr>
          <w:rFonts w:ascii="Times New Roman" w:hAnsi="Times New Roman"/>
          <w:sz w:val="18"/>
          <w:szCs w:val="18"/>
        </w:rPr>
      </w:pPr>
    </w:p>
    <w:p w14:paraId="55568289" w14:textId="77777777" w:rsidR="00F925DD" w:rsidRDefault="00E705D7">
      <w:r>
        <w:rPr>
          <w:rFonts w:ascii="Times New Roman" w:hAnsi="Times New Roman"/>
          <w:sz w:val="18"/>
          <w:szCs w:val="18"/>
        </w:rPr>
        <w:pict w14:anchorId="55570681">
          <v:rect id="_x0000_i1095" style="width:415.3pt;height:1.5pt" o:hralign="center" o:hrstd="t" o:hr="t" fillcolor="#a0a0a0" stroked="f"/>
        </w:pict>
      </w:r>
    </w:p>
    <w:p w14:paraId="5556828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DISCUSSION AND ANALYSIS OF FINANCIAL </w:t>
      </w:r>
      <w:r>
        <w:rPr>
          <w:rFonts w:ascii="Arial" w:eastAsia="宋体" w:hAnsi="Arial" w:cs="Arial"/>
          <w:b/>
          <w:bCs/>
          <w:sz w:val="20"/>
          <w:szCs w:val="20"/>
        </w:rPr>
        <w:t>CONDITION</w:t>
      </w:r>
    </w:p>
    <w:p w14:paraId="5556828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828C" w14:textId="77777777" w:rsidR="00F925DD" w:rsidRDefault="00F925DD">
      <w:pPr>
        <w:rPr>
          <w:rFonts w:ascii="Times New Roman" w:hAnsi="Times New Roman"/>
          <w:sz w:val="20"/>
          <w:szCs w:val="20"/>
        </w:rPr>
      </w:pPr>
    </w:p>
    <w:p w14:paraId="5556828D"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Investment Management</w:t>
      </w:r>
    </w:p>
    <w:tbl>
      <w:tblPr>
        <w:tblW w:w="5000" w:type="pct"/>
        <w:tblCellMar>
          <w:left w:w="0" w:type="dxa"/>
          <w:right w:w="0" w:type="dxa"/>
        </w:tblCellMar>
        <w:tblLook w:val="04A0" w:firstRow="1" w:lastRow="0" w:firstColumn="1" w:lastColumn="0" w:noHBand="0" w:noVBand="1"/>
      </w:tblPr>
      <w:tblGrid>
        <w:gridCol w:w="3501"/>
        <w:gridCol w:w="129"/>
        <w:gridCol w:w="510"/>
        <w:gridCol w:w="183"/>
        <w:gridCol w:w="130"/>
        <w:gridCol w:w="129"/>
        <w:gridCol w:w="510"/>
        <w:gridCol w:w="183"/>
        <w:gridCol w:w="130"/>
        <w:gridCol w:w="129"/>
        <w:gridCol w:w="510"/>
        <w:gridCol w:w="183"/>
        <w:gridCol w:w="130"/>
        <w:gridCol w:w="678"/>
        <w:gridCol w:w="236"/>
        <w:gridCol w:w="130"/>
        <w:gridCol w:w="678"/>
        <w:gridCol w:w="227"/>
      </w:tblGrid>
      <w:tr w:rsidR="00F925DD" w14:paraId="5556828F" w14:textId="77777777">
        <w:tc>
          <w:tcPr>
            <w:tcW w:w="0" w:type="auto"/>
            <w:gridSpan w:val="18"/>
            <w:shd w:val="clear" w:color="auto" w:fill="auto"/>
            <w:vAlign w:val="center"/>
          </w:tcPr>
          <w:p w14:paraId="5556828E" w14:textId="77777777" w:rsidR="00F925DD" w:rsidRDefault="00F925DD">
            <w:pPr>
              <w:rPr>
                <w:rFonts w:ascii="Times New Roman" w:hAnsi="Times New Roman"/>
                <w:sz w:val="20"/>
                <w:szCs w:val="20"/>
              </w:rPr>
            </w:pPr>
          </w:p>
        </w:tc>
      </w:tr>
      <w:tr w:rsidR="00F925DD" w14:paraId="555682A2" w14:textId="77777777">
        <w:tc>
          <w:tcPr>
            <w:tcW w:w="2200" w:type="pct"/>
            <w:shd w:val="clear" w:color="auto" w:fill="auto"/>
            <w:vAlign w:val="center"/>
          </w:tcPr>
          <w:p w14:paraId="55568290" w14:textId="77777777" w:rsidR="00F925DD" w:rsidRDefault="00F925DD">
            <w:pPr>
              <w:rPr>
                <w:rFonts w:ascii="Times New Roman" w:hAnsi="Times New Roman"/>
                <w:sz w:val="20"/>
                <w:szCs w:val="20"/>
              </w:rPr>
            </w:pPr>
          </w:p>
        </w:tc>
        <w:tc>
          <w:tcPr>
            <w:tcW w:w="50" w:type="pct"/>
            <w:shd w:val="clear" w:color="auto" w:fill="auto"/>
            <w:vAlign w:val="center"/>
          </w:tcPr>
          <w:p w14:paraId="55568291" w14:textId="77777777" w:rsidR="00F925DD" w:rsidRDefault="00F925DD">
            <w:pPr>
              <w:rPr>
                <w:rFonts w:ascii="Times New Roman" w:hAnsi="Times New Roman"/>
                <w:sz w:val="20"/>
                <w:szCs w:val="20"/>
              </w:rPr>
            </w:pPr>
          </w:p>
        </w:tc>
        <w:tc>
          <w:tcPr>
            <w:tcW w:w="400" w:type="pct"/>
            <w:shd w:val="clear" w:color="auto" w:fill="auto"/>
            <w:vAlign w:val="center"/>
          </w:tcPr>
          <w:p w14:paraId="55568292" w14:textId="77777777" w:rsidR="00F925DD" w:rsidRDefault="00F925DD">
            <w:pPr>
              <w:rPr>
                <w:rFonts w:ascii="Times New Roman" w:hAnsi="Times New Roman"/>
                <w:sz w:val="20"/>
                <w:szCs w:val="20"/>
              </w:rPr>
            </w:pPr>
          </w:p>
        </w:tc>
        <w:tc>
          <w:tcPr>
            <w:tcW w:w="50" w:type="pct"/>
            <w:shd w:val="clear" w:color="auto" w:fill="auto"/>
            <w:vAlign w:val="center"/>
          </w:tcPr>
          <w:p w14:paraId="55568293" w14:textId="77777777" w:rsidR="00F925DD" w:rsidRDefault="00F925DD">
            <w:pPr>
              <w:rPr>
                <w:rFonts w:ascii="Times New Roman" w:hAnsi="Times New Roman"/>
                <w:sz w:val="20"/>
                <w:szCs w:val="20"/>
              </w:rPr>
            </w:pPr>
          </w:p>
        </w:tc>
        <w:tc>
          <w:tcPr>
            <w:tcW w:w="50" w:type="pct"/>
            <w:shd w:val="clear" w:color="auto" w:fill="auto"/>
            <w:vAlign w:val="center"/>
          </w:tcPr>
          <w:p w14:paraId="55568294" w14:textId="77777777" w:rsidR="00F925DD" w:rsidRDefault="00F925DD">
            <w:pPr>
              <w:rPr>
                <w:rFonts w:ascii="Times New Roman" w:hAnsi="Times New Roman"/>
                <w:sz w:val="20"/>
                <w:szCs w:val="20"/>
              </w:rPr>
            </w:pPr>
          </w:p>
        </w:tc>
        <w:tc>
          <w:tcPr>
            <w:tcW w:w="50" w:type="pct"/>
            <w:shd w:val="clear" w:color="auto" w:fill="auto"/>
            <w:vAlign w:val="center"/>
          </w:tcPr>
          <w:p w14:paraId="55568295" w14:textId="77777777" w:rsidR="00F925DD" w:rsidRDefault="00F925DD">
            <w:pPr>
              <w:rPr>
                <w:rFonts w:ascii="Times New Roman" w:hAnsi="Times New Roman"/>
                <w:sz w:val="20"/>
                <w:szCs w:val="20"/>
              </w:rPr>
            </w:pPr>
          </w:p>
        </w:tc>
        <w:tc>
          <w:tcPr>
            <w:tcW w:w="400" w:type="pct"/>
            <w:shd w:val="clear" w:color="auto" w:fill="auto"/>
            <w:vAlign w:val="center"/>
          </w:tcPr>
          <w:p w14:paraId="55568296" w14:textId="77777777" w:rsidR="00F925DD" w:rsidRDefault="00F925DD">
            <w:pPr>
              <w:rPr>
                <w:rFonts w:ascii="Times New Roman" w:hAnsi="Times New Roman"/>
                <w:sz w:val="20"/>
                <w:szCs w:val="20"/>
              </w:rPr>
            </w:pPr>
          </w:p>
        </w:tc>
        <w:tc>
          <w:tcPr>
            <w:tcW w:w="50" w:type="pct"/>
            <w:shd w:val="clear" w:color="auto" w:fill="auto"/>
            <w:vAlign w:val="center"/>
          </w:tcPr>
          <w:p w14:paraId="55568297" w14:textId="77777777" w:rsidR="00F925DD" w:rsidRDefault="00F925DD">
            <w:pPr>
              <w:rPr>
                <w:rFonts w:ascii="Times New Roman" w:hAnsi="Times New Roman"/>
                <w:sz w:val="20"/>
                <w:szCs w:val="20"/>
              </w:rPr>
            </w:pPr>
          </w:p>
        </w:tc>
        <w:tc>
          <w:tcPr>
            <w:tcW w:w="50" w:type="pct"/>
            <w:shd w:val="clear" w:color="auto" w:fill="auto"/>
            <w:vAlign w:val="center"/>
          </w:tcPr>
          <w:p w14:paraId="55568298" w14:textId="77777777" w:rsidR="00F925DD" w:rsidRDefault="00F925DD">
            <w:pPr>
              <w:rPr>
                <w:rFonts w:ascii="Times New Roman" w:hAnsi="Times New Roman"/>
                <w:sz w:val="20"/>
                <w:szCs w:val="20"/>
              </w:rPr>
            </w:pPr>
          </w:p>
        </w:tc>
        <w:tc>
          <w:tcPr>
            <w:tcW w:w="50" w:type="pct"/>
            <w:shd w:val="clear" w:color="auto" w:fill="auto"/>
            <w:vAlign w:val="center"/>
          </w:tcPr>
          <w:p w14:paraId="55568299" w14:textId="77777777" w:rsidR="00F925DD" w:rsidRDefault="00F925DD">
            <w:pPr>
              <w:rPr>
                <w:rFonts w:ascii="Times New Roman" w:hAnsi="Times New Roman"/>
                <w:sz w:val="20"/>
                <w:szCs w:val="20"/>
              </w:rPr>
            </w:pPr>
          </w:p>
        </w:tc>
        <w:tc>
          <w:tcPr>
            <w:tcW w:w="400" w:type="pct"/>
            <w:shd w:val="clear" w:color="auto" w:fill="auto"/>
            <w:vAlign w:val="center"/>
          </w:tcPr>
          <w:p w14:paraId="5556829A" w14:textId="77777777" w:rsidR="00F925DD" w:rsidRDefault="00F925DD">
            <w:pPr>
              <w:rPr>
                <w:rFonts w:ascii="Times New Roman" w:hAnsi="Times New Roman"/>
                <w:sz w:val="20"/>
                <w:szCs w:val="20"/>
              </w:rPr>
            </w:pPr>
          </w:p>
        </w:tc>
        <w:tc>
          <w:tcPr>
            <w:tcW w:w="50" w:type="pct"/>
            <w:shd w:val="clear" w:color="auto" w:fill="auto"/>
            <w:vAlign w:val="center"/>
          </w:tcPr>
          <w:p w14:paraId="5556829B" w14:textId="77777777" w:rsidR="00F925DD" w:rsidRDefault="00F925DD">
            <w:pPr>
              <w:rPr>
                <w:rFonts w:ascii="Times New Roman" w:hAnsi="Times New Roman"/>
                <w:sz w:val="20"/>
                <w:szCs w:val="20"/>
              </w:rPr>
            </w:pPr>
          </w:p>
        </w:tc>
        <w:tc>
          <w:tcPr>
            <w:tcW w:w="50" w:type="pct"/>
            <w:shd w:val="clear" w:color="auto" w:fill="auto"/>
            <w:vAlign w:val="center"/>
          </w:tcPr>
          <w:p w14:paraId="5556829C" w14:textId="77777777" w:rsidR="00F925DD" w:rsidRDefault="00F925DD">
            <w:pPr>
              <w:rPr>
                <w:rFonts w:ascii="Times New Roman" w:hAnsi="Times New Roman"/>
                <w:sz w:val="20"/>
                <w:szCs w:val="20"/>
              </w:rPr>
            </w:pPr>
          </w:p>
        </w:tc>
        <w:tc>
          <w:tcPr>
            <w:tcW w:w="500" w:type="pct"/>
            <w:shd w:val="clear" w:color="auto" w:fill="auto"/>
            <w:vAlign w:val="center"/>
          </w:tcPr>
          <w:p w14:paraId="5556829D" w14:textId="77777777" w:rsidR="00F925DD" w:rsidRDefault="00F925DD">
            <w:pPr>
              <w:rPr>
                <w:rFonts w:ascii="Times New Roman" w:hAnsi="Times New Roman"/>
                <w:sz w:val="20"/>
                <w:szCs w:val="20"/>
              </w:rPr>
            </w:pPr>
          </w:p>
        </w:tc>
        <w:tc>
          <w:tcPr>
            <w:tcW w:w="50" w:type="pct"/>
            <w:shd w:val="clear" w:color="auto" w:fill="auto"/>
            <w:vAlign w:val="center"/>
          </w:tcPr>
          <w:p w14:paraId="5556829E" w14:textId="77777777" w:rsidR="00F925DD" w:rsidRDefault="00F925DD">
            <w:pPr>
              <w:rPr>
                <w:rFonts w:ascii="Times New Roman" w:hAnsi="Times New Roman"/>
                <w:sz w:val="20"/>
                <w:szCs w:val="20"/>
              </w:rPr>
            </w:pPr>
          </w:p>
        </w:tc>
        <w:tc>
          <w:tcPr>
            <w:tcW w:w="50" w:type="pct"/>
            <w:shd w:val="clear" w:color="auto" w:fill="auto"/>
            <w:vAlign w:val="center"/>
          </w:tcPr>
          <w:p w14:paraId="5556829F" w14:textId="77777777" w:rsidR="00F925DD" w:rsidRDefault="00F925DD">
            <w:pPr>
              <w:rPr>
                <w:rFonts w:ascii="Times New Roman" w:hAnsi="Times New Roman"/>
                <w:sz w:val="20"/>
                <w:szCs w:val="20"/>
              </w:rPr>
            </w:pPr>
          </w:p>
        </w:tc>
        <w:tc>
          <w:tcPr>
            <w:tcW w:w="500" w:type="pct"/>
            <w:shd w:val="clear" w:color="auto" w:fill="auto"/>
            <w:vAlign w:val="center"/>
          </w:tcPr>
          <w:p w14:paraId="555682A0" w14:textId="77777777" w:rsidR="00F925DD" w:rsidRDefault="00F925DD">
            <w:pPr>
              <w:rPr>
                <w:rFonts w:ascii="Times New Roman" w:hAnsi="Times New Roman"/>
                <w:sz w:val="20"/>
                <w:szCs w:val="20"/>
              </w:rPr>
            </w:pPr>
          </w:p>
        </w:tc>
        <w:tc>
          <w:tcPr>
            <w:tcW w:w="50" w:type="pct"/>
            <w:shd w:val="clear" w:color="auto" w:fill="auto"/>
            <w:vAlign w:val="center"/>
          </w:tcPr>
          <w:p w14:paraId="555682A1" w14:textId="77777777" w:rsidR="00F925DD" w:rsidRDefault="00F925DD">
            <w:pPr>
              <w:rPr>
                <w:rFonts w:ascii="Times New Roman" w:hAnsi="Times New Roman"/>
                <w:sz w:val="20"/>
                <w:szCs w:val="20"/>
              </w:rPr>
            </w:pPr>
          </w:p>
        </w:tc>
      </w:tr>
      <w:tr w:rsidR="00F925DD" w14:paraId="555682A6" w14:textId="77777777">
        <w:tc>
          <w:tcPr>
            <w:tcW w:w="0" w:type="auto"/>
            <w:gridSpan w:val="15"/>
            <w:shd w:val="clear" w:color="auto" w:fill="auto"/>
            <w:tcMar>
              <w:top w:w="40" w:type="dxa"/>
              <w:left w:w="40" w:type="dxa"/>
              <w:bottom w:w="40" w:type="dxa"/>
              <w:right w:w="40" w:type="dxa"/>
            </w:tcMar>
            <w:vAlign w:val="bottom"/>
          </w:tcPr>
          <w:p w14:paraId="555682A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14: INVESTMENT MANAGEMENT LINE OF BUSINESS RESULTS</w:t>
            </w:r>
          </w:p>
        </w:tc>
        <w:tc>
          <w:tcPr>
            <w:tcW w:w="0" w:type="auto"/>
            <w:shd w:val="clear" w:color="auto" w:fill="auto"/>
            <w:tcMar>
              <w:top w:w="40" w:type="dxa"/>
              <w:left w:w="40" w:type="dxa"/>
              <w:bottom w:w="40" w:type="dxa"/>
              <w:right w:w="40" w:type="dxa"/>
            </w:tcMar>
            <w:vAlign w:val="bottom"/>
          </w:tcPr>
          <w:p w14:paraId="555682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2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2AD" w14:textId="77777777">
        <w:tc>
          <w:tcPr>
            <w:tcW w:w="0" w:type="auto"/>
            <w:vMerge w:val="restart"/>
            <w:shd w:val="clear" w:color="auto" w:fill="auto"/>
            <w:tcMar>
              <w:top w:w="40" w:type="dxa"/>
              <w:left w:w="40" w:type="dxa"/>
              <w:bottom w:w="40" w:type="dxa"/>
              <w:right w:w="40" w:type="dxa"/>
            </w:tcMar>
            <w:vAlign w:val="bottom"/>
          </w:tcPr>
          <w:p w14:paraId="555682A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(Dollars in millions, except where otherwise noted)</w:t>
            </w:r>
          </w:p>
        </w:tc>
        <w:tc>
          <w:tcPr>
            <w:tcW w:w="0" w:type="auto"/>
            <w:gridSpan w:val="11"/>
            <w:tcBorders>
              <w:bottom w:val="single" w:sz="8" w:space="0" w:color="000000"/>
            </w:tcBorders>
            <w:shd w:val="clear" w:color="auto" w:fill="auto"/>
            <w:tcMar>
              <w:top w:w="40" w:type="dxa"/>
              <w:left w:w="40" w:type="dxa"/>
              <w:bottom w:w="40" w:type="dxa"/>
            </w:tcMar>
            <w:vAlign w:val="bottom"/>
          </w:tcPr>
          <w:p w14:paraId="555682A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Years Ended December 31,</w:t>
            </w:r>
          </w:p>
        </w:tc>
        <w:tc>
          <w:tcPr>
            <w:tcW w:w="0" w:type="auto"/>
            <w:shd w:val="clear" w:color="auto" w:fill="auto"/>
            <w:tcMar>
              <w:top w:w="40" w:type="dxa"/>
              <w:left w:w="40" w:type="dxa"/>
              <w:bottom w:w="40" w:type="dxa"/>
              <w:right w:w="40" w:type="dxa"/>
            </w:tcMar>
            <w:vAlign w:val="bottom"/>
          </w:tcPr>
          <w:p w14:paraId="555682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555682AA"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 Change 2019 vs. 2018</w:t>
            </w:r>
          </w:p>
        </w:tc>
        <w:tc>
          <w:tcPr>
            <w:tcW w:w="0" w:type="auto"/>
            <w:vMerge w:val="restart"/>
            <w:shd w:val="clear" w:color="auto" w:fill="auto"/>
            <w:tcMar>
              <w:top w:w="40" w:type="dxa"/>
              <w:left w:w="40" w:type="dxa"/>
              <w:bottom w:w="40" w:type="dxa"/>
              <w:right w:w="40" w:type="dxa"/>
            </w:tcMar>
            <w:vAlign w:val="bottom"/>
          </w:tcPr>
          <w:p w14:paraId="555682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val="restart"/>
            <w:tcBorders>
              <w:bottom w:val="single" w:sz="8" w:space="0" w:color="000000"/>
            </w:tcBorders>
            <w:shd w:val="clear" w:color="auto" w:fill="auto"/>
            <w:tcMar>
              <w:top w:w="40" w:type="dxa"/>
              <w:left w:w="40" w:type="dxa"/>
              <w:bottom w:w="40" w:type="dxa"/>
              <w:right w:w="40" w:type="dxa"/>
            </w:tcMar>
            <w:vAlign w:val="bottom"/>
          </w:tcPr>
          <w:p w14:paraId="555682AC"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 xml:space="preserve">% </w:t>
            </w:r>
            <w:r>
              <w:rPr>
                <w:rFonts w:ascii="Arial" w:eastAsia="宋体" w:hAnsi="Arial" w:cs="Arial"/>
                <w:b/>
                <w:bCs/>
                <w:sz w:val="16"/>
                <w:szCs w:val="16"/>
              </w:rPr>
              <w:t>Change 2018 vs. 2017</w:t>
            </w:r>
          </w:p>
        </w:tc>
      </w:tr>
      <w:tr w:rsidR="00F925DD" w14:paraId="555682B8" w14:textId="77777777">
        <w:tc>
          <w:tcPr>
            <w:tcW w:w="0" w:type="auto"/>
            <w:vMerge/>
            <w:shd w:val="clear" w:color="auto" w:fill="auto"/>
            <w:tcMar>
              <w:top w:w="40" w:type="dxa"/>
              <w:left w:w="40" w:type="dxa"/>
              <w:bottom w:w="40" w:type="dxa"/>
              <w:right w:w="40" w:type="dxa"/>
            </w:tcMar>
            <w:vAlign w:val="bottom"/>
          </w:tcPr>
          <w:p w14:paraId="555682AE" w14:textId="77777777" w:rsidR="00F925DD" w:rsidRDefault="00F925DD">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2A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82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2B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555682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2B3"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c>
          <w:tcPr>
            <w:tcW w:w="0" w:type="auto"/>
            <w:shd w:val="clear" w:color="auto" w:fill="auto"/>
            <w:tcMar>
              <w:top w:w="40" w:type="dxa"/>
              <w:left w:w="40" w:type="dxa"/>
              <w:bottom w:w="40" w:type="dxa"/>
              <w:right w:w="40" w:type="dxa"/>
            </w:tcMar>
            <w:vAlign w:val="bottom"/>
          </w:tcPr>
          <w:p w14:paraId="555682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555682B5"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82B6" w14:textId="77777777" w:rsidR="00F925DD" w:rsidRDefault="00F925DD">
            <w:pPr>
              <w:rPr>
                <w:rFonts w:ascii="Times New Roman" w:hAnsi="Times New Roman"/>
                <w:sz w:val="20"/>
                <w:szCs w:val="20"/>
              </w:rPr>
            </w:pPr>
          </w:p>
        </w:tc>
        <w:tc>
          <w:tcPr>
            <w:tcW w:w="0" w:type="auto"/>
            <w:gridSpan w:val="2"/>
            <w:vMerge/>
            <w:tcBorders>
              <w:bottom w:val="single" w:sz="8" w:space="0" w:color="000000"/>
            </w:tcBorders>
            <w:shd w:val="clear" w:color="auto" w:fill="auto"/>
            <w:tcMar>
              <w:top w:w="40" w:type="dxa"/>
              <w:left w:w="40" w:type="dxa"/>
              <w:bottom w:w="40" w:type="dxa"/>
              <w:right w:w="40" w:type="dxa"/>
            </w:tcMar>
            <w:vAlign w:val="bottom"/>
          </w:tcPr>
          <w:p w14:paraId="555682B7" w14:textId="77777777" w:rsidR="00F925DD" w:rsidRDefault="00F925DD">
            <w:pPr>
              <w:rPr>
                <w:rFonts w:ascii="Times New Roman" w:hAnsi="Times New Roman"/>
                <w:sz w:val="20"/>
                <w:szCs w:val="20"/>
              </w:rPr>
            </w:pPr>
          </w:p>
        </w:tc>
      </w:tr>
      <w:tr w:rsidR="00F925DD" w14:paraId="555682CB" w14:textId="77777777">
        <w:tc>
          <w:tcPr>
            <w:tcW w:w="0" w:type="auto"/>
            <w:shd w:val="clear" w:color="auto" w:fill="CCEEFF"/>
            <w:tcMar>
              <w:top w:w="40" w:type="dxa"/>
              <w:left w:w="40" w:type="dxa"/>
              <w:bottom w:w="40" w:type="dxa"/>
              <w:right w:w="40" w:type="dxa"/>
            </w:tcMar>
            <w:vAlign w:val="bottom"/>
          </w:tcPr>
          <w:p w14:paraId="555682B9" w14:textId="77777777" w:rsidR="00F925DD" w:rsidRDefault="00E705D7">
            <w:pPr>
              <w:textAlignment w:val="bottom"/>
              <w:rPr>
                <w:rFonts w:ascii="Times New Roman" w:hAnsi="Times New Roman"/>
                <w:sz w:val="16"/>
                <w:szCs w:val="16"/>
              </w:rPr>
            </w:pPr>
            <w:r>
              <w:rPr>
                <w:rFonts w:ascii="Arial" w:eastAsia="宋体" w:hAnsi="Arial" w:cs="Arial"/>
                <w:sz w:val="16"/>
                <w:szCs w:val="16"/>
              </w:rPr>
              <w:t>Management fees</w:t>
            </w:r>
          </w:p>
        </w:tc>
        <w:tc>
          <w:tcPr>
            <w:tcW w:w="0" w:type="auto"/>
            <w:shd w:val="clear" w:color="auto" w:fill="CCEEFF"/>
            <w:tcMar>
              <w:top w:w="40" w:type="dxa"/>
              <w:left w:w="40" w:type="dxa"/>
              <w:bottom w:w="40" w:type="dxa"/>
            </w:tcMar>
            <w:vAlign w:val="bottom"/>
          </w:tcPr>
          <w:p w14:paraId="555682B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82B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1,771</w:t>
            </w:r>
          </w:p>
        </w:tc>
        <w:tc>
          <w:tcPr>
            <w:tcW w:w="0" w:type="auto"/>
            <w:shd w:val="clear" w:color="auto" w:fill="CCEEFF"/>
            <w:vAlign w:val="bottom"/>
          </w:tcPr>
          <w:p w14:paraId="555682B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2BE"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82B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1,851</w:t>
            </w:r>
          </w:p>
        </w:tc>
        <w:tc>
          <w:tcPr>
            <w:tcW w:w="0" w:type="auto"/>
            <w:shd w:val="clear" w:color="auto" w:fill="CCEEFF"/>
            <w:vAlign w:val="bottom"/>
          </w:tcPr>
          <w:p w14:paraId="555682C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2C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82C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1,616</w:t>
            </w:r>
          </w:p>
        </w:tc>
        <w:tc>
          <w:tcPr>
            <w:tcW w:w="0" w:type="auto"/>
            <w:shd w:val="clear" w:color="auto" w:fill="CCEEFF"/>
            <w:vAlign w:val="bottom"/>
          </w:tcPr>
          <w:p w14:paraId="555682C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2C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CCEEFF"/>
            <w:tcMar>
              <w:top w:w="40" w:type="dxa"/>
              <w:bottom w:w="40" w:type="dxa"/>
              <w:right w:w="40" w:type="dxa"/>
            </w:tcMar>
            <w:vAlign w:val="bottom"/>
          </w:tcPr>
          <w:p w14:paraId="555682C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82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2C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15</w:t>
            </w:r>
          </w:p>
        </w:tc>
        <w:tc>
          <w:tcPr>
            <w:tcW w:w="0" w:type="auto"/>
            <w:shd w:val="clear" w:color="auto" w:fill="CCEEFF"/>
            <w:tcMar>
              <w:top w:w="40" w:type="dxa"/>
              <w:bottom w:w="40" w:type="dxa"/>
              <w:right w:w="40" w:type="dxa"/>
            </w:tcMar>
            <w:vAlign w:val="bottom"/>
          </w:tcPr>
          <w:p w14:paraId="555682CA" w14:textId="77777777" w:rsidR="00F925DD" w:rsidRDefault="00E705D7">
            <w:pPr>
              <w:textAlignment w:val="bottom"/>
              <w:rPr>
                <w:rFonts w:ascii="Times New Roman" w:hAnsi="Times New Roman"/>
                <w:sz w:val="16"/>
                <w:szCs w:val="16"/>
              </w:rPr>
            </w:pPr>
            <w:r>
              <w:rPr>
                <w:rFonts w:ascii="Arial" w:eastAsia="宋体" w:hAnsi="Arial" w:cs="Arial"/>
                <w:sz w:val="16"/>
                <w:szCs w:val="16"/>
              </w:rPr>
              <w:t> %</w:t>
            </w:r>
          </w:p>
        </w:tc>
      </w:tr>
      <w:tr w:rsidR="00F925DD" w14:paraId="555682DB" w14:textId="77777777">
        <w:tc>
          <w:tcPr>
            <w:tcW w:w="0" w:type="auto"/>
            <w:shd w:val="clear" w:color="auto" w:fill="auto"/>
            <w:tcMar>
              <w:top w:w="40" w:type="dxa"/>
              <w:left w:w="40" w:type="dxa"/>
              <w:bottom w:w="40" w:type="dxa"/>
              <w:right w:w="40" w:type="dxa"/>
            </w:tcMar>
            <w:vAlign w:val="bottom"/>
          </w:tcPr>
          <w:p w14:paraId="555682CC" w14:textId="77777777" w:rsidR="00F925DD" w:rsidRDefault="00E705D7">
            <w:pPr>
              <w:textAlignment w:val="bottom"/>
              <w:rPr>
                <w:rFonts w:ascii="Times New Roman" w:hAnsi="Times New Roman"/>
                <w:sz w:val="16"/>
                <w:szCs w:val="16"/>
              </w:rPr>
            </w:pPr>
            <w:r>
              <w:rPr>
                <w:rFonts w:ascii="Arial" w:eastAsia="宋体" w:hAnsi="Arial" w:cs="Arial"/>
                <w:sz w:val="16"/>
                <w:szCs w:val="16"/>
              </w:rPr>
              <w:t>Foreign exchange trading services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82C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137</w:t>
            </w:r>
          </w:p>
        </w:tc>
        <w:tc>
          <w:tcPr>
            <w:tcW w:w="0" w:type="auto"/>
            <w:shd w:val="clear" w:color="auto" w:fill="auto"/>
            <w:vAlign w:val="bottom"/>
          </w:tcPr>
          <w:p w14:paraId="555682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2D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130</w:t>
            </w:r>
          </w:p>
        </w:tc>
        <w:tc>
          <w:tcPr>
            <w:tcW w:w="0" w:type="auto"/>
            <w:shd w:val="clear" w:color="auto" w:fill="auto"/>
            <w:vAlign w:val="bottom"/>
          </w:tcPr>
          <w:p w14:paraId="555682D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2D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72</w:t>
            </w:r>
          </w:p>
        </w:tc>
        <w:tc>
          <w:tcPr>
            <w:tcW w:w="0" w:type="auto"/>
            <w:shd w:val="clear" w:color="auto" w:fill="auto"/>
            <w:vAlign w:val="bottom"/>
          </w:tcPr>
          <w:p w14:paraId="555682D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2D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vAlign w:val="bottom"/>
          </w:tcPr>
          <w:p w14:paraId="555682D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2D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81</w:t>
            </w:r>
          </w:p>
        </w:tc>
        <w:tc>
          <w:tcPr>
            <w:tcW w:w="0" w:type="auto"/>
            <w:shd w:val="clear" w:color="auto" w:fill="auto"/>
            <w:vAlign w:val="bottom"/>
          </w:tcPr>
          <w:p w14:paraId="555682DA" w14:textId="77777777" w:rsidR="00F925DD" w:rsidRDefault="00F925DD">
            <w:pPr>
              <w:textAlignment w:val="bottom"/>
              <w:rPr>
                <w:rFonts w:ascii="Times New Roman" w:hAnsi="Times New Roman"/>
                <w:sz w:val="20"/>
                <w:szCs w:val="20"/>
              </w:rPr>
            </w:pPr>
          </w:p>
        </w:tc>
      </w:tr>
      <w:tr w:rsidR="00F925DD" w14:paraId="555682EB" w14:textId="77777777">
        <w:tc>
          <w:tcPr>
            <w:tcW w:w="0" w:type="auto"/>
            <w:shd w:val="clear" w:color="auto" w:fill="CCEEFF"/>
            <w:tcMar>
              <w:top w:w="40" w:type="dxa"/>
              <w:left w:w="40" w:type="dxa"/>
              <w:bottom w:w="40" w:type="dxa"/>
              <w:right w:w="40" w:type="dxa"/>
            </w:tcMar>
            <w:vAlign w:val="bottom"/>
          </w:tcPr>
          <w:p w14:paraId="555682DC" w14:textId="77777777" w:rsidR="00F925DD" w:rsidRDefault="00E705D7">
            <w:pPr>
              <w:textAlignment w:val="bottom"/>
              <w:rPr>
                <w:rFonts w:ascii="Times New Roman" w:hAnsi="Times New Roman"/>
                <w:sz w:val="16"/>
                <w:szCs w:val="16"/>
              </w:rPr>
            </w:pPr>
            <w:r>
              <w:rPr>
                <w:rFonts w:ascii="Arial" w:eastAsia="宋体" w:hAnsi="Arial" w:cs="Arial"/>
                <w:sz w:val="16"/>
                <w:szCs w:val="16"/>
              </w:rPr>
              <w:t>Securities finance</w:t>
            </w:r>
          </w:p>
        </w:tc>
        <w:tc>
          <w:tcPr>
            <w:tcW w:w="0" w:type="auto"/>
            <w:gridSpan w:val="2"/>
            <w:shd w:val="clear" w:color="auto" w:fill="CCEEFF"/>
            <w:tcMar>
              <w:top w:w="40" w:type="dxa"/>
              <w:left w:w="40" w:type="dxa"/>
              <w:bottom w:w="40" w:type="dxa"/>
            </w:tcMar>
            <w:vAlign w:val="bottom"/>
          </w:tcPr>
          <w:p w14:paraId="555682D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w:t>
            </w:r>
          </w:p>
        </w:tc>
        <w:tc>
          <w:tcPr>
            <w:tcW w:w="0" w:type="auto"/>
            <w:shd w:val="clear" w:color="auto" w:fill="CCEEFF"/>
            <w:vAlign w:val="bottom"/>
          </w:tcPr>
          <w:p w14:paraId="555682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2E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vAlign w:val="bottom"/>
          </w:tcPr>
          <w:p w14:paraId="555682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2E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82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2E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CCEEFF"/>
            <w:vAlign w:val="bottom"/>
          </w:tcPr>
          <w:p w14:paraId="555682E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2E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CCEEFF"/>
            <w:vAlign w:val="bottom"/>
          </w:tcPr>
          <w:p w14:paraId="555682EA" w14:textId="77777777" w:rsidR="00F925DD" w:rsidRDefault="00F925DD">
            <w:pPr>
              <w:textAlignment w:val="bottom"/>
              <w:rPr>
                <w:rFonts w:ascii="Times New Roman" w:hAnsi="Times New Roman"/>
                <w:sz w:val="20"/>
                <w:szCs w:val="20"/>
              </w:rPr>
            </w:pPr>
          </w:p>
        </w:tc>
      </w:tr>
      <w:tr w:rsidR="00F925DD" w14:paraId="555682FB" w14:textId="77777777">
        <w:tc>
          <w:tcPr>
            <w:tcW w:w="0" w:type="auto"/>
            <w:shd w:val="clear" w:color="auto" w:fill="auto"/>
            <w:tcMar>
              <w:top w:w="40" w:type="dxa"/>
              <w:left w:w="40" w:type="dxa"/>
              <w:bottom w:w="40" w:type="dxa"/>
              <w:right w:w="40" w:type="dxa"/>
            </w:tcMar>
            <w:vAlign w:val="bottom"/>
          </w:tcPr>
          <w:p w14:paraId="555682EC"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Software and </w:t>
            </w:r>
            <w:r>
              <w:rPr>
                <w:rFonts w:ascii="Arial" w:eastAsia="宋体" w:hAnsi="Arial" w:cs="Arial"/>
                <w:sz w:val="16"/>
                <w:szCs w:val="16"/>
              </w:rPr>
              <w:t>processing fees</w:t>
            </w:r>
            <w:r>
              <w:rPr>
                <w:rFonts w:ascii="Arial" w:eastAsia="宋体" w:hAnsi="Arial" w:cs="Arial"/>
                <w:sz w:val="10"/>
                <w:szCs w:val="10"/>
              </w:rPr>
              <w:t>(2)</w:t>
            </w:r>
          </w:p>
        </w:tc>
        <w:tc>
          <w:tcPr>
            <w:tcW w:w="0" w:type="auto"/>
            <w:gridSpan w:val="2"/>
            <w:tcBorders>
              <w:bottom w:val="single" w:sz="8" w:space="0" w:color="000000"/>
            </w:tcBorders>
            <w:shd w:val="clear" w:color="auto" w:fill="auto"/>
            <w:tcMar>
              <w:top w:w="40" w:type="dxa"/>
              <w:left w:w="40" w:type="dxa"/>
              <w:bottom w:w="40" w:type="dxa"/>
            </w:tcMar>
            <w:vAlign w:val="bottom"/>
          </w:tcPr>
          <w:p w14:paraId="555682E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29</w:t>
            </w:r>
          </w:p>
        </w:tc>
        <w:tc>
          <w:tcPr>
            <w:tcW w:w="0" w:type="auto"/>
            <w:tcBorders>
              <w:bottom w:val="single" w:sz="8" w:space="0" w:color="000000"/>
            </w:tcBorders>
            <w:shd w:val="clear" w:color="auto" w:fill="auto"/>
            <w:vAlign w:val="bottom"/>
          </w:tcPr>
          <w:p w14:paraId="555682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2F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w:t>
            </w:r>
          </w:p>
        </w:tc>
        <w:tc>
          <w:tcPr>
            <w:tcW w:w="0" w:type="auto"/>
            <w:tcBorders>
              <w:bottom w:val="single" w:sz="8" w:space="0" w:color="000000"/>
            </w:tcBorders>
            <w:shd w:val="clear" w:color="auto" w:fill="auto"/>
            <w:tcMar>
              <w:top w:w="40" w:type="dxa"/>
              <w:bottom w:w="40" w:type="dxa"/>
              <w:right w:w="40" w:type="dxa"/>
            </w:tcMar>
            <w:vAlign w:val="bottom"/>
          </w:tcPr>
          <w:p w14:paraId="555682F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82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2F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w:t>
            </w:r>
          </w:p>
        </w:tc>
        <w:tc>
          <w:tcPr>
            <w:tcW w:w="0" w:type="auto"/>
            <w:tcBorders>
              <w:bottom w:val="single" w:sz="8" w:space="0" w:color="000000"/>
            </w:tcBorders>
            <w:shd w:val="clear" w:color="auto" w:fill="auto"/>
            <w:vAlign w:val="bottom"/>
          </w:tcPr>
          <w:p w14:paraId="555682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2F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auto"/>
            <w:vAlign w:val="bottom"/>
          </w:tcPr>
          <w:p w14:paraId="555682F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2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2F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(171</w:t>
            </w:r>
          </w:p>
        </w:tc>
        <w:tc>
          <w:tcPr>
            <w:tcW w:w="0" w:type="auto"/>
            <w:shd w:val="clear" w:color="auto" w:fill="auto"/>
            <w:tcMar>
              <w:top w:w="40" w:type="dxa"/>
              <w:bottom w:w="40" w:type="dxa"/>
              <w:right w:w="40" w:type="dxa"/>
            </w:tcMar>
            <w:vAlign w:val="bottom"/>
          </w:tcPr>
          <w:p w14:paraId="555682F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830B" w14:textId="77777777">
        <w:tc>
          <w:tcPr>
            <w:tcW w:w="0" w:type="auto"/>
            <w:shd w:val="clear" w:color="auto" w:fill="CCEEFF"/>
            <w:tcMar>
              <w:top w:w="40" w:type="dxa"/>
              <w:left w:w="40" w:type="dxa"/>
              <w:bottom w:w="40" w:type="dxa"/>
              <w:right w:w="40" w:type="dxa"/>
            </w:tcMar>
            <w:vAlign w:val="bottom"/>
          </w:tcPr>
          <w:p w14:paraId="555682FC"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fee revenue</w:t>
            </w:r>
          </w:p>
        </w:tc>
        <w:tc>
          <w:tcPr>
            <w:tcW w:w="0" w:type="auto"/>
            <w:gridSpan w:val="2"/>
            <w:tcBorders>
              <w:top w:val="single" w:sz="8" w:space="0" w:color="000000"/>
            </w:tcBorders>
            <w:shd w:val="clear" w:color="auto" w:fill="CCEEFF"/>
            <w:tcMar>
              <w:top w:w="40" w:type="dxa"/>
              <w:left w:w="40" w:type="dxa"/>
              <w:bottom w:w="40" w:type="dxa"/>
            </w:tcMar>
            <w:vAlign w:val="bottom"/>
          </w:tcPr>
          <w:p w14:paraId="555682F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1,946</w:t>
            </w:r>
          </w:p>
        </w:tc>
        <w:tc>
          <w:tcPr>
            <w:tcW w:w="0" w:type="auto"/>
            <w:tcBorders>
              <w:top w:val="single" w:sz="8" w:space="0" w:color="000000"/>
            </w:tcBorders>
            <w:shd w:val="clear" w:color="auto" w:fill="CCEEFF"/>
            <w:vAlign w:val="bottom"/>
          </w:tcPr>
          <w:p w14:paraId="555682F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2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30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1,976</w:t>
            </w:r>
          </w:p>
        </w:tc>
        <w:tc>
          <w:tcPr>
            <w:tcW w:w="0" w:type="auto"/>
            <w:tcBorders>
              <w:top w:val="single" w:sz="8" w:space="0" w:color="000000"/>
            </w:tcBorders>
            <w:shd w:val="clear" w:color="auto" w:fill="CCEEFF"/>
            <w:vAlign w:val="bottom"/>
          </w:tcPr>
          <w:p w14:paraId="5556830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30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1,695</w:t>
            </w:r>
          </w:p>
        </w:tc>
        <w:tc>
          <w:tcPr>
            <w:tcW w:w="0" w:type="auto"/>
            <w:tcBorders>
              <w:top w:val="single" w:sz="8" w:space="0" w:color="000000"/>
            </w:tcBorders>
            <w:shd w:val="clear" w:color="auto" w:fill="CCEEFF"/>
            <w:vAlign w:val="bottom"/>
          </w:tcPr>
          <w:p w14:paraId="5556830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0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CCEEFF"/>
            <w:tcMar>
              <w:top w:w="40" w:type="dxa"/>
              <w:bottom w:w="40" w:type="dxa"/>
              <w:right w:w="40" w:type="dxa"/>
            </w:tcMar>
            <w:vAlign w:val="bottom"/>
          </w:tcPr>
          <w:p w14:paraId="5556830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83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0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w:t>
            </w:r>
          </w:p>
        </w:tc>
        <w:tc>
          <w:tcPr>
            <w:tcW w:w="0" w:type="auto"/>
            <w:shd w:val="clear" w:color="auto" w:fill="CCEEFF"/>
            <w:vAlign w:val="bottom"/>
          </w:tcPr>
          <w:p w14:paraId="5556830A" w14:textId="77777777" w:rsidR="00F925DD" w:rsidRDefault="00F925DD">
            <w:pPr>
              <w:textAlignment w:val="bottom"/>
              <w:rPr>
                <w:rFonts w:ascii="Times New Roman" w:hAnsi="Times New Roman"/>
                <w:sz w:val="20"/>
                <w:szCs w:val="20"/>
              </w:rPr>
            </w:pPr>
          </w:p>
        </w:tc>
      </w:tr>
      <w:tr w:rsidR="00F925DD" w14:paraId="5556831B" w14:textId="77777777">
        <w:tc>
          <w:tcPr>
            <w:tcW w:w="0" w:type="auto"/>
            <w:shd w:val="clear" w:color="auto" w:fill="auto"/>
            <w:tcMar>
              <w:top w:w="40" w:type="dxa"/>
              <w:left w:w="40" w:type="dxa"/>
              <w:bottom w:w="40" w:type="dxa"/>
              <w:right w:w="40" w:type="dxa"/>
            </w:tcMar>
            <w:vAlign w:val="bottom"/>
          </w:tcPr>
          <w:p w14:paraId="5556830C"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interest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5556830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(24</w:t>
            </w:r>
          </w:p>
        </w:tc>
        <w:tc>
          <w:tcPr>
            <w:tcW w:w="0" w:type="auto"/>
            <w:tcBorders>
              <w:bottom w:val="single" w:sz="8" w:space="0" w:color="000000"/>
            </w:tcBorders>
            <w:shd w:val="clear" w:color="auto" w:fill="auto"/>
            <w:tcMar>
              <w:top w:w="40" w:type="dxa"/>
              <w:bottom w:w="40" w:type="dxa"/>
              <w:right w:w="40" w:type="dxa"/>
            </w:tcMar>
            <w:vAlign w:val="bottom"/>
          </w:tcPr>
          <w:p w14:paraId="5556830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83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31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w:t>
            </w:r>
          </w:p>
        </w:tc>
        <w:tc>
          <w:tcPr>
            <w:tcW w:w="0" w:type="auto"/>
            <w:tcBorders>
              <w:bottom w:val="single" w:sz="8" w:space="0" w:color="000000"/>
            </w:tcBorders>
            <w:shd w:val="clear" w:color="auto" w:fill="auto"/>
            <w:tcMar>
              <w:top w:w="40" w:type="dxa"/>
              <w:bottom w:w="40" w:type="dxa"/>
              <w:right w:w="40" w:type="dxa"/>
            </w:tcMar>
            <w:vAlign w:val="bottom"/>
          </w:tcPr>
          <w:p w14:paraId="5556831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83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31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w:t>
            </w:r>
          </w:p>
        </w:tc>
        <w:tc>
          <w:tcPr>
            <w:tcW w:w="0" w:type="auto"/>
            <w:tcBorders>
              <w:bottom w:val="single" w:sz="8" w:space="0" w:color="000000"/>
            </w:tcBorders>
            <w:shd w:val="clear" w:color="auto" w:fill="auto"/>
            <w:tcMar>
              <w:top w:w="40" w:type="dxa"/>
              <w:bottom w:w="40" w:type="dxa"/>
              <w:right w:w="40" w:type="dxa"/>
            </w:tcMar>
            <w:vAlign w:val="bottom"/>
          </w:tcPr>
          <w:p w14:paraId="5556831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83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31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w:t>
            </w:r>
          </w:p>
        </w:tc>
        <w:tc>
          <w:tcPr>
            <w:tcW w:w="0" w:type="auto"/>
            <w:shd w:val="clear" w:color="auto" w:fill="auto"/>
            <w:vAlign w:val="bottom"/>
          </w:tcPr>
          <w:p w14:paraId="5556831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31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auto"/>
            <w:vAlign w:val="bottom"/>
          </w:tcPr>
          <w:p w14:paraId="5556831A" w14:textId="77777777" w:rsidR="00F925DD" w:rsidRDefault="00F925DD">
            <w:pPr>
              <w:textAlignment w:val="bottom"/>
              <w:rPr>
                <w:rFonts w:ascii="Times New Roman" w:hAnsi="Times New Roman"/>
                <w:sz w:val="20"/>
                <w:szCs w:val="20"/>
              </w:rPr>
            </w:pPr>
          </w:p>
        </w:tc>
      </w:tr>
      <w:tr w:rsidR="00F925DD" w14:paraId="5556832B" w14:textId="77777777">
        <w:tc>
          <w:tcPr>
            <w:tcW w:w="0" w:type="auto"/>
            <w:shd w:val="clear" w:color="auto" w:fill="CCEEFF"/>
            <w:tcMar>
              <w:top w:w="40" w:type="dxa"/>
              <w:left w:w="40" w:type="dxa"/>
              <w:bottom w:w="40" w:type="dxa"/>
              <w:right w:w="40" w:type="dxa"/>
            </w:tcMar>
            <w:vAlign w:val="bottom"/>
          </w:tcPr>
          <w:p w14:paraId="5556831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Total revenue</w:t>
            </w:r>
          </w:p>
        </w:tc>
        <w:tc>
          <w:tcPr>
            <w:tcW w:w="0" w:type="auto"/>
            <w:gridSpan w:val="2"/>
            <w:shd w:val="clear" w:color="auto" w:fill="CCEEFF"/>
            <w:tcMar>
              <w:top w:w="40" w:type="dxa"/>
              <w:left w:w="40" w:type="dxa"/>
              <w:bottom w:w="40" w:type="dxa"/>
            </w:tcMar>
            <w:vAlign w:val="bottom"/>
          </w:tcPr>
          <w:p w14:paraId="5556831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1,922</w:t>
            </w:r>
          </w:p>
        </w:tc>
        <w:tc>
          <w:tcPr>
            <w:tcW w:w="0" w:type="auto"/>
            <w:shd w:val="clear" w:color="auto" w:fill="CCEEFF"/>
            <w:vAlign w:val="bottom"/>
          </w:tcPr>
          <w:p w14:paraId="5556831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32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1,956</w:t>
            </w:r>
          </w:p>
        </w:tc>
        <w:tc>
          <w:tcPr>
            <w:tcW w:w="0" w:type="auto"/>
            <w:shd w:val="clear" w:color="auto" w:fill="CCEEFF"/>
            <w:vAlign w:val="bottom"/>
          </w:tcPr>
          <w:p w14:paraId="555683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32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1,690</w:t>
            </w:r>
          </w:p>
        </w:tc>
        <w:tc>
          <w:tcPr>
            <w:tcW w:w="0" w:type="auto"/>
            <w:tcBorders>
              <w:top w:val="single" w:sz="8" w:space="0" w:color="000000"/>
            </w:tcBorders>
            <w:shd w:val="clear" w:color="auto" w:fill="CCEEFF"/>
            <w:vAlign w:val="bottom"/>
          </w:tcPr>
          <w:p w14:paraId="5556832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2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CCEEFF"/>
            <w:tcMar>
              <w:top w:w="40" w:type="dxa"/>
              <w:bottom w:w="40" w:type="dxa"/>
              <w:right w:w="40" w:type="dxa"/>
            </w:tcMar>
            <w:vAlign w:val="bottom"/>
          </w:tcPr>
          <w:p w14:paraId="5556832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83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2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w:t>
            </w:r>
          </w:p>
        </w:tc>
        <w:tc>
          <w:tcPr>
            <w:tcW w:w="0" w:type="auto"/>
            <w:shd w:val="clear" w:color="auto" w:fill="CCEEFF"/>
            <w:vAlign w:val="bottom"/>
          </w:tcPr>
          <w:p w14:paraId="5556832A" w14:textId="77777777" w:rsidR="00F925DD" w:rsidRDefault="00F925DD">
            <w:pPr>
              <w:textAlignment w:val="bottom"/>
              <w:rPr>
                <w:rFonts w:ascii="Times New Roman" w:hAnsi="Times New Roman"/>
                <w:sz w:val="20"/>
                <w:szCs w:val="20"/>
              </w:rPr>
            </w:pPr>
          </w:p>
        </w:tc>
      </w:tr>
      <w:tr w:rsidR="00F925DD" w14:paraId="5556833B" w14:textId="77777777">
        <w:tc>
          <w:tcPr>
            <w:tcW w:w="0" w:type="auto"/>
            <w:shd w:val="clear" w:color="auto" w:fill="auto"/>
            <w:tcMar>
              <w:top w:w="40" w:type="dxa"/>
              <w:left w:w="40" w:type="dxa"/>
              <w:bottom w:w="40" w:type="dxa"/>
              <w:right w:w="40" w:type="dxa"/>
            </w:tcMar>
            <w:vAlign w:val="bottom"/>
          </w:tcPr>
          <w:p w14:paraId="5556832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Total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5556832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1,535</w:t>
            </w:r>
          </w:p>
        </w:tc>
        <w:tc>
          <w:tcPr>
            <w:tcW w:w="0" w:type="auto"/>
            <w:tcBorders>
              <w:bottom w:val="single" w:sz="8" w:space="0" w:color="000000"/>
            </w:tcBorders>
            <w:shd w:val="clear" w:color="auto" w:fill="auto"/>
            <w:vAlign w:val="bottom"/>
          </w:tcPr>
          <w:p w14:paraId="555683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33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1,544</w:t>
            </w:r>
          </w:p>
        </w:tc>
        <w:tc>
          <w:tcPr>
            <w:tcW w:w="0" w:type="auto"/>
            <w:tcBorders>
              <w:bottom w:val="single" w:sz="8" w:space="0" w:color="000000"/>
            </w:tcBorders>
            <w:shd w:val="clear" w:color="auto" w:fill="auto"/>
            <w:vAlign w:val="bottom"/>
          </w:tcPr>
          <w:p w14:paraId="555683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33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1,286</w:t>
            </w:r>
          </w:p>
        </w:tc>
        <w:tc>
          <w:tcPr>
            <w:tcW w:w="0" w:type="auto"/>
            <w:shd w:val="clear" w:color="auto" w:fill="auto"/>
            <w:vAlign w:val="bottom"/>
          </w:tcPr>
          <w:p w14:paraId="5556833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33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auto"/>
            <w:tcMar>
              <w:top w:w="40" w:type="dxa"/>
              <w:bottom w:w="40" w:type="dxa"/>
              <w:right w:w="40" w:type="dxa"/>
            </w:tcMar>
            <w:vAlign w:val="bottom"/>
          </w:tcPr>
          <w:p w14:paraId="5556833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83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33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w:t>
            </w:r>
          </w:p>
        </w:tc>
        <w:tc>
          <w:tcPr>
            <w:tcW w:w="0" w:type="auto"/>
            <w:shd w:val="clear" w:color="auto" w:fill="auto"/>
            <w:vAlign w:val="bottom"/>
          </w:tcPr>
          <w:p w14:paraId="5556833A" w14:textId="77777777" w:rsidR="00F925DD" w:rsidRDefault="00F925DD">
            <w:pPr>
              <w:textAlignment w:val="bottom"/>
              <w:rPr>
                <w:rFonts w:ascii="Times New Roman" w:hAnsi="Times New Roman"/>
                <w:sz w:val="20"/>
                <w:szCs w:val="20"/>
              </w:rPr>
            </w:pPr>
          </w:p>
        </w:tc>
      </w:tr>
      <w:tr w:rsidR="00F925DD" w14:paraId="5556834E" w14:textId="77777777">
        <w:tc>
          <w:tcPr>
            <w:tcW w:w="0" w:type="auto"/>
            <w:shd w:val="clear" w:color="auto" w:fill="CCEEFF"/>
            <w:tcMar>
              <w:top w:w="40" w:type="dxa"/>
              <w:left w:w="40" w:type="dxa"/>
              <w:bottom w:w="40" w:type="dxa"/>
              <w:right w:w="40" w:type="dxa"/>
            </w:tcMar>
            <w:vAlign w:val="bottom"/>
          </w:tcPr>
          <w:p w14:paraId="5556833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Income before income tax expense</w:t>
            </w:r>
          </w:p>
        </w:tc>
        <w:tc>
          <w:tcPr>
            <w:tcW w:w="0" w:type="auto"/>
            <w:tcBorders>
              <w:bottom w:val="double" w:sz="6" w:space="0" w:color="000000"/>
            </w:tcBorders>
            <w:shd w:val="clear" w:color="auto" w:fill="CCEEFF"/>
            <w:tcMar>
              <w:top w:w="40" w:type="dxa"/>
              <w:left w:w="40" w:type="dxa"/>
              <w:bottom w:w="40" w:type="dxa"/>
            </w:tcMar>
            <w:vAlign w:val="bottom"/>
          </w:tcPr>
          <w:p w14:paraId="5556833D"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double" w:sz="6" w:space="0" w:color="000000"/>
            </w:tcBorders>
            <w:shd w:val="clear" w:color="auto" w:fill="CCEEFF"/>
            <w:tcMar>
              <w:top w:w="40" w:type="dxa"/>
              <w:bottom w:w="40" w:type="dxa"/>
            </w:tcMar>
            <w:vAlign w:val="bottom"/>
          </w:tcPr>
          <w:p w14:paraId="5556833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387</w:t>
            </w:r>
          </w:p>
        </w:tc>
        <w:tc>
          <w:tcPr>
            <w:tcW w:w="0" w:type="auto"/>
            <w:tcBorders>
              <w:bottom w:val="double" w:sz="6" w:space="0" w:color="000000"/>
            </w:tcBorders>
            <w:shd w:val="clear" w:color="auto" w:fill="CCEEFF"/>
            <w:vAlign w:val="bottom"/>
          </w:tcPr>
          <w:p w14:paraId="5556833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34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34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412</w:t>
            </w:r>
          </w:p>
        </w:tc>
        <w:tc>
          <w:tcPr>
            <w:tcW w:w="0" w:type="auto"/>
            <w:tcBorders>
              <w:top w:val="single" w:sz="8" w:space="0" w:color="000000"/>
              <w:bottom w:val="double" w:sz="6" w:space="0" w:color="000000"/>
            </w:tcBorders>
            <w:shd w:val="clear" w:color="auto" w:fill="CCEEFF"/>
            <w:vAlign w:val="bottom"/>
          </w:tcPr>
          <w:p w14:paraId="5556834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345"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34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404</w:t>
            </w:r>
          </w:p>
        </w:tc>
        <w:tc>
          <w:tcPr>
            <w:tcW w:w="0" w:type="auto"/>
            <w:tcBorders>
              <w:top w:val="single" w:sz="8" w:space="0" w:color="000000"/>
              <w:bottom w:val="double" w:sz="6" w:space="0" w:color="000000"/>
            </w:tcBorders>
            <w:shd w:val="clear" w:color="auto" w:fill="CCEEFF"/>
            <w:vAlign w:val="bottom"/>
          </w:tcPr>
          <w:p w14:paraId="5556834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4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CCEEFF"/>
            <w:tcMar>
              <w:top w:w="40" w:type="dxa"/>
              <w:bottom w:w="40" w:type="dxa"/>
              <w:right w:w="40" w:type="dxa"/>
            </w:tcMar>
            <w:vAlign w:val="bottom"/>
          </w:tcPr>
          <w:p w14:paraId="5556834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83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4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CCEEFF"/>
            <w:vAlign w:val="bottom"/>
          </w:tcPr>
          <w:p w14:paraId="5556834D" w14:textId="77777777" w:rsidR="00F925DD" w:rsidRDefault="00F925DD">
            <w:pPr>
              <w:textAlignment w:val="bottom"/>
              <w:rPr>
                <w:rFonts w:ascii="Times New Roman" w:hAnsi="Times New Roman"/>
                <w:sz w:val="20"/>
                <w:szCs w:val="20"/>
              </w:rPr>
            </w:pPr>
          </w:p>
        </w:tc>
      </w:tr>
      <w:tr w:rsidR="00F925DD" w14:paraId="5556835C" w14:textId="77777777">
        <w:tc>
          <w:tcPr>
            <w:tcW w:w="0" w:type="auto"/>
            <w:shd w:val="clear" w:color="auto" w:fill="auto"/>
            <w:tcMar>
              <w:top w:w="40" w:type="dxa"/>
              <w:left w:w="40" w:type="dxa"/>
              <w:bottom w:w="40" w:type="dxa"/>
              <w:right w:w="40" w:type="dxa"/>
            </w:tcMar>
            <w:vAlign w:val="bottom"/>
          </w:tcPr>
          <w:p w14:paraId="5556834F" w14:textId="77777777" w:rsidR="00F925DD" w:rsidRDefault="00E705D7">
            <w:pPr>
              <w:textAlignment w:val="bottom"/>
              <w:rPr>
                <w:rFonts w:ascii="Times New Roman" w:hAnsi="Times New Roman"/>
                <w:sz w:val="16"/>
                <w:szCs w:val="16"/>
              </w:rPr>
            </w:pPr>
            <w:r>
              <w:rPr>
                <w:rFonts w:ascii="Arial" w:eastAsia="宋体" w:hAnsi="Arial" w:cs="Arial"/>
                <w:sz w:val="16"/>
                <w:szCs w:val="16"/>
              </w:rPr>
              <w:t>Pre-tax margin</w:t>
            </w:r>
          </w:p>
        </w:tc>
        <w:tc>
          <w:tcPr>
            <w:tcW w:w="0" w:type="auto"/>
            <w:gridSpan w:val="2"/>
            <w:tcBorders>
              <w:top w:val="double" w:sz="6" w:space="0" w:color="000000"/>
            </w:tcBorders>
            <w:shd w:val="clear" w:color="auto" w:fill="auto"/>
            <w:tcMar>
              <w:top w:w="40" w:type="dxa"/>
              <w:left w:w="40" w:type="dxa"/>
              <w:bottom w:w="40" w:type="dxa"/>
            </w:tcMar>
            <w:vAlign w:val="bottom"/>
          </w:tcPr>
          <w:p w14:paraId="5556835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20</w:t>
            </w:r>
          </w:p>
        </w:tc>
        <w:tc>
          <w:tcPr>
            <w:tcW w:w="0" w:type="auto"/>
            <w:tcBorders>
              <w:top w:val="double" w:sz="6" w:space="0" w:color="000000"/>
            </w:tcBorders>
            <w:shd w:val="clear" w:color="auto" w:fill="auto"/>
            <w:tcMar>
              <w:top w:w="40" w:type="dxa"/>
              <w:bottom w:w="40" w:type="dxa"/>
              <w:right w:w="40" w:type="dxa"/>
            </w:tcMar>
            <w:vAlign w:val="bottom"/>
          </w:tcPr>
          <w:p w14:paraId="55568351"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83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5556835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21</w:t>
            </w:r>
          </w:p>
        </w:tc>
        <w:tc>
          <w:tcPr>
            <w:tcW w:w="0" w:type="auto"/>
            <w:tcBorders>
              <w:top w:val="double" w:sz="6" w:space="0" w:color="000000"/>
            </w:tcBorders>
            <w:shd w:val="clear" w:color="auto" w:fill="auto"/>
            <w:tcMar>
              <w:top w:w="40" w:type="dxa"/>
              <w:bottom w:w="40" w:type="dxa"/>
              <w:right w:w="40" w:type="dxa"/>
            </w:tcMar>
            <w:vAlign w:val="bottom"/>
          </w:tcPr>
          <w:p w14:paraId="5556835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83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35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w:t>
            </w:r>
          </w:p>
        </w:tc>
        <w:tc>
          <w:tcPr>
            <w:tcW w:w="0" w:type="auto"/>
            <w:shd w:val="clear" w:color="auto" w:fill="auto"/>
            <w:tcMar>
              <w:top w:w="40" w:type="dxa"/>
              <w:bottom w:w="40" w:type="dxa"/>
              <w:right w:w="40" w:type="dxa"/>
            </w:tcMar>
            <w:vAlign w:val="bottom"/>
          </w:tcPr>
          <w:p w14:paraId="5556835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83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3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3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3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36D" w14:textId="77777777">
        <w:tc>
          <w:tcPr>
            <w:tcW w:w="0" w:type="auto"/>
            <w:shd w:val="clear" w:color="auto" w:fill="CCEEFF"/>
            <w:tcMar>
              <w:top w:w="40" w:type="dxa"/>
              <w:left w:w="40" w:type="dxa"/>
              <w:bottom w:w="40" w:type="dxa"/>
              <w:right w:w="40" w:type="dxa"/>
            </w:tcMar>
            <w:vAlign w:val="bottom"/>
          </w:tcPr>
          <w:p w14:paraId="5556835D" w14:textId="77777777" w:rsidR="00F925DD" w:rsidRDefault="00E705D7">
            <w:pPr>
              <w:textAlignment w:val="bottom"/>
              <w:rPr>
                <w:rFonts w:ascii="Times New Roman" w:hAnsi="Times New Roman"/>
                <w:sz w:val="16"/>
                <w:szCs w:val="16"/>
              </w:rPr>
            </w:pPr>
            <w:r>
              <w:rPr>
                <w:rFonts w:ascii="Arial" w:eastAsia="宋体" w:hAnsi="Arial" w:cs="Arial"/>
                <w:sz w:val="16"/>
                <w:szCs w:val="16"/>
              </w:rPr>
              <w:t>Average assets (in billions)</w:t>
            </w:r>
          </w:p>
        </w:tc>
        <w:tc>
          <w:tcPr>
            <w:tcW w:w="0" w:type="auto"/>
            <w:shd w:val="clear" w:color="auto" w:fill="CCEEFF"/>
            <w:tcMar>
              <w:top w:w="40" w:type="dxa"/>
              <w:left w:w="40" w:type="dxa"/>
              <w:bottom w:w="40" w:type="dxa"/>
            </w:tcMar>
            <w:vAlign w:val="bottom"/>
          </w:tcPr>
          <w:p w14:paraId="5556835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835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3.0</w:t>
            </w:r>
          </w:p>
        </w:tc>
        <w:tc>
          <w:tcPr>
            <w:tcW w:w="0" w:type="auto"/>
            <w:shd w:val="clear" w:color="auto" w:fill="CCEEFF"/>
            <w:vAlign w:val="bottom"/>
          </w:tcPr>
          <w:p w14:paraId="5556836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6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836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3.2</w:t>
            </w:r>
          </w:p>
        </w:tc>
        <w:tc>
          <w:tcPr>
            <w:tcW w:w="0" w:type="auto"/>
            <w:shd w:val="clear" w:color="auto" w:fill="CCEEFF"/>
            <w:vAlign w:val="bottom"/>
          </w:tcPr>
          <w:p w14:paraId="555683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6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836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5.4</w:t>
            </w:r>
          </w:p>
        </w:tc>
        <w:tc>
          <w:tcPr>
            <w:tcW w:w="0" w:type="auto"/>
            <w:shd w:val="clear" w:color="auto" w:fill="CCEEFF"/>
            <w:vAlign w:val="bottom"/>
          </w:tcPr>
          <w:p w14:paraId="5556836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3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3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3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36E"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8370" w14:textId="77777777">
        <w:tc>
          <w:tcPr>
            <w:tcW w:w="0" w:type="auto"/>
            <w:gridSpan w:val="2"/>
            <w:shd w:val="clear" w:color="auto" w:fill="auto"/>
            <w:vAlign w:val="center"/>
          </w:tcPr>
          <w:p w14:paraId="5556836F" w14:textId="77777777" w:rsidR="00F925DD" w:rsidRDefault="00F925DD">
            <w:pPr>
              <w:rPr>
                <w:rFonts w:ascii="Times New Roman" w:hAnsi="Times New Roman"/>
                <w:sz w:val="20"/>
                <w:szCs w:val="20"/>
              </w:rPr>
            </w:pPr>
          </w:p>
        </w:tc>
      </w:tr>
      <w:tr w:rsidR="00F925DD" w14:paraId="55568373" w14:textId="77777777">
        <w:tc>
          <w:tcPr>
            <w:tcW w:w="1400" w:type="pct"/>
            <w:shd w:val="clear" w:color="auto" w:fill="auto"/>
            <w:vAlign w:val="center"/>
          </w:tcPr>
          <w:p w14:paraId="55568371" w14:textId="77777777" w:rsidR="00F925DD" w:rsidRDefault="00F925DD">
            <w:pPr>
              <w:rPr>
                <w:rFonts w:ascii="Times New Roman" w:hAnsi="Times New Roman"/>
                <w:sz w:val="20"/>
                <w:szCs w:val="20"/>
              </w:rPr>
            </w:pPr>
          </w:p>
        </w:tc>
        <w:tc>
          <w:tcPr>
            <w:tcW w:w="3600" w:type="pct"/>
            <w:shd w:val="clear" w:color="auto" w:fill="auto"/>
            <w:vAlign w:val="center"/>
          </w:tcPr>
          <w:p w14:paraId="55568372" w14:textId="77777777" w:rsidR="00F925DD" w:rsidRDefault="00F925DD">
            <w:pPr>
              <w:rPr>
                <w:rFonts w:ascii="Times New Roman" w:hAnsi="Times New Roman"/>
                <w:sz w:val="20"/>
                <w:szCs w:val="20"/>
              </w:rPr>
            </w:pPr>
          </w:p>
        </w:tc>
      </w:tr>
      <w:tr w:rsidR="00F925DD" w14:paraId="5556837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3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3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377"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Includes revenues from distributing and marketing activities for U.S. mutual funds and ETFs associated with </w:t>
      </w:r>
      <w:r>
        <w:rPr>
          <w:rFonts w:ascii="Arial" w:eastAsia="宋体" w:hAnsi="Arial" w:cs="Arial"/>
          <w:sz w:val="14"/>
          <w:szCs w:val="14"/>
        </w:rPr>
        <w:t>State Street Global Advisors.</w:t>
      </w:r>
    </w:p>
    <w:p w14:paraId="55568378"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(2)</w:t>
      </w:r>
      <w:r>
        <w:rPr>
          <w:rFonts w:ascii="Arial" w:eastAsia="宋体" w:hAnsi="Arial" w:cs="Arial"/>
          <w:sz w:val="14"/>
          <w:szCs w:val="14"/>
        </w:rPr>
        <w:t xml:space="preserve"> Includes other revenue items that are primarily driven by equity market movements.</w:t>
      </w:r>
    </w:p>
    <w:p w14:paraId="55568379"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nm</w:t>
      </w:r>
      <w:r>
        <w:rPr>
          <w:rFonts w:ascii="Arial" w:eastAsia="宋体" w:hAnsi="Arial" w:cs="Arial"/>
          <w:sz w:val="14"/>
          <w:szCs w:val="14"/>
        </w:rPr>
        <w:t xml:space="preserve"> Not meaningful </w:t>
      </w:r>
    </w:p>
    <w:p w14:paraId="5556837A" w14:textId="77777777" w:rsidR="00F925DD" w:rsidRDefault="00E705D7">
      <w:pPr>
        <w:spacing w:line="288" w:lineRule="auto"/>
        <w:jc w:val="both"/>
        <w:rPr>
          <w:rFonts w:ascii="Times New Roman" w:hAnsi="Times New Roman"/>
          <w:sz w:val="20"/>
          <w:szCs w:val="20"/>
        </w:rPr>
      </w:pPr>
      <w:r>
        <w:rPr>
          <w:rFonts w:ascii="Arial" w:eastAsia="宋体" w:hAnsi="Arial" w:cs="Arial"/>
          <w:b/>
          <w:bCs/>
          <w:i/>
          <w:iCs/>
          <w:sz w:val="20"/>
          <w:szCs w:val="20"/>
        </w:rPr>
        <w:t>Management Fees</w:t>
      </w:r>
    </w:p>
    <w:p w14:paraId="5556837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Management fees decreased 4% in 2019 compared to 2018, primarily reflecting the run rate impact of late </w:t>
      </w:r>
      <w:r>
        <w:rPr>
          <w:rFonts w:ascii="Arial" w:eastAsia="宋体" w:hAnsi="Arial" w:cs="Arial"/>
          <w:sz w:val="20"/>
          <w:szCs w:val="20"/>
        </w:rPr>
        <w:t>2018 outflows and mix changes away from higher fee products, partially offset by higher equity market levels.</w:t>
      </w:r>
    </w:p>
    <w:p w14:paraId="5556837C" w14:textId="77777777" w:rsidR="00F925DD" w:rsidRDefault="00E705D7">
      <w:pPr>
        <w:spacing w:line="288" w:lineRule="auto"/>
        <w:ind w:firstLine="600"/>
        <w:rPr>
          <w:rFonts w:ascii="Times New Roman" w:hAnsi="Times New Roman"/>
          <w:sz w:val="20"/>
          <w:szCs w:val="20"/>
        </w:rPr>
      </w:pPr>
      <w:r>
        <w:rPr>
          <w:rFonts w:ascii="Arial" w:eastAsia="宋体" w:hAnsi="Arial" w:cs="Arial"/>
          <w:sz w:val="20"/>
          <w:szCs w:val="20"/>
        </w:rPr>
        <w:t xml:space="preserve">Management fees generated outside the U.S. were approximately 27% of total management fees in both 2019 and 2018 compared to approximately 28% in </w:t>
      </w:r>
      <w:r>
        <w:rPr>
          <w:rFonts w:ascii="Arial" w:eastAsia="宋体" w:hAnsi="Arial" w:cs="Arial"/>
          <w:sz w:val="20"/>
          <w:szCs w:val="20"/>
        </w:rPr>
        <w:t>2017.</w:t>
      </w:r>
    </w:p>
    <w:tbl>
      <w:tblPr>
        <w:tblW w:w="5000" w:type="pct"/>
        <w:jc w:val="right"/>
        <w:tblCellMar>
          <w:left w:w="0" w:type="dxa"/>
          <w:right w:w="0" w:type="dxa"/>
        </w:tblCellMar>
        <w:tblLook w:val="04A0" w:firstRow="1" w:lastRow="0" w:firstColumn="1" w:lastColumn="0" w:noHBand="0" w:noVBand="1"/>
      </w:tblPr>
      <w:tblGrid>
        <w:gridCol w:w="2015"/>
        <w:gridCol w:w="126"/>
        <w:gridCol w:w="1019"/>
        <w:gridCol w:w="53"/>
        <w:gridCol w:w="130"/>
        <w:gridCol w:w="126"/>
        <w:gridCol w:w="988"/>
        <w:gridCol w:w="53"/>
        <w:gridCol w:w="130"/>
        <w:gridCol w:w="126"/>
        <w:gridCol w:w="988"/>
        <w:gridCol w:w="53"/>
        <w:gridCol w:w="130"/>
        <w:gridCol w:w="905"/>
        <w:gridCol w:w="174"/>
        <w:gridCol w:w="130"/>
        <w:gridCol w:w="936"/>
        <w:gridCol w:w="224"/>
      </w:tblGrid>
      <w:tr w:rsidR="00F925DD" w14:paraId="5556837E" w14:textId="77777777">
        <w:trPr>
          <w:jc w:val="right"/>
        </w:trPr>
        <w:tc>
          <w:tcPr>
            <w:tcW w:w="0" w:type="auto"/>
            <w:gridSpan w:val="18"/>
            <w:shd w:val="clear" w:color="auto" w:fill="auto"/>
            <w:vAlign w:val="center"/>
          </w:tcPr>
          <w:p w14:paraId="5556837D" w14:textId="77777777" w:rsidR="00F925DD" w:rsidRDefault="00F925DD">
            <w:pPr>
              <w:rPr>
                <w:rFonts w:ascii="Times New Roman" w:hAnsi="Times New Roman"/>
                <w:sz w:val="20"/>
                <w:szCs w:val="20"/>
              </w:rPr>
            </w:pPr>
          </w:p>
        </w:tc>
      </w:tr>
      <w:tr w:rsidR="00F925DD" w14:paraId="55568391" w14:textId="77777777">
        <w:trPr>
          <w:jc w:val="right"/>
        </w:trPr>
        <w:tc>
          <w:tcPr>
            <w:tcW w:w="1250" w:type="pct"/>
            <w:shd w:val="clear" w:color="auto" w:fill="auto"/>
            <w:vAlign w:val="center"/>
          </w:tcPr>
          <w:p w14:paraId="5556837F" w14:textId="77777777" w:rsidR="00F925DD" w:rsidRDefault="00F925DD">
            <w:pPr>
              <w:rPr>
                <w:rFonts w:ascii="Times New Roman" w:hAnsi="Times New Roman"/>
                <w:sz w:val="20"/>
                <w:szCs w:val="20"/>
              </w:rPr>
            </w:pPr>
          </w:p>
        </w:tc>
        <w:tc>
          <w:tcPr>
            <w:tcW w:w="50" w:type="pct"/>
            <w:shd w:val="clear" w:color="auto" w:fill="auto"/>
            <w:vAlign w:val="center"/>
          </w:tcPr>
          <w:p w14:paraId="55568380" w14:textId="77777777" w:rsidR="00F925DD" w:rsidRDefault="00F925DD">
            <w:pPr>
              <w:rPr>
                <w:rFonts w:ascii="Times New Roman" w:hAnsi="Times New Roman"/>
                <w:sz w:val="20"/>
                <w:szCs w:val="20"/>
              </w:rPr>
            </w:pPr>
          </w:p>
        </w:tc>
        <w:tc>
          <w:tcPr>
            <w:tcW w:w="650" w:type="pct"/>
            <w:shd w:val="clear" w:color="auto" w:fill="auto"/>
            <w:vAlign w:val="center"/>
          </w:tcPr>
          <w:p w14:paraId="55568381" w14:textId="77777777" w:rsidR="00F925DD" w:rsidRDefault="00F925DD">
            <w:pPr>
              <w:rPr>
                <w:rFonts w:ascii="Times New Roman" w:hAnsi="Times New Roman"/>
                <w:sz w:val="20"/>
                <w:szCs w:val="20"/>
              </w:rPr>
            </w:pPr>
          </w:p>
        </w:tc>
        <w:tc>
          <w:tcPr>
            <w:tcW w:w="50" w:type="pct"/>
            <w:shd w:val="clear" w:color="auto" w:fill="auto"/>
            <w:vAlign w:val="center"/>
          </w:tcPr>
          <w:p w14:paraId="55568382" w14:textId="77777777" w:rsidR="00F925DD" w:rsidRDefault="00F925DD">
            <w:pPr>
              <w:rPr>
                <w:rFonts w:ascii="Times New Roman" w:hAnsi="Times New Roman"/>
                <w:sz w:val="20"/>
                <w:szCs w:val="20"/>
              </w:rPr>
            </w:pPr>
          </w:p>
        </w:tc>
        <w:tc>
          <w:tcPr>
            <w:tcW w:w="50" w:type="pct"/>
            <w:shd w:val="clear" w:color="auto" w:fill="auto"/>
            <w:vAlign w:val="center"/>
          </w:tcPr>
          <w:p w14:paraId="55568383" w14:textId="77777777" w:rsidR="00F925DD" w:rsidRDefault="00F925DD">
            <w:pPr>
              <w:rPr>
                <w:rFonts w:ascii="Times New Roman" w:hAnsi="Times New Roman"/>
                <w:sz w:val="20"/>
                <w:szCs w:val="20"/>
              </w:rPr>
            </w:pPr>
          </w:p>
        </w:tc>
        <w:tc>
          <w:tcPr>
            <w:tcW w:w="50" w:type="pct"/>
            <w:shd w:val="clear" w:color="auto" w:fill="auto"/>
            <w:vAlign w:val="center"/>
          </w:tcPr>
          <w:p w14:paraId="55568384" w14:textId="77777777" w:rsidR="00F925DD" w:rsidRDefault="00F925DD">
            <w:pPr>
              <w:rPr>
                <w:rFonts w:ascii="Times New Roman" w:hAnsi="Times New Roman"/>
                <w:sz w:val="20"/>
                <w:szCs w:val="20"/>
              </w:rPr>
            </w:pPr>
          </w:p>
        </w:tc>
        <w:tc>
          <w:tcPr>
            <w:tcW w:w="650" w:type="pct"/>
            <w:shd w:val="clear" w:color="auto" w:fill="auto"/>
            <w:vAlign w:val="center"/>
          </w:tcPr>
          <w:p w14:paraId="55568385" w14:textId="77777777" w:rsidR="00F925DD" w:rsidRDefault="00F925DD">
            <w:pPr>
              <w:rPr>
                <w:rFonts w:ascii="Times New Roman" w:hAnsi="Times New Roman"/>
                <w:sz w:val="20"/>
                <w:szCs w:val="20"/>
              </w:rPr>
            </w:pPr>
          </w:p>
        </w:tc>
        <w:tc>
          <w:tcPr>
            <w:tcW w:w="50" w:type="pct"/>
            <w:shd w:val="clear" w:color="auto" w:fill="auto"/>
            <w:vAlign w:val="center"/>
          </w:tcPr>
          <w:p w14:paraId="55568386" w14:textId="77777777" w:rsidR="00F925DD" w:rsidRDefault="00F925DD">
            <w:pPr>
              <w:rPr>
                <w:rFonts w:ascii="Times New Roman" w:hAnsi="Times New Roman"/>
                <w:sz w:val="20"/>
                <w:szCs w:val="20"/>
              </w:rPr>
            </w:pPr>
          </w:p>
        </w:tc>
        <w:tc>
          <w:tcPr>
            <w:tcW w:w="50" w:type="pct"/>
            <w:shd w:val="clear" w:color="auto" w:fill="auto"/>
            <w:vAlign w:val="center"/>
          </w:tcPr>
          <w:p w14:paraId="55568387" w14:textId="77777777" w:rsidR="00F925DD" w:rsidRDefault="00F925DD">
            <w:pPr>
              <w:rPr>
                <w:rFonts w:ascii="Times New Roman" w:hAnsi="Times New Roman"/>
                <w:sz w:val="20"/>
                <w:szCs w:val="20"/>
              </w:rPr>
            </w:pPr>
          </w:p>
        </w:tc>
        <w:tc>
          <w:tcPr>
            <w:tcW w:w="50" w:type="pct"/>
            <w:shd w:val="clear" w:color="auto" w:fill="auto"/>
            <w:vAlign w:val="center"/>
          </w:tcPr>
          <w:p w14:paraId="55568388" w14:textId="77777777" w:rsidR="00F925DD" w:rsidRDefault="00F925DD">
            <w:pPr>
              <w:rPr>
                <w:rFonts w:ascii="Times New Roman" w:hAnsi="Times New Roman"/>
                <w:sz w:val="20"/>
                <w:szCs w:val="20"/>
              </w:rPr>
            </w:pPr>
          </w:p>
        </w:tc>
        <w:tc>
          <w:tcPr>
            <w:tcW w:w="650" w:type="pct"/>
            <w:shd w:val="clear" w:color="auto" w:fill="auto"/>
            <w:vAlign w:val="center"/>
          </w:tcPr>
          <w:p w14:paraId="55568389" w14:textId="77777777" w:rsidR="00F925DD" w:rsidRDefault="00F925DD">
            <w:pPr>
              <w:rPr>
                <w:rFonts w:ascii="Times New Roman" w:hAnsi="Times New Roman"/>
                <w:sz w:val="20"/>
                <w:szCs w:val="20"/>
              </w:rPr>
            </w:pPr>
          </w:p>
        </w:tc>
        <w:tc>
          <w:tcPr>
            <w:tcW w:w="50" w:type="pct"/>
            <w:shd w:val="clear" w:color="auto" w:fill="auto"/>
            <w:vAlign w:val="center"/>
          </w:tcPr>
          <w:p w14:paraId="5556838A" w14:textId="77777777" w:rsidR="00F925DD" w:rsidRDefault="00F925DD">
            <w:pPr>
              <w:rPr>
                <w:rFonts w:ascii="Times New Roman" w:hAnsi="Times New Roman"/>
                <w:sz w:val="20"/>
                <w:szCs w:val="20"/>
              </w:rPr>
            </w:pPr>
          </w:p>
        </w:tc>
        <w:tc>
          <w:tcPr>
            <w:tcW w:w="50" w:type="pct"/>
            <w:shd w:val="clear" w:color="auto" w:fill="auto"/>
            <w:vAlign w:val="center"/>
          </w:tcPr>
          <w:p w14:paraId="5556838B" w14:textId="77777777" w:rsidR="00F925DD" w:rsidRDefault="00F925DD">
            <w:pPr>
              <w:rPr>
                <w:rFonts w:ascii="Times New Roman" w:hAnsi="Times New Roman"/>
                <w:sz w:val="20"/>
                <w:szCs w:val="20"/>
              </w:rPr>
            </w:pPr>
          </w:p>
        </w:tc>
        <w:tc>
          <w:tcPr>
            <w:tcW w:w="600" w:type="pct"/>
            <w:shd w:val="clear" w:color="auto" w:fill="auto"/>
            <w:vAlign w:val="center"/>
          </w:tcPr>
          <w:p w14:paraId="5556838C" w14:textId="77777777" w:rsidR="00F925DD" w:rsidRDefault="00F925DD">
            <w:pPr>
              <w:rPr>
                <w:rFonts w:ascii="Times New Roman" w:hAnsi="Times New Roman"/>
                <w:sz w:val="20"/>
                <w:szCs w:val="20"/>
              </w:rPr>
            </w:pPr>
          </w:p>
        </w:tc>
        <w:tc>
          <w:tcPr>
            <w:tcW w:w="50" w:type="pct"/>
            <w:shd w:val="clear" w:color="auto" w:fill="auto"/>
            <w:vAlign w:val="center"/>
          </w:tcPr>
          <w:p w14:paraId="5556838D" w14:textId="77777777" w:rsidR="00F925DD" w:rsidRDefault="00F925DD">
            <w:pPr>
              <w:rPr>
                <w:rFonts w:ascii="Times New Roman" w:hAnsi="Times New Roman"/>
                <w:sz w:val="20"/>
                <w:szCs w:val="20"/>
              </w:rPr>
            </w:pPr>
          </w:p>
        </w:tc>
        <w:tc>
          <w:tcPr>
            <w:tcW w:w="50" w:type="pct"/>
            <w:shd w:val="clear" w:color="auto" w:fill="auto"/>
            <w:vAlign w:val="center"/>
          </w:tcPr>
          <w:p w14:paraId="5556838E" w14:textId="77777777" w:rsidR="00F925DD" w:rsidRDefault="00F925DD">
            <w:pPr>
              <w:rPr>
                <w:rFonts w:ascii="Times New Roman" w:hAnsi="Times New Roman"/>
                <w:sz w:val="20"/>
                <w:szCs w:val="20"/>
              </w:rPr>
            </w:pPr>
          </w:p>
        </w:tc>
        <w:tc>
          <w:tcPr>
            <w:tcW w:w="600" w:type="pct"/>
            <w:shd w:val="clear" w:color="auto" w:fill="auto"/>
            <w:vAlign w:val="center"/>
          </w:tcPr>
          <w:p w14:paraId="5556838F" w14:textId="77777777" w:rsidR="00F925DD" w:rsidRDefault="00F925DD">
            <w:pPr>
              <w:rPr>
                <w:rFonts w:ascii="Times New Roman" w:hAnsi="Times New Roman"/>
                <w:sz w:val="20"/>
                <w:szCs w:val="20"/>
              </w:rPr>
            </w:pPr>
          </w:p>
        </w:tc>
        <w:tc>
          <w:tcPr>
            <w:tcW w:w="50" w:type="pct"/>
            <w:shd w:val="clear" w:color="auto" w:fill="auto"/>
            <w:vAlign w:val="center"/>
          </w:tcPr>
          <w:p w14:paraId="55568390" w14:textId="77777777" w:rsidR="00F925DD" w:rsidRDefault="00F925DD">
            <w:pPr>
              <w:rPr>
                <w:rFonts w:ascii="Times New Roman" w:hAnsi="Times New Roman"/>
                <w:sz w:val="20"/>
                <w:szCs w:val="20"/>
              </w:rPr>
            </w:pPr>
          </w:p>
        </w:tc>
      </w:tr>
      <w:tr w:rsidR="00F925DD" w14:paraId="55568397" w14:textId="77777777">
        <w:trPr>
          <w:jc w:val="right"/>
        </w:trPr>
        <w:tc>
          <w:tcPr>
            <w:tcW w:w="0" w:type="auto"/>
            <w:gridSpan w:val="12"/>
            <w:shd w:val="clear" w:color="auto" w:fill="auto"/>
            <w:tcMar>
              <w:top w:w="40" w:type="dxa"/>
              <w:left w:w="40" w:type="dxa"/>
              <w:bottom w:w="40" w:type="dxa"/>
              <w:right w:w="40" w:type="dxa"/>
            </w:tcMar>
            <w:vAlign w:val="bottom"/>
          </w:tcPr>
          <w:p w14:paraId="5556839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15: ASSETS UNDER MANAGEMENT BY ASSET CLASS AND INVESTMENT APPROACH</w:t>
            </w:r>
          </w:p>
        </w:tc>
        <w:tc>
          <w:tcPr>
            <w:tcW w:w="0" w:type="auto"/>
            <w:shd w:val="clear" w:color="auto" w:fill="auto"/>
            <w:tcMar>
              <w:top w:w="40" w:type="dxa"/>
              <w:left w:w="40" w:type="dxa"/>
              <w:bottom w:w="40" w:type="dxa"/>
              <w:right w:w="40" w:type="dxa"/>
            </w:tcMar>
            <w:vAlign w:val="bottom"/>
          </w:tcPr>
          <w:p w14:paraId="555683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3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3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3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3A2" w14:textId="77777777">
        <w:trPr>
          <w:jc w:val="right"/>
        </w:trPr>
        <w:tc>
          <w:tcPr>
            <w:tcW w:w="0" w:type="auto"/>
            <w:shd w:val="clear" w:color="auto" w:fill="auto"/>
            <w:tcMar>
              <w:top w:w="40" w:type="dxa"/>
              <w:left w:w="40" w:type="dxa"/>
              <w:bottom w:w="40" w:type="dxa"/>
              <w:right w:w="40" w:type="dxa"/>
            </w:tcMar>
            <w:vAlign w:val="bottom"/>
          </w:tcPr>
          <w:p w14:paraId="5556839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39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83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39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c>
          <w:tcPr>
            <w:tcW w:w="0" w:type="auto"/>
            <w:shd w:val="clear" w:color="auto" w:fill="auto"/>
            <w:tcMar>
              <w:top w:w="40" w:type="dxa"/>
              <w:left w:w="40" w:type="dxa"/>
              <w:bottom w:w="40" w:type="dxa"/>
              <w:right w:w="40" w:type="dxa"/>
            </w:tcMar>
            <w:vAlign w:val="bottom"/>
          </w:tcPr>
          <w:p w14:paraId="555683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39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2017</w:t>
            </w:r>
          </w:p>
        </w:tc>
        <w:tc>
          <w:tcPr>
            <w:tcW w:w="0" w:type="auto"/>
            <w:shd w:val="clear" w:color="auto" w:fill="auto"/>
            <w:tcMar>
              <w:top w:w="40" w:type="dxa"/>
              <w:left w:w="40" w:type="dxa"/>
              <w:bottom w:w="40" w:type="dxa"/>
              <w:right w:w="40" w:type="dxa"/>
            </w:tcMar>
            <w:vAlign w:val="bottom"/>
          </w:tcPr>
          <w:p w14:paraId="555683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39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Change</w:t>
            </w:r>
            <w:r>
              <w:rPr>
                <w:rFonts w:ascii="Arial" w:eastAsia="宋体" w:hAnsi="Arial" w:cs="Arial"/>
                <w:b/>
                <w:bCs/>
                <w:sz w:val="15"/>
                <w:szCs w:val="15"/>
              </w:rPr>
              <w:br/>
              <w:t>2019 vs. 2018</w:t>
            </w:r>
          </w:p>
        </w:tc>
        <w:tc>
          <w:tcPr>
            <w:tcW w:w="0" w:type="auto"/>
            <w:shd w:val="clear" w:color="auto" w:fill="auto"/>
            <w:tcMar>
              <w:top w:w="40" w:type="dxa"/>
              <w:left w:w="40" w:type="dxa"/>
              <w:bottom w:w="40" w:type="dxa"/>
              <w:right w:w="40" w:type="dxa"/>
            </w:tcMar>
            <w:vAlign w:val="bottom"/>
          </w:tcPr>
          <w:p w14:paraId="555683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3A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Change</w:t>
            </w:r>
            <w:r>
              <w:rPr>
                <w:rFonts w:ascii="Arial" w:eastAsia="宋体" w:hAnsi="Arial" w:cs="Arial"/>
                <w:b/>
                <w:bCs/>
                <w:sz w:val="15"/>
                <w:szCs w:val="15"/>
              </w:rPr>
              <w:br/>
              <w:t>2018 vs. 2017</w:t>
            </w:r>
          </w:p>
        </w:tc>
      </w:tr>
      <w:tr w:rsidR="00F925DD" w14:paraId="555683A4" w14:textId="77777777">
        <w:trPr>
          <w:jc w:val="right"/>
        </w:trPr>
        <w:tc>
          <w:tcPr>
            <w:tcW w:w="0" w:type="auto"/>
            <w:gridSpan w:val="18"/>
            <w:shd w:val="clear" w:color="auto" w:fill="auto"/>
            <w:tcMar>
              <w:top w:w="40" w:type="dxa"/>
              <w:left w:w="40" w:type="dxa"/>
              <w:bottom w:w="40" w:type="dxa"/>
              <w:right w:w="40" w:type="dxa"/>
            </w:tcMar>
            <w:vAlign w:val="bottom"/>
          </w:tcPr>
          <w:p w14:paraId="555683A3" w14:textId="77777777" w:rsidR="00F925DD" w:rsidRDefault="00E705D7">
            <w:pPr>
              <w:textAlignment w:val="bottom"/>
              <w:rPr>
                <w:rFonts w:ascii="Times New Roman" w:hAnsi="Times New Roman"/>
                <w:sz w:val="15"/>
                <w:szCs w:val="15"/>
              </w:rPr>
            </w:pPr>
            <w:r>
              <w:rPr>
                <w:rFonts w:ascii="Arial" w:eastAsia="宋体" w:hAnsi="Arial" w:cs="Arial"/>
                <w:sz w:val="15"/>
                <w:szCs w:val="15"/>
              </w:rPr>
              <w:t>Equity:</w:t>
            </w:r>
          </w:p>
        </w:tc>
      </w:tr>
      <w:tr w:rsidR="00F925DD" w14:paraId="555683B7" w14:textId="77777777">
        <w:trPr>
          <w:jc w:val="right"/>
        </w:trPr>
        <w:tc>
          <w:tcPr>
            <w:tcW w:w="0" w:type="auto"/>
            <w:shd w:val="clear" w:color="auto" w:fill="CCEEFF"/>
            <w:tcMar>
              <w:top w:w="40" w:type="dxa"/>
              <w:left w:w="40" w:type="dxa"/>
              <w:bottom w:w="40" w:type="dxa"/>
              <w:right w:w="40" w:type="dxa"/>
            </w:tcMar>
            <w:vAlign w:val="bottom"/>
          </w:tcPr>
          <w:p w14:paraId="555683A5" w14:textId="77777777" w:rsidR="00F925DD" w:rsidRDefault="00E705D7">
            <w:pPr>
              <w:textAlignment w:val="bottom"/>
              <w:rPr>
                <w:rFonts w:ascii="Times New Roman" w:hAnsi="Times New Roman"/>
                <w:sz w:val="15"/>
                <w:szCs w:val="15"/>
              </w:rPr>
            </w:pPr>
            <w:r>
              <w:rPr>
                <w:rFonts w:ascii="Arial" w:eastAsia="宋体" w:hAnsi="Arial" w:cs="Arial"/>
                <w:sz w:val="15"/>
                <w:szCs w:val="15"/>
              </w:rPr>
              <w:t>  Active</w:t>
            </w:r>
          </w:p>
        </w:tc>
        <w:tc>
          <w:tcPr>
            <w:tcW w:w="0" w:type="auto"/>
            <w:shd w:val="clear" w:color="auto" w:fill="CCEEFF"/>
            <w:tcMar>
              <w:top w:w="40" w:type="dxa"/>
              <w:left w:w="40" w:type="dxa"/>
              <w:bottom w:w="40" w:type="dxa"/>
            </w:tcMar>
            <w:vAlign w:val="bottom"/>
          </w:tcPr>
          <w:p w14:paraId="555683A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83A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88</w:t>
            </w:r>
          </w:p>
        </w:tc>
        <w:tc>
          <w:tcPr>
            <w:tcW w:w="0" w:type="auto"/>
            <w:shd w:val="clear" w:color="auto" w:fill="CCEEFF"/>
            <w:vAlign w:val="bottom"/>
          </w:tcPr>
          <w:p w14:paraId="555683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A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83A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80</w:t>
            </w:r>
          </w:p>
        </w:tc>
        <w:tc>
          <w:tcPr>
            <w:tcW w:w="0" w:type="auto"/>
            <w:shd w:val="clear" w:color="auto" w:fill="CCEEFF"/>
            <w:vAlign w:val="bottom"/>
          </w:tcPr>
          <w:p w14:paraId="555683A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A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83A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95</w:t>
            </w:r>
          </w:p>
        </w:tc>
        <w:tc>
          <w:tcPr>
            <w:tcW w:w="0" w:type="auto"/>
            <w:shd w:val="clear" w:color="auto" w:fill="CCEEFF"/>
            <w:vAlign w:val="bottom"/>
          </w:tcPr>
          <w:p w14:paraId="555683B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B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CCEEFF"/>
            <w:tcMar>
              <w:top w:w="40" w:type="dxa"/>
              <w:bottom w:w="40" w:type="dxa"/>
              <w:right w:w="40" w:type="dxa"/>
            </w:tcMar>
            <w:vAlign w:val="bottom"/>
          </w:tcPr>
          <w:p w14:paraId="555683B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3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B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w:t>
            </w:r>
          </w:p>
        </w:tc>
        <w:tc>
          <w:tcPr>
            <w:tcW w:w="0" w:type="auto"/>
            <w:shd w:val="clear" w:color="auto" w:fill="CCEEFF"/>
            <w:tcMar>
              <w:top w:w="40" w:type="dxa"/>
              <w:bottom w:w="40" w:type="dxa"/>
              <w:right w:w="40" w:type="dxa"/>
            </w:tcMar>
            <w:vAlign w:val="bottom"/>
          </w:tcPr>
          <w:p w14:paraId="555683B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3C7" w14:textId="77777777">
        <w:trPr>
          <w:jc w:val="right"/>
        </w:trPr>
        <w:tc>
          <w:tcPr>
            <w:tcW w:w="0" w:type="auto"/>
            <w:shd w:val="clear" w:color="auto" w:fill="auto"/>
            <w:tcMar>
              <w:top w:w="40" w:type="dxa"/>
              <w:left w:w="40" w:type="dxa"/>
              <w:bottom w:w="40" w:type="dxa"/>
              <w:right w:w="40" w:type="dxa"/>
            </w:tcMar>
            <w:vAlign w:val="bottom"/>
          </w:tcPr>
          <w:p w14:paraId="555683B8" w14:textId="77777777" w:rsidR="00F925DD" w:rsidRDefault="00E705D7">
            <w:pPr>
              <w:textAlignment w:val="bottom"/>
              <w:rPr>
                <w:rFonts w:ascii="Times New Roman" w:hAnsi="Times New Roman"/>
                <w:sz w:val="15"/>
                <w:szCs w:val="15"/>
              </w:rPr>
            </w:pPr>
            <w:r>
              <w:rPr>
                <w:rFonts w:ascii="Arial" w:eastAsia="宋体" w:hAnsi="Arial" w:cs="Arial"/>
                <w:sz w:val="15"/>
                <w:szCs w:val="15"/>
              </w:rPr>
              <w:t>  Passive</w:t>
            </w:r>
          </w:p>
        </w:tc>
        <w:tc>
          <w:tcPr>
            <w:tcW w:w="0" w:type="auto"/>
            <w:gridSpan w:val="2"/>
            <w:tcBorders>
              <w:bottom w:val="single" w:sz="8" w:space="0" w:color="000000"/>
            </w:tcBorders>
            <w:shd w:val="clear" w:color="auto" w:fill="auto"/>
            <w:tcMar>
              <w:top w:w="40" w:type="dxa"/>
              <w:left w:w="40" w:type="dxa"/>
              <w:bottom w:w="40" w:type="dxa"/>
            </w:tcMar>
            <w:vAlign w:val="bottom"/>
          </w:tcPr>
          <w:p w14:paraId="555683B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1,903</w:t>
            </w:r>
          </w:p>
        </w:tc>
        <w:tc>
          <w:tcPr>
            <w:tcW w:w="0" w:type="auto"/>
            <w:tcBorders>
              <w:bottom w:val="single" w:sz="8" w:space="0" w:color="000000"/>
            </w:tcBorders>
            <w:shd w:val="clear" w:color="auto" w:fill="auto"/>
            <w:vAlign w:val="bottom"/>
          </w:tcPr>
          <w:p w14:paraId="555683B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3B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1,464</w:t>
            </w:r>
          </w:p>
        </w:tc>
        <w:tc>
          <w:tcPr>
            <w:tcW w:w="0" w:type="auto"/>
            <w:tcBorders>
              <w:bottom w:val="single" w:sz="8" w:space="0" w:color="000000"/>
            </w:tcBorders>
            <w:shd w:val="clear" w:color="auto" w:fill="auto"/>
            <w:vAlign w:val="bottom"/>
          </w:tcPr>
          <w:p w14:paraId="555683B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3B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1,650</w:t>
            </w:r>
          </w:p>
        </w:tc>
        <w:tc>
          <w:tcPr>
            <w:tcW w:w="0" w:type="auto"/>
            <w:tcBorders>
              <w:bottom w:val="single" w:sz="8" w:space="0" w:color="000000"/>
            </w:tcBorders>
            <w:shd w:val="clear" w:color="auto" w:fill="auto"/>
            <w:vAlign w:val="bottom"/>
          </w:tcPr>
          <w:p w14:paraId="555683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3C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w:t>
            </w:r>
          </w:p>
        </w:tc>
        <w:tc>
          <w:tcPr>
            <w:tcW w:w="0" w:type="auto"/>
            <w:shd w:val="clear" w:color="auto" w:fill="auto"/>
            <w:vAlign w:val="bottom"/>
          </w:tcPr>
          <w:p w14:paraId="555683C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3C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w:t>
            </w:r>
          </w:p>
        </w:tc>
        <w:tc>
          <w:tcPr>
            <w:tcW w:w="0" w:type="auto"/>
            <w:shd w:val="clear" w:color="auto" w:fill="auto"/>
            <w:tcMar>
              <w:top w:w="40" w:type="dxa"/>
              <w:bottom w:w="40" w:type="dxa"/>
              <w:right w:w="40" w:type="dxa"/>
            </w:tcMar>
            <w:vAlign w:val="bottom"/>
          </w:tcPr>
          <w:p w14:paraId="555683C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3D7" w14:textId="77777777">
        <w:trPr>
          <w:jc w:val="right"/>
        </w:trPr>
        <w:tc>
          <w:tcPr>
            <w:tcW w:w="0" w:type="auto"/>
            <w:shd w:val="clear" w:color="auto" w:fill="CCEEFF"/>
            <w:tcMar>
              <w:top w:w="40" w:type="dxa"/>
              <w:left w:w="40" w:type="dxa"/>
              <w:bottom w:w="40" w:type="dxa"/>
              <w:right w:w="40" w:type="dxa"/>
            </w:tcMar>
            <w:vAlign w:val="bottom"/>
          </w:tcPr>
          <w:p w14:paraId="555683C8"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equity</w:t>
            </w:r>
          </w:p>
        </w:tc>
        <w:tc>
          <w:tcPr>
            <w:tcW w:w="0" w:type="auto"/>
            <w:gridSpan w:val="2"/>
            <w:tcBorders>
              <w:top w:val="single" w:sz="8" w:space="0" w:color="000000"/>
            </w:tcBorders>
            <w:shd w:val="clear" w:color="auto" w:fill="CCEEFF"/>
            <w:tcMar>
              <w:top w:w="40" w:type="dxa"/>
              <w:left w:w="40" w:type="dxa"/>
              <w:bottom w:w="40" w:type="dxa"/>
            </w:tcMar>
            <w:vAlign w:val="bottom"/>
          </w:tcPr>
          <w:p w14:paraId="555683C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1,991</w:t>
            </w:r>
          </w:p>
        </w:tc>
        <w:tc>
          <w:tcPr>
            <w:tcW w:w="0" w:type="auto"/>
            <w:tcBorders>
              <w:top w:val="single" w:sz="8" w:space="0" w:color="000000"/>
            </w:tcBorders>
            <w:shd w:val="clear" w:color="auto" w:fill="CCEEFF"/>
            <w:vAlign w:val="bottom"/>
          </w:tcPr>
          <w:p w14:paraId="555683C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3C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1,544</w:t>
            </w:r>
          </w:p>
        </w:tc>
        <w:tc>
          <w:tcPr>
            <w:tcW w:w="0" w:type="auto"/>
            <w:tcBorders>
              <w:top w:val="single" w:sz="8" w:space="0" w:color="000000"/>
            </w:tcBorders>
            <w:shd w:val="clear" w:color="auto" w:fill="CCEEFF"/>
            <w:vAlign w:val="bottom"/>
          </w:tcPr>
          <w:p w14:paraId="555683C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3C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1,745</w:t>
            </w:r>
          </w:p>
        </w:tc>
        <w:tc>
          <w:tcPr>
            <w:tcW w:w="0" w:type="auto"/>
            <w:tcBorders>
              <w:top w:val="single" w:sz="8" w:space="0" w:color="000000"/>
            </w:tcBorders>
            <w:shd w:val="clear" w:color="auto" w:fill="CCEEFF"/>
            <w:vAlign w:val="bottom"/>
          </w:tcPr>
          <w:p w14:paraId="555683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D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w:t>
            </w:r>
          </w:p>
        </w:tc>
        <w:tc>
          <w:tcPr>
            <w:tcW w:w="0" w:type="auto"/>
            <w:shd w:val="clear" w:color="auto" w:fill="CCEEFF"/>
            <w:vAlign w:val="bottom"/>
          </w:tcPr>
          <w:p w14:paraId="555683D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D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w:t>
            </w:r>
          </w:p>
        </w:tc>
        <w:tc>
          <w:tcPr>
            <w:tcW w:w="0" w:type="auto"/>
            <w:shd w:val="clear" w:color="auto" w:fill="CCEEFF"/>
            <w:tcMar>
              <w:top w:w="40" w:type="dxa"/>
              <w:bottom w:w="40" w:type="dxa"/>
              <w:right w:w="40" w:type="dxa"/>
            </w:tcMar>
            <w:vAlign w:val="bottom"/>
          </w:tcPr>
          <w:p w14:paraId="555683D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3D9" w14:textId="77777777">
        <w:trPr>
          <w:jc w:val="right"/>
        </w:trPr>
        <w:tc>
          <w:tcPr>
            <w:tcW w:w="0" w:type="auto"/>
            <w:gridSpan w:val="18"/>
            <w:shd w:val="clear" w:color="auto" w:fill="auto"/>
            <w:tcMar>
              <w:top w:w="40" w:type="dxa"/>
              <w:left w:w="40" w:type="dxa"/>
              <w:bottom w:w="40" w:type="dxa"/>
              <w:right w:w="40" w:type="dxa"/>
            </w:tcMar>
            <w:vAlign w:val="bottom"/>
          </w:tcPr>
          <w:p w14:paraId="555683D8" w14:textId="77777777" w:rsidR="00F925DD" w:rsidRDefault="00E705D7">
            <w:pPr>
              <w:textAlignment w:val="bottom"/>
              <w:rPr>
                <w:rFonts w:ascii="Times New Roman" w:hAnsi="Times New Roman"/>
                <w:sz w:val="15"/>
                <w:szCs w:val="15"/>
              </w:rPr>
            </w:pPr>
            <w:r>
              <w:rPr>
                <w:rFonts w:ascii="Arial" w:eastAsia="宋体" w:hAnsi="Arial" w:cs="Arial"/>
                <w:sz w:val="15"/>
                <w:szCs w:val="15"/>
              </w:rPr>
              <w:t>Fixed-income:</w:t>
            </w:r>
          </w:p>
        </w:tc>
      </w:tr>
      <w:tr w:rsidR="00F925DD" w14:paraId="555683E9" w14:textId="77777777">
        <w:trPr>
          <w:jc w:val="right"/>
        </w:trPr>
        <w:tc>
          <w:tcPr>
            <w:tcW w:w="0" w:type="auto"/>
            <w:shd w:val="clear" w:color="auto" w:fill="CCEEFF"/>
            <w:tcMar>
              <w:top w:w="40" w:type="dxa"/>
              <w:left w:w="40" w:type="dxa"/>
              <w:bottom w:w="40" w:type="dxa"/>
              <w:right w:w="40" w:type="dxa"/>
            </w:tcMar>
            <w:vAlign w:val="bottom"/>
          </w:tcPr>
          <w:p w14:paraId="555683DA" w14:textId="77777777" w:rsidR="00F925DD" w:rsidRDefault="00E705D7">
            <w:pPr>
              <w:textAlignment w:val="bottom"/>
              <w:rPr>
                <w:rFonts w:ascii="Times New Roman" w:hAnsi="Times New Roman"/>
                <w:sz w:val="15"/>
                <w:szCs w:val="15"/>
              </w:rPr>
            </w:pPr>
            <w:r>
              <w:rPr>
                <w:rFonts w:ascii="Arial" w:eastAsia="宋体" w:hAnsi="Arial" w:cs="Arial"/>
                <w:sz w:val="15"/>
                <w:szCs w:val="15"/>
              </w:rPr>
              <w:t>  Active</w:t>
            </w:r>
          </w:p>
        </w:tc>
        <w:tc>
          <w:tcPr>
            <w:tcW w:w="0" w:type="auto"/>
            <w:gridSpan w:val="2"/>
            <w:shd w:val="clear" w:color="auto" w:fill="CCEEFF"/>
            <w:tcMar>
              <w:top w:w="40" w:type="dxa"/>
              <w:left w:w="40" w:type="dxa"/>
              <w:bottom w:w="40" w:type="dxa"/>
            </w:tcMar>
            <w:vAlign w:val="bottom"/>
          </w:tcPr>
          <w:p w14:paraId="555683D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w:t>
            </w:r>
          </w:p>
        </w:tc>
        <w:tc>
          <w:tcPr>
            <w:tcW w:w="0" w:type="auto"/>
            <w:shd w:val="clear" w:color="auto" w:fill="CCEEFF"/>
            <w:vAlign w:val="bottom"/>
          </w:tcPr>
          <w:p w14:paraId="555683D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3D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81</w:t>
            </w:r>
          </w:p>
        </w:tc>
        <w:tc>
          <w:tcPr>
            <w:tcW w:w="0" w:type="auto"/>
            <w:shd w:val="clear" w:color="auto" w:fill="CCEEFF"/>
            <w:vAlign w:val="bottom"/>
          </w:tcPr>
          <w:p w14:paraId="555683D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3E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77</w:t>
            </w:r>
          </w:p>
        </w:tc>
        <w:tc>
          <w:tcPr>
            <w:tcW w:w="0" w:type="auto"/>
            <w:shd w:val="clear" w:color="auto" w:fill="CCEEFF"/>
            <w:vAlign w:val="bottom"/>
          </w:tcPr>
          <w:p w14:paraId="555683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E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CCEEFF"/>
            <w:vAlign w:val="bottom"/>
          </w:tcPr>
          <w:p w14:paraId="555683E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3E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CCEEFF"/>
            <w:vAlign w:val="bottom"/>
          </w:tcPr>
          <w:p w14:paraId="555683E8" w14:textId="77777777" w:rsidR="00F925DD" w:rsidRDefault="00F925DD">
            <w:pPr>
              <w:textAlignment w:val="bottom"/>
              <w:rPr>
                <w:rFonts w:ascii="Times New Roman" w:hAnsi="Times New Roman"/>
                <w:sz w:val="20"/>
                <w:szCs w:val="20"/>
              </w:rPr>
            </w:pPr>
          </w:p>
        </w:tc>
      </w:tr>
      <w:tr w:rsidR="00F925DD" w14:paraId="555683F9" w14:textId="77777777">
        <w:trPr>
          <w:jc w:val="right"/>
        </w:trPr>
        <w:tc>
          <w:tcPr>
            <w:tcW w:w="0" w:type="auto"/>
            <w:shd w:val="clear" w:color="auto" w:fill="auto"/>
            <w:tcMar>
              <w:top w:w="40" w:type="dxa"/>
              <w:left w:w="40" w:type="dxa"/>
              <w:bottom w:w="40" w:type="dxa"/>
              <w:right w:w="40" w:type="dxa"/>
            </w:tcMar>
            <w:vAlign w:val="bottom"/>
          </w:tcPr>
          <w:p w14:paraId="555683EA" w14:textId="77777777" w:rsidR="00F925DD" w:rsidRDefault="00E705D7">
            <w:pPr>
              <w:textAlignment w:val="bottom"/>
              <w:rPr>
                <w:rFonts w:ascii="Times New Roman" w:hAnsi="Times New Roman"/>
                <w:sz w:val="15"/>
                <w:szCs w:val="15"/>
              </w:rPr>
            </w:pPr>
            <w:r>
              <w:rPr>
                <w:rFonts w:ascii="Arial" w:eastAsia="宋体" w:hAnsi="Arial" w:cs="Arial"/>
                <w:sz w:val="15"/>
                <w:szCs w:val="15"/>
              </w:rPr>
              <w:t>  Passive</w:t>
            </w:r>
          </w:p>
        </w:tc>
        <w:tc>
          <w:tcPr>
            <w:tcW w:w="0" w:type="auto"/>
            <w:gridSpan w:val="2"/>
            <w:tcBorders>
              <w:bottom w:val="single" w:sz="8" w:space="0" w:color="000000"/>
            </w:tcBorders>
            <w:shd w:val="clear" w:color="auto" w:fill="auto"/>
            <w:tcMar>
              <w:top w:w="40" w:type="dxa"/>
              <w:left w:w="40" w:type="dxa"/>
              <w:bottom w:w="40" w:type="dxa"/>
            </w:tcMar>
            <w:vAlign w:val="bottom"/>
          </w:tcPr>
          <w:p w14:paraId="555683E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379</w:t>
            </w:r>
          </w:p>
        </w:tc>
        <w:tc>
          <w:tcPr>
            <w:tcW w:w="0" w:type="auto"/>
            <w:tcBorders>
              <w:bottom w:val="single" w:sz="8" w:space="0" w:color="000000"/>
            </w:tcBorders>
            <w:shd w:val="clear" w:color="auto" w:fill="auto"/>
            <w:vAlign w:val="bottom"/>
          </w:tcPr>
          <w:p w14:paraId="555683E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3E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341</w:t>
            </w:r>
          </w:p>
        </w:tc>
        <w:tc>
          <w:tcPr>
            <w:tcW w:w="0" w:type="auto"/>
            <w:tcBorders>
              <w:bottom w:val="single" w:sz="8" w:space="0" w:color="000000"/>
            </w:tcBorders>
            <w:shd w:val="clear" w:color="auto" w:fill="auto"/>
            <w:vAlign w:val="bottom"/>
          </w:tcPr>
          <w:p w14:paraId="555683E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3F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337</w:t>
            </w:r>
          </w:p>
        </w:tc>
        <w:tc>
          <w:tcPr>
            <w:tcW w:w="0" w:type="auto"/>
            <w:tcBorders>
              <w:bottom w:val="single" w:sz="8" w:space="0" w:color="000000"/>
            </w:tcBorders>
            <w:shd w:val="clear" w:color="auto" w:fill="auto"/>
            <w:vAlign w:val="bottom"/>
          </w:tcPr>
          <w:p w14:paraId="555683F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3F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w:t>
            </w:r>
          </w:p>
        </w:tc>
        <w:tc>
          <w:tcPr>
            <w:tcW w:w="0" w:type="auto"/>
            <w:shd w:val="clear" w:color="auto" w:fill="auto"/>
            <w:vAlign w:val="bottom"/>
          </w:tcPr>
          <w:p w14:paraId="555683F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3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3F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555683F8" w14:textId="77777777" w:rsidR="00F925DD" w:rsidRDefault="00F925DD">
            <w:pPr>
              <w:textAlignment w:val="bottom"/>
              <w:rPr>
                <w:rFonts w:ascii="Times New Roman" w:hAnsi="Times New Roman"/>
                <w:sz w:val="20"/>
                <w:szCs w:val="20"/>
              </w:rPr>
            </w:pPr>
          </w:p>
        </w:tc>
      </w:tr>
      <w:tr w:rsidR="00F925DD" w14:paraId="55568409" w14:textId="77777777">
        <w:trPr>
          <w:jc w:val="right"/>
        </w:trPr>
        <w:tc>
          <w:tcPr>
            <w:tcW w:w="0" w:type="auto"/>
            <w:shd w:val="clear" w:color="auto" w:fill="CCEEFF"/>
            <w:tcMar>
              <w:top w:w="40" w:type="dxa"/>
              <w:left w:w="40" w:type="dxa"/>
              <w:bottom w:w="40" w:type="dxa"/>
              <w:right w:w="40" w:type="dxa"/>
            </w:tcMar>
            <w:vAlign w:val="bottom"/>
          </w:tcPr>
          <w:p w14:paraId="555683FA"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fixed-income</w:t>
            </w:r>
          </w:p>
        </w:tc>
        <w:tc>
          <w:tcPr>
            <w:tcW w:w="0" w:type="auto"/>
            <w:gridSpan w:val="2"/>
            <w:tcBorders>
              <w:top w:val="single" w:sz="8" w:space="0" w:color="000000"/>
            </w:tcBorders>
            <w:shd w:val="clear" w:color="auto" w:fill="CCEEFF"/>
            <w:tcMar>
              <w:top w:w="40" w:type="dxa"/>
              <w:left w:w="40" w:type="dxa"/>
              <w:bottom w:w="40" w:type="dxa"/>
            </w:tcMar>
            <w:vAlign w:val="bottom"/>
          </w:tcPr>
          <w:p w14:paraId="555683F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468</w:t>
            </w:r>
          </w:p>
        </w:tc>
        <w:tc>
          <w:tcPr>
            <w:tcW w:w="0" w:type="auto"/>
            <w:tcBorders>
              <w:top w:val="single" w:sz="8" w:space="0" w:color="000000"/>
            </w:tcBorders>
            <w:shd w:val="clear" w:color="auto" w:fill="CCEEFF"/>
            <w:vAlign w:val="bottom"/>
          </w:tcPr>
          <w:p w14:paraId="555683F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3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3F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422</w:t>
            </w:r>
          </w:p>
        </w:tc>
        <w:tc>
          <w:tcPr>
            <w:tcW w:w="0" w:type="auto"/>
            <w:tcBorders>
              <w:top w:val="single" w:sz="8" w:space="0" w:color="000000"/>
            </w:tcBorders>
            <w:shd w:val="clear" w:color="auto" w:fill="CCEEFF"/>
            <w:vAlign w:val="bottom"/>
          </w:tcPr>
          <w:p w14:paraId="555683F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40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414</w:t>
            </w:r>
          </w:p>
        </w:tc>
        <w:tc>
          <w:tcPr>
            <w:tcW w:w="0" w:type="auto"/>
            <w:tcBorders>
              <w:top w:val="single" w:sz="8" w:space="0" w:color="000000"/>
            </w:tcBorders>
            <w:shd w:val="clear" w:color="auto" w:fill="CCEEFF"/>
            <w:vAlign w:val="bottom"/>
          </w:tcPr>
          <w:p w14:paraId="5556840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0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w:t>
            </w:r>
          </w:p>
        </w:tc>
        <w:tc>
          <w:tcPr>
            <w:tcW w:w="0" w:type="auto"/>
            <w:shd w:val="clear" w:color="auto" w:fill="CCEEFF"/>
            <w:vAlign w:val="bottom"/>
          </w:tcPr>
          <w:p w14:paraId="555684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0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vAlign w:val="bottom"/>
          </w:tcPr>
          <w:p w14:paraId="55568408" w14:textId="77777777" w:rsidR="00F925DD" w:rsidRDefault="00F925DD">
            <w:pPr>
              <w:textAlignment w:val="bottom"/>
              <w:rPr>
                <w:rFonts w:ascii="Times New Roman" w:hAnsi="Times New Roman"/>
                <w:sz w:val="20"/>
                <w:szCs w:val="20"/>
              </w:rPr>
            </w:pPr>
          </w:p>
        </w:tc>
      </w:tr>
      <w:tr w:rsidR="00F925DD" w14:paraId="55568419" w14:textId="77777777">
        <w:trPr>
          <w:jc w:val="right"/>
        </w:trPr>
        <w:tc>
          <w:tcPr>
            <w:tcW w:w="0" w:type="auto"/>
            <w:shd w:val="clear" w:color="auto" w:fill="auto"/>
            <w:tcMar>
              <w:top w:w="40" w:type="dxa"/>
              <w:left w:w="40" w:type="dxa"/>
              <w:bottom w:w="40" w:type="dxa"/>
              <w:right w:w="40" w:type="dxa"/>
            </w:tcMar>
            <w:vAlign w:val="bottom"/>
          </w:tcPr>
          <w:p w14:paraId="5556840A" w14:textId="77777777" w:rsidR="00F925DD" w:rsidRDefault="00E705D7">
            <w:pPr>
              <w:textAlignment w:val="bottom"/>
              <w:rPr>
                <w:rFonts w:ascii="Times New Roman" w:hAnsi="Times New Roman"/>
                <w:sz w:val="15"/>
                <w:szCs w:val="15"/>
              </w:rPr>
            </w:pPr>
            <w:r>
              <w:rPr>
                <w:rFonts w:ascii="Arial" w:eastAsia="宋体" w:hAnsi="Arial" w:cs="Arial"/>
                <w:sz w:val="15"/>
                <w:szCs w:val="15"/>
              </w:rPr>
              <w:t>Cash(1)</w:t>
            </w:r>
          </w:p>
        </w:tc>
        <w:tc>
          <w:tcPr>
            <w:tcW w:w="0" w:type="auto"/>
            <w:gridSpan w:val="2"/>
            <w:shd w:val="clear" w:color="auto" w:fill="auto"/>
            <w:tcMar>
              <w:top w:w="40" w:type="dxa"/>
              <w:left w:w="40" w:type="dxa"/>
              <w:bottom w:w="40" w:type="dxa"/>
            </w:tcMar>
            <w:vAlign w:val="bottom"/>
          </w:tcPr>
          <w:p w14:paraId="5556840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324</w:t>
            </w:r>
          </w:p>
        </w:tc>
        <w:tc>
          <w:tcPr>
            <w:tcW w:w="0" w:type="auto"/>
            <w:shd w:val="clear" w:color="auto" w:fill="auto"/>
            <w:vAlign w:val="bottom"/>
          </w:tcPr>
          <w:p w14:paraId="555684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40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287</w:t>
            </w:r>
          </w:p>
        </w:tc>
        <w:tc>
          <w:tcPr>
            <w:tcW w:w="0" w:type="auto"/>
            <w:shd w:val="clear" w:color="auto" w:fill="auto"/>
            <w:vAlign w:val="bottom"/>
          </w:tcPr>
          <w:p w14:paraId="555684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41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330</w:t>
            </w:r>
          </w:p>
        </w:tc>
        <w:tc>
          <w:tcPr>
            <w:tcW w:w="0" w:type="auto"/>
            <w:shd w:val="clear" w:color="auto" w:fill="auto"/>
            <w:vAlign w:val="bottom"/>
          </w:tcPr>
          <w:p w14:paraId="555684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1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w:t>
            </w:r>
          </w:p>
        </w:tc>
        <w:tc>
          <w:tcPr>
            <w:tcW w:w="0" w:type="auto"/>
            <w:shd w:val="clear" w:color="auto" w:fill="auto"/>
            <w:vAlign w:val="bottom"/>
          </w:tcPr>
          <w:p w14:paraId="5556841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1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w:t>
            </w:r>
          </w:p>
        </w:tc>
        <w:tc>
          <w:tcPr>
            <w:tcW w:w="0" w:type="auto"/>
            <w:shd w:val="clear" w:color="auto" w:fill="auto"/>
            <w:tcMar>
              <w:top w:w="40" w:type="dxa"/>
              <w:bottom w:w="40" w:type="dxa"/>
              <w:right w:w="40" w:type="dxa"/>
            </w:tcMar>
            <w:vAlign w:val="bottom"/>
          </w:tcPr>
          <w:p w14:paraId="5556841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41B" w14:textId="77777777">
        <w:trPr>
          <w:jc w:val="right"/>
        </w:trPr>
        <w:tc>
          <w:tcPr>
            <w:tcW w:w="0" w:type="auto"/>
            <w:gridSpan w:val="18"/>
            <w:shd w:val="clear" w:color="auto" w:fill="CCEEFF"/>
            <w:tcMar>
              <w:top w:w="40" w:type="dxa"/>
              <w:left w:w="40" w:type="dxa"/>
              <w:bottom w:w="40" w:type="dxa"/>
              <w:right w:w="40" w:type="dxa"/>
            </w:tcMar>
            <w:vAlign w:val="bottom"/>
          </w:tcPr>
          <w:p w14:paraId="5556841A" w14:textId="77777777" w:rsidR="00F925DD" w:rsidRDefault="00E705D7">
            <w:pPr>
              <w:textAlignment w:val="bottom"/>
              <w:rPr>
                <w:rFonts w:ascii="Times New Roman" w:hAnsi="Times New Roman"/>
                <w:sz w:val="15"/>
                <w:szCs w:val="15"/>
              </w:rPr>
            </w:pPr>
            <w:r>
              <w:rPr>
                <w:rFonts w:ascii="Arial" w:eastAsia="宋体" w:hAnsi="Arial" w:cs="Arial"/>
                <w:sz w:val="15"/>
                <w:szCs w:val="15"/>
              </w:rPr>
              <w:t>Multi-asset-class solutions:</w:t>
            </w:r>
          </w:p>
        </w:tc>
      </w:tr>
      <w:tr w:rsidR="00F925DD" w14:paraId="5556842B" w14:textId="77777777">
        <w:trPr>
          <w:jc w:val="right"/>
        </w:trPr>
        <w:tc>
          <w:tcPr>
            <w:tcW w:w="0" w:type="auto"/>
            <w:shd w:val="clear" w:color="auto" w:fill="auto"/>
            <w:tcMar>
              <w:top w:w="40" w:type="dxa"/>
              <w:left w:w="40" w:type="dxa"/>
              <w:bottom w:w="40" w:type="dxa"/>
              <w:right w:w="40" w:type="dxa"/>
            </w:tcMar>
            <w:vAlign w:val="bottom"/>
          </w:tcPr>
          <w:p w14:paraId="5556841C" w14:textId="77777777" w:rsidR="00F925DD" w:rsidRDefault="00E705D7">
            <w:pPr>
              <w:textAlignment w:val="bottom"/>
              <w:rPr>
                <w:rFonts w:ascii="Times New Roman" w:hAnsi="Times New Roman"/>
                <w:sz w:val="15"/>
                <w:szCs w:val="15"/>
              </w:rPr>
            </w:pPr>
            <w:r>
              <w:rPr>
                <w:rFonts w:ascii="Arial" w:eastAsia="宋体" w:hAnsi="Arial" w:cs="Arial"/>
                <w:sz w:val="15"/>
                <w:szCs w:val="15"/>
              </w:rPr>
              <w:t>  Active</w:t>
            </w:r>
          </w:p>
        </w:tc>
        <w:tc>
          <w:tcPr>
            <w:tcW w:w="0" w:type="auto"/>
            <w:gridSpan w:val="2"/>
            <w:shd w:val="clear" w:color="auto" w:fill="auto"/>
            <w:tcMar>
              <w:top w:w="40" w:type="dxa"/>
              <w:left w:w="40" w:type="dxa"/>
              <w:bottom w:w="40" w:type="dxa"/>
            </w:tcMar>
            <w:vAlign w:val="bottom"/>
          </w:tcPr>
          <w:p w14:paraId="5556841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w:t>
            </w:r>
          </w:p>
        </w:tc>
        <w:tc>
          <w:tcPr>
            <w:tcW w:w="0" w:type="auto"/>
            <w:shd w:val="clear" w:color="auto" w:fill="auto"/>
            <w:vAlign w:val="bottom"/>
          </w:tcPr>
          <w:p w14:paraId="5556841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42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w:t>
            </w:r>
          </w:p>
        </w:tc>
        <w:tc>
          <w:tcPr>
            <w:tcW w:w="0" w:type="auto"/>
            <w:shd w:val="clear" w:color="auto" w:fill="auto"/>
            <w:vAlign w:val="bottom"/>
          </w:tcPr>
          <w:p w14:paraId="5556842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42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w:t>
            </w:r>
          </w:p>
        </w:tc>
        <w:tc>
          <w:tcPr>
            <w:tcW w:w="0" w:type="auto"/>
            <w:shd w:val="clear" w:color="auto" w:fill="auto"/>
            <w:vAlign w:val="bottom"/>
          </w:tcPr>
          <w:p w14:paraId="5556842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2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shd w:val="clear" w:color="auto" w:fill="auto"/>
            <w:vAlign w:val="bottom"/>
          </w:tcPr>
          <w:p w14:paraId="5556842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2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auto"/>
            <w:vAlign w:val="bottom"/>
          </w:tcPr>
          <w:p w14:paraId="5556842A" w14:textId="77777777" w:rsidR="00F925DD" w:rsidRDefault="00F925DD">
            <w:pPr>
              <w:textAlignment w:val="bottom"/>
              <w:rPr>
                <w:rFonts w:ascii="Times New Roman" w:hAnsi="Times New Roman"/>
                <w:sz w:val="20"/>
                <w:szCs w:val="20"/>
              </w:rPr>
            </w:pPr>
          </w:p>
        </w:tc>
      </w:tr>
      <w:tr w:rsidR="00F925DD" w14:paraId="5556843B" w14:textId="77777777">
        <w:trPr>
          <w:jc w:val="right"/>
        </w:trPr>
        <w:tc>
          <w:tcPr>
            <w:tcW w:w="0" w:type="auto"/>
            <w:shd w:val="clear" w:color="auto" w:fill="CCEEFF"/>
            <w:tcMar>
              <w:top w:w="40" w:type="dxa"/>
              <w:left w:w="40" w:type="dxa"/>
              <w:bottom w:w="40" w:type="dxa"/>
              <w:right w:w="40" w:type="dxa"/>
            </w:tcMar>
            <w:vAlign w:val="bottom"/>
          </w:tcPr>
          <w:p w14:paraId="5556842C" w14:textId="77777777" w:rsidR="00F925DD" w:rsidRDefault="00E705D7">
            <w:pPr>
              <w:textAlignment w:val="bottom"/>
              <w:rPr>
                <w:rFonts w:ascii="Times New Roman" w:hAnsi="Times New Roman"/>
                <w:sz w:val="15"/>
                <w:szCs w:val="15"/>
              </w:rPr>
            </w:pPr>
            <w:r>
              <w:rPr>
                <w:rFonts w:ascii="Arial" w:eastAsia="宋体" w:hAnsi="Arial" w:cs="Arial"/>
                <w:sz w:val="15"/>
                <w:szCs w:val="15"/>
              </w:rPr>
              <w:t>  Passive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42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133</w:t>
            </w:r>
          </w:p>
        </w:tc>
        <w:tc>
          <w:tcPr>
            <w:tcW w:w="0" w:type="auto"/>
            <w:tcBorders>
              <w:bottom w:val="single" w:sz="8" w:space="0" w:color="000000"/>
            </w:tcBorders>
            <w:shd w:val="clear" w:color="auto" w:fill="CCEEFF"/>
            <w:vAlign w:val="bottom"/>
          </w:tcPr>
          <w:p w14:paraId="555684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43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113</w:t>
            </w:r>
          </w:p>
        </w:tc>
        <w:tc>
          <w:tcPr>
            <w:tcW w:w="0" w:type="auto"/>
            <w:tcBorders>
              <w:bottom w:val="single" w:sz="8" w:space="0" w:color="000000"/>
            </w:tcBorders>
            <w:shd w:val="clear" w:color="auto" w:fill="CCEEFF"/>
            <w:vAlign w:val="bottom"/>
          </w:tcPr>
          <w:p w14:paraId="5556843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43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129</w:t>
            </w:r>
          </w:p>
        </w:tc>
        <w:tc>
          <w:tcPr>
            <w:tcW w:w="0" w:type="auto"/>
            <w:tcBorders>
              <w:bottom w:val="single" w:sz="8" w:space="0" w:color="000000"/>
            </w:tcBorders>
            <w:shd w:val="clear" w:color="auto" w:fill="CCEEFF"/>
            <w:vAlign w:val="bottom"/>
          </w:tcPr>
          <w:p w14:paraId="555684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3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w:t>
            </w:r>
          </w:p>
        </w:tc>
        <w:tc>
          <w:tcPr>
            <w:tcW w:w="0" w:type="auto"/>
            <w:shd w:val="clear" w:color="auto" w:fill="CCEEFF"/>
            <w:vAlign w:val="bottom"/>
          </w:tcPr>
          <w:p w14:paraId="5556843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3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w:t>
            </w:r>
          </w:p>
        </w:tc>
        <w:tc>
          <w:tcPr>
            <w:tcW w:w="0" w:type="auto"/>
            <w:shd w:val="clear" w:color="auto" w:fill="CCEEFF"/>
            <w:tcMar>
              <w:top w:w="40" w:type="dxa"/>
              <w:bottom w:w="40" w:type="dxa"/>
              <w:right w:w="40" w:type="dxa"/>
            </w:tcMar>
            <w:vAlign w:val="bottom"/>
          </w:tcPr>
          <w:p w14:paraId="5556843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44B" w14:textId="77777777">
        <w:trPr>
          <w:jc w:val="right"/>
        </w:trPr>
        <w:tc>
          <w:tcPr>
            <w:tcW w:w="0" w:type="auto"/>
            <w:shd w:val="clear" w:color="auto" w:fill="auto"/>
            <w:tcMar>
              <w:top w:w="40" w:type="dxa"/>
              <w:left w:w="40" w:type="dxa"/>
              <w:bottom w:w="40" w:type="dxa"/>
              <w:right w:w="40" w:type="dxa"/>
            </w:tcMar>
            <w:vAlign w:val="bottom"/>
          </w:tcPr>
          <w:p w14:paraId="5556843C"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multi-asset-class solutions</w:t>
            </w:r>
          </w:p>
        </w:tc>
        <w:tc>
          <w:tcPr>
            <w:tcW w:w="0" w:type="auto"/>
            <w:gridSpan w:val="2"/>
            <w:tcBorders>
              <w:top w:val="single" w:sz="8" w:space="0" w:color="000000"/>
            </w:tcBorders>
            <w:shd w:val="clear" w:color="auto" w:fill="auto"/>
            <w:tcMar>
              <w:top w:w="40" w:type="dxa"/>
              <w:left w:w="40" w:type="dxa"/>
              <w:bottom w:w="40" w:type="dxa"/>
            </w:tcMar>
            <w:vAlign w:val="bottom"/>
          </w:tcPr>
          <w:p w14:paraId="5556843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157</w:t>
            </w:r>
          </w:p>
        </w:tc>
        <w:tc>
          <w:tcPr>
            <w:tcW w:w="0" w:type="auto"/>
            <w:tcBorders>
              <w:top w:val="single" w:sz="8" w:space="0" w:color="000000"/>
            </w:tcBorders>
            <w:shd w:val="clear" w:color="auto" w:fill="auto"/>
            <w:vAlign w:val="bottom"/>
          </w:tcPr>
          <w:p w14:paraId="5556843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844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132</w:t>
            </w:r>
          </w:p>
        </w:tc>
        <w:tc>
          <w:tcPr>
            <w:tcW w:w="0" w:type="auto"/>
            <w:tcBorders>
              <w:top w:val="single" w:sz="8" w:space="0" w:color="000000"/>
            </w:tcBorders>
            <w:shd w:val="clear" w:color="auto" w:fill="auto"/>
            <w:vAlign w:val="bottom"/>
          </w:tcPr>
          <w:p w14:paraId="555684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844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147</w:t>
            </w:r>
          </w:p>
        </w:tc>
        <w:tc>
          <w:tcPr>
            <w:tcW w:w="0" w:type="auto"/>
            <w:tcBorders>
              <w:top w:val="single" w:sz="8" w:space="0" w:color="000000"/>
            </w:tcBorders>
            <w:shd w:val="clear" w:color="auto" w:fill="auto"/>
            <w:vAlign w:val="bottom"/>
          </w:tcPr>
          <w:p w14:paraId="555684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4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w:t>
            </w:r>
          </w:p>
        </w:tc>
        <w:tc>
          <w:tcPr>
            <w:tcW w:w="0" w:type="auto"/>
            <w:shd w:val="clear" w:color="auto" w:fill="auto"/>
            <w:vAlign w:val="bottom"/>
          </w:tcPr>
          <w:p w14:paraId="5556844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4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auto"/>
            <w:tcMar>
              <w:top w:w="40" w:type="dxa"/>
              <w:bottom w:w="40" w:type="dxa"/>
              <w:right w:w="40" w:type="dxa"/>
            </w:tcMar>
            <w:vAlign w:val="bottom"/>
          </w:tcPr>
          <w:p w14:paraId="5556844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44D" w14:textId="77777777">
        <w:trPr>
          <w:jc w:val="right"/>
        </w:trPr>
        <w:tc>
          <w:tcPr>
            <w:tcW w:w="0" w:type="auto"/>
            <w:gridSpan w:val="18"/>
            <w:shd w:val="clear" w:color="auto" w:fill="CCEEFF"/>
            <w:tcMar>
              <w:top w:w="40" w:type="dxa"/>
              <w:left w:w="40" w:type="dxa"/>
              <w:bottom w:w="40" w:type="dxa"/>
              <w:right w:w="40" w:type="dxa"/>
            </w:tcMar>
            <w:vAlign w:val="bottom"/>
          </w:tcPr>
          <w:p w14:paraId="5556844C" w14:textId="77777777" w:rsidR="00F925DD" w:rsidRDefault="00E705D7">
            <w:pPr>
              <w:textAlignment w:val="bottom"/>
              <w:rPr>
                <w:rFonts w:ascii="Times New Roman" w:hAnsi="Times New Roman"/>
                <w:sz w:val="15"/>
                <w:szCs w:val="15"/>
              </w:rPr>
            </w:pPr>
            <w:r>
              <w:rPr>
                <w:rFonts w:ascii="Arial" w:eastAsia="宋体" w:hAnsi="Arial" w:cs="Arial"/>
                <w:sz w:val="15"/>
                <w:szCs w:val="15"/>
              </w:rPr>
              <w:t>Alternative investments(2):</w:t>
            </w:r>
          </w:p>
        </w:tc>
      </w:tr>
      <w:tr w:rsidR="00F925DD" w14:paraId="5556845D" w14:textId="77777777">
        <w:trPr>
          <w:jc w:val="right"/>
        </w:trPr>
        <w:tc>
          <w:tcPr>
            <w:tcW w:w="0" w:type="auto"/>
            <w:shd w:val="clear" w:color="auto" w:fill="auto"/>
            <w:tcMar>
              <w:top w:w="40" w:type="dxa"/>
              <w:left w:w="40" w:type="dxa"/>
              <w:bottom w:w="40" w:type="dxa"/>
              <w:right w:w="40" w:type="dxa"/>
            </w:tcMar>
            <w:vAlign w:val="bottom"/>
          </w:tcPr>
          <w:p w14:paraId="5556844E" w14:textId="77777777" w:rsidR="00F925DD" w:rsidRDefault="00E705D7">
            <w:pPr>
              <w:textAlignment w:val="bottom"/>
              <w:rPr>
                <w:rFonts w:ascii="Times New Roman" w:hAnsi="Times New Roman"/>
                <w:sz w:val="15"/>
                <w:szCs w:val="15"/>
              </w:rPr>
            </w:pPr>
            <w:r>
              <w:rPr>
                <w:rFonts w:ascii="Arial" w:eastAsia="宋体" w:hAnsi="Arial" w:cs="Arial"/>
                <w:sz w:val="15"/>
                <w:szCs w:val="15"/>
              </w:rPr>
              <w:t>  Active</w:t>
            </w:r>
          </w:p>
        </w:tc>
        <w:tc>
          <w:tcPr>
            <w:tcW w:w="0" w:type="auto"/>
            <w:gridSpan w:val="2"/>
            <w:shd w:val="clear" w:color="auto" w:fill="auto"/>
            <w:tcMar>
              <w:top w:w="40" w:type="dxa"/>
              <w:left w:w="40" w:type="dxa"/>
              <w:bottom w:w="40" w:type="dxa"/>
            </w:tcMar>
            <w:vAlign w:val="bottom"/>
          </w:tcPr>
          <w:p w14:paraId="5556844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w:t>
            </w:r>
          </w:p>
        </w:tc>
        <w:tc>
          <w:tcPr>
            <w:tcW w:w="0" w:type="auto"/>
            <w:shd w:val="clear" w:color="auto" w:fill="auto"/>
            <w:vAlign w:val="bottom"/>
          </w:tcPr>
          <w:p w14:paraId="5556845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45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w:t>
            </w:r>
          </w:p>
        </w:tc>
        <w:tc>
          <w:tcPr>
            <w:tcW w:w="0" w:type="auto"/>
            <w:shd w:val="clear" w:color="auto" w:fill="auto"/>
            <w:vAlign w:val="bottom"/>
          </w:tcPr>
          <w:p w14:paraId="5556845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45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w:t>
            </w:r>
          </w:p>
        </w:tc>
        <w:tc>
          <w:tcPr>
            <w:tcW w:w="0" w:type="auto"/>
            <w:shd w:val="clear" w:color="auto" w:fill="auto"/>
            <w:vAlign w:val="bottom"/>
          </w:tcPr>
          <w:p w14:paraId="555684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5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845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5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shd w:val="clear" w:color="auto" w:fill="auto"/>
            <w:tcMar>
              <w:top w:w="40" w:type="dxa"/>
              <w:bottom w:w="40" w:type="dxa"/>
              <w:right w:w="40" w:type="dxa"/>
            </w:tcMar>
            <w:vAlign w:val="bottom"/>
          </w:tcPr>
          <w:p w14:paraId="5556845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46D" w14:textId="77777777">
        <w:trPr>
          <w:jc w:val="right"/>
        </w:trPr>
        <w:tc>
          <w:tcPr>
            <w:tcW w:w="0" w:type="auto"/>
            <w:shd w:val="clear" w:color="auto" w:fill="CCEEFF"/>
            <w:tcMar>
              <w:top w:w="40" w:type="dxa"/>
              <w:left w:w="40" w:type="dxa"/>
              <w:bottom w:w="40" w:type="dxa"/>
              <w:right w:w="40" w:type="dxa"/>
            </w:tcMar>
            <w:vAlign w:val="bottom"/>
          </w:tcPr>
          <w:p w14:paraId="5556845E" w14:textId="77777777" w:rsidR="00F925DD" w:rsidRDefault="00E705D7">
            <w:pPr>
              <w:textAlignment w:val="bottom"/>
              <w:rPr>
                <w:rFonts w:ascii="Times New Roman" w:hAnsi="Times New Roman"/>
                <w:sz w:val="15"/>
                <w:szCs w:val="15"/>
              </w:rPr>
            </w:pPr>
            <w:r>
              <w:rPr>
                <w:rFonts w:ascii="Arial" w:eastAsia="宋体" w:hAnsi="Arial" w:cs="Arial"/>
                <w:sz w:val="15"/>
                <w:szCs w:val="15"/>
              </w:rPr>
              <w:t>  Passive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45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155</w:t>
            </w:r>
          </w:p>
        </w:tc>
        <w:tc>
          <w:tcPr>
            <w:tcW w:w="0" w:type="auto"/>
            <w:tcBorders>
              <w:bottom w:val="single" w:sz="8" w:space="0" w:color="000000"/>
            </w:tcBorders>
            <w:shd w:val="clear" w:color="auto" w:fill="CCEEFF"/>
            <w:vAlign w:val="bottom"/>
          </w:tcPr>
          <w:p w14:paraId="5556846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46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105</w:t>
            </w:r>
          </w:p>
        </w:tc>
        <w:tc>
          <w:tcPr>
            <w:tcW w:w="0" w:type="auto"/>
            <w:tcBorders>
              <w:bottom w:val="single" w:sz="8" w:space="0" w:color="000000"/>
            </w:tcBorders>
            <w:shd w:val="clear" w:color="auto" w:fill="CCEEFF"/>
            <w:vAlign w:val="bottom"/>
          </w:tcPr>
          <w:p w14:paraId="5556846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46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123</w:t>
            </w:r>
          </w:p>
        </w:tc>
        <w:tc>
          <w:tcPr>
            <w:tcW w:w="0" w:type="auto"/>
            <w:tcBorders>
              <w:bottom w:val="single" w:sz="8" w:space="0" w:color="000000"/>
            </w:tcBorders>
            <w:shd w:val="clear" w:color="auto" w:fill="CCEEFF"/>
            <w:vAlign w:val="bottom"/>
          </w:tcPr>
          <w:p w14:paraId="5556846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6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48</w:t>
            </w:r>
          </w:p>
        </w:tc>
        <w:tc>
          <w:tcPr>
            <w:tcW w:w="0" w:type="auto"/>
            <w:shd w:val="clear" w:color="auto" w:fill="CCEEFF"/>
            <w:vAlign w:val="bottom"/>
          </w:tcPr>
          <w:p w14:paraId="5556846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6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w:t>
            </w:r>
          </w:p>
        </w:tc>
        <w:tc>
          <w:tcPr>
            <w:tcW w:w="0" w:type="auto"/>
            <w:shd w:val="clear" w:color="auto" w:fill="CCEEFF"/>
            <w:tcMar>
              <w:top w:w="40" w:type="dxa"/>
              <w:bottom w:w="40" w:type="dxa"/>
              <w:right w:w="40" w:type="dxa"/>
            </w:tcMar>
            <w:vAlign w:val="bottom"/>
          </w:tcPr>
          <w:p w14:paraId="5556846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47D" w14:textId="77777777">
        <w:trPr>
          <w:jc w:val="right"/>
        </w:trPr>
        <w:tc>
          <w:tcPr>
            <w:tcW w:w="0" w:type="auto"/>
            <w:shd w:val="clear" w:color="auto" w:fill="auto"/>
            <w:tcMar>
              <w:top w:w="40" w:type="dxa"/>
              <w:left w:w="40" w:type="dxa"/>
              <w:bottom w:w="40" w:type="dxa"/>
              <w:right w:w="40" w:type="dxa"/>
            </w:tcMar>
            <w:vAlign w:val="bottom"/>
          </w:tcPr>
          <w:p w14:paraId="5556846E"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alternative investments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46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176</w:t>
            </w:r>
          </w:p>
        </w:tc>
        <w:tc>
          <w:tcPr>
            <w:tcW w:w="0" w:type="auto"/>
            <w:tcBorders>
              <w:top w:val="single" w:sz="8" w:space="0" w:color="000000"/>
              <w:bottom w:val="single" w:sz="8" w:space="0" w:color="000000"/>
            </w:tcBorders>
            <w:shd w:val="clear" w:color="auto" w:fill="auto"/>
            <w:vAlign w:val="bottom"/>
          </w:tcPr>
          <w:p w14:paraId="5556847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47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126</w:t>
            </w:r>
          </w:p>
        </w:tc>
        <w:tc>
          <w:tcPr>
            <w:tcW w:w="0" w:type="auto"/>
            <w:tcBorders>
              <w:top w:val="single" w:sz="8" w:space="0" w:color="000000"/>
              <w:bottom w:val="single" w:sz="8" w:space="0" w:color="000000"/>
            </w:tcBorders>
            <w:shd w:val="clear" w:color="auto" w:fill="auto"/>
            <w:vAlign w:val="bottom"/>
          </w:tcPr>
          <w:p w14:paraId="5556847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47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146</w:t>
            </w:r>
          </w:p>
        </w:tc>
        <w:tc>
          <w:tcPr>
            <w:tcW w:w="0" w:type="auto"/>
            <w:tcBorders>
              <w:top w:val="single" w:sz="8" w:space="0" w:color="000000"/>
              <w:bottom w:val="single" w:sz="8" w:space="0" w:color="000000"/>
            </w:tcBorders>
            <w:shd w:val="clear" w:color="auto" w:fill="auto"/>
            <w:vAlign w:val="bottom"/>
          </w:tcPr>
          <w:p w14:paraId="5556847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7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40</w:t>
            </w:r>
          </w:p>
        </w:tc>
        <w:tc>
          <w:tcPr>
            <w:tcW w:w="0" w:type="auto"/>
            <w:shd w:val="clear" w:color="auto" w:fill="auto"/>
            <w:vAlign w:val="bottom"/>
          </w:tcPr>
          <w:p w14:paraId="5556847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7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w:t>
            </w:r>
          </w:p>
        </w:tc>
        <w:tc>
          <w:tcPr>
            <w:tcW w:w="0" w:type="auto"/>
            <w:shd w:val="clear" w:color="auto" w:fill="auto"/>
            <w:tcMar>
              <w:top w:w="40" w:type="dxa"/>
              <w:bottom w:w="40" w:type="dxa"/>
              <w:right w:w="40" w:type="dxa"/>
            </w:tcMar>
            <w:vAlign w:val="bottom"/>
          </w:tcPr>
          <w:p w14:paraId="5556847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490" w14:textId="77777777">
        <w:trPr>
          <w:jc w:val="right"/>
        </w:trPr>
        <w:tc>
          <w:tcPr>
            <w:tcW w:w="0" w:type="auto"/>
            <w:shd w:val="clear" w:color="auto" w:fill="CCEEFF"/>
            <w:tcMar>
              <w:top w:w="40" w:type="dxa"/>
              <w:left w:w="40" w:type="dxa"/>
              <w:bottom w:w="40" w:type="dxa"/>
              <w:right w:w="40" w:type="dxa"/>
            </w:tcMar>
            <w:vAlign w:val="bottom"/>
          </w:tcPr>
          <w:p w14:paraId="5556847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47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48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3,116</w:t>
            </w:r>
          </w:p>
        </w:tc>
        <w:tc>
          <w:tcPr>
            <w:tcW w:w="0" w:type="auto"/>
            <w:tcBorders>
              <w:top w:val="single" w:sz="8" w:space="0" w:color="000000"/>
              <w:bottom w:val="double" w:sz="6" w:space="0" w:color="000000"/>
            </w:tcBorders>
            <w:shd w:val="clear" w:color="auto" w:fill="CCEEFF"/>
            <w:vAlign w:val="bottom"/>
          </w:tcPr>
          <w:p w14:paraId="5556848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48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48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2,511</w:t>
            </w:r>
          </w:p>
        </w:tc>
        <w:tc>
          <w:tcPr>
            <w:tcW w:w="0" w:type="auto"/>
            <w:tcBorders>
              <w:top w:val="single" w:sz="8" w:space="0" w:color="000000"/>
              <w:bottom w:val="double" w:sz="6" w:space="0" w:color="000000"/>
            </w:tcBorders>
            <w:shd w:val="clear" w:color="auto" w:fill="CCEEFF"/>
            <w:vAlign w:val="bottom"/>
          </w:tcPr>
          <w:p w14:paraId="555684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48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48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2,782</w:t>
            </w:r>
          </w:p>
        </w:tc>
        <w:tc>
          <w:tcPr>
            <w:tcW w:w="0" w:type="auto"/>
            <w:tcBorders>
              <w:top w:val="single" w:sz="8" w:space="0" w:color="000000"/>
              <w:bottom w:val="double" w:sz="6" w:space="0" w:color="000000"/>
            </w:tcBorders>
            <w:shd w:val="clear" w:color="auto" w:fill="CCEEFF"/>
            <w:vAlign w:val="bottom"/>
          </w:tcPr>
          <w:p w14:paraId="555684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8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w:t>
            </w:r>
          </w:p>
        </w:tc>
        <w:tc>
          <w:tcPr>
            <w:tcW w:w="0" w:type="auto"/>
            <w:shd w:val="clear" w:color="auto" w:fill="CCEEFF"/>
            <w:vAlign w:val="bottom"/>
          </w:tcPr>
          <w:p w14:paraId="555684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8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CCEEFF"/>
            <w:tcMar>
              <w:top w:w="40" w:type="dxa"/>
              <w:bottom w:w="40" w:type="dxa"/>
              <w:right w:w="40" w:type="dxa"/>
            </w:tcMar>
            <w:vAlign w:val="bottom"/>
          </w:tcPr>
          <w:p w14:paraId="5556848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bl>
    <w:p w14:paraId="55568491" w14:textId="77777777" w:rsidR="00F925DD" w:rsidRDefault="00F925DD">
      <w:pPr>
        <w:rPr>
          <w:vanish/>
        </w:rPr>
      </w:pPr>
    </w:p>
    <w:tbl>
      <w:tblPr>
        <w:tblW w:w="5000" w:type="pct"/>
        <w:jc w:val="right"/>
        <w:tblCellMar>
          <w:left w:w="0" w:type="dxa"/>
          <w:right w:w="0" w:type="dxa"/>
        </w:tblCellMar>
        <w:tblLook w:val="04A0" w:firstRow="1" w:lastRow="0" w:firstColumn="1" w:lastColumn="0" w:noHBand="0" w:noVBand="1"/>
      </w:tblPr>
      <w:tblGrid>
        <w:gridCol w:w="2326"/>
        <w:gridCol w:w="5980"/>
      </w:tblGrid>
      <w:tr w:rsidR="00F925DD" w14:paraId="55568493" w14:textId="77777777">
        <w:trPr>
          <w:jc w:val="right"/>
        </w:trPr>
        <w:tc>
          <w:tcPr>
            <w:tcW w:w="0" w:type="auto"/>
            <w:gridSpan w:val="2"/>
            <w:shd w:val="clear" w:color="auto" w:fill="auto"/>
            <w:vAlign w:val="center"/>
          </w:tcPr>
          <w:p w14:paraId="55568492" w14:textId="77777777" w:rsidR="00F925DD" w:rsidRDefault="00F925DD">
            <w:pPr>
              <w:rPr>
                <w:rFonts w:ascii="Times New Roman" w:hAnsi="Times New Roman"/>
                <w:sz w:val="20"/>
                <w:szCs w:val="20"/>
              </w:rPr>
            </w:pPr>
          </w:p>
        </w:tc>
      </w:tr>
      <w:tr w:rsidR="00F925DD" w14:paraId="55568496" w14:textId="77777777">
        <w:trPr>
          <w:jc w:val="right"/>
        </w:trPr>
        <w:tc>
          <w:tcPr>
            <w:tcW w:w="1400" w:type="pct"/>
            <w:shd w:val="clear" w:color="auto" w:fill="auto"/>
            <w:vAlign w:val="center"/>
          </w:tcPr>
          <w:p w14:paraId="55568494" w14:textId="77777777" w:rsidR="00F925DD" w:rsidRDefault="00F925DD">
            <w:pPr>
              <w:rPr>
                <w:rFonts w:ascii="Times New Roman" w:hAnsi="Times New Roman"/>
                <w:sz w:val="20"/>
                <w:szCs w:val="20"/>
              </w:rPr>
            </w:pPr>
          </w:p>
        </w:tc>
        <w:tc>
          <w:tcPr>
            <w:tcW w:w="3600" w:type="pct"/>
            <w:shd w:val="clear" w:color="auto" w:fill="auto"/>
            <w:vAlign w:val="center"/>
          </w:tcPr>
          <w:p w14:paraId="55568495" w14:textId="77777777" w:rsidR="00F925DD" w:rsidRDefault="00F925DD">
            <w:pPr>
              <w:rPr>
                <w:rFonts w:ascii="Times New Roman" w:hAnsi="Times New Roman"/>
                <w:sz w:val="20"/>
                <w:szCs w:val="20"/>
              </w:rPr>
            </w:pPr>
          </w:p>
        </w:tc>
      </w:tr>
      <w:tr w:rsidR="00F925DD" w14:paraId="55568499" w14:textId="77777777">
        <w:trPr>
          <w:jc w:val="right"/>
        </w:trPr>
        <w:tc>
          <w:tcPr>
            <w:tcW w:w="0" w:type="auto"/>
            <w:tcBorders>
              <w:bottom w:val="single" w:sz="8" w:space="0" w:color="000000"/>
            </w:tcBorders>
            <w:shd w:val="clear" w:color="auto" w:fill="auto"/>
            <w:tcMar>
              <w:top w:w="40" w:type="dxa"/>
              <w:left w:w="40" w:type="dxa"/>
              <w:bottom w:w="40" w:type="dxa"/>
              <w:right w:w="40" w:type="dxa"/>
            </w:tcMar>
            <w:vAlign w:val="bottom"/>
          </w:tcPr>
          <w:p w14:paraId="555684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4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49A"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(1) Includes both floating- and constant-net-asset-value portfolios held in commingled structures or separate accounts.</w:t>
      </w:r>
    </w:p>
    <w:p w14:paraId="5556849B"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(2) Includes real estate investment trusts, currency and commodities, including SPDR® Gold Shares and SPDR® Gold MiniSharesSM Trust. We are not the investment manager for the SPDR® Gold Shares and SPDR® MiniSharesSM Trust, but act as the marketing agent. </w:t>
      </w:r>
    </w:p>
    <w:p w14:paraId="5556849C" w14:textId="77777777" w:rsidR="00F925DD" w:rsidRDefault="00F925DD">
      <w:pPr>
        <w:rPr>
          <w:rFonts w:ascii="Times New Roman" w:hAnsi="Times New Roman"/>
          <w:sz w:val="20"/>
          <w:szCs w:val="20"/>
        </w:rPr>
      </w:pPr>
    </w:p>
    <w:p w14:paraId="5556849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72</w:t>
      </w:r>
    </w:p>
    <w:p w14:paraId="5556849E" w14:textId="77777777" w:rsidR="00F925DD" w:rsidRDefault="00F925DD">
      <w:pPr>
        <w:spacing w:line="288" w:lineRule="auto"/>
        <w:ind w:firstLine="600"/>
        <w:jc w:val="center"/>
        <w:rPr>
          <w:rFonts w:ascii="Times New Roman" w:hAnsi="Times New Roman"/>
          <w:sz w:val="18"/>
          <w:szCs w:val="18"/>
        </w:rPr>
      </w:pPr>
    </w:p>
    <w:p w14:paraId="5556849F" w14:textId="77777777" w:rsidR="00F925DD" w:rsidRDefault="00E705D7">
      <w:r>
        <w:rPr>
          <w:rFonts w:ascii="Times New Roman" w:hAnsi="Times New Roman"/>
          <w:sz w:val="18"/>
          <w:szCs w:val="18"/>
        </w:rPr>
        <w:pict w14:anchorId="55570682">
          <v:rect id="_x0000_i1096" style="width:415.3pt;height:1.5pt" o:hralign="center" o:hrstd="t" o:hr="t" fillcolor="#a0a0a0" stroked="f"/>
        </w:pict>
      </w:r>
    </w:p>
    <w:p w14:paraId="555684A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84A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84A2"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016"/>
        <w:gridCol w:w="125"/>
        <w:gridCol w:w="1019"/>
        <w:gridCol w:w="53"/>
        <w:gridCol w:w="130"/>
        <w:gridCol w:w="125"/>
        <w:gridCol w:w="988"/>
        <w:gridCol w:w="53"/>
        <w:gridCol w:w="130"/>
        <w:gridCol w:w="125"/>
        <w:gridCol w:w="988"/>
        <w:gridCol w:w="53"/>
        <w:gridCol w:w="130"/>
        <w:gridCol w:w="906"/>
        <w:gridCol w:w="174"/>
        <w:gridCol w:w="130"/>
        <w:gridCol w:w="937"/>
        <w:gridCol w:w="224"/>
      </w:tblGrid>
      <w:tr w:rsidR="00F925DD" w14:paraId="555684A4" w14:textId="77777777">
        <w:tc>
          <w:tcPr>
            <w:tcW w:w="0" w:type="auto"/>
            <w:gridSpan w:val="18"/>
            <w:shd w:val="clear" w:color="auto" w:fill="auto"/>
            <w:vAlign w:val="center"/>
          </w:tcPr>
          <w:p w14:paraId="555684A3" w14:textId="77777777" w:rsidR="00F925DD" w:rsidRDefault="00F925DD">
            <w:pPr>
              <w:rPr>
                <w:rFonts w:ascii="Times New Roman" w:hAnsi="Times New Roman"/>
                <w:sz w:val="20"/>
                <w:szCs w:val="20"/>
              </w:rPr>
            </w:pPr>
          </w:p>
        </w:tc>
      </w:tr>
      <w:tr w:rsidR="00F925DD" w14:paraId="555684B7" w14:textId="77777777">
        <w:tc>
          <w:tcPr>
            <w:tcW w:w="1250" w:type="pct"/>
            <w:shd w:val="clear" w:color="auto" w:fill="auto"/>
            <w:vAlign w:val="center"/>
          </w:tcPr>
          <w:p w14:paraId="555684A5" w14:textId="77777777" w:rsidR="00F925DD" w:rsidRDefault="00F925DD">
            <w:pPr>
              <w:rPr>
                <w:rFonts w:ascii="Times New Roman" w:hAnsi="Times New Roman"/>
                <w:sz w:val="20"/>
                <w:szCs w:val="20"/>
              </w:rPr>
            </w:pPr>
          </w:p>
        </w:tc>
        <w:tc>
          <w:tcPr>
            <w:tcW w:w="50" w:type="pct"/>
            <w:shd w:val="clear" w:color="auto" w:fill="auto"/>
            <w:vAlign w:val="center"/>
          </w:tcPr>
          <w:p w14:paraId="555684A6" w14:textId="77777777" w:rsidR="00F925DD" w:rsidRDefault="00F925DD">
            <w:pPr>
              <w:rPr>
                <w:rFonts w:ascii="Times New Roman" w:hAnsi="Times New Roman"/>
                <w:sz w:val="20"/>
                <w:szCs w:val="20"/>
              </w:rPr>
            </w:pPr>
          </w:p>
        </w:tc>
        <w:tc>
          <w:tcPr>
            <w:tcW w:w="650" w:type="pct"/>
            <w:shd w:val="clear" w:color="auto" w:fill="auto"/>
            <w:vAlign w:val="center"/>
          </w:tcPr>
          <w:p w14:paraId="555684A7" w14:textId="77777777" w:rsidR="00F925DD" w:rsidRDefault="00F925DD">
            <w:pPr>
              <w:rPr>
                <w:rFonts w:ascii="Times New Roman" w:hAnsi="Times New Roman"/>
                <w:sz w:val="20"/>
                <w:szCs w:val="20"/>
              </w:rPr>
            </w:pPr>
          </w:p>
        </w:tc>
        <w:tc>
          <w:tcPr>
            <w:tcW w:w="50" w:type="pct"/>
            <w:shd w:val="clear" w:color="auto" w:fill="auto"/>
            <w:vAlign w:val="center"/>
          </w:tcPr>
          <w:p w14:paraId="555684A8" w14:textId="77777777" w:rsidR="00F925DD" w:rsidRDefault="00F925DD">
            <w:pPr>
              <w:rPr>
                <w:rFonts w:ascii="Times New Roman" w:hAnsi="Times New Roman"/>
                <w:sz w:val="20"/>
                <w:szCs w:val="20"/>
              </w:rPr>
            </w:pPr>
          </w:p>
        </w:tc>
        <w:tc>
          <w:tcPr>
            <w:tcW w:w="50" w:type="pct"/>
            <w:shd w:val="clear" w:color="auto" w:fill="auto"/>
            <w:vAlign w:val="center"/>
          </w:tcPr>
          <w:p w14:paraId="555684A9" w14:textId="77777777" w:rsidR="00F925DD" w:rsidRDefault="00F925DD">
            <w:pPr>
              <w:rPr>
                <w:rFonts w:ascii="Times New Roman" w:hAnsi="Times New Roman"/>
                <w:sz w:val="20"/>
                <w:szCs w:val="20"/>
              </w:rPr>
            </w:pPr>
          </w:p>
        </w:tc>
        <w:tc>
          <w:tcPr>
            <w:tcW w:w="50" w:type="pct"/>
            <w:shd w:val="clear" w:color="auto" w:fill="auto"/>
            <w:vAlign w:val="center"/>
          </w:tcPr>
          <w:p w14:paraId="555684AA" w14:textId="77777777" w:rsidR="00F925DD" w:rsidRDefault="00F925DD">
            <w:pPr>
              <w:rPr>
                <w:rFonts w:ascii="Times New Roman" w:hAnsi="Times New Roman"/>
                <w:sz w:val="20"/>
                <w:szCs w:val="20"/>
              </w:rPr>
            </w:pPr>
          </w:p>
        </w:tc>
        <w:tc>
          <w:tcPr>
            <w:tcW w:w="650" w:type="pct"/>
            <w:shd w:val="clear" w:color="auto" w:fill="auto"/>
            <w:vAlign w:val="center"/>
          </w:tcPr>
          <w:p w14:paraId="555684AB" w14:textId="77777777" w:rsidR="00F925DD" w:rsidRDefault="00F925DD">
            <w:pPr>
              <w:rPr>
                <w:rFonts w:ascii="Times New Roman" w:hAnsi="Times New Roman"/>
                <w:sz w:val="20"/>
                <w:szCs w:val="20"/>
              </w:rPr>
            </w:pPr>
          </w:p>
        </w:tc>
        <w:tc>
          <w:tcPr>
            <w:tcW w:w="50" w:type="pct"/>
            <w:shd w:val="clear" w:color="auto" w:fill="auto"/>
            <w:vAlign w:val="center"/>
          </w:tcPr>
          <w:p w14:paraId="555684AC" w14:textId="77777777" w:rsidR="00F925DD" w:rsidRDefault="00F925DD">
            <w:pPr>
              <w:rPr>
                <w:rFonts w:ascii="Times New Roman" w:hAnsi="Times New Roman"/>
                <w:sz w:val="20"/>
                <w:szCs w:val="20"/>
              </w:rPr>
            </w:pPr>
          </w:p>
        </w:tc>
        <w:tc>
          <w:tcPr>
            <w:tcW w:w="50" w:type="pct"/>
            <w:shd w:val="clear" w:color="auto" w:fill="auto"/>
            <w:vAlign w:val="center"/>
          </w:tcPr>
          <w:p w14:paraId="555684AD" w14:textId="77777777" w:rsidR="00F925DD" w:rsidRDefault="00F925DD">
            <w:pPr>
              <w:rPr>
                <w:rFonts w:ascii="Times New Roman" w:hAnsi="Times New Roman"/>
                <w:sz w:val="20"/>
                <w:szCs w:val="20"/>
              </w:rPr>
            </w:pPr>
          </w:p>
        </w:tc>
        <w:tc>
          <w:tcPr>
            <w:tcW w:w="50" w:type="pct"/>
            <w:shd w:val="clear" w:color="auto" w:fill="auto"/>
            <w:vAlign w:val="center"/>
          </w:tcPr>
          <w:p w14:paraId="555684AE" w14:textId="77777777" w:rsidR="00F925DD" w:rsidRDefault="00F925DD">
            <w:pPr>
              <w:rPr>
                <w:rFonts w:ascii="Times New Roman" w:hAnsi="Times New Roman"/>
                <w:sz w:val="20"/>
                <w:szCs w:val="20"/>
              </w:rPr>
            </w:pPr>
          </w:p>
        </w:tc>
        <w:tc>
          <w:tcPr>
            <w:tcW w:w="650" w:type="pct"/>
            <w:shd w:val="clear" w:color="auto" w:fill="auto"/>
            <w:vAlign w:val="center"/>
          </w:tcPr>
          <w:p w14:paraId="555684AF" w14:textId="77777777" w:rsidR="00F925DD" w:rsidRDefault="00F925DD">
            <w:pPr>
              <w:rPr>
                <w:rFonts w:ascii="Times New Roman" w:hAnsi="Times New Roman"/>
                <w:sz w:val="20"/>
                <w:szCs w:val="20"/>
              </w:rPr>
            </w:pPr>
          </w:p>
        </w:tc>
        <w:tc>
          <w:tcPr>
            <w:tcW w:w="50" w:type="pct"/>
            <w:shd w:val="clear" w:color="auto" w:fill="auto"/>
            <w:vAlign w:val="center"/>
          </w:tcPr>
          <w:p w14:paraId="555684B0" w14:textId="77777777" w:rsidR="00F925DD" w:rsidRDefault="00F925DD">
            <w:pPr>
              <w:rPr>
                <w:rFonts w:ascii="Times New Roman" w:hAnsi="Times New Roman"/>
                <w:sz w:val="20"/>
                <w:szCs w:val="20"/>
              </w:rPr>
            </w:pPr>
          </w:p>
        </w:tc>
        <w:tc>
          <w:tcPr>
            <w:tcW w:w="50" w:type="pct"/>
            <w:shd w:val="clear" w:color="auto" w:fill="auto"/>
            <w:vAlign w:val="center"/>
          </w:tcPr>
          <w:p w14:paraId="555684B1" w14:textId="77777777" w:rsidR="00F925DD" w:rsidRDefault="00F925DD">
            <w:pPr>
              <w:rPr>
                <w:rFonts w:ascii="Times New Roman" w:hAnsi="Times New Roman"/>
                <w:sz w:val="20"/>
                <w:szCs w:val="20"/>
              </w:rPr>
            </w:pPr>
          </w:p>
        </w:tc>
        <w:tc>
          <w:tcPr>
            <w:tcW w:w="600" w:type="pct"/>
            <w:shd w:val="clear" w:color="auto" w:fill="auto"/>
            <w:vAlign w:val="center"/>
          </w:tcPr>
          <w:p w14:paraId="555684B2" w14:textId="77777777" w:rsidR="00F925DD" w:rsidRDefault="00F925DD">
            <w:pPr>
              <w:rPr>
                <w:rFonts w:ascii="Times New Roman" w:hAnsi="Times New Roman"/>
                <w:sz w:val="20"/>
                <w:szCs w:val="20"/>
              </w:rPr>
            </w:pPr>
          </w:p>
        </w:tc>
        <w:tc>
          <w:tcPr>
            <w:tcW w:w="50" w:type="pct"/>
            <w:shd w:val="clear" w:color="auto" w:fill="auto"/>
            <w:vAlign w:val="center"/>
          </w:tcPr>
          <w:p w14:paraId="555684B3" w14:textId="77777777" w:rsidR="00F925DD" w:rsidRDefault="00F925DD">
            <w:pPr>
              <w:rPr>
                <w:rFonts w:ascii="Times New Roman" w:hAnsi="Times New Roman"/>
                <w:sz w:val="20"/>
                <w:szCs w:val="20"/>
              </w:rPr>
            </w:pPr>
          </w:p>
        </w:tc>
        <w:tc>
          <w:tcPr>
            <w:tcW w:w="50" w:type="pct"/>
            <w:shd w:val="clear" w:color="auto" w:fill="auto"/>
            <w:vAlign w:val="center"/>
          </w:tcPr>
          <w:p w14:paraId="555684B4" w14:textId="77777777" w:rsidR="00F925DD" w:rsidRDefault="00F925DD">
            <w:pPr>
              <w:rPr>
                <w:rFonts w:ascii="Times New Roman" w:hAnsi="Times New Roman"/>
                <w:sz w:val="20"/>
                <w:szCs w:val="20"/>
              </w:rPr>
            </w:pPr>
          </w:p>
        </w:tc>
        <w:tc>
          <w:tcPr>
            <w:tcW w:w="600" w:type="pct"/>
            <w:shd w:val="clear" w:color="auto" w:fill="auto"/>
            <w:vAlign w:val="center"/>
          </w:tcPr>
          <w:p w14:paraId="555684B5" w14:textId="77777777" w:rsidR="00F925DD" w:rsidRDefault="00F925DD">
            <w:pPr>
              <w:rPr>
                <w:rFonts w:ascii="Times New Roman" w:hAnsi="Times New Roman"/>
                <w:sz w:val="20"/>
                <w:szCs w:val="20"/>
              </w:rPr>
            </w:pPr>
          </w:p>
        </w:tc>
        <w:tc>
          <w:tcPr>
            <w:tcW w:w="50" w:type="pct"/>
            <w:shd w:val="clear" w:color="auto" w:fill="auto"/>
            <w:vAlign w:val="center"/>
          </w:tcPr>
          <w:p w14:paraId="555684B6" w14:textId="77777777" w:rsidR="00F925DD" w:rsidRDefault="00F925DD">
            <w:pPr>
              <w:rPr>
                <w:rFonts w:ascii="Times New Roman" w:hAnsi="Times New Roman"/>
                <w:sz w:val="20"/>
                <w:szCs w:val="20"/>
              </w:rPr>
            </w:pPr>
          </w:p>
        </w:tc>
      </w:tr>
      <w:tr w:rsidR="00F925DD" w14:paraId="555684BD" w14:textId="77777777">
        <w:tc>
          <w:tcPr>
            <w:tcW w:w="0" w:type="auto"/>
            <w:gridSpan w:val="12"/>
            <w:shd w:val="clear" w:color="auto" w:fill="auto"/>
            <w:tcMar>
              <w:top w:w="40" w:type="dxa"/>
              <w:left w:w="40" w:type="dxa"/>
              <w:bottom w:w="40" w:type="dxa"/>
              <w:right w:w="40" w:type="dxa"/>
            </w:tcMar>
            <w:vAlign w:val="center"/>
          </w:tcPr>
          <w:p w14:paraId="555684B8" w14:textId="77777777" w:rsidR="00F925DD" w:rsidRDefault="00E705D7">
            <w:pPr>
              <w:textAlignment w:val="center"/>
              <w:rPr>
                <w:rFonts w:ascii="Times New Roman" w:hAnsi="Times New Roman"/>
                <w:sz w:val="16"/>
                <w:szCs w:val="16"/>
              </w:rPr>
            </w:pPr>
            <w:r>
              <w:rPr>
                <w:rFonts w:ascii="Arial" w:eastAsia="宋体" w:hAnsi="Arial" w:cs="Arial"/>
                <w:b/>
                <w:bCs/>
                <w:sz w:val="16"/>
                <w:szCs w:val="16"/>
              </w:rPr>
              <w:t>TABLE 16: EXCHANGE-TRADED FUNDS BY ASSET CLASS</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84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4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4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4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4C8" w14:textId="77777777">
        <w:tc>
          <w:tcPr>
            <w:tcW w:w="0" w:type="auto"/>
            <w:shd w:val="clear" w:color="auto" w:fill="auto"/>
            <w:tcMar>
              <w:top w:w="40" w:type="dxa"/>
              <w:left w:w="40" w:type="dxa"/>
              <w:bottom w:w="40" w:type="dxa"/>
              <w:right w:w="40" w:type="dxa"/>
            </w:tcMar>
            <w:vAlign w:val="bottom"/>
          </w:tcPr>
          <w:p w14:paraId="555684B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4B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84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4C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c>
          <w:tcPr>
            <w:tcW w:w="0" w:type="auto"/>
            <w:shd w:val="clear" w:color="auto" w:fill="auto"/>
            <w:tcMar>
              <w:top w:w="40" w:type="dxa"/>
              <w:left w:w="40" w:type="dxa"/>
              <w:bottom w:w="40" w:type="dxa"/>
              <w:right w:w="40" w:type="dxa"/>
            </w:tcMar>
            <w:vAlign w:val="bottom"/>
          </w:tcPr>
          <w:p w14:paraId="555684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4C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2017</w:t>
            </w:r>
          </w:p>
        </w:tc>
        <w:tc>
          <w:tcPr>
            <w:tcW w:w="0" w:type="auto"/>
            <w:shd w:val="clear" w:color="auto" w:fill="auto"/>
            <w:tcMar>
              <w:top w:w="40" w:type="dxa"/>
              <w:left w:w="40" w:type="dxa"/>
              <w:bottom w:w="40" w:type="dxa"/>
              <w:right w:w="40" w:type="dxa"/>
            </w:tcMar>
            <w:vAlign w:val="bottom"/>
          </w:tcPr>
          <w:p w14:paraId="555684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4C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Change</w:t>
            </w:r>
            <w:r>
              <w:rPr>
                <w:rFonts w:ascii="Arial" w:eastAsia="宋体" w:hAnsi="Arial" w:cs="Arial"/>
                <w:b/>
                <w:bCs/>
                <w:sz w:val="15"/>
                <w:szCs w:val="15"/>
              </w:rPr>
              <w:br/>
              <w:t>2019 vs. 2018</w:t>
            </w:r>
          </w:p>
        </w:tc>
        <w:tc>
          <w:tcPr>
            <w:tcW w:w="0" w:type="auto"/>
            <w:shd w:val="clear" w:color="auto" w:fill="auto"/>
            <w:tcMar>
              <w:top w:w="40" w:type="dxa"/>
              <w:left w:w="40" w:type="dxa"/>
              <w:bottom w:w="40" w:type="dxa"/>
              <w:right w:w="40" w:type="dxa"/>
            </w:tcMar>
            <w:vAlign w:val="bottom"/>
          </w:tcPr>
          <w:p w14:paraId="555684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4C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Change</w:t>
            </w:r>
            <w:r>
              <w:rPr>
                <w:rFonts w:ascii="Arial" w:eastAsia="宋体" w:hAnsi="Arial" w:cs="Arial"/>
                <w:b/>
                <w:bCs/>
                <w:sz w:val="15"/>
                <w:szCs w:val="15"/>
              </w:rPr>
              <w:br/>
              <w:t>2018 vs. 2017</w:t>
            </w:r>
          </w:p>
        </w:tc>
      </w:tr>
      <w:tr w:rsidR="00F925DD" w14:paraId="555684DB" w14:textId="77777777">
        <w:tc>
          <w:tcPr>
            <w:tcW w:w="0" w:type="auto"/>
            <w:shd w:val="clear" w:color="auto" w:fill="CCEEFF"/>
            <w:tcMar>
              <w:top w:w="40" w:type="dxa"/>
              <w:left w:w="40" w:type="dxa"/>
              <w:bottom w:w="40" w:type="dxa"/>
              <w:right w:w="40" w:type="dxa"/>
            </w:tcMar>
            <w:vAlign w:val="bottom"/>
          </w:tcPr>
          <w:p w14:paraId="555684C9" w14:textId="77777777" w:rsidR="00F925DD" w:rsidRDefault="00E705D7">
            <w:pPr>
              <w:textAlignment w:val="bottom"/>
              <w:rPr>
                <w:rFonts w:ascii="Times New Roman" w:hAnsi="Times New Roman"/>
                <w:sz w:val="15"/>
                <w:szCs w:val="15"/>
              </w:rPr>
            </w:pPr>
            <w:r>
              <w:rPr>
                <w:rFonts w:ascii="Arial" w:eastAsia="宋体" w:hAnsi="Arial" w:cs="Arial"/>
                <w:sz w:val="15"/>
                <w:szCs w:val="15"/>
              </w:rPr>
              <w:t>Alternative Investments(2)</w:t>
            </w:r>
          </w:p>
        </w:tc>
        <w:tc>
          <w:tcPr>
            <w:tcW w:w="0" w:type="auto"/>
            <w:tcBorders>
              <w:top w:val="single" w:sz="8" w:space="0" w:color="000000"/>
            </w:tcBorders>
            <w:shd w:val="clear" w:color="auto" w:fill="CCEEFF"/>
            <w:tcMar>
              <w:top w:w="40" w:type="dxa"/>
              <w:left w:w="40" w:type="dxa"/>
              <w:bottom w:w="40" w:type="dxa"/>
            </w:tcMar>
            <w:vAlign w:val="bottom"/>
          </w:tcPr>
          <w:p w14:paraId="555684C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84C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56</w:t>
            </w:r>
          </w:p>
        </w:tc>
        <w:tc>
          <w:tcPr>
            <w:tcW w:w="0" w:type="auto"/>
            <w:tcBorders>
              <w:top w:val="single" w:sz="8" w:space="0" w:color="000000"/>
            </w:tcBorders>
            <w:shd w:val="clear" w:color="auto" w:fill="CCEEFF"/>
            <w:vAlign w:val="bottom"/>
          </w:tcPr>
          <w:p w14:paraId="555684C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4C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4C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43</w:t>
            </w:r>
          </w:p>
        </w:tc>
        <w:tc>
          <w:tcPr>
            <w:tcW w:w="0" w:type="auto"/>
            <w:tcBorders>
              <w:top w:val="single" w:sz="8" w:space="0" w:color="000000"/>
            </w:tcBorders>
            <w:shd w:val="clear" w:color="auto" w:fill="CCEEFF"/>
            <w:vAlign w:val="bottom"/>
          </w:tcPr>
          <w:p w14:paraId="555684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4D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4D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48</w:t>
            </w:r>
          </w:p>
        </w:tc>
        <w:tc>
          <w:tcPr>
            <w:tcW w:w="0" w:type="auto"/>
            <w:tcBorders>
              <w:top w:val="single" w:sz="8" w:space="0" w:color="000000"/>
            </w:tcBorders>
            <w:shd w:val="clear" w:color="auto" w:fill="CCEEFF"/>
            <w:vAlign w:val="bottom"/>
          </w:tcPr>
          <w:p w14:paraId="555684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D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w:t>
            </w:r>
          </w:p>
        </w:tc>
        <w:tc>
          <w:tcPr>
            <w:tcW w:w="0" w:type="auto"/>
            <w:shd w:val="clear" w:color="auto" w:fill="CCEEFF"/>
            <w:tcMar>
              <w:top w:w="40" w:type="dxa"/>
              <w:bottom w:w="40" w:type="dxa"/>
              <w:right w:w="40" w:type="dxa"/>
            </w:tcMar>
            <w:vAlign w:val="bottom"/>
          </w:tcPr>
          <w:p w14:paraId="555684D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4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D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CCEEFF"/>
            <w:tcMar>
              <w:top w:w="40" w:type="dxa"/>
              <w:bottom w:w="40" w:type="dxa"/>
              <w:right w:w="40" w:type="dxa"/>
            </w:tcMar>
            <w:vAlign w:val="bottom"/>
          </w:tcPr>
          <w:p w14:paraId="555684D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4EB" w14:textId="77777777">
        <w:tc>
          <w:tcPr>
            <w:tcW w:w="0" w:type="auto"/>
            <w:shd w:val="clear" w:color="auto" w:fill="auto"/>
            <w:tcMar>
              <w:top w:w="40" w:type="dxa"/>
              <w:left w:w="40" w:type="dxa"/>
              <w:bottom w:w="40" w:type="dxa"/>
              <w:right w:w="40" w:type="dxa"/>
            </w:tcMar>
            <w:vAlign w:val="bottom"/>
          </w:tcPr>
          <w:p w14:paraId="555684DC" w14:textId="77777777" w:rsidR="00F925DD" w:rsidRDefault="00E705D7">
            <w:pPr>
              <w:textAlignment w:val="bottom"/>
              <w:rPr>
                <w:rFonts w:ascii="Times New Roman" w:hAnsi="Times New Roman"/>
                <w:sz w:val="15"/>
                <w:szCs w:val="15"/>
              </w:rPr>
            </w:pPr>
            <w:r>
              <w:rPr>
                <w:rFonts w:ascii="Arial" w:eastAsia="宋体" w:hAnsi="Arial" w:cs="Arial"/>
                <w:sz w:val="15"/>
                <w:szCs w:val="15"/>
              </w:rPr>
              <w:t>Cash</w:t>
            </w:r>
          </w:p>
        </w:tc>
        <w:tc>
          <w:tcPr>
            <w:tcW w:w="0" w:type="auto"/>
            <w:gridSpan w:val="2"/>
            <w:shd w:val="clear" w:color="auto" w:fill="auto"/>
            <w:tcMar>
              <w:top w:w="40" w:type="dxa"/>
              <w:left w:w="40" w:type="dxa"/>
              <w:bottom w:w="40" w:type="dxa"/>
            </w:tcMar>
            <w:vAlign w:val="bottom"/>
          </w:tcPr>
          <w:p w14:paraId="555684D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w:t>
            </w:r>
          </w:p>
        </w:tc>
        <w:tc>
          <w:tcPr>
            <w:tcW w:w="0" w:type="auto"/>
            <w:shd w:val="clear" w:color="auto" w:fill="auto"/>
            <w:vAlign w:val="bottom"/>
          </w:tcPr>
          <w:p w14:paraId="555684D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4E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shd w:val="clear" w:color="auto" w:fill="auto"/>
            <w:vAlign w:val="bottom"/>
          </w:tcPr>
          <w:p w14:paraId="555684E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4E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vAlign w:val="bottom"/>
          </w:tcPr>
          <w:p w14:paraId="555684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E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84E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4E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350</w:t>
            </w:r>
          </w:p>
        </w:tc>
        <w:tc>
          <w:tcPr>
            <w:tcW w:w="0" w:type="auto"/>
            <w:shd w:val="clear" w:color="auto" w:fill="auto"/>
            <w:vAlign w:val="bottom"/>
          </w:tcPr>
          <w:p w14:paraId="555684EA" w14:textId="77777777" w:rsidR="00F925DD" w:rsidRDefault="00F925DD">
            <w:pPr>
              <w:textAlignment w:val="bottom"/>
              <w:rPr>
                <w:rFonts w:ascii="Times New Roman" w:hAnsi="Times New Roman"/>
                <w:sz w:val="20"/>
                <w:szCs w:val="20"/>
              </w:rPr>
            </w:pPr>
          </w:p>
        </w:tc>
      </w:tr>
      <w:tr w:rsidR="00F925DD" w14:paraId="555684FB" w14:textId="77777777">
        <w:tc>
          <w:tcPr>
            <w:tcW w:w="0" w:type="auto"/>
            <w:shd w:val="clear" w:color="auto" w:fill="CCEEFF"/>
            <w:tcMar>
              <w:top w:w="40" w:type="dxa"/>
              <w:left w:w="40" w:type="dxa"/>
              <w:bottom w:w="40" w:type="dxa"/>
              <w:right w:w="40" w:type="dxa"/>
            </w:tcMar>
            <w:vAlign w:val="bottom"/>
          </w:tcPr>
          <w:p w14:paraId="555684EC" w14:textId="77777777" w:rsidR="00F925DD" w:rsidRDefault="00E705D7">
            <w:pPr>
              <w:textAlignment w:val="bottom"/>
              <w:rPr>
                <w:rFonts w:ascii="Times New Roman" w:hAnsi="Times New Roman"/>
                <w:sz w:val="15"/>
                <w:szCs w:val="15"/>
              </w:rPr>
            </w:pPr>
            <w:r>
              <w:rPr>
                <w:rFonts w:ascii="Arial" w:eastAsia="宋体" w:hAnsi="Arial" w:cs="Arial"/>
                <w:sz w:val="15"/>
                <w:szCs w:val="15"/>
              </w:rPr>
              <w:t>Equity</w:t>
            </w:r>
          </w:p>
        </w:tc>
        <w:tc>
          <w:tcPr>
            <w:tcW w:w="0" w:type="auto"/>
            <w:gridSpan w:val="2"/>
            <w:shd w:val="clear" w:color="auto" w:fill="CCEEFF"/>
            <w:tcMar>
              <w:top w:w="40" w:type="dxa"/>
              <w:left w:w="40" w:type="dxa"/>
              <w:bottom w:w="40" w:type="dxa"/>
            </w:tcMar>
            <w:vAlign w:val="bottom"/>
          </w:tcPr>
          <w:p w14:paraId="555684E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618</w:t>
            </w:r>
          </w:p>
        </w:tc>
        <w:tc>
          <w:tcPr>
            <w:tcW w:w="0" w:type="auto"/>
            <w:shd w:val="clear" w:color="auto" w:fill="CCEEFF"/>
            <w:vAlign w:val="bottom"/>
          </w:tcPr>
          <w:p w14:paraId="555684E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4F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482</w:t>
            </w:r>
          </w:p>
        </w:tc>
        <w:tc>
          <w:tcPr>
            <w:tcW w:w="0" w:type="auto"/>
            <w:shd w:val="clear" w:color="auto" w:fill="CCEEFF"/>
            <w:vAlign w:val="bottom"/>
          </w:tcPr>
          <w:p w14:paraId="555684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4F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531</w:t>
            </w:r>
          </w:p>
        </w:tc>
        <w:tc>
          <w:tcPr>
            <w:tcW w:w="0" w:type="auto"/>
            <w:shd w:val="clear" w:color="auto" w:fill="CCEEFF"/>
            <w:vAlign w:val="bottom"/>
          </w:tcPr>
          <w:p w14:paraId="555684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F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28</w:t>
            </w:r>
          </w:p>
        </w:tc>
        <w:tc>
          <w:tcPr>
            <w:tcW w:w="0" w:type="auto"/>
            <w:shd w:val="clear" w:color="auto" w:fill="CCEEFF"/>
            <w:vAlign w:val="bottom"/>
          </w:tcPr>
          <w:p w14:paraId="555684F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4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4F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shd w:val="clear" w:color="auto" w:fill="CCEEFF"/>
            <w:tcMar>
              <w:top w:w="40" w:type="dxa"/>
              <w:bottom w:w="40" w:type="dxa"/>
              <w:right w:w="40" w:type="dxa"/>
            </w:tcMar>
            <w:vAlign w:val="bottom"/>
          </w:tcPr>
          <w:p w14:paraId="555684F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50B" w14:textId="77777777">
        <w:tc>
          <w:tcPr>
            <w:tcW w:w="0" w:type="auto"/>
            <w:shd w:val="clear" w:color="auto" w:fill="auto"/>
            <w:tcMar>
              <w:top w:w="40" w:type="dxa"/>
              <w:left w:w="40" w:type="dxa"/>
              <w:bottom w:w="40" w:type="dxa"/>
              <w:right w:w="40" w:type="dxa"/>
            </w:tcMar>
            <w:vAlign w:val="bottom"/>
          </w:tcPr>
          <w:p w14:paraId="555684FC" w14:textId="77777777" w:rsidR="00F925DD" w:rsidRDefault="00E705D7">
            <w:pPr>
              <w:textAlignment w:val="bottom"/>
              <w:rPr>
                <w:rFonts w:ascii="Times New Roman" w:hAnsi="Times New Roman"/>
                <w:sz w:val="15"/>
                <w:szCs w:val="15"/>
              </w:rPr>
            </w:pPr>
            <w:r>
              <w:rPr>
                <w:rFonts w:ascii="Arial" w:eastAsia="宋体" w:hAnsi="Arial" w:cs="Arial"/>
                <w:sz w:val="15"/>
                <w:szCs w:val="15"/>
              </w:rPr>
              <w:t>Fixed-Income</w:t>
            </w:r>
          </w:p>
        </w:tc>
        <w:tc>
          <w:tcPr>
            <w:tcW w:w="0" w:type="auto"/>
            <w:gridSpan w:val="2"/>
            <w:tcBorders>
              <w:bottom w:val="single" w:sz="8" w:space="0" w:color="000000"/>
            </w:tcBorders>
            <w:shd w:val="clear" w:color="auto" w:fill="auto"/>
            <w:tcMar>
              <w:top w:w="40" w:type="dxa"/>
              <w:left w:w="40" w:type="dxa"/>
              <w:bottom w:w="40" w:type="dxa"/>
            </w:tcMar>
            <w:vAlign w:val="bottom"/>
          </w:tcPr>
          <w:p w14:paraId="555684F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85</w:t>
            </w:r>
          </w:p>
        </w:tc>
        <w:tc>
          <w:tcPr>
            <w:tcW w:w="0" w:type="auto"/>
            <w:tcBorders>
              <w:bottom w:val="single" w:sz="8" w:space="0" w:color="000000"/>
            </w:tcBorders>
            <w:shd w:val="clear" w:color="auto" w:fill="auto"/>
            <w:vAlign w:val="bottom"/>
          </w:tcPr>
          <w:p w14:paraId="555684F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4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50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66</w:t>
            </w:r>
          </w:p>
        </w:tc>
        <w:tc>
          <w:tcPr>
            <w:tcW w:w="0" w:type="auto"/>
            <w:tcBorders>
              <w:bottom w:val="single" w:sz="8" w:space="0" w:color="000000"/>
            </w:tcBorders>
            <w:shd w:val="clear" w:color="auto" w:fill="auto"/>
            <w:vAlign w:val="bottom"/>
          </w:tcPr>
          <w:p w14:paraId="5556850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50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63</w:t>
            </w:r>
          </w:p>
        </w:tc>
        <w:tc>
          <w:tcPr>
            <w:tcW w:w="0" w:type="auto"/>
            <w:tcBorders>
              <w:bottom w:val="single" w:sz="8" w:space="0" w:color="000000"/>
            </w:tcBorders>
            <w:shd w:val="clear" w:color="auto" w:fill="auto"/>
            <w:vAlign w:val="bottom"/>
          </w:tcPr>
          <w:p w14:paraId="5556850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50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w:t>
            </w:r>
          </w:p>
        </w:tc>
        <w:tc>
          <w:tcPr>
            <w:tcW w:w="0" w:type="auto"/>
            <w:shd w:val="clear" w:color="auto" w:fill="auto"/>
            <w:vAlign w:val="bottom"/>
          </w:tcPr>
          <w:p w14:paraId="555685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50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auto"/>
            <w:vAlign w:val="bottom"/>
          </w:tcPr>
          <w:p w14:paraId="5556850A" w14:textId="77777777" w:rsidR="00F925DD" w:rsidRDefault="00F925DD">
            <w:pPr>
              <w:textAlignment w:val="bottom"/>
              <w:rPr>
                <w:rFonts w:ascii="Times New Roman" w:hAnsi="Times New Roman"/>
                <w:sz w:val="20"/>
                <w:szCs w:val="20"/>
              </w:rPr>
            </w:pPr>
          </w:p>
        </w:tc>
      </w:tr>
      <w:tr w:rsidR="00F925DD" w14:paraId="5556851E" w14:textId="77777777">
        <w:tc>
          <w:tcPr>
            <w:tcW w:w="0" w:type="auto"/>
            <w:shd w:val="clear" w:color="auto" w:fill="CCEEFF"/>
            <w:tcMar>
              <w:top w:w="40" w:type="dxa"/>
              <w:left w:w="40" w:type="dxa"/>
              <w:bottom w:w="40" w:type="dxa"/>
              <w:right w:w="40" w:type="dxa"/>
            </w:tcMar>
            <w:vAlign w:val="bottom"/>
          </w:tcPr>
          <w:p w14:paraId="5556850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Total Exchange-Traded Funds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50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50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768</w:t>
            </w:r>
          </w:p>
        </w:tc>
        <w:tc>
          <w:tcPr>
            <w:tcW w:w="0" w:type="auto"/>
            <w:tcBorders>
              <w:top w:val="single" w:sz="8" w:space="0" w:color="000000"/>
              <w:bottom w:val="double" w:sz="6" w:space="0" w:color="000000"/>
            </w:tcBorders>
            <w:shd w:val="clear" w:color="auto" w:fill="CCEEFF"/>
            <w:vAlign w:val="bottom"/>
          </w:tcPr>
          <w:p w14:paraId="5556850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51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51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600</w:t>
            </w:r>
          </w:p>
        </w:tc>
        <w:tc>
          <w:tcPr>
            <w:tcW w:w="0" w:type="auto"/>
            <w:tcBorders>
              <w:top w:val="single" w:sz="8" w:space="0" w:color="000000"/>
              <w:bottom w:val="double" w:sz="6" w:space="0" w:color="000000"/>
            </w:tcBorders>
            <w:shd w:val="clear" w:color="auto" w:fill="CCEEFF"/>
            <w:vAlign w:val="bottom"/>
          </w:tcPr>
          <w:p w14:paraId="5556851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51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51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644</w:t>
            </w:r>
          </w:p>
        </w:tc>
        <w:tc>
          <w:tcPr>
            <w:tcW w:w="0" w:type="auto"/>
            <w:tcBorders>
              <w:top w:val="single" w:sz="8" w:space="0" w:color="000000"/>
              <w:bottom w:val="double" w:sz="6" w:space="0" w:color="000000"/>
            </w:tcBorders>
            <w:shd w:val="clear" w:color="auto" w:fill="CCEEFF"/>
            <w:vAlign w:val="bottom"/>
          </w:tcPr>
          <w:p w14:paraId="5556851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51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28</w:t>
            </w:r>
          </w:p>
        </w:tc>
        <w:tc>
          <w:tcPr>
            <w:tcW w:w="0" w:type="auto"/>
            <w:shd w:val="clear" w:color="auto" w:fill="CCEEFF"/>
            <w:vAlign w:val="bottom"/>
          </w:tcPr>
          <w:p w14:paraId="555685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51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w:t>
            </w:r>
          </w:p>
        </w:tc>
        <w:tc>
          <w:tcPr>
            <w:tcW w:w="0" w:type="auto"/>
            <w:shd w:val="clear" w:color="auto" w:fill="CCEEFF"/>
            <w:tcMar>
              <w:top w:w="40" w:type="dxa"/>
              <w:bottom w:w="40" w:type="dxa"/>
              <w:right w:w="40" w:type="dxa"/>
            </w:tcMar>
            <w:vAlign w:val="bottom"/>
          </w:tcPr>
          <w:p w14:paraId="5556851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bl>
    <w:p w14:paraId="5556851F"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8521" w14:textId="77777777">
        <w:tc>
          <w:tcPr>
            <w:tcW w:w="0" w:type="auto"/>
            <w:gridSpan w:val="2"/>
            <w:shd w:val="clear" w:color="auto" w:fill="auto"/>
            <w:vAlign w:val="center"/>
          </w:tcPr>
          <w:p w14:paraId="55568520" w14:textId="77777777" w:rsidR="00F925DD" w:rsidRDefault="00F925DD">
            <w:pPr>
              <w:rPr>
                <w:rFonts w:ascii="Times New Roman" w:hAnsi="Times New Roman"/>
                <w:sz w:val="20"/>
                <w:szCs w:val="20"/>
              </w:rPr>
            </w:pPr>
          </w:p>
        </w:tc>
      </w:tr>
      <w:tr w:rsidR="00F925DD" w14:paraId="55568524" w14:textId="77777777">
        <w:tc>
          <w:tcPr>
            <w:tcW w:w="1400" w:type="pct"/>
            <w:shd w:val="clear" w:color="auto" w:fill="auto"/>
            <w:vAlign w:val="center"/>
          </w:tcPr>
          <w:p w14:paraId="55568522" w14:textId="77777777" w:rsidR="00F925DD" w:rsidRDefault="00F925DD">
            <w:pPr>
              <w:rPr>
                <w:rFonts w:ascii="Times New Roman" w:hAnsi="Times New Roman"/>
                <w:sz w:val="20"/>
                <w:szCs w:val="20"/>
              </w:rPr>
            </w:pPr>
          </w:p>
        </w:tc>
        <w:tc>
          <w:tcPr>
            <w:tcW w:w="3600" w:type="pct"/>
            <w:shd w:val="clear" w:color="auto" w:fill="auto"/>
            <w:vAlign w:val="center"/>
          </w:tcPr>
          <w:p w14:paraId="55568523" w14:textId="77777777" w:rsidR="00F925DD" w:rsidRDefault="00F925DD">
            <w:pPr>
              <w:rPr>
                <w:rFonts w:ascii="Times New Roman" w:hAnsi="Times New Roman"/>
                <w:sz w:val="20"/>
                <w:szCs w:val="20"/>
              </w:rPr>
            </w:pPr>
          </w:p>
        </w:tc>
      </w:tr>
      <w:tr w:rsidR="00F925DD" w14:paraId="5556852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5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5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528"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(1) ETFs are a component of AUM presented in the preceding table.</w:t>
      </w:r>
    </w:p>
    <w:p w14:paraId="55568529"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(2) Includes real estate investment trusts, currency and commodities, including SPDR® Gold Shares and SPDR® Gold MiniSharesSM Trust. We are not the investment manager for the SPDR® Gold Shares and SPDR® MiniSharesSM Trust, but act as the marketing agent. </w:t>
      </w:r>
    </w:p>
    <w:tbl>
      <w:tblPr>
        <w:tblW w:w="5000" w:type="pct"/>
        <w:tblCellMar>
          <w:left w:w="0" w:type="dxa"/>
          <w:right w:w="0" w:type="dxa"/>
        </w:tblCellMar>
        <w:tblLook w:val="04A0" w:firstRow="1" w:lastRow="0" w:firstColumn="1" w:lastColumn="0" w:noHBand="0" w:noVBand="1"/>
      </w:tblPr>
      <w:tblGrid>
        <w:gridCol w:w="2016"/>
        <w:gridCol w:w="125"/>
        <w:gridCol w:w="1019"/>
        <w:gridCol w:w="53"/>
        <w:gridCol w:w="130"/>
        <w:gridCol w:w="125"/>
        <w:gridCol w:w="988"/>
        <w:gridCol w:w="53"/>
        <w:gridCol w:w="130"/>
        <w:gridCol w:w="125"/>
        <w:gridCol w:w="988"/>
        <w:gridCol w:w="53"/>
        <w:gridCol w:w="130"/>
        <w:gridCol w:w="906"/>
        <w:gridCol w:w="174"/>
        <w:gridCol w:w="130"/>
        <w:gridCol w:w="937"/>
        <w:gridCol w:w="224"/>
      </w:tblGrid>
      <w:tr w:rsidR="00F925DD" w14:paraId="5556852B" w14:textId="77777777">
        <w:tc>
          <w:tcPr>
            <w:tcW w:w="0" w:type="auto"/>
            <w:gridSpan w:val="18"/>
            <w:shd w:val="clear" w:color="auto" w:fill="auto"/>
            <w:vAlign w:val="center"/>
          </w:tcPr>
          <w:p w14:paraId="5556852A" w14:textId="77777777" w:rsidR="00F925DD" w:rsidRDefault="00F925DD">
            <w:pPr>
              <w:rPr>
                <w:rFonts w:ascii="Times New Roman" w:hAnsi="Times New Roman"/>
                <w:sz w:val="20"/>
                <w:szCs w:val="20"/>
              </w:rPr>
            </w:pPr>
          </w:p>
        </w:tc>
      </w:tr>
      <w:tr w:rsidR="00F925DD" w14:paraId="5556853E" w14:textId="77777777">
        <w:tc>
          <w:tcPr>
            <w:tcW w:w="1250" w:type="pct"/>
            <w:shd w:val="clear" w:color="auto" w:fill="auto"/>
            <w:vAlign w:val="center"/>
          </w:tcPr>
          <w:p w14:paraId="5556852C" w14:textId="77777777" w:rsidR="00F925DD" w:rsidRDefault="00F925DD">
            <w:pPr>
              <w:rPr>
                <w:rFonts w:ascii="Times New Roman" w:hAnsi="Times New Roman"/>
                <w:sz w:val="20"/>
                <w:szCs w:val="20"/>
              </w:rPr>
            </w:pPr>
          </w:p>
        </w:tc>
        <w:tc>
          <w:tcPr>
            <w:tcW w:w="50" w:type="pct"/>
            <w:shd w:val="clear" w:color="auto" w:fill="auto"/>
            <w:vAlign w:val="center"/>
          </w:tcPr>
          <w:p w14:paraId="5556852D" w14:textId="77777777" w:rsidR="00F925DD" w:rsidRDefault="00F925DD">
            <w:pPr>
              <w:rPr>
                <w:rFonts w:ascii="Times New Roman" w:hAnsi="Times New Roman"/>
                <w:sz w:val="20"/>
                <w:szCs w:val="20"/>
              </w:rPr>
            </w:pPr>
          </w:p>
        </w:tc>
        <w:tc>
          <w:tcPr>
            <w:tcW w:w="650" w:type="pct"/>
            <w:shd w:val="clear" w:color="auto" w:fill="auto"/>
            <w:vAlign w:val="center"/>
          </w:tcPr>
          <w:p w14:paraId="5556852E" w14:textId="77777777" w:rsidR="00F925DD" w:rsidRDefault="00F925DD">
            <w:pPr>
              <w:rPr>
                <w:rFonts w:ascii="Times New Roman" w:hAnsi="Times New Roman"/>
                <w:sz w:val="20"/>
                <w:szCs w:val="20"/>
              </w:rPr>
            </w:pPr>
          </w:p>
        </w:tc>
        <w:tc>
          <w:tcPr>
            <w:tcW w:w="50" w:type="pct"/>
            <w:shd w:val="clear" w:color="auto" w:fill="auto"/>
            <w:vAlign w:val="center"/>
          </w:tcPr>
          <w:p w14:paraId="5556852F" w14:textId="77777777" w:rsidR="00F925DD" w:rsidRDefault="00F925DD">
            <w:pPr>
              <w:rPr>
                <w:rFonts w:ascii="Times New Roman" w:hAnsi="Times New Roman"/>
                <w:sz w:val="20"/>
                <w:szCs w:val="20"/>
              </w:rPr>
            </w:pPr>
          </w:p>
        </w:tc>
        <w:tc>
          <w:tcPr>
            <w:tcW w:w="50" w:type="pct"/>
            <w:shd w:val="clear" w:color="auto" w:fill="auto"/>
            <w:vAlign w:val="center"/>
          </w:tcPr>
          <w:p w14:paraId="55568530" w14:textId="77777777" w:rsidR="00F925DD" w:rsidRDefault="00F925DD">
            <w:pPr>
              <w:rPr>
                <w:rFonts w:ascii="Times New Roman" w:hAnsi="Times New Roman"/>
                <w:sz w:val="20"/>
                <w:szCs w:val="20"/>
              </w:rPr>
            </w:pPr>
          </w:p>
        </w:tc>
        <w:tc>
          <w:tcPr>
            <w:tcW w:w="50" w:type="pct"/>
            <w:shd w:val="clear" w:color="auto" w:fill="auto"/>
            <w:vAlign w:val="center"/>
          </w:tcPr>
          <w:p w14:paraId="55568531" w14:textId="77777777" w:rsidR="00F925DD" w:rsidRDefault="00F925DD">
            <w:pPr>
              <w:rPr>
                <w:rFonts w:ascii="Times New Roman" w:hAnsi="Times New Roman"/>
                <w:sz w:val="20"/>
                <w:szCs w:val="20"/>
              </w:rPr>
            </w:pPr>
          </w:p>
        </w:tc>
        <w:tc>
          <w:tcPr>
            <w:tcW w:w="650" w:type="pct"/>
            <w:shd w:val="clear" w:color="auto" w:fill="auto"/>
            <w:vAlign w:val="center"/>
          </w:tcPr>
          <w:p w14:paraId="55568532" w14:textId="77777777" w:rsidR="00F925DD" w:rsidRDefault="00F925DD">
            <w:pPr>
              <w:rPr>
                <w:rFonts w:ascii="Times New Roman" w:hAnsi="Times New Roman"/>
                <w:sz w:val="20"/>
                <w:szCs w:val="20"/>
              </w:rPr>
            </w:pPr>
          </w:p>
        </w:tc>
        <w:tc>
          <w:tcPr>
            <w:tcW w:w="50" w:type="pct"/>
            <w:shd w:val="clear" w:color="auto" w:fill="auto"/>
            <w:vAlign w:val="center"/>
          </w:tcPr>
          <w:p w14:paraId="55568533" w14:textId="77777777" w:rsidR="00F925DD" w:rsidRDefault="00F925DD">
            <w:pPr>
              <w:rPr>
                <w:rFonts w:ascii="Times New Roman" w:hAnsi="Times New Roman"/>
                <w:sz w:val="20"/>
                <w:szCs w:val="20"/>
              </w:rPr>
            </w:pPr>
          </w:p>
        </w:tc>
        <w:tc>
          <w:tcPr>
            <w:tcW w:w="50" w:type="pct"/>
            <w:shd w:val="clear" w:color="auto" w:fill="auto"/>
            <w:vAlign w:val="center"/>
          </w:tcPr>
          <w:p w14:paraId="55568534" w14:textId="77777777" w:rsidR="00F925DD" w:rsidRDefault="00F925DD">
            <w:pPr>
              <w:rPr>
                <w:rFonts w:ascii="Times New Roman" w:hAnsi="Times New Roman"/>
                <w:sz w:val="20"/>
                <w:szCs w:val="20"/>
              </w:rPr>
            </w:pPr>
          </w:p>
        </w:tc>
        <w:tc>
          <w:tcPr>
            <w:tcW w:w="50" w:type="pct"/>
            <w:shd w:val="clear" w:color="auto" w:fill="auto"/>
            <w:vAlign w:val="center"/>
          </w:tcPr>
          <w:p w14:paraId="55568535" w14:textId="77777777" w:rsidR="00F925DD" w:rsidRDefault="00F925DD">
            <w:pPr>
              <w:rPr>
                <w:rFonts w:ascii="Times New Roman" w:hAnsi="Times New Roman"/>
                <w:sz w:val="20"/>
                <w:szCs w:val="20"/>
              </w:rPr>
            </w:pPr>
          </w:p>
        </w:tc>
        <w:tc>
          <w:tcPr>
            <w:tcW w:w="650" w:type="pct"/>
            <w:shd w:val="clear" w:color="auto" w:fill="auto"/>
            <w:vAlign w:val="center"/>
          </w:tcPr>
          <w:p w14:paraId="55568536" w14:textId="77777777" w:rsidR="00F925DD" w:rsidRDefault="00F925DD">
            <w:pPr>
              <w:rPr>
                <w:rFonts w:ascii="Times New Roman" w:hAnsi="Times New Roman"/>
                <w:sz w:val="20"/>
                <w:szCs w:val="20"/>
              </w:rPr>
            </w:pPr>
          </w:p>
        </w:tc>
        <w:tc>
          <w:tcPr>
            <w:tcW w:w="50" w:type="pct"/>
            <w:shd w:val="clear" w:color="auto" w:fill="auto"/>
            <w:vAlign w:val="center"/>
          </w:tcPr>
          <w:p w14:paraId="55568537" w14:textId="77777777" w:rsidR="00F925DD" w:rsidRDefault="00F925DD">
            <w:pPr>
              <w:rPr>
                <w:rFonts w:ascii="Times New Roman" w:hAnsi="Times New Roman"/>
                <w:sz w:val="20"/>
                <w:szCs w:val="20"/>
              </w:rPr>
            </w:pPr>
          </w:p>
        </w:tc>
        <w:tc>
          <w:tcPr>
            <w:tcW w:w="50" w:type="pct"/>
            <w:shd w:val="clear" w:color="auto" w:fill="auto"/>
            <w:vAlign w:val="center"/>
          </w:tcPr>
          <w:p w14:paraId="55568538" w14:textId="77777777" w:rsidR="00F925DD" w:rsidRDefault="00F925DD">
            <w:pPr>
              <w:rPr>
                <w:rFonts w:ascii="Times New Roman" w:hAnsi="Times New Roman"/>
                <w:sz w:val="20"/>
                <w:szCs w:val="20"/>
              </w:rPr>
            </w:pPr>
          </w:p>
        </w:tc>
        <w:tc>
          <w:tcPr>
            <w:tcW w:w="600" w:type="pct"/>
            <w:shd w:val="clear" w:color="auto" w:fill="auto"/>
            <w:vAlign w:val="center"/>
          </w:tcPr>
          <w:p w14:paraId="55568539" w14:textId="77777777" w:rsidR="00F925DD" w:rsidRDefault="00F925DD">
            <w:pPr>
              <w:rPr>
                <w:rFonts w:ascii="Times New Roman" w:hAnsi="Times New Roman"/>
                <w:sz w:val="20"/>
                <w:szCs w:val="20"/>
              </w:rPr>
            </w:pPr>
          </w:p>
        </w:tc>
        <w:tc>
          <w:tcPr>
            <w:tcW w:w="50" w:type="pct"/>
            <w:shd w:val="clear" w:color="auto" w:fill="auto"/>
            <w:vAlign w:val="center"/>
          </w:tcPr>
          <w:p w14:paraId="5556853A" w14:textId="77777777" w:rsidR="00F925DD" w:rsidRDefault="00F925DD">
            <w:pPr>
              <w:rPr>
                <w:rFonts w:ascii="Times New Roman" w:hAnsi="Times New Roman"/>
                <w:sz w:val="20"/>
                <w:szCs w:val="20"/>
              </w:rPr>
            </w:pPr>
          </w:p>
        </w:tc>
        <w:tc>
          <w:tcPr>
            <w:tcW w:w="50" w:type="pct"/>
            <w:shd w:val="clear" w:color="auto" w:fill="auto"/>
            <w:vAlign w:val="center"/>
          </w:tcPr>
          <w:p w14:paraId="5556853B" w14:textId="77777777" w:rsidR="00F925DD" w:rsidRDefault="00F925DD">
            <w:pPr>
              <w:rPr>
                <w:rFonts w:ascii="Times New Roman" w:hAnsi="Times New Roman"/>
                <w:sz w:val="20"/>
                <w:szCs w:val="20"/>
              </w:rPr>
            </w:pPr>
          </w:p>
        </w:tc>
        <w:tc>
          <w:tcPr>
            <w:tcW w:w="600" w:type="pct"/>
            <w:shd w:val="clear" w:color="auto" w:fill="auto"/>
            <w:vAlign w:val="center"/>
          </w:tcPr>
          <w:p w14:paraId="5556853C" w14:textId="77777777" w:rsidR="00F925DD" w:rsidRDefault="00F925DD">
            <w:pPr>
              <w:rPr>
                <w:rFonts w:ascii="Times New Roman" w:hAnsi="Times New Roman"/>
                <w:sz w:val="20"/>
                <w:szCs w:val="20"/>
              </w:rPr>
            </w:pPr>
          </w:p>
        </w:tc>
        <w:tc>
          <w:tcPr>
            <w:tcW w:w="50" w:type="pct"/>
            <w:shd w:val="clear" w:color="auto" w:fill="auto"/>
            <w:vAlign w:val="center"/>
          </w:tcPr>
          <w:p w14:paraId="5556853D" w14:textId="77777777" w:rsidR="00F925DD" w:rsidRDefault="00F925DD">
            <w:pPr>
              <w:rPr>
                <w:rFonts w:ascii="Times New Roman" w:hAnsi="Times New Roman"/>
                <w:sz w:val="20"/>
                <w:szCs w:val="20"/>
              </w:rPr>
            </w:pPr>
          </w:p>
        </w:tc>
      </w:tr>
      <w:tr w:rsidR="00F925DD" w14:paraId="55568544" w14:textId="77777777">
        <w:tc>
          <w:tcPr>
            <w:tcW w:w="0" w:type="auto"/>
            <w:gridSpan w:val="12"/>
            <w:shd w:val="clear" w:color="auto" w:fill="auto"/>
            <w:tcMar>
              <w:top w:w="40" w:type="dxa"/>
              <w:left w:w="40" w:type="dxa"/>
              <w:bottom w:w="40" w:type="dxa"/>
              <w:right w:w="40" w:type="dxa"/>
            </w:tcMar>
            <w:vAlign w:val="center"/>
          </w:tcPr>
          <w:p w14:paraId="5556853F" w14:textId="77777777" w:rsidR="00F925DD" w:rsidRDefault="00E705D7">
            <w:pPr>
              <w:textAlignment w:val="center"/>
              <w:rPr>
                <w:rFonts w:ascii="Times New Roman" w:hAnsi="Times New Roman"/>
                <w:sz w:val="16"/>
                <w:szCs w:val="16"/>
              </w:rPr>
            </w:pPr>
            <w:r>
              <w:rPr>
                <w:rFonts w:ascii="Arial" w:eastAsia="宋体" w:hAnsi="Arial" w:cs="Arial"/>
                <w:b/>
                <w:bCs/>
                <w:sz w:val="16"/>
                <w:szCs w:val="16"/>
              </w:rPr>
              <w:t>TABLE 17: GEOGRAPHIC MIX OF ASSETS UNDER MANAGEMENT</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85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5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5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5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54F" w14:textId="77777777">
        <w:tc>
          <w:tcPr>
            <w:tcW w:w="0" w:type="auto"/>
            <w:shd w:val="clear" w:color="auto" w:fill="auto"/>
            <w:tcMar>
              <w:top w:w="40" w:type="dxa"/>
              <w:left w:w="40" w:type="dxa"/>
              <w:bottom w:w="40" w:type="dxa"/>
              <w:right w:w="40" w:type="dxa"/>
            </w:tcMar>
            <w:vAlign w:val="bottom"/>
          </w:tcPr>
          <w:p w14:paraId="5556854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54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85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54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c>
          <w:tcPr>
            <w:tcW w:w="0" w:type="auto"/>
            <w:shd w:val="clear" w:color="auto" w:fill="auto"/>
            <w:tcMar>
              <w:top w:w="40" w:type="dxa"/>
              <w:left w:w="40" w:type="dxa"/>
              <w:bottom w:w="40" w:type="dxa"/>
              <w:right w:w="40" w:type="dxa"/>
            </w:tcMar>
            <w:vAlign w:val="bottom"/>
          </w:tcPr>
          <w:p w14:paraId="555685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54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2017</w:t>
            </w:r>
          </w:p>
        </w:tc>
        <w:tc>
          <w:tcPr>
            <w:tcW w:w="0" w:type="auto"/>
            <w:shd w:val="clear" w:color="auto" w:fill="auto"/>
            <w:tcMar>
              <w:top w:w="40" w:type="dxa"/>
              <w:left w:w="40" w:type="dxa"/>
              <w:bottom w:w="40" w:type="dxa"/>
              <w:right w:w="40" w:type="dxa"/>
            </w:tcMar>
            <w:vAlign w:val="bottom"/>
          </w:tcPr>
          <w:p w14:paraId="555685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54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Change</w:t>
            </w:r>
            <w:r>
              <w:rPr>
                <w:rFonts w:ascii="Arial" w:eastAsia="宋体" w:hAnsi="Arial" w:cs="Arial"/>
                <w:b/>
                <w:bCs/>
                <w:sz w:val="15"/>
                <w:szCs w:val="15"/>
              </w:rPr>
              <w:br/>
              <w:t>2019 vs. 2018</w:t>
            </w:r>
          </w:p>
        </w:tc>
        <w:tc>
          <w:tcPr>
            <w:tcW w:w="0" w:type="auto"/>
            <w:shd w:val="clear" w:color="auto" w:fill="auto"/>
            <w:tcMar>
              <w:top w:w="40" w:type="dxa"/>
              <w:left w:w="40" w:type="dxa"/>
              <w:bottom w:w="40" w:type="dxa"/>
              <w:right w:w="40" w:type="dxa"/>
            </w:tcMar>
            <w:vAlign w:val="bottom"/>
          </w:tcPr>
          <w:p w14:paraId="555685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54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Change</w:t>
            </w:r>
            <w:r>
              <w:rPr>
                <w:rFonts w:ascii="Arial" w:eastAsia="宋体" w:hAnsi="Arial" w:cs="Arial"/>
                <w:b/>
                <w:bCs/>
                <w:sz w:val="15"/>
                <w:szCs w:val="15"/>
              </w:rPr>
              <w:br/>
              <w:t>2018 vs. 2017</w:t>
            </w:r>
          </w:p>
        </w:tc>
      </w:tr>
      <w:tr w:rsidR="00F925DD" w14:paraId="55568562" w14:textId="77777777">
        <w:tc>
          <w:tcPr>
            <w:tcW w:w="0" w:type="auto"/>
            <w:shd w:val="clear" w:color="auto" w:fill="CCEEFF"/>
            <w:tcMar>
              <w:top w:w="40" w:type="dxa"/>
              <w:left w:w="40" w:type="dxa"/>
              <w:bottom w:w="40" w:type="dxa"/>
              <w:right w:w="40" w:type="dxa"/>
            </w:tcMar>
            <w:vAlign w:val="bottom"/>
          </w:tcPr>
          <w:p w14:paraId="55568550" w14:textId="77777777" w:rsidR="00F925DD" w:rsidRDefault="00E705D7">
            <w:pPr>
              <w:textAlignment w:val="bottom"/>
              <w:rPr>
                <w:rFonts w:ascii="Times New Roman" w:hAnsi="Times New Roman"/>
                <w:sz w:val="15"/>
                <w:szCs w:val="15"/>
              </w:rPr>
            </w:pPr>
            <w:r>
              <w:rPr>
                <w:rFonts w:ascii="Arial" w:eastAsia="宋体" w:hAnsi="Arial" w:cs="Arial"/>
                <w:sz w:val="15"/>
                <w:szCs w:val="15"/>
              </w:rPr>
              <w:t>North America</w:t>
            </w:r>
          </w:p>
        </w:tc>
        <w:tc>
          <w:tcPr>
            <w:tcW w:w="0" w:type="auto"/>
            <w:tcBorders>
              <w:top w:val="single" w:sz="8" w:space="0" w:color="000000"/>
            </w:tcBorders>
            <w:shd w:val="clear" w:color="auto" w:fill="CCEEFF"/>
            <w:tcMar>
              <w:top w:w="40" w:type="dxa"/>
              <w:left w:w="40" w:type="dxa"/>
              <w:bottom w:w="40" w:type="dxa"/>
            </w:tcMar>
            <w:vAlign w:val="bottom"/>
          </w:tcPr>
          <w:p w14:paraId="5556855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855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2,115</w:t>
            </w:r>
          </w:p>
        </w:tc>
        <w:tc>
          <w:tcPr>
            <w:tcW w:w="0" w:type="auto"/>
            <w:tcBorders>
              <w:top w:val="single" w:sz="8" w:space="0" w:color="000000"/>
            </w:tcBorders>
            <w:shd w:val="clear" w:color="auto" w:fill="CCEEFF"/>
            <w:vAlign w:val="bottom"/>
          </w:tcPr>
          <w:p w14:paraId="555685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55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55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1,731</w:t>
            </w:r>
          </w:p>
        </w:tc>
        <w:tc>
          <w:tcPr>
            <w:tcW w:w="0" w:type="auto"/>
            <w:tcBorders>
              <w:top w:val="single" w:sz="8" w:space="0" w:color="000000"/>
            </w:tcBorders>
            <w:shd w:val="clear" w:color="auto" w:fill="CCEEFF"/>
            <w:vAlign w:val="bottom"/>
          </w:tcPr>
          <w:p w14:paraId="5556855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55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55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1,931</w:t>
            </w:r>
          </w:p>
        </w:tc>
        <w:tc>
          <w:tcPr>
            <w:tcW w:w="0" w:type="auto"/>
            <w:tcBorders>
              <w:top w:val="single" w:sz="8" w:space="0" w:color="000000"/>
            </w:tcBorders>
            <w:shd w:val="clear" w:color="auto" w:fill="CCEEFF"/>
            <w:vAlign w:val="bottom"/>
          </w:tcPr>
          <w:p w14:paraId="555685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55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w:t>
            </w:r>
          </w:p>
        </w:tc>
        <w:tc>
          <w:tcPr>
            <w:tcW w:w="0" w:type="auto"/>
            <w:tcBorders>
              <w:top w:val="single" w:sz="8" w:space="0" w:color="000000"/>
            </w:tcBorders>
            <w:shd w:val="clear" w:color="auto" w:fill="CCEEFF"/>
            <w:tcMar>
              <w:top w:w="40" w:type="dxa"/>
              <w:bottom w:w="40" w:type="dxa"/>
              <w:right w:w="40" w:type="dxa"/>
            </w:tcMar>
            <w:vAlign w:val="bottom"/>
          </w:tcPr>
          <w:p w14:paraId="5556855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5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56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CCEEFF"/>
            <w:tcMar>
              <w:top w:w="40" w:type="dxa"/>
              <w:bottom w:w="40" w:type="dxa"/>
              <w:right w:w="40" w:type="dxa"/>
            </w:tcMar>
            <w:vAlign w:val="bottom"/>
          </w:tcPr>
          <w:p w14:paraId="5556856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572" w14:textId="77777777">
        <w:tc>
          <w:tcPr>
            <w:tcW w:w="0" w:type="auto"/>
            <w:shd w:val="clear" w:color="auto" w:fill="auto"/>
            <w:tcMar>
              <w:top w:w="40" w:type="dxa"/>
              <w:left w:w="40" w:type="dxa"/>
              <w:bottom w:w="40" w:type="dxa"/>
              <w:right w:w="40" w:type="dxa"/>
            </w:tcMar>
            <w:vAlign w:val="bottom"/>
          </w:tcPr>
          <w:p w14:paraId="55568563" w14:textId="77777777" w:rsidR="00F925DD" w:rsidRDefault="00E705D7">
            <w:pPr>
              <w:textAlignment w:val="bottom"/>
              <w:rPr>
                <w:rFonts w:ascii="Times New Roman" w:hAnsi="Times New Roman"/>
                <w:sz w:val="15"/>
                <w:szCs w:val="15"/>
              </w:rPr>
            </w:pPr>
            <w:r>
              <w:rPr>
                <w:rFonts w:ascii="Arial" w:eastAsia="宋体" w:hAnsi="Arial" w:cs="Arial"/>
                <w:sz w:val="15"/>
                <w:szCs w:val="15"/>
              </w:rPr>
              <w:t>Europe/Middle East/Africa</w:t>
            </w:r>
          </w:p>
        </w:tc>
        <w:tc>
          <w:tcPr>
            <w:tcW w:w="0" w:type="auto"/>
            <w:gridSpan w:val="2"/>
            <w:shd w:val="clear" w:color="auto" w:fill="auto"/>
            <w:tcMar>
              <w:top w:w="40" w:type="dxa"/>
              <w:left w:w="40" w:type="dxa"/>
              <w:bottom w:w="40" w:type="dxa"/>
            </w:tcMar>
            <w:vAlign w:val="bottom"/>
          </w:tcPr>
          <w:p w14:paraId="5556856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493</w:t>
            </w:r>
          </w:p>
        </w:tc>
        <w:tc>
          <w:tcPr>
            <w:tcW w:w="0" w:type="auto"/>
            <w:shd w:val="clear" w:color="auto" w:fill="auto"/>
            <w:vAlign w:val="bottom"/>
          </w:tcPr>
          <w:p w14:paraId="5556856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56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421</w:t>
            </w:r>
          </w:p>
        </w:tc>
        <w:tc>
          <w:tcPr>
            <w:tcW w:w="0" w:type="auto"/>
            <w:shd w:val="clear" w:color="auto" w:fill="auto"/>
            <w:vAlign w:val="bottom"/>
          </w:tcPr>
          <w:p w14:paraId="5556856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56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521</w:t>
            </w:r>
          </w:p>
        </w:tc>
        <w:tc>
          <w:tcPr>
            <w:tcW w:w="0" w:type="auto"/>
            <w:shd w:val="clear" w:color="auto" w:fill="auto"/>
            <w:vAlign w:val="bottom"/>
          </w:tcPr>
          <w:p w14:paraId="5556856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56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w:t>
            </w:r>
          </w:p>
        </w:tc>
        <w:tc>
          <w:tcPr>
            <w:tcW w:w="0" w:type="auto"/>
            <w:shd w:val="clear" w:color="auto" w:fill="auto"/>
            <w:vAlign w:val="bottom"/>
          </w:tcPr>
          <w:p w14:paraId="555685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57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w:t>
            </w:r>
          </w:p>
        </w:tc>
        <w:tc>
          <w:tcPr>
            <w:tcW w:w="0" w:type="auto"/>
            <w:shd w:val="clear" w:color="auto" w:fill="auto"/>
            <w:tcMar>
              <w:top w:w="40" w:type="dxa"/>
              <w:bottom w:w="40" w:type="dxa"/>
              <w:right w:w="40" w:type="dxa"/>
            </w:tcMar>
            <w:vAlign w:val="bottom"/>
          </w:tcPr>
          <w:p w14:paraId="5556857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582" w14:textId="77777777">
        <w:tc>
          <w:tcPr>
            <w:tcW w:w="0" w:type="auto"/>
            <w:shd w:val="clear" w:color="auto" w:fill="CCEEFF"/>
            <w:tcMar>
              <w:top w:w="40" w:type="dxa"/>
              <w:left w:w="40" w:type="dxa"/>
              <w:bottom w:w="40" w:type="dxa"/>
              <w:right w:w="40" w:type="dxa"/>
            </w:tcMar>
            <w:vAlign w:val="bottom"/>
          </w:tcPr>
          <w:p w14:paraId="55568573" w14:textId="77777777" w:rsidR="00F925DD" w:rsidRDefault="00E705D7">
            <w:pPr>
              <w:textAlignment w:val="bottom"/>
              <w:rPr>
                <w:rFonts w:ascii="Times New Roman" w:hAnsi="Times New Roman"/>
                <w:sz w:val="15"/>
                <w:szCs w:val="15"/>
              </w:rPr>
            </w:pPr>
            <w:r>
              <w:rPr>
                <w:rFonts w:ascii="Arial" w:eastAsia="宋体" w:hAnsi="Arial" w:cs="Arial"/>
                <w:sz w:val="15"/>
                <w:szCs w:val="15"/>
              </w:rPr>
              <w:t>Asia/Pacific</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57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508</w:t>
            </w:r>
          </w:p>
        </w:tc>
        <w:tc>
          <w:tcPr>
            <w:tcW w:w="0" w:type="auto"/>
            <w:tcBorders>
              <w:bottom w:val="single" w:sz="8" w:space="0" w:color="000000"/>
            </w:tcBorders>
            <w:shd w:val="clear" w:color="auto" w:fill="CCEEFF"/>
            <w:vAlign w:val="bottom"/>
          </w:tcPr>
          <w:p w14:paraId="5556857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57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359</w:t>
            </w:r>
          </w:p>
        </w:tc>
        <w:tc>
          <w:tcPr>
            <w:tcW w:w="0" w:type="auto"/>
            <w:tcBorders>
              <w:bottom w:val="single" w:sz="8" w:space="0" w:color="000000"/>
            </w:tcBorders>
            <w:shd w:val="clear" w:color="auto" w:fill="CCEEFF"/>
            <w:vAlign w:val="bottom"/>
          </w:tcPr>
          <w:p w14:paraId="5556857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57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330</w:t>
            </w:r>
          </w:p>
        </w:tc>
        <w:tc>
          <w:tcPr>
            <w:tcW w:w="0" w:type="auto"/>
            <w:tcBorders>
              <w:bottom w:val="single" w:sz="8" w:space="0" w:color="000000"/>
            </w:tcBorders>
            <w:shd w:val="clear" w:color="auto" w:fill="CCEEFF"/>
            <w:vAlign w:val="bottom"/>
          </w:tcPr>
          <w:p w14:paraId="555685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57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42</w:t>
            </w:r>
          </w:p>
        </w:tc>
        <w:tc>
          <w:tcPr>
            <w:tcW w:w="0" w:type="auto"/>
            <w:shd w:val="clear" w:color="auto" w:fill="CCEEFF"/>
            <w:vAlign w:val="bottom"/>
          </w:tcPr>
          <w:p w14:paraId="5556857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58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shd w:val="clear" w:color="auto" w:fill="CCEEFF"/>
            <w:vAlign w:val="bottom"/>
          </w:tcPr>
          <w:p w14:paraId="55568581" w14:textId="77777777" w:rsidR="00F925DD" w:rsidRDefault="00F925DD">
            <w:pPr>
              <w:textAlignment w:val="bottom"/>
              <w:rPr>
                <w:rFonts w:ascii="Times New Roman" w:hAnsi="Times New Roman"/>
                <w:sz w:val="20"/>
                <w:szCs w:val="20"/>
              </w:rPr>
            </w:pPr>
          </w:p>
        </w:tc>
      </w:tr>
      <w:tr w:rsidR="00F925DD" w14:paraId="55568595" w14:textId="77777777">
        <w:tc>
          <w:tcPr>
            <w:tcW w:w="0" w:type="auto"/>
            <w:shd w:val="clear" w:color="auto" w:fill="auto"/>
            <w:tcMar>
              <w:top w:w="40" w:type="dxa"/>
              <w:left w:w="40" w:type="dxa"/>
              <w:bottom w:w="40" w:type="dxa"/>
              <w:right w:w="40" w:type="dxa"/>
            </w:tcMar>
            <w:vAlign w:val="bottom"/>
          </w:tcPr>
          <w:p w14:paraId="5556858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58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58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3,116</w:t>
            </w:r>
          </w:p>
        </w:tc>
        <w:tc>
          <w:tcPr>
            <w:tcW w:w="0" w:type="auto"/>
            <w:tcBorders>
              <w:top w:val="single" w:sz="8" w:space="0" w:color="000000"/>
              <w:bottom w:val="double" w:sz="6" w:space="0" w:color="000000"/>
            </w:tcBorders>
            <w:shd w:val="clear" w:color="auto" w:fill="auto"/>
            <w:vAlign w:val="bottom"/>
          </w:tcPr>
          <w:p w14:paraId="555685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58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58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2,511</w:t>
            </w:r>
          </w:p>
        </w:tc>
        <w:tc>
          <w:tcPr>
            <w:tcW w:w="0" w:type="auto"/>
            <w:tcBorders>
              <w:top w:val="single" w:sz="8" w:space="0" w:color="000000"/>
              <w:bottom w:val="double" w:sz="6" w:space="0" w:color="000000"/>
            </w:tcBorders>
            <w:shd w:val="clear" w:color="auto" w:fill="auto"/>
            <w:vAlign w:val="bottom"/>
          </w:tcPr>
          <w:p w14:paraId="5556858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58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58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2,782</w:t>
            </w:r>
          </w:p>
        </w:tc>
        <w:tc>
          <w:tcPr>
            <w:tcW w:w="0" w:type="auto"/>
            <w:tcBorders>
              <w:top w:val="single" w:sz="8" w:space="0" w:color="000000"/>
              <w:bottom w:val="double" w:sz="6" w:space="0" w:color="000000"/>
            </w:tcBorders>
            <w:shd w:val="clear" w:color="auto" w:fill="auto"/>
            <w:vAlign w:val="bottom"/>
          </w:tcPr>
          <w:p w14:paraId="5556858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59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w:t>
            </w:r>
          </w:p>
        </w:tc>
        <w:tc>
          <w:tcPr>
            <w:tcW w:w="0" w:type="auto"/>
            <w:shd w:val="clear" w:color="auto" w:fill="auto"/>
            <w:vAlign w:val="bottom"/>
          </w:tcPr>
          <w:p w14:paraId="5556859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59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auto"/>
            <w:tcMar>
              <w:top w:w="40" w:type="dxa"/>
              <w:bottom w:w="40" w:type="dxa"/>
              <w:right w:w="40" w:type="dxa"/>
            </w:tcMar>
            <w:vAlign w:val="bottom"/>
          </w:tcPr>
          <w:p w14:paraId="5556859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bl>
    <w:p w14:paraId="55568596"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8598" w14:textId="77777777">
        <w:tc>
          <w:tcPr>
            <w:tcW w:w="0" w:type="auto"/>
            <w:gridSpan w:val="2"/>
            <w:shd w:val="clear" w:color="auto" w:fill="auto"/>
            <w:vAlign w:val="center"/>
          </w:tcPr>
          <w:p w14:paraId="55568597" w14:textId="77777777" w:rsidR="00F925DD" w:rsidRDefault="00F925DD">
            <w:pPr>
              <w:rPr>
                <w:rFonts w:ascii="Times New Roman" w:hAnsi="Times New Roman"/>
                <w:sz w:val="20"/>
                <w:szCs w:val="20"/>
              </w:rPr>
            </w:pPr>
          </w:p>
        </w:tc>
      </w:tr>
      <w:tr w:rsidR="00F925DD" w14:paraId="5556859B" w14:textId="77777777">
        <w:tc>
          <w:tcPr>
            <w:tcW w:w="1400" w:type="pct"/>
            <w:shd w:val="clear" w:color="auto" w:fill="auto"/>
            <w:vAlign w:val="center"/>
          </w:tcPr>
          <w:p w14:paraId="55568599" w14:textId="77777777" w:rsidR="00F925DD" w:rsidRDefault="00F925DD">
            <w:pPr>
              <w:rPr>
                <w:rFonts w:ascii="Times New Roman" w:hAnsi="Times New Roman"/>
                <w:sz w:val="20"/>
                <w:szCs w:val="20"/>
              </w:rPr>
            </w:pPr>
          </w:p>
        </w:tc>
        <w:tc>
          <w:tcPr>
            <w:tcW w:w="3600" w:type="pct"/>
            <w:shd w:val="clear" w:color="auto" w:fill="auto"/>
            <w:vAlign w:val="center"/>
          </w:tcPr>
          <w:p w14:paraId="5556859A" w14:textId="77777777" w:rsidR="00F925DD" w:rsidRDefault="00F925DD">
            <w:pPr>
              <w:rPr>
                <w:rFonts w:ascii="Times New Roman" w:hAnsi="Times New Roman"/>
                <w:sz w:val="20"/>
                <w:szCs w:val="20"/>
              </w:rPr>
            </w:pPr>
          </w:p>
        </w:tc>
      </w:tr>
      <w:tr w:rsidR="00F925DD" w14:paraId="5556859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5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5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59F"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(1) Geographic mix is based on client location or fund management location.</w:t>
      </w:r>
    </w:p>
    <w:tbl>
      <w:tblPr>
        <w:tblW w:w="5000" w:type="pct"/>
        <w:tblCellMar>
          <w:left w:w="0" w:type="dxa"/>
          <w:right w:w="0" w:type="dxa"/>
        </w:tblCellMar>
        <w:tblLook w:val="04A0" w:firstRow="1" w:lastRow="0" w:firstColumn="1" w:lastColumn="0" w:noHBand="0" w:noVBand="1"/>
      </w:tblPr>
      <w:tblGrid>
        <w:gridCol w:w="2211"/>
        <w:gridCol w:w="124"/>
        <w:gridCol w:w="376"/>
        <w:gridCol w:w="90"/>
        <w:gridCol w:w="130"/>
        <w:gridCol w:w="125"/>
        <w:gridCol w:w="814"/>
        <w:gridCol w:w="116"/>
        <w:gridCol w:w="130"/>
        <w:gridCol w:w="125"/>
        <w:gridCol w:w="474"/>
        <w:gridCol w:w="90"/>
        <w:gridCol w:w="130"/>
        <w:gridCol w:w="125"/>
        <w:gridCol w:w="1116"/>
        <w:gridCol w:w="111"/>
        <w:gridCol w:w="130"/>
        <w:gridCol w:w="125"/>
        <w:gridCol w:w="950"/>
        <w:gridCol w:w="94"/>
        <w:gridCol w:w="130"/>
        <w:gridCol w:w="124"/>
        <w:gridCol w:w="376"/>
        <w:gridCol w:w="90"/>
      </w:tblGrid>
      <w:tr w:rsidR="00F925DD" w14:paraId="555685A1" w14:textId="77777777">
        <w:tc>
          <w:tcPr>
            <w:tcW w:w="0" w:type="auto"/>
            <w:gridSpan w:val="24"/>
            <w:shd w:val="clear" w:color="auto" w:fill="auto"/>
            <w:vAlign w:val="center"/>
          </w:tcPr>
          <w:p w14:paraId="555685A0" w14:textId="77777777" w:rsidR="00F925DD" w:rsidRDefault="00F925DD">
            <w:pPr>
              <w:rPr>
                <w:rFonts w:ascii="Times New Roman" w:hAnsi="Times New Roman"/>
                <w:sz w:val="20"/>
                <w:szCs w:val="20"/>
              </w:rPr>
            </w:pPr>
          </w:p>
        </w:tc>
      </w:tr>
      <w:tr w:rsidR="00F925DD" w14:paraId="555685BA" w14:textId="77777777">
        <w:tc>
          <w:tcPr>
            <w:tcW w:w="1750" w:type="pct"/>
            <w:shd w:val="clear" w:color="auto" w:fill="auto"/>
            <w:vAlign w:val="center"/>
          </w:tcPr>
          <w:p w14:paraId="555685A2" w14:textId="77777777" w:rsidR="00F925DD" w:rsidRDefault="00F925DD">
            <w:pPr>
              <w:rPr>
                <w:rFonts w:ascii="Times New Roman" w:hAnsi="Times New Roman"/>
                <w:sz w:val="20"/>
                <w:szCs w:val="20"/>
              </w:rPr>
            </w:pPr>
          </w:p>
        </w:tc>
        <w:tc>
          <w:tcPr>
            <w:tcW w:w="50" w:type="pct"/>
            <w:shd w:val="clear" w:color="auto" w:fill="auto"/>
            <w:vAlign w:val="center"/>
          </w:tcPr>
          <w:p w14:paraId="555685A3" w14:textId="77777777" w:rsidR="00F925DD" w:rsidRDefault="00F925DD">
            <w:pPr>
              <w:rPr>
                <w:rFonts w:ascii="Times New Roman" w:hAnsi="Times New Roman"/>
                <w:sz w:val="20"/>
                <w:szCs w:val="20"/>
              </w:rPr>
            </w:pPr>
          </w:p>
        </w:tc>
        <w:tc>
          <w:tcPr>
            <w:tcW w:w="400" w:type="pct"/>
            <w:shd w:val="clear" w:color="auto" w:fill="auto"/>
            <w:vAlign w:val="center"/>
          </w:tcPr>
          <w:p w14:paraId="555685A4" w14:textId="77777777" w:rsidR="00F925DD" w:rsidRDefault="00F925DD">
            <w:pPr>
              <w:rPr>
                <w:rFonts w:ascii="Times New Roman" w:hAnsi="Times New Roman"/>
                <w:sz w:val="20"/>
                <w:szCs w:val="20"/>
              </w:rPr>
            </w:pPr>
          </w:p>
        </w:tc>
        <w:tc>
          <w:tcPr>
            <w:tcW w:w="50" w:type="pct"/>
            <w:shd w:val="clear" w:color="auto" w:fill="auto"/>
            <w:vAlign w:val="center"/>
          </w:tcPr>
          <w:p w14:paraId="555685A5" w14:textId="77777777" w:rsidR="00F925DD" w:rsidRDefault="00F925DD">
            <w:pPr>
              <w:rPr>
                <w:rFonts w:ascii="Times New Roman" w:hAnsi="Times New Roman"/>
                <w:sz w:val="20"/>
                <w:szCs w:val="20"/>
              </w:rPr>
            </w:pPr>
          </w:p>
        </w:tc>
        <w:tc>
          <w:tcPr>
            <w:tcW w:w="50" w:type="pct"/>
            <w:shd w:val="clear" w:color="auto" w:fill="auto"/>
            <w:vAlign w:val="center"/>
          </w:tcPr>
          <w:p w14:paraId="555685A6" w14:textId="77777777" w:rsidR="00F925DD" w:rsidRDefault="00F925DD">
            <w:pPr>
              <w:rPr>
                <w:rFonts w:ascii="Times New Roman" w:hAnsi="Times New Roman"/>
                <w:sz w:val="20"/>
                <w:szCs w:val="20"/>
              </w:rPr>
            </w:pPr>
          </w:p>
        </w:tc>
        <w:tc>
          <w:tcPr>
            <w:tcW w:w="50" w:type="pct"/>
            <w:shd w:val="clear" w:color="auto" w:fill="auto"/>
            <w:vAlign w:val="center"/>
          </w:tcPr>
          <w:p w14:paraId="555685A7" w14:textId="77777777" w:rsidR="00F925DD" w:rsidRDefault="00F925DD">
            <w:pPr>
              <w:rPr>
                <w:rFonts w:ascii="Times New Roman" w:hAnsi="Times New Roman"/>
                <w:sz w:val="20"/>
                <w:szCs w:val="20"/>
              </w:rPr>
            </w:pPr>
          </w:p>
        </w:tc>
        <w:tc>
          <w:tcPr>
            <w:tcW w:w="350" w:type="pct"/>
            <w:shd w:val="clear" w:color="auto" w:fill="auto"/>
            <w:vAlign w:val="center"/>
          </w:tcPr>
          <w:p w14:paraId="555685A8" w14:textId="77777777" w:rsidR="00F925DD" w:rsidRDefault="00F925DD">
            <w:pPr>
              <w:rPr>
                <w:rFonts w:ascii="Times New Roman" w:hAnsi="Times New Roman"/>
                <w:sz w:val="20"/>
                <w:szCs w:val="20"/>
              </w:rPr>
            </w:pPr>
          </w:p>
        </w:tc>
        <w:tc>
          <w:tcPr>
            <w:tcW w:w="50" w:type="pct"/>
            <w:shd w:val="clear" w:color="auto" w:fill="auto"/>
            <w:vAlign w:val="center"/>
          </w:tcPr>
          <w:p w14:paraId="555685A9" w14:textId="77777777" w:rsidR="00F925DD" w:rsidRDefault="00F925DD">
            <w:pPr>
              <w:rPr>
                <w:rFonts w:ascii="Times New Roman" w:hAnsi="Times New Roman"/>
                <w:sz w:val="20"/>
                <w:szCs w:val="20"/>
              </w:rPr>
            </w:pPr>
          </w:p>
        </w:tc>
        <w:tc>
          <w:tcPr>
            <w:tcW w:w="50" w:type="pct"/>
            <w:shd w:val="clear" w:color="auto" w:fill="auto"/>
            <w:vAlign w:val="center"/>
          </w:tcPr>
          <w:p w14:paraId="555685AA" w14:textId="77777777" w:rsidR="00F925DD" w:rsidRDefault="00F925DD">
            <w:pPr>
              <w:rPr>
                <w:rFonts w:ascii="Times New Roman" w:hAnsi="Times New Roman"/>
                <w:sz w:val="20"/>
                <w:szCs w:val="20"/>
              </w:rPr>
            </w:pPr>
          </w:p>
        </w:tc>
        <w:tc>
          <w:tcPr>
            <w:tcW w:w="50" w:type="pct"/>
            <w:shd w:val="clear" w:color="auto" w:fill="auto"/>
            <w:vAlign w:val="center"/>
          </w:tcPr>
          <w:p w14:paraId="555685AB" w14:textId="77777777" w:rsidR="00F925DD" w:rsidRDefault="00F925DD">
            <w:pPr>
              <w:rPr>
                <w:rFonts w:ascii="Times New Roman" w:hAnsi="Times New Roman"/>
                <w:sz w:val="20"/>
                <w:szCs w:val="20"/>
              </w:rPr>
            </w:pPr>
          </w:p>
        </w:tc>
        <w:tc>
          <w:tcPr>
            <w:tcW w:w="300" w:type="pct"/>
            <w:shd w:val="clear" w:color="auto" w:fill="auto"/>
            <w:vAlign w:val="center"/>
          </w:tcPr>
          <w:p w14:paraId="555685AC" w14:textId="77777777" w:rsidR="00F925DD" w:rsidRDefault="00F925DD">
            <w:pPr>
              <w:rPr>
                <w:rFonts w:ascii="Times New Roman" w:hAnsi="Times New Roman"/>
                <w:sz w:val="20"/>
                <w:szCs w:val="20"/>
              </w:rPr>
            </w:pPr>
          </w:p>
        </w:tc>
        <w:tc>
          <w:tcPr>
            <w:tcW w:w="50" w:type="pct"/>
            <w:shd w:val="clear" w:color="auto" w:fill="auto"/>
            <w:vAlign w:val="center"/>
          </w:tcPr>
          <w:p w14:paraId="555685AD" w14:textId="77777777" w:rsidR="00F925DD" w:rsidRDefault="00F925DD">
            <w:pPr>
              <w:rPr>
                <w:rFonts w:ascii="Times New Roman" w:hAnsi="Times New Roman"/>
                <w:sz w:val="20"/>
                <w:szCs w:val="20"/>
              </w:rPr>
            </w:pPr>
          </w:p>
        </w:tc>
        <w:tc>
          <w:tcPr>
            <w:tcW w:w="50" w:type="pct"/>
            <w:shd w:val="clear" w:color="auto" w:fill="auto"/>
            <w:vAlign w:val="center"/>
          </w:tcPr>
          <w:p w14:paraId="555685AE" w14:textId="77777777" w:rsidR="00F925DD" w:rsidRDefault="00F925DD">
            <w:pPr>
              <w:rPr>
                <w:rFonts w:ascii="Times New Roman" w:hAnsi="Times New Roman"/>
                <w:sz w:val="20"/>
                <w:szCs w:val="20"/>
              </w:rPr>
            </w:pPr>
          </w:p>
        </w:tc>
        <w:tc>
          <w:tcPr>
            <w:tcW w:w="50" w:type="pct"/>
            <w:shd w:val="clear" w:color="auto" w:fill="auto"/>
            <w:vAlign w:val="center"/>
          </w:tcPr>
          <w:p w14:paraId="555685AF" w14:textId="77777777" w:rsidR="00F925DD" w:rsidRDefault="00F925DD">
            <w:pPr>
              <w:rPr>
                <w:rFonts w:ascii="Times New Roman" w:hAnsi="Times New Roman"/>
                <w:sz w:val="20"/>
                <w:szCs w:val="20"/>
              </w:rPr>
            </w:pPr>
          </w:p>
        </w:tc>
        <w:tc>
          <w:tcPr>
            <w:tcW w:w="500" w:type="pct"/>
            <w:shd w:val="clear" w:color="auto" w:fill="auto"/>
            <w:vAlign w:val="center"/>
          </w:tcPr>
          <w:p w14:paraId="555685B0" w14:textId="77777777" w:rsidR="00F925DD" w:rsidRDefault="00F925DD">
            <w:pPr>
              <w:rPr>
                <w:rFonts w:ascii="Times New Roman" w:hAnsi="Times New Roman"/>
                <w:sz w:val="20"/>
                <w:szCs w:val="20"/>
              </w:rPr>
            </w:pPr>
          </w:p>
        </w:tc>
        <w:tc>
          <w:tcPr>
            <w:tcW w:w="50" w:type="pct"/>
            <w:shd w:val="clear" w:color="auto" w:fill="auto"/>
            <w:vAlign w:val="center"/>
          </w:tcPr>
          <w:p w14:paraId="555685B1" w14:textId="77777777" w:rsidR="00F925DD" w:rsidRDefault="00F925DD">
            <w:pPr>
              <w:rPr>
                <w:rFonts w:ascii="Times New Roman" w:hAnsi="Times New Roman"/>
                <w:sz w:val="20"/>
                <w:szCs w:val="20"/>
              </w:rPr>
            </w:pPr>
          </w:p>
        </w:tc>
        <w:tc>
          <w:tcPr>
            <w:tcW w:w="50" w:type="pct"/>
            <w:shd w:val="clear" w:color="auto" w:fill="auto"/>
            <w:vAlign w:val="center"/>
          </w:tcPr>
          <w:p w14:paraId="555685B2" w14:textId="77777777" w:rsidR="00F925DD" w:rsidRDefault="00F925DD">
            <w:pPr>
              <w:rPr>
                <w:rFonts w:ascii="Times New Roman" w:hAnsi="Times New Roman"/>
                <w:sz w:val="20"/>
                <w:szCs w:val="20"/>
              </w:rPr>
            </w:pPr>
          </w:p>
        </w:tc>
        <w:tc>
          <w:tcPr>
            <w:tcW w:w="50" w:type="pct"/>
            <w:shd w:val="clear" w:color="auto" w:fill="auto"/>
            <w:vAlign w:val="center"/>
          </w:tcPr>
          <w:p w14:paraId="555685B3" w14:textId="77777777" w:rsidR="00F925DD" w:rsidRDefault="00F925DD">
            <w:pPr>
              <w:rPr>
                <w:rFonts w:ascii="Times New Roman" w:hAnsi="Times New Roman"/>
                <w:sz w:val="20"/>
                <w:szCs w:val="20"/>
              </w:rPr>
            </w:pPr>
          </w:p>
        </w:tc>
        <w:tc>
          <w:tcPr>
            <w:tcW w:w="500" w:type="pct"/>
            <w:shd w:val="clear" w:color="auto" w:fill="auto"/>
            <w:vAlign w:val="center"/>
          </w:tcPr>
          <w:p w14:paraId="555685B4" w14:textId="77777777" w:rsidR="00F925DD" w:rsidRDefault="00F925DD">
            <w:pPr>
              <w:rPr>
                <w:rFonts w:ascii="Times New Roman" w:hAnsi="Times New Roman"/>
                <w:sz w:val="20"/>
                <w:szCs w:val="20"/>
              </w:rPr>
            </w:pPr>
          </w:p>
        </w:tc>
        <w:tc>
          <w:tcPr>
            <w:tcW w:w="50" w:type="pct"/>
            <w:shd w:val="clear" w:color="auto" w:fill="auto"/>
            <w:vAlign w:val="center"/>
          </w:tcPr>
          <w:p w14:paraId="555685B5" w14:textId="77777777" w:rsidR="00F925DD" w:rsidRDefault="00F925DD">
            <w:pPr>
              <w:rPr>
                <w:rFonts w:ascii="Times New Roman" w:hAnsi="Times New Roman"/>
                <w:sz w:val="20"/>
                <w:szCs w:val="20"/>
              </w:rPr>
            </w:pPr>
          </w:p>
        </w:tc>
        <w:tc>
          <w:tcPr>
            <w:tcW w:w="50" w:type="pct"/>
            <w:shd w:val="clear" w:color="auto" w:fill="auto"/>
            <w:vAlign w:val="center"/>
          </w:tcPr>
          <w:p w14:paraId="555685B6" w14:textId="77777777" w:rsidR="00F925DD" w:rsidRDefault="00F925DD">
            <w:pPr>
              <w:rPr>
                <w:rFonts w:ascii="Times New Roman" w:hAnsi="Times New Roman"/>
                <w:sz w:val="20"/>
                <w:szCs w:val="20"/>
              </w:rPr>
            </w:pPr>
          </w:p>
        </w:tc>
        <w:tc>
          <w:tcPr>
            <w:tcW w:w="50" w:type="pct"/>
            <w:shd w:val="clear" w:color="auto" w:fill="auto"/>
            <w:vAlign w:val="center"/>
          </w:tcPr>
          <w:p w14:paraId="555685B7" w14:textId="77777777" w:rsidR="00F925DD" w:rsidRDefault="00F925DD">
            <w:pPr>
              <w:rPr>
                <w:rFonts w:ascii="Times New Roman" w:hAnsi="Times New Roman"/>
                <w:sz w:val="20"/>
                <w:szCs w:val="20"/>
              </w:rPr>
            </w:pPr>
          </w:p>
        </w:tc>
        <w:tc>
          <w:tcPr>
            <w:tcW w:w="350" w:type="pct"/>
            <w:shd w:val="clear" w:color="auto" w:fill="auto"/>
            <w:vAlign w:val="center"/>
          </w:tcPr>
          <w:p w14:paraId="555685B8" w14:textId="77777777" w:rsidR="00F925DD" w:rsidRDefault="00F925DD">
            <w:pPr>
              <w:rPr>
                <w:rFonts w:ascii="Times New Roman" w:hAnsi="Times New Roman"/>
                <w:sz w:val="20"/>
                <w:szCs w:val="20"/>
              </w:rPr>
            </w:pPr>
          </w:p>
        </w:tc>
        <w:tc>
          <w:tcPr>
            <w:tcW w:w="50" w:type="pct"/>
            <w:shd w:val="clear" w:color="auto" w:fill="auto"/>
            <w:vAlign w:val="center"/>
          </w:tcPr>
          <w:p w14:paraId="555685B9" w14:textId="77777777" w:rsidR="00F925DD" w:rsidRDefault="00F925DD">
            <w:pPr>
              <w:rPr>
                <w:rFonts w:ascii="Times New Roman" w:hAnsi="Times New Roman"/>
                <w:sz w:val="20"/>
                <w:szCs w:val="20"/>
              </w:rPr>
            </w:pPr>
          </w:p>
        </w:tc>
      </w:tr>
      <w:tr w:rsidR="00F925DD" w14:paraId="555685BC" w14:textId="77777777">
        <w:tc>
          <w:tcPr>
            <w:tcW w:w="0" w:type="auto"/>
            <w:gridSpan w:val="24"/>
            <w:shd w:val="clear" w:color="auto" w:fill="auto"/>
            <w:tcMar>
              <w:top w:w="40" w:type="dxa"/>
              <w:left w:w="40" w:type="dxa"/>
              <w:bottom w:w="40" w:type="dxa"/>
              <w:right w:w="40" w:type="dxa"/>
            </w:tcMar>
            <w:vAlign w:val="bottom"/>
          </w:tcPr>
          <w:p w14:paraId="555685B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18: ACTIVITY IN ASSETS UNDER MANAGEMENT BY PRODUCT CATEGORY</w:t>
            </w:r>
          </w:p>
        </w:tc>
      </w:tr>
      <w:tr w:rsidR="00F925DD" w14:paraId="555685C9" w14:textId="77777777">
        <w:tc>
          <w:tcPr>
            <w:tcW w:w="0" w:type="auto"/>
            <w:shd w:val="clear" w:color="auto" w:fill="auto"/>
            <w:tcMar>
              <w:top w:w="40" w:type="dxa"/>
              <w:left w:w="40" w:type="dxa"/>
              <w:bottom w:w="40" w:type="dxa"/>
              <w:right w:w="40" w:type="dxa"/>
            </w:tcMar>
            <w:vAlign w:val="bottom"/>
          </w:tcPr>
          <w:p w14:paraId="555685B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billions)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5B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Equity</w:t>
            </w:r>
          </w:p>
        </w:tc>
        <w:tc>
          <w:tcPr>
            <w:tcW w:w="0" w:type="auto"/>
            <w:shd w:val="clear" w:color="auto" w:fill="auto"/>
            <w:tcMar>
              <w:top w:w="40" w:type="dxa"/>
              <w:left w:w="40" w:type="dxa"/>
              <w:bottom w:w="40" w:type="dxa"/>
              <w:right w:w="40" w:type="dxa"/>
            </w:tcMar>
            <w:vAlign w:val="bottom"/>
          </w:tcPr>
          <w:p w14:paraId="555685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5C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Fixed-Income</w:t>
            </w:r>
          </w:p>
        </w:tc>
        <w:tc>
          <w:tcPr>
            <w:tcW w:w="0" w:type="auto"/>
            <w:shd w:val="clear" w:color="auto" w:fill="auto"/>
            <w:tcMar>
              <w:top w:w="40" w:type="dxa"/>
              <w:left w:w="40" w:type="dxa"/>
              <w:bottom w:w="40" w:type="dxa"/>
              <w:right w:w="40" w:type="dxa"/>
            </w:tcMar>
            <w:vAlign w:val="bottom"/>
          </w:tcPr>
          <w:p w14:paraId="555685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5C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Cash(1)</w:t>
            </w:r>
          </w:p>
        </w:tc>
        <w:tc>
          <w:tcPr>
            <w:tcW w:w="0" w:type="auto"/>
            <w:shd w:val="clear" w:color="auto" w:fill="auto"/>
            <w:tcMar>
              <w:top w:w="40" w:type="dxa"/>
              <w:left w:w="40" w:type="dxa"/>
              <w:bottom w:w="40" w:type="dxa"/>
              <w:right w:w="40" w:type="dxa"/>
            </w:tcMar>
            <w:vAlign w:val="bottom"/>
          </w:tcPr>
          <w:p w14:paraId="555685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5C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Multi-Asset-Class Solutions</w:t>
            </w:r>
          </w:p>
        </w:tc>
        <w:tc>
          <w:tcPr>
            <w:tcW w:w="0" w:type="auto"/>
            <w:shd w:val="clear" w:color="auto" w:fill="auto"/>
            <w:tcMar>
              <w:top w:w="40" w:type="dxa"/>
              <w:left w:w="40" w:type="dxa"/>
              <w:bottom w:w="40" w:type="dxa"/>
              <w:right w:w="40" w:type="dxa"/>
            </w:tcMar>
            <w:vAlign w:val="bottom"/>
          </w:tcPr>
          <w:p w14:paraId="555685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5C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Alternative Investments(2)</w:t>
            </w:r>
          </w:p>
        </w:tc>
        <w:tc>
          <w:tcPr>
            <w:tcW w:w="0" w:type="auto"/>
            <w:shd w:val="clear" w:color="auto" w:fill="auto"/>
            <w:tcMar>
              <w:top w:w="40" w:type="dxa"/>
              <w:left w:w="40" w:type="dxa"/>
              <w:bottom w:w="40" w:type="dxa"/>
              <w:right w:w="40" w:type="dxa"/>
            </w:tcMar>
            <w:vAlign w:val="bottom"/>
          </w:tcPr>
          <w:p w14:paraId="555685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5C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r>
      <w:tr w:rsidR="00F925DD" w14:paraId="555685E2" w14:textId="77777777">
        <w:tc>
          <w:tcPr>
            <w:tcW w:w="0" w:type="auto"/>
            <w:shd w:val="clear" w:color="auto" w:fill="CCEEFF"/>
            <w:tcMar>
              <w:top w:w="40" w:type="dxa"/>
              <w:left w:w="40" w:type="dxa"/>
              <w:bottom w:w="40" w:type="dxa"/>
              <w:right w:w="40" w:type="dxa"/>
            </w:tcMar>
            <w:vAlign w:val="bottom"/>
          </w:tcPr>
          <w:p w14:paraId="555685C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Balance as of December 31, 2016</w:t>
            </w:r>
          </w:p>
        </w:tc>
        <w:tc>
          <w:tcPr>
            <w:tcW w:w="0" w:type="auto"/>
            <w:tcBorders>
              <w:top w:val="single" w:sz="8" w:space="0" w:color="000000"/>
            </w:tcBorders>
            <w:shd w:val="clear" w:color="auto" w:fill="CCEEFF"/>
            <w:tcMar>
              <w:top w:w="40" w:type="dxa"/>
              <w:left w:w="40" w:type="dxa"/>
              <w:bottom w:w="40" w:type="dxa"/>
            </w:tcMar>
            <w:vAlign w:val="bottom"/>
          </w:tcPr>
          <w:p w14:paraId="555685C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5C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1,474</w:t>
            </w:r>
          </w:p>
        </w:tc>
        <w:tc>
          <w:tcPr>
            <w:tcW w:w="0" w:type="auto"/>
            <w:tcBorders>
              <w:top w:val="single" w:sz="8" w:space="0" w:color="000000"/>
            </w:tcBorders>
            <w:shd w:val="clear" w:color="auto" w:fill="CCEEFF"/>
            <w:vAlign w:val="bottom"/>
          </w:tcPr>
          <w:p w14:paraId="555685C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5C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5D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378</w:t>
            </w:r>
          </w:p>
        </w:tc>
        <w:tc>
          <w:tcPr>
            <w:tcW w:w="0" w:type="auto"/>
            <w:tcBorders>
              <w:top w:val="single" w:sz="8" w:space="0" w:color="000000"/>
            </w:tcBorders>
            <w:shd w:val="clear" w:color="auto" w:fill="CCEEFF"/>
            <w:vAlign w:val="bottom"/>
          </w:tcPr>
          <w:p w14:paraId="555685D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5D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5D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333</w:t>
            </w:r>
          </w:p>
        </w:tc>
        <w:tc>
          <w:tcPr>
            <w:tcW w:w="0" w:type="auto"/>
            <w:tcBorders>
              <w:top w:val="single" w:sz="8" w:space="0" w:color="000000"/>
            </w:tcBorders>
            <w:shd w:val="clear" w:color="auto" w:fill="CCEEFF"/>
            <w:vAlign w:val="bottom"/>
          </w:tcPr>
          <w:p w14:paraId="555685D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5D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5D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126</w:t>
            </w:r>
          </w:p>
        </w:tc>
        <w:tc>
          <w:tcPr>
            <w:tcW w:w="0" w:type="auto"/>
            <w:tcBorders>
              <w:top w:val="single" w:sz="8" w:space="0" w:color="000000"/>
            </w:tcBorders>
            <w:shd w:val="clear" w:color="auto" w:fill="CCEEFF"/>
            <w:vAlign w:val="bottom"/>
          </w:tcPr>
          <w:p w14:paraId="555685D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5D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5D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157</w:t>
            </w:r>
          </w:p>
        </w:tc>
        <w:tc>
          <w:tcPr>
            <w:tcW w:w="0" w:type="auto"/>
            <w:tcBorders>
              <w:top w:val="single" w:sz="8" w:space="0" w:color="000000"/>
            </w:tcBorders>
            <w:shd w:val="clear" w:color="auto" w:fill="CCEEFF"/>
            <w:vAlign w:val="bottom"/>
          </w:tcPr>
          <w:p w14:paraId="555685D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5D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5E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2,468</w:t>
            </w:r>
          </w:p>
        </w:tc>
        <w:tc>
          <w:tcPr>
            <w:tcW w:w="0" w:type="auto"/>
            <w:tcBorders>
              <w:top w:val="single" w:sz="8" w:space="0" w:color="000000"/>
            </w:tcBorders>
            <w:shd w:val="clear" w:color="auto" w:fill="CCEEFF"/>
            <w:vAlign w:val="bottom"/>
          </w:tcPr>
          <w:p w14:paraId="555685E1" w14:textId="77777777" w:rsidR="00F925DD" w:rsidRDefault="00F925DD">
            <w:pPr>
              <w:textAlignment w:val="bottom"/>
              <w:rPr>
                <w:rFonts w:ascii="Times New Roman" w:hAnsi="Times New Roman"/>
                <w:sz w:val="20"/>
                <w:szCs w:val="20"/>
              </w:rPr>
            </w:pPr>
          </w:p>
        </w:tc>
      </w:tr>
      <w:tr w:rsidR="00F925DD" w14:paraId="555685F5" w14:textId="77777777">
        <w:tc>
          <w:tcPr>
            <w:tcW w:w="0" w:type="auto"/>
            <w:shd w:val="clear" w:color="auto" w:fill="auto"/>
            <w:tcMar>
              <w:top w:w="40" w:type="dxa"/>
              <w:left w:w="40" w:type="dxa"/>
              <w:bottom w:w="40" w:type="dxa"/>
              <w:right w:w="40" w:type="dxa"/>
            </w:tcMar>
            <w:vAlign w:val="bottom"/>
          </w:tcPr>
          <w:p w14:paraId="555685E3" w14:textId="77777777" w:rsidR="00F925DD" w:rsidRDefault="00E705D7">
            <w:pPr>
              <w:textAlignment w:val="bottom"/>
              <w:rPr>
                <w:rFonts w:ascii="Times New Roman" w:hAnsi="Times New Roman"/>
                <w:sz w:val="15"/>
                <w:szCs w:val="15"/>
              </w:rPr>
            </w:pPr>
            <w:r>
              <w:rPr>
                <w:rFonts w:ascii="Arial" w:eastAsia="宋体" w:hAnsi="Arial" w:cs="Arial"/>
                <w:sz w:val="15"/>
                <w:szCs w:val="15"/>
              </w:rPr>
              <w:t>Long-term institutional flows, net(3)</w:t>
            </w:r>
          </w:p>
        </w:tc>
        <w:tc>
          <w:tcPr>
            <w:tcW w:w="0" w:type="auto"/>
            <w:gridSpan w:val="2"/>
            <w:shd w:val="clear" w:color="auto" w:fill="auto"/>
            <w:tcMar>
              <w:top w:w="40" w:type="dxa"/>
              <w:left w:w="40" w:type="dxa"/>
              <w:bottom w:w="40" w:type="dxa"/>
            </w:tcMar>
            <w:vAlign w:val="bottom"/>
          </w:tcPr>
          <w:p w14:paraId="555685E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(74</w:t>
            </w:r>
          </w:p>
        </w:tc>
        <w:tc>
          <w:tcPr>
            <w:tcW w:w="0" w:type="auto"/>
            <w:shd w:val="clear" w:color="auto" w:fill="auto"/>
            <w:tcMar>
              <w:top w:w="40" w:type="dxa"/>
              <w:bottom w:w="40" w:type="dxa"/>
              <w:right w:w="40" w:type="dxa"/>
            </w:tcMar>
            <w:vAlign w:val="bottom"/>
          </w:tcPr>
          <w:p w14:paraId="555685E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5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5E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vAlign w:val="bottom"/>
          </w:tcPr>
          <w:p w14:paraId="555685E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5E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85E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5E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auto"/>
            <w:vAlign w:val="bottom"/>
          </w:tcPr>
          <w:p w14:paraId="555685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5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5F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w:t>
            </w:r>
          </w:p>
        </w:tc>
        <w:tc>
          <w:tcPr>
            <w:tcW w:w="0" w:type="auto"/>
            <w:shd w:val="clear" w:color="auto" w:fill="auto"/>
            <w:tcMar>
              <w:top w:w="40" w:type="dxa"/>
              <w:bottom w:w="40" w:type="dxa"/>
              <w:right w:w="40" w:type="dxa"/>
            </w:tcMar>
            <w:vAlign w:val="bottom"/>
          </w:tcPr>
          <w:p w14:paraId="555685F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5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5F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(89</w:t>
            </w:r>
          </w:p>
        </w:tc>
        <w:tc>
          <w:tcPr>
            <w:tcW w:w="0" w:type="auto"/>
            <w:shd w:val="clear" w:color="auto" w:fill="auto"/>
            <w:tcMar>
              <w:top w:w="40" w:type="dxa"/>
              <w:bottom w:w="40" w:type="dxa"/>
              <w:right w:w="40" w:type="dxa"/>
            </w:tcMar>
            <w:vAlign w:val="bottom"/>
          </w:tcPr>
          <w:p w14:paraId="555685F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608" w14:textId="77777777">
        <w:tc>
          <w:tcPr>
            <w:tcW w:w="0" w:type="auto"/>
            <w:shd w:val="clear" w:color="auto" w:fill="CCEEFF"/>
            <w:tcMar>
              <w:top w:w="40" w:type="dxa"/>
              <w:left w:w="40" w:type="dxa"/>
              <w:bottom w:w="40" w:type="dxa"/>
              <w:right w:w="40" w:type="dxa"/>
            </w:tcMar>
            <w:vAlign w:val="bottom"/>
          </w:tcPr>
          <w:p w14:paraId="555685F6" w14:textId="77777777" w:rsidR="00F925DD" w:rsidRDefault="00E705D7">
            <w:pPr>
              <w:textAlignment w:val="bottom"/>
              <w:rPr>
                <w:rFonts w:ascii="Times New Roman" w:hAnsi="Times New Roman"/>
                <w:sz w:val="15"/>
                <w:szCs w:val="15"/>
              </w:rPr>
            </w:pPr>
            <w:r>
              <w:rPr>
                <w:rFonts w:ascii="Arial" w:eastAsia="宋体" w:hAnsi="Arial" w:cs="Arial"/>
                <w:sz w:val="15"/>
                <w:szCs w:val="15"/>
              </w:rPr>
              <w:t>Exchange-Traded Fund flows, net</w:t>
            </w:r>
          </w:p>
        </w:tc>
        <w:tc>
          <w:tcPr>
            <w:tcW w:w="0" w:type="auto"/>
            <w:gridSpan w:val="2"/>
            <w:shd w:val="clear" w:color="auto" w:fill="CCEEFF"/>
            <w:tcMar>
              <w:top w:w="40" w:type="dxa"/>
              <w:left w:w="40" w:type="dxa"/>
              <w:bottom w:w="40" w:type="dxa"/>
            </w:tcMar>
            <w:vAlign w:val="bottom"/>
          </w:tcPr>
          <w:p w14:paraId="555685F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shd w:val="clear" w:color="auto" w:fill="CCEEFF"/>
            <w:vAlign w:val="bottom"/>
          </w:tcPr>
          <w:p w14:paraId="555685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5F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CCEEFF"/>
            <w:vAlign w:val="bottom"/>
          </w:tcPr>
          <w:p w14:paraId="555685F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5F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85F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5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0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860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0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5556860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0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37</w:t>
            </w:r>
          </w:p>
        </w:tc>
        <w:tc>
          <w:tcPr>
            <w:tcW w:w="0" w:type="auto"/>
            <w:shd w:val="clear" w:color="auto" w:fill="CCEEFF"/>
            <w:vAlign w:val="bottom"/>
          </w:tcPr>
          <w:p w14:paraId="55568607" w14:textId="77777777" w:rsidR="00F925DD" w:rsidRDefault="00F925DD">
            <w:pPr>
              <w:textAlignment w:val="bottom"/>
              <w:rPr>
                <w:rFonts w:ascii="Times New Roman" w:hAnsi="Times New Roman"/>
                <w:sz w:val="20"/>
                <w:szCs w:val="20"/>
              </w:rPr>
            </w:pPr>
          </w:p>
        </w:tc>
      </w:tr>
      <w:tr w:rsidR="00F925DD" w14:paraId="5556861B" w14:textId="77777777">
        <w:tc>
          <w:tcPr>
            <w:tcW w:w="0" w:type="auto"/>
            <w:shd w:val="clear" w:color="auto" w:fill="auto"/>
            <w:tcMar>
              <w:top w:w="40" w:type="dxa"/>
              <w:left w:w="40" w:type="dxa"/>
              <w:bottom w:w="40" w:type="dxa"/>
              <w:right w:w="40" w:type="dxa"/>
            </w:tcMar>
            <w:vAlign w:val="bottom"/>
          </w:tcPr>
          <w:p w14:paraId="55568609" w14:textId="77777777" w:rsidR="00F925DD" w:rsidRDefault="00E705D7">
            <w:pPr>
              <w:textAlignment w:val="bottom"/>
              <w:rPr>
                <w:rFonts w:ascii="Times New Roman" w:hAnsi="Times New Roman"/>
                <w:sz w:val="15"/>
                <w:szCs w:val="15"/>
              </w:rPr>
            </w:pPr>
            <w:r>
              <w:rPr>
                <w:rFonts w:ascii="Arial" w:eastAsia="宋体" w:hAnsi="Arial" w:cs="Arial"/>
                <w:sz w:val="15"/>
                <w:szCs w:val="15"/>
              </w:rPr>
              <w:t>Cash fund flows, net</w:t>
            </w:r>
          </w:p>
        </w:tc>
        <w:tc>
          <w:tcPr>
            <w:tcW w:w="0" w:type="auto"/>
            <w:gridSpan w:val="2"/>
            <w:tcBorders>
              <w:bottom w:val="single" w:sz="8" w:space="0" w:color="000000"/>
            </w:tcBorders>
            <w:shd w:val="clear" w:color="auto" w:fill="auto"/>
            <w:tcMar>
              <w:top w:w="40" w:type="dxa"/>
              <w:left w:w="40" w:type="dxa"/>
              <w:bottom w:w="40" w:type="dxa"/>
            </w:tcMar>
            <w:vAlign w:val="bottom"/>
          </w:tcPr>
          <w:p w14:paraId="5556860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860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60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860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61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w:t>
            </w:r>
          </w:p>
        </w:tc>
        <w:tc>
          <w:tcPr>
            <w:tcW w:w="0" w:type="auto"/>
            <w:tcBorders>
              <w:bottom w:val="single" w:sz="8" w:space="0" w:color="000000"/>
            </w:tcBorders>
            <w:shd w:val="clear" w:color="auto" w:fill="auto"/>
            <w:tcMar>
              <w:top w:w="40" w:type="dxa"/>
              <w:bottom w:w="40" w:type="dxa"/>
              <w:right w:w="40" w:type="dxa"/>
            </w:tcMar>
            <w:vAlign w:val="bottom"/>
          </w:tcPr>
          <w:p w14:paraId="5556861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61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861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61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861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61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w:t>
            </w:r>
          </w:p>
        </w:tc>
        <w:tc>
          <w:tcPr>
            <w:tcW w:w="0" w:type="auto"/>
            <w:tcBorders>
              <w:bottom w:val="single" w:sz="8" w:space="0" w:color="000000"/>
            </w:tcBorders>
            <w:shd w:val="clear" w:color="auto" w:fill="auto"/>
            <w:tcMar>
              <w:top w:w="40" w:type="dxa"/>
              <w:bottom w:w="40" w:type="dxa"/>
              <w:right w:w="40" w:type="dxa"/>
            </w:tcMar>
            <w:vAlign w:val="bottom"/>
          </w:tcPr>
          <w:p w14:paraId="5556861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62E" w14:textId="77777777">
        <w:tc>
          <w:tcPr>
            <w:tcW w:w="0" w:type="auto"/>
            <w:shd w:val="clear" w:color="auto" w:fill="CCEEFF"/>
            <w:tcMar>
              <w:top w:w="40" w:type="dxa"/>
              <w:left w:w="40" w:type="dxa"/>
              <w:bottom w:w="40" w:type="dxa"/>
              <w:right w:w="40" w:type="dxa"/>
            </w:tcMar>
            <w:vAlign w:val="bottom"/>
          </w:tcPr>
          <w:p w14:paraId="5556861C"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flows, net</w:t>
            </w:r>
          </w:p>
        </w:tc>
        <w:tc>
          <w:tcPr>
            <w:tcW w:w="0" w:type="auto"/>
            <w:gridSpan w:val="2"/>
            <w:shd w:val="clear" w:color="auto" w:fill="CCEEFF"/>
            <w:tcMar>
              <w:top w:w="40" w:type="dxa"/>
              <w:left w:w="40" w:type="dxa"/>
              <w:bottom w:w="40" w:type="dxa"/>
            </w:tcMar>
            <w:vAlign w:val="bottom"/>
          </w:tcPr>
          <w:p w14:paraId="5556861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(48</w:t>
            </w:r>
          </w:p>
        </w:tc>
        <w:tc>
          <w:tcPr>
            <w:tcW w:w="0" w:type="auto"/>
            <w:shd w:val="clear" w:color="auto" w:fill="CCEEFF"/>
            <w:tcMar>
              <w:top w:w="40" w:type="dxa"/>
              <w:bottom w:w="40" w:type="dxa"/>
              <w:right w:w="40" w:type="dxa"/>
            </w:tcMar>
            <w:vAlign w:val="bottom"/>
          </w:tcPr>
          <w:p w14:paraId="5556861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2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w:t>
            </w:r>
          </w:p>
        </w:tc>
        <w:tc>
          <w:tcPr>
            <w:tcW w:w="0" w:type="auto"/>
            <w:shd w:val="clear" w:color="auto" w:fill="CCEEFF"/>
            <w:vAlign w:val="bottom"/>
          </w:tcPr>
          <w:p w14:paraId="555686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2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w:t>
            </w:r>
          </w:p>
        </w:tc>
        <w:tc>
          <w:tcPr>
            <w:tcW w:w="0" w:type="auto"/>
            <w:shd w:val="clear" w:color="auto" w:fill="CCEEFF"/>
            <w:tcMar>
              <w:top w:w="40" w:type="dxa"/>
              <w:bottom w:w="40" w:type="dxa"/>
              <w:right w:w="40" w:type="dxa"/>
            </w:tcMar>
            <w:vAlign w:val="bottom"/>
          </w:tcPr>
          <w:p w14:paraId="5556862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2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CCEEFF"/>
            <w:vAlign w:val="bottom"/>
          </w:tcPr>
          <w:p w14:paraId="5556862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2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w:t>
            </w:r>
          </w:p>
        </w:tc>
        <w:tc>
          <w:tcPr>
            <w:tcW w:w="0" w:type="auto"/>
            <w:shd w:val="clear" w:color="auto" w:fill="CCEEFF"/>
            <w:tcMar>
              <w:top w:w="40" w:type="dxa"/>
              <w:bottom w:w="40" w:type="dxa"/>
              <w:right w:w="40" w:type="dxa"/>
            </w:tcMar>
            <w:vAlign w:val="bottom"/>
          </w:tcPr>
          <w:p w14:paraId="5556862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2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(60</w:t>
            </w:r>
          </w:p>
        </w:tc>
        <w:tc>
          <w:tcPr>
            <w:tcW w:w="0" w:type="auto"/>
            <w:shd w:val="clear" w:color="auto" w:fill="CCEEFF"/>
            <w:tcMar>
              <w:top w:w="40" w:type="dxa"/>
              <w:bottom w:w="40" w:type="dxa"/>
              <w:right w:w="40" w:type="dxa"/>
            </w:tcMar>
            <w:vAlign w:val="bottom"/>
          </w:tcPr>
          <w:p w14:paraId="5556862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641" w14:textId="77777777">
        <w:tc>
          <w:tcPr>
            <w:tcW w:w="0" w:type="auto"/>
            <w:shd w:val="clear" w:color="auto" w:fill="auto"/>
            <w:tcMar>
              <w:top w:w="40" w:type="dxa"/>
              <w:left w:w="240" w:type="dxa"/>
              <w:bottom w:w="40" w:type="dxa"/>
              <w:right w:w="40" w:type="dxa"/>
            </w:tcMar>
            <w:vAlign w:val="bottom"/>
          </w:tcPr>
          <w:p w14:paraId="5556862F" w14:textId="77777777" w:rsidR="00F925DD" w:rsidRDefault="00E705D7">
            <w:pPr>
              <w:textAlignment w:val="bottom"/>
              <w:rPr>
                <w:rFonts w:ascii="Times New Roman" w:hAnsi="Times New Roman"/>
                <w:sz w:val="15"/>
                <w:szCs w:val="15"/>
              </w:rPr>
            </w:pPr>
            <w:r>
              <w:rPr>
                <w:rFonts w:ascii="Arial" w:eastAsia="宋体" w:hAnsi="Arial" w:cs="Arial"/>
                <w:sz w:val="15"/>
                <w:szCs w:val="15"/>
              </w:rPr>
              <w:t>Market</w:t>
            </w:r>
            <w:r>
              <w:rPr>
                <w:rFonts w:ascii="Arial" w:eastAsia="宋体" w:hAnsi="Arial" w:cs="Arial"/>
                <w:sz w:val="15"/>
                <w:szCs w:val="15"/>
              </w:rPr>
              <w:t xml:space="preserve"> appreciation</w:t>
            </w:r>
          </w:p>
        </w:tc>
        <w:tc>
          <w:tcPr>
            <w:tcW w:w="0" w:type="auto"/>
            <w:gridSpan w:val="2"/>
            <w:shd w:val="clear" w:color="auto" w:fill="auto"/>
            <w:tcMar>
              <w:top w:w="40" w:type="dxa"/>
              <w:left w:w="40" w:type="dxa"/>
              <w:bottom w:w="40" w:type="dxa"/>
            </w:tcMar>
            <w:vAlign w:val="bottom"/>
          </w:tcPr>
          <w:p w14:paraId="5556863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293</w:t>
            </w:r>
          </w:p>
        </w:tc>
        <w:tc>
          <w:tcPr>
            <w:tcW w:w="0" w:type="auto"/>
            <w:shd w:val="clear" w:color="auto" w:fill="auto"/>
            <w:vAlign w:val="bottom"/>
          </w:tcPr>
          <w:p w14:paraId="555686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3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w:t>
            </w:r>
          </w:p>
        </w:tc>
        <w:tc>
          <w:tcPr>
            <w:tcW w:w="0" w:type="auto"/>
            <w:shd w:val="clear" w:color="auto" w:fill="auto"/>
            <w:vAlign w:val="bottom"/>
          </w:tcPr>
          <w:p w14:paraId="5556863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3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vAlign w:val="bottom"/>
          </w:tcPr>
          <w:p w14:paraId="5556863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3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w:t>
            </w:r>
          </w:p>
        </w:tc>
        <w:tc>
          <w:tcPr>
            <w:tcW w:w="0" w:type="auto"/>
            <w:shd w:val="clear" w:color="auto" w:fill="auto"/>
            <w:vAlign w:val="bottom"/>
          </w:tcPr>
          <w:p w14:paraId="5556863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3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auto"/>
            <w:vAlign w:val="bottom"/>
          </w:tcPr>
          <w:p w14:paraId="5556863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3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325</w:t>
            </w:r>
          </w:p>
        </w:tc>
        <w:tc>
          <w:tcPr>
            <w:tcW w:w="0" w:type="auto"/>
            <w:shd w:val="clear" w:color="auto" w:fill="auto"/>
            <w:vAlign w:val="bottom"/>
          </w:tcPr>
          <w:p w14:paraId="55568640" w14:textId="77777777" w:rsidR="00F925DD" w:rsidRDefault="00F925DD">
            <w:pPr>
              <w:textAlignment w:val="bottom"/>
              <w:rPr>
                <w:rFonts w:ascii="Times New Roman" w:hAnsi="Times New Roman"/>
                <w:sz w:val="20"/>
                <w:szCs w:val="20"/>
              </w:rPr>
            </w:pPr>
          </w:p>
        </w:tc>
      </w:tr>
      <w:tr w:rsidR="00F925DD" w14:paraId="55568654" w14:textId="77777777">
        <w:tc>
          <w:tcPr>
            <w:tcW w:w="0" w:type="auto"/>
            <w:shd w:val="clear" w:color="auto" w:fill="CCEEFF"/>
            <w:tcMar>
              <w:top w:w="40" w:type="dxa"/>
              <w:left w:w="240" w:type="dxa"/>
              <w:bottom w:w="40" w:type="dxa"/>
              <w:right w:w="40" w:type="dxa"/>
            </w:tcMar>
            <w:vAlign w:val="bottom"/>
          </w:tcPr>
          <w:p w14:paraId="55568642"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impact</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4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tcBorders>
              <w:bottom w:val="single" w:sz="8" w:space="0" w:color="000000"/>
            </w:tcBorders>
            <w:shd w:val="clear" w:color="auto" w:fill="CCEEFF"/>
            <w:vAlign w:val="bottom"/>
          </w:tcPr>
          <w:p w14:paraId="555686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4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tcBorders>
              <w:bottom w:val="single" w:sz="8" w:space="0" w:color="000000"/>
            </w:tcBorders>
            <w:shd w:val="clear" w:color="auto" w:fill="CCEEFF"/>
            <w:vAlign w:val="bottom"/>
          </w:tcPr>
          <w:p w14:paraId="5556864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4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w:t>
            </w:r>
          </w:p>
        </w:tc>
        <w:tc>
          <w:tcPr>
            <w:tcW w:w="0" w:type="auto"/>
            <w:tcBorders>
              <w:bottom w:val="single" w:sz="8" w:space="0" w:color="000000"/>
            </w:tcBorders>
            <w:shd w:val="clear" w:color="auto" w:fill="CCEEFF"/>
            <w:vAlign w:val="bottom"/>
          </w:tcPr>
          <w:p w14:paraId="5556864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4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tcBorders>
              <w:bottom w:val="single" w:sz="8" w:space="0" w:color="000000"/>
            </w:tcBorders>
            <w:shd w:val="clear" w:color="auto" w:fill="CCEEFF"/>
            <w:vAlign w:val="bottom"/>
          </w:tcPr>
          <w:p w14:paraId="5556864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4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tcBorders>
              <w:bottom w:val="single" w:sz="8" w:space="0" w:color="000000"/>
            </w:tcBorders>
            <w:shd w:val="clear" w:color="auto" w:fill="CCEEFF"/>
            <w:vAlign w:val="bottom"/>
          </w:tcPr>
          <w:p w14:paraId="5556865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5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w:t>
            </w:r>
          </w:p>
        </w:tc>
        <w:tc>
          <w:tcPr>
            <w:tcW w:w="0" w:type="auto"/>
            <w:tcBorders>
              <w:bottom w:val="single" w:sz="8" w:space="0" w:color="000000"/>
            </w:tcBorders>
            <w:shd w:val="clear" w:color="auto" w:fill="CCEEFF"/>
            <w:vAlign w:val="bottom"/>
          </w:tcPr>
          <w:p w14:paraId="55568653" w14:textId="77777777" w:rsidR="00F925DD" w:rsidRDefault="00F925DD">
            <w:pPr>
              <w:textAlignment w:val="bottom"/>
              <w:rPr>
                <w:rFonts w:ascii="Times New Roman" w:hAnsi="Times New Roman"/>
                <w:sz w:val="20"/>
                <w:szCs w:val="20"/>
              </w:rPr>
            </w:pPr>
          </w:p>
        </w:tc>
      </w:tr>
      <w:tr w:rsidR="00F925DD" w14:paraId="55568667" w14:textId="77777777">
        <w:tc>
          <w:tcPr>
            <w:tcW w:w="0" w:type="auto"/>
            <w:shd w:val="clear" w:color="auto" w:fill="auto"/>
            <w:tcMar>
              <w:top w:w="40" w:type="dxa"/>
              <w:left w:w="40" w:type="dxa"/>
              <w:bottom w:w="40" w:type="dxa"/>
              <w:right w:w="40" w:type="dxa"/>
            </w:tcMar>
            <w:vAlign w:val="bottom"/>
          </w:tcPr>
          <w:p w14:paraId="55568655"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market/foreign exchange impact</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65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319</w:t>
            </w:r>
          </w:p>
        </w:tc>
        <w:tc>
          <w:tcPr>
            <w:tcW w:w="0" w:type="auto"/>
            <w:tcBorders>
              <w:top w:val="single" w:sz="8" w:space="0" w:color="000000"/>
              <w:bottom w:val="single" w:sz="8" w:space="0" w:color="000000"/>
            </w:tcBorders>
            <w:shd w:val="clear" w:color="auto" w:fill="auto"/>
            <w:vAlign w:val="bottom"/>
          </w:tcPr>
          <w:p w14:paraId="5556865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65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w:t>
            </w:r>
          </w:p>
        </w:tc>
        <w:tc>
          <w:tcPr>
            <w:tcW w:w="0" w:type="auto"/>
            <w:tcBorders>
              <w:top w:val="single" w:sz="8" w:space="0" w:color="000000"/>
              <w:bottom w:val="single" w:sz="8" w:space="0" w:color="000000"/>
            </w:tcBorders>
            <w:shd w:val="clear" w:color="auto" w:fill="auto"/>
            <w:vAlign w:val="bottom"/>
          </w:tcPr>
          <w:p w14:paraId="5556865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65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tcBorders>
              <w:top w:val="single" w:sz="8" w:space="0" w:color="000000"/>
              <w:bottom w:val="single" w:sz="8" w:space="0" w:color="000000"/>
            </w:tcBorders>
            <w:shd w:val="clear" w:color="auto" w:fill="auto"/>
            <w:vAlign w:val="bottom"/>
          </w:tcPr>
          <w:p w14:paraId="5556865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65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w:t>
            </w:r>
          </w:p>
        </w:tc>
        <w:tc>
          <w:tcPr>
            <w:tcW w:w="0" w:type="auto"/>
            <w:tcBorders>
              <w:top w:val="single" w:sz="8" w:space="0" w:color="000000"/>
              <w:bottom w:val="single" w:sz="8" w:space="0" w:color="000000"/>
            </w:tcBorders>
            <w:shd w:val="clear" w:color="auto" w:fill="auto"/>
            <w:vAlign w:val="bottom"/>
          </w:tcPr>
          <w:p w14:paraId="555686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66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tcBorders>
              <w:top w:val="single" w:sz="8" w:space="0" w:color="000000"/>
              <w:bottom w:val="single" w:sz="8" w:space="0" w:color="000000"/>
            </w:tcBorders>
            <w:shd w:val="clear" w:color="auto" w:fill="auto"/>
            <w:vAlign w:val="bottom"/>
          </w:tcPr>
          <w:p w14:paraId="555686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66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374</w:t>
            </w:r>
          </w:p>
        </w:tc>
        <w:tc>
          <w:tcPr>
            <w:tcW w:w="0" w:type="auto"/>
            <w:tcBorders>
              <w:top w:val="single" w:sz="8" w:space="0" w:color="000000"/>
              <w:bottom w:val="single" w:sz="8" w:space="0" w:color="000000"/>
            </w:tcBorders>
            <w:shd w:val="clear" w:color="auto" w:fill="auto"/>
            <w:vAlign w:val="bottom"/>
          </w:tcPr>
          <w:p w14:paraId="55568666" w14:textId="77777777" w:rsidR="00F925DD" w:rsidRDefault="00F925DD">
            <w:pPr>
              <w:textAlignment w:val="bottom"/>
              <w:rPr>
                <w:rFonts w:ascii="Times New Roman" w:hAnsi="Times New Roman"/>
                <w:sz w:val="20"/>
                <w:szCs w:val="20"/>
              </w:rPr>
            </w:pPr>
          </w:p>
        </w:tc>
      </w:tr>
      <w:tr w:rsidR="00F925DD" w14:paraId="55568680" w14:textId="77777777">
        <w:tc>
          <w:tcPr>
            <w:tcW w:w="0" w:type="auto"/>
            <w:shd w:val="clear" w:color="auto" w:fill="CCEEFF"/>
            <w:tcMar>
              <w:top w:w="40" w:type="dxa"/>
              <w:left w:w="40" w:type="dxa"/>
              <w:bottom w:w="40" w:type="dxa"/>
              <w:right w:w="40" w:type="dxa"/>
            </w:tcMar>
            <w:vAlign w:val="bottom"/>
          </w:tcPr>
          <w:p w14:paraId="5556866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Balance as of December 31, 2017</w:t>
            </w:r>
          </w:p>
        </w:tc>
        <w:tc>
          <w:tcPr>
            <w:tcW w:w="0" w:type="auto"/>
            <w:tcBorders>
              <w:top w:val="single" w:sz="8" w:space="0" w:color="000000"/>
            </w:tcBorders>
            <w:shd w:val="clear" w:color="auto" w:fill="CCEEFF"/>
            <w:tcMar>
              <w:top w:w="40" w:type="dxa"/>
              <w:left w:w="40" w:type="dxa"/>
              <w:bottom w:w="40" w:type="dxa"/>
            </w:tcMar>
            <w:vAlign w:val="bottom"/>
          </w:tcPr>
          <w:p w14:paraId="5556866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66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1,745</w:t>
            </w:r>
          </w:p>
        </w:tc>
        <w:tc>
          <w:tcPr>
            <w:tcW w:w="0" w:type="auto"/>
            <w:tcBorders>
              <w:top w:val="single" w:sz="8" w:space="0" w:color="000000"/>
            </w:tcBorders>
            <w:shd w:val="clear" w:color="auto" w:fill="CCEEFF"/>
            <w:vAlign w:val="bottom"/>
          </w:tcPr>
          <w:p w14:paraId="5556866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66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66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414</w:t>
            </w:r>
          </w:p>
        </w:tc>
        <w:tc>
          <w:tcPr>
            <w:tcW w:w="0" w:type="auto"/>
            <w:tcBorders>
              <w:top w:val="single" w:sz="8" w:space="0" w:color="000000"/>
            </w:tcBorders>
            <w:shd w:val="clear" w:color="auto" w:fill="CCEEFF"/>
            <w:vAlign w:val="bottom"/>
          </w:tcPr>
          <w:p w14:paraId="5556866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67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67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330</w:t>
            </w:r>
          </w:p>
        </w:tc>
        <w:tc>
          <w:tcPr>
            <w:tcW w:w="0" w:type="auto"/>
            <w:tcBorders>
              <w:top w:val="single" w:sz="8" w:space="0" w:color="000000"/>
            </w:tcBorders>
            <w:shd w:val="clear" w:color="auto" w:fill="CCEEFF"/>
            <w:vAlign w:val="bottom"/>
          </w:tcPr>
          <w:p w14:paraId="555686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67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67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147</w:t>
            </w:r>
          </w:p>
        </w:tc>
        <w:tc>
          <w:tcPr>
            <w:tcW w:w="0" w:type="auto"/>
            <w:tcBorders>
              <w:top w:val="single" w:sz="8" w:space="0" w:color="000000"/>
            </w:tcBorders>
            <w:shd w:val="clear" w:color="auto" w:fill="CCEEFF"/>
            <w:vAlign w:val="bottom"/>
          </w:tcPr>
          <w:p w14:paraId="555686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67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67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146</w:t>
            </w:r>
          </w:p>
        </w:tc>
        <w:tc>
          <w:tcPr>
            <w:tcW w:w="0" w:type="auto"/>
            <w:tcBorders>
              <w:top w:val="single" w:sz="8" w:space="0" w:color="000000"/>
            </w:tcBorders>
            <w:shd w:val="clear" w:color="auto" w:fill="CCEEFF"/>
            <w:vAlign w:val="bottom"/>
          </w:tcPr>
          <w:p w14:paraId="555686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67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67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2,782</w:t>
            </w:r>
          </w:p>
        </w:tc>
        <w:tc>
          <w:tcPr>
            <w:tcW w:w="0" w:type="auto"/>
            <w:tcBorders>
              <w:top w:val="single" w:sz="8" w:space="0" w:color="000000"/>
            </w:tcBorders>
            <w:shd w:val="clear" w:color="auto" w:fill="CCEEFF"/>
            <w:vAlign w:val="bottom"/>
          </w:tcPr>
          <w:p w14:paraId="5556867F" w14:textId="77777777" w:rsidR="00F925DD" w:rsidRDefault="00F925DD">
            <w:pPr>
              <w:textAlignment w:val="bottom"/>
              <w:rPr>
                <w:rFonts w:ascii="Times New Roman" w:hAnsi="Times New Roman"/>
                <w:sz w:val="20"/>
                <w:szCs w:val="20"/>
              </w:rPr>
            </w:pPr>
          </w:p>
        </w:tc>
      </w:tr>
      <w:tr w:rsidR="00F925DD" w14:paraId="55568693" w14:textId="77777777">
        <w:tc>
          <w:tcPr>
            <w:tcW w:w="0" w:type="auto"/>
            <w:shd w:val="clear" w:color="auto" w:fill="auto"/>
            <w:tcMar>
              <w:top w:w="40" w:type="dxa"/>
              <w:left w:w="40" w:type="dxa"/>
              <w:bottom w:w="40" w:type="dxa"/>
              <w:right w:w="40" w:type="dxa"/>
            </w:tcMar>
            <w:vAlign w:val="bottom"/>
          </w:tcPr>
          <w:p w14:paraId="55568681" w14:textId="77777777" w:rsidR="00F925DD" w:rsidRDefault="00E705D7">
            <w:pPr>
              <w:textAlignment w:val="bottom"/>
              <w:rPr>
                <w:rFonts w:ascii="Times New Roman" w:hAnsi="Times New Roman"/>
                <w:sz w:val="15"/>
                <w:szCs w:val="15"/>
              </w:rPr>
            </w:pPr>
            <w:r>
              <w:rPr>
                <w:rFonts w:ascii="Arial" w:eastAsia="宋体" w:hAnsi="Arial" w:cs="Arial"/>
                <w:sz w:val="15"/>
                <w:szCs w:val="15"/>
              </w:rPr>
              <w:t>Long-term institutional flows, net(3)</w:t>
            </w:r>
          </w:p>
        </w:tc>
        <w:tc>
          <w:tcPr>
            <w:tcW w:w="0" w:type="auto"/>
            <w:gridSpan w:val="2"/>
            <w:shd w:val="clear" w:color="auto" w:fill="auto"/>
            <w:tcMar>
              <w:top w:w="40" w:type="dxa"/>
              <w:left w:w="40" w:type="dxa"/>
              <w:bottom w:w="40" w:type="dxa"/>
            </w:tcMar>
            <w:vAlign w:val="bottom"/>
          </w:tcPr>
          <w:p w14:paraId="5556868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w:t>
            </w:r>
          </w:p>
        </w:tc>
        <w:tc>
          <w:tcPr>
            <w:tcW w:w="0" w:type="auto"/>
            <w:shd w:val="clear" w:color="auto" w:fill="auto"/>
            <w:tcMar>
              <w:top w:w="40" w:type="dxa"/>
              <w:bottom w:w="40" w:type="dxa"/>
              <w:right w:w="40" w:type="dxa"/>
            </w:tcMar>
            <w:vAlign w:val="bottom"/>
          </w:tcPr>
          <w:p w14:paraId="5556868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84"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868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w:t>
            </w:r>
          </w:p>
        </w:tc>
        <w:tc>
          <w:tcPr>
            <w:tcW w:w="0" w:type="auto"/>
            <w:shd w:val="clear" w:color="auto" w:fill="auto"/>
            <w:vAlign w:val="bottom"/>
          </w:tcPr>
          <w:p w14:paraId="555686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87"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868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86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8A"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868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auto"/>
            <w:tcMar>
              <w:top w:w="40" w:type="dxa"/>
              <w:bottom w:w="40" w:type="dxa"/>
              <w:right w:w="40" w:type="dxa"/>
            </w:tcMar>
            <w:vAlign w:val="bottom"/>
          </w:tcPr>
          <w:p w14:paraId="5556868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8D"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868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tcMar>
              <w:top w:w="40" w:type="dxa"/>
              <w:bottom w:w="40" w:type="dxa"/>
              <w:right w:w="40" w:type="dxa"/>
            </w:tcMar>
            <w:vAlign w:val="bottom"/>
          </w:tcPr>
          <w:p w14:paraId="5556868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9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(38</w:t>
            </w:r>
          </w:p>
        </w:tc>
        <w:tc>
          <w:tcPr>
            <w:tcW w:w="0" w:type="auto"/>
            <w:shd w:val="clear" w:color="auto" w:fill="auto"/>
            <w:tcMar>
              <w:top w:w="40" w:type="dxa"/>
              <w:bottom w:w="40" w:type="dxa"/>
              <w:right w:w="40" w:type="dxa"/>
            </w:tcMar>
            <w:vAlign w:val="bottom"/>
          </w:tcPr>
          <w:p w14:paraId="5556869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6A6" w14:textId="77777777">
        <w:tc>
          <w:tcPr>
            <w:tcW w:w="0" w:type="auto"/>
            <w:shd w:val="clear" w:color="auto" w:fill="CCEEFF"/>
            <w:tcMar>
              <w:top w:w="40" w:type="dxa"/>
              <w:left w:w="40" w:type="dxa"/>
              <w:bottom w:w="40" w:type="dxa"/>
              <w:right w:w="40" w:type="dxa"/>
            </w:tcMar>
            <w:vAlign w:val="bottom"/>
          </w:tcPr>
          <w:p w14:paraId="55568694" w14:textId="77777777" w:rsidR="00F925DD" w:rsidRDefault="00E705D7">
            <w:pPr>
              <w:textAlignment w:val="bottom"/>
              <w:rPr>
                <w:rFonts w:ascii="Times New Roman" w:hAnsi="Times New Roman"/>
                <w:sz w:val="15"/>
                <w:szCs w:val="15"/>
              </w:rPr>
            </w:pPr>
            <w:r>
              <w:rPr>
                <w:rFonts w:ascii="Arial" w:eastAsia="宋体" w:hAnsi="Arial" w:cs="Arial"/>
                <w:sz w:val="15"/>
                <w:szCs w:val="15"/>
              </w:rPr>
              <w:t>Exchang</w:t>
            </w:r>
            <w:r>
              <w:rPr>
                <w:rFonts w:ascii="Arial" w:eastAsia="宋体" w:hAnsi="Arial" w:cs="Arial"/>
                <w:sz w:val="15"/>
                <w:szCs w:val="15"/>
              </w:rPr>
              <w:t>e-traded fund flows, net</w:t>
            </w:r>
          </w:p>
        </w:tc>
        <w:tc>
          <w:tcPr>
            <w:tcW w:w="0" w:type="auto"/>
            <w:gridSpan w:val="2"/>
            <w:shd w:val="clear" w:color="auto" w:fill="CCEEFF"/>
            <w:tcMar>
              <w:top w:w="40" w:type="dxa"/>
              <w:left w:w="40" w:type="dxa"/>
              <w:bottom w:w="40" w:type="dxa"/>
            </w:tcMar>
            <w:vAlign w:val="bottom"/>
          </w:tcPr>
          <w:p w14:paraId="5556869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CCEEFF"/>
            <w:tcMar>
              <w:top w:w="40" w:type="dxa"/>
              <w:bottom w:w="40" w:type="dxa"/>
              <w:right w:w="40" w:type="dxa"/>
            </w:tcMar>
            <w:vAlign w:val="bottom"/>
          </w:tcPr>
          <w:p w14:paraId="5556869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9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w:t>
            </w:r>
          </w:p>
        </w:tc>
        <w:tc>
          <w:tcPr>
            <w:tcW w:w="0" w:type="auto"/>
            <w:shd w:val="clear" w:color="auto" w:fill="CCEEFF"/>
            <w:vAlign w:val="bottom"/>
          </w:tcPr>
          <w:p w14:paraId="555686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9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CCEEFF"/>
            <w:vAlign w:val="bottom"/>
          </w:tcPr>
          <w:p w14:paraId="555686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9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86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A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tcMar>
              <w:top w:w="40" w:type="dxa"/>
              <w:bottom w:w="40" w:type="dxa"/>
              <w:right w:w="40" w:type="dxa"/>
            </w:tcMar>
            <w:vAlign w:val="bottom"/>
          </w:tcPr>
          <w:p w14:paraId="555686A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A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w:t>
            </w:r>
          </w:p>
        </w:tc>
        <w:tc>
          <w:tcPr>
            <w:tcW w:w="0" w:type="auto"/>
            <w:shd w:val="clear" w:color="auto" w:fill="CCEEFF"/>
            <w:vAlign w:val="bottom"/>
          </w:tcPr>
          <w:p w14:paraId="555686A5" w14:textId="77777777" w:rsidR="00F925DD" w:rsidRDefault="00F925DD">
            <w:pPr>
              <w:textAlignment w:val="bottom"/>
              <w:rPr>
                <w:rFonts w:ascii="Times New Roman" w:hAnsi="Times New Roman"/>
                <w:sz w:val="20"/>
                <w:szCs w:val="20"/>
              </w:rPr>
            </w:pPr>
          </w:p>
        </w:tc>
      </w:tr>
      <w:tr w:rsidR="00F925DD" w14:paraId="555686B9" w14:textId="77777777">
        <w:tc>
          <w:tcPr>
            <w:tcW w:w="0" w:type="auto"/>
            <w:shd w:val="clear" w:color="auto" w:fill="auto"/>
            <w:tcMar>
              <w:top w:w="40" w:type="dxa"/>
              <w:left w:w="40" w:type="dxa"/>
              <w:bottom w:w="40" w:type="dxa"/>
              <w:right w:w="40" w:type="dxa"/>
            </w:tcMar>
            <w:vAlign w:val="bottom"/>
          </w:tcPr>
          <w:p w14:paraId="555686A7" w14:textId="77777777" w:rsidR="00F925DD" w:rsidRDefault="00E705D7">
            <w:pPr>
              <w:textAlignment w:val="bottom"/>
              <w:rPr>
                <w:rFonts w:ascii="Times New Roman" w:hAnsi="Times New Roman"/>
                <w:sz w:val="15"/>
                <w:szCs w:val="15"/>
              </w:rPr>
            </w:pPr>
            <w:r>
              <w:rPr>
                <w:rFonts w:ascii="Arial" w:eastAsia="宋体" w:hAnsi="Arial" w:cs="Arial"/>
                <w:sz w:val="15"/>
                <w:szCs w:val="15"/>
              </w:rPr>
              <w:t>Cash fund flows, net</w:t>
            </w:r>
          </w:p>
        </w:tc>
        <w:tc>
          <w:tcPr>
            <w:tcW w:w="0" w:type="auto"/>
            <w:gridSpan w:val="2"/>
            <w:tcBorders>
              <w:bottom w:val="single" w:sz="8" w:space="0" w:color="000000"/>
            </w:tcBorders>
            <w:shd w:val="clear" w:color="auto" w:fill="auto"/>
            <w:tcMar>
              <w:top w:w="40" w:type="dxa"/>
              <w:left w:w="40" w:type="dxa"/>
              <w:bottom w:w="40" w:type="dxa"/>
            </w:tcMar>
            <w:vAlign w:val="bottom"/>
          </w:tcPr>
          <w:p w14:paraId="555686A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86A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6A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86A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6A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w:t>
            </w:r>
          </w:p>
        </w:tc>
        <w:tc>
          <w:tcPr>
            <w:tcW w:w="0" w:type="auto"/>
            <w:tcBorders>
              <w:bottom w:val="single" w:sz="8" w:space="0" w:color="000000"/>
            </w:tcBorders>
            <w:shd w:val="clear" w:color="auto" w:fill="auto"/>
            <w:tcMar>
              <w:top w:w="40" w:type="dxa"/>
              <w:bottom w:w="40" w:type="dxa"/>
              <w:right w:w="40" w:type="dxa"/>
            </w:tcMar>
            <w:vAlign w:val="bottom"/>
          </w:tcPr>
          <w:p w14:paraId="555686A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6B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86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6B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86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6B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w:t>
            </w:r>
          </w:p>
        </w:tc>
        <w:tc>
          <w:tcPr>
            <w:tcW w:w="0" w:type="auto"/>
            <w:tcBorders>
              <w:bottom w:val="single" w:sz="8" w:space="0" w:color="000000"/>
            </w:tcBorders>
            <w:shd w:val="clear" w:color="auto" w:fill="auto"/>
            <w:tcMar>
              <w:top w:w="40" w:type="dxa"/>
              <w:bottom w:w="40" w:type="dxa"/>
              <w:right w:w="40" w:type="dxa"/>
            </w:tcMar>
            <w:vAlign w:val="bottom"/>
          </w:tcPr>
          <w:p w14:paraId="555686B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6CC" w14:textId="77777777">
        <w:tc>
          <w:tcPr>
            <w:tcW w:w="0" w:type="auto"/>
            <w:shd w:val="clear" w:color="auto" w:fill="CCEEFF"/>
            <w:tcMar>
              <w:top w:w="40" w:type="dxa"/>
              <w:left w:w="40" w:type="dxa"/>
              <w:bottom w:w="40" w:type="dxa"/>
              <w:right w:w="40" w:type="dxa"/>
            </w:tcMar>
            <w:vAlign w:val="bottom"/>
          </w:tcPr>
          <w:p w14:paraId="555686BA"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flows, net</w:t>
            </w:r>
          </w:p>
        </w:tc>
        <w:tc>
          <w:tcPr>
            <w:tcW w:w="0" w:type="auto"/>
            <w:gridSpan w:val="2"/>
            <w:shd w:val="clear" w:color="auto" w:fill="CCEEFF"/>
            <w:tcMar>
              <w:top w:w="40" w:type="dxa"/>
              <w:left w:w="40" w:type="dxa"/>
              <w:bottom w:w="40" w:type="dxa"/>
            </w:tcMar>
            <w:vAlign w:val="bottom"/>
          </w:tcPr>
          <w:p w14:paraId="555686B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(48</w:t>
            </w:r>
          </w:p>
        </w:tc>
        <w:tc>
          <w:tcPr>
            <w:tcW w:w="0" w:type="auto"/>
            <w:shd w:val="clear" w:color="auto" w:fill="CCEEFF"/>
            <w:tcMar>
              <w:top w:w="40" w:type="dxa"/>
              <w:bottom w:w="40" w:type="dxa"/>
              <w:right w:w="40" w:type="dxa"/>
            </w:tcMar>
            <w:vAlign w:val="bottom"/>
          </w:tcPr>
          <w:p w14:paraId="555686B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B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w:t>
            </w:r>
          </w:p>
        </w:tc>
        <w:tc>
          <w:tcPr>
            <w:tcW w:w="0" w:type="auto"/>
            <w:shd w:val="clear" w:color="auto" w:fill="CCEEFF"/>
            <w:vAlign w:val="bottom"/>
          </w:tcPr>
          <w:p w14:paraId="555686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6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C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(44</w:t>
            </w:r>
          </w:p>
        </w:tc>
        <w:tc>
          <w:tcPr>
            <w:tcW w:w="0" w:type="auto"/>
            <w:shd w:val="clear" w:color="auto" w:fill="CCEEFF"/>
            <w:tcMar>
              <w:top w:w="40" w:type="dxa"/>
              <w:bottom w:w="40" w:type="dxa"/>
              <w:right w:w="40" w:type="dxa"/>
            </w:tcMar>
            <w:vAlign w:val="bottom"/>
          </w:tcPr>
          <w:p w14:paraId="555686C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C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CCEEFF"/>
            <w:tcMar>
              <w:top w:w="40" w:type="dxa"/>
              <w:bottom w:w="40" w:type="dxa"/>
              <w:right w:w="40" w:type="dxa"/>
            </w:tcMar>
            <w:vAlign w:val="bottom"/>
          </w:tcPr>
          <w:p w14:paraId="555686C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C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CCEEFF"/>
            <w:tcMar>
              <w:top w:w="40" w:type="dxa"/>
              <w:bottom w:w="40" w:type="dxa"/>
              <w:right w:w="40" w:type="dxa"/>
            </w:tcMar>
            <w:vAlign w:val="bottom"/>
          </w:tcPr>
          <w:p w14:paraId="555686C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6C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(80</w:t>
            </w:r>
          </w:p>
        </w:tc>
        <w:tc>
          <w:tcPr>
            <w:tcW w:w="0" w:type="auto"/>
            <w:shd w:val="clear" w:color="auto" w:fill="CCEEFF"/>
            <w:tcMar>
              <w:top w:w="40" w:type="dxa"/>
              <w:bottom w:w="40" w:type="dxa"/>
              <w:right w:w="40" w:type="dxa"/>
            </w:tcMar>
            <w:vAlign w:val="bottom"/>
          </w:tcPr>
          <w:p w14:paraId="555686C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6DF" w14:textId="77777777">
        <w:tc>
          <w:tcPr>
            <w:tcW w:w="0" w:type="auto"/>
            <w:shd w:val="clear" w:color="auto" w:fill="auto"/>
            <w:tcMar>
              <w:top w:w="40" w:type="dxa"/>
              <w:left w:w="240" w:type="dxa"/>
              <w:bottom w:w="40" w:type="dxa"/>
              <w:right w:w="40" w:type="dxa"/>
            </w:tcMar>
            <w:vAlign w:val="bottom"/>
          </w:tcPr>
          <w:p w14:paraId="555686CD" w14:textId="77777777" w:rsidR="00F925DD" w:rsidRDefault="00E705D7">
            <w:pPr>
              <w:textAlignment w:val="bottom"/>
              <w:rPr>
                <w:rFonts w:ascii="Times New Roman" w:hAnsi="Times New Roman"/>
                <w:sz w:val="15"/>
                <w:szCs w:val="15"/>
              </w:rPr>
            </w:pPr>
            <w:r>
              <w:rPr>
                <w:rFonts w:ascii="Arial" w:eastAsia="宋体" w:hAnsi="Arial" w:cs="Arial"/>
                <w:sz w:val="15"/>
                <w:szCs w:val="15"/>
              </w:rPr>
              <w:t>Ma</w:t>
            </w:r>
            <w:r>
              <w:rPr>
                <w:rFonts w:ascii="Arial" w:eastAsia="宋体" w:hAnsi="Arial" w:cs="Arial"/>
                <w:sz w:val="15"/>
                <w:szCs w:val="15"/>
              </w:rPr>
              <w:t>rket appreciation (depreciation)</w:t>
            </w:r>
          </w:p>
        </w:tc>
        <w:tc>
          <w:tcPr>
            <w:tcW w:w="0" w:type="auto"/>
            <w:gridSpan w:val="2"/>
            <w:shd w:val="clear" w:color="auto" w:fill="auto"/>
            <w:tcMar>
              <w:top w:w="40" w:type="dxa"/>
              <w:left w:w="40" w:type="dxa"/>
              <w:bottom w:w="40" w:type="dxa"/>
            </w:tcMar>
            <w:vAlign w:val="bottom"/>
          </w:tcPr>
          <w:p w14:paraId="555686C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(142</w:t>
            </w:r>
          </w:p>
        </w:tc>
        <w:tc>
          <w:tcPr>
            <w:tcW w:w="0" w:type="auto"/>
            <w:shd w:val="clear" w:color="auto" w:fill="auto"/>
            <w:tcMar>
              <w:top w:w="40" w:type="dxa"/>
              <w:bottom w:w="40" w:type="dxa"/>
              <w:right w:w="40" w:type="dxa"/>
            </w:tcMar>
            <w:vAlign w:val="bottom"/>
          </w:tcPr>
          <w:p w14:paraId="555686C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D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w:t>
            </w:r>
          </w:p>
        </w:tc>
        <w:tc>
          <w:tcPr>
            <w:tcW w:w="0" w:type="auto"/>
            <w:shd w:val="clear" w:color="auto" w:fill="auto"/>
            <w:tcMar>
              <w:top w:w="40" w:type="dxa"/>
              <w:bottom w:w="40" w:type="dxa"/>
              <w:right w:w="40" w:type="dxa"/>
            </w:tcMar>
            <w:vAlign w:val="bottom"/>
          </w:tcPr>
          <w:p w14:paraId="555686D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D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auto"/>
            <w:vAlign w:val="bottom"/>
          </w:tcPr>
          <w:p w14:paraId="555686D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D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auto"/>
            <w:tcMar>
              <w:top w:w="40" w:type="dxa"/>
              <w:bottom w:w="40" w:type="dxa"/>
              <w:right w:w="40" w:type="dxa"/>
            </w:tcMar>
            <w:vAlign w:val="bottom"/>
          </w:tcPr>
          <w:p w14:paraId="555686D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D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auto"/>
            <w:tcMar>
              <w:top w:w="40" w:type="dxa"/>
              <w:bottom w:w="40" w:type="dxa"/>
              <w:right w:w="40" w:type="dxa"/>
            </w:tcMar>
            <w:vAlign w:val="bottom"/>
          </w:tcPr>
          <w:p w14:paraId="555686D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D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(166</w:t>
            </w:r>
          </w:p>
        </w:tc>
        <w:tc>
          <w:tcPr>
            <w:tcW w:w="0" w:type="auto"/>
            <w:shd w:val="clear" w:color="auto" w:fill="auto"/>
            <w:tcMar>
              <w:top w:w="40" w:type="dxa"/>
              <w:bottom w:w="40" w:type="dxa"/>
              <w:right w:w="40" w:type="dxa"/>
            </w:tcMar>
            <w:vAlign w:val="bottom"/>
          </w:tcPr>
          <w:p w14:paraId="555686D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6F2" w14:textId="77777777">
        <w:tc>
          <w:tcPr>
            <w:tcW w:w="0" w:type="auto"/>
            <w:shd w:val="clear" w:color="auto" w:fill="CCEEFF"/>
            <w:tcMar>
              <w:top w:w="40" w:type="dxa"/>
              <w:left w:w="240" w:type="dxa"/>
              <w:bottom w:w="40" w:type="dxa"/>
              <w:right w:w="40" w:type="dxa"/>
            </w:tcMar>
            <w:vAlign w:val="bottom"/>
          </w:tcPr>
          <w:p w14:paraId="555686E0"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impact</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E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w:t>
            </w:r>
          </w:p>
        </w:tc>
        <w:tc>
          <w:tcPr>
            <w:tcW w:w="0" w:type="auto"/>
            <w:tcBorders>
              <w:bottom w:val="single" w:sz="8" w:space="0" w:color="000000"/>
            </w:tcBorders>
            <w:shd w:val="clear" w:color="auto" w:fill="CCEEFF"/>
            <w:tcMar>
              <w:top w:w="40" w:type="dxa"/>
              <w:bottom w:w="40" w:type="dxa"/>
              <w:right w:w="40" w:type="dxa"/>
            </w:tcMar>
            <w:vAlign w:val="bottom"/>
          </w:tcPr>
          <w:p w14:paraId="555686E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E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tcBorders>
              <w:bottom w:val="single" w:sz="8" w:space="0" w:color="000000"/>
            </w:tcBorders>
            <w:shd w:val="clear" w:color="auto" w:fill="CCEEFF"/>
            <w:tcMar>
              <w:top w:w="40" w:type="dxa"/>
              <w:bottom w:w="40" w:type="dxa"/>
              <w:right w:w="40" w:type="dxa"/>
            </w:tcMar>
            <w:vAlign w:val="bottom"/>
          </w:tcPr>
          <w:p w14:paraId="555686E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E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tcBorders>
              <w:bottom w:val="single" w:sz="8" w:space="0" w:color="000000"/>
            </w:tcBorders>
            <w:shd w:val="clear" w:color="auto" w:fill="CCEEFF"/>
            <w:tcMar>
              <w:top w:w="40" w:type="dxa"/>
              <w:bottom w:w="40" w:type="dxa"/>
              <w:right w:w="40" w:type="dxa"/>
            </w:tcMar>
            <w:vAlign w:val="bottom"/>
          </w:tcPr>
          <w:p w14:paraId="555686E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E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tcBorders>
              <w:bottom w:val="single" w:sz="8" w:space="0" w:color="000000"/>
            </w:tcBorders>
            <w:shd w:val="clear" w:color="auto" w:fill="CCEEFF"/>
            <w:tcMar>
              <w:top w:w="40" w:type="dxa"/>
              <w:bottom w:w="40" w:type="dxa"/>
              <w:right w:w="40" w:type="dxa"/>
            </w:tcMar>
            <w:vAlign w:val="bottom"/>
          </w:tcPr>
          <w:p w14:paraId="555686E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E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tcBorders>
              <w:bottom w:val="single" w:sz="8" w:space="0" w:color="000000"/>
            </w:tcBorders>
            <w:shd w:val="clear" w:color="auto" w:fill="CCEEFF"/>
            <w:tcMar>
              <w:top w:w="40" w:type="dxa"/>
              <w:bottom w:w="40" w:type="dxa"/>
              <w:right w:w="40" w:type="dxa"/>
            </w:tcMar>
            <w:vAlign w:val="bottom"/>
          </w:tcPr>
          <w:p w14:paraId="555686E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86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6F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w:t>
            </w:r>
          </w:p>
        </w:tc>
        <w:tc>
          <w:tcPr>
            <w:tcW w:w="0" w:type="auto"/>
            <w:tcBorders>
              <w:bottom w:val="single" w:sz="8" w:space="0" w:color="000000"/>
            </w:tcBorders>
            <w:shd w:val="clear" w:color="auto" w:fill="CCEEFF"/>
            <w:tcMar>
              <w:top w:w="40" w:type="dxa"/>
              <w:bottom w:w="40" w:type="dxa"/>
              <w:right w:w="40" w:type="dxa"/>
            </w:tcMar>
            <w:vAlign w:val="bottom"/>
          </w:tcPr>
          <w:p w14:paraId="555686F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705" w14:textId="77777777">
        <w:tc>
          <w:tcPr>
            <w:tcW w:w="0" w:type="auto"/>
            <w:shd w:val="clear" w:color="auto" w:fill="auto"/>
            <w:tcMar>
              <w:top w:w="40" w:type="dxa"/>
              <w:left w:w="40" w:type="dxa"/>
              <w:bottom w:w="40" w:type="dxa"/>
              <w:right w:w="40" w:type="dxa"/>
            </w:tcMar>
            <w:vAlign w:val="bottom"/>
          </w:tcPr>
          <w:p w14:paraId="555686F3"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market/foreign exchange impact</w:t>
            </w:r>
          </w:p>
        </w:tc>
        <w:tc>
          <w:tcPr>
            <w:tcW w:w="0" w:type="auto"/>
            <w:gridSpan w:val="2"/>
            <w:shd w:val="clear" w:color="auto" w:fill="auto"/>
            <w:tcMar>
              <w:top w:w="40" w:type="dxa"/>
              <w:left w:w="40" w:type="dxa"/>
              <w:bottom w:w="40" w:type="dxa"/>
            </w:tcMar>
            <w:vAlign w:val="bottom"/>
          </w:tcPr>
          <w:p w14:paraId="555686F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(153</w:t>
            </w:r>
          </w:p>
        </w:tc>
        <w:tc>
          <w:tcPr>
            <w:tcW w:w="0" w:type="auto"/>
            <w:shd w:val="clear" w:color="auto" w:fill="auto"/>
            <w:tcMar>
              <w:top w:w="40" w:type="dxa"/>
              <w:bottom w:w="40" w:type="dxa"/>
              <w:right w:w="40" w:type="dxa"/>
            </w:tcMar>
            <w:vAlign w:val="bottom"/>
          </w:tcPr>
          <w:p w14:paraId="555686F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F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w:t>
            </w:r>
          </w:p>
        </w:tc>
        <w:tc>
          <w:tcPr>
            <w:tcW w:w="0" w:type="auto"/>
            <w:shd w:val="clear" w:color="auto" w:fill="auto"/>
            <w:tcMar>
              <w:top w:w="40" w:type="dxa"/>
              <w:bottom w:w="40" w:type="dxa"/>
              <w:right w:w="40" w:type="dxa"/>
            </w:tcMar>
            <w:vAlign w:val="bottom"/>
          </w:tcPr>
          <w:p w14:paraId="555686F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F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555686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6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6F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w:t>
            </w:r>
          </w:p>
        </w:tc>
        <w:tc>
          <w:tcPr>
            <w:tcW w:w="0" w:type="auto"/>
            <w:shd w:val="clear" w:color="auto" w:fill="auto"/>
            <w:tcMar>
              <w:top w:w="40" w:type="dxa"/>
              <w:bottom w:w="40" w:type="dxa"/>
              <w:right w:w="40" w:type="dxa"/>
            </w:tcMar>
            <w:vAlign w:val="bottom"/>
          </w:tcPr>
          <w:p w14:paraId="555686F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6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0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w:t>
            </w:r>
          </w:p>
        </w:tc>
        <w:tc>
          <w:tcPr>
            <w:tcW w:w="0" w:type="auto"/>
            <w:shd w:val="clear" w:color="auto" w:fill="auto"/>
            <w:tcMar>
              <w:top w:w="40" w:type="dxa"/>
              <w:bottom w:w="40" w:type="dxa"/>
              <w:right w:w="40" w:type="dxa"/>
            </w:tcMar>
            <w:vAlign w:val="bottom"/>
          </w:tcPr>
          <w:p w14:paraId="5556870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87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0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(191</w:t>
            </w:r>
          </w:p>
        </w:tc>
        <w:tc>
          <w:tcPr>
            <w:tcW w:w="0" w:type="auto"/>
            <w:shd w:val="clear" w:color="auto" w:fill="auto"/>
            <w:tcMar>
              <w:top w:w="40" w:type="dxa"/>
              <w:bottom w:w="40" w:type="dxa"/>
              <w:right w:w="40" w:type="dxa"/>
            </w:tcMar>
            <w:vAlign w:val="bottom"/>
          </w:tcPr>
          <w:p w14:paraId="5556870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71E" w14:textId="77777777">
        <w:tc>
          <w:tcPr>
            <w:tcW w:w="0" w:type="auto"/>
            <w:shd w:val="clear" w:color="auto" w:fill="CCEEFF"/>
            <w:tcMar>
              <w:top w:w="40" w:type="dxa"/>
              <w:left w:w="40" w:type="dxa"/>
              <w:bottom w:w="40" w:type="dxa"/>
              <w:right w:w="40" w:type="dxa"/>
            </w:tcMar>
            <w:vAlign w:val="bottom"/>
          </w:tcPr>
          <w:p w14:paraId="5556870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Ba</w:t>
            </w:r>
            <w:r>
              <w:rPr>
                <w:rFonts w:ascii="Arial" w:eastAsia="宋体" w:hAnsi="Arial" w:cs="Arial"/>
                <w:b/>
                <w:bCs/>
                <w:sz w:val="15"/>
                <w:szCs w:val="15"/>
              </w:rPr>
              <w:t>lance as of December 31, 2018</w:t>
            </w:r>
          </w:p>
        </w:tc>
        <w:tc>
          <w:tcPr>
            <w:tcW w:w="0" w:type="auto"/>
            <w:tcBorders>
              <w:top w:val="single" w:sz="8" w:space="0" w:color="000000"/>
            </w:tcBorders>
            <w:shd w:val="clear" w:color="auto" w:fill="CCEEFF"/>
            <w:tcMar>
              <w:top w:w="40" w:type="dxa"/>
              <w:left w:w="40" w:type="dxa"/>
              <w:bottom w:w="40" w:type="dxa"/>
            </w:tcMar>
            <w:vAlign w:val="bottom"/>
          </w:tcPr>
          <w:p w14:paraId="5556870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70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1,544</w:t>
            </w:r>
          </w:p>
        </w:tc>
        <w:tc>
          <w:tcPr>
            <w:tcW w:w="0" w:type="auto"/>
            <w:tcBorders>
              <w:top w:val="single" w:sz="8" w:space="0" w:color="000000"/>
            </w:tcBorders>
            <w:shd w:val="clear" w:color="auto" w:fill="CCEEFF"/>
            <w:vAlign w:val="bottom"/>
          </w:tcPr>
          <w:p w14:paraId="5556870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70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70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422</w:t>
            </w:r>
          </w:p>
        </w:tc>
        <w:tc>
          <w:tcPr>
            <w:tcW w:w="0" w:type="auto"/>
            <w:tcBorders>
              <w:top w:val="single" w:sz="8" w:space="0" w:color="000000"/>
            </w:tcBorders>
            <w:shd w:val="clear" w:color="auto" w:fill="CCEEFF"/>
            <w:vAlign w:val="bottom"/>
          </w:tcPr>
          <w:p w14:paraId="5556870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70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71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287</w:t>
            </w:r>
          </w:p>
        </w:tc>
        <w:tc>
          <w:tcPr>
            <w:tcW w:w="0" w:type="auto"/>
            <w:tcBorders>
              <w:top w:val="single" w:sz="8" w:space="0" w:color="000000"/>
            </w:tcBorders>
            <w:shd w:val="clear" w:color="auto" w:fill="CCEEFF"/>
            <w:vAlign w:val="bottom"/>
          </w:tcPr>
          <w:p w14:paraId="5556871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71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71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132</w:t>
            </w:r>
          </w:p>
        </w:tc>
        <w:tc>
          <w:tcPr>
            <w:tcW w:w="0" w:type="auto"/>
            <w:tcBorders>
              <w:top w:val="single" w:sz="8" w:space="0" w:color="000000"/>
            </w:tcBorders>
            <w:shd w:val="clear" w:color="auto" w:fill="CCEEFF"/>
            <w:vAlign w:val="bottom"/>
          </w:tcPr>
          <w:p w14:paraId="5556871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71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71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126</w:t>
            </w:r>
          </w:p>
        </w:tc>
        <w:tc>
          <w:tcPr>
            <w:tcW w:w="0" w:type="auto"/>
            <w:tcBorders>
              <w:top w:val="single" w:sz="8" w:space="0" w:color="000000"/>
            </w:tcBorders>
            <w:shd w:val="clear" w:color="auto" w:fill="CCEEFF"/>
            <w:vAlign w:val="bottom"/>
          </w:tcPr>
          <w:p w14:paraId="555687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71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871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2,511</w:t>
            </w:r>
          </w:p>
        </w:tc>
        <w:tc>
          <w:tcPr>
            <w:tcW w:w="0" w:type="auto"/>
            <w:tcBorders>
              <w:top w:val="single" w:sz="8" w:space="0" w:color="000000"/>
            </w:tcBorders>
            <w:shd w:val="clear" w:color="auto" w:fill="CCEEFF"/>
            <w:vAlign w:val="bottom"/>
          </w:tcPr>
          <w:p w14:paraId="5556871D" w14:textId="77777777" w:rsidR="00F925DD" w:rsidRDefault="00F925DD">
            <w:pPr>
              <w:textAlignment w:val="bottom"/>
              <w:rPr>
                <w:rFonts w:ascii="Times New Roman" w:hAnsi="Times New Roman"/>
                <w:sz w:val="20"/>
                <w:szCs w:val="20"/>
              </w:rPr>
            </w:pPr>
          </w:p>
        </w:tc>
      </w:tr>
      <w:tr w:rsidR="00F925DD" w14:paraId="55568731" w14:textId="77777777">
        <w:tc>
          <w:tcPr>
            <w:tcW w:w="0" w:type="auto"/>
            <w:shd w:val="clear" w:color="auto" w:fill="auto"/>
            <w:tcMar>
              <w:top w:w="40" w:type="dxa"/>
              <w:left w:w="40" w:type="dxa"/>
              <w:bottom w:w="40" w:type="dxa"/>
              <w:right w:w="40" w:type="dxa"/>
            </w:tcMar>
            <w:vAlign w:val="bottom"/>
          </w:tcPr>
          <w:p w14:paraId="5556871F" w14:textId="77777777" w:rsidR="00F925DD" w:rsidRDefault="00E705D7">
            <w:pPr>
              <w:textAlignment w:val="bottom"/>
              <w:rPr>
                <w:rFonts w:ascii="Times New Roman" w:hAnsi="Times New Roman"/>
                <w:sz w:val="15"/>
                <w:szCs w:val="15"/>
              </w:rPr>
            </w:pPr>
            <w:r>
              <w:rPr>
                <w:rFonts w:ascii="Arial" w:eastAsia="宋体" w:hAnsi="Arial" w:cs="Arial"/>
                <w:sz w:val="15"/>
                <w:szCs w:val="15"/>
              </w:rPr>
              <w:t>Long-term institutional flows, net(3)</w:t>
            </w:r>
          </w:p>
        </w:tc>
        <w:tc>
          <w:tcPr>
            <w:tcW w:w="0" w:type="auto"/>
            <w:gridSpan w:val="2"/>
            <w:shd w:val="clear" w:color="auto" w:fill="auto"/>
            <w:tcMar>
              <w:top w:w="40" w:type="dxa"/>
              <w:left w:w="40" w:type="dxa"/>
              <w:bottom w:w="40" w:type="dxa"/>
            </w:tcMar>
            <w:vAlign w:val="bottom"/>
          </w:tcPr>
          <w:p w14:paraId="5556872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w:t>
            </w:r>
          </w:p>
        </w:tc>
        <w:tc>
          <w:tcPr>
            <w:tcW w:w="0" w:type="auto"/>
            <w:shd w:val="clear" w:color="auto" w:fill="auto"/>
            <w:vAlign w:val="bottom"/>
          </w:tcPr>
          <w:p w14:paraId="5556872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2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shd w:val="clear" w:color="auto" w:fill="auto"/>
            <w:tcMar>
              <w:top w:w="40" w:type="dxa"/>
              <w:bottom w:w="40" w:type="dxa"/>
              <w:right w:w="40" w:type="dxa"/>
            </w:tcMar>
            <w:vAlign w:val="bottom"/>
          </w:tcPr>
          <w:p w14:paraId="5556872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87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2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72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2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auto"/>
            <w:vAlign w:val="bottom"/>
          </w:tcPr>
          <w:p w14:paraId="555687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2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w:t>
            </w:r>
          </w:p>
        </w:tc>
        <w:tc>
          <w:tcPr>
            <w:tcW w:w="0" w:type="auto"/>
            <w:shd w:val="clear" w:color="auto" w:fill="auto"/>
            <w:vAlign w:val="bottom"/>
          </w:tcPr>
          <w:p w14:paraId="555687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2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w:t>
            </w:r>
          </w:p>
        </w:tc>
        <w:tc>
          <w:tcPr>
            <w:tcW w:w="0" w:type="auto"/>
            <w:shd w:val="clear" w:color="auto" w:fill="auto"/>
            <w:vAlign w:val="bottom"/>
          </w:tcPr>
          <w:p w14:paraId="55568730" w14:textId="77777777" w:rsidR="00F925DD" w:rsidRDefault="00F925DD">
            <w:pPr>
              <w:textAlignment w:val="bottom"/>
              <w:rPr>
                <w:rFonts w:ascii="Times New Roman" w:hAnsi="Times New Roman"/>
                <w:sz w:val="20"/>
                <w:szCs w:val="20"/>
              </w:rPr>
            </w:pPr>
          </w:p>
        </w:tc>
      </w:tr>
      <w:tr w:rsidR="00F925DD" w14:paraId="55568744" w14:textId="77777777">
        <w:tc>
          <w:tcPr>
            <w:tcW w:w="0" w:type="auto"/>
            <w:shd w:val="clear" w:color="auto" w:fill="CCEEFF"/>
            <w:tcMar>
              <w:top w:w="40" w:type="dxa"/>
              <w:left w:w="40" w:type="dxa"/>
              <w:bottom w:w="40" w:type="dxa"/>
              <w:right w:w="40" w:type="dxa"/>
            </w:tcMar>
            <w:vAlign w:val="bottom"/>
          </w:tcPr>
          <w:p w14:paraId="55568732" w14:textId="77777777" w:rsidR="00F925DD" w:rsidRDefault="00E705D7">
            <w:pPr>
              <w:textAlignment w:val="bottom"/>
              <w:rPr>
                <w:rFonts w:ascii="Times New Roman" w:hAnsi="Times New Roman"/>
                <w:sz w:val="15"/>
                <w:szCs w:val="15"/>
              </w:rPr>
            </w:pPr>
            <w:r>
              <w:rPr>
                <w:rFonts w:ascii="Arial" w:eastAsia="宋体" w:hAnsi="Arial" w:cs="Arial"/>
                <w:sz w:val="15"/>
                <w:szCs w:val="15"/>
              </w:rPr>
              <w:t>Exchange-traded fund flows, net</w:t>
            </w:r>
          </w:p>
        </w:tc>
        <w:tc>
          <w:tcPr>
            <w:tcW w:w="0" w:type="auto"/>
            <w:gridSpan w:val="2"/>
            <w:shd w:val="clear" w:color="auto" w:fill="CCEEFF"/>
            <w:tcMar>
              <w:top w:w="40" w:type="dxa"/>
              <w:left w:w="40" w:type="dxa"/>
              <w:bottom w:w="40" w:type="dxa"/>
            </w:tcMar>
            <w:vAlign w:val="bottom"/>
          </w:tcPr>
          <w:p w14:paraId="5556873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w:t>
            </w:r>
          </w:p>
        </w:tc>
        <w:tc>
          <w:tcPr>
            <w:tcW w:w="0" w:type="auto"/>
            <w:shd w:val="clear" w:color="auto" w:fill="CCEEFF"/>
            <w:vAlign w:val="bottom"/>
          </w:tcPr>
          <w:p w14:paraId="555687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73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w:t>
            </w:r>
          </w:p>
        </w:tc>
        <w:tc>
          <w:tcPr>
            <w:tcW w:w="0" w:type="auto"/>
            <w:shd w:val="clear" w:color="auto" w:fill="CCEEFF"/>
            <w:vAlign w:val="bottom"/>
          </w:tcPr>
          <w:p w14:paraId="5556873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73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87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73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873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73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CCEEFF"/>
            <w:vAlign w:val="bottom"/>
          </w:tcPr>
          <w:p w14:paraId="555687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74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w:t>
            </w:r>
          </w:p>
        </w:tc>
        <w:tc>
          <w:tcPr>
            <w:tcW w:w="0" w:type="auto"/>
            <w:shd w:val="clear" w:color="auto" w:fill="CCEEFF"/>
            <w:vAlign w:val="bottom"/>
          </w:tcPr>
          <w:p w14:paraId="55568743" w14:textId="77777777" w:rsidR="00F925DD" w:rsidRDefault="00F925DD">
            <w:pPr>
              <w:textAlignment w:val="bottom"/>
              <w:rPr>
                <w:rFonts w:ascii="Times New Roman" w:hAnsi="Times New Roman"/>
                <w:sz w:val="20"/>
                <w:szCs w:val="20"/>
              </w:rPr>
            </w:pPr>
          </w:p>
        </w:tc>
      </w:tr>
      <w:tr w:rsidR="00F925DD" w14:paraId="55568757" w14:textId="77777777">
        <w:tc>
          <w:tcPr>
            <w:tcW w:w="0" w:type="auto"/>
            <w:shd w:val="clear" w:color="auto" w:fill="auto"/>
            <w:tcMar>
              <w:top w:w="40" w:type="dxa"/>
              <w:left w:w="40" w:type="dxa"/>
              <w:bottom w:w="40" w:type="dxa"/>
              <w:right w:w="40" w:type="dxa"/>
            </w:tcMar>
            <w:vAlign w:val="bottom"/>
          </w:tcPr>
          <w:p w14:paraId="55568745" w14:textId="77777777" w:rsidR="00F925DD" w:rsidRDefault="00E705D7">
            <w:pPr>
              <w:textAlignment w:val="bottom"/>
              <w:rPr>
                <w:rFonts w:ascii="Times New Roman" w:hAnsi="Times New Roman"/>
                <w:sz w:val="15"/>
                <w:szCs w:val="15"/>
              </w:rPr>
            </w:pPr>
            <w:r>
              <w:rPr>
                <w:rFonts w:ascii="Arial" w:eastAsia="宋体" w:hAnsi="Arial" w:cs="Arial"/>
                <w:sz w:val="15"/>
                <w:szCs w:val="15"/>
              </w:rPr>
              <w:t>Cash fund flows, net</w:t>
            </w:r>
          </w:p>
        </w:tc>
        <w:tc>
          <w:tcPr>
            <w:tcW w:w="0" w:type="auto"/>
            <w:gridSpan w:val="2"/>
            <w:tcBorders>
              <w:bottom w:val="single" w:sz="8" w:space="0" w:color="000000"/>
            </w:tcBorders>
            <w:shd w:val="clear" w:color="auto" w:fill="auto"/>
            <w:tcMar>
              <w:top w:w="40" w:type="dxa"/>
              <w:left w:w="40" w:type="dxa"/>
              <w:bottom w:w="40" w:type="dxa"/>
            </w:tcMar>
            <w:vAlign w:val="bottom"/>
          </w:tcPr>
          <w:p w14:paraId="5556874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874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74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87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74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w:t>
            </w:r>
          </w:p>
        </w:tc>
        <w:tc>
          <w:tcPr>
            <w:tcW w:w="0" w:type="auto"/>
            <w:tcBorders>
              <w:bottom w:val="single" w:sz="8" w:space="0" w:color="000000"/>
            </w:tcBorders>
            <w:shd w:val="clear" w:color="auto" w:fill="auto"/>
            <w:vAlign w:val="bottom"/>
          </w:tcPr>
          <w:p w14:paraId="5556874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74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875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75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875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75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w:t>
            </w:r>
          </w:p>
        </w:tc>
        <w:tc>
          <w:tcPr>
            <w:tcW w:w="0" w:type="auto"/>
            <w:tcBorders>
              <w:bottom w:val="single" w:sz="8" w:space="0" w:color="000000"/>
            </w:tcBorders>
            <w:shd w:val="clear" w:color="auto" w:fill="auto"/>
            <w:vAlign w:val="bottom"/>
          </w:tcPr>
          <w:p w14:paraId="55568756" w14:textId="77777777" w:rsidR="00F925DD" w:rsidRDefault="00F925DD">
            <w:pPr>
              <w:textAlignment w:val="bottom"/>
              <w:rPr>
                <w:rFonts w:ascii="Times New Roman" w:hAnsi="Times New Roman"/>
                <w:sz w:val="20"/>
                <w:szCs w:val="20"/>
              </w:rPr>
            </w:pPr>
          </w:p>
        </w:tc>
      </w:tr>
      <w:tr w:rsidR="00F925DD" w14:paraId="5556876A" w14:textId="77777777">
        <w:tc>
          <w:tcPr>
            <w:tcW w:w="0" w:type="auto"/>
            <w:shd w:val="clear" w:color="auto" w:fill="CCEEFF"/>
            <w:tcMar>
              <w:top w:w="40" w:type="dxa"/>
              <w:left w:w="40" w:type="dxa"/>
              <w:bottom w:w="40" w:type="dxa"/>
              <w:right w:w="40" w:type="dxa"/>
            </w:tcMar>
            <w:vAlign w:val="bottom"/>
          </w:tcPr>
          <w:p w14:paraId="55568758"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flows, net</w:t>
            </w:r>
          </w:p>
        </w:tc>
        <w:tc>
          <w:tcPr>
            <w:tcW w:w="0" w:type="auto"/>
            <w:gridSpan w:val="2"/>
            <w:shd w:val="clear" w:color="auto" w:fill="CCEEFF"/>
            <w:tcMar>
              <w:top w:w="40" w:type="dxa"/>
              <w:left w:w="40" w:type="dxa"/>
              <w:bottom w:w="40" w:type="dxa"/>
            </w:tcMar>
            <w:vAlign w:val="bottom"/>
          </w:tcPr>
          <w:p w14:paraId="5556875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39</w:t>
            </w:r>
          </w:p>
        </w:tc>
        <w:tc>
          <w:tcPr>
            <w:tcW w:w="0" w:type="auto"/>
            <w:shd w:val="clear" w:color="auto" w:fill="CCEEFF"/>
            <w:vAlign w:val="bottom"/>
          </w:tcPr>
          <w:p w14:paraId="5556875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75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shd w:val="clear" w:color="auto" w:fill="CCEEFF"/>
            <w:vAlign w:val="bottom"/>
          </w:tcPr>
          <w:p w14:paraId="5556875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75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w:t>
            </w:r>
          </w:p>
        </w:tc>
        <w:tc>
          <w:tcPr>
            <w:tcW w:w="0" w:type="auto"/>
            <w:shd w:val="clear" w:color="auto" w:fill="CCEEFF"/>
            <w:vAlign w:val="bottom"/>
          </w:tcPr>
          <w:p w14:paraId="5556876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76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5556876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76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shd w:val="clear" w:color="auto" w:fill="CCEEFF"/>
            <w:vAlign w:val="bottom"/>
          </w:tcPr>
          <w:p w14:paraId="5556876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76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103</w:t>
            </w:r>
          </w:p>
        </w:tc>
        <w:tc>
          <w:tcPr>
            <w:tcW w:w="0" w:type="auto"/>
            <w:shd w:val="clear" w:color="auto" w:fill="CCEEFF"/>
            <w:vAlign w:val="bottom"/>
          </w:tcPr>
          <w:p w14:paraId="55568769" w14:textId="77777777" w:rsidR="00F925DD" w:rsidRDefault="00F925DD">
            <w:pPr>
              <w:textAlignment w:val="bottom"/>
              <w:rPr>
                <w:rFonts w:ascii="Times New Roman" w:hAnsi="Times New Roman"/>
                <w:sz w:val="20"/>
                <w:szCs w:val="20"/>
              </w:rPr>
            </w:pPr>
          </w:p>
        </w:tc>
      </w:tr>
      <w:tr w:rsidR="00F925DD" w14:paraId="5556877D" w14:textId="77777777">
        <w:tc>
          <w:tcPr>
            <w:tcW w:w="0" w:type="auto"/>
            <w:shd w:val="clear" w:color="auto" w:fill="auto"/>
            <w:tcMar>
              <w:top w:w="40" w:type="dxa"/>
              <w:left w:w="240" w:type="dxa"/>
              <w:bottom w:w="40" w:type="dxa"/>
              <w:right w:w="40" w:type="dxa"/>
            </w:tcMar>
            <w:vAlign w:val="bottom"/>
          </w:tcPr>
          <w:p w14:paraId="5556876B" w14:textId="77777777" w:rsidR="00F925DD" w:rsidRDefault="00E705D7">
            <w:pPr>
              <w:textAlignment w:val="bottom"/>
              <w:rPr>
                <w:rFonts w:ascii="Times New Roman" w:hAnsi="Times New Roman"/>
                <w:sz w:val="15"/>
                <w:szCs w:val="15"/>
              </w:rPr>
            </w:pPr>
            <w:r>
              <w:rPr>
                <w:rFonts w:ascii="Arial" w:eastAsia="宋体" w:hAnsi="Arial" w:cs="Arial"/>
                <w:sz w:val="15"/>
                <w:szCs w:val="15"/>
              </w:rPr>
              <w:t>Market appreciation (depreciation)</w:t>
            </w:r>
          </w:p>
        </w:tc>
        <w:tc>
          <w:tcPr>
            <w:tcW w:w="0" w:type="auto"/>
            <w:gridSpan w:val="2"/>
            <w:shd w:val="clear" w:color="auto" w:fill="auto"/>
            <w:tcMar>
              <w:top w:w="40" w:type="dxa"/>
              <w:left w:w="40" w:type="dxa"/>
              <w:bottom w:w="40" w:type="dxa"/>
            </w:tcMar>
            <w:vAlign w:val="bottom"/>
          </w:tcPr>
          <w:p w14:paraId="5556876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404</w:t>
            </w:r>
          </w:p>
        </w:tc>
        <w:tc>
          <w:tcPr>
            <w:tcW w:w="0" w:type="auto"/>
            <w:shd w:val="clear" w:color="auto" w:fill="auto"/>
            <w:vAlign w:val="bottom"/>
          </w:tcPr>
          <w:p w14:paraId="5556876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6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w:t>
            </w:r>
          </w:p>
        </w:tc>
        <w:tc>
          <w:tcPr>
            <w:tcW w:w="0" w:type="auto"/>
            <w:shd w:val="clear" w:color="auto" w:fill="auto"/>
            <w:vAlign w:val="bottom"/>
          </w:tcPr>
          <w:p w14:paraId="5556877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7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auto"/>
            <w:vAlign w:val="bottom"/>
          </w:tcPr>
          <w:p w14:paraId="5556877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7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shd w:val="clear" w:color="auto" w:fill="auto"/>
            <w:vAlign w:val="bottom"/>
          </w:tcPr>
          <w:p w14:paraId="5556877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7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w:t>
            </w:r>
          </w:p>
        </w:tc>
        <w:tc>
          <w:tcPr>
            <w:tcW w:w="0" w:type="auto"/>
            <w:shd w:val="clear" w:color="auto" w:fill="auto"/>
            <w:vAlign w:val="bottom"/>
          </w:tcPr>
          <w:p w14:paraId="5556877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77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498</w:t>
            </w:r>
          </w:p>
        </w:tc>
        <w:tc>
          <w:tcPr>
            <w:tcW w:w="0" w:type="auto"/>
            <w:shd w:val="clear" w:color="auto" w:fill="auto"/>
            <w:vAlign w:val="bottom"/>
          </w:tcPr>
          <w:p w14:paraId="5556877C" w14:textId="77777777" w:rsidR="00F925DD" w:rsidRDefault="00F925DD">
            <w:pPr>
              <w:textAlignment w:val="bottom"/>
              <w:rPr>
                <w:rFonts w:ascii="Times New Roman" w:hAnsi="Times New Roman"/>
                <w:sz w:val="20"/>
                <w:szCs w:val="20"/>
              </w:rPr>
            </w:pPr>
          </w:p>
        </w:tc>
      </w:tr>
      <w:tr w:rsidR="00F925DD" w14:paraId="55568790" w14:textId="77777777">
        <w:tc>
          <w:tcPr>
            <w:tcW w:w="0" w:type="auto"/>
            <w:shd w:val="clear" w:color="auto" w:fill="CCEEFF"/>
            <w:tcMar>
              <w:top w:w="40" w:type="dxa"/>
              <w:left w:w="240" w:type="dxa"/>
              <w:bottom w:w="40" w:type="dxa"/>
              <w:right w:w="40" w:type="dxa"/>
            </w:tcMar>
            <w:vAlign w:val="bottom"/>
          </w:tcPr>
          <w:p w14:paraId="5556877E"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impact</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77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tcBorders>
              <w:bottom w:val="single" w:sz="8" w:space="0" w:color="000000"/>
            </w:tcBorders>
            <w:shd w:val="clear" w:color="auto" w:fill="CCEEFF"/>
            <w:vAlign w:val="bottom"/>
          </w:tcPr>
          <w:p w14:paraId="5556878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78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878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78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878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78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87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78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87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78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tcBorders>
              <w:bottom w:val="single" w:sz="8" w:space="0" w:color="000000"/>
            </w:tcBorders>
            <w:shd w:val="clear" w:color="auto" w:fill="CCEEFF"/>
            <w:vAlign w:val="bottom"/>
          </w:tcPr>
          <w:p w14:paraId="5556878F" w14:textId="77777777" w:rsidR="00F925DD" w:rsidRDefault="00F925DD">
            <w:pPr>
              <w:textAlignment w:val="bottom"/>
              <w:rPr>
                <w:rFonts w:ascii="Times New Roman" w:hAnsi="Times New Roman"/>
                <w:sz w:val="20"/>
                <w:szCs w:val="20"/>
              </w:rPr>
            </w:pPr>
          </w:p>
        </w:tc>
      </w:tr>
      <w:tr w:rsidR="00F925DD" w14:paraId="555687A3" w14:textId="77777777">
        <w:tc>
          <w:tcPr>
            <w:tcW w:w="0" w:type="auto"/>
            <w:shd w:val="clear" w:color="auto" w:fill="auto"/>
            <w:tcMar>
              <w:top w:w="40" w:type="dxa"/>
              <w:left w:w="40" w:type="dxa"/>
              <w:bottom w:w="40" w:type="dxa"/>
              <w:right w:w="40" w:type="dxa"/>
            </w:tcMar>
            <w:vAlign w:val="bottom"/>
          </w:tcPr>
          <w:p w14:paraId="55568791"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market/foreign exchange impact</w:t>
            </w:r>
          </w:p>
        </w:tc>
        <w:tc>
          <w:tcPr>
            <w:tcW w:w="0" w:type="auto"/>
            <w:gridSpan w:val="2"/>
            <w:tcBorders>
              <w:bottom w:val="single" w:sz="8" w:space="0" w:color="000000"/>
            </w:tcBorders>
            <w:shd w:val="clear" w:color="auto" w:fill="auto"/>
            <w:tcMar>
              <w:top w:w="40" w:type="dxa"/>
              <w:left w:w="40" w:type="dxa"/>
              <w:bottom w:w="40" w:type="dxa"/>
            </w:tcMar>
            <w:vAlign w:val="bottom"/>
          </w:tcPr>
          <w:p w14:paraId="5556879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408</w:t>
            </w:r>
          </w:p>
        </w:tc>
        <w:tc>
          <w:tcPr>
            <w:tcW w:w="0" w:type="auto"/>
            <w:tcBorders>
              <w:bottom w:val="single" w:sz="8" w:space="0" w:color="000000"/>
            </w:tcBorders>
            <w:shd w:val="clear" w:color="auto" w:fill="auto"/>
            <w:vAlign w:val="bottom"/>
          </w:tcPr>
          <w:p w14:paraId="5556879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79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w:t>
            </w:r>
          </w:p>
        </w:tc>
        <w:tc>
          <w:tcPr>
            <w:tcW w:w="0" w:type="auto"/>
            <w:tcBorders>
              <w:bottom w:val="single" w:sz="8" w:space="0" w:color="000000"/>
            </w:tcBorders>
            <w:shd w:val="clear" w:color="auto" w:fill="auto"/>
            <w:vAlign w:val="bottom"/>
          </w:tcPr>
          <w:p w14:paraId="5556879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79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tcBorders>
              <w:bottom w:val="single" w:sz="8" w:space="0" w:color="000000"/>
            </w:tcBorders>
            <w:shd w:val="clear" w:color="auto" w:fill="auto"/>
            <w:vAlign w:val="bottom"/>
          </w:tcPr>
          <w:p w14:paraId="5556879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79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tcBorders>
              <w:bottom w:val="single" w:sz="8" w:space="0" w:color="000000"/>
            </w:tcBorders>
            <w:shd w:val="clear" w:color="auto" w:fill="auto"/>
            <w:vAlign w:val="bottom"/>
          </w:tcPr>
          <w:p w14:paraId="5556879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79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w:t>
            </w:r>
          </w:p>
        </w:tc>
        <w:tc>
          <w:tcPr>
            <w:tcW w:w="0" w:type="auto"/>
            <w:tcBorders>
              <w:bottom w:val="single" w:sz="8" w:space="0" w:color="000000"/>
            </w:tcBorders>
            <w:shd w:val="clear" w:color="auto" w:fill="auto"/>
            <w:vAlign w:val="bottom"/>
          </w:tcPr>
          <w:p w14:paraId="5556879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7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7A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502</w:t>
            </w:r>
          </w:p>
        </w:tc>
        <w:tc>
          <w:tcPr>
            <w:tcW w:w="0" w:type="auto"/>
            <w:tcBorders>
              <w:bottom w:val="single" w:sz="8" w:space="0" w:color="000000"/>
            </w:tcBorders>
            <w:shd w:val="clear" w:color="auto" w:fill="auto"/>
            <w:vAlign w:val="bottom"/>
          </w:tcPr>
          <w:p w14:paraId="555687A2" w14:textId="77777777" w:rsidR="00F925DD" w:rsidRDefault="00F925DD">
            <w:pPr>
              <w:textAlignment w:val="bottom"/>
              <w:rPr>
                <w:rFonts w:ascii="Times New Roman" w:hAnsi="Times New Roman"/>
                <w:sz w:val="20"/>
                <w:szCs w:val="20"/>
              </w:rPr>
            </w:pPr>
          </w:p>
        </w:tc>
      </w:tr>
      <w:tr w:rsidR="00F925DD" w14:paraId="555687BC" w14:textId="77777777">
        <w:tc>
          <w:tcPr>
            <w:tcW w:w="0" w:type="auto"/>
            <w:shd w:val="clear" w:color="auto" w:fill="CCEEFF"/>
            <w:tcMar>
              <w:top w:w="40" w:type="dxa"/>
              <w:left w:w="40" w:type="dxa"/>
              <w:bottom w:w="40" w:type="dxa"/>
              <w:right w:w="40" w:type="dxa"/>
            </w:tcMar>
            <w:vAlign w:val="bottom"/>
          </w:tcPr>
          <w:p w14:paraId="555687A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Balance as of December 31, 2019</w:t>
            </w:r>
          </w:p>
        </w:tc>
        <w:tc>
          <w:tcPr>
            <w:tcW w:w="0" w:type="auto"/>
            <w:tcBorders>
              <w:bottom w:val="double" w:sz="6" w:space="0" w:color="000000"/>
            </w:tcBorders>
            <w:shd w:val="clear" w:color="auto" w:fill="CCEEFF"/>
            <w:tcMar>
              <w:top w:w="40" w:type="dxa"/>
              <w:left w:w="40" w:type="dxa"/>
              <w:bottom w:w="40" w:type="dxa"/>
            </w:tcMar>
            <w:vAlign w:val="bottom"/>
          </w:tcPr>
          <w:p w14:paraId="555687A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CCEEFF"/>
            <w:tcMar>
              <w:top w:w="40" w:type="dxa"/>
              <w:bottom w:w="40" w:type="dxa"/>
            </w:tcMar>
            <w:vAlign w:val="bottom"/>
          </w:tcPr>
          <w:p w14:paraId="555687A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1,991</w:t>
            </w:r>
          </w:p>
        </w:tc>
        <w:tc>
          <w:tcPr>
            <w:tcW w:w="0" w:type="auto"/>
            <w:tcBorders>
              <w:bottom w:val="double" w:sz="6" w:space="0" w:color="000000"/>
            </w:tcBorders>
            <w:shd w:val="clear" w:color="auto" w:fill="CCEEFF"/>
            <w:vAlign w:val="bottom"/>
          </w:tcPr>
          <w:p w14:paraId="555687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87A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CCEEFF"/>
            <w:tcMar>
              <w:top w:w="40" w:type="dxa"/>
              <w:bottom w:w="40" w:type="dxa"/>
            </w:tcMar>
            <w:vAlign w:val="bottom"/>
          </w:tcPr>
          <w:p w14:paraId="555687A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468</w:t>
            </w:r>
          </w:p>
        </w:tc>
        <w:tc>
          <w:tcPr>
            <w:tcW w:w="0" w:type="auto"/>
            <w:tcBorders>
              <w:bottom w:val="double" w:sz="6" w:space="0" w:color="000000"/>
            </w:tcBorders>
            <w:shd w:val="clear" w:color="auto" w:fill="CCEEFF"/>
            <w:vAlign w:val="bottom"/>
          </w:tcPr>
          <w:p w14:paraId="555687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87A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CCEEFF"/>
            <w:tcMar>
              <w:top w:w="40" w:type="dxa"/>
              <w:bottom w:w="40" w:type="dxa"/>
            </w:tcMar>
            <w:vAlign w:val="bottom"/>
          </w:tcPr>
          <w:p w14:paraId="555687A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324</w:t>
            </w:r>
          </w:p>
        </w:tc>
        <w:tc>
          <w:tcPr>
            <w:tcW w:w="0" w:type="auto"/>
            <w:tcBorders>
              <w:bottom w:val="double" w:sz="6" w:space="0" w:color="000000"/>
            </w:tcBorders>
            <w:shd w:val="clear" w:color="auto" w:fill="CCEEFF"/>
            <w:vAlign w:val="bottom"/>
          </w:tcPr>
          <w:p w14:paraId="555687A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87B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CCEEFF"/>
            <w:tcMar>
              <w:top w:w="40" w:type="dxa"/>
              <w:bottom w:w="40" w:type="dxa"/>
            </w:tcMar>
            <w:vAlign w:val="bottom"/>
          </w:tcPr>
          <w:p w14:paraId="555687B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157</w:t>
            </w:r>
          </w:p>
        </w:tc>
        <w:tc>
          <w:tcPr>
            <w:tcW w:w="0" w:type="auto"/>
            <w:tcBorders>
              <w:bottom w:val="double" w:sz="6" w:space="0" w:color="000000"/>
            </w:tcBorders>
            <w:shd w:val="clear" w:color="auto" w:fill="CCEEFF"/>
            <w:vAlign w:val="bottom"/>
          </w:tcPr>
          <w:p w14:paraId="555687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87B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CCEEFF"/>
            <w:tcMar>
              <w:top w:w="40" w:type="dxa"/>
              <w:bottom w:w="40" w:type="dxa"/>
            </w:tcMar>
            <w:vAlign w:val="bottom"/>
          </w:tcPr>
          <w:p w14:paraId="555687B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176</w:t>
            </w:r>
          </w:p>
        </w:tc>
        <w:tc>
          <w:tcPr>
            <w:tcW w:w="0" w:type="auto"/>
            <w:tcBorders>
              <w:bottom w:val="double" w:sz="6" w:space="0" w:color="000000"/>
            </w:tcBorders>
            <w:shd w:val="clear" w:color="auto" w:fill="CCEEFF"/>
            <w:vAlign w:val="bottom"/>
          </w:tcPr>
          <w:p w14:paraId="555687B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7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87B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CCEEFF"/>
            <w:tcMar>
              <w:top w:w="40" w:type="dxa"/>
              <w:bottom w:w="40" w:type="dxa"/>
            </w:tcMar>
            <w:vAlign w:val="bottom"/>
          </w:tcPr>
          <w:p w14:paraId="555687B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3,116</w:t>
            </w:r>
          </w:p>
        </w:tc>
        <w:tc>
          <w:tcPr>
            <w:tcW w:w="0" w:type="auto"/>
            <w:tcBorders>
              <w:bottom w:val="double" w:sz="6" w:space="0" w:color="000000"/>
            </w:tcBorders>
            <w:shd w:val="clear" w:color="auto" w:fill="CCEEFF"/>
            <w:vAlign w:val="bottom"/>
          </w:tcPr>
          <w:p w14:paraId="555687BB" w14:textId="77777777" w:rsidR="00F925DD" w:rsidRDefault="00F925DD">
            <w:pPr>
              <w:textAlignment w:val="bottom"/>
              <w:rPr>
                <w:rFonts w:ascii="Times New Roman" w:hAnsi="Times New Roman"/>
                <w:sz w:val="20"/>
                <w:szCs w:val="20"/>
              </w:rPr>
            </w:pPr>
          </w:p>
        </w:tc>
      </w:tr>
    </w:tbl>
    <w:p w14:paraId="555687BD"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076"/>
        <w:gridCol w:w="6230"/>
      </w:tblGrid>
      <w:tr w:rsidR="00F925DD" w14:paraId="555687BF" w14:textId="77777777">
        <w:tc>
          <w:tcPr>
            <w:tcW w:w="0" w:type="auto"/>
            <w:gridSpan w:val="2"/>
            <w:shd w:val="clear" w:color="auto" w:fill="auto"/>
            <w:vAlign w:val="center"/>
          </w:tcPr>
          <w:p w14:paraId="555687BE" w14:textId="77777777" w:rsidR="00F925DD" w:rsidRDefault="00F925DD">
            <w:pPr>
              <w:rPr>
                <w:rFonts w:ascii="Times New Roman" w:hAnsi="Times New Roman"/>
                <w:sz w:val="20"/>
                <w:szCs w:val="20"/>
              </w:rPr>
            </w:pPr>
          </w:p>
        </w:tc>
      </w:tr>
      <w:tr w:rsidR="00F925DD" w14:paraId="555687C2" w14:textId="77777777">
        <w:tc>
          <w:tcPr>
            <w:tcW w:w="1250" w:type="pct"/>
            <w:shd w:val="clear" w:color="auto" w:fill="auto"/>
            <w:vAlign w:val="center"/>
          </w:tcPr>
          <w:p w14:paraId="555687C0" w14:textId="77777777" w:rsidR="00F925DD" w:rsidRDefault="00F925DD">
            <w:pPr>
              <w:rPr>
                <w:rFonts w:ascii="Times New Roman" w:hAnsi="Times New Roman"/>
                <w:sz w:val="20"/>
                <w:szCs w:val="20"/>
              </w:rPr>
            </w:pPr>
          </w:p>
        </w:tc>
        <w:tc>
          <w:tcPr>
            <w:tcW w:w="3750" w:type="pct"/>
            <w:shd w:val="clear" w:color="auto" w:fill="auto"/>
            <w:vAlign w:val="center"/>
          </w:tcPr>
          <w:p w14:paraId="555687C1" w14:textId="77777777" w:rsidR="00F925DD" w:rsidRDefault="00F925DD">
            <w:pPr>
              <w:rPr>
                <w:rFonts w:ascii="Times New Roman" w:hAnsi="Times New Roman"/>
                <w:sz w:val="20"/>
                <w:szCs w:val="20"/>
              </w:rPr>
            </w:pPr>
          </w:p>
        </w:tc>
      </w:tr>
      <w:tr w:rsidR="00F925DD" w14:paraId="555687C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7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7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7C6" w14:textId="77777777" w:rsidR="00F925DD" w:rsidRDefault="00E705D7">
      <w:pPr>
        <w:spacing w:line="288" w:lineRule="auto"/>
        <w:jc w:val="both"/>
        <w:rPr>
          <w:rFonts w:ascii="Times New Roman" w:hAnsi="Times New Roman"/>
          <w:sz w:val="20"/>
          <w:szCs w:val="20"/>
        </w:rPr>
      </w:pPr>
      <w:r>
        <w:rPr>
          <w:rFonts w:ascii="Arial" w:eastAsia="宋体" w:hAnsi="Arial" w:cs="Arial"/>
          <w:sz w:val="13"/>
          <w:szCs w:val="13"/>
        </w:rPr>
        <w:t>(1) Includes both floating- and constant-net-asset-value portfolios held in commingled structures or separate accounts.</w:t>
      </w:r>
    </w:p>
    <w:p w14:paraId="555687C7"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(2) Includes real estate investment trusts, currency and commodities, including SPDR® Gold Shares, SPDR Long Dollar Gold Trust and SPDR® Gold MiniSharesSM Trust, for which we are not the investment manager but act as the marketing agent. </w:t>
      </w:r>
    </w:p>
    <w:p w14:paraId="555687C8"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(3) Amounts repre</w:t>
      </w:r>
      <w:r>
        <w:rPr>
          <w:rFonts w:ascii="Arial" w:eastAsia="宋体" w:hAnsi="Arial" w:cs="Arial"/>
          <w:sz w:val="13"/>
          <w:szCs w:val="13"/>
        </w:rPr>
        <w:t>sent long-term portfolios, excluding ETFs.</w:t>
      </w:r>
    </w:p>
    <w:p w14:paraId="555687C9" w14:textId="77777777" w:rsidR="00F925DD" w:rsidRDefault="00F925DD">
      <w:pPr>
        <w:rPr>
          <w:rFonts w:ascii="Times New Roman" w:hAnsi="Times New Roman"/>
          <w:sz w:val="20"/>
          <w:szCs w:val="20"/>
        </w:rPr>
      </w:pPr>
    </w:p>
    <w:p w14:paraId="555687C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73</w:t>
      </w:r>
    </w:p>
    <w:p w14:paraId="555687CB" w14:textId="77777777" w:rsidR="00F925DD" w:rsidRDefault="00F925DD">
      <w:pPr>
        <w:spacing w:line="288" w:lineRule="auto"/>
        <w:ind w:firstLine="600"/>
        <w:jc w:val="center"/>
        <w:rPr>
          <w:rFonts w:ascii="Times New Roman" w:hAnsi="Times New Roman"/>
          <w:sz w:val="18"/>
          <w:szCs w:val="18"/>
        </w:rPr>
      </w:pPr>
    </w:p>
    <w:p w14:paraId="555687CC" w14:textId="77777777" w:rsidR="00F925DD" w:rsidRDefault="00E705D7">
      <w:r>
        <w:rPr>
          <w:rFonts w:ascii="Times New Roman" w:hAnsi="Times New Roman"/>
          <w:sz w:val="18"/>
          <w:szCs w:val="18"/>
        </w:rPr>
        <w:pict w14:anchorId="55570683">
          <v:rect id="_x0000_i1097" style="width:415.3pt;height:1.5pt" o:hralign="center" o:hrstd="t" o:hr="t" fillcolor="#a0a0a0" stroked="f"/>
        </w:pict>
      </w:r>
    </w:p>
    <w:p w14:paraId="555687C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87C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87CF" w14:textId="77777777" w:rsidR="00F925DD" w:rsidRDefault="00F925DD">
      <w:pPr>
        <w:rPr>
          <w:rFonts w:ascii="Times New Roman" w:hAnsi="Times New Roman"/>
          <w:sz w:val="20"/>
          <w:szCs w:val="20"/>
        </w:rPr>
      </w:pPr>
    </w:p>
    <w:p w14:paraId="555687D0"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Expenses </w:t>
      </w:r>
    </w:p>
    <w:p w14:paraId="555687D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Total expenses for Investment Management decreased 1% in 2019 compared to </w:t>
      </w:r>
      <w:r>
        <w:rPr>
          <w:rFonts w:ascii="Arial" w:eastAsia="宋体" w:hAnsi="Arial" w:cs="Arial"/>
          <w:sz w:val="20"/>
          <w:szCs w:val="20"/>
        </w:rPr>
        <w:t>2018, primarily due to savings from resource discipline initiatives and process re-engineering benefits through our expense savings program.</w:t>
      </w:r>
    </w:p>
    <w:p w14:paraId="555687D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expenses is provided under "Expenses" in "Consolidated Results of Operations" included</w:t>
      </w:r>
      <w:r>
        <w:rPr>
          <w:rFonts w:ascii="Arial" w:eastAsia="宋体" w:hAnsi="Arial" w:cs="Arial"/>
          <w:sz w:val="20"/>
          <w:szCs w:val="20"/>
        </w:rPr>
        <w:t xml:space="preserve"> in this Management's Discussion and Analysis.</w:t>
      </w:r>
    </w:p>
    <w:p w14:paraId="555687D3"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FINANCIAL CONDITION</w:t>
      </w:r>
    </w:p>
    <w:p w14:paraId="555687D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structure of our consolidated statement of condition is primarily driven by the liabilities generated by our Investment Servicing and Investment Management lines of business. Our client</w:t>
      </w:r>
      <w:r>
        <w:rPr>
          <w:rFonts w:ascii="Arial" w:eastAsia="宋体" w:hAnsi="Arial" w:cs="Arial"/>
          <w:sz w:val="20"/>
          <w:szCs w:val="20"/>
        </w:rPr>
        <w:t>s' needs and our operating objectives determine balance sheet volume, mix and currency denomination. As our clients execute their worldwide cash management and investment activities, they utilize deposits and short-term investments that constitute the majo</w:t>
      </w:r>
      <w:r>
        <w:rPr>
          <w:rFonts w:ascii="Arial" w:eastAsia="宋体" w:hAnsi="Arial" w:cs="Arial"/>
          <w:sz w:val="20"/>
          <w:szCs w:val="20"/>
        </w:rPr>
        <w:t xml:space="preserve">rity of our liabilities. These liabilities are generally in the form of interest-bearing transaction account deposits, which are denominated in a variety of currencies; non-interest-bearing demand deposits; and repurchase agreements, which generally serve </w:t>
      </w:r>
      <w:r>
        <w:rPr>
          <w:rFonts w:ascii="Arial" w:eastAsia="宋体" w:hAnsi="Arial" w:cs="Arial"/>
          <w:sz w:val="20"/>
          <w:szCs w:val="20"/>
        </w:rPr>
        <w:t>as short-term investment alternatives for our clients.</w:t>
      </w:r>
    </w:p>
    <w:p w14:paraId="555687D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Deposits and other liabilities resulting from client initiated transactions are invested in assets that generally have contractual maturities significantly longer than our liabilities; however, we eval</w:t>
      </w:r>
      <w:r>
        <w:rPr>
          <w:rFonts w:ascii="Arial" w:eastAsia="宋体" w:hAnsi="Arial" w:cs="Arial"/>
          <w:sz w:val="20"/>
          <w:szCs w:val="20"/>
        </w:rPr>
        <w:t>uate the operational nature of our deposits and seek to maintain appropriate short-term liquidity of those liabilities that are not operational in nature and maintain longer-termed assets for our operational deposits. Our assets consist primarily of securi</w:t>
      </w:r>
      <w:r>
        <w:rPr>
          <w:rFonts w:ascii="Arial" w:eastAsia="宋体" w:hAnsi="Arial" w:cs="Arial"/>
          <w:sz w:val="20"/>
          <w:szCs w:val="20"/>
        </w:rPr>
        <w:t>ties held in our AFS or HTM portfolios and short-duration financial instruments, such as interest-bearing deposits with banks and securities purchased under resale agreements. The actual mix of assets is determined by the characteristics of the client liab</w:t>
      </w:r>
      <w:r>
        <w:rPr>
          <w:rFonts w:ascii="Arial" w:eastAsia="宋体" w:hAnsi="Arial" w:cs="Arial"/>
          <w:sz w:val="20"/>
          <w:szCs w:val="20"/>
        </w:rPr>
        <w:t>ilities and our desire to maintain a well-diversified portfolio of high-quality assets.</w:t>
      </w:r>
    </w:p>
    <w:p w14:paraId="555687D6" w14:textId="77777777" w:rsidR="00F925DD" w:rsidRDefault="00E705D7">
      <w:pPr>
        <w:rPr>
          <w:rFonts w:ascii="Times New Roman" w:hAnsi="Times New Roman"/>
          <w:sz w:val="20"/>
          <w:szCs w:val="20"/>
        </w:rPr>
      </w:pPr>
      <w:r>
        <w:rPr>
          <w:rFonts w:ascii="Times New Roman" w:eastAsia="宋体" w:hAnsi="Times New Roman"/>
          <w:sz w:val="20"/>
          <w:szCs w:val="20"/>
        </w:rPr>
        <w:t> </w:t>
      </w:r>
    </w:p>
    <w:tbl>
      <w:tblPr>
        <w:tblW w:w="4990" w:type="pct"/>
        <w:tblCellMar>
          <w:left w:w="0" w:type="dxa"/>
          <w:right w:w="0" w:type="dxa"/>
        </w:tblCellMar>
        <w:tblLook w:val="04A0" w:firstRow="1" w:lastRow="0" w:firstColumn="1" w:lastColumn="0" w:noHBand="0" w:noVBand="1"/>
      </w:tblPr>
      <w:tblGrid>
        <w:gridCol w:w="3716"/>
        <w:gridCol w:w="124"/>
        <w:gridCol w:w="1229"/>
        <w:gridCol w:w="69"/>
        <w:gridCol w:w="152"/>
        <w:gridCol w:w="124"/>
        <w:gridCol w:w="1229"/>
        <w:gridCol w:w="69"/>
        <w:gridCol w:w="153"/>
        <w:gridCol w:w="124"/>
        <w:gridCol w:w="1230"/>
        <w:gridCol w:w="70"/>
      </w:tblGrid>
      <w:tr w:rsidR="00F925DD" w14:paraId="555687D8" w14:textId="77777777">
        <w:tc>
          <w:tcPr>
            <w:tcW w:w="0" w:type="auto"/>
            <w:gridSpan w:val="12"/>
            <w:shd w:val="clear" w:color="auto" w:fill="auto"/>
            <w:tcMar>
              <w:top w:w="80" w:type="dxa"/>
              <w:bottom w:w="80" w:type="dxa"/>
            </w:tcMar>
            <w:vAlign w:val="center"/>
          </w:tcPr>
          <w:p w14:paraId="555687D7" w14:textId="77777777" w:rsidR="00F925DD" w:rsidRDefault="00E705D7">
            <w:pPr>
              <w:spacing w:line="288" w:lineRule="auto"/>
              <w:rPr>
                <w:rFonts w:ascii="Times New Roman" w:hAnsi="Times New Roman"/>
                <w:sz w:val="16"/>
                <w:szCs w:val="16"/>
              </w:rPr>
            </w:pPr>
            <w:r>
              <w:rPr>
                <w:rFonts w:ascii="Arial" w:eastAsia="宋体" w:hAnsi="Arial" w:cs="Arial"/>
                <w:b/>
                <w:bCs/>
                <w:sz w:val="16"/>
                <w:szCs w:val="16"/>
              </w:rPr>
              <w:t>TABLE 19: AVERAGE STATEMENT OF CONDITION</w:t>
            </w:r>
            <w:r>
              <w:rPr>
                <w:rFonts w:ascii="Arial" w:eastAsia="宋体" w:hAnsi="Arial" w:cs="Arial"/>
                <w:b/>
                <w:bCs/>
                <w:sz w:val="10"/>
                <w:szCs w:val="10"/>
              </w:rPr>
              <w:t>(1)</w:t>
            </w:r>
            <w:r>
              <w:rPr>
                <w:rFonts w:ascii="Arial" w:eastAsia="宋体" w:hAnsi="Arial" w:cs="Arial"/>
                <w:b/>
                <w:bCs/>
                <w:sz w:val="16"/>
                <w:szCs w:val="16"/>
              </w:rPr>
              <w:t> </w:t>
            </w:r>
          </w:p>
        </w:tc>
      </w:tr>
      <w:tr w:rsidR="00F925DD" w14:paraId="555687E5" w14:textId="77777777">
        <w:tc>
          <w:tcPr>
            <w:tcW w:w="2250" w:type="pct"/>
            <w:shd w:val="clear" w:color="auto" w:fill="auto"/>
            <w:vAlign w:val="center"/>
          </w:tcPr>
          <w:p w14:paraId="555687D9" w14:textId="77777777" w:rsidR="00F925DD" w:rsidRDefault="00F925DD">
            <w:pPr>
              <w:rPr>
                <w:rFonts w:ascii="Times New Roman" w:hAnsi="Times New Roman"/>
                <w:sz w:val="20"/>
                <w:szCs w:val="20"/>
              </w:rPr>
            </w:pPr>
          </w:p>
        </w:tc>
        <w:tc>
          <w:tcPr>
            <w:tcW w:w="50" w:type="pct"/>
            <w:shd w:val="clear" w:color="auto" w:fill="auto"/>
            <w:vAlign w:val="center"/>
          </w:tcPr>
          <w:p w14:paraId="555687DA" w14:textId="77777777" w:rsidR="00F925DD" w:rsidRDefault="00F925DD">
            <w:pPr>
              <w:rPr>
                <w:rFonts w:ascii="Times New Roman" w:hAnsi="Times New Roman"/>
                <w:sz w:val="20"/>
                <w:szCs w:val="20"/>
              </w:rPr>
            </w:pPr>
          </w:p>
        </w:tc>
        <w:tc>
          <w:tcPr>
            <w:tcW w:w="750" w:type="pct"/>
            <w:shd w:val="clear" w:color="auto" w:fill="auto"/>
            <w:vAlign w:val="center"/>
          </w:tcPr>
          <w:p w14:paraId="555687DB" w14:textId="77777777" w:rsidR="00F925DD" w:rsidRDefault="00F925DD">
            <w:pPr>
              <w:rPr>
                <w:rFonts w:ascii="Times New Roman" w:hAnsi="Times New Roman"/>
                <w:sz w:val="20"/>
                <w:szCs w:val="20"/>
              </w:rPr>
            </w:pPr>
          </w:p>
        </w:tc>
        <w:tc>
          <w:tcPr>
            <w:tcW w:w="50" w:type="pct"/>
            <w:shd w:val="clear" w:color="auto" w:fill="auto"/>
            <w:vAlign w:val="center"/>
          </w:tcPr>
          <w:p w14:paraId="555687DC" w14:textId="77777777" w:rsidR="00F925DD" w:rsidRDefault="00F925DD">
            <w:pPr>
              <w:rPr>
                <w:rFonts w:ascii="Times New Roman" w:hAnsi="Times New Roman"/>
                <w:sz w:val="20"/>
                <w:szCs w:val="20"/>
              </w:rPr>
            </w:pPr>
          </w:p>
        </w:tc>
        <w:tc>
          <w:tcPr>
            <w:tcW w:w="100" w:type="pct"/>
            <w:shd w:val="clear" w:color="auto" w:fill="auto"/>
            <w:vAlign w:val="center"/>
          </w:tcPr>
          <w:p w14:paraId="555687DD" w14:textId="77777777" w:rsidR="00F925DD" w:rsidRDefault="00F925DD">
            <w:pPr>
              <w:rPr>
                <w:rFonts w:ascii="Times New Roman" w:hAnsi="Times New Roman"/>
                <w:sz w:val="20"/>
                <w:szCs w:val="20"/>
              </w:rPr>
            </w:pPr>
          </w:p>
        </w:tc>
        <w:tc>
          <w:tcPr>
            <w:tcW w:w="50" w:type="pct"/>
            <w:shd w:val="clear" w:color="auto" w:fill="auto"/>
            <w:vAlign w:val="center"/>
          </w:tcPr>
          <w:p w14:paraId="555687DE" w14:textId="77777777" w:rsidR="00F925DD" w:rsidRDefault="00F925DD">
            <w:pPr>
              <w:rPr>
                <w:rFonts w:ascii="Times New Roman" w:hAnsi="Times New Roman"/>
                <w:sz w:val="20"/>
                <w:szCs w:val="20"/>
              </w:rPr>
            </w:pPr>
          </w:p>
        </w:tc>
        <w:tc>
          <w:tcPr>
            <w:tcW w:w="750" w:type="pct"/>
            <w:shd w:val="clear" w:color="auto" w:fill="auto"/>
            <w:vAlign w:val="center"/>
          </w:tcPr>
          <w:p w14:paraId="555687DF" w14:textId="77777777" w:rsidR="00F925DD" w:rsidRDefault="00F925DD">
            <w:pPr>
              <w:rPr>
                <w:rFonts w:ascii="Times New Roman" w:hAnsi="Times New Roman"/>
                <w:sz w:val="20"/>
                <w:szCs w:val="20"/>
              </w:rPr>
            </w:pPr>
          </w:p>
        </w:tc>
        <w:tc>
          <w:tcPr>
            <w:tcW w:w="50" w:type="pct"/>
            <w:shd w:val="clear" w:color="auto" w:fill="auto"/>
            <w:vAlign w:val="center"/>
          </w:tcPr>
          <w:p w14:paraId="555687E0" w14:textId="77777777" w:rsidR="00F925DD" w:rsidRDefault="00F925DD">
            <w:pPr>
              <w:rPr>
                <w:rFonts w:ascii="Times New Roman" w:hAnsi="Times New Roman"/>
                <w:sz w:val="20"/>
                <w:szCs w:val="20"/>
              </w:rPr>
            </w:pPr>
          </w:p>
        </w:tc>
        <w:tc>
          <w:tcPr>
            <w:tcW w:w="100" w:type="pct"/>
            <w:shd w:val="clear" w:color="auto" w:fill="auto"/>
            <w:vAlign w:val="center"/>
          </w:tcPr>
          <w:p w14:paraId="555687E1" w14:textId="77777777" w:rsidR="00F925DD" w:rsidRDefault="00F925DD">
            <w:pPr>
              <w:rPr>
                <w:rFonts w:ascii="Times New Roman" w:hAnsi="Times New Roman"/>
                <w:sz w:val="20"/>
                <w:szCs w:val="20"/>
              </w:rPr>
            </w:pPr>
          </w:p>
        </w:tc>
        <w:tc>
          <w:tcPr>
            <w:tcW w:w="50" w:type="pct"/>
            <w:shd w:val="clear" w:color="auto" w:fill="auto"/>
            <w:vAlign w:val="center"/>
          </w:tcPr>
          <w:p w14:paraId="555687E2" w14:textId="77777777" w:rsidR="00F925DD" w:rsidRDefault="00F925DD">
            <w:pPr>
              <w:rPr>
                <w:rFonts w:ascii="Times New Roman" w:hAnsi="Times New Roman"/>
                <w:sz w:val="20"/>
                <w:szCs w:val="20"/>
              </w:rPr>
            </w:pPr>
          </w:p>
        </w:tc>
        <w:tc>
          <w:tcPr>
            <w:tcW w:w="750" w:type="pct"/>
            <w:shd w:val="clear" w:color="auto" w:fill="auto"/>
            <w:vAlign w:val="center"/>
          </w:tcPr>
          <w:p w14:paraId="555687E3" w14:textId="77777777" w:rsidR="00F925DD" w:rsidRDefault="00F925DD">
            <w:pPr>
              <w:rPr>
                <w:rFonts w:ascii="Times New Roman" w:hAnsi="Times New Roman"/>
                <w:sz w:val="20"/>
                <w:szCs w:val="20"/>
              </w:rPr>
            </w:pPr>
          </w:p>
        </w:tc>
        <w:tc>
          <w:tcPr>
            <w:tcW w:w="50" w:type="pct"/>
            <w:shd w:val="clear" w:color="auto" w:fill="auto"/>
            <w:vAlign w:val="center"/>
          </w:tcPr>
          <w:p w14:paraId="555687E4" w14:textId="77777777" w:rsidR="00F925DD" w:rsidRDefault="00F925DD">
            <w:pPr>
              <w:rPr>
                <w:rFonts w:ascii="Times New Roman" w:hAnsi="Times New Roman"/>
                <w:sz w:val="20"/>
                <w:szCs w:val="20"/>
              </w:rPr>
            </w:pPr>
          </w:p>
        </w:tc>
      </w:tr>
      <w:tr w:rsidR="00F925DD" w14:paraId="555687EC" w14:textId="77777777">
        <w:tc>
          <w:tcPr>
            <w:tcW w:w="0" w:type="auto"/>
            <w:shd w:val="clear" w:color="auto" w:fill="auto"/>
            <w:tcMar>
              <w:top w:w="40" w:type="dxa"/>
              <w:left w:w="40" w:type="dxa"/>
              <w:bottom w:w="40" w:type="dxa"/>
              <w:right w:w="40" w:type="dxa"/>
            </w:tcMar>
            <w:vAlign w:val="bottom"/>
          </w:tcPr>
          <w:p w14:paraId="555687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7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7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7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7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7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7EF" w14:textId="77777777">
        <w:tc>
          <w:tcPr>
            <w:tcW w:w="0" w:type="auto"/>
            <w:shd w:val="clear" w:color="auto" w:fill="auto"/>
            <w:tcMar>
              <w:top w:w="40" w:type="dxa"/>
              <w:left w:w="40" w:type="dxa"/>
              <w:bottom w:w="40" w:type="dxa"/>
              <w:right w:w="40" w:type="dxa"/>
            </w:tcMar>
            <w:vAlign w:val="bottom"/>
          </w:tcPr>
          <w:p w14:paraId="555687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87E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Years Ended December 31,</w:t>
            </w:r>
          </w:p>
        </w:tc>
      </w:tr>
      <w:tr w:rsidR="00F925DD" w14:paraId="555687F6" w14:textId="77777777">
        <w:tc>
          <w:tcPr>
            <w:tcW w:w="0" w:type="auto"/>
            <w:shd w:val="clear" w:color="auto" w:fill="auto"/>
            <w:tcMar>
              <w:top w:w="40" w:type="dxa"/>
              <w:left w:w="40" w:type="dxa"/>
              <w:bottom w:w="40" w:type="dxa"/>
              <w:right w:w="40" w:type="dxa"/>
            </w:tcMar>
            <w:vAlign w:val="bottom"/>
          </w:tcPr>
          <w:p w14:paraId="555687F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87F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87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87F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87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87F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2017</w:t>
            </w:r>
          </w:p>
        </w:tc>
      </w:tr>
      <w:tr w:rsidR="00F925DD" w14:paraId="555687FD" w14:textId="77777777">
        <w:tc>
          <w:tcPr>
            <w:tcW w:w="0" w:type="auto"/>
            <w:shd w:val="clear" w:color="auto" w:fill="auto"/>
            <w:tcMar>
              <w:top w:w="40" w:type="dxa"/>
              <w:left w:w="40" w:type="dxa"/>
              <w:bottom w:w="40" w:type="dxa"/>
              <w:right w:w="40" w:type="dxa"/>
            </w:tcMar>
            <w:vAlign w:val="bottom"/>
          </w:tcPr>
          <w:p w14:paraId="555687F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Assets:</w:t>
            </w:r>
          </w:p>
        </w:tc>
        <w:tc>
          <w:tcPr>
            <w:tcW w:w="0" w:type="auto"/>
            <w:gridSpan w:val="3"/>
            <w:shd w:val="clear" w:color="auto" w:fill="auto"/>
            <w:tcMar>
              <w:top w:w="40" w:type="dxa"/>
              <w:left w:w="40" w:type="dxa"/>
              <w:bottom w:w="40" w:type="dxa"/>
              <w:right w:w="40" w:type="dxa"/>
            </w:tcMar>
            <w:vAlign w:val="bottom"/>
          </w:tcPr>
          <w:p w14:paraId="555687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7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7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7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7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80A" w14:textId="77777777">
        <w:tc>
          <w:tcPr>
            <w:tcW w:w="0" w:type="auto"/>
            <w:shd w:val="clear" w:color="auto" w:fill="CCEEFF"/>
            <w:tcMar>
              <w:top w:w="40" w:type="dxa"/>
              <w:left w:w="40" w:type="dxa"/>
              <w:bottom w:w="40" w:type="dxa"/>
              <w:right w:w="40" w:type="dxa"/>
            </w:tcMar>
            <w:vAlign w:val="bottom"/>
          </w:tcPr>
          <w:p w14:paraId="555687FE"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Interest-bearing deposits with banks</w:t>
            </w:r>
          </w:p>
        </w:tc>
        <w:tc>
          <w:tcPr>
            <w:tcW w:w="0" w:type="auto"/>
            <w:shd w:val="clear" w:color="auto" w:fill="CCEEFF"/>
            <w:tcMar>
              <w:top w:w="40" w:type="dxa"/>
              <w:left w:w="40" w:type="dxa"/>
              <w:bottom w:w="40" w:type="dxa"/>
            </w:tcMar>
            <w:vAlign w:val="bottom"/>
          </w:tcPr>
          <w:p w14:paraId="555687F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880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48,500</w:t>
            </w:r>
          </w:p>
        </w:tc>
        <w:tc>
          <w:tcPr>
            <w:tcW w:w="0" w:type="auto"/>
            <w:shd w:val="clear" w:color="auto" w:fill="CCEEFF"/>
            <w:vAlign w:val="bottom"/>
          </w:tcPr>
          <w:p w14:paraId="5556880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80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880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54,328</w:t>
            </w:r>
          </w:p>
        </w:tc>
        <w:tc>
          <w:tcPr>
            <w:tcW w:w="0" w:type="auto"/>
            <w:shd w:val="clear" w:color="auto" w:fill="CCEEFF"/>
            <w:vAlign w:val="bottom"/>
          </w:tcPr>
          <w:p w14:paraId="555688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80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880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47,514</w:t>
            </w:r>
          </w:p>
        </w:tc>
        <w:tc>
          <w:tcPr>
            <w:tcW w:w="0" w:type="auto"/>
            <w:shd w:val="clear" w:color="auto" w:fill="CCEEFF"/>
            <w:vAlign w:val="bottom"/>
          </w:tcPr>
          <w:p w14:paraId="55568809" w14:textId="77777777" w:rsidR="00F925DD" w:rsidRDefault="00F925DD">
            <w:pPr>
              <w:textAlignment w:val="bottom"/>
              <w:rPr>
                <w:rFonts w:ascii="Times New Roman" w:hAnsi="Times New Roman"/>
                <w:sz w:val="20"/>
                <w:szCs w:val="20"/>
              </w:rPr>
            </w:pPr>
          </w:p>
        </w:tc>
      </w:tr>
      <w:tr w:rsidR="00F925DD" w14:paraId="55568814" w14:textId="77777777">
        <w:tc>
          <w:tcPr>
            <w:tcW w:w="0" w:type="auto"/>
            <w:shd w:val="clear" w:color="auto" w:fill="auto"/>
            <w:tcMar>
              <w:top w:w="40" w:type="dxa"/>
              <w:left w:w="40" w:type="dxa"/>
              <w:bottom w:w="40" w:type="dxa"/>
              <w:right w:w="40" w:type="dxa"/>
            </w:tcMar>
            <w:vAlign w:val="bottom"/>
          </w:tcPr>
          <w:p w14:paraId="5556880B" w14:textId="77777777" w:rsidR="00F925DD" w:rsidRDefault="00E705D7">
            <w:pPr>
              <w:textAlignment w:val="bottom"/>
              <w:rPr>
                <w:rFonts w:ascii="Times New Roman" w:hAnsi="Times New Roman"/>
                <w:sz w:val="15"/>
                <w:szCs w:val="15"/>
              </w:rPr>
            </w:pPr>
            <w:r>
              <w:rPr>
                <w:rFonts w:ascii="Arial" w:eastAsia="宋体" w:hAnsi="Arial" w:cs="Arial"/>
                <w:sz w:val="15"/>
                <w:szCs w:val="15"/>
              </w:rPr>
              <w:t>Securities purchased under resale agreements</w:t>
            </w:r>
          </w:p>
        </w:tc>
        <w:tc>
          <w:tcPr>
            <w:tcW w:w="0" w:type="auto"/>
            <w:gridSpan w:val="2"/>
            <w:shd w:val="clear" w:color="auto" w:fill="auto"/>
            <w:tcMar>
              <w:top w:w="40" w:type="dxa"/>
              <w:left w:w="40" w:type="dxa"/>
              <w:bottom w:w="40" w:type="dxa"/>
            </w:tcMar>
            <w:vAlign w:val="bottom"/>
          </w:tcPr>
          <w:p w14:paraId="5556880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2,506</w:t>
            </w:r>
          </w:p>
        </w:tc>
        <w:tc>
          <w:tcPr>
            <w:tcW w:w="0" w:type="auto"/>
            <w:shd w:val="clear" w:color="auto" w:fill="auto"/>
            <w:vAlign w:val="bottom"/>
          </w:tcPr>
          <w:p w14:paraId="5556880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0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2,901</w:t>
            </w:r>
          </w:p>
        </w:tc>
        <w:tc>
          <w:tcPr>
            <w:tcW w:w="0" w:type="auto"/>
            <w:shd w:val="clear" w:color="auto" w:fill="auto"/>
            <w:vAlign w:val="bottom"/>
          </w:tcPr>
          <w:p w14:paraId="5556881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1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2,131</w:t>
            </w:r>
          </w:p>
        </w:tc>
        <w:tc>
          <w:tcPr>
            <w:tcW w:w="0" w:type="auto"/>
            <w:shd w:val="clear" w:color="auto" w:fill="auto"/>
            <w:vAlign w:val="bottom"/>
          </w:tcPr>
          <w:p w14:paraId="55568813" w14:textId="77777777" w:rsidR="00F925DD" w:rsidRDefault="00F925DD">
            <w:pPr>
              <w:textAlignment w:val="bottom"/>
              <w:rPr>
                <w:rFonts w:ascii="Times New Roman" w:hAnsi="Times New Roman"/>
                <w:sz w:val="20"/>
                <w:szCs w:val="20"/>
              </w:rPr>
            </w:pPr>
          </w:p>
        </w:tc>
      </w:tr>
      <w:tr w:rsidR="00F925DD" w14:paraId="5556881E" w14:textId="77777777">
        <w:tc>
          <w:tcPr>
            <w:tcW w:w="0" w:type="auto"/>
            <w:shd w:val="clear" w:color="auto" w:fill="CCEEFF"/>
            <w:tcMar>
              <w:top w:w="40" w:type="dxa"/>
              <w:left w:w="40" w:type="dxa"/>
              <w:bottom w:w="40" w:type="dxa"/>
              <w:right w:w="40" w:type="dxa"/>
            </w:tcMar>
            <w:vAlign w:val="bottom"/>
          </w:tcPr>
          <w:p w14:paraId="55568815" w14:textId="77777777" w:rsidR="00F925DD" w:rsidRDefault="00E705D7">
            <w:pPr>
              <w:textAlignment w:val="bottom"/>
              <w:rPr>
                <w:rFonts w:ascii="Times New Roman" w:hAnsi="Times New Roman"/>
                <w:sz w:val="15"/>
                <w:szCs w:val="15"/>
              </w:rPr>
            </w:pPr>
            <w:r>
              <w:rPr>
                <w:rFonts w:ascii="Arial" w:eastAsia="宋体" w:hAnsi="Arial" w:cs="Arial"/>
                <w:sz w:val="15"/>
                <w:szCs w:val="15"/>
              </w:rPr>
              <w:t>Trading account assets</w:t>
            </w:r>
          </w:p>
        </w:tc>
        <w:tc>
          <w:tcPr>
            <w:tcW w:w="0" w:type="auto"/>
            <w:gridSpan w:val="2"/>
            <w:shd w:val="clear" w:color="auto" w:fill="CCEEFF"/>
            <w:tcMar>
              <w:top w:w="40" w:type="dxa"/>
              <w:left w:w="40" w:type="dxa"/>
              <w:bottom w:w="40" w:type="dxa"/>
            </w:tcMar>
            <w:vAlign w:val="bottom"/>
          </w:tcPr>
          <w:p w14:paraId="5556881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884</w:t>
            </w:r>
          </w:p>
        </w:tc>
        <w:tc>
          <w:tcPr>
            <w:tcW w:w="0" w:type="auto"/>
            <w:shd w:val="clear" w:color="auto" w:fill="CCEEFF"/>
            <w:vAlign w:val="bottom"/>
          </w:tcPr>
          <w:p w14:paraId="5556881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1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1,051</w:t>
            </w:r>
          </w:p>
        </w:tc>
        <w:tc>
          <w:tcPr>
            <w:tcW w:w="0" w:type="auto"/>
            <w:shd w:val="clear" w:color="auto" w:fill="CCEEFF"/>
            <w:vAlign w:val="bottom"/>
          </w:tcPr>
          <w:p w14:paraId="555688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1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1,011</w:t>
            </w:r>
          </w:p>
        </w:tc>
        <w:tc>
          <w:tcPr>
            <w:tcW w:w="0" w:type="auto"/>
            <w:shd w:val="clear" w:color="auto" w:fill="CCEEFF"/>
            <w:vAlign w:val="bottom"/>
          </w:tcPr>
          <w:p w14:paraId="5556881D" w14:textId="77777777" w:rsidR="00F925DD" w:rsidRDefault="00F925DD">
            <w:pPr>
              <w:textAlignment w:val="bottom"/>
              <w:rPr>
                <w:rFonts w:ascii="Times New Roman" w:hAnsi="Times New Roman"/>
                <w:sz w:val="20"/>
                <w:szCs w:val="20"/>
              </w:rPr>
            </w:pPr>
          </w:p>
        </w:tc>
      </w:tr>
      <w:tr w:rsidR="00F925DD" w14:paraId="55568828" w14:textId="77777777">
        <w:tc>
          <w:tcPr>
            <w:tcW w:w="0" w:type="auto"/>
            <w:shd w:val="clear" w:color="auto" w:fill="auto"/>
            <w:tcMar>
              <w:top w:w="40" w:type="dxa"/>
              <w:left w:w="40" w:type="dxa"/>
              <w:bottom w:w="40" w:type="dxa"/>
              <w:right w:w="40" w:type="dxa"/>
            </w:tcMar>
            <w:vAlign w:val="bottom"/>
          </w:tcPr>
          <w:p w14:paraId="5556881F" w14:textId="77777777" w:rsidR="00F925DD" w:rsidRDefault="00E705D7">
            <w:pPr>
              <w:textAlignment w:val="bottom"/>
              <w:rPr>
                <w:rFonts w:ascii="Times New Roman" w:hAnsi="Times New Roman"/>
                <w:sz w:val="15"/>
                <w:szCs w:val="15"/>
              </w:rPr>
            </w:pPr>
            <w:r>
              <w:rPr>
                <w:rFonts w:ascii="Arial" w:eastAsia="宋体" w:hAnsi="Arial" w:cs="Arial"/>
                <w:sz w:val="15"/>
                <w:szCs w:val="15"/>
              </w:rPr>
              <w:t>Investment securities</w:t>
            </w:r>
          </w:p>
        </w:tc>
        <w:tc>
          <w:tcPr>
            <w:tcW w:w="0" w:type="auto"/>
            <w:gridSpan w:val="2"/>
            <w:shd w:val="clear" w:color="auto" w:fill="auto"/>
            <w:tcMar>
              <w:top w:w="40" w:type="dxa"/>
              <w:left w:w="40" w:type="dxa"/>
              <w:bottom w:w="40" w:type="dxa"/>
            </w:tcMar>
            <w:vAlign w:val="bottom"/>
          </w:tcPr>
          <w:p w14:paraId="5556882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91,768</w:t>
            </w:r>
          </w:p>
        </w:tc>
        <w:tc>
          <w:tcPr>
            <w:tcW w:w="0" w:type="auto"/>
            <w:shd w:val="clear" w:color="auto" w:fill="auto"/>
            <w:vAlign w:val="bottom"/>
          </w:tcPr>
          <w:p w14:paraId="5556882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2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88,070</w:t>
            </w:r>
          </w:p>
        </w:tc>
        <w:tc>
          <w:tcPr>
            <w:tcW w:w="0" w:type="auto"/>
            <w:shd w:val="clear" w:color="auto" w:fill="auto"/>
            <w:vAlign w:val="bottom"/>
          </w:tcPr>
          <w:p w14:paraId="5556882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2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95,779</w:t>
            </w:r>
          </w:p>
        </w:tc>
        <w:tc>
          <w:tcPr>
            <w:tcW w:w="0" w:type="auto"/>
            <w:shd w:val="clear" w:color="auto" w:fill="auto"/>
            <w:vAlign w:val="bottom"/>
          </w:tcPr>
          <w:p w14:paraId="55568827" w14:textId="77777777" w:rsidR="00F925DD" w:rsidRDefault="00F925DD">
            <w:pPr>
              <w:textAlignment w:val="bottom"/>
              <w:rPr>
                <w:rFonts w:ascii="Times New Roman" w:hAnsi="Times New Roman"/>
                <w:sz w:val="20"/>
                <w:szCs w:val="20"/>
              </w:rPr>
            </w:pPr>
          </w:p>
        </w:tc>
      </w:tr>
      <w:tr w:rsidR="00F925DD" w14:paraId="55568832" w14:textId="77777777">
        <w:tc>
          <w:tcPr>
            <w:tcW w:w="0" w:type="auto"/>
            <w:shd w:val="clear" w:color="auto" w:fill="CCEEFF"/>
            <w:tcMar>
              <w:top w:w="40" w:type="dxa"/>
              <w:left w:w="40" w:type="dxa"/>
              <w:bottom w:w="40" w:type="dxa"/>
              <w:right w:w="40" w:type="dxa"/>
            </w:tcMar>
            <w:vAlign w:val="bottom"/>
          </w:tcPr>
          <w:p w14:paraId="55568829"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Loans and </w:t>
            </w:r>
            <w:r>
              <w:rPr>
                <w:rFonts w:ascii="Arial" w:eastAsia="宋体" w:hAnsi="Arial" w:cs="Arial"/>
                <w:sz w:val="15"/>
                <w:szCs w:val="15"/>
              </w:rPr>
              <w:t>leases</w:t>
            </w:r>
          </w:p>
        </w:tc>
        <w:tc>
          <w:tcPr>
            <w:tcW w:w="0" w:type="auto"/>
            <w:gridSpan w:val="2"/>
            <w:shd w:val="clear" w:color="auto" w:fill="CCEEFF"/>
            <w:tcMar>
              <w:top w:w="40" w:type="dxa"/>
              <w:left w:w="40" w:type="dxa"/>
              <w:bottom w:w="40" w:type="dxa"/>
            </w:tcMar>
            <w:vAlign w:val="bottom"/>
          </w:tcPr>
          <w:p w14:paraId="5556882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24,073</w:t>
            </w:r>
          </w:p>
        </w:tc>
        <w:tc>
          <w:tcPr>
            <w:tcW w:w="0" w:type="auto"/>
            <w:shd w:val="clear" w:color="auto" w:fill="CCEEFF"/>
            <w:vAlign w:val="bottom"/>
          </w:tcPr>
          <w:p w14:paraId="555688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2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23,573</w:t>
            </w:r>
          </w:p>
        </w:tc>
        <w:tc>
          <w:tcPr>
            <w:tcW w:w="0" w:type="auto"/>
            <w:shd w:val="clear" w:color="auto" w:fill="CCEEFF"/>
            <w:vAlign w:val="bottom"/>
          </w:tcPr>
          <w:p w14:paraId="555688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3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21,916</w:t>
            </w:r>
          </w:p>
        </w:tc>
        <w:tc>
          <w:tcPr>
            <w:tcW w:w="0" w:type="auto"/>
            <w:shd w:val="clear" w:color="auto" w:fill="CCEEFF"/>
            <w:vAlign w:val="bottom"/>
          </w:tcPr>
          <w:p w14:paraId="55568831" w14:textId="77777777" w:rsidR="00F925DD" w:rsidRDefault="00F925DD">
            <w:pPr>
              <w:textAlignment w:val="bottom"/>
              <w:rPr>
                <w:rFonts w:ascii="Times New Roman" w:hAnsi="Times New Roman"/>
                <w:sz w:val="20"/>
                <w:szCs w:val="20"/>
              </w:rPr>
            </w:pPr>
          </w:p>
        </w:tc>
      </w:tr>
      <w:tr w:rsidR="00F925DD" w14:paraId="5556883C" w14:textId="77777777">
        <w:tc>
          <w:tcPr>
            <w:tcW w:w="0" w:type="auto"/>
            <w:shd w:val="clear" w:color="auto" w:fill="auto"/>
            <w:tcMar>
              <w:top w:w="40" w:type="dxa"/>
              <w:left w:w="40" w:type="dxa"/>
              <w:bottom w:w="40" w:type="dxa"/>
              <w:right w:w="40" w:type="dxa"/>
            </w:tcMar>
            <w:vAlign w:val="bottom"/>
          </w:tcPr>
          <w:p w14:paraId="55568833"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interest-earning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5556883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14,160</w:t>
            </w:r>
          </w:p>
        </w:tc>
        <w:tc>
          <w:tcPr>
            <w:tcW w:w="0" w:type="auto"/>
            <w:tcBorders>
              <w:bottom w:val="single" w:sz="8" w:space="0" w:color="000000"/>
            </w:tcBorders>
            <w:shd w:val="clear" w:color="auto" w:fill="auto"/>
            <w:vAlign w:val="bottom"/>
          </w:tcPr>
          <w:p w14:paraId="5556883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83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15,714</w:t>
            </w:r>
          </w:p>
        </w:tc>
        <w:tc>
          <w:tcPr>
            <w:tcW w:w="0" w:type="auto"/>
            <w:tcBorders>
              <w:bottom w:val="single" w:sz="8" w:space="0" w:color="000000"/>
            </w:tcBorders>
            <w:shd w:val="clear" w:color="auto" w:fill="auto"/>
            <w:vAlign w:val="bottom"/>
          </w:tcPr>
          <w:p w14:paraId="5556883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83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22,884</w:t>
            </w:r>
          </w:p>
        </w:tc>
        <w:tc>
          <w:tcPr>
            <w:tcW w:w="0" w:type="auto"/>
            <w:tcBorders>
              <w:bottom w:val="single" w:sz="8" w:space="0" w:color="000000"/>
            </w:tcBorders>
            <w:shd w:val="clear" w:color="auto" w:fill="auto"/>
            <w:vAlign w:val="bottom"/>
          </w:tcPr>
          <w:p w14:paraId="5556883B" w14:textId="77777777" w:rsidR="00F925DD" w:rsidRDefault="00F925DD">
            <w:pPr>
              <w:textAlignment w:val="bottom"/>
              <w:rPr>
                <w:rFonts w:ascii="Times New Roman" w:hAnsi="Times New Roman"/>
                <w:sz w:val="20"/>
                <w:szCs w:val="20"/>
              </w:rPr>
            </w:pPr>
          </w:p>
        </w:tc>
      </w:tr>
      <w:tr w:rsidR="00F925DD" w14:paraId="55568846" w14:textId="77777777">
        <w:tc>
          <w:tcPr>
            <w:tcW w:w="0" w:type="auto"/>
            <w:shd w:val="clear" w:color="auto" w:fill="CCEEFF"/>
            <w:tcMar>
              <w:top w:w="40" w:type="dxa"/>
              <w:left w:w="400" w:type="dxa"/>
              <w:bottom w:w="40" w:type="dxa"/>
              <w:right w:w="40" w:type="dxa"/>
            </w:tcMar>
            <w:vAlign w:val="bottom"/>
          </w:tcPr>
          <w:p w14:paraId="5556883D" w14:textId="77777777" w:rsidR="00F925DD" w:rsidRDefault="00E705D7">
            <w:pPr>
              <w:textAlignment w:val="bottom"/>
              <w:rPr>
                <w:rFonts w:ascii="Times New Roman" w:hAnsi="Times New Roman"/>
                <w:sz w:val="15"/>
                <w:szCs w:val="15"/>
              </w:rPr>
            </w:pPr>
            <w:r>
              <w:rPr>
                <w:rFonts w:ascii="Arial" w:eastAsia="宋体" w:hAnsi="Arial" w:cs="Arial"/>
                <w:sz w:val="15"/>
                <w:szCs w:val="15"/>
              </w:rPr>
              <w:t>Average total interest-earning assets</w:t>
            </w:r>
          </w:p>
        </w:tc>
        <w:tc>
          <w:tcPr>
            <w:tcW w:w="0" w:type="auto"/>
            <w:gridSpan w:val="2"/>
            <w:shd w:val="clear" w:color="auto" w:fill="CCEEFF"/>
            <w:tcMar>
              <w:top w:w="40" w:type="dxa"/>
              <w:left w:w="40" w:type="dxa"/>
              <w:bottom w:w="40" w:type="dxa"/>
            </w:tcMar>
            <w:vAlign w:val="bottom"/>
          </w:tcPr>
          <w:p w14:paraId="5556883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181,891</w:t>
            </w:r>
          </w:p>
        </w:tc>
        <w:tc>
          <w:tcPr>
            <w:tcW w:w="0" w:type="auto"/>
            <w:shd w:val="clear" w:color="auto" w:fill="CCEEFF"/>
            <w:vAlign w:val="bottom"/>
          </w:tcPr>
          <w:p w14:paraId="5556883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4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185,637</w:t>
            </w:r>
          </w:p>
        </w:tc>
        <w:tc>
          <w:tcPr>
            <w:tcW w:w="0" w:type="auto"/>
            <w:shd w:val="clear" w:color="auto" w:fill="CCEEFF"/>
            <w:vAlign w:val="bottom"/>
          </w:tcPr>
          <w:p w14:paraId="555688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84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191,235</w:t>
            </w:r>
          </w:p>
        </w:tc>
        <w:tc>
          <w:tcPr>
            <w:tcW w:w="0" w:type="auto"/>
            <w:tcBorders>
              <w:top w:val="single" w:sz="8" w:space="0" w:color="000000"/>
            </w:tcBorders>
            <w:shd w:val="clear" w:color="auto" w:fill="CCEEFF"/>
            <w:vAlign w:val="bottom"/>
          </w:tcPr>
          <w:p w14:paraId="55568845" w14:textId="77777777" w:rsidR="00F925DD" w:rsidRDefault="00F925DD">
            <w:pPr>
              <w:textAlignment w:val="bottom"/>
              <w:rPr>
                <w:rFonts w:ascii="Times New Roman" w:hAnsi="Times New Roman"/>
                <w:sz w:val="20"/>
                <w:szCs w:val="20"/>
              </w:rPr>
            </w:pPr>
          </w:p>
        </w:tc>
      </w:tr>
      <w:tr w:rsidR="00F925DD" w14:paraId="55568850" w14:textId="77777777">
        <w:tc>
          <w:tcPr>
            <w:tcW w:w="0" w:type="auto"/>
            <w:shd w:val="clear" w:color="auto" w:fill="auto"/>
            <w:tcMar>
              <w:top w:w="40" w:type="dxa"/>
              <w:left w:w="40" w:type="dxa"/>
              <w:bottom w:w="40" w:type="dxa"/>
              <w:right w:w="40" w:type="dxa"/>
            </w:tcMar>
            <w:vAlign w:val="bottom"/>
          </w:tcPr>
          <w:p w14:paraId="55568847" w14:textId="77777777" w:rsidR="00F925DD" w:rsidRDefault="00E705D7">
            <w:pPr>
              <w:textAlignment w:val="bottom"/>
              <w:rPr>
                <w:rFonts w:ascii="Times New Roman" w:hAnsi="Times New Roman"/>
                <w:sz w:val="15"/>
                <w:szCs w:val="15"/>
              </w:rPr>
            </w:pPr>
            <w:r>
              <w:rPr>
                <w:rFonts w:ascii="Arial" w:eastAsia="宋体" w:hAnsi="Arial" w:cs="Arial"/>
                <w:sz w:val="15"/>
                <w:szCs w:val="15"/>
              </w:rPr>
              <w:t>Cash and due from banks</w:t>
            </w:r>
          </w:p>
        </w:tc>
        <w:tc>
          <w:tcPr>
            <w:tcW w:w="0" w:type="auto"/>
            <w:gridSpan w:val="2"/>
            <w:shd w:val="clear" w:color="auto" w:fill="auto"/>
            <w:tcMar>
              <w:top w:w="40" w:type="dxa"/>
              <w:left w:w="40" w:type="dxa"/>
              <w:bottom w:w="40" w:type="dxa"/>
            </w:tcMar>
            <w:vAlign w:val="bottom"/>
          </w:tcPr>
          <w:p w14:paraId="5556884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3,390</w:t>
            </w:r>
          </w:p>
        </w:tc>
        <w:tc>
          <w:tcPr>
            <w:tcW w:w="0" w:type="auto"/>
            <w:shd w:val="clear" w:color="auto" w:fill="auto"/>
            <w:vAlign w:val="bottom"/>
          </w:tcPr>
          <w:p w14:paraId="5556884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4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3,178</w:t>
            </w:r>
          </w:p>
        </w:tc>
        <w:tc>
          <w:tcPr>
            <w:tcW w:w="0" w:type="auto"/>
            <w:shd w:val="clear" w:color="auto" w:fill="auto"/>
            <w:vAlign w:val="bottom"/>
          </w:tcPr>
          <w:p w14:paraId="5556884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4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3,097</w:t>
            </w:r>
          </w:p>
        </w:tc>
        <w:tc>
          <w:tcPr>
            <w:tcW w:w="0" w:type="auto"/>
            <w:shd w:val="clear" w:color="auto" w:fill="auto"/>
            <w:vAlign w:val="bottom"/>
          </w:tcPr>
          <w:p w14:paraId="5556884F" w14:textId="77777777" w:rsidR="00F925DD" w:rsidRDefault="00F925DD">
            <w:pPr>
              <w:textAlignment w:val="bottom"/>
              <w:rPr>
                <w:rFonts w:ascii="Times New Roman" w:hAnsi="Times New Roman"/>
                <w:sz w:val="20"/>
                <w:szCs w:val="20"/>
              </w:rPr>
            </w:pPr>
          </w:p>
        </w:tc>
      </w:tr>
      <w:tr w:rsidR="00F925DD" w14:paraId="5556885A" w14:textId="77777777">
        <w:tc>
          <w:tcPr>
            <w:tcW w:w="0" w:type="auto"/>
            <w:shd w:val="clear" w:color="auto" w:fill="CCEEFF"/>
            <w:tcMar>
              <w:top w:w="40" w:type="dxa"/>
              <w:left w:w="40" w:type="dxa"/>
              <w:bottom w:w="40" w:type="dxa"/>
              <w:right w:w="40" w:type="dxa"/>
            </w:tcMar>
            <w:vAlign w:val="bottom"/>
          </w:tcPr>
          <w:p w14:paraId="55568851"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Other </w:t>
            </w:r>
            <w:r>
              <w:rPr>
                <w:rFonts w:ascii="Arial" w:eastAsia="宋体" w:hAnsi="Arial" w:cs="Arial"/>
                <w:sz w:val="15"/>
                <w:szCs w:val="15"/>
              </w:rPr>
              <w:t>non-interest-earning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85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38,053</w:t>
            </w:r>
          </w:p>
        </w:tc>
        <w:tc>
          <w:tcPr>
            <w:tcW w:w="0" w:type="auto"/>
            <w:tcBorders>
              <w:bottom w:val="single" w:sz="8" w:space="0" w:color="000000"/>
            </w:tcBorders>
            <w:shd w:val="clear" w:color="auto" w:fill="CCEEFF"/>
            <w:vAlign w:val="bottom"/>
          </w:tcPr>
          <w:p w14:paraId="555688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85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34,570</w:t>
            </w:r>
          </w:p>
        </w:tc>
        <w:tc>
          <w:tcPr>
            <w:tcW w:w="0" w:type="auto"/>
            <w:tcBorders>
              <w:bottom w:val="single" w:sz="8" w:space="0" w:color="000000"/>
            </w:tcBorders>
            <w:shd w:val="clear" w:color="auto" w:fill="CCEEFF"/>
            <w:vAlign w:val="bottom"/>
          </w:tcPr>
          <w:p w14:paraId="5556885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85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25,118</w:t>
            </w:r>
          </w:p>
        </w:tc>
        <w:tc>
          <w:tcPr>
            <w:tcW w:w="0" w:type="auto"/>
            <w:tcBorders>
              <w:bottom w:val="single" w:sz="8" w:space="0" w:color="000000"/>
            </w:tcBorders>
            <w:shd w:val="clear" w:color="auto" w:fill="CCEEFF"/>
            <w:vAlign w:val="bottom"/>
          </w:tcPr>
          <w:p w14:paraId="55568859" w14:textId="77777777" w:rsidR="00F925DD" w:rsidRDefault="00F925DD">
            <w:pPr>
              <w:textAlignment w:val="bottom"/>
              <w:rPr>
                <w:rFonts w:ascii="Times New Roman" w:hAnsi="Times New Roman"/>
                <w:sz w:val="20"/>
                <w:szCs w:val="20"/>
              </w:rPr>
            </w:pPr>
          </w:p>
        </w:tc>
      </w:tr>
      <w:tr w:rsidR="00F925DD" w14:paraId="55568867" w14:textId="77777777">
        <w:tc>
          <w:tcPr>
            <w:tcW w:w="0" w:type="auto"/>
            <w:shd w:val="clear" w:color="auto" w:fill="auto"/>
            <w:tcMar>
              <w:top w:w="40" w:type="dxa"/>
              <w:left w:w="400" w:type="dxa"/>
              <w:bottom w:w="40" w:type="dxa"/>
              <w:right w:w="40" w:type="dxa"/>
            </w:tcMar>
            <w:vAlign w:val="bottom"/>
          </w:tcPr>
          <w:p w14:paraId="5556885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Average total assets</w:t>
            </w:r>
          </w:p>
        </w:tc>
        <w:tc>
          <w:tcPr>
            <w:tcW w:w="0" w:type="auto"/>
            <w:tcBorders>
              <w:bottom w:val="double" w:sz="6" w:space="0" w:color="000000"/>
            </w:tcBorders>
            <w:shd w:val="clear" w:color="auto" w:fill="auto"/>
            <w:tcMar>
              <w:top w:w="40" w:type="dxa"/>
              <w:left w:w="40" w:type="dxa"/>
              <w:bottom w:w="40" w:type="dxa"/>
            </w:tcMar>
            <w:vAlign w:val="bottom"/>
          </w:tcPr>
          <w:p w14:paraId="5556885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auto"/>
            <w:tcMar>
              <w:top w:w="40" w:type="dxa"/>
              <w:bottom w:w="40" w:type="dxa"/>
            </w:tcMar>
            <w:vAlign w:val="bottom"/>
          </w:tcPr>
          <w:p w14:paraId="5556885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223,334</w:t>
            </w:r>
          </w:p>
        </w:tc>
        <w:tc>
          <w:tcPr>
            <w:tcW w:w="0" w:type="auto"/>
            <w:tcBorders>
              <w:bottom w:val="double" w:sz="6" w:space="0" w:color="000000"/>
            </w:tcBorders>
            <w:shd w:val="clear" w:color="auto" w:fill="auto"/>
            <w:vAlign w:val="bottom"/>
          </w:tcPr>
          <w:p w14:paraId="5556885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886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886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223,385</w:t>
            </w:r>
          </w:p>
        </w:tc>
        <w:tc>
          <w:tcPr>
            <w:tcW w:w="0" w:type="auto"/>
            <w:tcBorders>
              <w:bottom w:val="double" w:sz="6" w:space="0" w:color="000000"/>
            </w:tcBorders>
            <w:shd w:val="clear" w:color="auto" w:fill="auto"/>
            <w:vAlign w:val="bottom"/>
          </w:tcPr>
          <w:p w14:paraId="5556886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86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86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219,450</w:t>
            </w:r>
          </w:p>
        </w:tc>
        <w:tc>
          <w:tcPr>
            <w:tcW w:w="0" w:type="auto"/>
            <w:tcBorders>
              <w:top w:val="single" w:sz="8" w:space="0" w:color="000000"/>
              <w:bottom w:val="double" w:sz="6" w:space="0" w:color="000000"/>
            </w:tcBorders>
            <w:shd w:val="clear" w:color="auto" w:fill="auto"/>
            <w:vAlign w:val="bottom"/>
          </w:tcPr>
          <w:p w14:paraId="55568866" w14:textId="77777777" w:rsidR="00F925DD" w:rsidRDefault="00F925DD">
            <w:pPr>
              <w:textAlignment w:val="bottom"/>
              <w:rPr>
                <w:rFonts w:ascii="Times New Roman" w:hAnsi="Times New Roman"/>
                <w:sz w:val="20"/>
                <w:szCs w:val="20"/>
              </w:rPr>
            </w:pPr>
          </w:p>
        </w:tc>
      </w:tr>
      <w:tr w:rsidR="00F925DD" w14:paraId="5556886E" w14:textId="77777777">
        <w:tc>
          <w:tcPr>
            <w:tcW w:w="0" w:type="auto"/>
            <w:shd w:val="clear" w:color="auto" w:fill="auto"/>
            <w:tcMar>
              <w:top w:w="40" w:type="dxa"/>
              <w:left w:w="40" w:type="dxa"/>
              <w:bottom w:w="40" w:type="dxa"/>
              <w:right w:w="40" w:type="dxa"/>
            </w:tcMar>
            <w:vAlign w:val="bottom"/>
          </w:tcPr>
          <w:p w14:paraId="5556886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Liabilities and shareholders’ equity:</w:t>
            </w:r>
          </w:p>
        </w:tc>
        <w:tc>
          <w:tcPr>
            <w:tcW w:w="0" w:type="auto"/>
            <w:gridSpan w:val="3"/>
            <w:shd w:val="clear" w:color="auto" w:fill="auto"/>
            <w:tcMar>
              <w:top w:w="40" w:type="dxa"/>
              <w:left w:w="40" w:type="dxa"/>
              <w:bottom w:w="40" w:type="dxa"/>
              <w:right w:w="40" w:type="dxa"/>
            </w:tcMar>
            <w:vAlign w:val="bottom"/>
          </w:tcPr>
          <w:p w14:paraId="555688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8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8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8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8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875" w14:textId="77777777">
        <w:tc>
          <w:tcPr>
            <w:tcW w:w="0" w:type="auto"/>
            <w:shd w:val="clear" w:color="auto" w:fill="auto"/>
            <w:tcMar>
              <w:top w:w="40" w:type="dxa"/>
              <w:left w:w="40" w:type="dxa"/>
              <w:bottom w:w="40" w:type="dxa"/>
              <w:right w:w="40" w:type="dxa"/>
            </w:tcMar>
            <w:vAlign w:val="bottom"/>
          </w:tcPr>
          <w:p w14:paraId="5556886F"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Interest-bearing deposits:</w:t>
            </w:r>
          </w:p>
        </w:tc>
        <w:tc>
          <w:tcPr>
            <w:tcW w:w="0" w:type="auto"/>
            <w:gridSpan w:val="3"/>
            <w:shd w:val="clear" w:color="auto" w:fill="auto"/>
            <w:tcMar>
              <w:top w:w="40" w:type="dxa"/>
              <w:left w:w="40" w:type="dxa"/>
              <w:bottom w:w="40" w:type="dxa"/>
              <w:right w:w="40" w:type="dxa"/>
            </w:tcMar>
            <w:vAlign w:val="bottom"/>
          </w:tcPr>
          <w:p w14:paraId="555688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8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8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8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8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882" w14:textId="77777777">
        <w:tc>
          <w:tcPr>
            <w:tcW w:w="0" w:type="auto"/>
            <w:shd w:val="clear" w:color="auto" w:fill="CCEEFF"/>
            <w:tcMar>
              <w:top w:w="40" w:type="dxa"/>
              <w:left w:w="400" w:type="dxa"/>
              <w:bottom w:w="40" w:type="dxa"/>
              <w:right w:w="40" w:type="dxa"/>
            </w:tcMar>
            <w:vAlign w:val="bottom"/>
          </w:tcPr>
          <w:p w14:paraId="55568876" w14:textId="77777777" w:rsidR="00F925DD" w:rsidRDefault="00E705D7">
            <w:pPr>
              <w:textAlignment w:val="bottom"/>
              <w:rPr>
                <w:rFonts w:ascii="Times New Roman" w:hAnsi="Times New Roman"/>
                <w:sz w:val="15"/>
                <w:szCs w:val="15"/>
              </w:rPr>
            </w:pPr>
            <w:r>
              <w:rPr>
                <w:rFonts w:ascii="Arial" w:eastAsia="宋体" w:hAnsi="Arial" w:cs="Arial"/>
                <w:sz w:val="15"/>
                <w:szCs w:val="15"/>
              </w:rPr>
              <w:t>U.S.</w:t>
            </w:r>
          </w:p>
        </w:tc>
        <w:tc>
          <w:tcPr>
            <w:tcW w:w="0" w:type="auto"/>
            <w:shd w:val="clear" w:color="auto" w:fill="CCEEFF"/>
            <w:tcMar>
              <w:top w:w="40" w:type="dxa"/>
              <w:left w:w="40" w:type="dxa"/>
              <w:bottom w:w="40" w:type="dxa"/>
            </w:tcMar>
            <w:vAlign w:val="bottom"/>
          </w:tcPr>
          <w:p w14:paraId="5556887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887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67,547</w:t>
            </w:r>
          </w:p>
        </w:tc>
        <w:tc>
          <w:tcPr>
            <w:tcW w:w="0" w:type="auto"/>
            <w:shd w:val="clear" w:color="auto" w:fill="CCEEFF"/>
            <w:vAlign w:val="bottom"/>
          </w:tcPr>
          <w:p w14:paraId="5556887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87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887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54,953</w:t>
            </w:r>
          </w:p>
        </w:tc>
        <w:tc>
          <w:tcPr>
            <w:tcW w:w="0" w:type="auto"/>
            <w:shd w:val="clear" w:color="auto" w:fill="CCEEFF"/>
            <w:vAlign w:val="bottom"/>
          </w:tcPr>
          <w:p w14:paraId="5556887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87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888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30,623</w:t>
            </w:r>
          </w:p>
        </w:tc>
        <w:tc>
          <w:tcPr>
            <w:tcW w:w="0" w:type="auto"/>
            <w:shd w:val="clear" w:color="auto" w:fill="CCEEFF"/>
            <w:vAlign w:val="bottom"/>
          </w:tcPr>
          <w:p w14:paraId="55568881" w14:textId="77777777" w:rsidR="00F925DD" w:rsidRDefault="00F925DD">
            <w:pPr>
              <w:textAlignment w:val="bottom"/>
              <w:rPr>
                <w:rFonts w:ascii="Times New Roman" w:hAnsi="Times New Roman"/>
                <w:sz w:val="20"/>
                <w:szCs w:val="20"/>
              </w:rPr>
            </w:pPr>
          </w:p>
        </w:tc>
      </w:tr>
      <w:tr w:rsidR="00F925DD" w14:paraId="5556888C" w14:textId="77777777">
        <w:tc>
          <w:tcPr>
            <w:tcW w:w="0" w:type="auto"/>
            <w:shd w:val="clear" w:color="auto" w:fill="auto"/>
            <w:tcMar>
              <w:top w:w="40" w:type="dxa"/>
              <w:left w:w="400" w:type="dxa"/>
              <w:bottom w:w="40" w:type="dxa"/>
              <w:right w:w="40" w:type="dxa"/>
            </w:tcMar>
            <w:vAlign w:val="bottom"/>
          </w:tcPr>
          <w:p w14:paraId="55568883" w14:textId="77777777" w:rsidR="00F925DD" w:rsidRDefault="00E705D7">
            <w:pPr>
              <w:textAlignment w:val="bottom"/>
              <w:rPr>
                <w:rFonts w:ascii="Times New Roman" w:hAnsi="Times New Roman"/>
                <w:sz w:val="15"/>
                <w:szCs w:val="15"/>
              </w:rPr>
            </w:pPr>
            <w:r>
              <w:rPr>
                <w:rFonts w:ascii="Arial" w:eastAsia="宋体" w:hAnsi="Arial" w:cs="Arial"/>
                <w:sz w:val="15"/>
                <w:szCs w:val="15"/>
              </w:rPr>
              <w:t>Non-U.S.</w:t>
            </w:r>
          </w:p>
        </w:tc>
        <w:tc>
          <w:tcPr>
            <w:tcW w:w="0" w:type="auto"/>
            <w:gridSpan w:val="2"/>
            <w:tcBorders>
              <w:bottom w:val="single" w:sz="8" w:space="0" w:color="000000"/>
            </w:tcBorders>
            <w:shd w:val="clear" w:color="auto" w:fill="auto"/>
            <w:tcMar>
              <w:top w:w="40" w:type="dxa"/>
              <w:left w:w="40" w:type="dxa"/>
              <w:bottom w:w="40" w:type="dxa"/>
            </w:tcMar>
            <w:vAlign w:val="bottom"/>
          </w:tcPr>
          <w:p w14:paraId="5556888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61,301</w:t>
            </w:r>
          </w:p>
        </w:tc>
        <w:tc>
          <w:tcPr>
            <w:tcW w:w="0" w:type="auto"/>
            <w:tcBorders>
              <w:bottom w:val="single" w:sz="8" w:space="0" w:color="000000"/>
            </w:tcBorders>
            <w:shd w:val="clear" w:color="auto" w:fill="auto"/>
            <w:vAlign w:val="bottom"/>
          </w:tcPr>
          <w:p w14:paraId="5556888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88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70,623</w:t>
            </w:r>
          </w:p>
        </w:tc>
        <w:tc>
          <w:tcPr>
            <w:tcW w:w="0" w:type="auto"/>
            <w:tcBorders>
              <w:bottom w:val="single" w:sz="8" w:space="0" w:color="000000"/>
            </w:tcBorders>
            <w:shd w:val="clear" w:color="auto" w:fill="auto"/>
            <w:vAlign w:val="bottom"/>
          </w:tcPr>
          <w:p w14:paraId="5556888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88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91,937</w:t>
            </w:r>
          </w:p>
        </w:tc>
        <w:tc>
          <w:tcPr>
            <w:tcW w:w="0" w:type="auto"/>
            <w:tcBorders>
              <w:bottom w:val="single" w:sz="8" w:space="0" w:color="000000"/>
            </w:tcBorders>
            <w:shd w:val="clear" w:color="auto" w:fill="auto"/>
            <w:vAlign w:val="bottom"/>
          </w:tcPr>
          <w:p w14:paraId="5556888B" w14:textId="77777777" w:rsidR="00F925DD" w:rsidRDefault="00F925DD">
            <w:pPr>
              <w:textAlignment w:val="bottom"/>
              <w:rPr>
                <w:rFonts w:ascii="Times New Roman" w:hAnsi="Times New Roman"/>
                <w:sz w:val="20"/>
                <w:szCs w:val="20"/>
              </w:rPr>
            </w:pPr>
          </w:p>
        </w:tc>
      </w:tr>
      <w:tr w:rsidR="00F925DD" w14:paraId="55568896" w14:textId="77777777">
        <w:tc>
          <w:tcPr>
            <w:tcW w:w="0" w:type="auto"/>
            <w:shd w:val="clear" w:color="auto" w:fill="CCEEFF"/>
            <w:tcMar>
              <w:top w:w="40" w:type="dxa"/>
              <w:left w:w="40" w:type="dxa"/>
              <w:bottom w:w="40" w:type="dxa"/>
              <w:right w:w="40" w:type="dxa"/>
            </w:tcMar>
            <w:vAlign w:val="bottom"/>
          </w:tcPr>
          <w:p w14:paraId="5556888D"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interest-bearing deposits(2)</w:t>
            </w:r>
          </w:p>
        </w:tc>
        <w:tc>
          <w:tcPr>
            <w:tcW w:w="0" w:type="auto"/>
            <w:gridSpan w:val="2"/>
            <w:shd w:val="clear" w:color="auto" w:fill="CCEEFF"/>
            <w:tcMar>
              <w:top w:w="40" w:type="dxa"/>
              <w:left w:w="40" w:type="dxa"/>
              <w:bottom w:w="40" w:type="dxa"/>
            </w:tcMar>
            <w:vAlign w:val="bottom"/>
          </w:tcPr>
          <w:p w14:paraId="5556888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128,848</w:t>
            </w:r>
          </w:p>
        </w:tc>
        <w:tc>
          <w:tcPr>
            <w:tcW w:w="0" w:type="auto"/>
            <w:shd w:val="clear" w:color="auto" w:fill="CCEEFF"/>
            <w:vAlign w:val="bottom"/>
          </w:tcPr>
          <w:p w14:paraId="5556888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9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125,576</w:t>
            </w:r>
          </w:p>
        </w:tc>
        <w:tc>
          <w:tcPr>
            <w:tcW w:w="0" w:type="auto"/>
            <w:shd w:val="clear" w:color="auto" w:fill="CCEEFF"/>
            <w:vAlign w:val="bottom"/>
          </w:tcPr>
          <w:p w14:paraId="5556889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89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122,560</w:t>
            </w:r>
          </w:p>
        </w:tc>
        <w:tc>
          <w:tcPr>
            <w:tcW w:w="0" w:type="auto"/>
            <w:tcBorders>
              <w:top w:val="single" w:sz="8" w:space="0" w:color="000000"/>
            </w:tcBorders>
            <w:shd w:val="clear" w:color="auto" w:fill="CCEEFF"/>
            <w:vAlign w:val="bottom"/>
          </w:tcPr>
          <w:p w14:paraId="55568895" w14:textId="77777777" w:rsidR="00F925DD" w:rsidRDefault="00F925DD">
            <w:pPr>
              <w:textAlignment w:val="bottom"/>
              <w:rPr>
                <w:rFonts w:ascii="Times New Roman" w:hAnsi="Times New Roman"/>
                <w:sz w:val="20"/>
                <w:szCs w:val="20"/>
              </w:rPr>
            </w:pPr>
          </w:p>
        </w:tc>
      </w:tr>
      <w:tr w:rsidR="00F925DD" w14:paraId="555688A0" w14:textId="77777777">
        <w:tc>
          <w:tcPr>
            <w:tcW w:w="0" w:type="auto"/>
            <w:shd w:val="clear" w:color="auto" w:fill="auto"/>
            <w:tcMar>
              <w:top w:w="40" w:type="dxa"/>
              <w:left w:w="40" w:type="dxa"/>
              <w:bottom w:w="40" w:type="dxa"/>
              <w:right w:w="40" w:type="dxa"/>
            </w:tcMar>
            <w:vAlign w:val="bottom"/>
          </w:tcPr>
          <w:p w14:paraId="55568897" w14:textId="77777777" w:rsidR="00F925DD" w:rsidRDefault="00E705D7">
            <w:pPr>
              <w:textAlignment w:val="bottom"/>
              <w:rPr>
                <w:rFonts w:ascii="Times New Roman" w:hAnsi="Times New Roman"/>
                <w:sz w:val="15"/>
                <w:szCs w:val="15"/>
              </w:rPr>
            </w:pPr>
            <w:r>
              <w:rPr>
                <w:rFonts w:ascii="Arial" w:eastAsia="宋体" w:hAnsi="Arial" w:cs="Arial"/>
                <w:sz w:val="15"/>
                <w:szCs w:val="15"/>
              </w:rPr>
              <w:t>Securities sold under repurchase agreements</w:t>
            </w:r>
          </w:p>
        </w:tc>
        <w:tc>
          <w:tcPr>
            <w:tcW w:w="0" w:type="auto"/>
            <w:gridSpan w:val="2"/>
            <w:shd w:val="clear" w:color="auto" w:fill="auto"/>
            <w:tcMar>
              <w:top w:w="40" w:type="dxa"/>
              <w:left w:w="40" w:type="dxa"/>
              <w:bottom w:w="40" w:type="dxa"/>
            </w:tcMar>
            <w:vAlign w:val="bottom"/>
          </w:tcPr>
          <w:p w14:paraId="5556889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1,616</w:t>
            </w:r>
          </w:p>
        </w:tc>
        <w:tc>
          <w:tcPr>
            <w:tcW w:w="0" w:type="auto"/>
            <w:shd w:val="clear" w:color="auto" w:fill="auto"/>
            <w:vAlign w:val="bottom"/>
          </w:tcPr>
          <w:p w14:paraId="5556889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9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2,048</w:t>
            </w:r>
          </w:p>
        </w:tc>
        <w:tc>
          <w:tcPr>
            <w:tcW w:w="0" w:type="auto"/>
            <w:shd w:val="clear" w:color="auto" w:fill="auto"/>
            <w:vAlign w:val="bottom"/>
          </w:tcPr>
          <w:p w14:paraId="5556889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9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3,683</w:t>
            </w:r>
          </w:p>
        </w:tc>
        <w:tc>
          <w:tcPr>
            <w:tcW w:w="0" w:type="auto"/>
            <w:shd w:val="clear" w:color="auto" w:fill="auto"/>
            <w:vAlign w:val="bottom"/>
          </w:tcPr>
          <w:p w14:paraId="5556889F" w14:textId="77777777" w:rsidR="00F925DD" w:rsidRDefault="00F925DD">
            <w:pPr>
              <w:textAlignment w:val="bottom"/>
              <w:rPr>
                <w:rFonts w:ascii="Times New Roman" w:hAnsi="Times New Roman"/>
                <w:sz w:val="20"/>
                <w:szCs w:val="20"/>
              </w:rPr>
            </w:pPr>
          </w:p>
        </w:tc>
      </w:tr>
      <w:tr w:rsidR="00F925DD" w14:paraId="555688AA" w14:textId="77777777">
        <w:tc>
          <w:tcPr>
            <w:tcW w:w="0" w:type="auto"/>
            <w:shd w:val="clear" w:color="auto" w:fill="CCEEFF"/>
            <w:tcMar>
              <w:top w:w="40" w:type="dxa"/>
              <w:left w:w="40" w:type="dxa"/>
              <w:bottom w:w="40" w:type="dxa"/>
              <w:right w:w="40" w:type="dxa"/>
            </w:tcMar>
            <w:vAlign w:val="bottom"/>
          </w:tcPr>
          <w:p w14:paraId="555688A1"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short-term borrowings</w:t>
            </w:r>
          </w:p>
        </w:tc>
        <w:tc>
          <w:tcPr>
            <w:tcW w:w="0" w:type="auto"/>
            <w:gridSpan w:val="2"/>
            <w:shd w:val="clear" w:color="auto" w:fill="CCEEFF"/>
            <w:tcMar>
              <w:top w:w="40" w:type="dxa"/>
              <w:left w:w="40" w:type="dxa"/>
              <w:bottom w:w="40" w:type="dxa"/>
            </w:tcMar>
            <w:vAlign w:val="bottom"/>
          </w:tcPr>
          <w:p w14:paraId="555688A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1,524</w:t>
            </w:r>
          </w:p>
        </w:tc>
        <w:tc>
          <w:tcPr>
            <w:tcW w:w="0" w:type="auto"/>
            <w:shd w:val="clear" w:color="auto" w:fill="CCEEFF"/>
            <w:vAlign w:val="bottom"/>
          </w:tcPr>
          <w:p w14:paraId="555688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A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1,327</w:t>
            </w:r>
          </w:p>
        </w:tc>
        <w:tc>
          <w:tcPr>
            <w:tcW w:w="0" w:type="auto"/>
            <w:shd w:val="clear" w:color="auto" w:fill="CCEEFF"/>
            <w:vAlign w:val="bottom"/>
          </w:tcPr>
          <w:p w14:paraId="555688A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A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1,313</w:t>
            </w:r>
          </w:p>
        </w:tc>
        <w:tc>
          <w:tcPr>
            <w:tcW w:w="0" w:type="auto"/>
            <w:shd w:val="clear" w:color="auto" w:fill="CCEEFF"/>
            <w:vAlign w:val="bottom"/>
          </w:tcPr>
          <w:p w14:paraId="555688A9" w14:textId="77777777" w:rsidR="00F925DD" w:rsidRDefault="00F925DD">
            <w:pPr>
              <w:textAlignment w:val="bottom"/>
              <w:rPr>
                <w:rFonts w:ascii="Times New Roman" w:hAnsi="Times New Roman"/>
                <w:sz w:val="20"/>
                <w:szCs w:val="20"/>
              </w:rPr>
            </w:pPr>
          </w:p>
        </w:tc>
      </w:tr>
      <w:tr w:rsidR="00F925DD" w14:paraId="555688B4" w14:textId="77777777">
        <w:tc>
          <w:tcPr>
            <w:tcW w:w="0" w:type="auto"/>
            <w:shd w:val="clear" w:color="auto" w:fill="auto"/>
            <w:tcMar>
              <w:top w:w="40" w:type="dxa"/>
              <w:left w:w="40" w:type="dxa"/>
              <w:bottom w:w="40" w:type="dxa"/>
              <w:right w:w="40" w:type="dxa"/>
            </w:tcMar>
            <w:vAlign w:val="bottom"/>
          </w:tcPr>
          <w:p w14:paraId="555688AB" w14:textId="77777777" w:rsidR="00F925DD" w:rsidRDefault="00E705D7">
            <w:pPr>
              <w:textAlignment w:val="bottom"/>
              <w:rPr>
                <w:rFonts w:ascii="Times New Roman" w:hAnsi="Times New Roman"/>
                <w:sz w:val="15"/>
                <w:szCs w:val="15"/>
              </w:rPr>
            </w:pPr>
            <w:r>
              <w:rPr>
                <w:rFonts w:ascii="Arial" w:eastAsia="宋体" w:hAnsi="Arial" w:cs="Arial"/>
                <w:sz w:val="15"/>
                <w:szCs w:val="15"/>
              </w:rPr>
              <w:t>Long-term debt</w:t>
            </w:r>
          </w:p>
        </w:tc>
        <w:tc>
          <w:tcPr>
            <w:tcW w:w="0" w:type="auto"/>
            <w:gridSpan w:val="2"/>
            <w:shd w:val="clear" w:color="auto" w:fill="auto"/>
            <w:tcMar>
              <w:top w:w="40" w:type="dxa"/>
              <w:left w:w="40" w:type="dxa"/>
              <w:bottom w:w="40" w:type="dxa"/>
            </w:tcMar>
            <w:vAlign w:val="bottom"/>
          </w:tcPr>
          <w:p w14:paraId="555688A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11,474</w:t>
            </w:r>
          </w:p>
        </w:tc>
        <w:tc>
          <w:tcPr>
            <w:tcW w:w="0" w:type="auto"/>
            <w:shd w:val="clear" w:color="auto" w:fill="auto"/>
            <w:vAlign w:val="bottom"/>
          </w:tcPr>
          <w:p w14:paraId="555688A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A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10,686</w:t>
            </w:r>
          </w:p>
        </w:tc>
        <w:tc>
          <w:tcPr>
            <w:tcW w:w="0" w:type="auto"/>
            <w:shd w:val="clear" w:color="auto" w:fill="auto"/>
            <w:vAlign w:val="bottom"/>
          </w:tcPr>
          <w:p w14:paraId="555688B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B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11,595</w:t>
            </w:r>
          </w:p>
        </w:tc>
        <w:tc>
          <w:tcPr>
            <w:tcW w:w="0" w:type="auto"/>
            <w:shd w:val="clear" w:color="auto" w:fill="auto"/>
            <w:vAlign w:val="bottom"/>
          </w:tcPr>
          <w:p w14:paraId="555688B3" w14:textId="77777777" w:rsidR="00F925DD" w:rsidRDefault="00F925DD">
            <w:pPr>
              <w:textAlignment w:val="bottom"/>
              <w:rPr>
                <w:rFonts w:ascii="Times New Roman" w:hAnsi="Times New Roman"/>
                <w:sz w:val="20"/>
                <w:szCs w:val="20"/>
              </w:rPr>
            </w:pPr>
          </w:p>
        </w:tc>
      </w:tr>
      <w:tr w:rsidR="00F925DD" w14:paraId="555688BE" w14:textId="77777777">
        <w:tc>
          <w:tcPr>
            <w:tcW w:w="0" w:type="auto"/>
            <w:shd w:val="clear" w:color="auto" w:fill="CCEEFF"/>
            <w:tcMar>
              <w:top w:w="40" w:type="dxa"/>
              <w:left w:w="40" w:type="dxa"/>
              <w:bottom w:w="40" w:type="dxa"/>
              <w:right w:w="40" w:type="dxa"/>
            </w:tcMar>
            <w:vAlign w:val="bottom"/>
          </w:tcPr>
          <w:p w14:paraId="555688B5"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interest-bearing 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8B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4,103</w:t>
            </w:r>
          </w:p>
        </w:tc>
        <w:tc>
          <w:tcPr>
            <w:tcW w:w="0" w:type="auto"/>
            <w:tcBorders>
              <w:bottom w:val="single" w:sz="8" w:space="0" w:color="000000"/>
            </w:tcBorders>
            <w:shd w:val="clear" w:color="auto" w:fill="CCEEFF"/>
            <w:vAlign w:val="bottom"/>
          </w:tcPr>
          <w:p w14:paraId="555688B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8B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4,956</w:t>
            </w:r>
          </w:p>
        </w:tc>
        <w:tc>
          <w:tcPr>
            <w:tcW w:w="0" w:type="auto"/>
            <w:tcBorders>
              <w:bottom w:val="single" w:sz="8" w:space="0" w:color="000000"/>
            </w:tcBorders>
            <w:shd w:val="clear" w:color="auto" w:fill="CCEEFF"/>
            <w:vAlign w:val="bottom"/>
          </w:tcPr>
          <w:p w14:paraId="555688B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8B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4,607</w:t>
            </w:r>
          </w:p>
        </w:tc>
        <w:tc>
          <w:tcPr>
            <w:tcW w:w="0" w:type="auto"/>
            <w:tcBorders>
              <w:bottom w:val="single" w:sz="8" w:space="0" w:color="000000"/>
            </w:tcBorders>
            <w:shd w:val="clear" w:color="auto" w:fill="CCEEFF"/>
            <w:vAlign w:val="bottom"/>
          </w:tcPr>
          <w:p w14:paraId="555688BD" w14:textId="77777777" w:rsidR="00F925DD" w:rsidRDefault="00F925DD">
            <w:pPr>
              <w:textAlignment w:val="bottom"/>
              <w:rPr>
                <w:rFonts w:ascii="Times New Roman" w:hAnsi="Times New Roman"/>
                <w:sz w:val="20"/>
                <w:szCs w:val="20"/>
              </w:rPr>
            </w:pPr>
          </w:p>
        </w:tc>
      </w:tr>
      <w:tr w:rsidR="00F925DD" w14:paraId="555688C8" w14:textId="77777777">
        <w:tc>
          <w:tcPr>
            <w:tcW w:w="0" w:type="auto"/>
            <w:shd w:val="clear" w:color="auto" w:fill="auto"/>
            <w:tcMar>
              <w:top w:w="40" w:type="dxa"/>
              <w:left w:w="400" w:type="dxa"/>
              <w:bottom w:w="40" w:type="dxa"/>
              <w:right w:w="40" w:type="dxa"/>
            </w:tcMar>
            <w:vAlign w:val="bottom"/>
          </w:tcPr>
          <w:p w14:paraId="555688BF" w14:textId="77777777" w:rsidR="00F925DD" w:rsidRDefault="00E705D7">
            <w:pPr>
              <w:textAlignment w:val="bottom"/>
              <w:rPr>
                <w:rFonts w:ascii="Times New Roman" w:hAnsi="Times New Roman"/>
                <w:sz w:val="15"/>
                <w:szCs w:val="15"/>
              </w:rPr>
            </w:pPr>
            <w:r>
              <w:rPr>
                <w:rFonts w:ascii="Arial" w:eastAsia="宋体" w:hAnsi="Arial" w:cs="Arial"/>
                <w:sz w:val="15"/>
                <w:szCs w:val="15"/>
              </w:rPr>
              <w:t>Average total interest-bearing liabilities</w:t>
            </w:r>
          </w:p>
        </w:tc>
        <w:tc>
          <w:tcPr>
            <w:tcW w:w="0" w:type="auto"/>
            <w:gridSpan w:val="2"/>
            <w:shd w:val="clear" w:color="auto" w:fill="auto"/>
            <w:tcMar>
              <w:top w:w="40" w:type="dxa"/>
              <w:left w:w="40" w:type="dxa"/>
              <w:bottom w:w="40" w:type="dxa"/>
            </w:tcMar>
            <w:vAlign w:val="bottom"/>
          </w:tcPr>
          <w:p w14:paraId="555688C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147,565</w:t>
            </w:r>
          </w:p>
        </w:tc>
        <w:tc>
          <w:tcPr>
            <w:tcW w:w="0" w:type="auto"/>
            <w:shd w:val="clear" w:color="auto" w:fill="auto"/>
            <w:vAlign w:val="bottom"/>
          </w:tcPr>
          <w:p w14:paraId="555688C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C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144,593</w:t>
            </w:r>
          </w:p>
        </w:tc>
        <w:tc>
          <w:tcPr>
            <w:tcW w:w="0" w:type="auto"/>
            <w:shd w:val="clear" w:color="auto" w:fill="auto"/>
            <w:vAlign w:val="bottom"/>
          </w:tcPr>
          <w:p w14:paraId="555688C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88C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143,758</w:t>
            </w:r>
          </w:p>
        </w:tc>
        <w:tc>
          <w:tcPr>
            <w:tcW w:w="0" w:type="auto"/>
            <w:tcBorders>
              <w:top w:val="single" w:sz="8" w:space="0" w:color="000000"/>
            </w:tcBorders>
            <w:shd w:val="clear" w:color="auto" w:fill="auto"/>
            <w:vAlign w:val="bottom"/>
          </w:tcPr>
          <w:p w14:paraId="555688C7" w14:textId="77777777" w:rsidR="00F925DD" w:rsidRDefault="00F925DD">
            <w:pPr>
              <w:textAlignment w:val="bottom"/>
              <w:rPr>
                <w:rFonts w:ascii="Times New Roman" w:hAnsi="Times New Roman"/>
                <w:sz w:val="20"/>
                <w:szCs w:val="20"/>
              </w:rPr>
            </w:pPr>
          </w:p>
        </w:tc>
      </w:tr>
      <w:tr w:rsidR="00F925DD" w14:paraId="555688D2" w14:textId="77777777">
        <w:tc>
          <w:tcPr>
            <w:tcW w:w="0" w:type="auto"/>
            <w:shd w:val="clear" w:color="auto" w:fill="CCEEFF"/>
            <w:tcMar>
              <w:top w:w="40" w:type="dxa"/>
              <w:left w:w="40" w:type="dxa"/>
              <w:bottom w:w="40" w:type="dxa"/>
              <w:right w:w="40" w:type="dxa"/>
            </w:tcMar>
            <w:vAlign w:val="bottom"/>
          </w:tcPr>
          <w:p w14:paraId="555688C9" w14:textId="77777777" w:rsidR="00F925DD" w:rsidRDefault="00E705D7">
            <w:pPr>
              <w:textAlignment w:val="bottom"/>
              <w:rPr>
                <w:rFonts w:ascii="Times New Roman" w:hAnsi="Times New Roman"/>
                <w:sz w:val="15"/>
                <w:szCs w:val="15"/>
              </w:rPr>
            </w:pPr>
            <w:r>
              <w:rPr>
                <w:rFonts w:ascii="Arial" w:eastAsia="宋体" w:hAnsi="Arial" w:cs="Arial"/>
                <w:sz w:val="15"/>
                <w:szCs w:val="15"/>
              </w:rPr>
              <w:t>Non-interest-bearing deposits(2)</w:t>
            </w:r>
          </w:p>
        </w:tc>
        <w:tc>
          <w:tcPr>
            <w:tcW w:w="0" w:type="auto"/>
            <w:gridSpan w:val="2"/>
            <w:shd w:val="clear" w:color="auto" w:fill="CCEEFF"/>
            <w:tcMar>
              <w:top w:w="40" w:type="dxa"/>
              <w:left w:w="40" w:type="dxa"/>
              <w:bottom w:w="40" w:type="dxa"/>
            </w:tcMar>
            <w:vAlign w:val="bottom"/>
          </w:tcPr>
          <w:p w14:paraId="555688C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29,414</w:t>
            </w:r>
          </w:p>
        </w:tc>
        <w:tc>
          <w:tcPr>
            <w:tcW w:w="0" w:type="auto"/>
            <w:shd w:val="clear" w:color="auto" w:fill="CCEEFF"/>
            <w:vAlign w:val="bottom"/>
          </w:tcPr>
          <w:p w14:paraId="555688C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C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35,832</w:t>
            </w:r>
          </w:p>
        </w:tc>
        <w:tc>
          <w:tcPr>
            <w:tcW w:w="0" w:type="auto"/>
            <w:shd w:val="clear" w:color="auto" w:fill="CCEEFF"/>
            <w:vAlign w:val="bottom"/>
          </w:tcPr>
          <w:p w14:paraId="555688C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D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41,248</w:t>
            </w:r>
          </w:p>
        </w:tc>
        <w:tc>
          <w:tcPr>
            <w:tcW w:w="0" w:type="auto"/>
            <w:shd w:val="clear" w:color="auto" w:fill="CCEEFF"/>
            <w:vAlign w:val="bottom"/>
          </w:tcPr>
          <w:p w14:paraId="555688D1" w14:textId="77777777" w:rsidR="00F925DD" w:rsidRDefault="00F925DD">
            <w:pPr>
              <w:textAlignment w:val="bottom"/>
              <w:rPr>
                <w:rFonts w:ascii="Times New Roman" w:hAnsi="Times New Roman"/>
                <w:sz w:val="20"/>
                <w:szCs w:val="20"/>
              </w:rPr>
            </w:pPr>
          </w:p>
        </w:tc>
      </w:tr>
      <w:tr w:rsidR="00F925DD" w14:paraId="555688DC" w14:textId="77777777">
        <w:tc>
          <w:tcPr>
            <w:tcW w:w="0" w:type="auto"/>
            <w:shd w:val="clear" w:color="auto" w:fill="auto"/>
            <w:tcMar>
              <w:top w:w="40" w:type="dxa"/>
              <w:left w:w="40" w:type="dxa"/>
              <w:bottom w:w="40" w:type="dxa"/>
              <w:right w:w="40" w:type="dxa"/>
            </w:tcMar>
            <w:vAlign w:val="bottom"/>
          </w:tcPr>
          <w:p w14:paraId="555688D3"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Other </w:t>
            </w:r>
            <w:r>
              <w:rPr>
                <w:rFonts w:ascii="Arial" w:eastAsia="宋体" w:hAnsi="Arial" w:cs="Arial"/>
                <w:sz w:val="15"/>
                <w:szCs w:val="15"/>
              </w:rPr>
              <w:t>non-interest-bearing liabilities</w:t>
            </w:r>
          </w:p>
        </w:tc>
        <w:tc>
          <w:tcPr>
            <w:tcW w:w="0" w:type="auto"/>
            <w:gridSpan w:val="2"/>
            <w:shd w:val="clear" w:color="auto" w:fill="auto"/>
            <w:tcMar>
              <w:top w:w="40" w:type="dxa"/>
              <w:left w:w="40" w:type="dxa"/>
              <w:bottom w:w="40" w:type="dxa"/>
            </w:tcMar>
            <w:vAlign w:val="bottom"/>
          </w:tcPr>
          <w:p w14:paraId="555688D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21,299</w:t>
            </w:r>
          </w:p>
        </w:tc>
        <w:tc>
          <w:tcPr>
            <w:tcW w:w="0" w:type="auto"/>
            <w:shd w:val="clear" w:color="auto" w:fill="auto"/>
            <w:vAlign w:val="bottom"/>
          </w:tcPr>
          <w:p w14:paraId="555688D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D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19,804</w:t>
            </w:r>
          </w:p>
        </w:tc>
        <w:tc>
          <w:tcPr>
            <w:tcW w:w="0" w:type="auto"/>
            <w:shd w:val="clear" w:color="auto" w:fill="auto"/>
            <w:vAlign w:val="bottom"/>
          </w:tcPr>
          <w:p w14:paraId="555688D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D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12,379</w:t>
            </w:r>
          </w:p>
        </w:tc>
        <w:tc>
          <w:tcPr>
            <w:tcW w:w="0" w:type="auto"/>
            <w:shd w:val="clear" w:color="auto" w:fill="auto"/>
            <w:vAlign w:val="bottom"/>
          </w:tcPr>
          <w:p w14:paraId="555688DB" w14:textId="77777777" w:rsidR="00F925DD" w:rsidRDefault="00F925DD">
            <w:pPr>
              <w:textAlignment w:val="bottom"/>
              <w:rPr>
                <w:rFonts w:ascii="Times New Roman" w:hAnsi="Times New Roman"/>
                <w:sz w:val="20"/>
                <w:szCs w:val="20"/>
              </w:rPr>
            </w:pPr>
          </w:p>
        </w:tc>
      </w:tr>
      <w:tr w:rsidR="00F925DD" w14:paraId="555688E6" w14:textId="77777777">
        <w:tc>
          <w:tcPr>
            <w:tcW w:w="0" w:type="auto"/>
            <w:shd w:val="clear" w:color="auto" w:fill="CCEEFF"/>
            <w:tcMar>
              <w:top w:w="40" w:type="dxa"/>
              <w:left w:w="40" w:type="dxa"/>
              <w:bottom w:w="40" w:type="dxa"/>
              <w:right w:w="40" w:type="dxa"/>
            </w:tcMar>
            <w:vAlign w:val="bottom"/>
          </w:tcPr>
          <w:p w14:paraId="555688DD" w14:textId="77777777" w:rsidR="00F925DD" w:rsidRDefault="00E705D7">
            <w:pPr>
              <w:textAlignment w:val="bottom"/>
              <w:rPr>
                <w:rFonts w:ascii="Times New Roman" w:hAnsi="Times New Roman"/>
                <w:sz w:val="15"/>
                <w:szCs w:val="15"/>
              </w:rPr>
            </w:pPr>
            <w:r>
              <w:rPr>
                <w:rFonts w:ascii="Arial" w:eastAsia="宋体" w:hAnsi="Arial" w:cs="Arial"/>
                <w:sz w:val="15"/>
                <w:szCs w:val="15"/>
              </w:rPr>
              <w:t>Preferred shareholders’ equity</w:t>
            </w:r>
          </w:p>
        </w:tc>
        <w:tc>
          <w:tcPr>
            <w:tcW w:w="0" w:type="auto"/>
            <w:gridSpan w:val="2"/>
            <w:shd w:val="clear" w:color="auto" w:fill="CCEEFF"/>
            <w:tcMar>
              <w:top w:w="40" w:type="dxa"/>
              <w:left w:w="40" w:type="dxa"/>
              <w:bottom w:w="40" w:type="dxa"/>
            </w:tcMar>
            <w:vAlign w:val="bottom"/>
          </w:tcPr>
          <w:p w14:paraId="555688D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3,653</w:t>
            </w:r>
          </w:p>
        </w:tc>
        <w:tc>
          <w:tcPr>
            <w:tcW w:w="0" w:type="auto"/>
            <w:shd w:val="clear" w:color="auto" w:fill="CCEEFF"/>
            <w:vAlign w:val="bottom"/>
          </w:tcPr>
          <w:p w14:paraId="555688D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E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3,327</w:t>
            </w:r>
          </w:p>
        </w:tc>
        <w:tc>
          <w:tcPr>
            <w:tcW w:w="0" w:type="auto"/>
            <w:shd w:val="clear" w:color="auto" w:fill="CCEEFF"/>
            <w:vAlign w:val="bottom"/>
          </w:tcPr>
          <w:p w14:paraId="555688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8E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3,197</w:t>
            </w:r>
          </w:p>
        </w:tc>
        <w:tc>
          <w:tcPr>
            <w:tcW w:w="0" w:type="auto"/>
            <w:shd w:val="clear" w:color="auto" w:fill="CCEEFF"/>
            <w:vAlign w:val="bottom"/>
          </w:tcPr>
          <w:p w14:paraId="555688E5" w14:textId="77777777" w:rsidR="00F925DD" w:rsidRDefault="00F925DD">
            <w:pPr>
              <w:textAlignment w:val="bottom"/>
              <w:rPr>
                <w:rFonts w:ascii="Times New Roman" w:hAnsi="Times New Roman"/>
                <w:sz w:val="20"/>
                <w:szCs w:val="20"/>
              </w:rPr>
            </w:pPr>
          </w:p>
        </w:tc>
      </w:tr>
      <w:tr w:rsidR="00F925DD" w14:paraId="555688F0" w14:textId="77777777">
        <w:tc>
          <w:tcPr>
            <w:tcW w:w="0" w:type="auto"/>
            <w:shd w:val="clear" w:color="auto" w:fill="auto"/>
            <w:tcMar>
              <w:top w:w="40" w:type="dxa"/>
              <w:left w:w="40" w:type="dxa"/>
              <w:bottom w:w="40" w:type="dxa"/>
              <w:right w:w="40" w:type="dxa"/>
            </w:tcMar>
            <w:vAlign w:val="bottom"/>
          </w:tcPr>
          <w:p w14:paraId="555688E7" w14:textId="77777777" w:rsidR="00F925DD" w:rsidRDefault="00E705D7">
            <w:pPr>
              <w:textAlignment w:val="bottom"/>
              <w:rPr>
                <w:rFonts w:ascii="Times New Roman" w:hAnsi="Times New Roman"/>
                <w:sz w:val="15"/>
                <w:szCs w:val="15"/>
              </w:rPr>
            </w:pPr>
            <w:r>
              <w:rPr>
                <w:rFonts w:ascii="Arial" w:eastAsia="宋体" w:hAnsi="Arial" w:cs="Arial"/>
                <w:sz w:val="15"/>
                <w:szCs w:val="15"/>
              </w:rPr>
              <w:t>Common shareholders’ equity</w:t>
            </w:r>
          </w:p>
        </w:tc>
        <w:tc>
          <w:tcPr>
            <w:tcW w:w="0" w:type="auto"/>
            <w:gridSpan w:val="2"/>
            <w:shd w:val="clear" w:color="auto" w:fill="auto"/>
            <w:tcMar>
              <w:top w:w="40" w:type="dxa"/>
              <w:left w:w="40" w:type="dxa"/>
              <w:bottom w:w="40" w:type="dxa"/>
            </w:tcMar>
            <w:vAlign w:val="bottom"/>
          </w:tcPr>
          <w:p w14:paraId="555688E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21,403</w:t>
            </w:r>
          </w:p>
        </w:tc>
        <w:tc>
          <w:tcPr>
            <w:tcW w:w="0" w:type="auto"/>
            <w:shd w:val="clear" w:color="auto" w:fill="auto"/>
            <w:vAlign w:val="bottom"/>
          </w:tcPr>
          <w:p w14:paraId="555688E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E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19,829</w:t>
            </w:r>
          </w:p>
        </w:tc>
        <w:tc>
          <w:tcPr>
            <w:tcW w:w="0" w:type="auto"/>
            <w:shd w:val="clear" w:color="auto" w:fill="auto"/>
            <w:vAlign w:val="bottom"/>
          </w:tcPr>
          <w:p w14:paraId="555688E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8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8E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18,868</w:t>
            </w:r>
          </w:p>
        </w:tc>
        <w:tc>
          <w:tcPr>
            <w:tcW w:w="0" w:type="auto"/>
            <w:shd w:val="clear" w:color="auto" w:fill="auto"/>
            <w:vAlign w:val="bottom"/>
          </w:tcPr>
          <w:p w14:paraId="555688EF" w14:textId="77777777" w:rsidR="00F925DD" w:rsidRDefault="00F925DD">
            <w:pPr>
              <w:textAlignment w:val="bottom"/>
              <w:rPr>
                <w:rFonts w:ascii="Times New Roman" w:hAnsi="Times New Roman"/>
                <w:sz w:val="20"/>
                <w:szCs w:val="20"/>
              </w:rPr>
            </w:pPr>
          </w:p>
        </w:tc>
      </w:tr>
      <w:tr w:rsidR="00F925DD" w14:paraId="555688FD" w14:textId="77777777">
        <w:tc>
          <w:tcPr>
            <w:tcW w:w="0" w:type="auto"/>
            <w:shd w:val="clear" w:color="auto" w:fill="CCEEFF"/>
            <w:tcMar>
              <w:top w:w="40" w:type="dxa"/>
              <w:left w:w="400" w:type="dxa"/>
              <w:bottom w:w="40" w:type="dxa"/>
              <w:right w:w="40" w:type="dxa"/>
            </w:tcMar>
            <w:vAlign w:val="bottom"/>
          </w:tcPr>
          <w:p w14:paraId="555688F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Average total liabilities and shareholders’ equity</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8F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8F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223,334</w:t>
            </w:r>
          </w:p>
        </w:tc>
        <w:tc>
          <w:tcPr>
            <w:tcW w:w="0" w:type="auto"/>
            <w:tcBorders>
              <w:top w:val="single" w:sz="8" w:space="0" w:color="000000"/>
              <w:bottom w:val="double" w:sz="6" w:space="0" w:color="000000"/>
            </w:tcBorders>
            <w:shd w:val="clear" w:color="auto" w:fill="CCEEFF"/>
            <w:vAlign w:val="bottom"/>
          </w:tcPr>
          <w:p w14:paraId="555688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8F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8F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223,385</w:t>
            </w:r>
          </w:p>
        </w:tc>
        <w:tc>
          <w:tcPr>
            <w:tcW w:w="0" w:type="auto"/>
            <w:tcBorders>
              <w:top w:val="single" w:sz="8" w:space="0" w:color="000000"/>
              <w:bottom w:val="double" w:sz="6" w:space="0" w:color="000000"/>
            </w:tcBorders>
            <w:shd w:val="clear" w:color="auto" w:fill="CCEEFF"/>
            <w:vAlign w:val="bottom"/>
          </w:tcPr>
          <w:p w14:paraId="555688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8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8F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8F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219,450</w:t>
            </w:r>
          </w:p>
        </w:tc>
        <w:tc>
          <w:tcPr>
            <w:tcW w:w="0" w:type="auto"/>
            <w:tcBorders>
              <w:top w:val="single" w:sz="8" w:space="0" w:color="000000"/>
              <w:bottom w:val="double" w:sz="6" w:space="0" w:color="000000"/>
            </w:tcBorders>
            <w:shd w:val="clear" w:color="auto" w:fill="CCEEFF"/>
            <w:vAlign w:val="bottom"/>
          </w:tcPr>
          <w:p w14:paraId="555688FC" w14:textId="77777777" w:rsidR="00F925DD" w:rsidRDefault="00F925DD">
            <w:pPr>
              <w:textAlignment w:val="bottom"/>
              <w:rPr>
                <w:rFonts w:ascii="Times New Roman" w:hAnsi="Times New Roman"/>
                <w:sz w:val="20"/>
                <w:szCs w:val="20"/>
              </w:rPr>
            </w:pPr>
          </w:p>
        </w:tc>
      </w:tr>
    </w:tbl>
    <w:p w14:paraId="555688FE"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3821"/>
        <w:gridCol w:w="4485"/>
      </w:tblGrid>
      <w:tr w:rsidR="00F925DD" w14:paraId="55568900" w14:textId="77777777">
        <w:tc>
          <w:tcPr>
            <w:tcW w:w="0" w:type="auto"/>
            <w:gridSpan w:val="2"/>
            <w:shd w:val="clear" w:color="auto" w:fill="auto"/>
            <w:vAlign w:val="center"/>
          </w:tcPr>
          <w:p w14:paraId="555688FF" w14:textId="77777777" w:rsidR="00F925DD" w:rsidRDefault="00F925DD">
            <w:pPr>
              <w:rPr>
                <w:rFonts w:ascii="Times New Roman" w:hAnsi="Times New Roman"/>
                <w:sz w:val="20"/>
                <w:szCs w:val="20"/>
              </w:rPr>
            </w:pPr>
          </w:p>
        </w:tc>
      </w:tr>
      <w:tr w:rsidR="00F925DD" w14:paraId="55568903" w14:textId="77777777">
        <w:tc>
          <w:tcPr>
            <w:tcW w:w="2300" w:type="pct"/>
            <w:shd w:val="clear" w:color="auto" w:fill="auto"/>
            <w:vAlign w:val="center"/>
          </w:tcPr>
          <w:p w14:paraId="55568901" w14:textId="77777777" w:rsidR="00F925DD" w:rsidRDefault="00F925DD">
            <w:pPr>
              <w:rPr>
                <w:rFonts w:ascii="Times New Roman" w:hAnsi="Times New Roman"/>
                <w:sz w:val="20"/>
                <w:szCs w:val="20"/>
              </w:rPr>
            </w:pPr>
          </w:p>
        </w:tc>
        <w:tc>
          <w:tcPr>
            <w:tcW w:w="2700" w:type="pct"/>
            <w:shd w:val="clear" w:color="auto" w:fill="auto"/>
            <w:vAlign w:val="center"/>
          </w:tcPr>
          <w:p w14:paraId="55568902" w14:textId="77777777" w:rsidR="00F925DD" w:rsidRDefault="00F925DD">
            <w:pPr>
              <w:rPr>
                <w:rFonts w:ascii="Times New Roman" w:hAnsi="Times New Roman"/>
                <w:sz w:val="20"/>
                <w:szCs w:val="20"/>
              </w:rPr>
            </w:pPr>
          </w:p>
        </w:tc>
      </w:tr>
      <w:tr w:rsidR="00F925DD" w14:paraId="5556890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9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9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907"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Additional information about our average statement of condition, primarily our interest-earning assets and interest-bearing liabilities, is provided in "Net Interest Income" included in this Management's Discussion and </w:t>
      </w:r>
      <w:r>
        <w:rPr>
          <w:rFonts w:ascii="Arial" w:eastAsia="宋体" w:hAnsi="Arial" w:cs="Arial"/>
          <w:sz w:val="14"/>
          <w:szCs w:val="14"/>
        </w:rPr>
        <w:t>Analysis.</w:t>
      </w:r>
    </w:p>
    <w:p w14:paraId="55568908" w14:textId="77777777" w:rsidR="00F925DD" w:rsidRDefault="00E705D7">
      <w:pPr>
        <w:spacing w:line="288" w:lineRule="auto"/>
        <w:jc w:val="both"/>
        <w:rPr>
          <w:rFonts w:ascii="Times New Roman" w:hAnsi="Times New Roman"/>
          <w:sz w:val="20"/>
          <w:szCs w:val="20"/>
        </w:rPr>
      </w:pPr>
      <w:r>
        <w:rPr>
          <w:rFonts w:ascii="Arial" w:eastAsia="宋体" w:hAnsi="Arial" w:cs="Arial"/>
          <w:sz w:val="10"/>
          <w:szCs w:val="10"/>
        </w:rPr>
        <w:t xml:space="preserve">(2) </w:t>
      </w:r>
      <w:r>
        <w:rPr>
          <w:rFonts w:ascii="Arial" w:eastAsia="宋体" w:hAnsi="Arial" w:cs="Arial"/>
          <w:sz w:val="14"/>
          <w:szCs w:val="14"/>
        </w:rPr>
        <w:t>Total deposits averaged $158.26 billion in 2019</w:t>
      </w:r>
      <w:r>
        <w:rPr>
          <w:rFonts w:ascii="Arial" w:eastAsia="宋体" w:hAnsi="Arial" w:cs="Arial"/>
          <w:sz w:val="20"/>
          <w:szCs w:val="20"/>
        </w:rPr>
        <w:t xml:space="preserve"> </w:t>
      </w:r>
      <w:r>
        <w:rPr>
          <w:rFonts w:ascii="Arial" w:eastAsia="宋体" w:hAnsi="Arial" w:cs="Arial"/>
          <w:sz w:val="14"/>
          <w:szCs w:val="14"/>
        </w:rPr>
        <w:t>compared to $161.41 billion and $163.81 billion in 2018 and 2017, respectively.</w:t>
      </w:r>
    </w:p>
    <w:p w14:paraId="55568909" w14:textId="77777777" w:rsidR="00F925DD" w:rsidRDefault="00F925DD">
      <w:pPr>
        <w:rPr>
          <w:rFonts w:ascii="Times New Roman" w:hAnsi="Times New Roman"/>
          <w:sz w:val="20"/>
          <w:szCs w:val="20"/>
        </w:rPr>
      </w:pPr>
    </w:p>
    <w:p w14:paraId="5556890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74</w:t>
      </w:r>
    </w:p>
    <w:p w14:paraId="5556890B" w14:textId="77777777" w:rsidR="00F925DD" w:rsidRDefault="00F925DD">
      <w:pPr>
        <w:spacing w:line="288" w:lineRule="auto"/>
        <w:ind w:firstLine="600"/>
        <w:jc w:val="center"/>
        <w:rPr>
          <w:rFonts w:ascii="Times New Roman" w:hAnsi="Times New Roman"/>
          <w:sz w:val="18"/>
          <w:szCs w:val="18"/>
        </w:rPr>
      </w:pPr>
    </w:p>
    <w:p w14:paraId="5556890C" w14:textId="77777777" w:rsidR="00F925DD" w:rsidRDefault="00E705D7">
      <w:r>
        <w:rPr>
          <w:rFonts w:ascii="Times New Roman" w:hAnsi="Times New Roman"/>
          <w:sz w:val="18"/>
          <w:szCs w:val="18"/>
        </w:rPr>
        <w:pict w14:anchorId="55570684">
          <v:rect id="_x0000_i1098" style="width:415.3pt;height:1.5pt" o:hralign="center" o:hrstd="t" o:hr="t" fillcolor="#a0a0a0" stroked="f"/>
        </w:pict>
      </w:r>
    </w:p>
    <w:p w14:paraId="5556890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890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w:t>
      </w:r>
      <w:r>
        <w:rPr>
          <w:rFonts w:ascii="Arial" w:eastAsia="宋体" w:hAnsi="Arial" w:cs="Arial"/>
          <w:b/>
          <w:bCs/>
          <w:sz w:val="20"/>
          <w:szCs w:val="20"/>
        </w:rPr>
        <w:t>TIONS</w:t>
      </w:r>
    </w:p>
    <w:p w14:paraId="5556890F" w14:textId="77777777" w:rsidR="00F925DD" w:rsidRDefault="00F925DD">
      <w:pPr>
        <w:rPr>
          <w:rFonts w:ascii="Times New Roman" w:hAnsi="Times New Roman"/>
          <w:sz w:val="20"/>
          <w:szCs w:val="20"/>
        </w:rPr>
      </w:pPr>
    </w:p>
    <w:p w14:paraId="55568910" w14:textId="77777777" w:rsidR="00F925DD" w:rsidRDefault="00E705D7">
      <w:pPr>
        <w:rPr>
          <w:rFonts w:ascii="Times New Roman" w:hAnsi="Times New Roman"/>
          <w:sz w:val="20"/>
          <w:szCs w:val="20"/>
        </w:rPr>
      </w:pPr>
      <w:r>
        <w:rPr>
          <w:rFonts w:ascii="Arial" w:eastAsia="宋体" w:hAnsi="Arial" w:cs="Arial"/>
          <w:b/>
          <w:bCs/>
          <w:color w:val="000000"/>
          <w:sz w:val="20"/>
          <w:szCs w:val="20"/>
        </w:rPr>
        <w:t>Investment Securities</w:t>
      </w:r>
    </w:p>
    <w:tbl>
      <w:tblPr>
        <w:tblW w:w="5000" w:type="pct"/>
        <w:tblCellMar>
          <w:left w:w="0" w:type="dxa"/>
          <w:right w:w="0" w:type="dxa"/>
        </w:tblCellMar>
        <w:tblLook w:val="04A0" w:firstRow="1" w:lastRow="0" w:firstColumn="1" w:lastColumn="0" w:noHBand="0" w:noVBand="1"/>
      </w:tblPr>
      <w:tblGrid>
        <w:gridCol w:w="3975"/>
        <w:gridCol w:w="118"/>
        <w:gridCol w:w="1151"/>
        <w:gridCol w:w="71"/>
        <w:gridCol w:w="154"/>
        <w:gridCol w:w="118"/>
        <w:gridCol w:w="1151"/>
        <w:gridCol w:w="71"/>
        <w:gridCol w:w="155"/>
        <w:gridCol w:w="118"/>
        <w:gridCol w:w="1152"/>
        <w:gridCol w:w="72"/>
      </w:tblGrid>
      <w:tr w:rsidR="00F925DD" w14:paraId="55568912" w14:textId="77777777">
        <w:tc>
          <w:tcPr>
            <w:tcW w:w="0" w:type="auto"/>
            <w:gridSpan w:val="12"/>
            <w:shd w:val="clear" w:color="auto" w:fill="auto"/>
            <w:vAlign w:val="center"/>
          </w:tcPr>
          <w:p w14:paraId="55568911" w14:textId="77777777" w:rsidR="00F925DD" w:rsidRDefault="00F925DD">
            <w:pPr>
              <w:rPr>
                <w:rFonts w:ascii="Times New Roman" w:hAnsi="Times New Roman"/>
                <w:sz w:val="20"/>
                <w:szCs w:val="20"/>
              </w:rPr>
            </w:pPr>
          </w:p>
        </w:tc>
      </w:tr>
      <w:tr w:rsidR="00F925DD" w14:paraId="5556891F" w14:textId="77777777">
        <w:tc>
          <w:tcPr>
            <w:tcW w:w="2400" w:type="pct"/>
            <w:shd w:val="clear" w:color="auto" w:fill="auto"/>
            <w:vAlign w:val="center"/>
          </w:tcPr>
          <w:p w14:paraId="55568913" w14:textId="77777777" w:rsidR="00F925DD" w:rsidRDefault="00F925DD">
            <w:pPr>
              <w:rPr>
                <w:rFonts w:ascii="Times New Roman" w:hAnsi="Times New Roman"/>
                <w:sz w:val="20"/>
                <w:szCs w:val="20"/>
              </w:rPr>
            </w:pPr>
          </w:p>
        </w:tc>
        <w:tc>
          <w:tcPr>
            <w:tcW w:w="50" w:type="pct"/>
            <w:shd w:val="clear" w:color="auto" w:fill="auto"/>
            <w:vAlign w:val="center"/>
          </w:tcPr>
          <w:p w14:paraId="55568914" w14:textId="77777777" w:rsidR="00F925DD" w:rsidRDefault="00F925DD">
            <w:pPr>
              <w:rPr>
                <w:rFonts w:ascii="Times New Roman" w:hAnsi="Times New Roman"/>
                <w:sz w:val="20"/>
                <w:szCs w:val="20"/>
              </w:rPr>
            </w:pPr>
          </w:p>
        </w:tc>
        <w:tc>
          <w:tcPr>
            <w:tcW w:w="700" w:type="pct"/>
            <w:shd w:val="clear" w:color="auto" w:fill="auto"/>
            <w:vAlign w:val="center"/>
          </w:tcPr>
          <w:p w14:paraId="55568915" w14:textId="77777777" w:rsidR="00F925DD" w:rsidRDefault="00F925DD">
            <w:pPr>
              <w:rPr>
                <w:rFonts w:ascii="Times New Roman" w:hAnsi="Times New Roman"/>
                <w:sz w:val="20"/>
                <w:szCs w:val="20"/>
              </w:rPr>
            </w:pPr>
          </w:p>
        </w:tc>
        <w:tc>
          <w:tcPr>
            <w:tcW w:w="50" w:type="pct"/>
            <w:shd w:val="clear" w:color="auto" w:fill="auto"/>
            <w:vAlign w:val="center"/>
          </w:tcPr>
          <w:p w14:paraId="55568916" w14:textId="77777777" w:rsidR="00F925DD" w:rsidRDefault="00F925DD">
            <w:pPr>
              <w:rPr>
                <w:rFonts w:ascii="Times New Roman" w:hAnsi="Times New Roman"/>
                <w:sz w:val="20"/>
                <w:szCs w:val="20"/>
              </w:rPr>
            </w:pPr>
          </w:p>
        </w:tc>
        <w:tc>
          <w:tcPr>
            <w:tcW w:w="100" w:type="pct"/>
            <w:shd w:val="clear" w:color="auto" w:fill="auto"/>
            <w:vAlign w:val="center"/>
          </w:tcPr>
          <w:p w14:paraId="55568917" w14:textId="77777777" w:rsidR="00F925DD" w:rsidRDefault="00F925DD">
            <w:pPr>
              <w:rPr>
                <w:rFonts w:ascii="Times New Roman" w:hAnsi="Times New Roman"/>
                <w:sz w:val="20"/>
                <w:szCs w:val="20"/>
              </w:rPr>
            </w:pPr>
          </w:p>
        </w:tc>
        <w:tc>
          <w:tcPr>
            <w:tcW w:w="50" w:type="pct"/>
            <w:shd w:val="clear" w:color="auto" w:fill="auto"/>
            <w:vAlign w:val="center"/>
          </w:tcPr>
          <w:p w14:paraId="55568918" w14:textId="77777777" w:rsidR="00F925DD" w:rsidRDefault="00F925DD">
            <w:pPr>
              <w:rPr>
                <w:rFonts w:ascii="Times New Roman" w:hAnsi="Times New Roman"/>
                <w:sz w:val="20"/>
                <w:szCs w:val="20"/>
              </w:rPr>
            </w:pPr>
          </w:p>
        </w:tc>
        <w:tc>
          <w:tcPr>
            <w:tcW w:w="700" w:type="pct"/>
            <w:shd w:val="clear" w:color="auto" w:fill="auto"/>
            <w:vAlign w:val="center"/>
          </w:tcPr>
          <w:p w14:paraId="55568919" w14:textId="77777777" w:rsidR="00F925DD" w:rsidRDefault="00F925DD">
            <w:pPr>
              <w:rPr>
                <w:rFonts w:ascii="Times New Roman" w:hAnsi="Times New Roman"/>
                <w:sz w:val="20"/>
                <w:szCs w:val="20"/>
              </w:rPr>
            </w:pPr>
          </w:p>
        </w:tc>
        <w:tc>
          <w:tcPr>
            <w:tcW w:w="50" w:type="pct"/>
            <w:shd w:val="clear" w:color="auto" w:fill="auto"/>
            <w:vAlign w:val="center"/>
          </w:tcPr>
          <w:p w14:paraId="5556891A" w14:textId="77777777" w:rsidR="00F925DD" w:rsidRDefault="00F925DD">
            <w:pPr>
              <w:rPr>
                <w:rFonts w:ascii="Times New Roman" w:hAnsi="Times New Roman"/>
                <w:sz w:val="20"/>
                <w:szCs w:val="20"/>
              </w:rPr>
            </w:pPr>
          </w:p>
        </w:tc>
        <w:tc>
          <w:tcPr>
            <w:tcW w:w="100" w:type="pct"/>
            <w:shd w:val="clear" w:color="auto" w:fill="auto"/>
            <w:vAlign w:val="center"/>
          </w:tcPr>
          <w:p w14:paraId="5556891B" w14:textId="77777777" w:rsidR="00F925DD" w:rsidRDefault="00F925DD">
            <w:pPr>
              <w:rPr>
                <w:rFonts w:ascii="Times New Roman" w:hAnsi="Times New Roman"/>
                <w:sz w:val="20"/>
                <w:szCs w:val="20"/>
              </w:rPr>
            </w:pPr>
          </w:p>
        </w:tc>
        <w:tc>
          <w:tcPr>
            <w:tcW w:w="50" w:type="pct"/>
            <w:shd w:val="clear" w:color="auto" w:fill="auto"/>
            <w:vAlign w:val="center"/>
          </w:tcPr>
          <w:p w14:paraId="5556891C" w14:textId="77777777" w:rsidR="00F925DD" w:rsidRDefault="00F925DD">
            <w:pPr>
              <w:rPr>
                <w:rFonts w:ascii="Times New Roman" w:hAnsi="Times New Roman"/>
                <w:sz w:val="20"/>
                <w:szCs w:val="20"/>
              </w:rPr>
            </w:pPr>
          </w:p>
        </w:tc>
        <w:tc>
          <w:tcPr>
            <w:tcW w:w="700" w:type="pct"/>
            <w:shd w:val="clear" w:color="auto" w:fill="auto"/>
            <w:vAlign w:val="center"/>
          </w:tcPr>
          <w:p w14:paraId="5556891D" w14:textId="77777777" w:rsidR="00F925DD" w:rsidRDefault="00F925DD">
            <w:pPr>
              <w:rPr>
                <w:rFonts w:ascii="Times New Roman" w:hAnsi="Times New Roman"/>
                <w:sz w:val="20"/>
                <w:szCs w:val="20"/>
              </w:rPr>
            </w:pPr>
          </w:p>
        </w:tc>
        <w:tc>
          <w:tcPr>
            <w:tcW w:w="50" w:type="pct"/>
            <w:shd w:val="clear" w:color="auto" w:fill="auto"/>
            <w:vAlign w:val="center"/>
          </w:tcPr>
          <w:p w14:paraId="5556891E" w14:textId="77777777" w:rsidR="00F925DD" w:rsidRDefault="00F925DD">
            <w:pPr>
              <w:rPr>
                <w:rFonts w:ascii="Times New Roman" w:hAnsi="Times New Roman"/>
                <w:sz w:val="20"/>
                <w:szCs w:val="20"/>
              </w:rPr>
            </w:pPr>
          </w:p>
        </w:tc>
      </w:tr>
      <w:tr w:rsidR="00F925DD" w14:paraId="55568921" w14:textId="77777777">
        <w:tc>
          <w:tcPr>
            <w:tcW w:w="0" w:type="auto"/>
            <w:gridSpan w:val="12"/>
            <w:shd w:val="clear" w:color="auto" w:fill="auto"/>
            <w:tcMar>
              <w:top w:w="40" w:type="dxa"/>
              <w:left w:w="40" w:type="dxa"/>
              <w:bottom w:w="40" w:type="dxa"/>
              <w:right w:w="40" w:type="dxa"/>
            </w:tcMar>
            <w:vAlign w:val="bottom"/>
          </w:tcPr>
          <w:p w14:paraId="5556892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20: CARRYING VALUES OF INVESTMENT SECURITIES</w:t>
            </w:r>
          </w:p>
        </w:tc>
      </w:tr>
      <w:tr w:rsidR="00F925DD" w14:paraId="55568924" w14:textId="77777777">
        <w:tc>
          <w:tcPr>
            <w:tcW w:w="0" w:type="auto"/>
            <w:shd w:val="clear" w:color="auto" w:fill="auto"/>
            <w:tcMar>
              <w:top w:w="40" w:type="dxa"/>
              <w:left w:w="40" w:type="dxa"/>
              <w:bottom w:w="40" w:type="dxa"/>
              <w:right w:w="40" w:type="dxa"/>
            </w:tcMar>
            <w:vAlign w:val="bottom"/>
          </w:tcPr>
          <w:p w14:paraId="555689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892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 of December 31,</w:t>
            </w:r>
          </w:p>
        </w:tc>
      </w:tr>
      <w:tr w:rsidR="00F925DD" w14:paraId="5556892B" w14:textId="77777777">
        <w:tc>
          <w:tcPr>
            <w:tcW w:w="0" w:type="auto"/>
            <w:shd w:val="clear" w:color="auto" w:fill="auto"/>
            <w:tcMar>
              <w:top w:w="40" w:type="dxa"/>
              <w:left w:w="40" w:type="dxa"/>
              <w:bottom w:w="40" w:type="dxa"/>
              <w:right w:w="40" w:type="dxa"/>
            </w:tcMar>
            <w:vAlign w:val="bottom"/>
          </w:tcPr>
          <w:p w14:paraId="5556892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92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89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92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89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92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8932" w14:textId="77777777">
        <w:tc>
          <w:tcPr>
            <w:tcW w:w="0" w:type="auto"/>
            <w:shd w:val="clear" w:color="auto" w:fill="auto"/>
            <w:tcMar>
              <w:top w:w="40" w:type="dxa"/>
              <w:left w:w="40" w:type="dxa"/>
              <w:bottom w:w="40" w:type="dxa"/>
              <w:right w:w="40" w:type="dxa"/>
            </w:tcMar>
            <w:vAlign w:val="bottom"/>
          </w:tcPr>
          <w:p w14:paraId="5556892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Available-for-sale:</w:t>
            </w:r>
          </w:p>
        </w:tc>
        <w:tc>
          <w:tcPr>
            <w:tcW w:w="0" w:type="auto"/>
            <w:gridSpan w:val="3"/>
            <w:shd w:val="clear" w:color="auto" w:fill="auto"/>
            <w:tcMar>
              <w:top w:w="40" w:type="dxa"/>
              <w:left w:w="40" w:type="dxa"/>
              <w:bottom w:w="40" w:type="dxa"/>
              <w:right w:w="40" w:type="dxa"/>
            </w:tcMar>
            <w:vAlign w:val="bottom"/>
          </w:tcPr>
          <w:p w14:paraId="555689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9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9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9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9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939" w14:textId="77777777">
        <w:tc>
          <w:tcPr>
            <w:tcW w:w="0" w:type="auto"/>
            <w:shd w:val="clear" w:color="auto" w:fill="auto"/>
            <w:tcMar>
              <w:top w:w="40" w:type="dxa"/>
              <w:left w:w="40" w:type="dxa"/>
              <w:bottom w:w="40" w:type="dxa"/>
              <w:right w:w="40" w:type="dxa"/>
            </w:tcMar>
            <w:vAlign w:val="bottom"/>
          </w:tcPr>
          <w:p w14:paraId="55568933" w14:textId="77777777" w:rsidR="00F925DD" w:rsidRDefault="00E705D7">
            <w:pPr>
              <w:textAlignment w:val="bottom"/>
              <w:rPr>
                <w:rFonts w:ascii="Times New Roman" w:hAnsi="Times New Roman"/>
                <w:sz w:val="14"/>
                <w:szCs w:val="14"/>
              </w:rPr>
            </w:pPr>
            <w:r>
              <w:rPr>
                <w:rFonts w:ascii="Arial" w:eastAsia="宋体" w:hAnsi="Arial" w:cs="Arial"/>
                <w:sz w:val="14"/>
                <w:szCs w:val="14"/>
              </w:rPr>
              <w:t>U.S. Treasury and federal agencies:</w:t>
            </w:r>
          </w:p>
        </w:tc>
        <w:tc>
          <w:tcPr>
            <w:tcW w:w="0" w:type="auto"/>
            <w:gridSpan w:val="3"/>
            <w:shd w:val="clear" w:color="auto" w:fill="auto"/>
            <w:tcMar>
              <w:top w:w="40" w:type="dxa"/>
              <w:left w:w="40" w:type="dxa"/>
              <w:bottom w:w="40" w:type="dxa"/>
              <w:right w:w="40" w:type="dxa"/>
            </w:tcMar>
            <w:vAlign w:val="bottom"/>
          </w:tcPr>
          <w:p w14:paraId="555689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9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9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9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9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946" w14:textId="77777777">
        <w:tc>
          <w:tcPr>
            <w:tcW w:w="0" w:type="auto"/>
            <w:shd w:val="clear" w:color="auto" w:fill="CCEEFF"/>
            <w:tcMar>
              <w:top w:w="40" w:type="dxa"/>
              <w:left w:w="240" w:type="dxa"/>
              <w:bottom w:w="40" w:type="dxa"/>
              <w:right w:w="40" w:type="dxa"/>
            </w:tcMar>
            <w:vAlign w:val="bottom"/>
          </w:tcPr>
          <w:p w14:paraId="5556893A"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Direct </w:t>
            </w:r>
            <w:r>
              <w:rPr>
                <w:rFonts w:ascii="Arial" w:eastAsia="宋体" w:hAnsi="Arial" w:cs="Arial"/>
                <w:sz w:val="14"/>
                <w:szCs w:val="14"/>
              </w:rPr>
              <w:t>obligations</w:t>
            </w:r>
          </w:p>
        </w:tc>
        <w:tc>
          <w:tcPr>
            <w:tcW w:w="0" w:type="auto"/>
            <w:shd w:val="clear" w:color="auto" w:fill="CCEEFF"/>
            <w:tcMar>
              <w:top w:w="40" w:type="dxa"/>
              <w:left w:w="40" w:type="dxa"/>
              <w:bottom w:w="40" w:type="dxa"/>
            </w:tcMar>
            <w:vAlign w:val="bottom"/>
          </w:tcPr>
          <w:p w14:paraId="5556893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893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3,487</w:t>
            </w:r>
          </w:p>
        </w:tc>
        <w:tc>
          <w:tcPr>
            <w:tcW w:w="0" w:type="auto"/>
            <w:shd w:val="clear" w:color="auto" w:fill="CCEEFF"/>
            <w:vAlign w:val="bottom"/>
          </w:tcPr>
          <w:p w14:paraId="5556893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93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94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1,039</w:t>
            </w:r>
          </w:p>
        </w:tc>
        <w:tc>
          <w:tcPr>
            <w:tcW w:w="0" w:type="auto"/>
            <w:shd w:val="clear" w:color="auto" w:fill="CCEEFF"/>
            <w:vAlign w:val="bottom"/>
          </w:tcPr>
          <w:p w14:paraId="5556894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94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94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223</w:t>
            </w:r>
          </w:p>
        </w:tc>
        <w:tc>
          <w:tcPr>
            <w:tcW w:w="0" w:type="auto"/>
            <w:shd w:val="clear" w:color="auto" w:fill="CCEEFF"/>
            <w:vAlign w:val="bottom"/>
          </w:tcPr>
          <w:p w14:paraId="55568945" w14:textId="77777777" w:rsidR="00F925DD" w:rsidRDefault="00F925DD">
            <w:pPr>
              <w:textAlignment w:val="bottom"/>
              <w:rPr>
                <w:rFonts w:ascii="Times New Roman" w:hAnsi="Times New Roman"/>
                <w:sz w:val="20"/>
                <w:szCs w:val="20"/>
              </w:rPr>
            </w:pPr>
          </w:p>
        </w:tc>
      </w:tr>
      <w:tr w:rsidR="00F925DD" w14:paraId="55568950" w14:textId="77777777">
        <w:tc>
          <w:tcPr>
            <w:tcW w:w="0" w:type="auto"/>
            <w:shd w:val="clear" w:color="auto" w:fill="auto"/>
            <w:tcMar>
              <w:top w:w="40" w:type="dxa"/>
              <w:left w:w="240" w:type="dxa"/>
              <w:bottom w:w="40" w:type="dxa"/>
              <w:right w:w="40" w:type="dxa"/>
            </w:tcMar>
            <w:vAlign w:val="bottom"/>
          </w:tcPr>
          <w:p w14:paraId="55568947" w14:textId="77777777" w:rsidR="00F925DD" w:rsidRDefault="00E705D7">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shd w:val="clear" w:color="auto" w:fill="auto"/>
            <w:tcMar>
              <w:top w:w="40" w:type="dxa"/>
              <w:left w:w="40" w:type="dxa"/>
              <w:bottom w:w="40" w:type="dxa"/>
            </w:tcMar>
            <w:vAlign w:val="bottom"/>
          </w:tcPr>
          <w:p w14:paraId="5556894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17,838</w:t>
            </w:r>
          </w:p>
        </w:tc>
        <w:tc>
          <w:tcPr>
            <w:tcW w:w="0" w:type="auto"/>
            <w:shd w:val="clear" w:color="auto" w:fill="auto"/>
            <w:vAlign w:val="bottom"/>
          </w:tcPr>
          <w:p w14:paraId="5556894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4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15,968</w:t>
            </w:r>
          </w:p>
        </w:tc>
        <w:tc>
          <w:tcPr>
            <w:tcW w:w="0" w:type="auto"/>
            <w:shd w:val="clear" w:color="auto" w:fill="auto"/>
            <w:vAlign w:val="bottom"/>
          </w:tcPr>
          <w:p w14:paraId="5556894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4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10,872</w:t>
            </w:r>
          </w:p>
        </w:tc>
        <w:tc>
          <w:tcPr>
            <w:tcW w:w="0" w:type="auto"/>
            <w:shd w:val="clear" w:color="auto" w:fill="auto"/>
            <w:vAlign w:val="bottom"/>
          </w:tcPr>
          <w:p w14:paraId="5556894F" w14:textId="77777777" w:rsidR="00F925DD" w:rsidRDefault="00F925DD">
            <w:pPr>
              <w:textAlignment w:val="bottom"/>
              <w:rPr>
                <w:rFonts w:ascii="Times New Roman" w:hAnsi="Times New Roman"/>
                <w:sz w:val="20"/>
                <w:szCs w:val="20"/>
              </w:rPr>
            </w:pPr>
          </w:p>
        </w:tc>
      </w:tr>
      <w:tr w:rsidR="00F925DD" w14:paraId="5556895A" w14:textId="77777777">
        <w:tc>
          <w:tcPr>
            <w:tcW w:w="0" w:type="auto"/>
            <w:shd w:val="clear" w:color="auto" w:fill="CCEEFF"/>
            <w:tcMar>
              <w:top w:w="40" w:type="dxa"/>
              <w:left w:w="40" w:type="dxa"/>
              <w:bottom w:w="40" w:type="dxa"/>
              <w:right w:w="40" w:type="dxa"/>
            </w:tcMar>
            <w:vAlign w:val="bottom"/>
          </w:tcPr>
          <w:p w14:paraId="55568951"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95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21,325</w:t>
            </w:r>
          </w:p>
        </w:tc>
        <w:tc>
          <w:tcPr>
            <w:tcW w:w="0" w:type="auto"/>
            <w:tcBorders>
              <w:top w:val="single" w:sz="8" w:space="0" w:color="000000"/>
              <w:bottom w:val="single" w:sz="8" w:space="0" w:color="000000"/>
            </w:tcBorders>
            <w:shd w:val="clear" w:color="auto" w:fill="CCEEFF"/>
            <w:vAlign w:val="bottom"/>
          </w:tcPr>
          <w:p w14:paraId="555689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95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17,007</w:t>
            </w:r>
          </w:p>
        </w:tc>
        <w:tc>
          <w:tcPr>
            <w:tcW w:w="0" w:type="auto"/>
            <w:tcBorders>
              <w:top w:val="single" w:sz="8" w:space="0" w:color="000000"/>
              <w:bottom w:val="single" w:sz="8" w:space="0" w:color="000000"/>
            </w:tcBorders>
            <w:shd w:val="clear" w:color="auto" w:fill="CCEEFF"/>
            <w:vAlign w:val="bottom"/>
          </w:tcPr>
          <w:p w14:paraId="5556895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95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11,095</w:t>
            </w:r>
          </w:p>
        </w:tc>
        <w:tc>
          <w:tcPr>
            <w:tcW w:w="0" w:type="auto"/>
            <w:tcBorders>
              <w:top w:val="single" w:sz="8" w:space="0" w:color="000000"/>
              <w:bottom w:val="single" w:sz="8" w:space="0" w:color="000000"/>
            </w:tcBorders>
            <w:shd w:val="clear" w:color="auto" w:fill="CCEEFF"/>
            <w:vAlign w:val="bottom"/>
          </w:tcPr>
          <w:p w14:paraId="55568959" w14:textId="77777777" w:rsidR="00F925DD" w:rsidRDefault="00F925DD">
            <w:pPr>
              <w:textAlignment w:val="bottom"/>
              <w:rPr>
                <w:rFonts w:ascii="Times New Roman" w:hAnsi="Times New Roman"/>
                <w:sz w:val="20"/>
                <w:szCs w:val="20"/>
              </w:rPr>
            </w:pPr>
          </w:p>
        </w:tc>
      </w:tr>
      <w:tr w:rsidR="00F925DD" w14:paraId="55568961" w14:textId="77777777">
        <w:tc>
          <w:tcPr>
            <w:tcW w:w="0" w:type="auto"/>
            <w:shd w:val="clear" w:color="auto" w:fill="auto"/>
            <w:tcMar>
              <w:top w:w="40" w:type="dxa"/>
              <w:left w:w="40" w:type="dxa"/>
              <w:bottom w:w="40" w:type="dxa"/>
              <w:right w:w="40" w:type="dxa"/>
            </w:tcMar>
            <w:vAlign w:val="bottom"/>
          </w:tcPr>
          <w:p w14:paraId="5556895B" w14:textId="77777777" w:rsidR="00F925DD" w:rsidRDefault="00E705D7">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3"/>
            <w:shd w:val="clear" w:color="auto" w:fill="auto"/>
            <w:tcMar>
              <w:top w:w="40" w:type="dxa"/>
              <w:left w:w="40" w:type="dxa"/>
              <w:bottom w:w="40" w:type="dxa"/>
              <w:right w:w="40" w:type="dxa"/>
            </w:tcMar>
            <w:vAlign w:val="bottom"/>
          </w:tcPr>
          <w:p w14:paraId="555689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9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9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9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9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96B" w14:textId="77777777">
        <w:tc>
          <w:tcPr>
            <w:tcW w:w="0" w:type="auto"/>
            <w:shd w:val="clear" w:color="auto" w:fill="CCEEFF"/>
            <w:tcMar>
              <w:top w:w="40" w:type="dxa"/>
              <w:left w:w="240" w:type="dxa"/>
              <w:bottom w:w="40" w:type="dxa"/>
              <w:right w:w="40" w:type="dxa"/>
            </w:tcMar>
            <w:vAlign w:val="bottom"/>
          </w:tcPr>
          <w:p w14:paraId="55568962" w14:textId="77777777" w:rsidR="00F925DD" w:rsidRDefault="00E705D7">
            <w:pPr>
              <w:textAlignment w:val="bottom"/>
              <w:rPr>
                <w:rFonts w:ascii="Times New Roman" w:hAnsi="Times New Roman"/>
                <w:sz w:val="14"/>
                <w:szCs w:val="14"/>
              </w:rPr>
            </w:pPr>
            <w:r>
              <w:rPr>
                <w:rFonts w:ascii="Arial" w:eastAsia="宋体" w:hAnsi="Arial" w:cs="Arial"/>
                <w:sz w:val="14"/>
                <w:szCs w:val="14"/>
              </w:rPr>
              <w:t>Student loans</w:t>
            </w:r>
            <w:r>
              <w:rPr>
                <w:rFonts w:ascii="Arial" w:eastAsia="宋体" w:hAnsi="Arial" w:cs="Arial"/>
                <w:sz w:val="10"/>
                <w:szCs w:val="10"/>
              </w:rPr>
              <w:t>(1)</w:t>
            </w:r>
            <w:r>
              <w:rPr>
                <w:rFonts w:ascii="Arial" w:eastAsia="宋体" w:hAnsi="Arial" w:cs="Arial"/>
                <w:sz w:val="14"/>
                <w:szCs w:val="14"/>
              </w:rPr>
              <w:t> </w:t>
            </w:r>
          </w:p>
        </w:tc>
        <w:tc>
          <w:tcPr>
            <w:tcW w:w="0" w:type="auto"/>
            <w:gridSpan w:val="2"/>
            <w:shd w:val="clear" w:color="auto" w:fill="CCEEFF"/>
            <w:tcMar>
              <w:top w:w="40" w:type="dxa"/>
              <w:left w:w="40" w:type="dxa"/>
              <w:bottom w:w="40" w:type="dxa"/>
            </w:tcMar>
            <w:vAlign w:val="bottom"/>
          </w:tcPr>
          <w:p w14:paraId="5556896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531</w:t>
            </w:r>
          </w:p>
        </w:tc>
        <w:tc>
          <w:tcPr>
            <w:tcW w:w="0" w:type="auto"/>
            <w:shd w:val="clear" w:color="auto" w:fill="CCEEFF"/>
            <w:vAlign w:val="bottom"/>
          </w:tcPr>
          <w:p w14:paraId="555689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9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541</w:t>
            </w:r>
          </w:p>
        </w:tc>
        <w:tc>
          <w:tcPr>
            <w:tcW w:w="0" w:type="auto"/>
            <w:shd w:val="clear" w:color="auto" w:fill="CCEEFF"/>
            <w:vAlign w:val="bottom"/>
          </w:tcPr>
          <w:p w14:paraId="5556896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96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3,358</w:t>
            </w:r>
          </w:p>
        </w:tc>
        <w:tc>
          <w:tcPr>
            <w:tcW w:w="0" w:type="auto"/>
            <w:shd w:val="clear" w:color="auto" w:fill="CCEEFF"/>
            <w:vAlign w:val="bottom"/>
          </w:tcPr>
          <w:p w14:paraId="5556896A" w14:textId="77777777" w:rsidR="00F925DD" w:rsidRDefault="00F925DD">
            <w:pPr>
              <w:textAlignment w:val="bottom"/>
              <w:rPr>
                <w:rFonts w:ascii="Times New Roman" w:hAnsi="Times New Roman"/>
                <w:sz w:val="20"/>
                <w:szCs w:val="20"/>
              </w:rPr>
            </w:pPr>
          </w:p>
        </w:tc>
      </w:tr>
      <w:tr w:rsidR="00F925DD" w14:paraId="55568975" w14:textId="77777777">
        <w:tc>
          <w:tcPr>
            <w:tcW w:w="0" w:type="auto"/>
            <w:shd w:val="clear" w:color="auto" w:fill="auto"/>
            <w:tcMar>
              <w:top w:w="40" w:type="dxa"/>
              <w:left w:w="240" w:type="dxa"/>
              <w:bottom w:w="40" w:type="dxa"/>
              <w:right w:w="40" w:type="dxa"/>
            </w:tcMar>
            <w:vAlign w:val="bottom"/>
          </w:tcPr>
          <w:p w14:paraId="5556896C"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Credit </w:t>
            </w:r>
            <w:r>
              <w:rPr>
                <w:rFonts w:ascii="Arial" w:eastAsia="宋体" w:hAnsi="Arial" w:cs="Arial"/>
                <w:sz w:val="14"/>
                <w:szCs w:val="14"/>
              </w:rPr>
              <w:t>cards</w:t>
            </w:r>
          </w:p>
        </w:tc>
        <w:tc>
          <w:tcPr>
            <w:tcW w:w="0" w:type="auto"/>
            <w:gridSpan w:val="2"/>
            <w:shd w:val="clear" w:color="auto" w:fill="auto"/>
            <w:tcMar>
              <w:top w:w="40" w:type="dxa"/>
              <w:left w:w="40" w:type="dxa"/>
              <w:bottom w:w="40" w:type="dxa"/>
            </w:tcMar>
            <w:vAlign w:val="bottom"/>
          </w:tcPr>
          <w:p w14:paraId="5556896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89</w:t>
            </w:r>
          </w:p>
        </w:tc>
        <w:tc>
          <w:tcPr>
            <w:tcW w:w="0" w:type="auto"/>
            <w:shd w:val="clear" w:color="auto" w:fill="auto"/>
            <w:vAlign w:val="bottom"/>
          </w:tcPr>
          <w:p w14:paraId="555689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7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583</w:t>
            </w:r>
          </w:p>
        </w:tc>
        <w:tc>
          <w:tcPr>
            <w:tcW w:w="0" w:type="auto"/>
            <w:shd w:val="clear" w:color="auto" w:fill="auto"/>
            <w:vAlign w:val="bottom"/>
          </w:tcPr>
          <w:p w14:paraId="5556897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7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1,542</w:t>
            </w:r>
          </w:p>
        </w:tc>
        <w:tc>
          <w:tcPr>
            <w:tcW w:w="0" w:type="auto"/>
            <w:shd w:val="clear" w:color="auto" w:fill="auto"/>
            <w:vAlign w:val="bottom"/>
          </w:tcPr>
          <w:p w14:paraId="55568974" w14:textId="77777777" w:rsidR="00F925DD" w:rsidRDefault="00F925DD">
            <w:pPr>
              <w:textAlignment w:val="bottom"/>
              <w:rPr>
                <w:rFonts w:ascii="Times New Roman" w:hAnsi="Times New Roman"/>
                <w:sz w:val="20"/>
                <w:szCs w:val="20"/>
              </w:rPr>
            </w:pPr>
          </w:p>
        </w:tc>
      </w:tr>
      <w:tr w:rsidR="00F925DD" w14:paraId="5556897F" w14:textId="77777777">
        <w:tc>
          <w:tcPr>
            <w:tcW w:w="0" w:type="auto"/>
            <w:shd w:val="clear" w:color="auto" w:fill="CCEEFF"/>
            <w:tcMar>
              <w:top w:w="40" w:type="dxa"/>
              <w:left w:w="240" w:type="dxa"/>
              <w:bottom w:w="40" w:type="dxa"/>
              <w:right w:w="40" w:type="dxa"/>
            </w:tcMar>
            <w:vAlign w:val="bottom"/>
          </w:tcPr>
          <w:p w14:paraId="55568976" w14:textId="77777777" w:rsidR="00F925DD" w:rsidRDefault="00E705D7">
            <w:pPr>
              <w:textAlignment w:val="bottom"/>
              <w:rPr>
                <w:rFonts w:ascii="Times New Roman" w:hAnsi="Times New Roman"/>
                <w:sz w:val="14"/>
                <w:szCs w:val="14"/>
              </w:rPr>
            </w:pPr>
            <w:r>
              <w:rPr>
                <w:rFonts w:ascii="Arial" w:eastAsia="宋体" w:hAnsi="Arial" w:cs="Arial"/>
                <w:sz w:val="14"/>
                <w:szCs w:val="14"/>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97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1,820</w:t>
            </w:r>
          </w:p>
        </w:tc>
        <w:tc>
          <w:tcPr>
            <w:tcW w:w="0" w:type="auto"/>
            <w:tcBorders>
              <w:bottom w:val="single" w:sz="8" w:space="0" w:color="000000"/>
            </w:tcBorders>
            <w:shd w:val="clear" w:color="auto" w:fill="CCEEFF"/>
            <w:vAlign w:val="bottom"/>
          </w:tcPr>
          <w:p w14:paraId="5556897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97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593</w:t>
            </w:r>
          </w:p>
        </w:tc>
        <w:tc>
          <w:tcPr>
            <w:tcW w:w="0" w:type="auto"/>
            <w:tcBorders>
              <w:bottom w:val="single" w:sz="8" w:space="0" w:color="000000"/>
            </w:tcBorders>
            <w:shd w:val="clear" w:color="auto" w:fill="CCEEFF"/>
            <w:vAlign w:val="bottom"/>
          </w:tcPr>
          <w:p w14:paraId="555689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97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1,447</w:t>
            </w:r>
          </w:p>
        </w:tc>
        <w:tc>
          <w:tcPr>
            <w:tcW w:w="0" w:type="auto"/>
            <w:tcBorders>
              <w:bottom w:val="single" w:sz="8" w:space="0" w:color="000000"/>
            </w:tcBorders>
            <w:shd w:val="clear" w:color="auto" w:fill="CCEEFF"/>
            <w:vAlign w:val="bottom"/>
          </w:tcPr>
          <w:p w14:paraId="5556897E" w14:textId="77777777" w:rsidR="00F925DD" w:rsidRDefault="00F925DD">
            <w:pPr>
              <w:textAlignment w:val="bottom"/>
              <w:rPr>
                <w:rFonts w:ascii="Times New Roman" w:hAnsi="Times New Roman"/>
                <w:sz w:val="20"/>
                <w:szCs w:val="20"/>
              </w:rPr>
            </w:pPr>
          </w:p>
        </w:tc>
      </w:tr>
      <w:tr w:rsidR="00F925DD" w14:paraId="55568989" w14:textId="77777777">
        <w:tc>
          <w:tcPr>
            <w:tcW w:w="0" w:type="auto"/>
            <w:shd w:val="clear" w:color="auto" w:fill="auto"/>
            <w:tcMar>
              <w:top w:w="40" w:type="dxa"/>
              <w:left w:w="40" w:type="dxa"/>
              <w:bottom w:w="40" w:type="dxa"/>
              <w:right w:w="40" w:type="dxa"/>
            </w:tcMar>
            <w:vAlign w:val="bottom"/>
          </w:tcPr>
          <w:p w14:paraId="55568980"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898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2,440</w:t>
            </w:r>
          </w:p>
        </w:tc>
        <w:tc>
          <w:tcPr>
            <w:tcW w:w="0" w:type="auto"/>
            <w:tcBorders>
              <w:bottom w:val="single" w:sz="8" w:space="0" w:color="000000"/>
            </w:tcBorders>
            <w:shd w:val="clear" w:color="auto" w:fill="auto"/>
            <w:vAlign w:val="bottom"/>
          </w:tcPr>
          <w:p w14:paraId="5556898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98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1,717</w:t>
            </w:r>
          </w:p>
        </w:tc>
        <w:tc>
          <w:tcPr>
            <w:tcW w:w="0" w:type="auto"/>
            <w:tcBorders>
              <w:bottom w:val="single" w:sz="8" w:space="0" w:color="000000"/>
            </w:tcBorders>
            <w:shd w:val="clear" w:color="auto" w:fill="auto"/>
            <w:vAlign w:val="bottom"/>
          </w:tcPr>
          <w:p w14:paraId="5556898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98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6,347</w:t>
            </w:r>
          </w:p>
        </w:tc>
        <w:tc>
          <w:tcPr>
            <w:tcW w:w="0" w:type="auto"/>
            <w:tcBorders>
              <w:top w:val="single" w:sz="8" w:space="0" w:color="000000"/>
              <w:bottom w:val="single" w:sz="8" w:space="0" w:color="000000"/>
            </w:tcBorders>
            <w:shd w:val="clear" w:color="auto" w:fill="auto"/>
            <w:vAlign w:val="bottom"/>
          </w:tcPr>
          <w:p w14:paraId="55568988" w14:textId="77777777" w:rsidR="00F925DD" w:rsidRDefault="00F925DD">
            <w:pPr>
              <w:textAlignment w:val="bottom"/>
              <w:rPr>
                <w:rFonts w:ascii="Times New Roman" w:hAnsi="Times New Roman"/>
                <w:sz w:val="20"/>
                <w:szCs w:val="20"/>
              </w:rPr>
            </w:pPr>
          </w:p>
        </w:tc>
      </w:tr>
      <w:tr w:rsidR="00F925DD" w14:paraId="55568990" w14:textId="77777777">
        <w:tc>
          <w:tcPr>
            <w:tcW w:w="0" w:type="auto"/>
            <w:shd w:val="clear" w:color="auto" w:fill="CCEEFF"/>
            <w:tcMar>
              <w:top w:w="40" w:type="dxa"/>
              <w:left w:w="40" w:type="dxa"/>
              <w:bottom w:w="40" w:type="dxa"/>
              <w:right w:w="40" w:type="dxa"/>
            </w:tcMar>
            <w:vAlign w:val="bottom"/>
          </w:tcPr>
          <w:p w14:paraId="5556898A" w14:textId="77777777" w:rsidR="00F925DD" w:rsidRDefault="00E705D7">
            <w:pPr>
              <w:textAlignment w:val="bottom"/>
              <w:rPr>
                <w:rFonts w:ascii="Times New Roman" w:hAnsi="Times New Roman"/>
                <w:sz w:val="14"/>
                <w:szCs w:val="14"/>
              </w:rPr>
            </w:pPr>
            <w:r>
              <w:rPr>
                <w:rFonts w:ascii="Arial" w:eastAsia="宋体" w:hAnsi="Arial" w:cs="Arial"/>
                <w:sz w:val="14"/>
                <w:szCs w:val="14"/>
              </w:rPr>
              <w:t>Non-U.S. debt securities:</w:t>
            </w:r>
          </w:p>
        </w:tc>
        <w:tc>
          <w:tcPr>
            <w:tcW w:w="0" w:type="auto"/>
            <w:gridSpan w:val="3"/>
            <w:shd w:val="clear" w:color="auto" w:fill="CCEEFF"/>
            <w:tcMar>
              <w:top w:w="40" w:type="dxa"/>
              <w:left w:w="40" w:type="dxa"/>
              <w:bottom w:w="40" w:type="dxa"/>
              <w:right w:w="40" w:type="dxa"/>
            </w:tcMar>
            <w:vAlign w:val="bottom"/>
          </w:tcPr>
          <w:p w14:paraId="555689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9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9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9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9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99A" w14:textId="77777777">
        <w:tc>
          <w:tcPr>
            <w:tcW w:w="0" w:type="auto"/>
            <w:shd w:val="clear" w:color="auto" w:fill="auto"/>
            <w:tcMar>
              <w:top w:w="40" w:type="dxa"/>
              <w:left w:w="240" w:type="dxa"/>
              <w:bottom w:w="40" w:type="dxa"/>
              <w:right w:w="40" w:type="dxa"/>
            </w:tcMar>
            <w:vAlign w:val="bottom"/>
          </w:tcPr>
          <w:p w14:paraId="55568991" w14:textId="77777777" w:rsidR="00F925DD" w:rsidRDefault="00E705D7">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shd w:val="clear" w:color="auto" w:fill="auto"/>
            <w:tcMar>
              <w:top w:w="40" w:type="dxa"/>
              <w:left w:w="40" w:type="dxa"/>
              <w:bottom w:w="40" w:type="dxa"/>
            </w:tcMar>
            <w:vAlign w:val="bottom"/>
          </w:tcPr>
          <w:p w14:paraId="5556899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1,980</w:t>
            </w:r>
          </w:p>
        </w:tc>
        <w:tc>
          <w:tcPr>
            <w:tcW w:w="0" w:type="auto"/>
            <w:shd w:val="clear" w:color="auto" w:fill="auto"/>
            <w:vAlign w:val="bottom"/>
          </w:tcPr>
          <w:p w14:paraId="5556899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9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1,682</w:t>
            </w:r>
          </w:p>
        </w:tc>
        <w:tc>
          <w:tcPr>
            <w:tcW w:w="0" w:type="auto"/>
            <w:shd w:val="clear" w:color="auto" w:fill="auto"/>
            <w:vAlign w:val="bottom"/>
          </w:tcPr>
          <w:p w14:paraId="5556899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9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6,695</w:t>
            </w:r>
          </w:p>
        </w:tc>
        <w:tc>
          <w:tcPr>
            <w:tcW w:w="0" w:type="auto"/>
            <w:shd w:val="clear" w:color="auto" w:fill="auto"/>
            <w:vAlign w:val="bottom"/>
          </w:tcPr>
          <w:p w14:paraId="55568999" w14:textId="77777777" w:rsidR="00F925DD" w:rsidRDefault="00F925DD">
            <w:pPr>
              <w:textAlignment w:val="bottom"/>
              <w:rPr>
                <w:rFonts w:ascii="Times New Roman" w:hAnsi="Times New Roman"/>
                <w:sz w:val="20"/>
                <w:szCs w:val="20"/>
              </w:rPr>
            </w:pPr>
          </w:p>
        </w:tc>
      </w:tr>
      <w:tr w:rsidR="00F925DD" w14:paraId="555689A4" w14:textId="77777777">
        <w:tc>
          <w:tcPr>
            <w:tcW w:w="0" w:type="auto"/>
            <w:shd w:val="clear" w:color="auto" w:fill="CCEEFF"/>
            <w:tcMar>
              <w:top w:w="40" w:type="dxa"/>
              <w:left w:w="240" w:type="dxa"/>
              <w:bottom w:w="40" w:type="dxa"/>
              <w:right w:w="40" w:type="dxa"/>
            </w:tcMar>
            <w:vAlign w:val="bottom"/>
          </w:tcPr>
          <w:p w14:paraId="5556899B"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Asset-backed </w:t>
            </w:r>
            <w:r>
              <w:rPr>
                <w:rFonts w:ascii="Arial" w:eastAsia="宋体" w:hAnsi="Arial" w:cs="Arial"/>
                <w:sz w:val="14"/>
                <w:szCs w:val="14"/>
              </w:rPr>
              <w:t>securities</w:t>
            </w:r>
          </w:p>
        </w:tc>
        <w:tc>
          <w:tcPr>
            <w:tcW w:w="0" w:type="auto"/>
            <w:gridSpan w:val="2"/>
            <w:shd w:val="clear" w:color="auto" w:fill="CCEEFF"/>
            <w:tcMar>
              <w:top w:w="40" w:type="dxa"/>
              <w:left w:w="40" w:type="dxa"/>
              <w:bottom w:w="40" w:type="dxa"/>
            </w:tcMar>
            <w:vAlign w:val="bottom"/>
          </w:tcPr>
          <w:p w14:paraId="5556899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2,179</w:t>
            </w:r>
          </w:p>
        </w:tc>
        <w:tc>
          <w:tcPr>
            <w:tcW w:w="0" w:type="auto"/>
            <w:shd w:val="clear" w:color="auto" w:fill="CCEEFF"/>
            <w:vAlign w:val="bottom"/>
          </w:tcPr>
          <w:p w14:paraId="555689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99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1,574</w:t>
            </w:r>
          </w:p>
        </w:tc>
        <w:tc>
          <w:tcPr>
            <w:tcW w:w="0" w:type="auto"/>
            <w:shd w:val="clear" w:color="auto" w:fill="CCEEFF"/>
            <w:vAlign w:val="bottom"/>
          </w:tcPr>
          <w:p w14:paraId="555689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9A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2,947</w:t>
            </w:r>
          </w:p>
        </w:tc>
        <w:tc>
          <w:tcPr>
            <w:tcW w:w="0" w:type="auto"/>
            <w:shd w:val="clear" w:color="auto" w:fill="CCEEFF"/>
            <w:vAlign w:val="bottom"/>
          </w:tcPr>
          <w:p w14:paraId="555689A3" w14:textId="77777777" w:rsidR="00F925DD" w:rsidRDefault="00F925DD">
            <w:pPr>
              <w:textAlignment w:val="bottom"/>
              <w:rPr>
                <w:rFonts w:ascii="Times New Roman" w:hAnsi="Times New Roman"/>
                <w:sz w:val="20"/>
                <w:szCs w:val="20"/>
              </w:rPr>
            </w:pPr>
          </w:p>
        </w:tc>
      </w:tr>
      <w:tr w:rsidR="00F925DD" w14:paraId="555689AE" w14:textId="77777777">
        <w:tc>
          <w:tcPr>
            <w:tcW w:w="0" w:type="auto"/>
            <w:shd w:val="clear" w:color="auto" w:fill="auto"/>
            <w:tcMar>
              <w:top w:w="40" w:type="dxa"/>
              <w:left w:w="240" w:type="dxa"/>
              <w:bottom w:w="40" w:type="dxa"/>
              <w:right w:w="40" w:type="dxa"/>
            </w:tcMar>
            <w:vAlign w:val="bottom"/>
          </w:tcPr>
          <w:p w14:paraId="555689A5" w14:textId="77777777" w:rsidR="00F925DD" w:rsidRDefault="00E705D7">
            <w:pPr>
              <w:textAlignment w:val="bottom"/>
              <w:rPr>
                <w:rFonts w:ascii="Times New Roman" w:hAnsi="Times New Roman"/>
                <w:sz w:val="14"/>
                <w:szCs w:val="14"/>
              </w:rPr>
            </w:pPr>
            <w:r>
              <w:rPr>
                <w:rFonts w:ascii="Arial" w:eastAsia="宋体" w:hAnsi="Arial" w:cs="Arial"/>
                <w:sz w:val="14"/>
                <w:szCs w:val="14"/>
              </w:rPr>
              <w:t>Government securities</w:t>
            </w:r>
          </w:p>
        </w:tc>
        <w:tc>
          <w:tcPr>
            <w:tcW w:w="0" w:type="auto"/>
            <w:gridSpan w:val="2"/>
            <w:shd w:val="clear" w:color="auto" w:fill="auto"/>
            <w:tcMar>
              <w:top w:w="40" w:type="dxa"/>
              <w:left w:w="40" w:type="dxa"/>
              <w:bottom w:w="40" w:type="dxa"/>
            </w:tcMar>
            <w:vAlign w:val="bottom"/>
          </w:tcPr>
          <w:p w14:paraId="555689A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12,373</w:t>
            </w:r>
          </w:p>
        </w:tc>
        <w:tc>
          <w:tcPr>
            <w:tcW w:w="0" w:type="auto"/>
            <w:shd w:val="clear" w:color="auto" w:fill="auto"/>
            <w:vAlign w:val="bottom"/>
          </w:tcPr>
          <w:p w14:paraId="555689A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A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12,793</w:t>
            </w:r>
          </w:p>
        </w:tc>
        <w:tc>
          <w:tcPr>
            <w:tcW w:w="0" w:type="auto"/>
            <w:shd w:val="clear" w:color="auto" w:fill="auto"/>
            <w:vAlign w:val="bottom"/>
          </w:tcPr>
          <w:p w14:paraId="555689A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A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10,721</w:t>
            </w:r>
          </w:p>
        </w:tc>
        <w:tc>
          <w:tcPr>
            <w:tcW w:w="0" w:type="auto"/>
            <w:shd w:val="clear" w:color="auto" w:fill="auto"/>
            <w:vAlign w:val="bottom"/>
          </w:tcPr>
          <w:p w14:paraId="555689AD" w14:textId="77777777" w:rsidR="00F925DD" w:rsidRDefault="00F925DD">
            <w:pPr>
              <w:textAlignment w:val="bottom"/>
              <w:rPr>
                <w:rFonts w:ascii="Times New Roman" w:hAnsi="Times New Roman"/>
                <w:sz w:val="20"/>
                <w:szCs w:val="20"/>
              </w:rPr>
            </w:pPr>
          </w:p>
        </w:tc>
      </w:tr>
      <w:tr w:rsidR="00F925DD" w14:paraId="555689B8" w14:textId="77777777">
        <w:tc>
          <w:tcPr>
            <w:tcW w:w="0" w:type="auto"/>
            <w:shd w:val="clear" w:color="auto" w:fill="CCEEFF"/>
            <w:tcMar>
              <w:top w:w="40" w:type="dxa"/>
              <w:left w:w="240" w:type="dxa"/>
              <w:bottom w:w="40" w:type="dxa"/>
              <w:right w:w="40" w:type="dxa"/>
            </w:tcMar>
            <w:vAlign w:val="bottom"/>
          </w:tcPr>
          <w:p w14:paraId="555689AF"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9B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8,658</w:t>
            </w:r>
          </w:p>
        </w:tc>
        <w:tc>
          <w:tcPr>
            <w:tcW w:w="0" w:type="auto"/>
            <w:tcBorders>
              <w:bottom w:val="single" w:sz="8" w:space="0" w:color="000000"/>
            </w:tcBorders>
            <w:shd w:val="clear" w:color="auto" w:fill="CCEEFF"/>
            <w:vAlign w:val="bottom"/>
          </w:tcPr>
          <w:p w14:paraId="555689B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9B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6,602</w:t>
            </w:r>
          </w:p>
        </w:tc>
        <w:tc>
          <w:tcPr>
            <w:tcW w:w="0" w:type="auto"/>
            <w:tcBorders>
              <w:bottom w:val="single" w:sz="8" w:space="0" w:color="000000"/>
            </w:tcBorders>
            <w:shd w:val="clear" w:color="auto" w:fill="CCEEFF"/>
            <w:vAlign w:val="bottom"/>
          </w:tcPr>
          <w:p w14:paraId="555689B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9B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6,108</w:t>
            </w:r>
          </w:p>
        </w:tc>
        <w:tc>
          <w:tcPr>
            <w:tcW w:w="0" w:type="auto"/>
            <w:tcBorders>
              <w:bottom w:val="single" w:sz="8" w:space="0" w:color="000000"/>
            </w:tcBorders>
            <w:shd w:val="clear" w:color="auto" w:fill="CCEEFF"/>
            <w:vAlign w:val="bottom"/>
          </w:tcPr>
          <w:p w14:paraId="555689B7" w14:textId="77777777" w:rsidR="00F925DD" w:rsidRDefault="00F925DD">
            <w:pPr>
              <w:textAlignment w:val="bottom"/>
              <w:rPr>
                <w:rFonts w:ascii="Times New Roman" w:hAnsi="Times New Roman"/>
                <w:sz w:val="20"/>
                <w:szCs w:val="20"/>
              </w:rPr>
            </w:pPr>
          </w:p>
        </w:tc>
      </w:tr>
      <w:tr w:rsidR="00F925DD" w14:paraId="555689C2" w14:textId="77777777">
        <w:tc>
          <w:tcPr>
            <w:tcW w:w="0" w:type="auto"/>
            <w:shd w:val="clear" w:color="auto" w:fill="auto"/>
            <w:tcMar>
              <w:top w:w="40" w:type="dxa"/>
              <w:left w:w="40" w:type="dxa"/>
              <w:bottom w:w="40" w:type="dxa"/>
              <w:right w:w="40" w:type="dxa"/>
            </w:tcMar>
            <w:vAlign w:val="bottom"/>
          </w:tcPr>
          <w:p w14:paraId="555689B9"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89B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25,190</w:t>
            </w:r>
          </w:p>
        </w:tc>
        <w:tc>
          <w:tcPr>
            <w:tcW w:w="0" w:type="auto"/>
            <w:tcBorders>
              <w:bottom w:val="single" w:sz="8" w:space="0" w:color="000000"/>
            </w:tcBorders>
            <w:shd w:val="clear" w:color="auto" w:fill="auto"/>
            <w:vAlign w:val="bottom"/>
          </w:tcPr>
          <w:p w14:paraId="555689B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9B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22,651</w:t>
            </w:r>
          </w:p>
        </w:tc>
        <w:tc>
          <w:tcPr>
            <w:tcW w:w="0" w:type="auto"/>
            <w:tcBorders>
              <w:bottom w:val="single" w:sz="8" w:space="0" w:color="000000"/>
            </w:tcBorders>
            <w:shd w:val="clear" w:color="auto" w:fill="auto"/>
            <w:vAlign w:val="bottom"/>
          </w:tcPr>
          <w:p w14:paraId="555689B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9C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26,471</w:t>
            </w:r>
          </w:p>
        </w:tc>
        <w:tc>
          <w:tcPr>
            <w:tcW w:w="0" w:type="auto"/>
            <w:tcBorders>
              <w:top w:val="single" w:sz="8" w:space="0" w:color="000000"/>
              <w:bottom w:val="single" w:sz="8" w:space="0" w:color="000000"/>
            </w:tcBorders>
            <w:shd w:val="clear" w:color="auto" w:fill="auto"/>
            <w:vAlign w:val="bottom"/>
          </w:tcPr>
          <w:p w14:paraId="555689C1" w14:textId="77777777" w:rsidR="00F925DD" w:rsidRDefault="00F925DD">
            <w:pPr>
              <w:textAlignment w:val="bottom"/>
              <w:rPr>
                <w:rFonts w:ascii="Times New Roman" w:hAnsi="Times New Roman"/>
                <w:sz w:val="20"/>
                <w:szCs w:val="20"/>
              </w:rPr>
            </w:pPr>
          </w:p>
        </w:tc>
      </w:tr>
      <w:tr w:rsidR="00F925DD" w14:paraId="555689CC" w14:textId="77777777">
        <w:tc>
          <w:tcPr>
            <w:tcW w:w="0" w:type="auto"/>
            <w:shd w:val="clear" w:color="auto" w:fill="CCEEFF"/>
            <w:tcMar>
              <w:top w:w="40" w:type="dxa"/>
              <w:left w:w="40" w:type="dxa"/>
              <w:bottom w:w="40" w:type="dxa"/>
              <w:right w:w="40" w:type="dxa"/>
            </w:tcMar>
            <w:vAlign w:val="bottom"/>
          </w:tcPr>
          <w:p w14:paraId="555689C3" w14:textId="77777777" w:rsidR="00F925DD" w:rsidRDefault="00E705D7">
            <w:pPr>
              <w:textAlignment w:val="bottom"/>
              <w:rPr>
                <w:rFonts w:ascii="Times New Roman" w:hAnsi="Times New Roman"/>
                <w:sz w:val="14"/>
                <w:szCs w:val="14"/>
              </w:rPr>
            </w:pPr>
            <w:r>
              <w:rPr>
                <w:rFonts w:ascii="Arial" w:eastAsia="宋体" w:hAnsi="Arial" w:cs="Arial"/>
                <w:sz w:val="14"/>
                <w:szCs w:val="14"/>
              </w:rPr>
              <w:t>State and political subdivisions</w:t>
            </w:r>
          </w:p>
        </w:tc>
        <w:tc>
          <w:tcPr>
            <w:tcW w:w="0" w:type="auto"/>
            <w:gridSpan w:val="2"/>
            <w:tcBorders>
              <w:top w:val="single" w:sz="8" w:space="0" w:color="000000"/>
            </w:tcBorders>
            <w:shd w:val="clear" w:color="auto" w:fill="CCEEFF"/>
            <w:tcMar>
              <w:top w:w="40" w:type="dxa"/>
              <w:left w:w="40" w:type="dxa"/>
              <w:bottom w:w="40" w:type="dxa"/>
            </w:tcMar>
            <w:vAlign w:val="bottom"/>
          </w:tcPr>
          <w:p w14:paraId="555689C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1,783</w:t>
            </w:r>
          </w:p>
        </w:tc>
        <w:tc>
          <w:tcPr>
            <w:tcW w:w="0" w:type="auto"/>
            <w:tcBorders>
              <w:top w:val="single" w:sz="8" w:space="0" w:color="000000"/>
            </w:tcBorders>
            <w:shd w:val="clear" w:color="auto" w:fill="CCEEFF"/>
            <w:vAlign w:val="bottom"/>
          </w:tcPr>
          <w:p w14:paraId="555689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9C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1,918</w:t>
            </w:r>
          </w:p>
        </w:tc>
        <w:tc>
          <w:tcPr>
            <w:tcW w:w="0" w:type="auto"/>
            <w:tcBorders>
              <w:top w:val="single" w:sz="8" w:space="0" w:color="000000"/>
            </w:tcBorders>
            <w:shd w:val="clear" w:color="auto" w:fill="CCEEFF"/>
            <w:vAlign w:val="bottom"/>
          </w:tcPr>
          <w:p w14:paraId="555689C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9C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9,151</w:t>
            </w:r>
          </w:p>
        </w:tc>
        <w:tc>
          <w:tcPr>
            <w:tcW w:w="0" w:type="auto"/>
            <w:tcBorders>
              <w:top w:val="single" w:sz="8" w:space="0" w:color="000000"/>
            </w:tcBorders>
            <w:shd w:val="clear" w:color="auto" w:fill="CCEEFF"/>
            <w:vAlign w:val="bottom"/>
          </w:tcPr>
          <w:p w14:paraId="555689CB" w14:textId="77777777" w:rsidR="00F925DD" w:rsidRDefault="00F925DD">
            <w:pPr>
              <w:textAlignment w:val="bottom"/>
              <w:rPr>
                <w:rFonts w:ascii="Times New Roman" w:hAnsi="Times New Roman"/>
                <w:sz w:val="20"/>
                <w:szCs w:val="20"/>
              </w:rPr>
            </w:pPr>
          </w:p>
        </w:tc>
      </w:tr>
      <w:tr w:rsidR="00F925DD" w14:paraId="555689D6" w14:textId="77777777">
        <w:tc>
          <w:tcPr>
            <w:tcW w:w="0" w:type="auto"/>
            <w:shd w:val="clear" w:color="auto" w:fill="auto"/>
            <w:tcMar>
              <w:top w:w="40" w:type="dxa"/>
              <w:left w:w="40" w:type="dxa"/>
              <w:bottom w:w="40" w:type="dxa"/>
              <w:right w:w="40" w:type="dxa"/>
            </w:tcMar>
            <w:vAlign w:val="bottom"/>
          </w:tcPr>
          <w:p w14:paraId="555689CD" w14:textId="77777777" w:rsidR="00F925DD" w:rsidRDefault="00E705D7">
            <w:pPr>
              <w:textAlignment w:val="bottom"/>
              <w:rPr>
                <w:rFonts w:ascii="Times New Roman" w:hAnsi="Times New Roman"/>
                <w:sz w:val="14"/>
                <w:szCs w:val="14"/>
              </w:rPr>
            </w:pPr>
            <w:r>
              <w:rPr>
                <w:rFonts w:ascii="Arial" w:eastAsia="宋体" w:hAnsi="Arial" w:cs="Arial"/>
                <w:sz w:val="14"/>
                <w:szCs w:val="14"/>
              </w:rPr>
              <w:t>Collateralized mortgage obligations</w:t>
            </w:r>
          </w:p>
        </w:tc>
        <w:tc>
          <w:tcPr>
            <w:tcW w:w="0" w:type="auto"/>
            <w:gridSpan w:val="2"/>
            <w:shd w:val="clear" w:color="auto" w:fill="auto"/>
            <w:tcMar>
              <w:top w:w="40" w:type="dxa"/>
              <w:left w:w="40" w:type="dxa"/>
              <w:bottom w:w="40" w:type="dxa"/>
            </w:tcMar>
            <w:vAlign w:val="bottom"/>
          </w:tcPr>
          <w:p w14:paraId="555689C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104</w:t>
            </w:r>
          </w:p>
        </w:tc>
        <w:tc>
          <w:tcPr>
            <w:tcW w:w="0" w:type="auto"/>
            <w:shd w:val="clear" w:color="auto" w:fill="auto"/>
            <w:vAlign w:val="bottom"/>
          </w:tcPr>
          <w:p w14:paraId="555689C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D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197</w:t>
            </w:r>
          </w:p>
        </w:tc>
        <w:tc>
          <w:tcPr>
            <w:tcW w:w="0" w:type="auto"/>
            <w:shd w:val="clear" w:color="auto" w:fill="auto"/>
            <w:vAlign w:val="bottom"/>
          </w:tcPr>
          <w:p w14:paraId="555689D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D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1,054</w:t>
            </w:r>
          </w:p>
        </w:tc>
        <w:tc>
          <w:tcPr>
            <w:tcW w:w="0" w:type="auto"/>
            <w:shd w:val="clear" w:color="auto" w:fill="auto"/>
            <w:vAlign w:val="bottom"/>
          </w:tcPr>
          <w:p w14:paraId="555689D5" w14:textId="77777777" w:rsidR="00F925DD" w:rsidRDefault="00F925DD">
            <w:pPr>
              <w:textAlignment w:val="bottom"/>
              <w:rPr>
                <w:rFonts w:ascii="Times New Roman" w:hAnsi="Times New Roman"/>
                <w:sz w:val="20"/>
                <w:szCs w:val="20"/>
              </w:rPr>
            </w:pPr>
          </w:p>
        </w:tc>
      </w:tr>
      <w:tr w:rsidR="00F925DD" w14:paraId="555689E0" w14:textId="77777777">
        <w:tc>
          <w:tcPr>
            <w:tcW w:w="0" w:type="auto"/>
            <w:shd w:val="clear" w:color="auto" w:fill="CCEEFF"/>
            <w:tcMar>
              <w:top w:w="40" w:type="dxa"/>
              <w:left w:w="40" w:type="dxa"/>
              <w:bottom w:w="40" w:type="dxa"/>
              <w:right w:w="40" w:type="dxa"/>
            </w:tcMar>
            <w:vAlign w:val="bottom"/>
          </w:tcPr>
          <w:p w14:paraId="555689D7"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U.S. debt securities</w:t>
            </w:r>
          </w:p>
        </w:tc>
        <w:tc>
          <w:tcPr>
            <w:tcW w:w="0" w:type="auto"/>
            <w:gridSpan w:val="2"/>
            <w:shd w:val="clear" w:color="auto" w:fill="CCEEFF"/>
            <w:tcMar>
              <w:top w:w="40" w:type="dxa"/>
              <w:left w:w="40" w:type="dxa"/>
              <w:bottom w:w="40" w:type="dxa"/>
            </w:tcMar>
            <w:vAlign w:val="bottom"/>
          </w:tcPr>
          <w:p w14:paraId="555689D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2,973</w:t>
            </w:r>
          </w:p>
        </w:tc>
        <w:tc>
          <w:tcPr>
            <w:tcW w:w="0" w:type="auto"/>
            <w:shd w:val="clear" w:color="auto" w:fill="CCEEFF"/>
            <w:vAlign w:val="bottom"/>
          </w:tcPr>
          <w:p w14:paraId="555689D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9D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1,658</w:t>
            </w:r>
          </w:p>
        </w:tc>
        <w:tc>
          <w:tcPr>
            <w:tcW w:w="0" w:type="auto"/>
            <w:shd w:val="clear" w:color="auto" w:fill="CCEEFF"/>
            <w:vAlign w:val="bottom"/>
          </w:tcPr>
          <w:p w14:paraId="555689D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9D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2,560</w:t>
            </w:r>
          </w:p>
        </w:tc>
        <w:tc>
          <w:tcPr>
            <w:tcW w:w="0" w:type="auto"/>
            <w:shd w:val="clear" w:color="auto" w:fill="CCEEFF"/>
            <w:vAlign w:val="bottom"/>
          </w:tcPr>
          <w:p w14:paraId="555689DF" w14:textId="77777777" w:rsidR="00F925DD" w:rsidRDefault="00F925DD">
            <w:pPr>
              <w:textAlignment w:val="bottom"/>
              <w:rPr>
                <w:rFonts w:ascii="Times New Roman" w:hAnsi="Times New Roman"/>
                <w:sz w:val="20"/>
                <w:szCs w:val="20"/>
              </w:rPr>
            </w:pPr>
          </w:p>
        </w:tc>
      </w:tr>
      <w:tr w:rsidR="00F925DD" w14:paraId="555689EA" w14:textId="77777777">
        <w:tc>
          <w:tcPr>
            <w:tcW w:w="0" w:type="auto"/>
            <w:shd w:val="clear" w:color="auto" w:fill="auto"/>
            <w:tcMar>
              <w:top w:w="40" w:type="dxa"/>
              <w:left w:w="40" w:type="dxa"/>
              <w:bottom w:w="40" w:type="dxa"/>
              <w:right w:w="40" w:type="dxa"/>
            </w:tcMar>
            <w:vAlign w:val="bottom"/>
          </w:tcPr>
          <w:p w14:paraId="555689E1" w14:textId="77777777" w:rsidR="00F925DD" w:rsidRDefault="00E705D7">
            <w:pPr>
              <w:textAlignment w:val="bottom"/>
              <w:rPr>
                <w:rFonts w:ascii="Times New Roman" w:hAnsi="Times New Roman"/>
                <w:sz w:val="14"/>
                <w:szCs w:val="14"/>
              </w:rPr>
            </w:pPr>
            <w:r>
              <w:rPr>
                <w:rFonts w:ascii="Arial" w:eastAsia="宋体" w:hAnsi="Arial" w:cs="Arial"/>
                <w:sz w:val="14"/>
                <w:szCs w:val="14"/>
              </w:rPr>
              <w:t>U.S. equity securities</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555689E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89E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E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89E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9E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w:t>
            </w:r>
          </w:p>
        </w:tc>
        <w:tc>
          <w:tcPr>
            <w:tcW w:w="0" w:type="auto"/>
            <w:shd w:val="clear" w:color="auto" w:fill="auto"/>
            <w:vAlign w:val="bottom"/>
          </w:tcPr>
          <w:p w14:paraId="555689E9" w14:textId="77777777" w:rsidR="00F925DD" w:rsidRDefault="00F925DD">
            <w:pPr>
              <w:textAlignment w:val="bottom"/>
              <w:rPr>
                <w:rFonts w:ascii="Times New Roman" w:hAnsi="Times New Roman"/>
                <w:sz w:val="20"/>
                <w:szCs w:val="20"/>
              </w:rPr>
            </w:pPr>
          </w:p>
        </w:tc>
      </w:tr>
      <w:tr w:rsidR="00F925DD" w14:paraId="555689F4" w14:textId="77777777">
        <w:tc>
          <w:tcPr>
            <w:tcW w:w="0" w:type="auto"/>
            <w:shd w:val="clear" w:color="auto" w:fill="CCEEFF"/>
            <w:tcMar>
              <w:top w:w="40" w:type="dxa"/>
              <w:left w:w="40" w:type="dxa"/>
              <w:bottom w:w="40" w:type="dxa"/>
              <w:right w:w="40" w:type="dxa"/>
            </w:tcMar>
            <w:vAlign w:val="bottom"/>
          </w:tcPr>
          <w:p w14:paraId="555689EB" w14:textId="77777777" w:rsidR="00F925DD" w:rsidRDefault="00E705D7">
            <w:pPr>
              <w:textAlignment w:val="bottom"/>
              <w:rPr>
                <w:rFonts w:ascii="Times New Roman" w:hAnsi="Times New Roman"/>
                <w:sz w:val="14"/>
                <w:szCs w:val="14"/>
              </w:rPr>
            </w:pPr>
            <w:r>
              <w:rPr>
                <w:rFonts w:ascii="Arial" w:eastAsia="宋体" w:hAnsi="Arial" w:cs="Arial"/>
                <w:sz w:val="14"/>
                <w:szCs w:val="14"/>
              </w:rPr>
              <w:t>U.S. money-market mutual funds</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555689E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89E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9E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89F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9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9F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397</w:t>
            </w:r>
          </w:p>
        </w:tc>
        <w:tc>
          <w:tcPr>
            <w:tcW w:w="0" w:type="auto"/>
            <w:shd w:val="clear" w:color="auto" w:fill="CCEEFF"/>
            <w:vAlign w:val="bottom"/>
          </w:tcPr>
          <w:p w14:paraId="555689F3" w14:textId="77777777" w:rsidR="00F925DD" w:rsidRDefault="00F925DD">
            <w:pPr>
              <w:textAlignment w:val="bottom"/>
              <w:rPr>
                <w:rFonts w:ascii="Times New Roman" w:hAnsi="Times New Roman"/>
                <w:sz w:val="20"/>
                <w:szCs w:val="20"/>
              </w:rPr>
            </w:pPr>
          </w:p>
        </w:tc>
      </w:tr>
      <w:tr w:rsidR="00F925DD" w14:paraId="55568A01" w14:textId="77777777">
        <w:tc>
          <w:tcPr>
            <w:tcW w:w="0" w:type="auto"/>
            <w:shd w:val="clear" w:color="auto" w:fill="auto"/>
            <w:tcMar>
              <w:top w:w="40" w:type="dxa"/>
              <w:left w:w="40" w:type="dxa"/>
              <w:bottom w:w="40" w:type="dxa"/>
              <w:right w:w="40" w:type="dxa"/>
            </w:tcMar>
            <w:vAlign w:val="bottom"/>
          </w:tcPr>
          <w:p w14:paraId="555689F5"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9F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9F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53,815</w:t>
            </w:r>
          </w:p>
        </w:tc>
        <w:tc>
          <w:tcPr>
            <w:tcW w:w="0" w:type="auto"/>
            <w:tcBorders>
              <w:top w:val="single" w:sz="8" w:space="0" w:color="000000"/>
              <w:bottom w:val="double" w:sz="6" w:space="0" w:color="000000"/>
            </w:tcBorders>
            <w:shd w:val="clear" w:color="auto" w:fill="auto"/>
            <w:vAlign w:val="bottom"/>
          </w:tcPr>
          <w:p w14:paraId="555689F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9F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9F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45,148</w:t>
            </w:r>
          </w:p>
        </w:tc>
        <w:tc>
          <w:tcPr>
            <w:tcW w:w="0" w:type="auto"/>
            <w:tcBorders>
              <w:top w:val="single" w:sz="8" w:space="0" w:color="000000"/>
              <w:bottom w:val="double" w:sz="6" w:space="0" w:color="000000"/>
            </w:tcBorders>
            <w:shd w:val="clear" w:color="auto" w:fill="auto"/>
            <w:vAlign w:val="bottom"/>
          </w:tcPr>
          <w:p w14:paraId="555689F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9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9F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9F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57,121</w:t>
            </w:r>
          </w:p>
        </w:tc>
        <w:tc>
          <w:tcPr>
            <w:tcW w:w="0" w:type="auto"/>
            <w:tcBorders>
              <w:top w:val="single" w:sz="8" w:space="0" w:color="000000"/>
              <w:bottom w:val="double" w:sz="6" w:space="0" w:color="000000"/>
            </w:tcBorders>
            <w:shd w:val="clear" w:color="auto" w:fill="auto"/>
            <w:vAlign w:val="bottom"/>
          </w:tcPr>
          <w:p w14:paraId="55568A00" w14:textId="77777777" w:rsidR="00F925DD" w:rsidRDefault="00F925DD">
            <w:pPr>
              <w:textAlignment w:val="bottom"/>
              <w:rPr>
                <w:rFonts w:ascii="Times New Roman" w:hAnsi="Times New Roman"/>
                <w:sz w:val="20"/>
                <w:szCs w:val="20"/>
              </w:rPr>
            </w:pPr>
          </w:p>
        </w:tc>
      </w:tr>
      <w:tr w:rsidR="00F925DD" w14:paraId="55568A08" w14:textId="77777777">
        <w:tc>
          <w:tcPr>
            <w:tcW w:w="0" w:type="auto"/>
            <w:shd w:val="clear" w:color="auto" w:fill="CCEEFF"/>
            <w:tcMar>
              <w:top w:w="40" w:type="dxa"/>
              <w:left w:w="40" w:type="dxa"/>
              <w:bottom w:w="40" w:type="dxa"/>
              <w:right w:w="40" w:type="dxa"/>
            </w:tcMar>
            <w:vAlign w:val="bottom"/>
          </w:tcPr>
          <w:p w14:paraId="55568A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A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A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A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A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A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A0F" w14:textId="77777777">
        <w:tc>
          <w:tcPr>
            <w:tcW w:w="0" w:type="auto"/>
            <w:shd w:val="clear" w:color="auto" w:fill="auto"/>
            <w:tcMar>
              <w:top w:w="40" w:type="dxa"/>
              <w:left w:w="40" w:type="dxa"/>
              <w:bottom w:w="40" w:type="dxa"/>
              <w:right w:w="40" w:type="dxa"/>
            </w:tcMar>
            <w:vAlign w:val="bottom"/>
          </w:tcPr>
          <w:p w14:paraId="55568A0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Held-to-maturity</w:t>
            </w:r>
            <w:r>
              <w:rPr>
                <w:rFonts w:ascii="Arial" w:eastAsia="宋体" w:hAnsi="Arial" w:cs="Arial"/>
                <w:b/>
                <w:bCs/>
                <w:sz w:val="10"/>
                <w:szCs w:val="10"/>
              </w:rPr>
              <w:t>(3)</w:t>
            </w:r>
            <w:r>
              <w:rPr>
                <w:rFonts w:ascii="Arial" w:eastAsia="宋体" w:hAnsi="Arial" w:cs="Arial"/>
                <w:b/>
                <w:bCs/>
                <w:sz w:val="14"/>
                <w:szCs w:val="14"/>
              </w:rPr>
              <w:t>:</w:t>
            </w:r>
          </w:p>
        </w:tc>
        <w:tc>
          <w:tcPr>
            <w:tcW w:w="0" w:type="auto"/>
            <w:gridSpan w:val="3"/>
            <w:shd w:val="clear" w:color="auto" w:fill="auto"/>
            <w:tcMar>
              <w:top w:w="40" w:type="dxa"/>
              <w:left w:w="40" w:type="dxa"/>
              <w:bottom w:w="40" w:type="dxa"/>
              <w:right w:w="40" w:type="dxa"/>
            </w:tcMar>
            <w:vAlign w:val="bottom"/>
          </w:tcPr>
          <w:p w14:paraId="55568A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A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A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A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A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A16" w14:textId="77777777">
        <w:tc>
          <w:tcPr>
            <w:tcW w:w="0" w:type="auto"/>
            <w:shd w:val="clear" w:color="auto" w:fill="CCEEFF"/>
            <w:tcMar>
              <w:top w:w="40" w:type="dxa"/>
              <w:left w:w="40" w:type="dxa"/>
              <w:bottom w:w="40" w:type="dxa"/>
              <w:right w:w="40" w:type="dxa"/>
            </w:tcMar>
            <w:vAlign w:val="bottom"/>
          </w:tcPr>
          <w:p w14:paraId="55568A10" w14:textId="77777777" w:rsidR="00F925DD" w:rsidRDefault="00E705D7">
            <w:pPr>
              <w:textAlignment w:val="bottom"/>
              <w:rPr>
                <w:rFonts w:ascii="Times New Roman" w:hAnsi="Times New Roman"/>
                <w:sz w:val="14"/>
                <w:szCs w:val="14"/>
              </w:rPr>
            </w:pPr>
            <w:r>
              <w:rPr>
                <w:rFonts w:ascii="Arial" w:eastAsia="宋体" w:hAnsi="Arial" w:cs="Arial"/>
                <w:sz w:val="14"/>
                <w:szCs w:val="14"/>
              </w:rPr>
              <w:t>U.S. Treasury and federal agencies:</w:t>
            </w:r>
          </w:p>
        </w:tc>
        <w:tc>
          <w:tcPr>
            <w:tcW w:w="0" w:type="auto"/>
            <w:gridSpan w:val="3"/>
            <w:shd w:val="clear" w:color="auto" w:fill="CCEEFF"/>
            <w:tcMar>
              <w:top w:w="40" w:type="dxa"/>
              <w:left w:w="40" w:type="dxa"/>
              <w:bottom w:w="40" w:type="dxa"/>
              <w:right w:w="40" w:type="dxa"/>
            </w:tcMar>
            <w:vAlign w:val="bottom"/>
          </w:tcPr>
          <w:p w14:paraId="55568A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A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A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A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A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A23" w14:textId="77777777">
        <w:tc>
          <w:tcPr>
            <w:tcW w:w="0" w:type="auto"/>
            <w:shd w:val="clear" w:color="auto" w:fill="auto"/>
            <w:tcMar>
              <w:top w:w="40" w:type="dxa"/>
              <w:left w:w="240" w:type="dxa"/>
              <w:bottom w:w="40" w:type="dxa"/>
              <w:right w:w="40" w:type="dxa"/>
            </w:tcMar>
            <w:vAlign w:val="bottom"/>
          </w:tcPr>
          <w:p w14:paraId="55568A17" w14:textId="77777777" w:rsidR="00F925DD" w:rsidRDefault="00E705D7">
            <w:pPr>
              <w:textAlignment w:val="bottom"/>
              <w:rPr>
                <w:rFonts w:ascii="Times New Roman" w:hAnsi="Times New Roman"/>
                <w:sz w:val="14"/>
                <w:szCs w:val="14"/>
              </w:rPr>
            </w:pPr>
            <w:r>
              <w:rPr>
                <w:rFonts w:ascii="Arial" w:eastAsia="宋体" w:hAnsi="Arial" w:cs="Arial"/>
                <w:sz w:val="14"/>
                <w:szCs w:val="14"/>
              </w:rPr>
              <w:t>Direct obligations</w:t>
            </w:r>
          </w:p>
        </w:tc>
        <w:tc>
          <w:tcPr>
            <w:tcW w:w="0" w:type="auto"/>
            <w:shd w:val="clear" w:color="auto" w:fill="auto"/>
            <w:tcMar>
              <w:top w:w="40" w:type="dxa"/>
              <w:left w:w="40" w:type="dxa"/>
              <w:bottom w:w="40" w:type="dxa"/>
            </w:tcMar>
            <w:vAlign w:val="bottom"/>
          </w:tcPr>
          <w:p w14:paraId="55568A1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55568A1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10,311</w:t>
            </w:r>
          </w:p>
        </w:tc>
        <w:tc>
          <w:tcPr>
            <w:tcW w:w="0" w:type="auto"/>
            <w:shd w:val="clear" w:color="auto" w:fill="auto"/>
            <w:vAlign w:val="bottom"/>
          </w:tcPr>
          <w:p w14:paraId="55568A1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A1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68A1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14,794</w:t>
            </w:r>
          </w:p>
        </w:tc>
        <w:tc>
          <w:tcPr>
            <w:tcW w:w="0" w:type="auto"/>
            <w:shd w:val="clear" w:color="auto" w:fill="auto"/>
            <w:vAlign w:val="bottom"/>
          </w:tcPr>
          <w:p w14:paraId="55568A1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A2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68A2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17,028</w:t>
            </w:r>
          </w:p>
        </w:tc>
        <w:tc>
          <w:tcPr>
            <w:tcW w:w="0" w:type="auto"/>
            <w:shd w:val="clear" w:color="auto" w:fill="auto"/>
            <w:vAlign w:val="bottom"/>
          </w:tcPr>
          <w:p w14:paraId="55568A22" w14:textId="77777777" w:rsidR="00F925DD" w:rsidRDefault="00F925DD">
            <w:pPr>
              <w:textAlignment w:val="bottom"/>
              <w:rPr>
                <w:rFonts w:ascii="Times New Roman" w:hAnsi="Times New Roman"/>
                <w:sz w:val="20"/>
                <w:szCs w:val="20"/>
              </w:rPr>
            </w:pPr>
          </w:p>
        </w:tc>
      </w:tr>
      <w:tr w:rsidR="00F925DD" w14:paraId="55568A2D" w14:textId="77777777">
        <w:tc>
          <w:tcPr>
            <w:tcW w:w="0" w:type="auto"/>
            <w:shd w:val="clear" w:color="auto" w:fill="CCEEFF"/>
            <w:tcMar>
              <w:top w:w="40" w:type="dxa"/>
              <w:left w:w="240" w:type="dxa"/>
              <w:bottom w:w="40" w:type="dxa"/>
              <w:right w:w="40" w:type="dxa"/>
            </w:tcMar>
            <w:vAlign w:val="bottom"/>
          </w:tcPr>
          <w:p w14:paraId="55568A24" w14:textId="77777777" w:rsidR="00F925DD" w:rsidRDefault="00E705D7">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A2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26,297</w:t>
            </w:r>
          </w:p>
        </w:tc>
        <w:tc>
          <w:tcPr>
            <w:tcW w:w="0" w:type="auto"/>
            <w:tcBorders>
              <w:bottom w:val="single" w:sz="8" w:space="0" w:color="000000"/>
            </w:tcBorders>
            <w:shd w:val="clear" w:color="auto" w:fill="CCEEFF"/>
            <w:vAlign w:val="bottom"/>
          </w:tcPr>
          <w:p w14:paraId="55568A2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A2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21,647</w:t>
            </w:r>
          </w:p>
        </w:tc>
        <w:tc>
          <w:tcPr>
            <w:tcW w:w="0" w:type="auto"/>
            <w:tcBorders>
              <w:bottom w:val="single" w:sz="8" w:space="0" w:color="000000"/>
            </w:tcBorders>
            <w:shd w:val="clear" w:color="auto" w:fill="CCEEFF"/>
            <w:vAlign w:val="bottom"/>
          </w:tcPr>
          <w:p w14:paraId="55568A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A2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16,651</w:t>
            </w:r>
          </w:p>
        </w:tc>
        <w:tc>
          <w:tcPr>
            <w:tcW w:w="0" w:type="auto"/>
            <w:tcBorders>
              <w:bottom w:val="single" w:sz="8" w:space="0" w:color="000000"/>
            </w:tcBorders>
            <w:shd w:val="clear" w:color="auto" w:fill="CCEEFF"/>
            <w:vAlign w:val="bottom"/>
          </w:tcPr>
          <w:p w14:paraId="55568A2C" w14:textId="77777777" w:rsidR="00F925DD" w:rsidRDefault="00F925DD">
            <w:pPr>
              <w:textAlignment w:val="bottom"/>
              <w:rPr>
                <w:rFonts w:ascii="Times New Roman" w:hAnsi="Times New Roman"/>
                <w:sz w:val="20"/>
                <w:szCs w:val="20"/>
              </w:rPr>
            </w:pPr>
          </w:p>
        </w:tc>
      </w:tr>
      <w:tr w:rsidR="00F925DD" w14:paraId="55568A37" w14:textId="77777777">
        <w:tc>
          <w:tcPr>
            <w:tcW w:w="0" w:type="auto"/>
            <w:shd w:val="clear" w:color="auto" w:fill="auto"/>
            <w:tcMar>
              <w:top w:w="40" w:type="dxa"/>
              <w:left w:w="40" w:type="dxa"/>
              <w:bottom w:w="40" w:type="dxa"/>
              <w:right w:w="40" w:type="dxa"/>
            </w:tcMar>
            <w:vAlign w:val="bottom"/>
          </w:tcPr>
          <w:p w14:paraId="55568A2E"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U.S. Treasury and federal agencies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A2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36,608</w:t>
            </w:r>
          </w:p>
        </w:tc>
        <w:tc>
          <w:tcPr>
            <w:tcW w:w="0" w:type="auto"/>
            <w:tcBorders>
              <w:top w:val="single" w:sz="8" w:space="0" w:color="000000"/>
              <w:bottom w:val="single" w:sz="8" w:space="0" w:color="000000"/>
            </w:tcBorders>
            <w:shd w:val="clear" w:color="auto" w:fill="auto"/>
            <w:vAlign w:val="bottom"/>
          </w:tcPr>
          <w:p w14:paraId="55568A3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A3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36,441</w:t>
            </w:r>
          </w:p>
        </w:tc>
        <w:tc>
          <w:tcPr>
            <w:tcW w:w="0" w:type="auto"/>
            <w:tcBorders>
              <w:top w:val="single" w:sz="8" w:space="0" w:color="000000"/>
              <w:bottom w:val="single" w:sz="8" w:space="0" w:color="000000"/>
            </w:tcBorders>
            <w:shd w:val="clear" w:color="auto" w:fill="auto"/>
            <w:vAlign w:val="bottom"/>
          </w:tcPr>
          <w:p w14:paraId="55568A3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A3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33,679</w:t>
            </w:r>
          </w:p>
        </w:tc>
        <w:tc>
          <w:tcPr>
            <w:tcW w:w="0" w:type="auto"/>
            <w:tcBorders>
              <w:top w:val="single" w:sz="8" w:space="0" w:color="000000"/>
              <w:bottom w:val="single" w:sz="8" w:space="0" w:color="000000"/>
            </w:tcBorders>
            <w:shd w:val="clear" w:color="auto" w:fill="auto"/>
            <w:vAlign w:val="bottom"/>
          </w:tcPr>
          <w:p w14:paraId="55568A36" w14:textId="77777777" w:rsidR="00F925DD" w:rsidRDefault="00F925DD">
            <w:pPr>
              <w:textAlignment w:val="bottom"/>
              <w:rPr>
                <w:rFonts w:ascii="Times New Roman" w:hAnsi="Times New Roman"/>
                <w:sz w:val="20"/>
                <w:szCs w:val="20"/>
              </w:rPr>
            </w:pPr>
          </w:p>
        </w:tc>
      </w:tr>
      <w:tr w:rsidR="00F925DD" w14:paraId="55568A3E" w14:textId="77777777">
        <w:tc>
          <w:tcPr>
            <w:tcW w:w="0" w:type="auto"/>
            <w:shd w:val="clear" w:color="auto" w:fill="CCEEFF"/>
            <w:tcMar>
              <w:top w:w="40" w:type="dxa"/>
              <w:left w:w="40" w:type="dxa"/>
              <w:bottom w:w="40" w:type="dxa"/>
              <w:right w:w="40" w:type="dxa"/>
            </w:tcMar>
            <w:vAlign w:val="bottom"/>
          </w:tcPr>
          <w:p w14:paraId="55568A38" w14:textId="77777777" w:rsidR="00F925DD" w:rsidRDefault="00E705D7">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3"/>
            <w:shd w:val="clear" w:color="auto" w:fill="CCEEFF"/>
            <w:tcMar>
              <w:top w:w="40" w:type="dxa"/>
              <w:left w:w="40" w:type="dxa"/>
              <w:bottom w:w="40" w:type="dxa"/>
              <w:right w:w="40" w:type="dxa"/>
            </w:tcMar>
            <w:vAlign w:val="bottom"/>
          </w:tcPr>
          <w:p w14:paraId="55568A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A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A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A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A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A48" w14:textId="77777777">
        <w:tc>
          <w:tcPr>
            <w:tcW w:w="0" w:type="auto"/>
            <w:shd w:val="clear" w:color="auto" w:fill="auto"/>
            <w:tcMar>
              <w:top w:w="40" w:type="dxa"/>
              <w:left w:w="240" w:type="dxa"/>
              <w:bottom w:w="40" w:type="dxa"/>
              <w:right w:w="40" w:type="dxa"/>
            </w:tcMar>
            <w:vAlign w:val="bottom"/>
          </w:tcPr>
          <w:p w14:paraId="55568A3F" w14:textId="77777777" w:rsidR="00F925DD" w:rsidRDefault="00E705D7">
            <w:pPr>
              <w:textAlignment w:val="bottom"/>
              <w:rPr>
                <w:rFonts w:ascii="Times New Roman" w:hAnsi="Times New Roman"/>
                <w:sz w:val="14"/>
                <w:szCs w:val="14"/>
              </w:rPr>
            </w:pPr>
            <w:r>
              <w:rPr>
                <w:rFonts w:ascii="Arial" w:eastAsia="宋体" w:hAnsi="Arial" w:cs="Arial"/>
                <w:sz w:val="14"/>
                <w:szCs w:val="14"/>
              </w:rPr>
              <w:t>Student loans</w:t>
            </w:r>
            <w:r>
              <w:rPr>
                <w:rFonts w:ascii="Arial" w:eastAsia="宋体" w:hAnsi="Arial" w:cs="Arial"/>
                <w:sz w:val="10"/>
                <w:szCs w:val="10"/>
              </w:rPr>
              <w:t>(1)</w:t>
            </w:r>
            <w:r>
              <w:rPr>
                <w:rFonts w:ascii="Arial" w:eastAsia="宋体" w:hAnsi="Arial" w:cs="Arial"/>
                <w:sz w:val="14"/>
                <w:szCs w:val="14"/>
              </w:rPr>
              <w:t> </w:t>
            </w:r>
          </w:p>
        </w:tc>
        <w:tc>
          <w:tcPr>
            <w:tcW w:w="0" w:type="auto"/>
            <w:gridSpan w:val="2"/>
            <w:shd w:val="clear" w:color="auto" w:fill="auto"/>
            <w:tcMar>
              <w:top w:w="40" w:type="dxa"/>
              <w:left w:w="40" w:type="dxa"/>
              <w:bottom w:w="40" w:type="dxa"/>
            </w:tcMar>
            <w:vAlign w:val="bottom"/>
          </w:tcPr>
          <w:p w14:paraId="55568A4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3,783</w:t>
            </w:r>
          </w:p>
        </w:tc>
        <w:tc>
          <w:tcPr>
            <w:tcW w:w="0" w:type="auto"/>
            <w:shd w:val="clear" w:color="auto" w:fill="auto"/>
            <w:vAlign w:val="bottom"/>
          </w:tcPr>
          <w:p w14:paraId="55568A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A4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3,191</w:t>
            </w:r>
          </w:p>
        </w:tc>
        <w:tc>
          <w:tcPr>
            <w:tcW w:w="0" w:type="auto"/>
            <w:shd w:val="clear" w:color="auto" w:fill="auto"/>
            <w:vAlign w:val="bottom"/>
          </w:tcPr>
          <w:p w14:paraId="55568A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A4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3,047</w:t>
            </w:r>
          </w:p>
        </w:tc>
        <w:tc>
          <w:tcPr>
            <w:tcW w:w="0" w:type="auto"/>
            <w:shd w:val="clear" w:color="auto" w:fill="auto"/>
            <w:vAlign w:val="bottom"/>
          </w:tcPr>
          <w:p w14:paraId="55568A47" w14:textId="77777777" w:rsidR="00F925DD" w:rsidRDefault="00F925DD">
            <w:pPr>
              <w:textAlignment w:val="bottom"/>
              <w:rPr>
                <w:rFonts w:ascii="Times New Roman" w:hAnsi="Times New Roman"/>
                <w:sz w:val="20"/>
                <w:szCs w:val="20"/>
              </w:rPr>
            </w:pPr>
          </w:p>
        </w:tc>
      </w:tr>
      <w:tr w:rsidR="00F925DD" w14:paraId="55568A52" w14:textId="77777777">
        <w:tc>
          <w:tcPr>
            <w:tcW w:w="0" w:type="auto"/>
            <w:shd w:val="clear" w:color="auto" w:fill="CCEEFF"/>
            <w:tcMar>
              <w:top w:w="40" w:type="dxa"/>
              <w:left w:w="240" w:type="dxa"/>
              <w:bottom w:w="40" w:type="dxa"/>
              <w:right w:w="40" w:type="dxa"/>
            </w:tcMar>
            <w:vAlign w:val="bottom"/>
          </w:tcPr>
          <w:p w14:paraId="55568A49" w14:textId="77777777" w:rsidR="00F925DD" w:rsidRDefault="00E705D7">
            <w:pPr>
              <w:textAlignment w:val="bottom"/>
              <w:rPr>
                <w:rFonts w:ascii="Times New Roman" w:hAnsi="Times New Roman"/>
                <w:sz w:val="14"/>
                <w:szCs w:val="14"/>
              </w:rPr>
            </w:pPr>
            <w:r>
              <w:rPr>
                <w:rFonts w:ascii="Arial" w:eastAsia="宋体" w:hAnsi="Arial" w:cs="Arial"/>
                <w:sz w:val="14"/>
                <w:szCs w:val="14"/>
              </w:rPr>
              <w:t>Credit cards</w:t>
            </w:r>
          </w:p>
        </w:tc>
        <w:tc>
          <w:tcPr>
            <w:tcW w:w="0" w:type="auto"/>
            <w:gridSpan w:val="2"/>
            <w:shd w:val="clear" w:color="auto" w:fill="CCEEFF"/>
            <w:tcMar>
              <w:top w:w="40" w:type="dxa"/>
              <w:left w:w="40" w:type="dxa"/>
              <w:bottom w:w="40" w:type="dxa"/>
            </w:tcMar>
            <w:vAlign w:val="bottom"/>
          </w:tcPr>
          <w:p w14:paraId="55568A4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8A4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A4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193</w:t>
            </w:r>
          </w:p>
        </w:tc>
        <w:tc>
          <w:tcPr>
            <w:tcW w:w="0" w:type="auto"/>
            <w:shd w:val="clear" w:color="auto" w:fill="CCEEFF"/>
            <w:vAlign w:val="bottom"/>
          </w:tcPr>
          <w:p w14:paraId="55568A4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A5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798</w:t>
            </w:r>
          </w:p>
        </w:tc>
        <w:tc>
          <w:tcPr>
            <w:tcW w:w="0" w:type="auto"/>
            <w:shd w:val="clear" w:color="auto" w:fill="CCEEFF"/>
            <w:vAlign w:val="bottom"/>
          </w:tcPr>
          <w:p w14:paraId="55568A51" w14:textId="77777777" w:rsidR="00F925DD" w:rsidRDefault="00F925DD">
            <w:pPr>
              <w:textAlignment w:val="bottom"/>
              <w:rPr>
                <w:rFonts w:ascii="Times New Roman" w:hAnsi="Times New Roman"/>
                <w:sz w:val="20"/>
                <w:szCs w:val="20"/>
              </w:rPr>
            </w:pPr>
          </w:p>
        </w:tc>
      </w:tr>
      <w:tr w:rsidR="00F925DD" w14:paraId="55568A5C" w14:textId="77777777">
        <w:tc>
          <w:tcPr>
            <w:tcW w:w="0" w:type="auto"/>
            <w:shd w:val="clear" w:color="auto" w:fill="auto"/>
            <w:tcMar>
              <w:top w:w="40" w:type="dxa"/>
              <w:left w:w="240" w:type="dxa"/>
              <w:bottom w:w="40" w:type="dxa"/>
              <w:right w:w="40" w:type="dxa"/>
            </w:tcMar>
            <w:vAlign w:val="bottom"/>
          </w:tcPr>
          <w:p w14:paraId="55568A53"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55568A5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55568A5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A5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vAlign w:val="bottom"/>
          </w:tcPr>
          <w:p w14:paraId="55568A5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A5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vAlign w:val="bottom"/>
          </w:tcPr>
          <w:p w14:paraId="55568A5B" w14:textId="77777777" w:rsidR="00F925DD" w:rsidRDefault="00F925DD">
            <w:pPr>
              <w:textAlignment w:val="bottom"/>
              <w:rPr>
                <w:rFonts w:ascii="Times New Roman" w:hAnsi="Times New Roman"/>
                <w:sz w:val="20"/>
                <w:szCs w:val="20"/>
              </w:rPr>
            </w:pPr>
          </w:p>
        </w:tc>
      </w:tr>
      <w:tr w:rsidR="00F925DD" w14:paraId="55568A66" w14:textId="77777777">
        <w:tc>
          <w:tcPr>
            <w:tcW w:w="0" w:type="auto"/>
            <w:shd w:val="clear" w:color="auto" w:fill="CCEEFF"/>
            <w:tcMar>
              <w:top w:w="40" w:type="dxa"/>
              <w:left w:w="40" w:type="dxa"/>
              <w:bottom w:w="40" w:type="dxa"/>
              <w:right w:w="40" w:type="dxa"/>
            </w:tcMar>
            <w:vAlign w:val="bottom"/>
          </w:tcPr>
          <w:p w14:paraId="55568A5D"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asset-backed securities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A5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3,783</w:t>
            </w:r>
          </w:p>
        </w:tc>
        <w:tc>
          <w:tcPr>
            <w:tcW w:w="0" w:type="auto"/>
            <w:tcBorders>
              <w:top w:val="single" w:sz="8" w:space="0" w:color="000000"/>
              <w:bottom w:val="single" w:sz="8" w:space="0" w:color="000000"/>
            </w:tcBorders>
            <w:shd w:val="clear" w:color="auto" w:fill="CCEEFF"/>
            <w:vAlign w:val="bottom"/>
          </w:tcPr>
          <w:p w14:paraId="55568A5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A6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3,385</w:t>
            </w:r>
          </w:p>
        </w:tc>
        <w:tc>
          <w:tcPr>
            <w:tcW w:w="0" w:type="auto"/>
            <w:tcBorders>
              <w:top w:val="single" w:sz="8" w:space="0" w:color="000000"/>
              <w:bottom w:val="single" w:sz="8" w:space="0" w:color="000000"/>
            </w:tcBorders>
            <w:shd w:val="clear" w:color="auto" w:fill="CCEEFF"/>
            <w:vAlign w:val="bottom"/>
          </w:tcPr>
          <w:p w14:paraId="55568A6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A6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3,846</w:t>
            </w:r>
          </w:p>
        </w:tc>
        <w:tc>
          <w:tcPr>
            <w:tcW w:w="0" w:type="auto"/>
            <w:tcBorders>
              <w:top w:val="single" w:sz="8" w:space="0" w:color="000000"/>
              <w:bottom w:val="single" w:sz="8" w:space="0" w:color="000000"/>
            </w:tcBorders>
            <w:shd w:val="clear" w:color="auto" w:fill="CCEEFF"/>
            <w:vAlign w:val="bottom"/>
          </w:tcPr>
          <w:p w14:paraId="55568A65" w14:textId="77777777" w:rsidR="00F925DD" w:rsidRDefault="00F925DD">
            <w:pPr>
              <w:textAlignment w:val="bottom"/>
              <w:rPr>
                <w:rFonts w:ascii="Times New Roman" w:hAnsi="Times New Roman"/>
                <w:sz w:val="20"/>
                <w:szCs w:val="20"/>
              </w:rPr>
            </w:pPr>
          </w:p>
        </w:tc>
      </w:tr>
      <w:tr w:rsidR="00F925DD" w14:paraId="55568A6D" w14:textId="77777777">
        <w:tc>
          <w:tcPr>
            <w:tcW w:w="0" w:type="auto"/>
            <w:shd w:val="clear" w:color="auto" w:fill="auto"/>
            <w:tcMar>
              <w:top w:w="40" w:type="dxa"/>
              <w:left w:w="40" w:type="dxa"/>
              <w:bottom w:w="40" w:type="dxa"/>
              <w:right w:w="40" w:type="dxa"/>
            </w:tcMar>
            <w:vAlign w:val="bottom"/>
          </w:tcPr>
          <w:p w14:paraId="55568A67" w14:textId="77777777" w:rsidR="00F925DD" w:rsidRDefault="00E705D7">
            <w:pPr>
              <w:textAlignment w:val="bottom"/>
              <w:rPr>
                <w:rFonts w:ascii="Times New Roman" w:hAnsi="Times New Roman"/>
                <w:sz w:val="14"/>
                <w:szCs w:val="14"/>
              </w:rPr>
            </w:pPr>
            <w:r>
              <w:rPr>
                <w:rFonts w:ascii="Arial" w:eastAsia="宋体" w:hAnsi="Arial" w:cs="Arial"/>
                <w:sz w:val="14"/>
                <w:szCs w:val="14"/>
              </w:rPr>
              <w:t>Non-U.S. debt securities:</w:t>
            </w:r>
          </w:p>
        </w:tc>
        <w:tc>
          <w:tcPr>
            <w:tcW w:w="0" w:type="auto"/>
            <w:gridSpan w:val="3"/>
            <w:shd w:val="clear" w:color="auto" w:fill="auto"/>
            <w:tcMar>
              <w:top w:w="40" w:type="dxa"/>
              <w:left w:w="40" w:type="dxa"/>
              <w:bottom w:w="40" w:type="dxa"/>
              <w:right w:w="40" w:type="dxa"/>
            </w:tcMar>
            <w:vAlign w:val="bottom"/>
          </w:tcPr>
          <w:p w14:paraId="55568A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A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A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A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A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A77" w14:textId="77777777">
        <w:tc>
          <w:tcPr>
            <w:tcW w:w="0" w:type="auto"/>
            <w:shd w:val="clear" w:color="auto" w:fill="CCEEFF"/>
            <w:tcMar>
              <w:top w:w="40" w:type="dxa"/>
              <w:left w:w="240" w:type="dxa"/>
              <w:bottom w:w="40" w:type="dxa"/>
              <w:right w:w="40" w:type="dxa"/>
            </w:tcMar>
            <w:vAlign w:val="bottom"/>
          </w:tcPr>
          <w:p w14:paraId="55568A6E" w14:textId="77777777" w:rsidR="00F925DD" w:rsidRDefault="00E705D7">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shd w:val="clear" w:color="auto" w:fill="CCEEFF"/>
            <w:tcMar>
              <w:top w:w="40" w:type="dxa"/>
              <w:left w:w="40" w:type="dxa"/>
              <w:bottom w:w="40" w:type="dxa"/>
            </w:tcMar>
            <w:vAlign w:val="bottom"/>
          </w:tcPr>
          <w:p w14:paraId="55568A6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366</w:t>
            </w:r>
          </w:p>
        </w:tc>
        <w:tc>
          <w:tcPr>
            <w:tcW w:w="0" w:type="auto"/>
            <w:shd w:val="clear" w:color="auto" w:fill="CCEEFF"/>
            <w:vAlign w:val="bottom"/>
          </w:tcPr>
          <w:p w14:paraId="55568A7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A7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638</w:t>
            </w:r>
          </w:p>
        </w:tc>
        <w:tc>
          <w:tcPr>
            <w:tcW w:w="0" w:type="auto"/>
            <w:shd w:val="clear" w:color="auto" w:fill="CCEEFF"/>
            <w:vAlign w:val="bottom"/>
          </w:tcPr>
          <w:p w14:paraId="55568A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A7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939</w:t>
            </w:r>
          </w:p>
        </w:tc>
        <w:tc>
          <w:tcPr>
            <w:tcW w:w="0" w:type="auto"/>
            <w:shd w:val="clear" w:color="auto" w:fill="CCEEFF"/>
            <w:vAlign w:val="bottom"/>
          </w:tcPr>
          <w:p w14:paraId="55568A76" w14:textId="77777777" w:rsidR="00F925DD" w:rsidRDefault="00F925DD">
            <w:pPr>
              <w:textAlignment w:val="bottom"/>
              <w:rPr>
                <w:rFonts w:ascii="Times New Roman" w:hAnsi="Times New Roman"/>
                <w:sz w:val="20"/>
                <w:szCs w:val="20"/>
              </w:rPr>
            </w:pPr>
          </w:p>
        </w:tc>
      </w:tr>
      <w:tr w:rsidR="00F925DD" w14:paraId="55568A81" w14:textId="77777777">
        <w:tc>
          <w:tcPr>
            <w:tcW w:w="0" w:type="auto"/>
            <w:shd w:val="clear" w:color="auto" w:fill="auto"/>
            <w:tcMar>
              <w:top w:w="40" w:type="dxa"/>
              <w:left w:w="240" w:type="dxa"/>
              <w:bottom w:w="40" w:type="dxa"/>
              <w:right w:w="40" w:type="dxa"/>
            </w:tcMar>
            <w:vAlign w:val="bottom"/>
          </w:tcPr>
          <w:p w14:paraId="55568A78" w14:textId="77777777" w:rsidR="00F925DD" w:rsidRDefault="00E705D7">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2"/>
            <w:shd w:val="clear" w:color="auto" w:fill="auto"/>
            <w:tcMar>
              <w:top w:w="40" w:type="dxa"/>
              <w:left w:w="40" w:type="dxa"/>
              <w:bottom w:w="40" w:type="dxa"/>
            </w:tcMar>
            <w:vAlign w:val="bottom"/>
          </w:tcPr>
          <w:p w14:paraId="55568A7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8A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A7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223</w:t>
            </w:r>
          </w:p>
        </w:tc>
        <w:tc>
          <w:tcPr>
            <w:tcW w:w="0" w:type="auto"/>
            <w:shd w:val="clear" w:color="auto" w:fill="auto"/>
            <w:vAlign w:val="bottom"/>
          </w:tcPr>
          <w:p w14:paraId="55568A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A7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263</w:t>
            </w:r>
          </w:p>
        </w:tc>
        <w:tc>
          <w:tcPr>
            <w:tcW w:w="0" w:type="auto"/>
            <w:shd w:val="clear" w:color="auto" w:fill="auto"/>
            <w:vAlign w:val="bottom"/>
          </w:tcPr>
          <w:p w14:paraId="55568A80" w14:textId="77777777" w:rsidR="00F925DD" w:rsidRDefault="00F925DD">
            <w:pPr>
              <w:textAlignment w:val="bottom"/>
              <w:rPr>
                <w:rFonts w:ascii="Times New Roman" w:hAnsi="Times New Roman"/>
                <w:sz w:val="20"/>
                <w:szCs w:val="20"/>
              </w:rPr>
            </w:pPr>
          </w:p>
        </w:tc>
      </w:tr>
      <w:tr w:rsidR="00F925DD" w14:paraId="55568A8B" w14:textId="77777777">
        <w:tc>
          <w:tcPr>
            <w:tcW w:w="0" w:type="auto"/>
            <w:shd w:val="clear" w:color="auto" w:fill="CCEEFF"/>
            <w:tcMar>
              <w:top w:w="40" w:type="dxa"/>
              <w:left w:w="240" w:type="dxa"/>
              <w:bottom w:w="40" w:type="dxa"/>
              <w:right w:w="40" w:type="dxa"/>
            </w:tcMar>
            <w:vAlign w:val="bottom"/>
          </w:tcPr>
          <w:p w14:paraId="55568A82" w14:textId="77777777" w:rsidR="00F925DD" w:rsidRDefault="00E705D7">
            <w:pPr>
              <w:textAlignment w:val="bottom"/>
              <w:rPr>
                <w:rFonts w:ascii="Times New Roman" w:hAnsi="Times New Roman"/>
                <w:sz w:val="14"/>
                <w:szCs w:val="14"/>
              </w:rPr>
            </w:pPr>
            <w:r>
              <w:rPr>
                <w:rFonts w:ascii="Arial" w:eastAsia="宋体" w:hAnsi="Arial" w:cs="Arial"/>
                <w:sz w:val="14"/>
                <w:szCs w:val="14"/>
              </w:rPr>
              <w:t>Government securities</w:t>
            </w:r>
          </w:p>
        </w:tc>
        <w:tc>
          <w:tcPr>
            <w:tcW w:w="0" w:type="auto"/>
            <w:gridSpan w:val="2"/>
            <w:shd w:val="clear" w:color="auto" w:fill="CCEEFF"/>
            <w:tcMar>
              <w:top w:w="40" w:type="dxa"/>
              <w:left w:w="40" w:type="dxa"/>
              <w:bottom w:w="40" w:type="dxa"/>
            </w:tcMar>
            <w:vAlign w:val="bottom"/>
          </w:tcPr>
          <w:p w14:paraId="55568A8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328</w:t>
            </w:r>
          </w:p>
        </w:tc>
        <w:tc>
          <w:tcPr>
            <w:tcW w:w="0" w:type="auto"/>
            <w:shd w:val="clear" w:color="auto" w:fill="CCEEFF"/>
            <w:vAlign w:val="bottom"/>
          </w:tcPr>
          <w:p w14:paraId="55568A8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A8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358</w:t>
            </w:r>
          </w:p>
        </w:tc>
        <w:tc>
          <w:tcPr>
            <w:tcW w:w="0" w:type="auto"/>
            <w:shd w:val="clear" w:color="auto" w:fill="CCEEFF"/>
            <w:vAlign w:val="bottom"/>
          </w:tcPr>
          <w:p w14:paraId="55568A8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A8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474</w:t>
            </w:r>
          </w:p>
        </w:tc>
        <w:tc>
          <w:tcPr>
            <w:tcW w:w="0" w:type="auto"/>
            <w:shd w:val="clear" w:color="auto" w:fill="CCEEFF"/>
            <w:vAlign w:val="bottom"/>
          </w:tcPr>
          <w:p w14:paraId="55568A8A" w14:textId="77777777" w:rsidR="00F925DD" w:rsidRDefault="00F925DD">
            <w:pPr>
              <w:textAlignment w:val="bottom"/>
              <w:rPr>
                <w:rFonts w:ascii="Times New Roman" w:hAnsi="Times New Roman"/>
                <w:sz w:val="20"/>
                <w:szCs w:val="20"/>
              </w:rPr>
            </w:pPr>
          </w:p>
        </w:tc>
      </w:tr>
      <w:tr w:rsidR="00F925DD" w14:paraId="55568A95" w14:textId="77777777">
        <w:tc>
          <w:tcPr>
            <w:tcW w:w="0" w:type="auto"/>
            <w:shd w:val="clear" w:color="auto" w:fill="auto"/>
            <w:tcMar>
              <w:top w:w="40" w:type="dxa"/>
              <w:left w:w="240" w:type="dxa"/>
              <w:bottom w:w="40" w:type="dxa"/>
              <w:right w:w="40" w:type="dxa"/>
            </w:tcMar>
            <w:vAlign w:val="bottom"/>
          </w:tcPr>
          <w:p w14:paraId="55568A8C"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55568A8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55568A8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A9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w:t>
            </w:r>
          </w:p>
        </w:tc>
        <w:tc>
          <w:tcPr>
            <w:tcW w:w="0" w:type="auto"/>
            <w:tcBorders>
              <w:bottom w:val="single" w:sz="8" w:space="0" w:color="000000"/>
            </w:tcBorders>
            <w:shd w:val="clear" w:color="auto" w:fill="auto"/>
            <w:vAlign w:val="bottom"/>
          </w:tcPr>
          <w:p w14:paraId="55568A9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A9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48</w:t>
            </w:r>
          </w:p>
        </w:tc>
        <w:tc>
          <w:tcPr>
            <w:tcW w:w="0" w:type="auto"/>
            <w:tcBorders>
              <w:bottom w:val="single" w:sz="8" w:space="0" w:color="000000"/>
            </w:tcBorders>
            <w:shd w:val="clear" w:color="auto" w:fill="auto"/>
            <w:vAlign w:val="bottom"/>
          </w:tcPr>
          <w:p w14:paraId="55568A94" w14:textId="77777777" w:rsidR="00F925DD" w:rsidRDefault="00F925DD">
            <w:pPr>
              <w:textAlignment w:val="bottom"/>
              <w:rPr>
                <w:rFonts w:ascii="Times New Roman" w:hAnsi="Times New Roman"/>
                <w:sz w:val="20"/>
                <w:szCs w:val="20"/>
              </w:rPr>
            </w:pPr>
          </w:p>
        </w:tc>
      </w:tr>
      <w:tr w:rsidR="00F925DD" w14:paraId="55568A9F" w14:textId="77777777">
        <w:tc>
          <w:tcPr>
            <w:tcW w:w="0" w:type="auto"/>
            <w:shd w:val="clear" w:color="auto" w:fill="CCEEFF"/>
            <w:tcMar>
              <w:top w:w="40" w:type="dxa"/>
              <w:left w:w="40" w:type="dxa"/>
              <w:bottom w:w="40" w:type="dxa"/>
              <w:right w:w="40" w:type="dxa"/>
            </w:tcMar>
            <w:vAlign w:val="bottom"/>
          </w:tcPr>
          <w:p w14:paraId="55568A96"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non-U.S. debt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A9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694</w:t>
            </w:r>
          </w:p>
        </w:tc>
        <w:tc>
          <w:tcPr>
            <w:tcW w:w="0" w:type="auto"/>
            <w:tcBorders>
              <w:bottom w:val="single" w:sz="8" w:space="0" w:color="000000"/>
            </w:tcBorders>
            <w:shd w:val="clear" w:color="auto" w:fill="CCEEFF"/>
            <w:vAlign w:val="bottom"/>
          </w:tcPr>
          <w:p w14:paraId="55568A9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A9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1,265</w:t>
            </w:r>
          </w:p>
        </w:tc>
        <w:tc>
          <w:tcPr>
            <w:tcW w:w="0" w:type="auto"/>
            <w:tcBorders>
              <w:bottom w:val="single" w:sz="8" w:space="0" w:color="000000"/>
            </w:tcBorders>
            <w:shd w:val="clear" w:color="auto" w:fill="CCEEFF"/>
            <w:vAlign w:val="bottom"/>
          </w:tcPr>
          <w:p w14:paraId="55568A9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A9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1,724</w:t>
            </w:r>
          </w:p>
        </w:tc>
        <w:tc>
          <w:tcPr>
            <w:tcW w:w="0" w:type="auto"/>
            <w:tcBorders>
              <w:bottom w:val="single" w:sz="8" w:space="0" w:color="000000"/>
            </w:tcBorders>
            <w:shd w:val="clear" w:color="auto" w:fill="CCEEFF"/>
            <w:vAlign w:val="bottom"/>
          </w:tcPr>
          <w:p w14:paraId="55568A9E" w14:textId="77777777" w:rsidR="00F925DD" w:rsidRDefault="00F925DD">
            <w:pPr>
              <w:textAlignment w:val="bottom"/>
              <w:rPr>
                <w:rFonts w:ascii="Times New Roman" w:hAnsi="Times New Roman"/>
                <w:sz w:val="20"/>
                <w:szCs w:val="20"/>
              </w:rPr>
            </w:pPr>
          </w:p>
        </w:tc>
      </w:tr>
      <w:tr w:rsidR="00F925DD" w14:paraId="55568AA9" w14:textId="77777777">
        <w:tc>
          <w:tcPr>
            <w:tcW w:w="0" w:type="auto"/>
            <w:shd w:val="clear" w:color="auto" w:fill="auto"/>
            <w:tcMar>
              <w:top w:w="40" w:type="dxa"/>
              <w:left w:w="40" w:type="dxa"/>
              <w:bottom w:w="40" w:type="dxa"/>
              <w:right w:w="40" w:type="dxa"/>
            </w:tcMar>
            <w:vAlign w:val="bottom"/>
          </w:tcPr>
          <w:p w14:paraId="55568AA0" w14:textId="77777777" w:rsidR="00F925DD" w:rsidRDefault="00E705D7">
            <w:pPr>
              <w:textAlignment w:val="bottom"/>
              <w:rPr>
                <w:rFonts w:ascii="Times New Roman" w:hAnsi="Times New Roman"/>
                <w:sz w:val="14"/>
                <w:szCs w:val="14"/>
              </w:rPr>
            </w:pPr>
            <w:r>
              <w:rPr>
                <w:rFonts w:ascii="Arial" w:eastAsia="宋体" w:hAnsi="Arial" w:cs="Arial"/>
                <w:sz w:val="14"/>
                <w:szCs w:val="14"/>
              </w:rPr>
              <w:t>Collateralized mortgage obligations</w:t>
            </w:r>
          </w:p>
        </w:tc>
        <w:tc>
          <w:tcPr>
            <w:tcW w:w="0" w:type="auto"/>
            <w:gridSpan w:val="2"/>
            <w:tcBorders>
              <w:bottom w:val="single" w:sz="8" w:space="0" w:color="000000"/>
            </w:tcBorders>
            <w:shd w:val="clear" w:color="auto" w:fill="auto"/>
            <w:tcMar>
              <w:top w:w="40" w:type="dxa"/>
              <w:left w:w="40" w:type="dxa"/>
              <w:bottom w:w="40" w:type="dxa"/>
            </w:tcMar>
            <w:vAlign w:val="bottom"/>
          </w:tcPr>
          <w:p w14:paraId="55568AA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697</w:t>
            </w:r>
          </w:p>
        </w:tc>
        <w:tc>
          <w:tcPr>
            <w:tcW w:w="0" w:type="auto"/>
            <w:tcBorders>
              <w:bottom w:val="single" w:sz="8" w:space="0" w:color="000000"/>
            </w:tcBorders>
            <w:shd w:val="clear" w:color="auto" w:fill="auto"/>
            <w:vAlign w:val="bottom"/>
          </w:tcPr>
          <w:p w14:paraId="55568AA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AA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823</w:t>
            </w:r>
          </w:p>
        </w:tc>
        <w:tc>
          <w:tcPr>
            <w:tcW w:w="0" w:type="auto"/>
            <w:tcBorders>
              <w:bottom w:val="single" w:sz="8" w:space="0" w:color="000000"/>
            </w:tcBorders>
            <w:shd w:val="clear" w:color="auto" w:fill="auto"/>
            <w:vAlign w:val="bottom"/>
          </w:tcPr>
          <w:p w14:paraId="55568AA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8AA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1,209</w:t>
            </w:r>
          </w:p>
        </w:tc>
        <w:tc>
          <w:tcPr>
            <w:tcW w:w="0" w:type="auto"/>
            <w:tcBorders>
              <w:bottom w:val="single" w:sz="8" w:space="0" w:color="000000"/>
            </w:tcBorders>
            <w:shd w:val="clear" w:color="auto" w:fill="auto"/>
            <w:vAlign w:val="bottom"/>
          </w:tcPr>
          <w:p w14:paraId="55568AA8" w14:textId="77777777" w:rsidR="00F925DD" w:rsidRDefault="00F925DD">
            <w:pPr>
              <w:textAlignment w:val="bottom"/>
              <w:rPr>
                <w:rFonts w:ascii="Times New Roman" w:hAnsi="Times New Roman"/>
                <w:sz w:val="20"/>
                <w:szCs w:val="20"/>
              </w:rPr>
            </w:pPr>
          </w:p>
        </w:tc>
      </w:tr>
      <w:tr w:rsidR="00F925DD" w14:paraId="55568AB6" w14:textId="77777777">
        <w:tc>
          <w:tcPr>
            <w:tcW w:w="0" w:type="auto"/>
            <w:shd w:val="clear" w:color="auto" w:fill="CCEEFF"/>
            <w:tcMar>
              <w:top w:w="40" w:type="dxa"/>
              <w:left w:w="40" w:type="dxa"/>
              <w:bottom w:w="40" w:type="dxa"/>
              <w:right w:w="40" w:type="dxa"/>
            </w:tcMar>
            <w:vAlign w:val="bottom"/>
          </w:tcPr>
          <w:p w14:paraId="55568AAA"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AA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AA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41,782</w:t>
            </w:r>
          </w:p>
        </w:tc>
        <w:tc>
          <w:tcPr>
            <w:tcW w:w="0" w:type="auto"/>
            <w:tcBorders>
              <w:top w:val="single" w:sz="8" w:space="0" w:color="000000"/>
              <w:bottom w:val="double" w:sz="6" w:space="0" w:color="000000"/>
            </w:tcBorders>
            <w:shd w:val="clear" w:color="auto" w:fill="CCEEFF"/>
            <w:vAlign w:val="bottom"/>
          </w:tcPr>
          <w:p w14:paraId="55568AA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AA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AB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41,914</w:t>
            </w:r>
          </w:p>
        </w:tc>
        <w:tc>
          <w:tcPr>
            <w:tcW w:w="0" w:type="auto"/>
            <w:tcBorders>
              <w:top w:val="single" w:sz="8" w:space="0" w:color="000000"/>
              <w:bottom w:val="double" w:sz="6" w:space="0" w:color="000000"/>
            </w:tcBorders>
            <w:shd w:val="clear" w:color="auto" w:fill="CCEEFF"/>
            <w:vAlign w:val="bottom"/>
          </w:tcPr>
          <w:p w14:paraId="55568AB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AB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AB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40,458</w:t>
            </w:r>
          </w:p>
        </w:tc>
        <w:tc>
          <w:tcPr>
            <w:tcW w:w="0" w:type="auto"/>
            <w:tcBorders>
              <w:top w:val="single" w:sz="8" w:space="0" w:color="000000"/>
              <w:bottom w:val="double" w:sz="6" w:space="0" w:color="000000"/>
            </w:tcBorders>
            <w:shd w:val="clear" w:color="auto" w:fill="CCEEFF"/>
            <w:vAlign w:val="bottom"/>
          </w:tcPr>
          <w:p w14:paraId="55568AB5" w14:textId="77777777" w:rsidR="00F925DD" w:rsidRDefault="00F925DD">
            <w:pPr>
              <w:textAlignment w:val="bottom"/>
              <w:rPr>
                <w:rFonts w:ascii="Times New Roman" w:hAnsi="Times New Roman"/>
                <w:sz w:val="20"/>
                <w:szCs w:val="20"/>
              </w:rPr>
            </w:pPr>
          </w:p>
        </w:tc>
      </w:tr>
    </w:tbl>
    <w:p w14:paraId="55568AB7"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4070"/>
        <w:gridCol w:w="1827"/>
        <w:gridCol w:w="2409"/>
      </w:tblGrid>
      <w:tr w:rsidR="00F925DD" w14:paraId="55568AB9" w14:textId="77777777">
        <w:tc>
          <w:tcPr>
            <w:tcW w:w="0" w:type="auto"/>
            <w:gridSpan w:val="3"/>
            <w:shd w:val="clear" w:color="auto" w:fill="auto"/>
            <w:vAlign w:val="center"/>
          </w:tcPr>
          <w:p w14:paraId="55568AB8" w14:textId="77777777" w:rsidR="00F925DD" w:rsidRDefault="00F925DD">
            <w:pPr>
              <w:rPr>
                <w:rFonts w:ascii="Times New Roman" w:hAnsi="Times New Roman"/>
                <w:sz w:val="20"/>
                <w:szCs w:val="20"/>
              </w:rPr>
            </w:pPr>
          </w:p>
        </w:tc>
      </w:tr>
      <w:tr w:rsidR="00F925DD" w14:paraId="55568ABD" w14:textId="77777777">
        <w:tc>
          <w:tcPr>
            <w:tcW w:w="2450" w:type="pct"/>
            <w:shd w:val="clear" w:color="auto" w:fill="auto"/>
            <w:vAlign w:val="center"/>
          </w:tcPr>
          <w:p w14:paraId="55568ABA" w14:textId="77777777" w:rsidR="00F925DD" w:rsidRDefault="00F925DD">
            <w:pPr>
              <w:rPr>
                <w:rFonts w:ascii="Times New Roman" w:hAnsi="Times New Roman"/>
                <w:sz w:val="20"/>
                <w:szCs w:val="20"/>
              </w:rPr>
            </w:pPr>
          </w:p>
        </w:tc>
        <w:tc>
          <w:tcPr>
            <w:tcW w:w="1100" w:type="pct"/>
            <w:shd w:val="clear" w:color="auto" w:fill="auto"/>
            <w:vAlign w:val="center"/>
          </w:tcPr>
          <w:p w14:paraId="55568ABB" w14:textId="77777777" w:rsidR="00F925DD" w:rsidRDefault="00F925DD">
            <w:pPr>
              <w:rPr>
                <w:rFonts w:ascii="Times New Roman" w:hAnsi="Times New Roman"/>
                <w:sz w:val="20"/>
                <w:szCs w:val="20"/>
              </w:rPr>
            </w:pPr>
          </w:p>
        </w:tc>
        <w:tc>
          <w:tcPr>
            <w:tcW w:w="1450" w:type="pct"/>
            <w:shd w:val="clear" w:color="auto" w:fill="auto"/>
            <w:vAlign w:val="center"/>
          </w:tcPr>
          <w:p w14:paraId="55568ABC" w14:textId="77777777" w:rsidR="00F925DD" w:rsidRDefault="00F925DD">
            <w:pPr>
              <w:rPr>
                <w:rFonts w:ascii="Times New Roman" w:hAnsi="Times New Roman"/>
                <w:sz w:val="20"/>
                <w:szCs w:val="20"/>
              </w:rPr>
            </w:pPr>
          </w:p>
        </w:tc>
      </w:tr>
      <w:tr w:rsidR="00F925DD" w14:paraId="55568AC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A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A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A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AC2"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Primarily comprised of securities guaranteed by the federal government with respect to at least 97% of defaulted principal and accrued interest on the underlying loans.</w:t>
      </w:r>
    </w:p>
    <w:p w14:paraId="55568AC3"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(2)</w:t>
      </w:r>
      <w:r>
        <w:rPr>
          <w:rFonts w:ascii="Arial" w:eastAsia="宋体" w:hAnsi="Arial" w:cs="Arial"/>
          <w:sz w:val="14"/>
          <w:szCs w:val="14"/>
        </w:rPr>
        <w:t xml:space="preserve"> Upon adoption of ASU 2016-01, Financial Instruments-Overall (Subtopic 825-10): Recognition and Measurement of Financial Assets and Financial Liabilities, in 2018, we reclassified money-market funds and equity securities classified as AFS to held at fair v</w:t>
      </w:r>
      <w:r>
        <w:rPr>
          <w:rFonts w:ascii="Arial" w:eastAsia="宋体" w:hAnsi="Arial" w:cs="Arial"/>
          <w:sz w:val="14"/>
          <w:szCs w:val="14"/>
        </w:rPr>
        <w:t>alue through profit and loss in other assets.</w:t>
      </w:r>
    </w:p>
    <w:p w14:paraId="55568AC4"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(3)</w:t>
      </w:r>
      <w:r>
        <w:rPr>
          <w:rFonts w:ascii="Arial" w:eastAsia="宋体" w:hAnsi="Arial" w:cs="Arial"/>
          <w:sz w:val="14"/>
          <w:szCs w:val="14"/>
        </w:rPr>
        <w:t xml:space="preserve"> Includes securities at amortized cost or fair value on the date of transfer from AFS.</w:t>
      </w:r>
    </w:p>
    <w:p w14:paraId="55568AC5"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8AC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our investment securities portfolio is provided in Note 3 to the consolidated financial s</w:t>
      </w:r>
      <w:r>
        <w:rPr>
          <w:rFonts w:ascii="Arial" w:eastAsia="宋体" w:hAnsi="Arial" w:cs="Arial"/>
          <w:sz w:val="20"/>
          <w:szCs w:val="20"/>
        </w:rPr>
        <w:t>tatements in this Form 10-K.</w:t>
      </w:r>
    </w:p>
    <w:p w14:paraId="55568AC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manage our investment securities portfolio to align with the interest rate and duration characteristics of our client liabilities and in the context of the overall structure of our consolidated statement of </w:t>
      </w:r>
      <w:r>
        <w:rPr>
          <w:rFonts w:ascii="Arial" w:eastAsia="宋体" w:hAnsi="Arial" w:cs="Arial"/>
          <w:sz w:val="20"/>
          <w:szCs w:val="20"/>
        </w:rPr>
        <w:t>condition, in consideration of the global interest rate environment. We consider a well-diversified, high-credit quality investment securities portfolio to be an important element in the management of our consolidated statement of condition.</w:t>
      </w:r>
    </w:p>
    <w:p w14:paraId="55568AC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Average durati</w:t>
      </w:r>
      <w:r>
        <w:rPr>
          <w:rFonts w:ascii="Arial" w:eastAsia="宋体" w:hAnsi="Arial" w:cs="Arial"/>
          <w:sz w:val="20"/>
          <w:szCs w:val="20"/>
        </w:rPr>
        <w:t>on of our investment securities portfolio was 2.7 years and 3.1 years as of December 31, 2019 and December 31, 2018, respectively. The decrease in securities duration is primarily driven by the impact of lower long-end U.S. interest rates shortening the du</w:t>
      </w:r>
      <w:r>
        <w:rPr>
          <w:rFonts w:ascii="Arial" w:eastAsia="宋体" w:hAnsi="Arial" w:cs="Arial"/>
          <w:sz w:val="20"/>
          <w:szCs w:val="20"/>
        </w:rPr>
        <w:t>ration of mortgage backed securities.</w:t>
      </w:r>
    </w:p>
    <w:p w14:paraId="55568AC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Approximately 90% of the carrying value of the portfolio was rated “AAA” or “AA” as of both December 31, 2019 and December 31, 2018.</w:t>
      </w:r>
    </w:p>
    <w:tbl>
      <w:tblPr>
        <w:tblW w:w="5000" w:type="pct"/>
        <w:tblCellMar>
          <w:left w:w="0" w:type="dxa"/>
          <w:right w:w="0" w:type="dxa"/>
        </w:tblCellMar>
        <w:tblLook w:val="04A0" w:firstRow="1" w:lastRow="0" w:firstColumn="1" w:lastColumn="0" w:noHBand="0" w:noVBand="1"/>
      </w:tblPr>
      <w:tblGrid>
        <w:gridCol w:w="2778"/>
        <w:gridCol w:w="2612"/>
        <w:gridCol w:w="175"/>
        <w:gridCol w:w="130"/>
        <w:gridCol w:w="2437"/>
        <w:gridCol w:w="174"/>
      </w:tblGrid>
      <w:tr w:rsidR="00F925DD" w14:paraId="55568ACB" w14:textId="77777777">
        <w:tc>
          <w:tcPr>
            <w:tcW w:w="0" w:type="auto"/>
            <w:gridSpan w:val="6"/>
            <w:shd w:val="clear" w:color="auto" w:fill="auto"/>
            <w:vAlign w:val="center"/>
          </w:tcPr>
          <w:p w14:paraId="55568ACA" w14:textId="77777777" w:rsidR="00F925DD" w:rsidRDefault="00F925DD">
            <w:pPr>
              <w:rPr>
                <w:rFonts w:ascii="Times New Roman" w:hAnsi="Times New Roman"/>
                <w:sz w:val="20"/>
                <w:szCs w:val="20"/>
              </w:rPr>
            </w:pPr>
          </w:p>
        </w:tc>
      </w:tr>
      <w:tr w:rsidR="00F925DD" w14:paraId="55568AD2" w14:textId="77777777">
        <w:tc>
          <w:tcPr>
            <w:tcW w:w="1700" w:type="pct"/>
            <w:shd w:val="clear" w:color="auto" w:fill="auto"/>
            <w:vAlign w:val="center"/>
          </w:tcPr>
          <w:p w14:paraId="55568ACC" w14:textId="77777777" w:rsidR="00F925DD" w:rsidRDefault="00F925DD">
            <w:pPr>
              <w:rPr>
                <w:rFonts w:ascii="Times New Roman" w:hAnsi="Times New Roman"/>
                <w:sz w:val="20"/>
                <w:szCs w:val="20"/>
              </w:rPr>
            </w:pPr>
          </w:p>
        </w:tc>
        <w:tc>
          <w:tcPr>
            <w:tcW w:w="1600" w:type="pct"/>
            <w:shd w:val="clear" w:color="auto" w:fill="auto"/>
            <w:vAlign w:val="center"/>
          </w:tcPr>
          <w:p w14:paraId="55568ACD" w14:textId="77777777" w:rsidR="00F925DD" w:rsidRDefault="00F925DD">
            <w:pPr>
              <w:rPr>
                <w:rFonts w:ascii="Times New Roman" w:hAnsi="Times New Roman"/>
                <w:sz w:val="20"/>
                <w:szCs w:val="20"/>
              </w:rPr>
            </w:pPr>
          </w:p>
        </w:tc>
        <w:tc>
          <w:tcPr>
            <w:tcW w:w="50" w:type="pct"/>
            <w:shd w:val="clear" w:color="auto" w:fill="auto"/>
            <w:vAlign w:val="center"/>
          </w:tcPr>
          <w:p w14:paraId="55568ACE" w14:textId="77777777" w:rsidR="00F925DD" w:rsidRDefault="00F925DD">
            <w:pPr>
              <w:rPr>
                <w:rFonts w:ascii="Times New Roman" w:hAnsi="Times New Roman"/>
                <w:sz w:val="20"/>
                <w:szCs w:val="20"/>
              </w:rPr>
            </w:pPr>
          </w:p>
        </w:tc>
        <w:tc>
          <w:tcPr>
            <w:tcW w:w="100" w:type="pct"/>
            <w:shd w:val="clear" w:color="auto" w:fill="auto"/>
            <w:vAlign w:val="center"/>
          </w:tcPr>
          <w:p w14:paraId="55568ACF" w14:textId="77777777" w:rsidR="00F925DD" w:rsidRDefault="00F925DD">
            <w:pPr>
              <w:rPr>
                <w:rFonts w:ascii="Times New Roman" w:hAnsi="Times New Roman"/>
                <w:sz w:val="20"/>
                <w:szCs w:val="20"/>
              </w:rPr>
            </w:pPr>
          </w:p>
        </w:tc>
        <w:tc>
          <w:tcPr>
            <w:tcW w:w="1500" w:type="pct"/>
            <w:shd w:val="clear" w:color="auto" w:fill="auto"/>
            <w:vAlign w:val="center"/>
          </w:tcPr>
          <w:p w14:paraId="55568AD0" w14:textId="77777777" w:rsidR="00F925DD" w:rsidRDefault="00F925DD">
            <w:pPr>
              <w:rPr>
                <w:rFonts w:ascii="Times New Roman" w:hAnsi="Times New Roman"/>
                <w:sz w:val="20"/>
                <w:szCs w:val="20"/>
              </w:rPr>
            </w:pPr>
          </w:p>
        </w:tc>
        <w:tc>
          <w:tcPr>
            <w:tcW w:w="50" w:type="pct"/>
            <w:shd w:val="clear" w:color="auto" w:fill="auto"/>
            <w:vAlign w:val="center"/>
          </w:tcPr>
          <w:p w14:paraId="55568AD1" w14:textId="77777777" w:rsidR="00F925DD" w:rsidRDefault="00F925DD">
            <w:pPr>
              <w:rPr>
                <w:rFonts w:ascii="Times New Roman" w:hAnsi="Times New Roman"/>
                <w:sz w:val="20"/>
                <w:szCs w:val="20"/>
              </w:rPr>
            </w:pPr>
          </w:p>
        </w:tc>
      </w:tr>
      <w:tr w:rsidR="00F925DD" w14:paraId="55568AD4" w14:textId="77777777">
        <w:tc>
          <w:tcPr>
            <w:tcW w:w="0" w:type="auto"/>
            <w:gridSpan w:val="6"/>
            <w:shd w:val="clear" w:color="auto" w:fill="auto"/>
            <w:tcMar>
              <w:top w:w="40" w:type="dxa"/>
              <w:left w:w="40" w:type="dxa"/>
              <w:bottom w:w="40" w:type="dxa"/>
              <w:right w:w="40" w:type="dxa"/>
            </w:tcMar>
            <w:vAlign w:val="bottom"/>
          </w:tcPr>
          <w:p w14:paraId="55568AD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21: INVESTMENT PORTFOLIO BY EXTERNAL CREDIT RATING</w:t>
            </w:r>
          </w:p>
        </w:tc>
      </w:tr>
      <w:tr w:rsidR="00F925DD" w14:paraId="55568AD9" w14:textId="77777777">
        <w:tc>
          <w:tcPr>
            <w:tcW w:w="0" w:type="auto"/>
            <w:shd w:val="clear" w:color="auto" w:fill="auto"/>
            <w:tcMar>
              <w:top w:w="40" w:type="dxa"/>
              <w:left w:w="40" w:type="dxa"/>
              <w:bottom w:w="40" w:type="dxa"/>
              <w:right w:w="40" w:type="dxa"/>
            </w:tcMar>
            <w:vAlign w:val="bottom"/>
          </w:tcPr>
          <w:p w14:paraId="55568A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AD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December 31, </w:t>
            </w:r>
            <w:r>
              <w:rPr>
                <w:rFonts w:ascii="Arial" w:eastAsia="宋体" w:hAnsi="Arial" w:cs="Arial"/>
                <w:b/>
                <w:bCs/>
                <w:sz w:val="15"/>
                <w:szCs w:val="15"/>
              </w:rPr>
              <w:t>2019</w:t>
            </w:r>
          </w:p>
        </w:tc>
        <w:tc>
          <w:tcPr>
            <w:tcW w:w="0" w:type="auto"/>
            <w:shd w:val="clear" w:color="auto" w:fill="auto"/>
            <w:tcMar>
              <w:top w:w="40" w:type="dxa"/>
              <w:left w:w="40" w:type="dxa"/>
              <w:bottom w:w="40" w:type="dxa"/>
              <w:right w:w="40" w:type="dxa"/>
            </w:tcMar>
            <w:vAlign w:val="bottom"/>
          </w:tcPr>
          <w:p w14:paraId="55568A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AD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r>
      <w:tr w:rsidR="00F925DD" w14:paraId="55568AE0" w14:textId="77777777">
        <w:tc>
          <w:tcPr>
            <w:tcW w:w="0" w:type="auto"/>
            <w:shd w:val="clear" w:color="auto" w:fill="CCEEFF"/>
            <w:tcMar>
              <w:top w:w="40" w:type="dxa"/>
              <w:left w:w="40" w:type="dxa"/>
              <w:bottom w:w="40" w:type="dxa"/>
              <w:right w:w="40" w:type="dxa"/>
            </w:tcMar>
            <w:vAlign w:val="bottom"/>
          </w:tcPr>
          <w:p w14:paraId="55568ADA" w14:textId="77777777" w:rsidR="00F925DD" w:rsidRDefault="00E705D7">
            <w:pPr>
              <w:textAlignment w:val="bottom"/>
              <w:rPr>
                <w:rFonts w:ascii="Times New Roman" w:hAnsi="Times New Roman"/>
                <w:sz w:val="15"/>
                <w:szCs w:val="15"/>
              </w:rPr>
            </w:pPr>
            <w:r>
              <w:rPr>
                <w:rFonts w:ascii="Arial" w:eastAsia="宋体" w:hAnsi="Arial" w:cs="Arial"/>
                <w:sz w:val="15"/>
                <w:szCs w:val="15"/>
              </w:rPr>
              <w:t>AAA(1)</w:t>
            </w:r>
          </w:p>
        </w:tc>
        <w:tc>
          <w:tcPr>
            <w:tcW w:w="0" w:type="auto"/>
            <w:tcBorders>
              <w:top w:val="single" w:sz="8" w:space="0" w:color="000000"/>
            </w:tcBorders>
            <w:shd w:val="clear" w:color="auto" w:fill="CCEEFF"/>
            <w:tcMar>
              <w:top w:w="40" w:type="dxa"/>
              <w:left w:w="40" w:type="dxa"/>
              <w:bottom w:w="40" w:type="dxa"/>
            </w:tcMar>
            <w:vAlign w:val="bottom"/>
          </w:tcPr>
          <w:p w14:paraId="55568AD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77</w:t>
            </w:r>
          </w:p>
        </w:tc>
        <w:tc>
          <w:tcPr>
            <w:tcW w:w="0" w:type="auto"/>
            <w:tcBorders>
              <w:top w:val="single" w:sz="8" w:space="0" w:color="000000"/>
            </w:tcBorders>
            <w:shd w:val="clear" w:color="auto" w:fill="CCEEFF"/>
            <w:tcMar>
              <w:top w:w="40" w:type="dxa"/>
              <w:bottom w:w="40" w:type="dxa"/>
              <w:right w:w="40" w:type="dxa"/>
            </w:tcMar>
            <w:vAlign w:val="bottom"/>
          </w:tcPr>
          <w:p w14:paraId="55568AD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8A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8AD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76</w:t>
            </w:r>
          </w:p>
        </w:tc>
        <w:tc>
          <w:tcPr>
            <w:tcW w:w="0" w:type="auto"/>
            <w:tcBorders>
              <w:top w:val="single" w:sz="8" w:space="0" w:color="000000"/>
            </w:tcBorders>
            <w:shd w:val="clear" w:color="auto" w:fill="CCEEFF"/>
            <w:tcMar>
              <w:top w:w="40" w:type="dxa"/>
              <w:bottom w:w="40" w:type="dxa"/>
              <w:right w:w="40" w:type="dxa"/>
            </w:tcMar>
            <w:vAlign w:val="bottom"/>
          </w:tcPr>
          <w:p w14:paraId="55568AD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8AE7" w14:textId="77777777">
        <w:tc>
          <w:tcPr>
            <w:tcW w:w="0" w:type="auto"/>
            <w:shd w:val="clear" w:color="auto" w:fill="auto"/>
            <w:tcMar>
              <w:top w:w="40" w:type="dxa"/>
              <w:left w:w="40" w:type="dxa"/>
              <w:bottom w:w="40" w:type="dxa"/>
              <w:right w:w="40" w:type="dxa"/>
            </w:tcMar>
            <w:vAlign w:val="bottom"/>
          </w:tcPr>
          <w:p w14:paraId="55568AE1" w14:textId="77777777" w:rsidR="00F925DD" w:rsidRDefault="00E705D7">
            <w:pPr>
              <w:textAlignment w:val="bottom"/>
              <w:rPr>
                <w:rFonts w:ascii="Times New Roman" w:hAnsi="Times New Roman"/>
                <w:sz w:val="15"/>
                <w:szCs w:val="15"/>
              </w:rPr>
            </w:pPr>
            <w:r>
              <w:rPr>
                <w:rFonts w:ascii="Arial" w:eastAsia="宋体" w:hAnsi="Arial" w:cs="Arial"/>
                <w:sz w:val="15"/>
                <w:szCs w:val="15"/>
              </w:rPr>
              <w:t>AA</w:t>
            </w:r>
          </w:p>
        </w:tc>
        <w:tc>
          <w:tcPr>
            <w:tcW w:w="0" w:type="auto"/>
            <w:shd w:val="clear" w:color="auto" w:fill="auto"/>
            <w:tcMar>
              <w:top w:w="40" w:type="dxa"/>
              <w:left w:w="40" w:type="dxa"/>
              <w:bottom w:w="40" w:type="dxa"/>
            </w:tcMar>
            <w:vAlign w:val="bottom"/>
          </w:tcPr>
          <w:p w14:paraId="55568AE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w:t>
            </w:r>
          </w:p>
        </w:tc>
        <w:tc>
          <w:tcPr>
            <w:tcW w:w="0" w:type="auto"/>
            <w:shd w:val="clear" w:color="auto" w:fill="auto"/>
            <w:vAlign w:val="bottom"/>
          </w:tcPr>
          <w:p w14:paraId="55568AE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AE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w:t>
            </w:r>
          </w:p>
        </w:tc>
        <w:tc>
          <w:tcPr>
            <w:tcW w:w="0" w:type="auto"/>
            <w:shd w:val="clear" w:color="auto" w:fill="auto"/>
            <w:vAlign w:val="bottom"/>
          </w:tcPr>
          <w:p w14:paraId="55568AE6" w14:textId="77777777" w:rsidR="00F925DD" w:rsidRDefault="00F925DD">
            <w:pPr>
              <w:textAlignment w:val="bottom"/>
              <w:rPr>
                <w:rFonts w:ascii="Times New Roman" w:hAnsi="Times New Roman"/>
                <w:sz w:val="20"/>
                <w:szCs w:val="20"/>
              </w:rPr>
            </w:pPr>
          </w:p>
        </w:tc>
      </w:tr>
      <w:tr w:rsidR="00F925DD" w14:paraId="55568AEE" w14:textId="77777777">
        <w:tc>
          <w:tcPr>
            <w:tcW w:w="0" w:type="auto"/>
            <w:shd w:val="clear" w:color="auto" w:fill="CCEEFF"/>
            <w:tcMar>
              <w:top w:w="40" w:type="dxa"/>
              <w:left w:w="40" w:type="dxa"/>
              <w:bottom w:w="40" w:type="dxa"/>
              <w:right w:w="40" w:type="dxa"/>
            </w:tcMar>
            <w:vAlign w:val="bottom"/>
          </w:tcPr>
          <w:p w14:paraId="55568AE8" w14:textId="77777777" w:rsidR="00F925DD" w:rsidRDefault="00E705D7">
            <w:pPr>
              <w:textAlignment w:val="bottom"/>
              <w:rPr>
                <w:rFonts w:ascii="Times New Roman" w:hAnsi="Times New Roman"/>
                <w:sz w:val="15"/>
                <w:szCs w:val="15"/>
              </w:rPr>
            </w:pPr>
            <w:r>
              <w:rPr>
                <w:rFonts w:ascii="Arial" w:eastAsia="宋体" w:hAnsi="Arial" w:cs="Arial"/>
                <w:sz w:val="15"/>
                <w:szCs w:val="15"/>
              </w:rPr>
              <w:t>A</w:t>
            </w:r>
          </w:p>
        </w:tc>
        <w:tc>
          <w:tcPr>
            <w:tcW w:w="0" w:type="auto"/>
            <w:shd w:val="clear" w:color="auto" w:fill="CCEEFF"/>
            <w:tcMar>
              <w:top w:w="40" w:type="dxa"/>
              <w:left w:w="40" w:type="dxa"/>
              <w:bottom w:w="40" w:type="dxa"/>
            </w:tcMar>
            <w:vAlign w:val="bottom"/>
          </w:tcPr>
          <w:p w14:paraId="55568AE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shd w:val="clear" w:color="auto" w:fill="CCEEFF"/>
            <w:vAlign w:val="bottom"/>
          </w:tcPr>
          <w:p w14:paraId="55568A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AE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CCEEFF"/>
            <w:vAlign w:val="bottom"/>
          </w:tcPr>
          <w:p w14:paraId="55568AED" w14:textId="77777777" w:rsidR="00F925DD" w:rsidRDefault="00F925DD">
            <w:pPr>
              <w:textAlignment w:val="bottom"/>
              <w:rPr>
                <w:rFonts w:ascii="Times New Roman" w:hAnsi="Times New Roman"/>
                <w:sz w:val="20"/>
                <w:szCs w:val="20"/>
              </w:rPr>
            </w:pPr>
          </w:p>
        </w:tc>
      </w:tr>
      <w:tr w:rsidR="00F925DD" w14:paraId="55568AF5" w14:textId="77777777">
        <w:tc>
          <w:tcPr>
            <w:tcW w:w="0" w:type="auto"/>
            <w:shd w:val="clear" w:color="auto" w:fill="auto"/>
            <w:tcMar>
              <w:top w:w="40" w:type="dxa"/>
              <w:left w:w="40" w:type="dxa"/>
              <w:bottom w:w="40" w:type="dxa"/>
              <w:right w:w="40" w:type="dxa"/>
            </w:tcMar>
            <w:vAlign w:val="bottom"/>
          </w:tcPr>
          <w:p w14:paraId="55568AEF" w14:textId="77777777" w:rsidR="00F925DD" w:rsidRDefault="00E705D7">
            <w:pPr>
              <w:textAlignment w:val="bottom"/>
              <w:rPr>
                <w:rFonts w:ascii="Times New Roman" w:hAnsi="Times New Roman"/>
                <w:sz w:val="15"/>
                <w:szCs w:val="15"/>
              </w:rPr>
            </w:pPr>
            <w:r>
              <w:rPr>
                <w:rFonts w:ascii="Arial" w:eastAsia="宋体" w:hAnsi="Arial" w:cs="Arial"/>
                <w:sz w:val="15"/>
                <w:szCs w:val="15"/>
              </w:rPr>
              <w:t>BBB</w:t>
            </w:r>
          </w:p>
        </w:tc>
        <w:tc>
          <w:tcPr>
            <w:tcW w:w="0" w:type="auto"/>
            <w:shd w:val="clear" w:color="auto" w:fill="auto"/>
            <w:tcMar>
              <w:top w:w="40" w:type="dxa"/>
              <w:left w:w="40" w:type="dxa"/>
              <w:bottom w:w="40" w:type="dxa"/>
            </w:tcMar>
            <w:vAlign w:val="bottom"/>
          </w:tcPr>
          <w:p w14:paraId="55568AF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shd w:val="clear" w:color="auto" w:fill="auto"/>
            <w:vAlign w:val="bottom"/>
          </w:tcPr>
          <w:p w14:paraId="55568A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A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AF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auto"/>
            <w:vAlign w:val="bottom"/>
          </w:tcPr>
          <w:p w14:paraId="55568AF4" w14:textId="77777777" w:rsidR="00F925DD" w:rsidRDefault="00F925DD">
            <w:pPr>
              <w:textAlignment w:val="bottom"/>
              <w:rPr>
                <w:rFonts w:ascii="Times New Roman" w:hAnsi="Times New Roman"/>
                <w:sz w:val="20"/>
                <w:szCs w:val="20"/>
              </w:rPr>
            </w:pPr>
          </w:p>
        </w:tc>
      </w:tr>
      <w:tr w:rsidR="00F925DD" w14:paraId="55568AFC" w14:textId="77777777">
        <w:tc>
          <w:tcPr>
            <w:tcW w:w="0" w:type="auto"/>
            <w:shd w:val="clear" w:color="auto" w:fill="CCEEFF"/>
            <w:tcMar>
              <w:top w:w="40" w:type="dxa"/>
              <w:left w:w="40" w:type="dxa"/>
              <w:bottom w:w="40" w:type="dxa"/>
              <w:right w:w="40" w:type="dxa"/>
            </w:tcMar>
            <w:vAlign w:val="bottom"/>
          </w:tcPr>
          <w:p w14:paraId="55568AF6" w14:textId="77777777" w:rsidR="00F925DD" w:rsidRDefault="00E705D7">
            <w:pPr>
              <w:textAlignment w:val="bottom"/>
              <w:rPr>
                <w:rFonts w:ascii="Times New Roman" w:hAnsi="Times New Roman"/>
                <w:sz w:val="15"/>
                <w:szCs w:val="15"/>
              </w:rPr>
            </w:pPr>
            <w:r>
              <w:rPr>
                <w:rFonts w:ascii="Arial" w:eastAsia="宋体" w:hAnsi="Arial" w:cs="Arial"/>
                <w:sz w:val="15"/>
                <w:szCs w:val="15"/>
              </w:rPr>
              <w:t>Below BBB</w:t>
            </w:r>
          </w:p>
        </w:tc>
        <w:tc>
          <w:tcPr>
            <w:tcW w:w="0" w:type="auto"/>
            <w:tcBorders>
              <w:bottom w:val="single" w:sz="8" w:space="0" w:color="000000"/>
            </w:tcBorders>
            <w:shd w:val="clear" w:color="auto" w:fill="CCEEFF"/>
            <w:tcMar>
              <w:top w:w="40" w:type="dxa"/>
              <w:left w:w="40" w:type="dxa"/>
              <w:bottom w:w="40" w:type="dxa"/>
            </w:tcMar>
            <w:vAlign w:val="bottom"/>
          </w:tcPr>
          <w:p w14:paraId="55568AF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8A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A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5568AF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8AFB" w14:textId="77777777" w:rsidR="00F925DD" w:rsidRDefault="00F925DD">
            <w:pPr>
              <w:textAlignment w:val="bottom"/>
              <w:rPr>
                <w:rFonts w:ascii="Times New Roman" w:hAnsi="Times New Roman"/>
                <w:sz w:val="20"/>
                <w:szCs w:val="20"/>
              </w:rPr>
            </w:pPr>
          </w:p>
        </w:tc>
      </w:tr>
      <w:tr w:rsidR="00F925DD" w14:paraId="55568B03" w14:textId="77777777">
        <w:tc>
          <w:tcPr>
            <w:tcW w:w="0" w:type="auto"/>
            <w:shd w:val="clear" w:color="auto" w:fill="auto"/>
            <w:tcMar>
              <w:top w:w="40" w:type="dxa"/>
              <w:left w:w="40" w:type="dxa"/>
              <w:bottom w:w="40" w:type="dxa"/>
              <w:right w:w="40" w:type="dxa"/>
            </w:tcMar>
            <w:vAlign w:val="bottom"/>
          </w:tcPr>
          <w:p w14:paraId="55568A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8AF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100</w:t>
            </w:r>
          </w:p>
        </w:tc>
        <w:tc>
          <w:tcPr>
            <w:tcW w:w="0" w:type="auto"/>
            <w:tcBorders>
              <w:bottom w:val="double" w:sz="6" w:space="0" w:color="000000"/>
            </w:tcBorders>
            <w:shd w:val="clear" w:color="auto" w:fill="auto"/>
            <w:tcMar>
              <w:top w:w="40" w:type="dxa"/>
              <w:bottom w:w="40" w:type="dxa"/>
              <w:right w:w="40" w:type="dxa"/>
            </w:tcMar>
            <w:vAlign w:val="bottom"/>
          </w:tcPr>
          <w:p w14:paraId="55568AF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8B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8B0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100</w:t>
            </w:r>
          </w:p>
        </w:tc>
        <w:tc>
          <w:tcPr>
            <w:tcW w:w="0" w:type="auto"/>
            <w:tcBorders>
              <w:bottom w:val="double" w:sz="6" w:space="0" w:color="000000"/>
            </w:tcBorders>
            <w:shd w:val="clear" w:color="auto" w:fill="auto"/>
            <w:tcMar>
              <w:top w:w="40" w:type="dxa"/>
              <w:bottom w:w="40" w:type="dxa"/>
              <w:right w:w="40" w:type="dxa"/>
            </w:tcMar>
            <w:vAlign w:val="bottom"/>
          </w:tcPr>
          <w:p w14:paraId="55568B0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bl>
    <w:p w14:paraId="55568B04"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3987"/>
        <w:gridCol w:w="1661"/>
        <w:gridCol w:w="2658"/>
      </w:tblGrid>
      <w:tr w:rsidR="00F925DD" w14:paraId="55568B06" w14:textId="77777777">
        <w:tc>
          <w:tcPr>
            <w:tcW w:w="0" w:type="auto"/>
            <w:gridSpan w:val="3"/>
            <w:shd w:val="clear" w:color="auto" w:fill="auto"/>
            <w:vAlign w:val="center"/>
          </w:tcPr>
          <w:p w14:paraId="55568B05" w14:textId="77777777" w:rsidR="00F925DD" w:rsidRDefault="00F925DD">
            <w:pPr>
              <w:rPr>
                <w:rFonts w:ascii="Times New Roman" w:hAnsi="Times New Roman"/>
                <w:sz w:val="20"/>
                <w:szCs w:val="20"/>
              </w:rPr>
            </w:pPr>
          </w:p>
        </w:tc>
      </w:tr>
      <w:tr w:rsidR="00F925DD" w14:paraId="55568B0A" w14:textId="77777777">
        <w:tc>
          <w:tcPr>
            <w:tcW w:w="2400" w:type="pct"/>
            <w:shd w:val="clear" w:color="auto" w:fill="auto"/>
            <w:vAlign w:val="center"/>
          </w:tcPr>
          <w:p w14:paraId="55568B07" w14:textId="77777777" w:rsidR="00F925DD" w:rsidRDefault="00F925DD">
            <w:pPr>
              <w:rPr>
                <w:rFonts w:ascii="Times New Roman" w:hAnsi="Times New Roman"/>
                <w:sz w:val="20"/>
                <w:szCs w:val="20"/>
              </w:rPr>
            </w:pPr>
          </w:p>
        </w:tc>
        <w:tc>
          <w:tcPr>
            <w:tcW w:w="1000" w:type="pct"/>
            <w:shd w:val="clear" w:color="auto" w:fill="auto"/>
            <w:vAlign w:val="center"/>
          </w:tcPr>
          <w:p w14:paraId="55568B08" w14:textId="77777777" w:rsidR="00F925DD" w:rsidRDefault="00F925DD">
            <w:pPr>
              <w:rPr>
                <w:rFonts w:ascii="Times New Roman" w:hAnsi="Times New Roman"/>
                <w:sz w:val="20"/>
                <w:szCs w:val="20"/>
              </w:rPr>
            </w:pPr>
          </w:p>
        </w:tc>
        <w:tc>
          <w:tcPr>
            <w:tcW w:w="1600" w:type="pct"/>
            <w:shd w:val="clear" w:color="auto" w:fill="auto"/>
            <w:vAlign w:val="center"/>
          </w:tcPr>
          <w:p w14:paraId="55568B09" w14:textId="77777777" w:rsidR="00F925DD" w:rsidRDefault="00F925DD">
            <w:pPr>
              <w:rPr>
                <w:rFonts w:ascii="Times New Roman" w:hAnsi="Times New Roman"/>
                <w:sz w:val="20"/>
                <w:szCs w:val="20"/>
              </w:rPr>
            </w:pPr>
          </w:p>
        </w:tc>
      </w:tr>
      <w:tr w:rsidR="00F925DD" w14:paraId="55568B0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B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B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B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B0F"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Includes U.S. Treasury and federal agency securities that are split-rated, “AAA” by Moody’s Investors Service and </w:t>
      </w:r>
      <w:r>
        <w:rPr>
          <w:rFonts w:ascii="Arial" w:eastAsia="宋体" w:hAnsi="Arial" w:cs="Arial"/>
          <w:sz w:val="14"/>
          <w:szCs w:val="14"/>
        </w:rPr>
        <w:t>“AA+” by Standard &amp; Poor’s and also includes Agency MBS securities which are not explicitly rated but which have an explicit or assumed guarantee from the U.S. government.</w:t>
      </w:r>
    </w:p>
    <w:p w14:paraId="55568B1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December 31, 2019 and December 31, 2018, the investment portfolio was </w:t>
      </w:r>
      <w:r>
        <w:rPr>
          <w:rFonts w:ascii="Arial" w:eastAsia="宋体" w:hAnsi="Arial" w:cs="Arial"/>
          <w:sz w:val="20"/>
          <w:szCs w:val="20"/>
        </w:rPr>
        <w:t>diversified with respect to asset class composition. The following table presents the composition of these asset classes.</w:t>
      </w:r>
    </w:p>
    <w:tbl>
      <w:tblPr>
        <w:tblW w:w="4990" w:type="pct"/>
        <w:tblCellMar>
          <w:left w:w="0" w:type="dxa"/>
          <w:right w:w="0" w:type="dxa"/>
        </w:tblCellMar>
        <w:tblLook w:val="04A0" w:firstRow="1" w:lastRow="0" w:firstColumn="1" w:lastColumn="0" w:noHBand="0" w:noVBand="1"/>
      </w:tblPr>
      <w:tblGrid>
        <w:gridCol w:w="2772"/>
        <w:gridCol w:w="2524"/>
        <w:gridCol w:w="174"/>
        <w:gridCol w:w="130"/>
        <w:gridCol w:w="2515"/>
        <w:gridCol w:w="174"/>
      </w:tblGrid>
      <w:tr w:rsidR="00F925DD" w14:paraId="55568B12" w14:textId="77777777">
        <w:tc>
          <w:tcPr>
            <w:tcW w:w="0" w:type="auto"/>
            <w:gridSpan w:val="6"/>
            <w:shd w:val="clear" w:color="auto" w:fill="auto"/>
            <w:vAlign w:val="center"/>
          </w:tcPr>
          <w:p w14:paraId="55568B11" w14:textId="77777777" w:rsidR="00F925DD" w:rsidRDefault="00F925DD">
            <w:pPr>
              <w:rPr>
                <w:rFonts w:ascii="Times New Roman" w:hAnsi="Times New Roman"/>
                <w:sz w:val="20"/>
                <w:szCs w:val="20"/>
              </w:rPr>
            </w:pPr>
          </w:p>
        </w:tc>
      </w:tr>
      <w:tr w:rsidR="00F925DD" w14:paraId="55568B19" w14:textId="77777777">
        <w:tc>
          <w:tcPr>
            <w:tcW w:w="1700" w:type="pct"/>
            <w:shd w:val="clear" w:color="auto" w:fill="auto"/>
            <w:vAlign w:val="center"/>
          </w:tcPr>
          <w:p w14:paraId="55568B13" w14:textId="77777777" w:rsidR="00F925DD" w:rsidRDefault="00F925DD">
            <w:pPr>
              <w:rPr>
                <w:rFonts w:ascii="Times New Roman" w:hAnsi="Times New Roman"/>
                <w:sz w:val="20"/>
                <w:szCs w:val="20"/>
              </w:rPr>
            </w:pPr>
          </w:p>
        </w:tc>
        <w:tc>
          <w:tcPr>
            <w:tcW w:w="1550" w:type="pct"/>
            <w:shd w:val="clear" w:color="auto" w:fill="auto"/>
            <w:vAlign w:val="center"/>
          </w:tcPr>
          <w:p w14:paraId="55568B14" w14:textId="77777777" w:rsidR="00F925DD" w:rsidRDefault="00F925DD">
            <w:pPr>
              <w:rPr>
                <w:rFonts w:ascii="Times New Roman" w:hAnsi="Times New Roman"/>
                <w:sz w:val="20"/>
                <w:szCs w:val="20"/>
              </w:rPr>
            </w:pPr>
          </w:p>
        </w:tc>
        <w:tc>
          <w:tcPr>
            <w:tcW w:w="50" w:type="pct"/>
            <w:shd w:val="clear" w:color="auto" w:fill="auto"/>
            <w:vAlign w:val="center"/>
          </w:tcPr>
          <w:p w14:paraId="55568B15" w14:textId="77777777" w:rsidR="00F925DD" w:rsidRDefault="00F925DD">
            <w:pPr>
              <w:rPr>
                <w:rFonts w:ascii="Times New Roman" w:hAnsi="Times New Roman"/>
                <w:sz w:val="20"/>
                <w:szCs w:val="20"/>
              </w:rPr>
            </w:pPr>
          </w:p>
        </w:tc>
        <w:tc>
          <w:tcPr>
            <w:tcW w:w="100" w:type="pct"/>
            <w:shd w:val="clear" w:color="auto" w:fill="auto"/>
            <w:vAlign w:val="center"/>
          </w:tcPr>
          <w:p w14:paraId="55568B16" w14:textId="77777777" w:rsidR="00F925DD" w:rsidRDefault="00F925DD">
            <w:pPr>
              <w:rPr>
                <w:rFonts w:ascii="Times New Roman" w:hAnsi="Times New Roman"/>
                <w:sz w:val="20"/>
                <w:szCs w:val="20"/>
              </w:rPr>
            </w:pPr>
          </w:p>
        </w:tc>
        <w:tc>
          <w:tcPr>
            <w:tcW w:w="1550" w:type="pct"/>
            <w:shd w:val="clear" w:color="auto" w:fill="auto"/>
            <w:vAlign w:val="center"/>
          </w:tcPr>
          <w:p w14:paraId="55568B17" w14:textId="77777777" w:rsidR="00F925DD" w:rsidRDefault="00F925DD">
            <w:pPr>
              <w:rPr>
                <w:rFonts w:ascii="Times New Roman" w:hAnsi="Times New Roman"/>
                <w:sz w:val="20"/>
                <w:szCs w:val="20"/>
              </w:rPr>
            </w:pPr>
          </w:p>
        </w:tc>
        <w:tc>
          <w:tcPr>
            <w:tcW w:w="50" w:type="pct"/>
            <w:shd w:val="clear" w:color="auto" w:fill="auto"/>
            <w:vAlign w:val="center"/>
          </w:tcPr>
          <w:p w14:paraId="55568B18" w14:textId="77777777" w:rsidR="00F925DD" w:rsidRDefault="00F925DD">
            <w:pPr>
              <w:rPr>
                <w:rFonts w:ascii="Times New Roman" w:hAnsi="Times New Roman"/>
                <w:sz w:val="20"/>
                <w:szCs w:val="20"/>
              </w:rPr>
            </w:pPr>
          </w:p>
        </w:tc>
      </w:tr>
      <w:tr w:rsidR="00F925DD" w14:paraId="55568B1B" w14:textId="77777777">
        <w:tc>
          <w:tcPr>
            <w:tcW w:w="0" w:type="auto"/>
            <w:gridSpan w:val="6"/>
            <w:shd w:val="clear" w:color="auto" w:fill="auto"/>
            <w:tcMar>
              <w:top w:w="40" w:type="dxa"/>
              <w:left w:w="40" w:type="dxa"/>
              <w:bottom w:w="40" w:type="dxa"/>
              <w:right w:w="40" w:type="dxa"/>
            </w:tcMar>
            <w:vAlign w:val="bottom"/>
          </w:tcPr>
          <w:p w14:paraId="55568B1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22: INVESTMENT PORTFOLIO BY ASSET CLASS</w:t>
            </w:r>
          </w:p>
        </w:tc>
      </w:tr>
      <w:tr w:rsidR="00F925DD" w14:paraId="55568B20" w14:textId="77777777">
        <w:tc>
          <w:tcPr>
            <w:tcW w:w="0" w:type="auto"/>
            <w:shd w:val="clear" w:color="auto" w:fill="auto"/>
            <w:tcMar>
              <w:top w:w="40" w:type="dxa"/>
              <w:left w:w="40" w:type="dxa"/>
              <w:bottom w:w="40" w:type="dxa"/>
              <w:right w:w="40" w:type="dxa"/>
            </w:tcMar>
            <w:vAlign w:val="bottom"/>
          </w:tcPr>
          <w:p w14:paraId="55568B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B1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8B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B1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r>
      <w:tr w:rsidR="00F925DD" w14:paraId="55568B28" w14:textId="77777777">
        <w:tc>
          <w:tcPr>
            <w:tcW w:w="0" w:type="auto"/>
            <w:shd w:val="clear" w:color="auto" w:fill="CCEEFF"/>
            <w:tcMar>
              <w:top w:w="40" w:type="dxa"/>
              <w:left w:w="40" w:type="dxa"/>
              <w:bottom w:w="40" w:type="dxa"/>
              <w:right w:w="40" w:type="dxa"/>
            </w:tcMar>
            <w:vAlign w:val="center"/>
          </w:tcPr>
          <w:p w14:paraId="55568B21" w14:textId="77777777" w:rsidR="00F925DD" w:rsidRDefault="00E705D7">
            <w:pPr>
              <w:textAlignment w:val="center"/>
              <w:rPr>
                <w:rFonts w:ascii="Times New Roman" w:hAnsi="Times New Roman"/>
                <w:sz w:val="15"/>
                <w:szCs w:val="15"/>
              </w:rPr>
            </w:pPr>
            <w:r>
              <w:rPr>
                <w:rFonts w:ascii="Arial" w:eastAsia="宋体" w:hAnsi="Arial" w:cs="Arial"/>
                <w:sz w:val="15"/>
                <w:szCs w:val="15"/>
              </w:rPr>
              <w:t xml:space="preserve">U.S. Agency </w:t>
            </w:r>
          </w:p>
          <w:p w14:paraId="55568B22" w14:textId="77777777" w:rsidR="00F925DD" w:rsidRDefault="00E705D7">
            <w:pPr>
              <w:textAlignment w:val="center"/>
              <w:rPr>
                <w:rFonts w:ascii="Times New Roman" w:hAnsi="Times New Roman"/>
                <w:sz w:val="15"/>
                <w:szCs w:val="15"/>
              </w:rPr>
            </w:pPr>
            <w:r>
              <w:rPr>
                <w:rFonts w:ascii="Arial" w:eastAsia="宋体" w:hAnsi="Arial" w:cs="Arial"/>
                <w:sz w:val="15"/>
                <w:szCs w:val="15"/>
              </w:rPr>
              <w:t>Mortgage-backed securities</w:t>
            </w:r>
          </w:p>
        </w:tc>
        <w:tc>
          <w:tcPr>
            <w:tcW w:w="0" w:type="auto"/>
            <w:shd w:val="clear" w:color="auto" w:fill="CCEEFF"/>
            <w:tcMar>
              <w:top w:w="40" w:type="dxa"/>
              <w:left w:w="40" w:type="dxa"/>
              <w:bottom w:w="40" w:type="dxa"/>
            </w:tcMar>
            <w:vAlign w:val="center"/>
          </w:tcPr>
          <w:p w14:paraId="55568B23"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41</w:t>
            </w:r>
          </w:p>
        </w:tc>
        <w:tc>
          <w:tcPr>
            <w:tcW w:w="0" w:type="auto"/>
            <w:shd w:val="clear" w:color="auto" w:fill="CCEEFF"/>
            <w:tcMar>
              <w:top w:w="40" w:type="dxa"/>
              <w:bottom w:w="40" w:type="dxa"/>
              <w:right w:w="40" w:type="dxa"/>
            </w:tcMar>
            <w:vAlign w:val="center"/>
          </w:tcPr>
          <w:p w14:paraId="55568B24" w14:textId="77777777" w:rsidR="00F925DD" w:rsidRDefault="00E705D7">
            <w:pPr>
              <w:textAlignment w:val="center"/>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8B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8B26" w14:textId="77777777" w:rsidR="00F925DD" w:rsidRDefault="00E705D7">
            <w:pPr>
              <w:jc w:val="right"/>
              <w:textAlignment w:val="center"/>
              <w:rPr>
                <w:rFonts w:ascii="Times New Roman" w:hAnsi="Times New Roman"/>
                <w:sz w:val="15"/>
                <w:szCs w:val="15"/>
              </w:rPr>
            </w:pPr>
            <w:r>
              <w:rPr>
                <w:rFonts w:ascii="Arial" w:eastAsia="宋体" w:hAnsi="Arial" w:cs="Arial"/>
                <w:sz w:val="15"/>
                <w:szCs w:val="15"/>
              </w:rPr>
              <w:t>40</w:t>
            </w:r>
          </w:p>
        </w:tc>
        <w:tc>
          <w:tcPr>
            <w:tcW w:w="0" w:type="auto"/>
            <w:shd w:val="clear" w:color="auto" w:fill="CCEEFF"/>
            <w:tcMar>
              <w:top w:w="40" w:type="dxa"/>
              <w:bottom w:w="40" w:type="dxa"/>
              <w:right w:w="40" w:type="dxa"/>
            </w:tcMar>
            <w:vAlign w:val="center"/>
          </w:tcPr>
          <w:p w14:paraId="55568B27" w14:textId="77777777" w:rsidR="00F925DD" w:rsidRDefault="00E705D7">
            <w:pPr>
              <w:textAlignment w:val="center"/>
              <w:rPr>
                <w:rFonts w:ascii="Times New Roman" w:hAnsi="Times New Roman"/>
                <w:sz w:val="15"/>
                <w:szCs w:val="15"/>
              </w:rPr>
            </w:pPr>
            <w:r>
              <w:rPr>
                <w:rFonts w:ascii="Arial" w:eastAsia="宋体" w:hAnsi="Arial" w:cs="Arial"/>
                <w:sz w:val="15"/>
                <w:szCs w:val="15"/>
              </w:rPr>
              <w:t>%</w:t>
            </w:r>
          </w:p>
        </w:tc>
      </w:tr>
      <w:tr w:rsidR="00F925DD" w14:paraId="55568B2F" w14:textId="77777777">
        <w:tc>
          <w:tcPr>
            <w:tcW w:w="0" w:type="auto"/>
            <w:shd w:val="clear" w:color="auto" w:fill="auto"/>
            <w:tcMar>
              <w:top w:w="40" w:type="dxa"/>
              <w:left w:w="40" w:type="dxa"/>
              <w:bottom w:w="40" w:type="dxa"/>
              <w:right w:w="40" w:type="dxa"/>
            </w:tcMar>
            <w:vAlign w:val="center"/>
          </w:tcPr>
          <w:p w14:paraId="55568B29" w14:textId="77777777" w:rsidR="00F925DD" w:rsidRDefault="00E705D7">
            <w:pPr>
              <w:textAlignment w:val="center"/>
              <w:rPr>
                <w:rFonts w:ascii="Times New Roman" w:hAnsi="Times New Roman"/>
                <w:sz w:val="15"/>
                <w:szCs w:val="15"/>
              </w:rPr>
            </w:pPr>
            <w:r>
              <w:rPr>
                <w:rFonts w:ascii="Arial" w:eastAsia="宋体" w:hAnsi="Arial" w:cs="Arial"/>
                <w:sz w:val="15"/>
                <w:szCs w:val="15"/>
              </w:rPr>
              <w:t>Foreign sovereign</w:t>
            </w:r>
          </w:p>
        </w:tc>
        <w:tc>
          <w:tcPr>
            <w:tcW w:w="0" w:type="auto"/>
            <w:shd w:val="clear" w:color="auto" w:fill="auto"/>
            <w:tcMar>
              <w:top w:w="40" w:type="dxa"/>
              <w:left w:w="40" w:type="dxa"/>
              <w:bottom w:w="40" w:type="dxa"/>
            </w:tcMar>
            <w:vAlign w:val="center"/>
          </w:tcPr>
          <w:p w14:paraId="55568B2A"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19</w:t>
            </w:r>
          </w:p>
        </w:tc>
        <w:tc>
          <w:tcPr>
            <w:tcW w:w="0" w:type="auto"/>
            <w:shd w:val="clear" w:color="auto" w:fill="auto"/>
            <w:vAlign w:val="bottom"/>
          </w:tcPr>
          <w:p w14:paraId="55568B2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8B2D" w14:textId="77777777" w:rsidR="00F925DD" w:rsidRDefault="00E705D7">
            <w:pPr>
              <w:jc w:val="right"/>
              <w:textAlignment w:val="center"/>
              <w:rPr>
                <w:rFonts w:ascii="Times New Roman" w:hAnsi="Times New Roman"/>
                <w:sz w:val="15"/>
                <w:szCs w:val="15"/>
              </w:rPr>
            </w:pPr>
            <w:r>
              <w:rPr>
                <w:rFonts w:ascii="Arial" w:eastAsia="宋体" w:hAnsi="Arial" w:cs="Arial"/>
                <w:sz w:val="15"/>
                <w:szCs w:val="15"/>
              </w:rPr>
              <w:t>19</w:t>
            </w:r>
          </w:p>
        </w:tc>
        <w:tc>
          <w:tcPr>
            <w:tcW w:w="0" w:type="auto"/>
            <w:shd w:val="clear" w:color="auto" w:fill="auto"/>
            <w:vAlign w:val="bottom"/>
          </w:tcPr>
          <w:p w14:paraId="55568B2E" w14:textId="77777777" w:rsidR="00F925DD" w:rsidRDefault="00F925DD">
            <w:pPr>
              <w:textAlignment w:val="bottom"/>
              <w:rPr>
                <w:rFonts w:ascii="Times New Roman" w:hAnsi="Times New Roman"/>
                <w:sz w:val="20"/>
                <w:szCs w:val="20"/>
              </w:rPr>
            </w:pPr>
          </w:p>
        </w:tc>
      </w:tr>
      <w:tr w:rsidR="00F925DD" w14:paraId="55568B36" w14:textId="77777777">
        <w:tc>
          <w:tcPr>
            <w:tcW w:w="0" w:type="auto"/>
            <w:shd w:val="clear" w:color="auto" w:fill="CCEEFF"/>
            <w:tcMar>
              <w:top w:w="40" w:type="dxa"/>
              <w:left w:w="40" w:type="dxa"/>
              <w:bottom w:w="40" w:type="dxa"/>
              <w:right w:w="40" w:type="dxa"/>
            </w:tcMar>
            <w:vAlign w:val="center"/>
          </w:tcPr>
          <w:p w14:paraId="55568B30" w14:textId="77777777" w:rsidR="00F925DD" w:rsidRDefault="00E705D7">
            <w:pPr>
              <w:textAlignment w:val="center"/>
              <w:rPr>
                <w:rFonts w:ascii="Times New Roman" w:hAnsi="Times New Roman"/>
                <w:sz w:val="15"/>
                <w:szCs w:val="15"/>
              </w:rPr>
            </w:pPr>
            <w:r>
              <w:rPr>
                <w:rFonts w:ascii="Arial" w:eastAsia="宋体" w:hAnsi="Arial" w:cs="Arial"/>
                <w:sz w:val="15"/>
                <w:szCs w:val="15"/>
              </w:rPr>
              <w:t>U.S. Treasuries</w:t>
            </w:r>
          </w:p>
        </w:tc>
        <w:tc>
          <w:tcPr>
            <w:tcW w:w="0" w:type="auto"/>
            <w:shd w:val="clear" w:color="auto" w:fill="CCEEFF"/>
            <w:tcMar>
              <w:top w:w="40" w:type="dxa"/>
              <w:left w:w="40" w:type="dxa"/>
              <w:bottom w:w="40" w:type="dxa"/>
            </w:tcMar>
            <w:vAlign w:val="center"/>
          </w:tcPr>
          <w:p w14:paraId="55568B31"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14</w:t>
            </w:r>
          </w:p>
        </w:tc>
        <w:tc>
          <w:tcPr>
            <w:tcW w:w="0" w:type="auto"/>
            <w:shd w:val="clear" w:color="auto" w:fill="CCEEFF"/>
            <w:vAlign w:val="bottom"/>
          </w:tcPr>
          <w:p w14:paraId="55568B3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8B34" w14:textId="77777777" w:rsidR="00F925DD" w:rsidRDefault="00E705D7">
            <w:pPr>
              <w:jc w:val="right"/>
              <w:textAlignment w:val="center"/>
              <w:rPr>
                <w:rFonts w:ascii="Times New Roman" w:hAnsi="Times New Roman"/>
                <w:sz w:val="15"/>
                <w:szCs w:val="15"/>
              </w:rPr>
            </w:pPr>
            <w:r>
              <w:rPr>
                <w:rFonts w:ascii="Arial" w:eastAsia="宋体" w:hAnsi="Arial" w:cs="Arial"/>
                <w:sz w:val="15"/>
                <w:szCs w:val="15"/>
              </w:rPr>
              <w:t>18</w:t>
            </w:r>
          </w:p>
        </w:tc>
        <w:tc>
          <w:tcPr>
            <w:tcW w:w="0" w:type="auto"/>
            <w:shd w:val="clear" w:color="auto" w:fill="CCEEFF"/>
            <w:vAlign w:val="bottom"/>
          </w:tcPr>
          <w:p w14:paraId="55568B35" w14:textId="77777777" w:rsidR="00F925DD" w:rsidRDefault="00F925DD">
            <w:pPr>
              <w:textAlignment w:val="bottom"/>
              <w:rPr>
                <w:rFonts w:ascii="Times New Roman" w:hAnsi="Times New Roman"/>
                <w:sz w:val="20"/>
                <w:szCs w:val="20"/>
              </w:rPr>
            </w:pPr>
          </w:p>
        </w:tc>
      </w:tr>
      <w:tr w:rsidR="00F925DD" w14:paraId="55568B3D" w14:textId="77777777">
        <w:tc>
          <w:tcPr>
            <w:tcW w:w="0" w:type="auto"/>
            <w:shd w:val="clear" w:color="auto" w:fill="auto"/>
            <w:tcMar>
              <w:top w:w="40" w:type="dxa"/>
              <w:left w:w="40" w:type="dxa"/>
              <w:bottom w:w="40" w:type="dxa"/>
              <w:right w:w="40" w:type="dxa"/>
            </w:tcMar>
            <w:vAlign w:val="center"/>
          </w:tcPr>
          <w:p w14:paraId="55568B37" w14:textId="77777777" w:rsidR="00F925DD" w:rsidRDefault="00E705D7">
            <w:pPr>
              <w:textAlignment w:val="center"/>
              <w:rPr>
                <w:rFonts w:ascii="Times New Roman" w:hAnsi="Times New Roman"/>
                <w:sz w:val="15"/>
                <w:szCs w:val="15"/>
              </w:rPr>
            </w:pPr>
            <w:r>
              <w:rPr>
                <w:rFonts w:ascii="Arial" w:eastAsia="宋体" w:hAnsi="Arial" w:cs="Arial"/>
                <w:sz w:val="15"/>
                <w:szCs w:val="15"/>
              </w:rPr>
              <w:t>Asset-backed securities</w:t>
            </w:r>
          </w:p>
        </w:tc>
        <w:tc>
          <w:tcPr>
            <w:tcW w:w="0" w:type="auto"/>
            <w:shd w:val="clear" w:color="auto" w:fill="auto"/>
            <w:tcMar>
              <w:top w:w="40" w:type="dxa"/>
              <w:left w:w="40" w:type="dxa"/>
              <w:bottom w:w="40" w:type="dxa"/>
            </w:tcMar>
            <w:vAlign w:val="center"/>
          </w:tcPr>
          <w:p w14:paraId="55568B38"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11</w:t>
            </w:r>
          </w:p>
        </w:tc>
        <w:tc>
          <w:tcPr>
            <w:tcW w:w="0" w:type="auto"/>
            <w:shd w:val="clear" w:color="auto" w:fill="auto"/>
            <w:vAlign w:val="bottom"/>
          </w:tcPr>
          <w:p w14:paraId="55568B3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8B3B" w14:textId="77777777" w:rsidR="00F925DD" w:rsidRDefault="00E705D7">
            <w:pPr>
              <w:jc w:val="right"/>
              <w:textAlignment w:val="center"/>
              <w:rPr>
                <w:rFonts w:ascii="Times New Roman" w:hAnsi="Times New Roman"/>
                <w:sz w:val="15"/>
                <w:szCs w:val="15"/>
              </w:rPr>
            </w:pPr>
            <w:r>
              <w:rPr>
                <w:rFonts w:ascii="Arial" w:eastAsia="宋体" w:hAnsi="Arial" w:cs="Arial"/>
                <w:sz w:val="15"/>
                <w:szCs w:val="15"/>
              </w:rPr>
              <w:t>11</w:t>
            </w:r>
          </w:p>
        </w:tc>
        <w:tc>
          <w:tcPr>
            <w:tcW w:w="0" w:type="auto"/>
            <w:shd w:val="clear" w:color="auto" w:fill="auto"/>
            <w:vAlign w:val="bottom"/>
          </w:tcPr>
          <w:p w14:paraId="55568B3C" w14:textId="77777777" w:rsidR="00F925DD" w:rsidRDefault="00F925DD">
            <w:pPr>
              <w:textAlignment w:val="bottom"/>
              <w:rPr>
                <w:rFonts w:ascii="Times New Roman" w:hAnsi="Times New Roman"/>
                <w:sz w:val="20"/>
                <w:szCs w:val="20"/>
              </w:rPr>
            </w:pPr>
          </w:p>
        </w:tc>
      </w:tr>
      <w:tr w:rsidR="00F925DD" w14:paraId="55568B44" w14:textId="77777777">
        <w:tc>
          <w:tcPr>
            <w:tcW w:w="0" w:type="auto"/>
            <w:shd w:val="clear" w:color="auto" w:fill="CCEEFF"/>
            <w:tcMar>
              <w:top w:w="40" w:type="dxa"/>
              <w:left w:w="40" w:type="dxa"/>
              <w:bottom w:w="40" w:type="dxa"/>
              <w:right w:w="40" w:type="dxa"/>
            </w:tcMar>
            <w:vAlign w:val="center"/>
          </w:tcPr>
          <w:p w14:paraId="55568B3E" w14:textId="77777777" w:rsidR="00F925DD" w:rsidRDefault="00E705D7">
            <w:pPr>
              <w:textAlignment w:val="center"/>
              <w:rPr>
                <w:rFonts w:ascii="Times New Roman" w:hAnsi="Times New Roman"/>
                <w:sz w:val="15"/>
                <w:szCs w:val="15"/>
              </w:rPr>
            </w:pPr>
            <w:r>
              <w:rPr>
                <w:rFonts w:ascii="Arial" w:eastAsia="宋体" w:hAnsi="Arial" w:cs="Arial"/>
                <w:sz w:val="15"/>
                <w:szCs w:val="15"/>
              </w:rPr>
              <w:t>Other credit</w:t>
            </w:r>
          </w:p>
        </w:tc>
        <w:tc>
          <w:tcPr>
            <w:tcW w:w="0" w:type="auto"/>
            <w:tcBorders>
              <w:bottom w:val="single" w:sz="8" w:space="0" w:color="000000"/>
            </w:tcBorders>
            <w:shd w:val="clear" w:color="auto" w:fill="CCEEFF"/>
            <w:tcMar>
              <w:top w:w="40" w:type="dxa"/>
              <w:left w:w="40" w:type="dxa"/>
              <w:bottom w:w="40" w:type="dxa"/>
            </w:tcMar>
            <w:vAlign w:val="center"/>
          </w:tcPr>
          <w:p w14:paraId="55568B3F"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15</w:t>
            </w:r>
          </w:p>
        </w:tc>
        <w:tc>
          <w:tcPr>
            <w:tcW w:w="0" w:type="auto"/>
            <w:tcBorders>
              <w:bottom w:val="single" w:sz="8" w:space="0" w:color="000000"/>
            </w:tcBorders>
            <w:shd w:val="clear" w:color="auto" w:fill="CCEEFF"/>
            <w:vAlign w:val="bottom"/>
          </w:tcPr>
          <w:p w14:paraId="55568B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55568B42" w14:textId="77777777" w:rsidR="00F925DD" w:rsidRDefault="00E705D7">
            <w:pPr>
              <w:jc w:val="right"/>
              <w:textAlignment w:val="center"/>
              <w:rPr>
                <w:rFonts w:ascii="Times New Roman" w:hAnsi="Times New Roman"/>
                <w:sz w:val="15"/>
                <w:szCs w:val="15"/>
              </w:rPr>
            </w:pPr>
            <w:r>
              <w:rPr>
                <w:rFonts w:ascii="Arial" w:eastAsia="宋体" w:hAnsi="Arial" w:cs="Arial"/>
                <w:sz w:val="15"/>
                <w:szCs w:val="15"/>
              </w:rPr>
              <w:t>12</w:t>
            </w:r>
          </w:p>
        </w:tc>
        <w:tc>
          <w:tcPr>
            <w:tcW w:w="0" w:type="auto"/>
            <w:tcBorders>
              <w:bottom w:val="single" w:sz="8" w:space="0" w:color="000000"/>
            </w:tcBorders>
            <w:shd w:val="clear" w:color="auto" w:fill="CCEEFF"/>
            <w:vAlign w:val="bottom"/>
          </w:tcPr>
          <w:p w14:paraId="55568B43" w14:textId="77777777" w:rsidR="00F925DD" w:rsidRDefault="00F925DD">
            <w:pPr>
              <w:textAlignment w:val="bottom"/>
              <w:rPr>
                <w:rFonts w:ascii="Times New Roman" w:hAnsi="Times New Roman"/>
                <w:sz w:val="20"/>
                <w:szCs w:val="20"/>
              </w:rPr>
            </w:pPr>
          </w:p>
        </w:tc>
      </w:tr>
      <w:tr w:rsidR="00F925DD" w14:paraId="55568B4B" w14:textId="77777777">
        <w:tc>
          <w:tcPr>
            <w:tcW w:w="0" w:type="auto"/>
            <w:shd w:val="clear" w:color="auto" w:fill="auto"/>
            <w:tcMar>
              <w:top w:w="40" w:type="dxa"/>
              <w:left w:w="40" w:type="dxa"/>
              <w:bottom w:w="40" w:type="dxa"/>
              <w:right w:w="40" w:type="dxa"/>
            </w:tcMar>
            <w:vAlign w:val="bottom"/>
          </w:tcPr>
          <w:p w14:paraId="55568B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8B4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100</w:t>
            </w:r>
          </w:p>
        </w:tc>
        <w:tc>
          <w:tcPr>
            <w:tcW w:w="0" w:type="auto"/>
            <w:tcBorders>
              <w:bottom w:val="double" w:sz="6" w:space="0" w:color="000000"/>
            </w:tcBorders>
            <w:shd w:val="clear" w:color="auto" w:fill="auto"/>
            <w:tcMar>
              <w:top w:w="40" w:type="dxa"/>
              <w:bottom w:w="40" w:type="dxa"/>
              <w:right w:w="40" w:type="dxa"/>
            </w:tcMar>
            <w:vAlign w:val="bottom"/>
          </w:tcPr>
          <w:p w14:paraId="55568B4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8B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8B4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100</w:t>
            </w:r>
          </w:p>
        </w:tc>
        <w:tc>
          <w:tcPr>
            <w:tcW w:w="0" w:type="auto"/>
            <w:tcBorders>
              <w:bottom w:val="double" w:sz="6" w:space="0" w:color="000000"/>
            </w:tcBorders>
            <w:shd w:val="clear" w:color="auto" w:fill="auto"/>
            <w:tcMar>
              <w:top w:w="40" w:type="dxa"/>
              <w:bottom w:w="40" w:type="dxa"/>
              <w:right w:w="40" w:type="dxa"/>
            </w:tcMar>
            <w:vAlign w:val="bottom"/>
          </w:tcPr>
          <w:p w14:paraId="55568B4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bl>
    <w:p w14:paraId="55568B4C" w14:textId="77777777" w:rsidR="00F925DD" w:rsidRDefault="00F925DD">
      <w:pPr>
        <w:rPr>
          <w:rFonts w:ascii="Times New Roman" w:hAnsi="Times New Roman"/>
          <w:sz w:val="20"/>
          <w:szCs w:val="20"/>
        </w:rPr>
      </w:pPr>
    </w:p>
    <w:p w14:paraId="55568B4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75</w:t>
      </w:r>
    </w:p>
    <w:p w14:paraId="55568B4E" w14:textId="77777777" w:rsidR="00F925DD" w:rsidRDefault="00F925DD">
      <w:pPr>
        <w:spacing w:line="288" w:lineRule="auto"/>
        <w:ind w:firstLine="600"/>
        <w:jc w:val="center"/>
        <w:rPr>
          <w:rFonts w:ascii="Times New Roman" w:hAnsi="Times New Roman"/>
          <w:sz w:val="18"/>
          <w:szCs w:val="18"/>
        </w:rPr>
      </w:pPr>
    </w:p>
    <w:p w14:paraId="55568B4F" w14:textId="77777777" w:rsidR="00F925DD" w:rsidRDefault="00E705D7">
      <w:r>
        <w:rPr>
          <w:rFonts w:ascii="Times New Roman" w:hAnsi="Times New Roman"/>
          <w:sz w:val="18"/>
          <w:szCs w:val="18"/>
        </w:rPr>
        <w:pict w14:anchorId="55570685">
          <v:rect id="_x0000_i1099" style="width:415.3pt;height:1.5pt" o:hralign="center" o:hrstd="t" o:hr="t" fillcolor="#a0a0a0" stroked="f"/>
        </w:pict>
      </w:r>
    </w:p>
    <w:p w14:paraId="55568B5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DISCUSSION AND ANALYSIS OF </w:t>
      </w:r>
      <w:r>
        <w:rPr>
          <w:rFonts w:ascii="Arial" w:eastAsia="宋体" w:hAnsi="Arial" w:cs="Arial"/>
          <w:b/>
          <w:bCs/>
          <w:sz w:val="20"/>
          <w:szCs w:val="20"/>
        </w:rPr>
        <w:t>FINANCIAL CONDITION</w:t>
      </w:r>
    </w:p>
    <w:p w14:paraId="55568B5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8B52" w14:textId="77777777" w:rsidR="00F925DD" w:rsidRDefault="00F925DD">
      <w:pPr>
        <w:rPr>
          <w:rFonts w:ascii="Times New Roman" w:hAnsi="Times New Roman"/>
          <w:sz w:val="20"/>
          <w:szCs w:val="20"/>
        </w:rPr>
      </w:pPr>
    </w:p>
    <w:p w14:paraId="55568B53"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Non-U.S. Debt Securities </w:t>
      </w:r>
    </w:p>
    <w:p w14:paraId="55568B5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Approximately 27% of the aggregate carrying value of our investment securities portfolio was non-U.S. debt securities as of both December 31, 2019 and December 31, 2018.</w:t>
      </w:r>
    </w:p>
    <w:tbl>
      <w:tblPr>
        <w:tblW w:w="4990" w:type="pct"/>
        <w:tblCellMar>
          <w:left w:w="0" w:type="dxa"/>
          <w:right w:w="0" w:type="dxa"/>
        </w:tblCellMar>
        <w:tblLook w:val="04A0" w:firstRow="1" w:lastRow="0" w:firstColumn="1" w:lastColumn="0" w:noHBand="0" w:noVBand="1"/>
      </w:tblPr>
      <w:tblGrid>
        <w:gridCol w:w="3137"/>
        <w:gridCol w:w="119"/>
        <w:gridCol w:w="2309"/>
        <w:gridCol w:w="71"/>
        <w:gridCol w:w="154"/>
        <w:gridCol w:w="119"/>
        <w:gridCol w:w="2309"/>
        <w:gridCol w:w="71"/>
      </w:tblGrid>
      <w:tr w:rsidR="00F925DD" w14:paraId="55568B56" w14:textId="77777777">
        <w:tc>
          <w:tcPr>
            <w:tcW w:w="0" w:type="auto"/>
            <w:gridSpan w:val="8"/>
            <w:shd w:val="clear" w:color="auto" w:fill="auto"/>
            <w:vAlign w:val="center"/>
          </w:tcPr>
          <w:p w14:paraId="55568B55" w14:textId="77777777" w:rsidR="00F925DD" w:rsidRDefault="00F925DD">
            <w:pPr>
              <w:rPr>
                <w:rFonts w:ascii="Times New Roman" w:hAnsi="Times New Roman"/>
                <w:sz w:val="20"/>
                <w:szCs w:val="20"/>
              </w:rPr>
            </w:pPr>
          </w:p>
        </w:tc>
      </w:tr>
      <w:tr w:rsidR="00F925DD" w14:paraId="55568B5F" w14:textId="77777777">
        <w:tc>
          <w:tcPr>
            <w:tcW w:w="1900" w:type="pct"/>
            <w:shd w:val="clear" w:color="auto" w:fill="auto"/>
            <w:vAlign w:val="center"/>
          </w:tcPr>
          <w:p w14:paraId="55568B57" w14:textId="77777777" w:rsidR="00F925DD" w:rsidRDefault="00F925DD">
            <w:pPr>
              <w:rPr>
                <w:rFonts w:ascii="Times New Roman" w:hAnsi="Times New Roman"/>
                <w:sz w:val="20"/>
                <w:szCs w:val="20"/>
              </w:rPr>
            </w:pPr>
          </w:p>
        </w:tc>
        <w:tc>
          <w:tcPr>
            <w:tcW w:w="50" w:type="pct"/>
            <w:shd w:val="clear" w:color="auto" w:fill="auto"/>
            <w:vAlign w:val="center"/>
          </w:tcPr>
          <w:p w14:paraId="55568B58" w14:textId="77777777" w:rsidR="00F925DD" w:rsidRDefault="00F925DD">
            <w:pPr>
              <w:rPr>
                <w:rFonts w:ascii="Times New Roman" w:hAnsi="Times New Roman"/>
                <w:sz w:val="20"/>
                <w:szCs w:val="20"/>
              </w:rPr>
            </w:pPr>
          </w:p>
        </w:tc>
        <w:tc>
          <w:tcPr>
            <w:tcW w:w="1400" w:type="pct"/>
            <w:shd w:val="clear" w:color="auto" w:fill="auto"/>
            <w:vAlign w:val="center"/>
          </w:tcPr>
          <w:p w14:paraId="55568B59" w14:textId="77777777" w:rsidR="00F925DD" w:rsidRDefault="00F925DD">
            <w:pPr>
              <w:rPr>
                <w:rFonts w:ascii="Times New Roman" w:hAnsi="Times New Roman"/>
                <w:sz w:val="20"/>
                <w:szCs w:val="20"/>
              </w:rPr>
            </w:pPr>
          </w:p>
        </w:tc>
        <w:tc>
          <w:tcPr>
            <w:tcW w:w="50" w:type="pct"/>
            <w:shd w:val="clear" w:color="auto" w:fill="auto"/>
            <w:vAlign w:val="center"/>
          </w:tcPr>
          <w:p w14:paraId="55568B5A" w14:textId="77777777" w:rsidR="00F925DD" w:rsidRDefault="00F925DD">
            <w:pPr>
              <w:rPr>
                <w:rFonts w:ascii="Times New Roman" w:hAnsi="Times New Roman"/>
                <w:sz w:val="20"/>
                <w:szCs w:val="20"/>
              </w:rPr>
            </w:pPr>
          </w:p>
        </w:tc>
        <w:tc>
          <w:tcPr>
            <w:tcW w:w="100" w:type="pct"/>
            <w:shd w:val="clear" w:color="auto" w:fill="auto"/>
            <w:vAlign w:val="center"/>
          </w:tcPr>
          <w:p w14:paraId="55568B5B" w14:textId="77777777" w:rsidR="00F925DD" w:rsidRDefault="00F925DD">
            <w:pPr>
              <w:rPr>
                <w:rFonts w:ascii="Times New Roman" w:hAnsi="Times New Roman"/>
                <w:sz w:val="20"/>
                <w:szCs w:val="20"/>
              </w:rPr>
            </w:pPr>
          </w:p>
        </w:tc>
        <w:tc>
          <w:tcPr>
            <w:tcW w:w="50" w:type="pct"/>
            <w:shd w:val="clear" w:color="auto" w:fill="auto"/>
            <w:vAlign w:val="center"/>
          </w:tcPr>
          <w:p w14:paraId="55568B5C" w14:textId="77777777" w:rsidR="00F925DD" w:rsidRDefault="00F925DD">
            <w:pPr>
              <w:rPr>
                <w:rFonts w:ascii="Times New Roman" w:hAnsi="Times New Roman"/>
                <w:sz w:val="20"/>
                <w:szCs w:val="20"/>
              </w:rPr>
            </w:pPr>
          </w:p>
        </w:tc>
        <w:tc>
          <w:tcPr>
            <w:tcW w:w="1400" w:type="pct"/>
            <w:shd w:val="clear" w:color="auto" w:fill="auto"/>
            <w:vAlign w:val="center"/>
          </w:tcPr>
          <w:p w14:paraId="55568B5D" w14:textId="77777777" w:rsidR="00F925DD" w:rsidRDefault="00F925DD">
            <w:pPr>
              <w:rPr>
                <w:rFonts w:ascii="Times New Roman" w:hAnsi="Times New Roman"/>
                <w:sz w:val="20"/>
                <w:szCs w:val="20"/>
              </w:rPr>
            </w:pPr>
          </w:p>
        </w:tc>
        <w:tc>
          <w:tcPr>
            <w:tcW w:w="50" w:type="pct"/>
            <w:shd w:val="clear" w:color="auto" w:fill="auto"/>
            <w:vAlign w:val="center"/>
          </w:tcPr>
          <w:p w14:paraId="55568B5E" w14:textId="77777777" w:rsidR="00F925DD" w:rsidRDefault="00F925DD">
            <w:pPr>
              <w:rPr>
                <w:rFonts w:ascii="Times New Roman" w:hAnsi="Times New Roman"/>
                <w:sz w:val="20"/>
                <w:szCs w:val="20"/>
              </w:rPr>
            </w:pPr>
          </w:p>
        </w:tc>
      </w:tr>
      <w:tr w:rsidR="00F925DD" w14:paraId="55568B61" w14:textId="77777777">
        <w:tc>
          <w:tcPr>
            <w:tcW w:w="0" w:type="auto"/>
            <w:gridSpan w:val="8"/>
            <w:shd w:val="clear" w:color="auto" w:fill="auto"/>
            <w:tcMar>
              <w:top w:w="40" w:type="dxa"/>
              <w:left w:w="40" w:type="dxa"/>
              <w:bottom w:w="40" w:type="dxa"/>
              <w:right w:w="40" w:type="dxa"/>
            </w:tcMar>
            <w:vAlign w:val="bottom"/>
          </w:tcPr>
          <w:p w14:paraId="55568B6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23: NON-U.S. DEBT SECURITIES</w:t>
            </w:r>
          </w:p>
        </w:tc>
      </w:tr>
      <w:tr w:rsidR="00F925DD" w14:paraId="55568B66" w14:textId="77777777">
        <w:tc>
          <w:tcPr>
            <w:tcW w:w="0" w:type="auto"/>
            <w:shd w:val="clear" w:color="auto" w:fill="auto"/>
            <w:tcMar>
              <w:top w:w="40" w:type="dxa"/>
              <w:left w:w="40" w:type="dxa"/>
              <w:bottom w:w="40" w:type="dxa"/>
              <w:right w:w="40" w:type="dxa"/>
            </w:tcMar>
            <w:vAlign w:val="bottom"/>
          </w:tcPr>
          <w:p w14:paraId="55568B6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B6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55568B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B6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2018</w:t>
            </w:r>
          </w:p>
        </w:tc>
      </w:tr>
      <w:tr w:rsidR="00F925DD" w14:paraId="55568B6B" w14:textId="77777777">
        <w:tc>
          <w:tcPr>
            <w:tcW w:w="0" w:type="auto"/>
            <w:shd w:val="clear" w:color="auto" w:fill="auto"/>
            <w:tcMar>
              <w:top w:w="40" w:type="dxa"/>
              <w:left w:w="40" w:type="dxa"/>
              <w:bottom w:w="40" w:type="dxa"/>
              <w:right w:w="40" w:type="dxa"/>
            </w:tcMar>
            <w:vAlign w:val="bottom"/>
          </w:tcPr>
          <w:p w14:paraId="55568B6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Available-for-sale:</w:t>
            </w:r>
          </w:p>
        </w:tc>
        <w:tc>
          <w:tcPr>
            <w:tcW w:w="0" w:type="auto"/>
            <w:gridSpan w:val="3"/>
            <w:shd w:val="clear" w:color="auto" w:fill="auto"/>
            <w:tcMar>
              <w:top w:w="40" w:type="dxa"/>
              <w:left w:w="40" w:type="dxa"/>
              <w:bottom w:w="40" w:type="dxa"/>
              <w:right w:w="40" w:type="dxa"/>
            </w:tcMar>
            <w:vAlign w:val="bottom"/>
          </w:tcPr>
          <w:p w14:paraId="55568B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B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B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B74" w14:textId="77777777">
        <w:tc>
          <w:tcPr>
            <w:tcW w:w="0" w:type="auto"/>
            <w:shd w:val="clear" w:color="auto" w:fill="CCEEFF"/>
            <w:tcMar>
              <w:top w:w="40" w:type="dxa"/>
              <w:left w:w="40" w:type="dxa"/>
              <w:bottom w:w="40" w:type="dxa"/>
              <w:right w:w="40" w:type="dxa"/>
            </w:tcMar>
            <w:vAlign w:val="bottom"/>
          </w:tcPr>
          <w:p w14:paraId="55568B6C" w14:textId="77777777" w:rsidR="00F925DD" w:rsidRDefault="00E705D7">
            <w:pPr>
              <w:textAlignment w:val="bottom"/>
              <w:rPr>
                <w:rFonts w:ascii="Times New Roman" w:hAnsi="Times New Roman"/>
                <w:sz w:val="14"/>
                <w:szCs w:val="14"/>
              </w:rPr>
            </w:pPr>
            <w:r>
              <w:rPr>
                <w:rFonts w:ascii="Arial" w:eastAsia="宋体" w:hAnsi="Arial" w:cs="Arial"/>
                <w:sz w:val="14"/>
                <w:szCs w:val="14"/>
              </w:rPr>
              <w:t>Canada</w:t>
            </w:r>
          </w:p>
        </w:tc>
        <w:tc>
          <w:tcPr>
            <w:tcW w:w="0" w:type="auto"/>
            <w:shd w:val="clear" w:color="auto" w:fill="CCEEFF"/>
            <w:tcMar>
              <w:top w:w="40" w:type="dxa"/>
              <w:left w:w="40" w:type="dxa"/>
              <w:bottom w:w="40" w:type="dxa"/>
            </w:tcMar>
            <w:vAlign w:val="bottom"/>
          </w:tcPr>
          <w:p w14:paraId="55568B6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8B6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2,611</w:t>
            </w:r>
          </w:p>
        </w:tc>
        <w:tc>
          <w:tcPr>
            <w:tcW w:w="0" w:type="auto"/>
            <w:shd w:val="clear" w:color="auto" w:fill="CCEEFF"/>
            <w:vAlign w:val="bottom"/>
          </w:tcPr>
          <w:p w14:paraId="55568B6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B7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B7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2,185</w:t>
            </w:r>
          </w:p>
        </w:tc>
        <w:tc>
          <w:tcPr>
            <w:tcW w:w="0" w:type="auto"/>
            <w:shd w:val="clear" w:color="auto" w:fill="CCEEFF"/>
            <w:vAlign w:val="bottom"/>
          </w:tcPr>
          <w:p w14:paraId="55568B73" w14:textId="77777777" w:rsidR="00F925DD" w:rsidRDefault="00F925DD">
            <w:pPr>
              <w:textAlignment w:val="bottom"/>
              <w:rPr>
                <w:rFonts w:ascii="Times New Roman" w:hAnsi="Times New Roman"/>
                <w:sz w:val="20"/>
                <w:szCs w:val="20"/>
              </w:rPr>
            </w:pPr>
          </w:p>
        </w:tc>
      </w:tr>
      <w:tr w:rsidR="00F925DD" w14:paraId="55568B7B" w14:textId="77777777">
        <w:tc>
          <w:tcPr>
            <w:tcW w:w="0" w:type="auto"/>
            <w:shd w:val="clear" w:color="auto" w:fill="auto"/>
            <w:tcMar>
              <w:top w:w="40" w:type="dxa"/>
              <w:left w:w="40" w:type="dxa"/>
              <w:bottom w:w="40" w:type="dxa"/>
              <w:right w:w="40" w:type="dxa"/>
            </w:tcMar>
            <w:vAlign w:val="bottom"/>
          </w:tcPr>
          <w:p w14:paraId="55568B75" w14:textId="77777777" w:rsidR="00F925DD" w:rsidRDefault="00E705D7">
            <w:pPr>
              <w:textAlignment w:val="bottom"/>
              <w:rPr>
                <w:rFonts w:ascii="Times New Roman" w:hAnsi="Times New Roman"/>
                <w:sz w:val="14"/>
                <w:szCs w:val="14"/>
              </w:rPr>
            </w:pPr>
            <w:r>
              <w:rPr>
                <w:rFonts w:ascii="Arial" w:eastAsia="宋体" w:hAnsi="Arial" w:cs="Arial"/>
                <w:sz w:val="14"/>
                <w:szCs w:val="14"/>
              </w:rPr>
              <w:t>Australia</w:t>
            </w:r>
          </w:p>
        </w:tc>
        <w:tc>
          <w:tcPr>
            <w:tcW w:w="0" w:type="auto"/>
            <w:gridSpan w:val="2"/>
            <w:shd w:val="clear" w:color="auto" w:fill="auto"/>
            <w:tcMar>
              <w:top w:w="40" w:type="dxa"/>
              <w:left w:w="40" w:type="dxa"/>
              <w:bottom w:w="40" w:type="dxa"/>
            </w:tcMar>
            <w:vAlign w:val="bottom"/>
          </w:tcPr>
          <w:p w14:paraId="55568B7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2,409</w:t>
            </w:r>
          </w:p>
        </w:tc>
        <w:tc>
          <w:tcPr>
            <w:tcW w:w="0" w:type="auto"/>
            <w:shd w:val="clear" w:color="auto" w:fill="auto"/>
            <w:vAlign w:val="bottom"/>
          </w:tcPr>
          <w:p w14:paraId="55568B7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B7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2,847</w:t>
            </w:r>
          </w:p>
        </w:tc>
        <w:tc>
          <w:tcPr>
            <w:tcW w:w="0" w:type="auto"/>
            <w:shd w:val="clear" w:color="auto" w:fill="auto"/>
            <w:vAlign w:val="bottom"/>
          </w:tcPr>
          <w:p w14:paraId="55568B7A" w14:textId="77777777" w:rsidR="00F925DD" w:rsidRDefault="00F925DD">
            <w:pPr>
              <w:textAlignment w:val="bottom"/>
              <w:rPr>
                <w:rFonts w:ascii="Times New Roman" w:hAnsi="Times New Roman"/>
                <w:sz w:val="20"/>
                <w:szCs w:val="20"/>
              </w:rPr>
            </w:pPr>
          </w:p>
        </w:tc>
      </w:tr>
      <w:tr w:rsidR="00F925DD" w14:paraId="55568B82" w14:textId="77777777">
        <w:tc>
          <w:tcPr>
            <w:tcW w:w="0" w:type="auto"/>
            <w:shd w:val="clear" w:color="auto" w:fill="CCEEFF"/>
            <w:tcMar>
              <w:top w:w="40" w:type="dxa"/>
              <w:left w:w="40" w:type="dxa"/>
              <w:bottom w:w="40" w:type="dxa"/>
              <w:right w:w="40" w:type="dxa"/>
            </w:tcMar>
            <w:vAlign w:val="bottom"/>
          </w:tcPr>
          <w:p w14:paraId="55568B7C" w14:textId="77777777" w:rsidR="00F925DD" w:rsidRDefault="00E705D7">
            <w:pPr>
              <w:textAlignment w:val="bottom"/>
              <w:rPr>
                <w:rFonts w:ascii="Times New Roman" w:hAnsi="Times New Roman"/>
                <w:sz w:val="14"/>
                <w:szCs w:val="14"/>
              </w:rPr>
            </w:pPr>
            <w:r>
              <w:rPr>
                <w:rFonts w:ascii="Arial" w:eastAsia="宋体" w:hAnsi="Arial" w:cs="Arial"/>
                <w:sz w:val="14"/>
                <w:szCs w:val="14"/>
              </w:rPr>
              <w:t>France</w:t>
            </w:r>
          </w:p>
        </w:tc>
        <w:tc>
          <w:tcPr>
            <w:tcW w:w="0" w:type="auto"/>
            <w:gridSpan w:val="2"/>
            <w:shd w:val="clear" w:color="auto" w:fill="CCEEFF"/>
            <w:tcMar>
              <w:top w:w="40" w:type="dxa"/>
              <w:left w:w="40" w:type="dxa"/>
              <w:bottom w:w="40" w:type="dxa"/>
            </w:tcMar>
            <w:vAlign w:val="bottom"/>
          </w:tcPr>
          <w:p w14:paraId="55568B7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2,223</w:t>
            </w:r>
          </w:p>
        </w:tc>
        <w:tc>
          <w:tcPr>
            <w:tcW w:w="0" w:type="auto"/>
            <w:shd w:val="clear" w:color="auto" w:fill="CCEEFF"/>
            <w:vAlign w:val="bottom"/>
          </w:tcPr>
          <w:p w14:paraId="55568B7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B8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1,875</w:t>
            </w:r>
          </w:p>
        </w:tc>
        <w:tc>
          <w:tcPr>
            <w:tcW w:w="0" w:type="auto"/>
            <w:shd w:val="clear" w:color="auto" w:fill="CCEEFF"/>
            <w:vAlign w:val="bottom"/>
          </w:tcPr>
          <w:p w14:paraId="55568B81" w14:textId="77777777" w:rsidR="00F925DD" w:rsidRDefault="00F925DD">
            <w:pPr>
              <w:textAlignment w:val="bottom"/>
              <w:rPr>
                <w:rFonts w:ascii="Times New Roman" w:hAnsi="Times New Roman"/>
                <w:sz w:val="20"/>
                <w:szCs w:val="20"/>
              </w:rPr>
            </w:pPr>
          </w:p>
        </w:tc>
      </w:tr>
      <w:tr w:rsidR="00F925DD" w14:paraId="55568B89" w14:textId="77777777">
        <w:tc>
          <w:tcPr>
            <w:tcW w:w="0" w:type="auto"/>
            <w:shd w:val="clear" w:color="auto" w:fill="auto"/>
            <w:tcMar>
              <w:top w:w="40" w:type="dxa"/>
              <w:left w:w="40" w:type="dxa"/>
              <w:bottom w:w="40" w:type="dxa"/>
              <w:right w:w="40" w:type="dxa"/>
            </w:tcMar>
            <w:vAlign w:val="bottom"/>
          </w:tcPr>
          <w:p w14:paraId="55568B83" w14:textId="77777777" w:rsidR="00F925DD" w:rsidRDefault="00E705D7">
            <w:pPr>
              <w:textAlignment w:val="bottom"/>
              <w:rPr>
                <w:rFonts w:ascii="Times New Roman" w:hAnsi="Times New Roman"/>
                <w:sz w:val="14"/>
                <w:szCs w:val="14"/>
              </w:rPr>
            </w:pPr>
            <w:r>
              <w:rPr>
                <w:rFonts w:ascii="Arial" w:eastAsia="宋体" w:hAnsi="Arial" w:cs="Arial"/>
                <w:sz w:val="14"/>
                <w:szCs w:val="14"/>
              </w:rPr>
              <w:t>European</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8B8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2,101</w:t>
            </w:r>
          </w:p>
        </w:tc>
        <w:tc>
          <w:tcPr>
            <w:tcW w:w="0" w:type="auto"/>
            <w:shd w:val="clear" w:color="auto" w:fill="auto"/>
            <w:vAlign w:val="bottom"/>
          </w:tcPr>
          <w:p w14:paraId="55568B8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B8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1,087</w:t>
            </w:r>
          </w:p>
        </w:tc>
        <w:tc>
          <w:tcPr>
            <w:tcW w:w="0" w:type="auto"/>
            <w:shd w:val="clear" w:color="auto" w:fill="auto"/>
            <w:vAlign w:val="bottom"/>
          </w:tcPr>
          <w:p w14:paraId="55568B88" w14:textId="77777777" w:rsidR="00F925DD" w:rsidRDefault="00F925DD">
            <w:pPr>
              <w:textAlignment w:val="bottom"/>
              <w:rPr>
                <w:rFonts w:ascii="Times New Roman" w:hAnsi="Times New Roman"/>
                <w:sz w:val="20"/>
                <w:szCs w:val="20"/>
              </w:rPr>
            </w:pPr>
          </w:p>
        </w:tc>
      </w:tr>
      <w:tr w:rsidR="00F925DD" w14:paraId="55568B90" w14:textId="77777777">
        <w:tc>
          <w:tcPr>
            <w:tcW w:w="0" w:type="auto"/>
            <w:shd w:val="clear" w:color="auto" w:fill="CCEEFF"/>
            <w:tcMar>
              <w:top w:w="40" w:type="dxa"/>
              <w:left w:w="40" w:type="dxa"/>
              <w:bottom w:w="40" w:type="dxa"/>
              <w:right w:w="40" w:type="dxa"/>
            </w:tcMar>
            <w:vAlign w:val="bottom"/>
          </w:tcPr>
          <w:p w14:paraId="55568B8A" w14:textId="77777777" w:rsidR="00F925DD" w:rsidRDefault="00E705D7">
            <w:pPr>
              <w:textAlignment w:val="bottom"/>
              <w:rPr>
                <w:rFonts w:ascii="Times New Roman" w:hAnsi="Times New Roman"/>
                <w:sz w:val="14"/>
                <w:szCs w:val="14"/>
              </w:rPr>
            </w:pPr>
            <w:r>
              <w:rPr>
                <w:rFonts w:ascii="Arial" w:eastAsia="宋体" w:hAnsi="Arial" w:cs="Arial"/>
                <w:sz w:val="14"/>
                <w:szCs w:val="14"/>
              </w:rPr>
              <w:t>Germany</w:t>
            </w:r>
          </w:p>
        </w:tc>
        <w:tc>
          <w:tcPr>
            <w:tcW w:w="0" w:type="auto"/>
            <w:gridSpan w:val="2"/>
            <w:shd w:val="clear" w:color="auto" w:fill="CCEEFF"/>
            <w:tcMar>
              <w:top w:w="40" w:type="dxa"/>
              <w:left w:w="40" w:type="dxa"/>
              <w:bottom w:w="40" w:type="dxa"/>
            </w:tcMar>
            <w:vAlign w:val="bottom"/>
          </w:tcPr>
          <w:p w14:paraId="55568B8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1,944</w:t>
            </w:r>
          </w:p>
        </w:tc>
        <w:tc>
          <w:tcPr>
            <w:tcW w:w="0" w:type="auto"/>
            <w:shd w:val="clear" w:color="auto" w:fill="CCEEFF"/>
            <w:vAlign w:val="bottom"/>
          </w:tcPr>
          <w:p w14:paraId="55568B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B8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1,547</w:t>
            </w:r>
          </w:p>
        </w:tc>
        <w:tc>
          <w:tcPr>
            <w:tcW w:w="0" w:type="auto"/>
            <w:shd w:val="clear" w:color="auto" w:fill="CCEEFF"/>
            <w:vAlign w:val="bottom"/>
          </w:tcPr>
          <w:p w14:paraId="55568B8F" w14:textId="77777777" w:rsidR="00F925DD" w:rsidRDefault="00F925DD">
            <w:pPr>
              <w:textAlignment w:val="bottom"/>
              <w:rPr>
                <w:rFonts w:ascii="Times New Roman" w:hAnsi="Times New Roman"/>
                <w:sz w:val="20"/>
                <w:szCs w:val="20"/>
              </w:rPr>
            </w:pPr>
          </w:p>
        </w:tc>
      </w:tr>
      <w:tr w:rsidR="00F925DD" w14:paraId="55568B97" w14:textId="77777777">
        <w:tc>
          <w:tcPr>
            <w:tcW w:w="0" w:type="auto"/>
            <w:shd w:val="clear" w:color="auto" w:fill="auto"/>
            <w:tcMar>
              <w:top w:w="40" w:type="dxa"/>
              <w:left w:w="40" w:type="dxa"/>
              <w:bottom w:w="40" w:type="dxa"/>
              <w:right w:w="40" w:type="dxa"/>
            </w:tcMar>
            <w:vAlign w:val="bottom"/>
          </w:tcPr>
          <w:p w14:paraId="55568B91" w14:textId="77777777" w:rsidR="00F925DD" w:rsidRDefault="00E705D7">
            <w:pPr>
              <w:textAlignment w:val="bottom"/>
              <w:rPr>
                <w:rFonts w:ascii="Times New Roman" w:hAnsi="Times New Roman"/>
                <w:sz w:val="14"/>
                <w:szCs w:val="14"/>
              </w:rPr>
            </w:pPr>
            <w:r>
              <w:rPr>
                <w:rFonts w:ascii="Arial" w:eastAsia="宋体" w:hAnsi="Arial" w:cs="Arial"/>
                <w:sz w:val="14"/>
                <w:szCs w:val="14"/>
              </w:rPr>
              <w:t>United Kingdom</w:t>
            </w:r>
          </w:p>
        </w:tc>
        <w:tc>
          <w:tcPr>
            <w:tcW w:w="0" w:type="auto"/>
            <w:gridSpan w:val="2"/>
            <w:shd w:val="clear" w:color="auto" w:fill="auto"/>
            <w:tcMar>
              <w:top w:w="40" w:type="dxa"/>
              <w:left w:w="40" w:type="dxa"/>
              <w:bottom w:w="40" w:type="dxa"/>
            </w:tcMar>
            <w:vAlign w:val="bottom"/>
          </w:tcPr>
          <w:p w14:paraId="55568B9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1,608</w:t>
            </w:r>
          </w:p>
        </w:tc>
        <w:tc>
          <w:tcPr>
            <w:tcW w:w="0" w:type="auto"/>
            <w:shd w:val="clear" w:color="auto" w:fill="auto"/>
            <w:vAlign w:val="bottom"/>
          </w:tcPr>
          <w:p w14:paraId="55568B9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B9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2,580</w:t>
            </w:r>
          </w:p>
        </w:tc>
        <w:tc>
          <w:tcPr>
            <w:tcW w:w="0" w:type="auto"/>
            <w:shd w:val="clear" w:color="auto" w:fill="auto"/>
            <w:vAlign w:val="bottom"/>
          </w:tcPr>
          <w:p w14:paraId="55568B96" w14:textId="77777777" w:rsidR="00F925DD" w:rsidRDefault="00F925DD">
            <w:pPr>
              <w:textAlignment w:val="bottom"/>
              <w:rPr>
                <w:rFonts w:ascii="Times New Roman" w:hAnsi="Times New Roman"/>
                <w:sz w:val="20"/>
                <w:szCs w:val="20"/>
              </w:rPr>
            </w:pPr>
          </w:p>
        </w:tc>
      </w:tr>
      <w:tr w:rsidR="00F925DD" w14:paraId="55568B9E" w14:textId="77777777">
        <w:tc>
          <w:tcPr>
            <w:tcW w:w="0" w:type="auto"/>
            <w:shd w:val="clear" w:color="auto" w:fill="CCEEFF"/>
            <w:tcMar>
              <w:top w:w="40" w:type="dxa"/>
              <w:left w:w="40" w:type="dxa"/>
              <w:bottom w:w="40" w:type="dxa"/>
              <w:right w:w="40" w:type="dxa"/>
            </w:tcMar>
            <w:vAlign w:val="bottom"/>
          </w:tcPr>
          <w:p w14:paraId="55568B98" w14:textId="77777777" w:rsidR="00F925DD" w:rsidRDefault="00E705D7">
            <w:pPr>
              <w:textAlignment w:val="bottom"/>
              <w:rPr>
                <w:rFonts w:ascii="Times New Roman" w:hAnsi="Times New Roman"/>
                <w:sz w:val="14"/>
                <w:szCs w:val="14"/>
              </w:rPr>
            </w:pPr>
            <w:r>
              <w:rPr>
                <w:rFonts w:ascii="Arial" w:eastAsia="宋体" w:hAnsi="Arial" w:cs="Arial"/>
                <w:sz w:val="14"/>
                <w:szCs w:val="14"/>
              </w:rPr>
              <w:t>Spain</w:t>
            </w:r>
          </w:p>
        </w:tc>
        <w:tc>
          <w:tcPr>
            <w:tcW w:w="0" w:type="auto"/>
            <w:gridSpan w:val="2"/>
            <w:shd w:val="clear" w:color="auto" w:fill="CCEEFF"/>
            <w:tcMar>
              <w:top w:w="40" w:type="dxa"/>
              <w:left w:w="40" w:type="dxa"/>
              <w:bottom w:w="40" w:type="dxa"/>
            </w:tcMar>
            <w:vAlign w:val="bottom"/>
          </w:tcPr>
          <w:p w14:paraId="55568B9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1,531</w:t>
            </w:r>
          </w:p>
        </w:tc>
        <w:tc>
          <w:tcPr>
            <w:tcW w:w="0" w:type="auto"/>
            <w:shd w:val="clear" w:color="auto" w:fill="CCEEFF"/>
            <w:vAlign w:val="bottom"/>
          </w:tcPr>
          <w:p w14:paraId="55568B9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B9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1,504</w:t>
            </w:r>
          </w:p>
        </w:tc>
        <w:tc>
          <w:tcPr>
            <w:tcW w:w="0" w:type="auto"/>
            <w:shd w:val="clear" w:color="auto" w:fill="CCEEFF"/>
            <w:vAlign w:val="bottom"/>
          </w:tcPr>
          <w:p w14:paraId="55568B9D" w14:textId="77777777" w:rsidR="00F925DD" w:rsidRDefault="00F925DD">
            <w:pPr>
              <w:textAlignment w:val="bottom"/>
              <w:rPr>
                <w:rFonts w:ascii="Times New Roman" w:hAnsi="Times New Roman"/>
                <w:sz w:val="20"/>
                <w:szCs w:val="20"/>
              </w:rPr>
            </w:pPr>
          </w:p>
        </w:tc>
      </w:tr>
      <w:tr w:rsidR="00F925DD" w14:paraId="55568BA5" w14:textId="77777777">
        <w:tc>
          <w:tcPr>
            <w:tcW w:w="0" w:type="auto"/>
            <w:shd w:val="clear" w:color="auto" w:fill="auto"/>
            <w:tcMar>
              <w:top w:w="40" w:type="dxa"/>
              <w:left w:w="40" w:type="dxa"/>
              <w:bottom w:w="40" w:type="dxa"/>
              <w:right w:w="40" w:type="dxa"/>
            </w:tcMar>
            <w:vAlign w:val="bottom"/>
          </w:tcPr>
          <w:p w14:paraId="55568B9F" w14:textId="77777777" w:rsidR="00F925DD" w:rsidRDefault="00E705D7">
            <w:pPr>
              <w:textAlignment w:val="bottom"/>
              <w:rPr>
                <w:rFonts w:ascii="Times New Roman" w:hAnsi="Times New Roman"/>
                <w:sz w:val="14"/>
                <w:szCs w:val="14"/>
              </w:rPr>
            </w:pPr>
            <w:r>
              <w:rPr>
                <w:rFonts w:ascii="Arial" w:eastAsia="宋体" w:hAnsi="Arial" w:cs="Arial"/>
                <w:sz w:val="14"/>
                <w:szCs w:val="14"/>
              </w:rPr>
              <w:t>Netherlands</w:t>
            </w:r>
          </w:p>
        </w:tc>
        <w:tc>
          <w:tcPr>
            <w:tcW w:w="0" w:type="auto"/>
            <w:gridSpan w:val="2"/>
            <w:shd w:val="clear" w:color="auto" w:fill="auto"/>
            <w:tcMar>
              <w:top w:w="40" w:type="dxa"/>
              <w:left w:w="40" w:type="dxa"/>
              <w:bottom w:w="40" w:type="dxa"/>
            </w:tcMar>
            <w:vAlign w:val="bottom"/>
          </w:tcPr>
          <w:p w14:paraId="55568BA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1,524</w:t>
            </w:r>
          </w:p>
        </w:tc>
        <w:tc>
          <w:tcPr>
            <w:tcW w:w="0" w:type="auto"/>
            <w:shd w:val="clear" w:color="auto" w:fill="auto"/>
            <w:vAlign w:val="bottom"/>
          </w:tcPr>
          <w:p w14:paraId="55568BA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BA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1,116</w:t>
            </w:r>
          </w:p>
        </w:tc>
        <w:tc>
          <w:tcPr>
            <w:tcW w:w="0" w:type="auto"/>
            <w:shd w:val="clear" w:color="auto" w:fill="auto"/>
            <w:vAlign w:val="bottom"/>
          </w:tcPr>
          <w:p w14:paraId="55568BA4" w14:textId="77777777" w:rsidR="00F925DD" w:rsidRDefault="00F925DD">
            <w:pPr>
              <w:textAlignment w:val="bottom"/>
              <w:rPr>
                <w:rFonts w:ascii="Times New Roman" w:hAnsi="Times New Roman"/>
                <w:sz w:val="20"/>
                <w:szCs w:val="20"/>
              </w:rPr>
            </w:pPr>
          </w:p>
        </w:tc>
      </w:tr>
      <w:tr w:rsidR="00F925DD" w14:paraId="55568BAC" w14:textId="77777777">
        <w:tc>
          <w:tcPr>
            <w:tcW w:w="0" w:type="auto"/>
            <w:shd w:val="clear" w:color="auto" w:fill="CCEEFF"/>
            <w:tcMar>
              <w:top w:w="40" w:type="dxa"/>
              <w:left w:w="40" w:type="dxa"/>
              <w:bottom w:w="40" w:type="dxa"/>
              <w:right w:w="40" w:type="dxa"/>
            </w:tcMar>
            <w:vAlign w:val="bottom"/>
          </w:tcPr>
          <w:p w14:paraId="55568BA6" w14:textId="77777777" w:rsidR="00F925DD" w:rsidRDefault="00E705D7">
            <w:pPr>
              <w:textAlignment w:val="bottom"/>
              <w:rPr>
                <w:rFonts w:ascii="Times New Roman" w:hAnsi="Times New Roman"/>
                <w:sz w:val="14"/>
                <w:szCs w:val="14"/>
              </w:rPr>
            </w:pPr>
            <w:r>
              <w:rPr>
                <w:rFonts w:ascii="Arial" w:eastAsia="宋体" w:hAnsi="Arial" w:cs="Arial"/>
                <w:sz w:val="14"/>
                <w:szCs w:val="14"/>
              </w:rPr>
              <w:t>Austria</w:t>
            </w:r>
          </w:p>
        </w:tc>
        <w:tc>
          <w:tcPr>
            <w:tcW w:w="0" w:type="auto"/>
            <w:gridSpan w:val="2"/>
            <w:shd w:val="clear" w:color="auto" w:fill="CCEEFF"/>
            <w:tcMar>
              <w:top w:w="40" w:type="dxa"/>
              <w:left w:w="40" w:type="dxa"/>
              <w:bottom w:w="40" w:type="dxa"/>
            </w:tcMar>
            <w:vAlign w:val="bottom"/>
          </w:tcPr>
          <w:p w14:paraId="55568BA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1,398</w:t>
            </w:r>
          </w:p>
        </w:tc>
        <w:tc>
          <w:tcPr>
            <w:tcW w:w="0" w:type="auto"/>
            <w:shd w:val="clear" w:color="auto" w:fill="CCEEFF"/>
            <w:vAlign w:val="bottom"/>
          </w:tcPr>
          <w:p w14:paraId="55568B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BA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1,312</w:t>
            </w:r>
          </w:p>
        </w:tc>
        <w:tc>
          <w:tcPr>
            <w:tcW w:w="0" w:type="auto"/>
            <w:shd w:val="clear" w:color="auto" w:fill="CCEEFF"/>
            <w:vAlign w:val="bottom"/>
          </w:tcPr>
          <w:p w14:paraId="55568BAB" w14:textId="77777777" w:rsidR="00F925DD" w:rsidRDefault="00F925DD">
            <w:pPr>
              <w:textAlignment w:val="bottom"/>
              <w:rPr>
                <w:rFonts w:ascii="Times New Roman" w:hAnsi="Times New Roman"/>
                <w:sz w:val="20"/>
                <w:szCs w:val="20"/>
              </w:rPr>
            </w:pPr>
          </w:p>
        </w:tc>
      </w:tr>
      <w:tr w:rsidR="00F925DD" w14:paraId="55568BB3" w14:textId="77777777">
        <w:tc>
          <w:tcPr>
            <w:tcW w:w="0" w:type="auto"/>
            <w:shd w:val="clear" w:color="auto" w:fill="auto"/>
            <w:tcMar>
              <w:top w:w="40" w:type="dxa"/>
              <w:left w:w="40" w:type="dxa"/>
              <w:bottom w:w="40" w:type="dxa"/>
              <w:right w:w="40" w:type="dxa"/>
            </w:tcMar>
            <w:vAlign w:val="bottom"/>
          </w:tcPr>
          <w:p w14:paraId="55568BAD" w14:textId="77777777" w:rsidR="00F925DD" w:rsidRDefault="00E705D7">
            <w:pPr>
              <w:textAlignment w:val="bottom"/>
              <w:rPr>
                <w:rFonts w:ascii="Times New Roman" w:hAnsi="Times New Roman"/>
                <w:sz w:val="14"/>
                <w:szCs w:val="14"/>
              </w:rPr>
            </w:pPr>
            <w:r>
              <w:rPr>
                <w:rFonts w:ascii="Arial" w:eastAsia="宋体" w:hAnsi="Arial" w:cs="Arial"/>
                <w:sz w:val="14"/>
                <w:szCs w:val="14"/>
              </w:rPr>
              <w:t>Japan</w:t>
            </w:r>
          </w:p>
        </w:tc>
        <w:tc>
          <w:tcPr>
            <w:tcW w:w="0" w:type="auto"/>
            <w:gridSpan w:val="2"/>
            <w:shd w:val="clear" w:color="auto" w:fill="auto"/>
            <w:tcMar>
              <w:top w:w="40" w:type="dxa"/>
              <w:left w:w="40" w:type="dxa"/>
              <w:bottom w:w="40" w:type="dxa"/>
            </w:tcMar>
            <w:vAlign w:val="bottom"/>
          </w:tcPr>
          <w:p w14:paraId="55568BA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1,363</w:t>
            </w:r>
          </w:p>
        </w:tc>
        <w:tc>
          <w:tcPr>
            <w:tcW w:w="0" w:type="auto"/>
            <w:shd w:val="clear" w:color="auto" w:fill="auto"/>
            <w:vAlign w:val="bottom"/>
          </w:tcPr>
          <w:p w14:paraId="55568BA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BB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1,352</w:t>
            </w:r>
          </w:p>
        </w:tc>
        <w:tc>
          <w:tcPr>
            <w:tcW w:w="0" w:type="auto"/>
            <w:shd w:val="clear" w:color="auto" w:fill="auto"/>
            <w:vAlign w:val="bottom"/>
          </w:tcPr>
          <w:p w14:paraId="55568BB2" w14:textId="77777777" w:rsidR="00F925DD" w:rsidRDefault="00F925DD">
            <w:pPr>
              <w:textAlignment w:val="bottom"/>
              <w:rPr>
                <w:rFonts w:ascii="Times New Roman" w:hAnsi="Times New Roman"/>
                <w:sz w:val="20"/>
                <w:szCs w:val="20"/>
              </w:rPr>
            </w:pPr>
          </w:p>
        </w:tc>
      </w:tr>
      <w:tr w:rsidR="00F925DD" w14:paraId="55568BBA" w14:textId="77777777">
        <w:tc>
          <w:tcPr>
            <w:tcW w:w="0" w:type="auto"/>
            <w:shd w:val="clear" w:color="auto" w:fill="CCEEFF"/>
            <w:tcMar>
              <w:top w:w="40" w:type="dxa"/>
              <w:left w:w="40" w:type="dxa"/>
              <w:bottom w:w="40" w:type="dxa"/>
              <w:right w:w="40" w:type="dxa"/>
            </w:tcMar>
            <w:vAlign w:val="bottom"/>
          </w:tcPr>
          <w:p w14:paraId="55568BB4" w14:textId="77777777" w:rsidR="00F925DD" w:rsidRDefault="00E705D7">
            <w:pPr>
              <w:textAlignment w:val="bottom"/>
              <w:rPr>
                <w:rFonts w:ascii="Times New Roman" w:hAnsi="Times New Roman"/>
                <w:sz w:val="14"/>
                <w:szCs w:val="14"/>
              </w:rPr>
            </w:pPr>
            <w:r>
              <w:rPr>
                <w:rFonts w:ascii="Arial" w:eastAsia="宋体" w:hAnsi="Arial" w:cs="Arial"/>
                <w:sz w:val="14"/>
                <w:szCs w:val="14"/>
              </w:rPr>
              <w:t>Ireland</w:t>
            </w:r>
          </w:p>
        </w:tc>
        <w:tc>
          <w:tcPr>
            <w:tcW w:w="0" w:type="auto"/>
            <w:gridSpan w:val="2"/>
            <w:shd w:val="clear" w:color="auto" w:fill="CCEEFF"/>
            <w:tcMar>
              <w:top w:w="40" w:type="dxa"/>
              <w:left w:w="40" w:type="dxa"/>
              <w:bottom w:w="40" w:type="dxa"/>
            </w:tcMar>
            <w:vAlign w:val="bottom"/>
          </w:tcPr>
          <w:p w14:paraId="55568BB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1,235</w:t>
            </w:r>
          </w:p>
        </w:tc>
        <w:tc>
          <w:tcPr>
            <w:tcW w:w="0" w:type="auto"/>
            <w:shd w:val="clear" w:color="auto" w:fill="CCEEFF"/>
            <w:vAlign w:val="bottom"/>
          </w:tcPr>
          <w:p w14:paraId="55568B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BB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1,301</w:t>
            </w:r>
          </w:p>
        </w:tc>
        <w:tc>
          <w:tcPr>
            <w:tcW w:w="0" w:type="auto"/>
            <w:shd w:val="clear" w:color="auto" w:fill="CCEEFF"/>
            <w:vAlign w:val="bottom"/>
          </w:tcPr>
          <w:p w14:paraId="55568BB9" w14:textId="77777777" w:rsidR="00F925DD" w:rsidRDefault="00F925DD">
            <w:pPr>
              <w:textAlignment w:val="bottom"/>
              <w:rPr>
                <w:rFonts w:ascii="Times New Roman" w:hAnsi="Times New Roman"/>
                <w:sz w:val="20"/>
                <w:szCs w:val="20"/>
              </w:rPr>
            </w:pPr>
          </w:p>
        </w:tc>
      </w:tr>
      <w:tr w:rsidR="00F925DD" w14:paraId="55568BC1" w14:textId="77777777">
        <w:tc>
          <w:tcPr>
            <w:tcW w:w="0" w:type="auto"/>
            <w:shd w:val="clear" w:color="auto" w:fill="auto"/>
            <w:tcMar>
              <w:top w:w="40" w:type="dxa"/>
              <w:left w:w="40" w:type="dxa"/>
              <w:bottom w:w="40" w:type="dxa"/>
              <w:right w:w="40" w:type="dxa"/>
            </w:tcMar>
            <w:vAlign w:val="bottom"/>
          </w:tcPr>
          <w:p w14:paraId="55568BBB" w14:textId="77777777" w:rsidR="00F925DD" w:rsidRDefault="00E705D7">
            <w:pPr>
              <w:textAlignment w:val="bottom"/>
              <w:rPr>
                <w:rFonts w:ascii="Times New Roman" w:hAnsi="Times New Roman"/>
                <w:sz w:val="14"/>
                <w:szCs w:val="14"/>
              </w:rPr>
            </w:pPr>
            <w:r>
              <w:rPr>
                <w:rFonts w:ascii="Arial" w:eastAsia="宋体" w:hAnsi="Arial" w:cs="Arial"/>
                <w:sz w:val="14"/>
                <w:szCs w:val="14"/>
              </w:rPr>
              <w:t>Italy</w:t>
            </w:r>
          </w:p>
        </w:tc>
        <w:tc>
          <w:tcPr>
            <w:tcW w:w="0" w:type="auto"/>
            <w:gridSpan w:val="2"/>
            <w:shd w:val="clear" w:color="auto" w:fill="auto"/>
            <w:tcMar>
              <w:top w:w="40" w:type="dxa"/>
              <w:left w:w="40" w:type="dxa"/>
              <w:bottom w:w="40" w:type="dxa"/>
            </w:tcMar>
            <w:vAlign w:val="bottom"/>
          </w:tcPr>
          <w:p w14:paraId="55568BB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1,113</w:t>
            </w:r>
          </w:p>
        </w:tc>
        <w:tc>
          <w:tcPr>
            <w:tcW w:w="0" w:type="auto"/>
            <w:shd w:val="clear" w:color="auto" w:fill="auto"/>
            <w:vAlign w:val="bottom"/>
          </w:tcPr>
          <w:p w14:paraId="55568BB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BB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1,010</w:t>
            </w:r>
          </w:p>
        </w:tc>
        <w:tc>
          <w:tcPr>
            <w:tcW w:w="0" w:type="auto"/>
            <w:shd w:val="clear" w:color="auto" w:fill="auto"/>
            <w:vAlign w:val="bottom"/>
          </w:tcPr>
          <w:p w14:paraId="55568BC0" w14:textId="77777777" w:rsidR="00F925DD" w:rsidRDefault="00F925DD">
            <w:pPr>
              <w:textAlignment w:val="bottom"/>
              <w:rPr>
                <w:rFonts w:ascii="Times New Roman" w:hAnsi="Times New Roman"/>
                <w:sz w:val="20"/>
                <w:szCs w:val="20"/>
              </w:rPr>
            </w:pPr>
          </w:p>
        </w:tc>
      </w:tr>
      <w:tr w:rsidR="00F925DD" w14:paraId="55568BC8" w14:textId="77777777">
        <w:tc>
          <w:tcPr>
            <w:tcW w:w="0" w:type="auto"/>
            <w:shd w:val="clear" w:color="auto" w:fill="CCEEFF"/>
            <w:tcMar>
              <w:top w:w="40" w:type="dxa"/>
              <w:left w:w="40" w:type="dxa"/>
              <w:bottom w:w="40" w:type="dxa"/>
              <w:right w:w="40" w:type="dxa"/>
            </w:tcMar>
            <w:vAlign w:val="bottom"/>
          </w:tcPr>
          <w:p w14:paraId="55568BC2" w14:textId="77777777" w:rsidR="00F925DD" w:rsidRDefault="00E705D7">
            <w:pPr>
              <w:textAlignment w:val="bottom"/>
              <w:rPr>
                <w:rFonts w:ascii="Times New Roman" w:hAnsi="Times New Roman"/>
                <w:sz w:val="14"/>
                <w:szCs w:val="14"/>
              </w:rPr>
            </w:pPr>
            <w:r>
              <w:rPr>
                <w:rFonts w:ascii="Arial" w:eastAsia="宋体" w:hAnsi="Arial" w:cs="Arial"/>
                <w:sz w:val="14"/>
                <w:szCs w:val="14"/>
              </w:rPr>
              <w:t>Belgium</w:t>
            </w:r>
          </w:p>
        </w:tc>
        <w:tc>
          <w:tcPr>
            <w:tcW w:w="0" w:type="auto"/>
            <w:gridSpan w:val="2"/>
            <w:shd w:val="clear" w:color="auto" w:fill="CCEEFF"/>
            <w:tcMar>
              <w:top w:w="40" w:type="dxa"/>
              <w:left w:w="40" w:type="dxa"/>
              <w:bottom w:w="40" w:type="dxa"/>
            </w:tcMar>
            <w:vAlign w:val="bottom"/>
          </w:tcPr>
          <w:p w14:paraId="55568BC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977</w:t>
            </w:r>
          </w:p>
        </w:tc>
        <w:tc>
          <w:tcPr>
            <w:tcW w:w="0" w:type="auto"/>
            <w:shd w:val="clear" w:color="auto" w:fill="CCEEFF"/>
            <w:vAlign w:val="bottom"/>
          </w:tcPr>
          <w:p w14:paraId="55568BC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BC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952</w:t>
            </w:r>
          </w:p>
        </w:tc>
        <w:tc>
          <w:tcPr>
            <w:tcW w:w="0" w:type="auto"/>
            <w:shd w:val="clear" w:color="auto" w:fill="CCEEFF"/>
            <w:vAlign w:val="bottom"/>
          </w:tcPr>
          <w:p w14:paraId="55568BC7" w14:textId="77777777" w:rsidR="00F925DD" w:rsidRDefault="00F925DD">
            <w:pPr>
              <w:textAlignment w:val="bottom"/>
              <w:rPr>
                <w:rFonts w:ascii="Times New Roman" w:hAnsi="Times New Roman"/>
                <w:sz w:val="20"/>
                <w:szCs w:val="20"/>
              </w:rPr>
            </w:pPr>
          </w:p>
        </w:tc>
      </w:tr>
      <w:tr w:rsidR="00F925DD" w14:paraId="55568BCF" w14:textId="77777777">
        <w:tc>
          <w:tcPr>
            <w:tcW w:w="0" w:type="auto"/>
            <w:shd w:val="clear" w:color="auto" w:fill="auto"/>
            <w:tcMar>
              <w:top w:w="40" w:type="dxa"/>
              <w:left w:w="40" w:type="dxa"/>
              <w:bottom w:w="40" w:type="dxa"/>
              <w:right w:w="40" w:type="dxa"/>
            </w:tcMar>
            <w:vAlign w:val="bottom"/>
          </w:tcPr>
          <w:p w14:paraId="55568BC9" w14:textId="77777777" w:rsidR="00F925DD" w:rsidRDefault="00E705D7">
            <w:pPr>
              <w:textAlignment w:val="bottom"/>
              <w:rPr>
                <w:rFonts w:ascii="Times New Roman" w:hAnsi="Times New Roman"/>
                <w:sz w:val="14"/>
                <w:szCs w:val="14"/>
              </w:rPr>
            </w:pPr>
            <w:r>
              <w:rPr>
                <w:rFonts w:ascii="Arial" w:eastAsia="宋体" w:hAnsi="Arial" w:cs="Arial"/>
                <w:sz w:val="14"/>
                <w:szCs w:val="14"/>
              </w:rPr>
              <w:t>Finland</w:t>
            </w:r>
          </w:p>
        </w:tc>
        <w:tc>
          <w:tcPr>
            <w:tcW w:w="0" w:type="auto"/>
            <w:gridSpan w:val="2"/>
            <w:shd w:val="clear" w:color="auto" w:fill="auto"/>
            <w:tcMar>
              <w:top w:w="40" w:type="dxa"/>
              <w:left w:w="40" w:type="dxa"/>
              <w:bottom w:w="40" w:type="dxa"/>
            </w:tcMar>
            <w:vAlign w:val="bottom"/>
          </w:tcPr>
          <w:p w14:paraId="55568BC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846</w:t>
            </w:r>
          </w:p>
        </w:tc>
        <w:tc>
          <w:tcPr>
            <w:tcW w:w="0" w:type="auto"/>
            <w:shd w:val="clear" w:color="auto" w:fill="auto"/>
            <w:vAlign w:val="bottom"/>
          </w:tcPr>
          <w:p w14:paraId="55568B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BC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789</w:t>
            </w:r>
          </w:p>
        </w:tc>
        <w:tc>
          <w:tcPr>
            <w:tcW w:w="0" w:type="auto"/>
            <w:shd w:val="clear" w:color="auto" w:fill="auto"/>
            <w:vAlign w:val="bottom"/>
          </w:tcPr>
          <w:p w14:paraId="55568BCE" w14:textId="77777777" w:rsidR="00F925DD" w:rsidRDefault="00F925DD">
            <w:pPr>
              <w:textAlignment w:val="bottom"/>
              <w:rPr>
                <w:rFonts w:ascii="Times New Roman" w:hAnsi="Times New Roman"/>
                <w:sz w:val="20"/>
                <w:szCs w:val="20"/>
              </w:rPr>
            </w:pPr>
          </w:p>
        </w:tc>
      </w:tr>
      <w:tr w:rsidR="00F925DD" w14:paraId="55568BD6" w14:textId="77777777">
        <w:tc>
          <w:tcPr>
            <w:tcW w:w="0" w:type="auto"/>
            <w:shd w:val="clear" w:color="auto" w:fill="CCEEFF"/>
            <w:tcMar>
              <w:top w:w="40" w:type="dxa"/>
              <w:left w:w="40" w:type="dxa"/>
              <w:bottom w:w="40" w:type="dxa"/>
              <w:right w:w="40" w:type="dxa"/>
            </w:tcMar>
            <w:vAlign w:val="bottom"/>
          </w:tcPr>
          <w:p w14:paraId="55568BD0" w14:textId="77777777" w:rsidR="00F925DD" w:rsidRDefault="00E705D7">
            <w:pPr>
              <w:textAlignment w:val="bottom"/>
              <w:rPr>
                <w:rFonts w:ascii="Times New Roman" w:hAnsi="Times New Roman"/>
                <w:sz w:val="14"/>
                <w:szCs w:val="14"/>
              </w:rPr>
            </w:pPr>
            <w:r>
              <w:rPr>
                <w:rFonts w:ascii="Arial" w:eastAsia="宋体" w:hAnsi="Arial" w:cs="Arial"/>
                <w:sz w:val="14"/>
                <w:szCs w:val="14"/>
              </w:rPr>
              <w:t>Hong Kong</w:t>
            </w:r>
          </w:p>
        </w:tc>
        <w:tc>
          <w:tcPr>
            <w:tcW w:w="0" w:type="auto"/>
            <w:gridSpan w:val="2"/>
            <w:shd w:val="clear" w:color="auto" w:fill="CCEEFF"/>
            <w:tcMar>
              <w:top w:w="40" w:type="dxa"/>
              <w:left w:w="40" w:type="dxa"/>
              <w:bottom w:w="40" w:type="dxa"/>
            </w:tcMar>
            <w:vAlign w:val="bottom"/>
          </w:tcPr>
          <w:p w14:paraId="55568BD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617</w:t>
            </w:r>
          </w:p>
        </w:tc>
        <w:tc>
          <w:tcPr>
            <w:tcW w:w="0" w:type="auto"/>
            <w:shd w:val="clear" w:color="auto" w:fill="CCEEFF"/>
            <w:vAlign w:val="bottom"/>
          </w:tcPr>
          <w:p w14:paraId="55568BD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BD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458</w:t>
            </w:r>
          </w:p>
        </w:tc>
        <w:tc>
          <w:tcPr>
            <w:tcW w:w="0" w:type="auto"/>
            <w:shd w:val="clear" w:color="auto" w:fill="CCEEFF"/>
            <w:vAlign w:val="bottom"/>
          </w:tcPr>
          <w:p w14:paraId="55568BD5" w14:textId="77777777" w:rsidR="00F925DD" w:rsidRDefault="00F925DD">
            <w:pPr>
              <w:textAlignment w:val="bottom"/>
              <w:rPr>
                <w:rFonts w:ascii="Times New Roman" w:hAnsi="Times New Roman"/>
                <w:sz w:val="20"/>
                <w:szCs w:val="20"/>
              </w:rPr>
            </w:pPr>
          </w:p>
        </w:tc>
      </w:tr>
      <w:tr w:rsidR="00F925DD" w14:paraId="55568BDD" w14:textId="77777777">
        <w:tc>
          <w:tcPr>
            <w:tcW w:w="0" w:type="auto"/>
            <w:shd w:val="clear" w:color="auto" w:fill="auto"/>
            <w:tcMar>
              <w:top w:w="40" w:type="dxa"/>
              <w:left w:w="40" w:type="dxa"/>
              <w:bottom w:w="40" w:type="dxa"/>
              <w:right w:w="40" w:type="dxa"/>
            </w:tcMar>
            <w:vAlign w:val="bottom"/>
          </w:tcPr>
          <w:p w14:paraId="55568BD7" w14:textId="77777777" w:rsidR="00F925DD" w:rsidRDefault="00E705D7">
            <w:pPr>
              <w:textAlignment w:val="bottom"/>
              <w:rPr>
                <w:rFonts w:ascii="Times New Roman" w:hAnsi="Times New Roman"/>
                <w:sz w:val="14"/>
                <w:szCs w:val="14"/>
              </w:rPr>
            </w:pPr>
            <w:r>
              <w:rPr>
                <w:rFonts w:ascii="Arial" w:eastAsia="宋体" w:hAnsi="Arial" w:cs="Arial"/>
                <w:sz w:val="14"/>
                <w:szCs w:val="14"/>
              </w:rPr>
              <w:t>Asian</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8BD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581</w:t>
            </w:r>
          </w:p>
        </w:tc>
        <w:tc>
          <w:tcPr>
            <w:tcW w:w="0" w:type="auto"/>
            <w:shd w:val="clear" w:color="auto" w:fill="auto"/>
            <w:vAlign w:val="bottom"/>
          </w:tcPr>
          <w:p w14:paraId="55568BD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BD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338</w:t>
            </w:r>
          </w:p>
        </w:tc>
        <w:tc>
          <w:tcPr>
            <w:tcW w:w="0" w:type="auto"/>
            <w:shd w:val="clear" w:color="auto" w:fill="auto"/>
            <w:vAlign w:val="bottom"/>
          </w:tcPr>
          <w:p w14:paraId="55568BDC" w14:textId="77777777" w:rsidR="00F925DD" w:rsidRDefault="00F925DD">
            <w:pPr>
              <w:textAlignment w:val="bottom"/>
              <w:rPr>
                <w:rFonts w:ascii="Times New Roman" w:hAnsi="Times New Roman"/>
                <w:sz w:val="20"/>
                <w:szCs w:val="20"/>
              </w:rPr>
            </w:pPr>
          </w:p>
        </w:tc>
      </w:tr>
      <w:tr w:rsidR="00F925DD" w14:paraId="55568BE4" w14:textId="77777777">
        <w:tc>
          <w:tcPr>
            <w:tcW w:w="0" w:type="auto"/>
            <w:shd w:val="clear" w:color="auto" w:fill="CCEEFF"/>
            <w:tcMar>
              <w:top w:w="40" w:type="dxa"/>
              <w:left w:w="40" w:type="dxa"/>
              <w:bottom w:w="40" w:type="dxa"/>
              <w:right w:w="40" w:type="dxa"/>
            </w:tcMar>
            <w:vAlign w:val="bottom"/>
          </w:tcPr>
          <w:p w14:paraId="55568BDE" w14:textId="77777777" w:rsidR="00F925DD" w:rsidRDefault="00E705D7">
            <w:pPr>
              <w:textAlignment w:val="bottom"/>
              <w:rPr>
                <w:rFonts w:ascii="Times New Roman" w:hAnsi="Times New Roman"/>
                <w:sz w:val="14"/>
                <w:szCs w:val="14"/>
              </w:rPr>
            </w:pPr>
            <w:r>
              <w:rPr>
                <w:rFonts w:ascii="Arial" w:eastAsia="宋体" w:hAnsi="Arial" w:cs="Arial"/>
                <w:sz w:val="14"/>
                <w:szCs w:val="14"/>
              </w:rPr>
              <w:t>Sweden</w:t>
            </w:r>
          </w:p>
        </w:tc>
        <w:tc>
          <w:tcPr>
            <w:tcW w:w="0" w:type="auto"/>
            <w:gridSpan w:val="2"/>
            <w:shd w:val="clear" w:color="auto" w:fill="CCEEFF"/>
            <w:tcMar>
              <w:top w:w="40" w:type="dxa"/>
              <w:left w:w="40" w:type="dxa"/>
              <w:bottom w:w="40" w:type="dxa"/>
            </w:tcMar>
            <w:vAlign w:val="bottom"/>
          </w:tcPr>
          <w:p w14:paraId="55568BD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156</w:t>
            </w:r>
          </w:p>
        </w:tc>
        <w:tc>
          <w:tcPr>
            <w:tcW w:w="0" w:type="auto"/>
            <w:shd w:val="clear" w:color="auto" w:fill="CCEEFF"/>
            <w:vAlign w:val="bottom"/>
          </w:tcPr>
          <w:p w14:paraId="55568BE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BE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186</w:t>
            </w:r>
          </w:p>
        </w:tc>
        <w:tc>
          <w:tcPr>
            <w:tcW w:w="0" w:type="auto"/>
            <w:shd w:val="clear" w:color="auto" w:fill="CCEEFF"/>
            <w:vAlign w:val="bottom"/>
          </w:tcPr>
          <w:p w14:paraId="55568BE3" w14:textId="77777777" w:rsidR="00F925DD" w:rsidRDefault="00F925DD">
            <w:pPr>
              <w:textAlignment w:val="bottom"/>
              <w:rPr>
                <w:rFonts w:ascii="Times New Roman" w:hAnsi="Times New Roman"/>
                <w:sz w:val="20"/>
                <w:szCs w:val="20"/>
              </w:rPr>
            </w:pPr>
          </w:p>
        </w:tc>
      </w:tr>
      <w:tr w:rsidR="00F925DD" w14:paraId="55568BEB" w14:textId="77777777">
        <w:tc>
          <w:tcPr>
            <w:tcW w:w="0" w:type="auto"/>
            <w:shd w:val="clear" w:color="auto" w:fill="auto"/>
            <w:tcMar>
              <w:top w:w="40" w:type="dxa"/>
              <w:left w:w="40" w:type="dxa"/>
              <w:bottom w:w="40" w:type="dxa"/>
              <w:right w:w="40" w:type="dxa"/>
            </w:tcMar>
            <w:vAlign w:val="bottom"/>
          </w:tcPr>
          <w:p w14:paraId="55568BE5" w14:textId="77777777" w:rsidR="00F925DD" w:rsidRDefault="00E705D7">
            <w:pPr>
              <w:textAlignment w:val="bottom"/>
              <w:rPr>
                <w:rFonts w:ascii="Times New Roman" w:hAnsi="Times New Roman"/>
                <w:sz w:val="14"/>
                <w:szCs w:val="14"/>
              </w:rPr>
            </w:pPr>
            <w:r>
              <w:rPr>
                <w:rFonts w:ascii="Arial" w:eastAsia="宋体" w:hAnsi="Arial" w:cs="Arial"/>
                <w:sz w:val="14"/>
                <w:szCs w:val="14"/>
              </w:rPr>
              <w:t>Luxembourg</w:t>
            </w:r>
          </w:p>
        </w:tc>
        <w:tc>
          <w:tcPr>
            <w:tcW w:w="0" w:type="auto"/>
            <w:gridSpan w:val="2"/>
            <w:shd w:val="clear" w:color="auto" w:fill="auto"/>
            <w:tcMar>
              <w:top w:w="40" w:type="dxa"/>
              <w:left w:w="40" w:type="dxa"/>
              <w:bottom w:w="40" w:type="dxa"/>
            </w:tcMar>
            <w:vAlign w:val="bottom"/>
          </w:tcPr>
          <w:p w14:paraId="55568BE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124</w:t>
            </w:r>
          </w:p>
        </w:tc>
        <w:tc>
          <w:tcPr>
            <w:tcW w:w="0" w:type="auto"/>
            <w:shd w:val="clear" w:color="auto" w:fill="auto"/>
            <w:vAlign w:val="bottom"/>
          </w:tcPr>
          <w:p w14:paraId="55568BE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BE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8BEA" w14:textId="77777777" w:rsidR="00F925DD" w:rsidRDefault="00F925DD">
            <w:pPr>
              <w:textAlignment w:val="bottom"/>
              <w:rPr>
                <w:rFonts w:ascii="Times New Roman" w:hAnsi="Times New Roman"/>
                <w:sz w:val="20"/>
                <w:szCs w:val="20"/>
              </w:rPr>
            </w:pPr>
          </w:p>
        </w:tc>
      </w:tr>
      <w:tr w:rsidR="00F925DD" w14:paraId="55568BF2" w14:textId="77777777">
        <w:tc>
          <w:tcPr>
            <w:tcW w:w="0" w:type="auto"/>
            <w:shd w:val="clear" w:color="auto" w:fill="CCEEFF"/>
            <w:tcMar>
              <w:top w:w="40" w:type="dxa"/>
              <w:left w:w="40" w:type="dxa"/>
              <w:bottom w:w="40" w:type="dxa"/>
              <w:right w:w="40" w:type="dxa"/>
            </w:tcMar>
            <w:vAlign w:val="bottom"/>
          </w:tcPr>
          <w:p w14:paraId="55568BEC" w14:textId="77777777" w:rsidR="00F925DD" w:rsidRDefault="00E705D7">
            <w:pPr>
              <w:textAlignment w:val="bottom"/>
              <w:rPr>
                <w:rFonts w:ascii="Times New Roman" w:hAnsi="Times New Roman"/>
                <w:sz w:val="14"/>
                <w:szCs w:val="14"/>
              </w:rPr>
            </w:pPr>
            <w:r>
              <w:rPr>
                <w:rFonts w:ascii="Arial" w:eastAsia="宋体" w:hAnsi="Arial" w:cs="Arial"/>
                <w:sz w:val="14"/>
                <w:szCs w:val="14"/>
              </w:rPr>
              <w:t>Brazil</w:t>
            </w:r>
          </w:p>
        </w:tc>
        <w:tc>
          <w:tcPr>
            <w:tcW w:w="0" w:type="auto"/>
            <w:gridSpan w:val="2"/>
            <w:shd w:val="clear" w:color="auto" w:fill="CCEEFF"/>
            <w:tcMar>
              <w:top w:w="40" w:type="dxa"/>
              <w:left w:w="40" w:type="dxa"/>
              <w:bottom w:w="40" w:type="dxa"/>
            </w:tcMar>
            <w:vAlign w:val="bottom"/>
          </w:tcPr>
          <w:p w14:paraId="55568BE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93</w:t>
            </w:r>
          </w:p>
        </w:tc>
        <w:tc>
          <w:tcPr>
            <w:tcW w:w="0" w:type="auto"/>
            <w:shd w:val="clear" w:color="auto" w:fill="CCEEFF"/>
            <w:vAlign w:val="bottom"/>
          </w:tcPr>
          <w:p w14:paraId="55568BE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BF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8BF1" w14:textId="77777777" w:rsidR="00F925DD" w:rsidRDefault="00F925DD">
            <w:pPr>
              <w:textAlignment w:val="bottom"/>
              <w:rPr>
                <w:rFonts w:ascii="Times New Roman" w:hAnsi="Times New Roman"/>
                <w:sz w:val="20"/>
                <w:szCs w:val="20"/>
              </w:rPr>
            </w:pPr>
          </w:p>
        </w:tc>
      </w:tr>
      <w:tr w:rsidR="00F925DD" w14:paraId="55568BF9" w14:textId="77777777">
        <w:tc>
          <w:tcPr>
            <w:tcW w:w="0" w:type="auto"/>
            <w:shd w:val="clear" w:color="auto" w:fill="auto"/>
            <w:tcMar>
              <w:top w:w="40" w:type="dxa"/>
              <w:left w:w="40" w:type="dxa"/>
              <w:bottom w:w="40" w:type="dxa"/>
              <w:right w:w="40" w:type="dxa"/>
            </w:tcMar>
            <w:vAlign w:val="bottom"/>
          </w:tcPr>
          <w:p w14:paraId="55568BF3" w14:textId="77777777" w:rsidR="00F925DD" w:rsidRDefault="00E705D7">
            <w:pPr>
              <w:textAlignment w:val="bottom"/>
              <w:rPr>
                <w:rFonts w:ascii="Times New Roman" w:hAnsi="Times New Roman"/>
                <w:sz w:val="14"/>
                <w:szCs w:val="14"/>
              </w:rPr>
            </w:pPr>
            <w:r>
              <w:rPr>
                <w:rFonts w:ascii="Arial" w:eastAsia="宋体" w:hAnsi="Arial" w:cs="Arial"/>
                <w:sz w:val="14"/>
                <w:szCs w:val="14"/>
              </w:rPr>
              <w:t>Norway</w:t>
            </w:r>
          </w:p>
        </w:tc>
        <w:tc>
          <w:tcPr>
            <w:tcW w:w="0" w:type="auto"/>
            <w:gridSpan w:val="2"/>
            <w:shd w:val="clear" w:color="auto" w:fill="auto"/>
            <w:tcMar>
              <w:top w:w="40" w:type="dxa"/>
              <w:left w:w="40" w:type="dxa"/>
              <w:bottom w:w="40" w:type="dxa"/>
            </w:tcMar>
            <w:vAlign w:val="bottom"/>
          </w:tcPr>
          <w:p w14:paraId="55568BF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51</w:t>
            </w:r>
          </w:p>
        </w:tc>
        <w:tc>
          <w:tcPr>
            <w:tcW w:w="0" w:type="auto"/>
            <w:shd w:val="clear" w:color="auto" w:fill="auto"/>
            <w:vAlign w:val="bottom"/>
          </w:tcPr>
          <w:p w14:paraId="55568BF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B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BF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94</w:t>
            </w:r>
          </w:p>
        </w:tc>
        <w:tc>
          <w:tcPr>
            <w:tcW w:w="0" w:type="auto"/>
            <w:shd w:val="clear" w:color="auto" w:fill="auto"/>
            <w:vAlign w:val="bottom"/>
          </w:tcPr>
          <w:p w14:paraId="55568BF8" w14:textId="77777777" w:rsidR="00F925DD" w:rsidRDefault="00F925DD">
            <w:pPr>
              <w:textAlignment w:val="bottom"/>
              <w:rPr>
                <w:rFonts w:ascii="Times New Roman" w:hAnsi="Times New Roman"/>
                <w:sz w:val="20"/>
                <w:szCs w:val="20"/>
              </w:rPr>
            </w:pPr>
          </w:p>
        </w:tc>
      </w:tr>
      <w:tr w:rsidR="00F925DD" w14:paraId="55568C00" w14:textId="77777777">
        <w:tc>
          <w:tcPr>
            <w:tcW w:w="0" w:type="auto"/>
            <w:shd w:val="clear" w:color="auto" w:fill="CCEEFF"/>
            <w:tcMar>
              <w:top w:w="40" w:type="dxa"/>
              <w:left w:w="40" w:type="dxa"/>
              <w:bottom w:w="40" w:type="dxa"/>
              <w:right w:w="40" w:type="dxa"/>
            </w:tcMar>
            <w:vAlign w:val="bottom"/>
          </w:tcPr>
          <w:p w14:paraId="55568BFA"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55568BF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685</w:t>
            </w:r>
          </w:p>
        </w:tc>
        <w:tc>
          <w:tcPr>
            <w:tcW w:w="0" w:type="auto"/>
            <w:shd w:val="clear" w:color="auto" w:fill="CCEEFF"/>
            <w:vAlign w:val="bottom"/>
          </w:tcPr>
          <w:p w14:paraId="55568BF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B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BF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118</w:t>
            </w:r>
          </w:p>
        </w:tc>
        <w:tc>
          <w:tcPr>
            <w:tcW w:w="0" w:type="auto"/>
            <w:shd w:val="clear" w:color="auto" w:fill="CCEEFF"/>
            <w:vAlign w:val="bottom"/>
          </w:tcPr>
          <w:p w14:paraId="55568BFF" w14:textId="77777777" w:rsidR="00F925DD" w:rsidRDefault="00F925DD">
            <w:pPr>
              <w:textAlignment w:val="bottom"/>
              <w:rPr>
                <w:rFonts w:ascii="Times New Roman" w:hAnsi="Times New Roman"/>
                <w:sz w:val="20"/>
                <w:szCs w:val="20"/>
              </w:rPr>
            </w:pPr>
          </w:p>
        </w:tc>
      </w:tr>
      <w:tr w:rsidR="00F925DD" w14:paraId="55568C09" w14:textId="77777777">
        <w:tc>
          <w:tcPr>
            <w:tcW w:w="0" w:type="auto"/>
            <w:shd w:val="clear" w:color="auto" w:fill="auto"/>
            <w:tcMar>
              <w:top w:w="40" w:type="dxa"/>
              <w:left w:w="40" w:type="dxa"/>
              <w:bottom w:w="40" w:type="dxa"/>
              <w:right w:w="40" w:type="dxa"/>
            </w:tcMar>
            <w:vAlign w:val="bottom"/>
          </w:tcPr>
          <w:p w14:paraId="55568C01"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C0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C0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25,190</w:t>
            </w:r>
          </w:p>
        </w:tc>
        <w:tc>
          <w:tcPr>
            <w:tcW w:w="0" w:type="auto"/>
            <w:tcBorders>
              <w:top w:val="single" w:sz="8" w:space="0" w:color="000000"/>
              <w:bottom w:val="double" w:sz="6" w:space="0" w:color="000000"/>
            </w:tcBorders>
            <w:shd w:val="clear" w:color="auto" w:fill="auto"/>
            <w:vAlign w:val="bottom"/>
          </w:tcPr>
          <w:p w14:paraId="55568C0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C0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C0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22,651</w:t>
            </w:r>
          </w:p>
        </w:tc>
        <w:tc>
          <w:tcPr>
            <w:tcW w:w="0" w:type="auto"/>
            <w:tcBorders>
              <w:top w:val="single" w:sz="8" w:space="0" w:color="000000"/>
              <w:bottom w:val="double" w:sz="6" w:space="0" w:color="000000"/>
            </w:tcBorders>
            <w:shd w:val="clear" w:color="auto" w:fill="auto"/>
            <w:vAlign w:val="bottom"/>
          </w:tcPr>
          <w:p w14:paraId="55568C08" w14:textId="77777777" w:rsidR="00F925DD" w:rsidRDefault="00F925DD">
            <w:pPr>
              <w:textAlignment w:val="bottom"/>
              <w:rPr>
                <w:rFonts w:ascii="Times New Roman" w:hAnsi="Times New Roman"/>
                <w:sz w:val="20"/>
                <w:szCs w:val="20"/>
              </w:rPr>
            </w:pPr>
          </w:p>
        </w:tc>
      </w:tr>
      <w:tr w:rsidR="00F925DD" w14:paraId="55568C0E" w14:textId="77777777">
        <w:tc>
          <w:tcPr>
            <w:tcW w:w="0" w:type="auto"/>
            <w:shd w:val="clear" w:color="auto" w:fill="CCEEFF"/>
            <w:tcMar>
              <w:top w:w="40" w:type="dxa"/>
              <w:left w:w="40" w:type="dxa"/>
              <w:bottom w:w="40" w:type="dxa"/>
              <w:right w:w="40" w:type="dxa"/>
            </w:tcMar>
            <w:vAlign w:val="bottom"/>
          </w:tcPr>
          <w:p w14:paraId="55568C0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Held-to-maturity:</w:t>
            </w:r>
          </w:p>
        </w:tc>
        <w:tc>
          <w:tcPr>
            <w:tcW w:w="0" w:type="auto"/>
            <w:gridSpan w:val="3"/>
            <w:shd w:val="clear" w:color="auto" w:fill="CCEEFF"/>
            <w:tcMar>
              <w:top w:w="40" w:type="dxa"/>
              <w:left w:w="40" w:type="dxa"/>
              <w:bottom w:w="40" w:type="dxa"/>
              <w:right w:w="40" w:type="dxa"/>
            </w:tcMar>
            <w:vAlign w:val="bottom"/>
          </w:tcPr>
          <w:p w14:paraId="55568C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C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C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C17" w14:textId="77777777">
        <w:tc>
          <w:tcPr>
            <w:tcW w:w="0" w:type="auto"/>
            <w:shd w:val="clear" w:color="auto" w:fill="auto"/>
            <w:tcMar>
              <w:top w:w="40" w:type="dxa"/>
              <w:left w:w="40" w:type="dxa"/>
              <w:bottom w:w="40" w:type="dxa"/>
              <w:right w:w="40" w:type="dxa"/>
            </w:tcMar>
            <w:vAlign w:val="bottom"/>
          </w:tcPr>
          <w:p w14:paraId="55568C0F" w14:textId="77777777" w:rsidR="00F925DD" w:rsidRDefault="00E705D7">
            <w:pPr>
              <w:textAlignment w:val="bottom"/>
              <w:rPr>
                <w:rFonts w:ascii="Times New Roman" w:hAnsi="Times New Roman"/>
                <w:sz w:val="14"/>
                <w:szCs w:val="14"/>
              </w:rPr>
            </w:pPr>
            <w:r>
              <w:rPr>
                <w:rFonts w:ascii="Arial" w:eastAsia="宋体" w:hAnsi="Arial" w:cs="Arial"/>
                <w:sz w:val="14"/>
                <w:szCs w:val="14"/>
              </w:rPr>
              <w:t>Singapore</w:t>
            </w:r>
          </w:p>
        </w:tc>
        <w:tc>
          <w:tcPr>
            <w:tcW w:w="0" w:type="auto"/>
            <w:shd w:val="clear" w:color="auto" w:fill="auto"/>
            <w:tcMar>
              <w:top w:w="40" w:type="dxa"/>
              <w:left w:w="40" w:type="dxa"/>
              <w:bottom w:w="40" w:type="dxa"/>
            </w:tcMar>
            <w:vAlign w:val="bottom"/>
          </w:tcPr>
          <w:p w14:paraId="55568C1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55568C1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214</w:t>
            </w:r>
          </w:p>
        </w:tc>
        <w:tc>
          <w:tcPr>
            <w:tcW w:w="0" w:type="auto"/>
            <w:shd w:val="clear" w:color="auto" w:fill="auto"/>
            <w:vAlign w:val="bottom"/>
          </w:tcPr>
          <w:p w14:paraId="55568C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C1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68C1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242</w:t>
            </w:r>
          </w:p>
        </w:tc>
        <w:tc>
          <w:tcPr>
            <w:tcW w:w="0" w:type="auto"/>
            <w:shd w:val="clear" w:color="auto" w:fill="auto"/>
            <w:vAlign w:val="bottom"/>
          </w:tcPr>
          <w:p w14:paraId="55568C16" w14:textId="77777777" w:rsidR="00F925DD" w:rsidRDefault="00F925DD">
            <w:pPr>
              <w:textAlignment w:val="bottom"/>
              <w:rPr>
                <w:rFonts w:ascii="Times New Roman" w:hAnsi="Times New Roman"/>
                <w:sz w:val="20"/>
                <w:szCs w:val="20"/>
              </w:rPr>
            </w:pPr>
          </w:p>
        </w:tc>
      </w:tr>
      <w:tr w:rsidR="00F925DD" w14:paraId="55568C1E" w14:textId="77777777">
        <w:tc>
          <w:tcPr>
            <w:tcW w:w="0" w:type="auto"/>
            <w:shd w:val="clear" w:color="auto" w:fill="CCEEFF"/>
            <w:tcMar>
              <w:top w:w="40" w:type="dxa"/>
              <w:left w:w="40" w:type="dxa"/>
              <w:bottom w:w="40" w:type="dxa"/>
              <w:right w:w="40" w:type="dxa"/>
            </w:tcMar>
            <w:vAlign w:val="bottom"/>
          </w:tcPr>
          <w:p w14:paraId="55568C18" w14:textId="77777777" w:rsidR="00F925DD" w:rsidRDefault="00E705D7">
            <w:pPr>
              <w:textAlignment w:val="bottom"/>
              <w:rPr>
                <w:rFonts w:ascii="Times New Roman" w:hAnsi="Times New Roman"/>
                <w:sz w:val="14"/>
                <w:szCs w:val="14"/>
              </w:rPr>
            </w:pPr>
            <w:r>
              <w:rPr>
                <w:rFonts w:ascii="Arial" w:eastAsia="宋体" w:hAnsi="Arial" w:cs="Arial"/>
                <w:sz w:val="14"/>
                <w:szCs w:val="14"/>
              </w:rPr>
              <w:t>United Kingdom</w:t>
            </w:r>
          </w:p>
        </w:tc>
        <w:tc>
          <w:tcPr>
            <w:tcW w:w="0" w:type="auto"/>
            <w:gridSpan w:val="2"/>
            <w:shd w:val="clear" w:color="auto" w:fill="CCEEFF"/>
            <w:tcMar>
              <w:top w:w="40" w:type="dxa"/>
              <w:left w:w="40" w:type="dxa"/>
              <w:bottom w:w="40" w:type="dxa"/>
            </w:tcMar>
            <w:vAlign w:val="bottom"/>
          </w:tcPr>
          <w:p w14:paraId="55568C1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126</w:t>
            </w:r>
          </w:p>
        </w:tc>
        <w:tc>
          <w:tcPr>
            <w:tcW w:w="0" w:type="auto"/>
            <w:shd w:val="clear" w:color="auto" w:fill="CCEEFF"/>
            <w:vAlign w:val="bottom"/>
          </w:tcPr>
          <w:p w14:paraId="55568C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C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363</w:t>
            </w:r>
          </w:p>
        </w:tc>
        <w:tc>
          <w:tcPr>
            <w:tcW w:w="0" w:type="auto"/>
            <w:shd w:val="clear" w:color="auto" w:fill="CCEEFF"/>
            <w:vAlign w:val="bottom"/>
          </w:tcPr>
          <w:p w14:paraId="55568C1D" w14:textId="77777777" w:rsidR="00F925DD" w:rsidRDefault="00F925DD">
            <w:pPr>
              <w:textAlignment w:val="bottom"/>
              <w:rPr>
                <w:rFonts w:ascii="Times New Roman" w:hAnsi="Times New Roman"/>
                <w:sz w:val="20"/>
                <w:szCs w:val="20"/>
              </w:rPr>
            </w:pPr>
          </w:p>
        </w:tc>
      </w:tr>
      <w:tr w:rsidR="00F925DD" w14:paraId="55568C25" w14:textId="77777777">
        <w:tc>
          <w:tcPr>
            <w:tcW w:w="0" w:type="auto"/>
            <w:shd w:val="clear" w:color="auto" w:fill="auto"/>
            <w:tcMar>
              <w:top w:w="40" w:type="dxa"/>
              <w:left w:w="40" w:type="dxa"/>
              <w:bottom w:w="40" w:type="dxa"/>
              <w:right w:w="40" w:type="dxa"/>
            </w:tcMar>
            <w:vAlign w:val="bottom"/>
          </w:tcPr>
          <w:p w14:paraId="55568C1F" w14:textId="77777777" w:rsidR="00F925DD" w:rsidRDefault="00E705D7">
            <w:pPr>
              <w:textAlignment w:val="bottom"/>
              <w:rPr>
                <w:rFonts w:ascii="Times New Roman" w:hAnsi="Times New Roman"/>
                <w:sz w:val="14"/>
                <w:szCs w:val="14"/>
              </w:rPr>
            </w:pPr>
            <w:r>
              <w:rPr>
                <w:rFonts w:ascii="Arial" w:eastAsia="宋体" w:hAnsi="Arial" w:cs="Arial"/>
                <w:sz w:val="14"/>
                <w:szCs w:val="14"/>
              </w:rPr>
              <w:t>Germany</w:t>
            </w:r>
          </w:p>
        </w:tc>
        <w:tc>
          <w:tcPr>
            <w:tcW w:w="0" w:type="auto"/>
            <w:gridSpan w:val="2"/>
            <w:shd w:val="clear" w:color="auto" w:fill="auto"/>
            <w:tcMar>
              <w:top w:w="40" w:type="dxa"/>
              <w:left w:w="40" w:type="dxa"/>
              <w:bottom w:w="40" w:type="dxa"/>
            </w:tcMar>
            <w:vAlign w:val="bottom"/>
          </w:tcPr>
          <w:p w14:paraId="55568C2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112</w:t>
            </w:r>
          </w:p>
        </w:tc>
        <w:tc>
          <w:tcPr>
            <w:tcW w:w="0" w:type="auto"/>
            <w:shd w:val="clear" w:color="auto" w:fill="auto"/>
            <w:vAlign w:val="bottom"/>
          </w:tcPr>
          <w:p w14:paraId="55568C2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C2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115</w:t>
            </w:r>
          </w:p>
        </w:tc>
        <w:tc>
          <w:tcPr>
            <w:tcW w:w="0" w:type="auto"/>
            <w:shd w:val="clear" w:color="auto" w:fill="auto"/>
            <w:vAlign w:val="bottom"/>
          </w:tcPr>
          <w:p w14:paraId="55568C24" w14:textId="77777777" w:rsidR="00F925DD" w:rsidRDefault="00F925DD">
            <w:pPr>
              <w:textAlignment w:val="bottom"/>
              <w:rPr>
                <w:rFonts w:ascii="Times New Roman" w:hAnsi="Times New Roman"/>
                <w:sz w:val="20"/>
                <w:szCs w:val="20"/>
              </w:rPr>
            </w:pPr>
          </w:p>
        </w:tc>
      </w:tr>
      <w:tr w:rsidR="00F925DD" w14:paraId="55568C2C" w14:textId="77777777">
        <w:tc>
          <w:tcPr>
            <w:tcW w:w="0" w:type="auto"/>
            <w:shd w:val="clear" w:color="auto" w:fill="CCEEFF"/>
            <w:tcMar>
              <w:top w:w="40" w:type="dxa"/>
              <w:left w:w="40" w:type="dxa"/>
              <w:bottom w:w="40" w:type="dxa"/>
              <w:right w:w="40" w:type="dxa"/>
            </w:tcMar>
            <w:vAlign w:val="bottom"/>
          </w:tcPr>
          <w:p w14:paraId="55568C26" w14:textId="77777777" w:rsidR="00F925DD" w:rsidRDefault="00E705D7">
            <w:pPr>
              <w:textAlignment w:val="bottom"/>
              <w:rPr>
                <w:rFonts w:ascii="Times New Roman" w:hAnsi="Times New Roman"/>
                <w:sz w:val="14"/>
                <w:szCs w:val="14"/>
              </w:rPr>
            </w:pPr>
            <w:r>
              <w:rPr>
                <w:rFonts w:ascii="Arial" w:eastAsia="宋体" w:hAnsi="Arial" w:cs="Arial"/>
                <w:sz w:val="14"/>
                <w:szCs w:val="14"/>
              </w:rPr>
              <w:t>Australia</w:t>
            </w:r>
          </w:p>
        </w:tc>
        <w:tc>
          <w:tcPr>
            <w:tcW w:w="0" w:type="auto"/>
            <w:gridSpan w:val="2"/>
            <w:shd w:val="clear" w:color="auto" w:fill="CCEEFF"/>
            <w:tcMar>
              <w:top w:w="40" w:type="dxa"/>
              <w:left w:w="40" w:type="dxa"/>
              <w:bottom w:w="40" w:type="dxa"/>
            </w:tcMar>
            <w:vAlign w:val="bottom"/>
          </w:tcPr>
          <w:p w14:paraId="55568C2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109</w:t>
            </w:r>
          </w:p>
        </w:tc>
        <w:tc>
          <w:tcPr>
            <w:tcW w:w="0" w:type="auto"/>
            <w:shd w:val="clear" w:color="auto" w:fill="CCEEFF"/>
            <w:vAlign w:val="bottom"/>
          </w:tcPr>
          <w:p w14:paraId="55568C2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C2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158</w:t>
            </w:r>
          </w:p>
        </w:tc>
        <w:tc>
          <w:tcPr>
            <w:tcW w:w="0" w:type="auto"/>
            <w:shd w:val="clear" w:color="auto" w:fill="CCEEFF"/>
            <w:vAlign w:val="bottom"/>
          </w:tcPr>
          <w:p w14:paraId="55568C2B" w14:textId="77777777" w:rsidR="00F925DD" w:rsidRDefault="00F925DD">
            <w:pPr>
              <w:textAlignment w:val="bottom"/>
              <w:rPr>
                <w:rFonts w:ascii="Times New Roman" w:hAnsi="Times New Roman"/>
                <w:sz w:val="20"/>
                <w:szCs w:val="20"/>
              </w:rPr>
            </w:pPr>
          </w:p>
        </w:tc>
      </w:tr>
      <w:tr w:rsidR="00F925DD" w14:paraId="55568C33" w14:textId="77777777">
        <w:tc>
          <w:tcPr>
            <w:tcW w:w="0" w:type="auto"/>
            <w:shd w:val="clear" w:color="auto" w:fill="auto"/>
            <w:tcMar>
              <w:top w:w="40" w:type="dxa"/>
              <w:left w:w="40" w:type="dxa"/>
              <w:bottom w:w="40" w:type="dxa"/>
              <w:right w:w="40" w:type="dxa"/>
            </w:tcMar>
            <w:vAlign w:val="bottom"/>
          </w:tcPr>
          <w:p w14:paraId="55568C2D" w14:textId="77777777" w:rsidR="00F925DD" w:rsidRDefault="00E705D7">
            <w:pPr>
              <w:textAlignment w:val="bottom"/>
              <w:rPr>
                <w:rFonts w:ascii="Times New Roman" w:hAnsi="Times New Roman"/>
                <w:sz w:val="14"/>
                <w:szCs w:val="14"/>
              </w:rPr>
            </w:pPr>
            <w:r>
              <w:rPr>
                <w:rFonts w:ascii="Arial" w:eastAsia="宋体" w:hAnsi="Arial" w:cs="Arial"/>
                <w:sz w:val="14"/>
                <w:szCs w:val="14"/>
              </w:rPr>
              <w:t>Spain</w:t>
            </w:r>
          </w:p>
        </w:tc>
        <w:tc>
          <w:tcPr>
            <w:tcW w:w="0" w:type="auto"/>
            <w:gridSpan w:val="2"/>
            <w:shd w:val="clear" w:color="auto" w:fill="auto"/>
            <w:tcMar>
              <w:top w:w="40" w:type="dxa"/>
              <w:left w:w="40" w:type="dxa"/>
              <w:bottom w:w="40" w:type="dxa"/>
            </w:tcMar>
            <w:vAlign w:val="bottom"/>
          </w:tcPr>
          <w:p w14:paraId="55568C2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85</w:t>
            </w:r>
          </w:p>
        </w:tc>
        <w:tc>
          <w:tcPr>
            <w:tcW w:w="0" w:type="auto"/>
            <w:shd w:val="clear" w:color="auto" w:fill="auto"/>
            <w:vAlign w:val="bottom"/>
          </w:tcPr>
          <w:p w14:paraId="55568C2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C3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92</w:t>
            </w:r>
          </w:p>
        </w:tc>
        <w:tc>
          <w:tcPr>
            <w:tcW w:w="0" w:type="auto"/>
            <w:shd w:val="clear" w:color="auto" w:fill="auto"/>
            <w:vAlign w:val="bottom"/>
          </w:tcPr>
          <w:p w14:paraId="55568C32" w14:textId="77777777" w:rsidR="00F925DD" w:rsidRDefault="00F925DD">
            <w:pPr>
              <w:textAlignment w:val="bottom"/>
              <w:rPr>
                <w:rFonts w:ascii="Times New Roman" w:hAnsi="Times New Roman"/>
                <w:sz w:val="20"/>
                <w:szCs w:val="20"/>
              </w:rPr>
            </w:pPr>
          </w:p>
        </w:tc>
      </w:tr>
      <w:tr w:rsidR="00F925DD" w14:paraId="55568C3A" w14:textId="77777777">
        <w:tc>
          <w:tcPr>
            <w:tcW w:w="0" w:type="auto"/>
            <w:shd w:val="clear" w:color="auto" w:fill="CCEEFF"/>
            <w:tcMar>
              <w:top w:w="40" w:type="dxa"/>
              <w:left w:w="40" w:type="dxa"/>
              <w:bottom w:w="40" w:type="dxa"/>
              <w:right w:w="40" w:type="dxa"/>
            </w:tcMar>
            <w:vAlign w:val="bottom"/>
          </w:tcPr>
          <w:p w14:paraId="55568C34" w14:textId="77777777" w:rsidR="00F925DD" w:rsidRDefault="00E705D7">
            <w:pPr>
              <w:textAlignment w:val="bottom"/>
              <w:rPr>
                <w:rFonts w:ascii="Times New Roman" w:hAnsi="Times New Roman"/>
                <w:sz w:val="14"/>
                <w:szCs w:val="14"/>
              </w:rPr>
            </w:pPr>
            <w:r>
              <w:rPr>
                <w:rFonts w:ascii="Arial" w:eastAsia="宋体" w:hAnsi="Arial" w:cs="Arial"/>
                <w:sz w:val="14"/>
                <w:szCs w:val="14"/>
              </w:rPr>
              <w:t>Netherlands</w:t>
            </w:r>
          </w:p>
        </w:tc>
        <w:tc>
          <w:tcPr>
            <w:tcW w:w="0" w:type="auto"/>
            <w:gridSpan w:val="2"/>
            <w:shd w:val="clear" w:color="auto" w:fill="CCEEFF"/>
            <w:tcMar>
              <w:top w:w="40" w:type="dxa"/>
              <w:left w:w="40" w:type="dxa"/>
              <w:bottom w:w="40" w:type="dxa"/>
            </w:tcMar>
            <w:vAlign w:val="bottom"/>
          </w:tcPr>
          <w:p w14:paraId="55568C3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8C3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C3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187</w:t>
            </w:r>
          </w:p>
        </w:tc>
        <w:tc>
          <w:tcPr>
            <w:tcW w:w="0" w:type="auto"/>
            <w:shd w:val="clear" w:color="auto" w:fill="CCEEFF"/>
            <w:vAlign w:val="bottom"/>
          </w:tcPr>
          <w:p w14:paraId="55568C39" w14:textId="77777777" w:rsidR="00F925DD" w:rsidRDefault="00F925DD">
            <w:pPr>
              <w:textAlignment w:val="bottom"/>
              <w:rPr>
                <w:rFonts w:ascii="Times New Roman" w:hAnsi="Times New Roman"/>
                <w:sz w:val="20"/>
                <w:szCs w:val="20"/>
              </w:rPr>
            </w:pPr>
          </w:p>
        </w:tc>
      </w:tr>
      <w:tr w:rsidR="00F925DD" w14:paraId="55568C41" w14:textId="77777777">
        <w:tc>
          <w:tcPr>
            <w:tcW w:w="0" w:type="auto"/>
            <w:shd w:val="clear" w:color="auto" w:fill="auto"/>
            <w:tcMar>
              <w:top w:w="40" w:type="dxa"/>
              <w:left w:w="40" w:type="dxa"/>
              <w:bottom w:w="40" w:type="dxa"/>
              <w:right w:w="40" w:type="dxa"/>
            </w:tcMar>
            <w:vAlign w:val="bottom"/>
          </w:tcPr>
          <w:p w14:paraId="55568C3B"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(3)</w:t>
            </w:r>
          </w:p>
        </w:tc>
        <w:tc>
          <w:tcPr>
            <w:tcW w:w="0" w:type="auto"/>
            <w:gridSpan w:val="2"/>
            <w:shd w:val="clear" w:color="auto" w:fill="auto"/>
            <w:tcMar>
              <w:top w:w="40" w:type="dxa"/>
              <w:left w:w="40" w:type="dxa"/>
              <w:bottom w:w="40" w:type="dxa"/>
            </w:tcMar>
            <w:vAlign w:val="bottom"/>
          </w:tcPr>
          <w:p w14:paraId="55568C3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48</w:t>
            </w:r>
          </w:p>
        </w:tc>
        <w:tc>
          <w:tcPr>
            <w:tcW w:w="0" w:type="auto"/>
            <w:shd w:val="clear" w:color="auto" w:fill="auto"/>
            <w:vAlign w:val="bottom"/>
          </w:tcPr>
          <w:p w14:paraId="55568C3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C3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w:t>
            </w:r>
          </w:p>
        </w:tc>
        <w:tc>
          <w:tcPr>
            <w:tcW w:w="0" w:type="auto"/>
            <w:shd w:val="clear" w:color="auto" w:fill="auto"/>
            <w:vAlign w:val="bottom"/>
          </w:tcPr>
          <w:p w14:paraId="55568C40" w14:textId="77777777" w:rsidR="00F925DD" w:rsidRDefault="00F925DD">
            <w:pPr>
              <w:textAlignment w:val="bottom"/>
              <w:rPr>
                <w:rFonts w:ascii="Times New Roman" w:hAnsi="Times New Roman"/>
                <w:sz w:val="20"/>
                <w:szCs w:val="20"/>
              </w:rPr>
            </w:pPr>
          </w:p>
        </w:tc>
      </w:tr>
      <w:tr w:rsidR="00F925DD" w14:paraId="55568C4A" w14:textId="77777777">
        <w:tc>
          <w:tcPr>
            <w:tcW w:w="0" w:type="auto"/>
            <w:shd w:val="clear" w:color="auto" w:fill="CCEEFF"/>
            <w:tcMar>
              <w:top w:w="40" w:type="dxa"/>
              <w:left w:w="40" w:type="dxa"/>
              <w:bottom w:w="40" w:type="dxa"/>
              <w:right w:w="40" w:type="dxa"/>
            </w:tcMar>
            <w:vAlign w:val="bottom"/>
          </w:tcPr>
          <w:p w14:paraId="55568C42"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C4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C4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694</w:t>
            </w:r>
          </w:p>
        </w:tc>
        <w:tc>
          <w:tcPr>
            <w:tcW w:w="0" w:type="auto"/>
            <w:tcBorders>
              <w:top w:val="single" w:sz="8" w:space="0" w:color="000000"/>
              <w:bottom w:val="double" w:sz="6" w:space="0" w:color="000000"/>
            </w:tcBorders>
            <w:shd w:val="clear" w:color="auto" w:fill="CCEEFF"/>
            <w:vAlign w:val="bottom"/>
          </w:tcPr>
          <w:p w14:paraId="55568C4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C4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C4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1,265</w:t>
            </w:r>
          </w:p>
        </w:tc>
        <w:tc>
          <w:tcPr>
            <w:tcW w:w="0" w:type="auto"/>
            <w:tcBorders>
              <w:top w:val="single" w:sz="8" w:space="0" w:color="000000"/>
              <w:bottom w:val="double" w:sz="6" w:space="0" w:color="000000"/>
            </w:tcBorders>
            <w:shd w:val="clear" w:color="auto" w:fill="CCEEFF"/>
            <w:vAlign w:val="bottom"/>
          </w:tcPr>
          <w:p w14:paraId="55568C49" w14:textId="77777777" w:rsidR="00F925DD" w:rsidRDefault="00F925DD">
            <w:pPr>
              <w:textAlignment w:val="bottom"/>
              <w:rPr>
                <w:rFonts w:ascii="Times New Roman" w:hAnsi="Times New Roman"/>
                <w:sz w:val="20"/>
                <w:szCs w:val="20"/>
              </w:rPr>
            </w:pPr>
          </w:p>
        </w:tc>
      </w:tr>
    </w:tbl>
    <w:p w14:paraId="55568C4B"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4070"/>
        <w:gridCol w:w="4236"/>
      </w:tblGrid>
      <w:tr w:rsidR="00F925DD" w14:paraId="55568C4D" w14:textId="77777777">
        <w:tc>
          <w:tcPr>
            <w:tcW w:w="0" w:type="auto"/>
            <w:gridSpan w:val="2"/>
            <w:shd w:val="clear" w:color="auto" w:fill="auto"/>
            <w:vAlign w:val="center"/>
          </w:tcPr>
          <w:p w14:paraId="55568C4C" w14:textId="77777777" w:rsidR="00F925DD" w:rsidRDefault="00F925DD">
            <w:pPr>
              <w:rPr>
                <w:rFonts w:ascii="Times New Roman" w:hAnsi="Times New Roman"/>
                <w:sz w:val="20"/>
                <w:szCs w:val="20"/>
              </w:rPr>
            </w:pPr>
          </w:p>
        </w:tc>
      </w:tr>
      <w:tr w:rsidR="00F925DD" w14:paraId="55568C50" w14:textId="77777777">
        <w:tc>
          <w:tcPr>
            <w:tcW w:w="2450" w:type="pct"/>
            <w:shd w:val="clear" w:color="auto" w:fill="auto"/>
            <w:vAlign w:val="center"/>
          </w:tcPr>
          <w:p w14:paraId="55568C4E" w14:textId="77777777" w:rsidR="00F925DD" w:rsidRDefault="00F925DD">
            <w:pPr>
              <w:rPr>
                <w:rFonts w:ascii="Times New Roman" w:hAnsi="Times New Roman"/>
                <w:sz w:val="20"/>
                <w:szCs w:val="20"/>
              </w:rPr>
            </w:pPr>
          </w:p>
        </w:tc>
        <w:tc>
          <w:tcPr>
            <w:tcW w:w="2550" w:type="pct"/>
            <w:shd w:val="clear" w:color="auto" w:fill="auto"/>
            <w:vAlign w:val="center"/>
          </w:tcPr>
          <w:p w14:paraId="55568C4F" w14:textId="77777777" w:rsidR="00F925DD" w:rsidRDefault="00F925DD">
            <w:pPr>
              <w:rPr>
                <w:rFonts w:ascii="Times New Roman" w:hAnsi="Times New Roman"/>
                <w:sz w:val="20"/>
                <w:szCs w:val="20"/>
              </w:rPr>
            </w:pPr>
          </w:p>
        </w:tc>
      </w:tr>
      <w:tr w:rsidR="00F925DD" w14:paraId="55568C5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C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C54"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(1) Consists entirely of supranational bonds.</w:t>
      </w:r>
    </w:p>
    <w:p w14:paraId="55568C55" w14:textId="77777777" w:rsidR="00F925DD" w:rsidRDefault="00E705D7">
      <w:pPr>
        <w:spacing w:line="288" w:lineRule="auto"/>
        <w:jc w:val="both"/>
        <w:rPr>
          <w:rFonts w:ascii="Times New Roman" w:hAnsi="Times New Roman"/>
          <w:sz w:val="14"/>
          <w:szCs w:val="14"/>
        </w:rPr>
      </w:pPr>
      <w:r>
        <w:rPr>
          <w:rFonts w:ascii="Arial" w:eastAsia="宋体" w:hAnsi="Arial" w:cs="Arial"/>
          <w:sz w:val="13"/>
          <w:szCs w:val="13"/>
        </w:rPr>
        <w:t xml:space="preserve">(2) Included approximately $618 million and $78 million as of December 31, 2019 and December 31, 2018, respectively, related to </w:t>
      </w:r>
      <w:r>
        <w:rPr>
          <w:rFonts w:ascii="Arial" w:eastAsia="宋体" w:hAnsi="Arial" w:cs="Arial"/>
          <w:sz w:val="14"/>
          <w:szCs w:val="14"/>
        </w:rPr>
        <w:t>supranational and non-U.S. agency bonds</w:t>
      </w:r>
      <w:r>
        <w:rPr>
          <w:rFonts w:ascii="Arial" w:eastAsia="宋体" w:hAnsi="Arial" w:cs="Arial"/>
          <w:sz w:val="13"/>
          <w:szCs w:val="13"/>
        </w:rPr>
        <w:t>.</w:t>
      </w:r>
    </w:p>
    <w:p w14:paraId="55568C56"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(3) Included approximately $46 million and $61 million as of December 31, 2019 and Dece</w:t>
      </w:r>
      <w:r>
        <w:rPr>
          <w:rFonts w:ascii="Arial" w:eastAsia="宋体" w:hAnsi="Arial" w:cs="Arial"/>
          <w:sz w:val="13"/>
          <w:szCs w:val="13"/>
        </w:rPr>
        <w:t>mber 31, 2018, respectively, related to Italy and Portugal, all of which were related to MBS.</w:t>
      </w:r>
    </w:p>
    <w:p w14:paraId="55568C5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Approximately 74% of the aggregate carrying value of these non-U.S. debt securities was rated “AAA” or “AA” as of both December 31, 2019 and December 31, 2018. Th</w:t>
      </w:r>
      <w:r>
        <w:rPr>
          <w:rFonts w:ascii="Arial" w:eastAsia="宋体" w:hAnsi="Arial" w:cs="Arial"/>
          <w:sz w:val="20"/>
          <w:szCs w:val="20"/>
        </w:rPr>
        <w:t>e majority of these securities comprised senior positions within the security structures; these positions have a level of protection provided through subordination and other forms of credit protection. As of December 31, 2019 and December 31, 2018, approxi</w:t>
      </w:r>
      <w:r>
        <w:rPr>
          <w:rFonts w:ascii="Arial" w:eastAsia="宋体" w:hAnsi="Arial" w:cs="Arial"/>
          <w:sz w:val="20"/>
          <w:szCs w:val="20"/>
        </w:rPr>
        <w:t>mately 27% and 31%, respectively, of the aggregate carrying value of these non-U.S. debt securities was floating-rate.</w:t>
      </w:r>
    </w:p>
    <w:p w14:paraId="55568C58"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8C5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our non-U.S. debt securities had an average market-to-book ratio of 101.1%, and an aggregate pre-tax net unrea</w:t>
      </w:r>
      <w:r>
        <w:rPr>
          <w:rFonts w:ascii="Arial" w:eastAsia="宋体" w:hAnsi="Arial" w:cs="Arial"/>
          <w:sz w:val="20"/>
          <w:szCs w:val="20"/>
        </w:rPr>
        <w:t>lized gain of $271 million, composed of gross unrealized gains of $291 million and gross unrealized losses of $20 million. These unrealized amounts included:</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8C5C" w14:textId="77777777">
        <w:trPr>
          <w:tblCellSpacing w:w="0" w:type="dxa"/>
        </w:trPr>
        <w:tc>
          <w:tcPr>
            <w:tcW w:w="960" w:type="dxa"/>
            <w:shd w:val="clear" w:color="auto" w:fill="auto"/>
            <w:vAlign w:val="center"/>
          </w:tcPr>
          <w:p w14:paraId="55568C5A" w14:textId="77777777" w:rsidR="00F925DD" w:rsidRDefault="00F925DD">
            <w:pPr>
              <w:rPr>
                <w:rFonts w:ascii="Times New Roman" w:hAnsi="Times New Roman"/>
                <w:sz w:val="20"/>
                <w:szCs w:val="20"/>
              </w:rPr>
            </w:pPr>
          </w:p>
        </w:tc>
        <w:tc>
          <w:tcPr>
            <w:tcW w:w="0" w:type="auto"/>
            <w:shd w:val="clear" w:color="auto" w:fill="auto"/>
            <w:vAlign w:val="center"/>
          </w:tcPr>
          <w:p w14:paraId="55568C5B" w14:textId="77777777" w:rsidR="00F925DD" w:rsidRDefault="00F925DD">
            <w:pPr>
              <w:rPr>
                <w:rFonts w:ascii="Times New Roman" w:hAnsi="Times New Roman"/>
                <w:sz w:val="20"/>
                <w:szCs w:val="20"/>
              </w:rPr>
            </w:pPr>
          </w:p>
        </w:tc>
      </w:tr>
      <w:tr w:rsidR="00F925DD" w14:paraId="55568C5F" w14:textId="77777777">
        <w:trPr>
          <w:tblCellSpacing w:w="0" w:type="dxa"/>
        </w:trPr>
        <w:tc>
          <w:tcPr>
            <w:tcW w:w="0" w:type="auto"/>
            <w:shd w:val="clear" w:color="auto" w:fill="auto"/>
          </w:tcPr>
          <w:p w14:paraId="55568C5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8C5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pre-tax net unrealized gain of $195 million, composed of gross unrealized gains of $209 </w:t>
            </w:r>
            <w:r>
              <w:rPr>
                <w:rFonts w:ascii="Arial" w:eastAsia="宋体" w:hAnsi="Arial" w:cs="Arial"/>
                <w:sz w:val="20"/>
                <w:szCs w:val="20"/>
              </w:rPr>
              <w:t>million and gross unrealized losses of $14 million, associated with non-U.S. AFS debt securities; and</w:t>
            </w:r>
          </w:p>
        </w:tc>
      </w:tr>
    </w:tbl>
    <w:p w14:paraId="55568C60"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8C63" w14:textId="77777777">
        <w:trPr>
          <w:tblCellSpacing w:w="0" w:type="dxa"/>
        </w:trPr>
        <w:tc>
          <w:tcPr>
            <w:tcW w:w="960" w:type="dxa"/>
            <w:shd w:val="clear" w:color="auto" w:fill="auto"/>
            <w:vAlign w:val="center"/>
          </w:tcPr>
          <w:p w14:paraId="55568C61" w14:textId="77777777" w:rsidR="00F925DD" w:rsidRDefault="00F925DD">
            <w:pPr>
              <w:rPr>
                <w:rFonts w:ascii="Times New Roman" w:hAnsi="Times New Roman"/>
                <w:sz w:val="20"/>
                <w:szCs w:val="20"/>
              </w:rPr>
            </w:pPr>
          </w:p>
        </w:tc>
        <w:tc>
          <w:tcPr>
            <w:tcW w:w="0" w:type="auto"/>
            <w:shd w:val="clear" w:color="auto" w:fill="auto"/>
            <w:vAlign w:val="center"/>
          </w:tcPr>
          <w:p w14:paraId="55568C62" w14:textId="77777777" w:rsidR="00F925DD" w:rsidRDefault="00F925DD">
            <w:pPr>
              <w:rPr>
                <w:rFonts w:ascii="Times New Roman" w:hAnsi="Times New Roman"/>
                <w:sz w:val="20"/>
                <w:szCs w:val="20"/>
              </w:rPr>
            </w:pPr>
          </w:p>
        </w:tc>
      </w:tr>
      <w:tr w:rsidR="00F925DD" w14:paraId="55568C66" w14:textId="77777777">
        <w:trPr>
          <w:tblCellSpacing w:w="0" w:type="dxa"/>
        </w:trPr>
        <w:tc>
          <w:tcPr>
            <w:tcW w:w="0" w:type="auto"/>
            <w:shd w:val="clear" w:color="auto" w:fill="auto"/>
          </w:tcPr>
          <w:p w14:paraId="55568C6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8C6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pre-tax net unrealized gain of $76 million, composed of gross unrealized gains of $82 million and gross unrealized losses of $6 million, </w:t>
            </w:r>
            <w:r>
              <w:rPr>
                <w:rFonts w:ascii="Arial" w:eastAsia="宋体" w:hAnsi="Arial" w:cs="Arial"/>
                <w:sz w:val="20"/>
                <w:szCs w:val="20"/>
              </w:rPr>
              <w:t>associated with non-U.S. HTM debt securities.</w:t>
            </w:r>
          </w:p>
        </w:tc>
      </w:tr>
    </w:tbl>
    <w:p w14:paraId="55568C6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the underlying collateral for non-U.S. MBS and ABS primarily included U.K., Australian, Italian and Dutch mortgages. The securities listed under “Canada” were composed of Canadian gove</w:t>
      </w:r>
      <w:r>
        <w:rPr>
          <w:rFonts w:ascii="Arial" w:eastAsia="宋体" w:hAnsi="Arial" w:cs="Arial"/>
          <w:sz w:val="20"/>
          <w:szCs w:val="20"/>
        </w:rPr>
        <w:t>rnment securities, corporate debt and non-U.S. agency securities. The securities listed under “France” were composed of sovereign bonds, corporate debt, covered bonds, ABS and Non-U.S. agency securities. The securities listed under “Japan” were substantial</w:t>
      </w:r>
      <w:r>
        <w:rPr>
          <w:rFonts w:ascii="Arial" w:eastAsia="宋体" w:hAnsi="Arial" w:cs="Arial"/>
          <w:sz w:val="20"/>
          <w:szCs w:val="20"/>
        </w:rPr>
        <w:t>ly composed of Japanese government securities.</w:t>
      </w:r>
    </w:p>
    <w:p w14:paraId="55568C68"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Municipal Obligations</w:t>
      </w:r>
    </w:p>
    <w:p w14:paraId="55568C6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carried approximately $1.8 billion of municipal securities classified as state and political subdivisions in our investment securities portfolio as of December 31, 2019, as shown in Ta</w:t>
      </w:r>
      <w:r>
        <w:rPr>
          <w:rFonts w:ascii="Arial" w:eastAsia="宋体" w:hAnsi="Arial" w:cs="Arial"/>
          <w:sz w:val="20"/>
          <w:szCs w:val="20"/>
        </w:rPr>
        <w:t>ble 20: Carrying Values of Investment Securities, all of which were classified as AFS. As of December 31, 2019, we also provided approximately $9.5 billion of credit and liquidity facilities to municipal issuers.</w:t>
      </w:r>
    </w:p>
    <w:tbl>
      <w:tblPr>
        <w:tblW w:w="4990" w:type="pct"/>
        <w:tblCellMar>
          <w:left w:w="0" w:type="dxa"/>
          <w:right w:w="0" w:type="dxa"/>
        </w:tblCellMar>
        <w:tblLook w:val="04A0" w:firstRow="1" w:lastRow="0" w:firstColumn="1" w:lastColumn="0" w:noHBand="0" w:noVBand="1"/>
      </w:tblPr>
      <w:tblGrid>
        <w:gridCol w:w="2291"/>
        <w:gridCol w:w="119"/>
        <w:gridCol w:w="1213"/>
        <w:gridCol w:w="54"/>
        <w:gridCol w:w="137"/>
        <w:gridCol w:w="119"/>
        <w:gridCol w:w="1297"/>
        <w:gridCol w:w="54"/>
        <w:gridCol w:w="137"/>
        <w:gridCol w:w="118"/>
        <w:gridCol w:w="1049"/>
        <w:gridCol w:w="54"/>
        <w:gridCol w:w="137"/>
        <w:gridCol w:w="1345"/>
        <w:gridCol w:w="165"/>
      </w:tblGrid>
      <w:tr w:rsidR="00F925DD" w14:paraId="55568C6B" w14:textId="77777777">
        <w:tc>
          <w:tcPr>
            <w:tcW w:w="0" w:type="auto"/>
            <w:gridSpan w:val="15"/>
            <w:shd w:val="clear" w:color="auto" w:fill="auto"/>
            <w:vAlign w:val="center"/>
          </w:tcPr>
          <w:p w14:paraId="55568C6A" w14:textId="77777777" w:rsidR="00F925DD" w:rsidRDefault="00F925DD">
            <w:pPr>
              <w:rPr>
                <w:rFonts w:ascii="Times New Roman" w:hAnsi="Times New Roman"/>
                <w:sz w:val="20"/>
                <w:szCs w:val="20"/>
              </w:rPr>
            </w:pPr>
          </w:p>
        </w:tc>
      </w:tr>
      <w:tr w:rsidR="00F925DD" w14:paraId="55568C7B" w14:textId="77777777">
        <w:tc>
          <w:tcPr>
            <w:tcW w:w="1400" w:type="pct"/>
            <w:shd w:val="clear" w:color="auto" w:fill="auto"/>
            <w:vAlign w:val="center"/>
          </w:tcPr>
          <w:p w14:paraId="55568C6C" w14:textId="77777777" w:rsidR="00F925DD" w:rsidRDefault="00F925DD">
            <w:pPr>
              <w:rPr>
                <w:rFonts w:ascii="Times New Roman" w:hAnsi="Times New Roman"/>
                <w:sz w:val="20"/>
                <w:szCs w:val="20"/>
              </w:rPr>
            </w:pPr>
          </w:p>
        </w:tc>
        <w:tc>
          <w:tcPr>
            <w:tcW w:w="50" w:type="pct"/>
            <w:shd w:val="clear" w:color="auto" w:fill="auto"/>
            <w:vAlign w:val="center"/>
          </w:tcPr>
          <w:p w14:paraId="55568C6D" w14:textId="77777777" w:rsidR="00F925DD" w:rsidRDefault="00F925DD">
            <w:pPr>
              <w:rPr>
                <w:rFonts w:ascii="Times New Roman" w:hAnsi="Times New Roman"/>
                <w:sz w:val="20"/>
                <w:szCs w:val="20"/>
              </w:rPr>
            </w:pPr>
          </w:p>
        </w:tc>
        <w:tc>
          <w:tcPr>
            <w:tcW w:w="750" w:type="pct"/>
            <w:shd w:val="clear" w:color="auto" w:fill="auto"/>
            <w:vAlign w:val="center"/>
          </w:tcPr>
          <w:p w14:paraId="55568C6E" w14:textId="77777777" w:rsidR="00F925DD" w:rsidRDefault="00F925DD">
            <w:pPr>
              <w:rPr>
                <w:rFonts w:ascii="Times New Roman" w:hAnsi="Times New Roman"/>
                <w:sz w:val="20"/>
                <w:szCs w:val="20"/>
              </w:rPr>
            </w:pPr>
          </w:p>
        </w:tc>
        <w:tc>
          <w:tcPr>
            <w:tcW w:w="50" w:type="pct"/>
            <w:shd w:val="clear" w:color="auto" w:fill="auto"/>
            <w:vAlign w:val="center"/>
          </w:tcPr>
          <w:p w14:paraId="55568C6F" w14:textId="77777777" w:rsidR="00F925DD" w:rsidRDefault="00F925DD">
            <w:pPr>
              <w:rPr>
                <w:rFonts w:ascii="Times New Roman" w:hAnsi="Times New Roman"/>
                <w:sz w:val="20"/>
                <w:szCs w:val="20"/>
              </w:rPr>
            </w:pPr>
          </w:p>
        </w:tc>
        <w:tc>
          <w:tcPr>
            <w:tcW w:w="100" w:type="pct"/>
            <w:shd w:val="clear" w:color="auto" w:fill="auto"/>
            <w:vAlign w:val="center"/>
          </w:tcPr>
          <w:p w14:paraId="55568C70" w14:textId="77777777" w:rsidR="00F925DD" w:rsidRDefault="00F925DD">
            <w:pPr>
              <w:rPr>
                <w:rFonts w:ascii="Times New Roman" w:hAnsi="Times New Roman"/>
                <w:sz w:val="20"/>
                <w:szCs w:val="20"/>
              </w:rPr>
            </w:pPr>
          </w:p>
        </w:tc>
        <w:tc>
          <w:tcPr>
            <w:tcW w:w="50" w:type="pct"/>
            <w:shd w:val="clear" w:color="auto" w:fill="auto"/>
            <w:vAlign w:val="center"/>
          </w:tcPr>
          <w:p w14:paraId="55568C71" w14:textId="77777777" w:rsidR="00F925DD" w:rsidRDefault="00F925DD">
            <w:pPr>
              <w:rPr>
                <w:rFonts w:ascii="Times New Roman" w:hAnsi="Times New Roman"/>
                <w:sz w:val="20"/>
                <w:szCs w:val="20"/>
              </w:rPr>
            </w:pPr>
          </w:p>
        </w:tc>
        <w:tc>
          <w:tcPr>
            <w:tcW w:w="800" w:type="pct"/>
            <w:shd w:val="clear" w:color="auto" w:fill="auto"/>
            <w:vAlign w:val="center"/>
          </w:tcPr>
          <w:p w14:paraId="55568C72" w14:textId="77777777" w:rsidR="00F925DD" w:rsidRDefault="00F925DD">
            <w:pPr>
              <w:rPr>
                <w:rFonts w:ascii="Times New Roman" w:hAnsi="Times New Roman"/>
                <w:sz w:val="20"/>
                <w:szCs w:val="20"/>
              </w:rPr>
            </w:pPr>
          </w:p>
        </w:tc>
        <w:tc>
          <w:tcPr>
            <w:tcW w:w="50" w:type="pct"/>
            <w:shd w:val="clear" w:color="auto" w:fill="auto"/>
            <w:vAlign w:val="center"/>
          </w:tcPr>
          <w:p w14:paraId="55568C73" w14:textId="77777777" w:rsidR="00F925DD" w:rsidRDefault="00F925DD">
            <w:pPr>
              <w:rPr>
                <w:rFonts w:ascii="Times New Roman" w:hAnsi="Times New Roman"/>
                <w:sz w:val="20"/>
                <w:szCs w:val="20"/>
              </w:rPr>
            </w:pPr>
          </w:p>
        </w:tc>
        <w:tc>
          <w:tcPr>
            <w:tcW w:w="100" w:type="pct"/>
            <w:shd w:val="clear" w:color="auto" w:fill="auto"/>
            <w:vAlign w:val="center"/>
          </w:tcPr>
          <w:p w14:paraId="55568C74" w14:textId="77777777" w:rsidR="00F925DD" w:rsidRDefault="00F925DD">
            <w:pPr>
              <w:rPr>
                <w:rFonts w:ascii="Times New Roman" w:hAnsi="Times New Roman"/>
                <w:sz w:val="20"/>
                <w:szCs w:val="20"/>
              </w:rPr>
            </w:pPr>
          </w:p>
        </w:tc>
        <w:tc>
          <w:tcPr>
            <w:tcW w:w="50" w:type="pct"/>
            <w:shd w:val="clear" w:color="auto" w:fill="auto"/>
            <w:vAlign w:val="center"/>
          </w:tcPr>
          <w:p w14:paraId="55568C75" w14:textId="77777777" w:rsidR="00F925DD" w:rsidRDefault="00F925DD">
            <w:pPr>
              <w:rPr>
                <w:rFonts w:ascii="Times New Roman" w:hAnsi="Times New Roman"/>
                <w:sz w:val="20"/>
                <w:szCs w:val="20"/>
              </w:rPr>
            </w:pPr>
          </w:p>
        </w:tc>
        <w:tc>
          <w:tcPr>
            <w:tcW w:w="650" w:type="pct"/>
            <w:shd w:val="clear" w:color="auto" w:fill="auto"/>
            <w:vAlign w:val="center"/>
          </w:tcPr>
          <w:p w14:paraId="55568C76" w14:textId="77777777" w:rsidR="00F925DD" w:rsidRDefault="00F925DD">
            <w:pPr>
              <w:rPr>
                <w:rFonts w:ascii="Times New Roman" w:hAnsi="Times New Roman"/>
                <w:sz w:val="20"/>
                <w:szCs w:val="20"/>
              </w:rPr>
            </w:pPr>
          </w:p>
        </w:tc>
        <w:tc>
          <w:tcPr>
            <w:tcW w:w="50" w:type="pct"/>
            <w:shd w:val="clear" w:color="auto" w:fill="auto"/>
            <w:vAlign w:val="center"/>
          </w:tcPr>
          <w:p w14:paraId="55568C77" w14:textId="77777777" w:rsidR="00F925DD" w:rsidRDefault="00F925DD">
            <w:pPr>
              <w:rPr>
                <w:rFonts w:ascii="Times New Roman" w:hAnsi="Times New Roman"/>
                <w:sz w:val="20"/>
                <w:szCs w:val="20"/>
              </w:rPr>
            </w:pPr>
          </w:p>
        </w:tc>
        <w:tc>
          <w:tcPr>
            <w:tcW w:w="100" w:type="pct"/>
            <w:shd w:val="clear" w:color="auto" w:fill="auto"/>
            <w:vAlign w:val="center"/>
          </w:tcPr>
          <w:p w14:paraId="55568C78" w14:textId="77777777" w:rsidR="00F925DD" w:rsidRDefault="00F925DD">
            <w:pPr>
              <w:rPr>
                <w:rFonts w:ascii="Times New Roman" w:hAnsi="Times New Roman"/>
                <w:sz w:val="20"/>
                <w:szCs w:val="20"/>
              </w:rPr>
            </w:pPr>
          </w:p>
        </w:tc>
        <w:tc>
          <w:tcPr>
            <w:tcW w:w="750" w:type="pct"/>
            <w:shd w:val="clear" w:color="auto" w:fill="auto"/>
            <w:vAlign w:val="center"/>
          </w:tcPr>
          <w:p w14:paraId="55568C79" w14:textId="77777777" w:rsidR="00F925DD" w:rsidRDefault="00F925DD">
            <w:pPr>
              <w:rPr>
                <w:rFonts w:ascii="Times New Roman" w:hAnsi="Times New Roman"/>
                <w:sz w:val="20"/>
                <w:szCs w:val="20"/>
              </w:rPr>
            </w:pPr>
          </w:p>
        </w:tc>
        <w:tc>
          <w:tcPr>
            <w:tcW w:w="50" w:type="pct"/>
            <w:shd w:val="clear" w:color="auto" w:fill="auto"/>
            <w:vAlign w:val="center"/>
          </w:tcPr>
          <w:p w14:paraId="55568C7A" w14:textId="77777777" w:rsidR="00F925DD" w:rsidRDefault="00F925DD">
            <w:pPr>
              <w:rPr>
                <w:rFonts w:ascii="Times New Roman" w:hAnsi="Times New Roman"/>
                <w:sz w:val="20"/>
                <w:szCs w:val="20"/>
              </w:rPr>
            </w:pPr>
          </w:p>
        </w:tc>
      </w:tr>
      <w:tr w:rsidR="00F925DD" w14:paraId="55568C7D" w14:textId="77777777">
        <w:tc>
          <w:tcPr>
            <w:tcW w:w="0" w:type="auto"/>
            <w:gridSpan w:val="15"/>
            <w:shd w:val="clear" w:color="auto" w:fill="auto"/>
            <w:tcMar>
              <w:top w:w="40" w:type="dxa"/>
              <w:left w:w="40" w:type="dxa"/>
              <w:bottom w:w="40" w:type="dxa"/>
              <w:right w:w="40" w:type="dxa"/>
            </w:tcMar>
            <w:vAlign w:val="bottom"/>
          </w:tcPr>
          <w:p w14:paraId="55568C7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 xml:space="preserve">TABLE 24: STATE AND </w:t>
            </w:r>
            <w:r>
              <w:rPr>
                <w:rFonts w:ascii="Arial" w:eastAsia="宋体" w:hAnsi="Arial" w:cs="Arial"/>
                <w:b/>
                <w:bCs/>
                <w:sz w:val="16"/>
                <w:szCs w:val="16"/>
              </w:rPr>
              <w:t>MUNICIPAL OBLIGORS</w:t>
            </w:r>
            <w:r>
              <w:rPr>
                <w:rFonts w:ascii="Arial" w:eastAsia="宋体" w:hAnsi="Arial" w:cs="Arial"/>
                <w:b/>
                <w:bCs/>
                <w:sz w:val="10"/>
                <w:szCs w:val="10"/>
              </w:rPr>
              <w:t>(1)</w:t>
            </w:r>
          </w:p>
        </w:tc>
      </w:tr>
      <w:tr w:rsidR="00F925DD" w14:paraId="55568C89" w14:textId="77777777">
        <w:tc>
          <w:tcPr>
            <w:tcW w:w="0" w:type="auto"/>
            <w:shd w:val="clear" w:color="auto" w:fill="auto"/>
            <w:tcMar>
              <w:top w:w="40" w:type="dxa"/>
              <w:left w:w="40" w:type="dxa"/>
              <w:bottom w:w="40" w:type="dxa"/>
              <w:right w:w="40" w:type="dxa"/>
            </w:tcMar>
            <w:vAlign w:val="bottom"/>
          </w:tcPr>
          <w:p w14:paraId="55568C7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C7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 Municipal</w:t>
            </w:r>
            <w:r>
              <w:rPr>
                <w:rFonts w:ascii="Arial" w:eastAsia="宋体" w:hAnsi="Arial" w:cs="Arial"/>
                <w:b/>
                <w:bCs/>
                <w:sz w:val="14"/>
                <w:szCs w:val="14"/>
              </w:rPr>
              <w:br/>
              <w:t>Securities</w:t>
            </w:r>
          </w:p>
        </w:tc>
        <w:tc>
          <w:tcPr>
            <w:tcW w:w="0" w:type="auto"/>
            <w:shd w:val="clear" w:color="auto" w:fill="auto"/>
            <w:tcMar>
              <w:top w:w="40" w:type="dxa"/>
              <w:left w:w="40" w:type="dxa"/>
              <w:bottom w:w="40" w:type="dxa"/>
              <w:right w:w="40" w:type="dxa"/>
            </w:tcMar>
            <w:vAlign w:val="bottom"/>
          </w:tcPr>
          <w:p w14:paraId="55568C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C8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Credit and </w:t>
            </w:r>
          </w:p>
          <w:p w14:paraId="55568C8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Liquidity </w:t>
            </w:r>
          </w:p>
          <w:p w14:paraId="55568C8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Facilities</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55568C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C8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55568C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C8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of Total Municipal</w:t>
            </w:r>
          </w:p>
          <w:p w14:paraId="55568C8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Exposure</w:t>
            </w:r>
          </w:p>
        </w:tc>
      </w:tr>
      <w:tr w:rsidR="00F925DD" w14:paraId="55568C91" w14:textId="77777777">
        <w:tc>
          <w:tcPr>
            <w:tcW w:w="0" w:type="auto"/>
            <w:gridSpan w:val="4"/>
            <w:shd w:val="clear" w:color="auto" w:fill="auto"/>
            <w:tcMar>
              <w:top w:w="40" w:type="dxa"/>
              <w:left w:w="40" w:type="dxa"/>
              <w:bottom w:w="40" w:type="dxa"/>
              <w:right w:w="40" w:type="dxa"/>
            </w:tcMar>
            <w:vAlign w:val="bottom"/>
          </w:tcPr>
          <w:p w14:paraId="55568C8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55568C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C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C99" w14:textId="77777777">
        <w:tc>
          <w:tcPr>
            <w:tcW w:w="0" w:type="auto"/>
            <w:gridSpan w:val="4"/>
            <w:shd w:val="clear" w:color="auto" w:fill="auto"/>
            <w:tcMar>
              <w:top w:w="40" w:type="dxa"/>
              <w:left w:w="40" w:type="dxa"/>
              <w:bottom w:w="40" w:type="dxa"/>
              <w:right w:w="40" w:type="dxa"/>
            </w:tcMar>
            <w:vAlign w:val="bottom"/>
          </w:tcPr>
          <w:p w14:paraId="55568C9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State of Issuer:</w:t>
            </w:r>
          </w:p>
        </w:tc>
        <w:tc>
          <w:tcPr>
            <w:tcW w:w="0" w:type="auto"/>
            <w:shd w:val="clear" w:color="auto" w:fill="auto"/>
            <w:tcMar>
              <w:top w:w="40" w:type="dxa"/>
              <w:left w:w="40" w:type="dxa"/>
              <w:bottom w:w="40" w:type="dxa"/>
              <w:right w:w="40" w:type="dxa"/>
            </w:tcMar>
            <w:vAlign w:val="bottom"/>
          </w:tcPr>
          <w:p w14:paraId="55568C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C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CA9" w14:textId="77777777">
        <w:tc>
          <w:tcPr>
            <w:tcW w:w="0" w:type="auto"/>
            <w:shd w:val="clear" w:color="auto" w:fill="CCEEFF"/>
            <w:tcMar>
              <w:top w:w="40" w:type="dxa"/>
              <w:left w:w="40" w:type="dxa"/>
              <w:bottom w:w="40" w:type="dxa"/>
              <w:right w:w="40" w:type="dxa"/>
            </w:tcMar>
            <w:vAlign w:val="bottom"/>
          </w:tcPr>
          <w:p w14:paraId="55568C9A" w14:textId="77777777" w:rsidR="00F925DD" w:rsidRDefault="00E705D7">
            <w:pPr>
              <w:textAlignment w:val="bottom"/>
              <w:rPr>
                <w:rFonts w:ascii="Times New Roman" w:hAnsi="Times New Roman"/>
                <w:sz w:val="14"/>
                <w:szCs w:val="14"/>
              </w:rPr>
            </w:pPr>
            <w:r>
              <w:rPr>
                <w:rFonts w:ascii="Arial" w:eastAsia="宋体" w:hAnsi="Arial" w:cs="Arial"/>
                <w:sz w:val="14"/>
                <w:szCs w:val="14"/>
              </w:rPr>
              <w:t>Texas</w:t>
            </w:r>
          </w:p>
        </w:tc>
        <w:tc>
          <w:tcPr>
            <w:tcW w:w="0" w:type="auto"/>
            <w:shd w:val="clear" w:color="auto" w:fill="CCEEFF"/>
            <w:tcMar>
              <w:top w:w="40" w:type="dxa"/>
              <w:left w:w="40" w:type="dxa"/>
              <w:bottom w:w="40" w:type="dxa"/>
            </w:tcMar>
            <w:vAlign w:val="bottom"/>
          </w:tcPr>
          <w:p w14:paraId="55568C9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8C9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275</w:t>
            </w:r>
          </w:p>
        </w:tc>
        <w:tc>
          <w:tcPr>
            <w:tcW w:w="0" w:type="auto"/>
            <w:shd w:val="clear" w:color="auto" w:fill="CCEEFF"/>
            <w:vAlign w:val="bottom"/>
          </w:tcPr>
          <w:p w14:paraId="55568C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C9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8CA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2,345</w:t>
            </w:r>
          </w:p>
        </w:tc>
        <w:tc>
          <w:tcPr>
            <w:tcW w:w="0" w:type="auto"/>
            <w:shd w:val="clear" w:color="auto" w:fill="CCEEFF"/>
            <w:vAlign w:val="bottom"/>
          </w:tcPr>
          <w:p w14:paraId="55568CA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CA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8CA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2,620</w:t>
            </w:r>
          </w:p>
        </w:tc>
        <w:tc>
          <w:tcPr>
            <w:tcW w:w="0" w:type="auto"/>
            <w:shd w:val="clear" w:color="auto" w:fill="CCEEFF"/>
            <w:vAlign w:val="bottom"/>
          </w:tcPr>
          <w:p w14:paraId="55568CA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CA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w:t>
            </w:r>
          </w:p>
        </w:tc>
        <w:tc>
          <w:tcPr>
            <w:tcW w:w="0" w:type="auto"/>
            <w:shd w:val="clear" w:color="auto" w:fill="CCEEFF"/>
            <w:tcMar>
              <w:top w:w="40" w:type="dxa"/>
              <w:bottom w:w="40" w:type="dxa"/>
              <w:right w:w="40" w:type="dxa"/>
            </w:tcMar>
            <w:vAlign w:val="bottom"/>
          </w:tcPr>
          <w:p w14:paraId="55568CA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8CB6" w14:textId="77777777">
        <w:tc>
          <w:tcPr>
            <w:tcW w:w="0" w:type="auto"/>
            <w:shd w:val="clear" w:color="auto" w:fill="auto"/>
            <w:tcMar>
              <w:top w:w="40" w:type="dxa"/>
              <w:left w:w="40" w:type="dxa"/>
              <w:bottom w:w="40" w:type="dxa"/>
              <w:right w:w="40" w:type="dxa"/>
            </w:tcMar>
            <w:vAlign w:val="bottom"/>
          </w:tcPr>
          <w:p w14:paraId="55568CAA" w14:textId="77777777" w:rsidR="00F925DD" w:rsidRDefault="00E705D7">
            <w:pPr>
              <w:textAlignment w:val="bottom"/>
              <w:rPr>
                <w:rFonts w:ascii="Times New Roman" w:hAnsi="Times New Roman"/>
                <w:sz w:val="14"/>
                <w:szCs w:val="14"/>
              </w:rPr>
            </w:pPr>
            <w:r>
              <w:rPr>
                <w:rFonts w:ascii="Arial" w:eastAsia="宋体" w:hAnsi="Arial" w:cs="Arial"/>
                <w:sz w:val="14"/>
                <w:szCs w:val="14"/>
              </w:rPr>
              <w:t>California</w:t>
            </w:r>
          </w:p>
        </w:tc>
        <w:tc>
          <w:tcPr>
            <w:tcW w:w="0" w:type="auto"/>
            <w:gridSpan w:val="2"/>
            <w:shd w:val="clear" w:color="auto" w:fill="auto"/>
            <w:tcMar>
              <w:top w:w="40" w:type="dxa"/>
              <w:left w:w="40" w:type="dxa"/>
              <w:bottom w:w="40" w:type="dxa"/>
            </w:tcMar>
            <w:vAlign w:val="bottom"/>
          </w:tcPr>
          <w:p w14:paraId="55568CA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111</w:t>
            </w:r>
          </w:p>
        </w:tc>
        <w:tc>
          <w:tcPr>
            <w:tcW w:w="0" w:type="auto"/>
            <w:shd w:val="clear" w:color="auto" w:fill="auto"/>
            <w:vAlign w:val="bottom"/>
          </w:tcPr>
          <w:p w14:paraId="55568CA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CA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2,114</w:t>
            </w:r>
          </w:p>
        </w:tc>
        <w:tc>
          <w:tcPr>
            <w:tcW w:w="0" w:type="auto"/>
            <w:shd w:val="clear" w:color="auto" w:fill="auto"/>
            <w:vAlign w:val="bottom"/>
          </w:tcPr>
          <w:p w14:paraId="55568CA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CB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2,225</w:t>
            </w:r>
          </w:p>
        </w:tc>
        <w:tc>
          <w:tcPr>
            <w:tcW w:w="0" w:type="auto"/>
            <w:shd w:val="clear" w:color="auto" w:fill="auto"/>
            <w:vAlign w:val="bottom"/>
          </w:tcPr>
          <w:p w14:paraId="55568C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CB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shd w:val="clear" w:color="auto" w:fill="auto"/>
            <w:vAlign w:val="bottom"/>
          </w:tcPr>
          <w:p w14:paraId="55568CB5" w14:textId="77777777" w:rsidR="00F925DD" w:rsidRDefault="00F925DD">
            <w:pPr>
              <w:textAlignment w:val="bottom"/>
              <w:rPr>
                <w:rFonts w:ascii="Times New Roman" w:hAnsi="Times New Roman"/>
                <w:sz w:val="20"/>
                <w:szCs w:val="20"/>
              </w:rPr>
            </w:pPr>
          </w:p>
        </w:tc>
      </w:tr>
      <w:tr w:rsidR="00F925DD" w14:paraId="55568CC3" w14:textId="77777777">
        <w:tc>
          <w:tcPr>
            <w:tcW w:w="0" w:type="auto"/>
            <w:shd w:val="clear" w:color="auto" w:fill="CCEEFF"/>
            <w:tcMar>
              <w:top w:w="40" w:type="dxa"/>
              <w:left w:w="40" w:type="dxa"/>
              <w:bottom w:w="40" w:type="dxa"/>
              <w:right w:w="40" w:type="dxa"/>
            </w:tcMar>
            <w:vAlign w:val="bottom"/>
          </w:tcPr>
          <w:p w14:paraId="55568CB7" w14:textId="77777777" w:rsidR="00F925DD" w:rsidRDefault="00E705D7">
            <w:pPr>
              <w:textAlignment w:val="bottom"/>
              <w:rPr>
                <w:rFonts w:ascii="Times New Roman" w:hAnsi="Times New Roman"/>
                <w:sz w:val="14"/>
                <w:szCs w:val="14"/>
              </w:rPr>
            </w:pPr>
            <w:r>
              <w:rPr>
                <w:rFonts w:ascii="Arial" w:eastAsia="宋体" w:hAnsi="Arial" w:cs="Arial"/>
                <w:sz w:val="14"/>
                <w:szCs w:val="14"/>
              </w:rPr>
              <w:t>New York</w:t>
            </w:r>
          </w:p>
        </w:tc>
        <w:tc>
          <w:tcPr>
            <w:tcW w:w="0" w:type="auto"/>
            <w:gridSpan w:val="2"/>
            <w:shd w:val="clear" w:color="auto" w:fill="CCEEFF"/>
            <w:tcMar>
              <w:top w:w="40" w:type="dxa"/>
              <w:left w:w="40" w:type="dxa"/>
              <w:bottom w:w="40" w:type="dxa"/>
            </w:tcMar>
            <w:vAlign w:val="bottom"/>
          </w:tcPr>
          <w:p w14:paraId="55568CB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283</w:t>
            </w:r>
          </w:p>
        </w:tc>
        <w:tc>
          <w:tcPr>
            <w:tcW w:w="0" w:type="auto"/>
            <w:shd w:val="clear" w:color="auto" w:fill="CCEEFF"/>
            <w:vAlign w:val="bottom"/>
          </w:tcPr>
          <w:p w14:paraId="55568CB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CB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1,531</w:t>
            </w:r>
          </w:p>
        </w:tc>
        <w:tc>
          <w:tcPr>
            <w:tcW w:w="0" w:type="auto"/>
            <w:shd w:val="clear" w:color="auto" w:fill="CCEEFF"/>
            <w:vAlign w:val="bottom"/>
          </w:tcPr>
          <w:p w14:paraId="55568CB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CB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1,814</w:t>
            </w:r>
          </w:p>
        </w:tc>
        <w:tc>
          <w:tcPr>
            <w:tcW w:w="0" w:type="auto"/>
            <w:shd w:val="clear" w:color="auto" w:fill="CCEEFF"/>
            <w:vAlign w:val="bottom"/>
          </w:tcPr>
          <w:p w14:paraId="55568C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CC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shd w:val="clear" w:color="auto" w:fill="CCEEFF"/>
            <w:vAlign w:val="bottom"/>
          </w:tcPr>
          <w:p w14:paraId="55568CC2" w14:textId="77777777" w:rsidR="00F925DD" w:rsidRDefault="00F925DD">
            <w:pPr>
              <w:textAlignment w:val="bottom"/>
              <w:rPr>
                <w:rFonts w:ascii="Times New Roman" w:hAnsi="Times New Roman"/>
                <w:sz w:val="20"/>
                <w:szCs w:val="20"/>
              </w:rPr>
            </w:pPr>
          </w:p>
        </w:tc>
      </w:tr>
      <w:tr w:rsidR="00F925DD" w14:paraId="55568CD0" w14:textId="77777777">
        <w:tc>
          <w:tcPr>
            <w:tcW w:w="0" w:type="auto"/>
            <w:shd w:val="clear" w:color="auto" w:fill="auto"/>
            <w:tcMar>
              <w:top w:w="40" w:type="dxa"/>
              <w:left w:w="40" w:type="dxa"/>
              <w:bottom w:w="40" w:type="dxa"/>
              <w:right w:w="40" w:type="dxa"/>
            </w:tcMar>
            <w:vAlign w:val="bottom"/>
          </w:tcPr>
          <w:p w14:paraId="55568CC4" w14:textId="77777777" w:rsidR="00F925DD" w:rsidRDefault="00E705D7">
            <w:pPr>
              <w:textAlignment w:val="bottom"/>
              <w:rPr>
                <w:rFonts w:ascii="Times New Roman" w:hAnsi="Times New Roman"/>
                <w:sz w:val="14"/>
                <w:szCs w:val="14"/>
              </w:rPr>
            </w:pPr>
            <w:r>
              <w:rPr>
                <w:rFonts w:ascii="Arial" w:eastAsia="宋体" w:hAnsi="Arial" w:cs="Arial"/>
                <w:sz w:val="14"/>
                <w:szCs w:val="14"/>
              </w:rPr>
              <w:t>Massachusetts</w:t>
            </w:r>
          </w:p>
        </w:tc>
        <w:tc>
          <w:tcPr>
            <w:tcW w:w="0" w:type="auto"/>
            <w:gridSpan w:val="2"/>
            <w:shd w:val="clear" w:color="auto" w:fill="auto"/>
            <w:tcMar>
              <w:top w:w="40" w:type="dxa"/>
              <w:left w:w="40" w:type="dxa"/>
              <w:bottom w:w="40" w:type="dxa"/>
            </w:tcMar>
            <w:vAlign w:val="bottom"/>
          </w:tcPr>
          <w:p w14:paraId="55568CC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442</w:t>
            </w:r>
          </w:p>
        </w:tc>
        <w:tc>
          <w:tcPr>
            <w:tcW w:w="0" w:type="auto"/>
            <w:shd w:val="clear" w:color="auto" w:fill="auto"/>
            <w:vAlign w:val="bottom"/>
          </w:tcPr>
          <w:p w14:paraId="55568CC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CC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809</w:t>
            </w:r>
          </w:p>
        </w:tc>
        <w:tc>
          <w:tcPr>
            <w:tcW w:w="0" w:type="auto"/>
            <w:shd w:val="clear" w:color="auto" w:fill="auto"/>
            <w:vAlign w:val="bottom"/>
          </w:tcPr>
          <w:p w14:paraId="55568C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CC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1,251</w:t>
            </w:r>
          </w:p>
        </w:tc>
        <w:tc>
          <w:tcPr>
            <w:tcW w:w="0" w:type="auto"/>
            <w:shd w:val="clear" w:color="auto" w:fill="auto"/>
            <w:vAlign w:val="bottom"/>
          </w:tcPr>
          <w:p w14:paraId="55568CC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C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CC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shd w:val="clear" w:color="auto" w:fill="auto"/>
            <w:vAlign w:val="bottom"/>
          </w:tcPr>
          <w:p w14:paraId="55568CCF" w14:textId="77777777" w:rsidR="00F925DD" w:rsidRDefault="00F925DD">
            <w:pPr>
              <w:textAlignment w:val="bottom"/>
              <w:rPr>
                <w:rFonts w:ascii="Times New Roman" w:hAnsi="Times New Roman"/>
                <w:sz w:val="20"/>
                <w:szCs w:val="20"/>
              </w:rPr>
            </w:pPr>
          </w:p>
        </w:tc>
      </w:tr>
      <w:tr w:rsidR="00F925DD" w14:paraId="55568CDF" w14:textId="77777777">
        <w:tc>
          <w:tcPr>
            <w:tcW w:w="0" w:type="auto"/>
            <w:shd w:val="clear" w:color="auto" w:fill="CCEEFF"/>
            <w:tcMar>
              <w:top w:w="40" w:type="dxa"/>
              <w:left w:w="40" w:type="dxa"/>
              <w:bottom w:w="40" w:type="dxa"/>
              <w:right w:w="40" w:type="dxa"/>
            </w:tcMar>
            <w:vAlign w:val="bottom"/>
          </w:tcPr>
          <w:p w14:paraId="55568CD1"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CD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CD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1,111</w:t>
            </w:r>
          </w:p>
        </w:tc>
        <w:tc>
          <w:tcPr>
            <w:tcW w:w="0" w:type="auto"/>
            <w:tcBorders>
              <w:top w:val="single" w:sz="8" w:space="0" w:color="000000"/>
              <w:bottom w:val="double" w:sz="6" w:space="0" w:color="000000"/>
            </w:tcBorders>
            <w:shd w:val="clear" w:color="auto" w:fill="CCEEFF"/>
            <w:vAlign w:val="bottom"/>
          </w:tcPr>
          <w:p w14:paraId="55568C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CD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CD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6,799</w:t>
            </w:r>
          </w:p>
        </w:tc>
        <w:tc>
          <w:tcPr>
            <w:tcW w:w="0" w:type="auto"/>
            <w:tcBorders>
              <w:top w:val="single" w:sz="8" w:space="0" w:color="000000"/>
              <w:bottom w:val="double" w:sz="6" w:space="0" w:color="000000"/>
            </w:tcBorders>
            <w:shd w:val="clear" w:color="auto" w:fill="CCEEFF"/>
            <w:vAlign w:val="bottom"/>
          </w:tcPr>
          <w:p w14:paraId="55568C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CD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CD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7,910</w:t>
            </w:r>
          </w:p>
        </w:tc>
        <w:tc>
          <w:tcPr>
            <w:tcW w:w="0" w:type="auto"/>
            <w:tcBorders>
              <w:top w:val="single" w:sz="8" w:space="0" w:color="000000"/>
              <w:bottom w:val="double" w:sz="6" w:space="0" w:color="000000"/>
            </w:tcBorders>
            <w:shd w:val="clear" w:color="auto" w:fill="CCEEFF"/>
            <w:vAlign w:val="bottom"/>
          </w:tcPr>
          <w:p w14:paraId="55568CD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C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CE8" w14:textId="77777777">
        <w:tc>
          <w:tcPr>
            <w:tcW w:w="0" w:type="auto"/>
            <w:shd w:val="clear" w:color="auto" w:fill="auto"/>
            <w:tcMar>
              <w:top w:w="40" w:type="dxa"/>
              <w:left w:w="40" w:type="dxa"/>
              <w:bottom w:w="40" w:type="dxa"/>
              <w:right w:w="40" w:type="dxa"/>
            </w:tcMar>
            <w:vAlign w:val="bottom"/>
          </w:tcPr>
          <w:p w14:paraId="55568C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C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CF0" w14:textId="77777777">
        <w:tc>
          <w:tcPr>
            <w:tcW w:w="0" w:type="auto"/>
            <w:gridSpan w:val="4"/>
            <w:shd w:val="clear" w:color="auto" w:fill="auto"/>
            <w:tcMar>
              <w:top w:w="40" w:type="dxa"/>
              <w:left w:w="40" w:type="dxa"/>
              <w:bottom w:w="40" w:type="dxa"/>
              <w:right w:w="40" w:type="dxa"/>
            </w:tcMar>
            <w:vAlign w:val="bottom"/>
          </w:tcPr>
          <w:p w14:paraId="55568CE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December 31, 2018</w:t>
            </w:r>
          </w:p>
        </w:tc>
        <w:tc>
          <w:tcPr>
            <w:tcW w:w="0" w:type="auto"/>
            <w:shd w:val="clear" w:color="auto" w:fill="auto"/>
            <w:tcMar>
              <w:top w:w="40" w:type="dxa"/>
              <w:left w:w="40" w:type="dxa"/>
              <w:bottom w:w="40" w:type="dxa"/>
              <w:right w:w="40" w:type="dxa"/>
            </w:tcMar>
            <w:vAlign w:val="bottom"/>
          </w:tcPr>
          <w:p w14:paraId="55568C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C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CF9" w14:textId="77777777">
        <w:tc>
          <w:tcPr>
            <w:tcW w:w="0" w:type="auto"/>
            <w:shd w:val="clear" w:color="auto" w:fill="auto"/>
            <w:tcMar>
              <w:top w:w="40" w:type="dxa"/>
              <w:left w:w="40" w:type="dxa"/>
              <w:bottom w:w="40" w:type="dxa"/>
              <w:right w:w="40" w:type="dxa"/>
            </w:tcMar>
            <w:vAlign w:val="bottom"/>
          </w:tcPr>
          <w:p w14:paraId="55568CF1" w14:textId="77777777" w:rsidR="00F925DD" w:rsidRDefault="00E705D7">
            <w:pPr>
              <w:jc w:val="both"/>
              <w:textAlignment w:val="bottom"/>
              <w:rPr>
                <w:rFonts w:ascii="Times New Roman" w:hAnsi="Times New Roman"/>
                <w:sz w:val="14"/>
                <w:szCs w:val="14"/>
              </w:rPr>
            </w:pPr>
            <w:r>
              <w:rPr>
                <w:rFonts w:ascii="Arial" w:eastAsia="宋体" w:hAnsi="Arial" w:cs="Arial"/>
                <w:b/>
                <w:bCs/>
                <w:sz w:val="14"/>
                <w:szCs w:val="14"/>
              </w:rPr>
              <w:t>State of Issuer:</w:t>
            </w:r>
          </w:p>
        </w:tc>
        <w:tc>
          <w:tcPr>
            <w:tcW w:w="0" w:type="auto"/>
            <w:gridSpan w:val="3"/>
            <w:shd w:val="clear" w:color="auto" w:fill="auto"/>
            <w:tcMar>
              <w:top w:w="40" w:type="dxa"/>
              <w:left w:w="40" w:type="dxa"/>
              <w:bottom w:w="40" w:type="dxa"/>
              <w:right w:w="40" w:type="dxa"/>
            </w:tcMar>
            <w:vAlign w:val="bottom"/>
          </w:tcPr>
          <w:p w14:paraId="55568C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C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C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C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D09" w14:textId="77777777">
        <w:tc>
          <w:tcPr>
            <w:tcW w:w="0" w:type="auto"/>
            <w:shd w:val="clear" w:color="auto" w:fill="CCEEFF"/>
            <w:tcMar>
              <w:top w:w="40" w:type="dxa"/>
              <w:left w:w="40" w:type="dxa"/>
              <w:bottom w:w="40" w:type="dxa"/>
              <w:right w:w="40" w:type="dxa"/>
            </w:tcMar>
            <w:vAlign w:val="bottom"/>
          </w:tcPr>
          <w:p w14:paraId="55568CFA" w14:textId="77777777" w:rsidR="00F925DD" w:rsidRDefault="00E705D7">
            <w:pPr>
              <w:textAlignment w:val="bottom"/>
              <w:rPr>
                <w:rFonts w:ascii="Times New Roman" w:hAnsi="Times New Roman"/>
                <w:sz w:val="14"/>
                <w:szCs w:val="14"/>
              </w:rPr>
            </w:pPr>
            <w:r>
              <w:rPr>
                <w:rFonts w:ascii="Arial" w:eastAsia="宋体" w:hAnsi="Arial" w:cs="Arial"/>
                <w:sz w:val="14"/>
                <w:szCs w:val="14"/>
              </w:rPr>
              <w:t>Texas</w:t>
            </w:r>
          </w:p>
        </w:tc>
        <w:tc>
          <w:tcPr>
            <w:tcW w:w="0" w:type="auto"/>
            <w:shd w:val="clear" w:color="auto" w:fill="CCEEFF"/>
            <w:tcMar>
              <w:top w:w="40" w:type="dxa"/>
              <w:left w:w="40" w:type="dxa"/>
              <w:bottom w:w="40" w:type="dxa"/>
            </w:tcMar>
            <w:vAlign w:val="bottom"/>
          </w:tcPr>
          <w:p w14:paraId="55568CF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CF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315</w:t>
            </w:r>
          </w:p>
        </w:tc>
        <w:tc>
          <w:tcPr>
            <w:tcW w:w="0" w:type="auto"/>
            <w:shd w:val="clear" w:color="auto" w:fill="CCEEFF"/>
            <w:vAlign w:val="bottom"/>
          </w:tcPr>
          <w:p w14:paraId="55568C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C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CF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D0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2,467</w:t>
            </w:r>
          </w:p>
        </w:tc>
        <w:tc>
          <w:tcPr>
            <w:tcW w:w="0" w:type="auto"/>
            <w:shd w:val="clear" w:color="auto" w:fill="CCEEFF"/>
            <w:vAlign w:val="bottom"/>
          </w:tcPr>
          <w:p w14:paraId="55568D0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D0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8D0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2,782</w:t>
            </w:r>
          </w:p>
        </w:tc>
        <w:tc>
          <w:tcPr>
            <w:tcW w:w="0" w:type="auto"/>
            <w:shd w:val="clear" w:color="auto" w:fill="CCEEFF"/>
            <w:vAlign w:val="bottom"/>
          </w:tcPr>
          <w:p w14:paraId="55568D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D0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w:t>
            </w:r>
          </w:p>
        </w:tc>
        <w:tc>
          <w:tcPr>
            <w:tcW w:w="0" w:type="auto"/>
            <w:shd w:val="clear" w:color="auto" w:fill="CCEEFF"/>
            <w:tcMar>
              <w:top w:w="40" w:type="dxa"/>
              <w:bottom w:w="40" w:type="dxa"/>
              <w:right w:w="40" w:type="dxa"/>
            </w:tcMar>
            <w:vAlign w:val="bottom"/>
          </w:tcPr>
          <w:p w14:paraId="55568D0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8D16" w14:textId="77777777">
        <w:tc>
          <w:tcPr>
            <w:tcW w:w="0" w:type="auto"/>
            <w:shd w:val="clear" w:color="auto" w:fill="auto"/>
            <w:tcMar>
              <w:top w:w="40" w:type="dxa"/>
              <w:left w:w="40" w:type="dxa"/>
              <w:bottom w:w="40" w:type="dxa"/>
              <w:right w:w="40" w:type="dxa"/>
            </w:tcMar>
            <w:vAlign w:val="bottom"/>
          </w:tcPr>
          <w:p w14:paraId="55568D0A" w14:textId="77777777" w:rsidR="00F925DD" w:rsidRDefault="00E705D7">
            <w:pPr>
              <w:textAlignment w:val="bottom"/>
              <w:rPr>
                <w:rFonts w:ascii="Times New Roman" w:hAnsi="Times New Roman"/>
                <w:sz w:val="14"/>
                <w:szCs w:val="14"/>
              </w:rPr>
            </w:pPr>
            <w:r>
              <w:rPr>
                <w:rFonts w:ascii="Arial" w:eastAsia="宋体" w:hAnsi="Arial" w:cs="Arial"/>
                <w:sz w:val="14"/>
                <w:szCs w:val="14"/>
              </w:rPr>
              <w:t>California</w:t>
            </w:r>
          </w:p>
        </w:tc>
        <w:tc>
          <w:tcPr>
            <w:tcW w:w="0" w:type="auto"/>
            <w:gridSpan w:val="2"/>
            <w:shd w:val="clear" w:color="auto" w:fill="auto"/>
            <w:tcMar>
              <w:top w:w="40" w:type="dxa"/>
              <w:left w:w="40" w:type="dxa"/>
              <w:bottom w:w="40" w:type="dxa"/>
            </w:tcMar>
            <w:vAlign w:val="bottom"/>
          </w:tcPr>
          <w:p w14:paraId="55568D0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w:t>
            </w:r>
          </w:p>
        </w:tc>
        <w:tc>
          <w:tcPr>
            <w:tcW w:w="0" w:type="auto"/>
            <w:shd w:val="clear" w:color="auto" w:fill="auto"/>
            <w:vAlign w:val="bottom"/>
          </w:tcPr>
          <w:p w14:paraId="55568D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D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D0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1,693</w:t>
            </w:r>
          </w:p>
        </w:tc>
        <w:tc>
          <w:tcPr>
            <w:tcW w:w="0" w:type="auto"/>
            <w:shd w:val="clear" w:color="auto" w:fill="auto"/>
            <w:vAlign w:val="bottom"/>
          </w:tcPr>
          <w:p w14:paraId="55568D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D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D1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1,801</w:t>
            </w:r>
          </w:p>
        </w:tc>
        <w:tc>
          <w:tcPr>
            <w:tcW w:w="0" w:type="auto"/>
            <w:shd w:val="clear" w:color="auto" w:fill="auto"/>
            <w:vAlign w:val="bottom"/>
          </w:tcPr>
          <w:p w14:paraId="55568D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D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D1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w:t>
            </w:r>
          </w:p>
        </w:tc>
        <w:tc>
          <w:tcPr>
            <w:tcW w:w="0" w:type="auto"/>
            <w:shd w:val="clear" w:color="auto" w:fill="auto"/>
            <w:vAlign w:val="bottom"/>
          </w:tcPr>
          <w:p w14:paraId="55568D15" w14:textId="77777777" w:rsidR="00F925DD" w:rsidRDefault="00F925DD">
            <w:pPr>
              <w:textAlignment w:val="bottom"/>
              <w:rPr>
                <w:rFonts w:ascii="Times New Roman" w:hAnsi="Times New Roman"/>
                <w:sz w:val="20"/>
                <w:szCs w:val="20"/>
              </w:rPr>
            </w:pPr>
          </w:p>
        </w:tc>
      </w:tr>
      <w:tr w:rsidR="00F925DD" w14:paraId="55568D23" w14:textId="77777777">
        <w:tc>
          <w:tcPr>
            <w:tcW w:w="0" w:type="auto"/>
            <w:shd w:val="clear" w:color="auto" w:fill="CCEEFF"/>
            <w:tcMar>
              <w:top w:w="40" w:type="dxa"/>
              <w:left w:w="40" w:type="dxa"/>
              <w:bottom w:w="40" w:type="dxa"/>
              <w:right w:w="40" w:type="dxa"/>
            </w:tcMar>
            <w:vAlign w:val="bottom"/>
          </w:tcPr>
          <w:p w14:paraId="55568D17" w14:textId="77777777" w:rsidR="00F925DD" w:rsidRDefault="00E705D7">
            <w:pPr>
              <w:textAlignment w:val="bottom"/>
              <w:rPr>
                <w:rFonts w:ascii="Times New Roman" w:hAnsi="Times New Roman"/>
                <w:sz w:val="14"/>
                <w:szCs w:val="14"/>
              </w:rPr>
            </w:pPr>
            <w:r>
              <w:rPr>
                <w:rFonts w:ascii="Arial" w:eastAsia="宋体" w:hAnsi="Arial" w:cs="Arial"/>
                <w:sz w:val="14"/>
                <w:szCs w:val="14"/>
              </w:rPr>
              <w:t>New York</w:t>
            </w:r>
          </w:p>
        </w:tc>
        <w:tc>
          <w:tcPr>
            <w:tcW w:w="0" w:type="auto"/>
            <w:gridSpan w:val="2"/>
            <w:shd w:val="clear" w:color="auto" w:fill="CCEEFF"/>
            <w:tcMar>
              <w:top w:w="40" w:type="dxa"/>
              <w:left w:w="40" w:type="dxa"/>
              <w:bottom w:w="40" w:type="dxa"/>
            </w:tcMar>
            <w:vAlign w:val="bottom"/>
          </w:tcPr>
          <w:p w14:paraId="55568D1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231</w:t>
            </w:r>
          </w:p>
        </w:tc>
        <w:tc>
          <w:tcPr>
            <w:tcW w:w="0" w:type="auto"/>
            <w:shd w:val="clear" w:color="auto" w:fill="CCEEFF"/>
            <w:vAlign w:val="bottom"/>
          </w:tcPr>
          <w:p w14:paraId="55568D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D1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1,518</w:t>
            </w:r>
          </w:p>
        </w:tc>
        <w:tc>
          <w:tcPr>
            <w:tcW w:w="0" w:type="auto"/>
            <w:shd w:val="clear" w:color="auto" w:fill="CCEEFF"/>
            <w:vAlign w:val="bottom"/>
          </w:tcPr>
          <w:p w14:paraId="55568D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D1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1,749</w:t>
            </w:r>
          </w:p>
        </w:tc>
        <w:tc>
          <w:tcPr>
            <w:tcW w:w="0" w:type="auto"/>
            <w:shd w:val="clear" w:color="auto" w:fill="CCEEFF"/>
            <w:vAlign w:val="bottom"/>
          </w:tcPr>
          <w:p w14:paraId="55568D1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D2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CCEEFF"/>
            <w:vAlign w:val="bottom"/>
          </w:tcPr>
          <w:p w14:paraId="55568D22" w14:textId="77777777" w:rsidR="00F925DD" w:rsidRDefault="00F925DD">
            <w:pPr>
              <w:textAlignment w:val="bottom"/>
              <w:rPr>
                <w:rFonts w:ascii="Times New Roman" w:hAnsi="Times New Roman"/>
                <w:sz w:val="20"/>
                <w:szCs w:val="20"/>
              </w:rPr>
            </w:pPr>
          </w:p>
        </w:tc>
      </w:tr>
      <w:tr w:rsidR="00F925DD" w14:paraId="55568D30" w14:textId="77777777">
        <w:tc>
          <w:tcPr>
            <w:tcW w:w="0" w:type="auto"/>
            <w:shd w:val="clear" w:color="auto" w:fill="auto"/>
            <w:tcMar>
              <w:top w:w="40" w:type="dxa"/>
              <w:left w:w="40" w:type="dxa"/>
              <w:bottom w:w="40" w:type="dxa"/>
              <w:right w:w="40" w:type="dxa"/>
            </w:tcMar>
            <w:vAlign w:val="bottom"/>
          </w:tcPr>
          <w:p w14:paraId="55568D24" w14:textId="77777777" w:rsidR="00F925DD" w:rsidRDefault="00E705D7">
            <w:pPr>
              <w:textAlignment w:val="bottom"/>
              <w:rPr>
                <w:rFonts w:ascii="Times New Roman" w:hAnsi="Times New Roman"/>
                <w:sz w:val="14"/>
                <w:szCs w:val="14"/>
              </w:rPr>
            </w:pPr>
            <w:r>
              <w:rPr>
                <w:rFonts w:ascii="Arial" w:eastAsia="宋体" w:hAnsi="Arial" w:cs="Arial"/>
                <w:sz w:val="14"/>
                <w:szCs w:val="14"/>
              </w:rPr>
              <w:t>Massachusetts</w:t>
            </w:r>
          </w:p>
        </w:tc>
        <w:tc>
          <w:tcPr>
            <w:tcW w:w="0" w:type="auto"/>
            <w:gridSpan w:val="2"/>
            <w:shd w:val="clear" w:color="auto" w:fill="auto"/>
            <w:tcMar>
              <w:top w:w="40" w:type="dxa"/>
              <w:left w:w="40" w:type="dxa"/>
              <w:bottom w:w="40" w:type="dxa"/>
            </w:tcMar>
            <w:vAlign w:val="bottom"/>
          </w:tcPr>
          <w:p w14:paraId="55568D2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467</w:t>
            </w:r>
          </w:p>
        </w:tc>
        <w:tc>
          <w:tcPr>
            <w:tcW w:w="0" w:type="auto"/>
            <w:shd w:val="clear" w:color="auto" w:fill="auto"/>
            <w:vAlign w:val="bottom"/>
          </w:tcPr>
          <w:p w14:paraId="55568D2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D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D2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978</w:t>
            </w:r>
          </w:p>
        </w:tc>
        <w:tc>
          <w:tcPr>
            <w:tcW w:w="0" w:type="auto"/>
            <w:shd w:val="clear" w:color="auto" w:fill="auto"/>
            <w:vAlign w:val="bottom"/>
          </w:tcPr>
          <w:p w14:paraId="55568D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D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D2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1,445</w:t>
            </w:r>
          </w:p>
        </w:tc>
        <w:tc>
          <w:tcPr>
            <w:tcW w:w="0" w:type="auto"/>
            <w:shd w:val="clear" w:color="auto" w:fill="auto"/>
            <w:vAlign w:val="bottom"/>
          </w:tcPr>
          <w:p w14:paraId="55568D2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D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D2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w:t>
            </w:r>
          </w:p>
        </w:tc>
        <w:tc>
          <w:tcPr>
            <w:tcW w:w="0" w:type="auto"/>
            <w:shd w:val="clear" w:color="auto" w:fill="auto"/>
            <w:vAlign w:val="bottom"/>
          </w:tcPr>
          <w:p w14:paraId="55568D2F" w14:textId="77777777" w:rsidR="00F925DD" w:rsidRDefault="00F925DD">
            <w:pPr>
              <w:textAlignment w:val="bottom"/>
              <w:rPr>
                <w:rFonts w:ascii="Times New Roman" w:hAnsi="Times New Roman"/>
                <w:sz w:val="20"/>
                <w:szCs w:val="20"/>
              </w:rPr>
            </w:pPr>
          </w:p>
        </w:tc>
      </w:tr>
      <w:tr w:rsidR="00F925DD" w14:paraId="55568D3F" w14:textId="77777777">
        <w:tc>
          <w:tcPr>
            <w:tcW w:w="0" w:type="auto"/>
            <w:shd w:val="clear" w:color="auto" w:fill="CCEEFF"/>
            <w:tcMar>
              <w:top w:w="40" w:type="dxa"/>
              <w:left w:w="40" w:type="dxa"/>
              <w:bottom w:w="40" w:type="dxa"/>
              <w:right w:w="40" w:type="dxa"/>
            </w:tcMar>
            <w:vAlign w:val="bottom"/>
          </w:tcPr>
          <w:p w14:paraId="55568D31"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D3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D3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1,121</w:t>
            </w:r>
          </w:p>
        </w:tc>
        <w:tc>
          <w:tcPr>
            <w:tcW w:w="0" w:type="auto"/>
            <w:tcBorders>
              <w:top w:val="single" w:sz="8" w:space="0" w:color="000000"/>
              <w:bottom w:val="double" w:sz="6" w:space="0" w:color="000000"/>
            </w:tcBorders>
            <w:shd w:val="clear" w:color="auto" w:fill="CCEEFF"/>
            <w:vAlign w:val="bottom"/>
          </w:tcPr>
          <w:p w14:paraId="55568D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D3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D3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6,656</w:t>
            </w:r>
          </w:p>
        </w:tc>
        <w:tc>
          <w:tcPr>
            <w:tcW w:w="0" w:type="auto"/>
            <w:tcBorders>
              <w:top w:val="single" w:sz="8" w:space="0" w:color="000000"/>
              <w:bottom w:val="double" w:sz="6" w:space="0" w:color="000000"/>
            </w:tcBorders>
            <w:shd w:val="clear" w:color="auto" w:fill="CCEEFF"/>
            <w:vAlign w:val="bottom"/>
          </w:tcPr>
          <w:p w14:paraId="55568D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8D3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8D3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7,777</w:t>
            </w:r>
          </w:p>
        </w:tc>
        <w:tc>
          <w:tcPr>
            <w:tcW w:w="0" w:type="auto"/>
            <w:tcBorders>
              <w:top w:val="single" w:sz="8" w:space="0" w:color="000000"/>
              <w:bottom w:val="double" w:sz="6" w:space="0" w:color="000000"/>
            </w:tcBorders>
            <w:shd w:val="clear" w:color="auto" w:fill="CCEEFF"/>
            <w:vAlign w:val="bottom"/>
          </w:tcPr>
          <w:p w14:paraId="55568D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D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D40" w14:textId="77777777" w:rsidR="00F925DD" w:rsidRDefault="00F925DD">
      <w:pPr>
        <w:rPr>
          <w:vanish/>
        </w:rPr>
      </w:pPr>
    </w:p>
    <w:tbl>
      <w:tblPr>
        <w:tblW w:w="6360" w:type="dxa"/>
        <w:tblCellMar>
          <w:left w:w="0" w:type="dxa"/>
          <w:right w:w="0" w:type="dxa"/>
        </w:tblCellMar>
        <w:tblLook w:val="04A0" w:firstRow="1" w:lastRow="0" w:firstColumn="1" w:lastColumn="0" w:noHBand="0" w:noVBand="1"/>
      </w:tblPr>
      <w:tblGrid>
        <w:gridCol w:w="3075"/>
        <w:gridCol w:w="130"/>
        <w:gridCol w:w="659"/>
        <w:gridCol w:w="2496"/>
      </w:tblGrid>
      <w:tr w:rsidR="00F925DD" w14:paraId="55568D42" w14:textId="77777777">
        <w:tc>
          <w:tcPr>
            <w:tcW w:w="0" w:type="auto"/>
            <w:gridSpan w:val="4"/>
            <w:shd w:val="clear" w:color="auto" w:fill="auto"/>
            <w:vAlign w:val="center"/>
          </w:tcPr>
          <w:p w14:paraId="55568D41" w14:textId="77777777" w:rsidR="00F925DD" w:rsidRDefault="00F925DD">
            <w:pPr>
              <w:rPr>
                <w:rFonts w:ascii="Times New Roman" w:hAnsi="Times New Roman"/>
                <w:sz w:val="20"/>
                <w:szCs w:val="20"/>
              </w:rPr>
            </w:pPr>
          </w:p>
        </w:tc>
      </w:tr>
      <w:tr w:rsidR="00F925DD" w14:paraId="55568D47" w14:textId="77777777">
        <w:tc>
          <w:tcPr>
            <w:tcW w:w="3080" w:type="dxa"/>
            <w:shd w:val="clear" w:color="auto" w:fill="auto"/>
            <w:vAlign w:val="center"/>
          </w:tcPr>
          <w:p w14:paraId="55568D43" w14:textId="77777777" w:rsidR="00F925DD" w:rsidRDefault="00F925DD">
            <w:pPr>
              <w:rPr>
                <w:rFonts w:ascii="Times New Roman" w:hAnsi="Times New Roman"/>
                <w:sz w:val="20"/>
                <w:szCs w:val="20"/>
              </w:rPr>
            </w:pPr>
          </w:p>
        </w:tc>
        <w:tc>
          <w:tcPr>
            <w:tcW w:w="100" w:type="dxa"/>
            <w:shd w:val="clear" w:color="auto" w:fill="auto"/>
            <w:vAlign w:val="center"/>
          </w:tcPr>
          <w:p w14:paraId="55568D44" w14:textId="77777777" w:rsidR="00F925DD" w:rsidRDefault="00F925DD">
            <w:pPr>
              <w:rPr>
                <w:rFonts w:ascii="Times New Roman" w:hAnsi="Times New Roman"/>
                <w:sz w:val="20"/>
                <w:szCs w:val="20"/>
              </w:rPr>
            </w:pPr>
          </w:p>
        </w:tc>
        <w:tc>
          <w:tcPr>
            <w:tcW w:w="660" w:type="dxa"/>
            <w:shd w:val="clear" w:color="auto" w:fill="auto"/>
            <w:vAlign w:val="center"/>
          </w:tcPr>
          <w:p w14:paraId="55568D45" w14:textId="77777777" w:rsidR="00F925DD" w:rsidRDefault="00F925DD">
            <w:pPr>
              <w:rPr>
                <w:rFonts w:ascii="Times New Roman" w:hAnsi="Times New Roman"/>
                <w:sz w:val="20"/>
                <w:szCs w:val="20"/>
              </w:rPr>
            </w:pPr>
          </w:p>
        </w:tc>
        <w:tc>
          <w:tcPr>
            <w:tcW w:w="2500" w:type="dxa"/>
            <w:shd w:val="clear" w:color="auto" w:fill="auto"/>
            <w:vAlign w:val="center"/>
          </w:tcPr>
          <w:p w14:paraId="55568D46" w14:textId="77777777" w:rsidR="00F925DD" w:rsidRDefault="00F925DD">
            <w:pPr>
              <w:rPr>
                <w:rFonts w:ascii="Times New Roman" w:hAnsi="Times New Roman"/>
                <w:sz w:val="20"/>
                <w:szCs w:val="20"/>
              </w:rPr>
            </w:pPr>
          </w:p>
        </w:tc>
      </w:tr>
      <w:tr w:rsidR="00F925DD" w14:paraId="55568D4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8D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8D4D" w14:textId="77777777" w:rsidR="00F925DD" w:rsidRDefault="00E705D7">
      <w:pPr>
        <w:spacing w:line="288" w:lineRule="auto"/>
        <w:jc w:val="both"/>
        <w:rPr>
          <w:rFonts w:ascii="Times New Roman" w:hAnsi="Times New Roman"/>
          <w:sz w:val="20"/>
          <w:szCs w:val="20"/>
        </w:rPr>
      </w:pPr>
      <w:r>
        <w:rPr>
          <w:rFonts w:ascii="Arial" w:eastAsia="宋体" w:hAnsi="Arial" w:cs="Arial"/>
          <w:sz w:val="13"/>
          <w:szCs w:val="13"/>
        </w:rPr>
        <w:t xml:space="preserve">(1) Represented 5% or more of our </w:t>
      </w:r>
      <w:r>
        <w:rPr>
          <w:rFonts w:ascii="Arial" w:eastAsia="宋体" w:hAnsi="Arial" w:cs="Arial"/>
          <w:sz w:val="13"/>
          <w:szCs w:val="13"/>
        </w:rPr>
        <w:t>aggregate municipal credit exposure of approximately $11.32 billion and $11.35 billion across our businesses as of December 31, 2019 and December 31, 2018, respectively.</w:t>
      </w:r>
    </w:p>
    <w:p w14:paraId="55568D4E"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(2) Includes municipal loans which are also presented within Table 26: U.S. and </w:t>
      </w:r>
      <w:r>
        <w:rPr>
          <w:rFonts w:ascii="Arial" w:eastAsia="宋体" w:hAnsi="Arial" w:cs="Arial"/>
          <w:sz w:val="13"/>
          <w:szCs w:val="13"/>
        </w:rPr>
        <w:t>Non-U.S. Loans and Leases.</w:t>
      </w:r>
    </w:p>
    <w:p w14:paraId="55568D4F" w14:textId="77777777" w:rsidR="00F925DD" w:rsidRDefault="00F925DD">
      <w:pPr>
        <w:rPr>
          <w:rFonts w:ascii="Times New Roman" w:hAnsi="Times New Roman"/>
          <w:sz w:val="20"/>
          <w:szCs w:val="20"/>
        </w:rPr>
      </w:pPr>
    </w:p>
    <w:p w14:paraId="55568D50"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76</w:t>
      </w:r>
    </w:p>
    <w:p w14:paraId="55568D51" w14:textId="77777777" w:rsidR="00F925DD" w:rsidRDefault="00F925DD">
      <w:pPr>
        <w:spacing w:line="288" w:lineRule="auto"/>
        <w:ind w:firstLine="600"/>
        <w:jc w:val="center"/>
        <w:rPr>
          <w:rFonts w:ascii="Times New Roman" w:hAnsi="Times New Roman"/>
          <w:sz w:val="18"/>
          <w:szCs w:val="18"/>
        </w:rPr>
      </w:pPr>
    </w:p>
    <w:p w14:paraId="55568D52" w14:textId="77777777" w:rsidR="00F925DD" w:rsidRDefault="00E705D7">
      <w:r>
        <w:rPr>
          <w:rFonts w:ascii="Times New Roman" w:hAnsi="Times New Roman"/>
          <w:sz w:val="18"/>
          <w:szCs w:val="18"/>
        </w:rPr>
        <w:pict w14:anchorId="55570686">
          <v:rect id="_x0000_i1100" style="width:415.3pt;height:1.5pt" o:hralign="center" o:hrstd="t" o:hr="t" fillcolor="#a0a0a0" stroked="f"/>
        </w:pict>
      </w:r>
    </w:p>
    <w:p w14:paraId="55568D5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8D54"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8D55" w14:textId="77777777" w:rsidR="00F925DD" w:rsidRDefault="00F925DD">
      <w:pPr>
        <w:rPr>
          <w:rFonts w:ascii="Times New Roman" w:hAnsi="Times New Roman"/>
          <w:sz w:val="20"/>
          <w:szCs w:val="20"/>
        </w:rPr>
      </w:pPr>
    </w:p>
    <w:p w14:paraId="55568D5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aggregate municipal securities exposure presented in Table 24: State and Municipal Obligors, was concent</w:t>
      </w:r>
      <w:r>
        <w:rPr>
          <w:rFonts w:ascii="Arial" w:eastAsia="宋体" w:hAnsi="Arial" w:cs="Arial"/>
          <w:sz w:val="20"/>
          <w:szCs w:val="20"/>
        </w:rPr>
        <w:t>rated primarily with highly-rated counterparties, with approximately 83% of the obligors rated “AAA” or “AA” as of December 31, 2019. As of that date, approximately 20% and 79% of our aggregate municipal securities exposure was associated with general obli</w:t>
      </w:r>
      <w:r>
        <w:rPr>
          <w:rFonts w:ascii="Arial" w:eastAsia="宋体" w:hAnsi="Arial" w:cs="Arial"/>
          <w:sz w:val="20"/>
          <w:szCs w:val="20"/>
        </w:rPr>
        <w:t>gation and revenue bonds, respectively. The portfolios are also diversified geographically, with the states that represent our largest exposures widely dispersed across the U.S.</w:t>
      </w:r>
    </w:p>
    <w:p w14:paraId="55568D5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with respect to our assessment of OTTI of our municipal</w:t>
      </w:r>
      <w:r>
        <w:rPr>
          <w:rFonts w:ascii="Arial" w:eastAsia="宋体" w:hAnsi="Arial" w:cs="Arial"/>
          <w:sz w:val="20"/>
          <w:szCs w:val="20"/>
        </w:rPr>
        <w:t xml:space="preserve"> securities is provided in Note 3</w:t>
      </w:r>
      <w:r>
        <w:rPr>
          <w:rFonts w:ascii="Arial" w:eastAsia="宋体" w:hAnsi="Arial" w:cs="Arial"/>
          <w:b/>
          <w:bCs/>
          <w:sz w:val="20"/>
          <w:szCs w:val="20"/>
        </w:rPr>
        <w:t xml:space="preserve"> </w:t>
      </w:r>
      <w:r>
        <w:rPr>
          <w:rFonts w:ascii="Arial" w:eastAsia="宋体" w:hAnsi="Arial" w:cs="Arial"/>
          <w:sz w:val="20"/>
          <w:szCs w:val="20"/>
        </w:rPr>
        <w:t>to the consolidated financial statements in this Form 10-K.</w:t>
      </w:r>
    </w:p>
    <w:tbl>
      <w:tblPr>
        <w:tblW w:w="5000" w:type="pct"/>
        <w:tblCellMar>
          <w:left w:w="0" w:type="dxa"/>
          <w:right w:w="0" w:type="dxa"/>
        </w:tblCellMar>
        <w:tblLook w:val="04A0" w:firstRow="1" w:lastRow="0" w:firstColumn="1" w:lastColumn="0" w:noHBand="0" w:noVBand="1"/>
      </w:tblPr>
      <w:tblGrid>
        <w:gridCol w:w="1847"/>
        <w:gridCol w:w="125"/>
        <w:gridCol w:w="462"/>
        <w:gridCol w:w="92"/>
        <w:gridCol w:w="130"/>
        <w:gridCol w:w="332"/>
        <w:gridCol w:w="174"/>
        <w:gridCol w:w="130"/>
        <w:gridCol w:w="125"/>
        <w:gridCol w:w="462"/>
        <w:gridCol w:w="92"/>
        <w:gridCol w:w="130"/>
        <w:gridCol w:w="332"/>
        <w:gridCol w:w="174"/>
        <w:gridCol w:w="130"/>
        <w:gridCol w:w="125"/>
        <w:gridCol w:w="462"/>
        <w:gridCol w:w="92"/>
        <w:gridCol w:w="130"/>
        <w:gridCol w:w="332"/>
        <w:gridCol w:w="174"/>
        <w:gridCol w:w="130"/>
        <w:gridCol w:w="125"/>
        <w:gridCol w:w="462"/>
        <w:gridCol w:w="92"/>
        <w:gridCol w:w="130"/>
        <w:gridCol w:w="332"/>
        <w:gridCol w:w="174"/>
        <w:gridCol w:w="130"/>
        <w:gridCol w:w="125"/>
        <w:gridCol w:w="462"/>
        <w:gridCol w:w="92"/>
      </w:tblGrid>
      <w:tr w:rsidR="00F925DD" w14:paraId="55568D59" w14:textId="77777777">
        <w:tc>
          <w:tcPr>
            <w:tcW w:w="0" w:type="auto"/>
            <w:gridSpan w:val="32"/>
            <w:shd w:val="clear" w:color="auto" w:fill="auto"/>
            <w:vAlign w:val="center"/>
          </w:tcPr>
          <w:p w14:paraId="55568D58" w14:textId="77777777" w:rsidR="00F925DD" w:rsidRDefault="00F925DD">
            <w:pPr>
              <w:rPr>
                <w:rFonts w:ascii="Times New Roman" w:hAnsi="Times New Roman"/>
                <w:sz w:val="20"/>
                <w:szCs w:val="20"/>
              </w:rPr>
            </w:pPr>
          </w:p>
        </w:tc>
      </w:tr>
      <w:tr w:rsidR="00F925DD" w14:paraId="55568D7A" w14:textId="77777777">
        <w:tc>
          <w:tcPr>
            <w:tcW w:w="1450" w:type="pct"/>
            <w:shd w:val="clear" w:color="auto" w:fill="auto"/>
            <w:vAlign w:val="center"/>
          </w:tcPr>
          <w:p w14:paraId="55568D5A" w14:textId="77777777" w:rsidR="00F925DD" w:rsidRDefault="00F925DD">
            <w:pPr>
              <w:rPr>
                <w:rFonts w:ascii="Times New Roman" w:hAnsi="Times New Roman"/>
                <w:sz w:val="20"/>
                <w:szCs w:val="20"/>
              </w:rPr>
            </w:pPr>
          </w:p>
        </w:tc>
        <w:tc>
          <w:tcPr>
            <w:tcW w:w="50" w:type="pct"/>
            <w:shd w:val="clear" w:color="auto" w:fill="auto"/>
            <w:vAlign w:val="center"/>
          </w:tcPr>
          <w:p w14:paraId="55568D5B" w14:textId="77777777" w:rsidR="00F925DD" w:rsidRDefault="00F925DD">
            <w:pPr>
              <w:rPr>
                <w:rFonts w:ascii="Times New Roman" w:hAnsi="Times New Roman"/>
                <w:sz w:val="20"/>
                <w:szCs w:val="20"/>
              </w:rPr>
            </w:pPr>
          </w:p>
        </w:tc>
        <w:tc>
          <w:tcPr>
            <w:tcW w:w="250" w:type="pct"/>
            <w:shd w:val="clear" w:color="auto" w:fill="auto"/>
            <w:vAlign w:val="center"/>
          </w:tcPr>
          <w:p w14:paraId="55568D5C" w14:textId="77777777" w:rsidR="00F925DD" w:rsidRDefault="00F925DD">
            <w:pPr>
              <w:rPr>
                <w:rFonts w:ascii="Times New Roman" w:hAnsi="Times New Roman"/>
                <w:sz w:val="20"/>
                <w:szCs w:val="20"/>
              </w:rPr>
            </w:pPr>
          </w:p>
        </w:tc>
        <w:tc>
          <w:tcPr>
            <w:tcW w:w="50" w:type="pct"/>
            <w:shd w:val="clear" w:color="auto" w:fill="auto"/>
            <w:vAlign w:val="center"/>
          </w:tcPr>
          <w:p w14:paraId="55568D5D" w14:textId="77777777" w:rsidR="00F925DD" w:rsidRDefault="00F925DD">
            <w:pPr>
              <w:rPr>
                <w:rFonts w:ascii="Times New Roman" w:hAnsi="Times New Roman"/>
                <w:sz w:val="20"/>
                <w:szCs w:val="20"/>
              </w:rPr>
            </w:pPr>
          </w:p>
        </w:tc>
        <w:tc>
          <w:tcPr>
            <w:tcW w:w="50" w:type="pct"/>
            <w:shd w:val="clear" w:color="auto" w:fill="auto"/>
            <w:vAlign w:val="center"/>
          </w:tcPr>
          <w:p w14:paraId="55568D5E" w14:textId="77777777" w:rsidR="00F925DD" w:rsidRDefault="00F925DD">
            <w:pPr>
              <w:rPr>
                <w:rFonts w:ascii="Times New Roman" w:hAnsi="Times New Roman"/>
                <w:sz w:val="20"/>
                <w:szCs w:val="20"/>
              </w:rPr>
            </w:pPr>
          </w:p>
        </w:tc>
        <w:tc>
          <w:tcPr>
            <w:tcW w:w="300" w:type="pct"/>
            <w:shd w:val="clear" w:color="auto" w:fill="auto"/>
            <w:vAlign w:val="center"/>
          </w:tcPr>
          <w:p w14:paraId="55568D5F" w14:textId="77777777" w:rsidR="00F925DD" w:rsidRDefault="00F925DD">
            <w:pPr>
              <w:rPr>
                <w:rFonts w:ascii="Times New Roman" w:hAnsi="Times New Roman"/>
                <w:sz w:val="20"/>
                <w:szCs w:val="20"/>
              </w:rPr>
            </w:pPr>
          </w:p>
        </w:tc>
        <w:tc>
          <w:tcPr>
            <w:tcW w:w="50" w:type="pct"/>
            <w:shd w:val="clear" w:color="auto" w:fill="auto"/>
            <w:vAlign w:val="center"/>
          </w:tcPr>
          <w:p w14:paraId="55568D60" w14:textId="77777777" w:rsidR="00F925DD" w:rsidRDefault="00F925DD">
            <w:pPr>
              <w:rPr>
                <w:rFonts w:ascii="Times New Roman" w:hAnsi="Times New Roman"/>
                <w:sz w:val="20"/>
                <w:szCs w:val="20"/>
              </w:rPr>
            </w:pPr>
          </w:p>
        </w:tc>
        <w:tc>
          <w:tcPr>
            <w:tcW w:w="50" w:type="pct"/>
            <w:shd w:val="clear" w:color="auto" w:fill="auto"/>
            <w:vAlign w:val="center"/>
          </w:tcPr>
          <w:p w14:paraId="55568D61" w14:textId="77777777" w:rsidR="00F925DD" w:rsidRDefault="00F925DD">
            <w:pPr>
              <w:rPr>
                <w:rFonts w:ascii="Times New Roman" w:hAnsi="Times New Roman"/>
                <w:sz w:val="20"/>
                <w:szCs w:val="20"/>
              </w:rPr>
            </w:pPr>
          </w:p>
        </w:tc>
        <w:tc>
          <w:tcPr>
            <w:tcW w:w="50" w:type="pct"/>
            <w:shd w:val="clear" w:color="auto" w:fill="auto"/>
            <w:vAlign w:val="center"/>
          </w:tcPr>
          <w:p w14:paraId="55568D62" w14:textId="77777777" w:rsidR="00F925DD" w:rsidRDefault="00F925DD">
            <w:pPr>
              <w:rPr>
                <w:rFonts w:ascii="Times New Roman" w:hAnsi="Times New Roman"/>
                <w:sz w:val="20"/>
                <w:szCs w:val="20"/>
              </w:rPr>
            </w:pPr>
          </w:p>
        </w:tc>
        <w:tc>
          <w:tcPr>
            <w:tcW w:w="250" w:type="pct"/>
            <w:shd w:val="clear" w:color="auto" w:fill="auto"/>
            <w:vAlign w:val="center"/>
          </w:tcPr>
          <w:p w14:paraId="55568D63" w14:textId="77777777" w:rsidR="00F925DD" w:rsidRDefault="00F925DD">
            <w:pPr>
              <w:rPr>
                <w:rFonts w:ascii="Times New Roman" w:hAnsi="Times New Roman"/>
                <w:sz w:val="20"/>
                <w:szCs w:val="20"/>
              </w:rPr>
            </w:pPr>
          </w:p>
        </w:tc>
        <w:tc>
          <w:tcPr>
            <w:tcW w:w="50" w:type="pct"/>
            <w:shd w:val="clear" w:color="auto" w:fill="auto"/>
            <w:vAlign w:val="center"/>
          </w:tcPr>
          <w:p w14:paraId="55568D64" w14:textId="77777777" w:rsidR="00F925DD" w:rsidRDefault="00F925DD">
            <w:pPr>
              <w:rPr>
                <w:rFonts w:ascii="Times New Roman" w:hAnsi="Times New Roman"/>
                <w:sz w:val="20"/>
                <w:szCs w:val="20"/>
              </w:rPr>
            </w:pPr>
          </w:p>
        </w:tc>
        <w:tc>
          <w:tcPr>
            <w:tcW w:w="50" w:type="pct"/>
            <w:shd w:val="clear" w:color="auto" w:fill="auto"/>
            <w:vAlign w:val="center"/>
          </w:tcPr>
          <w:p w14:paraId="55568D65" w14:textId="77777777" w:rsidR="00F925DD" w:rsidRDefault="00F925DD">
            <w:pPr>
              <w:rPr>
                <w:rFonts w:ascii="Times New Roman" w:hAnsi="Times New Roman"/>
                <w:sz w:val="20"/>
                <w:szCs w:val="20"/>
              </w:rPr>
            </w:pPr>
          </w:p>
        </w:tc>
        <w:tc>
          <w:tcPr>
            <w:tcW w:w="300" w:type="pct"/>
            <w:shd w:val="clear" w:color="auto" w:fill="auto"/>
            <w:vAlign w:val="center"/>
          </w:tcPr>
          <w:p w14:paraId="55568D66" w14:textId="77777777" w:rsidR="00F925DD" w:rsidRDefault="00F925DD">
            <w:pPr>
              <w:rPr>
                <w:rFonts w:ascii="Times New Roman" w:hAnsi="Times New Roman"/>
                <w:sz w:val="20"/>
                <w:szCs w:val="20"/>
              </w:rPr>
            </w:pPr>
          </w:p>
        </w:tc>
        <w:tc>
          <w:tcPr>
            <w:tcW w:w="50" w:type="pct"/>
            <w:shd w:val="clear" w:color="auto" w:fill="auto"/>
            <w:vAlign w:val="center"/>
          </w:tcPr>
          <w:p w14:paraId="55568D67" w14:textId="77777777" w:rsidR="00F925DD" w:rsidRDefault="00F925DD">
            <w:pPr>
              <w:rPr>
                <w:rFonts w:ascii="Times New Roman" w:hAnsi="Times New Roman"/>
                <w:sz w:val="20"/>
                <w:szCs w:val="20"/>
              </w:rPr>
            </w:pPr>
          </w:p>
        </w:tc>
        <w:tc>
          <w:tcPr>
            <w:tcW w:w="50" w:type="pct"/>
            <w:shd w:val="clear" w:color="auto" w:fill="auto"/>
            <w:vAlign w:val="center"/>
          </w:tcPr>
          <w:p w14:paraId="55568D68" w14:textId="77777777" w:rsidR="00F925DD" w:rsidRDefault="00F925DD">
            <w:pPr>
              <w:rPr>
                <w:rFonts w:ascii="Times New Roman" w:hAnsi="Times New Roman"/>
                <w:sz w:val="20"/>
                <w:szCs w:val="20"/>
              </w:rPr>
            </w:pPr>
          </w:p>
        </w:tc>
        <w:tc>
          <w:tcPr>
            <w:tcW w:w="50" w:type="pct"/>
            <w:shd w:val="clear" w:color="auto" w:fill="auto"/>
            <w:vAlign w:val="center"/>
          </w:tcPr>
          <w:p w14:paraId="55568D69" w14:textId="77777777" w:rsidR="00F925DD" w:rsidRDefault="00F925DD">
            <w:pPr>
              <w:rPr>
                <w:rFonts w:ascii="Times New Roman" w:hAnsi="Times New Roman"/>
                <w:sz w:val="20"/>
                <w:szCs w:val="20"/>
              </w:rPr>
            </w:pPr>
          </w:p>
        </w:tc>
        <w:tc>
          <w:tcPr>
            <w:tcW w:w="250" w:type="pct"/>
            <w:shd w:val="clear" w:color="auto" w:fill="auto"/>
            <w:vAlign w:val="center"/>
          </w:tcPr>
          <w:p w14:paraId="55568D6A" w14:textId="77777777" w:rsidR="00F925DD" w:rsidRDefault="00F925DD">
            <w:pPr>
              <w:rPr>
                <w:rFonts w:ascii="Times New Roman" w:hAnsi="Times New Roman"/>
                <w:sz w:val="20"/>
                <w:szCs w:val="20"/>
              </w:rPr>
            </w:pPr>
          </w:p>
        </w:tc>
        <w:tc>
          <w:tcPr>
            <w:tcW w:w="50" w:type="pct"/>
            <w:shd w:val="clear" w:color="auto" w:fill="auto"/>
            <w:vAlign w:val="center"/>
          </w:tcPr>
          <w:p w14:paraId="55568D6B" w14:textId="77777777" w:rsidR="00F925DD" w:rsidRDefault="00F925DD">
            <w:pPr>
              <w:rPr>
                <w:rFonts w:ascii="Times New Roman" w:hAnsi="Times New Roman"/>
                <w:sz w:val="20"/>
                <w:szCs w:val="20"/>
              </w:rPr>
            </w:pPr>
          </w:p>
        </w:tc>
        <w:tc>
          <w:tcPr>
            <w:tcW w:w="50" w:type="pct"/>
            <w:shd w:val="clear" w:color="auto" w:fill="auto"/>
            <w:vAlign w:val="center"/>
          </w:tcPr>
          <w:p w14:paraId="55568D6C" w14:textId="77777777" w:rsidR="00F925DD" w:rsidRDefault="00F925DD">
            <w:pPr>
              <w:rPr>
                <w:rFonts w:ascii="Times New Roman" w:hAnsi="Times New Roman"/>
                <w:sz w:val="20"/>
                <w:szCs w:val="20"/>
              </w:rPr>
            </w:pPr>
          </w:p>
        </w:tc>
        <w:tc>
          <w:tcPr>
            <w:tcW w:w="300" w:type="pct"/>
            <w:shd w:val="clear" w:color="auto" w:fill="auto"/>
            <w:vAlign w:val="center"/>
          </w:tcPr>
          <w:p w14:paraId="55568D6D" w14:textId="77777777" w:rsidR="00F925DD" w:rsidRDefault="00F925DD">
            <w:pPr>
              <w:rPr>
                <w:rFonts w:ascii="Times New Roman" w:hAnsi="Times New Roman"/>
                <w:sz w:val="20"/>
                <w:szCs w:val="20"/>
              </w:rPr>
            </w:pPr>
          </w:p>
        </w:tc>
        <w:tc>
          <w:tcPr>
            <w:tcW w:w="50" w:type="pct"/>
            <w:shd w:val="clear" w:color="auto" w:fill="auto"/>
            <w:vAlign w:val="center"/>
          </w:tcPr>
          <w:p w14:paraId="55568D6E" w14:textId="77777777" w:rsidR="00F925DD" w:rsidRDefault="00F925DD">
            <w:pPr>
              <w:rPr>
                <w:rFonts w:ascii="Times New Roman" w:hAnsi="Times New Roman"/>
                <w:sz w:val="20"/>
                <w:szCs w:val="20"/>
              </w:rPr>
            </w:pPr>
          </w:p>
        </w:tc>
        <w:tc>
          <w:tcPr>
            <w:tcW w:w="50" w:type="pct"/>
            <w:shd w:val="clear" w:color="auto" w:fill="auto"/>
            <w:vAlign w:val="center"/>
          </w:tcPr>
          <w:p w14:paraId="55568D6F" w14:textId="77777777" w:rsidR="00F925DD" w:rsidRDefault="00F925DD">
            <w:pPr>
              <w:rPr>
                <w:rFonts w:ascii="Times New Roman" w:hAnsi="Times New Roman"/>
                <w:sz w:val="20"/>
                <w:szCs w:val="20"/>
              </w:rPr>
            </w:pPr>
          </w:p>
        </w:tc>
        <w:tc>
          <w:tcPr>
            <w:tcW w:w="50" w:type="pct"/>
            <w:shd w:val="clear" w:color="auto" w:fill="auto"/>
            <w:vAlign w:val="center"/>
          </w:tcPr>
          <w:p w14:paraId="55568D70" w14:textId="77777777" w:rsidR="00F925DD" w:rsidRDefault="00F925DD">
            <w:pPr>
              <w:rPr>
                <w:rFonts w:ascii="Times New Roman" w:hAnsi="Times New Roman"/>
                <w:sz w:val="20"/>
                <w:szCs w:val="20"/>
              </w:rPr>
            </w:pPr>
          </w:p>
        </w:tc>
        <w:tc>
          <w:tcPr>
            <w:tcW w:w="250" w:type="pct"/>
            <w:shd w:val="clear" w:color="auto" w:fill="auto"/>
            <w:vAlign w:val="center"/>
          </w:tcPr>
          <w:p w14:paraId="55568D71" w14:textId="77777777" w:rsidR="00F925DD" w:rsidRDefault="00F925DD">
            <w:pPr>
              <w:rPr>
                <w:rFonts w:ascii="Times New Roman" w:hAnsi="Times New Roman"/>
                <w:sz w:val="20"/>
                <w:szCs w:val="20"/>
              </w:rPr>
            </w:pPr>
          </w:p>
        </w:tc>
        <w:tc>
          <w:tcPr>
            <w:tcW w:w="50" w:type="pct"/>
            <w:shd w:val="clear" w:color="auto" w:fill="auto"/>
            <w:vAlign w:val="center"/>
          </w:tcPr>
          <w:p w14:paraId="55568D72" w14:textId="77777777" w:rsidR="00F925DD" w:rsidRDefault="00F925DD">
            <w:pPr>
              <w:rPr>
                <w:rFonts w:ascii="Times New Roman" w:hAnsi="Times New Roman"/>
                <w:sz w:val="20"/>
                <w:szCs w:val="20"/>
              </w:rPr>
            </w:pPr>
          </w:p>
        </w:tc>
        <w:tc>
          <w:tcPr>
            <w:tcW w:w="50" w:type="pct"/>
            <w:shd w:val="clear" w:color="auto" w:fill="auto"/>
            <w:vAlign w:val="center"/>
          </w:tcPr>
          <w:p w14:paraId="55568D73" w14:textId="77777777" w:rsidR="00F925DD" w:rsidRDefault="00F925DD">
            <w:pPr>
              <w:rPr>
                <w:rFonts w:ascii="Times New Roman" w:hAnsi="Times New Roman"/>
                <w:sz w:val="20"/>
                <w:szCs w:val="20"/>
              </w:rPr>
            </w:pPr>
          </w:p>
        </w:tc>
        <w:tc>
          <w:tcPr>
            <w:tcW w:w="300" w:type="pct"/>
            <w:shd w:val="clear" w:color="auto" w:fill="auto"/>
            <w:vAlign w:val="center"/>
          </w:tcPr>
          <w:p w14:paraId="55568D74" w14:textId="77777777" w:rsidR="00F925DD" w:rsidRDefault="00F925DD">
            <w:pPr>
              <w:rPr>
                <w:rFonts w:ascii="Times New Roman" w:hAnsi="Times New Roman"/>
                <w:sz w:val="20"/>
                <w:szCs w:val="20"/>
              </w:rPr>
            </w:pPr>
          </w:p>
        </w:tc>
        <w:tc>
          <w:tcPr>
            <w:tcW w:w="50" w:type="pct"/>
            <w:shd w:val="clear" w:color="auto" w:fill="auto"/>
            <w:vAlign w:val="center"/>
          </w:tcPr>
          <w:p w14:paraId="55568D75" w14:textId="77777777" w:rsidR="00F925DD" w:rsidRDefault="00F925DD">
            <w:pPr>
              <w:rPr>
                <w:rFonts w:ascii="Times New Roman" w:hAnsi="Times New Roman"/>
                <w:sz w:val="20"/>
                <w:szCs w:val="20"/>
              </w:rPr>
            </w:pPr>
          </w:p>
        </w:tc>
        <w:tc>
          <w:tcPr>
            <w:tcW w:w="50" w:type="pct"/>
            <w:shd w:val="clear" w:color="auto" w:fill="auto"/>
            <w:vAlign w:val="center"/>
          </w:tcPr>
          <w:p w14:paraId="55568D76" w14:textId="77777777" w:rsidR="00F925DD" w:rsidRDefault="00F925DD">
            <w:pPr>
              <w:rPr>
                <w:rFonts w:ascii="Times New Roman" w:hAnsi="Times New Roman"/>
                <w:sz w:val="20"/>
                <w:szCs w:val="20"/>
              </w:rPr>
            </w:pPr>
          </w:p>
        </w:tc>
        <w:tc>
          <w:tcPr>
            <w:tcW w:w="50" w:type="pct"/>
            <w:shd w:val="clear" w:color="auto" w:fill="auto"/>
            <w:vAlign w:val="center"/>
          </w:tcPr>
          <w:p w14:paraId="55568D77" w14:textId="77777777" w:rsidR="00F925DD" w:rsidRDefault="00F925DD">
            <w:pPr>
              <w:rPr>
                <w:rFonts w:ascii="Times New Roman" w:hAnsi="Times New Roman"/>
                <w:sz w:val="20"/>
                <w:szCs w:val="20"/>
              </w:rPr>
            </w:pPr>
          </w:p>
        </w:tc>
        <w:tc>
          <w:tcPr>
            <w:tcW w:w="250" w:type="pct"/>
            <w:shd w:val="clear" w:color="auto" w:fill="auto"/>
            <w:vAlign w:val="center"/>
          </w:tcPr>
          <w:p w14:paraId="55568D78" w14:textId="77777777" w:rsidR="00F925DD" w:rsidRDefault="00F925DD">
            <w:pPr>
              <w:rPr>
                <w:rFonts w:ascii="Times New Roman" w:hAnsi="Times New Roman"/>
                <w:sz w:val="20"/>
                <w:szCs w:val="20"/>
              </w:rPr>
            </w:pPr>
          </w:p>
        </w:tc>
        <w:tc>
          <w:tcPr>
            <w:tcW w:w="50" w:type="pct"/>
            <w:shd w:val="clear" w:color="auto" w:fill="auto"/>
            <w:vAlign w:val="center"/>
          </w:tcPr>
          <w:p w14:paraId="55568D79" w14:textId="77777777" w:rsidR="00F925DD" w:rsidRDefault="00F925DD">
            <w:pPr>
              <w:rPr>
                <w:rFonts w:ascii="Times New Roman" w:hAnsi="Times New Roman"/>
                <w:sz w:val="20"/>
                <w:szCs w:val="20"/>
              </w:rPr>
            </w:pPr>
          </w:p>
        </w:tc>
      </w:tr>
      <w:tr w:rsidR="00F925DD" w14:paraId="55568D7C" w14:textId="77777777">
        <w:tc>
          <w:tcPr>
            <w:tcW w:w="0" w:type="auto"/>
            <w:gridSpan w:val="32"/>
            <w:shd w:val="clear" w:color="auto" w:fill="auto"/>
            <w:tcMar>
              <w:top w:w="40" w:type="dxa"/>
              <w:left w:w="40" w:type="dxa"/>
              <w:bottom w:w="40" w:type="dxa"/>
              <w:right w:w="40" w:type="dxa"/>
            </w:tcMar>
            <w:vAlign w:val="bottom"/>
          </w:tcPr>
          <w:p w14:paraId="55568D7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25: CONTRACTUAL MATURITIES AND YIELDS</w:t>
            </w:r>
          </w:p>
        </w:tc>
      </w:tr>
      <w:tr w:rsidR="00F925DD" w14:paraId="55568D8F" w14:textId="77777777">
        <w:tc>
          <w:tcPr>
            <w:tcW w:w="0" w:type="auto"/>
            <w:shd w:val="clear" w:color="auto" w:fill="auto"/>
            <w:tcMar>
              <w:top w:w="40" w:type="dxa"/>
              <w:left w:w="40" w:type="dxa"/>
              <w:bottom w:w="40" w:type="dxa"/>
              <w:right w:w="40" w:type="dxa"/>
            </w:tcMar>
            <w:vAlign w:val="bottom"/>
          </w:tcPr>
          <w:p w14:paraId="55568D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D9A" w14:textId="77777777">
        <w:tc>
          <w:tcPr>
            <w:tcW w:w="0" w:type="auto"/>
            <w:shd w:val="clear" w:color="auto" w:fill="auto"/>
            <w:tcMar>
              <w:top w:w="40" w:type="dxa"/>
              <w:left w:w="40" w:type="dxa"/>
              <w:bottom w:w="40" w:type="dxa"/>
              <w:right w:w="40" w:type="dxa"/>
            </w:tcMar>
            <w:vAlign w:val="bottom"/>
          </w:tcPr>
          <w:p w14:paraId="55568D9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As of December 31, 2019</w:t>
            </w:r>
          </w:p>
        </w:tc>
        <w:tc>
          <w:tcPr>
            <w:tcW w:w="0" w:type="auto"/>
            <w:gridSpan w:val="6"/>
            <w:tcBorders>
              <w:bottom w:val="single" w:sz="8" w:space="0" w:color="000000"/>
            </w:tcBorders>
            <w:shd w:val="clear" w:color="auto" w:fill="auto"/>
            <w:tcMar>
              <w:top w:w="40" w:type="dxa"/>
              <w:left w:w="40" w:type="dxa"/>
              <w:bottom w:w="40" w:type="dxa"/>
            </w:tcMar>
            <w:vAlign w:val="bottom"/>
          </w:tcPr>
          <w:p w14:paraId="55568D9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Under 1 Year</w:t>
            </w:r>
          </w:p>
        </w:tc>
        <w:tc>
          <w:tcPr>
            <w:tcW w:w="0" w:type="auto"/>
            <w:shd w:val="clear" w:color="auto" w:fill="auto"/>
            <w:tcMar>
              <w:top w:w="40" w:type="dxa"/>
              <w:left w:w="40" w:type="dxa"/>
              <w:bottom w:w="40" w:type="dxa"/>
              <w:right w:w="40" w:type="dxa"/>
            </w:tcMar>
            <w:vAlign w:val="bottom"/>
          </w:tcPr>
          <w:p w14:paraId="55568D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5568D9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1 to 5 Years</w:t>
            </w:r>
          </w:p>
        </w:tc>
        <w:tc>
          <w:tcPr>
            <w:tcW w:w="0" w:type="auto"/>
            <w:shd w:val="clear" w:color="auto" w:fill="auto"/>
            <w:tcMar>
              <w:top w:w="40" w:type="dxa"/>
              <w:left w:w="40" w:type="dxa"/>
              <w:bottom w:w="40" w:type="dxa"/>
              <w:right w:w="40" w:type="dxa"/>
            </w:tcMar>
            <w:vAlign w:val="bottom"/>
          </w:tcPr>
          <w:p w14:paraId="55568D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5568D9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6 to 10 </w:t>
            </w:r>
            <w:r>
              <w:rPr>
                <w:rFonts w:ascii="Arial" w:eastAsia="宋体" w:hAnsi="Arial" w:cs="Arial"/>
                <w:b/>
                <w:bCs/>
                <w:sz w:val="15"/>
                <w:szCs w:val="15"/>
              </w:rPr>
              <w:t>Years</w:t>
            </w:r>
          </w:p>
        </w:tc>
        <w:tc>
          <w:tcPr>
            <w:tcW w:w="0" w:type="auto"/>
            <w:shd w:val="clear" w:color="auto" w:fill="auto"/>
            <w:tcMar>
              <w:top w:w="40" w:type="dxa"/>
              <w:left w:w="40" w:type="dxa"/>
              <w:bottom w:w="40" w:type="dxa"/>
              <w:right w:w="40" w:type="dxa"/>
            </w:tcMar>
            <w:vAlign w:val="bottom"/>
          </w:tcPr>
          <w:p w14:paraId="55568D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5568D9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Over 10 Years</w:t>
            </w:r>
          </w:p>
        </w:tc>
        <w:tc>
          <w:tcPr>
            <w:tcW w:w="0" w:type="auto"/>
            <w:shd w:val="clear" w:color="auto" w:fill="auto"/>
            <w:tcMar>
              <w:top w:w="40" w:type="dxa"/>
              <w:left w:w="40" w:type="dxa"/>
              <w:bottom w:w="40" w:type="dxa"/>
              <w:right w:w="40" w:type="dxa"/>
            </w:tcMar>
            <w:vAlign w:val="bottom"/>
          </w:tcPr>
          <w:p w14:paraId="55568D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D9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r>
      <w:tr w:rsidR="00F925DD" w14:paraId="55568DAD" w14:textId="77777777">
        <w:tc>
          <w:tcPr>
            <w:tcW w:w="0" w:type="auto"/>
            <w:shd w:val="clear" w:color="auto" w:fill="auto"/>
            <w:tcMar>
              <w:top w:w="40" w:type="dxa"/>
              <w:left w:w="40" w:type="dxa"/>
              <w:bottom w:w="40" w:type="dxa"/>
              <w:right w:w="40" w:type="dxa"/>
            </w:tcMar>
            <w:vAlign w:val="bottom"/>
          </w:tcPr>
          <w:p w14:paraId="55568D9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D9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Amount</w:t>
            </w:r>
          </w:p>
        </w:tc>
        <w:tc>
          <w:tcPr>
            <w:tcW w:w="0" w:type="auto"/>
            <w:shd w:val="clear" w:color="auto" w:fill="auto"/>
            <w:tcMar>
              <w:top w:w="40" w:type="dxa"/>
              <w:left w:w="40" w:type="dxa"/>
              <w:bottom w:w="40" w:type="dxa"/>
              <w:right w:w="40" w:type="dxa"/>
            </w:tcMar>
            <w:vAlign w:val="bottom"/>
          </w:tcPr>
          <w:p w14:paraId="55568D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D9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Yield</w:t>
            </w:r>
          </w:p>
        </w:tc>
        <w:tc>
          <w:tcPr>
            <w:tcW w:w="0" w:type="auto"/>
            <w:shd w:val="clear" w:color="auto" w:fill="auto"/>
            <w:tcMar>
              <w:top w:w="40" w:type="dxa"/>
              <w:left w:w="40" w:type="dxa"/>
              <w:bottom w:w="40" w:type="dxa"/>
              <w:right w:w="40" w:type="dxa"/>
            </w:tcMar>
            <w:vAlign w:val="bottom"/>
          </w:tcPr>
          <w:p w14:paraId="55568D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DA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Amount</w:t>
            </w:r>
          </w:p>
        </w:tc>
        <w:tc>
          <w:tcPr>
            <w:tcW w:w="0" w:type="auto"/>
            <w:shd w:val="clear" w:color="auto" w:fill="auto"/>
            <w:tcMar>
              <w:top w:w="40" w:type="dxa"/>
              <w:left w:w="40" w:type="dxa"/>
              <w:bottom w:w="40" w:type="dxa"/>
              <w:right w:w="40" w:type="dxa"/>
            </w:tcMar>
            <w:vAlign w:val="bottom"/>
          </w:tcPr>
          <w:p w14:paraId="55568D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DA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Yield</w:t>
            </w:r>
          </w:p>
        </w:tc>
        <w:tc>
          <w:tcPr>
            <w:tcW w:w="0" w:type="auto"/>
            <w:shd w:val="clear" w:color="auto" w:fill="auto"/>
            <w:tcMar>
              <w:top w:w="40" w:type="dxa"/>
              <w:left w:w="40" w:type="dxa"/>
              <w:bottom w:w="40" w:type="dxa"/>
              <w:right w:w="40" w:type="dxa"/>
            </w:tcMar>
            <w:vAlign w:val="bottom"/>
          </w:tcPr>
          <w:p w14:paraId="55568D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DA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Amount</w:t>
            </w:r>
          </w:p>
        </w:tc>
        <w:tc>
          <w:tcPr>
            <w:tcW w:w="0" w:type="auto"/>
            <w:shd w:val="clear" w:color="auto" w:fill="auto"/>
            <w:tcMar>
              <w:top w:w="40" w:type="dxa"/>
              <w:left w:w="40" w:type="dxa"/>
              <w:bottom w:w="40" w:type="dxa"/>
              <w:right w:w="40" w:type="dxa"/>
            </w:tcMar>
            <w:vAlign w:val="bottom"/>
          </w:tcPr>
          <w:p w14:paraId="55568D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DA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Yield</w:t>
            </w:r>
          </w:p>
        </w:tc>
        <w:tc>
          <w:tcPr>
            <w:tcW w:w="0" w:type="auto"/>
            <w:shd w:val="clear" w:color="auto" w:fill="auto"/>
            <w:tcMar>
              <w:top w:w="40" w:type="dxa"/>
              <w:left w:w="40" w:type="dxa"/>
              <w:bottom w:w="40" w:type="dxa"/>
              <w:right w:w="40" w:type="dxa"/>
            </w:tcMar>
            <w:vAlign w:val="bottom"/>
          </w:tcPr>
          <w:p w14:paraId="55568D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DA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Amount</w:t>
            </w:r>
          </w:p>
        </w:tc>
        <w:tc>
          <w:tcPr>
            <w:tcW w:w="0" w:type="auto"/>
            <w:shd w:val="clear" w:color="auto" w:fill="auto"/>
            <w:tcMar>
              <w:top w:w="40" w:type="dxa"/>
              <w:left w:w="40" w:type="dxa"/>
              <w:bottom w:w="40" w:type="dxa"/>
              <w:right w:w="40" w:type="dxa"/>
            </w:tcMar>
            <w:vAlign w:val="bottom"/>
          </w:tcPr>
          <w:p w14:paraId="55568D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8DA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Yield</w:t>
            </w:r>
          </w:p>
        </w:tc>
        <w:tc>
          <w:tcPr>
            <w:tcW w:w="0" w:type="auto"/>
            <w:shd w:val="clear" w:color="auto" w:fill="auto"/>
            <w:tcMar>
              <w:top w:w="40" w:type="dxa"/>
              <w:left w:w="40" w:type="dxa"/>
              <w:bottom w:w="40" w:type="dxa"/>
              <w:right w:w="40" w:type="dxa"/>
            </w:tcMar>
            <w:vAlign w:val="bottom"/>
          </w:tcPr>
          <w:p w14:paraId="55568D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8DA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Amount</w:t>
            </w:r>
          </w:p>
        </w:tc>
      </w:tr>
      <w:tr w:rsidR="00F925DD" w14:paraId="55568DC0" w14:textId="77777777">
        <w:tc>
          <w:tcPr>
            <w:tcW w:w="0" w:type="auto"/>
            <w:shd w:val="clear" w:color="auto" w:fill="auto"/>
            <w:tcMar>
              <w:top w:w="40" w:type="dxa"/>
              <w:left w:w="40" w:type="dxa"/>
              <w:bottom w:w="40" w:type="dxa"/>
              <w:right w:w="40" w:type="dxa"/>
            </w:tcMar>
            <w:vAlign w:val="bottom"/>
          </w:tcPr>
          <w:p w14:paraId="55568DA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Available-for-sale(1):</w:t>
            </w:r>
          </w:p>
        </w:tc>
        <w:tc>
          <w:tcPr>
            <w:tcW w:w="0" w:type="auto"/>
            <w:gridSpan w:val="3"/>
            <w:shd w:val="clear" w:color="auto" w:fill="auto"/>
            <w:tcMar>
              <w:top w:w="40" w:type="dxa"/>
              <w:left w:w="40" w:type="dxa"/>
              <w:bottom w:w="40" w:type="dxa"/>
              <w:right w:w="40" w:type="dxa"/>
            </w:tcMar>
            <w:vAlign w:val="bottom"/>
          </w:tcPr>
          <w:p w14:paraId="55568D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DD3" w14:textId="77777777">
        <w:tc>
          <w:tcPr>
            <w:tcW w:w="0" w:type="auto"/>
            <w:shd w:val="clear" w:color="auto" w:fill="auto"/>
            <w:tcMar>
              <w:top w:w="40" w:type="dxa"/>
              <w:left w:w="40" w:type="dxa"/>
              <w:bottom w:w="40" w:type="dxa"/>
              <w:right w:w="40" w:type="dxa"/>
            </w:tcMar>
            <w:vAlign w:val="bottom"/>
          </w:tcPr>
          <w:p w14:paraId="55568DC1" w14:textId="77777777" w:rsidR="00F925DD" w:rsidRDefault="00E705D7">
            <w:pPr>
              <w:jc w:val="both"/>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55568D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D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D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D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8DF3" w14:textId="77777777">
        <w:tc>
          <w:tcPr>
            <w:tcW w:w="0" w:type="auto"/>
            <w:shd w:val="clear" w:color="auto" w:fill="CCEEFF"/>
            <w:tcMar>
              <w:top w:w="40" w:type="dxa"/>
              <w:left w:w="40" w:type="dxa"/>
              <w:bottom w:w="40" w:type="dxa"/>
              <w:right w:w="40" w:type="dxa"/>
            </w:tcMar>
            <w:vAlign w:val="bottom"/>
          </w:tcPr>
          <w:p w14:paraId="55568DD4" w14:textId="77777777" w:rsidR="00F925DD" w:rsidRDefault="00E705D7">
            <w:pPr>
              <w:textAlignment w:val="bottom"/>
              <w:rPr>
                <w:rFonts w:ascii="Times New Roman" w:hAnsi="Times New Roman"/>
                <w:sz w:val="15"/>
                <w:szCs w:val="15"/>
              </w:rPr>
            </w:pPr>
            <w:r>
              <w:rPr>
                <w:rFonts w:ascii="Arial" w:eastAsia="宋体" w:hAnsi="Arial" w:cs="Arial"/>
                <w:sz w:val="15"/>
                <w:szCs w:val="15"/>
              </w:rPr>
              <w:t>  Direct obligations</w:t>
            </w:r>
          </w:p>
        </w:tc>
        <w:tc>
          <w:tcPr>
            <w:tcW w:w="0" w:type="auto"/>
            <w:shd w:val="clear" w:color="auto" w:fill="CCEEFF"/>
            <w:tcMar>
              <w:top w:w="40" w:type="dxa"/>
              <w:left w:w="40" w:type="dxa"/>
              <w:bottom w:w="40" w:type="dxa"/>
            </w:tcMar>
            <w:vAlign w:val="bottom"/>
          </w:tcPr>
          <w:p w14:paraId="55568DD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8DD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1,058</w:t>
            </w:r>
          </w:p>
        </w:tc>
        <w:tc>
          <w:tcPr>
            <w:tcW w:w="0" w:type="auto"/>
            <w:shd w:val="clear" w:color="auto" w:fill="CCEEFF"/>
            <w:vAlign w:val="bottom"/>
          </w:tcPr>
          <w:p w14:paraId="55568DD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DD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2.10</w:t>
            </w:r>
          </w:p>
        </w:tc>
        <w:tc>
          <w:tcPr>
            <w:tcW w:w="0" w:type="auto"/>
            <w:shd w:val="clear" w:color="auto" w:fill="CCEEFF"/>
            <w:tcMar>
              <w:top w:w="40" w:type="dxa"/>
              <w:bottom w:w="40" w:type="dxa"/>
              <w:right w:w="40" w:type="dxa"/>
            </w:tcMar>
            <w:vAlign w:val="bottom"/>
          </w:tcPr>
          <w:p w14:paraId="55568DD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8D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DD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8DD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1,010</w:t>
            </w:r>
          </w:p>
        </w:tc>
        <w:tc>
          <w:tcPr>
            <w:tcW w:w="0" w:type="auto"/>
            <w:shd w:val="clear" w:color="auto" w:fill="CCEEFF"/>
            <w:vAlign w:val="bottom"/>
          </w:tcPr>
          <w:p w14:paraId="55568D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DE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1.50</w:t>
            </w:r>
          </w:p>
        </w:tc>
        <w:tc>
          <w:tcPr>
            <w:tcW w:w="0" w:type="auto"/>
            <w:shd w:val="clear" w:color="auto" w:fill="CCEEFF"/>
            <w:tcMar>
              <w:top w:w="40" w:type="dxa"/>
              <w:bottom w:w="40" w:type="dxa"/>
              <w:right w:w="40" w:type="dxa"/>
            </w:tcMar>
            <w:vAlign w:val="bottom"/>
          </w:tcPr>
          <w:p w14:paraId="55568DE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8D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DE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8DE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1,419</w:t>
            </w:r>
          </w:p>
        </w:tc>
        <w:tc>
          <w:tcPr>
            <w:tcW w:w="0" w:type="auto"/>
            <w:shd w:val="clear" w:color="auto" w:fill="CCEEFF"/>
            <w:vAlign w:val="bottom"/>
          </w:tcPr>
          <w:p w14:paraId="55568DE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DE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1.64</w:t>
            </w:r>
          </w:p>
        </w:tc>
        <w:tc>
          <w:tcPr>
            <w:tcW w:w="0" w:type="auto"/>
            <w:shd w:val="clear" w:color="auto" w:fill="CCEEFF"/>
            <w:tcMar>
              <w:top w:w="40" w:type="dxa"/>
              <w:bottom w:w="40" w:type="dxa"/>
              <w:right w:w="40" w:type="dxa"/>
            </w:tcMar>
            <w:vAlign w:val="bottom"/>
          </w:tcPr>
          <w:p w14:paraId="55568DE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8D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DE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8DE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8DE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D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DE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right w:w="40" w:type="dxa"/>
            </w:tcMar>
            <w:vAlign w:val="bottom"/>
          </w:tcPr>
          <w:p w14:paraId="55568DE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8D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DF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3,487</w:t>
            </w:r>
          </w:p>
        </w:tc>
        <w:tc>
          <w:tcPr>
            <w:tcW w:w="0" w:type="auto"/>
            <w:shd w:val="clear" w:color="auto" w:fill="CCEEFF"/>
            <w:vAlign w:val="bottom"/>
          </w:tcPr>
          <w:p w14:paraId="55568DF2" w14:textId="77777777" w:rsidR="00F925DD" w:rsidRDefault="00F925DD">
            <w:pPr>
              <w:textAlignment w:val="bottom"/>
              <w:rPr>
                <w:rFonts w:ascii="Times New Roman" w:hAnsi="Times New Roman"/>
                <w:sz w:val="20"/>
                <w:szCs w:val="20"/>
              </w:rPr>
            </w:pPr>
          </w:p>
        </w:tc>
      </w:tr>
      <w:tr w:rsidR="00F925DD" w14:paraId="55568E0F" w14:textId="77777777">
        <w:tc>
          <w:tcPr>
            <w:tcW w:w="0" w:type="auto"/>
            <w:shd w:val="clear" w:color="auto" w:fill="auto"/>
            <w:tcMar>
              <w:top w:w="40" w:type="dxa"/>
              <w:left w:w="40" w:type="dxa"/>
              <w:bottom w:w="40" w:type="dxa"/>
              <w:right w:w="40" w:type="dxa"/>
            </w:tcMar>
            <w:vAlign w:val="bottom"/>
          </w:tcPr>
          <w:p w14:paraId="55568DF4" w14:textId="77777777" w:rsidR="00F925DD" w:rsidRDefault="00E705D7">
            <w:pPr>
              <w:textAlignment w:val="bottom"/>
              <w:rPr>
                <w:rFonts w:ascii="Times New Roman" w:hAnsi="Times New Roman"/>
                <w:sz w:val="15"/>
                <w:szCs w:val="15"/>
              </w:rPr>
            </w:pPr>
            <w:r>
              <w:rPr>
                <w:rFonts w:ascii="Arial" w:eastAsia="宋体" w:hAnsi="Arial" w:cs="Arial"/>
                <w:sz w:val="15"/>
                <w:szCs w:val="15"/>
              </w:rPr>
              <w:t>  Mortgage-backed securities</w:t>
            </w:r>
          </w:p>
        </w:tc>
        <w:tc>
          <w:tcPr>
            <w:tcW w:w="0" w:type="auto"/>
            <w:gridSpan w:val="2"/>
            <w:shd w:val="clear" w:color="auto" w:fill="auto"/>
            <w:tcMar>
              <w:top w:w="40" w:type="dxa"/>
              <w:left w:w="40" w:type="dxa"/>
              <w:bottom w:w="40" w:type="dxa"/>
            </w:tcMar>
            <w:vAlign w:val="bottom"/>
          </w:tcPr>
          <w:p w14:paraId="55568DF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118</w:t>
            </w:r>
          </w:p>
        </w:tc>
        <w:tc>
          <w:tcPr>
            <w:tcW w:w="0" w:type="auto"/>
            <w:shd w:val="clear" w:color="auto" w:fill="auto"/>
            <w:vAlign w:val="bottom"/>
          </w:tcPr>
          <w:p w14:paraId="55568DF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D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DF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3.71</w:t>
            </w:r>
          </w:p>
        </w:tc>
        <w:tc>
          <w:tcPr>
            <w:tcW w:w="0" w:type="auto"/>
            <w:shd w:val="clear" w:color="auto" w:fill="auto"/>
            <w:vAlign w:val="bottom"/>
          </w:tcPr>
          <w:p w14:paraId="55568DF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D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DF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970</w:t>
            </w:r>
          </w:p>
        </w:tc>
        <w:tc>
          <w:tcPr>
            <w:tcW w:w="0" w:type="auto"/>
            <w:shd w:val="clear" w:color="auto" w:fill="auto"/>
            <w:vAlign w:val="bottom"/>
          </w:tcPr>
          <w:p w14:paraId="55568DF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D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DF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3.30</w:t>
            </w:r>
          </w:p>
        </w:tc>
        <w:tc>
          <w:tcPr>
            <w:tcW w:w="0" w:type="auto"/>
            <w:shd w:val="clear" w:color="auto" w:fill="auto"/>
            <w:vAlign w:val="bottom"/>
          </w:tcPr>
          <w:p w14:paraId="55568DF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0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2,951</w:t>
            </w:r>
          </w:p>
        </w:tc>
        <w:tc>
          <w:tcPr>
            <w:tcW w:w="0" w:type="auto"/>
            <w:shd w:val="clear" w:color="auto" w:fill="auto"/>
            <w:vAlign w:val="bottom"/>
          </w:tcPr>
          <w:p w14:paraId="55568E0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0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2.54</w:t>
            </w:r>
          </w:p>
        </w:tc>
        <w:tc>
          <w:tcPr>
            <w:tcW w:w="0" w:type="auto"/>
            <w:shd w:val="clear" w:color="auto" w:fill="auto"/>
            <w:vAlign w:val="bottom"/>
          </w:tcPr>
          <w:p w14:paraId="55568E0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0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13,799</w:t>
            </w:r>
          </w:p>
        </w:tc>
        <w:tc>
          <w:tcPr>
            <w:tcW w:w="0" w:type="auto"/>
            <w:shd w:val="clear" w:color="auto" w:fill="auto"/>
            <w:vAlign w:val="bottom"/>
          </w:tcPr>
          <w:p w14:paraId="55568E0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0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3.77</w:t>
            </w:r>
          </w:p>
        </w:tc>
        <w:tc>
          <w:tcPr>
            <w:tcW w:w="0" w:type="auto"/>
            <w:shd w:val="clear" w:color="auto" w:fill="auto"/>
            <w:vAlign w:val="bottom"/>
          </w:tcPr>
          <w:p w14:paraId="55568E0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0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17,838</w:t>
            </w:r>
          </w:p>
        </w:tc>
        <w:tc>
          <w:tcPr>
            <w:tcW w:w="0" w:type="auto"/>
            <w:shd w:val="clear" w:color="auto" w:fill="auto"/>
            <w:vAlign w:val="bottom"/>
          </w:tcPr>
          <w:p w14:paraId="55568E0E" w14:textId="77777777" w:rsidR="00F925DD" w:rsidRDefault="00F925DD">
            <w:pPr>
              <w:textAlignment w:val="bottom"/>
              <w:rPr>
                <w:rFonts w:ascii="Times New Roman" w:hAnsi="Times New Roman"/>
                <w:sz w:val="20"/>
                <w:szCs w:val="20"/>
              </w:rPr>
            </w:pPr>
          </w:p>
        </w:tc>
      </w:tr>
      <w:tr w:rsidR="00F925DD" w14:paraId="55568E27" w14:textId="77777777">
        <w:tc>
          <w:tcPr>
            <w:tcW w:w="0" w:type="auto"/>
            <w:shd w:val="clear" w:color="auto" w:fill="CCEEFF"/>
            <w:tcMar>
              <w:top w:w="40" w:type="dxa"/>
              <w:left w:w="400" w:type="dxa"/>
              <w:bottom w:w="40" w:type="dxa"/>
              <w:right w:w="40" w:type="dxa"/>
            </w:tcMar>
            <w:vAlign w:val="bottom"/>
          </w:tcPr>
          <w:p w14:paraId="55568E10"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E1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1,176</w:t>
            </w:r>
          </w:p>
        </w:tc>
        <w:tc>
          <w:tcPr>
            <w:tcW w:w="0" w:type="auto"/>
            <w:tcBorders>
              <w:top w:val="single" w:sz="8" w:space="0" w:color="000000"/>
              <w:bottom w:val="single" w:sz="8" w:space="0" w:color="000000"/>
            </w:tcBorders>
            <w:shd w:val="clear" w:color="auto" w:fill="CCEEFF"/>
            <w:vAlign w:val="bottom"/>
          </w:tcPr>
          <w:p w14:paraId="55568E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E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E1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1,980</w:t>
            </w:r>
          </w:p>
        </w:tc>
        <w:tc>
          <w:tcPr>
            <w:tcW w:w="0" w:type="auto"/>
            <w:tcBorders>
              <w:top w:val="single" w:sz="8" w:space="0" w:color="000000"/>
              <w:bottom w:val="single" w:sz="8" w:space="0" w:color="000000"/>
            </w:tcBorders>
            <w:shd w:val="clear" w:color="auto" w:fill="CCEEFF"/>
            <w:vAlign w:val="bottom"/>
          </w:tcPr>
          <w:p w14:paraId="55568E1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E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E1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4,370</w:t>
            </w:r>
          </w:p>
        </w:tc>
        <w:tc>
          <w:tcPr>
            <w:tcW w:w="0" w:type="auto"/>
            <w:tcBorders>
              <w:top w:val="single" w:sz="8" w:space="0" w:color="000000"/>
              <w:bottom w:val="single" w:sz="8" w:space="0" w:color="000000"/>
            </w:tcBorders>
            <w:shd w:val="clear" w:color="auto" w:fill="CCEEFF"/>
            <w:vAlign w:val="bottom"/>
          </w:tcPr>
          <w:p w14:paraId="55568E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E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E2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13,799</w:t>
            </w:r>
          </w:p>
        </w:tc>
        <w:tc>
          <w:tcPr>
            <w:tcW w:w="0" w:type="auto"/>
            <w:tcBorders>
              <w:top w:val="single" w:sz="8" w:space="0" w:color="000000"/>
              <w:bottom w:val="single" w:sz="8" w:space="0" w:color="000000"/>
            </w:tcBorders>
            <w:shd w:val="clear" w:color="auto" w:fill="CCEEFF"/>
            <w:vAlign w:val="bottom"/>
          </w:tcPr>
          <w:p w14:paraId="55568E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E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8E2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21,325</w:t>
            </w:r>
          </w:p>
        </w:tc>
        <w:tc>
          <w:tcPr>
            <w:tcW w:w="0" w:type="auto"/>
            <w:tcBorders>
              <w:top w:val="single" w:sz="8" w:space="0" w:color="000000"/>
              <w:bottom w:val="single" w:sz="8" w:space="0" w:color="000000"/>
            </w:tcBorders>
            <w:shd w:val="clear" w:color="auto" w:fill="CCEEFF"/>
            <w:vAlign w:val="bottom"/>
          </w:tcPr>
          <w:p w14:paraId="55568E26" w14:textId="77777777" w:rsidR="00F925DD" w:rsidRDefault="00F925DD">
            <w:pPr>
              <w:textAlignment w:val="bottom"/>
              <w:rPr>
                <w:rFonts w:ascii="Times New Roman" w:hAnsi="Times New Roman"/>
                <w:sz w:val="20"/>
                <w:szCs w:val="20"/>
              </w:rPr>
            </w:pPr>
          </w:p>
        </w:tc>
      </w:tr>
      <w:tr w:rsidR="00F925DD" w14:paraId="55568E3A" w14:textId="77777777">
        <w:tc>
          <w:tcPr>
            <w:tcW w:w="0" w:type="auto"/>
            <w:shd w:val="clear" w:color="auto" w:fill="auto"/>
            <w:tcMar>
              <w:top w:w="40" w:type="dxa"/>
              <w:left w:w="40" w:type="dxa"/>
              <w:bottom w:w="40" w:type="dxa"/>
              <w:right w:w="40" w:type="dxa"/>
            </w:tcMar>
            <w:vAlign w:val="bottom"/>
          </w:tcPr>
          <w:p w14:paraId="55568E28"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55568E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E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E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E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E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E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E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E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E39" w14:textId="77777777" w:rsidR="00F925DD" w:rsidRDefault="00F925DD">
            <w:pPr>
              <w:textAlignment w:val="bottom"/>
              <w:rPr>
                <w:rFonts w:ascii="Times New Roman" w:hAnsi="Times New Roman"/>
                <w:sz w:val="15"/>
                <w:szCs w:val="15"/>
              </w:rPr>
            </w:pPr>
          </w:p>
        </w:tc>
      </w:tr>
      <w:tr w:rsidR="00F925DD" w14:paraId="55568E56" w14:textId="77777777">
        <w:tc>
          <w:tcPr>
            <w:tcW w:w="0" w:type="auto"/>
            <w:shd w:val="clear" w:color="auto" w:fill="CCEEFF"/>
            <w:tcMar>
              <w:top w:w="40" w:type="dxa"/>
              <w:left w:w="40" w:type="dxa"/>
              <w:bottom w:w="40" w:type="dxa"/>
              <w:right w:w="40" w:type="dxa"/>
            </w:tcMar>
            <w:vAlign w:val="bottom"/>
          </w:tcPr>
          <w:p w14:paraId="55568E3B" w14:textId="77777777" w:rsidR="00F925DD" w:rsidRDefault="00E705D7">
            <w:pPr>
              <w:textAlignment w:val="bottom"/>
              <w:rPr>
                <w:rFonts w:ascii="Times New Roman" w:hAnsi="Times New Roman"/>
                <w:sz w:val="15"/>
                <w:szCs w:val="15"/>
              </w:rPr>
            </w:pPr>
            <w:r>
              <w:rPr>
                <w:rFonts w:ascii="Arial" w:eastAsia="宋体" w:hAnsi="Arial" w:cs="Arial"/>
                <w:sz w:val="15"/>
                <w:szCs w:val="15"/>
              </w:rPr>
              <w:t>  Student loans</w:t>
            </w:r>
          </w:p>
        </w:tc>
        <w:tc>
          <w:tcPr>
            <w:tcW w:w="0" w:type="auto"/>
            <w:gridSpan w:val="2"/>
            <w:shd w:val="clear" w:color="auto" w:fill="CCEEFF"/>
            <w:tcMar>
              <w:top w:w="40" w:type="dxa"/>
              <w:left w:w="40" w:type="dxa"/>
              <w:bottom w:w="40" w:type="dxa"/>
            </w:tcMar>
            <w:vAlign w:val="bottom"/>
          </w:tcPr>
          <w:p w14:paraId="55568E3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72</w:t>
            </w:r>
          </w:p>
        </w:tc>
        <w:tc>
          <w:tcPr>
            <w:tcW w:w="0" w:type="auto"/>
            <w:shd w:val="clear" w:color="auto" w:fill="CCEEFF"/>
            <w:vAlign w:val="bottom"/>
          </w:tcPr>
          <w:p w14:paraId="55568E3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3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2.72</w:t>
            </w:r>
          </w:p>
        </w:tc>
        <w:tc>
          <w:tcPr>
            <w:tcW w:w="0" w:type="auto"/>
            <w:shd w:val="clear" w:color="auto" w:fill="CCEEFF"/>
            <w:vAlign w:val="bottom"/>
          </w:tcPr>
          <w:p w14:paraId="55568E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E4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184</w:t>
            </w:r>
          </w:p>
        </w:tc>
        <w:tc>
          <w:tcPr>
            <w:tcW w:w="0" w:type="auto"/>
            <w:shd w:val="clear" w:color="auto" w:fill="CCEEFF"/>
            <w:vAlign w:val="bottom"/>
          </w:tcPr>
          <w:p w14:paraId="55568E4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4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2.42</w:t>
            </w:r>
          </w:p>
        </w:tc>
        <w:tc>
          <w:tcPr>
            <w:tcW w:w="0" w:type="auto"/>
            <w:shd w:val="clear" w:color="auto" w:fill="CCEEFF"/>
            <w:vAlign w:val="bottom"/>
          </w:tcPr>
          <w:p w14:paraId="55568E4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E4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96</w:t>
            </w:r>
          </w:p>
        </w:tc>
        <w:tc>
          <w:tcPr>
            <w:tcW w:w="0" w:type="auto"/>
            <w:shd w:val="clear" w:color="auto" w:fill="CCEEFF"/>
            <w:vAlign w:val="bottom"/>
          </w:tcPr>
          <w:p w14:paraId="55568E4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4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2.10</w:t>
            </w:r>
          </w:p>
        </w:tc>
        <w:tc>
          <w:tcPr>
            <w:tcW w:w="0" w:type="auto"/>
            <w:shd w:val="clear" w:color="auto" w:fill="CCEEFF"/>
            <w:vAlign w:val="bottom"/>
          </w:tcPr>
          <w:p w14:paraId="55568E4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E4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179</w:t>
            </w:r>
          </w:p>
        </w:tc>
        <w:tc>
          <w:tcPr>
            <w:tcW w:w="0" w:type="auto"/>
            <w:shd w:val="clear" w:color="auto" w:fill="CCEEFF"/>
            <w:vAlign w:val="bottom"/>
          </w:tcPr>
          <w:p w14:paraId="55568E4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5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2.77</w:t>
            </w:r>
          </w:p>
        </w:tc>
        <w:tc>
          <w:tcPr>
            <w:tcW w:w="0" w:type="auto"/>
            <w:shd w:val="clear" w:color="auto" w:fill="CCEEFF"/>
            <w:vAlign w:val="bottom"/>
          </w:tcPr>
          <w:p w14:paraId="55568E5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E5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531</w:t>
            </w:r>
          </w:p>
        </w:tc>
        <w:tc>
          <w:tcPr>
            <w:tcW w:w="0" w:type="auto"/>
            <w:shd w:val="clear" w:color="auto" w:fill="CCEEFF"/>
            <w:vAlign w:val="bottom"/>
          </w:tcPr>
          <w:p w14:paraId="55568E55" w14:textId="77777777" w:rsidR="00F925DD" w:rsidRDefault="00F925DD">
            <w:pPr>
              <w:textAlignment w:val="bottom"/>
              <w:rPr>
                <w:rFonts w:ascii="Times New Roman" w:hAnsi="Times New Roman"/>
                <w:sz w:val="20"/>
                <w:szCs w:val="20"/>
              </w:rPr>
            </w:pPr>
          </w:p>
        </w:tc>
      </w:tr>
      <w:tr w:rsidR="00F925DD" w14:paraId="55568E72" w14:textId="77777777">
        <w:tc>
          <w:tcPr>
            <w:tcW w:w="0" w:type="auto"/>
            <w:shd w:val="clear" w:color="auto" w:fill="auto"/>
            <w:tcMar>
              <w:top w:w="40" w:type="dxa"/>
              <w:left w:w="40" w:type="dxa"/>
              <w:bottom w:w="40" w:type="dxa"/>
              <w:right w:w="40" w:type="dxa"/>
            </w:tcMar>
            <w:vAlign w:val="bottom"/>
          </w:tcPr>
          <w:p w14:paraId="55568E57" w14:textId="77777777" w:rsidR="00F925DD" w:rsidRDefault="00E705D7">
            <w:pPr>
              <w:textAlignment w:val="bottom"/>
              <w:rPr>
                <w:rFonts w:ascii="Times New Roman" w:hAnsi="Times New Roman"/>
                <w:sz w:val="15"/>
                <w:szCs w:val="15"/>
              </w:rPr>
            </w:pPr>
            <w:r>
              <w:rPr>
                <w:rFonts w:ascii="Arial" w:eastAsia="宋体" w:hAnsi="Arial" w:cs="Arial"/>
                <w:sz w:val="15"/>
                <w:szCs w:val="15"/>
              </w:rPr>
              <w:t>  Credit cards</w:t>
            </w:r>
          </w:p>
        </w:tc>
        <w:tc>
          <w:tcPr>
            <w:tcW w:w="0" w:type="auto"/>
            <w:gridSpan w:val="2"/>
            <w:shd w:val="clear" w:color="auto" w:fill="auto"/>
            <w:tcMar>
              <w:top w:w="40" w:type="dxa"/>
              <w:left w:w="40" w:type="dxa"/>
              <w:bottom w:w="40" w:type="dxa"/>
            </w:tcMar>
            <w:vAlign w:val="bottom"/>
          </w:tcPr>
          <w:p w14:paraId="55568E5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E5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5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E5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5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E5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6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E6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6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w:t>
            </w:r>
          </w:p>
        </w:tc>
        <w:tc>
          <w:tcPr>
            <w:tcW w:w="0" w:type="auto"/>
            <w:shd w:val="clear" w:color="auto" w:fill="auto"/>
            <w:vAlign w:val="bottom"/>
          </w:tcPr>
          <w:p w14:paraId="55568E6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6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2.51</w:t>
            </w:r>
          </w:p>
        </w:tc>
        <w:tc>
          <w:tcPr>
            <w:tcW w:w="0" w:type="auto"/>
            <w:shd w:val="clear" w:color="auto" w:fill="auto"/>
            <w:vAlign w:val="bottom"/>
          </w:tcPr>
          <w:p w14:paraId="55568E6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6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E6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6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E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7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w:t>
            </w:r>
          </w:p>
        </w:tc>
        <w:tc>
          <w:tcPr>
            <w:tcW w:w="0" w:type="auto"/>
            <w:shd w:val="clear" w:color="auto" w:fill="auto"/>
            <w:vAlign w:val="bottom"/>
          </w:tcPr>
          <w:p w14:paraId="55568E71" w14:textId="77777777" w:rsidR="00F925DD" w:rsidRDefault="00F925DD">
            <w:pPr>
              <w:textAlignment w:val="bottom"/>
              <w:rPr>
                <w:rFonts w:ascii="Times New Roman" w:hAnsi="Times New Roman"/>
                <w:sz w:val="20"/>
                <w:szCs w:val="20"/>
              </w:rPr>
            </w:pPr>
          </w:p>
        </w:tc>
      </w:tr>
      <w:tr w:rsidR="00F925DD" w14:paraId="55568E8E" w14:textId="77777777">
        <w:tc>
          <w:tcPr>
            <w:tcW w:w="0" w:type="auto"/>
            <w:shd w:val="clear" w:color="auto" w:fill="CCEEFF"/>
            <w:tcMar>
              <w:top w:w="40" w:type="dxa"/>
              <w:left w:w="40" w:type="dxa"/>
              <w:bottom w:w="40" w:type="dxa"/>
              <w:right w:w="40" w:type="dxa"/>
            </w:tcMar>
            <w:vAlign w:val="bottom"/>
          </w:tcPr>
          <w:p w14:paraId="55568E73" w14:textId="77777777" w:rsidR="00F925DD" w:rsidRDefault="00E705D7">
            <w:pPr>
              <w:textAlignment w:val="bottom"/>
              <w:rPr>
                <w:rFonts w:ascii="Times New Roman" w:hAnsi="Times New Roman"/>
                <w:sz w:val="15"/>
                <w:szCs w:val="15"/>
              </w:rPr>
            </w:pPr>
            <w:r>
              <w:rPr>
                <w:rFonts w:ascii="Arial" w:eastAsia="宋体" w:hAnsi="Arial" w:cs="Arial"/>
                <w:sz w:val="15"/>
                <w:szCs w:val="15"/>
              </w:rPr>
              <w:t>  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E7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8E7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7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8E7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E7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745</w:t>
            </w:r>
          </w:p>
        </w:tc>
        <w:tc>
          <w:tcPr>
            <w:tcW w:w="0" w:type="auto"/>
            <w:tcBorders>
              <w:bottom w:val="single" w:sz="8" w:space="0" w:color="000000"/>
            </w:tcBorders>
            <w:shd w:val="clear" w:color="auto" w:fill="CCEEFF"/>
            <w:vAlign w:val="bottom"/>
          </w:tcPr>
          <w:p w14:paraId="55568E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7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2.60</w:t>
            </w:r>
          </w:p>
        </w:tc>
        <w:tc>
          <w:tcPr>
            <w:tcW w:w="0" w:type="auto"/>
            <w:shd w:val="clear" w:color="auto" w:fill="CCEEFF"/>
            <w:vAlign w:val="bottom"/>
          </w:tcPr>
          <w:p w14:paraId="55568E7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E8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958</w:t>
            </w:r>
          </w:p>
        </w:tc>
        <w:tc>
          <w:tcPr>
            <w:tcW w:w="0" w:type="auto"/>
            <w:tcBorders>
              <w:bottom w:val="single" w:sz="8" w:space="0" w:color="000000"/>
            </w:tcBorders>
            <w:shd w:val="clear" w:color="auto" w:fill="CCEEFF"/>
            <w:vAlign w:val="bottom"/>
          </w:tcPr>
          <w:p w14:paraId="55568E8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8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2.89</w:t>
            </w:r>
          </w:p>
        </w:tc>
        <w:tc>
          <w:tcPr>
            <w:tcW w:w="0" w:type="auto"/>
            <w:shd w:val="clear" w:color="auto" w:fill="CCEEFF"/>
            <w:vAlign w:val="bottom"/>
          </w:tcPr>
          <w:p w14:paraId="55568E8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E8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117</w:t>
            </w:r>
          </w:p>
        </w:tc>
        <w:tc>
          <w:tcPr>
            <w:tcW w:w="0" w:type="auto"/>
            <w:tcBorders>
              <w:bottom w:val="single" w:sz="8" w:space="0" w:color="000000"/>
            </w:tcBorders>
            <w:shd w:val="clear" w:color="auto" w:fill="CCEEFF"/>
            <w:vAlign w:val="bottom"/>
          </w:tcPr>
          <w:p w14:paraId="55568E8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8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2.82</w:t>
            </w:r>
          </w:p>
        </w:tc>
        <w:tc>
          <w:tcPr>
            <w:tcW w:w="0" w:type="auto"/>
            <w:shd w:val="clear" w:color="auto" w:fill="CCEEFF"/>
            <w:vAlign w:val="bottom"/>
          </w:tcPr>
          <w:p w14:paraId="55568E8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E8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1,820</w:t>
            </w:r>
          </w:p>
        </w:tc>
        <w:tc>
          <w:tcPr>
            <w:tcW w:w="0" w:type="auto"/>
            <w:tcBorders>
              <w:bottom w:val="single" w:sz="8" w:space="0" w:color="000000"/>
            </w:tcBorders>
            <w:shd w:val="clear" w:color="auto" w:fill="CCEEFF"/>
            <w:vAlign w:val="bottom"/>
          </w:tcPr>
          <w:p w14:paraId="55568E8D" w14:textId="77777777" w:rsidR="00F925DD" w:rsidRDefault="00F925DD">
            <w:pPr>
              <w:textAlignment w:val="bottom"/>
              <w:rPr>
                <w:rFonts w:ascii="Times New Roman" w:hAnsi="Times New Roman"/>
                <w:sz w:val="20"/>
                <w:szCs w:val="20"/>
              </w:rPr>
            </w:pPr>
          </w:p>
        </w:tc>
      </w:tr>
      <w:tr w:rsidR="00F925DD" w14:paraId="55568EA6" w14:textId="77777777">
        <w:tc>
          <w:tcPr>
            <w:tcW w:w="0" w:type="auto"/>
            <w:shd w:val="clear" w:color="auto" w:fill="auto"/>
            <w:tcMar>
              <w:top w:w="40" w:type="dxa"/>
              <w:left w:w="400" w:type="dxa"/>
              <w:bottom w:w="40" w:type="dxa"/>
              <w:right w:w="40" w:type="dxa"/>
            </w:tcMar>
            <w:vAlign w:val="bottom"/>
          </w:tcPr>
          <w:p w14:paraId="55568E8F"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E9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72</w:t>
            </w:r>
          </w:p>
        </w:tc>
        <w:tc>
          <w:tcPr>
            <w:tcW w:w="0" w:type="auto"/>
            <w:tcBorders>
              <w:top w:val="single" w:sz="8" w:space="0" w:color="000000"/>
              <w:bottom w:val="single" w:sz="8" w:space="0" w:color="000000"/>
            </w:tcBorders>
            <w:shd w:val="clear" w:color="auto" w:fill="auto"/>
            <w:vAlign w:val="bottom"/>
          </w:tcPr>
          <w:p w14:paraId="55568E9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E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E9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929</w:t>
            </w:r>
          </w:p>
        </w:tc>
        <w:tc>
          <w:tcPr>
            <w:tcW w:w="0" w:type="auto"/>
            <w:tcBorders>
              <w:top w:val="single" w:sz="8" w:space="0" w:color="000000"/>
              <w:bottom w:val="single" w:sz="8" w:space="0" w:color="000000"/>
            </w:tcBorders>
            <w:shd w:val="clear" w:color="auto" w:fill="auto"/>
            <w:vAlign w:val="bottom"/>
          </w:tcPr>
          <w:p w14:paraId="55568E9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E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E9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1,143</w:t>
            </w:r>
          </w:p>
        </w:tc>
        <w:tc>
          <w:tcPr>
            <w:tcW w:w="0" w:type="auto"/>
            <w:tcBorders>
              <w:top w:val="single" w:sz="8" w:space="0" w:color="000000"/>
              <w:bottom w:val="single" w:sz="8" w:space="0" w:color="000000"/>
            </w:tcBorders>
            <w:shd w:val="clear" w:color="auto" w:fill="auto"/>
            <w:vAlign w:val="bottom"/>
          </w:tcPr>
          <w:p w14:paraId="55568E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E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E9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296</w:t>
            </w:r>
          </w:p>
        </w:tc>
        <w:tc>
          <w:tcPr>
            <w:tcW w:w="0" w:type="auto"/>
            <w:tcBorders>
              <w:top w:val="single" w:sz="8" w:space="0" w:color="000000"/>
              <w:bottom w:val="single" w:sz="8" w:space="0" w:color="000000"/>
            </w:tcBorders>
            <w:shd w:val="clear" w:color="auto" w:fill="auto"/>
            <w:vAlign w:val="bottom"/>
          </w:tcPr>
          <w:p w14:paraId="55568E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E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E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EA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2,440</w:t>
            </w:r>
          </w:p>
        </w:tc>
        <w:tc>
          <w:tcPr>
            <w:tcW w:w="0" w:type="auto"/>
            <w:tcBorders>
              <w:top w:val="single" w:sz="8" w:space="0" w:color="000000"/>
              <w:bottom w:val="single" w:sz="8" w:space="0" w:color="000000"/>
            </w:tcBorders>
            <w:shd w:val="clear" w:color="auto" w:fill="auto"/>
            <w:vAlign w:val="bottom"/>
          </w:tcPr>
          <w:p w14:paraId="55568EA5" w14:textId="77777777" w:rsidR="00F925DD" w:rsidRDefault="00F925DD">
            <w:pPr>
              <w:textAlignment w:val="bottom"/>
              <w:rPr>
                <w:rFonts w:ascii="Times New Roman" w:hAnsi="Times New Roman"/>
                <w:sz w:val="20"/>
                <w:szCs w:val="20"/>
              </w:rPr>
            </w:pPr>
          </w:p>
        </w:tc>
      </w:tr>
      <w:tr w:rsidR="00F925DD" w14:paraId="55568EB9" w14:textId="77777777">
        <w:tc>
          <w:tcPr>
            <w:tcW w:w="0" w:type="auto"/>
            <w:shd w:val="clear" w:color="auto" w:fill="CCEEFF"/>
            <w:tcMar>
              <w:top w:w="40" w:type="dxa"/>
              <w:left w:w="40" w:type="dxa"/>
              <w:bottom w:w="40" w:type="dxa"/>
              <w:right w:w="40" w:type="dxa"/>
            </w:tcMar>
            <w:vAlign w:val="bottom"/>
          </w:tcPr>
          <w:p w14:paraId="55568EA7"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CCEEFF"/>
            <w:tcMar>
              <w:top w:w="40" w:type="dxa"/>
              <w:left w:w="40" w:type="dxa"/>
              <w:bottom w:w="40" w:type="dxa"/>
              <w:right w:w="40" w:type="dxa"/>
            </w:tcMar>
            <w:vAlign w:val="bottom"/>
          </w:tcPr>
          <w:p w14:paraId="55568E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E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E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E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E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E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E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8E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8E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8EB8" w14:textId="77777777" w:rsidR="00F925DD" w:rsidRDefault="00F925DD">
            <w:pPr>
              <w:textAlignment w:val="bottom"/>
              <w:rPr>
                <w:rFonts w:ascii="Times New Roman" w:hAnsi="Times New Roman"/>
                <w:sz w:val="15"/>
                <w:szCs w:val="15"/>
              </w:rPr>
            </w:pPr>
          </w:p>
        </w:tc>
      </w:tr>
      <w:tr w:rsidR="00F925DD" w14:paraId="55568ED5" w14:textId="77777777">
        <w:tc>
          <w:tcPr>
            <w:tcW w:w="0" w:type="auto"/>
            <w:shd w:val="clear" w:color="auto" w:fill="auto"/>
            <w:tcMar>
              <w:top w:w="40" w:type="dxa"/>
              <w:left w:w="40" w:type="dxa"/>
              <w:bottom w:w="40" w:type="dxa"/>
              <w:right w:w="40" w:type="dxa"/>
            </w:tcMar>
            <w:vAlign w:val="bottom"/>
          </w:tcPr>
          <w:p w14:paraId="55568EBA" w14:textId="77777777" w:rsidR="00F925DD" w:rsidRDefault="00E705D7">
            <w:pPr>
              <w:textAlignment w:val="bottom"/>
              <w:rPr>
                <w:rFonts w:ascii="Times New Roman" w:hAnsi="Times New Roman"/>
                <w:sz w:val="15"/>
                <w:szCs w:val="15"/>
              </w:rPr>
            </w:pPr>
            <w:r>
              <w:rPr>
                <w:rFonts w:ascii="Arial" w:eastAsia="宋体" w:hAnsi="Arial" w:cs="Arial"/>
                <w:sz w:val="15"/>
                <w:szCs w:val="15"/>
              </w:rPr>
              <w:t>  Mortgage-backed securities</w:t>
            </w:r>
          </w:p>
        </w:tc>
        <w:tc>
          <w:tcPr>
            <w:tcW w:w="0" w:type="auto"/>
            <w:gridSpan w:val="2"/>
            <w:shd w:val="clear" w:color="auto" w:fill="auto"/>
            <w:tcMar>
              <w:top w:w="40" w:type="dxa"/>
              <w:left w:w="40" w:type="dxa"/>
              <w:bottom w:w="40" w:type="dxa"/>
            </w:tcMar>
            <w:vAlign w:val="bottom"/>
          </w:tcPr>
          <w:p w14:paraId="55568EB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430</w:t>
            </w:r>
          </w:p>
        </w:tc>
        <w:tc>
          <w:tcPr>
            <w:tcW w:w="0" w:type="auto"/>
            <w:shd w:val="clear" w:color="auto" w:fill="auto"/>
            <w:vAlign w:val="bottom"/>
          </w:tcPr>
          <w:p w14:paraId="55568E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B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0.65</w:t>
            </w:r>
          </w:p>
        </w:tc>
        <w:tc>
          <w:tcPr>
            <w:tcW w:w="0" w:type="auto"/>
            <w:shd w:val="clear" w:color="auto" w:fill="auto"/>
            <w:vAlign w:val="bottom"/>
          </w:tcPr>
          <w:p w14:paraId="55568E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C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569</w:t>
            </w:r>
          </w:p>
        </w:tc>
        <w:tc>
          <w:tcPr>
            <w:tcW w:w="0" w:type="auto"/>
            <w:shd w:val="clear" w:color="auto" w:fill="auto"/>
            <w:vAlign w:val="bottom"/>
          </w:tcPr>
          <w:p w14:paraId="55568EC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C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0.87</w:t>
            </w:r>
          </w:p>
        </w:tc>
        <w:tc>
          <w:tcPr>
            <w:tcW w:w="0" w:type="auto"/>
            <w:shd w:val="clear" w:color="auto" w:fill="auto"/>
            <w:vAlign w:val="bottom"/>
          </w:tcPr>
          <w:p w14:paraId="55568EC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C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196</w:t>
            </w:r>
          </w:p>
        </w:tc>
        <w:tc>
          <w:tcPr>
            <w:tcW w:w="0" w:type="auto"/>
            <w:shd w:val="clear" w:color="auto" w:fill="auto"/>
            <w:vAlign w:val="bottom"/>
          </w:tcPr>
          <w:p w14:paraId="55568E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C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1.12</w:t>
            </w:r>
          </w:p>
        </w:tc>
        <w:tc>
          <w:tcPr>
            <w:tcW w:w="0" w:type="auto"/>
            <w:shd w:val="clear" w:color="auto" w:fill="auto"/>
            <w:vAlign w:val="bottom"/>
          </w:tcPr>
          <w:p w14:paraId="55568E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C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785</w:t>
            </w:r>
          </w:p>
        </w:tc>
        <w:tc>
          <w:tcPr>
            <w:tcW w:w="0" w:type="auto"/>
            <w:shd w:val="clear" w:color="auto" w:fill="auto"/>
            <w:vAlign w:val="bottom"/>
          </w:tcPr>
          <w:p w14:paraId="55568E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D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1.85</w:t>
            </w:r>
          </w:p>
        </w:tc>
        <w:tc>
          <w:tcPr>
            <w:tcW w:w="0" w:type="auto"/>
            <w:shd w:val="clear" w:color="auto" w:fill="auto"/>
            <w:vAlign w:val="bottom"/>
          </w:tcPr>
          <w:p w14:paraId="55568ED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D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1,980</w:t>
            </w:r>
          </w:p>
        </w:tc>
        <w:tc>
          <w:tcPr>
            <w:tcW w:w="0" w:type="auto"/>
            <w:shd w:val="clear" w:color="auto" w:fill="auto"/>
            <w:vAlign w:val="bottom"/>
          </w:tcPr>
          <w:p w14:paraId="55568ED4" w14:textId="77777777" w:rsidR="00F925DD" w:rsidRDefault="00F925DD">
            <w:pPr>
              <w:textAlignment w:val="bottom"/>
              <w:rPr>
                <w:rFonts w:ascii="Times New Roman" w:hAnsi="Times New Roman"/>
                <w:sz w:val="20"/>
                <w:szCs w:val="20"/>
              </w:rPr>
            </w:pPr>
          </w:p>
        </w:tc>
      </w:tr>
      <w:tr w:rsidR="00F925DD" w14:paraId="55568EF1" w14:textId="77777777">
        <w:tc>
          <w:tcPr>
            <w:tcW w:w="0" w:type="auto"/>
            <w:shd w:val="clear" w:color="auto" w:fill="CCEEFF"/>
            <w:tcMar>
              <w:top w:w="40" w:type="dxa"/>
              <w:left w:w="40" w:type="dxa"/>
              <w:bottom w:w="40" w:type="dxa"/>
              <w:right w:w="40" w:type="dxa"/>
            </w:tcMar>
            <w:vAlign w:val="bottom"/>
          </w:tcPr>
          <w:p w14:paraId="55568ED6" w14:textId="77777777" w:rsidR="00F925DD" w:rsidRDefault="00E705D7">
            <w:pPr>
              <w:textAlignment w:val="bottom"/>
              <w:rPr>
                <w:rFonts w:ascii="Times New Roman" w:hAnsi="Times New Roman"/>
                <w:sz w:val="15"/>
                <w:szCs w:val="15"/>
              </w:rPr>
            </w:pPr>
            <w:r>
              <w:rPr>
                <w:rFonts w:ascii="Arial" w:eastAsia="宋体" w:hAnsi="Arial" w:cs="Arial"/>
                <w:sz w:val="15"/>
                <w:szCs w:val="15"/>
              </w:rPr>
              <w:t>  Asset-backed securities</w:t>
            </w:r>
          </w:p>
        </w:tc>
        <w:tc>
          <w:tcPr>
            <w:tcW w:w="0" w:type="auto"/>
            <w:gridSpan w:val="2"/>
            <w:shd w:val="clear" w:color="auto" w:fill="CCEEFF"/>
            <w:tcMar>
              <w:top w:w="40" w:type="dxa"/>
              <w:left w:w="40" w:type="dxa"/>
              <w:bottom w:w="40" w:type="dxa"/>
            </w:tcMar>
            <w:vAlign w:val="bottom"/>
          </w:tcPr>
          <w:p w14:paraId="55568ED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487</w:t>
            </w:r>
          </w:p>
        </w:tc>
        <w:tc>
          <w:tcPr>
            <w:tcW w:w="0" w:type="auto"/>
            <w:shd w:val="clear" w:color="auto" w:fill="CCEEFF"/>
            <w:vAlign w:val="bottom"/>
          </w:tcPr>
          <w:p w14:paraId="55568E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D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1.01</w:t>
            </w:r>
          </w:p>
        </w:tc>
        <w:tc>
          <w:tcPr>
            <w:tcW w:w="0" w:type="auto"/>
            <w:shd w:val="clear" w:color="auto" w:fill="CCEEFF"/>
            <w:vAlign w:val="bottom"/>
          </w:tcPr>
          <w:p w14:paraId="55568ED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ED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981</w:t>
            </w:r>
          </w:p>
        </w:tc>
        <w:tc>
          <w:tcPr>
            <w:tcW w:w="0" w:type="auto"/>
            <w:shd w:val="clear" w:color="auto" w:fill="CCEEFF"/>
            <w:vAlign w:val="bottom"/>
          </w:tcPr>
          <w:p w14:paraId="55568E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E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0.35</w:t>
            </w:r>
          </w:p>
        </w:tc>
        <w:tc>
          <w:tcPr>
            <w:tcW w:w="0" w:type="auto"/>
            <w:shd w:val="clear" w:color="auto" w:fill="CCEEFF"/>
            <w:vAlign w:val="bottom"/>
          </w:tcPr>
          <w:p w14:paraId="55568E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EE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366</w:t>
            </w:r>
          </w:p>
        </w:tc>
        <w:tc>
          <w:tcPr>
            <w:tcW w:w="0" w:type="auto"/>
            <w:shd w:val="clear" w:color="auto" w:fill="CCEEFF"/>
            <w:vAlign w:val="bottom"/>
          </w:tcPr>
          <w:p w14:paraId="55568E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E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0.79</w:t>
            </w:r>
          </w:p>
        </w:tc>
        <w:tc>
          <w:tcPr>
            <w:tcW w:w="0" w:type="auto"/>
            <w:shd w:val="clear" w:color="auto" w:fill="CCEEFF"/>
            <w:vAlign w:val="bottom"/>
          </w:tcPr>
          <w:p w14:paraId="55568EE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EE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345</w:t>
            </w:r>
          </w:p>
        </w:tc>
        <w:tc>
          <w:tcPr>
            <w:tcW w:w="0" w:type="auto"/>
            <w:shd w:val="clear" w:color="auto" w:fill="CCEEFF"/>
            <w:vAlign w:val="bottom"/>
          </w:tcPr>
          <w:p w14:paraId="55568E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EE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0.47</w:t>
            </w:r>
          </w:p>
        </w:tc>
        <w:tc>
          <w:tcPr>
            <w:tcW w:w="0" w:type="auto"/>
            <w:shd w:val="clear" w:color="auto" w:fill="CCEEFF"/>
            <w:vAlign w:val="bottom"/>
          </w:tcPr>
          <w:p w14:paraId="55568EE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E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8EE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2,179</w:t>
            </w:r>
          </w:p>
        </w:tc>
        <w:tc>
          <w:tcPr>
            <w:tcW w:w="0" w:type="auto"/>
            <w:shd w:val="clear" w:color="auto" w:fill="CCEEFF"/>
            <w:vAlign w:val="bottom"/>
          </w:tcPr>
          <w:p w14:paraId="55568EF0" w14:textId="77777777" w:rsidR="00F925DD" w:rsidRDefault="00F925DD">
            <w:pPr>
              <w:textAlignment w:val="bottom"/>
              <w:rPr>
                <w:rFonts w:ascii="Times New Roman" w:hAnsi="Times New Roman"/>
                <w:sz w:val="20"/>
                <w:szCs w:val="20"/>
              </w:rPr>
            </w:pPr>
          </w:p>
        </w:tc>
      </w:tr>
      <w:tr w:rsidR="00F925DD" w14:paraId="55568F0D" w14:textId="77777777">
        <w:tc>
          <w:tcPr>
            <w:tcW w:w="0" w:type="auto"/>
            <w:shd w:val="clear" w:color="auto" w:fill="auto"/>
            <w:tcMar>
              <w:top w:w="40" w:type="dxa"/>
              <w:left w:w="40" w:type="dxa"/>
              <w:bottom w:w="40" w:type="dxa"/>
              <w:right w:w="40" w:type="dxa"/>
            </w:tcMar>
            <w:vAlign w:val="bottom"/>
          </w:tcPr>
          <w:p w14:paraId="55568EF2" w14:textId="77777777" w:rsidR="00F925DD" w:rsidRDefault="00E705D7">
            <w:pPr>
              <w:textAlignment w:val="bottom"/>
              <w:rPr>
                <w:rFonts w:ascii="Times New Roman" w:hAnsi="Times New Roman"/>
                <w:sz w:val="15"/>
                <w:szCs w:val="15"/>
              </w:rPr>
            </w:pPr>
            <w:r>
              <w:rPr>
                <w:rFonts w:ascii="Arial" w:eastAsia="宋体" w:hAnsi="Arial" w:cs="Arial"/>
                <w:sz w:val="15"/>
                <w:szCs w:val="15"/>
              </w:rPr>
              <w:t>  Government securities</w:t>
            </w:r>
          </w:p>
        </w:tc>
        <w:tc>
          <w:tcPr>
            <w:tcW w:w="0" w:type="auto"/>
            <w:gridSpan w:val="2"/>
            <w:shd w:val="clear" w:color="auto" w:fill="auto"/>
            <w:tcMar>
              <w:top w:w="40" w:type="dxa"/>
              <w:left w:w="40" w:type="dxa"/>
              <w:bottom w:w="40" w:type="dxa"/>
            </w:tcMar>
            <w:vAlign w:val="bottom"/>
          </w:tcPr>
          <w:p w14:paraId="55568EF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4,183</w:t>
            </w:r>
          </w:p>
        </w:tc>
        <w:tc>
          <w:tcPr>
            <w:tcW w:w="0" w:type="auto"/>
            <w:shd w:val="clear" w:color="auto" w:fill="auto"/>
            <w:vAlign w:val="bottom"/>
          </w:tcPr>
          <w:p w14:paraId="55568E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F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0.25</w:t>
            </w:r>
          </w:p>
        </w:tc>
        <w:tc>
          <w:tcPr>
            <w:tcW w:w="0" w:type="auto"/>
            <w:shd w:val="clear" w:color="auto" w:fill="auto"/>
            <w:vAlign w:val="bottom"/>
          </w:tcPr>
          <w:p w14:paraId="55568EF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F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7,381</w:t>
            </w:r>
          </w:p>
        </w:tc>
        <w:tc>
          <w:tcPr>
            <w:tcW w:w="0" w:type="auto"/>
            <w:shd w:val="clear" w:color="auto" w:fill="auto"/>
            <w:vAlign w:val="bottom"/>
          </w:tcPr>
          <w:p w14:paraId="55568EF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EF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1.61</w:t>
            </w:r>
          </w:p>
        </w:tc>
        <w:tc>
          <w:tcPr>
            <w:tcW w:w="0" w:type="auto"/>
            <w:shd w:val="clear" w:color="auto" w:fill="auto"/>
            <w:vAlign w:val="bottom"/>
          </w:tcPr>
          <w:p w14:paraId="55568E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E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EF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809</w:t>
            </w:r>
          </w:p>
        </w:tc>
        <w:tc>
          <w:tcPr>
            <w:tcW w:w="0" w:type="auto"/>
            <w:shd w:val="clear" w:color="auto" w:fill="auto"/>
            <w:vAlign w:val="bottom"/>
          </w:tcPr>
          <w:p w14:paraId="55568F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F0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4.39</w:t>
            </w:r>
          </w:p>
        </w:tc>
        <w:tc>
          <w:tcPr>
            <w:tcW w:w="0" w:type="auto"/>
            <w:shd w:val="clear" w:color="auto" w:fill="auto"/>
            <w:vAlign w:val="bottom"/>
          </w:tcPr>
          <w:p w14:paraId="55568F0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F0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F0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F0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F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F0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12,373</w:t>
            </w:r>
          </w:p>
        </w:tc>
        <w:tc>
          <w:tcPr>
            <w:tcW w:w="0" w:type="auto"/>
            <w:shd w:val="clear" w:color="auto" w:fill="auto"/>
            <w:vAlign w:val="bottom"/>
          </w:tcPr>
          <w:p w14:paraId="55568F0C" w14:textId="77777777" w:rsidR="00F925DD" w:rsidRDefault="00F925DD">
            <w:pPr>
              <w:textAlignment w:val="bottom"/>
              <w:rPr>
                <w:rFonts w:ascii="Times New Roman" w:hAnsi="Times New Roman"/>
                <w:sz w:val="20"/>
                <w:szCs w:val="20"/>
              </w:rPr>
            </w:pPr>
          </w:p>
        </w:tc>
      </w:tr>
      <w:tr w:rsidR="00F925DD" w14:paraId="55568F29" w14:textId="77777777">
        <w:tc>
          <w:tcPr>
            <w:tcW w:w="0" w:type="auto"/>
            <w:shd w:val="clear" w:color="auto" w:fill="CCEEFF"/>
            <w:tcMar>
              <w:top w:w="40" w:type="dxa"/>
              <w:left w:w="40" w:type="dxa"/>
              <w:bottom w:w="40" w:type="dxa"/>
              <w:right w:w="40" w:type="dxa"/>
            </w:tcMar>
            <w:vAlign w:val="bottom"/>
          </w:tcPr>
          <w:p w14:paraId="55568F0E" w14:textId="77777777" w:rsidR="00F925DD" w:rsidRDefault="00E705D7">
            <w:pPr>
              <w:textAlignment w:val="bottom"/>
              <w:rPr>
                <w:rFonts w:ascii="Times New Roman" w:hAnsi="Times New Roman"/>
                <w:sz w:val="15"/>
                <w:szCs w:val="15"/>
              </w:rPr>
            </w:pPr>
            <w:r>
              <w:rPr>
                <w:rFonts w:ascii="Arial" w:eastAsia="宋体" w:hAnsi="Arial" w:cs="Arial"/>
                <w:sz w:val="15"/>
                <w:szCs w:val="15"/>
              </w:rPr>
              <w:t>  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F0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884</w:t>
            </w:r>
          </w:p>
        </w:tc>
        <w:tc>
          <w:tcPr>
            <w:tcW w:w="0" w:type="auto"/>
            <w:tcBorders>
              <w:bottom w:val="single" w:sz="8" w:space="0" w:color="000000"/>
            </w:tcBorders>
            <w:shd w:val="clear" w:color="auto" w:fill="CCEEFF"/>
            <w:vAlign w:val="bottom"/>
          </w:tcPr>
          <w:p w14:paraId="55568F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1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2.35</w:t>
            </w:r>
          </w:p>
        </w:tc>
        <w:tc>
          <w:tcPr>
            <w:tcW w:w="0" w:type="auto"/>
            <w:shd w:val="clear" w:color="auto" w:fill="CCEEFF"/>
            <w:vAlign w:val="bottom"/>
          </w:tcPr>
          <w:p w14:paraId="55568F1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F1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6,689</w:t>
            </w:r>
          </w:p>
        </w:tc>
        <w:tc>
          <w:tcPr>
            <w:tcW w:w="0" w:type="auto"/>
            <w:tcBorders>
              <w:bottom w:val="single" w:sz="8" w:space="0" w:color="000000"/>
            </w:tcBorders>
            <w:shd w:val="clear" w:color="auto" w:fill="CCEEFF"/>
            <w:vAlign w:val="bottom"/>
          </w:tcPr>
          <w:p w14:paraId="55568F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1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1.29</w:t>
            </w:r>
          </w:p>
        </w:tc>
        <w:tc>
          <w:tcPr>
            <w:tcW w:w="0" w:type="auto"/>
            <w:shd w:val="clear" w:color="auto" w:fill="CCEEFF"/>
            <w:vAlign w:val="bottom"/>
          </w:tcPr>
          <w:p w14:paraId="55568F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F1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1,063</w:t>
            </w:r>
          </w:p>
        </w:tc>
        <w:tc>
          <w:tcPr>
            <w:tcW w:w="0" w:type="auto"/>
            <w:tcBorders>
              <w:bottom w:val="single" w:sz="8" w:space="0" w:color="000000"/>
            </w:tcBorders>
            <w:shd w:val="clear" w:color="auto" w:fill="CCEEFF"/>
            <w:vAlign w:val="bottom"/>
          </w:tcPr>
          <w:p w14:paraId="55568F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1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w:t>
            </w:r>
          </w:p>
        </w:tc>
        <w:tc>
          <w:tcPr>
            <w:tcW w:w="0" w:type="auto"/>
            <w:shd w:val="clear" w:color="auto" w:fill="CCEEFF"/>
            <w:vAlign w:val="bottom"/>
          </w:tcPr>
          <w:p w14:paraId="55568F1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F2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tcBorders>
              <w:bottom w:val="single" w:sz="8" w:space="0" w:color="000000"/>
            </w:tcBorders>
            <w:shd w:val="clear" w:color="auto" w:fill="CCEEFF"/>
            <w:vAlign w:val="bottom"/>
          </w:tcPr>
          <w:p w14:paraId="55568F2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2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3.64</w:t>
            </w:r>
          </w:p>
        </w:tc>
        <w:tc>
          <w:tcPr>
            <w:tcW w:w="0" w:type="auto"/>
            <w:shd w:val="clear" w:color="auto" w:fill="CCEEFF"/>
            <w:vAlign w:val="bottom"/>
          </w:tcPr>
          <w:p w14:paraId="55568F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F2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8,658</w:t>
            </w:r>
          </w:p>
        </w:tc>
        <w:tc>
          <w:tcPr>
            <w:tcW w:w="0" w:type="auto"/>
            <w:tcBorders>
              <w:bottom w:val="single" w:sz="8" w:space="0" w:color="000000"/>
            </w:tcBorders>
            <w:shd w:val="clear" w:color="auto" w:fill="CCEEFF"/>
            <w:vAlign w:val="bottom"/>
          </w:tcPr>
          <w:p w14:paraId="55568F28" w14:textId="77777777" w:rsidR="00F925DD" w:rsidRDefault="00F925DD">
            <w:pPr>
              <w:textAlignment w:val="bottom"/>
              <w:rPr>
                <w:rFonts w:ascii="Times New Roman" w:hAnsi="Times New Roman"/>
                <w:sz w:val="20"/>
                <w:szCs w:val="20"/>
              </w:rPr>
            </w:pPr>
          </w:p>
        </w:tc>
      </w:tr>
      <w:tr w:rsidR="00F925DD" w14:paraId="55568F41" w14:textId="77777777">
        <w:tc>
          <w:tcPr>
            <w:tcW w:w="0" w:type="auto"/>
            <w:shd w:val="clear" w:color="auto" w:fill="auto"/>
            <w:tcMar>
              <w:top w:w="40" w:type="dxa"/>
              <w:left w:w="400" w:type="dxa"/>
              <w:bottom w:w="40" w:type="dxa"/>
              <w:right w:w="40" w:type="dxa"/>
            </w:tcMar>
            <w:vAlign w:val="bottom"/>
          </w:tcPr>
          <w:p w14:paraId="55568F2A"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F2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5,984</w:t>
            </w:r>
          </w:p>
        </w:tc>
        <w:tc>
          <w:tcPr>
            <w:tcW w:w="0" w:type="auto"/>
            <w:tcBorders>
              <w:top w:val="single" w:sz="8" w:space="0" w:color="000000"/>
              <w:bottom w:val="single" w:sz="8" w:space="0" w:color="000000"/>
            </w:tcBorders>
            <w:shd w:val="clear" w:color="auto" w:fill="auto"/>
            <w:vAlign w:val="bottom"/>
          </w:tcPr>
          <w:p w14:paraId="55568F2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F3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15,620</w:t>
            </w:r>
          </w:p>
        </w:tc>
        <w:tc>
          <w:tcPr>
            <w:tcW w:w="0" w:type="auto"/>
            <w:tcBorders>
              <w:top w:val="single" w:sz="8" w:space="0" w:color="000000"/>
              <w:bottom w:val="single" w:sz="8" w:space="0" w:color="000000"/>
            </w:tcBorders>
            <w:shd w:val="clear" w:color="auto" w:fill="auto"/>
            <w:vAlign w:val="bottom"/>
          </w:tcPr>
          <w:p w14:paraId="55568F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F3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2,434</w:t>
            </w:r>
          </w:p>
        </w:tc>
        <w:tc>
          <w:tcPr>
            <w:tcW w:w="0" w:type="auto"/>
            <w:tcBorders>
              <w:top w:val="single" w:sz="8" w:space="0" w:color="000000"/>
              <w:bottom w:val="single" w:sz="8" w:space="0" w:color="000000"/>
            </w:tcBorders>
            <w:shd w:val="clear" w:color="auto" w:fill="auto"/>
            <w:vAlign w:val="bottom"/>
          </w:tcPr>
          <w:p w14:paraId="55568F3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F3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1,152</w:t>
            </w:r>
          </w:p>
        </w:tc>
        <w:tc>
          <w:tcPr>
            <w:tcW w:w="0" w:type="auto"/>
            <w:tcBorders>
              <w:top w:val="single" w:sz="8" w:space="0" w:color="000000"/>
              <w:bottom w:val="single" w:sz="8" w:space="0" w:color="000000"/>
            </w:tcBorders>
            <w:shd w:val="clear" w:color="auto" w:fill="auto"/>
            <w:vAlign w:val="bottom"/>
          </w:tcPr>
          <w:p w14:paraId="55568F3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8F3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25,190</w:t>
            </w:r>
          </w:p>
        </w:tc>
        <w:tc>
          <w:tcPr>
            <w:tcW w:w="0" w:type="auto"/>
            <w:tcBorders>
              <w:top w:val="single" w:sz="8" w:space="0" w:color="000000"/>
              <w:bottom w:val="single" w:sz="8" w:space="0" w:color="000000"/>
            </w:tcBorders>
            <w:shd w:val="clear" w:color="auto" w:fill="auto"/>
            <w:vAlign w:val="bottom"/>
          </w:tcPr>
          <w:p w14:paraId="55568F40" w14:textId="77777777" w:rsidR="00F925DD" w:rsidRDefault="00F925DD">
            <w:pPr>
              <w:textAlignment w:val="bottom"/>
              <w:rPr>
                <w:rFonts w:ascii="Times New Roman" w:hAnsi="Times New Roman"/>
                <w:sz w:val="20"/>
                <w:szCs w:val="20"/>
              </w:rPr>
            </w:pPr>
          </w:p>
        </w:tc>
      </w:tr>
      <w:tr w:rsidR="00F925DD" w14:paraId="55568F5D" w14:textId="77777777">
        <w:tc>
          <w:tcPr>
            <w:tcW w:w="0" w:type="auto"/>
            <w:shd w:val="clear" w:color="auto" w:fill="CCEEFF"/>
            <w:tcMar>
              <w:top w:w="40" w:type="dxa"/>
              <w:left w:w="40" w:type="dxa"/>
              <w:bottom w:w="40" w:type="dxa"/>
              <w:right w:w="40" w:type="dxa"/>
            </w:tcMar>
            <w:vAlign w:val="bottom"/>
          </w:tcPr>
          <w:p w14:paraId="55568F42" w14:textId="77777777" w:rsidR="00F925DD" w:rsidRDefault="00E705D7">
            <w:pPr>
              <w:textAlignment w:val="bottom"/>
              <w:rPr>
                <w:rFonts w:ascii="Times New Roman" w:hAnsi="Times New Roman"/>
                <w:sz w:val="15"/>
                <w:szCs w:val="15"/>
              </w:rPr>
            </w:pPr>
            <w:r>
              <w:rPr>
                <w:rFonts w:ascii="Arial" w:eastAsia="宋体" w:hAnsi="Arial" w:cs="Arial"/>
                <w:sz w:val="15"/>
                <w:szCs w:val="15"/>
              </w:rPr>
              <w:t>State and political subdivisions(2)</w:t>
            </w:r>
          </w:p>
        </w:tc>
        <w:tc>
          <w:tcPr>
            <w:tcW w:w="0" w:type="auto"/>
            <w:gridSpan w:val="2"/>
            <w:tcBorders>
              <w:top w:val="single" w:sz="8" w:space="0" w:color="000000"/>
            </w:tcBorders>
            <w:shd w:val="clear" w:color="auto" w:fill="CCEEFF"/>
            <w:tcMar>
              <w:top w:w="40" w:type="dxa"/>
              <w:left w:w="40" w:type="dxa"/>
              <w:bottom w:w="40" w:type="dxa"/>
            </w:tcMar>
            <w:vAlign w:val="bottom"/>
          </w:tcPr>
          <w:p w14:paraId="55568F4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238</w:t>
            </w:r>
          </w:p>
        </w:tc>
        <w:tc>
          <w:tcPr>
            <w:tcW w:w="0" w:type="auto"/>
            <w:tcBorders>
              <w:top w:val="single" w:sz="8" w:space="0" w:color="000000"/>
            </w:tcBorders>
            <w:shd w:val="clear" w:color="auto" w:fill="CCEEFF"/>
            <w:vAlign w:val="bottom"/>
          </w:tcPr>
          <w:p w14:paraId="55568F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4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5.97</w:t>
            </w:r>
          </w:p>
        </w:tc>
        <w:tc>
          <w:tcPr>
            <w:tcW w:w="0" w:type="auto"/>
            <w:shd w:val="clear" w:color="auto" w:fill="CCEEFF"/>
            <w:vAlign w:val="bottom"/>
          </w:tcPr>
          <w:p w14:paraId="55568F4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F4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635</w:t>
            </w:r>
          </w:p>
        </w:tc>
        <w:tc>
          <w:tcPr>
            <w:tcW w:w="0" w:type="auto"/>
            <w:tcBorders>
              <w:top w:val="single" w:sz="8" w:space="0" w:color="000000"/>
            </w:tcBorders>
            <w:shd w:val="clear" w:color="auto" w:fill="CCEEFF"/>
            <w:vAlign w:val="bottom"/>
          </w:tcPr>
          <w:p w14:paraId="55568F4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4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5.86</w:t>
            </w:r>
          </w:p>
        </w:tc>
        <w:tc>
          <w:tcPr>
            <w:tcW w:w="0" w:type="auto"/>
            <w:shd w:val="clear" w:color="auto" w:fill="CCEEFF"/>
            <w:vAlign w:val="bottom"/>
          </w:tcPr>
          <w:p w14:paraId="55568F4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F4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554</w:t>
            </w:r>
          </w:p>
        </w:tc>
        <w:tc>
          <w:tcPr>
            <w:tcW w:w="0" w:type="auto"/>
            <w:tcBorders>
              <w:top w:val="single" w:sz="8" w:space="0" w:color="000000"/>
            </w:tcBorders>
            <w:shd w:val="clear" w:color="auto" w:fill="CCEEFF"/>
            <w:vAlign w:val="bottom"/>
          </w:tcPr>
          <w:p w14:paraId="55568F5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5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4.65</w:t>
            </w:r>
          </w:p>
        </w:tc>
        <w:tc>
          <w:tcPr>
            <w:tcW w:w="0" w:type="auto"/>
            <w:shd w:val="clear" w:color="auto" w:fill="CCEEFF"/>
            <w:vAlign w:val="bottom"/>
          </w:tcPr>
          <w:p w14:paraId="55568F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F5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356</w:t>
            </w:r>
          </w:p>
        </w:tc>
        <w:tc>
          <w:tcPr>
            <w:tcW w:w="0" w:type="auto"/>
            <w:tcBorders>
              <w:top w:val="single" w:sz="8" w:space="0" w:color="000000"/>
            </w:tcBorders>
            <w:shd w:val="clear" w:color="auto" w:fill="CCEEFF"/>
            <w:vAlign w:val="bottom"/>
          </w:tcPr>
          <w:p w14:paraId="55568F5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5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5.71</w:t>
            </w:r>
          </w:p>
        </w:tc>
        <w:tc>
          <w:tcPr>
            <w:tcW w:w="0" w:type="auto"/>
            <w:shd w:val="clear" w:color="auto" w:fill="CCEEFF"/>
            <w:vAlign w:val="bottom"/>
          </w:tcPr>
          <w:p w14:paraId="55568F5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8F5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1,783</w:t>
            </w:r>
          </w:p>
        </w:tc>
        <w:tc>
          <w:tcPr>
            <w:tcW w:w="0" w:type="auto"/>
            <w:tcBorders>
              <w:top w:val="single" w:sz="8" w:space="0" w:color="000000"/>
            </w:tcBorders>
            <w:shd w:val="clear" w:color="auto" w:fill="CCEEFF"/>
            <w:vAlign w:val="bottom"/>
          </w:tcPr>
          <w:p w14:paraId="55568F5C" w14:textId="77777777" w:rsidR="00F925DD" w:rsidRDefault="00F925DD">
            <w:pPr>
              <w:textAlignment w:val="bottom"/>
              <w:rPr>
                <w:rFonts w:ascii="Times New Roman" w:hAnsi="Times New Roman"/>
                <w:sz w:val="20"/>
                <w:szCs w:val="20"/>
              </w:rPr>
            </w:pPr>
          </w:p>
        </w:tc>
      </w:tr>
      <w:tr w:rsidR="00F925DD" w14:paraId="55568F79" w14:textId="77777777">
        <w:tc>
          <w:tcPr>
            <w:tcW w:w="0" w:type="auto"/>
            <w:shd w:val="clear" w:color="auto" w:fill="auto"/>
            <w:tcMar>
              <w:top w:w="40" w:type="dxa"/>
              <w:left w:w="40" w:type="dxa"/>
              <w:bottom w:w="40" w:type="dxa"/>
              <w:right w:w="40" w:type="dxa"/>
            </w:tcMar>
            <w:vAlign w:val="bottom"/>
          </w:tcPr>
          <w:p w14:paraId="55568F5E"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mortgage obligations</w:t>
            </w:r>
          </w:p>
        </w:tc>
        <w:tc>
          <w:tcPr>
            <w:tcW w:w="0" w:type="auto"/>
            <w:gridSpan w:val="2"/>
            <w:shd w:val="clear" w:color="auto" w:fill="auto"/>
            <w:tcMar>
              <w:top w:w="40" w:type="dxa"/>
              <w:left w:w="40" w:type="dxa"/>
              <w:bottom w:w="40" w:type="dxa"/>
            </w:tcMar>
            <w:vAlign w:val="bottom"/>
          </w:tcPr>
          <w:p w14:paraId="55568F5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F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F6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F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F6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F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F6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F6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F6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F6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F6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8F6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F7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104</w:t>
            </w:r>
          </w:p>
        </w:tc>
        <w:tc>
          <w:tcPr>
            <w:tcW w:w="0" w:type="auto"/>
            <w:shd w:val="clear" w:color="auto" w:fill="auto"/>
            <w:vAlign w:val="bottom"/>
          </w:tcPr>
          <w:p w14:paraId="55568F7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8F7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3.55</w:t>
            </w:r>
          </w:p>
        </w:tc>
        <w:tc>
          <w:tcPr>
            <w:tcW w:w="0" w:type="auto"/>
            <w:shd w:val="clear" w:color="auto" w:fill="auto"/>
            <w:vAlign w:val="bottom"/>
          </w:tcPr>
          <w:p w14:paraId="55568F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8F7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104</w:t>
            </w:r>
          </w:p>
        </w:tc>
        <w:tc>
          <w:tcPr>
            <w:tcW w:w="0" w:type="auto"/>
            <w:shd w:val="clear" w:color="auto" w:fill="auto"/>
            <w:vAlign w:val="bottom"/>
          </w:tcPr>
          <w:p w14:paraId="55568F78" w14:textId="77777777" w:rsidR="00F925DD" w:rsidRDefault="00F925DD">
            <w:pPr>
              <w:textAlignment w:val="bottom"/>
              <w:rPr>
                <w:rFonts w:ascii="Times New Roman" w:hAnsi="Times New Roman"/>
                <w:sz w:val="20"/>
                <w:szCs w:val="20"/>
              </w:rPr>
            </w:pPr>
          </w:p>
        </w:tc>
      </w:tr>
      <w:tr w:rsidR="00F925DD" w14:paraId="55568F95" w14:textId="77777777">
        <w:tc>
          <w:tcPr>
            <w:tcW w:w="0" w:type="auto"/>
            <w:shd w:val="clear" w:color="auto" w:fill="CCEEFF"/>
            <w:tcMar>
              <w:top w:w="40" w:type="dxa"/>
              <w:left w:w="40" w:type="dxa"/>
              <w:bottom w:w="40" w:type="dxa"/>
              <w:right w:w="40" w:type="dxa"/>
            </w:tcMar>
            <w:vAlign w:val="bottom"/>
          </w:tcPr>
          <w:p w14:paraId="55568F7A"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U.S. debt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F7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760</w:t>
            </w:r>
          </w:p>
        </w:tc>
        <w:tc>
          <w:tcPr>
            <w:tcW w:w="0" w:type="auto"/>
            <w:tcBorders>
              <w:bottom w:val="single" w:sz="8" w:space="0" w:color="000000"/>
            </w:tcBorders>
            <w:shd w:val="clear" w:color="auto" w:fill="CCEEFF"/>
            <w:vAlign w:val="bottom"/>
          </w:tcPr>
          <w:p w14:paraId="55568F7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7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3.00</w:t>
            </w:r>
          </w:p>
        </w:tc>
        <w:tc>
          <w:tcPr>
            <w:tcW w:w="0" w:type="auto"/>
            <w:shd w:val="clear" w:color="auto" w:fill="CCEEFF"/>
            <w:vAlign w:val="bottom"/>
          </w:tcPr>
          <w:p w14:paraId="55568F7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F8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2,083</w:t>
            </w:r>
          </w:p>
        </w:tc>
        <w:tc>
          <w:tcPr>
            <w:tcW w:w="0" w:type="auto"/>
            <w:tcBorders>
              <w:bottom w:val="single" w:sz="8" w:space="0" w:color="000000"/>
            </w:tcBorders>
            <w:shd w:val="clear" w:color="auto" w:fill="CCEEFF"/>
            <w:vAlign w:val="bottom"/>
          </w:tcPr>
          <w:p w14:paraId="55568F8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8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2.69</w:t>
            </w:r>
          </w:p>
        </w:tc>
        <w:tc>
          <w:tcPr>
            <w:tcW w:w="0" w:type="auto"/>
            <w:shd w:val="clear" w:color="auto" w:fill="CCEEFF"/>
            <w:vAlign w:val="bottom"/>
          </w:tcPr>
          <w:p w14:paraId="55568F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F8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130</w:t>
            </w:r>
          </w:p>
        </w:tc>
        <w:tc>
          <w:tcPr>
            <w:tcW w:w="0" w:type="auto"/>
            <w:tcBorders>
              <w:bottom w:val="single" w:sz="8" w:space="0" w:color="000000"/>
            </w:tcBorders>
            <w:shd w:val="clear" w:color="auto" w:fill="CCEEFF"/>
            <w:vAlign w:val="bottom"/>
          </w:tcPr>
          <w:p w14:paraId="55568F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8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2.41</w:t>
            </w:r>
          </w:p>
        </w:tc>
        <w:tc>
          <w:tcPr>
            <w:tcW w:w="0" w:type="auto"/>
            <w:shd w:val="clear" w:color="auto" w:fill="CCEEFF"/>
            <w:vAlign w:val="bottom"/>
          </w:tcPr>
          <w:p w14:paraId="55568F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F8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8F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9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8F9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8F9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2,973</w:t>
            </w:r>
          </w:p>
        </w:tc>
        <w:tc>
          <w:tcPr>
            <w:tcW w:w="0" w:type="auto"/>
            <w:tcBorders>
              <w:bottom w:val="single" w:sz="8" w:space="0" w:color="000000"/>
            </w:tcBorders>
            <w:shd w:val="clear" w:color="auto" w:fill="CCEEFF"/>
            <w:vAlign w:val="bottom"/>
          </w:tcPr>
          <w:p w14:paraId="55568F94" w14:textId="77777777" w:rsidR="00F925DD" w:rsidRDefault="00F925DD">
            <w:pPr>
              <w:textAlignment w:val="bottom"/>
              <w:rPr>
                <w:rFonts w:ascii="Times New Roman" w:hAnsi="Times New Roman"/>
                <w:sz w:val="20"/>
                <w:szCs w:val="20"/>
              </w:rPr>
            </w:pPr>
          </w:p>
        </w:tc>
      </w:tr>
      <w:tr w:rsidR="00F925DD" w14:paraId="55568FB2" w14:textId="77777777">
        <w:tc>
          <w:tcPr>
            <w:tcW w:w="0" w:type="auto"/>
            <w:shd w:val="clear" w:color="auto" w:fill="auto"/>
            <w:tcMar>
              <w:top w:w="40" w:type="dxa"/>
              <w:left w:w="40" w:type="dxa"/>
              <w:bottom w:w="40" w:type="dxa"/>
              <w:right w:w="40" w:type="dxa"/>
            </w:tcMar>
            <w:vAlign w:val="bottom"/>
          </w:tcPr>
          <w:p w14:paraId="55568F96"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F9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F9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8,230</w:t>
            </w:r>
          </w:p>
        </w:tc>
        <w:tc>
          <w:tcPr>
            <w:tcW w:w="0" w:type="auto"/>
            <w:tcBorders>
              <w:top w:val="single" w:sz="8" w:space="0" w:color="000000"/>
              <w:bottom w:val="double" w:sz="6" w:space="0" w:color="000000"/>
            </w:tcBorders>
            <w:shd w:val="clear" w:color="auto" w:fill="auto"/>
            <w:vAlign w:val="bottom"/>
          </w:tcPr>
          <w:p w14:paraId="55568F9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F9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F9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21,247</w:t>
            </w:r>
          </w:p>
        </w:tc>
        <w:tc>
          <w:tcPr>
            <w:tcW w:w="0" w:type="auto"/>
            <w:tcBorders>
              <w:top w:val="single" w:sz="8" w:space="0" w:color="000000"/>
              <w:bottom w:val="double" w:sz="6" w:space="0" w:color="000000"/>
            </w:tcBorders>
            <w:shd w:val="clear" w:color="auto" w:fill="auto"/>
            <w:vAlign w:val="bottom"/>
          </w:tcPr>
          <w:p w14:paraId="55568F9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FA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FA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8,631</w:t>
            </w:r>
          </w:p>
        </w:tc>
        <w:tc>
          <w:tcPr>
            <w:tcW w:w="0" w:type="auto"/>
            <w:tcBorders>
              <w:top w:val="single" w:sz="8" w:space="0" w:color="000000"/>
              <w:bottom w:val="double" w:sz="6" w:space="0" w:color="000000"/>
            </w:tcBorders>
            <w:shd w:val="clear" w:color="auto" w:fill="auto"/>
            <w:vAlign w:val="bottom"/>
          </w:tcPr>
          <w:p w14:paraId="55568FA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FA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FA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15,707</w:t>
            </w:r>
          </w:p>
        </w:tc>
        <w:tc>
          <w:tcPr>
            <w:tcW w:w="0" w:type="auto"/>
            <w:tcBorders>
              <w:top w:val="single" w:sz="8" w:space="0" w:color="000000"/>
              <w:bottom w:val="double" w:sz="6" w:space="0" w:color="000000"/>
            </w:tcBorders>
            <w:shd w:val="clear" w:color="auto" w:fill="auto"/>
            <w:vAlign w:val="bottom"/>
          </w:tcPr>
          <w:p w14:paraId="55568FA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8F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8FA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8FB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53,815</w:t>
            </w:r>
          </w:p>
        </w:tc>
        <w:tc>
          <w:tcPr>
            <w:tcW w:w="0" w:type="auto"/>
            <w:tcBorders>
              <w:top w:val="single" w:sz="8" w:space="0" w:color="000000"/>
              <w:bottom w:val="double" w:sz="6" w:space="0" w:color="000000"/>
            </w:tcBorders>
            <w:shd w:val="clear" w:color="auto" w:fill="auto"/>
            <w:vAlign w:val="bottom"/>
          </w:tcPr>
          <w:p w14:paraId="55568FB1" w14:textId="77777777" w:rsidR="00F925DD" w:rsidRDefault="00F925DD">
            <w:pPr>
              <w:textAlignment w:val="bottom"/>
              <w:rPr>
                <w:rFonts w:ascii="Times New Roman" w:hAnsi="Times New Roman"/>
                <w:sz w:val="20"/>
                <w:szCs w:val="20"/>
              </w:rPr>
            </w:pPr>
          </w:p>
        </w:tc>
      </w:tr>
      <w:tr w:rsidR="00F925DD" w14:paraId="55568FC5" w14:textId="77777777">
        <w:tc>
          <w:tcPr>
            <w:tcW w:w="0" w:type="auto"/>
            <w:shd w:val="clear" w:color="auto" w:fill="auto"/>
            <w:tcMar>
              <w:top w:w="40" w:type="dxa"/>
              <w:left w:w="40" w:type="dxa"/>
              <w:bottom w:w="40" w:type="dxa"/>
              <w:right w:w="40" w:type="dxa"/>
            </w:tcMar>
            <w:vAlign w:val="bottom"/>
          </w:tcPr>
          <w:p w14:paraId="55568F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C4" w14:textId="77777777" w:rsidR="00F925DD" w:rsidRDefault="00F925DD">
            <w:pPr>
              <w:textAlignment w:val="bottom"/>
              <w:rPr>
                <w:rFonts w:ascii="Times New Roman" w:hAnsi="Times New Roman"/>
                <w:sz w:val="15"/>
                <w:szCs w:val="15"/>
              </w:rPr>
            </w:pPr>
          </w:p>
        </w:tc>
      </w:tr>
      <w:tr w:rsidR="00F925DD" w14:paraId="55568FD8" w14:textId="77777777">
        <w:tc>
          <w:tcPr>
            <w:tcW w:w="0" w:type="auto"/>
            <w:shd w:val="clear" w:color="auto" w:fill="auto"/>
            <w:tcMar>
              <w:top w:w="40" w:type="dxa"/>
              <w:left w:w="40" w:type="dxa"/>
              <w:bottom w:w="40" w:type="dxa"/>
              <w:right w:w="40" w:type="dxa"/>
            </w:tcMar>
            <w:vAlign w:val="bottom"/>
          </w:tcPr>
          <w:p w14:paraId="55568FC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Held-to-maturity(1):</w:t>
            </w:r>
          </w:p>
        </w:tc>
        <w:tc>
          <w:tcPr>
            <w:tcW w:w="0" w:type="auto"/>
            <w:gridSpan w:val="3"/>
            <w:shd w:val="clear" w:color="auto" w:fill="auto"/>
            <w:tcMar>
              <w:top w:w="40" w:type="dxa"/>
              <w:left w:w="40" w:type="dxa"/>
              <w:bottom w:w="40" w:type="dxa"/>
              <w:right w:w="40" w:type="dxa"/>
            </w:tcMar>
            <w:vAlign w:val="bottom"/>
          </w:tcPr>
          <w:p w14:paraId="55568F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D7" w14:textId="77777777" w:rsidR="00F925DD" w:rsidRDefault="00F925DD">
            <w:pPr>
              <w:textAlignment w:val="bottom"/>
              <w:rPr>
                <w:rFonts w:ascii="Times New Roman" w:hAnsi="Times New Roman"/>
                <w:sz w:val="15"/>
                <w:szCs w:val="15"/>
              </w:rPr>
            </w:pPr>
          </w:p>
        </w:tc>
      </w:tr>
      <w:tr w:rsidR="00F925DD" w14:paraId="55568FEB" w14:textId="77777777">
        <w:tc>
          <w:tcPr>
            <w:tcW w:w="0" w:type="auto"/>
            <w:shd w:val="clear" w:color="auto" w:fill="auto"/>
            <w:tcMar>
              <w:top w:w="40" w:type="dxa"/>
              <w:left w:w="40" w:type="dxa"/>
              <w:bottom w:w="40" w:type="dxa"/>
              <w:right w:w="40" w:type="dxa"/>
            </w:tcMar>
            <w:vAlign w:val="bottom"/>
          </w:tcPr>
          <w:p w14:paraId="55568FD9"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U.S. Treasury and </w:t>
            </w:r>
            <w:r>
              <w:rPr>
                <w:rFonts w:ascii="Arial" w:eastAsia="宋体" w:hAnsi="Arial" w:cs="Arial"/>
                <w:sz w:val="15"/>
                <w:szCs w:val="15"/>
              </w:rPr>
              <w:t>federal agencies:</w:t>
            </w:r>
          </w:p>
        </w:tc>
        <w:tc>
          <w:tcPr>
            <w:tcW w:w="0" w:type="auto"/>
            <w:gridSpan w:val="3"/>
            <w:shd w:val="clear" w:color="auto" w:fill="auto"/>
            <w:tcMar>
              <w:top w:w="40" w:type="dxa"/>
              <w:left w:w="40" w:type="dxa"/>
              <w:bottom w:w="40" w:type="dxa"/>
              <w:right w:w="40" w:type="dxa"/>
            </w:tcMar>
            <w:vAlign w:val="bottom"/>
          </w:tcPr>
          <w:p w14:paraId="55568F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8F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8F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8FEA" w14:textId="77777777" w:rsidR="00F925DD" w:rsidRDefault="00F925DD">
            <w:pPr>
              <w:textAlignment w:val="bottom"/>
              <w:rPr>
                <w:rFonts w:ascii="Times New Roman" w:hAnsi="Times New Roman"/>
                <w:sz w:val="15"/>
                <w:szCs w:val="15"/>
              </w:rPr>
            </w:pPr>
          </w:p>
        </w:tc>
      </w:tr>
      <w:tr w:rsidR="00E705D7" w14:paraId="5556900C" w14:textId="77777777">
        <w:tc>
          <w:tcPr>
            <w:tcW w:w="0" w:type="auto"/>
            <w:shd w:val="clear" w:color="auto" w:fill="CCEEFF"/>
            <w:tcMar>
              <w:top w:w="40" w:type="dxa"/>
              <w:left w:w="40" w:type="dxa"/>
              <w:bottom w:w="40" w:type="dxa"/>
              <w:right w:w="40" w:type="dxa"/>
            </w:tcMar>
            <w:vAlign w:val="bottom"/>
          </w:tcPr>
          <w:p w14:paraId="55568FEC" w14:textId="77777777" w:rsidR="00F925DD" w:rsidRDefault="00E705D7">
            <w:pPr>
              <w:textAlignment w:val="bottom"/>
              <w:rPr>
                <w:rFonts w:ascii="Times New Roman" w:hAnsi="Times New Roman"/>
                <w:sz w:val="15"/>
                <w:szCs w:val="15"/>
              </w:rPr>
            </w:pPr>
            <w:r>
              <w:rPr>
                <w:rFonts w:ascii="Arial" w:eastAsia="宋体" w:hAnsi="Arial" w:cs="Arial"/>
                <w:sz w:val="15"/>
                <w:szCs w:val="15"/>
              </w:rPr>
              <w:t>  Direct obligations</w:t>
            </w:r>
          </w:p>
        </w:tc>
        <w:tc>
          <w:tcPr>
            <w:tcW w:w="0" w:type="auto"/>
            <w:shd w:val="clear" w:color="auto" w:fill="CCEEFF"/>
            <w:tcMar>
              <w:top w:w="40" w:type="dxa"/>
              <w:left w:w="40" w:type="dxa"/>
              <w:bottom w:w="40" w:type="dxa"/>
            </w:tcMar>
            <w:vAlign w:val="bottom"/>
          </w:tcPr>
          <w:p w14:paraId="55568FE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8FE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4,116</w:t>
            </w:r>
          </w:p>
        </w:tc>
        <w:tc>
          <w:tcPr>
            <w:tcW w:w="0" w:type="auto"/>
            <w:shd w:val="clear" w:color="auto" w:fill="CCEEFF"/>
            <w:vAlign w:val="bottom"/>
          </w:tcPr>
          <w:p w14:paraId="55568FE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F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2.27</w:t>
            </w:r>
          </w:p>
        </w:tc>
        <w:tc>
          <w:tcPr>
            <w:tcW w:w="0" w:type="auto"/>
            <w:shd w:val="clear" w:color="auto" w:fill="CCEEFF"/>
            <w:tcMar>
              <w:top w:w="40" w:type="dxa"/>
              <w:bottom w:w="40" w:type="dxa"/>
              <w:right w:w="40" w:type="dxa"/>
            </w:tcMar>
            <w:vAlign w:val="bottom"/>
          </w:tcPr>
          <w:p w14:paraId="55568FF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8F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F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8FF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6,161</w:t>
            </w:r>
          </w:p>
        </w:tc>
        <w:tc>
          <w:tcPr>
            <w:tcW w:w="0" w:type="auto"/>
            <w:shd w:val="clear" w:color="auto" w:fill="CCEEFF"/>
            <w:vAlign w:val="bottom"/>
          </w:tcPr>
          <w:p w14:paraId="55568FF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F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2.31</w:t>
            </w:r>
          </w:p>
        </w:tc>
        <w:tc>
          <w:tcPr>
            <w:tcW w:w="0" w:type="auto"/>
            <w:shd w:val="clear" w:color="auto" w:fill="CCEEFF"/>
            <w:tcMar>
              <w:top w:w="40" w:type="dxa"/>
              <w:bottom w:w="40" w:type="dxa"/>
              <w:right w:w="40" w:type="dxa"/>
            </w:tcMar>
            <w:vAlign w:val="bottom"/>
          </w:tcPr>
          <w:p w14:paraId="55568FF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8F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F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8FF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shd w:val="clear" w:color="auto" w:fill="CCEEFF"/>
            <w:vAlign w:val="bottom"/>
          </w:tcPr>
          <w:p w14:paraId="55568F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8F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8FF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2.44</w:t>
            </w:r>
          </w:p>
        </w:tc>
        <w:tc>
          <w:tcPr>
            <w:tcW w:w="0" w:type="auto"/>
            <w:shd w:val="clear" w:color="auto" w:fill="CCEEFF"/>
            <w:tcMar>
              <w:top w:w="40" w:type="dxa"/>
              <w:bottom w:w="40" w:type="dxa"/>
              <w:right w:w="40" w:type="dxa"/>
            </w:tcMar>
            <w:vAlign w:val="bottom"/>
          </w:tcPr>
          <w:p w14:paraId="5556900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0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0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900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w:t>
            </w:r>
          </w:p>
        </w:tc>
        <w:tc>
          <w:tcPr>
            <w:tcW w:w="0" w:type="auto"/>
            <w:shd w:val="clear" w:color="auto" w:fill="CCEEFF"/>
            <w:vAlign w:val="bottom"/>
          </w:tcPr>
          <w:p w14:paraId="5556900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0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w:t>
            </w:r>
          </w:p>
        </w:tc>
        <w:tc>
          <w:tcPr>
            <w:tcW w:w="0" w:type="auto"/>
            <w:shd w:val="clear" w:color="auto" w:fill="CCEEFF"/>
            <w:tcMar>
              <w:top w:w="40" w:type="dxa"/>
              <w:bottom w:w="40" w:type="dxa"/>
              <w:right w:w="40" w:type="dxa"/>
            </w:tcMar>
            <w:vAlign w:val="bottom"/>
          </w:tcPr>
          <w:p w14:paraId="5556900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0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0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900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10,311</w:t>
            </w:r>
          </w:p>
        </w:tc>
        <w:tc>
          <w:tcPr>
            <w:tcW w:w="0" w:type="auto"/>
            <w:shd w:val="clear" w:color="auto" w:fill="CCEEFF"/>
            <w:vAlign w:val="bottom"/>
          </w:tcPr>
          <w:p w14:paraId="5556900B" w14:textId="77777777" w:rsidR="00F925DD" w:rsidRDefault="00F925DD">
            <w:pPr>
              <w:textAlignment w:val="bottom"/>
              <w:rPr>
                <w:rFonts w:ascii="Times New Roman" w:hAnsi="Times New Roman"/>
                <w:sz w:val="20"/>
                <w:szCs w:val="20"/>
              </w:rPr>
            </w:pPr>
          </w:p>
        </w:tc>
      </w:tr>
      <w:tr w:rsidR="00F925DD" w14:paraId="55569028" w14:textId="77777777">
        <w:tc>
          <w:tcPr>
            <w:tcW w:w="0" w:type="auto"/>
            <w:shd w:val="clear" w:color="auto" w:fill="auto"/>
            <w:tcMar>
              <w:top w:w="40" w:type="dxa"/>
              <w:left w:w="40" w:type="dxa"/>
              <w:bottom w:w="40" w:type="dxa"/>
              <w:right w:w="40" w:type="dxa"/>
            </w:tcMar>
            <w:vAlign w:val="bottom"/>
          </w:tcPr>
          <w:p w14:paraId="5556900D" w14:textId="77777777" w:rsidR="00F925DD" w:rsidRDefault="00E705D7">
            <w:pPr>
              <w:textAlignment w:val="bottom"/>
              <w:rPr>
                <w:rFonts w:ascii="Times New Roman" w:hAnsi="Times New Roman"/>
                <w:sz w:val="15"/>
                <w:szCs w:val="15"/>
              </w:rPr>
            </w:pPr>
            <w:r>
              <w:rPr>
                <w:rFonts w:ascii="Arial" w:eastAsia="宋体" w:hAnsi="Arial" w:cs="Arial"/>
                <w:sz w:val="15"/>
                <w:szCs w:val="15"/>
              </w:rPr>
              <w:t>  Mortgage-backed securities</w:t>
            </w:r>
          </w:p>
        </w:tc>
        <w:tc>
          <w:tcPr>
            <w:tcW w:w="0" w:type="auto"/>
            <w:gridSpan w:val="2"/>
            <w:shd w:val="clear" w:color="auto" w:fill="auto"/>
            <w:tcMar>
              <w:top w:w="40" w:type="dxa"/>
              <w:left w:w="40" w:type="dxa"/>
              <w:bottom w:w="40" w:type="dxa"/>
            </w:tcMar>
            <w:vAlign w:val="bottom"/>
          </w:tcPr>
          <w:p w14:paraId="5556900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w:t>
            </w:r>
          </w:p>
        </w:tc>
        <w:tc>
          <w:tcPr>
            <w:tcW w:w="0" w:type="auto"/>
            <w:shd w:val="clear" w:color="auto" w:fill="auto"/>
            <w:vAlign w:val="bottom"/>
          </w:tcPr>
          <w:p w14:paraId="555690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1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2.88</w:t>
            </w:r>
          </w:p>
        </w:tc>
        <w:tc>
          <w:tcPr>
            <w:tcW w:w="0" w:type="auto"/>
            <w:shd w:val="clear" w:color="auto" w:fill="auto"/>
            <w:vAlign w:val="bottom"/>
          </w:tcPr>
          <w:p w14:paraId="555690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01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438</w:t>
            </w:r>
          </w:p>
        </w:tc>
        <w:tc>
          <w:tcPr>
            <w:tcW w:w="0" w:type="auto"/>
            <w:shd w:val="clear" w:color="auto" w:fill="auto"/>
            <w:vAlign w:val="bottom"/>
          </w:tcPr>
          <w:p w14:paraId="5556901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1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2.65</w:t>
            </w:r>
          </w:p>
        </w:tc>
        <w:tc>
          <w:tcPr>
            <w:tcW w:w="0" w:type="auto"/>
            <w:shd w:val="clear" w:color="auto" w:fill="auto"/>
            <w:vAlign w:val="bottom"/>
          </w:tcPr>
          <w:p w14:paraId="5556901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01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2,515</w:t>
            </w:r>
          </w:p>
        </w:tc>
        <w:tc>
          <w:tcPr>
            <w:tcW w:w="0" w:type="auto"/>
            <w:shd w:val="clear" w:color="auto" w:fill="auto"/>
            <w:vAlign w:val="bottom"/>
          </w:tcPr>
          <w:p w14:paraId="5556901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1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2.92</w:t>
            </w:r>
          </w:p>
        </w:tc>
        <w:tc>
          <w:tcPr>
            <w:tcW w:w="0" w:type="auto"/>
            <w:shd w:val="clear" w:color="auto" w:fill="auto"/>
            <w:vAlign w:val="bottom"/>
          </w:tcPr>
          <w:p w14:paraId="5556901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02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23,335</w:t>
            </w:r>
          </w:p>
        </w:tc>
        <w:tc>
          <w:tcPr>
            <w:tcW w:w="0" w:type="auto"/>
            <w:shd w:val="clear" w:color="auto" w:fill="auto"/>
            <w:vAlign w:val="bottom"/>
          </w:tcPr>
          <w:p w14:paraId="5556902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2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3.39</w:t>
            </w:r>
          </w:p>
        </w:tc>
        <w:tc>
          <w:tcPr>
            <w:tcW w:w="0" w:type="auto"/>
            <w:shd w:val="clear" w:color="auto" w:fill="auto"/>
            <w:vAlign w:val="bottom"/>
          </w:tcPr>
          <w:p w14:paraId="5556902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02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26,297</w:t>
            </w:r>
          </w:p>
        </w:tc>
        <w:tc>
          <w:tcPr>
            <w:tcW w:w="0" w:type="auto"/>
            <w:shd w:val="clear" w:color="auto" w:fill="auto"/>
            <w:vAlign w:val="bottom"/>
          </w:tcPr>
          <w:p w14:paraId="55569027" w14:textId="77777777" w:rsidR="00F925DD" w:rsidRDefault="00F925DD">
            <w:pPr>
              <w:textAlignment w:val="bottom"/>
              <w:rPr>
                <w:rFonts w:ascii="Times New Roman" w:hAnsi="Times New Roman"/>
                <w:sz w:val="20"/>
                <w:szCs w:val="20"/>
              </w:rPr>
            </w:pPr>
          </w:p>
        </w:tc>
      </w:tr>
      <w:tr w:rsidR="00F925DD" w14:paraId="55569040" w14:textId="77777777">
        <w:tc>
          <w:tcPr>
            <w:tcW w:w="0" w:type="auto"/>
            <w:shd w:val="clear" w:color="auto" w:fill="CCEEFF"/>
            <w:tcMar>
              <w:top w:w="40" w:type="dxa"/>
              <w:left w:w="400" w:type="dxa"/>
              <w:bottom w:w="40" w:type="dxa"/>
              <w:right w:w="40" w:type="dxa"/>
            </w:tcMar>
            <w:vAlign w:val="bottom"/>
          </w:tcPr>
          <w:p w14:paraId="55569029"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2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4,125</w:t>
            </w:r>
          </w:p>
        </w:tc>
        <w:tc>
          <w:tcPr>
            <w:tcW w:w="0" w:type="auto"/>
            <w:tcBorders>
              <w:top w:val="single" w:sz="8" w:space="0" w:color="000000"/>
              <w:bottom w:val="single" w:sz="8" w:space="0" w:color="000000"/>
            </w:tcBorders>
            <w:shd w:val="clear" w:color="auto" w:fill="CCEEFF"/>
            <w:vAlign w:val="bottom"/>
          </w:tcPr>
          <w:p w14:paraId="555690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2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6,599</w:t>
            </w:r>
          </w:p>
        </w:tc>
        <w:tc>
          <w:tcPr>
            <w:tcW w:w="0" w:type="auto"/>
            <w:tcBorders>
              <w:top w:val="single" w:sz="8" w:space="0" w:color="000000"/>
              <w:bottom w:val="single" w:sz="8" w:space="0" w:color="000000"/>
            </w:tcBorders>
            <w:shd w:val="clear" w:color="auto" w:fill="CCEEFF"/>
            <w:vAlign w:val="bottom"/>
          </w:tcPr>
          <w:p w14:paraId="5556903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3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2,520</w:t>
            </w:r>
          </w:p>
        </w:tc>
        <w:tc>
          <w:tcPr>
            <w:tcW w:w="0" w:type="auto"/>
            <w:tcBorders>
              <w:top w:val="single" w:sz="8" w:space="0" w:color="000000"/>
              <w:bottom w:val="single" w:sz="8" w:space="0" w:color="000000"/>
            </w:tcBorders>
            <w:shd w:val="clear" w:color="auto" w:fill="CCEEFF"/>
            <w:vAlign w:val="bottom"/>
          </w:tcPr>
          <w:p w14:paraId="555690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3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23,364</w:t>
            </w:r>
          </w:p>
        </w:tc>
        <w:tc>
          <w:tcPr>
            <w:tcW w:w="0" w:type="auto"/>
            <w:tcBorders>
              <w:top w:val="single" w:sz="8" w:space="0" w:color="000000"/>
              <w:bottom w:val="single" w:sz="8" w:space="0" w:color="000000"/>
            </w:tcBorders>
            <w:shd w:val="clear" w:color="auto" w:fill="CCEEFF"/>
            <w:vAlign w:val="bottom"/>
          </w:tcPr>
          <w:p w14:paraId="555690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3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36,608</w:t>
            </w:r>
          </w:p>
        </w:tc>
        <w:tc>
          <w:tcPr>
            <w:tcW w:w="0" w:type="auto"/>
            <w:tcBorders>
              <w:top w:val="single" w:sz="8" w:space="0" w:color="000000"/>
              <w:bottom w:val="single" w:sz="8" w:space="0" w:color="000000"/>
            </w:tcBorders>
            <w:shd w:val="clear" w:color="auto" w:fill="CCEEFF"/>
            <w:vAlign w:val="bottom"/>
          </w:tcPr>
          <w:p w14:paraId="5556903F" w14:textId="77777777" w:rsidR="00F925DD" w:rsidRDefault="00F925DD">
            <w:pPr>
              <w:textAlignment w:val="bottom"/>
              <w:rPr>
                <w:rFonts w:ascii="Times New Roman" w:hAnsi="Times New Roman"/>
                <w:sz w:val="20"/>
                <w:szCs w:val="20"/>
              </w:rPr>
            </w:pPr>
          </w:p>
        </w:tc>
      </w:tr>
      <w:tr w:rsidR="00F925DD" w14:paraId="55569053" w14:textId="77777777">
        <w:tc>
          <w:tcPr>
            <w:tcW w:w="0" w:type="auto"/>
            <w:shd w:val="clear" w:color="auto" w:fill="auto"/>
            <w:tcMar>
              <w:top w:w="40" w:type="dxa"/>
              <w:left w:w="40" w:type="dxa"/>
              <w:bottom w:w="40" w:type="dxa"/>
              <w:right w:w="40" w:type="dxa"/>
            </w:tcMar>
            <w:vAlign w:val="bottom"/>
          </w:tcPr>
          <w:p w14:paraId="55569041"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555690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90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0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90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0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90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0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90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052" w14:textId="77777777" w:rsidR="00F925DD" w:rsidRDefault="00F925DD">
            <w:pPr>
              <w:textAlignment w:val="bottom"/>
              <w:rPr>
                <w:rFonts w:ascii="Times New Roman" w:hAnsi="Times New Roman"/>
                <w:sz w:val="15"/>
                <w:szCs w:val="15"/>
              </w:rPr>
            </w:pPr>
          </w:p>
        </w:tc>
      </w:tr>
      <w:tr w:rsidR="00F925DD" w14:paraId="5556906F" w14:textId="77777777">
        <w:tc>
          <w:tcPr>
            <w:tcW w:w="0" w:type="auto"/>
            <w:shd w:val="clear" w:color="auto" w:fill="CCEEFF"/>
            <w:tcMar>
              <w:top w:w="40" w:type="dxa"/>
              <w:left w:w="40" w:type="dxa"/>
              <w:bottom w:w="40" w:type="dxa"/>
              <w:right w:w="40" w:type="dxa"/>
            </w:tcMar>
            <w:vAlign w:val="bottom"/>
          </w:tcPr>
          <w:p w14:paraId="55569054" w14:textId="77777777" w:rsidR="00F925DD" w:rsidRDefault="00E705D7">
            <w:pPr>
              <w:textAlignment w:val="bottom"/>
              <w:rPr>
                <w:rFonts w:ascii="Times New Roman" w:hAnsi="Times New Roman"/>
                <w:sz w:val="15"/>
                <w:szCs w:val="15"/>
              </w:rPr>
            </w:pPr>
            <w:r>
              <w:rPr>
                <w:rFonts w:ascii="Arial" w:eastAsia="宋体" w:hAnsi="Arial" w:cs="Arial"/>
                <w:sz w:val="15"/>
                <w:szCs w:val="15"/>
              </w:rPr>
              <w:t>   Student loans</w:t>
            </w:r>
          </w:p>
        </w:tc>
        <w:tc>
          <w:tcPr>
            <w:tcW w:w="0" w:type="auto"/>
            <w:gridSpan w:val="2"/>
            <w:shd w:val="clear" w:color="auto" w:fill="CCEEFF"/>
            <w:tcMar>
              <w:top w:w="40" w:type="dxa"/>
              <w:left w:w="40" w:type="dxa"/>
              <w:bottom w:w="40" w:type="dxa"/>
            </w:tcMar>
            <w:vAlign w:val="bottom"/>
          </w:tcPr>
          <w:p w14:paraId="5556905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96</w:t>
            </w:r>
          </w:p>
        </w:tc>
        <w:tc>
          <w:tcPr>
            <w:tcW w:w="0" w:type="auto"/>
            <w:shd w:val="clear" w:color="auto" w:fill="CCEEFF"/>
            <w:vAlign w:val="bottom"/>
          </w:tcPr>
          <w:p w14:paraId="5556905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5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2.09</w:t>
            </w:r>
          </w:p>
        </w:tc>
        <w:tc>
          <w:tcPr>
            <w:tcW w:w="0" w:type="auto"/>
            <w:shd w:val="clear" w:color="auto" w:fill="CCEEFF"/>
            <w:vAlign w:val="bottom"/>
          </w:tcPr>
          <w:p w14:paraId="5556905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05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207</w:t>
            </w:r>
          </w:p>
        </w:tc>
        <w:tc>
          <w:tcPr>
            <w:tcW w:w="0" w:type="auto"/>
            <w:shd w:val="clear" w:color="auto" w:fill="CCEEFF"/>
            <w:vAlign w:val="bottom"/>
          </w:tcPr>
          <w:p w14:paraId="5556905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5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2.34</w:t>
            </w:r>
          </w:p>
        </w:tc>
        <w:tc>
          <w:tcPr>
            <w:tcW w:w="0" w:type="auto"/>
            <w:shd w:val="clear" w:color="auto" w:fill="CCEEFF"/>
            <w:vAlign w:val="bottom"/>
          </w:tcPr>
          <w:p w14:paraId="5556905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06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408</w:t>
            </w:r>
          </w:p>
        </w:tc>
        <w:tc>
          <w:tcPr>
            <w:tcW w:w="0" w:type="auto"/>
            <w:shd w:val="clear" w:color="auto" w:fill="CCEEFF"/>
            <w:vAlign w:val="bottom"/>
          </w:tcPr>
          <w:p w14:paraId="5556906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6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2.42</w:t>
            </w:r>
          </w:p>
        </w:tc>
        <w:tc>
          <w:tcPr>
            <w:tcW w:w="0" w:type="auto"/>
            <w:shd w:val="clear" w:color="auto" w:fill="CCEEFF"/>
            <w:vAlign w:val="bottom"/>
          </w:tcPr>
          <w:p w14:paraId="5556906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06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3,072</w:t>
            </w:r>
          </w:p>
        </w:tc>
        <w:tc>
          <w:tcPr>
            <w:tcW w:w="0" w:type="auto"/>
            <w:shd w:val="clear" w:color="auto" w:fill="CCEEFF"/>
            <w:vAlign w:val="bottom"/>
          </w:tcPr>
          <w:p w14:paraId="5556906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6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2.53</w:t>
            </w:r>
          </w:p>
        </w:tc>
        <w:tc>
          <w:tcPr>
            <w:tcW w:w="0" w:type="auto"/>
            <w:shd w:val="clear" w:color="auto" w:fill="CCEEFF"/>
            <w:vAlign w:val="bottom"/>
          </w:tcPr>
          <w:p w14:paraId="5556906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06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3,783</w:t>
            </w:r>
          </w:p>
        </w:tc>
        <w:tc>
          <w:tcPr>
            <w:tcW w:w="0" w:type="auto"/>
            <w:shd w:val="clear" w:color="auto" w:fill="CCEEFF"/>
            <w:vAlign w:val="bottom"/>
          </w:tcPr>
          <w:p w14:paraId="5556906E" w14:textId="77777777" w:rsidR="00F925DD" w:rsidRDefault="00F925DD">
            <w:pPr>
              <w:textAlignment w:val="bottom"/>
              <w:rPr>
                <w:rFonts w:ascii="Times New Roman" w:hAnsi="Times New Roman"/>
                <w:sz w:val="20"/>
                <w:szCs w:val="20"/>
              </w:rPr>
            </w:pPr>
          </w:p>
        </w:tc>
      </w:tr>
      <w:tr w:rsidR="00F925DD" w14:paraId="5556908B" w14:textId="77777777">
        <w:tc>
          <w:tcPr>
            <w:tcW w:w="0" w:type="auto"/>
            <w:shd w:val="clear" w:color="auto" w:fill="auto"/>
            <w:tcMar>
              <w:top w:w="40" w:type="dxa"/>
              <w:left w:w="40" w:type="dxa"/>
              <w:bottom w:w="40" w:type="dxa"/>
              <w:right w:w="40" w:type="dxa"/>
            </w:tcMar>
            <w:vAlign w:val="bottom"/>
          </w:tcPr>
          <w:p w14:paraId="55569070" w14:textId="77777777" w:rsidR="00F925DD" w:rsidRDefault="00E705D7">
            <w:pPr>
              <w:textAlignment w:val="bottom"/>
              <w:rPr>
                <w:rFonts w:ascii="Times New Roman" w:hAnsi="Times New Roman"/>
                <w:sz w:val="15"/>
                <w:szCs w:val="15"/>
              </w:rPr>
            </w:pPr>
            <w:r>
              <w:rPr>
                <w:rFonts w:ascii="Arial" w:eastAsia="宋体" w:hAnsi="Arial" w:cs="Arial"/>
                <w:sz w:val="15"/>
                <w:szCs w:val="15"/>
              </w:rPr>
              <w:t>    Other</w:t>
            </w:r>
          </w:p>
        </w:tc>
        <w:tc>
          <w:tcPr>
            <w:tcW w:w="0" w:type="auto"/>
            <w:gridSpan w:val="2"/>
            <w:tcBorders>
              <w:bottom w:val="single" w:sz="8" w:space="0" w:color="000000"/>
            </w:tcBorders>
            <w:shd w:val="clear" w:color="auto" w:fill="auto"/>
            <w:tcMar>
              <w:top w:w="40" w:type="dxa"/>
              <w:left w:w="40" w:type="dxa"/>
              <w:bottom w:w="40" w:type="dxa"/>
            </w:tcMar>
            <w:vAlign w:val="bottom"/>
          </w:tcPr>
          <w:p w14:paraId="5556907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907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7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90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907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907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7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907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907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907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8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908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908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908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8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2.79</w:t>
            </w:r>
          </w:p>
        </w:tc>
        <w:tc>
          <w:tcPr>
            <w:tcW w:w="0" w:type="auto"/>
            <w:shd w:val="clear" w:color="auto" w:fill="auto"/>
            <w:vAlign w:val="bottom"/>
          </w:tcPr>
          <w:p w14:paraId="5556908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908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908A" w14:textId="77777777" w:rsidR="00F925DD" w:rsidRDefault="00F925DD">
            <w:pPr>
              <w:textAlignment w:val="bottom"/>
              <w:rPr>
                <w:rFonts w:ascii="Times New Roman" w:hAnsi="Times New Roman"/>
                <w:sz w:val="20"/>
                <w:szCs w:val="20"/>
              </w:rPr>
            </w:pPr>
          </w:p>
        </w:tc>
      </w:tr>
      <w:tr w:rsidR="00F925DD" w14:paraId="555690A3" w14:textId="77777777">
        <w:tc>
          <w:tcPr>
            <w:tcW w:w="0" w:type="auto"/>
            <w:shd w:val="clear" w:color="auto" w:fill="CCEEFF"/>
            <w:tcMar>
              <w:top w:w="40" w:type="dxa"/>
              <w:left w:w="400" w:type="dxa"/>
              <w:bottom w:w="40" w:type="dxa"/>
              <w:right w:w="40" w:type="dxa"/>
            </w:tcMar>
            <w:vAlign w:val="bottom"/>
          </w:tcPr>
          <w:p w14:paraId="5556908C" w14:textId="77777777" w:rsidR="00F925DD" w:rsidRDefault="00E705D7">
            <w:pPr>
              <w:textAlignment w:val="bottom"/>
              <w:rPr>
                <w:rFonts w:ascii="Times New Roman" w:hAnsi="Times New Roman"/>
                <w:sz w:val="15"/>
                <w:szCs w:val="15"/>
              </w:rPr>
            </w:pPr>
            <w:r>
              <w:rPr>
                <w:rFonts w:ascii="Arial" w:eastAsia="宋体" w:hAnsi="Arial" w:cs="Arial"/>
                <w:sz w:val="15"/>
                <w:szCs w:val="15"/>
              </w:rPr>
              <w:t> Total asset-backed securities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8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96</w:t>
            </w:r>
          </w:p>
        </w:tc>
        <w:tc>
          <w:tcPr>
            <w:tcW w:w="0" w:type="auto"/>
            <w:tcBorders>
              <w:top w:val="single" w:sz="8" w:space="0" w:color="000000"/>
              <w:bottom w:val="single" w:sz="8" w:space="0" w:color="000000"/>
            </w:tcBorders>
            <w:shd w:val="clear" w:color="auto" w:fill="CCEEFF"/>
            <w:vAlign w:val="bottom"/>
          </w:tcPr>
          <w:p w14:paraId="555690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9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207</w:t>
            </w:r>
          </w:p>
        </w:tc>
        <w:tc>
          <w:tcPr>
            <w:tcW w:w="0" w:type="auto"/>
            <w:tcBorders>
              <w:top w:val="single" w:sz="8" w:space="0" w:color="000000"/>
              <w:bottom w:val="single" w:sz="8" w:space="0" w:color="000000"/>
            </w:tcBorders>
            <w:shd w:val="clear" w:color="auto" w:fill="CCEEFF"/>
            <w:vAlign w:val="bottom"/>
          </w:tcPr>
          <w:p w14:paraId="5556909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9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408</w:t>
            </w:r>
          </w:p>
        </w:tc>
        <w:tc>
          <w:tcPr>
            <w:tcW w:w="0" w:type="auto"/>
            <w:tcBorders>
              <w:top w:val="single" w:sz="8" w:space="0" w:color="000000"/>
              <w:bottom w:val="single" w:sz="8" w:space="0" w:color="000000"/>
            </w:tcBorders>
            <w:shd w:val="clear" w:color="auto" w:fill="CCEEFF"/>
            <w:vAlign w:val="bottom"/>
          </w:tcPr>
          <w:p w14:paraId="5556909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9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3,072</w:t>
            </w:r>
          </w:p>
        </w:tc>
        <w:tc>
          <w:tcPr>
            <w:tcW w:w="0" w:type="auto"/>
            <w:tcBorders>
              <w:top w:val="single" w:sz="8" w:space="0" w:color="000000"/>
              <w:bottom w:val="single" w:sz="8" w:space="0" w:color="000000"/>
            </w:tcBorders>
            <w:shd w:val="clear" w:color="auto" w:fill="CCEEFF"/>
            <w:vAlign w:val="bottom"/>
          </w:tcPr>
          <w:p w14:paraId="555690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A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3,783</w:t>
            </w:r>
          </w:p>
        </w:tc>
        <w:tc>
          <w:tcPr>
            <w:tcW w:w="0" w:type="auto"/>
            <w:tcBorders>
              <w:top w:val="single" w:sz="8" w:space="0" w:color="000000"/>
              <w:bottom w:val="single" w:sz="8" w:space="0" w:color="000000"/>
            </w:tcBorders>
            <w:shd w:val="clear" w:color="auto" w:fill="CCEEFF"/>
            <w:vAlign w:val="bottom"/>
          </w:tcPr>
          <w:p w14:paraId="555690A2" w14:textId="77777777" w:rsidR="00F925DD" w:rsidRDefault="00F925DD">
            <w:pPr>
              <w:textAlignment w:val="bottom"/>
              <w:rPr>
                <w:rFonts w:ascii="Times New Roman" w:hAnsi="Times New Roman"/>
                <w:sz w:val="20"/>
                <w:szCs w:val="20"/>
              </w:rPr>
            </w:pPr>
          </w:p>
        </w:tc>
      </w:tr>
      <w:tr w:rsidR="00F925DD" w14:paraId="555690B6" w14:textId="77777777">
        <w:tc>
          <w:tcPr>
            <w:tcW w:w="0" w:type="auto"/>
            <w:shd w:val="clear" w:color="auto" w:fill="auto"/>
            <w:tcMar>
              <w:top w:w="40" w:type="dxa"/>
              <w:left w:w="40" w:type="dxa"/>
              <w:bottom w:w="40" w:type="dxa"/>
              <w:right w:w="40" w:type="dxa"/>
            </w:tcMar>
            <w:vAlign w:val="bottom"/>
          </w:tcPr>
          <w:p w14:paraId="555690A4"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auto"/>
            <w:tcMar>
              <w:top w:w="40" w:type="dxa"/>
              <w:left w:w="40" w:type="dxa"/>
              <w:bottom w:w="40" w:type="dxa"/>
              <w:right w:w="40" w:type="dxa"/>
            </w:tcMar>
            <w:vAlign w:val="bottom"/>
          </w:tcPr>
          <w:p w14:paraId="555690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90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0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90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0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90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0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90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0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0B5" w14:textId="77777777" w:rsidR="00F925DD" w:rsidRDefault="00F925DD">
            <w:pPr>
              <w:textAlignment w:val="bottom"/>
              <w:rPr>
                <w:rFonts w:ascii="Times New Roman" w:hAnsi="Times New Roman"/>
                <w:sz w:val="15"/>
                <w:szCs w:val="15"/>
              </w:rPr>
            </w:pPr>
          </w:p>
        </w:tc>
      </w:tr>
      <w:tr w:rsidR="00F925DD" w14:paraId="555690D2" w14:textId="77777777">
        <w:tc>
          <w:tcPr>
            <w:tcW w:w="0" w:type="auto"/>
            <w:shd w:val="clear" w:color="auto" w:fill="CCEEFF"/>
            <w:tcMar>
              <w:top w:w="40" w:type="dxa"/>
              <w:left w:w="40" w:type="dxa"/>
              <w:bottom w:w="40" w:type="dxa"/>
              <w:right w:w="40" w:type="dxa"/>
            </w:tcMar>
            <w:vAlign w:val="bottom"/>
          </w:tcPr>
          <w:p w14:paraId="555690B7" w14:textId="77777777" w:rsidR="00F925DD" w:rsidRDefault="00E705D7">
            <w:pPr>
              <w:textAlignment w:val="bottom"/>
              <w:rPr>
                <w:rFonts w:ascii="Times New Roman" w:hAnsi="Times New Roman"/>
                <w:sz w:val="15"/>
                <w:szCs w:val="15"/>
              </w:rPr>
            </w:pPr>
            <w:r>
              <w:rPr>
                <w:rFonts w:ascii="Arial" w:eastAsia="宋体" w:hAnsi="Arial" w:cs="Arial"/>
                <w:sz w:val="15"/>
                <w:szCs w:val="15"/>
              </w:rPr>
              <w:t>  Mortgage-backed securities</w:t>
            </w:r>
          </w:p>
        </w:tc>
        <w:tc>
          <w:tcPr>
            <w:tcW w:w="0" w:type="auto"/>
            <w:gridSpan w:val="2"/>
            <w:shd w:val="clear" w:color="auto" w:fill="CCEEFF"/>
            <w:tcMar>
              <w:top w:w="40" w:type="dxa"/>
              <w:left w:w="40" w:type="dxa"/>
              <w:bottom w:w="40" w:type="dxa"/>
            </w:tcMar>
            <w:vAlign w:val="bottom"/>
          </w:tcPr>
          <w:p w14:paraId="555690B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w:t>
            </w:r>
          </w:p>
        </w:tc>
        <w:tc>
          <w:tcPr>
            <w:tcW w:w="0" w:type="auto"/>
            <w:shd w:val="clear" w:color="auto" w:fill="CCEEFF"/>
            <w:vAlign w:val="bottom"/>
          </w:tcPr>
          <w:p w14:paraId="555690B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B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2.97</w:t>
            </w:r>
          </w:p>
        </w:tc>
        <w:tc>
          <w:tcPr>
            <w:tcW w:w="0" w:type="auto"/>
            <w:shd w:val="clear" w:color="auto" w:fill="CCEEFF"/>
            <w:vAlign w:val="bottom"/>
          </w:tcPr>
          <w:p w14:paraId="555690B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0B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33</w:t>
            </w:r>
          </w:p>
        </w:tc>
        <w:tc>
          <w:tcPr>
            <w:tcW w:w="0" w:type="auto"/>
            <w:shd w:val="clear" w:color="auto" w:fill="CCEEFF"/>
            <w:vAlign w:val="bottom"/>
          </w:tcPr>
          <w:p w14:paraId="555690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C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1.93</w:t>
            </w:r>
          </w:p>
        </w:tc>
        <w:tc>
          <w:tcPr>
            <w:tcW w:w="0" w:type="auto"/>
            <w:shd w:val="clear" w:color="auto" w:fill="CCEEFF"/>
            <w:vAlign w:val="bottom"/>
          </w:tcPr>
          <w:p w14:paraId="555690C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0C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CCEEFF"/>
            <w:vAlign w:val="bottom"/>
          </w:tcPr>
          <w:p w14:paraId="555690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C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1.80</w:t>
            </w:r>
          </w:p>
        </w:tc>
        <w:tc>
          <w:tcPr>
            <w:tcW w:w="0" w:type="auto"/>
            <w:shd w:val="clear" w:color="auto" w:fill="CCEEFF"/>
            <w:vAlign w:val="bottom"/>
          </w:tcPr>
          <w:p w14:paraId="555690C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0C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313</w:t>
            </w:r>
          </w:p>
        </w:tc>
        <w:tc>
          <w:tcPr>
            <w:tcW w:w="0" w:type="auto"/>
            <w:shd w:val="clear" w:color="auto" w:fill="CCEEFF"/>
            <w:vAlign w:val="bottom"/>
          </w:tcPr>
          <w:p w14:paraId="555690C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0C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0.92</w:t>
            </w:r>
          </w:p>
        </w:tc>
        <w:tc>
          <w:tcPr>
            <w:tcW w:w="0" w:type="auto"/>
            <w:shd w:val="clear" w:color="auto" w:fill="CCEEFF"/>
            <w:vAlign w:val="bottom"/>
          </w:tcPr>
          <w:p w14:paraId="555690C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0D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366</w:t>
            </w:r>
          </w:p>
        </w:tc>
        <w:tc>
          <w:tcPr>
            <w:tcW w:w="0" w:type="auto"/>
            <w:shd w:val="clear" w:color="auto" w:fill="CCEEFF"/>
            <w:vAlign w:val="bottom"/>
          </w:tcPr>
          <w:p w14:paraId="555690D1" w14:textId="77777777" w:rsidR="00F925DD" w:rsidRDefault="00F925DD">
            <w:pPr>
              <w:textAlignment w:val="bottom"/>
              <w:rPr>
                <w:rFonts w:ascii="Times New Roman" w:hAnsi="Times New Roman"/>
                <w:sz w:val="20"/>
                <w:szCs w:val="20"/>
              </w:rPr>
            </w:pPr>
          </w:p>
        </w:tc>
      </w:tr>
      <w:tr w:rsidR="00F925DD" w14:paraId="555690EE" w14:textId="77777777">
        <w:tc>
          <w:tcPr>
            <w:tcW w:w="0" w:type="auto"/>
            <w:shd w:val="clear" w:color="auto" w:fill="auto"/>
            <w:tcMar>
              <w:top w:w="40" w:type="dxa"/>
              <w:left w:w="40" w:type="dxa"/>
              <w:bottom w:w="40" w:type="dxa"/>
              <w:right w:w="40" w:type="dxa"/>
            </w:tcMar>
            <w:vAlign w:val="bottom"/>
          </w:tcPr>
          <w:p w14:paraId="555690D3" w14:textId="77777777" w:rsidR="00F925DD" w:rsidRDefault="00E705D7">
            <w:pPr>
              <w:textAlignment w:val="bottom"/>
              <w:rPr>
                <w:rFonts w:ascii="Times New Roman" w:hAnsi="Times New Roman"/>
                <w:sz w:val="15"/>
                <w:szCs w:val="15"/>
              </w:rPr>
            </w:pPr>
            <w:r>
              <w:rPr>
                <w:rFonts w:ascii="Arial" w:eastAsia="宋体" w:hAnsi="Arial" w:cs="Arial"/>
                <w:sz w:val="15"/>
                <w:szCs w:val="15"/>
              </w:rPr>
              <w:t>  Government securities</w:t>
            </w:r>
          </w:p>
        </w:tc>
        <w:tc>
          <w:tcPr>
            <w:tcW w:w="0" w:type="auto"/>
            <w:gridSpan w:val="2"/>
            <w:shd w:val="clear" w:color="auto" w:fill="auto"/>
            <w:tcMar>
              <w:top w:w="40" w:type="dxa"/>
              <w:left w:w="40" w:type="dxa"/>
              <w:bottom w:w="40" w:type="dxa"/>
            </w:tcMar>
            <w:vAlign w:val="bottom"/>
          </w:tcPr>
          <w:p w14:paraId="555690D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328</w:t>
            </w:r>
          </w:p>
        </w:tc>
        <w:tc>
          <w:tcPr>
            <w:tcW w:w="0" w:type="auto"/>
            <w:shd w:val="clear" w:color="auto" w:fill="auto"/>
            <w:vAlign w:val="bottom"/>
          </w:tcPr>
          <w:p w14:paraId="555690D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D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w:t>
            </w:r>
          </w:p>
        </w:tc>
        <w:tc>
          <w:tcPr>
            <w:tcW w:w="0" w:type="auto"/>
            <w:shd w:val="clear" w:color="auto" w:fill="auto"/>
            <w:vAlign w:val="bottom"/>
          </w:tcPr>
          <w:p w14:paraId="555690D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0D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90D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D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90D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0E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90E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E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90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0E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90E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0E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90E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0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0E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328</w:t>
            </w:r>
          </w:p>
        </w:tc>
        <w:tc>
          <w:tcPr>
            <w:tcW w:w="0" w:type="auto"/>
            <w:shd w:val="clear" w:color="auto" w:fill="auto"/>
            <w:vAlign w:val="bottom"/>
          </w:tcPr>
          <w:p w14:paraId="555690ED" w14:textId="77777777" w:rsidR="00F925DD" w:rsidRDefault="00F925DD">
            <w:pPr>
              <w:textAlignment w:val="bottom"/>
              <w:rPr>
                <w:rFonts w:ascii="Times New Roman" w:hAnsi="Times New Roman"/>
                <w:sz w:val="20"/>
                <w:szCs w:val="20"/>
              </w:rPr>
            </w:pPr>
          </w:p>
        </w:tc>
      </w:tr>
      <w:tr w:rsidR="00F925DD" w14:paraId="55569106" w14:textId="77777777">
        <w:tc>
          <w:tcPr>
            <w:tcW w:w="0" w:type="auto"/>
            <w:shd w:val="clear" w:color="auto" w:fill="CCEEFF"/>
            <w:tcMar>
              <w:top w:w="40" w:type="dxa"/>
              <w:left w:w="400" w:type="dxa"/>
              <w:bottom w:w="40" w:type="dxa"/>
              <w:right w:w="40" w:type="dxa"/>
            </w:tcMar>
            <w:vAlign w:val="bottom"/>
          </w:tcPr>
          <w:p w14:paraId="555690EF"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F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344</w:t>
            </w:r>
          </w:p>
        </w:tc>
        <w:tc>
          <w:tcPr>
            <w:tcW w:w="0" w:type="auto"/>
            <w:tcBorders>
              <w:top w:val="single" w:sz="8" w:space="0" w:color="000000"/>
              <w:bottom w:val="single" w:sz="8" w:space="0" w:color="000000"/>
            </w:tcBorders>
            <w:shd w:val="clear" w:color="auto" w:fill="CCEEFF"/>
            <w:vAlign w:val="bottom"/>
          </w:tcPr>
          <w:p w14:paraId="555690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F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33</w:t>
            </w:r>
          </w:p>
        </w:tc>
        <w:tc>
          <w:tcPr>
            <w:tcW w:w="0" w:type="auto"/>
            <w:tcBorders>
              <w:top w:val="single" w:sz="8" w:space="0" w:color="000000"/>
              <w:bottom w:val="single" w:sz="8" w:space="0" w:color="000000"/>
            </w:tcBorders>
            <w:shd w:val="clear" w:color="auto" w:fill="CCEEFF"/>
            <w:vAlign w:val="bottom"/>
          </w:tcPr>
          <w:p w14:paraId="555690F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F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tcBorders>
              <w:top w:val="single" w:sz="8" w:space="0" w:color="000000"/>
              <w:bottom w:val="single" w:sz="8" w:space="0" w:color="000000"/>
            </w:tcBorders>
            <w:shd w:val="clear" w:color="auto" w:fill="CCEEFF"/>
            <w:vAlign w:val="bottom"/>
          </w:tcPr>
          <w:p w14:paraId="555690F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0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0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0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0F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313</w:t>
            </w:r>
          </w:p>
        </w:tc>
        <w:tc>
          <w:tcPr>
            <w:tcW w:w="0" w:type="auto"/>
            <w:tcBorders>
              <w:top w:val="single" w:sz="8" w:space="0" w:color="000000"/>
              <w:bottom w:val="single" w:sz="8" w:space="0" w:color="000000"/>
            </w:tcBorders>
            <w:shd w:val="clear" w:color="auto" w:fill="CCEEFF"/>
            <w:vAlign w:val="bottom"/>
          </w:tcPr>
          <w:p w14:paraId="555691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1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1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910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694</w:t>
            </w:r>
          </w:p>
        </w:tc>
        <w:tc>
          <w:tcPr>
            <w:tcW w:w="0" w:type="auto"/>
            <w:tcBorders>
              <w:top w:val="single" w:sz="8" w:space="0" w:color="000000"/>
              <w:bottom w:val="single" w:sz="8" w:space="0" w:color="000000"/>
            </w:tcBorders>
            <w:shd w:val="clear" w:color="auto" w:fill="CCEEFF"/>
            <w:vAlign w:val="bottom"/>
          </w:tcPr>
          <w:p w14:paraId="55569105" w14:textId="77777777" w:rsidR="00F925DD" w:rsidRDefault="00F925DD">
            <w:pPr>
              <w:textAlignment w:val="bottom"/>
              <w:rPr>
                <w:rFonts w:ascii="Times New Roman" w:hAnsi="Times New Roman"/>
                <w:sz w:val="20"/>
                <w:szCs w:val="20"/>
              </w:rPr>
            </w:pPr>
          </w:p>
        </w:tc>
      </w:tr>
      <w:tr w:rsidR="00F925DD" w14:paraId="55569122" w14:textId="77777777">
        <w:tc>
          <w:tcPr>
            <w:tcW w:w="0" w:type="auto"/>
            <w:shd w:val="clear" w:color="auto" w:fill="auto"/>
            <w:tcMar>
              <w:top w:w="40" w:type="dxa"/>
              <w:left w:w="40" w:type="dxa"/>
              <w:bottom w:w="40" w:type="dxa"/>
              <w:right w:w="40" w:type="dxa"/>
            </w:tcMar>
            <w:vAlign w:val="bottom"/>
          </w:tcPr>
          <w:p w14:paraId="55569107"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mortgage obligations</w:t>
            </w:r>
          </w:p>
        </w:tc>
        <w:tc>
          <w:tcPr>
            <w:tcW w:w="0" w:type="auto"/>
            <w:gridSpan w:val="2"/>
            <w:shd w:val="clear" w:color="auto" w:fill="auto"/>
            <w:tcMar>
              <w:top w:w="40" w:type="dxa"/>
              <w:left w:w="40" w:type="dxa"/>
              <w:bottom w:w="40" w:type="dxa"/>
            </w:tcMar>
            <w:vAlign w:val="bottom"/>
          </w:tcPr>
          <w:p w14:paraId="5556910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auto"/>
            <w:vAlign w:val="bottom"/>
          </w:tcPr>
          <w:p w14:paraId="555691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10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2.09</w:t>
            </w:r>
          </w:p>
        </w:tc>
        <w:tc>
          <w:tcPr>
            <w:tcW w:w="0" w:type="auto"/>
            <w:shd w:val="clear" w:color="auto" w:fill="auto"/>
            <w:vAlign w:val="bottom"/>
          </w:tcPr>
          <w:p w14:paraId="555691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0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283</w:t>
            </w:r>
          </w:p>
        </w:tc>
        <w:tc>
          <w:tcPr>
            <w:tcW w:w="0" w:type="auto"/>
            <w:shd w:val="clear" w:color="auto" w:fill="auto"/>
            <w:vAlign w:val="bottom"/>
          </w:tcPr>
          <w:p w14:paraId="555691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11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2.52</w:t>
            </w:r>
          </w:p>
        </w:tc>
        <w:tc>
          <w:tcPr>
            <w:tcW w:w="0" w:type="auto"/>
            <w:shd w:val="clear" w:color="auto" w:fill="auto"/>
            <w:vAlign w:val="bottom"/>
          </w:tcPr>
          <w:p w14:paraId="555691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1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w:t>
            </w:r>
          </w:p>
        </w:tc>
        <w:tc>
          <w:tcPr>
            <w:tcW w:w="0" w:type="auto"/>
            <w:shd w:val="clear" w:color="auto" w:fill="auto"/>
            <w:vAlign w:val="bottom"/>
          </w:tcPr>
          <w:p w14:paraId="5556911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11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2.39</w:t>
            </w:r>
          </w:p>
        </w:tc>
        <w:tc>
          <w:tcPr>
            <w:tcW w:w="0" w:type="auto"/>
            <w:shd w:val="clear" w:color="auto" w:fill="auto"/>
            <w:vAlign w:val="bottom"/>
          </w:tcPr>
          <w:p w14:paraId="5556911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1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399</w:t>
            </w:r>
          </w:p>
        </w:tc>
        <w:tc>
          <w:tcPr>
            <w:tcW w:w="0" w:type="auto"/>
            <w:shd w:val="clear" w:color="auto" w:fill="auto"/>
            <w:vAlign w:val="bottom"/>
          </w:tcPr>
          <w:p w14:paraId="5556911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11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2.79</w:t>
            </w:r>
          </w:p>
        </w:tc>
        <w:tc>
          <w:tcPr>
            <w:tcW w:w="0" w:type="auto"/>
            <w:shd w:val="clear" w:color="auto" w:fill="auto"/>
            <w:vAlign w:val="bottom"/>
          </w:tcPr>
          <w:p w14:paraId="5556911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2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697</w:t>
            </w:r>
          </w:p>
        </w:tc>
        <w:tc>
          <w:tcPr>
            <w:tcW w:w="0" w:type="auto"/>
            <w:shd w:val="clear" w:color="auto" w:fill="auto"/>
            <w:vAlign w:val="bottom"/>
          </w:tcPr>
          <w:p w14:paraId="55569121" w14:textId="77777777" w:rsidR="00F925DD" w:rsidRDefault="00F925DD">
            <w:pPr>
              <w:textAlignment w:val="bottom"/>
              <w:rPr>
                <w:rFonts w:ascii="Times New Roman" w:hAnsi="Times New Roman"/>
                <w:sz w:val="20"/>
                <w:szCs w:val="20"/>
              </w:rPr>
            </w:pPr>
          </w:p>
        </w:tc>
      </w:tr>
      <w:tr w:rsidR="00F925DD" w14:paraId="5556913F" w14:textId="77777777">
        <w:tc>
          <w:tcPr>
            <w:tcW w:w="0" w:type="auto"/>
            <w:shd w:val="clear" w:color="auto" w:fill="CCEEFF"/>
            <w:tcMar>
              <w:top w:w="40" w:type="dxa"/>
              <w:left w:w="40" w:type="dxa"/>
              <w:bottom w:w="40" w:type="dxa"/>
              <w:right w:w="40" w:type="dxa"/>
            </w:tcMar>
            <w:vAlign w:val="bottom"/>
          </w:tcPr>
          <w:p w14:paraId="55569123"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12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12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4,567</w:t>
            </w:r>
          </w:p>
        </w:tc>
        <w:tc>
          <w:tcPr>
            <w:tcW w:w="0" w:type="auto"/>
            <w:tcBorders>
              <w:top w:val="single" w:sz="8" w:space="0" w:color="000000"/>
              <w:bottom w:val="double" w:sz="6" w:space="0" w:color="000000"/>
            </w:tcBorders>
            <w:shd w:val="clear" w:color="auto" w:fill="CCEEFF"/>
            <w:vAlign w:val="bottom"/>
          </w:tcPr>
          <w:p w14:paraId="5556912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1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1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12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12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7,122</w:t>
            </w:r>
          </w:p>
        </w:tc>
        <w:tc>
          <w:tcPr>
            <w:tcW w:w="0" w:type="auto"/>
            <w:tcBorders>
              <w:top w:val="single" w:sz="8" w:space="0" w:color="000000"/>
              <w:bottom w:val="double" w:sz="6" w:space="0" w:color="000000"/>
            </w:tcBorders>
            <w:shd w:val="clear" w:color="auto" w:fill="CCEEFF"/>
            <w:vAlign w:val="bottom"/>
          </w:tcPr>
          <w:p w14:paraId="5556912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1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1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13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13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2,945</w:t>
            </w:r>
          </w:p>
        </w:tc>
        <w:tc>
          <w:tcPr>
            <w:tcW w:w="0" w:type="auto"/>
            <w:tcBorders>
              <w:top w:val="single" w:sz="8" w:space="0" w:color="000000"/>
              <w:bottom w:val="double" w:sz="6" w:space="0" w:color="000000"/>
            </w:tcBorders>
            <w:shd w:val="clear" w:color="auto" w:fill="CCEEFF"/>
            <w:vAlign w:val="bottom"/>
          </w:tcPr>
          <w:p w14:paraId="5556913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1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1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13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13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27,148</w:t>
            </w:r>
          </w:p>
        </w:tc>
        <w:tc>
          <w:tcPr>
            <w:tcW w:w="0" w:type="auto"/>
            <w:tcBorders>
              <w:top w:val="single" w:sz="8" w:space="0" w:color="000000"/>
              <w:bottom w:val="double" w:sz="6" w:space="0" w:color="000000"/>
            </w:tcBorders>
            <w:shd w:val="clear" w:color="auto" w:fill="CCEEFF"/>
            <w:vAlign w:val="bottom"/>
          </w:tcPr>
          <w:p w14:paraId="555691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91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1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13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13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41,782</w:t>
            </w:r>
          </w:p>
        </w:tc>
        <w:tc>
          <w:tcPr>
            <w:tcW w:w="0" w:type="auto"/>
            <w:tcBorders>
              <w:top w:val="single" w:sz="8" w:space="0" w:color="000000"/>
              <w:bottom w:val="double" w:sz="6" w:space="0" w:color="000000"/>
            </w:tcBorders>
            <w:shd w:val="clear" w:color="auto" w:fill="CCEEFF"/>
            <w:vAlign w:val="bottom"/>
          </w:tcPr>
          <w:p w14:paraId="5556913E" w14:textId="77777777" w:rsidR="00F925DD" w:rsidRDefault="00F925DD">
            <w:pPr>
              <w:textAlignment w:val="bottom"/>
              <w:rPr>
                <w:rFonts w:ascii="Times New Roman" w:hAnsi="Times New Roman"/>
                <w:sz w:val="20"/>
                <w:szCs w:val="20"/>
              </w:rPr>
            </w:pPr>
          </w:p>
        </w:tc>
      </w:tr>
    </w:tbl>
    <w:p w14:paraId="55569140" w14:textId="77777777" w:rsidR="00F925DD" w:rsidRDefault="00F925DD">
      <w:pPr>
        <w:rPr>
          <w:vanish/>
        </w:rPr>
      </w:pPr>
    </w:p>
    <w:tbl>
      <w:tblPr>
        <w:tblW w:w="13680" w:type="dxa"/>
        <w:tblCellMar>
          <w:left w:w="0" w:type="dxa"/>
          <w:right w:w="0" w:type="dxa"/>
        </w:tblCellMar>
        <w:tblLook w:val="04A0" w:firstRow="1" w:lastRow="0" w:firstColumn="1" w:lastColumn="0" w:noHBand="0" w:noVBand="1"/>
      </w:tblPr>
      <w:tblGrid>
        <w:gridCol w:w="4186"/>
        <w:gridCol w:w="9494"/>
      </w:tblGrid>
      <w:tr w:rsidR="00F925DD" w14:paraId="55569142" w14:textId="77777777">
        <w:tc>
          <w:tcPr>
            <w:tcW w:w="0" w:type="auto"/>
            <w:gridSpan w:val="2"/>
            <w:shd w:val="clear" w:color="auto" w:fill="auto"/>
            <w:vAlign w:val="center"/>
          </w:tcPr>
          <w:p w14:paraId="55569141" w14:textId="77777777" w:rsidR="00F925DD" w:rsidRDefault="00F925DD">
            <w:pPr>
              <w:rPr>
                <w:rFonts w:ascii="Times New Roman" w:hAnsi="Times New Roman"/>
                <w:sz w:val="20"/>
                <w:szCs w:val="20"/>
              </w:rPr>
            </w:pPr>
          </w:p>
        </w:tc>
      </w:tr>
      <w:tr w:rsidR="00F925DD" w14:paraId="55569145" w14:textId="77777777">
        <w:tc>
          <w:tcPr>
            <w:tcW w:w="4180" w:type="dxa"/>
            <w:shd w:val="clear" w:color="auto" w:fill="auto"/>
            <w:vAlign w:val="center"/>
          </w:tcPr>
          <w:p w14:paraId="55569143" w14:textId="77777777" w:rsidR="00F925DD" w:rsidRDefault="00F925DD">
            <w:pPr>
              <w:rPr>
                <w:rFonts w:ascii="Times New Roman" w:hAnsi="Times New Roman"/>
                <w:sz w:val="20"/>
                <w:szCs w:val="20"/>
              </w:rPr>
            </w:pPr>
          </w:p>
        </w:tc>
        <w:tc>
          <w:tcPr>
            <w:tcW w:w="9480" w:type="dxa"/>
            <w:shd w:val="clear" w:color="auto" w:fill="auto"/>
            <w:vAlign w:val="center"/>
          </w:tcPr>
          <w:p w14:paraId="55569144" w14:textId="77777777" w:rsidR="00F925DD" w:rsidRDefault="00F925DD">
            <w:pPr>
              <w:rPr>
                <w:rFonts w:ascii="Times New Roman" w:hAnsi="Times New Roman"/>
                <w:sz w:val="20"/>
                <w:szCs w:val="20"/>
              </w:rPr>
            </w:pPr>
          </w:p>
        </w:tc>
      </w:tr>
      <w:tr w:rsidR="00F925DD" w14:paraId="5556914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91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1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9149"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The maturities of MBS, ABS and CMOs are based on expected principal payments.</w:t>
      </w:r>
    </w:p>
    <w:p w14:paraId="5556914A"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Yields were calculated on a FTE basis, using applicable statutory tax rates (21.0% as of December 31, 2019).</w:t>
      </w:r>
    </w:p>
    <w:p w14:paraId="5556914B" w14:textId="77777777" w:rsidR="00F925DD" w:rsidRDefault="00F925DD">
      <w:pPr>
        <w:rPr>
          <w:rFonts w:ascii="Times New Roman" w:hAnsi="Times New Roman"/>
          <w:sz w:val="20"/>
          <w:szCs w:val="20"/>
        </w:rPr>
      </w:pPr>
    </w:p>
    <w:p w14:paraId="5556914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77</w:t>
      </w:r>
    </w:p>
    <w:p w14:paraId="5556914D" w14:textId="77777777" w:rsidR="00F925DD" w:rsidRDefault="00F925DD">
      <w:pPr>
        <w:spacing w:line="288" w:lineRule="auto"/>
        <w:ind w:firstLine="600"/>
        <w:jc w:val="center"/>
        <w:rPr>
          <w:rFonts w:ascii="Times New Roman" w:hAnsi="Times New Roman"/>
          <w:sz w:val="18"/>
          <w:szCs w:val="18"/>
        </w:rPr>
      </w:pPr>
    </w:p>
    <w:p w14:paraId="5556914E" w14:textId="77777777" w:rsidR="00F925DD" w:rsidRDefault="00E705D7">
      <w:r>
        <w:rPr>
          <w:rFonts w:ascii="Times New Roman" w:hAnsi="Times New Roman"/>
          <w:sz w:val="18"/>
          <w:szCs w:val="18"/>
        </w:rPr>
        <w:pict w14:anchorId="55570687">
          <v:rect id="_x0000_i1101" style="width:415.3pt;height:1.5pt" o:hralign="center" o:hrstd="t" o:hr="t" fillcolor="#a0a0a0" stroked="f"/>
        </w:pict>
      </w:r>
    </w:p>
    <w:p w14:paraId="5556914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w:t>
      </w:r>
      <w:r>
        <w:rPr>
          <w:rFonts w:ascii="Arial" w:eastAsia="宋体" w:hAnsi="Arial" w:cs="Arial"/>
          <w:b/>
          <w:bCs/>
          <w:sz w:val="20"/>
          <w:szCs w:val="20"/>
        </w:rPr>
        <w:t>ALYSIS OF FINANCIAL CONDITION</w:t>
      </w:r>
    </w:p>
    <w:p w14:paraId="5556915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151" w14:textId="77777777" w:rsidR="00F925DD" w:rsidRDefault="00F925DD">
      <w:pPr>
        <w:rPr>
          <w:rFonts w:ascii="Times New Roman" w:hAnsi="Times New Roman"/>
          <w:sz w:val="20"/>
          <w:szCs w:val="20"/>
        </w:rPr>
      </w:pPr>
    </w:p>
    <w:p w14:paraId="5556915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Impairment</w:t>
      </w:r>
    </w:p>
    <w:p w14:paraId="5556915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Impairment exists when the fair value of an individual security is below its amortized cost basis. Impairment of a security is further assessed to determine whether such </w:t>
      </w:r>
      <w:r>
        <w:rPr>
          <w:rFonts w:ascii="Arial" w:eastAsia="宋体" w:hAnsi="Arial" w:cs="Arial"/>
          <w:sz w:val="20"/>
          <w:szCs w:val="20"/>
        </w:rPr>
        <w:t>impairment is other-than-temporary. For AFS and HTM debt securities, we record impairment in our consolidated statement of income when management intends to sell (or may be required to sell) the securities before they recover in value, or when management e</w:t>
      </w:r>
      <w:r>
        <w:rPr>
          <w:rFonts w:ascii="Arial" w:eastAsia="宋体" w:hAnsi="Arial" w:cs="Arial"/>
          <w:sz w:val="20"/>
          <w:szCs w:val="20"/>
        </w:rPr>
        <w:t>xpects the present value of cash flows expected to be collected from the securities to be less than the amortized cost of the impaired security (a credit loss).</w:t>
      </w:r>
    </w:p>
    <w:p w14:paraId="5556915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conduct periodic reviews of individual securities to assess whether OTTI exists. Our assessm</w:t>
      </w:r>
      <w:r>
        <w:rPr>
          <w:rFonts w:ascii="Arial" w:eastAsia="宋体" w:hAnsi="Arial" w:cs="Arial"/>
          <w:sz w:val="20"/>
          <w:szCs w:val="20"/>
        </w:rPr>
        <w:t>ent of OTTI involves an evaluation of economic and security-specific factors. Such factors are based on estimates, derived by management, which contemplate current market conditions and security-specific performance. To the extent that market conditions ar</w:t>
      </w:r>
      <w:r>
        <w:rPr>
          <w:rFonts w:ascii="Arial" w:eastAsia="宋体" w:hAnsi="Arial" w:cs="Arial"/>
          <w:sz w:val="20"/>
          <w:szCs w:val="20"/>
        </w:rPr>
        <w:t>e worse than management's expectations or due to idiosyncratic bond performance, OTTI could increase, in particular the credit-related component that would be recorded in our consolidated statement of income. Additional information with respect to OTTI, ne</w:t>
      </w:r>
      <w:r>
        <w:rPr>
          <w:rFonts w:ascii="Arial" w:eastAsia="宋体" w:hAnsi="Arial" w:cs="Arial"/>
          <w:sz w:val="20"/>
          <w:szCs w:val="20"/>
        </w:rPr>
        <w:t>t impairment losses and gross unrealized losses is provided in Note 3 to the consolidated financial statements in this Form 10-K.</w:t>
      </w:r>
    </w:p>
    <w:p w14:paraId="5556915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evaluation of potential OTTI of structured credit securities with collateral in the U.K. and continental Europe takes into</w:t>
      </w:r>
      <w:r>
        <w:rPr>
          <w:rFonts w:ascii="Arial" w:eastAsia="宋体" w:hAnsi="Arial" w:cs="Arial"/>
          <w:sz w:val="20"/>
          <w:szCs w:val="20"/>
        </w:rPr>
        <w:t xml:space="preserve"> account the outcome from the Brexit referendum and other geopolitical events, and assumes no disruption of payments on these securities.</w:t>
      </w:r>
    </w:p>
    <w:p w14:paraId="55569156"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Loans and Leases</w:t>
      </w:r>
    </w:p>
    <w:tbl>
      <w:tblPr>
        <w:tblW w:w="5000" w:type="pct"/>
        <w:tblCellMar>
          <w:left w:w="0" w:type="dxa"/>
          <w:right w:w="0" w:type="dxa"/>
        </w:tblCellMar>
        <w:tblLook w:val="04A0" w:firstRow="1" w:lastRow="0" w:firstColumn="1" w:lastColumn="0" w:noHBand="0" w:noVBand="1"/>
      </w:tblPr>
      <w:tblGrid>
        <w:gridCol w:w="1815"/>
        <w:gridCol w:w="118"/>
        <w:gridCol w:w="985"/>
        <w:gridCol w:w="71"/>
        <w:gridCol w:w="154"/>
        <w:gridCol w:w="118"/>
        <w:gridCol w:w="985"/>
        <w:gridCol w:w="71"/>
        <w:gridCol w:w="154"/>
        <w:gridCol w:w="118"/>
        <w:gridCol w:w="985"/>
        <w:gridCol w:w="71"/>
        <w:gridCol w:w="154"/>
        <w:gridCol w:w="118"/>
        <w:gridCol w:w="986"/>
        <w:gridCol w:w="72"/>
        <w:gridCol w:w="155"/>
        <w:gridCol w:w="118"/>
        <w:gridCol w:w="986"/>
        <w:gridCol w:w="72"/>
      </w:tblGrid>
      <w:tr w:rsidR="00F925DD" w14:paraId="55569158" w14:textId="77777777">
        <w:tc>
          <w:tcPr>
            <w:tcW w:w="0" w:type="auto"/>
            <w:gridSpan w:val="20"/>
            <w:shd w:val="clear" w:color="auto" w:fill="auto"/>
            <w:vAlign w:val="center"/>
          </w:tcPr>
          <w:p w14:paraId="55569157" w14:textId="77777777" w:rsidR="00F925DD" w:rsidRDefault="00F925DD">
            <w:pPr>
              <w:rPr>
                <w:rFonts w:ascii="Times New Roman" w:hAnsi="Times New Roman"/>
                <w:sz w:val="20"/>
                <w:szCs w:val="20"/>
              </w:rPr>
            </w:pPr>
          </w:p>
        </w:tc>
      </w:tr>
      <w:tr w:rsidR="00F925DD" w14:paraId="5556916D" w14:textId="77777777">
        <w:tc>
          <w:tcPr>
            <w:tcW w:w="1100" w:type="pct"/>
            <w:shd w:val="clear" w:color="auto" w:fill="auto"/>
            <w:vAlign w:val="center"/>
          </w:tcPr>
          <w:p w14:paraId="55569159" w14:textId="77777777" w:rsidR="00F925DD" w:rsidRDefault="00F925DD">
            <w:pPr>
              <w:rPr>
                <w:rFonts w:ascii="Times New Roman" w:hAnsi="Times New Roman"/>
                <w:sz w:val="20"/>
                <w:szCs w:val="20"/>
              </w:rPr>
            </w:pPr>
          </w:p>
        </w:tc>
        <w:tc>
          <w:tcPr>
            <w:tcW w:w="50" w:type="pct"/>
            <w:shd w:val="clear" w:color="auto" w:fill="auto"/>
            <w:vAlign w:val="center"/>
          </w:tcPr>
          <w:p w14:paraId="5556915A" w14:textId="77777777" w:rsidR="00F925DD" w:rsidRDefault="00F925DD">
            <w:pPr>
              <w:rPr>
                <w:rFonts w:ascii="Times New Roman" w:hAnsi="Times New Roman"/>
                <w:sz w:val="20"/>
                <w:szCs w:val="20"/>
              </w:rPr>
            </w:pPr>
          </w:p>
        </w:tc>
        <w:tc>
          <w:tcPr>
            <w:tcW w:w="600" w:type="pct"/>
            <w:shd w:val="clear" w:color="auto" w:fill="auto"/>
            <w:vAlign w:val="center"/>
          </w:tcPr>
          <w:p w14:paraId="5556915B" w14:textId="77777777" w:rsidR="00F925DD" w:rsidRDefault="00F925DD">
            <w:pPr>
              <w:rPr>
                <w:rFonts w:ascii="Times New Roman" w:hAnsi="Times New Roman"/>
                <w:sz w:val="20"/>
                <w:szCs w:val="20"/>
              </w:rPr>
            </w:pPr>
          </w:p>
        </w:tc>
        <w:tc>
          <w:tcPr>
            <w:tcW w:w="50" w:type="pct"/>
            <w:shd w:val="clear" w:color="auto" w:fill="auto"/>
            <w:vAlign w:val="center"/>
          </w:tcPr>
          <w:p w14:paraId="5556915C" w14:textId="77777777" w:rsidR="00F925DD" w:rsidRDefault="00F925DD">
            <w:pPr>
              <w:rPr>
                <w:rFonts w:ascii="Times New Roman" w:hAnsi="Times New Roman"/>
                <w:sz w:val="20"/>
                <w:szCs w:val="20"/>
              </w:rPr>
            </w:pPr>
          </w:p>
        </w:tc>
        <w:tc>
          <w:tcPr>
            <w:tcW w:w="100" w:type="pct"/>
            <w:shd w:val="clear" w:color="auto" w:fill="auto"/>
            <w:vAlign w:val="center"/>
          </w:tcPr>
          <w:p w14:paraId="5556915D" w14:textId="77777777" w:rsidR="00F925DD" w:rsidRDefault="00F925DD">
            <w:pPr>
              <w:rPr>
                <w:rFonts w:ascii="Times New Roman" w:hAnsi="Times New Roman"/>
                <w:sz w:val="20"/>
                <w:szCs w:val="20"/>
              </w:rPr>
            </w:pPr>
          </w:p>
        </w:tc>
        <w:tc>
          <w:tcPr>
            <w:tcW w:w="50" w:type="pct"/>
            <w:shd w:val="clear" w:color="auto" w:fill="auto"/>
            <w:vAlign w:val="center"/>
          </w:tcPr>
          <w:p w14:paraId="5556915E" w14:textId="77777777" w:rsidR="00F925DD" w:rsidRDefault="00F925DD">
            <w:pPr>
              <w:rPr>
                <w:rFonts w:ascii="Times New Roman" w:hAnsi="Times New Roman"/>
                <w:sz w:val="20"/>
                <w:szCs w:val="20"/>
              </w:rPr>
            </w:pPr>
          </w:p>
        </w:tc>
        <w:tc>
          <w:tcPr>
            <w:tcW w:w="600" w:type="pct"/>
            <w:shd w:val="clear" w:color="auto" w:fill="auto"/>
            <w:vAlign w:val="center"/>
          </w:tcPr>
          <w:p w14:paraId="5556915F" w14:textId="77777777" w:rsidR="00F925DD" w:rsidRDefault="00F925DD">
            <w:pPr>
              <w:rPr>
                <w:rFonts w:ascii="Times New Roman" w:hAnsi="Times New Roman"/>
                <w:sz w:val="20"/>
                <w:szCs w:val="20"/>
              </w:rPr>
            </w:pPr>
          </w:p>
        </w:tc>
        <w:tc>
          <w:tcPr>
            <w:tcW w:w="50" w:type="pct"/>
            <w:shd w:val="clear" w:color="auto" w:fill="auto"/>
            <w:vAlign w:val="center"/>
          </w:tcPr>
          <w:p w14:paraId="55569160" w14:textId="77777777" w:rsidR="00F925DD" w:rsidRDefault="00F925DD">
            <w:pPr>
              <w:rPr>
                <w:rFonts w:ascii="Times New Roman" w:hAnsi="Times New Roman"/>
                <w:sz w:val="20"/>
                <w:szCs w:val="20"/>
              </w:rPr>
            </w:pPr>
          </w:p>
        </w:tc>
        <w:tc>
          <w:tcPr>
            <w:tcW w:w="100" w:type="pct"/>
            <w:shd w:val="clear" w:color="auto" w:fill="auto"/>
            <w:vAlign w:val="center"/>
          </w:tcPr>
          <w:p w14:paraId="55569161" w14:textId="77777777" w:rsidR="00F925DD" w:rsidRDefault="00F925DD">
            <w:pPr>
              <w:rPr>
                <w:rFonts w:ascii="Times New Roman" w:hAnsi="Times New Roman"/>
                <w:sz w:val="20"/>
                <w:szCs w:val="20"/>
              </w:rPr>
            </w:pPr>
          </w:p>
        </w:tc>
        <w:tc>
          <w:tcPr>
            <w:tcW w:w="50" w:type="pct"/>
            <w:shd w:val="clear" w:color="auto" w:fill="auto"/>
            <w:vAlign w:val="center"/>
          </w:tcPr>
          <w:p w14:paraId="55569162" w14:textId="77777777" w:rsidR="00F925DD" w:rsidRDefault="00F925DD">
            <w:pPr>
              <w:rPr>
                <w:rFonts w:ascii="Times New Roman" w:hAnsi="Times New Roman"/>
                <w:sz w:val="20"/>
                <w:szCs w:val="20"/>
              </w:rPr>
            </w:pPr>
          </w:p>
        </w:tc>
        <w:tc>
          <w:tcPr>
            <w:tcW w:w="600" w:type="pct"/>
            <w:shd w:val="clear" w:color="auto" w:fill="auto"/>
            <w:vAlign w:val="center"/>
          </w:tcPr>
          <w:p w14:paraId="55569163" w14:textId="77777777" w:rsidR="00F925DD" w:rsidRDefault="00F925DD">
            <w:pPr>
              <w:rPr>
                <w:rFonts w:ascii="Times New Roman" w:hAnsi="Times New Roman"/>
                <w:sz w:val="20"/>
                <w:szCs w:val="20"/>
              </w:rPr>
            </w:pPr>
          </w:p>
        </w:tc>
        <w:tc>
          <w:tcPr>
            <w:tcW w:w="50" w:type="pct"/>
            <w:shd w:val="clear" w:color="auto" w:fill="auto"/>
            <w:vAlign w:val="center"/>
          </w:tcPr>
          <w:p w14:paraId="55569164" w14:textId="77777777" w:rsidR="00F925DD" w:rsidRDefault="00F925DD">
            <w:pPr>
              <w:rPr>
                <w:rFonts w:ascii="Times New Roman" w:hAnsi="Times New Roman"/>
                <w:sz w:val="20"/>
                <w:szCs w:val="20"/>
              </w:rPr>
            </w:pPr>
          </w:p>
        </w:tc>
        <w:tc>
          <w:tcPr>
            <w:tcW w:w="100" w:type="pct"/>
            <w:shd w:val="clear" w:color="auto" w:fill="auto"/>
            <w:vAlign w:val="center"/>
          </w:tcPr>
          <w:p w14:paraId="55569165" w14:textId="77777777" w:rsidR="00F925DD" w:rsidRDefault="00F925DD">
            <w:pPr>
              <w:rPr>
                <w:rFonts w:ascii="Times New Roman" w:hAnsi="Times New Roman"/>
                <w:sz w:val="20"/>
                <w:szCs w:val="20"/>
              </w:rPr>
            </w:pPr>
          </w:p>
        </w:tc>
        <w:tc>
          <w:tcPr>
            <w:tcW w:w="50" w:type="pct"/>
            <w:shd w:val="clear" w:color="auto" w:fill="auto"/>
            <w:vAlign w:val="center"/>
          </w:tcPr>
          <w:p w14:paraId="55569166" w14:textId="77777777" w:rsidR="00F925DD" w:rsidRDefault="00F925DD">
            <w:pPr>
              <w:rPr>
                <w:rFonts w:ascii="Times New Roman" w:hAnsi="Times New Roman"/>
                <w:sz w:val="20"/>
                <w:szCs w:val="20"/>
              </w:rPr>
            </w:pPr>
          </w:p>
        </w:tc>
        <w:tc>
          <w:tcPr>
            <w:tcW w:w="600" w:type="pct"/>
            <w:shd w:val="clear" w:color="auto" w:fill="auto"/>
            <w:vAlign w:val="center"/>
          </w:tcPr>
          <w:p w14:paraId="55569167" w14:textId="77777777" w:rsidR="00F925DD" w:rsidRDefault="00F925DD">
            <w:pPr>
              <w:rPr>
                <w:rFonts w:ascii="Times New Roman" w:hAnsi="Times New Roman"/>
                <w:sz w:val="20"/>
                <w:szCs w:val="20"/>
              </w:rPr>
            </w:pPr>
          </w:p>
        </w:tc>
        <w:tc>
          <w:tcPr>
            <w:tcW w:w="50" w:type="pct"/>
            <w:shd w:val="clear" w:color="auto" w:fill="auto"/>
            <w:vAlign w:val="center"/>
          </w:tcPr>
          <w:p w14:paraId="55569168" w14:textId="77777777" w:rsidR="00F925DD" w:rsidRDefault="00F925DD">
            <w:pPr>
              <w:rPr>
                <w:rFonts w:ascii="Times New Roman" w:hAnsi="Times New Roman"/>
                <w:sz w:val="20"/>
                <w:szCs w:val="20"/>
              </w:rPr>
            </w:pPr>
          </w:p>
        </w:tc>
        <w:tc>
          <w:tcPr>
            <w:tcW w:w="100" w:type="pct"/>
            <w:shd w:val="clear" w:color="auto" w:fill="auto"/>
            <w:vAlign w:val="center"/>
          </w:tcPr>
          <w:p w14:paraId="55569169" w14:textId="77777777" w:rsidR="00F925DD" w:rsidRDefault="00F925DD">
            <w:pPr>
              <w:rPr>
                <w:rFonts w:ascii="Times New Roman" w:hAnsi="Times New Roman"/>
                <w:sz w:val="20"/>
                <w:szCs w:val="20"/>
              </w:rPr>
            </w:pPr>
          </w:p>
        </w:tc>
        <w:tc>
          <w:tcPr>
            <w:tcW w:w="50" w:type="pct"/>
            <w:shd w:val="clear" w:color="auto" w:fill="auto"/>
            <w:vAlign w:val="center"/>
          </w:tcPr>
          <w:p w14:paraId="5556916A" w14:textId="77777777" w:rsidR="00F925DD" w:rsidRDefault="00F925DD">
            <w:pPr>
              <w:rPr>
                <w:rFonts w:ascii="Times New Roman" w:hAnsi="Times New Roman"/>
                <w:sz w:val="20"/>
                <w:szCs w:val="20"/>
              </w:rPr>
            </w:pPr>
          </w:p>
        </w:tc>
        <w:tc>
          <w:tcPr>
            <w:tcW w:w="600" w:type="pct"/>
            <w:shd w:val="clear" w:color="auto" w:fill="auto"/>
            <w:vAlign w:val="center"/>
          </w:tcPr>
          <w:p w14:paraId="5556916B" w14:textId="77777777" w:rsidR="00F925DD" w:rsidRDefault="00F925DD">
            <w:pPr>
              <w:rPr>
                <w:rFonts w:ascii="Times New Roman" w:hAnsi="Times New Roman"/>
                <w:sz w:val="20"/>
                <w:szCs w:val="20"/>
              </w:rPr>
            </w:pPr>
          </w:p>
        </w:tc>
        <w:tc>
          <w:tcPr>
            <w:tcW w:w="50" w:type="pct"/>
            <w:shd w:val="clear" w:color="auto" w:fill="auto"/>
            <w:vAlign w:val="center"/>
          </w:tcPr>
          <w:p w14:paraId="5556916C" w14:textId="77777777" w:rsidR="00F925DD" w:rsidRDefault="00F925DD">
            <w:pPr>
              <w:rPr>
                <w:rFonts w:ascii="Times New Roman" w:hAnsi="Times New Roman"/>
                <w:sz w:val="20"/>
                <w:szCs w:val="20"/>
              </w:rPr>
            </w:pPr>
          </w:p>
        </w:tc>
      </w:tr>
      <w:tr w:rsidR="00F925DD" w14:paraId="5556916F" w14:textId="77777777">
        <w:tc>
          <w:tcPr>
            <w:tcW w:w="0" w:type="auto"/>
            <w:gridSpan w:val="20"/>
            <w:shd w:val="clear" w:color="auto" w:fill="auto"/>
            <w:tcMar>
              <w:top w:w="40" w:type="dxa"/>
              <w:left w:w="40" w:type="dxa"/>
              <w:bottom w:w="40" w:type="dxa"/>
              <w:right w:w="40" w:type="dxa"/>
            </w:tcMar>
            <w:vAlign w:val="bottom"/>
          </w:tcPr>
          <w:p w14:paraId="5556916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26: U.S. AND NON- U.S. LOANS AND LEASES</w:t>
            </w:r>
          </w:p>
        </w:tc>
      </w:tr>
      <w:tr w:rsidR="00F925DD" w14:paraId="55569172" w14:textId="77777777">
        <w:tc>
          <w:tcPr>
            <w:tcW w:w="0" w:type="auto"/>
            <w:shd w:val="clear" w:color="auto" w:fill="auto"/>
            <w:tcMar>
              <w:top w:w="40" w:type="dxa"/>
              <w:left w:w="40" w:type="dxa"/>
              <w:bottom w:w="40" w:type="dxa"/>
              <w:right w:w="40" w:type="dxa"/>
            </w:tcMar>
            <w:vAlign w:val="bottom"/>
          </w:tcPr>
          <w:p w14:paraId="555691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5556917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 of December 31,</w:t>
            </w:r>
          </w:p>
        </w:tc>
      </w:tr>
      <w:tr w:rsidR="00F925DD" w14:paraId="5556917D" w14:textId="77777777">
        <w:tc>
          <w:tcPr>
            <w:tcW w:w="0" w:type="auto"/>
            <w:shd w:val="clear" w:color="auto" w:fill="auto"/>
            <w:tcMar>
              <w:top w:w="40" w:type="dxa"/>
              <w:left w:w="40" w:type="dxa"/>
              <w:bottom w:w="40" w:type="dxa"/>
              <w:right w:w="40" w:type="dxa"/>
            </w:tcMar>
            <w:vAlign w:val="bottom"/>
          </w:tcPr>
          <w:p w14:paraId="5556917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17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91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17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91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17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c>
          <w:tcPr>
            <w:tcW w:w="0" w:type="auto"/>
            <w:shd w:val="clear" w:color="auto" w:fill="auto"/>
            <w:tcMar>
              <w:top w:w="40" w:type="dxa"/>
              <w:left w:w="40" w:type="dxa"/>
              <w:bottom w:w="40" w:type="dxa"/>
              <w:right w:w="40" w:type="dxa"/>
            </w:tcMar>
            <w:vAlign w:val="bottom"/>
          </w:tcPr>
          <w:p w14:paraId="555691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17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2016</w:t>
            </w:r>
          </w:p>
        </w:tc>
        <w:tc>
          <w:tcPr>
            <w:tcW w:w="0" w:type="auto"/>
            <w:shd w:val="clear" w:color="auto" w:fill="auto"/>
            <w:tcMar>
              <w:top w:w="40" w:type="dxa"/>
              <w:left w:w="40" w:type="dxa"/>
              <w:bottom w:w="40" w:type="dxa"/>
              <w:right w:w="40" w:type="dxa"/>
            </w:tcMar>
            <w:vAlign w:val="bottom"/>
          </w:tcPr>
          <w:p w14:paraId="555691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17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2015</w:t>
            </w:r>
          </w:p>
        </w:tc>
      </w:tr>
      <w:tr w:rsidR="00F925DD" w14:paraId="55569188" w14:textId="77777777">
        <w:tc>
          <w:tcPr>
            <w:tcW w:w="0" w:type="auto"/>
            <w:shd w:val="clear" w:color="auto" w:fill="auto"/>
            <w:tcMar>
              <w:top w:w="40" w:type="dxa"/>
              <w:left w:w="40" w:type="dxa"/>
              <w:bottom w:w="40" w:type="dxa"/>
              <w:right w:w="40" w:type="dxa"/>
            </w:tcMar>
            <w:vAlign w:val="bottom"/>
          </w:tcPr>
          <w:p w14:paraId="5556917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Domestic</w:t>
            </w:r>
            <w:r>
              <w:rPr>
                <w:rFonts w:ascii="Arial" w:eastAsia="宋体" w:hAnsi="Arial" w:cs="Arial"/>
                <w:b/>
                <w:bCs/>
                <w:sz w:val="10"/>
                <w:szCs w:val="10"/>
              </w:rPr>
              <w:t>(1)</w:t>
            </w:r>
            <w:r>
              <w:rPr>
                <w:rFonts w:ascii="Arial" w:eastAsia="宋体" w:hAnsi="Arial" w:cs="Arial"/>
                <w:b/>
                <w:bCs/>
                <w:sz w:val="14"/>
                <w:szCs w:val="14"/>
              </w:rPr>
              <w:t>:</w:t>
            </w:r>
          </w:p>
        </w:tc>
        <w:tc>
          <w:tcPr>
            <w:tcW w:w="0" w:type="auto"/>
            <w:gridSpan w:val="3"/>
            <w:shd w:val="clear" w:color="auto" w:fill="auto"/>
            <w:tcMar>
              <w:top w:w="40" w:type="dxa"/>
              <w:left w:w="40" w:type="dxa"/>
              <w:bottom w:w="40" w:type="dxa"/>
              <w:right w:w="40" w:type="dxa"/>
            </w:tcMar>
            <w:vAlign w:val="bottom"/>
          </w:tcPr>
          <w:p w14:paraId="555691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1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1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1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1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1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1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1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1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19D" w14:textId="77777777">
        <w:tc>
          <w:tcPr>
            <w:tcW w:w="0" w:type="auto"/>
            <w:shd w:val="clear" w:color="auto" w:fill="CCEEFF"/>
            <w:tcMar>
              <w:top w:w="40" w:type="dxa"/>
              <w:left w:w="40" w:type="dxa"/>
              <w:bottom w:w="40" w:type="dxa"/>
              <w:right w:w="40" w:type="dxa"/>
            </w:tcMar>
            <w:vAlign w:val="bottom"/>
          </w:tcPr>
          <w:p w14:paraId="55569189" w14:textId="77777777" w:rsidR="00F925DD" w:rsidRDefault="00E705D7">
            <w:pPr>
              <w:textAlignment w:val="bottom"/>
              <w:rPr>
                <w:rFonts w:ascii="Times New Roman" w:hAnsi="Times New Roman"/>
                <w:sz w:val="14"/>
                <w:szCs w:val="14"/>
              </w:rPr>
            </w:pPr>
            <w:r>
              <w:rPr>
                <w:rFonts w:ascii="Arial" w:eastAsia="宋体" w:hAnsi="Arial" w:cs="Arial"/>
                <w:sz w:val="14"/>
                <w:szCs w:val="14"/>
              </w:rPr>
              <w:t>Commercial and financial</w:t>
            </w:r>
          </w:p>
        </w:tc>
        <w:tc>
          <w:tcPr>
            <w:tcW w:w="0" w:type="auto"/>
            <w:shd w:val="clear" w:color="auto" w:fill="CCEEFF"/>
            <w:tcMar>
              <w:top w:w="40" w:type="dxa"/>
              <w:left w:w="40" w:type="dxa"/>
              <w:bottom w:w="40" w:type="dxa"/>
            </w:tcMar>
            <w:vAlign w:val="bottom"/>
          </w:tcPr>
          <w:p w14:paraId="5556918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18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18,762</w:t>
            </w:r>
          </w:p>
        </w:tc>
        <w:tc>
          <w:tcPr>
            <w:tcW w:w="0" w:type="auto"/>
            <w:shd w:val="clear" w:color="auto" w:fill="CCEEFF"/>
            <w:vAlign w:val="bottom"/>
          </w:tcPr>
          <w:p w14:paraId="555691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18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18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19,479</w:t>
            </w:r>
          </w:p>
        </w:tc>
        <w:tc>
          <w:tcPr>
            <w:tcW w:w="0" w:type="auto"/>
            <w:shd w:val="clear" w:color="auto" w:fill="CCEEFF"/>
            <w:vAlign w:val="bottom"/>
          </w:tcPr>
          <w:p w14:paraId="5556919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19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19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18,696</w:t>
            </w:r>
          </w:p>
        </w:tc>
        <w:tc>
          <w:tcPr>
            <w:tcW w:w="0" w:type="auto"/>
            <w:shd w:val="clear" w:color="auto" w:fill="CCEEFF"/>
            <w:vAlign w:val="bottom"/>
          </w:tcPr>
          <w:p w14:paraId="5556919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19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19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16,412</w:t>
            </w:r>
          </w:p>
        </w:tc>
        <w:tc>
          <w:tcPr>
            <w:tcW w:w="0" w:type="auto"/>
            <w:shd w:val="clear" w:color="auto" w:fill="CCEEFF"/>
            <w:vAlign w:val="bottom"/>
          </w:tcPr>
          <w:p w14:paraId="5556919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19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19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15,899</w:t>
            </w:r>
          </w:p>
        </w:tc>
        <w:tc>
          <w:tcPr>
            <w:tcW w:w="0" w:type="auto"/>
            <w:shd w:val="clear" w:color="auto" w:fill="CCEEFF"/>
            <w:vAlign w:val="bottom"/>
          </w:tcPr>
          <w:p w14:paraId="5556919C" w14:textId="77777777" w:rsidR="00F925DD" w:rsidRDefault="00F925DD">
            <w:pPr>
              <w:textAlignment w:val="bottom"/>
              <w:rPr>
                <w:rFonts w:ascii="Times New Roman" w:hAnsi="Times New Roman"/>
                <w:sz w:val="20"/>
                <w:szCs w:val="20"/>
              </w:rPr>
            </w:pPr>
          </w:p>
        </w:tc>
      </w:tr>
      <w:tr w:rsidR="00F925DD" w14:paraId="555691AD" w14:textId="77777777">
        <w:tc>
          <w:tcPr>
            <w:tcW w:w="0" w:type="auto"/>
            <w:shd w:val="clear" w:color="auto" w:fill="auto"/>
            <w:tcMar>
              <w:top w:w="40" w:type="dxa"/>
              <w:left w:w="40" w:type="dxa"/>
              <w:bottom w:w="40" w:type="dxa"/>
              <w:right w:w="40" w:type="dxa"/>
            </w:tcMar>
            <w:vAlign w:val="bottom"/>
          </w:tcPr>
          <w:p w14:paraId="5556919E" w14:textId="77777777" w:rsidR="00F925DD" w:rsidRDefault="00E705D7">
            <w:pPr>
              <w:textAlignment w:val="bottom"/>
              <w:rPr>
                <w:rFonts w:ascii="Times New Roman" w:hAnsi="Times New Roman"/>
                <w:sz w:val="14"/>
                <w:szCs w:val="14"/>
              </w:rPr>
            </w:pPr>
            <w:r>
              <w:rPr>
                <w:rFonts w:ascii="Arial" w:eastAsia="宋体" w:hAnsi="Arial" w:cs="Arial"/>
                <w:sz w:val="14"/>
                <w:szCs w:val="14"/>
              </w:rPr>
              <w:t>Commercial real estate</w:t>
            </w:r>
          </w:p>
        </w:tc>
        <w:tc>
          <w:tcPr>
            <w:tcW w:w="0" w:type="auto"/>
            <w:gridSpan w:val="2"/>
            <w:shd w:val="clear" w:color="auto" w:fill="auto"/>
            <w:tcMar>
              <w:top w:w="40" w:type="dxa"/>
              <w:left w:w="40" w:type="dxa"/>
              <w:bottom w:w="40" w:type="dxa"/>
            </w:tcMar>
            <w:vAlign w:val="bottom"/>
          </w:tcPr>
          <w:p w14:paraId="5556919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1,766</w:t>
            </w:r>
          </w:p>
        </w:tc>
        <w:tc>
          <w:tcPr>
            <w:tcW w:w="0" w:type="auto"/>
            <w:shd w:val="clear" w:color="auto" w:fill="auto"/>
            <w:vAlign w:val="bottom"/>
          </w:tcPr>
          <w:p w14:paraId="555691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A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874</w:t>
            </w:r>
          </w:p>
        </w:tc>
        <w:tc>
          <w:tcPr>
            <w:tcW w:w="0" w:type="auto"/>
            <w:shd w:val="clear" w:color="auto" w:fill="auto"/>
            <w:vAlign w:val="bottom"/>
          </w:tcPr>
          <w:p w14:paraId="555691A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A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98</w:t>
            </w:r>
          </w:p>
        </w:tc>
        <w:tc>
          <w:tcPr>
            <w:tcW w:w="0" w:type="auto"/>
            <w:shd w:val="clear" w:color="auto" w:fill="auto"/>
            <w:vAlign w:val="bottom"/>
          </w:tcPr>
          <w:p w14:paraId="555691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A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w:t>
            </w:r>
          </w:p>
        </w:tc>
        <w:tc>
          <w:tcPr>
            <w:tcW w:w="0" w:type="auto"/>
            <w:shd w:val="clear" w:color="auto" w:fill="auto"/>
            <w:vAlign w:val="bottom"/>
          </w:tcPr>
          <w:p w14:paraId="555691A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A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28</w:t>
            </w:r>
          </w:p>
        </w:tc>
        <w:tc>
          <w:tcPr>
            <w:tcW w:w="0" w:type="auto"/>
            <w:shd w:val="clear" w:color="auto" w:fill="auto"/>
            <w:vAlign w:val="bottom"/>
          </w:tcPr>
          <w:p w14:paraId="555691AC" w14:textId="77777777" w:rsidR="00F925DD" w:rsidRDefault="00F925DD">
            <w:pPr>
              <w:textAlignment w:val="bottom"/>
              <w:rPr>
                <w:rFonts w:ascii="Times New Roman" w:hAnsi="Times New Roman"/>
                <w:sz w:val="20"/>
                <w:szCs w:val="20"/>
              </w:rPr>
            </w:pPr>
          </w:p>
        </w:tc>
      </w:tr>
      <w:tr w:rsidR="00F925DD" w14:paraId="555691BD" w14:textId="77777777">
        <w:tc>
          <w:tcPr>
            <w:tcW w:w="0" w:type="auto"/>
            <w:shd w:val="clear" w:color="auto" w:fill="CCEEFF"/>
            <w:tcMar>
              <w:top w:w="40" w:type="dxa"/>
              <w:left w:w="240" w:type="dxa"/>
              <w:bottom w:w="40" w:type="dxa"/>
              <w:right w:w="40" w:type="dxa"/>
            </w:tcMar>
            <w:vAlign w:val="bottom"/>
          </w:tcPr>
          <w:p w14:paraId="555691AE" w14:textId="77777777" w:rsidR="00F925DD" w:rsidRDefault="00E705D7">
            <w:pPr>
              <w:textAlignment w:val="bottom"/>
              <w:rPr>
                <w:rFonts w:ascii="Times New Roman" w:hAnsi="Times New Roman"/>
                <w:sz w:val="14"/>
                <w:szCs w:val="14"/>
              </w:rPr>
            </w:pPr>
            <w:r>
              <w:rPr>
                <w:rFonts w:ascii="Arial" w:eastAsia="宋体" w:hAnsi="Arial" w:cs="Arial"/>
                <w:sz w:val="14"/>
                <w:szCs w:val="14"/>
              </w:rPr>
              <w:t>Lease financing</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555691A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91B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1B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555691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1B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267</w:t>
            </w:r>
          </w:p>
        </w:tc>
        <w:tc>
          <w:tcPr>
            <w:tcW w:w="0" w:type="auto"/>
            <w:tcBorders>
              <w:bottom w:val="single" w:sz="8" w:space="0" w:color="000000"/>
            </w:tcBorders>
            <w:shd w:val="clear" w:color="auto" w:fill="CCEEFF"/>
            <w:vAlign w:val="bottom"/>
          </w:tcPr>
          <w:p w14:paraId="555691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1B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338</w:t>
            </w:r>
          </w:p>
        </w:tc>
        <w:tc>
          <w:tcPr>
            <w:tcW w:w="0" w:type="auto"/>
            <w:tcBorders>
              <w:bottom w:val="single" w:sz="8" w:space="0" w:color="000000"/>
            </w:tcBorders>
            <w:shd w:val="clear" w:color="auto" w:fill="CCEEFF"/>
            <w:vAlign w:val="bottom"/>
          </w:tcPr>
          <w:p w14:paraId="555691B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1B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337</w:t>
            </w:r>
          </w:p>
        </w:tc>
        <w:tc>
          <w:tcPr>
            <w:tcW w:w="0" w:type="auto"/>
            <w:tcBorders>
              <w:bottom w:val="single" w:sz="8" w:space="0" w:color="000000"/>
            </w:tcBorders>
            <w:shd w:val="clear" w:color="auto" w:fill="CCEEFF"/>
            <w:vAlign w:val="bottom"/>
          </w:tcPr>
          <w:p w14:paraId="555691BC" w14:textId="77777777" w:rsidR="00F925DD" w:rsidRDefault="00F925DD">
            <w:pPr>
              <w:textAlignment w:val="bottom"/>
              <w:rPr>
                <w:rFonts w:ascii="Times New Roman" w:hAnsi="Times New Roman"/>
                <w:sz w:val="20"/>
                <w:szCs w:val="20"/>
              </w:rPr>
            </w:pPr>
          </w:p>
        </w:tc>
      </w:tr>
      <w:tr w:rsidR="00F925DD" w14:paraId="555691CD" w14:textId="77777777">
        <w:tc>
          <w:tcPr>
            <w:tcW w:w="0" w:type="auto"/>
            <w:shd w:val="clear" w:color="auto" w:fill="auto"/>
            <w:tcMar>
              <w:top w:w="40" w:type="dxa"/>
              <w:left w:w="400" w:type="dxa"/>
              <w:bottom w:w="40" w:type="dxa"/>
              <w:right w:w="40" w:type="dxa"/>
            </w:tcMar>
            <w:vAlign w:val="bottom"/>
          </w:tcPr>
          <w:p w14:paraId="555691BE"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domestic</w:t>
            </w:r>
          </w:p>
        </w:tc>
        <w:tc>
          <w:tcPr>
            <w:tcW w:w="0" w:type="auto"/>
            <w:gridSpan w:val="2"/>
            <w:tcBorders>
              <w:top w:val="single" w:sz="8" w:space="0" w:color="000000"/>
            </w:tcBorders>
            <w:shd w:val="clear" w:color="auto" w:fill="auto"/>
            <w:tcMar>
              <w:top w:w="40" w:type="dxa"/>
              <w:left w:w="40" w:type="dxa"/>
              <w:bottom w:w="40" w:type="dxa"/>
            </w:tcMar>
            <w:vAlign w:val="bottom"/>
          </w:tcPr>
          <w:p w14:paraId="555691B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20,528</w:t>
            </w:r>
          </w:p>
        </w:tc>
        <w:tc>
          <w:tcPr>
            <w:tcW w:w="0" w:type="auto"/>
            <w:tcBorders>
              <w:top w:val="single" w:sz="8" w:space="0" w:color="000000"/>
            </w:tcBorders>
            <w:shd w:val="clear" w:color="auto" w:fill="auto"/>
            <w:vAlign w:val="bottom"/>
          </w:tcPr>
          <w:p w14:paraId="555691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91C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20,353</w:t>
            </w:r>
          </w:p>
        </w:tc>
        <w:tc>
          <w:tcPr>
            <w:tcW w:w="0" w:type="auto"/>
            <w:tcBorders>
              <w:top w:val="single" w:sz="8" w:space="0" w:color="000000"/>
            </w:tcBorders>
            <w:shd w:val="clear" w:color="auto" w:fill="auto"/>
            <w:vAlign w:val="bottom"/>
          </w:tcPr>
          <w:p w14:paraId="555691C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C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19,061</w:t>
            </w:r>
          </w:p>
        </w:tc>
        <w:tc>
          <w:tcPr>
            <w:tcW w:w="0" w:type="auto"/>
            <w:shd w:val="clear" w:color="auto" w:fill="auto"/>
            <w:vAlign w:val="bottom"/>
          </w:tcPr>
          <w:p w14:paraId="555691C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C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16,777</w:t>
            </w:r>
          </w:p>
        </w:tc>
        <w:tc>
          <w:tcPr>
            <w:tcW w:w="0" w:type="auto"/>
            <w:shd w:val="clear" w:color="auto" w:fill="auto"/>
            <w:vAlign w:val="bottom"/>
          </w:tcPr>
          <w:p w14:paraId="555691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C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16,264</w:t>
            </w:r>
          </w:p>
        </w:tc>
        <w:tc>
          <w:tcPr>
            <w:tcW w:w="0" w:type="auto"/>
            <w:shd w:val="clear" w:color="auto" w:fill="auto"/>
            <w:vAlign w:val="bottom"/>
          </w:tcPr>
          <w:p w14:paraId="555691CC" w14:textId="77777777" w:rsidR="00F925DD" w:rsidRDefault="00F925DD">
            <w:pPr>
              <w:textAlignment w:val="bottom"/>
              <w:rPr>
                <w:rFonts w:ascii="Times New Roman" w:hAnsi="Times New Roman"/>
                <w:sz w:val="20"/>
                <w:szCs w:val="20"/>
              </w:rPr>
            </w:pPr>
          </w:p>
        </w:tc>
      </w:tr>
      <w:tr w:rsidR="00F925DD" w14:paraId="555691D8" w14:textId="77777777">
        <w:tc>
          <w:tcPr>
            <w:tcW w:w="0" w:type="auto"/>
            <w:shd w:val="clear" w:color="auto" w:fill="CCEEFF"/>
            <w:tcMar>
              <w:top w:w="40" w:type="dxa"/>
              <w:left w:w="40" w:type="dxa"/>
              <w:bottom w:w="40" w:type="dxa"/>
              <w:right w:w="40" w:type="dxa"/>
            </w:tcMar>
            <w:vAlign w:val="bottom"/>
          </w:tcPr>
          <w:p w14:paraId="555691C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Foreign</w:t>
            </w:r>
            <w:r>
              <w:rPr>
                <w:rFonts w:ascii="Arial" w:eastAsia="宋体" w:hAnsi="Arial" w:cs="Arial"/>
                <w:b/>
                <w:bCs/>
                <w:sz w:val="10"/>
                <w:szCs w:val="10"/>
              </w:rPr>
              <w:t>(1)</w:t>
            </w:r>
            <w:r>
              <w:rPr>
                <w:rFonts w:ascii="Arial" w:eastAsia="宋体" w:hAnsi="Arial" w:cs="Arial"/>
                <w:b/>
                <w:bCs/>
                <w:sz w:val="14"/>
                <w:szCs w:val="14"/>
              </w:rPr>
              <w:t>:</w:t>
            </w:r>
          </w:p>
        </w:tc>
        <w:tc>
          <w:tcPr>
            <w:tcW w:w="0" w:type="auto"/>
            <w:gridSpan w:val="3"/>
            <w:shd w:val="clear" w:color="auto" w:fill="CCEEFF"/>
            <w:tcMar>
              <w:top w:w="40" w:type="dxa"/>
              <w:left w:w="40" w:type="dxa"/>
              <w:bottom w:w="40" w:type="dxa"/>
              <w:right w:w="40" w:type="dxa"/>
            </w:tcMar>
            <w:vAlign w:val="bottom"/>
          </w:tcPr>
          <w:p w14:paraId="555691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1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91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1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91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1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91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1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91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1E8" w14:textId="77777777">
        <w:tc>
          <w:tcPr>
            <w:tcW w:w="0" w:type="auto"/>
            <w:shd w:val="clear" w:color="auto" w:fill="auto"/>
            <w:tcMar>
              <w:top w:w="40" w:type="dxa"/>
              <w:left w:w="40" w:type="dxa"/>
              <w:bottom w:w="40" w:type="dxa"/>
              <w:right w:w="40" w:type="dxa"/>
            </w:tcMar>
            <w:vAlign w:val="bottom"/>
          </w:tcPr>
          <w:p w14:paraId="555691D9" w14:textId="77777777" w:rsidR="00F925DD" w:rsidRDefault="00E705D7">
            <w:pPr>
              <w:textAlignment w:val="bottom"/>
              <w:rPr>
                <w:rFonts w:ascii="Times New Roman" w:hAnsi="Times New Roman"/>
                <w:sz w:val="14"/>
                <w:szCs w:val="14"/>
              </w:rPr>
            </w:pPr>
            <w:r>
              <w:rPr>
                <w:rFonts w:ascii="Arial" w:eastAsia="宋体" w:hAnsi="Arial" w:cs="Arial"/>
                <w:sz w:val="14"/>
                <w:szCs w:val="14"/>
              </w:rPr>
              <w:t>Commercial and financial</w:t>
            </w:r>
          </w:p>
        </w:tc>
        <w:tc>
          <w:tcPr>
            <w:tcW w:w="0" w:type="auto"/>
            <w:gridSpan w:val="2"/>
            <w:shd w:val="clear" w:color="auto" w:fill="auto"/>
            <w:tcMar>
              <w:top w:w="40" w:type="dxa"/>
              <w:left w:w="40" w:type="dxa"/>
              <w:bottom w:w="40" w:type="dxa"/>
            </w:tcMar>
            <w:vAlign w:val="bottom"/>
          </w:tcPr>
          <w:p w14:paraId="555691D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5,781</w:t>
            </w:r>
          </w:p>
        </w:tc>
        <w:tc>
          <w:tcPr>
            <w:tcW w:w="0" w:type="auto"/>
            <w:shd w:val="clear" w:color="auto" w:fill="auto"/>
            <w:vAlign w:val="bottom"/>
          </w:tcPr>
          <w:p w14:paraId="555691D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D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5,436</w:t>
            </w:r>
          </w:p>
        </w:tc>
        <w:tc>
          <w:tcPr>
            <w:tcW w:w="0" w:type="auto"/>
            <w:shd w:val="clear" w:color="auto" w:fill="auto"/>
            <w:vAlign w:val="bottom"/>
          </w:tcPr>
          <w:p w14:paraId="555691D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E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3,837</w:t>
            </w:r>
          </w:p>
        </w:tc>
        <w:tc>
          <w:tcPr>
            <w:tcW w:w="0" w:type="auto"/>
            <w:shd w:val="clear" w:color="auto" w:fill="auto"/>
            <w:vAlign w:val="bottom"/>
          </w:tcPr>
          <w:p w14:paraId="555691E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E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2,476</w:t>
            </w:r>
          </w:p>
        </w:tc>
        <w:tc>
          <w:tcPr>
            <w:tcW w:w="0" w:type="auto"/>
            <w:shd w:val="clear" w:color="auto" w:fill="auto"/>
            <w:vAlign w:val="bottom"/>
          </w:tcPr>
          <w:p w14:paraId="555691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1E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1,957</w:t>
            </w:r>
          </w:p>
        </w:tc>
        <w:tc>
          <w:tcPr>
            <w:tcW w:w="0" w:type="auto"/>
            <w:shd w:val="clear" w:color="auto" w:fill="auto"/>
            <w:vAlign w:val="bottom"/>
          </w:tcPr>
          <w:p w14:paraId="555691E7" w14:textId="77777777" w:rsidR="00F925DD" w:rsidRDefault="00F925DD">
            <w:pPr>
              <w:textAlignment w:val="bottom"/>
              <w:rPr>
                <w:rFonts w:ascii="Times New Roman" w:hAnsi="Times New Roman"/>
                <w:sz w:val="20"/>
                <w:szCs w:val="20"/>
              </w:rPr>
            </w:pPr>
          </w:p>
        </w:tc>
      </w:tr>
      <w:tr w:rsidR="00F925DD" w14:paraId="555691F8" w14:textId="77777777">
        <w:tc>
          <w:tcPr>
            <w:tcW w:w="0" w:type="auto"/>
            <w:shd w:val="clear" w:color="auto" w:fill="CCEEFF"/>
            <w:tcMar>
              <w:top w:w="40" w:type="dxa"/>
              <w:left w:w="240" w:type="dxa"/>
              <w:bottom w:w="40" w:type="dxa"/>
              <w:right w:w="40" w:type="dxa"/>
            </w:tcMar>
            <w:vAlign w:val="bottom"/>
          </w:tcPr>
          <w:p w14:paraId="555691E9" w14:textId="77777777" w:rsidR="00F925DD" w:rsidRDefault="00E705D7">
            <w:pPr>
              <w:textAlignment w:val="bottom"/>
              <w:rPr>
                <w:rFonts w:ascii="Times New Roman" w:hAnsi="Times New Roman"/>
                <w:sz w:val="14"/>
                <w:szCs w:val="14"/>
              </w:rPr>
            </w:pPr>
            <w:r>
              <w:rPr>
                <w:rFonts w:ascii="Arial" w:eastAsia="宋体" w:hAnsi="Arial" w:cs="Arial"/>
                <w:sz w:val="14"/>
                <w:szCs w:val="14"/>
              </w:rPr>
              <w:t>Lease financing</w:t>
            </w:r>
            <w:r>
              <w:rPr>
                <w:rFonts w:ascii="Arial" w:eastAsia="宋体" w:hAnsi="Arial" w:cs="Arial"/>
                <w:sz w:val="10"/>
                <w:szCs w:val="10"/>
              </w:rPr>
              <w:t>(2)</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1E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91E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1E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555691E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1F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396</w:t>
            </w:r>
          </w:p>
        </w:tc>
        <w:tc>
          <w:tcPr>
            <w:tcW w:w="0" w:type="auto"/>
            <w:tcBorders>
              <w:bottom w:val="single" w:sz="8" w:space="0" w:color="000000"/>
            </w:tcBorders>
            <w:shd w:val="clear" w:color="auto" w:fill="CCEEFF"/>
            <w:vAlign w:val="bottom"/>
          </w:tcPr>
          <w:p w14:paraId="555691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1F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504</w:t>
            </w:r>
          </w:p>
        </w:tc>
        <w:tc>
          <w:tcPr>
            <w:tcW w:w="0" w:type="auto"/>
            <w:tcBorders>
              <w:bottom w:val="single" w:sz="8" w:space="0" w:color="000000"/>
            </w:tcBorders>
            <w:shd w:val="clear" w:color="auto" w:fill="CCEEFF"/>
            <w:vAlign w:val="bottom"/>
          </w:tcPr>
          <w:p w14:paraId="555691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1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1F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578</w:t>
            </w:r>
          </w:p>
        </w:tc>
        <w:tc>
          <w:tcPr>
            <w:tcW w:w="0" w:type="auto"/>
            <w:tcBorders>
              <w:bottom w:val="single" w:sz="8" w:space="0" w:color="000000"/>
            </w:tcBorders>
            <w:shd w:val="clear" w:color="auto" w:fill="CCEEFF"/>
            <w:vAlign w:val="bottom"/>
          </w:tcPr>
          <w:p w14:paraId="555691F7" w14:textId="77777777" w:rsidR="00F925DD" w:rsidRDefault="00F925DD">
            <w:pPr>
              <w:textAlignment w:val="bottom"/>
              <w:rPr>
                <w:rFonts w:ascii="Times New Roman" w:hAnsi="Times New Roman"/>
                <w:sz w:val="20"/>
                <w:szCs w:val="20"/>
              </w:rPr>
            </w:pPr>
          </w:p>
        </w:tc>
      </w:tr>
      <w:tr w:rsidR="00F925DD" w14:paraId="55569208" w14:textId="77777777">
        <w:tc>
          <w:tcPr>
            <w:tcW w:w="0" w:type="auto"/>
            <w:shd w:val="clear" w:color="auto" w:fill="auto"/>
            <w:tcMar>
              <w:top w:w="40" w:type="dxa"/>
              <w:left w:w="400" w:type="dxa"/>
              <w:bottom w:w="40" w:type="dxa"/>
              <w:right w:w="40" w:type="dxa"/>
            </w:tcMar>
            <w:vAlign w:val="bottom"/>
          </w:tcPr>
          <w:p w14:paraId="555691F9"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foreign</w:t>
            </w:r>
          </w:p>
        </w:tc>
        <w:tc>
          <w:tcPr>
            <w:tcW w:w="0" w:type="auto"/>
            <w:gridSpan w:val="2"/>
            <w:tcBorders>
              <w:bottom w:val="single" w:sz="8" w:space="0" w:color="000000"/>
            </w:tcBorders>
            <w:shd w:val="clear" w:color="auto" w:fill="auto"/>
            <w:tcMar>
              <w:top w:w="40" w:type="dxa"/>
              <w:left w:w="40" w:type="dxa"/>
              <w:bottom w:w="40" w:type="dxa"/>
            </w:tcMar>
            <w:vAlign w:val="bottom"/>
          </w:tcPr>
          <w:p w14:paraId="555691F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5,781</w:t>
            </w:r>
          </w:p>
        </w:tc>
        <w:tc>
          <w:tcPr>
            <w:tcW w:w="0" w:type="auto"/>
            <w:tcBorders>
              <w:bottom w:val="single" w:sz="8" w:space="0" w:color="000000"/>
            </w:tcBorders>
            <w:shd w:val="clear" w:color="auto" w:fill="auto"/>
            <w:vAlign w:val="bottom"/>
          </w:tcPr>
          <w:p w14:paraId="555691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91F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5,436</w:t>
            </w:r>
          </w:p>
        </w:tc>
        <w:tc>
          <w:tcPr>
            <w:tcW w:w="0" w:type="auto"/>
            <w:tcBorders>
              <w:bottom w:val="single" w:sz="8" w:space="0" w:color="000000"/>
            </w:tcBorders>
            <w:shd w:val="clear" w:color="auto" w:fill="auto"/>
            <w:vAlign w:val="bottom"/>
          </w:tcPr>
          <w:p w14:paraId="555691F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1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920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4,233</w:t>
            </w:r>
          </w:p>
        </w:tc>
        <w:tc>
          <w:tcPr>
            <w:tcW w:w="0" w:type="auto"/>
            <w:tcBorders>
              <w:bottom w:val="single" w:sz="8" w:space="0" w:color="000000"/>
            </w:tcBorders>
            <w:shd w:val="clear" w:color="auto" w:fill="auto"/>
            <w:vAlign w:val="bottom"/>
          </w:tcPr>
          <w:p w14:paraId="5556920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920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2,980</w:t>
            </w:r>
          </w:p>
        </w:tc>
        <w:tc>
          <w:tcPr>
            <w:tcW w:w="0" w:type="auto"/>
            <w:tcBorders>
              <w:bottom w:val="single" w:sz="8" w:space="0" w:color="000000"/>
            </w:tcBorders>
            <w:shd w:val="clear" w:color="auto" w:fill="auto"/>
            <w:vAlign w:val="bottom"/>
          </w:tcPr>
          <w:p w14:paraId="5556920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20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2,535</w:t>
            </w:r>
          </w:p>
        </w:tc>
        <w:tc>
          <w:tcPr>
            <w:tcW w:w="0" w:type="auto"/>
            <w:shd w:val="clear" w:color="auto" w:fill="auto"/>
            <w:vAlign w:val="bottom"/>
          </w:tcPr>
          <w:p w14:paraId="55569207" w14:textId="77777777" w:rsidR="00F925DD" w:rsidRDefault="00F925DD">
            <w:pPr>
              <w:textAlignment w:val="bottom"/>
              <w:rPr>
                <w:rFonts w:ascii="Times New Roman" w:hAnsi="Times New Roman"/>
                <w:sz w:val="20"/>
                <w:szCs w:val="20"/>
              </w:rPr>
            </w:pPr>
          </w:p>
        </w:tc>
      </w:tr>
      <w:tr w:rsidR="00F925DD" w14:paraId="5556921D" w14:textId="77777777">
        <w:tc>
          <w:tcPr>
            <w:tcW w:w="0" w:type="auto"/>
            <w:shd w:val="clear" w:color="auto" w:fill="CCEEFF"/>
            <w:tcMar>
              <w:top w:w="40" w:type="dxa"/>
              <w:left w:w="40" w:type="dxa"/>
              <w:bottom w:w="40" w:type="dxa"/>
              <w:right w:w="40" w:type="dxa"/>
            </w:tcMar>
            <w:vAlign w:val="bottom"/>
          </w:tcPr>
          <w:p w14:paraId="55569209"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loans and leases</w:t>
            </w:r>
            <w:r>
              <w:rPr>
                <w:rFonts w:ascii="Arial" w:eastAsia="宋体" w:hAnsi="Arial" w:cs="Arial"/>
                <w:sz w:val="10"/>
                <w:szCs w:val="10"/>
              </w:rPr>
              <w:t>(3)(4)</w:t>
            </w:r>
          </w:p>
        </w:tc>
        <w:tc>
          <w:tcPr>
            <w:tcW w:w="0" w:type="auto"/>
            <w:tcBorders>
              <w:bottom w:val="double" w:sz="6" w:space="0" w:color="000000"/>
            </w:tcBorders>
            <w:shd w:val="clear" w:color="auto" w:fill="CCEEFF"/>
            <w:tcMar>
              <w:top w:w="40" w:type="dxa"/>
              <w:left w:w="40" w:type="dxa"/>
              <w:bottom w:w="40" w:type="dxa"/>
            </w:tcMar>
            <w:vAlign w:val="bottom"/>
          </w:tcPr>
          <w:p w14:paraId="5556920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920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26,309</w:t>
            </w:r>
          </w:p>
        </w:tc>
        <w:tc>
          <w:tcPr>
            <w:tcW w:w="0" w:type="auto"/>
            <w:tcBorders>
              <w:bottom w:val="double" w:sz="6" w:space="0" w:color="000000"/>
            </w:tcBorders>
            <w:shd w:val="clear" w:color="auto" w:fill="CCEEFF"/>
            <w:vAlign w:val="bottom"/>
          </w:tcPr>
          <w:p w14:paraId="5556920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20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20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25,789</w:t>
            </w:r>
          </w:p>
        </w:tc>
        <w:tc>
          <w:tcPr>
            <w:tcW w:w="0" w:type="auto"/>
            <w:tcBorders>
              <w:top w:val="single" w:sz="8" w:space="0" w:color="000000"/>
              <w:bottom w:val="double" w:sz="6" w:space="0" w:color="000000"/>
            </w:tcBorders>
            <w:shd w:val="clear" w:color="auto" w:fill="CCEEFF"/>
            <w:vAlign w:val="bottom"/>
          </w:tcPr>
          <w:p w14:paraId="555692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21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21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23,294</w:t>
            </w:r>
          </w:p>
        </w:tc>
        <w:tc>
          <w:tcPr>
            <w:tcW w:w="0" w:type="auto"/>
            <w:tcBorders>
              <w:top w:val="single" w:sz="8" w:space="0" w:color="000000"/>
              <w:bottom w:val="double" w:sz="6" w:space="0" w:color="000000"/>
            </w:tcBorders>
            <w:shd w:val="clear" w:color="auto" w:fill="CCEEFF"/>
            <w:vAlign w:val="bottom"/>
          </w:tcPr>
          <w:p w14:paraId="5556921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921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921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19,757</w:t>
            </w:r>
          </w:p>
        </w:tc>
        <w:tc>
          <w:tcPr>
            <w:tcW w:w="0" w:type="auto"/>
            <w:tcBorders>
              <w:bottom w:val="double" w:sz="6" w:space="0" w:color="000000"/>
            </w:tcBorders>
            <w:shd w:val="clear" w:color="auto" w:fill="CCEEFF"/>
            <w:vAlign w:val="bottom"/>
          </w:tcPr>
          <w:p w14:paraId="555692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21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21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18,799</w:t>
            </w:r>
          </w:p>
        </w:tc>
        <w:tc>
          <w:tcPr>
            <w:tcW w:w="0" w:type="auto"/>
            <w:tcBorders>
              <w:top w:val="single" w:sz="8" w:space="0" w:color="000000"/>
              <w:bottom w:val="double" w:sz="6" w:space="0" w:color="000000"/>
            </w:tcBorders>
            <w:shd w:val="clear" w:color="auto" w:fill="CCEEFF"/>
            <w:vAlign w:val="bottom"/>
          </w:tcPr>
          <w:p w14:paraId="5556921C" w14:textId="77777777" w:rsidR="00F925DD" w:rsidRDefault="00F925DD">
            <w:pPr>
              <w:textAlignment w:val="bottom"/>
              <w:rPr>
                <w:rFonts w:ascii="Times New Roman" w:hAnsi="Times New Roman"/>
                <w:sz w:val="20"/>
                <w:szCs w:val="20"/>
              </w:rPr>
            </w:pPr>
          </w:p>
        </w:tc>
      </w:tr>
      <w:tr w:rsidR="00F925DD" w14:paraId="55569232" w14:textId="77777777">
        <w:tc>
          <w:tcPr>
            <w:tcW w:w="0" w:type="auto"/>
            <w:shd w:val="clear" w:color="auto" w:fill="auto"/>
            <w:tcMar>
              <w:top w:w="40" w:type="dxa"/>
              <w:left w:w="40" w:type="dxa"/>
              <w:bottom w:w="40" w:type="dxa"/>
              <w:right w:w="40" w:type="dxa"/>
            </w:tcMar>
            <w:vAlign w:val="bottom"/>
          </w:tcPr>
          <w:p w14:paraId="5556921E" w14:textId="77777777" w:rsidR="00F925DD" w:rsidRDefault="00E705D7">
            <w:pPr>
              <w:textAlignment w:val="bottom"/>
              <w:rPr>
                <w:rFonts w:ascii="Times New Roman" w:hAnsi="Times New Roman"/>
                <w:sz w:val="14"/>
                <w:szCs w:val="14"/>
              </w:rPr>
            </w:pPr>
            <w:r>
              <w:rPr>
                <w:rFonts w:ascii="Arial" w:eastAsia="宋体" w:hAnsi="Arial" w:cs="Arial"/>
                <w:sz w:val="14"/>
                <w:szCs w:val="14"/>
              </w:rPr>
              <w:t>Average loans and leases</w:t>
            </w:r>
          </w:p>
        </w:tc>
        <w:tc>
          <w:tcPr>
            <w:tcW w:w="0" w:type="auto"/>
            <w:shd w:val="clear" w:color="auto" w:fill="auto"/>
            <w:tcMar>
              <w:top w:w="40" w:type="dxa"/>
              <w:left w:w="40" w:type="dxa"/>
              <w:bottom w:w="40" w:type="dxa"/>
            </w:tcMar>
            <w:vAlign w:val="bottom"/>
          </w:tcPr>
          <w:p w14:paraId="5556921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5556922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24,073</w:t>
            </w:r>
          </w:p>
        </w:tc>
        <w:tc>
          <w:tcPr>
            <w:tcW w:w="0" w:type="auto"/>
            <w:shd w:val="clear" w:color="auto" w:fill="auto"/>
            <w:vAlign w:val="bottom"/>
          </w:tcPr>
          <w:p w14:paraId="5556922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22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6922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23,573</w:t>
            </w:r>
          </w:p>
        </w:tc>
        <w:tc>
          <w:tcPr>
            <w:tcW w:w="0" w:type="auto"/>
            <w:shd w:val="clear" w:color="auto" w:fill="auto"/>
            <w:vAlign w:val="bottom"/>
          </w:tcPr>
          <w:p w14:paraId="5556922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tcMar>
            <w:vAlign w:val="bottom"/>
          </w:tcPr>
          <w:p w14:paraId="5556922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double" w:sz="6" w:space="0" w:color="000000"/>
            </w:tcBorders>
            <w:shd w:val="clear" w:color="auto" w:fill="auto"/>
            <w:tcMar>
              <w:top w:w="40" w:type="dxa"/>
              <w:bottom w:w="40" w:type="dxa"/>
            </w:tcMar>
            <w:vAlign w:val="bottom"/>
          </w:tcPr>
          <w:p w14:paraId="5556922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21,916</w:t>
            </w:r>
          </w:p>
        </w:tc>
        <w:tc>
          <w:tcPr>
            <w:tcW w:w="0" w:type="auto"/>
            <w:tcBorders>
              <w:top w:val="double" w:sz="6" w:space="0" w:color="000000"/>
            </w:tcBorders>
            <w:shd w:val="clear" w:color="auto" w:fill="auto"/>
            <w:vAlign w:val="bottom"/>
          </w:tcPr>
          <w:p w14:paraId="555692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tcMar>
            <w:vAlign w:val="bottom"/>
          </w:tcPr>
          <w:p w14:paraId="5556922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double" w:sz="6" w:space="0" w:color="000000"/>
            </w:tcBorders>
            <w:shd w:val="clear" w:color="auto" w:fill="auto"/>
            <w:tcMar>
              <w:top w:w="40" w:type="dxa"/>
              <w:bottom w:w="40" w:type="dxa"/>
            </w:tcMar>
            <w:vAlign w:val="bottom"/>
          </w:tcPr>
          <w:p w14:paraId="555692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19,013</w:t>
            </w:r>
          </w:p>
        </w:tc>
        <w:tc>
          <w:tcPr>
            <w:tcW w:w="0" w:type="auto"/>
            <w:tcBorders>
              <w:top w:val="double" w:sz="6" w:space="0" w:color="000000"/>
            </w:tcBorders>
            <w:shd w:val="clear" w:color="auto" w:fill="auto"/>
            <w:vAlign w:val="bottom"/>
          </w:tcPr>
          <w:p w14:paraId="555692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tcBorders>
            <w:shd w:val="clear" w:color="auto" w:fill="auto"/>
            <w:tcMar>
              <w:top w:w="40" w:type="dxa"/>
              <w:left w:w="40" w:type="dxa"/>
              <w:bottom w:w="40" w:type="dxa"/>
            </w:tcMar>
            <w:vAlign w:val="bottom"/>
          </w:tcPr>
          <w:p w14:paraId="5556922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double" w:sz="6" w:space="0" w:color="000000"/>
            </w:tcBorders>
            <w:shd w:val="clear" w:color="auto" w:fill="auto"/>
            <w:tcMar>
              <w:top w:w="40" w:type="dxa"/>
              <w:bottom w:w="40" w:type="dxa"/>
            </w:tcMar>
            <w:vAlign w:val="bottom"/>
          </w:tcPr>
          <w:p w14:paraId="5556923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17,948</w:t>
            </w:r>
          </w:p>
        </w:tc>
        <w:tc>
          <w:tcPr>
            <w:tcW w:w="0" w:type="auto"/>
            <w:tcBorders>
              <w:top w:val="double" w:sz="6" w:space="0" w:color="000000"/>
            </w:tcBorders>
            <w:shd w:val="clear" w:color="auto" w:fill="auto"/>
            <w:vAlign w:val="bottom"/>
          </w:tcPr>
          <w:p w14:paraId="55569231" w14:textId="77777777" w:rsidR="00F925DD" w:rsidRDefault="00F925DD">
            <w:pPr>
              <w:textAlignment w:val="bottom"/>
              <w:rPr>
                <w:rFonts w:ascii="Times New Roman" w:hAnsi="Times New Roman"/>
                <w:sz w:val="20"/>
                <w:szCs w:val="20"/>
              </w:rPr>
            </w:pPr>
          </w:p>
        </w:tc>
      </w:tr>
    </w:tbl>
    <w:p w14:paraId="55569233"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3987"/>
        <w:gridCol w:w="332"/>
        <w:gridCol w:w="1246"/>
        <w:gridCol w:w="2741"/>
      </w:tblGrid>
      <w:tr w:rsidR="00F925DD" w14:paraId="55569235" w14:textId="77777777">
        <w:tc>
          <w:tcPr>
            <w:tcW w:w="0" w:type="auto"/>
            <w:gridSpan w:val="4"/>
            <w:shd w:val="clear" w:color="auto" w:fill="auto"/>
            <w:vAlign w:val="center"/>
          </w:tcPr>
          <w:p w14:paraId="55569234" w14:textId="77777777" w:rsidR="00F925DD" w:rsidRDefault="00F925DD">
            <w:pPr>
              <w:rPr>
                <w:rFonts w:ascii="Times New Roman" w:hAnsi="Times New Roman"/>
                <w:sz w:val="20"/>
                <w:szCs w:val="20"/>
              </w:rPr>
            </w:pPr>
          </w:p>
        </w:tc>
      </w:tr>
      <w:tr w:rsidR="00F925DD" w14:paraId="5556923A" w14:textId="77777777">
        <w:tc>
          <w:tcPr>
            <w:tcW w:w="2400" w:type="pct"/>
            <w:shd w:val="clear" w:color="auto" w:fill="auto"/>
            <w:vAlign w:val="center"/>
          </w:tcPr>
          <w:p w14:paraId="55569236" w14:textId="77777777" w:rsidR="00F925DD" w:rsidRDefault="00F925DD">
            <w:pPr>
              <w:rPr>
                <w:rFonts w:ascii="Times New Roman" w:hAnsi="Times New Roman"/>
                <w:sz w:val="20"/>
                <w:szCs w:val="20"/>
              </w:rPr>
            </w:pPr>
          </w:p>
        </w:tc>
        <w:tc>
          <w:tcPr>
            <w:tcW w:w="200" w:type="pct"/>
            <w:shd w:val="clear" w:color="auto" w:fill="auto"/>
            <w:vAlign w:val="center"/>
          </w:tcPr>
          <w:p w14:paraId="55569237" w14:textId="77777777" w:rsidR="00F925DD" w:rsidRDefault="00F925DD">
            <w:pPr>
              <w:rPr>
                <w:rFonts w:ascii="Times New Roman" w:hAnsi="Times New Roman"/>
                <w:sz w:val="20"/>
                <w:szCs w:val="20"/>
              </w:rPr>
            </w:pPr>
          </w:p>
        </w:tc>
        <w:tc>
          <w:tcPr>
            <w:tcW w:w="750" w:type="pct"/>
            <w:shd w:val="clear" w:color="auto" w:fill="auto"/>
            <w:vAlign w:val="center"/>
          </w:tcPr>
          <w:p w14:paraId="55569238" w14:textId="77777777" w:rsidR="00F925DD" w:rsidRDefault="00F925DD">
            <w:pPr>
              <w:rPr>
                <w:rFonts w:ascii="Times New Roman" w:hAnsi="Times New Roman"/>
                <w:sz w:val="20"/>
                <w:szCs w:val="20"/>
              </w:rPr>
            </w:pPr>
          </w:p>
        </w:tc>
        <w:tc>
          <w:tcPr>
            <w:tcW w:w="1650" w:type="pct"/>
            <w:shd w:val="clear" w:color="auto" w:fill="auto"/>
            <w:vAlign w:val="center"/>
          </w:tcPr>
          <w:p w14:paraId="55569239" w14:textId="77777777" w:rsidR="00F925DD" w:rsidRDefault="00F925DD">
            <w:pPr>
              <w:rPr>
                <w:rFonts w:ascii="Times New Roman" w:hAnsi="Times New Roman"/>
                <w:sz w:val="20"/>
                <w:szCs w:val="20"/>
              </w:rPr>
            </w:pPr>
          </w:p>
        </w:tc>
      </w:tr>
      <w:tr w:rsidR="00F925DD" w14:paraId="5556923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92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2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2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2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9240" w14:textId="77777777" w:rsidR="00F925DD" w:rsidRDefault="00E705D7">
      <w:r>
        <w:rPr>
          <w:rFonts w:ascii="Arial" w:eastAsia="宋体" w:hAnsi="Arial" w:cs="Arial"/>
          <w:sz w:val="8"/>
          <w:szCs w:val="8"/>
        </w:rPr>
        <w:t>(1)</w:t>
      </w:r>
      <w:r>
        <w:rPr>
          <w:rFonts w:ascii="Arial" w:eastAsia="宋体" w:hAnsi="Arial" w:cs="Arial"/>
          <w:sz w:val="12"/>
          <w:szCs w:val="12"/>
        </w:rPr>
        <w:t xml:space="preserve"> Domestic and foreign categorization is based on the borrower’s country of domicile.</w:t>
      </w:r>
    </w:p>
    <w:p w14:paraId="55569241"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We wound down our lease financing business in 2018.</w:t>
      </w:r>
    </w:p>
    <w:p w14:paraId="55569242"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(3) </w:t>
      </w:r>
      <w:r>
        <w:rPr>
          <w:rFonts w:ascii="Arial" w:eastAsia="宋体" w:hAnsi="Arial" w:cs="Arial"/>
          <w:sz w:val="12"/>
          <w:szCs w:val="12"/>
        </w:rPr>
        <w:t xml:space="preserve">Includes $3,256 million and $5,444 million of </w:t>
      </w:r>
      <w:r>
        <w:rPr>
          <w:rFonts w:ascii="Arial" w:eastAsia="宋体" w:hAnsi="Arial" w:cs="Arial"/>
          <w:sz w:val="12"/>
          <w:szCs w:val="12"/>
        </w:rPr>
        <w:t>overdrafts as of December 31, 2019 and December 31, 2018, respectively.</w:t>
      </w:r>
    </w:p>
    <w:p w14:paraId="55569243"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(4)</w:t>
      </w:r>
      <w:r>
        <w:rPr>
          <w:rFonts w:ascii="Arial" w:eastAsia="宋体" w:hAnsi="Arial" w:cs="Arial"/>
          <w:sz w:val="12"/>
          <w:szCs w:val="12"/>
        </w:rPr>
        <w:t xml:space="preserve"> As of December 31, 2019, floating rate loans totaled $24,289 million and fixed rate loans totaled $2,020 million.</w:t>
      </w:r>
    </w:p>
    <w:p w14:paraId="55569244"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24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decrease in domestic loans in the commercial and financial s</w:t>
      </w:r>
      <w:r>
        <w:rPr>
          <w:rFonts w:ascii="Arial" w:eastAsia="宋体" w:hAnsi="Arial" w:cs="Arial"/>
          <w:sz w:val="20"/>
          <w:szCs w:val="20"/>
        </w:rPr>
        <w:t>egment as of December 31, 2019 compared to December 31, 2018 was primarily driven by a decrease in loans to investment funds and senior secured loans. The increase in foreign loans in the same period was primarily driven by an increase in loans to investme</w:t>
      </w:r>
      <w:r>
        <w:rPr>
          <w:rFonts w:ascii="Arial" w:eastAsia="宋体" w:hAnsi="Arial" w:cs="Arial"/>
          <w:sz w:val="20"/>
          <w:szCs w:val="20"/>
        </w:rPr>
        <w:t>nt funds and senior secured loans.</w:t>
      </w:r>
    </w:p>
    <w:p w14:paraId="5556924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and December 31, 2018, our investment in senior secured loans, otherwise known as leveraged loans, totaled approximately $4.46 billion and $4.42 billion, respectively. In addition, we had binding u</w:t>
      </w:r>
      <w:r>
        <w:rPr>
          <w:rFonts w:ascii="Arial" w:eastAsia="宋体" w:hAnsi="Arial" w:cs="Arial"/>
          <w:sz w:val="20"/>
          <w:szCs w:val="20"/>
        </w:rPr>
        <w:t>nfunded commitments as of December 31, 2019 and December 31, 2018 of $176 million and $238 million, respectively, to participate in such syndications. Additional information about these unfunded commitments is provided in Note 12 to the consolidated financ</w:t>
      </w:r>
      <w:r>
        <w:rPr>
          <w:rFonts w:ascii="Arial" w:eastAsia="宋体" w:hAnsi="Arial" w:cs="Arial"/>
          <w:sz w:val="20"/>
          <w:szCs w:val="20"/>
        </w:rPr>
        <w:t>ial statements in this Form 10-K.</w:t>
      </w:r>
    </w:p>
    <w:p w14:paraId="5556924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These senior secured loans, which are primarily rated “speculative” under our internal risk-rating framework (refer to Note 4 to the consolidated financial statements in this Form 10-K), are externally rated “BBB,” “BB” or</w:t>
      </w:r>
      <w:r>
        <w:rPr>
          <w:rFonts w:ascii="Arial" w:eastAsia="宋体" w:hAnsi="Arial" w:cs="Arial"/>
          <w:sz w:val="20"/>
          <w:szCs w:val="20"/>
        </w:rPr>
        <w:t xml:space="preserve"> “B,” with approximately 86% and 90% of the loans rated “BB” or “B” as of December 31, 2019 and December 31, 2018, respectively. Our investment strategy involves generally limiting our investment to larger, more liquid credits underwritten by major global </w:t>
      </w:r>
      <w:r>
        <w:rPr>
          <w:rFonts w:ascii="Arial" w:eastAsia="宋体" w:hAnsi="Arial" w:cs="Arial"/>
          <w:sz w:val="20"/>
          <w:szCs w:val="20"/>
        </w:rPr>
        <w:t xml:space="preserve">financial institutions, applying our internal credit analysis process to each potential investment and diversifying our exposure by counterparty and industry segment. However, these loans have significant exposure to credit losses relative to higher-rated </w:t>
      </w:r>
      <w:r>
        <w:rPr>
          <w:rFonts w:ascii="Arial" w:eastAsia="宋体" w:hAnsi="Arial" w:cs="Arial"/>
          <w:sz w:val="20"/>
          <w:szCs w:val="20"/>
        </w:rPr>
        <w:t xml:space="preserve">loans in our portfolio. </w:t>
      </w:r>
    </w:p>
    <w:p w14:paraId="5556924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all of our loan segments, as well as underlying classes, is provided in Note 4 to the consolidated financial statements in this Form 10-K.</w:t>
      </w:r>
    </w:p>
    <w:p w14:paraId="5556924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No loans were modified in troubled debt restructurings as of bo</w:t>
      </w:r>
      <w:r>
        <w:rPr>
          <w:rFonts w:ascii="Arial" w:eastAsia="宋体" w:hAnsi="Arial" w:cs="Arial"/>
          <w:sz w:val="20"/>
          <w:szCs w:val="20"/>
        </w:rPr>
        <w:t>th December 31, 2019 and December 31, 2018.</w:t>
      </w:r>
    </w:p>
    <w:tbl>
      <w:tblPr>
        <w:tblW w:w="5000" w:type="pct"/>
        <w:tblCellMar>
          <w:left w:w="0" w:type="dxa"/>
          <w:right w:w="0" w:type="dxa"/>
        </w:tblCellMar>
        <w:tblLook w:val="04A0" w:firstRow="1" w:lastRow="0" w:firstColumn="1" w:lastColumn="0" w:noHBand="0" w:noVBand="1"/>
      </w:tblPr>
      <w:tblGrid>
        <w:gridCol w:w="3144"/>
        <w:gridCol w:w="118"/>
        <w:gridCol w:w="985"/>
        <w:gridCol w:w="71"/>
        <w:gridCol w:w="154"/>
        <w:gridCol w:w="118"/>
        <w:gridCol w:w="985"/>
        <w:gridCol w:w="71"/>
        <w:gridCol w:w="154"/>
        <w:gridCol w:w="118"/>
        <w:gridCol w:w="985"/>
        <w:gridCol w:w="72"/>
        <w:gridCol w:w="155"/>
        <w:gridCol w:w="118"/>
        <w:gridCol w:w="986"/>
        <w:gridCol w:w="72"/>
      </w:tblGrid>
      <w:tr w:rsidR="00F925DD" w14:paraId="5556924B" w14:textId="77777777">
        <w:tc>
          <w:tcPr>
            <w:tcW w:w="0" w:type="auto"/>
            <w:gridSpan w:val="16"/>
            <w:shd w:val="clear" w:color="auto" w:fill="auto"/>
            <w:vAlign w:val="center"/>
          </w:tcPr>
          <w:p w14:paraId="5556924A" w14:textId="77777777" w:rsidR="00F925DD" w:rsidRDefault="00F925DD">
            <w:pPr>
              <w:rPr>
                <w:rFonts w:ascii="Times New Roman" w:hAnsi="Times New Roman"/>
                <w:sz w:val="20"/>
                <w:szCs w:val="20"/>
              </w:rPr>
            </w:pPr>
          </w:p>
        </w:tc>
      </w:tr>
      <w:tr w:rsidR="00F925DD" w14:paraId="5556925C" w14:textId="77777777">
        <w:tc>
          <w:tcPr>
            <w:tcW w:w="1900" w:type="pct"/>
            <w:shd w:val="clear" w:color="auto" w:fill="auto"/>
            <w:vAlign w:val="center"/>
          </w:tcPr>
          <w:p w14:paraId="5556924C" w14:textId="77777777" w:rsidR="00F925DD" w:rsidRDefault="00F925DD">
            <w:pPr>
              <w:rPr>
                <w:rFonts w:ascii="Times New Roman" w:hAnsi="Times New Roman"/>
                <w:sz w:val="20"/>
                <w:szCs w:val="20"/>
              </w:rPr>
            </w:pPr>
          </w:p>
        </w:tc>
        <w:tc>
          <w:tcPr>
            <w:tcW w:w="50" w:type="pct"/>
            <w:shd w:val="clear" w:color="auto" w:fill="auto"/>
            <w:vAlign w:val="center"/>
          </w:tcPr>
          <w:p w14:paraId="5556924D" w14:textId="77777777" w:rsidR="00F925DD" w:rsidRDefault="00F925DD">
            <w:pPr>
              <w:rPr>
                <w:rFonts w:ascii="Times New Roman" w:hAnsi="Times New Roman"/>
                <w:sz w:val="20"/>
                <w:szCs w:val="20"/>
              </w:rPr>
            </w:pPr>
          </w:p>
        </w:tc>
        <w:tc>
          <w:tcPr>
            <w:tcW w:w="600" w:type="pct"/>
            <w:shd w:val="clear" w:color="auto" w:fill="auto"/>
            <w:vAlign w:val="center"/>
          </w:tcPr>
          <w:p w14:paraId="5556924E" w14:textId="77777777" w:rsidR="00F925DD" w:rsidRDefault="00F925DD">
            <w:pPr>
              <w:rPr>
                <w:rFonts w:ascii="Times New Roman" w:hAnsi="Times New Roman"/>
                <w:sz w:val="20"/>
                <w:szCs w:val="20"/>
              </w:rPr>
            </w:pPr>
          </w:p>
        </w:tc>
        <w:tc>
          <w:tcPr>
            <w:tcW w:w="50" w:type="pct"/>
            <w:shd w:val="clear" w:color="auto" w:fill="auto"/>
            <w:vAlign w:val="center"/>
          </w:tcPr>
          <w:p w14:paraId="5556924F" w14:textId="77777777" w:rsidR="00F925DD" w:rsidRDefault="00F925DD">
            <w:pPr>
              <w:rPr>
                <w:rFonts w:ascii="Times New Roman" w:hAnsi="Times New Roman"/>
                <w:sz w:val="20"/>
                <w:szCs w:val="20"/>
              </w:rPr>
            </w:pPr>
          </w:p>
        </w:tc>
        <w:tc>
          <w:tcPr>
            <w:tcW w:w="100" w:type="pct"/>
            <w:shd w:val="clear" w:color="auto" w:fill="auto"/>
            <w:vAlign w:val="center"/>
          </w:tcPr>
          <w:p w14:paraId="55569250" w14:textId="77777777" w:rsidR="00F925DD" w:rsidRDefault="00F925DD">
            <w:pPr>
              <w:rPr>
                <w:rFonts w:ascii="Times New Roman" w:hAnsi="Times New Roman"/>
                <w:sz w:val="20"/>
                <w:szCs w:val="20"/>
              </w:rPr>
            </w:pPr>
          </w:p>
        </w:tc>
        <w:tc>
          <w:tcPr>
            <w:tcW w:w="50" w:type="pct"/>
            <w:shd w:val="clear" w:color="auto" w:fill="auto"/>
            <w:vAlign w:val="center"/>
          </w:tcPr>
          <w:p w14:paraId="55569251" w14:textId="77777777" w:rsidR="00F925DD" w:rsidRDefault="00F925DD">
            <w:pPr>
              <w:rPr>
                <w:rFonts w:ascii="Times New Roman" w:hAnsi="Times New Roman"/>
                <w:sz w:val="20"/>
                <w:szCs w:val="20"/>
              </w:rPr>
            </w:pPr>
          </w:p>
        </w:tc>
        <w:tc>
          <w:tcPr>
            <w:tcW w:w="600" w:type="pct"/>
            <w:shd w:val="clear" w:color="auto" w:fill="auto"/>
            <w:vAlign w:val="center"/>
          </w:tcPr>
          <w:p w14:paraId="55569252" w14:textId="77777777" w:rsidR="00F925DD" w:rsidRDefault="00F925DD">
            <w:pPr>
              <w:rPr>
                <w:rFonts w:ascii="Times New Roman" w:hAnsi="Times New Roman"/>
                <w:sz w:val="20"/>
                <w:szCs w:val="20"/>
              </w:rPr>
            </w:pPr>
          </w:p>
        </w:tc>
        <w:tc>
          <w:tcPr>
            <w:tcW w:w="50" w:type="pct"/>
            <w:shd w:val="clear" w:color="auto" w:fill="auto"/>
            <w:vAlign w:val="center"/>
          </w:tcPr>
          <w:p w14:paraId="55569253" w14:textId="77777777" w:rsidR="00F925DD" w:rsidRDefault="00F925DD">
            <w:pPr>
              <w:rPr>
                <w:rFonts w:ascii="Times New Roman" w:hAnsi="Times New Roman"/>
                <w:sz w:val="20"/>
                <w:szCs w:val="20"/>
              </w:rPr>
            </w:pPr>
          </w:p>
        </w:tc>
        <w:tc>
          <w:tcPr>
            <w:tcW w:w="100" w:type="pct"/>
            <w:shd w:val="clear" w:color="auto" w:fill="auto"/>
            <w:vAlign w:val="center"/>
          </w:tcPr>
          <w:p w14:paraId="55569254" w14:textId="77777777" w:rsidR="00F925DD" w:rsidRDefault="00F925DD">
            <w:pPr>
              <w:rPr>
                <w:rFonts w:ascii="Times New Roman" w:hAnsi="Times New Roman"/>
                <w:sz w:val="20"/>
                <w:szCs w:val="20"/>
              </w:rPr>
            </w:pPr>
          </w:p>
        </w:tc>
        <w:tc>
          <w:tcPr>
            <w:tcW w:w="50" w:type="pct"/>
            <w:shd w:val="clear" w:color="auto" w:fill="auto"/>
            <w:vAlign w:val="center"/>
          </w:tcPr>
          <w:p w14:paraId="55569255" w14:textId="77777777" w:rsidR="00F925DD" w:rsidRDefault="00F925DD">
            <w:pPr>
              <w:rPr>
                <w:rFonts w:ascii="Times New Roman" w:hAnsi="Times New Roman"/>
                <w:sz w:val="20"/>
                <w:szCs w:val="20"/>
              </w:rPr>
            </w:pPr>
          </w:p>
        </w:tc>
        <w:tc>
          <w:tcPr>
            <w:tcW w:w="600" w:type="pct"/>
            <w:shd w:val="clear" w:color="auto" w:fill="auto"/>
            <w:vAlign w:val="center"/>
          </w:tcPr>
          <w:p w14:paraId="55569256" w14:textId="77777777" w:rsidR="00F925DD" w:rsidRDefault="00F925DD">
            <w:pPr>
              <w:rPr>
                <w:rFonts w:ascii="Times New Roman" w:hAnsi="Times New Roman"/>
                <w:sz w:val="20"/>
                <w:szCs w:val="20"/>
              </w:rPr>
            </w:pPr>
          </w:p>
        </w:tc>
        <w:tc>
          <w:tcPr>
            <w:tcW w:w="50" w:type="pct"/>
            <w:shd w:val="clear" w:color="auto" w:fill="auto"/>
            <w:vAlign w:val="center"/>
          </w:tcPr>
          <w:p w14:paraId="55569257" w14:textId="77777777" w:rsidR="00F925DD" w:rsidRDefault="00F925DD">
            <w:pPr>
              <w:rPr>
                <w:rFonts w:ascii="Times New Roman" w:hAnsi="Times New Roman"/>
                <w:sz w:val="20"/>
                <w:szCs w:val="20"/>
              </w:rPr>
            </w:pPr>
          </w:p>
        </w:tc>
        <w:tc>
          <w:tcPr>
            <w:tcW w:w="100" w:type="pct"/>
            <w:shd w:val="clear" w:color="auto" w:fill="auto"/>
            <w:vAlign w:val="center"/>
          </w:tcPr>
          <w:p w14:paraId="55569258" w14:textId="77777777" w:rsidR="00F925DD" w:rsidRDefault="00F925DD">
            <w:pPr>
              <w:rPr>
                <w:rFonts w:ascii="Times New Roman" w:hAnsi="Times New Roman"/>
                <w:sz w:val="20"/>
                <w:szCs w:val="20"/>
              </w:rPr>
            </w:pPr>
          </w:p>
        </w:tc>
        <w:tc>
          <w:tcPr>
            <w:tcW w:w="50" w:type="pct"/>
            <w:shd w:val="clear" w:color="auto" w:fill="auto"/>
            <w:vAlign w:val="center"/>
          </w:tcPr>
          <w:p w14:paraId="55569259" w14:textId="77777777" w:rsidR="00F925DD" w:rsidRDefault="00F925DD">
            <w:pPr>
              <w:rPr>
                <w:rFonts w:ascii="Times New Roman" w:hAnsi="Times New Roman"/>
                <w:sz w:val="20"/>
                <w:szCs w:val="20"/>
              </w:rPr>
            </w:pPr>
          </w:p>
        </w:tc>
        <w:tc>
          <w:tcPr>
            <w:tcW w:w="600" w:type="pct"/>
            <w:shd w:val="clear" w:color="auto" w:fill="auto"/>
            <w:vAlign w:val="center"/>
          </w:tcPr>
          <w:p w14:paraId="5556925A" w14:textId="77777777" w:rsidR="00F925DD" w:rsidRDefault="00F925DD">
            <w:pPr>
              <w:rPr>
                <w:rFonts w:ascii="Times New Roman" w:hAnsi="Times New Roman"/>
                <w:sz w:val="20"/>
                <w:szCs w:val="20"/>
              </w:rPr>
            </w:pPr>
          </w:p>
        </w:tc>
        <w:tc>
          <w:tcPr>
            <w:tcW w:w="50" w:type="pct"/>
            <w:shd w:val="clear" w:color="auto" w:fill="auto"/>
            <w:vAlign w:val="center"/>
          </w:tcPr>
          <w:p w14:paraId="5556925B" w14:textId="77777777" w:rsidR="00F925DD" w:rsidRDefault="00F925DD">
            <w:pPr>
              <w:rPr>
                <w:rFonts w:ascii="Times New Roman" w:hAnsi="Times New Roman"/>
                <w:sz w:val="20"/>
                <w:szCs w:val="20"/>
              </w:rPr>
            </w:pPr>
          </w:p>
        </w:tc>
      </w:tr>
      <w:tr w:rsidR="00F925DD" w14:paraId="5556925E" w14:textId="77777777">
        <w:tc>
          <w:tcPr>
            <w:tcW w:w="0" w:type="auto"/>
            <w:gridSpan w:val="16"/>
            <w:shd w:val="clear" w:color="auto" w:fill="auto"/>
            <w:tcMar>
              <w:top w:w="40" w:type="dxa"/>
              <w:left w:w="40" w:type="dxa"/>
              <w:bottom w:w="40" w:type="dxa"/>
              <w:right w:w="40" w:type="dxa"/>
            </w:tcMar>
            <w:vAlign w:val="bottom"/>
          </w:tcPr>
          <w:p w14:paraId="5556925D"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27: CONTRACTUAL MATURITIES FOR LOANS</w:t>
            </w:r>
          </w:p>
        </w:tc>
      </w:tr>
      <w:tr w:rsidR="00F925DD" w14:paraId="55569261" w14:textId="77777777">
        <w:tc>
          <w:tcPr>
            <w:tcW w:w="0" w:type="auto"/>
            <w:shd w:val="clear" w:color="auto" w:fill="auto"/>
            <w:tcMar>
              <w:top w:w="40" w:type="dxa"/>
              <w:left w:w="40" w:type="dxa"/>
              <w:bottom w:w="40" w:type="dxa"/>
              <w:right w:w="40" w:type="dxa"/>
            </w:tcMar>
            <w:vAlign w:val="bottom"/>
          </w:tcPr>
          <w:p w14:paraId="555692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926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 of December 31, 2019</w:t>
            </w:r>
          </w:p>
        </w:tc>
      </w:tr>
      <w:tr w:rsidR="00F925DD" w14:paraId="5556926A" w14:textId="77777777">
        <w:tc>
          <w:tcPr>
            <w:tcW w:w="0" w:type="auto"/>
            <w:shd w:val="clear" w:color="auto" w:fill="auto"/>
            <w:tcMar>
              <w:top w:w="40" w:type="dxa"/>
              <w:left w:w="40" w:type="dxa"/>
              <w:bottom w:w="40" w:type="dxa"/>
              <w:right w:w="40" w:type="dxa"/>
            </w:tcMar>
            <w:vAlign w:val="bottom"/>
          </w:tcPr>
          <w:p w14:paraId="5556926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26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Under 1 year</w:t>
            </w:r>
          </w:p>
        </w:tc>
        <w:tc>
          <w:tcPr>
            <w:tcW w:w="0" w:type="auto"/>
            <w:shd w:val="clear" w:color="auto" w:fill="auto"/>
            <w:tcMar>
              <w:top w:w="40" w:type="dxa"/>
              <w:left w:w="40" w:type="dxa"/>
              <w:bottom w:w="40" w:type="dxa"/>
              <w:right w:w="40" w:type="dxa"/>
            </w:tcMar>
            <w:vAlign w:val="bottom"/>
          </w:tcPr>
          <w:p w14:paraId="555692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26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1 to 5 years</w:t>
            </w:r>
          </w:p>
        </w:tc>
        <w:tc>
          <w:tcPr>
            <w:tcW w:w="0" w:type="auto"/>
            <w:shd w:val="clear" w:color="auto" w:fill="auto"/>
            <w:tcMar>
              <w:top w:w="40" w:type="dxa"/>
              <w:left w:w="40" w:type="dxa"/>
              <w:bottom w:w="40" w:type="dxa"/>
              <w:right w:w="40" w:type="dxa"/>
            </w:tcMar>
            <w:vAlign w:val="bottom"/>
          </w:tcPr>
          <w:p w14:paraId="555692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26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Over 5 years</w:t>
            </w:r>
          </w:p>
        </w:tc>
        <w:tc>
          <w:tcPr>
            <w:tcW w:w="0" w:type="auto"/>
            <w:shd w:val="clear" w:color="auto" w:fill="auto"/>
            <w:tcMar>
              <w:top w:w="40" w:type="dxa"/>
              <w:left w:w="40" w:type="dxa"/>
              <w:bottom w:w="40" w:type="dxa"/>
              <w:right w:w="40" w:type="dxa"/>
            </w:tcMar>
            <w:vAlign w:val="bottom"/>
          </w:tcPr>
          <w:p w14:paraId="555692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26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r>
      <w:tr w:rsidR="00F925DD" w14:paraId="55569273" w14:textId="77777777">
        <w:tc>
          <w:tcPr>
            <w:tcW w:w="0" w:type="auto"/>
            <w:shd w:val="clear" w:color="auto" w:fill="auto"/>
            <w:tcMar>
              <w:top w:w="40" w:type="dxa"/>
              <w:left w:w="40" w:type="dxa"/>
              <w:bottom w:w="40" w:type="dxa"/>
              <w:right w:w="40" w:type="dxa"/>
            </w:tcMar>
            <w:vAlign w:val="bottom"/>
          </w:tcPr>
          <w:p w14:paraId="5556926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Domestic:</w:t>
            </w:r>
          </w:p>
        </w:tc>
        <w:tc>
          <w:tcPr>
            <w:tcW w:w="0" w:type="auto"/>
            <w:gridSpan w:val="3"/>
            <w:shd w:val="clear" w:color="auto" w:fill="auto"/>
            <w:tcMar>
              <w:top w:w="40" w:type="dxa"/>
              <w:left w:w="40" w:type="dxa"/>
              <w:bottom w:w="40" w:type="dxa"/>
              <w:right w:w="40" w:type="dxa"/>
            </w:tcMar>
            <w:vAlign w:val="bottom"/>
          </w:tcPr>
          <w:p w14:paraId="555692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2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2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2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2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2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2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284" w14:textId="77777777">
        <w:tc>
          <w:tcPr>
            <w:tcW w:w="0" w:type="auto"/>
            <w:shd w:val="clear" w:color="auto" w:fill="CCEEFF"/>
            <w:tcMar>
              <w:top w:w="40" w:type="dxa"/>
              <w:left w:w="40" w:type="dxa"/>
              <w:bottom w:w="40" w:type="dxa"/>
              <w:right w:w="40" w:type="dxa"/>
            </w:tcMar>
            <w:vAlign w:val="bottom"/>
          </w:tcPr>
          <w:p w14:paraId="55569274" w14:textId="77777777" w:rsidR="00F925DD" w:rsidRDefault="00E705D7">
            <w:pPr>
              <w:textAlignment w:val="bottom"/>
              <w:rPr>
                <w:rFonts w:ascii="Times New Roman" w:hAnsi="Times New Roman"/>
                <w:sz w:val="14"/>
                <w:szCs w:val="14"/>
              </w:rPr>
            </w:pPr>
            <w:r>
              <w:rPr>
                <w:rFonts w:ascii="Arial" w:eastAsia="宋体" w:hAnsi="Arial" w:cs="Arial"/>
                <w:sz w:val="14"/>
                <w:szCs w:val="14"/>
                <w:shd w:val="clear" w:color="auto" w:fill="CCEEFF"/>
              </w:rPr>
              <w:t xml:space="preserve">Commercial and </w:t>
            </w:r>
            <w:r>
              <w:rPr>
                <w:rFonts w:ascii="Arial" w:eastAsia="宋体" w:hAnsi="Arial" w:cs="Arial"/>
                <w:sz w:val="14"/>
                <w:szCs w:val="14"/>
                <w:shd w:val="clear" w:color="auto" w:fill="CCEEFF"/>
              </w:rPr>
              <w:t>financial</w:t>
            </w:r>
          </w:p>
        </w:tc>
        <w:tc>
          <w:tcPr>
            <w:tcW w:w="0" w:type="auto"/>
            <w:shd w:val="clear" w:color="auto" w:fill="CCEEFF"/>
            <w:tcMar>
              <w:top w:w="40" w:type="dxa"/>
              <w:left w:w="40" w:type="dxa"/>
              <w:bottom w:w="40" w:type="dxa"/>
            </w:tcMar>
            <w:vAlign w:val="bottom"/>
          </w:tcPr>
          <w:p w14:paraId="5556927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27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10,883</w:t>
            </w:r>
          </w:p>
        </w:tc>
        <w:tc>
          <w:tcPr>
            <w:tcW w:w="0" w:type="auto"/>
            <w:shd w:val="clear" w:color="auto" w:fill="CCEEFF"/>
            <w:vAlign w:val="bottom"/>
          </w:tcPr>
          <w:p w14:paraId="555692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27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27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5,464</w:t>
            </w:r>
          </w:p>
        </w:tc>
        <w:tc>
          <w:tcPr>
            <w:tcW w:w="0" w:type="auto"/>
            <w:shd w:val="clear" w:color="auto" w:fill="CCEEFF"/>
            <w:vAlign w:val="bottom"/>
          </w:tcPr>
          <w:p w14:paraId="555692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27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27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2,415</w:t>
            </w:r>
          </w:p>
        </w:tc>
        <w:tc>
          <w:tcPr>
            <w:tcW w:w="0" w:type="auto"/>
            <w:shd w:val="clear" w:color="auto" w:fill="CCEEFF"/>
            <w:vAlign w:val="bottom"/>
          </w:tcPr>
          <w:p w14:paraId="5556927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28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28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18,762</w:t>
            </w:r>
          </w:p>
        </w:tc>
        <w:tc>
          <w:tcPr>
            <w:tcW w:w="0" w:type="auto"/>
            <w:shd w:val="clear" w:color="auto" w:fill="CCEEFF"/>
            <w:vAlign w:val="bottom"/>
          </w:tcPr>
          <w:p w14:paraId="55569283" w14:textId="77777777" w:rsidR="00F925DD" w:rsidRDefault="00F925DD">
            <w:pPr>
              <w:textAlignment w:val="bottom"/>
              <w:rPr>
                <w:rFonts w:ascii="Times New Roman" w:hAnsi="Times New Roman"/>
                <w:sz w:val="20"/>
                <w:szCs w:val="20"/>
              </w:rPr>
            </w:pPr>
          </w:p>
        </w:tc>
      </w:tr>
      <w:tr w:rsidR="00F925DD" w14:paraId="55569291" w14:textId="77777777">
        <w:tc>
          <w:tcPr>
            <w:tcW w:w="0" w:type="auto"/>
            <w:shd w:val="clear" w:color="auto" w:fill="auto"/>
            <w:tcMar>
              <w:top w:w="40" w:type="dxa"/>
              <w:left w:w="40" w:type="dxa"/>
              <w:bottom w:w="40" w:type="dxa"/>
              <w:right w:w="40" w:type="dxa"/>
            </w:tcMar>
            <w:vAlign w:val="bottom"/>
          </w:tcPr>
          <w:p w14:paraId="55569285" w14:textId="77777777" w:rsidR="00F925DD" w:rsidRDefault="00E705D7">
            <w:pPr>
              <w:textAlignment w:val="bottom"/>
              <w:rPr>
                <w:rFonts w:ascii="Times New Roman" w:hAnsi="Times New Roman"/>
                <w:sz w:val="14"/>
                <w:szCs w:val="14"/>
              </w:rPr>
            </w:pPr>
            <w:r>
              <w:rPr>
                <w:rFonts w:ascii="Arial" w:eastAsia="宋体" w:hAnsi="Arial" w:cs="Arial"/>
                <w:sz w:val="14"/>
                <w:szCs w:val="14"/>
              </w:rPr>
              <w:t>Commercial real estate</w:t>
            </w:r>
          </w:p>
        </w:tc>
        <w:tc>
          <w:tcPr>
            <w:tcW w:w="0" w:type="auto"/>
            <w:gridSpan w:val="2"/>
            <w:shd w:val="clear" w:color="auto" w:fill="auto"/>
            <w:tcMar>
              <w:top w:w="40" w:type="dxa"/>
              <w:left w:w="40" w:type="dxa"/>
              <w:bottom w:w="40" w:type="dxa"/>
            </w:tcMar>
            <w:vAlign w:val="bottom"/>
          </w:tcPr>
          <w:p w14:paraId="5556928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928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28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277</w:t>
            </w:r>
          </w:p>
        </w:tc>
        <w:tc>
          <w:tcPr>
            <w:tcW w:w="0" w:type="auto"/>
            <w:shd w:val="clear" w:color="auto" w:fill="auto"/>
            <w:vAlign w:val="bottom"/>
          </w:tcPr>
          <w:p w14:paraId="5556928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28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1,489</w:t>
            </w:r>
          </w:p>
        </w:tc>
        <w:tc>
          <w:tcPr>
            <w:tcW w:w="0" w:type="auto"/>
            <w:shd w:val="clear" w:color="auto" w:fill="auto"/>
            <w:vAlign w:val="bottom"/>
          </w:tcPr>
          <w:p w14:paraId="5556928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28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1,766</w:t>
            </w:r>
          </w:p>
        </w:tc>
        <w:tc>
          <w:tcPr>
            <w:tcW w:w="0" w:type="auto"/>
            <w:shd w:val="clear" w:color="auto" w:fill="auto"/>
            <w:vAlign w:val="bottom"/>
          </w:tcPr>
          <w:p w14:paraId="55569290" w14:textId="77777777" w:rsidR="00F925DD" w:rsidRDefault="00F925DD">
            <w:pPr>
              <w:textAlignment w:val="bottom"/>
              <w:rPr>
                <w:rFonts w:ascii="Times New Roman" w:hAnsi="Times New Roman"/>
                <w:sz w:val="20"/>
                <w:szCs w:val="20"/>
              </w:rPr>
            </w:pPr>
          </w:p>
        </w:tc>
      </w:tr>
      <w:tr w:rsidR="00F925DD" w14:paraId="5556929E" w14:textId="77777777">
        <w:tc>
          <w:tcPr>
            <w:tcW w:w="0" w:type="auto"/>
            <w:shd w:val="clear" w:color="auto" w:fill="CCEEFF"/>
            <w:tcMar>
              <w:top w:w="40" w:type="dxa"/>
              <w:left w:w="400" w:type="dxa"/>
              <w:bottom w:w="40" w:type="dxa"/>
              <w:right w:w="40" w:type="dxa"/>
            </w:tcMar>
            <w:vAlign w:val="bottom"/>
          </w:tcPr>
          <w:p w14:paraId="55569292" w14:textId="77777777" w:rsidR="00F925DD" w:rsidRDefault="00E705D7">
            <w:pPr>
              <w:textAlignment w:val="bottom"/>
              <w:rPr>
                <w:rFonts w:ascii="Times New Roman" w:hAnsi="Times New Roman"/>
                <w:sz w:val="14"/>
                <w:szCs w:val="14"/>
              </w:rPr>
            </w:pPr>
            <w:r>
              <w:rPr>
                <w:rFonts w:ascii="Arial" w:eastAsia="宋体" w:hAnsi="Arial" w:cs="Arial"/>
                <w:sz w:val="14"/>
                <w:szCs w:val="14"/>
                <w:shd w:val="clear" w:color="auto" w:fill="CCEEFF"/>
              </w:rPr>
              <w:t>Total domestic</w:t>
            </w:r>
          </w:p>
        </w:tc>
        <w:tc>
          <w:tcPr>
            <w:tcW w:w="0" w:type="auto"/>
            <w:gridSpan w:val="2"/>
            <w:tcBorders>
              <w:top w:val="single" w:sz="8" w:space="0" w:color="000000"/>
            </w:tcBorders>
            <w:shd w:val="clear" w:color="auto" w:fill="CCEEFF"/>
            <w:tcMar>
              <w:top w:w="40" w:type="dxa"/>
              <w:left w:w="40" w:type="dxa"/>
              <w:bottom w:w="40" w:type="dxa"/>
            </w:tcMar>
            <w:vAlign w:val="bottom"/>
          </w:tcPr>
          <w:p w14:paraId="5556929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10,883</w:t>
            </w:r>
          </w:p>
        </w:tc>
        <w:tc>
          <w:tcPr>
            <w:tcW w:w="0" w:type="auto"/>
            <w:tcBorders>
              <w:top w:val="single" w:sz="8" w:space="0" w:color="000000"/>
            </w:tcBorders>
            <w:shd w:val="clear" w:color="auto" w:fill="CCEEFF"/>
            <w:vAlign w:val="bottom"/>
          </w:tcPr>
          <w:p w14:paraId="5556929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929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5,741</w:t>
            </w:r>
          </w:p>
        </w:tc>
        <w:tc>
          <w:tcPr>
            <w:tcW w:w="0" w:type="auto"/>
            <w:tcBorders>
              <w:top w:val="single" w:sz="8" w:space="0" w:color="000000"/>
            </w:tcBorders>
            <w:shd w:val="clear" w:color="auto" w:fill="CCEEFF"/>
            <w:vAlign w:val="bottom"/>
          </w:tcPr>
          <w:p w14:paraId="5556929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929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3,904</w:t>
            </w:r>
          </w:p>
        </w:tc>
        <w:tc>
          <w:tcPr>
            <w:tcW w:w="0" w:type="auto"/>
            <w:tcBorders>
              <w:top w:val="single" w:sz="8" w:space="0" w:color="000000"/>
            </w:tcBorders>
            <w:shd w:val="clear" w:color="auto" w:fill="CCEEFF"/>
            <w:vAlign w:val="bottom"/>
          </w:tcPr>
          <w:p w14:paraId="5556929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929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20,528</w:t>
            </w:r>
          </w:p>
        </w:tc>
        <w:tc>
          <w:tcPr>
            <w:tcW w:w="0" w:type="auto"/>
            <w:tcBorders>
              <w:top w:val="single" w:sz="8" w:space="0" w:color="000000"/>
            </w:tcBorders>
            <w:shd w:val="clear" w:color="auto" w:fill="CCEEFF"/>
            <w:vAlign w:val="bottom"/>
          </w:tcPr>
          <w:p w14:paraId="5556929D" w14:textId="77777777" w:rsidR="00F925DD" w:rsidRDefault="00F925DD">
            <w:pPr>
              <w:textAlignment w:val="bottom"/>
              <w:rPr>
                <w:rFonts w:ascii="Times New Roman" w:hAnsi="Times New Roman"/>
                <w:sz w:val="20"/>
                <w:szCs w:val="20"/>
              </w:rPr>
            </w:pPr>
          </w:p>
        </w:tc>
      </w:tr>
      <w:tr w:rsidR="00F925DD" w14:paraId="555692A7" w14:textId="77777777">
        <w:tc>
          <w:tcPr>
            <w:tcW w:w="0" w:type="auto"/>
            <w:shd w:val="clear" w:color="auto" w:fill="auto"/>
            <w:tcMar>
              <w:top w:w="40" w:type="dxa"/>
              <w:left w:w="40" w:type="dxa"/>
              <w:bottom w:w="40" w:type="dxa"/>
              <w:right w:w="40" w:type="dxa"/>
            </w:tcMar>
            <w:vAlign w:val="bottom"/>
          </w:tcPr>
          <w:p w14:paraId="5556929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Foreign:</w:t>
            </w:r>
          </w:p>
        </w:tc>
        <w:tc>
          <w:tcPr>
            <w:tcW w:w="0" w:type="auto"/>
            <w:gridSpan w:val="3"/>
            <w:shd w:val="clear" w:color="auto" w:fill="auto"/>
            <w:tcMar>
              <w:top w:w="40" w:type="dxa"/>
              <w:left w:w="40" w:type="dxa"/>
              <w:bottom w:w="40" w:type="dxa"/>
              <w:right w:w="40" w:type="dxa"/>
            </w:tcMar>
            <w:vAlign w:val="bottom"/>
          </w:tcPr>
          <w:p w14:paraId="555692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2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2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2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2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2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2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2B4" w14:textId="77777777">
        <w:tc>
          <w:tcPr>
            <w:tcW w:w="0" w:type="auto"/>
            <w:shd w:val="clear" w:color="auto" w:fill="CCEEFF"/>
            <w:tcMar>
              <w:top w:w="40" w:type="dxa"/>
              <w:left w:w="40" w:type="dxa"/>
              <w:bottom w:w="40" w:type="dxa"/>
              <w:right w:w="40" w:type="dxa"/>
            </w:tcMar>
            <w:vAlign w:val="bottom"/>
          </w:tcPr>
          <w:p w14:paraId="555692A8" w14:textId="77777777" w:rsidR="00F925DD" w:rsidRDefault="00E705D7">
            <w:pPr>
              <w:textAlignment w:val="bottom"/>
              <w:rPr>
                <w:rFonts w:ascii="Times New Roman" w:hAnsi="Times New Roman"/>
                <w:sz w:val="14"/>
                <w:szCs w:val="14"/>
              </w:rPr>
            </w:pPr>
            <w:r>
              <w:rPr>
                <w:rFonts w:ascii="Arial" w:eastAsia="宋体" w:hAnsi="Arial" w:cs="Arial"/>
                <w:sz w:val="14"/>
                <w:szCs w:val="14"/>
                <w:shd w:val="clear" w:color="auto" w:fill="CCEEFF"/>
              </w:rPr>
              <w:t>Commercial and financial</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2A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3,525</w:t>
            </w:r>
          </w:p>
        </w:tc>
        <w:tc>
          <w:tcPr>
            <w:tcW w:w="0" w:type="auto"/>
            <w:tcBorders>
              <w:bottom w:val="single" w:sz="8" w:space="0" w:color="000000"/>
            </w:tcBorders>
            <w:shd w:val="clear" w:color="auto" w:fill="CCEEFF"/>
            <w:vAlign w:val="bottom"/>
          </w:tcPr>
          <w:p w14:paraId="555692A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2A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1,569</w:t>
            </w:r>
          </w:p>
        </w:tc>
        <w:tc>
          <w:tcPr>
            <w:tcW w:w="0" w:type="auto"/>
            <w:tcBorders>
              <w:bottom w:val="single" w:sz="8" w:space="0" w:color="000000"/>
            </w:tcBorders>
            <w:shd w:val="clear" w:color="auto" w:fill="CCEEFF"/>
            <w:vAlign w:val="bottom"/>
          </w:tcPr>
          <w:p w14:paraId="555692A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2A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687</w:t>
            </w:r>
          </w:p>
        </w:tc>
        <w:tc>
          <w:tcPr>
            <w:tcW w:w="0" w:type="auto"/>
            <w:shd w:val="clear" w:color="auto" w:fill="CCEEFF"/>
            <w:vAlign w:val="bottom"/>
          </w:tcPr>
          <w:p w14:paraId="555692B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2B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5,781</w:t>
            </w:r>
          </w:p>
        </w:tc>
        <w:tc>
          <w:tcPr>
            <w:tcW w:w="0" w:type="auto"/>
            <w:shd w:val="clear" w:color="auto" w:fill="CCEEFF"/>
            <w:vAlign w:val="bottom"/>
          </w:tcPr>
          <w:p w14:paraId="555692B3" w14:textId="77777777" w:rsidR="00F925DD" w:rsidRDefault="00F925DD">
            <w:pPr>
              <w:textAlignment w:val="bottom"/>
              <w:rPr>
                <w:rFonts w:ascii="Times New Roman" w:hAnsi="Times New Roman"/>
                <w:sz w:val="20"/>
                <w:szCs w:val="20"/>
              </w:rPr>
            </w:pPr>
          </w:p>
        </w:tc>
      </w:tr>
      <w:tr w:rsidR="00F925DD" w14:paraId="555692C1" w14:textId="77777777">
        <w:tc>
          <w:tcPr>
            <w:tcW w:w="0" w:type="auto"/>
            <w:shd w:val="clear" w:color="auto" w:fill="auto"/>
            <w:tcMar>
              <w:top w:w="40" w:type="dxa"/>
              <w:left w:w="400" w:type="dxa"/>
              <w:bottom w:w="40" w:type="dxa"/>
              <w:right w:w="40" w:type="dxa"/>
            </w:tcMar>
            <w:vAlign w:val="bottom"/>
          </w:tcPr>
          <w:p w14:paraId="555692B5"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Total </w:t>
            </w:r>
            <w:r>
              <w:rPr>
                <w:rFonts w:ascii="Arial" w:eastAsia="宋体" w:hAnsi="Arial" w:cs="Arial"/>
                <w:sz w:val="14"/>
                <w:szCs w:val="14"/>
              </w:rPr>
              <w:t>foreign</w:t>
            </w:r>
          </w:p>
        </w:tc>
        <w:tc>
          <w:tcPr>
            <w:tcW w:w="0" w:type="auto"/>
            <w:gridSpan w:val="2"/>
            <w:tcBorders>
              <w:bottom w:val="single" w:sz="8" w:space="0" w:color="000000"/>
            </w:tcBorders>
            <w:shd w:val="clear" w:color="auto" w:fill="auto"/>
            <w:tcMar>
              <w:top w:w="40" w:type="dxa"/>
              <w:left w:w="40" w:type="dxa"/>
              <w:bottom w:w="40" w:type="dxa"/>
            </w:tcMar>
            <w:vAlign w:val="bottom"/>
          </w:tcPr>
          <w:p w14:paraId="555692B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3,525</w:t>
            </w:r>
          </w:p>
        </w:tc>
        <w:tc>
          <w:tcPr>
            <w:tcW w:w="0" w:type="auto"/>
            <w:tcBorders>
              <w:bottom w:val="single" w:sz="8" w:space="0" w:color="000000"/>
            </w:tcBorders>
            <w:shd w:val="clear" w:color="auto" w:fill="auto"/>
            <w:vAlign w:val="bottom"/>
          </w:tcPr>
          <w:p w14:paraId="555692B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92B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1,569</w:t>
            </w:r>
          </w:p>
        </w:tc>
        <w:tc>
          <w:tcPr>
            <w:tcW w:w="0" w:type="auto"/>
            <w:tcBorders>
              <w:bottom w:val="single" w:sz="8" w:space="0" w:color="000000"/>
            </w:tcBorders>
            <w:shd w:val="clear" w:color="auto" w:fill="auto"/>
            <w:vAlign w:val="bottom"/>
          </w:tcPr>
          <w:p w14:paraId="555692B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92B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687</w:t>
            </w:r>
          </w:p>
        </w:tc>
        <w:tc>
          <w:tcPr>
            <w:tcW w:w="0" w:type="auto"/>
            <w:tcBorders>
              <w:top w:val="single" w:sz="8" w:space="0" w:color="000000"/>
              <w:bottom w:val="single" w:sz="8" w:space="0" w:color="000000"/>
            </w:tcBorders>
            <w:shd w:val="clear" w:color="auto" w:fill="auto"/>
            <w:vAlign w:val="bottom"/>
          </w:tcPr>
          <w:p w14:paraId="555692B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2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92B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5,781</w:t>
            </w:r>
          </w:p>
        </w:tc>
        <w:tc>
          <w:tcPr>
            <w:tcW w:w="0" w:type="auto"/>
            <w:tcBorders>
              <w:top w:val="single" w:sz="8" w:space="0" w:color="000000"/>
              <w:bottom w:val="single" w:sz="8" w:space="0" w:color="000000"/>
            </w:tcBorders>
            <w:shd w:val="clear" w:color="auto" w:fill="auto"/>
            <w:vAlign w:val="bottom"/>
          </w:tcPr>
          <w:p w14:paraId="555692C0" w14:textId="77777777" w:rsidR="00F925DD" w:rsidRDefault="00F925DD">
            <w:pPr>
              <w:textAlignment w:val="bottom"/>
              <w:rPr>
                <w:rFonts w:ascii="Times New Roman" w:hAnsi="Times New Roman"/>
                <w:sz w:val="20"/>
                <w:szCs w:val="20"/>
              </w:rPr>
            </w:pPr>
          </w:p>
        </w:tc>
      </w:tr>
      <w:tr w:rsidR="00F925DD" w14:paraId="555692D2" w14:textId="77777777">
        <w:tc>
          <w:tcPr>
            <w:tcW w:w="0" w:type="auto"/>
            <w:shd w:val="clear" w:color="auto" w:fill="CCEEFF"/>
            <w:tcMar>
              <w:top w:w="40" w:type="dxa"/>
              <w:left w:w="40" w:type="dxa"/>
              <w:bottom w:w="40" w:type="dxa"/>
              <w:right w:w="40" w:type="dxa"/>
            </w:tcMar>
            <w:vAlign w:val="bottom"/>
          </w:tcPr>
          <w:p w14:paraId="555692C2"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Total loans </w:t>
            </w:r>
          </w:p>
        </w:tc>
        <w:tc>
          <w:tcPr>
            <w:tcW w:w="0" w:type="auto"/>
            <w:tcBorders>
              <w:bottom w:val="double" w:sz="6" w:space="0" w:color="000000"/>
            </w:tcBorders>
            <w:shd w:val="clear" w:color="auto" w:fill="CCEEFF"/>
            <w:tcMar>
              <w:top w:w="40" w:type="dxa"/>
              <w:left w:w="40" w:type="dxa"/>
              <w:bottom w:w="40" w:type="dxa"/>
            </w:tcMar>
            <w:vAlign w:val="bottom"/>
          </w:tcPr>
          <w:p w14:paraId="555692C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92C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14,408</w:t>
            </w:r>
          </w:p>
        </w:tc>
        <w:tc>
          <w:tcPr>
            <w:tcW w:w="0" w:type="auto"/>
            <w:tcBorders>
              <w:bottom w:val="double" w:sz="6" w:space="0" w:color="000000"/>
            </w:tcBorders>
            <w:shd w:val="clear" w:color="auto" w:fill="CCEEFF"/>
            <w:vAlign w:val="bottom"/>
          </w:tcPr>
          <w:p w14:paraId="555692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2C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2C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7,310</w:t>
            </w:r>
          </w:p>
        </w:tc>
        <w:tc>
          <w:tcPr>
            <w:tcW w:w="0" w:type="auto"/>
            <w:tcBorders>
              <w:top w:val="single" w:sz="8" w:space="0" w:color="000000"/>
              <w:bottom w:val="double" w:sz="6" w:space="0" w:color="000000"/>
            </w:tcBorders>
            <w:shd w:val="clear" w:color="auto" w:fill="CCEEFF"/>
            <w:vAlign w:val="bottom"/>
          </w:tcPr>
          <w:p w14:paraId="555692C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2C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2C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4,591</w:t>
            </w:r>
          </w:p>
        </w:tc>
        <w:tc>
          <w:tcPr>
            <w:tcW w:w="0" w:type="auto"/>
            <w:tcBorders>
              <w:top w:val="single" w:sz="8" w:space="0" w:color="000000"/>
              <w:bottom w:val="double" w:sz="6" w:space="0" w:color="000000"/>
            </w:tcBorders>
            <w:shd w:val="clear" w:color="auto" w:fill="CCEEFF"/>
            <w:vAlign w:val="bottom"/>
          </w:tcPr>
          <w:p w14:paraId="555692C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2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2C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2D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26,309</w:t>
            </w:r>
          </w:p>
        </w:tc>
        <w:tc>
          <w:tcPr>
            <w:tcW w:w="0" w:type="auto"/>
            <w:tcBorders>
              <w:top w:val="single" w:sz="8" w:space="0" w:color="000000"/>
              <w:bottom w:val="double" w:sz="6" w:space="0" w:color="000000"/>
            </w:tcBorders>
            <w:shd w:val="clear" w:color="auto" w:fill="CCEEFF"/>
            <w:vAlign w:val="bottom"/>
          </w:tcPr>
          <w:p w14:paraId="555692D1" w14:textId="77777777" w:rsidR="00F925DD" w:rsidRDefault="00F925DD">
            <w:pPr>
              <w:textAlignment w:val="bottom"/>
              <w:rPr>
                <w:rFonts w:ascii="Times New Roman" w:hAnsi="Times New Roman"/>
                <w:sz w:val="20"/>
                <w:szCs w:val="20"/>
              </w:rPr>
            </w:pPr>
          </w:p>
        </w:tc>
      </w:tr>
    </w:tbl>
    <w:p w14:paraId="555692D3" w14:textId="77777777" w:rsidR="00F925DD" w:rsidRDefault="00F925DD">
      <w:pPr>
        <w:rPr>
          <w:rFonts w:ascii="Times New Roman" w:hAnsi="Times New Roman"/>
          <w:sz w:val="20"/>
          <w:szCs w:val="20"/>
        </w:rPr>
      </w:pPr>
    </w:p>
    <w:p w14:paraId="555692D4"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78</w:t>
      </w:r>
    </w:p>
    <w:p w14:paraId="555692D5" w14:textId="77777777" w:rsidR="00F925DD" w:rsidRDefault="00F925DD">
      <w:pPr>
        <w:spacing w:line="288" w:lineRule="auto"/>
        <w:ind w:firstLine="600"/>
        <w:jc w:val="center"/>
        <w:rPr>
          <w:rFonts w:ascii="Times New Roman" w:hAnsi="Times New Roman"/>
          <w:sz w:val="18"/>
          <w:szCs w:val="18"/>
        </w:rPr>
      </w:pPr>
    </w:p>
    <w:p w14:paraId="555692D6" w14:textId="77777777" w:rsidR="00F925DD" w:rsidRDefault="00E705D7">
      <w:r>
        <w:rPr>
          <w:rFonts w:ascii="Times New Roman" w:hAnsi="Times New Roman"/>
          <w:sz w:val="18"/>
          <w:szCs w:val="18"/>
        </w:rPr>
        <w:pict w14:anchorId="55570688">
          <v:rect id="_x0000_i1102" style="width:415.3pt;height:1.5pt" o:hralign="center" o:hrstd="t" o:hr="t" fillcolor="#a0a0a0" stroked="f"/>
        </w:pict>
      </w:r>
    </w:p>
    <w:p w14:paraId="555692D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2D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2D9"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221"/>
        <w:gridCol w:w="119"/>
        <w:gridCol w:w="2895"/>
        <w:gridCol w:w="71"/>
      </w:tblGrid>
      <w:tr w:rsidR="00F925DD" w14:paraId="555692DB" w14:textId="77777777">
        <w:tc>
          <w:tcPr>
            <w:tcW w:w="0" w:type="auto"/>
            <w:gridSpan w:val="4"/>
            <w:shd w:val="clear" w:color="auto" w:fill="auto"/>
            <w:vAlign w:val="center"/>
          </w:tcPr>
          <w:p w14:paraId="555692DA" w14:textId="77777777" w:rsidR="00F925DD" w:rsidRDefault="00F925DD">
            <w:pPr>
              <w:rPr>
                <w:rFonts w:ascii="Times New Roman" w:hAnsi="Times New Roman"/>
                <w:sz w:val="20"/>
                <w:szCs w:val="20"/>
              </w:rPr>
            </w:pPr>
          </w:p>
        </w:tc>
      </w:tr>
      <w:tr w:rsidR="00F925DD" w14:paraId="555692E0" w14:textId="77777777">
        <w:tc>
          <w:tcPr>
            <w:tcW w:w="3150" w:type="pct"/>
            <w:shd w:val="clear" w:color="auto" w:fill="auto"/>
            <w:vAlign w:val="center"/>
          </w:tcPr>
          <w:p w14:paraId="555692DC" w14:textId="77777777" w:rsidR="00F925DD" w:rsidRDefault="00F925DD">
            <w:pPr>
              <w:rPr>
                <w:rFonts w:ascii="Times New Roman" w:hAnsi="Times New Roman"/>
                <w:sz w:val="20"/>
                <w:szCs w:val="20"/>
              </w:rPr>
            </w:pPr>
          </w:p>
        </w:tc>
        <w:tc>
          <w:tcPr>
            <w:tcW w:w="50" w:type="pct"/>
            <w:shd w:val="clear" w:color="auto" w:fill="auto"/>
            <w:vAlign w:val="center"/>
          </w:tcPr>
          <w:p w14:paraId="555692DD" w14:textId="77777777" w:rsidR="00F925DD" w:rsidRDefault="00F925DD">
            <w:pPr>
              <w:rPr>
                <w:rFonts w:ascii="Times New Roman" w:hAnsi="Times New Roman"/>
                <w:sz w:val="20"/>
                <w:szCs w:val="20"/>
              </w:rPr>
            </w:pPr>
          </w:p>
        </w:tc>
        <w:tc>
          <w:tcPr>
            <w:tcW w:w="1750" w:type="pct"/>
            <w:shd w:val="clear" w:color="auto" w:fill="auto"/>
            <w:vAlign w:val="center"/>
          </w:tcPr>
          <w:p w14:paraId="555692DE" w14:textId="77777777" w:rsidR="00F925DD" w:rsidRDefault="00F925DD">
            <w:pPr>
              <w:rPr>
                <w:rFonts w:ascii="Times New Roman" w:hAnsi="Times New Roman"/>
                <w:sz w:val="20"/>
                <w:szCs w:val="20"/>
              </w:rPr>
            </w:pPr>
          </w:p>
        </w:tc>
        <w:tc>
          <w:tcPr>
            <w:tcW w:w="50" w:type="pct"/>
            <w:shd w:val="clear" w:color="auto" w:fill="auto"/>
            <w:vAlign w:val="center"/>
          </w:tcPr>
          <w:p w14:paraId="555692DF" w14:textId="77777777" w:rsidR="00F925DD" w:rsidRDefault="00F925DD">
            <w:pPr>
              <w:rPr>
                <w:rFonts w:ascii="Times New Roman" w:hAnsi="Times New Roman"/>
                <w:sz w:val="20"/>
                <w:szCs w:val="20"/>
              </w:rPr>
            </w:pPr>
          </w:p>
        </w:tc>
      </w:tr>
      <w:tr w:rsidR="00F925DD" w14:paraId="555692E2" w14:textId="77777777">
        <w:tc>
          <w:tcPr>
            <w:tcW w:w="0" w:type="auto"/>
            <w:gridSpan w:val="4"/>
            <w:shd w:val="clear" w:color="auto" w:fill="auto"/>
            <w:tcMar>
              <w:top w:w="40" w:type="dxa"/>
              <w:left w:w="40" w:type="dxa"/>
              <w:bottom w:w="40" w:type="dxa"/>
              <w:right w:w="40" w:type="dxa"/>
            </w:tcMar>
            <w:vAlign w:val="bottom"/>
          </w:tcPr>
          <w:p w14:paraId="555692E1"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28: CLASSIFICATION OF LOAN BALANCES DUE AFTER ONE YEAR</w:t>
            </w:r>
          </w:p>
        </w:tc>
      </w:tr>
      <w:tr w:rsidR="00F925DD" w14:paraId="555692E5" w14:textId="77777777">
        <w:tc>
          <w:tcPr>
            <w:tcW w:w="0" w:type="auto"/>
            <w:shd w:val="clear" w:color="auto" w:fill="auto"/>
            <w:tcMar>
              <w:top w:w="40" w:type="dxa"/>
              <w:left w:w="40" w:type="dxa"/>
              <w:bottom w:w="40" w:type="dxa"/>
              <w:right w:w="40" w:type="dxa"/>
            </w:tcMar>
            <w:vAlign w:val="bottom"/>
          </w:tcPr>
          <w:p w14:paraId="555692E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2E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 of December 31, 2019</w:t>
            </w:r>
          </w:p>
        </w:tc>
      </w:tr>
      <w:tr w:rsidR="00F925DD" w14:paraId="555692EA" w14:textId="77777777">
        <w:tc>
          <w:tcPr>
            <w:tcW w:w="0" w:type="auto"/>
            <w:shd w:val="clear" w:color="auto" w:fill="CCEEFF"/>
            <w:tcMar>
              <w:top w:w="40" w:type="dxa"/>
              <w:left w:w="40" w:type="dxa"/>
              <w:bottom w:w="40" w:type="dxa"/>
              <w:right w:w="40" w:type="dxa"/>
            </w:tcMar>
            <w:vAlign w:val="bottom"/>
          </w:tcPr>
          <w:p w14:paraId="555692E6"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Loans with </w:t>
            </w:r>
            <w:r>
              <w:rPr>
                <w:rFonts w:ascii="Arial" w:eastAsia="宋体" w:hAnsi="Arial" w:cs="Arial"/>
                <w:sz w:val="14"/>
                <w:szCs w:val="14"/>
              </w:rPr>
              <w:t>predetermined interest rates</w:t>
            </w:r>
          </w:p>
        </w:tc>
        <w:tc>
          <w:tcPr>
            <w:tcW w:w="0" w:type="auto"/>
            <w:shd w:val="clear" w:color="auto" w:fill="CCEEFF"/>
            <w:tcMar>
              <w:top w:w="40" w:type="dxa"/>
              <w:left w:w="40" w:type="dxa"/>
              <w:bottom w:w="40" w:type="dxa"/>
            </w:tcMar>
            <w:vAlign w:val="bottom"/>
          </w:tcPr>
          <w:p w14:paraId="555692E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2E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1,971</w:t>
            </w:r>
          </w:p>
        </w:tc>
        <w:tc>
          <w:tcPr>
            <w:tcW w:w="0" w:type="auto"/>
            <w:shd w:val="clear" w:color="auto" w:fill="CCEEFF"/>
            <w:vAlign w:val="bottom"/>
          </w:tcPr>
          <w:p w14:paraId="555692E9" w14:textId="77777777" w:rsidR="00F925DD" w:rsidRDefault="00F925DD">
            <w:pPr>
              <w:textAlignment w:val="bottom"/>
              <w:rPr>
                <w:rFonts w:ascii="Times New Roman" w:hAnsi="Times New Roman"/>
                <w:sz w:val="20"/>
                <w:szCs w:val="20"/>
              </w:rPr>
            </w:pPr>
          </w:p>
        </w:tc>
      </w:tr>
      <w:tr w:rsidR="00F925DD" w14:paraId="555692EE" w14:textId="77777777">
        <w:tc>
          <w:tcPr>
            <w:tcW w:w="0" w:type="auto"/>
            <w:shd w:val="clear" w:color="auto" w:fill="auto"/>
            <w:tcMar>
              <w:top w:w="40" w:type="dxa"/>
              <w:left w:w="40" w:type="dxa"/>
              <w:bottom w:w="40" w:type="dxa"/>
              <w:right w:w="40" w:type="dxa"/>
            </w:tcMar>
            <w:vAlign w:val="bottom"/>
          </w:tcPr>
          <w:p w14:paraId="555692EB" w14:textId="77777777" w:rsidR="00F925DD" w:rsidRDefault="00E705D7">
            <w:pPr>
              <w:textAlignment w:val="bottom"/>
              <w:rPr>
                <w:rFonts w:ascii="Times New Roman" w:hAnsi="Times New Roman"/>
                <w:sz w:val="14"/>
                <w:szCs w:val="14"/>
              </w:rPr>
            </w:pPr>
            <w:r>
              <w:rPr>
                <w:rFonts w:ascii="Arial" w:eastAsia="宋体" w:hAnsi="Arial" w:cs="Arial"/>
                <w:sz w:val="14"/>
                <w:szCs w:val="14"/>
              </w:rPr>
              <w:t>Loans with floating or adjustable interest rates</w:t>
            </w:r>
          </w:p>
        </w:tc>
        <w:tc>
          <w:tcPr>
            <w:tcW w:w="0" w:type="auto"/>
            <w:gridSpan w:val="2"/>
            <w:tcBorders>
              <w:bottom w:val="single" w:sz="8" w:space="0" w:color="000000"/>
            </w:tcBorders>
            <w:shd w:val="clear" w:color="auto" w:fill="auto"/>
            <w:tcMar>
              <w:top w:w="40" w:type="dxa"/>
              <w:left w:w="40" w:type="dxa"/>
              <w:bottom w:w="40" w:type="dxa"/>
            </w:tcMar>
            <w:vAlign w:val="bottom"/>
          </w:tcPr>
          <w:p w14:paraId="555692E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9,930</w:t>
            </w:r>
          </w:p>
        </w:tc>
        <w:tc>
          <w:tcPr>
            <w:tcW w:w="0" w:type="auto"/>
            <w:tcBorders>
              <w:bottom w:val="single" w:sz="8" w:space="0" w:color="000000"/>
            </w:tcBorders>
            <w:shd w:val="clear" w:color="auto" w:fill="auto"/>
            <w:vAlign w:val="bottom"/>
          </w:tcPr>
          <w:p w14:paraId="555692ED" w14:textId="77777777" w:rsidR="00F925DD" w:rsidRDefault="00F925DD">
            <w:pPr>
              <w:textAlignment w:val="bottom"/>
              <w:rPr>
                <w:rFonts w:ascii="Times New Roman" w:hAnsi="Times New Roman"/>
                <w:sz w:val="20"/>
                <w:szCs w:val="20"/>
              </w:rPr>
            </w:pPr>
          </w:p>
        </w:tc>
      </w:tr>
      <w:tr w:rsidR="00F925DD" w14:paraId="555692F3" w14:textId="77777777">
        <w:tc>
          <w:tcPr>
            <w:tcW w:w="0" w:type="auto"/>
            <w:shd w:val="clear" w:color="auto" w:fill="CCEEFF"/>
            <w:tcMar>
              <w:top w:w="40" w:type="dxa"/>
              <w:left w:w="40" w:type="dxa"/>
              <w:bottom w:w="40" w:type="dxa"/>
              <w:right w:w="40" w:type="dxa"/>
            </w:tcMar>
            <w:vAlign w:val="bottom"/>
          </w:tcPr>
          <w:p w14:paraId="555692EF"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2F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2F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11,901</w:t>
            </w:r>
          </w:p>
        </w:tc>
        <w:tc>
          <w:tcPr>
            <w:tcW w:w="0" w:type="auto"/>
            <w:tcBorders>
              <w:top w:val="single" w:sz="8" w:space="0" w:color="000000"/>
              <w:bottom w:val="double" w:sz="6" w:space="0" w:color="000000"/>
            </w:tcBorders>
            <w:shd w:val="clear" w:color="auto" w:fill="CCEEFF"/>
            <w:vAlign w:val="bottom"/>
          </w:tcPr>
          <w:p w14:paraId="555692F2" w14:textId="77777777" w:rsidR="00F925DD" w:rsidRDefault="00F925DD">
            <w:pPr>
              <w:textAlignment w:val="bottom"/>
              <w:rPr>
                <w:rFonts w:ascii="Times New Roman" w:hAnsi="Times New Roman"/>
                <w:sz w:val="20"/>
                <w:szCs w:val="20"/>
              </w:rPr>
            </w:pPr>
          </w:p>
        </w:tc>
      </w:tr>
    </w:tbl>
    <w:p w14:paraId="555692F4"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222"/>
        <w:gridCol w:w="119"/>
        <w:gridCol w:w="894"/>
        <w:gridCol w:w="87"/>
        <w:gridCol w:w="146"/>
        <w:gridCol w:w="119"/>
        <w:gridCol w:w="894"/>
        <w:gridCol w:w="87"/>
        <w:gridCol w:w="146"/>
        <w:gridCol w:w="119"/>
        <w:gridCol w:w="894"/>
        <w:gridCol w:w="87"/>
        <w:gridCol w:w="146"/>
        <w:gridCol w:w="119"/>
        <w:gridCol w:w="894"/>
        <w:gridCol w:w="87"/>
        <w:gridCol w:w="146"/>
        <w:gridCol w:w="119"/>
        <w:gridCol w:w="894"/>
        <w:gridCol w:w="87"/>
      </w:tblGrid>
      <w:tr w:rsidR="00F925DD" w14:paraId="555692F6" w14:textId="77777777">
        <w:tc>
          <w:tcPr>
            <w:tcW w:w="0" w:type="auto"/>
            <w:gridSpan w:val="20"/>
            <w:shd w:val="clear" w:color="auto" w:fill="auto"/>
            <w:vAlign w:val="center"/>
          </w:tcPr>
          <w:p w14:paraId="555692F5" w14:textId="77777777" w:rsidR="00F925DD" w:rsidRDefault="00F925DD">
            <w:pPr>
              <w:rPr>
                <w:rFonts w:ascii="Times New Roman" w:hAnsi="Times New Roman"/>
                <w:sz w:val="20"/>
                <w:szCs w:val="20"/>
              </w:rPr>
            </w:pPr>
          </w:p>
        </w:tc>
      </w:tr>
      <w:tr w:rsidR="00F925DD" w14:paraId="5556930B" w14:textId="77777777">
        <w:tc>
          <w:tcPr>
            <w:tcW w:w="1350" w:type="pct"/>
            <w:shd w:val="clear" w:color="auto" w:fill="auto"/>
            <w:vAlign w:val="center"/>
          </w:tcPr>
          <w:p w14:paraId="555692F7" w14:textId="77777777" w:rsidR="00F925DD" w:rsidRDefault="00F925DD">
            <w:pPr>
              <w:rPr>
                <w:rFonts w:ascii="Times New Roman" w:hAnsi="Times New Roman"/>
                <w:sz w:val="20"/>
                <w:szCs w:val="20"/>
              </w:rPr>
            </w:pPr>
          </w:p>
        </w:tc>
        <w:tc>
          <w:tcPr>
            <w:tcW w:w="50" w:type="pct"/>
            <w:shd w:val="clear" w:color="auto" w:fill="auto"/>
            <w:vAlign w:val="center"/>
          </w:tcPr>
          <w:p w14:paraId="555692F8" w14:textId="77777777" w:rsidR="00F925DD" w:rsidRDefault="00F925DD">
            <w:pPr>
              <w:rPr>
                <w:rFonts w:ascii="Times New Roman" w:hAnsi="Times New Roman"/>
                <w:sz w:val="20"/>
                <w:szCs w:val="20"/>
              </w:rPr>
            </w:pPr>
          </w:p>
        </w:tc>
        <w:tc>
          <w:tcPr>
            <w:tcW w:w="550" w:type="pct"/>
            <w:shd w:val="clear" w:color="auto" w:fill="auto"/>
            <w:vAlign w:val="center"/>
          </w:tcPr>
          <w:p w14:paraId="555692F9" w14:textId="77777777" w:rsidR="00F925DD" w:rsidRDefault="00F925DD">
            <w:pPr>
              <w:rPr>
                <w:rFonts w:ascii="Times New Roman" w:hAnsi="Times New Roman"/>
                <w:sz w:val="20"/>
                <w:szCs w:val="20"/>
              </w:rPr>
            </w:pPr>
          </w:p>
        </w:tc>
        <w:tc>
          <w:tcPr>
            <w:tcW w:w="50" w:type="pct"/>
            <w:shd w:val="clear" w:color="auto" w:fill="auto"/>
            <w:vAlign w:val="center"/>
          </w:tcPr>
          <w:p w14:paraId="555692FA" w14:textId="77777777" w:rsidR="00F925DD" w:rsidRDefault="00F925DD">
            <w:pPr>
              <w:rPr>
                <w:rFonts w:ascii="Times New Roman" w:hAnsi="Times New Roman"/>
                <w:sz w:val="20"/>
                <w:szCs w:val="20"/>
              </w:rPr>
            </w:pPr>
          </w:p>
        </w:tc>
        <w:tc>
          <w:tcPr>
            <w:tcW w:w="100" w:type="pct"/>
            <w:shd w:val="clear" w:color="auto" w:fill="auto"/>
            <w:vAlign w:val="center"/>
          </w:tcPr>
          <w:p w14:paraId="555692FB" w14:textId="77777777" w:rsidR="00F925DD" w:rsidRDefault="00F925DD">
            <w:pPr>
              <w:rPr>
                <w:rFonts w:ascii="Times New Roman" w:hAnsi="Times New Roman"/>
                <w:sz w:val="20"/>
                <w:szCs w:val="20"/>
              </w:rPr>
            </w:pPr>
          </w:p>
        </w:tc>
        <w:tc>
          <w:tcPr>
            <w:tcW w:w="50" w:type="pct"/>
            <w:shd w:val="clear" w:color="auto" w:fill="auto"/>
            <w:vAlign w:val="center"/>
          </w:tcPr>
          <w:p w14:paraId="555692FC" w14:textId="77777777" w:rsidR="00F925DD" w:rsidRDefault="00F925DD">
            <w:pPr>
              <w:rPr>
                <w:rFonts w:ascii="Times New Roman" w:hAnsi="Times New Roman"/>
                <w:sz w:val="20"/>
                <w:szCs w:val="20"/>
              </w:rPr>
            </w:pPr>
          </w:p>
        </w:tc>
        <w:tc>
          <w:tcPr>
            <w:tcW w:w="550" w:type="pct"/>
            <w:shd w:val="clear" w:color="auto" w:fill="auto"/>
            <w:vAlign w:val="center"/>
          </w:tcPr>
          <w:p w14:paraId="555692FD" w14:textId="77777777" w:rsidR="00F925DD" w:rsidRDefault="00F925DD">
            <w:pPr>
              <w:rPr>
                <w:rFonts w:ascii="Times New Roman" w:hAnsi="Times New Roman"/>
                <w:sz w:val="20"/>
                <w:szCs w:val="20"/>
              </w:rPr>
            </w:pPr>
          </w:p>
        </w:tc>
        <w:tc>
          <w:tcPr>
            <w:tcW w:w="50" w:type="pct"/>
            <w:shd w:val="clear" w:color="auto" w:fill="auto"/>
            <w:vAlign w:val="center"/>
          </w:tcPr>
          <w:p w14:paraId="555692FE" w14:textId="77777777" w:rsidR="00F925DD" w:rsidRDefault="00F925DD">
            <w:pPr>
              <w:rPr>
                <w:rFonts w:ascii="Times New Roman" w:hAnsi="Times New Roman"/>
                <w:sz w:val="20"/>
                <w:szCs w:val="20"/>
              </w:rPr>
            </w:pPr>
          </w:p>
        </w:tc>
        <w:tc>
          <w:tcPr>
            <w:tcW w:w="100" w:type="pct"/>
            <w:shd w:val="clear" w:color="auto" w:fill="auto"/>
            <w:vAlign w:val="center"/>
          </w:tcPr>
          <w:p w14:paraId="555692FF" w14:textId="77777777" w:rsidR="00F925DD" w:rsidRDefault="00F925DD">
            <w:pPr>
              <w:rPr>
                <w:rFonts w:ascii="Times New Roman" w:hAnsi="Times New Roman"/>
                <w:sz w:val="20"/>
                <w:szCs w:val="20"/>
              </w:rPr>
            </w:pPr>
          </w:p>
        </w:tc>
        <w:tc>
          <w:tcPr>
            <w:tcW w:w="50" w:type="pct"/>
            <w:shd w:val="clear" w:color="auto" w:fill="auto"/>
            <w:vAlign w:val="center"/>
          </w:tcPr>
          <w:p w14:paraId="55569300" w14:textId="77777777" w:rsidR="00F925DD" w:rsidRDefault="00F925DD">
            <w:pPr>
              <w:rPr>
                <w:rFonts w:ascii="Times New Roman" w:hAnsi="Times New Roman"/>
                <w:sz w:val="20"/>
                <w:szCs w:val="20"/>
              </w:rPr>
            </w:pPr>
          </w:p>
        </w:tc>
        <w:tc>
          <w:tcPr>
            <w:tcW w:w="550" w:type="pct"/>
            <w:shd w:val="clear" w:color="auto" w:fill="auto"/>
            <w:vAlign w:val="center"/>
          </w:tcPr>
          <w:p w14:paraId="55569301" w14:textId="77777777" w:rsidR="00F925DD" w:rsidRDefault="00F925DD">
            <w:pPr>
              <w:rPr>
                <w:rFonts w:ascii="Times New Roman" w:hAnsi="Times New Roman"/>
                <w:sz w:val="20"/>
                <w:szCs w:val="20"/>
              </w:rPr>
            </w:pPr>
          </w:p>
        </w:tc>
        <w:tc>
          <w:tcPr>
            <w:tcW w:w="50" w:type="pct"/>
            <w:shd w:val="clear" w:color="auto" w:fill="auto"/>
            <w:vAlign w:val="center"/>
          </w:tcPr>
          <w:p w14:paraId="55569302" w14:textId="77777777" w:rsidR="00F925DD" w:rsidRDefault="00F925DD">
            <w:pPr>
              <w:rPr>
                <w:rFonts w:ascii="Times New Roman" w:hAnsi="Times New Roman"/>
                <w:sz w:val="20"/>
                <w:szCs w:val="20"/>
              </w:rPr>
            </w:pPr>
          </w:p>
        </w:tc>
        <w:tc>
          <w:tcPr>
            <w:tcW w:w="100" w:type="pct"/>
            <w:shd w:val="clear" w:color="auto" w:fill="auto"/>
            <w:vAlign w:val="center"/>
          </w:tcPr>
          <w:p w14:paraId="55569303" w14:textId="77777777" w:rsidR="00F925DD" w:rsidRDefault="00F925DD">
            <w:pPr>
              <w:rPr>
                <w:rFonts w:ascii="Times New Roman" w:hAnsi="Times New Roman"/>
                <w:sz w:val="20"/>
                <w:szCs w:val="20"/>
              </w:rPr>
            </w:pPr>
          </w:p>
        </w:tc>
        <w:tc>
          <w:tcPr>
            <w:tcW w:w="50" w:type="pct"/>
            <w:shd w:val="clear" w:color="auto" w:fill="auto"/>
            <w:vAlign w:val="center"/>
          </w:tcPr>
          <w:p w14:paraId="55569304" w14:textId="77777777" w:rsidR="00F925DD" w:rsidRDefault="00F925DD">
            <w:pPr>
              <w:rPr>
                <w:rFonts w:ascii="Times New Roman" w:hAnsi="Times New Roman"/>
                <w:sz w:val="20"/>
                <w:szCs w:val="20"/>
              </w:rPr>
            </w:pPr>
          </w:p>
        </w:tc>
        <w:tc>
          <w:tcPr>
            <w:tcW w:w="550" w:type="pct"/>
            <w:shd w:val="clear" w:color="auto" w:fill="auto"/>
            <w:vAlign w:val="center"/>
          </w:tcPr>
          <w:p w14:paraId="55569305" w14:textId="77777777" w:rsidR="00F925DD" w:rsidRDefault="00F925DD">
            <w:pPr>
              <w:rPr>
                <w:rFonts w:ascii="Times New Roman" w:hAnsi="Times New Roman"/>
                <w:sz w:val="20"/>
                <w:szCs w:val="20"/>
              </w:rPr>
            </w:pPr>
          </w:p>
        </w:tc>
        <w:tc>
          <w:tcPr>
            <w:tcW w:w="50" w:type="pct"/>
            <w:shd w:val="clear" w:color="auto" w:fill="auto"/>
            <w:vAlign w:val="center"/>
          </w:tcPr>
          <w:p w14:paraId="55569306" w14:textId="77777777" w:rsidR="00F925DD" w:rsidRDefault="00F925DD">
            <w:pPr>
              <w:rPr>
                <w:rFonts w:ascii="Times New Roman" w:hAnsi="Times New Roman"/>
                <w:sz w:val="20"/>
                <w:szCs w:val="20"/>
              </w:rPr>
            </w:pPr>
          </w:p>
        </w:tc>
        <w:tc>
          <w:tcPr>
            <w:tcW w:w="100" w:type="pct"/>
            <w:shd w:val="clear" w:color="auto" w:fill="auto"/>
            <w:vAlign w:val="center"/>
          </w:tcPr>
          <w:p w14:paraId="55569307" w14:textId="77777777" w:rsidR="00F925DD" w:rsidRDefault="00F925DD">
            <w:pPr>
              <w:rPr>
                <w:rFonts w:ascii="Times New Roman" w:hAnsi="Times New Roman"/>
                <w:sz w:val="20"/>
                <w:szCs w:val="20"/>
              </w:rPr>
            </w:pPr>
          </w:p>
        </w:tc>
        <w:tc>
          <w:tcPr>
            <w:tcW w:w="50" w:type="pct"/>
            <w:shd w:val="clear" w:color="auto" w:fill="auto"/>
            <w:vAlign w:val="center"/>
          </w:tcPr>
          <w:p w14:paraId="55569308" w14:textId="77777777" w:rsidR="00F925DD" w:rsidRDefault="00F925DD">
            <w:pPr>
              <w:rPr>
                <w:rFonts w:ascii="Times New Roman" w:hAnsi="Times New Roman"/>
                <w:sz w:val="20"/>
                <w:szCs w:val="20"/>
              </w:rPr>
            </w:pPr>
          </w:p>
        </w:tc>
        <w:tc>
          <w:tcPr>
            <w:tcW w:w="550" w:type="pct"/>
            <w:shd w:val="clear" w:color="auto" w:fill="auto"/>
            <w:vAlign w:val="center"/>
          </w:tcPr>
          <w:p w14:paraId="55569309" w14:textId="77777777" w:rsidR="00F925DD" w:rsidRDefault="00F925DD">
            <w:pPr>
              <w:rPr>
                <w:rFonts w:ascii="Times New Roman" w:hAnsi="Times New Roman"/>
                <w:sz w:val="20"/>
                <w:szCs w:val="20"/>
              </w:rPr>
            </w:pPr>
          </w:p>
        </w:tc>
        <w:tc>
          <w:tcPr>
            <w:tcW w:w="50" w:type="pct"/>
            <w:shd w:val="clear" w:color="auto" w:fill="auto"/>
            <w:vAlign w:val="center"/>
          </w:tcPr>
          <w:p w14:paraId="5556930A" w14:textId="77777777" w:rsidR="00F925DD" w:rsidRDefault="00F925DD">
            <w:pPr>
              <w:rPr>
                <w:rFonts w:ascii="Times New Roman" w:hAnsi="Times New Roman"/>
                <w:sz w:val="20"/>
                <w:szCs w:val="20"/>
              </w:rPr>
            </w:pPr>
          </w:p>
        </w:tc>
      </w:tr>
      <w:tr w:rsidR="00F925DD" w14:paraId="5556930D" w14:textId="77777777">
        <w:tc>
          <w:tcPr>
            <w:tcW w:w="0" w:type="auto"/>
            <w:gridSpan w:val="20"/>
            <w:shd w:val="clear" w:color="auto" w:fill="auto"/>
            <w:tcMar>
              <w:top w:w="40" w:type="dxa"/>
              <w:left w:w="40" w:type="dxa"/>
              <w:bottom w:w="40" w:type="dxa"/>
              <w:right w:w="40" w:type="dxa"/>
            </w:tcMar>
            <w:vAlign w:val="bottom"/>
          </w:tcPr>
          <w:p w14:paraId="5556930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29: ALLOWANCE FOR LOAN AND LEASE LOSSES</w:t>
            </w:r>
          </w:p>
        </w:tc>
      </w:tr>
      <w:tr w:rsidR="00F925DD" w14:paraId="55569310" w14:textId="77777777">
        <w:tc>
          <w:tcPr>
            <w:tcW w:w="0" w:type="auto"/>
            <w:shd w:val="clear" w:color="auto" w:fill="auto"/>
            <w:tcMar>
              <w:top w:w="40" w:type="dxa"/>
              <w:left w:w="40" w:type="dxa"/>
              <w:bottom w:w="40" w:type="dxa"/>
              <w:right w:w="40" w:type="dxa"/>
            </w:tcMar>
            <w:vAlign w:val="bottom"/>
          </w:tcPr>
          <w:p w14:paraId="555693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5556930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931B" w14:textId="77777777">
        <w:tc>
          <w:tcPr>
            <w:tcW w:w="0" w:type="auto"/>
            <w:shd w:val="clear" w:color="auto" w:fill="auto"/>
            <w:tcMar>
              <w:top w:w="40" w:type="dxa"/>
              <w:left w:w="40" w:type="dxa"/>
              <w:bottom w:w="40" w:type="dxa"/>
              <w:right w:w="40" w:type="dxa"/>
            </w:tcMar>
            <w:vAlign w:val="bottom"/>
          </w:tcPr>
          <w:p w14:paraId="5556931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31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93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31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93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31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c>
          <w:tcPr>
            <w:tcW w:w="0" w:type="auto"/>
            <w:shd w:val="clear" w:color="auto" w:fill="auto"/>
            <w:tcMar>
              <w:top w:w="40" w:type="dxa"/>
              <w:left w:w="40" w:type="dxa"/>
              <w:bottom w:w="40" w:type="dxa"/>
              <w:right w:w="40" w:type="dxa"/>
            </w:tcMar>
            <w:vAlign w:val="bottom"/>
          </w:tcPr>
          <w:p w14:paraId="555693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31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2016</w:t>
            </w:r>
          </w:p>
        </w:tc>
        <w:tc>
          <w:tcPr>
            <w:tcW w:w="0" w:type="auto"/>
            <w:shd w:val="clear" w:color="auto" w:fill="auto"/>
            <w:tcMar>
              <w:top w:w="40" w:type="dxa"/>
              <w:left w:w="40" w:type="dxa"/>
              <w:bottom w:w="40" w:type="dxa"/>
              <w:right w:w="40" w:type="dxa"/>
            </w:tcMar>
            <w:vAlign w:val="bottom"/>
          </w:tcPr>
          <w:p w14:paraId="555693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31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2015</w:t>
            </w:r>
          </w:p>
        </w:tc>
      </w:tr>
      <w:tr w:rsidR="00F925DD" w14:paraId="55569326" w14:textId="77777777">
        <w:tc>
          <w:tcPr>
            <w:tcW w:w="0" w:type="auto"/>
            <w:shd w:val="clear" w:color="auto" w:fill="auto"/>
            <w:tcMar>
              <w:top w:w="40" w:type="dxa"/>
              <w:left w:w="40" w:type="dxa"/>
              <w:bottom w:w="40" w:type="dxa"/>
              <w:right w:w="40" w:type="dxa"/>
            </w:tcMar>
            <w:vAlign w:val="bottom"/>
          </w:tcPr>
          <w:p w14:paraId="5556931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Allowance for loan and lease losses:</w:t>
            </w:r>
          </w:p>
        </w:tc>
        <w:tc>
          <w:tcPr>
            <w:tcW w:w="0" w:type="auto"/>
            <w:gridSpan w:val="3"/>
            <w:shd w:val="clear" w:color="auto" w:fill="auto"/>
            <w:tcMar>
              <w:top w:w="40" w:type="dxa"/>
              <w:left w:w="40" w:type="dxa"/>
              <w:bottom w:w="40" w:type="dxa"/>
              <w:right w:w="40" w:type="dxa"/>
            </w:tcMar>
            <w:vAlign w:val="bottom"/>
          </w:tcPr>
          <w:p w14:paraId="555693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3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3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3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3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3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3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3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3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33B" w14:textId="77777777">
        <w:tc>
          <w:tcPr>
            <w:tcW w:w="0" w:type="auto"/>
            <w:shd w:val="clear" w:color="auto" w:fill="CCEEFF"/>
            <w:tcMar>
              <w:top w:w="40" w:type="dxa"/>
              <w:left w:w="40" w:type="dxa"/>
              <w:bottom w:w="40" w:type="dxa"/>
              <w:right w:w="40" w:type="dxa"/>
            </w:tcMar>
            <w:vAlign w:val="bottom"/>
          </w:tcPr>
          <w:p w14:paraId="55569327" w14:textId="77777777" w:rsidR="00F925DD" w:rsidRDefault="00E705D7">
            <w:pPr>
              <w:textAlignment w:val="bottom"/>
              <w:rPr>
                <w:rFonts w:ascii="Times New Roman" w:hAnsi="Times New Roman"/>
                <w:sz w:val="14"/>
                <w:szCs w:val="14"/>
              </w:rPr>
            </w:pPr>
            <w:r>
              <w:rPr>
                <w:rFonts w:ascii="Arial" w:eastAsia="宋体" w:hAnsi="Arial" w:cs="Arial"/>
                <w:sz w:val="14"/>
                <w:szCs w:val="14"/>
              </w:rPr>
              <w:t>Beginning balance</w:t>
            </w:r>
          </w:p>
        </w:tc>
        <w:tc>
          <w:tcPr>
            <w:tcW w:w="0" w:type="auto"/>
            <w:shd w:val="clear" w:color="auto" w:fill="CCEEFF"/>
            <w:tcMar>
              <w:top w:w="40" w:type="dxa"/>
              <w:left w:w="40" w:type="dxa"/>
              <w:bottom w:w="40" w:type="dxa"/>
            </w:tcMar>
            <w:vAlign w:val="bottom"/>
          </w:tcPr>
          <w:p w14:paraId="5556932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32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67</w:t>
            </w:r>
          </w:p>
        </w:tc>
        <w:tc>
          <w:tcPr>
            <w:tcW w:w="0" w:type="auto"/>
            <w:shd w:val="clear" w:color="auto" w:fill="CCEEFF"/>
            <w:vAlign w:val="bottom"/>
          </w:tcPr>
          <w:p w14:paraId="5556932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32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32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w:t>
            </w:r>
          </w:p>
        </w:tc>
        <w:tc>
          <w:tcPr>
            <w:tcW w:w="0" w:type="auto"/>
            <w:shd w:val="clear" w:color="auto" w:fill="CCEEFF"/>
            <w:vAlign w:val="bottom"/>
          </w:tcPr>
          <w:p w14:paraId="555693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33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33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53</w:t>
            </w:r>
          </w:p>
        </w:tc>
        <w:tc>
          <w:tcPr>
            <w:tcW w:w="0" w:type="auto"/>
            <w:shd w:val="clear" w:color="auto" w:fill="CCEEFF"/>
            <w:vAlign w:val="bottom"/>
          </w:tcPr>
          <w:p w14:paraId="5556933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33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33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w:t>
            </w:r>
          </w:p>
        </w:tc>
        <w:tc>
          <w:tcPr>
            <w:tcW w:w="0" w:type="auto"/>
            <w:shd w:val="clear" w:color="auto" w:fill="CCEEFF"/>
            <w:vAlign w:val="bottom"/>
          </w:tcPr>
          <w:p w14:paraId="5556933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33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33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w:t>
            </w:r>
          </w:p>
        </w:tc>
        <w:tc>
          <w:tcPr>
            <w:tcW w:w="0" w:type="auto"/>
            <w:shd w:val="clear" w:color="auto" w:fill="CCEEFF"/>
            <w:vAlign w:val="bottom"/>
          </w:tcPr>
          <w:p w14:paraId="5556933A" w14:textId="77777777" w:rsidR="00F925DD" w:rsidRDefault="00F925DD">
            <w:pPr>
              <w:textAlignment w:val="bottom"/>
              <w:rPr>
                <w:rFonts w:ascii="Times New Roman" w:hAnsi="Times New Roman"/>
                <w:sz w:val="20"/>
                <w:szCs w:val="20"/>
              </w:rPr>
            </w:pPr>
          </w:p>
        </w:tc>
      </w:tr>
      <w:tr w:rsidR="00F925DD" w14:paraId="5556934B" w14:textId="77777777">
        <w:tc>
          <w:tcPr>
            <w:tcW w:w="0" w:type="auto"/>
            <w:shd w:val="clear" w:color="auto" w:fill="auto"/>
            <w:tcMar>
              <w:top w:w="40" w:type="dxa"/>
              <w:left w:w="40" w:type="dxa"/>
              <w:bottom w:w="40" w:type="dxa"/>
              <w:right w:w="40" w:type="dxa"/>
            </w:tcMar>
            <w:vAlign w:val="bottom"/>
          </w:tcPr>
          <w:p w14:paraId="5556933C" w14:textId="77777777" w:rsidR="00F925DD" w:rsidRDefault="00E705D7">
            <w:pPr>
              <w:textAlignment w:val="bottom"/>
              <w:rPr>
                <w:rFonts w:ascii="Times New Roman" w:hAnsi="Times New Roman"/>
                <w:sz w:val="14"/>
                <w:szCs w:val="14"/>
              </w:rPr>
            </w:pPr>
            <w:r>
              <w:rPr>
                <w:rFonts w:ascii="Arial" w:eastAsia="宋体" w:hAnsi="Arial" w:cs="Arial"/>
                <w:sz w:val="14"/>
                <w:szCs w:val="14"/>
              </w:rPr>
              <w:t>Provision for loan and lease losses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933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w:t>
            </w:r>
          </w:p>
        </w:tc>
        <w:tc>
          <w:tcPr>
            <w:tcW w:w="0" w:type="auto"/>
            <w:shd w:val="clear" w:color="auto" w:fill="auto"/>
            <w:vAlign w:val="bottom"/>
          </w:tcPr>
          <w:p w14:paraId="5556933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4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auto"/>
            <w:vAlign w:val="bottom"/>
          </w:tcPr>
          <w:p w14:paraId="555693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4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auto"/>
            <w:vAlign w:val="bottom"/>
          </w:tcPr>
          <w:p w14:paraId="555693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4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auto"/>
            <w:vAlign w:val="bottom"/>
          </w:tcPr>
          <w:p w14:paraId="5556934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4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w:t>
            </w:r>
          </w:p>
        </w:tc>
        <w:tc>
          <w:tcPr>
            <w:tcW w:w="0" w:type="auto"/>
            <w:shd w:val="clear" w:color="auto" w:fill="auto"/>
            <w:vAlign w:val="bottom"/>
          </w:tcPr>
          <w:p w14:paraId="5556934A" w14:textId="77777777" w:rsidR="00F925DD" w:rsidRDefault="00F925DD">
            <w:pPr>
              <w:textAlignment w:val="bottom"/>
              <w:rPr>
                <w:rFonts w:ascii="Times New Roman" w:hAnsi="Times New Roman"/>
                <w:sz w:val="20"/>
                <w:szCs w:val="20"/>
              </w:rPr>
            </w:pPr>
          </w:p>
        </w:tc>
      </w:tr>
      <w:tr w:rsidR="00F925DD" w14:paraId="5556935B" w14:textId="77777777">
        <w:tc>
          <w:tcPr>
            <w:tcW w:w="0" w:type="auto"/>
            <w:shd w:val="clear" w:color="auto" w:fill="CCEEFF"/>
            <w:tcMar>
              <w:top w:w="40" w:type="dxa"/>
              <w:left w:w="40" w:type="dxa"/>
              <w:bottom w:w="40" w:type="dxa"/>
              <w:right w:w="40" w:type="dxa"/>
            </w:tcMar>
            <w:vAlign w:val="bottom"/>
          </w:tcPr>
          <w:p w14:paraId="5556934C" w14:textId="77777777" w:rsidR="00F925DD" w:rsidRDefault="00E705D7">
            <w:pPr>
              <w:textAlignment w:val="bottom"/>
              <w:rPr>
                <w:rFonts w:ascii="Times New Roman" w:hAnsi="Times New Roman"/>
                <w:sz w:val="14"/>
                <w:szCs w:val="14"/>
              </w:rPr>
            </w:pPr>
            <w:r>
              <w:rPr>
                <w:rFonts w:ascii="Arial" w:eastAsia="宋体" w:hAnsi="Arial" w:cs="Arial"/>
                <w:sz w:val="14"/>
                <w:szCs w:val="14"/>
              </w:rPr>
              <w:t>Charge-offs</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5556934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CCEEFF"/>
            <w:tcMar>
              <w:top w:w="40" w:type="dxa"/>
              <w:bottom w:w="40" w:type="dxa"/>
              <w:right w:w="40" w:type="dxa"/>
            </w:tcMar>
            <w:vAlign w:val="bottom"/>
          </w:tcPr>
          <w:p w14:paraId="5556934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93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35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bottom w:val="single" w:sz="8" w:space="0" w:color="000000"/>
            </w:tcBorders>
            <w:shd w:val="clear" w:color="auto" w:fill="CCEEFF"/>
            <w:tcMar>
              <w:top w:w="40" w:type="dxa"/>
              <w:bottom w:w="40" w:type="dxa"/>
              <w:right w:w="40" w:type="dxa"/>
            </w:tcMar>
            <w:vAlign w:val="bottom"/>
          </w:tcPr>
          <w:p w14:paraId="5556935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93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35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CCEEFF"/>
            <w:tcMar>
              <w:top w:w="40" w:type="dxa"/>
              <w:bottom w:w="40" w:type="dxa"/>
              <w:right w:w="40" w:type="dxa"/>
            </w:tcMar>
            <w:vAlign w:val="bottom"/>
          </w:tcPr>
          <w:p w14:paraId="5556935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93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35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tcBorders>
              <w:bottom w:val="single" w:sz="8" w:space="0" w:color="000000"/>
            </w:tcBorders>
            <w:shd w:val="clear" w:color="auto" w:fill="CCEEFF"/>
            <w:tcMar>
              <w:top w:w="40" w:type="dxa"/>
              <w:bottom w:w="40" w:type="dxa"/>
              <w:right w:w="40" w:type="dxa"/>
            </w:tcMar>
            <w:vAlign w:val="bottom"/>
          </w:tcPr>
          <w:p w14:paraId="5556935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93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35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w:t>
            </w:r>
          </w:p>
        </w:tc>
        <w:tc>
          <w:tcPr>
            <w:tcW w:w="0" w:type="auto"/>
            <w:tcBorders>
              <w:bottom w:val="single" w:sz="8" w:space="0" w:color="000000"/>
            </w:tcBorders>
            <w:shd w:val="clear" w:color="auto" w:fill="CCEEFF"/>
            <w:tcMar>
              <w:top w:w="40" w:type="dxa"/>
              <w:bottom w:w="40" w:type="dxa"/>
              <w:right w:w="40" w:type="dxa"/>
            </w:tcMar>
            <w:vAlign w:val="bottom"/>
          </w:tcPr>
          <w:p w14:paraId="5556935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9370" w14:textId="77777777">
        <w:tc>
          <w:tcPr>
            <w:tcW w:w="0" w:type="auto"/>
            <w:shd w:val="clear" w:color="auto" w:fill="auto"/>
            <w:tcMar>
              <w:top w:w="40" w:type="dxa"/>
              <w:left w:w="40" w:type="dxa"/>
              <w:bottom w:w="40" w:type="dxa"/>
              <w:right w:w="40" w:type="dxa"/>
            </w:tcMar>
            <w:vAlign w:val="bottom"/>
          </w:tcPr>
          <w:p w14:paraId="5556935C"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Ending </w:t>
            </w:r>
            <w:r>
              <w:rPr>
                <w:rFonts w:ascii="Arial" w:eastAsia="宋体" w:hAnsi="Arial" w:cs="Arial"/>
                <w:sz w:val="14"/>
                <w:szCs w:val="14"/>
              </w:rPr>
              <w:t>balance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35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35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74</w:t>
            </w:r>
          </w:p>
        </w:tc>
        <w:tc>
          <w:tcPr>
            <w:tcW w:w="0" w:type="auto"/>
            <w:tcBorders>
              <w:top w:val="single" w:sz="8" w:space="0" w:color="000000"/>
              <w:bottom w:val="double" w:sz="6" w:space="0" w:color="000000"/>
            </w:tcBorders>
            <w:shd w:val="clear" w:color="auto" w:fill="auto"/>
            <w:vAlign w:val="bottom"/>
          </w:tcPr>
          <w:p w14:paraId="5556935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60" w14:textId="77777777" w:rsidR="00F925DD" w:rsidRDefault="00F925DD">
            <w:pPr>
              <w:textAlignment w:val="bottom"/>
              <w:rPr>
                <w:rFonts w:ascii="Times New Roman" w:hAnsi="Times New Roman"/>
                <w:sz w:val="14"/>
                <w:szCs w:val="14"/>
              </w:rPr>
            </w:pPr>
          </w:p>
        </w:tc>
        <w:tc>
          <w:tcPr>
            <w:tcW w:w="0" w:type="auto"/>
            <w:tcBorders>
              <w:bottom w:val="double" w:sz="6" w:space="0" w:color="000000"/>
            </w:tcBorders>
            <w:shd w:val="clear" w:color="auto" w:fill="auto"/>
            <w:tcMar>
              <w:top w:w="40" w:type="dxa"/>
              <w:left w:w="40" w:type="dxa"/>
              <w:bottom w:w="40" w:type="dxa"/>
            </w:tcMar>
            <w:vAlign w:val="bottom"/>
          </w:tcPr>
          <w:p w14:paraId="5556936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936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67</w:t>
            </w:r>
          </w:p>
        </w:tc>
        <w:tc>
          <w:tcPr>
            <w:tcW w:w="0" w:type="auto"/>
            <w:tcBorders>
              <w:bottom w:val="double" w:sz="6" w:space="0" w:color="000000"/>
            </w:tcBorders>
            <w:shd w:val="clear" w:color="auto" w:fill="auto"/>
            <w:vAlign w:val="bottom"/>
          </w:tcPr>
          <w:p w14:paraId="555693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936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93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w:t>
            </w:r>
          </w:p>
        </w:tc>
        <w:tc>
          <w:tcPr>
            <w:tcW w:w="0" w:type="auto"/>
            <w:tcBorders>
              <w:bottom w:val="double" w:sz="6" w:space="0" w:color="000000"/>
            </w:tcBorders>
            <w:shd w:val="clear" w:color="auto" w:fill="auto"/>
            <w:vAlign w:val="bottom"/>
          </w:tcPr>
          <w:p w14:paraId="5556936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68" w14:textId="77777777" w:rsidR="00F925DD" w:rsidRDefault="00F925DD">
            <w:pPr>
              <w:textAlignment w:val="bottom"/>
              <w:rPr>
                <w:rFonts w:ascii="Times New Roman" w:hAnsi="Times New Roman"/>
                <w:sz w:val="14"/>
                <w:szCs w:val="14"/>
              </w:rPr>
            </w:pPr>
          </w:p>
        </w:tc>
        <w:tc>
          <w:tcPr>
            <w:tcW w:w="0" w:type="auto"/>
            <w:tcBorders>
              <w:bottom w:val="double" w:sz="6" w:space="0" w:color="000000"/>
            </w:tcBorders>
            <w:shd w:val="clear" w:color="auto" w:fill="auto"/>
            <w:tcMar>
              <w:top w:w="40" w:type="dxa"/>
              <w:left w:w="40" w:type="dxa"/>
              <w:bottom w:w="40" w:type="dxa"/>
            </w:tcMar>
            <w:vAlign w:val="bottom"/>
          </w:tcPr>
          <w:p w14:paraId="5556936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936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53</w:t>
            </w:r>
          </w:p>
        </w:tc>
        <w:tc>
          <w:tcPr>
            <w:tcW w:w="0" w:type="auto"/>
            <w:tcBorders>
              <w:bottom w:val="double" w:sz="6" w:space="0" w:color="000000"/>
            </w:tcBorders>
            <w:shd w:val="clear" w:color="auto" w:fill="auto"/>
            <w:vAlign w:val="bottom"/>
          </w:tcPr>
          <w:p w14:paraId="5556936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6C" w14:textId="77777777" w:rsidR="00F925DD" w:rsidRDefault="00F925DD">
            <w:pPr>
              <w:textAlignment w:val="bottom"/>
              <w:rPr>
                <w:rFonts w:ascii="Times New Roman" w:hAnsi="Times New Roman"/>
                <w:sz w:val="14"/>
                <w:szCs w:val="14"/>
              </w:rPr>
            </w:pPr>
          </w:p>
        </w:tc>
        <w:tc>
          <w:tcPr>
            <w:tcW w:w="0" w:type="auto"/>
            <w:tcBorders>
              <w:bottom w:val="double" w:sz="6" w:space="0" w:color="000000"/>
            </w:tcBorders>
            <w:shd w:val="clear" w:color="auto" w:fill="auto"/>
            <w:tcMar>
              <w:top w:w="40" w:type="dxa"/>
              <w:left w:w="40" w:type="dxa"/>
              <w:bottom w:w="40" w:type="dxa"/>
            </w:tcMar>
            <w:vAlign w:val="bottom"/>
          </w:tcPr>
          <w:p w14:paraId="5556936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936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w:t>
            </w:r>
          </w:p>
        </w:tc>
        <w:tc>
          <w:tcPr>
            <w:tcW w:w="0" w:type="auto"/>
            <w:tcBorders>
              <w:bottom w:val="double" w:sz="6" w:space="0" w:color="000000"/>
            </w:tcBorders>
            <w:shd w:val="clear" w:color="auto" w:fill="auto"/>
            <w:vAlign w:val="bottom"/>
          </w:tcPr>
          <w:p w14:paraId="5556936F" w14:textId="77777777" w:rsidR="00F925DD" w:rsidRDefault="00F925DD">
            <w:pPr>
              <w:textAlignment w:val="bottom"/>
              <w:rPr>
                <w:rFonts w:ascii="Times New Roman" w:hAnsi="Times New Roman"/>
                <w:sz w:val="20"/>
                <w:szCs w:val="20"/>
              </w:rPr>
            </w:pPr>
          </w:p>
        </w:tc>
      </w:tr>
    </w:tbl>
    <w:p w14:paraId="55569371"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3987"/>
        <w:gridCol w:w="1744"/>
        <w:gridCol w:w="2575"/>
      </w:tblGrid>
      <w:tr w:rsidR="00F925DD" w14:paraId="55569373" w14:textId="77777777">
        <w:tc>
          <w:tcPr>
            <w:tcW w:w="0" w:type="auto"/>
            <w:gridSpan w:val="3"/>
            <w:shd w:val="clear" w:color="auto" w:fill="auto"/>
            <w:vAlign w:val="center"/>
          </w:tcPr>
          <w:p w14:paraId="55569372" w14:textId="77777777" w:rsidR="00F925DD" w:rsidRDefault="00F925DD">
            <w:pPr>
              <w:rPr>
                <w:rFonts w:ascii="Times New Roman" w:hAnsi="Times New Roman"/>
                <w:sz w:val="20"/>
                <w:szCs w:val="20"/>
              </w:rPr>
            </w:pPr>
          </w:p>
        </w:tc>
      </w:tr>
      <w:tr w:rsidR="00F925DD" w14:paraId="55569377" w14:textId="77777777">
        <w:tc>
          <w:tcPr>
            <w:tcW w:w="2400" w:type="pct"/>
            <w:shd w:val="clear" w:color="auto" w:fill="auto"/>
            <w:vAlign w:val="center"/>
          </w:tcPr>
          <w:p w14:paraId="55569374" w14:textId="77777777" w:rsidR="00F925DD" w:rsidRDefault="00F925DD">
            <w:pPr>
              <w:rPr>
                <w:rFonts w:ascii="Times New Roman" w:hAnsi="Times New Roman"/>
                <w:sz w:val="20"/>
                <w:szCs w:val="20"/>
              </w:rPr>
            </w:pPr>
          </w:p>
        </w:tc>
        <w:tc>
          <w:tcPr>
            <w:tcW w:w="1050" w:type="pct"/>
            <w:shd w:val="clear" w:color="auto" w:fill="auto"/>
            <w:vAlign w:val="center"/>
          </w:tcPr>
          <w:p w14:paraId="55569375" w14:textId="77777777" w:rsidR="00F925DD" w:rsidRDefault="00F925DD">
            <w:pPr>
              <w:rPr>
                <w:rFonts w:ascii="Times New Roman" w:hAnsi="Times New Roman"/>
                <w:sz w:val="20"/>
                <w:szCs w:val="20"/>
              </w:rPr>
            </w:pPr>
          </w:p>
        </w:tc>
        <w:tc>
          <w:tcPr>
            <w:tcW w:w="1550" w:type="pct"/>
            <w:shd w:val="clear" w:color="auto" w:fill="auto"/>
            <w:vAlign w:val="center"/>
          </w:tcPr>
          <w:p w14:paraId="55569376" w14:textId="77777777" w:rsidR="00F925DD" w:rsidRDefault="00F925DD">
            <w:pPr>
              <w:rPr>
                <w:rFonts w:ascii="Times New Roman" w:hAnsi="Times New Roman"/>
                <w:sz w:val="20"/>
                <w:szCs w:val="20"/>
              </w:rPr>
            </w:pPr>
          </w:p>
        </w:tc>
      </w:tr>
      <w:tr w:rsidR="00F925DD" w14:paraId="5556937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93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3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3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937C"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(1) The provision for loan and lease losses is primarily related to commercial and financial loans.</w:t>
      </w:r>
    </w:p>
    <w:p w14:paraId="5556937D"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(2) The charge-offs are related to commercial and financial loans.</w:t>
      </w:r>
    </w:p>
    <w:p w14:paraId="5556937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recorded a </w:t>
      </w:r>
      <w:r>
        <w:rPr>
          <w:rFonts w:ascii="Arial" w:eastAsia="宋体" w:hAnsi="Arial" w:cs="Arial"/>
          <w:sz w:val="20"/>
          <w:szCs w:val="20"/>
        </w:rPr>
        <w:t>provision for loan losses of $10 million in 2019 compared to $15 million in 2018 and $2 million in 2017.</w:t>
      </w:r>
    </w:p>
    <w:p w14:paraId="5556937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approximately $61 million of our allowance for loan and lease losses (ALLL) was related to senior secured loans included in th</w:t>
      </w:r>
      <w:r>
        <w:rPr>
          <w:rFonts w:ascii="Arial" w:eastAsia="宋体" w:hAnsi="Arial" w:cs="Arial"/>
          <w:sz w:val="20"/>
          <w:szCs w:val="20"/>
        </w:rPr>
        <w:t xml:space="preserve">e commercial and financial segment compared to $60 million as of December 31, 2018. As this portfolio grows and matures, our ALLL related to these loans may increase through additional provisions for credit losses. The remaining $13 million and $7 million </w:t>
      </w:r>
      <w:r>
        <w:rPr>
          <w:rFonts w:ascii="Arial" w:eastAsia="宋体" w:hAnsi="Arial" w:cs="Arial"/>
          <w:sz w:val="20"/>
          <w:szCs w:val="20"/>
        </w:rPr>
        <w:t>as of December 31, 2019 and 2018, respectively, was related to other components of commercial and financial loans.</w:t>
      </w:r>
    </w:p>
    <w:p w14:paraId="55569380"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Cross-Border Outstandings</w:t>
      </w:r>
    </w:p>
    <w:p w14:paraId="5556938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Cross-border outstandings are amounts payable to us by non-U.S. counterparties which are denominated in U.S. dollars or other non-local currency, as well as non-U.S. local currency claims not funded by local currency liabilities. Our cross-border outstandi</w:t>
      </w:r>
      <w:r>
        <w:rPr>
          <w:rFonts w:ascii="Arial" w:eastAsia="宋体" w:hAnsi="Arial" w:cs="Arial"/>
          <w:sz w:val="20"/>
          <w:szCs w:val="20"/>
        </w:rPr>
        <w:t xml:space="preserve">ngs consist primarily of deposits with banks; loans and lease financing, including short-duration advances; investment securities; amounts related to FX and interest rate contracts; and securities finance. </w:t>
      </w:r>
      <w:r>
        <w:rPr>
          <w:rFonts w:ascii="Arial" w:eastAsia="宋体" w:hAnsi="Arial" w:cs="Arial"/>
          <w:sz w:val="2"/>
          <w:szCs w:val="2"/>
        </w:rPr>
        <w:t> </w:t>
      </w:r>
      <w:r>
        <w:rPr>
          <w:rFonts w:ascii="Arial" w:eastAsia="宋体" w:hAnsi="Arial" w:cs="Arial"/>
          <w:sz w:val="20"/>
          <w:szCs w:val="20"/>
        </w:rPr>
        <w:t>In addition to credit risk, cross-border outstand</w:t>
      </w:r>
      <w:r>
        <w:rPr>
          <w:rFonts w:ascii="Arial" w:eastAsia="宋体" w:hAnsi="Arial" w:cs="Arial"/>
          <w:sz w:val="20"/>
          <w:szCs w:val="20"/>
        </w:rPr>
        <w:t>ings have the risk that, as a result of political or economic conditions in a country, borrowers may be unable to meet their contractual repayment obligations of principal and/or interest when due because of the unavailability of, or restrictions on, FX ne</w:t>
      </w:r>
      <w:r>
        <w:rPr>
          <w:rFonts w:ascii="Arial" w:eastAsia="宋体" w:hAnsi="Arial" w:cs="Arial"/>
          <w:sz w:val="20"/>
          <w:szCs w:val="20"/>
        </w:rPr>
        <w:t>eded by borrowers to repay their obligations.</w:t>
      </w:r>
    </w:p>
    <w:p w14:paraId="5556938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market and economic conditions change, the major independent credit rating agencies may downgrade U.S. and non-U.S. financial institutions and sovereign issuers which have been, and may in the future be, sig</w:t>
      </w:r>
      <w:r>
        <w:rPr>
          <w:rFonts w:ascii="Arial" w:eastAsia="宋体" w:hAnsi="Arial" w:cs="Arial"/>
          <w:sz w:val="20"/>
          <w:szCs w:val="20"/>
        </w:rPr>
        <w:t xml:space="preserve">nificant counterparties to us, or whose financial instruments serve as collateral on which we rely for credit risk mitigation purposes, and may do so </w:t>
      </w:r>
    </w:p>
    <w:p w14:paraId="55569383"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38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again in the future. As a result, we may be exposed to increased counterparty risk, leading to negative</w:t>
      </w:r>
      <w:r>
        <w:rPr>
          <w:rFonts w:ascii="Arial" w:eastAsia="宋体" w:hAnsi="Arial" w:cs="Arial"/>
          <w:sz w:val="20"/>
          <w:szCs w:val="20"/>
        </w:rPr>
        <w:t xml:space="preserve"> ratings volatility.</w:t>
      </w:r>
    </w:p>
    <w:p w14:paraId="5556938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cross-border outstandings presented in Table 30: Cross-border outstandings, represented approximately 28% of our consolidated total assets as of both December 31, 2019 and December 31, 2018.</w:t>
      </w:r>
    </w:p>
    <w:tbl>
      <w:tblPr>
        <w:tblW w:w="5000" w:type="pct"/>
        <w:tblCellMar>
          <w:left w:w="0" w:type="dxa"/>
          <w:right w:w="0" w:type="dxa"/>
        </w:tblCellMar>
        <w:tblLook w:val="04A0" w:firstRow="1" w:lastRow="0" w:firstColumn="1" w:lastColumn="0" w:noHBand="0" w:noVBand="1"/>
      </w:tblPr>
      <w:tblGrid>
        <w:gridCol w:w="2314"/>
        <w:gridCol w:w="119"/>
        <w:gridCol w:w="1732"/>
        <w:gridCol w:w="71"/>
        <w:gridCol w:w="154"/>
        <w:gridCol w:w="118"/>
        <w:gridCol w:w="1732"/>
        <w:gridCol w:w="71"/>
        <w:gridCol w:w="154"/>
        <w:gridCol w:w="119"/>
        <w:gridCol w:w="1650"/>
        <w:gridCol w:w="72"/>
      </w:tblGrid>
      <w:tr w:rsidR="00F925DD" w14:paraId="55569387" w14:textId="77777777">
        <w:tc>
          <w:tcPr>
            <w:tcW w:w="0" w:type="auto"/>
            <w:gridSpan w:val="12"/>
            <w:shd w:val="clear" w:color="auto" w:fill="auto"/>
            <w:vAlign w:val="center"/>
          </w:tcPr>
          <w:p w14:paraId="55569386" w14:textId="77777777" w:rsidR="00F925DD" w:rsidRDefault="00F925DD">
            <w:pPr>
              <w:rPr>
                <w:rFonts w:ascii="Times New Roman" w:hAnsi="Times New Roman"/>
                <w:sz w:val="20"/>
                <w:szCs w:val="20"/>
              </w:rPr>
            </w:pPr>
          </w:p>
        </w:tc>
      </w:tr>
      <w:tr w:rsidR="00F925DD" w14:paraId="55569394" w14:textId="77777777">
        <w:tc>
          <w:tcPr>
            <w:tcW w:w="1400" w:type="pct"/>
            <w:shd w:val="clear" w:color="auto" w:fill="auto"/>
            <w:vAlign w:val="center"/>
          </w:tcPr>
          <w:p w14:paraId="55569388" w14:textId="77777777" w:rsidR="00F925DD" w:rsidRDefault="00F925DD">
            <w:pPr>
              <w:rPr>
                <w:rFonts w:ascii="Times New Roman" w:hAnsi="Times New Roman"/>
                <w:sz w:val="20"/>
                <w:szCs w:val="20"/>
              </w:rPr>
            </w:pPr>
          </w:p>
        </w:tc>
        <w:tc>
          <w:tcPr>
            <w:tcW w:w="50" w:type="pct"/>
            <w:shd w:val="clear" w:color="auto" w:fill="auto"/>
            <w:vAlign w:val="center"/>
          </w:tcPr>
          <w:p w14:paraId="55569389" w14:textId="77777777" w:rsidR="00F925DD" w:rsidRDefault="00F925DD">
            <w:pPr>
              <w:rPr>
                <w:rFonts w:ascii="Times New Roman" w:hAnsi="Times New Roman"/>
                <w:sz w:val="20"/>
                <w:szCs w:val="20"/>
              </w:rPr>
            </w:pPr>
          </w:p>
        </w:tc>
        <w:tc>
          <w:tcPr>
            <w:tcW w:w="1050" w:type="pct"/>
            <w:shd w:val="clear" w:color="auto" w:fill="auto"/>
            <w:vAlign w:val="center"/>
          </w:tcPr>
          <w:p w14:paraId="5556938A" w14:textId="77777777" w:rsidR="00F925DD" w:rsidRDefault="00F925DD">
            <w:pPr>
              <w:rPr>
                <w:rFonts w:ascii="Times New Roman" w:hAnsi="Times New Roman"/>
                <w:sz w:val="20"/>
                <w:szCs w:val="20"/>
              </w:rPr>
            </w:pPr>
          </w:p>
        </w:tc>
        <w:tc>
          <w:tcPr>
            <w:tcW w:w="50" w:type="pct"/>
            <w:shd w:val="clear" w:color="auto" w:fill="auto"/>
            <w:vAlign w:val="center"/>
          </w:tcPr>
          <w:p w14:paraId="5556938B" w14:textId="77777777" w:rsidR="00F925DD" w:rsidRDefault="00F925DD">
            <w:pPr>
              <w:rPr>
                <w:rFonts w:ascii="Times New Roman" w:hAnsi="Times New Roman"/>
                <w:sz w:val="20"/>
                <w:szCs w:val="20"/>
              </w:rPr>
            </w:pPr>
          </w:p>
        </w:tc>
        <w:tc>
          <w:tcPr>
            <w:tcW w:w="100" w:type="pct"/>
            <w:shd w:val="clear" w:color="auto" w:fill="auto"/>
            <w:vAlign w:val="center"/>
          </w:tcPr>
          <w:p w14:paraId="5556938C" w14:textId="77777777" w:rsidR="00F925DD" w:rsidRDefault="00F925DD">
            <w:pPr>
              <w:rPr>
                <w:rFonts w:ascii="Times New Roman" w:hAnsi="Times New Roman"/>
                <w:sz w:val="20"/>
                <w:szCs w:val="20"/>
              </w:rPr>
            </w:pPr>
          </w:p>
        </w:tc>
        <w:tc>
          <w:tcPr>
            <w:tcW w:w="50" w:type="pct"/>
            <w:shd w:val="clear" w:color="auto" w:fill="auto"/>
            <w:vAlign w:val="center"/>
          </w:tcPr>
          <w:p w14:paraId="5556938D" w14:textId="77777777" w:rsidR="00F925DD" w:rsidRDefault="00F925DD">
            <w:pPr>
              <w:rPr>
                <w:rFonts w:ascii="Times New Roman" w:hAnsi="Times New Roman"/>
                <w:sz w:val="20"/>
                <w:szCs w:val="20"/>
              </w:rPr>
            </w:pPr>
          </w:p>
        </w:tc>
        <w:tc>
          <w:tcPr>
            <w:tcW w:w="1050" w:type="pct"/>
            <w:shd w:val="clear" w:color="auto" w:fill="auto"/>
            <w:vAlign w:val="center"/>
          </w:tcPr>
          <w:p w14:paraId="5556938E" w14:textId="77777777" w:rsidR="00F925DD" w:rsidRDefault="00F925DD">
            <w:pPr>
              <w:rPr>
                <w:rFonts w:ascii="Times New Roman" w:hAnsi="Times New Roman"/>
                <w:sz w:val="20"/>
                <w:szCs w:val="20"/>
              </w:rPr>
            </w:pPr>
          </w:p>
        </w:tc>
        <w:tc>
          <w:tcPr>
            <w:tcW w:w="50" w:type="pct"/>
            <w:shd w:val="clear" w:color="auto" w:fill="auto"/>
            <w:vAlign w:val="center"/>
          </w:tcPr>
          <w:p w14:paraId="5556938F" w14:textId="77777777" w:rsidR="00F925DD" w:rsidRDefault="00F925DD">
            <w:pPr>
              <w:rPr>
                <w:rFonts w:ascii="Times New Roman" w:hAnsi="Times New Roman"/>
                <w:sz w:val="20"/>
                <w:szCs w:val="20"/>
              </w:rPr>
            </w:pPr>
          </w:p>
        </w:tc>
        <w:tc>
          <w:tcPr>
            <w:tcW w:w="100" w:type="pct"/>
            <w:shd w:val="clear" w:color="auto" w:fill="auto"/>
            <w:vAlign w:val="center"/>
          </w:tcPr>
          <w:p w14:paraId="55569390" w14:textId="77777777" w:rsidR="00F925DD" w:rsidRDefault="00F925DD">
            <w:pPr>
              <w:rPr>
                <w:rFonts w:ascii="Times New Roman" w:hAnsi="Times New Roman"/>
                <w:sz w:val="20"/>
                <w:szCs w:val="20"/>
              </w:rPr>
            </w:pPr>
          </w:p>
        </w:tc>
        <w:tc>
          <w:tcPr>
            <w:tcW w:w="50" w:type="pct"/>
            <w:shd w:val="clear" w:color="auto" w:fill="auto"/>
            <w:vAlign w:val="center"/>
          </w:tcPr>
          <w:p w14:paraId="55569391" w14:textId="77777777" w:rsidR="00F925DD" w:rsidRDefault="00F925DD">
            <w:pPr>
              <w:rPr>
                <w:rFonts w:ascii="Times New Roman" w:hAnsi="Times New Roman"/>
                <w:sz w:val="20"/>
                <w:szCs w:val="20"/>
              </w:rPr>
            </w:pPr>
          </w:p>
        </w:tc>
        <w:tc>
          <w:tcPr>
            <w:tcW w:w="1000" w:type="pct"/>
            <w:shd w:val="clear" w:color="auto" w:fill="auto"/>
            <w:vAlign w:val="center"/>
          </w:tcPr>
          <w:p w14:paraId="55569392" w14:textId="77777777" w:rsidR="00F925DD" w:rsidRDefault="00F925DD">
            <w:pPr>
              <w:rPr>
                <w:rFonts w:ascii="Times New Roman" w:hAnsi="Times New Roman"/>
                <w:sz w:val="20"/>
                <w:szCs w:val="20"/>
              </w:rPr>
            </w:pPr>
          </w:p>
        </w:tc>
        <w:tc>
          <w:tcPr>
            <w:tcW w:w="50" w:type="pct"/>
            <w:shd w:val="clear" w:color="auto" w:fill="auto"/>
            <w:vAlign w:val="center"/>
          </w:tcPr>
          <w:p w14:paraId="55569393" w14:textId="77777777" w:rsidR="00F925DD" w:rsidRDefault="00F925DD">
            <w:pPr>
              <w:rPr>
                <w:rFonts w:ascii="Times New Roman" w:hAnsi="Times New Roman"/>
                <w:sz w:val="20"/>
                <w:szCs w:val="20"/>
              </w:rPr>
            </w:pPr>
          </w:p>
        </w:tc>
      </w:tr>
      <w:tr w:rsidR="00F925DD" w14:paraId="55569396" w14:textId="77777777">
        <w:tc>
          <w:tcPr>
            <w:tcW w:w="0" w:type="auto"/>
            <w:gridSpan w:val="12"/>
            <w:shd w:val="clear" w:color="auto" w:fill="auto"/>
            <w:tcMar>
              <w:top w:w="40" w:type="dxa"/>
              <w:left w:w="40" w:type="dxa"/>
              <w:bottom w:w="40" w:type="dxa"/>
              <w:right w:w="40" w:type="dxa"/>
            </w:tcMar>
            <w:vAlign w:val="bottom"/>
          </w:tcPr>
          <w:p w14:paraId="55569395"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 xml:space="preserve">TABLE 30: </w:t>
            </w:r>
            <w:r>
              <w:rPr>
                <w:rFonts w:ascii="Arial" w:eastAsia="宋体" w:hAnsi="Arial" w:cs="Arial"/>
                <w:b/>
                <w:bCs/>
                <w:sz w:val="16"/>
                <w:szCs w:val="16"/>
              </w:rPr>
              <w:t>CROSS-BORDER OUTSTANDINGS</w:t>
            </w:r>
            <w:r>
              <w:rPr>
                <w:rFonts w:ascii="Arial" w:eastAsia="宋体" w:hAnsi="Arial" w:cs="Arial"/>
                <w:b/>
                <w:bCs/>
                <w:sz w:val="10"/>
                <w:szCs w:val="10"/>
              </w:rPr>
              <w:t>(1)</w:t>
            </w:r>
          </w:p>
        </w:tc>
      </w:tr>
      <w:tr w:rsidR="00F925DD" w14:paraId="5556939D" w14:textId="77777777">
        <w:tc>
          <w:tcPr>
            <w:tcW w:w="0" w:type="auto"/>
            <w:shd w:val="clear" w:color="auto" w:fill="auto"/>
            <w:tcMar>
              <w:top w:w="40" w:type="dxa"/>
              <w:left w:w="40" w:type="dxa"/>
              <w:bottom w:w="40" w:type="dxa"/>
              <w:right w:w="40" w:type="dxa"/>
            </w:tcMar>
            <w:vAlign w:val="bottom"/>
          </w:tcPr>
          <w:p w14:paraId="5556939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39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Investment Securities and Other Assets</w:t>
            </w:r>
            <w:r>
              <w:rPr>
                <w:rFonts w:ascii="Arial" w:eastAsia="宋体" w:hAnsi="Arial" w:cs="Arial"/>
                <w:sz w:val="14"/>
                <w:szCs w:val="14"/>
              </w:rPr>
              <w:t> </w:t>
            </w:r>
          </w:p>
        </w:tc>
        <w:tc>
          <w:tcPr>
            <w:tcW w:w="0" w:type="auto"/>
            <w:shd w:val="clear" w:color="auto" w:fill="auto"/>
            <w:tcMar>
              <w:top w:w="40" w:type="dxa"/>
              <w:left w:w="40" w:type="dxa"/>
              <w:bottom w:w="40" w:type="dxa"/>
              <w:right w:w="40" w:type="dxa"/>
            </w:tcMar>
            <w:vAlign w:val="bottom"/>
          </w:tcPr>
          <w:p w14:paraId="555693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39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Derivatives and Securities on Loan</w:t>
            </w:r>
          </w:p>
        </w:tc>
        <w:tc>
          <w:tcPr>
            <w:tcW w:w="0" w:type="auto"/>
            <w:shd w:val="clear" w:color="auto" w:fill="auto"/>
            <w:tcMar>
              <w:top w:w="40" w:type="dxa"/>
              <w:left w:w="40" w:type="dxa"/>
              <w:bottom w:w="40" w:type="dxa"/>
              <w:right w:w="40" w:type="dxa"/>
            </w:tcMar>
            <w:vAlign w:val="bottom"/>
          </w:tcPr>
          <w:p w14:paraId="555693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39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 Cross-Border Outstandings</w:t>
            </w:r>
          </w:p>
        </w:tc>
      </w:tr>
      <w:tr w:rsidR="00F925DD" w14:paraId="555693A5" w14:textId="77777777">
        <w:tc>
          <w:tcPr>
            <w:tcW w:w="0" w:type="auto"/>
            <w:shd w:val="clear" w:color="auto" w:fill="auto"/>
            <w:tcMar>
              <w:top w:w="40" w:type="dxa"/>
              <w:left w:w="40" w:type="dxa"/>
              <w:bottom w:w="40" w:type="dxa"/>
              <w:right w:w="40" w:type="dxa"/>
            </w:tcMar>
            <w:vAlign w:val="bottom"/>
          </w:tcPr>
          <w:p w14:paraId="5556939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gridSpan w:val="2"/>
            <w:shd w:val="clear" w:color="auto" w:fill="auto"/>
            <w:tcMar>
              <w:top w:w="40" w:type="dxa"/>
              <w:left w:w="40" w:type="dxa"/>
              <w:bottom w:w="40" w:type="dxa"/>
            </w:tcMar>
            <w:vAlign w:val="bottom"/>
          </w:tcPr>
          <w:p w14:paraId="5556939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 </w:t>
            </w:r>
          </w:p>
        </w:tc>
        <w:tc>
          <w:tcPr>
            <w:tcW w:w="0" w:type="auto"/>
            <w:shd w:val="clear" w:color="auto" w:fill="auto"/>
            <w:vAlign w:val="bottom"/>
          </w:tcPr>
          <w:p w14:paraId="555693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3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3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3A4"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r>
      <w:tr w:rsidR="00F925DD" w14:paraId="555693B2" w14:textId="77777777">
        <w:tc>
          <w:tcPr>
            <w:tcW w:w="0" w:type="auto"/>
            <w:shd w:val="clear" w:color="auto" w:fill="CCEEFF"/>
            <w:tcMar>
              <w:top w:w="40" w:type="dxa"/>
              <w:left w:w="40" w:type="dxa"/>
              <w:bottom w:w="40" w:type="dxa"/>
              <w:right w:w="40" w:type="dxa"/>
            </w:tcMar>
            <w:vAlign w:val="bottom"/>
          </w:tcPr>
          <w:p w14:paraId="555693A6" w14:textId="77777777" w:rsidR="00F925DD" w:rsidRDefault="00E705D7">
            <w:pPr>
              <w:textAlignment w:val="bottom"/>
              <w:rPr>
                <w:rFonts w:ascii="Times New Roman" w:hAnsi="Times New Roman"/>
                <w:sz w:val="14"/>
                <w:szCs w:val="14"/>
              </w:rPr>
            </w:pPr>
            <w:r>
              <w:rPr>
                <w:rFonts w:ascii="Arial" w:eastAsia="宋体" w:hAnsi="Arial" w:cs="Arial"/>
                <w:sz w:val="14"/>
                <w:szCs w:val="14"/>
              </w:rPr>
              <w:t>Germany</w:t>
            </w:r>
          </w:p>
        </w:tc>
        <w:tc>
          <w:tcPr>
            <w:tcW w:w="0" w:type="auto"/>
            <w:shd w:val="clear" w:color="auto" w:fill="CCEEFF"/>
            <w:tcMar>
              <w:top w:w="40" w:type="dxa"/>
              <w:left w:w="40" w:type="dxa"/>
              <w:bottom w:w="40" w:type="dxa"/>
            </w:tcMar>
            <w:vAlign w:val="bottom"/>
          </w:tcPr>
          <w:p w14:paraId="555693A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3A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20,968</w:t>
            </w:r>
          </w:p>
        </w:tc>
        <w:tc>
          <w:tcPr>
            <w:tcW w:w="0" w:type="auto"/>
            <w:shd w:val="clear" w:color="auto" w:fill="CCEEFF"/>
            <w:vAlign w:val="bottom"/>
          </w:tcPr>
          <w:p w14:paraId="555693A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3A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3A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217</w:t>
            </w:r>
          </w:p>
        </w:tc>
        <w:tc>
          <w:tcPr>
            <w:tcW w:w="0" w:type="auto"/>
            <w:shd w:val="clear" w:color="auto" w:fill="CCEEFF"/>
            <w:vAlign w:val="bottom"/>
          </w:tcPr>
          <w:p w14:paraId="555693A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3A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3B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21,185</w:t>
            </w:r>
          </w:p>
        </w:tc>
        <w:tc>
          <w:tcPr>
            <w:tcW w:w="0" w:type="auto"/>
            <w:shd w:val="clear" w:color="auto" w:fill="CCEEFF"/>
            <w:vAlign w:val="bottom"/>
          </w:tcPr>
          <w:p w14:paraId="555693B1" w14:textId="77777777" w:rsidR="00F925DD" w:rsidRDefault="00F925DD">
            <w:pPr>
              <w:textAlignment w:val="bottom"/>
              <w:rPr>
                <w:rFonts w:ascii="Times New Roman" w:hAnsi="Times New Roman"/>
                <w:sz w:val="20"/>
                <w:szCs w:val="20"/>
              </w:rPr>
            </w:pPr>
          </w:p>
        </w:tc>
      </w:tr>
      <w:tr w:rsidR="00F925DD" w14:paraId="555693BC" w14:textId="77777777">
        <w:tc>
          <w:tcPr>
            <w:tcW w:w="0" w:type="auto"/>
            <w:shd w:val="clear" w:color="auto" w:fill="auto"/>
            <w:tcMar>
              <w:top w:w="40" w:type="dxa"/>
              <w:left w:w="40" w:type="dxa"/>
              <w:bottom w:w="40" w:type="dxa"/>
              <w:right w:w="40" w:type="dxa"/>
            </w:tcMar>
            <w:vAlign w:val="bottom"/>
          </w:tcPr>
          <w:p w14:paraId="555693B3" w14:textId="77777777" w:rsidR="00F925DD" w:rsidRDefault="00E705D7">
            <w:pPr>
              <w:textAlignment w:val="bottom"/>
              <w:rPr>
                <w:rFonts w:ascii="Times New Roman" w:hAnsi="Times New Roman"/>
                <w:sz w:val="14"/>
                <w:szCs w:val="14"/>
              </w:rPr>
            </w:pPr>
            <w:r>
              <w:rPr>
                <w:rFonts w:ascii="Arial" w:eastAsia="宋体" w:hAnsi="Arial" w:cs="Arial"/>
                <w:sz w:val="14"/>
                <w:szCs w:val="14"/>
              </w:rPr>
              <w:t>United Kingdom</w:t>
            </w:r>
          </w:p>
        </w:tc>
        <w:tc>
          <w:tcPr>
            <w:tcW w:w="0" w:type="auto"/>
            <w:gridSpan w:val="2"/>
            <w:shd w:val="clear" w:color="auto" w:fill="auto"/>
            <w:tcMar>
              <w:top w:w="40" w:type="dxa"/>
              <w:left w:w="40" w:type="dxa"/>
              <w:bottom w:w="40" w:type="dxa"/>
            </w:tcMar>
            <w:vAlign w:val="bottom"/>
          </w:tcPr>
          <w:p w14:paraId="555693B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13,764</w:t>
            </w:r>
          </w:p>
        </w:tc>
        <w:tc>
          <w:tcPr>
            <w:tcW w:w="0" w:type="auto"/>
            <w:shd w:val="clear" w:color="auto" w:fill="auto"/>
            <w:vAlign w:val="bottom"/>
          </w:tcPr>
          <w:p w14:paraId="555693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B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1,468</w:t>
            </w:r>
          </w:p>
        </w:tc>
        <w:tc>
          <w:tcPr>
            <w:tcW w:w="0" w:type="auto"/>
            <w:shd w:val="clear" w:color="auto" w:fill="auto"/>
            <w:vAlign w:val="bottom"/>
          </w:tcPr>
          <w:p w14:paraId="555693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B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15,232</w:t>
            </w:r>
          </w:p>
        </w:tc>
        <w:tc>
          <w:tcPr>
            <w:tcW w:w="0" w:type="auto"/>
            <w:shd w:val="clear" w:color="auto" w:fill="auto"/>
            <w:vAlign w:val="bottom"/>
          </w:tcPr>
          <w:p w14:paraId="555693BB" w14:textId="77777777" w:rsidR="00F925DD" w:rsidRDefault="00F925DD">
            <w:pPr>
              <w:textAlignment w:val="bottom"/>
              <w:rPr>
                <w:rFonts w:ascii="Times New Roman" w:hAnsi="Times New Roman"/>
                <w:sz w:val="20"/>
                <w:szCs w:val="20"/>
              </w:rPr>
            </w:pPr>
          </w:p>
        </w:tc>
      </w:tr>
      <w:tr w:rsidR="00F925DD" w14:paraId="555693C6" w14:textId="77777777">
        <w:tc>
          <w:tcPr>
            <w:tcW w:w="0" w:type="auto"/>
            <w:shd w:val="clear" w:color="auto" w:fill="CCEEFF"/>
            <w:tcMar>
              <w:top w:w="40" w:type="dxa"/>
              <w:left w:w="40" w:type="dxa"/>
              <w:bottom w:w="40" w:type="dxa"/>
              <w:right w:w="40" w:type="dxa"/>
            </w:tcMar>
            <w:vAlign w:val="bottom"/>
          </w:tcPr>
          <w:p w14:paraId="555693BD" w14:textId="77777777" w:rsidR="00F925DD" w:rsidRDefault="00E705D7">
            <w:pPr>
              <w:textAlignment w:val="bottom"/>
              <w:rPr>
                <w:rFonts w:ascii="Times New Roman" w:hAnsi="Times New Roman"/>
                <w:sz w:val="14"/>
                <w:szCs w:val="14"/>
              </w:rPr>
            </w:pPr>
            <w:r>
              <w:rPr>
                <w:rFonts w:ascii="Arial" w:eastAsia="宋体" w:hAnsi="Arial" w:cs="Arial"/>
                <w:sz w:val="14"/>
                <w:szCs w:val="14"/>
              </w:rPr>
              <w:t>Japan</w:t>
            </w:r>
          </w:p>
        </w:tc>
        <w:tc>
          <w:tcPr>
            <w:tcW w:w="0" w:type="auto"/>
            <w:gridSpan w:val="2"/>
            <w:shd w:val="clear" w:color="auto" w:fill="CCEEFF"/>
            <w:tcMar>
              <w:top w:w="40" w:type="dxa"/>
              <w:left w:w="40" w:type="dxa"/>
              <w:bottom w:w="40" w:type="dxa"/>
            </w:tcMar>
            <w:vAlign w:val="bottom"/>
          </w:tcPr>
          <w:p w14:paraId="555693B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11,121</w:t>
            </w:r>
          </w:p>
        </w:tc>
        <w:tc>
          <w:tcPr>
            <w:tcW w:w="0" w:type="auto"/>
            <w:shd w:val="clear" w:color="auto" w:fill="CCEEFF"/>
            <w:vAlign w:val="bottom"/>
          </w:tcPr>
          <w:p w14:paraId="555693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3C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555</w:t>
            </w:r>
          </w:p>
        </w:tc>
        <w:tc>
          <w:tcPr>
            <w:tcW w:w="0" w:type="auto"/>
            <w:shd w:val="clear" w:color="auto" w:fill="CCEEFF"/>
            <w:vAlign w:val="bottom"/>
          </w:tcPr>
          <w:p w14:paraId="555693C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3C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11,676</w:t>
            </w:r>
          </w:p>
        </w:tc>
        <w:tc>
          <w:tcPr>
            <w:tcW w:w="0" w:type="auto"/>
            <w:shd w:val="clear" w:color="auto" w:fill="CCEEFF"/>
            <w:vAlign w:val="bottom"/>
          </w:tcPr>
          <w:p w14:paraId="555693C5" w14:textId="77777777" w:rsidR="00F925DD" w:rsidRDefault="00F925DD">
            <w:pPr>
              <w:textAlignment w:val="bottom"/>
              <w:rPr>
                <w:rFonts w:ascii="Times New Roman" w:hAnsi="Times New Roman"/>
                <w:sz w:val="20"/>
                <w:szCs w:val="20"/>
              </w:rPr>
            </w:pPr>
          </w:p>
        </w:tc>
      </w:tr>
      <w:tr w:rsidR="00F925DD" w14:paraId="555693D0" w14:textId="77777777">
        <w:tc>
          <w:tcPr>
            <w:tcW w:w="0" w:type="auto"/>
            <w:shd w:val="clear" w:color="auto" w:fill="auto"/>
            <w:tcMar>
              <w:top w:w="40" w:type="dxa"/>
              <w:left w:w="40" w:type="dxa"/>
              <w:bottom w:w="40" w:type="dxa"/>
              <w:right w:w="40" w:type="dxa"/>
            </w:tcMar>
            <w:vAlign w:val="bottom"/>
          </w:tcPr>
          <w:p w14:paraId="555693C7" w14:textId="77777777" w:rsidR="00F925DD" w:rsidRDefault="00E705D7">
            <w:pPr>
              <w:textAlignment w:val="bottom"/>
              <w:rPr>
                <w:rFonts w:ascii="Times New Roman" w:hAnsi="Times New Roman"/>
                <w:sz w:val="14"/>
                <w:szCs w:val="14"/>
              </w:rPr>
            </w:pPr>
            <w:r>
              <w:rPr>
                <w:rFonts w:ascii="Arial" w:eastAsia="宋体" w:hAnsi="Arial" w:cs="Arial"/>
                <w:sz w:val="14"/>
                <w:szCs w:val="14"/>
              </w:rPr>
              <w:t>Luxembourg</w:t>
            </w:r>
          </w:p>
        </w:tc>
        <w:tc>
          <w:tcPr>
            <w:tcW w:w="0" w:type="auto"/>
            <w:gridSpan w:val="2"/>
            <w:shd w:val="clear" w:color="auto" w:fill="auto"/>
            <w:tcMar>
              <w:top w:w="40" w:type="dxa"/>
              <w:left w:w="40" w:type="dxa"/>
              <w:bottom w:w="40" w:type="dxa"/>
            </w:tcMar>
            <w:vAlign w:val="bottom"/>
          </w:tcPr>
          <w:p w14:paraId="555693C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3,399</w:t>
            </w:r>
          </w:p>
        </w:tc>
        <w:tc>
          <w:tcPr>
            <w:tcW w:w="0" w:type="auto"/>
            <w:shd w:val="clear" w:color="auto" w:fill="auto"/>
            <w:vAlign w:val="bottom"/>
          </w:tcPr>
          <w:p w14:paraId="555693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C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668</w:t>
            </w:r>
          </w:p>
        </w:tc>
        <w:tc>
          <w:tcPr>
            <w:tcW w:w="0" w:type="auto"/>
            <w:shd w:val="clear" w:color="auto" w:fill="auto"/>
            <w:vAlign w:val="bottom"/>
          </w:tcPr>
          <w:p w14:paraId="555693C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C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4,067</w:t>
            </w:r>
          </w:p>
        </w:tc>
        <w:tc>
          <w:tcPr>
            <w:tcW w:w="0" w:type="auto"/>
            <w:shd w:val="clear" w:color="auto" w:fill="auto"/>
            <w:vAlign w:val="bottom"/>
          </w:tcPr>
          <w:p w14:paraId="555693CF" w14:textId="77777777" w:rsidR="00F925DD" w:rsidRDefault="00F925DD">
            <w:pPr>
              <w:textAlignment w:val="bottom"/>
              <w:rPr>
                <w:rFonts w:ascii="Times New Roman" w:hAnsi="Times New Roman"/>
                <w:sz w:val="20"/>
                <w:szCs w:val="20"/>
              </w:rPr>
            </w:pPr>
          </w:p>
        </w:tc>
      </w:tr>
      <w:tr w:rsidR="00F925DD" w14:paraId="555693DA" w14:textId="77777777">
        <w:tc>
          <w:tcPr>
            <w:tcW w:w="0" w:type="auto"/>
            <w:shd w:val="clear" w:color="auto" w:fill="CCEEFF"/>
            <w:tcMar>
              <w:top w:w="40" w:type="dxa"/>
              <w:left w:w="40" w:type="dxa"/>
              <w:bottom w:w="40" w:type="dxa"/>
              <w:right w:w="40" w:type="dxa"/>
            </w:tcMar>
            <w:vAlign w:val="bottom"/>
          </w:tcPr>
          <w:p w14:paraId="555693D1" w14:textId="77777777" w:rsidR="00F925DD" w:rsidRDefault="00E705D7">
            <w:pPr>
              <w:textAlignment w:val="bottom"/>
              <w:rPr>
                <w:rFonts w:ascii="Times New Roman" w:hAnsi="Times New Roman"/>
                <w:sz w:val="14"/>
                <w:szCs w:val="14"/>
              </w:rPr>
            </w:pPr>
            <w:r>
              <w:rPr>
                <w:rFonts w:ascii="Arial" w:eastAsia="宋体" w:hAnsi="Arial" w:cs="Arial"/>
                <w:sz w:val="14"/>
                <w:szCs w:val="14"/>
              </w:rPr>
              <w:t>Canada</w:t>
            </w:r>
          </w:p>
        </w:tc>
        <w:tc>
          <w:tcPr>
            <w:tcW w:w="0" w:type="auto"/>
            <w:gridSpan w:val="2"/>
            <w:shd w:val="clear" w:color="auto" w:fill="CCEEFF"/>
            <w:tcMar>
              <w:top w:w="40" w:type="dxa"/>
              <w:left w:w="40" w:type="dxa"/>
              <w:bottom w:w="40" w:type="dxa"/>
            </w:tcMar>
            <w:vAlign w:val="bottom"/>
          </w:tcPr>
          <w:p w14:paraId="555693D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2,955</w:t>
            </w:r>
          </w:p>
        </w:tc>
        <w:tc>
          <w:tcPr>
            <w:tcW w:w="0" w:type="auto"/>
            <w:shd w:val="clear" w:color="auto" w:fill="CCEEFF"/>
            <w:vAlign w:val="bottom"/>
          </w:tcPr>
          <w:p w14:paraId="555693D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3D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783</w:t>
            </w:r>
          </w:p>
        </w:tc>
        <w:tc>
          <w:tcPr>
            <w:tcW w:w="0" w:type="auto"/>
            <w:shd w:val="clear" w:color="auto" w:fill="CCEEFF"/>
            <w:vAlign w:val="bottom"/>
          </w:tcPr>
          <w:p w14:paraId="555693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3D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3,738</w:t>
            </w:r>
          </w:p>
        </w:tc>
        <w:tc>
          <w:tcPr>
            <w:tcW w:w="0" w:type="auto"/>
            <w:shd w:val="clear" w:color="auto" w:fill="CCEEFF"/>
            <w:vAlign w:val="bottom"/>
          </w:tcPr>
          <w:p w14:paraId="555693D9" w14:textId="77777777" w:rsidR="00F925DD" w:rsidRDefault="00F925DD">
            <w:pPr>
              <w:textAlignment w:val="bottom"/>
              <w:rPr>
                <w:rFonts w:ascii="Times New Roman" w:hAnsi="Times New Roman"/>
                <w:sz w:val="20"/>
                <w:szCs w:val="20"/>
              </w:rPr>
            </w:pPr>
          </w:p>
        </w:tc>
      </w:tr>
      <w:tr w:rsidR="00F925DD" w14:paraId="555693E4" w14:textId="77777777">
        <w:tc>
          <w:tcPr>
            <w:tcW w:w="0" w:type="auto"/>
            <w:shd w:val="clear" w:color="auto" w:fill="auto"/>
            <w:tcMar>
              <w:top w:w="40" w:type="dxa"/>
              <w:left w:w="40" w:type="dxa"/>
              <w:bottom w:w="40" w:type="dxa"/>
              <w:right w:w="40" w:type="dxa"/>
            </w:tcMar>
            <w:vAlign w:val="bottom"/>
          </w:tcPr>
          <w:p w14:paraId="555693DB" w14:textId="77777777" w:rsidR="00F925DD" w:rsidRDefault="00E705D7">
            <w:pPr>
              <w:textAlignment w:val="bottom"/>
              <w:rPr>
                <w:rFonts w:ascii="Times New Roman" w:hAnsi="Times New Roman"/>
                <w:sz w:val="14"/>
                <w:szCs w:val="14"/>
              </w:rPr>
            </w:pPr>
            <w:r>
              <w:rPr>
                <w:rFonts w:ascii="Arial" w:eastAsia="宋体" w:hAnsi="Arial" w:cs="Arial"/>
                <w:sz w:val="14"/>
                <w:szCs w:val="14"/>
              </w:rPr>
              <w:t>Australia</w:t>
            </w:r>
          </w:p>
        </w:tc>
        <w:tc>
          <w:tcPr>
            <w:tcW w:w="0" w:type="auto"/>
            <w:gridSpan w:val="2"/>
            <w:shd w:val="clear" w:color="auto" w:fill="auto"/>
            <w:tcMar>
              <w:top w:w="40" w:type="dxa"/>
              <w:left w:w="40" w:type="dxa"/>
              <w:bottom w:w="40" w:type="dxa"/>
            </w:tcMar>
            <w:vAlign w:val="bottom"/>
          </w:tcPr>
          <w:p w14:paraId="555693D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3,100</w:t>
            </w:r>
          </w:p>
        </w:tc>
        <w:tc>
          <w:tcPr>
            <w:tcW w:w="0" w:type="auto"/>
            <w:shd w:val="clear" w:color="auto" w:fill="auto"/>
            <w:vAlign w:val="bottom"/>
          </w:tcPr>
          <w:p w14:paraId="555693D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D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597</w:t>
            </w:r>
          </w:p>
        </w:tc>
        <w:tc>
          <w:tcPr>
            <w:tcW w:w="0" w:type="auto"/>
            <w:shd w:val="clear" w:color="auto" w:fill="auto"/>
            <w:vAlign w:val="bottom"/>
          </w:tcPr>
          <w:p w14:paraId="555693E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E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3,697</w:t>
            </w:r>
          </w:p>
        </w:tc>
        <w:tc>
          <w:tcPr>
            <w:tcW w:w="0" w:type="auto"/>
            <w:shd w:val="clear" w:color="auto" w:fill="auto"/>
            <w:vAlign w:val="bottom"/>
          </w:tcPr>
          <w:p w14:paraId="555693E3" w14:textId="77777777" w:rsidR="00F925DD" w:rsidRDefault="00F925DD">
            <w:pPr>
              <w:textAlignment w:val="bottom"/>
              <w:rPr>
                <w:rFonts w:ascii="Times New Roman" w:hAnsi="Times New Roman"/>
                <w:sz w:val="20"/>
                <w:szCs w:val="20"/>
              </w:rPr>
            </w:pPr>
          </w:p>
        </w:tc>
      </w:tr>
      <w:tr w:rsidR="00F925DD" w14:paraId="555693EE" w14:textId="77777777">
        <w:tc>
          <w:tcPr>
            <w:tcW w:w="0" w:type="auto"/>
            <w:shd w:val="clear" w:color="auto" w:fill="CCEEFF"/>
            <w:tcMar>
              <w:top w:w="40" w:type="dxa"/>
              <w:left w:w="40" w:type="dxa"/>
              <w:bottom w:w="40" w:type="dxa"/>
              <w:right w:w="40" w:type="dxa"/>
            </w:tcMar>
            <w:vAlign w:val="bottom"/>
          </w:tcPr>
          <w:p w14:paraId="555693E5" w14:textId="77777777" w:rsidR="00F925DD" w:rsidRDefault="00E705D7">
            <w:pPr>
              <w:textAlignment w:val="bottom"/>
              <w:rPr>
                <w:rFonts w:ascii="Times New Roman" w:hAnsi="Times New Roman"/>
                <w:sz w:val="14"/>
                <w:szCs w:val="14"/>
              </w:rPr>
            </w:pPr>
            <w:r>
              <w:rPr>
                <w:rFonts w:ascii="Arial" w:eastAsia="宋体" w:hAnsi="Arial" w:cs="Arial"/>
                <w:sz w:val="14"/>
                <w:szCs w:val="14"/>
              </w:rPr>
              <w:t>France</w:t>
            </w:r>
          </w:p>
        </w:tc>
        <w:tc>
          <w:tcPr>
            <w:tcW w:w="0" w:type="auto"/>
            <w:gridSpan w:val="2"/>
            <w:shd w:val="clear" w:color="auto" w:fill="CCEEFF"/>
            <w:tcMar>
              <w:top w:w="40" w:type="dxa"/>
              <w:left w:w="40" w:type="dxa"/>
              <w:bottom w:w="40" w:type="dxa"/>
            </w:tcMar>
            <w:vAlign w:val="bottom"/>
          </w:tcPr>
          <w:p w14:paraId="555693E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2,813</w:t>
            </w:r>
          </w:p>
        </w:tc>
        <w:tc>
          <w:tcPr>
            <w:tcW w:w="0" w:type="auto"/>
            <w:shd w:val="clear" w:color="auto" w:fill="CCEEFF"/>
            <w:vAlign w:val="bottom"/>
          </w:tcPr>
          <w:p w14:paraId="555693E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3E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240</w:t>
            </w:r>
          </w:p>
        </w:tc>
        <w:tc>
          <w:tcPr>
            <w:tcW w:w="0" w:type="auto"/>
            <w:shd w:val="clear" w:color="auto" w:fill="CCEEFF"/>
            <w:vAlign w:val="bottom"/>
          </w:tcPr>
          <w:p w14:paraId="555693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3E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3,053</w:t>
            </w:r>
          </w:p>
        </w:tc>
        <w:tc>
          <w:tcPr>
            <w:tcW w:w="0" w:type="auto"/>
            <w:shd w:val="clear" w:color="auto" w:fill="CCEEFF"/>
            <w:vAlign w:val="bottom"/>
          </w:tcPr>
          <w:p w14:paraId="555693ED" w14:textId="77777777" w:rsidR="00F925DD" w:rsidRDefault="00F925DD">
            <w:pPr>
              <w:textAlignment w:val="bottom"/>
              <w:rPr>
                <w:rFonts w:ascii="Times New Roman" w:hAnsi="Times New Roman"/>
                <w:sz w:val="20"/>
                <w:szCs w:val="20"/>
              </w:rPr>
            </w:pPr>
          </w:p>
        </w:tc>
      </w:tr>
      <w:tr w:rsidR="00F925DD" w14:paraId="555693F8" w14:textId="77777777">
        <w:tc>
          <w:tcPr>
            <w:tcW w:w="0" w:type="auto"/>
            <w:shd w:val="clear" w:color="auto" w:fill="auto"/>
            <w:tcMar>
              <w:top w:w="40" w:type="dxa"/>
              <w:left w:w="40" w:type="dxa"/>
              <w:bottom w:w="40" w:type="dxa"/>
              <w:right w:w="40" w:type="dxa"/>
            </w:tcMar>
            <w:vAlign w:val="bottom"/>
          </w:tcPr>
          <w:p w14:paraId="555693EF" w14:textId="77777777" w:rsidR="00F925DD" w:rsidRDefault="00E705D7">
            <w:pPr>
              <w:textAlignment w:val="bottom"/>
              <w:rPr>
                <w:rFonts w:ascii="Times New Roman" w:hAnsi="Times New Roman"/>
                <w:sz w:val="14"/>
                <w:szCs w:val="14"/>
              </w:rPr>
            </w:pPr>
            <w:r>
              <w:rPr>
                <w:rFonts w:ascii="Arial" w:eastAsia="宋体" w:hAnsi="Arial" w:cs="Arial"/>
                <w:sz w:val="14"/>
                <w:szCs w:val="14"/>
              </w:rPr>
              <w:t>Ireland</w:t>
            </w:r>
          </w:p>
        </w:tc>
        <w:tc>
          <w:tcPr>
            <w:tcW w:w="0" w:type="auto"/>
            <w:gridSpan w:val="2"/>
            <w:shd w:val="clear" w:color="auto" w:fill="auto"/>
            <w:tcMar>
              <w:top w:w="40" w:type="dxa"/>
              <w:left w:w="40" w:type="dxa"/>
              <w:bottom w:w="40" w:type="dxa"/>
            </w:tcMar>
            <w:vAlign w:val="bottom"/>
          </w:tcPr>
          <w:p w14:paraId="555693F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1,988</w:t>
            </w:r>
          </w:p>
        </w:tc>
        <w:tc>
          <w:tcPr>
            <w:tcW w:w="0" w:type="auto"/>
            <w:shd w:val="clear" w:color="auto" w:fill="auto"/>
            <w:vAlign w:val="bottom"/>
          </w:tcPr>
          <w:p w14:paraId="555693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F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641</w:t>
            </w:r>
          </w:p>
        </w:tc>
        <w:tc>
          <w:tcPr>
            <w:tcW w:w="0" w:type="auto"/>
            <w:shd w:val="clear" w:color="auto" w:fill="auto"/>
            <w:vAlign w:val="bottom"/>
          </w:tcPr>
          <w:p w14:paraId="555693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3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3F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2,629</w:t>
            </w:r>
          </w:p>
        </w:tc>
        <w:tc>
          <w:tcPr>
            <w:tcW w:w="0" w:type="auto"/>
            <w:shd w:val="clear" w:color="auto" w:fill="auto"/>
            <w:vAlign w:val="bottom"/>
          </w:tcPr>
          <w:p w14:paraId="555693F7" w14:textId="77777777" w:rsidR="00F925DD" w:rsidRDefault="00F925DD">
            <w:pPr>
              <w:textAlignment w:val="bottom"/>
              <w:rPr>
                <w:rFonts w:ascii="Times New Roman" w:hAnsi="Times New Roman"/>
                <w:sz w:val="20"/>
                <w:szCs w:val="20"/>
              </w:rPr>
            </w:pPr>
          </w:p>
        </w:tc>
      </w:tr>
      <w:tr w:rsidR="00F925DD" w14:paraId="55569402" w14:textId="77777777">
        <w:tc>
          <w:tcPr>
            <w:tcW w:w="0" w:type="auto"/>
            <w:shd w:val="clear" w:color="auto" w:fill="CCEEFF"/>
            <w:tcMar>
              <w:top w:w="40" w:type="dxa"/>
              <w:left w:w="40" w:type="dxa"/>
              <w:bottom w:w="40" w:type="dxa"/>
              <w:right w:w="40" w:type="dxa"/>
            </w:tcMar>
            <w:vAlign w:val="bottom"/>
          </w:tcPr>
          <w:p w14:paraId="555693F9" w14:textId="77777777" w:rsidR="00F925DD" w:rsidRDefault="00E705D7">
            <w:pPr>
              <w:textAlignment w:val="bottom"/>
              <w:rPr>
                <w:rFonts w:ascii="Times New Roman" w:hAnsi="Times New Roman"/>
                <w:sz w:val="14"/>
                <w:szCs w:val="14"/>
              </w:rPr>
            </w:pPr>
            <w:r>
              <w:rPr>
                <w:rFonts w:ascii="Arial" w:eastAsia="宋体" w:hAnsi="Arial" w:cs="Arial"/>
                <w:sz w:val="14"/>
                <w:szCs w:val="14"/>
              </w:rPr>
              <w:t>Switzerland</w:t>
            </w:r>
          </w:p>
        </w:tc>
        <w:tc>
          <w:tcPr>
            <w:tcW w:w="0" w:type="auto"/>
            <w:gridSpan w:val="2"/>
            <w:shd w:val="clear" w:color="auto" w:fill="CCEEFF"/>
            <w:tcMar>
              <w:top w:w="40" w:type="dxa"/>
              <w:left w:w="40" w:type="dxa"/>
              <w:bottom w:w="40" w:type="dxa"/>
            </w:tcMar>
            <w:vAlign w:val="bottom"/>
          </w:tcPr>
          <w:p w14:paraId="555693F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1,724</w:t>
            </w:r>
          </w:p>
        </w:tc>
        <w:tc>
          <w:tcPr>
            <w:tcW w:w="0" w:type="auto"/>
            <w:shd w:val="clear" w:color="auto" w:fill="CCEEFF"/>
            <w:vAlign w:val="bottom"/>
          </w:tcPr>
          <w:p w14:paraId="555693F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3F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589</w:t>
            </w:r>
          </w:p>
        </w:tc>
        <w:tc>
          <w:tcPr>
            <w:tcW w:w="0" w:type="auto"/>
            <w:shd w:val="clear" w:color="auto" w:fill="CCEEFF"/>
            <w:vAlign w:val="bottom"/>
          </w:tcPr>
          <w:p w14:paraId="555693F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3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0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2,313</w:t>
            </w:r>
          </w:p>
        </w:tc>
        <w:tc>
          <w:tcPr>
            <w:tcW w:w="0" w:type="auto"/>
            <w:shd w:val="clear" w:color="auto" w:fill="CCEEFF"/>
            <w:vAlign w:val="bottom"/>
          </w:tcPr>
          <w:p w14:paraId="55569401" w14:textId="77777777" w:rsidR="00F925DD" w:rsidRDefault="00F925DD">
            <w:pPr>
              <w:textAlignment w:val="bottom"/>
              <w:rPr>
                <w:rFonts w:ascii="Times New Roman" w:hAnsi="Times New Roman"/>
                <w:sz w:val="20"/>
                <w:szCs w:val="20"/>
              </w:rPr>
            </w:pPr>
          </w:p>
        </w:tc>
      </w:tr>
      <w:tr w:rsidR="00F925DD" w14:paraId="5556940A" w14:textId="77777777">
        <w:tc>
          <w:tcPr>
            <w:tcW w:w="0" w:type="auto"/>
            <w:shd w:val="clear" w:color="auto" w:fill="auto"/>
            <w:tcMar>
              <w:top w:w="40" w:type="dxa"/>
              <w:left w:w="40" w:type="dxa"/>
              <w:bottom w:w="40" w:type="dxa"/>
              <w:right w:w="40" w:type="dxa"/>
            </w:tcMar>
            <w:vAlign w:val="bottom"/>
          </w:tcPr>
          <w:p w14:paraId="5556940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December 31, 2018</w:t>
            </w:r>
          </w:p>
        </w:tc>
        <w:tc>
          <w:tcPr>
            <w:tcW w:w="0" w:type="auto"/>
            <w:gridSpan w:val="3"/>
            <w:shd w:val="clear" w:color="auto" w:fill="auto"/>
            <w:tcMar>
              <w:top w:w="40" w:type="dxa"/>
              <w:left w:w="40" w:type="dxa"/>
              <w:bottom w:w="40" w:type="dxa"/>
              <w:right w:w="40" w:type="dxa"/>
            </w:tcMar>
            <w:vAlign w:val="bottom"/>
          </w:tcPr>
          <w:p w14:paraId="555694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4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4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4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0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vAlign w:val="bottom"/>
          </w:tcPr>
          <w:p w14:paraId="55569409" w14:textId="77777777" w:rsidR="00F925DD" w:rsidRDefault="00F925DD">
            <w:pPr>
              <w:textAlignment w:val="bottom"/>
              <w:rPr>
                <w:rFonts w:ascii="Times New Roman" w:hAnsi="Times New Roman"/>
                <w:sz w:val="20"/>
                <w:szCs w:val="20"/>
              </w:rPr>
            </w:pPr>
          </w:p>
        </w:tc>
      </w:tr>
      <w:tr w:rsidR="00F925DD" w14:paraId="55569417" w14:textId="77777777">
        <w:tc>
          <w:tcPr>
            <w:tcW w:w="0" w:type="auto"/>
            <w:shd w:val="clear" w:color="auto" w:fill="CCEEFF"/>
            <w:tcMar>
              <w:top w:w="40" w:type="dxa"/>
              <w:left w:w="40" w:type="dxa"/>
              <w:bottom w:w="40" w:type="dxa"/>
              <w:right w:w="40" w:type="dxa"/>
            </w:tcMar>
            <w:vAlign w:val="bottom"/>
          </w:tcPr>
          <w:p w14:paraId="5556940B" w14:textId="77777777" w:rsidR="00F925DD" w:rsidRDefault="00E705D7">
            <w:pPr>
              <w:textAlignment w:val="bottom"/>
              <w:rPr>
                <w:rFonts w:ascii="Times New Roman" w:hAnsi="Times New Roman"/>
                <w:sz w:val="14"/>
                <w:szCs w:val="14"/>
              </w:rPr>
            </w:pPr>
            <w:r>
              <w:rPr>
                <w:rFonts w:ascii="Arial" w:eastAsia="宋体" w:hAnsi="Arial" w:cs="Arial"/>
                <w:sz w:val="14"/>
                <w:szCs w:val="14"/>
              </w:rPr>
              <w:t>Germany</w:t>
            </w:r>
          </w:p>
        </w:tc>
        <w:tc>
          <w:tcPr>
            <w:tcW w:w="0" w:type="auto"/>
            <w:shd w:val="clear" w:color="auto" w:fill="CCEEFF"/>
            <w:tcMar>
              <w:top w:w="40" w:type="dxa"/>
              <w:left w:w="40" w:type="dxa"/>
              <w:bottom w:w="40" w:type="dxa"/>
            </w:tcMar>
            <w:vAlign w:val="bottom"/>
          </w:tcPr>
          <w:p w14:paraId="5556940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40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20,157</w:t>
            </w:r>
          </w:p>
        </w:tc>
        <w:tc>
          <w:tcPr>
            <w:tcW w:w="0" w:type="auto"/>
            <w:shd w:val="clear" w:color="auto" w:fill="CCEEFF"/>
            <w:vAlign w:val="bottom"/>
          </w:tcPr>
          <w:p w14:paraId="5556940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41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41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489</w:t>
            </w:r>
          </w:p>
        </w:tc>
        <w:tc>
          <w:tcPr>
            <w:tcW w:w="0" w:type="auto"/>
            <w:shd w:val="clear" w:color="auto" w:fill="CCEEFF"/>
            <w:vAlign w:val="bottom"/>
          </w:tcPr>
          <w:p w14:paraId="555694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41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41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20,646</w:t>
            </w:r>
          </w:p>
        </w:tc>
        <w:tc>
          <w:tcPr>
            <w:tcW w:w="0" w:type="auto"/>
            <w:shd w:val="clear" w:color="auto" w:fill="CCEEFF"/>
            <w:vAlign w:val="bottom"/>
          </w:tcPr>
          <w:p w14:paraId="55569416" w14:textId="77777777" w:rsidR="00F925DD" w:rsidRDefault="00F925DD">
            <w:pPr>
              <w:textAlignment w:val="bottom"/>
              <w:rPr>
                <w:rFonts w:ascii="Times New Roman" w:hAnsi="Times New Roman"/>
                <w:sz w:val="20"/>
                <w:szCs w:val="20"/>
              </w:rPr>
            </w:pPr>
          </w:p>
        </w:tc>
      </w:tr>
      <w:tr w:rsidR="00F925DD" w14:paraId="55569421" w14:textId="77777777">
        <w:tc>
          <w:tcPr>
            <w:tcW w:w="0" w:type="auto"/>
            <w:shd w:val="clear" w:color="auto" w:fill="auto"/>
            <w:tcMar>
              <w:top w:w="40" w:type="dxa"/>
              <w:left w:w="40" w:type="dxa"/>
              <w:bottom w:w="40" w:type="dxa"/>
              <w:right w:w="40" w:type="dxa"/>
            </w:tcMar>
            <w:vAlign w:val="bottom"/>
          </w:tcPr>
          <w:p w14:paraId="55569418" w14:textId="77777777" w:rsidR="00F925DD" w:rsidRDefault="00E705D7">
            <w:pPr>
              <w:textAlignment w:val="bottom"/>
              <w:rPr>
                <w:rFonts w:ascii="Times New Roman" w:hAnsi="Times New Roman"/>
                <w:sz w:val="14"/>
                <w:szCs w:val="14"/>
              </w:rPr>
            </w:pPr>
            <w:r>
              <w:rPr>
                <w:rFonts w:ascii="Arial" w:eastAsia="宋体" w:hAnsi="Arial" w:cs="Arial"/>
                <w:sz w:val="14"/>
                <w:szCs w:val="14"/>
              </w:rPr>
              <w:t>Japan</w:t>
            </w:r>
          </w:p>
        </w:tc>
        <w:tc>
          <w:tcPr>
            <w:tcW w:w="0" w:type="auto"/>
            <w:gridSpan w:val="2"/>
            <w:shd w:val="clear" w:color="auto" w:fill="auto"/>
            <w:tcMar>
              <w:top w:w="40" w:type="dxa"/>
              <w:left w:w="40" w:type="dxa"/>
              <w:bottom w:w="40" w:type="dxa"/>
            </w:tcMar>
            <w:vAlign w:val="bottom"/>
          </w:tcPr>
          <w:p w14:paraId="5556941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13,985</w:t>
            </w:r>
          </w:p>
        </w:tc>
        <w:tc>
          <w:tcPr>
            <w:tcW w:w="0" w:type="auto"/>
            <w:shd w:val="clear" w:color="auto" w:fill="auto"/>
            <w:vAlign w:val="bottom"/>
          </w:tcPr>
          <w:p w14:paraId="5556941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1,084</w:t>
            </w:r>
          </w:p>
        </w:tc>
        <w:tc>
          <w:tcPr>
            <w:tcW w:w="0" w:type="auto"/>
            <w:shd w:val="clear" w:color="auto" w:fill="auto"/>
            <w:vAlign w:val="bottom"/>
          </w:tcPr>
          <w:p w14:paraId="5556941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1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15,069</w:t>
            </w:r>
          </w:p>
        </w:tc>
        <w:tc>
          <w:tcPr>
            <w:tcW w:w="0" w:type="auto"/>
            <w:shd w:val="clear" w:color="auto" w:fill="auto"/>
            <w:vAlign w:val="bottom"/>
          </w:tcPr>
          <w:p w14:paraId="55569420" w14:textId="77777777" w:rsidR="00F925DD" w:rsidRDefault="00F925DD">
            <w:pPr>
              <w:textAlignment w:val="bottom"/>
              <w:rPr>
                <w:rFonts w:ascii="Times New Roman" w:hAnsi="Times New Roman"/>
                <w:sz w:val="20"/>
                <w:szCs w:val="20"/>
              </w:rPr>
            </w:pPr>
          </w:p>
        </w:tc>
      </w:tr>
      <w:tr w:rsidR="00F925DD" w14:paraId="5556942B" w14:textId="77777777">
        <w:tc>
          <w:tcPr>
            <w:tcW w:w="0" w:type="auto"/>
            <w:shd w:val="clear" w:color="auto" w:fill="CCEEFF"/>
            <w:tcMar>
              <w:top w:w="40" w:type="dxa"/>
              <w:left w:w="40" w:type="dxa"/>
              <w:bottom w:w="40" w:type="dxa"/>
              <w:right w:w="40" w:type="dxa"/>
            </w:tcMar>
            <w:vAlign w:val="bottom"/>
          </w:tcPr>
          <w:p w14:paraId="55569422" w14:textId="77777777" w:rsidR="00F925DD" w:rsidRDefault="00E705D7">
            <w:pPr>
              <w:textAlignment w:val="bottom"/>
              <w:rPr>
                <w:rFonts w:ascii="Times New Roman" w:hAnsi="Times New Roman"/>
                <w:sz w:val="14"/>
                <w:szCs w:val="14"/>
              </w:rPr>
            </w:pPr>
            <w:r>
              <w:rPr>
                <w:rFonts w:ascii="Arial" w:eastAsia="宋体" w:hAnsi="Arial" w:cs="Arial"/>
                <w:sz w:val="14"/>
                <w:szCs w:val="14"/>
              </w:rPr>
              <w:t>United Kingdom</w:t>
            </w:r>
          </w:p>
        </w:tc>
        <w:tc>
          <w:tcPr>
            <w:tcW w:w="0" w:type="auto"/>
            <w:gridSpan w:val="2"/>
            <w:shd w:val="clear" w:color="auto" w:fill="CCEEFF"/>
            <w:tcMar>
              <w:top w:w="40" w:type="dxa"/>
              <w:left w:w="40" w:type="dxa"/>
              <w:bottom w:w="40" w:type="dxa"/>
            </w:tcMar>
            <w:vAlign w:val="bottom"/>
          </w:tcPr>
          <w:p w14:paraId="5556942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12,623</w:t>
            </w:r>
          </w:p>
        </w:tc>
        <w:tc>
          <w:tcPr>
            <w:tcW w:w="0" w:type="auto"/>
            <w:shd w:val="clear" w:color="auto" w:fill="CCEEFF"/>
            <w:vAlign w:val="bottom"/>
          </w:tcPr>
          <w:p w14:paraId="5556942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2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1,176</w:t>
            </w:r>
          </w:p>
        </w:tc>
        <w:tc>
          <w:tcPr>
            <w:tcW w:w="0" w:type="auto"/>
            <w:shd w:val="clear" w:color="auto" w:fill="CCEEFF"/>
            <w:vAlign w:val="bottom"/>
          </w:tcPr>
          <w:p w14:paraId="5556942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2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13,799</w:t>
            </w:r>
          </w:p>
        </w:tc>
        <w:tc>
          <w:tcPr>
            <w:tcW w:w="0" w:type="auto"/>
            <w:shd w:val="clear" w:color="auto" w:fill="CCEEFF"/>
            <w:vAlign w:val="bottom"/>
          </w:tcPr>
          <w:p w14:paraId="5556942A" w14:textId="77777777" w:rsidR="00F925DD" w:rsidRDefault="00F925DD">
            <w:pPr>
              <w:textAlignment w:val="bottom"/>
              <w:rPr>
                <w:rFonts w:ascii="Times New Roman" w:hAnsi="Times New Roman"/>
                <w:sz w:val="20"/>
                <w:szCs w:val="20"/>
              </w:rPr>
            </w:pPr>
          </w:p>
        </w:tc>
      </w:tr>
      <w:tr w:rsidR="00F925DD" w14:paraId="55569435" w14:textId="77777777">
        <w:tc>
          <w:tcPr>
            <w:tcW w:w="0" w:type="auto"/>
            <w:shd w:val="clear" w:color="auto" w:fill="auto"/>
            <w:tcMar>
              <w:top w:w="40" w:type="dxa"/>
              <w:left w:w="40" w:type="dxa"/>
              <w:bottom w:w="40" w:type="dxa"/>
              <w:right w:w="40" w:type="dxa"/>
            </w:tcMar>
            <w:vAlign w:val="bottom"/>
          </w:tcPr>
          <w:p w14:paraId="5556942C" w14:textId="77777777" w:rsidR="00F925DD" w:rsidRDefault="00E705D7">
            <w:pPr>
              <w:textAlignment w:val="bottom"/>
              <w:rPr>
                <w:rFonts w:ascii="Times New Roman" w:hAnsi="Times New Roman"/>
                <w:sz w:val="14"/>
                <w:szCs w:val="14"/>
              </w:rPr>
            </w:pPr>
            <w:r>
              <w:rPr>
                <w:rFonts w:ascii="Arial" w:eastAsia="宋体" w:hAnsi="Arial" w:cs="Arial"/>
                <w:sz w:val="14"/>
                <w:szCs w:val="14"/>
              </w:rPr>
              <w:t>Australia</w:t>
            </w:r>
          </w:p>
        </w:tc>
        <w:tc>
          <w:tcPr>
            <w:tcW w:w="0" w:type="auto"/>
            <w:gridSpan w:val="2"/>
            <w:shd w:val="clear" w:color="auto" w:fill="auto"/>
            <w:tcMar>
              <w:top w:w="40" w:type="dxa"/>
              <w:left w:w="40" w:type="dxa"/>
              <w:bottom w:w="40" w:type="dxa"/>
            </w:tcMar>
            <w:vAlign w:val="bottom"/>
          </w:tcPr>
          <w:p w14:paraId="5556942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4,217</w:t>
            </w:r>
          </w:p>
        </w:tc>
        <w:tc>
          <w:tcPr>
            <w:tcW w:w="0" w:type="auto"/>
            <w:shd w:val="clear" w:color="auto" w:fill="auto"/>
            <w:vAlign w:val="bottom"/>
          </w:tcPr>
          <w:p w14:paraId="555694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3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1,349</w:t>
            </w:r>
          </w:p>
        </w:tc>
        <w:tc>
          <w:tcPr>
            <w:tcW w:w="0" w:type="auto"/>
            <w:shd w:val="clear" w:color="auto" w:fill="auto"/>
            <w:vAlign w:val="bottom"/>
          </w:tcPr>
          <w:p w14:paraId="555694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3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5,566</w:t>
            </w:r>
          </w:p>
        </w:tc>
        <w:tc>
          <w:tcPr>
            <w:tcW w:w="0" w:type="auto"/>
            <w:shd w:val="clear" w:color="auto" w:fill="auto"/>
            <w:vAlign w:val="bottom"/>
          </w:tcPr>
          <w:p w14:paraId="55569434" w14:textId="77777777" w:rsidR="00F925DD" w:rsidRDefault="00F925DD">
            <w:pPr>
              <w:textAlignment w:val="bottom"/>
              <w:rPr>
                <w:rFonts w:ascii="Times New Roman" w:hAnsi="Times New Roman"/>
                <w:sz w:val="20"/>
                <w:szCs w:val="20"/>
              </w:rPr>
            </w:pPr>
          </w:p>
        </w:tc>
      </w:tr>
      <w:tr w:rsidR="00F925DD" w14:paraId="5556943F" w14:textId="77777777">
        <w:tc>
          <w:tcPr>
            <w:tcW w:w="0" w:type="auto"/>
            <w:shd w:val="clear" w:color="auto" w:fill="CCEEFF"/>
            <w:tcMar>
              <w:top w:w="40" w:type="dxa"/>
              <w:left w:w="40" w:type="dxa"/>
              <w:bottom w:w="40" w:type="dxa"/>
              <w:right w:w="40" w:type="dxa"/>
            </w:tcMar>
            <w:vAlign w:val="bottom"/>
          </w:tcPr>
          <w:p w14:paraId="55569436" w14:textId="77777777" w:rsidR="00F925DD" w:rsidRDefault="00E705D7">
            <w:pPr>
              <w:textAlignment w:val="bottom"/>
              <w:rPr>
                <w:rFonts w:ascii="Times New Roman" w:hAnsi="Times New Roman"/>
                <w:sz w:val="14"/>
                <w:szCs w:val="14"/>
              </w:rPr>
            </w:pPr>
            <w:r>
              <w:rPr>
                <w:rFonts w:ascii="Arial" w:eastAsia="宋体" w:hAnsi="Arial" w:cs="Arial"/>
                <w:sz w:val="14"/>
                <w:szCs w:val="14"/>
              </w:rPr>
              <w:t>Canada</w:t>
            </w:r>
          </w:p>
        </w:tc>
        <w:tc>
          <w:tcPr>
            <w:tcW w:w="0" w:type="auto"/>
            <w:gridSpan w:val="2"/>
            <w:shd w:val="clear" w:color="auto" w:fill="CCEEFF"/>
            <w:tcMar>
              <w:top w:w="40" w:type="dxa"/>
              <w:left w:w="40" w:type="dxa"/>
              <w:bottom w:w="40" w:type="dxa"/>
            </w:tcMar>
            <w:vAlign w:val="bottom"/>
          </w:tcPr>
          <w:p w14:paraId="5556943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3,010</w:t>
            </w:r>
          </w:p>
        </w:tc>
        <w:tc>
          <w:tcPr>
            <w:tcW w:w="0" w:type="auto"/>
            <w:shd w:val="clear" w:color="auto" w:fill="CCEEFF"/>
            <w:vAlign w:val="bottom"/>
          </w:tcPr>
          <w:p w14:paraId="555694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3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1,507</w:t>
            </w:r>
          </w:p>
        </w:tc>
        <w:tc>
          <w:tcPr>
            <w:tcW w:w="0" w:type="auto"/>
            <w:shd w:val="clear" w:color="auto" w:fill="CCEEFF"/>
            <w:vAlign w:val="bottom"/>
          </w:tcPr>
          <w:p w14:paraId="555694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3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4,517</w:t>
            </w:r>
          </w:p>
        </w:tc>
        <w:tc>
          <w:tcPr>
            <w:tcW w:w="0" w:type="auto"/>
            <w:shd w:val="clear" w:color="auto" w:fill="CCEEFF"/>
            <w:vAlign w:val="bottom"/>
          </w:tcPr>
          <w:p w14:paraId="5556943E" w14:textId="77777777" w:rsidR="00F925DD" w:rsidRDefault="00F925DD">
            <w:pPr>
              <w:textAlignment w:val="bottom"/>
              <w:rPr>
                <w:rFonts w:ascii="Times New Roman" w:hAnsi="Times New Roman"/>
                <w:sz w:val="20"/>
                <w:szCs w:val="20"/>
              </w:rPr>
            </w:pPr>
          </w:p>
        </w:tc>
      </w:tr>
      <w:tr w:rsidR="00F925DD" w14:paraId="55569449" w14:textId="77777777">
        <w:tc>
          <w:tcPr>
            <w:tcW w:w="0" w:type="auto"/>
            <w:shd w:val="clear" w:color="auto" w:fill="auto"/>
            <w:tcMar>
              <w:top w:w="40" w:type="dxa"/>
              <w:left w:w="40" w:type="dxa"/>
              <w:bottom w:w="40" w:type="dxa"/>
              <w:right w:w="40" w:type="dxa"/>
            </w:tcMar>
            <w:vAlign w:val="bottom"/>
          </w:tcPr>
          <w:p w14:paraId="55569440" w14:textId="77777777" w:rsidR="00F925DD" w:rsidRDefault="00E705D7">
            <w:pPr>
              <w:textAlignment w:val="bottom"/>
              <w:rPr>
                <w:rFonts w:ascii="Times New Roman" w:hAnsi="Times New Roman"/>
                <w:sz w:val="14"/>
                <w:szCs w:val="14"/>
              </w:rPr>
            </w:pPr>
            <w:r>
              <w:rPr>
                <w:rFonts w:ascii="Arial" w:eastAsia="宋体" w:hAnsi="Arial" w:cs="Arial"/>
                <w:sz w:val="14"/>
                <w:szCs w:val="14"/>
              </w:rPr>
              <w:t>Ireland</w:t>
            </w:r>
          </w:p>
        </w:tc>
        <w:tc>
          <w:tcPr>
            <w:tcW w:w="0" w:type="auto"/>
            <w:gridSpan w:val="2"/>
            <w:shd w:val="clear" w:color="auto" w:fill="auto"/>
            <w:tcMar>
              <w:top w:w="40" w:type="dxa"/>
              <w:left w:w="40" w:type="dxa"/>
              <w:bottom w:w="40" w:type="dxa"/>
            </w:tcMar>
            <w:vAlign w:val="bottom"/>
          </w:tcPr>
          <w:p w14:paraId="5556944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2,019</w:t>
            </w:r>
          </w:p>
        </w:tc>
        <w:tc>
          <w:tcPr>
            <w:tcW w:w="0" w:type="auto"/>
            <w:shd w:val="clear" w:color="auto" w:fill="auto"/>
            <w:vAlign w:val="bottom"/>
          </w:tcPr>
          <w:p w14:paraId="555694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4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809</w:t>
            </w:r>
          </w:p>
        </w:tc>
        <w:tc>
          <w:tcPr>
            <w:tcW w:w="0" w:type="auto"/>
            <w:shd w:val="clear" w:color="auto" w:fill="auto"/>
            <w:vAlign w:val="bottom"/>
          </w:tcPr>
          <w:p w14:paraId="555694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4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2,828</w:t>
            </w:r>
          </w:p>
        </w:tc>
        <w:tc>
          <w:tcPr>
            <w:tcW w:w="0" w:type="auto"/>
            <w:shd w:val="clear" w:color="auto" w:fill="auto"/>
            <w:vAlign w:val="bottom"/>
          </w:tcPr>
          <w:p w14:paraId="55569448" w14:textId="77777777" w:rsidR="00F925DD" w:rsidRDefault="00F925DD">
            <w:pPr>
              <w:textAlignment w:val="bottom"/>
              <w:rPr>
                <w:rFonts w:ascii="Times New Roman" w:hAnsi="Times New Roman"/>
                <w:sz w:val="20"/>
                <w:szCs w:val="20"/>
              </w:rPr>
            </w:pPr>
          </w:p>
        </w:tc>
      </w:tr>
      <w:tr w:rsidR="00F925DD" w14:paraId="55569453" w14:textId="77777777">
        <w:tc>
          <w:tcPr>
            <w:tcW w:w="0" w:type="auto"/>
            <w:shd w:val="clear" w:color="auto" w:fill="CCEEFF"/>
            <w:tcMar>
              <w:top w:w="40" w:type="dxa"/>
              <w:left w:w="40" w:type="dxa"/>
              <w:bottom w:w="40" w:type="dxa"/>
              <w:right w:w="40" w:type="dxa"/>
            </w:tcMar>
            <w:vAlign w:val="bottom"/>
          </w:tcPr>
          <w:p w14:paraId="5556944A" w14:textId="77777777" w:rsidR="00F925DD" w:rsidRDefault="00E705D7">
            <w:pPr>
              <w:textAlignment w:val="bottom"/>
              <w:rPr>
                <w:rFonts w:ascii="Times New Roman" w:hAnsi="Times New Roman"/>
                <w:sz w:val="14"/>
                <w:szCs w:val="14"/>
              </w:rPr>
            </w:pPr>
            <w:r>
              <w:rPr>
                <w:rFonts w:ascii="Arial" w:eastAsia="宋体" w:hAnsi="Arial" w:cs="Arial"/>
                <w:sz w:val="14"/>
                <w:szCs w:val="14"/>
              </w:rPr>
              <w:t>France</w:t>
            </w:r>
          </w:p>
        </w:tc>
        <w:tc>
          <w:tcPr>
            <w:tcW w:w="0" w:type="auto"/>
            <w:gridSpan w:val="2"/>
            <w:shd w:val="clear" w:color="auto" w:fill="CCEEFF"/>
            <w:tcMar>
              <w:top w:w="40" w:type="dxa"/>
              <w:left w:w="40" w:type="dxa"/>
              <w:bottom w:w="40" w:type="dxa"/>
            </w:tcMar>
            <w:vAlign w:val="bottom"/>
          </w:tcPr>
          <w:p w14:paraId="5556944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2,495</w:t>
            </w:r>
          </w:p>
        </w:tc>
        <w:tc>
          <w:tcPr>
            <w:tcW w:w="0" w:type="auto"/>
            <w:shd w:val="clear" w:color="auto" w:fill="CCEEFF"/>
            <w:vAlign w:val="bottom"/>
          </w:tcPr>
          <w:p w14:paraId="5556944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4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294</w:t>
            </w:r>
          </w:p>
        </w:tc>
        <w:tc>
          <w:tcPr>
            <w:tcW w:w="0" w:type="auto"/>
            <w:shd w:val="clear" w:color="auto" w:fill="CCEEFF"/>
            <w:vAlign w:val="bottom"/>
          </w:tcPr>
          <w:p w14:paraId="5556944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5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2,789</w:t>
            </w:r>
          </w:p>
        </w:tc>
        <w:tc>
          <w:tcPr>
            <w:tcW w:w="0" w:type="auto"/>
            <w:shd w:val="clear" w:color="auto" w:fill="CCEEFF"/>
            <w:vAlign w:val="bottom"/>
          </w:tcPr>
          <w:p w14:paraId="55569452" w14:textId="77777777" w:rsidR="00F925DD" w:rsidRDefault="00F925DD">
            <w:pPr>
              <w:textAlignment w:val="bottom"/>
              <w:rPr>
                <w:rFonts w:ascii="Times New Roman" w:hAnsi="Times New Roman"/>
                <w:sz w:val="20"/>
                <w:szCs w:val="20"/>
              </w:rPr>
            </w:pPr>
          </w:p>
        </w:tc>
      </w:tr>
      <w:tr w:rsidR="00F925DD" w14:paraId="5556945D" w14:textId="77777777">
        <w:tc>
          <w:tcPr>
            <w:tcW w:w="0" w:type="auto"/>
            <w:shd w:val="clear" w:color="auto" w:fill="auto"/>
            <w:tcMar>
              <w:top w:w="40" w:type="dxa"/>
              <w:left w:w="40" w:type="dxa"/>
              <w:bottom w:w="40" w:type="dxa"/>
              <w:right w:w="40" w:type="dxa"/>
            </w:tcMar>
            <w:vAlign w:val="bottom"/>
          </w:tcPr>
          <w:p w14:paraId="55569454" w14:textId="77777777" w:rsidR="00F925DD" w:rsidRDefault="00E705D7">
            <w:pPr>
              <w:textAlignment w:val="bottom"/>
              <w:rPr>
                <w:rFonts w:ascii="Times New Roman" w:hAnsi="Times New Roman"/>
                <w:sz w:val="14"/>
                <w:szCs w:val="14"/>
              </w:rPr>
            </w:pPr>
            <w:r>
              <w:rPr>
                <w:rFonts w:ascii="Arial" w:eastAsia="宋体" w:hAnsi="Arial" w:cs="Arial"/>
                <w:sz w:val="14"/>
                <w:szCs w:val="14"/>
              </w:rPr>
              <w:t>Luxembourg</w:t>
            </w:r>
          </w:p>
        </w:tc>
        <w:tc>
          <w:tcPr>
            <w:tcW w:w="0" w:type="auto"/>
            <w:gridSpan w:val="2"/>
            <w:shd w:val="clear" w:color="auto" w:fill="auto"/>
            <w:tcMar>
              <w:top w:w="40" w:type="dxa"/>
              <w:left w:w="40" w:type="dxa"/>
              <w:bottom w:w="40" w:type="dxa"/>
            </w:tcMar>
            <w:vAlign w:val="bottom"/>
          </w:tcPr>
          <w:p w14:paraId="5556945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2,033</w:t>
            </w:r>
          </w:p>
        </w:tc>
        <w:tc>
          <w:tcPr>
            <w:tcW w:w="0" w:type="auto"/>
            <w:shd w:val="clear" w:color="auto" w:fill="auto"/>
            <w:vAlign w:val="bottom"/>
          </w:tcPr>
          <w:p w14:paraId="555694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5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710</w:t>
            </w:r>
          </w:p>
        </w:tc>
        <w:tc>
          <w:tcPr>
            <w:tcW w:w="0" w:type="auto"/>
            <w:shd w:val="clear" w:color="auto" w:fill="auto"/>
            <w:vAlign w:val="bottom"/>
          </w:tcPr>
          <w:p w14:paraId="5556945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5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2,743</w:t>
            </w:r>
          </w:p>
        </w:tc>
        <w:tc>
          <w:tcPr>
            <w:tcW w:w="0" w:type="auto"/>
            <w:shd w:val="clear" w:color="auto" w:fill="auto"/>
            <w:vAlign w:val="bottom"/>
          </w:tcPr>
          <w:p w14:paraId="5556945C" w14:textId="77777777" w:rsidR="00F925DD" w:rsidRDefault="00F925DD">
            <w:pPr>
              <w:textAlignment w:val="bottom"/>
              <w:rPr>
                <w:rFonts w:ascii="Times New Roman" w:hAnsi="Times New Roman"/>
                <w:sz w:val="20"/>
                <w:szCs w:val="20"/>
              </w:rPr>
            </w:pPr>
          </w:p>
        </w:tc>
      </w:tr>
      <w:tr w:rsidR="00F925DD" w14:paraId="55569464" w14:textId="77777777">
        <w:tc>
          <w:tcPr>
            <w:tcW w:w="0" w:type="auto"/>
            <w:shd w:val="clear" w:color="auto" w:fill="CCEEFF"/>
            <w:tcMar>
              <w:top w:w="40" w:type="dxa"/>
              <w:left w:w="40" w:type="dxa"/>
              <w:bottom w:w="40" w:type="dxa"/>
              <w:right w:w="40" w:type="dxa"/>
            </w:tcMar>
            <w:vAlign w:val="bottom"/>
          </w:tcPr>
          <w:p w14:paraId="5556945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December 31, 2017</w:t>
            </w:r>
          </w:p>
        </w:tc>
        <w:tc>
          <w:tcPr>
            <w:tcW w:w="0" w:type="auto"/>
            <w:gridSpan w:val="3"/>
            <w:shd w:val="clear" w:color="auto" w:fill="CCEEFF"/>
            <w:tcMar>
              <w:top w:w="40" w:type="dxa"/>
              <w:left w:w="40" w:type="dxa"/>
              <w:bottom w:w="40" w:type="dxa"/>
              <w:right w:w="40" w:type="dxa"/>
            </w:tcMar>
            <w:vAlign w:val="bottom"/>
          </w:tcPr>
          <w:p w14:paraId="555694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4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94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4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94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471" w14:textId="77777777">
        <w:tc>
          <w:tcPr>
            <w:tcW w:w="0" w:type="auto"/>
            <w:shd w:val="clear" w:color="auto" w:fill="auto"/>
            <w:tcMar>
              <w:top w:w="40" w:type="dxa"/>
              <w:left w:w="40" w:type="dxa"/>
              <w:bottom w:w="40" w:type="dxa"/>
              <w:right w:w="40" w:type="dxa"/>
            </w:tcMar>
            <w:vAlign w:val="bottom"/>
          </w:tcPr>
          <w:p w14:paraId="55569465" w14:textId="77777777" w:rsidR="00F925DD" w:rsidRDefault="00E705D7">
            <w:pPr>
              <w:textAlignment w:val="bottom"/>
              <w:rPr>
                <w:rFonts w:ascii="Times New Roman" w:hAnsi="Times New Roman"/>
                <w:sz w:val="14"/>
                <w:szCs w:val="14"/>
              </w:rPr>
            </w:pPr>
            <w:r>
              <w:rPr>
                <w:rFonts w:ascii="Arial" w:eastAsia="宋体" w:hAnsi="Arial" w:cs="Arial"/>
                <w:sz w:val="14"/>
                <w:szCs w:val="14"/>
              </w:rPr>
              <w:t>Germany</w:t>
            </w:r>
          </w:p>
        </w:tc>
        <w:tc>
          <w:tcPr>
            <w:tcW w:w="0" w:type="auto"/>
            <w:shd w:val="clear" w:color="auto" w:fill="auto"/>
            <w:tcMar>
              <w:top w:w="40" w:type="dxa"/>
              <w:left w:w="40" w:type="dxa"/>
              <w:bottom w:w="40" w:type="dxa"/>
            </w:tcMar>
            <w:vAlign w:val="bottom"/>
          </w:tcPr>
          <w:p w14:paraId="5556946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6946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18,201</w:t>
            </w:r>
          </w:p>
        </w:tc>
        <w:tc>
          <w:tcPr>
            <w:tcW w:w="0" w:type="auto"/>
            <w:shd w:val="clear" w:color="auto" w:fill="auto"/>
            <w:vAlign w:val="bottom"/>
          </w:tcPr>
          <w:p w14:paraId="5556946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46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6946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295</w:t>
            </w:r>
          </w:p>
        </w:tc>
        <w:tc>
          <w:tcPr>
            <w:tcW w:w="0" w:type="auto"/>
            <w:shd w:val="clear" w:color="auto" w:fill="auto"/>
            <w:vAlign w:val="bottom"/>
          </w:tcPr>
          <w:p w14:paraId="5556946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46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6946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18,496</w:t>
            </w:r>
          </w:p>
        </w:tc>
        <w:tc>
          <w:tcPr>
            <w:tcW w:w="0" w:type="auto"/>
            <w:shd w:val="clear" w:color="auto" w:fill="auto"/>
            <w:vAlign w:val="bottom"/>
          </w:tcPr>
          <w:p w14:paraId="55569470" w14:textId="77777777" w:rsidR="00F925DD" w:rsidRDefault="00F925DD">
            <w:pPr>
              <w:textAlignment w:val="bottom"/>
              <w:rPr>
                <w:rFonts w:ascii="Times New Roman" w:hAnsi="Times New Roman"/>
                <w:sz w:val="20"/>
                <w:szCs w:val="20"/>
              </w:rPr>
            </w:pPr>
          </w:p>
        </w:tc>
      </w:tr>
      <w:tr w:rsidR="00F925DD" w14:paraId="5556947B" w14:textId="77777777">
        <w:tc>
          <w:tcPr>
            <w:tcW w:w="0" w:type="auto"/>
            <w:shd w:val="clear" w:color="auto" w:fill="CCEEFF"/>
            <w:tcMar>
              <w:top w:w="40" w:type="dxa"/>
              <w:left w:w="40" w:type="dxa"/>
              <w:bottom w:w="40" w:type="dxa"/>
              <w:right w:w="40" w:type="dxa"/>
            </w:tcMar>
            <w:vAlign w:val="bottom"/>
          </w:tcPr>
          <w:p w14:paraId="55569472" w14:textId="77777777" w:rsidR="00F925DD" w:rsidRDefault="00E705D7">
            <w:pPr>
              <w:textAlignment w:val="bottom"/>
              <w:rPr>
                <w:rFonts w:ascii="Times New Roman" w:hAnsi="Times New Roman"/>
                <w:sz w:val="14"/>
                <w:szCs w:val="14"/>
              </w:rPr>
            </w:pPr>
            <w:r>
              <w:rPr>
                <w:rFonts w:ascii="Arial" w:eastAsia="宋体" w:hAnsi="Arial" w:cs="Arial"/>
                <w:sz w:val="14"/>
                <w:szCs w:val="14"/>
              </w:rPr>
              <w:t>Japan</w:t>
            </w:r>
          </w:p>
        </w:tc>
        <w:tc>
          <w:tcPr>
            <w:tcW w:w="0" w:type="auto"/>
            <w:gridSpan w:val="2"/>
            <w:shd w:val="clear" w:color="auto" w:fill="CCEEFF"/>
            <w:tcMar>
              <w:top w:w="40" w:type="dxa"/>
              <w:left w:w="40" w:type="dxa"/>
              <w:bottom w:w="40" w:type="dxa"/>
            </w:tcMar>
            <w:vAlign w:val="bottom"/>
          </w:tcPr>
          <w:p w14:paraId="5556947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15,250</w:t>
            </w:r>
          </w:p>
        </w:tc>
        <w:tc>
          <w:tcPr>
            <w:tcW w:w="0" w:type="auto"/>
            <w:shd w:val="clear" w:color="auto" w:fill="CCEEFF"/>
            <w:vAlign w:val="bottom"/>
          </w:tcPr>
          <w:p w14:paraId="5556947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7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549</w:t>
            </w:r>
          </w:p>
        </w:tc>
        <w:tc>
          <w:tcPr>
            <w:tcW w:w="0" w:type="auto"/>
            <w:shd w:val="clear" w:color="auto" w:fill="CCEEFF"/>
            <w:vAlign w:val="bottom"/>
          </w:tcPr>
          <w:p w14:paraId="555694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7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15,799</w:t>
            </w:r>
          </w:p>
        </w:tc>
        <w:tc>
          <w:tcPr>
            <w:tcW w:w="0" w:type="auto"/>
            <w:shd w:val="clear" w:color="auto" w:fill="CCEEFF"/>
            <w:vAlign w:val="bottom"/>
          </w:tcPr>
          <w:p w14:paraId="5556947A" w14:textId="77777777" w:rsidR="00F925DD" w:rsidRDefault="00F925DD">
            <w:pPr>
              <w:textAlignment w:val="bottom"/>
              <w:rPr>
                <w:rFonts w:ascii="Times New Roman" w:hAnsi="Times New Roman"/>
                <w:sz w:val="20"/>
                <w:szCs w:val="20"/>
              </w:rPr>
            </w:pPr>
          </w:p>
        </w:tc>
      </w:tr>
      <w:tr w:rsidR="00F925DD" w14:paraId="55569485" w14:textId="77777777">
        <w:tc>
          <w:tcPr>
            <w:tcW w:w="0" w:type="auto"/>
            <w:shd w:val="clear" w:color="auto" w:fill="auto"/>
            <w:tcMar>
              <w:top w:w="40" w:type="dxa"/>
              <w:left w:w="40" w:type="dxa"/>
              <w:bottom w:w="40" w:type="dxa"/>
              <w:right w:w="40" w:type="dxa"/>
            </w:tcMar>
            <w:vAlign w:val="bottom"/>
          </w:tcPr>
          <w:p w14:paraId="5556947C" w14:textId="77777777" w:rsidR="00F925DD" w:rsidRDefault="00E705D7">
            <w:pPr>
              <w:textAlignment w:val="bottom"/>
              <w:rPr>
                <w:rFonts w:ascii="Times New Roman" w:hAnsi="Times New Roman"/>
                <w:sz w:val="14"/>
                <w:szCs w:val="14"/>
              </w:rPr>
            </w:pPr>
            <w:r>
              <w:rPr>
                <w:rFonts w:ascii="Arial" w:eastAsia="宋体" w:hAnsi="Arial" w:cs="Arial"/>
                <w:sz w:val="14"/>
                <w:szCs w:val="14"/>
              </w:rPr>
              <w:t>United Kingdom</w:t>
            </w:r>
          </w:p>
        </w:tc>
        <w:tc>
          <w:tcPr>
            <w:tcW w:w="0" w:type="auto"/>
            <w:gridSpan w:val="2"/>
            <w:shd w:val="clear" w:color="auto" w:fill="auto"/>
            <w:tcMar>
              <w:top w:w="40" w:type="dxa"/>
              <w:left w:w="40" w:type="dxa"/>
              <w:bottom w:w="40" w:type="dxa"/>
            </w:tcMar>
            <w:vAlign w:val="bottom"/>
          </w:tcPr>
          <w:p w14:paraId="5556947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12,051</w:t>
            </w:r>
          </w:p>
        </w:tc>
        <w:tc>
          <w:tcPr>
            <w:tcW w:w="0" w:type="auto"/>
            <w:shd w:val="clear" w:color="auto" w:fill="auto"/>
            <w:vAlign w:val="bottom"/>
          </w:tcPr>
          <w:p w14:paraId="5556947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8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1,253</w:t>
            </w:r>
          </w:p>
        </w:tc>
        <w:tc>
          <w:tcPr>
            <w:tcW w:w="0" w:type="auto"/>
            <w:shd w:val="clear" w:color="auto" w:fill="auto"/>
            <w:vAlign w:val="bottom"/>
          </w:tcPr>
          <w:p w14:paraId="5556948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8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13,304</w:t>
            </w:r>
          </w:p>
        </w:tc>
        <w:tc>
          <w:tcPr>
            <w:tcW w:w="0" w:type="auto"/>
            <w:shd w:val="clear" w:color="auto" w:fill="auto"/>
            <w:vAlign w:val="bottom"/>
          </w:tcPr>
          <w:p w14:paraId="55569484" w14:textId="77777777" w:rsidR="00F925DD" w:rsidRDefault="00F925DD">
            <w:pPr>
              <w:textAlignment w:val="bottom"/>
              <w:rPr>
                <w:rFonts w:ascii="Times New Roman" w:hAnsi="Times New Roman"/>
                <w:sz w:val="20"/>
                <w:szCs w:val="20"/>
              </w:rPr>
            </w:pPr>
          </w:p>
        </w:tc>
      </w:tr>
      <w:tr w:rsidR="00F925DD" w14:paraId="5556948F" w14:textId="77777777">
        <w:tc>
          <w:tcPr>
            <w:tcW w:w="0" w:type="auto"/>
            <w:shd w:val="clear" w:color="auto" w:fill="CCEEFF"/>
            <w:tcMar>
              <w:top w:w="40" w:type="dxa"/>
              <w:left w:w="40" w:type="dxa"/>
              <w:bottom w:w="40" w:type="dxa"/>
              <w:right w:w="40" w:type="dxa"/>
            </w:tcMar>
            <w:vAlign w:val="bottom"/>
          </w:tcPr>
          <w:p w14:paraId="55569486" w14:textId="77777777" w:rsidR="00F925DD" w:rsidRDefault="00E705D7">
            <w:pPr>
              <w:textAlignment w:val="bottom"/>
              <w:rPr>
                <w:rFonts w:ascii="Times New Roman" w:hAnsi="Times New Roman"/>
                <w:sz w:val="14"/>
                <w:szCs w:val="14"/>
              </w:rPr>
            </w:pPr>
            <w:r>
              <w:rPr>
                <w:rFonts w:ascii="Arial" w:eastAsia="宋体" w:hAnsi="Arial" w:cs="Arial"/>
                <w:sz w:val="14"/>
                <w:szCs w:val="14"/>
              </w:rPr>
              <w:t>Australia</w:t>
            </w:r>
          </w:p>
        </w:tc>
        <w:tc>
          <w:tcPr>
            <w:tcW w:w="0" w:type="auto"/>
            <w:gridSpan w:val="2"/>
            <w:shd w:val="clear" w:color="auto" w:fill="CCEEFF"/>
            <w:tcMar>
              <w:top w:w="40" w:type="dxa"/>
              <w:left w:w="40" w:type="dxa"/>
              <w:bottom w:w="40" w:type="dxa"/>
            </w:tcMar>
            <w:vAlign w:val="bottom"/>
          </w:tcPr>
          <w:p w14:paraId="5556948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5,278</w:t>
            </w:r>
          </w:p>
        </w:tc>
        <w:tc>
          <w:tcPr>
            <w:tcW w:w="0" w:type="auto"/>
            <w:shd w:val="clear" w:color="auto" w:fill="CCEEFF"/>
            <w:vAlign w:val="bottom"/>
          </w:tcPr>
          <w:p w14:paraId="555694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8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390</w:t>
            </w:r>
          </w:p>
        </w:tc>
        <w:tc>
          <w:tcPr>
            <w:tcW w:w="0" w:type="auto"/>
            <w:shd w:val="clear" w:color="auto" w:fill="CCEEFF"/>
            <w:vAlign w:val="bottom"/>
          </w:tcPr>
          <w:p w14:paraId="555694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8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5,668</w:t>
            </w:r>
          </w:p>
        </w:tc>
        <w:tc>
          <w:tcPr>
            <w:tcW w:w="0" w:type="auto"/>
            <w:shd w:val="clear" w:color="auto" w:fill="CCEEFF"/>
            <w:vAlign w:val="bottom"/>
          </w:tcPr>
          <w:p w14:paraId="5556948E" w14:textId="77777777" w:rsidR="00F925DD" w:rsidRDefault="00F925DD">
            <w:pPr>
              <w:textAlignment w:val="bottom"/>
              <w:rPr>
                <w:rFonts w:ascii="Times New Roman" w:hAnsi="Times New Roman"/>
                <w:sz w:val="20"/>
                <w:szCs w:val="20"/>
              </w:rPr>
            </w:pPr>
          </w:p>
        </w:tc>
      </w:tr>
      <w:tr w:rsidR="00F925DD" w14:paraId="55569499" w14:textId="77777777">
        <w:tc>
          <w:tcPr>
            <w:tcW w:w="0" w:type="auto"/>
            <w:shd w:val="clear" w:color="auto" w:fill="auto"/>
            <w:tcMar>
              <w:top w:w="40" w:type="dxa"/>
              <w:left w:w="40" w:type="dxa"/>
              <w:bottom w:w="40" w:type="dxa"/>
              <w:right w:w="40" w:type="dxa"/>
            </w:tcMar>
            <w:vAlign w:val="bottom"/>
          </w:tcPr>
          <w:p w14:paraId="55569490" w14:textId="77777777" w:rsidR="00F925DD" w:rsidRDefault="00E705D7">
            <w:pPr>
              <w:textAlignment w:val="bottom"/>
              <w:rPr>
                <w:rFonts w:ascii="Times New Roman" w:hAnsi="Times New Roman"/>
                <w:sz w:val="14"/>
                <w:szCs w:val="14"/>
              </w:rPr>
            </w:pPr>
            <w:r>
              <w:rPr>
                <w:rFonts w:ascii="Arial" w:eastAsia="宋体" w:hAnsi="Arial" w:cs="Arial"/>
                <w:sz w:val="14"/>
                <w:szCs w:val="14"/>
              </w:rPr>
              <w:t>Canada</w:t>
            </w:r>
          </w:p>
        </w:tc>
        <w:tc>
          <w:tcPr>
            <w:tcW w:w="0" w:type="auto"/>
            <w:gridSpan w:val="2"/>
            <w:shd w:val="clear" w:color="auto" w:fill="auto"/>
            <w:tcMar>
              <w:top w:w="40" w:type="dxa"/>
              <w:left w:w="40" w:type="dxa"/>
              <w:bottom w:w="40" w:type="dxa"/>
            </w:tcMar>
            <w:vAlign w:val="bottom"/>
          </w:tcPr>
          <w:p w14:paraId="5556949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4,215</w:t>
            </w:r>
          </w:p>
        </w:tc>
        <w:tc>
          <w:tcPr>
            <w:tcW w:w="0" w:type="auto"/>
            <w:shd w:val="clear" w:color="auto" w:fill="auto"/>
            <w:vAlign w:val="bottom"/>
          </w:tcPr>
          <w:p w14:paraId="5556949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9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707</w:t>
            </w:r>
          </w:p>
        </w:tc>
        <w:tc>
          <w:tcPr>
            <w:tcW w:w="0" w:type="auto"/>
            <w:shd w:val="clear" w:color="auto" w:fill="auto"/>
            <w:vAlign w:val="bottom"/>
          </w:tcPr>
          <w:p w14:paraId="5556949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4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49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4,922</w:t>
            </w:r>
          </w:p>
        </w:tc>
        <w:tc>
          <w:tcPr>
            <w:tcW w:w="0" w:type="auto"/>
            <w:shd w:val="clear" w:color="auto" w:fill="auto"/>
            <w:vAlign w:val="bottom"/>
          </w:tcPr>
          <w:p w14:paraId="55569498" w14:textId="77777777" w:rsidR="00F925DD" w:rsidRDefault="00F925DD">
            <w:pPr>
              <w:textAlignment w:val="bottom"/>
              <w:rPr>
                <w:rFonts w:ascii="Times New Roman" w:hAnsi="Times New Roman"/>
                <w:sz w:val="20"/>
                <w:szCs w:val="20"/>
              </w:rPr>
            </w:pPr>
          </w:p>
        </w:tc>
      </w:tr>
      <w:tr w:rsidR="00F925DD" w14:paraId="555694A3" w14:textId="77777777">
        <w:tc>
          <w:tcPr>
            <w:tcW w:w="0" w:type="auto"/>
            <w:shd w:val="clear" w:color="auto" w:fill="CCEEFF"/>
            <w:tcMar>
              <w:top w:w="40" w:type="dxa"/>
              <w:left w:w="40" w:type="dxa"/>
              <w:bottom w:w="40" w:type="dxa"/>
              <w:right w:w="40" w:type="dxa"/>
            </w:tcMar>
            <w:vAlign w:val="bottom"/>
          </w:tcPr>
          <w:p w14:paraId="5556949A" w14:textId="77777777" w:rsidR="00F925DD" w:rsidRDefault="00E705D7">
            <w:pPr>
              <w:textAlignment w:val="bottom"/>
              <w:rPr>
                <w:rFonts w:ascii="Times New Roman" w:hAnsi="Times New Roman"/>
                <w:sz w:val="14"/>
                <w:szCs w:val="14"/>
              </w:rPr>
            </w:pPr>
            <w:r>
              <w:rPr>
                <w:rFonts w:ascii="Arial" w:eastAsia="宋体" w:hAnsi="Arial" w:cs="Arial"/>
                <w:sz w:val="14"/>
                <w:szCs w:val="14"/>
              </w:rPr>
              <w:t>France</w:t>
            </w:r>
          </w:p>
        </w:tc>
        <w:tc>
          <w:tcPr>
            <w:tcW w:w="0" w:type="auto"/>
            <w:gridSpan w:val="2"/>
            <w:shd w:val="clear" w:color="auto" w:fill="CCEEFF"/>
            <w:tcMar>
              <w:top w:w="40" w:type="dxa"/>
              <w:left w:w="40" w:type="dxa"/>
              <w:bottom w:w="40" w:type="dxa"/>
            </w:tcMar>
            <w:vAlign w:val="bottom"/>
          </w:tcPr>
          <w:p w14:paraId="5556949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2,684</w:t>
            </w:r>
          </w:p>
        </w:tc>
        <w:tc>
          <w:tcPr>
            <w:tcW w:w="0" w:type="auto"/>
            <w:shd w:val="clear" w:color="auto" w:fill="CCEEFF"/>
            <w:vAlign w:val="bottom"/>
          </w:tcPr>
          <w:p w14:paraId="555694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9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344</w:t>
            </w:r>
          </w:p>
        </w:tc>
        <w:tc>
          <w:tcPr>
            <w:tcW w:w="0" w:type="auto"/>
            <w:shd w:val="clear" w:color="auto" w:fill="CCEEFF"/>
            <w:vAlign w:val="bottom"/>
          </w:tcPr>
          <w:p w14:paraId="555694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4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4A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3,028</w:t>
            </w:r>
          </w:p>
        </w:tc>
        <w:tc>
          <w:tcPr>
            <w:tcW w:w="0" w:type="auto"/>
            <w:shd w:val="clear" w:color="auto" w:fill="CCEEFF"/>
            <w:vAlign w:val="bottom"/>
          </w:tcPr>
          <w:p w14:paraId="555694A2" w14:textId="77777777" w:rsidR="00F925DD" w:rsidRDefault="00F925DD">
            <w:pPr>
              <w:textAlignment w:val="bottom"/>
              <w:rPr>
                <w:rFonts w:ascii="Times New Roman" w:hAnsi="Times New Roman"/>
                <w:sz w:val="20"/>
                <w:szCs w:val="20"/>
              </w:rPr>
            </w:pPr>
          </w:p>
        </w:tc>
      </w:tr>
    </w:tbl>
    <w:p w14:paraId="555694A4"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4070"/>
        <w:gridCol w:w="1744"/>
        <w:gridCol w:w="2492"/>
      </w:tblGrid>
      <w:tr w:rsidR="00F925DD" w14:paraId="555694A6" w14:textId="77777777">
        <w:tc>
          <w:tcPr>
            <w:tcW w:w="0" w:type="auto"/>
            <w:gridSpan w:val="3"/>
            <w:shd w:val="clear" w:color="auto" w:fill="auto"/>
            <w:vAlign w:val="center"/>
          </w:tcPr>
          <w:p w14:paraId="555694A5" w14:textId="77777777" w:rsidR="00F925DD" w:rsidRDefault="00F925DD">
            <w:pPr>
              <w:rPr>
                <w:rFonts w:ascii="Times New Roman" w:hAnsi="Times New Roman"/>
                <w:sz w:val="20"/>
                <w:szCs w:val="20"/>
              </w:rPr>
            </w:pPr>
          </w:p>
        </w:tc>
      </w:tr>
      <w:tr w:rsidR="00F925DD" w14:paraId="555694AA" w14:textId="77777777">
        <w:tc>
          <w:tcPr>
            <w:tcW w:w="2450" w:type="pct"/>
            <w:shd w:val="clear" w:color="auto" w:fill="auto"/>
            <w:vAlign w:val="center"/>
          </w:tcPr>
          <w:p w14:paraId="555694A7" w14:textId="77777777" w:rsidR="00F925DD" w:rsidRDefault="00F925DD">
            <w:pPr>
              <w:rPr>
                <w:rFonts w:ascii="Times New Roman" w:hAnsi="Times New Roman"/>
                <w:sz w:val="20"/>
                <w:szCs w:val="20"/>
              </w:rPr>
            </w:pPr>
          </w:p>
        </w:tc>
        <w:tc>
          <w:tcPr>
            <w:tcW w:w="1050" w:type="pct"/>
            <w:shd w:val="clear" w:color="auto" w:fill="auto"/>
            <w:vAlign w:val="center"/>
          </w:tcPr>
          <w:p w14:paraId="555694A8" w14:textId="77777777" w:rsidR="00F925DD" w:rsidRDefault="00F925DD">
            <w:pPr>
              <w:rPr>
                <w:rFonts w:ascii="Times New Roman" w:hAnsi="Times New Roman"/>
                <w:sz w:val="20"/>
                <w:szCs w:val="20"/>
              </w:rPr>
            </w:pPr>
          </w:p>
        </w:tc>
        <w:tc>
          <w:tcPr>
            <w:tcW w:w="1500" w:type="pct"/>
            <w:shd w:val="clear" w:color="auto" w:fill="auto"/>
            <w:vAlign w:val="center"/>
          </w:tcPr>
          <w:p w14:paraId="555694A9" w14:textId="77777777" w:rsidR="00F925DD" w:rsidRDefault="00F925DD">
            <w:pPr>
              <w:rPr>
                <w:rFonts w:ascii="Times New Roman" w:hAnsi="Times New Roman"/>
                <w:sz w:val="20"/>
                <w:szCs w:val="20"/>
              </w:rPr>
            </w:pPr>
          </w:p>
        </w:tc>
      </w:tr>
      <w:tr w:rsidR="00F925DD" w14:paraId="555694A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94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4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4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94AF"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Cross-border outstandings included countries in which we do business, and which amounted to at least 1% of our consolidated total assets as of the dates indicated.</w:t>
      </w:r>
    </w:p>
    <w:p w14:paraId="555694B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w:t>
      </w:r>
      <w:r>
        <w:rPr>
          <w:rFonts w:ascii="Arial" w:eastAsia="宋体" w:hAnsi="Arial" w:cs="Arial"/>
          <w:sz w:val="20"/>
          <w:szCs w:val="20"/>
        </w:rPr>
        <w:t>December 31, 2019, aggregate cross-border outstandings in the Netherlands amounted to between 0.75% and 1% of our consolidated assets, at approximately $1.89 billion. As of both December 31, 2018 and December 31, 2017, there were no countries whose aggrega</w:t>
      </w:r>
      <w:r>
        <w:rPr>
          <w:rFonts w:ascii="Arial" w:eastAsia="宋体" w:hAnsi="Arial" w:cs="Arial"/>
          <w:sz w:val="20"/>
          <w:szCs w:val="20"/>
        </w:rPr>
        <w:t>te cross-border outstandings amounted to between 0.75% and 1% of our consolidated assets.</w:t>
      </w:r>
    </w:p>
    <w:p w14:paraId="555694B1" w14:textId="77777777" w:rsidR="00F925DD" w:rsidRDefault="00F925DD">
      <w:pPr>
        <w:rPr>
          <w:rFonts w:ascii="Times New Roman" w:hAnsi="Times New Roman"/>
          <w:sz w:val="20"/>
          <w:szCs w:val="20"/>
        </w:rPr>
      </w:pPr>
    </w:p>
    <w:p w14:paraId="555694B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79</w:t>
      </w:r>
    </w:p>
    <w:p w14:paraId="555694B3" w14:textId="77777777" w:rsidR="00F925DD" w:rsidRDefault="00F925DD">
      <w:pPr>
        <w:spacing w:line="288" w:lineRule="auto"/>
        <w:ind w:firstLine="600"/>
        <w:jc w:val="center"/>
        <w:rPr>
          <w:rFonts w:ascii="Times New Roman" w:hAnsi="Times New Roman"/>
          <w:sz w:val="18"/>
          <w:szCs w:val="18"/>
        </w:rPr>
      </w:pPr>
    </w:p>
    <w:p w14:paraId="555694B4" w14:textId="77777777" w:rsidR="00F925DD" w:rsidRDefault="00E705D7">
      <w:r>
        <w:rPr>
          <w:rFonts w:ascii="Times New Roman" w:hAnsi="Times New Roman"/>
          <w:sz w:val="18"/>
          <w:szCs w:val="18"/>
        </w:rPr>
        <w:pict w14:anchorId="55570689">
          <v:rect id="_x0000_i1103" style="width:415.3pt;height:1.5pt" o:hralign="center" o:hrstd="t" o:hr="t" fillcolor="#a0a0a0" stroked="f"/>
        </w:pict>
      </w:r>
    </w:p>
    <w:p w14:paraId="555694B5"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4B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4B7" w14:textId="77777777" w:rsidR="00F925DD" w:rsidRDefault="00F925DD">
      <w:pPr>
        <w:rPr>
          <w:rFonts w:ascii="Times New Roman" w:hAnsi="Times New Roman"/>
          <w:sz w:val="20"/>
          <w:szCs w:val="20"/>
        </w:rPr>
      </w:pPr>
    </w:p>
    <w:p w14:paraId="555694B8"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Risk</w:t>
      </w:r>
      <w:r>
        <w:rPr>
          <w:rFonts w:ascii="Arial" w:eastAsia="宋体" w:hAnsi="Arial" w:cs="Arial"/>
          <w:b/>
          <w:bCs/>
          <w:sz w:val="20"/>
          <w:szCs w:val="20"/>
        </w:rPr>
        <w:t xml:space="preserve"> Management</w:t>
      </w:r>
    </w:p>
    <w:p w14:paraId="555694B9"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General</w:t>
      </w:r>
    </w:p>
    <w:p w14:paraId="555694B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the normal </w:t>
      </w:r>
      <w:r>
        <w:rPr>
          <w:rFonts w:ascii="Arial" w:eastAsia="宋体" w:hAnsi="Arial" w:cs="Arial"/>
          <w:sz w:val="20"/>
          <w:szCs w:val="20"/>
        </w:rPr>
        <w:t>course of our global business activities, we are exposed to a variety of risks, some inherent in the financial services industry, others more specific to our business activities. Our risk management framework focuses on material risks, which include the fo</w:t>
      </w:r>
      <w:r>
        <w:rPr>
          <w:rFonts w:ascii="Arial" w:eastAsia="宋体" w:hAnsi="Arial" w:cs="Arial"/>
          <w:sz w:val="20"/>
          <w:szCs w:val="20"/>
        </w:rPr>
        <w:t>llowing:</w:t>
      </w:r>
    </w:p>
    <w:tbl>
      <w:tblPr>
        <w:tblW w:w="0" w:type="auto"/>
        <w:tblCellSpacing w:w="0" w:type="dxa"/>
        <w:tblCellMar>
          <w:left w:w="0" w:type="dxa"/>
          <w:right w:w="0" w:type="dxa"/>
        </w:tblCellMar>
        <w:tblLook w:val="04A0" w:firstRow="1" w:lastRow="0" w:firstColumn="1" w:lastColumn="0" w:noHBand="0" w:noVBand="1"/>
      </w:tblPr>
      <w:tblGrid>
        <w:gridCol w:w="1080"/>
        <w:gridCol w:w="2468"/>
      </w:tblGrid>
      <w:tr w:rsidR="00F925DD" w14:paraId="555694BD" w14:textId="77777777">
        <w:trPr>
          <w:tblCellSpacing w:w="0" w:type="dxa"/>
        </w:trPr>
        <w:tc>
          <w:tcPr>
            <w:tcW w:w="1080" w:type="dxa"/>
            <w:shd w:val="clear" w:color="auto" w:fill="auto"/>
            <w:vAlign w:val="center"/>
          </w:tcPr>
          <w:p w14:paraId="555694BB" w14:textId="77777777" w:rsidR="00F925DD" w:rsidRDefault="00F925DD">
            <w:pPr>
              <w:rPr>
                <w:rFonts w:ascii="Times New Roman" w:hAnsi="Times New Roman"/>
                <w:sz w:val="20"/>
                <w:szCs w:val="20"/>
              </w:rPr>
            </w:pPr>
          </w:p>
        </w:tc>
        <w:tc>
          <w:tcPr>
            <w:tcW w:w="0" w:type="auto"/>
            <w:shd w:val="clear" w:color="auto" w:fill="auto"/>
            <w:vAlign w:val="center"/>
          </w:tcPr>
          <w:p w14:paraId="555694BC" w14:textId="77777777" w:rsidR="00F925DD" w:rsidRDefault="00F925DD">
            <w:pPr>
              <w:rPr>
                <w:rFonts w:ascii="Times New Roman" w:hAnsi="Times New Roman"/>
                <w:sz w:val="20"/>
                <w:szCs w:val="20"/>
              </w:rPr>
            </w:pPr>
          </w:p>
        </w:tc>
      </w:tr>
      <w:tr w:rsidR="00F925DD" w14:paraId="555694C0" w14:textId="77777777">
        <w:trPr>
          <w:tblCellSpacing w:w="0" w:type="dxa"/>
        </w:trPr>
        <w:tc>
          <w:tcPr>
            <w:tcW w:w="0" w:type="auto"/>
            <w:shd w:val="clear" w:color="auto" w:fill="auto"/>
          </w:tcPr>
          <w:p w14:paraId="555694B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4B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credit and counterparty risk;</w:t>
            </w:r>
          </w:p>
        </w:tc>
      </w:tr>
    </w:tbl>
    <w:p w14:paraId="555694C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3469"/>
      </w:tblGrid>
      <w:tr w:rsidR="00F925DD" w14:paraId="555694C4" w14:textId="77777777">
        <w:trPr>
          <w:tblCellSpacing w:w="0" w:type="dxa"/>
        </w:trPr>
        <w:tc>
          <w:tcPr>
            <w:tcW w:w="1080" w:type="dxa"/>
            <w:shd w:val="clear" w:color="auto" w:fill="auto"/>
            <w:vAlign w:val="center"/>
          </w:tcPr>
          <w:p w14:paraId="555694C2" w14:textId="77777777" w:rsidR="00F925DD" w:rsidRDefault="00F925DD">
            <w:pPr>
              <w:rPr>
                <w:rFonts w:ascii="Times New Roman" w:hAnsi="Times New Roman"/>
                <w:sz w:val="20"/>
                <w:szCs w:val="20"/>
              </w:rPr>
            </w:pPr>
          </w:p>
        </w:tc>
        <w:tc>
          <w:tcPr>
            <w:tcW w:w="0" w:type="auto"/>
            <w:shd w:val="clear" w:color="auto" w:fill="auto"/>
            <w:vAlign w:val="center"/>
          </w:tcPr>
          <w:p w14:paraId="555694C3" w14:textId="77777777" w:rsidR="00F925DD" w:rsidRDefault="00F925DD">
            <w:pPr>
              <w:rPr>
                <w:rFonts w:ascii="Times New Roman" w:hAnsi="Times New Roman"/>
                <w:sz w:val="20"/>
                <w:szCs w:val="20"/>
              </w:rPr>
            </w:pPr>
          </w:p>
        </w:tc>
      </w:tr>
      <w:tr w:rsidR="00F925DD" w14:paraId="555694C7" w14:textId="77777777">
        <w:trPr>
          <w:tblCellSpacing w:w="0" w:type="dxa"/>
        </w:trPr>
        <w:tc>
          <w:tcPr>
            <w:tcW w:w="0" w:type="auto"/>
            <w:shd w:val="clear" w:color="auto" w:fill="auto"/>
          </w:tcPr>
          <w:p w14:paraId="555694C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4C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liquidity risk, funding and management; </w:t>
            </w:r>
          </w:p>
        </w:tc>
      </w:tr>
    </w:tbl>
    <w:p w14:paraId="555694C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1412"/>
      </w:tblGrid>
      <w:tr w:rsidR="00F925DD" w14:paraId="555694CB" w14:textId="77777777">
        <w:trPr>
          <w:tblCellSpacing w:w="0" w:type="dxa"/>
        </w:trPr>
        <w:tc>
          <w:tcPr>
            <w:tcW w:w="1080" w:type="dxa"/>
            <w:shd w:val="clear" w:color="auto" w:fill="auto"/>
            <w:vAlign w:val="center"/>
          </w:tcPr>
          <w:p w14:paraId="555694C9" w14:textId="77777777" w:rsidR="00F925DD" w:rsidRDefault="00F925DD">
            <w:pPr>
              <w:rPr>
                <w:rFonts w:ascii="Times New Roman" w:hAnsi="Times New Roman"/>
                <w:sz w:val="20"/>
                <w:szCs w:val="20"/>
              </w:rPr>
            </w:pPr>
          </w:p>
        </w:tc>
        <w:tc>
          <w:tcPr>
            <w:tcW w:w="0" w:type="auto"/>
            <w:shd w:val="clear" w:color="auto" w:fill="auto"/>
            <w:vAlign w:val="center"/>
          </w:tcPr>
          <w:p w14:paraId="555694CA" w14:textId="77777777" w:rsidR="00F925DD" w:rsidRDefault="00F925DD">
            <w:pPr>
              <w:rPr>
                <w:rFonts w:ascii="Times New Roman" w:hAnsi="Times New Roman"/>
                <w:sz w:val="20"/>
                <w:szCs w:val="20"/>
              </w:rPr>
            </w:pPr>
          </w:p>
        </w:tc>
      </w:tr>
      <w:tr w:rsidR="00F925DD" w14:paraId="555694CE" w14:textId="77777777">
        <w:trPr>
          <w:tblCellSpacing w:w="0" w:type="dxa"/>
        </w:trPr>
        <w:tc>
          <w:tcPr>
            <w:tcW w:w="0" w:type="auto"/>
            <w:shd w:val="clear" w:color="auto" w:fill="auto"/>
          </w:tcPr>
          <w:p w14:paraId="555694C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4C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operational risk;</w:t>
            </w:r>
          </w:p>
        </w:tc>
      </w:tr>
    </w:tbl>
    <w:p w14:paraId="555694C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2435"/>
      </w:tblGrid>
      <w:tr w:rsidR="00F925DD" w14:paraId="555694D2" w14:textId="77777777">
        <w:trPr>
          <w:tblCellSpacing w:w="0" w:type="dxa"/>
        </w:trPr>
        <w:tc>
          <w:tcPr>
            <w:tcW w:w="1080" w:type="dxa"/>
            <w:shd w:val="clear" w:color="auto" w:fill="auto"/>
            <w:vAlign w:val="center"/>
          </w:tcPr>
          <w:p w14:paraId="555694D0" w14:textId="77777777" w:rsidR="00F925DD" w:rsidRDefault="00F925DD">
            <w:pPr>
              <w:rPr>
                <w:rFonts w:ascii="Times New Roman" w:hAnsi="Times New Roman"/>
                <w:sz w:val="20"/>
                <w:szCs w:val="20"/>
              </w:rPr>
            </w:pPr>
          </w:p>
        </w:tc>
        <w:tc>
          <w:tcPr>
            <w:tcW w:w="0" w:type="auto"/>
            <w:shd w:val="clear" w:color="auto" w:fill="auto"/>
            <w:vAlign w:val="center"/>
          </w:tcPr>
          <w:p w14:paraId="555694D1" w14:textId="77777777" w:rsidR="00F925DD" w:rsidRDefault="00F925DD">
            <w:pPr>
              <w:rPr>
                <w:rFonts w:ascii="Times New Roman" w:hAnsi="Times New Roman"/>
                <w:sz w:val="20"/>
                <w:szCs w:val="20"/>
              </w:rPr>
            </w:pPr>
          </w:p>
        </w:tc>
      </w:tr>
      <w:tr w:rsidR="00F925DD" w14:paraId="555694D5" w14:textId="77777777">
        <w:trPr>
          <w:tblCellSpacing w:w="0" w:type="dxa"/>
        </w:trPr>
        <w:tc>
          <w:tcPr>
            <w:tcW w:w="0" w:type="auto"/>
            <w:shd w:val="clear" w:color="auto" w:fill="auto"/>
          </w:tcPr>
          <w:p w14:paraId="555694D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4D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information technology risk;</w:t>
            </w:r>
          </w:p>
        </w:tc>
      </w:tr>
    </w:tbl>
    <w:p w14:paraId="555694D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4291"/>
      </w:tblGrid>
      <w:tr w:rsidR="00F925DD" w14:paraId="555694D9" w14:textId="77777777">
        <w:trPr>
          <w:tblCellSpacing w:w="0" w:type="dxa"/>
        </w:trPr>
        <w:tc>
          <w:tcPr>
            <w:tcW w:w="1080" w:type="dxa"/>
            <w:shd w:val="clear" w:color="auto" w:fill="auto"/>
            <w:vAlign w:val="center"/>
          </w:tcPr>
          <w:p w14:paraId="555694D7" w14:textId="77777777" w:rsidR="00F925DD" w:rsidRDefault="00F925DD">
            <w:pPr>
              <w:rPr>
                <w:rFonts w:ascii="Times New Roman" w:hAnsi="Times New Roman"/>
                <w:sz w:val="20"/>
                <w:szCs w:val="20"/>
              </w:rPr>
            </w:pPr>
          </w:p>
        </w:tc>
        <w:tc>
          <w:tcPr>
            <w:tcW w:w="0" w:type="auto"/>
            <w:shd w:val="clear" w:color="auto" w:fill="auto"/>
            <w:vAlign w:val="center"/>
          </w:tcPr>
          <w:p w14:paraId="555694D8" w14:textId="77777777" w:rsidR="00F925DD" w:rsidRDefault="00F925DD">
            <w:pPr>
              <w:rPr>
                <w:rFonts w:ascii="Times New Roman" w:hAnsi="Times New Roman"/>
                <w:sz w:val="20"/>
                <w:szCs w:val="20"/>
              </w:rPr>
            </w:pPr>
          </w:p>
        </w:tc>
      </w:tr>
      <w:tr w:rsidR="00F925DD" w14:paraId="555694DC" w14:textId="77777777">
        <w:trPr>
          <w:tblCellSpacing w:w="0" w:type="dxa"/>
        </w:trPr>
        <w:tc>
          <w:tcPr>
            <w:tcW w:w="0" w:type="auto"/>
            <w:shd w:val="clear" w:color="auto" w:fill="auto"/>
          </w:tcPr>
          <w:p w14:paraId="555694D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4D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market risk associated with our trading activities;</w:t>
            </w:r>
          </w:p>
        </w:tc>
      </w:tr>
    </w:tbl>
    <w:p w14:paraId="555694D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4E0" w14:textId="77777777">
        <w:trPr>
          <w:tblCellSpacing w:w="0" w:type="dxa"/>
        </w:trPr>
        <w:tc>
          <w:tcPr>
            <w:tcW w:w="1080" w:type="dxa"/>
            <w:shd w:val="clear" w:color="auto" w:fill="auto"/>
            <w:vAlign w:val="center"/>
          </w:tcPr>
          <w:p w14:paraId="555694DE" w14:textId="77777777" w:rsidR="00F925DD" w:rsidRDefault="00F925DD">
            <w:pPr>
              <w:rPr>
                <w:rFonts w:ascii="Times New Roman" w:hAnsi="Times New Roman"/>
                <w:sz w:val="20"/>
                <w:szCs w:val="20"/>
              </w:rPr>
            </w:pPr>
          </w:p>
        </w:tc>
        <w:tc>
          <w:tcPr>
            <w:tcW w:w="0" w:type="auto"/>
            <w:shd w:val="clear" w:color="auto" w:fill="auto"/>
            <w:vAlign w:val="center"/>
          </w:tcPr>
          <w:p w14:paraId="555694DF" w14:textId="77777777" w:rsidR="00F925DD" w:rsidRDefault="00F925DD">
            <w:pPr>
              <w:rPr>
                <w:rFonts w:ascii="Times New Roman" w:hAnsi="Times New Roman"/>
                <w:sz w:val="20"/>
                <w:szCs w:val="20"/>
              </w:rPr>
            </w:pPr>
          </w:p>
        </w:tc>
      </w:tr>
      <w:tr w:rsidR="00F925DD" w14:paraId="555694E3" w14:textId="77777777">
        <w:trPr>
          <w:tblCellSpacing w:w="0" w:type="dxa"/>
        </w:trPr>
        <w:tc>
          <w:tcPr>
            <w:tcW w:w="0" w:type="auto"/>
            <w:shd w:val="clear" w:color="auto" w:fill="auto"/>
          </w:tcPr>
          <w:p w14:paraId="555694E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4E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market risk associated with our non-trading activities, which we refer to as asset-and-liability management, and which consists primarily of interest rate risk; </w:t>
            </w:r>
          </w:p>
        </w:tc>
      </w:tr>
    </w:tbl>
    <w:p w14:paraId="555694E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1179"/>
      </w:tblGrid>
      <w:tr w:rsidR="00F925DD" w14:paraId="555694E7" w14:textId="77777777">
        <w:trPr>
          <w:tblCellSpacing w:w="0" w:type="dxa"/>
        </w:trPr>
        <w:tc>
          <w:tcPr>
            <w:tcW w:w="1080" w:type="dxa"/>
            <w:shd w:val="clear" w:color="auto" w:fill="auto"/>
            <w:vAlign w:val="center"/>
          </w:tcPr>
          <w:p w14:paraId="555694E5" w14:textId="77777777" w:rsidR="00F925DD" w:rsidRDefault="00F925DD">
            <w:pPr>
              <w:rPr>
                <w:rFonts w:ascii="Times New Roman" w:hAnsi="Times New Roman"/>
                <w:sz w:val="20"/>
                <w:szCs w:val="20"/>
              </w:rPr>
            </w:pPr>
          </w:p>
        </w:tc>
        <w:tc>
          <w:tcPr>
            <w:tcW w:w="0" w:type="auto"/>
            <w:shd w:val="clear" w:color="auto" w:fill="auto"/>
            <w:vAlign w:val="center"/>
          </w:tcPr>
          <w:p w14:paraId="555694E6" w14:textId="77777777" w:rsidR="00F925DD" w:rsidRDefault="00F925DD">
            <w:pPr>
              <w:rPr>
                <w:rFonts w:ascii="Times New Roman" w:hAnsi="Times New Roman"/>
                <w:sz w:val="20"/>
                <w:szCs w:val="20"/>
              </w:rPr>
            </w:pPr>
          </w:p>
        </w:tc>
      </w:tr>
      <w:tr w:rsidR="00F925DD" w14:paraId="555694EA" w14:textId="77777777">
        <w:trPr>
          <w:tblCellSpacing w:w="0" w:type="dxa"/>
        </w:trPr>
        <w:tc>
          <w:tcPr>
            <w:tcW w:w="0" w:type="auto"/>
            <w:shd w:val="clear" w:color="auto" w:fill="auto"/>
          </w:tcPr>
          <w:p w14:paraId="555694E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4E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strategic risk; </w:t>
            </w:r>
          </w:p>
        </w:tc>
      </w:tr>
    </w:tbl>
    <w:p w14:paraId="555694E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1357"/>
      </w:tblGrid>
      <w:tr w:rsidR="00F925DD" w14:paraId="555694EE" w14:textId="77777777">
        <w:trPr>
          <w:tblCellSpacing w:w="0" w:type="dxa"/>
        </w:trPr>
        <w:tc>
          <w:tcPr>
            <w:tcW w:w="1080" w:type="dxa"/>
            <w:shd w:val="clear" w:color="auto" w:fill="auto"/>
            <w:vAlign w:val="center"/>
          </w:tcPr>
          <w:p w14:paraId="555694EC" w14:textId="77777777" w:rsidR="00F925DD" w:rsidRDefault="00F925DD">
            <w:pPr>
              <w:rPr>
                <w:rFonts w:ascii="Times New Roman" w:hAnsi="Times New Roman"/>
                <w:sz w:val="20"/>
                <w:szCs w:val="20"/>
              </w:rPr>
            </w:pPr>
          </w:p>
        </w:tc>
        <w:tc>
          <w:tcPr>
            <w:tcW w:w="0" w:type="auto"/>
            <w:shd w:val="clear" w:color="auto" w:fill="auto"/>
            <w:vAlign w:val="center"/>
          </w:tcPr>
          <w:p w14:paraId="555694ED" w14:textId="77777777" w:rsidR="00F925DD" w:rsidRDefault="00F925DD">
            <w:pPr>
              <w:rPr>
                <w:rFonts w:ascii="Times New Roman" w:hAnsi="Times New Roman"/>
                <w:sz w:val="20"/>
                <w:szCs w:val="20"/>
              </w:rPr>
            </w:pPr>
          </w:p>
        </w:tc>
      </w:tr>
      <w:tr w:rsidR="00F925DD" w14:paraId="555694F1" w14:textId="77777777">
        <w:trPr>
          <w:tblCellSpacing w:w="0" w:type="dxa"/>
        </w:trPr>
        <w:tc>
          <w:tcPr>
            <w:tcW w:w="0" w:type="auto"/>
            <w:shd w:val="clear" w:color="auto" w:fill="auto"/>
          </w:tcPr>
          <w:p w14:paraId="555694E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4F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model risk; and </w:t>
            </w:r>
          </w:p>
        </w:tc>
      </w:tr>
    </w:tbl>
    <w:p w14:paraId="555694F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4314"/>
      </w:tblGrid>
      <w:tr w:rsidR="00F925DD" w14:paraId="555694F5" w14:textId="77777777">
        <w:trPr>
          <w:tblCellSpacing w:w="0" w:type="dxa"/>
        </w:trPr>
        <w:tc>
          <w:tcPr>
            <w:tcW w:w="1080" w:type="dxa"/>
            <w:shd w:val="clear" w:color="auto" w:fill="auto"/>
            <w:vAlign w:val="center"/>
          </w:tcPr>
          <w:p w14:paraId="555694F3" w14:textId="77777777" w:rsidR="00F925DD" w:rsidRDefault="00F925DD">
            <w:pPr>
              <w:rPr>
                <w:rFonts w:ascii="Times New Roman" w:hAnsi="Times New Roman"/>
                <w:sz w:val="20"/>
                <w:szCs w:val="20"/>
              </w:rPr>
            </w:pPr>
          </w:p>
        </w:tc>
        <w:tc>
          <w:tcPr>
            <w:tcW w:w="0" w:type="auto"/>
            <w:shd w:val="clear" w:color="auto" w:fill="auto"/>
            <w:vAlign w:val="center"/>
          </w:tcPr>
          <w:p w14:paraId="555694F4" w14:textId="77777777" w:rsidR="00F925DD" w:rsidRDefault="00F925DD">
            <w:pPr>
              <w:rPr>
                <w:rFonts w:ascii="Times New Roman" w:hAnsi="Times New Roman"/>
                <w:sz w:val="20"/>
                <w:szCs w:val="20"/>
              </w:rPr>
            </w:pPr>
          </w:p>
        </w:tc>
      </w:tr>
      <w:tr w:rsidR="00F925DD" w14:paraId="555694F8" w14:textId="77777777">
        <w:trPr>
          <w:tblCellSpacing w:w="0" w:type="dxa"/>
        </w:trPr>
        <w:tc>
          <w:tcPr>
            <w:tcW w:w="0" w:type="auto"/>
            <w:shd w:val="clear" w:color="auto" w:fill="auto"/>
          </w:tcPr>
          <w:p w14:paraId="555694F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4F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reputational, fiduciary and business conduct risk. </w:t>
            </w:r>
          </w:p>
        </w:tc>
      </w:tr>
    </w:tbl>
    <w:p w14:paraId="555694F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Many of these risks, as well as certain factors underlying each of these risks that could affect our businesses and our consolidated financial statements, are discussed in detail under "Risk Factors" in </w:t>
      </w:r>
      <w:r>
        <w:rPr>
          <w:rFonts w:ascii="Arial" w:eastAsia="宋体" w:hAnsi="Arial" w:cs="Arial"/>
          <w:sz w:val="20"/>
          <w:szCs w:val="20"/>
        </w:rPr>
        <w:t>this Form 10-K.</w:t>
      </w:r>
    </w:p>
    <w:p w14:paraId="555694F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scope of our business requires that we balance these risks with a comprehensive and well-integrated risk management function. The identification, assessment, monitoring, mitigation and reporting of risks are essential to our financial p</w:t>
      </w:r>
      <w:r>
        <w:rPr>
          <w:rFonts w:ascii="Arial" w:eastAsia="宋体" w:hAnsi="Arial" w:cs="Arial"/>
          <w:sz w:val="20"/>
          <w:szCs w:val="20"/>
        </w:rPr>
        <w:t xml:space="preserve">erformance and successful management of our businesses. These risks, if not effectively managed, can result in losses to us as well as erosion of our capital and damage to our reputation. Our approach, including Board and senior management oversight and a </w:t>
      </w:r>
      <w:r>
        <w:rPr>
          <w:rFonts w:ascii="Arial" w:eastAsia="宋体" w:hAnsi="Arial" w:cs="Arial"/>
          <w:sz w:val="20"/>
          <w:szCs w:val="20"/>
        </w:rPr>
        <w:t xml:space="preserve">system of policies, procedures, limits, risk measurement and monitoring and internal controls, allows for an assessment of risks within a framework for evaluating opportunities for the prudent use of capital that appropriately balances risk and return. </w:t>
      </w:r>
    </w:p>
    <w:p w14:paraId="555694F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w:t>
      </w:r>
      <w:r>
        <w:rPr>
          <w:rFonts w:ascii="Arial" w:eastAsia="宋体" w:hAnsi="Arial" w:cs="Arial"/>
          <w:sz w:val="20"/>
          <w:szCs w:val="20"/>
        </w:rPr>
        <w:t>r objective is to optimize our return while operating at a prudent level of risk. In support of this objective, we have instituted a risk appetite framework that aligns our business strategy and financial objectives with the level of risk that we are willi</w:t>
      </w:r>
      <w:r>
        <w:rPr>
          <w:rFonts w:ascii="Arial" w:eastAsia="宋体" w:hAnsi="Arial" w:cs="Arial"/>
          <w:sz w:val="20"/>
          <w:szCs w:val="20"/>
        </w:rPr>
        <w:t xml:space="preserve">ng to incur. </w:t>
      </w:r>
    </w:p>
    <w:p w14:paraId="555694F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risk management is based on the following major goals:</w:t>
      </w:r>
    </w:p>
    <w:tbl>
      <w:tblPr>
        <w:tblW w:w="0" w:type="auto"/>
        <w:tblCellSpacing w:w="0" w:type="dxa"/>
        <w:tblCellMar>
          <w:left w:w="0" w:type="dxa"/>
          <w:right w:w="0" w:type="dxa"/>
        </w:tblCellMar>
        <w:tblLook w:val="04A0" w:firstRow="1" w:lastRow="0" w:firstColumn="1" w:lastColumn="0" w:noHBand="0" w:noVBand="1"/>
      </w:tblPr>
      <w:tblGrid>
        <w:gridCol w:w="1080"/>
        <w:gridCol w:w="6737"/>
      </w:tblGrid>
      <w:tr w:rsidR="00F925DD" w14:paraId="555694FF" w14:textId="77777777">
        <w:trPr>
          <w:tblCellSpacing w:w="0" w:type="dxa"/>
        </w:trPr>
        <w:tc>
          <w:tcPr>
            <w:tcW w:w="1080" w:type="dxa"/>
            <w:shd w:val="clear" w:color="auto" w:fill="auto"/>
            <w:vAlign w:val="center"/>
          </w:tcPr>
          <w:p w14:paraId="555694FD" w14:textId="77777777" w:rsidR="00F925DD" w:rsidRDefault="00F925DD">
            <w:pPr>
              <w:rPr>
                <w:rFonts w:ascii="Times New Roman" w:hAnsi="Times New Roman"/>
                <w:sz w:val="20"/>
                <w:szCs w:val="20"/>
              </w:rPr>
            </w:pPr>
          </w:p>
        </w:tc>
        <w:tc>
          <w:tcPr>
            <w:tcW w:w="0" w:type="auto"/>
            <w:shd w:val="clear" w:color="auto" w:fill="auto"/>
            <w:vAlign w:val="center"/>
          </w:tcPr>
          <w:p w14:paraId="555694FE" w14:textId="77777777" w:rsidR="00F925DD" w:rsidRDefault="00F925DD">
            <w:pPr>
              <w:rPr>
                <w:rFonts w:ascii="Times New Roman" w:hAnsi="Times New Roman"/>
                <w:sz w:val="20"/>
                <w:szCs w:val="20"/>
              </w:rPr>
            </w:pPr>
          </w:p>
        </w:tc>
      </w:tr>
      <w:tr w:rsidR="00F925DD" w14:paraId="55569502" w14:textId="77777777">
        <w:trPr>
          <w:tblCellSpacing w:w="0" w:type="dxa"/>
        </w:trPr>
        <w:tc>
          <w:tcPr>
            <w:tcW w:w="0" w:type="auto"/>
            <w:shd w:val="clear" w:color="auto" w:fill="auto"/>
          </w:tcPr>
          <w:p w14:paraId="5556950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50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 culture of risk awareness that extends across all of our business activities;</w:t>
            </w:r>
          </w:p>
        </w:tc>
      </w:tr>
    </w:tbl>
    <w:p w14:paraId="55569503" w14:textId="77777777" w:rsidR="00F925DD" w:rsidRDefault="00E705D7">
      <w:pPr>
        <w:rPr>
          <w:rFonts w:ascii="Times New Roman" w:hAnsi="Times New Roman"/>
          <w:sz w:val="20"/>
          <w:szCs w:val="20"/>
        </w:rPr>
      </w:pPr>
      <w:r>
        <w:rPr>
          <w:rFonts w:ascii="Times New Roman" w:eastAsia="宋体" w:hAnsi="Times New Roman"/>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080"/>
        <w:gridCol w:w="6237"/>
      </w:tblGrid>
      <w:tr w:rsidR="00F925DD" w14:paraId="55569506" w14:textId="77777777">
        <w:trPr>
          <w:tblCellSpacing w:w="0" w:type="dxa"/>
        </w:trPr>
        <w:tc>
          <w:tcPr>
            <w:tcW w:w="1080" w:type="dxa"/>
            <w:shd w:val="clear" w:color="auto" w:fill="auto"/>
            <w:vAlign w:val="center"/>
          </w:tcPr>
          <w:p w14:paraId="55569504" w14:textId="77777777" w:rsidR="00F925DD" w:rsidRDefault="00F925DD">
            <w:pPr>
              <w:rPr>
                <w:rFonts w:ascii="Times New Roman" w:hAnsi="Times New Roman"/>
                <w:sz w:val="20"/>
                <w:szCs w:val="20"/>
              </w:rPr>
            </w:pPr>
          </w:p>
        </w:tc>
        <w:tc>
          <w:tcPr>
            <w:tcW w:w="0" w:type="auto"/>
            <w:shd w:val="clear" w:color="auto" w:fill="auto"/>
            <w:vAlign w:val="center"/>
          </w:tcPr>
          <w:p w14:paraId="55569505" w14:textId="77777777" w:rsidR="00F925DD" w:rsidRDefault="00F925DD">
            <w:pPr>
              <w:rPr>
                <w:rFonts w:ascii="Times New Roman" w:hAnsi="Times New Roman"/>
                <w:sz w:val="20"/>
                <w:szCs w:val="20"/>
              </w:rPr>
            </w:pPr>
          </w:p>
        </w:tc>
      </w:tr>
      <w:tr w:rsidR="00F925DD" w14:paraId="55569509" w14:textId="77777777">
        <w:trPr>
          <w:tblCellSpacing w:w="0" w:type="dxa"/>
        </w:trPr>
        <w:tc>
          <w:tcPr>
            <w:tcW w:w="0" w:type="auto"/>
            <w:shd w:val="clear" w:color="auto" w:fill="auto"/>
          </w:tcPr>
          <w:p w14:paraId="5556950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50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identification, classification and quantification of our material risks;</w:t>
            </w:r>
          </w:p>
        </w:tc>
      </w:tr>
    </w:tbl>
    <w:p w14:paraId="5556950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50D" w14:textId="77777777">
        <w:trPr>
          <w:tblCellSpacing w:w="0" w:type="dxa"/>
        </w:trPr>
        <w:tc>
          <w:tcPr>
            <w:tcW w:w="1080" w:type="dxa"/>
            <w:shd w:val="clear" w:color="auto" w:fill="auto"/>
            <w:vAlign w:val="center"/>
          </w:tcPr>
          <w:p w14:paraId="5556950B" w14:textId="77777777" w:rsidR="00F925DD" w:rsidRDefault="00F925DD">
            <w:pPr>
              <w:rPr>
                <w:rFonts w:ascii="Times New Roman" w:hAnsi="Times New Roman"/>
                <w:sz w:val="20"/>
                <w:szCs w:val="20"/>
              </w:rPr>
            </w:pPr>
          </w:p>
        </w:tc>
        <w:tc>
          <w:tcPr>
            <w:tcW w:w="0" w:type="auto"/>
            <w:shd w:val="clear" w:color="auto" w:fill="auto"/>
            <w:vAlign w:val="center"/>
          </w:tcPr>
          <w:p w14:paraId="5556950C" w14:textId="77777777" w:rsidR="00F925DD" w:rsidRDefault="00F925DD">
            <w:pPr>
              <w:rPr>
                <w:rFonts w:ascii="Times New Roman" w:hAnsi="Times New Roman"/>
                <w:sz w:val="20"/>
                <w:szCs w:val="20"/>
              </w:rPr>
            </w:pPr>
          </w:p>
        </w:tc>
      </w:tr>
      <w:tr w:rsidR="00F925DD" w14:paraId="55569510" w14:textId="77777777">
        <w:trPr>
          <w:tblCellSpacing w:w="0" w:type="dxa"/>
        </w:trPr>
        <w:tc>
          <w:tcPr>
            <w:tcW w:w="0" w:type="auto"/>
            <w:shd w:val="clear" w:color="auto" w:fill="auto"/>
          </w:tcPr>
          <w:p w14:paraId="5556950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50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establishment of our risk appetite and associated limits and policies, and our compliance with these limits;</w:t>
            </w:r>
          </w:p>
        </w:tc>
      </w:tr>
    </w:tbl>
    <w:p w14:paraId="5556951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514" w14:textId="77777777">
        <w:trPr>
          <w:tblCellSpacing w:w="0" w:type="dxa"/>
        </w:trPr>
        <w:tc>
          <w:tcPr>
            <w:tcW w:w="1080" w:type="dxa"/>
            <w:shd w:val="clear" w:color="auto" w:fill="auto"/>
            <w:vAlign w:val="center"/>
          </w:tcPr>
          <w:p w14:paraId="55569512" w14:textId="77777777" w:rsidR="00F925DD" w:rsidRDefault="00F925DD">
            <w:pPr>
              <w:rPr>
                <w:rFonts w:ascii="Times New Roman" w:hAnsi="Times New Roman"/>
                <w:sz w:val="20"/>
                <w:szCs w:val="20"/>
              </w:rPr>
            </w:pPr>
          </w:p>
        </w:tc>
        <w:tc>
          <w:tcPr>
            <w:tcW w:w="0" w:type="auto"/>
            <w:shd w:val="clear" w:color="auto" w:fill="auto"/>
            <w:vAlign w:val="center"/>
          </w:tcPr>
          <w:p w14:paraId="55569513" w14:textId="77777777" w:rsidR="00F925DD" w:rsidRDefault="00F925DD">
            <w:pPr>
              <w:rPr>
                <w:rFonts w:ascii="Times New Roman" w:hAnsi="Times New Roman"/>
                <w:sz w:val="20"/>
                <w:szCs w:val="20"/>
              </w:rPr>
            </w:pPr>
          </w:p>
        </w:tc>
      </w:tr>
      <w:tr w:rsidR="00F925DD" w14:paraId="55569517" w14:textId="77777777">
        <w:trPr>
          <w:tblCellSpacing w:w="0" w:type="dxa"/>
        </w:trPr>
        <w:tc>
          <w:tcPr>
            <w:tcW w:w="0" w:type="auto"/>
            <w:shd w:val="clear" w:color="auto" w:fill="auto"/>
          </w:tcPr>
          <w:p w14:paraId="5556951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51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establishment of a risk management structure at the “top of the house” that enables the control and coordination of </w:t>
            </w:r>
            <w:r>
              <w:rPr>
                <w:rFonts w:ascii="Arial" w:eastAsia="宋体" w:hAnsi="Arial" w:cs="Arial"/>
                <w:sz w:val="20"/>
                <w:szCs w:val="20"/>
              </w:rPr>
              <w:t>risk-taking across the business lines;</w:t>
            </w:r>
          </w:p>
        </w:tc>
      </w:tr>
    </w:tbl>
    <w:p w14:paraId="5556951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51B" w14:textId="77777777">
        <w:trPr>
          <w:tblCellSpacing w:w="0" w:type="dxa"/>
        </w:trPr>
        <w:tc>
          <w:tcPr>
            <w:tcW w:w="1080" w:type="dxa"/>
            <w:shd w:val="clear" w:color="auto" w:fill="auto"/>
            <w:vAlign w:val="center"/>
          </w:tcPr>
          <w:p w14:paraId="55569519" w14:textId="77777777" w:rsidR="00F925DD" w:rsidRDefault="00F925DD">
            <w:pPr>
              <w:rPr>
                <w:rFonts w:ascii="Times New Roman" w:hAnsi="Times New Roman"/>
                <w:sz w:val="20"/>
                <w:szCs w:val="20"/>
              </w:rPr>
            </w:pPr>
          </w:p>
        </w:tc>
        <w:tc>
          <w:tcPr>
            <w:tcW w:w="0" w:type="auto"/>
            <w:shd w:val="clear" w:color="auto" w:fill="auto"/>
            <w:vAlign w:val="center"/>
          </w:tcPr>
          <w:p w14:paraId="5556951A" w14:textId="77777777" w:rsidR="00F925DD" w:rsidRDefault="00F925DD">
            <w:pPr>
              <w:rPr>
                <w:rFonts w:ascii="Times New Roman" w:hAnsi="Times New Roman"/>
                <w:sz w:val="20"/>
                <w:szCs w:val="20"/>
              </w:rPr>
            </w:pPr>
          </w:p>
        </w:tc>
      </w:tr>
      <w:tr w:rsidR="00F925DD" w14:paraId="5556951E" w14:textId="77777777">
        <w:trPr>
          <w:tblCellSpacing w:w="0" w:type="dxa"/>
        </w:trPr>
        <w:tc>
          <w:tcPr>
            <w:tcW w:w="0" w:type="auto"/>
            <w:shd w:val="clear" w:color="auto" w:fill="auto"/>
          </w:tcPr>
          <w:p w14:paraId="5556951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51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implementation of stress testing practices and a dynamic risk-assessment capability; </w:t>
            </w:r>
          </w:p>
        </w:tc>
      </w:tr>
    </w:tbl>
    <w:p w14:paraId="5556951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522" w14:textId="77777777">
        <w:trPr>
          <w:tblCellSpacing w:w="0" w:type="dxa"/>
        </w:trPr>
        <w:tc>
          <w:tcPr>
            <w:tcW w:w="1080" w:type="dxa"/>
            <w:shd w:val="clear" w:color="auto" w:fill="auto"/>
            <w:vAlign w:val="center"/>
          </w:tcPr>
          <w:p w14:paraId="55569520" w14:textId="77777777" w:rsidR="00F925DD" w:rsidRDefault="00F925DD">
            <w:pPr>
              <w:rPr>
                <w:rFonts w:ascii="Times New Roman" w:hAnsi="Times New Roman"/>
                <w:sz w:val="20"/>
                <w:szCs w:val="20"/>
              </w:rPr>
            </w:pPr>
          </w:p>
        </w:tc>
        <w:tc>
          <w:tcPr>
            <w:tcW w:w="0" w:type="auto"/>
            <w:shd w:val="clear" w:color="auto" w:fill="auto"/>
            <w:vAlign w:val="center"/>
          </w:tcPr>
          <w:p w14:paraId="55569521" w14:textId="77777777" w:rsidR="00F925DD" w:rsidRDefault="00F925DD">
            <w:pPr>
              <w:rPr>
                <w:rFonts w:ascii="Times New Roman" w:hAnsi="Times New Roman"/>
                <w:sz w:val="20"/>
                <w:szCs w:val="20"/>
              </w:rPr>
            </w:pPr>
          </w:p>
        </w:tc>
      </w:tr>
      <w:tr w:rsidR="00F925DD" w14:paraId="55569525" w14:textId="77777777">
        <w:trPr>
          <w:tblCellSpacing w:w="0" w:type="dxa"/>
        </w:trPr>
        <w:tc>
          <w:tcPr>
            <w:tcW w:w="0" w:type="auto"/>
            <w:shd w:val="clear" w:color="auto" w:fill="auto"/>
          </w:tcPr>
          <w:p w14:paraId="5556952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52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direct link between risk and strategic-decision making processes and incentive compensation </w:t>
            </w:r>
            <w:r>
              <w:rPr>
                <w:rFonts w:ascii="Arial" w:eastAsia="宋体" w:hAnsi="Arial" w:cs="Arial"/>
                <w:sz w:val="20"/>
                <w:szCs w:val="20"/>
              </w:rPr>
              <w:t>practices; and</w:t>
            </w:r>
          </w:p>
        </w:tc>
      </w:tr>
    </w:tbl>
    <w:p w14:paraId="5556952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529" w14:textId="77777777">
        <w:trPr>
          <w:tblCellSpacing w:w="0" w:type="dxa"/>
        </w:trPr>
        <w:tc>
          <w:tcPr>
            <w:tcW w:w="1080" w:type="dxa"/>
            <w:shd w:val="clear" w:color="auto" w:fill="auto"/>
            <w:vAlign w:val="center"/>
          </w:tcPr>
          <w:p w14:paraId="55569527" w14:textId="77777777" w:rsidR="00F925DD" w:rsidRDefault="00F925DD">
            <w:pPr>
              <w:rPr>
                <w:rFonts w:ascii="Times New Roman" w:hAnsi="Times New Roman"/>
                <w:sz w:val="20"/>
                <w:szCs w:val="20"/>
              </w:rPr>
            </w:pPr>
          </w:p>
        </w:tc>
        <w:tc>
          <w:tcPr>
            <w:tcW w:w="0" w:type="auto"/>
            <w:shd w:val="clear" w:color="auto" w:fill="auto"/>
            <w:vAlign w:val="center"/>
          </w:tcPr>
          <w:p w14:paraId="55569528" w14:textId="77777777" w:rsidR="00F925DD" w:rsidRDefault="00F925DD">
            <w:pPr>
              <w:rPr>
                <w:rFonts w:ascii="Times New Roman" w:hAnsi="Times New Roman"/>
                <w:sz w:val="20"/>
                <w:szCs w:val="20"/>
              </w:rPr>
            </w:pPr>
          </w:p>
        </w:tc>
      </w:tr>
      <w:tr w:rsidR="00F925DD" w14:paraId="5556952C" w14:textId="77777777">
        <w:trPr>
          <w:tblCellSpacing w:w="0" w:type="dxa"/>
        </w:trPr>
        <w:tc>
          <w:tcPr>
            <w:tcW w:w="0" w:type="auto"/>
            <w:shd w:val="clear" w:color="auto" w:fill="auto"/>
          </w:tcPr>
          <w:p w14:paraId="5556952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52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overall flexibility to adapt to the ever-changing business and market conditions.</w:t>
            </w:r>
          </w:p>
        </w:tc>
      </w:tr>
    </w:tbl>
    <w:p w14:paraId="5556952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risk appetite framework outlines the quantitative limits and qualitative goals that define our risk appetite, as well as the responsibilities for measuring and monitoring risk against limits, and for reporting, escalating, approving and addressing exce</w:t>
      </w:r>
      <w:r>
        <w:rPr>
          <w:rFonts w:ascii="Arial" w:eastAsia="宋体" w:hAnsi="Arial" w:cs="Arial"/>
          <w:sz w:val="20"/>
          <w:szCs w:val="20"/>
        </w:rPr>
        <w:t>ptions. Our risk appetite framework is established by ERM, a corporate risk oversight group, in conjunction with the MRAC and the RC of the Board. The Board formally reviews and approves our risk appetite statement annually, or more frequently as required.</w:t>
      </w:r>
      <w:r>
        <w:rPr>
          <w:rFonts w:ascii="Arial" w:eastAsia="宋体" w:hAnsi="Arial" w:cs="Arial"/>
          <w:sz w:val="20"/>
          <w:szCs w:val="20"/>
        </w:rPr>
        <w:t xml:space="preserve"> </w:t>
      </w:r>
    </w:p>
    <w:p w14:paraId="5556952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risk appetite framework describes the level and types of risk that we are willing to accommodate in executing our business strategy, and also serves as a guide in setting risk limits across our business units. In addition to our risk appetite framewo</w:t>
      </w:r>
      <w:r>
        <w:rPr>
          <w:rFonts w:ascii="Arial" w:eastAsia="宋体" w:hAnsi="Arial" w:cs="Arial"/>
          <w:sz w:val="20"/>
          <w:szCs w:val="20"/>
        </w:rPr>
        <w:t>rk, we use stress testing as another important tool in our risk management practice. Additional information with respect to our stress testing process and practices is provided under “Capital” in this Management's Discussion and Analysis.</w:t>
      </w:r>
    </w:p>
    <w:p w14:paraId="5556952F"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Governance and St</w:t>
      </w:r>
      <w:r>
        <w:rPr>
          <w:rFonts w:ascii="Arial" w:eastAsia="宋体" w:hAnsi="Arial" w:cs="Arial"/>
          <w:b/>
          <w:bCs/>
          <w:color w:val="000000"/>
          <w:sz w:val="20"/>
          <w:szCs w:val="20"/>
        </w:rPr>
        <w:t>ructure</w:t>
      </w:r>
    </w:p>
    <w:p w14:paraId="5556953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an approach to risk management that involves all levels of management, from the Board and its committees, including its E&amp;A Committee, RC, the HRC and TOPS, to each business unit and each employee. We allocate responsibility for risk oversi</w:t>
      </w:r>
      <w:r>
        <w:rPr>
          <w:rFonts w:ascii="Arial" w:eastAsia="宋体" w:hAnsi="Arial" w:cs="Arial"/>
          <w:sz w:val="20"/>
          <w:szCs w:val="20"/>
        </w:rPr>
        <w:t>ght so that risk/return decisions are made at an appropriate level, and are subject to robust and effective review and challenge. Risk management is the responsibility of each employee, and is implemented through three lines of defense: the business units,</w:t>
      </w:r>
      <w:r>
        <w:rPr>
          <w:rFonts w:ascii="Arial" w:eastAsia="宋体" w:hAnsi="Arial" w:cs="Arial"/>
          <w:sz w:val="20"/>
          <w:szCs w:val="20"/>
        </w:rPr>
        <w:t xml:space="preserve"> which own and manage the risks inherent in their business, are considered the first line of defense; ERM and other support functions, such as Compliance, Finance and Vendor Management, provide the second line of defense; and Corporate Audit, which assesse</w:t>
      </w:r>
      <w:r>
        <w:rPr>
          <w:rFonts w:ascii="Arial" w:eastAsia="宋体" w:hAnsi="Arial" w:cs="Arial"/>
          <w:sz w:val="20"/>
          <w:szCs w:val="20"/>
        </w:rPr>
        <w:t>s the effectiveness of the first two lines of defense.</w:t>
      </w:r>
    </w:p>
    <w:p w14:paraId="55569531" w14:textId="77777777" w:rsidR="00F925DD" w:rsidRDefault="00F925DD">
      <w:pPr>
        <w:rPr>
          <w:rFonts w:ascii="Times New Roman" w:hAnsi="Times New Roman"/>
          <w:sz w:val="20"/>
          <w:szCs w:val="20"/>
        </w:rPr>
      </w:pPr>
    </w:p>
    <w:p w14:paraId="5556953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80</w:t>
      </w:r>
    </w:p>
    <w:p w14:paraId="55569533" w14:textId="77777777" w:rsidR="00F925DD" w:rsidRDefault="00F925DD">
      <w:pPr>
        <w:spacing w:line="288" w:lineRule="auto"/>
        <w:ind w:firstLine="600"/>
        <w:jc w:val="center"/>
        <w:rPr>
          <w:rFonts w:ascii="Times New Roman" w:hAnsi="Times New Roman"/>
          <w:sz w:val="18"/>
          <w:szCs w:val="18"/>
        </w:rPr>
      </w:pPr>
    </w:p>
    <w:p w14:paraId="55569534" w14:textId="77777777" w:rsidR="00F925DD" w:rsidRDefault="00E705D7">
      <w:r>
        <w:rPr>
          <w:rFonts w:ascii="Times New Roman" w:hAnsi="Times New Roman"/>
          <w:sz w:val="18"/>
          <w:szCs w:val="18"/>
        </w:rPr>
        <w:pict w14:anchorId="5557068A">
          <v:rect id="_x0000_i1104" style="width:415.3pt;height:1.5pt" o:hralign="center" o:hrstd="t" o:hr="t" fillcolor="#a0a0a0" stroked="f"/>
        </w:pict>
      </w:r>
    </w:p>
    <w:p w14:paraId="55569535"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53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537" w14:textId="77777777" w:rsidR="00F925DD" w:rsidRDefault="00F925DD">
      <w:pPr>
        <w:rPr>
          <w:rFonts w:ascii="Times New Roman" w:hAnsi="Times New Roman"/>
          <w:sz w:val="20"/>
          <w:szCs w:val="20"/>
        </w:rPr>
      </w:pPr>
    </w:p>
    <w:p w14:paraId="5556953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responsibilities for effective review and challenge reside with senior </w:t>
      </w:r>
      <w:r>
        <w:rPr>
          <w:rFonts w:ascii="Arial" w:eastAsia="宋体" w:hAnsi="Arial" w:cs="Arial"/>
          <w:sz w:val="20"/>
          <w:szCs w:val="20"/>
        </w:rPr>
        <w:t>managers, management oversight committees, Corporate Audit and, ultimately, the Board and its committees. While we believe that our risk management program is effective in managing the risks in our businesses, internal and external factors may create risks</w:t>
      </w:r>
      <w:r>
        <w:rPr>
          <w:rFonts w:ascii="Arial" w:eastAsia="宋体" w:hAnsi="Arial" w:cs="Arial"/>
          <w:sz w:val="20"/>
          <w:szCs w:val="20"/>
        </w:rPr>
        <w:t xml:space="preserve"> that cannot always be identified or anticipated.</w:t>
      </w:r>
    </w:p>
    <w:p w14:paraId="5556953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Corporate-level risk committees provide focused oversight, and establish corporate standards and policies for specific risks, including credit, sovereign exposure, market, liquidity, operational, informatio</w:t>
      </w:r>
      <w:r>
        <w:rPr>
          <w:rFonts w:ascii="Arial" w:eastAsia="宋体" w:hAnsi="Arial" w:cs="Arial"/>
          <w:sz w:val="20"/>
          <w:szCs w:val="20"/>
        </w:rPr>
        <w:t>n technology as well as new business products, regulatory compliance and ethics, vendor risk and model risks. These committees have been delegated the responsibility to develop recommendations and remediation strategies to address issues that affect or hav</w:t>
      </w:r>
      <w:r>
        <w:rPr>
          <w:rFonts w:ascii="Arial" w:eastAsia="宋体" w:hAnsi="Arial" w:cs="Arial"/>
          <w:sz w:val="20"/>
          <w:szCs w:val="20"/>
        </w:rPr>
        <w:t>e the potential to affect us.</w:t>
      </w:r>
    </w:p>
    <w:p w14:paraId="5556953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maintain a risk governance committee structure which serves as the formal governance mechanism through which we seek to undertake the consistent identification, management and mitigation of various risks facing us in connec</w:t>
      </w:r>
      <w:r>
        <w:rPr>
          <w:rFonts w:ascii="Arial" w:eastAsia="宋体" w:hAnsi="Arial" w:cs="Arial"/>
          <w:sz w:val="20"/>
          <w:szCs w:val="20"/>
        </w:rPr>
        <w:t>tion with its business activities. This governance structure is enhanced and integrated through multi-disciplinary involvement, particularly through ERM. The following chart presents this structure.</w:t>
      </w:r>
    </w:p>
    <w:tbl>
      <w:tblPr>
        <w:tblW w:w="5000" w:type="pct"/>
        <w:tblCellMar>
          <w:left w:w="0" w:type="dxa"/>
          <w:right w:w="0" w:type="dxa"/>
        </w:tblCellMar>
        <w:tblLook w:val="04A0" w:firstRow="1" w:lastRow="0" w:firstColumn="1" w:lastColumn="0" w:noHBand="0" w:noVBand="1"/>
      </w:tblPr>
      <w:tblGrid>
        <w:gridCol w:w="50"/>
        <w:gridCol w:w="1323"/>
        <w:gridCol w:w="160"/>
        <w:gridCol w:w="1240"/>
        <w:gridCol w:w="825"/>
        <w:gridCol w:w="1323"/>
        <w:gridCol w:w="825"/>
        <w:gridCol w:w="1158"/>
        <w:gridCol w:w="244"/>
        <w:gridCol w:w="1158"/>
      </w:tblGrid>
      <w:tr w:rsidR="00F925DD" w14:paraId="5556953C" w14:textId="77777777">
        <w:tc>
          <w:tcPr>
            <w:tcW w:w="0" w:type="auto"/>
            <w:gridSpan w:val="10"/>
            <w:shd w:val="clear" w:color="auto" w:fill="auto"/>
            <w:vAlign w:val="center"/>
          </w:tcPr>
          <w:p w14:paraId="5556953B" w14:textId="77777777" w:rsidR="00F925DD" w:rsidRDefault="00F925DD">
            <w:pPr>
              <w:rPr>
                <w:rFonts w:ascii="Times New Roman" w:hAnsi="Times New Roman"/>
                <w:sz w:val="20"/>
                <w:szCs w:val="20"/>
              </w:rPr>
            </w:pPr>
          </w:p>
        </w:tc>
      </w:tr>
      <w:tr w:rsidR="00F925DD" w14:paraId="55569547" w14:textId="77777777">
        <w:tc>
          <w:tcPr>
            <w:tcW w:w="0" w:type="pct"/>
            <w:shd w:val="clear" w:color="auto" w:fill="auto"/>
            <w:vAlign w:val="center"/>
          </w:tcPr>
          <w:p w14:paraId="5556953D" w14:textId="77777777" w:rsidR="00F925DD" w:rsidRDefault="00F925DD">
            <w:pPr>
              <w:rPr>
                <w:rFonts w:ascii="Times New Roman" w:hAnsi="Times New Roman"/>
                <w:sz w:val="20"/>
                <w:szCs w:val="20"/>
              </w:rPr>
            </w:pPr>
          </w:p>
        </w:tc>
        <w:tc>
          <w:tcPr>
            <w:tcW w:w="800" w:type="pct"/>
            <w:shd w:val="clear" w:color="auto" w:fill="auto"/>
            <w:vAlign w:val="center"/>
          </w:tcPr>
          <w:p w14:paraId="5556953E" w14:textId="77777777" w:rsidR="00F925DD" w:rsidRDefault="00F925DD">
            <w:pPr>
              <w:rPr>
                <w:rFonts w:ascii="Times New Roman" w:hAnsi="Times New Roman"/>
                <w:sz w:val="20"/>
                <w:szCs w:val="20"/>
              </w:rPr>
            </w:pPr>
          </w:p>
        </w:tc>
        <w:tc>
          <w:tcPr>
            <w:tcW w:w="100" w:type="pct"/>
            <w:shd w:val="clear" w:color="auto" w:fill="auto"/>
            <w:vAlign w:val="center"/>
          </w:tcPr>
          <w:p w14:paraId="5556953F" w14:textId="77777777" w:rsidR="00F925DD" w:rsidRDefault="00F925DD">
            <w:pPr>
              <w:rPr>
                <w:rFonts w:ascii="Times New Roman" w:hAnsi="Times New Roman"/>
                <w:sz w:val="20"/>
                <w:szCs w:val="20"/>
              </w:rPr>
            </w:pPr>
          </w:p>
        </w:tc>
        <w:tc>
          <w:tcPr>
            <w:tcW w:w="750" w:type="pct"/>
            <w:shd w:val="clear" w:color="auto" w:fill="auto"/>
            <w:vAlign w:val="center"/>
          </w:tcPr>
          <w:p w14:paraId="55569540" w14:textId="77777777" w:rsidR="00F925DD" w:rsidRDefault="00F925DD">
            <w:pPr>
              <w:rPr>
                <w:rFonts w:ascii="Times New Roman" w:hAnsi="Times New Roman"/>
                <w:sz w:val="20"/>
                <w:szCs w:val="20"/>
              </w:rPr>
            </w:pPr>
          </w:p>
        </w:tc>
        <w:tc>
          <w:tcPr>
            <w:tcW w:w="500" w:type="pct"/>
            <w:shd w:val="clear" w:color="auto" w:fill="auto"/>
            <w:vAlign w:val="center"/>
          </w:tcPr>
          <w:p w14:paraId="55569541" w14:textId="77777777" w:rsidR="00F925DD" w:rsidRDefault="00F925DD">
            <w:pPr>
              <w:rPr>
                <w:rFonts w:ascii="Times New Roman" w:hAnsi="Times New Roman"/>
                <w:sz w:val="20"/>
                <w:szCs w:val="20"/>
              </w:rPr>
            </w:pPr>
          </w:p>
        </w:tc>
        <w:tc>
          <w:tcPr>
            <w:tcW w:w="800" w:type="pct"/>
            <w:shd w:val="clear" w:color="auto" w:fill="auto"/>
            <w:vAlign w:val="center"/>
          </w:tcPr>
          <w:p w14:paraId="55569542" w14:textId="77777777" w:rsidR="00F925DD" w:rsidRDefault="00F925DD">
            <w:pPr>
              <w:rPr>
                <w:rFonts w:ascii="Times New Roman" w:hAnsi="Times New Roman"/>
                <w:sz w:val="20"/>
                <w:szCs w:val="20"/>
              </w:rPr>
            </w:pPr>
          </w:p>
        </w:tc>
        <w:tc>
          <w:tcPr>
            <w:tcW w:w="500" w:type="pct"/>
            <w:shd w:val="clear" w:color="auto" w:fill="auto"/>
            <w:vAlign w:val="center"/>
          </w:tcPr>
          <w:p w14:paraId="55569543" w14:textId="77777777" w:rsidR="00F925DD" w:rsidRDefault="00F925DD">
            <w:pPr>
              <w:rPr>
                <w:rFonts w:ascii="Times New Roman" w:hAnsi="Times New Roman"/>
                <w:sz w:val="20"/>
                <w:szCs w:val="20"/>
              </w:rPr>
            </w:pPr>
          </w:p>
        </w:tc>
        <w:tc>
          <w:tcPr>
            <w:tcW w:w="700" w:type="pct"/>
            <w:shd w:val="clear" w:color="auto" w:fill="auto"/>
            <w:vAlign w:val="center"/>
          </w:tcPr>
          <w:p w14:paraId="55569544" w14:textId="77777777" w:rsidR="00F925DD" w:rsidRDefault="00F925DD">
            <w:pPr>
              <w:rPr>
                <w:rFonts w:ascii="Times New Roman" w:hAnsi="Times New Roman"/>
                <w:sz w:val="20"/>
                <w:szCs w:val="20"/>
              </w:rPr>
            </w:pPr>
          </w:p>
        </w:tc>
        <w:tc>
          <w:tcPr>
            <w:tcW w:w="150" w:type="pct"/>
            <w:shd w:val="clear" w:color="auto" w:fill="auto"/>
            <w:vAlign w:val="center"/>
          </w:tcPr>
          <w:p w14:paraId="55569545" w14:textId="77777777" w:rsidR="00F925DD" w:rsidRDefault="00F925DD">
            <w:pPr>
              <w:rPr>
                <w:rFonts w:ascii="Times New Roman" w:hAnsi="Times New Roman"/>
                <w:sz w:val="20"/>
                <w:szCs w:val="20"/>
              </w:rPr>
            </w:pPr>
          </w:p>
        </w:tc>
        <w:tc>
          <w:tcPr>
            <w:tcW w:w="700" w:type="pct"/>
            <w:shd w:val="clear" w:color="auto" w:fill="auto"/>
            <w:vAlign w:val="center"/>
          </w:tcPr>
          <w:p w14:paraId="55569546" w14:textId="77777777" w:rsidR="00F925DD" w:rsidRDefault="00F925DD">
            <w:pPr>
              <w:rPr>
                <w:rFonts w:ascii="Times New Roman" w:hAnsi="Times New Roman"/>
                <w:sz w:val="20"/>
                <w:szCs w:val="20"/>
              </w:rPr>
            </w:pPr>
          </w:p>
        </w:tc>
      </w:tr>
      <w:tr w:rsidR="00F925DD" w14:paraId="5556954A" w14:textId="77777777">
        <w:tc>
          <w:tcPr>
            <w:tcW w:w="0" w:type="auto"/>
            <w:shd w:val="clear" w:color="auto" w:fill="auto"/>
            <w:vAlign w:val="center"/>
          </w:tcPr>
          <w:p w14:paraId="55569548"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gridSpan w:val="9"/>
            <w:vMerge w:val="restart"/>
            <w:shd w:val="clear" w:color="auto" w:fill="95B3D7"/>
            <w:tcMar>
              <w:top w:w="40" w:type="dxa"/>
              <w:left w:w="40" w:type="dxa"/>
              <w:bottom w:w="40" w:type="dxa"/>
              <w:right w:w="40" w:type="dxa"/>
            </w:tcMar>
            <w:vAlign w:val="center"/>
          </w:tcPr>
          <w:p w14:paraId="55569549" w14:textId="77777777" w:rsidR="00F925DD" w:rsidRDefault="00E705D7">
            <w:pPr>
              <w:jc w:val="center"/>
              <w:textAlignment w:val="center"/>
              <w:rPr>
                <w:rFonts w:ascii="Times New Roman" w:hAnsi="Times New Roman"/>
                <w:sz w:val="28"/>
                <w:szCs w:val="28"/>
              </w:rPr>
            </w:pPr>
            <w:r>
              <w:rPr>
                <w:rFonts w:ascii="Arial" w:eastAsia="宋体" w:hAnsi="Arial" w:cs="Arial"/>
                <w:b/>
                <w:bCs/>
                <w:color w:val="FFFFFF"/>
                <w:sz w:val="28"/>
                <w:szCs w:val="28"/>
              </w:rPr>
              <w:t xml:space="preserve">Management Risk Governance </w:t>
            </w:r>
            <w:r>
              <w:rPr>
                <w:rFonts w:ascii="Arial" w:eastAsia="宋体" w:hAnsi="Arial" w:cs="Arial"/>
                <w:b/>
                <w:bCs/>
                <w:color w:val="FFFFFF"/>
                <w:sz w:val="28"/>
                <w:szCs w:val="28"/>
              </w:rPr>
              <w:t>Committee Structure</w:t>
            </w:r>
          </w:p>
        </w:tc>
      </w:tr>
      <w:tr w:rsidR="00F925DD" w14:paraId="5556954D" w14:textId="77777777">
        <w:tc>
          <w:tcPr>
            <w:tcW w:w="0" w:type="auto"/>
            <w:shd w:val="clear" w:color="auto" w:fill="auto"/>
            <w:vAlign w:val="center"/>
          </w:tcPr>
          <w:p w14:paraId="5556954B"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gridSpan w:val="9"/>
            <w:vMerge/>
            <w:shd w:val="clear" w:color="auto" w:fill="95B3D7"/>
            <w:tcMar>
              <w:top w:w="40" w:type="dxa"/>
              <w:left w:w="40" w:type="dxa"/>
              <w:bottom w:w="40" w:type="dxa"/>
              <w:right w:w="40" w:type="dxa"/>
            </w:tcMar>
            <w:vAlign w:val="center"/>
          </w:tcPr>
          <w:p w14:paraId="5556954C" w14:textId="77777777" w:rsidR="00F925DD" w:rsidRDefault="00F925DD">
            <w:pPr>
              <w:rPr>
                <w:rFonts w:ascii="Times New Roman" w:hAnsi="Times New Roman"/>
                <w:sz w:val="20"/>
                <w:szCs w:val="20"/>
              </w:rPr>
            </w:pPr>
          </w:p>
        </w:tc>
      </w:tr>
      <w:tr w:rsidR="00F925DD" w14:paraId="55569558" w14:textId="77777777">
        <w:tc>
          <w:tcPr>
            <w:tcW w:w="0" w:type="auto"/>
            <w:shd w:val="clear" w:color="auto" w:fill="auto"/>
            <w:vAlign w:val="center"/>
          </w:tcPr>
          <w:p w14:paraId="5556954E"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5F" w14:textId="77777777">
        <w:tc>
          <w:tcPr>
            <w:tcW w:w="0" w:type="auto"/>
            <w:shd w:val="clear" w:color="auto" w:fill="auto"/>
            <w:vAlign w:val="center"/>
          </w:tcPr>
          <w:p w14:paraId="55569559"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gridSpan w:val="5"/>
            <w:shd w:val="clear" w:color="auto" w:fill="auto"/>
            <w:tcMar>
              <w:top w:w="40" w:type="dxa"/>
              <w:left w:w="40" w:type="dxa"/>
              <w:bottom w:w="40" w:type="dxa"/>
              <w:right w:w="40" w:type="dxa"/>
            </w:tcMar>
            <w:vAlign w:val="center"/>
          </w:tcPr>
          <w:p w14:paraId="5556955A" w14:textId="77777777" w:rsidR="00F925DD" w:rsidRDefault="00E705D7">
            <w:pPr>
              <w:textAlignment w:val="center"/>
              <w:rPr>
                <w:rFonts w:ascii="Times New Roman" w:hAnsi="Times New Roman"/>
                <w:sz w:val="20"/>
                <w:szCs w:val="20"/>
              </w:rPr>
            </w:pPr>
            <w:r>
              <w:rPr>
                <w:rFonts w:ascii="Arial" w:eastAsia="宋体" w:hAnsi="Arial" w:cs="Arial"/>
                <w:b/>
                <w:bCs/>
                <w:sz w:val="20"/>
                <w:szCs w:val="20"/>
              </w:rPr>
              <w:t>Executive Management Committees:</w:t>
            </w:r>
          </w:p>
        </w:tc>
        <w:tc>
          <w:tcPr>
            <w:tcW w:w="0" w:type="auto"/>
            <w:shd w:val="clear" w:color="auto" w:fill="auto"/>
            <w:tcMar>
              <w:top w:w="40" w:type="dxa"/>
              <w:left w:w="40" w:type="dxa"/>
              <w:bottom w:w="40" w:type="dxa"/>
              <w:right w:w="40" w:type="dxa"/>
            </w:tcMar>
            <w:vAlign w:val="bottom"/>
          </w:tcPr>
          <w:p w14:paraId="555695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6A" w14:textId="77777777">
        <w:tc>
          <w:tcPr>
            <w:tcW w:w="0" w:type="auto"/>
            <w:shd w:val="clear" w:color="auto" w:fill="auto"/>
            <w:vAlign w:val="center"/>
          </w:tcPr>
          <w:p w14:paraId="55569560"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71" w14:textId="77777777">
        <w:tc>
          <w:tcPr>
            <w:tcW w:w="0" w:type="auto"/>
            <w:shd w:val="clear" w:color="auto" w:fill="auto"/>
            <w:vAlign w:val="center"/>
          </w:tcPr>
          <w:p w14:paraId="5556956B"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003399"/>
            <w:tcMar>
              <w:top w:w="40" w:type="dxa"/>
              <w:left w:w="40" w:type="dxa"/>
              <w:bottom w:w="40" w:type="dxa"/>
              <w:right w:w="40" w:type="dxa"/>
            </w:tcMar>
            <w:vAlign w:val="center"/>
          </w:tcPr>
          <w:p w14:paraId="5556956C" w14:textId="77777777" w:rsidR="00F925DD" w:rsidRDefault="00E705D7">
            <w:pPr>
              <w:jc w:val="center"/>
              <w:textAlignment w:val="center"/>
              <w:rPr>
                <w:rFonts w:ascii="Times New Roman" w:hAnsi="Times New Roman"/>
                <w:sz w:val="16"/>
                <w:szCs w:val="16"/>
              </w:rPr>
            </w:pPr>
            <w:r>
              <w:rPr>
                <w:rFonts w:ascii="Arial" w:eastAsia="宋体" w:hAnsi="Arial" w:cs="Arial"/>
                <w:color w:val="FFFFFF"/>
                <w:sz w:val="16"/>
                <w:szCs w:val="16"/>
              </w:rPr>
              <w:t>Management Risk and Capital Committee</w:t>
            </w:r>
            <w:r>
              <w:rPr>
                <w:rFonts w:ascii="Arial" w:eastAsia="宋体" w:hAnsi="Arial" w:cs="Arial"/>
                <w:color w:val="FFFFFF"/>
                <w:sz w:val="16"/>
                <w:szCs w:val="16"/>
              </w:rPr>
              <w:br/>
              <w:t>(MRAC)</w:t>
            </w:r>
          </w:p>
        </w:tc>
        <w:tc>
          <w:tcPr>
            <w:tcW w:w="0" w:type="auto"/>
            <w:shd w:val="clear" w:color="auto" w:fill="auto"/>
            <w:tcMar>
              <w:top w:w="40" w:type="dxa"/>
              <w:left w:w="40" w:type="dxa"/>
              <w:bottom w:w="40" w:type="dxa"/>
              <w:right w:w="40" w:type="dxa"/>
            </w:tcMar>
            <w:vAlign w:val="bottom"/>
          </w:tcPr>
          <w:p w14:paraId="555695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6699"/>
            <w:tcMar>
              <w:top w:w="40" w:type="dxa"/>
              <w:left w:w="40" w:type="dxa"/>
              <w:bottom w:w="40" w:type="dxa"/>
              <w:right w:w="40" w:type="dxa"/>
            </w:tcMar>
            <w:vAlign w:val="center"/>
          </w:tcPr>
          <w:p w14:paraId="5556956E" w14:textId="77777777" w:rsidR="00F925DD" w:rsidRDefault="00E705D7">
            <w:pPr>
              <w:jc w:val="center"/>
              <w:textAlignment w:val="center"/>
              <w:rPr>
                <w:rFonts w:ascii="Times New Roman" w:hAnsi="Times New Roman"/>
                <w:sz w:val="16"/>
                <w:szCs w:val="16"/>
              </w:rPr>
            </w:pPr>
            <w:r>
              <w:rPr>
                <w:rFonts w:ascii="Arial" w:eastAsia="宋体" w:hAnsi="Arial" w:cs="Arial"/>
                <w:color w:val="FFFFFF"/>
                <w:sz w:val="16"/>
                <w:szCs w:val="16"/>
              </w:rPr>
              <w:t>Business Conduct Risk Committee</w:t>
            </w:r>
            <w:r>
              <w:rPr>
                <w:rFonts w:ascii="Arial" w:eastAsia="宋体" w:hAnsi="Arial" w:cs="Arial"/>
                <w:color w:val="FFFFFF"/>
                <w:sz w:val="16"/>
                <w:szCs w:val="16"/>
              </w:rPr>
              <w:br/>
              <w:t>(BCRC)</w:t>
            </w:r>
          </w:p>
        </w:tc>
        <w:tc>
          <w:tcPr>
            <w:tcW w:w="0" w:type="auto"/>
            <w:shd w:val="clear" w:color="auto" w:fill="auto"/>
            <w:tcMar>
              <w:top w:w="40" w:type="dxa"/>
              <w:left w:w="40" w:type="dxa"/>
              <w:bottom w:w="40" w:type="dxa"/>
              <w:right w:w="40" w:type="dxa"/>
            </w:tcMar>
            <w:vAlign w:val="bottom"/>
          </w:tcPr>
          <w:p w14:paraId="555695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6699FF"/>
            <w:tcMar>
              <w:top w:w="40" w:type="dxa"/>
              <w:left w:w="40" w:type="dxa"/>
              <w:bottom w:w="40" w:type="dxa"/>
              <w:right w:w="40" w:type="dxa"/>
            </w:tcMar>
            <w:vAlign w:val="center"/>
          </w:tcPr>
          <w:p w14:paraId="55569570" w14:textId="77777777" w:rsidR="00F925DD" w:rsidRDefault="00E705D7">
            <w:pPr>
              <w:jc w:val="center"/>
              <w:textAlignment w:val="center"/>
              <w:rPr>
                <w:rFonts w:ascii="Times New Roman" w:hAnsi="Times New Roman"/>
                <w:sz w:val="16"/>
                <w:szCs w:val="16"/>
              </w:rPr>
            </w:pPr>
            <w:r>
              <w:rPr>
                <w:rFonts w:ascii="Arial" w:eastAsia="宋体" w:hAnsi="Arial" w:cs="Arial"/>
                <w:color w:val="FFFFFF"/>
                <w:sz w:val="16"/>
                <w:szCs w:val="16"/>
              </w:rPr>
              <w:t>Technology and Operational Risk Committee</w:t>
            </w:r>
            <w:r>
              <w:rPr>
                <w:rFonts w:ascii="Arial" w:eastAsia="宋体" w:hAnsi="Arial" w:cs="Arial"/>
                <w:color w:val="FFFFFF"/>
                <w:sz w:val="16"/>
                <w:szCs w:val="16"/>
              </w:rPr>
              <w:br/>
              <w:t>(TORC)</w:t>
            </w:r>
          </w:p>
        </w:tc>
      </w:tr>
      <w:tr w:rsidR="00F925DD" w14:paraId="5556957C" w14:textId="77777777">
        <w:tc>
          <w:tcPr>
            <w:tcW w:w="0" w:type="auto"/>
            <w:shd w:val="clear" w:color="auto" w:fill="auto"/>
            <w:vAlign w:val="center"/>
          </w:tcPr>
          <w:p w14:paraId="55569572"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85" w14:textId="77777777">
        <w:tc>
          <w:tcPr>
            <w:tcW w:w="0" w:type="auto"/>
            <w:shd w:val="clear" w:color="auto" w:fill="auto"/>
            <w:vAlign w:val="center"/>
          </w:tcPr>
          <w:p w14:paraId="5556957D"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center"/>
          </w:tcPr>
          <w:p w14:paraId="5556957E" w14:textId="77777777" w:rsidR="00F925DD" w:rsidRDefault="00E705D7">
            <w:pPr>
              <w:textAlignment w:val="center"/>
              <w:rPr>
                <w:rFonts w:ascii="Times New Roman" w:hAnsi="Times New Roman"/>
                <w:sz w:val="20"/>
                <w:szCs w:val="20"/>
              </w:rPr>
            </w:pPr>
            <w:r>
              <w:rPr>
                <w:rFonts w:ascii="Arial" w:eastAsia="宋体" w:hAnsi="Arial" w:cs="Arial"/>
                <w:b/>
                <w:bCs/>
                <w:sz w:val="20"/>
                <w:szCs w:val="20"/>
              </w:rPr>
              <w:t>Risk Committees:</w:t>
            </w:r>
          </w:p>
        </w:tc>
        <w:tc>
          <w:tcPr>
            <w:tcW w:w="0" w:type="auto"/>
            <w:shd w:val="clear" w:color="auto" w:fill="auto"/>
            <w:tcMar>
              <w:top w:w="40" w:type="dxa"/>
              <w:left w:w="40" w:type="dxa"/>
              <w:bottom w:w="40" w:type="dxa"/>
              <w:right w:w="40" w:type="dxa"/>
            </w:tcMar>
            <w:vAlign w:val="bottom"/>
          </w:tcPr>
          <w:p w14:paraId="555695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90" w14:textId="77777777">
        <w:tc>
          <w:tcPr>
            <w:tcW w:w="0" w:type="auto"/>
            <w:shd w:val="clear" w:color="auto" w:fill="auto"/>
            <w:vAlign w:val="center"/>
          </w:tcPr>
          <w:p w14:paraId="55569586"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9B" w14:textId="77777777">
        <w:tc>
          <w:tcPr>
            <w:tcW w:w="0" w:type="auto"/>
            <w:shd w:val="clear" w:color="auto" w:fill="auto"/>
            <w:vAlign w:val="center"/>
          </w:tcPr>
          <w:p w14:paraId="55569591"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003399"/>
            <w:tcMar>
              <w:top w:w="40" w:type="dxa"/>
              <w:left w:w="40" w:type="dxa"/>
              <w:bottom w:w="40" w:type="dxa"/>
              <w:right w:w="40" w:type="dxa"/>
            </w:tcMar>
            <w:vAlign w:val="center"/>
          </w:tcPr>
          <w:p w14:paraId="55569592"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Asset-Liability Committee (ALCO)</w:t>
            </w:r>
          </w:p>
        </w:tc>
        <w:tc>
          <w:tcPr>
            <w:tcW w:w="0" w:type="auto"/>
            <w:shd w:val="clear" w:color="auto" w:fill="auto"/>
            <w:tcMar>
              <w:top w:w="40" w:type="dxa"/>
              <w:left w:w="40" w:type="dxa"/>
              <w:bottom w:w="40" w:type="dxa"/>
              <w:right w:w="40" w:type="dxa"/>
            </w:tcMar>
            <w:vAlign w:val="bottom"/>
          </w:tcPr>
          <w:p w14:paraId="555695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3399"/>
            <w:tcMar>
              <w:top w:w="40" w:type="dxa"/>
              <w:left w:w="40" w:type="dxa"/>
              <w:bottom w:w="40" w:type="dxa"/>
              <w:right w:w="40" w:type="dxa"/>
            </w:tcMar>
            <w:vAlign w:val="center"/>
          </w:tcPr>
          <w:p w14:paraId="55569594"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Credit Risk and Policy Committee</w:t>
            </w:r>
            <w:r>
              <w:rPr>
                <w:rFonts w:ascii="Arial" w:eastAsia="宋体" w:hAnsi="Arial" w:cs="Arial"/>
                <w:color w:val="FFFFFF"/>
                <w:sz w:val="14"/>
                <w:szCs w:val="14"/>
              </w:rPr>
              <w:br/>
              <w:t>(CRPC)</w:t>
            </w:r>
          </w:p>
        </w:tc>
        <w:tc>
          <w:tcPr>
            <w:tcW w:w="0" w:type="auto"/>
            <w:shd w:val="clear" w:color="auto" w:fill="auto"/>
            <w:tcMar>
              <w:top w:w="40" w:type="dxa"/>
              <w:left w:w="40" w:type="dxa"/>
              <w:bottom w:w="40" w:type="dxa"/>
              <w:right w:w="40" w:type="dxa"/>
            </w:tcMar>
            <w:vAlign w:val="bottom"/>
          </w:tcPr>
          <w:p w14:paraId="555695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6699"/>
            <w:tcMar>
              <w:top w:w="40" w:type="dxa"/>
              <w:left w:w="40" w:type="dxa"/>
              <w:bottom w:w="40" w:type="dxa"/>
              <w:right w:w="40" w:type="dxa"/>
            </w:tcMar>
            <w:vAlign w:val="center"/>
          </w:tcPr>
          <w:p w14:paraId="55569596"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Fiduciary Review Committee</w:t>
            </w:r>
          </w:p>
        </w:tc>
        <w:tc>
          <w:tcPr>
            <w:tcW w:w="0" w:type="auto"/>
            <w:shd w:val="clear" w:color="auto" w:fill="auto"/>
            <w:tcMar>
              <w:top w:w="40" w:type="dxa"/>
              <w:left w:w="40" w:type="dxa"/>
              <w:bottom w:w="40" w:type="dxa"/>
              <w:right w:w="40" w:type="dxa"/>
            </w:tcMar>
            <w:vAlign w:val="bottom"/>
          </w:tcPr>
          <w:p w14:paraId="555695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6699FF"/>
            <w:tcMar>
              <w:top w:w="40" w:type="dxa"/>
              <w:left w:w="40" w:type="dxa"/>
              <w:bottom w:w="40" w:type="dxa"/>
              <w:right w:w="40" w:type="dxa"/>
            </w:tcMar>
            <w:vAlign w:val="center"/>
          </w:tcPr>
          <w:p w14:paraId="55569598"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Operational Risk Committee</w:t>
            </w:r>
          </w:p>
        </w:tc>
        <w:tc>
          <w:tcPr>
            <w:tcW w:w="0" w:type="auto"/>
            <w:shd w:val="clear" w:color="auto" w:fill="auto"/>
            <w:tcMar>
              <w:top w:w="40" w:type="dxa"/>
              <w:left w:w="40" w:type="dxa"/>
              <w:bottom w:w="40" w:type="dxa"/>
              <w:right w:w="40" w:type="dxa"/>
            </w:tcMar>
            <w:vAlign w:val="bottom"/>
          </w:tcPr>
          <w:p w14:paraId="555695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6699FF"/>
            <w:tcMar>
              <w:top w:w="40" w:type="dxa"/>
              <w:left w:w="40" w:type="dxa"/>
              <w:bottom w:w="40" w:type="dxa"/>
              <w:right w:w="40" w:type="dxa"/>
            </w:tcMar>
            <w:vAlign w:val="center"/>
          </w:tcPr>
          <w:p w14:paraId="5556959A"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Technology Risk Committee</w:t>
            </w:r>
          </w:p>
        </w:tc>
      </w:tr>
      <w:tr w:rsidR="00F925DD" w14:paraId="555695A6" w14:textId="77777777">
        <w:tc>
          <w:tcPr>
            <w:tcW w:w="0" w:type="auto"/>
            <w:shd w:val="clear" w:color="auto" w:fill="auto"/>
            <w:vAlign w:val="center"/>
          </w:tcPr>
          <w:p w14:paraId="5556959C"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B1" w14:textId="77777777">
        <w:tc>
          <w:tcPr>
            <w:tcW w:w="0" w:type="auto"/>
            <w:shd w:val="clear" w:color="auto" w:fill="auto"/>
            <w:vAlign w:val="center"/>
          </w:tcPr>
          <w:p w14:paraId="555695A7"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003399"/>
            <w:tcMar>
              <w:top w:w="40" w:type="dxa"/>
              <w:left w:w="40" w:type="dxa"/>
              <w:bottom w:w="40" w:type="dxa"/>
              <w:right w:w="40" w:type="dxa"/>
            </w:tcMar>
            <w:vAlign w:val="center"/>
          </w:tcPr>
          <w:p w14:paraId="555695A8"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Trading and Market Risk Committee (TMRC)</w:t>
            </w:r>
          </w:p>
        </w:tc>
        <w:tc>
          <w:tcPr>
            <w:tcW w:w="0" w:type="auto"/>
            <w:shd w:val="clear" w:color="auto" w:fill="auto"/>
            <w:tcMar>
              <w:top w:w="40" w:type="dxa"/>
              <w:left w:w="40" w:type="dxa"/>
              <w:bottom w:w="40" w:type="dxa"/>
              <w:right w:w="40" w:type="dxa"/>
            </w:tcMar>
            <w:vAlign w:val="bottom"/>
          </w:tcPr>
          <w:p w14:paraId="555695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3399"/>
            <w:tcMar>
              <w:top w:w="40" w:type="dxa"/>
              <w:left w:w="40" w:type="dxa"/>
              <w:bottom w:w="40" w:type="dxa"/>
              <w:right w:w="40" w:type="dxa"/>
            </w:tcMar>
            <w:vAlign w:val="center"/>
          </w:tcPr>
          <w:p w14:paraId="555695AA"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 xml:space="preserve">Basel Oversight Committee </w:t>
            </w:r>
            <w:r>
              <w:rPr>
                <w:rFonts w:ascii="Arial" w:eastAsia="宋体" w:hAnsi="Arial" w:cs="Arial"/>
                <w:color w:val="FFFFFF"/>
                <w:sz w:val="14"/>
                <w:szCs w:val="14"/>
              </w:rPr>
              <w:br/>
              <w:t>(BOC)</w:t>
            </w:r>
          </w:p>
        </w:tc>
        <w:tc>
          <w:tcPr>
            <w:tcW w:w="0" w:type="auto"/>
            <w:shd w:val="clear" w:color="auto" w:fill="auto"/>
            <w:tcMar>
              <w:top w:w="40" w:type="dxa"/>
              <w:left w:w="40" w:type="dxa"/>
              <w:bottom w:w="40" w:type="dxa"/>
              <w:right w:w="40" w:type="dxa"/>
            </w:tcMar>
            <w:vAlign w:val="bottom"/>
          </w:tcPr>
          <w:p w14:paraId="555695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6699"/>
            <w:tcMar>
              <w:top w:w="40" w:type="dxa"/>
              <w:left w:w="40" w:type="dxa"/>
              <w:bottom w:w="40" w:type="dxa"/>
              <w:right w:w="40" w:type="dxa"/>
            </w:tcMar>
            <w:vAlign w:val="center"/>
          </w:tcPr>
          <w:p w14:paraId="555695AC"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New Business and Product Approval Committee</w:t>
            </w:r>
          </w:p>
        </w:tc>
        <w:tc>
          <w:tcPr>
            <w:tcW w:w="0" w:type="auto"/>
            <w:shd w:val="clear" w:color="auto" w:fill="auto"/>
            <w:tcMar>
              <w:top w:w="40" w:type="dxa"/>
              <w:left w:w="40" w:type="dxa"/>
              <w:bottom w:w="40" w:type="dxa"/>
              <w:right w:w="40" w:type="dxa"/>
            </w:tcMar>
            <w:vAlign w:val="bottom"/>
          </w:tcPr>
          <w:p w14:paraId="555695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6699FF"/>
            <w:tcMar>
              <w:top w:w="40" w:type="dxa"/>
              <w:left w:w="40" w:type="dxa"/>
              <w:bottom w:w="40" w:type="dxa"/>
              <w:right w:w="40" w:type="dxa"/>
            </w:tcMar>
            <w:vAlign w:val="center"/>
          </w:tcPr>
          <w:p w14:paraId="555695AE"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Executive Information Security Committee</w:t>
            </w:r>
          </w:p>
        </w:tc>
        <w:tc>
          <w:tcPr>
            <w:tcW w:w="0" w:type="auto"/>
            <w:shd w:val="clear" w:color="auto" w:fill="auto"/>
            <w:tcMar>
              <w:top w:w="40" w:type="dxa"/>
              <w:left w:w="40" w:type="dxa"/>
              <w:bottom w:w="40" w:type="dxa"/>
              <w:right w:w="40" w:type="dxa"/>
            </w:tcMar>
            <w:vAlign w:val="bottom"/>
          </w:tcPr>
          <w:p w14:paraId="555695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BC" w14:textId="77777777">
        <w:tc>
          <w:tcPr>
            <w:tcW w:w="0" w:type="auto"/>
            <w:shd w:val="clear" w:color="auto" w:fill="auto"/>
            <w:vAlign w:val="center"/>
          </w:tcPr>
          <w:p w14:paraId="555695B2"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C7" w14:textId="77777777">
        <w:tc>
          <w:tcPr>
            <w:tcW w:w="0" w:type="auto"/>
            <w:shd w:val="clear" w:color="auto" w:fill="auto"/>
            <w:vAlign w:val="center"/>
          </w:tcPr>
          <w:p w14:paraId="555695BD"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003399"/>
            <w:tcMar>
              <w:top w:w="40" w:type="dxa"/>
              <w:left w:w="40" w:type="dxa"/>
              <w:bottom w:w="40" w:type="dxa"/>
              <w:right w:w="40" w:type="dxa"/>
            </w:tcMar>
            <w:vAlign w:val="center"/>
          </w:tcPr>
          <w:p w14:paraId="555695BE"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Recovery and Resolution Planning Executive Review Board</w:t>
            </w:r>
          </w:p>
        </w:tc>
        <w:tc>
          <w:tcPr>
            <w:tcW w:w="0" w:type="auto"/>
            <w:shd w:val="clear" w:color="auto" w:fill="auto"/>
            <w:tcMar>
              <w:top w:w="40" w:type="dxa"/>
              <w:left w:w="40" w:type="dxa"/>
              <w:bottom w:w="40" w:type="dxa"/>
              <w:right w:w="40" w:type="dxa"/>
            </w:tcMar>
            <w:vAlign w:val="bottom"/>
          </w:tcPr>
          <w:p w14:paraId="555695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3399"/>
            <w:tcMar>
              <w:top w:w="40" w:type="dxa"/>
              <w:left w:w="40" w:type="dxa"/>
              <w:bottom w:w="40" w:type="dxa"/>
              <w:right w:w="40" w:type="dxa"/>
            </w:tcMar>
            <w:vAlign w:val="center"/>
          </w:tcPr>
          <w:p w14:paraId="555695C0"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 xml:space="preserve">Model Risk Committee </w:t>
            </w:r>
            <w:r>
              <w:rPr>
                <w:rFonts w:ascii="Arial" w:eastAsia="宋体" w:hAnsi="Arial" w:cs="Arial"/>
                <w:color w:val="FFFFFF"/>
                <w:sz w:val="14"/>
                <w:szCs w:val="14"/>
              </w:rPr>
              <w:br/>
              <w:t>(MRC)</w:t>
            </w:r>
          </w:p>
        </w:tc>
        <w:tc>
          <w:tcPr>
            <w:tcW w:w="0" w:type="auto"/>
            <w:shd w:val="clear" w:color="auto" w:fill="auto"/>
            <w:tcMar>
              <w:top w:w="40" w:type="dxa"/>
              <w:left w:w="40" w:type="dxa"/>
              <w:bottom w:w="40" w:type="dxa"/>
              <w:right w:w="40" w:type="dxa"/>
            </w:tcMar>
            <w:vAlign w:val="bottom"/>
          </w:tcPr>
          <w:p w14:paraId="555695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6699"/>
            <w:tcMar>
              <w:top w:w="40" w:type="dxa"/>
              <w:left w:w="40" w:type="dxa"/>
              <w:bottom w:w="40" w:type="dxa"/>
              <w:right w:w="40" w:type="dxa"/>
            </w:tcMar>
            <w:vAlign w:val="center"/>
          </w:tcPr>
          <w:p w14:paraId="555695C2"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Compliance and Ethics Committee</w:t>
            </w:r>
          </w:p>
        </w:tc>
        <w:tc>
          <w:tcPr>
            <w:tcW w:w="0" w:type="auto"/>
            <w:shd w:val="clear" w:color="auto" w:fill="auto"/>
            <w:tcMar>
              <w:top w:w="40" w:type="dxa"/>
              <w:left w:w="40" w:type="dxa"/>
              <w:bottom w:w="40" w:type="dxa"/>
              <w:right w:w="40" w:type="dxa"/>
            </w:tcMar>
            <w:vAlign w:val="bottom"/>
          </w:tcPr>
          <w:p w14:paraId="555695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D2" w14:textId="77777777">
        <w:tc>
          <w:tcPr>
            <w:tcW w:w="0" w:type="auto"/>
            <w:shd w:val="clear" w:color="auto" w:fill="auto"/>
            <w:vAlign w:val="center"/>
          </w:tcPr>
          <w:p w14:paraId="555695C8"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DD" w14:textId="77777777">
        <w:tc>
          <w:tcPr>
            <w:tcW w:w="0" w:type="auto"/>
            <w:shd w:val="clear" w:color="auto" w:fill="auto"/>
            <w:vAlign w:val="center"/>
          </w:tcPr>
          <w:p w14:paraId="555695D3"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003399"/>
            <w:tcMar>
              <w:top w:w="40" w:type="dxa"/>
              <w:left w:w="40" w:type="dxa"/>
              <w:bottom w:w="40" w:type="dxa"/>
              <w:right w:w="40" w:type="dxa"/>
            </w:tcMar>
            <w:vAlign w:val="center"/>
          </w:tcPr>
          <w:p w14:paraId="555695D4"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CCAR Steering Committee</w:t>
            </w:r>
          </w:p>
        </w:tc>
        <w:tc>
          <w:tcPr>
            <w:tcW w:w="0" w:type="auto"/>
            <w:shd w:val="clear" w:color="auto" w:fill="auto"/>
            <w:tcMar>
              <w:top w:w="40" w:type="dxa"/>
              <w:left w:w="40" w:type="dxa"/>
              <w:bottom w:w="40" w:type="dxa"/>
              <w:right w:w="40" w:type="dxa"/>
            </w:tcMar>
            <w:vAlign w:val="bottom"/>
          </w:tcPr>
          <w:p w14:paraId="555695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3399"/>
            <w:tcMar>
              <w:top w:w="40" w:type="dxa"/>
              <w:left w:w="40" w:type="dxa"/>
              <w:bottom w:w="40" w:type="dxa"/>
              <w:right w:w="40" w:type="dxa"/>
            </w:tcMar>
            <w:vAlign w:val="center"/>
          </w:tcPr>
          <w:p w14:paraId="555695D6"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SSGA Risk Committee</w:t>
            </w:r>
          </w:p>
        </w:tc>
        <w:tc>
          <w:tcPr>
            <w:tcW w:w="0" w:type="auto"/>
            <w:shd w:val="clear" w:color="auto" w:fill="auto"/>
            <w:tcMar>
              <w:top w:w="40" w:type="dxa"/>
              <w:left w:w="40" w:type="dxa"/>
              <w:bottom w:w="40" w:type="dxa"/>
              <w:right w:w="40" w:type="dxa"/>
            </w:tcMar>
            <w:vAlign w:val="bottom"/>
          </w:tcPr>
          <w:p w14:paraId="555695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6699"/>
            <w:tcMar>
              <w:top w:w="40" w:type="dxa"/>
              <w:left w:w="40" w:type="dxa"/>
              <w:bottom w:w="40" w:type="dxa"/>
              <w:right w:w="40" w:type="dxa"/>
            </w:tcMar>
            <w:vAlign w:val="center"/>
          </w:tcPr>
          <w:p w14:paraId="555695D8"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Legal Entity Oversight Committee</w:t>
            </w:r>
          </w:p>
        </w:tc>
        <w:tc>
          <w:tcPr>
            <w:tcW w:w="0" w:type="auto"/>
            <w:shd w:val="clear" w:color="auto" w:fill="auto"/>
            <w:tcMar>
              <w:top w:w="40" w:type="dxa"/>
              <w:left w:w="40" w:type="dxa"/>
              <w:bottom w:w="40" w:type="dxa"/>
              <w:right w:w="40" w:type="dxa"/>
            </w:tcMar>
            <w:vAlign w:val="bottom"/>
          </w:tcPr>
          <w:p w14:paraId="555695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E8" w14:textId="77777777">
        <w:tc>
          <w:tcPr>
            <w:tcW w:w="0" w:type="auto"/>
            <w:shd w:val="clear" w:color="auto" w:fill="auto"/>
            <w:vAlign w:val="center"/>
          </w:tcPr>
          <w:p w14:paraId="555695DE"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F3" w14:textId="77777777">
        <w:tc>
          <w:tcPr>
            <w:tcW w:w="0" w:type="auto"/>
            <w:shd w:val="clear" w:color="auto" w:fill="auto"/>
            <w:vAlign w:val="center"/>
          </w:tcPr>
          <w:p w14:paraId="555695E9"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003399"/>
            <w:tcMar>
              <w:top w:w="40" w:type="dxa"/>
              <w:left w:w="40" w:type="dxa"/>
              <w:bottom w:w="40" w:type="dxa"/>
              <w:right w:w="40" w:type="dxa"/>
            </w:tcMar>
            <w:vAlign w:val="center"/>
          </w:tcPr>
          <w:p w14:paraId="555695EA"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Country Risk Committee</w:t>
            </w:r>
          </w:p>
        </w:tc>
        <w:tc>
          <w:tcPr>
            <w:tcW w:w="0" w:type="auto"/>
            <w:shd w:val="clear" w:color="auto" w:fill="auto"/>
            <w:tcMar>
              <w:top w:w="40" w:type="dxa"/>
              <w:left w:w="40" w:type="dxa"/>
              <w:bottom w:w="40" w:type="dxa"/>
              <w:right w:w="40" w:type="dxa"/>
            </w:tcMar>
            <w:vAlign w:val="bottom"/>
          </w:tcPr>
          <w:p w14:paraId="555695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3399"/>
            <w:tcMar>
              <w:top w:w="40" w:type="dxa"/>
              <w:left w:w="40" w:type="dxa"/>
              <w:bottom w:w="40" w:type="dxa"/>
              <w:right w:w="40" w:type="dxa"/>
            </w:tcMar>
            <w:vAlign w:val="center"/>
          </w:tcPr>
          <w:p w14:paraId="555695EC"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 xml:space="preserve">Regulatory </w:t>
            </w:r>
            <w:r>
              <w:rPr>
                <w:rFonts w:ascii="Arial" w:eastAsia="宋体" w:hAnsi="Arial" w:cs="Arial"/>
                <w:color w:val="FFFFFF"/>
                <w:sz w:val="14"/>
                <w:szCs w:val="14"/>
              </w:rPr>
              <w:t>Reporting Oversight Committee</w:t>
            </w:r>
          </w:p>
        </w:tc>
        <w:tc>
          <w:tcPr>
            <w:tcW w:w="0" w:type="auto"/>
            <w:shd w:val="clear" w:color="auto" w:fill="auto"/>
            <w:tcMar>
              <w:top w:w="40" w:type="dxa"/>
              <w:left w:w="40" w:type="dxa"/>
              <w:bottom w:w="40" w:type="dxa"/>
              <w:right w:w="40" w:type="dxa"/>
            </w:tcMar>
            <w:vAlign w:val="bottom"/>
          </w:tcPr>
          <w:p w14:paraId="555695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006699"/>
            <w:tcMar>
              <w:top w:w="40" w:type="dxa"/>
              <w:left w:w="40" w:type="dxa"/>
              <w:bottom w:w="40" w:type="dxa"/>
              <w:right w:w="40" w:type="dxa"/>
            </w:tcMar>
            <w:vAlign w:val="center"/>
          </w:tcPr>
          <w:p w14:paraId="555695EE" w14:textId="77777777" w:rsidR="00F925DD" w:rsidRDefault="00E705D7">
            <w:pPr>
              <w:jc w:val="center"/>
              <w:textAlignment w:val="center"/>
              <w:rPr>
                <w:rFonts w:ascii="Times New Roman" w:hAnsi="Times New Roman"/>
                <w:sz w:val="14"/>
                <w:szCs w:val="14"/>
              </w:rPr>
            </w:pPr>
            <w:r>
              <w:rPr>
                <w:rFonts w:ascii="Arial" w:eastAsia="宋体" w:hAnsi="Arial" w:cs="Arial"/>
                <w:color w:val="FFFFFF"/>
                <w:sz w:val="14"/>
                <w:szCs w:val="14"/>
              </w:rPr>
              <w:t>Conduct Standards Committee</w:t>
            </w:r>
          </w:p>
        </w:tc>
        <w:tc>
          <w:tcPr>
            <w:tcW w:w="0" w:type="auto"/>
            <w:shd w:val="clear" w:color="auto" w:fill="auto"/>
            <w:tcMar>
              <w:top w:w="40" w:type="dxa"/>
              <w:left w:w="40" w:type="dxa"/>
              <w:bottom w:w="40" w:type="dxa"/>
              <w:right w:w="40" w:type="dxa"/>
            </w:tcMar>
            <w:vAlign w:val="bottom"/>
          </w:tcPr>
          <w:p w14:paraId="555695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5FE" w14:textId="77777777">
        <w:tc>
          <w:tcPr>
            <w:tcW w:w="0" w:type="auto"/>
            <w:shd w:val="clear" w:color="auto" w:fill="auto"/>
            <w:vAlign w:val="center"/>
          </w:tcPr>
          <w:p w14:paraId="555695F4" w14:textId="77777777" w:rsidR="00F925DD" w:rsidRDefault="00E705D7">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5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95FF"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Enterprise Risk Management</w:t>
      </w:r>
    </w:p>
    <w:p w14:paraId="5556960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goal of ERM is to ensure that risks are proactively identified, well-understood and prudently managed in support of our </w:t>
      </w:r>
      <w:r>
        <w:rPr>
          <w:rFonts w:ascii="Arial" w:eastAsia="宋体" w:hAnsi="Arial" w:cs="Arial"/>
          <w:sz w:val="20"/>
          <w:szCs w:val="20"/>
        </w:rPr>
        <w:t>business strategy. ERM provides risk oversight, support and coordination to allow for the consistent identification, measurement and management of risks across business units separate from the business units' activities, and is responsible for the formulat</w:t>
      </w:r>
      <w:r>
        <w:rPr>
          <w:rFonts w:ascii="Arial" w:eastAsia="宋体" w:hAnsi="Arial" w:cs="Arial"/>
          <w:sz w:val="20"/>
          <w:szCs w:val="20"/>
        </w:rPr>
        <w:t>ion and maintenance of corporate-wide risk management policies and guidelines. In addition, ERM establishes and reviews limits and, in collaboration with business unit management, monitors key risks. Ultimately, ERM works to validate that risk-taking occur</w:t>
      </w:r>
      <w:r>
        <w:rPr>
          <w:rFonts w:ascii="Arial" w:eastAsia="宋体" w:hAnsi="Arial" w:cs="Arial"/>
          <w:sz w:val="20"/>
          <w:szCs w:val="20"/>
        </w:rPr>
        <w:t>s within the risk appetite statement approved by the Board and conforms to associated risk policies, limits and guidelines.</w:t>
      </w:r>
    </w:p>
    <w:p w14:paraId="55569601" w14:textId="77777777" w:rsidR="00F925DD" w:rsidRDefault="00F925DD">
      <w:pPr>
        <w:rPr>
          <w:rFonts w:ascii="Times New Roman" w:hAnsi="Times New Roman"/>
          <w:sz w:val="20"/>
          <w:szCs w:val="20"/>
        </w:rPr>
      </w:pPr>
    </w:p>
    <w:p w14:paraId="5556960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81</w:t>
      </w:r>
    </w:p>
    <w:p w14:paraId="55569603" w14:textId="77777777" w:rsidR="00F925DD" w:rsidRDefault="00F925DD">
      <w:pPr>
        <w:spacing w:line="288" w:lineRule="auto"/>
        <w:ind w:firstLine="600"/>
        <w:jc w:val="center"/>
        <w:rPr>
          <w:rFonts w:ascii="Times New Roman" w:hAnsi="Times New Roman"/>
          <w:sz w:val="18"/>
          <w:szCs w:val="18"/>
        </w:rPr>
      </w:pPr>
    </w:p>
    <w:p w14:paraId="55569604" w14:textId="77777777" w:rsidR="00F925DD" w:rsidRDefault="00E705D7">
      <w:r>
        <w:rPr>
          <w:rFonts w:ascii="Times New Roman" w:hAnsi="Times New Roman"/>
          <w:sz w:val="18"/>
          <w:szCs w:val="18"/>
        </w:rPr>
        <w:pict w14:anchorId="5557068B">
          <v:rect id="_x0000_i1105" style="width:415.3pt;height:1.5pt" o:hralign="center" o:hrstd="t" o:hr="t" fillcolor="#a0a0a0" stroked="f"/>
        </w:pict>
      </w:r>
    </w:p>
    <w:p w14:paraId="55569605"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60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607" w14:textId="77777777" w:rsidR="00F925DD" w:rsidRDefault="00F925DD">
      <w:pPr>
        <w:rPr>
          <w:rFonts w:ascii="Times New Roman" w:hAnsi="Times New Roman"/>
          <w:sz w:val="20"/>
          <w:szCs w:val="20"/>
        </w:rPr>
      </w:pPr>
    </w:p>
    <w:p w14:paraId="5556960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Chief R</w:t>
      </w:r>
      <w:r>
        <w:rPr>
          <w:rFonts w:ascii="Arial" w:eastAsia="宋体" w:hAnsi="Arial" w:cs="Arial"/>
          <w:sz w:val="20"/>
          <w:szCs w:val="20"/>
        </w:rPr>
        <w:t xml:space="preserve">isk Officer (CRO) is responsible for our risk management globally, leads ERM and has a dual reporting line to our CEO and the Board’s RC. ERM manages its responsibilities globally through a three-dimensional organization structure: </w:t>
      </w: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925DD" w14:paraId="5556960B" w14:textId="77777777">
        <w:trPr>
          <w:tblCellSpacing w:w="0" w:type="dxa"/>
        </w:trPr>
        <w:tc>
          <w:tcPr>
            <w:tcW w:w="480" w:type="dxa"/>
            <w:shd w:val="clear" w:color="auto" w:fill="auto"/>
            <w:vAlign w:val="center"/>
          </w:tcPr>
          <w:p w14:paraId="55569609" w14:textId="77777777" w:rsidR="00F925DD" w:rsidRDefault="00F925DD">
            <w:pPr>
              <w:rPr>
                <w:rFonts w:ascii="Times New Roman" w:hAnsi="Times New Roman"/>
                <w:sz w:val="20"/>
                <w:szCs w:val="20"/>
              </w:rPr>
            </w:pPr>
          </w:p>
        </w:tc>
        <w:tc>
          <w:tcPr>
            <w:tcW w:w="0" w:type="auto"/>
            <w:shd w:val="clear" w:color="auto" w:fill="auto"/>
            <w:vAlign w:val="center"/>
          </w:tcPr>
          <w:p w14:paraId="5556960A" w14:textId="77777777" w:rsidR="00F925DD" w:rsidRDefault="00F925DD">
            <w:pPr>
              <w:rPr>
                <w:rFonts w:ascii="Times New Roman" w:hAnsi="Times New Roman"/>
                <w:sz w:val="20"/>
                <w:szCs w:val="20"/>
              </w:rPr>
            </w:pPr>
          </w:p>
        </w:tc>
      </w:tr>
      <w:tr w:rsidR="00F925DD" w14:paraId="5556960E" w14:textId="77777777">
        <w:trPr>
          <w:tblCellSpacing w:w="0" w:type="dxa"/>
        </w:trPr>
        <w:tc>
          <w:tcPr>
            <w:tcW w:w="0" w:type="auto"/>
            <w:shd w:val="clear" w:color="auto" w:fill="auto"/>
          </w:tcPr>
          <w:p w14:paraId="5556960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0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“Vertical” business unit-aligned risk groups that support business managers with risk management, measurement and monitoring activities; </w:t>
            </w:r>
          </w:p>
        </w:tc>
      </w:tr>
    </w:tbl>
    <w:p w14:paraId="5556960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925DD" w14:paraId="55569612" w14:textId="77777777">
        <w:trPr>
          <w:tblCellSpacing w:w="0" w:type="dxa"/>
        </w:trPr>
        <w:tc>
          <w:tcPr>
            <w:tcW w:w="480" w:type="dxa"/>
            <w:shd w:val="clear" w:color="auto" w:fill="auto"/>
            <w:vAlign w:val="center"/>
          </w:tcPr>
          <w:p w14:paraId="55569610" w14:textId="77777777" w:rsidR="00F925DD" w:rsidRDefault="00F925DD">
            <w:pPr>
              <w:rPr>
                <w:rFonts w:ascii="Times New Roman" w:hAnsi="Times New Roman"/>
                <w:sz w:val="20"/>
                <w:szCs w:val="20"/>
              </w:rPr>
            </w:pPr>
          </w:p>
        </w:tc>
        <w:tc>
          <w:tcPr>
            <w:tcW w:w="0" w:type="auto"/>
            <w:shd w:val="clear" w:color="auto" w:fill="auto"/>
            <w:vAlign w:val="center"/>
          </w:tcPr>
          <w:p w14:paraId="55569611" w14:textId="77777777" w:rsidR="00F925DD" w:rsidRDefault="00F925DD">
            <w:pPr>
              <w:rPr>
                <w:rFonts w:ascii="Times New Roman" w:hAnsi="Times New Roman"/>
                <w:sz w:val="20"/>
                <w:szCs w:val="20"/>
              </w:rPr>
            </w:pPr>
          </w:p>
        </w:tc>
      </w:tr>
      <w:tr w:rsidR="00F925DD" w14:paraId="55569615" w14:textId="77777777">
        <w:trPr>
          <w:tblCellSpacing w:w="0" w:type="dxa"/>
        </w:trPr>
        <w:tc>
          <w:tcPr>
            <w:tcW w:w="0" w:type="auto"/>
            <w:shd w:val="clear" w:color="auto" w:fill="auto"/>
          </w:tcPr>
          <w:p w14:paraId="5556961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1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“Horizontal” risk groups that monitor the risks that cross all of our business units (for example, credit and o</w:t>
            </w:r>
            <w:r>
              <w:rPr>
                <w:rFonts w:ascii="Arial" w:eastAsia="宋体" w:hAnsi="Arial" w:cs="Arial"/>
                <w:sz w:val="20"/>
                <w:szCs w:val="20"/>
              </w:rPr>
              <w:t>perational risk); and</w:t>
            </w:r>
          </w:p>
        </w:tc>
      </w:tr>
    </w:tbl>
    <w:p w14:paraId="5556961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F925DD" w14:paraId="55569619" w14:textId="77777777">
        <w:trPr>
          <w:tblCellSpacing w:w="0" w:type="dxa"/>
        </w:trPr>
        <w:tc>
          <w:tcPr>
            <w:tcW w:w="480" w:type="dxa"/>
            <w:shd w:val="clear" w:color="auto" w:fill="auto"/>
            <w:vAlign w:val="center"/>
          </w:tcPr>
          <w:p w14:paraId="55569617" w14:textId="77777777" w:rsidR="00F925DD" w:rsidRDefault="00F925DD">
            <w:pPr>
              <w:rPr>
                <w:rFonts w:ascii="Times New Roman" w:hAnsi="Times New Roman"/>
                <w:sz w:val="20"/>
                <w:szCs w:val="20"/>
              </w:rPr>
            </w:pPr>
          </w:p>
        </w:tc>
        <w:tc>
          <w:tcPr>
            <w:tcW w:w="0" w:type="auto"/>
            <w:shd w:val="clear" w:color="auto" w:fill="auto"/>
            <w:vAlign w:val="center"/>
          </w:tcPr>
          <w:p w14:paraId="55569618" w14:textId="77777777" w:rsidR="00F925DD" w:rsidRDefault="00F925DD">
            <w:pPr>
              <w:rPr>
                <w:rFonts w:ascii="Times New Roman" w:hAnsi="Times New Roman"/>
                <w:sz w:val="20"/>
                <w:szCs w:val="20"/>
              </w:rPr>
            </w:pPr>
          </w:p>
        </w:tc>
      </w:tr>
      <w:tr w:rsidR="00F925DD" w14:paraId="5556961C" w14:textId="77777777">
        <w:trPr>
          <w:tblCellSpacing w:w="0" w:type="dxa"/>
        </w:trPr>
        <w:tc>
          <w:tcPr>
            <w:tcW w:w="0" w:type="auto"/>
            <w:shd w:val="clear" w:color="auto" w:fill="auto"/>
          </w:tcPr>
          <w:p w14:paraId="5556961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1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Risk oversight for international activities, which combines intersecting “Verticals” and “Horizontals” through a hub and spoke model to provide important regional and legal entity perspectives to the global risk </w:t>
            </w:r>
            <w:r>
              <w:rPr>
                <w:rFonts w:ascii="Arial" w:eastAsia="宋体" w:hAnsi="Arial" w:cs="Arial"/>
                <w:sz w:val="20"/>
                <w:szCs w:val="20"/>
              </w:rPr>
              <w:t>framework.</w:t>
            </w:r>
          </w:p>
        </w:tc>
      </w:tr>
    </w:tbl>
    <w:p w14:paraId="5556961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Sitting on top of this three-dimensional organization structure is a centralized group responsible for the aggregation of risk exposures across the vertical, horizontal and regional dimensions, for consolidated reporting, for setting the corpor</w:t>
      </w:r>
      <w:r>
        <w:rPr>
          <w:rFonts w:ascii="Arial" w:eastAsia="宋体" w:hAnsi="Arial" w:cs="Arial"/>
          <w:sz w:val="20"/>
          <w:szCs w:val="20"/>
        </w:rPr>
        <w:t>ate-level risk appetite framework and associated limits and policies, and for dynamic risk assessment across our business.</w:t>
      </w:r>
    </w:p>
    <w:p w14:paraId="5556961E"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Board Committees</w:t>
      </w:r>
    </w:p>
    <w:p w14:paraId="5556961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Board has four committees which assist it in discharging its responsibilities with respect to risk management: t</w:t>
      </w:r>
      <w:r>
        <w:rPr>
          <w:rFonts w:ascii="Arial" w:eastAsia="宋体" w:hAnsi="Arial" w:cs="Arial"/>
          <w:sz w:val="20"/>
          <w:szCs w:val="20"/>
        </w:rPr>
        <w:t xml:space="preserve">he RC, the E&amp;A Committee, the HRC and the TOPS. </w:t>
      </w:r>
    </w:p>
    <w:p w14:paraId="5556962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RC is responsible for oversight related to the operation of our global risk management framework, including policies and procedures establishing risk management governance and processes and risk control </w:t>
      </w:r>
      <w:r>
        <w:rPr>
          <w:rFonts w:ascii="Arial" w:eastAsia="宋体" w:hAnsi="Arial" w:cs="Arial"/>
          <w:sz w:val="20"/>
          <w:szCs w:val="20"/>
        </w:rPr>
        <w:t>infrastructure for our global operations. The RC is responsible for reviewing and discussing with management our assessment and management of all risks applicable to our operations, including credit, market, interest rate, liquidity, operational, regulator</w:t>
      </w:r>
      <w:r>
        <w:rPr>
          <w:rFonts w:ascii="Arial" w:eastAsia="宋体" w:hAnsi="Arial" w:cs="Arial"/>
          <w:sz w:val="20"/>
          <w:szCs w:val="20"/>
        </w:rPr>
        <w:t>y, technology, business, compliance and reputation risks, and related policies.</w:t>
      </w:r>
    </w:p>
    <w:p w14:paraId="5556962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the RC provides oversight of capital policies, capital planning and balance sheet management, resolution planning and monitors capital adequacy in relation to risk. The RC is also responsible for discharging the duties and obligations of the B</w:t>
      </w:r>
      <w:r>
        <w:rPr>
          <w:rFonts w:ascii="Arial" w:eastAsia="宋体" w:hAnsi="Arial" w:cs="Arial"/>
          <w:sz w:val="20"/>
          <w:szCs w:val="20"/>
        </w:rPr>
        <w:t xml:space="preserve">oard under applicable Basel and other regulatory requirements. </w:t>
      </w:r>
    </w:p>
    <w:p w14:paraId="5556962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E&amp;A Committee oversees management's operation of our comprehensive system of internal controls covering the integrity of our consolidated financial statements and reports, compliance with </w:t>
      </w:r>
      <w:r>
        <w:rPr>
          <w:rFonts w:ascii="Arial" w:eastAsia="宋体" w:hAnsi="Arial" w:cs="Arial"/>
          <w:sz w:val="20"/>
          <w:szCs w:val="20"/>
        </w:rPr>
        <w:t xml:space="preserve">laws, regulations and corporate policies. The E&amp;A Committee acts on behalf of the Board in monitoring and overseeing the performance of Corporate Audit and in reviewing certain communications with banking regulators. The </w:t>
      </w:r>
    </w:p>
    <w:p w14:paraId="55569623"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62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E&amp;A Committee has direct respons</w:t>
      </w:r>
      <w:r>
        <w:rPr>
          <w:rFonts w:ascii="Arial" w:eastAsia="宋体" w:hAnsi="Arial" w:cs="Arial"/>
          <w:sz w:val="20"/>
          <w:szCs w:val="20"/>
        </w:rPr>
        <w:t>ibility for the appointment, compensation, retention, evaluation and oversight of the work of our independent registered public accounting firm, including sole authority for the establishment of pre-approval policies and procedures for all audit engagement</w:t>
      </w:r>
      <w:r>
        <w:rPr>
          <w:rFonts w:ascii="Arial" w:eastAsia="宋体" w:hAnsi="Arial" w:cs="Arial"/>
          <w:sz w:val="20"/>
          <w:szCs w:val="20"/>
        </w:rPr>
        <w:t>s and any non-audit engagements.</w:t>
      </w:r>
    </w:p>
    <w:p w14:paraId="5556962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HRC has direct responsibility for the oversight of human capital management, all compensation plans, policies and programs in which executive officers participate and incentive, retirement, welfare as well as equity pla</w:t>
      </w:r>
      <w:r>
        <w:rPr>
          <w:rFonts w:ascii="Arial" w:eastAsia="宋体" w:hAnsi="Arial" w:cs="Arial"/>
          <w:sz w:val="20"/>
          <w:szCs w:val="20"/>
        </w:rPr>
        <w:t>ns in which certain of our other employees participate. In addition, the HRC oversees the alignment of our incentive compensation arrangements with our safety and soundness, including the integration of risk management objectives, and related policies, arr</w:t>
      </w:r>
      <w:r>
        <w:rPr>
          <w:rFonts w:ascii="Arial" w:eastAsia="宋体" w:hAnsi="Arial" w:cs="Arial"/>
          <w:sz w:val="20"/>
          <w:szCs w:val="20"/>
        </w:rPr>
        <w:t>angements and control processes consistent with applicable related regulatory rules and guidance.</w:t>
      </w:r>
    </w:p>
    <w:p w14:paraId="5556962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TOPS leads and assists in the Board’s oversight of technology and operational risk management and the role of these risks in executing our strategy and su</w:t>
      </w:r>
      <w:r>
        <w:rPr>
          <w:rFonts w:ascii="Arial" w:eastAsia="宋体" w:hAnsi="Arial" w:cs="Arial"/>
          <w:sz w:val="20"/>
          <w:szCs w:val="20"/>
        </w:rPr>
        <w:t>pporting our global business requirements. The TOPS reviews strategic initiatives from a technology and operational risk perspective and reviews and approves technology-related risk matters. In addition, TOPS reviews matters related to corporate informatio</w:t>
      </w:r>
      <w:r>
        <w:rPr>
          <w:rFonts w:ascii="Arial" w:eastAsia="宋体" w:hAnsi="Arial" w:cs="Arial"/>
          <w:sz w:val="20"/>
          <w:szCs w:val="20"/>
        </w:rPr>
        <w:t>n security and cyber-security programs, business continuity and technology resiliency, data and access management and third-party risk management.</w:t>
      </w:r>
    </w:p>
    <w:p w14:paraId="55569627"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Executive Management Committees</w:t>
      </w:r>
    </w:p>
    <w:p w14:paraId="5556962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MRAC is the senior management decision-making body for risk and capital issue</w:t>
      </w:r>
      <w:r>
        <w:rPr>
          <w:rFonts w:ascii="Arial" w:eastAsia="宋体" w:hAnsi="Arial" w:cs="Arial"/>
          <w:sz w:val="20"/>
          <w:szCs w:val="20"/>
        </w:rPr>
        <w:t xml:space="preserve">s, and oversees our financial risks, our consolidated statement of condition, and our capital adequacy, liquidity and recovery and resolution planning. Its responsibilities include: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2B" w14:textId="77777777">
        <w:trPr>
          <w:tblCellSpacing w:w="0" w:type="dxa"/>
        </w:trPr>
        <w:tc>
          <w:tcPr>
            <w:tcW w:w="960" w:type="dxa"/>
            <w:shd w:val="clear" w:color="auto" w:fill="auto"/>
            <w:vAlign w:val="center"/>
          </w:tcPr>
          <w:p w14:paraId="55569629" w14:textId="77777777" w:rsidR="00F925DD" w:rsidRDefault="00F925DD">
            <w:pPr>
              <w:rPr>
                <w:rFonts w:ascii="Times New Roman" w:hAnsi="Times New Roman"/>
                <w:sz w:val="20"/>
                <w:szCs w:val="20"/>
              </w:rPr>
            </w:pPr>
          </w:p>
        </w:tc>
        <w:tc>
          <w:tcPr>
            <w:tcW w:w="0" w:type="auto"/>
            <w:shd w:val="clear" w:color="auto" w:fill="auto"/>
            <w:vAlign w:val="center"/>
          </w:tcPr>
          <w:p w14:paraId="5556962A" w14:textId="77777777" w:rsidR="00F925DD" w:rsidRDefault="00F925DD">
            <w:pPr>
              <w:rPr>
                <w:rFonts w:ascii="Times New Roman" w:hAnsi="Times New Roman"/>
                <w:sz w:val="20"/>
                <w:szCs w:val="20"/>
              </w:rPr>
            </w:pPr>
          </w:p>
        </w:tc>
      </w:tr>
      <w:tr w:rsidR="00F925DD" w14:paraId="5556962E" w14:textId="77777777">
        <w:trPr>
          <w:tblCellSpacing w:w="0" w:type="dxa"/>
        </w:trPr>
        <w:tc>
          <w:tcPr>
            <w:tcW w:w="0" w:type="auto"/>
            <w:shd w:val="clear" w:color="auto" w:fill="auto"/>
          </w:tcPr>
          <w:p w14:paraId="5556962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2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approval of the policies of our global risk, capital and liquidi</w:t>
            </w:r>
            <w:r>
              <w:rPr>
                <w:rFonts w:ascii="Arial" w:eastAsia="宋体" w:hAnsi="Arial" w:cs="Arial"/>
                <w:sz w:val="20"/>
                <w:szCs w:val="20"/>
              </w:rPr>
              <w:t xml:space="preserve">ty management frameworks, including our risk appetite framework; </w:t>
            </w:r>
          </w:p>
        </w:tc>
      </w:tr>
    </w:tbl>
    <w:p w14:paraId="5556962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32" w14:textId="77777777">
        <w:trPr>
          <w:tblCellSpacing w:w="0" w:type="dxa"/>
        </w:trPr>
        <w:tc>
          <w:tcPr>
            <w:tcW w:w="960" w:type="dxa"/>
            <w:shd w:val="clear" w:color="auto" w:fill="auto"/>
            <w:vAlign w:val="center"/>
          </w:tcPr>
          <w:p w14:paraId="55569630" w14:textId="77777777" w:rsidR="00F925DD" w:rsidRDefault="00F925DD">
            <w:pPr>
              <w:rPr>
                <w:rFonts w:ascii="Times New Roman" w:hAnsi="Times New Roman"/>
                <w:sz w:val="20"/>
                <w:szCs w:val="20"/>
              </w:rPr>
            </w:pPr>
          </w:p>
        </w:tc>
        <w:tc>
          <w:tcPr>
            <w:tcW w:w="0" w:type="auto"/>
            <w:shd w:val="clear" w:color="auto" w:fill="auto"/>
            <w:vAlign w:val="center"/>
          </w:tcPr>
          <w:p w14:paraId="55569631" w14:textId="77777777" w:rsidR="00F925DD" w:rsidRDefault="00F925DD">
            <w:pPr>
              <w:rPr>
                <w:rFonts w:ascii="Times New Roman" w:hAnsi="Times New Roman"/>
                <w:sz w:val="20"/>
                <w:szCs w:val="20"/>
              </w:rPr>
            </w:pPr>
          </w:p>
        </w:tc>
      </w:tr>
      <w:tr w:rsidR="00F925DD" w14:paraId="55569635" w14:textId="77777777">
        <w:trPr>
          <w:tblCellSpacing w:w="0" w:type="dxa"/>
        </w:trPr>
        <w:tc>
          <w:tcPr>
            <w:tcW w:w="0" w:type="auto"/>
            <w:shd w:val="clear" w:color="auto" w:fill="auto"/>
          </w:tcPr>
          <w:p w14:paraId="5556963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3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monitoring and assessment of our capital adequacy based on internal policies and regulatory requirements; </w:t>
            </w:r>
          </w:p>
        </w:tc>
      </w:tr>
    </w:tbl>
    <w:p w14:paraId="5556963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39" w14:textId="77777777">
        <w:trPr>
          <w:tblCellSpacing w:w="0" w:type="dxa"/>
        </w:trPr>
        <w:tc>
          <w:tcPr>
            <w:tcW w:w="960" w:type="dxa"/>
            <w:shd w:val="clear" w:color="auto" w:fill="auto"/>
            <w:vAlign w:val="center"/>
          </w:tcPr>
          <w:p w14:paraId="55569637" w14:textId="77777777" w:rsidR="00F925DD" w:rsidRDefault="00F925DD">
            <w:pPr>
              <w:rPr>
                <w:rFonts w:ascii="Times New Roman" w:hAnsi="Times New Roman"/>
                <w:sz w:val="20"/>
                <w:szCs w:val="20"/>
              </w:rPr>
            </w:pPr>
          </w:p>
        </w:tc>
        <w:tc>
          <w:tcPr>
            <w:tcW w:w="0" w:type="auto"/>
            <w:shd w:val="clear" w:color="auto" w:fill="auto"/>
            <w:vAlign w:val="center"/>
          </w:tcPr>
          <w:p w14:paraId="55569638" w14:textId="77777777" w:rsidR="00F925DD" w:rsidRDefault="00F925DD">
            <w:pPr>
              <w:rPr>
                <w:rFonts w:ascii="Times New Roman" w:hAnsi="Times New Roman"/>
                <w:sz w:val="20"/>
                <w:szCs w:val="20"/>
              </w:rPr>
            </w:pPr>
          </w:p>
        </w:tc>
      </w:tr>
      <w:tr w:rsidR="00F925DD" w14:paraId="5556963C" w14:textId="77777777">
        <w:trPr>
          <w:tblCellSpacing w:w="0" w:type="dxa"/>
        </w:trPr>
        <w:tc>
          <w:tcPr>
            <w:tcW w:w="0" w:type="auto"/>
            <w:shd w:val="clear" w:color="auto" w:fill="auto"/>
          </w:tcPr>
          <w:p w14:paraId="5556963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3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oversight of our firm-wide risk identification, model risk governance, stress testing and Recovery and Resolution Plan </w:t>
            </w:r>
            <w:r>
              <w:rPr>
                <w:rFonts w:ascii="Arial" w:eastAsia="宋体" w:hAnsi="Arial" w:cs="Arial"/>
                <w:sz w:val="20"/>
                <w:szCs w:val="20"/>
              </w:rPr>
              <w:t>programs; and</w:t>
            </w:r>
          </w:p>
        </w:tc>
      </w:tr>
    </w:tbl>
    <w:p w14:paraId="5556963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40" w14:textId="77777777">
        <w:trPr>
          <w:tblCellSpacing w:w="0" w:type="dxa"/>
        </w:trPr>
        <w:tc>
          <w:tcPr>
            <w:tcW w:w="960" w:type="dxa"/>
            <w:shd w:val="clear" w:color="auto" w:fill="auto"/>
            <w:vAlign w:val="center"/>
          </w:tcPr>
          <w:p w14:paraId="5556963E" w14:textId="77777777" w:rsidR="00F925DD" w:rsidRDefault="00F925DD">
            <w:pPr>
              <w:rPr>
                <w:rFonts w:ascii="Times New Roman" w:hAnsi="Times New Roman"/>
                <w:sz w:val="20"/>
                <w:szCs w:val="20"/>
              </w:rPr>
            </w:pPr>
          </w:p>
        </w:tc>
        <w:tc>
          <w:tcPr>
            <w:tcW w:w="0" w:type="auto"/>
            <w:shd w:val="clear" w:color="auto" w:fill="auto"/>
            <w:vAlign w:val="center"/>
          </w:tcPr>
          <w:p w14:paraId="5556963F" w14:textId="77777777" w:rsidR="00F925DD" w:rsidRDefault="00F925DD">
            <w:pPr>
              <w:rPr>
                <w:rFonts w:ascii="Times New Roman" w:hAnsi="Times New Roman"/>
                <w:sz w:val="20"/>
                <w:szCs w:val="20"/>
              </w:rPr>
            </w:pPr>
          </w:p>
        </w:tc>
      </w:tr>
      <w:tr w:rsidR="00F925DD" w14:paraId="55569643" w14:textId="77777777">
        <w:trPr>
          <w:tblCellSpacing w:w="0" w:type="dxa"/>
        </w:trPr>
        <w:tc>
          <w:tcPr>
            <w:tcW w:w="0" w:type="auto"/>
            <w:shd w:val="clear" w:color="auto" w:fill="auto"/>
          </w:tcPr>
          <w:p w14:paraId="5556964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4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ongoing monitoring and review of risks undertaken within the businesses, and our senior management oversight and approval of risk strategies and tactics. </w:t>
            </w:r>
          </w:p>
        </w:tc>
      </w:tr>
    </w:tbl>
    <w:p w14:paraId="5556964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MRAC, is co-chaired by our CRO and Chief Financial Officer, who </w:t>
      </w:r>
      <w:r>
        <w:rPr>
          <w:rFonts w:ascii="Arial" w:eastAsia="宋体" w:hAnsi="Arial" w:cs="Arial"/>
          <w:sz w:val="20"/>
          <w:szCs w:val="20"/>
        </w:rPr>
        <w:t>regularly present to the RC on developments in the risk environment and performance trends in our key business areas.</w:t>
      </w:r>
    </w:p>
    <w:p w14:paraId="5556964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BCRC provides additional risk governance and leadership, by overseeing our business practices in </w:t>
      </w:r>
    </w:p>
    <w:p w14:paraId="55569646" w14:textId="77777777" w:rsidR="00F925DD" w:rsidRDefault="00F925DD">
      <w:pPr>
        <w:rPr>
          <w:rFonts w:ascii="Times New Roman" w:hAnsi="Times New Roman"/>
          <w:sz w:val="20"/>
          <w:szCs w:val="20"/>
        </w:rPr>
      </w:pPr>
    </w:p>
    <w:p w14:paraId="5556964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82</w:t>
      </w:r>
    </w:p>
    <w:p w14:paraId="55569648" w14:textId="77777777" w:rsidR="00F925DD" w:rsidRDefault="00F925DD">
      <w:pPr>
        <w:spacing w:line="288" w:lineRule="auto"/>
        <w:ind w:firstLine="600"/>
        <w:jc w:val="center"/>
        <w:rPr>
          <w:rFonts w:ascii="Times New Roman" w:hAnsi="Times New Roman"/>
          <w:sz w:val="18"/>
          <w:szCs w:val="18"/>
        </w:rPr>
      </w:pPr>
    </w:p>
    <w:p w14:paraId="55569649" w14:textId="77777777" w:rsidR="00F925DD" w:rsidRDefault="00E705D7">
      <w:r>
        <w:rPr>
          <w:rFonts w:ascii="Times New Roman" w:hAnsi="Times New Roman"/>
          <w:sz w:val="18"/>
          <w:szCs w:val="18"/>
        </w:rPr>
        <w:pict w14:anchorId="5557068C">
          <v:rect id="_x0000_i1106" style="width:415.3pt;height:1.5pt" o:hralign="center" o:hrstd="t" o:hr="t" fillcolor="#a0a0a0" stroked="f"/>
        </w:pict>
      </w:r>
    </w:p>
    <w:p w14:paraId="5556964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64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64C" w14:textId="77777777" w:rsidR="00F925DD" w:rsidRDefault="00F925DD">
      <w:pPr>
        <w:rPr>
          <w:rFonts w:ascii="Times New Roman" w:hAnsi="Times New Roman"/>
          <w:sz w:val="20"/>
          <w:szCs w:val="20"/>
        </w:rPr>
      </w:pPr>
    </w:p>
    <w:p w14:paraId="5556964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terms of our compliance with laws, regulations and our standards of business conduct, our commitments to clients and others with whom we do business, and potential reput</w:t>
      </w:r>
      <w:r>
        <w:rPr>
          <w:rFonts w:ascii="Arial" w:eastAsia="宋体" w:hAnsi="Arial" w:cs="Arial"/>
          <w:sz w:val="20"/>
          <w:szCs w:val="20"/>
        </w:rPr>
        <w:t>ational risks. Management considers adherence to high ethical standards to be critical to the success of our business and to our reputation. The BCRC is co-chaired by our Chief Compliance Officer and our General Counsel.</w:t>
      </w:r>
    </w:p>
    <w:p w14:paraId="5556964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TORC oversees and assesses the effe</w:t>
      </w:r>
      <w:r>
        <w:rPr>
          <w:rFonts w:ascii="Arial" w:eastAsia="宋体" w:hAnsi="Arial" w:cs="Arial"/>
          <w:sz w:val="20"/>
          <w:szCs w:val="20"/>
        </w:rPr>
        <w:t>ctiveness of corporate-wide technology and operational risk management programs, to manage and control technology and operational risk consistently across the organization. TORC is co-chaired by the Chief Operating Officer and the Chief Risk Officer.</w:t>
      </w:r>
    </w:p>
    <w:p w14:paraId="5556964F"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Risk </w:t>
      </w:r>
      <w:r>
        <w:rPr>
          <w:rFonts w:ascii="Arial" w:eastAsia="宋体" w:hAnsi="Arial" w:cs="Arial"/>
          <w:b/>
          <w:bCs/>
          <w:i/>
          <w:iCs/>
          <w:color w:val="000000"/>
          <w:sz w:val="20"/>
          <w:szCs w:val="20"/>
        </w:rPr>
        <w:t>Committees</w:t>
      </w:r>
    </w:p>
    <w:p w14:paraId="5556965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risk committees, under the oversight of the respective executive management committees, have focused responsibilities for oversight of specific areas of risk management:</w:t>
      </w:r>
    </w:p>
    <w:p w14:paraId="55569651" w14:textId="77777777" w:rsidR="00F925DD" w:rsidRDefault="00E705D7">
      <w:pPr>
        <w:spacing w:line="288" w:lineRule="auto"/>
        <w:rPr>
          <w:rFonts w:ascii="Times New Roman" w:hAnsi="Times New Roman"/>
          <w:sz w:val="20"/>
          <w:szCs w:val="20"/>
        </w:rPr>
      </w:pPr>
      <w:r>
        <w:rPr>
          <w:rFonts w:ascii="Arial" w:eastAsia="宋体" w:hAnsi="Arial" w:cs="Arial"/>
          <w:i/>
          <w:iCs/>
          <w:sz w:val="20"/>
          <w:szCs w:val="20"/>
        </w:rPr>
        <w:t>Management Risk and Capital Committee</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54" w14:textId="77777777">
        <w:trPr>
          <w:tblCellSpacing w:w="0" w:type="dxa"/>
        </w:trPr>
        <w:tc>
          <w:tcPr>
            <w:tcW w:w="960" w:type="dxa"/>
            <w:shd w:val="clear" w:color="auto" w:fill="auto"/>
            <w:vAlign w:val="center"/>
          </w:tcPr>
          <w:p w14:paraId="55569652" w14:textId="77777777" w:rsidR="00F925DD" w:rsidRDefault="00F925DD">
            <w:pPr>
              <w:rPr>
                <w:rFonts w:ascii="Times New Roman" w:hAnsi="Times New Roman"/>
                <w:sz w:val="20"/>
                <w:szCs w:val="20"/>
              </w:rPr>
            </w:pPr>
          </w:p>
        </w:tc>
        <w:tc>
          <w:tcPr>
            <w:tcW w:w="0" w:type="auto"/>
            <w:shd w:val="clear" w:color="auto" w:fill="auto"/>
            <w:vAlign w:val="center"/>
          </w:tcPr>
          <w:p w14:paraId="55569653" w14:textId="77777777" w:rsidR="00F925DD" w:rsidRDefault="00F925DD">
            <w:pPr>
              <w:rPr>
                <w:rFonts w:ascii="Times New Roman" w:hAnsi="Times New Roman"/>
                <w:sz w:val="20"/>
                <w:szCs w:val="20"/>
              </w:rPr>
            </w:pPr>
          </w:p>
        </w:tc>
      </w:tr>
      <w:tr w:rsidR="00F925DD" w14:paraId="55569657" w14:textId="77777777">
        <w:trPr>
          <w:tblCellSpacing w:w="0" w:type="dxa"/>
        </w:trPr>
        <w:tc>
          <w:tcPr>
            <w:tcW w:w="0" w:type="auto"/>
            <w:shd w:val="clear" w:color="auto" w:fill="auto"/>
          </w:tcPr>
          <w:p w14:paraId="5556965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5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ALCO is the </w:t>
            </w:r>
            <w:r>
              <w:rPr>
                <w:rFonts w:ascii="Arial" w:eastAsia="宋体" w:hAnsi="Arial" w:cs="Arial"/>
                <w:sz w:val="20"/>
                <w:szCs w:val="20"/>
              </w:rPr>
              <w:t>senior corporate oversight and decision-making body for balance sheet strategy, Global Treasury business activities and risk management for interest rate risk, liquidity risk and non-trading market risk. ALCO’s roles and responsibilities are designed to be</w:t>
            </w:r>
            <w:r>
              <w:rPr>
                <w:rFonts w:ascii="Arial" w:eastAsia="宋体" w:hAnsi="Arial" w:cs="Arial"/>
                <w:sz w:val="20"/>
                <w:szCs w:val="20"/>
              </w:rPr>
              <w:t xml:space="preserve"> complementary to, and in coordination with the MRAC, which approves the corporate risk appetite and associated balance sheet strategy;</w:t>
            </w:r>
            <w:r>
              <w:rPr>
                <w:rFonts w:ascii="Arial" w:eastAsia="宋体" w:hAnsi="Arial" w:cs="Arial"/>
                <w:color w:val="1F497D"/>
                <w:sz w:val="20"/>
                <w:szCs w:val="20"/>
              </w:rPr>
              <w:t xml:space="preserve"> </w:t>
            </w:r>
          </w:p>
        </w:tc>
      </w:tr>
    </w:tbl>
    <w:p w14:paraId="5556965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5B" w14:textId="77777777">
        <w:trPr>
          <w:tblCellSpacing w:w="0" w:type="dxa"/>
        </w:trPr>
        <w:tc>
          <w:tcPr>
            <w:tcW w:w="960" w:type="dxa"/>
            <w:shd w:val="clear" w:color="auto" w:fill="auto"/>
            <w:vAlign w:val="center"/>
          </w:tcPr>
          <w:p w14:paraId="55569659" w14:textId="77777777" w:rsidR="00F925DD" w:rsidRDefault="00F925DD">
            <w:pPr>
              <w:rPr>
                <w:rFonts w:ascii="Times New Roman" w:hAnsi="Times New Roman"/>
                <w:sz w:val="20"/>
                <w:szCs w:val="20"/>
              </w:rPr>
            </w:pPr>
          </w:p>
        </w:tc>
        <w:tc>
          <w:tcPr>
            <w:tcW w:w="0" w:type="auto"/>
            <w:shd w:val="clear" w:color="auto" w:fill="auto"/>
            <w:vAlign w:val="center"/>
          </w:tcPr>
          <w:p w14:paraId="5556965A" w14:textId="77777777" w:rsidR="00F925DD" w:rsidRDefault="00F925DD">
            <w:pPr>
              <w:rPr>
                <w:rFonts w:ascii="Times New Roman" w:hAnsi="Times New Roman"/>
                <w:sz w:val="20"/>
                <w:szCs w:val="20"/>
              </w:rPr>
            </w:pPr>
          </w:p>
        </w:tc>
      </w:tr>
      <w:tr w:rsidR="00F925DD" w14:paraId="5556965E" w14:textId="77777777">
        <w:trPr>
          <w:tblCellSpacing w:w="0" w:type="dxa"/>
        </w:trPr>
        <w:tc>
          <w:tcPr>
            <w:tcW w:w="0" w:type="auto"/>
            <w:shd w:val="clear" w:color="auto" w:fill="auto"/>
          </w:tcPr>
          <w:p w14:paraId="5556965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5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CRPC has primary responsibility for the oversight and review of credit and counterparty risk across business uni</w:t>
            </w:r>
            <w:r>
              <w:rPr>
                <w:rFonts w:ascii="Arial" w:eastAsia="宋体" w:hAnsi="Arial" w:cs="Arial"/>
                <w:sz w:val="20"/>
                <w:szCs w:val="20"/>
              </w:rPr>
              <w:t>ts, as well as oversight, review and approval of the credit risk policies and guidelines; the Committee consists of senior executives within ERM, and reviews policies and guidelines related to all aspects of our business which give rise to credit risk; our</w:t>
            </w:r>
            <w:r>
              <w:rPr>
                <w:rFonts w:ascii="Arial" w:eastAsia="宋体" w:hAnsi="Arial" w:cs="Arial"/>
                <w:sz w:val="20"/>
                <w:szCs w:val="20"/>
              </w:rPr>
              <w:t xml:space="preserve"> business units are also represented on the CRPC; credit risk policies and guidelines are reviewed periodically, but at least annually;</w:t>
            </w:r>
          </w:p>
        </w:tc>
      </w:tr>
    </w:tbl>
    <w:p w14:paraId="5556965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62" w14:textId="77777777">
        <w:trPr>
          <w:tblCellSpacing w:w="0" w:type="dxa"/>
        </w:trPr>
        <w:tc>
          <w:tcPr>
            <w:tcW w:w="960" w:type="dxa"/>
            <w:shd w:val="clear" w:color="auto" w:fill="auto"/>
            <w:vAlign w:val="center"/>
          </w:tcPr>
          <w:p w14:paraId="55569660" w14:textId="77777777" w:rsidR="00F925DD" w:rsidRDefault="00F925DD">
            <w:pPr>
              <w:rPr>
                <w:rFonts w:ascii="Times New Roman" w:hAnsi="Times New Roman"/>
                <w:sz w:val="20"/>
                <w:szCs w:val="20"/>
              </w:rPr>
            </w:pPr>
          </w:p>
        </w:tc>
        <w:tc>
          <w:tcPr>
            <w:tcW w:w="0" w:type="auto"/>
            <w:shd w:val="clear" w:color="auto" w:fill="auto"/>
            <w:vAlign w:val="center"/>
          </w:tcPr>
          <w:p w14:paraId="55569661" w14:textId="77777777" w:rsidR="00F925DD" w:rsidRDefault="00F925DD">
            <w:pPr>
              <w:rPr>
                <w:rFonts w:ascii="Times New Roman" w:hAnsi="Times New Roman"/>
                <w:sz w:val="20"/>
                <w:szCs w:val="20"/>
              </w:rPr>
            </w:pPr>
          </w:p>
        </w:tc>
      </w:tr>
      <w:tr w:rsidR="00F925DD" w14:paraId="55569665" w14:textId="77777777">
        <w:trPr>
          <w:tblCellSpacing w:w="0" w:type="dxa"/>
        </w:trPr>
        <w:tc>
          <w:tcPr>
            <w:tcW w:w="0" w:type="auto"/>
            <w:shd w:val="clear" w:color="auto" w:fill="auto"/>
          </w:tcPr>
          <w:p w14:paraId="5556966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6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TMRC reviews the effectiveness of, and approves, the market risk framework at least annually; it is the </w:t>
            </w:r>
            <w:r>
              <w:rPr>
                <w:rFonts w:ascii="Arial" w:eastAsia="宋体" w:hAnsi="Arial" w:cs="Arial"/>
                <w:sz w:val="20"/>
                <w:szCs w:val="20"/>
              </w:rPr>
              <w:t>senior oversight and decision-making committee for risk management within our global markets businesses; the TMRC is responsible for the formulation of guidelines, strategies and workflows with respect to the measurement, monitoring and control of our trad</w:t>
            </w:r>
            <w:r>
              <w:rPr>
                <w:rFonts w:ascii="Arial" w:eastAsia="宋体" w:hAnsi="Arial" w:cs="Arial"/>
                <w:sz w:val="20"/>
                <w:szCs w:val="20"/>
              </w:rPr>
              <w:t>ing market risk, and also approves market risk tolerance limits, collateral and margin policies and trading authorities; the TMRC meets regularly to monitor the management of our trading market risk activities;</w:t>
            </w:r>
          </w:p>
        </w:tc>
      </w:tr>
    </w:tbl>
    <w:p w14:paraId="55569666" w14:textId="77777777" w:rsidR="00F925DD" w:rsidRDefault="00E705D7">
      <w:pPr>
        <w:rPr>
          <w:rFonts w:ascii="Times New Roman" w:hAnsi="Times New Roman"/>
          <w:sz w:val="20"/>
          <w:szCs w:val="20"/>
        </w:rPr>
      </w:pPr>
      <w:r>
        <w:rPr>
          <w:rFonts w:ascii="Times New Roman" w:eastAsia="宋体" w:hAnsi="Times New Roman"/>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69" w14:textId="77777777">
        <w:trPr>
          <w:tblCellSpacing w:w="0" w:type="dxa"/>
        </w:trPr>
        <w:tc>
          <w:tcPr>
            <w:tcW w:w="960" w:type="dxa"/>
            <w:shd w:val="clear" w:color="auto" w:fill="auto"/>
            <w:vAlign w:val="center"/>
          </w:tcPr>
          <w:p w14:paraId="55569667" w14:textId="77777777" w:rsidR="00F925DD" w:rsidRDefault="00F925DD">
            <w:pPr>
              <w:rPr>
                <w:rFonts w:ascii="Times New Roman" w:hAnsi="Times New Roman"/>
                <w:sz w:val="20"/>
                <w:szCs w:val="20"/>
              </w:rPr>
            </w:pPr>
          </w:p>
        </w:tc>
        <w:tc>
          <w:tcPr>
            <w:tcW w:w="0" w:type="auto"/>
            <w:shd w:val="clear" w:color="auto" w:fill="auto"/>
            <w:vAlign w:val="center"/>
          </w:tcPr>
          <w:p w14:paraId="55569668" w14:textId="77777777" w:rsidR="00F925DD" w:rsidRDefault="00F925DD">
            <w:pPr>
              <w:rPr>
                <w:rFonts w:ascii="Times New Roman" w:hAnsi="Times New Roman"/>
                <w:sz w:val="20"/>
                <w:szCs w:val="20"/>
              </w:rPr>
            </w:pPr>
          </w:p>
        </w:tc>
      </w:tr>
      <w:tr w:rsidR="00F925DD" w14:paraId="5556966C" w14:textId="77777777">
        <w:trPr>
          <w:tblCellSpacing w:w="0" w:type="dxa"/>
        </w:trPr>
        <w:tc>
          <w:tcPr>
            <w:tcW w:w="0" w:type="auto"/>
            <w:shd w:val="clear" w:color="auto" w:fill="auto"/>
          </w:tcPr>
          <w:p w14:paraId="5556966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6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BOC provides oversight and </w:t>
            </w:r>
            <w:r>
              <w:rPr>
                <w:rFonts w:ascii="Arial" w:eastAsia="宋体" w:hAnsi="Arial" w:cs="Arial"/>
                <w:sz w:val="20"/>
                <w:szCs w:val="20"/>
              </w:rPr>
              <w:t>governance over Basel related regulatory requirements, assesses compliance with respect to Basel regulations and approves all material methodologies and changes, policies and reporting;</w:t>
            </w:r>
          </w:p>
        </w:tc>
      </w:tr>
    </w:tbl>
    <w:p w14:paraId="5556966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70" w14:textId="77777777">
        <w:trPr>
          <w:tblCellSpacing w:w="0" w:type="dxa"/>
        </w:trPr>
        <w:tc>
          <w:tcPr>
            <w:tcW w:w="960" w:type="dxa"/>
            <w:shd w:val="clear" w:color="auto" w:fill="auto"/>
            <w:vAlign w:val="center"/>
          </w:tcPr>
          <w:p w14:paraId="5556966E" w14:textId="77777777" w:rsidR="00F925DD" w:rsidRDefault="00F925DD">
            <w:pPr>
              <w:rPr>
                <w:rFonts w:ascii="Times New Roman" w:hAnsi="Times New Roman"/>
                <w:sz w:val="20"/>
                <w:szCs w:val="20"/>
              </w:rPr>
            </w:pPr>
          </w:p>
        </w:tc>
        <w:tc>
          <w:tcPr>
            <w:tcW w:w="0" w:type="auto"/>
            <w:shd w:val="clear" w:color="auto" w:fill="auto"/>
            <w:vAlign w:val="center"/>
          </w:tcPr>
          <w:p w14:paraId="5556966F" w14:textId="77777777" w:rsidR="00F925DD" w:rsidRDefault="00F925DD">
            <w:pPr>
              <w:rPr>
                <w:rFonts w:ascii="Times New Roman" w:hAnsi="Times New Roman"/>
                <w:sz w:val="20"/>
                <w:szCs w:val="20"/>
              </w:rPr>
            </w:pPr>
          </w:p>
        </w:tc>
      </w:tr>
      <w:tr w:rsidR="00F925DD" w14:paraId="55569673" w14:textId="77777777">
        <w:trPr>
          <w:tblCellSpacing w:w="0" w:type="dxa"/>
        </w:trPr>
        <w:tc>
          <w:tcPr>
            <w:tcW w:w="0" w:type="auto"/>
            <w:shd w:val="clear" w:color="auto" w:fill="auto"/>
          </w:tcPr>
          <w:p w14:paraId="5556967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7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Recovery and Resolution Planning Executive Review Board ove</w:t>
            </w:r>
            <w:r>
              <w:rPr>
                <w:rFonts w:ascii="Arial" w:eastAsia="宋体" w:hAnsi="Arial" w:cs="Arial"/>
                <w:sz w:val="20"/>
                <w:szCs w:val="20"/>
              </w:rPr>
              <w:t xml:space="preserve">rsees the development of recovery and resolution plans as required by banking regulators; </w:t>
            </w:r>
          </w:p>
        </w:tc>
      </w:tr>
    </w:tbl>
    <w:p w14:paraId="5556967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77" w14:textId="77777777">
        <w:trPr>
          <w:tblCellSpacing w:w="0" w:type="dxa"/>
        </w:trPr>
        <w:tc>
          <w:tcPr>
            <w:tcW w:w="960" w:type="dxa"/>
            <w:shd w:val="clear" w:color="auto" w:fill="auto"/>
            <w:vAlign w:val="center"/>
          </w:tcPr>
          <w:p w14:paraId="55569675" w14:textId="77777777" w:rsidR="00F925DD" w:rsidRDefault="00F925DD">
            <w:pPr>
              <w:rPr>
                <w:rFonts w:ascii="Times New Roman" w:hAnsi="Times New Roman"/>
                <w:sz w:val="20"/>
                <w:szCs w:val="20"/>
              </w:rPr>
            </w:pPr>
          </w:p>
        </w:tc>
        <w:tc>
          <w:tcPr>
            <w:tcW w:w="0" w:type="auto"/>
            <w:shd w:val="clear" w:color="auto" w:fill="auto"/>
            <w:vAlign w:val="center"/>
          </w:tcPr>
          <w:p w14:paraId="55569676" w14:textId="77777777" w:rsidR="00F925DD" w:rsidRDefault="00F925DD">
            <w:pPr>
              <w:rPr>
                <w:rFonts w:ascii="Times New Roman" w:hAnsi="Times New Roman"/>
                <w:sz w:val="20"/>
                <w:szCs w:val="20"/>
              </w:rPr>
            </w:pPr>
          </w:p>
        </w:tc>
      </w:tr>
      <w:tr w:rsidR="00F925DD" w14:paraId="5556967A" w14:textId="77777777">
        <w:trPr>
          <w:tblCellSpacing w:w="0" w:type="dxa"/>
        </w:trPr>
        <w:tc>
          <w:tcPr>
            <w:tcW w:w="0" w:type="auto"/>
            <w:shd w:val="clear" w:color="auto" w:fill="auto"/>
          </w:tcPr>
          <w:p w14:paraId="5556967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7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MRC monitors the overall level of model risk and provides oversight of the model governance process pertaining to financial models, including the validation of key models and the ongoing monitoring of model performance. The MRC may also, as appropriate, ma</w:t>
            </w:r>
            <w:r>
              <w:rPr>
                <w:rFonts w:ascii="Arial" w:eastAsia="宋体" w:hAnsi="Arial" w:cs="Arial"/>
                <w:sz w:val="20"/>
                <w:szCs w:val="20"/>
              </w:rPr>
              <w:t xml:space="preserve">ndate remedial actions and compensating controls to be applied to models to address modeling deficiencies as well as other issues identified; </w:t>
            </w:r>
          </w:p>
        </w:tc>
      </w:tr>
    </w:tbl>
    <w:p w14:paraId="5556967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7E" w14:textId="77777777">
        <w:trPr>
          <w:tblCellSpacing w:w="0" w:type="dxa"/>
        </w:trPr>
        <w:tc>
          <w:tcPr>
            <w:tcW w:w="960" w:type="dxa"/>
            <w:shd w:val="clear" w:color="auto" w:fill="auto"/>
            <w:vAlign w:val="center"/>
          </w:tcPr>
          <w:p w14:paraId="5556967C" w14:textId="77777777" w:rsidR="00F925DD" w:rsidRDefault="00F925DD">
            <w:pPr>
              <w:rPr>
                <w:rFonts w:ascii="Times New Roman" w:hAnsi="Times New Roman"/>
                <w:sz w:val="20"/>
                <w:szCs w:val="20"/>
              </w:rPr>
            </w:pPr>
          </w:p>
        </w:tc>
        <w:tc>
          <w:tcPr>
            <w:tcW w:w="0" w:type="auto"/>
            <w:shd w:val="clear" w:color="auto" w:fill="auto"/>
            <w:vAlign w:val="center"/>
          </w:tcPr>
          <w:p w14:paraId="5556967D" w14:textId="77777777" w:rsidR="00F925DD" w:rsidRDefault="00F925DD">
            <w:pPr>
              <w:rPr>
                <w:rFonts w:ascii="Times New Roman" w:hAnsi="Times New Roman"/>
                <w:sz w:val="20"/>
                <w:szCs w:val="20"/>
              </w:rPr>
            </w:pPr>
          </w:p>
        </w:tc>
      </w:tr>
      <w:tr w:rsidR="00F925DD" w14:paraId="55569681" w14:textId="77777777">
        <w:trPr>
          <w:tblCellSpacing w:w="0" w:type="dxa"/>
        </w:trPr>
        <w:tc>
          <w:tcPr>
            <w:tcW w:w="0" w:type="auto"/>
            <w:shd w:val="clear" w:color="auto" w:fill="auto"/>
          </w:tcPr>
          <w:p w14:paraId="5556967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8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CCAR Steering Committee provides primary supervision of the stress tests performed in </w:t>
            </w:r>
            <w:r>
              <w:rPr>
                <w:rFonts w:ascii="Arial" w:eastAsia="宋体" w:hAnsi="Arial" w:cs="Arial"/>
                <w:sz w:val="20"/>
                <w:szCs w:val="20"/>
              </w:rPr>
              <w:t>conformity with the Federal Reserve's CCAR process and the Dodd-Frank Act, and is responsible for the overall management, review, and approval of all material assumptions, methodologies, and results of each stress scenario;</w:t>
            </w:r>
          </w:p>
        </w:tc>
      </w:tr>
    </w:tbl>
    <w:p w14:paraId="5556968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85" w14:textId="77777777">
        <w:trPr>
          <w:tblCellSpacing w:w="0" w:type="dxa"/>
        </w:trPr>
        <w:tc>
          <w:tcPr>
            <w:tcW w:w="960" w:type="dxa"/>
            <w:shd w:val="clear" w:color="auto" w:fill="auto"/>
            <w:vAlign w:val="center"/>
          </w:tcPr>
          <w:p w14:paraId="55569683" w14:textId="77777777" w:rsidR="00F925DD" w:rsidRDefault="00F925DD">
            <w:pPr>
              <w:rPr>
                <w:rFonts w:ascii="Times New Roman" w:hAnsi="Times New Roman"/>
                <w:sz w:val="20"/>
                <w:szCs w:val="20"/>
              </w:rPr>
            </w:pPr>
          </w:p>
        </w:tc>
        <w:tc>
          <w:tcPr>
            <w:tcW w:w="0" w:type="auto"/>
            <w:shd w:val="clear" w:color="auto" w:fill="auto"/>
            <w:vAlign w:val="center"/>
          </w:tcPr>
          <w:p w14:paraId="55569684" w14:textId="77777777" w:rsidR="00F925DD" w:rsidRDefault="00F925DD">
            <w:pPr>
              <w:rPr>
                <w:rFonts w:ascii="Times New Roman" w:hAnsi="Times New Roman"/>
                <w:sz w:val="20"/>
                <w:szCs w:val="20"/>
              </w:rPr>
            </w:pPr>
          </w:p>
        </w:tc>
      </w:tr>
      <w:tr w:rsidR="00F925DD" w14:paraId="55569688" w14:textId="77777777">
        <w:trPr>
          <w:tblCellSpacing w:w="0" w:type="dxa"/>
        </w:trPr>
        <w:tc>
          <w:tcPr>
            <w:tcW w:w="0" w:type="auto"/>
            <w:shd w:val="clear" w:color="auto" w:fill="auto"/>
          </w:tcPr>
          <w:p w14:paraId="5556968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8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State Street Global A</w:t>
            </w:r>
            <w:r>
              <w:rPr>
                <w:rFonts w:ascii="Arial" w:eastAsia="宋体" w:hAnsi="Arial" w:cs="Arial"/>
                <w:sz w:val="20"/>
                <w:szCs w:val="20"/>
              </w:rPr>
              <w:t>dvisors Risk Committee is the most senior oversight and decision making committee for risk management within State Street Global Advisors; the committee is responsible for overseeing the alignment of State Street Global Advisors' strategy, and risk appetit</w:t>
            </w:r>
            <w:r>
              <w:rPr>
                <w:rFonts w:ascii="Arial" w:eastAsia="宋体" w:hAnsi="Arial" w:cs="Arial"/>
                <w:sz w:val="20"/>
                <w:szCs w:val="20"/>
              </w:rPr>
              <w:t>e, as well as alignment with our corporate-wide strategies and risk management standards; and</w:t>
            </w:r>
          </w:p>
        </w:tc>
      </w:tr>
    </w:tbl>
    <w:p w14:paraId="5556968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8C" w14:textId="77777777">
        <w:trPr>
          <w:tblCellSpacing w:w="0" w:type="dxa"/>
        </w:trPr>
        <w:tc>
          <w:tcPr>
            <w:tcW w:w="960" w:type="dxa"/>
            <w:shd w:val="clear" w:color="auto" w:fill="auto"/>
            <w:vAlign w:val="center"/>
          </w:tcPr>
          <w:p w14:paraId="5556968A" w14:textId="77777777" w:rsidR="00F925DD" w:rsidRDefault="00F925DD">
            <w:pPr>
              <w:rPr>
                <w:rFonts w:ascii="Times New Roman" w:hAnsi="Times New Roman"/>
                <w:sz w:val="20"/>
                <w:szCs w:val="20"/>
              </w:rPr>
            </w:pPr>
          </w:p>
        </w:tc>
        <w:tc>
          <w:tcPr>
            <w:tcW w:w="0" w:type="auto"/>
            <w:shd w:val="clear" w:color="auto" w:fill="auto"/>
            <w:vAlign w:val="center"/>
          </w:tcPr>
          <w:p w14:paraId="5556968B" w14:textId="77777777" w:rsidR="00F925DD" w:rsidRDefault="00F925DD">
            <w:pPr>
              <w:rPr>
                <w:rFonts w:ascii="Times New Roman" w:hAnsi="Times New Roman"/>
                <w:sz w:val="20"/>
                <w:szCs w:val="20"/>
              </w:rPr>
            </w:pPr>
          </w:p>
        </w:tc>
      </w:tr>
      <w:tr w:rsidR="00F925DD" w14:paraId="5556968F" w14:textId="77777777">
        <w:trPr>
          <w:tblCellSpacing w:w="0" w:type="dxa"/>
        </w:trPr>
        <w:tc>
          <w:tcPr>
            <w:tcW w:w="0" w:type="auto"/>
            <w:shd w:val="clear" w:color="auto" w:fill="auto"/>
          </w:tcPr>
          <w:p w14:paraId="5556968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8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Country Risk Committee oversees the identification, assessment, monitoring, reporting and mitigation, where necessary, of country risks.</w:t>
            </w:r>
          </w:p>
        </w:tc>
      </w:tr>
    </w:tbl>
    <w:p w14:paraId="55569690"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93" w14:textId="77777777">
        <w:trPr>
          <w:tblCellSpacing w:w="0" w:type="dxa"/>
        </w:trPr>
        <w:tc>
          <w:tcPr>
            <w:tcW w:w="960" w:type="dxa"/>
            <w:shd w:val="clear" w:color="auto" w:fill="auto"/>
            <w:vAlign w:val="center"/>
          </w:tcPr>
          <w:p w14:paraId="55569691" w14:textId="77777777" w:rsidR="00F925DD" w:rsidRDefault="00F925DD">
            <w:pPr>
              <w:rPr>
                <w:rFonts w:ascii="Times New Roman" w:hAnsi="Times New Roman"/>
                <w:sz w:val="20"/>
                <w:szCs w:val="20"/>
              </w:rPr>
            </w:pPr>
          </w:p>
        </w:tc>
        <w:tc>
          <w:tcPr>
            <w:tcW w:w="0" w:type="auto"/>
            <w:shd w:val="clear" w:color="auto" w:fill="auto"/>
            <w:vAlign w:val="center"/>
          </w:tcPr>
          <w:p w14:paraId="55569692" w14:textId="77777777" w:rsidR="00F925DD" w:rsidRDefault="00F925DD">
            <w:pPr>
              <w:rPr>
                <w:rFonts w:ascii="Times New Roman" w:hAnsi="Times New Roman"/>
                <w:sz w:val="20"/>
                <w:szCs w:val="20"/>
              </w:rPr>
            </w:pPr>
          </w:p>
        </w:tc>
      </w:tr>
      <w:tr w:rsidR="00F925DD" w14:paraId="55569696" w14:textId="77777777">
        <w:trPr>
          <w:tblCellSpacing w:w="0" w:type="dxa"/>
        </w:trPr>
        <w:tc>
          <w:tcPr>
            <w:tcW w:w="0" w:type="auto"/>
            <w:shd w:val="clear" w:color="auto" w:fill="auto"/>
          </w:tcPr>
          <w:p w14:paraId="5556969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9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Regulatory Reporting Oversight Committee is responsible for providing oversight of regulatory reporting and related report governance processes and accountabilities</w:t>
            </w:r>
            <w:r>
              <w:rPr>
                <w:rFonts w:ascii="Times New Roman" w:eastAsia="宋体" w:hAnsi="Times New Roman"/>
                <w:sz w:val="20"/>
                <w:szCs w:val="20"/>
              </w:rPr>
              <w:t>.</w:t>
            </w:r>
          </w:p>
        </w:tc>
      </w:tr>
    </w:tbl>
    <w:p w14:paraId="55569697" w14:textId="77777777" w:rsidR="00F925DD" w:rsidRDefault="00E705D7">
      <w:pPr>
        <w:spacing w:line="288" w:lineRule="auto"/>
        <w:rPr>
          <w:rFonts w:ascii="Times New Roman" w:hAnsi="Times New Roman"/>
          <w:sz w:val="20"/>
          <w:szCs w:val="20"/>
        </w:rPr>
      </w:pPr>
      <w:r>
        <w:rPr>
          <w:rFonts w:ascii="Arial" w:eastAsia="宋体" w:hAnsi="Arial" w:cs="Arial"/>
          <w:i/>
          <w:iCs/>
          <w:sz w:val="20"/>
          <w:szCs w:val="20"/>
        </w:rPr>
        <w:t>Business Conduct Risk Committee</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9A" w14:textId="77777777">
        <w:trPr>
          <w:tblCellSpacing w:w="0" w:type="dxa"/>
        </w:trPr>
        <w:tc>
          <w:tcPr>
            <w:tcW w:w="960" w:type="dxa"/>
            <w:shd w:val="clear" w:color="auto" w:fill="auto"/>
            <w:vAlign w:val="center"/>
          </w:tcPr>
          <w:p w14:paraId="55569698" w14:textId="77777777" w:rsidR="00F925DD" w:rsidRDefault="00F925DD">
            <w:pPr>
              <w:rPr>
                <w:rFonts w:ascii="Times New Roman" w:hAnsi="Times New Roman"/>
                <w:sz w:val="20"/>
                <w:szCs w:val="20"/>
              </w:rPr>
            </w:pPr>
          </w:p>
        </w:tc>
        <w:tc>
          <w:tcPr>
            <w:tcW w:w="0" w:type="auto"/>
            <w:shd w:val="clear" w:color="auto" w:fill="auto"/>
            <w:vAlign w:val="center"/>
          </w:tcPr>
          <w:p w14:paraId="55569699" w14:textId="77777777" w:rsidR="00F925DD" w:rsidRDefault="00F925DD">
            <w:pPr>
              <w:rPr>
                <w:rFonts w:ascii="Times New Roman" w:hAnsi="Times New Roman"/>
                <w:sz w:val="20"/>
                <w:szCs w:val="20"/>
              </w:rPr>
            </w:pPr>
          </w:p>
        </w:tc>
      </w:tr>
      <w:tr w:rsidR="00F925DD" w14:paraId="5556969D" w14:textId="77777777">
        <w:trPr>
          <w:tblCellSpacing w:w="0" w:type="dxa"/>
        </w:trPr>
        <w:tc>
          <w:tcPr>
            <w:tcW w:w="0" w:type="auto"/>
            <w:shd w:val="clear" w:color="auto" w:fill="auto"/>
          </w:tcPr>
          <w:p w14:paraId="5556969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9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Fiduciary Review Committee reviews and assesses the fiduciary risk management programs of those units in which we serve in a fiduciary capacity; </w:t>
            </w:r>
          </w:p>
        </w:tc>
      </w:tr>
    </w:tbl>
    <w:p w14:paraId="5556969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A1" w14:textId="77777777">
        <w:trPr>
          <w:tblCellSpacing w:w="0" w:type="dxa"/>
        </w:trPr>
        <w:tc>
          <w:tcPr>
            <w:tcW w:w="960" w:type="dxa"/>
            <w:shd w:val="clear" w:color="auto" w:fill="auto"/>
            <w:vAlign w:val="center"/>
          </w:tcPr>
          <w:p w14:paraId="5556969F" w14:textId="77777777" w:rsidR="00F925DD" w:rsidRDefault="00F925DD">
            <w:pPr>
              <w:rPr>
                <w:rFonts w:ascii="Times New Roman" w:hAnsi="Times New Roman"/>
                <w:sz w:val="20"/>
                <w:szCs w:val="20"/>
              </w:rPr>
            </w:pPr>
          </w:p>
        </w:tc>
        <w:tc>
          <w:tcPr>
            <w:tcW w:w="0" w:type="auto"/>
            <w:shd w:val="clear" w:color="auto" w:fill="auto"/>
            <w:vAlign w:val="center"/>
          </w:tcPr>
          <w:p w14:paraId="555696A0" w14:textId="77777777" w:rsidR="00F925DD" w:rsidRDefault="00F925DD">
            <w:pPr>
              <w:rPr>
                <w:rFonts w:ascii="Times New Roman" w:hAnsi="Times New Roman"/>
                <w:sz w:val="20"/>
                <w:szCs w:val="20"/>
              </w:rPr>
            </w:pPr>
          </w:p>
        </w:tc>
      </w:tr>
      <w:tr w:rsidR="00F925DD" w14:paraId="555696A4" w14:textId="77777777">
        <w:trPr>
          <w:tblCellSpacing w:w="0" w:type="dxa"/>
        </w:trPr>
        <w:tc>
          <w:tcPr>
            <w:tcW w:w="0" w:type="auto"/>
            <w:shd w:val="clear" w:color="auto" w:fill="auto"/>
          </w:tcPr>
          <w:p w14:paraId="555696A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A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New Business and Product Approval Committee provides oversight of the evaluation of the risk inherent in proposed new products or services and new business, and extensions </w:t>
            </w:r>
          </w:p>
        </w:tc>
      </w:tr>
    </w:tbl>
    <w:p w14:paraId="555696A5" w14:textId="77777777" w:rsidR="00F925DD" w:rsidRDefault="00F925DD">
      <w:pPr>
        <w:rPr>
          <w:rFonts w:ascii="Times New Roman" w:hAnsi="Times New Roman"/>
          <w:sz w:val="20"/>
          <w:szCs w:val="20"/>
        </w:rPr>
      </w:pPr>
    </w:p>
    <w:p w14:paraId="555696A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83</w:t>
      </w:r>
    </w:p>
    <w:p w14:paraId="555696A7" w14:textId="77777777" w:rsidR="00F925DD" w:rsidRDefault="00F925DD">
      <w:pPr>
        <w:spacing w:line="288" w:lineRule="auto"/>
        <w:ind w:firstLine="600"/>
        <w:jc w:val="center"/>
        <w:rPr>
          <w:rFonts w:ascii="Times New Roman" w:hAnsi="Times New Roman"/>
          <w:sz w:val="18"/>
          <w:szCs w:val="18"/>
        </w:rPr>
      </w:pPr>
    </w:p>
    <w:p w14:paraId="555696A8" w14:textId="77777777" w:rsidR="00F925DD" w:rsidRDefault="00E705D7">
      <w:r>
        <w:rPr>
          <w:rFonts w:ascii="Times New Roman" w:hAnsi="Times New Roman"/>
          <w:sz w:val="18"/>
          <w:szCs w:val="18"/>
        </w:rPr>
        <w:pict w14:anchorId="5557068D">
          <v:rect id="_x0000_i1107" style="width:415.3pt;height:1.5pt" o:hralign="center" o:hrstd="t" o:hr="t" fillcolor="#a0a0a0" stroked="f"/>
        </w:pict>
      </w:r>
    </w:p>
    <w:p w14:paraId="555696A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DISCUSSION AND ANALYSIS OF </w:t>
      </w:r>
      <w:r>
        <w:rPr>
          <w:rFonts w:ascii="Arial" w:eastAsia="宋体" w:hAnsi="Arial" w:cs="Arial"/>
          <w:b/>
          <w:bCs/>
          <w:sz w:val="20"/>
          <w:szCs w:val="20"/>
        </w:rPr>
        <w:t>FINANCIAL CONDITION</w:t>
      </w:r>
    </w:p>
    <w:p w14:paraId="555696A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6AB" w14:textId="77777777" w:rsidR="00F925DD" w:rsidRDefault="00F925DD">
      <w:pPr>
        <w:rPr>
          <w:rFonts w:ascii="Times New Roman" w:hAnsi="Times New Roman"/>
          <w:sz w:val="20"/>
          <w:szCs w:val="20"/>
        </w:rPr>
      </w:pPr>
    </w:p>
    <w:p w14:paraId="555696A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of existing products or services, evaluations including economic justification, material risk, compliance, regulatory and legal considerations, and capital and liquidity analyses;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AF" w14:textId="77777777">
        <w:trPr>
          <w:tblCellSpacing w:w="0" w:type="dxa"/>
        </w:trPr>
        <w:tc>
          <w:tcPr>
            <w:tcW w:w="960" w:type="dxa"/>
            <w:shd w:val="clear" w:color="auto" w:fill="auto"/>
            <w:vAlign w:val="center"/>
          </w:tcPr>
          <w:p w14:paraId="555696AD" w14:textId="77777777" w:rsidR="00F925DD" w:rsidRDefault="00F925DD">
            <w:pPr>
              <w:rPr>
                <w:rFonts w:ascii="Times New Roman" w:hAnsi="Times New Roman"/>
                <w:sz w:val="20"/>
                <w:szCs w:val="20"/>
              </w:rPr>
            </w:pPr>
          </w:p>
        </w:tc>
        <w:tc>
          <w:tcPr>
            <w:tcW w:w="0" w:type="auto"/>
            <w:shd w:val="clear" w:color="auto" w:fill="auto"/>
            <w:vAlign w:val="center"/>
          </w:tcPr>
          <w:p w14:paraId="555696AE" w14:textId="77777777" w:rsidR="00F925DD" w:rsidRDefault="00F925DD">
            <w:pPr>
              <w:rPr>
                <w:rFonts w:ascii="Times New Roman" w:hAnsi="Times New Roman"/>
                <w:sz w:val="20"/>
                <w:szCs w:val="20"/>
              </w:rPr>
            </w:pPr>
          </w:p>
        </w:tc>
      </w:tr>
      <w:tr w:rsidR="00F925DD" w14:paraId="555696B2" w14:textId="77777777">
        <w:trPr>
          <w:tblCellSpacing w:w="0" w:type="dxa"/>
        </w:trPr>
        <w:tc>
          <w:tcPr>
            <w:tcW w:w="0" w:type="auto"/>
            <w:shd w:val="clear" w:color="auto" w:fill="auto"/>
          </w:tcPr>
          <w:p w14:paraId="555696B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B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Compliance and Ethic</w:t>
            </w:r>
            <w:r>
              <w:rPr>
                <w:rFonts w:ascii="Arial" w:eastAsia="宋体" w:hAnsi="Arial" w:cs="Arial"/>
                <w:sz w:val="20"/>
                <w:szCs w:val="20"/>
              </w:rPr>
              <w:t>s Committee provides review and oversight of our compliance programs, including our culture of compliance and high standards of ethical behavior;</w:t>
            </w:r>
          </w:p>
        </w:tc>
      </w:tr>
    </w:tbl>
    <w:p w14:paraId="555696B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B6" w14:textId="77777777">
        <w:trPr>
          <w:tblCellSpacing w:w="0" w:type="dxa"/>
        </w:trPr>
        <w:tc>
          <w:tcPr>
            <w:tcW w:w="960" w:type="dxa"/>
            <w:shd w:val="clear" w:color="auto" w:fill="auto"/>
            <w:vAlign w:val="center"/>
          </w:tcPr>
          <w:p w14:paraId="555696B4" w14:textId="77777777" w:rsidR="00F925DD" w:rsidRDefault="00F925DD">
            <w:pPr>
              <w:rPr>
                <w:rFonts w:ascii="Times New Roman" w:hAnsi="Times New Roman"/>
                <w:sz w:val="20"/>
                <w:szCs w:val="20"/>
              </w:rPr>
            </w:pPr>
          </w:p>
        </w:tc>
        <w:tc>
          <w:tcPr>
            <w:tcW w:w="0" w:type="auto"/>
            <w:shd w:val="clear" w:color="auto" w:fill="auto"/>
            <w:vAlign w:val="center"/>
          </w:tcPr>
          <w:p w14:paraId="555696B5" w14:textId="77777777" w:rsidR="00F925DD" w:rsidRDefault="00F925DD">
            <w:pPr>
              <w:rPr>
                <w:rFonts w:ascii="Times New Roman" w:hAnsi="Times New Roman"/>
                <w:sz w:val="20"/>
                <w:szCs w:val="20"/>
              </w:rPr>
            </w:pPr>
          </w:p>
        </w:tc>
      </w:tr>
      <w:tr w:rsidR="00F925DD" w14:paraId="555696B9" w14:textId="77777777">
        <w:trPr>
          <w:tblCellSpacing w:w="0" w:type="dxa"/>
        </w:trPr>
        <w:tc>
          <w:tcPr>
            <w:tcW w:w="0" w:type="auto"/>
            <w:shd w:val="clear" w:color="auto" w:fill="auto"/>
          </w:tcPr>
          <w:p w14:paraId="555696B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B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Legal Entity Oversight Committee establishes standards with respect to the governance of our </w:t>
            </w:r>
            <w:r>
              <w:rPr>
                <w:rFonts w:ascii="Arial" w:eastAsia="宋体" w:hAnsi="Arial" w:cs="Arial"/>
                <w:sz w:val="20"/>
                <w:szCs w:val="20"/>
              </w:rPr>
              <w:t>legal entities, monitors adherence to those standards, and oversees the ongoing evaluation of our legal entity structure, including the formation, maintenance and dissolution of legal entities; and</w:t>
            </w:r>
          </w:p>
        </w:tc>
      </w:tr>
    </w:tbl>
    <w:p w14:paraId="555696B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BD" w14:textId="77777777">
        <w:trPr>
          <w:tblCellSpacing w:w="0" w:type="dxa"/>
        </w:trPr>
        <w:tc>
          <w:tcPr>
            <w:tcW w:w="960" w:type="dxa"/>
            <w:shd w:val="clear" w:color="auto" w:fill="auto"/>
            <w:vAlign w:val="center"/>
          </w:tcPr>
          <w:p w14:paraId="555696BB" w14:textId="77777777" w:rsidR="00F925DD" w:rsidRDefault="00F925DD">
            <w:pPr>
              <w:rPr>
                <w:rFonts w:ascii="Times New Roman" w:hAnsi="Times New Roman"/>
                <w:sz w:val="20"/>
                <w:szCs w:val="20"/>
              </w:rPr>
            </w:pPr>
          </w:p>
        </w:tc>
        <w:tc>
          <w:tcPr>
            <w:tcW w:w="0" w:type="auto"/>
            <w:shd w:val="clear" w:color="auto" w:fill="auto"/>
            <w:vAlign w:val="center"/>
          </w:tcPr>
          <w:p w14:paraId="555696BC" w14:textId="77777777" w:rsidR="00F925DD" w:rsidRDefault="00F925DD">
            <w:pPr>
              <w:rPr>
                <w:rFonts w:ascii="Times New Roman" w:hAnsi="Times New Roman"/>
                <w:sz w:val="20"/>
                <w:szCs w:val="20"/>
              </w:rPr>
            </w:pPr>
          </w:p>
        </w:tc>
      </w:tr>
      <w:tr w:rsidR="00F925DD" w14:paraId="555696C0" w14:textId="77777777">
        <w:trPr>
          <w:tblCellSpacing w:w="0" w:type="dxa"/>
        </w:trPr>
        <w:tc>
          <w:tcPr>
            <w:tcW w:w="0" w:type="auto"/>
            <w:shd w:val="clear" w:color="auto" w:fill="auto"/>
          </w:tcPr>
          <w:p w14:paraId="555696B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B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Conduct Standards Committee provides </w:t>
            </w:r>
            <w:r>
              <w:rPr>
                <w:rFonts w:ascii="Arial" w:eastAsia="宋体" w:hAnsi="Arial" w:cs="Arial"/>
                <w:sz w:val="20"/>
                <w:szCs w:val="20"/>
              </w:rPr>
              <w:t>oversight of our enforcement of employee conduct standards.</w:t>
            </w:r>
          </w:p>
        </w:tc>
      </w:tr>
    </w:tbl>
    <w:p w14:paraId="555696C1" w14:textId="77777777" w:rsidR="00F925DD" w:rsidRDefault="00E705D7">
      <w:pPr>
        <w:spacing w:line="288" w:lineRule="auto"/>
        <w:rPr>
          <w:rFonts w:ascii="Times New Roman" w:hAnsi="Times New Roman"/>
          <w:sz w:val="20"/>
          <w:szCs w:val="20"/>
        </w:rPr>
      </w:pPr>
      <w:r>
        <w:rPr>
          <w:rFonts w:ascii="Arial" w:eastAsia="宋体" w:hAnsi="Arial" w:cs="Arial"/>
          <w:i/>
          <w:iCs/>
          <w:sz w:val="20"/>
          <w:szCs w:val="20"/>
        </w:rPr>
        <w:t>Technology and Operational Risk Committee</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C4" w14:textId="77777777">
        <w:trPr>
          <w:tblCellSpacing w:w="0" w:type="dxa"/>
        </w:trPr>
        <w:tc>
          <w:tcPr>
            <w:tcW w:w="960" w:type="dxa"/>
            <w:shd w:val="clear" w:color="auto" w:fill="auto"/>
            <w:vAlign w:val="center"/>
          </w:tcPr>
          <w:p w14:paraId="555696C2" w14:textId="77777777" w:rsidR="00F925DD" w:rsidRDefault="00F925DD">
            <w:pPr>
              <w:rPr>
                <w:rFonts w:ascii="Times New Roman" w:hAnsi="Times New Roman"/>
                <w:sz w:val="20"/>
                <w:szCs w:val="20"/>
              </w:rPr>
            </w:pPr>
          </w:p>
        </w:tc>
        <w:tc>
          <w:tcPr>
            <w:tcW w:w="0" w:type="auto"/>
            <w:shd w:val="clear" w:color="auto" w:fill="auto"/>
            <w:vAlign w:val="center"/>
          </w:tcPr>
          <w:p w14:paraId="555696C3" w14:textId="77777777" w:rsidR="00F925DD" w:rsidRDefault="00F925DD">
            <w:pPr>
              <w:rPr>
                <w:rFonts w:ascii="Times New Roman" w:hAnsi="Times New Roman"/>
                <w:sz w:val="20"/>
                <w:szCs w:val="20"/>
              </w:rPr>
            </w:pPr>
          </w:p>
        </w:tc>
      </w:tr>
      <w:tr w:rsidR="00F925DD" w14:paraId="555696C7" w14:textId="77777777">
        <w:trPr>
          <w:tblCellSpacing w:w="0" w:type="dxa"/>
        </w:trPr>
        <w:tc>
          <w:tcPr>
            <w:tcW w:w="0" w:type="auto"/>
            <w:shd w:val="clear" w:color="auto" w:fill="auto"/>
          </w:tcPr>
          <w:p w14:paraId="555696C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C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Operational Risk Committee, along with the support of regional business or entity-specific working groups and committees, is </w:t>
            </w:r>
            <w:r>
              <w:rPr>
                <w:rFonts w:ascii="Arial" w:eastAsia="宋体" w:hAnsi="Arial" w:cs="Arial"/>
                <w:sz w:val="20"/>
                <w:szCs w:val="20"/>
              </w:rPr>
              <w:t>responsible for oversight of our operational risk programs, including determining that the implementation of those programs is designed to identify, manage and control operational risk in an effective and consistent manner across the firm;</w:t>
            </w:r>
          </w:p>
        </w:tc>
      </w:tr>
    </w:tbl>
    <w:p w14:paraId="555696C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CB" w14:textId="77777777">
        <w:trPr>
          <w:tblCellSpacing w:w="0" w:type="dxa"/>
        </w:trPr>
        <w:tc>
          <w:tcPr>
            <w:tcW w:w="960" w:type="dxa"/>
            <w:shd w:val="clear" w:color="auto" w:fill="auto"/>
            <w:vAlign w:val="center"/>
          </w:tcPr>
          <w:p w14:paraId="555696C9" w14:textId="77777777" w:rsidR="00F925DD" w:rsidRDefault="00F925DD">
            <w:pPr>
              <w:rPr>
                <w:rFonts w:ascii="Times New Roman" w:hAnsi="Times New Roman"/>
                <w:sz w:val="20"/>
                <w:szCs w:val="20"/>
              </w:rPr>
            </w:pPr>
          </w:p>
        </w:tc>
        <w:tc>
          <w:tcPr>
            <w:tcW w:w="0" w:type="auto"/>
            <w:shd w:val="clear" w:color="auto" w:fill="auto"/>
            <w:vAlign w:val="center"/>
          </w:tcPr>
          <w:p w14:paraId="555696CA" w14:textId="77777777" w:rsidR="00F925DD" w:rsidRDefault="00F925DD">
            <w:pPr>
              <w:rPr>
                <w:rFonts w:ascii="Times New Roman" w:hAnsi="Times New Roman"/>
                <w:sz w:val="20"/>
                <w:szCs w:val="20"/>
              </w:rPr>
            </w:pPr>
          </w:p>
        </w:tc>
      </w:tr>
      <w:tr w:rsidR="00F925DD" w14:paraId="555696CE" w14:textId="77777777">
        <w:trPr>
          <w:tblCellSpacing w:w="0" w:type="dxa"/>
        </w:trPr>
        <w:tc>
          <w:tcPr>
            <w:tcW w:w="0" w:type="auto"/>
            <w:shd w:val="clear" w:color="auto" w:fill="auto"/>
          </w:tcPr>
          <w:p w14:paraId="555696C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C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 xml:space="preserve">Technology Risk Committee is responsible for the global oversight, review and monitoring of operational, legal and regulatory compliance and reputational risk that may result in a significant change to our Information Technology risk profile or a material </w:t>
            </w:r>
            <w:r>
              <w:rPr>
                <w:rFonts w:ascii="Arial" w:eastAsia="宋体" w:hAnsi="Arial" w:cs="Arial"/>
                <w:sz w:val="20"/>
                <w:szCs w:val="20"/>
              </w:rPr>
              <w:t>financial loss or reputational impact to global technology services. The Committee serves as a forum to provide regular reporting to TORC and escalate technology risk and control issues to TORC, as appropriate; and</w:t>
            </w:r>
          </w:p>
        </w:tc>
      </w:tr>
    </w:tbl>
    <w:p w14:paraId="555696C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6D2" w14:textId="77777777">
        <w:trPr>
          <w:tblCellSpacing w:w="0" w:type="dxa"/>
        </w:trPr>
        <w:tc>
          <w:tcPr>
            <w:tcW w:w="960" w:type="dxa"/>
            <w:shd w:val="clear" w:color="auto" w:fill="auto"/>
            <w:vAlign w:val="center"/>
          </w:tcPr>
          <w:p w14:paraId="555696D0" w14:textId="77777777" w:rsidR="00F925DD" w:rsidRDefault="00F925DD">
            <w:pPr>
              <w:rPr>
                <w:rFonts w:ascii="Times New Roman" w:hAnsi="Times New Roman"/>
                <w:sz w:val="20"/>
                <w:szCs w:val="20"/>
              </w:rPr>
            </w:pPr>
          </w:p>
        </w:tc>
        <w:tc>
          <w:tcPr>
            <w:tcW w:w="0" w:type="auto"/>
            <w:shd w:val="clear" w:color="auto" w:fill="auto"/>
            <w:vAlign w:val="center"/>
          </w:tcPr>
          <w:p w14:paraId="555696D1" w14:textId="77777777" w:rsidR="00F925DD" w:rsidRDefault="00F925DD">
            <w:pPr>
              <w:rPr>
                <w:rFonts w:ascii="Times New Roman" w:hAnsi="Times New Roman"/>
                <w:sz w:val="20"/>
                <w:szCs w:val="20"/>
              </w:rPr>
            </w:pPr>
          </w:p>
        </w:tc>
      </w:tr>
      <w:tr w:rsidR="00F925DD" w14:paraId="555696D5" w14:textId="77777777">
        <w:trPr>
          <w:tblCellSpacing w:w="0" w:type="dxa"/>
        </w:trPr>
        <w:tc>
          <w:tcPr>
            <w:tcW w:w="0" w:type="auto"/>
            <w:shd w:val="clear" w:color="auto" w:fill="auto"/>
          </w:tcPr>
          <w:p w14:paraId="555696D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D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Executive </w:t>
            </w:r>
            <w:r>
              <w:rPr>
                <w:rFonts w:ascii="Arial" w:eastAsia="宋体" w:hAnsi="Arial" w:cs="Arial"/>
                <w:sz w:val="20"/>
                <w:szCs w:val="20"/>
              </w:rPr>
              <w:t>Information Security Committee provides direction for the Enterprise Information Security posture and program, including cyber-security protections, provides enterprise-wide oversight and assessment of the effectiveness of all Information Security Programs</w:t>
            </w:r>
            <w:r>
              <w:rPr>
                <w:rFonts w:ascii="Arial" w:eastAsia="宋体" w:hAnsi="Arial" w:cs="Arial"/>
                <w:sz w:val="20"/>
                <w:szCs w:val="20"/>
              </w:rPr>
              <w:t xml:space="preserve"> to promote that controls are measured and managed, and serves as an escalation point for cyber-security issues.</w:t>
            </w:r>
          </w:p>
        </w:tc>
      </w:tr>
    </w:tbl>
    <w:p w14:paraId="555696D6"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Credit Risk Management</w:t>
      </w:r>
    </w:p>
    <w:p w14:paraId="555696D7"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Core Policies and Principles</w:t>
      </w:r>
    </w:p>
    <w:p w14:paraId="555696D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define credit risk as the risk of financial loss if a counterparty, borrower or obligor</w:t>
      </w:r>
      <w:r>
        <w:rPr>
          <w:rFonts w:ascii="Arial" w:eastAsia="宋体" w:hAnsi="Arial" w:cs="Arial"/>
          <w:sz w:val="20"/>
          <w:szCs w:val="20"/>
        </w:rPr>
        <w:t xml:space="preserve">, collectively referred to as a counterparty, is either unable or unwilling to </w:t>
      </w:r>
    </w:p>
    <w:p w14:paraId="555696D9"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6DA"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repay borrowings or settle a transaction in accordance with underlying contractual terms. We assume credit risk in our traditional non-trading lending activities, such as loa</w:t>
      </w:r>
      <w:r>
        <w:rPr>
          <w:rFonts w:ascii="Arial" w:eastAsia="宋体" w:hAnsi="Arial" w:cs="Arial"/>
          <w:sz w:val="20"/>
          <w:szCs w:val="20"/>
        </w:rPr>
        <w:t>ns and contingent commitments, in our investment securities portfolio, where recourse to a counterparty exists, and in our direct and indirect trading activities, such as principal securities lending and foreign exchange and indemnified agency securities l</w:t>
      </w:r>
      <w:r>
        <w:rPr>
          <w:rFonts w:ascii="Arial" w:eastAsia="宋体" w:hAnsi="Arial" w:cs="Arial"/>
          <w:sz w:val="20"/>
          <w:szCs w:val="20"/>
        </w:rPr>
        <w:t>ending. We also assume credit risk in our day-to-day treasury and securities</w:t>
      </w:r>
      <w:r>
        <w:rPr>
          <w:rFonts w:ascii="Arial" w:eastAsia="宋体" w:hAnsi="Arial" w:cs="Arial"/>
          <w:b/>
          <w:bCs/>
          <w:i/>
          <w:iCs/>
          <w:sz w:val="20"/>
          <w:szCs w:val="20"/>
        </w:rPr>
        <w:t xml:space="preserve"> </w:t>
      </w:r>
      <w:r>
        <w:rPr>
          <w:rFonts w:ascii="Arial" w:eastAsia="宋体" w:hAnsi="Arial" w:cs="Arial"/>
          <w:sz w:val="20"/>
          <w:szCs w:val="20"/>
        </w:rPr>
        <w:t>and other settlement operations, in the form of deposit placements and other cash balances, with central banks or private sector institutions.     </w:t>
      </w:r>
    </w:p>
    <w:p w14:paraId="555696D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distinguish between three ma</w:t>
      </w:r>
      <w:r>
        <w:rPr>
          <w:rFonts w:ascii="Arial" w:eastAsia="宋体" w:hAnsi="Arial" w:cs="Arial"/>
          <w:sz w:val="20"/>
          <w:szCs w:val="20"/>
        </w:rPr>
        <w:t xml:space="preserve">jor types of credit risk: </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6DE" w14:textId="77777777">
        <w:trPr>
          <w:tblCellSpacing w:w="0" w:type="dxa"/>
        </w:trPr>
        <w:tc>
          <w:tcPr>
            <w:tcW w:w="1080" w:type="dxa"/>
            <w:shd w:val="clear" w:color="auto" w:fill="auto"/>
            <w:vAlign w:val="center"/>
          </w:tcPr>
          <w:p w14:paraId="555696DC" w14:textId="77777777" w:rsidR="00F925DD" w:rsidRDefault="00F925DD">
            <w:pPr>
              <w:rPr>
                <w:rFonts w:ascii="Times New Roman" w:hAnsi="Times New Roman"/>
                <w:sz w:val="20"/>
                <w:szCs w:val="20"/>
              </w:rPr>
            </w:pPr>
          </w:p>
        </w:tc>
        <w:tc>
          <w:tcPr>
            <w:tcW w:w="0" w:type="auto"/>
            <w:shd w:val="clear" w:color="auto" w:fill="auto"/>
            <w:vAlign w:val="center"/>
          </w:tcPr>
          <w:p w14:paraId="555696DD" w14:textId="77777777" w:rsidR="00F925DD" w:rsidRDefault="00F925DD">
            <w:pPr>
              <w:rPr>
                <w:rFonts w:ascii="Times New Roman" w:hAnsi="Times New Roman"/>
                <w:sz w:val="20"/>
                <w:szCs w:val="20"/>
              </w:rPr>
            </w:pPr>
          </w:p>
        </w:tc>
      </w:tr>
      <w:tr w:rsidR="00F925DD" w14:paraId="555696E1" w14:textId="77777777">
        <w:trPr>
          <w:tblCellSpacing w:w="0" w:type="dxa"/>
        </w:trPr>
        <w:tc>
          <w:tcPr>
            <w:tcW w:w="0" w:type="auto"/>
            <w:shd w:val="clear" w:color="auto" w:fill="auto"/>
          </w:tcPr>
          <w:p w14:paraId="555696D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E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Default risk - the risk that a counterparty fails to meet its contractual payment obligations;</w:t>
            </w:r>
          </w:p>
        </w:tc>
      </w:tr>
    </w:tbl>
    <w:p w14:paraId="555696E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6E5" w14:textId="77777777">
        <w:trPr>
          <w:tblCellSpacing w:w="0" w:type="dxa"/>
        </w:trPr>
        <w:tc>
          <w:tcPr>
            <w:tcW w:w="1080" w:type="dxa"/>
            <w:shd w:val="clear" w:color="auto" w:fill="auto"/>
            <w:vAlign w:val="center"/>
          </w:tcPr>
          <w:p w14:paraId="555696E3" w14:textId="77777777" w:rsidR="00F925DD" w:rsidRDefault="00F925DD">
            <w:pPr>
              <w:rPr>
                <w:rFonts w:ascii="Times New Roman" w:hAnsi="Times New Roman"/>
                <w:sz w:val="20"/>
                <w:szCs w:val="20"/>
              </w:rPr>
            </w:pPr>
          </w:p>
        </w:tc>
        <w:tc>
          <w:tcPr>
            <w:tcW w:w="0" w:type="auto"/>
            <w:shd w:val="clear" w:color="auto" w:fill="auto"/>
            <w:vAlign w:val="center"/>
          </w:tcPr>
          <w:p w14:paraId="555696E4" w14:textId="77777777" w:rsidR="00F925DD" w:rsidRDefault="00F925DD">
            <w:pPr>
              <w:rPr>
                <w:rFonts w:ascii="Times New Roman" w:hAnsi="Times New Roman"/>
                <w:sz w:val="20"/>
                <w:szCs w:val="20"/>
              </w:rPr>
            </w:pPr>
          </w:p>
        </w:tc>
      </w:tr>
      <w:tr w:rsidR="00F925DD" w14:paraId="555696E8" w14:textId="77777777">
        <w:trPr>
          <w:tblCellSpacing w:w="0" w:type="dxa"/>
        </w:trPr>
        <w:tc>
          <w:tcPr>
            <w:tcW w:w="0" w:type="auto"/>
            <w:shd w:val="clear" w:color="auto" w:fill="auto"/>
          </w:tcPr>
          <w:p w14:paraId="555696E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E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Country risk - the risk that we may suffer a loss, in any given country, due to any of the following reasons: deterioration of economic conditions, political and social upheaval, nationalization and appropriation of assets, government repudiation of indebt</w:t>
            </w:r>
            <w:r>
              <w:rPr>
                <w:rFonts w:ascii="Arial" w:eastAsia="宋体" w:hAnsi="Arial" w:cs="Arial"/>
                <w:sz w:val="20"/>
                <w:szCs w:val="20"/>
              </w:rPr>
              <w:t xml:space="preserve">edness, exchange controls and disruptive currency depreciation or devaluation; and </w:t>
            </w:r>
          </w:p>
        </w:tc>
      </w:tr>
    </w:tbl>
    <w:p w14:paraId="555696E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6EC" w14:textId="77777777">
        <w:trPr>
          <w:tblCellSpacing w:w="0" w:type="dxa"/>
        </w:trPr>
        <w:tc>
          <w:tcPr>
            <w:tcW w:w="1080" w:type="dxa"/>
            <w:shd w:val="clear" w:color="auto" w:fill="auto"/>
            <w:vAlign w:val="center"/>
          </w:tcPr>
          <w:p w14:paraId="555696EA" w14:textId="77777777" w:rsidR="00F925DD" w:rsidRDefault="00F925DD">
            <w:pPr>
              <w:rPr>
                <w:rFonts w:ascii="Times New Roman" w:hAnsi="Times New Roman"/>
                <w:sz w:val="20"/>
                <w:szCs w:val="20"/>
              </w:rPr>
            </w:pPr>
          </w:p>
        </w:tc>
        <w:tc>
          <w:tcPr>
            <w:tcW w:w="0" w:type="auto"/>
            <w:shd w:val="clear" w:color="auto" w:fill="auto"/>
            <w:vAlign w:val="center"/>
          </w:tcPr>
          <w:p w14:paraId="555696EB" w14:textId="77777777" w:rsidR="00F925DD" w:rsidRDefault="00F925DD">
            <w:pPr>
              <w:rPr>
                <w:rFonts w:ascii="Times New Roman" w:hAnsi="Times New Roman"/>
                <w:sz w:val="20"/>
                <w:szCs w:val="20"/>
              </w:rPr>
            </w:pPr>
          </w:p>
        </w:tc>
      </w:tr>
      <w:tr w:rsidR="00F925DD" w14:paraId="555696EF" w14:textId="77777777">
        <w:trPr>
          <w:tblCellSpacing w:w="0" w:type="dxa"/>
        </w:trPr>
        <w:tc>
          <w:tcPr>
            <w:tcW w:w="0" w:type="auto"/>
            <w:shd w:val="clear" w:color="auto" w:fill="auto"/>
          </w:tcPr>
          <w:p w14:paraId="555696E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E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Settlement risk - the risk that the settlement or clearance of transactions will fail, which arises whenever the exchange of cash, securities and/or other </w:t>
            </w:r>
            <w:r>
              <w:rPr>
                <w:rFonts w:ascii="Arial" w:eastAsia="宋体" w:hAnsi="Arial" w:cs="Arial"/>
                <w:sz w:val="20"/>
                <w:szCs w:val="20"/>
              </w:rPr>
              <w:t>assets is not simultaneous.</w:t>
            </w:r>
          </w:p>
        </w:tc>
      </w:tr>
    </w:tbl>
    <w:p w14:paraId="555696F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acceptance of credit risk by us is governed by corporate policies and guidelines, which include standardized procedures applied across the entire organization. These policies and guidelines include specific requirements rel</w:t>
      </w:r>
      <w:r>
        <w:rPr>
          <w:rFonts w:ascii="Arial" w:eastAsia="宋体" w:hAnsi="Arial" w:cs="Arial"/>
          <w:sz w:val="20"/>
          <w:szCs w:val="20"/>
        </w:rPr>
        <w:t>ated to each counterparty's risk profile; the markets served; counterparty, industry and country concentrations; and regulatory compliance. These policies and procedures also implement a number of core principles, which include the following:</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6F3" w14:textId="77777777">
        <w:trPr>
          <w:tblCellSpacing w:w="0" w:type="dxa"/>
        </w:trPr>
        <w:tc>
          <w:tcPr>
            <w:tcW w:w="1080" w:type="dxa"/>
            <w:shd w:val="clear" w:color="auto" w:fill="auto"/>
            <w:vAlign w:val="center"/>
          </w:tcPr>
          <w:p w14:paraId="555696F1" w14:textId="77777777" w:rsidR="00F925DD" w:rsidRDefault="00F925DD">
            <w:pPr>
              <w:rPr>
                <w:rFonts w:ascii="Times New Roman" w:hAnsi="Times New Roman"/>
                <w:sz w:val="20"/>
                <w:szCs w:val="20"/>
              </w:rPr>
            </w:pPr>
          </w:p>
        </w:tc>
        <w:tc>
          <w:tcPr>
            <w:tcW w:w="0" w:type="auto"/>
            <w:shd w:val="clear" w:color="auto" w:fill="auto"/>
            <w:vAlign w:val="center"/>
          </w:tcPr>
          <w:p w14:paraId="555696F2" w14:textId="77777777" w:rsidR="00F925DD" w:rsidRDefault="00F925DD">
            <w:pPr>
              <w:rPr>
                <w:rFonts w:ascii="Times New Roman" w:hAnsi="Times New Roman"/>
                <w:sz w:val="20"/>
                <w:szCs w:val="20"/>
              </w:rPr>
            </w:pPr>
          </w:p>
        </w:tc>
      </w:tr>
      <w:tr w:rsidR="00F925DD" w14:paraId="555696F6" w14:textId="77777777">
        <w:trPr>
          <w:tblCellSpacing w:w="0" w:type="dxa"/>
        </w:trPr>
        <w:tc>
          <w:tcPr>
            <w:tcW w:w="0" w:type="auto"/>
            <w:shd w:val="clear" w:color="auto" w:fill="auto"/>
          </w:tcPr>
          <w:p w14:paraId="555696F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F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w:t>
            </w:r>
            <w:r>
              <w:rPr>
                <w:rFonts w:ascii="Arial" w:eastAsia="宋体" w:hAnsi="Arial" w:cs="Arial"/>
                <w:sz w:val="20"/>
                <w:szCs w:val="20"/>
              </w:rPr>
              <w:t>measure and consolidate credit risks to each counterparty, or group of counterparties, in accordance with a “one-obligor” principle that aggregates risks across our business units;</w:t>
            </w:r>
          </w:p>
        </w:tc>
      </w:tr>
    </w:tbl>
    <w:p w14:paraId="555696F7"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6FA" w14:textId="77777777">
        <w:trPr>
          <w:tblCellSpacing w:w="0" w:type="dxa"/>
        </w:trPr>
        <w:tc>
          <w:tcPr>
            <w:tcW w:w="1080" w:type="dxa"/>
            <w:shd w:val="clear" w:color="auto" w:fill="auto"/>
            <w:vAlign w:val="center"/>
          </w:tcPr>
          <w:p w14:paraId="555696F8" w14:textId="77777777" w:rsidR="00F925DD" w:rsidRDefault="00F925DD">
            <w:pPr>
              <w:rPr>
                <w:rFonts w:ascii="Times New Roman" w:hAnsi="Times New Roman"/>
                <w:sz w:val="20"/>
                <w:szCs w:val="20"/>
              </w:rPr>
            </w:pPr>
          </w:p>
        </w:tc>
        <w:tc>
          <w:tcPr>
            <w:tcW w:w="0" w:type="auto"/>
            <w:shd w:val="clear" w:color="auto" w:fill="auto"/>
            <w:vAlign w:val="center"/>
          </w:tcPr>
          <w:p w14:paraId="555696F9" w14:textId="77777777" w:rsidR="00F925DD" w:rsidRDefault="00F925DD">
            <w:pPr>
              <w:rPr>
                <w:rFonts w:ascii="Times New Roman" w:hAnsi="Times New Roman"/>
                <w:sz w:val="20"/>
                <w:szCs w:val="20"/>
              </w:rPr>
            </w:pPr>
          </w:p>
        </w:tc>
      </w:tr>
      <w:tr w:rsidR="00F925DD" w14:paraId="555696FD" w14:textId="77777777">
        <w:trPr>
          <w:tblCellSpacing w:w="0" w:type="dxa"/>
        </w:trPr>
        <w:tc>
          <w:tcPr>
            <w:tcW w:w="0" w:type="auto"/>
            <w:shd w:val="clear" w:color="auto" w:fill="auto"/>
          </w:tcPr>
          <w:p w14:paraId="555696F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6F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ERM reviews and approves all extensions of credit, or material chang</w:t>
            </w:r>
            <w:r>
              <w:rPr>
                <w:rFonts w:ascii="Arial" w:eastAsia="宋体" w:hAnsi="Arial" w:cs="Arial"/>
                <w:sz w:val="20"/>
                <w:szCs w:val="20"/>
              </w:rPr>
              <w:t xml:space="preserve">es to extensions of credit (such as changes in term, collateral structure or covenants), in accordance with assigned credit-approval authorities; </w:t>
            </w:r>
          </w:p>
        </w:tc>
      </w:tr>
    </w:tbl>
    <w:p w14:paraId="555696F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01" w14:textId="77777777">
        <w:trPr>
          <w:tblCellSpacing w:w="0" w:type="dxa"/>
        </w:trPr>
        <w:tc>
          <w:tcPr>
            <w:tcW w:w="1080" w:type="dxa"/>
            <w:shd w:val="clear" w:color="auto" w:fill="auto"/>
            <w:vAlign w:val="center"/>
          </w:tcPr>
          <w:p w14:paraId="555696FF" w14:textId="77777777" w:rsidR="00F925DD" w:rsidRDefault="00F925DD">
            <w:pPr>
              <w:rPr>
                <w:rFonts w:ascii="Times New Roman" w:hAnsi="Times New Roman"/>
                <w:sz w:val="20"/>
                <w:szCs w:val="20"/>
              </w:rPr>
            </w:pPr>
          </w:p>
        </w:tc>
        <w:tc>
          <w:tcPr>
            <w:tcW w:w="0" w:type="auto"/>
            <w:shd w:val="clear" w:color="auto" w:fill="auto"/>
            <w:vAlign w:val="center"/>
          </w:tcPr>
          <w:p w14:paraId="55569700" w14:textId="77777777" w:rsidR="00F925DD" w:rsidRDefault="00F925DD">
            <w:pPr>
              <w:rPr>
                <w:rFonts w:ascii="Times New Roman" w:hAnsi="Times New Roman"/>
                <w:sz w:val="20"/>
                <w:szCs w:val="20"/>
              </w:rPr>
            </w:pPr>
          </w:p>
        </w:tc>
      </w:tr>
      <w:tr w:rsidR="00F925DD" w14:paraId="55569704" w14:textId="77777777">
        <w:trPr>
          <w:tblCellSpacing w:w="0" w:type="dxa"/>
        </w:trPr>
        <w:tc>
          <w:tcPr>
            <w:tcW w:w="0" w:type="auto"/>
            <w:shd w:val="clear" w:color="auto" w:fill="auto"/>
          </w:tcPr>
          <w:p w14:paraId="5556970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0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Credit-approval authorities are assigned to individuals according to their qualifications, experience and training, and these authorities are periodically reviewed. Our largest exposures require approval by the Credit Committee, a sub-committee of the CRPC</w:t>
            </w:r>
            <w:r>
              <w:rPr>
                <w:rFonts w:ascii="Arial" w:eastAsia="宋体" w:hAnsi="Arial" w:cs="Arial"/>
                <w:sz w:val="20"/>
                <w:szCs w:val="20"/>
              </w:rPr>
              <w:t xml:space="preserve">. </w:t>
            </w:r>
          </w:p>
        </w:tc>
      </w:tr>
    </w:tbl>
    <w:p w14:paraId="55569705" w14:textId="77777777" w:rsidR="00F925DD" w:rsidRDefault="00F925DD">
      <w:pPr>
        <w:rPr>
          <w:rFonts w:ascii="Times New Roman" w:hAnsi="Times New Roman"/>
          <w:sz w:val="20"/>
          <w:szCs w:val="20"/>
        </w:rPr>
      </w:pPr>
    </w:p>
    <w:p w14:paraId="5556970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84</w:t>
      </w:r>
    </w:p>
    <w:p w14:paraId="55569707" w14:textId="77777777" w:rsidR="00F925DD" w:rsidRDefault="00F925DD">
      <w:pPr>
        <w:spacing w:line="288" w:lineRule="auto"/>
        <w:ind w:firstLine="600"/>
        <w:jc w:val="center"/>
        <w:rPr>
          <w:rFonts w:ascii="Times New Roman" w:hAnsi="Times New Roman"/>
          <w:sz w:val="18"/>
          <w:szCs w:val="18"/>
        </w:rPr>
      </w:pPr>
    </w:p>
    <w:p w14:paraId="55569708" w14:textId="77777777" w:rsidR="00F925DD" w:rsidRDefault="00E705D7">
      <w:r>
        <w:rPr>
          <w:rFonts w:ascii="Times New Roman" w:hAnsi="Times New Roman"/>
          <w:sz w:val="18"/>
          <w:szCs w:val="18"/>
        </w:rPr>
        <w:pict w14:anchorId="5557068E">
          <v:rect id="_x0000_i1108" style="width:415.3pt;height:1.5pt" o:hralign="center" o:hrstd="t" o:hr="t" fillcolor="#a0a0a0" stroked="f"/>
        </w:pict>
      </w:r>
    </w:p>
    <w:p w14:paraId="5556970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70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70B" w14:textId="77777777" w:rsidR="00F925DD" w:rsidRDefault="00F925DD">
      <w:pPr>
        <w:rPr>
          <w:rFonts w:ascii="Times New Roman" w:hAnsi="Times New Roman"/>
          <w:sz w:val="20"/>
          <w:szCs w:val="20"/>
        </w:rPr>
      </w:pPr>
    </w:p>
    <w:p w14:paraId="5556970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With respect to small and low-risk extensions of credit to certain types of counterparties, approval authority is granted to </w:t>
      </w:r>
      <w:r>
        <w:rPr>
          <w:rFonts w:ascii="Arial" w:eastAsia="宋体" w:hAnsi="Arial" w:cs="Arial"/>
          <w:sz w:val="20"/>
          <w:szCs w:val="20"/>
        </w:rPr>
        <w:t>individuals outside of ERM;</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0F" w14:textId="77777777">
        <w:trPr>
          <w:tblCellSpacing w:w="0" w:type="dxa"/>
        </w:trPr>
        <w:tc>
          <w:tcPr>
            <w:tcW w:w="1080" w:type="dxa"/>
            <w:shd w:val="clear" w:color="auto" w:fill="auto"/>
            <w:vAlign w:val="center"/>
          </w:tcPr>
          <w:p w14:paraId="5556970D" w14:textId="77777777" w:rsidR="00F925DD" w:rsidRDefault="00F925DD">
            <w:pPr>
              <w:rPr>
                <w:rFonts w:ascii="Times New Roman" w:hAnsi="Times New Roman"/>
                <w:sz w:val="20"/>
                <w:szCs w:val="20"/>
              </w:rPr>
            </w:pPr>
          </w:p>
        </w:tc>
        <w:tc>
          <w:tcPr>
            <w:tcW w:w="0" w:type="auto"/>
            <w:shd w:val="clear" w:color="auto" w:fill="auto"/>
            <w:vAlign w:val="center"/>
          </w:tcPr>
          <w:p w14:paraId="5556970E" w14:textId="77777777" w:rsidR="00F925DD" w:rsidRDefault="00F925DD">
            <w:pPr>
              <w:rPr>
                <w:rFonts w:ascii="Times New Roman" w:hAnsi="Times New Roman"/>
                <w:sz w:val="20"/>
                <w:szCs w:val="20"/>
              </w:rPr>
            </w:pPr>
          </w:p>
        </w:tc>
      </w:tr>
      <w:tr w:rsidR="00F925DD" w14:paraId="55569712" w14:textId="77777777">
        <w:trPr>
          <w:tblCellSpacing w:w="0" w:type="dxa"/>
        </w:trPr>
        <w:tc>
          <w:tcPr>
            <w:tcW w:w="0" w:type="auto"/>
            <w:shd w:val="clear" w:color="auto" w:fill="auto"/>
          </w:tcPr>
          <w:p w14:paraId="5556971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1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seek to avoid or limit undue concentrations of risk. Counterparty (or groups of counterparties), industry, country and product-specific concentrations of risk are subject to frequent review and approval in </w:t>
            </w:r>
            <w:r>
              <w:rPr>
                <w:rFonts w:ascii="Arial" w:eastAsia="宋体" w:hAnsi="Arial" w:cs="Arial"/>
                <w:sz w:val="20"/>
                <w:szCs w:val="20"/>
              </w:rPr>
              <w:t>accordance with our risk appetite;</w:t>
            </w:r>
          </w:p>
        </w:tc>
      </w:tr>
    </w:tbl>
    <w:p w14:paraId="5556971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16" w14:textId="77777777">
        <w:trPr>
          <w:tblCellSpacing w:w="0" w:type="dxa"/>
        </w:trPr>
        <w:tc>
          <w:tcPr>
            <w:tcW w:w="1080" w:type="dxa"/>
            <w:shd w:val="clear" w:color="auto" w:fill="auto"/>
            <w:vAlign w:val="center"/>
          </w:tcPr>
          <w:p w14:paraId="55569714" w14:textId="77777777" w:rsidR="00F925DD" w:rsidRDefault="00F925DD">
            <w:pPr>
              <w:rPr>
                <w:rFonts w:ascii="Times New Roman" w:hAnsi="Times New Roman"/>
                <w:sz w:val="20"/>
                <w:szCs w:val="20"/>
              </w:rPr>
            </w:pPr>
          </w:p>
        </w:tc>
        <w:tc>
          <w:tcPr>
            <w:tcW w:w="0" w:type="auto"/>
            <w:shd w:val="clear" w:color="auto" w:fill="auto"/>
            <w:vAlign w:val="center"/>
          </w:tcPr>
          <w:p w14:paraId="55569715" w14:textId="77777777" w:rsidR="00F925DD" w:rsidRDefault="00F925DD">
            <w:pPr>
              <w:rPr>
                <w:rFonts w:ascii="Times New Roman" w:hAnsi="Times New Roman"/>
                <w:sz w:val="20"/>
                <w:szCs w:val="20"/>
              </w:rPr>
            </w:pPr>
          </w:p>
        </w:tc>
      </w:tr>
      <w:tr w:rsidR="00F925DD" w14:paraId="55569719" w14:textId="77777777">
        <w:trPr>
          <w:tblCellSpacing w:w="0" w:type="dxa"/>
        </w:trPr>
        <w:tc>
          <w:tcPr>
            <w:tcW w:w="0" w:type="auto"/>
            <w:shd w:val="clear" w:color="auto" w:fill="auto"/>
          </w:tcPr>
          <w:p w14:paraId="5556971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1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determine the creditworthiness of counterparties through a risk assessment, including the use of internal risk-rating methodologies; </w:t>
            </w:r>
          </w:p>
        </w:tc>
      </w:tr>
    </w:tbl>
    <w:p w14:paraId="5556971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1D" w14:textId="77777777">
        <w:trPr>
          <w:tblCellSpacing w:w="0" w:type="dxa"/>
        </w:trPr>
        <w:tc>
          <w:tcPr>
            <w:tcW w:w="1080" w:type="dxa"/>
            <w:shd w:val="clear" w:color="auto" w:fill="auto"/>
            <w:vAlign w:val="center"/>
          </w:tcPr>
          <w:p w14:paraId="5556971B" w14:textId="77777777" w:rsidR="00F925DD" w:rsidRDefault="00F925DD">
            <w:pPr>
              <w:rPr>
                <w:rFonts w:ascii="Times New Roman" w:hAnsi="Times New Roman"/>
                <w:sz w:val="20"/>
                <w:szCs w:val="20"/>
              </w:rPr>
            </w:pPr>
          </w:p>
        </w:tc>
        <w:tc>
          <w:tcPr>
            <w:tcW w:w="0" w:type="auto"/>
            <w:shd w:val="clear" w:color="auto" w:fill="auto"/>
            <w:vAlign w:val="center"/>
          </w:tcPr>
          <w:p w14:paraId="5556971C" w14:textId="77777777" w:rsidR="00F925DD" w:rsidRDefault="00F925DD">
            <w:pPr>
              <w:rPr>
                <w:rFonts w:ascii="Times New Roman" w:hAnsi="Times New Roman"/>
                <w:sz w:val="20"/>
                <w:szCs w:val="20"/>
              </w:rPr>
            </w:pPr>
          </w:p>
        </w:tc>
      </w:tr>
      <w:tr w:rsidR="00F925DD" w14:paraId="55569720" w14:textId="77777777">
        <w:trPr>
          <w:tblCellSpacing w:w="0" w:type="dxa"/>
        </w:trPr>
        <w:tc>
          <w:tcPr>
            <w:tcW w:w="0" w:type="auto"/>
            <w:shd w:val="clear" w:color="auto" w:fill="auto"/>
          </w:tcPr>
          <w:p w14:paraId="5556971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1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We seek to review all extensions of credit and the creditworthiness of counterparties at least </w:t>
            </w:r>
            <w:r>
              <w:rPr>
                <w:rFonts w:ascii="Arial" w:eastAsia="宋体" w:hAnsi="Arial" w:cs="Arial"/>
                <w:sz w:val="20"/>
                <w:szCs w:val="20"/>
              </w:rPr>
              <w:t>annually. The nature and extent of these reviews are determined by the size, nature and term of the extensions of credit and the creditworthiness of the counterparty; and</w:t>
            </w:r>
          </w:p>
        </w:tc>
      </w:tr>
    </w:tbl>
    <w:p w14:paraId="5556972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24" w14:textId="77777777">
        <w:trPr>
          <w:tblCellSpacing w:w="0" w:type="dxa"/>
        </w:trPr>
        <w:tc>
          <w:tcPr>
            <w:tcW w:w="1080" w:type="dxa"/>
            <w:shd w:val="clear" w:color="auto" w:fill="auto"/>
            <w:vAlign w:val="center"/>
          </w:tcPr>
          <w:p w14:paraId="55569722" w14:textId="77777777" w:rsidR="00F925DD" w:rsidRDefault="00F925DD">
            <w:pPr>
              <w:rPr>
                <w:rFonts w:ascii="Times New Roman" w:hAnsi="Times New Roman"/>
                <w:sz w:val="20"/>
                <w:szCs w:val="20"/>
              </w:rPr>
            </w:pPr>
          </w:p>
        </w:tc>
        <w:tc>
          <w:tcPr>
            <w:tcW w:w="0" w:type="auto"/>
            <w:shd w:val="clear" w:color="auto" w:fill="auto"/>
            <w:vAlign w:val="center"/>
          </w:tcPr>
          <w:p w14:paraId="55569723" w14:textId="77777777" w:rsidR="00F925DD" w:rsidRDefault="00F925DD">
            <w:pPr>
              <w:rPr>
                <w:rFonts w:ascii="Times New Roman" w:hAnsi="Times New Roman"/>
                <w:sz w:val="20"/>
                <w:szCs w:val="20"/>
              </w:rPr>
            </w:pPr>
          </w:p>
        </w:tc>
      </w:tr>
      <w:tr w:rsidR="00F925DD" w14:paraId="55569727" w14:textId="77777777">
        <w:trPr>
          <w:tblCellSpacing w:w="0" w:type="dxa"/>
        </w:trPr>
        <w:tc>
          <w:tcPr>
            <w:tcW w:w="0" w:type="auto"/>
            <w:shd w:val="clear" w:color="auto" w:fill="auto"/>
          </w:tcPr>
          <w:p w14:paraId="5556972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2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We subject all corporate policies and guidelines to annual review as an integr</w:t>
            </w:r>
            <w:r>
              <w:rPr>
                <w:rFonts w:ascii="Arial" w:eastAsia="宋体" w:hAnsi="Arial" w:cs="Arial"/>
                <w:sz w:val="20"/>
                <w:szCs w:val="20"/>
              </w:rPr>
              <w:t>al part of our periodic assessment of our risk appetite.</w:t>
            </w:r>
          </w:p>
        </w:tc>
      </w:tr>
    </w:tbl>
    <w:p w14:paraId="5556972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corporate policies and guidelines require that the business units which engage in activities that give rise to credit and counterparty risk comply with procedures that promote the </w:t>
      </w:r>
      <w:r>
        <w:rPr>
          <w:rFonts w:ascii="Arial" w:eastAsia="宋体" w:hAnsi="Arial" w:cs="Arial"/>
          <w:sz w:val="20"/>
          <w:szCs w:val="20"/>
        </w:rPr>
        <w:t>extension of credit for legitimate business purposes; are consistent with the maintenance of proper credit standards; limit credit-related losses; and are consistent with our goal of maintaining a strong financial condition.</w:t>
      </w:r>
    </w:p>
    <w:p w14:paraId="55569729"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Structure and Organization</w:t>
      </w:r>
    </w:p>
    <w:p w14:paraId="5556972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Credit and Global Markets Risk group within ERM is responsible for the assessment, approval and monitoring of credit risk across our business. The group is managed centrally, has dedicated teams in a number of locations worldwide across our businesses, and</w:t>
      </w:r>
      <w:r>
        <w:rPr>
          <w:rFonts w:ascii="Arial" w:eastAsia="宋体" w:hAnsi="Arial" w:cs="Arial"/>
          <w:sz w:val="20"/>
          <w:szCs w:val="20"/>
        </w:rPr>
        <w:t xml:space="preserve"> is responsible for related policies and procedures, and for our internal credit-rating systems and methodologies. In addition, the group, in conjunction with the business units, establishes measurements and limits to control the amount of credit risk acce</w:t>
      </w:r>
      <w:r>
        <w:rPr>
          <w:rFonts w:ascii="Arial" w:eastAsia="宋体" w:hAnsi="Arial" w:cs="Arial"/>
          <w:sz w:val="20"/>
          <w:szCs w:val="20"/>
        </w:rPr>
        <w:t>pted across its various business activities, both at the portfolio level and for each individual counterparty or group of counterparties, to individual industries, and also to counterparties by product and country of risk. These measurements and limits are</w:t>
      </w:r>
      <w:r>
        <w:rPr>
          <w:rFonts w:ascii="Arial" w:eastAsia="宋体" w:hAnsi="Arial" w:cs="Arial"/>
          <w:sz w:val="20"/>
          <w:szCs w:val="20"/>
        </w:rPr>
        <w:t xml:space="preserve"> reviewed periodically, but at least annually. </w:t>
      </w:r>
    </w:p>
    <w:p w14:paraId="5556972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conjunction with other groups in ERM, the Credit and Global Markets Risk group is jointly responsible for the design, implementation and oversight of our credit risk measurement and management systems, inc</w:t>
      </w:r>
      <w:r>
        <w:rPr>
          <w:rFonts w:ascii="Arial" w:eastAsia="宋体" w:hAnsi="Arial" w:cs="Arial"/>
          <w:sz w:val="20"/>
          <w:szCs w:val="20"/>
        </w:rPr>
        <w:t xml:space="preserve">luding data and assessment systems, quantification systems and the reporting framework. </w:t>
      </w:r>
    </w:p>
    <w:p w14:paraId="5556972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Various key committees are responsible for the oversight of credit risk and associated credit risk </w:t>
      </w:r>
    </w:p>
    <w:p w14:paraId="5556972D"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72E"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policies, systems and models. All credit-related activities are g</w:t>
      </w:r>
      <w:r>
        <w:rPr>
          <w:rFonts w:ascii="Arial" w:eastAsia="宋体" w:hAnsi="Arial" w:cs="Arial"/>
          <w:sz w:val="20"/>
          <w:szCs w:val="20"/>
        </w:rPr>
        <w:t xml:space="preserve">overned by our risk appetite framework and our credit risk guidelines, which define our general philosophy with respect to credit risk and the manner in which we control, manage and monitor such risks. </w:t>
      </w:r>
    </w:p>
    <w:p w14:paraId="5556972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previously described CRPC (refer to "Risk Committ</w:t>
      </w:r>
      <w:r>
        <w:rPr>
          <w:rFonts w:ascii="Arial" w:eastAsia="宋体" w:hAnsi="Arial" w:cs="Arial"/>
          <w:sz w:val="20"/>
          <w:szCs w:val="20"/>
        </w:rPr>
        <w:t>ees") has primary responsibility for the oversight, review and approval of the credit risk guidelines and policies. Credit risk guidelines and policies are reviewed periodically, but at least annually.</w:t>
      </w:r>
    </w:p>
    <w:p w14:paraId="5556973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Credit Committee, a sub-committee of the CRPC, has</w:t>
      </w:r>
      <w:r>
        <w:rPr>
          <w:rFonts w:ascii="Arial" w:eastAsia="宋体" w:hAnsi="Arial" w:cs="Arial"/>
          <w:sz w:val="20"/>
          <w:szCs w:val="20"/>
        </w:rPr>
        <w:t xml:space="preserve"> responsibility for assigning credit authority and approving the largest and higher-risk extensions of credit to individual counterparties or groups of counterparties. </w:t>
      </w:r>
    </w:p>
    <w:p w14:paraId="5556973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CRPC provides periodic updates to MRAC and the Board's RC.</w:t>
      </w:r>
    </w:p>
    <w:p w14:paraId="55569732"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 xml:space="preserve">Credit Ratings </w:t>
      </w:r>
    </w:p>
    <w:p w14:paraId="5556973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perform i</w:t>
      </w:r>
      <w:r>
        <w:rPr>
          <w:rFonts w:ascii="Arial" w:eastAsia="宋体" w:hAnsi="Arial" w:cs="Arial"/>
          <w:sz w:val="20"/>
          <w:szCs w:val="20"/>
        </w:rPr>
        <w:t xml:space="preserve">nitial and ongoing reviews to exercise due diligence on the creditworthiness of our counterparties when conducting any business with them or approving any credit limits. </w:t>
      </w:r>
    </w:p>
    <w:p w14:paraId="5556973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This due diligence process generally includes the assignment of an internal credit ra</w:t>
      </w:r>
      <w:r>
        <w:rPr>
          <w:rFonts w:ascii="Arial" w:eastAsia="宋体" w:hAnsi="Arial" w:cs="Arial"/>
          <w:sz w:val="20"/>
          <w:szCs w:val="20"/>
        </w:rPr>
        <w:t>ting, which is determined by the use of internally developed and validated methodologies, scorecards and a 15-grade rating scale. This risk-rating process incorporates the use of risk-rating tools in conjunction with management judgment; qualitative and qu</w:t>
      </w:r>
      <w:r>
        <w:rPr>
          <w:rFonts w:ascii="Arial" w:eastAsia="宋体" w:hAnsi="Arial" w:cs="Arial"/>
          <w:sz w:val="20"/>
          <w:szCs w:val="20"/>
        </w:rPr>
        <w:t>antitative inputs are captured in a replicable manner and, following a formal review and approval process, an internal credit rating based on our rating scale is assigned. Credit ratings are reviewed and approved by the Credit and Global Markets Risk group</w:t>
      </w:r>
      <w:r>
        <w:rPr>
          <w:rFonts w:ascii="Arial" w:eastAsia="宋体" w:hAnsi="Arial" w:cs="Arial"/>
          <w:sz w:val="20"/>
          <w:szCs w:val="20"/>
        </w:rPr>
        <w:t xml:space="preserve"> or designees within ERM. To facilitate comparability across the portfolio, counterparties within a given sector are rated using a risk-rating tool developed for that sector. </w:t>
      </w:r>
    </w:p>
    <w:p w14:paraId="5556973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risk-rating methodologies are approved by the CRPC, after completion of inte</w:t>
      </w:r>
      <w:r>
        <w:rPr>
          <w:rFonts w:ascii="Arial" w:eastAsia="宋体" w:hAnsi="Arial" w:cs="Arial"/>
          <w:sz w:val="20"/>
          <w:szCs w:val="20"/>
        </w:rPr>
        <w:t xml:space="preserve">rnal model validation processes, and are subject to an annual review, including re-validation. </w:t>
      </w:r>
    </w:p>
    <w:p w14:paraId="5556973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generally rate our counterparties individually, although accounts defined by us as low-risk are rated on a pooled basis. We evaluate and rate the credit risk</w:t>
      </w:r>
      <w:r>
        <w:rPr>
          <w:rFonts w:ascii="Arial" w:eastAsia="宋体" w:hAnsi="Arial" w:cs="Arial"/>
          <w:sz w:val="20"/>
          <w:szCs w:val="20"/>
        </w:rPr>
        <w:t xml:space="preserve"> of our counterparties on an ongoing basis.</w:t>
      </w:r>
    </w:p>
    <w:p w14:paraId="55569737"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Risk Parameter Estimates</w:t>
      </w:r>
    </w:p>
    <w:p w14:paraId="5556973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internal risk-rating system seeks to promote a clear and consistent approach to the determination of appropriate credit risk classifications for our credit counterparties and exposure</w:t>
      </w:r>
      <w:r>
        <w:rPr>
          <w:rFonts w:ascii="Arial" w:eastAsia="宋体" w:hAnsi="Arial" w:cs="Arial"/>
          <w:sz w:val="20"/>
          <w:szCs w:val="20"/>
        </w:rPr>
        <w:t>s, tracking the changes in risk associated with these counterparties and exposures over time. This capability enhances our ability to more accurately calculate both risk exposures and capital, enabling better strategic decision making across the organizati</w:t>
      </w:r>
      <w:r>
        <w:rPr>
          <w:rFonts w:ascii="Arial" w:eastAsia="宋体" w:hAnsi="Arial" w:cs="Arial"/>
          <w:sz w:val="20"/>
          <w:szCs w:val="20"/>
        </w:rPr>
        <w:t xml:space="preserve">on. </w:t>
      </w:r>
    </w:p>
    <w:p w14:paraId="55569739" w14:textId="77777777" w:rsidR="00F925DD" w:rsidRDefault="00F925DD">
      <w:pPr>
        <w:rPr>
          <w:rFonts w:ascii="Times New Roman" w:hAnsi="Times New Roman"/>
          <w:sz w:val="20"/>
          <w:szCs w:val="20"/>
        </w:rPr>
      </w:pPr>
    </w:p>
    <w:p w14:paraId="5556973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85</w:t>
      </w:r>
    </w:p>
    <w:p w14:paraId="5556973B" w14:textId="77777777" w:rsidR="00F925DD" w:rsidRDefault="00F925DD">
      <w:pPr>
        <w:spacing w:line="288" w:lineRule="auto"/>
        <w:ind w:firstLine="600"/>
        <w:jc w:val="center"/>
        <w:rPr>
          <w:rFonts w:ascii="Times New Roman" w:hAnsi="Times New Roman"/>
          <w:sz w:val="18"/>
          <w:szCs w:val="18"/>
        </w:rPr>
      </w:pPr>
    </w:p>
    <w:p w14:paraId="5556973C" w14:textId="77777777" w:rsidR="00F925DD" w:rsidRDefault="00E705D7">
      <w:r>
        <w:rPr>
          <w:rFonts w:ascii="Times New Roman" w:hAnsi="Times New Roman"/>
          <w:sz w:val="18"/>
          <w:szCs w:val="18"/>
        </w:rPr>
        <w:pict w14:anchorId="5557068F">
          <v:rect id="_x0000_i1109" style="width:415.3pt;height:1.5pt" o:hralign="center" o:hrstd="t" o:hr="t" fillcolor="#a0a0a0" stroked="f"/>
        </w:pict>
      </w:r>
    </w:p>
    <w:p w14:paraId="5556973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73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73F" w14:textId="77777777" w:rsidR="00F925DD" w:rsidRDefault="00F925DD">
      <w:pPr>
        <w:rPr>
          <w:rFonts w:ascii="Times New Roman" w:hAnsi="Times New Roman"/>
          <w:sz w:val="20"/>
          <w:szCs w:val="20"/>
        </w:rPr>
      </w:pPr>
    </w:p>
    <w:p w14:paraId="5556974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credit risk parameter estimates for the following purposes:</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43" w14:textId="77777777">
        <w:trPr>
          <w:tblCellSpacing w:w="0" w:type="dxa"/>
        </w:trPr>
        <w:tc>
          <w:tcPr>
            <w:tcW w:w="1080" w:type="dxa"/>
            <w:shd w:val="clear" w:color="auto" w:fill="auto"/>
            <w:vAlign w:val="center"/>
          </w:tcPr>
          <w:p w14:paraId="55569741" w14:textId="77777777" w:rsidR="00F925DD" w:rsidRDefault="00F925DD">
            <w:pPr>
              <w:rPr>
                <w:rFonts w:ascii="Times New Roman" w:hAnsi="Times New Roman"/>
                <w:sz w:val="20"/>
                <w:szCs w:val="20"/>
              </w:rPr>
            </w:pPr>
          </w:p>
        </w:tc>
        <w:tc>
          <w:tcPr>
            <w:tcW w:w="0" w:type="auto"/>
            <w:shd w:val="clear" w:color="auto" w:fill="auto"/>
            <w:vAlign w:val="center"/>
          </w:tcPr>
          <w:p w14:paraId="55569742" w14:textId="77777777" w:rsidR="00F925DD" w:rsidRDefault="00F925DD">
            <w:pPr>
              <w:rPr>
                <w:rFonts w:ascii="Times New Roman" w:hAnsi="Times New Roman"/>
                <w:sz w:val="20"/>
                <w:szCs w:val="20"/>
              </w:rPr>
            </w:pPr>
          </w:p>
        </w:tc>
      </w:tr>
      <w:tr w:rsidR="00F925DD" w14:paraId="55569746" w14:textId="77777777">
        <w:trPr>
          <w:tblCellSpacing w:w="0" w:type="dxa"/>
        </w:trPr>
        <w:tc>
          <w:tcPr>
            <w:tcW w:w="0" w:type="auto"/>
            <w:shd w:val="clear" w:color="auto" w:fill="auto"/>
          </w:tcPr>
          <w:p w14:paraId="5556974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4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assessment of the creditworthiness of new </w:t>
            </w:r>
            <w:r>
              <w:rPr>
                <w:rFonts w:ascii="Arial" w:eastAsia="宋体" w:hAnsi="Arial" w:cs="Arial"/>
                <w:sz w:val="20"/>
                <w:szCs w:val="20"/>
              </w:rPr>
              <w:t>counterparties and, in conjunction with our risk appetite statement, the development of appropriate credit limits for our products and services, including loans, foreign exchange, securities finance, placements and repurchase agreements;</w:t>
            </w:r>
          </w:p>
        </w:tc>
      </w:tr>
    </w:tbl>
    <w:p w14:paraId="55569747"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4A" w14:textId="77777777">
        <w:trPr>
          <w:tblCellSpacing w:w="0" w:type="dxa"/>
        </w:trPr>
        <w:tc>
          <w:tcPr>
            <w:tcW w:w="1080" w:type="dxa"/>
            <w:shd w:val="clear" w:color="auto" w:fill="auto"/>
            <w:vAlign w:val="center"/>
          </w:tcPr>
          <w:p w14:paraId="55569748" w14:textId="77777777" w:rsidR="00F925DD" w:rsidRDefault="00F925DD">
            <w:pPr>
              <w:rPr>
                <w:rFonts w:ascii="Times New Roman" w:hAnsi="Times New Roman"/>
                <w:sz w:val="20"/>
                <w:szCs w:val="20"/>
              </w:rPr>
            </w:pPr>
          </w:p>
        </w:tc>
        <w:tc>
          <w:tcPr>
            <w:tcW w:w="0" w:type="auto"/>
            <w:shd w:val="clear" w:color="auto" w:fill="auto"/>
            <w:vAlign w:val="center"/>
          </w:tcPr>
          <w:p w14:paraId="55569749" w14:textId="77777777" w:rsidR="00F925DD" w:rsidRDefault="00F925DD">
            <w:pPr>
              <w:rPr>
                <w:rFonts w:ascii="Times New Roman" w:hAnsi="Times New Roman"/>
                <w:sz w:val="20"/>
                <w:szCs w:val="20"/>
              </w:rPr>
            </w:pPr>
          </w:p>
        </w:tc>
      </w:tr>
      <w:tr w:rsidR="00F925DD" w14:paraId="5556974D" w14:textId="77777777">
        <w:trPr>
          <w:tblCellSpacing w:w="0" w:type="dxa"/>
        </w:trPr>
        <w:tc>
          <w:tcPr>
            <w:tcW w:w="0" w:type="auto"/>
            <w:shd w:val="clear" w:color="auto" w:fill="auto"/>
          </w:tcPr>
          <w:p w14:paraId="5556974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4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use of an automated process for limit approvals for certain low-risk counterparties, as defined in our credit risk guidelines, based on the counterparty’s probability-of-default, or PD, rating class; </w:t>
            </w:r>
          </w:p>
        </w:tc>
      </w:tr>
    </w:tbl>
    <w:p w14:paraId="5556974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51" w14:textId="77777777">
        <w:trPr>
          <w:tblCellSpacing w:w="0" w:type="dxa"/>
        </w:trPr>
        <w:tc>
          <w:tcPr>
            <w:tcW w:w="1080" w:type="dxa"/>
            <w:shd w:val="clear" w:color="auto" w:fill="auto"/>
            <w:vAlign w:val="center"/>
          </w:tcPr>
          <w:p w14:paraId="5556974F" w14:textId="77777777" w:rsidR="00F925DD" w:rsidRDefault="00F925DD">
            <w:pPr>
              <w:rPr>
                <w:rFonts w:ascii="Times New Roman" w:hAnsi="Times New Roman"/>
                <w:sz w:val="20"/>
                <w:szCs w:val="20"/>
              </w:rPr>
            </w:pPr>
          </w:p>
        </w:tc>
        <w:tc>
          <w:tcPr>
            <w:tcW w:w="0" w:type="auto"/>
            <w:shd w:val="clear" w:color="auto" w:fill="auto"/>
            <w:vAlign w:val="center"/>
          </w:tcPr>
          <w:p w14:paraId="55569750" w14:textId="77777777" w:rsidR="00F925DD" w:rsidRDefault="00F925DD">
            <w:pPr>
              <w:rPr>
                <w:rFonts w:ascii="Times New Roman" w:hAnsi="Times New Roman"/>
                <w:sz w:val="20"/>
                <w:szCs w:val="20"/>
              </w:rPr>
            </w:pPr>
          </w:p>
        </w:tc>
      </w:tr>
      <w:tr w:rsidR="00F925DD" w14:paraId="55569754" w14:textId="77777777">
        <w:trPr>
          <w:tblCellSpacing w:w="0" w:type="dxa"/>
        </w:trPr>
        <w:tc>
          <w:tcPr>
            <w:tcW w:w="0" w:type="auto"/>
            <w:shd w:val="clear" w:color="auto" w:fill="auto"/>
          </w:tcPr>
          <w:p w14:paraId="5556975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5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development of approval authority matric</w:t>
            </w:r>
            <w:r>
              <w:rPr>
                <w:rFonts w:ascii="Arial" w:eastAsia="宋体" w:hAnsi="Arial" w:cs="Arial"/>
                <w:sz w:val="20"/>
                <w:szCs w:val="20"/>
              </w:rPr>
              <w:t>es based on PD; riskier counterparties with higher ratings require higher levels of approval for a comparable PD and limit size compared to less risky counterparties with lower ratings;</w:t>
            </w:r>
          </w:p>
        </w:tc>
      </w:tr>
    </w:tbl>
    <w:p w14:paraId="5556975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58" w14:textId="77777777">
        <w:trPr>
          <w:tblCellSpacing w:w="0" w:type="dxa"/>
        </w:trPr>
        <w:tc>
          <w:tcPr>
            <w:tcW w:w="1080" w:type="dxa"/>
            <w:shd w:val="clear" w:color="auto" w:fill="auto"/>
            <w:vAlign w:val="center"/>
          </w:tcPr>
          <w:p w14:paraId="55569756" w14:textId="77777777" w:rsidR="00F925DD" w:rsidRDefault="00F925DD">
            <w:pPr>
              <w:rPr>
                <w:rFonts w:ascii="Times New Roman" w:hAnsi="Times New Roman"/>
                <w:sz w:val="20"/>
                <w:szCs w:val="20"/>
              </w:rPr>
            </w:pPr>
          </w:p>
        </w:tc>
        <w:tc>
          <w:tcPr>
            <w:tcW w:w="0" w:type="auto"/>
            <w:shd w:val="clear" w:color="auto" w:fill="auto"/>
            <w:vAlign w:val="center"/>
          </w:tcPr>
          <w:p w14:paraId="55569757" w14:textId="77777777" w:rsidR="00F925DD" w:rsidRDefault="00F925DD">
            <w:pPr>
              <w:rPr>
                <w:rFonts w:ascii="Times New Roman" w:hAnsi="Times New Roman"/>
                <w:sz w:val="20"/>
                <w:szCs w:val="20"/>
              </w:rPr>
            </w:pPr>
          </w:p>
        </w:tc>
      </w:tr>
      <w:tr w:rsidR="00F925DD" w14:paraId="5556975B" w14:textId="77777777">
        <w:trPr>
          <w:tblCellSpacing w:w="0" w:type="dxa"/>
        </w:trPr>
        <w:tc>
          <w:tcPr>
            <w:tcW w:w="0" w:type="auto"/>
            <w:shd w:val="clear" w:color="auto" w:fill="auto"/>
          </w:tcPr>
          <w:p w14:paraId="5556975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5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analysis of risk concentration trends using historical PD and exposure-at-default, or EAD, data; </w:t>
            </w:r>
          </w:p>
        </w:tc>
      </w:tr>
    </w:tbl>
    <w:p w14:paraId="5556975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6915"/>
      </w:tblGrid>
      <w:tr w:rsidR="00F925DD" w14:paraId="5556975F" w14:textId="77777777">
        <w:trPr>
          <w:tblCellSpacing w:w="0" w:type="dxa"/>
        </w:trPr>
        <w:tc>
          <w:tcPr>
            <w:tcW w:w="1080" w:type="dxa"/>
            <w:shd w:val="clear" w:color="auto" w:fill="auto"/>
            <w:vAlign w:val="center"/>
          </w:tcPr>
          <w:p w14:paraId="5556975D" w14:textId="77777777" w:rsidR="00F925DD" w:rsidRDefault="00F925DD">
            <w:pPr>
              <w:rPr>
                <w:rFonts w:ascii="Times New Roman" w:hAnsi="Times New Roman"/>
                <w:sz w:val="20"/>
                <w:szCs w:val="20"/>
              </w:rPr>
            </w:pPr>
          </w:p>
        </w:tc>
        <w:tc>
          <w:tcPr>
            <w:tcW w:w="0" w:type="auto"/>
            <w:shd w:val="clear" w:color="auto" w:fill="auto"/>
            <w:vAlign w:val="center"/>
          </w:tcPr>
          <w:p w14:paraId="5556975E" w14:textId="77777777" w:rsidR="00F925DD" w:rsidRDefault="00F925DD">
            <w:pPr>
              <w:rPr>
                <w:rFonts w:ascii="Times New Roman" w:hAnsi="Times New Roman"/>
                <w:sz w:val="20"/>
                <w:szCs w:val="20"/>
              </w:rPr>
            </w:pPr>
          </w:p>
        </w:tc>
      </w:tr>
      <w:tr w:rsidR="00F925DD" w14:paraId="55569762" w14:textId="77777777">
        <w:trPr>
          <w:tblCellSpacing w:w="0" w:type="dxa"/>
        </w:trPr>
        <w:tc>
          <w:tcPr>
            <w:tcW w:w="0" w:type="auto"/>
            <w:shd w:val="clear" w:color="auto" w:fill="auto"/>
          </w:tcPr>
          <w:p w14:paraId="5556976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6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standardization of rating integrity testing by GCR using rating parameters; </w:t>
            </w:r>
          </w:p>
        </w:tc>
      </w:tr>
    </w:tbl>
    <w:p w14:paraId="5556976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66" w14:textId="77777777">
        <w:trPr>
          <w:tblCellSpacing w:w="0" w:type="dxa"/>
        </w:trPr>
        <w:tc>
          <w:tcPr>
            <w:tcW w:w="1080" w:type="dxa"/>
            <w:shd w:val="clear" w:color="auto" w:fill="auto"/>
            <w:vAlign w:val="center"/>
          </w:tcPr>
          <w:p w14:paraId="55569764" w14:textId="77777777" w:rsidR="00F925DD" w:rsidRDefault="00F925DD">
            <w:pPr>
              <w:rPr>
                <w:rFonts w:ascii="Times New Roman" w:hAnsi="Times New Roman"/>
                <w:sz w:val="20"/>
                <w:szCs w:val="20"/>
              </w:rPr>
            </w:pPr>
          </w:p>
        </w:tc>
        <w:tc>
          <w:tcPr>
            <w:tcW w:w="0" w:type="auto"/>
            <w:shd w:val="clear" w:color="auto" w:fill="auto"/>
            <w:vAlign w:val="center"/>
          </w:tcPr>
          <w:p w14:paraId="55569765" w14:textId="77777777" w:rsidR="00F925DD" w:rsidRDefault="00F925DD">
            <w:pPr>
              <w:rPr>
                <w:rFonts w:ascii="Times New Roman" w:hAnsi="Times New Roman"/>
                <w:sz w:val="20"/>
                <w:szCs w:val="20"/>
              </w:rPr>
            </w:pPr>
          </w:p>
        </w:tc>
      </w:tr>
      <w:tr w:rsidR="00F925DD" w14:paraId="55569769" w14:textId="77777777">
        <w:trPr>
          <w:tblCellSpacing w:w="0" w:type="dxa"/>
        </w:trPr>
        <w:tc>
          <w:tcPr>
            <w:tcW w:w="0" w:type="auto"/>
            <w:shd w:val="clear" w:color="auto" w:fill="auto"/>
          </w:tcPr>
          <w:p w14:paraId="5556976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6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determination of the level of management review of short-duration advances depending on PD; riskier counterparties with higher rating class values </w:t>
            </w:r>
            <w:r>
              <w:rPr>
                <w:rFonts w:ascii="Arial" w:eastAsia="宋体" w:hAnsi="Arial" w:cs="Arial"/>
                <w:sz w:val="20"/>
                <w:szCs w:val="20"/>
              </w:rPr>
              <w:t>generally trigger higher levels of management escalation for comparable short-duration advances compared to less risky counterparties with lower rating-class values;</w:t>
            </w:r>
          </w:p>
        </w:tc>
      </w:tr>
    </w:tbl>
    <w:p w14:paraId="5556976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6D" w14:textId="77777777">
        <w:trPr>
          <w:tblCellSpacing w:w="0" w:type="dxa"/>
        </w:trPr>
        <w:tc>
          <w:tcPr>
            <w:tcW w:w="1080" w:type="dxa"/>
            <w:shd w:val="clear" w:color="auto" w:fill="auto"/>
            <w:vAlign w:val="center"/>
          </w:tcPr>
          <w:p w14:paraId="5556976B" w14:textId="77777777" w:rsidR="00F925DD" w:rsidRDefault="00F925DD">
            <w:pPr>
              <w:rPr>
                <w:rFonts w:ascii="Times New Roman" w:hAnsi="Times New Roman"/>
                <w:sz w:val="20"/>
                <w:szCs w:val="20"/>
              </w:rPr>
            </w:pPr>
          </w:p>
        </w:tc>
        <w:tc>
          <w:tcPr>
            <w:tcW w:w="0" w:type="auto"/>
            <w:shd w:val="clear" w:color="auto" w:fill="auto"/>
            <w:vAlign w:val="center"/>
          </w:tcPr>
          <w:p w14:paraId="5556976C" w14:textId="77777777" w:rsidR="00F925DD" w:rsidRDefault="00F925DD">
            <w:pPr>
              <w:rPr>
                <w:rFonts w:ascii="Times New Roman" w:hAnsi="Times New Roman"/>
                <w:sz w:val="20"/>
                <w:szCs w:val="20"/>
              </w:rPr>
            </w:pPr>
          </w:p>
        </w:tc>
      </w:tr>
      <w:tr w:rsidR="00F925DD" w14:paraId="55569770" w14:textId="77777777">
        <w:trPr>
          <w:tblCellSpacing w:w="0" w:type="dxa"/>
        </w:trPr>
        <w:tc>
          <w:tcPr>
            <w:tcW w:w="0" w:type="auto"/>
            <w:shd w:val="clear" w:color="auto" w:fill="auto"/>
          </w:tcPr>
          <w:p w14:paraId="5556976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6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monitoring of credit facility utilization levels using EAD values and the identification of instances where counterparties have exceeded limits; </w:t>
            </w:r>
          </w:p>
        </w:tc>
      </w:tr>
    </w:tbl>
    <w:p w14:paraId="5556977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74" w14:textId="77777777">
        <w:trPr>
          <w:tblCellSpacing w:w="0" w:type="dxa"/>
        </w:trPr>
        <w:tc>
          <w:tcPr>
            <w:tcW w:w="1080" w:type="dxa"/>
            <w:shd w:val="clear" w:color="auto" w:fill="auto"/>
            <w:vAlign w:val="center"/>
          </w:tcPr>
          <w:p w14:paraId="55569772" w14:textId="77777777" w:rsidR="00F925DD" w:rsidRDefault="00F925DD">
            <w:pPr>
              <w:rPr>
                <w:rFonts w:ascii="Times New Roman" w:hAnsi="Times New Roman"/>
                <w:sz w:val="20"/>
                <w:szCs w:val="20"/>
              </w:rPr>
            </w:pPr>
          </w:p>
        </w:tc>
        <w:tc>
          <w:tcPr>
            <w:tcW w:w="0" w:type="auto"/>
            <w:shd w:val="clear" w:color="auto" w:fill="auto"/>
            <w:vAlign w:val="center"/>
          </w:tcPr>
          <w:p w14:paraId="55569773" w14:textId="77777777" w:rsidR="00F925DD" w:rsidRDefault="00F925DD">
            <w:pPr>
              <w:rPr>
                <w:rFonts w:ascii="Times New Roman" w:hAnsi="Times New Roman"/>
                <w:sz w:val="20"/>
                <w:szCs w:val="20"/>
              </w:rPr>
            </w:pPr>
          </w:p>
        </w:tc>
      </w:tr>
      <w:tr w:rsidR="00F925DD" w14:paraId="55569777" w14:textId="77777777">
        <w:trPr>
          <w:tblCellSpacing w:w="0" w:type="dxa"/>
        </w:trPr>
        <w:tc>
          <w:tcPr>
            <w:tcW w:w="0" w:type="auto"/>
            <w:shd w:val="clear" w:color="auto" w:fill="auto"/>
          </w:tcPr>
          <w:p w14:paraId="5556977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7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aggregation and comparison of counterparty exposures with risk appetite levels to </w:t>
            </w:r>
            <w:r>
              <w:rPr>
                <w:rFonts w:ascii="Arial" w:eastAsia="宋体" w:hAnsi="Arial" w:cs="Arial"/>
                <w:sz w:val="20"/>
                <w:szCs w:val="20"/>
              </w:rPr>
              <w:t>determine if businesses are maintaining appropriate risk levels; and</w:t>
            </w:r>
          </w:p>
        </w:tc>
      </w:tr>
    </w:tbl>
    <w:p w14:paraId="5556977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7B" w14:textId="77777777">
        <w:trPr>
          <w:tblCellSpacing w:w="0" w:type="dxa"/>
        </w:trPr>
        <w:tc>
          <w:tcPr>
            <w:tcW w:w="1080" w:type="dxa"/>
            <w:shd w:val="clear" w:color="auto" w:fill="auto"/>
            <w:vAlign w:val="center"/>
          </w:tcPr>
          <w:p w14:paraId="55569779" w14:textId="77777777" w:rsidR="00F925DD" w:rsidRDefault="00F925DD">
            <w:pPr>
              <w:rPr>
                <w:rFonts w:ascii="Times New Roman" w:hAnsi="Times New Roman"/>
                <w:sz w:val="20"/>
                <w:szCs w:val="20"/>
              </w:rPr>
            </w:pPr>
          </w:p>
        </w:tc>
        <w:tc>
          <w:tcPr>
            <w:tcW w:w="0" w:type="auto"/>
            <w:shd w:val="clear" w:color="auto" w:fill="auto"/>
            <w:vAlign w:val="center"/>
          </w:tcPr>
          <w:p w14:paraId="5556977A" w14:textId="77777777" w:rsidR="00F925DD" w:rsidRDefault="00F925DD">
            <w:pPr>
              <w:rPr>
                <w:rFonts w:ascii="Times New Roman" w:hAnsi="Times New Roman"/>
                <w:sz w:val="20"/>
                <w:szCs w:val="20"/>
              </w:rPr>
            </w:pPr>
          </w:p>
        </w:tc>
      </w:tr>
      <w:tr w:rsidR="00F925DD" w14:paraId="5556977E" w14:textId="77777777">
        <w:trPr>
          <w:tblCellSpacing w:w="0" w:type="dxa"/>
        </w:trPr>
        <w:tc>
          <w:tcPr>
            <w:tcW w:w="0" w:type="auto"/>
            <w:shd w:val="clear" w:color="auto" w:fill="auto"/>
          </w:tcPr>
          <w:p w14:paraId="5556977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7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determination of our regulatory capital requirements for the AIRB provided in the Basel framework.</w:t>
            </w:r>
          </w:p>
        </w:tc>
      </w:tr>
    </w:tbl>
    <w:p w14:paraId="5556977F"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Credit Risk Mitigation</w:t>
      </w:r>
    </w:p>
    <w:p w14:paraId="5556978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seek to limit our credit exposure and reduce </w:t>
      </w:r>
      <w:r>
        <w:rPr>
          <w:rFonts w:ascii="Arial" w:eastAsia="宋体" w:hAnsi="Arial" w:cs="Arial"/>
          <w:sz w:val="20"/>
          <w:szCs w:val="20"/>
        </w:rPr>
        <w:t>our potential credit losses through various types of risk mitigation. In our day-to-day management of credit risks, we utilize and recognize the following types of risk mitigation.</w:t>
      </w:r>
    </w:p>
    <w:p w14:paraId="55569781"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Collateral</w:t>
      </w:r>
    </w:p>
    <w:p w14:paraId="5556978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many parts of our business, we regularly require or agree for</w:t>
      </w:r>
      <w:r>
        <w:rPr>
          <w:rFonts w:ascii="Arial" w:eastAsia="宋体" w:hAnsi="Arial" w:cs="Arial"/>
          <w:sz w:val="20"/>
          <w:szCs w:val="20"/>
        </w:rPr>
        <w:t xml:space="preserve"> collateral to be received from or provided to clients and counterparties in connection with </w:t>
      </w:r>
    </w:p>
    <w:p w14:paraId="55569783"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78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contracts that incur credit risk. In our trading businesses, this collateral is typically in the form of cash and highly-rated securities (government securities</w:t>
      </w:r>
      <w:r>
        <w:rPr>
          <w:rFonts w:ascii="Arial" w:eastAsia="宋体" w:hAnsi="Arial" w:cs="Arial"/>
          <w:sz w:val="20"/>
          <w:szCs w:val="20"/>
        </w:rPr>
        <w:t xml:space="preserve"> and other bonds or equity securities). Credit risks in our non-trading and securities finance businesses are also often secured by bonds and equity securities and by other types of assets. Collateral serves to reduce the risk of loss inherent in an exposu</w:t>
      </w:r>
      <w:r>
        <w:rPr>
          <w:rFonts w:ascii="Arial" w:eastAsia="宋体" w:hAnsi="Arial" w:cs="Arial"/>
          <w:sz w:val="20"/>
          <w:szCs w:val="20"/>
        </w:rPr>
        <w:t>re by improving the prospect of recovery in the event of a counterparty default. However, rapidly changing market values of the collateral we hold, unexpected increases in the credit exposure to a client or counterparty, reductions in the value or change i</w:t>
      </w:r>
      <w:r>
        <w:rPr>
          <w:rFonts w:ascii="Arial" w:eastAsia="宋体" w:hAnsi="Arial" w:cs="Arial"/>
          <w:sz w:val="20"/>
          <w:szCs w:val="20"/>
        </w:rPr>
        <w:t>n the type of securities held by us, as well as operational errors or errors in the manner in which we seek to exercise our rights, may reduce the risk mitigation effects of collateral or result in other security interests not being effective to reduce pot</w:t>
      </w:r>
      <w:r>
        <w:rPr>
          <w:rFonts w:ascii="Arial" w:eastAsia="宋体" w:hAnsi="Arial" w:cs="Arial"/>
          <w:sz w:val="20"/>
          <w:szCs w:val="20"/>
        </w:rPr>
        <w:t>ential credit exposure. While collateral is often an alternative source of repayment, it generally does not replace the requirement within our policies and guidelines for high-quality underwriting standards. We also may choose to incur credit exposure with</w:t>
      </w:r>
      <w:r>
        <w:rPr>
          <w:rFonts w:ascii="Arial" w:eastAsia="宋体" w:hAnsi="Arial" w:cs="Arial"/>
          <w:sz w:val="20"/>
          <w:szCs w:val="20"/>
        </w:rPr>
        <w:t xml:space="preserve">out the benefit of collateral or other risk mitigating credits rights. </w:t>
      </w:r>
    </w:p>
    <w:p w14:paraId="5556978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credit risk guidelines require that the collateral we accept for risk mitigation purposes is of high quality, can be reliably valued and can be liquidated if or when required. Gene</w:t>
      </w:r>
      <w:r>
        <w:rPr>
          <w:rFonts w:ascii="Arial" w:eastAsia="宋体" w:hAnsi="Arial" w:cs="Arial"/>
          <w:sz w:val="20"/>
          <w:szCs w:val="20"/>
        </w:rPr>
        <w:t>rally, when collateral is of lower quality, more difficult to value or more challenging to liquidate, higher discounts to market values are applied for the purposes of measuring credit risk. For certain less liquid collateral, longer liquidation periods ar</w:t>
      </w:r>
      <w:r>
        <w:rPr>
          <w:rFonts w:ascii="Arial" w:eastAsia="宋体" w:hAnsi="Arial" w:cs="Arial"/>
          <w:sz w:val="20"/>
          <w:szCs w:val="20"/>
        </w:rPr>
        <w:t>e assumed when determining the credit exposure.</w:t>
      </w:r>
    </w:p>
    <w:p w14:paraId="5556978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All types of collateral are assessed regularly by ERM, as is the basis on which the collateral is valued. Our assessment of collateral, including the ability to liquidate collateral in the event of a counterp</w:t>
      </w:r>
      <w:r>
        <w:rPr>
          <w:rFonts w:ascii="Arial" w:eastAsia="宋体" w:hAnsi="Arial" w:cs="Arial"/>
          <w:sz w:val="20"/>
          <w:szCs w:val="20"/>
        </w:rPr>
        <w:t xml:space="preserve">arty default, and also with regard to market values of collateral under a variety of hypothetical market conditions, is an integral component of our assessment of risk and approval of credit limits. We also seek to identify, limit and monitor instances of </w:t>
      </w:r>
      <w:r>
        <w:rPr>
          <w:rFonts w:ascii="Arial" w:eastAsia="宋体" w:hAnsi="Arial" w:cs="Arial"/>
          <w:sz w:val="20"/>
          <w:szCs w:val="20"/>
        </w:rPr>
        <w:t>"wrong-way" risk, where a counterparty’s risk of default is positively correlated with the risk of our collateral eroding in value.</w:t>
      </w:r>
    </w:p>
    <w:p w14:paraId="5556978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maintain policies and procedures requiring that documentation used to collateralize a transaction is legal, valid, bindin</w:t>
      </w:r>
      <w:r>
        <w:rPr>
          <w:rFonts w:ascii="Arial" w:eastAsia="宋体" w:hAnsi="Arial" w:cs="Arial"/>
          <w:sz w:val="20"/>
          <w:szCs w:val="20"/>
        </w:rPr>
        <w:t xml:space="preserve">g and enforceable in the relevant jurisdictions. We also conduct legal reviews to assess whether our documentation meets these standards on an ongoing basis. </w:t>
      </w:r>
    </w:p>
    <w:p w14:paraId="55569788"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 xml:space="preserve">Netting </w:t>
      </w:r>
    </w:p>
    <w:p w14:paraId="5556978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Netting is a mechanism that allows institutions and counterparties to net offsetting exp</w:t>
      </w:r>
      <w:r>
        <w:rPr>
          <w:rFonts w:ascii="Arial" w:eastAsia="宋体" w:hAnsi="Arial" w:cs="Arial"/>
          <w:sz w:val="20"/>
          <w:szCs w:val="20"/>
        </w:rPr>
        <w:t xml:space="preserve">osures and payment obligations against one another through the use of qualifying master netting agreements. A master netting agreement allows the netting of rights and obligations arising under derivative or other transactions that have </w:t>
      </w:r>
    </w:p>
    <w:p w14:paraId="5556978A" w14:textId="77777777" w:rsidR="00F925DD" w:rsidRDefault="00F925DD">
      <w:pPr>
        <w:rPr>
          <w:rFonts w:ascii="Times New Roman" w:hAnsi="Times New Roman"/>
          <w:sz w:val="20"/>
          <w:szCs w:val="20"/>
        </w:rPr>
      </w:pPr>
    </w:p>
    <w:p w14:paraId="5556978B"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w:t>
      </w:r>
      <w:r>
        <w:rPr>
          <w:rFonts w:ascii="Arial" w:eastAsia="宋体" w:hAnsi="Arial" w:cs="Arial"/>
          <w:sz w:val="18"/>
          <w:szCs w:val="18"/>
        </w:rPr>
        <w:t>Street Corporation | 86</w:t>
      </w:r>
    </w:p>
    <w:p w14:paraId="5556978C" w14:textId="77777777" w:rsidR="00F925DD" w:rsidRDefault="00F925DD">
      <w:pPr>
        <w:spacing w:line="288" w:lineRule="auto"/>
        <w:ind w:firstLine="600"/>
        <w:jc w:val="center"/>
        <w:rPr>
          <w:rFonts w:ascii="Times New Roman" w:hAnsi="Times New Roman"/>
          <w:sz w:val="18"/>
          <w:szCs w:val="18"/>
        </w:rPr>
      </w:pPr>
    </w:p>
    <w:p w14:paraId="5556978D" w14:textId="77777777" w:rsidR="00F925DD" w:rsidRDefault="00E705D7">
      <w:r>
        <w:rPr>
          <w:rFonts w:ascii="Times New Roman" w:hAnsi="Times New Roman"/>
          <w:sz w:val="18"/>
          <w:szCs w:val="18"/>
        </w:rPr>
        <w:pict w14:anchorId="55570690">
          <v:rect id="_x0000_i1110" style="width:415.3pt;height:1.5pt" o:hralign="center" o:hrstd="t" o:hr="t" fillcolor="#a0a0a0" stroked="f"/>
        </w:pict>
      </w:r>
    </w:p>
    <w:p w14:paraId="5556978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78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790" w14:textId="77777777" w:rsidR="00F925DD" w:rsidRDefault="00F925DD">
      <w:pPr>
        <w:rPr>
          <w:rFonts w:ascii="Times New Roman" w:hAnsi="Times New Roman"/>
          <w:sz w:val="20"/>
          <w:szCs w:val="20"/>
        </w:rPr>
      </w:pPr>
    </w:p>
    <w:p w14:paraId="5556979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been entered into under such an agreement upon the counterparty’s default, resulting in a single net claim owed by, or to, the counterparty. This is commonly referred to as "close-out netting,” and is pursued wherever possible. We may also enter into maste</w:t>
      </w:r>
      <w:r>
        <w:rPr>
          <w:rFonts w:ascii="Arial" w:eastAsia="宋体" w:hAnsi="Arial" w:cs="Arial"/>
          <w:sz w:val="20"/>
          <w:szCs w:val="20"/>
        </w:rPr>
        <w:t xml:space="preserve">r agreements that allow for the netting of amounts payable on a given day and in the same currency, reducing our settlement risk. This is commonly referred to as “payment netting,” and is widely used in our foreign exchange activities. </w:t>
      </w:r>
    </w:p>
    <w:p w14:paraId="5556979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with collateral,</w:t>
      </w:r>
      <w:r>
        <w:rPr>
          <w:rFonts w:ascii="Arial" w:eastAsia="宋体" w:hAnsi="Arial" w:cs="Arial"/>
          <w:sz w:val="20"/>
          <w:szCs w:val="20"/>
        </w:rPr>
        <w:t xml:space="preserve"> we have policies and procedures in place to apply close-out and payment netting only to the extent that we have verified legal validity and enforceability of the master agreement. In the case of payment netting, operational constraints may preclude us fro</w:t>
      </w:r>
      <w:r>
        <w:rPr>
          <w:rFonts w:ascii="Arial" w:eastAsia="宋体" w:hAnsi="Arial" w:cs="Arial"/>
          <w:sz w:val="20"/>
          <w:szCs w:val="20"/>
        </w:rPr>
        <w:t>m reducing settlement risk, notwithstanding the legal right to require the same under the master netting agreement. In the event we become unable, due to operational constraints, actions by regulators, changes in accounting principles, law or regulation (o</w:t>
      </w:r>
      <w:r>
        <w:rPr>
          <w:rFonts w:ascii="Arial" w:eastAsia="宋体" w:hAnsi="Arial" w:cs="Arial"/>
          <w:sz w:val="20"/>
          <w:szCs w:val="20"/>
        </w:rPr>
        <w:t>r related interpretations) or other factors, to net some or all of our offsetting exposures and payment obligations under those agreements, we would be required to gross up our assets and liabilities on our statement of condition and our calculation of RWA</w:t>
      </w:r>
      <w:r>
        <w:rPr>
          <w:rFonts w:ascii="Arial" w:eastAsia="宋体" w:hAnsi="Arial" w:cs="Arial"/>
          <w:sz w:val="20"/>
          <w:szCs w:val="20"/>
        </w:rPr>
        <w:t>, accordingly.  This would result in a potentially material increase in our regulatory ratios, including LCR, and present increased credit, liquidity, asset-and-liability management and operational risks, some of which could be material.</w:t>
      </w:r>
    </w:p>
    <w:p w14:paraId="55569793"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Guarantees</w:t>
      </w:r>
    </w:p>
    <w:p w14:paraId="5556979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 guara</w:t>
      </w:r>
      <w:r>
        <w:rPr>
          <w:rFonts w:ascii="Arial" w:eastAsia="宋体" w:hAnsi="Arial" w:cs="Arial"/>
          <w:sz w:val="20"/>
          <w:szCs w:val="20"/>
        </w:rPr>
        <w:t>ntee is a financial instrument that results in credit support being provided by a third party, (i.e., the protection provider) to the underlying obligor (the beneficiary of the provided protection) on account of an exposure owing by the obligor. The protec</w:t>
      </w:r>
      <w:r>
        <w:rPr>
          <w:rFonts w:ascii="Arial" w:eastAsia="宋体" w:hAnsi="Arial" w:cs="Arial"/>
          <w:sz w:val="20"/>
          <w:szCs w:val="20"/>
        </w:rPr>
        <w:t>tion provider may support the underlying exposure either in whole or in part. Support of this kind may take different forms. Typical forms of guarantees provided to us include financial guarantees, letters of credit, bankers’ acceptances, purchase undertak</w:t>
      </w:r>
      <w:r>
        <w:rPr>
          <w:rFonts w:ascii="Arial" w:eastAsia="宋体" w:hAnsi="Arial" w:cs="Arial"/>
          <w:sz w:val="20"/>
          <w:szCs w:val="20"/>
        </w:rPr>
        <w:t>ing agreements contracts and insurance.</w:t>
      </w:r>
    </w:p>
    <w:p w14:paraId="5556979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established a review process to evaluate guarantees under the applicable requirements of our policies and Basel III requirements. Governance for this evaluation is covered under policies and procedures that r</w:t>
      </w:r>
      <w:r>
        <w:rPr>
          <w:rFonts w:ascii="Arial" w:eastAsia="宋体" w:hAnsi="Arial" w:cs="Arial"/>
          <w:sz w:val="20"/>
          <w:szCs w:val="20"/>
        </w:rPr>
        <w:t>equire regular reviews of documentation, jurisdictions and credit quality of protection providers.</w:t>
      </w:r>
    </w:p>
    <w:p w14:paraId="5556979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Pursuant to the Basel III rule, we are permitted to reflect the application of credit risk mitigation which may include, for example, guarantees, collateral,</w:t>
      </w:r>
      <w:r>
        <w:rPr>
          <w:rFonts w:ascii="Arial" w:eastAsia="宋体" w:hAnsi="Arial" w:cs="Arial"/>
          <w:sz w:val="20"/>
          <w:szCs w:val="20"/>
        </w:rPr>
        <w:t xml:space="preserve"> netting, secured interests in non-financial assets and credit default swaps. We do not actively use credit default swaps as a risk mitigation tool, although it increasingly applies the recognition of guarantees, collateral and </w:t>
      </w:r>
    </w:p>
    <w:p w14:paraId="55569797"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798"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security over non-financi</w:t>
      </w:r>
      <w:r>
        <w:rPr>
          <w:rFonts w:ascii="Arial" w:eastAsia="宋体" w:hAnsi="Arial" w:cs="Arial"/>
          <w:sz w:val="20"/>
          <w:szCs w:val="20"/>
        </w:rPr>
        <w:t xml:space="preserve">al assets to mitigate overall risk within its counterparty credit portfolio. </w:t>
      </w:r>
    </w:p>
    <w:p w14:paraId="55569799"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 xml:space="preserve">Credit Limits </w:t>
      </w:r>
    </w:p>
    <w:p w14:paraId="5556979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Central to our philosophy for our management of credit risk is the approval and imposition of credit limits, against which we monitor the actual and potential futu</w:t>
      </w:r>
      <w:r>
        <w:rPr>
          <w:rFonts w:ascii="Arial" w:eastAsia="宋体" w:hAnsi="Arial" w:cs="Arial"/>
          <w:sz w:val="20"/>
          <w:szCs w:val="20"/>
        </w:rPr>
        <w:t>re credit exposure arising from our business activities with counterparties or groups of counterparties. Credit limits are a reflection of our risk appetite, which may be determined by the creditworthiness of the counterparty, the nature of the risk inhere</w:t>
      </w:r>
      <w:r>
        <w:rPr>
          <w:rFonts w:ascii="Arial" w:eastAsia="宋体" w:hAnsi="Arial" w:cs="Arial"/>
          <w:sz w:val="20"/>
          <w:szCs w:val="20"/>
        </w:rPr>
        <w:t>nt in the business undertaken with the counterparty, or a combination of relevant credit factors. Our risk appetite for certain sectors and certain countries and geographic regions may also influence the level of risk we are willing to assume to certain co</w:t>
      </w:r>
      <w:r>
        <w:rPr>
          <w:rFonts w:ascii="Arial" w:eastAsia="宋体" w:hAnsi="Arial" w:cs="Arial"/>
          <w:sz w:val="20"/>
          <w:szCs w:val="20"/>
        </w:rPr>
        <w:t xml:space="preserve">unterparties. </w:t>
      </w:r>
    </w:p>
    <w:p w14:paraId="5556979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analysis and approval of credit limits is undertaken in a consistent manner across our businesses, although the nature and extent of the analysis may vary, based on the type, term and magnitude of the risk being assumed. Credit limits an</w:t>
      </w:r>
      <w:r>
        <w:rPr>
          <w:rFonts w:ascii="Arial" w:eastAsia="宋体" w:hAnsi="Arial" w:cs="Arial"/>
          <w:sz w:val="20"/>
          <w:szCs w:val="20"/>
        </w:rPr>
        <w:t>d underlying exposures are assessed and measured on both a gross and net basis where appropriate, with net exposure determined by deducting the value of any collateral held. For certain types of risk being assumed, we will also assess and measure exposures</w:t>
      </w:r>
      <w:r>
        <w:rPr>
          <w:rFonts w:ascii="Arial" w:eastAsia="宋体" w:hAnsi="Arial" w:cs="Arial"/>
          <w:sz w:val="20"/>
          <w:szCs w:val="20"/>
        </w:rPr>
        <w:t xml:space="preserve"> under a variety of hypothetical market conditions. Credit limit approvals across our business are undertaken by the Credit and Global Markets Risk group, by individuals to whom credit authority has been delegated, or by the Credit Committee. </w:t>
      </w:r>
    </w:p>
    <w:p w14:paraId="5556979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Credit limit</w:t>
      </w:r>
      <w:r>
        <w:rPr>
          <w:rFonts w:ascii="Arial" w:eastAsia="宋体" w:hAnsi="Arial" w:cs="Arial"/>
          <w:sz w:val="20"/>
          <w:szCs w:val="20"/>
        </w:rPr>
        <w:t>s are re-evaluated annually, or more frequently as needed, and are revised periodically on prevailing and anticipated market conditions, changes in counterparty or country-specific credit ratings and outlook, changes in our risk appetite for certain counte</w:t>
      </w:r>
      <w:r>
        <w:rPr>
          <w:rFonts w:ascii="Arial" w:eastAsia="宋体" w:hAnsi="Arial" w:cs="Arial"/>
          <w:sz w:val="20"/>
          <w:szCs w:val="20"/>
        </w:rPr>
        <w:t>rparties, sectors or countries, and enhancements to the measurement of credit utilization.</w:t>
      </w:r>
    </w:p>
    <w:p w14:paraId="5556979D"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 xml:space="preserve">Reporting </w:t>
      </w:r>
    </w:p>
    <w:p w14:paraId="5556979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Ongoing active monitoring and management of our credit risk is an integral part of our credit risk management framework. We maintain management informatio</w:t>
      </w:r>
      <w:r>
        <w:rPr>
          <w:rFonts w:ascii="Arial" w:eastAsia="宋体" w:hAnsi="Arial" w:cs="Arial"/>
          <w:sz w:val="20"/>
          <w:szCs w:val="20"/>
        </w:rPr>
        <w:t xml:space="preserve">n systems to identify, measure, monitor and report credit risk across businesses and legal entities, enabling ERM and our businesses to have timely access to accurate information on credit limits and exposures. Monitoring is performed along the dimensions </w:t>
      </w:r>
      <w:r>
        <w:rPr>
          <w:rFonts w:ascii="Arial" w:eastAsia="宋体" w:hAnsi="Arial" w:cs="Arial"/>
          <w:sz w:val="20"/>
          <w:szCs w:val="20"/>
        </w:rPr>
        <w:t>of counterparty, industry, country and product-specific risks to facilitate the identification of concentrations of risk and emerging trends.</w:t>
      </w:r>
    </w:p>
    <w:p w14:paraId="5556979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Key aspects of this credit risk reporting structure include governance and oversight groups, policies that define </w:t>
      </w:r>
      <w:r>
        <w:rPr>
          <w:rFonts w:ascii="Arial" w:eastAsia="宋体" w:hAnsi="Arial" w:cs="Arial"/>
          <w:sz w:val="20"/>
          <w:szCs w:val="20"/>
        </w:rPr>
        <w:t>standards for the reporting of credit risk, data aggregation and sourcing systems and separate testing of relevant risk reporting functions by Corporate Audit.</w:t>
      </w:r>
    </w:p>
    <w:p w14:paraId="555697A0" w14:textId="77777777" w:rsidR="00F925DD" w:rsidRDefault="00F925DD">
      <w:pPr>
        <w:rPr>
          <w:rFonts w:ascii="Times New Roman" w:hAnsi="Times New Roman"/>
          <w:sz w:val="20"/>
          <w:szCs w:val="20"/>
        </w:rPr>
      </w:pPr>
    </w:p>
    <w:p w14:paraId="555697A1"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87</w:t>
      </w:r>
    </w:p>
    <w:p w14:paraId="555697A2" w14:textId="77777777" w:rsidR="00F925DD" w:rsidRDefault="00F925DD">
      <w:pPr>
        <w:spacing w:line="288" w:lineRule="auto"/>
        <w:ind w:firstLine="600"/>
        <w:jc w:val="center"/>
        <w:rPr>
          <w:rFonts w:ascii="Times New Roman" w:hAnsi="Times New Roman"/>
          <w:sz w:val="18"/>
          <w:szCs w:val="18"/>
        </w:rPr>
      </w:pPr>
    </w:p>
    <w:p w14:paraId="555697A3" w14:textId="77777777" w:rsidR="00F925DD" w:rsidRDefault="00E705D7">
      <w:r>
        <w:rPr>
          <w:rFonts w:ascii="Times New Roman" w:hAnsi="Times New Roman"/>
          <w:sz w:val="18"/>
          <w:szCs w:val="18"/>
        </w:rPr>
        <w:pict w14:anchorId="55570691">
          <v:rect id="_x0000_i1111" style="width:415.3pt;height:1.5pt" o:hralign="center" o:hrstd="t" o:hr="t" fillcolor="#a0a0a0" stroked="f"/>
        </w:pict>
      </w:r>
    </w:p>
    <w:p w14:paraId="555697A4"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DISCUSSION AND ANALYSIS OF FINANCIAL </w:t>
      </w:r>
      <w:r>
        <w:rPr>
          <w:rFonts w:ascii="Arial" w:eastAsia="宋体" w:hAnsi="Arial" w:cs="Arial"/>
          <w:b/>
          <w:bCs/>
          <w:sz w:val="20"/>
          <w:szCs w:val="20"/>
        </w:rPr>
        <w:t>CONDITION</w:t>
      </w:r>
    </w:p>
    <w:p w14:paraId="555697A5"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7A6" w14:textId="77777777" w:rsidR="00F925DD" w:rsidRDefault="00F925DD">
      <w:pPr>
        <w:rPr>
          <w:rFonts w:ascii="Times New Roman" w:hAnsi="Times New Roman"/>
          <w:sz w:val="20"/>
          <w:szCs w:val="20"/>
        </w:rPr>
      </w:pPr>
    </w:p>
    <w:p w14:paraId="555697A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Credit Portfolio Management group routinely assesses the composition of our overall credit risk portfolio for alignment with our stated risk appetite. This assessment includes routine analysis and reporting of the p</w:t>
      </w:r>
      <w:r>
        <w:rPr>
          <w:rFonts w:ascii="Arial" w:eastAsia="宋体" w:hAnsi="Arial" w:cs="Arial"/>
          <w:sz w:val="20"/>
          <w:szCs w:val="20"/>
        </w:rPr>
        <w:t>ortfolio, monitoring of market-based indicators, the assessment of industry trends and developments and regular reviews of concentrated risks. The Credit Portfolio Management group is also responsible, in conjunction with the business units, for defining t</w:t>
      </w:r>
      <w:r>
        <w:rPr>
          <w:rFonts w:ascii="Arial" w:eastAsia="宋体" w:hAnsi="Arial" w:cs="Arial"/>
          <w:sz w:val="20"/>
          <w:szCs w:val="20"/>
        </w:rPr>
        <w:t>he appetite for credit risk in the major sectors in which we have a concentration of business activities. These sector-level risk appetite statements, which include counterparty selection criteria and granular underwriting guidelines, are reviewed periodic</w:t>
      </w:r>
      <w:r>
        <w:rPr>
          <w:rFonts w:ascii="Arial" w:eastAsia="宋体" w:hAnsi="Arial" w:cs="Arial"/>
          <w:sz w:val="20"/>
          <w:szCs w:val="20"/>
        </w:rPr>
        <w:t>ally and approved by the CRPC.</w:t>
      </w:r>
    </w:p>
    <w:p w14:paraId="555697A8"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Monitoring</w:t>
      </w:r>
    </w:p>
    <w:p w14:paraId="555697A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Regular surveillance of credit and counterparty risks is undertaken by our business units, the Credit and Global Markets Risk group and designees with ERM, allowing for frequent and extensive oversight. This survei</w:t>
      </w:r>
      <w:r>
        <w:rPr>
          <w:rFonts w:ascii="Arial" w:eastAsia="宋体" w:hAnsi="Arial" w:cs="Arial"/>
          <w:sz w:val="20"/>
          <w:szCs w:val="20"/>
        </w:rPr>
        <w:t>llance process includes, but is not limited to, the following components:</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AC" w14:textId="77777777">
        <w:trPr>
          <w:tblCellSpacing w:w="0" w:type="dxa"/>
        </w:trPr>
        <w:tc>
          <w:tcPr>
            <w:tcW w:w="1080" w:type="dxa"/>
            <w:shd w:val="clear" w:color="auto" w:fill="auto"/>
            <w:vAlign w:val="center"/>
          </w:tcPr>
          <w:p w14:paraId="555697AA" w14:textId="77777777" w:rsidR="00F925DD" w:rsidRDefault="00F925DD">
            <w:pPr>
              <w:rPr>
                <w:rFonts w:ascii="Times New Roman" w:hAnsi="Times New Roman"/>
                <w:sz w:val="20"/>
                <w:szCs w:val="20"/>
              </w:rPr>
            </w:pPr>
          </w:p>
        </w:tc>
        <w:tc>
          <w:tcPr>
            <w:tcW w:w="0" w:type="auto"/>
            <w:shd w:val="clear" w:color="auto" w:fill="auto"/>
            <w:vAlign w:val="center"/>
          </w:tcPr>
          <w:p w14:paraId="555697AB" w14:textId="77777777" w:rsidR="00F925DD" w:rsidRDefault="00F925DD">
            <w:pPr>
              <w:rPr>
                <w:rFonts w:ascii="Times New Roman" w:hAnsi="Times New Roman"/>
                <w:sz w:val="20"/>
                <w:szCs w:val="20"/>
              </w:rPr>
            </w:pPr>
          </w:p>
        </w:tc>
      </w:tr>
      <w:tr w:rsidR="00F925DD" w14:paraId="555697AF" w14:textId="77777777">
        <w:trPr>
          <w:tblCellSpacing w:w="0" w:type="dxa"/>
        </w:trPr>
        <w:tc>
          <w:tcPr>
            <w:tcW w:w="0" w:type="auto"/>
            <w:shd w:val="clear" w:color="auto" w:fill="auto"/>
          </w:tcPr>
          <w:p w14:paraId="555697A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A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Annual Reviews</w:t>
            </w:r>
            <w:r>
              <w:rPr>
                <w:rFonts w:ascii="Arial" w:eastAsia="宋体" w:hAnsi="Arial" w:cs="Arial"/>
                <w:sz w:val="20"/>
                <w:szCs w:val="20"/>
              </w:rPr>
              <w:t>.</w:t>
            </w:r>
            <w:r>
              <w:rPr>
                <w:rFonts w:ascii="Arial" w:eastAsia="宋体" w:hAnsi="Arial" w:cs="Arial"/>
                <w:b/>
                <w:bCs/>
                <w:sz w:val="20"/>
                <w:szCs w:val="20"/>
              </w:rPr>
              <w:t xml:space="preserve"> </w:t>
            </w:r>
            <w:r>
              <w:rPr>
                <w:rFonts w:ascii="Arial" w:eastAsia="宋体" w:hAnsi="Arial" w:cs="Arial"/>
                <w:sz w:val="20"/>
                <w:szCs w:val="20"/>
              </w:rPr>
              <w:t>A formal review of counterparties is conducted at least annually and includes a thorough review of operating performance, primary risk factors and our internal c</w:t>
            </w:r>
            <w:r>
              <w:rPr>
                <w:rFonts w:ascii="Arial" w:eastAsia="宋体" w:hAnsi="Arial" w:cs="Arial"/>
                <w:sz w:val="20"/>
                <w:szCs w:val="20"/>
              </w:rPr>
              <w:t>redit risk rating. This annual review also includes a review of current and proposed credit limits, an assessment of our ongoing risk appetite and verification that supporting legal documentation remains effective.</w:t>
            </w:r>
          </w:p>
        </w:tc>
      </w:tr>
    </w:tbl>
    <w:p w14:paraId="555697B0"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B3" w14:textId="77777777">
        <w:trPr>
          <w:tblCellSpacing w:w="0" w:type="dxa"/>
        </w:trPr>
        <w:tc>
          <w:tcPr>
            <w:tcW w:w="1080" w:type="dxa"/>
            <w:shd w:val="clear" w:color="auto" w:fill="auto"/>
            <w:vAlign w:val="center"/>
          </w:tcPr>
          <w:p w14:paraId="555697B1" w14:textId="77777777" w:rsidR="00F925DD" w:rsidRDefault="00F925DD">
            <w:pPr>
              <w:rPr>
                <w:rFonts w:ascii="Times New Roman" w:hAnsi="Times New Roman"/>
                <w:sz w:val="20"/>
                <w:szCs w:val="20"/>
              </w:rPr>
            </w:pPr>
          </w:p>
        </w:tc>
        <w:tc>
          <w:tcPr>
            <w:tcW w:w="0" w:type="auto"/>
            <w:shd w:val="clear" w:color="auto" w:fill="auto"/>
            <w:vAlign w:val="center"/>
          </w:tcPr>
          <w:p w14:paraId="555697B2" w14:textId="77777777" w:rsidR="00F925DD" w:rsidRDefault="00F925DD">
            <w:pPr>
              <w:rPr>
                <w:rFonts w:ascii="Times New Roman" w:hAnsi="Times New Roman"/>
                <w:sz w:val="20"/>
                <w:szCs w:val="20"/>
              </w:rPr>
            </w:pPr>
          </w:p>
        </w:tc>
      </w:tr>
      <w:tr w:rsidR="00F925DD" w14:paraId="555697B6" w14:textId="77777777">
        <w:trPr>
          <w:tblCellSpacing w:w="0" w:type="dxa"/>
        </w:trPr>
        <w:tc>
          <w:tcPr>
            <w:tcW w:w="0" w:type="auto"/>
            <w:shd w:val="clear" w:color="auto" w:fill="auto"/>
          </w:tcPr>
          <w:p w14:paraId="555697B4" w14:textId="77777777" w:rsidR="00F925DD" w:rsidRDefault="00E705D7">
            <w:pPr>
              <w:spacing w:line="288" w:lineRule="auto"/>
              <w:textAlignment w:val="top"/>
              <w:rPr>
                <w:rFonts w:ascii="Times New Roman" w:hAnsi="Times New Roman"/>
                <w:sz w:val="20"/>
                <w:szCs w:val="20"/>
              </w:rPr>
            </w:pPr>
            <w:r>
              <w:rPr>
                <w:rFonts w:ascii="Arial" w:eastAsia="宋体" w:hAnsi="Arial" w:cs="Arial"/>
                <w:b/>
                <w:bCs/>
                <w:sz w:val="20"/>
                <w:szCs w:val="20"/>
              </w:rPr>
              <w:t>•</w:t>
            </w:r>
          </w:p>
        </w:tc>
        <w:tc>
          <w:tcPr>
            <w:tcW w:w="0" w:type="auto"/>
            <w:shd w:val="clear" w:color="auto" w:fill="auto"/>
          </w:tcPr>
          <w:p w14:paraId="555697B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i/>
                <w:iCs/>
                <w:sz w:val="20"/>
                <w:szCs w:val="20"/>
              </w:rPr>
              <w:t xml:space="preserve">Interim Monitoring. </w:t>
            </w:r>
            <w:r>
              <w:rPr>
                <w:rFonts w:ascii="Arial" w:eastAsia="宋体" w:hAnsi="Arial" w:cs="Arial"/>
                <w:sz w:val="20"/>
                <w:szCs w:val="20"/>
              </w:rPr>
              <w:t>Periodic monitoring of our largest and riskiest counterparties is undertaken more frequently, utilizing financial information, market indicators and other relevant credit and performance measures. The nature and extent of this interim m</w:t>
            </w:r>
            <w:r>
              <w:rPr>
                <w:rFonts w:ascii="Arial" w:eastAsia="宋体" w:hAnsi="Arial" w:cs="Arial"/>
                <w:sz w:val="20"/>
                <w:szCs w:val="20"/>
              </w:rPr>
              <w:t>onitoring is individually tailored to certain counterparties and/or industry sectors to identify material changes to the risk profile of a counterparty (or group of counterparties) and assign an updated internal risk rating in a timely manner.</w:t>
            </w:r>
          </w:p>
        </w:tc>
      </w:tr>
    </w:tbl>
    <w:p w14:paraId="555697B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maintain</w:t>
      </w:r>
      <w:r>
        <w:rPr>
          <w:rFonts w:ascii="Arial" w:eastAsia="宋体" w:hAnsi="Arial" w:cs="Arial"/>
          <w:sz w:val="20"/>
          <w:szCs w:val="20"/>
        </w:rPr>
        <w:t xml:space="preserve"> an active "watch list" for all counterparties where we have identified a concern that the actual or potential risk of default has increased. The watch list status denotes a concern with some aspect of a counterparty's risk profile that warrants closer mon</w:t>
      </w:r>
      <w:r>
        <w:rPr>
          <w:rFonts w:ascii="Arial" w:eastAsia="宋体" w:hAnsi="Arial" w:cs="Arial"/>
          <w:sz w:val="20"/>
          <w:szCs w:val="20"/>
        </w:rPr>
        <w:t xml:space="preserve">itoring of the counterparty's financial performance and related risk factors. Our ongoing monitoring processes are designed to facilitate the early identification of counterparties whose creditworthiness is deteriorating; any counterparty may be placed on </w:t>
      </w:r>
      <w:r>
        <w:rPr>
          <w:rFonts w:ascii="Arial" w:eastAsia="宋体" w:hAnsi="Arial" w:cs="Arial"/>
          <w:sz w:val="20"/>
          <w:szCs w:val="20"/>
        </w:rPr>
        <w:t>the watch list by ERM at its sole discretion.</w:t>
      </w:r>
    </w:p>
    <w:p w14:paraId="555697B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Counterparties that receive an internal risk rating within a certain range on our rating scale are eligible for </w:t>
      </w:r>
    </w:p>
    <w:p w14:paraId="555697B9"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7BA"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watch list designation. These risk ratings generally correspond with the </w:t>
      </w:r>
      <w:r>
        <w:rPr>
          <w:rFonts w:ascii="Arial" w:eastAsia="宋体" w:hAnsi="Arial" w:cs="Arial"/>
          <w:sz w:val="20"/>
          <w:szCs w:val="20"/>
        </w:rPr>
        <w:t>non-investment grade or near non-investment grade ratings established by the major independent credit-rating agencies, and also include the regulatory classifications of “Special Mention,” “Substandard,” “Doubtful” and “Loss.” Counterparties whose internal</w:t>
      </w:r>
      <w:r>
        <w:rPr>
          <w:rFonts w:ascii="Arial" w:eastAsia="宋体" w:hAnsi="Arial" w:cs="Arial"/>
          <w:sz w:val="20"/>
          <w:szCs w:val="20"/>
        </w:rPr>
        <w:t xml:space="preserve"> ratings are outside this range may also be placed on the watch list.</w:t>
      </w:r>
    </w:p>
    <w:p w14:paraId="555697B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Credit and Global Markets Risk group maintains primary responsibility for our watch list processes, and generates a monthly report of all watch list counterparties. The watch list is</w:t>
      </w:r>
      <w:r>
        <w:rPr>
          <w:rFonts w:ascii="Arial" w:eastAsia="宋体" w:hAnsi="Arial" w:cs="Arial"/>
          <w:sz w:val="20"/>
          <w:szCs w:val="20"/>
        </w:rPr>
        <w:t xml:space="preserve"> formally reviewed at least on a quarterly basis, with participation from senior ERM staff, and representatives from the business units and our corporate finance and legal groups as appropriate. These meetings include a review of individual watch list coun</w:t>
      </w:r>
      <w:r>
        <w:rPr>
          <w:rFonts w:ascii="Arial" w:eastAsia="宋体" w:hAnsi="Arial" w:cs="Arial"/>
          <w:sz w:val="20"/>
          <w:szCs w:val="20"/>
        </w:rPr>
        <w:t>terparties, together with credit limits and prevailing exposures, and are focused on actions to contain, reduce or eliminate the risk of loss to us. Identified actions are documented and monitored.</w:t>
      </w:r>
    </w:p>
    <w:p w14:paraId="555697BC"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Controls</w:t>
      </w:r>
    </w:p>
    <w:p w14:paraId="555697B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GCR provides a separate level of surveillance and</w:t>
      </w:r>
      <w:r>
        <w:rPr>
          <w:rFonts w:ascii="Arial" w:eastAsia="宋体" w:hAnsi="Arial" w:cs="Arial"/>
          <w:sz w:val="20"/>
          <w:szCs w:val="20"/>
        </w:rPr>
        <w:t xml:space="preserve"> oversight over the integrity of our credit risk management processes, including the internal risk-rating system. GCR reviews counterparty credit ratings for all identified sectors on an ongoing basis. GCR is subject to oversight by the CRPC, and provides </w:t>
      </w:r>
      <w:r>
        <w:rPr>
          <w:rFonts w:ascii="Arial" w:eastAsia="宋体" w:hAnsi="Arial" w:cs="Arial"/>
          <w:sz w:val="20"/>
          <w:szCs w:val="20"/>
        </w:rPr>
        <w:t xml:space="preserve">periodic updates to the Board’s RC. </w:t>
      </w:r>
    </w:p>
    <w:p w14:paraId="555697B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Specific activities of GCR include the following:</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C1" w14:textId="77777777">
        <w:trPr>
          <w:tblCellSpacing w:w="0" w:type="dxa"/>
        </w:trPr>
        <w:tc>
          <w:tcPr>
            <w:tcW w:w="1080" w:type="dxa"/>
            <w:shd w:val="clear" w:color="auto" w:fill="auto"/>
            <w:vAlign w:val="center"/>
          </w:tcPr>
          <w:p w14:paraId="555697BF" w14:textId="77777777" w:rsidR="00F925DD" w:rsidRDefault="00F925DD">
            <w:pPr>
              <w:rPr>
                <w:rFonts w:ascii="Times New Roman" w:hAnsi="Times New Roman"/>
                <w:sz w:val="20"/>
                <w:szCs w:val="20"/>
              </w:rPr>
            </w:pPr>
          </w:p>
        </w:tc>
        <w:tc>
          <w:tcPr>
            <w:tcW w:w="0" w:type="auto"/>
            <w:shd w:val="clear" w:color="auto" w:fill="auto"/>
            <w:vAlign w:val="center"/>
          </w:tcPr>
          <w:p w14:paraId="555697C0" w14:textId="77777777" w:rsidR="00F925DD" w:rsidRDefault="00F925DD">
            <w:pPr>
              <w:rPr>
                <w:rFonts w:ascii="Times New Roman" w:hAnsi="Times New Roman"/>
                <w:sz w:val="20"/>
                <w:szCs w:val="20"/>
              </w:rPr>
            </w:pPr>
          </w:p>
        </w:tc>
      </w:tr>
      <w:tr w:rsidR="00F925DD" w14:paraId="555697C4" w14:textId="77777777">
        <w:trPr>
          <w:tblCellSpacing w:w="0" w:type="dxa"/>
        </w:trPr>
        <w:tc>
          <w:tcPr>
            <w:tcW w:w="0" w:type="auto"/>
            <w:shd w:val="clear" w:color="auto" w:fill="auto"/>
          </w:tcPr>
          <w:p w14:paraId="555697C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C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Perform separate and objective assessments of our credit and counterparty exposures to determine the nature and extent of risk undertaken by the business </w:t>
            </w:r>
            <w:r>
              <w:rPr>
                <w:rFonts w:ascii="Arial" w:eastAsia="宋体" w:hAnsi="Arial" w:cs="Arial"/>
                <w:sz w:val="20"/>
                <w:szCs w:val="20"/>
              </w:rPr>
              <w:t>units;</w:t>
            </w:r>
          </w:p>
        </w:tc>
      </w:tr>
    </w:tbl>
    <w:p w14:paraId="555697C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C8" w14:textId="77777777">
        <w:trPr>
          <w:tblCellSpacing w:w="0" w:type="dxa"/>
        </w:trPr>
        <w:tc>
          <w:tcPr>
            <w:tcW w:w="1080" w:type="dxa"/>
            <w:shd w:val="clear" w:color="auto" w:fill="auto"/>
            <w:vAlign w:val="center"/>
          </w:tcPr>
          <w:p w14:paraId="555697C6" w14:textId="77777777" w:rsidR="00F925DD" w:rsidRDefault="00F925DD">
            <w:pPr>
              <w:rPr>
                <w:rFonts w:ascii="Times New Roman" w:hAnsi="Times New Roman"/>
                <w:sz w:val="20"/>
                <w:szCs w:val="20"/>
              </w:rPr>
            </w:pPr>
          </w:p>
        </w:tc>
        <w:tc>
          <w:tcPr>
            <w:tcW w:w="0" w:type="auto"/>
            <w:shd w:val="clear" w:color="auto" w:fill="auto"/>
            <w:vAlign w:val="center"/>
          </w:tcPr>
          <w:p w14:paraId="555697C7" w14:textId="77777777" w:rsidR="00F925DD" w:rsidRDefault="00F925DD">
            <w:pPr>
              <w:rPr>
                <w:rFonts w:ascii="Times New Roman" w:hAnsi="Times New Roman"/>
                <w:sz w:val="20"/>
                <w:szCs w:val="20"/>
              </w:rPr>
            </w:pPr>
          </w:p>
        </w:tc>
      </w:tr>
      <w:tr w:rsidR="00F925DD" w14:paraId="555697CB" w14:textId="77777777">
        <w:trPr>
          <w:tblCellSpacing w:w="0" w:type="dxa"/>
        </w:trPr>
        <w:tc>
          <w:tcPr>
            <w:tcW w:w="0" w:type="auto"/>
            <w:shd w:val="clear" w:color="auto" w:fill="auto"/>
          </w:tcPr>
          <w:p w14:paraId="555697C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C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Execute periodic credit process and credit product reviews to assess the quality of credit analysis, compliance with policies, guidelines and relevant regulation, transaction structures and underwriting standards, and risk-rating </w:t>
            </w:r>
            <w:r>
              <w:rPr>
                <w:rFonts w:ascii="Arial" w:eastAsia="宋体" w:hAnsi="Arial" w:cs="Arial"/>
                <w:sz w:val="20"/>
                <w:szCs w:val="20"/>
              </w:rPr>
              <w:t>integrity;</w:t>
            </w:r>
          </w:p>
        </w:tc>
      </w:tr>
    </w:tbl>
    <w:p w14:paraId="555697C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CF" w14:textId="77777777">
        <w:trPr>
          <w:tblCellSpacing w:w="0" w:type="dxa"/>
        </w:trPr>
        <w:tc>
          <w:tcPr>
            <w:tcW w:w="1080" w:type="dxa"/>
            <w:shd w:val="clear" w:color="auto" w:fill="auto"/>
            <w:vAlign w:val="center"/>
          </w:tcPr>
          <w:p w14:paraId="555697CD" w14:textId="77777777" w:rsidR="00F925DD" w:rsidRDefault="00F925DD">
            <w:pPr>
              <w:rPr>
                <w:rFonts w:ascii="Times New Roman" w:hAnsi="Times New Roman"/>
                <w:sz w:val="20"/>
                <w:szCs w:val="20"/>
              </w:rPr>
            </w:pPr>
          </w:p>
        </w:tc>
        <w:tc>
          <w:tcPr>
            <w:tcW w:w="0" w:type="auto"/>
            <w:shd w:val="clear" w:color="auto" w:fill="auto"/>
            <w:vAlign w:val="center"/>
          </w:tcPr>
          <w:p w14:paraId="555697CE" w14:textId="77777777" w:rsidR="00F925DD" w:rsidRDefault="00F925DD">
            <w:pPr>
              <w:rPr>
                <w:rFonts w:ascii="Times New Roman" w:hAnsi="Times New Roman"/>
                <w:sz w:val="20"/>
                <w:szCs w:val="20"/>
              </w:rPr>
            </w:pPr>
          </w:p>
        </w:tc>
      </w:tr>
      <w:tr w:rsidR="00F925DD" w14:paraId="555697D2" w14:textId="77777777">
        <w:trPr>
          <w:tblCellSpacing w:w="0" w:type="dxa"/>
        </w:trPr>
        <w:tc>
          <w:tcPr>
            <w:tcW w:w="0" w:type="auto"/>
            <w:shd w:val="clear" w:color="auto" w:fill="auto"/>
          </w:tcPr>
          <w:p w14:paraId="555697D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D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Identify and monitor developing counterparty, market and/or industry sector trends to limit risk of loss and protect capital;</w:t>
            </w:r>
          </w:p>
        </w:tc>
      </w:tr>
    </w:tbl>
    <w:p w14:paraId="555697D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D6" w14:textId="77777777">
        <w:trPr>
          <w:tblCellSpacing w:w="0" w:type="dxa"/>
        </w:trPr>
        <w:tc>
          <w:tcPr>
            <w:tcW w:w="1080" w:type="dxa"/>
            <w:shd w:val="clear" w:color="auto" w:fill="auto"/>
            <w:vAlign w:val="center"/>
          </w:tcPr>
          <w:p w14:paraId="555697D4" w14:textId="77777777" w:rsidR="00F925DD" w:rsidRDefault="00F925DD">
            <w:pPr>
              <w:rPr>
                <w:rFonts w:ascii="Times New Roman" w:hAnsi="Times New Roman"/>
                <w:sz w:val="20"/>
                <w:szCs w:val="20"/>
              </w:rPr>
            </w:pPr>
          </w:p>
        </w:tc>
        <w:tc>
          <w:tcPr>
            <w:tcW w:w="0" w:type="auto"/>
            <w:shd w:val="clear" w:color="auto" w:fill="auto"/>
            <w:vAlign w:val="center"/>
          </w:tcPr>
          <w:p w14:paraId="555697D5" w14:textId="77777777" w:rsidR="00F925DD" w:rsidRDefault="00F925DD">
            <w:pPr>
              <w:rPr>
                <w:rFonts w:ascii="Times New Roman" w:hAnsi="Times New Roman"/>
                <w:sz w:val="20"/>
                <w:szCs w:val="20"/>
              </w:rPr>
            </w:pPr>
          </w:p>
        </w:tc>
      </w:tr>
      <w:tr w:rsidR="00F925DD" w14:paraId="555697D9" w14:textId="77777777">
        <w:trPr>
          <w:tblCellSpacing w:w="0" w:type="dxa"/>
        </w:trPr>
        <w:tc>
          <w:tcPr>
            <w:tcW w:w="0" w:type="auto"/>
            <w:shd w:val="clear" w:color="auto" w:fill="auto"/>
          </w:tcPr>
          <w:p w14:paraId="555697D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D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Deliver regular and formal reporting to stakeholders, including exam results, identified issues and </w:t>
            </w:r>
            <w:r>
              <w:rPr>
                <w:rFonts w:ascii="Arial" w:eastAsia="宋体" w:hAnsi="Arial" w:cs="Arial"/>
                <w:sz w:val="20"/>
                <w:szCs w:val="20"/>
              </w:rPr>
              <w:t>the status of requisite actions to remedy identified deficiencies;</w:t>
            </w:r>
          </w:p>
        </w:tc>
      </w:tr>
    </w:tbl>
    <w:p w14:paraId="555697D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DD" w14:textId="77777777">
        <w:trPr>
          <w:tblCellSpacing w:w="0" w:type="dxa"/>
        </w:trPr>
        <w:tc>
          <w:tcPr>
            <w:tcW w:w="1080" w:type="dxa"/>
            <w:shd w:val="clear" w:color="auto" w:fill="auto"/>
            <w:vAlign w:val="center"/>
          </w:tcPr>
          <w:p w14:paraId="555697DB" w14:textId="77777777" w:rsidR="00F925DD" w:rsidRDefault="00F925DD">
            <w:pPr>
              <w:rPr>
                <w:rFonts w:ascii="Times New Roman" w:hAnsi="Times New Roman"/>
                <w:sz w:val="20"/>
                <w:szCs w:val="20"/>
              </w:rPr>
            </w:pPr>
          </w:p>
        </w:tc>
        <w:tc>
          <w:tcPr>
            <w:tcW w:w="0" w:type="auto"/>
            <w:shd w:val="clear" w:color="auto" w:fill="auto"/>
            <w:vAlign w:val="center"/>
          </w:tcPr>
          <w:p w14:paraId="555697DC" w14:textId="77777777" w:rsidR="00F925DD" w:rsidRDefault="00F925DD">
            <w:pPr>
              <w:rPr>
                <w:rFonts w:ascii="Times New Roman" w:hAnsi="Times New Roman"/>
                <w:sz w:val="20"/>
                <w:szCs w:val="20"/>
              </w:rPr>
            </w:pPr>
          </w:p>
        </w:tc>
      </w:tr>
      <w:tr w:rsidR="00F925DD" w14:paraId="555697E0" w14:textId="77777777">
        <w:trPr>
          <w:tblCellSpacing w:w="0" w:type="dxa"/>
        </w:trPr>
        <w:tc>
          <w:tcPr>
            <w:tcW w:w="0" w:type="auto"/>
            <w:shd w:val="clear" w:color="auto" w:fill="auto"/>
          </w:tcPr>
          <w:p w14:paraId="555697D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D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Allocate resources for specialized risk assessments (on an as-needed basis); and</w:t>
            </w:r>
          </w:p>
        </w:tc>
      </w:tr>
    </w:tbl>
    <w:p w14:paraId="555697E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F925DD" w14:paraId="555697E4" w14:textId="77777777">
        <w:trPr>
          <w:tblCellSpacing w:w="0" w:type="dxa"/>
        </w:trPr>
        <w:tc>
          <w:tcPr>
            <w:tcW w:w="1080" w:type="dxa"/>
            <w:shd w:val="clear" w:color="auto" w:fill="auto"/>
            <w:vAlign w:val="center"/>
          </w:tcPr>
          <w:p w14:paraId="555697E2" w14:textId="77777777" w:rsidR="00F925DD" w:rsidRDefault="00F925DD">
            <w:pPr>
              <w:rPr>
                <w:rFonts w:ascii="Times New Roman" w:hAnsi="Times New Roman"/>
                <w:sz w:val="20"/>
                <w:szCs w:val="20"/>
              </w:rPr>
            </w:pPr>
          </w:p>
        </w:tc>
        <w:tc>
          <w:tcPr>
            <w:tcW w:w="0" w:type="auto"/>
            <w:shd w:val="clear" w:color="auto" w:fill="auto"/>
            <w:vAlign w:val="center"/>
          </w:tcPr>
          <w:p w14:paraId="555697E3" w14:textId="77777777" w:rsidR="00F925DD" w:rsidRDefault="00F925DD">
            <w:pPr>
              <w:rPr>
                <w:rFonts w:ascii="Times New Roman" w:hAnsi="Times New Roman"/>
                <w:sz w:val="20"/>
                <w:szCs w:val="20"/>
              </w:rPr>
            </w:pPr>
          </w:p>
        </w:tc>
      </w:tr>
      <w:tr w:rsidR="00F925DD" w14:paraId="555697E7" w14:textId="77777777">
        <w:trPr>
          <w:tblCellSpacing w:w="0" w:type="dxa"/>
        </w:trPr>
        <w:tc>
          <w:tcPr>
            <w:tcW w:w="0" w:type="auto"/>
            <w:shd w:val="clear" w:color="auto" w:fill="auto"/>
          </w:tcPr>
          <w:p w14:paraId="555697E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7E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Liaise with assurance partners and regulatory personnel on matters relating to risk </w:t>
            </w:r>
            <w:r>
              <w:rPr>
                <w:rFonts w:ascii="Arial" w:eastAsia="宋体" w:hAnsi="Arial" w:cs="Arial"/>
                <w:sz w:val="20"/>
                <w:szCs w:val="20"/>
              </w:rPr>
              <w:t>rating, reporting and measurement.</w:t>
            </w:r>
          </w:p>
        </w:tc>
      </w:tr>
    </w:tbl>
    <w:p w14:paraId="555697E8" w14:textId="77777777" w:rsidR="00F925DD" w:rsidRDefault="00F925DD">
      <w:pPr>
        <w:rPr>
          <w:rFonts w:ascii="Times New Roman" w:hAnsi="Times New Roman"/>
          <w:sz w:val="20"/>
          <w:szCs w:val="20"/>
        </w:rPr>
      </w:pPr>
    </w:p>
    <w:p w14:paraId="555697E9"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88</w:t>
      </w:r>
    </w:p>
    <w:p w14:paraId="555697EA" w14:textId="77777777" w:rsidR="00F925DD" w:rsidRDefault="00F925DD">
      <w:pPr>
        <w:spacing w:line="288" w:lineRule="auto"/>
        <w:ind w:firstLine="600"/>
        <w:jc w:val="center"/>
        <w:rPr>
          <w:rFonts w:ascii="Times New Roman" w:hAnsi="Times New Roman"/>
          <w:sz w:val="18"/>
          <w:szCs w:val="18"/>
        </w:rPr>
      </w:pPr>
    </w:p>
    <w:p w14:paraId="555697EB" w14:textId="77777777" w:rsidR="00F925DD" w:rsidRDefault="00E705D7">
      <w:r>
        <w:rPr>
          <w:rFonts w:ascii="Times New Roman" w:hAnsi="Times New Roman"/>
          <w:sz w:val="18"/>
          <w:szCs w:val="18"/>
        </w:rPr>
        <w:pict w14:anchorId="55570692">
          <v:rect id="_x0000_i1112" style="width:415.3pt;height:1.5pt" o:hralign="center" o:hrstd="t" o:hr="t" fillcolor="#a0a0a0" stroked="f"/>
        </w:pict>
      </w:r>
    </w:p>
    <w:p w14:paraId="555697E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7E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7EE" w14:textId="77777777" w:rsidR="00F925DD" w:rsidRDefault="00F925DD">
      <w:pPr>
        <w:rPr>
          <w:rFonts w:ascii="Times New Roman" w:hAnsi="Times New Roman"/>
          <w:sz w:val="20"/>
          <w:szCs w:val="20"/>
        </w:rPr>
      </w:pPr>
    </w:p>
    <w:p w14:paraId="555697EF"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Reserve for Credit Losses</w:t>
      </w:r>
    </w:p>
    <w:p w14:paraId="555697F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maintain an allowance for loan and lease losses to support our </w:t>
      </w:r>
      <w:r>
        <w:rPr>
          <w:rFonts w:ascii="Arial" w:eastAsia="宋体" w:hAnsi="Arial" w:cs="Arial"/>
          <w:sz w:val="20"/>
          <w:szCs w:val="20"/>
        </w:rPr>
        <w:t>on-balance sheet credit exposures. We also maintain a reserve for unfunded commitments and letters of credit to support our off-balance credit exposure. The two components together represent the reserve for credit losses. Review and evaluation of the adequ</w:t>
      </w:r>
      <w:r>
        <w:rPr>
          <w:rFonts w:ascii="Arial" w:eastAsia="宋体" w:hAnsi="Arial" w:cs="Arial"/>
          <w:sz w:val="20"/>
          <w:szCs w:val="20"/>
        </w:rPr>
        <w:t>acy of the reserve for credit losses is ongoing throughout the year, but occurs at least quarterly, and is based, among other factors, on our evaluation of the level of risk in the portfolio, the volume of adversely classified loans, previous loss experien</w:t>
      </w:r>
      <w:r>
        <w:rPr>
          <w:rFonts w:ascii="Arial" w:eastAsia="宋体" w:hAnsi="Arial" w:cs="Arial"/>
          <w:sz w:val="20"/>
          <w:szCs w:val="20"/>
        </w:rPr>
        <w:t>ce, current trends, and economic conditions and their effect on our counterparties. Additional information about the allowance for loan losses is provided in Note 4 to the consolidated financial statements in this Form 10-K.</w:t>
      </w:r>
    </w:p>
    <w:p w14:paraId="555697F1"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Liquidity Risk Management</w:t>
      </w:r>
    </w:p>
    <w:p w14:paraId="555697F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l</w:t>
      </w:r>
      <w:r>
        <w:rPr>
          <w:rFonts w:ascii="Arial" w:eastAsia="宋体" w:hAnsi="Arial" w:cs="Arial"/>
          <w:sz w:val="20"/>
          <w:szCs w:val="20"/>
        </w:rPr>
        <w:t>iquidity framework contemplates areas of potential risk based on our activities, size and other appropriate risk-related factors. In managing liquidity risk we employ limits, maintain established metrics and early warning indicators and perform routine str</w:t>
      </w:r>
      <w:r>
        <w:rPr>
          <w:rFonts w:ascii="Arial" w:eastAsia="宋体" w:hAnsi="Arial" w:cs="Arial"/>
          <w:sz w:val="20"/>
          <w:szCs w:val="20"/>
        </w:rPr>
        <w:t>ess testing to identify potential liquidity needs. This process involves the evaluation of a combination of internal and external scenarios which assist us in measuring our liquidity position and in identifying potential increases in cash needs or decrease</w:t>
      </w:r>
      <w:r>
        <w:rPr>
          <w:rFonts w:ascii="Arial" w:eastAsia="宋体" w:hAnsi="Arial" w:cs="Arial"/>
          <w:sz w:val="20"/>
          <w:szCs w:val="20"/>
        </w:rPr>
        <w:t>s in available sources of cash, as well as the potential impairment of our ability to access the global capital markets.</w:t>
      </w:r>
    </w:p>
    <w:p w14:paraId="555697F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manage our liquidity on a global, consolidated basis. We also manage liquidity on a stand-alone basis at our Parent Company, as </w:t>
      </w:r>
      <w:r>
        <w:rPr>
          <w:rFonts w:ascii="Arial" w:eastAsia="宋体" w:hAnsi="Arial" w:cs="Arial"/>
          <w:sz w:val="20"/>
          <w:szCs w:val="20"/>
        </w:rPr>
        <w:t>well as at certain branches and subsidiaries of State Street Bank. State Street Bank generally has access to markets and funding sources limited to banks, such as the federal funds market and the Federal Reserve's discount window. The Parent Company is man</w:t>
      </w:r>
      <w:r>
        <w:rPr>
          <w:rFonts w:ascii="Arial" w:eastAsia="宋体" w:hAnsi="Arial" w:cs="Arial"/>
          <w:sz w:val="20"/>
          <w:szCs w:val="20"/>
        </w:rPr>
        <w:t>aged to a more conservative liquidity profile, reflecting narrower market access. Additionally, the Parent Company typically holds, or has direct access to, primarily through SSIF (a direct subsidiary of the Parent Company), as discussed in "Supervision an</w:t>
      </w:r>
      <w:r>
        <w:rPr>
          <w:rFonts w:ascii="Arial" w:eastAsia="宋体" w:hAnsi="Arial" w:cs="Arial"/>
          <w:sz w:val="20"/>
          <w:szCs w:val="20"/>
        </w:rPr>
        <w:t>d Regulation" in Business in this Form 10-K, enough cash to meet its current debt maturities and cash needs, as well as those projected over the next one-year period. Absent financial distress at the Parent Company, the liquid assets available at SSIF cont</w:t>
      </w:r>
      <w:r>
        <w:rPr>
          <w:rFonts w:ascii="Arial" w:eastAsia="宋体" w:hAnsi="Arial" w:cs="Arial"/>
          <w:sz w:val="20"/>
          <w:szCs w:val="20"/>
        </w:rPr>
        <w:t>inue to be available to the Parent Company. As of December 31, 2019, the value of our Parent Company's net liquid assets totaled $428 million, compared with $486 million as of December 31, 2018, which amount does not include available liquidity through SSI</w:t>
      </w:r>
      <w:r>
        <w:rPr>
          <w:rFonts w:ascii="Arial" w:eastAsia="宋体" w:hAnsi="Arial" w:cs="Arial"/>
          <w:sz w:val="20"/>
          <w:szCs w:val="20"/>
        </w:rPr>
        <w:t>F. As of December 31, 2019, our Parent Company and State Street Bank had approximately $1.7 billion of senior notes or subordinated debentures outstanding that will mature in the next twelve months.</w:t>
      </w:r>
    </w:p>
    <w:p w14:paraId="555697F4"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7F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a SIFI, our liquidity risk management activities are</w:t>
      </w:r>
      <w:r>
        <w:rPr>
          <w:rFonts w:ascii="Arial" w:eastAsia="宋体" w:hAnsi="Arial" w:cs="Arial"/>
          <w:sz w:val="20"/>
          <w:szCs w:val="20"/>
        </w:rPr>
        <w:t xml:space="preserve"> subject to heightened and evolving regulatory requirements, including interpretations of those requirements, under specific U.S. and international regulations and also resulting from published and unpublished guidance, supervisory activities, such as stre</w:t>
      </w:r>
      <w:r>
        <w:rPr>
          <w:rFonts w:ascii="Arial" w:eastAsia="宋体" w:hAnsi="Arial" w:cs="Arial"/>
          <w:sz w:val="20"/>
          <w:szCs w:val="20"/>
        </w:rPr>
        <w:t>ss tests, resolution planning, examinations and other regulatory interactions. Satisfaction of these requirements could, in some cases, result in changes in the composition of our investment portfolio, reduced NII or NIM, a reduction in the level of certai</w:t>
      </w:r>
      <w:r>
        <w:rPr>
          <w:rFonts w:ascii="Arial" w:eastAsia="宋体" w:hAnsi="Arial" w:cs="Arial"/>
          <w:sz w:val="20"/>
          <w:szCs w:val="20"/>
        </w:rPr>
        <w:t xml:space="preserve">n business activities or modifications to the way in which we deliver our products and services. If we fail to meet regulatory requirements to the satisfaction of our regulators, we could receive negative regulatory stress test results, incur a resolution </w:t>
      </w:r>
      <w:r>
        <w:rPr>
          <w:rFonts w:ascii="Arial" w:eastAsia="宋体" w:hAnsi="Arial" w:cs="Arial"/>
          <w:sz w:val="20"/>
          <w:szCs w:val="20"/>
        </w:rPr>
        <w:t>plan deficiency or determination of a non-credible resolution plan or otherwise receive an adverse regulatory finding. Our efforts to satisfy, or our failure to satisfy, these regulatory requirements could materially adversely affect our business, financia</w:t>
      </w:r>
      <w:r>
        <w:rPr>
          <w:rFonts w:ascii="Arial" w:eastAsia="宋体" w:hAnsi="Arial" w:cs="Arial"/>
          <w:sz w:val="20"/>
          <w:szCs w:val="20"/>
        </w:rPr>
        <w:t>l condition or results of operations.</w:t>
      </w:r>
    </w:p>
    <w:p w14:paraId="555697F6"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Governance</w:t>
      </w:r>
    </w:p>
    <w:p w14:paraId="555697F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Global Treasury is responsible for our management of liquidity. This includes the day-to-day management of our global liquidity position, the development and monitoring of early warning indicators, key liqui</w:t>
      </w:r>
      <w:r>
        <w:rPr>
          <w:rFonts w:ascii="Arial" w:eastAsia="宋体" w:hAnsi="Arial" w:cs="Arial"/>
          <w:sz w:val="20"/>
          <w:szCs w:val="20"/>
        </w:rPr>
        <w:t>dity risk metrics, the creation and execution of stress tests, the evaluation and implementation of regulatory requirements, the maintenance and execution of our liquidity guidelines and contingency funding plan (CFP), and routine management reporting to A</w:t>
      </w:r>
      <w:r>
        <w:rPr>
          <w:rFonts w:ascii="Arial" w:eastAsia="宋体" w:hAnsi="Arial" w:cs="Arial"/>
          <w:sz w:val="20"/>
          <w:szCs w:val="20"/>
        </w:rPr>
        <w:t>LCO, MRAC and the Board's RC.</w:t>
      </w:r>
    </w:p>
    <w:p w14:paraId="555697F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Global Treasury Risk Management, part of ERM, provides separate oversight over the identification, communication and management of Global Treasury’s risks in support of our business strategy. Global Treasury Risk Management re</w:t>
      </w:r>
      <w:r>
        <w:rPr>
          <w:rFonts w:ascii="Arial" w:eastAsia="宋体" w:hAnsi="Arial" w:cs="Arial"/>
          <w:sz w:val="20"/>
          <w:szCs w:val="20"/>
        </w:rPr>
        <w:t>ports to the CRO. Global Treasury Risk Management’s responsibilities relative to liquidity risk management include the development and review of policies and guidelines; the monitoring of limits related to adherence to the liquidity risk guidelines and ass</w:t>
      </w:r>
      <w:r>
        <w:rPr>
          <w:rFonts w:ascii="Arial" w:eastAsia="宋体" w:hAnsi="Arial" w:cs="Arial"/>
          <w:sz w:val="20"/>
          <w:szCs w:val="20"/>
        </w:rPr>
        <w:t>ociated reporting.</w:t>
      </w:r>
    </w:p>
    <w:p w14:paraId="555697F9" w14:textId="77777777" w:rsidR="00F925DD" w:rsidRDefault="00F925DD">
      <w:pPr>
        <w:rPr>
          <w:rFonts w:ascii="Times New Roman" w:hAnsi="Times New Roman"/>
          <w:sz w:val="20"/>
          <w:szCs w:val="20"/>
        </w:rPr>
      </w:pPr>
    </w:p>
    <w:p w14:paraId="555697F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89</w:t>
      </w:r>
    </w:p>
    <w:p w14:paraId="555697FB" w14:textId="77777777" w:rsidR="00F925DD" w:rsidRDefault="00F925DD">
      <w:pPr>
        <w:spacing w:line="288" w:lineRule="auto"/>
        <w:ind w:firstLine="600"/>
        <w:jc w:val="center"/>
        <w:rPr>
          <w:rFonts w:ascii="Times New Roman" w:hAnsi="Times New Roman"/>
          <w:sz w:val="18"/>
          <w:szCs w:val="18"/>
        </w:rPr>
      </w:pPr>
    </w:p>
    <w:p w14:paraId="555697FC" w14:textId="77777777" w:rsidR="00F925DD" w:rsidRDefault="00E705D7">
      <w:r>
        <w:rPr>
          <w:rFonts w:ascii="Times New Roman" w:hAnsi="Times New Roman"/>
          <w:sz w:val="18"/>
          <w:szCs w:val="18"/>
        </w:rPr>
        <w:pict w14:anchorId="55570693">
          <v:rect id="_x0000_i1113" style="width:415.3pt;height:1.5pt" o:hralign="center" o:hrstd="t" o:hr="t" fillcolor="#a0a0a0" stroked="f"/>
        </w:pict>
      </w:r>
    </w:p>
    <w:p w14:paraId="555697F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7F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7FF" w14:textId="77777777" w:rsidR="00F925DD" w:rsidRDefault="00F925DD">
      <w:pPr>
        <w:rPr>
          <w:rFonts w:ascii="Times New Roman" w:hAnsi="Times New Roman"/>
          <w:sz w:val="20"/>
          <w:szCs w:val="20"/>
        </w:rPr>
      </w:pPr>
    </w:p>
    <w:p w14:paraId="55569800"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Liquidity Framework</w:t>
      </w:r>
    </w:p>
    <w:p w14:paraId="5556980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liquidity framework contemplates areas of potential risk based on our activities, size and o</w:t>
      </w:r>
      <w:r>
        <w:rPr>
          <w:rFonts w:ascii="Arial" w:eastAsia="宋体" w:hAnsi="Arial" w:cs="Arial"/>
          <w:sz w:val="20"/>
          <w:szCs w:val="20"/>
        </w:rPr>
        <w:t>ther appropriate risk-related factors. In managing liquidity risk we employ limits, maintain established metrics and early warning indicators, and perform routine stress testing to identify potential liquidity needs. This process involves the evaluation of</w:t>
      </w:r>
      <w:r>
        <w:rPr>
          <w:rFonts w:ascii="Arial" w:eastAsia="宋体" w:hAnsi="Arial" w:cs="Arial"/>
          <w:sz w:val="20"/>
          <w:szCs w:val="20"/>
        </w:rPr>
        <w:t xml:space="preserve"> a combination of internal and external scenarios which assist us in measuring our liquidity position and in identifying potential increases in cash needs or decreases in available sources of cash, as well as the potential impairment of our ability to acce</w:t>
      </w:r>
      <w:r>
        <w:rPr>
          <w:rFonts w:ascii="Arial" w:eastAsia="宋体" w:hAnsi="Arial" w:cs="Arial"/>
          <w:sz w:val="20"/>
          <w:szCs w:val="20"/>
        </w:rPr>
        <w:t>ss the global capital markets.</w:t>
      </w:r>
    </w:p>
    <w:p w14:paraId="5556980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manage liquidity according to several principles that are equally important to our overall liquidity risk management framework:</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805" w14:textId="77777777">
        <w:trPr>
          <w:tblCellSpacing w:w="0" w:type="dxa"/>
        </w:trPr>
        <w:tc>
          <w:tcPr>
            <w:tcW w:w="960" w:type="dxa"/>
            <w:shd w:val="clear" w:color="auto" w:fill="auto"/>
            <w:vAlign w:val="center"/>
          </w:tcPr>
          <w:p w14:paraId="55569803" w14:textId="77777777" w:rsidR="00F925DD" w:rsidRDefault="00F925DD">
            <w:pPr>
              <w:rPr>
                <w:rFonts w:ascii="Times New Roman" w:hAnsi="Times New Roman"/>
                <w:sz w:val="20"/>
                <w:szCs w:val="20"/>
              </w:rPr>
            </w:pPr>
          </w:p>
        </w:tc>
        <w:tc>
          <w:tcPr>
            <w:tcW w:w="0" w:type="auto"/>
            <w:shd w:val="clear" w:color="auto" w:fill="auto"/>
            <w:vAlign w:val="center"/>
          </w:tcPr>
          <w:p w14:paraId="55569804" w14:textId="77777777" w:rsidR="00F925DD" w:rsidRDefault="00F925DD">
            <w:pPr>
              <w:rPr>
                <w:rFonts w:ascii="Times New Roman" w:hAnsi="Times New Roman"/>
                <w:sz w:val="20"/>
                <w:szCs w:val="20"/>
              </w:rPr>
            </w:pPr>
          </w:p>
        </w:tc>
      </w:tr>
      <w:tr w:rsidR="00F925DD" w14:paraId="55569808" w14:textId="77777777">
        <w:trPr>
          <w:tblCellSpacing w:w="0" w:type="dxa"/>
        </w:trPr>
        <w:tc>
          <w:tcPr>
            <w:tcW w:w="0" w:type="auto"/>
            <w:shd w:val="clear" w:color="auto" w:fill="auto"/>
          </w:tcPr>
          <w:p w14:paraId="5556980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0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Structural liquidity management addresses liquidity by monitoring and directing the </w:t>
            </w:r>
            <w:r>
              <w:rPr>
                <w:rFonts w:ascii="Arial" w:eastAsia="宋体" w:hAnsi="Arial" w:cs="Arial"/>
                <w:sz w:val="20"/>
                <w:szCs w:val="20"/>
              </w:rPr>
              <w:t>composition of our consolidated statement of condition. Structural liquidity is measured by metrics such as the percentage of total wholesale funds to consolidated total assets, and the percentage of non-government investment securities to client deposits.</w:t>
            </w:r>
            <w:r>
              <w:rPr>
                <w:rFonts w:ascii="Arial" w:eastAsia="宋体" w:hAnsi="Arial" w:cs="Arial"/>
                <w:sz w:val="20"/>
                <w:szCs w:val="20"/>
              </w:rPr>
              <w:t xml:space="preserve"> In addition, on a regular basis and as described below, our structural liquidity is evaluated under various stress scenarios.</w:t>
            </w:r>
          </w:p>
        </w:tc>
      </w:tr>
    </w:tbl>
    <w:p w14:paraId="5556980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80C" w14:textId="77777777">
        <w:trPr>
          <w:tblCellSpacing w:w="0" w:type="dxa"/>
        </w:trPr>
        <w:tc>
          <w:tcPr>
            <w:tcW w:w="960" w:type="dxa"/>
            <w:shd w:val="clear" w:color="auto" w:fill="auto"/>
            <w:vAlign w:val="center"/>
          </w:tcPr>
          <w:p w14:paraId="5556980A" w14:textId="77777777" w:rsidR="00F925DD" w:rsidRDefault="00F925DD">
            <w:pPr>
              <w:rPr>
                <w:rFonts w:ascii="Times New Roman" w:hAnsi="Times New Roman"/>
                <w:sz w:val="20"/>
                <w:szCs w:val="20"/>
              </w:rPr>
            </w:pPr>
          </w:p>
        </w:tc>
        <w:tc>
          <w:tcPr>
            <w:tcW w:w="0" w:type="auto"/>
            <w:shd w:val="clear" w:color="auto" w:fill="auto"/>
            <w:vAlign w:val="center"/>
          </w:tcPr>
          <w:p w14:paraId="5556980B" w14:textId="77777777" w:rsidR="00F925DD" w:rsidRDefault="00F925DD">
            <w:pPr>
              <w:rPr>
                <w:rFonts w:ascii="Times New Roman" w:hAnsi="Times New Roman"/>
                <w:sz w:val="20"/>
                <w:szCs w:val="20"/>
              </w:rPr>
            </w:pPr>
          </w:p>
        </w:tc>
      </w:tr>
      <w:tr w:rsidR="00F925DD" w14:paraId="5556980F" w14:textId="77777777">
        <w:trPr>
          <w:tblCellSpacing w:w="0" w:type="dxa"/>
        </w:trPr>
        <w:tc>
          <w:tcPr>
            <w:tcW w:w="0" w:type="auto"/>
            <w:shd w:val="clear" w:color="auto" w:fill="auto"/>
          </w:tcPr>
          <w:p w14:paraId="5556980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0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Tactical liquidity management addresses our day-to-day funding requirements and is largely driven by changes in our primar</w:t>
            </w:r>
            <w:r>
              <w:rPr>
                <w:rFonts w:ascii="Arial" w:eastAsia="宋体" w:hAnsi="Arial" w:cs="Arial"/>
                <w:sz w:val="20"/>
                <w:szCs w:val="20"/>
              </w:rPr>
              <w:t>y source of funding, which are client deposits. Fluctuations in client deposits may be supplemented with short-term borrowings, repurchase agreements, FHLB products and certificates of deposit.</w:t>
            </w:r>
          </w:p>
        </w:tc>
      </w:tr>
    </w:tbl>
    <w:p w14:paraId="55569810"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813" w14:textId="77777777">
        <w:trPr>
          <w:tblCellSpacing w:w="0" w:type="dxa"/>
        </w:trPr>
        <w:tc>
          <w:tcPr>
            <w:tcW w:w="960" w:type="dxa"/>
            <w:shd w:val="clear" w:color="auto" w:fill="auto"/>
            <w:vAlign w:val="center"/>
          </w:tcPr>
          <w:p w14:paraId="55569811" w14:textId="77777777" w:rsidR="00F925DD" w:rsidRDefault="00F925DD">
            <w:pPr>
              <w:rPr>
                <w:rFonts w:ascii="Times New Roman" w:hAnsi="Times New Roman"/>
                <w:sz w:val="20"/>
                <w:szCs w:val="20"/>
              </w:rPr>
            </w:pPr>
          </w:p>
        </w:tc>
        <w:tc>
          <w:tcPr>
            <w:tcW w:w="0" w:type="auto"/>
            <w:shd w:val="clear" w:color="auto" w:fill="auto"/>
            <w:vAlign w:val="center"/>
          </w:tcPr>
          <w:p w14:paraId="55569812" w14:textId="77777777" w:rsidR="00F925DD" w:rsidRDefault="00F925DD">
            <w:pPr>
              <w:rPr>
                <w:rFonts w:ascii="Times New Roman" w:hAnsi="Times New Roman"/>
                <w:sz w:val="20"/>
                <w:szCs w:val="20"/>
              </w:rPr>
            </w:pPr>
          </w:p>
        </w:tc>
      </w:tr>
      <w:tr w:rsidR="00F925DD" w14:paraId="55569816" w14:textId="77777777">
        <w:trPr>
          <w:tblCellSpacing w:w="0" w:type="dxa"/>
        </w:trPr>
        <w:tc>
          <w:tcPr>
            <w:tcW w:w="0" w:type="auto"/>
            <w:shd w:val="clear" w:color="auto" w:fill="auto"/>
          </w:tcPr>
          <w:p w14:paraId="5556981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1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Stress testing and contingent funding planning are longer-term strategic liquidity risk management practices. Regular and ad hoc liquidity stress testing are performed under various severe but plausible scenarios at the consolidated level and at significan</w:t>
            </w:r>
            <w:r>
              <w:rPr>
                <w:rFonts w:ascii="Arial" w:eastAsia="宋体" w:hAnsi="Arial" w:cs="Arial"/>
                <w:sz w:val="20"/>
                <w:szCs w:val="20"/>
              </w:rPr>
              <w:t>t subsidiaries, including State Street Bank. These tests contemplate severe market and events specific to us under various time horizons and severities. Tests contemplate the impact of material changes in key funding sources, credit ratings, additional col</w:t>
            </w:r>
            <w:r>
              <w:rPr>
                <w:rFonts w:ascii="Arial" w:eastAsia="宋体" w:hAnsi="Arial" w:cs="Arial"/>
                <w:sz w:val="20"/>
                <w:szCs w:val="20"/>
              </w:rPr>
              <w:t>lateral requirements, contingent uses of funding, systemic shocks to the financial markets and operational failures based on market and assumptions specific to us. The stress tests evaluate the required level of funding versus available sources in an adver</w:t>
            </w:r>
            <w:r>
              <w:rPr>
                <w:rFonts w:ascii="Arial" w:eastAsia="宋体" w:hAnsi="Arial" w:cs="Arial"/>
                <w:sz w:val="20"/>
                <w:szCs w:val="20"/>
              </w:rPr>
              <w:t xml:space="preserve">se environment. As stress testing contemplates potential forward-looking scenarios, results also serve </w:t>
            </w:r>
          </w:p>
        </w:tc>
      </w:tr>
    </w:tbl>
    <w:p w14:paraId="55569817"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818"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as a trigger to activate specific liquidity stress levels and contingent funding actions.</w:t>
      </w:r>
    </w:p>
    <w:p w14:paraId="5556981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CFPs are designed to assist senior management with </w:t>
      </w:r>
      <w:r>
        <w:rPr>
          <w:rFonts w:ascii="Arial" w:eastAsia="宋体" w:hAnsi="Arial" w:cs="Arial"/>
          <w:sz w:val="20"/>
          <w:szCs w:val="20"/>
        </w:rPr>
        <w:t xml:space="preserve">decision-making associated with any contingency funding response to a possible or actual crisis scenario. The CFPs define roles, responsibilities and management actions to be taken in the event of deterioration of our liquidity profile caused by either an </w:t>
      </w:r>
      <w:r>
        <w:rPr>
          <w:rFonts w:ascii="Arial" w:eastAsia="宋体" w:hAnsi="Arial" w:cs="Arial"/>
          <w:sz w:val="20"/>
          <w:szCs w:val="20"/>
        </w:rPr>
        <w:t>event specific to us or a broader disruption in the capital markets. Specific actions are linked to the level of stress indicated by these measures or by management judgment of market conditions.</w:t>
      </w:r>
    </w:p>
    <w:p w14:paraId="5556981A"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Liquidity Risk Metrics</w:t>
      </w:r>
    </w:p>
    <w:p w14:paraId="5556981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managing our liquidity, we employ </w:t>
      </w:r>
      <w:r>
        <w:rPr>
          <w:rFonts w:ascii="Arial" w:eastAsia="宋体" w:hAnsi="Arial" w:cs="Arial"/>
          <w:sz w:val="20"/>
          <w:szCs w:val="20"/>
        </w:rPr>
        <w:t xml:space="preserve">early warning indicators and metrics. Early warning indicators are intended to detect situations which may result in a liquidity stress, including changes in our common stock price and the spread on our long-term debt. Additional metrics that are critical </w:t>
      </w:r>
      <w:r>
        <w:rPr>
          <w:rFonts w:ascii="Arial" w:eastAsia="宋体" w:hAnsi="Arial" w:cs="Arial"/>
          <w:sz w:val="20"/>
          <w:szCs w:val="20"/>
        </w:rPr>
        <w:t>to the management of our consolidated statement of condition and monitored as part of our routine liquidity management include measures of our fungible cash position, purchased wholesale funds, unencumbered liquid assets, deposits and the total of investme</w:t>
      </w:r>
      <w:r>
        <w:rPr>
          <w:rFonts w:ascii="Arial" w:eastAsia="宋体" w:hAnsi="Arial" w:cs="Arial"/>
          <w:sz w:val="20"/>
          <w:szCs w:val="20"/>
        </w:rPr>
        <w:t>nt securities and loans as a percentage of total client deposits.</w:t>
      </w:r>
    </w:p>
    <w:p w14:paraId="5556981C"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Asset Liquidity</w:t>
      </w:r>
    </w:p>
    <w:p w14:paraId="5556981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Central to the management of our liquidity is asset liquidity, which consists primarily of HQLA. HQLA is the amount of liquid assets that qualify for inclusion in the LCR. As</w:t>
      </w:r>
      <w:r>
        <w:rPr>
          <w:rFonts w:ascii="Arial" w:eastAsia="宋体" w:hAnsi="Arial" w:cs="Arial"/>
          <w:sz w:val="20"/>
          <w:szCs w:val="20"/>
        </w:rPr>
        <w:t xml:space="preserve"> a banking organization, we are subject to a minimum LCR under the LCR rule approved by U.S. banking regulators. The LCR is intended to promote the short-term resilience of internationally active banking organizations, like us, to improve the banking indus</w:t>
      </w:r>
      <w:r>
        <w:rPr>
          <w:rFonts w:ascii="Arial" w:eastAsia="宋体" w:hAnsi="Arial" w:cs="Arial"/>
          <w:sz w:val="20"/>
          <w:szCs w:val="20"/>
        </w:rPr>
        <w:t>try's ability to absorb shocks arising from market stress over a 30 calendar day period and improve the measurement and management of liquidity risk. The LCR measures an institution’s HQLA against its net cash outflows. HQLA primarily consists of unencumbe</w:t>
      </w:r>
      <w:r>
        <w:rPr>
          <w:rFonts w:ascii="Arial" w:eastAsia="宋体" w:hAnsi="Arial" w:cs="Arial"/>
          <w:sz w:val="20"/>
          <w:szCs w:val="20"/>
        </w:rPr>
        <w:t>red cash and certain high quality liquid securities that qualify for inclusion under the LCR rule. The LCR was fully implemented beginning on January 1, 2017. We report LCR to the Federal Reserve daily. For the quarters ended December 31, 2019 and December</w:t>
      </w:r>
      <w:r>
        <w:rPr>
          <w:rFonts w:ascii="Arial" w:eastAsia="宋体" w:hAnsi="Arial" w:cs="Arial"/>
          <w:sz w:val="20"/>
          <w:szCs w:val="20"/>
        </w:rPr>
        <w:t xml:space="preserve"> 31, 2018, daily average LCR for the Parent Company was 110% and 108%, respectively. The average HQLA for the Parent Company under the LCR final rule definition was $100.23 billion and $91.67 billion, post-prescribed haircuts, for the quarters ended Decemb</w:t>
      </w:r>
      <w:r>
        <w:rPr>
          <w:rFonts w:ascii="Arial" w:eastAsia="宋体" w:hAnsi="Arial" w:cs="Arial"/>
          <w:sz w:val="20"/>
          <w:szCs w:val="20"/>
        </w:rPr>
        <w:t xml:space="preserve">er 31, 2019 and December 31, 2018, respectively. The increase in average HQLA for the quarter ended December 31, 2019, compared to the quarter ended December 31, 2018, was primarily a result of an increase in HQLA purchases as part of the repositioning of </w:t>
      </w:r>
      <w:r>
        <w:rPr>
          <w:rFonts w:ascii="Arial" w:eastAsia="宋体" w:hAnsi="Arial" w:cs="Arial"/>
          <w:sz w:val="20"/>
          <w:szCs w:val="20"/>
        </w:rPr>
        <w:t>the investment portfolio.</w:t>
      </w:r>
    </w:p>
    <w:p w14:paraId="5556981E" w14:textId="77777777" w:rsidR="00F925DD" w:rsidRDefault="00F925DD">
      <w:pPr>
        <w:rPr>
          <w:rFonts w:ascii="Times New Roman" w:hAnsi="Times New Roman"/>
          <w:sz w:val="20"/>
          <w:szCs w:val="20"/>
        </w:rPr>
      </w:pPr>
    </w:p>
    <w:p w14:paraId="5556981F"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90</w:t>
      </w:r>
    </w:p>
    <w:p w14:paraId="55569820" w14:textId="77777777" w:rsidR="00F925DD" w:rsidRDefault="00F925DD">
      <w:pPr>
        <w:spacing w:line="288" w:lineRule="auto"/>
        <w:ind w:firstLine="600"/>
        <w:jc w:val="center"/>
        <w:rPr>
          <w:rFonts w:ascii="Times New Roman" w:hAnsi="Times New Roman"/>
          <w:sz w:val="18"/>
          <w:szCs w:val="18"/>
        </w:rPr>
      </w:pPr>
    </w:p>
    <w:p w14:paraId="55569821" w14:textId="77777777" w:rsidR="00F925DD" w:rsidRDefault="00E705D7">
      <w:r>
        <w:rPr>
          <w:rFonts w:ascii="Times New Roman" w:hAnsi="Times New Roman"/>
          <w:sz w:val="18"/>
          <w:szCs w:val="18"/>
        </w:rPr>
        <w:pict w14:anchorId="55570694">
          <v:rect id="_x0000_i1114" style="width:415.3pt;height:1.5pt" o:hralign="center" o:hrstd="t" o:hr="t" fillcolor="#a0a0a0" stroked="f"/>
        </w:pict>
      </w:r>
    </w:p>
    <w:p w14:paraId="55569822"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82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824" w14:textId="77777777" w:rsidR="00F925DD" w:rsidRDefault="00F925DD">
      <w:pPr>
        <w:rPr>
          <w:rFonts w:ascii="Times New Roman" w:hAnsi="Times New Roman"/>
          <w:sz w:val="20"/>
          <w:szCs w:val="20"/>
        </w:rPr>
      </w:pPr>
    </w:p>
    <w:p w14:paraId="5556982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maintained average cash balances in excess of regulatory requirements governing deposits with the </w:t>
      </w:r>
      <w:r>
        <w:rPr>
          <w:rFonts w:ascii="Arial" w:eastAsia="宋体" w:hAnsi="Arial" w:cs="Arial"/>
          <w:sz w:val="20"/>
          <w:szCs w:val="20"/>
        </w:rPr>
        <w:t>Federal Reserve of approximately $41.56 billion at the Federal Reserve, the ECB and other non-U.S. central banks as of December 31, 2019, compared to $44.17 billion as of December 31, 2018. The lower levels of average cash balances with central banks refle</w:t>
      </w:r>
      <w:r>
        <w:rPr>
          <w:rFonts w:ascii="Arial" w:eastAsia="宋体" w:hAnsi="Arial" w:cs="Arial"/>
          <w:sz w:val="20"/>
          <w:szCs w:val="20"/>
        </w:rPr>
        <w:t>ct an increase in the investment portfolio.</w:t>
      </w:r>
    </w:p>
    <w:p w14:paraId="5556982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Liquid securities carried in our asset liquidity include securities pledged without corresponding advances from the Federal Reserve Bank of Boston (FRBB), the FHLB, and other non-U.S. central banks. State Street </w:t>
      </w:r>
      <w:r>
        <w:rPr>
          <w:rFonts w:ascii="Arial" w:eastAsia="宋体" w:hAnsi="Arial" w:cs="Arial"/>
          <w:sz w:val="20"/>
          <w:szCs w:val="20"/>
        </w:rPr>
        <w:t>Bank is a member of the FHLB. This membership allows for advances of liquidity in varying terms against high-quality collateral, which helps facilitate asset-and-liability management. As of December 31, 2019, we had no outstanding borrowings from the FHLB.</w:t>
      </w:r>
      <w:r>
        <w:rPr>
          <w:rFonts w:ascii="Arial" w:eastAsia="宋体" w:hAnsi="Arial" w:cs="Arial"/>
          <w:sz w:val="20"/>
          <w:szCs w:val="20"/>
        </w:rPr>
        <w:t xml:space="preserve"> As of December 31, 2018, we had approximately $2 billion of outstanding borrowings from the FHLB.</w:t>
      </w:r>
    </w:p>
    <w:p w14:paraId="5556982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Access to primary, intra-day and contingent liquidity provided by these utilities is an important source of contingent liquidity with utilization subject to </w:t>
      </w:r>
      <w:r>
        <w:rPr>
          <w:rFonts w:ascii="Arial" w:eastAsia="宋体" w:hAnsi="Arial" w:cs="Arial"/>
          <w:sz w:val="20"/>
          <w:szCs w:val="20"/>
        </w:rPr>
        <w:t>underlying conditions. As of December 31, 2019 and December 31, 2018, we had no outstanding primary credit borrowings from the FRBB discount window or any other central bank facility.</w:t>
      </w:r>
    </w:p>
    <w:p w14:paraId="5556982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to the securities included in our asset liquidity, we have s</w:t>
      </w:r>
      <w:r>
        <w:rPr>
          <w:rFonts w:ascii="Arial" w:eastAsia="宋体" w:hAnsi="Arial" w:cs="Arial"/>
          <w:sz w:val="20"/>
          <w:szCs w:val="20"/>
        </w:rPr>
        <w:t>ignificant amounts of other unencumbered investment securities. These securities are available sources of liquidity, although not as rapidly deployed as those included in our asset liquidity.</w:t>
      </w:r>
    </w:p>
    <w:p w14:paraId="5556982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average fair value of total unencumbered securities was $76.</w:t>
      </w:r>
      <w:r>
        <w:rPr>
          <w:rFonts w:ascii="Arial" w:eastAsia="宋体" w:hAnsi="Arial" w:cs="Arial"/>
          <w:sz w:val="20"/>
          <w:szCs w:val="20"/>
        </w:rPr>
        <w:t>94 billion for the quarter ended December 31, 2019, compared to $65.94 billion for the quarter ended December 31, 2018.</w:t>
      </w:r>
    </w:p>
    <w:p w14:paraId="5556982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Measures of liquidity include LCR and NSFR, which are described in "Supervision and Regulation" in Business in this Form 10-K.</w:t>
      </w:r>
    </w:p>
    <w:p w14:paraId="5556982B"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Uses of L</w:t>
      </w:r>
      <w:r>
        <w:rPr>
          <w:rFonts w:ascii="Arial" w:eastAsia="宋体" w:hAnsi="Arial" w:cs="Arial"/>
          <w:b/>
          <w:bCs/>
          <w:i/>
          <w:iCs/>
          <w:color w:val="000000"/>
          <w:sz w:val="20"/>
          <w:szCs w:val="20"/>
        </w:rPr>
        <w:t>iquidity</w:t>
      </w:r>
    </w:p>
    <w:p w14:paraId="5556982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Significant uses of our liquidity could result from the following: withdrawals of client deposits; draw-downs by our custody clients of lines of credit; advances to clients to settle securities transactions; or other permitted purposes. Such circu</w:t>
      </w:r>
      <w:r>
        <w:rPr>
          <w:rFonts w:ascii="Arial" w:eastAsia="宋体" w:hAnsi="Arial" w:cs="Arial"/>
          <w:sz w:val="20"/>
          <w:szCs w:val="20"/>
        </w:rPr>
        <w:t>mstances would generally arise under stress conditions including deterioration in credit ratings. A recurring use of our liquidity involves our deployment of HQLA from our investment portfolio to post collateral to financial institutions serving as sources</w:t>
      </w:r>
      <w:r>
        <w:rPr>
          <w:rFonts w:ascii="Arial" w:eastAsia="宋体" w:hAnsi="Arial" w:cs="Arial"/>
          <w:sz w:val="20"/>
          <w:szCs w:val="20"/>
        </w:rPr>
        <w:t xml:space="preserve"> of securities under our enhanced custody program.</w:t>
      </w:r>
    </w:p>
    <w:p w14:paraId="5556982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had unfunded commitments to extend credit with gross contractual amounts totaling $29.70 billion and $28.95 billion and standby letters of credit totaling $3.32 billion and $2.99 billion as of December </w:t>
      </w:r>
      <w:r>
        <w:rPr>
          <w:rFonts w:ascii="Arial" w:eastAsia="宋体" w:hAnsi="Arial" w:cs="Arial"/>
          <w:sz w:val="20"/>
          <w:szCs w:val="20"/>
        </w:rPr>
        <w:t xml:space="preserve">31, 2019 </w:t>
      </w:r>
    </w:p>
    <w:p w14:paraId="5556982E"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82F"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and December 31, 2018, respectively. These amounts do not reflect the value of any collateral. As of December 31, 2019, approximately 73% of our unfunded commitments to extend credit and 10% of our standby letters of credit expire within one ye</w:t>
      </w:r>
      <w:r>
        <w:rPr>
          <w:rFonts w:ascii="Arial" w:eastAsia="宋体" w:hAnsi="Arial" w:cs="Arial"/>
          <w:sz w:val="20"/>
          <w:szCs w:val="20"/>
        </w:rPr>
        <w:t>ar. Since many of our commitments are expected to expire or renew without being drawn upon, the gross contractual amounts do not necessarily represent our future cash requirements.</w:t>
      </w:r>
    </w:p>
    <w:p w14:paraId="5556983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Information about our resolution planning and the impact actions under our </w:t>
      </w:r>
      <w:r>
        <w:rPr>
          <w:rFonts w:ascii="Arial" w:eastAsia="宋体" w:hAnsi="Arial" w:cs="Arial"/>
          <w:sz w:val="20"/>
          <w:szCs w:val="20"/>
        </w:rPr>
        <w:t>resolution plans could have on our liquidity is provided in "Supervision and Regulation" in Business in this Form 10-K.</w:t>
      </w:r>
    </w:p>
    <w:p w14:paraId="55569831" w14:textId="77777777" w:rsidR="00F925DD" w:rsidRDefault="00E705D7">
      <w:pPr>
        <w:spacing w:line="288" w:lineRule="auto"/>
        <w:rPr>
          <w:rFonts w:ascii="Times New Roman" w:hAnsi="Times New Roman"/>
          <w:sz w:val="20"/>
          <w:szCs w:val="20"/>
        </w:rPr>
      </w:pPr>
      <w:r>
        <w:rPr>
          <w:rFonts w:ascii="Arial" w:eastAsia="宋体" w:hAnsi="Arial" w:cs="Arial"/>
          <w:b/>
          <w:bCs/>
          <w:i/>
          <w:iCs/>
          <w:sz w:val="20"/>
          <w:szCs w:val="20"/>
        </w:rPr>
        <w:t>Funding</w:t>
      </w:r>
    </w:p>
    <w:p w14:paraId="55569832" w14:textId="77777777" w:rsidR="00F925DD" w:rsidRDefault="00E705D7">
      <w:pPr>
        <w:spacing w:line="288" w:lineRule="auto"/>
        <w:rPr>
          <w:rFonts w:ascii="Times New Roman" w:hAnsi="Times New Roman"/>
          <w:sz w:val="20"/>
          <w:szCs w:val="20"/>
        </w:rPr>
      </w:pPr>
      <w:r>
        <w:rPr>
          <w:rFonts w:ascii="Arial" w:eastAsia="宋体" w:hAnsi="Arial" w:cs="Arial"/>
          <w:i/>
          <w:iCs/>
          <w:sz w:val="20"/>
          <w:szCs w:val="20"/>
        </w:rPr>
        <w:t>Deposits</w:t>
      </w:r>
    </w:p>
    <w:p w14:paraId="5556983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provide products and services including custody, accounting, administration, daily pricing, FX services, cash </w:t>
      </w:r>
      <w:r>
        <w:rPr>
          <w:rFonts w:ascii="Arial" w:eastAsia="宋体" w:hAnsi="Arial" w:cs="Arial"/>
          <w:sz w:val="20"/>
          <w:szCs w:val="20"/>
        </w:rPr>
        <w:t>management, financial asset management, securities finance and investment advisory services. As a provider of these products and services, we generate client deposits, which have generally provided a stable, low-cost source of funds. As a global custodian,</w:t>
      </w:r>
      <w:r>
        <w:rPr>
          <w:rFonts w:ascii="Arial" w:eastAsia="宋体" w:hAnsi="Arial" w:cs="Arial"/>
          <w:sz w:val="20"/>
          <w:szCs w:val="20"/>
        </w:rPr>
        <w:t xml:space="preserve"> clients place deposits with our entities in various currencies. As of both December 31, 2019 and December 31, 2018, approximately 60% of our average total deposit balances were denominated in U.S. dollars, approximately 20% in EUR, 10% in GBP and 10% in a</w:t>
      </w:r>
      <w:r>
        <w:rPr>
          <w:rFonts w:ascii="Arial" w:eastAsia="宋体" w:hAnsi="Arial" w:cs="Arial"/>
          <w:sz w:val="20"/>
          <w:szCs w:val="20"/>
        </w:rPr>
        <w:t>ll other currencies.</w:t>
      </w:r>
    </w:p>
    <w:p w14:paraId="55569834" w14:textId="77777777" w:rsidR="00F925DD" w:rsidRDefault="00E705D7">
      <w:pPr>
        <w:spacing w:line="288" w:lineRule="auto"/>
        <w:rPr>
          <w:rFonts w:ascii="Times New Roman" w:hAnsi="Times New Roman"/>
          <w:sz w:val="20"/>
          <w:szCs w:val="20"/>
        </w:rPr>
      </w:pPr>
      <w:r>
        <w:rPr>
          <w:rFonts w:ascii="Arial" w:eastAsia="宋体" w:hAnsi="Arial" w:cs="Arial"/>
          <w:i/>
          <w:iCs/>
          <w:sz w:val="20"/>
          <w:szCs w:val="20"/>
        </w:rPr>
        <w:t>Short-Term Funding</w:t>
      </w:r>
    </w:p>
    <w:p w14:paraId="5556983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on-balance sheet liquid assets are also an integral component of our liquidity management strategy. These assets provide liquidity through maturities of the assets, but more importantly, they provide us with the </w:t>
      </w:r>
      <w:r>
        <w:rPr>
          <w:rFonts w:ascii="Arial" w:eastAsia="宋体" w:hAnsi="Arial" w:cs="Arial"/>
          <w:sz w:val="20"/>
          <w:szCs w:val="20"/>
        </w:rPr>
        <w:t>ability to raise funds by pledging the securities as collateral for borrowings or through outright sales. In addition, our access to the global capital markets gives us the ability to source incremental funding from wholesale investors. As discussed earlie</w:t>
      </w:r>
      <w:r>
        <w:rPr>
          <w:rFonts w:ascii="Arial" w:eastAsia="宋体" w:hAnsi="Arial" w:cs="Arial"/>
          <w:sz w:val="20"/>
          <w:szCs w:val="20"/>
        </w:rPr>
        <w:t>r under “Asset Liquidity,” State Street Bank's membership in the FHLB allows for advances of liquidity with varying terms against high-quality collateral.</w:t>
      </w:r>
    </w:p>
    <w:p w14:paraId="5556983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Short-term secured funding also comes in the form of securities lent or sold under agreements to repu</w:t>
      </w:r>
      <w:r>
        <w:rPr>
          <w:rFonts w:ascii="Arial" w:eastAsia="宋体" w:hAnsi="Arial" w:cs="Arial"/>
          <w:sz w:val="20"/>
          <w:szCs w:val="20"/>
        </w:rPr>
        <w:t>rchase. These transactions are short-term in nature, generally overnight and are collateralized by high-quality investment securities. These balances were $1.10 billion and $1.08 billion as of December 31, 2019 and December 31, 2018, respectively.</w:t>
      </w:r>
    </w:p>
    <w:p w14:paraId="55569837" w14:textId="77777777" w:rsidR="00F925DD" w:rsidRDefault="00F925DD">
      <w:pPr>
        <w:rPr>
          <w:rFonts w:ascii="Times New Roman" w:hAnsi="Times New Roman"/>
          <w:sz w:val="20"/>
          <w:szCs w:val="20"/>
        </w:rPr>
      </w:pPr>
    </w:p>
    <w:p w14:paraId="55569838"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w:t>
      </w:r>
      <w:r>
        <w:rPr>
          <w:rFonts w:ascii="Arial" w:eastAsia="宋体" w:hAnsi="Arial" w:cs="Arial"/>
          <w:sz w:val="18"/>
          <w:szCs w:val="18"/>
        </w:rPr>
        <w:t>treet Corporation | 91</w:t>
      </w:r>
    </w:p>
    <w:p w14:paraId="55569839" w14:textId="77777777" w:rsidR="00F925DD" w:rsidRDefault="00F925DD">
      <w:pPr>
        <w:spacing w:line="288" w:lineRule="auto"/>
        <w:ind w:firstLine="600"/>
        <w:jc w:val="center"/>
        <w:rPr>
          <w:rFonts w:ascii="Times New Roman" w:hAnsi="Times New Roman"/>
          <w:sz w:val="18"/>
          <w:szCs w:val="18"/>
        </w:rPr>
      </w:pPr>
    </w:p>
    <w:p w14:paraId="5556983A" w14:textId="77777777" w:rsidR="00F925DD" w:rsidRDefault="00E705D7">
      <w:r>
        <w:rPr>
          <w:rFonts w:ascii="Times New Roman" w:hAnsi="Times New Roman"/>
          <w:sz w:val="18"/>
          <w:szCs w:val="18"/>
        </w:rPr>
        <w:pict w14:anchorId="55570695">
          <v:rect id="_x0000_i1115" style="width:415.3pt;height:1.5pt" o:hralign="center" o:hrstd="t" o:hr="t" fillcolor="#a0a0a0" stroked="f"/>
        </w:pict>
      </w:r>
    </w:p>
    <w:p w14:paraId="5556983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83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83D" w14:textId="77777777" w:rsidR="00F925DD" w:rsidRDefault="00F925DD">
      <w:pPr>
        <w:rPr>
          <w:rFonts w:ascii="Times New Roman" w:hAnsi="Times New Roman"/>
          <w:sz w:val="20"/>
          <w:szCs w:val="20"/>
        </w:rPr>
      </w:pPr>
    </w:p>
    <w:p w14:paraId="5556983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State Street Bank currently maintains a line of credit with a financial institution of CAD $1.40 billion, or approximately $1.08 </w:t>
      </w:r>
      <w:r>
        <w:rPr>
          <w:rFonts w:ascii="Arial" w:eastAsia="宋体" w:hAnsi="Arial" w:cs="Arial"/>
          <w:sz w:val="20"/>
          <w:szCs w:val="20"/>
        </w:rPr>
        <w:t>billion, as of December 31, 2019, to support its Canadian securities processing operations. The line of credit has no stated termination date and is cancelable by either party with prior notice. As of both December 31, 2019 and December 31, 2018, there was</w:t>
      </w:r>
      <w:r>
        <w:rPr>
          <w:rFonts w:ascii="Arial" w:eastAsia="宋体" w:hAnsi="Arial" w:cs="Arial"/>
          <w:sz w:val="20"/>
          <w:szCs w:val="20"/>
        </w:rPr>
        <w:t xml:space="preserve"> no balance outstanding on this line of credit.</w:t>
      </w:r>
    </w:p>
    <w:p w14:paraId="5556983F" w14:textId="77777777" w:rsidR="00F925DD" w:rsidRDefault="00E705D7">
      <w:pPr>
        <w:spacing w:line="288" w:lineRule="auto"/>
        <w:rPr>
          <w:rFonts w:ascii="Times New Roman" w:hAnsi="Times New Roman"/>
          <w:sz w:val="20"/>
          <w:szCs w:val="20"/>
        </w:rPr>
      </w:pPr>
      <w:r>
        <w:rPr>
          <w:rFonts w:ascii="Arial" w:eastAsia="宋体" w:hAnsi="Arial" w:cs="Arial"/>
          <w:i/>
          <w:iCs/>
          <w:sz w:val="20"/>
          <w:szCs w:val="20"/>
        </w:rPr>
        <w:t>Long-Term Funding</w:t>
      </w:r>
    </w:p>
    <w:p w14:paraId="5556984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the ability to issue debt and equity securities under our current universal shelf registration statement to meet current commitments and business needs, including accommodating the t</w:t>
      </w:r>
      <w:r>
        <w:rPr>
          <w:rFonts w:ascii="Arial" w:eastAsia="宋体" w:hAnsi="Arial" w:cs="Arial"/>
          <w:sz w:val="20"/>
          <w:szCs w:val="20"/>
        </w:rPr>
        <w:t xml:space="preserve">ransaction and cash management needs of our clients. In addition, State Street Bank also has current authorization from the Board to issue up to $5 billion in unsecured senior debt and an additional $500 million of subordinated debt. </w:t>
      </w:r>
    </w:p>
    <w:p w14:paraId="5556984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On January 24, 2020, </w:t>
      </w:r>
      <w:r>
        <w:rPr>
          <w:rFonts w:ascii="Arial" w:eastAsia="宋体" w:hAnsi="Arial" w:cs="Arial"/>
          <w:sz w:val="20"/>
          <w:szCs w:val="20"/>
        </w:rPr>
        <w:t>we issued $750 million aggregate principal amount of 2.400% Senior Notes due 2030 in a public offering.</w:t>
      </w:r>
    </w:p>
    <w:p w14:paraId="5556984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sz w:val="20"/>
          <w:szCs w:val="20"/>
        </w:rPr>
        <w:t>Agency Credit Ratings</w:t>
      </w:r>
    </w:p>
    <w:p w14:paraId="5556984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ability to maintain consistent access to liquidity is fostered by the maintenance of high investment grade ratings as measured</w:t>
      </w:r>
      <w:r>
        <w:rPr>
          <w:rFonts w:ascii="Arial" w:eastAsia="宋体" w:hAnsi="Arial" w:cs="Arial"/>
          <w:sz w:val="20"/>
          <w:szCs w:val="20"/>
        </w:rPr>
        <w:t xml:space="preserve"> by the major independent credit rating agencies. Factors essential to maintaining high credit ratings include:</w:t>
      </w:r>
    </w:p>
    <w:tbl>
      <w:tblPr>
        <w:tblW w:w="0" w:type="auto"/>
        <w:tblCellSpacing w:w="0" w:type="dxa"/>
        <w:tblCellMar>
          <w:left w:w="0" w:type="dxa"/>
          <w:right w:w="0" w:type="dxa"/>
        </w:tblCellMar>
        <w:tblLook w:val="04A0" w:firstRow="1" w:lastRow="0" w:firstColumn="1" w:lastColumn="0" w:noHBand="0" w:noVBand="1"/>
      </w:tblPr>
      <w:tblGrid>
        <w:gridCol w:w="960"/>
        <w:gridCol w:w="2947"/>
      </w:tblGrid>
      <w:tr w:rsidR="00F925DD" w14:paraId="55569846" w14:textId="77777777">
        <w:trPr>
          <w:tblCellSpacing w:w="0" w:type="dxa"/>
        </w:trPr>
        <w:tc>
          <w:tcPr>
            <w:tcW w:w="960" w:type="dxa"/>
            <w:shd w:val="clear" w:color="auto" w:fill="auto"/>
            <w:vAlign w:val="center"/>
          </w:tcPr>
          <w:p w14:paraId="55569844" w14:textId="77777777" w:rsidR="00F925DD" w:rsidRDefault="00F925DD">
            <w:pPr>
              <w:rPr>
                <w:rFonts w:ascii="Times New Roman" w:hAnsi="Times New Roman"/>
                <w:sz w:val="20"/>
                <w:szCs w:val="20"/>
              </w:rPr>
            </w:pPr>
          </w:p>
        </w:tc>
        <w:tc>
          <w:tcPr>
            <w:tcW w:w="0" w:type="auto"/>
            <w:shd w:val="clear" w:color="auto" w:fill="auto"/>
            <w:vAlign w:val="center"/>
          </w:tcPr>
          <w:p w14:paraId="55569845" w14:textId="77777777" w:rsidR="00F925DD" w:rsidRDefault="00F925DD">
            <w:pPr>
              <w:rPr>
                <w:rFonts w:ascii="Times New Roman" w:hAnsi="Times New Roman"/>
                <w:sz w:val="20"/>
                <w:szCs w:val="20"/>
              </w:rPr>
            </w:pPr>
          </w:p>
        </w:tc>
      </w:tr>
      <w:tr w:rsidR="00F925DD" w14:paraId="55569849" w14:textId="77777777">
        <w:trPr>
          <w:tblCellSpacing w:w="0" w:type="dxa"/>
        </w:trPr>
        <w:tc>
          <w:tcPr>
            <w:tcW w:w="0" w:type="auto"/>
            <w:shd w:val="clear" w:color="auto" w:fill="auto"/>
          </w:tcPr>
          <w:p w14:paraId="5556984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4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diverse and stable core earnings;</w:t>
            </w:r>
          </w:p>
        </w:tc>
      </w:tr>
    </w:tbl>
    <w:p w14:paraId="5556984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113"/>
      </w:tblGrid>
      <w:tr w:rsidR="00F925DD" w14:paraId="5556984D" w14:textId="77777777">
        <w:trPr>
          <w:tblCellSpacing w:w="0" w:type="dxa"/>
        </w:trPr>
        <w:tc>
          <w:tcPr>
            <w:tcW w:w="960" w:type="dxa"/>
            <w:shd w:val="clear" w:color="auto" w:fill="auto"/>
            <w:vAlign w:val="center"/>
          </w:tcPr>
          <w:p w14:paraId="5556984B" w14:textId="77777777" w:rsidR="00F925DD" w:rsidRDefault="00F925DD">
            <w:pPr>
              <w:rPr>
                <w:rFonts w:ascii="Times New Roman" w:hAnsi="Times New Roman"/>
                <w:sz w:val="20"/>
                <w:szCs w:val="20"/>
              </w:rPr>
            </w:pPr>
          </w:p>
        </w:tc>
        <w:tc>
          <w:tcPr>
            <w:tcW w:w="0" w:type="auto"/>
            <w:shd w:val="clear" w:color="auto" w:fill="auto"/>
            <w:vAlign w:val="center"/>
          </w:tcPr>
          <w:p w14:paraId="5556984C" w14:textId="77777777" w:rsidR="00F925DD" w:rsidRDefault="00F925DD">
            <w:pPr>
              <w:rPr>
                <w:rFonts w:ascii="Times New Roman" w:hAnsi="Times New Roman"/>
                <w:sz w:val="20"/>
                <w:szCs w:val="20"/>
              </w:rPr>
            </w:pPr>
          </w:p>
        </w:tc>
      </w:tr>
      <w:tr w:rsidR="00F925DD" w14:paraId="55569850" w14:textId="77777777">
        <w:trPr>
          <w:tblCellSpacing w:w="0" w:type="dxa"/>
        </w:trPr>
        <w:tc>
          <w:tcPr>
            <w:tcW w:w="0" w:type="auto"/>
            <w:shd w:val="clear" w:color="auto" w:fill="auto"/>
          </w:tcPr>
          <w:p w14:paraId="5556984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4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relative market position;</w:t>
            </w:r>
          </w:p>
        </w:tc>
      </w:tr>
    </w:tbl>
    <w:p w14:paraId="5556985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201"/>
      </w:tblGrid>
      <w:tr w:rsidR="00F925DD" w14:paraId="55569854" w14:textId="77777777">
        <w:trPr>
          <w:tblCellSpacing w:w="0" w:type="dxa"/>
        </w:trPr>
        <w:tc>
          <w:tcPr>
            <w:tcW w:w="960" w:type="dxa"/>
            <w:shd w:val="clear" w:color="auto" w:fill="auto"/>
            <w:vAlign w:val="center"/>
          </w:tcPr>
          <w:p w14:paraId="55569852" w14:textId="77777777" w:rsidR="00F925DD" w:rsidRDefault="00F925DD">
            <w:pPr>
              <w:rPr>
                <w:rFonts w:ascii="Times New Roman" w:hAnsi="Times New Roman"/>
                <w:sz w:val="20"/>
                <w:szCs w:val="20"/>
              </w:rPr>
            </w:pPr>
          </w:p>
        </w:tc>
        <w:tc>
          <w:tcPr>
            <w:tcW w:w="0" w:type="auto"/>
            <w:shd w:val="clear" w:color="auto" w:fill="auto"/>
            <w:vAlign w:val="center"/>
          </w:tcPr>
          <w:p w14:paraId="55569853" w14:textId="77777777" w:rsidR="00F925DD" w:rsidRDefault="00F925DD">
            <w:pPr>
              <w:rPr>
                <w:rFonts w:ascii="Times New Roman" w:hAnsi="Times New Roman"/>
                <w:sz w:val="20"/>
                <w:szCs w:val="20"/>
              </w:rPr>
            </w:pPr>
          </w:p>
        </w:tc>
      </w:tr>
      <w:tr w:rsidR="00F925DD" w14:paraId="55569857" w14:textId="77777777">
        <w:trPr>
          <w:tblCellSpacing w:w="0" w:type="dxa"/>
        </w:trPr>
        <w:tc>
          <w:tcPr>
            <w:tcW w:w="0" w:type="auto"/>
            <w:shd w:val="clear" w:color="auto" w:fill="auto"/>
          </w:tcPr>
          <w:p w14:paraId="5556985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5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strong risk management;</w:t>
            </w:r>
          </w:p>
        </w:tc>
      </w:tr>
    </w:tbl>
    <w:p w14:paraId="5556985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790"/>
      </w:tblGrid>
      <w:tr w:rsidR="00F925DD" w14:paraId="5556985B" w14:textId="77777777">
        <w:trPr>
          <w:tblCellSpacing w:w="0" w:type="dxa"/>
        </w:trPr>
        <w:tc>
          <w:tcPr>
            <w:tcW w:w="960" w:type="dxa"/>
            <w:shd w:val="clear" w:color="auto" w:fill="auto"/>
            <w:vAlign w:val="center"/>
          </w:tcPr>
          <w:p w14:paraId="55569859" w14:textId="77777777" w:rsidR="00F925DD" w:rsidRDefault="00F925DD">
            <w:pPr>
              <w:rPr>
                <w:rFonts w:ascii="Times New Roman" w:hAnsi="Times New Roman"/>
                <w:sz w:val="20"/>
                <w:szCs w:val="20"/>
              </w:rPr>
            </w:pPr>
          </w:p>
        </w:tc>
        <w:tc>
          <w:tcPr>
            <w:tcW w:w="0" w:type="auto"/>
            <w:shd w:val="clear" w:color="auto" w:fill="auto"/>
            <w:vAlign w:val="center"/>
          </w:tcPr>
          <w:p w14:paraId="5556985A" w14:textId="77777777" w:rsidR="00F925DD" w:rsidRDefault="00F925DD">
            <w:pPr>
              <w:rPr>
                <w:rFonts w:ascii="Times New Roman" w:hAnsi="Times New Roman"/>
                <w:sz w:val="20"/>
                <w:szCs w:val="20"/>
              </w:rPr>
            </w:pPr>
          </w:p>
        </w:tc>
      </w:tr>
      <w:tr w:rsidR="00F925DD" w14:paraId="5556985E" w14:textId="77777777">
        <w:trPr>
          <w:tblCellSpacing w:w="0" w:type="dxa"/>
        </w:trPr>
        <w:tc>
          <w:tcPr>
            <w:tcW w:w="0" w:type="auto"/>
            <w:shd w:val="clear" w:color="auto" w:fill="auto"/>
          </w:tcPr>
          <w:p w14:paraId="5556985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5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strong capital ratios;</w:t>
            </w:r>
          </w:p>
        </w:tc>
      </w:tr>
    </w:tbl>
    <w:p w14:paraId="5556985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115"/>
      </w:tblGrid>
      <w:tr w:rsidR="00F925DD" w14:paraId="55569862" w14:textId="77777777">
        <w:trPr>
          <w:tblCellSpacing w:w="0" w:type="dxa"/>
        </w:trPr>
        <w:tc>
          <w:tcPr>
            <w:tcW w:w="960" w:type="dxa"/>
            <w:shd w:val="clear" w:color="auto" w:fill="auto"/>
            <w:vAlign w:val="center"/>
          </w:tcPr>
          <w:p w14:paraId="55569860" w14:textId="77777777" w:rsidR="00F925DD" w:rsidRDefault="00F925DD">
            <w:pPr>
              <w:rPr>
                <w:rFonts w:ascii="Times New Roman" w:hAnsi="Times New Roman"/>
                <w:sz w:val="20"/>
                <w:szCs w:val="20"/>
              </w:rPr>
            </w:pPr>
          </w:p>
        </w:tc>
        <w:tc>
          <w:tcPr>
            <w:tcW w:w="0" w:type="auto"/>
            <w:shd w:val="clear" w:color="auto" w:fill="auto"/>
            <w:vAlign w:val="center"/>
          </w:tcPr>
          <w:p w14:paraId="55569861" w14:textId="77777777" w:rsidR="00F925DD" w:rsidRDefault="00F925DD">
            <w:pPr>
              <w:rPr>
                <w:rFonts w:ascii="Times New Roman" w:hAnsi="Times New Roman"/>
                <w:sz w:val="20"/>
                <w:szCs w:val="20"/>
              </w:rPr>
            </w:pPr>
          </w:p>
        </w:tc>
      </w:tr>
      <w:tr w:rsidR="00F925DD" w14:paraId="55569865" w14:textId="77777777">
        <w:trPr>
          <w:tblCellSpacing w:w="0" w:type="dxa"/>
        </w:trPr>
        <w:tc>
          <w:tcPr>
            <w:tcW w:w="0" w:type="auto"/>
            <w:shd w:val="clear" w:color="auto" w:fill="auto"/>
          </w:tcPr>
          <w:p w14:paraId="5556986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6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diverse liquidity sources, including the global capital markets and client deposits;</w:t>
            </w:r>
          </w:p>
        </w:tc>
      </w:tr>
    </w:tbl>
    <w:p w14:paraId="5556986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769"/>
      </w:tblGrid>
      <w:tr w:rsidR="00F925DD" w14:paraId="55569869" w14:textId="77777777">
        <w:trPr>
          <w:tblCellSpacing w:w="0" w:type="dxa"/>
        </w:trPr>
        <w:tc>
          <w:tcPr>
            <w:tcW w:w="960" w:type="dxa"/>
            <w:shd w:val="clear" w:color="auto" w:fill="auto"/>
            <w:vAlign w:val="center"/>
          </w:tcPr>
          <w:p w14:paraId="55569867" w14:textId="77777777" w:rsidR="00F925DD" w:rsidRDefault="00F925DD">
            <w:pPr>
              <w:rPr>
                <w:rFonts w:ascii="Times New Roman" w:hAnsi="Times New Roman"/>
                <w:sz w:val="20"/>
                <w:szCs w:val="20"/>
              </w:rPr>
            </w:pPr>
          </w:p>
        </w:tc>
        <w:tc>
          <w:tcPr>
            <w:tcW w:w="0" w:type="auto"/>
            <w:shd w:val="clear" w:color="auto" w:fill="auto"/>
            <w:vAlign w:val="center"/>
          </w:tcPr>
          <w:p w14:paraId="55569868" w14:textId="77777777" w:rsidR="00F925DD" w:rsidRDefault="00F925DD">
            <w:pPr>
              <w:rPr>
                <w:rFonts w:ascii="Times New Roman" w:hAnsi="Times New Roman"/>
                <w:sz w:val="20"/>
                <w:szCs w:val="20"/>
              </w:rPr>
            </w:pPr>
          </w:p>
        </w:tc>
      </w:tr>
      <w:tr w:rsidR="00F925DD" w14:paraId="5556986C" w14:textId="77777777">
        <w:trPr>
          <w:tblCellSpacing w:w="0" w:type="dxa"/>
        </w:trPr>
        <w:tc>
          <w:tcPr>
            <w:tcW w:w="0" w:type="auto"/>
            <w:shd w:val="clear" w:color="auto" w:fill="auto"/>
          </w:tcPr>
          <w:p w14:paraId="5556986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6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strong liquidity monitoring procedures; and</w:t>
            </w:r>
          </w:p>
        </w:tc>
      </w:tr>
    </w:tbl>
    <w:p w14:paraId="5556986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92"/>
      </w:tblGrid>
      <w:tr w:rsidR="00F925DD" w14:paraId="55569870" w14:textId="77777777">
        <w:trPr>
          <w:tblCellSpacing w:w="0" w:type="dxa"/>
        </w:trPr>
        <w:tc>
          <w:tcPr>
            <w:tcW w:w="960" w:type="dxa"/>
            <w:shd w:val="clear" w:color="auto" w:fill="auto"/>
            <w:vAlign w:val="center"/>
          </w:tcPr>
          <w:p w14:paraId="5556986E" w14:textId="77777777" w:rsidR="00F925DD" w:rsidRDefault="00F925DD">
            <w:pPr>
              <w:rPr>
                <w:rFonts w:ascii="Times New Roman" w:hAnsi="Times New Roman"/>
                <w:sz w:val="20"/>
                <w:szCs w:val="20"/>
              </w:rPr>
            </w:pPr>
          </w:p>
        </w:tc>
        <w:tc>
          <w:tcPr>
            <w:tcW w:w="0" w:type="auto"/>
            <w:shd w:val="clear" w:color="auto" w:fill="auto"/>
            <w:vAlign w:val="center"/>
          </w:tcPr>
          <w:p w14:paraId="5556986F" w14:textId="77777777" w:rsidR="00F925DD" w:rsidRDefault="00F925DD">
            <w:pPr>
              <w:rPr>
                <w:rFonts w:ascii="Times New Roman" w:hAnsi="Times New Roman"/>
                <w:sz w:val="20"/>
                <w:szCs w:val="20"/>
              </w:rPr>
            </w:pPr>
          </w:p>
        </w:tc>
      </w:tr>
      <w:tr w:rsidR="00F925DD" w14:paraId="55569873" w14:textId="77777777">
        <w:trPr>
          <w:tblCellSpacing w:w="0" w:type="dxa"/>
        </w:trPr>
        <w:tc>
          <w:tcPr>
            <w:tcW w:w="0" w:type="auto"/>
            <w:shd w:val="clear" w:color="auto" w:fill="auto"/>
          </w:tcPr>
          <w:p w14:paraId="5556987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7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preparedness for current or future regulatory developments.</w:t>
            </w:r>
          </w:p>
        </w:tc>
      </w:tr>
    </w:tbl>
    <w:p w14:paraId="5556987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High ratings limit borrowing costs and </w:t>
      </w:r>
      <w:r>
        <w:rPr>
          <w:rFonts w:ascii="Arial" w:eastAsia="宋体" w:hAnsi="Arial" w:cs="Arial"/>
          <w:sz w:val="20"/>
          <w:szCs w:val="20"/>
        </w:rPr>
        <w:t>enhance our liquidity by:</w:t>
      </w:r>
    </w:p>
    <w:tbl>
      <w:tblPr>
        <w:tblW w:w="0" w:type="auto"/>
        <w:tblCellSpacing w:w="0" w:type="dxa"/>
        <w:tblCellMar>
          <w:left w:w="0" w:type="dxa"/>
          <w:right w:w="0" w:type="dxa"/>
        </w:tblCellMar>
        <w:tblLook w:val="04A0" w:firstRow="1" w:lastRow="0" w:firstColumn="1" w:lastColumn="0" w:noHBand="0" w:noVBand="1"/>
      </w:tblPr>
      <w:tblGrid>
        <w:gridCol w:w="960"/>
        <w:gridCol w:w="5204"/>
      </w:tblGrid>
      <w:tr w:rsidR="00F925DD" w14:paraId="55569877" w14:textId="77777777">
        <w:trPr>
          <w:tblCellSpacing w:w="0" w:type="dxa"/>
        </w:trPr>
        <w:tc>
          <w:tcPr>
            <w:tcW w:w="960" w:type="dxa"/>
            <w:shd w:val="clear" w:color="auto" w:fill="auto"/>
            <w:vAlign w:val="center"/>
          </w:tcPr>
          <w:p w14:paraId="55569875" w14:textId="77777777" w:rsidR="00F925DD" w:rsidRDefault="00F925DD">
            <w:pPr>
              <w:rPr>
                <w:rFonts w:ascii="Times New Roman" w:hAnsi="Times New Roman"/>
                <w:sz w:val="20"/>
                <w:szCs w:val="20"/>
              </w:rPr>
            </w:pPr>
          </w:p>
        </w:tc>
        <w:tc>
          <w:tcPr>
            <w:tcW w:w="0" w:type="auto"/>
            <w:shd w:val="clear" w:color="auto" w:fill="auto"/>
            <w:vAlign w:val="center"/>
          </w:tcPr>
          <w:p w14:paraId="55569876" w14:textId="77777777" w:rsidR="00F925DD" w:rsidRDefault="00F925DD">
            <w:pPr>
              <w:rPr>
                <w:rFonts w:ascii="Times New Roman" w:hAnsi="Times New Roman"/>
                <w:sz w:val="20"/>
                <w:szCs w:val="20"/>
              </w:rPr>
            </w:pPr>
          </w:p>
        </w:tc>
      </w:tr>
      <w:tr w:rsidR="00F925DD" w14:paraId="5556987A" w14:textId="77777777">
        <w:trPr>
          <w:tblCellSpacing w:w="0" w:type="dxa"/>
        </w:trPr>
        <w:tc>
          <w:tcPr>
            <w:tcW w:w="0" w:type="auto"/>
            <w:shd w:val="clear" w:color="auto" w:fill="auto"/>
          </w:tcPr>
          <w:p w14:paraId="5556987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7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providing assurance for unsecured funding and depositors;</w:t>
            </w:r>
          </w:p>
        </w:tc>
      </w:tr>
    </w:tbl>
    <w:p w14:paraId="5556987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87E" w14:textId="77777777">
        <w:trPr>
          <w:tblCellSpacing w:w="0" w:type="dxa"/>
        </w:trPr>
        <w:tc>
          <w:tcPr>
            <w:tcW w:w="960" w:type="dxa"/>
            <w:shd w:val="clear" w:color="auto" w:fill="auto"/>
            <w:vAlign w:val="center"/>
          </w:tcPr>
          <w:p w14:paraId="5556987C" w14:textId="77777777" w:rsidR="00F925DD" w:rsidRDefault="00F925DD">
            <w:pPr>
              <w:rPr>
                <w:rFonts w:ascii="Times New Roman" w:hAnsi="Times New Roman"/>
                <w:sz w:val="20"/>
                <w:szCs w:val="20"/>
              </w:rPr>
            </w:pPr>
          </w:p>
        </w:tc>
        <w:tc>
          <w:tcPr>
            <w:tcW w:w="0" w:type="auto"/>
            <w:shd w:val="clear" w:color="auto" w:fill="auto"/>
            <w:vAlign w:val="center"/>
          </w:tcPr>
          <w:p w14:paraId="5556987D" w14:textId="77777777" w:rsidR="00F925DD" w:rsidRDefault="00F925DD">
            <w:pPr>
              <w:rPr>
                <w:rFonts w:ascii="Times New Roman" w:hAnsi="Times New Roman"/>
                <w:sz w:val="20"/>
                <w:szCs w:val="20"/>
              </w:rPr>
            </w:pPr>
          </w:p>
        </w:tc>
      </w:tr>
      <w:tr w:rsidR="00F925DD" w14:paraId="55569881" w14:textId="77777777">
        <w:trPr>
          <w:tblCellSpacing w:w="0" w:type="dxa"/>
        </w:trPr>
        <w:tc>
          <w:tcPr>
            <w:tcW w:w="0" w:type="auto"/>
            <w:shd w:val="clear" w:color="auto" w:fill="auto"/>
          </w:tcPr>
          <w:p w14:paraId="5556987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8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increasing the potential market for our debt and improving our ability to offer products;</w:t>
            </w:r>
          </w:p>
        </w:tc>
      </w:tr>
    </w:tbl>
    <w:p w14:paraId="5556988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857"/>
      </w:tblGrid>
      <w:tr w:rsidR="00F925DD" w14:paraId="55569885" w14:textId="77777777">
        <w:trPr>
          <w:tblCellSpacing w:w="0" w:type="dxa"/>
        </w:trPr>
        <w:tc>
          <w:tcPr>
            <w:tcW w:w="960" w:type="dxa"/>
            <w:shd w:val="clear" w:color="auto" w:fill="auto"/>
            <w:vAlign w:val="center"/>
          </w:tcPr>
          <w:p w14:paraId="55569883" w14:textId="77777777" w:rsidR="00F925DD" w:rsidRDefault="00F925DD">
            <w:pPr>
              <w:rPr>
                <w:rFonts w:ascii="Times New Roman" w:hAnsi="Times New Roman"/>
                <w:sz w:val="20"/>
                <w:szCs w:val="20"/>
              </w:rPr>
            </w:pPr>
          </w:p>
        </w:tc>
        <w:tc>
          <w:tcPr>
            <w:tcW w:w="0" w:type="auto"/>
            <w:shd w:val="clear" w:color="auto" w:fill="auto"/>
            <w:vAlign w:val="center"/>
          </w:tcPr>
          <w:p w14:paraId="55569884" w14:textId="77777777" w:rsidR="00F925DD" w:rsidRDefault="00F925DD">
            <w:pPr>
              <w:rPr>
                <w:rFonts w:ascii="Times New Roman" w:hAnsi="Times New Roman"/>
                <w:sz w:val="20"/>
                <w:szCs w:val="20"/>
              </w:rPr>
            </w:pPr>
          </w:p>
        </w:tc>
      </w:tr>
      <w:tr w:rsidR="00F925DD" w14:paraId="55569888" w14:textId="77777777">
        <w:trPr>
          <w:tblCellSpacing w:w="0" w:type="dxa"/>
        </w:trPr>
        <w:tc>
          <w:tcPr>
            <w:tcW w:w="0" w:type="auto"/>
            <w:shd w:val="clear" w:color="auto" w:fill="auto"/>
          </w:tcPr>
          <w:p w14:paraId="5556988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8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serving markets; and </w:t>
            </w:r>
          </w:p>
        </w:tc>
      </w:tr>
    </w:tbl>
    <w:p w14:paraId="5556988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793"/>
      </w:tblGrid>
      <w:tr w:rsidR="00F925DD" w14:paraId="5556988C" w14:textId="77777777">
        <w:trPr>
          <w:tblCellSpacing w:w="0" w:type="dxa"/>
        </w:trPr>
        <w:tc>
          <w:tcPr>
            <w:tcW w:w="960" w:type="dxa"/>
            <w:shd w:val="clear" w:color="auto" w:fill="auto"/>
            <w:vAlign w:val="center"/>
          </w:tcPr>
          <w:p w14:paraId="5556988A" w14:textId="77777777" w:rsidR="00F925DD" w:rsidRDefault="00F925DD">
            <w:pPr>
              <w:rPr>
                <w:rFonts w:ascii="Times New Roman" w:hAnsi="Times New Roman"/>
                <w:sz w:val="20"/>
                <w:szCs w:val="20"/>
              </w:rPr>
            </w:pPr>
          </w:p>
        </w:tc>
        <w:tc>
          <w:tcPr>
            <w:tcW w:w="0" w:type="auto"/>
            <w:shd w:val="clear" w:color="auto" w:fill="auto"/>
            <w:vAlign w:val="center"/>
          </w:tcPr>
          <w:p w14:paraId="5556988B" w14:textId="77777777" w:rsidR="00F925DD" w:rsidRDefault="00F925DD">
            <w:pPr>
              <w:rPr>
                <w:rFonts w:ascii="Times New Roman" w:hAnsi="Times New Roman"/>
                <w:sz w:val="20"/>
                <w:szCs w:val="20"/>
              </w:rPr>
            </w:pPr>
          </w:p>
        </w:tc>
      </w:tr>
      <w:tr w:rsidR="00F925DD" w14:paraId="5556988F" w14:textId="77777777">
        <w:trPr>
          <w:tblCellSpacing w:w="0" w:type="dxa"/>
        </w:trPr>
        <w:tc>
          <w:tcPr>
            <w:tcW w:w="0" w:type="auto"/>
            <w:shd w:val="clear" w:color="auto" w:fill="auto"/>
          </w:tcPr>
          <w:p w14:paraId="5556988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88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engaging in </w:t>
            </w:r>
            <w:r>
              <w:rPr>
                <w:rFonts w:ascii="Arial" w:eastAsia="宋体" w:hAnsi="Arial" w:cs="Arial"/>
                <w:sz w:val="20"/>
                <w:szCs w:val="20"/>
              </w:rPr>
              <w:t>transactions in which clients value high credit ratings.</w:t>
            </w:r>
          </w:p>
        </w:tc>
      </w:tr>
    </w:tbl>
    <w:p w14:paraId="5556989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 downgrade or reduction of our credit ratings could have a material adverse effect on our liquidity by restricting our ability to access the capital markets, which could increase the related cost o</w:t>
      </w:r>
      <w:r>
        <w:rPr>
          <w:rFonts w:ascii="Arial" w:eastAsia="宋体" w:hAnsi="Arial" w:cs="Arial"/>
          <w:sz w:val="20"/>
          <w:szCs w:val="20"/>
        </w:rPr>
        <w:t xml:space="preserve">f funds. In turn, this could cause the sudden and large-scale withdrawal of unsecured deposits by our clients, which could lead to draw-downs of unfunded commitments to extend credit or trigger requirements under securities purchase </w:t>
      </w:r>
    </w:p>
    <w:p w14:paraId="55569891"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89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commitments; or requ</w:t>
      </w:r>
      <w:r>
        <w:rPr>
          <w:rFonts w:ascii="Arial" w:eastAsia="宋体" w:hAnsi="Arial" w:cs="Arial"/>
          <w:sz w:val="20"/>
          <w:szCs w:val="20"/>
        </w:rPr>
        <w:t>ire additional collateral or force terminations of certain trading derivative contracts.</w:t>
      </w:r>
    </w:p>
    <w:p w14:paraId="5556989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 majority of our derivative contracts have been entered into under bilateral agreements with counterparties who may require us to post collateral or terminate the tra</w:t>
      </w:r>
      <w:r>
        <w:rPr>
          <w:rFonts w:ascii="Arial" w:eastAsia="宋体" w:hAnsi="Arial" w:cs="Arial"/>
          <w:sz w:val="20"/>
          <w:szCs w:val="20"/>
        </w:rPr>
        <w:t xml:space="preserve">nsactions based on changes in our credit ratings. We assess the impact of these arrangements by determining the collateral that would be required assuming a downgrade by all rating agencies. The additional collateral or termination payments related to our </w:t>
      </w:r>
      <w:r>
        <w:rPr>
          <w:rFonts w:ascii="Arial" w:eastAsia="宋体" w:hAnsi="Arial" w:cs="Arial"/>
          <w:sz w:val="20"/>
          <w:szCs w:val="20"/>
        </w:rPr>
        <w:t xml:space="preserve">net derivative liabilities under these arrangements that could have been called by counterparties in the event of a downgrade in our credit ratings below levels specified in the agreements is provided in Note 10 to the consolidated financial statements in </w:t>
      </w:r>
      <w:r>
        <w:rPr>
          <w:rFonts w:ascii="Arial" w:eastAsia="宋体" w:hAnsi="Arial" w:cs="Arial"/>
          <w:sz w:val="20"/>
          <w:szCs w:val="20"/>
        </w:rPr>
        <w:t>this Form 10-K. Other funding sources, such as secured financing transactions and other margin requirements, for which there are no explicit triggers, could also be adversely affected.</w:t>
      </w:r>
    </w:p>
    <w:tbl>
      <w:tblPr>
        <w:tblW w:w="5000" w:type="pct"/>
        <w:tblCellMar>
          <w:left w:w="0" w:type="dxa"/>
          <w:right w:w="0" w:type="dxa"/>
        </w:tblCellMar>
        <w:tblLook w:val="04A0" w:firstRow="1" w:lastRow="0" w:firstColumn="1" w:lastColumn="0" w:noHBand="0" w:noVBand="1"/>
      </w:tblPr>
      <w:tblGrid>
        <w:gridCol w:w="2742"/>
        <w:gridCol w:w="1744"/>
        <w:gridCol w:w="166"/>
        <w:gridCol w:w="1744"/>
        <w:gridCol w:w="166"/>
        <w:gridCol w:w="1744"/>
      </w:tblGrid>
      <w:tr w:rsidR="00F925DD" w14:paraId="55569895" w14:textId="77777777">
        <w:tc>
          <w:tcPr>
            <w:tcW w:w="0" w:type="auto"/>
            <w:gridSpan w:val="6"/>
            <w:shd w:val="clear" w:color="auto" w:fill="auto"/>
            <w:vAlign w:val="center"/>
          </w:tcPr>
          <w:p w14:paraId="55569894" w14:textId="77777777" w:rsidR="00F925DD" w:rsidRDefault="00F925DD">
            <w:pPr>
              <w:rPr>
                <w:rFonts w:ascii="Times New Roman" w:hAnsi="Times New Roman"/>
                <w:sz w:val="20"/>
                <w:szCs w:val="20"/>
              </w:rPr>
            </w:pPr>
          </w:p>
        </w:tc>
      </w:tr>
      <w:tr w:rsidR="00F925DD" w14:paraId="5556989C" w14:textId="77777777">
        <w:tc>
          <w:tcPr>
            <w:tcW w:w="1650" w:type="pct"/>
            <w:shd w:val="clear" w:color="auto" w:fill="auto"/>
            <w:vAlign w:val="center"/>
          </w:tcPr>
          <w:p w14:paraId="55569896" w14:textId="77777777" w:rsidR="00F925DD" w:rsidRDefault="00F925DD">
            <w:pPr>
              <w:rPr>
                <w:rFonts w:ascii="Times New Roman" w:hAnsi="Times New Roman"/>
                <w:sz w:val="20"/>
                <w:szCs w:val="20"/>
              </w:rPr>
            </w:pPr>
          </w:p>
        </w:tc>
        <w:tc>
          <w:tcPr>
            <w:tcW w:w="1050" w:type="pct"/>
            <w:shd w:val="clear" w:color="auto" w:fill="auto"/>
            <w:vAlign w:val="center"/>
          </w:tcPr>
          <w:p w14:paraId="55569897" w14:textId="77777777" w:rsidR="00F925DD" w:rsidRDefault="00F925DD">
            <w:pPr>
              <w:rPr>
                <w:rFonts w:ascii="Times New Roman" w:hAnsi="Times New Roman"/>
                <w:sz w:val="20"/>
                <w:szCs w:val="20"/>
              </w:rPr>
            </w:pPr>
          </w:p>
        </w:tc>
        <w:tc>
          <w:tcPr>
            <w:tcW w:w="100" w:type="pct"/>
            <w:shd w:val="clear" w:color="auto" w:fill="auto"/>
            <w:vAlign w:val="center"/>
          </w:tcPr>
          <w:p w14:paraId="55569898" w14:textId="77777777" w:rsidR="00F925DD" w:rsidRDefault="00F925DD">
            <w:pPr>
              <w:rPr>
                <w:rFonts w:ascii="Times New Roman" w:hAnsi="Times New Roman"/>
                <w:sz w:val="20"/>
                <w:szCs w:val="20"/>
              </w:rPr>
            </w:pPr>
          </w:p>
        </w:tc>
        <w:tc>
          <w:tcPr>
            <w:tcW w:w="1050" w:type="pct"/>
            <w:shd w:val="clear" w:color="auto" w:fill="auto"/>
            <w:vAlign w:val="center"/>
          </w:tcPr>
          <w:p w14:paraId="55569899" w14:textId="77777777" w:rsidR="00F925DD" w:rsidRDefault="00F925DD">
            <w:pPr>
              <w:rPr>
                <w:rFonts w:ascii="Times New Roman" w:hAnsi="Times New Roman"/>
                <w:sz w:val="20"/>
                <w:szCs w:val="20"/>
              </w:rPr>
            </w:pPr>
          </w:p>
        </w:tc>
        <w:tc>
          <w:tcPr>
            <w:tcW w:w="100" w:type="pct"/>
            <w:shd w:val="clear" w:color="auto" w:fill="auto"/>
            <w:vAlign w:val="center"/>
          </w:tcPr>
          <w:p w14:paraId="5556989A" w14:textId="77777777" w:rsidR="00F925DD" w:rsidRDefault="00F925DD">
            <w:pPr>
              <w:rPr>
                <w:rFonts w:ascii="Times New Roman" w:hAnsi="Times New Roman"/>
                <w:sz w:val="20"/>
                <w:szCs w:val="20"/>
              </w:rPr>
            </w:pPr>
          </w:p>
        </w:tc>
        <w:tc>
          <w:tcPr>
            <w:tcW w:w="1050" w:type="pct"/>
            <w:shd w:val="clear" w:color="auto" w:fill="auto"/>
            <w:vAlign w:val="center"/>
          </w:tcPr>
          <w:p w14:paraId="5556989B" w14:textId="77777777" w:rsidR="00F925DD" w:rsidRDefault="00F925DD">
            <w:pPr>
              <w:rPr>
                <w:rFonts w:ascii="Times New Roman" w:hAnsi="Times New Roman"/>
                <w:sz w:val="20"/>
                <w:szCs w:val="20"/>
              </w:rPr>
            </w:pPr>
          </w:p>
        </w:tc>
      </w:tr>
      <w:tr w:rsidR="00F925DD" w14:paraId="5556989E" w14:textId="77777777">
        <w:tc>
          <w:tcPr>
            <w:tcW w:w="0" w:type="auto"/>
            <w:gridSpan w:val="6"/>
            <w:shd w:val="clear" w:color="auto" w:fill="auto"/>
            <w:tcMar>
              <w:top w:w="40" w:type="dxa"/>
              <w:left w:w="40" w:type="dxa"/>
              <w:bottom w:w="40" w:type="dxa"/>
              <w:right w:w="40" w:type="dxa"/>
            </w:tcMar>
            <w:vAlign w:val="bottom"/>
          </w:tcPr>
          <w:p w14:paraId="5556989D"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31: CREDIT RATINGS</w:t>
            </w:r>
          </w:p>
        </w:tc>
      </w:tr>
      <w:tr w:rsidR="00F925DD" w14:paraId="555698A1" w14:textId="77777777">
        <w:tc>
          <w:tcPr>
            <w:tcW w:w="0" w:type="auto"/>
            <w:shd w:val="clear" w:color="auto" w:fill="auto"/>
            <w:tcMar>
              <w:top w:w="40" w:type="dxa"/>
              <w:left w:w="40" w:type="dxa"/>
              <w:bottom w:w="40" w:type="dxa"/>
              <w:right w:w="40" w:type="dxa"/>
            </w:tcMar>
            <w:vAlign w:val="bottom"/>
          </w:tcPr>
          <w:p w14:paraId="555698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555698A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 of December 31, 2019</w:t>
            </w:r>
          </w:p>
        </w:tc>
      </w:tr>
      <w:tr w:rsidR="00F925DD" w14:paraId="555698A8" w14:textId="77777777">
        <w:tc>
          <w:tcPr>
            <w:tcW w:w="0" w:type="auto"/>
            <w:shd w:val="clear" w:color="auto" w:fill="auto"/>
            <w:tcMar>
              <w:top w:w="40" w:type="dxa"/>
              <w:left w:w="40" w:type="dxa"/>
              <w:bottom w:w="40" w:type="dxa"/>
              <w:right w:w="40" w:type="dxa"/>
            </w:tcMar>
            <w:vAlign w:val="bottom"/>
          </w:tcPr>
          <w:p w14:paraId="555698A2" w14:textId="77777777" w:rsidR="00F925DD" w:rsidRDefault="00E705D7">
            <w:pPr>
              <w:textAlignment w:val="bottom"/>
              <w:rPr>
                <w:rFonts w:ascii="Times New Roman" w:hAnsi="Times New Roman"/>
                <w:sz w:val="15"/>
                <w:szCs w:val="15"/>
              </w:rPr>
            </w:pPr>
            <w:r>
              <w:rPr>
                <w:rFonts w:ascii="Arial" w:eastAsia="宋体" w:hAnsi="Arial" w:cs="Arial"/>
                <w:sz w:val="15"/>
                <w:szCs w:val="15"/>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555698A3" w14:textId="77777777" w:rsidR="00F925DD" w:rsidRDefault="00E705D7">
            <w:pPr>
              <w:jc w:val="center"/>
              <w:textAlignment w:val="center"/>
              <w:rPr>
                <w:rFonts w:ascii="Times New Roman" w:hAnsi="Times New Roman"/>
                <w:sz w:val="15"/>
                <w:szCs w:val="15"/>
              </w:rPr>
            </w:pPr>
            <w:r>
              <w:rPr>
                <w:rFonts w:ascii="Arial" w:eastAsia="宋体" w:hAnsi="Arial" w:cs="Arial"/>
                <w:b/>
                <w:bCs/>
                <w:sz w:val="15"/>
                <w:szCs w:val="15"/>
              </w:rPr>
              <w:t>Standard &amp; Poor’s</w:t>
            </w:r>
          </w:p>
        </w:tc>
        <w:tc>
          <w:tcPr>
            <w:tcW w:w="0" w:type="auto"/>
            <w:shd w:val="clear" w:color="auto" w:fill="auto"/>
            <w:tcMar>
              <w:top w:w="40" w:type="dxa"/>
              <w:left w:w="40" w:type="dxa"/>
              <w:bottom w:w="40" w:type="dxa"/>
              <w:right w:w="40" w:type="dxa"/>
            </w:tcMar>
            <w:vAlign w:val="bottom"/>
          </w:tcPr>
          <w:p w14:paraId="555698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555698A5" w14:textId="77777777" w:rsidR="00F925DD" w:rsidRDefault="00E705D7">
            <w:pPr>
              <w:jc w:val="center"/>
              <w:textAlignment w:val="center"/>
              <w:rPr>
                <w:rFonts w:ascii="Times New Roman" w:hAnsi="Times New Roman"/>
                <w:sz w:val="15"/>
                <w:szCs w:val="15"/>
              </w:rPr>
            </w:pPr>
            <w:r>
              <w:rPr>
                <w:rFonts w:ascii="Arial" w:eastAsia="宋体" w:hAnsi="Arial" w:cs="Arial"/>
                <w:b/>
                <w:bCs/>
                <w:sz w:val="15"/>
                <w:szCs w:val="15"/>
              </w:rPr>
              <w:t>Moody’s Investors Service</w:t>
            </w:r>
          </w:p>
        </w:tc>
        <w:tc>
          <w:tcPr>
            <w:tcW w:w="0" w:type="auto"/>
            <w:shd w:val="clear" w:color="auto" w:fill="auto"/>
            <w:tcMar>
              <w:top w:w="40" w:type="dxa"/>
              <w:left w:w="40" w:type="dxa"/>
              <w:bottom w:w="40" w:type="dxa"/>
              <w:right w:w="40" w:type="dxa"/>
            </w:tcMar>
            <w:vAlign w:val="bottom"/>
          </w:tcPr>
          <w:p w14:paraId="555698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555698A7" w14:textId="77777777" w:rsidR="00F925DD" w:rsidRDefault="00E705D7">
            <w:pPr>
              <w:jc w:val="center"/>
              <w:textAlignment w:val="center"/>
              <w:rPr>
                <w:rFonts w:ascii="Times New Roman" w:hAnsi="Times New Roman"/>
                <w:sz w:val="15"/>
                <w:szCs w:val="15"/>
              </w:rPr>
            </w:pPr>
            <w:r>
              <w:rPr>
                <w:rFonts w:ascii="Arial" w:eastAsia="宋体" w:hAnsi="Arial" w:cs="Arial"/>
                <w:b/>
                <w:bCs/>
                <w:sz w:val="15"/>
                <w:szCs w:val="15"/>
              </w:rPr>
              <w:t>Fitch</w:t>
            </w:r>
          </w:p>
        </w:tc>
      </w:tr>
      <w:tr w:rsidR="00F925DD" w14:paraId="555698AE" w14:textId="77777777">
        <w:tc>
          <w:tcPr>
            <w:tcW w:w="0" w:type="auto"/>
            <w:gridSpan w:val="2"/>
            <w:shd w:val="clear" w:color="auto" w:fill="auto"/>
            <w:tcMar>
              <w:top w:w="40" w:type="dxa"/>
              <w:left w:w="40" w:type="dxa"/>
              <w:bottom w:w="40" w:type="dxa"/>
              <w:right w:w="40" w:type="dxa"/>
            </w:tcMar>
            <w:vAlign w:val="bottom"/>
          </w:tcPr>
          <w:p w14:paraId="555698A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State Street:</w:t>
            </w:r>
          </w:p>
        </w:tc>
        <w:tc>
          <w:tcPr>
            <w:tcW w:w="0" w:type="auto"/>
            <w:shd w:val="clear" w:color="auto" w:fill="auto"/>
            <w:tcMar>
              <w:top w:w="40" w:type="dxa"/>
              <w:left w:w="40" w:type="dxa"/>
              <w:bottom w:w="40" w:type="dxa"/>
              <w:right w:w="40" w:type="dxa"/>
            </w:tcMar>
            <w:vAlign w:val="bottom"/>
          </w:tcPr>
          <w:p w14:paraId="555698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8B5" w14:textId="77777777">
        <w:tc>
          <w:tcPr>
            <w:tcW w:w="0" w:type="auto"/>
            <w:shd w:val="clear" w:color="auto" w:fill="CCEEFF"/>
            <w:tcMar>
              <w:top w:w="40" w:type="dxa"/>
              <w:left w:w="40" w:type="dxa"/>
              <w:bottom w:w="40" w:type="dxa"/>
              <w:right w:w="40" w:type="dxa"/>
            </w:tcMar>
            <w:vAlign w:val="bottom"/>
          </w:tcPr>
          <w:p w14:paraId="555698AF" w14:textId="77777777" w:rsidR="00F925DD" w:rsidRDefault="00E705D7">
            <w:pPr>
              <w:textAlignment w:val="bottom"/>
              <w:rPr>
                <w:rFonts w:ascii="Times New Roman" w:hAnsi="Times New Roman"/>
                <w:sz w:val="15"/>
                <w:szCs w:val="15"/>
              </w:rPr>
            </w:pPr>
            <w:r>
              <w:rPr>
                <w:rFonts w:ascii="Arial" w:eastAsia="宋体" w:hAnsi="Arial" w:cs="Arial"/>
                <w:sz w:val="15"/>
                <w:szCs w:val="15"/>
              </w:rPr>
              <w:t>Senior debt</w:t>
            </w:r>
          </w:p>
        </w:tc>
        <w:tc>
          <w:tcPr>
            <w:tcW w:w="0" w:type="auto"/>
            <w:shd w:val="clear" w:color="auto" w:fill="CCEEFF"/>
            <w:tcMar>
              <w:top w:w="40" w:type="dxa"/>
              <w:left w:w="40" w:type="dxa"/>
              <w:bottom w:w="40" w:type="dxa"/>
              <w:right w:w="40" w:type="dxa"/>
            </w:tcMar>
            <w:vAlign w:val="bottom"/>
          </w:tcPr>
          <w:p w14:paraId="555698B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w:t>
            </w:r>
          </w:p>
        </w:tc>
        <w:tc>
          <w:tcPr>
            <w:tcW w:w="0" w:type="auto"/>
            <w:shd w:val="clear" w:color="auto" w:fill="CCEEFF"/>
            <w:tcMar>
              <w:top w:w="40" w:type="dxa"/>
              <w:left w:w="40" w:type="dxa"/>
              <w:bottom w:w="40" w:type="dxa"/>
              <w:right w:w="40" w:type="dxa"/>
            </w:tcMar>
            <w:vAlign w:val="bottom"/>
          </w:tcPr>
          <w:p w14:paraId="555698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B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A1</w:t>
            </w:r>
          </w:p>
        </w:tc>
        <w:tc>
          <w:tcPr>
            <w:tcW w:w="0" w:type="auto"/>
            <w:shd w:val="clear" w:color="auto" w:fill="CCEEFF"/>
            <w:tcMar>
              <w:top w:w="40" w:type="dxa"/>
              <w:left w:w="40" w:type="dxa"/>
              <w:bottom w:w="40" w:type="dxa"/>
              <w:right w:w="40" w:type="dxa"/>
            </w:tcMar>
            <w:vAlign w:val="bottom"/>
          </w:tcPr>
          <w:p w14:paraId="555698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B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AA-</w:t>
            </w:r>
          </w:p>
        </w:tc>
      </w:tr>
      <w:tr w:rsidR="00F925DD" w14:paraId="555698BC" w14:textId="77777777">
        <w:tc>
          <w:tcPr>
            <w:tcW w:w="0" w:type="auto"/>
            <w:shd w:val="clear" w:color="auto" w:fill="auto"/>
            <w:tcMar>
              <w:top w:w="40" w:type="dxa"/>
              <w:left w:w="40" w:type="dxa"/>
              <w:bottom w:w="40" w:type="dxa"/>
              <w:right w:w="40" w:type="dxa"/>
            </w:tcMar>
            <w:vAlign w:val="bottom"/>
          </w:tcPr>
          <w:p w14:paraId="555698B6" w14:textId="77777777" w:rsidR="00F925DD" w:rsidRDefault="00E705D7">
            <w:pPr>
              <w:textAlignment w:val="bottom"/>
              <w:rPr>
                <w:rFonts w:ascii="Times New Roman" w:hAnsi="Times New Roman"/>
                <w:sz w:val="15"/>
                <w:szCs w:val="15"/>
              </w:rPr>
            </w:pPr>
            <w:r>
              <w:rPr>
                <w:rFonts w:ascii="Arial" w:eastAsia="宋体" w:hAnsi="Arial" w:cs="Arial"/>
                <w:sz w:val="15"/>
                <w:szCs w:val="15"/>
              </w:rPr>
              <w:t>Subordinated debt</w:t>
            </w:r>
          </w:p>
        </w:tc>
        <w:tc>
          <w:tcPr>
            <w:tcW w:w="0" w:type="auto"/>
            <w:shd w:val="clear" w:color="auto" w:fill="auto"/>
            <w:tcMar>
              <w:top w:w="40" w:type="dxa"/>
              <w:left w:w="40" w:type="dxa"/>
              <w:bottom w:w="40" w:type="dxa"/>
              <w:right w:w="40" w:type="dxa"/>
            </w:tcMar>
            <w:vAlign w:val="bottom"/>
          </w:tcPr>
          <w:p w14:paraId="555698B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w:t>
            </w:r>
          </w:p>
        </w:tc>
        <w:tc>
          <w:tcPr>
            <w:tcW w:w="0" w:type="auto"/>
            <w:shd w:val="clear" w:color="auto" w:fill="auto"/>
            <w:tcMar>
              <w:top w:w="40" w:type="dxa"/>
              <w:left w:w="40" w:type="dxa"/>
              <w:bottom w:w="40" w:type="dxa"/>
              <w:right w:w="40" w:type="dxa"/>
            </w:tcMar>
            <w:vAlign w:val="bottom"/>
          </w:tcPr>
          <w:p w14:paraId="555698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B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A2</w:t>
            </w:r>
          </w:p>
        </w:tc>
        <w:tc>
          <w:tcPr>
            <w:tcW w:w="0" w:type="auto"/>
            <w:shd w:val="clear" w:color="auto" w:fill="auto"/>
            <w:tcMar>
              <w:top w:w="40" w:type="dxa"/>
              <w:left w:w="40" w:type="dxa"/>
              <w:bottom w:w="40" w:type="dxa"/>
              <w:right w:w="40" w:type="dxa"/>
            </w:tcMar>
            <w:vAlign w:val="bottom"/>
          </w:tcPr>
          <w:p w14:paraId="555698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B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w:t>
            </w:r>
          </w:p>
        </w:tc>
      </w:tr>
      <w:tr w:rsidR="00F925DD" w14:paraId="555698C3" w14:textId="77777777">
        <w:tc>
          <w:tcPr>
            <w:tcW w:w="0" w:type="auto"/>
            <w:shd w:val="clear" w:color="auto" w:fill="CCEEFF"/>
            <w:tcMar>
              <w:top w:w="40" w:type="dxa"/>
              <w:left w:w="40" w:type="dxa"/>
              <w:bottom w:w="40" w:type="dxa"/>
              <w:right w:w="40" w:type="dxa"/>
            </w:tcMar>
            <w:vAlign w:val="bottom"/>
          </w:tcPr>
          <w:p w14:paraId="555698BD" w14:textId="77777777" w:rsidR="00F925DD" w:rsidRDefault="00E705D7">
            <w:pPr>
              <w:textAlignment w:val="bottom"/>
              <w:rPr>
                <w:rFonts w:ascii="Times New Roman" w:hAnsi="Times New Roman"/>
                <w:sz w:val="15"/>
                <w:szCs w:val="15"/>
              </w:rPr>
            </w:pPr>
            <w:r>
              <w:rPr>
                <w:rFonts w:ascii="Arial" w:eastAsia="宋体" w:hAnsi="Arial" w:cs="Arial"/>
                <w:sz w:val="15"/>
                <w:szCs w:val="15"/>
              </w:rPr>
              <w:t>Junior subordinated debt</w:t>
            </w:r>
          </w:p>
        </w:tc>
        <w:tc>
          <w:tcPr>
            <w:tcW w:w="0" w:type="auto"/>
            <w:shd w:val="clear" w:color="auto" w:fill="CCEEFF"/>
            <w:tcMar>
              <w:top w:w="40" w:type="dxa"/>
              <w:left w:w="40" w:type="dxa"/>
              <w:bottom w:w="40" w:type="dxa"/>
              <w:right w:w="40" w:type="dxa"/>
            </w:tcMar>
            <w:vAlign w:val="bottom"/>
          </w:tcPr>
          <w:p w14:paraId="555698B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BBB</w:t>
            </w:r>
          </w:p>
        </w:tc>
        <w:tc>
          <w:tcPr>
            <w:tcW w:w="0" w:type="auto"/>
            <w:shd w:val="clear" w:color="auto" w:fill="CCEEFF"/>
            <w:tcMar>
              <w:top w:w="40" w:type="dxa"/>
              <w:left w:w="40" w:type="dxa"/>
              <w:bottom w:w="40" w:type="dxa"/>
              <w:right w:w="40" w:type="dxa"/>
            </w:tcMar>
            <w:vAlign w:val="bottom"/>
          </w:tcPr>
          <w:p w14:paraId="555698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C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A3</w:t>
            </w:r>
          </w:p>
        </w:tc>
        <w:tc>
          <w:tcPr>
            <w:tcW w:w="0" w:type="auto"/>
            <w:shd w:val="clear" w:color="auto" w:fill="CCEEFF"/>
            <w:tcMar>
              <w:top w:w="40" w:type="dxa"/>
              <w:left w:w="40" w:type="dxa"/>
              <w:bottom w:w="40" w:type="dxa"/>
              <w:right w:w="40" w:type="dxa"/>
            </w:tcMar>
            <w:vAlign w:val="bottom"/>
          </w:tcPr>
          <w:p w14:paraId="555698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C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NR</w:t>
            </w:r>
          </w:p>
        </w:tc>
      </w:tr>
      <w:tr w:rsidR="00F925DD" w14:paraId="555698CA" w14:textId="77777777">
        <w:tc>
          <w:tcPr>
            <w:tcW w:w="0" w:type="auto"/>
            <w:shd w:val="clear" w:color="auto" w:fill="auto"/>
            <w:tcMar>
              <w:top w:w="40" w:type="dxa"/>
              <w:left w:w="40" w:type="dxa"/>
              <w:bottom w:w="40" w:type="dxa"/>
              <w:right w:w="40" w:type="dxa"/>
            </w:tcMar>
            <w:vAlign w:val="bottom"/>
          </w:tcPr>
          <w:p w14:paraId="555698C4" w14:textId="77777777" w:rsidR="00F925DD" w:rsidRDefault="00E705D7">
            <w:pPr>
              <w:textAlignment w:val="bottom"/>
              <w:rPr>
                <w:rFonts w:ascii="Times New Roman" w:hAnsi="Times New Roman"/>
                <w:sz w:val="15"/>
                <w:szCs w:val="15"/>
              </w:rPr>
            </w:pPr>
            <w:r>
              <w:rPr>
                <w:rFonts w:ascii="Arial" w:eastAsia="宋体" w:hAnsi="Arial" w:cs="Arial"/>
                <w:sz w:val="15"/>
                <w:szCs w:val="15"/>
              </w:rPr>
              <w:t>Preferred stock</w:t>
            </w:r>
          </w:p>
        </w:tc>
        <w:tc>
          <w:tcPr>
            <w:tcW w:w="0" w:type="auto"/>
            <w:shd w:val="clear" w:color="auto" w:fill="auto"/>
            <w:tcMar>
              <w:top w:w="40" w:type="dxa"/>
              <w:left w:w="40" w:type="dxa"/>
              <w:bottom w:w="40" w:type="dxa"/>
              <w:right w:w="40" w:type="dxa"/>
            </w:tcMar>
            <w:vAlign w:val="bottom"/>
          </w:tcPr>
          <w:p w14:paraId="555698C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BBB</w:t>
            </w:r>
          </w:p>
        </w:tc>
        <w:tc>
          <w:tcPr>
            <w:tcW w:w="0" w:type="auto"/>
            <w:shd w:val="clear" w:color="auto" w:fill="auto"/>
            <w:tcMar>
              <w:top w:w="40" w:type="dxa"/>
              <w:left w:w="40" w:type="dxa"/>
              <w:bottom w:w="40" w:type="dxa"/>
              <w:right w:w="40" w:type="dxa"/>
            </w:tcMar>
            <w:vAlign w:val="bottom"/>
          </w:tcPr>
          <w:p w14:paraId="555698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C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Baa1</w:t>
            </w:r>
          </w:p>
        </w:tc>
        <w:tc>
          <w:tcPr>
            <w:tcW w:w="0" w:type="auto"/>
            <w:shd w:val="clear" w:color="auto" w:fill="auto"/>
            <w:tcMar>
              <w:top w:w="40" w:type="dxa"/>
              <w:left w:w="40" w:type="dxa"/>
              <w:bottom w:w="40" w:type="dxa"/>
              <w:right w:w="40" w:type="dxa"/>
            </w:tcMar>
            <w:vAlign w:val="bottom"/>
          </w:tcPr>
          <w:p w14:paraId="555698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C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BBB</w:t>
            </w:r>
          </w:p>
        </w:tc>
      </w:tr>
      <w:tr w:rsidR="00F925DD" w14:paraId="555698D1" w14:textId="77777777">
        <w:tc>
          <w:tcPr>
            <w:tcW w:w="0" w:type="auto"/>
            <w:shd w:val="clear" w:color="auto" w:fill="CCEEFF"/>
            <w:tcMar>
              <w:top w:w="40" w:type="dxa"/>
              <w:left w:w="40" w:type="dxa"/>
              <w:bottom w:w="40" w:type="dxa"/>
              <w:right w:w="40" w:type="dxa"/>
            </w:tcMar>
            <w:vAlign w:val="bottom"/>
          </w:tcPr>
          <w:p w14:paraId="555698CB" w14:textId="77777777" w:rsidR="00F925DD" w:rsidRDefault="00E705D7">
            <w:pPr>
              <w:textAlignment w:val="bottom"/>
              <w:rPr>
                <w:rFonts w:ascii="Times New Roman" w:hAnsi="Times New Roman"/>
                <w:sz w:val="15"/>
                <w:szCs w:val="15"/>
              </w:rPr>
            </w:pPr>
            <w:r>
              <w:rPr>
                <w:rFonts w:ascii="Arial" w:eastAsia="宋体" w:hAnsi="Arial" w:cs="Arial"/>
                <w:sz w:val="15"/>
                <w:szCs w:val="15"/>
              </w:rPr>
              <w:t>Outlook</w:t>
            </w:r>
          </w:p>
        </w:tc>
        <w:tc>
          <w:tcPr>
            <w:tcW w:w="0" w:type="auto"/>
            <w:shd w:val="clear" w:color="auto" w:fill="CCEEFF"/>
            <w:tcMar>
              <w:top w:w="40" w:type="dxa"/>
              <w:left w:w="40" w:type="dxa"/>
              <w:bottom w:w="40" w:type="dxa"/>
              <w:right w:w="40" w:type="dxa"/>
            </w:tcMar>
            <w:vAlign w:val="bottom"/>
          </w:tcPr>
          <w:p w14:paraId="555698C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Stable</w:t>
            </w:r>
          </w:p>
        </w:tc>
        <w:tc>
          <w:tcPr>
            <w:tcW w:w="0" w:type="auto"/>
            <w:shd w:val="clear" w:color="auto" w:fill="CCEEFF"/>
            <w:tcMar>
              <w:top w:w="40" w:type="dxa"/>
              <w:left w:w="40" w:type="dxa"/>
              <w:bottom w:w="40" w:type="dxa"/>
              <w:right w:w="40" w:type="dxa"/>
            </w:tcMar>
            <w:vAlign w:val="bottom"/>
          </w:tcPr>
          <w:p w14:paraId="555698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C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Stable</w:t>
            </w:r>
          </w:p>
        </w:tc>
        <w:tc>
          <w:tcPr>
            <w:tcW w:w="0" w:type="auto"/>
            <w:shd w:val="clear" w:color="auto" w:fill="CCEEFF"/>
            <w:tcMar>
              <w:top w:w="40" w:type="dxa"/>
              <w:left w:w="40" w:type="dxa"/>
              <w:bottom w:w="40" w:type="dxa"/>
              <w:right w:w="40" w:type="dxa"/>
            </w:tcMar>
            <w:vAlign w:val="bottom"/>
          </w:tcPr>
          <w:p w14:paraId="555698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D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Stable</w:t>
            </w:r>
          </w:p>
        </w:tc>
      </w:tr>
      <w:tr w:rsidR="00F925DD" w14:paraId="555698D7" w14:textId="77777777">
        <w:tc>
          <w:tcPr>
            <w:tcW w:w="0" w:type="auto"/>
            <w:gridSpan w:val="2"/>
            <w:shd w:val="clear" w:color="auto" w:fill="auto"/>
            <w:tcMar>
              <w:top w:w="40" w:type="dxa"/>
              <w:left w:w="40" w:type="dxa"/>
              <w:bottom w:w="40" w:type="dxa"/>
              <w:right w:w="40" w:type="dxa"/>
            </w:tcMar>
            <w:vAlign w:val="bottom"/>
          </w:tcPr>
          <w:p w14:paraId="555698D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 xml:space="preserve">State </w:t>
            </w:r>
            <w:r>
              <w:rPr>
                <w:rFonts w:ascii="Arial" w:eastAsia="宋体" w:hAnsi="Arial" w:cs="Arial"/>
                <w:b/>
                <w:bCs/>
                <w:sz w:val="15"/>
                <w:szCs w:val="15"/>
              </w:rPr>
              <w:t>Street Bank:</w:t>
            </w:r>
          </w:p>
        </w:tc>
        <w:tc>
          <w:tcPr>
            <w:tcW w:w="0" w:type="auto"/>
            <w:shd w:val="clear" w:color="auto" w:fill="auto"/>
            <w:tcMar>
              <w:top w:w="40" w:type="dxa"/>
              <w:left w:w="40" w:type="dxa"/>
              <w:bottom w:w="40" w:type="dxa"/>
              <w:right w:w="40" w:type="dxa"/>
            </w:tcMar>
            <w:vAlign w:val="bottom"/>
          </w:tcPr>
          <w:p w14:paraId="555698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8DE" w14:textId="77777777">
        <w:tc>
          <w:tcPr>
            <w:tcW w:w="0" w:type="auto"/>
            <w:shd w:val="clear" w:color="auto" w:fill="CCEEFF"/>
            <w:tcMar>
              <w:top w:w="40" w:type="dxa"/>
              <w:left w:w="40" w:type="dxa"/>
              <w:bottom w:w="40" w:type="dxa"/>
              <w:right w:w="40" w:type="dxa"/>
            </w:tcMar>
            <w:vAlign w:val="bottom"/>
          </w:tcPr>
          <w:p w14:paraId="555698D8" w14:textId="77777777" w:rsidR="00F925DD" w:rsidRDefault="00E705D7">
            <w:pPr>
              <w:textAlignment w:val="bottom"/>
              <w:rPr>
                <w:rFonts w:ascii="Times New Roman" w:hAnsi="Times New Roman"/>
                <w:sz w:val="15"/>
                <w:szCs w:val="15"/>
              </w:rPr>
            </w:pPr>
            <w:r>
              <w:rPr>
                <w:rFonts w:ascii="Arial" w:eastAsia="宋体" w:hAnsi="Arial" w:cs="Arial"/>
                <w:sz w:val="15"/>
                <w:szCs w:val="15"/>
              </w:rPr>
              <w:t>Short-term deposits</w:t>
            </w:r>
          </w:p>
        </w:tc>
        <w:tc>
          <w:tcPr>
            <w:tcW w:w="0" w:type="auto"/>
            <w:shd w:val="clear" w:color="auto" w:fill="CCEEFF"/>
            <w:tcMar>
              <w:top w:w="40" w:type="dxa"/>
              <w:left w:w="40" w:type="dxa"/>
              <w:bottom w:w="40" w:type="dxa"/>
              <w:right w:w="40" w:type="dxa"/>
            </w:tcMar>
            <w:vAlign w:val="bottom"/>
          </w:tcPr>
          <w:p w14:paraId="555698D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A-1+</w:t>
            </w:r>
          </w:p>
        </w:tc>
        <w:tc>
          <w:tcPr>
            <w:tcW w:w="0" w:type="auto"/>
            <w:shd w:val="clear" w:color="auto" w:fill="CCEEFF"/>
            <w:tcMar>
              <w:top w:w="40" w:type="dxa"/>
              <w:left w:w="40" w:type="dxa"/>
              <w:bottom w:w="40" w:type="dxa"/>
              <w:right w:w="40" w:type="dxa"/>
            </w:tcMar>
            <w:vAlign w:val="bottom"/>
          </w:tcPr>
          <w:p w14:paraId="555698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D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P-1</w:t>
            </w:r>
          </w:p>
        </w:tc>
        <w:tc>
          <w:tcPr>
            <w:tcW w:w="0" w:type="auto"/>
            <w:shd w:val="clear" w:color="auto" w:fill="CCEEFF"/>
            <w:tcMar>
              <w:top w:w="40" w:type="dxa"/>
              <w:left w:w="40" w:type="dxa"/>
              <w:bottom w:w="40" w:type="dxa"/>
              <w:right w:w="40" w:type="dxa"/>
            </w:tcMar>
            <w:vAlign w:val="bottom"/>
          </w:tcPr>
          <w:p w14:paraId="555698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D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F1+</w:t>
            </w:r>
          </w:p>
        </w:tc>
      </w:tr>
      <w:tr w:rsidR="00F925DD" w14:paraId="555698E5" w14:textId="77777777">
        <w:tc>
          <w:tcPr>
            <w:tcW w:w="0" w:type="auto"/>
            <w:shd w:val="clear" w:color="auto" w:fill="auto"/>
            <w:tcMar>
              <w:top w:w="40" w:type="dxa"/>
              <w:left w:w="40" w:type="dxa"/>
              <w:bottom w:w="40" w:type="dxa"/>
              <w:right w:w="40" w:type="dxa"/>
            </w:tcMar>
            <w:vAlign w:val="bottom"/>
          </w:tcPr>
          <w:p w14:paraId="555698DF" w14:textId="77777777" w:rsidR="00F925DD" w:rsidRDefault="00E705D7">
            <w:pPr>
              <w:textAlignment w:val="bottom"/>
              <w:rPr>
                <w:rFonts w:ascii="Times New Roman" w:hAnsi="Times New Roman"/>
                <w:sz w:val="15"/>
                <w:szCs w:val="15"/>
              </w:rPr>
            </w:pPr>
            <w:r>
              <w:rPr>
                <w:rFonts w:ascii="Arial" w:eastAsia="宋体" w:hAnsi="Arial" w:cs="Arial"/>
                <w:sz w:val="15"/>
                <w:szCs w:val="15"/>
              </w:rPr>
              <w:t>Long-term deposits</w:t>
            </w:r>
          </w:p>
        </w:tc>
        <w:tc>
          <w:tcPr>
            <w:tcW w:w="0" w:type="auto"/>
            <w:shd w:val="clear" w:color="auto" w:fill="auto"/>
            <w:tcMar>
              <w:top w:w="40" w:type="dxa"/>
              <w:left w:w="40" w:type="dxa"/>
              <w:bottom w:w="40" w:type="dxa"/>
              <w:right w:w="40" w:type="dxa"/>
            </w:tcMar>
            <w:vAlign w:val="bottom"/>
          </w:tcPr>
          <w:p w14:paraId="555698E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AA-</w:t>
            </w:r>
          </w:p>
        </w:tc>
        <w:tc>
          <w:tcPr>
            <w:tcW w:w="0" w:type="auto"/>
            <w:shd w:val="clear" w:color="auto" w:fill="auto"/>
            <w:tcMar>
              <w:top w:w="40" w:type="dxa"/>
              <w:left w:w="40" w:type="dxa"/>
              <w:bottom w:w="40" w:type="dxa"/>
              <w:right w:w="40" w:type="dxa"/>
            </w:tcMar>
            <w:vAlign w:val="bottom"/>
          </w:tcPr>
          <w:p w14:paraId="555698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E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Aa1</w:t>
            </w:r>
          </w:p>
        </w:tc>
        <w:tc>
          <w:tcPr>
            <w:tcW w:w="0" w:type="auto"/>
            <w:shd w:val="clear" w:color="auto" w:fill="auto"/>
            <w:tcMar>
              <w:top w:w="40" w:type="dxa"/>
              <w:left w:w="40" w:type="dxa"/>
              <w:bottom w:w="40" w:type="dxa"/>
              <w:right w:w="40" w:type="dxa"/>
            </w:tcMar>
            <w:vAlign w:val="bottom"/>
          </w:tcPr>
          <w:p w14:paraId="555698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E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AA+</w:t>
            </w:r>
          </w:p>
        </w:tc>
      </w:tr>
      <w:tr w:rsidR="00F925DD" w14:paraId="555698EC" w14:textId="77777777">
        <w:tc>
          <w:tcPr>
            <w:tcW w:w="0" w:type="auto"/>
            <w:shd w:val="clear" w:color="auto" w:fill="CCEEFF"/>
            <w:tcMar>
              <w:top w:w="40" w:type="dxa"/>
              <w:left w:w="40" w:type="dxa"/>
              <w:bottom w:w="40" w:type="dxa"/>
              <w:right w:w="40" w:type="dxa"/>
            </w:tcMar>
            <w:vAlign w:val="bottom"/>
          </w:tcPr>
          <w:p w14:paraId="555698E6" w14:textId="77777777" w:rsidR="00F925DD" w:rsidRDefault="00E705D7">
            <w:pPr>
              <w:textAlignment w:val="bottom"/>
              <w:rPr>
                <w:rFonts w:ascii="Times New Roman" w:hAnsi="Times New Roman"/>
                <w:sz w:val="15"/>
                <w:szCs w:val="15"/>
              </w:rPr>
            </w:pPr>
            <w:r>
              <w:rPr>
                <w:rFonts w:ascii="Arial" w:eastAsia="宋体" w:hAnsi="Arial" w:cs="Arial"/>
                <w:sz w:val="15"/>
                <w:szCs w:val="15"/>
              </w:rPr>
              <w:t>Senior debt/Long-term issuer</w:t>
            </w:r>
          </w:p>
        </w:tc>
        <w:tc>
          <w:tcPr>
            <w:tcW w:w="0" w:type="auto"/>
            <w:shd w:val="clear" w:color="auto" w:fill="CCEEFF"/>
            <w:tcMar>
              <w:top w:w="40" w:type="dxa"/>
              <w:left w:w="40" w:type="dxa"/>
              <w:bottom w:w="40" w:type="dxa"/>
              <w:right w:w="40" w:type="dxa"/>
            </w:tcMar>
            <w:vAlign w:val="bottom"/>
          </w:tcPr>
          <w:p w14:paraId="555698E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AA-</w:t>
            </w:r>
          </w:p>
        </w:tc>
        <w:tc>
          <w:tcPr>
            <w:tcW w:w="0" w:type="auto"/>
            <w:shd w:val="clear" w:color="auto" w:fill="CCEEFF"/>
            <w:tcMar>
              <w:top w:w="40" w:type="dxa"/>
              <w:left w:w="40" w:type="dxa"/>
              <w:bottom w:w="40" w:type="dxa"/>
              <w:right w:w="40" w:type="dxa"/>
            </w:tcMar>
            <w:vAlign w:val="bottom"/>
          </w:tcPr>
          <w:p w14:paraId="555698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E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Aa3</w:t>
            </w:r>
          </w:p>
        </w:tc>
        <w:tc>
          <w:tcPr>
            <w:tcW w:w="0" w:type="auto"/>
            <w:shd w:val="clear" w:color="auto" w:fill="CCEEFF"/>
            <w:tcMar>
              <w:top w:w="40" w:type="dxa"/>
              <w:left w:w="40" w:type="dxa"/>
              <w:bottom w:w="40" w:type="dxa"/>
              <w:right w:w="40" w:type="dxa"/>
            </w:tcMar>
            <w:vAlign w:val="bottom"/>
          </w:tcPr>
          <w:p w14:paraId="555698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E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AA</w:t>
            </w:r>
          </w:p>
        </w:tc>
      </w:tr>
      <w:tr w:rsidR="00F925DD" w14:paraId="555698F3" w14:textId="77777777">
        <w:tc>
          <w:tcPr>
            <w:tcW w:w="0" w:type="auto"/>
            <w:shd w:val="clear" w:color="auto" w:fill="auto"/>
            <w:tcMar>
              <w:top w:w="40" w:type="dxa"/>
              <w:left w:w="40" w:type="dxa"/>
              <w:bottom w:w="40" w:type="dxa"/>
              <w:right w:w="40" w:type="dxa"/>
            </w:tcMar>
            <w:vAlign w:val="bottom"/>
          </w:tcPr>
          <w:p w14:paraId="555698ED" w14:textId="77777777" w:rsidR="00F925DD" w:rsidRDefault="00E705D7">
            <w:pPr>
              <w:textAlignment w:val="bottom"/>
              <w:rPr>
                <w:rFonts w:ascii="Times New Roman" w:hAnsi="Times New Roman"/>
                <w:sz w:val="15"/>
                <w:szCs w:val="15"/>
              </w:rPr>
            </w:pPr>
            <w:r>
              <w:rPr>
                <w:rFonts w:ascii="Arial" w:eastAsia="宋体" w:hAnsi="Arial" w:cs="Arial"/>
                <w:sz w:val="15"/>
                <w:szCs w:val="15"/>
              </w:rPr>
              <w:t>Subordinated debt</w:t>
            </w:r>
          </w:p>
        </w:tc>
        <w:tc>
          <w:tcPr>
            <w:tcW w:w="0" w:type="auto"/>
            <w:shd w:val="clear" w:color="auto" w:fill="auto"/>
            <w:tcMar>
              <w:top w:w="40" w:type="dxa"/>
              <w:left w:w="40" w:type="dxa"/>
              <w:bottom w:w="40" w:type="dxa"/>
              <w:right w:w="40" w:type="dxa"/>
            </w:tcMar>
            <w:vAlign w:val="bottom"/>
          </w:tcPr>
          <w:p w14:paraId="555698E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w:t>
            </w:r>
          </w:p>
        </w:tc>
        <w:tc>
          <w:tcPr>
            <w:tcW w:w="0" w:type="auto"/>
            <w:shd w:val="clear" w:color="auto" w:fill="auto"/>
            <w:tcMar>
              <w:top w:w="40" w:type="dxa"/>
              <w:left w:w="40" w:type="dxa"/>
              <w:bottom w:w="40" w:type="dxa"/>
              <w:right w:w="40" w:type="dxa"/>
            </w:tcMar>
            <w:vAlign w:val="bottom"/>
          </w:tcPr>
          <w:p w14:paraId="555698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F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Aa3</w:t>
            </w:r>
          </w:p>
        </w:tc>
        <w:tc>
          <w:tcPr>
            <w:tcW w:w="0" w:type="auto"/>
            <w:shd w:val="clear" w:color="auto" w:fill="auto"/>
            <w:tcMar>
              <w:top w:w="40" w:type="dxa"/>
              <w:left w:w="40" w:type="dxa"/>
              <w:bottom w:w="40" w:type="dxa"/>
              <w:right w:w="40" w:type="dxa"/>
            </w:tcMar>
            <w:vAlign w:val="bottom"/>
          </w:tcPr>
          <w:p w14:paraId="555698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8F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w:t>
            </w:r>
          </w:p>
        </w:tc>
      </w:tr>
      <w:tr w:rsidR="00F925DD" w14:paraId="555698FA" w14:textId="77777777">
        <w:tc>
          <w:tcPr>
            <w:tcW w:w="0" w:type="auto"/>
            <w:shd w:val="clear" w:color="auto" w:fill="CCEEFF"/>
            <w:tcMar>
              <w:top w:w="40" w:type="dxa"/>
              <w:left w:w="40" w:type="dxa"/>
              <w:bottom w:w="40" w:type="dxa"/>
              <w:right w:w="40" w:type="dxa"/>
            </w:tcMar>
            <w:vAlign w:val="bottom"/>
          </w:tcPr>
          <w:p w14:paraId="555698F4" w14:textId="77777777" w:rsidR="00F925DD" w:rsidRDefault="00E705D7">
            <w:pPr>
              <w:textAlignment w:val="bottom"/>
              <w:rPr>
                <w:rFonts w:ascii="Times New Roman" w:hAnsi="Times New Roman"/>
                <w:sz w:val="15"/>
                <w:szCs w:val="15"/>
              </w:rPr>
            </w:pPr>
            <w:r>
              <w:rPr>
                <w:rFonts w:ascii="Arial" w:eastAsia="宋体" w:hAnsi="Arial" w:cs="Arial"/>
                <w:sz w:val="15"/>
                <w:szCs w:val="15"/>
              </w:rPr>
              <w:t>Outlook</w:t>
            </w:r>
          </w:p>
        </w:tc>
        <w:tc>
          <w:tcPr>
            <w:tcW w:w="0" w:type="auto"/>
            <w:shd w:val="clear" w:color="auto" w:fill="CCEEFF"/>
            <w:tcMar>
              <w:top w:w="40" w:type="dxa"/>
              <w:left w:w="40" w:type="dxa"/>
              <w:bottom w:w="40" w:type="dxa"/>
              <w:right w:w="40" w:type="dxa"/>
            </w:tcMar>
            <w:vAlign w:val="bottom"/>
          </w:tcPr>
          <w:p w14:paraId="555698F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Stable</w:t>
            </w:r>
          </w:p>
        </w:tc>
        <w:tc>
          <w:tcPr>
            <w:tcW w:w="0" w:type="auto"/>
            <w:shd w:val="clear" w:color="auto" w:fill="CCEEFF"/>
            <w:tcMar>
              <w:top w:w="40" w:type="dxa"/>
              <w:left w:w="40" w:type="dxa"/>
              <w:bottom w:w="40" w:type="dxa"/>
              <w:right w:w="40" w:type="dxa"/>
            </w:tcMar>
            <w:vAlign w:val="bottom"/>
          </w:tcPr>
          <w:p w14:paraId="555698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F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Stable</w:t>
            </w:r>
          </w:p>
        </w:tc>
        <w:tc>
          <w:tcPr>
            <w:tcW w:w="0" w:type="auto"/>
            <w:shd w:val="clear" w:color="auto" w:fill="CCEEFF"/>
            <w:tcMar>
              <w:top w:w="40" w:type="dxa"/>
              <w:left w:w="40" w:type="dxa"/>
              <w:bottom w:w="40" w:type="dxa"/>
              <w:right w:w="40" w:type="dxa"/>
            </w:tcMar>
            <w:vAlign w:val="bottom"/>
          </w:tcPr>
          <w:p w14:paraId="555698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8F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Stable</w:t>
            </w:r>
          </w:p>
        </w:tc>
      </w:tr>
    </w:tbl>
    <w:p w14:paraId="555698FB" w14:textId="77777777" w:rsidR="00F925DD" w:rsidRDefault="00F925DD">
      <w:pPr>
        <w:rPr>
          <w:rFonts w:ascii="Times New Roman" w:hAnsi="Times New Roman"/>
          <w:sz w:val="20"/>
          <w:szCs w:val="20"/>
        </w:rPr>
      </w:pPr>
    </w:p>
    <w:p w14:paraId="555698F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92</w:t>
      </w:r>
    </w:p>
    <w:p w14:paraId="555698FD" w14:textId="77777777" w:rsidR="00F925DD" w:rsidRDefault="00F925DD">
      <w:pPr>
        <w:spacing w:line="288" w:lineRule="auto"/>
        <w:ind w:firstLine="600"/>
        <w:jc w:val="center"/>
        <w:rPr>
          <w:rFonts w:ascii="Times New Roman" w:hAnsi="Times New Roman"/>
          <w:sz w:val="18"/>
          <w:szCs w:val="18"/>
        </w:rPr>
      </w:pPr>
    </w:p>
    <w:p w14:paraId="555698FE" w14:textId="77777777" w:rsidR="00F925DD" w:rsidRDefault="00E705D7">
      <w:r>
        <w:rPr>
          <w:rFonts w:ascii="Times New Roman" w:hAnsi="Times New Roman"/>
          <w:sz w:val="18"/>
          <w:szCs w:val="18"/>
        </w:rPr>
        <w:pict w14:anchorId="55570696">
          <v:rect id="_x0000_i1116" style="width:415.3pt;height:1.5pt" o:hralign="center" o:hrstd="t" o:hr="t" fillcolor="#a0a0a0" stroked="f"/>
        </w:pict>
      </w:r>
    </w:p>
    <w:p w14:paraId="555698F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90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901" w14:textId="77777777" w:rsidR="00F925DD" w:rsidRDefault="00F925DD">
      <w:pPr>
        <w:rPr>
          <w:rFonts w:ascii="Times New Roman" w:hAnsi="Times New Roman"/>
          <w:sz w:val="20"/>
          <w:szCs w:val="20"/>
        </w:rPr>
      </w:pPr>
    </w:p>
    <w:p w14:paraId="5556990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Contractual Cash Obligations and Other Commitments</w:t>
      </w:r>
    </w:p>
    <w:p w14:paraId="5556990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long-term contractual cash obligations included within Table 32: Long-Term Contractual Cash Obligations were recor</w:t>
      </w:r>
      <w:r>
        <w:rPr>
          <w:rFonts w:ascii="Arial" w:eastAsia="宋体" w:hAnsi="Arial" w:cs="Arial"/>
          <w:sz w:val="20"/>
          <w:szCs w:val="20"/>
        </w:rPr>
        <w:t>ded in our consolidated statement of condition as of December 31, 2019, except for the interest portions of long-term debt and finance leases.</w:t>
      </w:r>
    </w:p>
    <w:tbl>
      <w:tblPr>
        <w:tblW w:w="5000" w:type="pct"/>
        <w:tblCellMar>
          <w:left w:w="0" w:type="dxa"/>
          <w:right w:w="0" w:type="dxa"/>
        </w:tblCellMar>
        <w:tblLook w:val="04A0" w:firstRow="1" w:lastRow="0" w:firstColumn="1" w:lastColumn="0" w:noHBand="0" w:noVBand="1"/>
      </w:tblPr>
      <w:tblGrid>
        <w:gridCol w:w="2541"/>
        <w:gridCol w:w="119"/>
        <w:gridCol w:w="880"/>
        <w:gridCol w:w="65"/>
        <w:gridCol w:w="130"/>
        <w:gridCol w:w="118"/>
        <w:gridCol w:w="864"/>
        <w:gridCol w:w="50"/>
        <w:gridCol w:w="130"/>
        <w:gridCol w:w="118"/>
        <w:gridCol w:w="881"/>
        <w:gridCol w:w="50"/>
        <w:gridCol w:w="130"/>
        <w:gridCol w:w="120"/>
        <w:gridCol w:w="881"/>
        <w:gridCol w:w="50"/>
        <w:gridCol w:w="130"/>
        <w:gridCol w:w="118"/>
        <w:gridCol w:w="881"/>
        <w:gridCol w:w="50"/>
      </w:tblGrid>
      <w:tr w:rsidR="00F925DD" w14:paraId="55569905" w14:textId="77777777">
        <w:tc>
          <w:tcPr>
            <w:tcW w:w="0" w:type="auto"/>
            <w:gridSpan w:val="20"/>
            <w:shd w:val="clear" w:color="auto" w:fill="auto"/>
            <w:vAlign w:val="center"/>
          </w:tcPr>
          <w:p w14:paraId="55569904" w14:textId="77777777" w:rsidR="00F925DD" w:rsidRDefault="00F925DD">
            <w:pPr>
              <w:rPr>
                <w:rFonts w:ascii="Times New Roman" w:hAnsi="Times New Roman"/>
                <w:sz w:val="20"/>
                <w:szCs w:val="20"/>
              </w:rPr>
            </w:pPr>
          </w:p>
        </w:tc>
      </w:tr>
      <w:tr w:rsidR="00F925DD" w14:paraId="5556991A" w14:textId="77777777">
        <w:tc>
          <w:tcPr>
            <w:tcW w:w="1550" w:type="pct"/>
            <w:shd w:val="clear" w:color="auto" w:fill="auto"/>
            <w:vAlign w:val="center"/>
          </w:tcPr>
          <w:p w14:paraId="55569906" w14:textId="77777777" w:rsidR="00F925DD" w:rsidRDefault="00F925DD">
            <w:pPr>
              <w:rPr>
                <w:rFonts w:ascii="Times New Roman" w:hAnsi="Times New Roman"/>
                <w:sz w:val="20"/>
                <w:szCs w:val="20"/>
              </w:rPr>
            </w:pPr>
          </w:p>
        </w:tc>
        <w:tc>
          <w:tcPr>
            <w:tcW w:w="50" w:type="pct"/>
            <w:shd w:val="clear" w:color="auto" w:fill="auto"/>
            <w:vAlign w:val="center"/>
          </w:tcPr>
          <w:p w14:paraId="55569907" w14:textId="77777777" w:rsidR="00F925DD" w:rsidRDefault="00F925DD">
            <w:pPr>
              <w:rPr>
                <w:rFonts w:ascii="Times New Roman" w:hAnsi="Times New Roman"/>
                <w:sz w:val="20"/>
                <w:szCs w:val="20"/>
              </w:rPr>
            </w:pPr>
          </w:p>
        </w:tc>
        <w:tc>
          <w:tcPr>
            <w:tcW w:w="550" w:type="pct"/>
            <w:shd w:val="clear" w:color="auto" w:fill="auto"/>
            <w:vAlign w:val="center"/>
          </w:tcPr>
          <w:p w14:paraId="55569908" w14:textId="77777777" w:rsidR="00F925DD" w:rsidRDefault="00F925DD">
            <w:pPr>
              <w:rPr>
                <w:rFonts w:ascii="Times New Roman" w:hAnsi="Times New Roman"/>
                <w:sz w:val="20"/>
                <w:szCs w:val="20"/>
              </w:rPr>
            </w:pPr>
          </w:p>
        </w:tc>
        <w:tc>
          <w:tcPr>
            <w:tcW w:w="50" w:type="pct"/>
            <w:shd w:val="clear" w:color="auto" w:fill="auto"/>
            <w:vAlign w:val="center"/>
          </w:tcPr>
          <w:p w14:paraId="55569909" w14:textId="77777777" w:rsidR="00F925DD" w:rsidRDefault="00F925DD">
            <w:pPr>
              <w:rPr>
                <w:rFonts w:ascii="Times New Roman" w:hAnsi="Times New Roman"/>
                <w:sz w:val="20"/>
                <w:szCs w:val="20"/>
              </w:rPr>
            </w:pPr>
          </w:p>
        </w:tc>
        <w:tc>
          <w:tcPr>
            <w:tcW w:w="50" w:type="pct"/>
            <w:shd w:val="clear" w:color="auto" w:fill="auto"/>
            <w:vAlign w:val="center"/>
          </w:tcPr>
          <w:p w14:paraId="5556990A" w14:textId="77777777" w:rsidR="00F925DD" w:rsidRDefault="00F925DD">
            <w:pPr>
              <w:rPr>
                <w:rFonts w:ascii="Times New Roman" w:hAnsi="Times New Roman"/>
                <w:sz w:val="20"/>
                <w:szCs w:val="20"/>
              </w:rPr>
            </w:pPr>
          </w:p>
        </w:tc>
        <w:tc>
          <w:tcPr>
            <w:tcW w:w="50" w:type="pct"/>
            <w:shd w:val="clear" w:color="auto" w:fill="auto"/>
            <w:vAlign w:val="center"/>
          </w:tcPr>
          <w:p w14:paraId="5556990B" w14:textId="77777777" w:rsidR="00F925DD" w:rsidRDefault="00F925DD">
            <w:pPr>
              <w:rPr>
                <w:rFonts w:ascii="Times New Roman" w:hAnsi="Times New Roman"/>
                <w:sz w:val="20"/>
                <w:szCs w:val="20"/>
              </w:rPr>
            </w:pPr>
          </w:p>
        </w:tc>
        <w:tc>
          <w:tcPr>
            <w:tcW w:w="550" w:type="pct"/>
            <w:shd w:val="clear" w:color="auto" w:fill="auto"/>
            <w:vAlign w:val="center"/>
          </w:tcPr>
          <w:p w14:paraId="5556990C" w14:textId="77777777" w:rsidR="00F925DD" w:rsidRDefault="00F925DD">
            <w:pPr>
              <w:rPr>
                <w:rFonts w:ascii="Times New Roman" w:hAnsi="Times New Roman"/>
                <w:sz w:val="20"/>
                <w:szCs w:val="20"/>
              </w:rPr>
            </w:pPr>
          </w:p>
        </w:tc>
        <w:tc>
          <w:tcPr>
            <w:tcW w:w="50" w:type="pct"/>
            <w:shd w:val="clear" w:color="auto" w:fill="auto"/>
            <w:vAlign w:val="center"/>
          </w:tcPr>
          <w:p w14:paraId="5556990D" w14:textId="77777777" w:rsidR="00F925DD" w:rsidRDefault="00F925DD">
            <w:pPr>
              <w:rPr>
                <w:rFonts w:ascii="Times New Roman" w:hAnsi="Times New Roman"/>
                <w:sz w:val="20"/>
                <w:szCs w:val="20"/>
              </w:rPr>
            </w:pPr>
          </w:p>
        </w:tc>
        <w:tc>
          <w:tcPr>
            <w:tcW w:w="50" w:type="pct"/>
            <w:shd w:val="clear" w:color="auto" w:fill="auto"/>
            <w:vAlign w:val="center"/>
          </w:tcPr>
          <w:p w14:paraId="5556990E" w14:textId="77777777" w:rsidR="00F925DD" w:rsidRDefault="00F925DD">
            <w:pPr>
              <w:rPr>
                <w:rFonts w:ascii="Times New Roman" w:hAnsi="Times New Roman"/>
                <w:sz w:val="20"/>
                <w:szCs w:val="20"/>
              </w:rPr>
            </w:pPr>
          </w:p>
        </w:tc>
        <w:tc>
          <w:tcPr>
            <w:tcW w:w="50" w:type="pct"/>
            <w:shd w:val="clear" w:color="auto" w:fill="auto"/>
            <w:vAlign w:val="center"/>
          </w:tcPr>
          <w:p w14:paraId="5556990F" w14:textId="77777777" w:rsidR="00F925DD" w:rsidRDefault="00F925DD">
            <w:pPr>
              <w:rPr>
                <w:rFonts w:ascii="Times New Roman" w:hAnsi="Times New Roman"/>
                <w:sz w:val="20"/>
                <w:szCs w:val="20"/>
              </w:rPr>
            </w:pPr>
          </w:p>
        </w:tc>
        <w:tc>
          <w:tcPr>
            <w:tcW w:w="550" w:type="pct"/>
            <w:shd w:val="clear" w:color="auto" w:fill="auto"/>
            <w:vAlign w:val="center"/>
          </w:tcPr>
          <w:p w14:paraId="55569910" w14:textId="77777777" w:rsidR="00F925DD" w:rsidRDefault="00F925DD">
            <w:pPr>
              <w:rPr>
                <w:rFonts w:ascii="Times New Roman" w:hAnsi="Times New Roman"/>
                <w:sz w:val="20"/>
                <w:szCs w:val="20"/>
              </w:rPr>
            </w:pPr>
          </w:p>
        </w:tc>
        <w:tc>
          <w:tcPr>
            <w:tcW w:w="50" w:type="pct"/>
            <w:shd w:val="clear" w:color="auto" w:fill="auto"/>
            <w:vAlign w:val="center"/>
          </w:tcPr>
          <w:p w14:paraId="55569911" w14:textId="77777777" w:rsidR="00F925DD" w:rsidRDefault="00F925DD">
            <w:pPr>
              <w:rPr>
                <w:rFonts w:ascii="Times New Roman" w:hAnsi="Times New Roman"/>
                <w:sz w:val="20"/>
                <w:szCs w:val="20"/>
              </w:rPr>
            </w:pPr>
          </w:p>
        </w:tc>
        <w:tc>
          <w:tcPr>
            <w:tcW w:w="50" w:type="pct"/>
            <w:shd w:val="clear" w:color="auto" w:fill="auto"/>
            <w:vAlign w:val="center"/>
          </w:tcPr>
          <w:p w14:paraId="55569912" w14:textId="77777777" w:rsidR="00F925DD" w:rsidRDefault="00F925DD">
            <w:pPr>
              <w:rPr>
                <w:rFonts w:ascii="Times New Roman" w:hAnsi="Times New Roman"/>
                <w:sz w:val="20"/>
                <w:szCs w:val="20"/>
              </w:rPr>
            </w:pPr>
          </w:p>
        </w:tc>
        <w:tc>
          <w:tcPr>
            <w:tcW w:w="50" w:type="pct"/>
            <w:shd w:val="clear" w:color="auto" w:fill="auto"/>
            <w:vAlign w:val="center"/>
          </w:tcPr>
          <w:p w14:paraId="55569913" w14:textId="77777777" w:rsidR="00F925DD" w:rsidRDefault="00F925DD">
            <w:pPr>
              <w:rPr>
                <w:rFonts w:ascii="Times New Roman" w:hAnsi="Times New Roman"/>
                <w:sz w:val="20"/>
                <w:szCs w:val="20"/>
              </w:rPr>
            </w:pPr>
          </w:p>
        </w:tc>
        <w:tc>
          <w:tcPr>
            <w:tcW w:w="550" w:type="pct"/>
            <w:shd w:val="clear" w:color="auto" w:fill="auto"/>
            <w:vAlign w:val="center"/>
          </w:tcPr>
          <w:p w14:paraId="55569914" w14:textId="77777777" w:rsidR="00F925DD" w:rsidRDefault="00F925DD">
            <w:pPr>
              <w:rPr>
                <w:rFonts w:ascii="Times New Roman" w:hAnsi="Times New Roman"/>
                <w:sz w:val="20"/>
                <w:szCs w:val="20"/>
              </w:rPr>
            </w:pPr>
          </w:p>
        </w:tc>
        <w:tc>
          <w:tcPr>
            <w:tcW w:w="50" w:type="pct"/>
            <w:shd w:val="clear" w:color="auto" w:fill="auto"/>
            <w:vAlign w:val="center"/>
          </w:tcPr>
          <w:p w14:paraId="55569915" w14:textId="77777777" w:rsidR="00F925DD" w:rsidRDefault="00F925DD">
            <w:pPr>
              <w:rPr>
                <w:rFonts w:ascii="Times New Roman" w:hAnsi="Times New Roman"/>
                <w:sz w:val="20"/>
                <w:szCs w:val="20"/>
              </w:rPr>
            </w:pPr>
          </w:p>
        </w:tc>
        <w:tc>
          <w:tcPr>
            <w:tcW w:w="50" w:type="pct"/>
            <w:shd w:val="clear" w:color="auto" w:fill="auto"/>
            <w:vAlign w:val="center"/>
          </w:tcPr>
          <w:p w14:paraId="55569916" w14:textId="77777777" w:rsidR="00F925DD" w:rsidRDefault="00F925DD">
            <w:pPr>
              <w:rPr>
                <w:rFonts w:ascii="Times New Roman" w:hAnsi="Times New Roman"/>
                <w:sz w:val="20"/>
                <w:szCs w:val="20"/>
              </w:rPr>
            </w:pPr>
          </w:p>
        </w:tc>
        <w:tc>
          <w:tcPr>
            <w:tcW w:w="50" w:type="pct"/>
            <w:shd w:val="clear" w:color="auto" w:fill="auto"/>
            <w:vAlign w:val="center"/>
          </w:tcPr>
          <w:p w14:paraId="55569917" w14:textId="77777777" w:rsidR="00F925DD" w:rsidRDefault="00F925DD">
            <w:pPr>
              <w:rPr>
                <w:rFonts w:ascii="Times New Roman" w:hAnsi="Times New Roman"/>
                <w:sz w:val="20"/>
                <w:szCs w:val="20"/>
              </w:rPr>
            </w:pPr>
          </w:p>
        </w:tc>
        <w:tc>
          <w:tcPr>
            <w:tcW w:w="550" w:type="pct"/>
            <w:shd w:val="clear" w:color="auto" w:fill="auto"/>
            <w:vAlign w:val="center"/>
          </w:tcPr>
          <w:p w14:paraId="55569918" w14:textId="77777777" w:rsidR="00F925DD" w:rsidRDefault="00F925DD">
            <w:pPr>
              <w:rPr>
                <w:rFonts w:ascii="Times New Roman" w:hAnsi="Times New Roman"/>
                <w:sz w:val="20"/>
                <w:szCs w:val="20"/>
              </w:rPr>
            </w:pPr>
          </w:p>
        </w:tc>
        <w:tc>
          <w:tcPr>
            <w:tcW w:w="50" w:type="pct"/>
            <w:shd w:val="clear" w:color="auto" w:fill="auto"/>
            <w:vAlign w:val="center"/>
          </w:tcPr>
          <w:p w14:paraId="55569919" w14:textId="77777777" w:rsidR="00F925DD" w:rsidRDefault="00F925DD">
            <w:pPr>
              <w:rPr>
                <w:rFonts w:ascii="Times New Roman" w:hAnsi="Times New Roman"/>
                <w:sz w:val="20"/>
                <w:szCs w:val="20"/>
              </w:rPr>
            </w:pPr>
          </w:p>
        </w:tc>
      </w:tr>
      <w:tr w:rsidR="00F925DD" w14:paraId="5556991E" w14:textId="77777777">
        <w:tc>
          <w:tcPr>
            <w:tcW w:w="0" w:type="auto"/>
            <w:gridSpan w:val="16"/>
            <w:shd w:val="clear" w:color="auto" w:fill="auto"/>
            <w:tcMar>
              <w:top w:w="40" w:type="dxa"/>
              <w:left w:w="40" w:type="dxa"/>
              <w:bottom w:w="40" w:type="dxa"/>
              <w:right w:w="40" w:type="dxa"/>
            </w:tcMar>
            <w:vAlign w:val="bottom"/>
          </w:tcPr>
          <w:p w14:paraId="5556991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32: LONG-TERM CONTRACTUAL CASH OBLIGATIONS</w:t>
            </w:r>
          </w:p>
        </w:tc>
        <w:tc>
          <w:tcPr>
            <w:tcW w:w="0" w:type="auto"/>
            <w:shd w:val="clear" w:color="auto" w:fill="auto"/>
            <w:tcMar>
              <w:top w:w="40" w:type="dxa"/>
              <w:left w:w="40" w:type="dxa"/>
              <w:bottom w:w="40" w:type="dxa"/>
              <w:right w:w="40" w:type="dxa"/>
            </w:tcMar>
            <w:vAlign w:val="bottom"/>
          </w:tcPr>
          <w:p w14:paraId="555699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9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921" w14:textId="77777777">
        <w:tc>
          <w:tcPr>
            <w:tcW w:w="0" w:type="auto"/>
            <w:shd w:val="clear" w:color="auto" w:fill="auto"/>
            <w:tcMar>
              <w:top w:w="40" w:type="dxa"/>
              <w:left w:w="40" w:type="dxa"/>
              <w:bottom w:w="40" w:type="dxa"/>
              <w:right w:w="40" w:type="dxa"/>
            </w:tcMar>
            <w:vAlign w:val="bottom"/>
          </w:tcPr>
          <w:p w14:paraId="5556991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gridSpan w:val="19"/>
            <w:tcBorders>
              <w:bottom w:val="single" w:sz="8" w:space="0" w:color="000000"/>
            </w:tcBorders>
            <w:shd w:val="clear" w:color="auto" w:fill="auto"/>
            <w:tcMar>
              <w:top w:w="40" w:type="dxa"/>
              <w:left w:w="40" w:type="dxa"/>
              <w:bottom w:w="40" w:type="dxa"/>
            </w:tcMar>
            <w:vAlign w:val="bottom"/>
          </w:tcPr>
          <w:p w14:paraId="5556992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Payments Due by </w:t>
            </w:r>
            <w:r>
              <w:rPr>
                <w:rFonts w:ascii="Arial" w:eastAsia="宋体" w:hAnsi="Arial" w:cs="Arial"/>
                <w:b/>
                <w:bCs/>
                <w:sz w:val="14"/>
                <w:szCs w:val="14"/>
              </w:rPr>
              <w:t>Period</w:t>
            </w:r>
          </w:p>
        </w:tc>
      </w:tr>
      <w:tr w:rsidR="00F925DD" w14:paraId="55569930" w14:textId="77777777">
        <w:tc>
          <w:tcPr>
            <w:tcW w:w="0" w:type="auto"/>
            <w:shd w:val="clear" w:color="auto" w:fill="auto"/>
            <w:tcMar>
              <w:top w:w="40" w:type="dxa"/>
              <w:left w:w="40" w:type="dxa"/>
              <w:bottom w:w="40" w:type="dxa"/>
              <w:right w:w="40" w:type="dxa"/>
            </w:tcMar>
            <w:vAlign w:val="bottom"/>
          </w:tcPr>
          <w:p w14:paraId="5556992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92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Less than 1</w:t>
            </w:r>
          </w:p>
          <w:p w14:paraId="5556992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w:t>
            </w:r>
          </w:p>
        </w:tc>
        <w:tc>
          <w:tcPr>
            <w:tcW w:w="0" w:type="auto"/>
            <w:shd w:val="clear" w:color="auto" w:fill="auto"/>
            <w:tcMar>
              <w:top w:w="40" w:type="dxa"/>
              <w:left w:w="40" w:type="dxa"/>
              <w:bottom w:w="40" w:type="dxa"/>
              <w:right w:w="40" w:type="dxa"/>
            </w:tcMar>
            <w:vAlign w:val="bottom"/>
          </w:tcPr>
          <w:p w14:paraId="555699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92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1-3</w:t>
            </w:r>
          </w:p>
          <w:p w14:paraId="5556992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w:t>
            </w:r>
          </w:p>
        </w:tc>
        <w:tc>
          <w:tcPr>
            <w:tcW w:w="0" w:type="auto"/>
            <w:shd w:val="clear" w:color="auto" w:fill="auto"/>
            <w:tcMar>
              <w:top w:w="40" w:type="dxa"/>
              <w:left w:w="40" w:type="dxa"/>
              <w:bottom w:w="40" w:type="dxa"/>
              <w:right w:w="40" w:type="dxa"/>
            </w:tcMar>
            <w:vAlign w:val="bottom"/>
          </w:tcPr>
          <w:p w14:paraId="555699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92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4-5</w:t>
            </w:r>
          </w:p>
          <w:p w14:paraId="5556992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w:t>
            </w:r>
          </w:p>
        </w:tc>
        <w:tc>
          <w:tcPr>
            <w:tcW w:w="0" w:type="auto"/>
            <w:shd w:val="clear" w:color="auto" w:fill="auto"/>
            <w:tcMar>
              <w:top w:w="40" w:type="dxa"/>
              <w:left w:w="40" w:type="dxa"/>
              <w:bottom w:w="40" w:type="dxa"/>
              <w:right w:w="40" w:type="dxa"/>
            </w:tcMar>
            <w:vAlign w:val="bottom"/>
          </w:tcPr>
          <w:p w14:paraId="555699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92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Over 5</w:t>
            </w:r>
          </w:p>
          <w:p w14:paraId="5556992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w:t>
            </w:r>
          </w:p>
        </w:tc>
        <w:tc>
          <w:tcPr>
            <w:tcW w:w="0" w:type="auto"/>
            <w:shd w:val="clear" w:color="auto" w:fill="auto"/>
            <w:tcMar>
              <w:top w:w="40" w:type="dxa"/>
              <w:left w:w="40" w:type="dxa"/>
              <w:bottom w:w="40" w:type="dxa"/>
              <w:right w:w="40" w:type="dxa"/>
            </w:tcMar>
            <w:vAlign w:val="bottom"/>
          </w:tcPr>
          <w:p w14:paraId="555699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92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r>
      <w:tr w:rsidR="00F925DD" w14:paraId="55569945" w14:textId="77777777">
        <w:tc>
          <w:tcPr>
            <w:tcW w:w="0" w:type="auto"/>
            <w:shd w:val="clear" w:color="auto" w:fill="CCEEFF"/>
            <w:tcMar>
              <w:top w:w="40" w:type="dxa"/>
              <w:left w:w="40" w:type="dxa"/>
              <w:bottom w:w="40" w:type="dxa"/>
              <w:right w:w="40" w:type="dxa"/>
            </w:tcMar>
            <w:vAlign w:val="bottom"/>
          </w:tcPr>
          <w:p w14:paraId="55569931" w14:textId="77777777" w:rsidR="00F925DD" w:rsidRDefault="00E705D7">
            <w:pPr>
              <w:textAlignment w:val="bottom"/>
              <w:rPr>
                <w:rFonts w:ascii="Times New Roman" w:hAnsi="Times New Roman"/>
                <w:sz w:val="14"/>
                <w:szCs w:val="14"/>
              </w:rPr>
            </w:pPr>
            <w:r>
              <w:rPr>
                <w:rFonts w:ascii="Arial" w:eastAsia="宋体" w:hAnsi="Arial" w:cs="Arial"/>
                <w:sz w:val="14"/>
                <w:szCs w:val="14"/>
              </w:rPr>
              <w:t>Long-term debt</w:t>
            </w:r>
            <w:r>
              <w:rPr>
                <w:rFonts w:ascii="Arial" w:eastAsia="宋体" w:hAnsi="Arial" w:cs="Arial"/>
                <w:sz w:val="10"/>
                <w:szCs w:val="10"/>
              </w:rPr>
              <w:t>(1)(2)</w:t>
            </w:r>
          </w:p>
        </w:tc>
        <w:tc>
          <w:tcPr>
            <w:tcW w:w="0" w:type="auto"/>
            <w:tcBorders>
              <w:top w:val="single" w:sz="8" w:space="0" w:color="000000"/>
            </w:tcBorders>
            <w:shd w:val="clear" w:color="auto" w:fill="CCEEFF"/>
            <w:tcMar>
              <w:top w:w="40" w:type="dxa"/>
              <w:left w:w="40" w:type="dxa"/>
              <w:bottom w:w="40" w:type="dxa"/>
            </w:tcMar>
            <w:vAlign w:val="bottom"/>
          </w:tcPr>
          <w:p w14:paraId="5556993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993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1,691</w:t>
            </w:r>
          </w:p>
        </w:tc>
        <w:tc>
          <w:tcPr>
            <w:tcW w:w="0" w:type="auto"/>
            <w:tcBorders>
              <w:top w:val="single" w:sz="8" w:space="0" w:color="000000"/>
            </w:tcBorders>
            <w:shd w:val="clear" w:color="auto" w:fill="CCEEFF"/>
            <w:vAlign w:val="bottom"/>
          </w:tcPr>
          <w:p w14:paraId="555699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93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993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1,492</w:t>
            </w:r>
          </w:p>
        </w:tc>
        <w:tc>
          <w:tcPr>
            <w:tcW w:w="0" w:type="auto"/>
            <w:tcBorders>
              <w:top w:val="single" w:sz="8" w:space="0" w:color="000000"/>
            </w:tcBorders>
            <w:shd w:val="clear" w:color="auto" w:fill="CCEEFF"/>
            <w:vAlign w:val="bottom"/>
          </w:tcPr>
          <w:p w14:paraId="555699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93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993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4,340</w:t>
            </w:r>
          </w:p>
        </w:tc>
        <w:tc>
          <w:tcPr>
            <w:tcW w:w="0" w:type="auto"/>
            <w:tcBorders>
              <w:top w:val="single" w:sz="8" w:space="0" w:color="000000"/>
            </w:tcBorders>
            <w:shd w:val="clear" w:color="auto" w:fill="CCEEFF"/>
            <w:vAlign w:val="bottom"/>
          </w:tcPr>
          <w:p w14:paraId="555699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93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993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4,850</w:t>
            </w:r>
          </w:p>
        </w:tc>
        <w:tc>
          <w:tcPr>
            <w:tcW w:w="0" w:type="auto"/>
            <w:tcBorders>
              <w:top w:val="single" w:sz="8" w:space="0" w:color="000000"/>
            </w:tcBorders>
            <w:shd w:val="clear" w:color="auto" w:fill="CCEEFF"/>
            <w:vAlign w:val="bottom"/>
          </w:tcPr>
          <w:p w14:paraId="555699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94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994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12,373</w:t>
            </w:r>
          </w:p>
        </w:tc>
        <w:tc>
          <w:tcPr>
            <w:tcW w:w="0" w:type="auto"/>
            <w:tcBorders>
              <w:top w:val="single" w:sz="8" w:space="0" w:color="000000"/>
            </w:tcBorders>
            <w:shd w:val="clear" w:color="auto" w:fill="CCEEFF"/>
            <w:vAlign w:val="bottom"/>
          </w:tcPr>
          <w:p w14:paraId="55569944" w14:textId="77777777" w:rsidR="00F925DD" w:rsidRDefault="00F925DD">
            <w:pPr>
              <w:textAlignment w:val="bottom"/>
              <w:rPr>
                <w:rFonts w:ascii="Times New Roman" w:hAnsi="Times New Roman"/>
                <w:sz w:val="20"/>
                <w:szCs w:val="20"/>
              </w:rPr>
            </w:pPr>
          </w:p>
        </w:tc>
      </w:tr>
      <w:tr w:rsidR="00F925DD" w14:paraId="55569955" w14:textId="77777777">
        <w:tc>
          <w:tcPr>
            <w:tcW w:w="0" w:type="auto"/>
            <w:shd w:val="clear" w:color="auto" w:fill="auto"/>
            <w:tcMar>
              <w:top w:w="40" w:type="dxa"/>
              <w:left w:w="40" w:type="dxa"/>
              <w:bottom w:w="40" w:type="dxa"/>
              <w:right w:w="40" w:type="dxa"/>
            </w:tcMar>
          </w:tcPr>
          <w:p w14:paraId="55569946" w14:textId="77777777" w:rsidR="00F925DD" w:rsidRDefault="00E705D7">
            <w:pPr>
              <w:textAlignment w:val="top"/>
              <w:rPr>
                <w:rFonts w:ascii="Times New Roman" w:hAnsi="Times New Roman"/>
                <w:sz w:val="14"/>
                <w:szCs w:val="14"/>
              </w:rPr>
            </w:pPr>
            <w:r>
              <w:rPr>
                <w:rFonts w:ascii="Arial" w:eastAsia="宋体" w:hAnsi="Arial" w:cs="Arial"/>
                <w:sz w:val="14"/>
                <w:szCs w:val="14"/>
              </w:rPr>
              <w:t>Operating leases</w:t>
            </w:r>
          </w:p>
        </w:tc>
        <w:tc>
          <w:tcPr>
            <w:tcW w:w="0" w:type="auto"/>
            <w:gridSpan w:val="2"/>
            <w:shd w:val="clear" w:color="auto" w:fill="auto"/>
            <w:tcMar>
              <w:top w:w="40" w:type="dxa"/>
              <w:left w:w="40" w:type="dxa"/>
              <w:bottom w:w="40" w:type="dxa"/>
            </w:tcMar>
            <w:vAlign w:val="bottom"/>
          </w:tcPr>
          <w:p w14:paraId="5556994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183</w:t>
            </w:r>
          </w:p>
        </w:tc>
        <w:tc>
          <w:tcPr>
            <w:tcW w:w="0" w:type="auto"/>
            <w:shd w:val="clear" w:color="auto" w:fill="auto"/>
            <w:vAlign w:val="bottom"/>
          </w:tcPr>
          <w:p w14:paraId="555699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4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344</w:t>
            </w:r>
          </w:p>
        </w:tc>
        <w:tc>
          <w:tcPr>
            <w:tcW w:w="0" w:type="auto"/>
            <w:shd w:val="clear" w:color="auto" w:fill="auto"/>
            <w:vAlign w:val="bottom"/>
          </w:tcPr>
          <w:p w14:paraId="555699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4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251</w:t>
            </w:r>
          </w:p>
        </w:tc>
        <w:tc>
          <w:tcPr>
            <w:tcW w:w="0" w:type="auto"/>
            <w:shd w:val="clear" w:color="auto" w:fill="auto"/>
            <w:vAlign w:val="bottom"/>
          </w:tcPr>
          <w:p w14:paraId="555699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5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356</w:t>
            </w:r>
          </w:p>
        </w:tc>
        <w:tc>
          <w:tcPr>
            <w:tcW w:w="0" w:type="auto"/>
            <w:shd w:val="clear" w:color="auto" w:fill="auto"/>
            <w:vAlign w:val="bottom"/>
          </w:tcPr>
          <w:p w14:paraId="555699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5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1,134</w:t>
            </w:r>
          </w:p>
        </w:tc>
        <w:tc>
          <w:tcPr>
            <w:tcW w:w="0" w:type="auto"/>
            <w:shd w:val="clear" w:color="auto" w:fill="auto"/>
            <w:vAlign w:val="bottom"/>
          </w:tcPr>
          <w:p w14:paraId="55569954" w14:textId="77777777" w:rsidR="00F925DD" w:rsidRDefault="00F925DD">
            <w:pPr>
              <w:textAlignment w:val="bottom"/>
              <w:rPr>
                <w:rFonts w:ascii="Times New Roman" w:hAnsi="Times New Roman"/>
                <w:sz w:val="20"/>
                <w:szCs w:val="20"/>
              </w:rPr>
            </w:pPr>
          </w:p>
        </w:tc>
      </w:tr>
      <w:tr w:rsidR="00F925DD" w14:paraId="55569965" w14:textId="77777777">
        <w:tc>
          <w:tcPr>
            <w:tcW w:w="0" w:type="auto"/>
            <w:shd w:val="clear" w:color="auto" w:fill="CCEEFF"/>
            <w:tcMar>
              <w:top w:w="40" w:type="dxa"/>
              <w:left w:w="40" w:type="dxa"/>
              <w:bottom w:w="40" w:type="dxa"/>
              <w:right w:w="40" w:type="dxa"/>
            </w:tcMar>
          </w:tcPr>
          <w:p w14:paraId="55569956" w14:textId="77777777" w:rsidR="00F925DD" w:rsidRDefault="00E705D7">
            <w:pPr>
              <w:textAlignment w:val="top"/>
              <w:rPr>
                <w:rFonts w:ascii="Times New Roman" w:hAnsi="Times New Roman"/>
                <w:sz w:val="14"/>
                <w:szCs w:val="14"/>
              </w:rPr>
            </w:pPr>
            <w:r>
              <w:rPr>
                <w:rFonts w:ascii="Arial" w:eastAsia="宋体" w:hAnsi="Arial" w:cs="Arial"/>
                <w:sz w:val="14"/>
                <w:szCs w:val="14"/>
              </w:rPr>
              <w:t>Finance lease obligations</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5556995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w:t>
            </w:r>
          </w:p>
        </w:tc>
        <w:tc>
          <w:tcPr>
            <w:tcW w:w="0" w:type="auto"/>
            <w:shd w:val="clear" w:color="auto" w:fill="CCEEFF"/>
            <w:vAlign w:val="bottom"/>
          </w:tcPr>
          <w:p w14:paraId="5556995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95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82</w:t>
            </w:r>
          </w:p>
        </w:tc>
        <w:tc>
          <w:tcPr>
            <w:tcW w:w="0" w:type="auto"/>
            <w:shd w:val="clear" w:color="auto" w:fill="CCEEFF"/>
            <w:vAlign w:val="bottom"/>
          </w:tcPr>
          <w:p w14:paraId="555699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95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w:t>
            </w:r>
          </w:p>
        </w:tc>
        <w:tc>
          <w:tcPr>
            <w:tcW w:w="0" w:type="auto"/>
            <w:shd w:val="clear" w:color="auto" w:fill="CCEEFF"/>
            <w:vAlign w:val="bottom"/>
          </w:tcPr>
          <w:p w14:paraId="555699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96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99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96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154</w:t>
            </w:r>
          </w:p>
        </w:tc>
        <w:tc>
          <w:tcPr>
            <w:tcW w:w="0" w:type="auto"/>
            <w:shd w:val="clear" w:color="auto" w:fill="CCEEFF"/>
            <w:vAlign w:val="bottom"/>
          </w:tcPr>
          <w:p w14:paraId="55569964" w14:textId="77777777" w:rsidR="00F925DD" w:rsidRDefault="00F925DD">
            <w:pPr>
              <w:textAlignment w:val="bottom"/>
              <w:rPr>
                <w:rFonts w:ascii="Times New Roman" w:hAnsi="Times New Roman"/>
                <w:sz w:val="20"/>
                <w:szCs w:val="20"/>
              </w:rPr>
            </w:pPr>
          </w:p>
        </w:tc>
      </w:tr>
      <w:tr w:rsidR="00F925DD" w14:paraId="55569975" w14:textId="77777777">
        <w:tc>
          <w:tcPr>
            <w:tcW w:w="0" w:type="auto"/>
            <w:shd w:val="clear" w:color="auto" w:fill="auto"/>
            <w:tcMar>
              <w:top w:w="40" w:type="dxa"/>
              <w:left w:w="40" w:type="dxa"/>
              <w:bottom w:w="40" w:type="dxa"/>
              <w:right w:w="40" w:type="dxa"/>
            </w:tcMar>
          </w:tcPr>
          <w:p w14:paraId="55569966" w14:textId="77777777" w:rsidR="00F925DD" w:rsidRDefault="00E705D7">
            <w:pPr>
              <w:textAlignment w:val="top"/>
              <w:rPr>
                <w:rFonts w:ascii="Times New Roman" w:hAnsi="Times New Roman"/>
                <w:sz w:val="14"/>
                <w:szCs w:val="14"/>
              </w:rPr>
            </w:pPr>
            <w:r>
              <w:rPr>
                <w:rFonts w:ascii="Arial" w:eastAsia="宋体" w:hAnsi="Arial" w:cs="Arial"/>
                <w:sz w:val="14"/>
                <w:szCs w:val="14"/>
              </w:rPr>
              <w:t>Tax liability</w:t>
            </w:r>
          </w:p>
        </w:tc>
        <w:tc>
          <w:tcPr>
            <w:tcW w:w="0" w:type="auto"/>
            <w:gridSpan w:val="2"/>
            <w:shd w:val="clear" w:color="auto" w:fill="auto"/>
            <w:tcMar>
              <w:top w:w="40" w:type="dxa"/>
              <w:left w:w="40" w:type="dxa"/>
              <w:bottom w:w="40" w:type="dxa"/>
            </w:tcMar>
            <w:vAlign w:val="bottom"/>
          </w:tcPr>
          <w:p w14:paraId="5556996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996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6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996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6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w:t>
            </w:r>
          </w:p>
        </w:tc>
        <w:tc>
          <w:tcPr>
            <w:tcW w:w="0" w:type="auto"/>
            <w:shd w:val="clear" w:color="auto" w:fill="auto"/>
            <w:vAlign w:val="bottom"/>
          </w:tcPr>
          <w:p w14:paraId="555699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7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shd w:val="clear" w:color="auto" w:fill="auto"/>
            <w:vAlign w:val="bottom"/>
          </w:tcPr>
          <w:p w14:paraId="5556997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997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47</w:t>
            </w:r>
          </w:p>
        </w:tc>
        <w:tc>
          <w:tcPr>
            <w:tcW w:w="0" w:type="auto"/>
            <w:tcBorders>
              <w:bottom w:val="single" w:sz="8" w:space="0" w:color="000000"/>
            </w:tcBorders>
            <w:shd w:val="clear" w:color="auto" w:fill="auto"/>
            <w:vAlign w:val="bottom"/>
          </w:tcPr>
          <w:p w14:paraId="55569974" w14:textId="77777777" w:rsidR="00F925DD" w:rsidRDefault="00F925DD">
            <w:pPr>
              <w:textAlignment w:val="bottom"/>
              <w:rPr>
                <w:rFonts w:ascii="Times New Roman" w:hAnsi="Times New Roman"/>
                <w:sz w:val="20"/>
                <w:szCs w:val="20"/>
              </w:rPr>
            </w:pPr>
          </w:p>
        </w:tc>
      </w:tr>
      <w:tr w:rsidR="00F925DD" w14:paraId="5556998A" w14:textId="77777777">
        <w:tc>
          <w:tcPr>
            <w:tcW w:w="0" w:type="auto"/>
            <w:shd w:val="clear" w:color="auto" w:fill="CCEEFF"/>
            <w:tcMar>
              <w:top w:w="40" w:type="dxa"/>
              <w:left w:w="40" w:type="dxa"/>
              <w:bottom w:w="40" w:type="dxa"/>
              <w:right w:w="40" w:type="dxa"/>
            </w:tcMar>
          </w:tcPr>
          <w:p w14:paraId="55569976" w14:textId="77777777" w:rsidR="00F925DD" w:rsidRDefault="00E705D7">
            <w:pPr>
              <w:textAlignment w:val="top"/>
              <w:rPr>
                <w:rFonts w:ascii="Times New Roman" w:hAnsi="Times New Roman"/>
                <w:sz w:val="14"/>
                <w:szCs w:val="14"/>
              </w:rPr>
            </w:pPr>
            <w:r>
              <w:rPr>
                <w:rFonts w:ascii="Arial" w:eastAsia="宋体" w:hAnsi="Arial" w:cs="Arial"/>
                <w:sz w:val="14"/>
                <w:szCs w:val="14"/>
              </w:rPr>
              <w:t>Total contractual cash obligations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97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97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1,915</w:t>
            </w:r>
          </w:p>
        </w:tc>
        <w:tc>
          <w:tcPr>
            <w:tcW w:w="0" w:type="auto"/>
            <w:tcBorders>
              <w:top w:val="single" w:sz="8" w:space="0" w:color="000000"/>
              <w:bottom w:val="double" w:sz="6" w:space="0" w:color="000000"/>
            </w:tcBorders>
            <w:shd w:val="clear" w:color="auto" w:fill="CCEEFF"/>
            <w:vAlign w:val="bottom"/>
          </w:tcPr>
          <w:p w14:paraId="5556997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97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97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1,918</w:t>
            </w:r>
          </w:p>
        </w:tc>
        <w:tc>
          <w:tcPr>
            <w:tcW w:w="0" w:type="auto"/>
            <w:tcBorders>
              <w:top w:val="single" w:sz="8" w:space="0" w:color="000000"/>
              <w:bottom w:val="double" w:sz="6" w:space="0" w:color="000000"/>
            </w:tcBorders>
            <w:shd w:val="clear" w:color="auto" w:fill="CCEEFF"/>
            <w:vAlign w:val="bottom"/>
          </w:tcPr>
          <w:p w14:paraId="5556997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97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98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4,645</w:t>
            </w:r>
          </w:p>
        </w:tc>
        <w:tc>
          <w:tcPr>
            <w:tcW w:w="0" w:type="auto"/>
            <w:tcBorders>
              <w:top w:val="single" w:sz="8" w:space="0" w:color="000000"/>
              <w:bottom w:val="double" w:sz="6" w:space="0" w:color="000000"/>
            </w:tcBorders>
            <w:shd w:val="clear" w:color="auto" w:fill="CCEEFF"/>
            <w:vAlign w:val="bottom"/>
          </w:tcPr>
          <w:p w14:paraId="5556998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98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98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5,230</w:t>
            </w:r>
          </w:p>
        </w:tc>
        <w:tc>
          <w:tcPr>
            <w:tcW w:w="0" w:type="auto"/>
            <w:tcBorders>
              <w:top w:val="single" w:sz="8" w:space="0" w:color="000000"/>
              <w:bottom w:val="double" w:sz="6" w:space="0" w:color="000000"/>
            </w:tcBorders>
            <w:shd w:val="clear" w:color="auto" w:fill="CCEEFF"/>
            <w:vAlign w:val="bottom"/>
          </w:tcPr>
          <w:p w14:paraId="555699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98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98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13,708</w:t>
            </w:r>
          </w:p>
        </w:tc>
        <w:tc>
          <w:tcPr>
            <w:tcW w:w="0" w:type="auto"/>
            <w:tcBorders>
              <w:top w:val="single" w:sz="8" w:space="0" w:color="000000"/>
              <w:bottom w:val="double" w:sz="6" w:space="0" w:color="000000"/>
            </w:tcBorders>
            <w:shd w:val="clear" w:color="auto" w:fill="CCEEFF"/>
            <w:vAlign w:val="bottom"/>
          </w:tcPr>
          <w:p w14:paraId="55569989" w14:textId="77777777" w:rsidR="00F925DD" w:rsidRDefault="00F925DD">
            <w:pPr>
              <w:textAlignment w:val="bottom"/>
              <w:rPr>
                <w:rFonts w:ascii="Times New Roman" w:hAnsi="Times New Roman"/>
                <w:sz w:val="20"/>
                <w:szCs w:val="20"/>
              </w:rPr>
            </w:pPr>
          </w:p>
        </w:tc>
      </w:tr>
    </w:tbl>
    <w:p w14:paraId="5556998B" w14:textId="77777777" w:rsidR="00F925DD" w:rsidRDefault="00F925DD">
      <w:pPr>
        <w:rPr>
          <w:vanish/>
        </w:rPr>
      </w:pPr>
    </w:p>
    <w:tbl>
      <w:tblPr>
        <w:tblW w:w="13640" w:type="dxa"/>
        <w:tblCellMar>
          <w:left w:w="0" w:type="dxa"/>
          <w:right w:w="0" w:type="dxa"/>
        </w:tblCellMar>
        <w:tblLook w:val="04A0" w:firstRow="1" w:lastRow="0" w:firstColumn="1" w:lastColumn="0" w:noHBand="0" w:noVBand="1"/>
      </w:tblPr>
      <w:tblGrid>
        <w:gridCol w:w="5220"/>
        <w:gridCol w:w="2260"/>
        <w:gridCol w:w="2080"/>
        <w:gridCol w:w="4080"/>
      </w:tblGrid>
      <w:tr w:rsidR="00F925DD" w14:paraId="5556998D" w14:textId="77777777">
        <w:tc>
          <w:tcPr>
            <w:tcW w:w="0" w:type="auto"/>
            <w:gridSpan w:val="4"/>
            <w:shd w:val="clear" w:color="auto" w:fill="auto"/>
            <w:vAlign w:val="center"/>
          </w:tcPr>
          <w:p w14:paraId="5556998C" w14:textId="77777777" w:rsidR="00F925DD" w:rsidRDefault="00F925DD">
            <w:pPr>
              <w:rPr>
                <w:rFonts w:ascii="Times New Roman" w:hAnsi="Times New Roman"/>
                <w:sz w:val="20"/>
                <w:szCs w:val="20"/>
              </w:rPr>
            </w:pPr>
          </w:p>
        </w:tc>
      </w:tr>
      <w:tr w:rsidR="00F925DD" w14:paraId="55569992" w14:textId="77777777">
        <w:tc>
          <w:tcPr>
            <w:tcW w:w="5220" w:type="dxa"/>
            <w:shd w:val="clear" w:color="auto" w:fill="auto"/>
            <w:vAlign w:val="center"/>
          </w:tcPr>
          <w:p w14:paraId="5556998E" w14:textId="77777777" w:rsidR="00F925DD" w:rsidRDefault="00F925DD">
            <w:pPr>
              <w:rPr>
                <w:rFonts w:ascii="Times New Roman" w:hAnsi="Times New Roman"/>
                <w:sz w:val="20"/>
                <w:szCs w:val="20"/>
              </w:rPr>
            </w:pPr>
          </w:p>
        </w:tc>
        <w:tc>
          <w:tcPr>
            <w:tcW w:w="2260" w:type="dxa"/>
            <w:shd w:val="clear" w:color="auto" w:fill="auto"/>
            <w:vAlign w:val="center"/>
          </w:tcPr>
          <w:p w14:paraId="5556998F" w14:textId="77777777" w:rsidR="00F925DD" w:rsidRDefault="00F925DD">
            <w:pPr>
              <w:rPr>
                <w:rFonts w:ascii="Times New Roman" w:hAnsi="Times New Roman"/>
                <w:sz w:val="20"/>
                <w:szCs w:val="20"/>
              </w:rPr>
            </w:pPr>
          </w:p>
        </w:tc>
        <w:tc>
          <w:tcPr>
            <w:tcW w:w="2080" w:type="dxa"/>
            <w:shd w:val="clear" w:color="auto" w:fill="auto"/>
            <w:vAlign w:val="center"/>
          </w:tcPr>
          <w:p w14:paraId="55569990" w14:textId="77777777" w:rsidR="00F925DD" w:rsidRDefault="00F925DD">
            <w:pPr>
              <w:rPr>
                <w:rFonts w:ascii="Times New Roman" w:hAnsi="Times New Roman"/>
                <w:sz w:val="20"/>
                <w:szCs w:val="20"/>
              </w:rPr>
            </w:pPr>
          </w:p>
        </w:tc>
        <w:tc>
          <w:tcPr>
            <w:tcW w:w="4080" w:type="dxa"/>
            <w:shd w:val="clear" w:color="auto" w:fill="auto"/>
            <w:vAlign w:val="center"/>
          </w:tcPr>
          <w:p w14:paraId="55569991" w14:textId="77777777" w:rsidR="00F925DD" w:rsidRDefault="00F925DD">
            <w:pPr>
              <w:rPr>
                <w:rFonts w:ascii="Times New Roman" w:hAnsi="Times New Roman"/>
                <w:sz w:val="20"/>
                <w:szCs w:val="20"/>
              </w:rPr>
            </w:pPr>
          </w:p>
        </w:tc>
      </w:tr>
      <w:tr w:rsidR="00F925DD" w14:paraId="5556999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99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9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9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9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9998"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Long-term debt excludes finance lease obligations (presented as a separate line item) and the effect of interest rate swaps. Interest payments were calculated at the stated rate with the exception of floating-rate debt, for which payments were calculated u</w:t>
      </w:r>
      <w:r>
        <w:rPr>
          <w:rFonts w:ascii="Arial" w:eastAsia="宋体" w:hAnsi="Arial" w:cs="Arial"/>
          <w:sz w:val="14"/>
          <w:szCs w:val="14"/>
        </w:rPr>
        <w:t xml:space="preserve">sing the indexed rate in effect as of December 31, 2019. </w:t>
      </w:r>
    </w:p>
    <w:p w14:paraId="55569999"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(2)</w:t>
      </w:r>
      <w:r>
        <w:rPr>
          <w:rFonts w:ascii="Arial" w:eastAsia="宋体" w:hAnsi="Arial" w:cs="Arial"/>
          <w:sz w:val="14"/>
          <w:szCs w:val="14"/>
        </w:rPr>
        <w:t xml:space="preserve"> Additional information about contractual cash obligations related to long-term debt and operating and finance leases is provided in Notes 9 and 20 to the consolidated financial statements in thi</w:t>
      </w:r>
      <w:r>
        <w:rPr>
          <w:rFonts w:ascii="Arial" w:eastAsia="宋体" w:hAnsi="Arial" w:cs="Arial"/>
          <w:sz w:val="14"/>
          <w:szCs w:val="14"/>
        </w:rPr>
        <w:t>s Form 10-K.</w:t>
      </w:r>
    </w:p>
    <w:p w14:paraId="5556999A" w14:textId="77777777" w:rsidR="00F925DD" w:rsidRDefault="00E705D7">
      <w:pPr>
        <w:spacing w:line="288" w:lineRule="auto"/>
        <w:rPr>
          <w:rFonts w:ascii="Times New Roman" w:hAnsi="Times New Roman"/>
          <w:sz w:val="20"/>
          <w:szCs w:val="20"/>
        </w:rPr>
      </w:pPr>
      <w:r>
        <w:rPr>
          <w:rFonts w:ascii="Arial" w:eastAsia="宋体" w:hAnsi="Arial" w:cs="Arial"/>
          <w:sz w:val="20"/>
          <w:szCs w:val="20"/>
        </w:rPr>
        <w:t>Total contractual cash obligations shown in Table 32: Long-Term Contractual Cash Obligations do not include:</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99D" w14:textId="77777777">
        <w:trPr>
          <w:tblCellSpacing w:w="0" w:type="dxa"/>
        </w:trPr>
        <w:tc>
          <w:tcPr>
            <w:tcW w:w="960" w:type="dxa"/>
            <w:shd w:val="clear" w:color="auto" w:fill="auto"/>
            <w:vAlign w:val="center"/>
          </w:tcPr>
          <w:p w14:paraId="5556999B" w14:textId="77777777" w:rsidR="00F925DD" w:rsidRDefault="00F925DD">
            <w:pPr>
              <w:rPr>
                <w:rFonts w:ascii="Times New Roman" w:hAnsi="Times New Roman"/>
                <w:sz w:val="20"/>
                <w:szCs w:val="20"/>
              </w:rPr>
            </w:pPr>
          </w:p>
        </w:tc>
        <w:tc>
          <w:tcPr>
            <w:tcW w:w="0" w:type="auto"/>
            <w:shd w:val="clear" w:color="auto" w:fill="auto"/>
            <w:vAlign w:val="center"/>
          </w:tcPr>
          <w:p w14:paraId="5556999C" w14:textId="77777777" w:rsidR="00F925DD" w:rsidRDefault="00F925DD">
            <w:pPr>
              <w:rPr>
                <w:rFonts w:ascii="Times New Roman" w:hAnsi="Times New Roman"/>
                <w:sz w:val="20"/>
                <w:szCs w:val="20"/>
              </w:rPr>
            </w:pPr>
          </w:p>
        </w:tc>
      </w:tr>
      <w:tr w:rsidR="00F925DD" w14:paraId="555699A0" w14:textId="77777777">
        <w:trPr>
          <w:tblCellSpacing w:w="0" w:type="dxa"/>
        </w:trPr>
        <w:tc>
          <w:tcPr>
            <w:tcW w:w="0" w:type="auto"/>
            <w:shd w:val="clear" w:color="auto" w:fill="auto"/>
          </w:tcPr>
          <w:p w14:paraId="5556999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99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Obligations which will be settled in cash, primarily in less than one year, such as client deposits, federal funds purchased, securities sold under repurchase agreements and other short-term borrowings. Additional information about deposits, federal funds </w:t>
            </w:r>
            <w:r>
              <w:rPr>
                <w:rFonts w:ascii="Arial" w:eastAsia="宋体" w:hAnsi="Arial" w:cs="Arial"/>
                <w:sz w:val="20"/>
                <w:szCs w:val="20"/>
              </w:rPr>
              <w:t xml:space="preserve">purchased, securities sold under repurchase agreements and other short-term borrowings is provided in Note 8 to the consolidated financial statements in this Form 10-K. </w:t>
            </w:r>
          </w:p>
        </w:tc>
      </w:tr>
    </w:tbl>
    <w:p w14:paraId="555699A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9A4" w14:textId="77777777">
        <w:trPr>
          <w:tblCellSpacing w:w="0" w:type="dxa"/>
        </w:trPr>
        <w:tc>
          <w:tcPr>
            <w:tcW w:w="960" w:type="dxa"/>
            <w:shd w:val="clear" w:color="auto" w:fill="auto"/>
            <w:vAlign w:val="center"/>
          </w:tcPr>
          <w:p w14:paraId="555699A2" w14:textId="77777777" w:rsidR="00F925DD" w:rsidRDefault="00F925DD">
            <w:pPr>
              <w:rPr>
                <w:rFonts w:ascii="Times New Roman" w:hAnsi="Times New Roman"/>
                <w:sz w:val="20"/>
                <w:szCs w:val="20"/>
              </w:rPr>
            </w:pPr>
          </w:p>
        </w:tc>
        <w:tc>
          <w:tcPr>
            <w:tcW w:w="0" w:type="auto"/>
            <w:shd w:val="clear" w:color="auto" w:fill="auto"/>
            <w:vAlign w:val="center"/>
          </w:tcPr>
          <w:p w14:paraId="555699A3" w14:textId="77777777" w:rsidR="00F925DD" w:rsidRDefault="00F925DD">
            <w:pPr>
              <w:rPr>
                <w:rFonts w:ascii="Times New Roman" w:hAnsi="Times New Roman"/>
                <w:sz w:val="20"/>
                <w:szCs w:val="20"/>
              </w:rPr>
            </w:pPr>
          </w:p>
        </w:tc>
      </w:tr>
      <w:tr w:rsidR="00F925DD" w14:paraId="555699A7" w14:textId="77777777">
        <w:trPr>
          <w:tblCellSpacing w:w="0" w:type="dxa"/>
        </w:trPr>
        <w:tc>
          <w:tcPr>
            <w:tcW w:w="0" w:type="auto"/>
            <w:shd w:val="clear" w:color="auto" w:fill="auto"/>
          </w:tcPr>
          <w:p w14:paraId="555699A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9A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Obligations related to derivative instruments because the derivative-related am</w:t>
            </w:r>
            <w:r>
              <w:rPr>
                <w:rFonts w:ascii="Arial" w:eastAsia="宋体" w:hAnsi="Arial" w:cs="Arial"/>
                <w:sz w:val="20"/>
                <w:szCs w:val="20"/>
              </w:rPr>
              <w:t xml:space="preserve">ounts recorded in our consolidated statement of condition as of December 31, 2019 did not represent the amounts that may ultimately be paid under the contracts upon settlement. Additional information about our derivative instruments is provided in Note 10 </w:t>
            </w:r>
            <w:r>
              <w:rPr>
                <w:rFonts w:ascii="Arial" w:eastAsia="宋体" w:hAnsi="Arial" w:cs="Arial"/>
                <w:sz w:val="20"/>
                <w:szCs w:val="20"/>
              </w:rPr>
              <w:t>to the consolidated financial statements in this Form 10-K. We have obligations under pension and other post-retirement benefit plans, with additional information provided in Note 19 to the consolidated financial statements in this Form 10-K, which are not</w:t>
            </w:r>
            <w:r>
              <w:rPr>
                <w:rFonts w:ascii="Arial" w:eastAsia="宋体" w:hAnsi="Arial" w:cs="Arial"/>
                <w:sz w:val="20"/>
                <w:szCs w:val="20"/>
              </w:rPr>
              <w:t xml:space="preserve"> included in Table 32: Long-Term Contractual Cash Obligations.</w:t>
            </w:r>
          </w:p>
        </w:tc>
      </w:tr>
    </w:tbl>
    <w:p w14:paraId="555699A8"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539"/>
        <w:gridCol w:w="118"/>
        <w:gridCol w:w="878"/>
        <w:gridCol w:w="47"/>
        <w:gridCol w:w="130"/>
        <w:gridCol w:w="118"/>
        <w:gridCol w:w="879"/>
        <w:gridCol w:w="48"/>
        <w:gridCol w:w="130"/>
        <w:gridCol w:w="118"/>
        <w:gridCol w:w="879"/>
        <w:gridCol w:w="48"/>
        <w:gridCol w:w="130"/>
        <w:gridCol w:w="119"/>
        <w:gridCol w:w="879"/>
        <w:gridCol w:w="48"/>
        <w:gridCol w:w="130"/>
        <w:gridCol w:w="119"/>
        <w:gridCol w:w="879"/>
        <w:gridCol w:w="70"/>
      </w:tblGrid>
      <w:tr w:rsidR="00F925DD" w14:paraId="555699AA" w14:textId="77777777">
        <w:tc>
          <w:tcPr>
            <w:tcW w:w="0" w:type="auto"/>
            <w:gridSpan w:val="20"/>
            <w:shd w:val="clear" w:color="auto" w:fill="auto"/>
            <w:vAlign w:val="center"/>
          </w:tcPr>
          <w:p w14:paraId="555699A9" w14:textId="77777777" w:rsidR="00F925DD" w:rsidRDefault="00F925DD">
            <w:pPr>
              <w:rPr>
                <w:rFonts w:ascii="Times New Roman" w:hAnsi="Times New Roman"/>
                <w:sz w:val="20"/>
                <w:szCs w:val="20"/>
              </w:rPr>
            </w:pPr>
          </w:p>
        </w:tc>
      </w:tr>
      <w:tr w:rsidR="00F925DD" w14:paraId="555699BF" w14:textId="77777777">
        <w:tc>
          <w:tcPr>
            <w:tcW w:w="1550" w:type="pct"/>
            <w:shd w:val="clear" w:color="auto" w:fill="auto"/>
            <w:vAlign w:val="center"/>
          </w:tcPr>
          <w:p w14:paraId="555699AB" w14:textId="77777777" w:rsidR="00F925DD" w:rsidRDefault="00F925DD">
            <w:pPr>
              <w:rPr>
                <w:rFonts w:ascii="Times New Roman" w:hAnsi="Times New Roman"/>
                <w:sz w:val="20"/>
                <w:szCs w:val="20"/>
              </w:rPr>
            </w:pPr>
          </w:p>
        </w:tc>
        <w:tc>
          <w:tcPr>
            <w:tcW w:w="50" w:type="pct"/>
            <w:shd w:val="clear" w:color="auto" w:fill="auto"/>
            <w:vAlign w:val="center"/>
          </w:tcPr>
          <w:p w14:paraId="555699AC" w14:textId="77777777" w:rsidR="00F925DD" w:rsidRDefault="00F925DD">
            <w:pPr>
              <w:rPr>
                <w:rFonts w:ascii="Times New Roman" w:hAnsi="Times New Roman"/>
                <w:sz w:val="20"/>
                <w:szCs w:val="20"/>
              </w:rPr>
            </w:pPr>
          </w:p>
        </w:tc>
        <w:tc>
          <w:tcPr>
            <w:tcW w:w="550" w:type="pct"/>
            <w:shd w:val="clear" w:color="auto" w:fill="auto"/>
            <w:vAlign w:val="center"/>
          </w:tcPr>
          <w:p w14:paraId="555699AD" w14:textId="77777777" w:rsidR="00F925DD" w:rsidRDefault="00F925DD">
            <w:pPr>
              <w:rPr>
                <w:rFonts w:ascii="Times New Roman" w:hAnsi="Times New Roman"/>
                <w:sz w:val="20"/>
                <w:szCs w:val="20"/>
              </w:rPr>
            </w:pPr>
          </w:p>
        </w:tc>
        <w:tc>
          <w:tcPr>
            <w:tcW w:w="50" w:type="pct"/>
            <w:shd w:val="clear" w:color="auto" w:fill="auto"/>
            <w:vAlign w:val="center"/>
          </w:tcPr>
          <w:p w14:paraId="555699AE" w14:textId="77777777" w:rsidR="00F925DD" w:rsidRDefault="00F925DD">
            <w:pPr>
              <w:rPr>
                <w:rFonts w:ascii="Times New Roman" w:hAnsi="Times New Roman"/>
                <w:sz w:val="20"/>
                <w:szCs w:val="20"/>
              </w:rPr>
            </w:pPr>
          </w:p>
        </w:tc>
        <w:tc>
          <w:tcPr>
            <w:tcW w:w="50" w:type="pct"/>
            <w:shd w:val="clear" w:color="auto" w:fill="auto"/>
            <w:vAlign w:val="center"/>
          </w:tcPr>
          <w:p w14:paraId="555699AF" w14:textId="77777777" w:rsidR="00F925DD" w:rsidRDefault="00F925DD">
            <w:pPr>
              <w:rPr>
                <w:rFonts w:ascii="Times New Roman" w:hAnsi="Times New Roman"/>
                <w:sz w:val="20"/>
                <w:szCs w:val="20"/>
              </w:rPr>
            </w:pPr>
          </w:p>
        </w:tc>
        <w:tc>
          <w:tcPr>
            <w:tcW w:w="50" w:type="pct"/>
            <w:shd w:val="clear" w:color="auto" w:fill="auto"/>
            <w:vAlign w:val="center"/>
          </w:tcPr>
          <w:p w14:paraId="555699B0" w14:textId="77777777" w:rsidR="00F925DD" w:rsidRDefault="00F925DD">
            <w:pPr>
              <w:rPr>
                <w:rFonts w:ascii="Times New Roman" w:hAnsi="Times New Roman"/>
                <w:sz w:val="20"/>
                <w:szCs w:val="20"/>
              </w:rPr>
            </w:pPr>
          </w:p>
        </w:tc>
        <w:tc>
          <w:tcPr>
            <w:tcW w:w="550" w:type="pct"/>
            <w:shd w:val="clear" w:color="auto" w:fill="auto"/>
            <w:vAlign w:val="center"/>
          </w:tcPr>
          <w:p w14:paraId="555699B1" w14:textId="77777777" w:rsidR="00F925DD" w:rsidRDefault="00F925DD">
            <w:pPr>
              <w:rPr>
                <w:rFonts w:ascii="Times New Roman" w:hAnsi="Times New Roman"/>
                <w:sz w:val="20"/>
                <w:szCs w:val="20"/>
              </w:rPr>
            </w:pPr>
          </w:p>
        </w:tc>
        <w:tc>
          <w:tcPr>
            <w:tcW w:w="50" w:type="pct"/>
            <w:shd w:val="clear" w:color="auto" w:fill="auto"/>
            <w:vAlign w:val="center"/>
          </w:tcPr>
          <w:p w14:paraId="555699B2" w14:textId="77777777" w:rsidR="00F925DD" w:rsidRDefault="00F925DD">
            <w:pPr>
              <w:rPr>
                <w:rFonts w:ascii="Times New Roman" w:hAnsi="Times New Roman"/>
                <w:sz w:val="20"/>
                <w:szCs w:val="20"/>
              </w:rPr>
            </w:pPr>
          </w:p>
        </w:tc>
        <w:tc>
          <w:tcPr>
            <w:tcW w:w="50" w:type="pct"/>
            <w:shd w:val="clear" w:color="auto" w:fill="auto"/>
            <w:vAlign w:val="center"/>
          </w:tcPr>
          <w:p w14:paraId="555699B3" w14:textId="77777777" w:rsidR="00F925DD" w:rsidRDefault="00F925DD">
            <w:pPr>
              <w:rPr>
                <w:rFonts w:ascii="Times New Roman" w:hAnsi="Times New Roman"/>
                <w:sz w:val="20"/>
                <w:szCs w:val="20"/>
              </w:rPr>
            </w:pPr>
          </w:p>
        </w:tc>
        <w:tc>
          <w:tcPr>
            <w:tcW w:w="50" w:type="pct"/>
            <w:shd w:val="clear" w:color="auto" w:fill="auto"/>
            <w:vAlign w:val="center"/>
          </w:tcPr>
          <w:p w14:paraId="555699B4" w14:textId="77777777" w:rsidR="00F925DD" w:rsidRDefault="00F925DD">
            <w:pPr>
              <w:rPr>
                <w:rFonts w:ascii="Times New Roman" w:hAnsi="Times New Roman"/>
                <w:sz w:val="20"/>
                <w:szCs w:val="20"/>
              </w:rPr>
            </w:pPr>
          </w:p>
        </w:tc>
        <w:tc>
          <w:tcPr>
            <w:tcW w:w="550" w:type="pct"/>
            <w:shd w:val="clear" w:color="auto" w:fill="auto"/>
            <w:vAlign w:val="center"/>
          </w:tcPr>
          <w:p w14:paraId="555699B5" w14:textId="77777777" w:rsidR="00F925DD" w:rsidRDefault="00F925DD">
            <w:pPr>
              <w:rPr>
                <w:rFonts w:ascii="Times New Roman" w:hAnsi="Times New Roman"/>
                <w:sz w:val="20"/>
                <w:szCs w:val="20"/>
              </w:rPr>
            </w:pPr>
          </w:p>
        </w:tc>
        <w:tc>
          <w:tcPr>
            <w:tcW w:w="50" w:type="pct"/>
            <w:shd w:val="clear" w:color="auto" w:fill="auto"/>
            <w:vAlign w:val="center"/>
          </w:tcPr>
          <w:p w14:paraId="555699B6" w14:textId="77777777" w:rsidR="00F925DD" w:rsidRDefault="00F925DD">
            <w:pPr>
              <w:rPr>
                <w:rFonts w:ascii="Times New Roman" w:hAnsi="Times New Roman"/>
                <w:sz w:val="20"/>
                <w:szCs w:val="20"/>
              </w:rPr>
            </w:pPr>
          </w:p>
        </w:tc>
        <w:tc>
          <w:tcPr>
            <w:tcW w:w="50" w:type="pct"/>
            <w:shd w:val="clear" w:color="auto" w:fill="auto"/>
            <w:vAlign w:val="center"/>
          </w:tcPr>
          <w:p w14:paraId="555699B7" w14:textId="77777777" w:rsidR="00F925DD" w:rsidRDefault="00F925DD">
            <w:pPr>
              <w:rPr>
                <w:rFonts w:ascii="Times New Roman" w:hAnsi="Times New Roman"/>
                <w:sz w:val="20"/>
                <w:szCs w:val="20"/>
              </w:rPr>
            </w:pPr>
          </w:p>
        </w:tc>
        <w:tc>
          <w:tcPr>
            <w:tcW w:w="50" w:type="pct"/>
            <w:shd w:val="clear" w:color="auto" w:fill="auto"/>
            <w:vAlign w:val="center"/>
          </w:tcPr>
          <w:p w14:paraId="555699B8" w14:textId="77777777" w:rsidR="00F925DD" w:rsidRDefault="00F925DD">
            <w:pPr>
              <w:rPr>
                <w:rFonts w:ascii="Times New Roman" w:hAnsi="Times New Roman"/>
                <w:sz w:val="20"/>
                <w:szCs w:val="20"/>
              </w:rPr>
            </w:pPr>
          </w:p>
        </w:tc>
        <w:tc>
          <w:tcPr>
            <w:tcW w:w="550" w:type="pct"/>
            <w:shd w:val="clear" w:color="auto" w:fill="auto"/>
            <w:vAlign w:val="center"/>
          </w:tcPr>
          <w:p w14:paraId="555699B9" w14:textId="77777777" w:rsidR="00F925DD" w:rsidRDefault="00F925DD">
            <w:pPr>
              <w:rPr>
                <w:rFonts w:ascii="Times New Roman" w:hAnsi="Times New Roman"/>
                <w:sz w:val="20"/>
                <w:szCs w:val="20"/>
              </w:rPr>
            </w:pPr>
          </w:p>
        </w:tc>
        <w:tc>
          <w:tcPr>
            <w:tcW w:w="50" w:type="pct"/>
            <w:shd w:val="clear" w:color="auto" w:fill="auto"/>
            <w:vAlign w:val="center"/>
          </w:tcPr>
          <w:p w14:paraId="555699BA" w14:textId="77777777" w:rsidR="00F925DD" w:rsidRDefault="00F925DD">
            <w:pPr>
              <w:rPr>
                <w:rFonts w:ascii="Times New Roman" w:hAnsi="Times New Roman"/>
                <w:sz w:val="20"/>
                <w:szCs w:val="20"/>
              </w:rPr>
            </w:pPr>
          </w:p>
        </w:tc>
        <w:tc>
          <w:tcPr>
            <w:tcW w:w="50" w:type="pct"/>
            <w:shd w:val="clear" w:color="auto" w:fill="auto"/>
            <w:vAlign w:val="center"/>
          </w:tcPr>
          <w:p w14:paraId="555699BB" w14:textId="77777777" w:rsidR="00F925DD" w:rsidRDefault="00F925DD">
            <w:pPr>
              <w:rPr>
                <w:rFonts w:ascii="Times New Roman" w:hAnsi="Times New Roman"/>
                <w:sz w:val="20"/>
                <w:szCs w:val="20"/>
              </w:rPr>
            </w:pPr>
          </w:p>
        </w:tc>
        <w:tc>
          <w:tcPr>
            <w:tcW w:w="50" w:type="pct"/>
            <w:shd w:val="clear" w:color="auto" w:fill="auto"/>
            <w:vAlign w:val="center"/>
          </w:tcPr>
          <w:p w14:paraId="555699BC" w14:textId="77777777" w:rsidR="00F925DD" w:rsidRDefault="00F925DD">
            <w:pPr>
              <w:rPr>
                <w:rFonts w:ascii="Times New Roman" w:hAnsi="Times New Roman"/>
                <w:sz w:val="20"/>
                <w:szCs w:val="20"/>
              </w:rPr>
            </w:pPr>
          </w:p>
        </w:tc>
        <w:tc>
          <w:tcPr>
            <w:tcW w:w="550" w:type="pct"/>
            <w:shd w:val="clear" w:color="auto" w:fill="auto"/>
            <w:vAlign w:val="center"/>
          </w:tcPr>
          <w:p w14:paraId="555699BD" w14:textId="77777777" w:rsidR="00F925DD" w:rsidRDefault="00F925DD">
            <w:pPr>
              <w:rPr>
                <w:rFonts w:ascii="Times New Roman" w:hAnsi="Times New Roman"/>
                <w:sz w:val="20"/>
                <w:szCs w:val="20"/>
              </w:rPr>
            </w:pPr>
          </w:p>
        </w:tc>
        <w:tc>
          <w:tcPr>
            <w:tcW w:w="50" w:type="pct"/>
            <w:shd w:val="clear" w:color="auto" w:fill="auto"/>
            <w:vAlign w:val="center"/>
          </w:tcPr>
          <w:p w14:paraId="555699BE" w14:textId="77777777" w:rsidR="00F925DD" w:rsidRDefault="00F925DD">
            <w:pPr>
              <w:rPr>
                <w:rFonts w:ascii="Times New Roman" w:hAnsi="Times New Roman"/>
                <w:sz w:val="20"/>
                <w:szCs w:val="20"/>
              </w:rPr>
            </w:pPr>
          </w:p>
        </w:tc>
      </w:tr>
      <w:tr w:rsidR="00F925DD" w14:paraId="555699C7" w14:textId="77777777">
        <w:tc>
          <w:tcPr>
            <w:tcW w:w="0" w:type="auto"/>
            <w:gridSpan w:val="8"/>
            <w:shd w:val="clear" w:color="auto" w:fill="auto"/>
            <w:tcMar>
              <w:top w:w="40" w:type="dxa"/>
              <w:left w:w="40" w:type="dxa"/>
              <w:bottom w:w="40" w:type="dxa"/>
              <w:right w:w="40" w:type="dxa"/>
            </w:tcMar>
            <w:vAlign w:val="bottom"/>
          </w:tcPr>
          <w:p w14:paraId="555699C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33: OTHER COMMERCIAL COMMITMENTS</w:t>
            </w:r>
          </w:p>
        </w:tc>
        <w:tc>
          <w:tcPr>
            <w:tcW w:w="0" w:type="auto"/>
            <w:shd w:val="clear" w:color="auto" w:fill="auto"/>
            <w:tcMar>
              <w:top w:w="40" w:type="dxa"/>
              <w:left w:w="40" w:type="dxa"/>
              <w:bottom w:w="40" w:type="dxa"/>
              <w:right w:w="40" w:type="dxa"/>
            </w:tcMar>
            <w:vAlign w:val="bottom"/>
          </w:tcPr>
          <w:p w14:paraId="555699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9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9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9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9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9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9CA" w14:textId="77777777">
        <w:tc>
          <w:tcPr>
            <w:tcW w:w="0" w:type="auto"/>
            <w:shd w:val="clear" w:color="auto" w:fill="auto"/>
            <w:tcMar>
              <w:top w:w="40" w:type="dxa"/>
              <w:left w:w="40" w:type="dxa"/>
              <w:bottom w:w="40" w:type="dxa"/>
              <w:right w:w="40" w:type="dxa"/>
            </w:tcMar>
            <w:vAlign w:val="bottom"/>
          </w:tcPr>
          <w:p w14:paraId="555699C8"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555699C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Duration of Commitment as of December 31, 2019</w:t>
            </w:r>
          </w:p>
        </w:tc>
      </w:tr>
      <w:tr w:rsidR="00F925DD" w14:paraId="555699DA" w14:textId="77777777">
        <w:tc>
          <w:tcPr>
            <w:tcW w:w="0" w:type="auto"/>
            <w:shd w:val="clear" w:color="auto" w:fill="auto"/>
            <w:tcMar>
              <w:top w:w="40" w:type="dxa"/>
              <w:left w:w="40" w:type="dxa"/>
              <w:bottom w:w="40" w:type="dxa"/>
              <w:right w:w="40" w:type="dxa"/>
            </w:tcMar>
            <w:vAlign w:val="bottom"/>
          </w:tcPr>
          <w:p w14:paraId="555699C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9C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Less than</w:t>
            </w:r>
          </w:p>
          <w:p w14:paraId="555699C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1 year</w:t>
            </w:r>
          </w:p>
        </w:tc>
        <w:tc>
          <w:tcPr>
            <w:tcW w:w="0" w:type="auto"/>
            <w:shd w:val="clear" w:color="auto" w:fill="auto"/>
            <w:tcMar>
              <w:top w:w="40" w:type="dxa"/>
              <w:left w:w="40" w:type="dxa"/>
              <w:bottom w:w="40" w:type="dxa"/>
              <w:right w:w="40" w:type="dxa"/>
            </w:tcMar>
            <w:vAlign w:val="bottom"/>
          </w:tcPr>
          <w:p w14:paraId="555699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9C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1-3</w:t>
            </w:r>
          </w:p>
          <w:p w14:paraId="555699D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w:t>
            </w:r>
          </w:p>
        </w:tc>
        <w:tc>
          <w:tcPr>
            <w:tcW w:w="0" w:type="auto"/>
            <w:shd w:val="clear" w:color="auto" w:fill="auto"/>
            <w:tcMar>
              <w:top w:w="40" w:type="dxa"/>
              <w:left w:w="40" w:type="dxa"/>
              <w:bottom w:w="40" w:type="dxa"/>
              <w:right w:w="40" w:type="dxa"/>
            </w:tcMar>
            <w:vAlign w:val="bottom"/>
          </w:tcPr>
          <w:p w14:paraId="555699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9D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4-5</w:t>
            </w:r>
          </w:p>
          <w:p w14:paraId="555699D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w:t>
            </w:r>
          </w:p>
        </w:tc>
        <w:tc>
          <w:tcPr>
            <w:tcW w:w="0" w:type="auto"/>
            <w:shd w:val="clear" w:color="auto" w:fill="auto"/>
            <w:tcMar>
              <w:top w:w="40" w:type="dxa"/>
              <w:left w:w="40" w:type="dxa"/>
              <w:bottom w:w="40" w:type="dxa"/>
              <w:right w:w="40" w:type="dxa"/>
            </w:tcMar>
            <w:vAlign w:val="bottom"/>
          </w:tcPr>
          <w:p w14:paraId="555699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9D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Over 5</w:t>
            </w:r>
          </w:p>
          <w:p w14:paraId="555699D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w:t>
            </w:r>
          </w:p>
        </w:tc>
        <w:tc>
          <w:tcPr>
            <w:tcW w:w="0" w:type="auto"/>
            <w:shd w:val="clear" w:color="auto" w:fill="auto"/>
            <w:tcMar>
              <w:top w:w="40" w:type="dxa"/>
              <w:left w:w="40" w:type="dxa"/>
              <w:bottom w:w="40" w:type="dxa"/>
              <w:right w:w="40" w:type="dxa"/>
            </w:tcMar>
            <w:vAlign w:val="bottom"/>
          </w:tcPr>
          <w:p w14:paraId="555699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9D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 amounts</w:t>
            </w:r>
          </w:p>
          <w:p w14:paraId="555699D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committed</w:t>
            </w:r>
            <w:r>
              <w:rPr>
                <w:rFonts w:ascii="Arial" w:eastAsia="宋体" w:hAnsi="Arial" w:cs="Arial"/>
                <w:b/>
                <w:bCs/>
                <w:sz w:val="10"/>
                <w:szCs w:val="10"/>
              </w:rPr>
              <w:t>(1)</w:t>
            </w:r>
          </w:p>
        </w:tc>
      </w:tr>
      <w:tr w:rsidR="00F925DD" w14:paraId="555699EF" w14:textId="77777777">
        <w:tc>
          <w:tcPr>
            <w:tcW w:w="0" w:type="auto"/>
            <w:shd w:val="clear" w:color="auto" w:fill="CCEEFF"/>
            <w:tcMar>
              <w:top w:w="40" w:type="dxa"/>
              <w:left w:w="40" w:type="dxa"/>
              <w:bottom w:w="40" w:type="dxa"/>
              <w:right w:w="40" w:type="dxa"/>
            </w:tcMar>
          </w:tcPr>
          <w:p w14:paraId="555699DB" w14:textId="77777777" w:rsidR="00F925DD" w:rsidRDefault="00E705D7">
            <w:pPr>
              <w:textAlignment w:val="top"/>
              <w:rPr>
                <w:rFonts w:ascii="Times New Roman" w:hAnsi="Times New Roman"/>
                <w:sz w:val="14"/>
                <w:szCs w:val="14"/>
              </w:rPr>
            </w:pPr>
            <w:r>
              <w:rPr>
                <w:rFonts w:ascii="Arial" w:eastAsia="宋体" w:hAnsi="Arial" w:cs="Arial"/>
                <w:sz w:val="14"/>
                <w:szCs w:val="14"/>
              </w:rPr>
              <w:t>Indemnified securities financing</w:t>
            </w:r>
          </w:p>
        </w:tc>
        <w:tc>
          <w:tcPr>
            <w:tcW w:w="0" w:type="auto"/>
            <w:tcBorders>
              <w:top w:val="single" w:sz="8" w:space="0" w:color="000000"/>
            </w:tcBorders>
            <w:shd w:val="clear" w:color="auto" w:fill="CCEEFF"/>
            <w:tcMar>
              <w:top w:w="40" w:type="dxa"/>
              <w:left w:w="40" w:type="dxa"/>
              <w:bottom w:w="40" w:type="dxa"/>
            </w:tcMar>
            <w:vAlign w:val="bottom"/>
          </w:tcPr>
          <w:p w14:paraId="555699D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99D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367,901</w:t>
            </w:r>
          </w:p>
        </w:tc>
        <w:tc>
          <w:tcPr>
            <w:tcW w:w="0" w:type="auto"/>
            <w:tcBorders>
              <w:top w:val="single" w:sz="8" w:space="0" w:color="000000"/>
            </w:tcBorders>
            <w:shd w:val="clear" w:color="auto" w:fill="CCEEFF"/>
            <w:vAlign w:val="bottom"/>
          </w:tcPr>
          <w:p w14:paraId="555699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9E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9E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99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9E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9E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99E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9E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9E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99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9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9E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99E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367,901</w:t>
            </w:r>
          </w:p>
        </w:tc>
        <w:tc>
          <w:tcPr>
            <w:tcW w:w="0" w:type="auto"/>
            <w:tcBorders>
              <w:top w:val="single" w:sz="8" w:space="0" w:color="000000"/>
            </w:tcBorders>
            <w:shd w:val="clear" w:color="auto" w:fill="CCEEFF"/>
            <w:vAlign w:val="bottom"/>
          </w:tcPr>
          <w:p w14:paraId="555699EE" w14:textId="77777777" w:rsidR="00F925DD" w:rsidRDefault="00F925DD">
            <w:pPr>
              <w:textAlignment w:val="bottom"/>
              <w:rPr>
                <w:rFonts w:ascii="Times New Roman" w:hAnsi="Times New Roman"/>
                <w:sz w:val="20"/>
                <w:szCs w:val="20"/>
              </w:rPr>
            </w:pPr>
          </w:p>
        </w:tc>
      </w:tr>
      <w:tr w:rsidR="00F925DD" w14:paraId="555699FF" w14:textId="77777777">
        <w:tc>
          <w:tcPr>
            <w:tcW w:w="0" w:type="auto"/>
            <w:shd w:val="clear" w:color="auto" w:fill="auto"/>
            <w:tcMar>
              <w:top w:w="40" w:type="dxa"/>
              <w:left w:w="40" w:type="dxa"/>
              <w:bottom w:w="40" w:type="dxa"/>
              <w:right w:w="40" w:type="dxa"/>
            </w:tcMar>
          </w:tcPr>
          <w:p w14:paraId="555699F0" w14:textId="77777777" w:rsidR="00F925DD" w:rsidRDefault="00E705D7">
            <w:pPr>
              <w:textAlignment w:val="top"/>
              <w:rPr>
                <w:rFonts w:ascii="Times New Roman" w:hAnsi="Times New Roman"/>
                <w:sz w:val="14"/>
                <w:szCs w:val="14"/>
              </w:rPr>
            </w:pPr>
            <w:r>
              <w:rPr>
                <w:rFonts w:ascii="Arial" w:eastAsia="宋体" w:hAnsi="Arial" w:cs="Arial"/>
                <w:sz w:val="14"/>
                <w:szCs w:val="14"/>
              </w:rPr>
              <w:t>Unfunded credit facilities</w:t>
            </w:r>
          </w:p>
        </w:tc>
        <w:tc>
          <w:tcPr>
            <w:tcW w:w="0" w:type="auto"/>
            <w:gridSpan w:val="2"/>
            <w:shd w:val="clear" w:color="auto" w:fill="auto"/>
            <w:tcMar>
              <w:top w:w="40" w:type="dxa"/>
              <w:left w:w="40" w:type="dxa"/>
              <w:bottom w:w="40" w:type="dxa"/>
            </w:tcMar>
            <w:vAlign w:val="bottom"/>
          </w:tcPr>
          <w:p w14:paraId="555699F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18,737</w:t>
            </w:r>
          </w:p>
        </w:tc>
        <w:tc>
          <w:tcPr>
            <w:tcW w:w="0" w:type="auto"/>
            <w:shd w:val="clear" w:color="auto" w:fill="auto"/>
            <w:vAlign w:val="bottom"/>
          </w:tcPr>
          <w:p w14:paraId="555699F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F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6,221</w:t>
            </w:r>
          </w:p>
        </w:tc>
        <w:tc>
          <w:tcPr>
            <w:tcW w:w="0" w:type="auto"/>
            <w:shd w:val="clear" w:color="auto" w:fill="auto"/>
            <w:vAlign w:val="bottom"/>
          </w:tcPr>
          <w:p w14:paraId="555699F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F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4,312</w:t>
            </w:r>
          </w:p>
        </w:tc>
        <w:tc>
          <w:tcPr>
            <w:tcW w:w="0" w:type="auto"/>
            <w:shd w:val="clear" w:color="auto" w:fill="auto"/>
            <w:vAlign w:val="bottom"/>
          </w:tcPr>
          <w:p w14:paraId="555699F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F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427</w:t>
            </w:r>
          </w:p>
        </w:tc>
        <w:tc>
          <w:tcPr>
            <w:tcW w:w="0" w:type="auto"/>
            <w:shd w:val="clear" w:color="auto" w:fill="auto"/>
            <w:vAlign w:val="bottom"/>
          </w:tcPr>
          <w:p w14:paraId="555699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9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9F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29,697</w:t>
            </w:r>
          </w:p>
        </w:tc>
        <w:tc>
          <w:tcPr>
            <w:tcW w:w="0" w:type="auto"/>
            <w:shd w:val="clear" w:color="auto" w:fill="auto"/>
            <w:vAlign w:val="bottom"/>
          </w:tcPr>
          <w:p w14:paraId="555699FE" w14:textId="77777777" w:rsidR="00F925DD" w:rsidRDefault="00F925DD">
            <w:pPr>
              <w:textAlignment w:val="bottom"/>
              <w:rPr>
                <w:rFonts w:ascii="Times New Roman" w:hAnsi="Times New Roman"/>
                <w:sz w:val="20"/>
                <w:szCs w:val="20"/>
              </w:rPr>
            </w:pPr>
          </w:p>
        </w:tc>
      </w:tr>
      <w:tr w:rsidR="00F925DD" w14:paraId="55569A0F" w14:textId="77777777">
        <w:tc>
          <w:tcPr>
            <w:tcW w:w="0" w:type="auto"/>
            <w:shd w:val="clear" w:color="auto" w:fill="CCEEFF"/>
            <w:tcMar>
              <w:top w:w="40" w:type="dxa"/>
              <w:left w:w="40" w:type="dxa"/>
              <w:bottom w:w="40" w:type="dxa"/>
              <w:right w:w="40" w:type="dxa"/>
            </w:tcMar>
          </w:tcPr>
          <w:p w14:paraId="55569A00" w14:textId="77777777" w:rsidR="00F925DD" w:rsidRDefault="00E705D7">
            <w:pPr>
              <w:textAlignment w:val="top"/>
              <w:rPr>
                <w:rFonts w:ascii="Times New Roman" w:hAnsi="Times New Roman"/>
                <w:sz w:val="14"/>
                <w:szCs w:val="14"/>
              </w:rPr>
            </w:pPr>
            <w:r>
              <w:rPr>
                <w:rFonts w:ascii="Arial" w:eastAsia="宋体" w:hAnsi="Arial" w:cs="Arial"/>
                <w:sz w:val="14"/>
                <w:szCs w:val="14"/>
              </w:rPr>
              <w:t>Standby letters of credit</w:t>
            </w:r>
          </w:p>
        </w:tc>
        <w:tc>
          <w:tcPr>
            <w:tcW w:w="0" w:type="auto"/>
            <w:gridSpan w:val="2"/>
            <w:shd w:val="clear" w:color="auto" w:fill="CCEEFF"/>
            <w:tcMar>
              <w:top w:w="40" w:type="dxa"/>
              <w:left w:w="40" w:type="dxa"/>
              <w:bottom w:w="40" w:type="dxa"/>
            </w:tcMar>
            <w:vAlign w:val="bottom"/>
          </w:tcPr>
          <w:p w14:paraId="55569A0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326</w:t>
            </w:r>
          </w:p>
        </w:tc>
        <w:tc>
          <w:tcPr>
            <w:tcW w:w="0" w:type="auto"/>
            <w:shd w:val="clear" w:color="auto" w:fill="CCEEFF"/>
            <w:vAlign w:val="bottom"/>
          </w:tcPr>
          <w:p w14:paraId="55569A0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A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A0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1,920</w:t>
            </w:r>
          </w:p>
        </w:tc>
        <w:tc>
          <w:tcPr>
            <w:tcW w:w="0" w:type="auto"/>
            <w:shd w:val="clear" w:color="auto" w:fill="CCEEFF"/>
            <w:vAlign w:val="bottom"/>
          </w:tcPr>
          <w:p w14:paraId="55569A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A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A0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1,065</w:t>
            </w:r>
          </w:p>
        </w:tc>
        <w:tc>
          <w:tcPr>
            <w:tcW w:w="0" w:type="auto"/>
            <w:shd w:val="clear" w:color="auto" w:fill="CCEEFF"/>
            <w:vAlign w:val="bottom"/>
          </w:tcPr>
          <w:p w14:paraId="55569A0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A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A0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w:t>
            </w:r>
          </w:p>
        </w:tc>
        <w:tc>
          <w:tcPr>
            <w:tcW w:w="0" w:type="auto"/>
            <w:shd w:val="clear" w:color="auto" w:fill="CCEEFF"/>
            <w:vAlign w:val="bottom"/>
          </w:tcPr>
          <w:p w14:paraId="55569A0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A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A0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3,324</w:t>
            </w:r>
          </w:p>
        </w:tc>
        <w:tc>
          <w:tcPr>
            <w:tcW w:w="0" w:type="auto"/>
            <w:shd w:val="clear" w:color="auto" w:fill="CCEEFF"/>
            <w:vAlign w:val="bottom"/>
          </w:tcPr>
          <w:p w14:paraId="55569A0E" w14:textId="77777777" w:rsidR="00F925DD" w:rsidRDefault="00F925DD">
            <w:pPr>
              <w:textAlignment w:val="bottom"/>
              <w:rPr>
                <w:rFonts w:ascii="Times New Roman" w:hAnsi="Times New Roman"/>
                <w:sz w:val="20"/>
                <w:szCs w:val="20"/>
              </w:rPr>
            </w:pPr>
          </w:p>
        </w:tc>
      </w:tr>
      <w:tr w:rsidR="00F925DD" w14:paraId="55569A1F" w14:textId="77777777">
        <w:tc>
          <w:tcPr>
            <w:tcW w:w="0" w:type="auto"/>
            <w:shd w:val="clear" w:color="auto" w:fill="auto"/>
            <w:tcMar>
              <w:top w:w="40" w:type="dxa"/>
              <w:left w:w="40" w:type="dxa"/>
              <w:bottom w:w="40" w:type="dxa"/>
              <w:right w:w="40" w:type="dxa"/>
            </w:tcMar>
            <w:vAlign w:val="bottom"/>
          </w:tcPr>
          <w:p w14:paraId="55569A10" w14:textId="77777777" w:rsidR="00F925DD" w:rsidRDefault="00E705D7">
            <w:pPr>
              <w:textAlignment w:val="bottom"/>
              <w:rPr>
                <w:rFonts w:ascii="Times New Roman" w:hAnsi="Times New Roman"/>
                <w:sz w:val="14"/>
                <w:szCs w:val="14"/>
              </w:rPr>
            </w:pPr>
            <w:r>
              <w:rPr>
                <w:rFonts w:ascii="Arial" w:eastAsia="宋体" w:hAnsi="Arial" w:cs="Arial"/>
                <w:sz w:val="14"/>
                <w:szCs w:val="14"/>
              </w:rPr>
              <w:t>Purchase obligations</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55569A1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90</w:t>
            </w:r>
          </w:p>
        </w:tc>
        <w:tc>
          <w:tcPr>
            <w:tcW w:w="0" w:type="auto"/>
            <w:shd w:val="clear" w:color="auto" w:fill="auto"/>
            <w:vAlign w:val="bottom"/>
          </w:tcPr>
          <w:p w14:paraId="55569A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A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A1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162</w:t>
            </w:r>
          </w:p>
        </w:tc>
        <w:tc>
          <w:tcPr>
            <w:tcW w:w="0" w:type="auto"/>
            <w:shd w:val="clear" w:color="auto" w:fill="auto"/>
            <w:vAlign w:val="bottom"/>
          </w:tcPr>
          <w:p w14:paraId="55569A1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A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A1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shd w:val="clear" w:color="auto" w:fill="auto"/>
            <w:vAlign w:val="bottom"/>
          </w:tcPr>
          <w:p w14:paraId="55569A1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A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A1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shd w:val="clear" w:color="auto" w:fill="auto"/>
            <w:vAlign w:val="bottom"/>
          </w:tcPr>
          <w:p w14:paraId="55569A1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A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A1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291</w:t>
            </w:r>
          </w:p>
        </w:tc>
        <w:tc>
          <w:tcPr>
            <w:tcW w:w="0" w:type="auto"/>
            <w:shd w:val="clear" w:color="auto" w:fill="auto"/>
            <w:vAlign w:val="bottom"/>
          </w:tcPr>
          <w:p w14:paraId="55569A1E" w14:textId="77777777" w:rsidR="00F925DD" w:rsidRDefault="00F925DD">
            <w:pPr>
              <w:textAlignment w:val="bottom"/>
              <w:rPr>
                <w:rFonts w:ascii="Times New Roman" w:hAnsi="Times New Roman"/>
                <w:sz w:val="20"/>
                <w:szCs w:val="20"/>
              </w:rPr>
            </w:pPr>
          </w:p>
        </w:tc>
      </w:tr>
      <w:tr w:rsidR="00F925DD" w14:paraId="55569A34" w14:textId="77777777">
        <w:tc>
          <w:tcPr>
            <w:tcW w:w="0" w:type="auto"/>
            <w:shd w:val="clear" w:color="auto" w:fill="CCEEFF"/>
            <w:tcMar>
              <w:top w:w="40" w:type="dxa"/>
              <w:left w:w="40" w:type="dxa"/>
              <w:bottom w:w="40" w:type="dxa"/>
              <w:right w:w="40" w:type="dxa"/>
            </w:tcMar>
          </w:tcPr>
          <w:p w14:paraId="55569A20" w14:textId="77777777" w:rsidR="00F925DD" w:rsidRDefault="00E705D7">
            <w:pPr>
              <w:textAlignment w:val="top"/>
              <w:rPr>
                <w:rFonts w:ascii="Times New Roman" w:hAnsi="Times New Roman"/>
                <w:sz w:val="14"/>
                <w:szCs w:val="14"/>
              </w:rPr>
            </w:pPr>
            <w:r>
              <w:rPr>
                <w:rFonts w:ascii="Arial" w:eastAsia="宋体" w:hAnsi="Arial" w:cs="Arial"/>
                <w:sz w:val="14"/>
                <w:szCs w:val="14"/>
              </w:rPr>
              <w:t>Total commercial commitments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A2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A2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387,054</w:t>
            </w:r>
          </w:p>
        </w:tc>
        <w:tc>
          <w:tcPr>
            <w:tcW w:w="0" w:type="auto"/>
            <w:tcBorders>
              <w:top w:val="single" w:sz="8" w:space="0" w:color="000000"/>
              <w:bottom w:val="double" w:sz="6" w:space="0" w:color="000000"/>
            </w:tcBorders>
            <w:shd w:val="clear" w:color="auto" w:fill="CCEEFF"/>
            <w:vAlign w:val="bottom"/>
          </w:tcPr>
          <w:p w14:paraId="55569A2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A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A2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A2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8,303</w:t>
            </w:r>
          </w:p>
        </w:tc>
        <w:tc>
          <w:tcPr>
            <w:tcW w:w="0" w:type="auto"/>
            <w:tcBorders>
              <w:top w:val="single" w:sz="8" w:space="0" w:color="000000"/>
              <w:bottom w:val="double" w:sz="6" w:space="0" w:color="000000"/>
            </w:tcBorders>
            <w:shd w:val="clear" w:color="auto" w:fill="CCEEFF"/>
            <w:vAlign w:val="bottom"/>
          </w:tcPr>
          <w:p w14:paraId="55569A2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A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A2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A2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5,396</w:t>
            </w:r>
          </w:p>
        </w:tc>
        <w:tc>
          <w:tcPr>
            <w:tcW w:w="0" w:type="auto"/>
            <w:tcBorders>
              <w:top w:val="single" w:sz="8" w:space="0" w:color="000000"/>
              <w:bottom w:val="double" w:sz="6" w:space="0" w:color="000000"/>
            </w:tcBorders>
            <w:shd w:val="clear" w:color="auto" w:fill="CCEEFF"/>
            <w:vAlign w:val="bottom"/>
          </w:tcPr>
          <w:p w14:paraId="55569A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A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A2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A2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460</w:t>
            </w:r>
          </w:p>
        </w:tc>
        <w:tc>
          <w:tcPr>
            <w:tcW w:w="0" w:type="auto"/>
            <w:tcBorders>
              <w:top w:val="single" w:sz="8" w:space="0" w:color="000000"/>
              <w:bottom w:val="double" w:sz="6" w:space="0" w:color="000000"/>
            </w:tcBorders>
            <w:shd w:val="clear" w:color="auto" w:fill="CCEEFF"/>
            <w:vAlign w:val="bottom"/>
          </w:tcPr>
          <w:p w14:paraId="55569A2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A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9A3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9A3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401,213</w:t>
            </w:r>
          </w:p>
        </w:tc>
        <w:tc>
          <w:tcPr>
            <w:tcW w:w="0" w:type="auto"/>
            <w:tcBorders>
              <w:top w:val="single" w:sz="8" w:space="0" w:color="000000"/>
              <w:bottom w:val="double" w:sz="6" w:space="0" w:color="000000"/>
            </w:tcBorders>
            <w:shd w:val="clear" w:color="auto" w:fill="CCEEFF"/>
            <w:vAlign w:val="bottom"/>
          </w:tcPr>
          <w:p w14:paraId="55569A33" w14:textId="77777777" w:rsidR="00F925DD" w:rsidRDefault="00F925DD">
            <w:pPr>
              <w:textAlignment w:val="bottom"/>
              <w:rPr>
                <w:rFonts w:ascii="Times New Roman" w:hAnsi="Times New Roman"/>
                <w:sz w:val="20"/>
                <w:szCs w:val="20"/>
              </w:rPr>
            </w:pPr>
          </w:p>
        </w:tc>
      </w:tr>
    </w:tbl>
    <w:p w14:paraId="55569A35" w14:textId="77777777" w:rsidR="00F925DD" w:rsidRDefault="00F925DD">
      <w:pPr>
        <w:rPr>
          <w:vanish/>
        </w:rPr>
      </w:pPr>
    </w:p>
    <w:tbl>
      <w:tblPr>
        <w:tblW w:w="13680" w:type="dxa"/>
        <w:tblCellMar>
          <w:left w:w="0" w:type="dxa"/>
          <w:right w:w="0" w:type="dxa"/>
        </w:tblCellMar>
        <w:tblLook w:val="04A0" w:firstRow="1" w:lastRow="0" w:firstColumn="1" w:lastColumn="0" w:noHBand="0" w:noVBand="1"/>
      </w:tblPr>
      <w:tblGrid>
        <w:gridCol w:w="4046"/>
        <w:gridCol w:w="3044"/>
        <w:gridCol w:w="2083"/>
        <w:gridCol w:w="4507"/>
      </w:tblGrid>
      <w:tr w:rsidR="00F925DD" w14:paraId="55569A37" w14:textId="77777777">
        <w:tc>
          <w:tcPr>
            <w:tcW w:w="0" w:type="auto"/>
            <w:gridSpan w:val="4"/>
            <w:shd w:val="clear" w:color="auto" w:fill="auto"/>
            <w:vAlign w:val="center"/>
          </w:tcPr>
          <w:p w14:paraId="55569A36" w14:textId="77777777" w:rsidR="00F925DD" w:rsidRDefault="00F925DD">
            <w:pPr>
              <w:rPr>
                <w:rFonts w:ascii="Times New Roman" w:hAnsi="Times New Roman"/>
                <w:sz w:val="20"/>
                <w:szCs w:val="20"/>
              </w:rPr>
            </w:pPr>
          </w:p>
        </w:tc>
      </w:tr>
      <w:tr w:rsidR="00F925DD" w14:paraId="55569A3C" w14:textId="77777777">
        <w:tc>
          <w:tcPr>
            <w:tcW w:w="4040" w:type="dxa"/>
            <w:shd w:val="clear" w:color="auto" w:fill="auto"/>
            <w:vAlign w:val="center"/>
          </w:tcPr>
          <w:p w14:paraId="55569A38" w14:textId="77777777" w:rsidR="00F925DD" w:rsidRDefault="00F925DD">
            <w:pPr>
              <w:rPr>
                <w:rFonts w:ascii="Times New Roman" w:hAnsi="Times New Roman"/>
                <w:sz w:val="20"/>
                <w:szCs w:val="20"/>
              </w:rPr>
            </w:pPr>
          </w:p>
        </w:tc>
        <w:tc>
          <w:tcPr>
            <w:tcW w:w="3040" w:type="dxa"/>
            <w:shd w:val="clear" w:color="auto" w:fill="auto"/>
            <w:vAlign w:val="center"/>
          </w:tcPr>
          <w:p w14:paraId="55569A39" w14:textId="77777777" w:rsidR="00F925DD" w:rsidRDefault="00F925DD">
            <w:pPr>
              <w:rPr>
                <w:rFonts w:ascii="Times New Roman" w:hAnsi="Times New Roman"/>
                <w:sz w:val="20"/>
                <w:szCs w:val="20"/>
              </w:rPr>
            </w:pPr>
          </w:p>
        </w:tc>
        <w:tc>
          <w:tcPr>
            <w:tcW w:w="2080" w:type="dxa"/>
            <w:shd w:val="clear" w:color="auto" w:fill="auto"/>
            <w:vAlign w:val="center"/>
          </w:tcPr>
          <w:p w14:paraId="55569A3A" w14:textId="77777777" w:rsidR="00F925DD" w:rsidRDefault="00F925DD">
            <w:pPr>
              <w:rPr>
                <w:rFonts w:ascii="Times New Roman" w:hAnsi="Times New Roman"/>
                <w:sz w:val="20"/>
                <w:szCs w:val="20"/>
              </w:rPr>
            </w:pPr>
          </w:p>
        </w:tc>
        <w:tc>
          <w:tcPr>
            <w:tcW w:w="4500" w:type="dxa"/>
            <w:shd w:val="clear" w:color="auto" w:fill="auto"/>
            <w:vAlign w:val="center"/>
          </w:tcPr>
          <w:p w14:paraId="55569A3B" w14:textId="77777777" w:rsidR="00F925DD" w:rsidRDefault="00F925DD">
            <w:pPr>
              <w:rPr>
                <w:rFonts w:ascii="Times New Roman" w:hAnsi="Times New Roman"/>
                <w:sz w:val="20"/>
                <w:szCs w:val="20"/>
              </w:rPr>
            </w:pPr>
          </w:p>
        </w:tc>
      </w:tr>
      <w:tr w:rsidR="00F925DD" w14:paraId="55569A4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9A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A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A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A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9A42" w14:textId="77777777" w:rsidR="00F925DD" w:rsidRDefault="00E705D7">
      <w:pPr>
        <w:spacing w:line="288" w:lineRule="auto"/>
        <w:jc w:val="both"/>
        <w:rPr>
          <w:rFonts w:ascii="Times New Roman" w:hAnsi="Times New Roman"/>
          <w:sz w:val="20"/>
          <w:szCs w:val="20"/>
        </w:rPr>
      </w:pPr>
      <w:r>
        <w:rPr>
          <w:rFonts w:ascii="Arial" w:eastAsia="宋体" w:hAnsi="Arial" w:cs="Arial"/>
          <w:sz w:val="10"/>
          <w:szCs w:val="10"/>
        </w:rPr>
        <w:t xml:space="preserve">(1) </w:t>
      </w:r>
      <w:r>
        <w:rPr>
          <w:rFonts w:ascii="Arial" w:eastAsia="宋体" w:hAnsi="Arial" w:cs="Arial"/>
          <w:sz w:val="14"/>
          <w:szCs w:val="14"/>
        </w:rPr>
        <w:t xml:space="preserve">Total amounts committed reflect participations to independent third parties, if any. </w:t>
      </w:r>
    </w:p>
    <w:p w14:paraId="55569A43"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(2)</w:t>
      </w:r>
      <w:r>
        <w:rPr>
          <w:rFonts w:ascii="Arial" w:eastAsia="宋体" w:hAnsi="Arial" w:cs="Arial"/>
          <w:sz w:val="14"/>
          <w:szCs w:val="14"/>
        </w:rPr>
        <w:t xml:space="preserve"> Amounts represent obligations pursuant to legally binding agreements, where we have agreed to purchase products or services with a specific minimum quantity defined a</w:t>
      </w:r>
      <w:r>
        <w:rPr>
          <w:rFonts w:ascii="Arial" w:eastAsia="宋体" w:hAnsi="Arial" w:cs="Arial"/>
          <w:sz w:val="14"/>
          <w:szCs w:val="14"/>
        </w:rPr>
        <w:t>t a fixed, minimum or variable price over a specified period of time.</w:t>
      </w:r>
    </w:p>
    <w:p w14:paraId="55569A4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the commitments presented in Table 33: Other commercial commitments, except for purchase obligations, is provided in Note 12 to the consolidated financial st</w:t>
      </w:r>
      <w:r>
        <w:rPr>
          <w:rFonts w:ascii="Arial" w:eastAsia="宋体" w:hAnsi="Arial" w:cs="Arial"/>
          <w:sz w:val="20"/>
          <w:szCs w:val="20"/>
        </w:rPr>
        <w:t>atements in this Form 10-K.</w:t>
      </w:r>
    </w:p>
    <w:p w14:paraId="55569A45"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Operational Risk Management</w:t>
      </w:r>
    </w:p>
    <w:p w14:paraId="55569A46" w14:textId="77777777" w:rsidR="00F925DD" w:rsidRDefault="00E705D7">
      <w:pPr>
        <w:spacing w:line="288" w:lineRule="auto"/>
        <w:rPr>
          <w:rFonts w:ascii="Times New Roman" w:hAnsi="Times New Roman"/>
          <w:sz w:val="20"/>
          <w:szCs w:val="20"/>
        </w:rPr>
      </w:pPr>
      <w:r>
        <w:rPr>
          <w:rFonts w:ascii="Arial" w:eastAsia="宋体" w:hAnsi="Arial" w:cs="Arial"/>
          <w:b/>
          <w:bCs/>
          <w:i/>
          <w:iCs/>
          <w:sz w:val="20"/>
          <w:szCs w:val="20"/>
        </w:rPr>
        <w:t>Overview</w:t>
      </w:r>
    </w:p>
    <w:p w14:paraId="55569A4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Operational risk is the risk of loss resulting from inadequate or failed internal processes, people and systems or from external events. Operational risk encompasses fiduciary risk and </w:t>
      </w:r>
      <w:r>
        <w:rPr>
          <w:rFonts w:ascii="Arial" w:eastAsia="宋体" w:hAnsi="Arial" w:cs="Arial"/>
          <w:sz w:val="20"/>
          <w:szCs w:val="20"/>
        </w:rPr>
        <w:t>legal risk. Fiduciary risk is defined as the risk that we fail to properly exercise our fiduciary duties in our provision of products or services to clients. Legal risk is the risk of loss resulting from failure to comply with laws and contractual obligati</w:t>
      </w:r>
      <w:r>
        <w:rPr>
          <w:rFonts w:ascii="Arial" w:eastAsia="宋体" w:hAnsi="Arial" w:cs="Arial"/>
          <w:sz w:val="20"/>
          <w:szCs w:val="20"/>
        </w:rPr>
        <w:t>ons.</w:t>
      </w:r>
    </w:p>
    <w:p w14:paraId="55569A4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Operational risk is inherent in the performance of investment servicing and investment management activities on behalf of our clients. Whether it be fiduciary risk, risk associated with execution and processing or other types of operational risk, a co</w:t>
      </w:r>
      <w:r>
        <w:rPr>
          <w:rFonts w:ascii="Arial" w:eastAsia="宋体" w:hAnsi="Arial" w:cs="Arial"/>
          <w:sz w:val="20"/>
          <w:szCs w:val="20"/>
        </w:rPr>
        <w:t xml:space="preserve">nsistent, transparent and effective operational risk framework is key to identifying, monitoring and managing operational risk. </w:t>
      </w:r>
    </w:p>
    <w:p w14:paraId="55569A49" w14:textId="77777777" w:rsidR="00F925DD" w:rsidRDefault="00F925DD">
      <w:pPr>
        <w:rPr>
          <w:rFonts w:ascii="Times New Roman" w:hAnsi="Times New Roman"/>
          <w:sz w:val="20"/>
          <w:szCs w:val="20"/>
        </w:rPr>
      </w:pPr>
    </w:p>
    <w:p w14:paraId="55569A4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93</w:t>
      </w:r>
    </w:p>
    <w:p w14:paraId="55569A4B" w14:textId="77777777" w:rsidR="00F925DD" w:rsidRDefault="00F925DD">
      <w:pPr>
        <w:spacing w:line="288" w:lineRule="auto"/>
        <w:ind w:firstLine="600"/>
        <w:jc w:val="center"/>
        <w:rPr>
          <w:rFonts w:ascii="Times New Roman" w:hAnsi="Times New Roman"/>
          <w:sz w:val="18"/>
          <w:szCs w:val="18"/>
        </w:rPr>
      </w:pPr>
    </w:p>
    <w:p w14:paraId="55569A4C" w14:textId="77777777" w:rsidR="00F925DD" w:rsidRDefault="00E705D7">
      <w:r>
        <w:rPr>
          <w:rFonts w:ascii="Times New Roman" w:hAnsi="Times New Roman"/>
          <w:sz w:val="18"/>
          <w:szCs w:val="18"/>
        </w:rPr>
        <w:pict w14:anchorId="55570697">
          <v:rect id="_x0000_i1117" style="width:415.3pt;height:1.5pt" o:hralign="center" o:hrstd="t" o:hr="t" fillcolor="#a0a0a0" stroked="f"/>
        </w:pict>
      </w:r>
    </w:p>
    <w:p w14:paraId="55569A4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A4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A4F" w14:textId="77777777" w:rsidR="00F925DD" w:rsidRDefault="00F925DD">
      <w:pPr>
        <w:rPr>
          <w:rFonts w:ascii="Times New Roman" w:hAnsi="Times New Roman"/>
          <w:sz w:val="20"/>
          <w:szCs w:val="20"/>
        </w:rPr>
      </w:pPr>
    </w:p>
    <w:p w14:paraId="55569A5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w:t>
      </w:r>
      <w:r>
        <w:rPr>
          <w:rFonts w:ascii="Arial" w:eastAsia="宋体" w:hAnsi="Arial" w:cs="Arial"/>
          <w:sz w:val="20"/>
          <w:szCs w:val="20"/>
        </w:rPr>
        <w:t>have established an operational risk framework that is based on three major goals:</w:t>
      </w:r>
    </w:p>
    <w:p w14:paraId="55569A5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•Strong, active governance;</w:t>
      </w:r>
    </w:p>
    <w:p w14:paraId="55569A5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•Ownership and accountability; and</w:t>
      </w:r>
    </w:p>
    <w:p w14:paraId="55569A5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•Consistency and transparency.</w:t>
      </w:r>
    </w:p>
    <w:p w14:paraId="55569A54"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Governance</w:t>
      </w:r>
    </w:p>
    <w:p w14:paraId="55569A5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Board is responsible for the approval and oversight of our overa</w:t>
      </w:r>
      <w:r>
        <w:rPr>
          <w:rFonts w:ascii="Arial" w:eastAsia="宋体" w:hAnsi="Arial" w:cs="Arial"/>
          <w:sz w:val="20"/>
          <w:szCs w:val="20"/>
        </w:rPr>
        <w:t xml:space="preserve">ll operational risk framework. It does so through its TOPS, which reviews our operational risk framework and approves our operational risk policy annually. </w:t>
      </w:r>
    </w:p>
    <w:p w14:paraId="55569A5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operational risk policy establishes our approach to our management of operational risk across o</w:t>
      </w:r>
      <w:r>
        <w:rPr>
          <w:rFonts w:ascii="Arial" w:eastAsia="宋体" w:hAnsi="Arial" w:cs="Arial"/>
          <w:sz w:val="20"/>
          <w:szCs w:val="20"/>
        </w:rPr>
        <w:t>ur business. The policy identifies the responsibilities of individuals and committees charged with oversight of the management of operational risk, and articulates a broad mandate that supports implementation of the operational risk framework.</w:t>
      </w:r>
    </w:p>
    <w:p w14:paraId="55569A5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ERM and othe</w:t>
      </w:r>
      <w:r>
        <w:rPr>
          <w:rFonts w:ascii="Arial" w:eastAsia="宋体" w:hAnsi="Arial" w:cs="Arial"/>
          <w:sz w:val="20"/>
          <w:szCs w:val="20"/>
        </w:rPr>
        <w:t xml:space="preserve">r control groups provide the oversight, validation and verification of the management and measurement of operational risk. </w:t>
      </w:r>
    </w:p>
    <w:p w14:paraId="55569A5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Executive management actively manages and oversees our operational risk framework through membership on various risk management comm</w:t>
      </w:r>
      <w:r>
        <w:rPr>
          <w:rFonts w:ascii="Arial" w:eastAsia="宋体" w:hAnsi="Arial" w:cs="Arial"/>
          <w:sz w:val="20"/>
          <w:szCs w:val="20"/>
        </w:rPr>
        <w:t>ittees, including MRAC, the BCRC, TORC, the Operational Risk Committee, the Executive Information Security Steering Committee, Business Controls Steering Committee, Compliance and Ethics Committee and the Fiduciary Review Committee, all of which ultimately</w:t>
      </w:r>
      <w:r>
        <w:rPr>
          <w:rFonts w:ascii="Arial" w:eastAsia="宋体" w:hAnsi="Arial" w:cs="Arial"/>
          <w:sz w:val="20"/>
          <w:szCs w:val="20"/>
        </w:rPr>
        <w:t xml:space="preserve"> report to the appropriate committee of the Board.</w:t>
      </w:r>
    </w:p>
    <w:p w14:paraId="55569A5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Operational Risk Committee, chaired by the global head of Operational Risk and co-chaired by the FLOD Head of Business Controls, provides cross-business oversight of operational risk, operational risk </w:t>
      </w:r>
      <w:r>
        <w:rPr>
          <w:rFonts w:ascii="Arial" w:eastAsia="宋体" w:hAnsi="Arial" w:cs="Arial"/>
          <w:sz w:val="20"/>
          <w:szCs w:val="20"/>
        </w:rPr>
        <w:t>programs and their implementation to identify, measure, manage and control operational risk in an effective and consistent manner and reviews and approves operational risk guidelines intended to maintain a consistent implementation of our corporate operati</w:t>
      </w:r>
      <w:r>
        <w:rPr>
          <w:rFonts w:ascii="Arial" w:eastAsia="宋体" w:hAnsi="Arial" w:cs="Arial"/>
          <w:sz w:val="20"/>
          <w:szCs w:val="20"/>
        </w:rPr>
        <w:t xml:space="preserve">onal risk policy and framework. </w:t>
      </w:r>
    </w:p>
    <w:p w14:paraId="55569A5A"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Ownership and Accountability</w:t>
      </w:r>
    </w:p>
    <w:p w14:paraId="55569A5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have implemented our operational risk framework to support the broad mandate established by our operational risk policy. This framework represents an integrated set of processes and </w:t>
      </w:r>
      <w:r>
        <w:rPr>
          <w:rFonts w:ascii="Arial" w:eastAsia="宋体" w:hAnsi="Arial" w:cs="Arial"/>
          <w:sz w:val="20"/>
          <w:szCs w:val="20"/>
        </w:rPr>
        <w:t>tools that assists us in the management and measurement of operational risk, including our calculation of required capital and RWA.</w:t>
      </w:r>
    </w:p>
    <w:p w14:paraId="55569A5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framework takes a comprehensive view and integrates the methods and tools used to manage and measure operational risk. T</w:t>
      </w:r>
      <w:r>
        <w:rPr>
          <w:rFonts w:ascii="Arial" w:eastAsia="宋体" w:hAnsi="Arial" w:cs="Arial"/>
          <w:sz w:val="20"/>
          <w:szCs w:val="20"/>
        </w:rPr>
        <w:t xml:space="preserve">he framework utilizes aspects of the COSO framework and other industry leading practices, and is designed foremost to address our risk management needs while complying with </w:t>
      </w:r>
    </w:p>
    <w:p w14:paraId="55569A5D"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A5E"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regulatory requirements. The operational risk framework is intended to provide a</w:t>
      </w:r>
      <w:r>
        <w:rPr>
          <w:rFonts w:ascii="Arial" w:eastAsia="宋体" w:hAnsi="Arial" w:cs="Arial"/>
          <w:sz w:val="20"/>
          <w:szCs w:val="20"/>
        </w:rPr>
        <w:t xml:space="preserve"> number of important benefits, including: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61" w14:textId="77777777">
        <w:trPr>
          <w:tblCellSpacing w:w="0" w:type="dxa"/>
        </w:trPr>
        <w:tc>
          <w:tcPr>
            <w:tcW w:w="960" w:type="dxa"/>
            <w:shd w:val="clear" w:color="auto" w:fill="auto"/>
            <w:vAlign w:val="center"/>
          </w:tcPr>
          <w:p w14:paraId="55569A5F" w14:textId="77777777" w:rsidR="00F925DD" w:rsidRDefault="00F925DD">
            <w:pPr>
              <w:rPr>
                <w:rFonts w:ascii="Times New Roman" w:hAnsi="Times New Roman"/>
                <w:sz w:val="20"/>
                <w:szCs w:val="20"/>
              </w:rPr>
            </w:pPr>
          </w:p>
        </w:tc>
        <w:tc>
          <w:tcPr>
            <w:tcW w:w="0" w:type="auto"/>
            <w:shd w:val="clear" w:color="auto" w:fill="auto"/>
            <w:vAlign w:val="center"/>
          </w:tcPr>
          <w:p w14:paraId="55569A60" w14:textId="77777777" w:rsidR="00F925DD" w:rsidRDefault="00F925DD">
            <w:pPr>
              <w:rPr>
                <w:rFonts w:ascii="Times New Roman" w:hAnsi="Times New Roman"/>
                <w:sz w:val="20"/>
                <w:szCs w:val="20"/>
              </w:rPr>
            </w:pPr>
          </w:p>
        </w:tc>
      </w:tr>
      <w:tr w:rsidR="00F925DD" w14:paraId="55569A64" w14:textId="77777777">
        <w:trPr>
          <w:tblCellSpacing w:w="0" w:type="dxa"/>
        </w:trPr>
        <w:tc>
          <w:tcPr>
            <w:tcW w:w="0" w:type="auto"/>
            <w:shd w:val="clear" w:color="auto" w:fill="auto"/>
          </w:tcPr>
          <w:p w14:paraId="55569A6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6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common understanding of operational risk management and its supporting processes; </w:t>
            </w:r>
          </w:p>
        </w:tc>
      </w:tr>
    </w:tbl>
    <w:p w14:paraId="55569A6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68" w14:textId="77777777">
        <w:trPr>
          <w:tblCellSpacing w:w="0" w:type="dxa"/>
        </w:trPr>
        <w:tc>
          <w:tcPr>
            <w:tcW w:w="960" w:type="dxa"/>
            <w:shd w:val="clear" w:color="auto" w:fill="auto"/>
            <w:vAlign w:val="center"/>
          </w:tcPr>
          <w:p w14:paraId="55569A66" w14:textId="77777777" w:rsidR="00F925DD" w:rsidRDefault="00F925DD">
            <w:pPr>
              <w:rPr>
                <w:rFonts w:ascii="Times New Roman" w:hAnsi="Times New Roman"/>
                <w:sz w:val="20"/>
                <w:szCs w:val="20"/>
              </w:rPr>
            </w:pPr>
          </w:p>
        </w:tc>
        <w:tc>
          <w:tcPr>
            <w:tcW w:w="0" w:type="auto"/>
            <w:shd w:val="clear" w:color="auto" w:fill="auto"/>
            <w:vAlign w:val="center"/>
          </w:tcPr>
          <w:p w14:paraId="55569A67" w14:textId="77777777" w:rsidR="00F925DD" w:rsidRDefault="00F925DD">
            <w:pPr>
              <w:rPr>
                <w:rFonts w:ascii="Times New Roman" w:hAnsi="Times New Roman"/>
                <w:sz w:val="20"/>
                <w:szCs w:val="20"/>
              </w:rPr>
            </w:pPr>
          </w:p>
        </w:tc>
      </w:tr>
      <w:tr w:rsidR="00F925DD" w14:paraId="55569A6B" w14:textId="77777777">
        <w:trPr>
          <w:tblCellSpacing w:w="0" w:type="dxa"/>
        </w:trPr>
        <w:tc>
          <w:tcPr>
            <w:tcW w:w="0" w:type="auto"/>
            <w:shd w:val="clear" w:color="auto" w:fill="auto"/>
          </w:tcPr>
          <w:p w14:paraId="55569A6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6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clarification of responsibilities for the management of operational risk across our business;</w:t>
            </w:r>
          </w:p>
        </w:tc>
      </w:tr>
    </w:tbl>
    <w:p w14:paraId="55569A6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148"/>
      </w:tblGrid>
      <w:tr w:rsidR="00F925DD" w14:paraId="55569A6F" w14:textId="77777777">
        <w:trPr>
          <w:tblCellSpacing w:w="0" w:type="dxa"/>
        </w:trPr>
        <w:tc>
          <w:tcPr>
            <w:tcW w:w="960" w:type="dxa"/>
            <w:shd w:val="clear" w:color="auto" w:fill="auto"/>
            <w:vAlign w:val="center"/>
          </w:tcPr>
          <w:p w14:paraId="55569A6D" w14:textId="77777777" w:rsidR="00F925DD" w:rsidRDefault="00F925DD">
            <w:pPr>
              <w:rPr>
                <w:rFonts w:ascii="Times New Roman" w:hAnsi="Times New Roman"/>
                <w:sz w:val="20"/>
                <w:szCs w:val="20"/>
              </w:rPr>
            </w:pPr>
          </w:p>
        </w:tc>
        <w:tc>
          <w:tcPr>
            <w:tcW w:w="0" w:type="auto"/>
            <w:shd w:val="clear" w:color="auto" w:fill="auto"/>
            <w:vAlign w:val="center"/>
          </w:tcPr>
          <w:p w14:paraId="55569A6E" w14:textId="77777777" w:rsidR="00F925DD" w:rsidRDefault="00F925DD">
            <w:pPr>
              <w:rPr>
                <w:rFonts w:ascii="Times New Roman" w:hAnsi="Times New Roman"/>
                <w:sz w:val="20"/>
                <w:szCs w:val="20"/>
              </w:rPr>
            </w:pPr>
          </w:p>
        </w:tc>
      </w:tr>
      <w:tr w:rsidR="00F925DD" w14:paraId="55569A72" w14:textId="77777777">
        <w:trPr>
          <w:tblCellSpacing w:w="0" w:type="dxa"/>
        </w:trPr>
        <w:tc>
          <w:tcPr>
            <w:tcW w:w="0" w:type="auto"/>
            <w:shd w:val="clear" w:color="auto" w:fill="auto"/>
          </w:tcPr>
          <w:p w14:paraId="55569A7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7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alignment of business priorities with risk management objectives;</w:t>
            </w:r>
          </w:p>
        </w:tc>
      </w:tr>
    </w:tbl>
    <w:p w14:paraId="55569A7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415"/>
      </w:tblGrid>
      <w:tr w:rsidR="00F925DD" w14:paraId="55569A76" w14:textId="77777777">
        <w:trPr>
          <w:tblCellSpacing w:w="0" w:type="dxa"/>
        </w:trPr>
        <w:tc>
          <w:tcPr>
            <w:tcW w:w="960" w:type="dxa"/>
            <w:shd w:val="clear" w:color="auto" w:fill="auto"/>
            <w:vAlign w:val="center"/>
          </w:tcPr>
          <w:p w14:paraId="55569A74" w14:textId="77777777" w:rsidR="00F925DD" w:rsidRDefault="00F925DD">
            <w:pPr>
              <w:rPr>
                <w:rFonts w:ascii="Times New Roman" w:hAnsi="Times New Roman"/>
                <w:sz w:val="20"/>
                <w:szCs w:val="20"/>
              </w:rPr>
            </w:pPr>
          </w:p>
        </w:tc>
        <w:tc>
          <w:tcPr>
            <w:tcW w:w="0" w:type="auto"/>
            <w:shd w:val="clear" w:color="auto" w:fill="auto"/>
            <w:vAlign w:val="center"/>
          </w:tcPr>
          <w:p w14:paraId="55569A75" w14:textId="77777777" w:rsidR="00F925DD" w:rsidRDefault="00F925DD">
            <w:pPr>
              <w:rPr>
                <w:rFonts w:ascii="Times New Roman" w:hAnsi="Times New Roman"/>
                <w:sz w:val="20"/>
                <w:szCs w:val="20"/>
              </w:rPr>
            </w:pPr>
          </w:p>
        </w:tc>
      </w:tr>
      <w:tr w:rsidR="00F925DD" w14:paraId="55569A79" w14:textId="77777777">
        <w:trPr>
          <w:tblCellSpacing w:w="0" w:type="dxa"/>
        </w:trPr>
        <w:tc>
          <w:tcPr>
            <w:tcW w:w="0" w:type="auto"/>
            <w:shd w:val="clear" w:color="auto" w:fill="auto"/>
          </w:tcPr>
          <w:p w14:paraId="55569A7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7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active management of risk and early identification of emerging risks;</w:t>
            </w:r>
          </w:p>
        </w:tc>
      </w:tr>
    </w:tbl>
    <w:p w14:paraId="55569A7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7D" w14:textId="77777777">
        <w:trPr>
          <w:tblCellSpacing w:w="0" w:type="dxa"/>
        </w:trPr>
        <w:tc>
          <w:tcPr>
            <w:tcW w:w="960" w:type="dxa"/>
            <w:shd w:val="clear" w:color="auto" w:fill="auto"/>
            <w:vAlign w:val="center"/>
          </w:tcPr>
          <w:p w14:paraId="55569A7B" w14:textId="77777777" w:rsidR="00F925DD" w:rsidRDefault="00F925DD">
            <w:pPr>
              <w:rPr>
                <w:rFonts w:ascii="Times New Roman" w:hAnsi="Times New Roman"/>
                <w:sz w:val="20"/>
                <w:szCs w:val="20"/>
              </w:rPr>
            </w:pPr>
          </w:p>
        </w:tc>
        <w:tc>
          <w:tcPr>
            <w:tcW w:w="0" w:type="auto"/>
            <w:shd w:val="clear" w:color="auto" w:fill="auto"/>
            <w:vAlign w:val="center"/>
          </w:tcPr>
          <w:p w14:paraId="55569A7C" w14:textId="77777777" w:rsidR="00F925DD" w:rsidRDefault="00F925DD">
            <w:pPr>
              <w:rPr>
                <w:rFonts w:ascii="Times New Roman" w:hAnsi="Times New Roman"/>
                <w:sz w:val="20"/>
                <w:szCs w:val="20"/>
              </w:rPr>
            </w:pPr>
          </w:p>
        </w:tc>
      </w:tr>
      <w:tr w:rsidR="00F925DD" w14:paraId="55569A80" w14:textId="77777777">
        <w:trPr>
          <w:tblCellSpacing w:w="0" w:type="dxa"/>
        </w:trPr>
        <w:tc>
          <w:tcPr>
            <w:tcW w:w="0" w:type="auto"/>
            <w:shd w:val="clear" w:color="auto" w:fill="auto"/>
          </w:tcPr>
          <w:p w14:paraId="55569A7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7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consistent application of policies and the collection of data for risk management and </w:t>
            </w:r>
            <w:r>
              <w:rPr>
                <w:rFonts w:ascii="Arial" w:eastAsia="宋体" w:hAnsi="Arial" w:cs="Arial"/>
                <w:sz w:val="20"/>
                <w:szCs w:val="20"/>
              </w:rPr>
              <w:t>measurement; and</w:t>
            </w:r>
          </w:p>
        </w:tc>
      </w:tr>
    </w:tbl>
    <w:p w14:paraId="55569A8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103"/>
      </w:tblGrid>
      <w:tr w:rsidR="00F925DD" w14:paraId="55569A84" w14:textId="77777777">
        <w:trPr>
          <w:tblCellSpacing w:w="0" w:type="dxa"/>
        </w:trPr>
        <w:tc>
          <w:tcPr>
            <w:tcW w:w="960" w:type="dxa"/>
            <w:shd w:val="clear" w:color="auto" w:fill="auto"/>
            <w:vAlign w:val="center"/>
          </w:tcPr>
          <w:p w14:paraId="55569A82" w14:textId="77777777" w:rsidR="00F925DD" w:rsidRDefault="00F925DD">
            <w:pPr>
              <w:rPr>
                <w:rFonts w:ascii="Times New Roman" w:hAnsi="Times New Roman"/>
                <w:sz w:val="20"/>
                <w:szCs w:val="20"/>
              </w:rPr>
            </w:pPr>
          </w:p>
        </w:tc>
        <w:tc>
          <w:tcPr>
            <w:tcW w:w="0" w:type="auto"/>
            <w:shd w:val="clear" w:color="auto" w:fill="auto"/>
            <w:vAlign w:val="center"/>
          </w:tcPr>
          <w:p w14:paraId="55569A83" w14:textId="77777777" w:rsidR="00F925DD" w:rsidRDefault="00F925DD">
            <w:pPr>
              <w:rPr>
                <w:rFonts w:ascii="Times New Roman" w:hAnsi="Times New Roman"/>
                <w:sz w:val="20"/>
                <w:szCs w:val="20"/>
              </w:rPr>
            </w:pPr>
          </w:p>
        </w:tc>
      </w:tr>
      <w:tr w:rsidR="00F925DD" w14:paraId="55569A87" w14:textId="77777777">
        <w:trPr>
          <w:tblCellSpacing w:w="0" w:type="dxa"/>
        </w:trPr>
        <w:tc>
          <w:tcPr>
            <w:tcW w:w="0" w:type="auto"/>
            <w:shd w:val="clear" w:color="auto" w:fill="auto"/>
          </w:tcPr>
          <w:p w14:paraId="55569A8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8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estimation of our operational risk capital requirement.</w:t>
            </w:r>
          </w:p>
        </w:tc>
      </w:tr>
    </w:tbl>
    <w:p w14:paraId="55569A8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operational risk framework employs a distributed risk management infrastructure executed by ERM groups aligned with the business units, which are </w:t>
      </w:r>
      <w:r>
        <w:rPr>
          <w:rFonts w:ascii="Arial" w:eastAsia="宋体" w:hAnsi="Arial" w:cs="Arial"/>
          <w:sz w:val="20"/>
          <w:szCs w:val="20"/>
        </w:rPr>
        <w:t>responsible for the implementation of the operational risk framework at the business unit level.</w:t>
      </w:r>
    </w:p>
    <w:p w14:paraId="55569A8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with other risks, senior business unit management is responsible for the day-to-day operational risk management of their respective businesses. It is busine</w:t>
      </w:r>
      <w:r>
        <w:rPr>
          <w:rFonts w:ascii="Arial" w:eastAsia="宋体" w:hAnsi="Arial" w:cs="Arial"/>
          <w:sz w:val="20"/>
          <w:szCs w:val="20"/>
        </w:rPr>
        <w:t xml:space="preserve">ss unit management's responsibility to provide oversight of the implementation and ongoing execution of the operational risk framework within their respective organizations, as well as coordination and communication with ERM. </w:t>
      </w:r>
    </w:p>
    <w:p w14:paraId="55569A8A"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Consistency and Transparency</w:t>
      </w:r>
    </w:p>
    <w:p w14:paraId="55569A8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 number of corporate control functions are directly responsible for implementing and assessing various aspects of our operational risk framework, with the overarching goal of consistency and transparency to meet the evolving needs of the business: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8E" w14:textId="77777777">
        <w:trPr>
          <w:tblCellSpacing w:w="0" w:type="dxa"/>
        </w:trPr>
        <w:tc>
          <w:tcPr>
            <w:tcW w:w="960" w:type="dxa"/>
            <w:shd w:val="clear" w:color="auto" w:fill="auto"/>
            <w:vAlign w:val="center"/>
          </w:tcPr>
          <w:p w14:paraId="55569A8C" w14:textId="77777777" w:rsidR="00F925DD" w:rsidRDefault="00F925DD">
            <w:pPr>
              <w:rPr>
                <w:rFonts w:ascii="Times New Roman" w:hAnsi="Times New Roman"/>
                <w:sz w:val="20"/>
                <w:szCs w:val="20"/>
              </w:rPr>
            </w:pPr>
          </w:p>
        </w:tc>
        <w:tc>
          <w:tcPr>
            <w:tcW w:w="0" w:type="auto"/>
            <w:shd w:val="clear" w:color="auto" w:fill="auto"/>
            <w:vAlign w:val="center"/>
          </w:tcPr>
          <w:p w14:paraId="55569A8D" w14:textId="77777777" w:rsidR="00F925DD" w:rsidRDefault="00F925DD">
            <w:pPr>
              <w:rPr>
                <w:rFonts w:ascii="Times New Roman" w:hAnsi="Times New Roman"/>
                <w:sz w:val="20"/>
                <w:szCs w:val="20"/>
              </w:rPr>
            </w:pPr>
          </w:p>
        </w:tc>
      </w:tr>
      <w:tr w:rsidR="00F925DD" w14:paraId="55569A91" w14:textId="77777777">
        <w:trPr>
          <w:tblCellSpacing w:w="0" w:type="dxa"/>
        </w:trPr>
        <w:tc>
          <w:tcPr>
            <w:tcW w:w="0" w:type="auto"/>
            <w:shd w:val="clear" w:color="auto" w:fill="auto"/>
          </w:tcPr>
          <w:p w14:paraId="55569A8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9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global head of Operational Risk, a member of the CRO’s executive management team, leads ERM’s corporate ORM group. ORM is responsible for the strategy, evolution and consistent implementation of our operational risk guidelines, framework and supporting</w:t>
            </w:r>
            <w:r>
              <w:rPr>
                <w:rFonts w:ascii="Arial" w:eastAsia="宋体" w:hAnsi="Arial" w:cs="Arial"/>
                <w:sz w:val="20"/>
                <w:szCs w:val="20"/>
              </w:rPr>
              <w:t xml:space="preserve"> tools across our business. ORM reviews and analyzes operational key risk information, events, metrics and indicators at the business unit and corporate level for purposes of risk management, reporting and escalation to the CRO, senior management and gover</w:t>
            </w:r>
            <w:r>
              <w:rPr>
                <w:rFonts w:ascii="Arial" w:eastAsia="宋体" w:hAnsi="Arial" w:cs="Arial"/>
                <w:sz w:val="20"/>
                <w:szCs w:val="20"/>
              </w:rPr>
              <w:t xml:space="preserve">nance committees; </w:t>
            </w:r>
          </w:p>
        </w:tc>
      </w:tr>
    </w:tbl>
    <w:p w14:paraId="55569A9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95" w14:textId="77777777">
        <w:trPr>
          <w:tblCellSpacing w:w="0" w:type="dxa"/>
        </w:trPr>
        <w:tc>
          <w:tcPr>
            <w:tcW w:w="960" w:type="dxa"/>
            <w:shd w:val="clear" w:color="auto" w:fill="auto"/>
            <w:vAlign w:val="center"/>
          </w:tcPr>
          <w:p w14:paraId="55569A93" w14:textId="77777777" w:rsidR="00F925DD" w:rsidRDefault="00F925DD">
            <w:pPr>
              <w:rPr>
                <w:rFonts w:ascii="Times New Roman" w:hAnsi="Times New Roman"/>
                <w:sz w:val="20"/>
                <w:szCs w:val="20"/>
              </w:rPr>
            </w:pPr>
          </w:p>
        </w:tc>
        <w:tc>
          <w:tcPr>
            <w:tcW w:w="0" w:type="auto"/>
            <w:shd w:val="clear" w:color="auto" w:fill="auto"/>
            <w:vAlign w:val="center"/>
          </w:tcPr>
          <w:p w14:paraId="55569A94" w14:textId="77777777" w:rsidR="00F925DD" w:rsidRDefault="00F925DD">
            <w:pPr>
              <w:rPr>
                <w:rFonts w:ascii="Times New Roman" w:hAnsi="Times New Roman"/>
                <w:sz w:val="20"/>
                <w:szCs w:val="20"/>
              </w:rPr>
            </w:pPr>
          </w:p>
        </w:tc>
      </w:tr>
      <w:tr w:rsidR="00F925DD" w14:paraId="55569A98" w14:textId="77777777">
        <w:trPr>
          <w:tblCellSpacing w:w="0" w:type="dxa"/>
        </w:trPr>
        <w:tc>
          <w:tcPr>
            <w:tcW w:w="0" w:type="auto"/>
            <w:shd w:val="clear" w:color="auto" w:fill="auto"/>
          </w:tcPr>
          <w:p w14:paraId="55569A9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9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ERM’s Corporate Risk Analytics group develops and maintains operational risk capital estimation models, and ORM's Capital Analysis group calculates our required capital for operational risk;</w:t>
            </w:r>
          </w:p>
        </w:tc>
      </w:tr>
    </w:tbl>
    <w:p w14:paraId="55569A99" w14:textId="77777777" w:rsidR="00F925DD" w:rsidRDefault="00F925DD">
      <w:pPr>
        <w:rPr>
          <w:rFonts w:ascii="Times New Roman" w:hAnsi="Times New Roman"/>
          <w:sz w:val="20"/>
          <w:szCs w:val="20"/>
        </w:rPr>
      </w:pPr>
    </w:p>
    <w:p w14:paraId="55569A9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94</w:t>
      </w:r>
    </w:p>
    <w:p w14:paraId="55569A9B" w14:textId="77777777" w:rsidR="00F925DD" w:rsidRDefault="00F925DD">
      <w:pPr>
        <w:spacing w:line="288" w:lineRule="auto"/>
        <w:ind w:firstLine="600"/>
        <w:jc w:val="center"/>
        <w:rPr>
          <w:rFonts w:ascii="Times New Roman" w:hAnsi="Times New Roman"/>
          <w:sz w:val="18"/>
          <w:szCs w:val="18"/>
        </w:rPr>
      </w:pPr>
    </w:p>
    <w:p w14:paraId="55569A9C" w14:textId="77777777" w:rsidR="00F925DD" w:rsidRDefault="00E705D7">
      <w:r>
        <w:rPr>
          <w:rFonts w:ascii="Times New Roman" w:hAnsi="Times New Roman"/>
          <w:sz w:val="18"/>
          <w:szCs w:val="18"/>
        </w:rPr>
        <w:pict w14:anchorId="55570698">
          <v:rect id="_x0000_i1118" style="width:415.3pt;height:1.5pt" o:hralign="center" o:hrstd="t" o:hr="t" fillcolor="#a0a0a0" stroked="f"/>
        </w:pict>
      </w:r>
    </w:p>
    <w:p w14:paraId="55569A9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A9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A9F" w14:textId="77777777" w:rsidR="00F925DD" w:rsidRDefault="00F925DD">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A2" w14:textId="77777777">
        <w:trPr>
          <w:tblCellSpacing w:w="0" w:type="dxa"/>
        </w:trPr>
        <w:tc>
          <w:tcPr>
            <w:tcW w:w="960" w:type="dxa"/>
            <w:shd w:val="clear" w:color="auto" w:fill="auto"/>
            <w:vAlign w:val="center"/>
          </w:tcPr>
          <w:p w14:paraId="55569AA0" w14:textId="77777777" w:rsidR="00F925DD" w:rsidRDefault="00F925DD">
            <w:pPr>
              <w:rPr>
                <w:rFonts w:ascii="Times New Roman" w:hAnsi="Times New Roman"/>
                <w:sz w:val="20"/>
                <w:szCs w:val="20"/>
              </w:rPr>
            </w:pPr>
          </w:p>
        </w:tc>
        <w:tc>
          <w:tcPr>
            <w:tcW w:w="0" w:type="auto"/>
            <w:shd w:val="clear" w:color="auto" w:fill="auto"/>
            <w:vAlign w:val="center"/>
          </w:tcPr>
          <w:p w14:paraId="55569AA1" w14:textId="77777777" w:rsidR="00F925DD" w:rsidRDefault="00F925DD">
            <w:pPr>
              <w:rPr>
                <w:rFonts w:ascii="Times New Roman" w:hAnsi="Times New Roman"/>
                <w:sz w:val="20"/>
                <w:szCs w:val="20"/>
              </w:rPr>
            </w:pPr>
          </w:p>
        </w:tc>
      </w:tr>
      <w:tr w:rsidR="00F925DD" w14:paraId="55569AA5" w14:textId="77777777">
        <w:trPr>
          <w:tblCellSpacing w:w="0" w:type="dxa"/>
        </w:trPr>
        <w:tc>
          <w:tcPr>
            <w:tcW w:w="0" w:type="auto"/>
            <w:shd w:val="clear" w:color="auto" w:fill="auto"/>
          </w:tcPr>
          <w:p w14:paraId="55569AA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A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ERM’s MVG independently validates the quantitative models used to measure operational risk, and ORM performs validation checks on the output of the model;</w:t>
            </w:r>
          </w:p>
        </w:tc>
      </w:tr>
    </w:tbl>
    <w:p w14:paraId="55569AA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A9" w14:textId="77777777">
        <w:trPr>
          <w:tblCellSpacing w:w="0" w:type="dxa"/>
        </w:trPr>
        <w:tc>
          <w:tcPr>
            <w:tcW w:w="960" w:type="dxa"/>
            <w:shd w:val="clear" w:color="auto" w:fill="auto"/>
            <w:vAlign w:val="center"/>
          </w:tcPr>
          <w:p w14:paraId="55569AA7" w14:textId="77777777" w:rsidR="00F925DD" w:rsidRDefault="00F925DD">
            <w:pPr>
              <w:rPr>
                <w:rFonts w:ascii="Times New Roman" w:hAnsi="Times New Roman"/>
                <w:sz w:val="20"/>
                <w:szCs w:val="20"/>
              </w:rPr>
            </w:pPr>
          </w:p>
        </w:tc>
        <w:tc>
          <w:tcPr>
            <w:tcW w:w="0" w:type="auto"/>
            <w:shd w:val="clear" w:color="auto" w:fill="auto"/>
            <w:vAlign w:val="center"/>
          </w:tcPr>
          <w:p w14:paraId="55569AA8" w14:textId="77777777" w:rsidR="00F925DD" w:rsidRDefault="00F925DD">
            <w:pPr>
              <w:rPr>
                <w:rFonts w:ascii="Times New Roman" w:hAnsi="Times New Roman"/>
                <w:sz w:val="20"/>
                <w:szCs w:val="20"/>
              </w:rPr>
            </w:pPr>
          </w:p>
        </w:tc>
      </w:tr>
      <w:tr w:rsidR="00F925DD" w14:paraId="55569AAC" w14:textId="77777777">
        <w:trPr>
          <w:tblCellSpacing w:w="0" w:type="dxa"/>
        </w:trPr>
        <w:tc>
          <w:tcPr>
            <w:tcW w:w="0" w:type="auto"/>
            <w:shd w:val="clear" w:color="auto" w:fill="auto"/>
          </w:tcPr>
          <w:p w14:paraId="55569AA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A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CIS establishes the framework, policies and related programs to measure, monitor and report on information security risks, including the effectiveness of cyber-security program protections. CIS defines and manages the enterprise-wide information security p</w:t>
            </w:r>
            <w:r>
              <w:rPr>
                <w:rFonts w:ascii="Arial" w:eastAsia="宋体" w:hAnsi="Arial" w:cs="Arial"/>
                <w:sz w:val="20"/>
                <w:szCs w:val="20"/>
              </w:rPr>
              <w:t>rogram. CIS coordinates with Information Technology, control functions and business units to support the confidentiality, integrity and availability of corporate information assets. CIS identifies and employs a risk-based methodology consistent with applic</w:t>
            </w:r>
            <w:r>
              <w:rPr>
                <w:rFonts w:ascii="Arial" w:eastAsia="宋体" w:hAnsi="Arial" w:cs="Arial"/>
                <w:sz w:val="20"/>
                <w:szCs w:val="20"/>
              </w:rPr>
              <w:t>able regulatory cyber-security requirements and monitors the compliance of our systems with information security policies; and</w:t>
            </w:r>
          </w:p>
        </w:tc>
      </w:tr>
    </w:tbl>
    <w:p w14:paraId="55569AA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B0" w14:textId="77777777">
        <w:trPr>
          <w:tblCellSpacing w:w="0" w:type="dxa"/>
        </w:trPr>
        <w:tc>
          <w:tcPr>
            <w:tcW w:w="960" w:type="dxa"/>
            <w:shd w:val="clear" w:color="auto" w:fill="auto"/>
            <w:vAlign w:val="center"/>
          </w:tcPr>
          <w:p w14:paraId="55569AAE" w14:textId="77777777" w:rsidR="00F925DD" w:rsidRDefault="00F925DD">
            <w:pPr>
              <w:rPr>
                <w:rFonts w:ascii="Times New Roman" w:hAnsi="Times New Roman"/>
                <w:sz w:val="20"/>
                <w:szCs w:val="20"/>
              </w:rPr>
            </w:pPr>
          </w:p>
        </w:tc>
        <w:tc>
          <w:tcPr>
            <w:tcW w:w="0" w:type="auto"/>
            <w:shd w:val="clear" w:color="auto" w:fill="auto"/>
            <w:vAlign w:val="center"/>
          </w:tcPr>
          <w:p w14:paraId="55569AAF" w14:textId="77777777" w:rsidR="00F925DD" w:rsidRDefault="00F925DD">
            <w:pPr>
              <w:rPr>
                <w:rFonts w:ascii="Times New Roman" w:hAnsi="Times New Roman"/>
                <w:sz w:val="20"/>
                <w:szCs w:val="20"/>
              </w:rPr>
            </w:pPr>
          </w:p>
        </w:tc>
      </w:tr>
      <w:tr w:rsidR="00F925DD" w14:paraId="55569AB3" w14:textId="77777777">
        <w:trPr>
          <w:tblCellSpacing w:w="0" w:type="dxa"/>
        </w:trPr>
        <w:tc>
          <w:tcPr>
            <w:tcW w:w="0" w:type="auto"/>
            <w:shd w:val="clear" w:color="auto" w:fill="auto"/>
          </w:tcPr>
          <w:p w14:paraId="55569AB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B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Corporate Audit performs separate reviews of the application of operational risk management practices and </w:t>
            </w:r>
            <w:r>
              <w:rPr>
                <w:rFonts w:ascii="Arial" w:eastAsia="宋体" w:hAnsi="Arial" w:cs="Arial"/>
                <w:sz w:val="20"/>
                <w:szCs w:val="20"/>
              </w:rPr>
              <w:t>methodologies utilized across our business.</w:t>
            </w:r>
          </w:p>
        </w:tc>
      </w:tr>
    </w:tbl>
    <w:p w14:paraId="55569AB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operational risk framework consists of five components, each described below, which provide a working structure that integrates distinct risk programs into a continuous process focused on managing and measur</w:t>
      </w:r>
      <w:r>
        <w:rPr>
          <w:rFonts w:ascii="Arial" w:eastAsia="宋体" w:hAnsi="Arial" w:cs="Arial"/>
          <w:sz w:val="20"/>
          <w:szCs w:val="20"/>
        </w:rPr>
        <w:t xml:space="preserve">ing operational risk in a coordinated and consistent manner. </w:t>
      </w:r>
    </w:p>
    <w:p w14:paraId="55569AB5"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Risk Identification and Assessments</w:t>
      </w:r>
    </w:p>
    <w:p w14:paraId="55569AB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objective of risk identification and assessments is to understand business unit strategy, risk profile and potential exposures. It is achieved </w:t>
      </w:r>
      <w:r>
        <w:rPr>
          <w:rFonts w:ascii="Arial" w:eastAsia="宋体" w:hAnsi="Arial" w:cs="Arial"/>
          <w:sz w:val="20"/>
          <w:szCs w:val="20"/>
        </w:rPr>
        <w:t>through a series of risk assessments across our business using techniques for the identification, assessment and measurement of risk across a spectrum of potential frequency and severity combinations. Three primary risk assessment programs, which occur ann</w:t>
      </w:r>
      <w:r>
        <w:rPr>
          <w:rFonts w:ascii="Arial" w:eastAsia="宋体" w:hAnsi="Arial" w:cs="Arial"/>
          <w:sz w:val="20"/>
          <w:szCs w:val="20"/>
        </w:rPr>
        <w:t>ually, augmented by other business-specific programs, are the core of this component:</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B9" w14:textId="77777777">
        <w:trPr>
          <w:tblCellSpacing w:w="0" w:type="dxa"/>
        </w:trPr>
        <w:tc>
          <w:tcPr>
            <w:tcW w:w="960" w:type="dxa"/>
            <w:shd w:val="clear" w:color="auto" w:fill="auto"/>
            <w:vAlign w:val="center"/>
          </w:tcPr>
          <w:p w14:paraId="55569AB7" w14:textId="77777777" w:rsidR="00F925DD" w:rsidRDefault="00F925DD">
            <w:pPr>
              <w:rPr>
                <w:rFonts w:ascii="Times New Roman" w:hAnsi="Times New Roman"/>
                <w:sz w:val="20"/>
                <w:szCs w:val="20"/>
              </w:rPr>
            </w:pPr>
          </w:p>
        </w:tc>
        <w:tc>
          <w:tcPr>
            <w:tcW w:w="0" w:type="auto"/>
            <w:shd w:val="clear" w:color="auto" w:fill="auto"/>
            <w:vAlign w:val="center"/>
          </w:tcPr>
          <w:p w14:paraId="55569AB8" w14:textId="77777777" w:rsidR="00F925DD" w:rsidRDefault="00F925DD">
            <w:pPr>
              <w:rPr>
                <w:rFonts w:ascii="Times New Roman" w:hAnsi="Times New Roman"/>
                <w:sz w:val="20"/>
                <w:szCs w:val="20"/>
              </w:rPr>
            </w:pPr>
          </w:p>
        </w:tc>
      </w:tr>
      <w:tr w:rsidR="00F925DD" w14:paraId="55569ABC" w14:textId="77777777">
        <w:trPr>
          <w:tblCellSpacing w:w="0" w:type="dxa"/>
        </w:trPr>
        <w:tc>
          <w:tcPr>
            <w:tcW w:w="0" w:type="auto"/>
            <w:shd w:val="clear" w:color="auto" w:fill="auto"/>
          </w:tcPr>
          <w:p w14:paraId="55569AB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B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risk and control assessment program seeks to understand the risks associated with day-to-day activities, and the effectiveness of controls intended to manage potential exposures arising from these activities. These risks are typically frequent in natur</w:t>
            </w:r>
            <w:r>
              <w:rPr>
                <w:rFonts w:ascii="Arial" w:eastAsia="宋体" w:hAnsi="Arial" w:cs="Arial"/>
                <w:sz w:val="20"/>
                <w:szCs w:val="20"/>
              </w:rPr>
              <w:t xml:space="preserve">e but generally not severe in terms of exposure; </w:t>
            </w:r>
          </w:p>
        </w:tc>
      </w:tr>
    </w:tbl>
    <w:p w14:paraId="55569AB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C0" w14:textId="77777777">
        <w:trPr>
          <w:tblCellSpacing w:w="0" w:type="dxa"/>
        </w:trPr>
        <w:tc>
          <w:tcPr>
            <w:tcW w:w="960" w:type="dxa"/>
            <w:shd w:val="clear" w:color="auto" w:fill="auto"/>
            <w:vAlign w:val="center"/>
          </w:tcPr>
          <w:p w14:paraId="55569ABE" w14:textId="77777777" w:rsidR="00F925DD" w:rsidRDefault="00F925DD">
            <w:pPr>
              <w:rPr>
                <w:rFonts w:ascii="Times New Roman" w:hAnsi="Times New Roman"/>
                <w:sz w:val="20"/>
                <w:szCs w:val="20"/>
              </w:rPr>
            </w:pPr>
          </w:p>
        </w:tc>
        <w:tc>
          <w:tcPr>
            <w:tcW w:w="0" w:type="auto"/>
            <w:shd w:val="clear" w:color="auto" w:fill="auto"/>
            <w:vAlign w:val="center"/>
          </w:tcPr>
          <w:p w14:paraId="55569ABF" w14:textId="77777777" w:rsidR="00F925DD" w:rsidRDefault="00F925DD">
            <w:pPr>
              <w:rPr>
                <w:rFonts w:ascii="Times New Roman" w:hAnsi="Times New Roman"/>
                <w:sz w:val="20"/>
                <w:szCs w:val="20"/>
              </w:rPr>
            </w:pPr>
          </w:p>
        </w:tc>
      </w:tr>
      <w:tr w:rsidR="00F925DD" w14:paraId="55569AC3" w14:textId="77777777">
        <w:trPr>
          <w:tblCellSpacing w:w="0" w:type="dxa"/>
        </w:trPr>
        <w:tc>
          <w:tcPr>
            <w:tcW w:w="0" w:type="auto"/>
            <w:shd w:val="clear" w:color="auto" w:fill="auto"/>
          </w:tcPr>
          <w:p w14:paraId="55569AC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C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Material Risk Identification process utilizes a bottom-up approach to identify our most significant risk exposures across all on- and off-balance sheet risk-taking activities. The program is specifically designed to consider risks that could have a mat</w:t>
            </w:r>
            <w:r>
              <w:rPr>
                <w:rFonts w:ascii="Arial" w:eastAsia="宋体" w:hAnsi="Arial" w:cs="Arial"/>
                <w:sz w:val="20"/>
                <w:szCs w:val="20"/>
              </w:rPr>
              <w:t xml:space="preserve">erial impact irrespective of their likelihood or frequency. This can include risks that may have an impact </w:t>
            </w:r>
          </w:p>
        </w:tc>
      </w:tr>
    </w:tbl>
    <w:p w14:paraId="55569AC4"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AC5"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on longer-term business objectives, such as significant change management activities or long-term strategic initiatives;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C8" w14:textId="77777777">
        <w:trPr>
          <w:tblCellSpacing w:w="0" w:type="dxa"/>
        </w:trPr>
        <w:tc>
          <w:tcPr>
            <w:tcW w:w="960" w:type="dxa"/>
            <w:shd w:val="clear" w:color="auto" w:fill="auto"/>
            <w:vAlign w:val="center"/>
          </w:tcPr>
          <w:p w14:paraId="55569AC6" w14:textId="77777777" w:rsidR="00F925DD" w:rsidRDefault="00F925DD">
            <w:pPr>
              <w:rPr>
                <w:rFonts w:ascii="Times New Roman" w:hAnsi="Times New Roman"/>
                <w:sz w:val="20"/>
                <w:szCs w:val="20"/>
              </w:rPr>
            </w:pPr>
          </w:p>
        </w:tc>
        <w:tc>
          <w:tcPr>
            <w:tcW w:w="0" w:type="auto"/>
            <w:shd w:val="clear" w:color="auto" w:fill="auto"/>
            <w:vAlign w:val="center"/>
          </w:tcPr>
          <w:p w14:paraId="55569AC7" w14:textId="77777777" w:rsidR="00F925DD" w:rsidRDefault="00F925DD">
            <w:pPr>
              <w:rPr>
                <w:rFonts w:ascii="Times New Roman" w:hAnsi="Times New Roman"/>
                <w:sz w:val="20"/>
                <w:szCs w:val="20"/>
              </w:rPr>
            </w:pPr>
          </w:p>
        </w:tc>
      </w:tr>
      <w:tr w:rsidR="00F925DD" w14:paraId="55569ACB" w14:textId="77777777">
        <w:trPr>
          <w:tblCellSpacing w:w="0" w:type="dxa"/>
        </w:trPr>
        <w:tc>
          <w:tcPr>
            <w:tcW w:w="0" w:type="auto"/>
            <w:shd w:val="clear" w:color="auto" w:fill="auto"/>
          </w:tcPr>
          <w:p w14:paraId="55569AC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C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Scenario Analys</w:t>
            </w:r>
            <w:r>
              <w:rPr>
                <w:rFonts w:ascii="Arial" w:eastAsia="宋体" w:hAnsi="Arial" w:cs="Arial"/>
                <w:sz w:val="20"/>
                <w:szCs w:val="20"/>
              </w:rPr>
              <w:t>is program focuses on the set of risks with the highest severity and most relevance from a capital perspective. These are generally referred to as “tail risks," and serve as important benchmarks for our loss distribution approach model (see below); they al</w:t>
            </w:r>
            <w:r>
              <w:rPr>
                <w:rFonts w:ascii="Arial" w:eastAsia="宋体" w:hAnsi="Arial" w:cs="Arial"/>
                <w:sz w:val="20"/>
                <w:szCs w:val="20"/>
              </w:rPr>
              <w:t>so provide inputs into stress testing; and</w:t>
            </w:r>
          </w:p>
        </w:tc>
      </w:tr>
    </w:tbl>
    <w:p w14:paraId="55569AC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CF" w14:textId="77777777">
        <w:trPr>
          <w:tblCellSpacing w:w="0" w:type="dxa"/>
        </w:trPr>
        <w:tc>
          <w:tcPr>
            <w:tcW w:w="960" w:type="dxa"/>
            <w:shd w:val="clear" w:color="auto" w:fill="auto"/>
            <w:vAlign w:val="center"/>
          </w:tcPr>
          <w:p w14:paraId="55569ACD" w14:textId="77777777" w:rsidR="00F925DD" w:rsidRDefault="00F925DD">
            <w:pPr>
              <w:rPr>
                <w:rFonts w:ascii="Times New Roman" w:hAnsi="Times New Roman"/>
                <w:sz w:val="20"/>
                <w:szCs w:val="20"/>
              </w:rPr>
            </w:pPr>
          </w:p>
        </w:tc>
        <w:tc>
          <w:tcPr>
            <w:tcW w:w="0" w:type="auto"/>
            <w:shd w:val="clear" w:color="auto" w:fill="auto"/>
            <w:vAlign w:val="center"/>
          </w:tcPr>
          <w:p w14:paraId="55569ACE" w14:textId="77777777" w:rsidR="00F925DD" w:rsidRDefault="00F925DD">
            <w:pPr>
              <w:rPr>
                <w:rFonts w:ascii="Times New Roman" w:hAnsi="Times New Roman"/>
                <w:sz w:val="20"/>
                <w:szCs w:val="20"/>
              </w:rPr>
            </w:pPr>
          </w:p>
        </w:tc>
      </w:tr>
      <w:tr w:rsidR="00F925DD" w14:paraId="55569AD2" w14:textId="77777777">
        <w:trPr>
          <w:tblCellSpacing w:w="0" w:type="dxa"/>
        </w:trPr>
        <w:tc>
          <w:tcPr>
            <w:tcW w:w="0" w:type="auto"/>
            <w:shd w:val="clear" w:color="auto" w:fill="auto"/>
          </w:tcPr>
          <w:p w14:paraId="55569AD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D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Business-specific programs to identify, assess and measure risk, including new business and product review and approval, new client screening, and, as deemed appropriate, targeted risk </w:t>
            </w:r>
            <w:r>
              <w:rPr>
                <w:rFonts w:ascii="Arial" w:eastAsia="宋体" w:hAnsi="Arial" w:cs="Arial"/>
                <w:sz w:val="20"/>
                <w:szCs w:val="20"/>
              </w:rPr>
              <w:t>assessments.</w:t>
            </w:r>
          </w:p>
        </w:tc>
      </w:tr>
    </w:tbl>
    <w:p w14:paraId="55569AD3"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Capital Analysis</w:t>
      </w:r>
    </w:p>
    <w:p w14:paraId="55569AD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primary measurement tool used is an internally developed loss distribution approach (LDA) model. We use the LDA model to quantify required operational risk capital, from which we calculate RWA related to operational risk.</w:t>
      </w:r>
      <w:r>
        <w:rPr>
          <w:rFonts w:ascii="Arial" w:eastAsia="宋体" w:hAnsi="Arial" w:cs="Arial"/>
          <w:sz w:val="20"/>
          <w:szCs w:val="20"/>
        </w:rPr>
        <w:t xml:space="preserve"> Such required capital and RWA totaled $3.84 billion and $47.96 billion, respectively, as of December 31, 2019, compared to $3.68 billion and $46.06 billion, respectively, as of December 31, 2018; refer to the "Capital" section in "Financial Condition," of</w:t>
      </w:r>
      <w:r>
        <w:rPr>
          <w:rFonts w:ascii="Arial" w:eastAsia="宋体" w:hAnsi="Arial" w:cs="Arial"/>
          <w:sz w:val="20"/>
          <w:szCs w:val="20"/>
        </w:rPr>
        <w:t xml:space="preserve"> this Management's Discussion and Analysis.</w:t>
      </w:r>
    </w:p>
    <w:p w14:paraId="55569AD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LDA model incorporates the four required operational risk elements described below:</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D8" w14:textId="77777777">
        <w:trPr>
          <w:tblCellSpacing w:w="0" w:type="dxa"/>
        </w:trPr>
        <w:tc>
          <w:tcPr>
            <w:tcW w:w="960" w:type="dxa"/>
            <w:shd w:val="clear" w:color="auto" w:fill="auto"/>
            <w:vAlign w:val="center"/>
          </w:tcPr>
          <w:p w14:paraId="55569AD6" w14:textId="77777777" w:rsidR="00F925DD" w:rsidRDefault="00F925DD">
            <w:pPr>
              <w:rPr>
                <w:rFonts w:ascii="Times New Roman" w:hAnsi="Times New Roman"/>
                <w:sz w:val="20"/>
                <w:szCs w:val="20"/>
              </w:rPr>
            </w:pPr>
          </w:p>
        </w:tc>
        <w:tc>
          <w:tcPr>
            <w:tcW w:w="0" w:type="auto"/>
            <w:shd w:val="clear" w:color="auto" w:fill="auto"/>
            <w:vAlign w:val="center"/>
          </w:tcPr>
          <w:p w14:paraId="55569AD7" w14:textId="77777777" w:rsidR="00F925DD" w:rsidRDefault="00F925DD">
            <w:pPr>
              <w:rPr>
                <w:rFonts w:ascii="Times New Roman" w:hAnsi="Times New Roman"/>
                <w:sz w:val="20"/>
                <w:szCs w:val="20"/>
              </w:rPr>
            </w:pPr>
          </w:p>
        </w:tc>
      </w:tr>
      <w:tr w:rsidR="00F925DD" w14:paraId="55569ADB" w14:textId="77777777">
        <w:trPr>
          <w:tblCellSpacing w:w="0" w:type="dxa"/>
        </w:trPr>
        <w:tc>
          <w:tcPr>
            <w:tcW w:w="0" w:type="auto"/>
            <w:shd w:val="clear" w:color="auto" w:fill="auto"/>
          </w:tcPr>
          <w:p w14:paraId="55569AD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D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Internal loss event data is collected from across our business in conformity with our operating loss policy that establishes the requirements for collecting and reporting individual loss events. We categorize the data into seven Basel-defined event types a</w:t>
            </w:r>
            <w:r>
              <w:rPr>
                <w:rFonts w:ascii="Arial" w:eastAsia="宋体" w:hAnsi="Arial" w:cs="Arial"/>
                <w:sz w:val="20"/>
                <w:szCs w:val="20"/>
              </w:rPr>
              <w:t>nd further subdivide the data by business unit, as deemed appropriate. Each of these loss events are represented in a UOM which is used to estimate a specific amount of capital required for the types of loss events that fall into each specific category. So</w:t>
            </w:r>
            <w:r>
              <w:rPr>
                <w:rFonts w:ascii="Arial" w:eastAsia="宋体" w:hAnsi="Arial" w:cs="Arial"/>
                <w:sz w:val="20"/>
                <w:szCs w:val="20"/>
              </w:rPr>
              <w:t>me UOMs are measured at the corporate level because they are not “business specific,” such as damage to physical assets, where the cause of an event is not primarily driven by the behavior of a single business unit. Internal losses of $500 or greater are c</w:t>
            </w:r>
            <w:r>
              <w:rPr>
                <w:rFonts w:ascii="Arial" w:eastAsia="宋体" w:hAnsi="Arial" w:cs="Arial"/>
                <w:sz w:val="20"/>
                <w:szCs w:val="20"/>
              </w:rPr>
              <w:t>aptured, analyzed and included in the modeling approach. Loss event data is collected using a corporate-wide data collection tool, which stores the data in a Loss Event Data Repository (LEDR) to support processes related to analysis, management reporting a</w:t>
            </w:r>
            <w:r>
              <w:rPr>
                <w:rFonts w:ascii="Arial" w:eastAsia="宋体" w:hAnsi="Arial" w:cs="Arial"/>
                <w:sz w:val="20"/>
                <w:szCs w:val="20"/>
              </w:rPr>
              <w:t xml:space="preserve">nd the calculation of required capital. Internal loss event data provides our frequency and severity information to our capital calculation process for historical loss events experienced by us. </w:t>
            </w:r>
          </w:p>
        </w:tc>
      </w:tr>
    </w:tbl>
    <w:p w14:paraId="55569ADC" w14:textId="77777777" w:rsidR="00F925DD" w:rsidRDefault="00F925DD">
      <w:pPr>
        <w:rPr>
          <w:rFonts w:ascii="Times New Roman" w:hAnsi="Times New Roman"/>
          <w:sz w:val="20"/>
          <w:szCs w:val="20"/>
        </w:rPr>
      </w:pPr>
    </w:p>
    <w:p w14:paraId="55569AD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95</w:t>
      </w:r>
    </w:p>
    <w:p w14:paraId="55569ADE" w14:textId="77777777" w:rsidR="00F925DD" w:rsidRDefault="00F925DD">
      <w:pPr>
        <w:spacing w:line="288" w:lineRule="auto"/>
        <w:ind w:firstLine="600"/>
        <w:jc w:val="center"/>
        <w:rPr>
          <w:rFonts w:ascii="Times New Roman" w:hAnsi="Times New Roman"/>
          <w:sz w:val="18"/>
          <w:szCs w:val="18"/>
        </w:rPr>
      </w:pPr>
    </w:p>
    <w:p w14:paraId="55569ADF" w14:textId="77777777" w:rsidR="00F925DD" w:rsidRDefault="00E705D7">
      <w:r>
        <w:rPr>
          <w:rFonts w:ascii="Times New Roman" w:hAnsi="Times New Roman"/>
          <w:sz w:val="18"/>
          <w:szCs w:val="18"/>
        </w:rPr>
        <w:pict w14:anchorId="55570699">
          <v:rect id="_x0000_i1119" style="width:415.3pt;height:1.5pt" o:hralign="center" o:hrstd="t" o:hr="t" fillcolor="#a0a0a0" stroked="f"/>
        </w:pict>
      </w:r>
    </w:p>
    <w:p w14:paraId="55569AE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w:t>
      </w:r>
      <w:r>
        <w:rPr>
          <w:rFonts w:ascii="Arial" w:eastAsia="宋体" w:hAnsi="Arial" w:cs="Arial"/>
          <w:b/>
          <w:bCs/>
          <w:sz w:val="20"/>
          <w:szCs w:val="20"/>
        </w:rPr>
        <w:t>DISCUSSION AND ANALYSIS OF FINANCIAL CONDITION</w:t>
      </w:r>
    </w:p>
    <w:p w14:paraId="55569AE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AE2" w14:textId="77777777" w:rsidR="00F925DD" w:rsidRDefault="00F925DD">
      <w:pPr>
        <w:rPr>
          <w:rFonts w:ascii="Times New Roman" w:hAnsi="Times New Roman"/>
          <w:sz w:val="20"/>
          <w:szCs w:val="20"/>
        </w:rPr>
      </w:pPr>
    </w:p>
    <w:p w14:paraId="55569AE3"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Internal loss event data may be incorporated into our LDA model in a future quarter following the realization of the losses, with the timing and categorization dependent on the proce</w:t>
      </w:r>
      <w:r>
        <w:rPr>
          <w:rFonts w:ascii="Arial" w:eastAsia="宋体" w:hAnsi="Arial" w:cs="Arial"/>
          <w:sz w:val="20"/>
          <w:szCs w:val="20"/>
        </w:rPr>
        <w:t>sses for model updates and, if applicable, model revalidation and regulatory review and related supervisory processes. An individual loss event can have a significant effect on the output of our LDA model and our operational risk RWA under the advanced app</w:t>
      </w:r>
      <w:r>
        <w:rPr>
          <w:rFonts w:ascii="Arial" w:eastAsia="宋体" w:hAnsi="Arial" w:cs="Arial"/>
          <w:sz w:val="20"/>
          <w:szCs w:val="20"/>
        </w:rPr>
        <w:t>roaches depending on the severity of the loss event, its categorization among the seven Basel-defined UOMs and the stability of the distributional approach for a particular UOM;</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E6" w14:textId="77777777">
        <w:trPr>
          <w:tblCellSpacing w:w="0" w:type="dxa"/>
        </w:trPr>
        <w:tc>
          <w:tcPr>
            <w:tcW w:w="960" w:type="dxa"/>
            <w:shd w:val="clear" w:color="auto" w:fill="auto"/>
            <w:vAlign w:val="center"/>
          </w:tcPr>
          <w:p w14:paraId="55569AE4" w14:textId="77777777" w:rsidR="00F925DD" w:rsidRDefault="00F925DD">
            <w:pPr>
              <w:rPr>
                <w:rFonts w:ascii="Times New Roman" w:hAnsi="Times New Roman"/>
                <w:sz w:val="20"/>
                <w:szCs w:val="20"/>
              </w:rPr>
            </w:pPr>
          </w:p>
        </w:tc>
        <w:tc>
          <w:tcPr>
            <w:tcW w:w="0" w:type="auto"/>
            <w:shd w:val="clear" w:color="auto" w:fill="auto"/>
            <w:vAlign w:val="center"/>
          </w:tcPr>
          <w:p w14:paraId="55569AE5" w14:textId="77777777" w:rsidR="00F925DD" w:rsidRDefault="00F925DD">
            <w:pPr>
              <w:rPr>
                <w:rFonts w:ascii="Times New Roman" w:hAnsi="Times New Roman"/>
                <w:sz w:val="20"/>
                <w:szCs w:val="20"/>
              </w:rPr>
            </w:pPr>
          </w:p>
        </w:tc>
      </w:tr>
      <w:tr w:rsidR="00F925DD" w14:paraId="55569AE9" w14:textId="77777777">
        <w:trPr>
          <w:tblCellSpacing w:w="0" w:type="dxa"/>
        </w:trPr>
        <w:tc>
          <w:tcPr>
            <w:tcW w:w="0" w:type="auto"/>
            <w:shd w:val="clear" w:color="auto" w:fill="auto"/>
          </w:tcPr>
          <w:p w14:paraId="55569AE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E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External loss event data provides information with respect to loss event </w:t>
            </w:r>
            <w:r>
              <w:rPr>
                <w:rFonts w:ascii="Arial" w:eastAsia="宋体" w:hAnsi="Arial" w:cs="Arial"/>
                <w:sz w:val="20"/>
                <w:szCs w:val="20"/>
              </w:rPr>
              <w:t>severity from other financial institutions to inform our capital estimation process of events in similar business units at other banking organizations. This information supplements the data pool available for use in our LDA model. Assessments of the suffic</w:t>
            </w:r>
            <w:r>
              <w:rPr>
                <w:rFonts w:ascii="Arial" w:eastAsia="宋体" w:hAnsi="Arial" w:cs="Arial"/>
                <w:sz w:val="20"/>
                <w:szCs w:val="20"/>
              </w:rPr>
              <w:t>iency of internal data and the relevance of external data are completed before pooling the two data sources for use in our LDA model;</w:t>
            </w:r>
          </w:p>
        </w:tc>
      </w:tr>
    </w:tbl>
    <w:p w14:paraId="55569AE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ED" w14:textId="77777777">
        <w:trPr>
          <w:tblCellSpacing w:w="0" w:type="dxa"/>
        </w:trPr>
        <w:tc>
          <w:tcPr>
            <w:tcW w:w="960" w:type="dxa"/>
            <w:shd w:val="clear" w:color="auto" w:fill="auto"/>
            <w:vAlign w:val="center"/>
          </w:tcPr>
          <w:p w14:paraId="55569AEB" w14:textId="77777777" w:rsidR="00F925DD" w:rsidRDefault="00F925DD">
            <w:pPr>
              <w:rPr>
                <w:rFonts w:ascii="Times New Roman" w:hAnsi="Times New Roman"/>
                <w:sz w:val="20"/>
                <w:szCs w:val="20"/>
              </w:rPr>
            </w:pPr>
          </w:p>
        </w:tc>
        <w:tc>
          <w:tcPr>
            <w:tcW w:w="0" w:type="auto"/>
            <w:shd w:val="clear" w:color="auto" w:fill="auto"/>
            <w:vAlign w:val="center"/>
          </w:tcPr>
          <w:p w14:paraId="55569AEC" w14:textId="77777777" w:rsidR="00F925DD" w:rsidRDefault="00F925DD">
            <w:pPr>
              <w:rPr>
                <w:rFonts w:ascii="Times New Roman" w:hAnsi="Times New Roman"/>
                <w:sz w:val="20"/>
                <w:szCs w:val="20"/>
              </w:rPr>
            </w:pPr>
          </w:p>
        </w:tc>
      </w:tr>
      <w:tr w:rsidR="00F925DD" w14:paraId="55569AF0" w14:textId="77777777">
        <w:trPr>
          <w:tblCellSpacing w:w="0" w:type="dxa"/>
        </w:trPr>
        <w:tc>
          <w:tcPr>
            <w:tcW w:w="0" w:type="auto"/>
            <w:shd w:val="clear" w:color="auto" w:fill="auto"/>
          </w:tcPr>
          <w:p w14:paraId="55569AE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E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Scenario analysis workshops are conducted across our business to inform management of the less frequent but </w:t>
            </w:r>
            <w:r>
              <w:rPr>
                <w:rFonts w:ascii="Arial" w:eastAsia="宋体" w:hAnsi="Arial" w:cs="Arial"/>
                <w:sz w:val="20"/>
                <w:szCs w:val="20"/>
              </w:rPr>
              <w:t>most severe, or “tail,” risks that the organization faces. The workshops are attended by senior business unit managers, other support and control partners and business-aligned risk management staff. The workshops are designed to capture information about t</w:t>
            </w:r>
            <w:r>
              <w:rPr>
                <w:rFonts w:ascii="Arial" w:eastAsia="宋体" w:hAnsi="Arial" w:cs="Arial"/>
                <w:sz w:val="20"/>
                <w:szCs w:val="20"/>
              </w:rPr>
              <w:t>he significant risks and to estimate potential exposures for individual risks should a loss event occur. The results of these workshops are used to make a comparison to our LDA model results to determine that our calculation of required capital considers r</w:t>
            </w:r>
            <w:r>
              <w:rPr>
                <w:rFonts w:ascii="Arial" w:eastAsia="宋体" w:hAnsi="Arial" w:cs="Arial"/>
                <w:sz w:val="20"/>
                <w:szCs w:val="20"/>
              </w:rPr>
              <w:t>elevant risk-related information; and</w:t>
            </w:r>
          </w:p>
        </w:tc>
      </w:tr>
    </w:tbl>
    <w:p w14:paraId="55569AF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AF4" w14:textId="77777777">
        <w:trPr>
          <w:tblCellSpacing w:w="0" w:type="dxa"/>
        </w:trPr>
        <w:tc>
          <w:tcPr>
            <w:tcW w:w="960" w:type="dxa"/>
            <w:shd w:val="clear" w:color="auto" w:fill="auto"/>
            <w:vAlign w:val="center"/>
          </w:tcPr>
          <w:p w14:paraId="55569AF2" w14:textId="77777777" w:rsidR="00F925DD" w:rsidRDefault="00F925DD">
            <w:pPr>
              <w:rPr>
                <w:rFonts w:ascii="Times New Roman" w:hAnsi="Times New Roman"/>
                <w:sz w:val="20"/>
                <w:szCs w:val="20"/>
              </w:rPr>
            </w:pPr>
          </w:p>
        </w:tc>
        <w:tc>
          <w:tcPr>
            <w:tcW w:w="0" w:type="auto"/>
            <w:shd w:val="clear" w:color="auto" w:fill="auto"/>
            <w:vAlign w:val="center"/>
          </w:tcPr>
          <w:p w14:paraId="55569AF3" w14:textId="77777777" w:rsidR="00F925DD" w:rsidRDefault="00F925DD">
            <w:pPr>
              <w:rPr>
                <w:rFonts w:ascii="Times New Roman" w:hAnsi="Times New Roman"/>
                <w:sz w:val="20"/>
                <w:szCs w:val="20"/>
              </w:rPr>
            </w:pPr>
          </w:p>
        </w:tc>
      </w:tr>
      <w:tr w:rsidR="00F925DD" w14:paraId="55569AF7" w14:textId="77777777">
        <w:trPr>
          <w:tblCellSpacing w:w="0" w:type="dxa"/>
        </w:trPr>
        <w:tc>
          <w:tcPr>
            <w:tcW w:w="0" w:type="auto"/>
            <w:shd w:val="clear" w:color="auto" w:fill="auto"/>
          </w:tcPr>
          <w:p w14:paraId="55569AF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AF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Business environment and internal control factors are gathered as part of our scenario analysis program to inform the scenario analysis workshop participants of internal loss event data and business-relevant metrics, such as risk assessment program results</w:t>
            </w:r>
            <w:r>
              <w:rPr>
                <w:rFonts w:ascii="Arial" w:eastAsia="宋体" w:hAnsi="Arial" w:cs="Arial"/>
                <w:sz w:val="20"/>
                <w:szCs w:val="20"/>
              </w:rPr>
              <w:t>, along with industry loss event data and case studies where appropriate. Business environment and internal control factors are those characteristics of a bank’s internal and external operating environment that bear an exposure to operational risk. The use</w:t>
            </w:r>
            <w:r>
              <w:rPr>
                <w:rFonts w:ascii="Arial" w:eastAsia="宋体" w:hAnsi="Arial" w:cs="Arial"/>
                <w:sz w:val="20"/>
                <w:szCs w:val="20"/>
              </w:rPr>
              <w:t xml:space="preserve"> of this information indirectly influences our calculation of required capital by providing additional relevant data to workshop participants when reviewing specific UOM risks. </w:t>
            </w:r>
          </w:p>
        </w:tc>
      </w:tr>
    </w:tbl>
    <w:p w14:paraId="55569AF8"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AF9"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Monitoring, Reporting and Analytics</w:t>
      </w:r>
    </w:p>
    <w:p w14:paraId="55569AF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objective of risk monitoring is to </w:t>
      </w:r>
      <w:r>
        <w:rPr>
          <w:rFonts w:ascii="Arial" w:eastAsia="宋体" w:hAnsi="Arial" w:cs="Arial"/>
          <w:sz w:val="20"/>
          <w:szCs w:val="20"/>
        </w:rPr>
        <w:t>proactively monitor the changing business environment and corresponding operational risk exposure. It is achieved through a series of quantitative and qualitative monitoring tools that are designed to allow us to understand changes in the business environm</w:t>
      </w:r>
      <w:r>
        <w:rPr>
          <w:rFonts w:ascii="Arial" w:eastAsia="宋体" w:hAnsi="Arial" w:cs="Arial"/>
          <w:sz w:val="20"/>
          <w:szCs w:val="20"/>
        </w:rPr>
        <w:t>ent, internal control factors, risk metrics, risk assessments, exposures and operating effectiveness, as well as details of loss events and progress on risk initiatives implemented to mitigate potential risk exposures.</w:t>
      </w:r>
    </w:p>
    <w:p w14:paraId="55569AF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Operational risk reporting is intende</w:t>
      </w:r>
      <w:r>
        <w:rPr>
          <w:rFonts w:ascii="Arial" w:eastAsia="宋体" w:hAnsi="Arial" w:cs="Arial"/>
          <w:sz w:val="20"/>
          <w:szCs w:val="20"/>
        </w:rPr>
        <w:t>d to provide transparency, thereby enabling management to manage risk, provide oversight and escalate issues in a timely manner. It is designed to allow the business units, executive management, and the Board's control functions and committees to gain insi</w:t>
      </w:r>
      <w:r>
        <w:rPr>
          <w:rFonts w:ascii="Arial" w:eastAsia="宋体" w:hAnsi="Arial" w:cs="Arial"/>
          <w:sz w:val="20"/>
          <w:szCs w:val="20"/>
        </w:rPr>
        <w:t>ght into activities that may result in risks and potential exposures. Reports are intended to identify business activities that are experiencing processing issues, whether or not they result in actual loss events. Reporting includes results of monitoring a</w:t>
      </w:r>
      <w:r>
        <w:rPr>
          <w:rFonts w:ascii="Arial" w:eastAsia="宋体" w:hAnsi="Arial" w:cs="Arial"/>
          <w:sz w:val="20"/>
          <w:szCs w:val="20"/>
        </w:rPr>
        <w:t>ctivities, internal and external examinations, regulatory reviews and control assessments. These elements combine in a manner designed to provide a view of potential and emerging risks facing us and information that details its progress on managing risks.</w:t>
      </w:r>
    </w:p>
    <w:p w14:paraId="55569AFC"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Effectiveness and Testing</w:t>
      </w:r>
    </w:p>
    <w:p w14:paraId="55569AF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objective of effectiveness and testing is to verify that internal controls are designed appropriately, are consistent with corporate and regulatory standards, and are operating effectively. It is achieved through a series of a</w:t>
      </w:r>
      <w:r>
        <w:rPr>
          <w:rFonts w:ascii="Arial" w:eastAsia="宋体" w:hAnsi="Arial" w:cs="Arial"/>
          <w:sz w:val="20"/>
          <w:szCs w:val="20"/>
        </w:rPr>
        <w:t>ssessments by both internal and external parties, including Corporate Audit, independent registered public accounting firms, business self-assessments and other control function reviews, such as a SOX testing program.</w:t>
      </w:r>
    </w:p>
    <w:p w14:paraId="55569AF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Consistent with our standard </w:t>
      </w:r>
      <w:r>
        <w:rPr>
          <w:rFonts w:ascii="Arial" w:eastAsia="宋体" w:hAnsi="Arial" w:cs="Arial"/>
          <w:sz w:val="20"/>
          <w:szCs w:val="20"/>
        </w:rPr>
        <w:t xml:space="preserve">model validation process, the operational risk LDA model is subject to a detailed review, overseen by the MRC. In addition, the model is subject to a rigorous internal governance process. All changes to the model or input parameters, and the deployment of </w:t>
      </w:r>
      <w:r>
        <w:rPr>
          <w:rFonts w:ascii="Arial" w:eastAsia="宋体" w:hAnsi="Arial" w:cs="Arial"/>
          <w:sz w:val="20"/>
          <w:szCs w:val="20"/>
        </w:rPr>
        <w:t>model updates, are reviewed and approved by the Operational Risk Committee, which has oversight responsibility for the model, with technical input from the MRC.</w:t>
      </w:r>
    </w:p>
    <w:p w14:paraId="55569AFF"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Documentation and Guidelines</w:t>
      </w:r>
    </w:p>
    <w:p w14:paraId="55569B0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Documentation and guidelines allow for consistency and repeatabili</w:t>
      </w:r>
      <w:r>
        <w:rPr>
          <w:rFonts w:ascii="Arial" w:eastAsia="宋体" w:hAnsi="Arial" w:cs="Arial"/>
          <w:sz w:val="20"/>
          <w:szCs w:val="20"/>
        </w:rPr>
        <w:t xml:space="preserve">ty of the various processes that support the operational risk framework across our business. </w:t>
      </w:r>
    </w:p>
    <w:p w14:paraId="55569B0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Operational risk guidelines document our practices and describe the key elements in a business unit's operational risk management program. The purpose of the guid</w:t>
      </w:r>
      <w:r>
        <w:rPr>
          <w:rFonts w:ascii="Arial" w:eastAsia="宋体" w:hAnsi="Arial" w:cs="Arial"/>
          <w:sz w:val="20"/>
          <w:szCs w:val="20"/>
        </w:rPr>
        <w:t xml:space="preserve">elines is to set forth and define key </w:t>
      </w:r>
    </w:p>
    <w:p w14:paraId="55569B02" w14:textId="77777777" w:rsidR="00F925DD" w:rsidRDefault="00F925DD">
      <w:pPr>
        <w:rPr>
          <w:rFonts w:ascii="Times New Roman" w:hAnsi="Times New Roman"/>
          <w:sz w:val="20"/>
          <w:szCs w:val="20"/>
        </w:rPr>
      </w:pPr>
    </w:p>
    <w:p w14:paraId="55569B0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96</w:t>
      </w:r>
    </w:p>
    <w:p w14:paraId="55569B04" w14:textId="77777777" w:rsidR="00F925DD" w:rsidRDefault="00F925DD">
      <w:pPr>
        <w:spacing w:line="288" w:lineRule="auto"/>
        <w:ind w:firstLine="600"/>
        <w:jc w:val="center"/>
        <w:rPr>
          <w:rFonts w:ascii="Times New Roman" w:hAnsi="Times New Roman"/>
          <w:sz w:val="18"/>
          <w:szCs w:val="18"/>
        </w:rPr>
      </w:pPr>
    </w:p>
    <w:p w14:paraId="55569B05" w14:textId="77777777" w:rsidR="00F925DD" w:rsidRDefault="00E705D7">
      <w:r>
        <w:rPr>
          <w:rFonts w:ascii="Times New Roman" w:hAnsi="Times New Roman"/>
          <w:sz w:val="18"/>
          <w:szCs w:val="18"/>
        </w:rPr>
        <w:pict w14:anchorId="5557069A">
          <v:rect id="_x0000_i1120" style="width:415.3pt;height:1.5pt" o:hralign="center" o:hrstd="t" o:hr="t" fillcolor="#a0a0a0" stroked="f"/>
        </w:pict>
      </w:r>
    </w:p>
    <w:p w14:paraId="55569B0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B0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B08" w14:textId="77777777" w:rsidR="00F925DD" w:rsidRDefault="00F925DD">
      <w:pPr>
        <w:rPr>
          <w:rFonts w:ascii="Times New Roman" w:hAnsi="Times New Roman"/>
          <w:sz w:val="20"/>
          <w:szCs w:val="20"/>
        </w:rPr>
      </w:pPr>
    </w:p>
    <w:p w14:paraId="55569B09"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operational risk terms, provide further detail on our operational risk programs, and </w:t>
      </w:r>
      <w:r>
        <w:rPr>
          <w:rFonts w:ascii="Arial" w:eastAsia="宋体" w:hAnsi="Arial" w:cs="Arial"/>
          <w:sz w:val="20"/>
          <w:szCs w:val="20"/>
        </w:rPr>
        <w:t>detail the business units' responsibilities to identify, assess, measure, monitor and report operational risk. The guideline supports our operational risk policy.</w:t>
      </w:r>
    </w:p>
    <w:p w14:paraId="55569B0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Data standards have been established to maintain consistent data repositories and systems tha</w:t>
      </w:r>
      <w:r>
        <w:rPr>
          <w:rFonts w:ascii="Arial" w:eastAsia="宋体" w:hAnsi="Arial" w:cs="Arial"/>
          <w:sz w:val="20"/>
          <w:szCs w:val="20"/>
        </w:rPr>
        <w:t>t are controlled, accurate and available on a timely basis to support operational risk management.</w:t>
      </w:r>
    </w:p>
    <w:p w14:paraId="55569B0B"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Information Technology Risk Management</w:t>
      </w:r>
    </w:p>
    <w:p w14:paraId="55569B0C"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Overview and Principles</w:t>
      </w:r>
    </w:p>
    <w:p w14:paraId="55569B0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define technology risk as the risk associated with the use, ownership, operation, involveme</w:t>
      </w:r>
      <w:r>
        <w:rPr>
          <w:rFonts w:ascii="Arial" w:eastAsia="宋体" w:hAnsi="Arial" w:cs="Arial"/>
          <w:sz w:val="20"/>
          <w:szCs w:val="20"/>
        </w:rPr>
        <w:t>nt, influence and adoption of information technology. Technology risk includes risks potentially triggered by technology non-compliance with regulatory obligations, information security and privacy incidents, business disruption, technology internal contro</w:t>
      </w:r>
      <w:r>
        <w:rPr>
          <w:rFonts w:ascii="Arial" w:eastAsia="宋体" w:hAnsi="Arial" w:cs="Arial"/>
          <w:sz w:val="20"/>
          <w:szCs w:val="20"/>
        </w:rPr>
        <w:t>l and process gaps, technology operational events and adoption of new business technologies.</w:t>
      </w:r>
    </w:p>
    <w:p w14:paraId="55569B0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principal technology risks within our technology risk policy and risk appetite framework include:</w:t>
      </w:r>
    </w:p>
    <w:tbl>
      <w:tblPr>
        <w:tblW w:w="0" w:type="auto"/>
        <w:tblCellSpacing w:w="0" w:type="dxa"/>
        <w:tblCellMar>
          <w:left w:w="0" w:type="dxa"/>
          <w:right w:w="0" w:type="dxa"/>
        </w:tblCellMar>
        <w:tblLook w:val="04A0" w:firstRow="1" w:lastRow="0" w:firstColumn="1" w:lastColumn="0" w:noHBand="0" w:noVBand="1"/>
      </w:tblPr>
      <w:tblGrid>
        <w:gridCol w:w="960"/>
        <w:gridCol w:w="2046"/>
      </w:tblGrid>
      <w:tr w:rsidR="00F925DD" w14:paraId="55569B11" w14:textId="77777777">
        <w:trPr>
          <w:tblCellSpacing w:w="0" w:type="dxa"/>
        </w:trPr>
        <w:tc>
          <w:tcPr>
            <w:tcW w:w="960" w:type="dxa"/>
            <w:shd w:val="clear" w:color="auto" w:fill="auto"/>
            <w:vAlign w:val="center"/>
          </w:tcPr>
          <w:p w14:paraId="55569B0F" w14:textId="77777777" w:rsidR="00F925DD" w:rsidRDefault="00F925DD">
            <w:pPr>
              <w:rPr>
                <w:rFonts w:ascii="Times New Roman" w:hAnsi="Times New Roman"/>
                <w:sz w:val="20"/>
                <w:szCs w:val="20"/>
              </w:rPr>
            </w:pPr>
          </w:p>
        </w:tc>
        <w:tc>
          <w:tcPr>
            <w:tcW w:w="0" w:type="auto"/>
            <w:shd w:val="clear" w:color="auto" w:fill="auto"/>
            <w:vAlign w:val="center"/>
          </w:tcPr>
          <w:p w14:paraId="55569B10" w14:textId="77777777" w:rsidR="00F925DD" w:rsidRDefault="00F925DD">
            <w:pPr>
              <w:rPr>
                <w:rFonts w:ascii="Times New Roman" w:hAnsi="Times New Roman"/>
                <w:sz w:val="20"/>
                <w:szCs w:val="20"/>
              </w:rPr>
            </w:pPr>
          </w:p>
        </w:tc>
      </w:tr>
      <w:tr w:rsidR="00F925DD" w14:paraId="55569B14" w14:textId="77777777">
        <w:trPr>
          <w:tblCellSpacing w:w="0" w:type="dxa"/>
        </w:trPr>
        <w:tc>
          <w:tcPr>
            <w:tcW w:w="0" w:type="auto"/>
            <w:shd w:val="clear" w:color="auto" w:fill="auto"/>
          </w:tcPr>
          <w:p w14:paraId="55569B1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1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Third party vendor risk;</w:t>
            </w:r>
          </w:p>
        </w:tc>
      </w:tr>
    </w:tbl>
    <w:p w14:paraId="55569B1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458"/>
      </w:tblGrid>
      <w:tr w:rsidR="00F925DD" w14:paraId="55569B18" w14:textId="77777777">
        <w:trPr>
          <w:tblCellSpacing w:w="0" w:type="dxa"/>
        </w:trPr>
        <w:tc>
          <w:tcPr>
            <w:tcW w:w="960" w:type="dxa"/>
            <w:shd w:val="clear" w:color="auto" w:fill="auto"/>
            <w:vAlign w:val="center"/>
          </w:tcPr>
          <w:p w14:paraId="55569B16" w14:textId="77777777" w:rsidR="00F925DD" w:rsidRDefault="00F925DD">
            <w:pPr>
              <w:rPr>
                <w:rFonts w:ascii="Times New Roman" w:hAnsi="Times New Roman"/>
                <w:sz w:val="20"/>
                <w:szCs w:val="20"/>
              </w:rPr>
            </w:pPr>
          </w:p>
        </w:tc>
        <w:tc>
          <w:tcPr>
            <w:tcW w:w="0" w:type="auto"/>
            <w:shd w:val="clear" w:color="auto" w:fill="auto"/>
            <w:vAlign w:val="center"/>
          </w:tcPr>
          <w:p w14:paraId="55569B17" w14:textId="77777777" w:rsidR="00F925DD" w:rsidRDefault="00F925DD">
            <w:pPr>
              <w:rPr>
                <w:rFonts w:ascii="Times New Roman" w:hAnsi="Times New Roman"/>
                <w:sz w:val="20"/>
                <w:szCs w:val="20"/>
              </w:rPr>
            </w:pPr>
          </w:p>
        </w:tc>
      </w:tr>
      <w:tr w:rsidR="00F925DD" w14:paraId="55569B1B" w14:textId="77777777">
        <w:trPr>
          <w:tblCellSpacing w:w="0" w:type="dxa"/>
        </w:trPr>
        <w:tc>
          <w:tcPr>
            <w:tcW w:w="0" w:type="auto"/>
            <w:shd w:val="clear" w:color="auto" w:fill="auto"/>
          </w:tcPr>
          <w:p w14:paraId="55569B1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1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Business </w:t>
            </w:r>
            <w:r>
              <w:rPr>
                <w:rFonts w:ascii="Arial" w:eastAsia="宋体" w:hAnsi="Arial" w:cs="Arial"/>
                <w:sz w:val="20"/>
                <w:szCs w:val="20"/>
              </w:rPr>
              <w:t>disruption and technology resiliency risk;</w:t>
            </w:r>
          </w:p>
        </w:tc>
      </w:tr>
    </w:tbl>
    <w:p w14:paraId="55569B1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135"/>
      </w:tblGrid>
      <w:tr w:rsidR="00F925DD" w14:paraId="55569B1F" w14:textId="77777777">
        <w:trPr>
          <w:tblCellSpacing w:w="0" w:type="dxa"/>
        </w:trPr>
        <w:tc>
          <w:tcPr>
            <w:tcW w:w="960" w:type="dxa"/>
            <w:shd w:val="clear" w:color="auto" w:fill="auto"/>
            <w:vAlign w:val="center"/>
          </w:tcPr>
          <w:p w14:paraId="55569B1D" w14:textId="77777777" w:rsidR="00F925DD" w:rsidRDefault="00F925DD">
            <w:pPr>
              <w:rPr>
                <w:rFonts w:ascii="Times New Roman" w:hAnsi="Times New Roman"/>
                <w:sz w:val="20"/>
                <w:szCs w:val="20"/>
              </w:rPr>
            </w:pPr>
          </w:p>
        </w:tc>
        <w:tc>
          <w:tcPr>
            <w:tcW w:w="0" w:type="auto"/>
            <w:shd w:val="clear" w:color="auto" w:fill="auto"/>
            <w:vAlign w:val="center"/>
          </w:tcPr>
          <w:p w14:paraId="55569B1E" w14:textId="77777777" w:rsidR="00F925DD" w:rsidRDefault="00F925DD">
            <w:pPr>
              <w:rPr>
                <w:rFonts w:ascii="Times New Roman" w:hAnsi="Times New Roman"/>
                <w:sz w:val="20"/>
                <w:szCs w:val="20"/>
              </w:rPr>
            </w:pPr>
          </w:p>
        </w:tc>
      </w:tr>
      <w:tr w:rsidR="00F925DD" w14:paraId="55569B22" w14:textId="77777777">
        <w:trPr>
          <w:tblCellSpacing w:w="0" w:type="dxa"/>
        </w:trPr>
        <w:tc>
          <w:tcPr>
            <w:tcW w:w="0" w:type="auto"/>
            <w:shd w:val="clear" w:color="auto" w:fill="auto"/>
          </w:tcPr>
          <w:p w14:paraId="55569B2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2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Cyber and information security risk;</w:t>
            </w:r>
          </w:p>
        </w:tc>
      </w:tr>
    </w:tbl>
    <w:p w14:paraId="55569B2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970"/>
      </w:tblGrid>
      <w:tr w:rsidR="00F925DD" w14:paraId="55569B26" w14:textId="77777777">
        <w:trPr>
          <w:tblCellSpacing w:w="0" w:type="dxa"/>
        </w:trPr>
        <w:tc>
          <w:tcPr>
            <w:tcW w:w="960" w:type="dxa"/>
            <w:shd w:val="clear" w:color="auto" w:fill="auto"/>
            <w:vAlign w:val="center"/>
          </w:tcPr>
          <w:p w14:paraId="55569B24" w14:textId="77777777" w:rsidR="00F925DD" w:rsidRDefault="00F925DD">
            <w:pPr>
              <w:rPr>
                <w:rFonts w:ascii="Times New Roman" w:hAnsi="Times New Roman"/>
                <w:sz w:val="20"/>
                <w:szCs w:val="20"/>
              </w:rPr>
            </w:pPr>
          </w:p>
        </w:tc>
        <w:tc>
          <w:tcPr>
            <w:tcW w:w="0" w:type="auto"/>
            <w:shd w:val="clear" w:color="auto" w:fill="auto"/>
            <w:vAlign w:val="center"/>
          </w:tcPr>
          <w:p w14:paraId="55569B25" w14:textId="77777777" w:rsidR="00F925DD" w:rsidRDefault="00F925DD">
            <w:pPr>
              <w:rPr>
                <w:rFonts w:ascii="Times New Roman" w:hAnsi="Times New Roman"/>
                <w:sz w:val="20"/>
                <w:szCs w:val="20"/>
              </w:rPr>
            </w:pPr>
          </w:p>
        </w:tc>
      </w:tr>
      <w:tr w:rsidR="00F925DD" w14:paraId="55569B29" w14:textId="77777777">
        <w:trPr>
          <w:tblCellSpacing w:w="0" w:type="dxa"/>
        </w:trPr>
        <w:tc>
          <w:tcPr>
            <w:tcW w:w="0" w:type="auto"/>
            <w:shd w:val="clear" w:color="auto" w:fill="auto"/>
          </w:tcPr>
          <w:p w14:paraId="55569B2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2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Technology asset and configuration risk; and</w:t>
            </w:r>
          </w:p>
        </w:tc>
      </w:tr>
    </w:tbl>
    <w:p w14:paraId="55569B2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735"/>
      </w:tblGrid>
      <w:tr w:rsidR="00F925DD" w14:paraId="55569B2D" w14:textId="77777777">
        <w:trPr>
          <w:tblCellSpacing w:w="0" w:type="dxa"/>
        </w:trPr>
        <w:tc>
          <w:tcPr>
            <w:tcW w:w="960" w:type="dxa"/>
            <w:shd w:val="clear" w:color="auto" w:fill="auto"/>
            <w:vAlign w:val="center"/>
          </w:tcPr>
          <w:p w14:paraId="55569B2B" w14:textId="77777777" w:rsidR="00F925DD" w:rsidRDefault="00F925DD">
            <w:pPr>
              <w:rPr>
                <w:rFonts w:ascii="Times New Roman" w:hAnsi="Times New Roman"/>
                <w:sz w:val="20"/>
                <w:szCs w:val="20"/>
              </w:rPr>
            </w:pPr>
          </w:p>
        </w:tc>
        <w:tc>
          <w:tcPr>
            <w:tcW w:w="0" w:type="auto"/>
            <w:shd w:val="clear" w:color="auto" w:fill="auto"/>
            <w:vAlign w:val="center"/>
          </w:tcPr>
          <w:p w14:paraId="55569B2C" w14:textId="77777777" w:rsidR="00F925DD" w:rsidRDefault="00F925DD">
            <w:pPr>
              <w:rPr>
                <w:rFonts w:ascii="Times New Roman" w:hAnsi="Times New Roman"/>
                <w:sz w:val="20"/>
                <w:szCs w:val="20"/>
              </w:rPr>
            </w:pPr>
          </w:p>
        </w:tc>
      </w:tr>
      <w:tr w:rsidR="00F925DD" w14:paraId="55569B30" w14:textId="77777777">
        <w:trPr>
          <w:tblCellSpacing w:w="0" w:type="dxa"/>
        </w:trPr>
        <w:tc>
          <w:tcPr>
            <w:tcW w:w="0" w:type="auto"/>
            <w:shd w:val="clear" w:color="auto" w:fill="auto"/>
          </w:tcPr>
          <w:p w14:paraId="55569B2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2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Technology obsolescence risk.</w:t>
            </w:r>
          </w:p>
        </w:tc>
      </w:tr>
    </w:tbl>
    <w:p w14:paraId="55569B31"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Governance</w:t>
      </w:r>
    </w:p>
    <w:p w14:paraId="55569B3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Board is responsible for the approval and oversight of our overall technology risk framework and program. It does so through its TOPS, which reviews and approves our technology risk policy and appetite framework annually. </w:t>
      </w:r>
    </w:p>
    <w:p w14:paraId="55569B3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technology risk policy es</w:t>
      </w:r>
      <w:r>
        <w:rPr>
          <w:rFonts w:ascii="Arial" w:eastAsia="宋体" w:hAnsi="Arial" w:cs="Arial"/>
          <w:sz w:val="20"/>
          <w:szCs w:val="20"/>
        </w:rPr>
        <w:t>tablishes our approach to our management of technology risk across our business. The policy identifies the responsibilities of individuals and committees charged with oversight of the management of technology risk and articulates a broad mandate that suppo</w:t>
      </w:r>
      <w:r>
        <w:rPr>
          <w:rFonts w:ascii="Arial" w:eastAsia="宋体" w:hAnsi="Arial" w:cs="Arial"/>
          <w:sz w:val="20"/>
          <w:szCs w:val="20"/>
        </w:rPr>
        <w:t>rts implementation of the technology risk framework.</w:t>
      </w:r>
    </w:p>
    <w:p w14:paraId="55569B3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Risk control functions in the business are responsible for adopting and executing the Enterprise Technology Risk Management (ETRM), technology risk framework and reporting requirements. They do this, in </w:t>
      </w:r>
      <w:r>
        <w:rPr>
          <w:rFonts w:ascii="Arial" w:eastAsia="宋体" w:hAnsi="Arial" w:cs="Arial"/>
          <w:sz w:val="20"/>
          <w:szCs w:val="20"/>
        </w:rPr>
        <w:t>part, by developing and maintaining an inventory of critical applications and supporting infrastructure, as well as identifying, assessing and measuring technology risk utilizing the ETRM framework. They are also responsible for monitoring and evaluating r</w:t>
      </w:r>
      <w:r>
        <w:rPr>
          <w:rFonts w:ascii="Arial" w:eastAsia="宋体" w:hAnsi="Arial" w:cs="Arial"/>
          <w:sz w:val="20"/>
          <w:szCs w:val="20"/>
        </w:rPr>
        <w:t xml:space="preserve">isk on a continual basis using key risk indicators, risk reporting and adopting appropriate risk responses to risk issues. </w:t>
      </w:r>
    </w:p>
    <w:p w14:paraId="55569B35"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B3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Chief Technology Risk Officer, a member of the CRO’s executive management team, leads the ETRM. ETRM is the separate risk func</w:t>
      </w:r>
      <w:r>
        <w:rPr>
          <w:rFonts w:ascii="Arial" w:eastAsia="宋体" w:hAnsi="Arial" w:cs="Arial"/>
          <w:sz w:val="20"/>
          <w:szCs w:val="20"/>
        </w:rPr>
        <w:t>tion responsible for the technology risk strategy and appetite, and technology risk framework development and execution. ETRM also performs overall technology risk monitoring and reporting to the Board, and provides a separate view of the technology risk p</w:t>
      </w:r>
      <w:r>
        <w:rPr>
          <w:rFonts w:ascii="Arial" w:eastAsia="宋体" w:hAnsi="Arial" w:cs="Arial"/>
          <w:sz w:val="20"/>
          <w:szCs w:val="20"/>
        </w:rPr>
        <w:t xml:space="preserve">osture to executive leadership. </w:t>
      </w:r>
    </w:p>
    <w:p w14:paraId="55569B3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manage technology risks by:</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3A" w14:textId="77777777">
        <w:trPr>
          <w:tblCellSpacing w:w="0" w:type="dxa"/>
        </w:trPr>
        <w:tc>
          <w:tcPr>
            <w:tcW w:w="960" w:type="dxa"/>
            <w:shd w:val="clear" w:color="auto" w:fill="auto"/>
            <w:vAlign w:val="center"/>
          </w:tcPr>
          <w:p w14:paraId="55569B38" w14:textId="77777777" w:rsidR="00F925DD" w:rsidRDefault="00F925DD">
            <w:pPr>
              <w:rPr>
                <w:rFonts w:ascii="Times New Roman" w:hAnsi="Times New Roman"/>
                <w:sz w:val="20"/>
                <w:szCs w:val="20"/>
              </w:rPr>
            </w:pPr>
          </w:p>
        </w:tc>
        <w:tc>
          <w:tcPr>
            <w:tcW w:w="0" w:type="auto"/>
            <w:shd w:val="clear" w:color="auto" w:fill="auto"/>
            <w:vAlign w:val="center"/>
          </w:tcPr>
          <w:p w14:paraId="55569B39" w14:textId="77777777" w:rsidR="00F925DD" w:rsidRDefault="00F925DD">
            <w:pPr>
              <w:rPr>
                <w:rFonts w:ascii="Times New Roman" w:hAnsi="Times New Roman"/>
                <w:sz w:val="20"/>
                <w:szCs w:val="20"/>
              </w:rPr>
            </w:pPr>
          </w:p>
        </w:tc>
      </w:tr>
      <w:tr w:rsidR="00F925DD" w14:paraId="55569B3D" w14:textId="77777777">
        <w:trPr>
          <w:tblCellSpacing w:w="0" w:type="dxa"/>
        </w:trPr>
        <w:tc>
          <w:tcPr>
            <w:tcW w:w="0" w:type="auto"/>
            <w:shd w:val="clear" w:color="auto" w:fill="auto"/>
          </w:tcPr>
          <w:p w14:paraId="55569B3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3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Coordinating various risk assessment and risk management activities, including ERM operational risk programs;</w:t>
            </w:r>
          </w:p>
        </w:tc>
      </w:tr>
    </w:tbl>
    <w:p w14:paraId="55569B3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41" w14:textId="77777777">
        <w:trPr>
          <w:tblCellSpacing w:w="0" w:type="dxa"/>
        </w:trPr>
        <w:tc>
          <w:tcPr>
            <w:tcW w:w="960" w:type="dxa"/>
            <w:shd w:val="clear" w:color="auto" w:fill="auto"/>
            <w:vAlign w:val="center"/>
          </w:tcPr>
          <w:p w14:paraId="55569B3F" w14:textId="77777777" w:rsidR="00F925DD" w:rsidRDefault="00F925DD">
            <w:pPr>
              <w:rPr>
                <w:rFonts w:ascii="Times New Roman" w:hAnsi="Times New Roman"/>
                <w:sz w:val="20"/>
                <w:szCs w:val="20"/>
              </w:rPr>
            </w:pPr>
          </w:p>
        </w:tc>
        <w:tc>
          <w:tcPr>
            <w:tcW w:w="0" w:type="auto"/>
            <w:shd w:val="clear" w:color="auto" w:fill="auto"/>
            <w:vAlign w:val="center"/>
          </w:tcPr>
          <w:p w14:paraId="55569B40" w14:textId="77777777" w:rsidR="00F925DD" w:rsidRDefault="00F925DD">
            <w:pPr>
              <w:rPr>
                <w:rFonts w:ascii="Times New Roman" w:hAnsi="Times New Roman"/>
                <w:sz w:val="20"/>
                <w:szCs w:val="20"/>
              </w:rPr>
            </w:pPr>
          </w:p>
        </w:tc>
      </w:tr>
      <w:tr w:rsidR="00F925DD" w14:paraId="55569B44" w14:textId="77777777">
        <w:trPr>
          <w:tblCellSpacing w:w="0" w:type="dxa"/>
        </w:trPr>
        <w:tc>
          <w:tcPr>
            <w:tcW w:w="0" w:type="auto"/>
            <w:shd w:val="clear" w:color="auto" w:fill="auto"/>
          </w:tcPr>
          <w:p w14:paraId="55569B4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4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Establishing, through TORC and TOPS of the Board, the </w:t>
            </w:r>
            <w:r>
              <w:rPr>
                <w:rFonts w:ascii="Arial" w:eastAsia="宋体" w:hAnsi="Arial" w:cs="Arial"/>
                <w:sz w:val="20"/>
                <w:szCs w:val="20"/>
              </w:rPr>
              <w:t>enterprise level technology risk and cyber risk appetite and limits;</w:t>
            </w:r>
          </w:p>
        </w:tc>
      </w:tr>
    </w:tbl>
    <w:p w14:paraId="55569B4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48" w14:textId="77777777">
        <w:trPr>
          <w:tblCellSpacing w:w="0" w:type="dxa"/>
        </w:trPr>
        <w:tc>
          <w:tcPr>
            <w:tcW w:w="960" w:type="dxa"/>
            <w:shd w:val="clear" w:color="auto" w:fill="auto"/>
            <w:vAlign w:val="center"/>
          </w:tcPr>
          <w:p w14:paraId="55569B46" w14:textId="77777777" w:rsidR="00F925DD" w:rsidRDefault="00F925DD">
            <w:pPr>
              <w:rPr>
                <w:rFonts w:ascii="Times New Roman" w:hAnsi="Times New Roman"/>
                <w:sz w:val="20"/>
                <w:szCs w:val="20"/>
              </w:rPr>
            </w:pPr>
          </w:p>
        </w:tc>
        <w:tc>
          <w:tcPr>
            <w:tcW w:w="0" w:type="auto"/>
            <w:shd w:val="clear" w:color="auto" w:fill="auto"/>
            <w:vAlign w:val="center"/>
          </w:tcPr>
          <w:p w14:paraId="55569B47" w14:textId="77777777" w:rsidR="00F925DD" w:rsidRDefault="00F925DD">
            <w:pPr>
              <w:rPr>
                <w:rFonts w:ascii="Times New Roman" w:hAnsi="Times New Roman"/>
                <w:sz w:val="20"/>
                <w:szCs w:val="20"/>
              </w:rPr>
            </w:pPr>
          </w:p>
        </w:tc>
      </w:tr>
      <w:tr w:rsidR="00F925DD" w14:paraId="55569B4B" w14:textId="77777777">
        <w:trPr>
          <w:tblCellSpacing w:w="0" w:type="dxa"/>
        </w:trPr>
        <w:tc>
          <w:tcPr>
            <w:tcW w:w="0" w:type="auto"/>
            <w:shd w:val="clear" w:color="auto" w:fill="auto"/>
          </w:tcPr>
          <w:p w14:paraId="55569B4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4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Producing enterprise level risk reporting, aggregation, dashboards, profiles and risk appetite statements;</w:t>
            </w:r>
          </w:p>
        </w:tc>
      </w:tr>
    </w:tbl>
    <w:p w14:paraId="55569B4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4F" w14:textId="77777777">
        <w:trPr>
          <w:tblCellSpacing w:w="0" w:type="dxa"/>
        </w:trPr>
        <w:tc>
          <w:tcPr>
            <w:tcW w:w="960" w:type="dxa"/>
            <w:shd w:val="clear" w:color="auto" w:fill="auto"/>
            <w:vAlign w:val="center"/>
          </w:tcPr>
          <w:p w14:paraId="55569B4D" w14:textId="77777777" w:rsidR="00F925DD" w:rsidRDefault="00F925DD">
            <w:pPr>
              <w:rPr>
                <w:rFonts w:ascii="Times New Roman" w:hAnsi="Times New Roman"/>
                <w:sz w:val="20"/>
                <w:szCs w:val="20"/>
              </w:rPr>
            </w:pPr>
          </w:p>
        </w:tc>
        <w:tc>
          <w:tcPr>
            <w:tcW w:w="0" w:type="auto"/>
            <w:shd w:val="clear" w:color="auto" w:fill="auto"/>
            <w:vAlign w:val="center"/>
          </w:tcPr>
          <w:p w14:paraId="55569B4E" w14:textId="77777777" w:rsidR="00F925DD" w:rsidRDefault="00F925DD">
            <w:pPr>
              <w:rPr>
                <w:rFonts w:ascii="Times New Roman" w:hAnsi="Times New Roman"/>
                <w:sz w:val="20"/>
                <w:szCs w:val="20"/>
              </w:rPr>
            </w:pPr>
          </w:p>
        </w:tc>
      </w:tr>
      <w:tr w:rsidR="00F925DD" w14:paraId="55569B52" w14:textId="77777777">
        <w:trPr>
          <w:tblCellSpacing w:w="0" w:type="dxa"/>
        </w:trPr>
        <w:tc>
          <w:tcPr>
            <w:tcW w:w="0" w:type="auto"/>
            <w:shd w:val="clear" w:color="auto" w:fill="auto"/>
          </w:tcPr>
          <w:p w14:paraId="55569B5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5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Validating appropriateness of reporting of information </w:t>
            </w:r>
            <w:r>
              <w:rPr>
                <w:rFonts w:ascii="Arial" w:eastAsia="宋体" w:hAnsi="Arial" w:cs="Arial"/>
                <w:sz w:val="20"/>
                <w:szCs w:val="20"/>
              </w:rPr>
              <w:t>technology risks and risk acceptance to senior management risk committees and the Board;</w:t>
            </w:r>
          </w:p>
        </w:tc>
      </w:tr>
    </w:tbl>
    <w:p w14:paraId="55569B5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926"/>
      </w:tblGrid>
      <w:tr w:rsidR="00F925DD" w14:paraId="55569B56" w14:textId="77777777">
        <w:trPr>
          <w:tblCellSpacing w:w="0" w:type="dxa"/>
        </w:trPr>
        <w:tc>
          <w:tcPr>
            <w:tcW w:w="960" w:type="dxa"/>
            <w:shd w:val="clear" w:color="auto" w:fill="auto"/>
            <w:vAlign w:val="center"/>
          </w:tcPr>
          <w:p w14:paraId="55569B54" w14:textId="77777777" w:rsidR="00F925DD" w:rsidRDefault="00F925DD">
            <w:pPr>
              <w:rPr>
                <w:rFonts w:ascii="Times New Roman" w:hAnsi="Times New Roman"/>
                <w:sz w:val="20"/>
                <w:szCs w:val="20"/>
              </w:rPr>
            </w:pPr>
          </w:p>
        </w:tc>
        <w:tc>
          <w:tcPr>
            <w:tcW w:w="0" w:type="auto"/>
            <w:shd w:val="clear" w:color="auto" w:fill="auto"/>
            <w:vAlign w:val="center"/>
          </w:tcPr>
          <w:p w14:paraId="55569B55" w14:textId="77777777" w:rsidR="00F925DD" w:rsidRDefault="00F925DD">
            <w:pPr>
              <w:rPr>
                <w:rFonts w:ascii="Times New Roman" w:hAnsi="Times New Roman"/>
                <w:sz w:val="20"/>
                <w:szCs w:val="20"/>
              </w:rPr>
            </w:pPr>
          </w:p>
        </w:tc>
      </w:tr>
      <w:tr w:rsidR="00F925DD" w14:paraId="55569B59" w14:textId="77777777">
        <w:trPr>
          <w:tblCellSpacing w:w="0" w:type="dxa"/>
        </w:trPr>
        <w:tc>
          <w:tcPr>
            <w:tcW w:w="0" w:type="auto"/>
            <w:shd w:val="clear" w:color="auto" w:fill="auto"/>
          </w:tcPr>
          <w:p w14:paraId="55569B5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5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Promoting a strong technology risk culture through communication;</w:t>
            </w:r>
          </w:p>
        </w:tc>
      </w:tr>
    </w:tbl>
    <w:p w14:paraId="55569B5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5D" w14:textId="77777777">
        <w:trPr>
          <w:tblCellSpacing w:w="0" w:type="dxa"/>
        </w:trPr>
        <w:tc>
          <w:tcPr>
            <w:tcW w:w="960" w:type="dxa"/>
            <w:shd w:val="clear" w:color="auto" w:fill="auto"/>
            <w:vAlign w:val="center"/>
          </w:tcPr>
          <w:p w14:paraId="55569B5B" w14:textId="77777777" w:rsidR="00F925DD" w:rsidRDefault="00F925DD">
            <w:pPr>
              <w:rPr>
                <w:rFonts w:ascii="Times New Roman" w:hAnsi="Times New Roman"/>
                <w:sz w:val="20"/>
                <w:szCs w:val="20"/>
              </w:rPr>
            </w:pPr>
          </w:p>
        </w:tc>
        <w:tc>
          <w:tcPr>
            <w:tcW w:w="0" w:type="auto"/>
            <w:shd w:val="clear" w:color="auto" w:fill="auto"/>
            <w:vAlign w:val="center"/>
          </w:tcPr>
          <w:p w14:paraId="55569B5C" w14:textId="77777777" w:rsidR="00F925DD" w:rsidRDefault="00F925DD">
            <w:pPr>
              <w:rPr>
                <w:rFonts w:ascii="Times New Roman" w:hAnsi="Times New Roman"/>
                <w:sz w:val="20"/>
                <w:szCs w:val="20"/>
              </w:rPr>
            </w:pPr>
          </w:p>
        </w:tc>
      </w:tr>
      <w:tr w:rsidR="00F925DD" w14:paraId="55569B60" w14:textId="77777777">
        <w:trPr>
          <w:tblCellSpacing w:w="0" w:type="dxa"/>
        </w:trPr>
        <w:tc>
          <w:tcPr>
            <w:tcW w:w="0" w:type="auto"/>
            <w:shd w:val="clear" w:color="auto" w:fill="auto"/>
          </w:tcPr>
          <w:p w14:paraId="55569B5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5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Serving as an escalation and challenge point for technology risk policy guidance, expectations and clarifications; </w:t>
            </w:r>
          </w:p>
        </w:tc>
      </w:tr>
    </w:tbl>
    <w:p w14:paraId="55569B6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64" w14:textId="77777777">
        <w:trPr>
          <w:tblCellSpacing w:w="0" w:type="dxa"/>
        </w:trPr>
        <w:tc>
          <w:tcPr>
            <w:tcW w:w="960" w:type="dxa"/>
            <w:shd w:val="clear" w:color="auto" w:fill="auto"/>
            <w:vAlign w:val="center"/>
          </w:tcPr>
          <w:p w14:paraId="55569B62" w14:textId="77777777" w:rsidR="00F925DD" w:rsidRDefault="00F925DD">
            <w:pPr>
              <w:rPr>
                <w:rFonts w:ascii="Times New Roman" w:hAnsi="Times New Roman"/>
                <w:sz w:val="20"/>
                <w:szCs w:val="20"/>
              </w:rPr>
            </w:pPr>
          </w:p>
        </w:tc>
        <w:tc>
          <w:tcPr>
            <w:tcW w:w="0" w:type="auto"/>
            <w:shd w:val="clear" w:color="auto" w:fill="auto"/>
            <w:vAlign w:val="center"/>
          </w:tcPr>
          <w:p w14:paraId="55569B63" w14:textId="77777777" w:rsidR="00F925DD" w:rsidRDefault="00F925DD">
            <w:pPr>
              <w:rPr>
                <w:rFonts w:ascii="Times New Roman" w:hAnsi="Times New Roman"/>
                <w:sz w:val="20"/>
                <w:szCs w:val="20"/>
              </w:rPr>
            </w:pPr>
          </w:p>
        </w:tc>
      </w:tr>
      <w:tr w:rsidR="00F925DD" w14:paraId="55569B67" w14:textId="77777777">
        <w:trPr>
          <w:tblCellSpacing w:w="0" w:type="dxa"/>
        </w:trPr>
        <w:tc>
          <w:tcPr>
            <w:tcW w:w="0" w:type="auto"/>
            <w:shd w:val="clear" w:color="auto" w:fill="auto"/>
          </w:tcPr>
          <w:p w14:paraId="55569B6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6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Assessing effectiveness of key enterprise information technology risk and internal control remediation programs; and </w:t>
            </w:r>
          </w:p>
        </w:tc>
      </w:tr>
    </w:tbl>
    <w:p w14:paraId="55569B6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6B" w14:textId="77777777">
        <w:trPr>
          <w:tblCellSpacing w:w="0" w:type="dxa"/>
        </w:trPr>
        <w:tc>
          <w:tcPr>
            <w:tcW w:w="960" w:type="dxa"/>
            <w:shd w:val="clear" w:color="auto" w:fill="auto"/>
            <w:vAlign w:val="center"/>
          </w:tcPr>
          <w:p w14:paraId="55569B69" w14:textId="77777777" w:rsidR="00F925DD" w:rsidRDefault="00F925DD">
            <w:pPr>
              <w:rPr>
                <w:rFonts w:ascii="Times New Roman" w:hAnsi="Times New Roman"/>
                <w:sz w:val="20"/>
                <w:szCs w:val="20"/>
              </w:rPr>
            </w:pPr>
          </w:p>
        </w:tc>
        <w:tc>
          <w:tcPr>
            <w:tcW w:w="0" w:type="auto"/>
            <w:shd w:val="clear" w:color="auto" w:fill="auto"/>
            <w:vAlign w:val="center"/>
          </w:tcPr>
          <w:p w14:paraId="55569B6A" w14:textId="77777777" w:rsidR="00F925DD" w:rsidRDefault="00F925DD">
            <w:pPr>
              <w:rPr>
                <w:rFonts w:ascii="Times New Roman" w:hAnsi="Times New Roman"/>
                <w:sz w:val="20"/>
                <w:szCs w:val="20"/>
              </w:rPr>
            </w:pPr>
          </w:p>
        </w:tc>
      </w:tr>
      <w:tr w:rsidR="00F925DD" w14:paraId="55569B6E" w14:textId="77777777">
        <w:trPr>
          <w:tblCellSpacing w:w="0" w:type="dxa"/>
        </w:trPr>
        <w:tc>
          <w:tcPr>
            <w:tcW w:w="0" w:type="auto"/>
            <w:shd w:val="clear" w:color="auto" w:fill="auto"/>
          </w:tcPr>
          <w:p w14:paraId="55569B6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6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Providing risk oversight, challenge and monitoring for the Global Continuity and Third Party Vendor Management Program, including the collection of risk appetite, metrics and KRIs, and reviewing issue management processes and consistent program adoption.</w:t>
            </w:r>
          </w:p>
        </w:tc>
      </w:tr>
    </w:tbl>
    <w:p w14:paraId="55569B6F"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Cyber-Security Risk Management</w:t>
      </w:r>
    </w:p>
    <w:p w14:paraId="55569B7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Cyber-security risk is managed as part of our overall Information Technology Risk Management as outlined above.</w:t>
      </w:r>
    </w:p>
    <w:p w14:paraId="55569B7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recognize the significance of cyber-attacks and have taken steps to mitigate the risks associated with </w:t>
      </w:r>
      <w:r>
        <w:rPr>
          <w:rFonts w:ascii="Arial" w:eastAsia="宋体" w:hAnsi="Arial" w:cs="Arial"/>
          <w:sz w:val="20"/>
          <w:szCs w:val="20"/>
        </w:rPr>
        <w:t>them. We have made significant investments in building a mature cyber-security program to leverage people, technology and processes to protect our systems and the data in our care. We have also implemented a program to help us better measure and manage the</w:t>
      </w:r>
      <w:r>
        <w:rPr>
          <w:rFonts w:ascii="Arial" w:eastAsia="宋体" w:hAnsi="Arial" w:cs="Arial"/>
          <w:sz w:val="20"/>
          <w:szCs w:val="20"/>
        </w:rPr>
        <w:t xml:space="preserve"> cyber-security risk we face when we engage with third parties for services.</w:t>
      </w:r>
    </w:p>
    <w:p w14:paraId="55569B7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All employees are required to adhere to our cyber-security policy and standards. Our centralized information security group provides education and training. This training includes</w:t>
      </w:r>
      <w:r>
        <w:rPr>
          <w:rFonts w:ascii="Arial" w:eastAsia="宋体" w:hAnsi="Arial" w:cs="Arial"/>
          <w:sz w:val="20"/>
          <w:szCs w:val="20"/>
        </w:rPr>
        <w:t xml:space="preserve"> a required annual online </w:t>
      </w:r>
    </w:p>
    <w:p w14:paraId="55569B73" w14:textId="77777777" w:rsidR="00F925DD" w:rsidRDefault="00F925DD">
      <w:pPr>
        <w:rPr>
          <w:rFonts w:ascii="Times New Roman" w:hAnsi="Times New Roman"/>
          <w:sz w:val="20"/>
          <w:szCs w:val="20"/>
        </w:rPr>
      </w:pPr>
    </w:p>
    <w:p w14:paraId="55569B74"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97</w:t>
      </w:r>
    </w:p>
    <w:p w14:paraId="55569B75" w14:textId="77777777" w:rsidR="00F925DD" w:rsidRDefault="00F925DD">
      <w:pPr>
        <w:spacing w:line="288" w:lineRule="auto"/>
        <w:ind w:firstLine="600"/>
        <w:jc w:val="center"/>
        <w:rPr>
          <w:rFonts w:ascii="Times New Roman" w:hAnsi="Times New Roman"/>
          <w:sz w:val="18"/>
          <w:szCs w:val="18"/>
        </w:rPr>
      </w:pPr>
    </w:p>
    <w:p w14:paraId="55569B76" w14:textId="77777777" w:rsidR="00F925DD" w:rsidRDefault="00E705D7">
      <w:r>
        <w:rPr>
          <w:rFonts w:ascii="Times New Roman" w:hAnsi="Times New Roman"/>
          <w:sz w:val="18"/>
          <w:szCs w:val="18"/>
        </w:rPr>
        <w:pict w14:anchorId="5557069B">
          <v:rect id="_x0000_i1121" style="width:415.3pt;height:1.5pt" o:hralign="center" o:hrstd="t" o:hr="t" fillcolor="#a0a0a0" stroked="f"/>
        </w:pict>
      </w:r>
    </w:p>
    <w:p w14:paraId="55569B7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B7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B79" w14:textId="77777777" w:rsidR="00F925DD" w:rsidRDefault="00F925DD">
      <w:pPr>
        <w:rPr>
          <w:rFonts w:ascii="Times New Roman" w:hAnsi="Times New Roman"/>
          <w:sz w:val="20"/>
          <w:szCs w:val="20"/>
        </w:rPr>
      </w:pPr>
    </w:p>
    <w:p w14:paraId="55569B7A"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training class for all employees, multiple simulated phishing attacks and regular information security awareness materials. </w:t>
      </w:r>
    </w:p>
    <w:p w14:paraId="55569B7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business lines employ Information Security Officers to help the business better understand and manage their information securit</w:t>
      </w:r>
      <w:r>
        <w:rPr>
          <w:rFonts w:ascii="Arial" w:eastAsia="宋体" w:hAnsi="Arial" w:cs="Arial"/>
          <w:sz w:val="20"/>
          <w:szCs w:val="20"/>
        </w:rPr>
        <w:t xml:space="preserve">y risks, as well as to work with the centralized Information Security team to drive awareness and compliance throughout the business. </w:t>
      </w:r>
    </w:p>
    <w:p w14:paraId="55569B7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independent third parties to perform ethical hacks of key systems to help us better understand the effectiveness o</w:t>
      </w:r>
      <w:r>
        <w:rPr>
          <w:rFonts w:ascii="Arial" w:eastAsia="宋体" w:hAnsi="Arial" w:cs="Arial"/>
          <w:sz w:val="20"/>
          <w:szCs w:val="20"/>
        </w:rPr>
        <w:t>f our controls and to better implement more effective controls, and we engage with third parties to conduct reviews of our overall program to help us better align our cyber-security program with what is required of a large financial services organization.</w:t>
      </w:r>
    </w:p>
    <w:p w14:paraId="55569B7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an incident response program in place that is designed to enable a well-coordinated response to mitigate the impact of cyber-attacks, recover from the attack and to drive the appropriate level of communication to internal and external stakeholders.</w:t>
      </w:r>
      <w:r>
        <w:rPr>
          <w:rFonts w:ascii="Arial" w:eastAsia="宋体" w:hAnsi="Arial" w:cs="Arial"/>
          <w:sz w:val="20"/>
          <w:szCs w:val="20"/>
        </w:rPr>
        <w:t xml:space="preserve"> </w:t>
      </w:r>
    </w:p>
    <w:p w14:paraId="55569B7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TORC assesses and manages the effectiveness of our cyber-security program, which is overseen by the TOPS of our Board. The TOPS receives regular cyber-security updates throughout the year and is responsible for reviewing and approving the program on </w:t>
      </w:r>
      <w:r>
        <w:rPr>
          <w:rFonts w:ascii="Arial" w:eastAsia="宋体" w:hAnsi="Arial" w:cs="Arial"/>
          <w:sz w:val="20"/>
          <w:szCs w:val="20"/>
        </w:rPr>
        <w:t xml:space="preserve">an annual basis. </w:t>
      </w:r>
    </w:p>
    <w:p w14:paraId="55569B7F"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Market Risk Management</w:t>
      </w:r>
    </w:p>
    <w:p w14:paraId="55569B8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Market risk is defined by U.S. banking regulators as the risk of loss that could result from broad market movements, such as changes in the general level of interest rates, credit spreads, foreign exchange rates or </w:t>
      </w:r>
      <w:r>
        <w:rPr>
          <w:rFonts w:ascii="Arial" w:eastAsia="宋体" w:hAnsi="Arial" w:cs="Arial"/>
          <w:sz w:val="20"/>
          <w:szCs w:val="20"/>
        </w:rPr>
        <w:t xml:space="preserve">commodity prices. We are exposed to market risk in both our trading and certain of our non-trading, or asset-and-liability management, activities. </w:t>
      </w:r>
    </w:p>
    <w:p w14:paraId="55569B8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Information about the market risk associated with our trading activities is provided below under “Trading Ac</w:t>
      </w:r>
      <w:r>
        <w:rPr>
          <w:rFonts w:ascii="Arial" w:eastAsia="宋体" w:hAnsi="Arial" w:cs="Arial"/>
          <w:sz w:val="20"/>
          <w:szCs w:val="20"/>
        </w:rPr>
        <w:t>tivities.” Information about the market risk associated with our non-trading activities, which consists primarily of interest rate risk, is provided below under “Asset-and-Liability Management Activities.”</w:t>
      </w:r>
    </w:p>
    <w:p w14:paraId="55569B8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Trading Activities</w:t>
      </w:r>
    </w:p>
    <w:p w14:paraId="55569B8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conduct of our trading a</w:t>
      </w:r>
      <w:r>
        <w:rPr>
          <w:rFonts w:ascii="Arial" w:eastAsia="宋体" w:hAnsi="Arial" w:cs="Arial"/>
          <w:sz w:val="20"/>
          <w:szCs w:val="20"/>
        </w:rPr>
        <w:t xml:space="preserve">ctivities, we assume market risk, the level of which is a function of our overall risk appetite, business objectives and liquidity needs, our clients' requirements and market volatility and our execution against those factors. </w:t>
      </w:r>
    </w:p>
    <w:p w14:paraId="55569B8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engage in trading activit</w:t>
      </w:r>
      <w:r>
        <w:rPr>
          <w:rFonts w:ascii="Arial" w:eastAsia="宋体" w:hAnsi="Arial" w:cs="Arial"/>
          <w:sz w:val="20"/>
          <w:szCs w:val="20"/>
        </w:rPr>
        <w:t>ies primarily to support our clients' needs and to contribute to our overall corporate earnings and liquidity. In connection with certain of these trading activities, we enter into a variety of derivative financial instruments to support our clients' needs</w:t>
      </w:r>
      <w:r>
        <w:rPr>
          <w:rFonts w:ascii="Arial" w:eastAsia="宋体" w:hAnsi="Arial" w:cs="Arial"/>
          <w:sz w:val="20"/>
          <w:szCs w:val="20"/>
        </w:rPr>
        <w:t xml:space="preserve"> and to manage our interest rate and currency risk. These activities are generally intended to generate </w:t>
      </w:r>
    </w:p>
    <w:p w14:paraId="55569B85"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B86"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foreign exchange trading services revenue and to manage potential earnings volatility. In addition, we provide services related to derivatives in our</w:t>
      </w:r>
      <w:r>
        <w:rPr>
          <w:rFonts w:ascii="Arial" w:eastAsia="宋体" w:hAnsi="Arial" w:cs="Arial"/>
          <w:sz w:val="20"/>
          <w:szCs w:val="20"/>
        </w:rPr>
        <w:t xml:space="preserve"> role as both a manager and a servicer of financial assets.</w:t>
      </w:r>
    </w:p>
    <w:p w14:paraId="55569B8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clients use derivatives to manage the financial risks associated with their investment goals and business activities. With the growth of cross-border investing, our clients often enter into fo</w:t>
      </w:r>
      <w:r>
        <w:rPr>
          <w:rFonts w:ascii="Arial" w:eastAsia="宋体" w:hAnsi="Arial" w:cs="Arial"/>
          <w:sz w:val="20"/>
          <w:szCs w:val="20"/>
        </w:rPr>
        <w:t>reign exchange forward contracts to convert currency for international investments and to manage the currency risk in their international investment portfolios. As an active participant in the foreign exchange markets, we provide foreign exchange forward a</w:t>
      </w:r>
      <w:r>
        <w:rPr>
          <w:rFonts w:ascii="Arial" w:eastAsia="宋体" w:hAnsi="Arial" w:cs="Arial"/>
          <w:sz w:val="20"/>
          <w:szCs w:val="20"/>
        </w:rPr>
        <w:t xml:space="preserve">nd option contracts in support of these client needs, and also act as a dealer in the currency markets.   </w:t>
      </w:r>
    </w:p>
    <w:p w14:paraId="55569B8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part of our trading activities, we assume positions in the foreign exchange and interest rate markets by buying and selling cash instruments and e</w:t>
      </w:r>
      <w:r>
        <w:rPr>
          <w:rFonts w:ascii="Arial" w:eastAsia="宋体" w:hAnsi="Arial" w:cs="Arial"/>
          <w:sz w:val="20"/>
          <w:szCs w:val="20"/>
        </w:rPr>
        <w:t>ntering into derivative instruments, including foreign exchange forward contracts, foreign exchange and interest rate options and interest rate swaps, interest rate forward contracts and interest rate futures. As of December 31, 2019, the notional amount o</w:t>
      </w:r>
      <w:r>
        <w:rPr>
          <w:rFonts w:ascii="Arial" w:eastAsia="宋体" w:hAnsi="Arial" w:cs="Arial"/>
          <w:sz w:val="20"/>
          <w:szCs w:val="20"/>
        </w:rPr>
        <w:t>f these derivative contracts was $2.41 trillion, of which $2.38 trillion was composed of foreign exchange forward, swap and spot contracts. We seek to match positions closely with the objective of minimizing related currency and interest rate risk. All for</w:t>
      </w:r>
      <w:r>
        <w:rPr>
          <w:rFonts w:ascii="Arial" w:eastAsia="宋体" w:hAnsi="Arial" w:cs="Arial"/>
          <w:sz w:val="20"/>
          <w:szCs w:val="20"/>
        </w:rPr>
        <w:t xml:space="preserve">eign exchange contracts are valued daily at current market rates. </w:t>
      </w:r>
    </w:p>
    <w:p w14:paraId="55569B89"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Governance</w:t>
      </w:r>
    </w:p>
    <w:p w14:paraId="55569B8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assumption of market risk in our trading activities is an integral part of our corporate risk appetite. Our Board reviews and oversees our management of market risk, including the approval of key market risk policies and the receipt and review of regul</w:t>
      </w:r>
      <w:r>
        <w:rPr>
          <w:rFonts w:ascii="Arial" w:eastAsia="宋体" w:hAnsi="Arial" w:cs="Arial"/>
          <w:sz w:val="20"/>
          <w:szCs w:val="20"/>
        </w:rPr>
        <w:t xml:space="preserve">ar market risk reporting, as well as periodic updates on selected market risk topics. </w:t>
      </w:r>
    </w:p>
    <w:p w14:paraId="55569B8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previously described TMRC (refer to "Risk Committees") oversees all market risk-taking activities across our business associated with trading. The TMRC, which report</w:t>
      </w:r>
      <w:r>
        <w:rPr>
          <w:rFonts w:ascii="Arial" w:eastAsia="宋体" w:hAnsi="Arial" w:cs="Arial"/>
          <w:sz w:val="20"/>
          <w:szCs w:val="20"/>
        </w:rPr>
        <w:t>s to MRAC, is composed of members of ERM, our global markets business and our Global Treasury group, as well as our senior executives who manage our trading businesses and other members of management who possess specialized knowledge and expertise. The TMR</w:t>
      </w:r>
      <w:r>
        <w:rPr>
          <w:rFonts w:ascii="Arial" w:eastAsia="宋体" w:hAnsi="Arial" w:cs="Arial"/>
          <w:sz w:val="20"/>
          <w:szCs w:val="20"/>
        </w:rPr>
        <w:t>C meets regularly to monitor the management of our trading market risk activities.</w:t>
      </w:r>
    </w:p>
    <w:p w14:paraId="55569B8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business units identify, actively manage and are responsible for the market risks inherent in their businesses. A dedicated market risk management group within ERM, and </w:t>
      </w:r>
      <w:r>
        <w:rPr>
          <w:rFonts w:ascii="Arial" w:eastAsia="宋体" w:hAnsi="Arial" w:cs="Arial"/>
          <w:sz w:val="20"/>
          <w:szCs w:val="20"/>
        </w:rPr>
        <w:t xml:space="preserve">other groups within ERM, work with those business units to assist them in the identification, assessment, monitoring, management and control of market risk, and assist business unit managers with their market risk management and </w:t>
      </w:r>
    </w:p>
    <w:p w14:paraId="55569B8D" w14:textId="77777777" w:rsidR="00F925DD" w:rsidRDefault="00F925DD">
      <w:pPr>
        <w:rPr>
          <w:rFonts w:ascii="Times New Roman" w:hAnsi="Times New Roman"/>
          <w:sz w:val="20"/>
          <w:szCs w:val="20"/>
        </w:rPr>
      </w:pPr>
    </w:p>
    <w:p w14:paraId="55569B8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Street Corporation </w:t>
      </w:r>
      <w:r>
        <w:rPr>
          <w:rFonts w:ascii="Arial" w:eastAsia="宋体" w:hAnsi="Arial" w:cs="Arial"/>
          <w:sz w:val="18"/>
          <w:szCs w:val="18"/>
        </w:rPr>
        <w:t>| 98</w:t>
      </w:r>
    </w:p>
    <w:p w14:paraId="55569B8F" w14:textId="77777777" w:rsidR="00F925DD" w:rsidRDefault="00F925DD">
      <w:pPr>
        <w:spacing w:line="288" w:lineRule="auto"/>
        <w:ind w:firstLine="600"/>
        <w:jc w:val="center"/>
        <w:rPr>
          <w:rFonts w:ascii="Times New Roman" w:hAnsi="Times New Roman"/>
          <w:sz w:val="18"/>
          <w:szCs w:val="18"/>
        </w:rPr>
      </w:pPr>
    </w:p>
    <w:p w14:paraId="55569B90" w14:textId="77777777" w:rsidR="00F925DD" w:rsidRDefault="00E705D7">
      <w:r>
        <w:rPr>
          <w:rFonts w:ascii="Times New Roman" w:hAnsi="Times New Roman"/>
          <w:sz w:val="18"/>
          <w:szCs w:val="18"/>
        </w:rPr>
        <w:pict w14:anchorId="5557069C">
          <v:rect id="_x0000_i1122" style="width:415.3pt;height:1.5pt" o:hralign="center" o:hrstd="t" o:hr="t" fillcolor="#a0a0a0" stroked="f"/>
        </w:pict>
      </w:r>
    </w:p>
    <w:p w14:paraId="55569B9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B92"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B93" w14:textId="77777777" w:rsidR="00F925DD" w:rsidRDefault="00F925DD">
      <w:pPr>
        <w:rPr>
          <w:rFonts w:ascii="Times New Roman" w:hAnsi="Times New Roman"/>
          <w:sz w:val="20"/>
          <w:szCs w:val="20"/>
        </w:rPr>
      </w:pPr>
    </w:p>
    <w:p w14:paraId="55569B9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measurement activities. ERM provides an additional line of oversight, support and coordination designed to promote the consistent identification, measurement and management of market risk across business units, separate from those business units' discrete </w:t>
      </w:r>
      <w:r>
        <w:rPr>
          <w:rFonts w:ascii="Arial" w:eastAsia="宋体" w:hAnsi="Arial" w:cs="Arial"/>
          <w:sz w:val="20"/>
          <w:szCs w:val="20"/>
        </w:rPr>
        <w:t xml:space="preserve">activities. </w:t>
      </w:r>
    </w:p>
    <w:p w14:paraId="55569B9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ERM market risk management group is responsible for the management of corporate-wide market risk, the monitoring of key market risks and the development and maintenance of market risk management policies, guidelines and standards aligned w</w:t>
      </w:r>
      <w:r>
        <w:rPr>
          <w:rFonts w:ascii="Arial" w:eastAsia="宋体" w:hAnsi="Arial" w:cs="Arial"/>
          <w:sz w:val="20"/>
          <w:szCs w:val="20"/>
        </w:rPr>
        <w:t>ith our corporate risk appetite. This group also establishes and approves market risk tolerance limits and trading authorities based on, but not limited to, measures of notional amounts, sensitivity, VaR and stress. Such limits and authorities are specifie</w:t>
      </w:r>
      <w:r>
        <w:rPr>
          <w:rFonts w:ascii="Arial" w:eastAsia="宋体" w:hAnsi="Arial" w:cs="Arial"/>
          <w:sz w:val="20"/>
          <w:szCs w:val="20"/>
        </w:rPr>
        <w:t>d in our trading and market risk guidelines which govern our management of trading market risk.</w:t>
      </w:r>
    </w:p>
    <w:p w14:paraId="55569B9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Corporate Audit separately assesses the design and operating effectiveness of the market risk controls within our business units and ERM. Other related responsi</w:t>
      </w:r>
      <w:r>
        <w:rPr>
          <w:rFonts w:ascii="Arial" w:eastAsia="宋体" w:hAnsi="Arial" w:cs="Arial"/>
          <w:sz w:val="20"/>
          <w:szCs w:val="20"/>
        </w:rPr>
        <w:t>bilities of Corporate Audit include the periodic review of ERM and business unit compliance with market risk policies, guidelines and corporate standards, as well as relevant regulatory requirements. We are subject to regular monitoring, reviews and superv</w:t>
      </w:r>
      <w:r>
        <w:rPr>
          <w:rFonts w:ascii="Arial" w:eastAsia="宋体" w:hAnsi="Arial" w:cs="Arial"/>
          <w:sz w:val="20"/>
          <w:szCs w:val="20"/>
        </w:rPr>
        <w:t>isory exams of our market risk function by the Federal Reserve. In addition, we are regulated by, among others, the SEC, the Financial Industry Regulatory Authority and the U.S. Commodities Futures Trading Commission.</w:t>
      </w:r>
    </w:p>
    <w:p w14:paraId="55569B97"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Risk Appetite </w:t>
      </w:r>
    </w:p>
    <w:p w14:paraId="55569B9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corporate market ri</w:t>
      </w:r>
      <w:r>
        <w:rPr>
          <w:rFonts w:ascii="Arial" w:eastAsia="宋体" w:hAnsi="Arial" w:cs="Arial"/>
          <w:sz w:val="20"/>
          <w:szCs w:val="20"/>
        </w:rPr>
        <w:t>sk appetite is specified in policy statements that outline the governance, responsibilities and requirements surrounding the identification, measurement, analysis, management and communication of market risk arising from our trading activities. These polic</w:t>
      </w:r>
      <w:r>
        <w:rPr>
          <w:rFonts w:ascii="Arial" w:eastAsia="宋体" w:hAnsi="Arial" w:cs="Arial"/>
          <w:sz w:val="20"/>
          <w:szCs w:val="20"/>
        </w:rPr>
        <w:t>y statements also set forth the market risk control framework to monitor, support, manage and control this portion of our risk appetite. All groups involved in the management and control of market risk associated with trading activities are required to com</w:t>
      </w:r>
      <w:r>
        <w:rPr>
          <w:rFonts w:ascii="Arial" w:eastAsia="宋体" w:hAnsi="Arial" w:cs="Arial"/>
          <w:sz w:val="20"/>
          <w:szCs w:val="20"/>
        </w:rPr>
        <w:t>ply with the qualitative and quantitative elements of these policy statements. Our trading market risk control framework is composed of the following components: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9B" w14:textId="77777777">
        <w:trPr>
          <w:tblCellSpacing w:w="0" w:type="dxa"/>
        </w:trPr>
        <w:tc>
          <w:tcPr>
            <w:tcW w:w="960" w:type="dxa"/>
            <w:shd w:val="clear" w:color="auto" w:fill="auto"/>
            <w:vAlign w:val="center"/>
          </w:tcPr>
          <w:p w14:paraId="55569B99" w14:textId="77777777" w:rsidR="00F925DD" w:rsidRDefault="00F925DD">
            <w:pPr>
              <w:rPr>
                <w:rFonts w:ascii="Times New Roman" w:hAnsi="Times New Roman"/>
                <w:sz w:val="20"/>
                <w:szCs w:val="20"/>
              </w:rPr>
            </w:pPr>
          </w:p>
        </w:tc>
        <w:tc>
          <w:tcPr>
            <w:tcW w:w="0" w:type="auto"/>
            <w:shd w:val="clear" w:color="auto" w:fill="auto"/>
            <w:vAlign w:val="center"/>
          </w:tcPr>
          <w:p w14:paraId="55569B9A" w14:textId="77777777" w:rsidR="00F925DD" w:rsidRDefault="00F925DD">
            <w:pPr>
              <w:rPr>
                <w:rFonts w:ascii="Times New Roman" w:hAnsi="Times New Roman"/>
                <w:sz w:val="20"/>
                <w:szCs w:val="20"/>
              </w:rPr>
            </w:pPr>
          </w:p>
        </w:tc>
      </w:tr>
      <w:tr w:rsidR="00F925DD" w14:paraId="55569B9E" w14:textId="77777777">
        <w:trPr>
          <w:tblCellSpacing w:w="0" w:type="dxa"/>
        </w:trPr>
        <w:tc>
          <w:tcPr>
            <w:tcW w:w="0" w:type="auto"/>
            <w:shd w:val="clear" w:color="auto" w:fill="auto"/>
          </w:tcPr>
          <w:p w14:paraId="55569B9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9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trading market risk management process led by ERM, separate from the business units' discrete activities; </w:t>
            </w:r>
          </w:p>
        </w:tc>
      </w:tr>
    </w:tbl>
    <w:p w14:paraId="55569B9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A2" w14:textId="77777777">
        <w:trPr>
          <w:tblCellSpacing w:w="0" w:type="dxa"/>
        </w:trPr>
        <w:tc>
          <w:tcPr>
            <w:tcW w:w="960" w:type="dxa"/>
            <w:shd w:val="clear" w:color="auto" w:fill="auto"/>
            <w:vAlign w:val="center"/>
          </w:tcPr>
          <w:p w14:paraId="55569BA0" w14:textId="77777777" w:rsidR="00F925DD" w:rsidRDefault="00F925DD">
            <w:pPr>
              <w:rPr>
                <w:rFonts w:ascii="Times New Roman" w:hAnsi="Times New Roman"/>
                <w:sz w:val="20"/>
                <w:szCs w:val="20"/>
              </w:rPr>
            </w:pPr>
          </w:p>
        </w:tc>
        <w:tc>
          <w:tcPr>
            <w:tcW w:w="0" w:type="auto"/>
            <w:shd w:val="clear" w:color="auto" w:fill="auto"/>
            <w:vAlign w:val="center"/>
          </w:tcPr>
          <w:p w14:paraId="55569BA1" w14:textId="77777777" w:rsidR="00F925DD" w:rsidRDefault="00F925DD">
            <w:pPr>
              <w:rPr>
                <w:rFonts w:ascii="Times New Roman" w:hAnsi="Times New Roman"/>
                <w:sz w:val="20"/>
                <w:szCs w:val="20"/>
              </w:rPr>
            </w:pPr>
          </w:p>
        </w:tc>
      </w:tr>
      <w:tr w:rsidR="00F925DD" w14:paraId="55569BA5" w14:textId="77777777">
        <w:trPr>
          <w:tblCellSpacing w:w="0" w:type="dxa"/>
        </w:trPr>
        <w:tc>
          <w:tcPr>
            <w:tcW w:w="0" w:type="auto"/>
            <w:shd w:val="clear" w:color="auto" w:fill="auto"/>
          </w:tcPr>
          <w:p w14:paraId="55569BA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A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Clearly defined responsibilities and authorities for the primary groups involved in trading market risk management; </w:t>
            </w:r>
          </w:p>
        </w:tc>
      </w:tr>
    </w:tbl>
    <w:p w14:paraId="55569BA6"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A9" w14:textId="77777777">
        <w:trPr>
          <w:tblCellSpacing w:w="0" w:type="dxa"/>
        </w:trPr>
        <w:tc>
          <w:tcPr>
            <w:tcW w:w="960" w:type="dxa"/>
            <w:shd w:val="clear" w:color="auto" w:fill="auto"/>
            <w:vAlign w:val="center"/>
          </w:tcPr>
          <w:p w14:paraId="55569BA7" w14:textId="77777777" w:rsidR="00F925DD" w:rsidRDefault="00F925DD">
            <w:pPr>
              <w:rPr>
                <w:rFonts w:ascii="Times New Roman" w:hAnsi="Times New Roman"/>
                <w:sz w:val="20"/>
                <w:szCs w:val="20"/>
              </w:rPr>
            </w:pPr>
          </w:p>
        </w:tc>
        <w:tc>
          <w:tcPr>
            <w:tcW w:w="0" w:type="auto"/>
            <w:shd w:val="clear" w:color="auto" w:fill="auto"/>
            <w:vAlign w:val="center"/>
          </w:tcPr>
          <w:p w14:paraId="55569BA8" w14:textId="77777777" w:rsidR="00F925DD" w:rsidRDefault="00F925DD">
            <w:pPr>
              <w:rPr>
                <w:rFonts w:ascii="Times New Roman" w:hAnsi="Times New Roman"/>
                <w:sz w:val="20"/>
                <w:szCs w:val="20"/>
              </w:rPr>
            </w:pPr>
          </w:p>
        </w:tc>
      </w:tr>
      <w:tr w:rsidR="00F925DD" w14:paraId="55569BAC" w14:textId="77777777">
        <w:trPr>
          <w:tblCellSpacing w:w="0" w:type="dxa"/>
        </w:trPr>
        <w:tc>
          <w:tcPr>
            <w:tcW w:w="0" w:type="auto"/>
            <w:shd w:val="clear" w:color="auto" w:fill="auto"/>
          </w:tcPr>
          <w:p w14:paraId="55569BA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A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trading market risk measurement methodology that captures correlation effects and allows aggregation of market risk across risk types, markets and business lines; </w:t>
            </w:r>
          </w:p>
        </w:tc>
      </w:tr>
    </w:tbl>
    <w:p w14:paraId="55569BAD" w14:textId="77777777" w:rsidR="00F925DD" w:rsidRDefault="00E705D7">
      <w:pPr>
        <w:rPr>
          <w:rFonts w:ascii="Times New Roman" w:hAnsi="Times New Roman"/>
          <w:sz w:val="20"/>
          <w:szCs w:val="20"/>
        </w:rPr>
      </w:pPr>
      <w:r>
        <w:rPr>
          <w:rFonts w:ascii="Times New Roman" w:eastAsia="宋体" w:hAnsi="Times New Roman"/>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B0" w14:textId="77777777">
        <w:trPr>
          <w:tblCellSpacing w:w="0" w:type="dxa"/>
        </w:trPr>
        <w:tc>
          <w:tcPr>
            <w:tcW w:w="960" w:type="dxa"/>
            <w:shd w:val="clear" w:color="auto" w:fill="auto"/>
            <w:vAlign w:val="center"/>
          </w:tcPr>
          <w:p w14:paraId="55569BAE" w14:textId="77777777" w:rsidR="00F925DD" w:rsidRDefault="00F925DD">
            <w:pPr>
              <w:rPr>
                <w:rFonts w:ascii="Times New Roman" w:hAnsi="Times New Roman"/>
                <w:sz w:val="20"/>
                <w:szCs w:val="20"/>
              </w:rPr>
            </w:pPr>
          </w:p>
        </w:tc>
        <w:tc>
          <w:tcPr>
            <w:tcW w:w="0" w:type="auto"/>
            <w:shd w:val="clear" w:color="auto" w:fill="auto"/>
            <w:vAlign w:val="center"/>
          </w:tcPr>
          <w:p w14:paraId="55569BAF" w14:textId="77777777" w:rsidR="00F925DD" w:rsidRDefault="00F925DD">
            <w:pPr>
              <w:rPr>
                <w:rFonts w:ascii="Times New Roman" w:hAnsi="Times New Roman"/>
                <w:sz w:val="20"/>
                <w:szCs w:val="20"/>
              </w:rPr>
            </w:pPr>
          </w:p>
        </w:tc>
      </w:tr>
      <w:tr w:rsidR="00F925DD" w14:paraId="55569BB3" w14:textId="77777777">
        <w:trPr>
          <w:tblCellSpacing w:w="0" w:type="dxa"/>
        </w:trPr>
        <w:tc>
          <w:tcPr>
            <w:tcW w:w="0" w:type="auto"/>
            <w:shd w:val="clear" w:color="auto" w:fill="auto"/>
          </w:tcPr>
          <w:p w14:paraId="55569BB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B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Daily monitoring, analysis and reporting of market risk exposures associated with trading activities against market risk limits; </w:t>
            </w:r>
          </w:p>
        </w:tc>
      </w:tr>
    </w:tbl>
    <w:p w14:paraId="55569BB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B7" w14:textId="77777777">
        <w:trPr>
          <w:tblCellSpacing w:w="0" w:type="dxa"/>
        </w:trPr>
        <w:tc>
          <w:tcPr>
            <w:tcW w:w="960" w:type="dxa"/>
            <w:shd w:val="clear" w:color="auto" w:fill="auto"/>
            <w:vAlign w:val="center"/>
          </w:tcPr>
          <w:p w14:paraId="55569BB5" w14:textId="77777777" w:rsidR="00F925DD" w:rsidRDefault="00F925DD">
            <w:pPr>
              <w:rPr>
                <w:rFonts w:ascii="Times New Roman" w:hAnsi="Times New Roman"/>
                <w:sz w:val="20"/>
                <w:szCs w:val="20"/>
              </w:rPr>
            </w:pPr>
          </w:p>
        </w:tc>
        <w:tc>
          <w:tcPr>
            <w:tcW w:w="0" w:type="auto"/>
            <w:shd w:val="clear" w:color="auto" w:fill="auto"/>
            <w:vAlign w:val="center"/>
          </w:tcPr>
          <w:p w14:paraId="55569BB6" w14:textId="77777777" w:rsidR="00F925DD" w:rsidRDefault="00F925DD">
            <w:pPr>
              <w:rPr>
                <w:rFonts w:ascii="Times New Roman" w:hAnsi="Times New Roman"/>
                <w:sz w:val="20"/>
                <w:szCs w:val="20"/>
              </w:rPr>
            </w:pPr>
          </w:p>
        </w:tc>
      </w:tr>
      <w:tr w:rsidR="00F925DD" w14:paraId="55569BBA" w14:textId="77777777">
        <w:trPr>
          <w:tblCellSpacing w:w="0" w:type="dxa"/>
        </w:trPr>
        <w:tc>
          <w:tcPr>
            <w:tcW w:w="0" w:type="auto"/>
            <w:shd w:val="clear" w:color="auto" w:fill="auto"/>
          </w:tcPr>
          <w:p w14:paraId="55569BB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B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defined limit structure and escalation process in the event of a market risk limit excess; </w:t>
            </w:r>
          </w:p>
        </w:tc>
      </w:tr>
    </w:tbl>
    <w:p w14:paraId="55569BB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BE" w14:textId="77777777">
        <w:trPr>
          <w:tblCellSpacing w:w="0" w:type="dxa"/>
        </w:trPr>
        <w:tc>
          <w:tcPr>
            <w:tcW w:w="960" w:type="dxa"/>
            <w:shd w:val="clear" w:color="auto" w:fill="auto"/>
            <w:vAlign w:val="center"/>
          </w:tcPr>
          <w:p w14:paraId="55569BBC" w14:textId="77777777" w:rsidR="00F925DD" w:rsidRDefault="00F925DD">
            <w:pPr>
              <w:rPr>
                <w:rFonts w:ascii="Times New Roman" w:hAnsi="Times New Roman"/>
                <w:sz w:val="20"/>
                <w:szCs w:val="20"/>
              </w:rPr>
            </w:pPr>
          </w:p>
        </w:tc>
        <w:tc>
          <w:tcPr>
            <w:tcW w:w="0" w:type="auto"/>
            <w:shd w:val="clear" w:color="auto" w:fill="auto"/>
            <w:vAlign w:val="center"/>
          </w:tcPr>
          <w:p w14:paraId="55569BBD" w14:textId="77777777" w:rsidR="00F925DD" w:rsidRDefault="00F925DD">
            <w:pPr>
              <w:rPr>
                <w:rFonts w:ascii="Times New Roman" w:hAnsi="Times New Roman"/>
                <w:sz w:val="20"/>
                <w:szCs w:val="20"/>
              </w:rPr>
            </w:pPr>
          </w:p>
        </w:tc>
      </w:tr>
      <w:tr w:rsidR="00F925DD" w14:paraId="55569BC1" w14:textId="77777777">
        <w:trPr>
          <w:tblCellSpacing w:w="0" w:type="dxa"/>
        </w:trPr>
        <w:tc>
          <w:tcPr>
            <w:tcW w:w="0" w:type="auto"/>
            <w:shd w:val="clear" w:color="auto" w:fill="auto"/>
          </w:tcPr>
          <w:p w14:paraId="55569BB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C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Use of VaR </w:t>
            </w:r>
            <w:r>
              <w:rPr>
                <w:rFonts w:ascii="Arial" w:eastAsia="宋体" w:hAnsi="Arial" w:cs="Arial"/>
                <w:sz w:val="20"/>
                <w:szCs w:val="20"/>
              </w:rPr>
              <w:t>models to measure the one-day market risk exposure of trading positions;</w:t>
            </w:r>
          </w:p>
        </w:tc>
      </w:tr>
    </w:tbl>
    <w:p w14:paraId="55569BC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C5" w14:textId="77777777">
        <w:trPr>
          <w:tblCellSpacing w:w="0" w:type="dxa"/>
        </w:trPr>
        <w:tc>
          <w:tcPr>
            <w:tcW w:w="960" w:type="dxa"/>
            <w:shd w:val="clear" w:color="auto" w:fill="auto"/>
            <w:vAlign w:val="center"/>
          </w:tcPr>
          <w:p w14:paraId="55569BC3" w14:textId="77777777" w:rsidR="00F925DD" w:rsidRDefault="00F925DD">
            <w:pPr>
              <w:rPr>
                <w:rFonts w:ascii="Times New Roman" w:hAnsi="Times New Roman"/>
                <w:sz w:val="20"/>
                <w:szCs w:val="20"/>
              </w:rPr>
            </w:pPr>
          </w:p>
        </w:tc>
        <w:tc>
          <w:tcPr>
            <w:tcW w:w="0" w:type="auto"/>
            <w:shd w:val="clear" w:color="auto" w:fill="auto"/>
            <w:vAlign w:val="center"/>
          </w:tcPr>
          <w:p w14:paraId="55569BC4" w14:textId="77777777" w:rsidR="00F925DD" w:rsidRDefault="00F925DD">
            <w:pPr>
              <w:rPr>
                <w:rFonts w:ascii="Times New Roman" w:hAnsi="Times New Roman"/>
                <w:sz w:val="20"/>
                <w:szCs w:val="20"/>
              </w:rPr>
            </w:pPr>
          </w:p>
        </w:tc>
      </w:tr>
      <w:tr w:rsidR="00F925DD" w14:paraId="55569BC8" w14:textId="77777777">
        <w:trPr>
          <w:tblCellSpacing w:w="0" w:type="dxa"/>
        </w:trPr>
        <w:tc>
          <w:tcPr>
            <w:tcW w:w="0" w:type="auto"/>
            <w:shd w:val="clear" w:color="auto" w:fill="auto"/>
          </w:tcPr>
          <w:p w14:paraId="55569BC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C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Use of VaR as a ten-day-based regulatory capital measure of the market risk exposure of trading positions; </w:t>
            </w:r>
          </w:p>
        </w:tc>
      </w:tr>
    </w:tbl>
    <w:p w14:paraId="55569BC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258"/>
      </w:tblGrid>
      <w:tr w:rsidR="00F925DD" w14:paraId="55569BCC" w14:textId="77777777">
        <w:trPr>
          <w:tblCellSpacing w:w="0" w:type="dxa"/>
        </w:trPr>
        <w:tc>
          <w:tcPr>
            <w:tcW w:w="960" w:type="dxa"/>
            <w:shd w:val="clear" w:color="auto" w:fill="auto"/>
            <w:vAlign w:val="center"/>
          </w:tcPr>
          <w:p w14:paraId="55569BCA" w14:textId="77777777" w:rsidR="00F925DD" w:rsidRDefault="00F925DD">
            <w:pPr>
              <w:rPr>
                <w:rFonts w:ascii="Times New Roman" w:hAnsi="Times New Roman"/>
                <w:sz w:val="20"/>
                <w:szCs w:val="20"/>
              </w:rPr>
            </w:pPr>
          </w:p>
        </w:tc>
        <w:tc>
          <w:tcPr>
            <w:tcW w:w="0" w:type="auto"/>
            <w:shd w:val="clear" w:color="auto" w:fill="auto"/>
            <w:vAlign w:val="center"/>
          </w:tcPr>
          <w:p w14:paraId="55569BCB" w14:textId="77777777" w:rsidR="00F925DD" w:rsidRDefault="00F925DD">
            <w:pPr>
              <w:rPr>
                <w:rFonts w:ascii="Times New Roman" w:hAnsi="Times New Roman"/>
                <w:sz w:val="20"/>
                <w:szCs w:val="20"/>
              </w:rPr>
            </w:pPr>
          </w:p>
        </w:tc>
      </w:tr>
      <w:tr w:rsidR="00F925DD" w14:paraId="55569BCF" w14:textId="77777777">
        <w:trPr>
          <w:tblCellSpacing w:w="0" w:type="dxa"/>
        </w:trPr>
        <w:tc>
          <w:tcPr>
            <w:tcW w:w="0" w:type="auto"/>
            <w:shd w:val="clear" w:color="auto" w:fill="auto"/>
          </w:tcPr>
          <w:p w14:paraId="55569BC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C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Use of non-VaR-based limits and other controls; </w:t>
            </w:r>
          </w:p>
        </w:tc>
      </w:tr>
    </w:tbl>
    <w:p w14:paraId="55569BD0"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D3" w14:textId="77777777">
        <w:trPr>
          <w:tblCellSpacing w:w="0" w:type="dxa"/>
        </w:trPr>
        <w:tc>
          <w:tcPr>
            <w:tcW w:w="960" w:type="dxa"/>
            <w:shd w:val="clear" w:color="auto" w:fill="auto"/>
            <w:vAlign w:val="center"/>
          </w:tcPr>
          <w:p w14:paraId="55569BD1" w14:textId="77777777" w:rsidR="00F925DD" w:rsidRDefault="00F925DD">
            <w:pPr>
              <w:rPr>
                <w:rFonts w:ascii="Times New Roman" w:hAnsi="Times New Roman"/>
                <w:sz w:val="20"/>
                <w:szCs w:val="20"/>
              </w:rPr>
            </w:pPr>
          </w:p>
        </w:tc>
        <w:tc>
          <w:tcPr>
            <w:tcW w:w="0" w:type="auto"/>
            <w:shd w:val="clear" w:color="auto" w:fill="auto"/>
            <w:vAlign w:val="center"/>
          </w:tcPr>
          <w:p w14:paraId="55569BD2" w14:textId="77777777" w:rsidR="00F925DD" w:rsidRDefault="00F925DD">
            <w:pPr>
              <w:rPr>
                <w:rFonts w:ascii="Times New Roman" w:hAnsi="Times New Roman"/>
                <w:sz w:val="20"/>
                <w:szCs w:val="20"/>
              </w:rPr>
            </w:pPr>
          </w:p>
        </w:tc>
      </w:tr>
      <w:tr w:rsidR="00F925DD" w14:paraId="55569BD6" w14:textId="77777777">
        <w:trPr>
          <w:tblCellSpacing w:w="0" w:type="dxa"/>
        </w:trPr>
        <w:tc>
          <w:tcPr>
            <w:tcW w:w="0" w:type="auto"/>
            <w:shd w:val="clear" w:color="auto" w:fill="auto"/>
          </w:tcPr>
          <w:p w14:paraId="55569BD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D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Use of stressed-VaR models, stress-testing analysis and scenario analysis to support the trading market risk measurement and management process by assessing how portfolios and global business lines perform under extreme market conditions; </w:t>
            </w:r>
          </w:p>
        </w:tc>
      </w:tr>
    </w:tbl>
    <w:p w14:paraId="55569BD7"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DA" w14:textId="77777777">
        <w:trPr>
          <w:tblCellSpacing w:w="0" w:type="dxa"/>
        </w:trPr>
        <w:tc>
          <w:tcPr>
            <w:tcW w:w="960" w:type="dxa"/>
            <w:shd w:val="clear" w:color="auto" w:fill="auto"/>
            <w:vAlign w:val="center"/>
          </w:tcPr>
          <w:p w14:paraId="55569BD8" w14:textId="77777777" w:rsidR="00F925DD" w:rsidRDefault="00F925DD">
            <w:pPr>
              <w:rPr>
                <w:rFonts w:ascii="Times New Roman" w:hAnsi="Times New Roman"/>
                <w:sz w:val="20"/>
                <w:szCs w:val="20"/>
              </w:rPr>
            </w:pPr>
          </w:p>
        </w:tc>
        <w:tc>
          <w:tcPr>
            <w:tcW w:w="0" w:type="auto"/>
            <w:shd w:val="clear" w:color="auto" w:fill="auto"/>
            <w:vAlign w:val="center"/>
          </w:tcPr>
          <w:p w14:paraId="55569BD9" w14:textId="77777777" w:rsidR="00F925DD" w:rsidRDefault="00F925DD">
            <w:pPr>
              <w:rPr>
                <w:rFonts w:ascii="Times New Roman" w:hAnsi="Times New Roman"/>
                <w:sz w:val="20"/>
                <w:szCs w:val="20"/>
              </w:rPr>
            </w:pPr>
          </w:p>
        </w:tc>
      </w:tr>
      <w:tr w:rsidR="00F925DD" w14:paraId="55569BDD" w14:textId="77777777">
        <w:trPr>
          <w:tblCellSpacing w:w="0" w:type="dxa"/>
        </w:trPr>
        <w:tc>
          <w:tcPr>
            <w:tcW w:w="0" w:type="auto"/>
            <w:shd w:val="clear" w:color="auto" w:fill="auto"/>
          </w:tcPr>
          <w:p w14:paraId="55569BD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D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Use of back-testing as a diagnostic tool to assess the accuracy of VaR models and other risk management techniques; and </w:t>
            </w:r>
          </w:p>
        </w:tc>
      </w:tr>
    </w:tbl>
    <w:p w14:paraId="55569BD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BE1" w14:textId="77777777">
        <w:trPr>
          <w:tblCellSpacing w:w="0" w:type="dxa"/>
        </w:trPr>
        <w:tc>
          <w:tcPr>
            <w:tcW w:w="960" w:type="dxa"/>
            <w:shd w:val="clear" w:color="auto" w:fill="auto"/>
            <w:vAlign w:val="center"/>
          </w:tcPr>
          <w:p w14:paraId="55569BDF" w14:textId="77777777" w:rsidR="00F925DD" w:rsidRDefault="00F925DD">
            <w:pPr>
              <w:rPr>
                <w:rFonts w:ascii="Times New Roman" w:hAnsi="Times New Roman"/>
                <w:sz w:val="20"/>
                <w:szCs w:val="20"/>
              </w:rPr>
            </w:pPr>
          </w:p>
        </w:tc>
        <w:tc>
          <w:tcPr>
            <w:tcW w:w="0" w:type="auto"/>
            <w:shd w:val="clear" w:color="auto" w:fill="auto"/>
            <w:vAlign w:val="center"/>
          </w:tcPr>
          <w:p w14:paraId="55569BE0" w14:textId="77777777" w:rsidR="00F925DD" w:rsidRDefault="00F925DD">
            <w:pPr>
              <w:rPr>
                <w:rFonts w:ascii="Times New Roman" w:hAnsi="Times New Roman"/>
                <w:sz w:val="20"/>
                <w:szCs w:val="20"/>
              </w:rPr>
            </w:pPr>
          </w:p>
        </w:tc>
      </w:tr>
      <w:tr w:rsidR="00F925DD" w14:paraId="55569BE4" w14:textId="77777777">
        <w:trPr>
          <w:tblCellSpacing w:w="0" w:type="dxa"/>
        </w:trPr>
        <w:tc>
          <w:tcPr>
            <w:tcW w:w="0" w:type="auto"/>
            <w:shd w:val="clear" w:color="auto" w:fill="auto"/>
          </w:tcPr>
          <w:p w14:paraId="55569BE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BE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new product approval process that requires market risk teams to assess trading-related market risks and apply risk tolerance limits to proposed new products and business activities. </w:t>
            </w:r>
          </w:p>
        </w:tc>
      </w:tr>
    </w:tbl>
    <w:p w14:paraId="55569BE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our CAP to assess our overall capital and liquidity in relation</w:t>
      </w:r>
      <w:r>
        <w:rPr>
          <w:rFonts w:ascii="Arial" w:eastAsia="宋体" w:hAnsi="Arial" w:cs="Arial"/>
          <w:sz w:val="20"/>
          <w:szCs w:val="20"/>
        </w:rPr>
        <w:t xml:space="preserve"> to our risk profile and provide a comprehensive strategy for maintaining appropriate capital and liquidity levels. With respect to market risk associated with trading activities, our risk management and our calculations of regulatory capital are based pri</w:t>
      </w:r>
      <w:r>
        <w:rPr>
          <w:rFonts w:ascii="Arial" w:eastAsia="宋体" w:hAnsi="Arial" w:cs="Arial"/>
          <w:sz w:val="20"/>
          <w:szCs w:val="20"/>
        </w:rPr>
        <w:t xml:space="preserve">marily on our internal VaR models and stress testing analysis. As discussed in detail under “Value-at-Risk” below, VaR is measured daily by ERM. </w:t>
      </w:r>
    </w:p>
    <w:p w14:paraId="55569BE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TMRC oversees our market risk exposure in relation to limits established within our risk appetite framewor</w:t>
      </w:r>
      <w:r>
        <w:rPr>
          <w:rFonts w:ascii="Arial" w:eastAsia="宋体" w:hAnsi="Arial" w:cs="Arial"/>
          <w:sz w:val="20"/>
          <w:szCs w:val="20"/>
        </w:rPr>
        <w:t>k. These limits define threshold levels for VaR- and stressed VaR-based measures and are applicable to all trading positions subject to regulatory capital requirements. These limits are designed to prevent any undue concentration of market risk exposure, i</w:t>
      </w:r>
      <w:r>
        <w:rPr>
          <w:rFonts w:ascii="Arial" w:eastAsia="宋体" w:hAnsi="Arial" w:cs="Arial"/>
          <w:sz w:val="20"/>
          <w:szCs w:val="20"/>
        </w:rPr>
        <w:t xml:space="preserve">n light of the primarily non-proprietary nature of our trading activities. The risk appetite framework and associated limits are reviewed and approved by the Board's RC. </w:t>
      </w:r>
    </w:p>
    <w:p w14:paraId="55569BE7"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Covered Positions </w:t>
      </w:r>
    </w:p>
    <w:p w14:paraId="55569BE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trading positions are subject to regulatory market risk capita</w:t>
      </w:r>
      <w:r>
        <w:rPr>
          <w:rFonts w:ascii="Arial" w:eastAsia="宋体" w:hAnsi="Arial" w:cs="Arial"/>
          <w:sz w:val="20"/>
          <w:szCs w:val="20"/>
        </w:rPr>
        <w:t xml:space="preserve">l requirements if they meet the regulatory definition of a “covered position.” A covered position is generally defined by U.S. banking regulators as an on- or off-balance sheet position associated with the organization's trading activities that is free of </w:t>
      </w:r>
      <w:r>
        <w:rPr>
          <w:rFonts w:ascii="Arial" w:eastAsia="宋体" w:hAnsi="Arial" w:cs="Arial"/>
          <w:sz w:val="20"/>
          <w:szCs w:val="20"/>
        </w:rPr>
        <w:t xml:space="preserve">any restrictions on its tradability, but does not include intangible assets, certain credit derivatives recognized as guarantees and certain equity positions not publicly </w:t>
      </w:r>
    </w:p>
    <w:p w14:paraId="55569BE9" w14:textId="77777777" w:rsidR="00F925DD" w:rsidRDefault="00F925DD">
      <w:pPr>
        <w:rPr>
          <w:rFonts w:ascii="Times New Roman" w:hAnsi="Times New Roman"/>
          <w:sz w:val="20"/>
          <w:szCs w:val="20"/>
        </w:rPr>
      </w:pPr>
    </w:p>
    <w:p w14:paraId="55569BE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99</w:t>
      </w:r>
    </w:p>
    <w:p w14:paraId="55569BEB" w14:textId="77777777" w:rsidR="00F925DD" w:rsidRDefault="00F925DD">
      <w:pPr>
        <w:spacing w:line="288" w:lineRule="auto"/>
        <w:ind w:firstLine="600"/>
        <w:jc w:val="center"/>
        <w:rPr>
          <w:rFonts w:ascii="Times New Roman" w:hAnsi="Times New Roman"/>
          <w:sz w:val="18"/>
          <w:szCs w:val="18"/>
        </w:rPr>
      </w:pPr>
    </w:p>
    <w:p w14:paraId="55569BEC" w14:textId="77777777" w:rsidR="00F925DD" w:rsidRDefault="00E705D7">
      <w:r>
        <w:rPr>
          <w:rFonts w:ascii="Times New Roman" w:hAnsi="Times New Roman"/>
          <w:sz w:val="18"/>
          <w:szCs w:val="18"/>
        </w:rPr>
        <w:pict w14:anchorId="5557069D">
          <v:rect id="_x0000_i1123" style="width:415.3pt;height:1.5pt" o:hralign="center" o:hrstd="t" o:hr="t" fillcolor="#a0a0a0" stroked="f"/>
        </w:pict>
      </w:r>
    </w:p>
    <w:p w14:paraId="55569BE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MANAGEMENT’S DISCUSSION AND ANALYSIS OF </w:t>
      </w:r>
      <w:r>
        <w:rPr>
          <w:rFonts w:ascii="Arial" w:eastAsia="宋体" w:hAnsi="Arial" w:cs="Arial"/>
          <w:b/>
          <w:bCs/>
          <w:sz w:val="20"/>
          <w:szCs w:val="20"/>
        </w:rPr>
        <w:t>FINANCIAL CONDITION</w:t>
      </w:r>
    </w:p>
    <w:p w14:paraId="55569BE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BEF" w14:textId="77777777" w:rsidR="00F925DD" w:rsidRDefault="00F925DD">
      <w:pPr>
        <w:rPr>
          <w:rFonts w:ascii="Times New Roman" w:hAnsi="Times New Roman"/>
          <w:sz w:val="20"/>
          <w:szCs w:val="20"/>
        </w:rPr>
      </w:pPr>
    </w:p>
    <w:p w14:paraId="55569BF0"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traded. All FX and commodity positions are considered covered positions, regardless of the accounting treatment they receive. The identification of covered positions for inclusion in our market risk capital fr</w:t>
      </w:r>
      <w:r>
        <w:rPr>
          <w:rFonts w:ascii="Arial" w:eastAsia="宋体" w:hAnsi="Arial" w:cs="Arial"/>
          <w:sz w:val="20"/>
          <w:szCs w:val="20"/>
        </w:rPr>
        <w:t xml:space="preserve">amework is governed by our covered positions policy, which outlines the standards we use to determine whether a trading position is a covered position. </w:t>
      </w:r>
    </w:p>
    <w:p w14:paraId="55569BF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covered positions consist primarily of the trading portfolios held by our global markets business. </w:t>
      </w:r>
      <w:r>
        <w:rPr>
          <w:rFonts w:ascii="Arial" w:eastAsia="宋体" w:hAnsi="Arial" w:cs="Arial"/>
          <w:sz w:val="20"/>
          <w:szCs w:val="20"/>
        </w:rPr>
        <w:t>They also arise from certain positions held by our Global Treasury group. These trading positions include products such as foreign exchange spot, foreign exchange forwards, non-deliverable forwards, foreign exchange options, foreign exchange funding swaps,</w:t>
      </w:r>
      <w:r>
        <w:rPr>
          <w:rFonts w:ascii="Arial" w:eastAsia="宋体" w:hAnsi="Arial" w:cs="Arial"/>
          <w:sz w:val="20"/>
          <w:szCs w:val="20"/>
        </w:rPr>
        <w:t xml:space="preserve"> currency futures, financial futures and interest rate futures. New activities are analyzed to determine if the positions arising from such new activities meet the definition of a covered position and conform to our covered positions policy. This documente</w:t>
      </w:r>
      <w:r>
        <w:rPr>
          <w:rFonts w:ascii="Arial" w:eastAsia="宋体" w:hAnsi="Arial" w:cs="Arial"/>
          <w:sz w:val="20"/>
          <w:szCs w:val="20"/>
        </w:rPr>
        <w:t xml:space="preserve">d analysis, including any decisions with respect to market risk treatments, must receive approval from the TMRC. </w:t>
      </w:r>
    </w:p>
    <w:p w14:paraId="55569BF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spot rates, forward points, yield curves and discount factors imported from third-party sources to measure the value of our covered pos</w:t>
      </w:r>
      <w:r>
        <w:rPr>
          <w:rFonts w:ascii="Arial" w:eastAsia="宋体" w:hAnsi="Arial" w:cs="Arial"/>
          <w:sz w:val="20"/>
          <w:szCs w:val="20"/>
        </w:rPr>
        <w:t>itions, and we use such values to mark our covered positions to market on a daily basis. These values are subject to separate validation by us in order to evaluate reasonableness and consistency with market experience. The mark-to-market gain or loss on sp</w:t>
      </w:r>
      <w:r>
        <w:rPr>
          <w:rFonts w:ascii="Arial" w:eastAsia="宋体" w:hAnsi="Arial" w:cs="Arial"/>
          <w:sz w:val="20"/>
          <w:szCs w:val="20"/>
        </w:rPr>
        <w:t>ot transactions is calculated by applying the spot rate to the foreign currency principal and comparing the resultant base currency amount to the original transaction principal. The mark-to-market gain or loss on a forward foreign exchange contract or forw</w:t>
      </w:r>
      <w:r>
        <w:rPr>
          <w:rFonts w:ascii="Arial" w:eastAsia="宋体" w:hAnsi="Arial" w:cs="Arial"/>
          <w:sz w:val="20"/>
          <w:szCs w:val="20"/>
        </w:rPr>
        <w:t xml:space="preserve">ard cash flow contract is determined as the difference between the life-to-date (historical) value of the cash flow and the value of the cash flow at the inception of the transaction. The mark-to-market gain or loss on interest rate swaps is determined by </w:t>
      </w:r>
      <w:r>
        <w:rPr>
          <w:rFonts w:ascii="Arial" w:eastAsia="宋体" w:hAnsi="Arial" w:cs="Arial"/>
          <w:sz w:val="20"/>
          <w:szCs w:val="20"/>
        </w:rPr>
        <w:t>discounting the future cash flows from each leg of the swap transaction.</w:t>
      </w:r>
    </w:p>
    <w:p w14:paraId="55569BF3"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Value-at-Risk and Stressed VaR</w:t>
      </w:r>
    </w:p>
    <w:p w14:paraId="55569BF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a variety of risk measurement tools and methodologies, including VaR, which is an estimate of potential loss for a given period within a stated s</w:t>
      </w:r>
      <w:r>
        <w:rPr>
          <w:rFonts w:ascii="Arial" w:eastAsia="宋体" w:hAnsi="Arial" w:cs="Arial"/>
          <w:sz w:val="20"/>
          <w:szCs w:val="20"/>
        </w:rPr>
        <w:t>tatistical confidence interval. We use a risk measurement methodology to measure trading-related VaR daily. We have adopted standards for measuring trading-related VaR, and we maintain regulatory capital for market risk associated with our trading activiti</w:t>
      </w:r>
      <w:r>
        <w:rPr>
          <w:rFonts w:ascii="Arial" w:eastAsia="宋体" w:hAnsi="Arial" w:cs="Arial"/>
          <w:sz w:val="20"/>
          <w:szCs w:val="20"/>
        </w:rPr>
        <w:t xml:space="preserve">es in conformity with currently applicable bank regulatory market risk requirements. </w:t>
      </w:r>
    </w:p>
    <w:p w14:paraId="55569BF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utilize an internal VaR model to calculate our regulatory market risk capital requirements. We use a historical simulation model to calculate daily VaR- and stressed V</w:t>
      </w:r>
      <w:r>
        <w:rPr>
          <w:rFonts w:ascii="Arial" w:eastAsia="宋体" w:hAnsi="Arial" w:cs="Arial"/>
          <w:sz w:val="20"/>
          <w:szCs w:val="20"/>
        </w:rPr>
        <w:t xml:space="preserve">aR-based measures for our covered positions in conformity with regulatory requirements. </w:t>
      </w:r>
    </w:p>
    <w:p w14:paraId="55569BF6"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BF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Our VaR model seeks to capture identified material risk factors associated with our covered positions, including risks arising from market movements such as changes </w:t>
      </w:r>
      <w:r>
        <w:rPr>
          <w:rFonts w:ascii="Arial" w:eastAsia="宋体" w:hAnsi="Arial" w:cs="Arial"/>
          <w:sz w:val="20"/>
          <w:szCs w:val="20"/>
        </w:rPr>
        <w:t>in foreign exchange rates, interest rates and option-implied volatilities.</w:t>
      </w:r>
    </w:p>
    <w:p w14:paraId="55569BF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adopted standards and guidelines to value our covered positions which govern our VaR- and stressed VaR-based measures. Our regulatory VaR-based measure is calculated based o</w:t>
      </w:r>
      <w:r>
        <w:rPr>
          <w:rFonts w:ascii="Arial" w:eastAsia="宋体" w:hAnsi="Arial" w:cs="Arial"/>
          <w:sz w:val="20"/>
          <w:szCs w:val="20"/>
        </w:rPr>
        <w:t>n historical volatilities of market risk factors during a two-year observation period calibrated to a one-tail, 99% confidence interval and a ten-business-day holding period. We also use the same platform to calculate a one-tail, 99% confidence interval, o</w:t>
      </w:r>
      <w:r>
        <w:rPr>
          <w:rFonts w:ascii="Arial" w:eastAsia="宋体" w:hAnsi="Arial" w:cs="Arial"/>
          <w:sz w:val="20"/>
          <w:szCs w:val="20"/>
        </w:rPr>
        <w:t xml:space="preserve">ne-business-day VaR for internal risk management purposes. A 99% one-tail confidence interval implies that daily trading losses are not expected to exceed the estimated VaR more than 1% of the time, or less than three business days out of a year. </w:t>
      </w:r>
    </w:p>
    <w:p w14:paraId="55569BF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mark</w:t>
      </w:r>
      <w:r>
        <w:rPr>
          <w:rFonts w:ascii="Arial" w:eastAsia="宋体" w:hAnsi="Arial" w:cs="Arial"/>
          <w:sz w:val="20"/>
          <w:szCs w:val="20"/>
        </w:rPr>
        <w:t xml:space="preserve">et risk models, including our VaR model, are subject to change in connection with the governance, validation and back-testing processes described below. These models can change as a result of changes in our business activities, our historical experiences, </w:t>
      </w:r>
      <w:r>
        <w:rPr>
          <w:rFonts w:ascii="Arial" w:eastAsia="宋体" w:hAnsi="Arial" w:cs="Arial"/>
          <w:sz w:val="20"/>
          <w:szCs w:val="20"/>
        </w:rPr>
        <w:t>market forces and events, regulations and regulatory interpretations and other factors. In addition, the models are subject to continuing regulatory review and approval. Changes in our models may result in changes in our measurements of our market risk exp</w:t>
      </w:r>
      <w:r>
        <w:rPr>
          <w:rFonts w:ascii="Arial" w:eastAsia="宋体" w:hAnsi="Arial" w:cs="Arial"/>
          <w:sz w:val="20"/>
          <w:szCs w:val="20"/>
        </w:rPr>
        <w:t>osures, including VaR, and related measures, including regulatory capital. These changes could result in material changes in those risk measurements and related measures as calculated and compared from period to period.</w:t>
      </w:r>
    </w:p>
    <w:p w14:paraId="55569BF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calculate a stressed VaR-based me</w:t>
      </w:r>
      <w:r>
        <w:rPr>
          <w:rFonts w:ascii="Arial" w:eastAsia="宋体" w:hAnsi="Arial" w:cs="Arial"/>
          <w:sz w:val="20"/>
          <w:szCs w:val="20"/>
        </w:rPr>
        <w:t>asure using the same model we use to calculate VaR, but with model inputs calibrated to historical data from a range of continuous twelve-month periods that reflect significant financial stress. The stressed VaR model is designed to identify the second-wor</w:t>
      </w:r>
      <w:r>
        <w:rPr>
          <w:rFonts w:ascii="Arial" w:eastAsia="宋体" w:hAnsi="Arial" w:cs="Arial"/>
          <w:sz w:val="20"/>
          <w:szCs w:val="20"/>
        </w:rPr>
        <w:t xml:space="preserve">st outcome occurring in the worst continuous one-year rolling period since July 2007. This stressed VaR meets the regulatory requirement as the rolling ten-day period with an outcome that is worse than 99% of other outcomes during that twelve-month period </w:t>
      </w:r>
      <w:r>
        <w:rPr>
          <w:rFonts w:ascii="Arial" w:eastAsia="宋体" w:hAnsi="Arial" w:cs="Arial"/>
          <w:sz w:val="20"/>
          <w:szCs w:val="20"/>
        </w:rPr>
        <w:t>of financial stress. For each portfolio, the stress period is determined algorithmically by seeking the one-year time horizon that produces the largest ten-business-day VaR from within the available historical data. This historical data set includes the fi</w:t>
      </w:r>
      <w:r>
        <w:rPr>
          <w:rFonts w:ascii="Arial" w:eastAsia="宋体" w:hAnsi="Arial" w:cs="Arial"/>
          <w:sz w:val="20"/>
          <w:szCs w:val="20"/>
        </w:rPr>
        <w:t>nancial crisis of 2008, the highly volatile period surrounding the Eurozone sovereign debt crisis and the Standard &amp; Poor's downgrade of U.S. Treasury debt in August 2011. As the historical data set used to determine the stress period expands over time, fu</w:t>
      </w:r>
      <w:r>
        <w:rPr>
          <w:rFonts w:ascii="Arial" w:eastAsia="宋体" w:hAnsi="Arial" w:cs="Arial"/>
          <w:sz w:val="20"/>
          <w:szCs w:val="20"/>
        </w:rPr>
        <w:t>ture market stress events will be incorporated.</w:t>
      </w:r>
    </w:p>
    <w:p w14:paraId="55569BFB" w14:textId="77777777" w:rsidR="00F925DD" w:rsidRDefault="00F925DD">
      <w:pPr>
        <w:rPr>
          <w:rFonts w:ascii="Times New Roman" w:hAnsi="Times New Roman"/>
          <w:sz w:val="20"/>
          <w:szCs w:val="20"/>
        </w:rPr>
      </w:pPr>
    </w:p>
    <w:p w14:paraId="55569BF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100</w:t>
      </w:r>
    </w:p>
    <w:p w14:paraId="55569BFD" w14:textId="77777777" w:rsidR="00F925DD" w:rsidRDefault="00F925DD">
      <w:pPr>
        <w:spacing w:line="288" w:lineRule="auto"/>
        <w:ind w:firstLine="600"/>
        <w:jc w:val="center"/>
        <w:rPr>
          <w:rFonts w:ascii="Times New Roman" w:hAnsi="Times New Roman"/>
          <w:sz w:val="18"/>
          <w:szCs w:val="18"/>
        </w:rPr>
      </w:pPr>
    </w:p>
    <w:p w14:paraId="55569BFE" w14:textId="77777777" w:rsidR="00F925DD" w:rsidRDefault="00E705D7">
      <w:r>
        <w:rPr>
          <w:rFonts w:ascii="Times New Roman" w:hAnsi="Times New Roman"/>
          <w:sz w:val="18"/>
          <w:szCs w:val="18"/>
        </w:rPr>
        <w:pict w14:anchorId="5557069E">
          <v:rect id="_x0000_i1124" style="width:415.3pt;height:1.5pt" o:hralign="center" o:hrstd="t" o:hr="t" fillcolor="#a0a0a0" stroked="f"/>
        </w:pict>
      </w:r>
    </w:p>
    <w:p w14:paraId="55569BF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C0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C01" w14:textId="77777777" w:rsidR="00F925DD" w:rsidRDefault="00F925DD">
      <w:pPr>
        <w:rPr>
          <w:rFonts w:ascii="Times New Roman" w:hAnsi="Times New Roman"/>
          <w:sz w:val="20"/>
          <w:szCs w:val="20"/>
        </w:rPr>
      </w:pPr>
    </w:p>
    <w:p w14:paraId="55569C02"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Value-at-Risk Measures</w:t>
      </w:r>
    </w:p>
    <w:p w14:paraId="55569C0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VaR measures are based on the most recent two years of historical price movements for instruments and related risk factors to which we have exposure. The instruments in question are limited to foreign exchange spot, forward and options contracts and intere</w:t>
      </w:r>
      <w:r>
        <w:rPr>
          <w:rFonts w:ascii="Arial" w:eastAsia="宋体" w:hAnsi="Arial" w:cs="Arial"/>
          <w:sz w:val="20"/>
          <w:szCs w:val="20"/>
        </w:rPr>
        <w:t>st rate contracts, including futures and interest rate swaps. Historically, these instruments have exhibited a higher degree of liquidity relative to other available capital markets instruments. As a result, the VaR measures shown reflect our ability to ra</w:t>
      </w:r>
      <w:r>
        <w:rPr>
          <w:rFonts w:ascii="Arial" w:eastAsia="宋体" w:hAnsi="Arial" w:cs="Arial"/>
          <w:sz w:val="20"/>
          <w:szCs w:val="20"/>
        </w:rPr>
        <w:t>pidly adjust exposures in highly dynamic markets. For this reason, risk inventory, in the form of net open positions, across all currencies is typically limited. In addition, long and short positions in major, as well as minor, currencies provide risk offs</w:t>
      </w:r>
      <w:r>
        <w:rPr>
          <w:rFonts w:ascii="Arial" w:eastAsia="宋体" w:hAnsi="Arial" w:cs="Arial"/>
          <w:sz w:val="20"/>
          <w:szCs w:val="20"/>
        </w:rPr>
        <w:t xml:space="preserve">ets that limit our potential downside exposure. </w:t>
      </w:r>
    </w:p>
    <w:p w14:paraId="55569C0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VaR methodology uses a historical simulation approach based on market-observed changes in foreign exchange rates, U.S. and non-U.S. interest rates and implied volatilities, and incorporates the resulting</w:t>
      </w:r>
      <w:r>
        <w:rPr>
          <w:rFonts w:ascii="Arial" w:eastAsia="宋体" w:hAnsi="Arial" w:cs="Arial"/>
          <w:sz w:val="20"/>
          <w:szCs w:val="20"/>
        </w:rPr>
        <w:t xml:space="preserve"> diversification benefits provided from the mix of our trading positions. Our VaR model incorporates approximately 5,000 risk factors and includes correlations among currency, interest rates and other market rates.</w:t>
      </w:r>
    </w:p>
    <w:p w14:paraId="55569C0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All VaR measures are subject to </w:t>
      </w:r>
      <w:r>
        <w:rPr>
          <w:rFonts w:ascii="Arial" w:eastAsia="宋体" w:hAnsi="Arial" w:cs="Arial"/>
          <w:sz w:val="20"/>
          <w:szCs w:val="20"/>
        </w:rPr>
        <w:t>limitations and must be interpreted accordingly. Some, but not all, of the limitations of our VaR methodology include the following:</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C08" w14:textId="77777777">
        <w:trPr>
          <w:tblCellSpacing w:w="0" w:type="dxa"/>
        </w:trPr>
        <w:tc>
          <w:tcPr>
            <w:tcW w:w="960" w:type="dxa"/>
            <w:shd w:val="clear" w:color="auto" w:fill="auto"/>
            <w:vAlign w:val="center"/>
          </w:tcPr>
          <w:p w14:paraId="55569C06" w14:textId="77777777" w:rsidR="00F925DD" w:rsidRDefault="00F925DD">
            <w:pPr>
              <w:rPr>
                <w:rFonts w:ascii="Times New Roman" w:hAnsi="Times New Roman"/>
                <w:sz w:val="20"/>
                <w:szCs w:val="20"/>
              </w:rPr>
            </w:pPr>
          </w:p>
        </w:tc>
        <w:tc>
          <w:tcPr>
            <w:tcW w:w="0" w:type="auto"/>
            <w:shd w:val="clear" w:color="auto" w:fill="auto"/>
            <w:vAlign w:val="center"/>
          </w:tcPr>
          <w:p w14:paraId="55569C07" w14:textId="77777777" w:rsidR="00F925DD" w:rsidRDefault="00F925DD">
            <w:pPr>
              <w:rPr>
                <w:rFonts w:ascii="Times New Roman" w:hAnsi="Times New Roman"/>
                <w:sz w:val="20"/>
                <w:szCs w:val="20"/>
              </w:rPr>
            </w:pPr>
          </w:p>
        </w:tc>
      </w:tr>
      <w:tr w:rsidR="00F925DD" w14:paraId="55569C0B" w14:textId="77777777">
        <w:trPr>
          <w:tblCellSpacing w:w="0" w:type="dxa"/>
        </w:trPr>
        <w:tc>
          <w:tcPr>
            <w:tcW w:w="0" w:type="auto"/>
            <w:shd w:val="clear" w:color="auto" w:fill="auto"/>
          </w:tcPr>
          <w:p w14:paraId="55569C0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C0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Compared to a shorter observation period, a two-year observation period is slower to reflect increases in market volat</w:t>
            </w:r>
            <w:r>
              <w:rPr>
                <w:rFonts w:ascii="Arial" w:eastAsia="宋体" w:hAnsi="Arial" w:cs="Arial"/>
                <w:sz w:val="20"/>
                <w:szCs w:val="20"/>
              </w:rPr>
              <w:t>ility (although temporary increases in market volatility will affect the calculation of VaR for a longer period); consequently, in periods of sudden increases in volatility or increasing volatility, in each case relative to the prior two-year period, the c</w:t>
            </w:r>
            <w:r>
              <w:rPr>
                <w:rFonts w:ascii="Arial" w:eastAsia="宋体" w:hAnsi="Arial" w:cs="Arial"/>
                <w:sz w:val="20"/>
                <w:szCs w:val="20"/>
              </w:rPr>
              <w:t xml:space="preserve">alculation of VaR may understate current risk; </w:t>
            </w:r>
          </w:p>
        </w:tc>
      </w:tr>
    </w:tbl>
    <w:p w14:paraId="55569C0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C0F" w14:textId="77777777">
        <w:trPr>
          <w:tblCellSpacing w:w="0" w:type="dxa"/>
        </w:trPr>
        <w:tc>
          <w:tcPr>
            <w:tcW w:w="960" w:type="dxa"/>
            <w:shd w:val="clear" w:color="auto" w:fill="auto"/>
            <w:vAlign w:val="center"/>
          </w:tcPr>
          <w:p w14:paraId="55569C0D" w14:textId="77777777" w:rsidR="00F925DD" w:rsidRDefault="00F925DD">
            <w:pPr>
              <w:rPr>
                <w:rFonts w:ascii="Times New Roman" w:hAnsi="Times New Roman"/>
                <w:sz w:val="20"/>
                <w:szCs w:val="20"/>
              </w:rPr>
            </w:pPr>
          </w:p>
        </w:tc>
        <w:tc>
          <w:tcPr>
            <w:tcW w:w="0" w:type="auto"/>
            <w:shd w:val="clear" w:color="auto" w:fill="auto"/>
            <w:vAlign w:val="center"/>
          </w:tcPr>
          <w:p w14:paraId="55569C0E" w14:textId="77777777" w:rsidR="00F925DD" w:rsidRDefault="00F925DD">
            <w:pPr>
              <w:rPr>
                <w:rFonts w:ascii="Times New Roman" w:hAnsi="Times New Roman"/>
                <w:sz w:val="20"/>
                <w:szCs w:val="20"/>
              </w:rPr>
            </w:pPr>
          </w:p>
        </w:tc>
      </w:tr>
      <w:tr w:rsidR="00F925DD" w14:paraId="55569C12" w14:textId="77777777">
        <w:trPr>
          <w:tblCellSpacing w:w="0" w:type="dxa"/>
        </w:trPr>
        <w:tc>
          <w:tcPr>
            <w:tcW w:w="0" w:type="auto"/>
            <w:shd w:val="clear" w:color="auto" w:fill="auto"/>
          </w:tcPr>
          <w:p w14:paraId="55569C1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C1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Compared to a longer observation period, a two-year observation period may not reflect as many past periods of volatility in the markets, because such past volatility is no longer in the observation period; consequently, historical market scenarios of high</w:t>
            </w:r>
            <w:r>
              <w:rPr>
                <w:rFonts w:ascii="Arial" w:eastAsia="宋体" w:hAnsi="Arial" w:cs="Arial"/>
                <w:sz w:val="20"/>
                <w:szCs w:val="20"/>
              </w:rPr>
              <w:t xml:space="preserve"> volatility, even if similar to current or likely future market circumstances, may fall outside the two-year observation period, resulting in a potential understatement of current risk; </w:t>
            </w:r>
          </w:p>
        </w:tc>
      </w:tr>
    </w:tbl>
    <w:p w14:paraId="55569C1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C16" w14:textId="77777777">
        <w:trPr>
          <w:tblCellSpacing w:w="0" w:type="dxa"/>
        </w:trPr>
        <w:tc>
          <w:tcPr>
            <w:tcW w:w="960" w:type="dxa"/>
            <w:shd w:val="clear" w:color="auto" w:fill="auto"/>
            <w:vAlign w:val="center"/>
          </w:tcPr>
          <w:p w14:paraId="55569C14" w14:textId="77777777" w:rsidR="00F925DD" w:rsidRDefault="00F925DD">
            <w:pPr>
              <w:rPr>
                <w:rFonts w:ascii="Times New Roman" w:hAnsi="Times New Roman"/>
                <w:sz w:val="20"/>
                <w:szCs w:val="20"/>
              </w:rPr>
            </w:pPr>
          </w:p>
        </w:tc>
        <w:tc>
          <w:tcPr>
            <w:tcW w:w="0" w:type="auto"/>
            <w:shd w:val="clear" w:color="auto" w:fill="auto"/>
            <w:vAlign w:val="center"/>
          </w:tcPr>
          <w:p w14:paraId="55569C15" w14:textId="77777777" w:rsidR="00F925DD" w:rsidRDefault="00F925DD">
            <w:pPr>
              <w:rPr>
                <w:rFonts w:ascii="Times New Roman" w:hAnsi="Times New Roman"/>
                <w:sz w:val="20"/>
                <w:szCs w:val="20"/>
              </w:rPr>
            </w:pPr>
          </w:p>
        </w:tc>
      </w:tr>
      <w:tr w:rsidR="00F925DD" w14:paraId="55569C19" w14:textId="77777777">
        <w:trPr>
          <w:tblCellSpacing w:w="0" w:type="dxa"/>
        </w:trPr>
        <w:tc>
          <w:tcPr>
            <w:tcW w:w="0" w:type="auto"/>
            <w:shd w:val="clear" w:color="auto" w:fill="auto"/>
          </w:tcPr>
          <w:p w14:paraId="55569C1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C1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VaR-based measure is calibrated to a specified level of confidence and does not indicate the potential magnitude of losses beyond this confidence level; </w:t>
            </w:r>
          </w:p>
        </w:tc>
      </w:tr>
    </w:tbl>
    <w:p w14:paraId="55569C1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C1D" w14:textId="77777777">
        <w:trPr>
          <w:tblCellSpacing w:w="0" w:type="dxa"/>
        </w:trPr>
        <w:tc>
          <w:tcPr>
            <w:tcW w:w="960" w:type="dxa"/>
            <w:shd w:val="clear" w:color="auto" w:fill="auto"/>
            <w:vAlign w:val="center"/>
          </w:tcPr>
          <w:p w14:paraId="55569C1B" w14:textId="77777777" w:rsidR="00F925DD" w:rsidRDefault="00F925DD">
            <w:pPr>
              <w:rPr>
                <w:rFonts w:ascii="Times New Roman" w:hAnsi="Times New Roman"/>
                <w:sz w:val="20"/>
                <w:szCs w:val="20"/>
              </w:rPr>
            </w:pPr>
          </w:p>
        </w:tc>
        <w:tc>
          <w:tcPr>
            <w:tcW w:w="0" w:type="auto"/>
            <w:shd w:val="clear" w:color="auto" w:fill="auto"/>
            <w:vAlign w:val="center"/>
          </w:tcPr>
          <w:p w14:paraId="55569C1C" w14:textId="77777777" w:rsidR="00F925DD" w:rsidRDefault="00F925DD">
            <w:pPr>
              <w:rPr>
                <w:rFonts w:ascii="Times New Roman" w:hAnsi="Times New Roman"/>
                <w:sz w:val="20"/>
                <w:szCs w:val="20"/>
              </w:rPr>
            </w:pPr>
          </w:p>
        </w:tc>
      </w:tr>
      <w:tr w:rsidR="00F925DD" w14:paraId="55569C20" w14:textId="77777777">
        <w:trPr>
          <w:tblCellSpacing w:w="0" w:type="dxa"/>
        </w:trPr>
        <w:tc>
          <w:tcPr>
            <w:tcW w:w="0" w:type="auto"/>
            <w:shd w:val="clear" w:color="auto" w:fill="auto"/>
          </w:tcPr>
          <w:p w14:paraId="55569C1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C1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In certain cases, VaR-based measures approximate the impact of changes in risk factors on t</w:t>
            </w:r>
            <w:r>
              <w:rPr>
                <w:rFonts w:ascii="Arial" w:eastAsia="宋体" w:hAnsi="Arial" w:cs="Arial"/>
                <w:sz w:val="20"/>
                <w:szCs w:val="20"/>
              </w:rPr>
              <w:t xml:space="preserve">he values of positions and portfolios; this may happen because the number of inputs </w:t>
            </w:r>
          </w:p>
        </w:tc>
      </w:tr>
    </w:tbl>
    <w:p w14:paraId="55569C21"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C2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included in the VaR model is necessarily limited; for example, yield curve risk factors do not exist for all future dates;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C25" w14:textId="77777777">
        <w:trPr>
          <w:tblCellSpacing w:w="0" w:type="dxa"/>
        </w:trPr>
        <w:tc>
          <w:tcPr>
            <w:tcW w:w="960" w:type="dxa"/>
            <w:shd w:val="clear" w:color="auto" w:fill="auto"/>
            <w:vAlign w:val="center"/>
          </w:tcPr>
          <w:p w14:paraId="55569C23" w14:textId="77777777" w:rsidR="00F925DD" w:rsidRDefault="00F925DD">
            <w:pPr>
              <w:rPr>
                <w:rFonts w:ascii="Times New Roman" w:hAnsi="Times New Roman"/>
                <w:sz w:val="20"/>
                <w:szCs w:val="20"/>
              </w:rPr>
            </w:pPr>
          </w:p>
        </w:tc>
        <w:tc>
          <w:tcPr>
            <w:tcW w:w="0" w:type="auto"/>
            <w:shd w:val="clear" w:color="auto" w:fill="auto"/>
            <w:vAlign w:val="center"/>
          </w:tcPr>
          <w:p w14:paraId="55569C24" w14:textId="77777777" w:rsidR="00F925DD" w:rsidRDefault="00F925DD">
            <w:pPr>
              <w:rPr>
                <w:rFonts w:ascii="Times New Roman" w:hAnsi="Times New Roman"/>
                <w:sz w:val="20"/>
                <w:szCs w:val="20"/>
              </w:rPr>
            </w:pPr>
          </w:p>
        </w:tc>
      </w:tr>
      <w:tr w:rsidR="00F925DD" w14:paraId="55569C28" w14:textId="77777777">
        <w:trPr>
          <w:tblCellSpacing w:w="0" w:type="dxa"/>
        </w:trPr>
        <w:tc>
          <w:tcPr>
            <w:tcW w:w="0" w:type="auto"/>
            <w:shd w:val="clear" w:color="auto" w:fill="auto"/>
          </w:tcPr>
          <w:p w14:paraId="55569C2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C2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use of historical market information may not be predictive of future events, particularly those that are extreme in nature;</w:t>
            </w:r>
            <w:r>
              <w:rPr>
                <w:rFonts w:ascii="Arial" w:eastAsia="宋体" w:hAnsi="Arial" w:cs="Arial"/>
                <w:sz w:val="20"/>
                <w:szCs w:val="20"/>
              </w:rPr>
              <w:t xml:space="preserve"> this “backward-looking” limitation can cause VaR to understate or overstate risk; </w:t>
            </w:r>
          </w:p>
        </w:tc>
      </w:tr>
    </w:tbl>
    <w:p w14:paraId="55569C2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C2C" w14:textId="77777777">
        <w:trPr>
          <w:tblCellSpacing w:w="0" w:type="dxa"/>
        </w:trPr>
        <w:tc>
          <w:tcPr>
            <w:tcW w:w="960" w:type="dxa"/>
            <w:shd w:val="clear" w:color="auto" w:fill="auto"/>
            <w:vAlign w:val="center"/>
          </w:tcPr>
          <w:p w14:paraId="55569C2A" w14:textId="77777777" w:rsidR="00F925DD" w:rsidRDefault="00F925DD">
            <w:pPr>
              <w:rPr>
                <w:rFonts w:ascii="Times New Roman" w:hAnsi="Times New Roman"/>
                <w:sz w:val="20"/>
                <w:szCs w:val="20"/>
              </w:rPr>
            </w:pPr>
          </w:p>
        </w:tc>
        <w:tc>
          <w:tcPr>
            <w:tcW w:w="0" w:type="auto"/>
            <w:shd w:val="clear" w:color="auto" w:fill="auto"/>
            <w:vAlign w:val="center"/>
          </w:tcPr>
          <w:p w14:paraId="55569C2B" w14:textId="77777777" w:rsidR="00F925DD" w:rsidRDefault="00F925DD">
            <w:pPr>
              <w:rPr>
                <w:rFonts w:ascii="Times New Roman" w:hAnsi="Times New Roman"/>
                <w:sz w:val="20"/>
                <w:szCs w:val="20"/>
              </w:rPr>
            </w:pPr>
          </w:p>
        </w:tc>
      </w:tr>
      <w:tr w:rsidR="00F925DD" w14:paraId="55569C2F" w14:textId="77777777">
        <w:trPr>
          <w:tblCellSpacing w:w="0" w:type="dxa"/>
        </w:trPr>
        <w:tc>
          <w:tcPr>
            <w:tcW w:w="0" w:type="auto"/>
            <w:shd w:val="clear" w:color="auto" w:fill="auto"/>
          </w:tcPr>
          <w:p w14:paraId="55569C2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C2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effect of extreme and rare market movements is difficult to estimate; this may result from non-linear risk sensitivities as well as the potential for actual volatility and correlation levels to differ from assumptions implicit in the VaR calculations; </w:t>
            </w:r>
            <w:r>
              <w:rPr>
                <w:rFonts w:ascii="Arial" w:eastAsia="宋体" w:hAnsi="Arial" w:cs="Arial"/>
                <w:sz w:val="20"/>
                <w:szCs w:val="20"/>
              </w:rPr>
              <w:t xml:space="preserve">and </w:t>
            </w:r>
          </w:p>
        </w:tc>
      </w:tr>
    </w:tbl>
    <w:p w14:paraId="55569C30"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579"/>
      </w:tblGrid>
      <w:tr w:rsidR="00F925DD" w14:paraId="55569C33" w14:textId="77777777">
        <w:trPr>
          <w:tblCellSpacing w:w="0" w:type="dxa"/>
        </w:trPr>
        <w:tc>
          <w:tcPr>
            <w:tcW w:w="960" w:type="dxa"/>
            <w:shd w:val="clear" w:color="auto" w:fill="auto"/>
            <w:vAlign w:val="center"/>
          </w:tcPr>
          <w:p w14:paraId="55569C31" w14:textId="77777777" w:rsidR="00F925DD" w:rsidRDefault="00F925DD">
            <w:pPr>
              <w:rPr>
                <w:rFonts w:ascii="Times New Roman" w:hAnsi="Times New Roman"/>
                <w:sz w:val="20"/>
                <w:szCs w:val="20"/>
              </w:rPr>
            </w:pPr>
          </w:p>
        </w:tc>
        <w:tc>
          <w:tcPr>
            <w:tcW w:w="0" w:type="auto"/>
            <w:shd w:val="clear" w:color="auto" w:fill="auto"/>
            <w:vAlign w:val="center"/>
          </w:tcPr>
          <w:p w14:paraId="55569C32" w14:textId="77777777" w:rsidR="00F925DD" w:rsidRDefault="00F925DD">
            <w:pPr>
              <w:rPr>
                <w:rFonts w:ascii="Times New Roman" w:hAnsi="Times New Roman"/>
                <w:sz w:val="20"/>
                <w:szCs w:val="20"/>
              </w:rPr>
            </w:pPr>
          </w:p>
        </w:tc>
      </w:tr>
      <w:tr w:rsidR="00F925DD" w14:paraId="55569C36" w14:textId="77777777">
        <w:trPr>
          <w:tblCellSpacing w:w="0" w:type="dxa"/>
        </w:trPr>
        <w:tc>
          <w:tcPr>
            <w:tcW w:w="0" w:type="auto"/>
            <w:shd w:val="clear" w:color="auto" w:fill="auto"/>
          </w:tcPr>
          <w:p w14:paraId="55569C3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C3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Intra-day risk is not captured. </w:t>
            </w:r>
          </w:p>
        </w:tc>
      </w:tr>
    </w:tbl>
    <w:p w14:paraId="55569C37"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Stress Testing</w:t>
      </w:r>
    </w:p>
    <w:p w14:paraId="55569C3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have a corporate-wide stress testing program in place that incorporates an array of techniques to measure the potential loss we could suffer in a hypothetical scenario of adverse economic and financial conditions. We also monitor concentrations of risk </w:t>
      </w:r>
      <w:r>
        <w:rPr>
          <w:rFonts w:ascii="Arial" w:eastAsia="宋体" w:hAnsi="Arial" w:cs="Arial"/>
          <w:sz w:val="20"/>
          <w:szCs w:val="20"/>
        </w:rPr>
        <w:t>such as concentration by branch, risk component, and currency pairs. We conduct stress testing on a daily basis based on selected historical stress events that are relevant to our positions in order to estimate the potential impact to our current portfolio</w:t>
      </w:r>
      <w:r>
        <w:rPr>
          <w:rFonts w:ascii="Arial" w:eastAsia="宋体" w:hAnsi="Arial" w:cs="Arial"/>
          <w:sz w:val="20"/>
          <w:szCs w:val="20"/>
        </w:rPr>
        <w:t xml:space="preserve"> should similar market conditions recur, and we also perform stress testing as part of the Federal Reserve's CCAR process. Stress testing is conducted, analyzed and reported at the corporate, trading desk, division and risk-factor level (for example, excha</w:t>
      </w:r>
      <w:r>
        <w:rPr>
          <w:rFonts w:ascii="Arial" w:eastAsia="宋体" w:hAnsi="Arial" w:cs="Arial"/>
          <w:sz w:val="20"/>
          <w:szCs w:val="20"/>
        </w:rPr>
        <w:t xml:space="preserve">nge risk, interest rate risk and volatility risk). </w:t>
      </w:r>
    </w:p>
    <w:p w14:paraId="55569C3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Stress testing results and limits are actively monitored on a daily basis by ERM and reported to the TMRC. Limit breaches are addressed by ERM risk managers in conjunction with the business units, escalat</w:t>
      </w:r>
      <w:r>
        <w:rPr>
          <w:rFonts w:ascii="Arial" w:eastAsia="宋体" w:hAnsi="Arial" w:cs="Arial"/>
          <w:sz w:val="20"/>
          <w:szCs w:val="20"/>
        </w:rPr>
        <w:t>ed as appropriate, and reviewed by the TMRC if material. In addition, we have established several action triggers that prompt immediate review by management and the implementation of a remediation plan.</w:t>
      </w:r>
    </w:p>
    <w:p w14:paraId="55569C3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perform scenario analysis daily based on </w:t>
      </w:r>
      <w:r>
        <w:rPr>
          <w:rFonts w:ascii="Arial" w:eastAsia="宋体" w:hAnsi="Arial" w:cs="Arial"/>
          <w:sz w:val="20"/>
          <w:szCs w:val="20"/>
        </w:rPr>
        <w:t>selected historical stress events that are relevant to our positions in order to estimate the potential impact to our current portfolio should similar market conditions recur. Relevant scenarios are chosen from an inventory of historical financial stresses</w:t>
      </w:r>
      <w:r>
        <w:rPr>
          <w:rFonts w:ascii="Arial" w:eastAsia="宋体" w:hAnsi="Arial" w:cs="Arial"/>
          <w:sz w:val="20"/>
          <w:szCs w:val="20"/>
        </w:rPr>
        <w:t xml:space="preserve"> and applied to our current portfolio. These historical event scenarios involve spot foreign exchange, credit, equity, unforeseen geo-political events and natural disasters, and government and central bank intervention scenarios. Examples of the specific h</w:t>
      </w:r>
      <w:r>
        <w:rPr>
          <w:rFonts w:ascii="Arial" w:eastAsia="宋体" w:hAnsi="Arial" w:cs="Arial"/>
          <w:sz w:val="20"/>
          <w:szCs w:val="20"/>
        </w:rPr>
        <w:t>istorical scenarios we incorporate in our stress testing program may include the Asian financial crisis of 1997, the September 11, 2001 terrorist attacks in the U.S. and the 2008 financial crisis. We continue to update our inventory of historical stress sc</w:t>
      </w:r>
      <w:r>
        <w:rPr>
          <w:rFonts w:ascii="Arial" w:eastAsia="宋体" w:hAnsi="Arial" w:cs="Arial"/>
          <w:sz w:val="20"/>
          <w:szCs w:val="20"/>
        </w:rPr>
        <w:t>enarios as new stress conditions emerge in the financial markets.</w:t>
      </w:r>
    </w:p>
    <w:p w14:paraId="55569C3B" w14:textId="77777777" w:rsidR="00F925DD" w:rsidRDefault="00F925DD">
      <w:pPr>
        <w:rPr>
          <w:rFonts w:ascii="Times New Roman" w:hAnsi="Times New Roman"/>
          <w:sz w:val="20"/>
          <w:szCs w:val="20"/>
        </w:rPr>
      </w:pPr>
    </w:p>
    <w:p w14:paraId="55569C3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101</w:t>
      </w:r>
    </w:p>
    <w:p w14:paraId="55569C3D" w14:textId="77777777" w:rsidR="00F925DD" w:rsidRDefault="00F925DD">
      <w:pPr>
        <w:spacing w:line="288" w:lineRule="auto"/>
        <w:ind w:firstLine="600"/>
        <w:jc w:val="center"/>
        <w:rPr>
          <w:rFonts w:ascii="Times New Roman" w:hAnsi="Times New Roman"/>
          <w:sz w:val="18"/>
          <w:szCs w:val="18"/>
        </w:rPr>
      </w:pPr>
    </w:p>
    <w:p w14:paraId="55569C3E" w14:textId="77777777" w:rsidR="00F925DD" w:rsidRDefault="00E705D7">
      <w:r>
        <w:rPr>
          <w:rFonts w:ascii="Times New Roman" w:hAnsi="Times New Roman"/>
          <w:sz w:val="18"/>
          <w:szCs w:val="18"/>
        </w:rPr>
        <w:pict w14:anchorId="5557069F">
          <v:rect id="_x0000_i1125" style="width:415.3pt;height:1.5pt" o:hralign="center" o:hrstd="t" o:hr="t" fillcolor="#a0a0a0" stroked="f"/>
        </w:pict>
      </w:r>
    </w:p>
    <w:p w14:paraId="55569C3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C4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C41" w14:textId="77777777" w:rsidR="00F925DD" w:rsidRDefault="00F925DD">
      <w:pPr>
        <w:rPr>
          <w:rFonts w:ascii="Times New Roman" w:hAnsi="Times New Roman"/>
          <w:sz w:val="20"/>
          <w:szCs w:val="20"/>
        </w:rPr>
      </w:pPr>
    </w:p>
    <w:p w14:paraId="55569C4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each of the historical stress events is associated with a different time horizon, we normalize results by scaling down the longer horizon events to a ten-day horizon and keeping the shorter horizon events (i.e., events that are shorter than ten days) at</w:t>
      </w:r>
      <w:r>
        <w:rPr>
          <w:rFonts w:ascii="Arial" w:eastAsia="宋体" w:hAnsi="Arial" w:cs="Arial"/>
          <w:sz w:val="20"/>
          <w:szCs w:val="20"/>
        </w:rPr>
        <w:t xml:space="preserve"> their original terms. We also conduct sensitivity analysis daily to calculate the impact of a large predefined shock in a specific risk factor or a group of risk factors on our current portfolio. These predefined shocks include parallel and non-parallel y</w:t>
      </w:r>
      <w:r>
        <w:rPr>
          <w:rFonts w:ascii="Arial" w:eastAsia="宋体" w:hAnsi="Arial" w:cs="Arial"/>
          <w:sz w:val="20"/>
          <w:szCs w:val="20"/>
        </w:rPr>
        <w:t>ield curve shifts and foreign exchange spot and volatility surface shifts. In a parallel shift scenario, we apply a constant factor shift across all yield curve tenors. In a non-parallel shift scenario, we apply different shock levels to different tenors o</w:t>
      </w:r>
      <w:r>
        <w:rPr>
          <w:rFonts w:ascii="Arial" w:eastAsia="宋体" w:hAnsi="Arial" w:cs="Arial"/>
          <w:sz w:val="20"/>
          <w:szCs w:val="20"/>
        </w:rPr>
        <w:t xml:space="preserve">f a yield curve, rather than shifting the entire curve by a constant amount. Non-parallel shifts include steepening, flattening and butterflies. </w:t>
      </w:r>
    </w:p>
    <w:p w14:paraId="55569C43"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Validation and Back-Testing</w:t>
      </w:r>
    </w:p>
    <w:p w14:paraId="55569C4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perform frequent back-testing to assess the accuracy of our VaR-based model in </w:t>
      </w:r>
      <w:r>
        <w:rPr>
          <w:rFonts w:ascii="Arial" w:eastAsia="宋体" w:hAnsi="Arial" w:cs="Arial"/>
          <w:sz w:val="20"/>
          <w:szCs w:val="20"/>
        </w:rPr>
        <w:t>estimating loss at the stated confidence level. This back-testing involves the comparison of estimated VaR model outputs to daily, actual profit-and-loss (P&amp;L) outcomes observed from daily market movements. We back-test our VaR model using “clean” P&amp;L, whi</w:t>
      </w:r>
      <w:r>
        <w:rPr>
          <w:rFonts w:ascii="Arial" w:eastAsia="宋体" w:hAnsi="Arial" w:cs="Arial"/>
          <w:sz w:val="20"/>
          <w:szCs w:val="20"/>
        </w:rPr>
        <w:t xml:space="preserve">ch excludes non-trading revenue such as fees, commissions and NII, as well as estimated revenue from intra-day trading. </w:t>
      </w:r>
    </w:p>
    <w:p w14:paraId="55569C4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VaR definition of trading losses excludes items that are not specific to the price movement of the trading assets and liabilities t</w:t>
      </w:r>
      <w:r>
        <w:rPr>
          <w:rFonts w:ascii="Arial" w:eastAsia="宋体" w:hAnsi="Arial" w:cs="Arial"/>
          <w:sz w:val="20"/>
          <w:szCs w:val="20"/>
        </w:rPr>
        <w:t>hemselves, such as fees, commissions, changes to reserves and gains or losses from intra-day activity.</w:t>
      </w:r>
    </w:p>
    <w:p w14:paraId="55569C4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experienced two back-testing exceptions in 2019 and four back-testing exceptions in 2018. At 99% confidence interval, the statistical expectation for </w:t>
      </w:r>
      <w:r>
        <w:rPr>
          <w:rFonts w:ascii="Arial" w:eastAsia="宋体" w:hAnsi="Arial" w:cs="Arial"/>
          <w:sz w:val="20"/>
          <w:szCs w:val="20"/>
        </w:rPr>
        <w:t>a VaR model is to witness one exception every hundred trading days (or two to three exceptions per year). The 2019 back-testing exceptions are therefore within statistical expectation. In 2018 heightened volatility followed a longer period of relatively be</w:t>
      </w:r>
      <w:r>
        <w:rPr>
          <w:rFonts w:ascii="Arial" w:eastAsia="宋体" w:hAnsi="Arial" w:cs="Arial"/>
          <w:sz w:val="20"/>
          <w:szCs w:val="20"/>
        </w:rPr>
        <w:t>nign market conditions that saw the Volatility Index routinely register as little as 10% or less. Following such periods, it is quite common for VaR models calibrated to the most recent two years of data to underestimate the trading gains or losses that ar</w:t>
      </w:r>
      <w:r>
        <w:rPr>
          <w:rFonts w:ascii="Arial" w:eastAsia="宋体" w:hAnsi="Arial" w:cs="Arial"/>
          <w:sz w:val="20"/>
          <w:szCs w:val="20"/>
        </w:rPr>
        <w:t xml:space="preserve">e experienced as volatility trends above levels that were seen more recently. </w:t>
      </w:r>
    </w:p>
    <w:p w14:paraId="55569C4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model validation process also evaluates the integrity of our VaR models through the use of regular outcome analysis. This outcome analysis includes back-testing, which compa</w:t>
      </w:r>
      <w:r>
        <w:rPr>
          <w:rFonts w:ascii="Arial" w:eastAsia="宋体" w:hAnsi="Arial" w:cs="Arial"/>
          <w:sz w:val="20"/>
          <w:szCs w:val="20"/>
        </w:rPr>
        <w:t xml:space="preserve">res the VaR model's predictions to actual outcomes using out-of-sample information. Consistent with regulatory guidance, the back-testing compared “clean” P&amp;L, defined above, with the one-day VaR produced by the model. The back-testing was performed for a </w:t>
      </w:r>
      <w:r>
        <w:rPr>
          <w:rFonts w:ascii="Arial" w:eastAsia="宋体" w:hAnsi="Arial" w:cs="Arial"/>
          <w:sz w:val="20"/>
          <w:szCs w:val="20"/>
        </w:rPr>
        <w:t xml:space="preserve">time period not used for model development. The number of occurrences where “clean” trading-book P&amp;L exceeded the one-day VaR was within our expected VaR tolerance level. </w:t>
      </w:r>
    </w:p>
    <w:p w14:paraId="55569C48"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Market Risk Reporting</w:t>
      </w:r>
    </w:p>
    <w:p w14:paraId="55569C4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ERM market risk management group is responsible for market</w:t>
      </w:r>
      <w:r>
        <w:rPr>
          <w:rFonts w:ascii="Arial" w:eastAsia="宋体" w:hAnsi="Arial" w:cs="Arial"/>
          <w:sz w:val="20"/>
          <w:szCs w:val="20"/>
        </w:rPr>
        <w:t xml:space="preserve"> risk monitoring and reporting. We use a variety of systems and controlled market feeds from third-party services to compile data for several daily, weekly and monthly management reports.</w:t>
      </w:r>
    </w:p>
    <w:p w14:paraId="55569C4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VaR and stressed VaR associated with ou</w:t>
      </w:r>
      <w:r>
        <w:rPr>
          <w:rFonts w:ascii="Arial" w:eastAsia="宋体" w:hAnsi="Arial" w:cs="Arial"/>
          <w:sz w:val="20"/>
          <w:szCs w:val="20"/>
        </w:rPr>
        <w:t>r trading activities for covered positions held during the years ended December 31, 2019 and 2018, respectively, as measured by our VaR methodology. Diversification effect in the tables below represents the difference between total VaR and the sum of the V</w:t>
      </w:r>
      <w:r>
        <w:rPr>
          <w:rFonts w:ascii="Arial" w:eastAsia="宋体" w:hAnsi="Arial" w:cs="Arial"/>
          <w:sz w:val="20"/>
          <w:szCs w:val="20"/>
        </w:rPr>
        <w:t>aRs for each trading activity. This effect arises because the risks present in our trading activities are not perfectly correlated.</w:t>
      </w:r>
    </w:p>
    <w:tbl>
      <w:tblPr>
        <w:tblW w:w="5000" w:type="pct"/>
        <w:tblCellMar>
          <w:left w:w="0" w:type="dxa"/>
          <w:right w:w="0" w:type="dxa"/>
        </w:tblCellMar>
        <w:tblLook w:val="04A0" w:firstRow="1" w:lastRow="0" w:firstColumn="1" w:lastColumn="0" w:noHBand="0" w:noVBand="1"/>
      </w:tblPr>
      <w:tblGrid>
        <w:gridCol w:w="1014"/>
        <w:gridCol w:w="124"/>
        <w:gridCol w:w="561"/>
        <w:gridCol w:w="90"/>
        <w:gridCol w:w="130"/>
        <w:gridCol w:w="124"/>
        <w:gridCol w:w="575"/>
        <w:gridCol w:w="90"/>
        <w:gridCol w:w="130"/>
        <w:gridCol w:w="125"/>
        <w:gridCol w:w="617"/>
        <w:gridCol w:w="90"/>
        <w:gridCol w:w="130"/>
        <w:gridCol w:w="125"/>
        <w:gridCol w:w="592"/>
        <w:gridCol w:w="90"/>
        <w:gridCol w:w="130"/>
        <w:gridCol w:w="124"/>
        <w:gridCol w:w="536"/>
        <w:gridCol w:w="90"/>
        <w:gridCol w:w="130"/>
        <w:gridCol w:w="124"/>
        <w:gridCol w:w="576"/>
        <w:gridCol w:w="90"/>
        <w:gridCol w:w="130"/>
        <w:gridCol w:w="125"/>
        <w:gridCol w:w="617"/>
        <w:gridCol w:w="90"/>
        <w:gridCol w:w="130"/>
        <w:gridCol w:w="125"/>
        <w:gridCol w:w="592"/>
        <w:gridCol w:w="90"/>
      </w:tblGrid>
      <w:tr w:rsidR="00F925DD" w14:paraId="55569C4C" w14:textId="77777777">
        <w:tc>
          <w:tcPr>
            <w:tcW w:w="0" w:type="auto"/>
            <w:gridSpan w:val="32"/>
            <w:shd w:val="clear" w:color="auto" w:fill="auto"/>
            <w:vAlign w:val="center"/>
          </w:tcPr>
          <w:p w14:paraId="55569C4B" w14:textId="77777777" w:rsidR="00F925DD" w:rsidRDefault="00F925DD">
            <w:pPr>
              <w:rPr>
                <w:rFonts w:ascii="Times New Roman" w:hAnsi="Times New Roman"/>
                <w:sz w:val="20"/>
                <w:szCs w:val="20"/>
              </w:rPr>
            </w:pPr>
          </w:p>
        </w:tc>
      </w:tr>
      <w:tr w:rsidR="00F925DD" w14:paraId="55569C6D" w14:textId="77777777">
        <w:tc>
          <w:tcPr>
            <w:tcW w:w="650" w:type="pct"/>
            <w:shd w:val="clear" w:color="auto" w:fill="auto"/>
            <w:vAlign w:val="center"/>
          </w:tcPr>
          <w:p w14:paraId="55569C4D" w14:textId="77777777" w:rsidR="00F925DD" w:rsidRDefault="00F925DD">
            <w:pPr>
              <w:rPr>
                <w:rFonts w:ascii="Times New Roman" w:hAnsi="Times New Roman"/>
                <w:sz w:val="20"/>
                <w:szCs w:val="20"/>
              </w:rPr>
            </w:pPr>
          </w:p>
        </w:tc>
        <w:tc>
          <w:tcPr>
            <w:tcW w:w="50" w:type="pct"/>
            <w:shd w:val="clear" w:color="auto" w:fill="auto"/>
            <w:vAlign w:val="center"/>
          </w:tcPr>
          <w:p w14:paraId="55569C4E" w14:textId="77777777" w:rsidR="00F925DD" w:rsidRDefault="00F925DD">
            <w:pPr>
              <w:rPr>
                <w:rFonts w:ascii="Times New Roman" w:hAnsi="Times New Roman"/>
                <w:sz w:val="20"/>
                <w:szCs w:val="20"/>
              </w:rPr>
            </w:pPr>
          </w:p>
        </w:tc>
        <w:tc>
          <w:tcPr>
            <w:tcW w:w="400" w:type="pct"/>
            <w:shd w:val="clear" w:color="auto" w:fill="auto"/>
            <w:vAlign w:val="center"/>
          </w:tcPr>
          <w:p w14:paraId="55569C4F" w14:textId="77777777" w:rsidR="00F925DD" w:rsidRDefault="00F925DD">
            <w:pPr>
              <w:rPr>
                <w:rFonts w:ascii="Times New Roman" w:hAnsi="Times New Roman"/>
                <w:sz w:val="20"/>
                <w:szCs w:val="20"/>
              </w:rPr>
            </w:pPr>
          </w:p>
        </w:tc>
        <w:tc>
          <w:tcPr>
            <w:tcW w:w="50" w:type="pct"/>
            <w:shd w:val="clear" w:color="auto" w:fill="auto"/>
            <w:vAlign w:val="center"/>
          </w:tcPr>
          <w:p w14:paraId="55569C50" w14:textId="77777777" w:rsidR="00F925DD" w:rsidRDefault="00F925DD">
            <w:pPr>
              <w:rPr>
                <w:rFonts w:ascii="Times New Roman" w:hAnsi="Times New Roman"/>
                <w:sz w:val="20"/>
                <w:szCs w:val="20"/>
              </w:rPr>
            </w:pPr>
          </w:p>
        </w:tc>
        <w:tc>
          <w:tcPr>
            <w:tcW w:w="50" w:type="pct"/>
            <w:shd w:val="clear" w:color="auto" w:fill="auto"/>
            <w:vAlign w:val="center"/>
          </w:tcPr>
          <w:p w14:paraId="55569C51" w14:textId="77777777" w:rsidR="00F925DD" w:rsidRDefault="00F925DD">
            <w:pPr>
              <w:rPr>
                <w:rFonts w:ascii="Times New Roman" w:hAnsi="Times New Roman"/>
                <w:sz w:val="20"/>
                <w:szCs w:val="20"/>
              </w:rPr>
            </w:pPr>
          </w:p>
        </w:tc>
        <w:tc>
          <w:tcPr>
            <w:tcW w:w="50" w:type="pct"/>
            <w:shd w:val="clear" w:color="auto" w:fill="auto"/>
            <w:vAlign w:val="center"/>
          </w:tcPr>
          <w:p w14:paraId="55569C52" w14:textId="77777777" w:rsidR="00F925DD" w:rsidRDefault="00F925DD">
            <w:pPr>
              <w:rPr>
                <w:rFonts w:ascii="Times New Roman" w:hAnsi="Times New Roman"/>
                <w:sz w:val="20"/>
                <w:szCs w:val="20"/>
              </w:rPr>
            </w:pPr>
          </w:p>
        </w:tc>
        <w:tc>
          <w:tcPr>
            <w:tcW w:w="400" w:type="pct"/>
            <w:shd w:val="clear" w:color="auto" w:fill="auto"/>
            <w:vAlign w:val="center"/>
          </w:tcPr>
          <w:p w14:paraId="55569C53" w14:textId="77777777" w:rsidR="00F925DD" w:rsidRDefault="00F925DD">
            <w:pPr>
              <w:rPr>
                <w:rFonts w:ascii="Times New Roman" w:hAnsi="Times New Roman"/>
                <w:sz w:val="20"/>
                <w:szCs w:val="20"/>
              </w:rPr>
            </w:pPr>
          </w:p>
        </w:tc>
        <w:tc>
          <w:tcPr>
            <w:tcW w:w="50" w:type="pct"/>
            <w:shd w:val="clear" w:color="auto" w:fill="auto"/>
            <w:vAlign w:val="center"/>
          </w:tcPr>
          <w:p w14:paraId="55569C54" w14:textId="77777777" w:rsidR="00F925DD" w:rsidRDefault="00F925DD">
            <w:pPr>
              <w:rPr>
                <w:rFonts w:ascii="Times New Roman" w:hAnsi="Times New Roman"/>
                <w:sz w:val="20"/>
                <w:szCs w:val="20"/>
              </w:rPr>
            </w:pPr>
          </w:p>
        </w:tc>
        <w:tc>
          <w:tcPr>
            <w:tcW w:w="50" w:type="pct"/>
            <w:shd w:val="clear" w:color="auto" w:fill="auto"/>
            <w:vAlign w:val="center"/>
          </w:tcPr>
          <w:p w14:paraId="55569C55" w14:textId="77777777" w:rsidR="00F925DD" w:rsidRDefault="00F925DD">
            <w:pPr>
              <w:rPr>
                <w:rFonts w:ascii="Times New Roman" w:hAnsi="Times New Roman"/>
                <w:sz w:val="20"/>
                <w:szCs w:val="20"/>
              </w:rPr>
            </w:pPr>
          </w:p>
        </w:tc>
        <w:tc>
          <w:tcPr>
            <w:tcW w:w="50" w:type="pct"/>
            <w:shd w:val="clear" w:color="auto" w:fill="auto"/>
            <w:vAlign w:val="center"/>
          </w:tcPr>
          <w:p w14:paraId="55569C56" w14:textId="77777777" w:rsidR="00F925DD" w:rsidRDefault="00F925DD">
            <w:pPr>
              <w:rPr>
                <w:rFonts w:ascii="Times New Roman" w:hAnsi="Times New Roman"/>
                <w:sz w:val="20"/>
                <w:szCs w:val="20"/>
              </w:rPr>
            </w:pPr>
          </w:p>
        </w:tc>
        <w:tc>
          <w:tcPr>
            <w:tcW w:w="400" w:type="pct"/>
            <w:shd w:val="clear" w:color="auto" w:fill="auto"/>
            <w:vAlign w:val="center"/>
          </w:tcPr>
          <w:p w14:paraId="55569C57" w14:textId="77777777" w:rsidR="00F925DD" w:rsidRDefault="00F925DD">
            <w:pPr>
              <w:rPr>
                <w:rFonts w:ascii="Times New Roman" w:hAnsi="Times New Roman"/>
                <w:sz w:val="20"/>
                <w:szCs w:val="20"/>
              </w:rPr>
            </w:pPr>
          </w:p>
        </w:tc>
        <w:tc>
          <w:tcPr>
            <w:tcW w:w="50" w:type="pct"/>
            <w:shd w:val="clear" w:color="auto" w:fill="auto"/>
            <w:vAlign w:val="center"/>
          </w:tcPr>
          <w:p w14:paraId="55569C58" w14:textId="77777777" w:rsidR="00F925DD" w:rsidRDefault="00F925DD">
            <w:pPr>
              <w:rPr>
                <w:rFonts w:ascii="Times New Roman" w:hAnsi="Times New Roman"/>
                <w:sz w:val="20"/>
                <w:szCs w:val="20"/>
              </w:rPr>
            </w:pPr>
          </w:p>
        </w:tc>
        <w:tc>
          <w:tcPr>
            <w:tcW w:w="50" w:type="pct"/>
            <w:shd w:val="clear" w:color="auto" w:fill="auto"/>
            <w:vAlign w:val="center"/>
          </w:tcPr>
          <w:p w14:paraId="55569C59" w14:textId="77777777" w:rsidR="00F925DD" w:rsidRDefault="00F925DD">
            <w:pPr>
              <w:rPr>
                <w:rFonts w:ascii="Times New Roman" w:hAnsi="Times New Roman"/>
                <w:sz w:val="20"/>
                <w:szCs w:val="20"/>
              </w:rPr>
            </w:pPr>
          </w:p>
        </w:tc>
        <w:tc>
          <w:tcPr>
            <w:tcW w:w="50" w:type="pct"/>
            <w:shd w:val="clear" w:color="auto" w:fill="auto"/>
            <w:vAlign w:val="center"/>
          </w:tcPr>
          <w:p w14:paraId="55569C5A" w14:textId="77777777" w:rsidR="00F925DD" w:rsidRDefault="00F925DD">
            <w:pPr>
              <w:rPr>
                <w:rFonts w:ascii="Times New Roman" w:hAnsi="Times New Roman"/>
                <w:sz w:val="20"/>
                <w:szCs w:val="20"/>
              </w:rPr>
            </w:pPr>
          </w:p>
        </w:tc>
        <w:tc>
          <w:tcPr>
            <w:tcW w:w="400" w:type="pct"/>
            <w:shd w:val="clear" w:color="auto" w:fill="auto"/>
            <w:vAlign w:val="center"/>
          </w:tcPr>
          <w:p w14:paraId="55569C5B" w14:textId="77777777" w:rsidR="00F925DD" w:rsidRDefault="00F925DD">
            <w:pPr>
              <w:rPr>
                <w:rFonts w:ascii="Times New Roman" w:hAnsi="Times New Roman"/>
                <w:sz w:val="20"/>
                <w:szCs w:val="20"/>
              </w:rPr>
            </w:pPr>
          </w:p>
        </w:tc>
        <w:tc>
          <w:tcPr>
            <w:tcW w:w="50" w:type="pct"/>
            <w:shd w:val="clear" w:color="auto" w:fill="auto"/>
            <w:vAlign w:val="center"/>
          </w:tcPr>
          <w:p w14:paraId="55569C5C" w14:textId="77777777" w:rsidR="00F925DD" w:rsidRDefault="00F925DD">
            <w:pPr>
              <w:rPr>
                <w:rFonts w:ascii="Times New Roman" w:hAnsi="Times New Roman"/>
                <w:sz w:val="20"/>
                <w:szCs w:val="20"/>
              </w:rPr>
            </w:pPr>
          </w:p>
        </w:tc>
        <w:tc>
          <w:tcPr>
            <w:tcW w:w="50" w:type="pct"/>
            <w:shd w:val="clear" w:color="auto" w:fill="auto"/>
            <w:vAlign w:val="center"/>
          </w:tcPr>
          <w:p w14:paraId="55569C5D" w14:textId="77777777" w:rsidR="00F925DD" w:rsidRDefault="00F925DD">
            <w:pPr>
              <w:rPr>
                <w:rFonts w:ascii="Times New Roman" w:hAnsi="Times New Roman"/>
                <w:sz w:val="20"/>
                <w:szCs w:val="20"/>
              </w:rPr>
            </w:pPr>
          </w:p>
        </w:tc>
        <w:tc>
          <w:tcPr>
            <w:tcW w:w="50" w:type="pct"/>
            <w:shd w:val="clear" w:color="auto" w:fill="auto"/>
            <w:vAlign w:val="center"/>
          </w:tcPr>
          <w:p w14:paraId="55569C5E" w14:textId="77777777" w:rsidR="00F925DD" w:rsidRDefault="00F925DD">
            <w:pPr>
              <w:rPr>
                <w:rFonts w:ascii="Times New Roman" w:hAnsi="Times New Roman"/>
                <w:sz w:val="20"/>
                <w:szCs w:val="20"/>
              </w:rPr>
            </w:pPr>
          </w:p>
        </w:tc>
        <w:tc>
          <w:tcPr>
            <w:tcW w:w="400" w:type="pct"/>
            <w:shd w:val="clear" w:color="auto" w:fill="auto"/>
            <w:vAlign w:val="center"/>
          </w:tcPr>
          <w:p w14:paraId="55569C5F" w14:textId="77777777" w:rsidR="00F925DD" w:rsidRDefault="00F925DD">
            <w:pPr>
              <w:rPr>
                <w:rFonts w:ascii="Times New Roman" w:hAnsi="Times New Roman"/>
                <w:sz w:val="20"/>
                <w:szCs w:val="20"/>
              </w:rPr>
            </w:pPr>
          </w:p>
        </w:tc>
        <w:tc>
          <w:tcPr>
            <w:tcW w:w="50" w:type="pct"/>
            <w:shd w:val="clear" w:color="auto" w:fill="auto"/>
            <w:vAlign w:val="center"/>
          </w:tcPr>
          <w:p w14:paraId="55569C60" w14:textId="77777777" w:rsidR="00F925DD" w:rsidRDefault="00F925DD">
            <w:pPr>
              <w:rPr>
                <w:rFonts w:ascii="Times New Roman" w:hAnsi="Times New Roman"/>
                <w:sz w:val="20"/>
                <w:szCs w:val="20"/>
              </w:rPr>
            </w:pPr>
          </w:p>
        </w:tc>
        <w:tc>
          <w:tcPr>
            <w:tcW w:w="50" w:type="pct"/>
            <w:shd w:val="clear" w:color="auto" w:fill="auto"/>
            <w:vAlign w:val="center"/>
          </w:tcPr>
          <w:p w14:paraId="55569C61" w14:textId="77777777" w:rsidR="00F925DD" w:rsidRDefault="00F925DD">
            <w:pPr>
              <w:rPr>
                <w:rFonts w:ascii="Times New Roman" w:hAnsi="Times New Roman"/>
                <w:sz w:val="20"/>
                <w:szCs w:val="20"/>
              </w:rPr>
            </w:pPr>
          </w:p>
        </w:tc>
        <w:tc>
          <w:tcPr>
            <w:tcW w:w="50" w:type="pct"/>
            <w:shd w:val="clear" w:color="auto" w:fill="auto"/>
            <w:vAlign w:val="center"/>
          </w:tcPr>
          <w:p w14:paraId="55569C62" w14:textId="77777777" w:rsidR="00F925DD" w:rsidRDefault="00F925DD">
            <w:pPr>
              <w:rPr>
                <w:rFonts w:ascii="Times New Roman" w:hAnsi="Times New Roman"/>
                <w:sz w:val="20"/>
                <w:szCs w:val="20"/>
              </w:rPr>
            </w:pPr>
          </w:p>
        </w:tc>
        <w:tc>
          <w:tcPr>
            <w:tcW w:w="400" w:type="pct"/>
            <w:shd w:val="clear" w:color="auto" w:fill="auto"/>
            <w:vAlign w:val="center"/>
          </w:tcPr>
          <w:p w14:paraId="55569C63" w14:textId="77777777" w:rsidR="00F925DD" w:rsidRDefault="00F925DD">
            <w:pPr>
              <w:rPr>
                <w:rFonts w:ascii="Times New Roman" w:hAnsi="Times New Roman"/>
                <w:sz w:val="20"/>
                <w:szCs w:val="20"/>
              </w:rPr>
            </w:pPr>
          </w:p>
        </w:tc>
        <w:tc>
          <w:tcPr>
            <w:tcW w:w="50" w:type="pct"/>
            <w:shd w:val="clear" w:color="auto" w:fill="auto"/>
            <w:vAlign w:val="center"/>
          </w:tcPr>
          <w:p w14:paraId="55569C64" w14:textId="77777777" w:rsidR="00F925DD" w:rsidRDefault="00F925DD">
            <w:pPr>
              <w:rPr>
                <w:rFonts w:ascii="Times New Roman" w:hAnsi="Times New Roman"/>
                <w:sz w:val="20"/>
                <w:szCs w:val="20"/>
              </w:rPr>
            </w:pPr>
          </w:p>
        </w:tc>
        <w:tc>
          <w:tcPr>
            <w:tcW w:w="50" w:type="pct"/>
            <w:shd w:val="clear" w:color="auto" w:fill="auto"/>
            <w:vAlign w:val="center"/>
          </w:tcPr>
          <w:p w14:paraId="55569C65" w14:textId="77777777" w:rsidR="00F925DD" w:rsidRDefault="00F925DD">
            <w:pPr>
              <w:rPr>
                <w:rFonts w:ascii="Times New Roman" w:hAnsi="Times New Roman"/>
                <w:sz w:val="20"/>
                <w:szCs w:val="20"/>
              </w:rPr>
            </w:pPr>
          </w:p>
        </w:tc>
        <w:tc>
          <w:tcPr>
            <w:tcW w:w="50" w:type="pct"/>
            <w:shd w:val="clear" w:color="auto" w:fill="auto"/>
            <w:vAlign w:val="center"/>
          </w:tcPr>
          <w:p w14:paraId="55569C66" w14:textId="77777777" w:rsidR="00F925DD" w:rsidRDefault="00F925DD">
            <w:pPr>
              <w:rPr>
                <w:rFonts w:ascii="Times New Roman" w:hAnsi="Times New Roman"/>
                <w:sz w:val="20"/>
                <w:szCs w:val="20"/>
              </w:rPr>
            </w:pPr>
          </w:p>
        </w:tc>
        <w:tc>
          <w:tcPr>
            <w:tcW w:w="400" w:type="pct"/>
            <w:shd w:val="clear" w:color="auto" w:fill="auto"/>
            <w:vAlign w:val="center"/>
          </w:tcPr>
          <w:p w14:paraId="55569C67" w14:textId="77777777" w:rsidR="00F925DD" w:rsidRDefault="00F925DD">
            <w:pPr>
              <w:rPr>
                <w:rFonts w:ascii="Times New Roman" w:hAnsi="Times New Roman"/>
                <w:sz w:val="20"/>
                <w:szCs w:val="20"/>
              </w:rPr>
            </w:pPr>
          </w:p>
        </w:tc>
        <w:tc>
          <w:tcPr>
            <w:tcW w:w="50" w:type="pct"/>
            <w:shd w:val="clear" w:color="auto" w:fill="auto"/>
            <w:vAlign w:val="center"/>
          </w:tcPr>
          <w:p w14:paraId="55569C68" w14:textId="77777777" w:rsidR="00F925DD" w:rsidRDefault="00F925DD">
            <w:pPr>
              <w:rPr>
                <w:rFonts w:ascii="Times New Roman" w:hAnsi="Times New Roman"/>
                <w:sz w:val="20"/>
                <w:szCs w:val="20"/>
              </w:rPr>
            </w:pPr>
          </w:p>
        </w:tc>
        <w:tc>
          <w:tcPr>
            <w:tcW w:w="50" w:type="pct"/>
            <w:shd w:val="clear" w:color="auto" w:fill="auto"/>
            <w:vAlign w:val="center"/>
          </w:tcPr>
          <w:p w14:paraId="55569C69" w14:textId="77777777" w:rsidR="00F925DD" w:rsidRDefault="00F925DD">
            <w:pPr>
              <w:rPr>
                <w:rFonts w:ascii="Times New Roman" w:hAnsi="Times New Roman"/>
                <w:sz w:val="20"/>
                <w:szCs w:val="20"/>
              </w:rPr>
            </w:pPr>
          </w:p>
        </w:tc>
        <w:tc>
          <w:tcPr>
            <w:tcW w:w="50" w:type="pct"/>
            <w:shd w:val="clear" w:color="auto" w:fill="auto"/>
            <w:vAlign w:val="center"/>
          </w:tcPr>
          <w:p w14:paraId="55569C6A" w14:textId="77777777" w:rsidR="00F925DD" w:rsidRDefault="00F925DD">
            <w:pPr>
              <w:rPr>
                <w:rFonts w:ascii="Times New Roman" w:hAnsi="Times New Roman"/>
                <w:sz w:val="20"/>
                <w:szCs w:val="20"/>
              </w:rPr>
            </w:pPr>
          </w:p>
        </w:tc>
        <w:tc>
          <w:tcPr>
            <w:tcW w:w="400" w:type="pct"/>
            <w:shd w:val="clear" w:color="auto" w:fill="auto"/>
            <w:vAlign w:val="center"/>
          </w:tcPr>
          <w:p w14:paraId="55569C6B" w14:textId="77777777" w:rsidR="00F925DD" w:rsidRDefault="00F925DD">
            <w:pPr>
              <w:rPr>
                <w:rFonts w:ascii="Times New Roman" w:hAnsi="Times New Roman"/>
                <w:sz w:val="20"/>
                <w:szCs w:val="20"/>
              </w:rPr>
            </w:pPr>
          </w:p>
        </w:tc>
        <w:tc>
          <w:tcPr>
            <w:tcW w:w="50" w:type="pct"/>
            <w:shd w:val="clear" w:color="auto" w:fill="auto"/>
            <w:vAlign w:val="center"/>
          </w:tcPr>
          <w:p w14:paraId="55569C6C" w14:textId="77777777" w:rsidR="00F925DD" w:rsidRDefault="00F925DD">
            <w:pPr>
              <w:rPr>
                <w:rFonts w:ascii="Times New Roman" w:hAnsi="Times New Roman"/>
                <w:sz w:val="20"/>
                <w:szCs w:val="20"/>
              </w:rPr>
            </w:pPr>
          </w:p>
        </w:tc>
      </w:tr>
      <w:tr w:rsidR="00F925DD" w14:paraId="55569C6F" w14:textId="77777777">
        <w:tc>
          <w:tcPr>
            <w:tcW w:w="0" w:type="auto"/>
            <w:gridSpan w:val="32"/>
            <w:shd w:val="clear" w:color="auto" w:fill="auto"/>
            <w:tcMar>
              <w:top w:w="40" w:type="dxa"/>
              <w:left w:w="40" w:type="dxa"/>
              <w:bottom w:w="40" w:type="dxa"/>
              <w:right w:w="40" w:type="dxa"/>
            </w:tcMar>
            <w:vAlign w:val="bottom"/>
          </w:tcPr>
          <w:p w14:paraId="55569C6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34: TEN-DAY VALUE-AT-RISK ASSOCIATED WITH TRADING ACTIVITIES FOR COVERED POSITIONS</w:t>
            </w:r>
          </w:p>
        </w:tc>
      </w:tr>
      <w:tr w:rsidR="00F925DD" w14:paraId="55569C74" w14:textId="77777777">
        <w:tc>
          <w:tcPr>
            <w:tcW w:w="0" w:type="auto"/>
            <w:shd w:val="clear" w:color="auto" w:fill="auto"/>
            <w:tcMar>
              <w:top w:w="40" w:type="dxa"/>
              <w:left w:w="40" w:type="dxa"/>
              <w:bottom w:w="40" w:type="dxa"/>
              <w:right w:w="40" w:type="dxa"/>
            </w:tcMar>
            <w:vAlign w:val="bottom"/>
          </w:tcPr>
          <w:p w14:paraId="55569C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9C7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 Ended December 31, 2019</w:t>
            </w:r>
          </w:p>
        </w:tc>
        <w:tc>
          <w:tcPr>
            <w:tcW w:w="0" w:type="auto"/>
            <w:shd w:val="clear" w:color="auto" w:fill="auto"/>
            <w:tcMar>
              <w:top w:w="40" w:type="dxa"/>
              <w:left w:w="40" w:type="dxa"/>
              <w:bottom w:w="40" w:type="dxa"/>
              <w:right w:w="40" w:type="dxa"/>
            </w:tcMar>
            <w:vAlign w:val="bottom"/>
          </w:tcPr>
          <w:p w14:paraId="55569C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9C7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Year Ended December 31, </w:t>
            </w:r>
            <w:r>
              <w:rPr>
                <w:rFonts w:ascii="Arial" w:eastAsia="宋体" w:hAnsi="Arial" w:cs="Arial"/>
                <w:b/>
                <w:bCs/>
                <w:sz w:val="15"/>
                <w:szCs w:val="15"/>
              </w:rPr>
              <w:t>2018</w:t>
            </w:r>
          </w:p>
        </w:tc>
      </w:tr>
      <w:tr w:rsidR="00F925DD" w14:paraId="55569C85" w14:textId="77777777">
        <w:tc>
          <w:tcPr>
            <w:tcW w:w="0" w:type="auto"/>
            <w:shd w:val="clear" w:color="auto" w:fill="auto"/>
            <w:tcMar>
              <w:top w:w="40" w:type="dxa"/>
              <w:left w:w="40" w:type="dxa"/>
              <w:bottom w:w="40" w:type="dxa"/>
              <w:right w:w="40" w:type="dxa"/>
            </w:tcMar>
            <w:vAlign w:val="bottom"/>
          </w:tcPr>
          <w:p w14:paraId="55569C7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thousands)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C7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 Ended</w:t>
            </w:r>
          </w:p>
        </w:tc>
        <w:tc>
          <w:tcPr>
            <w:tcW w:w="0" w:type="auto"/>
            <w:shd w:val="clear" w:color="auto" w:fill="auto"/>
            <w:tcMar>
              <w:top w:w="40" w:type="dxa"/>
              <w:left w:w="40" w:type="dxa"/>
              <w:bottom w:w="40" w:type="dxa"/>
              <w:right w:w="40" w:type="dxa"/>
            </w:tcMar>
            <w:vAlign w:val="bottom"/>
          </w:tcPr>
          <w:p w14:paraId="55569C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C7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Average</w:t>
            </w:r>
          </w:p>
        </w:tc>
        <w:tc>
          <w:tcPr>
            <w:tcW w:w="0" w:type="auto"/>
            <w:shd w:val="clear" w:color="auto" w:fill="auto"/>
            <w:tcMar>
              <w:top w:w="40" w:type="dxa"/>
              <w:left w:w="40" w:type="dxa"/>
              <w:bottom w:w="40" w:type="dxa"/>
              <w:right w:w="40" w:type="dxa"/>
            </w:tcMar>
            <w:vAlign w:val="bottom"/>
          </w:tcPr>
          <w:p w14:paraId="55569C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C7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Maximum</w:t>
            </w:r>
          </w:p>
        </w:tc>
        <w:tc>
          <w:tcPr>
            <w:tcW w:w="0" w:type="auto"/>
            <w:shd w:val="clear" w:color="auto" w:fill="auto"/>
            <w:tcMar>
              <w:top w:w="40" w:type="dxa"/>
              <w:left w:w="40" w:type="dxa"/>
              <w:bottom w:w="40" w:type="dxa"/>
              <w:right w:w="40" w:type="dxa"/>
            </w:tcMar>
            <w:vAlign w:val="bottom"/>
          </w:tcPr>
          <w:p w14:paraId="55569C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C7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Minimum</w:t>
            </w:r>
          </w:p>
        </w:tc>
        <w:tc>
          <w:tcPr>
            <w:tcW w:w="0" w:type="auto"/>
            <w:shd w:val="clear" w:color="auto" w:fill="auto"/>
            <w:tcMar>
              <w:top w:w="40" w:type="dxa"/>
              <w:left w:w="40" w:type="dxa"/>
              <w:bottom w:w="40" w:type="dxa"/>
              <w:right w:w="40" w:type="dxa"/>
            </w:tcMar>
            <w:vAlign w:val="bottom"/>
          </w:tcPr>
          <w:p w14:paraId="55569C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C7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 Ended</w:t>
            </w:r>
          </w:p>
        </w:tc>
        <w:tc>
          <w:tcPr>
            <w:tcW w:w="0" w:type="auto"/>
            <w:shd w:val="clear" w:color="auto" w:fill="auto"/>
            <w:tcMar>
              <w:top w:w="40" w:type="dxa"/>
              <w:left w:w="40" w:type="dxa"/>
              <w:bottom w:w="40" w:type="dxa"/>
              <w:right w:w="40" w:type="dxa"/>
            </w:tcMar>
            <w:vAlign w:val="bottom"/>
          </w:tcPr>
          <w:p w14:paraId="55569C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C8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Average</w:t>
            </w:r>
          </w:p>
        </w:tc>
        <w:tc>
          <w:tcPr>
            <w:tcW w:w="0" w:type="auto"/>
            <w:shd w:val="clear" w:color="auto" w:fill="auto"/>
            <w:tcMar>
              <w:top w:w="40" w:type="dxa"/>
              <w:left w:w="40" w:type="dxa"/>
              <w:bottom w:w="40" w:type="dxa"/>
              <w:right w:w="40" w:type="dxa"/>
            </w:tcMar>
            <w:vAlign w:val="bottom"/>
          </w:tcPr>
          <w:p w14:paraId="55569C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C8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Maximum</w:t>
            </w:r>
          </w:p>
        </w:tc>
        <w:tc>
          <w:tcPr>
            <w:tcW w:w="0" w:type="auto"/>
            <w:shd w:val="clear" w:color="auto" w:fill="auto"/>
            <w:tcMar>
              <w:top w:w="40" w:type="dxa"/>
              <w:left w:w="40" w:type="dxa"/>
              <w:bottom w:w="40" w:type="dxa"/>
              <w:right w:w="40" w:type="dxa"/>
            </w:tcMar>
            <w:vAlign w:val="bottom"/>
          </w:tcPr>
          <w:p w14:paraId="55569C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C8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Minimum</w:t>
            </w:r>
          </w:p>
        </w:tc>
      </w:tr>
      <w:tr w:rsidR="00F925DD" w14:paraId="55569CA6" w14:textId="77777777">
        <w:tc>
          <w:tcPr>
            <w:tcW w:w="0" w:type="auto"/>
            <w:shd w:val="clear" w:color="auto" w:fill="CCEEFF"/>
            <w:tcMar>
              <w:top w:w="40" w:type="dxa"/>
              <w:left w:w="40" w:type="dxa"/>
              <w:bottom w:w="40" w:type="dxa"/>
              <w:right w:w="40" w:type="dxa"/>
            </w:tcMar>
            <w:vAlign w:val="bottom"/>
          </w:tcPr>
          <w:p w14:paraId="55569C86" w14:textId="77777777" w:rsidR="00F925DD" w:rsidRDefault="00E705D7">
            <w:pPr>
              <w:textAlignment w:val="bottom"/>
              <w:rPr>
                <w:rFonts w:ascii="Times New Roman" w:hAnsi="Times New Roman"/>
                <w:sz w:val="15"/>
                <w:szCs w:val="15"/>
              </w:rPr>
            </w:pPr>
            <w:r>
              <w:rPr>
                <w:rFonts w:ascii="Arial" w:eastAsia="宋体" w:hAnsi="Arial" w:cs="Arial"/>
                <w:sz w:val="15"/>
                <w:szCs w:val="15"/>
              </w:rPr>
              <w:t>Global Markets</w:t>
            </w:r>
          </w:p>
        </w:tc>
        <w:tc>
          <w:tcPr>
            <w:tcW w:w="0" w:type="auto"/>
            <w:shd w:val="clear" w:color="auto" w:fill="CCEEFF"/>
            <w:tcMar>
              <w:top w:w="40" w:type="dxa"/>
              <w:left w:w="40" w:type="dxa"/>
              <w:bottom w:w="40" w:type="dxa"/>
            </w:tcMar>
            <w:vAlign w:val="bottom"/>
          </w:tcPr>
          <w:p w14:paraId="55569C8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9C8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9,954</w:t>
            </w:r>
          </w:p>
        </w:tc>
        <w:tc>
          <w:tcPr>
            <w:tcW w:w="0" w:type="auto"/>
            <w:shd w:val="clear" w:color="auto" w:fill="CCEEFF"/>
            <w:vAlign w:val="bottom"/>
          </w:tcPr>
          <w:p w14:paraId="55569C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C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C8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9C8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10,235</w:t>
            </w:r>
          </w:p>
        </w:tc>
        <w:tc>
          <w:tcPr>
            <w:tcW w:w="0" w:type="auto"/>
            <w:tcBorders>
              <w:top w:val="single" w:sz="8" w:space="0" w:color="000000"/>
            </w:tcBorders>
            <w:shd w:val="clear" w:color="auto" w:fill="CCEEFF"/>
            <w:vAlign w:val="bottom"/>
          </w:tcPr>
          <w:p w14:paraId="55569C8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C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C8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9C9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26,419</w:t>
            </w:r>
          </w:p>
        </w:tc>
        <w:tc>
          <w:tcPr>
            <w:tcW w:w="0" w:type="auto"/>
            <w:tcBorders>
              <w:top w:val="single" w:sz="8" w:space="0" w:color="000000"/>
            </w:tcBorders>
            <w:shd w:val="clear" w:color="auto" w:fill="CCEEFF"/>
            <w:vAlign w:val="bottom"/>
          </w:tcPr>
          <w:p w14:paraId="55569C9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C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C9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9C9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5,880</w:t>
            </w:r>
          </w:p>
        </w:tc>
        <w:tc>
          <w:tcPr>
            <w:tcW w:w="0" w:type="auto"/>
            <w:tcBorders>
              <w:top w:val="single" w:sz="8" w:space="0" w:color="000000"/>
            </w:tcBorders>
            <w:shd w:val="clear" w:color="auto" w:fill="CCEEFF"/>
            <w:vAlign w:val="bottom"/>
          </w:tcPr>
          <w:p w14:paraId="55569C9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C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C9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9C9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10,588</w:t>
            </w:r>
          </w:p>
        </w:tc>
        <w:tc>
          <w:tcPr>
            <w:tcW w:w="0" w:type="auto"/>
            <w:tcBorders>
              <w:top w:val="single" w:sz="8" w:space="0" w:color="000000"/>
            </w:tcBorders>
            <w:shd w:val="clear" w:color="auto" w:fill="CCEEFF"/>
            <w:vAlign w:val="bottom"/>
          </w:tcPr>
          <w:p w14:paraId="55569C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C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C9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9C9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7,354</w:t>
            </w:r>
          </w:p>
        </w:tc>
        <w:tc>
          <w:tcPr>
            <w:tcW w:w="0" w:type="auto"/>
            <w:tcBorders>
              <w:top w:val="single" w:sz="8" w:space="0" w:color="000000"/>
            </w:tcBorders>
            <w:shd w:val="clear" w:color="auto" w:fill="CCEEFF"/>
            <w:vAlign w:val="bottom"/>
          </w:tcPr>
          <w:p w14:paraId="55569C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C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C9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9CA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19,160</w:t>
            </w:r>
          </w:p>
        </w:tc>
        <w:tc>
          <w:tcPr>
            <w:tcW w:w="0" w:type="auto"/>
            <w:tcBorders>
              <w:top w:val="single" w:sz="8" w:space="0" w:color="000000"/>
            </w:tcBorders>
            <w:shd w:val="clear" w:color="auto" w:fill="CCEEFF"/>
            <w:vAlign w:val="bottom"/>
          </w:tcPr>
          <w:p w14:paraId="55569CA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C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CA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9CA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2,967</w:t>
            </w:r>
          </w:p>
        </w:tc>
        <w:tc>
          <w:tcPr>
            <w:tcW w:w="0" w:type="auto"/>
            <w:tcBorders>
              <w:top w:val="single" w:sz="8" w:space="0" w:color="000000"/>
            </w:tcBorders>
            <w:shd w:val="clear" w:color="auto" w:fill="CCEEFF"/>
            <w:vAlign w:val="bottom"/>
          </w:tcPr>
          <w:p w14:paraId="55569CA5" w14:textId="77777777" w:rsidR="00F925DD" w:rsidRDefault="00F925DD">
            <w:pPr>
              <w:textAlignment w:val="bottom"/>
              <w:rPr>
                <w:rFonts w:ascii="Times New Roman" w:hAnsi="Times New Roman"/>
                <w:sz w:val="20"/>
                <w:szCs w:val="20"/>
              </w:rPr>
            </w:pPr>
          </w:p>
        </w:tc>
      </w:tr>
      <w:tr w:rsidR="00F925DD" w14:paraId="55569CBF" w14:textId="77777777">
        <w:tc>
          <w:tcPr>
            <w:tcW w:w="0" w:type="auto"/>
            <w:shd w:val="clear" w:color="auto" w:fill="auto"/>
            <w:tcMar>
              <w:top w:w="40" w:type="dxa"/>
              <w:left w:w="40" w:type="dxa"/>
              <w:bottom w:w="40" w:type="dxa"/>
              <w:right w:w="40" w:type="dxa"/>
            </w:tcMar>
            <w:vAlign w:val="bottom"/>
          </w:tcPr>
          <w:p w14:paraId="55569CA7" w14:textId="77777777" w:rsidR="00F925DD" w:rsidRDefault="00E705D7">
            <w:pPr>
              <w:textAlignment w:val="bottom"/>
              <w:rPr>
                <w:rFonts w:ascii="Times New Roman" w:hAnsi="Times New Roman"/>
                <w:sz w:val="15"/>
                <w:szCs w:val="15"/>
              </w:rPr>
            </w:pPr>
            <w:r>
              <w:rPr>
                <w:rFonts w:ascii="Arial" w:eastAsia="宋体" w:hAnsi="Arial" w:cs="Arial"/>
                <w:sz w:val="15"/>
                <w:szCs w:val="15"/>
              </w:rPr>
              <w:t>Global Treasury</w:t>
            </w:r>
          </w:p>
        </w:tc>
        <w:tc>
          <w:tcPr>
            <w:tcW w:w="0" w:type="auto"/>
            <w:gridSpan w:val="2"/>
            <w:shd w:val="clear" w:color="auto" w:fill="auto"/>
            <w:tcMar>
              <w:top w:w="40" w:type="dxa"/>
              <w:left w:w="40" w:type="dxa"/>
              <w:bottom w:w="40" w:type="dxa"/>
            </w:tcMar>
            <w:vAlign w:val="bottom"/>
          </w:tcPr>
          <w:p w14:paraId="55569CA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987</w:t>
            </w:r>
          </w:p>
        </w:tc>
        <w:tc>
          <w:tcPr>
            <w:tcW w:w="0" w:type="auto"/>
            <w:shd w:val="clear" w:color="auto" w:fill="auto"/>
            <w:vAlign w:val="bottom"/>
          </w:tcPr>
          <w:p w14:paraId="55569CA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CA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733</w:t>
            </w:r>
          </w:p>
        </w:tc>
        <w:tc>
          <w:tcPr>
            <w:tcW w:w="0" w:type="auto"/>
            <w:shd w:val="clear" w:color="auto" w:fill="auto"/>
            <w:vAlign w:val="bottom"/>
          </w:tcPr>
          <w:p w14:paraId="55569CA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CA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2,326</w:t>
            </w:r>
          </w:p>
        </w:tc>
        <w:tc>
          <w:tcPr>
            <w:tcW w:w="0" w:type="auto"/>
            <w:shd w:val="clear" w:color="auto" w:fill="auto"/>
            <w:vAlign w:val="bottom"/>
          </w:tcPr>
          <w:p w14:paraId="55569CA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CB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123</w:t>
            </w:r>
          </w:p>
        </w:tc>
        <w:tc>
          <w:tcPr>
            <w:tcW w:w="0" w:type="auto"/>
            <w:shd w:val="clear" w:color="auto" w:fill="auto"/>
            <w:vAlign w:val="bottom"/>
          </w:tcPr>
          <w:p w14:paraId="55569C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CB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1,354</w:t>
            </w:r>
          </w:p>
        </w:tc>
        <w:tc>
          <w:tcPr>
            <w:tcW w:w="0" w:type="auto"/>
            <w:shd w:val="clear" w:color="auto" w:fill="auto"/>
            <w:vAlign w:val="bottom"/>
          </w:tcPr>
          <w:p w14:paraId="55569C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CB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750</w:t>
            </w:r>
          </w:p>
        </w:tc>
        <w:tc>
          <w:tcPr>
            <w:tcW w:w="0" w:type="auto"/>
            <w:shd w:val="clear" w:color="auto" w:fill="auto"/>
            <w:vAlign w:val="bottom"/>
          </w:tcPr>
          <w:p w14:paraId="55569C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CB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3,579</w:t>
            </w:r>
          </w:p>
        </w:tc>
        <w:tc>
          <w:tcPr>
            <w:tcW w:w="0" w:type="auto"/>
            <w:shd w:val="clear" w:color="auto" w:fill="auto"/>
            <w:vAlign w:val="bottom"/>
          </w:tcPr>
          <w:p w14:paraId="55569CB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CB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91</w:t>
            </w:r>
          </w:p>
        </w:tc>
        <w:tc>
          <w:tcPr>
            <w:tcW w:w="0" w:type="auto"/>
            <w:shd w:val="clear" w:color="auto" w:fill="auto"/>
            <w:vAlign w:val="bottom"/>
          </w:tcPr>
          <w:p w14:paraId="55569CBE" w14:textId="77777777" w:rsidR="00F925DD" w:rsidRDefault="00F925DD">
            <w:pPr>
              <w:textAlignment w:val="bottom"/>
              <w:rPr>
                <w:rFonts w:ascii="Times New Roman" w:hAnsi="Times New Roman"/>
                <w:sz w:val="20"/>
                <w:szCs w:val="20"/>
              </w:rPr>
            </w:pPr>
          </w:p>
        </w:tc>
      </w:tr>
      <w:tr w:rsidR="00F925DD" w14:paraId="55569CD8" w14:textId="77777777">
        <w:tc>
          <w:tcPr>
            <w:tcW w:w="0" w:type="auto"/>
            <w:shd w:val="clear" w:color="auto" w:fill="CCEEFF"/>
            <w:tcMar>
              <w:top w:w="40" w:type="dxa"/>
              <w:left w:w="40" w:type="dxa"/>
              <w:bottom w:w="40" w:type="dxa"/>
              <w:right w:w="40" w:type="dxa"/>
            </w:tcMar>
            <w:vAlign w:val="bottom"/>
          </w:tcPr>
          <w:p w14:paraId="55569CC0" w14:textId="77777777" w:rsidR="00F925DD" w:rsidRDefault="00E705D7">
            <w:pPr>
              <w:textAlignment w:val="bottom"/>
              <w:rPr>
                <w:rFonts w:ascii="Times New Roman" w:hAnsi="Times New Roman"/>
                <w:sz w:val="15"/>
                <w:szCs w:val="15"/>
              </w:rPr>
            </w:pPr>
            <w:r>
              <w:rPr>
                <w:rFonts w:ascii="Arial" w:eastAsia="宋体" w:hAnsi="Arial" w:cs="Arial"/>
                <w:sz w:val="15"/>
                <w:szCs w:val="15"/>
              </w:rPr>
              <w:t>Diversification</w:t>
            </w:r>
          </w:p>
        </w:tc>
        <w:tc>
          <w:tcPr>
            <w:tcW w:w="0" w:type="auto"/>
            <w:gridSpan w:val="2"/>
            <w:shd w:val="clear" w:color="auto" w:fill="CCEEFF"/>
            <w:tcMar>
              <w:top w:w="40" w:type="dxa"/>
              <w:left w:w="40" w:type="dxa"/>
              <w:bottom w:w="40" w:type="dxa"/>
            </w:tcMar>
            <w:vAlign w:val="bottom"/>
          </w:tcPr>
          <w:p w14:paraId="55569CC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(1,082</w:t>
            </w:r>
          </w:p>
        </w:tc>
        <w:tc>
          <w:tcPr>
            <w:tcW w:w="0" w:type="auto"/>
            <w:shd w:val="clear" w:color="auto" w:fill="CCEEFF"/>
            <w:tcMar>
              <w:top w:w="40" w:type="dxa"/>
              <w:bottom w:w="40" w:type="dxa"/>
              <w:right w:w="40" w:type="dxa"/>
            </w:tcMar>
            <w:vAlign w:val="bottom"/>
          </w:tcPr>
          <w:p w14:paraId="55569CC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C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CC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(864</w:t>
            </w:r>
          </w:p>
        </w:tc>
        <w:tc>
          <w:tcPr>
            <w:tcW w:w="0" w:type="auto"/>
            <w:shd w:val="clear" w:color="auto" w:fill="CCEEFF"/>
            <w:tcMar>
              <w:top w:w="40" w:type="dxa"/>
              <w:bottom w:w="40" w:type="dxa"/>
              <w:right w:w="40" w:type="dxa"/>
            </w:tcMar>
            <w:vAlign w:val="bottom"/>
          </w:tcPr>
          <w:p w14:paraId="55569CC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C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CC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(4,812</w:t>
            </w:r>
          </w:p>
        </w:tc>
        <w:tc>
          <w:tcPr>
            <w:tcW w:w="0" w:type="auto"/>
            <w:shd w:val="clear" w:color="auto" w:fill="CCEEFF"/>
            <w:tcMar>
              <w:top w:w="40" w:type="dxa"/>
              <w:bottom w:w="40" w:type="dxa"/>
              <w:right w:w="40" w:type="dxa"/>
            </w:tcMar>
            <w:vAlign w:val="bottom"/>
          </w:tcPr>
          <w:p w14:paraId="55569CC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C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CC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(67</w:t>
            </w:r>
          </w:p>
        </w:tc>
        <w:tc>
          <w:tcPr>
            <w:tcW w:w="0" w:type="auto"/>
            <w:shd w:val="clear" w:color="auto" w:fill="CCEEFF"/>
            <w:tcMar>
              <w:top w:w="40" w:type="dxa"/>
              <w:bottom w:w="40" w:type="dxa"/>
              <w:right w:w="40" w:type="dxa"/>
            </w:tcMar>
            <w:vAlign w:val="bottom"/>
          </w:tcPr>
          <w:p w14:paraId="55569CC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C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CC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(1,435</w:t>
            </w:r>
          </w:p>
        </w:tc>
        <w:tc>
          <w:tcPr>
            <w:tcW w:w="0" w:type="auto"/>
            <w:tcBorders>
              <w:bottom w:val="single" w:sz="8" w:space="0" w:color="000000"/>
            </w:tcBorders>
            <w:shd w:val="clear" w:color="auto" w:fill="CCEEFF"/>
            <w:tcMar>
              <w:top w:w="40" w:type="dxa"/>
              <w:bottom w:w="40" w:type="dxa"/>
              <w:right w:w="40" w:type="dxa"/>
            </w:tcMar>
            <w:vAlign w:val="bottom"/>
          </w:tcPr>
          <w:p w14:paraId="55569CC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9C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CD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(634</w:t>
            </w:r>
          </w:p>
        </w:tc>
        <w:tc>
          <w:tcPr>
            <w:tcW w:w="0" w:type="auto"/>
            <w:tcBorders>
              <w:bottom w:val="single" w:sz="8" w:space="0" w:color="000000"/>
            </w:tcBorders>
            <w:shd w:val="clear" w:color="auto" w:fill="CCEEFF"/>
            <w:tcMar>
              <w:top w:w="40" w:type="dxa"/>
              <w:bottom w:w="40" w:type="dxa"/>
              <w:right w:w="40" w:type="dxa"/>
            </w:tcMar>
            <w:vAlign w:val="bottom"/>
          </w:tcPr>
          <w:p w14:paraId="55569CD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9C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CD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(3,348</w:t>
            </w:r>
          </w:p>
        </w:tc>
        <w:tc>
          <w:tcPr>
            <w:tcW w:w="0" w:type="auto"/>
            <w:tcBorders>
              <w:bottom w:val="single" w:sz="8" w:space="0" w:color="000000"/>
            </w:tcBorders>
            <w:shd w:val="clear" w:color="auto" w:fill="CCEEFF"/>
            <w:tcMar>
              <w:top w:w="40" w:type="dxa"/>
              <w:bottom w:w="40" w:type="dxa"/>
              <w:right w:w="40" w:type="dxa"/>
            </w:tcMar>
            <w:vAlign w:val="bottom"/>
          </w:tcPr>
          <w:p w14:paraId="55569CD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9CD5"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9CD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205</w:t>
            </w:r>
          </w:p>
        </w:tc>
        <w:tc>
          <w:tcPr>
            <w:tcW w:w="0" w:type="auto"/>
            <w:tcBorders>
              <w:bottom w:val="single" w:sz="8" w:space="0" w:color="000000"/>
            </w:tcBorders>
            <w:shd w:val="clear" w:color="auto" w:fill="CCEEFF"/>
            <w:vAlign w:val="bottom"/>
          </w:tcPr>
          <w:p w14:paraId="55569CD7" w14:textId="77777777" w:rsidR="00F925DD" w:rsidRDefault="00F925DD">
            <w:pPr>
              <w:textAlignment w:val="bottom"/>
              <w:rPr>
                <w:rFonts w:ascii="Times New Roman" w:hAnsi="Times New Roman"/>
                <w:sz w:val="20"/>
                <w:szCs w:val="20"/>
              </w:rPr>
            </w:pPr>
          </w:p>
        </w:tc>
      </w:tr>
      <w:tr w:rsidR="00F925DD" w14:paraId="55569CF9" w14:textId="77777777">
        <w:tc>
          <w:tcPr>
            <w:tcW w:w="0" w:type="auto"/>
            <w:shd w:val="clear" w:color="auto" w:fill="auto"/>
            <w:tcMar>
              <w:top w:w="40" w:type="dxa"/>
              <w:left w:w="40" w:type="dxa"/>
              <w:bottom w:w="40" w:type="dxa"/>
              <w:right w:w="40" w:type="dxa"/>
            </w:tcMar>
            <w:vAlign w:val="bottom"/>
          </w:tcPr>
          <w:p w14:paraId="55569CD9"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VaR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CD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CD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9,859</w:t>
            </w:r>
          </w:p>
        </w:tc>
        <w:tc>
          <w:tcPr>
            <w:tcW w:w="0" w:type="auto"/>
            <w:tcBorders>
              <w:top w:val="single" w:sz="8" w:space="0" w:color="000000"/>
              <w:bottom w:val="double" w:sz="6" w:space="0" w:color="000000"/>
            </w:tcBorders>
            <w:shd w:val="clear" w:color="auto" w:fill="auto"/>
            <w:vAlign w:val="bottom"/>
          </w:tcPr>
          <w:p w14:paraId="55569CD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CD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CD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10,104</w:t>
            </w:r>
          </w:p>
        </w:tc>
        <w:tc>
          <w:tcPr>
            <w:tcW w:w="0" w:type="auto"/>
            <w:tcBorders>
              <w:top w:val="single" w:sz="8" w:space="0" w:color="000000"/>
              <w:bottom w:val="double" w:sz="6" w:space="0" w:color="000000"/>
            </w:tcBorders>
            <w:shd w:val="clear" w:color="auto" w:fill="auto"/>
            <w:vAlign w:val="bottom"/>
          </w:tcPr>
          <w:p w14:paraId="55569CE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CE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CE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23,933</w:t>
            </w:r>
          </w:p>
        </w:tc>
        <w:tc>
          <w:tcPr>
            <w:tcW w:w="0" w:type="auto"/>
            <w:tcBorders>
              <w:top w:val="single" w:sz="8" w:space="0" w:color="000000"/>
              <w:bottom w:val="double" w:sz="6" w:space="0" w:color="000000"/>
            </w:tcBorders>
            <w:shd w:val="clear" w:color="auto" w:fill="auto"/>
            <w:vAlign w:val="bottom"/>
          </w:tcPr>
          <w:p w14:paraId="55569C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CE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CE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5,936</w:t>
            </w:r>
          </w:p>
        </w:tc>
        <w:tc>
          <w:tcPr>
            <w:tcW w:w="0" w:type="auto"/>
            <w:tcBorders>
              <w:top w:val="single" w:sz="8" w:space="0" w:color="000000"/>
              <w:bottom w:val="double" w:sz="6" w:space="0" w:color="000000"/>
            </w:tcBorders>
            <w:shd w:val="clear" w:color="auto" w:fill="auto"/>
            <w:vAlign w:val="bottom"/>
          </w:tcPr>
          <w:p w14:paraId="55569CE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CE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CE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10,507</w:t>
            </w:r>
          </w:p>
        </w:tc>
        <w:tc>
          <w:tcPr>
            <w:tcW w:w="0" w:type="auto"/>
            <w:tcBorders>
              <w:top w:val="single" w:sz="8" w:space="0" w:color="000000"/>
              <w:bottom w:val="double" w:sz="6" w:space="0" w:color="000000"/>
            </w:tcBorders>
            <w:shd w:val="clear" w:color="auto" w:fill="auto"/>
            <w:vAlign w:val="bottom"/>
          </w:tcPr>
          <w:p w14:paraId="55569CE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CE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CE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7,470</w:t>
            </w:r>
          </w:p>
        </w:tc>
        <w:tc>
          <w:tcPr>
            <w:tcW w:w="0" w:type="auto"/>
            <w:tcBorders>
              <w:top w:val="single" w:sz="8" w:space="0" w:color="000000"/>
              <w:bottom w:val="double" w:sz="6" w:space="0" w:color="000000"/>
            </w:tcBorders>
            <w:shd w:val="clear" w:color="auto" w:fill="auto"/>
            <w:vAlign w:val="bottom"/>
          </w:tcPr>
          <w:p w14:paraId="55569CF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CF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CF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19,391</w:t>
            </w:r>
          </w:p>
        </w:tc>
        <w:tc>
          <w:tcPr>
            <w:tcW w:w="0" w:type="auto"/>
            <w:tcBorders>
              <w:top w:val="single" w:sz="8" w:space="0" w:color="000000"/>
              <w:bottom w:val="double" w:sz="6" w:space="0" w:color="000000"/>
            </w:tcBorders>
            <w:shd w:val="clear" w:color="auto" w:fill="auto"/>
            <w:vAlign w:val="bottom"/>
          </w:tcPr>
          <w:p w14:paraId="55569C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C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CF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CF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3,263</w:t>
            </w:r>
          </w:p>
        </w:tc>
        <w:tc>
          <w:tcPr>
            <w:tcW w:w="0" w:type="auto"/>
            <w:tcBorders>
              <w:top w:val="single" w:sz="8" w:space="0" w:color="000000"/>
              <w:bottom w:val="double" w:sz="6" w:space="0" w:color="000000"/>
            </w:tcBorders>
            <w:shd w:val="clear" w:color="auto" w:fill="auto"/>
            <w:vAlign w:val="bottom"/>
          </w:tcPr>
          <w:p w14:paraId="55569CF8" w14:textId="77777777" w:rsidR="00F925DD" w:rsidRDefault="00F925DD">
            <w:pPr>
              <w:textAlignment w:val="bottom"/>
              <w:rPr>
                <w:rFonts w:ascii="Times New Roman" w:hAnsi="Times New Roman"/>
                <w:sz w:val="20"/>
                <w:szCs w:val="20"/>
              </w:rPr>
            </w:pPr>
          </w:p>
        </w:tc>
      </w:tr>
      <w:tr w:rsidR="00F925DD" w14:paraId="55569D0A" w14:textId="77777777">
        <w:tc>
          <w:tcPr>
            <w:tcW w:w="0" w:type="auto"/>
            <w:shd w:val="clear" w:color="auto" w:fill="auto"/>
            <w:tcMar>
              <w:top w:w="40" w:type="dxa"/>
              <w:left w:w="40" w:type="dxa"/>
              <w:bottom w:w="40" w:type="dxa"/>
              <w:right w:w="40" w:type="dxa"/>
            </w:tcMar>
            <w:vAlign w:val="bottom"/>
          </w:tcPr>
          <w:p w14:paraId="55569C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C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C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C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C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C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D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D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D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D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D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D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D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D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D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D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D0C" w14:textId="77777777">
        <w:tc>
          <w:tcPr>
            <w:tcW w:w="0" w:type="auto"/>
            <w:gridSpan w:val="32"/>
            <w:shd w:val="clear" w:color="auto" w:fill="auto"/>
            <w:tcMar>
              <w:top w:w="40" w:type="dxa"/>
              <w:left w:w="40" w:type="dxa"/>
              <w:bottom w:w="40" w:type="dxa"/>
              <w:right w:w="40" w:type="dxa"/>
            </w:tcMar>
            <w:vAlign w:val="bottom"/>
          </w:tcPr>
          <w:p w14:paraId="55569D0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35: TEN-DAY STRESSED VALUE-AT-RISK ASSOCIATED WITH TRADING ACTIVITIES FOR COVERED POSITIONS</w:t>
            </w:r>
          </w:p>
        </w:tc>
      </w:tr>
      <w:tr w:rsidR="00F925DD" w14:paraId="55569D11" w14:textId="77777777">
        <w:tc>
          <w:tcPr>
            <w:tcW w:w="0" w:type="auto"/>
            <w:shd w:val="clear" w:color="auto" w:fill="auto"/>
            <w:tcMar>
              <w:top w:w="40" w:type="dxa"/>
              <w:left w:w="40" w:type="dxa"/>
              <w:bottom w:w="40" w:type="dxa"/>
              <w:right w:w="40" w:type="dxa"/>
            </w:tcMar>
            <w:vAlign w:val="bottom"/>
          </w:tcPr>
          <w:p w14:paraId="55569D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9D0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 Ended December 31, 2019</w:t>
            </w:r>
          </w:p>
        </w:tc>
        <w:tc>
          <w:tcPr>
            <w:tcW w:w="0" w:type="auto"/>
            <w:shd w:val="clear" w:color="auto" w:fill="auto"/>
            <w:tcMar>
              <w:top w:w="40" w:type="dxa"/>
              <w:left w:w="40" w:type="dxa"/>
              <w:bottom w:w="40" w:type="dxa"/>
              <w:right w:w="40" w:type="dxa"/>
            </w:tcMar>
            <w:vAlign w:val="bottom"/>
          </w:tcPr>
          <w:p w14:paraId="55569D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9D1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 Ended December 31, 2018</w:t>
            </w:r>
          </w:p>
        </w:tc>
      </w:tr>
      <w:tr w:rsidR="00F925DD" w14:paraId="55569D22" w14:textId="77777777">
        <w:tc>
          <w:tcPr>
            <w:tcW w:w="0" w:type="auto"/>
            <w:shd w:val="clear" w:color="auto" w:fill="auto"/>
            <w:tcMar>
              <w:top w:w="40" w:type="dxa"/>
              <w:left w:w="40" w:type="dxa"/>
              <w:bottom w:w="40" w:type="dxa"/>
              <w:right w:w="40" w:type="dxa"/>
            </w:tcMar>
            <w:vAlign w:val="bottom"/>
          </w:tcPr>
          <w:p w14:paraId="55569D1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thousands)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D1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 Ended</w:t>
            </w:r>
          </w:p>
        </w:tc>
        <w:tc>
          <w:tcPr>
            <w:tcW w:w="0" w:type="auto"/>
            <w:shd w:val="clear" w:color="auto" w:fill="auto"/>
            <w:tcMar>
              <w:top w:w="40" w:type="dxa"/>
              <w:left w:w="40" w:type="dxa"/>
              <w:bottom w:w="40" w:type="dxa"/>
              <w:right w:w="40" w:type="dxa"/>
            </w:tcMar>
            <w:vAlign w:val="bottom"/>
          </w:tcPr>
          <w:p w14:paraId="55569D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D1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Average</w:t>
            </w:r>
          </w:p>
        </w:tc>
        <w:tc>
          <w:tcPr>
            <w:tcW w:w="0" w:type="auto"/>
            <w:shd w:val="clear" w:color="auto" w:fill="auto"/>
            <w:tcMar>
              <w:top w:w="40" w:type="dxa"/>
              <w:left w:w="40" w:type="dxa"/>
              <w:bottom w:w="40" w:type="dxa"/>
              <w:right w:w="40" w:type="dxa"/>
            </w:tcMar>
            <w:vAlign w:val="bottom"/>
          </w:tcPr>
          <w:p w14:paraId="55569D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D1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Maximum</w:t>
            </w:r>
          </w:p>
        </w:tc>
        <w:tc>
          <w:tcPr>
            <w:tcW w:w="0" w:type="auto"/>
            <w:shd w:val="clear" w:color="auto" w:fill="auto"/>
            <w:tcMar>
              <w:top w:w="40" w:type="dxa"/>
              <w:left w:w="40" w:type="dxa"/>
              <w:bottom w:w="40" w:type="dxa"/>
              <w:right w:w="40" w:type="dxa"/>
            </w:tcMar>
            <w:vAlign w:val="bottom"/>
          </w:tcPr>
          <w:p w14:paraId="55569D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D1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Minimum</w:t>
            </w:r>
          </w:p>
        </w:tc>
        <w:tc>
          <w:tcPr>
            <w:tcW w:w="0" w:type="auto"/>
            <w:shd w:val="clear" w:color="auto" w:fill="auto"/>
            <w:tcMar>
              <w:top w:w="40" w:type="dxa"/>
              <w:left w:w="40" w:type="dxa"/>
              <w:bottom w:w="40" w:type="dxa"/>
              <w:right w:w="40" w:type="dxa"/>
            </w:tcMar>
            <w:vAlign w:val="bottom"/>
          </w:tcPr>
          <w:p w14:paraId="55569D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D1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 Ended</w:t>
            </w:r>
          </w:p>
        </w:tc>
        <w:tc>
          <w:tcPr>
            <w:tcW w:w="0" w:type="auto"/>
            <w:shd w:val="clear" w:color="auto" w:fill="auto"/>
            <w:tcMar>
              <w:top w:w="40" w:type="dxa"/>
              <w:left w:w="40" w:type="dxa"/>
              <w:bottom w:w="40" w:type="dxa"/>
              <w:right w:w="40" w:type="dxa"/>
            </w:tcMar>
            <w:vAlign w:val="bottom"/>
          </w:tcPr>
          <w:p w14:paraId="55569D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D1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Average</w:t>
            </w:r>
          </w:p>
        </w:tc>
        <w:tc>
          <w:tcPr>
            <w:tcW w:w="0" w:type="auto"/>
            <w:shd w:val="clear" w:color="auto" w:fill="auto"/>
            <w:tcMar>
              <w:top w:w="40" w:type="dxa"/>
              <w:left w:w="40" w:type="dxa"/>
              <w:bottom w:w="40" w:type="dxa"/>
              <w:right w:w="40" w:type="dxa"/>
            </w:tcMar>
            <w:vAlign w:val="bottom"/>
          </w:tcPr>
          <w:p w14:paraId="55569D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D1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Maximum</w:t>
            </w:r>
          </w:p>
        </w:tc>
        <w:tc>
          <w:tcPr>
            <w:tcW w:w="0" w:type="auto"/>
            <w:shd w:val="clear" w:color="auto" w:fill="auto"/>
            <w:tcMar>
              <w:top w:w="40" w:type="dxa"/>
              <w:left w:w="40" w:type="dxa"/>
              <w:bottom w:w="40" w:type="dxa"/>
              <w:right w:w="40" w:type="dxa"/>
            </w:tcMar>
            <w:vAlign w:val="bottom"/>
          </w:tcPr>
          <w:p w14:paraId="55569D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D2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Minimum</w:t>
            </w:r>
          </w:p>
        </w:tc>
      </w:tr>
      <w:tr w:rsidR="00F925DD" w14:paraId="55569D43" w14:textId="77777777">
        <w:tc>
          <w:tcPr>
            <w:tcW w:w="0" w:type="auto"/>
            <w:shd w:val="clear" w:color="auto" w:fill="CCEEFF"/>
            <w:tcMar>
              <w:top w:w="40" w:type="dxa"/>
              <w:left w:w="40" w:type="dxa"/>
              <w:bottom w:w="40" w:type="dxa"/>
              <w:right w:w="40" w:type="dxa"/>
            </w:tcMar>
            <w:vAlign w:val="bottom"/>
          </w:tcPr>
          <w:p w14:paraId="55569D23" w14:textId="77777777" w:rsidR="00F925DD" w:rsidRDefault="00E705D7">
            <w:pPr>
              <w:textAlignment w:val="bottom"/>
              <w:rPr>
                <w:rFonts w:ascii="Times New Roman" w:hAnsi="Times New Roman"/>
                <w:sz w:val="15"/>
                <w:szCs w:val="15"/>
              </w:rPr>
            </w:pPr>
            <w:r>
              <w:rPr>
                <w:rFonts w:ascii="Arial" w:eastAsia="宋体" w:hAnsi="Arial" w:cs="Arial"/>
                <w:sz w:val="15"/>
                <w:szCs w:val="15"/>
              </w:rPr>
              <w:t>Global Markets</w:t>
            </w:r>
          </w:p>
        </w:tc>
        <w:tc>
          <w:tcPr>
            <w:tcW w:w="0" w:type="auto"/>
            <w:tcBorders>
              <w:top w:val="single" w:sz="8" w:space="0" w:color="000000"/>
            </w:tcBorders>
            <w:shd w:val="clear" w:color="auto" w:fill="CCEEFF"/>
            <w:tcMar>
              <w:top w:w="40" w:type="dxa"/>
              <w:left w:w="40" w:type="dxa"/>
              <w:bottom w:w="40" w:type="dxa"/>
            </w:tcMar>
            <w:vAlign w:val="bottom"/>
          </w:tcPr>
          <w:p w14:paraId="55569D2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9D2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48,089</w:t>
            </w:r>
          </w:p>
        </w:tc>
        <w:tc>
          <w:tcPr>
            <w:tcW w:w="0" w:type="auto"/>
            <w:tcBorders>
              <w:top w:val="single" w:sz="8" w:space="0" w:color="000000"/>
            </w:tcBorders>
            <w:shd w:val="clear" w:color="auto" w:fill="CCEEFF"/>
            <w:vAlign w:val="bottom"/>
          </w:tcPr>
          <w:p w14:paraId="55569D2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D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D2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9D2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34,574</w:t>
            </w:r>
          </w:p>
        </w:tc>
        <w:tc>
          <w:tcPr>
            <w:tcW w:w="0" w:type="auto"/>
            <w:tcBorders>
              <w:top w:val="single" w:sz="8" w:space="0" w:color="000000"/>
            </w:tcBorders>
            <w:shd w:val="clear" w:color="auto" w:fill="CCEEFF"/>
            <w:vAlign w:val="bottom"/>
          </w:tcPr>
          <w:p w14:paraId="55569D2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D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D2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9D2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55,751</w:t>
            </w:r>
          </w:p>
        </w:tc>
        <w:tc>
          <w:tcPr>
            <w:tcW w:w="0" w:type="auto"/>
            <w:tcBorders>
              <w:top w:val="single" w:sz="8" w:space="0" w:color="000000"/>
            </w:tcBorders>
            <w:shd w:val="clear" w:color="auto" w:fill="CCEEFF"/>
            <w:vAlign w:val="bottom"/>
          </w:tcPr>
          <w:p w14:paraId="55569D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D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D3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9D3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17,492</w:t>
            </w:r>
          </w:p>
        </w:tc>
        <w:tc>
          <w:tcPr>
            <w:tcW w:w="0" w:type="auto"/>
            <w:tcBorders>
              <w:top w:val="single" w:sz="8" w:space="0" w:color="000000"/>
            </w:tcBorders>
            <w:shd w:val="clear" w:color="auto" w:fill="CCEEFF"/>
            <w:vAlign w:val="bottom"/>
          </w:tcPr>
          <w:p w14:paraId="55569D3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D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D3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9D3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26,512</w:t>
            </w:r>
          </w:p>
        </w:tc>
        <w:tc>
          <w:tcPr>
            <w:tcW w:w="0" w:type="auto"/>
            <w:tcBorders>
              <w:top w:val="single" w:sz="8" w:space="0" w:color="000000"/>
            </w:tcBorders>
            <w:shd w:val="clear" w:color="auto" w:fill="CCEEFF"/>
            <w:vAlign w:val="bottom"/>
          </w:tcPr>
          <w:p w14:paraId="55569D3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D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D3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9D3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32,744</w:t>
            </w:r>
          </w:p>
        </w:tc>
        <w:tc>
          <w:tcPr>
            <w:tcW w:w="0" w:type="auto"/>
            <w:tcBorders>
              <w:top w:val="single" w:sz="8" w:space="0" w:color="000000"/>
            </w:tcBorders>
            <w:shd w:val="clear" w:color="auto" w:fill="CCEEFF"/>
            <w:vAlign w:val="bottom"/>
          </w:tcPr>
          <w:p w14:paraId="55569D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D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D3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9D3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58,221</w:t>
            </w:r>
          </w:p>
        </w:tc>
        <w:tc>
          <w:tcPr>
            <w:tcW w:w="0" w:type="auto"/>
            <w:tcBorders>
              <w:top w:val="single" w:sz="8" w:space="0" w:color="000000"/>
            </w:tcBorders>
            <w:shd w:val="clear" w:color="auto" w:fill="CCEEFF"/>
            <w:vAlign w:val="bottom"/>
          </w:tcPr>
          <w:p w14:paraId="55569D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D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9D4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9D4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14,811</w:t>
            </w:r>
          </w:p>
        </w:tc>
        <w:tc>
          <w:tcPr>
            <w:tcW w:w="0" w:type="auto"/>
            <w:tcBorders>
              <w:top w:val="single" w:sz="8" w:space="0" w:color="000000"/>
            </w:tcBorders>
            <w:shd w:val="clear" w:color="auto" w:fill="CCEEFF"/>
            <w:vAlign w:val="bottom"/>
          </w:tcPr>
          <w:p w14:paraId="55569D42" w14:textId="77777777" w:rsidR="00F925DD" w:rsidRDefault="00F925DD">
            <w:pPr>
              <w:textAlignment w:val="bottom"/>
              <w:rPr>
                <w:rFonts w:ascii="Times New Roman" w:hAnsi="Times New Roman"/>
                <w:sz w:val="20"/>
                <w:szCs w:val="20"/>
              </w:rPr>
            </w:pPr>
          </w:p>
        </w:tc>
      </w:tr>
      <w:tr w:rsidR="00F925DD" w14:paraId="55569D5C" w14:textId="77777777">
        <w:tc>
          <w:tcPr>
            <w:tcW w:w="0" w:type="auto"/>
            <w:shd w:val="clear" w:color="auto" w:fill="auto"/>
            <w:tcMar>
              <w:top w:w="40" w:type="dxa"/>
              <w:left w:w="40" w:type="dxa"/>
              <w:bottom w:w="40" w:type="dxa"/>
              <w:right w:w="40" w:type="dxa"/>
            </w:tcMar>
            <w:vAlign w:val="bottom"/>
          </w:tcPr>
          <w:p w14:paraId="55569D44" w14:textId="77777777" w:rsidR="00F925DD" w:rsidRDefault="00E705D7">
            <w:pPr>
              <w:textAlignment w:val="bottom"/>
              <w:rPr>
                <w:rFonts w:ascii="Times New Roman" w:hAnsi="Times New Roman"/>
                <w:sz w:val="15"/>
                <w:szCs w:val="15"/>
              </w:rPr>
            </w:pPr>
            <w:r>
              <w:rPr>
                <w:rFonts w:ascii="Arial" w:eastAsia="宋体" w:hAnsi="Arial" w:cs="Arial"/>
                <w:sz w:val="15"/>
                <w:szCs w:val="15"/>
              </w:rPr>
              <w:t>Global Treasury</w:t>
            </w:r>
          </w:p>
        </w:tc>
        <w:tc>
          <w:tcPr>
            <w:tcW w:w="0" w:type="auto"/>
            <w:gridSpan w:val="2"/>
            <w:shd w:val="clear" w:color="auto" w:fill="auto"/>
            <w:tcMar>
              <w:top w:w="40" w:type="dxa"/>
              <w:left w:w="40" w:type="dxa"/>
              <w:bottom w:w="40" w:type="dxa"/>
            </w:tcMar>
            <w:vAlign w:val="bottom"/>
          </w:tcPr>
          <w:p w14:paraId="55569D4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5,898</w:t>
            </w:r>
          </w:p>
        </w:tc>
        <w:tc>
          <w:tcPr>
            <w:tcW w:w="0" w:type="auto"/>
            <w:shd w:val="clear" w:color="auto" w:fill="auto"/>
            <w:vAlign w:val="bottom"/>
          </w:tcPr>
          <w:p w14:paraId="55569D4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D4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3,454</w:t>
            </w:r>
          </w:p>
        </w:tc>
        <w:tc>
          <w:tcPr>
            <w:tcW w:w="0" w:type="auto"/>
            <w:shd w:val="clear" w:color="auto" w:fill="auto"/>
            <w:vAlign w:val="bottom"/>
          </w:tcPr>
          <w:p w14:paraId="55569D4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D4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8,376</w:t>
            </w:r>
          </w:p>
        </w:tc>
        <w:tc>
          <w:tcPr>
            <w:tcW w:w="0" w:type="auto"/>
            <w:shd w:val="clear" w:color="auto" w:fill="auto"/>
            <w:vAlign w:val="bottom"/>
          </w:tcPr>
          <w:p w14:paraId="55569D4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D4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842</w:t>
            </w:r>
          </w:p>
        </w:tc>
        <w:tc>
          <w:tcPr>
            <w:tcW w:w="0" w:type="auto"/>
            <w:shd w:val="clear" w:color="auto" w:fill="auto"/>
            <w:vAlign w:val="bottom"/>
          </w:tcPr>
          <w:p w14:paraId="55569D4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D5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7,683</w:t>
            </w:r>
          </w:p>
        </w:tc>
        <w:tc>
          <w:tcPr>
            <w:tcW w:w="0" w:type="auto"/>
            <w:shd w:val="clear" w:color="auto" w:fill="auto"/>
            <w:vAlign w:val="bottom"/>
          </w:tcPr>
          <w:p w14:paraId="55569D5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D5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3,659</w:t>
            </w:r>
          </w:p>
        </w:tc>
        <w:tc>
          <w:tcPr>
            <w:tcW w:w="0" w:type="auto"/>
            <w:shd w:val="clear" w:color="auto" w:fill="auto"/>
            <w:vAlign w:val="bottom"/>
          </w:tcPr>
          <w:p w14:paraId="55569D5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D5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10,177</w:t>
            </w:r>
          </w:p>
        </w:tc>
        <w:tc>
          <w:tcPr>
            <w:tcW w:w="0" w:type="auto"/>
            <w:shd w:val="clear" w:color="auto" w:fill="auto"/>
            <w:vAlign w:val="bottom"/>
          </w:tcPr>
          <w:p w14:paraId="55569D5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D5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342</w:t>
            </w:r>
          </w:p>
        </w:tc>
        <w:tc>
          <w:tcPr>
            <w:tcW w:w="0" w:type="auto"/>
            <w:shd w:val="clear" w:color="auto" w:fill="auto"/>
            <w:vAlign w:val="bottom"/>
          </w:tcPr>
          <w:p w14:paraId="55569D5B" w14:textId="77777777" w:rsidR="00F925DD" w:rsidRDefault="00F925DD">
            <w:pPr>
              <w:textAlignment w:val="bottom"/>
              <w:rPr>
                <w:rFonts w:ascii="Times New Roman" w:hAnsi="Times New Roman"/>
                <w:sz w:val="20"/>
                <w:szCs w:val="20"/>
              </w:rPr>
            </w:pPr>
          </w:p>
        </w:tc>
      </w:tr>
      <w:tr w:rsidR="00F925DD" w14:paraId="55569D75" w14:textId="77777777">
        <w:tc>
          <w:tcPr>
            <w:tcW w:w="0" w:type="auto"/>
            <w:shd w:val="clear" w:color="auto" w:fill="CCEEFF"/>
            <w:tcMar>
              <w:top w:w="40" w:type="dxa"/>
              <w:left w:w="40" w:type="dxa"/>
              <w:bottom w:w="40" w:type="dxa"/>
              <w:right w:w="40" w:type="dxa"/>
            </w:tcMar>
            <w:vAlign w:val="bottom"/>
          </w:tcPr>
          <w:p w14:paraId="55569D5D" w14:textId="77777777" w:rsidR="00F925DD" w:rsidRDefault="00E705D7">
            <w:pPr>
              <w:textAlignment w:val="bottom"/>
              <w:rPr>
                <w:rFonts w:ascii="Times New Roman" w:hAnsi="Times New Roman"/>
                <w:sz w:val="15"/>
                <w:szCs w:val="15"/>
              </w:rPr>
            </w:pPr>
            <w:r>
              <w:rPr>
                <w:rFonts w:ascii="Arial" w:eastAsia="宋体" w:hAnsi="Arial" w:cs="Arial"/>
                <w:sz w:val="15"/>
                <w:szCs w:val="15"/>
              </w:rPr>
              <w:t>Diversification</w:t>
            </w:r>
          </w:p>
        </w:tc>
        <w:tc>
          <w:tcPr>
            <w:tcW w:w="0" w:type="auto"/>
            <w:gridSpan w:val="2"/>
            <w:shd w:val="clear" w:color="auto" w:fill="CCEEFF"/>
            <w:tcMar>
              <w:top w:w="40" w:type="dxa"/>
              <w:left w:w="40" w:type="dxa"/>
              <w:bottom w:w="40" w:type="dxa"/>
            </w:tcMar>
            <w:vAlign w:val="bottom"/>
          </w:tcPr>
          <w:p w14:paraId="55569D5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(8,289</w:t>
            </w:r>
          </w:p>
        </w:tc>
        <w:tc>
          <w:tcPr>
            <w:tcW w:w="0" w:type="auto"/>
            <w:shd w:val="clear" w:color="auto" w:fill="CCEEFF"/>
            <w:tcMar>
              <w:top w:w="40" w:type="dxa"/>
              <w:bottom w:w="40" w:type="dxa"/>
              <w:right w:w="40" w:type="dxa"/>
            </w:tcMar>
            <w:vAlign w:val="bottom"/>
          </w:tcPr>
          <w:p w14:paraId="55569D5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D60"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9D6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(3,459</w:t>
            </w:r>
          </w:p>
        </w:tc>
        <w:tc>
          <w:tcPr>
            <w:tcW w:w="0" w:type="auto"/>
            <w:shd w:val="clear" w:color="auto" w:fill="CCEEFF"/>
            <w:tcMar>
              <w:top w:w="40" w:type="dxa"/>
              <w:bottom w:w="40" w:type="dxa"/>
              <w:right w:w="40" w:type="dxa"/>
            </w:tcMar>
            <w:vAlign w:val="bottom"/>
          </w:tcPr>
          <w:p w14:paraId="55569D6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D63"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9D6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(5,962</w:t>
            </w:r>
          </w:p>
        </w:tc>
        <w:tc>
          <w:tcPr>
            <w:tcW w:w="0" w:type="auto"/>
            <w:shd w:val="clear" w:color="auto" w:fill="CCEEFF"/>
            <w:tcMar>
              <w:top w:w="40" w:type="dxa"/>
              <w:bottom w:w="40" w:type="dxa"/>
              <w:right w:w="40" w:type="dxa"/>
            </w:tcMar>
            <w:vAlign w:val="bottom"/>
          </w:tcPr>
          <w:p w14:paraId="55569D6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D66"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9D6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(1,734</w:t>
            </w:r>
          </w:p>
        </w:tc>
        <w:tc>
          <w:tcPr>
            <w:tcW w:w="0" w:type="auto"/>
            <w:shd w:val="clear" w:color="auto" w:fill="CCEEFF"/>
            <w:tcMar>
              <w:top w:w="40" w:type="dxa"/>
              <w:bottom w:w="40" w:type="dxa"/>
              <w:right w:w="40" w:type="dxa"/>
            </w:tcMar>
            <w:vAlign w:val="bottom"/>
          </w:tcPr>
          <w:p w14:paraId="55569D6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D69"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9D6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(7,919</w:t>
            </w:r>
          </w:p>
        </w:tc>
        <w:tc>
          <w:tcPr>
            <w:tcW w:w="0" w:type="auto"/>
            <w:tcBorders>
              <w:bottom w:val="single" w:sz="8" w:space="0" w:color="000000"/>
            </w:tcBorders>
            <w:shd w:val="clear" w:color="auto" w:fill="CCEEFF"/>
            <w:tcMar>
              <w:top w:w="40" w:type="dxa"/>
              <w:bottom w:w="40" w:type="dxa"/>
              <w:right w:w="40" w:type="dxa"/>
            </w:tcMar>
            <w:vAlign w:val="bottom"/>
          </w:tcPr>
          <w:p w14:paraId="55569D6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9D6C"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9D6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(4,101</w:t>
            </w:r>
          </w:p>
        </w:tc>
        <w:tc>
          <w:tcPr>
            <w:tcW w:w="0" w:type="auto"/>
            <w:tcBorders>
              <w:bottom w:val="single" w:sz="8" w:space="0" w:color="000000"/>
            </w:tcBorders>
            <w:shd w:val="clear" w:color="auto" w:fill="CCEEFF"/>
            <w:tcMar>
              <w:top w:w="40" w:type="dxa"/>
              <w:bottom w:w="40" w:type="dxa"/>
              <w:right w:w="40" w:type="dxa"/>
            </w:tcMar>
            <w:vAlign w:val="bottom"/>
          </w:tcPr>
          <w:p w14:paraId="55569D6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9D6F"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9D7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(10,179</w:t>
            </w:r>
          </w:p>
        </w:tc>
        <w:tc>
          <w:tcPr>
            <w:tcW w:w="0" w:type="auto"/>
            <w:tcBorders>
              <w:bottom w:val="single" w:sz="8" w:space="0" w:color="000000"/>
            </w:tcBorders>
            <w:shd w:val="clear" w:color="auto" w:fill="CCEEFF"/>
            <w:tcMar>
              <w:top w:w="40" w:type="dxa"/>
              <w:bottom w:w="40" w:type="dxa"/>
              <w:right w:w="40" w:type="dxa"/>
            </w:tcMar>
            <w:vAlign w:val="bottom"/>
          </w:tcPr>
          <w:p w14:paraId="55569D7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9D72"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9D7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(325</w:t>
            </w:r>
          </w:p>
        </w:tc>
        <w:tc>
          <w:tcPr>
            <w:tcW w:w="0" w:type="auto"/>
            <w:tcBorders>
              <w:bottom w:val="single" w:sz="8" w:space="0" w:color="000000"/>
            </w:tcBorders>
            <w:shd w:val="clear" w:color="auto" w:fill="CCEEFF"/>
            <w:tcMar>
              <w:top w:w="40" w:type="dxa"/>
              <w:bottom w:w="40" w:type="dxa"/>
              <w:right w:w="40" w:type="dxa"/>
            </w:tcMar>
            <w:vAlign w:val="bottom"/>
          </w:tcPr>
          <w:p w14:paraId="55569D7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9D96" w14:textId="77777777">
        <w:tc>
          <w:tcPr>
            <w:tcW w:w="0" w:type="auto"/>
            <w:shd w:val="clear" w:color="auto" w:fill="auto"/>
            <w:tcMar>
              <w:top w:w="40" w:type="dxa"/>
              <w:left w:w="40" w:type="dxa"/>
              <w:bottom w:w="40" w:type="dxa"/>
              <w:right w:w="40" w:type="dxa"/>
            </w:tcMar>
            <w:vAlign w:val="bottom"/>
          </w:tcPr>
          <w:p w14:paraId="55569D76"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Stressed VaR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D7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D7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45,698</w:t>
            </w:r>
          </w:p>
        </w:tc>
        <w:tc>
          <w:tcPr>
            <w:tcW w:w="0" w:type="auto"/>
            <w:tcBorders>
              <w:top w:val="single" w:sz="8" w:space="0" w:color="000000"/>
              <w:bottom w:val="double" w:sz="6" w:space="0" w:color="000000"/>
            </w:tcBorders>
            <w:shd w:val="clear" w:color="auto" w:fill="auto"/>
            <w:vAlign w:val="bottom"/>
          </w:tcPr>
          <w:p w14:paraId="55569D7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D7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D7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34,569</w:t>
            </w:r>
          </w:p>
        </w:tc>
        <w:tc>
          <w:tcPr>
            <w:tcW w:w="0" w:type="auto"/>
            <w:tcBorders>
              <w:top w:val="single" w:sz="8" w:space="0" w:color="000000"/>
              <w:bottom w:val="double" w:sz="6" w:space="0" w:color="000000"/>
            </w:tcBorders>
            <w:shd w:val="clear" w:color="auto" w:fill="auto"/>
            <w:vAlign w:val="bottom"/>
          </w:tcPr>
          <w:p w14:paraId="55569D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D7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D8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58,165</w:t>
            </w:r>
          </w:p>
        </w:tc>
        <w:tc>
          <w:tcPr>
            <w:tcW w:w="0" w:type="auto"/>
            <w:tcBorders>
              <w:top w:val="single" w:sz="8" w:space="0" w:color="000000"/>
              <w:bottom w:val="double" w:sz="6" w:space="0" w:color="000000"/>
            </w:tcBorders>
            <w:shd w:val="clear" w:color="auto" w:fill="auto"/>
            <w:vAlign w:val="bottom"/>
          </w:tcPr>
          <w:p w14:paraId="55569D8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D8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D8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16,600</w:t>
            </w:r>
          </w:p>
        </w:tc>
        <w:tc>
          <w:tcPr>
            <w:tcW w:w="0" w:type="auto"/>
            <w:tcBorders>
              <w:top w:val="single" w:sz="8" w:space="0" w:color="000000"/>
              <w:bottom w:val="double" w:sz="6" w:space="0" w:color="000000"/>
            </w:tcBorders>
            <w:shd w:val="clear" w:color="auto" w:fill="auto"/>
            <w:vAlign w:val="bottom"/>
          </w:tcPr>
          <w:p w14:paraId="55569D8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D8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D8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26,276</w:t>
            </w:r>
          </w:p>
        </w:tc>
        <w:tc>
          <w:tcPr>
            <w:tcW w:w="0" w:type="auto"/>
            <w:tcBorders>
              <w:top w:val="single" w:sz="8" w:space="0" w:color="000000"/>
              <w:bottom w:val="double" w:sz="6" w:space="0" w:color="000000"/>
            </w:tcBorders>
            <w:shd w:val="clear" w:color="auto" w:fill="auto"/>
            <w:vAlign w:val="bottom"/>
          </w:tcPr>
          <w:p w14:paraId="55569D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D8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D8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32,302</w:t>
            </w:r>
          </w:p>
        </w:tc>
        <w:tc>
          <w:tcPr>
            <w:tcW w:w="0" w:type="auto"/>
            <w:tcBorders>
              <w:top w:val="single" w:sz="8" w:space="0" w:color="000000"/>
              <w:bottom w:val="double" w:sz="6" w:space="0" w:color="000000"/>
            </w:tcBorders>
            <w:shd w:val="clear" w:color="auto" w:fill="auto"/>
            <w:vAlign w:val="bottom"/>
          </w:tcPr>
          <w:p w14:paraId="55569D8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D8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D9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58,219</w:t>
            </w:r>
          </w:p>
        </w:tc>
        <w:tc>
          <w:tcPr>
            <w:tcW w:w="0" w:type="auto"/>
            <w:tcBorders>
              <w:top w:val="single" w:sz="8" w:space="0" w:color="000000"/>
              <w:bottom w:val="double" w:sz="6" w:space="0" w:color="000000"/>
            </w:tcBorders>
            <w:shd w:val="clear" w:color="auto" w:fill="auto"/>
            <w:vAlign w:val="bottom"/>
          </w:tcPr>
          <w:p w14:paraId="55569D9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D9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D9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14,828</w:t>
            </w:r>
          </w:p>
        </w:tc>
        <w:tc>
          <w:tcPr>
            <w:tcW w:w="0" w:type="auto"/>
            <w:tcBorders>
              <w:top w:val="single" w:sz="8" w:space="0" w:color="000000"/>
              <w:bottom w:val="double" w:sz="6" w:space="0" w:color="000000"/>
            </w:tcBorders>
            <w:shd w:val="clear" w:color="auto" w:fill="auto"/>
            <w:vAlign w:val="bottom"/>
          </w:tcPr>
          <w:p w14:paraId="55569D95" w14:textId="77777777" w:rsidR="00F925DD" w:rsidRDefault="00F925DD">
            <w:pPr>
              <w:textAlignment w:val="bottom"/>
              <w:rPr>
                <w:rFonts w:ascii="Times New Roman" w:hAnsi="Times New Roman"/>
                <w:sz w:val="20"/>
                <w:szCs w:val="20"/>
              </w:rPr>
            </w:pPr>
          </w:p>
        </w:tc>
      </w:tr>
    </w:tbl>
    <w:p w14:paraId="55569D97" w14:textId="77777777" w:rsidR="00F925DD" w:rsidRDefault="00F925DD">
      <w:pPr>
        <w:rPr>
          <w:rFonts w:ascii="Times New Roman" w:hAnsi="Times New Roman"/>
          <w:sz w:val="20"/>
          <w:szCs w:val="20"/>
        </w:rPr>
      </w:pPr>
    </w:p>
    <w:p w14:paraId="55569D98"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102</w:t>
      </w:r>
    </w:p>
    <w:p w14:paraId="55569D99" w14:textId="77777777" w:rsidR="00F925DD" w:rsidRDefault="00F925DD">
      <w:pPr>
        <w:spacing w:line="288" w:lineRule="auto"/>
        <w:ind w:firstLine="600"/>
        <w:jc w:val="center"/>
        <w:rPr>
          <w:rFonts w:ascii="Times New Roman" w:hAnsi="Times New Roman"/>
          <w:sz w:val="18"/>
          <w:szCs w:val="18"/>
        </w:rPr>
      </w:pPr>
    </w:p>
    <w:p w14:paraId="55569D9A" w14:textId="77777777" w:rsidR="00F925DD" w:rsidRDefault="00E705D7">
      <w:r>
        <w:rPr>
          <w:rFonts w:ascii="Times New Roman" w:hAnsi="Times New Roman"/>
          <w:sz w:val="18"/>
          <w:szCs w:val="18"/>
        </w:rPr>
        <w:pict w14:anchorId="555706A0">
          <v:rect id="_x0000_i1126" style="width:415.3pt;height:1.5pt" o:hralign="center" o:hrstd="t" o:hr="t" fillcolor="#a0a0a0" stroked="f"/>
        </w:pict>
      </w:r>
    </w:p>
    <w:p w14:paraId="55569D9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D9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D9D" w14:textId="77777777" w:rsidR="00F925DD" w:rsidRDefault="00F925DD">
      <w:pPr>
        <w:rPr>
          <w:rFonts w:ascii="Times New Roman" w:hAnsi="Times New Roman"/>
          <w:sz w:val="20"/>
          <w:szCs w:val="20"/>
        </w:rPr>
      </w:pPr>
    </w:p>
    <w:p w14:paraId="55569D9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average of our stressed VaR-based measure was approximately $35 million for the year ended December 31, 2019, compared to an </w:t>
      </w:r>
      <w:r>
        <w:rPr>
          <w:rFonts w:ascii="Arial" w:eastAsia="宋体" w:hAnsi="Arial" w:cs="Arial"/>
          <w:sz w:val="20"/>
          <w:szCs w:val="20"/>
        </w:rPr>
        <w:t>average of approximately $32 million for the year ended December 31, 2018.</w:t>
      </w:r>
    </w:p>
    <w:p w14:paraId="55569D9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average stressed VaR-based measure as of December 31, 2019 was relatively unchanged compared to December 31, 2018. Our stressed VaR-based measure increased as of December 31, 20</w:t>
      </w:r>
      <w:r>
        <w:rPr>
          <w:rFonts w:ascii="Arial" w:eastAsia="宋体" w:hAnsi="Arial" w:cs="Arial"/>
          <w:sz w:val="20"/>
          <w:szCs w:val="20"/>
        </w:rPr>
        <w:t>19 compared to December 31, 2018, primarily due to larger FX net open positions.</w:t>
      </w:r>
    </w:p>
    <w:p w14:paraId="55569DA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VaR-based measures presented in the preceding tables are primarily a reflection of the overall level of market volatility and our appetite for taking market risk in our tr</w:t>
      </w:r>
      <w:r>
        <w:rPr>
          <w:rFonts w:ascii="Arial" w:eastAsia="宋体" w:hAnsi="Arial" w:cs="Arial"/>
          <w:sz w:val="20"/>
          <w:szCs w:val="20"/>
        </w:rPr>
        <w:t>ading activities. Overall levels of volatility have been low both on an absolute basis and relative to the historical information observed at the beginning of the period used for the calculations. Both the ten-day VaR-based measures and the stressed VaR-ba</w:t>
      </w:r>
      <w:r>
        <w:rPr>
          <w:rFonts w:ascii="Arial" w:eastAsia="宋体" w:hAnsi="Arial" w:cs="Arial"/>
          <w:sz w:val="20"/>
          <w:szCs w:val="20"/>
        </w:rPr>
        <w:t>sed measures are based on historical changes observed during rolling ten-day periods for the portfolios as of the close of business each day over the past one-year period.</w:t>
      </w:r>
    </w:p>
    <w:p w14:paraId="55569DA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may in the future modify and adjust our models and methodologies used to calculat</w:t>
      </w:r>
      <w:r>
        <w:rPr>
          <w:rFonts w:ascii="Arial" w:eastAsia="宋体" w:hAnsi="Arial" w:cs="Arial"/>
          <w:sz w:val="20"/>
          <w:szCs w:val="20"/>
        </w:rPr>
        <w:t>e VaR and stressed VaR, subject to regulatory review and approval, and these modifications and adjustments may result in changes in our VaR-based and stressed VaR-based measures.</w:t>
      </w:r>
    </w:p>
    <w:p w14:paraId="55569DA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the VaR and stressed-VaR associated with our tra</w:t>
      </w:r>
      <w:r>
        <w:rPr>
          <w:rFonts w:ascii="Arial" w:eastAsia="宋体" w:hAnsi="Arial" w:cs="Arial"/>
          <w:sz w:val="20"/>
          <w:szCs w:val="20"/>
        </w:rPr>
        <w:t>ding activities attributable to foreign exchange risk, interest rate risk and volatility risk as of December 31, 2019 and 2018, respectively. The totals of the VaR-based and stressed VaR-based measures for the three attributes in total exceeded the related</w:t>
      </w:r>
      <w:r>
        <w:rPr>
          <w:rFonts w:ascii="Arial" w:eastAsia="宋体" w:hAnsi="Arial" w:cs="Arial"/>
          <w:sz w:val="20"/>
          <w:szCs w:val="20"/>
        </w:rPr>
        <w:t xml:space="preserve"> total VaR and total stressed VaR presented in the foregoing tables as of each period-end, primarily due to the benefits of diversification across risk types. Diversification effect in the tables below represents the difference between total VaR and the su</w:t>
      </w:r>
      <w:r>
        <w:rPr>
          <w:rFonts w:ascii="Arial" w:eastAsia="宋体" w:hAnsi="Arial" w:cs="Arial"/>
          <w:sz w:val="20"/>
          <w:szCs w:val="20"/>
        </w:rPr>
        <w:t>m of the VaRs for each trading activity. This effect arises because the risks present in our trading activities are not perfectly correlated.</w:t>
      </w:r>
    </w:p>
    <w:tbl>
      <w:tblPr>
        <w:tblW w:w="5000" w:type="pct"/>
        <w:tblCellMar>
          <w:left w:w="0" w:type="dxa"/>
          <w:right w:w="0" w:type="dxa"/>
        </w:tblCellMar>
        <w:tblLook w:val="04A0" w:firstRow="1" w:lastRow="0" w:firstColumn="1" w:lastColumn="0" w:noHBand="0" w:noVBand="1"/>
      </w:tblPr>
      <w:tblGrid>
        <w:gridCol w:w="2009"/>
        <w:gridCol w:w="125"/>
        <w:gridCol w:w="1261"/>
        <w:gridCol w:w="91"/>
        <w:gridCol w:w="130"/>
        <w:gridCol w:w="125"/>
        <w:gridCol w:w="1261"/>
        <w:gridCol w:w="91"/>
        <w:gridCol w:w="130"/>
        <w:gridCol w:w="125"/>
        <w:gridCol w:w="1261"/>
        <w:gridCol w:w="91"/>
        <w:gridCol w:w="130"/>
        <w:gridCol w:w="124"/>
        <w:gridCol w:w="1262"/>
        <w:gridCol w:w="90"/>
      </w:tblGrid>
      <w:tr w:rsidR="00F925DD" w14:paraId="55569DA4" w14:textId="77777777">
        <w:tc>
          <w:tcPr>
            <w:tcW w:w="0" w:type="auto"/>
            <w:gridSpan w:val="16"/>
            <w:shd w:val="clear" w:color="auto" w:fill="auto"/>
            <w:vAlign w:val="center"/>
          </w:tcPr>
          <w:p w14:paraId="55569DA3" w14:textId="77777777" w:rsidR="00F925DD" w:rsidRDefault="00F925DD">
            <w:pPr>
              <w:rPr>
                <w:rFonts w:ascii="Times New Roman" w:hAnsi="Times New Roman"/>
                <w:sz w:val="20"/>
                <w:szCs w:val="20"/>
              </w:rPr>
            </w:pPr>
          </w:p>
        </w:tc>
      </w:tr>
      <w:tr w:rsidR="00F925DD" w14:paraId="55569DB5" w14:textId="77777777">
        <w:tc>
          <w:tcPr>
            <w:tcW w:w="1250" w:type="pct"/>
            <w:shd w:val="clear" w:color="auto" w:fill="auto"/>
            <w:vAlign w:val="center"/>
          </w:tcPr>
          <w:p w14:paraId="55569DA5" w14:textId="77777777" w:rsidR="00F925DD" w:rsidRDefault="00F925DD">
            <w:pPr>
              <w:rPr>
                <w:rFonts w:ascii="Times New Roman" w:hAnsi="Times New Roman"/>
                <w:sz w:val="20"/>
                <w:szCs w:val="20"/>
              </w:rPr>
            </w:pPr>
          </w:p>
        </w:tc>
        <w:tc>
          <w:tcPr>
            <w:tcW w:w="50" w:type="pct"/>
            <w:shd w:val="clear" w:color="auto" w:fill="auto"/>
            <w:vAlign w:val="center"/>
          </w:tcPr>
          <w:p w14:paraId="55569DA6" w14:textId="77777777" w:rsidR="00F925DD" w:rsidRDefault="00F925DD">
            <w:pPr>
              <w:rPr>
                <w:rFonts w:ascii="Times New Roman" w:hAnsi="Times New Roman"/>
                <w:sz w:val="20"/>
                <w:szCs w:val="20"/>
              </w:rPr>
            </w:pPr>
          </w:p>
        </w:tc>
        <w:tc>
          <w:tcPr>
            <w:tcW w:w="800" w:type="pct"/>
            <w:shd w:val="clear" w:color="auto" w:fill="auto"/>
            <w:vAlign w:val="center"/>
          </w:tcPr>
          <w:p w14:paraId="55569DA7" w14:textId="77777777" w:rsidR="00F925DD" w:rsidRDefault="00F925DD">
            <w:pPr>
              <w:rPr>
                <w:rFonts w:ascii="Times New Roman" w:hAnsi="Times New Roman"/>
                <w:sz w:val="20"/>
                <w:szCs w:val="20"/>
              </w:rPr>
            </w:pPr>
          </w:p>
        </w:tc>
        <w:tc>
          <w:tcPr>
            <w:tcW w:w="50" w:type="pct"/>
            <w:shd w:val="clear" w:color="auto" w:fill="auto"/>
            <w:vAlign w:val="center"/>
          </w:tcPr>
          <w:p w14:paraId="55569DA8" w14:textId="77777777" w:rsidR="00F925DD" w:rsidRDefault="00F925DD">
            <w:pPr>
              <w:rPr>
                <w:rFonts w:ascii="Times New Roman" w:hAnsi="Times New Roman"/>
                <w:sz w:val="20"/>
                <w:szCs w:val="20"/>
              </w:rPr>
            </w:pPr>
          </w:p>
        </w:tc>
        <w:tc>
          <w:tcPr>
            <w:tcW w:w="50" w:type="pct"/>
            <w:shd w:val="clear" w:color="auto" w:fill="auto"/>
            <w:vAlign w:val="center"/>
          </w:tcPr>
          <w:p w14:paraId="55569DA9" w14:textId="77777777" w:rsidR="00F925DD" w:rsidRDefault="00F925DD">
            <w:pPr>
              <w:rPr>
                <w:rFonts w:ascii="Times New Roman" w:hAnsi="Times New Roman"/>
                <w:sz w:val="20"/>
                <w:szCs w:val="20"/>
              </w:rPr>
            </w:pPr>
          </w:p>
        </w:tc>
        <w:tc>
          <w:tcPr>
            <w:tcW w:w="50" w:type="pct"/>
            <w:shd w:val="clear" w:color="auto" w:fill="auto"/>
            <w:vAlign w:val="center"/>
          </w:tcPr>
          <w:p w14:paraId="55569DAA" w14:textId="77777777" w:rsidR="00F925DD" w:rsidRDefault="00F925DD">
            <w:pPr>
              <w:rPr>
                <w:rFonts w:ascii="Times New Roman" w:hAnsi="Times New Roman"/>
                <w:sz w:val="20"/>
                <w:szCs w:val="20"/>
              </w:rPr>
            </w:pPr>
          </w:p>
        </w:tc>
        <w:tc>
          <w:tcPr>
            <w:tcW w:w="800" w:type="pct"/>
            <w:shd w:val="clear" w:color="auto" w:fill="auto"/>
            <w:vAlign w:val="center"/>
          </w:tcPr>
          <w:p w14:paraId="55569DAB" w14:textId="77777777" w:rsidR="00F925DD" w:rsidRDefault="00F925DD">
            <w:pPr>
              <w:rPr>
                <w:rFonts w:ascii="Times New Roman" w:hAnsi="Times New Roman"/>
                <w:sz w:val="20"/>
                <w:szCs w:val="20"/>
              </w:rPr>
            </w:pPr>
          </w:p>
        </w:tc>
        <w:tc>
          <w:tcPr>
            <w:tcW w:w="50" w:type="pct"/>
            <w:shd w:val="clear" w:color="auto" w:fill="auto"/>
            <w:vAlign w:val="center"/>
          </w:tcPr>
          <w:p w14:paraId="55569DAC" w14:textId="77777777" w:rsidR="00F925DD" w:rsidRDefault="00F925DD">
            <w:pPr>
              <w:rPr>
                <w:rFonts w:ascii="Times New Roman" w:hAnsi="Times New Roman"/>
                <w:sz w:val="20"/>
                <w:szCs w:val="20"/>
              </w:rPr>
            </w:pPr>
          </w:p>
        </w:tc>
        <w:tc>
          <w:tcPr>
            <w:tcW w:w="50" w:type="pct"/>
            <w:shd w:val="clear" w:color="auto" w:fill="auto"/>
            <w:vAlign w:val="center"/>
          </w:tcPr>
          <w:p w14:paraId="55569DAD" w14:textId="77777777" w:rsidR="00F925DD" w:rsidRDefault="00F925DD">
            <w:pPr>
              <w:rPr>
                <w:rFonts w:ascii="Times New Roman" w:hAnsi="Times New Roman"/>
                <w:sz w:val="20"/>
                <w:szCs w:val="20"/>
              </w:rPr>
            </w:pPr>
          </w:p>
        </w:tc>
        <w:tc>
          <w:tcPr>
            <w:tcW w:w="50" w:type="pct"/>
            <w:shd w:val="clear" w:color="auto" w:fill="auto"/>
            <w:vAlign w:val="center"/>
          </w:tcPr>
          <w:p w14:paraId="55569DAE" w14:textId="77777777" w:rsidR="00F925DD" w:rsidRDefault="00F925DD">
            <w:pPr>
              <w:rPr>
                <w:rFonts w:ascii="Times New Roman" w:hAnsi="Times New Roman"/>
                <w:sz w:val="20"/>
                <w:szCs w:val="20"/>
              </w:rPr>
            </w:pPr>
          </w:p>
        </w:tc>
        <w:tc>
          <w:tcPr>
            <w:tcW w:w="800" w:type="pct"/>
            <w:shd w:val="clear" w:color="auto" w:fill="auto"/>
            <w:vAlign w:val="center"/>
          </w:tcPr>
          <w:p w14:paraId="55569DAF" w14:textId="77777777" w:rsidR="00F925DD" w:rsidRDefault="00F925DD">
            <w:pPr>
              <w:rPr>
                <w:rFonts w:ascii="Times New Roman" w:hAnsi="Times New Roman"/>
                <w:sz w:val="20"/>
                <w:szCs w:val="20"/>
              </w:rPr>
            </w:pPr>
          </w:p>
        </w:tc>
        <w:tc>
          <w:tcPr>
            <w:tcW w:w="50" w:type="pct"/>
            <w:shd w:val="clear" w:color="auto" w:fill="auto"/>
            <w:vAlign w:val="center"/>
          </w:tcPr>
          <w:p w14:paraId="55569DB0" w14:textId="77777777" w:rsidR="00F925DD" w:rsidRDefault="00F925DD">
            <w:pPr>
              <w:rPr>
                <w:rFonts w:ascii="Times New Roman" w:hAnsi="Times New Roman"/>
                <w:sz w:val="20"/>
                <w:szCs w:val="20"/>
              </w:rPr>
            </w:pPr>
          </w:p>
        </w:tc>
        <w:tc>
          <w:tcPr>
            <w:tcW w:w="50" w:type="pct"/>
            <w:shd w:val="clear" w:color="auto" w:fill="auto"/>
            <w:vAlign w:val="center"/>
          </w:tcPr>
          <w:p w14:paraId="55569DB1" w14:textId="77777777" w:rsidR="00F925DD" w:rsidRDefault="00F925DD">
            <w:pPr>
              <w:rPr>
                <w:rFonts w:ascii="Times New Roman" w:hAnsi="Times New Roman"/>
                <w:sz w:val="20"/>
                <w:szCs w:val="20"/>
              </w:rPr>
            </w:pPr>
          </w:p>
        </w:tc>
        <w:tc>
          <w:tcPr>
            <w:tcW w:w="50" w:type="pct"/>
            <w:shd w:val="clear" w:color="auto" w:fill="auto"/>
            <w:vAlign w:val="center"/>
          </w:tcPr>
          <w:p w14:paraId="55569DB2" w14:textId="77777777" w:rsidR="00F925DD" w:rsidRDefault="00F925DD">
            <w:pPr>
              <w:rPr>
                <w:rFonts w:ascii="Times New Roman" w:hAnsi="Times New Roman"/>
                <w:sz w:val="20"/>
                <w:szCs w:val="20"/>
              </w:rPr>
            </w:pPr>
          </w:p>
        </w:tc>
        <w:tc>
          <w:tcPr>
            <w:tcW w:w="800" w:type="pct"/>
            <w:shd w:val="clear" w:color="auto" w:fill="auto"/>
            <w:vAlign w:val="center"/>
          </w:tcPr>
          <w:p w14:paraId="55569DB3" w14:textId="77777777" w:rsidR="00F925DD" w:rsidRDefault="00F925DD">
            <w:pPr>
              <w:rPr>
                <w:rFonts w:ascii="Times New Roman" w:hAnsi="Times New Roman"/>
                <w:sz w:val="20"/>
                <w:szCs w:val="20"/>
              </w:rPr>
            </w:pPr>
          </w:p>
        </w:tc>
        <w:tc>
          <w:tcPr>
            <w:tcW w:w="50" w:type="pct"/>
            <w:shd w:val="clear" w:color="auto" w:fill="auto"/>
            <w:vAlign w:val="center"/>
          </w:tcPr>
          <w:p w14:paraId="55569DB4" w14:textId="77777777" w:rsidR="00F925DD" w:rsidRDefault="00F925DD">
            <w:pPr>
              <w:rPr>
                <w:rFonts w:ascii="Times New Roman" w:hAnsi="Times New Roman"/>
                <w:sz w:val="20"/>
                <w:szCs w:val="20"/>
              </w:rPr>
            </w:pPr>
          </w:p>
        </w:tc>
      </w:tr>
      <w:tr w:rsidR="00F925DD" w14:paraId="55569DB7" w14:textId="77777777">
        <w:tc>
          <w:tcPr>
            <w:tcW w:w="0" w:type="auto"/>
            <w:gridSpan w:val="16"/>
            <w:shd w:val="clear" w:color="auto" w:fill="auto"/>
            <w:tcMar>
              <w:top w:w="40" w:type="dxa"/>
              <w:left w:w="40" w:type="dxa"/>
              <w:bottom w:w="40" w:type="dxa"/>
              <w:right w:w="40" w:type="dxa"/>
            </w:tcMar>
            <w:vAlign w:val="bottom"/>
          </w:tcPr>
          <w:p w14:paraId="55569DB6"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36: TEN-DAY VaR ASSOCIATED WITH TRADING ACTIVITIES BY RISK FACTOR</w:t>
            </w:r>
            <w:r>
              <w:rPr>
                <w:rFonts w:ascii="Arial" w:eastAsia="宋体" w:hAnsi="Arial" w:cs="Arial"/>
                <w:b/>
                <w:bCs/>
                <w:sz w:val="10"/>
                <w:szCs w:val="10"/>
              </w:rPr>
              <w:t>(1)</w:t>
            </w:r>
          </w:p>
        </w:tc>
      </w:tr>
      <w:tr w:rsidR="00F925DD" w14:paraId="55569DBC" w14:textId="77777777">
        <w:tc>
          <w:tcPr>
            <w:tcW w:w="0" w:type="auto"/>
            <w:shd w:val="clear" w:color="auto" w:fill="auto"/>
            <w:tcMar>
              <w:top w:w="40" w:type="dxa"/>
              <w:left w:w="40" w:type="dxa"/>
              <w:bottom w:w="40" w:type="dxa"/>
              <w:right w:w="40" w:type="dxa"/>
            </w:tcMar>
            <w:vAlign w:val="bottom"/>
          </w:tcPr>
          <w:p w14:paraId="55569D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9DB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As of </w:t>
            </w:r>
            <w:r>
              <w:rPr>
                <w:rFonts w:ascii="Arial" w:eastAsia="宋体" w:hAnsi="Arial" w:cs="Arial"/>
                <w:b/>
                <w:bCs/>
                <w:sz w:val="15"/>
                <w:szCs w:val="15"/>
              </w:rPr>
              <w:t>December 31, 2019(2)</w:t>
            </w:r>
          </w:p>
        </w:tc>
        <w:tc>
          <w:tcPr>
            <w:tcW w:w="0" w:type="auto"/>
            <w:shd w:val="clear" w:color="auto" w:fill="auto"/>
            <w:tcMar>
              <w:top w:w="40" w:type="dxa"/>
              <w:left w:w="40" w:type="dxa"/>
              <w:bottom w:w="40" w:type="dxa"/>
              <w:right w:w="40" w:type="dxa"/>
            </w:tcMar>
            <w:vAlign w:val="bottom"/>
          </w:tcPr>
          <w:p w14:paraId="55569D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9DB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 of December 31, 2018</w:t>
            </w:r>
          </w:p>
        </w:tc>
      </w:tr>
      <w:tr w:rsidR="00F925DD" w14:paraId="55569DC5" w14:textId="77777777">
        <w:tc>
          <w:tcPr>
            <w:tcW w:w="0" w:type="auto"/>
            <w:shd w:val="clear" w:color="auto" w:fill="auto"/>
            <w:tcMar>
              <w:top w:w="40" w:type="dxa"/>
              <w:left w:w="40" w:type="dxa"/>
              <w:bottom w:w="40" w:type="dxa"/>
              <w:right w:w="40" w:type="dxa"/>
            </w:tcMar>
            <w:vAlign w:val="bottom"/>
          </w:tcPr>
          <w:p w14:paraId="55569DB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thousands)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DB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Foreign Exchange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55569D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DC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Interest Rate Risk</w:t>
            </w:r>
          </w:p>
        </w:tc>
        <w:tc>
          <w:tcPr>
            <w:tcW w:w="0" w:type="auto"/>
            <w:shd w:val="clear" w:color="auto" w:fill="auto"/>
            <w:tcMar>
              <w:top w:w="40" w:type="dxa"/>
              <w:left w:w="40" w:type="dxa"/>
              <w:bottom w:w="40" w:type="dxa"/>
              <w:right w:w="40" w:type="dxa"/>
            </w:tcMar>
            <w:vAlign w:val="bottom"/>
          </w:tcPr>
          <w:p w14:paraId="55569D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9DC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Foreign Exchange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55569D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9DC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Interest Rate Risk</w:t>
            </w:r>
          </w:p>
        </w:tc>
      </w:tr>
      <w:tr w:rsidR="00F925DD" w14:paraId="55569DCE" w14:textId="77777777">
        <w:tc>
          <w:tcPr>
            <w:tcW w:w="0" w:type="auto"/>
            <w:shd w:val="clear" w:color="auto" w:fill="auto"/>
            <w:tcMar>
              <w:top w:w="40" w:type="dxa"/>
              <w:left w:w="40" w:type="dxa"/>
              <w:bottom w:w="40" w:type="dxa"/>
              <w:right w:w="40" w:type="dxa"/>
            </w:tcMar>
            <w:vAlign w:val="bottom"/>
          </w:tcPr>
          <w:p w14:paraId="55569DC6" w14:textId="77777777" w:rsidR="00F925DD" w:rsidRDefault="00E705D7">
            <w:pPr>
              <w:textAlignment w:val="bottom"/>
              <w:rPr>
                <w:rFonts w:ascii="Times New Roman" w:hAnsi="Times New Roman"/>
                <w:sz w:val="15"/>
                <w:szCs w:val="15"/>
              </w:rPr>
            </w:pPr>
            <w:r>
              <w:rPr>
                <w:rFonts w:ascii="Arial" w:eastAsia="宋体" w:hAnsi="Arial" w:cs="Arial"/>
                <w:sz w:val="15"/>
                <w:szCs w:val="15"/>
              </w:rPr>
              <w:t>By component:</w:t>
            </w:r>
          </w:p>
        </w:tc>
        <w:tc>
          <w:tcPr>
            <w:tcW w:w="0" w:type="auto"/>
            <w:gridSpan w:val="3"/>
            <w:shd w:val="clear" w:color="auto" w:fill="auto"/>
            <w:tcMar>
              <w:top w:w="40" w:type="dxa"/>
              <w:left w:w="40" w:type="dxa"/>
              <w:bottom w:w="40" w:type="dxa"/>
              <w:right w:w="40" w:type="dxa"/>
            </w:tcMar>
            <w:vAlign w:val="bottom"/>
          </w:tcPr>
          <w:p w14:paraId="55569D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D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D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D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D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D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D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DDF" w14:textId="77777777">
        <w:tc>
          <w:tcPr>
            <w:tcW w:w="0" w:type="auto"/>
            <w:shd w:val="clear" w:color="auto" w:fill="CCEEFF"/>
            <w:tcMar>
              <w:top w:w="40" w:type="dxa"/>
              <w:left w:w="40" w:type="dxa"/>
              <w:bottom w:w="40" w:type="dxa"/>
              <w:right w:w="40" w:type="dxa"/>
            </w:tcMar>
            <w:vAlign w:val="bottom"/>
          </w:tcPr>
          <w:p w14:paraId="55569DCF" w14:textId="77777777" w:rsidR="00F925DD" w:rsidRDefault="00E705D7">
            <w:pPr>
              <w:textAlignment w:val="bottom"/>
              <w:rPr>
                <w:rFonts w:ascii="Times New Roman" w:hAnsi="Times New Roman"/>
                <w:sz w:val="15"/>
                <w:szCs w:val="15"/>
              </w:rPr>
            </w:pPr>
            <w:r>
              <w:rPr>
                <w:rFonts w:ascii="Arial" w:eastAsia="宋体" w:hAnsi="Arial" w:cs="Arial"/>
                <w:sz w:val="15"/>
                <w:szCs w:val="15"/>
              </w:rPr>
              <w:t>Global Markets</w:t>
            </w:r>
          </w:p>
        </w:tc>
        <w:tc>
          <w:tcPr>
            <w:tcW w:w="0" w:type="auto"/>
            <w:shd w:val="clear" w:color="auto" w:fill="CCEEFF"/>
            <w:tcMar>
              <w:top w:w="40" w:type="dxa"/>
              <w:left w:w="40" w:type="dxa"/>
              <w:bottom w:w="40" w:type="dxa"/>
            </w:tcMar>
            <w:vAlign w:val="bottom"/>
          </w:tcPr>
          <w:p w14:paraId="55569DD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9DD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5,447</w:t>
            </w:r>
          </w:p>
        </w:tc>
        <w:tc>
          <w:tcPr>
            <w:tcW w:w="0" w:type="auto"/>
            <w:shd w:val="clear" w:color="auto" w:fill="CCEEFF"/>
            <w:vAlign w:val="bottom"/>
          </w:tcPr>
          <w:p w14:paraId="55569DD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D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DD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9DD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6,266</w:t>
            </w:r>
          </w:p>
        </w:tc>
        <w:tc>
          <w:tcPr>
            <w:tcW w:w="0" w:type="auto"/>
            <w:shd w:val="clear" w:color="auto" w:fill="CCEEFF"/>
            <w:vAlign w:val="bottom"/>
          </w:tcPr>
          <w:p w14:paraId="55569D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D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DD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9DD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2,679</w:t>
            </w:r>
          </w:p>
        </w:tc>
        <w:tc>
          <w:tcPr>
            <w:tcW w:w="0" w:type="auto"/>
            <w:shd w:val="clear" w:color="auto" w:fill="CCEEFF"/>
            <w:vAlign w:val="bottom"/>
          </w:tcPr>
          <w:p w14:paraId="55569DD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D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DD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9DD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11,850</w:t>
            </w:r>
          </w:p>
        </w:tc>
        <w:tc>
          <w:tcPr>
            <w:tcW w:w="0" w:type="auto"/>
            <w:shd w:val="clear" w:color="auto" w:fill="CCEEFF"/>
            <w:vAlign w:val="bottom"/>
          </w:tcPr>
          <w:p w14:paraId="55569DDE" w14:textId="77777777" w:rsidR="00F925DD" w:rsidRDefault="00F925DD">
            <w:pPr>
              <w:textAlignment w:val="bottom"/>
              <w:rPr>
                <w:rFonts w:ascii="Times New Roman" w:hAnsi="Times New Roman"/>
                <w:sz w:val="20"/>
                <w:szCs w:val="20"/>
              </w:rPr>
            </w:pPr>
          </w:p>
        </w:tc>
      </w:tr>
      <w:tr w:rsidR="00F925DD" w14:paraId="55569DEC" w14:textId="77777777">
        <w:tc>
          <w:tcPr>
            <w:tcW w:w="0" w:type="auto"/>
            <w:shd w:val="clear" w:color="auto" w:fill="auto"/>
            <w:tcMar>
              <w:top w:w="40" w:type="dxa"/>
              <w:left w:w="40" w:type="dxa"/>
              <w:bottom w:w="40" w:type="dxa"/>
              <w:right w:w="40" w:type="dxa"/>
            </w:tcMar>
            <w:vAlign w:val="bottom"/>
          </w:tcPr>
          <w:p w14:paraId="55569DE0"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Global </w:t>
            </w:r>
            <w:r>
              <w:rPr>
                <w:rFonts w:ascii="Arial" w:eastAsia="宋体" w:hAnsi="Arial" w:cs="Arial"/>
                <w:sz w:val="15"/>
                <w:szCs w:val="15"/>
              </w:rPr>
              <w:t>Treasury</w:t>
            </w:r>
          </w:p>
        </w:tc>
        <w:tc>
          <w:tcPr>
            <w:tcW w:w="0" w:type="auto"/>
            <w:gridSpan w:val="2"/>
            <w:shd w:val="clear" w:color="auto" w:fill="auto"/>
            <w:tcMar>
              <w:top w:w="40" w:type="dxa"/>
              <w:left w:w="40" w:type="dxa"/>
              <w:bottom w:w="40" w:type="dxa"/>
            </w:tcMar>
            <w:vAlign w:val="bottom"/>
          </w:tcPr>
          <w:p w14:paraId="55569DE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w:t>
            </w:r>
          </w:p>
        </w:tc>
        <w:tc>
          <w:tcPr>
            <w:tcW w:w="0" w:type="auto"/>
            <w:shd w:val="clear" w:color="auto" w:fill="auto"/>
            <w:vAlign w:val="bottom"/>
          </w:tcPr>
          <w:p w14:paraId="55569DE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DE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966</w:t>
            </w:r>
          </w:p>
        </w:tc>
        <w:tc>
          <w:tcPr>
            <w:tcW w:w="0" w:type="auto"/>
            <w:shd w:val="clear" w:color="auto" w:fill="auto"/>
            <w:vAlign w:val="bottom"/>
          </w:tcPr>
          <w:p w14:paraId="55569DE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DE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53</w:t>
            </w:r>
          </w:p>
        </w:tc>
        <w:tc>
          <w:tcPr>
            <w:tcW w:w="0" w:type="auto"/>
            <w:shd w:val="clear" w:color="auto" w:fill="auto"/>
            <w:vAlign w:val="bottom"/>
          </w:tcPr>
          <w:p w14:paraId="55569DE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DE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1,377</w:t>
            </w:r>
          </w:p>
        </w:tc>
        <w:tc>
          <w:tcPr>
            <w:tcW w:w="0" w:type="auto"/>
            <w:shd w:val="clear" w:color="auto" w:fill="auto"/>
            <w:vAlign w:val="bottom"/>
          </w:tcPr>
          <w:p w14:paraId="55569DEB" w14:textId="77777777" w:rsidR="00F925DD" w:rsidRDefault="00F925DD">
            <w:pPr>
              <w:textAlignment w:val="bottom"/>
              <w:rPr>
                <w:rFonts w:ascii="Times New Roman" w:hAnsi="Times New Roman"/>
                <w:sz w:val="20"/>
                <w:szCs w:val="20"/>
              </w:rPr>
            </w:pPr>
          </w:p>
        </w:tc>
      </w:tr>
      <w:tr w:rsidR="00F925DD" w14:paraId="55569DF9" w14:textId="77777777">
        <w:tc>
          <w:tcPr>
            <w:tcW w:w="0" w:type="auto"/>
            <w:shd w:val="clear" w:color="auto" w:fill="CCEEFF"/>
            <w:tcMar>
              <w:top w:w="40" w:type="dxa"/>
              <w:left w:w="40" w:type="dxa"/>
              <w:bottom w:w="40" w:type="dxa"/>
              <w:right w:w="40" w:type="dxa"/>
            </w:tcMar>
            <w:vAlign w:val="bottom"/>
          </w:tcPr>
          <w:p w14:paraId="55569DED" w14:textId="77777777" w:rsidR="00F925DD" w:rsidRDefault="00E705D7">
            <w:pPr>
              <w:textAlignment w:val="bottom"/>
              <w:rPr>
                <w:rFonts w:ascii="Times New Roman" w:hAnsi="Times New Roman"/>
                <w:sz w:val="15"/>
                <w:szCs w:val="15"/>
              </w:rPr>
            </w:pPr>
            <w:r>
              <w:rPr>
                <w:rFonts w:ascii="Arial" w:eastAsia="宋体" w:hAnsi="Arial" w:cs="Arial"/>
                <w:sz w:val="15"/>
                <w:szCs w:val="15"/>
              </w:rPr>
              <w:t>Diversification</w:t>
            </w:r>
          </w:p>
        </w:tc>
        <w:tc>
          <w:tcPr>
            <w:tcW w:w="0" w:type="auto"/>
            <w:gridSpan w:val="2"/>
            <w:shd w:val="clear" w:color="auto" w:fill="CCEEFF"/>
            <w:tcMar>
              <w:top w:w="40" w:type="dxa"/>
              <w:left w:w="40" w:type="dxa"/>
              <w:bottom w:w="40" w:type="dxa"/>
            </w:tcMar>
            <w:vAlign w:val="bottom"/>
          </w:tcPr>
          <w:p w14:paraId="55569DE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w:t>
            </w:r>
          </w:p>
        </w:tc>
        <w:tc>
          <w:tcPr>
            <w:tcW w:w="0" w:type="auto"/>
            <w:shd w:val="clear" w:color="auto" w:fill="CCEEFF"/>
            <w:tcMar>
              <w:top w:w="40" w:type="dxa"/>
              <w:bottom w:w="40" w:type="dxa"/>
              <w:right w:w="40" w:type="dxa"/>
            </w:tcMar>
            <w:vAlign w:val="bottom"/>
          </w:tcPr>
          <w:p w14:paraId="55569DE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D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DF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(995</w:t>
            </w:r>
          </w:p>
        </w:tc>
        <w:tc>
          <w:tcPr>
            <w:tcW w:w="0" w:type="auto"/>
            <w:shd w:val="clear" w:color="auto" w:fill="CCEEFF"/>
            <w:tcMar>
              <w:top w:w="40" w:type="dxa"/>
              <w:bottom w:w="40" w:type="dxa"/>
              <w:right w:w="40" w:type="dxa"/>
            </w:tcMar>
            <w:vAlign w:val="bottom"/>
          </w:tcPr>
          <w:p w14:paraId="55569DF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9D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DF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(39</w:t>
            </w:r>
          </w:p>
        </w:tc>
        <w:tc>
          <w:tcPr>
            <w:tcW w:w="0" w:type="auto"/>
            <w:tcBorders>
              <w:bottom w:val="single" w:sz="8" w:space="0" w:color="000000"/>
            </w:tcBorders>
            <w:shd w:val="clear" w:color="auto" w:fill="CCEEFF"/>
            <w:tcMar>
              <w:top w:w="40" w:type="dxa"/>
              <w:bottom w:w="40" w:type="dxa"/>
              <w:right w:w="40" w:type="dxa"/>
            </w:tcMar>
            <w:vAlign w:val="bottom"/>
          </w:tcPr>
          <w:p w14:paraId="55569DF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9D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9DF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(1,436</w:t>
            </w:r>
          </w:p>
        </w:tc>
        <w:tc>
          <w:tcPr>
            <w:tcW w:w="0" w:type="auto"/>
            <w:tcBorders>
              <w:bottom w:val="single" w:sz="8" w:space="0" w:color="000000"/>
            </w:tcBorders>
            <w:shd w:val="clear" w:color="auto" w:fill="CCEEFF"/>
            <w:tcMar>
              <w:top w:w="40" w:type="dxa"/>
              <w:bottom w:w="40" w:type="dxa"/>
              <w:right w:w="40" w:type="dxa"/>
            </w:tcMar>
            <w:vAlign w:val="bottom"/>
          </w:tcPr>
          <w:p w14:paraId="55569DF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9E0A" w14:textId="77777777">
        <w:tc>
          <w:tcPr>
            <w:tcW w:w="0" w:type="auto"/>
            <w:shd w:val="clear" w:color="auto" w:fill="auto"/>
            <w:tcMar>
              <w:top w:w="40" w:type="dxa"/>
              <w:left w:w="40" w:type="dxa"/>
              <w:bottom w:w="40" w:type="dxa"/>
              <w:right w:w="40" w:type="dxa"/>
            </w:tcMar>
            <w:vAlign w:val="bottom"/>
          </w:tcPr>
          <w:p w14:paraId="55569DFA"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VaR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DF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DF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5,448</w:t>
            </w:r>
          </w:p>
        </w:tc>
        <w:tc>
          <w:tcPr>
            <w:tcW w:w="0" w:type="auto"/>
            <w:tcBorders>
              <w:top w:val="single" w:sz="8" w:space="0" w:color="000000"/>
              <w:bottom w:val="double" w:sz="6" w:space="0" w:color="000000"/>
            </w:tcBorders>
            <w:shd w:val="clear" w:color="auto" w:fill="auto"/>
            <w:vAlign w:val="bottom"/>
          </w:tcPr>
          <w:p w14:paraId="55569D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D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DF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E0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6,237</w:t>
            </w:r>
          </w:p>
        </w:tc>
        <w:tc>
          <w:tcPr>
            <w:tcW w:w="0" w:type="auto"/>
            <w:tcBorders>
              <w:top w:val="single" w:sz="8" w:space="0" w:color="000000"/>
              <w:bottom w:val="double" w:sz="6" w:space="0" w:color="000000"/>
            </w:tcBorders>
            <w:shd w:val="clear" w:color="auto" w:fill="auto"/>
            <w:vAlign w:val="bottom"/>
          </w:tcPr>
          <w:p w14:paraId="55569E0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E0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E0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2,693</w:t>
            </w:r>
          </w:p>
        </w:tc>
        <w:tc>
          <w:tcPr>
            <w:tcW w:w="0" w:type="auto"/>
            <w:tcBorders>
              <w:top w:val="single" w:sz="8" w:space="0" w:color="000000"/>
              <w:bottom w:val="double" w:sz="6" w:space="0" w:color="000000"/>
            </w:tcBorders>
            <w:shd w:val="clear" w:color="auto" w:fill="auto"/>
            <w:vAlign w:val="bottom"/>
          </w:tcPr>
          <w:p w14:paraId="55569E0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E0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E0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11,791</w:t>
            </w:r>
          </w:p>
        </w:tc>
        <w:tc>
          <w:tcPr>
            <w:tcW w:w="0" w:type="auto"/>
            <w:tcBorders>
              <w:top w:val="single" w:sz="8" w:space="0" w:color="000000"/>
              <w:bottom w:val="double" w:sz="6" w:space="0" w:color="000000"/>
            </w:tcBorders>
            <w:shd w:val="clear" w:color="auto" w:fill="auto"/>
            <w:vAlign w:val="bottom"/>
          </w:tcPr>
          <w:p w14:paraId="55569E09" w14:textId="77777777" w:rsidR="00F925DD" w:rsidRDefault="00F925DD">
            <w:pPr>
              <w:textAlignment w:val="bottom"/>
              <w:rPr>
                <w:rFonts w:ascii="Times New Roman" w:hAnsi="Times New Roman"/>
                <w:sz w:val="20"/>
                <w:szCs w:val="20"/>
              </w:rPr>
            </w:pPr>
          </w:p>
        </w:tc>
      </w:tr>
    </w:tbl>
    <w:p w14:paraId="55569E0B"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016"/>
        <w:gridCol w:w="119"/>
        <w:gridCol w:w="1269"/>
        <w:gridCol w:w="88"/>
        <w:gridCol w:w="130"/>
        <w:gridCol w:w="118"/>
        <w:gridCol w:w="1269"/>
        <w:gridCol w:w="87"/>
        <w:gridCol w:w="130"/>
        <w:gridCol w:w="119"/>
        <w:gridCol w:w="1269"/>
        <w:gridCol w:w="88"/>
        <w:gridCol w:w="130"/>
        <w:gridCol w:w="118"/>
        <w:gridCol w:w="1269"/>
        <w:gridCol w:w="87"/>
      </w:tblGrid>
      <w:tr w:rsidR="00F925DD" w14:paraId="55569E0D" w14:textId="77777777">
        <w:tc>
          <w:tcPr>
            <w:tcW w:w="0" w:type="auto"/>
            <w:gridSpan w:val="16"/>
            <w:shd w:val="clear" w:color="auto" w:fill="auto"/>
            <w:vAlign w:val="center"/>
          </w:tcPr>
          <w:p w14:paraId="55569E0C" w14:textId="77777777" w:rsidR="00F925DD" w:rsidRDefault="00F925DD">
            <w:pPr>
              <w:rPr>
                <w:rFonts w:ascii="Times New Roman" w:hAnsi="Times New Roman"/>
                <w:sz w:val="20"/>
                <w:szCs w:val="20"/>
              </w:rPr>
            </w:pPr>
          </w:p>
        </w:tc>
      </w:tr>
      <w:tr w:rsidR="00F925DD" w14:paraId="55569E1E" w14:textId="77777777">
        <w:tc>
          <w:tcPr>
            <w:tcW w:w="1250" w:type="pct"/>
            <w:shd w:val="clear" w:color="auto" w:fill="auto"/>
            <w:vAlign w:val="center"/>
          </w:tcPr>
          <w:p w14:paraId="55569E0E" w14:textId="77777777" w:rsidR="00F925DD" w:rsidRDefault="00F925DD">
            <w:pPr>
              <w:rPr>
                <w:rFonts w:ascii="Times New Roman" w:hAnsi="Times New Roman"/>
                <w:sz w:val="20"/>
                <w:szCs w:val="20"/>
              </w:rPr>
            </w:pPr>
          </w:p>
        </w:tc>
        <w:tc>
          <w:tcPr>
            <w:tcW w:w="50" w:type="pct"/>
            <w:shd w:val="clear" w:color="auto" w:fill="auto"/>
            <w:vAlign w:val="center"/>
          </w:tcPr>
          <w:p w14:paraId="55569E0F" w14:textId="77777777" w:rsidR="00F925DD" w:rsidRDefault="00F925DD">
            <w:pPr>
              <w:rPr>
                <w:rFonts w:ascii="Times New Roman" w:hAnsi="Times New Roman"/>
                <w:sz w:val="20"/>
                <w:szCs w:val="20"/>
              </w:rPr>
            </w:pPr>
          </w:p>
        </w:tc>
        <w:tc>
          <w:tcPr>
            <w:tcW w:w="800" w:type="pct"/>
            <w:shd w:val="clear" w:color="auto" w:fill="auto"/>
            <w:vAlign w:val="center"/>
          </w:tcPr>
          <w:p w14:paraId="55569E10" w14:textId="77777777" w:rsidR="00F925DD" w:rsidRDefault="00F925DD">
            <w:pPr>
              <w:rPr>
                <w:rFonts w:ascii="Times New Roman" w:hAnsi="Times New Roman"/>
                <w:sz w:val="20"/>
                <w:szCs w:val="20"/>
              </w:rPr>
            </w:pPr>
          </w:p>
        </w:tc>
        <w:tc>
          <w:tcPr>
            <w:tcW w:w="50" w:type="pct"/>
            <w:shd w:val="clear" w:color="auto" w:fill="auto"/>
            <w:vAlign w:val="center"/>
          </w:tcPr>
          <w:p w14:paraId="55569E11" w14:textId="77777777" w:rsidR="00F925DD" w:rsidRDefault="00F925DD">
            <w:pPr>
              <w:rPr>
                <w:rFonts w:ascii="Times New Roman" w:hAnsi="Times New Roman"/>
                <w:sz w:val="20"/>
                <w:szCs w:val="20"/>
              </w:rPr>
            </w:pPr>
          </w:p>
        </w:tc>
        <w:tc>
          <w:tcPr>
            <w:tcW w:w="50" w:type="pct"/>
            <w:shd w:val="clear" w:color="auto" w:fill="auto"/>
            <w:vAlign w:val="center"/>
          </w:tcPr>
          <w:p w14:paraId="55569E12" w14:textId="77777777" w:rsidR="00F925DD" w:rsidRDefault="00F925DD">
            <w:pPr>
              <w:rPr>
                <w:rFonts w:ascii="Times New Roman" w:hAnsi="Times New Roman"/>
                <w:sz w:val="20"/>
                <w:szCs w:val="20"/>
              </w:rPr>
            </w:pPr>
          </w:p>
        </w:tc>
        <w:tc>
          <w:tcPr>
            <w:tcW w:w="50" w:type="pct"/>
            <w:shd w:val="clear" w:color="auto" w:fill="auto"/>
            <w:vAlign w:val="center"/>
          </w:tcPr>
          <w:p w14:paraId="55569E13" w14:textId="77777777" w:rsidR="00F925DD" w:rsidRDefault="00F925DD">
            <w:pPr>
              <w:rPr>
                <w:rFonts w:ascii="Times New Roman" w:hAnsi="Times New Roman"/>
                <w:sz w:val="20"/>
                <w:szCs w:val="20"/>
              </w:rPr>
            </w:pPr>
          </w:p>
        </w:tc>
        <w:tc>
          <w:tcPr>
            <w:tcW w:w="800" w:type="pct"/>
            <w:shd w:val="clear" w:color="auto" w:fill="auto"/>
            <w:vAlign w:val="center"/>
          </w:tcPr>
          <w:p w14:paraId="55569E14" w14:textId="77777777" w:rsidR="00F925DD" w:rsidRDefault="00F925DD">
            <w:pPr>
              <w:rPr>
                <w:rFonts w:ascii="Times New Roman" w:hAnsi="Times New Roman"/>
                <w:sz w:val="20"/>
                <w:szCs w:val="20"/>
              </w:rPr>
            </w:pPr>
          </w:p>
        </w:tc>
        <w:tc>
          <w:tcPr>
            <w:tcW w:w="50" w:type="pct"/>
            <w:shd w:val="clear" w:color="auto" w:fill="auto"/>
            <w:vAlign w:val="center"/>
          </w:tcPr>
          <w:p w14:paraId="55569E15" w14:textId="77777777" w:rsidR="00F925DD" w:rsidRDefault="00F925DD">
            <w:pPr>
              <w:rPr>
                <w:rFonts w:ascii="Times New Roman" w:hAnsi="Times New Roman"/>
                <w:sz w:val="20"/>
                <w:szCs w:val="20"/>
              </w:rPr>
            </w:pPr>
          </w:p>
        </w:tc>
        <w:tc>
          <w:tcPr>
            <w:tcW w:w="50" w:type="pct"/>
            <w:shd w:val="clear" w:color="auto" w:fill="auto"/>
            <w:vAlign w:val="center"/>
          </w:tcPr>
          <w:p w14:paraId="55569E16" w14:textId="77777777" w:rsidR="00F925DD" w:rsidRDefault="00F925DD">
            <w:pPr>
              <w:rPr>
                <w:rFonts w:ascii="Times New Roman" w:hAnsi="Times New Roman"/>
                <w:sz w:val="20"/>
                <w:szCs w:val="20"/>
              </w:rPr>
            </w:pPr>
          </w:p>
        </w:tc>
        <w:tc>
          <w:tcPr>
            <w:tcW w:w="50" w:type="pct"/>
            <w:shd w:val="clear" w:color="auto" w:fill="auto"/>
            <w:vAlign w:val="center"/>
          </w:tcPr>
          <w:p w14:paraId="55569E17" w14:textId="77777777" w:rsidR="00F925DD" w:rsidRDefault="00F925DD">
            <w:pPr>
              <w:rPr>
                <w:rFonts w:ascii="Times New Roman" w:hAnsi="Times New Roman"/>
                <w:sz w:val="20"/>
                <w:szCs w:val="20"/>
              </w:rPr>
            </w:pPr>
          </w:p>
        </w:tc>
        <w:tc>
          <w:tcPr>
            <w:tcW w:w="800" w:type="pct"/>
            <w:shd w:val="clear" w:color="auto" w:fill="auto"/>
            <w:vAlign w:val="center"/>
          </w:tcPr>
          <w:p w14:paraId="55569E18" w14:textId="77777777" w:rsidR="00F925DD" w:rsidRDefault="00F925DD">
            <w:pPr>
              <w:rPr>
                <w:rFonts w:ascii="Times New Roman" w:hAnsi="Times New Roman"/>
                <w:sz w:val="20"/>
                <w:szCs w:val="20"/>
              </w:rPr>
            </w:pPr>
          </w:p>
        </w:tc>
        <w:tc>
          <w:tcPr>
            <w:tcW w:w="50" w:type="pct"/>
            <w:shd w:val="clear" w:color="auto" w:fill="auto"/>
            <w:vAlign w:val="center"/>
          </w:tcPr>
          <w:p w14:paraId="55569E19" w14:textId="77777777" w:rsidR="00F925DD" w:rsidRDefault="00F925DD">
            <w:pPr>
              <w:rPr>
                <w:rFonts w:ascii="Times New Roman" w:hAnsi="Times New Roman"/>
                <w:sz w:val="20"/>
                <w:szCs w:val="20"/>
              </w:rPr>
            </w:pPr>
          </w:p>
        </w:tc>
        <w:tc>
          <w:tcPr>
            <w:tcW w:w="50" w:type="pct"/>
            <w:shd w:val="clear" w:color="auto" w:fill="auto"/>
            <w:vAlign w:val="center"/>
          </w:tcPr>
          <w:p w14:paraId="55569E1A" w14:textId="77777777" w:rsidR="00F925DD" w:rsidRDefault="00F925DD">
            <w:pPr>
              <w:rPr>
                <w:rFonts w:ascii="Times New Roman" w:hAnsi="Times New Roman"/>
                <w:sz w:val="20"/>
                <w:szCs w:val="20"/>
              </w:rPr>
            </w:pPr>
          </w:p>
        </w:tc>
        <w:tc>
          <w:tcPr>
            <w:tcW w:w="50" w:type="pct"/>
            <w:shd w:val="clear" w:color="auto" w:fill="auto"/>
            <w:vAlign w:val="center"/>
          </w:tcPr>
          <w:p w14:paraId="55569E1B" w14:textId="77777777" w:rsidR="00F925DD" w:rsidRDefault="00F925DD">
            <w:pPr>
              <w:rPr>
                <w:rFonts w:ascii="Times New Roman" w:hAnsi="Times New Roman"/>
                <w:sz w:val="20"/>
                <w:szCs w:val="20"/>
              </w:rPr>
            </w:pPr>
          </w:p>
        </w:tc>
        <w:tc>
          <w:tcPr>
            <w:tcW w:w="800" w:type="pct"/>
            <w:shd w:val="clear" w:color="auto" w:fill="auto"/>
            <w:vAlign w:val="center"/>
          </w:tcPr>
          <w:p w14:paraId="55569E1C" w14:textId="77777777" w:rsidR="00F925DD" w:rsidRDefault="00F925DD">
            <w:pPr>
              <w:rPr>
                <w:rFonts w:ascii="Times New Roman" w:hAnsi="Times New Roman"/>
                <w:sz w:val="20"/>
                <w:szCs w:val="20"/>
              </w:rPr>
            </w:pPr>
          </w:p>
        </w:tc>
        <w:tc>
          <w:tcPr>
            <w:tcW w:w="50" w:type="pct"/>
            <w:shd w:val="clear" w:color="auto" w:fill="auto"/>
            <w:vAlign w:val="center"/>
          </w:tcPr>
          <w:p w14:paraId="55569E1D" w14:textId="77777777" w:rsidR="00F925DD" w:rsidRDefault="00F925DD">
            <w:pPr>
              <w:rPr>
                <w:rFonts w:ascii="Times New Roman" w:hAnsi="Times New Roman"/>
                <w:sz w:val="20"/>
                <w:szCs w:val="20"/>
              </w:rPr>
            </w:pPr>
          </w:p>
        </w:tc>
      </w:tr>
      <w:tr w:rsidR="00F925DD" w14:paraId="55569E20" w14:textId="77777777">
        <w:tc>
          <w:tcPr>
            <w:tcW w:w="0" w:type="auto"/>
            <w:gridSpan w:val="16"/>
            <w:shd w:val="clear" w:color="auto" w:fill="auto"/>
            <w:tcMar>
              <w:top w:w="40" w:type="dxa"/>
              <w:left w:w="40" w:type="dxa"/>
              <w:bottom w:w="40" w:type="dxa"/>
              <w:right w:w="40" w:type="dxa"/>
            </w:tcMar>
            <w:vAlign w:val="bottom"/>
          </w:tcPr>
          <w:p w14:paraId="55569E1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37: TEN-DAY STRESSED VaR ASSOCIATED WITH TRADING ACTIVITIES BY RISK FACTOR</w:t>
            </w:r>
            <w:r>
              <w:rPr>
                <w:rFonts w:ascii="Arial" w:eastAsia="宋体" w:hAnsi="Arial" w:cs="Arial"/>
                <w:b/>
                <w:bCs/>
                <w:sz w:val="10"/>
                <w:szCs w:val="10"/>
              </w:rPr>
              <w:t>(1)</w:t>
            </w:r>
          </w:p>
        </w:tc>
      </w:tr>
      <w:tr w:rsidR="00F925DD" w14:paraId="55569E25" w14:textId="77777777">
        <w:tc>
          <w:tcPr>
            <w:tcW w:w="0" w:type="auto"/>
            <w:shd w:val="clear" w:color="auto" w:fill="auto"/>
            <w:tcMar>
              <w:top w:w="40" w:type="dxa"/>
              <w:left w:w="40" w:type="dxa"/>
              <w:bottom w:w="40" w:type="dxa"/>
              <w:right w:w="40" w:type="dxa"/>
            </w:tcMar>
            <w:vAlign w:val="bottom"/>
          </w:tcPr>
          <w:p w14:paraId="55569E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9E2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 of December 31, 2019</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55569E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9E2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 of December 31, 2018</w:t>
            </w:r>
          </w:p>
        </w:tc>
      </w:tr>
      <w:tr w:rsidR="00F925DD" w14:paraId="55569E2E" w14:textId="77777777">
        <w:tc>
          <w:tcPr>
            <w:tcW w:w="0" w:type="auto"/>
            <w:shd w:val="clear" w:color="auto" w:fill="auto"/>
            <w:tcMar>
              <w:top w:w="40" w:type="dxa"/>
              <w:left w:w="40" w:type="dxa"/>
              <w:bottom w:w="40" w:type="dxa"/>
              <w:right w:w="40" w:type="dxa"/>
            </w:tcMar>
            <w:vAlign w:val="bottom"/>
          </w:tcPr>
          <w:p w14:paraId="55569E2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thousands)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9E2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Foreign Exchange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55569E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9E2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Interest Rate Risk</w:t>
            </w:r>
          </w:p>
        </w:tc>
        <w:tc>
          <w:tcPr>
            <w:tcW w:w="0" w:type="auto"/>
            <w:shd w:val="clear" w:color="auto" w:fill="auto"/>
            <w:tcMar>
              <w:top w:w="40" w:type="dxa"/>
              <w:left w:w="40" w:type="dxa"/>
              <w:bottom w:w="40" w:type="dxa"/>
              <w:right w:w="40" w:type="dxa"/>
            </w:tcMar>
            <w:vAlign w:val="bottom"/>
          </w:tcPr>
          <w:p w14:paraId="55569E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9E2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Foreign </w:t>
            </w:r>
            <w:r>
              <w:rPr>
                <w:rFonts w:ascii="Arial" w:eastAsia="宋体" w:hAnsi="Arial" w:cs="Arial"/>
                <w:b/>
                <w:bCs/>
                <w:sz w:val="14"/>
                <w:szCs w:val="14"/>
              </w:rPr>
              <w:t>Exchange Risk</w:t>
            </w:r>
          </w:p>
        </w:tc>
        <w:tc>
          <w:tcPr>
            <w:tcW w:w="0" w:type="auto"/>
            <w:tcBorders>
              <w:top w:val="single" w:sz="8" w:space="0" w:color="000000"/>
            </w:tcBorders>
            <w:shd w:val="clear" w:color="auto" w:fill="auto"/>
            <w:tcMar>
              <w:top w:w="40" w:type="dxa"/>
              <w:left w:w="40" w:type="dxa"/>
              <w:bottom w:w="40" w:type="dxa"/>
              <w:right w:w="40" w:type="dxa"/>
            </w:tcMar>
            <w:vAlign w:val="bottom"/>
          </w:tcPr>
          <w:p w14:paraId="55569E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9E2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Interest Rate Risk</w:t>
            </w:r>
          </w:p>
        </w:tc>
      </w:tr>
      <w:tr w:rsidR="00F925DD" w14:paraId="55569E37" w14:textId="77777777">
        <w:tc>
          <w:tcPr>
            <w:tcW w:w="0" w:type="auto"/>
            <w:shd w:val="clear" w:color="auto" w:fill="auto"/>
            <w:tcMar>
              <w:top w:w="40" w:type="dxa"/>
              <w:left w:w="40" w:type="dxa"/>
              <w:bottom w:w="40" w:type="dxa"/>
              <w:right w:w="40" w:type="dxa"/>
            </w:tcMar>
            <w:vAlign w:val="bottom"/>
          </w:tcPr>
          <w:p w14:paraId="55569E2F" w14:textId="77777777" w:rsidR="00F925DD" w:rsidRDefault="00E705D7">
            <w:pPr>
              <w:textAlignment w:val="bottom"/>
              <w:rPr>
                <w:rFonts w:ascii="Times New Roman" w:hAnsi="Times New Roman"/>
                <w:sz w:val="14"/>
                <w:szCs w:val="14"/>
              </w:rPr>
            </w:pPr>
            <w:r>
              <w:rPr>
                <w:rFonts w:ascii="Arial" w:eastAsia="宋体" w:hAnsi="Arial" w:cs="Arial"/>
                <w:sz w:val="14"/>
                <w:szCs w:val="14"/>
              </w:rPr>
              <w:t>By component:</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9E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E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9E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E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9E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E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9E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E48" w14:textId="77777777">
        <w:tc>
          <w:tcPr>
            <w:tcW w:w="0" w:type="auto"/>
            <w:shd w:val="clear" w:color="auto" w:fill="CCEEFF"/>
            <w:tcMar>
              <w:top w:w="40" w:type="dxa"/>
              <w:left w:w="40" w:type="dxa"/>
              <w:bottom w:w="40" w:type="dxa"/>
              <w:right w:w="40" w:type="dxa"/>
            </w:tcMar>
            <w:vAlign w:val="bottom"/>
          </w:tcPr>
          <w:p w14:paraId="55569E38" w14:textId="77777777" w:rsidR="00F925DD" w:rsidRDefault="00E705D7">
            <w:pPr>
              <w:textAlignment w:val="bottom"/>
              <w:rPr>
                <w:rFonts w:ascii="Times New Roman" w:hAnsi="Times New Roman"/>
                <w:sz w:val="14"/>
                <w:szCs w:val="14"/>
              </w:rPr>
            </w:pPr>
            <w:r>
              <w:rPr>
                <w:rFonts w:ascii="Arial" w:eastAsia="宋体" w:hAnsi="Arial" w:cs="Arial"/>
                <w:sz w:val="14"/>
                <w:szCs w:val="14"/>
              </w:rPr>
              <w:t>Global Markets</w:t>
            </w:r>
          </w:p>
        </w:tc>
        <w:tc>
          <w:tcPr>
            <w:tcW w:w="0" w:type="auto"/>
            <w:shd w:val="clear" w:color="auto" w:fill="CCEEFF"/>
            <w:tcMar>
              <w:top w:w="40" w:type="dxa"/>
              <w:left w:w="40" w:type="dxa"/>
              <w:bottom w:w="40" w:type="dxa"/>
            </w:tcMar>
            <w:vAlign w:val="bottom"/>
          </w:tcPr>
          <w:p w14:paraId="55569E3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E3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8,427</w:t>
            </w:r>
          </w:p>
        </w:tc>
        <w:tc>
          <w:tcPr>
            <w:tcW w:w="0" w:type="auto"/>
            <w:shd w:val="clear" w:color="auto" w:fill="CCEEFF"/>
            <w:vAlign w:val="bottom"/>
          </w:tcPr>
          <w:p w14:paraId="55569E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E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E3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E3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61,792</w:t>
            </w:r>
          </w:p>
        </w:tc>
        <w:tc>
          <w:tcPr>
            <w:tcW w:w="0" w:type="auto"/>
            <w:shd w:val="clear" w:color="auto" w:fill="CCEEFF"/>
            <w:vAlign w:val="bottom"/>
          </w:tcPr>
          <w:p w14:paraId="55569E3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E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E4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E4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10,465</w:t>
            </w:r>
          </w:p>
        </w:tc>
        <w:tc>
          <w:tcPr>
            <w:tcW w:w="0" w:type="auto"/>
            <w:shd w:val="clear" w:color="auto" w:fill="CCEEFF"/>
            <w:vAlign w:val="bottom"/>
          </w:tcPr>
          <w:p w14:paraId="55569E4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E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E4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E4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23,324</w:t>
            </w:r>
          </w:p>
        </w:tc>
        <w:tc>
          <w:tcPr>
            <w:tcW w:w="0" w:type="auto"/>
            <w:shd w:val="clear" w:color="auto" w:fill="CCEEFF"/>
            <w:vAlign w:val="bottom"/>
          </w:tcPr>
          <w:p w14:paraId="55569E47" w14:textId="77777777" w:rsidR="00F925DD" w:rsidRDefault="00F925DD">
            <w:pPr>
              <w:textAlignment w:val="bottom"/>
              <w:rPr>
                <w:rFonts w:ascii="Times New Roman" w:hAnsi="Times New Roman"/>
                <w:sz w:val="20"/>
                <w:szCs w:val="20"/>
              </w:rPr>
            </w:pPr>
          </w:p>
        </w:tc>
      </w:tr>
      <w:tr w:rsidR="00F925DD" w14:paraId="55569E55" w14:textId="77777777">
        <w:tc>
          <w:tcPr>
            <w:tcW w:w="0" w:type="auto"/>
            <w:shd w:val="clear" w:color="auto" w:fill="auto"/>
            <w:tcMar>
              <w:top w:w="40" w:type="dxa"/>
              <w:left w:w="40" w:type="dxa"/>
              <w:bottom w:w="40" w:type="dxa"/>
              <w:right w:w="40" w:type="dxa"/>
            </w:tcMar>
            <w:vAlign w:val="bottom"/>
          </w:tcPr>
          <w:p w14:paraId="55569E49" w14:textId="77777777" w:rsidR="00F925DD" w:rsidRDefault="00E705D7">
            <w:pPr>
              <w:textAlignment w:val="bottom"/>
              <w:rPr>
                <w:rFonts w:ascii="Times New Roman" w:hAnsi="Times New Roman"/>
                <w:sz w:val="14"/>
                <w:szCs w:val="14"/>
              </w:rPr>
            </w:pPr>
            <w:r>
              <w:rPr>
                <w:rFonts w:ascii="Arial" w:eastAsia="宋体" w:hAnsi="Arial" w:cs="Arial"/>
                <w:sz w:val="14"/>
                <w:szCs w:val="14"/>
              </w:rPr>
              <w:t>Global Treasury</w:t>
            </w:r>
          </w:p>
        </w:tc>
        <w:tc>
          <w:tcPr>
            <w:tcW w:w="0" w:type="auto"/>
            <w:gridSpan w:val="2"/>
            <w:shd w:val="clear" w:color="auto" w:fill="auto"/>
            <w:tcMar>
              <w:top w:w="40" w:type="dxa"/>
              <w:left w:w="40" w:type="dxa"/>
              <w:bottom w:w="40" w:type="dxa"/>
            </w:tcMar>
            <w:vAlign w:val="bottom"/>
          </w:tcPr>
          <w:p w14:paraId="55569E4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59</w:t>
            </w:r>
          </w:p>
        </w:tc>
        <w:tc>
          <w:tcPr>
            <w:tcW w:w="0" w:type="auto"/>
            <w:shd w:val="clear" w:color="auto" w:fill="auto"/>
            <w:vAlign w:val="bottom"/>
          </w:tcPr>
          <w:p w14:paraId="55569E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E4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6,258</w:t>
            </w:r>
          </w:p>
        </w:tc>
        <w:tc>
          <w:tcPr>
            <w:tcW w:w="0" w:type="auto"/>
            <w:shd w:val="clear" w:color="auto" w:fill="auto"/>
            <w:vAlign w:val="bottom"/>
          </w:tcPr>
          <w:p w14:paraId="55569E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E5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74</w:t>
            </w:r>
          </w:p>
        </w:tc>
        <w:tc>
          <w:tcPr>
            <w:tcW w:w="0" w:type="auto"/>
            <w:shd w:val="clear" w:color="auto" w:fill="auto"/>
            <w:vAlign w:val="bottom"/>
          </w:tcPr>
          <w:p w14:paraId="55569E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E5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8,202</w:t>
            </w:r>
          </w:p>
        </w:tc>
        <w:tc>
          <w:tcPr>
            <w:tcW w:w="0" w:type="auto"/>
            <w:shd w:val="clear" w:color="auto" w:fill="auto"/>
            <w:vAlign w:val="bottom"/>
          </w:tcPr>
          <w:p w14:paraId="55569E54" w14:textId="77777777" w:rsidR="00F925DD" w:rsidRDefault="00F925DD">
            <w:pPr>
              <w:textAlignment w:val="bottom"/>
              <w:rPr>
                <w:rFonts w:ascii="Times New Roman" w:hAnsi="Times New Roman"/>
                <w:sz w:val="20"/>
                <w:szCs w:val="20"/>
              </w:rPr>
            </w:pPr>
          </w:p>
        </w:tc>
      </w:tr>
      <w:tr w:rsidR="00F925DD" w14:paraId="55569E62" w14:textId="77777777">
        <w:tc>
          <w:tcPr>
            <w:tcW w:w="0" w:type="auto"/>
            <w:shd w:val="clear" w:color="auto" w:fill="CCEEFF"/>
            <w:tcMar>
              <w:top w:w="40" w:type="dxa"/>
              <w:left w:w="40" w:type="dxa"/>
              <w:bottom w:w="40" w:type="dxa"/>
              <w:right w:w="40" w:type="dxa"/>
            </w:tcMar>
            <w:vAlign w:val="bottom"/>
          </w:tcPr>
          <w:p w14:paraId="55569E56" w14:textId="77777777" w:rsidR="00F925DD" w:rsidRDefault="00E705D7">
            <w:pPr>
              <w:textAlignment w:val="bottom"/>
              <w:rPr>
                <w:rFonts w:ascii="Times New Roman" w:hAnsi="Times New Roman"/>
                <w:sz w:val="14"/>
                <w:szCs w:val="14"/>
              </w:rPr>
            </w:pPr>
            <w:r>
              <w:rPr>
                <w:rFonts w:ascii="Arial" w:eastAsia="宋体" w:hAnsi="Arial" w:cs="Arial"/>
                <w:sz w:val="14"/>
                <w:szCs w:val="14"/>
              </w:rPr>
              <w:t>Diversification</w:t>
            </w:r>
          </w:p>
        </w:tc>
        <w:tc>
          <w:tcPr>
            <w:tcW w:w="0" w:type="auto"/>
            <w:gridSpan w:val="2"/>
            <w:shd w:val="clear" w:color="auto" w:fill="CCEEFF"/>
            <w:tcMar>
              <w:top w:w="40" w:type="dxa"/>
              <w:left w:w="40" w:type="dxa"/>
              <w:bottom w:w="40" w:type="dxa"/>
            </w:tcMar>
            <w:vAlign w:val="bottom"/>
          </w:tcPr>
          <w:p w14:paraId="55569E5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w:t>
            </w:r>
          </w:p>
        </w:tc>
        <w:tc>
          <w:tcPr>
            <w:tcW w:w="0" w:type="auto"/>
            <w:shd w:val="clear" w:color="auto" w:fill="CCEEFF"/>
            <w:tcMar>
              <w:top w:w="40" w:type="dxa"/>
              <w:bottom w:w="40" w:type="dxa"/>
              <w:right w:w="40" w:type="dxa"/>
            </w:tcMar>
            <w:vAlign w:val="bottom"/>
          </w:tcPr>
          <w:p w14:paraId="55569E5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9E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E5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(8,681</w:t>
            </w:r>
          </w:p>
        </w:tc>
        <w:tc>
          <w:tcPr>
            <w:tcW w:w="0" w:type="auto"/>
            <w:shd w:val="clear" w:color="auto" w:fill="CCEEFF"/>
            <w:tcMar>
              <w:top w:w="40" w:type="dxa"/>
              <w:bottom w:w="40" w:type="dxa"/>
              <w:right w:w="40" w:type="dxa"/>
            </w:tcMar>
            <w:vAlign w:val="bottom"/>
          </w:tcPr>
          <w:p w14:paraId="55569E5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9E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E5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(132</w:t>
            </w:r>
          </w:p>
        </w:tc>
        <w:tc>
          <w:tcPr>
            <w:tcW w:w="0" w:type="auto"/>
            <w:shd w:val="clear" w:color="auto" w:fill="CCEEFF"/>
            <w:tcMar>
              <w:top w:w="40" w:type="dxa"/>
              <w:bottom w:w="40" w:type="dxa"/>
              <w:right w:w="40" w:type="dxa"/>
            </w:tcMar>
            <w:vAlign w:val="bottom"/>
          </w:tcPr>
          <w:p w14:paraId="55569E5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9E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E6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(7,835</w:t>
            </w:r>
          </w:p>
        </w:tc>
        <w:tc>
          <w:tcPr>
            <w:tcW w:w="0" w:type="auto"/>
            <w:shd w:val="clear" w:color="auto" w:fill="CCEEFF"/>
            <w:tcMar>
              <w:top w:w="40" w:type="dxa"/>
              <w:bottom w:w="40" w:type="dxa"/>
              <w:right w:w="40" w:type="dxa"/>
            </w:tcMar>
            <w:vAlign w:val="bottom"/>
          </w:tcPr>
          <w:p w14:paraId="55569E6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9E73" w14:textId="77777777">
        <w:tc>
          <w:tcPr>
            <w:tcW w:w="0" w:type="auto"/>
            <w:shd w:val="clear" w:color="auto" w:fill="auto"/>
            <w:tcMar>
              <w:top w:w="40" w:type="dxa"/>
              <w:left w:w="40" w:type="dxa"/>
              <w:bottom w:w="40" w:type="dxa"/>
              <w:right w:w="40" w:type="dxa"/>
            </w:tcMar>
            <w:vAlign w:val="bottom"/>
          </w:tcPr>
          <w:p w14:paraId="55569E63"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Stressed VaR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E6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E6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8,425</w:t>
            </w:r>
          </w:p>
        </w:tc>
        <w:tc>
          <w:tcPr>
            <w:tcW w:w="0" w:type="auto"/>
            <w:tcBorders>
              <w:top w:val="single" w:sz="8" w:space="0" w:color="000000"/>
              <w:bottom w:val="double" w:sz="6" w:space="0" w:color="000000"/>
            </w:tcBorders>
            <w:shd w:val="clear" w:color="auto" w:fill="auto"/>
            <w:vAlign w:val="bottom"/>
          </w:tcPr>
          <w:p w14:paraId="55569E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E6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E6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59,369</w:t>
            </w:r>
          </w:p>
        </w:tc>
        <w:tc>
          <w:tcPr>
            <w:tcW w:w="0" w:type="auto"/>
            <w:tcBorders>
              <w:top w:val="single" w:sz="8" w:space="0" w:color="000000"/>
              <w:bottom w:val="double" w:sz="6" w:space="0" w:color="000000"/>
            </w:tcBorders>
            <w:shd w:val="clear" w:color="auto" w:fill="auto"/>
            <w:vAlign w:val="bottom"/>
          </w:tcPr>
          <w:p w14:paraId="55569E6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E6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E6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10,407</w:t>
            </w:r>
          </w:p>
        </w:tc>
        <w:tc>
          <w:tcPr>
            <w:tcW w:w="0" w:type="auto"/>
            <w:tcBorders>
              <w:top w:val="single" w:sz="8" w:space="0" w:color="000000"/>
              <w:bottom w:val="double" w:sz="6" w:space="0" w:color="000000"/>
            </w:tcBorders>
            <w:shd w:val="clear" w:color="auto" w:fill="auto"/>
            <w:vAlign w:val="bottom"/>
          </w:tcPr>
          <w:p w14:paraId="55569E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9E7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9E7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23,691</w:t>
            </w:r>
          </w:p>
        </w:tc>
        <w:tc>
          <w:tcPr>
            <w:tcW w:w="0" w:type="auto"/>
            <w:tcBorders>
              <w:top w:val="single" w:sz="8" w:space="0" w:color="000000"/>
              <w:bottom w:val="double" w:sz="6" w:space="0" w:color="000000"/>
            </w:tcBorders>
            <w:shd w:val="clear" w:color="auto" w:fill="auto"/>
            <w:vAlign w:val="bottom"/>
          </w:tcPr>
          <w:p w14:paraId="55569E72" w14:textId="77777777" w:rsidR="00F925DD" w:rsidRDefault="00F925DD">
            <w:pPr>
              <w:textAlignment w:val="bottom"/>
              <w:rPr>
                <w:rFonts w:ascii="Times New Roman" w:hAnsi="Times New Roman"/>
                <w:sz w:val="20"/>
                <w:szCs w:val="20"/>
              </w:rPr>
            </w:pPr>
          </w:p>
        </w:tc>
      </w:tr>
    </w:tbl>
    <w:p w14:paraId="55569E74"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5"/>
        <w:gridCol w:w="2243"/>
        <w:gridCol w:w="3738"/>
      </w:tblGrid>
      <w:tr w:rsidR="00F925DD" w14:paraId="55569E76" w14:textId="77777777">
        <w:tc>
          <w:tcPr>
            <w:tcW w:w="0" w:type="auto"/>
            <w:gridSpan w:val="3"/>
            <w:shd w:val="clear" w:color="auto" w:fill="auto"/>
            <w:vAlign w:val="center"/>
          </w:tcPr>
          <w:p w14:paraId="55569E75" w14:textId="77777777" w:rsidR="00F925DD" w:rsidRDefault="00F925DD">
            <w:pPr>
              <w:rPr>
                <w:rFonts w:ascii="Times New Roman" w:hAnsi="Times New Roman"/>
                <w:sz w:val="20"/>
                <w:szCs w:val="20"/>
              </w:rPr>
            </w:pPr>
          </w:p>
        </w:tc>
      </w:tr>
      <w:tr w:rsidR="00F925DD" w14:paraId="55569E7A" w14:textId="77777777">
        <w:tc>
          <w:tcPr>
            <w:tcW w:w="1400" w:type="pct"/>
            <w:shd w:val="clear" w:color="auto" w:fill="auto"/>
            <w:vAlign w:val="center"/>
          </w:tcPr>
          <w:p w14:paraId="55569E77" w14:textId="77777777" w:rsidR="00F925DD" w:rsidRDefault="00F925DD">
            <w:pPr>
              <w:rPr>
                <w:rFonts w:ascii="Times New Roman" w:hAnsi="Times New Roman"/>
                <w:sz w:val="20"/>
                <w:szCs w:val="20"/>
              </w:rPr>
            </w:pPr>
          </w:p>
        </w:tc>
        <w:tc>
          <w:tcPr>
            <w:tcW w:w="1350" w:type="pct"/>
            <w:shd w:val="clear" w:color="auto" w:fill="auto"/>
            <w:vAlign w:val="center"/>
          </w:tcPr>
          <w:p w14:paraId="55569E78" w14:textId="77777777" w:rsidR="00F925DD" w:rsidRDefault="00F925DD">
            <w:pPr>
              <w:rPr>
                <w:rFonts w:ascii="Times New Roman" w:hAnsi="Times New Roman"/>
                <w:sz w:val="20"/>
                <w:szCs w:val="20"/>
              </w:rPr>
            </w:pPr>
          </w:p>
        </w:tc>
        <w:tc>
          <w:tcPr>
            <w:tcW w:w="2250" w:type="pct"/>
            <w:shd w:val="clear" w:color="auto" w:fill="auto"/>
            <w:vAlign w:val="center"/>
          </w:tcPr>
          <w:p w14:paraId="55569E79" w14:textId="77777777" w:rsidR="00F925DD" w:rsidRDefault="00F925DD">
            <w:pPr>
              <w:rPr>
                <w:rFonts w:ascii="Times New Roman" w:hAnsi="Times New Roman"/>
                <w:sz w:val="20"/>
                <w:szCs w:val="20"/>
              </w:rPr>
            </w:pPr>
          </w:p>
        </w:tc>
      </w:tr>
      <w:tr w:rsidR="00F925DD" w14:paraId="55569E7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9E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E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E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9E7F" w14:textId="77777777" w:rsidR="00F925DD" w:rsidRDefault="00E705D7">
      <w:pPr>
        <w:spacing w:line="288" w:lineRule="auto"/>
        <w:jc w:val="both"/>
        <w:rPr>
          <w:rFonts w:ascii="Times New Roman" w:hAnsi="Times New Roman"/>
          <w:sz w:val="20"/>
          <w:szCs w:val="20"/>
        </w:rPr>
      </w:pPr>
      <w:r>
        <w:rPr>
          <w:rFonts w:ascii="Arial" w:eastAsia="宋体" w:hAnsi="Arial" w:cs="Arial"/>
          <w:sz w:val="8"/>
          <w:szCs w:val="8"/>
        </w:rPr>
        <w:t xml:space="preserve">(1) </w:t>
      </w:r>
      <w:r>
        <w:rPr>
          <w:rFonts w:ascii="Arial" w:eastAsia="宋体" w:hAnsi="Arial" w:cs="Arial"/>
          <w:sz w:val="12"/>
          <w:szCs w:val="12"/>
        </w:rPr>
        <w:t>For purposes of risk attribution by component, foreign exchange refers only to the risk from market movements in period-end rates.  Forwards, futures, options and swaps with maturities greater than period-end have embedded interest rate risk that is captur</w:t>
      </w:r>
      <w:r>
        <w:rPr>
          <w:rFonts w:ascii="Arial" w:eastAsia="宋体" w:hAnsi="Arial" w:cs="Arial"/>
          <w:sz w:val="12"/>
          <w:szCs w:val="12"/>
        </w:rPr>
        <w:t xml:space="preserve">ed by the measures used for interest rate risk.  Accordingly, the interest rate risk embedded in these foreign exchange instruments is included in the interest rate risk component. </w:t>
      </w:r>
    </w:p>
    <w:p w14:paraId="55569E80"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(2)</w:t>
      </w:r>
      <w:r>
        <w:rPr>
          <w:rFonts w:ascii="Arial" w:eastAsia="宋体" w:hAnsi="Arial" w:cs="Arial"/>
          <w:sz w:val="12"/>
          <w:szCs w:val="12"/>
        </w:rPr>
        <w:t xml:space="preserve"> As of December 31, 2019, we had no ten-day VaR or ten-day stressed VaR</w:t>
      </w:r>
      <w:r>
        <w:rPr>
          <w:rFonts w:ascii="Arial" w:eastAsia="宋体" w:hAnsi="Arial" w:cs="Arial"/>
          <w:sz w:val="12"/>
          <w:szCs w:val="12"/>
        </w:rPr>
        <w:t xml:space="preserve"> associated with volatility risk.</w:t>
      </w:r>
    </w:p>
    <w:p w14:paraId="55569E81"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Asset and Liability Management Activities</w:t>
      </w:r>
    </w:p>
    <w:p w14:paraId="55569E8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primary objective of asset and liability management is to provide sustainable NII under varying economic conditions, while protecting the economic value of the assets and </w:t>
      </w:r>
      <w:r>
        <w:rPr>
          <w:rFonts w:ascii="Arial" w:eastAsia="宋体" w:hAnsi="Arial" w:cs="Arial"/>
          <w:sz w:val="20"/>
          <w:szCs w:val="20"/>
        </w:rPr>
        <w:t>liabilities carried on our consolidated statement of condition from the adverse effects of changes in interest rates. While many market factors affect the level of NII and the economic value of our assets and liabilities, one of the most significant factor</w:t>
      </w:r>
      <w:r>
        <w:rPr>
          <w:rFonts w:ascii="Arial" w:eastAsia="宋体" w:hAnsi="Arial" w:cs="Arial"/>
          <w:sz w:val="20"/>
          <w:szCs w:val="20"/>
        </w:rPr>
        <w:t>s is our exposure to movements in interest rates. Most of our NII is earned from the investment of client deposits generated by our businesses. We invest these client deposits in assets that conform generally to the characteristics of our balance sheet lia</w:t>
      </w:r>
      <w:r>
        <w:rPr>
          <w:rFonts w:ascii="Arial" w:eastAsia="宋体" w:hAnsi="Arial" w:cs="Arial"/>
          <w:sz w:val="20"/>
          <w:szCs w:val="20"/>
        </w:rPr>
        <w:t>bilities, including the currency composition of our significant non-U.S. dollar denominated client liabilities.</w:t>
      </w:r>
    </w:p>
    <w:p w14:paraId="55569E8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quantify NII sensitivity using an earnings simulation model that includes our expectations for new business growth, changes in balance sheet </w:t>
      </w:r>
      <w:r>
        <w:rPr>
          <w:rFonts w:ascii="Arial" w:eastAsia="宋体" w:hAnsi="Arial" w:cs="Arial"/>
          <w:sz w:val="20"/>
          <w:szCs w:val="20"/>
        </w:rPr>
        <w:t>mix and investment portfolio positioning. This measure compares our baseline view of NII over a twelve-month horizon, based on our internal forecast of interest rates, to a wide range of rate shocks. Table 38, Key Interest Rates for Baseline Forecasts, pre</w:t>
      </w:r>
      <w:r>
        <w:rPr>
          <w:rFonts w:ascii="Arial" w:eastAsia="宋体" w:hAnsi="Arial" w:cs="Arial"/>
          <w:sz w:val="20"/>
          <w:szCs w:val="20"/>
        </w:rPr>
        <w:t>sents the spot and 12-month forward rates used in our baseline forecasts at December 31, 2019 and December 31, 2018. Our December 31, 2019 baseline forecast includes the expectation of one rate cut by the Federal Reserve over the next 12 months.</w:t>
      </w:r>
    </w:p>
    <w:p w14:paraId="55569E84" w14:textId="77777777" w:rsidR="00F925DD" w:rsidRDefault="00F925DD">
      <w:pPr>
        <w:rPr>
          <w:rFonts w:ascii="Times New Roman" w:hAnsi="Times New Roman"/>
          <w:sz w:val="20"/>
          <w:szCs w:val="20"/>
        </w:rPr>
      </w:pPr>
    </w:p>
    <w:p w14:paraId="55569E85"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w:t>
      </w:r>
      <w:r>
        <w:rPr>
          <w:rFonts w:ascii="Arial" w:eastAsia="宋体" w:hAnsi="Arial" w:cs="Arial"/>
          <w:sz w:val="18"/>
          <w:szCs w:val="18"/>
        </w:rPr>
        <w:t>eet Corporation | 103</w:t>
      </w:r>
    </w:p>
    <w:p w14:paraId="55569E86" w14:textId="77777777" w:rsidR="00F925DD" w:rsidRDefault="00F925DD">
      <w:pPr>
        <w:spacing w:line="288" w:lineRule="auto"/>
        <w:ind w:firstLine="600"/>
        <w:jc w:val="center"/>
        <w:rPr>
          <w:rFonts w:ascii="Times New Roman" w:hAnsi="Times New Roman"/>
          <w:sz w:val="18"/>
          <w:szCs w:val="18"/>
        </w:rPr>
      </w:pPr>
    </w:p>
    <w:p w14:paraId="55569E87" w14:textId="77777777" w:rsidR="00F925DD" w:rsidRDefault="00E705D7">
      <w:r>
        <w:rPr>
          <w:rFonts w:ascii="Times New Roman" w:hAnsi="Times New Roman"/>
          <w:sz w:val="18"/>
          <w:szCs w:val="18"/>
        </w:rPr>
        <w:pict w14:anchorId="555706A1">
          <v:rect id="_x0000_i1127" style="width:415.3pt;height:1.5pt" o:hralign="center" o:hrstd="t" o:hr="t" fillcolor="#a0a0a0" stroked="f"/>
        </w:pict>
      </w:r>
    </w:p>
    <w:p w14:paraId="55569E8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E8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E8A"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314"/>
        <w:gridCol w:w="1235"/>
        <w:gridCol w:w="166"/>
        <w:gridCol w:w="130"/>
        <w:gridCol w:w="1235"/>
        <w:gridCol w:w="165"/>
        <w:gridCol w:w="130"/>
        <w:gridCol w:w="1235"/>
        <w:gridCol w:w="166"/>
        <w:gridCol w:w="130"/>
        <w:gridCol w:w="1235"/>
        <w:gridCol w:w="165"/>
      </w:tblGrid>
      <w:tr w:rsidR="00F925DD" w14:paraId="55569E8C" w14:textId="77777777">
        <w:tc>
          <w:tcPr>
            <w:tcW w:w="0" w:type="auto"/>
            <w:gridSpan w:val="12"/>
            <w:shd w:val="clear" w:color="auto" w:fill="auto"/>
            <w:vAlign w:val="center"/>
          </w:tcPr>
          <w:p w14:paraId="55569E8B" w14:textId="77777777" w:rsidR="00F925DD" w:rsidRDefault="00F925DD">
            <w:pPr>
              <w:rPr>
                <w:rFonts w:ascii="Times New Roman" w:hAnsi="Times New Roman"/>
                <w:sz w:val="20"/>
                <w:szCs w:val="20"/>
              </w:rPr>
            </w:pPr>
          </w:p>
        </w:tc>
      </w:tr>
      <w:tr w:rsidR="00F925DD" w14:paraId="55569E99" w14:textId="77777777">
        <w:tc>
          <w:tcPr>
            <w:tcW w:w="1450" w:type="pct"/>
            <w:shd w:val="clear" w:color="auto" w:fill="auto"/>
            <w:vAlign w:val="center"/>
          </w:tcPr>
          <w:p w14:paraId="55569E8D" w14:textId="77777777" w:rsidR="00F925DD" w:rsidRDefault="00F925DD">
            <w:pPr>
              <w:rPr>
                <w:rFonts w:ascii="Times New Roman" w:hAnsi="Times New Roman"/>
                <w:sz w:val="20"/>
                <w:szCs w:val="20"/>
              </w:rPr>
            </w:pPr>
          </w:p>
        </w:tc>
        <w:tc>
          <w:tcPr>
            <w:tcW w:w="800" w:type="pct"/>
            <w:shd w:val="clear" w:color="auto" w:fill="auto"/>
            <w:vAlign w:val="center"/>
          </w:tcPr>
          <w:p w14:paraId="55569E8E" w14:textId="77777777" w:rsidR="00F925DD" w:rsidRDefault="00F925DD">
            <w:pPr>
              <w:rPr>
                <w:rFonts w:ascii="Times New Roman" w:hAnsi="Times New Roman"/>
                <w:sz w:val="20"/>
                <w:szCs w:val="20"/>
              </w:rPr>
            </w:pPr>
          </w:p>
        </w:tc>
        <w:tc>
          <w:tcPr>
            <w:tcW w:w="50" w:type="pct"/>
            <w:shd w:val="clear" w:color="auto" w:fill="auto"/>
            <w:vAlign w:val="center"/>
          </w:tcPr>
          <w:p w14:paraId="55569E8F" w14:textId="77777777" w:rsidR="00F925DD" w:rsidRDefault="00F925DD">
            <w:pPr>
              <w:rPr>
                <w:rFonts w:ascii="Times New Roman" w:hAnsi="Times New Roman"/>
                <w:sz w:val="20"/>
                <w:szCs w:val="20"/>
              </w:rPr>
            </w:pPr>
          </w:p>
        </w:tc>
        <w:tc>
          <w:tcPr>
            <w:tcW w:w="50" w:type="pct"/>
            <w:shd w:val="clear" w:color="auto" w:fill="auto"/>
            <w:vAlign w:val="center"/>
          </w:tcPr>
          <w:p w14:paraId="55569E90" w14:textId="77777777" w:rsidR="00F925DD" w:rsidRDefault="00F925DD">
            <w:pPr>
              <w:rPr>
                <w:rFonts w:ascii="Times New Roman" w:hAnsi="Times New Roman"/>
                <w:sz w:val="20"/>
                <w:szCs w:val="20"/>
              </w:rPr>
            </w:pPr>
          </w:p>
        </w:tc>
        <w:tc>
          <w:tcPr>
            <w:tcW w:w="800" w:type="pct"/>
            <w:shd w:val="clear" w:color="auto" w:fill="auto"/>
            <w:vAlign w:val="center"/>
          </w:tcPr>
          <w:p w14:paraId="55569E91" w14:textId="77777777" w:rsidR="00F925DD" w:rsidRDefault="00F925DD">
            <w:pPr>
              <w:rPr>
                <w:rFonts w:ascii="Times New Roman" w:hAnsi="Times New Roman"/>
                <w:sz w:val="20"/>
                <w:szCs w:val="20"/>
              </w:rPr>
            </w:pPr>
          </w:p>
        </w:tc>
        <w:tc>
          <w:tcPr>
            <w:tcW w:w="50" w:type="pct"/>
            <w:shd w:val="clear" w:color="auto" w:fill="auto"/>
            <w:vAlign w:val="center"/>
          </w:tcPr>
          <w:p w14:paraId="55569E92" w14:textId="77777777" w:rsidR="00F925DD" w:rsidRDefault="00F925DD">
            <w:pPr>
              <w:rPr>
                <w:rFonts w:ascii="Times New Roman" w:hAnsi="Times New Roman"/>
                <w:sz w:val="20"/>
                <w:szCs w:val="20"/>
              </w:rPr>
            </w:pPr>
          </w:p>
        </w:tc>
        <w:tc>
          <w:tcPr>
            <w:tcW w:w="50" w:type="pct"/>
            <w:shd w:val="clear" w:color="auto" w:fill="auto"/>
            <w:vAlign w:val="center"/>
          </w:tcPr>
          <w:p w14:paraId="55569E93" w14:textId="77777777" w:rsidR="00F925DD" w:rsidRDefault="00F925DD">
            <w:pPr>
              <w:rPr>
                <w:rFonts w:ascii="Times New Roman" w:hAnsi="Times New Roman"/>
                <w:sz w:val="20"/>
                <w:szCs w:val="20"/>
              </w:rPr>
            </w:pPr>
          </w:p>
        </w:tc>
        <w:tc>
          <w:tcPr>
            <w:tcW w:w="800" w:type="pct"/>
            <w:shd w:val="clear" w:color="auto" w:fill="auto"/>
            <w:vAlign w:val="center"/>
          </w:tcPr>
          <w:p w14:paraId="55569E94" w14:textId="77777777" w:rsidR="00F925DD" w:rsidRDefault="00F925DD">
            <w:pPr>
              <w:rPr>
                <w:rFonts w:ascii="Times New Roman" w:hAnsi="Times New Roman"/>
                <w:sz w:val="20"/>
                <w:szCs w:val="20"/>
              </w:rPr>
            </w:pPr>
          </w:p>
        </w:tc>
        <w:tc>
          <w:tcPr>
            <w:tcW w:w="50" w:type="pct"/>
            <w:shd w:val="clear" w:color="auto" w:fill="auto"/>
            <w:vAlign w:val="center"/>
          </w:tcPr>
          <w:p w14:paraId="55569E95" w14:textId="77777777" w:rsidR="00F925DD" w:rsidRDefault="00F925DD">
            <w:pPr>
              <w:rPr>
                <w:rFonts w:ascii="Times New Roman" w:hAnsi="Times New Roman"/>
                <w:sz w:val="20"/>
                <w:szCs w:val="20"/>
              </w:rPr>
            </w:pPr>
          </w:p>
        </w:tc>
        <w:tc>
          <w:tcPr>
            <w:tcW w:w="50" w:type="pct"/>
            <w:shd w:val="clear" w:color="auto" w:fill="auto"/>
            <w:vAlign w:val="center"/>
          </w:tcPr>
          <w:p w14:paraId="55569E96" w14:textId="77777777" w:rsidR="00F925DD" w:rsidRDefault="00F925DD">
            <w:pPr>
              <w:rPr>
                <w:rFonts w:ascii="Times New Roman" w:hAnsi="Times New Roman"/>
                <w:sz w:val="20"/>
                <w:szCs w:val="20"/>
              </w:rPr>
            </w:pPr>
          </w:p>
        </w:tc>
        <w:tc>
          <w:tcPr>
            <w:tcW w:w="800" w:type="pct"/>
            <w:shd w:val="clear" w:color="auto" w:fill="auto"/>
            <w:vAlign w:val="center"/>
          </w:tcPr>
          <w:p w14:paraId="55569E97" w14:textId="77777777" w:rsidR="00F925DD" w:rsidRDefault="00F925DD">
            <w:pPr>
              <w:rPr>
                <w:rFonts w:ascii="Times New Roman" w:hAnsi="Times New Roman"/>
                <w:sz w:val="20"/>
                <w:szCs w:val="20"/>
              </w:rPr>
            </w:pPr>
          </w:p>
        </w:tc>
        <w:tc>
          <w:tcPr>
            <w:tcW w:w="50" w:type="pct"/>
            <w:shd w:val="clear" w:color="auto" w:fill="auto"/>
            <w:vAlign w:val="center"/>
          </w:tcPr>
          <w:p w14:paraId="55569E98" w14:textId="77777777" w:rsidR="00F925DD" w:rsidRDefault="00F925DD">
            <w:pPr>
              <w:rPr>
                <w:rFonts w:ascii="Times New Roman" w:hAnsi="Times New Roman"/>
                <w:sz w:val="20"/>
                <w:szCs w:val="20"/>
              </w:rPr>
            </w:pPr>
          </w:p>
        </w:tc>
      </w:tr>
      <w:tr w:rsidR="00F925DD" w14:paraId="55569E9B" w14:textId="77777777">
        <w:tc>
          <w:tcPr>
            <w:tcW w:w="0" w:type="auto"/>
            <w:gridSpan w:val="12"/>
            <w:shd w:val="clear" w:color="auto" w:fill="auto"/>
            <w:tcMar>
              <w:top w:w="40" w:type="dxa"/>
              <w:left w:w="40" w:type="dxa"/>
              <w:bottom w:w="40" w:type="dxa"/>
              <w:right w:w="40" w:type="dxa"/>
            </w:tcMar>
            <w:vAlign w:val="bottom"/>
          </w:tcPr>
          <w:p w14:paraId="55569E9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38: KEY INTEREST RATES FOR BASELINE FORECASTS</w:t>
            </w:r>
          </w:p>
        </w:tc>
      </w:tr>
      <w:tr w:rsidR="00F925DD" w14:paraId="55569EA0" w14:textId="77777777">
        <w:tc>
          <w:tcPr>
            <w:tcW w:w="0" w:type="auto"/>
            <w:shd w:val="clear" w:color="auto" w:fill="auto"/>
            <w:tcMar>
              <w:top w:w="40" w:type="dxa"/>
              <w:left w:w="40" w:type="dxa"/>
              <w:bottom w:w="40" w:type="dxa"/>
              <w:right w:w="40" w:type="dxa"/>
            </w:tcMar>
            <w:vAlign w:val="bottom"/>
          </w:tcPr>
          <w:p w14:paraId="55569E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55569E9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55569E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55569E9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2018</w:t>
            </w:r>
          </w:p>
        </w:tc>
      </w:tr>
      <w:tr w:rsidR="00F925DD" w14:paraId="55569EA9" w14:textId="77777777">
        <w:tc>
          <w:tcPr>
            <w:tcW w:w="0" w:type="auto"/>
            <w:shd w:val="clear" w:color="auto" w:fill="auto"/>
            <w:tcMar>
              <w:top w:w="40" w:type="dxa"/>
              <w:left w:w="40" w:type="dxa"/>
              <w:bottom w:w="40" w:type="dxa"/>
              <w:right w:w="40" w:type="dxa"/>
            </w:tcMar>
            <w:vAlign w:val="bottom"/>
          </w:tcPr>
          <w:p w14:paraId="55569E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9EA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Fed Funds Target</w:t>
            </w:r>
          </w:p>
        </w:tc>
        <w:tc>
          <w:tcPr>
            <w:tcW w:w="0" w:type="auto"/>
            <w:shd w:val="clear" w:color="auto" w:fill="auto"/>
            <w:tcMar>
              <w:top w:w="40" w:type="dxa"/>
              <w:left w:w="40" w:type="dxa"/>
              <w:bottom w:w="40" w:type="dxa"/>
              <w:right w:w="40" w:type="dxa"/>
            </w:tcMar>
            <w:vAlign w:val="bottom"/>
          </w:tcPr>
          <w:p w14:paraId="55569E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9EA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10-Year </w:t>
            </w:r>
            <w:r>
              <w:rPr>
                <w:rFonts w:ascii="Arial" w:eastAsia="宋体" w:hAnsi="Arial" w:cs="Arial"/>
                <w:b/>
                <w:bCs/>
                <w:sz w:val="14"/>
                <w:szCs w:val="14"/>
              </w:rPr>
              <w:t>Treasury</w:t>
            </w:r>
          </w:p>
        </w:tc>
        <w:tc>
          <w:tcPr>
            <w:tcW w:w="0" w:type="auto"/>
            <w:shd w:val="clear" w:color="auto" w:fill="auto"/>
            <w:tcMar>
              <w:top w:w="40" w:type="dxa"/>
              <w:left w:w="40" w:type="dxa"/>
              <w:bottom w:w="40" w:type="dxa"/>
              <w:right w:w="40" w:type="dxa"/>
            </w:tcMar>
            <w:vAlign w:val="bottom"/>
          </w:tcPr>
          <w:p w14:paraId="55569E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9EA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Fed Funds Target</w:t>
            </w:r>
          </w:p>
        </w:tc>
        <w:tc>
          <w:tcPr>
            <w:tcW w:w="0" w:type="auto"/>
            <w:shd w:val="clear" w:color="auto" w:fill="auto"/>
            <w:tcMar>
              <w:top w:w="40" w:type="dxa"/>
              <w:left w:w="40" w:type="dxa"/>
              <w:bottom w:w="40" w:type="dxa"/>
              <w:right w:w="40" w:type="dxa"/>
            </w:tcMar>
            <w:vAlign w:val="bottom"/>
          </w:tcPr>
          <w:p w14:paraId="55569E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9EA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10-Year Treasury</w:t>
            </w:r>
          </w:p>
        </w:tc>
      </w:tr>
      <w:tr w:rsidR="00F925DD" w14:paraId="55569EB6" w14:textId="77777777">
        <w:tc>
          <w:tcPr>
            <w:tcW w:w="0" w:type="auto"/>
            <w:shd w:val="clear" w:color="auto" w:fill="CCEEFF"/>
            <w:tcMar>
              <w:top w:w="40" w:type="dxa"/>
              <w:left w:w="40" w:type="dxa"/>
              <w:bottom w:w="40" w:type="dxa"/>
              <w:right w:w="40" w:type="dxa"/>
            </w:tcMar>
            <w:vAlign w:val="bottom"/>
          </w:tcPr>
          <w:p w14:paraId="55569EAA" w14:textId="77777777" w:rsidR="00F925DD" w:rsidRDefault="00E705D7">
            <w:pPr>
              <w:textAlignment w:val="bottom"/>
              <w:rPr>
                <w:rFonts w:ascii="Times New Roman" w:hAnsi="Times New Roman"/>
                <w:sz w:val="14"/>
                <w:szCs w:val="14"/>
              </w:rPr>
            </w:pPr>
            <w:r>
              <w:rPr>
                <w:rFonts w:ascii="Arial" w:eastAsia="宋体" w:hAnsi="Arial" w:cs="Arial"/>
                <w:sz w:val="14"/>
                <w:szCs w:val="14"/>
              </w:rPr>
              <w:t>Spot rates</w:t>
            </w:r>
          </w:p>
        </w:tc>
        <w:tc>
          <w:tcPr>
            <w:tcW w:w="0" w:type="auto"/>
            <w:shd w:val="clear" w:color="auto" w:fill="CCEEFF"/>
            <w:tcMar>
              <w:top w:w="40" w:type="dxa"/>
              <w:left w:w="40" w:type="dxa"/>
              <w:bottom w:w="40" w:type="dxa"/>
            </w:tcMar>
            <w:vAlign w:val="bottom"/>
          </w:tcPr>
          <w:p w14:paraId="55569EA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1.75</w:t>
            </w:r>
          </w:p>
        </w:tc>
        <w:tc>
          <w:tcPr>
            <w:tcW w:w="0" w:type="auto"/>
            <w:shd w:val="clear" w:color="auto" w:fill="CCEEFF"/>
            <w:tcMar>
              <w:top w:w="40" w:type="dxa"/>
              <w:bottom w:w="40" w:type="dxa"/>
              <w:right w:w="40" w:type="dxa"/>
            </w:tcMar>
            <w:vAlign w:val="bottom"/>
          </w:tcPr>
          <w:p w14:paraId="55569EA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9E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EA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1.92</w:t>
            </w:r>
          </w:p>
        </w:tc>
        <w:tc>
          <w:tcPr>
            <w:tcW w:w="0" w:type="auto"/>
            <w:shd w:val="clear" w:color="auto" w:fill="CCEEFF"/>
            <w:tcMar>
              <w:top w:w="40" w:type="dxa"/>
              <w:bottom w:w="40" w:type="dxa"/>
              <w:right w:w="40" w:type="dxa"/>
            </w:tcMar>
            <w:vAlign w:val="bottom"/>
          </w:tcPr>
          <w:p w14:paraId="55569EA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9E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EB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2.50</w:t>
            </w:r>
          </w:p>
        </w:tc>
        <w:tc>
          <w:tcPr>
            <w:tcW w:w="0" w:type="auto"/>
            <w:shd w:val="clear" w:color="auto" w:fill="CCEEFF"/>
            <w:tcMar>
              <w:top w:w="40" w:type="dxa"/>
              <w:bottom w:w="40" w:type="dxa"/>
              <w:right w:w="40" w:type="dxa"/>
            </w:tcMar>
            <w:vAlign w:val="bottom"/>
          </w:tcPr>
          <w:p w14:paraId="55569EB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9E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EB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2.68</w:t>
            </w:r>
          </w:p>
        </w:tc>
        <w:tc>
          <w:tcPr>
            <w:tcW w:w="0" w:type="auto"/>
            <w:shd w:val="clear" w:color="auto" w:fill="CCEEFF"/>
            <w:tcMar>
              <w:top w:w="40" w:type="dxa"/>
              <w:bottom w:w="40" w:type="dxa"/>
              <w:right w:w="40" w:type="dxa"/>
            </w:tcMar>
            <w:vAlign w:val="bottom"/>
          </w:tcPr>
          <w:p w14:paraId="55569EB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9EC3" w14:textId="77777777">
        <w:tc>
          <w:tcPr>
            <w:tcW w:w="0" w:type="auto"/>
            <w:shd w:val="clear" w:color="auto" w:fill="auto"/>
            <w:tcMar>
              <w:top w:w="40" w:type="dxa"/>
              <w:left w:w="40" w:type="dxa"/>
              <w:bottom w:w="40" w:type="dxa"/>
              <w:right w:w="40" w:type="dxa"/>
            </w:tcMar>
            <w:vAlign w:val="bottom"/>
          </w:tcPr>
          <w:p w14:paraId="55569EB7" w14:textId="77777777" w:rsidR="00F925DD" w:rsidRDefault="00E705D7">
            <w:pPr>
              <w:textAlignment w:val="bottom"/>
              <w:rPr>
                <w:rFonts w:ascii="Times New Roman" w:hAnsi="Times New Roman"/>
                <w:sz w:val="14"/>
                <w:szCs w:val="14"/>
              </w:rPr>
            </w:pPr>
            <w:r>
              <w:rPr>
                <w:rFonts w:ascii="Arial" w:eastAsia="宋体" w:hAnsi="Arial" w:cs="Arial"/>
                <w:sz w:val="14"/>
                <w:szCs w:val="14"/>
              </w:rPr>
              <w:t>12-month forward rates</w:t>
            </w:r>
          </w:p>
        </w:tc>
        <w:tc>
          <w:tcPr>
            <w:tcW w:w="0" w:type="auto"/>
            <w:shd w:val="clear" w:color="auto" w:fill="auto"/>
            <w:tcMar>
              <w:top w:w="40" w:type="dxa"/>
              <w:left w:w="40" w:type="dxa"/>
              <w:bottom w:w="40" w:type="dxa"/>
            </w:tcMar>
            <w:vAlign w:val="bottom"/>
          </w:tcPr>
          <w:p w14:paraId="55569EB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1.50</w:t>
            </w:r>
          </w:p>
        </w:tc>
        <w:tc>
          <w:tcPr>
            <w:tcW w:w="0" w:type="auto"/>
            <w:shd w:val="clear" w:color="auto" w:fill="auto"/>
            <w:vAlign w:val="bottom"/>
          </w:tcPr>
          <w:p w14:paraId="55569E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EB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1.95</w:t>
            </w:r>
          </w:p>
        </w:tc>
        <w:tc>
          <w:tcPr>
            <w:tcW w:w="0" w:type="auto"/>
            <w:shd w:val="clear" w:color="auto" w:fill="auto"/>
            <w:vAlign w:val="bottom"/>
          </w:tcPr>
          <w:p w14:paraId="55569E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EB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3.00</w:t>
            </w:r>
          </w:p>
        </w:tc>
        <w:tc>
          <w:tcPr>
            <w:tcW w:w="0" w:type="auto"/>
            <w:shd w:val="clear" w:color="auto" w:fill="auto"/>
            <w:vAlign w:val="bottom"/>
          </w:tcPr>
          <w:p w14:paraId="55569E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E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9EC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2.99</w:t>
            </w:r>
          </w:p>
        </w:tc>
        <w:tc>
          <w:tcPr>
            <w:tcW w:w="0" w:type="auto"/>
            <w:shd w:val="clear" w:color="auto" w:fill="auto"/>
            <w:vAlign w:val="bottom"/>
          </w:tcPr>
          <w:p w14:paraId="55569EC2" w14:textId="77777777" w:rsidR="00F925DD" w:rsidRDefault="00F925DD">
            <w:pPr>
              <w:textAlignment w:val="bottom"/>
              <w:rPr>
                <w:rFonts w:ascii="Times New Roman" w:hAnsi="Times New Roman"/>
                <w:sz w:val="20"/>
                <w:szCs w:val="20"/>
              </w:rPr>
            </w:pPr>
          </w:p>
        </w:tc>
      </w:tr>
    </w:tbl>
    <w:p w14:paraId="55569EC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Table 39: Net Interest Income Sensitivity, we report the expected change in NII over the next twelve months from instantaneous shocks to various tenors on the yield curve, including the impacts from U.S. and non-U.S. rates. Each scenario assumes no mana</w:t>
      </w:r>
      <w:r>
        <w:rPr>
          <w:rFonts w:ascii="Arial" w:eastAsia="宋体" w:hAnsi="Arial" w:cs="Arial"/>
          <w:sz w:val="20"/>
          <w:szCs w:val="20"/>
        </w:rPr>
        <w:t>gement action is taken to mitigate the adverse effects of interest rate changes on our financial performance. While investment securities balances can fluctuate with the level of rates as prepayment assumptions change, our deposit balances remain consisten</w:t>
      </w:r>
      <w:r>
        <w:rPr>
          <w:rFonts w:ascii="Arial" w:eastAsia="宋体" w:hAnsi="Arial" w:cs="Arial"/>
          <w:sz w:val="20"/>
          <w:szCs w:val="20"/>
        </w:rPr>
        <w:t xml:space="preserve">t with the baseline. </w:t>
      </w:r>
    </w:p>
    <w:tbl>
      <w:tblPr>
        <w:tblW w:w="5000" w:type="pct"/>
        <w:tblCellMar>
          <w:left w:w="0" w:type="dxa"/>
          <w:right w:w="0" w:type="dxa"/>
        </w:tblCellMar>
        <w:tblLook w:val="04A0" w:firstRow="1" w:lastRow="0" w:firstColumn="1" w:lastColumn="0" w:noHBand="0" w:noVBand="1"/>
      </w:tblPr>
      <w:tblGrid>
        <w:gridCol w:w="2341"/>
        <w:gridCol w:w="119"/>
        <w:gridCol w:w="680"/>
        <w:gridCol w:w="87"/>
        <w:gridCol w:w="130"/>
        <w:gridCol w:w="119"/>
        <w:gridCol w:w="680"/>
        <w:gridCol w:w="87"/>
        <w:gridCol w:w="130"/>
        <w:gridCol w:w="118"/>
        <w:gridCol w:w="680"/>
        <w:gridCol w:w="87"/>
        <w:gridCol w:w="130"/>
        <w:gridCol w:w="119"/>
        <w:gridCol w:w="680"/>
        <w:gridCol w:w="87"/>
        <w:gridCol w:w="130"/>
        <w:gridCol w:w="119"/>
        <w:gridCol w:w="680"/>
        <w:gridCol w:w="87"/>
        <w:gridCol w:w="130"/>
        <w:gridCol w:w="119"/>
        <w:gridCol w:w="680"/>
        <w:gridCol w:w="87"/>
      </w:tblGrid>
      <w:tr w:rsidR="00F925DD" w14:paraId="55569EC6" w14:textId="77777777">
        <w:tc>
          <w:tcPr>
            <w:tcW w:w="0" w:type="auto"/>
            <w:gridSpan w:val="24"/>
            <w:shd w:val="clear" w:color="auto" w:fill="auto"/>
            <w:vAlign w:val="center"/>
          </w:tcPr>
          <w:p w14:paraId="55569EC5" w14:textId="77777777" w:rsidR="00F925DD" w:rsidRDefault="00F925DD">
            <w:pPr>
              <w:rPr>
                <w:rFonts w:ascii="Times New Roman" w:hAnsi="Times New Roman"/>
                <w:sz w:val="20"/>
                <w:szCs w:val="20"/>
              </w:rPr>
            </w:pPr>
          </w:p>
        </w:tc>
      </w:tr>
      <w:tr w:rsidR="00F925DD" w14:paraId="55569EDF" w14:textId="77777777">
        <w:tc>
          <w:tcPr>
            <w:tcW w:w="1450" w:type="pct"/>
            <w:shd w:val="clear" w:color="auto" w:fill="auto"/>
            <w:vAlign w:val="center"/>
          </w:tcPr>
          <w:p w14:paraId="55569EC7" w14:textId="77777777" w:rsidR="00F925DD" w:rsidRDefault="00F925DD">
            <w:pPr>
              <w:rPr>
                <w:rFonts w:ascii="Times New Roman" w:hAnsi="Times New Roman"/>
                <w:sz w:val="20"/>
                <w:szCs w:val="20"/>
              </w:rPr>
            </w:pPr>
          </w:p>
        </w:tc>
        <w:tc>
          <w:tcPr>
            <w:tcW w:w="50" w:type="pct"/>
            <w:shd w:val="clear" w:color="auto" w:fill="auto"/>
            <w:vAlign w:val="center"/>
          </w:tcPr>
          <w:p w14:paraId="55569EC8" w14:textId="77777777" w:rsidR="00F925DD" w:rsidRDefault="00F925DD">
            <w:pPr>
              <w:rPr>
                <w:rFonts w:ascii="Times New Roman" w:hAnsi="Times New Roman"/>
                <w:sz w:val="20"/>
                <w:szCs w:val="20"/>
              </w:rPr>
            </w:pPr>
          </w:p>
        </w:tc>
        <w:tc>
          <w:tcPr>
            <w:tcW w:w="450" w:type="pct"/>
            <w:shd w:val="clear" w:color="auto" w:fill="auto"/>
            <w:vAlign w:val="center"/>
          </w:tcPr>
          <w:p w14:paraId="55569EC9" w14:textId="77777777" w:rsidR="00F925DD" w:rsidRDefault="00F925DD">
            <w:pPr>
              <w:rPr>
                <w:rFonts w:ascii="Times New Roman" w:hAnsi="Times New Roman"/>
                <w:sz w:val="20"/>
                <w:szCs w:val="20"/>
              </w:rPr>
            </w:pPr>
          </w:p>
        </w:tc>
        <w:tc>
          <w:tcPr>
            <w:tcW w:w="50" w:type="pct"/>
            <w:shd w:val="clear" w:color="auto" w:fill="auto"/>
            <w:vAlign w:val="center"/>
          </w:tcPr>
          <w:p w14:paraId="55569ECA" w14:textId="77777777" w:rsidR="00F925DD" w:rsidRDefault="00F925DD">
            <w:pPr>
              <w:rPr>
                <w:rFonts w:ascii="Times New Roman" w:hAnsi="Times New Roman"/>
                <w:sz w:val="20"/>
                <w:szCs w:val="20"/>
              </w:rPr>
            </w:pPr>
          </w:p>
        </w:tc>
        <w:tc>
          <w:tcPr>
            <w:tcW w:w="50" w:type="pct"/>
            <w:shd w:val="clear" w:color="auto" w:fill="auto"/>
            <w:vAlign w:val="center"/>
          </w:tcPr>
          <w:p w14:paraId="55569ECB" w14:textId="77777777" w:rsidR="00F925DD" w:rsidRDefault="00F925DD">
            <w:pPr>
              <w:rPr>
                <w:rFonts w:ascii="Times New Roman" w:hAnsi="Times New Roman"/>
                <w:sz w:val="20"/>
                <w:szCs w:val="20"/>
              </w:rPr>
            </w:pPr>
          </w:p>
        </w:tc>
        <w:tc>
          <w:tcPr>
            <w:tcW w:w="50" w:type="pct"/>
            <w:shd w:val="clear" w:color="auto" w:fill="auto"/>
            <w:vAlign w:val="center"/>
          </w:tcPr>
          <w:p w14:paraId="55569ECC" w14:textId="77777777" w:rsidR="00F925DD" w:rsidRDefault="00F925DD">
            <w:pPr>
              <w:rPr>
                <w:rFonts w:ascii="Times New Roman" w:hAnsi="Times New Roman"/>
                <w:sz w:val="20"/>
                <w:szCs w:val="20"/>
              </w:rPr>
            </w:pPr>
          </w:p>
        </w:tc>
        <w:tc>
          <w:tcPr>
            <w:tcW w:w="450" w:type="pct"/>
            <w:shd w:val="clear" w:color="auto" w:fill="auto"/>
            <w:vAlign w:val="center"/>
          </w:tcPr>
          <w:p w14:paraId="55569ECD" w14:textId="77777777" w:rsidR="00F925DD" w:rsidRDefault="00F925DD">
            <w:pPr>
              <w:rPr>
                <w:rFonts w:ascii="Times New Roman" w:hAnsi="Times New Roman"/>
                <w:sz w:val="20"/>
                <w:szCs w:val="20"/>
              </w:rPr>
            </w:pPr>
          </w:p>
        </w:tc>
        <w:tc>
          <w:tcPr>
            <w:tcW w:w="50" w:type="pct"/>
            <w:shd w:val="clear" w:color="auto" w:fill="auto"/>
            <w:vAlign w:val="center"/>
          </w:tcPr>
          <w:p w14:paraId="55569ECE" w14:textId="77777777" w:rsidR="00F925DD" w:rsidRDefault="00F925DD">
            <w:pPr>
              <w:rPr>
                <w:rFonts w:ascii="Times New Roman" w:hAnsi="Times New Roman"/>
                <w:sz w:val="20"/>
                <w:szCs w:val="20"/>
              </w:rPr>
            </w:pPr>
          </w:p>
        </w:tc>
        <w:tc>
          <w:tcPr>
            <w:tcW w:w="50" w:type="pct"/>
            <w:shd w:val="clear" w:color="auto" w:fill="auto"/>
            <w:vAlign w:val="center"/>
          </w:tcPr>
          <w:p w14:paraId="55569ECF" w14:textId="77777777" w:rsidR="00F925DD" w:rsidRDefault="00F925DD">
            <w:pPr>
              <w:rPr>
                <w:rFonts w:ascii="Times New Roman" w:hAnsi="Times New Roman"/>
                <w:sz w:val="20"/>
                <w:szCs w:val="20"/>
              </w:rPr>
            </w:pPr>
          </w:p>
        </w:tc>
        <w:tc>
          <w:tcPr>
            <w:tcW w:w="50" w:type="pct"/>
            <w:shd w:val="clear" w:color="auto" w:fill="auto"/>
            <w:vAlign w:val="center"/>
          </w:tcPr>
          <w:p w14:paraId="55569ED0" w14:textId="77777777" w:rsidR="00F925DD" w:rsidRDefault="00F925DD">
            <w:pPr>
              <w:rPr>
                <w:rFonts w:ascii="Times New Roman" w:hAnsi="Times New Roman"/>
                <w:sz w:val="20"/>
                <w:szCs w:val="20"/>
              </w:rPr>
            </w:pPr>
          </w:p>
        </w:tc>
        <w:tc>
          <w:tcPr>
            <w:tcW w:w="450" w:type="pct"/>
            <w:shd w:val="clear" w:color="auto" w:fill="auto"/>
            <w:vAlign w:val="center"/>
          </w:tcPr>
          <w:p w14:paraId="55569ED1" w14:textId="77777777" w:rsidR="00F925DD" w:rsidRDefault="00F925DD">
            <w:pPr>
              <w:rPr>
                <w:rFonts w:ascii="Times New Roman" w:hAnsi="Times New Roman"/>
                <w:sz w:val="20"/>
                <w:szCs w:val="20"/>
              </w:rPr>
            </w:pPr>
          </w:p>
        </w:tc>
        <w:tc>
          <w:tcPr>
            <w:tcW w:w="50" w:type="pct"/>
            <w:shd w:val="clear" w:color="auto" w:fill="auto"/>
            <w:vAlign w:val="center"/>
          </w:tcPr>
          <w:p w14:paraId="55569ED2" w14:textId="77777777" w:rsidR="00F925DD" w:rsidRDefault="00F925DD">
            <w:pPr>
              <w:rPr>
                <w:rFonts w:ascii="Times New Roman" w:hAnsi="Times New Roman"/>
                <w:sz w:val="20"/>
                <w:szCs w:val="20"/>
              </w:rPr>
            </w:pPr>
          </w:p>
        </w:tc>
        <w:tc>
          <w:tcPr>
            <w:tcW w:w="50" w:type="pct"/>
            <w:shd w:val="clear" w:color="auto" w:fill="auto"/>
            <w:vAlign w:val="center"/>
          </w:tcPr>
          <w:p w14:paraId="55569ED3" w14:textId="77777777" w:rsidR="00F925DD" w:rsidRDefault="00F925DD">
            <w:pPr>
              <w:rPr>
                <w:rFonts w:ascii="Times New Roman" w:hAnsi="Times New Roman"/>
                <w:sz w:val="20"/>
                <w:szCs w:val="20"/>
              </w:rPr>
            </w:pPr>
          </w:p>
        </w:tc>
        <w:tc>
          <w:tcPr>
            <w:tcW w:w="50" w:type="pct"/>
            <w:shd w:val="clear" w:color="auto" w:fill="auto"/>
            <w:vAlign w:val="center"/>
          </w:tcPr>
          <w:p w14:paraId="55569ED4" w14:textId="77777777" w:rsidR="00F925DD" w:rsidRDefault="00F925DD">
            <w:pPr>
              <w:rPr>
                <w:rFonts w:ascii="Times New Roman" w:hAnsi="Times New Roman"/>
                <w:sz w:val="20"/>
                <w:szCs w:val="20"/>
              </w:rPr>
            </w:pPr>
          </w:p>
        </w:tc>
        <w:tc>
          <w:tcPr>
            <w:tcW w:w="450" w:type="pct"/>
            <w:shd w:val="clear" w:color="auto" w:fill="auto"/>
            <w:vAlign w:val="center"/>
          </w:tcPr>
          <w:p w14:paraId="55569ED5" w14:textId="77777777" w:rsidR="00F925DD" w:rsidRDefault="00F925DD">
            <w:pPr>
              <w:rPr>
                <w:rFonts w:ascii="Times New Roman" w:hAnsi="Times New Roman"/>
                <w:sz w:val="20"/>
                <w:szCs w:val="20"/>
              </w:rPr>
            </w:pPr>
          </w:p>
        </w:tc>
        <w:tc>
          <w:tcPr>
            <w:tcW w:w="50" w:type="pct"/>
            <w:shd w:val="clear" w:color="auto" w:fill="auto"/>
            <w:vAlign w:val="center"/>
          </w:tcPr>
          <w:p w14:paraId="55569ED6" w14:textId="77777777" w:rsidR="00F925DD" w:rsidRDefault="00F925DD">
            <w:pPr>
              <w:rPr>
                <w:rFonts w:ascii="Times New Roman" w:hAnsi="Times New Roman"/>
                <w:sz w:val="20"/>
                <w:szCs w:val="20"/>
              </w:rPr>
            </w:pPr>
          </w:p>
        </w:tc>
        <w:tc>
          <w:tcPr>
            <w:tcW w:w="50" w:type="pct"/>
            <w:shd w:val="clear" w:color="auto" w:fill="auto"/>
            <w:vAlign w:val="center"/>
          </w:tcPr>
          <w:p w14:paraId="55569ED7" w14:textId="77777777" w:rsidR="00F925DD" w:rsidRDefault="00F925DD">
            <w:pPr>
              <w:rPr>
                <w:rFonts w:ascii="Times New Roman" w:hAnsi="Times New Roman"/>
                <w:sz w:val="20"/>
                <w:szCs w:val="20"/>
              </w:rPr>
            </w:pPr>
          </w:p>
        </w:tc>
        <w:tc>
          <w:tcPr>
            <w:tcW w:w="50" w:type="pct"/>
            <w:shd w:val="clear" w:color="auto" w:fill="auto"/>
            <w:vAlign w:val="center"/>
          </w:tcPr>
          <w:p w14:paraId="55569ED8" w14:textId="77777777" w:rsidR="00F925DD" w:rsidRDefault="00F925DD">
            <w:pPr>
              <w:rPr>
                <w:rFonts w:ascii="Times New Roman" w:hAnsi="Times New Roman"/>
                <w:sz w:val="20"/>
                <w:szCs w:val="20"/>
              </w:rPr>
            </w:pPr>
          </w:p>
        </w:tc>
        <w:tc>
          <w:tcPr>
            <w:tcW w:w="450" w:type="pct"/>
            <w:shd w:val="clear" w:color="auto" w:fill="auto"/>
            <w:vAlign w:val="center"/>
          </w:tcPr>
          <w:p w14:paraId="55569ED9" w14:textId="77777777" w:rsidR="00F925DD" w:rsidRDefault="00F925DD">
            <w:pPr>
              <w:rPr>
                <w:rFonts w:ascii="Times New Roman" w:hAnsi="Times New Roman"/>
                <w:sz w:val="20"/>
                <w:szCs w:val="20"/>
              </w:rPr>
            </w:pPr>
          </w:p>
        </w:tc>
        <w:tc>
          <w:tcPr>
            <w:tcW w:w="50" w:type="pct"/>
            <w:shd w:val="clear" w:color="auto" w:fill="auto"/>
            <w:vAlign w:val="center"/>
          </w:tcPr>
          <w:p w14:paraId="55569EDA" w14:textId="77777777" w:rsidR="00F925DD" w:rsidRDefault="00F925DD">
            <w:pPr>
              <w:rPr>
                <w:rFonts w:ascii="Times New Roman" w:hAnsi="Times New Roman"/>
                <w:sz w:val="20"/>
                <w:szCs w:val="20"/>
              </w:rPr>
            </w:pPr>
          </w:p>
        </w:tc>
        <w:tc>
          <w:tcPr>
            <w:tcW w:w="50" w:type="pct"/>
            <w:shd w:val="clear" w:color="auto" w:fill="auto"/>
            <w:vAlign w:val="center"/>
          </w:tcPr>
          <w:p w14:paraId="55569EDB" w14:textId="77777777" w:rsidR="00F925DD" w:rsidRDefault="00F925DD">
            <w:pPr>
              <w:rPr>
                <w:rFonts w:ascii="Times New Roman" w:hAnsi="Times New Roman"/>
                <w:sz w:val="20"/>
                <w:szCs w:val="20"/>
              </w:rPr>
            </w:pPr>
          </w:p>
        </w:tc>
        <w:tc>
          <w:tcPr>
            <w:tcW w:w="50" w:type="pct"/>
            <w:shd w:val="clear" w:color="auto" w:fill="auto"/>
            <w:vAlign w:val="center"/>
          </w:tcPr>
          <w:p w14:paraId="55569EDC" w14:textId="77777777" w:rsidR="00F925DD" w:rsidRDefault="00F925DD">
            <w:pPr>
              <w:rPr>
                <w:rFonts w:ascii="Times New Roman" w:hAnsi="Times New Roman"/>
                <w:sz w:val="20"/>
                <w:szCs w:val="20"/>
              </w:rPr>
            </w:pPr>
          </w:p>
        </w:tc>
        <w:tc>
          <w:tcPr>
            <w:tcW w:w="450" w:type="pct"/>
            <w:shd w:val="clear" w:color="auto" w:fill="auto"/>
            <w:vAlign w:val="center"/>
          </w:tcPr>
          <w:p w14:paraId="55569EDD" w14:textId="77777777" w:rsidR="00F925DD" w:rsidRDefault="00F925DD">
            <w:pPr>
              <w:rPr>
                <w:rFonts w:ascii="Times New Roman" w:hAnsi="Times New Roman"/>
                <w:sz w:val="20"/>
                <w:szCs w:val="20"/>
              </w:rPr>
            </w:pPr>
          </w:p>
        </w:tc>
        <w:tc>
          <w:tcPr>
            <w:tcW w:w="50" w:type="pct"/>
            <w:shd w:val="clear" w:color="auto" w:fill="auto"/>
            <w:vAlign w:val="center"/>
          </w:tcPr>
          <w:p w14:paraId="55569EDE" w14:textId="77777777" w:rsidR="00F925DD" w:rsidRDefault="00F925DD">
            <w:pPr>
              <w:rPr>
                <w:rFonts w:ascii="Times New Roman" w:hAnsi="Times New Roman"/>
                <w:sz w:val="20"/>
                <w:szCs w:val="20"/>
              </w:rPr>
            </w:pPr>
          </w:p>
        </w:tc>
      </w:tr>
      <w:tr w:rsidR="00F925DD" w14:paraId="55569EE1" w14:textId="77777777">
        <w:tc>
          <w:tcPr>
            <w:tcW w:w="0" w:type="auto"/>
            <w:gridSpan w:val="24"/>
            <w:shd w:val="clear" w:color="auto" w:fill="auto"/>
            <w:tcMar>
              <w:top w:w="40" w:type="dxa"/>
              <w:left w:w="40" w:type="dxa"/>
              <w:bottom w:w="40" w:type="dxa"/>
              <w:right w:w="40" w:type="dxa"/>
            </w:tcMar>
            <w:vAlign w:val="bottom"/>
          </w:tcPr>
          <w:p w14:paraId="55569EE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39: NET INTEREST INCOME SENSITIVITY</w:t>
            </w:r>
          </w:p>
        </w:tc>
      </w:tr>
      <w:tr w:rsidR="00F925DD" w14:paraId="55569EE6" w14:textId="77777777">
        <w:tc>
          <w:tcPr>
            <w:tcW w:w="0" w:type="auto"/>
            <w:shd w:val="clear" w:color="auto" w:fill="auto"/>
            <w:tcMar>
              <w:top w:w="40" w:type="dxa"/>
              <w:left w:w="40" w:type="dxa"/>
              <w:bottom w:w="40" w:type="dxa"/>
              <w:right w:w="40" w:type="dxa"/>
            </w:tcMar>
            <w:vAlign w:val="bottom"/>
          </w:tcPr>
          <w:p w14:paraId="55569E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9EE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55569E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9EE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2018</w:t>
            </w:r>
          </w:p>
        </w:tc>
      </w:tr>
      <w:tr w:rsidR="00F925DD" w14:paraId="55569EF3" w14:textId="77777777">
        <w:tc>
          <w:tcPr>
            <w:tcW w:w="0" w:type="auto"/>
            <w:shd w:val="clear" w:color="auto" w:fill="auto"/>
            <w:tcMar>
              <w:top w:w="40" w:type="dxa"/>
              <w:left w:w="40" w:type="dxa"/>
              <w:bottom w:w="40" w:type="dxa"/>
              <w:right w:w="40" w:type="dxa"/>
            </w:tcMar>
            <w:vAlign w:val="bottom"/>
          </w:tcPr>
          <w:p w14:paraId="55569EE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EE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U.S. Dollar</w:t>
            </w:r>
          </w:p>
        </w:tc>
        <w:tc>
          <w:tcPr>
            <w:tcW w:w="0" w:type="auto"/>
            <w:shd w:val="clear" w:color="auto" w:fill="auto"/>
            <w:tcMar>
              <w:top w:w="40" w:type="dxa"/>
              <w:left w:w="40" w:type="dxa"/>
              <w:bottom w:w="40" w:type="dxa"/>
              <w:right w:w="40" w:type="dxa"/>
            </w:tcMar>
            <w:vAlign w:val="bottom"/>
          </w:tcPr>
          <w:p w14:paraId="55569E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EE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All Other Currencies</w:t>
            </w:r>
          </w:p>
        </w:tc>
        <w:tc>
          <w:tcPr>
            <w:tcW w:w="0" w:type="auto"/>
            <w:shd w:val="clear" w:color="auto" w:fill="auto"/>
            <w:tcMar>
              <w:top w:w="40" w:type="dxa"/>
              <w:left w:w="40" w:type="dxa"/>
              <w:bottom w:w="40" w:type="dxa"/>
              <w:right w:w="40" w:type="dxa"/>
            </w:tcMar>
            <w:vAlign w:val="bottom"/>
          </w:tcPr>
          <w:p w14:paraId="55569E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EE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55569E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EE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U.S. Dollar</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9E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9EF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All Other Currencies</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9E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EF2"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Total</w:t>
            </w:r>
          </w:p>
        </w:tc>
      </w:tr>
      <w:tr w:rsidR="00F925DD" w14:paraId="55569EF8" w14:textId="77777777">
        <w:tc>
          <w:tcPr>
            <w:tcW w:w="0" w:type="auto"/>
            <w:shd w:val="clear" w:color="auto" w:fill="auto"/>
            <w:tcMar>
              <w:top w:w="40" w:type="dxa"/>
              <w:left w:w="40" w:type="dxa"/>
              <w:bottom w:w="40" w:type="dxa"/>
              <w:right w:w="40" w:type="dxa"/>
            </w:tcMar>
            <w:vAlign w:val="bottom"/>
          </w:tcPr>
          <w:p w14:paraId="55569EF4" w14:textId="77777777" w:rsidR="00F925DD" w:rsidRDefault="00E705D7">
            <w:pPr>
              <w:textAlignment w:val="bottom"/>
              <w:rPr>
                <w:rFonts w:ascii="Times New Roman" w:hAnsi="Times New Roman"/>
                <w:sz w:val="14"/>
                <w:szCs w:val="14"/>
              </w:rPr>
            </w:pPr>
            <w:r>
              <w:rPr>
                <w:rFonts w:ascii="Arial" w:eastAsia="宋体" w:hAnsi="Arial" w:cs="Arial"/>
                <w:sz w:val="14"/>
                <w:szCs w:val="14"/>
              </w:rPr>
              <w:t>Rate change:</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9EF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Benefit (Exposure)</w:t>
            </w:r>
          </w:p>
        </w:tc>
        <w:tc>
          <w:tcPr>
            <w:tcW w:w="0" w:type="auto"/>
            <w:shd w:val="clear" w:color="auto" w:fill="auto"/>
            <w:tcMar>
              <w:top w:w="40" w:type="dxa"/>
              <w:left w:w="40" w:type="dxa"/>
              <w:bottom w:w="40" w:type="dxa"/>
              <w:right w:w="40" w:type="dxa"/>
            </w:tcMar>
            <w:vAlign w:val="bottom"/>
          </w:tcPr>
          <w:p w14:paraId="55569E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9EF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Benefit (Exposure)</w:t>
            </w:r>
          </w:p>
        </w:tc>
      </w:tr>
      <w:tr w:rsidR="00F925DD" w14:paraId="55569F05" w14:textId="77777777">
        <w:tc>
          <w:tcPr>
            <w:tcW w:w="0" w:type="auto"/>
            <w:shd w:val="clear" w:color="auto" w:fill="auto"/>
            <w:tcMar>
              <w:top w:w="40" w:type="dxa"/>
              <w:left w:w="40" w:type="dxa"/>
              <w:bottom w:w="40" w:type="dxa"/>
              <w:right w:w="40" w:type="dxa"/>
            </w:tcMar>
            <w:vAlign w:val="bottom"/>
          </w:tcPr>
          <w:p w14:paraId="55569EF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Parallel shifts: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9E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E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E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E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E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E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F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F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F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F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F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9F1E" w14:textId="77777777">
        <w:tc>
          <w:tcPr>
            <w:tcW w:w="0" w:type="auto"/>
            <w:shd w:val="clear" w:color="auto" w:fill="CCEEFF"/>
            <w:tcMar>
              <w:top w:w="40" w:type="dxa"/>
              <w:left w:w="40" w:type="dxa"/>
              <w:bottom w:w="40" w:type="dxa"/>
              <w:right w:w="40" w:type="dxa"/>
            </w:tcMar>
            <w:vAlign w:val="bottom"/>
          </w:tcPr>
          <w:p w14:paraId="55569F06" w14:textId="77777777" w:rsidR="00F925DD" w:rsidRDefault="00E705D7">
            <w:pPr>
              <w:textAlignment w:val="bottom"/>
              <w:rPr>
                <w:rFonts w:ascii="Times New Roman" w:hAnsi="Times New Roman"/>
                <w:sz w:val="14"/>
                <w:szCs w:val="14"/>
              </w:rPr>
            </w:pPr>
            <w:r>
              <w:rPr>
                <w:rFonts w:ascii="Arial" w:eastAsia="宋体" w:hAnsi="Arial" w:cs="Arial"/>
                <w:sz w:val="14"/>
                <w:szCs w:val="14"/>
              </w:rPr>
              <w:t>+100 bps shock</w:t>
            </w:r>
          </w:p>
        </w:tc>
        <w:tc>
          <w:tcPr>
            <w:tcW w:w="0" w:type="auto"/>
            <w:shd w:val="clear" w:color="auto" w:fill="CCEEFF"/>
            <w:tcMar>
              <w:top w:w="40" w:type="dxa"/>
              <w:left w:w="40" w:type="dxa"/>
              <w:bottom w:w="40" w:type="dxa"/>
            </w:tcMar>
            <w:vAlign w:val="bottom"/>
          </w:tcPr>
          <w:p w14:paraId="55569F0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F0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67</w:t>
            </w:r>
          </w:p>
        </w:tc>
        <w:tc>
          <w:tcPr>
            <w:tcW w:w="0" w:type="auto"/>
            <w:shd w:val="clear" w:color="auto" w:fill="CCEEFF"/>
            <w:vAlign w:val="bottom"/>
          </w:tcPr>
          <w:p w14:paraId="55569F0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F0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F0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175</w:t>
            </w:r>
          </w:p>
        </w:tc>
        <w:tc>
          <w:tcPr>
            <w:tcW w:w="0" w:type="auto"/>
            <w:shd w:val="clear" w:color="auto" w:fill="CCEEFF"/>
            <w:vAlign w:val="bottom"/>
          </w:tcPr>
          <w:p w14:paraId="55569F0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F0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9F1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242</w:t>
            </w:r>
          </w:p>
        </w:tc>
        <w:tc>
          <w:tcPr>
            <w:tcW w:w="0" w:type="auto"/>
            <w:shd w:val="clear" w:color="auto" w:fill="CCEEFF"/>
            <w:vAlign w:val="bottom"/>
          </w:tcPr>
          <w:p w14:paraId="55569F1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F1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F1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136</w:t>
            </w:r>
          </w:p>
        </w:tc>
        <w:tc>
          <w:tcPr>
            <w:tcW w:w="0" w:type="auto"/>
            <w:shd w:val="clear" w:color="auto" w:fill="CCEEFF"/>
            <w:vAlign w:val="bottom"/>
          </w:tcPr>
          <w:p w14:paraId="55569F1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F1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F1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235</w:t>
            </w:r>
          </w:p>
        </w:tc>
        <w:tc>
          <w:tcPr>
            <w:tcW w:w="0" w:type="auto"/>
            <w:shd w:val="clear" w:color="auto" w:fill="CCEEFF"/>
            <w:vAlign w:val="bottom"/>
          </w:tcPr>
          <w:p w14:paraId="55569F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F1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F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371</w:t>
            </w:r>
          </w:p>
        </w:tc>
        <w:tc>
          <w:tcPr>
            <w:tcW w:w="0" w:type="auto"/>
            <w:shd w:val="clear" w:color="auto" w:fill="CCEEFF"/>
            <w:vAlign w:val="bottom"/>
          </w:tcPr>
          <w:p w14:paraId="55569F1D" w14:textId="77777777" w:rsidR="00F925DD" w:rsidRDefault="00F925DD">
            <w:pPr>
              <w:textAlignment w:val="bottom"/>
              <w:rPr>
                <w:rFonts w:ascii="Times New Roman" w:hAnsi="Times New Roman"/>
                <w:sz w:val="20"/>
                <w:szCs w:val="20"/>
              </w:rPr>
            </w:pPr>
          </w:p>
        </w:tc>
      </w:tr>
      <w:tr w:rsidR="00F925DD" w14:paraId="55569F31" w14:textId="77777777">
        <w:tc>
          <w:tcPr>
            <w:tcW w:w="0" w:type="auto"/>
            <w:shd w:val="clear" w:color="auto" w:fill="auto"/>
            <w:tcMar>
              <w:top w:w="40" w:type="dxa"/>
              <w:left w:w="40" w:type="dxa"/>
              <w:bottom w:w="40" w:type="dxa"/>
              <w:right w:w="40" w:type="dxa"/>
            </w:tcMar>
            <w:vAlign w:val="bottom"/>
          </w:tcPr>
          <w:p w14:paraId="55569F1F" w14:textId="77777777" w:rsidR="00F925DD" w:rsidRDefault="00E705D7">
            <w:pPr>
              <w:textAlignment w:val="bottom"/>
              <w:rPr>
                <w:rFonts w:ascii="Times New Roman" w:hAnsi="Times New Roman"/>
                <w:sz w:val="14"/>
                <w:szCs w:val="14"/>
              </w:rPr>
            </w:pPr>
            <w:r>
              <w:rPr>
                <w:rFonts w:ascii="Arial" w:eastAsia="宋体" w:hAnsi="Arial" w:cs="Arial"/>
                <w:sz w:val="14"/>
                <w:szCs w:val="14"/>
              </w:rPr>
              <w:t>–100 bps shock</w:t>
            </w:r>
          </w:p>
        </w:tc>
        <w:tc>
          <w:tcPr>
            <w:tcW w:w="0" w:type="auto"/>
            <w:gridSpan w:val="2"/>
            <w:shd w:val="clear" w:color="auto" w:fill="auto"/>
            <w:tcMar>
              <w:top w:w="40" w:type="dxa"/>
              <w:left w:w="40" w:type="dxa"/>
              <w:bottom w:w="40" w:type="dxa"/>
            </w:tcMar>
            <w:vAlign w:val="bottom"/>
          </w:tcPr>
          <w:p w14:paraId="55569F2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(214</w:t>
            </w:r>
          </w:p>
        </w:tc>
        <w:tc>
          <w:tcPr>
            <w:tcW w:w="0" w:type="auto"/>
            <w:shd w:val="clear" w:color="auto" w:fill="auto"/>
            <w:tcMar>
              <w:top w:w="40" w:type="dxa"/>
              <w:bottom w:w="40" w:type="dxa"/>
              <w:right w:w="40" w:type="dxa"/>
            </w:tcMar>
            <w:vAlign w:val="bottom"/>
          </w:tcPr>
          <w:p w14:paraId="55569F2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9F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2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81</w:t>
            </w:r>
          </w:p>
        </w:tc>
        <w:tc>
          <w:tcPr>
            <w:tcW w:w="0" w:type="auto"/>
            <w:shd w:val="clear" w:color="auto" w:fill="auto"/>
            <w:vAlign w:val="bottom"/>
          </w:tcPr>
          <w:p w14:paraId="55569F2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2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(133</w:t>
            </w:r>
          </w:p>
        </w:tc>
        <w:tc>
          <w:tcPr>
            <w:tcW w:w="0" w:type="auto"/>
            <w:shd w:val="clear" w:color="auto" w:fill="auto"/>
            <w:tcMar>
              <w:top w:w="40" w:type="dxa"/>
              <w:bottom w:w="40" w:type="dxa"/>
              <w:right w:w="40" w:type="dxa"/>
            </w:tcMar>
            <w:vAlign w:val="bottom"/>
          </w:tcPr>
          <w:p w14:paraId="55569F2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9F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2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(210</w:t>
            </w:r>
          </w:p>
        </w:tc>
        <w:tc>
          <w:tcPr>
            <w:tcW w:w="0" w:type="auto"/>
            <w:shd w:val="clear" w:color="auto" w:fill="auto"/>
            <w:tcMar>
              <w:top w:w="40" w:type="dxa"/>
              <w:bottom w:w="40" w:type="dxa"/>
              <w:right w:w="40" w:type="dxa"/>
            </w:tcMar>
            <w:vAlign w:val="bottom"/>
          </w:tcPr>
          <w:p w14:paraId="55569F2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9F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w:t>
            </w:r>
          </w:p>
        </w:tc>
        <w:tc>
          <w:tcPr>
            <w:tcW w:w="0" w:type="auto"/>
            <w:shd w:val="clear" w:color="auto" w:fill="auto"/>
            <w:vAlign w:val="bottom"/>
          </w:tcPr>
          <w:p w14:paraId="55569F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2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(183</w:t>
            </w:r>
          </w:p>
        </w:tc>
        <w:tc>
          <w:tcPr>
            <w:tcW w:w="0" w:type="auto"/>
            <w:shd w:val="clear" w:color="auto" w:fill="auto"/>
            <w:tcMar>
              <w:top w:w="40" w:type="dxa"/>
              <w:bottom w:w="40" w:type="dxa"/>
              <w:right w:w="40" w:type="dxa"/>
            </w:tcMar>
            <w:vAlign w:val="bottom"/>
          </w:tcPr>
          <w:p w14:paraId="55569F3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9F42" w14:textId="77777777">
        <w:tc>
          <w:tcPr>
            <w:tcW w:w="0" w:type="auto"/>
            <w:shd w:val="clear" w:color="auto" w:fill="CCEEFF"/>
            <w:tcMar>
              <w:top w:w="40" w:type="dxa"/>
              <w:left w:w="40" w:type="dxa"/>
              <w:bottom w:w="40" w:type="dxa"/>
              <w:right w:w="40" w:type="dxa"/>
            </w:tcMar>
            <w:vAlign w:val="bottom"/>
          </w:tcPr>
          <w:p w14:paraId="55569F3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Steeper</w:t>
            </w:r>
            <w:r>
              <w:rPr>
                <w:rFonts w:ascii="Arial" w:eastAsia="宋体" w:hAnsi="Arial" w:cs="Arial"/>
                <w:b/>
                <w:bCs/>
                <w:sz w:val="14"/>
                <w:szCs w:val="14"/>
              </w:rPr>
              <w:t xml:space="preserve"> yield curve:</w:t>
            </w:r>
          </w:p>
        </w:tc>
        <w:tc>
          <w:tcPr>
            <w:tcW w:w="0" w:type="auto"/>
            <w:gridSpan w:val="2"/>
            <w:shd w:val="clear" w:color="auto" w:fill="CCEEFF"/>
            <w:tcMar>
              <w:top w:w="40" w:type="dxa"/>
              <w:left w:w="40" w:type="dxa"/>
              <w:bottom w:w="40" w:type="dxa"/>
            </w:tcMar>
            <w:vAlign w:val="bottom"/>
          </w:tcPr>
          <w:p w14:paraId="55569F33" w14:textId="77777777" w:rsidR="00F925DD" w:rsidRDefault="00F925DD">
            <w:pPr>
              <w:jc w:val="right"/>
              <w:textAlignment w:val="bottom"/>
              <w:rPr>
                <w:rFonts w:ascii="Times New Roman" w:hAnsi="Times New Roman"/>
                <w:sz w:val="14"/>
                <w:szCs w:val="14"/>
              </w:rPr>
            </w:pPr>
          </w:p>
        </w:tc>
        <w:tc>
          <w:tcPr>
            <w:tcW w:w="0" w:type="auto"/>
            <w:shd w:val="clear" w:color="auto" w:fill="CCEEFF"/>
            <w:vAlign w:val="bottom"/>
          </w:tcPr>
          <w:p w14:paraId="55569F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9F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F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38" w14:textId="77777777" w:rsidR="00F925DD" w:rsidRDefault="00F925DD">
            <w:pPr>
              <w:jc w:val="right"/>
              <w:textAlignment w:val="bottom"/>
              <w:rPr>
                <w:rFonts w:ascii="Times New Roman" w:hAnsi="Times New Roman"/>
                <w:sz w:val="14"/>
                <w:szCs w:val="14"/>
              </w:rPr>
            </w:pPr>
          </w:p>
        </w:tc>
        <w:tc>
          <w:tcPr>
            <w:tcW w:w="0" w:type="auto"/>
            <w:shd w:val="clear" w:color="auto" w:fill="CCEEFF"/>
            <w:vAlign w:val="bottom"/>
          </w:tcPr>
          <w:p w14:paraId="55569F3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9F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9F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3D" w14:textId="77777777" w:rsidR="00F925DD" w:rsidRDefault="00F925DD">
            <w:pPr>
              <w:jc w:val="right"/>
              <w:textAlignment w:val="bottom"/>
              <w:rPr>
                <w:rFonts w:ascii="Times New Roman" w:hAnsi="Times New Roman"/>
                <w:sz w:val="14"/>
                <w:szCs w:val="14"/>
              </w:rPr>
            </w:pPr>
          </w:p>
        </w:tc>
        <w:tc>
          <w:tcPr>
            <w:tcW w:w="0" w:type="auto"/>
            <w:shd w:val="clear" w:color="auto" w:fill="CCEEFF"/>
            <w:vAlign w:val="bottom"/>
          </w:tcPr>
          <w:p w14:paraId="55569F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40" w14:textId="77777777" w:rsidR="00F925DD" w:rsidRDefault="00F925DD">
            <w:pPr>
              <w:jc w:val="right"/>
              <w:textAlignment w:val="bottom"/>
              <w:rPr>
                <w:rFonts w:ascii="Times New Roman" w:hAnsi="Times New Roman"/>
                <w:sz w:val="14"/>
                <w:szCs w:val="14"/>
              </w:rPr>
            </w:pPr>
          </w:p>
        </w:tc>
        <w:tc>
          <w:tcPr>
            <w:tcW w:w="0" w:type="auto"/>
            <w:shd w:val="clear" w:color="auto" w:fill="CCEEFF"/>
            <w:vAlign w:val="bottom"/>
          </w:tcPr>
          <w:p w14:paraId="55569F41" w14:textId="77777777" w:rsidR="00F925DD" w:rsidRDefault="00F925DD">
            <w:pPr>
              <w:textAlignment w:val="bottom"/>
              <w:rPr>
                <w:rFonts w:ascii="Times New Roman" w:hAnsi="Times New Roman"/>
                <w:sz w:val="20"/>
                <w:szCs w:val="20"/>
              </w:rPr>
            </w:pPr>
          </w:p>
        </w:tc>
      </w:tr>
      <w:tr w:rsidR="00F925DD" w14:paraId="55569F55" w14:textId="77777777">
        <w:tc>
          <w:tcPr>
            <w:tcW w:w="0" w:type="auto"/>
            <w:shd w:val="clear" w:color="auto" w:fill="auto"/>
            <w:tcMar>
              <w:top w:w="40" w:type="dxa"/>
              <w:left w:w="40" w:type="dxa"/>
              <w:bottom w:w="40" w:type="dxa"/>
              <w:right w:w="40" w:type="dxa"/>
            </w:tcMar>
            <w:vAlign w:val="bottom"/>
          </w:tcPr>
          <w:p w14:paraId="55569F43" w14:textId="77777777" w:rsidR="00F925DD" w:rsidRDefault="00E705D7">
            <w:pPr>
              <w:textAlignment w:val="bottom"/>
              <w:rPr>
                <w:rFonts w:ascii="Times New Roman" w:hAnsi="Times New Roman"/>
                <w:sz w:val="14"/>
                <w:szCs w:val="14"/>
              </w:rPr>
            </w:pPr>
            <w:r>
              <w:rPr>
                <w:rFonts w:ascii="Arial" w:eastAsia="宋体" w:hAnsi="Arial" w:cs="Arial"/>
                <w:sz w:val="14"/>
                <w:szCs w:val="14"/>
              </w:rPr>
              <w:t>+100 bps shift in long-end rates</w:t>
            </w:r>
          </w:p>
        </w:tc>
        <w:tc>
          <w:tcPr>
            <w:tcW w:w="0" w:type="auto"/>
            <w:gridSpan w:val="2"/>
            <w:shd w:val="clear" w:color="auto" w:fill="auto"/>
            <w:tcMar>
              <w:top w:w="40" w:type="dxa"/>
              <w:left w:w="40" w:type="dxa"/>
              <w:bottom w:w="40" w:type="dxa"/>
            </w:tcMar>
            <w:vAlign w:val="bottom"/>
          </w:tcPr>
          <w:p w14:paraId="55569F4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176</w:t>
            </w:r>
          </w:p>
        </w:tc>
        <w:tc>
          <w:tcPr>
            <w:tcW w:w="0" w:type="auto"/>
            <w:shd w:val="clear" w:color="auto" w:fill="auto"/>
            <w:vAlign w:val="bottom"/>
          </w:tcPr>
          <w:p w14:paraId="55569F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4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w:t>
            </w:r>
          </w:p>
        </w:tc>
        <w:tc>
          <w:tcPr>
            <w:tcW w:w="0" w:type="auto"/>
            <w:shd w:val="clear" w:color="auto" w:fill="auto"/>
            <w:vAlign w:val="bottom"/>
          </w:tcPr>
          <w:p w14:paraId="55569F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4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182</w:t>
            </w:r>
          </w:p>
        </w:tc>
        <w:tc>
          <w:tcPr>
            <w:tcW w:w="0" w:type="auto"/>
            <w:shd w:val="clear" w:color="auto" w:fill="auto"/>
            <w:vAlign w:val="bottom"/>
          </w:tcPr>
          <w:p w14:paraId="55569F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4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w:t>
            </w:r>
          </w:p>
        </w:tc>
        <w:tc>
          <w:tcPr>
            <w:tcW w:w="0" w:type="auto"/>
            <w:shd w:val="clear" w:color="auto" w:fill="auto"/>
            <w:vAlign w:val="bottom"/>
          </w:tcPr>
          <w:p w14:paraId="55569F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5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w:t>
            </w:r>
          </w:p>
        </w:tc>
        <w:tc>
          <w:tcPr>
            <w:tcW w:w="0" w:type="auto"/>
            <w:shd w:val="clear" w:color="auto" w:fill="auto"/>
            <w:vAlign w:val="bottom"/>
          </w:tcPr>
          <w:p w14:paraId="55569F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5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127</w:t>
            </w:r>
          </w:p>
        </w:tc>
        <w:tc>
          <w:tcPr>
            <w:tcW w:w="0" w:type="auto"/>
            <w:shd w:val="clear" w:color="auto" w:fill="auto"/>
            <w:vAlign w:val="bottom"/>
          </w:tcPr>
          <w:p w14:paraId="55569F54" w14:textId="77777777" w:rsidR="00F925DD" w:rsidRDefault="00F925DD">
            <w:pPr>
              <w:textAlignment w:val="bottom"/>
              <w:rPr>
                <w:rFonts w:ascii="Times New Roman" w:hAnsi="Times New Roman"/>
                <w:sz w:val="20"/>
                <w:szCs w:val="20"/>
              </w:rPr>
            </w:pPr>
          </w:p>
        </w:tc>
      </w:tr>
      <w:tr w:rsidR="00F925DD" w14:paraId="55569F68" w14:textId="77777777">
        <w:tc>
          <w:tcPr>
            <w:tcW w:w="0" w:type="auto"/>
            <w:shd w:val="clear" w:color="auto" w:fill="CCEEFF"/>
            <w:tcMar>
              <w:top w:w="40" w:type="dxa"/>
              <w:left w:w="40" w:type="dxa"/>
              <w:bottom w:w="40" w:type="dxa"/>
              <w:right w:w="40" w:type="dxa"/>
            </w:tcMar>
            <w:vAlign w:val="bottom"/>
          </w:tcPr>
          <w:p w14:paraId="55569F56" w14:textId="77777777" w:rsidR="00F925DD" w:rsidRDefault="00E705D7">
            <w:pPr>
              <w:textAlignment w:val="bottom"/>
              <w:rPr>
                <w:rFonts w:ascii="Times New Roman" w:hAnsi="Times New Roman"/>
                <w:sz w:val="14"/>
                <w:szCs w:val="14"/>
              </w:rPr>
            </w:pPr>
            <w:r>
              <w:rPr>
                <w:rFonts w:ascii="Arial" w:eastAsia="宋体" w:hAnsi="Arial" w:cs="Arial"/>
                <w:sz w:val="14"/>
                <w:szCs w:val="14"/>
              </w:rPr>
              <w:t>-100 bps shift in short-end rates</w:t>
            </w:r>
          </w:p>
        </w:tc>
        <w:tc>
          <w:tcPr>
            <w:tcW w:w="0" w:type="auto"/>
            <w:gridSpan w:val="2"/>
            <w:shd w:val="clear" w:color="auto" w:fill="CCEEFF"/>
            <w:tcMar>
              <w:top w:w="40" w:type="dxa"/>
              <w:left w:w="40" w:type="dxa"/>
              <w:bottom w:w="40" w:type="dxa"/>
            </w:tcMar>
            <w:vAlign w:val="bottom"/>
          </w:tcPr>
          <w:p w14:paraId="55569F5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shd w:val="clear" w:color="auto" w:fill="CCEEFF"/>
            <w:tcMar>
              <w:top w:w="40" w:type="dxa"/>
              <w:bottom w:w="40" w:type="dxa"/>
              <w:right w:w="40" w:type="dxa"/>
            </w:tcMar>
            <w:vAlign w:val="bottom"/>
          </w:tcPr>
          <w:p w14:paraId="55569F5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9F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5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86</w:t>
            </w:r>
          </w:p>
        </w:tc>
        <w:tc>
          <w:tcPr>
            <w:tcW w:w="0" w:type="auto"/>
            <w:shd w:val="clear" w:color="auto" w:fill="CCEEFF"/>
            <w:vAlign w:val="bottom"/>
          </w:tcPr>
          <w:p w14:paraId="55569F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5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70</w:t>
            </w:r>
          </w:p>
        </w:tc>
        <w:tc>
          <w:tcPr>
            <w:tcW w:w="0" w:type="auto"/>
            <w:shd w:val="clear" w:color="auto" w:fill="CCEEFF"/>
            <w:vAlign w:val="bottom"/>
          </w:tcPr>
          <w:p w14:paraId="55569F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6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(68</w:t>
            </w:r>
          </w:p>
        </w:tc>
        <w:tc>
          <w:tcPr>
            <w:tcW w:w="0" w:type="auto"/>
            <w:shd w:val="clear" w:color="auto" w:fill="CCEEFF"/>
            <w:tcMar>
              <w:top w:w="40" w:type="dxa"/>
              <w:bottom w:w="40" w:type="dxa"/>
              <w:right w:w="40" w:type="dxa"/>
            </w:tcMar>
            <w:vAlign w:val="bottom"/>
          </w:tcPr>
          <w:p w14:paraId="55569F6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9F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6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44</w:t>
            </w:r>
          </w:p>
        </w:tc>
        <w:tc>
          <w:tcPr>
            <w:tcW w:w="0" w:type="auto"/>
            <w:shd w:val="clear" w:color="auto" w:fill="CCEEFF"/>
            <w:vAlign w:val="bottom"/>
          </w:tcPr>
          <w:p w14:paraId="55569F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w:t>
            </w:r>
          </w:p>
        </w:tc>
        <w:tc>
          <w:tcPr>
            <w:tcW w:w="0" w:type="auto"/>
            <w:shd w:val="clear" w:color="auto" w:fill="CCEEFF"/>
            <w:tcMar>
              <w:top w:w="40" w:type="dxa"/>
              <w:bottom w:w="40" w:type="dxa"/>
              <w:right w:w="40" w:type="dxa"/>
            </w:tcMar>
            <w:vAlign w:val="bottom"/>
          </w:tcPr>
          <w:p w14:paraId="55569F6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9F79" w14:textId="77777777">
        <w:tc>
          <w:tcPr>
            <w:tcW w:w="0" w:type="auto"/>
            <w:shd w:val="clear" w:color="auto" w:fill="auto"/>
            <w:tcMar>
              <w:top w:w="40" w:type="dxa"/>
              <w:left w:w="40" w:type="dxa"/>
              <w:bottom w:w="40" w:type="dxa"/>
              <w:right w:w="40" w:type="dxa"/>
            </w:tcMar>
            <w:vAlign w:val="bottom"/>
          </w:tcPr>
          <w:p w14:paraId="55569F6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Flatter yield curve:</w:t>
            </w:r>
          </w:p>
        </w:tc>
        <w:tc>
          <w:tcPr>
            <w:tcW w:w="0" w:type="auto"/>
            <w:gridSpan w:val="2"/>
            <w:shd w:val="clear" w:color="auto" w:fill="auto"/>
            <w:tcMar>
              <w:top w:w="40" w:type="dxa"/>
              <w:left w:w="40" w:type="dxa"/>
              <w:bottom w:w="40" w:type="dxa"/>
            </w:tcMar>
            <w:vAlign w:val="bottom"/>
          </w:tcPr>
          <w:p w14:paraId="55569F6A"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9F6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F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F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6F"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9F7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9F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9F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74"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9F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77"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9F78" w14:textId="77777777" w:rsidR="00F925DD" w:rsidRDefault="00F925DD">
            <w:pPr>
              <w:textAlignment w:val="bottom"/>
              <w:rPr>
                <w:rFonts w:ascii="Times New Roman" w:hAnsi="Times New Roman"/>
                <w:sz w:val="20"/>
                <w:szCs w:val="20"/>
              </w:rPr>
            </w:pPr>
          </w:p>
        </w:tc>
      </w:tr>
      <w:tr w:rsidR="00F925DD" w14:paraId="55569F8C" w14:textId="77777777">
        <w:tc>
          <w:tcPr>
            <w:tcW w:w="0" w:type="auto"/>
            <w:shd w:val="clear" w:color="auto" w:fill="CCEEFF"/>
            <w:tcMar>
              <w:top w:w="40" w:type="dxa"/>
              <w:left w:w="40" w:type="dxa"/>
              <w:bottom w:w="40" w:type="dxa"/>
              <w:right w:w="40" w:type="dxa"/>
            </w:tcMar>
            <w:vAlign w:val="bottom"/>
          </w:tcPr>
          <w:p w14:paraId="55569F7A"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+100 bps shift in </w:t>
            </w:r>
            <w:r>
              <w:rPr>
                <w:rFonts w:ascii="Arial" w:eastAsia="宋体" w:hAnsi="Arial" w:cs="Arial"/>
                <w:sz w:val="14"/>
                <w:szCs w:val="14"/>
              </w:rPr>
              <w:t>short-end rates</w:t>
            </w:r>
          </w:p>
        </w:tc>
        <w:tc>
          <w:tcPr>
            <w:tcW w:w="0" w:type="auto"/>
            <w:gridSpan w:val="2"/>
            <w:shd w:val="clear" w:color="auto" w:fill="CCEEFF"/>
            <w:tcMar>
              <w:top w:w="40" w:type="dxa"/>
              <w:left w:w="40" w:type="dxa"/>
              <w:bottom w:w="40" w:type="dxa"/>
            </w:tcMar>
            <w:vAlign w:val="bottom"/>
          </w:tcPr>
          <w:p w14:paraId="55569F7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(97</w:t>
            </w:r>
          </w:p>
        </w:tc>
        <w:tc>
          <w:tcPr>
            <w:tcW w:w="0" w:type="auto"/>
            <w:shd w:val="clear" w:color="auto" w:fill="CCEEFF"/>
            <w:tcMar>
              <w:top w:w="40" w:type="dxa"/>
              <w:bottom w:w="40" w:type="dxa"/>
              <w:right w:w="40" w:type="dxa"/>
            </w:tcMar>
            <w:vAlign w:val="bottom"/>
          </w:tcPr>
          <w:p w14:paraId="55569F7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9F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7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170</w:t>
            </w:r>
          </w:p>
        </w:tc>
        <w:tc>
          <w:tcPr>
            <w:tcW w:w="0" w:type="auto"/>
            <w:shd w:val="clear" w:color="auto" w:fill="CCEEFF"/>
            <w:vAlign w:val="bottom"/>
          </w:tcPr>
          <w:p w14:paraId="55569F7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8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73</w:t>
            </w:r>
          </w:p>
        </w:tc>
        <w:tc>
          <w:tcPr>
            <w:tcW w:w="0" w:type="auto"/>
            <w:shd w:val="clear" w:color="auto" w:fill="CCEEFF"/>
            <w:vAlign w:val="bottom"/>
          </w:tcPr>
          <w:p w14:paraId="55569F8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8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w:t>
            </w:r>
          </w:p>
        </w:tc>
        <w:tc>
          <w:tcPr>
            <w:tcW w:w="0" w:type="auto"/>
            <w:shd w:val="clear" w:color="auto" w:fill="CCEEFF"/>
            <w:vAlign w:val="bottom"/>
          </w:tcPr>
          <w:p w14:paraId="55569F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8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218</w:t>
            </w:r>
          </w:p>
        </w:tc>
        <w:tc>
          <w:tcPr>
            <w:tcW w:w="0" w:type="auto"/>
            <w:shd w:val="clear" w:color="auto" w:fill="CCEEFF"/>
            <w:vAlign w:val="bottom"/>
          </w:tcPr>
          <w:p w14:paraId="55569F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9F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9F8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249</w:t>
            </w:r>
          </w:p>
        </w:tc>
        <w:tc>
          <w:tcPr>
            <w:tcW w:w="0" w:type="auto"/>
            <w:shd w:val="clear" w:color="auto" w:fill="CCEEFF"/>
            <w:vAlign w:val="bottom"/>
          </w:tcPr>
          <w:p w14:paraId="55569F8B" w14:textId="77777777" w:rsidR="00F925DD" w:rsidRDefault="00F925DD">
            <w:pPr>
              <w:textAlignment w:val="bottom"/>
              <w:rPr>
                <w:rFonts w:ascii="Times New Roman" w:hAnsi="Times New Roman"/>
                <w:sz w:val="20"/>
                <w:szCs w:val="20"/>
              </w:rPr>
            </w:pPr>
          </w:p>
        </w:tc>
      </w:tr>
      <w:tr w:rsidR="00F925DD" w14:paraId="55569F9F" w14:textId="77777777">
        <w:tc>
          <w:tcPr>
            <w:tcW w:w="0" w:type="auto"/>
            <w:shd w:val="clear" w:color="auto" w:fill="auto"/>
            <w:tcMar>
              <w:top w:w="40" w:type="dxa"/>
              <w:left w:w="40" w:type="dxa"/>
              <w:bottom w:w="40" w:type="dxa"/>
              <w:right w:w="40" w:type="dxa"/>
            </w:tcMar>
            <w:vAlign w:val="bottom"/>
          </w:tcPr>
          <w:p w14:paraId="55569F8D" w14:textId="77777777" w:rsidR="00F925DD" w:rsidRDefault="00E705D7">
            <w:pPr>
              <w:textAlignment w:val="bottom"/>
              <w:rPr>
                <w:rFonts w:ascii="Times New Roman" w:hAnsi="Times New Roman"/>
                <w:sz w:val="14"/>
                <w:szCs w:val="14"/>
              </w:rPr>
            </w:pPr>
            <w:r>
              <w:rPr>
                <w:rFonts w:ascii="Arial" w:eastAsia="宋体" w:hAnsi="Arial" w:cs="Arial"/>
                <w:sz w:val="14"/>
                <w:szCs w:val="14"/>
              </w:rPr>
              <w:t>-100 bps shift in long-end rates</w:t>
            </w:r>
          </w:p>
        </w:tc>
        <w:tc>
          <w:tcPr>
            <w:tcW w:w="0" w:type="auto"/>
            <w:gridSpan w:val="2"/>
            <w:shd w:val="clear" w:color="auto" w:fill="auto"/>
            <w:tcMar>
              <w:top w:w="40" w:type="dxa"/>
              <w:left w:w="40" w:type="dxa"/>
              <w:bottom w:w="40" w:type="dxa"/>
            </w:tcMar>
            <w:vAlign w:val="bottom"/>
          </w:tcPr>
          <w:p w14:paraId="55569F8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(184</w:t>
            </w:r>
          </w:p>
        </w:tc>
        <w:tc>
          <w:tcPr>
            <w:tcW w:w="0" w:type="auto"/>
            <w:shd w:val="clear" w:color="auto" w:fill="auto"/>
            <w:tcMar>
              <w:top w:w="40" w:type="dxa"/>
              <w:bottom w:w="40" w:type="dxa"/>
              <w:right w:w="40" w:type="dxa"/>
            </w:tcMar>
            <w:vAlign w:val="bottom"/>
          </w:tcPr>
          <w:p w14:paraId="55569F8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9F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9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w:t>
            </w:r>
          </w:p>
        </w:tc>
        <w:tc>
          <w:tcPr>
            <w:tcW w:w="0" w:type="auto"/>
            <w:shd w:val="clear" w:color="auto" w:fill="auto"/>
            <w:tcMar>
              <w:top w:w="40" w:type="dxa"/>
              <w:bottom w:w="40" w:type="dxa"/>
              <w:right w:w="40" w:type="dxa"/>
            </w:tcMar>
            <w:vAlign w:val="bottom"/>
          </w:tcPr>
          <w:p w14:paraId="55569F9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9F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9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(190</w:t>
            </w:r>
          </w:p>
        </w:tc>
        <w:tc>
          <w:tcPr>
            <w:tcW w:w="0" w:type="auto"/>
            <w:shd w:val="clear" w:color="auto" w:fill="auto"/>
            <w:tcMar>
              <w:top w:w="40" w:type="dxa"/>
              <w:bottom w:w="40" w:type="dxa"/>
              <w:right w:w="40" w:type="dxa"/>
            </w:tcMar>
            <w:vAlign w:val="bottom"/>
          </w:tcPr>
          <w:p w14:paraId="55569F9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9F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9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(135</w:t>
            </w:r>
          </w:p>
        </w:tc>
        <w:tc>
          <w:tcPr>
            <w:tcW w:w="0" w:type="auto"/>
            <w:shd w:val="clear" w:color="auto" w:fill="auto"/>
            <w:tcMar>
              <w:top w:w="40" w:type="dxa"/>
              <w:bottom w:w="40" w:type="dxa"/>
              <w:right w:w="40" w:type="dxa"/>
            </w:tcMar>
            <w:vAlign w:val="bottom"/>
          </w:tcPr>
          <w:p w14:paraId="55569F9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9F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9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w:t>
            </w:r>
          </w:p>
        </w:tc>
        <w:tc>
          <w:tcPr>
            <w:tcW w:w="0" w:type="auto"/>
            <w:shd w:val="clear" w:color="auto" w:fill="auto"/>
            <w:tcMar>
              <w:top w:w="40" w:type="dxa"/>
              <w:bottom w:w="40" w:type="dxa"/>
              <w:right w:w="40" w:type="dxa"/>
            </w:tcMar>
            <w:vAlign w:val="bottom"/>
          </w:tcPr>
          <w:p w14:paraId="55569F9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9F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9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(153</w:t>
            </w:r>
          </w:p>
        </w:tc>
        <w:tc>
          <w:tcPr>
            <w:tcW w:w="0" w:type="auto"/>
            <w:shd w:val="clear" w:color="auto" w:fill="auto"/>
            <w:tcMar>
              <w:top w:w="40" w:type="dxa"/>
              <w:bottom w:w="40" w:type="dxa"/>
              <w:right w:w="40" w:type="dxa"/>
            </w:tcMar>
            <w:vAlign w:val="bottom"/>
          </w:tcPr>
          <w:p w14:paraId="55569F9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bl>
    <w:p w14:paraId="55569FA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NII remains positioned to benefit from a parallel rise in interest rates and is exposed to a parallel decline in interest rates. Compared to December 31, 2018, our NII is less sensitive to parallel rate increases and decreases, d</w:t>
      </w:r>
      <w:r>
        <w:rPr>
          <w:rFonts w:ascii="Arial" w:eastAsia="宋体" w:hAnsi="Arial" w:cs="Arial"/>
          <w:sz w:val="20"/>
          <w:szCs w:val="20"/>
        </w:rPr>
        <w:t>riven by changes to the composition of U.S. deposits and derivative hedging activity intended to reduce the impact of lower rates in the U.S.</w:t>
      </w:r>
    </w:p>
    <w:p w14:paraId="55569FA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U.S dollar NII sensitivity as of December 31, 2019 similarly remains poised to benefit from a parallel rise in int</w:t>
      </w:r>
      <w:r>
        <w:rPr>
          <w:rFonts w:ascii="Arial" w:eastAsia="宋体" w:hAnsi="Arial" w:cs="Arial"/>
          <w:sz w:val="20"/>
          <w:szCs w:val="20"/>
        </w:rPr>
        <w:t>erest rates and is exposed to a parallel decline in U.S. interest rates. Compared to December 31, 2018, our U.S. dollar NII benefit to higher rates has declined, largely driven by the composition of U.S. deposits, higher deposit betas and derivative hedgin</w:t>
      </w:r>
      <w:r>
        <w:rPr>
          <w:rFonts w:ascii="Arial" w:eastAsia="宋体" w:hAnsi="Arial" w:cs="Arial"/>
          <w:sz w:val="20"/>
          <w:szCs w:val="20"/>
        </w:rPr>
        <w:t>g activity. NII exposure to lower U.S. rates has remained stable since December 31, 2018 as reduced sensitivities to short-end rates is offset by increased exposure to long-end rates. The reduced NII sensitivity to lower short-end U.S. rates is driven by c</w:t>
      </w:r>
      <w:r>
        <w:rPr>
          <w:rFonts w:ascii="Arial" w:eastAsia="宋体" w:hAnsi="Arial" w:cs="Arial"/>
          <w:sz w:val="20"/>
          <w:szCs w:val="20"/>
        </w:rPr>
        <w:t xml:space="preserve">hanges to the composition of U.S. deposits and cash flow hedging activity, while increased NII exposure to lower long-end U.S. rates is driven by higher levels of mortgage-backed securities in the investment portfolio. </w:t>
      </w:r>
    </w:p>
    <w:p w14:paraId="55569FA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are still positioned to benefit from changes in non-U.S. interest rates, with the majority of our sensitivity derived from the short-end of the curve given deposit pricing expectations. Compared to December 31, 2018, our non-U.S. benefit to higher rates</w:t>
      </w:r>
      <w:r>
        <w:rPr>
          <w:rFonts w:ascii="Arial" w:eastAsia="宋体" w:hAnsi="Arial" w:cs="Arial"/>
          <w:sz w:val="20"/>
          <w:szCs w:val="20"/>
        </w:rPr>
        <w:t xml:space="preserve"> has decreased, while the benefit to lower rates has increased. The decreased NII benefit to higher rates is driven by Euro deposit pricing actions, in addition to the impact of changes to the treatment of excess reserves by the European Central Bank and S</w:t>
      </w:r>
      <w:r>
        <w:rPr>
          <w:rFonts w:ascii="Arial" w:eastAsia="宋体" w:hAnsi="Arial" w:cs="Arial"/>
          <w:sz w:val="20"/>
          <w:szCs w:val="20"/>
        </w:rPr>
        <w:t xml:space="preserve">wiss National Bank. The increased benefit to lower rates is largely a result of the aforementioned change in treatment for excess reserves. </w:t>
      </w:r>
    </w:p>
    <w:p w14:paraId="55569FA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EVE sensitivity is a discounted cash flow model designed to estimate the fair value of assets and liabilities under</w:t>
      </w:r>
      <w:r>
        <w:rPr>
          <w:rFonts w:ascii="Arial" w:eastAsia="宋体" w:hAnsi="Arial" w:cs="Arial"/>
          <w:sz w:val="20"/>
          <w:szCs w:val="20"/>
        </w:rPr>
        <w:t xml:space="preserve"> a series of interest rate shocks over a long-term horizon. In the following table, we report our EVE sensitivity to 200 bps instantaneous rate shocks, relative to spot interest rates. Management compares the change in EVE sensitivity against our aggregate</w:t>
      </w:r>
      <w:r>
        <w:rPr>
          <w:rFonts w:ascii="Arial" w:eastAsia="宋体" w:hAnsi="Arial" w:cs="Arial"/>
          <w:sz w:val="20"/>
          <w:szCs w:val="20"/>
        </w:rPr>
        <w:t xml:space="preserve"> tier 1 and tier 2 risk-based capital, calculated in conformity with current applicable regulatory requirements. EVE sensitivity is dependent on the timing of interest and principal cash flows. Also, the measure only evaluates the spot balance sheet and do</w:t>
      </w:r>
      <w:r>
        <w:rPr>
          <w:rFonts w:ascii="Arial" w:eastAsia="宋体" w:hAnsi="Arial" w:cs="Arial"/>
          <w:sz w:val="20"/>
          <w:szCs w:val="20"/>
        </w:rPr>
        <w:t>es not include the impact of new business assumptions.</w:t>
      </w:r>
    </w:p>
    <w:tbl>
      <w:tblPr>
        <w:tblW w:w="5000" w:type="pct"/>
        <w:tblCellMar>
          <w:left w:w="0" w:type="dxa"/>
          <w:right w:w="0" w:type="dxa"/>
        </w:tblCellMar>
        <w:tblLook w:val="04A0" w:firstRow="1" w:lastRow="0" w:firstColumn="1" w:lastColumn="0" w:noHBand="0" w:noVBand="1"/>
      </w:tblPr>
      <w:tblGrid>
        <w:gridCol w:w="4028"/>
        <w:gridCol w:w="118"/>
        <w:gridCol w:w="1869"/>
        <w:gridCol w:w="87"/>
        <w:gridCol w:w="130"/>
        <w:gridCol w:w="118"/>
        <w:gridCol w:w="1869"/>
        <w:gridCol w:w="87"/>
      </w:tblGrid>
      <w:tr w:rsidR="00F925DD" w14:paraId="55569FA5" w14:textId="77777777">
        <w:tc>
          <w:tcPr>
            <w:tcW w:w="0" w:type="auto"/>
            <w:gridSpan w:val="8"/>
            <w:shd w:val="clear" w:color="auto" w:fill="auto"/>
            <w:vAlign w:val="center"/>
          </w:tcPr>
          <w:p w14:paraId="55569FA4" w14:textId="77777777" w:rsidR="00F925DD" w:rsidRDefault="00F925DD">
            <w:pPr>
              <w:rPr>
                <w:rFonts w:ascii="Times New Roman" w:hAnsi="Times New Roman"/>
                <w:sz w:val="20"/>
                <w:szCs w:val="20"/>
              </w:rPr>
            </w:pPr>
          </w:p>
        </w:tc>
      </w:tr>
      <w:tr w:rsidR="00F925DD" w14:paraId="55569FAE" w14:textId="77777777">
        <w:tc>
          <w:tcPr>
            <w:tcW w:w="2450" w:type="pct"/>
            <w:shd w:val="clear" w:color="auto" w:fill="auto"/>
            <w:vAlign w:val="center"/>
          </w:tcPr>
          <w:p w14:paraId="55569FA6" w14:textId="77777777" w:rsidR="00F925DD" w:rsidRDefault="00F925DD">
            <w:pPr>
              <w:rPr>
                <w:rFonts w:ascii="Times New Roman" w:hAnsi="Times New Roman"/>
                <w:sz w:val="20"/>
                <w:szCs w:val="20"/>
              </w:rPr>
            </w:pPr>
          </w:p>
        </w:tc>
        <w:tc>
          <w:tcPr>
            <w:tcW w:w="50" w:type="pct"/>
            <w:shd w:val="clear" w:color="auto" w:fill="auto"/>
            <w:vAlign w:val="center"/>
          </w:tcPr>
          <w:p w14:paraId="55569FA7" w14:textId="77777777" w:rsidR="00F925DD" w:rsidRDefault="00F925DD">
            <w:pPr>
              <w:rPr>
                <w:rFonts w:ascii="Times New Roman" w:hAnsi="Times New Roman"/>
                <w:sz w:val="20"/>
                <w:szCs w:val="20"/>
              </w:rPr>
            </w:pPr>
          </w:p>
        </w:tc>
        <w:tc>
          <w:tcPr>
            <w:tcW w:w="1150" w:type="pct"/>
            <w:shd w:val="clear" w:color="auto" w:fill="auto"/>
            <w:vAlign w:val="center"/>
          </w:tcPr>
          <w:p w14:paraId="55569FA8" w14:textId="77777777" w:rsidR="00F925DD" w:rsidRDefault="00F925DD">
            <w:pPr>
              <w:rPr>
                <w:rFonts w:ascii="Times New Roman" w:hAnsi="Times New Roman"/>
                <w:sz w:val="20"/>
                <w:szCs w:val="20"/>
              </w:rPr>
            </w:pPr>
          </w:p>
        </w:tc>
        <w:tc>
          <w:tcPr>
            <w:tcW w:w="50" w:type="pct"/>
            <w:shd w:val="clear" w:color="auto" w:fill="auto"/>
            <w:vAlign w:val="center"/>
          </w:tcPr>
          <w:p w14:paraId="55569FA9" w14:textId="77777777" w:rsidR="00F925DD" w:rsidRDefault="00F925DD">
            <w:pPr>
              <w:rPr>
                <w:rFonts w:ascii="Times New Roman" w:hAnsi="Times New Roman"/>
                <w:sz w:val="20"/>
                <w:szCs w:val="20"/>
              </w:rPr>
            </w:pPr>
          </w:p>
        </w:tc>
        <w:tc>
          <w:tcPr>
            <w:tcW w:w="50" w:type="pct"/>
            <w:shd w:val="clear" w:color="auto" w:fill="auto"/>
            <w:vAlign w:val="center"/>
          </w:tcPr>
          <w:p w14:paraId="55569FAA" w14:textId="77777777" w:rsidR="00F925DD" w:rsidRDefault="00F925DD">
            <w:pPr>
              <w:rPr>
                <w:rFonts w:ascii="Times New Roman" w:hAnsi="Times New Roman"/>
                <w:sz w:val="20"/>
                <w:szCs w:val="20"/>
              </w:rPr>
            </w:pPr>
          </w:p>
        </w:tc>
        <w:tc>
          <w:tcPr>
            <w:tcW w:w="50" w:type="pct"/>
            <w:shd w:val="clear" w:color="auto" w:fill="auto"/>
            <w:vAlign w:val="center"/>
          </w:tcPr>
          <w:p w14:paraId="55569FAB" w14:textId="77777777" w:rsidR="00F925DD" w:rsidRDefault="00F925DD">
            <w:pPr>
              <w:rPr>
                <w:rFonts w:ascii="Times New Roman" w:hAnsi="Times New Roman"/>
                <w:sz w:val="20"/>
                <w:szCs w:val="20"/>
              </w:rPr>
            </w:pPr>
          </w:p>
        </w:tc>
        <w:tc>
          <w:tcPr>
            <w:tcW w:w="1150" w:type="pct"/>
            <w:shd w:val="clear" w:color="auto" w:fill="auto"/>
            <w:vAlign w:val="center"/>
          </w:tcPr>
          <w:p w14:paraId="55569FAC" w14:textId="77777777" w:rsidR="00F925DD" w:rsidRDefault="00F925DD">
            <w:pPr>
              <w:rPr>
                <w:rFonts w:ascii="Times New Roman" w:hAnsi="Times New Roman"/>
                <w:sz w:val="20"/>
                <w:szCs w:val="20"/>
              </w:rPr>
            </w:pPr>
          </w:p>
        </w:tc>
        <w:tc>
          <w:tcPr>
            <w:tcW w:w="50" w:type="pct"/>
            <w:shd w:val="clear" w:color="auto" w:fill="auto"/>
            <w:vAlign w:val="center"/>
          </w:tcPr>
          <w:p w14:paraId="55569FAD" w14:textId="77777777" w:rsidR="00F925DD" w:rsidRDefault="00F925DD">
            <w:pPr>
              <w:rPr>
                <w:rFonts w:ascii="Times New Roman" w:hAnsi="Times New Roman"/>
                <w:sz w:val="20"/>
                <w:szCs w:val="20"/>
              </w:rPr>
            </w:pPr>
          </w:p>
        </w:tc>
      </w:tr>
      <w:tr w:rsidR="00F925DD" w14:paraId="55569FB0" w14:textId="77777777">
        <w:tc>
          <w:tcPr>
            <w:tcW w:w="0" w:type="auto"/>
            <w:gridSpan w:val="8"/>
            <w:shd w:val="clear" w:color="auto" w:fill="auto"/>
            <w:tcMar>
              <w:top w:w="40" w:type="dxa"/>
              <w:left w:w="40" w:type="dxa"/>
              <w:bottom w:w="40" w:type="dxa"/>
              <w:right w:w="40" w:type="dxa"/>
            </w:tcMar>
            <w:vAlign w:val="bottom"/>
          </w:tcPr>
          <w:p w14:paraId="55569FA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40: ECONOMIC VALUE OF EQUITY SENSITIVITY</w:t>
            </w:r>
          </w:p>
        </w:tc>
      </w:tr>
      <w:tr w:rsidR="00F925DD" w14:paraId="55569FB3" w14:textId="77777777">
        <w:tc>
          <w:tcPr>
            <w:tcW w:w="0" w:type="auto"/>
            <w:shd w:val="clear" w:color="auto" w:fill="auto"/>
            <w:tcMar>
              <w:top w:w="40" w:type="dxa"/>
              <w:left w:w="40" w:type="dxa"/>
              <w:bottom w:w="40" w:type="dxa"/>
              <w:right w:w="40" w:type="dxa"/>
            </w:tcMar>
            <w:vAlign w:val="bottom"/>
          </w:tcPr>
          <w:p w14:paraId="55569F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9FB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 of December 31,</w:t>
            </w:r>
          </w:p>
        </w:tc>
      </w:tr>
      <w:tr w:rsidR="00F925DD" w14:paraId="55569FB8" w14:textId="77777777">
        <w:tc>
          <w:tcPr>
            <w:tcW w:w="0" w:type="auto"/>
            <w:shd w:val="clear" w:color="auto" w:fill="auto"/>
            <w:tcMar>
              <w:top w:w="40" w:type="dxa"/>
              <w:left w:w="40" w:type="dxa"/>
              <w:bottom w:w="40" w:type="dxa"/>
              <w:right w:w="40" w:type="dxa"/>
            </w:tcMar>
            <w:vAlign w:val="bottom"/>
          </w:tcPr>
          <w:p w14:paraId="55569FB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FB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9F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9FB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r>
      <w:tr w:rsidR="00F925DD" w14:paraId="55569FBB" w14:textId="77777777">
        <w:tc>
          <w:tcPr>
            <w:tcW w:w="0" w:type="auto"/>
            <w:shd w:val="clear" w:color="auto" w:fill="auto"/>
            <w:tcMar>
              <w:top w:w="40" w:type="dxa"/>
              <w:left w:w="40" w:type="dxa"/>
              <w:bottom w:w="40" w:type="dxa"/>
              <w:right w:w="40" w:type="dxa"/>
            </w:tcMar>
            <w:vAlign w:val="bottom"/>
          </w:tcPr>
          <w:p w14:paraId="55569FB9" w14:textId="77777777" w:rsidR="00F925DD" w:rsidRDefault="00E705D7">
            <w:pPr>
              <w:textAlignment w:val="bottom"/>
              <w:rPr>
                <w:rFonts w:ascii="Times New Roman" w:hAnsi="Times New Roman"/>
                <w:sz w:val="14"/>
                <w:szCs w:val="14"/>
              </w:rPr>
            </w:pPr>
            <w:r>
              <w:rPr>
                <w:rFonts w:ascii="Arial" w:eastAsia="宋体" w:hAnsi="Arial" w:cs="Arial"/>
                <w:sz w:val="14"/>
                <w:szCs w:val="14"/>
              </w:rPr>
              <w:t>Rate change:</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5569FB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Benefit (Exposure)</w:t>
            </w:r>
          </w:p>
        </w:tc>
      </w:tr>
      <w:tr w:rsidR="00F925DD" w14:paraId="55569FC4" w14:textId="77777777">
        <w:tc>
          <w:tcPr>
            <w:tcW w:w="0" w:type="auto"/>
            <w:shd w:val="clear" w:color="auto" w:fill="CCEEFF"/>
            <w:tcMar>
              <w:top w:w="40" w:type="dxa"/>
              <w:left w:w="40" w:type="dxa"/>
              <w:bottom w:w="40" w:type="dxa"/>
              <w:right w:w="40" w:type="dxa"/>
            </w:tcMar>
            <w:vAlign w:val="bottom"/>
          </w:tcPr>
          <w:p w14:paraId="55569FBC" w14:textId="77777777" w:rsidR="00F925DD" w:rsidRDefault="00E705D7">
            <w:pPr>
              <w:textAlignment w:val="bottom"/>
              <w:rPr>
                <w:rFonts w:ascii="Times New Roman" w:hAnsi="Times New Roman"/>
                <w:sz w:val="14"/>
                <w:szCs w:val="14"/>
              </w:rPr>
            </w:pPr>
            <w:r>
              <w:rPr>
                <w:rFonts w:ascii="Arial" w:eastAsia="宋体" w:hAnsi="Arial" w:cs="Arial"/>
                <w:sz w:val="14"/>
                <w:szCs w:val="14"/>
              </w:rPr>
              <w:t>+200 bps shock</w:t>
            </w:r>
          </w:p>
        </w:tc>
        <w:tc>
          <w:tcPr>
            <w:tcW w:w="0" w:type="auto"/>
            <w:tcBorders>
              <w:top w:val="single" w:sz="8" w:space="0" w:color="000000"/>
            </w:tcBorders>
            <w:shd w:val="clear" w:color="auto" w:fill="CCEEFF"/>
            <w:tcMar>
              <w:top w:w="40" w:type="dxa"/>
              <w:left w:w="40" w:type="dxa"/>
              <w:bottom w:w="40" w:type="dxa"/>
            </w:tcMar>
            <w:vAlign w:val="bottom"/>
          </w:tcPr>
          <w:p w14:paraId="55569FB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9FB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(1,966</w:t>
            </w:r>
          </w:p>
        </w:tc>
        <w:tc>
          <w:tcPr>
            <w:tcW w:w="0" w:type="auto"/>
            <w:tcBorders>
              <w:top w:val="single" w:sz="8" w:space="0" w:color="000000"/>
            </w:tcBorders>
            <w:shd w:val="clear" w:color="auto" w:fill="CCEEFF"/>
            <w:tcMar>
              <w:top w:w="40" w:type="dxa"/>
              <w:bottom w:w="40" w:type="dxa"/>
              <w:right w:w="40" w:type="dxa"/>
            </w:tcMar>
            <w:vAlign w:val="bottom"/>
          </w:tcPr>
          <w:p w14:paraId="55569FB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9F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9FC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9FC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(1,603</w:t>
            </w:r>
          </w:p>
        </w:tc>
        <w:tc>
          <w:tcPr>
            <w:tcW w:w="0" w:type="auto"/>
            <w:shd w:val="clear" w:color="auto" w:fill="CCEEFF"/>
            <w:tcMar>
              <w:top w:w="40" w:type="dxa"/>
              <w:bottom w:w="40" w:type="dxa"/>
              <w:right w:w="40" w:type="dxa"/>
            </w:tcMar>
            <w:vAlign w:val="bottom"/>
          </w:tcPr>
          <w:p w14:paraId="55569FC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9FCB" w14:textId="77777777">
        <w:tc>
          <w:tcPr>
            <w:tcW w:w="0" w:type="auto"/>
            <w:shd w:val="clear" w:color="auto" w:fill="auto"/>
            <w:tcMar>
              <w:top w:w="40" w:type="dxa"/>
              <w:left w:w="40" w:type="dxa"/>
              <w:bottom w:w="40" w:type="dxa"/>
              <w:right w:w="40" w:type="dxa"/>
            </w:tcMar>
            <w:vAlign w:val="bottom"/>
          </w:tcPr>
          <w:p w14:paraId="55569FC5" w14:textId="77777777" w:rsidR="00F925DD" w:rsidRDefault="00E705D7">
            <w:pPr>
              <w:textAlignment w:val="bottom"/>
              <w:rPr>
                <w:rFonts w:ascii="Times New Roman" w:hAnsi="Times New Roman"/>
                <w:sz w:val="14"/>
                <w:szCs w:val="14"/>
              </w:rPr>
            </w:pPr>
            <w:r>
              <w:rPr>
                <w:rFonts w:ascii="Arial" w:eastAsia="宋体" w:hAnsi="Arial" w:cs="Arial"/>
                <w:sz w:val="14"/>
                <w:szCs w:val="14"/>
              </w:rPr>
              <w:t>–200 bps shock</w:t>
            </w:r>
          </w:p>
        </w:tc>
        <w:tc>
          <w:tcPr>
            <w:tcW w:w="0" w:type="auto"/>
            <w:gridSpan w:val="2"/>
            <w:shd w:val="clear" w:color="auto" w:fill="auto"/>
            <w:tcMar>
              <w:top w:w="40" w:type="dxa"/>
              <w:left w:w="40" w:type="dxa"/>
              <w:bottom w:w="40" w:type="dxa"/>
            </w:tcMar>
            <w:vAlign w:val="bottom"/>
          </w:tcPr>
          <w:p w14:paraId="55569FC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1,292</w:t>
            </w:r>
          </w:p>
        </w:tc>
        <w:tc>
          <w:tcPr>
            <w:tcW w:w="0" w:type="auto"/>
            <w:shd w:val="clear" w:color="auto" w:fill="auto"/>
            <w:vAlign w:val="bottom"/>
          </w:tcPr>
          <w:p w14:paraId="55569FC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9F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9FC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796</w:t>
            </w:r>
          </w:p>
        </w:tc>
        <w:tc>
          <w:tcPr>
            <w:tcW w:w="0" w:type="auto"/>
            <w:shd w:val="clear" w:color="auto" w:fill="auto"/>
            <w:vAlign w:val="bottom"/>
          </w:tcPr>
          <w:p w14:paraId="55569FCA" w14:textId="77777777" w:rsidR="00F925DD" w:rsidRDefault="00F925DD">
            <w:pPr>
              <w:textAlignment w:val="bottom"/>
              <w:rPr>
                <w:rFonts w:ascii="Times New Roman" w:hAnsi="Times New Roman"/>
                <w:sz w:val="20"/>
                <w:szCs w:val="20"/>
              </w:rPr>
            </w:pPr>
          </w:p>
        </w:tc>
      </w:tr>
    </w:tbl>
    <w:p w14:paraId="55569FCC" w14:textId="77777777" w:rsidR="00F925DD" w:rsidRDefault="00F925DD">
      <w:pPr>
        <w:rPr>
          <w:rFonts w:ascii="Times New Roman" w:hAnsi="Times New Roman"/>
          <w:sz w:val="20"/>
          <w:szCs w:val="20"/>
        </w:rPr>
      </w:pPr>
    </w:p>
    <w:p w14:paraId="55569FC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104</w:t>
      </w:r>
    </w:p>
    <w:p w14:paraId="55569FCE" w14:textId="77777777" w:rsidR="00F925DD" w:rsidRDefault="00F925DD">
      <w:pPr>
        <w:spacing w:line="288" w:lineRule="auto"/>
        <w:ind w:firstLine="600"/>
        <w:jc w:val="center"/>
        <w:rPr>
          <w:rFonts w:ascii="Times New Roman" w:hAnsi="Times New Roman"/>
          <w:sz w:val="18"/>
          <w:szCs w:val="18"/>
        </w:rPr>
      </w:pPr>
    </w:p>
    <w:p w14:paraId="55569FCF" w14:textId="77777777" w:rsidR="00F925DD" w:rsidRDefault="00E705D7">
      <w:r>
        <w:rPr>
          <w:rFonts w:ascii="Times New Roman" w:hAnsi="Times New Roman"/>
          <w:sz w:val="18"/>
          <w:szCs w:val="18"/>
        </w:rPr>
        <w:pict w14:anchorId="555706A2">
          <v:rect id="_x0000_i1128" style="width:415.3pt;height:1.5pt" o:hralign="center" o:hrstd="t" o:hr="t" fillcolor="#a0a0a0" stroked="f"/>
        </w:pict>
      </w:r>
    </w:p>
    <w:p w14:paraId="55569FD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FD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FD2" w14:textId="77777777" w:rsidR="00F925DD" w:rsidRDefault="00F925DD">
      <w:pPr>
        <w:rPr>
          <w:rFonts w:ascii="Times New Roman" w:hAnsi="Times New Roman"/>
          <w:sz w:val="20"/>
          <w:szCs w:val="20"/>
        </w:rPr>
      </w:pPr>
    </w:p>
    <w:p w14:paraId="55569FD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December 31, 2019, EVE sensitivity remains exposed to upward shifts in interest rates. Compared to </w:t>
      </w:r>
      <w:r>
        <w:rPr>
          <w:rFonts w:ascii="Arial" w:eastAsia="宋体" w:hAnsi="Arial" w:cs="Arial"/>
          <w:sz w:val="20"/>
          <w:szCs w:val="20"/>
        </w:rPr>
        <w:t>December 31, 2018, the change in the up and down 200 bps instantaneous shocks was primarily driven by purchases of fixed-rate investment portfolio securities, partially offset by lower long-end U.S. rates.</w:t>
      </w:r>
    </w:p>
    <w:p w14:paraId="55569FD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Both NII sensitivity and EVE sensitivity are routi</w:t>
      </w:r>
      <w:r>
        <w:rPr>
          <w:rFonts w:ascii="Arial" w:eastAsia="宋体" w:hAnsi="Arial" w:cs="Arial"/>
          <w:sz w:val="20"/>
          <w:szCs w:val="20"/>
        </w:rPr>
        <w:t xml:space="preserve">nely monitored as market conditions change. </w:t>
      </w:r>
    </w:p>
    <w:p w14:paraId="55569FD5"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 xml:space="preserve">Model Risk Management </w:t>
      </w:r>
    </w:p>
    <w:p w14:paraId="55569FD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use of models is widespread throughout the financial services industry, with large and complex organizations relying on sophisticated models to support numerous aspects of their financ</w:t>
      </w:r>
      <w:r>
        <w:rPr>
          <w:rFonts w:ascii="Arial" w:eastAsia="宋体" w:hAnsi="Arial" w:cs="Arial"/>
          <w:sz w:val="20"/>
          <w:szCs w:val="20"/>
        </w:rPr>
        <w:t>ial decision making. The models contemporaneously represent both a significant advancement in financial management and a source of risk. In large banking organizations like us, model results influence business decisions, and model failure could have a harm</w:t>
      </w:r>
      <w:r>
        <w:rPr>
          <w:rFonts w:ascii="Arial" w:eastAsia="宋体" w:hAnsi="Arial" w:cs="Arial"/>
          <w:sz w:val="20"/>
          <w:szCs w:val="20"/>
        </w:rPr>
        <w:t>ful effect on our financial performance. As a result, the MRM Framework seeks to mitigate our model risk.</w:t>
      </w:r>
    </w:p>
    <w:p w14:paraId="55569FD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MRM program has three principal components: </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FDA" w14:textId="77777777">
        <w:trPr>
          <w:tblCellSpacing w:w="0" w:type="dxa"/>
        </w:trPr>
        <w:tc>
          <w:tcPr>
            <w:tcW w:w="960" w:type="dxa"/>
            <w:shd w:val="clear" w:color="auto" w:fill="auto"/>
            <w:vAlign w:val="center"/>
          </w:tcPr>
          <w:p w14:paraId="55569FD8" w14:textId="77777777" w:rsidR="00F925DD" w:rsidRDefault="00F925DD">
            <w:pPr>
              <w:rPr>
                <w:rFonts w:ascii="Times New Roman" w:hAnsi="Times New Roman"/>
                <w:sz w:val="20"/>
                <w:szCs w:val="20"/>
              </w:rPr>
            </w:pPr>
          </w:p>
        </w:tc>
        <w:tc>
          <w:tcPr>
            <w:tcW w:w="0" w:type="auto"/>
            <w:shd w:val="clear" w:color="auto" w:fill="auto"/>
            <w:vAlign w:val="center"/>
          </w:tcPr>
          <w:p w14:paraId="55569FD9" w14:textId="77777777" w:rsidR="00F925DD" w:rsidRDefault="00F925DD">
            <w:pPr>
              <w:rPr>
                <w:rFonts w:ascii="Times New Roman" w:hAnsi="Times New Roman"/>
                <w:sz w:val="20"/>
                <w:szCs w:val="20"/>
              </w:rPr>
            </w:pPr>
          </w:p>
        </w:tc>
      </w:tr>
      <w:tr w:rsidR="00F925DD" w14:paraId="55569FDD" w14:textId="77777777">
        <w:trPr>
          <w:tblCellSpacing w:w="0" w:type="dxa"/>
        </w:trPr>
        <w:tc>
          <w:tcPr>
            <w:tcW w:w="0" w:type="auto"/>
            <w:shd w:val="clear" w:color="auto" w:fill="auto"/>
          </w:tcPr>
          <w:p w14:paraId="55569FD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FD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model risk governance program that defines roles and responsibilities, including the authority to restrict model usage, provides policies and guidance, monitors compliance and reports regularly to the Board on the overall degree of model risk across the </w:t>
            </w:r>
            <w:r>
              <w:rPr>
                <w:rFonts w:ascii="Arial" w:eastAsia="宋体" w:hAnsi="Arial" w:cs="Arial"/>
                <w:sz w:val="20"/>
                <w:szCs w:val="20"/>
              </w:rPr>
              <w:t xml:space="preserve">corporation; </w:t>
            </w:r>
          </w:p>
        </w:tc>
      </w:tr>
    </w:tbl>
    <w:p w14:paraId="55569FD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FE1" w14:textId="77777777">
        <w:trPr>
          <w:tblCellSpacing w:w="0" w:type="dxa"/>
        </w:trPr>
        <w:tc>
          <w:tcPr>
            <w:tcW w:w="960" w:type="dxa"/>
            <w:shd w:val="clear" w:color="auto" w:fill="auto"/>
            <w:vAlign w:val="center"/>
          </w:tcPr>
          <w:p w14:paraId="55569FDF" w14:textId="77777777" w:rsidR="00F925DD" w:rsidRDefault="00F925DD">
            <w:pPr>
              <w:rPr>
                <w:rFonts w:ascii="Times New Roman" w:hAnsi="Times New Roman"/>
                <w:sz w:val="20"/>
                <w:szCs w:val="20"/>
              </w:rPr>
            </w:pPr>
          </w:p>
        </w:tc>
        <w:tc>
          <w:tcPr>
            <w:tcW w:w="0" w:type="auto"/>
            <w:shd w:val="clear" w:color="auto" w:fill="auto"/>
            <w:vAlign w:val="center"/>
          </w:tcPr>
          <w:p w14:paraId="55569FE0" w14:textId="77777777" w:rsidR="00F925DD" w:rsidRDefault="00F925DD">
            <w:pPr>
              <w:rPr>
                <w:rFonts w:ascii="Times New Roman" w:hAnsi="Times New Roman"/>
                <w:sz w:val="20"/>
                <w:szCs w:val="20"/>
              </w:rPr>
            </w:pPr>
          </w:p>
        </w:tc>
      </w:tr>
      <w:tr w:rsidR="00F925DD" w14:paraId="55569FE4" w14:textId="77777777">
        <w:trPr>
          <w:tblCellSpacing w:w="0" w:type="dxa"/>
        </w:trPr>
        <w:tc>
          <w:tcPr>
            <w:tcW w:w="0" w:type="auto"/>
            <w:shd w:val="clear" w:color="auto" w:fill="auto"/>
          </w:tcPr>
          <w:p w14:paraId="55569FE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FE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 model development process that focuses on sound design and computational accuracy, and includes activities designed to test for robustness, stability and sensitivity to assumptions; and </w:t>
            </w:r>
          </w:p>
        </w:tc>
      </w:tr>
    </w:tbl>
    <w:p w14:paraId="55569FE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9FE8" w14:textId="77777777">
        <w:trPr>
          <w:tblCellSpacing w:w="0" w:type="dxa"/>
        </w:trPr>
        <w:tc>
          <w:tcPr>
            <w:tcW w:w="960" w:type="dxa"/>
            <w:shd w:val="clear" w:color="auto" w:fill="auto"/>
            <w:vAlign w:val="center"/>
          </w:tcPr>
          <w:p w14:paraId="55569FE6" w14:textId="77777777" w:rsidR="00F925DD" w:rsidRDefault="00F925DD">
            <w:pPr>
              <w:rPr>
                <w:rFonts w:ascii="Times New Roman" w:hAnsi="Times New Roman"/>
                <w:sz w:val="20"/>
                <w:szCs w:val="20"/>
              </w:rPr>
            </w:pPr>
          </w:p>
        </w:tc>
        <w:tc>
          <w:tcPr>
            <w:tcW w:w="0" w:type="auto"/>
            <w:shd w:val="clear" w:color="auto" w:fill="auto"/>
            <w:vAlign w:val="center"/>
          </w:tcPr>
          <w:p w14:paraId="55569FE7" w14:textId="77777777" w:rsidR="00F925DD" w:rsidRDefault="00F925DD">
            <w:pPr>
              <w:rPr>
                <w:rFonts w:ascii="Times New Roman" w:hAnsi="Times New Roman"/>
                <w:sz w:val="20"/>
                <w:szCs w:val="20"/>
              </w:rPr>
            </w:pPr>
          </w:p>
        </w:tc>
      </w:tr>
      <w:tr w:rsidR="00F925DD" w14:paraId="55569FEB" w14:textId="77777777">
        <w:trPr>
          <w:tblCellSpacing w:w="0" w:type="dxa"/>
        </w:trPr>
        <w:tc>
          <w:tcPr>
            <w:tcW w:w="0" w:type="auto"/>
            <w:shd w:val="clear" w:color="auto" w:fill="auto"/>
          </w:tcPr>
          <w:p w14:paraId="55569FE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9FE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An independent model validation function designed to verify </w:t>
            </w:r>
            <w:r>
              <w:rPr>
                <w:rFonts w:ascii="Arial" w:eastAsia="宋体" w:hAnsi="Arial" w:cs="Arial"/>
                <w:sz w:val="20"/>
                <w:szCs w:val="20"/>
              </w:rPr>
              <w:t>that models are conceptually sound, computationally accurate, are performing as expected, and are in line with their design objectives.</w:t>
            </w:r>
          </w:p>
        </w:tc>
      </w:tr>
    </w:tbl>
    <w:p w14:paraId="55569FEC"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Governance</w:t>
      </w:r>
    </w:p>
    <w:p w14:paraId="55569FE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Models used in the regulatory capital calculation can only be deployed for use after undergoing a model </w:t>
      </w:r>
      <w:r>
        <w:rPr>
          <w:rFonts w:ascii="Arial" w:eastAsia="宋体" w:hAnsi="Arial" w:cs="Arial"/>
          <w:sz w:val="20"/>
          <w:szCs w:val="20"/>
        </w:rPr>
        <w:t>validation by ERM's MRM group. The model validation results and/or a decision by the Model Risk Committee must permit model usage or the model may not be used.</w:t>
      </w:r>
    </w:p>
    <w:p w14:paraId="55569FE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ERM’s MRM group is responsible for defining the corporate-wide model risk governance framework, </w:t>
      </w:r>
      <w:r>
        <w:rPr>
          <w:rFonts w:ascii="Arial" w:eastAsia="宋体" w:hAnsi="Arial" w:cs="Arial"/>
          <w:sz w:val="20"/>
          <w:szCs w:val="20"/>
        </w:rPr>
        <w:t>maintaining policies that achieve the framework’s objectives. The team is responsible for overall model risk governance capabilities, with particular emphasis in the areas of model validation, model risk reporting, model performance monitoring, tracking of</w:t>
      </w:r>
      <w:r>
        <w:rPr>
          <w:rFonts w:ascii="Arial" w:eastAsia="宋体" w:hAnsi="Arial" w:cs="Arial"/>
          <w:sz w:val="20"/>
          <w:szCs w:val="20"/>
        </w:rPr>
        <w:t xml:space="preserve"> new model development status and committee-level review and challenge.</w:t>
      </w:r>
    </w:p>
    <w:p w14:paraId="55569FE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MRC, which is composed of senior managers responsible for representing functional areas and </w:t>
      </w:r>
    </w:p>
    <w:p w14:paraId="55569FF0"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9FF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business units with key models across the organization, reports to MRAC, and provides gui</w:t>
      </w:r>
      <w:r>
        <w:rPr>
          <w:rFonts w:ascii="Arial" w:eastAsia="宋体" w:hAnsi="Arial" w:cs="Arial"/>
          <w:sz w:val="20"/>
          <w:szCs w:val="20"/>
        </w:rPr>
        <w:t>dance and oversight to the MRM function.</w:t>
      </w:r>
    </w:p>
    <w:p w14:paraId="55569FF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Model Development and Usage</w:t>
      </w:r>
    </w:p>
    <w:p w14:paraId="55569FF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Models are developed under standards governing data sourcing, methodology selection and model integrity testing. Model development includes a statement of purpose to align development wit</w:t>
      </w:r>
      <w:r>
        <w:rPr>
          <w:rFonts w:ascii="Arial" w:eastAsia="宋体" w:hAnsi="Arial" w:cs="Arial"/>
          <w:sz w:val="20"/>
          <w:szCs w:val="20"/>
        </w:rPr>
        <w:t>h intended use. It also includes a comparison of alternative approaches to promote a sound modeling approach.</w:t>
      </w:r>
    </w:p>
    <w:p w14:paraId="55569FF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Model developers conduct an assessment of data quality and relevance. The development teams conduct a variety of tests of the accuracy, robustness</w:t>
      </w:r>
      <w:r>
        <w:rPr>
          <w:rFonts w:ascii="Arial" w:eastAsia="宋体" w:hAnsi="Arial" w:cs="Arial"/>
          <w:sz w:val="20"/>
          <w:szCs w:val="20"/>
        </w:rPr>
        <w:t xml:space="preserve"> and stability of each model. </w:t>
      </w:r>
    </w:p>
    <w:p w14:paraId="55569FF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Model owners submit models to the MVG for validation on a regular basis, as per the existing policy.</w:t>
      </w:r>
    </w:p>
    <w:p w14:paraId="55569FF6"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Model Validation</w:t>
      </w:r>
    </w:p>
    <w:p w14:paraId="55569FF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MVG is part of MRM within ERM and performs model validations and reviews. MVG is independent, as contemplat</w:t>
      </w:r>
      <w:r>
        <w:rPr>
          <w:rFonts w:ascii="Arial" w:eastAsia="宋体" w:hAnsi="Arial" w:cs="Arial"/>
          <w:sz w:val="20"/>
          <w:szCs w:val="20"/>
        </w:rPr>
        <w:t>ed by applicable bank regulatory requirements, of both the developers and users of the models. MVG validates models through an evaluation process that assesses the appropriateness, accuracy, and suitability of data inputs, methodologies, documentation, ass</w:t>
      </w:r>
      <w:r>
        <w:rPr>
          <w:rFonts w:ascii="Arial" w:eastAsia="宋体" w:hAnsi="Arial" w:cs="Arial"/>
          <w:sz w:val="20"/>
          <w:szCs w:val="20"/>
        </w:rPr>
        <w:t>umptions, and processing code. Model validation also encompasses an assessment of model performance, sensitivity, and robustness, as well as a model’s potential limitations given its particular assumptions or deficiencies. Based on the results of its revie</w:t>
      </w:r>
      <w:r>
        <w:rPr>
          <w:rFonts w:ascii="Arial" w:eastAsia="宋体" w:hAnsi="Arial" w:cs="Arial"/>
          <w:sz w:val="20"/>
          <w:szCs w:val="20"/>
        </w:rPr>
        <w:t>w, MVG issues a model use decision and may require remedial actions and/or compensating controls on model use. MVG also maintains a model risk rating system, which assigns a risk rating to each model based on an assessment of a model's inherent and residua</w:t>
      </w:r>
      <w:r>
        <w:rPr>
          <w:rFonts w:ascii="Arial" w:eastAsia="宋体" w:hAnsi="Arial" w:cs="Arial"/>
          <w:sz w:val="20"/>
          <w:szCs w:val="20"/>
        </w:rPr>
        <w:t>l risks. These ratings aid in the understanding and reporting of model risk across the model portfolio, and enable the triaging of needs for remediation.</w:t>
      </w:r>
    </w:p>
    <w:p w14:paraId="55569FF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Although model validation is the primary method of subjecting models to independent review and challen</w:t>
      </w:r>
      <w:r>
        <w:rPr>
          <w:rFonts w:ascii="Arial" w:eastAsia="宋体" w:hAnsi="Arial" w:cs="Arial"/>
          <w:sz w:val="20"/>
          <w:szCs w:val="20"/>
        </w:rPr>
        <w:t>ge, in practice, a multi-step governance process provides the opportunity for challenge by multiple parties. First, MVG conducts a model validation and issues a model use decision. MVG communicates their result as one of the following three outcomes: “Appr</w:t>
      </w:r>
      <w:r>
        <w:rPr>
          <w:rFonts w:ascii="Arial" w:eastAsia="宋体" w:hAnsi="Arial" w:cs="Arial"/>
          <w:sz w:val="20"/>
          <w:szCs w:val="20"/>
        </w:rPr>
        <w:t>oved”, “Approved with conditions”, or “Not Approved”.  There are two ways in which a model can be deemed “Not approved for Use” given a validation:  1) the aggregation of the model scoring within MRM’s Model Risk Rating System (MRRS) model is poor enough t</w:t>
      </w:r>
      <w:r>
        <w:rPr>
          <w:rFonts w:ascii="Arial" w:eastAsia="宋体" w:hAnsi="Arial" w:cs="Arial"/>
          <w:sz w:val="20"/>
          <w:szCs w:val="20"/>
        </w:rPr>
        <w:t xml:space="preserve">o result in a “high” rating, or 2) the scoring of one or more MRRS model element(s) is deemed “critical” resulting in an automatic “high” rating irrespective of the other elements as the “critical” element(s) undermines the model. Second, these </w:t>
      </w:r>
    </w:p>
    <w:p w14:paraId="55569FF9" w14:textId="77777777" w:rsidR="00F925DD" w:rsidRDefault="00F925DD">
      <w:pPr>
        <w:rPr>
          <w:rFonts w:ascii="Times New Roman" w:hAnsi="Times New Roman"/>
          <w:sz w:val="20"/>
          <w:szCs w:val="20"/>
        </w:rPr>
      </w:pPr>
    </w:p>
    <w:p w14:paraId="55569FF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w:t>
      </w:r>
      <w:r>
        <w:rPr>
          <w:rFonts w:ascii="Arial" w:eastAsia="宋体" w:hAnsi="Arial" w:cs="Arial"/>
          <w:sz w:val="18"/>
          <w:szCs w:val="18"/>
        </w:rPr>
        <w:t>eet Corporation | 105</w:t>
      </w:r>
    </w:p>
    <w:p w14:paraId="55569FFB" w14:textId="77777777" w:rsidR="00F925DD" w:rsidRDefault="00F925DD">
      <w:pPr>
        <w:spacing w:line="288" w:lineRule="auto"/>
        <w:ind w:firstLine="600"/>
        <w:jc w:val="center"/>
        <w:rPr>
          <w:rFonts w:ascii="Times New Roman" w:hAnsi="Times New Roman"/>
          <w:sz w:val="18"/>
          <w:szCs w:val="18"/>
        </w:rPr>
      </w:pPr>
    </w:p>
    <w:p w14:paraId="55569FFC" w14:textId="77777777" w:rsidR="00F925DD" w:rsidRDefault="00E705D7">
      <w:r>
        <w:rPr>
          <w:rFonts w:ascii="Times New Roman" w:hAnsi="Times New Roman"/>
          <w:sz w:val="18"/>
          <w:szCs w:val="18"/>
        </w:rPr>
        <w:pict w14:anchorId="555706A3">
          <v:rect id="_x0000_i1129" style="width:415.3pt;height:1.5pt" o:hralign="center" o:hrstd="t" o:hr="t" fillcolor="#a0a0a0" stroked="f"/>
        </w:pict>
      </w:r>
    </w:p>
    <w:p w14:paraId="55569FF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9FF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9FFF" w14:textId="77777777" w:rsidR="00F925DD" w:rsidRDefault="00F925DD">
      <w:pPr>
        <w:rPr>
          <w:rFonts w:ascii="Times New Roman" w:hAnsi="Times New Roman"/>
          <w:sz w:val="20"/>
          <w:szCs w:val="20"/>
        </w:rPr>
      </w:pPr>
    </w:p>
    <w:p w14:paraId="5556A000"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decisions may be reviewed, challenged, and confirmed by the MRC. Finally, model use decisions, risk ratings, and overall levels of model </w:t>
      </w:r>
      <w:r>
        <w:rPr>
          <w:rFonts w:ascii="Arial" w:eastAsia="宋体" w:hAnsi="Arial" w:cs="Arial"/>
          <w:sz w:val="20"/>
          <w:szCs w:val="20"/>
        </w:rPr>
        <w:t>risk may be reported to and reviewed by MRAC. MRM also reports regularly on model risk issues to the Board.</w:t>
      </w:r>
    </w:p>
    <w:p w14:paraId="5556A001"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Strategic Risk Management</w:t>
      </w:r>
    </w:p>
    <w:p w14:paraId="5556A00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define strategic risk as the current or prospective impact on earnings or capital arising from adverse business decisio</w:t>
      </w:r>
      <w:r>
        <w:rPr>
          <w:rFonts w:ascii="Arial" w:eastAsia="宋体" w:hAnsi="Arial" w:cs="Arial"/>
          <w:sz w:val="20"/>
          <w:szCs w:val="20"/>
        </w:rPr>
        <w:t>ns, improper implementation of strategic initiatives, or lack of responsiveness to industry-wide changes. Strategic risks are influenced by changes in the competitive environment; decline in market performance or changes in our business activities; and the</w:t>
      </w:r>
      <w:r>
        <w:rPr>
          <w:rFonts w:ascii="Arial" w:eastAsia="宋体" w:hAnsi="Arial" w:cs="Arial"/>
          <w:sz w:val="20"/>
          <w:szCs w:val="20"/>
        </w:rPr>
        <w:t xml:space="preserve"> potential secondary impacts of reputational risks, not already captured as market, interest rate, credit, operational, model or liquidity risks. We incorporate strategic risk into our assessment of our business plans and risk and capital management proces</w:t>
      </w:r>
      <w:r>
        <w:rPr>
          <w:rFonts w:ascii="Arial" w:eastAsia="宋体" w:hAnsi="Arial" w:cs="Arial"/>
          <w:sz w:val="20"/>
          <w:szCs w:val="20"/>
        </w:rPr>
        <w:t>ses. Active management of strategic risk is an integral component of all aspects of our business.</w:t>
      </w:r>
    </w:p>
    <w:p w14:paraId="5556A00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Separating the effects of a potential material adverse event into operational and strategic risk is sometimes difficult. For instance, the direct financial im</w:t>
      </w:r>
      <w:r>
        <w:rPr>
          <w:rFonts w:ascii="Arial" w:eastAsia="宋体" w:hAnsi="Arial" w:cs="Arial"/>
          <w:sz w:val="20"/>
          <w:szCs w:val="20"/>
        </w:rPr>
        <w:t xml:space="preserve">pact of an unfavorable event in the form of fines or penalties would be classified as an operational risk loss, while the impact on our reputation and consequently the potential loss of clients and corresponding decline in revenue would be classified as a </w:t>
      </w:r>
      <w:r>
        <w:rPr>
          <w:rFonts w:ascii="Arial" w:eastAsia="宋体" w:hAnsi="Arial" w:cs="Arial"/>
          <w:sz w:val="20"/>
          <w:szCs w:val="20"/>
        </w:rPr>
        <w:t>strategic risk loss. An additional example of strategic risk is the integration of a major acquisition. Failure to successfully integrate the operations of an acquired business, and the resultant inability to retain clients and the associated revenue, woul</w:t>
      </w:r>
      <w:r>
        <w:rPr>
          <w:rFonts w:ascii="Arial" w:eastAsia="宋体" w:hAnsi="Arial" w:cs="Arial"/>
          <w:sz w:val="20"/>
          <w:szCs w:val="20"/>
        </w:rPr>
        <w:t>d be classified as a loss due to strategic risk.</w:t>
      </w:r>
    </w:p>
    <w:p w14:paraId="5556A00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Strategic risk is managed with a long-term focus. Techniques for its assessment and management include the development of business plans, which are subject to robust review and challenge from senior </w:t>
      </w:r>
      <w:r>
        <w:rPr>
          <w:rFonts w:ascii="Arial" w:eastAsia="宋体" w:hAnsi="Arial" w:cs="Arial"/>
          <w:sz w:val="20"/>
          <w:szCs w:val="20"/>
        </w:rPr>
        <w:t xml:space="preserve">management and the Board of Directors, as well as a formal review and approval process for all new business and product proposals. The potential impact of the various elements of strategic risk is difficult to quantify with any degree of precision. We use </w:t>
      </w:r>
      <w:r>
        <w:rPr>
          <w:rFonts w:ascii="Arial" w:eastAsia="宋体" w:hAnsi="Arial" w:cs="Arial"/>
          <w:sz w:val="20"/>
          <w:szCs w:val="20"/>
        </w:rPr>
        <w:t xml:space="preserve">a combination of historical earnings volatility, scenario analysis, stress-testing and management judgment to help assess the potential effect on us attributable to strategic risk. Management and control of strategic risks are generally the responsibility </w:t>
      </w:r>
      <w:r>
        <w:rPr>
          <w:rFonts w:ascii="Arial" w:eastAsia="宋体" w:hAnsi="Arial" w:cs="Arial"/>
          <w:sz w:val="20"/>
          <w:szCs w:val="20"/>
        </w:rPr>
        <w:t>of the business units, with oversight from the control functions, as part of their overall strategic planning and internal risk management processes.</w:t>
      </w:r>
    </w:p>
    <w:p w14:paraId="5556A005"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Capital</w:t>
      </w:r>
    </w:p>
    <w:p w14:paraId="5556A00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Managing our capital involves evaluating whether our actual and projected levels of capital are co</w:t>
      </w:r>
      <w:r>
        <w:rPr>
          <w:rFonts w:ascii="Arial" w:eastAsia="宋体" w:hAnsi="Arial" w:cs="Arial"/>
          <w:sz w:val="20"/>
          <w:szCs w:val="20"/>
        </w:rPr>
        <w:t xml:space="preserve">mmensurate with our risk profile, are in compliance with all applicable regulatory requirements and are </w:t>
      </w:r>
    </w:p>
    <w:p w14:paraId="5556A007"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A008"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sufficient to provide us with the financial flexibility to undertake future strategic business initiatives. We assess capital adequacy based on relev</w:t>
      </w:r>
      <w:r>
        <w:rPr>
          <w:rFonts w:ascii="Arial" w:eastAsia="宋体" w:hAnsi="Arial" w:cs="Arial"/>
          <w:sz w:val="20"/>
          <w:szCs w:val="20"/>
        </w:rPr>
        <w:t>ant regulatory capital requirements, as well as our own internal capital goals, targets and other relevant metrics.</w:t>
      </w:r>
    </w:p>
    <w:p w14:paraId="5556A009"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Framework</w:t>
      </w:r>
    </w:p>
    <w:p w14:paraId="5556A00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objective with respect to management of our capital is to maintain a strong capital base in order to provide financial flexibi</w:t>
      </w:r>
      <w:r>
        <w:rPr>
          <w:rFonts w:ascii="Arial" w:eastAsia="宋体" w:hAnsi="Arial" w:cs="Arial"/>
          <w:sz w:val="20"/>
          <w:szCs w:val="20"/>
        </w:rPr>
        <w:t xml:space="preserve">lity for our business needs, including funding corporate growth and supporting clients’ cash management needs, and to provide protection against loss to depositors and creditors. We strive to maintain an appropriate level of capital, commensurate with our </w:t>
      </w:r>
      <w:r>
        <w:rPr>
          <w:rFonts w:ascii="Arial" w:eastAsia="宋体" w:hAnsi="Arial" w:cs="Arial"/>
          <w:sz w:val="20"/>
          <w:szCs w:val="20"/>
        </w:rPr>
        <w:t>risk profile, on which an attractive return to shareholders is expected to be realized over both the short and long-term, while protecting our obligations to depositors and creditors and complying with regulatory capital requirements.</w:t>
      </w:r>
    </w:p>
    <w:p w14:paraId="5556A00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capital managemen</w:t>
      </w:r>
      <w:r>
        <w:rPr>
          <w:rFonts w:ascii="Arial" w:eastAsia="宋体" w:hAnsi="Arial" w:cs="Arial"/>
          <w:sz w:val="20"/>
          <w:szCs w:val="20"/>
        </w:rPr>
        <w:t>t focuses on our risk exposures, the regulatory requirements applicable to us with respect to multiple capital measures, the evaluations and resulting credit ratings of the major independent rating agencies, our return on capital at both the consolidated a</w:t>
      </w:r>
      <w:r>
        <w:rPr>
          <w:rFonts w:ascii="Arial" w:eastAsia="宋体" w:hAnsi="Arial" w:cs="Arial"/>
          <w:sz w:val="20"/>
          <w:szCs w:val="20"/>
        </w:rPr>
        <w:t>nd line-of-business level and our capital position relative to our peers.</w:t>
      </w:r>
    </w:p>
    <w:p w14:paraId="5556A00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Assessment of our overall capital adequacy includes the comparison of capital sources with capital uses, as well as the consideration of the quality and quantity of the various compo</w:t>
      </w:r>
      <w:r>
        <w:rPr>
          <w:rFonts w:ascii="Arial" w:eastAsia="宋体" w:hAnsi="Arial" w:cs="Arial"/>
          <w:sz w:val="20"/>
          <w:szCs w:val="20"/>
        </w:rPr>
        <w:t>nents of capital. The assessment seeks to determine the optimal level of capital and composition of capital instruments to satisfy all constituents of capital, with the lowest overall cost to shareholders. Other factors considered in our assessment of capi</w:t>
      </w:r>
      <w:r>
        <w:rPr>
          <w:rFonts w:ascii="Arial" w:eastAsia="宋体" w:hAnsi="Arial" w:cs="Arial"/>
          <w:sz w:val="20"/>
          <w:szCs w:val="20"/>
        </w:rPr>
        <w:t>tal adequacy are strategic and contingency planning, stress testing and planned capital actions.</w:t>
      </w:r>
    </w:p>
    <w:p w14:paraId="5556A00D"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Capital Adequacy Process</w:t>
      </w:r>
    </w:p>
    <w:p w14:paraId="5556A00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primary federal banking regulator is the Federal Reserve. Both we and State Street Bank are subject to the minimum regulatory capi</w:t>
      </w:r>
      <w:r>
        <w:rPr>
          <w:rFonts w:ascii="Arial" w:eastAsia="宋体" w:hAnsi="Arial" w:cs="Arial"/>
          <w:sz w:val="20"/>
          <w:szCs w:val="20"/>
        </w:rPr>
        <w:t>tal requirements established by the Federal Reserve and defined in the Federal Deposit Insurance Corporation Improvement Act. State Street Bank must exceed the regulatory capital thresholds for “well capitalized” in order for our Parent Company to maintain</w:t>
      </w:r>
      <w:r>
        <w:rPr>
          <w:rFonts w:ascii="Arial" w:eastAsia="宋体" w:hAnsi="Arial" w:cs="Arial"/>
          <w:sz w:val="20"/>
          <w:szCs w:val="20"/>
        </w:rPr>
        <w:t xml:space="preserve"> its status as a financial holding company. Accordingly, one of our primary objectives with respect to capital management is to exceed all applicable minimum regulatory capital requirements and to be “well-capitalized” under the PCA guidelines established </w:t>
      </w:r>
      <w:r>
        <w:rPr>
          <w:rFonts w:ascii="Arial" w:eastAsia="宋体" w:hAnsi="Arial" w:cs="Arial"/>
          <w:sz w:val="20"/>
          <w:szCs w:val="20"/>
        </w:rPr>
        <w:t>by the FDIC. Our capital management activities are conducted as part of our corporate-wide CAP and associated Capital Policy and Guidelines.</w:t>
      </w:r>
    </w:p>
    <w:p w14:paraId="5556A00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consider capital adequacy to be a key element of our financial well-being, which affects our ability to attract </w:t>
      </w:r>
      <w:r>
        <w:rPr>
          <w:rFonts w:ascii="Arial" w:eastAsia="宋体" w:hAnsi="Arial" w:cs="Arial"/>
          <w:sz w:val="20"/>
          <w:szCs w:val="20"/>
        </w:rPr>
        <w:t xml:space="preserve">and maintain client relationships; operate </w:t>
      </w:r>
    </w:p>
    <w:p w14:paraId="5556A010" w14:textId="77777777" w:rsidR="00F925DD" w:rsidRDefault="00F925DD">
      <w:pPr>
        <w:rPr>
          <w:rFonts w:ascii="Times New Roman" w:hAnsi="Times New Roman"/>
          <w:sz w:val="20"/>
          <w:szCs w:val="20"/>
        </w:rPr>
      </w:pPr>
    </w:p>
    <w:p w14:paraId="5556A011"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106</w:t>
      </w:r>
    </w:p>
    <w:p w14:paraId="5556A012" w14:textId="77777777" w:rsidR="00F925DD" w:rsidRDefault="00F925DD">
      <w:pPr>
        <w:spacing w:line="288" w:lineRule="auto"/>
        <w:ind w:firstLine="600"/>
        <w:jc w:val="center"/>
        <w:rPr>
          <w:rFonts w:ascii="Times New Roman" w:hAnsi="Times New Roman"/>
          <w:sz w:val="18"/>
          <w:szCs w:val="18"/>
        </w:rPr>
      </w:pPr>
    </w:p>
    <w:p w14:paraId="5556A013" w14:textId="77777777" w:rsidR="00F925DD" w:rsidRDefault="00E705D7">
      <w:r>
        <w:rPr>
          <w:rFonts w:ascii="Times New Roman" w:hAnsi="Times New Roman"/>
          <w:sz w:val="18"/>
          <w:szCs w:val="18"/>
        </w:rPr>
        <w:pict w14:anchorId="555706A4">
          <v:rect id="_x0000_i1130" style="width:415.3pt;height:1.5pt" o:hralign="center" o:hrstd="t" o:hr="t" fillcolor="#a0a0a0" stroked="f"/>
        </w:pict>
      </w:r>
    </w:p>
    <w:p w14:paraId="5556A014"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A015"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A016" w14:textId="77777777" w:rsidR="00F925DD" w:rsidRDefault="00F925DD">
      <w:pPr>
        <w:rPr>
          <w:rFonts w:ascii="Times New Roman" w:hAnsi="Times New Roman"/>
          <w:sz w:val="20"/>
          <w:szCs w:val="20"/>
        </w:rPr>
      </w:pPr>
    </w:p>
    <w:p w14:paraId="5556A01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effectively in the global capital markets; and satisfy regulatory, security holders and </w:t>
      </w:r>
      <w:r>
        <w:rPr>
          <w:rFonts w:ascii="Arial" w:eastAsia="宋体" w:hAnsi="Arial" w:cs="Arial"/>
          <w:sz w:val="20"/>
          <w:szCs w:val="20"/>
        </w:rPr>
        <w:t>shareholder needs. Capital is one of several elements that affect our credit ratings and the ratings of our principal subsidiaries.</w:t>
      </w:r>
    </w:p>
    <w:p w14:paraId="5556A01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conformity with our Capital Policy and Guidelines, we strive to achieve and maintain specific internal capital levels, no</w:t>
      </w:r>
      <w:r>
        <w:rPr>
          <w:rFonts w:ascii="Arial" w:eastAsia="宋体" w:hAnsi="Arial" w:cs="Arial"/>
          <w:sz w:val="20"/>
          <w:szCs w:val="20"/>
        </w:rPr>
        <w:t>t just at a point in time, but over time and during periods of stress, to account for changes in our strategic direction, evolving economic conditions, and financial and market volatility. We have developed and implemented a corporate-wide CAP to assess ou</w:t>
      </w:r>
      <w:r>
        <w:rPr>
          <w:rFonts w:ascii="Arial" w:eastAsia="宋体" w:hAnsi="Arial" w:cs="Arial"/>
          <w:sz w:val="20"/>
          <w:szCs w:val="20"/>
        </w:rPr>
        <w:t xml:space="preserve">r overall capital in relation to our risk profile and to provide a comprehensive strategy for maintaining appropriate capital levels. The CAP considers material risks under multiple scenarios, with an emphasis on stress scenarios, and encompasses existing </w:t>
      </w:r>
      <w:r>
        <w:rPr>
          <w:rFonts w:ascii="Arial" w:eastAsia="宋体" w:hAnsi="Arial" w:cs="Arial"/>
          <w:sz w:val="20"/>
          <w:szCs w:val="20"/>
        </w:rPr>
        <w:t xml:space="preserve">processes and systems used to measure our capital adequacy. </w:t>
      </w:r>
    </w:p>
    <w:p w14:paraId="5556A019"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Capital Contingency Planning</w:t>
      </w:r>
    </w:p>
    <w:p w14:paraId="5556A01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Contingency planning is an integral component of capital management. The objective of contingency planning is to monitor current and forecast levels of select capital</w:t>
      </w:r>
      <w:r>
        <w:rPr>
          <w:rFonts w:ascii="Arial" w:eastAsia="宋体" w:hAnsi="Arial" w:cs="Arial"/>
          <w:sz w:val="20"/>
          <w:szCs w:val="20"/>
        </w:rPr>
        <w:t>, liquidity and other measures that serve as early indicators of a potentially adverse capital or liquidity adequacy situation. These measures are one of the inputs used to set our internal capital adequacy level. We review these measures annually for appr</w:t>
      </w:r>
      <w:r>
        <w:rPr>
          <w:rFonts w:ascii="Arial" w:eastAsia="宋体" w:hAnsi="Arial" w:cs="Arial"/>
          <w:sz w:val="20"/>
          <w:szCs w:val="20"/>
        </w:rPr>
        <w:t>opriateness and relevance in relation to our financial budget and capital plan.</w:t>
      </w:r>
    </w:p>
    <w:p w14:paraId="5556A01B"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Stress Testing</w:t>
      </w:r>
    </w:p>
    <w:p w14:paraId="5556A01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administer a robust business-wide stress-testing program that executes multiple stress tests each year to assess the institution’s capital adequacy </w:t>
      </w:r>
      <w:r>
        <w:rPr>
          <w:rFonts w:ascii="Arial" w:eastAsia="宋体" w:hAnsi="Arial" w:cs="Arial"/>
          <w:sz w:val="20"/>
          <w:szCs w:val="20"/>
        </w:rPr>
        <w:t>and/or future performance under adverse conditions. Our stress testing program is structured around what we determine to be the key risks inherent in our business, as assessed through a recurring material risk identification process. The material risk iden</w:t>
      </w:r>
      <w:r>
        <w:rPr>
          <w:rFonts w:ascii="Arial" w:eastAsia="宋体" w:hAnsi="Arial" w:cs="Arial"/>
          <w:sz w:val="20"/>
          <w:szCs w:val="20"/>
        </w:rPr>
        <w:t>tification process represents a bottom-up approach to identifying the institution’s most significant risk exposures across all on- and off-balance sheet risk-taking activities, including credit, market, liquidity, interest rate, operational, fiduciary, bus</w:t>
      </w:r>
      <w:r>
        <w:rPr>
          <w:rFonts w:ascii="Arial" w:eastAsia="宋体" w:hAnsi="Arial" w:cs="Arial"/>
          <w:sz w:val="20"/>
          <w:szCs w:val="20"/>
        </w:rPr>
        <w:t>iness, reputation and regulatory risks. These key risks serve as an organizing principle for much of our risk management framework, as well as reporting, including the “risk dashboard” provided to the Board. Over the past few years, stress scenarios have i</w:t>
      </w:r>
      <w:r>
        <w:rPr>
          <w:rFonts w:ascii="Arial" w:eastAsia="宋体" w:hAnsi="Arial" w:cs="Arial"/>
          <w:sz w:val="20"/>
          <w:szCs w:val="20"/>
        </w:rPr>
        <w:t>ncluded a deep recession in the U.S., a break-up of the Eurozone, a severe recession in China and an oil shock precipitated by turmoil in the Middle East/North Africa region.</w:t>
      </w:r>
    </w:p>
    <w:p w14:paraId="5556A01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connection with the focus on our key risks, each stress test incorporates idio</w:t>
      </w:r>
      <w:r>
        <w:rPr>
          <w:rFonts w:ascii="Arial" w:eastAsia="宋体" w:hAnsi="Arial" w:cs="Arial"/>
          <w:sz w:val="20"/>
          <w:szCs w:val="20"/>
        </w:rPr>
        <w:t xml:space="preserve">syncratic loss events tailored to our unique risk profile and business activities. Due to the nature of our business model and our </w:t>
      </w:r>
    </w:p>
    <w:p w14:paraId="5556A01E"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A01F"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consolidated statement of condition, our risks differ from those of a traditional commercial bank.</w:t>
      </w:r>
    </w:p>
    <w:p w14:paraId="5556A02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Federal Reserve req</w:t>
      </w:r>
      <w:r>
        <w:rPr>
          <w:rFonts w:ascii="Arial" w:eastAsia="宋体" w:hAnsi="Arial" w:cs="Arial"/>
          <w:sz w:val="20"/>
          <w:szCs w:val="20"/>
        </w:rPr>
        <w:t>uires bank holding companies with total consolidated assets of $50 billion or more, which includes us, to submit a capital plan on an annual basis. The Federal Reserve uses its annual CCAR process, which incorporates hypothetical financial and economic str</w:t>
      </w:r>
      <w:r>
        <w:rPr>
          <w:rFonts w:ascii="Arial" w:eastAsia="宋体" w:hAnsi="Arial" w:cs="Arial"/>
          <w:sz w:val="20"/>
          <w:szCs w:val="20"/>
        </w:rPr>
        <w:t xml:space="preserve">ess scenarios, to review those capital plans and assess whether banking organizations have capital planning processes that account for idiosyncratic risks and provide for sufficient capital to continue operations throughout times of economic and financial </w:t>
      </w:r>
      <w:r>
        <w:rPr>
          <w:rFonts w:ascii="Arial" w:eastAsia="宋体" w:hAnsi="Arial" w:cs="Arial"/>
          <w:sz w:val="20"/>
          <w:szCs w:val="20"/>
        </w:rPr>
        <w:t>stress. As part of its CCAR process, the Federal Reserve assesses each organization’s capital adequacy, capital planning process and plans to distribute capital, such as dividend payments or stock purchase programs. Management and Board risk committees rev</w:t>
      </w:r>
      <w:r>
        <w:rPr>
          <w:rFonts w:ascii="Arial" w:eastAsia="宋体" w:hAnsi="Arial" w:cs="Arial"/>
          <w:sz w:val="20"/>
          <w:szCs w:val="20"/>
        </w:rPr>
        <w:t>iew, challenge and approve CCAR results and assumptions before submission to the Federal Reserve.</w:t>
      </w:r>
    </w:p>
    <w:p w14:paraId="5556A02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Through the evaluation of our capital adequacy and/or future performance under adverse conditions, the stress testing processes provide important insights for</w:t>
      </w:r>
      <w:r>
        <w:rPr>
          <w:rFonts w:ascii="Arial" w:eastAsia="宋体" w:hAnsi="Arial" w:cs="Arial"/>
          <w:sz w:val="20"/>
          <w:szCs w:val="20"/>
        </w:rPr>
        <w:t xml:space="preserve"> capital planning, risk management and strategic decision-making for us. </w:t>
      </w:r>
    </w:p>
    <w:p w14:paraId="5556A02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Governance</w:t>
      </w:r>
    </w:p>
    <w:p w14:paraId="5556A02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order to support integrated decision making, we have identified three management elements to aid in the compatibility and coordination of our CAP:</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A026" w14:textId="77777777">
        <w:trPr>
          <w:tblCellSpacing w:w="0" w:type="dxa"/>
        </w:trPr>
        <w:tc>
          <w:tcPr>
            <w:tcW w:w="960" w:type="dxa"/>
            <w:shd w:val="clear" w:color="auto" w:fill="auto"/>
            <w:vAlign w:val="center"/>
          </w:tcPr>
          <w:p w14:paraId="5556A024" w14:textId="77777777" w:rsidR="00F925DD" w:rsidRDefault="00F925DD">
            <w:pPr>
              <w:rPr>
                <w:rFonts w:ascii="Times New Roman" w:hAnsi="Times New Roman"/>
                <w:sz w:val="20"/>
                <w:szCs w:val="20"/>
              </w:rPr>
            </w:pPr>
          </w:p>
        </w:tc>
        <w:tc>
          <w:tcPr>
            <w:tcW w:w="0" w:type="auto"/>
            <w:shd w:val="clear" w:color="auto" w:fill="auto"/>
            <w:vAlign w:val="center"/>
          </w:tcPr>
          <w:p w14:paraId="5556A025" w14:textId="77777777" w:rsidR="00F925DD" w:rsidRDefault="00F925DD">
            <w:pPr>
              <w:rPr>
                <w:rFonts w:ascii="Times New Roman" w:hAnsi="Times New Roman"/>
                <w:sz w:val="20"/>
                <w:szCs w:val="20"/>
              </w:rPr>
            </w:pPr>
          </w:p>
        </w:tc>
      </w:tr>
      <w:tr w:rsidR="00F925DD" w14:paraId="5556A029" w14:textId="77777777">
        <w:trPr>
          <w:tblCellSpacing w:w="0" w:type="dxa"/>
        </w:trPr>
        <w:tc>
          <w:tcPr>
            <w:tcW w:w="0" w:type="auto"/>
            <w:shd w:val="clear" w:color="auto" w:fill="auto"/>
          </w:tcPr>
          <w:p w14:paraId="5556A02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A02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Risk Management </w:t>
            </w:r>
            <w:r>
              <w:rPr>
                <w:rFonts w:ascii="Arial" w:eastAsia="宋体" w:hAnsi="Arial" w:cs="Arial"/>
                <w:sz w:val="20"/>
                <w:szCs w:val="20"/>
              </w:rPr>
              <w:t>- identification, measurement, monitoring and forecasting of different types of risk and their combined impact on capital adequacy;</w:t>
            </w:r>
          </w:p>
        </w:tc>
      </w:tr>
    </w:tbl>
    <w:p w14:paraId="5556A02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804"/>
      </w:tblGrid>
      <w:tr w:rsidR="00F925DD" w14:paraId="5556A02D" w14:textId="77777777">
        <w:trPr>
          <w:tblCellSpacing w:w="0" w:type="dxa"/>
        </w:trPr>
        <w:tc>
          <w:tcPr>
            <w:tcW w:w="960" w:type="dxa"/>
            <w:shd w:val="clear" w:color="auto" w:fill="auto"/>
            <w:vAlign w:val="center"/>
          </w:tcPr>
          <w:p w14:paraId="5556A02B" w14:textId="77777777" w:rsidR="00F925DD" w:rsidRDefault="00F925DD">
            <w:pPr>
              <w:rPr>
                <w:rFonts w:ascii="Times New Roman" w:hAnsi="Times New Roman"/>
                <w:sz w:val="20"/>
                <w:szCs w:val="20"/>
              </w:rPr>
            </w:pPr>
          </w:p>
        </w:tc>
        <w:tc>
          <w:tcPr>
            <w:tcW w:w="0" w:type="auto"/>
            <w:shd w:val="clear" w:color="auto" w:fill="auto"/>
            <w:vAlign w:val="center"/>
          </w:tcPr>
          <w:p w14:paraId="5556A02C" w14:textId="77777777" w:rsidR="00F925DD" w:rsidRDefault="00F925DD">
            <w:pPr>
              <w:rPr>
                <w:rFonts w:ascii="Times New Roman" w:hAnsi="Times New Roman"/>
                <w:sz w:val="20"/>
                <w:szCs w:val="20"/>
              </w:rPr>
            </w:pPr>
          </w:p>
        </w:tc>
      </w:tr>
      <w:tr w:rsidR="00F925DD" w14:paraId="5556A030" w14:textId="77777777">
        <w:trPr>
          <w:tblCellSpacing w:w="0" w:type="dxa"/>
        </w:trPr>
        <w:tc>
          <w:tcPr>
            <w:tcW w:w="0" w:type="auto"/>
            <w:shd w:val="clear" w:color="auto" w:fill="auto"/>
          </w:tcPr>
          <w:p w14:paraId="5556A02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A02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Capital management - determination of optimal capital levels; and</w:t>
            </w:r>
          </w:p>
        </w:tc>
      </w:tr>
    </w:tbl>
    <w:p w14:paraId="5556A03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A034" w14:textId="77777777">
        <w:trPr>
          <w:tblCellSpacing w:w="0" w:type="dxa"/>
        </w:trPr>
        <w:tc>
          <w:tcPr>
            <w:tcW w:w="960" w:type="dxa"/>
            <w:shd w:val="clear" w:color="auto" w:fill="auto"/>
            <w:vAlign w:val="center"/>
          </w:tcPr>
          <w:p w14:paraId="5556A032" w14:textId="77777777" w:rsidR="00F925DD" w:rsidRDefault="00F925DD">
            <w:pPr>
              <w:rPr>
                <w:rFonts w:ascii="Times New Roman" w:hAnsi="Times New Roman"/>
                <w:sz w:val="20"/>
                <w:szCs w:val="20"/>
              </w:rPr>
            </w:pPr>
          </w:p>
        </w:tc>
        <w:tc>
          <w:tcPr>
            <w:tcW w:w="0" w:type="auto"/>
            <w:shd w:val="clear" w:color="auto" w:fill="auto"/>
            <w:vAlign w:val="center"/>
          </w:tcPr>
          <w:p w14:paraId="5556A033" w14:textId="77777777" w:rsidR="00F925DD" w:rsidRDefault="00F925DD">
            <w:pPr>
              <w:rPr>
                <w:rFonts w:ascii="Times New Roman" w:hAnsi="Times New Roman"/>
                <w:sz w:val="20"/>
                <w:szCs w:val="20"/>
              </w:rPr>
            </w:pPr>
          </w:p>
        </w:tc>
      </w:tr>
      <w:tr w:rsidR="00F925DD" w14:paraId="5556A037" w14:textId="77777777">
        <w:trPr>
          <w:tblCellSpacing w:w="0" w:type="dxa"/>
        </w:trPr>
        <w:tc>
          <w:tcPr>
            <w:tcW w:w="0" w:type="auto"/>
            <w:shd w:val="clear" w:color="auto" w:fill="auto"/>
          </w:tcPr>
          <w:p w14:paraId="5556A03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A03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Business Management - strategic </w:t>
            </w:r>
            <w:r>
              <w:rPr>
                <w:rFonts w:ascii="Arial" w:eastAsia="宋体" w:hAnsi="Arial" w:cs="Arial"/>
                <w:sz w:val="20"/>
                <w:szCs w:val="20"/>
              </w:rPr>
              <w:t>planning, budgeting, forecasting and performance management.</w:t>
            </w:r>
          </w:p>
        </w:tc>
      </w:tr>
    </w:tbl>
    <w:p w14:paraId="5556A03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have a hierarchical structure supporting appropriate committee review of relevant risk and capital information. The ongoing responsibility for capital management rests with our </w:t>
      </w:r>
      <w:r>
        <w:rPr>
          <w:rFonts w:ascii="Arial" w:eastAsia="宋体" w:hAnsi="Arial" w:cs="Arial"/>
          <w:sz w:val="20"/>
          <w:szCs w:val="20"/>
        </w:rPr>
        <w:t>Treasurer. The Capital Management group within Global Treasury is responsible for the Capital Policy and Guidelines, development of the Capital Plan, the oversight of global capital management and optimization.</w:t>
      </w:r>
    </w:p>
    <w:p w14:paraId="5556A03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MRAC provides oversight of our capital ma</w:t>
      </w:r>
      <w:r>
        <w:rPr>
          <w:rFonts w:ascii="Arial" w:eastAsia="宋体" w:hAnsi="Arial" w:cs="Arial"/>
          <w:sz w:val="20"/>
          <w:szCs w:val="20"/>
        </w:rPr>
        <w:t>nagement, our capital adequacy, our internal targets and the expectations of the major independent credit rating agencies. In addition, MRAC approves our balance sheet strategy and related activities. The Board’s RC assists the Board in fulfilling its over</w:t>
      </w:r>
      <w:r>
        <w:rPr>
          <w:rFonts w:ascii="Arial" w:eastAsia="宋体" w:hAnsi="Arial" w:cs="Arial"/>
          <w:sz w:val="20"/>
          <w:szCs w:val="20"/>
        </w:rPr>
        <w:t>sight responsibilities related to the assessment and management of risk and capital. Our Capital Policy is reviewed and approved annually by the Board's RC.</w:t>
      </w:r>
    </w:p>
    <w:p w14:paraId="5556A03A" w14:textId="77777777" w:rsidR="00F925DD" w:rsidRDefault="00F925DD">
      <w:pPr>
        <w:rPr>
          <w:rFonts w:ascii="Times New Roman" w:hAnsi="Times New Roman"/>
          <w:sz w:val="20"/>
          <w:szCs w:val="20"/>
        </w:rPr>
      </w:pPr>
    </w:p>
    <w:p w14:paraId="5556A03B"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107</w:t>
      </w:r>
    </w:p>
    <w:p w14:paraId="5556A03C" w14:textId="77777777" w:rsidR="00F925DD" w:rsidRDefault="00F925DD">
      <w:pPr>
        <w:spacing w:line="288" w:lineRule="auto"/>
        <w:ind w:firstLine="600"/>
        <w:jc w:val="center"/>
        <w:rPr>
          <w:rFonts w:ascii="Times New Roman" w:hAnsi="Times New Roman"/>
          <w:sz w:val="18"/>
          <w:szCs w:val="18"/>
        </w:rPr>
      </w:pPr>
    </w:p>
    <w:p w14:paraId="5556A03D" w14:textId="77777777" w:rsidR="00F925DD" w:rsidRDefault="00E705D7">
      <w:r>
        <w:rPr>
          <w:rFonts w:ascii="Times New Roman" w:hAnsi="Times New Roman"/>
          <w:sz w:val="18"/>
          <w:szCs w:val="18"/>
        </w:rPr>
        <w:pict w14:anchorId="555706A5">
          <v:rect id="_x0000_i1131" style="width:415.3pt;height:1.5pt" o:hralign="center" o:hrstd="t" o:hr="t" fillcolor="#a0a0a0" stroked="f"/>
        </w:pict>
      </w:r>
    </w:p>
    <w:p w14:paraId="5556A03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A03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AND </w:t>
      </w:r>
      <w:r>
        <w:rPr>
          <w:rFonts w:ascii="Arial" w:eastAsia="宋体" w:hAnsi="Arial" w:cs="Arial"/>
          <w:b/>
          <w:bCs/>
          <w:sz w:val="20"/>
          <w:szCs w:val="20"/>
        </w:rPr>
        <w:t>RESULTS OF OPERATIONS</w:t>
      </w:r>
    </w:p>
    <w:p w14:paraId="5556A040" w14:textId="77777777" w:rsidR="00F925DD" w:rsidRDefault="00F925DD">
      <w:pPr>
        <w:rPr>
          <w:rFonts w:ascii="Times New Roman" w:hAnsi="Times New Roman"/>
          <w:sz w:val="20"/>
          <w:szCs w:val="20"/>
        </w:rPr>
      </w:pPr>
    </w:p>
    <w:p w14:paraId="5556A041"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Global Systemically Important Bank</w:t>
      </w:r>
    </w:p>
    <w:p w14:paraId="5556A04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are one among a group of 30 institutions worldwide that have been identified by the Financial Stability Board and the Basel Committee on Banking Supervision as G-SIBs. Our designation as a G-SIB </w:t>
      </w:r>
      <w:r>
        <w:rPr>
          <w:rFonts w:ascii="Arial" w:eastAsia="宋体" w:hAnsi="Arial" w:cs="Arial"/>
          <w:sz w:val="20"/>
          <w:szCs w:val="20"/>
        </w:rPr>
        <w:t>is based on a number of factors, as evaluated by banking regulators, and requires us to maintain an additional capital surcharge above the minimum capital ratios set forth in the Basel III rule.</w:t>
      </w:r>
    </w:p>
    <w:p w14:paraId="5556A04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and our depositary institution subsidiaries are subject to</w:t>
      </w:r>
      <w:r>
        <w:rPr>
          <w:rFonts w:ascii="Arial" w:eastAsia="宋体" w:hAnsi="Arial" w:cs="Arial"/>
          <w:sz w:val="20"/>
          <w:szCs w:val="20"/>
        </w:rPr>
        <w:t xml:space="preserve"> the current Basel III minimum risk-based capital and leverage ratio guidelines. </w:t>
      </w:r>
    </w:p>
    <w:p w14:paraId="5556A04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G-SIBs is provided under "Regulatory Capital Adequacy and Liquidity Standards" in "Supervision and Regulation" in Business in this Form 10-K.</w:t>
      </w:r>
    </w:p>
    <w:p w14:paraId="5556A045"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Reg</w:t>
      </w:r>
      <w:r>
        <w:rPr>
          <w:rFonts w:ascii="Arial" w:eastAsia="宋体" w:hAnsi="Arial" w:cs="Arial"/>
          <w:b/>
          <w:bCs/>
          <w:i/>
          <w:iCs/>
          <w:color w:val="000000"/>
          <w:sz w:val="20"/>
          <w:szCs w:val="20"/>
        </w:rPr>
        <w:t>ulatory Capital</w:t>
      </w:r>
    </w:p>
    <w:p w14:paraId="5556A04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and State Street Bank, as advanced approaches banking organizations, are subject to the U.S. Basel III framework. Provisions of the Basel III rule became effective with full implementation on January 1, 2019. We are also subject to the f</w:t>
      </w:r>
      <w:r>
        <w:rPr>
          <w:rFonts w:ascii="Arial" w:eastAsia="宋体" w:hAnsi="Arial" w:cs="Arial"/>
          <w:sz w:val="20"/>
          <w:szCs w:val="20"/>
        </w:rPr>
        <w:t>inal market risk capital rule issued by U.S. banking regulators effective as of January 2013.</w:t>
      </w:r>
    </w:p>
    <w:p w14:paraId="5556A04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Basel III rule provides for two frameworks for monitoring capital adequacy: the “standardized” approach and the “advanced” approaches, applicable to advanced </w:t>
      </w:r>
      <w:r>
        <w:rPr>
          <w:rFonts w:ascii="Arial" w:eastAsia="宋体" w:hAnsi="Arial" w:cs="Arial"/>
          <w:sz w:val="20"/>
          <w:szCs w:val="20"/>
        </w:rPr>
        <w:t>approaches banking organizations, like us. The standardized approach prescribes standardized calculations for credit RWA, including specified risk weights for certain on- and off-balance sheet exposures.</w:t>
      </w:r>
    </w:p>
    <w:p w14:paraId="5556A04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advanced approaches consist of the Advanced Inte</w:t>
      </w:r>
      <w:r>
        <w:rPr>
          <w:rFonts w:ascii="Arial" w:eastAsia="宋体" w:hAnsi="Arial" w:cs="Arial"/>
          <w:sz w:val="20"/>
          <w:szCs w:val="20"/>
        </w:rPr>
        <w:t>rnal Ratings-Based Approach used for the calculation of RWA related to credit risk, and the Advanced Measurement Approach used for the calculation of RWA related to operational risk.</w:t>
      </w:r>
    </w:p>
    <w:p w14:paraId="5556A04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market risk capital rule requires us to use internal models to </w:t>
      </w:r>
      <w:r>
        <w:rPr>
          <w:rFonts w:ascii="Arial" w:eastAsia="宋体" w:hAnsi="Arial" w:cs="Arial"/>
          <w:sz w:val="20"/>
          <w:szCs w:val="20"/>
        </w:rPr>
        <w:t xml:space="preserve">calculate daily measures of VaR, which reflect general market risk for certain of our trading positions defined by the rule as “covered positions,” as well as stressed-VaR measures to supplement the VaR measures. The rule also requires a public disclosure </w:t>
      </w:r>
      <w:r>
        <w:rPr>
          <w:rFonts w:ascii="Arial" w:eastAsia="宋体" w:hAnsi="Arial" w:cs="Arial"/>
          <w:sz w:val="20"/>
          <w:szCs w:val="20"/>
        </w:rPr>
        <w:t>composed of qualitative and quantitative information about the market risk associated with our trading activities and our related VaR and stressed-VaR measures. The qualitative and quantitative information required by the rule is provided under "Market Ris</w:t>
      </w:r>
      <w:r>
        <w:rPr>
          <w:rFonts w:ascii="Arial" w:eastAsia="宋体" w:hAnsi="Arial" w:cs="Arial"/>
          <w:sz w:val="20"/>
          <w:szCs w:val="20"/>
        </w:rPr>
        <w:t>k" included in this Management's Discussion and Analysis.</w:t>
      </w:r>
    </w:p>
    <w:p w14:paraId="5556A04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As required by the Dodd-Frank Act, we and State Street Bank, as advanced approaches banking </w:t>
      </w:r>
    </w:p>
    <w:p w14:paraId="5556A04B"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A04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organizations, are subject to a permanent "capital floor," also referred to as the Collins Amendment, i</w:t>
      </w:r>
      <w:r>
        <w:rPr>
          <w:rFonts w:ascii="Arial" w:eastAsia="宋体" w:hAnsi="Arial" w:cs="Arial"/>
          <w:sz w:val="20"/>
          <w:szCs w:val="20"/>
        </w:rPr>
        <w:t>n the assessment of our regulatory capital adequacy, including the capital conservation buffer and countercyclical capital buffer. Our risk-based capital ratios for regulatory assessment purposes are the lower of each ratio calculated under the standardize</w:t>
      </w:r>
      <w:r>
        <w:rPr>
          <w:rFonts w:ascii="Arial" w:eastAsia="宋体" w:hAnsi="Arial" w:cs="Arial"/>
          <w:sz w:val="20"/>
          <w:szCs w:val="20"/>
        </w:rPr>
        <w:t>d approach and the advanced approaches.</w:t>
      </w:r>
    </w:p>
    <w:p w14:paraId="5556A04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requirement for the capital conservation buffer became effective with full implementation on January 1, 2019. Specifically, the rule limits a banking organization’s ability to make capital distributions and discr</w:t>
      </w:r>
      <w:r>
        <w:rPr>
          <w:rFonts w:ascii="Arial" w:eastAsia="宋体" w:hAnsi="Arial" w:cs="Arial"/>
          <w:sz w:val="20"/>
          <w:szCs w:val="20"/>
        </w:rPr>
        <w:t>etionary bonus payments to executive officers if it fails to maintain a CET1 capital conservation buffer of more than 2.5% of total RWA and, if deployed during periods of excessive credit growth, a CET1 countercyclical capital buffer of up to 2.5% of total</w:t>
      </w:r>
      <w:r>
        <w:rPr>
          <w:rFonts w:ascii="Arial" w:eastAsia="宋体" w:hAnsi="Arial" w:cs="Arial"/>
          <w:sz w:val="20"/>
          <w:szCs w:val="20"/>
        </w:rPr>
        <w:t xml:space="preserve"> RWA, above each of the minimum CET1, tier 1, and total risk-based capital ratios. The countercyclical capital buffer is currently set at zero by U.S. banking regulators. To maintain the status of the Parent Company as a financial holding company, we and o</w:t>
      </w:r>
      <w:r>
        <w:rPr>
          <w:rFonts w:ascii="Arial" w:eastAsia="宋体" w:hAnsi="Arial" w:cs="Arial"/>
          <w:sz w:val="20"/>
          <w:szCs w:val="20"/>
        </w:rPr>
        <w:t>ur insured depository institution subsidiaries are required, among other requirements, to be "well capitalized" as defined by the Prompt Corrective Action Framework.</w:t>
      </w:r>
    </w:p>
    <w:p w14:paraId="5556A04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specific calculation of our and State Street Bank's risk-based capital ratios changed </w:t>
      </w:r>
      <w:r>
        <w:rPr>
          <w:rFonts w:ascii="Arial" w:eastAsia="宋体" w:hAnsi="Arial" w:cs="Arial"/>
          <w:sz w:val="20"/>
          <w:szCs w:val="20"/>
        </w:rPr>
        <w:t>as the provisions of the Basel III rule related to the numerator (capital) and denominator (RWA) were phased in, and as our RWA calculated using the advanced approaches changed due to changes in methodology. These methodological changes resulted in differe</w:t>
      </w:r>
      <w:r>
        <w:rPr>
          <w:rFonts w:ascii="Arial" w:eastAsia="宋体" w:hAnsi="Arial" w:cs="Arial"/>
          <w:sz w:val="20"/>
          <w:szCs w:val="20"/>
        </w:rPr>
        <w:t>nces in our reported capital ratios from one reporting period to the next that are independent of applicable changes to our capital base, our asset composition, our off-balance sheet exposures or our risk profile.</w:t>
      </w:r>
    </w:p>
    <w:p w14:paraId="5556A04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regulator</w:t>
      </w:r>
      <w:r>
        <w:rPr>
          <w:rFonts w:ascii="Arial" w:eastAsia="宋体" w:hAnsi="Arial" w:cs="Arial"/>
          <w:sz w:val="20"/>
          <w:szCs w:val="20"/>
        </w:rPr>
        <w:t>y capital structure and related regulatory capital ratios for us and State Street Bank as of the dates indicated. We are subject to the more stringent of the risk-based capital ratios calculated under the standardized approach and those calculated under th</w:t>
      </w:r>
      <w:r>
        <w:rPr>
          <w:rFonts w:ascii="Arial" w:eastAsia="宋体" w:hAnsi="Arial" w:cs="Arial"/>
          <w:sz w:val="20"/>
          <w:szCs w:val="20"/>
        </w:rPr>
        <w:t>e advanced approaches in the assessment of our capital adequacy under applicable bank regulatory standards.</w:t>
      </w:r>
    </w:p>
    <w:p w14:paraId="5556A05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a result of changes in the methodologies used to calculate our regulatory capital ratios from period to period, as the provisions of the Basel II</w:t>
      </w:r>
      <w:r>
        <w:rPr>
          <w:rFonts w:ascii="Arial" w:eastAsia="宋体" w:hAnsi="Arial" w:cs="Arial"/>
          <w:sz w:val="20"/>
          <w:szCs w:val="20"/>
        </w:rPr>
        <w:t>I rule were phased in, the ratios presented in the table for each period are not directly comparable. Refer to the footnotes following the table</w:t>
      </w:r>
      <w:r>
        <w:rPr>
          <w:rFonts w:ascii="Arial" w:eastAsia="宋体" w:hAnsi="Arial" w:cs="Arial"/>
          <w:b/>
          <w:bCs/>
          <w:sz w:val="20"/>
          <w:szCs w:val="20"/>
        </w:rPr>
        <w:t>.</w:t>
      </w:r>
    </w:p>
    <w:p w14:paraId="5556A051" w14:textId="77777777" w:rsidR="00F925DD" w:rsidRDefault="00F925DD">
      <w:pPr>
        <w:rPr>
          <w:rFonts w:ascii="Times New Roman" w:hAnsi="Times New Roman"/>
          <w:sz w:val="20"/>
          <w:szCs w:val="20"/>
        </w:rPr>
      </w:pPr>
    </w:p>
    <w:p w14:paraId="5556A05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108</w:t>
      </w:r>
    </w:p>
    <w:p w14:paraId="5556A053" w14:textId="77777777" w:rsidR="00F925DD" w:rsidRDefault="00F925DD">
      <w:pPr>
        <w:spacing w:line="288" w:lineRule="auto"/>
        <w:ind w:firstLine="600"/>
        <w:jc w:val="center"/>
        <w:rPr>
          <w:rFonts w:ascii="Times New Roman" w:hAnsi="Times New Roman"/>
          <w:sz w:val="18"/>
          <w:szCs w:val="18"/>
        </w:rPr>
      </w:pPr>
    </w:p>
    <w:p w14:paraId="5556A054" w14:textId="77777777" w:rsidR="00F925DD" w:rsidRDefault="00E705D7">
      <w:r>
        <w:rPr>
          <w:rFonts w:ascii="Times New Roman" w:hAnsi="Times New Roman"/>
          <w:sz w:val="18"/>
          <w:szCs w:val="18"/>
        </w:rPr>
        <w:pict w14:anchorId="555706A6">
          <v:rect id="_x0000_i1132" style="width:415.3pt;height:1.5pt" o:hralign="center" o:hrstd="t" o:hr="t" fillcolor="#a0a0a0" stroked="f"/>
        </w:pict>
      </w:r>
    </w:p>
    <w:p w14:paraId="5556A055"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A05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AND </w:t>
      </w:r>
      <w:r>
        <w:rPr>
          <w:rFonts w:ascii="Arial" w:eastAsia="宋体" w:hAnsi="Arial" w:cs="Arial"/>
          <w:b/>
          <w:bCs/>
          <w:sz w:val="20"/>
          <w:szCs w:val="20"/>
        </w:rPr>
        <w:t>RESULTS OF OPERATIONS</w:t>
      </w:r>
    </w:p>
    <w:p w14:paraId="5556A057"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42"/>
        <w:gridCol w:w="575"/>
        <w:gridCol w:w="127"/>
        <w:gridCol w:w="575"/>
        <w:gridCol w:w="127"/>
        <w:gridCol w:w="103"/>
        <w:gridCol w:w="451"/>
        <w:gridCol w:w="127"/>
        <w:gridCol w:w="120"/>
        <w:gridCol w:w="103"/>
        <w:gridCol w:w="486"/>
        <w:gridCol w:w="127"/>
        <w:gridCol w:w="120"/>
        <w:gridCol w:w="103"/>
        <w:gridCol w:w="435"/>
        <w:gridCol w:w="127"/>
        <w:gridCol w:w="120"/>
        <w:gridCol w:w="103"/>
        <w:gridCol w:w="468"/>
        <w:gridCol w:w="127"/>
        <w:gridCol w:w="120"/>
        <w:gridCol w:w="103"/>
        <w:gridCol w:w="451"/>
        <w:gridCol w:w="127"/>
        <w:gridCol w:w="120"/>
        <w:gridCol w:w="103"/>
        <w:gridCol w:w="486"/>
        <w:gridCol w:w="127"/>
        <w:gridCol w:w="120"/>
        <w:gridCol w:w="103"/>
        <w:gridCol w:w="435"/>
        <w:gridCol w:w="127"/>
        <w:gridCol w:w="120"/>
        <w:gridCol w:w="103"/>
        <w:gridCol w:w="468"/>
        <w:gridCol w:w="127"/>
      </w:tblGrid>
      <w:tr w:rsidR="00F925DD" w14:paraId="5556A059" w14:textId="77777777">
        <w:tc>
          <w:tcPr>
            <w:tcW w:w="0" w:type="auto"/>
            <w:gridSpan w:val="36"/>
            <w:shd w:val="clear" w:color="auto" w:fill="auto"/>
            <w:vAlign w:val="center"/>
          </w:tcPr>
          <w:p w14:paraId="5556A058" w14:textId="77777777" w:rsidR="00F925DD" w:rsidRDefault="00F925DD">
            <w:pPr>
              <w:rPr>
                <w:rFonts w:ascii="Times New Roman" w:hAnsi="Times New Roman"/>
                <w:sz w:val="20"/>
                <w:szCs w:val="20"/>
              </w:rPr>
            </w:pPr>
          </w:p>
        </w:tc>
      </w:tr>
      <w:tr w:rsidR="00F925DD" w14:paraId="5556A07E" w14:textId="77777777">
        <w:tc>
          <w:tcPr>
            <w:tcW w:w="250" w:type="pct"/>
            <w:shd w:val="clear" w:color="auto" w:fill="auto"/>
            <w:vAlign w:val="center"/>
          </w:tcPr>
          <w:p w14:paraId="5556A05A" w14:textId="77777777" w:rsidR="00F925DD" w:rsidRDefault="00F925DD">
            <w:pPr>
              <w:rPr>
                <w:rFonts w:ascii="Times New Roman" w:hAnsi="Times New Roman"/>
                <w:sz w:val="20"/>
                <w:szCs w:val="20"/>
              </w:rPr>
            </w:pPr>
          </w:p>
        </w:tc>
        <w:tc>
          <w:tcPr>
            <w:tcW w:w="450" w:type="pct"/>
            <w:shd w:val="clear" w:color="auto" w:fill="auto"/>
            <w:vAlign w:val="center"/>
          </w:tcPr>
          <w:p w14:paraId="5556A05B" w14:textId="77777777" w:rsidR="00F925DD" w:rsidRDefault="00F925DD">
            <w:pPr>
              <w:rPr>
                <w:rFonts w:ascii="Times New Roman" w:hAnsi="Times New Roman"/>
                <w:sz w:val="20"/>
                <w:szCs w:val="20"/>
              </w:rPr>
            </w:pPr>
          </w:p>
        </w:tc>
        <w:tc>
          <w:tcPr>
            <w:tcW w:w="50" w:type="pct"/>
            <w:shd w:val="clear" w:color="auto" w:fill="auto"/>
            <w:vAlign w:val="center"/>
          </w:tcPr>
          <w:p w14:paraId="5556A05C" w14:textId="77777777" w:rsidR="00F925DD" w:rsidRDefault="00F925DD">
            <w:pPr>
              <w:rPr>
                <w:rFonts w:ascii="Times New Roman" w:hAnsi="Times New Roman"/>
                <w:sz w:val="20"/>
                <w:szCs w:val="20"/>
              </w:rPr>
            </w:pPr>
          </w:p>
        </w:tc>
        <w:tc>
          <w:tcPr>
            <w:tcW w:w="450" w:type="pct"/>
            <w:shd w:val="clear" w:color="auto" w:fill="auto"/>
            <w:vAlign w:val="center"/>
          </w:tcPr>
          <w:p w14:paraId="5556A05D" w14:textId="77777777" w:rsidR="00F925DD" w:rsidRDefault="00F925DD">
            <w:pPr>
              <w:rPr>
                <w:rFonts w:ascii="Times New Roman" w:hAnsi="Times New Roman"/>
                <w:sz w:val="20"/>
                <w:szCs w:val="20"/>
              </w:rPr>
            </w:pPr>
          </w:p>
        </w:tc>
        <w:tc>
          <w:tcPr>
            <w:tcW w:w="50" w:type="pct"/>
            <w:shd w:val="clear" w:color="auto" w:fill="auto"/>
            <w:vAlign w:val="center"/>
          </w:tcPr>
          <w:p w14:paraId="5556A05E" w14:textId="77777777" w:rsidR="00F925DD" w:rsidRDefault="00F925DD">
            <w:pPr>
              <w:rPr>
                <w:rFonts w:ascii="Times New Roman" w:hAnsi="Times New Roman"/>
                <w:sz w:val="20"/>
                <w:szCs w:val="20"/>
              </w:rPr>
            </w:pPr>
          </w:p>
        </w:tc>
        <w:tc>
          <w:tcPr>
            <w:tcW w:w="50" w:type="pct"/>
            <w:shd w:val="clear" w:color="auto" w:fill="auto"/>
            <w:vAlign w:val="center"/>
          </w:tcPr>
          <w:p w14:paraId="5556A05F" w14:textId="77777777" w:rsidR="00F925DD" w:rsidRDefault="00F925DD">
            <w:pPr>
              <w:rPr>
                <w:rFonts w:ascii="Times New Roman" w:hAnsi="Times New Roman"/>
                <w:sz w:val="20"/>
                <w:szCs w:val="20"/>
              </w:rPr>
            </w:pPr>
          </w:p>
        </w:tc>
        <w:tc>
          <w:tcPr>
            <w:tcW w:w="350" w:type="pct"/>
            <w:shd w:val="clear" w:color="auto" w:fill="auto"/>
            <w:vAlign w:val="center"/>
          </w:tcPr>
          <w:p w14:paraId="5556A060" w14:textId="77777777" w:rsidR="00F925DD" w:rsidRDefault="00F925DD">
            <w:pPr>
              <w:rPr>
                <w:rFonts w:ascii="Times New Roman" w:hAnsi="Times New Roman"/>
                <w:sz w:val="20"/>
                <w:szCs w:val="20"/>
              </w:rPr>
            </w:pPr>
          </w:p>
        </w:tc>
        <w:tc>
          <w:tcPr>
            <w:tcW w:w="50" w:type="pct"/>
            <w:shd w:val="clear" w:color="auto" w:fill="auto"/>
            <w:vAlign w:val="center"/>
          </w:tcPr>
          <w:p w14:paraId="5556A061" w14:textId="77777777" w:rsidR="00F925DD" w:rsidRDefault="00F925DD">
            <w:pPr>
              <w:rPr>
                <w:rFonts w:ascii="Times New Roman" w:hAnsi="Times New Roman"/>
                <w:sz w:val="20"/>
                <w:szCs w:val="20"/>
              </w:rPr>
            </w:pPr>
          </w:p>
        </w:tc>
        <w:tc>
          <w:tcPr>
            <w:tcW w:w="50" w:type="pct"/>
            <w:shd w:val="clear" w:color="auto" w:fill="auto"/>
            <w:vAlign w:val="center"/>
          </w:tcPr>
          <w:p w14:paraId="5556A062" w14:textId="77777777" w:rsidR="00F925DD" w:rsidRDefault="00F925DD">
            <w:pPr>
              <w:rPr>
                <w:rFonts w:ascii="Times New Roman" w:hAnsi="Times New Roman"/>
                <w:sz w:val="20"/>
                <w:szCs w:val="20"/>
              </w:rPr>
            </w:pPr>
          </w:p>
        </w:tc>
        <w:tc>
          <w:tcPr>
            <w:tcW w:w="50" w:type="pct"/>
            <w:shd w:val="clear" w:color="auto" w:fill="auto"/>
            <w:vAlign w:val="center"/>
          </w:tcPr>
          <w:p w14:paraId="5556A063" w14:textId="77777777" w:rsidR="00F925DD" w:rsidRDefault="00F925DD">
            <w:pPr>
              <w:rPr>
                <w:rFonts w:ascii="Times New Roman" w:hAnsi="Times New Roman"/>
                <w:sz w:val="20"/>
                <w:szCs w:val="20"/>
              </w:rPr>
            </w:pPr>
          </w:p>
        </w:tc>
        <w:tc>
          <w:tcPr>
            <w:tcW w:w="350" w:type="pct"/>
            <w:shd w:val="clear" w:color="auto" w:fill="auto"/>
            <w:vAlign w:val="center"/>
          </w:tcPr>
          <w:p w14:paraId="5556A064" w14:textId="77777777" w:rsidR="00F925DD" w:rsidRDefault="00F925DD">
            <w:pPr>
              <w:rPr>
                <w:rFonts w:ascii="Times New Roman" w:hAnsi="Times New Roman"/>
                <w:sz w:val="20"/>
                <w:szCs w:val="20"/>
              </w:rPr>
            </w:pPr>
          </w:p>
        </w:tc>
        <w:tc>
          <w:tcPr>
            <w:tcW w:w="50" w:type="pct"/>
            <w:shd w:val="clear" w:color="auto" w:fill="auto"/>
            <w:vAlign w:val="center"/>
          </w:tcPr>
          <w:p w14:paraId="5556A065" w14:textId="77777777" w:rsidR="00F925DD" w:rsidRDefault="00F925DD">
            <w:pPr>
              <w:rPr>
                <w:rFonts w:ascii="Times New Roman" w:hAnsi="Times New Roman"/>
                <w:sz w:val="20"/>
                <w:szCs w:val="20"/>
              </w:rPr>
            </w:pPr>
          </w:p>
        </w:tc>
        <w:tc>
          <w:tcPr>
            <w:tcW w:w="50" w:type="pct"/>
            <w:shd w:val="clear" w:color="auto" w:fill="auto"/>
            <w:vAlign w:val="center"/>
          </w:tcPr>
          <w:p w14:paraId="5556A066" w14:textId="77777777" w:rsidR="00F925DD" w:rsidRDefault="00F925DD">
            <w:pPr>
              <w:rPr>
                <w:rFonts w:ascii="Times New Roman" w:hAnsi="Times New Roman"/>
                <w:sz w:val="20"/>
                <w:szCs w:val="20"/>
              </w:rPr>
            </w:pPr>
          </w:p>
        </w:tc>
        <w:tc>
          <w:tcPr>
            <w:tcW w:w="50" w:type="pct"/>
            <w:shd w:val="clear" w:color="auto" w:fill="auto"/>
            <w:vAlign w:val="center"/>
          </w:tcPr>
          <w:p w14:paraId="5556A067" w14:textId="77777777" w:rsidR="00F925DD" w:rsidRDefault="00F925DD">
            <w:pPr>
              <w:rPr>
                <w:rFonts w:ascii="Times New Roman" w:hAnsi="Times New Roman"/>
                <w:sz w:val="20"/>
                <w:szCs w:val="20"/>
              </w:rPr>
            </w:pPr>
          </w:p>
        </w:tc>
        <w:tc>
          <w:tcPr>
            <w:tcW w:w="300" w:type="pct"/>
            <w:shd w:val="clear" w:color="auto" w:fill="auto"/>
            <w:vAlign w:val="center"/>
          </w:tcPr>
          <w:p w14:paraId="5556A068" w14:textId="77777777" w:rsidR="00F925DD" w:rsidRDefault="00F925DD">
            <w:pPr>
              <w:rPr>
                <w:rFonts w:ascii="Times New Roman" w:hAnsi="Times New Roman"/>
                <w:sz w:val="20"/>
                <w:szCs w:val="20"/>
              </w:rPr>
            </w:pPr>
          </w:p>
        </w:tc>
        <w:tc>
          <w:tcPr>
            <w:tcW w:w="50" w:type="pct"/>
            <w:shd w:val="clear" w:color="auto" w:fill="auto"/>
            <w:vAlign w:val="center"/>
          </w:tcPr>
          <w:p w14:paraId="5556A069" w14:textId="77777777" w:rsidR="00F925DD" w:rsidRDefault="00F925DD">
            <w:pPr>
              <w:rPr>
                <w:rFonts w:ascii="Times New Roman" w:hAnsi="Times New Roman"/>
                <w:sz w:val="20"/>
                <w:szCs w:val="20"/>
              </w:rPr>
            </w:pPr>
          </w:p>
        </w:tc>
        <w:tc>
          <w:tcPr>
            <w:tcW w:w="50" w:type="pct"/>
            <w:shd w:val="clear" w:color="auto" w:fill="auto"/>
            <w:vAlign w:val="center"/>
          </w:tcPr>
          <w:p w14:paraId="5556A06A" w14:textId="77777777" w:rsidR="00F925DD" w:rsidRDefault="00F925DD">
            <w:pPr>
              <w:rPr>
                <w:rFonts w:ascii="Times New Roman" w:hAnsi="Times New Roman"/>
                <w:sz w:val="20"/>
                <w:szCs w:val="20"/>
              </w:rPr>
            </w:pPr>
          </w:p>
        </w:tc>
        <w:tc>
          <w:tcPr>
            <w:tcW w:w="50" w:type="pct"/>
            <w:shd w:val="clear" w:color="auto" w:fill="auto"/>
            <w:vAlign w:val="center"/>
          </w:tcPr>
          <w:p w14:paraId="5556A06B" w14:textId="77777777" w:rsidR="00F925DD" w:rsidRDefault="00F925DD">
            <w:pPr>
              <w:rPr>
                <w:rFonts w:ascii="Times New Roman" w:hAnsi="Times New Roman"/>
                <w:sz w:val="20"/>
                <w:szCs w:val="20"/>
              </w:rPr>
            </w:pPr>
          </w:p>
        </w:tc>
        <w:tc>
          <w:tcPr>
            <w:tcW w:w="300" w:type="pct"/>
            <w:shd w:val="clear" w:color="auto" w:fill="auto"/>
            <w:vAlign w:val="center"/>
          </w:tcPr>
          <w:p w14:paraId="5556A06C" w14:textId="77777777" w:rsidR="00F925DD" w:rsidRDefault="00F925DD">
            <w:pPr>
              <w:rPr>
                <w:rFonts w:ascii="Times New Roman" w:hAnsi="Times New Roman"/>
                <w:sz w:val="20"/>
                <w:szCs w:val="20"/>
              </w:rPr>
            </w:pPr>
          </w:p>
        </w:tc>
        <w:tc>
          <w:tcPr>
            <w:tcW w:w="50" w:type="pct"/>
            <w:shd w:val="clear" w:color="auto" w:fill="auto"/>
            <w:vAlign w:val="center"/>
          </w:tcPr>
          <w:p w14:paraId="5556A06D" w14:textId="77777777" w:rsidR="00F925DD" w:rsidRDefault="00F925DD">
            <w:pPr>
              <w:rPr>
                <w:rFonts w:ascii="Times New Roman" w:hAnsi="Times New Roman"/>
                <w:sz w:val="20"/>
                <w:szCs w:val="20"/>
              </w:rPr>
            </w:pPr>
          </w:p>
        </w:tc>
        <w:tc>
          <w:tcPr>
            <w:tcW w:w="50" w:type="pct"/>
            <w:shd w:val="clear" w:color="auto" w:fill="auto"/>
            <w:vAlign w:val="center"/>
          </w:tcPr>
          <w:p w14:paraId="5556A06E" w14:textId="77777777" w:rsidR="00F925DD" w:rsidRDefault="00F925DD">
            <w:pPr>
              <w:rPr>
                <w:rFonts w:ascii="Times New Roman" w:hAnsi="Times New Roman"/>
                <w:sz w:val="20"/>
                <w:szCs w:val="20"/>
              </w:rPr>
            </w:pPr>
          </w:p>
        </w:tc>
        <w:tc>
          <w:tcPr>
            <w:tcW w:w="50" w:type="pct"/>
            <w:shd w:val="clear" w:color="auto" w:fill="auto"/>
            <w:vAlign w:val="center"/>
          </w:tcPr>
          <w:p w14:paraId="5556A06F" w14:textId="77777777" w:rsidR="00F925DD" w:rsidRDefault="00F925DD">
            <w:pPr>
              <w:rPr>
                <w:rFonts w:ascii="Times New Roman" w:hAnsi="Times New Roman"/>
                <w:sz w:val="20"/>
                <w:szCs w:val="20"/>
              </w:rPr>
            </w:pPr>
          </w:p>
        </w:tc>
        <w:tc>
          <w:tcPr>
            <w:tcW w:w="350" w:type="pct"/>
            <w:shd w:val="clear" w:color="auto" w:fill="auto"/>
            <w:vAlign w:val="center"/>
          </w:tcPr>
          <w:p w14:paraId="5556A070" w14:textId="77777777" w:rsidR="00F925DD" w:rsidRDefault="00F925DD">
            <w:pPr>
              <w:rPr>
                <w:rFonts w:ascii="Times New Roman" w:hAnsi="Times New Roman"/>
                <w:sz w:val="20"/>
                <w:szCs w:val="20"/>
              </w:rPr>
            </w:pPr>
          </w:p>
        </w:tc>
        <w:tc>
          <w:tcPr>
            <w:tcW w:w="50" w:type="pct"/>
            <w:shd w:val="clear" w:color="auto" w:fill="auto"/>
            <w:vAlign w:val="center"/>
          </w:tcPr>
          <w:p w14:paraId="5556A071" w14:textId="77777777" w:rsidR="00F925DD" w:rsidRDefault="00F925DD">
            <w:pPr>
              <w:rPr>
                <w:rFonts w:ascii="Times New Roman" w:hAnsi="Times New Roman"/>
                <w:sz w:val="20"/>
                <w:szCs w:val="20"/>
              </w:rPr>
            </w:pPr>
          </w:p>
        </w:tc>
        <w:tc>
          <w:tcPr>
            <w:tcW w:w="50" w:type="pct"/>
            <w:shd w:val="clear" w:color="auto" w:fill="auto"/>
            <w:vAlign w:val="center"/>
          </w:tcPr>
          <w:p w14:paraId="5556A072" w14:textId="77777777" w:rsidR="00F925DD" w:rsidRDefault="00F925DD">
            <w:pPr>
              <w:rPr>
                <w:rFonts w:ascii="Times New Roman" w:hAnsi="Times New Roman"/>
                <w:sz w:val="20"/>
                <w:szCs w:val="20"/>
              </w:rPr>
            </w:pPr>
          </w:p>
        </w:tc>
        <w:tc>
          <w:tcPr>
            <w:tcW w:w="50" w:type="pct"/>
            <w:shd w:val="clear" w:color="auto" w:fill="auto"/>
            <w:vAlign w:val="center"/>
          </w:tcPr>
          <w:p w14:paraId="5556A073" w14:textId="77777777" w:rsidR="00F925DD" w:rsidRDefault="00F925DD">
            <w:pPr>
              <w:rPr>
                <w:rFonts w:ascii="Times New Roman" w:hAnsi="Times New Roman"/>
                <w:sz w:val="20"/>
                <w:szCs w:val="20"/>
              </w:rPr>
            </w:pPr>
          </w:p>
        </w:tc>
        <w:tc>
          <w:tcPr>
            <w:tcW w:w="350" w:type="pct"/>
            <w:shd w:val="clear" w:color="auto" w:fill="auto"/>
            <w:vAlign w:val="center"/>
          </w:tcPr>
          <w:p w14:paraId="5556A074" w14:textId="77777777" w:rsidR="00F925DD" w:rsidRDefault="00F925DD">
            <w:pPr>
              <w:rPr>
                <w:rFonts w:ascii="Times New Roman" w:hAnsi="Times New Roman"/>
                <w:sz w:val="20"/>
                <w:szCs w:val="20"/>
              </w:rPr>
            </w:pPr>
          </w:p>
        </w:tc>
        <w:tc>
          <w:tcPr>
            <w:tcW w:w="50" w:type="pct"/>
            <w:shd w:val="clear" w:color="auto" w:fill="auto"/>
            <w:vAlign w:val="center"/>
          </w:tcPr>
          <w:p w14:paraId="5556A075" w14:textId="77777777" w:rsidR="00F925DD" w:rsidRDefault="00F925DD">
            <w:pPr>
              <w:rPr>
                <w:rFonts w:ascii="Times New Roman" w:hAnsi="Times New Roman"/>
                <w:sz w:val="20"/>
                <w:szCs w:val="20"/>
              </w:rPr>
            </w:pPr>
          </w:p>
        </w:tc>
        <w:tc>
          <w:tcPr>
            <w:tcW w:w="50" w:type="pct"/>
            <w:shd w:val="clear" w:color="auto" w:fill="auto"/>
            <w:vAlign w:val="center"/>
          </w:tcPr>
          <w:p w14:paraId="5556A076" w14:textId="77777777" w:rsidR="00F925DD" w:rsidRDefault="00F925DD">
            <w:pPr>
              <w:rPr>
                <w:rFonts w:ascii="Times New Roman" w:hAnsi="Times New Roman"/>
                <w:sz w:val="20"/>
                <w:szCs w:val="20"/>
              </w:rPr>
            </w:pPr>
          </w:p>
        </w:tc>
        <w:tc>
          <w:tcPr>
            <w:tcW w:w="50" w:type="pct"/>
            <w:shd w:val="clear" w:color="auto" w:fill="auto"/>
            <w:vAlign w:val="center"/>
          </w:tcPr>
          <w:p w14:paraId="5556A077" w14:textId="77777777" w:rsidR="00F925DD" w:rsidRDefault="00F925DD">
            <w:pPr>
              <w:rPr>
                <w:rFonts w:ascii="Times New Roman" w:hAnsi="Times New Roman"/>
                <w:sz w:val="20"/>
                <w:szCs w:val="20"/>
              </w:rPr>
            </w:pPr>
          </w:p>
        </w:tc>
        <w:tc>
          <w:tcPr>
            <w:tcW w:w="300" w:type="pct"/>
            <w:shd w:val="clear" w:color="auto" w:fill="auto"/>
            <w:vAlign w:val="center"/>
          </w:tcPr>
          <w:p w14:paraId="5556A078" w14:textId="77777777" w:rsidR="00F925DD" w:rsidRDefault="00F925DD">
            <w:pPr>
              <w:rPr>
                <w:rFonts w:ascii="Times New Roman" w:hAnsi="Times New Roman"/>
                <w:sz w:val="20"/>
                <w:szCs w:val="20"/>
              </w:rPr>
            </w:pPr>
          </w:p>
        </w:tc>
        <w:tc>
          <w:tcPr>
            <w:tcW w:w="50" w:type="pct"/>
            <w:shd w:val="clear" w:color="auto" w:fill="auto"/>
            <w:vAlign w:val="center"/>
          </w:tcPr>
          <w:p w14:paraId="5556A079" w14:textId="77777777" w:rsidR="00F925DD" w:rsidRDefault="00F925DD">
            <w:pPr>
              <w:rPr>
                <w:rFonts w:ascii="Times New Roman" w:hAnsi="Times New Roman"/>
                <w:sz w:val="20"/>
                <w:szCs w:val="20"/>
              </w:rPr>
            </w:pPr>
          </w:p>
        </w:tc>
        <w:tc>
          <w:tcPr>
            <w:tcW w:w="50" w:type="pct"/>
            <w:shd w:val="clear" w:color="auto" w:fill="auto"/>
            <w:vAlign w:val="center"/>
          </w:tcPr>
          <w:p w14:paraId="5556A07A" w14:textId="77777777" w:rsidR="00F925DD" w:rsidRDefault="00F925DD">
            <w:pPr>
              <w:rPr>
                <w:rFonts w:ascii="Times New Roman" w:hAnsi="Times New Roman"/>
                <w:sz w:val="20"/>
                <w:szCs w:val="20"/>
              </w:rPr>
            </w:pPr>
          </w:p>
        </w:tc>
        <w:tc>
          <w:tcPr>
            <w:tcW w:w="50" w:type="pct"/>
            <w:shd w:val="clear" w:color="auto" w:fill="auto"/>
            <w:vAlign w:val="center"/>
          </w:tcPr>
          <w:p w14:paraId="5556A07B" w14:textId="77777777" w:rsidR="00F925DD" w:rsidRDefault="00F925DD">
            <w:pPr>
              <w:rPr>
                <w:rFonts w:ascii="Times New Roman" w:hAnsi="Times New Roman"/>
                <w:sz w:val="20"/>
                <w:szCs w:val="20"/>
              </w:rPr>
            </w:pPr>
          </w:p>
        </w:tc>
        <w:tc>
          <w:tcPr>
            <w:tcW w:w="300" w:type="pct"/>
            <w:shd w:val="clear" w:color="auto" w:fill="auto"/>
            <w:vAlign w:val="center"/>
          </w:tcPr>
          <w:p w14:paraId="5556A07C" w14:textId="77777777" w:rsidR="00F925DD" w:rsidRDefault="00F925DD">
            <w:pPr>
              <w:rPr>
                <w:rFonts w:ascii="Times New Roman" w:hAnsi="Times New Roman"/>
                <w:sz w:val="20"/>
                <w:szCs w:val="20"/>
              </w:rPr>
            </w:pPr>
          </w:p>
        </w:tc>
        <w:tc>
          <w:tcPr>
            <w:tcW w:w="50" w:type="pct"/>
            <w:shd w:val="clear" w:color="auto" w:fill="auto"/>
            <w:vAlign w:val="center"/>
          </w:tcPr>
          <w:p w14:paraId="5556A07D" w14:textId="77777777" w:rsidR="00F925DD" w:rsidRDefault="00F925DD">
            <w:pPr>
              <w:rPr>
                <w:rFonts w:ascii="Times New Roman" w:hAnsi="Times New Roman"/>
                <w:sz w:val="20"/>
                <w:szCs w:val="20"/>
              </w:rPr>
            </w:pPr>
          </w:p>
        </w:tc>
      </w:tr>
      <w:tr w:rsidR="00F925DD" w14:paraId="5556A080" w14:textId="77777777">
        <w:tc>
          <w:tcPr>
            <w:tcW w:w="0" w:type="auto"/>
            <w:gridSpan w:val="36"/>
            <w:shd w:val="clear" w:color="auto" w:fill="auto"/>
            <w:tcMar>
              <w:top w:w="40" w:type="dxa"/>
              <w:left w:w="40" w:type="dxa"/>
              <w:bottom w:w="40" w:type="dxa"/>
              <w:right w:w="40" w:type="dxa"/>
            </w:tcMar>
            <w:vAlign w:val="center"/>
          </w:tcPr>
          <w:p w14:paraId="5556A07F" w14:textId="77777777" w:rsidR="00F925DD" w:rsidRDefault="00E705D7">
            <w:pPr>
              <w:textAlignment w:val="center"/>
              <w:rPr>
                <w:rFonts w:ascii="Times New Roman" w:hAnsi="Times New Roman"/>
                <w:sz w:val="16"/>
                <w:szCs w:val="16"/>
              </w:rPr>
            </w:pPr>
            <w:r>
              <w:rPr>
                <w:rFonts w:ascii="Arial" w:eastAsia="宋体" w:hAnsi="Arial" w:cs="Arial"/>
                <w:b/>
                <w:bCs/>
                <w:sz w:val="16"/>
                <w:szCs w:val="16"/>
              </w:rPr>
              <w:t>TABLE 41: REGULATORY CAPITAL STRUCTURE AND RELATED REGULATORY CAPITAL RATIOS</w:t>
            </w:r>
          </w:p>
        </w:tc>
      </w:tr>
      <w:tr w:rsidR="00F925DD" w14:paraId="5556A085" w14:textId="77777777">
        <w:tc>
          <w:tcPr>
            <w:tcW w:w="0" w:type="auto"/>
            <w:gridSpan w:val="5"/>
            <w:shd w:val="clear" w:color="auto" w:fill="auto"/>
            <w:tcMar>
              <w:top w:w="40" w:type="dxa"/>
              <w:left w:w="40" w:type="dxa"/>
              <w:bottom w:w="40" w:type="dxa"/>
              <w:right w:w="40" w:type="dxa"/>
            </w:tcMar>
            <w:vAlign w:val="bottom"/>
          </w:tcPr>
          <w:p w14:paraId="5556A0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A08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State Street Corporation</w:t>
            </w:r>
          </w:p>
        </w:tc>
        <w:tc>
          <w:tcPr>
            <w:tcW w:w="0" w:type="auto"/>
            <w:shd w:val="clear" w:color="auto" w:fill="auto"/>
            <w:tcMar>
              <w:top w:w="40" w:type="dxa"/>
              <w:left w:w="40" w:type="dxa"/>
              <w:bottom w:w="40" w:type="dxa"/>
              <w:right w:w="40" w:type="dxa"/>
            </w:tcMar>
            <w:vAlign w:val="bottom"/>
          </w:tcPr>
          <w:p w14:paraId="5556A0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A08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St</w:t>
            </w:r>
            <w:r>
              <w:rPr>
                <w:rFonts w:ascii="Arial" w:eastAsia="宋体" w:hAnsi="Arial" w:cs="Arial"/>
                <w:b/>
                <w:bCs/>
                <w:sz w:val="14"/>
                <w:szCs w:val="14"/>
              </w:rPr>
              <w:t>ate Street Bank</w:t>
            </w:r>
          </w:p>
        </w:tc>
      </w:tr>
      <w:tr w:rsidR="00F925DD" w14:paraId="5556A096" w14:textId="77777777">
        <w:tc>
          <w:tcPr>
            <w:tcW w:w="0" w:type="auto"/>
            <w:gridSpan w:val="5"/>
            <w:shd w:val="clear" w:color="auto" w:fill="auto"/>
            <w:tcMar>
              <w:top w:w="40" w:type="dxa"/>
              <w:left w:w="40" w:type="dxa"/>
              <w:bottom w:w="40" w:type="dxa"/>
              <w:right w:w="40" w:type="dxa"/>
            </w:tcMar>
            <w:vAlign w:val="bottom"/>
          </w:tcPr>
          <w:p w14:paraId="5556A086"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087"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2019(1) </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0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089"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Standardized Approach December 31, 2019(1)</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0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08B"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2018(1)</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0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08D"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 xml:space="preserve">Basel III Standardized Approach December 31, </w:t>
            </w:r>
            <w:r>
              <w:rPr>
                <w:rFonts w:ascii="Arial" w:eastAsia="宋体" w:hAnsi="Arial" w:cs="Arial"/>
                <w:b/>
                <w:bCs/>
                <w:sz w:val="11"/>
                <w:szCs w:val="11"/>
              </w:rPr>
              <w:t>2018(1)</w:t>
            </w:r>
          </w:p>
        </w:tc>
        <w:tc>
          <w:tcPr>
            <w:tcW w:w="0" w:type="auto"/>
            <w:shd w:val="clear" w:color="auto" w:fill="auto"/>
            <w:tcMar>
              <w:top w:w="40" w:type="dxa"/>
              <w:left w:w="40" w:type="dxa"/>
              <w:bottom w:w="40" w:type="dxa"/>
              <w:right w:w="40" w:type="dxa"/>
            </w:tcMar>
            <w:vAlign w:val="bottom"/>
          </w:tcPr>
          <w:p w14:paraId="5556A0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08F"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2019(1) </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0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091"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Standardized Approach December 31, 2019(1)</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0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093"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2018(1)</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094" w14:textId="77777777" w:rsidR="00F925DD" w:rsidRDefault="00F925DD">
            <w:pPr>
              <w:jc w:val="center"/>
              <w:textAlignment w:val="bottom"/>
              <w:rPr>
                <w:rFonts w:ascii="Times New Roman" w:hAnsi="Times New Roman"/>
                <w:sz w:val="11"/>
                <w:szCs w:val="11"/>
              </w:rPr>
            </w:pP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095"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Standardized Approach December 31, 2018(1)</w:t>
            </w:r>
          </w:p>
        </w:tc>
      </w:tr>
      <w:tr w:rsidR="00F925DD" w14:paraId="5556A0A7" w14:textId="77777777">
        <w:tc>
          <w:tcPr>
            <w:tcW w:w="0" w:type="auto"/>
            <w:gridSpan w:val="5"/>
            <w:shd w:val="clear" w:color="auto" w:fill="auto"/>
            <w:tcMar>
              <w:top w:w="40" w:type="dxa"/>
              <w:left w:w="40" w:type="dxa"/>
              <w:bottom w:w="40" w:type="dxa"/>
              <w:right w:w="40" w:type="dxa"/>
            </w:tcMar>
            <w:vAlign w:val="bottom"/>
          </w:tcPr>
          <w:p w14:paraId="5556A097"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Common shareholders' equity:</w:t>
            </w:r>
          </w:p>
        </w:tc>
        <w:tc>
          <w:tcPr>
            <w:tcW w:w="0" w:type="auto"/>
            <w:gridSpan w:val="3"/>
            <w:shd w:val="clear" w:color="auto" w:fill="auto"/>
            <w:tcMar>
              <w:top w:w="40" w:type="dxa"/>
              <w:left w:w="40" w:type="dxa"/>
              <w:bottom w:w="40" w:type="dxa"/>
              <w:right w:w="40" w:type="dxa"/>
            </w:tcMar>
            <w:vAlign w:val="bottom"/>
          </w:tcPr>
          <w:p w14:paraId="5556A0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0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0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0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0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0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0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0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A0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0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A0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0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0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0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0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A0C8" w14:textId="77777777">
        <w:tc>
          <w:tcPr>
            <w:tcW w:w="0" w:type="auto"/>
            <w:gridSpan w:val="5"/>
            <w:shd w:val="clear" w:color="auto" w:fill="CCEEFF"/>
            <w:tcMar>
              <w:top w:w="40" w:type="dxa"/>
              <w:left w:w="400" w:type="dxa"/>
              <w:bottom w:w="40" w:type="dxa"/>
              <w:right w:w="40" w:type="dxa"/>
            </w:tcMar>
            <w:vAlign w:val="bottom"/>
          </w:tcPr>
          <w:p w14:paraId="5556A0A8" w14:textId="77777777" w:rsidR="00F925DD" w:rsidRDefault="00E705D7">
            <w:pPr>
              <w:textAlignment w:val="bottom"/>
              <w:rPr>
                <w:rFonts w:ascii="Times New Roman" w:hAnsi="Times New Roman"/>
                <w:sz w:val="12"/>
                <w:szCs w:val="12"/>
              </w:rPr>
            </w:pPr>
            <w:r>
              <w:rPr>
                <w:rFonts w:ascii="Arial" w:eastAsia="宋体" w:hAnsi="Arial" w:cs="Arial"/>
                <w:sz w:val="12"/>
                <w:szCs w:val="12"/>
              </w:rPr>
              <w:t>Common stock and related surplus</w:t>
            </w:r>
          </w:p>
        </w:tc>
        <w:tc>
          <w:tcPr>
            <w:tcW w:w="0" w:type="auto"/>
            <w:shd w:val="clear" w:color="auto" w:fill="CCEEFF"/>
            <w:tcMar>
              <w:top w:w="40" w:type="dxa"/>
              <w:left w:w="40" w:type="dxa"/>
              <w:bottom w:w="40" w:type="dxa"/>
            </w:tcMar>
            <w:vAlign w:val="bottom"/>
          </w:tcPr>
          <w:p w14:paraId="5556A0A9"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5556A0A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10,636</w:t>
            </w:r>
          </w:p>
        </w:tc>
        <w:tc>
          <w:tcPr>
            <w:tcW w:w="0" w:type="auto"/>
            <w:shd w:val="clear" w:color="auto" w:fill="CCEEFF"/>
            <w:vAlign w:val="bottom"/>
          </w:tcPr>
          <w:p w14:paraId="5556A0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0AC" w14:textId="77777777" w:rsidR="00F925DD" w:rsidRDefault="00F925DD">
            <w:pPr>
              <w:textAlignment w:val="bottom"/>
              <w:rPr>
                <w:rFonts w:ascii="Times New Roman" w:hAnsi="Times New Roman"/>
                <w:sz w:val="12"/>
                <w:szCs w:val="12"/>
              </w:rPr>
            </w:pPr>
          </w:p>
        </w:tc>
        <w:tc>
          <w:tcPr>
            <w:tcW w:w="0" w:type="auto"/>
            <w:shd w:val="clear" w:color="auto" w:fill="CCEEFF"/>
            <w:tcMar>
              <w:top w:w="40" w:type="dxa"/>
              <w:left w:w="40" w:type="dxa"/>
              <w:bottom w:w="40" w:type="dxa"/>
            </w:tcMar>
            <w:vAlign w:val="bottom"/>
          </w:tcPr>
          <w:p w14:paraId="5556A0AD"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5556A0AE"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10,636</w:t>
            </w:r>
          </w:p>
        </w:tc>
        <w:tc>
          <w:tcPr>
            <w:tcW w:w="0" w:type="auto"/>
            <w:shd w:val="clear" w:color="auto" w:fill="CCEEFF"/>
            <w:vAlign w:val="bottom"/>
          </w:tcPr>
          <w:p w14:paraId="5556A0A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0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0B1"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5556A0B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10,565</w:t>
            </w:r>
          </w:p>
        </w:tc>
        <w:tc>
          <w:tcPr>
            <w:tcW w:w="0" w:type="auto"/>
            <w:shd w:val="clear" w:color="auto" w:fill="CCEEFF"/>
            <w:vAlign w:val="bottom"/>
          </w:tcPr>
          <w:p w14:paraId="5556A0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0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0B5"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5556A0B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10,565</w:t>
            </w:r>
          </w:p>
        </w:tc>
        <w:tc>
          <w:tcPr>
            <w:tcW w:w="0" w:type="auto"/>
            <w:shd w:val="clear" w:color="auto" w:fill="CCEEFF"/>
            <w:vAlign w:val="bottom"/>
          </w:tcPr>
          <w:p w14:paraId="5556A0B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0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0B9"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5556A0B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12,893</w:t>
            </w:r>
          </w:p>
        </w:tc>
        <w:tc>
          <w:tcPr>
            <w:tcW w:w="0" w:type="auto"/>
            <w:shd w:val="clear" w:color="auto" w:fill="CCEEFF"/>
            <w:vAlign w:val="bottom"/>
          </w:tcPr>
          <w:p w14:paraId="5556A0B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0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0BD"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5556A0BE"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12,893</w:t>
            </w:r>
          </w:p>
        </w:tc>
        <w:tc>
          <w:tcPr>
            <w:tcW w:w="0" w:type="auto"/>
            <w:shd w:val="clear" w:color="auto" w:fill="CCEEFF"/>
            <w:vAlign w:val="bottom"/>
          </w:tcPr>
          <w:p w14:paraId="5556A0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0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0C1"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5556A0C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12,894</w:t>
            </w:r>
          </w:p>
        </w:tc>
        <w:tc>
          <w:tcPr>
            <w:tcW w:w="0" w:type="auto"/>
            <w:shd w:val="clear" w:color="auto" w:fill="CCEEFF"/>
            <w:vAlign w:val="bottom"/>
          </w:tcPr>
          <w:p w14:paraId="5556A0C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0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0C5"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5556A0C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12,894</w:t>
            </w:r>
          </w:p>
        </w:tc>
        <w:tc>
          <w:tcPr>
            <w:tcW w:w="0" w:type="auto"/>
            <w:shd w:val="clear" w:color="auto" w:fill="CCEEFF"/>
            <w:vAlign w:val="bottom"/>
          </w:tcPr>
          <w:p w14:paraId="5556A0C7" w14:textId="77777777" w:rsidR="00F925DD" w:rsidRDefault="00F925DD">
            <w:pPr>
              <w:textAlignment w:val="bottom"/>
              <w:rPr>
                <w:rFonts w:ascii="Times New Roman" w:hAnsi="Times New Roman"/>
                <w:sz w:val="20"/>
                <w:szCs w:val="20"/>
              </w:rPr>
            </w:pPr>
          </w:p>
        </w:tc>
      </w:tr>
      <w:tr w:rsidR="00F925DD" w14:paraId="5556A0E1" w14:textId="77777777">
        <w:tc>
          <w:tcPr>
            <w:tcW w:w="0" w:type="auto"/>
            <w:gridSpan w:val="5"/>
            <w:shd w:val="clear" w:color="auto" w:fill="auto"/>
            <w:tcMar>
              <w:top w:w="40" w:type="dxa"/>
              <w:left w:w="400" w:type="dxa"/>
              <w:bottom w:w="40" w:type="dxa"/>
              <w:right w:w="40" w:type="dxa"/>
            </w:tcMar>
            <w:vAlign w:val="bottom"/>
          </w:tcPr>
          <w:p w14:paraId="5556A0C9" w14:textId="77777777" w:rsidR="00F925DD" w:rsidRDefault="00E705D7">
            <w:pPr>
              <w:textAlignment w:val="bottom"/>
              <w:rPr>
                <w:rFonts w:ascii="Times New Roman" w:hAnsi="Times New Roman"/>
                <w:sz w:val="12"/>
                <w:szCs w:val="12"/>
              </w:rPr>
            </w:pPr>
            <w:r>
              <w:rPr>
                <w:rFonts w:ascii="Arial" w:eastAsia="宋体" w:hAnsi="Arial" w:cs="Arial"/>
                <w:sz w:val="12"/>
                <w:szCs w:val="12"/>
              </w:rPr>
              <w:t>Retained earnings</w:t>
            </w:r>
          </w:p>
        </w:tc>
        <w:tc>
          <w:tcPr>
            <w:tcW w:w="0" w:type="auto"/>
            <w:gridSpan w:val="2"/>
            <w:shd w:val="clear" w:color="auto" w:fill="auto"/>
            <w:tcMar>
              <w:top w:w="40" w:type="dxa"/>
              <w:left w:w="40" w:type="dxa"/>
              <w:bottom w:w="40" w:type="dxa"/>
            </w:tcMar>
            <w:vAlign w:val="bottom"/>
          </w:tcPr>
          <w:p w14:paraId="5556A0C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21,918</w:t>
            </w:r>
          </w:p>
        </w:tc>
        <w:tc>
          <w:tcPr>
            <w:tcW w:w="0" w:type="auto"/>
            <w:shd w:val="clear" w:color="auto" w:fill="auto"/>
            <w:vAlign w:val="bottom"/>
          </w:tcPr>
          <w:p w14:paraId="5556A0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0CC" w14:textId="77777777" w:rsidR="00F925DD" w:rsidRDefault="00F925DD">
            <w:pPr>
              <w:textAlignment w:val="bottom"/>
              <w:rPr>
                <w:rFonts w:ascii="Times New Roman" w:hAnsi="Times New Roman"/>
                <w:sz w:val="12"/>
                <w:szCs w:val="12"/>
              </w:rPr>
            </w:pPr>
          </w:p>
        </w:tc>
        <w:tc>
          <w:tcPr>
            <w:tcW w:w="0" w:type="auto"/>
            <w:gridSpan w:val="2"/>
            <w:shd w:val="clear" w:color="auto" w:fill="auto"/>
            <w:tcMar>
              <w:top w:w="40" w:type="dxa"/>
              <w:left w:w="40" w:type="dxa"/>
              <w:bottom w:w="40" w:type="dxa"/>
            </w:tcMar>
            <w:vAlign w:val="bottom"/>
          </w:tcPr>
          <w:p w14:paraId="5556A0CD"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21,918</w:t>
            </w:r>
          </w:p>
        </w:tc>
        <w:tc>
          <w:tcPr>
            <w:tcW w:w="0" w:type="auto"/>
            <w:shd w:val="clear" w:color="auto" w:fill="auto"/>
            <w:vAlign w:val="bottom"/>
          </w:tcPr>
          <w:p w14:paraId="5556A0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0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0D0"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20,606</w:t>
            </w:r>
          </w:p>
        </w:tc>
        <w:tc>
          <w:tcPr>
            <w:tcW w:w="0" w:type="auto"/>
            <w:shd w:val="clear" w:color="auto" w:fill="auto"/>
            <w:vAlign w:val="bottom"/>
          </w:tcPr>
          <w:p w14:paraId="5556A0D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0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0D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20,606</w:t>
            </w:r>
          </w:p>
        </w:tc>
        <w:tc>
          <w:tcPr>
            <w:tcW w:w="0" w:type="auto"/>
            <w:shd w:val="clear" w:color="auto" w:fill="auto"/>
            <w:vAlign w:val="bottom"/>
          </w:tcPr>
          <w:p w14:paraId="5556A0D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0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0D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13,218</w:t>
            </w:r>
          </w:p>
        </w:tc>
        <w:tc>
          <w:tcPr>
            <w:tcW w:w="0" w:type="auto"/>
            <w:shd w:val="clear" w:color="auto" w:fill="auto"/>
            <w:vAlign w:val="bottom"/>
          </w:tcPr>
          <w:p w14:paraId="5556A0D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0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0D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13,218</w:t>
            </w:r>
          </w:p>
        </w:tc>
        <w:tc>
          <w:tcPr>
            <w:tcW w:w="0" w:type="auto"/>
            <w:shd w:val="clear" w:color="auto" w:fill="auto"/>
            <w:vAlign w:val="bottom"/>
          </w:tcPr>
          <w:p w14:paraId="5556A0D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0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0D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14,261</w:t>
            </w:r>
          </w:p>
        </w:tc>
        <w:tc>
          <w:tcPr>
            <w:tcW w:w="0" w:type="auto"/>
            <w:shd w:val="clear" w:color="auto" w:fill="auto"/>
            <w:vAlign w:val="bottom"/>
          </w:tcPr>
          <w:p w14:paraId="5556A0D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0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0D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14,261</w:t>
            </w:r>
          </w:p>
        </w:tc>
        <w:tc>
          <w:tcPr>
            <w:tcW w:w="0" w:type="auto"/>
            <w:shd w:val="clear" w:color="auto" w:fill="auto"/>
            <w:vAlign w:val="bottom"/>
          </w:tcPr>
          <w:p w14:paraId="5556A0E0" w14:textId="77777777" w:rsidR="00F925DD" w:rsidRDefault="00F925DD">
            <w:pPr>
              <w:textAlignment w:val="bottom"/>
              <w:rPr>
                <w:rFonts w:ascii="Times New Roman" w:hAnsi="Times New Roman"/>
                <w:sz w:val="20"/>
                <w:szCs w:val="20"/>
              </w:rPr>
            </w:pPr>
          </w:p>
        </w:tc>
      </w:tr>
      <w:tr w:rsidR="00F925DD" w14:paraId="5556A0FA" w14:textId="77777777">
        <w:tc>
          <w:tcPr>
            <w:tcW w:w="0" w:type="auto"/>
            <w:gridSpan w:val="5"/>
            <w:shd w:val="clear" w:color="auto" w:fill="CCEEFF"/>
            <w:tcMar>
              <w:top w:w="40" w:type="dxa"/>
              <w:left w:w="400" w:type="dxa"/>
              <w:bottom w:w="40" w:type="dxa"/>
              <w:right w:w="40" w:type="dxa"/>
            </w:tcMar>
            <w:vAlign w:val="bottom"/>
          </w:tcPr>
          <w:p w14:paraId="5556A0E2" w14:textId="77777777" w:rsidR="00F925DD" w:rsidRDefault="00E705D7">
            <w:pPr>
              <w:textAlignment w:val="bottom"/>
              <w:rPr>
                <w:rFonts w:ascii="Times New Roman" w:hAnsi="Times New Roman"/>
                <w:sz w:val="12"/>
                <w:szCs w:val="12"/>
              </w:rPr>
            </w:pPr>
            <w:r>
              <w:rPr>
                <w:rFonts w:ascii="Arial" w:eastAsia="宋体" w:hAnsi="Arial" w:cs="Arial"/>
                <w:sz w:val="12"/>
                <w:szCs w:val="12"/>
              </w:rPr>
              <w:t>Accumulated other comprehensive income (loss)</w:t>
            </w:r>
          </w:p>
        </w:tc>
        <w:tc>
          <w:tcPr>
            <w:tcW w:w="0" w:type="auto"/>
            <w:gridSpan w:val="2"/>
            <w:shd w:val="clear" w:color="auto" w:fill="CCEEFF"/>
            <w:tcMar>
              <w:top w:w="40" w:type="dxa"/>
              <w:left w:w="40" w:type="dxa"/>
              <w:bottom w:w="40" w:type="dxa"/>
            </w:tcMar>
            <w:vAlign w:val="bottom"/>
          </w:tcPr>
          <w:p w14:paraId="5556A0E3"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(870</w:t>
            </w:r>
          </w:p>
        </w:tc>
        <w:tc>
          <w:tcPr>
            <w:tcW w:w="0" w:type="auto"/>
            <w:shd w:val="clear" w:color="auto" w:fill="CCEEFF"/>
            <w:tcMar>
              <w:top w:w="40" w:type="dxa"/>
              <w:bottom w:w="40" w:type="dxa"/>
              <w:right w:w="40" w:type="dxa"/>
            </w:tcMar>
            <w:vAlign w:val="bottom"/>
          </w:tcPr>
          <w:p w14:paraId="5556A0E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0E5" w14:textId="77777777" w:rsidR="00F925DD" w:rsidRDefault="00F925DD">
            <w:pPr>
              <w:textAlignment w:val="bottom"/>
              <w:rPr>
                <w:rFonts w:ascii="Times New Roman" w:hAnsi="Times New Roman"/>
                <w:sz w:val="12"/>
                <w:szCs w:val="12"/>
              </w:rPr>
            </w:pPr>
          </w:p>
        </w:tc>
        <w:tc>
          <w:tcPr>
            <w:tcW w:w="0" w:type="auto"/>
            <w:gridSpan w:val="2"/>
            <w:shd w:val="clear" w:color="auto" w:fill="CCEEFF"/>
            <w:tcMar>
              <w:top w:w="40" w:type="dxa"/>
              <w:left w:w="40" w:type="dxa"/>
              <w:bottom w:w="40" w:type="dxa"/>
            </w:tcMar>
            <w:vAlign w:val="bottom"/>
          </w:tcPr>
          <w:p w14:paraId="5556A0E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(870</w:t>
            </w:r>
          </w:p>
        </w:tc>
        <w:tc>
          <w:tcPr>
            <w:tcW w:w="0" w:type="auto"/>
            <w:shd w:val="clear" w:color="auto" w:fill="CCEEFF"/>
            <w:tcMar>
              <w:top w:w="40" w:type="dxa"/>
              <w:bottom w:w="40" w:type="dxa"/>
              <w:right w:w="40" w:type="dxa"/>
            </w:tcMar>
            <w:vAlign w:val="bottom"/>
          </w:tcPr>
          <w:p w14:paraId="5556A0E7"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0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0E9"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(1,332</w:t>
            </w:r>
          </w:p>
        </w:tc>
        <w:tc>
          <w:tcPr>
            <w:tcW w:w="0" w:type="auto"/>
            <w:shd w:val="clear" w:color="auto" w:fill="CCEEFF"/>
            <w:tcMar>
              <w:top w:w="40" w:type="dxa"/>
              <w:bottom w:w="40" w:type="dxa"/>
              <w:right w:w="40" w:type="dxa"/>
            </w:tcMar>
            <w:vAlign w:val="bottom"/>
          </w:tcPr>
          <w:p w14:paraId="5556A0EA"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A0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0E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(1,332</w:t>
            </w:r>
          </w:p>
        </w:tc>
        <w:tc>
          <w:tcPr>
            <w:tcW w:w="0" w:type="auto"/>
            <w:shd w:val="clear" w:color="auto" w:fill="CCEEFF"/>
            <w:tcMar>
              <w:top w:w="40" w:type="dxa"/>
              <w:bottom w:w="40" w:type="dxa"/>
              <w:right w:w="40" w:type="dxa"/>
            </w:tcMar>
            <w:vAlign w:val="bottom"/>
          </w:tcPr>
          <w:p w14:paraId="5556A0ED"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A0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0E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(654</w:t>
            </w:r>
          </w:p>
        </w:tc>
        <w:tc>
          <w:tcPr>
            <w:tcW w:w="0" w:type="auto"/>
            <w:shd w:val="clear" w:color="auto" w:fill="CCEEFF"/>
            <w:tcMar>
              <w:top w:w="40" w:type="dxa"/>
              <w:bottom w:w="40" w:type="dxa"/>
              <w:right w:w="40" w:type="dxa"/>
            </w:tcMar>
            <w:vAlign w:val="bottom"/>
          </w:tcPr>
          <w:p w14:paraId="5556A0F0"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0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0F2"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(654</w:t>
            </w:r>
          </w:p>
        </w:tc>
        <w:tc>
          <w:tcPr>
            <w:tcW w:w="0" w:type="auto"/>
            <w:shd w:val="clear" w:color="auto" w:fill="CCEEFF"/>
            <w:tcMar>
              <w:top w:w="40" w:type="dxa"/>
              <w:bottom w:w="40" w:type="dxa"/>
              <w:right w:w="40" w:type="dxa"/>
            </w:tcMar>
            <w:vAlign w:val="bottom"/>
          </w:tcPr>
          <w:p w14:paraId="5556A0F3"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0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0F5"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(1,112</w:t>
            </w:r>
          </w:p>
        </w:tc>
        <w:tc>
          <w:tcPr>
            <w:tcW w:w="0" w:type="auto"/>
            <w:shd w:val="clear" w:color="auto" w:fill="CCEEFF"/>
            <w:tcMar>
              <w:top w:w="40" w:type="dxa"/>
              <w:bottom w:w="40" w:type="dxa"/>
              <w:right w:w="40" w:type="dxa"/>
            </w:tcMar>
            <w:vAlign w:val="bottom"/>
          </w:tcPr>
          <w:p w14:paraId="5556A0F6"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A0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0F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(1,112</w:t>
            </w:r>
          </w:p>
        </w:tc>
        <w:tc>
          <w:tcPr>
            <w:tcW w:w="0" w:type="auto"/>
            <w:shd w:val="clear" w:color="auto" w:fill="CCEEFF"/>
            <w:tcMar>
              <w:top w:w="40" w:type="dxa"/>
              <w:bottom w:w="40" w:type="dxa"/>
              <w:right w:w="40" w:type="dxa"/>
            </w:tcMar>
            <w:vAlign w:val="bottom"/>
          </w:tcPr>
          <w:p w14:paraId="5556A0F9"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r>
      <w:tr w:rsidR="00F925DD" w14:paraId="5556A113" w14:textId="77777777">
        <w:tc>
          <w:tcPr>
            <w:tcW w:w="0" w:type="auto"/>
            <w:gridSpan w:val="5"/>
            <w:shd w:val="clear" w:color="auto" w:fill="auto"/>
            <w:tcMar>
              <w:top w:w="40" w:type="dxa"/>
              <w:left w:w="400" w:type="dxa"/>
              <w:bottom w:w="40" w:type="dxa"/>
              <w:right w:w="40" w:type="dxa"/>
            </w:tcMar>
            <w:vAlign w:val="bottom"/>
          </w:tcPr>
          <w:p w14:paraId="5556A0FB" w14:textId="77777777" w:rsidR="00F925DD" w:rsidRDefault="00E705D7">
            <w:pPr>
              <w:textAlignment w:val="bottom"/>
              <w:rPr>
                <w:rFonts w:ascii="Times New Roman" w:hAnsi="Times New Roman"/>
                <w:sz w:val="12"/>
                <w:szCs w:val="12"/>
              </w:rPr>
            </w:pPr>
            <w:r>
              <w:rPr>
                <w:rFonts w:ascii="Arial" w:eastAsia="宋体" w:hAnsi="Arial" w:cs="Arial"/>
                <w:sz w:val="12"/>
                <w:szCs w:val="12"/>
              </w:rPr>
              <w:t>Treasury stock, at cost</w:t>
            </w:r>
          </w:p>
        </w:tc>
        <w:tc>
          <w:tcPr>
            <w:tcW w:w="0" w:type="auto"/>
            <w:gridSpan w:val="2"/>
            <w:tcBorders>
              <w:bottom w:val="single" w:sz="8" w:space="0" w:color="000000"/>
            </w:tcBorders>
            <w:shd w:val="clear" w:color="auto" w:fill="auto"/>
            <w:tcMar>
              <w:top w:w="40" w:type="dxa"/>
              <w:left w:w="40" w:type="dxa"/>
              <w:bottom w:w="40" w:type="dxa"/>
            </w:tcMar>
            <w:vAlign w:val="bottom"/>
          </w:tcPr>
          <w:p w14:paraId="5556A0F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(10,209</w:t>
            </w:r>
          </w:p>
        </w:tc>
        <w:tc>
          <w:tcPr>
            <w:tcW w:w="0" w:type="auto"/>
            <w:tcBorders>
              <w:bottom w:val="single" w:sz="8" w:space="0" w:color="000000"/>
            </w:tcBorders>
            <w:shd w:val="clear" w:color="auto" w:fill="auto"/>
            <w:tcMar>
              <w:top w:w="40" w:type="dxa"/>
              <w:bottom w:w="40" w:type="dxa"/>
              <w:right w:w="40" w:type="dxa"/>
            </w:tcMar>
            <w:vAlign w:val="bottom"/>
          </w:tcPr>
          <w:p w14:paraId="5556A0FD"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A0FE" w14:textId="77777777" w:rsidR="00F925DD" w:rsidRDefault="00F925DD">
            <w:pPr>
              <w:textAlignment w:val="bottom"/>
              <w:rPr>
                <w:rFonts w:ascii="Times New Roman" w:hAnsi="Times New Roman"/>
                <w:sz w:val="12"/>
                <w:szCs w:val="12"/>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A0F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(10,209</w:t>
            </w:r>
          </w:p>
        </w:tc>
        <w:tc>
          <w:tcPr>
            <w:tcW w:w="0" w:type="auto"/>
            <w:tcBorders>
              <w:bottom w:val="single" w:sz="8" w:space="0" w:color="000000"/>
            </w:tcBorders>
            <w:shd w:val="clear" w:color="auto" w:fill="auto"/>
            <w:tcMar>
              <w:top w:w="40" w:type="dxa"/>
              <w:bottom w:w="40" w:type="dxa"/>
              <w:right w:w="40" w:type="dxa"/>
            </w:tcMar>
            <w:vAlign w:val="bottom"/>
          </w:tcPr>
          <w:p w14:paraId="5556A100"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A1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10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(8,715</w:t>
            </w:r>
          </w:p>
        </w:tc>
        <w:tc>
          <w:tcPr>
            <w:tcW w:w="0" w:type="auto"/>
            <w:shd w:val="clear" w:color="auto" w:fill="auto"/>
            <w:tcMar>
              <w:top w:w="40" w:type="dxa"/>
              <w:bottom w:w="40" w:type="dxa"/>
              <w:right w:w="40" w:type="dxa"/>
            </w:tcMar>
            <w:vAlign w:val="bottom"/>
          </w:tcPr>
          <w:p w14:paraId="5556A103"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A1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105"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(8,715</w:t>
            </w:r>
          </w:p>
        </w:tc>
        <w:tc>
          <w:tcPr>
            <w:tcW w:w="0" w:type="auto"/>
            <w:shd w:val="clear" w:color="auto" w:fill="auto"/>
            <w:tcMar>
              <w:top w:w="40" w:type="dxa"/>
              <w:bottom w:w="40" w:type="dxa"/>
              <w:right w:w="40" w:type="dxa"/>
            </w:tcMar>
            <w:vAlign w:val="bottom"/>
          </w:tcPr>
          <w:p w14:paraId="5556A106"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A1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0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auto"/>
            <w:vAlign w:val="bottom"/>
          </w:tcPr>
          <w:p w14:paraId="5556A1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0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auto"/>
            <w:vAlign w:val="bottom"/>
          </w:tcPr>
          <w:p w14:paraId="5556A1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0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auto"/>
            <w:vAlign w:val="bottom"/>
          </w:tcPr>
          <w:p w14:paraId="5556A1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1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auto"/>
            <w:vAlign w:val="bottom"/>
          </w:tcPr>
          <w:p w14:paraId="5556A112" w14:textId="77777777" w:rsidR="00F925DD" w:rsidRDefault="00F925DD">
            <w:pPr>
              <w:textAlignment w:val="bottom"/>
              <w:rPr>
                <w:rFonts w:ascii="Times New Roman" w:hAnsi="Times New Roman"/>
                <w:sz w:val="20"/>
                <w:szCs w:val="20"/>
              </w:rPr>
            </w:pPr>
          </w:p>
        </w:tc>
      </w:tr>
      <w:tr w:rsidR="00F925DD" w14:paraId="5556A12C" w14:textId="77777777">
        <w:tc>
          <w:tcPr>
            <w:tcW w:w="0" w:type="auto"/>
            <w:gridSpan w:val="5"/>
            <w:shd w:val="clear" w:color="auto" w:fill="CCEEFF"/>
            <w:tcMar>
              <w:top w:w="40" w:type="dxa"/>
              <w:left w:w="240" w:type="dxa"/>
              <w:bottom w:w="40" w:type="dxa"/>
              <w:right w:w="40" w:type="dxa"/>
            </w:tcMar>
            <w:vAlign w:val="bottom"/>
          </w:tcPr>
          <w:p w14:paraId="5556A11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Total</w:t>
            </w:r>
          </w:p>
        </w:tc>
        <w:tc>
          <w:tcPr>
            <w:tcW w:w="0" w:type="auto"/>
            <w:gridSpan w:val="2"/>
            <w:tcBorders>
              <w:top w:val="single" w:sz="8" w:space="0" w:color="000000"/>
            </w:tcBorders>
            <w:shd w:val="clear" w:color="auto" w:fill="CCEEFF"/>
            <w:tcMar>
              <w:top w:w="40" w:type="dxa"/>
              <w:left w:w="40" w:type="dxa"/>
              <w:bottom w:w="40" w:type="dxa"/>
            </w:tcMar>
            <w:vAlign w:val="bottom"/>
          </w:tcPr>
          <w:p w14:paraId="5556A11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21,475</w:t>
            </w:r>
          </w:p>
        </w:tc>
        <w:tc>
          <w:tcPr>
            <w:tcW w:w="0" w:type="auto"/>
            <w:tcBorders>
              <w:top w:val="single" w:sz="8" w:space="0" w:color="000000"/>
            </w:tcBorders>
            <w:shd w:val="clear" w:color="auto" w:fill="CCEEFF"/>
            <w:vAlign w:val="bottom"/>
          </w:tcPr>
          <w:p w14:paraId="5556A1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11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21,475</w:t>
            </w:r>
          </w:p>
        </w:tc>
        <w:tc>
          <w:tcPr>
            <w:tcW w:w="0" w:type="auto"/>
            <w:tcBorders>
              <w:top w:val="single" w:sz="8" w:space="0" w:color="000000"/>
            </w:tcBorders>
            <w:shd w:val="clear" w:color="auto" w:fill="CCEEFF"/>
            <w:vAlign w:val="bottom"/>
          </w:tcPr>
          <w:p w14:paraId="5556A1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11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21,124</w:t>
            </w:r>
          </w:p>
        </w:tc>
        <w:tc>
          <w:tcPr>
            <w:tcW w:w="0" w:type="auto"/>
            <w:tcBorders>
              <w:top w:val="single" w:sz="8" w:space="0" w:color="000000"/>
            </w:tcBorders>
            <w:shd w:val="clear" w:color="auto" w:fill="CCEEFF"/>
            <w:vAlign w:val="bottom"/>
          </w:tcPr>
          <w:p w14:paraId="5556A1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11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21,124</w:t>
            </w:r>
          </w:p>
        </w:tc>
        <w:tc>
          <w:tcPr>
            <w:tcW w:w="0" w:type="auto"/>
            <w:tcBorders>
              <w:top w:val="single" w:sz="8" w:space="0" w:color="000000"/>
            </w:tcBorders>
            <w:shd w:val="clear" w:color="auto" w:fill="CCEEFF"/>
            <w:vAlign w:val="bottom"/>
          </w:tcPr>
          <w:p w14:paraId="5556A11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121"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25,457</w:t>
            </w:r>
          </w:p>
        </w:tc>
        <w:tc>
          <w:tcPr>
            <w:tcW w:w="0" w:type="auto"/>
            <w:tcBorders>
              <w:top w:val="single" w:sz="8" w:space="0" w:color="000000"/>
            </w:tcBorders>
            <w:shd w:val="clear" w:color="auto" w:fill="CCEEFF"/>
            <w:vAlign w:val="bottom"/>
          </w:tcPr>
          <w:p w14:paraId="5556A12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12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25,457</w:t>
            </w:r>
          </w:p>
        </w:tc>
        <w:tc>
          <w:tcPr>
            <w:tcW w:w="0" w:type="auto"/>
            <w:tcBorders>
              <w:top w:val="single" w:sz="8" w:space="0" w:color="000000"/>
            </w:tcBorders>
            <w:shd w:val="clear" w:color="auto" w:fill="CCEEFF"/>
            <w:vAlign w:val="bottom"/>
          </w:tcPr>
          <w:p w14:paraId="5556A1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12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26,043</w:t>
            </w:r>
          </w:p>
        </w:tc>
        <w:tc>
          <w:tcPr>
            <w:tcW w:w="0" w:type="auto"/>
            <w:tcBorders>
              <w:top w:val="single" w:sz="8" w:space="0" w:color="000000"/>
            </w:tcBorders>
            <w:shd w:val="clear" w:color="auto" w:fill="CCEEFF"/>
            <w:vAlign w:val="bottom"/>
          </w:tcPr>
          <w:p w14:paraId="5556A12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12A"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26,043</w:t>
            </w:r>
          </w:p>
        </w:tc>
        <w:tc>
          <w:tcPr>
            <w:tcW w:w="0" w:type="auto"/>
            <w:tcBorders>
              <w:top w:val="single" w:sz="8" w:space="0" w:color="000000"/>
            </w:tcBorders>
            <w:shd w:val="clear" w:color="auto" w:fill="CCEEFF"/>
            <w:vAlign w:val="bottom"/>
          </w:tcPr>
          <w:p w14:paraId="5556A12B" w14:textId="77777777" w:rsidR="00F925DD" w:rsidRDefault="00F925DD">
            <w:pPr>
              <w:textAlignment w:val="bottom"/>
              <w:rPr>
                <w:rFonts w:ascii="Times New Roman" w:hAnsi="Times New Roman"/>
                <w:sz w:val="20"/>
                <w:szCs w:val="20"/>
              </w:rPr>
            </w:pPr>
          </w:p>
        </w:tc>
      </w:tr>
      <w:tr w:rsidR="00F925DD" w14:paraId="5556A13D" w14:textId="77777777">
        <w:tc>
          <w:tcPr>
            <w:tcW w:w="0" w:type="auto"/>
            <w:gridSpan w:val="5"/>
            <w:shd w:val="clear" w:color="auto" w:fill="auto"/>
            <w:tcMar>
              <w:top w:w="40" w:type="dxa"/>
              <w:left w:w="240" w:type="dxa"/>
              <w:bottom w:w="40" w:type="dxa"/>
              <w:right w:w="40" w:type="dxa"/>
            </w:tcMar>
            <w:vAlign w:val="bottom"/>
          </w:tcPr>
          <w:p w14:paraId="5556A12D" w14:textId="77777777" w:rsidR="00F925DD" w:rsidRDefault="00E705D7">
            <w:pPr>
              <w:textAlignment w:val="bottom"/>
              <w:rPr>
                <w:rFonts w:ascii="Times New Roman" w:hAnsi="Times New Roman"/>
                <w:sz w:val="12"/>
                <w:szCs w:val="12"/>
              </w:rPr>
            </w:pPr>
            <w:r>
              <w:rPr>
                <w:rFonts w:ascii="Arial" w:eastAsia="宋体" w:hAnsi="Arial" w:cs="Arial"/>
                <w:sz w:val="12"/>
                <w:szCs w:val="12"/>
              </w:rPr>
              <w:t>Regulatory capital adjustments:</w:t>
            </w:r>
          </w:p>
        </w:tc>
        <w:tc>
          <w:tcPr>
            <w:tcW w:w="0" w:type="auto"/>
            <w:gridSpan w:val="3"/>
            <w:shd w:val="clear" w:color="auto" w:fill="auto"/>
            <w:tcMar>
              <w:top w:w="40" w:type="dxa"/>
              <w:left w:w="40" w:type="dxa"/>
              <w:bottom w:w="40" w:type="dxa"/>
              <w:right w:w="40" w:type="dxa"/>
            </w:tcMar>
            <w:vAlign w:val="bottom"/>
          </w:tcPr>
          <w:p w14:paraId="5556A1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1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1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1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1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1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1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1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1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1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1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1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1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1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1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156" w14:textId="77777777">
        <w:tc>
          <w:tcPr>
            <w:tcW w:w="0" w:type="auto"/>
            <w:gridSpan w:val="5"/>
            <w:shd w:val="clear" w:color="auto" w:fill="CCEEFF"/>
            <w:tcMar>
              <w:top w:w="40" w:type="dxa"/>
              <w:left w:w="400" w:type="dxa"/>
              <w:bottom w:w="40" w:type="dxa"/>
              <w:right w:w="40" w:type="dxa"/>
            </w:tcMar>
            <w:vAlign w:val="bottom"/>
          </w:tcPr>
          <w:p w14:paraId="5556A13E" w14:textId="77777777" w:rsidR="00F925DD" w:rsidRDefault="00E705D7">
            <w:pPr>
              <w:textAlignment w:val="bottom"/>
              <w:rPr>
                <w:rFonts w:ascii="Times New Roman" w:hAnsi="Times New Roman"/>
                <w:sz w:val="12"/>
                <w:szCs w:val="12"/>
              </w:rPr>
            </w:pPr>
            <w:r>
              <w:rPr>
                <w:rFonts w:ascii="Arial" w:eastAsia="宋体" w:hAnsi="Arial" w:cs="Arial"/>
                <w:sz w:val="12"/>
                <w:szCs w:val="12"/>
              </w:rPr>
              <w:t xml:space="preserve">Goodwill and other intangible assets, net of associated deferred tax liabilities </w:t>
            </w:r>
          </w:p>
        </w:tc>
        <w:tc>
          <w:tcPr>
            <w:tcW w:w="0" w:type="auto"/>
            <w:gridSpan w:val="2"/>
            <w:shd w:val="clear" w:color="auto" w:fill="CCEEFF"/>
            <w:tcMar>
              <w:top w:w="40" w:type="dxa"/>
              <w:left w:w="40" w:type="dxa"/>
              <w:bottom w:w="40" w:type="dxa"/>
            </w:tcMar>
            <w:vAlign w:val="bottom"/>
          </w:tcPr>
          <w:p w14:paraId="5556A13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(9,112</w:t>
            </w:r>
          </w:p>
        </w:tc>
        <w:tc>
          <w:tcPr>
            <w:tcW w:w="0" w:type="auto"/>
            <w:shd w:val="clear" w:color="auto" w:fill="CCEEFF"/>
            <w:tcMar>
              <w:top w:w="40" w:type="dxa"/>
              <w:bottom w:w="40" w:type="dxa"/>
              <w:right w:w="40" w:type="dxa"/>
            </w:tcMar>
            <w:vAlign w:val="bottom"/>
          </w:tcPr>
          <w:p w14:paraId="5556A140"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141" w14:textId="77777777" w:rsidR="00F925DD" w:rsidRDefault="00F925DD">
            <w:pPr>
              <w:textAlignment w:val="bottom"/>
              <w:rPr>
                <w:rFonts w:ascii="Times New Roman" w:hAnsi="Times New Roman"/>
                <w:sz w:val="12"/>
                <w:szCs w:val="12"/>
              </w:rPr>
            </w:pPr>
          </w:p>
        </w:tc>
        <w:tc>
          <w:tcPr>
            <w:tcW w:w="0" w:type="auto"/>
            <w:gridSpan w:val="2"/>
            <w:shd w:val="clear" w:color="auto" w:fill="CCEEFF"/>
            <w:tcMar>
              <w:top w:w="40" w:type="dxa"/>
              <w:left w:w="40" w:type="dxa"/>
              <w:bottom w:w="40" w:type="dxa"/>
            </w:tcMar>
            <w:vAlign w:val="bottom"/>
          </w:tcPr>
          <w:p w14:paraId="5556A142"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(9,112</w:t>
            </w:r>
          </w:p>
        </w:tc>
        <w:tc>
          <w:tcPr>
            <w:tcW w:w="0" w:type="auto"/>
            <w:shd w:val="clear" w:color="auto" w:fill="CCEEFF"/>
            <w:tcMar>
              <w:top w:w="40" w:type="dxa"/>
              <w:bottom w:w="40" w:type="dxa"/>
              <w:right w:w="40" w:type="dxa"/>
            </w:tcMar>
            <w:vAlign w:val="bottom"/>
          </w:tcPr>
          <w:p w14:paraId="5556A143"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1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45"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(9,350</w:t>
            </w:r>
          </w:p>
        </w:tc>
        <w:tc>
          <w:tcPr>
            <w:tcW w:w="0" w:type="auto"/>
            <w:shd w:val="clear" w:color="auto" w:fill="CCEEFF"/>
            <w:tcMar>
              <w:top w:w="40" w:type="dxa"/>
              <w:bottom w:w="40" w:type="dxa"/>
              <w:right w:w="40" w:type="dxa"/>
            </w:tcMar>
            <w:vAlign w:val="bottom"/>
          </w:tcPr>
          <w:p w14:paraId="5556A146"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A1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4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(9,350</w:t>
            </w:r>
          </w:p>
        </w:tc>
        <w:tc>
          <w:tcPr>
            <w:tcW w:w="0" w:type="auto"/>
            <w:shd w:val="clear" w:color="auto" w:fill="CCEEFF"/>
            <w:tcMar>
              <w:top w:w="40" w:type="dxa"/>
              <w:bottom w:w="40" w:type="dxa"/>
              <w:right w:w="40" w:type="dxa"/>
            </w:tcMar>
            <w:vAlign w:val="bottom"/>
          </w:tcPr>
          <w:p w14:paraId="5556A149"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A1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4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(8,839</w:t>
            </w:r>
          </w:p>
        </w:tc>
        <w:tc>
          <w:tcPr>
            <w:tcW w:w="0" w:type="auto"/>
            <w:shd w:val="clear" w:color="auto" w:fill="CCEEFF"/>
            <w:tcMar>
              <w:top w:w="40" w:type="dxa"/>
              <w:bottom w:w="40" w:type="dxa"/>
              <w:right w:w="40" w:type="dxa"/>
            </w:tcMar>
            <w:vAlign w:val="bottom"/>
          </w:tcPr>
          <w:p w14:paraId="5556A14C"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1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4E"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(8,839</w:t>
            </w:r>
          </w:p>
        </w:tc>
        <w:tc>
          <w:tcPr>
            <w:tcW w:w="0" w:type="auto"/>
            <w:shd w:val="clear" w:color="auto" w:fill="CCEEFF"/>
            <w:tcMar>
              <w:top w:w="40" w:type="dxa"/>
              <w:bottom w:w="40" w:type="dxa"/>
              <w:right w:w="40" w:type="dxa"/>
            </w:tcMar>
            <w:vAlign w:val="bottom"/>
          </w:tcPr>
          <w:p w14:paraId="5556A14F"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1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5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(9,073</w:t>
            </w:r>
          </w:p>
        </w:tc>
        <w:tc>
          <w:tcPr>
            <w:tcW w:w="0" w:type="auto"/>
            <w:shd w:val="clear" w:color="auto" w:fill="CCEEFF"/>
            <w:tcMar>
              <w:top w:w="40" w:type="dxa"/>
              <w:bottom w:w="40" w:type="dxa"/>
              <w:right w:w="40" w:type="dxa"/>
            </w:tcMar>
            <w:vAlign w:val="bottom"/>
          </w:tcPr>
          <w:p w14:paraId="5556A152"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A1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54"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(9,073</w:t>
            </w:r>
          </w:p>
        </w:tc>
        <w:tc>
          <w:tcPr>
            <w:tcW w:w="0" w:type="auto"/>
            <w:shd w:val="clear" w:color="auto" w:fill="CCEEFF"/>
            <w:tcMar>
              <w:top w:w="40" w:type="dxa"/>
              <w:bottom w:w="40" w:type="dxa"/>
              <w:right w:w="40" w:type="dxa"/>
            </w:tcMar>
            <w:vAlign w:val="bottom"/>
          </w:tcPr>
          <w:p w14:paraId="5556A155"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r>
      <w:tr w:rsidR="00F925DD" w14:paraId="5556A16F" w14:textId="77777777">
        <w:tc>
          <w:tcPr>
            <w:tcW w:w="0" w:type="auto"/>
            <w:gridSpan w:val="5"/>
            <w:shd w:val="clear" w:color="auto" w:fill="auto"/>
            <w:tcMar>
              <w:top w:w="40" w:type="dxa"/>
              <w:left w:w="400" w:type="dxa"/>
              <w:bottom w:w="40" w:type="dxa"/>
              <w:right w:w="40" w:type="dxa"/>
            </w:tcMar>
            <w:vAlign w:val="bottom"/>
          </w:tcPr>
          <w:p w14:paraId="5556A157" w14:textId="77777777" w:rsidR="00F925DD" w:rsidRDefault="00E705D7">
            <w:pPr>
              <w:textAlignment w:val="bottom"/>
              <w:rPr>
                <w:rFonts w:ascii="Times New Roman" w:hAnsi="Times New Roman"/>
                <w:sz w:val="12"/>
                <w:szCs w:val="12"/>
              </w:rPr>
            </w:pPr>
            <w:r>
              <w:rPr>
                <w:rFonts w:ascii="Arial" w:eastAsia="宋体" w:hAnsi="Arial" w:cs="Arial"/>
                <w:sz w:val="12"/>
                <w:szCs w:val="12"/>
              </w:rPr>
              <w:t>Other adjustments</w:t>
            </w:r>
            <w:r>
              <w:rPr>
                <w:rFonts w:ascii="Arial" w:eastAsia="宋体" w:hAnsi="Arial" w:cs="Arial"/>
                <w:sz w:val="8"/>
                <w:szCs w:val="8"/>
              </w:rPr>
              <w:t>(2)</w:t>
            </w:r>
          </w:p>
        </w:tc>
        <w:tc>
          <w:tcPr>
            <w:tcW w:w="0" w:type="auto"/>
            <w:gridSpan w:val="2"/>
            <w:shd w:val="clear" w:color="auto" w:fill="auto"/>
            <w:tcMar>
              <w:top w:w="40" w:type="dxa"/>
              <w:left w:w="40" w:type="dxa"/>
              <w:bottom w:w="40" w:type="dxa"/>
            </w:tcMar>
            <w:vAlign w:val="bottom"/>
          </w:tcPr>
          <w:p w14:paraId="5556A15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(150</w:t>
            </w:r>
          </w:p>
        </w:tc>
        <w:tc>
          <w:tcPr>
            <w:tcW w:w="0" w:type="auto"/>
            <w:shd w:val="clear" w:color="auto" w:fill="auto"/>
            <w:tcMar>
              <w:top w:w="40" w:type="dxa"/>
              <w:bottom w:w="40" w:type="dxa"/>
              <w:right w:w="40" w:type="dxa"/>
            </w:tcMar>
            <w:vAlign w:val="bottom"/>
          </w:tcPr>
          <w:p w14:paraId="5556A159"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A15A" w14:textId="77777777" w:rsidR="00F925DD" w:rsidRDefault="00F925DD">
            <w:pPr>
              <w:textAlignment w:val="bottom"/>
              <w:rPr>
                <w:rFonts w:ascii="Times New Roman" w:hAnsi="Times New Roman"/>
                <w:sz w:val="12"/>
                <w:szCs w:val="12"/>
              </w:rPr>
            </w:pPr>
          </w:p>
        </w:tc>
        <w:tc>
          <w:tcPr>
            <w:tcW w:w="0" w:type="auto"/>
            <w:gridSpan w:val="2"/>
            <w:shd w:val="clear" w:color="auto" w:fill="auto"/>
            <w:tcMar>
              <w:top w:w="40" w:type="dxa"/>
              <w:left w:w="40" w:type="dxa"/>
              <w:bottom w:w="40" w:type="dxa"/>
            </w:tcMar>
            <w:vAlign w:val="bottom"/>
          </w:tcPr>
          <w:p w14:paraId="5556A15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(150</w:t>
            </w:r>
          </w:p>
        </w:tc>
        <w:tc>
          <w:tcPr>
            <w:tcW w:w="0" w:type="auto"/>
            <w:shd w:val="clear" w:color="auto" w:fill="auto"/>
            <w:tcMar>
              <w:top w:w="40" w:type="dxa"/>
              <w:bottom w:w="40" w:type="dxa"/>
              <w:right w:w="40" w:type="dxa"/>
            </w:tcMar>
            <w:vAlign w:val="bottom"/>
          </w:tcPr>
          <w:p w14:paraId="5556A15C"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A1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5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(194</w:t>
            </w:r>
          </w:p>
        </w:tc>
        <w:tc>
          <w:tcPr>
            <w:tcW w:w="0" w:type="auto"/>
            <w:tcBorders>
              <w:bottom w:val="single" w:sz="8" w:space="0" w:color="000000"/>
            </w:tcBorders>
            <w:shd w:val="clear" w:color="auto" w:fill="auto"/>
            <w:tcMar>
              <w:top w:w="40" w:type="dxa"/>
              <w:bottom w:w="40" w:type="dxa"/>
              <w:right w:w="40" w:type="dxa"/>
            </w:tcMar>
            <w:vAlign w:val="bottom"/>
          </w:tcPr>
          <w:p w14:paraId="5556A15F"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A1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6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(194</w:t>
            </w:r>
          </w:p>
        </w:tc>
        <w:tc>
          <w:tcPr>
            <w:tcW w:w="0" w:type="auto"/>
            <w:tcBorders>
              <w:bottom w:val="single" w:sz="8" w:space="0" w:color="000000"/>
            </w:tcBorders>
            <w:shd w:val="clear" w:color="auto" w:fill="auto"/>
            <w:tcMar>
              <w:top w:w="40" w:type="dxa"/>
              <w:bottom w:w="40" w:type="dxa"/>
              <w:right w:w="40" w:type="dxa"/>
            </w:tcMar>
            <w:vAlign w:val="bottom"/>
          </w:tcPr>
          <w:p w14:paraId="5556A162"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A1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6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w:t>
            </w:r>
          </w:p>
        </w:tc>
        <w:tc>
          <w:tcPr>
            <w:tcW w:w="0" w:type="auto"/>
            <w:tcBorders>
              <w:bottom w:val="single" w:sz="8" w:space="0" w:color="000000"/>
            </w:tcBorders>
            <w:shd w:val="clear" w:color="auto" w:fill="auto"/>
            <w:tcMar>
              <w:top w:w="40" w:type="dxa"/>
              <w:bottom w:w="40" w:type="dxa"/>
              <w:right w:w="40" w:type="dxa"/>
            </w:tcMar>
            <w:vAlign w:val="bottom"/>
          </w:tcPr>
          <w:p w14:paraId="5556A165"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A1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67"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w:t>
            </w:r>
          </w:p>
        </w:tc>
        <w:tc>
          <w:tcPr>
            <w:tcW w:w="0" w:type="auto"/>
            <w:tcBorders>
              <w:bottom w:val="single" w:sz="8" w:space="0" w:color="000000"/>
            </w:tcBorders>
            <w:shd w:val="clear" w:color="auto" w:fill="auto"/>
            <w:tcMar>
              <w:top w:w="40" w:type="dxa"/>
              <w:bottom w:w="40" w:type="dxa"/>
              <w:right w:w="40" w:type="dxa"/>
            </w:tcMar>
            <w:vAlign w:val="bottom"/>
          </w:tcPr>
          <w:p w14:paraId="5556A168"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A1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6A"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(29</w:t>
            </w:r>
          </w:p>
        </w:tc>
        <w:tc>
          <w:tcPr>
            <w:tcW w:w="0" w:type="auto"/>
            <w:tcBorders>
              <w:bottom w:val="single" w:sz="8" w:space="0" w:color="000000"/>
            </w:tcBorders>
            <w:shd w:val="clear" w:color="auto" w:fill="auto"/>
            <w:tcMar>
              <w:top w:w="40" w:type="dxa"/>
              <w:bottom w:w="40" w:type="dxa"/>
              <w:right w:w="40" w:type="dxa"/>
            </w:tcMar>
            <w:vAlign w:val="bottom"/>
          </w:tcPr>
          <w:p w14:paraId="5556A16B"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A1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6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(29</w:t>
            </w:r>
          </w:p>
        </w:tc>
        <w:tc>
          <w:tcPr>
            <w:tcW w:w="0" w:type="auto"/>
            <w:tcBorders>
              <w:bottom w:val="single" w:sz="8" w:space="0" w:color="000000"/>
            </w:tcBorders>
            <w:shd w:val="clear" w:color="auto" w:fill="auto"/>
            <w:tcMar>
              <w:top w:w="40" w:type="dxa"/>
              <w:bottom w:w="40" w:type="dxa"/>
              <w:right w:w="40" w:type="dxa"/>
            </w:tcMar>
            <w:vAlign w:val="bottom"/>
          </w:tcPr>
          <w:p w14:paraId="5556A16E"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r>
      <w:tr w:rsidR="00F925DD" w14:paraId="5556A188" w14:textId="77777777">
        <w:tc>
          <w:tcPr>
            <w:tcW w:w="0" w:type="auto"/>
            <w:gridSpan w:val="5"/>
            <w:shd w:val="clear" w:color="auto" w:fill="CCEEFF"/>
            <w:tcMar>
              <w:top w:w="40" w:type="dxa"/>
              <w:left w:w="40" w:type="dxa"/>
              <w:bottom w:w="40" w:type="dxa"/>
              <w:right w:w="40" w:type="dxa"/>
            </w:tcMar>
            <w:vAlign w:val="bottom"/>
          </w:tcPr>
          <w:p w14:paraId="5556A170"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Common equity tier 1 capital</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71"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12,213</w:t>
            </w:r>
          </w:p>
        </w:tc>
        <w:tc>
          <w:tcPr>
            <w:tcW w:w="0" w:type="auto"/>
            <w:tcBorders>
              <w:top w:val="single" w:sz="8" w:space="0" w:color="000000"/>
              <w:bottom w:val="single" w:sz="8" w:space="0" w:color="000000"/>
            </w:tcBorders>
            <w:shd w:val="clear" w:color="auto" w:fill="CCEEFF"/>
            <w:vAlign w:val="bottom"/>
          </w:tcPr>
          <w:p w14:paraId="5556A17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7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12,213</w:t>
            </w:r>
          </w:p>
        </w:tc>
        <w:tc>
          <w:tcPr>
            <w:tcW w:w="0" w:type="auto"/>
            <w:tcBorders>
              <w:top w:val="single" w:sz="8" w:space="0" w:color="000000"/>
              <w:bottom w:val="single" w:sz="8" w:space="0" w:color="000000"/>
            </w:tcBorders>
            <w:shd w:val="clear" w:color="auto" w:fill="CCEEFF"/>
            <w:vAlign w:val="bottom"/>
          </w:tcPr>
          <w:p w14:paraId="5556A17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7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11,580</w:t>
            </w:r>
          </w:p>
        </w:tc>
        <w:tc>
          <w:tcPr>
            <w:tcW w:w="0" w:type="auto"/>
            <w:tcBorders>
              <w:top w:val="single" w:sz="8" w:space="0" w:color="000000"/>
              <w:bottom w:val="single" w:sz="8" w:space="0" w:color="000000"/>
            </w:tcBorders>
            <w:shd w:val="clear" w:color="auto" w:fill="CCEEFF"/>
            <w:vAlign w:val="bottom"/>
          </w:tcPr>
          <w:p w14:paraId="5556A17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7A"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11,580</w:t>
            </w:r>
          </w:p>
        </w:tc>
        <w:tc>
          <w:tcPr>
            <w:tcW w:w="0" w:type="auto"/>
            <w:tcBorders>
              <w:top w:val="single" w:sz="8" w:space="0" w:color="000000"/>
              <w:bottom w:val="single" w:sz="8" w:space="0" w:color="000000"/>
            </w:tcBorders>
            <w:shd w:val="clear" w:color="auto" w:fill="CCEEFF"/>
            <w:vAlign w:val="bottom"/>
          </w:tcPr>
          <w:p w14:paraId="5556A1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7D"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16,617</w:t>
            </w:r>
          </w:p>
        </w:tc>
        <w:tc>
          <w:tcPr>
            <w:tcW w:w="0" w:type="auto"/>
            <w:tcBorders>
              <w:top w:val="single" w:sz="8" w:space="0" w:color="000000"/>
              <w:bottom w:val="single" w:sz="8" w:space="0" w:color="000000"/>
            </w:tcBorders>
            <w:shd w:val="clear" w:color="auto" w:fill="CCEEFF"/>
            <w:vAlign w:val="bottom"/>
          </w:tcPr>
          <w:p w14:paraId="5556A17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8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16,617</w:t>
            </w:r>
          </w:p>
        </w:tc>
        <w:tc>
          <w:tcPr>
            <w:tcW w:w="0" w:type="auto"/>
            <w:tcBorders>
              <w:top w:val="single" w:sz="8" w:space="0" w:color="000000"/>
              <w:bottom w:val="single" w:sz="8" w:space="0" w:color="000000"/>
            </w:tcBorders>
            <w:shd w:val="clear" w:color="auto" w:fill="CCEEFF"/>
            <w:vAlign w:val="bottom"/>
          </w:tcPr>
          <w:p w14:paraId="5556A18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8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16,941</w:t>
            </w:r>
          </w:p>
        </w:tc>
        <w:tc>
          <w:tcPr>
            <w:tcW w:w="0" w:type="auto"/>
            <w:tcBorders>
              <w:top w:val="single" w:sz="8" w:space="0" w:color="000000"/>
              <w:bottom w:val="single" w:sz="8" w:space="0" w:color="000000"/>
            </w:tcBorders>
            <w:shd w:val="clear" w:color="auto" w:fill="CCEEFF"/>
            <w:vAlign w:val="bottom"/>
          </w:tcPr>
          <w:p w14:paraId="5556A18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8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16,941</w:t>
            </w:r>
          </w:p>
        </w:tc>
        <w:tc>
          <w:tcPr>
            <w:tcW w:w="0" w:type="auto"/>
            <w:tcBorders>
              <w:top w:val="single" w:sz="8" w:space="0" w:color="000000"/>
              <w:bottom w:val="single" w:sz="8" w:space="0" w:color="000000"/>
            </w:tcBorders>
            <w:shd w:val="clear" w:color="auto" w:fill="CCEEFF"/>
            <w:vAlign w:val="bottom"/>
          </w:tcPr>
          <w:p w14:paraId="5556A187" w14:textId="77777777" w:rsidR="00F925DD" w:rsidRDefault="00F925DD">
            <w:pPr>
              <w:textAlignment w:val="bottom"/>
              <w:rPr>
                <w:rFonts w:ascii="Times New Roman" w:hAnsi="Times New Roman"/>
                <w:sz w:val="20"/>
                <w:szCs w:val="20"/>
              </w:rPr>
            </w:pPr>
          </w:p>
        </w:tc>
      </w:tr>
      <w:tr w:rsidR="00F925DD" w14:paraId="5556A1A1" w14:textId="77777777">
        <w:tc>
          <w:tcPr>
            <w:tcW w:w="0" w:type="auto"/>
            <w:gridSpan w:val="5"/>
            <w:shd w:val="clear" w:color="auto" w:fill="auto"/>
            <w:tcMar>
              <w:top w:w="40" w:type="dxa"/>
              <w:left w:w="400" w:type="dxa"/>
              <w:bottom w:w="40" w:type="dxa"/>
              <w:right w:w="40" w:type="dxa"/>
            </w:tcMar>
            <w:vAlign w:val="bottom"/>
          </w:tcPr>
          <w:p w14:paraId="5556A189" w14:textId="77777777" w:rsidR="00F925DD" w:rsidRDefault="00E705D7">
            <w:pPr>
              <w:textAlignment w:val="bottom"/>
              <w:rPr>
                <w:rFonts w:ascii="Times New Roman" w:hAnsi="Times New Roman"/>
                <w:sz w:val="12"/>
                <w:szCs w:val="12"/>
              </w:rPr>
            </w:pPr>
            <w:r>
              <w:rPr>
                <w:rFonts w:ascii="Arial" w:eastAsia="宋体" w:hAnsi="Arial" w:cs="Arial"/>
                <w:sz w:val="12"/>
                <w:szCs w:val="12"/>
              </w:rPr>
              <w:t>Preferred stock</w:t>
            </w:r>
          </w:p>
        </w:tc>
        <w:tc>
          <w:tcPr>
            <w:tcW w:w="0" w:type="auto"/>
            <w:gridSpan w:val="2"/>
            <w:tcBorders>
              <w:top w:val="single" w:sz="8" w:space="0" w:color="000000"/>
            </w:tcBorders>
            <w:shd w:val="clear" w:color="auto" w:fill="auto"/>
            <w:tcMar>
              <w:top w:w="40" w:type="dxa"/>
              <w:left w:w="40" w:type="dxa"/>
              <w:bottom w:w="40" w:type="dxa"/>
            </w:tcMar>
            <w:vAlign w:val="bottom"/>
          </w:tcPr>
          <w:p w14:paraId="5556A18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2,962</w:t>
            </w:r>
          </w:p>
        </w:tc>
        <w:tc>
          <w:tcPr>
            <w:tcW w:w="0" w:type="auto"/>
            <w:tcBorders>
              <w:top w:val="single" w:sz="8" w:space="0" w:color="000000"/>
            </w:tcBorders>
            <w:shd w:val="clear" w:color="auto" w:fill="auto"/>
            <w:vAlign w:val="bottom"/>
          </w:tcPr>
          <w:p w14:paraId="5556A18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8C" w14:textId="77777777" w:rsidR="00F925DD" w:rsidRDefault="00F925DD">
            <w:pPr>
              <w:textAlignment w:val="bottom"/>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bottom"/>
          </w:tcPr>
          <w:p w14:paraId="5556A18D"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2,962</w:t>
            </w:r>
          </w:p>
        </w:tc>
        <w:tc>
          <w:tcPr>
            <w:tcW w:w="0" w:type="auto"/>
            <w:tcBorders>
              <w:top w:val="single" w:sz="8" w:space="0" w:color="000000"/>
            </w:tcBorders>
            <w:shd w:val="clear" w:color="auto" w:fill="auto"/>
            <w:vAlign w:val="bottom"/>
          </w:tcPr>
          <w:p w14:paraId="5556A18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90"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3,690</w:t>
            </w:r>
          </w:p>
        </w:tc>
        <w:tc>
          <w:tcPr>
            <w:tcW w:w="0" w:type="auto"/>
            <w:tcBorders>
              <w:bottom w:val="single" w:sz="8" w:space="0" w:color="000000"/>
            </w:tcBorders>
            <w:shd w:val="clear" w:color="auto" w:fill="auto"/>
            <w:vAlign w:val="bottom"/>
          </w:tcPr>
          <w:p w14:paraId="5556A19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19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3,690</w:t>
            </w:r>
          </w:p>
        </w:tc>
        <w:tc>
          <w:tcPr>
            <w:tcW w:w="0" w:type="auto"/>
            <w:tcBorders>
              <w:bottom w:val="single" w:sz="8" w:space="0" w:color="000000"/>
            </w:tcBorders>
            <w:shd w:val="clear" w:color="auto" w:fill="auto"/>
            <w:vAlign w:val="bottom"/>
          </w:tcPr>
          <w:p w14:paraId="5556A19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A19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single" w:sz="8" w:space="0" w:color="000000"/>
            </w:tcBorders>
            <w:shd w:val="clear" w:color="auto" w:fill="auto"/>
            <w:vAlign w:val="bottom"/>
          </w:tcPr>
          <w:p w14:paraId="5556A19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19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auto"/>
            <w:vAlign w:val="bottom"/>
          </w:tcPr>
          <w:p w14:paraId="5556A19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19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tcBorders>
            <w:shd w:val="clear" w:color="auto" w:fill="auto"/>
            <w:vAlign w:val="bottom"/>
          </w:tcPr>
          <w:p w14:paraId="5556A19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19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tcBorders>
            <w:shd w:val="clear" w:color="auto" w:fill="auto"/>
            <w:vAlign w:val="bottom"/>
          </w:tcPr>
          <w:p w14:paraId="5556A1A0" w14:textId="77777777" w:rsidR="00F925DD" w:rsidRDefault="00F925DD">
            <w:pPr>
              <w:textAlignment w:val="bottom"/>
              <w:rPr>
                <w:rFonts w:ascii="Times New Roman" w:hAnsi="Times New Roman"/>
                <w:sz w:val="20"/>
                <w:szCs w:val="20"/>
              </w:rPr>
            </w:pPr>
          </w:p>
        </w:tc>
      </w:tr>
      <w:tr w:rsidR="00F925DD" w14:paraId="5556A1BA" w14:textId="77777777">
        <w:tc>
          <w:tcPr>
            <w:tcW w:w="0" w:type="auto"/>
            <w:gridSpan w:val="5"/>
            <w:shd w:val="clear" w:color="auto" w:fill="CCEEFF"/>
            <w:tcMar>
              <w:top w:w="40" w:type="dxa"/>
              <w:left w:w="40" w:type="dxa"/>
              <w:bottom w:w="40" w:type="dxa"/>
              <w:right w:w="40" w:type="dxa"/>
            </w:tcMar>
            <w:vAlign w:val="bottom"/>
          </w:tcPr>
          <w:p w14:paraId="5556A1A2"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Tier 1 capital</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A3"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15,175</w:t>
            </w:r>
          </w:p>
        </w:tc>
        <w:tc>
          <w:tcPr>
            <w:tcW w:w="0" w:type="auto"/>
            <w:tcBorders>
              <w:top w:val="single" w:sz="8" w:space="0" w:color="000000"/>
              <w:bottom w:val="single" w:sz="8" w:space="0" w:color="000000"/>
            </w:tcBorders>
            <w:shd w:val="clear" w:color="auto" w:fill="CCEEFF"/>
            <w:vAlign w:val="bottom"/>
          </w:tcPr>
          <w:p w14:paraId="5556A1A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A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15,175</w:t>
            </w:r>
          </w:p>
        </w:tc>
        <w:tc>
          <w:tcPr>
            <w:tcW w:w="0" w:type="auto"/>
            <w:tcBorders>
              <w:top w:val="single" w:sz="8" w:space="0" w:color="000000"/>
              <w:bottom w:val="single" w:sz="8" w:space="0" w:color="000000"/>
            </w:tcBorders>
            <w:shd w:val="clear" w:color="auto" w:fill="CCEEFF"/>
            <w:vAlign w:val="bottom"/>
          </w:tcPr>
          <w:p w14:paraId="5556A1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1A9"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15,270</w:t>
            </w:r>
          </w:p>
        </w:tc>
        <w:tc>
          <w:tcPr>
            <w:tcW w:w="0" w:type="auto"/>
            <w:tcBorders>
              <w:bottom w:val="single" w:sz="8" w:space="0" w:color="000000"/>
            </w:tcBorders>
            <w:shd w:val="clear" w:color="auto" w:fill="CCEEFF"/>
            <w:vAlign w:val="bottom"/>
          </w:tcPr>
          <w:p w14:paraId="5556A1A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A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15,270</w:t>
            </w:r>
          </w:p>
        </w:tc>
        <w:tc>
          <w:tcPr>
            <w:tcW w:w="0" w:type="auto"/>
            <w:tcBorders>
              <w:top w:val="single" w:sz="8" w:space="0" w:color="000000"/>
              <w:bottom w:val="single" w:sz="8" w:space="0" w:color="000000"/>
            </w:tcBorders>
            <w:shd w:val="clear" w:color="auto" w:fill="CCEEFF"/>
            <w:vAlign w:val="bottom"/>
          </w:tcPr>
          <w:p w14:paraId="5556A1A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1A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16,617</w:t>
            </w:r>
          </w:p>
        </w:tc>
        <w:tc>
          <w:tcPr>
            <w:tcW w:w="0" w:type="auto"/>
            <w:tcBorders>
              <w:bottom w:val="single" w:sz="8" w:space="0" w:color="000000"/>
            </w:tcBorders>
            <w:shd w:val="clear" w:color="auto" w:fill="CCEEFF"/>
            <w:vAlign w:val="bottom"/>
          </w:tcPr>
          <w:p w14:paraId="5556A1B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B2"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16,617</w:t>
            </w:r>
          </w:p>
        </w:tc>
        <w:tc>
          <w:tcPr>
            <w:tcW w:w="0" w:type="auto"/>
            <w:tcBorders>
              <w:top w:val="single" w:sz="8" w:space="0" w:color="000000"/>
              <w:bottom w:val="single" w:sz="8" w:space="0" w:color="000000"/>
            </w:tcBorders>
            <w:shd w:val="clear" w:color="auto" w:fill="CCEEFF"/>
            <w:vAlign w:val="bottom"/>
          </w:tcPr>
          <w:p w14:paraId="5556A1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B5"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16,941</w:t>
            </w:r>
          </w:p>
        </w:tc>
        <w:tc>
          <w:tcPr>
            <w:tcW w:w="0" w:type="auto"/>
            <w:tcBorders>
              <w:top w:val="single" w:sz="8" w:space="0" w:color="000000"/>
              <w:bottom w:val="single" w:sz="8" w:space="0" w:color="000000"/>
            </w:tcBorders>
            <w:shd w:val="clear" w:color="auto" w:fill="CCEEFF"/>
            <w:vAlign w:val="bottom"/>
          </w:tcPr>
          <w:p w14:paraId="5556A1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1B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16,941</w:t>
            </w:r>
          </w:p>
        </w:tc>
        <w:tc>
          <w:tcPr>
            <w:tcW w:w="0" w:type="auto"/>
            <w:tcBorders>
              <w:top w:val="single" w:sz="8" w:space="0" w:color="000000"/>
              <w:bottom w:val="single" w:sz="8" w:space="0" w:color="000000"/>
            </w:tcBorders>
            <w:shd w:val="clear" w:color="auto" w:fill="CCEEFF"/>
            <w:vAlign w:val="bottom"/>
          </w:tcPr>
          <w:p w14:paraId="5556A1B9" w14:textId="77777777" w:rsidR="00F925DD" w:rsidRDefault="00F925DD">
            <w:pPr>
              <w:textAlignment w:val="bottom"/>
              <w:rPr>
                <w:rFonts w:ascii="Times New Roman" w:hAnsi="Times New Roman"/>
                <w:sz w:val="20"/>
                <w:szCs w:val="20"/>
              </w:rPr>
            </w:pPr>
          </w:p>
        </w:tc>
      </w:tr>
      <w:tr w:rsidR="00F925DD" w14:paraId="5556A1D3" w14:textId="77777777">
        <w:tc>
          <w:tcPr>
            <w:tcW w:w="0" w:type="auto"/>
            <w:gridSpan w:val="5"/>
            <w:shd w:val="clear" w:color="auto" w:fill="auto"/>
            <w:tcMar>
              <w:top w:w="40" w:type="dxa"/>
              <w:left w:w="400" w:type="dxa"/>
              <w:bottom w:w="40" w:type="dxa"/>
              <w:right w:w="40" w:type="dxa"/>
            </w:tcMar>
            <w:vAlign w:val="bottom"/>
          </w:tcPr>
          <w:p w14:paraId="5556A1BB" w14:textId="77777777" w:rsidR="00F925DD" w:rsidRDefault="00E705D7">
            <w:pPr>
              <w:textAlignment w:val="bottom"/>
              <w:rPr>
                <w:rFonts w:ascii="Times New Roman" w:hAnsi="Times New Roman"/>
                <w:sz w:val="12"/>
                <w:szCs w:val="12"/>
              </w:rPr>
            </w:pPr>
            <w:r>
              <w:rPr>
                <w:rFonts w:ascii="Arial" w:eastAsia="宋体" w:hAnsi="Arial" w:cs="Arial"/>
                <w:sz w:val="12"/>
                <w:szCs w:val="12"/>
              </w:rPr>
              <w:t>Qualifying subordinated long-term debt</w:t>
            </w:r>
          </w:p>
        </w:tc>
        <w:tc>
          <w:tcPr>
            <w:tcW w:w="0" w:type="auto"/>
            <w:gridSpan w:val="2"/>
            <w:shd w:val="clear" w:color="auto" w:fill="auto"/>
            <w:tcMar>
              <w:top w:w="40" w:type="dxa"/>
              <w:left w:w="40" w:type="dxa"/>
              <w:bottom w:w="40" w:type="dxa"/>
            </w:tcMar>
            <w:vAlign w:val="bottom"/>
          </w:tcPr>
          <w:p w14:paraId="5556A1B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1,095</w:t>
            </w:r>
          </w:p>
        </w:tc>
        <w:tc>
          <w:tcPr>
            <w:tcW w:w="0" w:type="auto"/>
            <w:shd w:val="clear" w:color="auto" w:fill="auto"/>
            <w:vAlign w:val="bottom"/>
          </w:tcPr>
          <w:p w14:paraId="5556A1B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BE" w14:textId="77777777" w:rsidR="00F925DD" w:rsidRDefault="00F925DD">
            <w:pPr>
              <w:textAlignment w:val="bottom"/>
              <w:rPr>
                <w:rFonts w:ascii="Times New Roman" w:hAnsi="Times New Roman"/>
                <w:sz w:val="12"/>
                <w:szCs w:val="12"/>
              </w:rPr>
            </w:pPr>
          </w:p>
        </w:tc>
        <w:tc>
          <w:tcPr>
            <w:tcW w:w="0" w:type="auto"/>
            <w:gridSpan w:val="2"/>
            <w:shd w:val="clear" w:color="auto" w:fill="auto"/>
            <w:tcMar>
              <w:top w:w="40" w:type="dxa"/>
              <w:left w:w="40" w:type="dxa"/>
              <w:bottom w:w="40" w:type="dxa"/>
            </w:tcMar>
            <w:vAlign w:val="bottom"/>
          </w:tcPr>
          <w:p w14:paraId="5556A1B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1,095</w:t>
            </w:r>
          </w:p>
        </w:tc>
        <w:tc>
          <w:tcPr>
            <w:tcW w:w="0" w:type="auto"/>
            <w:shd w:val="clear" w:color="auto" w:fill="auto"/>
            <w:vAlign w:val="bottom"/>
          </w:tcPr>
          <w:p w14:paraId="5556A1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1C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778</w:t>
            </w:r>
          </w:p>
        </w:tc>
        <w:tc>
          <w:tcPr>
            <w:tcW w:w="0" w:type="auto"/>
            <w:tcBorders>
              <w:top w:val="single" w:sz="8" w:space="0" w:color="000000"/>
            </w:tcBorders>
            <w:shd w:val="clear" w:color="auto" w:fill="auto"/>
            <w:vAlign w:val="bottom"/>
          </w:tcPr>
          <w:p w14:paraId="5556A1C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1C5"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778</w:t>
            </w:r>
          </w:p>
        </w:tc>
        <w:tc>
          <w:tcPr>
            <w:tcW w:w="0" w:type="auto"/>
            <w:tcBorders>
              <w:top w:val="single" w:sz="8" w:space="0" w:color="000000"/>
            </w:tcBorders>
            <w:shd w:val="clear" w:color="auto" w:fill="auto"/>
            <w:vAlign w:val="bottom"/>
          </w:tcPr>
          <w:p w14:paraId="5556A1C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1C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1,099</w:t>
            </w:r>
          </w:p>
        </w:tc>
        <w:tc>
          <w:tcPr>
            <w:tcW w:w="0" w:type="auto"/>
            <w:tcBorders>
              <w:top w:val="single" w:sz="8" w:space="0" w:color="000000"/>
            </w:tcBorders>
            <w:shd w:val="clear" w:color="auto" w:fill="auto"/>
            <w:vAlign w:val="bottom"/>
          </w:tcPr>
          <w:p w14:paraId="5556A1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1C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1,099</w:t>
            </w:r>
          </w:p>
        </w:tc>
        <w:tc>
          <w:tcPr>
            <w:tcW w:w="0" w:type="auto"/>
            <w:tcBorders>
              <w:top w:val="single" w:sz="8" w:space="0" w:color="000000"/>
            </w:tcBorders>
            <w:shd w:val="clear" w:color="auto" w:fill="auto"/>
            <w:vAlign w:val="bottom"/>
          </w:tcPr>
          <w:p w14:paraId="5556A1C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1C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776</w:t>
            </w:r>
          </w:p>
        </w:tc>
        <w:tc>
          <w:tcPr>
            <w:tcW w:w="0" w:type="auto"/>
            <w:tcBorders>
              <w:top w:val="single" w:sz="8" w:space="0" w:color="000000"/>
            </w:tcBorders>
            <w:shd w:val="clear" w:color="auto" w:fill="auto"/>
            <w:vAlign w:val="bottom"/>
          </w:tcPr>
          <w:p w14:paraId="5556A1C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1D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776</w:t>
            </w:r>
          </w:p>
        </w:tc>
        <w:tc>
          <w:tcPr>
            <w:tcW w:w="0" w:type="auto"/>
            <w:tcBorders>
              <w:top w:val="single" w:sz="8" w:space="0" w:color="000000"/>
            </w:tcBorders>
            <w:shd w:val="clear" w:color="auto" w:fill="auto"/>
            <w:vAlign w:val="bottom"/>
          </w:tcPr>
          <w:p w14:paraId="5556A1D2" w14:textId="77777777" w:rsidR="00F925DD" w:rsidRDefault="00F925DD">
            <w:pPr>
              <w:textAlignment w:val="bottom"/>
              <w:rPr>
                <w:rFonts w:ascii="Times New Roman" w:hAnsi="Times New Roman"/>
                <w:sz w:val="20"/>
                <w:szCs w:val="20"/>
              </w:rPr>
            </w:pPr>
          </w:p>
        </w:tc>
      </w:tr>
      <w:tr w:rsidR="00F925DD" w14:paraId="5556A1EC" w14:textId="77777777">
        <w:tc>
          <w:tcPr>
            <w:tcW w:w="0" w:type="auto"/>
            <w:gridSpan w:val="5"/>
            <w:shd w:val="clear" w:color="auto" w:fill="CCEEFF"/>
            <w:tcMar>
              <w:top w:w="40" w:type="dxa"/>
              <w:left w:w="400" w:type="dxa"/>
              <w:bottom w:w="40" w:type="dxa"/>
              <w:right w:w="40" w:type="dxa"/>
            </w:tcMar>
            <w:vAlign w:val="bottom"/>
          </w:tcPr>
          <w:p w14:paraId="5556A1D4" w14:textId="77777777" w:rsidR="00F925DD" w:rsidRDefault="00E705D7">
            <w:pPr>
              <w:textAlignment w:val="bottom"/>
              <w:rPr>
                <w:rFonts w:ascii="Times New Roman" w:hAnsi="Times New Roman"/>
                <w:sz w:val="12"/>
                <w:szCs w:val="12"/>
              </w:rPr>
            </w:pPr>
            <w:r>
              <w:rPr>
                <w:rFonts w:ascii="Arial" w:eastAsia="宋体" w:hAnsi="Arial" w:cs="Arial"/>
                <w:sz w:val="12"/>
                <w:szCs w:val="12"/>
              </w:rPr>
              <w:t>Allowance for loan losses</w:t>
            </w:r>
          </w:p>
        </w:tc>
        <w:tc>
          <w:tcPr>
            <w:tcW w:w="0" w:type="auto"/>
            <w:gridSpan w:val="2"/>
            <w:shd w:val="clear" w:color="auto" w:fill="CCEEFF"/>
            <w:tcMar>
              <w:top w:w="40" w:type="dxa"/>
              <w:left w:w="40" w:type="dxa"/>
              <w:bottom w:w="40" w:type="dxa"/>
            </w:tcMar>
            <w:vAlign w:val="bottom"/>
          </w:tcPr>
          <w:p w14:paraId="5556A1D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5</w:t>
            </w:r>
          </w:p>
        </w:tc>
        <w:tc>
          <w:tcPr>
            <w:tcW w:w="0" w:type="auto"/>
            <w:shd w:val="clear" w:color="auto" w:fill="CCEEFF"/>
            <w:vAlign w:val="bottom"/>
          </w:tcPr>
          <w:p w14:paraId="5556A1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D7" w14:textId="77777777" w:rsidR="00F925DD" w:rsidRDefault="00F925DD">
            <w:pPr>
              <w:textAlignment w:val="bottom"/>
              <w:rPr>
                <w:rFonts w:ascii="Times New Roman" w:hAnsi="Times New Roman"/>
                <w:sz w:val="12"/>
                <w:szCs w:val="12"/>
              </w:rPr>
            </w:pPr>
          </w:p>
        </w:tc>
        <w:tc>
          <w:tcPr>
            <w:tcW w:w="0" w:type="auto"/>
            <w:gridSpan w:val="2"/>
            <w:shd w:val="clear" w:color="auto" w:fill="CCEEFF"/>
            <w:tcMar>
              <w:top w:w="40" w:type="dxa"/>
              <w:left w:w="40" w:type="dxa"/>
              <w:bottom w:w="40" w:type="dxa"/>
            </w:tcMar>
            <w:vAlign w:val="bottom"/>
          </w:tcPr>
          <w:p w14:paraId="5556A1D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90</w:t>
            </w:r>
          </w:p>
        </w:tc>
        <w:tc>
          <w:tcPr>
            <w:tcW w:w="0" w:type="auto"/>
            <w:shd w:val="clear" w:color="auto" w:fill="CCEEFF"/>
            <w:vAlign w:val="bottom"/>
          </w:tcPr>
          <w:p w14:paraId="5556A1D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D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14</w:t>
            </w:r>
          </w:p>
        </w:tc>
        <w:tc>
          <w:tcPr>
            <w:tcW w:w="0" w:type="auto"/>
            <w:shd w:val="clear" w:color="auto" w:fill="CCEEFF"/>
            <w:vAlign w:val="bottom"/>
          </w:tcPr>
          <w:p w14:paraId="5556A1D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D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83</w:t>
            </w:r>
          </w:p>
        </w:tc>
        <w:tc>
          <w:tcPr>
            <w:tcW w:w="0" w:type="auto"/>
            <w:shd w:val="clear" w:color="auto" w:fill="CCEEFF"/>
            <w:vAlign w:val="bottom"/>
          </w:tcPr>
          <w:p w14:paraId="5556A1D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E1"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3</w:t>
            </w:r>
          </w:p>
        </w:tc>
        <w:tc>
          <w:tcPr>
            <w:tcW w:w="0" w:type="auto"/>
            <w:shd w:val="clear" w:color="auto" w:fill="CCEEFF"/>
            <w:vAlign w:val="bottom"/>
          </w:tcPr>
          <w:p w14:paraId="5556A1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E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90</w:t>
            </w:r>
          </w:p>
        </w:tc>
        <w:tc>
          <w:tcPr>
            <w:tcW w:w="0" w:type="auto"/>
            <w:shd w:val="clear" w:color="auto" w:fill="CCEEFF"/>
            <w:vAlign w:val="bottom"/>
          </w:tcPr>
          <w:p w14:paraId="5556A1E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E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w:t>
            </w:r>
          </w:p>
        </w:tc>
        <w:tc>
          <w:tcPr>
            <w:tcW w:w="0" w:type="auto"/>
            <w:shd w:val="clear" w:color="auto" w:fill="CCEEFF"/>
            <w:vAlign w:val="bottom"/>
          </w:tcPr>
          <w:p w14:paraId="5556A1E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1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1EA"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83</w:t>
            </w:r>
          </w:p>
        </w:tc>
        <w:tc>
          <w:tcPr>
            <w:tcW w:w="0" w:type="auto"/>
            <w:shd w:val="clear" w:color="auto" w:fill="CCEEFF"/>
            <w:vAlign w:val="bottom"/>
          </w:tcPr>
          <w:p w14:paraId="5556A1EB" w14:textId="77777777" w:rsidR="00F925DD" w:rsidRDefault="00F925DD">
            <w:pPr>
              <w:textAlignment w:val="bottom"/>
              <w:rPr>
                <w:rFonts w:ascii="Times New Roman" w:hAnsi="Times New Roman"/>
                <w:sz w:val="20"/>
                <w:szCs w:val="20"/>
              </w:rPr>
            </w:pPr>
          </w:p>
        </w:tc>
      </w:tr>
      <w:tr w:rsidR="00F925DD" w14:paraId="5556A20D" w14:textId="77777777">
        <w:tc>
          <w:tcPr>
            <w:tcW w:w="0" w:type="auto"/>
            <w:gridSpan w:val="5"/>
            <w:shd w:val="clear" w:color="auto" w:fill="auto"/>
            <w:tcMar>
              <w:top w:w="40" w:type="dxa"/>
              <w:left w:w="40" w:type="dxa"/>
              <w:bottom w:w="40" w:type="dxa"/>
              <w:right w:w="40" w:type="dxa"/>
            </w:tcMar>
            <w:vAlign w:val="bottom"/>
          </w:tcPr>
          <w:p w14:paraId="5556A1ED"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Total capital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1EE"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1E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16,275</w:t>
            </w:r>
          </w:p>
        </w:tc>
        <w:tc>
          <w:tcPr>
            <w:tcW w:w="0" w:type="auto"/>
            <w:tcBorders>
              <w:top w:val="single" w:sz="8" w:space="0" w:color="000000"/>
              <w:bottom w:val="double" w:sz="6" w:space="0" w:color="000000"/>
            </w:tcBorders>
            <w:shd w:val="clear" w:color="auto" w:fill="auto"/>
            <w:vAlign w:val="bottom"/>
          </w:tcPr>
          <w:p w14:paraId="5556A1F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1F2"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1F3"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16,360</w:t>
            </w:r>
          </w:p>
        </w:tc>
        <w:tc>
          <w:tcPr>
            <w:tcW w:w="0" w:type="auto"/>
            <w:tcBorders>
              <w:top w:val="single" w:sz="8" w:space="0" w:color="000000"/>
              <w:bottom w:val="double" w:sz="6" w:space="0" w:color="000000"/>
            </w:tcBorders>
            <w:shd w:val="clear" w:color="auto" w:fill="auto"/>
            <w:vAlign w:val="bottom"/>
          </w:tcPr>
          <w:p w14:paraId="5556A1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1F6"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1F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16,062</w:t>
            </w:r>
          </w:p>
        </w:tc>
        <w:tc>
          <w:tcPr>
            <w:tcW w:w="0" w:type="auto"/>
            <w:tcBorders>
              <w:top w:val="single" w:sz="8" w:space="0" w:color="000000"/>
              <w:bottom w:val="double" w:sz="6" w:space="0" w:color="000000"/>
            </w:tcBorders>
            <w:shd w:val="clear" w:color="auto" w:fill="auto"/>
            <w:vAlign w:val="bottom"/>
          </w:tcPr>
          <w:p w14:paraId="5556A1F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1FA"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1F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16,131</w:t>
            </w:r>
          </w:p>
        </w:tc>
        <w:tc>
          <w:tcPr>
            <w:tcW w:w="0" w:type="auto"/>
            <w:tcBorders>
              <w:top w:val="single" w:sz="8" w:space="0" w:color="000000"/>
              <w:bottom w:val="double" w:sz="6" w:space="0" w:color="000000"/>
            </w:tcBorders>
            <w:shd w:val="clear" w:color="auto" w:fill="auto"/>
            <w:vAlign w:val="bottom"/>
          </w:tcPr>
          <w:p w14:paraId="5556A1F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1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1FE"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1F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17,719</w:t>
            </w:r>
          </w:p>
        </w:tc>
        <w:tc>
          <w:tcPr>
            <w:tcW w:w="0" w:type="auto"/>
            <w:tcBorders>
              <w:top w:val="single" w:sz="8" w:space="0" w:color="000000"/>
              <w:bottom w:val="double" w:sz="6" w:space="0" w:color="000000"/>
            </w:tcBorders>
            <w:shd w:val="clear" w:color="auto" w:fill="auto"/>
            <w:vAlign w:val="bottom"/>
          </w:tcPr>
          <w:p w14:paraId="5556A2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202"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203"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17,806</w:t>
            </w:r>
          </w:p>
        </w:tc>
        <w:tc>
          <w:tcPr>
            <w:tcW w:w="0" w:type="auto"/>
            <w:tcBorders>
              <w:top w:val="single" w:sz="8" w:space="0" w:color="000000"/>
              <w:bottom w:val="double" w:sz="6" w:space="0" w:color="000000"/>
            </w:tcBorders>
            <w:shd w:val="clear" w:color="auto" w:fill="auto"/>
            <w:vAlign w:val="bottom"/>
          </w:tcPr>
          <w:p w14:paraId="5556A20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206"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20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17,728</w:t>
            </w:r>
          </w:p>
        </w:tc>
        <w:tc>
          <w:tcPr>
            <w:tcW w:w="0" w:type="auto"/>
            <w:tcBorders>
              <w:top w:val="single" w:sz="8" w:space="0" w:color="000000"/>
              <w:bottom w:val="double" w:sz="6" w:space="0" w:color="000000"/>
            </w:tcBorders>
            <w:shd w:val="clear" w:color="auto" w:fill="auto"/>
            <w:vAlign w:val="bottom"/>
          </w:tcPr>
          <w:p w14:paraId="5556A20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20A"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20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17,800</w:t>
            </w:r>
          </w:p>
        </w:tc>
        <w:tc>
          <w:tcPr>
            <w:tcW w:w="0" w:type="auto"/>
            <w:tcBorders>
              <w:top w:val="single" w:sz="8" w:space="0" w:color="000000"/>
              <w:bottom w:val="double" w:sz="6" w:space="0" w:color="000000"/>
            </w:tcBorders>
            <w:shd w:val="clear" w:color="auto" w:fill="auto"/>
            <w:vAlign w:val="bottom"/>
          </w:tcPr>
          <w:p w14:paraId="5556A20C" w14:textId="77777777" w:rsidR="00F925DD" w:rsidRDefault="00F925DD">
            <w:pPr>
              <w:textAlignment w:val="bottom"/>
              <w:rPr>
                <w:rFonts w:ascii="Times New Roman" w:hAnsi="Times New Roman"/>
                <w:sz w:val="20"/>
                <w:szCs w:val="20"/>
              </w:rPr>
            </w:pPr>
          </w:p>
        </w:tc>
      </w:tr>
      <w:tr w:rsidR="00F925DD" w14:paraId="5556A21E" w14:textId="77777777">
        <w:tc>
          <w:tcPr>
            <w:tcW w:w="0" w:type="auto"/>
            <w:gridSpan w:val="5"/>
            <w:shd w:val="clear" w:color="auto" w:fill="CCEEFF"/>
            <w:tcMar>
              <w:top w:w="40" w:type="dxa"/>
              <w:left w:w="40" w:type="dxa"/>
              <w:bottom w:w="40" w:type="dxa"/>
              <w:right w:w="40" w:type="dxa"/>
            </w:tcMar>
            <w:vAlign w:val="bottom"/>
          </w:tcPr>
          <w:p w14:paraId="5556A20E"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w:t>
            </w:r>
            <w:r>
              <w:rPr>
                <w:rFonts w:ascii="Arial" w:eastAsia="宋体" w:hAnsi="Arial" w:cs="Arial"/>
                <w:b/>
                <w:bCs/>
                <w:sz w:val="12"/>
                <w:szCs w:val="12"/>
              </w:rPr>
              <w:t>Risk-weighted assets:</w:t>
            </w:r>
          </w:p>
        </w:tc>
        <w:tc>
          <w:tcPr>
            <w:tcW w:w="0" w:type="auto"/>
            <w:gridSpan w:val="3"/>
            <w:shd w:val="clear" w:color="auto" w:fill="CCEEFF"/>
            <w:tcMar>
              <w:top w:w="40" w:type="dxa"/>
              <w:left w:w="40" w:type="dxa"/>
              <w:bottom w:w="40" w:type="dxa"/>
              <w:right w:w="40" w:type="dxa"/>
            </w:tcMar>
            <w:vAlign w:val="bottom"/>
          </w:tcPr>
          <w:p w14:paraId="5556A2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2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2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2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2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2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2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2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2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2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2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2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2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2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2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23F" w14:textId="77777777">
        <w:tc>
          <w:tcPr>
            <w:tcW w:w="0" w:type="auto"/>
            <w:gridSpan w:val="5"/>
            <w:shd w:val="clear" w:color="auto" w:fill="auto"/>
            <w:tcMar>
              <w:top w:w="40" w:type="dxa"/>
              <w:left w:w="240" w:type="dxa"/>
              <w:bottom w:w="40" w:type="dxa"/>
              <w:right w:w="40" w:type="dxa"/>
            </w:tcMar>
            <w:vAlign w:val="bottom"/>
          </w:tcPr>
          <w:p w14:paraId="5556A21F" w14:textId="77777777" w:rsidR="00F925DD" w:rsidRDefault="00E705D7">
            <w:pPr>
              <w:textAlignment w:val="bottom"/>
              <w:rPr>
                <w:rFonts w:ascii="Times New Roman" w:hAnsi="Times New Roman"/>
                <w:sz w:val="12"/>
                <w:szCs w:val="12"/>
              </w:rPr>
            </w:pPr>
            <w:r>
              <w:rPr>
                <w:rFonts w:ascii="Arial" w:eastAsia="宋体" w:hAnsi="Arial" w:cs="Arial"/>
                <w:sz w:val="12"/>
                <w:szCs w:val="12"/>
              </w:rPr>
              <w:t>Credit risk</w:t>
            </w:r>
            <w:r>
              <w:rPr>
                <w:rFonts w:ascii="Arial" w:eastAsia="宋体" w:hAnsi="Arial" w:cs="Arial"/>
                <w:sz w:val="8"/>
                <w:szCs w:val="8"/>
              </w:rPr>
              <w:t>(3)</w:t>
            </w:r>
          </w:p>
        </w:tc>
        <w:tc>
          <w:tcPr>
            <w:tcW w:w="0" w:type="auto"/>
            <w:shd w:val="clear" w:color="auto" w:fill="auto"/>
            <w:tcMar>
              <w:top w:w="40" w:type="dxa"/>
              <w:left w:w="40" w:type="dxa"/>
              <w:bottom w:w="40" w:type="dxa"/>
            </w:tcMar>
            <w:vAlign w:val="bottom"/>
          </w:tcPr>
          <w:p w14:paraId="5556A220"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5556A221"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54,763</w:t>
            </w:r>
          </w:p>
        </w:tc>
        <w:tc>
          <w:tcPr>
            <w:tcW w:w="0" w:type="auto"/>
            <w:shd w:val="clear" w:color="auto" w:fill="auto"/>
            <w:vAlign w:val="bottom"/>
          </w:tcPr>
          <w:p w14:paraId="5556A2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22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5556A22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102,367</w:t>
            </w:r>
          </w:p>
        </w:tc>
        <w:tc>
          <w:tcPr>
            <w:tcW w:w="0" w:type="auto"/>
            <w:shd w:val="clear" w:color="auto" w:fill="auto"/>
            <w:vAlign w:val="bottom"/>
          </w:tcPr>
          <w:p w14:paraId="5556A22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228"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5556A229"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47,738</w:t>
            </w:r>
          </w:p>
        </w:tc>
        <w:tc>
          <w:tcPr>
            <w:tcW w:w="0" w:type="auto"/>
            <w:shd w:val="clear" w:color="auto" w:fill="auto"/>
            <w:vAlign w:val="bottom"/>
          </w:tcPr>
          <w:p w14:paraId="5556A2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22C"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5556A22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97,303</w:t>
            </w:r>
          </w:p>
        </w:tc>
        <w:tc>
          <w:tcPr>
            <w:tcW w:w="0" w:type="auto"/>
            <w:shd w:val="clear" w:color="auto" w:fill="auto"/>
            <w:vAlign w:val="bottom"/>
          </w:tcPr>
          <w:p w14:paraId="5556A2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230"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5556A231"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51,610</w:t>
            </w:r>
          </w:p>
        </w:tc>
        <w:tc>
          <w:tcPr>
            <w:tcW w:w="0" w:type="auto"/>
            <w:shd w:val="clear" w:color="auto" w:fill="auto"/>
            <w:vAlign w:val="bottom"/>
          </w:tcPr>
          <w:p w14:paraId="5556A23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23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5556A23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98,979</w:t>
            </w:r>
          </w:p>
        </w:tc>
        <w:tc>
          <w:tcPr>
            <w:tcW w:w="0" w:type="auto"/>
            <w:shd w:val="clear" w:color="auto" w:fill="auto"/>
            <w:vAlign w:val="bottom"/>
          </w:tcPr>
          <w:p w14:paraId="5556A23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238"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5556A239"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45,565</w:t>
            </w:r>
          </w:p>
        </w:tc>
        <w:tc>
          <w:tcPr>
            <w:tcW w:w="0" w:type="auto"/>
            <w:shd w:val="clear" w:color="auto" w:fill="auto"/>
            <w:vAlign w:val="bottom"/>
          </w:tcPr>
          <w:p w14:paraId="5556A23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23C"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5556A23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94,776</w:t>
            </w:r>
          </w:p>
        </w:tc>
        <w:tc>
          <w:tcPr>
            <w:tcW w:w="0" w:type="auto"/>
            <w:shd w:val="clear" w:color="auto" w:fill="auto"/>
            <w:vAlign w:val="bottom"/>
          </w:tcPr>
          <w:p w14:paraId="5556A23E" w14:textId="77777777" w:rsidR="00F925DD" w:rsidRDefault="00F925DD">
            <w:pPr>
              <w:textAlignment w:val="bottom"/>
              <w:rPr>
                <w:rFonts w:ascii="Times New Roman" w:hAnsi="Times New Roman"/>
                <w:sz w:val="20"/>
                <w:szCs w:val="20"/>
              </w:rPr>
            </w:pPr>
          </w:p>
        </w:tc>
      </w:tr>
      <w:tr w:rsidR="00F925DD" w14:paraId="5556A258" w14:textId="77777777">
        <w:tc>
          <w:tcPr>
            <w:tcW w:w="0" w:type="auto"/>
            <w:gridSpan w:val="5"/>
            <w:shd w:val="clear" w:color="auto" w:fill="CCEEFF"/>
            <w:tcMar>
              <w:top w:w="40" w:type="dxa"/>
              <w:left w:w="240" w:type="dxa"/>
              <w:bottom w:w="40" w:type="dxa"/>
              <w:right w:w="40" w:type="dxa"/>
            </w:tcMar>
            <w:vAlign w:val="bottom"/>
          </w:tcPr>
          <w:p w14:paraId="5556A240" w14:textId="77777777" w:rsidR="00F925DD" w:rsidRDefault="00E705D7">
            <w:pPr>
              <w:textAlignment w:val="bottom"/>
              <w:rPr>
                <w:rFonts w:ascii="Times New Roman" w:hAnsi="Times New Roman"/>
                <w:sz w:val="12"/>
                <w:szCs w:val="12"/>
              </w:rPr>
            </w:pPr>
            <w:r>
              <w:rPr>
                <w:rFonts w:ascii="Arial" w:eastAsia="宋体" w:hAnsi="Arial" w:cs="Arial"/>
                <w:sz w:val="12"/>
                <w:szCs w:val="12"/>
              </w:rPr>
              <w:t>Operational risk</w:t>
            </w:r>
            <w:r>
              <w:rPr>
                <w:rFonts w:ascii="Arial" w:eastAsia="宋体" w:hAnsi="Arial" w:cs="Arial"/>
                <w:sz w:val="8"/>
                <w:szCs w:val="8"/>
              </w:rPr>
              <w:t>(4)</w:t>
            </w:r>
          </w:p>
        </w:tc>
        <w:tc>
          <w:tcPr>
            <w:tcW w:w="0" w:type="auto"/>
            <w:gridSpan w:val="2"/>
            <w:shd w:val="clear" w:color="auto" w:fill="CCEEFF"/>
            <w:tcMar>
              <w:top w:w="40" w:type="dxa"/>
              <w:left w:w="40" w:type="dxa"/>
              <w:bottom w:w="40" w:type="dxa"/>
            </w:tcMar>
            <w:vAlign w:val="bottom"/>
          </w:tcPr>
          <w:p w14:paraId="5556A241"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47,963</w:t>
            </w:r>
          </w:p>
        </w:tc>
        <w:tc>
          <w:tcPr>
            <w:tcW w:w="0" w:type="auto"/>
            <w:shd w:val="clear" w:color="auto" w:fill="CCEEFF"/>
            <w:vAlign w:val="bottom"/>
          </w:tcPr>
          <w:p w14:paraId="5556A2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4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 NA</w:t>
            </w:r>
          </w:p>
        </w:tc>
        <w:tc>
          <w:tcPr>
            <w:tcW w:w="0" w:type="auto"/>
            <w:shd w:val="clear" w:color="auto" w:fill="CCEEFF"/>
            <w:vAlign w:val="bottom"/>
          </w:tcPr>
          <w:p w14:paraId="5556A24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4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46,060</w:t>
            </w:r>
          </w:p>
        </w:tc>
        <w:tc>
          <w:tcPr>
            <w:tcW w:w="0" w:type="auto"/>
            <w:shd w:val="clear" w:color="auto" w:fill="CCEEFF"/>
            <w:vAlign w:val="bottom"/>
          </w:tcPr>
          <w:p w14:paraId="5556A24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4A"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NA</w:t>
            </w:r>
          </w:p>
        </w:tc>
        <w:tc>
          <w:tcPr>
            <w:tcW w:w="0" w:type="auto"/>
            <w:shd w:val="clear" w:color="auto" w:fill="CCEEFF"/>
            <w:vAlign w:val="bottom"/>
          </w:tcPr>
          <w:p w14:paraId="5556A24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4D"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44,138</w:t>
            </w:r>
          </w:p>
        </w:tc>
        <w:tc>
          <w:tcPr>
            <w:tcW w:w="0" w:type="auto"/>
            <w:shd w:val="clear" w:color="auto" w:fill="CCEEFF"/>
            <w:vAlign w:val="bottom"/>
          </w:tcPr>
          <w:p w14:paraId="5556A24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5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NA</w:t>
            </w:r>
          </w:p>
        </w:tc>
        <w:tc>
          <w:tcPr>
            <w:tcW w:w="0" w:type="auto"/>
            <w:shd w:val="clear" w:color="auto" w:fill="CCEEFF"/>
            <w:vAlign w:val="bottom"/>
          </w:tcPr>
          <w:p w14:paraId="5556A25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5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44,494</w:t>
            </w:r>
          </w:p>
        </w:tc>
        <w:tc>
          <w:tcPr>
            <w:tcW w:w="0" w:type="auto"/>
            <w:shd w:val="clear" w:color="auto" w:fill="CCEEFF"/>
            <w:vAlign w:val="bottom"/>
          </w:tcPr>
          <w:p w14:paraId="5556A2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5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NA</w:t>
            </w:r>
          </w:p>
        </w:tc>
        <w:tc>
          <w:tcPr>
            <w:tcW w:w="0" w:type="auto"/>
            <w:shd w:val="clear" w:color="auto" w:fill="CCEEFF"/>
            <w:vAlign w:val="bottom"/>
          </w:tcPr>
          <w:p w14:paraId="5556A257" w14:textId="77777777" w:rsidR="00F925DD" w:rsidRDefault="00F925DD">
            <w:pPr>
              <w:textAlignment w:val="bottom"/>
              <w:rPr>
                <w:rFonts w:ascii="Times New Roman" w:hAnsi="Times New Roman"/>
                <w:sz w:val="20"/>
                <w:szCs w:val="20"/>
              </w:rPr>
            </w:pPr>
          </w:p>
        </w:tc>
      </w:tr>
      <w:tr w:rsidR="00F925DD" w14:paraId="5556A271" w14:textId="77777777">
        <w:tc>
          <w:tcPr>
            <w:tcW w:w="0" w:type="auto"/>
            <w:gridSpan w:val="5"/>
            <w:shd w:val="clear" w:color="auto" w:fill="auto"/>
            <w:tcMar>
              <w:top w:w="40" w:type="dxa"/>
              <w:left w:w="240" w:type="dxa"/>
              <w:bottom w:w="40" w:type="dxa"/>
              <w:right w:w="40" w:type="dxa"/>
            </w:tcMar>
            <w:vAlign w:val="bottom"/>
          </w:tcPr>
          <w:p w14:paraId="5556A259" w14:textId="77777777" w:rsidR="00F925DD" w:rsidRDefault="00E705D7">
            <w:pPr>
              <w:textAlignment w:val="bottom"/>
              <w:rPr>
                <w:rFonts w:ascii="Times New Roman" w:hAnsi="Times New Roman"/>
                <w:sz w:val="12"/>
                <w:szCs w:val="12"/>
              </w:rPr>
            </w:pPr>
            <w:r>
              <w:rPr>
                <w:rFonts w:ascii="Arial" w:eastAsia="宋体" w:hAnsi="Arial" w:cs="Arial"/>
                <w:sz w:val="12"/>
                <w:szCs w:val="12"/>
              </w:rPr>
              <w:t>Market risk</w:t>
            </w:r>
          </w:p>
        </w:tc>
        <w:tc>
          <w:tcPr>
            <w:tcW w:w="0" w:type="auto"/>
            <w:gridSpan w:val="2"/>
            <w:shd w:val="clear" w:color="auto" w:fill="auto"/>
            <w:tcMar>
              <w:top w:w="40" w:type="dxa"/>
              <w:left w:w="40" w:type="dxa"/>
              <w:bottom w:w="40" w:type="dxa"/>
            </w:tcMar>
            <w:vAlign w:val="bottom"/>
          </w:tcPr>
          <w:p w14:paraId="5556A25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1,638</w:t>
            </w:r>
          </w:p>
        </w:tc>
        <w:tc>
          <w:tcPr>
            <w:tcW w:w="0" w:type="auto"/>
            <w:shd w:val="clear" w:color="auto" w:fill="auto"/>
            <w:vAlign w:val="bottom"/>
          </w:tcPr>
          <w:p w14:paraId="5556A25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25D"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1,638</w:t>
            </w:r>
          </w:p>
        </w:tc>
        <w:tc>
          <w:tcPr>
            <w:tcW w:w="0" w:type="auto"/>
            <w:shd w:val="clear" w:color="auto" w:fill="auto"/>
            <w:vAlign w:val="bottom"/>
          </w:tcPr>
          <w:p w14:paraId="5556A25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260"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1,517</w:t>
            </w:r>
          </w:p>
        </w:tc>
        <w:tc>
          <w:tcPr>
            <w:tcW w:w="0" w:type="auto"/>
            <w:tcBorders>
              <w:bottom w:val="single" w:sz="8" w:space="0" w:color="000000"/>
            </w:tcBorders>
            <w:shd w:val="clear" w:color="auto" w:fill="auto"/>
            <w:vAlign w:val="bottom"/>
          </w:tcPr>
          <w:p w14:paraId="5556A26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26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1,517</w:t>
            </w:r>
          </w:p>
        </w:tc>
        <w:tc>
          <w:tcPr>
            <w:tcW w:w="0" w:type="auto"/>
            <w:tcBorders>
              <w:bottom w:val="single" w:sz="8" w:space="0" w:color="000000"/>
            </w:tcBorders>
            <w:shd w:val="clear" w:color="auto" w:fill="auto"/>
            <w:vAlign w:val="bottom"/>
          </w:tcPr>
          <w:p w14:paraId="5556A26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26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1,638</w:t>
            </w:r>
          </w:p>
        </w:tc>
        <w:tc>
          <w:tcPr>
            <w:tcW w:w="0" w:type="auto"/>
            <w:tcBorders>
              <w:bottom w:val="single" w:sz="8" w:space="0" w:color="000000"/>
            </w:tcBorders>
            <w:shd w:val="clear" w:color="auto" w:fill="auto"/>
            <w:vAlign w:val="bottom"/>
          </w:tcPr>
          <w:p w14:paraId="5556A26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26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1,638</w:t>
            </w:r>
          </w:p>
        </w:tc>
        <w:tc>
          <w:tcPr>
            <w:tcW w:w="0" w:type="auto"/>
            <w:tcBorders>
              <w:bottom w:val="single" w:sz="8" w:space="0" w:color="000000"/>
            </w:tcBorders>
            <w:shd w:val="clear" w:color="auto" w:fill="auto"/>
            <w:vAlign w:val="bottom"/>
          </w:tcPr>
          <w:p w14:paraId="5556A26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26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1,517</w:t>
            </w:r>
          </w:p>
        </w:tc>
        <w:tc>
          <w:tcPr>
            <w:tcW w:w="0" w:type="auto"/>
            <w:tcBorders>
              <w:bottom w:val="single" w:sz="8" w:space="0" w:color="000000"/>
            </w:tcBorders>
            <w:shd w:val="clear" w:color="auto" w:fill="auto"/>
            <w:vAlign w:val="bottom"/>
          </w:tcPr>
          <w:p w14:paraId="5556A26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26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1,517</w:t>
            </w:r>
          </w:p>
        </w:tc>
        <w:tc>
          <w:tcPr>
            <w:tcW w:w="0" w:type="auto"/>
            <w:tcBorders>
              <w:bottom w:val="single" w:sz="8" w:space="0" w:color="000000"/>
            </w:tcBorders>
            <w:shd w:val="clear" w:color="auto" w:fill="auto"/>
            <w:vAlign w:val="bottom"/>
          </w:tcPr>
          <w:p w14:paraId="5556A270" w14:textId="77777777" w:rsidR="00F925DD" w:rsidRDefault="00F925DD">
            <w:pPr>
              <w:textAlignment w:val="bottom"/>
              <w:rPr>
                <w:rFonts w:ascii="Times New Roman" w:hAnsi="Times New Roman"/>
                <w:sz w:val="20"/>
                <w:szCs w:val="20"/>
              </w:rPr>
            </w:pPr>
          </w:p>
        </w:tc>
      </w:tr>
      <w:tr w:rsidR="00E705D7" w14:paraId="5556A292" w14:textId="77777777">
        <w:tc>
          <w:tcPr>
            <w:tcW w:w="0" w:type="auto"/>
            <w:gridSpan w:val="5"/>
            <w:shd w:val="clear" w:color="auto" w:fill="CCEEFF"/>
            <w:tcMar>
              <w:top w:w="40" w:type="dxa"/>
              <w:left w:w="40" w:type="dxa"/>
              <w:bottom w:w="40" w:type="dxa"/>
              <w:right w:w="40" w:type="dxa"/>
            </w:tcMar>
            <w:vAlign w:val="bottom"/>
          </w:tcPr>
          <w:p w14:paraId="5556A272"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Total risk-weighted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A273"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A27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104,364</w:t>
            </w:r>
          </w:p>
        </w:tc>
        <w:tc>
          <w:tcPr>
            <w:tcW w:w="0" w:type="auto"/>
            <w:tcBorders>
              <w:top w:val="single" w:sz="8" w:space="0" w:color="000000"/>
              <w:bottom w:val="double" w:sz="6" w:space="0" w:color="000000"/>
            </w:tcBorders>
            <w:shd w:val="clear" w:color="auto" w:fill="CCEEFF"/>
            <w:vAlign w:val="bottom"/>
          </w:tcPr>
          <w:p w14:paraId="5556A27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A277"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A27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104,005</w:t>
            </w:r>
          </w:p>
        </w:tc>
        <w:tc>
          <w:tcPr>
            <w:tcW w:w="0" w:type="auto"/>
            <w:tcBorders>
              <w:top w:val="single" w:sz="8" w:space="0" w:color="000000"/>
              <w:bottom w:val="double" w:sz="6" w:space="0" w:color="000000"/>
            </w:tcBorders>
            <w:shd w:val="clear" w:color="auto" w:fill="CCEEFF"/>
            <w:vAlign w:val="bottom"/>
          </w:tcPr>
          <w:p w14:paraId="5556A27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A27B"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5556A27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95,315</w:t>
            </w:r>
          </w:p>
        </w:tc>
        <w:tc>
          <w:tcPr>
            <w:tcW w:w="0" w:type="auto"/>
            <w:tcBorders>
              <w:bottom w:val="double" w:sz="6" w:space="0" w:color="000000"/>
            </w:tcBorders>
            <w:shd w:val="clear" w:color="auto" w:fill="CCEEFF"/>
            <w:vAlign w:val="bottom"/>
          </w:tcPr>
          <w:p w14:paraId="5556A27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A27F"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5556A280"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98,820</w:t>
            </w:r>
          </w:p>
        </w:tc>
        <w:tc>
          <w:tcPr>
            <w:tcW w:w="0" w:type="auto"/>
            <w:tcBorders>
              <w:bottom w:val="double" w:sz="6" w:space="0" w:color="000000"/>
            </w:tcBorders>
            <w:shd w:val="clear" w:color="auto" w:fill="CCEEFF"/>
            <w:vAlign w:val="bottom"/>
          </w:tcPr>
          <w:p w14:paraId="5556A28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A283"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5556A28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97,386</w:t>
            </w:r>
          </w:p>
        </w:tc>
        <w:tc>
          <w:tcPr>
            <w:tcW w:w="0" w:type="auto"/>
            <w:tcBorders>
              <w:bottom w:val="double" w:sz="6" w:space="0" w:color="000000"/>
            </w:tcBorders>
            <w:shd w:val="clear" w:color="auto" w:fill="CCEEFF"/>
            <w:vAlign w:val="bottom"/>
          </w:tcPr>
          <w:p w14:paraId="5556A2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A287"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5556A28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100,617</w:t>
            </w:r>
          </w:p>
        </w:tc>
        <w:tc>
          <w:tcPr>
            <w:tcW w:w="0" w:type="auto"/>
            <w:tcBorders>
              <w:bottom w:val="double" w:sz="6" w:space="0" w:color="000000"/>
            </w:tcBorders>
            <w:shd w:val="clear" w:color="auto" w:fill="CCEEFF"/>
            <w:vAlign w:val="bottom"/>
          </w:tcPr>
          <w:p w14:paraId="5556A2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A28B"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5556A28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91,576</w:t>
            </w:r>
          </w:p>
        </w:tc>
        <w:tc>
          <w:tcPr>
            <w:tcW w:w="0" w:type="auto"/>
            <w:tcBorders>
              <w:bottom w:val="double" w:sz="6" w:space="0" w:color="000000"/>
            </w:tcBorders>
            <w:shd w:val="clear" w:color="auto" w:fill="CCEEFF"/>
            <w:vAlign w:val="bottom"/>
          </w:tcPr>
          <w:p w14:paraId="5556A28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2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A28F"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5556A290"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96,293</w:t>
            </w:r>
          </w:p>
        </w:tc>
        <w:tc>
          <w:tcPr>
            <w:tcW w:w="0" w:type="auto"/>
            <w:tcBorders>
              <w:bottom w:val="double" w:sz="6" w:space="0" w:color="000000"/>
            </w:tcBorders>
            <w:shd w:val="clear" w:color="auto" w:fill="CCEEFF"/>
            <w:vAlign w:val="bottom"/>
          </w:tcPr>
          <w:p w14:paraId="5556A291" w14:textId="77777777" w:rsidR="00F925DD" w:rsidRDefault="00F925DD">
            <w:pPr>
              <w:textAlignment w:val="bottom"/>
              <w:rPr>
                <w:rFonts w:ascii="Times New Roman" w:hAnsi="Times New Roman"/>
                <w:sz w:val="20"/>
                <w:szCs w:val="20"/>
              </w:rPr>
            </w:pPr>
          </w:p>
        </w:tc>
      </w:tr>
      <w:tr w:rsidR="00F925DD" w14:paraId="5556A2B3" w14:textId="77777777">
        <w:tc>
          <w:tcPr>
            <w:tcW w:w="0" w:type="auto"/>
            <w:gridSpan w:val="5"/>
            <w:shd w:val="clear" w:color="auto" w:fill="auto"/>
            <w:tcMar>
              <w:top w:w="40" w:type="dxa"/>
              <w:left w:w="40" w:type="dxa"/>
              <w:bottom w:w="40" w:type="dxa"/>
              <w:right w:w="40" w:type="dxa"/>
            </w:tcMar>
            <w:vAlign w:val="bottom"/>
          </w:tcPr>
          <w:p w14:paraId="5556A293"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Adjusted quarterly average assets</w:t>
            </w:r>
          </w:p>
        </w:tc>
        <w:tc>
          <w:tcPr>
            <w:tcW w:w="0" w:type="auto"/>
            <w:tcBorders>
              <w:bottom w:val="double" w:sz="6" w:space="0" w:color="000000"/>
            </w:tcBorders>
            <w:shd w:val="clear" w:color="auto" w:fill="auto"/>
            <w:tcMar>
              <w:top w:w="40" w:type="dxa"/>
              <w:left w:w="40" w:type="dxa"/>
              <w:bottom w:w="40" w:type="dxa"/>
            </w:tcMar>
            <w:vAlign w:val="bottom"/>
          </w:tcPr>
          <w:p w14:paraId="5556A29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auto"/>
            <w:tcMar>
              <w:top w:w="40" w:type="dxa"/>
              <w:bottom w:w="40" w:type="dxa"/>
            </w:tcMar>
            <w:vAlign w:val="bottom"/>
          </w:tcPr>
          <w:p w14:paraId="5556A29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219,624</w:t>
            </w:r>
          </w:p>
        </w:tc>
        <w:tc>
          <w:tcPr>
            <w:tcW w:w="0" w:type="auto"/>
            <w:tcBorders>
              <w:bottom w:val="double" w:sz="6" w:space="0" w:color="000000"/>
            </w:tcBorders>
            <w:shd w:val="clear" w:color="auto" w:fill="auto"/>
            <w:vAlign w:val="bottom"/>
          </w:tcPr>
          <w:p w14:paraId="5556A29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A298"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auto"/>
            <w:tcMar>
              <w:top w:w="40" w:type="dxa"/>
              <w:bottom w:w="40" w:type="dxa"/>
            </w:tcMar>
            <w:vAlign w:val="bottom"/>
          </w:tcPr>
          <w:p w14:paraId="5556A29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219,624</w:t>
            </w:r>
          </w:p>
        </w:tc>
        <w:tc>
          <w:tcPr>
            <w:tcW w:w="0" w:type="auto"/>
            <w:tcBorders>
              <w:bottom w:val="double" w:sz="6" w:space="0" w:color="000000"/>
            </w:tcBorders>
            <w:shd w:val="clear" w:color="auto" w:fill="auto"/>
            <w:vAlign w:val="bottom"/>
          </w:tcPr>
          <w:p w14:paraId="5556A29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A29C"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A29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211,924</w:t>
            </w:r>
          </w:p>
        </w:tc>
        <w:tc>
          <w:tcPr>
            <w:tcW w:w="0" w:type="auto"/>
            <w:tcBorders>
              <w:top w:val="double" w:sz="6" w:space="0" w:color="000000"/>
              <w:bottom w:val="double" w:sz="6" w:space="0" w:color="000000"/>
            </w:tcBorders>
            <w:shd w:val="clear" w:color="auto" w:fill="auto"/>
            <w:vAlign w:val="bottom"/>
          </w:tcPr>
          <w:p w14:paraId="5556A29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A2A0"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A2A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211,924</w:t>
            </w:r>
          </w:p>
        </w:tc>
        <w:tc>
          <w:tcPr>
            <w:tcW w:w="0" w:type="auto"/>
            <w:tcBorders>
              <w:top w:val="double" w:sz="6" w:space="0" w:color="000000"/>
              <w:bottom w:val="double" w:sz="6" w:space="0" w:color="000000"/>
            </w:tcBorders>
            <w:shd w:val="clear" w:color="auto" w:fill="auto"/>
            <w:vAlign w:val="bottom"/>
          </w:tcPr>
          <w:p w14:paraId="5556A2A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A2A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A2A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216,397</w:t>
            </w:r>
          </w:p>
        </w:tc>
        <w:tc>
          <w:tcPr>
            <w:tcW w:w="0" w:type="auto"/>
            <w:tcBorders>
              <w:top w:val="double" w:sz="6" w:space="0" w:color="000000"/>
              <w:bottom w:val="double" w:sz="6" w:space="0" w:color="000000"/>
            </w:tcBorders>
            <w:shd w:val="clear" w:color="auto" w:fill="auto"/>
            <w:vAlign w:val="bottom"/>
          </w:tcPr>
          <w:p w14:paraId="5556A2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A2A8"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A2A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216,397</w:t>
            </w:r>
          </w:p>
        </w:tc>
        <w:tc>
          <w:tcPr>
            <w:tcW w:w="0" w:type="auto"/>
            <w:tcBorders>
              <w:top w:val="double" w:sz="6" w:space="0" w:color="000000"/>
              <w:bottom w:val="double" w:sz="6" w:space="0" w:color="000000"/>
            </w:tcBorders>
            <w:shd w:val="clear" w:color="auto" w:fill="auto"/>
            <w:vAlign w:val="bottom"/>
          </w:tcPr>
          <w:p w14:paraId="5556A2A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A2AC"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A2A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209,413</w:t>
            </w:r>
          </w:p>
        </w:tc>
        <w:tc>
          <w:tcPr>
            <w:tcW w:w="0" w:type="auto"/>
            <w:tcBorders>
              <w:top w:val="double" w:sz="6" w:space="0" w:color="000000"/>
              <w:bottom w:val="double" w:sz="6" w:space="0" w:color="000000"/>
            </w:tcBorders>
            <w:shd w:val="clear" w:color="auto" w:fill="auto"/>
            <w:vAlign w:val="bottom"/>
          </w:tcPr>
          <w:p w14:paraId="5556A2A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A2B0"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A2B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209,413</w:t>
            </w:r>
          </w:p>
        </w:tc>
        <w:tc>
          <w:tcPr>
            <w:tcW w:w="0" w:type="auto"/>
            <w:tcBorders>
              <w:top w:val="double" w:sz="6" w:space="0" w:color="000000"/>
              <w:bottom w:val="double" w:sz="6" w:space="0" w:color="000000"/>
            </w:tcBorders>
            <w:shd w:val="clear" w:color="auto" w:fill="auto"/>
            <w:vAlign w:val="bottom"/>
          </w:tcPr>
          <w:p w14:paraId="5556A2B2" w14:textId="77777777" w:rsidR="00F925DD" w:rsidRDefault="00F925DD">
            <w:pPr>
              <w:textAlignment w:val="bottom"/>
              <w:rPr>
                <w:rFonts w:ascii="Times New Roman" w:hAnsi="Times New Roman"/>
                <w:sz w:val="20"/>
                <w:szCs w:val="20"/>
              </w:rPr>
            </w:pPr>
          </w:p>
        </w:tc>
      </w:tr>
      <w:tr w:rsidR="00F925DD" w14:paraId="5556A2C6" w14:textId="77777777">
        <w:tc>
          <w:tcPr>
            <w:tcW w:w="0" w:type="auto"/>
            <w:shd w:val="clear" w:color="auto" w:fill="auto"/>
            <w:tcMar>
              <w:top w:w="40" w:type="dxa"/>
              <w:left w:w="40" w:type="dxa"/>
              <w:bottom w:w="40" w:type="dxa"/>
              <w:right w:w="40" w:type="dxa"/>
            </w:tcMar>
            <w:vAlign w:val="bottom"/>
          </w:tcPr>
          <w:p w14:paraId="5556A2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2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2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2D9" w14:textId="77777777">
        <w:tc>
          <w:tcPr>
            <w:tcW w:w="0" w:type="auto"/>
            <w:shd w:val="clear" w:color="auto" w:fill="auto"/>
            <w:tcMar>
              <w:top w:w="40" w:type="dxa"/>
              <w:left w:w="40" w:type="dxa"/>
              <w:bottom w:w="40" w:type="dxa"/>
              <w:right w:w="40" w:type="dxa"/>
            </w:tcMar>
            <w:vAlign w:val="bottom"/>
          </w:tcPr>
          <w:p w14:paraId="5556A2C7"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xml:space="preserve">Capital </w:t>
            </w:r>
            <w:r>
              <w:rPr>
                <w:rFonts w:ascii="Arial" w:eastAsia="宋体" w:hAnsi="Arial" w:cs="Arial"/>
                <w:b/>
                <w:bCs/>
                <w:sz w:val="12"/>
                <w:szCs w:val="12"/>
              </w:rPr>
              <w:t>Ratios:</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A2C8" w14:textId="77777777" w:rsidR="00F925DD" w:rsidRDefault="00E705D7">
            <w:pPr>
              <w:jc w:val="center"/>
              <w:textAlignment w:val="bottom"/>
              <w:rPr>
                <w:rFonts w:ascii="Times New Roman" w:hAnsi="Times New Roman"/>
                <w:sz w:val="12"/>
                <w:szCs w:val="12"/>
              </w:rPr>
            </w:pPr>
            <w:r>
              <w:rPr>
                <w:rFonts w:ascii="Arial" w:eastAsia="宋体" w:hAnsi="Arial" w:cs="Arial"/>
                <w:sz w:val="12"/>
                <w:szCs w:val="12"/>
              </w:rPr>
              <w:t>Minimum Requirement 2019 (including G-SIB and CCB)(5)</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A2C9" w14:textId="77777777" w:rsidR="00F925DD" w:rsidRDefault="00E705D7">
            <w:pPr>
              <w:jc w:val="center"/>
              <w:textAlignment w:val="bottom"/>
              <w:rPr>
                <w:rFonts w:ascii="Times New Roman" w:hAnsi="Times New Roman"/>
                <w:sz w:val="12"/>
                <w:szCs w:val="12"/>
              </w:rPr>
            </w:pPr>
            <w:r>
              <w:rPr>
                <w:rFonts w:ascii="Arial" w:eastAsia="宋体" w:hAnsi="Arial" w:cs="Arial"/>
                <w:sz w:val="12"/>
                <w:szCs w:val="12"/>
              </w:rPr>
              <w:t>Minimum Requirement 2018 (including G-SIB and CCB)(6)</w:t>
            </w:r>
          </w:p>
        </w:tc>
        <w:tc>
          <w:tcPr>
            <w:tcW w:w="0" w:type="auto"/>
            <w:gridSpan w:val="3"/>
            <w:shd w:val="clear" w:color="auto" w:fill="auto"/>
            <w:tcMar>
              <w:top w:w="40" w:type="dxa"/>
              <w:left w:w="40" w:type="dxa"/>
              <w:bottom w:w="40" w:type="dxa"/>
              <w:right w:w="40" w:type="dxa"/>
            </w:tcMar>
            <w:vAlign w:val="bottom"/>
          </w:tcPr>
          <w:p w14:paraId="5556A2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2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2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2F6" w14:textId="77777777">
        <w:tc>
          <w:tcPr>
            <w:tcW w:w="0" w:type="auto"/>
            <w:shd w:val="clear" w:color="auto" w:fill="CCEEFF"/>
            <w:tcMar>
              <w:top w:w="40" w:type="dxa"/>
              <w:left w:w="40" w:type="dxa"/>
              <w:bottom w:w="40" w:type="dxa"/>
              <w:right w:w="40" w:type="dxa"/>
            </w:tcMar>
            <w:vAlign w:val="bottom"/>
          </w:tcPr>
          <w:p w14:paraId="5556A2DA" w14:textId="77777777" w:rsidR="00F925DD" w:rsidRDefault="00E705D7">
            <w:pPr>
              <w:textAlignment w:val="bottom"/>
              <w:rPr>
                <w:rFonts w:ascii="Times New Roman" w:hAnsi="Times New Roman"/>
                <w:sz w:val="12"/>
                <w:szCs w:val="12"/>
              </w:rPr>
            </w:pPr>
            <w:r>
              <w:rPr>
                <w:rFonts w:ascii="Arial" w:eastAsia="宋体" w:hAnsi="Arial" w:cs="Arial"/>
                <w:sz w:val="12"/>
                <w:szCs w:val="12"/>
              </w:rPr>
              <w:t>Common equity tier 1 capital</w:t>
            </w:r>
          </w:p>
        </w:tc>
        <w:tc>
          <w:tcPr>
            <w:tcW w:w="0" w:type="auto"/>
            <w:tcBorders>
              <w:top w:val="single" w:sz="8" w:space="0" w:color="000000"/>
            </w:tcBorders>
            <w:shd w:val="clear" w:color="auto" w:fill="CCEEFF"/>
            <w:tcMar>
              <w:top w:w="40" w:type="dxa"/>
              <w:left w:w="40" w:type="dxa"/>
              <w:bottom w:w="40" w:type="dxa"/>
            </w:tcMar>
            <w:vAlign w:val="bottom"/>
          </w:tcPr>
          <w:p w14:paraId="5556A2D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8.5</w:t>
            </w:r>
          </w:p>
        </w:tc>
        <w:tc>
          <w:tcPr>
            <w:tcW w:w="0" w:type="auto"/>
            <w:tcBorders>
              <w:top w:val="single" w:sz="8" w:space="0" w:color="000000"/>
            </w:tcBorders>
            <w:shd w:val="clear" w:color="auto" w:fill="CCEEFF"/>
            <w:tcMar>
              <w:top w:w="40" w:type="dxa"/>
              <w:bottom w:w="40" w:type="dxa"/>
              <w:right w:w="40" w:type="dxa"/>
            </w:tcMar>
            <w:vAlign w:val="bottom"/>
          </w:tcPr>
          <w:p w14:paraId="5556A2DC"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CCEEFF"/>
            <w:tcMar>
              <w:top w:w="40" w:type="dxa"/>
              <w:left w:w="40" w:type="dxa"/>
              <w:bottom w:w="40" w:type="dxa"/>
            </w:tcMar>
            <w:vAlign w:val="bottom"/>
          </w:tcPr>
          <w:p w14:paraId="5556A2D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7.5</w:t>
            </w:r>
          </w:p>
        </w:tc>
        <w:tc>
          <w:tcPr>
            <w:tcW w:w="0" w:type="auto"/>
            <w:tcBorders>
              <w:top w:val="single" w:sz="8" w:space="0" w:color="000000"/>
            </w:tcBorders>
            <w:shd w:val="clear" w:color="auto" w:fill="CCEEFF"/>
            <w:tcMar>
              <w:top w:w="40" w:type="dxa"/>
              <w:bottom w:w="40" w:type="dxa"/>
              <w:right w:w="40" w:type="dxa"/>
            </w:tcMar>
            <w:vAlign w:val="bottom"/>
          </w:tcPr>
          <w:p w14:paraId="5556A2DE"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gridSpan w:val="2"/>
            <w:shd w:val="clear" w:color="auto" w:fill="CCEEFF"/>
            <w:tcMar>
              <w:top w:w="40" w:type="dxa"/>
              <w:left w:w="40" w:type="dxa"/>
              <w:bottom w:w="40" w:type="dxa"/>
            </w:tcMar>
            <w:vAlign w:val="bottom"/>
          </w:tcPr>
          <w:p w14:paraId="5556A2D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11.7</w:t>
            </w:r>
          </w:p>
        </w:tc>
        <w:tc>
          <w:tcPr>
            <w:tcW w:w="0" w:type="auto"/>
            <w:shd w:val="clear" w:color="auto" w:fill="CCEEFF"/>
            <w:tcMar>
              <w:top w:w="40" w:type="dxa"/>
              <w:bottom w:w="40" w:type="dxa"/>
              <w:right w:w="40" w:type="dxa"/>
            </w:tcMar>
            <w:vAlign w:val="bottom"/>
          </w:tcPr>
          <w:p w14:paraId="5556A2E0"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2E1" w14:textId="77777777" w:rsidR="00F925DD" w:rsidRDefault="00F925DD">
            <w:pPr>
              <w:textAlignment w:val="bottom"/>
              <w:rPr>
                <w:rFonts w:ascii="Times New Roman" w:hAnsi="Times New Roman"/>
                <w:sz w:val="12"/>
                <w:szCs w:val="12"/>
              </w:rPr>
            </w:pPr>
          </w:p>
        </w:tc>
        <w:tc>
          <w:tcPr>
            <w:tcW w:w="0" w:type="auto"/>
            <w:gridSpan w:val="2"/>
            <w:shd w:val="clear" w:color="auto" w:fill="CCEEFF"/>
            <w:tcMar>
              <w:top w:w="40" w:type="dxa"/>
              <w:left w:w="40" w:type="dxa"/>
              <w:bottom w:w="40" w:type="dxa"/>
            </w:tcMar>
            <w:vAlign w:val="bottom"/>
          </w:tcPr>
          <w:p w14:paraId="5556A2E2"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11.7</w:t>
            </w:r>
          </w:p>
        </w:tc>
        <w:tc>
          <w:tcPr>
            <w:tcW w:w="0" w:type="auto"/>
            <w:shd w:val="clear" w:color="auto" w:fill="CCEEFF"/>
            <w:tcMar>
              <w:top w:w="40" w:type="dxa"/>
              <w:bottom w:w="40" w:type="dxa"/>
              <w:right w:w="40" w:type="dxa"/>
            </w:tcMar>
            <w:vAlign w:val="bottom"/>
          </w:tcPr>
          <w:p w14:paraId="5556A2E3"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2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E5"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12.1</w:t>
            </w:r>
          </w:p>
        </w:tc>
        <w:tc>
          <w:tcPr>
            <w:tcW w:w="0" w:type="auto"/>
            <w:shd w:val="clear" w:color="auto" w:fill="CCEEFF"/>
            <w:tcMar>
              <w:top w:w="40" w:type="dxa"/>
              <w:bottom w:w="40" w:type="dxa"/>
              <w:right w:w="40" w:type="dxa"/>
            </w:tcMar>
            <w:vAlign w:val="bottom"/>
          </w:tcPr>
          <w:p w14:paraId="5556A2E6"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A2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E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11.7</w:t>
            </w:r>
          </w:p>
        </w:tc>
        <w:tc>
          <w:tcPr>
            <w:tcW w:w="0" w:type="auto"/>
            <w:shd w:val="clear" w:color="auto" w:fill="CCEEFF"/>
            <w:tcMar>
              <w:top w:w="40" w:type="dxa"/>
              <w:bottom w:w="40" w:type="dxa"/>
              <w:right w:w="40" w:type="dxa"/>
            </w:tcMar>
            <w:vAlign w:val="bottom"/>
          </w:tcPr>
          <w:p w14:paraId="5556A2E9"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A2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E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17.1</w:t>
            </w:r>
          </w:p>
        </w:tc>
        <w:tc>
          <w:tcPr>
            <w:tcW w:w="0" w:type="auto"/>
            <w:shd w:val="clear" w:color="auto" w:fill="CCEEFF"/>
            <w:tcMar>
              <w:top w:w="40" w:type="dxa"/>
              <w:bottom w:w="40" w:type="dxa"/>
              <w:right w:w="40" w:type="dxa"/>
            </w:tcMar>
            <w:vAlign w:val="bottom"/>
          </w:tcPr>
          <w:p w14:paraId="5556A2EC"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2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EE"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16.5</w:t>
            </w:r>
          </w:p>
        </w:tc>
        <w:tc>
          <w:tcPr>
            <w:tcW w:w="0" w:type="auto"/>
            <w:shd w:val="clear" w:color="auto" w:fill="CCEEFF"/>
            <w:tcMar>
              <w:top w:w="40" w:type="dxa"/>
              <w:bottom w:w="40" w:type="dxa"/>
              <w:right w:w="40" w:type="dxa"/>
            </w:tcMar>
            <w:vAlign w:val="bottom"/>
          </w:tcPr>
          <w:p w14:paraId="5556A2EF"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A2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F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18.5</w:t>
            </w:r>
          </w:p>
        </w:tc>
        <w:tc>
          <w:tcPr>
            <w:tcW w:w="0" w:type="auto"/>
            <w:shd w:val="clear" w:color="auto" w:fill="CCEEFF"/>
            <w:tcMar>
              <w:top w:w="40" w:type="dxa"/>
              <w:bottom w:w="40" w:type="dxa"/>
              <w:right w:w="40" w:type="dxa"/>
            </w:tcMar>
            <w:vAlign w:val="bottom"/>
          </w:tcPr>
          <w:p w14:paraId="5556A2F2"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A2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2F4"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17.6</w:t>
            </w:r>
          </w:p>
        </w:tc>
        <w:tc>
          <w:tcPr>
            <w:tcW w:w="0" w:type="auto"/>
            <w:shd w:val="clear" w:color="auto" w:fill="CCEEFF"/>
            <w:tcMar>
              <w:top w:w="40" w:type="dxa"/>
              <w:bottom w:w="40" w:type="dxa"/>
              <w:right w:w="40" w:type="dxa"/>
            </w:tcMar>
            <w:vAlign w:val="bottom"/>
          </w:tcPr>
          <w:p w14:paraId="5556A2F5"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r>
      <w:tr w:rsidR="00F925DD" w14:paraId="5556A313" w14:textId="77777777">
        <w:tc>
          <w:tcPr>
            <w:tcW w:w="0" w:type="auto"/>
            <w:shd w:val="clear" w:color="auto" w:fill="auto"/>
            <w:tcMar>
              <w:top w:w="40" w:type="dxa"/>
              <w:left w:w="40" w:type="dxa"/>
              <w:bottom w:w="40" w:type="dxa"/>
              <w:right w:w="40" w:type="dxa"/>
            </w:tcMar>
            <w:vAlign w:val="bottom"/>
          </w:tcPr>
          <w:p w14:paraId="5556A2F7" w14:textId="77777777" w:rsidR="00F925DD" w:rsidRDefault="00E705D7">
            <w:pPr>
              <w:textAlignment w:val="bottom"/>
              <w:rPr>
                <w:rFonts w:ascii="Times New Roman" w:hAnsi="Times New Roman"/>
                <w:sz w:val="12"/>
                <w:szCs w:val="12"/>
              </w:rPr>
            </w:pPr>
            <w:r>
              <w:rPr>
                <w:rFonts w:ascii="Arial" w:eastAsia="宋体" w:hAnsi="Arial" w:cs="Arial"/>
                <w:sz w:val="12"/>
                <w:szCs w:val="12"/>
              </w:rPr>
              <w:t>Tier 1 capital</w:t>
            </w:r>
          </w:p>
        </w:tc>
        <w:tc>
          <w:tcPr>
            <w:tcW w:w="0" w:type="auto"/>
            <w:shd w:val="clear" w:color="auto" w:fill="auto"/>
            <w:tcMar>
              <w:top w:w="40" w:type="dxa"/>
              <w:left w:w="40" w:type="dxa"/>
              <w:bottom w:w="40" w:type="dxa"/>
            </w:tcMar>
            <w:vAlign w:val="bottom"/>
          </w:tcPr>
          <w:p w14:paraId="5556A2F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10.0</w:t>
            </w:r>
          </w:p>
        </w:tc>
        <w:tc>
          <w:tcPr>
            <w:tcW w:w="0" w:type="auto"/>
            <w:shd w:val="clear" w:color="auto" w:fill="auto"/>
            <w:vAlign w:val="bottom"/>
          </w:tcPr>
          <w:p w14:paraId="5556A2F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5556A2FA"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9.0</w:t>
            </w:r>
          </w:p>
        </w:tc>
        <w:tc>
          <w:tcPr>
            <w:tcW w:w="0" w:type="auto"/>
            <w:shd w:val="clear" w:color="auto" w:fill="auto"/>
            <w:vAlign w:val="bottom"/>
          </w:tcPr>
          <w:p w14:paraId="5556A2FB"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5556A2F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14.5</w:t>
            </w:r>
          </w:p>
        </w:tc>
        <w:tc>
          <w:tcPr>
            <w:tcW w:w="0" w:type="auto"/>
            <w:shd w:val="clear" w:color="auto" w:fill="auto"/>
            <w:vAlign w:val="bottom"/>
          </w:tcPr>
          <w:p w14:paraId="5556A2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2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2F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14.6</w:t>
            </w:r>
          </w:p>
        </w:tc>
        <w:tc>
          <w:tcPr>
            <w:tcW w:w="0" w:type="auto"/>
            <w:shd w:val="clear" w:color="auto" w:fill="auto"/>
            <w:vAlign w:val="bottom"/>
          </w:tcPr>
          <w:p w14:paraId="5556A3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0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16.0</w:t>
            </w:r>
          </w:p>
        </w:tc>
        <w:tc>
          <w:tcPr>
            <w:tcW w:w="0" w:type="auto"/>
            <w:shd w:val="clear" w:color="auto" w:fill="auto"/>
            <w:vAlign w:val="bottom"/>
          </w:tcPr>
          <w:p w14:paraId="5556A30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05"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15.5</w:t>
            </w:r>
          </w:p>
        </w:tc>
        <w:tc>
          <w:tcPr>
            <w:tcW w:w="0" w:type="auto"/>
            <w:shd w:val="clear" w:color="auto" w:fill="auto"/>
            <w:vAlign w:val="bottom"/>
          </w:tcPr>
          <w:p w14:paraId="5556A30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0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17.1</w:t>
            </w:r>
          </w:p>
        </w:tc>
        <w:tc>
          <w:tcPr>
            <w:tcW w:w="0" w:type="auto"/>
            <w:shd w:val="clear" w:color="auto" w:fill="auto"/>
            <w:vAlign w:val="bottom"/>
          </w:tcPr>
          <w:p w14:paraId="5556A3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0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16.5</w:t>
            </w:r>
          </w:p>
        </w:tc>
        <w:tc>
          <w:tcPr>
            <w:tcW w:w="0" w:type="auto"/>
            <w:shd w:val="clear" w:color="auto" w:fill="auto"/>
            <w:vAlign w:val="bottom"/>
          </w:tcPr>
          <w:p w14:paraId="5556A3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0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18.5</w:t>
            </w:r>
          </w:p>
        </w:tc>
        <w:tc>
          <w:tcPr>
            <w:tcW w:w="0" w:type="auto"/>
            <w:shd w:val="clear" w:color="auto" w:fill="auto"/>
            <w:vAlign w:val="bottom"/>
          </w:tcPr>
          <w:p w14:paraId="5556A3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1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17.6</w:t>
            </w:r>
          </w:p>
        </w:tc>
        <w:tc>
          <w:tcPr>
            <w:tcW w:w="0" w:type="auto"/>
            <w:shd w:val="clear" w:color="auto" w:fill="auto"/>
            <w:vAlign w:val="bottom"/>
          </w:tcPr>
          <w:p w14:paraId="5556A312" w14:textId="77777777" w:rsidR="00F925DD" w:rsidRDefault="00F925DD">
            <w:pPr>
              <w:textAlignment w:val="bottom"/>
              <w:rPr>
                <w:rFonts w:ascii="Times New Roman" w:hAnsi="Times New Roman"/>
                <w:sz w:val="20"/>
                <w:szCs w:val="20"/>
              </w:rPr>
            </w:pPr>
          </w:p>
        </w:tc>
      </w:tr>
      <w:tr w:rsidR="00F925DD" w14:paraId="5556A330" w14:textId="77777777">
        <w:tc>
          <w:tcPr>
            <w:tcW w:w="0" w:type="auto"/>
            <w:shd w:val="clear" w:color="auto" w:fill="CCEEFF"/>
            <w:tcMar>
              <w:top w:w="40" w:type="dxa"/>
              <w:left w:w="40" w:type="dxa"/>
              <w:bottom w:w="40" w:type="dxa"/>
              <w:right w:w="40" w:type="dxa"/>
            </w:tcMar>
            <w:vAlign w:val="bottom"/>
          </w:tcPr>
          <w:p w14:paraId="5556A314" w14:textId="77777777" w:rsidR="00F925DD" w:rsidRDefault="00E705D7">
            <w:pPr>
              <w:textAlignment w:val="bottom"/>
              <w:rPr>
                <w:rFonts w:ascii="Times New Roman" w:hAnsi="Times New Roman"/>
                <w:sz w:val="12"/>
                <w:szCs w:val="12"/>
              </w:rPr>
            </w:pPr>
            <w:r>
              <w:rPr>
                <w:rFonts w:ascii="Arial" w:eastAsia="宋体" w:hAnsi="Arial" w:cs="Arial"/>
                <w:sz w:val="12"/>
                <w:szCs w:val="12"/>
              </w:rPr>
              <w:t>Total capital</w:t>
            </w:r>
          </w:p>
        </w:tc>
        <w:tc>
          <w:tcPr>
            <w:tcW w:w="0" w:type="auto"/>
            <w:shd w:val="clear" w:color="auto" w:fill="CCEEFF"/>
            <w:tcMar>
              <w:top w:w="40" w:type="dxa"/>
              <w:left w:w="40" w:type="dxa"/>
              <w:bottom w:w="40" w:type="dxa"/>
            </w:tcMar>
            <w:vAlign w:val="bottom"/>
          </w:tcPr>
          <w:p w14:paraId="5556A31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12.0</w:t>
            </w:r>
          </w:p>
        </w:tc>
        <w:tc>
          <w:tcPr>
            <w:tcW w:w="0" w:type="auto"/>
            <w:shd w:val="clear" w:color="auto" w:fill="CCEEFF"/>
            <w:vAlign w:val="bottom"/>
          </w:tcPr>
          <w:p w14:paraId="5556A3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5556A31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11.0</w:t>
            </w:r>
          </w:p>
        </w:tc>
        <w:tc>
          <w:tcPr>
            <w:tcW w:w="0" w:type="auto"/>
            <w:shd w:val="clear" w:color="auto" w:fill="CCEEFF"/>
            <w:vAlign w:val="bottom"/>
          </w:tcPr>
          <w:p w14:paraId="5556A318"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5556A31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15.6</w:t>
            </w:r>
          </w:p>
        </w:tc>
        <w:tc>
          <w:tcPr>
            <w:tcW w:w="0" w:type="auto"/>
            <w:shd w:val="clear" w:color="auto" w:fill="CCEEFF"/>
            <w:vAlign w:val="bottom"/>
          </w:tcPr>
          <w:p w14:paraId="5556A3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1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15.7</w:t>
            </w:r>
          </w:p>
        </w:tc>
        <w:tc>
          <w:tcPr>
            <w:tcW w:w="0" w:type="auto"/>
            <w:shd w:val="clear" w:color="auto" w:fill="CCEEFF"/>
            <w:vAlign w:val="bottom"/>
          </w:tcPr>
          <w:p w14:paraId="5556A31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1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16.9</w:t>
            </w:r>
          </w:p>
        </w:tc>
        <w:tc>
          <w:tcPr>
            <w:tcW w:w="0" w:type="auto"/>
            <w:shd w:val="clear" w:color="auto" w:fill="CCEEFF"/>
            <w:vAlign w:val="bottom"/>
          </w:tcPr>
          <w:p w14:paraId="5556A32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2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16.3</w:t>
            </w:r>
          </w:p>
        </w:tc>
        <w:tc>
          <w:tcPr>
            <w:tcW w:w="0" w:type="auto"/>
            <w:shd w:val="clear" w:color="auto" w:fill="CCEEFF"/>
            <w:vAlign w:val="bottom"/>
          </w:tcPr>
          <w:p w14:paraId="5556A32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2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18.2</w:t>
            </w:r>
          </w:p>
        </w:tc>
        <w:tc>
          <w:tcPr>
            <w:tcW w:w="0" w:type="auto"/>
            <w:shd w:val="clear" w:color="auto" w:fill="CCEEFF"/>
            <w:vAlign w:val="bottom"/>
          </w:tcPr>
          <w:p w14:paraId="5556A32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2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17.7</w:t>
            </w:r>
          </w:p>
        </w:tc>
        <w:tc>
          <w:tcPr>
            <w:tcW w:w="0" w:type="auto"/>
            <w:shd w:val="clear" w:color="auto" w:fill="CCEEFF"/>
            <w:vAlign w:val="bottom"/>
          </w:tcPr>
          <w:p w14:paraId="5556A3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2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19.4</w:t>
            </w:r>
          </w:p>
        </w:tc>
        <w:tc>
          <w:tcPr>
            <w:tcW w:w="0" w:type="auto"/>
            <w:shd w:val="clear" w:color="auto" w:fill="CCEEFF"/>
            <w:vAlign w:val="bottom"/>
          </w:tcPr>
          <w:p w14:paraId="5556A32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2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18.5</w:t>
            </w:r>
          </w:p>
        </w:tc>
        <w:tc>
          <w:tcPr>
            <w:tcW w:w="0" w:type="auto"/>
            <w:shd w:val="clear" w:color="auto" w:fill="CCEEFF"/>
            <w:vAlign w:val="bottom"/>
          </w:tcPr>
          <w:p w14:paraId="5556A32F" w14:textId="77777777" w:rsidR="00F925DD" w:rsidRDefault="00F925DD">
            <w:pPr>
              <w:textAlignment w:val="bottom"/>
              <w:rPr>
                <w:rFonts w:ascii="Times New Roman" w:hAnsi="Times New Roman"/>
                <w:sz w:val="20"/>
                <w:szCs w:val="20"/>
              </w:rPr>
            </w:pPr>
          </w:p>
        </w:tc>
      </w:tr>
    </w:tbl>
    <w:p w14:paraId="5556A331"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09"/>
        <w:gridCol w:w="1578"/>
        <w:gridCol w:w="1578"/>
        <w:gridCol w:w="2741"/>
      </w:tblGrid>
      <w:tr w:rsidR="00F925DD" w14:paraId="5556A333" w14:textId="77777777">
        <w:tc>
          <w:tcPr>
            <w:tcW w:w="0" w:type="auto"/>
            <w:gridSpan w:val="4"/>
            <w:shd w:val="clear" w:color="auto" w:fill="auto"/>
            <w:vAlign w:val="center"/>
          </w:tcPr>
          <w:p w14:paraId="5556A332" w14:textId="77777777" w:rsidR="00F925DD" w:rsidRDefault="00F925DD">
            <w:pPr>
              <w:rPr>
                <w:rFonts w:ascii="Times New Roman" w:hAnsi="Times New Roman"/>
                <w:sz w:val="20"/>
                <w:szCs w:val="20"/>
              </w:rPr>
            </w:pPr>
          </w:p>
        </w:tc>
      </w:tr>
      <w:tr w:rsidR="00F925DD" w14:paraId="5556A338" w14:textId="77777777">
        <w:tc>
          <w:tcPr>
            <w:tcW w:w="1450" w:type="pct"/>
            <w:shd w:val="clear" w:color="auto" w:fill="auto"/>
            <w:vAlign w:val="center"/>
          </w:tcPr>
          <w:p w14:paraId="5556A334" w14:textId="77777777" w:rsidR="00F925DD" w:rsidRDefault="00F925DD">
            <w:pPr>
              <w:rPr>
                <w:rFonts w:ascii="Times New Roman" w:hAnsi="Times New Roman"/>
                <w:sz w:val="20"/>
                <w:szCs w:val="20"/>
              </w:rPr>
            </w:pPr>
          </w:p>
        </w:tc>
        <w:tc>
          <w:tcPr>
            <w:tcW w:w="950" w:type="pct"/>
            <w:shd w:val="clear" w:color="auto" w:fill="auto"/>
            <w:vAlign w:val="center"/>
          </w:tcPr>
          <w:p w14:paraId="5556A335" w14:textId="77777777" w:rsidR="00F925DD" w:rsidRDefault="00F925DD">
            <w:pPr>
              <w:rPr>
                <w:rFonts w:ascii="Times New Roman" w:hAnsi="Times New Roman"/>
                <w:sz w:val="20"/>
                <w:szCs w:val="20"/>
              </w:rPr>
            </w:pPr>
          </w:p>
        </w:tc>
        <w:tc>
          <w:tcPr>
            <w:tcW w:w="950" w:type="pct"/>
            <w:shd w:val="clear" w:color="auto" w:fill="auto"/>
            <w:vAlign w:val="center"/>
          </w:tcPr>
          <w:p w14:paraId="5556A336" w14:textId="77777777" w:rsidR="00F925DD" w:rsidRDefault="00F925DD">
            <w:pPr>
              <w:rPr>
                <w:rFonts w:ascii="Times New Roman" w:hAnsi="Times New Roman"/>
                <w:sz w:val="20"/>
                <w:szCs w:val="20"/>
              </w:rPr>
            </w:pPr>
          </w:p>
        </w:tc>
        <w:tc>
          <w:tcPr>
            <w:tcW w:w="1650" w:type="pct"/>
            <w:shd w:val="clear" w:color="auto" w:fill="auto"/>
            <w:vAlign w:val="center"/>
          </w:tcPr>
          <w:p w14:paraId="5556A337" w14:textId="77777777" w:rsidR="00F925DD" w:rsidRDefault="00F925DD">
            <w:pPr>
              <w:rPr>
                <w:rFonts w:ascii="Times New Roman" w:hAnsi="Times New Roman"/>
                <w:sz w:val="20"/>
                <w:szCs w:val="20"/>
              </w:rPr>
            </w:pPr>
          </w:p>
        </w:tc>
      </w:tr>
      <w:tr w:rsidR="00F925DD" w14:paraId="5556A33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A3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3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3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3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A33E"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(1)</w:t>
      </w:r>
      <w:r>
        <w:rPr>
          <w:rFonts w:ascii="Arial" w:eastAsia="宋体" w:hAnsi="Arial" w:cs="Arial"/>
          <w:sz w:val="12"/>
          <w:szCs w:val="12"/>
        </w:rPr>
        <w:t xml:space="preserve"> Under the applicable bank regulatory rules, we are not required to and, accordingly, did not revise previously-filed reported capital metrics and ratios following the change in accounting for low Income housing tax credits (LIHTC). </w:t>
      </w:r>
    </w:p>
    <w:p w14:paraId="5556A33F"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(2)</w:t>
      </w:r>
      <w:r>
        <w:rPr>
          <w:rFonts w:ascii="Arial" w:eastAsia="宋体" w:hAnsi="Arial" w:cs="Arial"/>
          <w:sz w:val="12"/>
          <w:szCs w:val="12"/>
        </w:rPr>
        <w:t xml:space="preserve"> Other adjustments </w:t>
      </w:r>
      <w:r>
        <w:rPr>
          <w:rFonts w:ascii="Arial" w:eastAsia="宋体" w:hAnsi="Arial" w:cs="Arial"/>
          <w:sz w:val="12"/>
          <w:szCs w:val="12"/>
        </w:rPr>
        <w:t>within CET1 capital primarily include the overfunded portion of our defined benefit pension plan obligation net of associated deferred tax liabilities, disallowed deferred tax assets, and other required credit risk based deductions.</w:t>
      </w:r>
    </w:p>
    <w:p w14:paraId="5556A340"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(3) </w:t>
      </w:r>
      <w:r>
        <w:rPr>
          <w:rFonts w:ascii="Arial" w:eastAsia="宋体" w:hAnsi="Arial" w:cs="Arial"/>
          <w:sz w:val="12"/>
          <w:szCs w:val="12"/>
        </w:rPr>
        <w:t>Includes a CVA whic</w:t>
      </w:r>
      <w:r>
        <w:rPr>
          <w:rFonts w:ascii="Arial" w:eastAsia="宋体" w:hAnsi="Arial" w:cs="Arial"/>
          <w:sz w:val="12"/>
          <w:szCs w:val="12"/>
        </w:rPr>
        <w:t>h reflects the risk of potential fair value adjustments for credit risk reflected in our valuation of over-the-counter (OTC) derivative contracts. We used a simple CVA approach in conformity with the Basel III advanced approaches.</w:t>
      </w:r>
    </w:p>
    <w:p w14:paraId="5556A341"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(4)</w:t>
      </w:r>
      <w:r>
        <w:rPr>
          <w:rFonts w:ascii="Arial" w:eastAsia="宋体" w:hAnsi="Arial" w:cs="Arial"/>
          <w:sz w:val="12"/>
          <w:szCs w:val="12"/>
        </w:rPr>
        <w:t xml:space="preserve"> Under the current adv</w:t>
      </w:r>
      <w:r>
        <w:rPr>
          <w:rFonts w:ascii="Arial" w:eastAsia="宋体" w:hAnsi="Arial" w:cs="Arial"/>
          <w:sz w:val="12"/>
          <w:szCs w:val="12"/>
        </w:rPr>
        <w:t>anced approaches rules and regulatory guidance concerning operational risk models, RWA attributable to operational risk can vary substantially from period-to-period, without direct correlation to the effects of a particular loss event on our results of ope</w:t>
      </w:r>
      <w:r>
        <w:rPr>
          <w:rFonts w:ascii="Arial" w:eastAsia="宋体" w:hAnsi="Arial" w:cs="Arial"/>
          <w:sz w:val="12"/>
          <w:szCs w:val="12"/>
        </w:rPr>
        <w:t>rations and financial condition and impacting dates and periods that may differ from the dates and periods as of and during which the loss event is reflected in our financial statements, with the timing and categorization dependent on the processes for mod</w:t>
      </w:r>
      <w:r>
        <w:rPr>
          <w:rFonts w:ascii="Arial" w:eastAsia="宋体" w:hAnsi="Arial" w:cs="Arial"/>
          <w:sz w:val="12"/>
          <w:szCs w:val="12"/>
        </w:rPr>
        <w:t>el updates and, if applicable, model revalidation and regulatory review and related supervisory processes. An individual loss event can have a significant effect on the output of our operational RWA under the advanced approaches depending on the severity o</w:t>
      </w:r>
      <w:r>
        <w:rPr>
          <w:rFonts w:ascii="Arial" w:eastAsia="宋体" w:hAnsi="Arial" w:cs="Arial"/>
          <w:sz w:val="12"/>
          <w:szCs w:val="12"/>
        </w:rPr>
        <w:t xml:space="preserve">f the loss event and its categorization among the seven Basel-defined UOMs. </w:t>
      </w:r>
    </w:p>
    <w:p w14:paraId="5556A342"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(5) </w:t>
      </w:r>
      <w:r>
        <w:rPr>
          <w:rFonts w:ascii="Arial" w:eastAsia="宋体" w:hAnsi="Arial" w:cs="Arial"/>
          <w:sz w:val="12"/>
          <w:szCs w:val="12"/>
        </w:rPr>
        <w:t>2019 Minimum Requirements including Capital Conservation Buffer and G-SIB Surcharge.</w:t>
      </w:r>
    </w:p>
    <w:p w14:paraId="5556A343"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(6) </w:t>
      </w:r>
      <w:r>
        <w:rPr>
          <w:rFonts w:ascii="Arial" w:eastAsia="宋体" w:hAnsi="Arial" w:cs="Arial"/>
          <w:sz w:val="12"/>
          <w:szCs w:val="12"/>
        </w:rPr>
        <w:t xml:space="preserve">2018 Minimum Requirements including Capital Conservation Buffer and G-SIB </w:t>
      </w:r>
      <w:r>
        <w:rPr>
          <w:rFonts w:ascii="Arial" w:eastAsia="宋体" w:hAnsi="Arial" w:cs="Arial"/>
          <w:sz w:val="12"/>
          <w:szCs w:val="12"/>
        </w:rPr>
        <w:t>Surcharge.</w:t>
      </w:r>
    </w:p>
    <w:p w14:paraId="5556A344"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NA</w:t>
      </w:r>
      <w:r>
        <w:rPr>
          <w:rFonts w:ascii="Arial" w:eastAsia="宋体" w:hAnsi="Arial" w:cs="Arial"/>
          <w:sz w:val="12"/>
          <w:szCs w:val="12"/>
        </w:rPr>
        <w:t xml:space="preserve"> Not applicable</w:t>
      </w:r>
    </w:p>
    <w:p w14:paraId="5556A345" w14:textId="77777777" w:rsidR="00F925DD" w:rsidRDefault="00F925DD">
      <w:pPr>
        <w:rPr>
          <w:rFonts w:ascii="Times New Roman" w:hAnsi="Times New Roman"/>
          <w:sz w:val="20"/>
          <w:szCs w:val="20"/>
        </w:rPr>
      </w:pPr>
    </w:p>
    <w:p w14:paraId="5556A34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109</w:t>
      </w:r>
    </w:p>
    <w:p w14:paraId="5556A347" w14:textId="77777777" w:rsidR="00F925DD" w:rsidRDefault="00F925DD">
      <w:pPr>
        <w:spacing w:line="288" w:lineRule="auto"/>
        <w:ind w:firstLine="600"/>
        <w:jc w:val="center"/>
        <w:rPr>
          <w:rFonts w:ascii="Times New Roman" w:hAnsi="Times New Roman"/>
          <w:sz w:val="18"/>
          <w:szCs w:val="18"/>
        </w:rPr>
      </w:pPr>
    </w:p>
    <w:p w14:paraId="5556A348" w14:textId="77777777" w:rsidR="00F925DD" w:rsidRDefault="00E705D7">
      <w:r>
        <w:rPr>
          <w:rFonts w:ascii="Times New Roman" w:hAnsi="Times New Roman"/>
          <w:sz w:val="18"/>
          <w:szCs w:val="18"/>
        </w:rPr>
        <w:pict w14:anchorId="555706A7">
          <v:rect id="_x0000_i1133" style="width:415.3pt;height:1.5pt" o:hralign="center" o:hrstd="t" o:hr="t" fillcolor="#a0a0a0" stroked="f"/>
        </w:pict>
      </w:r>
    </w:p>
    <w:p w14:paraId="5556A34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A34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A34B" w14:textId="77777777" w:rsidR="00F925DD" w:rsidRDefault="00F925DD">
      <w:pPr>
        <w:rPr>
          <w:rFonts w:ascii="Times New Roman" w:hAnsi="Times New Roman"/>
          <w:sz w:val="20"/>
          <w:szCs w:val="20"/>
        </w:rPr>
      </w:pPr>
    </w:p>
    <w:p w14:paraId="5556A34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CET1 capital increased $0.63 billion as of December 31, 2019 compared to December 31, 2018, primarily</w:t>
      </w:r>
      <w:r>
        <w:rPr>
          <w:rFonts w:ascii="Arial" w:eastAsia="宋体" w:hAnsi="Arial" w:cs="Arial"/>
          <w:sz w:val="20"/>
          <w:szCs w:val="20"/>
        </w:rPr>
        <w:t xml:space="preserve"> driven by net income and accumulated other comprehensive income in the year ended December 31, 2019, partially offset by common stock repurchases and capital distributions from common and preferred stock dividends.</w:t>
      </w:r>
    </w:p>
    <w:p w14:paraId="5556A34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tier 1 capital decreased $0.10 billi</w:t>
      </w:r>
      <w:r>
        <w:rPr>
          <w:rFonts w:ascii="Arial" w:eastAsia="宋体" w:hAnsi="Arial" w:cs="Arial"/>
          <w:sz w:val="20"/>
          <w:szCs w:val="20"/>
        </w:rPr>
        <w:t>on as of December 31, 2019 compared to December 31, 2018 under both the advanced approaches and standardized approach due to the redemption of all outstanding Series E preferred stock and changes in our CET1 capital. Total capital increased under the advan</w:t>
      </w:r>
      <w:r>
        <w:rPr>
          <w:rFonts w:ascii="Arial" w:eastAsia="宋体" w:hAnsi="Arial" w:cs="Arial"/>
          <w:sz w:val="20"/>
          <w:szCs w:val="20"/>
        </w:rPr>
        <w:t>ced approaches and standardized approach by $0.21 billion and $0.23 billion, respectively, due to the changes in our tier 1 and tier 2 capital.</w:t>
      </w:r>
    </w:p>
    <w:p w14:paraId="5556A34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table below presents a roll-forward of CET1 capital, tier 1 capital and total capital for the years ended De</w:t>
      </w:r>
      <w:r>
        <w:rPr>
          <w:rFonts w:ascii="Arial" w:eastAsia="宋体" w:hAnsi="Arial" w:cs="Arial"/>
          <w:sz w:val="20"/>
          <w:szCs w:val="20"/>
        </w:rPr>
        <w:t>cember 31, 2019 and 2018.</w:t>
      </w:r>
    </w:p>
    <w:tbl>
      <w:tblPr>
        <w:tblW w:w="5000" w:type="pct"/>
        <w:tblCellMar>
          <w:left w:w="0" w:type="dxa"/>
          <w:right w:w="0" w:type="dxa"/>
        </w:tblCellMar>
        <w:tblLook w:val="04A0" w:firstRow="1" w:lastRow="0" w:firstColumn="1" w:lastColumn="0" w:noHBand="0" w:noVBand="1"/>
      </w:tblPr>
      <w:tblGrid>
        <w:gridCol w:w="3913"/>
        <w:gridCol w:w="119"/>
        <w:gridCol w:w="840"/>
        <w:gridCol w:w="87"/>
        <w:gridCol w:w="130"/>
        <w:gridCol w:w="118"/>
        <w:gridCol w:w="800"/>
        <w:gridCol w:w="87"/>
        <w:gridCol w:w="130"/>
        <w:gridCol w:w="119"/>
        <w:gridCol w:w="741"/>
        <w:gridCol w:w="87"/>
        <w:gridCol w:w="130"/>
        <w:gridCol w:w="118"/>
        <w:gridCol w:w="800"/>
        <w:gridCol w:w="87"/>
      </w:tblGrid>
      <w:tr w:rsidR="00F925DD" w14:paraId="5556A350" w14:textId="77777777">
        <w:tc>
          <w:tcPr>
            <w:tcW w:w="0" w:type="auto"/>
            <w:gridSpan w:val="16"/>
            <w:shd w:val="clear" w:color="auto" w:fill="auto"/>
            <w:vAlign w:val="center"/>
          </w:tcPr>
          <w:p w14:paraId="5556A34F" w14:textId="77777777" w:rsidR="00F925DD" w:rsidRDefault="00F925DD">
            <w:pPr>
              <w:rPr>
                <w:rFonts w:ascii="Times New Roman" w:hAnsi="Times New Roman"/>
                <w:sz w:val="20"/>
                <w:szCs w:val="20"/>
              </w:rPr>
            </w:pPr>
          </w:p>
        </w:tc>
      </w:tr>
      <w:tr w:rsidR="00F925DD" w14:paraId="5556A361" w14:textId="77777777">
        <w:tc>
          <w:tcPr>
            <w:tcW w:w="2400" w:type="pct"/>
            <w:shd w:val="clear" w:color="auto" w:fill="auto"/>
            <w:vAlign w:val="center"/>
          </w:tcPr>
          <w:p w14:paraId="5556A351" w14:textId="77777777" w:rsidR="00F925DD" w:rsidRDefault="00F925DD">
            <w:pPr>
              <w:rPr>
                <w:rFonts w:ascii="Times New Roman" w:hAnsi="Times New Roman"/>
                <w:sz w:val="20"/>
                <w:szCs w:val="20"/>
              </w:rPr>
            </w:pPr>
          </w:p>
        </w:tc>
        <w:tc>
          <w:tcPr>
            <w:tcW w:w="50" w:type="pct"/>
            <w:shd w:val="clear" w:color="auto" w:fill="auto"/>
            <w:vAlign w:val="center"/>
          </w:tcPr>
          <w:p w14:paraId="5556A352" w14:textId="77777777" w:rsidR="00F925DD" w:rsidRDefault="00F925DD">
            <w:pPr>
              <w:rPr>
                <w:rFonts w:ascii="Times New Roman" w:hAnsi="Times New Roman"/>
                <w:sz w:val="20"/>
                <w:szCs w:val="20"/>
              </w:rPr>
            </w:pPr>
          </w:p>
        </w:tc>
        <w:tc>
          <w:tcPr>
            <w:tcW w:w="550" w:type="pct"/>
            <w:shd w:val="clear" w:color="auto" w:fill="auto"/>
            <w:vAlign w:val="center"/>
          </w:tcPr>
          <w:p w14:paraId="5556A353" w14:textId="77777777" w:rsidR="00F925DD" w:rsidRDefault="00F925DD">
            <w:pPr>
              <w:rPr>
                <w:rFonts w:ascii="Times New Roman" w:hAnsi="Times New Roman"/>
                <w:sz w:val="20"/>
                <w:szCs w:val="20"/>
              </w:rPr>
            </w:pPr>
          </w:p>
        </w:tc>
        <w:tc>
          <w:tcPr>
            <w:tcW w:w="50" w:type="pct"/>
            <w:shd w:val="clear" w:color="auto" w:fill="auto"/>
            <w:vAlign w:val="center"/>
          </w:tcPr>
          <w:p w14:paraId="5556A354" w14:textId="77777777" w:rsidR="00F925DD" w:rsidRDefault="00F925DD">
            <w:pPr>
              <w:rPr>
                <w:rFonts w:ascii="Times New Roman" w:hAnsi="Times New Roman"/>
                <w:sz w:val="20"/>
                <w:szCs w:val="20"/>
              </w:rPr>
            </w:pPr>
          </w:p>
        </w:tc>
        <w:tc>
          <w:tcPr>
            <w:tcW w:w="50" w:type="pct"/>
            <w:shd w:val="clear" w:color="auto" w:fill="auto"/>
            <w:vAlign w:val="center"/>
          </w:tcPr>
          <w:p w14:paraId="5556A355" w14:textId="77777777" w:rsidR="00F925DD" w:rsidRDefault="00F925DD">
            <w:pPr>
              <w:rPr>
                <w:rFonts w:ascii="Times New Roman" w:hAnsi="Times New Roman"/>
                <w:sz w:val="20"/>
                <w:szCs w:val="20"/>
              </w:rPr>
            </w:pPr>
          </w:p>
        </w:tc>
        <w:tc>
          <w:tcPr>
            <w:tcW w:w="50" w:type="pct"/>
            <w:shd w:val="clear" w:color="auto" w:fill="auto"/>
            <w:vAlign w:val="center"/>
          </w:tcPr>
          <w:p w14:paraId="5556A356" w14:textId="77777777" w:rsidR="00F925DD" w:rsidRDefault="00F925DD">
            <w:pPr>
              <w:rPr>
                <w:rFonts w:ascii="Times New Roman" w:hAnsi="Times New Roman"/>
                <w:sz w:val="20"/>
                <w:szCs w:val="20"/>
              </w:rPr>
            </w:pPr>
          </w:p>
        </w:tc>
        <w:tc>
          <w:tcPr>
            <w:tcW w:w="500" w:type="pct"/>
            <w:shd w:val="clear" w:color="auto" w:fill="auto"/>
            <w:vAlign w:val="center"/>
          </w:tcPr>
          <w:p w14:paraId="5556A357" w14:textId="77777777" w:rsidR="00F925DD" w:rsidRDefault="00F925DD">
            <w:pPr>
              <w:rPr>
                <w:rFonts w:ascii="Times New Roman" w:hAnsi="Times New Roman"/>
                <w:sz w:val="20"/>
                <w:szCs w:val="20"/>
              </w:rPr>
            </w:pPr>
          </w:p>
        </w:tc>
        <w:tc>
          <w:tcPr>
            <w:tcW w:w="50" w:type="pct"/>
            <w:shd w:val="clear" w:color="auto" w:fill="auto"/>
            <w:vAlign w:val="center"/>
          </w:tcPr>
          <w:p w14:paraId="5556A358" w14:textId="77777777" w:rsidR="00F925DD" w:rsidRDefault="00F925DD">
            <w:pPr>
              <w:rPr>
                <w:rFonts w:ascii="Times New Roman" w:hAnsi="Times New Roman"/>
                <w:sz w:val="20"/>
                <w:szCs w:val="20"/>
              </w:rPr>
            </w:pPr>
          </w:p>
        </w:tc>
        <w:tc>
          <w:tcPr>
            <w:tcW w:w="50" w:type="pct"/>
            <w:shd w:val="clear" w:color="auto" w:fill="auto"/>
            <w:vAlign w:val="center"/>
          </w:tcPr>
          <w:p w14:paraId="5556A359" w14:textId="77777777" w:rsidR="00F925DD" w:rsidRDefault="00F925DD">
            <w:pPr>
              <w:rPr>
                <w:rFonts w:ascii="Times New Roman" w:hAnsi="Times New Roman"/>
                <w:sz w:val="20"/>
                <w:szCs w:val="20"/>
              </w:rPr>
            </w:pPr>
          </w:p>
        </w:tc>
        <w:tc>
          <w:tcPr>
            <w:tcW w:w="50" w:type="pct"/>
            <w:shd w:val="clear" w:color="auto" w:fill="auto"/>
            <w:vAlign w:val="center"/>
          </w:tcPr>
          <w:p w14:paraId="5556A35A" w14:textId="77777777" w:rsidR="00F925DD" w:rsidRDefault="00F925DD">
            <w:pPr>
              <w:rPr>
                <w:rFonts w:ascii="Times New Roman" w:hAnsi="Times New Roman"/>
                <w:sz w:val="20"/>
                <w:szCs w:val="20"/>
              </w:rPr>
            </w:pPr>
          </w:p>
        </w:tc>
        <w:tc>
          <w:tcPr>
            <w:tcW w:w="500" w:type="pct"/>
            <w:shd w:val="clear" w:color="auto" w:fill="auto"/>
            <w:vAlign w:val="center"/>
          </w:tcPr>
          <w:p w14:paraId="5556A35B" w14:textId="77777777" w:rsidR="00F925DD" w:rsidRDefault="00F925DD">
            <w:pPr>
              <w:rPr>
                <w:rFonts w:ascii="Times New Roman" w:hAnsi="Times New Roman"/>
                <w:sz w:val="20"/>
                <w:szCs w:val="20"/>
              </w:rPr>
            </w:pPr>
          </w:p>
        </w:tc>
        <w:tc>
          <w:tcPr>
            <w:tcW w:w="50" w:type="pct"/>
            <w:shd w:val="clear" w:color="auto" w:fill="auto"/>
            <w:vAlign w:val="center"/>
          </w:tcPr>
          <w:p w14:paraId="5556A35C" w14:textId="77777777" w:rsidR="00F925DD" w:rsidRDefault="00F925DD">
            <w:pPr>
              <w:rPr>
                <w:rFonts w:ascii="Times New Roman" w:hAnsi="Times New Roman"/>
                <w:sz w:val="20"/>
                <w:szCs w:val="20"/>
              </w:rPr>
            </w:pPr>
          </w:p>
        </w:tc>
        <w:tc>
          <w:tcPr>
            <w:tcW w:w="50" w:type="pct"/>
            <w:shd w:val="clear" w:color="auto" w:fill="auto"/>
            <w:vAlign w:val="center"/>
          </w:tcPr>
          <w:p w14:paraId="5556A35D" w14:textId="77777777" w:rsidR="00F925DD" w:rsidRDefault="00F925DD">
            <w:pPr>
              <w:rPr>
                <w:rFonts w:ascii="Times New Roman" w:hAnsi="Times New Roman"/>
                <w:sz w:val="20"/>
                <w:szCs w:val="20"/>
              </w:rPr>
            </w:pPr>
          </w:p>
        </w:tc>
        <w:tc>
          <w:tcPr>
            <w:tcW w:w="50" w:type="pct"/>
            <w:shd w:val="clear" w:color="auto" w:fill="auto"/>
            <w:vAlign w:val="center"/>
          </w:tcPr>
          <w:p w14:paraId="5556A35E" w14:textId="77777777" w:rsidR="00F925DD" w:rsidRDefault="00F925DD">
            <w:pPr>
              <w:rPr>
                <w:rFonts w:ascii="Times New Roman" w:hAnsi="Times New Roman"/>
                <w:sz w:val="20"/>
                <w:szCs w:val="20"/>
              </w:rPr>
            </w:pPr>
          </w:p>
        </w:tc>
        <w:tc>
          <w:tcPr>
            <w:tcW w:w="500" w:type="pct"/>
            <w:shd w:val="clear" w:color="auto" w:fill="auto"/>
            <w:vAlign w:val="center"/>
          </w:tcPr>
          <w:p w14:paraId="5556A35F" w14:textId="77777777" w:rsidR="00F925DD" w:rsidRDefault="00F925DD">
            <w:pPr>
              <w:rPr>
                <w:rFonts w:ascii="Times New Roman" w:hAnsi="Times New Roman"/>
                <w:sz w:val="20"/>
                <w:szCs w:val="20"/>
              </w:rPr>
            </w:pPr>
          </w:p>
        </w:tc>
        <w:tc>
          <w:tcPr>
            <w:tcW w:w="50" w:type="pct"/>
            <w:shd w:val="clear" w:color="auto" w:fill="auto"/>
            <w:vAlign w:val="center"/>
          </w:tcPr>
          <w:p w14:paraId="5556A360" w14:textId="77777777" w:rsidR="00F925DD" w:rsidRDefault="00F925DD">
            <w:pPr>
              <w:rPr>
                <w:rFonts w:ascii="Times New Roman" w:hAnsi="Times New Roman"/>
                <w:sz w:val="20"/>
                <w:szCs w:val="20"/>
              </w:rPr>
            </w:pPr>
          </w:p>
        </w:tc>
      </w:tr>
      <w:tr w:rsidR="00F925DD" w14:paraId="5556A363" w14:textId="77777777">
        <w:tc>
          <w:tcPr>
            <w:tcW w:w="0" w:type="auto"/>
            <w:gridSpan w:val="16"/>
            <w:shd w:val="clear" w:color="auto" w:fill="auto"/>
            <w:tcMar>
              <w:top w:w="40" w:type="dxa"/>
              <w:left w:w="40" w:type="dxa"/>
              <w:bottom w:w="40" w:type="dxa"/>
              <w:right w:w="40" w:type="dxa"/>
            </w:tcMar>
            <w:vAlign w:val="bottom"/>
          </w:tcPr>
          <w:p w14:paraId="5556A36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42: CAPITAL ROLL-FORWARD</w:t>
            </w:r>
          </w:p>
        </w:tc>
      </w:tr>
      <w:tr w:rsidR="00F925DD" w14:paraId="5556A36C" w14:textId="77777777">
        <w:tc>
          <w:tcPr>
            <w:tcW w:w="0" w:type="auto"/>
            <w:shd w:val="clear" w:color="auto" w:fill="auto"/>
            <w:tcMar>
              <w:top w:w="40" w:type="dxa"/>
              <w:left w:w="40" w:type="dxa"/>
              <w:bottom w:w="40" w:type="dxa"/>
              <w:right w:w="40" w:type="dxa"/>
            </w:tcMar>
            <w:vAlign w:val="bottom"/>
          </w:tcPr>
          <w:p w14:paraId="5556A36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36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Basel III Advanced Approaches December 31, 2019 </w:t>
            </w:r>
          </w:p>
        </w:tc>
        <w:tc>
          <w:tcPr>
            <w:tcW w:w="0" w:type="auto"/>
            <w:shd w:val="clear" w:color="auto" w:fill="auto"/>
            <w:tcMar>
              <w:top w:w="40" w:type="dxa"/>
              <w:left w:w="40" w:type="dxa"/>
              <w:bottom w:w="40" w:type="dxa"/>
              <w:right w:w="40" w:type="dxa"/>
            </w:tcMar>
            <w:vAlign w:val="bottom"/>
          </w:tcPr>
          <w:p w14:paraId="5556A3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36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Basel III Standardized Approach December, 31, 2019</w:t>
            </w:r>
          </w:p>
        </w:tc>
        <w:tc>
          <w:tcPr>
            <w:tcW w:w="0" w:type="auto"/>
            <w:shd w:val="clear" w:color="auto" w:fill="auto"/>
            <w:tcMar>
              <w:top w:w="40" w:type="dxa"/>
              <w:left w:w="40" w:type="dxa"/>
              <w:bottom w:w="40" w:type="dxa"/>
              <w:right w:w="40" w:type="dxa"/>
            </w:tcMar>
            <w:vAlign w:val="bottom"/>
          </w:tcPr>
          <w:p w14:paraId="5556A3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36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Basel III Advanced Approaches December 31, 2018</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A3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36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Basel III Standardized Approach December 31, 2018</w:t>
            </w:r>
            <w:r>
              <w:rPr>
                <w:rFonts w:ascii="Arial" w:eastAsia="宋体" w:hAnsi="Arial" w:cs="Arial"/>
                <w:b/>
                <w:bCs/>
                <w:sz w:val="10"/>
                <w:szCs w:val="10"/>
              </w:rPr>
              <w:t>(1)</w:t>
            </w:r>
          </w:p>
        </w:tc>
      </w:tr>
      <w:tr w:rsidR="00F925DD" w14:paraId="5556A375" w14:textId="77777777">
        <w:tc>
          <w:tcPr>
            <w:tcW w:w="0" w:type="auto"/>
            <w:shd w:val="clear" w:color="auto" w:fill="auto"/>
            <w:tcMar>
              <w:top w:w="40" w:type="dxa"/>
              <w:left w:w="40" w:type="dxa"/>
              <w:bottom w:w="40" w:type="dxa"/>
              <w:right w:w="40" w:type="dxa"/>
            </w:tcMar>
            <w:vAlign w:val="bottom"/>
          </w:tcPr>
          <w:p w14:paraId="5556A36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Common equity tier 1 capital:</w:t>
            </w:r>
          </w:p>
        </w:tc>
        <w:tc>
          <w:tcPr>
            <w:tcW w:w="0" w:type="auto"/>
            <w:gridSpan w:val="3"/>
            <w:shd w:val="clear" w:color="auto" w:fill="auto"/>
            <w:tcMar>
              <w:top w:w="40" w:type="dxa"/>
              <w:left w:w="40" w:type="dxa"/>
              <w:bottom w:w="40" w:type="dxa"/>
              <w:right w:w="40" w:type="dxa"/>
            </w:tcMar>
            <w:vAlign w:val="bottom"/>
          </w:tcPr>
          <w:p w14:paraId="5556A3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3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3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3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3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3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3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386" w14:textId="77777777">
        <w:tc>
          <w:tcPr>
            <w:tcW w:w="0" w:type="auto"/>
            <w:shd w:val="clear" w:color="auto" w:fill="CCEEFF"/>
            <w:tcMar>
              <w:top w:w="40" w:type="dxa"/>
              <w:left w:w="40" w:type="dxa"/>
              <w:bottom w:w="40" w:type="dxa"/>
              <w:right w:w="40" w:type="dxa"/>
            </w:tcMar>
            <w:vAlign w:val="bottom"/>
          </w:tcPr>
          <w:p w14:paraId="5556A376" w14:textId="77777777" w:rsidR="00F925DD" w:rsidRDefault="00E705D7">
            <w:pPr>
              <w:textAlignment w:val="bottom"/>
              <w:rPr>
                <w:rFonts w:ascii="Times New Roman" w:hAnsi="Times New Roman"/>
                <w:sz w:val="14"/>
                <w:szCs w:val="14"/>
              </w:rPr>
            </w:pPr>
            <w:r>
              <w:rPr>
                <w:rFonts w:ascii="Arial" w:eastAsia="宋体" w:hAnsi="Arial" w:cs="Arial"/>
                <w:sz w:val="14"/>
                <w:szCs w:val="14"/>
              </w:rPr>
              <w:t>Common equity tier 1 capital balance, beginning of period</w:t>
            </w:r>
          </w:p>
        </w:tc>
        <w:tc>
          <w:tcPr>
            <w:tcW w:w="0" w:type="auto"/>
            <w:shd w:val="clear" w:color="auto" w:fill="CCEEFF"/>
            <w:tcMar>
              <w:top w:w="40" w:type="dxa"/>
              <w:left w:w="40" w:type="dxa"/>
              <w:bottom w:w="40" w:type="dxa"/>
            </w:tcMar>
            <w:vAlign w:val="bottom"/>
          </w:tcPr>
          <w:p w14:paraId="5556A37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A37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11,580</w:t>
            </w:r>
          </w:p>
        </w:tc>
        <w:tc>
          <w:tcPr>
            <w:tcW w:w="0" w:type="auto"/>
            <w:shd w:val="clear" w:color="auto" w:fill="CCEEFF"/>
            <w:vAlign w:val="bottom"/>
          </w:tcPr>
          <w:p w14:paraId="5556A37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37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A37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11,580</w:t>
            </w:r>
          </w:p>
        </w:tc>
        <w:tc>
          <w:tcPr>
            <w:tcW w:w="0" w:type="auto"/>
            <w:shd w:val="clear" w:color="auto" w:fill="CCEEFF"/>
            <w:vAlign w:val="bottom"/>
          </w:tcPr>
          <w:p w14:paraId="5556A37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37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A38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12,204</w:t>
            </w:r>
          </w:p>
        </w:tc>
        <w:tc>
          <w:tcPr>
            <w:tcW w:w="0" w:type="auto"/>
            <w:shd w:val="clear" w:color="auto" w:fill="CCEEFF"/>
            <w:vAlign w:val="bottom"/>
          </w:tcPr>
          <w:p w14:paraId="5556A38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38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A38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12,204</w:t>
            </w:r>
          </w:p>
        </w:tc>
        <w:tc>
          <w:tcPr>
            <w:tcW w:w="0" w:type="auto"/>
            <w:shd w:val="clear" w:color="auto" w:fill="CCEEFF"/>
            <w:vAlign w:val="bottom"/>
          </w:tcPr>
          <w:p w14:paraId="5556A385" w14:textId="77777777" w:rsidR="00F925DD" w:rsidRDefault="00F925DD">
            <w:pPr>
              <w:textAlignment w:val="bottom"/>
              <w:rPr>
                <w:rFonts w:ascii="Times New Roman" w:hAnsi="Times New Roman"/>
                <w:sz w:val="20"/>
                <w:szCs w:val="20"/>
              </w:rPr>
            </w:pPr>
          </w:p>
        </w:tc>
      </w:tr>
      <w:tr w:rsidR="00F925DD" w14:paraId="5556A393" w14:textId="77777777">
        <w:tc>
          <w:tcPr>
            <w:tcW w:w="0" w:type="auto"/>
            <w:shd w:val="clear" w:color="auto" w:fill="auto"/>
            <w:tcMar>
              <w:top w:w="40" w:type="dxa"/>
              <w:left w:w="240" w:type="dxa"/>
              <w:bottom w:w="40" w:type="dxa"/>
              <w:right w:w="40" w:type="dxa"/>
            </w:tcMar>
            <w:vAlign w:val="bottom"/>
          </w:tcPr>
          <w:p w14:paraId="5556A387"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income</w:t>
            </w:r>
          </w:p>
        </w:tc>
        <w:tc>
          <w:tcPr>
            <w:tcW w:w="0" w:type="auto"/>
            <w:gridSpan w:val="2"/>
            <w:shd w:val="clear" w:color="auto" w:fill="auto"/>
            <w:tcMar>
              <w:top w:w="40" w:type="dxa"/>
              <w:left w:w="40" w:type="dxa"/>
              <w:bottom w:w="40" w:type="dxa"/>
            </w:tcMar>
            <w:vAlign w:val="bottom"/>
          </w:tcPr>
          <w:p w14:paraId="5556A38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2,242</w:t>
            </w:r>
          </w:p>
        </w:tc>
        <w:tc>
          <w:tcPr>
            <w:tcW w:w="0" w:type="auto"/>
            <w:shd w:val="clear" w:color="auto" w:fill="auto"/>
            <w:vAlign w:val="bottom"/>
          </w:tcPr>
          <w:p w14:paraId="5556A3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8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2,242</w:t>
            </w:r>
          </w:p>
        </w:tc>
        <w:tc>
          <w:tcPr>
            <w:tcW w:w="0" w:type="auto"/>
            <w:shd w:val="clear" w:color="auto" w:fill="auto"/>
            <w:vAlign w:val="bottom"/>
          </w:tcPr>
          <w:p w14:paraId="5556A38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8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2,599</w:t>
            </w:r>
          </w:p>
        </w:tc>
        <w:tc>
          <w:tcPr>
            <w:tcW w:w="0" w:type="auto"/>
            <w:shd w:val="clear" w:color="auto" w:fill="auto"/>
            <w:vAlign w:val="bottom"/>
          </w:tcPr>
          <w:p w14:paraId="5556A38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9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2,599</w:t>
            </w:r>
          </w:p>
        </w:tc>
        <w:tc>
          <w:tcPr>
            <w:tcW w:w="0" w:type="auto"/>
            <w:shd w:val="clear" w:color="auto" w:fill="auto"/>
            <w:vAlign w:val="bottom"/>
          </w:tcPr>
          <w:p w14:paraId="5556A392" w14:textId="77777777" w:rsidR="00F925DD" w:rsidRDefault="00F925DD">
            <w:pPr>
              <w:textAlignment w:val="bottom"/>
              <w:rPr>
                <w:rFonts w:ascii="Times New Roman" w:hAnsi="Times New Roman"/>
                <w:sz w:val="20"/>
                <w:szCs w:val="20"/>
              </w:rPr>
            </w:pPr>
          </w:p>
        </w:tc>
      </w:tr>
      <w:tr w:rsidR="00F925DD" w14:paraId="5556A3A0" w14:textId="77777777">
        <w:tc>
          <w:tcPr>
            <w:tcW w:w="0" w:type="auto"/>
            <w:shd w:val="clear" w:color="auto" w:fill="CCEEFF"/>
            <w:tcMar>
              <w:top w:w="40" w:type="dxa"/>
              <w:left w:w="240" w:type="dxa"/>
              <w:bottom w:w="40" w:type="dxa"/>
              <w:right w:w="40" w:type="dxa"/>
            </w:tcMar>
            <w:vAlign w:val="bottom"/>
          </w:tcPr>
          <w:p w14:paraId="5556A394"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Changes in treasury stock, at cost</w:t>
            </w:r>
          </w:p>
        </w:tc>
        <w:tc>
          <w:tcPr>
            <w:tcW w:w="0" w:type="auto"/>
            <w:gridSpan w:val="2"/>
            <w:shd w:val="clear" w:color="auto" w:fill="CCEEFF"/>
            <w:tcMar>
              <w:top w:w="40" w:type="dxa"/>
              <w:left w:w="40" w:type="dxa"/>
              <w:bottom w:w="40" w:type="dxa"/>
            </w:tcMar>
            <w:vAlign w:val="bottom"/>
          </w:tcPr>
          <w:p w14:paraId="5556A39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(1,494</w:t>
            </w:r>
          </w:p>
        </w:tc>
        <w:tc>
          <w:tcPr>
            <w:tcW w:w="0" w:type="auto"/>
            <w:shd w:val="clear" w:color="auto" w:fill="CCEEFF"/>
            <w:tcMar>
              <w:top w:w="40" w:type="dxa"/>
              <w:bottom w:w="40" w:type="dxa"/>
              <w:right w:w="40" w:type="dxa"/>
            </w:tcMar>
            <w:vAlign w:val="bottom"/>
          </w:tcPr>
          <w:p w14:paraId="5556A39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A3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9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(1,494</w:t>
            </w:r>
          </w:p>
        </w:tc>
        <w:tc>
          <w:tcPr>
            <w:tcW w:w="0" w:type="auto"/>
            <w:shd w:val="clear" w:color="auto" w:fill="CCEEFF"/>
            <w:tcMar>
              <w:top w:w="40" w:type="dxa"/>
              <w:bottom w:w="40" w:type="dxa"/>
              <w:right w:w="40" w:type="dxa"/>
            </w:tcMar>
            <w:vAlign w:val="bottom"/>
          </w:tcPr>
          <w:p w14:paraId="5556A39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A3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9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314</w:t>
            </w:r>
          </w:p>
        </w:tc>
        <w:tc>
          <w:tcPr>
            <w:tcW w:w="0" w:type="auto"/>
            <w:shd w:val="clear" w:color="auto" w:fill="CCEEFF"/>
            <w:vAlign w:val="bottom"/>
          </w:tcPr>
          <w:p w14:paraId="5556A3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9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314</w:t>
            </w:r>
          </w:p>
        </w:tc>
        <w:tc>
          <w:tcPr>
            <w:tcW w:w="0" w:type="auto"/>
            <w:shd w:val="clear" w:color="auto" w:fill="CCEEFF"/>
            <w:vAlign w:val="bottom"/>
          </w:tcPr>
          <w:p w14:paraId="5556A39F" w14:textId="77777777" w:rsidR="00F925DD" w:rsidRDefault="00F925DD">
            <w:pPr>
              <w:textAlignment w:val="bottom"/>
              <w:rPr>
                <w:rFonts w:ascii="Times New Roman" w:hAnsi="Times New Roman"/>
                <w:sz w:val="20"/>
                <w:szCs w:val="20"/>
              </w:rPr>
            </w:pPr>
          </w:p>
        </w:tc>
      </w:tr>
      <w:tr w:rsidR="00F925DD" w14:paraId="5556A3AD" w14:textId="77777777">
        <w:tc>
          <w:tcPr>
            <w:tcW w:w="0" w:type="auto"/>
            <w:shd w:val="clear" w:color="auto" w:fill="auto"/>
            <w:tcMar>
              <w:top w:w="40" w:type="dxa"/>
              <w:left w:w="240" w:type="dxa"/>
              <w:bottom w:w="40" w:type="dxa"/>
              <w:right w:w="40" w:type="dxa"/>
            </w:tcMar>
            <w:vAlign w:val="bottom"/>
          </w:tcPr>
          <w:p w14:paraId="5556A3A1" w14:textId="77777777" w:rsidR="00F925DD" w:rsidRDefault="00E705D7">
            <w:pPr>
              <w:textAlignment w:val="bottom"/>
              <w:rPr>
                <w:rFonts w:ascii="Times New Roman" w:hAnsi="Times New Roman"/>
                <w:sz w:val="14"/>
                <w:szCs w:val="14"/>
              </w:rPr>
            </w:pPr>
            <w:r>
              <w:rPr>
                <w:rFonts w:ascii="Arial" w:eastAsia="宋体" w:hAnsi="Arial" w:cs="Arial"/>
                <w:sz w:val="14"/>
                <w:szCs w:val="14"/>
              </w:rPr>
              <w:t>Dividends declared</w:t>
            </w:r>
          </w:p>
        </w:tc>
        <w:tc>
          <w:tcPr>
            <w:tcW w:w="0" w:type="auto"/>
            <w:gridSpan w:val="2"/>
            <w:shd w:val="clear" w:color="auto" w:fill="auto"/>
            <w:tcMar>
              <w:top w:w="40" w:type="dxa"/>
              <w:left w:w="40" w:type="dxa"/>
              <w:bottom w:w="40" w:type="dxa"/>
            </w:tcMar>
            <w:vAlign w:val="bottom"/>
          </w:tcPr>
          <w:p w14:paraId="5556A3A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(939</w:t>
            </w:r>
          </w:p>
        </w:tc>
        <w:tc>
          <w:tcPr>
            <w:tcW w:w="0" w:type="auto"/>
            <w:shd w:val="clear" w:color="auto" w:fill="auto"/>
            <w:tcMar>
              <w:top w:w="40" w:type="dxa"/>
              <w:bottom w:w="40" w:type="dxa"/>
              <w:right w:w="40" w:type="dxa"/>
            </w:tcMar>
            <w:vAlign w:val="bottom"/>
          </w:tcPr>
          <w:p w14:paraId="5556A3A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A3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A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(939</w:t>
            </w:r>
          </w:p>
        </w:tc>
        <w:tc>
          <w:tcPr>
            <w:tcW w:w="0" w:type="auto"/>
            <w:shd w:val="clear" w:color="auto" w:fill="auto"/>
            <w:tcMar>
              <w:top w:w="40" w:type="dxa"/>
              <w:bottom w:w="40" w:type="dxa"/>
              <w:right w:w="40" w:type="dxa"/>
            </w:tcMar>
            <w:vAlign w:val="bottom"/>
          </w:tcPr>
          <w:p w14:paraId="5556A3A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A3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A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(853</w:t>
            </w:r>
          </w:p>
        </w:tc>
        <w:tc>
          <w:tcPr>
            <w:tcW w:w="0" w:type="auto"/>
            <w:shd w:val="clear" w:color="auto" w:fill="auto"/>
            <w:tcMar>
              <w:top w:w="40" w:type="dxa"/>
              <w:bottom w:w="40" w:type="dxa"/>
              <w:right w:w="40" w:type="dxa"/>
            </w:tcMar>
            <w:vAlign w:val="bottom"/>
          </w:tcPr>
          <w:p w14:paraId="5556A3A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A3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A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(853</w:t>
            </w:r>
          </w:p>
        </w:tc>
        <w:tc>
          <w:tcPr>
            <w:tcW w:w="0" w:type="auto"/>
            <w:shd w:val="clear" w:color="auto" w:fill="auto"/>
            <w:tcMar>
              <w:top w:w="40" w:type="dxa"/>
              <w:bottom w:w="40" w:type="dxa"/>
              <w:right w:w="40" w:type="dxa"/>
            </w:tcMar>
            <w:vAlign w:val="bottom"/>
          </w:tcPr>
          <w:p w14:paraId="5556A3A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3BA" w14:textId="77777777">
        <w:tc>
          <w:tcPr>
            <w:tcW w:w="0" w:type="auto"/>
            <w:shd w:val="clear" w:color="auto" w:fill="CCEEFF"/>
            <w:tcMar>
              <w:top w:w="40" w:type="dxa"/>
              <w:left w:w="240" w:type="dxa"/>
              <w:bottom w:w="40" w:type="dxa"/>
              <w:right w:w="40" w:type="dxa"/>
            </w:tcMar>
            <w:vAlign w:val="bottom"/>
          </w:tcPr>
          <w:p w14:paraId="5556A3AE" w14:textId="77777777" w:rsidR="00F925DD" w:rsidRDefault="00E705D7">
            <w:pPr>
              <w:textAlignment w:val="bottom"/>
              <w:rPr>
                <w:rFonts w:ascii="Times New Roman" w:hAnsi="Times New Roman"/>
                <w:sz w:val="14"/>
                <w:szCs w:val="14"/>
              </w:rPr>
            </w:pPr>
            <w:r>
              <w:rPr>
                <w:rFonts w:ascii="Arial" w:eastAsia="宋体" w:hAnsi="Arial" w:cs="Arial"/>
                <w:sz w:val="14"/>
                <w:szCs w:val="14"/>
              </w:rPr>
              <w:t>Goodwill and other intangible assets, net of associated deferred tax liabilities</w:t>
            </w:r>
          </w:p>
        </w:tc>
        <w:tc>
          <w:tcPr>
            <w:tcW w:w="0" w:type="auto"/>
            <w:gridSpan w:val="2"/>
            <w:shd w:val="clear" w:color="auto" w:fill="CCEEFF"/>
            <w:tcMar>
              <w:top w:w="40" w:type="dxa"/>
              <w:left w:w="40" w:type="dxa"/>
              <w:bottom w:w="40" w:type="dxa"/>
            </w:tcMar>
            <w:vAlign w:val="bottom"/>
          </w:tcPr>
          <w:p w14:paraId="5556A3A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238</w:t>
            </w:r>
          </w:p>
        </w:tc>
        <w:tc>
          <w:tcPr>
            <w:tcW w:w="0" w:type="auto"/>
            <w:shd w:val="clear" w:color="auto" w:fill="CCEEFF"/>
            <w:vAlign w:val="bottom"/>
          </w:tcPr>
          <w:p w14:paraId="5556A3B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B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238</w:t>
            </w:r>
          </w:p>
        </w:tc>
        <w:tc>
          <w:tcPr>
            <w:tcW w:w="0" w:type="auto"/>
            <w:shd w:val="clear" w:color="auto" w:fill="CCEEFF"/>
            <w:vAlign w:val="bottom"/>
          </w:tcPr>
          <w:p w14:paraId="5556A3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B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(2,473</w:t>
            </w:r>
          </w:p>
        </w:tc>
        <w:tc>
          <w:tcPr>
            <w:tcW w:w="0" w:type="auto"/>
            <w:shd w:val="clear" w:color="auto" w:fill="CCEEFF"/>
            <w:tcMar>
              <w:top w:w="40" w:type="dxa"/>
              <w:bottom w:w="40" w:type="dxa"/>
              <w:right w:w="40" w:type="dxa"/>
            </w:tcMar>
            <w:vAlign w:val="bottom"/>
          </w:tcPr>
          <w:p w14:paraId="5556A3B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A3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B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(2,473</w:t>
            </w:r>
          </w:p>
        </w:tc>
        <w:tc>
          <w:tcPr>
            <w:tcW w:w="0" w:type="auto"/>
            <w:shd w:val="clear" w:color="auto" w:fill="CCEEFF"/>
            <w:tcMar>
              <w:top w:w="40" w:type="dxa"/>
              <w:bottom w:w="40" w:type="dxa"/>
              <w:right w:w="40" w:type="dxa"/>
            </w:tcMar>
            <w:vAlign w:val="bottom"/>
          </w:tcPr>
          <w:p w14:paraId="5556A3B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3C7" w14:textId="77777777">
        <w:tc>
          <w:tcPr>
            <w:tcW w:w="0" w:type="auto"/>
            <w:shd w:val="clear" w:color="auto" w:fill="auto"/>
            <w:tcMar>
              <w:top w:w="40" w:type="dxa"/>
              <w:left w:w="240" w:type="dxa"/>
              <w:bottom w:w="40" w:type="dxa"/>
              <w:right w:w="40" w:type="dxa"/>
            </w:tcMar>
            <w:vAlign w:val="bottom"/>
          </w:tcPr>
          <w:p w14:paraId="5556A3BB"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Effect of </w:t>
            </w:r>
            <w:r>
              <w:rPr>
                <w:rFonts w:ascii="Arial" w:eastAsia="宋体" w:hAnsi="Arial" w:cs="Arial"/>
                <w:sz w:val="14"/>
                <w:szCs w:val="14"/>
              </w:rPr>
              <w:t>certain items in accumulated other comprehensive income (loss)</w:t>
            </w:r>
          </w:p>
        </w:tc>
        <w:tc>
          <w:tcPr>
            <w:tcW w:w="0" w:type="auto"/>
            <w:gridSpan w:val="2"/>
            <w:shd w:val="clear" w:color="auto" w:fill="auto"/>
            <w:tcMar>
              <w:top w:w="40" w:type="dxa"/>
              <w:left w:w="40" w:type="dxa"/>
              <w:bottom w:w="40" w:type="dxa"/>
            </w:tcMar>
            <w:vAlign w:val="bottom"/>
          </w:tcPr>
          <w:p w14:paraId="5556A3B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462</w:t>
            </w:r>
          </w:p>
        </w:tc>
        <w:tc>
          <w:tcPr>
            <w:tcW w:w="0" w:type="auto"/>
            <w:shd w:val="clear" w:color="auto" w:fill="auto"/>
            <w:vAlign w:val="bottom"/>
          </w:tcPr>
          <w:p w14:paraId="5556A3B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B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462</w:t>
            </w:r>
          </w:p>
        </w:tc>
        <w:tc>
          <w:tcPr>
            <w:tcW w:w="0" w:type="auto"/>
            <w:shd w:val="clear" w:color="auto" w:fill="auto"/>
            <w:vAlign w:val="bottom"/>
          </w:tcPr>
          <w:p w14:paraId="5556A3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C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(360</w:t>
            </w:r>
          </w:p>
        </w:tc>
        <w:tc>
          <w:tcPr>
            <w:tcW w:w="0" w:type="auto"/>
            <w:shd w:val="clear" w:color="auto" w:fill="auto"/>
            <w:tcMar>
              <w:top w:w="40" w:type="dxa"/>
              <w:bottom w:w="40" w:type="dxa"/>
              <w:right w:w="40" w:type="dxa"/>
            </w:tcMar>
            <w:vAlign w:val="bottom"/>
          </w:tcPr>
          <w:p w14:paraId="5556A3C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A3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3C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(360</w:t>
            </w:r>
          </w:p>
        </w:tc>
        <w:tc>
          <w:tcPr>
            <w:tcW w:w="0" w:type="auto"/>
            <w:shd w:val="clear" w:color="auto" w:fill="auto"/>
            <w:tcMar>
              <w:top w:w="40" w:type="dxa"/>
              <w:bottom w:w="40" w:type="dxa"/>
              <w:right w:w="40" w:type="dxa"/>
            </w:tcMar>
            <w:vAlign w:val="bottom"/>
          </w:tcPr>
          <w:p w14:paraId="5556A3C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3D4" w14:textId="77777777">
        <w:tc>
          <w:tcPr>
            <w:tcW w:w="0" w:type="auto"/>
            <w:shd w:val="clear" w:color="auto" w:fill="CCEEFF"/>
            <w:tcMar>
              <w:top w:w="40" w:type="dxa"/>
              <w:left w:w="240" w:type="dxa"/>
              <w:bottom w:w="40" w:type="dxa"/>
              <w:right w:w="40" w:type="dxa"/>
            </w:tcMar>
            <w:vAlign w:val="bottom"/>
          </w:tcPr>
          <w:p w14:paraId="5556A3C8"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adjustments</w:t>
            </w:r>
          </w:p>
        </w:tc>
        <w:tc>
          <w:tcPr>
            <w:tcW w:w="0" w:type="auto"/>
            <w:gridSpan w:val="2"/>
            <w:shd w:val="clear" w:color="auto" w:fill="CCEEFF"/>
            <w:tcMar>
              <w:top w:w="40" w:type="dxa"/>
              <w:left w:w="40" w:type="dxa"/>
              <w:bottom w:w="40" w:type="dxa"/>
            </w:tcMar>
            <w:vAlign w:val="bottom"/>
          </w:tcPr>
          <w:p w14:paraId="5556A3C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124</w:t>
            </w:r>
          </w:p>
        </w:tc>
        <w:tc>
          <w:tcPr>
            <w:tcW w:w="0" w:type="auto"/>
            <w:shd w:val="clear" w:color="auto" w:fill="CCEEFF"/>
            <w:vAlign w:val="bottom"/>
          </w:tcPr>
          <w:p w14:paraId="5556A3C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C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124</w:t>
            </w:r>
          </w:p>
        </w:tc>
        <w:tc>
          <w:tcPr>
            <w:tcW w:w="0" w:type="auto"/>
            <w:shd w:val="clear" w:color="auto" w:fill="CCEEFF"/>
            <w:vAlign w:val="bottom"/>
          </w:tcPr>
          <w:p w14:paraId="5556A3C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C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149</w:t>
            </w:r>
          </w:p>
        </w:tc>
        <w:tc>
          <w:tcPr>
            <w:tcW w:w="0" w:type="auto"/>
            <w:shd w:val="clear" w:color="auto" w:fill="CCEEFF"/>
            <w:vAlign w:val="bottom"/>
          </w:tcPr>
          <w:p w14:paraId="5556A3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D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149</w:t>
            </w:r>
          </w:p>
        </w:tc>
        <w:tc>
          <w:tcPr>
            <w:tcW w:w="0" w:type="auto"/>
            <w:shd w:val="clear" w:color="auto" w:fill="CCEEFF"/>
            <w:vAlign w:val="bottom"/>
          </w:tcPr>
          <w:p w14:paraId="5556A3D3" w14:textId="77777777" w:rsidR="00F925DD" w:rsidRDefault="00F925DD">
            <w:pPr>
              <w:textAlignment w:val="bottom"/>
              <w:rPr>
                <w:rFonts w:ascii="Times New Roman" w:hAnsi="Times New Roman"/>
                <w:sz w:val="20"/>
                <w:szCs w:val="20"/>
              </w:rPr>
            </w:pPr>
          </w:p>
        </w:tc>
      </w:tr>
      <w:tr w:rsidR="00F925DD" w14:paraId="5556A3E1" w14:textId="77777777">
        <w:tc>
          <w:tcPr>
            <w:tcW w:w="0" w:type="auto"/>
            <w:shd w:val="clear" w:color="auto" w:fill="auto"/>
            <w:tcMar>
              <w:top w:w="40" w:type="dxa"/>
              <w:left w:w="40" w:type="dxa"/>
              <w:bottom w:w="40" w:type="dxa"/>
              <w:right w:w="40" w:type="dxa"/>
            </w:tcMar>
            <w:vAlign w:val="bottom"/>
          </w:tcPr>
          <w:p w14:paraId="5556A3D5"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Changes in common equity tier 1 capital</w:t>
            </w:r>
          </w:p>
        </w:tc>
        <w:tc>
          <w:tcPr>
            <w:tcW w:w="0" w:type="auto"/>
            <w:gridSpan w:val="2"/>
            <w:tcBorders>
              <w:top w:val="single" w:sz="8" w:space="0" w:color="000000"/>
            </w:tcBorders>
            <w:shd w:val="clear" w:color="auto" w:fill="auto"/>
            <w:tcMar>
              <w:top w:w="40" w:type="dxa"/>
              <w:left w:w="40" w:type="dxa"/>
              <w:bottom w:w="40" w:type="dxa"/>
            </w:tcMar>
            <w:vAlign w:val="bottom"/>
          </w:tcPr>
          <w:p w14:paraId="5556A3D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633</w:t>
            </w:r>
          </w:p>
        </w:tc>
        <w:tc>
          <w:tcPr>
            <w:tcW w:w="0" w:type="auto"/>
            <w:tcBorders>
              <w:top w:val="single" w:sz="8" w:space="0" w:color="000000"/>
            </w:tcBorders>
            <w:shd w:val="clear" w:color="auto" w:fill="auto"/>
            <w:vAlign w:val="bottom"/>
          </w:tcPr>
          <w:p w14:paraId="5556A3D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3D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633</w:t>
            </w:r>
          </w:p>
        </w:tc>
        <w:tc>
          <w:tcPr>
            <w:tcW w:w="0" w:type="auto"/>
            <w:tcBorders>
              <w:top w:val="single" w:sz="8" w:space="0" w:color="000000"/>
            </w:tcBorders>
            <w:shd w:val="clear" w:color="auto" w:fill="auto"/>
            <w:vAlign w:val="bottom"/>
          </w:tcPr>
          <w:p w14:paraId="5556A3D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3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3D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(624</w:t>
            </w:r>
          </w:p>
        </w:tc>
        <w:tc>
          <w:tcPr>
            <w:tcW w:w="0" w:type="auto"/>
            <w:tcBorders>
              <w:top w:val="single" w:sz="8" w:space="0" w:color="000000"/>
            </w:tcBorders>
            <w:shd w:val="clear" w:color="auto" w:fill="auto"/>
            <w:tcMar>
              <w:top w:w="40" w:type="dxa"/>
              <w:bottom w:w="40" w:type="dxa"/>
              <w:right w:w="40" w:type="dxa"/>
            </w:tcMar>
            <w:vAlign w:val="bottom"/>
          </w:tcPr>
          <w:p w14:paraId="5556A3D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A3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3D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(624</w:t>
            </w:r>
          </w:p>
        </w:tc>
        <w:tc>
          <w:tcPr>
            <w:tcW w:w="0" w:type="auto"/>
            <w:tcBorders>
              <w:top w:val="single" w:sz="8" w:space="0" w:color="000000"/>
            </w:tcBorders>
            <w:shd w:val="clear" w:color="auto" w:fill="auto"/>
            <w:tcMar>
              <w:top w:w="40" w:type="dxa"/>
              <w:bottom w:w="40" w:type="dxa"/>
              <w:right w:w="40" w:type="dxa"/>
            </w:tcMar>
            <w:vAlign w:val="bottom"/>
          </w:tcPr>
          <w:p w14:paraId="5556A3E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3EE" w14:textId="77777777">
        <w:tc>
          <w:tcPr>
            <w:tcW w:w="0" w:type="auto"/>
            <w:shd w:val="clear" w:color="auto" w:fill="CCEEFF"/>
            <w:tcMar>
              <w:top w:w="40" w:type="dxa"/>
              <w:left w:w="40" w:type="dxa"/>
              <w:bottom w:w="40" w:type="dxa"/>
              <w:right w:w="40" w:type="dxa"/>
            </w:tcMar>
            <w:vAlign w:val="bottom"/>
          </w:tcPr>
          <w:p w14:paraId="5556A3E2"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Common equity tier 1 capital balance, end of </w:t>
            </w:r>
            <w:r>
              <w:rPr>
                <w:rFonts w:ascii="Arial" w:eastAsia="宋体" w:hAnsi="Arial" w:cs="Arial"/>
                <w:sz w:val="14"/>
                <w:szCs w:val="14"/>
              </w:rPr>
              <w:t>period</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3E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12,213</w:t>
            </w:r>
          </w:p>
        </w:tc>
        <w:tc>
          <w:tcPr>
            <w:tcW w:w="0" w:type="auto"/>
            <w:tcBorders>
              <w:top w:val="single" w:sz="8" w:space="0" w:color="000000"/>
              <w:bottom w:val="single" w:sz="8" w:space="0" w:color="000000"/>
            </w:tcBorders>
            <w:shd w:val="clear" w:color="auto" w:fill="CCEEFF"/>
            <w:vAlign w:val="bottom"/>
          </w:tcPr>
          <w:p w14:paraId="5556A3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3E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12,213</w:t>
            </w:r>
          </w:p>
        </w:tc>
        <w:tc>
          <w:tcPr>
            <w:tcW w:w="0" w:type="auto"/>
            <w:tcBorders>
              <w:top w:val="single" w:sz="8" w:space="0" w:color="000000"/>
              <w:bottom w:val="single" w:sz="8" w:space="0" w:color="000000"/>
            </w:tcBorders>
            <w:shd w:val="clear" w:color="auto" w:fill="CCEEFF"/>
            <w:vAlign w:val="bottom"/>
          </w:tcPr>
          <w:p w14:paraId="5556A3E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3E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11,580</w:t>
            </w:r>
          </w:p>
        </w:tc>
        <w:tc>
          <w:tcPr>
            <w:tcW w:w="0" w:type="auto"/>
            <w:tcBorders>
              <w:top w:val="single" w:sz="8" w:space="0" w:color="000000"/>
              <w:bottom w:val="single" w:sz="8" w:space="0" w:color="000000"/>
            </w:tcBorders>
            <w:shd w:val="clear" w:color="auto" w:fill="CCEEFF"/>
            <w:vAlign w:val="bottom"/>
          </w:tcPr>
          <w:p w14:paraId="5556A3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3E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11,580</w:t>
            </w:r>
          </w:p>
        </w:tc>
        <w:tc>
          <w:tcPr>
            <w:tcW w:w="0" w:type="auto"/>
            <w:tcBorders>
              <w:top w:val="single" w:sz="8" w:space="0" w:color="000000"/>
              <w:bottom w:val="single" w:sz="8" w:space="0" w:color="000000"/>
            </w:tcBorders>
            <w:shd w:val="clear" w:color="auto" w:fill="CCEEFF"/>
            <w:vAlign w:val="bottom"/>
          </w:tcPr>
          <w:p w14:paraId="5556A3ED" w14:textId="77777777" w:rsidR="00F925DD" w:rsidRDefault="00F925DD">
            <w:pPr>
              <w:textAlignment w:val="bottom"/>
              <w:rPr>
                <w:rFonts w:ascii="Times New Roman" w:hAnsi="Times New Roman"/>
                <w:sz w:val="20"/>
                <w:szCs w:val="20"/>
              </w:rPr>
            </w:pPr>
          </w:p>
        </w:tc>
      </w:tr>
      <w:tr w:rsidR="00F925DD" w14:paraId="5556A3F7" w14:textId="77777777">
        <w:tc>
          <w:tcPr>
            <w:tcW w:w="0" w:type="auto"/>
            <w:shd w:val="clear" w:color="auto" w:fill="auto"/>
            <w:tcMar>
              <w:top w:w="40" w:type="dxa"/>
              <w:left w:w="40" w:type="dxa"/>
              <w:bottom w:w="40" w:type="dxa"/>
              <w:right w:w="40" w:type="dxa"/>
            </w:tcMar>
            <w:vAlign w:val="bottom"/>
          </w:tcPr>
          <w:p w14:paraId="5556A3E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Additional tier 1 capital:</w:t>
            </w:r>
          </w:p>
        </w:tc>
        <w:tc>
          <w:tcPr>
            <w:tcW w:w="0" w:type="auto"/>
            <w:gridSpan w:val="3"/>
            <w:shd w:val="clear" w:color="auto" w:fill="auto"/>
            <w:tcMar>
              <w:top w:w="40" w:type="dxa"/>
              <w:left w:w="40" w:type="dxa"/>
              <w:bottom w:w="40" w:type="dxa"/>
              <w:right w:w="40" w:type="dxa"/>
            </w:tcMar>
            <w:vAlign w:val="bottom"/>
          </w:tcPr>
          <w:p w14:paraId="5556A3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3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3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3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3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3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3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404" w14:textId="77777777">
        <w:tc>
          <w:tcPr>
            <w:tcW w:w="0" w:type="auto"/>
            <w:shd w:val="clear" w:color="auto" w:fill="CCEEFF"/>
            <w:tcMar>
              <w:top w:w="40" w:type="dxa"/>
              <w:left w:w="40" w:type="dxa"/>
              <w:bottom w:w="40" w:type="dxa"/>
              <w:right w:w="40" w:type="dxa"/>
            </w:tcMar>
            <w:vAlign w:val="bottom"/>
          </w:tcPr>
          <w:p w14:paraId="5556A3F8" w14:textId="77777777" w:rsidR="00F925DD" w:rsidRDefault="00E705D7">
            <w:pPr>
              <w:textAlignment w:val="bottom"/>
              <w:rPr>
                <w:rFonts w:ascii="Times New Roman" w:hAnsi="Times New Roman"/>
                <w:sz w:val="14"/>
                <w:szCs w:val="14"/>
              </w:rPr>
            </w:pPr>
            <w:r>
              <w:rPr>
                <w:rFonts w:ascii="Arial" w:eastAsia="宋体" w:hAnsi="Arial" w:cs="Arial"/>
                <w:sz w:val="14"/>
                <w:szCs w:val="14"/>
              </w:rPr>
              <w:t>Tier 1 capital balance, beginning of period</w:t>
            </w:r>
          </w:p>
        </w:tc>
        <w:tc>
          <w:tcPr>
            <w:tcW w:w="0" w:type="auto"/>
            <w:gridSpan w:val="2"/>
            <w:shd w:val="clear" w:color="auto" w:fill="CCEEFF"/>
            <w:tcMar>
              <w:top w:w="40" w:type="dxa"/>
              <w:left w:w="40" w:type="dxa"/>
              <w:bottom w:w="40" w:type="dxa"/>
            </w:tcMar>
            <w:vAlign w:val="bottom"/>
          </w:tcPr>
          <w:p w14:paraId="5556A3F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15,270</w:t>
            </w:r>
          </w:p>
        </w:tc>
        <w:tc>
          <w:tcPr>
            <w:tcW w:w="0" w:type="auto"/>
            <w:shd w:val="clear" w:color="auto" w:fill="CCEEFF"/>
            <w:vAlign w:val="bottom"/>
          </w:tcPr>
          <w:p w14:paraId="5556A3F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F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15,270</w:t>
            </w:r>
          </w:p>
        </w:tc>
        <w:tc>
          <w:tcPr>
            <w:tcW w:w="0" w:type="auto"/>
            <w:shd w:val="clear" w:color="auto" w:fill="CCEEFF"/>
            <w:vAlign w:val="bottom"/>
          </w:tcPr>
          <w:p w14:paraId="5556A3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3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3F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15,382</w:t>
            </w:r>
          </w:p>
        </w:tc>
        <w:tc>
          <w:tcPr>
            <w:tcW w:w="0" w:type="auto"/>
            <w:shd w:val="clear" w:color="auto" w:fill="CCEEFF"/>
            <w:vAlign w:val="bottom"/>
          </w:tcPr>
          <w:p w14:paraId="5556A4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40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15,382</w:t>
            </w:r>
          </w:p>
        </w:tc>
        <w:tc>
          <w:tcPr>
            <w:tcW w:w="0" w:type="auto"/>
            <w:shd w:val="clear" w:color="auto" w:fill="CCEEFF"/>
            <w:vAlign w:val="bottom"/>
          </w:tcPr>
          <w:p w14:paraId="5556A403" w14:textId="77777777" w:rsidR="00F925DD" w:rsidRDefault="00F925DD">
            <w:pPr>
              <w:textAlignment w:val="bottom"/>
              <w:rPr>
                <w:rFonts w:ascii="Times New Roman" w:hAnsi="Times New Roman"/>
                <w:sz w:val="20"/>
                <w:szCs w:val="20"/>
              </w:rPr>
            </w:pPr>
          </w:p>
        </w:tc>
      </w:tr>
      <w:tr w:rsidR="00F925DD" w14:paraId="5556A411" w14:textId="77777777">
        <w:tc>
          <w:tcPr>
            <w:tcW w:w="0" w:type="auto"/>
            <w:shd w:val="clear" w:color="auto" w:fill="auto"/>
            <w:tcMar>
              <w:top w:w="40" w:type="dxa"/>
              <w:left w:w="240" w:type="dxa"/>
              <w:bottom w:w="40" w:type="dxa"/>
              <w:right w:w="40" w:type="dxa"/>
            </w:tcMar>
            <w:vAlign w:val="bottom"/>
          </w:tcPr>
          <w:p w14:paraId="5556A405"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 in common equity tier 1 capital</w:t>
            </w:r>
          </w:p>
        </w:tc>
        <w:tc>
          <w:tcPr>
            <w:tcW w:w="0" w:type="auto"/>
            <w:gridSpan w:val="2"/>
            <w:shd w:val="clear" w:color="auto" w:fill="auto"/>
            <w:tcMar>
              <w:top w:w="40" w:type="dxa"/>
              <w:left w:w="40" w:type="dxa"/>
              <w:bottom w:w="40" w:type="dxa"/>
            </w:tcMar>
            <w:vAlign w:val="bottom"/>
          </w:tcPr>
          <w:p w14:paraId="5556A40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633</w:t>
            </w:r>
          </w:p>
        </w:tc>
        <w:tc>
          <w:tcPr>
            <w:tcW w:w="0" w:type="auto"/>
            <w:shd w:val="clear" w:color="auto" w:fill="auto"/>
            <w:vAlign w:val="bottom"/>
          </w:tcPr>
          <w:p w14:paraId="5556A4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0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633</w:t>
            </w:r>
          </w:p>
        </w:tc>
        <w:tc>
          <w:tcPr>
            <w:tcW w:w="0" w:type="auto"/>
            <w:shd w:val="clear" w:color="auto" w:fill="auto"/>
            <w:vAlign w:val="bottom"/>
          </w:tcPr>
          <w:p w14:paraId="5556A40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0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(624</w:t>
            </w:r>
          </w:p>
        </w:tc>
        <w:tc>
          <w:tcPr>
            <w:tcW w:w="0" w:type="auto"/>
            <w:shd w:val="clear" w:color="auto" w:fill="auto"/>
            <w:tcMar>
              <w:top w:w="40" w:type="dxa"/>
              <w:bottom w:w="40" w:type="dxa"/>
              <w:right w:w="40" w:type="dxa"/>
            </w:tcMar>
            <w:vAlign w:val="bottom"/>
          </w:tcPr>
          <w:p w14:paraId="5556A40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A4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0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(624</w:t>
            </w:r>
          </w:p>
        </w:tc>
        <w:tc>
          <w:tcPr>
            <w:tcW w:w="0" w:type="auto"/>
            <w:shd w:val="clear" w:color="auto" w:fill="auto"/>
            <w:tcMar>
              <w:top w:w="40" w:type="dxa"/>
              <w:bottom w:w="40" w:type="dxa"/>
              <w:right w:w="40" w:type="dxa"/>
            </w:tcMar>
            <w:vAlign w:val="bottom"/>
          </w:tcPr>
          <w:p w14:paraId="5556A41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41E" w14:textId="77777777">
        <w:tc>
          <w:tcPr>
            <w:tcW w:w="0" w:type="auto"/>
            <w:shd w:val="clear" w:color="auto" w:fill="CCEEFF"/>
            <w:tcMar>
              <w:top w:w="40" w:type="dxa"/>
              <w:left w:w="240" w:type="dxa"/>
              <w:bottom w:w="40" w:type="dxa"/>
              <w:right w:w="40" w:type="dxa"/>
            </w:tcMar>
            <w:vAlign w:val="bottom"/>
          </w:tcPr>
          <w:p w14:paraId="5556A412"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w:t>
            </w:r>
            <w:r>
              <w:rPr>
                <w:rFonts w:ascii="Arial" w:eastAsia="宋体" w:hAnsi="Arial" w:cs="Arial"/>
                <w:sz w:val="14"/>
                <w:szCs w:val="14"/>
              </w:rPr>
              <w:t>issuance of preferred stock</w:t>
            </w:r>
          </w:p>
        </w:tc>
        <w:tc>
          <w:tcPr>
            <w:tcW w:w="0" w:type="auto"/>
            <w:gridSpan w:val="2"/>
            <w:shd w:val="clear" w:color="auto" w:fill="CCEEFF"/>
            <w:tcMar>
              <w:top w:w="40" w:type="dxa"/>
              <w:left w:w="40" w:type="dxa"/>
              <w:bottom w:w="40" w:type="dxa"/>
            </w:tcMar>
            <w:vAlign w:val="bottom"/>
          </w:tcPr>
          <w:p w14:paraId="5556A41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(728</w:t>
            </w:r>
          </w:p>
        </w:tc>
        <w:tc>
          <w:tcPr>
            <w:tcW w:w="0" w:type="auto"/>
            <w:shd w:val="clear" w:color="auto" w:fill="CCEEFF"/>
            <w:tcMar>
              <w:top w:w="40" w:type="dxa"/>
              <w:bottom w:w="40" w:type="dxa"/>
              <w:right w:w="40" w:type="dxa"/>
            </w:tcMar>
            <w:vAlign w:val="bottom"/>
          </w:tcPr>
          <w:p w14:paraId="5556A41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A4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41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(728</w:t>
            </w:r>
          </w:p>
        </w:tc>
        <w:tc>
          <w:tcPr>
            <w:tcW w:w="0" w:type="auto"/>
            <w:shd w:val="clear" w:color="auto" w:fill="CCEEFF"/>
            <w:tcMar>
              <w:top w:w="40" w:type="dxa"/>
              <w:bottom w:w="40" w:type="dxa"/>
              <w:right w:w="40" w:type="dxa"/>
            </w:tcMar>
            <w:vAlign w:val="bottom"/>
          </w:tcPr>
          <w:p w14:paraId="5556A41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A4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41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494</w:t>
            </w:r>
          </w:p>
        </w:tc>
        <w:tc>
          <w:tcPr>
            <w:tcW w:w="0" w:type="auto"/>
            <w:shd w:val="clear" w:color="auto" w:fill="CCEEFF"/>
            <w:vAlign w:val="bottom"/>
          </w:tcPr>
          <w:p w14:paraId="5556A4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4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494</w:t>
            </w:r>
          </w:p>
        </w:tc>
        <w:tc>
          <w:tcPr>
            <w:tcW w:w="0" w:type="auto"/>
            <w:shd w:val="clear" w:color="auto" w:fill="CCEEFF"/>
            <w:vAlign w:val="bottom"/>
          </w:tcPr>
          <w:p w14:paraId="5556A41D" w14:textId="77777777" w:rsidR="00F925DD" w:rsidRDefault="00F925DD">
            <w:pPr>
              <w:textAlignment w:val="bottom"/>
              <w:rPr>
                <w:rFonts w:ascii="Times New Roman" w:hAnsi="Times New Roman"/>
                <w:sz w:val="20"/>
                <w:szCs w:val="20"/>
              </w:rPr>
            </w:pPr>
          </w:p>
        </w:tc>
      </w:tr>
      <w:tr w:rsidR="00F925DD" w14:paraId="5556A42B" w14:textId="77777777">
        <w:tc>
          <w:tcPr>
            <w:tcW w:w="0" w:type="auto"/>
            <w:shd w:val="clear" w:color="auto" w:fill="auto"/>
            <w:tcMar>
              <w:top w:w="40" w:type="dxa"/>
              <w:left w:w="240" w:type="dxa"/>
              <w:bottom w:w="40" w:type="dxa"/>
              <w:right w:w="40" w:type="dxa"/>
            </w:tcMar>
            <w:vAlign w:val="bottom"/>
          </w:tcPr>
          <w:p w14:paraId="5556A41F"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adjustments</w:t>
            </w:r>
          </w:p>
        </w:tc>
        <w:tc>
          <w:tcPr>
            <w:tcW w:w="0" w:type="auto"/>
            <w:gridSpan w:val="2"/>
            <w:tcBorders>
              <w:bottom w:val="single" w:sz="8" w:space="0" w:color="000000"/>
            </w:tcBorders>
            <w:shd w:val="clear" w:color="auto" w:fill="auto"/>
            <w:tcMar>
              <w:top w:w="40" w:type="dxa"/>
              <w:left w:w="40" w:type="dxa"/>
              <w:bottom w:w="40" w:type="dxa"/>
            </w:tcMar>
            <w:vAlign w:val="bottom"/>
          </w:tcPr>
          <w:p w14:paraId="5556A42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5556A42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42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5556A42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42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w:t>
            </w:r>
          </w:p>
        </w:tc>
        <w:tc>
          <w:tcPr>
            <w:tcW w:w="0" w:type="auto"/>
            <w:tcBorders>
              <w:bottom w:val="single" w:sz="8" w:space="0" w:color="000000"/>
            </w:tcBorders>
            <w:shd w:val="clear" w:color="auto" w:fill="auto"/>
            <w:vAlign w:val="bottom"/>
          </w:tcPr>
          <w:p w14:paraId="5556A42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42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w:t>
            </w:r>
          </w:p>
        </w:tc>
        <w:tc>
          <w:tcPr>
            <w:tcW w:w="0" w:type="auto"/>
            <w:tcBorders>
              <w:bottom w:val="single" w:sz="8" w:space="0" w:color="000000"/>
            </w:tcBorders>
            <w:shd w:val="clear" w:color="auto" w:fill="auto"/>
            <w:vAlign w:val="bottom"/>
          </w:tcPr>
          <w:p w14:paraId="5556A42A" w14:textId="77777777" w:rsidR="00F925DD" w:rsidRDefault="00F925DD">
            <w:pPr>
              <w:textAlignment w:val="bottom"/>
              <w:rPr>
                <w:rFonts w:ascii="Times New Roman" w:hAnsi="Times New Roman"/>
                <w:sz w:val="20"/>
                <w:szCs w:val="20"/>
              </w:rPr>
            </w:pPr>
          </w:p>
        </w:tc>
      </w:tr>
      <w:tr w:rsidR="00F925DD" w14:paraId="5556A438" w14:textId="77777777">
        <w:tc>
          <w:tcPr>
            <w:tcW w:w="0" w:type="auto"/>
            <w:shd w:val="clear" w:color="auto" w:fill="CCEEFF"/>
            <w:tcMar>
              <w:top w:w="40" w:type="dxa"/>
              <w:left w:w="40" w:type="dxa"/>
              <w:bottom w:w="40" w:type="dxa"/>
              <w:right w:w="40" w:type="dxa"/>
            </w:tcMar>
            <w:vAlign w:val="bottom"/>
          </w:tcPr>
          <w:p w14:paraId="5556A42C"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Changes in tier 1 capital</w:t>
            </w:r>
          </w:p>
        </w:tc>
        <w:tc>
          <w:tcPr>
            <w:tcW w:w="0" w:type="auto"/>
            <w:gridSpan w:val="2"/>
            <w:tcBorders>
              <w:top w:val="single" w:sz="8" w:space="0" w:color="000000"/>
            </w:tcBorders>
            <w:shd w:val="clear" w:color="auto" w:fill="CCEEFF"/>
            <w:tcMar>
              <w:top w:w="40" w:type="dxa"/>
              <w:left w:w="40" w:type="dxa"/>
              <w:bottom w:w="40" w:type="dxa"/>
            </w:tcMar>
            <w:vAlign w:val="bottom"/>
          </w:tcPr>
          <w:p w14:paraId="5556A42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(95</w:t>
            </w:r>
          </w:p>
        </w:tc>
        <w:tc>
          <w:tcPr>
            <w:tcW w:w="0" w:type="auto"/>
            <w:tcBorders>
              <w:top w:val="single" w:sz="8" w:space="0" w:color="000000"/>
            </w:tcBorders>
            <w:shd w:val="clear" w:color="auto" w:fill="CCEEFF"/>
            <w:tcMar>
              <w:top w:w="40" w:type="dxa"/>
              <w:bottom w:w="40" w:type="dxa"/>
              <w:right w:w="40" w:type="dxa"/>
            </w:tcMar>
            <w:vAlign w:val="bottom"/>
          </w:tcPr>
          <w:p w14:paraId="5556A42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A4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43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(95</w:t>
            </w:r>
          </w:p>
        </w:tc>
        <w:tc>
          <w:tcPr>
            <w:tcW w:w="0" w:type="auto"/>
            <w:tcBorders>
              <w:top w:val="single" w:sz="8" w:space="0" w:color="000000"/>
            </w:tcBorders>
            <w:shd w:val="clear" w:color="auto" w:fill="CCEEFF"/>
            <w:tcMar>
              <w:top w:w="40" w:type="dxa"/>
              <w:bottom w:w="40" w:type="dxa"/>
              <w:right w:w="40" w:type="dxa"/>
            </w:tcMar>
            <w:vAlign w:val="bottom"/>
          </w:tcPr>
          <w:p w14:paraId="5556A43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A4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43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(112</w:t>
            </w:r>
          </w:p>
        </w:tc>
        <w:tc>
          <w:tcPr>
            <w:tcW w:w="0" w:type="auto"/>
            <w:tcBorders>
              <w:top w:val="single" w:sz="8" w:space="0" w:color="000000"/>
            </w:tcBorders>
            <w:shd w:val="clear" w:color="auto" w:fill="CCEEFF"/>
            <w:tcMar>
              <w:top w:w="40" w:type="dxa"/>
              <w:bottom w:w="40" w:type="dxa"/>
              <w:right w:w="40" w:type="dxa"/>
            </w:tcMar>
            <w:vAlign w:val="bottom"/>
          </w:tcPr>
          <w:p w14:paraId="5556A43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A4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43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(112</w:t>
            </w:r>
          </w:p>
        </w:tc>
        <w:tc>
          <w:tcPr>
            <w:tcW w:w="0" w:type="auto"/>
            <w:tcBorders>
              <w:top w:val="single" w:sz="8" w:space="0" w:color="000000"/>
            </w:tcBorders>
            <w:shd w:val="clear" w:color="auto" w:fill="CCEEFF"/>
            <w:tcMar>
              <w:top w:w="40" w:type="dxa"/>
              <w:bottom w:w="40" w:type="dxa"/>
              <w:right w:w="40" w:type="dxa"/>
            </w:tcMar>
            <w:vAlign w:val="bottom"/>
          </w:tcPr>
          <w:p w14:paraId="5556A43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445" w14:textId="77777777">
        <w:tc>
          <w:tcPr>
            <w:tcW w:w="0" w:type="auto"/>
            <w:shd w:val="clear" w:color="auto" w:fill="auto"/>
            <w:tcMar>
              <w:top w:w="40" w:type="dxa"/>
              <w:left w:w="40" w:type="dxa"/>
              <w:bottom w:w="40" w:type="dxa"/>
              <w:right w:w="40" w:type="dxa"/>
            </w:tcMar>
            <w:vAlign w:val="bottom"/>
          </w:tcPr>
          <w:p w14:paraId="5556A439" w14:textId="77777777" w:rsidR="00F925DD" w:rsidRDefault="00E705D7">
            <w:pPr>
              <w:textAlignment w:val="bottom"/>
              <w:rPr>
                <w:rFonts w:ascii="Times New Roman" w:hAnsi="Times New Roman"/>
                <w:sz w:val="14"/>
                <w:szCs w:val="14"/>
              </w:rPr>
            </w:pPr>
            <w:r>
              <w:rPr>
                <w:rFonts w:ascii="Arial" w:eastAsia="宋体" w:hAnsi="Arial" w:cs="Arial"/>
                <w:sz w:val="14"/>
                <w:szCs w:val="14"/>
              </w:rPr>
              <w:t>Tier 1 capital balance, end of period</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A43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15,175</w:t>
            </w:r>
          </w:p>
        </w:tc>
        <w:tc>
          <w:tcPr>
            <w:tcW w:w="0" w:type="auto"/>
            <w:tcBorders>
              <w:top w:val="single" w:sz="8" w:space="0" w:color="000000"/>
              <w:bottom w:val="single" w:sz="8" w:space="0" w:color="000000"/>
            </w:tcBorders>
            <w:shd w:val="clear" w:color="auto" w:fill="auto"/>
            <w:vAlign w:val="bottom"/>
          </w:tcPr>
          <w:p w14:paraId="5556A43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A43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15,175</w:t>
            </w:r>
          </w:p>
        </w:tc>
        <w:tc>
          <w:tcPr>
            <w:tcW w:w="0" w:type="auto"/>
            <w:tcBorders>
              <w:top w:val="single" w:sz="8" w:space="0" w:color="000000"/>
              <w:bottom w:val="single" w:sz="8" w:space="0" w:color="000000"/>
            </w:tcBorders>
            <w:shd w:val="clear" w:color="auto" w:fill="auto"/>
            <w:vAlign w:val="bottom"/>
          </w:tcPr>
          <w:p w14:paraId="5556A43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A44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15,270</w:t>
            </w:r>
          </w:p>
        </w:tc>
        <w:tc>
          <w:tcPr>
            <w:tcW w:w="0" w:type="auto"/>
            <w:tcBorders>
              <w:top w:val="single" w:sz="8" w:space="0" w:color="000000"/>
              <w:bottom w:val="single" w:sz="8" w:space="0" w:color="000000"/>
            </w:tcBorders>
            <w:shd w:val="clear" w:color="auto" w:fill="auto"/>
            <w:vAlign w:val="bottom"/>
          </w:tcPr>
          <w:p w14:paraId="5556A4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A44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15,270</w:t>
            </w:r>
          </w:p>
        </w:tc>
        <w:tc>
          <w:tcPr>
            <w:tcW w:w="0" w:type="auto"/>
            <w:tcBorders>
              <w:top w:val="single" w:sz="8" w:space="0" w:color="000000"/>
              <w:bottom w:val="single" w:sz="8" w:space="0" w:color="000000"/>
            </w:tcBorders>
            <w:shd w:val="clear" w:color="auto" w:fill="auto"/>
            <w:vAlign w:val="bottom"/>
          </w:tcPr>
          <w:p w14:paraId="5556A444" w14:textId="77777777" w:rsidR="00F925DD" w:rsidRDefault="00F925DD">
            <w:pPr>
              <w:textAlignment w:val="bottom"/>
              <w:rPr>
                <w:rFonts w:ascii="Times New Roman" w:hAnsi="Times New Roman"/>
                <w:sz w:val="20"/>
                <w:szCs w:val="20"/>
              </w:rPr>
            </w:pPr>
          </w:p>
        </w:tc>
      </w:tr>
      <w:tr w:rsidR="00F925DD" w14:paraId="5556A44E" w14:textId="77777777">
        <w:tc>
          <w:tcPr>
            <w:tcW w:w="0" w:type="auto"/>
            <w:shd w:val="clear" w:color="auto" w:fill="CCEEFF"/>
            <w:tcMar>
              <w:top w:w="40" w:type="dxa"/>
              <w:left w:w="40" w:type="dxa"/>
              <w:bottom w:w="40" w:type="dxa"/>
              <w:right w:w="40" w:type="dxa"/>
            </w:tcMar>
            <w:vAlign w:val="bottom"/>
          </w:tcPr>
          <w:p w14:paraId="5556A44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 xml:space="preserve">Tier 2 </w:t>
            </w:r>
            <w:r>
              <w:rPr>
                <w:rFonts w:ascii="Arial" w:eastAsia="宋体" w:hAnsi="Arial" w:cs="Arial"/>
                <w:b/>
                <w:bCs/>
                <w:sz w:val="14"/>
                <w:szCs w:val="14"/>
              </w:rPr>
              <w:t>capital:</w:t>
            </w:r>
          </w:p>
        </w:tc>
        <w:tc>
          <w:tcPr>
            <w:tcW w:w="0" w:type="auto"/>
            <w:gridSpan w:val="3"/>
            <w:shd w:val="clear" w:color="auto" w:fill="CCEEFF"/>
            <w:tcMar>
              <w:top w:w="40" w:type="dxa"/>
              <w:left w:w="40" w:type="dxa"/>
              <w:bottom w:w="40" w:type="dxa"/>
              <w:right w:w="40" w:type="dxa"/>
            </w:tcMar>
            <w:vAlign w:val="bottom"/>
          </w:tcPr>
          <w:p w14:paraId="5556A4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4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4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4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4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4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4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45B" w14:textId="77777777">
        <w:tc>
          <w:tcPr>
            <w:tcW w:w="0" w:type="auto"/>
            <w:shd w:val="clear" w:color="auto" w:fill="auto"/>
            <w:tcMar>
              <w:top w:w="40" w:type="dxa"/>
              <w:left w:w="40" w:type="dxa"/>
              <w:bottom w:w="40" w:type="dxa"/>
              <w:right w:w="40" w:type="dxa"/>
            </w:tcMar>
            <w:vAlign w:val="bottom"/>
          </w:tcPr>
          <w:p w14:paraId="5556A44F" w14:textId="77777777" w:rsidR="00F925DD" w:rsidRDefault="00E705D7">
            <w:pPr>
              <w:textAlignment w:val="bottom"/>
              <w:rPr>
                <w:rFonts w:ascii="Times New Roman" w:hAnsi="Times New Roman"/>
                <w:sz w:val="14"/>
                <w:szCs w:val="14"/>
              </w:rPr>
            </w:pPr>
            <w:r>
              <w:rPr>
                <w:rFonts w:ascii="Arial" w:eastAsia="宋体" w:hAnsi="Arial" w:cs="Arial"/>
                <w:sz w:val="14"/>
                <w:szCs w:val="14"/>
              </w:rPr>
              <w:t>Tier 2 capital balance, beginning of period</w:t>
            </w:r>
          </w:p>
        </w:tc>
        <w:tc>
          <w:tcPr>
            <w:tcW w:w="0" w:type="auto"/>
            <w:gridSpan w:val="2"/>
            <w:shd w:val="clear" w:color="auto" w:fill="auto"/>
            <w:tcMar>
              <w:top w:w="40" w:type="dxa"/>
              <w:left w:w="40" w:type="dxa"/>
              <w:bottom w:w="40" w:type="dxa"/>
            </w:tcMar>
            <w:vAlign w:val="bottom"/>
          </w:tcPr>
          <w:p w14:paraId="5556A45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792</w:t>
            </w:r>
          </w:p>
        </w:tc>
        <w:tc>
          <w:tcPr>
            <w:tcW w:w="0" w:type="auto"/>
            <w:shd w:val="clear" w:color="auto" w:fill="auto"/>
            <w:vAlign w:val="bottom"/>
          </w:tcPr>
          <w:p w14:paraId="5556A4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5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861</w:t>
            </w:r>
          </w:p>
        </w:tc>
        <w:tc>
          <w:tcPr>
            <w:tcW w:w="0" w:type="auto"/>
            <w:shd w:val="clear" w:color="auto" w:fill="auto"/>
            <w:vAlign w:val="bottom"/>
          </w:tcPr>
          <w:p w14:paraId="5556A45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5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985</w:t>
            </w:r>
          </w:p>
        </w:tc>
        <w:tc>
          <w:tcPr>
            <w:tcW w:w="0" w:type="auto"/>
            <w:shd w:val="clear" w:color="auto" w:fill="auto"/>
            <w:vAlign w:val="bottom"/>
          </w:tcPr>
          <w:p w14:paraId="5556A45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5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1,053</w:t>
            </w:r>
          </w:p>
        </w:tc>
        <w:tc>
          <w:tcPr>
            <w:tcW w:w="0" w:type="auto"/>
            <w:shd w:val="clear" w:color="auto" w:fill="auto"/>
            <w:vAlign w:val="bottom"/>
          </w:tcPr>
          <w:p w14:paraId="5556A45A" w14:textId="77777777" w:rsidR="00F925DD" w:rsidRDefault="00F925DD">
            <w:pPr>
              <w:textAlignment w:val="bottom"/>
              <w:rPr>
                <w:rFonts w:ascii="Times New Roman" w:hAnsi="Times New Roman"/>
                <w:sz w:val="20"/>
                <w:szCs w:val="20"/>
              </w:rPr>
            </w:pPr>
          </w:p>
        </w:tc>
      </w:tr>
      <w:tr w:rsidR="00F925DD" w14:paraId="5556A468" w14:textId="77777777">
        <w:tc>
          <w:tcPr>
            <w:tcW w:w="0" w:type="auto"/>
            <w:shd w:val="clear" w:color="auto" w:fill="CCEEFF"/>
            <w:tcMar>
              <w:top w:w="40" w:type="dxa"/>
              <w:left w:w="40" w:type="dxa"/>
              <w:bottom w:w="40" w:type="dxa"/>
              <w:right w:w="40" w:type="dxa"/>
            </w:tcMar>
            <w:vAlign w:val="bottom"/>
          </w:tcPr>
          <w:p w14:paraId="5556A45C" w14:textId="77777777" w:rsidR="00F925DD" w:rsidRDefault="00E705D7">
            <w:pPr>
              <w:textAlignment w:val="bottom"/>
              <w:rPr>
                <w:rFonts w:ascii="Times New Roman" w:hAnsi="Times New Roman"/>
                <w:sz w:val="14"/>
                <w:szCs w:val="14"/>
              </w:rPr>
            </w:pPr>
            <w:r>
              <w:rPr>
                <w:rFonts w:ascii="Arial" w:eastAsia="宋体" w:hAnsi="Arial" w:cs="Arial"/>
                <w:sz w:val="14"/>
                <w:szCs w:val="14"/>
              </w:rPr>
              <w:t>Net issuance and changes in long-term debt qualifying as tier 2</w:t>
            </w:r>
          </w:p>
        </w:tc>
        <w:tc>
          <w:tcPr>
            <w:tcW w:w="0" w:type="auto"/>
            <w:gridSpan w:val="2"/>
            <w:shd w:val="clear" w:color="auto" w:fill="CCEEFF"/>
            <w:tcMar>
              <w:top w:w="40" w:type="dxa"/>
              <w:left w:w="40" w:type="dxa"/>
              <w:bottom w:w="40" w:type="dxa"/>
            </w:tcMar>
            <w:vAlign w:val="bottom"/>
          </w:tcPr>
          <w:p w14:paraId="5556A45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317</w:t>
            </w:r>
          </w:p>
        </w:tc>
        <w:tc>
          <w:tcPr>
            <w:tcW w:w="0" w:type="auto"/>
            <w:shd w:val="clear" w:color="auto" w:fill="CCEEFF"/>
            <w:vAlign w:val="bottom"/>
          </w:tcPr>
          <w:p w14:paraId="5556A4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46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317</w:t>
            </w:r>
          </w:p>
        </w:tc>
        <w:tc>
          <w:tcPr>
            <w:tcW w:w="0" w:type="auto"/>
            <w:shd w:val="clear" w:color="auto" w:fill="CCEEFF"/>
            <w:vAlign w:val="bottom"/>
          </w:tcPr>
          <w:p w14:paraId="5556A4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46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(202</w:t>
            </w:r>
          </w:p>
        </w:tc>
        <w:tc>
          <w:tcPr>
            <w:tcW w:w="0" w:type="auto"/>
            <w:shd w:val="clear" w:color="auto" w:fill="CCEEFF"/>
            <w:tcMar>
              <w:top w:w="40" w:type="dxa"/>
              <w:bottom w:w="40" w:type="dxa"/>
              <w:right w:w="40" w:type="dxa"/>
            </w:tcMar>
            <w:vAlign w:val="bottom"/>
          </w:tcPr>
          <w:p w14:paraId="5556A46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A4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4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(202</w:t>
            </w:r>
          </w:p>
        </w:tc>
        <w:tc>
          <w:tcPr>
            <w:tcW w:w="0" w:type="auto"/>
            <w:shd w:val="clear" w:color="auto" w:fill="CCEEFF"/>
            <w:tcMar>
              <w:top w:w="40" w:type="dxa"/>
              <w:bottom w:w="40" w:type="dxa"/>
              <w:right w:w="40" w:type="dxa"/>
            </w:tcMar>
            <w:vAlign w:val="bottom"/>
          </w:tcPr>
          <w:p w14:paraId="5556A46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475" w14:textId="77777777">
        <w:tc>
          <w:tcPr>
            <w:tcW w:w="0" w:type="auto"/>
            <w:shd w:val="clear" w:color="auto" w:fill="auto"/>
            <w:tcMar>
              <w:top w:w="40" w:type="dxa"/>
              <w:left w:w="240" w:type="dxa"/>
              <w:bottom w:w="40" w:type="dxa"/>
              <w:right w:w="40" w:type="dxa"/>
            </w:tcMar>
            <w:vAlign w:val="bottom"/>
          </w:tcPr>
          <w:p w14:paraId="5556A469"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Changes in Allowance for loan losses and other</w:t>
            </w:r>
          </w:p>
        </w:tc>
        <w:tc>
          <w:tcPr>
            <w:tcW w:w="0" w:type="auto"/>
            <w:gridSpan w:val="2"/>
            <w:shd w:val="clear" w:color="auto" w:fill="auto"/>
            <w:tcMar>
              <w:top w:w="40" w:type="dxa"/>
              <w:left w:w="40" w:type="dxa"/>
              <w:bottom w:w="40" w:type="dxa"/>
            </w:tcMar>
            <w:vAlign w:val="bottom"/>
          </w:tcPr>
          <w:p w14:paraId="5556A46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shd w:val="clear" w:color="auto" w:fill="auto"/>
            <w:tcMar>
              <w:top w:w="40" w:type="dxa"/>
              <w:bottom w:w="40" w:type="dxa"/>
              <w:right w:w="40" w:type="dxa"/>
            </w:tcMar>
            <w:vAlign w:val="bottom"/>
          </w:tcPr>
          <w:p w14:paraId="5556A46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A4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6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shd w:val="clear" w:color="auto" w:fill="auto"/>
            <w:vAlign w:val="bottom"/>
          </w:tcPr>
          <w:p w14:paraId="5556A4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7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auto"/>
            <w:vAlign w:val="bottom"/>
          </w:tcPr>
          <w:p w14:paraId="5556A47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7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w:t>
            </w:r>
          </w:p>
        </w:tc>
        <w:tc>
          <w:tcPr>
            <w:tcW w:w="0" w:type="auto"/>
            <w:shd w:val="clear" w:color="auto" w:fill="auto"/>
            <w:vAlign w:val="bottom"/>
          </w:tcPr>
          <w:p w14:paraId="5556A474" w14:textId="77777777" w:rsidR="00F925DD" w:rsidRDefault="00F925DD">
            <w:pPr>
              <w:textAlignment w:val="bottom"/>
              <w:rPr>
                <w:rFonts w:ascii="Times New Roman" w:hAnsi="Times New Roman"/>
                <w:sz w:val="20"/>
                <w:szCs w:val="20"/>
              </w:rPr>
            </w:pPr>
          </w:p>
        </w:tc>
      </w:tr>
      <w:tr w:rsidR="00F925DD" w14:paraId="5556A482" w14:textId="77777777">
        <w:tc>
          <w:tcPr>
            <w:tcW w:w="0" w:type="auto"/>
            <w:shd w:val="clear" w:color="auto" w:fill="CCEEFF"/>
            <w:tcMar>
              <w:top w:w="40" w:type="dxa"/>
              <w:left w:w="240" w:type="dxa"/>
              <w:bottom w:w="40" w:type="dxa"/>
              <w:right w:w="40" w:type="dxa"/>
            </w:tcMar>
            <w:vAlign w:val="bottom"/>
          </w:tcPr>
          <w:p w14:paraId="5556A476"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 in other adjustments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47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A47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47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A4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47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CCEEFF"/>
            <w:tcMar>
              <w:top w:w="40" w:type="dxa"/>
              <w:bottom w:w="40" w:type="dxa"/>
              <w:right w:w="40" w:type="dxa"/>
            </w:tcMar>
            <w:vAlign w:val="bottom"/>
          </w:tcPr>
          <w:p w14:paraId="5556A47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A4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48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bottom w:val="single" w:sz="8" w:space="0" w:color="000000"/>
            </w:tcBorders>
            <w:shd w:val="clear" w:color="auto" w:fill="CCEEFF"/>
            <w:tcMar>
              <w:top w:w="40" w:type="dxa"/>
              <w:bottom w:w="40" w:type="dxa"/>
              <w:right w:w="40" w:type="dxa"/>
            </w:tcMar>
            <w:vAlign w:val="bottom"/>
          </w:tcPr>
          <w:p w14:paraId="5556A48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48F" w14:textId="77777777">
        <w:tc>
          <w:tcPr>
            <w:tcW w:w="0" w:type="auto"/>
            <w:shd w:val="clear" w:color="auto" w:fill="auto"/>
            <w:tcMar>
              <w:top w:w="40" w:type="dxa"/>
              <w:left w:w="40" w:type="dxa"/>
              <w:bottom w:w="40" w:type="dxa"/>
              <w:right w:w="40" w:type="dxa"/>
            </w:tcMar>
            <w:vAlign w:val="bottom"/>
          </w:tcPr>
          <w:p w14:paraId="5556A483"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Changes in tier 2 capital</w:t>
            </w:r>
          </w:p>
        </w:tc>
        <w:tc>
          <w:tcPr>
            <w:tcW w:w="0" w:type="auto"/>
            <w:gridSpan w:val="2"/>
            <w:tcBorders>
              <w:top w:val="single" w:sz="8" w:space="0" w:color="000000"/>
            </w:tcBorders>
            <w:shd w:val="clear" w:color="auto" w:fill="auto"/>
            <w:tcMar>
              <w:top w:w="40" w:type="dxa"/>
              <w:left w:w="40" w:type="dxa"/>
              <w:bottom w:w="40" w:type="dxa"/>
            </w:tcMar>
            <w:vAlign w:val="bottom"/>
          </w:tcPr>
          <w:p w14:paraId="5556A48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308</w:t>
            </w:r>
          </w:p>
        </w:tc>
        <w:tc>
          <w:tcPr>
            <w:tcW w:w="0" w:type="auto"/>
            <w:tcBorders>
              <w:top w:val="single" w:sz="8" w:space="0" w:color="000000"/>
            </w:tcBorders>
            <w:shd w:val="clear" w:color="auto" w:fill="auto"/>
            <w:vAlign w:val="bottom"/>
          </w:tcPr>
          <w:p w14:paraId="5556A48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48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324</w:t>
            </w:r>
          </w:p>
        </w:tc>
        <w:tc>
          <w:tcPr>
            <w:tcW w:w="0" w:type="auto"/>
            <w:tcBorders>
              <w:top w:val="single" w:sz="8" w:space="0" w:color="000000"/>
            </w:tcBorders>
            <w:shd w:val="clear" w:color="auto" w:fill="auto"/>
            <w:vAlign w:val="bottom"/>
          </w:tcPr>
          <w:p w14:paraId="5556A48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48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(193</w:t>
            </w:r>
          </w:p>
        </w:tc>
        <w:tc>
          <w:tcPr>
            <w:tcW w:w="0" w:type="auto"/>
            <w:tcBorders>
              <w:top w:val="single" w:sz="8" w:space="0" w:color="000000"/>
            </w:tcBorders>
            <w:shd w:val="clear" w:color="auto" w:fill="auto"/>
            <w:tcMar>
              <w:top w:w="40" w:type="dxa"/>
              <w:bottom w:w="40" w:type="dxa"/>
              <w:right w:w="40" w:type="dxa"/>
            </w:tcMar>
            <w:vAlign w:val="bottom"/>
          </w:tcPr>
          <w:p w14:paraId="5556A48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A4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48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(192</w:t>
            </w:r>
          </w:p>
        </w:tc>
        <w:tc>
          <w:tcPr>
            <w:tcW w:w="0" w:type="auto"/>
            <w:tcBorders>
              <w:top w:val="single" w:sz="8" w:space="0" w:color="000000"/>
            </w:tcBorders>
            <w:shd w:val="clear" w:color="auto" w:fill="auto"/>
            <w:tcMar>
              <w:top w:w="40" w:type="dxa"/>
              <w:bottom w:w="40" w:type="dxa"/>
              <w:right w:w="40" w:type="dxa"/>
            </w:tcMar>
            <w:vAlign w:val="bottom"/>
          </w:tcPr>
          <w:p w14:paraId="5556A48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49C" w14:textId="77777777">
        <w:tc>
          <w:tcPr>
            <w:tcW w:w="0" w:type="auto"/>
            <w:shd w:val="clear" w:color="auto" w:fill="CCEEFF"/>
            <w:tcMar>
              <w:top w:w="40" w:type="dxa"/>
              <w:left w:w="40" w:type="dxa"/>
              <w:bottom w:w="40" w:type="dxa"/>
              <w:right w:w="40" w:type="dxa"/>
            </w:tcMar>
            <w:vAlign w:val="bottom"/>
          </w:tcPr>
          <w:p w14:paraId="5556A490" w14:textId="77777777" w:rsidR="00F925DD" w:rsidRDefault="00E705D7">
            <w:pPr>
              <w:textAlignment w:val="bottom"/>
              <w:rPr>
                <w:rFonts w:ascii="Times New Roman" w:hAnsi="Times New Roman"/>
                <w:sz w:val="14"/>
                <w:szCs w:val="14"/>
              </w:rPr>
            </w:pPr>
            <w:r>
              <w:rPr>
                <w:rFonts w:ascii="Arial" w:eastAsia="宋体" w:hAnsi="Arial" w:cs="Arial"/>
                <w:sz w:val="14"/>
                <w:szCs w:val="14"/>
              </w:rPr>
              <w:t>Tier 2 capital balance, end of period</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49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1,100</w:t>
            </w:r>
          </w:p>
        </w:tc>
        <w:tc>
          <w:tcPr>
            <w:tcW w:w="0" w:type="auto"/>
            <w:tcBorders>
              <w:top w:val="single" w:sz="8" w:space="0" w:color="000000"/>
              <w:bottom w:val="single" w:sz="8" w:space="0" w:color="000000"/>
            </w:tcBorders>
            <w:shd w:val="clear" w:color="auto" w:fill="CCEEFF"/>
            <w:vAlign w:val="bottom"/>
          </w:tcPr>
          <w:p w14:paraId="5556A49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49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1,185</w:t>
            </w:r>
          </w:p>
        </w:tc>
        <w:tc>
          <w:tcPr>
            <w:tcW w:w="0" w:type="auto"/>
            <w:tcBorders>
              <w:top w:val="single" w:sz="8" w:space="0" w:color="000000"/>
              <w:bottom w:val="single" w:sz="8" w:space="0" w:color="000000"/>
            </w:tcBorders>
            <w:shd w:val="clear" w:color="auto" w:fill="CCEEFF"/>
            <w:vAlign w:val="bottom"/>
          </w:tcPr>
          <w:p w14:paraId="5556A49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49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792</w:t>
            </w:r>
          </w:p>
        </w:tc>
        <w:tc>
          <w:tcPr>
            <w:tcW w:w="0" w:type="auto"/>
            <w:tcBorders>
              <w:top w:val="single" w:sz="8" w:space="0" w:color="000000"/>
              <w:bottom w:val="single" w:sz="8" w:space="0" w:color="000000"/>
            </w:tcBorders>
            <w:shd w:val="clear" w:color="auto" w:fill="CCEEFF"/>
            <w:vAlign w:val="bottom"/>
          </w:tcPr>
          <w:p w14:paraId="5556A49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49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861</w:t>
            </w:r>
          </w:p>
        </w:tc>
        <w:tc>
          <w:tcPr>
            <w:tcW w:w="0" w:type="auto"/>
            <w:tcBorders>
              <w:top w:val="single" w:sz="8" w:space="0" w:color="000000"/>
              <w:bottom w:val="single" w:sz="8" w:space="0" w:color="000000"/>
            </w:tcBorders>
            <w:shd w:val="clear" w:color="auto" w:fill="CCEEFF"/>
            <w:vAlign w:val="bottom"/>
          </w:tcPr>
          <w:p w14:paraId="5556A49B" w14:textId="77777777" w:rsidR="00F925DD" w:rsidRDefault="00F925DD">
            <w:pPr>
              <w:textAlignment w:val="bottom"/>
              <w:rPr>
                <w:rFonts w:ascii="Times New Roman" w:hAnsi="Times New Roman"/>
                <w:sz w:val="20"/>
                <w:szCs w:val="20"/>
              </w:rPr>
            </w:pPr>
          </w:p>
        </w:tc>
      </w:tr>
      <w:tr w:rsidR="00F925DD" w14:paraId="5556A4A5" w14:textId="77777777">
        <w:tc>
          <w:tcPr>
            <w:tcW w:w="0" w:type="auto"/>
            <w:shd w:val="clear" w:color="auto" w:fill="auto"/>
            <w:tcMar>
              <w:top w:w="40" w:type="dxa"/>
              <w:left w:w="40" w:type="dxa"/>
              <w:bottom w:w="40" w:type="dxa"/>
              <w:right w:w="40" w:type="dxa"/>
            </w:tcMar>
            <w:vAlign w:val="bottom"/>
          </w:tcPr>
          <w:p w14:paraId="5556A49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Total capital:</w:t>
            </w:r>
          </w:p>
        </w:tc>
        <w:tc>
          <w:tcPr>
            <w:tcW w:w="0" w:type="auto"/>
            <w:gridSpan w:val="3"/>
            <w:shd w:val="clear" w:color="auto" w:fill="auto"/>
            <w:tcMar>
              <w:top w:w="40" w:type="dxa"/>
              <w:left w:w="40" w:type="dxa"/>
              <w:bottom w:w="40" w:type="dxa"/>
              <w:right w:w="40" w:type="dxa"/>
            </w:tcMar>
            <w:vAlign w:val="bottom"/>
          </w:tcPr>
          <w:p w14:paraId="5556A4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4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4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4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4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4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4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4B2" w14:textId="77777777">
        <w:tc>
          <w:tcPr>
            <w:tcW w:w="0" w:type="auto"/>
            <w:shd w:val="clear" w:color="auto" w:fill="CCEEFF"/>
            <w:tcMar>
              <w:top w:w="40" w:type="dxa"/>
              <w:left w:w="40" w:type="dxa"/>
              <w:bottom w:w="40" w:type="dxa"/>
              <w:right w:w="40" w:type="dxa"/>
            </w:tcMar>
            <w:vAlign w:val="bottom"/>
          </w:tcPr>
          <w:p w14:paraId="5556A4A6"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Total capital balance, beginning of </w:t>
            </w:r>
            <w:r>
              <w:rPr>
                <w:rFonts w:ascii="Arial" w:eastAsia="宋体" w:hAnsi="Arial" w:cs="Arial"/>
                <w:sz w:val="14"/>
                <w:szCs w:val="14"/>
              </w:rPr>
              <w:t>period</w:t>
            </w:r>
          </w:p>
        </w:tc>
        <w:tc>
          <w:tcPr>
            <w:tcW w:w="0" w:type="auto"/>
            <w:gridSpan w:val="2"/>
            <w:shd w:val="clear" w:color="auto" w:fill="CCEEFF"/>
            <w:tcMar>
              <w:top w:w="40" w:type="dxa"/>
              <w:left w:w="40" w:type="dxa"/>
              <w:bottom w:w="40" w:type="dxa"/>
            </w:tcMar>
            <w:vAlign w:val="bottom"/>
          </w:tcPr>
          <w:p w14:paraId="5556A4A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16,062</w:t>
            </w:r>
          </w:p>
        </w:tc>
        <w:tc>
          <w:tcPr>
            <w:tcW w:w="0" w:type="auto"/>
            <w:shd w:val="clear" w:color="auto" w:fill="CCEEFF"/>
            <w:vAlign w:val="bottom"/>
          </w:tcPr>
          <w:p w14:paraId="5556A4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4A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16,131</w:t>
            </w:r>
          </w:p>
        </w:tc>
        <w:tc>
          <w:tcPr>
            <w:tcW w:w="0" w:type="auto"/>
            <w:shd w:val="clear" w:color="auto" w:fill="CCEEFF"/>
            <w:vAlign w:val="bottom"/>
          </w:tcPr>
          <w:p w14:paraId="5556A4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4A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16,367</w:t>
            </w:r>
          </w:p>
        </w:tc>
        <w:tc>
          <w:tcPr>
            <w:tcW w:w="0" w:type="auto"/>
            <w:shd w:val="clear" w:color="auto" w:fill="CCEEFF"/>
            <w:vAlign w:val="bottom"/>
          </w:tcPr>
          <w:p w14:paraId="5556A4A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4B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16,435</w:t>
            </w:r>
          </w:p>
        </w:tc>
        <w:tc>
          <w:tcPr>
            <w:tcW w:w="0" w:type="auto"/>
            <w:shd w:val="clear" w:color="auto" w:fill="CCEEFF"/>
            <w:vAlign w:val="bottom"/>
          </w:tcPr>
          <w:p w14:paraId="5556A4B1" w14:textId="77777777" w:rsidR="00F925DD" w:rsidRDefault="00F925DD">
            <w:pPr>
              <w:textAlignment w:val="bottom"/>
              <w:rPr>
                <w:rFonts w:ascii="Times New Roman" w:hAnsi="Times New Roman"/>
                <w:sz w:val="20"/>
                <w:szCs w:val="20"/>
              </w:rPr>
            </w:pPr>
          </w:p>
        </w:tc>
      </w:tr>
      <w:tr w:rsidR="00F925DD" w14:paraId="5556A4BF" w14:textId="77777777">
        <w:tc>
          <w:tcPr>
            <w:tcW w:w="0" w:type="auto"/>
            <w:shd w:val="clear" w:color="auto" w:fill="auto"/>
            <w:tcMar>
              <w:top w:w="40" w:type="dxa"/>
              <w:left w:w="40" w:type="dxa"/>
              <w:bottom w:w="40" w:type="dxa"/>
              <w:right w:w="40" w:type="dxa"/>
            </w:tcMar>
            <w:vAlign w:val="bottom"/>
          </w:tcPr>
          <w:p w14:paraId="5556A4B3"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Changes in tier 1 capital</w:t>
            </w:r>
          </w:p>
        </w:tc>
        <w:tc>
          <w:tcPr>
            <w:tcW w:w="0" w:type="auto"/>
            <w:gridSpan w:val="2"/>
            <w:shd w:val="clear" w:color="auto" w:fill="auto"/>
            <w:tcMar>
              <w:top w:w="40" w:type="dxa"/>
              <w:left w:w="40" w:type="dxa"/>
              <w:bottom w:w="40" w:type="dxa"/>
            </w:tcMar>
            <w:vAlign w:val="bottom"/>
          </w:tcPr>
          <w:p w14:paraId="5556A4B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(95</w:t>
            </w:r>
          </w:p>
        </w:tc>
        <w:tc>
          <w:tcPr>
            <w:tcW w:w="0" w:type="auto"/>
            <w:shd w:val="clear" w:color="auto" w:fill="auto"/>
            <w:tcMar>
              <w:top w:w="40" w:type="dxa"/>
              <w:bottom w:w="40" w:type="dxa"/>
              <w:right w:w="40" w:type="dxa"/>
            </w:tcMar>
            <w:vAlign w:val="bottom"/>
          </w:tcPr>
          <w:p w14:paraId="5556A4B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A4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B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(95</w:t>
            </w:r>
          </w:p>
        </w:tc>
        <w:tc>
          <w:tcPr>
            <w:tcW w:w="0" w:type="auto"/>
            <w:shd w:val="clear" w:color="auto" w:fill="auto"/>
            <w:tcMar>
              <w:top w:w="40" w:type="dxa"/>
              <w:bottom w:w="40" w:type="dxa"/>
              <w:right w:w="40" w:type="dxa"/>
            </w:tcMar>
            <w:vAlign w:val="bottom"/>
          </w:tcPr>
          <w:p w14:paraId="5556A4B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A4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B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(112</w:t>
            </w:r>
          </w:p>
        </w:tc>
        <w:tc>
          <w:tcPr>
            <w:tcW w:w="0" w:type="auto"/>
            <w:shd w:val="clear" w:color="auto" w:fill="auto"/>
            <w:tcMar>
              <w:top w:w="40" w:type="dxa"/>
              <w:bottom w:w="40" w:type="dxa"/>
              <w:right w:w="40" w:type="dxa"/>
            </w:tcMar>
            <w:vAlign w:val="bottom"/>
          </w:tcPr>
          <w:p w14:paraId="5556A4B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A4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4B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(112</w:t>
            </w:r>
          </w:p>
        </w:tc>
        <w:tc>
          <w:tcPr>
            <w:tcW w:w="0" w:type="auto"/>
            <w:shd w:val="clear" w:color="auto" w:fill="auto"/>
            <w:tcMar>
              <w:top w:w="40" w:type="dxa"/>
              <w:bottom w:w="40" w:type="dxa"/>
              <w:right w:w="40" w:type="dxa"/>
            </w:tcMar>
            <w:vAlign w:val="bottom"/>
          </w:tcPr>
          <w:p w14:paraId="5556A4B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4CC" w14:textId="77777777">
        <w:tc>
          <w:tcPr>
            <w:tcW w:w="0" w:type="auto"/>
            <w:shd w:val="clear" w:color="auto" w:fill="CCEEFF"/>
            <w:tcMar>
              <w:top w:w="40" w:type="dxa"/>
              <w:left w:w="40" w:type="dxa"/>
              <w:bottom w:w="40" w:type="dxa"/>
              <w:right w:w="40" w:type="dxa"/>
            </w:tcMar>
            <w:vAlign w:val="bottom"/>
          </w:tcPr>
          <w:p w14:paraId="5556A4C0"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Changes in tier 2 capital</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4C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308</w:t>
            </w:r>
          </w:p>
        </w:tc>
        <w:tc>
          <w:tcPr>
            <w:tcW w:w="0" w:type="auto"/>
            <w:tcBorders>
              <w:bottom w:val="single" w:sz="8" w:space="0" w:color="000000"/>
            </w:tcBorders>
            <w:shd w:val="clear" w:color="auto" w:fill="CCEEFF"/>
            <w:vAlign w:val="bottom"/>
          </w:tcPr>
          <w:p w14:paraId="5556A4C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4C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324</w:t>
            </w:r>
          </w:p>
        </w:tc>
        <w:tc>
          <w:tcPr>
            <w:tcW w:w="0" w:type="auto"/>
            <w:tcBorders>
              <w:bottom w:val="single" w:sz="8" w:space="0" w:color="000000"/>
            </w:tcBorders>
            <w:shd w:val="clear" w:color="auto" w:fill="CCEEFF"/>
            <w:vAlign w:val="bottom"/>
          </w:tcPr>
          <w:p w14:paraId="5556A4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4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4C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(193</w:t>
            </w:r>
          </w:p>
        </w:tc>
        <w:tc>
          <w:tcPr>
            <w:tcW w:w="0" w:type="auto"/>
            <w:tcBorders>
              <w:bottom w:val="single" w:sz="8" w:space="0" w:color="000000"/>
            </w:tcBorders>
            <w:shd w:val="clear" w:color="auto" w:fill="CCEEFF"/>
            <w:tcMar>
              <w:top w:w="40" w:type="dxa"/>
              <w:bottom w:w="40" w:type="dxa"/>
              <w:right w:w="40" w:type="dxa"/>
            </w:tcMar>
            <w:vAlign w:val="bottom"/>
          </w:tcPr>
          <w:p w14:paraId="5556A4C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A4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4C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(192</w:t>
            </w:r>
          </w:p>
        </w:tc>
        <w:tc>
          <w:tcPr>
            <w:tcW w:w="0" w:type="auto"/>
            <w:tcBorders>
              <w:bottom w:val="single" w:sz="8" w:space="0" w:color="000000"/>
            </w:tcBorders>
            <w:shd w:val="clear" w:color="auto" w:fill="CCEEFF"/>
            <w:tcMar>
              <w:top w:w="40" w:type="dxa"/>
              <w:bottom w:w="40" w:type="dxa"/>
              <w:right w:w="40" w:type="dxa"/>
            </w:tcMar>
            <w:vAlign w:val="bottom"/>
          </w:tcPr>
          <w:p w14:paraId="5556A4C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4DD" w14:textId="77777777">
        <w:tc>
          <w:tcPr>
            <w:tcW w:w="0" w:type="auto"/>
            <w:shd w:val="clear" w:color="auto" w:fill="auto"/>
            <w:tcMar>
              <w:top w:w="40" w:type="dxa"/>
              <w:left w:w="40" w:type="dxa"/>
              <w:bottom w:w="40" w:type="dxa"/>
              <w:right w:w="40" w:type="dxa"/>
            </w:tcMar>
            <w:vAlign w:val="bottom"/>
          </w:tcPr>
          <w:p w14:paraId="5556A4CD"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capital balance,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4C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4C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16,275</w:t>
            </w:r>
          </w:p>
        </w:tc>
        <w:tc>
          <w:tcPr>
            <w:tcW w:w="0" w:type="auto"/>
            <w:tcBorders>
              <w:top w:val="single" w:sz="8" w:space="0" w:color="000000"/>
              <w:bottom w:val="double" w:sz="6" w:space="0" w:color="000000"/>
            </w:tcBorders>
            <w:shd w:val="clear" w:color="auto" w:fill="auto"/>
            <w:vAlign w:val="bottom"/>
          </w:tcPr>
          <w:p w14:paraId="5556A4D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4D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4D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16,360</w:t>
            </w:r>
          </w:p>
        </w:tc>
        <w:tc>
          <w:tcPr>
            <w:tcW w:w="0" w:type="auto"/>
            <w:tcBorders>
              <w:top w:val="single" w:sz="8" w:space="0" w:color="000000"/>
              <w:bottom w:val="double" w:sz="6" w:space="0" w:color="000000"/>
            </w:tcBorders>
            <w:shd w:val="clear" w:color="auto" w:fill="auto"/>
            <w:vAlign w:val="bottom"/>
          </w:tcPr>
          <w:p w14:paraId="5556A4D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4D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4D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16,062</w:t>
            </w:r>
          </w:p>
        </w:tc>
        <w:tc>
          <w:tcPr>
            <w:tcW w:w="0" w:type="auto"/>
            <w:tcBorders>
              <w:top w:val="single" w:sz="8" w:space="0" w:color="000000"/>
              <w:bottom w:val="double" w:sz="6" w:space="0" w:color="000000"/>
            </w:tcBorders>
            <w:shd w:val="clear" w:color="auto" w:fill="auto"/>
            <w:vAlign w:val="bottom"/>
          </w:tcPr>
          <w:p w14:paraId="5556A4D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4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4D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4D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16,131</w:t>
            </w:r>
          </w:p>
        </w:tc>
        <w:tc>
          <w:tcPr>
            <w:tcW w:w="0" w:type="auto"/>
            <w:tcBorders>
              <w:top w:val="single" w:sz="8" w:space="0" w:color="000000"/>
              <w:bottom w:val="double" w:sz="6" w:space="0" w:color="000000"/>
            </w:tcBorders>
            <w:shd w:val="clear" w:color="auto" w:fill="auto"/>
            <w:vAlign w:val="bottom"/>
          </w:tcPr>
          <w:p w14:paraId="5556A4DC" w14:textId="77777777" w:rsidR="00F925DD" w:rsidRDefault="00F925DD">
            <w:pPr>
              <w:textAlignment w:val="bottom"/>
              <w:rPr>
                <w:rFonts w:ascii="Times New Roman" w:hAnsi="Times New Roman"/>
                <w:sz w:val="20"/>
                <w:szCs w:val="20"/>
              </w:rPr>
            </w:pPr>
          </w:p>
        </w:tc>
      </w:tr>
    </w:tbl>
    <w:p w14:paraId="5556A4DE"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1661"/>
        <w:gridCol w:w="1578"/>
        <w:gridCol w:w="2741"/>
      </w:tblGrid>
      <w:tr w:rsidR="00F925DD" w14:paraId="5556A4E0" w14:textId="77777777">
        <w:tc>
          <w:tcPr>
            <w:tcW w:w="0" w:type="auto"/>
            <w:gridSpan w:val="4"/>
            <w:shd w:val="clear" w:color="auto" w:fill="auto"/>
            <w:vAlign w:val="center"/>
          </w:tcPr>
          <w:p w14:paraId="5556A4DF" w14:textId="77777777" w:rsidR="00F925DD" w:rsidRDefault="00F925DD">
            <w:pPr>
              <w:rPr>
                <w:rFonts w:ascii="Times New Roman" w:hAnsi="Times New Roman"/>
                <w:sz w:val="20"/>
                <w:szCs w:val="20"/>
              </w:rPr>
            </w:pPr>
          </w:p>
        </w:tc>
      </w:tr>
      <w:tr w:rsidR="00F925DD" w14:paraId="5556A4E5" w14:textId="77777777">
        <w:tc>
          <w:tcPr>
            <w:tcW w:w="1400" w:type="pct"/>
            <w:shd w:val="clear" w:color="auto" w:fill="auto"/>
            <w:vAlign w:val="center"/>
          </w:tcPr>
          <w:p w14:paraId="5556A4E1" w14:textId="77777777" w:rsidR="00F925DD" w:rsidRDefault="00F925DD">
            <w:pPr>
              <w:rPr>
                <w:rFonts w:ascii="Times New Roman" w:hAnsi="Times New Roman"/>
                <w:sz w:val="20"/>
                <w:szCs w:val="20"/>
              </w:rPr>
            </w:pPr>
          </w:p>
        </w:tc>
        <w:tc>
          <w:tcPr>
            <w:tcW w:w="1000" w:type="pct"/>
            <w:shd w:val="clear" w:color="auto" w:fill="auto"/>
            <w:vAlign w:val="center"/>
          </w:tcPr>
          <w:p w14:paraId="5556A4E2" w14:textId="77777777" w:rsidR="00F925DD" w:rsidRDefault="00F925DD">
            <w:pPr>
              <w:rPr>
                <w:rFonts w:ascii="Times New Roman" w:hAnsi="Times New Roman"/>
                <w:sz w:val="20"/>
                <w:szCs w:val="20"/>
              </w:rPr>
            </w:pPr>
          </w:p>
        </w:tc>
        <w:tc>
          <w:tcPr>
            <w:tcW w:w="950" w:type="pct"/>
            <w:shd w:val="clear" w:color="auto" w:fill="auto"/>
            <w:vAlign w:val="center"/>
          </w:tcPr>
          <w:p w14:paraId="5556A4E3" w14:textId="77777777" w:rsidR="00F925DD" w:rsidRDefault="00F925DD">
            <w:pPr>
              <w:rPr>
                <w:rFonts w:ascii="Times New Roman" w:hAnsi="Times New Roman"/>
                <w:sz w:val="20"/>
                <w:szCs w:val="20"/>
              </w:rPr>
            </w:pPr>
          </w:p>
        </w:tc>
        <w:tc>
          <w:tcPr>
            <w:tcW w:w="1650" w:type="pct"/>
            <w:shd w:val="clear" w:color="auto" w:fill="auto"/>
            <w:vAlign w:val="center"/>
          </w:tcPr>
          <w:p w14:paraId="5556A4E4" w14:textId="77777777" w:rsidR="00F925DD" w:rsidRDefault="00F925DD">
            <w:pPr>
              <w:rPr>
                <w:rFonts w:ascii="Times New Roman" w:hAnsi="Times New Roman"/>
                <w:sz w:val="20"/>
                <w:szCs w:val="20"/>
              </w:rPr>
            </w:pPr>
          </w:p>
        </w:tc>
      </w:tr>
      <w:tr w:rsidR="00F925DD" w14:paraId="5556A4E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A4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4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4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4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A4EB" w14:textId="77777777" w:rsidR="00F925DD" w:rsidRDefault="00E705D7">
      <w:pPr>
        <w:spacing w:line="288" w:lineRule="auto"/>
        <w:jc w:val="both"/>
        <w:rPr>
          <w:rFonts w:ascii="Times New Roman" w:hAnsi="Times New Roman"/>
          <w:sz w:val="20"/>
          <w:szCs w:val="20"/>
        </w:rPr>
      </w:pPr>
      <w:r>
        <w:rPr>
          <w:rFonts w:ascii="Arial" w:eastAsia="宋体" w:hAnsi="Arial" w:cs="Arial"/>
          <w:sz w:val="13"/>
          <w:szCs w:val="13"/>
        </w:rPr>
        <w:t>(1) Under the applicable bank regulatory rules, we are not required to and, accordingly, did not revise previously-filed reported capital metrics and ratios following the change in accounting for LIHTC.</w:t>
      </w:r>
    </w:p>
    <w:p w14:paraId="5556A4EC" w14:textId="77777777" w:rsidR="00F925DD" w:rsidRDefault="00F925DD">
      <w:pPr>
        <w:rPr>
          <w:rFonts w:ascii="Times New Roman" w:hAnsi="Times New Roman"/>
          <w:sz w:val="20"/>
          <w:szCs w:val="20"/>
        </w:rPr>
      </w:pPr>
    </w:p>
    <w:p w14:paraId="5556A4E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Street </w:t>
      </w:r>
      <w:r>
        <w:rPr>
          <w:rFonts w:ascii="Arial" w:eastAsia="宋体" w:hAnsi="Arial" w:cs="Arial"/>
          <w:sz w:val="18"/>
          <w:szCs w:val="18"/>
        </w:rPr>
        <w:t>Corporation | 110</w:t>
      </w:r>
    </w:p>
    <w:p w14:paraId="5556A4EE" w14:textId="77777777" w:rsidR="00F925DD" w:rsidRDefault="00F925DD">
      <w:pPr>
        <w:spacing w:line="288" w:lineRule="auto"/>
        <w:ind w:firstLine="600"/>
        <w:jc w:val="center"/>
        <w:rPr>
          <w:rFonts w:ascii="Times New Roman" w:hAnsi="Times New Roman"/>
          <w:sz w:val="18"/>
          <w:szCs w:val="18"/>
        </w:rPr>
      </w:pPr>
    </w:p>
    <w:p w14:paraId="5556A4EF" w14:textId="77777777" w:rsidR="00F925DD" w:rsidRDefault="00E705D7">
      <w:r>
        <w:rPr>
          <w:rFonts w:ascii="Times New Roman" w:hAnsi="Times New Roman"/>
          <w:sz w:val="18"/>
          <w:szCs w:val="18"/>
        </w:rPr>
        <w:pict w14:anchorId="555706A8">
          <v:rect id="_x0000_i1134" style="width:415.3pt;height:1.5pt" o:hralign="center" o:hrstd="t" o:hr="t" fillcolor="#a0a0a0" stroked="f"/>
        </w:pict>
      </w:r>
    </w:p>
    <w:p w14:paraId="5556A4F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A4F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A4F2" w14:textId="77777777" w:rsidR="00F925DD" w:rsidRDefault="00F925DD">
      <w:pPr>
        <w:rPr>
          <w:rFonts w:ascii="Times New Roman" w:hAnsi="Times New Roman"/>
          <w:sz w:val="20"/>
          <w:szCs w:val="20"/>
        </w:rPr>
      </w:pPr>
    </w:p>
    <w:p w14:paraId="5556A4F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a roll-forward of the Basel III advanced approaches and standardized approach RWA for the years ended December 31, 2019</w:t>
      </w:r>
      <w:r>
        <w:rPr>
          <w:rFonts w:ascii="Arial" w:eastAsia="宋体" w:hAnsi="Arial" w:cs="Arial"/>
          <w:sz w:val="20"/>
          <w:szCs w:val="20"/>
        </w:rPr>
        <w:t xml:space="preserve"> and 2018.</w:t>
      </w:r>
    </w:p>
    <w:tbl>
      <w:tblPr>
        <w:tblW w:w="5000" w:type="pct"/>
        <w:tblCellMar>
          <w:left w:w="0" w:type="dxa"/>
          <w:right w:w="0" w:type="dxa"/>
        </w:tblCellMar>
        <w:tblLook w:val="04A0" w:firstRow="1" w:lastRow="0" w:firstColumn="1" w:lastColumn="0" w:noHBand="0" w:noVBand="1"/>
      </w:tblPr>
      <w:tblGrid>
        <w:gridCol w:w="3344"/>
        <w:gridCol w:w="119"/>
        <w:gridCol w:w="937"/>
        <w:gridCol w:w="87"/>
        <w:gridCol w:w="130"/>
        <w:gridCol w:w="119"/>
        <w:gridCol w:w="937"/>
        <w:gridCol w:w="87"/>
        <w:gridCol w:w="130"/>
        <w:gridCol w:w="119"/>
        <w:gridCol w:w="937"/>
        <w:gridCol w:w="87"/>
        <w:gridCol w:w="130"/>
        <w:gridCol w:w="119"/>
        <w:gridCol w:w="937"/>
        <w:gridCol w:w="87"/>
      </w:tblGrid>
      <w:tr w:rsidR="00F925DD" w14:paraId="5556A4F5" w14:textId="77777777">
        <w:tc>
          <w:tcPr>
            <w:tcW w:w="0" w:type="auto"/>
            <w:gridSpan w:val="16"/>
            <w:shd w:val="clear" w:color="auto" w:fill="auto"/>
            <w:vAlign w:val="center"/>
          </w:tcPr>
          <w:p w14:paraId="5556A4F4" w14:textId="77777777" w:rsidR="00F925DD" w:rsidRDefault="00F925DD">
            <w:pPr>
              <w:rPr>
                <w:rFonts w:ascii="Times New Roman" w:hAnsi="Times New Roman"/>
                <w:sz w:val="20"/>
                <w:szCs w:val="20"/>
              </w:rPr>
            </w:pPr>
          </w:p>
        </w:tc>
      </w:tr>
      <w:tr w:rsidR="00F925DD" w14:paraId="5556A506" w14:textId="77777777">
        <w:tc>
          <w:tcPr>
            <w:tcW w:w="2050" w:type="pct"/>
            <w:shd w:val="clear" w:color="auto" w:fill="auto"/>
            <w:vAlign w:val="center"/>
          </w:tcPr>
          <w:p w14:paraId="5556A4F6" w14:textId="77777777" w:rsidR="00F925DD" w:rsidRDefault="00F925DD">
            <w:pPr>
              <w:rPr>
                <w:rFonts w:ascii="Times New Roman" w:hAnsi="Times New Roman"/>
                <w:sz w:val="20"/>
                <w:szCs w:val="20"/>
              </w:rPr>
            </w:pPr>
          </w:p>
        </w:tc>
        <w:tc>
          <w:tcPr>
            <w:tcW w:w="50" w:type="pct"/>
            <w:shd w:val="clear" w:color="auto" w:fill="auto"/>
            <w:vAlign w:val="center"/>
          </w:tcPr>
          <w:p w14:paraId="5556A4F7" w14:textId="77777777" w:rsidR="00F925DD" w:rsidRDefault="00F925DD">
            <w:pPr>
              <w:rPr>
                <w:rFonts w:ascii="Times New Roman" w:hAnsi="Times New Roman"/>
                <w:sz w:val="20"/>
                <w:szCs w:val="20"/>
              </w:rPr>
            </w:pPr>
          </w:p>
        </w:tc>
        <w:tc>
          <w:tcPr>
            <w:tcW w:w="600" w:type="pct"/>
            <w:shd w:val="clear" w:color="auto" w:fill="auto"/>
            <w:vAlign w:val="center"/>
          </w:tcPr>
          <w:p w14:paraId="5556A4F8" w14:textId="77777777" w:rsidR="00F925DD" w:rsidRDefault="00F925DD">
            <w:pPr>
              <w:rPr>
                <w:rFonts w:ascii="Times New Roman" w:hAnsi="Times New Roman"/>
                <w:sz w:val="20"/>
                <w:szCs w:val="20"/>
              </w:rPr>
            </w:pPr>
          </w:p>
        </w:tc>
        <w:tc>
          <w:tcPr>
            <w:tcW w:w="50" w:type="pct"/>
            <w:shd w:val="clear" w:color="auto" w:fill="auto"/>
            <w:vAlign w:val="center"/>
          </w:tcPr>
          <w:p w14:paraId="5556A4F9" w14:textId="77777777" w:rsidR="00F925DD" w:rsidRDefault="00F925DD">
            <w:pPr>
              <w:rPr>
                <w:rFonts w:ascii="Times New Roman" w:hAnsi="Times New Roman"/>
                <w:sz w:val="20"/>
                <w:szCs w:val="20"/>
              </w:rPr>
            </w:pPr>
          </w:p>
        </w:tc>
        <w:tc>
          <w:tcPr>
            <w:tcW w:w="50" w:type="pct"/>
            <w:shd w:val="clear" w:color="auto" w:fill="auto"/>
            <w:vAlign w:val="center"/>
          </w:tcPr>
          <w:p w14:paraId="5556A4FA" w14:textId="77777777" w:rsidR="00F925DD" w:rsidRDefault="00F925DD">
            <w:pPr>
              <w:rPr>
                <w:rFonts w:ascii="Times New Roman" w:hAnsi="Times New Roman"/>
                <w:sz w:val="20"/>
                <w:szCs w:val="20"/>
              </w:rPr>
            </w:pPr>
          </w:p>
        </w:tc>
        <w:tc>
          <w:tcPr>
            <w:tcW w:w="50" w:type="pct"/>
            <w:shd w:val="clear" w:color="auto" w:fill="auto"/>
            <w:vAlign w:val="center"/>
          </w:tcPr>
          <w:p w14:paraId="5556A4FB" w14:textId="77777777" w:rsidR="00F925DD" w:rsidRDefault="00F925DD">
            <w:pPr>
              <w:rPr>
                <w:rFonts w:ascii="Times New Roman" w:hAnsi="Times New Roman"/>
                <w:sz w:val="20"/>
                <w:szCs w:val="20"/>
              </w:rPr>
            </w:pPr>
          </w:p>
        </w:tc>
        <w:tc>
          <w:tcPr>
            <w:tcW w:w="600" w:type="pct"/>
            <w:shd w:val="clear" w:color="auto" w:fill="auto"/>
            <w:vAlign w:val="center"/>
          </w:tcPr>
          <w:p w14:paraId="5556A4FC" w14:textId="77777777" w:rsidR="00F925DD" w:rsidRDefault="00F925DD">
            <w:pPr>
              <w:rPr>
                <w:rFonts w:ascii="Times New Roman" w:hAnsi="Times New Roman"/>
                <w:sz w:val="20"/>
                <w:szCs w:val="20"/>
              </w:rPr>
            </w:pPr>
          </w:p>
        </w:tc>
        <w:tc>
          <w:tcPr>
            <w:tcW w:w="50" w:type="pct"/>
            <w:shd w:val="clear" w:color="auto" w:fill="auto"/>
            <w:vAlign w:val="center"/>
          </w:tcPr>
          <w:p w14:paraId="5556A4FD" w14:textId="77777777" w:rsidR="00F925DD" w:rsidRDefault="00F925DD">
            <w:pPr>
              <w:rPr>
                <w:rFonts w:ascii="Times New Roman" w:hAnsi="Times New Roman"/>
                <w:sz w:val="20"/>
                <w:szCs w:val="20"/>
              </w:rPr>
            </w:pPr>
          </w:p>
        </w:tc>
        <w:tc>
          <w:tcPr>
            <w:tcW w:w="50" w:type="pct"/>
            <w:shd w:val="clear" w:color="auto" w:fill="auto"/>
            <w:vAlign w:val="center"/>
          </w:tcPr>
          <w:p w14:paraId="5556A4FE" w14:textId="77777777" w:rsidR="00F925DD" w:rsidRDefault="00F925DD">
            <w:pPr>
              <w:rPr>
                <w:rFonts w:ascii="Times New Roman" w:hAnsi="Times New Roman"/>
                <w:sz w:val="20"/>
                <w:szCs w:val="20"/>
              </w:rPr>
            </w:pPr>
          </w:p>
        </w:tc>
        <w:tc>
          <w:tcPr>
            <w:tcW w:w="50" w:type="pct"/>
            <w:shd w:val="clear" w:color="auto" w:fill="auto"/>
            <w:vAlign w:val="center"/>
          </w:tcPr>
          <w:p w14:paraId="5556A4FF" w14:textId="77777777" w:rsidR="00F925DD" w:rsidRDefault="00F925DD">
            <w:pPr>
              <w:rPr>
                <w:rFonts w:ascii="Times New Roman" w:hAnsi="Times New Roman"/>
                <w:sz w:val="20"/>
                <w:szCs w:val="20"/>
              </w:rPr>
            </w:pPr>
          </w:p>
        </w:tc>
        <w:tc>
          <w:tcPr>
            <w:tcW w:w="600" w:type="pct"/>
            <w:shd w:val="clear" w:color="auto" w:fill="auto"/>
            <w:vAlign w:val="center"/>
          </w:tcPr>
          <w:p w14:paraId="5556A500" w14:textId="77777777" w:rsidR="00F925DD" w:rsidRDefault="00F925DD">
            <w:pPr>
              <w:rPr>
                <w:rFonts w:ascii="Times New Roman" w:hAnsi="Times New Roman"/>
                <w:sz w:val="20"/>
                <w:szCs w:val="20"/>
              </w:rPr>
            </w:pPr>
          </w:p>
        </w:tc>
        <w:tc>
          <w:tcPr>
            <w:tcW w:w="50" w:type="pct"/>
            <w:shd w:val="clear" w:color="auto" w:fill="auto"/>
            <w:vAlign w:val="center"/>
          </w:tcPr>
          <w:p w14:paraId="5556A501" w14:textId="77777777" w:rsidR="00F925DD" w:rsidRDefault="00F925DD">
            <w:pPr>
              <w:rPr>
                <w:rFonts w:ascii="Times New Roman" w:hAnsi="Times New Roman"/>
                <w:sz w:val="20"/>
                <w:szCs w:val="20"/>
              </w:rPr>
            </w:pPr>
          </w:p>
        </w:tc>
        <w:tc>
          <w:tcPr>
            <w:tcW w:w="50" w:type="pct"/>
            <w:shd w:val="clear" w:color="auto" w:fill="auto"/>
            <w:vAlign w:val="center"/>
          </w:tcPr>
          <w:p w14:paraId="5556A502" w14:textId="77777777" w:rsidR="00F925DD" w:rsidRDefault="00F925DD">
            <w:pPr>
              <w:rPr>
                <w:rFonts w:ascii="Times New Roman" w:hAnsi="Times New Roman"/>
                <w:sz w:val="20"/>
                <w:szCs w:val="20"/>
              </w:rPr>
            </w:pPr>
          </w:p>
        </w:tc>
        <w:tc>
          <w:tcPr>
            <w:tcW w:w="50" w:type="pct"/>
            <w:shd w:val="clear" w:color="auto" w:fill="auto"/>
            <w:vAlign w:val="center"/>
          </w:tcPr>
          <w:p w14:paraId="5556A503" w14:textId="77777777" w:rsidR="00F925DD" w:rsidRDefault="00F925DD">
            <w:pPr>
              <w:rPr>
                <w:rFonts w:ascii="Times New Roman" w:hAnsi="Times New Roman"/>
                <w:sz w:val="20"/>
                <w:szCs w:val="20"/>
              </w:rPr>
            </w:pPr>
          </w:p>
        </w:tc>
        <w:tc>
          <w:tcPr>
            <w:tcW w:w="600" w:type="pct"/>
            <w:shd w:val="clear" w:color="auto" w:fill="auto"/>
            <w:vAlign w:val="center"/>
          </w:tcPr>
          <w:p w14:paraId="5556A504" w14:textId="77777777" w:rsidR="00F925DD" w:rsidRDefault="00F925DD">
            <w:pPr>
              <w:rPr>
                <w:rFonts w:ascii="Times New Roman" w:hAnsi="Times New Roman"/>
                <w:sz w:val="20"/>
                <w:szCs w:val="20"/>
              </w:rPr>
            </w:pPr>
          </w:p>
        </w:tc>
        <w:tc>
          <w:tcPr>
            <w:tcW w:w="50" w:type="pct"/>
            <w:shd w:val="clear" w:color="auto" w:fill="auto"/>
            <w:vAlign w:val="center"/>
          </w:tcPr>
          <w:p w14:paraId="5556A505" w14:textId="77777777" w:rsidR="00F925DD" w:rsidRDefault="00F925DD">
            <w:pPr>
              <w:rPr>
                <w:rFonts w:ascii="Times New Roman" w:hAnsi="Times New Roman"/>
                <w:sz w:val="20"/>
                <w:szCs w:val="20"/>
              </w:rPr>
            </w:pPr>
          </w:p>
        </w:tc>
      </w:tr>
      <w:tr w:rsidR="00F925DD" w14:paraId="5556A508" w14:textId="77777777">
        <w:tc>
          <w:tcPr>
            <w:tcW w:w="0" w:type="auto"/>
            <w:gridSpan w:val="16"/>
            <w:shd w:val="clear" w:color="auto" w:fill="auto"/>
            <w:tcMar>
              <w:top w:w="40" w:type="dxa"/>
              <w:left w:w="40" w:type="dxa"/>
              <w:bottom w:w="40" w:type="dxa"/>
              <w:right w:w="40" w:type="dxa"/>
            </w:tcMar>
            <w:vAlign w:val="bottom"/>
          </w:tcPr>
          <w:p w14:paraId="5556A50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43: ADVANCED &amp; STANDARDIZED APPROACHES RISK-WEIGHTED ASSETS ROLL-FORWARD</w:t>
            </w:r>
          </w:p>
        </w:tc>
      </w:tr>
      <w:tr w:rsidR="00F925DD" w14:paraId="5556A511" w14:textId="77777777">
        <w:tc>
          <w:tcPr>
            <w:tcW w:w="0" w:type="auto"/>
            <w:shd w:val="clear" w:color="auto" w:fill="auto"/>
            <w:tcMar>
              <w:top w:w="40" w:type="dxa"/>
              <w:left w:w="40" w:type="dxa"/>
              <w:bottom w:w="40" w:type="dxa"/>
              <w:right w:w="40" w:type="dxa"/>
            </w:tcMar>
            <w:vAlign w:val="bottom"/>
          </w:tcPr>
          <w:p w14:paraId="5556A50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50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Basel III </w:t>
            </w:r>
            <w:r>
              <w:rPr>
                <w:rFonts w:ascii="Arial" w:eastAsia="宋体" w:hAnsi="Arial" w:cs="Arial"/>
                <w:b/>
                <w:bCs/>
                <w:sz w:val="14"/>
                <w:szCs w:val="14"/>
              </w:rPr>
              <w:br/>
              <w:t>Advanced Approaches December 31, 2019</w:t>
            </w:r>
          </w:p>
        </w:tc>
        <w:tc>
          <w:tcPr>
            <w:tcW w:w="0" w:type="auto"/>
            <w:shd w:val="clear" w:color="auto" w:fill="auto"/>
            <w:tcMar>
              <w:top w:w="40" w:type="dxa"/>
              <w:left w:w="40" w:type="dxa"/>
              <w:bottom w:w="40" w:type="dxa"/>
              <w:right w:w="40" w:type="dxa"/>
            </w:tcMar>
            <w:vAlign w:val="bottom"/>
          </w:tcPr>
          <w:p w14:paraId="5556A5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50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Basel III </w:t>
            </w:r>
            <w:r>
              <w:rPr>
                <w:rFonts w:ascii="Arial" w:eastAsia="宋体" w:hAnsi="Arial" w:cs="Arial"/>
                <w:b/>
                <w:bCs/>
                <w:sz w:val="14"/>
                <w:szCs w:val="14"/>
              </w:rPr>
              <w:br/>
              <w:t>Advanced Approaches December 31, 2018</w:t>
            </w:r>
          </w:p>
        </w:tc>
        <w:tc>
          <w:tcPr>
            <w:tcW w:w="0" w:type="auto"/>
            <w:shd w:val="clear" w:color="auto" w:fill="auto"/>
            <w:tcMar>
              <w:top w:w="40" w:type="dxa"/>
              <w:left w:w="40" w:type="dxa"/>
              <w:bottom w:w="40" w:type="dxa"/>
              <w:right w:w="40" w:type="dxa"/>
            </w:tcMar>
            <w:vAlign w:val="bottom"/>
          </w:tcPr>
          <w:p w14:paraId="5556A5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50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Basel III </w:t>
            </w:r>
            <w:r>
              <w:rPr>
                <w:rFonts w:ascii="Arial" w:eastAsia="宋体" w:hAnsi="Arial" w:cs="Arial"/>
                <w:b/>
                <w:bCs/>
                <w:sz w:val="14"/>
                <w:szCs w:val="14"/>
              </w:rPr>
              <w:t>Standardized Approach December 31, 2019</w:t>
            </w:r>
          </w:p>
        </w:tc>
        <w:tc>
          <w:tcPr>
            <w:tcW w:w="0" w:type="auto"/>
            <w:shd w:val="clear" w:color="auto" w:fill="auto"/>
            <w:tcMar>
              <w:top w:w="40" w:type="dxa"/>
              <w:left w:w="40" w:type="dxa"/>
              <w:bottom w:w="40" w:type="dxa"/>
              <w:right w:w="40" w:type="dxa"/>
            </w:tcMar>
            <w:vAlign w:val="bottom"/>
          </w:tcPr>
          <w:p w14:paraId="5556A5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51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Basel III Standardized Approach December 31, 2018</w:t>
            </w:r>
          </w:p>
        </w:tc>
      </w:tr>
      <w:tr w:rsidR="00F925DD" w14:paraId="5556A522" w14:textId="77777777">
        <w:tc>
          <w:tcPr>
            <w:tcW w:w="0" w:type="auto"/>
            <w:shd w:val="clear" w:color="auto" w:fill="CCEEFF"/>
            <w:tcMar>
              <w:top w:w="40" w:type="dxa"/>
              <w:left w:w="40" w:type="dxa"/>
              <w:bottom w:w="40" w:type="dxa"/>
              <w:right w:w="40" w:type="dxa"/>
            </w:tcMar>
            <w:vAlign w:val="bottom"/>
          </w:tcPr>
          <w:p w14:paraId="5556A512"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risk-weighted assets, beginning of period</w:t>
            </w:r>
            <w:r>
              <w:rPr>
                <w:rFonts w:ascii="Arial" w:eastAsia="宋体" w:hAnsi="Arial" w:cs="Arial"/>
                <w:sz w:val="10"/>
                <w:szCs w:val="10"/>
              </w:rPr>
              <w:t>(1)</w:t>
            </w:r>
          </w:p>
        </w:tc>
        <w:tc>
          <w:tcPr>
            <w:tcW w:w="0" w:type="auto"/>
            <w:shd w:val="clear" w:color="auto" w:fill="CCEEFF"/>
            <w:tcMar>
              <w:top w:w="40" w:type="dxa"/>
              <w:left w:w="40" w:type="dxa"/>
              <w:bottom w:w="40" w:type="dxa"/>
            </w:tcMar>
            <w:vAlign w:val="bottom"/>
          </w:tcPr>
          <w:p w14:paraId="5556A51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A51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95,315</w:t>
            </w:r>
          </w:p>
        </w:tc>
        <w:tc>
          <w:tcPr>
            <w:tcW w:w="0" w:type="auto"/>
            <w:shd w:val="clear" w:color="auto" w:fill="CCEEFF"/>
            <w:vAlign w:val="bottom"/>
          </w:tcPr>
          <w:p w14:paraId="5556A51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51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A51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99,156</w:t>
            </w:r>
          </w:p>
        </w:tc>
        <w:tc>
          <w:tcPr>
            <w:tcW w:w="0" w:type="auto"/>
            <w:tcBorders>
              <w:top w:val="single" w:sz="8" w:space="0" w:color="000000"/>
            </w:tcBorders>
            <w:shd w:val="clear" w:color="auto" w:fill="CCEEFF"/>
            <w:vAlign w:val="bottom"/>
          </w:tcPr>
          <w:p w14:paraId="5556A5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51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A51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98,820</w:t>
            </w:r>
          </w:p>
        </w:tc>
        <w:tc>
          <w:tcPr>
            <w:tcW w:w="0" w:type="auto"/>
            <w:shd w:val="clear" w:color="auto" w:fill="CCEEFF"/>
            <w:vAlign w:val="bottom"/>
          </w:tcPr>
          <w:p w14:paraId="5556A51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51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A52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102,683</w:t>
            </w:r>
          </w:p>
        </w:tc>
        <w:tc>
          <w:tcPr>
            <w:tcW w:w="0" w:type="auto"/>
            <w:tcBorders>
              <w:top w:val="single" w:sz="8" w:space="0" w:color="000000"/>
            </w:tcBorders>
            <w:shd w:val="clear" w:color="auto" w:fill="CCEEFF"/>
            <w:vAlign w:val="bottom"/>
          </w:tcPr>
          <w:p w14:paraId="5556A521" w14:textId="77777777" w:rsidR="00F925DD" w:rsidRDefault="00F925DD">
            <w:pPr>
              <w:textAlignment w:val="bottom"/>
              <w:rPr>
                <w:rFonts w:ascii="Times New Roman" w:hAnsi="Times New Roman"/>
                <w:sz w:val="20"/>
                <w:szCs w:val="20"/>
              </w:rPr>
            </w:pPr>
          </w:p>
        </w:tc>
      </w:tr>
      <w:tr w:rsidR="00F925DD" w14:paraId="5556A52B" w14:textId="77777777">
        <w:tc>
          <w:tcPr>
            <w:tcW w:w="0" w:type="auto"/>
            <w:shd w:val="clear" w:color="auto" w:fill="auto"/>
            <w:tcMar>
              <w:top w:w="40" w:type="dxa"/>
              <w:left w:w="40" w:type="dxa"/>
              <w:bottom w:w="40" w:type="dxa"/>
              <w:right w:w="40" w:type="dxa"/>
            </w:tcMar>
            <w:vAlign w:val="bottom"/>
          </w:tcPr>
          <w:p w14:paraId="5556A523"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Changes in credit risk-weighted assets:</w:t>
            </w:r>
          </w:p>
        </w:tc>
        <w:tc>
          <w:tcPr>
            <w:tcW w:w="0" w:type="auto"/>
            <w:gridSpan w:val="3"/>
            <w:shd w:val="clear" w:color="auto" w:fill="auto"/>
            <w:tcMar>
              <w:top w:w="40" w:type="dxa"/>
              <w:left w:w="40" w:type="dxa"/>
              <w:bottom w:w="40" w:type="dxa"/>
              <w:right w:w="40" w:type="dxa"/>
            </w:tcMar>
            <w:vAlign w:val="bottom"/>
          </w:tcPr>
          <w:p w14:paraId="5556A5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5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5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5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5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5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5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538" w14:textId="77777777">
        <w:tc>
          <w:tcPr>
            <w:tcW w:w="0" w:type="auto"/>
            <w:shd w:val="clear" w:color="auto" w:fill="CCEEFF"/>
            <w:tcMar>
              <w:top w:w="40" w:type="dxa"/>
              <w:left w:w="240" w:type="dxa"/>
              <w:bottom w:w="40" w:type="dxa"/>
              <w:right w:w="40" w:type="dxa"/>
            </w:tcMar>
            <w:vAlign w:val="bottom"/>
          </w:tcPr>
          <w:p w14:paraId="5556A52C"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w:t>
            </w:r>
            <w:r>
              <w:rPr>
                <w:rFonts w:ascii="Arial" w:eastAsia="宋体" w:hAnsi="Arial" w:cs="Arial"/>
                <w:sz w:val="14"/>
                <w:szCs w:val="14"/>
              </w:rPr>
              <w:t>increase (decrease) in investment securities-wholesale</w:t>
            </w:r>
          </w:p>
        </w:tc>
        <w:tc>
          <w:tcPr>
            <w:tcW w:w="0" w:type="auto"/>
            <w:gridSpan w:val="2"/>
            <w:shd w:val="clear" w:color="auto" w:fill="CCEEFF"/>
            <w:tcMar>
              <w:top w:w="40" w:type="dxa"/>
              <w:left w:w="40" w:type="dxa"/>
              <w:bottom w:w="40" w:type="dxa"/>
            </w:tcMar>
            <w:vAlign w:val="bottom"/>
          </w:tcPr>
          <w:p w14:paraId="5556A52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3,470</w:t>
            </w:r>
          </w:p>
        </w:tc>
        <w:tc>
          <w:tcPr>
            <w:tcW w:w="0" w:type="auto"/>
            <w:shd w:val="clear" w:color="auto" w:fill="CCEEFF"/>
            <w:vAlign w:val="bottom"/>
          </w:tcPr>
          <w:p w14:paraId="5556A5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53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(940</w:t>
            </w:r>
          </w:p>
        </w:tc>
        <w:tc>
          <w:tcPr>
            <w:tcW w:w="0" w:type="auto"/>
            <w:shd w:val="clear" w:color="auto" w:fill="CCEEFF"/>
            <w:tcMar>
              <w:top w:w="40" w:type="dxa"/>
              <w:bottom w:w="40" w:type="dxa"/>
              <w:right w:w="40" w:type="dxa"/>
            </w:tcMar>
            <w:vAlign w:val="bottom"/>
          </w:tcPr>
          <w:p w14:paraId="5556A53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A5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53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3,882</w:t>
            </w:r>
          </w:p>
        </w:tc>
        <w:tc>
          <w:tcPr>
            <w:tcW w:w="0" w:type="auto"/>
            <w:shd w:val="clear" w:color="auto" w:fill="CCEEFF"/>
            <w:vAlign w:val="bottom"/>
          </w:tcPr>
          <w:p w14:paraId="5556A5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53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(2,887</w:t>
            </w:r>
          </w:p>
        </w:tc>
        <w:tc>
          <w:tcPr>
            <w:tcW w:w="0" w:type="auto"/>
            <w:shd w:val="clear" w:color="auto" w:fill="CCEEFF"/>
            <w:tcMar>
              <w:top w:w="40" w:type="dxa"/>
              <w:bottom w:w="40" w:type="dxa"/>
              <w:right w:w="40" w:type="dxa"/>
            </w:tcMar>
            <w:vAlign w:val="bottom"/>
          </w:tcPr>
          <w:p w14:paraId="5556A53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545" w14:textId="77777777">
        <w:tc>
          <w:tcPr>
            <w:tcW w:w="0" w:type="auto"/>
            <w:shd w:val="clear" w:color="auto" w:fill="auto"/>
            <w:tcMar>
              <w:top w:w="40" w:type="dxa"/>
              <w:left w:w="240" w:type="dxa"/>
              <w:bottom w:w="40" w:type="dxa"/>
              <w:right w:w="40" w:type="dxa"/>
            </w:tcMar>
            <w:vAlign w:val="bottom"/>
          </w:tcPr>
          <w:p w14:paraId="5556A539"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increase (decrease) in loans </w:t>
            </w:r>
          </w:p>
        </w:tc>
        <w:tc>
          <w:tcPr>
            <w:tcW w:w="0" w:type="auto"/>
            <w:gridSpan w:val="2"/>
            <w:shd w:val="clear" w:color="auto" w:fill="auto"/>
            <w:tcMar>
              <w:top w:w="40" w:type="dxa"/>
              <w:left w:w="40" w:type="dxa"/>
              <w:bottom w:w="40" w:type="dxa"/>
            </w:tcMar>
            <w:vAlign w:val="bottom"/>
          </w:tcPr>
          <w:p w14:paraId="5556A53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2,586</w:t>
            </w:r>
          </w:p>
        </w:tc>
        <w:tc>
          <w:tcPr>
            <w:tcW w:w="0" w:type="auto"/>
            <w:shd w:val="clear" w:color="auto" w:fill="auto"/>
            <w:vAlign w:val="bottom"/>
          </w:tcPr>
          <w:p w14:paraId="5556A53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53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w:t>
            </w:r>
          </w:p>
        </w:tc>
        <w:tc>
          <w:tcPr>
            <w:tcW w:w="0" w:type="auto"/>
            <w:shd w:val="clear" w:color="auto" w:fill="auto"/>
            <w:tcMar>
              <w:top w:w="40" w:type="dxa"/>
              <w:bottom w:w="40" w:type="dxa"/>
              <w:right w:w="40" w:type="dxa"/>
            </w:tcMar>
            <w:vAlign w:val="bottom"/>
          </w:tcPr>
          <w:p w14:paraId="5556A53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A5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54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809</w:t>
            </w:r>
          </w:p>
        </w:tc>
        <w:tc>
          <w:tcPr>
            <w:tcW w:w="0" w:type="auto"/>
            <w:shd w:val="clear" w:color="auto" w:fill="auto"/>
            <w:vAlign w:val="bottom"/>
          </w:tcPr>
          <w:p w14:paraId="5556A5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54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3,104</w:t>
            </w:r>
          </w:p>
        </w:tc>
        <w:tc>
          <w:tcPr>
            <w:tcW w:w="0" w:type="auto"/>
            <w:shd w:val="clear" w:color="auto" w:fill="auto"/>
            <w:vAlign w:val="bottom"/>
          </w:tcPr>
          <w:p w14:paraId="5556A544" w14:textId="77777777" w:rsidR="00F925DD" w:rsidRDefault="00F925DD">
            <w:pPr>
              <w:textAlignment w:val="bottom"/>
              <w:rPr>
                <w:rFonts w:ascii="Times New Roman" w:hAnsi="Times New Roman"/>
                <w:sz w:val="20"/>
                <w:szCs w:val="20"/>
              </w:rPr>
            </w:pPr>
          </w:p>
        </w:tc>
      </w:tr>
      <w:tr w:rsidR="00F925DD" w14:paraId="5556A552" w14:textId="77777777">
        <w:tc>
          <w:tcPr>
            <w:tcW w:w="0" w:type="auto"/>
            <w:shd w:val="clear" w:color="auto" w:fill="CCEEFF"/>
            <w:tcMar>
              <w:top w:w="40" w:type="dxa"/>
              <w:left w:w="240" w:type="dxa"/>
              <w:bottom w:w="40" w:type="dxa"/>
              <w:right w:w="40" w:type="dxa"/>
            </w:tcMar>
            <w:vAlign w:val="bottom"/>
          </w:tcPr>
          <w:p w14:paraId="5556A546"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increase (decrease) in securitization exposures</w:t>
            </w:r>
          </w:p>
        </w:tc>
        <w:tc>
          <w:tcPr>
            <w:tcW w:w="0" w:type="auto"/>
            <w:gridSpan w:val="2"/>
            <w:shd w:val="clear" w:color="auto" w:fill="CCEEFF"/>
            <w:tcMar>
              <w:top w:w="40" w:type="dxa"/>
              <w:left w:w="40" w:type="dxa"/>
              <w:bottom w:w="40" w:type="dxa"/>
            </w:tcMar>
            <w:vAlign w:val="bottom"/>
          </w:tcPr>
          <w:p w14:paraId="5556A54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(140</w:t>
            </w:r>
          </w:p>
        </w:tc>
        <w:tc>
          <w:tcPr>
            <w:tcW w:w="0" w:type="auto"/>
            <w:shd w:val="clear" w:color="auto" w:fill="CCEEFF"/>
            <w:tcMar>
              <w:top w:w="40" w:type="dxa"/>
              <w:bottom w:w="40" w:type="dxa"/>
              <w:right w:w="40" w:type="dxa"/>
            </w:tcMar>
            <w:vAlign w:val="bottom"/>
          </w:tcPr>
          <w:p w14:paraId="5556A54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A5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54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(3,666</w:t>
            </w:r>
          </w:p>
        </w:tc>
        <w:tc>
          <w:tcPr>
            <w:tcW w:w="0" w:type="auto"/>
            <w:shd w:val="clear" w:color="auto" w:fill="CCEEFF"/>
            <w:tcMar>
              <w:top w:w="40" w:type="dxa"/>
              <w:bottom w:w="40" w:type="dxa"/>
              <w:right w:w="40" w:type="dxa"/>
            </w:tcMar>
            <w:vAlign w:val="bottom"/>
          </w:tcPr>
          <w:p w14:paraId="5556A54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A5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54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(140</w:t>
            </w:r>
          </w:p>
        </w:tc>
        <w:tc>
          <w:tcPr>
            <w:tcW w:w="0" w:type="auto"/>
            <w:shd w:val="clear" w:color="auto" w:fill="CCEEFF"/>
            <w:tcMar>
              <w:top w:w="40" w:type="dxa"/>
              <w:bottom w:w="40" w:type="dxa"/>
              <w:right w:w="40" w:type="dxa"/>
            </w:tcMar>
            <w:vAlign w:val="bottom"/>
          </w:tcPr>
          <w:p w14:paraId="5556A54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A5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55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(3,666</w:t>
            </w:r>
          </w:p>
        </w:tc>
        <w:tc>
          <w:tcPr>
            <w:tcW w:w="0" w:type="auto"/>
            <w:shd w:val="clear" w:color="auto" w:fill="CCEEFF"/>
            <w:tcMar>
              <w:top w:w="40" w:type="dxa"/>
              <w:bottom w:w="40" w:type="dxa"/>
              <w:right w:w="40" w:type="dxa"/>
            </w:tcMar>
            <w:vAlign w:val="bottom"/>
          </w:tcPr>
          <w:p w14:paraId="5556A55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55F" w14:textId="77777777">
        <w:tc>
          <w:tcPr>
            <w:tcW w:w="0" w:type="auto"/>
            <w:shd w:val="clear" w:color="auto" w:fill="auto"/>
            <w:tcMar>
              <w:top w:w="40" w:type="dxa"/>
              <w:left w:w="240" w:type="dxa"/>
              <w:bottom w:w="40" w:type="dxa"/>
              <w:right w:w="40" w:type="dxa"/>
            </w:tcMar>
            <w:vAlign w:val="bottom"/>
          </w:tcPr>
          <w:p w14:paraId="5556A553"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w:t>
            </w:r>
            <w:r>
              <w:rPr>
                <w:rFonts w:ascii="Arial" w:eastAsia="宋体" w:hAnsi="Arial" w:cs="Arial"/>
                <w:sz w:val="14"/>
                <w:szCs w:val="14"/>
              </w:rPr>
              <w:t>increase (decrease) in repo-style transaction exposures</w:t>
            </w:r>
          </w:p>
        </w:tc>
        <w:tc>
          <w:tcPr>
            <w:tcW w:w="0" w:type="auto"/>
            <w:gridSpan w:val="2"/>
            <w:shd w:val="clear" w:color="auto" w:fill="auto"/>
            <w:tcMar>
              <w:top w:w="40" w:type="dxa"/>
              <w:left w:w="40" w:type="dxa"/>
              <w:bottom w:w="40" w:type="dxa"/>
            </w:tcMar>
            <w:vAlign w:val="bottom"/>
          </w:tcPr>
          <w:p w14:paraId="5556A55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(45</w:t>
            </w:r>
          </w:p>
        </w:tc>
        <w:tc>
          <w:tcPr>
            <w:tcW w:w="0" w:type="auto"/>
            <w:shd w:val="clear" w:color="auto" w:fill="auto"/>
            <w:tcMar>
              <w:top w:w="40" w:type="dxa"/>
              <w:bottom w:w="40" w:type="dxa"/>
              <w:right w:w="40" w:type="dxa"/>
            </w:tcMar>
            <w:vAlign w:val="bottom"/>
          </w:tcPr>
          <w:p w14:paraId="5556A55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A5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55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w:t>
            </w:r>
          </w:p>
        </w:tc>
        <w:tc>
          <w:tcPr>
            <w:tcW w:w="0" w:type="auto"/>
            <w:shd w:val="clear" w:color="auto" w:fill="auto"/>
            <w:tcMar>
              <w:top w:w="40" w:type="dxa"/>
              <w:bottom w:w="40" w:type="dxa"/>
              <w:right w:w="40" w:type="dxa"/>
            </w:tcMar>
            <w:vAlign w:val="bottom"/>
          </w:tcPr>
          <w:p w14:paraId="5556A55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A5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55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365</w:t>
            </w:r>
          </w:p>
        </w:tc>
        <w:tc>
          <w:tcPr>
            <w:tcW w:w="0" w:type="auto"/>
            <w:shd w:val="clear" w:color="auto" w:fill="auto"/>
            <w:vAlign w:val="bottom"/>
          </w:tcPr>
          <w:p w14:paraId="5556A55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55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(3,156</w:t>
            </w:r>
          </w:p>
        </w:tc>
        <w:tc>
          <w:tcPr>
            <w:tcW w:w="0" w:type="auto"/>
            <w:shd w:val="clear" w:color="auto" w:fill="auto"/>
            <w:tcMar>
              <w:top w:w="40" w:type="dxa"/>
              <w:bottom w:w="40" w:type="dxa"/>
              <w:right w:w="40" w:type="dxa"/>
            </w:tcMar>
            <w:vAlign w:val="bottom"/>
          </w:tcPr>
          <w:p w14:paraId="5556A55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56C" w14:textId="77777777">
        <w:tc>
          <w:tcPr>
            <w:tcW w:w="0" w:type="auto"/>
            <w:shd w:val="clear" w:color="auto" w:fill="CCEEFF"/>
            <w:tcMar>
              <w:top w:w="40" w:type="dxa"/>
              <w:left w:w="240" w:type="dxa"/>
              <w:bottom w:w="40" w:type="dxa"/>
              <w:right w:w="40" w:type="dxa"/>
            </w:tcMar>
            <w:vAlign w:val="bottom"/>
          </w:tcPr>
          <w:p w14:paraId="5556A560"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increase (decrease) in over-the-counter derivatives exposures</w:t>
            </w:r>
          </w:p>
        </w:tc>
        <w:tc>
          <w:tcPr>
            <w:tcW w:w="0" w:type="auto"/>
            <w:gridSpan w:val="2"/>
            <w:shd w:val="clear" w:color="auto" w:fill="CCEEFF"/>
            <w:tcMar>
              <w:top w:w="40" w:type="dxa"/>
              <w:left w:w="40" w:type="dxa"/>
              <w:bottom w:w="40" w:type="dxa"/>
            </w:tcMar>
            <w:vAlign w:val="bottom"/>
          </w:tcPr>
          <w:p w14:paraId="5556A56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w:t>
            </w:r>
          </w:p>
        </w:tc>
        <w:tc>
          <w:tcPr>
            <w:tcW w:w="0" w:type="auto"/>
            <w:shd w:val="clear" w:color="auto" w:fill="CCEEFF"/>
            <w:vAlign w:val="bottom"/>
          </w:tcPr>
          <w:p w14:paraId="5556A56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56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(1,170</w:t>
            </w:r>
          </w:p>
        </w:tc>
        <w:tc>
          <w:tcPr>
            <w:tcW w:w="0" w:type="auto"/>
            <w:shd w:val="clear" w:color="auto" w:fill="CCEEFF"/>
            <w:tcMar>
              <w:top w:w="40" w:type="dxa"/>
              <w:bottom w:w="40" w:type="dxa"/>
              <w:right w:w="40" w:type="dxa"/>
            </w:tcMar>
            <w:vAlign w:val="bottom"/>
          </w:tcPr>
          <w:p w14:paraId="5556A56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A5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56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(1,124</w:t>
            </w:r>
          </w:p>
        </w:tc>
        <w:tc>
          <w:tcPr>
            <w:tcW w:w="0" w:type="auto"/>
            <w:shd w:val="clear" w:color="auto" w:fill="CCEEFF"/>
            <w:tcMar>
              <w:top w:w="40" w:type="dxa"/>
              <w:bottom w:w="40" w:type="dxa"/>
              <w:right w:w="40" w:type="dxa"/>
            </w:tcMar>
            <w:vAlign w:val="bottom"/>
          </w:tcPr>
          <w:p w14:paraId="5556A56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A5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56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w:t>
            </w:r>
          </w:p>
        </w:tc>
        <w:tc>
          <w:tcPr>
            <w:tcW w:w="0" w:type="auto"/>
            <w:shd w:val="clear" w:color="auto" w:fill="CCEEFF"/>
            <w:tcMar>
              <w:top w:w="40" w:type="dxa"/>
              <w:bottom w:w="40" w:type="dxa"/>
              <w:right w:w="40" w:type="dxa"/>
            </w:tcMar>
            <w:vAlign w:val="bottom"/>
          </w:tcPr>
          <w:p w14:paraId="5556A56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579" w14:textId="77777777">
        <w:tc>
          <w:tcPr>
            <w:tcW w:w="0" w:type="auto"/>
            <w:shd w:val="clear" w:color="auto" w:fill="auto"/>
            <w:tcMar>
              <w:top w:w="40" w:type="dxa"/>
              <w:left w:w="240" w:type="dxa"/>
              <w:bottom w:w="40" w:type="dxa"/>
              <w:right w:w="40" w:type="dxa"/>
            </w:tcMar>
            <w:vAlign w:val="bottom"/>
          </w:tcPr>
          <w:p w14:paraId="5556A56D"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increase (decrease) in all other</w:t>
            </w:r>
            <w:r>
              <w:rPr>
                <w:rFonts w:ascii="Arial" w:eastAsia="宋体" w:hAnsi="Arial" w:cs="Arial"/>
                <w:sz w:val="10"/>
                <w:szCs w:val="10"/>
              </w:rPr>
              <w:t>(2)(3)</w:t>
            </w:r>
          </w:p>
        </w:tc>
        <w:tc>
          <w:tcPr>
            <w:tcW w:w="0" w:type="auto"/>
            <w:gridSpan w:val="2"/>
            <w:tcBorders>
              <w:bottom w:val="single" w:sz="8" w:space="0" w:color="000000"/>
            </w:tcBorders>
            <w:shd w:val="clear" w:color="auto" w:fill="auto"/>
            <w:tcMar>
              <w:top w:w="40" w:type="dxa"/>
              <w:left w:w="40" w:type="dxa"/>
              <w:bottom w:w="40" w:type="dxa"/>
            </w:tcMar>
            <w:vAlign w:val="bottom"/>
          </w:tcPr>
          <w:p w14:paraId="5556A56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1,128</w:t>
            </w:r>
          </w:p>
        </w:tc>
        <w:tc>
          <w:tcPr>
            <w:tcW w:w="0" w:type="auto"/>
            <w:tcBorders>
              <w:bottom w:val="single" w:sz="8" w:space="0" w:color="000000"/>
            </w:tcBorders>
            <w:shd w:val="clear" w:color="auto" w:fill="auto"/>
            <w:vAlign w:val="bottom"/>
          </w:tcPr>
          <w:p w14:paraId="5556A56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57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1,545</w:t>
            </w:r>
          </w:p>
        </w:tc>
        <w:tc>
          <w:tcPr>
            <w:tcW w:w="0" w:type="auto"/>
            <w:tcBorders>
              <w:bottom w:val="single" w:sz="8" w:space="0" w:color="000000"/>
            </w:tcBorders>
            <w:shd w:val="clear" w:color="auto" w:fill="auto"/>
            <w:vAlign w:val="bottom"/>
          </w:tcPr>
          <w:p w14:paraId="5556A57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57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1,272</w:t>
            </w:r>
          </w:p>
        </w:tc>
        <w:tc>
          <w:tcPr>
            <w:tcW w:w="0" w:type="auto"/>
            <w:tcBorders>
              <w:bottom w:val="single" w:sz="8" w:space="0" w:color="000000"/>
            </w:tcBorders>
            <w:shd w:val="clear" w:color="auto" w:fill="auto"/>
            <w:vAlign w:val="bottom"/>
          </w:tcPr>
          <w:p w14:paraId="5556A5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57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2,605</w:t>
            </w:r>
          </w:p>
        </w:tc>
        <w:tc>
          <w:tcPr>
            <w:tcW w:w="0" w:type="auto"/>
            <w:tcBorders>
              <w:bottom w:val="single" w:sz="8" w:space="0" w:color="000000"/>
            </w:tcBorders>
            <w:shd w:val="clear" w:color="auto" w:fill="auto"/>
            <w:vAlign w:val="bottom"/>
          </w:tcPr>
          <w:p w14:paraId="5556A578" w14:textId="77777777" w:rsidR="00F925DD" w:rsidRDefault="00F925DD">
            <w:pPr>
              <w:textAlignment w:val="bottom"/>
              <w:rPr>
                <w:rFonts w:ascii="Times New Roman" w:hAnsi="Times New Roman"/>
                <w:sz w:val="20"/>
                <w:szCs w:val="20"/>
              </w:rPr>
            </w:pPr>
          </w:p>
        </w:tc>
      </w:tr>
      <w:tr w:rsidR="00F925DD" w14:paraId="5556A586" w14:textId="77777777">
        <w:tc>
          <w:tcPr>
            <w:tcW w:w="0" w:type="auto"/>
            <w:shd w:val="clear" w:color="auto" w:fill="CCEEFF"/>
            <w:tcMar>
              <w:top w:w="40" w:type="dxa"/>
              <w:left w:w="40" w:type="dxa"/>
              <w:bottom w:w="40" w:type="dxa"/>
              <w:right w:w="40" w:type="dxa"/>
            </w:tcMar>
            <w:vAlign w:val="bottom"/>
          </w:tcPr>
          <w:p w14:paraId="5556A57A"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increase (decrease) in credit risk-weighted assets</w:t>
            </w:r>
          </w:p>
        </w:tc>
        <w:tc>
          <w:tcPr>
            <w:tcW w:w="0" w:type="auto"/>
            <w:gridSpan w:val="2"/>
            <w:shd w:val="clear" w:color="auto" w:fill="CCEEFF"/>
            <w:tcMar>
              <w:top w:w="40" w:type="dxa"/>
              <w:left w:w="40" w:type="dxa"/>
              <w:bottom w:w="40" w:type="dxa"/>
            </w:tcMar>
            <w:vAlign w:val="bottom"/>
          </w:tcPr>
          <w:p w14:paraId="5556A57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7,025</w:t>
            </w:r>
          </w:p>
        </w:tc>
        <w:tc>
          <w:tcPr>
            <w:tcW w:w="0" w:type="auto"/>
            <w:shd w:val="clear" w:color="auto" w:fill="CCEEFF"/>
            <w:vAlign w:val="bottom"/>
          </w:tcPr>
          <w:p w14:paraId="5556A57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57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(4,262</w:t>
            </w:r>
          </w:p>
        </w:tc>
        <w:tc>
          <w:tcPr>
            <w:tcW w:w="0" w:type="auto"/>
            <w:tcBorders>
              <w:top w:val="single" w:sz="8" w:space="0" w:color="000000"/>
            </w:tcBorders>
            <w:shd w:val="clear" w:color="auto" w:fill="CCEEFF"/>
            <w:tcMar>
              <w:top w:w="40" w:type="dxa"/>
              <w:bottom w:w="40" w:type="dxa"/>
              <w:right w:w="40" w:type="dxa"/>
            </w:tcMar>
            <w:vAlign w:val="bottom"/>
          </w:tcPr>
          <w:p w14:paraId="5556A57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A5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58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5,064</w:t>
            </w:r>
          </w:p>
        </w:tc>
        <w:tc>
          <w:tcPr>
            <w:tcW w:w="0" w:type="auto"/>
            <w:tcBorders>
              <w:top w:val="single" w:sz="8" w:space="0" w:color="000000"/>
            </w:tcBorders>
            <w:shd w:val="clear" w:color="auto" w:fill="CCEEFF"/>
            <w:vAlign w:val="bottom"/>
          </w:tcPr>
          <w:p w14:paraId="5556A58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58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(4,046</w:t>
            </w:r>
          </w:p>
        </w:tc>
        <w:tc>
          <w:tcPr>
            <w:tcW w:w="0" w:type="auto"/>
            <w:tcBorders>
              <w:top w:val="single" w:sz="8" w:space="0" w:color="000000"/>
            </w:tcBorders>
            <w:shd w:val="clear" w:color="auto" w:fill="CCEEFF"/>
            <w:tcMar>
              <w:top w:w="40" w:type="dxa"/>
              <w:bottom w:w="40" w:type="dxa"/>
              <w:right w:w="40" w:type="dxa"/>
            </w:tcMar>
            <w:vAlign w:val="bottom"/>
          </w:tcPr>
          <w:p w14:paraId="5556A58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A593" w14:textId="77777777">
        <w:tc>
          <w:tcPr>
            <w:tcW w:w="0" w:type="auto"/>
            <w:shd w:val="clear" w:color="auto" w:fill="auto"/>
            <w:tcMar>
              <w:top w:w="40" w:type="dxa"/>
              <w:left w:w="40" w:type="dxa"/>
              <w:bottom w:w="40" w:type="dxa"/>
              <w:right w:w="40" w:type="dxa"/>
            </w:tcMar>
            <w:vAlign w:val="bottom"/>
          </w:tcPr>
          <w:p w14:paraId="5556A587"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increase (decrease) in market risk-weighted assets</w:t>
            </w:r>
          </w:p>
        </w:tc>
        <w:tc>
          <w:tcPr>
            <w:tcW w:w="0" w:type="auto"/>
            <w:gridSpan w:val="2"/>
            <w:shd w:val="clear" w:color="auto" w:fill="auto"/>
            <w:tcMar>
              <w:top w:w="40" w:type="dxa"/>
              <w:left w:w="40" w:type="dxa"/>
              <w:bottom w:w="40" w:type="dxa"/>
            </w:tcMar>
            <w:vAlign w:val="bottom"/>
          </w:tcPr>
          <w:p w14:paraId="5556A58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121</w:t>
            </w:r>
          </w:p>
        </w:tc>
        <w:tc>
          <w:tcPr>
            <w:tcW w:w="0" w:type="auto"/>
            <w:shd w:val="clear" w:color="auto" w:fill="auto"/>
            <w:vAlign w:val="bottom"/>
          </w:tcPr>
          <w:p w14:paraId="5556A5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58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183</w:t>
            </w:r>
          </w:p>
        </w:tc>
        <w:tc>
          <w:tcPr>
            <w:tcW w:w="0" w:type="auto"/>
            <w:shd w:val="clear" w:color="auto" w:fill="auto"/>
            <w:vAlign w:val="bottom"/>
          </w:tcPr>
          <w:p w14:paraId="5556A58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58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121</w:t>
            </w:r>
          </w:p>
        </w:tc>
        <w:tc>
          <w:tcPr>
            <w:tcW w:w="0" w:type="auto"/>
            <w:shd w:val="clear" w:color="auto" w:fill="auto"/>
            <w:vAlign w:val="bottom"/>
          </w:tcPr>
          <w:p w14:paraId="5556A58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59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183</w:t>
            </w:r>
          </w:p>
        </w:tc>
        <w:tc>
          <w:tcPr>
            <w:tcW w:w="0" w:type="auto"/>
            <w:shd w:val="clear" w:color="auto" w:fill="auto"/>
            <w:vAlign w:val="bottom"/>
          </w:tcPr>
          <w:p w14:paraId="5556A592" w14:textId="77777777" w:rsidR="00F925DD" w:rsidRDefault="00F925DD">
            <w:pPr>
              <w:textAlignment w:val="bottom"/>
              <w:rPr>
                <w:rFonts w:ascii="Times New Roman" w:hAnsi="Times New Roman"/>
                <w:sz w:val="20"/>
                <w:szCs w:val="20"/>
              </w:rPr>
            </w:pPr>
          </w:p>
        </w:tc>
      </w:tr>
      <w:tr w:rsidR="00F925DD" w14:paraId="5556A5A0" w14:textId="77777777">
        <w:tc>
          <w:tcPr>
            <w:tcW w:w="0" w:type="auto"/>
            <w:shd w:val="clear" w:color="auto" w:fill="CCEEFF"/>
            <w:tcMar>
              <w:top w:w="40" w:type="dxa"/>
              <w:left w:w="40" w:type="dxa"/>
              <w:bottom w:w="40" w:type="dxa"/>
              <w:right w:w="40" w:type="dxa"/>
            </w:tcMar>
            <w:vAlign w:val="bottom"/>
          </w:tcPr>
          <w:p w14:paraId="5556A594"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increase (decrease) in operational </w:t>
            </w:r>
            <w:r>
              <w:rPr>
                <w:rFonts w:ascii="Arial" w:eastAsia="宋体" w:hAnsi="Arial" w:cs="Arial"/>
                <w:sz w:val="14"/>
                <w:szCs w:val="14"/>
              </w:rPr>
              <w:t>risk-weighted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59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1,903</w:t>
            </w:r>
          </w:p>
        </w:tc>
        <w:tc>
          <w:tcPr>
            <w:tcW w:w="0" w:type="auto"/>
            <w:tcBorders>
              <w:bottom w:val="single" w:sz="8" w:space="0" w:color="000000"/>
            </w:tcBorders>
            <w:shd w:val="clear" w:color="auto" w:fill="CCEEFF"/>
            <w:vAlign w:val="bottom"/>
          </w:tcPr>
          <w:p w14:paraId="5556A5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59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238</w:t>
            </w:r>
          </w:p>
        </w:tc>
        <w:tc>
          <w:tcPr>
            <w:tcW w:w="0" w:type="auto"/>
            <w:tcBorders>
              <w:bottom w:val="single" w:sz="8" w:space="0" w:color="000000"/>
            </w:tcBorders>
            <w:shd w:val="clear" w:color="auto" w:fill="CCEEFF"/>
            <w:vAlign w:val="bottom"/>
          </w:tcPr>
          <w:p w14:paraId="5556A5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59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N/A</w:t>
            </w:r>
          </w:p>
        </w:tc>
        <w:tc>
          <w:tcPr>
            <w:tcW w:w="0" w:type="auto"/>
            <w:tcBorders>
              <w:bottom w:val="single" w:sz="8" w:space="0" w:color="000000"/>
            </w:tcBorders>
            <w:shd w:val="clear" w:color="auto" w:fill="CCEEFF"/>
            <w:vAlign w:val="bottom"/>
          </w:tcPr>
          <w:p w14:paraId="5556A5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59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N/A</w:t>
            </w:r>
          </w:p>
        </w:tc>
        <w:tc>
          <w:tcPr>
            <w:tcW w:w="0" w:type="auto"/>
            <w:tcBorders>
              <w:bottom w:val="single" w:sz="8" w:space="0" w:color="000000"/>
            </w:tcBorders>
            <w:shd w:val="clear" w:color="auto" w:fill="CCEEFF"/>
            <w:vAlign w:val="bottom"/>
          </w:tcPr>
          <w:p w14:paraId="5556A59F" w14:textId="77777777" w:rsidR="00F925DD" w:rsidRDefault="00F925DD">
            <w:pPr>
              <w:textAlignment w:val="bottom"/>
              <w:rPr>
                <w:rFonts w:ascii="Times New Roman" w:hAnsi="Times New Roman"/>
                <w:sz w:val="20"/>
                <w:szCs w:val="20"/>
              </w:rPr>
            </w:pPr>
          </w:p>
        </w:tc>
      </w:tr>
      <w:tr w:rsidR="00F925DD" w14:paraId="5556A5B1" w14:textId="77777777">
        <w:tc>
          <w:tcPr>
            <w:tcW w:w="0" w:type="auto"/>
            <w:shd w:val="clear" w:color="auto" w:fill="auto"/>
            <w:tcMar>
              <w:top w:w="40" w:type="dxa"/>
              <w:left w:w="40" w:type="dxa"/>
              <w:bottom w:w="40" w:type="dxa"/>
              <w:right w:w="40" w:type="dxa"/>
            </w:tcMar>
            <w:vAlign w:val="bottom"/>
          </w:tcPr>
          <w:p w14:paraId="5556A5A1"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risk-weighted assets,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5A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5A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104,364</w:t>
            </w:r>
          </w:p>
        </w:tc>
        <w:tc>
          <w:tcPr>
            <w:tcW w:w="0" w:type="auto"/>
            <w:tcBorders>
              <w:top w:val="single" w:sz="8" w:space="0" w:color="000000"/>
              <w:bottom w:val="double" w:sz="6" w:space="0" w:color="000000"/>
            </w:tcBorders>
            <w:shd w:val="clear" w:color="auto" w:fill="auto"/>
            <w:vAlign w:val="bottom"/>
          </w:tcPr>
          <w:p w14:paraId="5556A5A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5A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5A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95,315</w:t>
            </w:r>
          </w:p>
        </w:tc>
        <w:tc>
          <w:tcPr>
            <w:tcW w:w="0" w:type="auto"/>
            <w:tcBorders>
              <w:top w:val="single" w:sz="8" w:space="0" w:color="000000"/>
              <w:bottom w:val="double" w:sz="6" w:space="0" w:color="000000"/>
            </w:tcBorders>
            <w:shd w:val="clear" w:color="auto" w:fill="auto"/>
            <w:vAlign w:val="bottom"/>
          </w:tcPr>
          <w:p w14:paraId="5556A5A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5A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5A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104,005</w:t>
            </w:r>
          </w:p>
        </w:tc>
        <w:tc>
          <w:tcPr>
            <w:tcW w:w="0" w:type="auto"/>
            <w:tcBorders>
              <w:top w:val="single" w:sz="8" w:space="0" w:color="000000"/>
              <w:bottom w:val="double" w:sz="6" w:space="0" w:color="000000"/>
            </w:tcBorders>
            <w:shd w:val="clear" w:color="auto" w:fill="auto"/>
            <w:vAlign w:val="bottom"/>
          </w:tcPr>
          <w:p w14:paraId="5556A5A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5A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5A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98,820</w:t>
            </w:r>
          </w:p>
        </w:tc>
        <w:tc>
          <w:tcPr>
            <w:tcW w:w="0" w:type="auto"/>
            <w:tcBorders>
              <w:top w:val="single" w:sz="8" w:space="0" w:color="000000"/>
              <w:bottom w:val="double" w:sz="6" w:space="0" w:color="000000"/>
            </w:tcBorders>
            <w:shd w:val="clear" w:color="auto" w:fill="auto"/>
            <w:vAlign w:val="bottom"/>
          </w:tcPr>
          <w:p w14:paraId="5556A5B0" w14:textId="77777777" w:rsidR="00F925DD" w:rsidRDefault="00F925DD">
            <w:pPr>
              <w:textAlignment w:val="bottom"/>
              <w:rPr>
                <w:rFonts w:ascii="Times New Roman" w:hAnsi="Times New Roman"/>
                <w:sz w:val="20"/>
                <w:szCs w:val="20"/>
              </w:rPr>
            </w:pPr>
          </w:p>
        </w:tc>
      </w:tr>
    </w:tbl>
    <w:p w14:paraId="5556A5B2"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4734"/>
        <w:gridCol w:w="1246"/>
      </w:tblGrid>
      <w:tr w:rsidR="00F925DD" w14:paraId="5556A5B4" w14:textId="77777777">
        <w:tc>
          <w:tcPr>
            <w:tcW w:w="0" w:type="auto"/>
            <w:gridSpan w:val="3"/>
            <w:shd w:val="clear" w:color="auto" w:fill="auto"/>
            <w:vAlign w:val="center"/>
          </w:tcPr>
          <w:p w14:paraId="5556A5B3" w14:textId="77777777" w:rsidR="00F925DD" w:rsidRDefault="00F925DD">
            <w:pPr>
              <w:rPr>
                <w:rFonts w:ascii="Times New Roman" w:hAnsi="Times New Roman"/>
                <w:sz w:val="20"/>
                <w:szCs w:val="20"/>
              </w:rPr>
            </w:pPr>
          </w:p>
        </w:tc>
      </w:tr>
      <w:tr w:rsidR="00F925DD" w14:paraId="5556A5B8" w14:textId="77777777">
        <w:tc>
          <w:tcPr>
            <w:tcW w:w="1400" w:type="pct"/>
            <w:shd w:val="clear" w:color="auto" w:fill="auto"/>
            <w:vAlign w:val="center"/>
          </w:tcPr>
          <w:p w14:paraId="5556A5B5" w14:textId="77777777" w:rsidR="00F925DD" w:rsidRDefault="00F925DD">
            <w:pPr>
              <w:rPr>
                <w:rFonts w:ascii="Times New Roman" w:hAnsi="Times New Roman"/>
                <w:sz w:val="20"/>
                <w:szCs w:val="20"/>
              </w:rPr>
            </w:pPr>
          </w:p>
        </w:tc>
        <w:tc>
          <w:tcPr>
            <w:tcW w:w="2849" w:type="pct"/>
            <w:shd w:val="clear" w:color="auto" w:fill="auto"/>
            <w:vAlign w:val="center"/>
          </w:tcPr>
          <w:p w14:paraId="5556A5B6" w14:textId="77777777" w:rsidR="00F925DD" w:rsidRDefault="00F925DD">
            <w:pPr>
              <w:rPr>
                <w:rFonts w:ascii="Times New Roman" w:hAnsi="Times New Roman"/>
                <w:sz w:val="20"/>
                <w:szCs w:val="20"/>
              </w:rPr>
            </w:pPr>
          </w:p>
        </w:tc>
        <w:tc>
          <w:tcPr>
            <w:tcW w:w="750" w:type="pct"/>
            <w:shd w:val="clear" w:color="auto" w:fill="auto"/>
            <w:vAlign w:val="center"/>
          </w:tcPr>
          <w:p w14:paraId="5556A5B7" w14:textId="77777777" w:rsidR="00F925DD" w:rsidRDefault="00F925DD">
            <w:pPr>
              <w:rPr>
                <w:rFonts w:ascii="Times New Roman" w:hAnsi="Times New Roman"/>
                <w:sz w:val="20"/>
                <w:szCs w:val="20"/>
              </w:rPr>
            </w:pPr>
          </w:p>
        </w:tc>
      </w:tr>
      <w:tr w:rsidR="00F925DD" w14:paraId="5556A5B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A5B9" w14:textId="77777777" w:rsidR="00F925DD" w:rsidRDefault="00F925DD">
            <w:pPr>
              <w:textAlignment w:val="bottom"/>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5556A5BA" w14:textId="77777777" w:rsidR="00F925DD" w:rsidRDefault="00F925DD">
            <w:pPr>
              <w:textAlignment w:val="bottom"/>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5556A5BB" w14:textId="77777777" w:rsidR="00F925DD" w:rsidRDefault="00F925DD">
            <w:pPr>
              <w:textAlignment w:val="bottom"/>
              <w:rPr>
                <w:rFonts w:ascii="Times New Roman" w:hAnsi="Times New Roman"/>
                <w:sz w:val="14"/>
                <w:szCs w:val="14"/>
              </w:rPr>
            </w:pPr>
          </w:p>
        </w:tc>
      </w:tr>
    </w:tbl>
    <w:p w14:paraId="5556A5BD"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Standardized approach RWA as of the periods noted above were calculated using our estimates, based on our then current interpretation of the Basel III rule.</w:t>
      </w:r>
    </w:p>
    <w:p w14:paraId="5556A5BE"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 xml:space="preserve">Includes assets not in a definable category, cleared </w:t>
      </w:r>
      <w:r>
        <w:rPr>
          <w:rFonts w:ascii="Arial" w:eastAsia="宋体" w:hAnsi="Arial" w:cs="Arial"/>
          <w:sz w:val="14"/>
          <w:szCs w:val="14"/>
        </w:rPr>
        <w:t>transactions, non-material portfolio, other wholesale, cash and due from, and interest-bearing deposits with banks, equity exposures and 6% credit risk supervisory charge.</w:t>
      </w:r>
    </w:p>
    <w:p w14:paraId="5556A5BF"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(3)</w:t>
      </w:r>
      <w:r>
        <w:rPr>
          <w:rFonts w:ascii="Arial" w:eastAsia="宋体" w:hAnsi="Arial" w:cs="Arial"/>
          <w:sz w:val="14"/>
          <w:szCs w:val="14"/>
        </w:rPr>
        <w:t xml:space="preserve"> Includes assets not in a definable category, cleared transactions, other wholesa</w:t>
      </w:r>
      <w:r>
        <w:rPr>
          <w:rFonts w:ascii="Arial" w:eastAsia="宋体" w:hAnsi="Arial" w:cs="Arial"/>
          <w:sz w:val="14"/>
          <w:szCs w:val="14"/>
        </w:rPr>
        <w:t>le, cash and due from, and interest-bearing deposits with banks and equity exposures.</w:t>
      </w:r>
    </w:p>
    <w:p w14:paraId="5556A5C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December 31, 2019, total advanced approaches RWA increased $9.05 billion compared to December 31, 2018, primarily due to increases in both credit RWA and </w:t>
      </w:r>
      <w:r>
        <w:rPr>
          <w:rFonts w:ascii="Arial" w:eastAsia="宋体" w:hAnsi="Arial" w:cs="Arial"/>
          <w:sz w:val="20"/>
          <w:szCs w:val="20"/>
        </w:rPr>
        <w:t>operational risk RWA. The increase in credit RWA was primarily driven by an increase in investment securities RWA, primarily due to higher exposures to agency MBS and corporates. Additionally, loans RWA increased primarily due to higher lending activity.</w:t>
      </w:r>
    </w:p>
    <w:p w14:paraId="5556A5C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w:t>
      </w:r>
      <w:r>
        <w:rPr>
          <w:rFonts w:ascii="Arial" w:eastAsia="宋体" w:hAnsi="Arial" w:cs="Arial"/>
          <w:sz w:val="20"/>
          <w:szCs w:val="20"/>
        </w:rPr>
        <w:t xml:space="preserve">s of December 31, 2019, total standardized approach RWA increased $5.19 billion compared to December 31, 2018, primarily due to higher credit RWA. The main drivers of the credit RWA change were increased investment securities RWA, other RWA and loans RWA, </w:t>
      </w:r>
      <w:r>
        <w:rPr>
          <w:rFonts w:ascii="Arial" w:eastAsia="宋体" w:hAnsi="Arial" w:cs="Arial"/>
          <w:sz w:val="20"/>
          <w:szCs w:val="20"/>
        </w:rPr>
        <w:t>partially offset by a reduction in derivative exposure RWA.</w:t>
      </w:r>
    </w:p>
    <w:p w14:paraId="5556A5C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regulatory capital ratios as of December 31, 2019, presented in Table 41: Regulatory Capital Structure and Related Regulatory Capital Ratios, are calculated under the standardized approach and</w:t>
      </w:r>
      <w:r>
        <w:rPr>
          <w:rFonts w:ascii="Arial" w:eastAsia="宋体" w:hAnsi="Arial" w:cs="Arial"/>
          <w:sz w:val="20"/>
          <w:szCs w:val="20"/>
        </w:rPr>
        <w:t xml:space="preserve"> advanced approaches in conformity with the Basel III rule. The advanced approaches based ratios reflect calculations and determinations with respect to our capital and related matters as of December 31, 2019, based on our and external data, quantitative f</w:t>
      </w:r>
      <w:r>
        <w:rPr>
          <w:rFonts w:ascii="Arial" w:eastAsia="宋体" w:hAnsi="Arial" w:cs="Arial"/>
          <w:sz w:val="20"/>
          <w:szCs w:val="20"/>
        </w:rPr>
        <w:t>ormulae, statistical models, historical correlations and assumptions, collectively referred to as “advanced systems,” in effect and used by us for those purposes as of the time we first reported such ratios in a quarterly report on Form 10-Q or an annual r</w:t>
      </w:r>
      <w:r>
        <w:rPr>
          <w:rFonts w:ascii="Arial" w:eastAsia="宋体" w:hAnsi="Arial" w:cs="Arial"/>
          <w:sz w:val="20"/>
          <w:szCs w:val="20"/>
        </w:rPr>
        <w:t>eport on Form 10-K. Significant components of these advanced systems involve the exercise of judgment by us and our regulators, and our advanced systems may not, individually or collectively, precisely represent or calculate the scenarios, circumstances, o</w:t>
      </w:r>
      <w:r>
        <w:rPr>
          <w:rFonts w:ascii="Arial" w:eastAsia="宋体" w:hAnsi="Arial" w:cs="Arial"/>
          <w:sz w:val="20"/>
          <w:szCs w:val="20"/>
        </w:rPr>
        <w:t xml:space="preserve">utputs or other results for which they are designed or intended. </w:t>
      </w:r>
    </w:p>
    <w:p w14:paraId="5556A5C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advanced systems are subject to update and periodic revalidation in response to changes in our business activities and our historical experiences, forces and events experienced by the ma</w:t>
      </w:r>
      <w:r>
        <w:rPr>
          <w:rFonts w:ascii="Arial" w:eastAsia="宋体" w:hAnsi="Arial" w:cs="Arial"/>
          <w:sz w:val="20"/>
          <w:szCs w:val="20"/>
        </w:rPr>
        <w:t>rket broadly or by individual financial institutions, changes in regulations and regulatory interpretations and other factors, and are also subject to continuing regulatory review and approval. For example, a significant operational loss experienced by ano</w:t>
      </w:r>
      <w:r>
        <w:rPr>
          <w:rFonts w:ascii="Arial" w:eastAsia="宋体" w:hAnsi="Arial" w:cs="Arial"/>
          <w:sz w:val="20"/>
          <w:szCs w:val="20"/>
        </w:rPr>
        <w:t>ther financial institution, even if we do not experience a related loss, could result in a material change in the output of our advanced systems and a corresponding material change in our risk exposures, our total RWA and our capital ratios compared to pri</w:t>
      </w:r>
      <w:r>
        <w:rPr>
          <w:rFonts w:ascii="Arial" w:eastAsia="宋体" w:hAnsi="Arial" w:cs="Arial"/>
          <w:sz w:val="20"/>
          <w:szCs w:val="20"/>
        </w:rPr>
        <w:t>or periods. An operational loss that we experience could also result in a material change in our capital requirements for operational risk under the advanced approaches, depending on the severity of the loss event, its characterization among the seven Base</w:t>
      </w:r>
      <w:r>
        <w:rPr>
          <w:rFonts w:ascii="Arial" w:eastAsia="宋体" w:hAnsi="Arial" w:cs="Arial"/>
          <w:sz w:val="20"/>
          <w:szCs w:val="20"/>
        </w:rPr>
        <w:t>l-defined UOM, and the stability of the distributional approach for a particular UOM, and without direct correlation to the effects of the loss event, or the timing of such effects, on our results of operations.</w:t>
      </w:r>
    </w:p>
    <w:p w14:paraId="5556A5C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Due to the influence of changes in these adv</w:t>
      </w:r>
      <w:r>
        <w:rPr>
          <w:rFonts w:ascii="Arial" w:eastAsia="宋体" w:hAnsi="Arial" w:cs="Arial"/>
          <w:sz w:val="20"/>
          <w:szCs w:val="20"/>
        </w:rPr>
        <w:t>anced systems, whether resulting from changes in data inputs, regulation or regulatory supervision or interpretation, specific to us or market activities or experiences or other updates or factors, we expect that our advanced systems and our capital ratios</w:t>
      </w:r>
      <w:r>
        <w:rPr>
          <w:rFonts w:ascii="Arial" w:eastAsia="宋体" w:hAnsi="Arial" w:cs="Arial"/>
          <w:sz w:val="20"/>
          <w:szCs w:val="20"/>
        </w:rPr>
        <w:t xml:space="preserve"> calculated in conformity with the Basel III rule will change and may be volatile over time, and that those latter changes or volatility could be material as calculated and measured from period to period. The full effects of the Basel III rule on us and St</w:t>
      </w:r>
      <w:r>
        <w:rPr>
          <w:rFonts w:ascii="Arial" w:eastAsia="宋体" w:hAnsi="Arial" w:cs="Arial"/>
          <w:sz w:val="20"/>
          <w:szCs w:val="20"/>
        </w:rPr>
        <w:t>ate Street Bank are therefore subject to further evaluation and also to further regulatory guidance, action or rule-making.</w:t>
      </w:r>
    </w:p>
    <w:p w14:paraId="5556A5C5" w14:textId="77777777" w:rsidR="00F925DD" w:rsidRDefault="00F925DD">
      <w:pPr>
        <w:rPr>
          <w:rFonts w:ascii="Times New Roman" w:hAnsi="Times New Roman"/>
          <w:sz w:val="20"/>
          <w:szCs w:val="20"/>
        </w:rPr>
      </w:pPr>
    </w:p>
    <w:p w14:paraId="5556A5C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111</w:t>
      </w:r>
    </w:p>
    <w:p w14:paraId="5556A5C7" w14:textId="77777777" w:rsidR="00F925DD" w:rsidRDefault="00F925DD">
      <w:pPr>
        <w:spacing w:line="288" w:lineRule="auto"/>
        <w:ind w:firstLine="600"/>
        <w:jc w:val="center"/>
        <w:rPr>
          <w:rFonts w:ascii="Times New Roman" w:hAnsi="Times New Roman"/>
          <w:sz w:val="18"/>
          <w:szCs w:val="18"/>
        </w:rPr>
      </w:pPr>
    </w:p>
    <w:p w14:paraId="5556A5C8" w14:textId="77777777" w:rsidR="00F925DD" w:rsidRDefault="00E705D7">
      <w:r>
        <w:rPr>
          <w:rFonts w:ascii="Times New Roman" w:hAnsi="Times New Roman"/>
          <w:sz w:val="18"/>
          <w:szCs w:val="18"/>
        </w:rPr>
        <w:pict w14:anchorId="555706A9">
          <v:rect id="_x0000_i1135" style="width:415.3pt;height:1.5pt" o:hralign="center" o:hrstd="t" o:hr="t" fillcolor="#a0a0a0" stroked="f"/>
        </w:pict>
      </w:r>
    </w:p>
    <w:p w14:paraId="5556A5C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A5C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A5CB" w14:textId="77777777" w:rsidR="00F925DD" w:rsidRDefault="00F925DD">
      <w:pPr>
        <w:rPr>
          <w:rFonts w:ascii="Times New Roman" w:hAnsi="Times New Roman"/>
          <w:sz w:val="20"/>
          <w:szCs w:val="20"/>
        </w:rPr>
      </w:pPr>
    </w:p>
    <w:p w14:paraId="5556A5CC"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 xml:space="preserve">Tier 1 </w:t>
      </w:r>
      <w:r>
        <w:rPr>
          <w:rFonts w:ascii="Arial" w:eastAsia="宋体" w:hAnsi="Arial" w:cs="Arial"/>
          <w:b/>
          <w:bCs/>
          <w:i/>
          <w:iCs/>
          <w:color w:val="000000"/>
          <w:sz w:val="20"/>
          <w:szCs w:val="20"/>
        </w:rPr>
        <w:t>and Supplementary Leverage Ratios</w:t>
      </w:r>
    </w:p>
    <w:p w14:paraId="5556A5C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SLR rule requires that, as of January 1, 2018, (i) State Street Bank maintains an SLR of at least 6.0% to be well capitalized under the U.S. banking regulators’ Prompt Corrective Action Framework and (ii) we maintain a</w:t>
      </w:r>
      <w:r>
        <w:rPr>
          <w:rFonts w:ascii="Arial" w:eastAsia="宋体" w:hAnsi="Arial" w:cs="Arial"/>
          <w:sz w:val="20"/>
          <w:szCs w:val="20"/>
        </w:rPr>
        <w:t>n SLR of at least 5.0% to avoid limitations on capital distributions and discretionary bonus payments. In addition to the SLR, we are subject to a well capitalized tier 1 leverage ratio requirement of 5.0%.</w:t>
      </w:r>
    </w:p>
    <w:tbl>
      <w:tblPr>
        <w:tblW w:w="5000" w:type="pct"/>
        <w:tblCellMar>
          <w:left w:w="0" w:type="dxa"/>
          <w:right w:w="0" w:type="dxa"/>
        </w:tblCellMar>
        <w:tblLook w:val="04A0" w:firstRow="1" w:lastRow="0" w:firstColumn="1" w:lastColumn="0" w:noHBand="0" w:noVBand="1"/>
      </w:tblPr>
      <w:tblGrid>
        <w:gridCol w:w="4087"/>
        <w:gridCol w:w="124"/>
        <w:gridCol w:w="1761"/>
        <w:gridCol w:w="174"/>
        <w:gridCol w:w="130"/>
        <w:gridCol w:w="124"/>
        <w:gridCol w:w="1732"/>
        <w:gridCol w:w="174"/>
      </w:tblGrid>
      <w:tr w:rsidR="00F925DD" w14:paraId="5556A5CF" w14:textId="77777777">
        <w:tc>
          <w:tcPr>
            <w:tcW w:w="0" w:type="auto"/>
            <w:gridSpan w:val="8"/>
            <w:shd w:val="clear" w:color="auto" w:fill="auto"/>
            <w:vAlign w:val="center"/>
          </w:tcPr>
          <w:p w14:paraId="5556A5CE" w14:textId="77777777" w:rsidR="00F925DD" w:rsidRDefault="00F925DD">
            <w:pPr>
              <w:rPr>
                <w:rFonts w:ascii="Times New Roman" w:hAnsi="Times New Roman"/>
                <w:sz w:val="20"/>
                <w:szCs w:val="20"/>
              </w:rPr>
            </w:pPr>
          </w:p>
        </w:tc>
      </w:tr>
      <w:tr w:rsidR="00F925DD" w14:paraId="5556A5D8" w14:textId="77777777">
        <w:tc>
          <w:tcPr>
            <w:tcW w:w="2500" w:type="pct"/>
            <w:shd w:val="clear" w:color="auto" w:fill="auto"/>
            <w:vAlign w:val="center"/>
          </w:tcPr>
          <w:p w14:paraId="5556A5D0" w14:textId="77777777" w:rsidR="00F925DD" w:rsidRDefault="00F925DD">
            <w:pPr>
              <w:rPr>
                <w:rFonts w:ascii="Times New Roman" w:hAnsi="Times New Roman"/>
                <w:sz w:val="20"/>
                <w:szCs w:val="20"/>
              </w:rPr>
            </w:pPr>
          </w:p>
        </w:tc>
        <w:tc>
          <w:tcPr>
            <w:tcW w:w="50" w:type="pct"/>
            <w:shd w:val="clear" w:color="auto" w:fill="auto"/>
            <w:vAlign w:val="center"/>
          </w:tcPr>
          <w:p w14:paraId="5556A5D1" w14:textId="77777777" w:rsidR="00F925DD" w:rsidRDefault="00F925DD">
            <w:pPr>
              <w:rPr>
                <w:rFonts w:ascii="Times New Roman" w:hAnsi="Times New Roman"/>
                <w:sz w:val="20"/>
                <w:szCs w:val="20"/>
              </w:rPr>
            </w:pPr>
          </w:p>
        </w:tc>
        <w:tc>
          <w:tcPr>
            <w:tcW w:w="1100" w:type="pct"/>
            <w:shd w:val="clear" w:color="auto" w:fill="auto"/>
            <w:vAlign w:val="center"/>
          </w:tcPr>
          <w:p w14:paraId="5556A5D2" w14:textId="77777777" w:rsidR="00F925DD" w:rsidRDefault="00F925DD">
            <w:pPr>
              <w:rPr>
                <w:rFonts w:ascii="Times New Roman" w:hAnsi="Times New Roman"/>
                <w:sz w:val="20"/>
                <w:szCs w:val="20"/>
              </w:rPr>
            </w:pPr>
          </w:p>
        </w:tc>
        <w:tc>
          <w:tcPr>
            <w:tcW w:w="50" w:type="pct"/>
            <w:shd w:val="clear" w:color="auto" w:fill="auto"/>
            <w:vAlign w:val="center"/>
          </w:tcPr>
          <w:p w14:paraId="5556A5D3" w14:textId="77777777" w:rsidR="00F925DD" w:rsidRDefault="00F925DD">
            <w:pPr>
              <w:rPr>
                <w:rFonts w:ascii="Times New Roman" w:hAnsi="Times New Roman"/>
                <w:sz w:val="20"/>
                <w:szCs w:val="20"/>
              </w:rPr>
            </w:pPr>
          </w:p>
        </w:tc>
        <w:tc>
          <w:tcPr>
            <w:tcW w:w="100" w:type="pct"/>
            <w:shd w:val="clear" w:color="auto" w:fill="auto"/>
            <w:vAlign w:val="center"/>
          </w:tcPr>
          <w:p w14:paraId="5556A5D4" w14:textId="77777777" w:rsidR="00F925DD" w:rsidRDefault="00F925DD">
            <w:pPr>
              <w:rPr>
                <w:rFonts w:ascii="Times New Roman" w:hAnsi="Times New Roman"/>
                <w:sz w:val="20"/>
                <w:szCs w:val="20"/>
              </w:rPr>
            </w:pPr>
          </w:p>
        </w:tc>
        <w:tc>
          <w:tcPr>
            <w:tcW w:w="50" w:type="pct"/>
            <w:shd w:val="clear" w:color="auto" w:fill="auto"/>
            <w:vAlign w:val="center"/>
          </w:tcPr>
          <w:p w14:paraId="5556A5D5" w14:textId="77777777" w:rsidR="00F925DD" w:rsidRDefault="00F925DD">
            <w:pPr>
              <w:rPr>
                <w:rFonts w:ascii="Times New Roman" w:hAnsi="Times New Roman"/>
                <w:sz w:val="20"/>
                <w:szCs w:val="20"/>
              </w:rPr>
            </w:pPr>
          </w:p>
        </w:tc>
        <w:tc>
          <w:tcPr>
            <w:tcW w:w="1100" w:type="pct"/>
            <w:shd w:val="clear" w:color="auto" w:fill="auto"/>
            <w:vAlign w:val="center"/>
          </w:tcPr>
          <w:p w14:paraId="5556A5D6" w14:textId="77777777" w:rsidR="00F925DD" w:rsidRDefault="00F925DD">
            <w:pPr>
              <w:rPr>
                <w:rFonts w:ascii="Times New Roman" w:hAnsi="Times New Roman"/>
                <w:sz w:val="20"/>
                <w:szCs w:val="20"/>
              </w:rPr>
            </w:pPr>
          </w:p>
        </w:tc>
        <w:tc>
          <w:tcPr>
            <w:tcW w:w="50" w:type="pct"/>
            <w:shd w:val="clear" w:color="auto" w:fill="auto"/>
            <w:vAlign w:val="center"/>
          </w:tcPr>
          <w:p w14:paraId="5556A5D7" w14:textId="77777777" w:rsidR="00F925DD" w:rsidRDefault="00F925DD">
            <w:pPr>
              <w:rPr>
                <w:rFonts w:ascii="Times New Roman" w:hAnsi="Times New Roman"/>
                <w:sz w:val="20"/>
                <w:szCs w:val="20"/>
              </w:rPr>
            </w:pPr>
          </w:p>
        </w:tc>
      </w:tr>
      <w:tr w:rsidR="00F925DD" w14:paraId="5556A5DA" w14:textId="77777777">
        <w:tc>
          <w:tcPr>
            <w:tcW w:w="0" w:type="auto"/>
            <w:gridSpan w:val="8"/>
            <w:shd w:val="clear" w:color="auto" w:fill="auto"/>
            <w:tcMar>
              <w:top w:w="40" w:type="dxa"/>
              <w:left w:w="40" w:type="dxa"/>
              <w:bottom w:w="40" w:type="dxa"/>
              <w:right w:w="40" w:type="dxa"/>
            </w:tcMar>
            <w:vAlign w:val="bottom"/>
          </w:tcPr>
          <w:p w14:paraId="5556A5D9"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 xml:space="preserve">TABLE 44: TIER 1 AND </w:t>
            </w:r>
            <w:r>
              <w:rPr>
                <w:rFonts w:ascii="Arial" w:eastAsia="宋体" w:hAnsi="Arial" w:cs="Arial"/>
                <w:b/>
                <w:bCs/>
                <w:sz w:val="16"/>
                <w:szCs w:val="16"/>
              </w:rPr>
              <w:t>SUPPLEMENTARY LEVERAGE RATIOS</w:t>
            </w:r>
          </w:p>
        </w:tc>
      </w:tr>
      <w:tr w:rsidR="00F925DD" w14:paraId="5556A5DF" w14:textId="77777777">
        <w:tc>
          <w:tcPr>
            <w:tcW w:w="0" w:type="auto"/>
            <w:shd w:val="clear" w:color="auto" w:fill="auto"/>
            <w:tcMar>
              <w:top w:w="40" w:type="dxa"/>
              <w:left w:w="40" w:type="dxa"/>
              <w:bottom w:w="40" w:type="dxa"/>
              <w:right w:w="40" w:type="dxa"/>
            </w:tcMar>
            <w:vAlign w:val="bottom"/>
          </w:tcPr>
          <w:p w14:paraId="5556A5D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5D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A5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5D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r>
      <w:tr w:rsidR="00F925DD" w14:paraId="5556A5E4" w14:textId="77777777">
        <w:tc>
          <w:tcPr>
            <w:tcW w:w="0" w:type="auto"/>
            <w:shd w:val="clear" w:color="auto" w:fill="auto"/>
            <w:tcMar>
              <w:top w:w="40" w:type="dxa"/>
              <w:left w:w="40" w:type="dxa"/>
              <w:bottom w:w="40" w:type="dxa"/>
              <w:right w:w="40" w:type="dxa"/>
            </w:tcMar>
            <w:vAlign w:val="bottom"/>
          </w:tcPr>
          <w:p w14:paraId="5556A5E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State Street:</w:t>
            </w:r>
          </w:p>
        </w:tc>
        <w:tc>
          <w:tcPr>
            <w:tcW w:w="0" w:type="auto"/>
            <w:gridSpan w:val="3"/>
            <w:shd w:val="clear" w:color="auto" w:fill="auto"/>
            <w:tcMar>
              <w:top w:w="40" w:type="dxa"/>
              <w:left w:w="40" w:type="dxa"/>
              <w:bottom w:w="40" w:type="dxa"/>
              <w:right w:w="40" w:type="dxa"/>
            </w:tcMar>
            <w:vAlign w:val="bottom"/>
          </w:tcPr>
          <w:p w14:paraId="5556A5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5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5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5ED" w14:textId="77777777">
        <w:tc>
          <w:tcPr>
            <w:tcW w:w="0" w:type="auto"/>
            <w:shd w:val="clear" w:color="auto" w:fill="CCEEFF"/>
            <w:tcMar>
              <w:top w:w="40" w:type="dxa"/>
              <w:left w:w="40" w:type="dxa"/>
              <w:bottom w:w="40" w:type="dxa"/>
              <w:right w:w="40" w:type="dxa"/>
            </w:tcMar>
            <w:vAlign w:val="bottom"/>
          </w:tcPr>
          <w:p w14:paraId="5556A5E5" w14:textId="77777777" w:rsidR="00F925DD" w:rsidRDefault="00E705D7">
            <w:pPr>
              <w:textAlignment w:val="bottom"/>
              <w:rPr>
                <w:rFonts w:ascii="Times New Roman" w:hAnsi="Times New Roman"/>
                <w:sz w:val="15"/>
                <w:szCs w:val="15"/>
              </w:rPr>
            </w:pPr>
            <w:r>
              <w:rPr>
                <w:rFonts w:ascii="Arial" w:eastAsia="宋体" w:hAnsi="Arial" w:cs="Arial"/>
                <w:sz w:val="15"/>
                <w:szCs w:val="15"/>
              </w:rPr>
              <w:t>Tier 1 capital</w:t>
            </w:r>
          </w:p>
        </w:tc>
        <w:tc>
          <w:tcPr>
            <w:tcW w:w="0" w:type="auto"/>
            <w:shd w:val="clear" w:color="auto" w:fill="CCEEFF"/>
            <w:tcMar>
              <w:top w:w="40" w:type="dxa"/>
              <w:left w:w="40" w:type="dxa"/>
              <w:bottom w:w="40" w:type="dxa"/>
            </w:tcMar>
            <w:vAlign w:val="bottom"/>
          </w:tcPr>
          <w:p w14:paraId="5556A5E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A5E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15,175</w:t>
            </w:r>
          </w:p>
        </w:tc>
        <w:tc>
          <w:tcPr>
            <w:tcW w:w="0" w:type="auto"/>
            <w:shd w:val="clear" w:color="auto" w:fill="CCEEFF"/>
            <w:vAlign w:val="bottom"/>
          </w:tcPr>
          <w:p w14:paraId="5556A5E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5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5E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A5E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15,270</w:t>
            </w:r>
          </w:p>
        </w:tc>
        <w:tc>
          <w:tcPr>
            <w:tcW w:w="0" w:type="auto"/>
            <w:shd w:val="clear" w:color="auto" w:fill="CCEEFF"/>
            <w:vAlign w:val="bottom"/>
          </w:tcPr>
          <w:p w14:paraId="5556A5EC" w14:textId="77777777" w:rsidR="00F925DD" w:rsidRDefault="00F925DD">
            <w:pPr>
              <w:textAlignment w:val="bottom"/>
              <w:rPr>
                <w:rFonts w:ascii="Times New Roman" w:hAnsi="Times New Roman"/>
                <w:sz w:val="20"/>
                <w:szCs w:val="20"/>
              </w:rPr>
            </w:pPr>
          </w:p>
        </w:tc>
      </w:tr>
      <w:tr w:rsidR="00F925DD" w14:paraId="5556A5F4" w14:textId="77777777">
        <w:tc>
          <w:tcPr>
            <w:tcW w:w="0" w:type="auto"/>
            <w:shd w:val="clear" w:color="auto" w:fill="auto"/>
            <w:tcMar>
              <w:top w:w="40" w:type="dxa"/>
              <w:left w:w="40" w:type="dxa"/>
              <w:bottom w:w="40" w:type="dxa"/>
              <w:right w:w="40" w:type="dxa"/>
            </w:tcMar>
            <w:vAlign w:val="bottom"/>
          </w:tcPr>
          <w:p w14:paraId="5556A5EE" w14:textId="77777777" w:rsidR="00F925DD" w:rsidRDefault="00E705D7">
            <w:pPr>
              <w:textAlignment w:val="bottom"/>
              <w:rPr>
                <w:rFonts w:ascii="Times New Roman" w:hAnsi="Times New Roman"/>
                <w:sz w:val="15"/>
                <w:szCs w:val="15"/>
              </w:rPr>
            </w:pPr>
            <w:r>
              <w:rPr>
                <w:rFonts w:ascii="Arial" w:eastAsia="宋体" w:hAnsi="Arial" w:cs="Arial"/>
                <w:sz w:val="15"/>
                <w:szCs w:val="15"/>
              </w:rPr>
              <w:t>Average assets</w:t>
            </w:r>
          </w:p>
        </w:tc>
        <w:tc>
          <w:tcPr>
            <w:tcW w:w="0" w:type="auto"/>
            <w:gridSpan w:val="2"/>
            <w:shd w:val="clear" w:color="auto" w:fill="auto"/>
            <w:tcMar>
              <w:top w:w="40" w:type="dxa"/>
              <w:left w:w="40" w:type="dxa"/>
              <w:bottom w:w="40" w:type="dxa"/>
            </w:tcMar>
            <w:vAlign w:val="bottom"/>
          </w:tcPr>
          <w:p w14:paraId="5556A5E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228,886</w:t>
            </w:r>
          </w:p>
        </w:tc>
        <w:tc>
          <w:tcPr>
            <w:tcW w:w="0" w:type="auto"/>
            <w:shd w:val="clear" w:color="auto" w:fill="auto"/>
            <w:vAlign w:val="bottom"/>
          </w:tcPr>
          <w:p w14:paraId="5556A5F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5F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221,350</w:t>
            </w:r>
          </w:p>
        </w:tc>
        <w:tc>
          <w:tcPr>
            <w:tcW w:w="0" w:type="auto"/>
            <w:shd w:val="clear" w:color="auto" w:fill="auto"/>
            <w:vAlign w:val="bottom"/>
          </w:tcPr>
          <w:p w14:paraId="5556A5F3" w14:textId="77777777" w:rsidR="00F925DD" w:rsidRDefault="00F925DD">
            <w:pPr>
              <w:textAlignment w:val="bottom"/>
              <w:rPr>
                <w:rFonts w:ascii="Times New Roman" w:hAnsi="Times New Roman"/>
                <w:sz w:val="20"/>
                <w:szCs w:val="20"/>
              </w:rPr>
            </w:pPr>
          </w:p>
        </w:tc>
      </w:tr>
      <w:tr w:rsidR="00F925DD" w14:paraId="5556A5FB" w14:textId="77777777">
        <w:tc>
          <w:tcPr>
            <w:tcW w:w="0" w:type="auto"/>
            <w:shd w:val="clear" w:color="auto" w:fill="CCEEFF"/>
            <w:tcMar>
              <w:top w:w="40" w:type="dxa"/>
              <w:left w:w="40" w:type="dxa"/>
              <w:bottom w:w="40" w:type="dxa"/>
              <w:right w:w="40" w:type="dxa"/>
            </w:tcMar>
            <w:vAlign w:val="bottom"/>
          </w:tcPr>
          <w:p w14:paraId="5556A5F5" w14:textId="77777777" w:rsidR="00F925DD" w:rsidRDefault="00E705D7">
            <w:pPr>
              <w:textAlignment w:val="bottom"/>
              <w:rPr>
                <w:rFonts w:ascii="Times New Roman" w:hAnsi="Times New Roman"/>
                <w:sz w:val="15"/>
                <w:szCs w:val="15"/>
              </w:rPr>
            </w:pPr>
            <w:r>
              <w:rPr>
                <w:rFonts w:ascii="Arial" w:eastAsia="宋体" w:hAnsi="Arial" w:cs="Arial"/>
                <w:sz w:val="15"/>
                <w:szCs w:val="15"/>
              </w:rPr>
              <w:t>Less: adjustments for deductions from tier 1 capital</w:t>
            </w:r>
          </w:p>
        </w:tc>
        <w:tc>
          <w:tcPr>
            <w:tcW w:w="0" w:type="auto"/>
            <w:gridSpan w:val="2"/>
            <w:shd w:val="clear" w:color="auto" w:fill="CCEEFF"/>
            <w:tcMar>
              <w:top w:w="40" w:type="dxa"/>
              <w:left w:w="40" w:type="dxa"/>
              <w:bottom w:w="40" w:type="dxa"/>
            </w:tcMar>
            <w:vAlign w:val="bottom"/>
          </w:tcPr>
          <w:p w14:paraId="5556A5F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(9,262</w:t>
            </w:r>
          </w:p>
        </w:tc>
        <w:tc>
          <w:tcPr>
            <w:tcW w:w="0" w:type="auto"/>
            <w:shd w:val="clear" w:color="auto" w:fill="CCEEFF"/>
            <w:tcMar>
              <w:top w:w="40" w:type="dxa"/>
              <w:bottom w:w="40" w:type="dxa"/>
              <w:right w:w="40" w:type="dxa"/>
            </w:tcMar>
            <w:vAlign w:val="bottom"/>
          </w:tcPr>
          <w:p w14:paraId="5556A5F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A5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5F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(9,426</w:t>
            </w:r>
          </w:p>
        </w:tc>
        <w:tc>
          <w:tcPr>
            <w:tcW w:w="0" w:type="auto"/>
            <w:shd w:val="clear" w:color="auto" w:fill="CCEEFF"/>
            <w:tcMar>
              <w:top w:w="40" w:type="dxa"/>
              <w:bottom w:w="40" w:type="dxa"/>
              <w:right w:w="40" w:type="dxa"/>
            </w:tcMar>
            <w:vAlign w:val="bottom"/>
          </w:tcPr>
          <w:p w14:paraId="5556A5F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602" w14:textId="77777777">
        <w:tc>
          <w:tcPr>
            <w:tcW w:w="0" w:type="auto"/>
            <w:shd w:val="clear" w:color="auto" w:fill="auto"/>
            <w:tcMar>
              <w:top w:w="40" w:type="dxa"/>
              <w:left w:w="40" w:type="dxa"/>
              <w:bottom w:w="40" w:type="dxa"/>
              <w:right w:w="40" w:type="dxa"/>
            </w:tcMar>
            <w:vAlign w:val="bottom"/>
          </w:tcPr>
          <w:p w14:paraId="5556A5FC" w14:textId="77777777" w:rsidR="00F925DD" w:rsidRDefault="00E705D7">
            <w:pPr>
              <w:textAlignment w:val="bottom"/>
              <w:rPr>
                <w:rFonts w:ascii="Times New Roman" w:hAnsi="Times New Roman"/>
                <w:sz w:val="15"/>
                <w:szCs w:val="15"/>
              </w:rPr>
            </w:pPr>
            <w:r>
              <w:rPr>
                <w:rFonts w:ascii="Arial" w:eastAsia="宋体" w:hAnsi="Arial" w:cs="Arial"/>
                <w:sz w:val="15"/>
                <w:szCs w:val="15"/>
              </w:rPr>
              <w:t>Adjusted average assets</w:t>
            </w:r>
          </w:p>
        </w:tc>
        <w:tc>
          <w:tcPr>
            <w:tcW w:w="0" w:type="auto"/>
            <w:gridSpan w:val="2"/>
            <w:tcBorders>
              <w:top w:val="single" w:sz="8" w:space="0" w:color="000000"/>
            </w:tcBorders>
            <w:shd w:val="clear" w:color="auto" w:fill="auto"/>
            <w:tcMar>
              <w:top w:w="40" w:type="dxa"/>
              <w:left w:w="40" w:type="dxa"/>
              <w:bottom w:w="40" w:type="dxa"/>
            </w:tcMar>
            <w:vAlign w:val="bottom"/>
          </w:tcPr>
          <w:p w14:paraId="5556A5F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219,624</w:t>
            </w:r>
          </w:p>
        </w:tc>
        <w:tc>
          <w:tcPr>
            <w:tcW w:w="0" w:type="auto"/>
            <w:tcBorders>
              <w:top w:val="single" w:sz="8" w:space="0" w:color="000000"/>
            </w:tcBorders>
            <w:shd w:val="clear" w:color="auto" w:fill="auto"/>
            <w:vAlign w:val="bottom"/>
          </w:tcPr>
          <w:p w14:paraId="5556A5F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5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60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211,924</w:t>
            </w:r>
          </w:p>
        </w:tc>
        <w:tc>
          <w:tcPr>
            <w:tcW w:w="0" w:type="auto"/>
            <w:tcBorders>
              <w:top w:val="single" w:sz="8" w:space="0" w:color="000000"/>
            </w:tcBorders>
            <w:shd w:val="clear" w:color="auto" w:fill="auto"/>
            <w:vAlign w:val="bottom"/>
          </w:tcPr>
          <w:p w14:paraId="5556A601" w14:textId="77777777" w:rsidR="00F925DD" w:rsidRDefault="00F925DD">
            <w:pPr>
              <w:textAlignment w:val="bottom"/>
              <w:rPr>
                <w:rFonts w:ascii="Times New Roman" w:hAnsi="Times New Roman"/>
                <w:sz w:val="20"/>
                <w:szCs w:val="20"/>
              </w:rPr>
            </w:pPr>
          </w:p>
        </w:tc>
      </w:tr>
      <w:tr w:rsidR="00F925DD" w14:paraId="5556A609" w14:textId="77777777">
        <w:tc>
          <w:tcPr>
            <w:tcW w:w="0" w:type="auto"/>
            <w:shd w:val="clear" w:color="auto" w:fill="CCEEFF"/>
            <w:tcMar>
              <w:top w:w="40" w:type="dxa"/>
              <w:left w:w="40" w:type="dxa"/>
              <w:bottom w:w="40" w:type="dxa"/>
              <w:right w:w="40" w:type="dxa"/>
            </w:tcMar>
            <w:vAlign w:val="bottom"/>
          </w:tcPr>
          <w:p w14:paraId="5556A603" w14:textId="77777777" w:rsidR="00F925DD" w:rsidRDefault="00E705D7">
            <w:pPr>
              <w:textAlignment w:val="bottom"/>
              <w:rPr>
                <w:rFonts w:ascii="Times New Roman" w:hAnsi="Times New Roman"/>
                <w:sz w:val="15"/>
                <w:szCs w:val="15"/>
              </w:rPr>
            </w:pPr>
            <w:r>
              <w:rPr>
                <w:rFonts w:ascii="Arial" w:eastAsia="宋体" w:hAnsi="Arial" w:cs="Arial"/>
                <w:sz w:val="15"/>
                <w:szCs w:val="15"/>
              </w:rPr>
              <w:t>Off-balance sheet exposures</w:t>
            </w:r>
          </w:p>
        </w:tc>
        <w:tc>
          <w:tcPr>
            <w:tcW w:w="0" w:type="auto"/>
            <w:gridSpan w:val="2"/>
            <w:shd w:val="clear" w:color="auto" w:fill="CCEEFF"/>
            <w:tcMar>
              <w:top w:w="40" w:type="dxa"/>
              <w:left w:w="40" w:type="dxa"/>
              <w:bottom w:w="40" w:type="dxa"/>
            </w:tcMar>
            <w:vAlign w:val="bottom"/>
          </w:tcPr>
          <w:p w14:paraId="5556A60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28,238</w:t>
            </w:r>
          </w:p>
        </w:tc>
        <w:tc>
          <w:tcPr>
            <w:tcW w:w="0" w:type="auto"/>
            <w:shd w:val="clear" w:color="auto" w:fill="CCEEFF"/>
            <w:vAlign w:val="bottom"/>
          </w:tcPr>
          <w:p w14:paraId="5556A6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60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29,279</w:t>
            </w:r>
          </w:p>
        </w:tc>
        <w:tc>
          <w:tcPr>
            <w:tcW w:w="0" w:type="auto"/>
            <w:shd w:val="clear" w:color="auto" w:fill="CCEEFF"/>
            <w:vAlign w:val="bottom"/>
          </w:tcPr>
          <w:p w14:paraId="5556A608" w14:textId="77777777" w:rsidR="00F925DD" w:rsidRDefault="00F925DD">
            <w:pPr>
              <w:textAlignment w:val="bottom"/>
              <w:rPr>
                <w:rFonts w:ascii="Times New Roman" w:hAnsi="Times New Roman"/>
                <w:sz w:val="20"/>
                <w:szCs w:val="20"/>
              </w:rPr>
            </w:pPr>
          </w:p>
        </w:tc>
      </w:tr>
      <w:tr w:rsidR="00F925DD" w14:paraId="5556A612" w14:textId="77777777">
        <w:tc>
          <w:tcPr>
            <w:tcW w:w="0" w:type="auto"/>
            <w:shd w:val="clear" w:color="auto" w:fill="auto"/>
            <w:tcMar>
              <w:top w:w="40" w:type="dxa"/>
              <w:left w:w="40" w:type="dxa"/>
              <w:bottom w:w="40" w:type="dxa"/>
              <w:right w:w="40" w:type="dxa"/>
            </w:tcMar>
            <w:vAlign w:val="bottom"/>
          </w:tcPr>
          <w:p w14:paraId="5556A60A"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assets for SLR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60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60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247,862</w:t>
            </w:r>
          </w:p>
        </w:tc>
        <w:tc>
          <w:tcPr>
            <w:tcW w:w="0" w:type="auto"/>
            <w:tcBorders>
              <w:top w:val="single" w:sz="8" w:space="0" w:color="000000"/>
              <w:bottom w:val="double" w:sz="6" w:space="0" w:color="000000"/>
            </w:tcBorders>
            <w:shd w:val="clear" w:color="auto" w:fill="auto"/>
            <w:vAlign w:val="bottom"/>
          </w:tcPr>
          <w:p w14:paraId="5556A60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60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61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241,203</w:t>
            </w:r>
          </w:p>
        </w:tc>
        <w:tc>
          <w:tcPr>
            <w:tcW w:w="0" w:type="auto"/>
            <w:tcBorders>
              <w:top w:val="single" w:sz="8" w:space="0" w:color="000000"/>
              <w:bottom w:val="double" w:sz="6" w:space="0" w:color="000000"/>
            </w:tcBorders>
            <w:shd w:val="clear" w:color="auto" w:fill="auto"/>
            <w:vAlign w:val="bottom"/>
          </w:tcPr>
          <w:p w14:paraId="5556A611" w14:textId="77777777" w:rsidR="00F925DD" w:rsidRDefault="00F925DD">
            <w:pPr>
              <w:textAlignment w:val="bottom"/>
              <w:rPr>
                <w:rFonts w:ascii="Times New Roman" w:hAnsi="Times New Roman"/>
                <w:sz w:val="20"/>
                <w:szCs w:val="20"/>
              </w:rPr>
            </w:pPr>
          </w:p>
        </w:tc>
      </w:tr>
      <w:tr w:rsidR="00F925DD" w14:paraId="5556A619" w14:textId="77777777">
        <w:tc>
          <w:tcPr>
            <w:tcW w:w="0" w:type="auto"/>
            <w:shd w:val="clear" w:color="auto" w:fill="CCEEFF"/>
            <w:tcMar>
              <w:top w:w="40" w:type="dxa"/>
              <w:left w:w="40" w:type="dxa"/>
              <w:bottom w:w="40" w:type="dxa"/>
              <w:right w:w="40" w:type="dxa"/>
            </w:tcMar>
            <w:vAlign w:val="bottom"/>
          </w:tcPr>
          <w:p w14:paraId="5556A613" w14:textId="77777777" w:rsidR="00F925DD" w:rsidRDefault="00E705D7">
            <w:pPr>
              <w:textAlignment w:val="bottom"/>
              <w:rPr>
                <w:rFonts w:ascii="Times New Roman" w:hAnsi="Times New Roman"/>
                <w:sz w:val="15"/>
                <w:szCs w:val="15"/>
              </w:rPr>
            </w:pPr>
            <w:r>
              <w:rPr>
                <w:rFonts w:ascii="Arial" w:eastAsia="宋体" w:hAnsi="Arial" w:cs="Arial"/>
                <w:sz w:val="15"/>
                <w:szCs w:val="15"/>
              </w:rPr>
              <w:t>Tier 1 leverage ratio(1)</w:t>
            </w:r>
          </w:p>
        </w:tc>
        <w:tc>
          <w:tcPr>
            <w:tcW w:w="0" w:type="auto"/>
            <w:gridSpan w:val="2"/>
            <w:shd w:val="clear" w:color="auto" w:fill="CCEEFF"/>
            <w:tcMar>
              <w:top w:w="40" w:type="dxa"/>
              <w:left w:w="40" w:type="dxa"/>
              <w:bottom w:w="40" w:type="dxa"/>
            </w:tcMar>
            <w:vAlign w:val="bottom"/>
          </w:tcPr>
          <w:p w14:paraId="5556A61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6.9</w:t>
            </w:r>
          </w:p>
        </w:tc>
        <w:tc>
          <w:tcPr>
            <w:tcW w:w="0" w:type="auto"/>
            <w:shd w:val="clear" w:color="auto" w:fill="CCEEFF"/>
            <w:tcMar>
              <w:top w:w="40" w:type="dxa"/>
              <w:bottom w:w="40" w:type="dxa"/>
              <w:right w:w="40" w:type="dxa"/>
            </w:tcMar>
            <w:vAlign w:val="bottom"/>
          </w:tcPr>
          <w:p w14:paraId="5556A61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A6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61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7.2</w:t>
            </w:r>
          </w:p>
        </w:tc>
        <w:tc>
          <w:tcPr>
            <w:tcW w:w="0" w:type="auto"/>
            <w:shd w:val="clear" w:color="auto" w:fill="CCEEFF"/>
            <w:tcMar>
              <w:top w:w="40" w:type="dxa"/>
              <w:bottom w:w="40" w:type="dxa"/>
              <w:right w:w="40" w:type="dxa"/>
            </w:tcMar>
            <w:vAlign w:val="bottom"/>
          </w:tcPr>
          <w:p w14:paraId="5556A61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620" w14:textId="77777777">
        <w:tc>
          <w:tcPr>
            <w:tcW w:w="0" w:type="auto"/>
            <w:shd w:val="clear" w:color="auto" w:fill="auto"/>
            <w:tcMar>
              <w:top w:w="40" w:type="dxa"/>
              <w:left w:w="40" w:type="dxa"/>
              <w:bottom w:w="40" w:type="dxa"/>
              <w:right w:w="40" w:type="dxa"/>
            </w:tcMar>
            <w:vAlign w:val="bottom"/>
          </w:tcPr>
          <w:p w14:paraId="5556A61A" w14:textId="77777777" w:rsidR="00F925DD" w:rsidRDefault="00E705D7">
            <w:pPr>
              <w:textAlignment w:val="bottom"/>
              <w:rPr>
                <w:rFonts w:ascii="Times New Roman" w:hAnsi="Times New Roman"/>
                <w:sz w:val="15"/>
                <w:szCs w:val="15"/>
              </w:rPr>
            </w:pPr>
            <w:r>
              <w:rPr>
                <w:rFonts w:ascii="Arial" w:eastAsia="宋体" w:hAnsi="Arial" w:cs="Arial"/>
                <w:sz w:val="15"/>
                <w:szCs w:val="15"/>
              </w:rPr>
              <w:t>Supplementary leverage ratio</w:t>
            </w:r>
          </w:p>
        </w:tc>
        <w:tc>
          <w:tcPr>
            <w:tcW w:w="0" w:type="auto"/>
            <w:gridSpan w:val="2"/>
            <w:shd w:val="clear" w:color="auto" w:fill="auto"/>
            <w:tcMar>
              <w:top w:w="40" w:type="dxa"/>
              <w:left w:w="40" w:type="dxa"/>
              <w:bottom w:w="40" w:type="dxa"/>
            </w:tcMar>
            <w:vAlign w:val="bottom"/>
          </w:tcPr>
          <w:p w14:paraId="5556A61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6.1</w:t>
            </w:r>
          </w:p>
        </w:tc>
        <w:tc>
          <w:tcPr>
            <w:tcW w:w="0" w:type="auto"/>
            <w:shd w:val="clear" w:color="auto" w:fill="auto"/>
            <w:vAlign w:val="bottom"/>
          </w:tcPr>
          <w:p w14:paraId="5556A61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61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6.3</w:t>
            </w:r>
          </w:p>
        </w:tc>
        <w:tc>
          <w:tcPr>
            <w:tcW w:w="0" w:type="auto"/>
            <w:shd w:val="clear" w:color="auto" w:fill="auto"/>
            <w:vAlign w:val="bottom"/>
          </w:tcPr>
          <w:p w14:paraId="5556A61F" w14:textId="77777777" w:rsidR="00F925DD" w:rsidRDefault="00F925DD">
            <w:pPr>
              <w:textAlignment w:val="bottom"/>
              <w:rPr>
                <w:rFonts w:ascii="Times New Roman" w:hAnsi="Times New Roman"/>
                <w:sz w:val="20"/>
                <w:szCs w:val="20"/>
              </w:rPr>
            </w:pPr>
          </w:p>
        </w:tc>
      </w:tr>
      <w:tr w:rsidR="00F925DD" w14:paraId="5556A625" w14:textId="77777777">
        <w:tc>
          <w:tcPr>
            <w:tcW w:w="0" w:type="auto"/>
            <w:shd w:val="clear" w:color="auto" w:fill="auto"/>
            <w:tcMar>
              <w:top w:w="40" w:type="dxa"/>
              <w:left w:w="40" w:type="dxa"/>
              <w:bottom w:w="40" w:type="dxa"/>
              <w:right w:w="40" w:type="dxa"/>
            </w:tcMar>
            <w:vAlign w:val="bottom"/>
          </w:tcPr>
          <w:p w14:paraId="5556A6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6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6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6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62A" w14:textId="77777777">
        <w:tc>
          <w:tcPr>
            <w:tcW w:w="0" w:type="auto"/>
            <w:shd w:val="clear" w:color="auto" w:fill="auto"/>
            <w:tcMar>
              <w:top w:w="40" w:type="dxa"/>
              <w:left w:w="40" w:type="dxa"/>
              <w:bottom w:w="40" w:type="dxa"/>
              <w:right w:w="40" w:type="dxa"/>
            </w:tcMar>
            <w:vAlign w:val="bottom"/>
          </w:tcPr>
          <w:p w14:paraId="5556A62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 xml:space="preserve">State </w:t>
            </w:r>
            <w:r>
              <w:rPr>
                <w:rFonts w:ascii="Arial" w:eastAsia="宋体" w:hAnsi="Arial" w:cs="Arial"/>
                <w:b/>
                <w:bCs/>
                <w:sz w:val="15"/>
                <w:szCs w:val="15"/>
              </w:rPr>
              <w:t>Street Bank:</w:t>
            </w:r>
          </w:p>
        </w:tc>
        <w:tc>
          <w:tcPr>
            <w:tcW w:w="0" w:type="auto"/>
            <w:gridSpan w:val="3"/>
            <w:shd w:val="clear" w:color="auto" w:fill="auto"/>
            <w:tcMar>
              <w:top w:w="40" w:type="dxa"/>
              <w:left w:w="40" w:type="dxa"/>
              <w:bottom w:w="40" w:type="dxa"/>
              <w:right w:w="40" w:type="dxa"/>
            </w:tcMar>
            <w:vAlign w:val="bottom"/>
          </w:tcPr>
          <w:p w14:paraId="5556A6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6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6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633" w14:textId="77777777">
        <w:tc>
          <w:tcPr>
            <w:tcW w:w="0" w:type="auto"/>
            <w:shd w:val="clear" w:color="auto" w:fill="CCEEFF"/>
            <w:tcMar>
              <w:top w:w="40" w:type="dxa"/>
              <w:left w:w="40" w:type="dxa"/>
              <w:bottom w:w="40" w:type="dxa"/>
              <w:right w:w="40" w:type="dxa"/>
            </w:tcMar>
            <w:vAlign w:val="bottom"/>
          </w:tcPr>
          <w:p w14:paraId="5556A62B" w14:textId="77777777" w:rsidR="00F925DD" w:rsidRDefault="00E705D7">
            <w:pPr>
              <w:textAlignment w:val="bottom"/>
              <w:rPr>
                <w:rFonts w:ascii="Times New Roman" w:hAnsi="Times New Roman"/>
                <w:sz w:val="15"/>
                <w:szCs w:val="15"/>
              </w:rPr>
            </w:pPr>
            <w:r>
              <w:rPr>
                <w:rFonts w:ascii="Arial" w:eastAsia="宋体" w:hAnsi="Arial" w:cs="Arial"/>
                <w:sz w:val="15"/>
                <w:szCs w:val="15"/>
              </w:rPr>
              <w:t>Tier 1 capital</w:t>
            </w:r>
          </w:p>
        </w:tc>
        <w:tc>
          <w:tcPr>
            <w:tcW w:w="0" w:type="auto"/>
            <w:shd w:val="clear" w:color="auto" w:fill="CCEEFF"/>
            <w:tcMar>
              <w:top w:w="40" w:type="dxa"/>
              <w:left w:w="40" w:type="dxa"/>
              <w:bottom w:w="40" w:type="dxa"/>
            </w:tcMar>
            <w:vAlign w:val="bottom"/>
          </w:tcPr>
          <w:p w14:paraId="5556A62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A62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16,617</w:t>
            </w:r>
          </w:p>
        </w:tc>
        <w:tc>
          <w:tcPr>
            <w:tcW w:w="0" w:type="auto"/>
            <w:shd w:val="clear" w:color="auto" w:fill="CCEEFF"/>
            <w:vAlign w:val="bottom"/>
          </w:tcPr>
          <w:p w14:paraId="5556A6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63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A63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16,941</w:t>
            </w:r>
          </w:p>
        </w:tc>
        <w:tc>
          <w:tcPr>
            <w:tcW w:w="0" w:type="auto"/>
            <w:shd w:val="clear" w:color="auto" w:fill="CCEEFF"/>
            <w:vAlign w:val="bottom"/>
          </w:tcPr>
          <w:p w14:paraId="5556A632" w14:textId="77777777" w:rsidR="00F925DD" w:rsidRDefault="00F925DD">
            <w:pPr>
              <w:textAlignment w:val="bottom"/>
              <w:rPr>
                <w:rFonts w:ascii="Times New Roman" w:hAnsi="Times New Roman"/>
                <w:sz w:val="20"/>
                <w:szCs w:val="20"/>
              </w:rPr>
            </w:pPr>
          </w:p>
        </w:tc>
      </w:tr>
      <w:tr w:rsidR="00F925DD" w14:paraId="5556A63A" w14:textId="77777777">
        <w:tc>
          <w:tcPr>
            <w:tcW w:w="0" w:type="auto"/>
            <w:shd w:val="clear" w:color="auto" w:fill="auto"/>
            <w:tcMar>
              <w:top w:w="40" w:type="dxa"/>
              <w:left w:w="40" w:type="dxa"/>
              <w:bottom w:w="40" w:type="dxa"/>
              <w:right w:w="40" w:type="dxa"/>
            </w:tcMar>
            <w:vAlign w:val="bottom"/>
          </w:tcPr>
          <w:p w14:paraId="5556A634" w14:textId="77777777" w:rsidR="00F925DD" w:rsidRDefault="00E705D7">
            <w:pPr>
              <w:textAlignment w:val="bottom"/>
              <w:rPr>
                <w:rFonts w:ascii="Times New Roman" w:hAnsi="Times New Roman"/>
                <w:sz w:val="15"/>
                <w:szCs w:val="15"/>
              </w:rPr>
            </w:pPr>
            <w:r>
              <w:rPr>
                <w:rFonts w:ascii="Arial" w:eastAsia="宋体" w:hAnsi="Arial" w:cs="Arial"/>
                <w:sz w:val="15"/>
                <w:szCs w:val="15"/>
              </w:rPr>
              <w:t>Average assets</w:t>
            </w:r>
          </w:p>
        </w:tc>
        <w:tc>
          <w:tcPr>
            <w:tcW w:w="0" w:type="auto"/>
            <w:gridSpan w:val="2"/>
            <w:shd w:val="clear" w:color="auto" w:fill="auto"/>
            <w:tcMar>
              <w:top w:w="40" w:type="dxa"/>
              <w:left w:w="40" w:type="dxa"/>
              <w:bottom w:w="40" w:type="dxa"/>
            </w:tcMar>
            <w:vAlign w:val="bottom"/>
          </w:tcPr>
          <w:p w14:paraId="5556A63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225,234</w:t>
            </w:r>
          </w:p>
        </w:tc>
        <w:tc>
          <w:tcPr>
            <w:tcW w:w="0" w:type="auto"/>
            <w:shd w:val="clear" w:color="auto" w:fill="auto"/>
            <w:vAlign w:val="bottom"/>
          </w:tcPr>
          <w:p w14:paraId="5556A63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63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218,402</w:t>
            </w:r>
          </w:p>
        </w:tc>
        <w:tc>
          <w:tcPr>
            <w:tcW w:w="0" w:type="auto"/>
            <w:shd w:val="clear" w:color="auto" w:fill="auto"/>
            <w:vAlign w:val="bottom"/>
          </w:tcPr>
          <w:p w14:paraId="5556A639" w14:textId="77777777" w:rsidR="00F925DD" w:rsidRDefault="00F925DD">
            <w:pPr>
              <w:textAlignment w:val="bottom"/>
              <w:rPr>
                <w:rFonts w:ascii="Times New Roman" w:hAnsi="Times New Roman"/>
                <w:sz w:val="20"/>
                <w:szCs w:val="20"/>
              </w:rPr>
            </w:pPr>
          </w:p>
        </w:tc>
      </w:tr>
      <w:tr w:rsidR="00F925DD" w14:paraId="5556A641" w14:textId="77777777">
        <w:tc>
          <w:tcPr>
            <w:tcW w:w="0" w:type="auto"/>
            <w:shd w:val="clear" w:color="auto" w:fill="CCEEFF"/>
            <w:tcMar>
              <w:top w:w="40" w:type="dxa"/>
              <w:left w:w="40" w:type="dxa"/>
              <w:bottom w:w="40" w:type="dxa"/>
              <w:right w:w="40" w:type="dxa"/>
            </w:tcMar>
            <w:vAlign w:val="bottom"/>
          </w:tcPr>
          <w:p w14:paraId="5556A63B" w14:textId="77777777" w:rsidR="00F925DD" w:rsidRDefault="00E705D7">
            <w:pPr>
              <w:textAlignment w:val="bottom"/>
              <w:rPr>
                <w:rFonts w:ascii="Times New Roman" w:hAnsi="Times New Roman"/>
                <w:sz w:val="15"/>
                <w:szCs w:val="15"/>
              </w:rPr>
            </w:pPr>
            <w:r>
              <w:rPr>
                <w:rFonts w:ascii="Arial" w:eastAsia="宋体" w:hAnsi="Arial" w:cs="Arial"/>
                <w:sz w:val="15"/>
                <w:szCs w:val="15"/>
              </w:rPr>
              <w:t>Less: adjustments for deductions from tier 1 capital</w:t>
            </w:r>
          </w:p>
        </w:tc>
        <w:tc>
          <w:tcPr>
            <w:tcW w:w="0" w:type="auto"/>
            <w:gridSpan w:val="2"/>
            <w:shd w:val="clear" w:color="auto" w:fill="CCEEFF"/>
            <w:tcMar>
              <w:top w:w="40" w:type="dxa"/>
              <w:left w:w="40" w:type="dxa"/>
              <w:bottom w:w="40" w:type="dxa"/>
            </w:tcMar>
            <w:vAlign w:val="bottom"/>
          </w:tcPr>
          <w:p w14:paraId="5556A63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(8,837</w:t>
            </w:r>
          </w:p>
        </w:tc>
        <w:tc>
          <w:tcPr>
            <w:tcW w:w="0" w:type="auto"/>
            <w:shd w:val="clear" w:color="auto" w:fill="CCEEFF"/>
            <w:tcMar>
              <w:top w:w="40" w:type="dxa"/>
              <w:bottom w:w="40" w:type="dxa"/>
              <w:right w:w="40" w:type="dxa"/>
            </w:tcMar>
            <w:vAlign w:val="bottom"/>
          </w:tcPr>
          <w:p w14:paraId="5556A63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A6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63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(8,989</w:t>
            </w:r>
          </w:p>
        </w:tc>
        <w:tc>
          <w:tcPr>
            <w:tcW w:w="0" w:type="auto"/>
            <w:shd w:val="clear" w:color="auto" w:fill="CCEEFF"/>
            <w:tcMar>
              <w:top w:w="40" w:type="dxa"/>
              <w:bottom w:w="40" w:type="dxa"/>
              <w:right w:w="40" w:type="dxa"/>
            </w:tcMar>
            <w:vAlign w:val="bottom"/>
          </w:tcPr>
          <w:p w14:paraId="5556A64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648" w14:textId="77777777">
        <w:tc>
          <w:tcPr>
            <w:tcW w:w="0" w:type="auto"/>
            <w:shd w:val="clear" w:color="auto" w:fill="auto"/>
            <w:tcMar>
              <w:top w:w="40" w:type="dxa"/>
              <w:left w:w="40" w:type="dxa"/>
              <w:bottom w:w="40" w:type="dxa"/>
              <w:right w:w="40" w:type="dxa"/>
            </w:tcMar>
            <w:vAlign w:val="bottom"/>
          </w:tcPr>
          <w:p w14:paraId="5556A642" w14:textId="77777777" w:rsidR="00F925DD" w:rsidRDefault="00E705D7">
            <w:pPr>
              <w:textAlignment w:val="bottom"/>
              <w:rPr>
                <w:rFonts w:ascii="Times New Roman" w:hAnsi="Times New Roman"/>
                <w:sz w:val="15"/>
                <w:szCs w:val="15"/>
              </w:rPr>
            </w:pPr>
            <w:r>
              <w:rPr>
                <w:rFonts w:ascii="Arial" w:eastAsia="宋体" w:hAnsi="Arial" w:cs="Arial"/>
                <w:sz w:val="15"/>
                <w:szCs w:val="15"/>
              </w:rPr>
              <w:t>Adjusted average assets</w:t>
            </w:r>
          </w:p>
        </w:tc>
        <w:tc>
          <w:tcPr>
            <w:tcW w:w="0" w:type="auto"/>
            <w:gridSpan w:val="2"/>
            <w:tcBorders>
              <w:top w:val="single" w:sz="8" w:space="0" w:color="000000"/>
            </w:tcBorders>
            <w:shd w:val="clear" w:color="auto" w:fill="auto"/>
            <w:tcMar>
              <w:top w:w="40" w:type="dxa"/>
              <w:left w:w="40" w:type="dxa"/>
              <w:bottom w:w="40" w:type="dxa"/>
            </w:tcMar>
            <w:vAlign w:val="bottom"/>
          </w:tcPr>
          <w:p w14:paraId="5556A64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216,397</w:t>
            </w:r>
          </w:p>
        </w:tc>
        <w:tc>
          <w:tcPr>
            <w:tcW w:w="0" w:type="auto"/>
            <w:tcBorders>
              <w:top w:val="single" w:sz="8" w:space="0" w:color="000000"/>
            </w:tcBorders>
            <w:shd w:val="clear" w:color="auto" w:fill="auto"/>
            <w:vAlign w:val="bottom"/>
          </w:tcPr>
          <w:p w14:paraId="5556A6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64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209,413</w:t>
            </w:r>
          </w:p>
        </w:tc>
        <w:tc>
          <w:tcPr>
            <w:tcW w:w="0" w:type="auto"/>
            <w:tcBorders>
              <w:top w:val="single" w:sz="8" w:space="0" w:color="000000"/>
            </w:tcBorders>
            <w:shd w:val="clear" w:color="auto" w:fill="auto"/>
            <w:vAlign w:val="bottom"/>
          </w:tcPr>
          <w:p w14:paraId="5556A647" w14:textId="77777777" w:rsidR="00F925DD" w:rsidRDefault="00F925DD">
            <w:pPr>
              <w:textAlignment w:val="bottom"/>
              <w:rPr>
                <w:rFonts w:ascii="Times New Roman" w:hAnsi="Times New Roman"/>
                <w:sz w:val="20"/>
                <w:szCs w:val="20"/>
              </w:rPr>
            </w:pPr>
          </w:p>
        </w:tc>
      </w:tr>
      <w:tr w:rsidR="00F925DD" w14:paraId="5556A64F" w14:textId="77777777">
        <w:tc>
          <w:tcPr>
            <w:tcW w:w="0" w:type="auto"/>
            <w:shd w:val="clear" w:color="auto" w:fill="CCEEFF"/>
            <w:tcMar>
              <w:top w:w="40" w:type="dxa"/>
              <w:left w:w="40" w:type="dxa"/>
              <w:bottom w:w="40" w:type="dxa"/>
              <w:right w:w="40" w:type="dxa"/>
            </w:tcMar>
            <w:vAlign w:val="bottom"/>
          </w:tcPr>
          <w:p w14:paraId="5556A649" w14:textId="77777777" w:rsidR="00F925DD" w:rsidRDefault="00E705D7">
            <w:pPr>
              <w:textAlignment w:val="bottom"/>
              <w:rPr>
                <w:rFonts w:ascii="Times New Roman" w:hAnsi="Times New Roman"/>
                <w:sz w:val="15"/>
                <w:szCs w:val="15"/>
              </w:rPr>
            </w:pPr>
            <w:r>
              <w:rPr>
                <w:rFonts w:ascii="Arial" w:eastAsia="宋体" w:hAnsi="Arial" w:cs="Arial"/>
                <w:sz w:val="15"/>
                <w:szCs w:val="15"/>
              </w:rPr>
              <w:t>Off-balance sheet exposures</w:t>
            </w:r>
          </w:p>
        </w:tc>
        <w:tc>
          <w:tcPr>
            <w:tcW w:w="0" w:type="auto"/>
            <w:gridSpan w:val="2"/>
            <w:shd w:val="clear" w:color="auto" w:fill="CCEEFF"/>
            <w:tcMar>
              <w:top w:w="40" w:type="dxa"/>
              <w:left w:w="40" w:type="dxa"/>
              <w:bottom w:w="40" w:type="dxa"/>
            </w:tcMar>
            <w:vAlign w:val="bottom"/>
          </w:tcPr>
          <w:p w14:paraId="5556A64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28,266</w:t>
            </w:r>
          </w:p>
        </w:tc>
        <w:tc>
          <w:tcPr>
            <w:tcW w:w="0" w:type="auto"/>
            <w:shd w:val="clear" w:color="auto" w:fill="CCEEFF"/>
            <w:vAlign w:val="bottom"/>
          </w:tcPr>
          <w:p w14:paraId="5556A64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64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29,368</w:t>
            </w:r>
          </w:p>
        </w:tc>
        <w:tc>
          <w:tcPr>
            <w:tcW w:w="0" w:type="auto"/>
            <w:shd w:val="clear" w:color="auto" w:fill="CCEEFF"/>
            <w:vAlign w:val="bottom"/>
          </w:tcPr>
          <w:p w14:paraId="5556A64E" w14:textId="77777777" w:rsidR="00F925DD" w:rsidRDefault="00F925DD">
            <w:pPr>
              <w:textAlignment w:val="bottom"/>
              <w:rPr>
                <w:rFonts w:ascii="Times New Roman" w:hAnsi="Times New Roman"/>
                <w:sz w:val="20"/>
                <w:szCs w:val="20"/>
              </w:rPr>
            </w:pPr>
          </w:p>
        </w:tc>
      </w:tr>
      <w:tr w:rsidR="00F925DD" w14:paraId="5556A658" w14:textId="77777777">
        <w:tc>
          <w:tcPr>
            <w:tcW w:w="0" w:type="auto"/>
            <w:shd w:val="clear" w:color="auto" w:fill="auto"/>
            <w:tcMar>
              <w:top w:w="40" w:type="dxa"/>
              <w:left w:w="40" w:type="dxa"/>
              <w:bottom w:w="40" w:type="dxa"/>
              <w:right w:w="40" w:type="dxa"/>
            </w:tcMar>
            <w:vAlign w:val="bottom"/>
          </w:tcPr>
          <w:p w14:paraId="5556A650"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assets for SLR</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65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65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244,663</w:t>
            </w:r>
          </w:p>
        </w:tc>
        <w:tc>
          <w:tcPr>
            <w:tcW w:w="0" w:type="auto"/>
            <w:tcBorders>
              <w:top w:val="single" w:sz="8" w:space="0" w:color="000000"/>
              <w:bottom w:val="double" w:sz="6" w:space="0" w:color="000000"/>
            </w:tcBorders>
            <w:shd w:val="clear" w:color="auto" w:fill="auto"/>
            <w:vAlign w:val="bottom"/>
          </w:tcPr>
          <w:p w14:paraId="5556A65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65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65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238,781</w:t>
            </w:r>
          </w:p>
        </w:tc>
        <w:tc>
          <w:tcPr>
            <w:tcW w:w="0" w:type="auto"/>
            <w:tcBorders>
              <w:top w:val="single" w:sz="8" w:space="0" w:color="000000"/>
              <w:bottom w:val="double" w:sz="6" w:space="0" w:color="000000"/>
            </w:tcBorders>
            <w:shd w:val="clear" w:color="auto" w:fill="auto"/>
            <w:vAlign w:val="bottom"/>
          </w:tcPr>
          <w:p w14:paraId="5556A657" w14:textId="77777777" w:rsidR="00F925DD" w:rsidRDefault="00F925DD">
            <w:pPr>
              <w:textAlignment w:val="bottom"/>
              <w:rPr>
                <w:rFonts w:ascii="Times New Roman" w:hAnsi="Times New Roman"/>
                <w:sz w:val="20"/>
                <w:szCs w:val="20"/>
              </w:rPr>
            </w:pPr>
          </w:p>
        </w:tc>
      </w:tr>
      <w:tr w:rsidR="00F925DD" w14:paraId="5556A65F" w14:textId="77777777">
        <w:tc>
          <w:tcPr>
            <w:tcW w:w="0" w:type="auto"/>
            <w:shd w:val="clear" w:color="auto" w:fill="CCEEFF"/>
            <w:tcMar>
              <w:top w:w="40" w:type="dxa"/>
              <w:left w:w="40" w:type="dxa"/>
              <w:bottom w:w="40" w:type="dxa"/>
              <w:right w:w="40" w:type="dxa"/>
            </w:tcMar>
            <w:vAlign w:val="bottom"/>
          </w:tcPr>
          <w:p w14:paraId="5556A659" w14:textId="77777777" w:rsidR="00F925DD" w:rsidRDefault="00E705D7">
            <w:pPr>
              <w:textAlignment w:val="bottom"/>
              <w:rPr>
                <w:rFonts w:ascii="Times New Roman" w:hAnsi="Times New Roman"/>
                <w:sz w:val="15"/>
                <w:szCs w:val="15"/>
              </w:rPr>
            </w:pPr>
            <w:r>
              <w:rPr>
                <w:rFonts w:ascii="Arial" w:eastAsia="宋体" w:hAnsi="Arial" w:cs="Arial"/>
                <w:sz w:val="15"/>
                <w:szCs w:val="15"/>
              </w:rPr>
              <w:t>Tier 1 leverage ratio (1)</w:t>
            </w:r>
          </w:p>
        </w:tc>
        <w:tc>
          <w:tcPr>
            <w:tcW w:w="0" w:type="auto"/>
            <w:gridSpan w:val="2"/>
            <w:shd w:val="clear" w:color="auto" w:fill="CCEEFF"/>
            <w:tcMar>
              <w:top w:w="40" w:type="dxa"/>
              <w:left w:w="40" w:type="dxa"/>
              <w:bottom w:w="40" w:type="dxa"/>
            </w:tcMar>
            <w:vAlign w:val="bottom"/>
          </w:tcPr>
          <w:p w14:paraId="5556A65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7.7</w:t>
            </w:r>
          </w:p>
        </w:tc>
        <w:tc>
          <w:tcPr>
            <w:tcW w:w="0" w:type="auto"/>
            <w:shd w:val="clear" w:color="auto" w:fill="CCEEFF"/>
            <w:tcMar>
              <w:top w:w="40" w:type="dxa"/>
              <w:bottom w:w="40" w:type="dxa"/>
              <w:right w:w="40" w:type="dxa"/>
            </w:tcMar>
            <w:vAlign w:val="bottom"/>
          </w:tcPr>
          <w:p w14:paraId="5556A65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A6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65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8.1</w:t>
            </w:r>
          </w:p>
        </w:tc>
        <w:tc>
          <w:tcPr>
            <w:tcW w:w="0" w:type="auto"/>
            <w:shd w:val="clear" w:color="auto" w:fill="CCEEFF"/>
            <w:tcMar>
              <w:top w:w="40" w:type="dxa"/>
              <w:bottom w:w="40" w:type="dxa"/>
              <w:right w:w="40" w:type="dxa"/>
            </w:tcMar>
            <w:vAlign w:val="bottom"/>
          </w:tcPr>
          <w:p w14:paraId="5556A65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666" w14:textId="77777777">
        <w:tc>
          <w:tcPr>
            <w:tcW w:w="0" w:type="auto"/>
            <w:shd w:val="clear" w:color="auto" w:fill="auto"/>
            <w:tcMar>
              <w:top w:w="40" w:type="dxa"/>
              <w:left w:w="40" w:type="dxa"/>
              <w:bottom w:w="40" w:type="dxa"/>
              <w:right w:w="40" w:type="dxa"/>
            </w:tcMar>
            <w:vAlign w:val="bottom"/>
          </w:tcPr>
          <w:p w14:paraId="5556A660" w14:textId="77777777" w:rsidR="00F925DD" w:rsidRDefault="00E705D7">
            <w:pPr>
              <w:textAlignment w:val="bottom"/>
              <w:rPr>
                <w:rFonts w:ascii="Times New Roman" w:hAnsi="Times New Roman"/>
                <w:sz w:val="15"/>
                <w:szCs w:val="15"/>
              </w:rPr>
            </w:pPr>
            <w:r>
              <w:rPr>
                <w:rFonts w:ascii="Arial" w:eastAsia="宋体" w:hAnsi="Arial" w:cs="Arial"/>
                <w:sz w:val="15"/>
                <w:szCs w:val="15"/>
              </w:rPr>
              <w:t>Supplementary leverage ratio</w:t>
            </w:r>
          </w:p>
        </w:tc>
        <w:tc>
          <w:tcPr>
            <w:tcW w:w="0" w:type="auto"/>
            <w:gridSpan w:val="2"/>
            <w:shd w:val="clear" w:color="auto" w:fill="auto"/>
            <w:tcMar>
              <w:top w:w="40" w:type="dxa"/>
              <w:left w:w="40" w:type="dxa"/>
              <w:bottom w:w="40" w:type="dxa"/>
            </w:tcMar>
            <w:vAlign w:val="bottom"/>
          </w:tcPr>
          <w:p w14:paraId="5556A66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6.8</w:t>
            </w:r>
          </w:p>
        </w:tc>
        <w:tc>
          <w:tcPr>
            <w:tcW w:w="0" w:type="auto"/>
            <w:shd w:val="clear" w:color="auto" w:fill="auto"/>
            <w:vAlign w:val="bottom"/>
          </w:tcPr>
          <w:p w14:paraId="5556A66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66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7.1</w:t>
            </w:r>
          </w:p>
        </w:tc>
        <w:tc>
          <w:tcPr>
            <w:tcW w:w="0" w:type="auto"/>
            <w:shd w:val="clear" w:color="auto" w:fill="auto"/>
            <w:vAlign w:val="bottom"/>
          </w:tcPr>
          <w:p w14:paraId="5556A665" w14:textId="77777777" w:rsidR="00F925DD" w:rsidRDefault="00F925DD">
            <w:pPr>
              <w:textAlignment w:val="bottom"/>
              <w:rPr>
                <w:rFonts w:ascii="Times New Roman" w:hAnsi="Times New Roman"/>
                <w:sz w:val="20"/>
                <w:szCs w:val="20"/>
              </w:rPr>
            </w:pPr>
          </w:p>
        </w:tc>
      </w:tr>
    </w:tbl>
    <w:p w14:paraId="5556A667"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3987"/>
        <w:gridCol w:w="1578"/>
        <w:gridCol w:w="2741"/>
      </w:tblGrid>
      <w:tr w:rsidR="00F925DD" w14:paraId="5556A669" w14:textId="77777777">
        <w:tc>
          <w:tcPr>
            <w:tcW w:w="0" w:type="auto"/>
            <w:gridSpan w:val="3"/>
            <w:shd w:val="clear" w:color="auto" w:fill="auto"/>
            <w:vAlign w:val="center"/>
          </w:tcPr>
          <w:p w14:paraId="5556A668" w14:textId="77777777" w:rsidR="00F925DD" w:rsidRDefault="00F925DD">
            <w:pPr>
              <w:rPr>
                <w:rFonts w:ascii="Times New Roman" w:hAnsi="Times New Roman"/>
                <w:sz w:val="20"/>
                <w:szCs w:val="20"/>
              </w:rPr>
            </w:pPr>
          </w:p>
        </w:tc>
      </w:tr>
      <w:tr w:rsidR="00F925DD" w14:paraId="5556A66D" w14:textId="77777777">
        <w:tc>
          <w:tcPr>
            <w:tcW w:w="2400" w:type="pct"/>
            <w:shd w:val="clear" w:color="auto" w:fill="auto"/>
            <w:vAlign w:val="center"/>
          </w:tcPr>
          <w:p w14:paraId="5556A66A" w14:textId="77777777" w:rsidR="00F925DD" w:rsidRDefault="00F925DD">
            <w:pPr>
              <w:rPr>
                <w:rFonts w:ascii="Times New Roman" w:hAnsi="Times New Roman"/>
                <w:sz w:val="20"/>
                <w:szCs w:val="20"/>
              </w:rPr>
            </w:pPr>
          </w:p>
        </w:tc>
        <w:tc>
          <w:tcPr>
            <w:tcW w:w="950" w:type="pct"/>
            <w:shd w:val="clear" w:color="auto" w:fill="auto"/>
            <w:vAlign w:val="center"/>
          </w:tcPr>
          <w:p w14:paraId="5556A66B" w14:textId="77777777" w:rsidR="00F925DD" w:rsidRDefault="00F925DD">
            <w:pPr>
              <w:rPr>
                <w:rFonts w:ascii="Times New Roman" w:hAnsi="Times New Roman"/>
                <w:sz w:val="20"/>
                <w:szCs w:val="20"/>
              </w:rPr>
            </w:pPr>
          </w:p>
        </w:tc>
        <w:tc>
          <w:tcPr>
            <w:tcW w:w="1650" w:type="pct"/>
            <w:shd w:val="clear" w:color="auto" w:fill="auto"/>
            <w:vAlign w:val="center"/>
          </w:tcPr>
          <w:p w14:paraId="5556A66C" w14:textId="77777777" w:rsidR="00F925DD" w:rsidRDefault="00F925DD">
            <w:pPr>
              <w:rPr>
                <w:rFonts w:ascii="Times New Roman" w:hAnsi="Times New Roman"/>
                <w:sz w:val="20"/>
                <w:szCs w:val="20"/>
              </w:rPr>
            </w:pPr>
          </w:p>
        </w:tc>
      </w:tr>
      <w:tr w:rsidR="00F925DD" w14:paraId="5556A67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A6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6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6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A672"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(1) Tier 1 leverage ratios were calculated in conformity with the Basel III rule.</w:t>
      </w:r>
    </w:p>
    <w:p w14:paraId="5556A673"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Total </w:t>
      </w:r>
      <w:r>
        <w:rPr>
          <w:rFonts w:ascii="Arial" w:eastAsia="宋体" w:hAnsi="Arial" w:cs="Arial"/>
          <w:b/>
          <w:bCs/>
          <w:i/>
          <w:iCs/>
          <w:color w:val="000000"/>
          <w:sz w:val="20"/>
          <w:szCs w:val="20"/>
        </w:rPr>
        <w:t>Loss-Absorbing Capacity (TLAC)</w:t>
      </w:r>
    </w:p>
    <w:p w14:paraId="5556A67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requested and received from the Federal Reserve, a one-year extension from January 1, 2019 to January 1, 2020, for compliance with the LTD SLR requirements of the TLAC final rule. In granting the extension request, the Fed</w:t>
      </w:r>
      <w:r>
        <w:rPr>
          <w:rFonts w:ascii="Arial" w:eastAsia="宋体" w:hAnsi="Arial" w:cs="Arial"/>
          <w:sz w:val="20"/>
          <w:szCs w:val="20"/>
        </w:rPr>
        <w:t>eral Reserve noted that the Economic Growth, Regulatory Relief and Consumer Protection Act (EGRRCPA) was signed into law in May 2018. Under this legislation, the Federal Reserve and the other U.S. federal banking agencies must promulgate rules to exclude c</w:t>
      </w:r>
      <w:r>
        <w:rPr>
          <w:rFonts w:ascii="Arial" w:eastAsia="宋体" w:hAnsi="Arial" w:cs="Arial"/>
          <w:sz w:val="20"/>
          <w:szCs w:val="20"/>
        </w:rPr>
        <w:t>ertain central bank placements from the calculation of SLR for custodial banks such as us. The Federal Reserve and the other U.S. federal banking agencies adopted that final rule in November 2019; the rule becomes effective on April 1, 2020. Accordingly, w</w:t>
      </w:r>
      <w:r>
        <w:rPr>
          <w:rFonts w:ascii="Arial" w:eastAsia="宋体" w:hAnsi="Arial" w:cs="Arial"/>
          <w:sz w:val="20"/>
          <w:szCs w:val="20"/>
        </w:rPr>
        <w:t xml:space="preserve">e requested and received an </w:t>
      </w:r>
    </w:p>
    <w:p w14:paraId="5556A675"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A676"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additional three-month extension from January 1, 2020 to April 1, 2020, for compliance with the LTD SLR requirements of the rule. This regulatory change is expected to reduce the LTD we are required to hold as calculated unde</w:t>
      </w:r>
      <w:r>
        <w:rPr>
          <w:rFonts w:ascii="Arial" w:eastAsia="宋体" w:hAnsi="Arial" w:cs="Arial"/>
          <w:sz w:val="20"/>
          <w:szCs w:val="20"/>
        </w:rPr>
        <w:t>r the current requirements, and we estimate that, had those reduced LTD requirements been in effect, we would have been in compliance with the LTD SLR at December 31, 2019.</w:t>
      </w:r>
    </w:p>
    <w:p w14:paraId="5556A67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external LTD and external TLAC as of December 31, </w:t>
      </w:r>
      <w:r>
        <w:rPr>
          <w:rFonts w:ascii="Arial" w:eastAsia="宋体" w:hAnsi="Arial" w:cs="Arial"/>
          <w:sz w:val="20"/>
          <w:szCs w:val="20"/>
        </w:rPr>
        <w:t>2019. On January 24, 2020 we issued $750 million aggregate principal amount of 2.400% Senior Notes due in 2030.</w:t>
      </w:r>
    </w:p>
    <w:tbl>
      <w:tblPr>
        <w:tblW w:w="4990" w:type="pct"/>
        <w:tblCellMar>
          <w:left w:w="0" w:type="dxa"/>
          <w:right w:w="0" w:type="dxa"/>
        </w:tblCellMar>
        <w:tblLook w:val="04A0" w:firstRow="1" w:lastRow="0" w:firstColumn="1" w:lastColumn="0" w:noHBand="0" w:noVBand="1"/>
      </w:tblPr>
      <w:tblGrid>
        <w:gridCol w:w="1384"/>
        <w:gridCol w:w="1716"/>
        <w:gridCol w:w="124"/>
        <w:gridCol w:w="1053"/>
        <w:gridCol w:w="59"/>
        <w:gridCol w:w="142"/>
        <w:gridCol w:w="971"/>
        <w:gridCol w:w="174"/>
        <w:gridCol w:w="142"/>
        <w:gridCol w:w="124"/>
        <w:gridCol w:w="1054"/>
        <w:gridCol w:w="59"/>
        <w:gridCol w:w="142"/>
        <w:gridCol w:w="971"/>
        <w:gridCol w:w="174"/>
      </w:tblGrid>
      <w:tr w:rsidR="00F925DD" w14:paraId="5556A679" w14:textId="77777777">
        <w:tc>
          <w:tcPr>
            <w:tcW w:w="0" w:type="auto"/>
            <w:gridSpan w:val="15"/>
            <w:shd w:val="clear" w:color="auto" w:fill="auto"/>
            <w:vAlign w:val="center"/>
          </w:tcPr>
          <w:p w14:paraId="5556A678" w14:textId="77777777" w:rsidR="00F925DD" w:rsidRDefault="00F925DD">
            <w:pPr>
              <w:rPr>
                <w:rFonts w:ascii="Times New Roman" w:hAnsi="Times New Roman"/>
                <w:sz w:val="20"/>
                <w:szCs w:val="20"/>
              </w:rPr>
            </w:pPr>
          </w:p>
        </w:tc>
      </w:tr>
      <w:tr w:rsidR="00F925DD" w14:paraId="5556A689" w14:textId="77777777">
        <w:tc>
          <w:tcPr>
            <w:tcW w:w="850" w:type="pct"/>
            <w:shd w:val="clear" w:color="auto" w:fill="auto"/>
            <w:vAlign w:val="center"/>
          </w:tcPr>
          <w:p w14:paraId="5556A67A" w14:textId="77777777" w:rsidR="00F925DD" w:rsidRDefault="00F925DD">
            <w:pPr>
              <w:rPr>
                <w:rFonts w:ascii="Times New Roman" w:hAnsi="Times New Roman"/>
                <w:sz w:val="20"/>
                <w:szCs w:val="20"/>
              </w:rPr>
            </w:pPr>
          </w:p>
        </w:tc>
        <w:tc>
          <w:tcPr>
            <w:tcW w:w="1050" w:type="pct"/>
            <w:shd w:val="clear" w:color="auto" w:fill="auto"/>
            <w:vAlign w:val="center"/>
          </w:tcPr>
          <w:p w14:paraId="5556A67B" w14:textId="77777777" w:rsidR="00F925DD" w:rsidRDefault="00F925DD">
            <w:pPr>
              <w:rPr>
                <w:rFonts w:ascii="Times New Roman" w:hAnsi="Times New Roman"/>
                <w:sz w:val="20"/>
                <w:szCs w:val="20"/>
              </w:rPr>
            </w:pPr>
          </w:p>
        </w:tc>
        <w:tc>
          <w:tcPr>
            <w:tcW w:w="50" w:type="pct"/>
            <w:shd w:val="clear" w:color="auto" w:fill="auto"/>
            <w:vAlign w:val="center"/>
          </w:tcPr>
          <w:p w14:paraId="5556A67C" w14:textId="77777777" w:rsidR="00F925DD" w:rsidRDefault="00F925DD">
            <w:pPr>
              <w:rPr>
                <w:rFonts w:ascii="Times New Roman" w:hAnsi="Times New Roman"/>
                <w:sz w:val="20"/>
                <w:szCs w:val="20"/>
              </w:rPr>
            </w:pPr>
          </w:p>
        </w:tc>
        <w:tc>
          <w:tcPr>
            <w:tcW w:w="650" w:type="pct"/>
            <w:shd w:val="clear" w:color="auto" w:fill="auto"/>
            <w:vAlign w:val="center"/>
          </w:tcPr>
          <w:p w14:paraId="5556A67D" w14:textId="77777777" w:rsidR="00F925DD" w:rsidRDefault="00F925DD">
            <w:pPr>
              <w:rPr>
                <w:rFonts w:ascii="Times New Roman" w:hAnsi="Times New Roman"/>
                <w:sz w:val="20"/>
                <w:szCs w:val="20"/>
              </w:rPr>
            </w:pPr>
          </w:p>
        </w:tc>
        <w:tc>
          <w:tcPr>
            <w:tcW w:w="50" w:type="pct"/>
            <w:shd w:val="clear" w:color="auto" w:fill="auto"/>
            <w:vAlign w:val="center"/>
          </w:tcPr>
          <w:p w14:paraId="5556A67E" w14:textId="77777777" w:rsidR="00F925DD" w:rsidRDefault="00F925DD">
            <w:pPr>
              <w:rPr>
                <w:rFonts w:ascii="Times New Roman" w:hAnsi="Times New Roman"/>
                <w:sz w:val="20"/>
                <w:szCs w:val="20"/>
              </w:rPr>
            </w:pPr>
          </w:p>
        </w:tc>
        <w:tc>
          <w:tcPr>
            <w:tcW w:w="100" w:type="pct"/>
            <w:shd w:val="clear" w:color="auto" w:fill="auto"/>
            <w:vAlign w:val="center"/>
          </w:tcPr>
          <w:p w14:paraId="5556A67F" w14:textId="77777777" w:rsidR="00F925DD" w:rsidRDefault="00F925DD">
            <w:pPr>
              <w:rPr>
                <w:rFonts w:ascii="Times New Roman" w:hAnsi="Times New Roman"/>
                <w:sz w:val="20"/>
                <w:szCs w:val="20"/>
              </w:rPr>
            </w:pPr>
          </w:p>
        </w:tc>
        <w:tc>
          <w:tcPr>
            <w:tcW w:w="600" w:type="pct"/>
            <w:shd w:val="clear" w:color="auto" w:fill="auto"/>
            <w:vAlign w:val="center"/>
          </w:tcPr>
          <w:p w14:paraId="5556A680" w14:textId="77777777" w:rsidR="00F925DD" w:rsidRDefault="00F925DD">
            <w:pPr>
              <w:rPr>
                <w:rFonts w:ascii="Times New Roman" w:hAnsi="Times New Roman"/>
                <w:sz w:val="20"/>
                <w:szCs w:val="20"/>
              </w:rPr>
            </w:pPr>
          </w:p>
        </w:tc>
        <w:tc>
          <w:tcPr>
            <w:tcW w:w="50" w:type="pct"/>
            <w:shd w:val="clear" w:color="auto" w:fill="auto"/>
            <w:vAlign w:val="center"/>
          </w:tcPr>
          <w:p w14:paraId="5556A681" w14:textId="77777777" w:rsidR="00F925DD" w:rsidRDefault="00F925DD">
            <w:pPr>
              <w:rPr>
                <w:rFonts w:ascii="Times New Roman" w:hAnsi="Times New Roman"/>
                <w:sz w:val="20"/>
                <w:szCs w:val="20"/>
              </w:rPr>
            </w:pPr>
          </w:p>
        </w:tc>
        <w:tc>
          <w:tcPr>
            <w:tcW w:w="100" w:type="pct"/>
            <w:shd w:val="clear" w:color="auto" w:fill="auto"/>
            <w:vAlign w:val="center"/>
          </w:tcPr>
          <w:p w14:paraId="5556A682" w14:textId="77777777" w:rsidR="00F925DD" w:rsidRDefault="00F925DD">
            <w:pPr>
              <w:rPr>
                <w:rFonts w:ascii="Times New Roman" w:hAnsi="Times New Roman"/>
                <w:sz w:val="20"/>
                <w:szCs w:val="20"/>
              </w:rPr>
            </w:pPr>
          </w:p>
        </w:tc>
        <w:tc>
          <w:tcPr>
            <w:tcW w:w="50" w:type="pct"/>
            <w:shd w:val="clear" w:color="auto" w:fill="auto"/>
            <w:vAlign w:val="center"/>
          </w:tcPr>
          <w:p w14:paraId="5556A683" w14:textId="77777777" w:rsidR="00F925DD" w:rsidRDefault="00F925DD">
            <w:pPr>
              <w:rPr>
                <w:rFonts w:ascii="Times New Roman" w:hAnsi="Times New Roman"/>
                <w:sz w:val="20"/>
                <w:szCs w:val="20"/>
              </w:rPr>
            </w:pPr>
          </w:p>
        </w:tc>
        <w:tc>
          <w:tcPr>
            <w:tcW w:w="650" w:type="pct"/>
            <w:shd w:val="clear" w:color="auto" w:fill="auto"/>
            <w:vAlign w:val="center"/>
          </w:tcPr>
          <w:p w14:paraId="5556A684" w14:textId="77777777" w:rsidR="00F925DD" w:rsidRDefault="00F925DD">
            <w:pPr>
              <w:rPr>
                <w:rFonts w:ascii="Times New Roman" w:hAnsi="Times New Roman"/>
                <w:sz w:val="20"/>
                <w:szCs w:val="20"/>
              </w:rPr>
            </w:pPr>
          </w:p>
        </w:tc>
        <w:tc>
          <w:tcPr>
            <w:tcW w:w="50" w:type="pct"/>
            <w:shd w:val="clear" w:color="auto" w:fill="auto"/>
            <w:vAlign w:val="center"/>
          </w:tcPr>
          <w:p w14:paraId="5556A685" w14:textId="77777777" w:rsidR="00F925DD" w:rsidRDefault="00F925DD">
            <w:pPr>
              <w:rPr>
                <w:rFonts w:ascii="Times New Roman" w:hAnsi="Times New Roman"/>
                <w:sz w:val="20"/>
                <w:szCs w:val="20"/>
              </w:rPr>
            </w:pPr>
          </w:p>
        </w:tc>
        <w:tc>
          <w:tcPr>
            <w:tcW w:w="100" w:type="pct"/>
            <w:shd w:val="clear" w:color="auto" w:fill="auto"/>
            <w:vAlign w:val="center"/>
          </w:tcPr>
          <w:p w14:paraId="5556A686" w14:textId="77777777" w:rsidR="00F925DD" w:rsidRDefault="00F925DD">
            <w:pPr>
              <w:rPr>
                <w:rFonts w:ascii="Times New Roman" w:hAnsi="Times New Roman"/>
                <w:sz w:val="20"/>
                <w:szCs w:val="20"/>
              </w:rPr>
            </w:pPr>
          </w:p>
        </w:tc>
        <w:tc>
          <w:tcPr>
            <w:tcW w:w="600" w:type="pct"/>
            <w:shd w:val="clear" w:color="auto" w:fill="auto"/>
            <w:vAlign w:val="center"/>
          </w:tcPr>
          <w:p w14:paraId="5556A687" w14:textId="77777777" w:rsidR="00F925DD" w:rsidRDefault="00F925DD">
            <w:pPr>
              <w:rPr>
                <w:rFonts w:ascii="Times New Roman" w:hAnsi="Times New Roman"/>
                <w:sz w:val="20"/>
                <w:szCs w:val="20"/>
              </w:rPr>
            </w:pPr>
          </w:p>
        </w:tc>
        <w:tc>
          <w:tcPr>
            <w:tcW w:w="50" w:type="pct"/>
            <w:shd w:val="clear" w:color="auto" w:fill="auto"/>
            <w:vAlign w:val="center"/>
          </w:tcPr>
          <w:p w14:paraId="5556A688" w14:textId="77777777" w:rsidR="00F925DD" w:rsidRDefault="00F925DD">
            <w:pPr>
              <w:rPr>
                <w:rFonts w:ascii="Times New Roman" w:hAnsi="Times New Roman"/>
                <w:sz w:val="20"/>
                <w:szCs w:val="20"/>
              </w:rPr>
            </w:pPr>
          </w:p>
        </w:tc>
      </w:tr>
      <w:tr w:rsidR="00F925DD" w14:paraId="5556A68B" w14:textId="77777777">
        <w:tc>
          <w:tcPr>
            <w:tcW w:w="0" w:type="auto"/>
            <w:gridSpan w:val="15"/>
            <w:shd w:val="clear" w:color="auto" w:fill="auto"/>
            <w:tcMar>
              <w:top w:w="40" w:type="dxa"/>
              <w:left w:w="40" w:type="dxa"/>
              <w:bottom w:w="40" w:type="dxa"/>
              <w:right w:w="40" w:type="dxa"/>
            </w:tcMar>
            <w:vAlign w:val="bottom"/>
          </w:tcPr>
          <w:p w14:paraId="5556A68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45: TOTAL LOSS-ABSORBING CAPACITY</w:t>
            </w:r>
          </w:p>
        </w:tc>
      </w:tr>
      <w:tr w:rsidR="00F925DD" w14:paraId="5556A68E" w14:textId="77777777">
        <w:tc>
          <w:tcPr>
            <w:tcW w:w="0" w:type="auto"/>
            <w:gridSpan w:val="2"/>
            <w:shd w:val="clear" w:color="auto" w:fill="auto"/>
            <w:tcMar>
              <w:top w:w="40" w:type="dxa"/>
              <w:left w:w="40" w:type="dxa"/>
              <w:bottom w:w="40" w:type="dxa"/>
              <w:right w:w="40" w:type="dxa"/>
            </w:tcMar>
            <w:vAlign w:val="bottom"/>
          </w:tcPr>
          <w:p w14:paraId="5556A68C" w14:textId="77777777" w:rsidR="00F925DD" w:rsidRDefault="00F925DD">
            <w:pPr>
              <w:textAlignment w:val="bottom"/>
              <w:rPr>
                <w:rFonts w:ascii="Times New Roman" w:hAnsi="Times New Roman"/>
                <w:sz w:val="15"/>
                <w:szCs w:val="15"/>
              </w:rPr>
            </w:pPr>
          </w:p>
        </w:tc>
        <w:tc>
          <w:tcPr>
            <w:tcW w:w="0" w:type="auto"/>
            <w:gridSpan w:val="13"/>
            <w:tcBorders>
              <w:bottom w:val="single" w:sz="8" w:space="0" w:color="000000"/>
            </w:tcBorders>
            <w:shd w:val="clear" w:color="auto" w:fill="auto"/>
            <w:tcMar>
              <w:top w:w="40" w:type="dxa"/>
              <w:left w:w="40" w:type="dxa"/>
              <w:bottom w:w="40" w:type="dxa"/>
            </w:tcMar>
            <w:vAlign w:val="bottom"/>
          </w:tcPr>
          <w:p w14:paraId="5556A68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 of December 31, 2019</w:t>
            </w:r>
          </w:p>
        </w:tc>
      </w:tr>
      <w:tr w:rsidR="00F925DD" w14:paraId="5556A693" w14:textId="77777777">
        <w:tc>
          <w:tcPr>
            <w:tcW w:w="0" w:type="auto"/>
            <w:gridSpan w:val="2"/>
            <w:shd w:val="clear" w:color="auto" w:fill="auto"/>
            <w:tcMar>
              <w:top w:w="40" w:type="dxa"/>
              <w:left w:w="40" w:type="dxa"/>
              <w:bottom w:w="40" w:type="dxa"/>
              <w:right w:w="40" w:type="dxa"/>
            </w:tcMar>
            <w:vAlign w:val="bottom"/>
          </w:tcPr>
          <w:p w14:paraId="5556A68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(Dollars in millions)</w:t>
            </w:r>
          </w:p>
        </w:tc>
        <w:tc>
          <w:tcPr>
            <w:tcW w:w="0" w:type="auto"/>
            <w:gridSpan w:val="6"/>
            <w:tcBorders>
              <w:bottom w:val="single" w:sz="8" w:space="0" w:color="000000"/>
            </w:tcBorders>
            <w:shd w:val="clear" w:color="auto" w:fill="auto"/>
            <w:tcMar>
              <w:top w:w="40" w:type="dxa"/>
              <w:left w:w="40" w:type="dxa"/>
              <w:bottom w:w="40" w:type="dxa"/>
            </w:tcMar>
            <w:vAlign w:val="bottom"/>
          </w:tcPr>
          <w:p w14:paraId="5556A69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Actual</w:t>
            </w:r>
          </w:p>
        </w:tc>
        <w:tc>
          <w:tcPr>
            <w:tcW w:w="0" w:type="auto"/>
            <w:shd w:val="clear" w:color="auto" w:fill="auto"/>
            <w:tcMar>
              <w:top w:w="40" w:type="dxa"/>
              <w:left w:w="40" w:type="dxa"/>
              <w:bottom w:w="40" w:type="dxa"/>
              <w:right w:w="40" w:type="dxa"/>
            </w:tcMar>
            <w:vAlign w:val="bottom"/>
          </w:tcPr>
          <w:p w14:paraId="5556A6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556A69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Requirement(1)</w:t>
            </w:r>
          </w:p>
        </w:tc>
      </w:tr>
      <w:tr w:rsidR="00F925DD" w14:paraId="5556A69C" w14:textId="77777777">
        <w:tc>
          <w:tcPr>
            <w:tcW w:w="0" w:type="auto"/>
            <w:gridSpan w:val="2"/>
            <w:shd w:val="clear" w:color="auto" w:fill="auto"/>
            <w:tcMar>
              <w:top w:w="40" w:type="dxa"/>
              <w:left w:w="40" w:type="dxa"/>
              <w:bottom w:w="40" w:type="dxa"/>
              <w:right w:w="40" w:type="dxa"/>
            </w:tcMar>
            <w:vAlign w:val="center"/>
          </w:tcPr>
          <w:p w14:paraId="5556A694" w14:textId="77777777" w:rsidR="00F925DD" w:rsidRDefault="00E705D7">
            <w:pPr>
              <w:textAlignment w:val="center"/>
              <w:rPr>
                <w:rFonts w:ascii="Times New Roman" w:hAnsi="Times New Roman"/>
                <w:sz w:val="15"/>
                <w:szCs w:val="15"/>
              </w:rPr>
            </w:pPr>
            <w:r>
              <w:rPr>
                <w:rFonts w:ascii="Arial" w:eastAsia="宋体" w:hAnsi="Arial" w:cs="Arial"/>
                <w:sz w:val="15"/>
                <w:szCs w:val="15"/>
              </w:rPr>
              <w:t xml:space="preserve">Total </w:t>
            </w:r>
            <w:r>
              <w:rPr>
                <w:rFonts w:ascii="Arial" w:eastAsia="宋体" w:hAnsi="Arial" w:cs="Arial"/>
                <w:sz w:val="15"/>
                <w:szCs w:val="15"/>
              </w:rPr>
              <w:t>loss-absorbing capacity (eligible Tier 1 regulatory capacity and long term debt):</w:t>
            </w:r>
          </w:p>
        </w:tc>
        <w:tc>
          <w:tcPr>
            <w:tcW w:w="0" w:type="auto"/>
            <w:gridSpan w:val="3"/>
            <w:shd w:val="clear" w:color="auto" w:fill="auto"/>
            <w:tcMar>
              <w:top w:w="40" w:type="dxa"/>
              <w:left w:w="40" w:type="dxa"/>
              <w:bottom w:w="40" w:type="dxa"/>
              <w:right w:w="40" w:type="dxa"/>
            </w:tcMar>
            <w:vAlign w:val="bottom"/>
          </w:tcPr>
          <w:p w14:paraId="5556A6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6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6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6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6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6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6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6AB" w14:textId="77777777">
        <w:tc>
          <w:tcPr>
            <w:tcW w:w="0" w:type="auto"/>
            <w:gridSpan w:val="2"/>
            <w:shd w:val="clear" w:color="auto" w:fill="CCEEFF"/>
            <w:tcMar>
              <w:top w:w="40" w:type="dxa"/>
              <w:left w:w="240" w:type="dxa"/>
              <w:bottom w:w="40" w:type="dxa"/>
              <w:right w:w="40" w:type="dxa"/>
            </w:tcMar>
            <w:vAlign w:val="center"/>
          </w:tcPr>
          <w:p w14:paraId="5556A69D" w14:textId="77777777" w:rsidR="00F925DD" w:rsidRDefault="00E705D7">
            <w:pPr>
              <w:textAlignment w:val="center"/>
              <w:rPr>
                <w:rFonts w:ascii="Times New Roman" w:hAnsi="Times New Roman"/>
                <w:sz w:val="15"/>
                <w:szCs w:val="15"/>
              </w:rPr>
            </w:pPr>
            <w:r>
              <w:rPr>
                <w:rFonts w:ascii="Arial" w:eastAsia="宋体" w:hAnsi="Arial" w:cs="Arial"/>
                <w:sz w:val="15"/>
                <w:szCs w:val="15"/>
              </w:rPr>
              <w:t>Risk-weighted assets</w:t>
            </w:r>
          </w:p>
        </w:tc>
        <w:tc>
          <w:tcPr>
            <w:tcW w:w="0" w:type="auto"/>
            <w:shd w:val="clear" w:color="auto" w:fill="CCEEFF"/>
            <w:tcMar>
              <w:top w:w="40" w:type="dxa"/>
              <w:left w:w="40" w:type="dxa"/>
              <w:bottom w:w="40" w:type="dxa"/>
            </w:tcMar>
            <w:vAlign w:val="center"/>
          </w:tcPr>
          <w:p w14:paraId="5556A69E" w14:textId="77777777" w:rsidR="00F925DD" w:rsidRDefault="00E705D7">
            <w:pPr>
              <w:textAlignment w:val="center"/>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center"/>
          </w:tcPr>
          <w:p w14:paraId="5556A69F"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25,857</w:t>
            </w:r>
          </w:p>
        </w:tc>
        <w:tc>
          <w:tcPr>
            <w:tcW w:w="0" w:type="auto"/>
            <w:shd w:val="clear" w:color="auto" w:fill="CCEEFF"/>
            <w:vAlign w:val="bottom"/>
          </w:tcPr>
          <w:p w14:paraId="5556A6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A6A2"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24.8</w:t>
            </w:r>
          </w:p>
        </w:tc>
        <w:tc>
          <w:tcPr>
            <w:tcW w:w="0" w:type="auto"/>
            <w:shd w:val="clear" w:color="auto" w:fill="CCEEFF"/>
            <w:tcMar>
              <w:top w:w="40" w:type="dxa"/>
              <w:bottom w:w="40" w:type="dxa"/>
              <w:right w:w="40" w:type="dxa"/>
            </w:tcMar>
            <w:vAlign w:val="center"/>
          </w:tcPr>
          <w:p w14:paraId="5556A6A3" w14:textId="77777777" w:rsidR="00F925DD" w:rsidRDefault="00E705D7">
            <w:pPr>
              <w:textAlignment w:val="center"/>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A6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A6A5" w14:textId="77777777" w:rsidR="00F925DD" w:rsidRDefault="00E705D7">
            <w:pPr>
              <w:textAlignment w:val="center"/>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center"/>
          </w:tcPr>
          <w:p w14:paraId="5556A6A6"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22,438</w:t>
            </w:r>
          </w:p>
        </w:tc>
        <w:tc>
          <w:tcPr>
            <w:tcW w:w="0" w:type="auto"/>
            <w:shd w:val="clear" w:color="auto" w:fill="CCEEFF"/>
            <w:vAlign w:val="bottom"/>
          </w:tcPr>
          <w:p w14:paraId="5556A6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A6A9"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21.5</w:t>
            </w:r>
          </w:p>
        </w:tc>
        <w:tc>
          <w:tcPr>
            <w:tcW w:w="0" w:type="auto"/>
            <w:shd w:val="clear" w:color="auto" w:fill="CCEEFF"/>
            <w:tcMar>
              <w:top w:w="40" w:type="dxa"/>
              <w:bottom w:w="40" w:type="dxa"/>
              <w:right w:w="40" w:type="dxa"/>
            </w:tcMar>
            <w:vAlign w:val="center"/>
          </w:tcPr>
          <w:p w14:paraId="5556A6AA" w14:textId="77777777" w:rsidR="00F925DD" w:rsidRDefault="00E705D7">
            <w:pPr>
              <w:textAlignment w:val="center"/>
              <w:rPr>
                <w:rFonts w:ascii="Times New Roman" w:hAnsi="Times New Roman"/>
                <w:sz w:val="15"/>
                <w:szCs w:val="15"/>
              </w:rPr>
            </w:pPr>
            <w:r>
              <w:rPr>
                <w:rFonts w:ascii="Arial" w:eastAsia="宋体" w:hAnsi="Arial" w:cs="Arial"/>
                <w:b/>
                <w:bCs/>
                <w:sz w:val="15"/>
                <w:szCs w:val="15"/>
              </w:rPr>
              <w:t>%</w:t>
            </w:r>
          </w:p>
        </w:tc>
      </w:tr>
      <w:tr w:rsidR="00F925DD" w14:paraId="5556A6B8" w14:textId="77777777">
        <w:tc>
          <w:tcPr>
            <w:tcW w:w="0" w:type="auto"/>
            <w:gridSpan w:val="2"/>
            <w:shd w:val="clear" w:color="auto" w:fill="auto"/>
            <w:tcMar>
              <w:top w:w="40" w:type="dxa"/>
              <w:left w:w="240" w:type="dxa"/>
              <w:bottom w:w="40" w:type="dxa"/>
              <w:right w:w="40" w:type="dxa"/>
            </w:tcMar>
            <w:vAlign w:val="center"/>
          </w:tcPr>
          <w:p w14:paraId="5556A6AC" w14:textId="77777777" w:rsidR="00F925DD" w:rsidRDefault="00E705D7">
            <w:pPr>
              <w:textAlignment w:val="center"/>
              <w:rPr>
                <w:rFonts w:ascii="Times New Roman" w:hAnsi="Times New Roman"/>
                <w:sz w:val="15"/>
                <w:szCs w:val="15"/>
              </w:rPr>
            </w:pPr>
            <w:r>
              <w:rPr>
                <w:rFonts w:ascii="Arial" w:eastAsia="宋体" w:hAnsi="Arial" w:cs="Arial"/>
                <w:sz w:val="15"/>
                <w:szCs w:val="15"/>
              </w:rPr>
              <w:t>Supplemental leverage ratio</w:t>
            </w:r>
          </w:p>
        </w:tc>
        <w:tc>
          <w:tcPr>
            <w:tcW w:w="0" w:type="auto"/>
            <w:gridSpan w:val="2"/>
            <w:shd w:val="clear" w:color="auto" w:fill="auto"/>
            <w:tcMar>
              <w:top w:w="40" w:type="dxa"/>
              <w:left w:w="40" w:type="dxa"/>
              <w:bottom w:w="40" w:type="dxa"/>
            </w:tcMar>
            <w:vAlign w:val="center"/>
          </w:tcPr>
          <w:p w14:paraId="5556A6AD"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25,857</w:t>
            </w:r>
          </w:p>
        </w:tc>
        <w:tc>
          <w:tcPr>
            <w:tcW w:w="0" w:type="auto"/>
            <w:shd w:val="clear" w:color="auto" w:fill="auto"/>
            <w:vAlign w:val="bottom"/>
          </w:tcPr>
          <w:p w14:paraId="5556A6A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A6B0"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10.4</w:t>
            </w:r>
          </w:p>
        </w:tc>
        <w:tc>
          <w:tcPr>
            <w:tcW w:w="0" w:type="auto"/>
            <w:shd w:val="clear" w:color="auto" w:fill="auto"/>
            <w:vAlign w:val="bottom"/>
          </w:tcPr>
          <w:p w14:paraId="5556A6B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A6B3"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23,547</w:t>
            </w:r>
          </w:p>
        </w:tc>
        <w:tc>
          <w:tcPr>
            <w:tcW w:w="0" w:type="auto"/>
            <w:shd w:val="clear" w:color="auto" w:fill="auto"/>
            <w:vAlign w:val="bottom"/>
          </w:tcPr>
          <w:p w14:paraId="5556A6B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A6B6"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9.5</w:t>
            </w:r>
          </w:p>
        </w:tc>
        <w:tc>
          <w:tcPr>
            <w:tcW w:w="0" w:type="auto"/>
            <w:shd w:val="clear" w:color="auto" w:fill="auto"/>
            <w:vAlign w:val="bottom"/>
          </w:tcPr>
          <w:p w14:paraId="5556A6B7" w14:textId="77777777" w:rsidR="00F925DD" w:rsidRDefault="00F925DD">
            <w:pPr>
              <w:textAlignment w:val="bottom"/>
              <w:rPr>
                <w:rFonts w:ascii="Times New Roman" w:hAnsi="Times New Roman"/>
                <w:sz w:val="20"/>
                <w:szCs w:val="20"/>
              </w:rPr>
            </w:pPr>
          </w:p>
        </w:tc>
      </w:tr>
      <w:tr w:rsidR="00F925DD" w14:paraId="5556A6C5" w14:textId="77777777">
        <w:tc>
          <w:tcPr>
            <w:tcW w:w="0" w:type="auto"/>
            <w:gridSpan w:val="2"/>
            <w:shd w:val="clear" w:color="auto" w:fill="CCEEFF"/>
            <w:tcMar>
              <w:top w:w="40" w:type="dxa"/>
              <w:left w:w="40" w:type="dxa"/>
              <w:bottom w:w="40" w:type="dxa"/>
              <w:right w:w="40" w:type="dxa"/>
            </w:tcMar>
            <w:vAlign w:val="center"/>
          </w:tcPr>
          <w:p w14:paraId="5556A6B9" w14:textId="77777777" w:rsidR="00F925DD" w:rsidRDefault="00E705D7">
            <w:pPr>
              <w:textAlignment w:val="center"/>
              <w:rPr>
                <w:rFonts w:ascii="Times New Roman" w:hAnsi="Times New Roman"/>
                <w:sz w:val="15"/>
                <w:szCs w:val="15"/>
              </w:rPr>
            </w:pPr>
            <w:r>
              <w:rPr>
                <w:rFonts w:ascii="Arial" w:eastAsia="宋体" w:hAnsi="Arial" w:cs="Arial"/>
                <w:sz w:val="15"/>
                <w:szCs w:val="15"/>
              </w:rPr>
              <w:t>Long term debt:</w:t>
            </w:r>
          </w:p>
        </w:tc>
        <w:tc>
          <w:tcPr>
            <w:tcW w:w="0" w:type="auto"/>
            <w:gridSpan w:val="2"/>
            <w:shd w:val="clear" w:color="auto" w:fill="CCEEFF"/>
            <w:tcMar>
              <w:top w:w="40" w:type="dxa"/>
              <w:left w:w="40" w:type="dxa"/>
              <w:bottom w:w="40" w:type="dxa"/>
            </w:tcMar>
            <w:vAlign w:val="center"/>
          </w:tcPr>
          <w:p w14:paraId="5556A6BA" w14:textId="77777777" w:rsidR="00F925DD" w:rsidRDefault="00F925DD">
            <w:pPr>
              <w:jc w:val="right"/>
              <w:textAlignment w:val="center"/>
              <w:rPr>
                <w:rFonts w:ascii="Times New Roman" w:hAnsi="Times New Roman"/>
                <w:sz w:val="15"/>
                <w:szCs w:val="15"/>
              </w:rPr>
            </w:pPr>
          </w:p>
        </w:tc>
        <w:tc>
          <w:tcPr>
            <w:tcW w:w="0" w:type="auto"/>
            <w:shd w:val="clear" w:color="auto" w:fill="CCEEFF"/>
            <w:vAlign w:val="bottom"/>
          </w:tcPr>
          <w:p w14:paraId="5556A6B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A6BD" w14:textId="77777777" w:rsidR="00F925DD" w:rsidRDefault="00F925DD">
            <w:pPr>
              <w:jc w:val="right"/>
              <w:textAlignment w:val="center"/>
              <w:rPr>
                <w:rFonts w:ascii="Times New Roman" w:hAnsi="Times New Roman"/>
                <w:sz w:val="15"/>
                <w:szCs w:val="15"/>
              </w:rPr>
            </w:pPr>
          </w:p>
        </w:tc>
        <w:tc>
          <w:tcPr>
            <w:tcW w:w="0" w:type="auto"/>
            <w:shd w:val="clear" w:color="auto" w:fill="CCEEFF"/>
            <w:vAlign w:val="bottom"/>
          </w:tcPr>
          <w:p w14:paraId="5556A6B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A6C0" w14:textId="77777777" w:rsidR="00F925DD" w:rsidRDefault="00F925DD">
            <w:pPr>
              <w:jc w:val="right"/>
              <w:textAlignment w:val="center"/>
              <w:rPr>
                <w:rFonts w:ascii="Times New Roman" w:hAnsi="Times New Roman"/>
                <w:sz w:val="15"/>
                <w:szCs w:val="15"/>
              </w:rPr>
            </w:pPr>
          </w:p>
        </w:tc>
        <w:tc>
          <w:tcPr>
            <w:tcW w:w="0" w:type="auto"/>
            <w:shd w:val="clear" w:color="auto" w:fill="CCEEFF"/>
            <w:vAlign w:val="bottom"/>
          </w:tcPr>
          <w:p w14:paraId="5556A6C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A6C3" w14:textId="77777777" w:rsidR="00F925DD" w:rsidRDefault="00F925DD">
            <w:pPr>
              <w:jc w:val="right"/>
              <w:textAlignment w:val="center"/>
              <w:rPr>
                <w:rFonts w:ascii="Times New Roman" w:hAnsi="Times New Roman"/>
                <w:sz w:val="15"/>
                <w:szCs w:val="15"/>
              </w:rPr>
            </w:pPr>
          </w:p>
        </w:tc>
        <w:tc>
          <w:tcPr>
            <w:tcW w:w="0" w:type="auto"/>
            <w:shd w:val="clear" w:color="auto" w:fill="CCEEFF"/>
            <w:vAlign w:val="bottom"/>
          </w:tcPr>
          <w:p w14:paraId="5556A6C4" w14:textId="77777777" w:rsidR="00F925DD" w:rsidRDefault="00F925DD">
            <w:pPr>
              <w:textAlignment w:val="bottom"/>
              <w:rPr>
                <w:rFonts w:ascii="Times New Roman" w:hAnsi="Times New Roman"/>
                <w:sz w:val="20"/>
                <w:szCs w:val="20"/>
              </w:rPr>
            </w:pPr>
          </w:p>
        </w:tc>
      </w:tr>
      <w:tr w:rsidR="00F925DD" w14:paraId="5556A6D2" w14:textId="77777777">
        <w:tc>
          <w:tcPr>
            <w:tcW w:w="0" w:type="auto"/>
            <w:gridSpan w:val="2"/>
            <w:shd w:val="clear" w:color="auto" w:fill="auto"/>
            <w:tcMar>
              <w:top w:w="40" w:type="dxa"/>
              <w:left w:w="240" w:type="dxa"/>
              <w:bottom w:w="40" w:type="dxa"/>
              <w:right w:w="40" w:type="dxa"/>
            </w:tcMar>
            <w:vAlign w:val="center"/>
          </w:tcPr>
          <w:p w14:paraId="5556A6C6" w14:textId="77777777" w:rsidR="00F925DD" w:rsidRDefault="00E705D7">
            <w:pPr>
              <w:textAlignment w:val="center"/>
              <w:rPr>
                <w:rFonts w:ascii="Times New Roman" w:hAnsi="Times New Roman"/>
                <w:sz w:val="15"/>
                <w:szCs w:val="15"/>
              </w:rPr>
            </w:pPr>
            <w:r>
              <w:rPr>
                <w:rFonts w:ascii="Arial" w:eastAsia="宋体" w:hAnsi="Arial" w:cs="Arial"/>
                <w:sz w:val="15"/>
                <w:szCs w:val="15"/>
              </w:rPr>
              <w:t>Risk-weighted assets</w:t>
            </w:r>
          </w:p>
        </w:tc>
        <w:tc>
          <w:tcPr>
            <w:tcW w:w="0" w:type="auto"/>
            <w:gridSpan w:val="2"/>
            <w:shd w:val="clear" w:color="auto" w:fill="auto"/>
            <w:tcMar>
              <w:top w:w="40" w:type="dxa"/>
              <w:left w:w="40" w:type="dxa"/>
              <w:bottom w:w="40" w:type="dxa"/>
            </w:tcMar>
            <w:vAlign w:val="center"/>
          </w:tcPr>
          <w:p w14:paraId="5556A6C7"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9,936</w:t>
            </w:r>
          </w:p>
        </w:tc>
        <w:tc>
          <w:tcPr>
            <w:tcW w:w="0" w:type="auto"/>
            <w:shd w:val="clear" w:color="auto" w:fill="auto"/>
            <w:vAlign w:val="bottom"/>
          </w:tcPr>
          <w:p w14:paraId="5556A6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A6CA"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9.5</w:t>
            </w:r>
          </w:p>
        </w:tc>
        <w:tc>
          <w:tcPr>
            <w:tcW w:w="0" w:type="auto"/>
            <w:shd w:val="clear" w:color="auto" w:fill="auto"/>
            <w:vAlign w:val="bottom"/>
          </w:tcPr>
          <w:p w14:paraId="5556A6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A6CD"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7,827</w:t>
            </w:r>
          </w:p>
        </w:tc>
        <w:tc>
          <w:tcPr>
            <w:tcW w:w="0" w:type="auto"/>
            <w:shd w:val="clear" w:color="auto" w:fill="auto"/>
            <w:vAlign w:val="bottom"/>
          </w:tcPr>
          <w:p w14:paraId="5556A6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6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A6D0"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7.5</w:t>
            </w:r>
          </w:p>
        </w:tc>
        <w:tc>
          <w:tcPr>
            <w:tcW w:w="0" w:type="auto"/>
            <w:shd w:val="clear" w:color="auto" w:fill="auto"/>
            <w:vAlign w:val="bottom"/>
          </w:tcPr>
          <w:p w14:paraId="5556A6D1" w14:textId="77777777" w:rsidR="00F925DD" w:rsidRDefault="00F925DD">
            <w:pPr>
              <w:textAlignment w:val="bottom"/>
              <w:rPr>
                <w:rFonts w:ascii="Times New Roman" w:hAnsi="Times New Roman"/>
                <w:sz w:val="20"/>
                <w:szCs w:val="20"/>
              </w:rPr>
            </w:pPr>
          </w:p>
        </w:tc>
      </w:tr>
      <w:tr w:rsidR="00F925DD" w14:paraId="5556A6DF" w14:textId="77777777">
        <w:tc>
          <w:tcPr>
            <w:tcW w:w="0" w:type="auto"/>
            <w:gridSpan w:val="2"/>
            <w:shd w:val="clear" w:color="auto" w:fill="CCEEFF"/>
            <w:tcMar>
              <w:top w:w="40" w:type="dxa"/>
              <w:left w:w="240" w:type="dxa"/>
              <w:bottom w:w="40" w:type="dxa"/>
              <w:right w:w="40" w:type="dxa"/>
            </w:tcMar>
            <w:vAlign w:val="center"/>
          </w:tcPr>
          <w:p w14:paraId="5556A6D3" w14:textId="77777777" w:rsidR="00F925DD" w:rsidRDefault="00E705D7">
            <w:pPr>
              <w:textAlignment w:val="center"/>
              <w:rPr>
                <w:rFonts w:ascii="Times New Roman" w:hAnsi="Times New Roman"/>
                <w:sz w:val="15"/>
                <w:szCs w:val="15"/>
              </w:rPr>
            </w:pPr>
            <w:r>
              <w:rPr>
                <w:rFonts w:ascii="Arial" w:eastAsia="宋体" w:hAnsi="Arial" w:cs="Arial"/>
                <w:sz w:val="15"/>
                <w:szCs w:val="15"/>
              </w:rPr>
              <w:t>Supplemental leverage ratio</w:t>
            </w:r>
          </w:p>
        </w:tc>
        <w:tc>
          <w:tcPr>
            <w:tcW w:w="0" w:type="auto"/>
            <w:gridSpan w:val="2"/>
            <w:shd w:val="clear" w:color="auto" w:fill="CCEEFF"/>
            <w:tcMar>
              <w:top w:w="40" w:type="dxa"/>
              <w:left w:w="40" w:type="dxa"/>
              <w:bottom w:w="40" w:type="dxa"/>
            </w:tcMar>
            <w:vAlign w:val="center"/>
          </w:tcPr>
          <w:p w14:paraId="5556A6D4"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9,936</w:t>
            </w:r>
          </w:p>
        </w:tc>
        <w:tc>
          <w:tcPr>
            <w:tcW w:w="0" w:type="auto"/>
            <w:shd w:val="clear" w:color="auto" w:fill="CCEEFF"/>
            <w:vAlign w:val="bottom"/>
          </w:tcPr>
          <w:p w14:paraId="5556A6D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A6D7"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4.0</w:t>
            </w:r>
          </w:p>
        </w:tc>
        <w:tc>
          <w:tcPr>
            <w:tcW w:w="0" w:type="auto"/>
            <w:shd w:val="clear" w:color="auto" w:fill="CCEEFF"/>
            <w:vAlign w:val="bottom"/>
          </w:tcPr>
          <w:p w14:paraId="5556A6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A6DA"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11,154</w:t>
            </w:r>
          </w:p>
        </w:tc>
        <w:tc>
          <w:tcPr>
            <w:tcW w:w="0" w:type="auto"/>
            <w:shd w:val="clear" w:color="auto" w:fill="CCEEFF"/>
            <w:vAlign w:val="bottom"/>
          </w:tcPr>
          <w:p w14:paraId="5556A6D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6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A6DD" w14:textId="77777777" w:rsidR="00F925DD" w:rsidRDefault="00E705D7">
            <w:pPr>
              <w:jc w:val="right"/>
              <w:textAlignment w:val="center"/>
              <w:rPr>
                <w:rFonts w:ascii="Times New Roman" w:hAnsi="Times New Roman"/>
                <w:sz w:val="15"/>
                <w:szCs w:val="15"/>
              </w:rPr>
            </w:pPr>
            <w:r>
              <w:rPr>
                <w:rFonts w:ascii="Arial" w:eastAsia="宋体" w:hAnsi="Arial" w:cs="Arial"/>
                <w:b/>
                <w:bCs/>
                <w:sz w:val="15"/>
                <w:szCs w:val="15"/>
              </w:rPr>
              <w:t>4.5</w:t>
            </w:r>
          </w:p>
        </w:tc>
        <w:tc>
          <w:tcPr>
            <w:tcW w:w="0" w:type="auto"/>
            <w:shd w:val="clear" w:color="auto" w:fill="CCEEFF"/>
            <w:vAlign w:val="bottom"/>
          </w:tcPr>
          <w:p w14:paraId="5556A6DE" w14:textId="77777777" w:rsidR="00F925DD" w:rsidRDefault="00F925DD">
            <w:pPr>
              <w:textAlignment w:val="bottom"/>
              <w:rPr>
                <w:rFonts w:ascii="Times New Roman" w:hAnsi="Times New Roman"/>
                <w:sz w:val="20"/>
                <w:szCs w:val="20"/>
              </w:rPr>
            </w:pPr>
          </w:p>
        </w:tc>
      </w:tr>
    </w:tbl>
    <w:p w14:paraId="5556A6E0" w14:textId="77777777" w:rsidR="00F925DD" w:rsidRDefault="00F925DD">
      <w:pPr>
        <w:rPr>
          <w:vanish/>
        </w:rPr>
      </w:pPr>
    </w:p>
    <w:tbl>
      <w:tblPr>
        <w:tblW w:w="4990" w:type="pct"/>
        <w:tblCellMar>
          <w:left w:w="0" w:type="dxa"/>
          <w:right w:w="0" w:type="dxa"/>
        </w:tblCellMar>
        <w:tblLook w:val="04A0" w:firstRow="1" w:lastRow="0" w:firstColumn="1" w:lastColumn="0" w:noHBand="0" w:noVBand="1"/>
      </w:tblPr>
      <w:tblGrid>
        <w:gridCol w:w="4890"/>
        <w:gridCol w:w="829"/>
        <w:gridCol w:w="912"/>
        <w:gridCol w:w="1658"/>
      </w:tblGrid>
      <w:tr w:rsidR="00F925DD" w14:paraId="5556A6E2" w14:textId="77777777">
        <w:tc>
          <w:tcPr>
            <w:tcW w:w="0" w:type="auto"/>
            <w:gridSpan w:val="4"/>
            <w:shd w:val="clear" w:color="auto" w:fill="auto"/>
            <w:vAlign w:val="center"/>
          </w:tcPr>
          <w:p w14:paraId="5556A6E1" w14:textId="77777777" w:rsidR="00F925DD" w:rsidRDefault="00F925DD">
            <w:pPr>
              <w:rPr>
                <w:rFonts w:ascii="Times New Roman" w:hAnsi="Times New Roman"/>
                <w:sz w:val="20"/>
                <w:szCs w:val="20"/>
              </w:rPr>
            </w:pPr>
          </w:p>
        </w:tc>
      </w:tr>
      <w:tr w:rsidR="00F925DD" w14:paraId="5556A6E7" w14:textId="77777777">
        <w:tc>
          <w:tcPr>
            <w:tcW w:w="2950" w:type="pct"/>
            <w:shd w:val="clear" w:color="auto" w:fill="auto"/>
            <w:vAlign w:val="center"/>
          </w:tcPr>
          <w:p w14:paraId="5556A6E3" w14:textId="77777777" w:rsidR="00F925DD" w:rsidRDefault="00F925DD">
            <w:pPr>
              <w:rPr>
                <w:rFonts w:ascii="Times New Roman" w:hAnsi="Times New Roman"/>
                <w:sz w:val="20"/>
                <w:szCs w:val="20"/>
              </w:rPr>
            </w:pPr>
          </w:p>
        </w:tc>
        <w:tc>
          <w:tcPr>
            <w:tcW w:w="500" w:type="pct"/>
            <w:shd w:val="clear" w:color="auto" w:fill="auto"/>
            <w:vAlign w:val="center"/>
          </w:tcPr>
          <w:p w14:paraId="5556A6E4" w14:textId="77777777" w:rsidR="00F925DD" w:rsidRDefault="00F925DD">
            <w:pPr>
              <w:rPr>
                <w:rFonts w:ascii="Times New Roman" w:hAnsi="Times New Roman"/>
                <w:sz w:val="20"/>
                <w:szCs w:val="20"/>
              </w:rPr>
            </w:pPr>
          </w:p>
        </w:tc>
        <w:tc>
          <w:tcPr>
            <w:tcW w:w="550" w:type="pct"/>
            <w:shd w:val="clear" w:color="auto" w:fill="auto"/>
            <w:vAlign w:val="center"/>
          </w:tcPr>
          <w:p w14:paraId="5556A6E5" w14:textId="77777777" w:rsidR="00F925DD" w:rsidRDefault="00F925DD">
            <w:pPr>
              <w:rPr>
                <w:rFonts w:ascii="Times New Roman" w:hAnsi="Times New Roman"/>
                <w:sz w:val="20"/>
                <w:szCs w:val="20"/>
              </w:rPr>
            </w:pPr>
          </w:p>
        </w:tc>
        <w:tc>
          <w:tcPr>
            <w:tcW w:w="1000" w:type="pct"/>
            <w:shd w:val="clear" w:color="auto" w:fill="auto"/>
            <w:vAlign w:val="center"/>
          </w:tcPr>
          <w:p w14:paraId="5556A6E6" w14:textId="77777777" w:rsidR="00F925DD" w:rsidRDefault="00F925DD">
            <w:pPr>
              <w:rPr>
                <w:rFonts w:ascii="Times New Roman" w:hAnsi="Times New Roman"/>
                <w:sz w:val="20"/>
                <w:szCs w:val="20"/>
              </w:rPr>
            </w:pPr>
          </w:p>
        </w:tc>
      </w:tr>
      <w:tr w:rsidR="00F925DD" w14:paraId="5556A6E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A6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6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6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6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A6ED" w14:textId="77777777" w:rsidR="00F925DD" w:rsidRDefault="00E705D7">
      <w:pPr>
        <w:spacing w:line="288" w:lineRule="auto"/>
        <w:jc w:val="both"/>
        <w:rPr>
          <w:rFonts w:ascii="Times New Roman" w:hAnsi="Times New Roman"/>
          <w:sz w:val="20"/>
          <w:szCs w:val="20"/>
        </w:rPr>
      </w:pPr>
      <w:r>
        <w:rPr>
          <w:rFonts w:ascii="Arial" w:eastAsia="宋体" w:hAnsi="Arial" w:cs="Arial"/>
          <w:sz w:val="13"/>
          <w:szCs w:val="13"/>
        </w:rPr>
        <w:t xml:space="preserve">(1) We requested and received from the Federal Reserve, an extension from January 1, 2019 to April 1, 2020, for </w:t>
      </w:r>
      <w:r>
        <w:rPr>
          <w:rFonts w:ascii="Arial" w:eastAsia="宋体" w:hAnsi="Arial" w:cs="Arial"/>
          <w:sz w:val="13"/>
          <w:szCs w:val="13"/>
        </w:rPr>
        <w:t>compliance with the LTD SLR requirements of the rule.</w:t>
      </w:r>
    </w:p>
    <w:p w14:paraId="5556A6E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TLAC is provided under "Total Loss-Absorbing Capacity" in "Supervision and Regulation" in Business in this Form 10-K.</w:t>
      </w:r>
    </w:p>
    <w:p w14:paraId="5556A6EF"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Regulatory Developments</w:t>
      </w:r>
    </w:p>
    <w:p w14:paraId="5556A6F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April 2018, the Federal Reserve Board (FRB) issued a proposed rule which would replace the current 2.0% SLR buffer for G-SIBs, with a buffer equal to 50% of their G-SIB surcharge. This proposal would also make conforming modifications to our TLAC and el</w:t>
      </w:r>
      <w:r>
        <w:rPr>
          <w:rFonts w:ascii="Arial" w:eastAsia="宋体" w:hAnsi="Arial" w:cs="Arial"/>
          <w:sz w:val="20"/>
          <w:szCs w:val="20"/>
        </w:rPr>
        <w:t xml:space="preserve">igible LTD requirements applicable to G-SIBs. </w:t>
      </w:r>
    </w:p>
    <w:p w14:paraId="5556A6F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the FRB has issued a separate proposed rule replacing the current 2.5% capital conservation buffer with a firm specific buffer (referred to as the Stress Capital Buffer (SCB)), updated annually an</w:t>
      </w:r>
      <w:r>
        <w:rPr>
          <w:rFonts w:ascii="Arial" w:eastAsia="宋体" w:hAnsi="Arial" w:cs="Arial"/>
          <w:sz w:val="20"/>
          <w:szCs w:val="20"/>
        </w:rPr>
        <w:t xml:space="preserve">d tailored to reflect the results of the most recent Federal Reserve’s CCAR supervisory severely adverse scenario stress test. The proposal also introduces a Stress Leverage Buffer (SLB) applicable to the tier 1 leverage ratio. Changes to the final rules, </w:t>
      </w:r>
      <w:r>
        <w:rPr>
          <w:rFonts w:ascii="Arial" w:eastAsia="宋体" w:hAnsi="Arial" w:cs="Arial"/>
          <w:sz w:val="20"/>
          <w:szCs w:val="20"/>
        </w:rPr>
        <w:t xml:space="preserve">if and when proposed, may be material and the application of the proposed rule involves estimates which cannot reasonably be made at the present time. Consequently, we have not estimated the impact of the proposed rule. </w:t>
      </w:r>
    </w:p>
    <w:p w14:paraId="5556A6F2" w14:textId="77777777" w:rsidR="00F925DD" w:rsidRDefault="00F925DD">
      <w:pPr>
        <w:rPr>
          <w:rFonts w:ascii="Times New Roman" w:hAnsi="Times New Roman"/>
          <w:sz w:val="20"/>
          <w:szCs w:val="20"/>
        </w:rPr>
      </w:pPr>
    </w:p>
    <w:p w14:paraId="5556A6F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112</w:t>
      </w:r>
    </w:p>
    <w:p w14:paraId="5556A6F4" w14:textId="77777777" w:rsidR="00F925DD" w:rsidRDefault="00F925DD">
      <w:pPr>
        <w:spacing w:line="288" w:lineRule="auto"/>
        <w:ind w:firstLine="600"/>
        <w:jc w:val="center"/>
        <w:rPr>
          <w:rFonts w:ascii="Times New Roman" w:hAnsi="Times New Roman"/>
          <w:sz w:val="18"/>
          <w:szCs w:val="18"/>
        </w:rPr>
      </w:pPr>
    </w:p>
    <w:p w14:paraId="5556A6F5" w14:textId="77777777" w:rsidR="00F925DD" w:rsidRDefault="00E705D7">
      <w:r>
        <w:rPr>
          <w:rFonts w:ascii="Times New Roman" w:hAnsi="Times New Roman"/>
          <w:sz w:val="18"/>
          <w:szCs w:val="18"/>
        </w:rPr>
        <w:pict w14:anchorId="555706AA">
          <v:rect id="_x0000_i1136" style="width:415.3pt;height:1.5pt" o:hralign="center" o:hrstd="t" o:hr="t" fillcolor="#a0a0a0" stroked="f"/>
        </w:pict>
      </w:r>
    </w:p>
    <w:p w14:paraId="5556A6F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A6F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A6F8" w14:textId="77777777" w:rsidR="00F925DD" w:rsidRDefault="00F925DD">
      <w:pPr>
        <w:rPr>
          <w:rFonts w:ascii="Times New Roman" w:hAnsi="Times New Roman"/>
          <w:sz w:val="20"/>
          <w:szCs w:val="20"/>
        </w:rPr>
      </w:pPr>
    </w:p>
    <w:p w14:paraId="5556A6F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November 2019, the Federal Reserve and the other U.S. federal banking agencies adopted a final rule that establishes a deduction for central bank deposits from a cust</w:t>
      </w:r>
      <w:r>
        <w:rPr>
          <w:rFonts w:ascii="Arial" w:eastAsia="宋体" w:hAnsi="Arial" w:cs="Arial"/>
          <w:sz w:val="20"/>
          <w:szCs w:val="20"/>
        </w:rPr>
        <w:t>odial banking organization’s total leverage exposure equal to the lesser of (i) the total amount of funds the custodial banking organization and its consolidated subsidiaries have on deposit at qualifying central banks and (ii) the total amount of client f</w:t>
      </w:r>
      <w:r>
        <w:rPr>
          <w:rFonts w:ascii="Arial" w:eastAsia="宋体" w:hAnsi="Arial" w:cs="Arial"/>
          <w:sz w:val="20"/>
          <w:szCs w:val="20"/>
        </w:rPr>
        <w:t>unds on deposit at the custodial banking organization that are linked to fiduciary or custodial and safekeeping accounts. The rule becomes effective on April 1, 2020. In the quarter ended December 31, 2019, we estimated $48.87 billion of average balances h</w:t>
      </w:r>
      <w:r>
        <w:rPr>
          <w:rFonts w:ascii="Arial" w:eastAsia="宋体" w:hAnsi="Arial" w:cs="Arial"/>
          <w:sz w:val="20"/>
          <w:szCs w:val="20"/>
        </w:rPr>
        <w:t>eld on deposit at central banks will be excluded from the SLR denominator under our interpretation of the rule, which would impact the SLR by approximately 150 bps. The TLAC and LTD that State Street is required to hold as calculated under the current requ</w:t>
      </w:r>
      <w:r>
        <w:rPr>
          <w:rFonts w:ascii="Arial" w:eastAsia="宋体" w:hAnsi="Arial" w:cs="Arial"/>
          <w:sz w:val="20"/>
          <w:szCs w:val="20"/>
        </w:rPr>
        <w:t>irements will also be reduced as a consequence of the rule</w:t>
      </w:r>
      <w:r>
        <w:rPr>
          <w:rFonts w:ascii="Times New Roman" w:eastAsia="宋体" w:hAnsi="Times New Roman"/>
          <w:sz w:val="20"/>
          <w:szCs w:val="20"/>
        </w:rPr>
        <w:t>.</w:t>
      </w:r>
    </w:p>
    <w:p w14:paraId="5556A6F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Also in November 2019, the Federal Reserve and other US federal banking agencies issued a final rule for the Standardized Approach to Counterparty Credit Risk. This change would replace the curren</w:t>
      </w:r>
      <w:r>
        <w:rPr>
          <w:rFonts w:ascii="Arial" w:eastAsia="宋体" w:hAnsi="Arial" w:cs="Arial"/>
          <w:sz w:val="20"/>
          <w:szCs w:val="20"/>
        </w:rPr>
        <w:t>t exposure method for calculating EAD for over-the-counter derivatives with a new approach. Our over-the-counter derivatives exposures would be subject to this new methodology. We have not estimated the impact of the final rule as its expected effective da</w:t>
      </w:r>
      <w:r>
        <w:rPr>
          <w:rFonts w:ascii="Arial" w:eastAsia="宋体" w:hAnsi="Arial" w:cs="Arial"/>
          <w:sz w:val="20"/>
          <w:szCs w:val="20"/>
        </w:rPr>
        <w:t xml:space="preserve">te is in 2022 and is expected to be accompanied by other revisions to the Basel III regime. </w:t>
      </w:r>
    </w:p>
    <w:p w14:paraId="5556A6F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For additional information about regulatory developments, refer to the "Regulatory Capital Adequacy and Liquidity Standards" section of "Supervision and Regulation" in Business in this Form 10-K. </w:t>
      </w:r>
    </w:p>
    <w:p w14:paraId="5556A6FC"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Capital Actions</w:t>
      </w:r>
    </w:p>
    <w:p w14:paraId="5556A6FD" w14:textId="77777777" w:rsidR="00F925DD" w:rsidRDefault="00E705D7">
      <w:pPr>
        <w:spacing w:line="288" w:lineRule="auto"/>
        <w:rPr>
          <w:rFonts w:ascii="Times New Roman" w:hAnsi="Times New Roman"/>
          <w:sz w:val="20"/>
          <w:szCs w:val="20"/>
        </w:rPr>
      </w:pPr>
      <w:r>
        <w:rPr>
          <w:rFonts w:ascii="Arial" w:eastAsia="宋体" w:hAnsi="Arial" w:cs="Arial"/>
          <w:i/>
          <w:iCs/>
          <w:sz w:val="20"/>
          <w:szCs w:val="20"/>
        </w:rPr>
        <w:t>Preferred Stock</w:t>
      </w:r>
    </w:p>
    <w:p w14:paraId="5556A6F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summari</w:t>
      </w:r>
      <w:r>
        <w:rPr>
          <w:rFonts w:ascii="Arial" w:eastAsia="宋体" w:hAnsi="Arial" w:cs="Arial"/>
          <w:sz w:val="20"/>
          <w:szCs w:val="20"/>
        </w:rPr>
        <w:t>zes selected terms of each of the series of the preferred stock issued and outstanding as of December 31, 2019:</w:t>
      </w:r>
    </w:p>
    <w:tbl>
      <w:tblPr>
        <w:tblW w:w="5000" w:type="pct"/>
        <w:tblCellMar>
          <w:left w:w="0" w:type="dxa"/>
          <w:right w:w="0" w:type="dxa"/>
        </w:tblCellMar>
        <w:tblLook w:val="04A0" w:firstRow="1" w:lastRow="0" w:firstColumn="1" w:lastColumn="0" w:noHBand="0" w:noVBand="1"/>
      </w:tblPr>
      <w:tblGrid>
        <w:gridCol w:w="549"/>
        <w:gridCol w:w="596"/>
        <w:gridCol w:w="120"/>
        <w:gridCol w:w="624"/>
        <w:gridCol w:w="120"/>
        <w:gridCol w:w="108"/>
        <w:gridCol w:w="519"/>
        <w:gridCol w:w="74"/>
        <w:gridCol w:w="120"/>
        <w:gridCol w:w="624"/>
        <w:gridCol w:w="120"/>
        <w:gridCol w:w="108"/>
        <w:gridCol w:w="492"/>
        <w:gridCol w:w="70"/>
        <w:gridCol w:w="120"/>
        <w:gridCol w:w="108"/>
        <w:gridCol w:w="474"/>
        <w:gridCol w:w="78"/>
        <w:gridCol w:w="120"/>
        <w:gridCol w:w="647"/>
        <w:gridCol w:w="120"/>
        <w:gridCol w:w="776"/>
        <w:gridCol w:w="120"/>
        <w:gridCol w:w="108"/>
        <w:gridCol w:w="430"/>
        <w:gridCol w:w="71"/>
        <w:gridCol w:w="120"/>
        <w:gridCol w:w="770"/>
      </w:tblGrid>
      <w:tr w:rsidR="00F925DD" w14:paraId="5556A700" w14:textId="77777777">
        <w:tc>
          <w:tcPr>
            <w:tcW w:w="0" w:type="auto"/>
            <w:gridSpan w:val="28"/>
            <w:shd w:val="clear" w:color="auto" w:fill="auto"/>
            <w:vAlign w:val="center"/>
          </w:tcPr>
          <w:p w14:paraId="5556A6FF" w14:textId="77777777" w:rsidR="00F925DD" w:rsidRDefault="00F925DD">
            <w:pPr>
              <w:rPr>
                <w:rFonts w:ascii="Times New Roman" w:hAnsi="Times New Roman"/>
                <w:sz w:val="20"/>
                <w:szCs w:val="20"/>
              </w:rPr>
            </w:pPr>
          </w:p>
        </w:tc>
      </w:tr>
      <w:tr w:rsidR="00F925DD" w14:paraId="5556A71D" w14:textId="77777777">
        <w:tc>
          <w:tcPr>
            <w:tcW w:w="200" w:type="pct"/>
            <w:shd w:val="clear" w:color="auto" w:fill="auto"/>
            <w:vAlign w:val="center"/>
          </w:tcPr>
          <w:p w14:paraId="5556A701" w14:textId="77777777" w:rsidR="00F925DD" w:rsidRDefault="00F925DD">
            <w:pPr>
              <w:rPr>
                <w:rFonts w:ascii="Times New Roman" w:hAnsi="Times New Roman"/>
                <w:sz w:val="20"/>
                <w:szCs w:val="20"/>
              </w:rPr>
            </w:pPr>
          </w:p>
        </w:tc>
        <w:tc>
          <w:tcPr>
            <w:tcW w:w="400" w:type="pct"/>
            <w:shd w:val="clear" w:color="auto" w:fill="auto"/>
            <w:vAlign w:val="center"/>
          </w:tcPr>
          <w:p w14:paraId="5556A702" w14:textId="77777777" w:rsidR="00F925DD" w:rsidRDefault="00F925DD">
            <w:pPr>
              <w:rPr>
                <w:rFonts w:ascii="Times New Roman" w:hAnsi="Times New Roman"/>
                <w:sz w:val="20"/>
                <w:szCs w:val="20"/>
              </w:rPr>
            </w:pPr>
          </w:p>
        </w:tc>
        <w:tc>
          <w:tcPr>
            <w:tcW w:w="50" w:type="pct"/>
            <w:shd w:val="clear" w:color="auto" w:fill="auto"/>
            <w:vAlign w:val="center"/>
          </w:tcPr>
          <w:p w14:paraId="5556A703" w14:textId="77777777" w:rsidR="00F925DD" w:rsidRDefault="00F925DD">
            <w:pPr>
              <w:rPr>
                <w:rFonts w:ascii="Times New Roman" w:hAnsi="Times New Roman"/>
                <w:sz w:val="20"/>
                <w:szCs w:val="20"/>
              </w:rPr>
            </w:pPr>
          </w:p>
        </w:tc>
        <w:tc>
          <w:tcPr>
            <w:tcW w:w="400" w:type="pct"/>
            <w:shd w:val="clear" w:color="auto" w:fill="auto"/>
            <w:vAlign w:val="center"/>
          </w:tcPr>
          <w:p w14:paraId="5556A704" w14:textId="77777777" w:rsidR="00F925DD" w:rsidRDefault="00F925DD">
            <w:pPr>
              <w:rPr>
                <w:rFonts w:ascii="Times New Roman" w:hAnsi="Times New Roman"/>
                <w:sz w:val="20"/>
                <w:szCs w:val="20"/>
              </w:rPr>
            </w:pPr>
          </w:p>
        </w:tc>
        <w:tc>
          <w:tcPr>
            <w:tcW w:w="50" w:type="pct"/>
            <w:shd w:val="clear" w:color="auto" w:fill="auto"/>
            <w:vAlign w:val="center"/>
          </w:tcPr>
          <w:p w14:paraId="5556A705" w14:textId="77777777" w:rsidR="00F925DD" w:rsidRDefault="00F925DD">
            <w:pPr>
              <w:rPr>
                <w:rFonts w:ascii="Times New Roman" w:hAnsi="Times New Roman"/>
                <w:sz w:val="20"/>
                <w:szCs w:val="20"/>
              </w:rPr>
            </w:pPr>
          </w:p>
        </w:tc>
        <w:tc>
          <w:tcPr>
            <w:tcW w:w="50" w:type="pct"/>
            <w:shd w:val="clear" w:color="auto" w:fill="auto"/>
            <w:vAlign w:val="center"/>
          </w:tcPr>
          <w:p w14:paraId="5556A706" w14:textId="77777777" w:rsidR="00F925DD" w:rsidRDefault="00F925DD">
            <w:pPr>
              <w:rPr>
                <w:rFonts w:ascii="Times New Roman" w:hAnsi="Times New Roman"/>
                <w:sz w:val="20"/>
                <w:szCs w:val="20"/>
              </w:rPr>
            </w:pPr>
          </w:p>
        </w:tc>
        <w:tc>
          <w:tcPr>
            <w:tcW w:w="350" w:type="pct"/>
            <w:shd w:val="clear" w:color="auto" w:fill="auto"/>
            <w:vAlign w:val="center"/>
          </w:tcPr>
          <w:p w14:paraId="5556A707" w14:textId="77777777" w:rsidR="00F925DD" w:rsidRDefault="00F925DD">
            <w:pPr>
              <w:rPr>
                <w:rFonts w:ascii="Times New Roman" w:hAnsi="Times New Roman"/>
                <w:sz w:val="20"/>
                <w:szCs w:val="20"/>
              </w:rPr>
            </w:pPr>
          </w:p>
        </w:tc>
        <w:tc>
          <w:tcPr>
            <w:tcW w:w="50" w:type="pct"/>
            <w:shd w:val="clear" w:color="auto" w:fill="auto"/>
            <w:vAlign w:val="center"/>
          </w:tcPr>
          <w:p w14:paraId="5556A708" w14:textId="77777777" w:rsidR="00F925DD" w:rsidRDefault="00F925DD">
            <w:pPr>
              <w:rPr>
                <w:rFonts w:ascii="Times New Roman" w:hAnsi="Times New Roman"/>
                <w:sz w:val="20"/>
                <w:szCs w:val="20"/>
              </w:rPr>
            </w:pPr>
          </w:p>
        </w:tc>
        <w:tc>
          <w:tcPr>
            <w:tcW w:w="50" w:type="pct"/>
            <w:shd w:val="clear" w:color="auto" w:fill="auto"/>
            <w:vAlign w:val="center"/>
          </w:tcPr>
          <w:p w14:paraId="5556A709" w14:textId="77777777" w:rsidR="00F925DD" w:rsidRDefault="00F925DD">
            <w:pPr>
              <w:rPr>
                <w:rFonts w:ascii="Times New Roman" w:hAnsi="Times New Roman"/>
                <w:sz w:val="20"/>
                <w:szCs w:val="20"/>
              </w:rPr>
            </w:pPr>
          </w:p>
        </w:tc>
        <w:tc>
          <w:tcPr>
            <w:tcW w:w="400" w:type="pct"/>
            <w:shd w:val="clear" w:color="auto" w:fill="auto"/>
            <w:vAlign w:val="center"/>
          </w:tcPr>
          <w:p w14:paraId="5556A70A" w14:textId="77777777" w:rsidR="00F925DD" w:rsidRDefault="00F925DD">
            <w:pPr>
              <w:rPr>
                <w:rFonts w:ascii="Times New Roman" w:hAnsi="Times New Roman"/>
                <w:sz w:val="20"/>
                <w:szCs w:val="20"/>
              </w:rPr>
            </w:pPr>
          </w:p>
        </w:tc>
        <w:tc>
          <w:tcPr>
            <w:tcW w:w="50" w:type="pct"/>
            <w:shd w:val="clear" w:color="auto" w:fill="auto"/>
            <w:vAlign w:val="center"/>
          </w:tcPr>
          <w:p w14:paraId="5556A70B" w14:textId="77777777" w:rsidR="00F925DD" w:rsidRDefault="00F925DD">
            <w:pPr>
              <w:rPr>
                <w:rFonts w:ascii="Times New Roman" w:hAnsi="Times New Roman"/>
                <w:sz w:val="20"/>
                <w:szCs w:val="20"/>
              </w:rPr>
            </w:pPr>
          </w:p>
        </w:tc>
        <w:tc>
          <w:tcPr>
            <w:tcW w:w="50" w:type="pct"/>
            <w:shd w:val="clear" w:color="auto" w:fill="auto"/>
            <w:vAlign w:val="center"/>
          </w:tcPr>
          <w:p w14:paraId="5556A70C" w14:textId="77777777" w:rsidR="00F925DD" w:rsidRDefault="00F925DD">
            <w:pPr>
              <w:rPr>
                <w:rFonts w:ascii="Times New Roman" w:hAnsi="Times New Roman"/>
                <w:sz w:val="20"/>
                <w:szCs w:val="20"/>
              </w:rPr>
            </w:pPr>
          </w:p>
        </w:tc>
        <w:tc>
          <w:tcPr>
            <w:tcW w:w="350" w:type="pct"/>
            <w:shd w:val="clear" w:color="auto" w:fill="auto"/>
            <w:vAlign w:val="center"/>
          </w:tcPr>
          <w:p w14:paraId="5556A70D" w14:textId="77777777" w:rsidR="00F925DD" w:rsidRDefault="00F925DD">
            <w:pPr>
              <w:rPr>
                <w:rFonts w:ascii="Times New Roman" w:hAnsi="Times New Roman"/>
                <w:sz w:val="20"/>
                <w:szCs w:val="20"/>
              </w:rPr>
            </w:pPr>
          </w:p>
        </w:tc>
        <w:tc>
          <w:tcPr>
            <w:tcW w:w="50" w:type="pct"/>
            <w:shd w:val="clear" w:color="auto" w:fill="auto"/>
            <w:vAlign w:val="center"/>
          </w:tcPr>
          <w:p w14:paraId="5556A70E" w14:textId="77777777" w:rsidR="00F925DD" w:rsidRDefault="00F925DD">
            <w:pPr>
              <w:rPr>
                <w:rFonts w:ascii="Times New Roman" w:hAnsi="Times New Roman"/>
                <w:sz w:val="20"/>
                <w:szCs w:val="20"/>
              </w:rPr>
            </w:pPr>
          </w:p>
        </w:tc>
        <w:tc>
          <w:tcPr>
            <w:tcW w:w="50" w:type="pct"/>
            <w:shd w:val="clear" w:color="auto" w:fill="auto"/>
            <w:vAlign w:val="center"/>
          </w:tcPr>
          <w:p w14:paraId="5556A70F" w14:textId="77777777" w:rsidR="00F925DD" w:rsidRDefault="00F925DD">
            <w:pPr>
              <w:rPr>
                <w:rFonts w:ascii="Times New Roman" w:hAnsi="Times New Roman"/>
                <w:sz w:val="20"/>
                <w:szCs w:val="20"/>
              </w:rPr>
            </w:pPr>
          </w:p>
        </w:tc>
        <w:tc>
          <w:tcPr>
            <w:tcW w:w="50" w:type="pct"/>
            <w:shd w:val="clear" w:color="auto" w:fill="auto"/>
            <w:vAlign w:val="center"/>
          </w:tcPr>
          <w:p w14:paraId="5556A710" w14:textId="77777777" w:rsidR="00F925DD" w:rsidRDefault="00F925DD">
            <w:pPr>
              <w:rPr>
                <w:rFonts w:ascii="Times New Roman" w:hAnsi="Times New Roman"/>
                <w:sz w:val="20"/>
                <w:szCs w:val="20"/>
              </w:rPr>
            </w:pPr>
          </w:p>
        </w:tc>
        <w:tc>
          <w:tcPr>
            <w:tcW w:w="300" w:type="pct"/>
            <w:shd w:val="clear" w:color="auto" w:fill="auto"/>
            <w:vAlign w:val="center"/>
          </w:tcPr>
          <w:p w14:paraId="5556A711" w14:textId="77777777" w:rsidR="00F925DD" w:rsidRDefault="00F925DD">
            <w:pPr>
              <w:rPr>
                <w:rFonts w:ascii="Times New Roman" w:hAnsi="Times New Roman"/>
                <w:sz w:val="20"/>
                <w:szCs w:val="20"/>
              </w:rPr>
            </w:pPr>
          </w:p>
        </w:tc>
        <w:tc>
          <w:tcPr>
            <w:tcW w:w="50" w:type="pct"/>
            <w:shd w:val="clear" w:color="auto" w:fill="auto"/>
            <w:vAlign w:val="center"/>
          </w:tcPr>
          <w:p w14:paraId="5556A712" w14:textId="77777777" w:rsidR="00F925DD" w:rsidRDefault="00F925DD">
            <w:pPr>
              <w:rPr>
                <w:rFonts w:ascii="Times New Roman" w:hAnsi="Times New Roman"/>
                <w:sz w:val="20"/>
                <w:szCs w:val="20"/>
              </w:rPr>
            </w:pPr>
          </w:p>
        </w:tc>
        <w:tc>
          <w:tcPr>
            <w:tcW w:w="50" w:type="pct"/>
            <w:shd w:val="clear" w:color="auto" w:fill="auto"/>
            <w:vAlign w:val="center"/>
          </w:tcPr>
          <w:p w14:paraId="5556A713" w14:textId="77777777" w:rsidR="00F925DD" w:rsidRDefault="00F925DD">
            <w:pPr>
              <w:rPr>
                <w:rFonts w:ascii="Times New Roman" w:hAnsi="Times New Roman"/>
                <w:sz w:val="20"/>
                <w:szCs w:val="20"/>
              </w:rPr>
            </w:pPr>
          </w:p>
        </w:tc>
        <w:tc>
          <w:tcPr>
            <w:tcW w:w="500" w:type="pct"/>
            <w:shd w:val="clear" w:color="auto" w:fill="auto"/>
            <w:vAlign w:val="center"/>
          </w:tcPr>
          <w:p w14:paraId="5556A714" w14:textId="77777777" w:rsidR="00F925DD" w:rsidRDefault="00F925DD">
            <w:pPr>
              <w:rPr>
                <w:rFonts w:ascii="Times New Roman" w:hAnsi="Times New Roman"/>
                <w:sz w:val="20"/>
                <w:szCs w:val="20"/>
              </w:rPr>
            </w:pPr>
          </w:p>
        </w:tc>
        <w:tc>
          <w:tcPr>
            <w:tcW w:w="50" w:type="pct"/>
            <w:shd w:val="clear" w:color="auto" w:fill="auto"/>
            <w:vAlign w:val="center"/>
          </w:tcPr>
          <w:p w14:paraId="5556A715" w14:textId="77777777" w:rsidR="00F925DD" w:rsidRDefault="00F925DD">
            <w:pPr>
              <w:rPr>
                <w:rFonts w:ascii="Times New Roman" w:hAnsi="Times New Roman"/>
                <w:sz w:val="20"/>
                <w:szCs w:val="20"/>
              </w:rPr>
            </w:pPr>
          </w:p>
        </w:tc>
        <w:tc>
          <w:tcPr>
            <w:tcW w:w="450" w:type="pct"/>
            <w:shd w:val="clear" w:color="auto" w:fill="auto"/>
            <w:vAlign w:val="center"/>
          </w:tcPr>
          <w:p w14:paraId="5556A716" w14:textId="77777777" w:rsidR="00F925DD" w:rsidRDefault="00F925DD">
            <w:pPr>
              <w:rPr>
                <w:rFonts w:ascii="Times New Roman" w:hAnsi="Times New Roman"/>
                <w:sz w:val="20"/>
                <w:szCs w:val="20"/>
              </w:rPr>
            </w:pPr>
          </w:p>
        </w:tc>
        <w:tc>
          <w:tcPr>
            <w:tcW w:w="50" w:type="pct"/>
            <w:shd w:val="clear" w:color="auto" w:fill="auto"/>
            <w:vAlign w:val="center"/>
          </w:tcPr>
          <w:p w14:paraId="5556A717" w14:textId="77777777" w:rsidR="00F925DD" w:rsidRDefault="00F925DD">
            <w:pPr>
              <w:rPr>
                <w:rFonts w:ascii="Times New Roman" w:hAnsi="Times New Roman"/>
                <w:sz w:val="20"/>
                <w:szCs w:val="20"/>
              </w:rPr>
            </w:pPr>
          </w:p>
        </w:tc>
        <w:tc>
          <w:tcPr>
            <w:tcW w:w="50" w:type="pct"/>
            <w:shd w:val="clear" w:color="auto" w:fill="auto"/>
            <w:vAlign w:val="center"/>
          </w:tcPr>
          <w:p w14:paraId="5556A718" w14:textId="77777777" w:rsidR="00F925DD" w:rsidRDefault="00F925DD">
            <w:pPr>
              <w:rPr>
                <w:rFonts w:ascii="Times New Roman" w:hAnsi="Times New Roman"/>
                <w:sz w:val="20"/>
                <w:szCs w:val="20"/>
              </w:rPr>
            </w:pPr>
          </w:p>
        </w:tc>
        <w:tc>
          <w:tcPr>
            <w:tcW w:w="300" w:type="pct"/>
            <w:shd w:val="clear" w:color="auto" w:fill="auto"/>
            <w:vAlign w:val="center"/>
          </w:tcPr>
          <w:p w14:paraId="5556A719" w14:textId="77777777" w:rsidR="00F925DD" w:rsidRDefault="00F925DD">
            <w:pPr>
              <w:rPr>
                <w:rFonts w:ascii="Times New Roman" w:hAnsi="Times New Roman"/>
                <w:sz w:val="20"/>
                <w:szCs w:val="20"/>
              </w:rPr>
            </w:pPr>
          </w:p>
        </w:tc>
        <w:tc>
          <w:tcPr>
            <w:tcW w:w="50" w:type="pct"/>
            <w:shd w:val="clear" w:color="auto" w:fill="auto"/>
            <w:vAlign w:val="center"/>
          </w:tcPr>
          <w:p w14:paraId="5556A71A" w14:textId="77777777" w:rsidR="00F925DD" w:rsidRDefault="00F925DD">
            <w:pPr>
              <w:rPr>
                <w:rFonts w:ascii="Times New Roman" w:hAnsi="Times New Roman"/>
                <w:sz w:val="20"/>
                <w:szCs w:val="20"/>
              </w:rPr>
            </w:pPr>
          </w:p>
        </w:tc>
        <w:tc>
          <w:tcPr>
            <w:tcW w:w="50" w:type="pct"/>
            <w:shd w:val="clear" w:color="auto" w:fill="auto"/>
            <w:vAlign w:val="center"/>
          </w:tcPr>
          <w:p w14:paraId="5556A71B" w14:textId="77777777" w:rsidR="00F925DD" w:rsidRDefault="00F925DD">
            <w:pPr>
              <w:rPr>
                <w:rFonts w:ascii="Times New Roman" w:hAnsi="Times New Roman"/>
                <w:sz w:val="20"/>
                <w:szCs w:val="20"/>
              </w:rPr>
            </w:pPr>
          </w:p>
        </w:tc>
        <w:tc>
          <w:tcPr>
            <w:tcW w:w="500" w:type="pct"/>
            <w:shd w:val="clear" w:color="auto" w:fill="auto"/>
            <w:vAlign w:val="center"/>
          </w:tcPr>
          <w:p w14:paraId="5556A71C" w14:textId="77777777" w:rsidR="00F925DD" w:rsidRDefault="00F925DD">
            <w:pPr>
              <w:rPr>
                <w:rFonts w:ascii="Times New Roman" w:hAnsi="Times New Roman"/>
                <w:sz w:val="20"/>
                <w:szCs w:val="20"/>
              </w:rPr>
            </w:pPr>
          </w:p>
        </w:tc>
      </w:tr>
      <w:tr w:rsidR="00F925DD" w14:paraId="5556A71F" w14:textId="77777777">
        <w:tc>
          <w:tcPr>
            <w:tcW w:w="0" w:type="auto"/>
            <w:gridSpan w:val="28"/>
            <w:shd w:val="clear" w:color="auto" w:fill="auto"/>
            <w:tcMar>
              <w:top w:w="40" w:type="dxa"/>
              <w:left w:w="40" w:type="dxa"/>
              <w:bottom w:w="40" w:type="dxa"/>
              <w:right w:w="40" w:type="dxa"/>
            </w:tcMar>
            <w:vAlign w:val="bottom"/>
          </w:tcPr>
          <w:p w14:paraId="5556A71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46: PREFERRED STOCK ISSUED AND OUTSTANDING</w:t>
            </w:r>
          </w:p>
        </w:tc>
      </w:tr>
      <w:tr w:rsidR="00F925DD" w14:paraId="5556A734" w14:textId="77777777">
        <w:tc>
          <w:tcPr>
            <w:tcW w:w="0" w:type="auto"/>
            <w:shd w:val="clear" w:color="auto" w:fill="auto"/>
            <w:tcMar>
              <w:top w:w="40" w:type="dxa"/>
              <w:left w:w="40" w:type="dxa"/>
              <w:bottom w:w="40" w:type="dxa"/>
              <w:right w:w="40" w:type="dxa"/>
            </w:tcMar>
            <w:vAlign w:val="bottom"/>
          </w:tcPr>
          <w:p w14:paraId="5556A720"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Preferred Stock(2):</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A721"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Issuance Date</w:t>
            </w:r>
          </w:p>
        </w:tc>
        <w:tc>
          <w:tcPr>
            <w:tcW w:w="0" w:type="auto"/>
            <w:shd w:val="clear" w:color="auto" w:fill="auto"/>
            <w:tcMar>
              <w:top w:w="40" w:type="dxa"/>
              <w:left w:w="40" w:type="dxa"/>
              <w:bottom w:w="40" w:type="dxa"/>
              <w:right w:w="40" w:type="dxa"/>
            </w:tcMar>
            <w:vAlign w:val="bottom"/>
          </w:tcPr>
          <w:p w14:paraId="5556A722" w14:textId="77777777" w:rsidR="00F925DD" w:rsidRDefault="00F925DD">
            <w:pPr>
              <w:jc w:val="center"/>
              <w:textAlignment w:val="bottom"/>
              <w:rPr>
                <w:rFonts w:ascii="Times New Roman" w:hAnsi="Times New Roman"/>
                <w:sz w:val="13"/>
                <w:szCs w:val="13"/>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5556A723"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Depositary Shares Issued</w:t>
            </w:r>
          </w:p>
        </w:tc>
        <w:tc>
          <w:tcPr>
            <w:tcW w:w="0" w:type="auto"/>
            <w:shd w:val="clear" w:color="auto" w:fill="auto"/>
            <w:tcMar>
              <w:top w:w="40" w:type="dxa"/>
              <w:left w:w="40" w:type="dxa"/>
              <w:bottom w:w="40" w:type="dxa"/>
              <w:right w:w="40" w:type="dxa"/>
            </w:tcMar>
            <w:vAlign w:val="bottom"/>
          </w:tcPr>
          <w:p w14:paraId="5556A7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725"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Amount outstanding (in millions)</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A7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A727"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 xml:space="preserve">Ownership Interest Per </w:t>
            </w:r>
            <w:r>
              <w:rPr>
                <w:rFonts w:ascii="Arial" w:eastAsia="宋体" w:hAnsi="Arial" w:cs="Arial"/>
                <w:b/>
                <w:bCs/>
                <w:sz w:val="13"/>
                <w:szCs w:val="13"/>
              </w:rPr>
              <w:t>Depositary Share</w:t>
            </w:r>
          </w:p>
        </w:tc>
        <w:tc>
          <w:tcPr>
            <w:tcW w:w="0" w:type="auto"/>
            <w:shd w:val="clear" w:color="auto" w:fill="auto"/>
            <w:tcMar>
              <w:top w:w="40" w:type="dxa"/>
              <w:left w:w="40" w:type="dxa"/>
              <w:bottom w:w="40" w:type="dxa"/>
              <w:right w:w="40" w:type="dxa"/>
            </w:tcMar>
            <w:vAlign w:val="bottom"/>
          </w:tcPr>
          <w:p w14:paraId="5556A7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729"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Liquidation Preference Per Share</w:t>
            </w:r>
          </w:p>
        </w:tc>
        <w:tc>
          <w:tcPr>
            <w:tcW w:w="0" w:type="auto"/>
            <w:shd w:val="clear" w:color="auto" w:fill="auto"/>
            <w:tcMar>
              <w:top w:w="40" w:type="dxa"/>
              <w:left w:w="40" w:type="dxa"/>
              <w:bottom w:w="40" w:type="dxa"/>
              <w:right w:w="40" w:type="dxa"/>
            </w:tcMar>
            <w:vAlign w:val="bottom"/>
          </w:tcPr>
          <w:p w14:paraId="5556A7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72B"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Liquidation Preference Per Depositary Share</w:t>
            </w:r>
          </w:p>
        </w:tc>
        <w:tc>
          <w:tcPr>
            <w:tcW w:w="0" w:type="auto"/>
            <w:shd w:val="clear" w:color="auto" w:fill="auto"/>
            <w:tcMar>
              <w:top w:w="40" w:type="dxa"/>
              <w:left w:w="40" w:type="dxa"/>
              <w:bottom w:w="40" w:type="dxa"/>
              <w:right w:w="40" w:type="dxa"/>
            </w:tcMar>
            <w:vAlign w:val="bottom"/>
          </w:tcPr>
          <w:p w14:paraId="5556A7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A72D"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Per Annum Dividend Rate</w:t>
            </w:r>
          </w:p>
        </w:tc>
        <w:tc>
          <w:tcPr>
            <w:tcW w:w="0" w:type="auto"/>
            <w:shd w:val="clear" w:color="auto" w:fill="auto"/>
            <w:tcMar>
              <w:top w:w="40" w:type="dxa"/>
              <w:left w:w="40" w:type="dxa"/>
              <w:bottom w:w="40" w:type="dxa"/>
              <w:right w:w="40" w:type="dxa"/>
            </w:tcMar>
            <w:vAlign w:val="bottom"/>
          </w:tcPr>
          <w:p w14:paraId="5556A7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A72F"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Dividend Payment Frequency</w:t>
            </w:r>
          </w:p>
        </w:tc>
        <w:tc>
          <w:tcPr>
            <w:tcW w:w="0" w:type="auto"/>
            <w:shd w:val="clear" w:color="auto" w:fill="auto"/>
            <w:tcMar>
              <w:top w:w="40" w:type="dxa"/>
              <w:left w:w="40" w:type="dxa"/>
              <w:bottom w:w="40" w:type="dxa"/>
              <w:right w:w="40" w:type="dxa"/>
            </w:tcMar>
            <w:vAlign w:val="bottom"/>
          </w:tcPr>
          <w:p w14:paraId="5556A7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731"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 xml:space="preserve">Carrying Value as of December 31, 2019 </w:t>
            </w:r>
            <w:r>
              <w:rPr>
                <w:rFonts w:ascii="Arial" w:eastAsia="宋体" w:hAnsi="Arial" w:cs="Arial"/>
                <w:b/>
                <w:bCs/>
                <w:sz w:val="13"/>
                <w:szCs w:val="13"/>
              </w:rPr>
              <w:br/>
              <w:t>(In millions)</w:t>
            </w:r>
          </w:p>
        </w:tc>
        <w:tc>
          <w:tcPr>
            <w:tcW w:w="0" w:type="auto"/>
            <w:shd w:val="clear" w:color="auto" w:fill="auto"/>
            <w:tcMar>
              <w:top w:w="40" w:type="dxa"/>
              <w:left w:w="40" w:type="dxa"/>
              <w:bottom w:w="40" w:type="dxa"/>
              <w:right w:w="40" w:type="dxa"/>
            </w:tcMar>
            <w:vAlign w:val="bottom"/>
          </w:tcPr>
          <w:p w14:paraId="5556A7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A733"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Redemption Date(1)</w:t>
            </w:r>
          </w:p>
        </w:tc>
      </w:tr>
      <w:tr w:rsidR="00F925DD" w14:paraId="5556A751" w14:textId="77777777">
        <w:tc>
          <w:tcPr>
            <w:tcW w:w="0" w:type="auto"/>
            <w:shd w:val="clear" w:color="auto" w:fill="CCEEFF"/>
            <w:tcMar>
              <w:top w:w="40" w:type="dxa"/>
              <w:left w:w="40" w:type="dxa"/>
              <w:bottom w:w="40" w:type="dxa"/>
              <w:right w:w="40" w:type="dxa"/>
            </w:tcMar>
            <w:vAlign w:val="center"/>
          </w:tcPr>
          <w:p w14:paraId="5556A735" w14:textId="77777777" w:rsidR="00F925DD" w:rsidRDefault="00E705D7">
            <w:pPr>
              <w:textAlignment w:val="center"/>
              <w:rPr>
                <w:rFonts w:ascii="Times New Roman" w:hAnsi="Times New Roman"/>
                <w:sz w:val="13"/>
                <w:szCs w:val="13"/>
              </w:rPr>
            </w:pPr>
            <w:r>
              <w:rPr>
                <w:rFonts w:ascii="Arial" w:eastAsia="宋体" w:hAnsi="Arial" w:cs="Arial"/>
                <w:sz w:val="13"/>
                <w:szCs w:val="13"/>
              </w:rPr>
              <w:t>Series C</w:t>
            </w:r>
          </w:p>
        </w:tc>
        <w:tc>
          <w:tcPr>
            <w:tcW w:w="0" w:type="auto"/>
            <w:shd w:val="clear" w:color="auto" w:fill="CCEEFF"/>
            <w:tcMar>
              <w:top w:w="40" w:type="dxa"/>
              <w:left w:w="40" w:type="dxa"/>
              <w:bottom w:w="40" w:type="dxa"/>
              <w:right w:w="40" w:type="dxa"/>
            </w:tcMar>
            <w:vAlign w:val="center"/>
          </w:tcPr>
          <w:p w14:paraId="5556A736" w14:textId="77777777" w:rsidR="00F925DD" w:rsidRDefault="00E705D7">
            <w:pPr>
              <w:textAlignment w:val="center"/>
              <w:rPr>
                <w:rFonts w:ascii="Times New Roman" w:hAnsi="Times New Roman"/>
                <w:sz w:val="13"/>
                <w:szCs w:val="13"/>
              </w:rPr>
            </w:pPr>
            <w:r>
              <w:rPr>
                <w:rFonts w:ascii="Arial" w:eastAsia="宋体" w:hAnsi="Arial" w:cs="Arial"/>
                <w:sz w:val="13"/>
                <w:szCs w:val="13"/>
              </w:rPr>
              <w:t>August 2012</w:t>
            </w:r>
          </w:p>
        </w:tc>
        <w:tc>
          <w:tcPr>
            <w:tcW w:w="0" w:type="auto"/>
            <w:shd w:val="clear" w:color="auto" w:fill="CCEEFF"/>
            <w:tcMar>
              <w:top w:w="40" w:type="dxa"/>
              <w:left w:w="40" w:type="dxa"/>
              <w:bottom w:w="40" w:type="dxa"/>
              <w:right w:w="40" w:type="dxa"/>
            </w:tcMar>
            <w:vAlign w:val="bottom"/>
          </w:tcPr>
          <w:p w14:paraId="5556A7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38" w14:textId="77777777" w:rsidR="00F925DD" w:rsidRDefault="00E705D7">
            <w:pPr>
              <w:textAlignment w:val="center"/>
              <w:rPr>
                <w:rFonts w:ascii="Times New Roman" w:hAnsi="Times New Roman"/>
                <w:sz w:val="13"/>
                <w:szCs w:val="13"/>
              </w:rPr>
            </w:pPr>
            <w:r>
              <w:rPr>
                <w:rFonts w:ascii="Arial" w:eastAsia="宋体" w:hAnsi="Arial" w:cs="Arial"/>
                <w:sz w:val="13"/>
                <w:szCs w:val="13"/>
              </w:rPr>
              <w:t>20,000,000</w:t>
            </w:r>
          </w:p>
        </w:tc>
        <w:tc>
          <w:tcPr>
            <w:tcW w:w="0" w:type="auto"/>
            <w:shd w:val="clear" w:color="auto" w:fill="CCEEFF"/>
            <w:tcMar>
              <w:top w:w="40" w:type="dxa"/>
              <w:left w:w="40" w:type="dxa"/>
              <w:bottom w:w="40" w:type="dxa"/>
              <w:right w:w="40" w:type="dxa"/>
            </w:tcMar>
            <w:vAlign w:val="center"/>
          </w:tcPr>
          <w:p w14:paraId="5556A739" w14:textId="77777777" w:rsidR="00F925DD" w:rsidRDefault="00F925DD">
            <w:pPr>
              <w:textAlignment w:val="center"/>
              <w:rPr>
                <w:rFonts w:ascii="Times New Roman" w:hAnsi="Times New Roman"/>
                <w:sz w:val="13"/>
                <w:szCs w:val="13"/>
              </w:rPr>
            </w:pPr>
          </w:p>
        </w:tc>
        <w:tc>
          <w:tcPr>
            <w:tcW w:w="0" w:type="auto"/>
            <w:shd w:val="clear" w:color="auto" w:fill="CCEEFF"/>
            <w:tcMar>
              <w:top w:w="40" w:type="dxa"/>
              <w:left w:w="40" w:type="dxa"/>
              <w:bottom w:w="40" w:type="dxa"/>
            </w:tcMar>
            <w:vAlign w:val="center"/>
          </w:tcPr>
          <w:p w14:paraId="5556A73A" w14:textId="77777777" w:rsidR="00F925DD" w:rsidRDefault="00E705D7">
            <w:pPr>
              <w:textAlignment w:val="center"/>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center"/>
          </w:tcPr>
          <w:p w14:paraId="5556A73B"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500</w:t>
            </w:r>
          </w:p>
        </w:tc>
        <w:tc>
          <w:tcPr>
            <w:tcW w:w="0" w:type="auto"/>
            <w:shd w:val="clear" w:color="auto" w:fill="CCEEFF"/>
            <w:vAlign w:val="bottom"/>
          </w:tcPr>
          <w:p w14:paraId="5556A7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7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3E" w14:textId="77777777" w:rsidR="00F925DD" w:rsidRDefault="00E705D7">
            <w:pPr>
              <w:textAlignment w:val="center"/>
              <w:rPr>
                <w:rFonts w:ascii="Times New Roman" w:hAnsi="Times New Roman"/>
                <w:sz w:val="13"/>
                <w:szCs w:val="13"/>
              </w:rPr>
            </w:pPr>
            <w:r>
              <w:rPr>
                <w:rFonts w:ascii="Arial" w:eastAsia="宋体" w:hAnsi="Arial" w:cs="Arial"/>
                <w:sz w:val="13"/>
                <w:szCs w:val="13"/>
              </w:rPr>
              <w:t>1/4,000th</w:t>
            </w:r>
          </w:p>
        </w:tc>
        <w:tc>
          <w:tcPr>
            <w:tcW w:w="0" w:type="auto"/>
            <w:shd w:val="clear" w:color="auto" w:fill="CCEEFF"/>
            <w:tcMar>
              <w:top w:w="40" w:type="dxa"/>
              <w:left w:w="40" w:type="dxa"/>
              <w:bottom w:w="40" w:type="dxa"/>
              <w:right w:w="40" w:type="dxa"/>
            </w:tcMar>
            <w:vAlign w:val="center"/>
          </w:tcPr>
          <w:p w14:paraId="5556A73F" w14:textId="77777777" w:rsidR="00F925DD" w:rsidRDefault="00F925DD">
            <w:pPr>
              <w:textAlignment w:val="center"/>
              <w:rPr>
                <w:rFonts w:ascii="Times New Roman" w:hAnsi="Times New Roman"/>
                <w:sz w:val="13"/>
                <w:szCs w:val="13"/>
              </w:rPr>
            </w:pPr>
          </w:p>
        </w:tc>
        <w:tc>
          <w:tcPr>
            <w:tcW w:w="0" w:type="auto"/>
            <w:shd w:val="clear" w:color="auto" w:fill="CCEEFF"/>
            <w:tcMar>
              <w:top w:w="40" w:type="dxa"/>
              <w:left w:w="40" w:type="dxa"/>
              <w:bottom w:w="40" w:type="dxa"/>
            </w:tcMar>
            <w:vAlign w:val="center"/>
          </w:tcPr>
          <w:p w14:paraId="5556A740" w14:textId="77777777" w:rsidR="00F925DD" w:rsidRDefault="00E705D7">
            <w:pPr>
              <w:textAlignment w:val="center"/>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center"/>
          </w:tcPr>
          <w:p w14:paraId="5556A741"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100,000</w:t>
            </w:r>
          </w:p>
        </w:tc>
        <w:tc>
          <w:tcPr>
            <w:tcW w:w="0" w:type="auto"/>
            <w:shd w:val="clear" w:color="auto" w:fill="CCEEFF"/>
            <w:vAlign w:val="bottom"/>
          </w:tcPr>
          <w:p w14:paraId="5556A7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A743" w14:textId="77777777" w:rsidR="00F925DD" w:rsidRDefault="00F925DD">
            <w:pPr>
              <w:jc w:val="right"/>
              <w:textAlignment w:val="center"/>
              <w:rPr>
                <w:rFonts w:ascii="Times New Roman" w:hAnsi="Times New Roman"/>
                <w:sz w:val="13"/>
                <w:szCs w:val="13"/>
              </w:rPr>
            </w:pPr>
          </w:p>
        </w:tc>
        <w:tc>
          <w:tcPr>
            <w:tcW w:w="0" w:type="auto"/>
            <w:shd w:val="clear" w:color="auto" w:fill="CCEEFF"/>
            <w:tcMar>
              <w:top w:w="40" w:type="dxa"/>
              <w:left w:w="40" w:type="dxa"/>
              <w:bottom w:w="40" w:type="dxa"/>
            </w:tcMar>
            <w:vAlign w:val="center"/>
          </w:tcPr>
          <w:p w14:paraId="5556A744" w14:textId="77777777" w:rsidR="00F925DD" w:rsidRDefault="00E705D7">
            <w:pPr>
              <w:textAlignment w:val="center"/>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center"/>
          </w:tcPr>
          <w:p w14:paraId="5556A745"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25</w:t>
            </w:r>
          </w:p>
        </w:tc>
        <w:tc>
          <w:tcPr>
            <w:tcW w:w="0" w:type="auto"/>
            <w:shd w:val="clear" w:color="auto" w:fill="CCEEFF"/>
            <w:vAlign w:val="bottom"/>
          </w:tcPr>
          <w:p w14:paraId="5556A74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A747" w14:textId="77777777" w:rsidR="00F925DD" w:rsidRDefault="00F925DD">
            <w:pPr>
              <w:textAlignment w:val="center"/>
              <w:rPr>
                <w:rFonts w:ascii="Times New Roman" w:hAnsi="Times New Roman"/>
                <w:sz w:val="13"/>
                <w:szCs w:val="13"/>
              </w:rPr>
            </w:pPr>
          </w:p>
        </w:tc>
        <w:tc>
          <w:tcPr>
            <w:tcW w:w="0" w:type="auto"/>
            <w:shd w:val="clear" w:color="auto" w:fill="CCEEFF"/>
            <w:tcMar>
              <w:top w:w="40" w:type="dxa"/>
              <w:left w:w="40" w:type="dxa"/>
              <w:bottom w:w="40" w:type="dxa"/>
              <w:right w:w="40" w:type="dxa"/>
            </w:tcMar>
            <w:vAlign w:val="center"/>
          </w:tcPr>
          <w:p w14:paraId="5556A748" w14:textId="77777777" w:rsidR="00F925DD" w:rsidRDefault="00E705D7">
            <w:pPr>
              <w:textAlignment w:val="center"/>
              <w:rPr>
                <w:rFonts w:ascii="Times New Roman" w:hAnsi="Times New Roman"/>
                <w:sz w:val="13"/>
                <w:szCs w:val="13"/>
              </w:rPr>
            </w:pPr>
            <w:r>
              <w:rPr>
                <w:rFonts w:ascii="Arial" w:eastAsia="宋体" w:hAnsi="Arial" w:cs="Arial"/>
                <w:sz w:val="13"/>
                <w:szCs w:val="13"/>
              </w:rPr>
              <w:t>5.25%</w:t>
            </w:r>
          </w:p>
        </w:tc>
        <w:tc>
          <w:tcPr>
            <w:tcW w:w="0" w:type="auto"/>
            <w:shd w:val="clear" w:color="auto" w:fill="CCEEFF"/>
            <w:tcMar>
              <w:top w:w="40" w:type="dxa"/>
              <w:left w:w="40" w:type="dxa"/>
              <w:bottom w:w="40" w:type="dxa"/>
              <w:right w:w="40" w:type="dxa"/>
            </w:tcMar>
            <w:vAlign w:val="bottom"/>
          </w:tcPr>
          <w:p w14:paraId="5556A7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4A" w14:textId="77777777" w:rsidR="00F925DD" w:rsidRDefault="00E705D7">
            <w:pPr>
              <w:textAlignment w:val="center"/>
              <w:rPr>
                <w:rFonts w:ascii="Times New Roman" w:hAnsi="Times New Roman"/>
                <w:sz w:val="13"/>
                <w:szCs w:val="13"/>
              </w:rPr>
            </w:pPr>
            <w:r>
              <w:rPr>
                <w:rFonts w:ascii="Arial" w:eastAsia="宋体" w:hAnsi="Arial" w:cs="Arial"/>
                <w:sz w:val="13"/>
                <w:szCs w:val="13"/>
              </w:rPr>
              <w:t>Quarterly: March, June, September and December</w:t>
            </w:r>
          </w:p>
        </w:tc>
        <w:tc>
          <w:tcPr>
            <w:tcW w:w="0" w:type="auto"/>
            <w:shd w:val="clear" w:color="auto" w:fill="CCEEFF"/>
            <w:tcMar>
              <w:top w:w="40" w:type="dxa"/>
              <w:left w:w="40" w:type="dxa"/>
              <w:bottom w:w="40" w:type="dxa"/>
              <w:right w:w="40" w:type="dxa"/>
            </w:tcMar>
            <w:vAlign w:val="bottom"/>
          </w:tcPr>
          <w:p w14:paraId="5556A7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A74C" w14:textId="77777777" w:rsidR="00F925DD" w:rsidRDefault="00E705D7">
            <w:pPr>
              <w:textAlignment w:val="center"/>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center"/>
          </w:tcPr>
          <w:p w14:paraId="5556A74D"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491</w:t>
            </w:r>
          </w:p>
        </w:tc>
        <w:tc>
          <w:tcPr>
            <w:tcW w:w="0" w:type="auto"/>
            <w:shd w:val="clear" w:color="auto" w:fill="CCEEFF"/>
            <w:vAlign w:val="bottom"/>
          </w:tcPr>
          <w:p w14:paraId="5556A74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A74F" w14:textId="77777777" w:rsidR="00F925DD" w:rsidRDefault="00F925DD">
            <w:pPr>
              <w:textAlignment w:val="center"/>
              <w:rPr>
                <w:rFonts w:ascii="Times New Roman" w:hAnsi="Times New Roman"/>
                <w:sz w:val="13"/>
                <w:szCs w:val="13"/>
              </w:rPr>
            </w:pPr>
          </w:p>
        </w:tc>
        <w:tc>
          <w:tcPr>
            <w:tcW w:w="0" w:type="auto"/>
            <w:shd w:val="clear" w:color="auto" w:fill="CCEEFF"/>
            <w:tcMar>
              <w:top w:w="40" w:type="dxa"/>
              <w:left w:w="40" w:type="dxa"/>
              <w:bottom w:w="40" w:type="dxa"/>
              <w:right w:w="40" w:type="dxa"/>
            </w:tcMar>
            <w:vAlign w:val="center"/>
          </w:tcPr>
          <w:p w14:paraId="5556A750" w14:textId="77777777" w:rsidR="00F925DD" w:rsidRDefault="00E705D7">
            <w:pPr>
              <w:textAlignment w:val="center"/>
              <w:rPr>
                <w:rFonts w:ascii="Times New Roman" w:hAnsi="Times New Roman"/>
                <w:sz w:val="13"/>
                <w:szCs w:val="13"/>
              </w:rPr>
            </w:pPr>
            <w:r>
              <w:rPr>
                <w:rFonts w:ascii="Arial" w:eastAsia="宋体" w:hAnsi="Arial" w:cs="Arial"/>
                <w:sz w:val="13"/>
                <w:szCs w:val="13"/>
              </w:rPr>
              <w:t>September 15, 2017</w:t>
            </w:r>
          </w:p>
        </w:tc>
      </w:tr>
      <w:tr w:rsidR="00F925DD" w14:paraId="5556A76A" w14:textId="77777777">
        <w:tc>
          <w:tcPr>
            <w:tcW w:w="0" w:type="auto"/>
            <w:shd w:val="clear" w:color="auto" w:fill="auto"/>
            <w:tcMar>
              <w:top w:w="40" w:type="dxa"/>
              <w:left w:w="40" w:type="dxa"/>
              <w:bottom w:w="40" w:type="dxa"/>
              <w:right w:w="40" w:type="dxa"/>
            </w:tcMar>
            <w:vAlign w:val="center"/>
          </w:tcPr>
          <w:p w14:paraId="5556A752" w14:textId="77777777" w:rsidR="00F925DD" w:rsidRDefault="00E705D7">
            <w:pPr>
              <w:textAlignment w:val="center"/>
              <w:rPr>
                <w:rFonts w:ascii="Times New Roman" w:hAnsi="Times New Roman"/>
                <w:sz w:val="13"/>
                <w:szCs w:val="13"/>
              </w:rPr>
            </w:pPr>
            <w:r>
              <w:rPr>
                <w:rFonts w:ascii="Arial" w:eastAsia="宋体" w:hAnsi="Arial" w:cs="Arial"/>
                <w:sz w:val="13"/>
                <w:szCs w:val="13"/>
              </w:rPr>
              <w:t>Series D</w:t>
            </w:r>
          </w:p>
        </w:tc>
        <w:tc>
          <w:tcPr>
            <w:tcW w:w="0" w:type="auto"/>
            <w:shd w:val="clear" w:color="auto" w:fill="auto"/>
            <w:tcMar>
              <w:top w:w="40" w:type="dxa"/>
              <w:left w:w="40" w:type="dxa"/>
              <w:bottom w:w="40" w:type="dxa"/>
              <w:right w:w="40" w:type="dxa"/>
            </w:tcMar>
            <w:vAlign w:val="center"/>
          </w:tcPr>
          <w:p w14:paraId="5556A753" w14:textId="77777777" w:rsidR="00F925DD" w:rsidRDefault="00E705D7">
            <w:pPr>
              <w:textAlignment w:val="center"/>
              <w:rPr>
                <w:rFonts w:ascii="Times New Roman" w:hAnsi="Times New Roman"/>
                <w:sz w:val="13"/>
                <w:szCs w:val="13"/>
              </w:rPr>
            </w:pPr>
            <w:r>
              <w:rPr>
                <w:rFonts w:ascii="Arial" w:eastAsia="宋体" w:hAnsi="Arial" w:cs="Arial"/>
                <w:sz w:val="13"/>
                <w:szCs w:val="13"/>
              </w:rPr>
              <w:t>February 2014</w:t>
            </w:r>
          </w:p>
        </w:tc>
        <w:tc>
          <w:tcPr>
            <w:tcW w:w="0" w:type="auto"/>
            <w:shd w:val="clear" w:color="auto" w:fill="auto"/>
            <w:tcMar>
              <w:top w:w="40" w:type="dxa"/>
              <w:left w:w="40" w:type="dxa"/>
              <w:bottom w:w="40" w:type="dxa"/>
              <w:right w:w="40" w:type="dxa"/>
            </w:tcMar>
            <w:vAlign w:val="bottom"/>
          </w:tcPr>
          <w:p w14:paraId="5556A7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A755" w14:textId="77777777" w:rsidR="00F925DD" w:rsidRDefault="00E705D7">
            <w:pPr>
              <w:textAlignment w:val="center"/>
              <w:rPr>
                <w:rFonts w:ascii="Times New Roman" w:hAnsi="Times New Roman"/>
                <w:sz w:val="13"/>
                <w:szCs w:val="13"/>
              </w:rPr>
            </w:pPr>
            <w:r>
              <w:rPr>
                <w:rFonts w:ascii="Arial" w:eastAsia="宋体" w:hAnsi="Arial" w:cs="Arial"/>
                <w:sz w:val="13"/>
                <w:szCs w:val="13"/>
              </w:rPr>
              <w:t>30,000,000</w:t>
            </w:r>
          </w:p>
        </w:tc>
        <w:tc>
          <w:tcPr>
            <w:tcW w:w="0" w:type="auto"/>
            <w:shd w:val="clear" w:color="auto" w:fill="auto"/>
            <w:tcMar>
              <w:top w:w="40" w:type="dxa"/>
              <w:left w:w="40" w:type="dxa"/>
              <w:bottom w:w="40" w:type="dxa"/>
              <w:right w:w="40" w:type="dxa"/>
            </w:tcMar>
            <w:vAlign w:val="center"/>
          </w:tcPr>
          <w:p w14:paraId="5556A756" w14:textId="77777777" w:rsidR="00F925DD" w:rsidRDefault="00F925DD">
            <w:pPr>
              <w:textAlignment w:val="center"/>
              <w:rPr>
                <w:rFonts w:ascii="Times New Roman" w:hAnsi="Times New Roman"/>
                <w:sz w:val="13"/>
                <w:szCs w:val="13"/>
              </w:rPr>
            </w:pPr>
          </w:p>
        </w:tc>
        <w:tc>
          <w:tcPr>
            <w:tcW w:w="0" w:type="auto"/>
            <w:gridSpan w:val="2"/>
            <w:shd w:val="clear" w:color="auto" w:fill="auto"/>
            <w:tcMar>
              <w:top w:w="40" w:type="dxa"/>
              <w:left w:w="40" w:type="dxa"/>
              <w:bottom w:w="40" w:type="dxa"/>
            </w:tcMar>
            <w:vAlign w:val="center"/>
          </w:tcPr>
          <w:p w14:paraId="5556A757"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750</w:t>
            </w:r>
          </w:p>
        </w:tc>
        <w:tc>
          <w:tcPr>
            <w:tcW w:w="0" w:type="auto"/>
            <w:shd w:val="clear" w:color="auto" w:fill="auto"/>
            <w:vAlign w:val="bottom"/>
          </w:tcPr>
          <w:p w14:paraId="5556A75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7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A75A" w14:textId="77777777" w:rsidR="00F925DD" w:rsidRDefault="00E705D7">
            <w:pPr>
              <w:textAlignment w:val="center"/>
              <w:rPr>
                <w:rFonts w:ascii="Times New Roman" w:hAnsi="Times New Roman"/>
                <w:sz w:val="13"/>
                <w:szCs w:val="13"/>
              </w:rPr>
            </w:pPr>
            <w:r>
              <w:rPr>
                <w:rFonts w:ascii="Arial" w:eastAsia="宋体" w:hAnsi="Arial" w:cs="Arial"/>
                <w:sz w:val="13"/>
                <w:szCs w:val="13"/>
              </w:rPr>
              <w:t>1/4,000th</w:t>
            </w:r>
          </w:p>
        </w:tc>
        <w:tc>
          <w:tcPr>
            <w:tcW w:w="0" w:type="auto"/>
            <w:shd w:val="clear" w:color="auto" w:fill="auto"/>
            <w:tcMar>
              <w:top w:w="40" w:type="dxa"/>
              <w:left w:w="40" w:type="dxa"/>
              <w:bottom w:w="40" w:type="dxa"/>
              <w:right w:w="40" w:type="dxa"/>
            </w:tcMar>
            <w:vAlign w:val="center"/>
          </w:tcPr>
          <w:p w14:paraId="5556A75B" w14:textId="77777777" w:rsidR="00F925DD" w:rsidRDefault="00F925DD">
            <w:pPr>
              <w:textAlignment w:val="center"/>
              <w:rPr>
                <w:rFonts w:ascii="Times New Roman" w:hAnsi="Times New Roman"/>
                <w:sz w:val="13"/>
                <w:szCs w:val="13"/>
              </w:rPr>
            </w:pPr>
          </w:p>
        </w:tc>
        <w:tc>
          <w:tcPr>
            <w:tcW w:w="0" w:type="auto"/>
            <w:gridSpan w:val="2"/>
            <w:shd w:val="clear" w:color="auto" w:fill="auto"/>
            <w:tcMar>
              <w:top w:w="40" w:type="dxa"/>
              <w:left w:w="40" w:type="dxa"/>
              <w:bottom w:w="40" w:type="dxa"/>
            </w:tcMar>
            <w:vAlign w:val="center"/>
          </w:tcPr>
          <w:p w14:paraId="5556A75C"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100,000</w:t>
            </w:r>
          </w:p>
        </w:tc>
        <w:tc>
          <w:tcPr>
            <w:tcW w:w="0" w:type="auto"/>
            <w:shd w:val="clear" w:color="auto" w:fill="auto"/>
            <w:vAlign w:val="bottom"/>
          </w:tcPr>
          <w:p w14:paraId="5556A75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A75E" w14:textId="77777777" w:rsidR="00F925DD" w:rsidRDefault="00F925DD">
            <w:pPr>
              <w:jc w:val="right"/>
              <w:textAlignment w:val="center"/>
              <w:rPr>
                <w:rFonts w:ascii="Times New Roman" w:hAnsi="Times New Roman"/>
                <w:sz w:val="13"/>
                <w:szCs w:val="13"/>
              </w:rPr>
            </w:pPr>
          </w:p>
        </w:tc>
        <w:tc>
          <w:tcPr>
            <w:tcW w:w="0" w:type="auto"/>
            <w:gridSpan w:val="2"/>
            <w:shd w:val="clear" w:color="auto" w:fill="auto"/>
            <w:tcMar>
              <w:top w:w="40" w:type="dxa"/>
              <w:left w:w="40" w:type="dxa"/>
              <w:bottom w:w="40" w:type="dxa"/>
            </w:tcMar>
            <w:vAlign w:val="center"/>
          </w:tcPr>
          <w:p w14:paraId="5556A75F"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25</w:t>
            </w:r>
          </w:p>
        </w:tc>
        <w:tc>
          <w:tcPr>
            <w:tcW w:w="0" w:type="auto"/>
            <w:shd w:val="clear" w:color="auto" w:fill="auto"/>
            <w:vAlign w:val="bottom"/>
          </w:tcPr>
          <w:p w14:paraId="5556A7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A761" w14:textId="77777777" w:rsidR="00F925DD" w:rsidRDefault="00F925DD">
            <w:pPr>
              <w:textAlignment w:val="center"/>
              <w:rPr>
                <w:rFonts w:ascii="Times New Roman" w:hAnsi="Times New Roman"/>
                <w:sz w:val="13"/>
                <w:szCs w:val="13"/>
              </w:rPr>
            </w:pPr>
          </w:p>
        </w:tc>
        <w:tc>
          <w:tcPr>
            <w:tcW w:w="0" w:type="auto"/>
            <w:shd w:val="clear" w:color="auto" w:fill="auto"/>
            <w:tcMar>
              <w:top w:w="40" w:type="dxa"/>
              <w:left w:w="40" w:type="dxa"/>
              <w:bottom w:w="40" w:type="dxa"/>
              <w:right w:w="40" w:type="dxa"/>
            </w:tcMar>
            <w:vAlign w:val="center"/>
          </w:tcPr>
          <w:p w14:paraId="5556A762" w14:textId="77777777" w:rsidR="00F925DD" w:rsidRDefault="00E705D7">
            <w:pPr>
              <w:textAlignment w:val="center"/>
              <w:rPr>
                <w:rFonts w:ascii="Times New Roman" w:hAnsi="Times New Roman"/>
                <w:sz w:val="13"/>
                <w:szCs w:val="13"/>
              </w:rPr>
            </w:pPr>
            <w:r>
              <w:rPr>
                <w:rFonts w:ascii="Arial" w:eastAsia="宋体" w:hAnsi="Arial" w:cs="Arial"/>
                <w:sz w:val="13"/>
                <w:szCs w:val="13"/>
              </w:rPr>
              <w:t xml:space="preserve">5.90% to but excluding March 15, 2024, then a floating rate equal to the </w:t>
            </w:r>
            <w:r>
              <w:rPr>
                <w:rFonts w:ascii="Arial" w:eastAsia="宋体" w:hAnsi="Arial" w:cs="Arial"/>
                <w:sz w:val="13"/>
                <w:szCs w:val="13"/>
              </w:rPr>
              <w:t>three-month LIBOR plus 3.108%</w:t>
            </w:r>
          </w:p>
        </w:tc>
        <w:tc>
          <w:tcPr>
            <w:tcW w:w="0" w:type="auto"/>
            <w:shd w:val="clear" w:color="auto" w:fill="auto"/>
            <w:tcMar>
              <w:top w:w="40" w:type="dxa"/>
              <w:left w:w="40" w:type="dxa"/>
              <w:bottom w:w="40" w:type="dxa"/>
              <w:right w:w="40" w:type="dxa"/>
            </w:tcMar>
            <w:vAlign w:val="bottom"/>
          </w:tcPr>
          <w:p w14:paraId="5556A7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A764" w14:textId="77777777" w:rsidR="00F925DD" w:rsidRDefault="00E705D7">
            <w:pPr>
              <w:textAlignment w:val="center"/>
              <w:rPr>
                <w:rFonts w:ascii="Times New Roman" w:hAnsi="Times New Roman"/>
                <w:sz w:val="13"/>
                <w:szCs w:val="13"/>
              </w:rPr>
            </w:pPr>
            <w:r>
              <w:rPr>
                <w:rFonts w:ascii="Arial" w:eastAsia="宋体" w:hAnsi="Arial" w:cs="Arial"/>
                <w:sz w:val="13"/>
                <w:szCs w:val="13"/>
              </w:rPr>
              <w:t>Quarterly: March, June, September and December</w:t>
            </w:r>
          </w:p>
        </w:tc>
        <w:tc>
          <w:tcPr>
            <w:tcW w:w="0" w:type="auto"/>
            <w:shd w:val="clear" w:color="auto" w:fill="auto"/>
            <w:tcMar>
              <w:top w:w="40" w:type="dxa"/>
              <w:left w:w="40" w:type="dxa"/>
              <w:bottom w:w="40" w:type="dxa"/>
              <w:right w:w="40" w:type="dxa"/>
            </w:tcMar>
            <w:vAlign w:val="bottom"/>
          </w:tcPr>
          <w:p w14:paraId="5556A7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A766"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742</w:t>
            </w:r>
          </w:p>
        </w:tc>
        <w:tc>
          <w:tcPr>
            <w:tcW w:w="0" w:type="auto"/>
            <w:shd w:val="clear" w:color="auto" w:fill="auto"/>
            <w:vAlign w:val="bottom"/>
          </w:tcPr>
          <w:p w14:paraId="5556A76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A768" w14:textId="77777777" w:rsidR="00F925DD" w:rsidRDefault="00F925DD">
            <w:pPr>
              <w:textAlignment w:val="center"/>
              <w:rPr>
                <w:rFonts w:ascii="Times New Roman" w:hAnsi="Times New Roman"/>
                <w:sz w:val="13"/>
                <w:szCs w:val="13"/>
              </w:rPr>
            </w:pPr>
          </w:p>
        </w:tc>
        <w:tc>
          <w:tcPr>
            <w:tcW w:w="0" w:type="auto"/>
            <w:shd w:val="clear" w:color="auto" w:fill="auto"/>
            <w:tcMar>
              <w:top w:w="40" w:type="dxa"/>
              <w:left w:w="40" w:type="dxa"/>
              <w:bottom w:w="40" w:type="dxa"/>
              <w:right w:w="40" w:type="dxa"/>
            </w:tcMar>
            <w:vAlign w:val="center"/>
          </w:tcPr>
          <w:p w14:paraId="5556A769" w14:textId="77777777" w:rsidR="00F925DD" w:rsidRDefault="00E705D7">
            <w:pPr>
              <w:textAlignment w:val="center"/>
              <w:rPr>
                <w:rFonts w:ascii="Times New Roman" w:hAnsi="Times New Roman"/>
                <w:sz w:val="13"/>
                <w:szCs w:val="13"/>
              </w:rPr>
            </w:pPr>
            <w:r>
              <w:rPr>
                <w:rFonts w:ascii="Arial" w:eastAsia="宋体" w:hAnsi="Arial" w:cs="Arial"/>
                <w:sz w:val="13"/>
                <w:szCs w:val="13"/>
              </w:rPr>
              <w:t>March 15, 2024</w:t>
            </w:r>
          </w:p>
        </w:tc>
      </w:tr>
      <w:tr w:rsidR="00F925DD" w14:paraId="5556A783" w14:textId="77777777">
        <w:tc>
          <w:tcPr>
            <w:tcW w:w="0" w:type="auto"/>
            <w:shd w:val="clear" w:color="auto" w:fill="CCEEFF"/>
            <w:tcMar>
              <w:top w:w="40" w:type="dxa"/>
              <w:left w:w="40" w:type="dxa"/>
              <w:bottom w:w="40" w:type="dxa"/>
              <w:right w:w="40" w:type="dxa"/>
            </w:tcMar>
            <w:vAlign w:val="center"/>
          </w:tcPr>
          <w:p w14:paraId="5556A76B" w14:textId="77777777" w:rsidR="00F925DD" w:rsidRDefault="00E705D7">
            <w:pPr>
              <w:textAlignment w:val="center"/>
              <w:rPr>
                <w:rFonts w:ascii="Times New Roman" w:hAnsi="Times New Roman"/>
                <w:sz w:val="13"/>
                <w:szCs w:val="13"/>
              </w:rPr>
            </w:pPr>
            <w:r>
              <w:rPr>
                <w:rFonts w:ascii="Arial" w:eastAsia="宋体" w:hAnsi="Arial" w:cs="Arial"/>
                <w:sz w:val="13"/>
                <w:szCs w:val="13"/>
              </w:rPr>
              <w:t>Series F</w:t>
            </w:r>
          </w:p>
        </w:tc>
        <w:tc>
          <w:tcPr>
            <w:tcW w:w="0" w:type="auto"/>
            <w:shd w:val="clear" w:color="auto" w:fill="CCEEFF"/>
            <w:tcMar>
              <w:top w:w="40" w:type="dxa"/>
              <w:left w:w="40" w:type="dxa"/>
              <w:bottom w:w="40" w:type="dxa"/>
              <w:right w:w="40" w:type="dxa"/>
            </w:tcMar>
            <w:vAlign w:val="center"/>
          </w:tcPr>
          <w:p w14:paraId="5556A76C" w14:textId="77777777" w:rsidR="00F925DD" w:rsidRDefault="00E705D7">
            <w:pPr>
              <w:textAlignment w:val="center"/>
              <w:rPr>
                <w:rFonts w:ascii="Times New Roman" w:hAnsi="Times New Roman"/>
                <w:sz w:val="13"/>
                <w:szCs w:val="13"/>
              </w:rPr>
            </w:pPr>
            <w:r>
              <w:rPr>
                <w:rFonts w:ascii="Arial" w:eastAsia="宋体" w:hAnsi="Arial" w:cs="Arial"/>
                <w:sz w:val="13"/>
                <w:szCs w:val="13"/>
              </w:rPr>
              <w:t>May 2015</w:t>
            </w:r>
          </w:p>
        </w:tc>
        <w:tc>
          <w:tcPr>
            <w:tcW w:w="0" w:type="auto"/>
            <w:shd w:val="clear" w:color="auto" w:fill="CCEEFF"/>
            <w:tcMar>
              <w:top w:w="40" w:type="dxa"/>
              <w:left w:w="40" w:type="dxa"/>
              <w:bottom w:w="40" w:type="dxa"/>
              <w:right w:w="40" w:type="dxa"/>
            </w:tcMar>
            <w:vAlign w:val="bottom"/>
          </w:tcPr>
          <w:p w14:paraId="5556A7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6E" w14:textId="77777777" w:rsidR="00F925DD" w:rsidRDefault="00E705D7">
            <w:pPr>
              <w:textAlignment w:val="center"/>
              <w:rPr>
                <w:rFonts w:ascii="Times New Roman" w:hAnsi="Times New Roman"/>
                <w:sz w:val="13"/>
                <w:szCs w:val="13"/>
              </w:rPr>
            </w:pPr>
            <w:r>
              <w:rPr>
                <w:rFonts w:ascii="Arial" w:eastAsia="宋体" w:hAnsi="Arial" w:cs="Arial"/>
                <w:sz w:val="13"/>
                <w:szCs w:val="13"/>
              </w:rPr>
              <w:t>750,000</w:t>
            </w:r>
          </w:p>
        </w:tc>
        <w:tc>
          <w:tcPr>
            <w:tcW w:w="0" w:type="auto"/>
            <w:shd w:val="clear" w:color="auto" w:fill="CCEEFF"/>
            <w:tcMar>
              <w:top w:w="40" w:type="dxa"/>
              <w:left w:w="40" w:type="dxa"/>
              <w:bottom w:w="40" w:type="dxa"/>
              <w:right w:w="40" w:type="dxa"/>
            </w:tcMar>
            <w:vAlign w:val="center"/>
          </w:tcPr>
          <w:p w14:paraId="5556A76F" w14:textId="77777777" w:rsidR="00F925DD" w:rsidRDefault="00F925DD">
            <w:pPr>
              <w:textAlignment w:val="center"/>
              <w:rPr>
                <w:rFonts w:ascii="Times New Roman" w:hAnsi="Times New Roman"/>
                <w:sz w:val="13"/>
                <w:szCs w:val="13"/>
              </w:rPr>
            </w:pPr>
          </w:p>
        </w:tc>
        <w:tc>
          <w:tcPr>
            <w:tcW w:w="0" w:type="auto"/>
            <w:gridSpan w:val="2"/>
            <w:shd w:val="clear" w:color="auto" w:fill="CCEEFF"/>
            <w:tcMar>
              <w:top w:w="40" w:type="dxa"/>
              <w:left w:w="40" w:type="dxa"/>
              <w:bottom w:w="40" w:type="dxa"/>
            </w:tcMar>
            <w:vAlign w:val="center"/>
          </w:tcPr>
          <w:p w14:paraId="5556A770"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750</w:t>
            </w:r>
          </w:p>
        </w:tc>
        <w:tc>
          <w:tcPr>
            <w:tcW w:w="0" w:type="auto"/>
            <w:shd w:val="clear" w:color="auto" w:fill="CCEEFF"/>
            <w:vAlign w:val="bottom"/>
          </w:tcPr>
          <w:p w14:paraId="5556A77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7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73" w14:textId="77777777" w:rsidR="00F925DD" w:rsidRDefault="00E705D7">
            <w:pPr>
              <w:textAlignment w:val="center"/>
              <w:rPr>
                <w:rFonts w:ascii="Times New Roman" w:hAnsi="Times New Roman"/>
                <w:sz w:val="13"/>
                <w:szCs w:val="13"/>
              </w:rPr>
            </w:pPr>
            <w:r>
              <w:rPr>
                <w:rFonts w:ascii="Arial" w:eastAsia="宋体" w:hAnsi="Arial" w:cs="Arial"/>
                <w:sz w:val="13"/>
                <w:szCs w:val="13"/>
              </w:rPr>
              <w:t>1/100th</w:t>
            </w:r>
          </w:p>
        </w:tc>
        <w:tc>
          <w:tcPr>
            <w:tcW w:w="0" w:type="auto"/>
            <w:shd w:val="clear" w:color="auto" w:fill="CCEEFF"/>
            <w:tcMar>
              <w:top w:w="40" w:type="dxa"/>
              <w:left w:w="40" w:type="dxa"/>
              <w:bottom w:w="40" w:type="dxa"/>
              <w:right w:w="40" w:type="dxa"/>
            </w:tcMar>
            <w:vAlign w:val="center"/>
          </w:tcPr>
          <w:p w14:paraId="5556A774" w14:textId="77777777" w:rsidR="00F925DD" w:rsidRDefault="00F925DD">
            <w:pPr>
              <w:textAlignment w:val="center"/>
              <w:rPr>
                <w:rFonts w:ascii="Times New Roman" w:hAnsi="Times New Roman"/>
                <w:sz w:val="13"/>
                <w:szCs w:val="13"/>
              </w:rPr>
            </w:pPr>
          </w:p>
        </w:tc>
        <w:tc>
          <w:tcPr>
            <w:tcW w:w="0" w:type="auto"/>
            <w:gridSpan w:val="2"/>
            <w:shd w:val="clear" w:color="auto" w:fill="CCEEFF"/>
            <w:tcMar>
              <w:top w:w="40" w:type="dxa"/>
              <w:left w:w="40" w:type="dxa"/>
              <w:bottom w:w="40" w:type="dxa"/>
            </w:tcMar>
            <w:vAlign w:val="center"/>
          </w:tcPr>
          <w:p w14:paraId="5556A775"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100,000</w:t>
            </w:r>
          </w:p>
        </w:tc>
        <w:tc>
          <w:tcPr>
            <w:tcW w:w="0" w:type="auto"/>
            <w:shd w:val="clear" w:color="auto" w:fill="CCEEFF"/>
            <w:vAlign w:val="bottom"/>
          </w:tcPr>
          <w:p w14:paraId="5556A77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A777" w14:textId="77777777" w:rsidR="00F925DD" w:rsidRDefault="00F925DD">
            <w:pPr>
              <w:jc w:val="right"/>
              <w:textAlignment w:val="center"/>
              <w:rPr>
                <w:rFonts w:ascii="Times New Roman" w:hAnsi="Times New Roman"/>
                <w:sz w:val="13"/>
                <w:szCs w:val="13"/>
              </w:rPr>
            </w:pPr>
          </w:p>
        </w:tc>
        <w:tc>
          <w:tcPr>
            <w:tcW w:w="0" w:type="auto"/>
            <w:gridSpan w:val="2"/>
            <w:shd w:val="clear" w:color="auto" w:fill="CCEEFF"/>
            <w:tcMar>
              <w:top w:w="40" w:type="dxa"/>
              <w:left w:w="40" w:type="dxa"/>
              <w:bottom w:w="40" w:type="dxa"/>
            </w:tcMar>
            <w:vAlign w:val="center"/>
          </w:tcPr>
          <w:p w14:paraId="5556A778"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1,000</w:t>
            </w:r>
          </w:p>
        </w:tc>
        <w:tc>
          <w:tcPr>
            <w:tcW w:w="0" w:type="auto"/>
            <w:shd w:val="clear" w:color="auto" w:fill="CCEEFF"/>
            <w:vAlign w:val="bottom"/>
          </w:tcPr>
          <w:p w14:paraId="5556A77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A77A" w14:textId="77777777" w:rsidR="00F925DD" w:rsidRDefault="00F925DD">
            <w:pPr>
              <w:textAlignment w:val="center"/>
              <w:rPr>
                <w:rFonts w:ascii="Times New Roman" w:hAnsi="Times New Roman"/>
                <w:sz w:val="13"/>
                <w:szCs w:val="13"/>
              </w:rPr>
            </w:pPr>
          </w:p>
        </w:tc>
        <w:tc>
          <w:tcPr>
            <w:tcW w:w="0" w:type="auto"/>
            <w:shd w:val="clear" w:color="auto" w:fill="CCEEFF"/>
            <w:tcMar>
              <w:top w:w="40" w:type="dxa"/>
              <w:left w:w="40" w:type="dxa"/>
              <w:bottom w:w="40" w:type="dxa"/>
              <w:right w:w="40" w:type="dxa"/>
            </w:tcMar>
            <w:vAlign w:val="center"/>
          </w:tcPr>
          <w:p w14:paraId="5556A77B" w14:textId="77777777" w:rsidR="00F925DD" w:rsidRDefault="00E705D7">
            <w:pPr>
              <w:textAlignment w:val="center"/>
              <w:rPr>
                <w:rFonts w:ascii="Times New Roman" w:hAnsi="Times New Roman"/>
                <w:sz w:val="13"/>
                <w:szCs w:val="13"/>
              </w:rPr>
            </w:pPr>
            <w:r>
              <w:rPr>
                <w:rFonts w:ascii="Arial" w:eastAsia="宋体" w:hAnsi="Arial" w:cs="Arial"/>
                <w:sz w:val="13"/>
                <w:szCs w:val="13"/>
              </w:rPr>
              <w:t xml:space="preserve">5.25% to but excluding </w:t>
            </w:r>
            <w:r>
              <w:rPr>
                <w:rFonts w:ascii="Arial" w:eastAsia="宋体" w:hAnsi="Arial" w:cs="Arial"/>
                <w:sz w:val="13"/>
                <w:szCs w:val="13"/>
              </w:rPr>
              <w:t>September 15, 2020, then a floating rate equal to the three-month LIBOR plus 3.597%</w:t>
            </w:r>
          </w:p>
        </w:tc>
        <w:tc>
          <w:tcPr>
            <w:tcW w:w="0" w:type="auto"/>
            <w:shd w:val="clear" w:color="auto" w:fill="CCEEFF"/>
            <w:tcMar>
              <w:top w:w="40" w:type="dxa"/>
              <w:left w:w="40" w:type="dxa"/>
              <w:bottom w:w="40" w:type="dxa"/>
              <w:right w:w="40" w:type="dxa"/>
            </w:tcMar>
            <w:vAlign w:val="bottom"/>
          </w:tcPr>
          <w:p w14:paraId="5556A7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7D" w14:textId="77777777" w:rsidR="00F925DD" w:rsidRDefault="00E705D7">
            <w:pPr>
              <w:textAlignment w:val="center"/>
              <w:rPr>
                <w:rFonts w:ascii="Times New Roman" w:hAnsi="Times New Roman"/>
                <w:sz w:val="13"/>
                <w:szCs w:val="13"/>
              </w:rPr>
            </w:pPr>
            <w:r>
              <w:rPr>
                <w:rFonts w:ascii="Arial" w:eastAsia="宋体" w:hAnsi="Arial" w:cs="Arial"/>
                <w:sz w:val="13"/>
                <w:szCs w:val="13"/>
              </w:rPr>
              <w:t>Semi-annually: March and September</w:t>
            </w:r>
          </w:p>
        </w:tc>
        <w:tc>
          <w:tcPr>
            <w:tcW w:w="0" w:type="auto"/>
            <w:shd w:val="clear" w:color="auto" w:fill="CCEEFF"/>
            <w:tcMar>
              <w:top w:w="40" w:type="dxa"/>
              <w:left w:w="40" w:type="dxa"/>
              <w:bottom w:w="40" w:type="dxa"/>
              <w:right w:w="40" w:type="dxa"/>
            </w:tcMar>
            <w:vAlign w:val="bottom"/>
          </w:tcPr>
          <w:p w14:paraId="5556A7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A77F"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742</w:t>
            </w:r>
          </w:p>
        </w:tc>
        <w:tc>
          <w:tcPr>
            <w:tcW w:w="0" w:type="auto"/>
            <w:shd w:val="clear" w:color="auto" w:fill="CCEEFF"/>
            <w:vAlign w:val="bottom"/>
          </w:tcPr>
          <w:p w14:paraId="5556A78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A781" w14:textId="77777777" w:rsidR="00F925DD" w:rsidRDefault="00F925DD">
            <w:pPr>
              <w:textAlignment w:val="center"/>
              <w:rPr>
                <w:rFonts w:ascii="Times New Roman" w:hAnsi="Times New Roman"/>
                <w:sz w:val="13"/>
                <w:szCs w:val="13"/>
              </w:rPr>
            </w:pPr>
          </w:p>
        </w:tc>
        <w:tc>
          <w:tcPr>
            <w:tcW w:w="0" w:type="auto"/>
            <w:shd w:val="clear" w:color="auto" w:fill="CCEEFF"/>
            <w:tcMar>
              <w:top w:w="40" w:type="dxa"/>
              <w:left w:w="40" w:type="dxa"/>
              <w:bottom w:w="40" w:type="dxa"/>
              <w:right w:w="40" w:type="dxa"/>
            </w:tcMar>
            <w:vAlign w:val="center"/>
          </w:tcPr>
          <w:p w14:paraId="5556A782" w14:textId="77777777" w:rsidR="00F925DD" w:rsidRDefault="00E705D7">
            <w:pPr>
              <w:textAlignment w:val="center"/>
              <w:rPr>
                <w:rFonts w:ascii="Times New Roman" w:hAnsi="Times New Roman"/>
                <w:sz w:val="13"/>
                <w:szCs w:val="13"/>
              </w:rPr>
            </w:pPr>
            <w:r>
              <w:rPr>
                <w:rFonts w:ascii="Arial" w:eastAsia="宋体" w:hAnsi="Arial" w:cs="Arial"/>
                <w:sz w:val="13"/>
                <w:szCs w:val="13"/>
              </w:rPr>
              <w:t>September 15, 2020</w:t>
            </w:r>
          </w:p>
        </w:tc>
      </w:tr>
      <w:tr w:rsidR="00F925DD" w14:paraId="5556A79C" w14:textId="77777777">
        <w:tc>
          <w:tcPr>
            <w:tcW w:w="0" w:type="auto"/>
            <w:shd w:val="clear" w:color="auto" w:fill="auto"/>
            <w:tcMar>
              <w:top w:w="40" w:type="dxa"/>
              <w:left w:w="40" w:type="dxa"/>
              <w:bottom w:w="40" w:type="dxa"/>
              <w:right w:w="40" w:type="dxa"/>
            </w:tcMar>
            <w:vAlign w:val="center"/>
          </w:tcPr>
          <w:p w14:paraId="5556A784" w14:textId="77777777" w:rsidR="00F925DD" w:rsidRDefault="00E705D7">
            <w:pPr>
              <w:textAlignment w:val="center"/>
              <w:rPr>
                <w:rFonts w:ascii="Times New Roman" w:hAnsi="Times New Roman"/>
                <w:sz w:val="13"/>
                <w:szCs w:val="13"/>
              </w:rPr>
            </w:pPr>
            <w:r>
              <w:rPr>
                <w:rFonts w:ascii="Arial" w:eastAsia="宋体" w:hAnsi="Arial" w:cs="Arial"/>
                <w:sz w:val="13"/>
                <w:szCs w:val="13"/>
              </w:rPr>
              <w:t>Series G</w:t>
            </w:r>
          </w:p>
        </w:tc>
        <w:tc>
          <w:tcPr>
            <w:tcW w:w="0" w:type="auto"/>
            <w:shd w:val="clear" w:color="auto" w:fill="auto"/>
            <w:tcMar>
              <w:top w:w="40" w:type="dxa"/>
              <w:left w:w="40" w:type="dxa"/>
              <w:bottom w:w="40" w:type="dxa"/>
              <w:right w:w="40" w:type="dxa"/>
            </w:tcMar>
            <w:vAlign w:val="center"/>
          </w:tcPr>
          <w:p w14:paraId="5556A785" w14:textId="77777777" w:rsidR="00F925DD" w:rsidRDefault="00E705D7">
            <w:pPr>
              <w:textAlignment w:val="center"/>
              <w:rPr>
                <w:rFonts w:ascii="Times New Roman" w:hAnsi="Times New Roman"/>
                <w:sz w:val="13"/>
                <w:szCs w:val="13"/>
              </w:rPr>
            </w:pPr>
            <w:r>
              <w:rPr>
                <w:rFonts w:ascii="Arial" w:eastAsia="宋体" w:hAnsi="Arial" w:cs="Arial"/>
                <w:sz w:val="13"/>
                <w:szCs w:val="13"/>
              </w:rPr>
              <w:t>April 2016</w:t>
            </w:r>
          </w:p>
        </w:tc>
        <w:tc>
          <w:tcPr>
            <w:tcW w:w="0" w:type="auto"/>
            <w:shd w:val="clear" w:color="auto" w:fill="auto"/>
            <w:tcMar>
              <w:top w:w="40" w:type="dxa"/>
              <w:left w:w="40" w:type="dxa"/>
              <w:bottom w:w="40" w:type="dxa"/>
              <w:right w:w="40" w:type="dxa"/>
            </w:tcMar>
            <w:vAlign w:val="bottom"/>
          </w:tcPr>
          <w:p w14:paraId="5556A7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A787" w14:textId="77777777" w:rsidR="00F925DD" w:rsidRDefault="00E705D7">
            <w:pPr>
              <w:textAlignment w:val="center"/>
              <w:rPr>
                <w:rFonts w:ascii="Times New Roman" w:hAnsi="Times New Roman"/>
                <w:sz w:val="13"/>
                <w:szCs w:val="13"/>
              </w:rPr>
            </w:pPr>
            <w:r>
              <w:rPr>
                <w:rFonts w:ascii="Arial" w:eastAsia="宋体" w:hAnsi="Arial" w:cs="Arial"/>
                <w:sz w:val="13"/>
                <w:szCs w:val="13"/>
              </w:rPr>
              <w:t>20,000,000</w:t>
            </w:r>
          </w:p>
        </w:tc>
        <w:tc>
          <w:tcPr>
            <w:tcW w:w="0" w:type="auto"/>
            <w:shd w:val="clear" w:color="auto" w:fill="auto"/>
            <w:tcMar>
              <w:top w:w="40" w:type="dxa"/>
              <w:left w:w="40" w:type="dxa"/>
              <w:bottom w:w="40" w:type="dxa"/>
              <w:right w:w="40" w:type="dxa"/>
            </w:tcMar>
            <w:vAlign w:val="center"/>
          </w:tcPr>
          <w:p w14:paraId="5556A788" w14:textId="77777777" w:rsidR="00F925DD" w:rsidRDefault="00F925DD">
            <w:pPr>
              <w:textAlignment w:val="center"/>
              <w:rPr>
                <w:rFonts w:ascii="Times New Roman" w:hAnsi="Times New Roman"/>
                <w:sz w:val="13"/>
                <w:szCs w:val="13"/>
              </w:rPr>
            </w:pPr>
          </w:p>
        </w:tc>
        <w:tc>
          <w:tcPr>
            <w:tcW w:w="0" w:type="auto"/>
            <w:gridSpan w:val="2"/>
            <w:shd w:val="clear" w:color="auto" w:fill="auto"/>
            <w:tcMar>
              <w:top w:w="40" w:type="dxa"/>
              <w:left w:w="40" w:type="dxa"/>
              <w:bottom w:w="40" w:type="dxa"/>
            </w:tcMar>
            <w:vAlign w:val="center"/>
          </w:tcPr>
          <w:p w14:paraId="5556A789"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500</w:t>
            </w:r>
          </w:p>
        </w:tc>
        <w:tc>
          <w:tcPr>
            <w:tcW w:w="0" w:type="auto"/>
            <w:shd w:val="clear" w:color="auto" w:fill="auto"/>
            <w:vAlign w:val="bottom"/>
          </w:tcPr>
          <w:p w14:paraId="5556A78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7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A78C" w14:textId="77777777" w:rsidR="00F925DD" w:rsidRDefault="00E705D7">
            <w:pPr>
              <w:textAlignment w:val="center"/>
              <w:rPr>
                <w:rFonts w:ascii="Times New Roman" w:hAnsi="Times New Roman"/>
                <w:sz w:val="13"/>
                <w:szCs w:val="13"/>
              </w:rPr>
            </w:pPr>
            <w:r>
              <w:rPr>
                <w:rFonts w:ascii="Arial" w:eastAsia="宋体" w:hAnsi="Arial" w:cs="Arial"/>
                <w:sz w:val="13"/>
                <w:szCs w:val="13"/>
              </w:rPr>
              <w:t>1/4,000th</w:t>
            </w:r>
          </w:p>
        </w:tc>
        <w:tc>
          <w:tcPr>
            <w:tcW w:w="0" w:type="auto"/>
            <w:shd w:val="clear" w:color="auto" w:fill="auto"/>
            <w:tcMar>
              <w:top w:w="40" w:type="dxa"/>
              <w:left w:w="40" w:type="dxa"/>
              <w:bottom w:w="40" w:type="dxa"/>
              <w:right w:w="40" w:type="dxa"/>
            </w:tcMar>
            <w:vAlign w:val="center"/>
          </w:tcPr>
          <w:p w14:paraId="5556A78D" w14:textId="77777777" w:rsidR="00F925DD" w:rsidRDefault="00F925DD">
            <w:pPr>
              <w:textAlignment w:val="center"/>
              <w:rPr>
                <w:rFonts w:ascii="Times New Roman" w:hAnsi="Times New Roman"/>
                <w:sz w:val="13"/>
                <w:szCs w:val="13"/>
              </w:rPr>
            </w:pPr>
          </w:p>
        </w:tc>
        <w:tc>
          <w:tcPr>
            <w:tcW w:w="0" w:type="auto"/>
            <w:gridSpan w:val="2"/>
            <w:shd w:val="clear" w:color="auto" w:fill="auto"/>
            <w:tcMar>
              <w:top w:w="40" w:type="dxa"/>
              <w:left w:w="40" w:type="dxa"/>
              <w:bottom w:w="40" w:type="dxa"/>
            </w:tcMar>
            <w:vAlign w:val="center"/>
          </w:tcPr>
          <w:p w14:paraId="5556A78E"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100,000</w:t>
            </w:r>
          </w:p>
        </w:tc>
        <w:tc>
          <w:tcPr>
            <w:tcW w:w="0" w:type="auto"/>
            <w:shd w:val="clear" w:color="auto" w:fill="auto"/>
            <w:vAlign w:val="bottom"/>
          </w:tcPr>
          <w:p w14:paraId="5556A78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A790" w14:textId="77777777" w:rsidR="00F925DD" w:rsidRDefault="00F925DD">
            <w:pPr>
              <w:jc w:val="right"/>
              <w:textAlignment w:val="center"/>
              <w:rPr>
                <w:rFonts w:ascii="Times New Roman" w:hAnsi="Times New Roman"/>
                <w:sz w:val="13"/>
                <w:szCs w:val="13"/>
              </w:rPr>
            </w:pPr>
          </w:p>
        </w:tc>
        <w:tc>
          <w:tcPr>
            <w:tcW w:w="0" w:type="auto"/>
            <w:gridSpan w:val="2"/>
            <w:shd w:val="clear" w:color="auto" w:fill="auto"/>
            <w:tcMar>
              <w:top w:w="40" w:type="dxa"/>
              <w:left w:w="40" w:type="dxa"/>
              <w:bottom w:w="40" w:type="dxa"/>
            </w:tcMar>
            <w:vAlign w:val="center"/>
          </w:tcPr>
          <w:p w14:paraId="5556A791"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25</w:t>
            </w:r>
          </w:p>
        </w:tc>
        <w:tc>
          <w:tcPr>
            <w:tcW w:w="0" w:type="auto"/>
            <w:shd w:val="clear" w:color="auto" w:fill="auto"/>
            <w:vAlign w:val="bottom"/>
          </w:tcPr>
          <w:p w14:paraId="5556A79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A793" w14:textId="77777777" w:rsidR="00F925DD" w:rsidRDefault="00F925DD">
            <w:pPr>
              <w:textAlignment w:val="center"/>
              <w:rPr>
                <w:rFonts w:ascii="Times New Roman" w:hAnsi="Times New Roman"/>
                <w:sz w:val="13"/>
                <w:szCs w:val="13"/>
              </w:rPr>
            </w:pPr>
          </w:p>
        </w:tc>
        <w:tc>
          <w:tcPr>
            <w:tcW w:w="0" w:type="auto"/>
            <w:shd w:val="clear" w:color="auto" w:fill="auto"/>
            <w:tcMar>
              <w:top w:w="40" w:type="dxa"/>
              <w:left w:w="40" w:type="dxa"/>
              <w:bottom w:w="40" w:type="dxa"/>
              <w:right w:w="40" w:type="dxa"/>
            </w:tcMar>
            <w:vAlign w:val="center"/>
          </w:tcPr>
          <w:p w14:paraId="5556A794" w14:textId="77777777" w:rsidR="00F925DD" w:rsidRDefault="00E705D7">
            <w:pPr>
              <w:textAlignment w:val="center"/>
              <w:rPr>
                <w:rFonts w:ascii="Times New Roman" w:hAnsi="Times New Roman"/>
                <w:sz w:val="13"/>
                <w:szCs w:val="13"/>
              </w:rPr>
            </w:pPr>
            <w:r>
              <w:rPr>
                <w:rFonts w:ascii="Arial" w:eastAsia="宋体" w:hAnsi="Arial" w:cs="Arial"/>
                <w:sz w:val="13"/>
                <w:szCs w:val="13"/>
              </w:rPr>
              <w:t>5.35% to but excluding March 15, 2026, then a floating rate equal to the three-month LIBOR plus 3.709%</w:t>
            </w:r>
          </w:p>
        </w:tc>
        <w:tc>
          <w:tcPr>
            <w:tcW w:w="0" w:type="auto"/>
            <w:shd w:val="clear" w:color="auto" w:fill="auto"/>
            <w:tcMar>
              <w:top w:w="40" w:type="dxa"/>
              <w:left w:w="40" w:type="dxa"/>
              <w:bottom w:w="40" w:type="dxa"/>
              <w:right w:w="40" w:type="dxa"/>
            </w:tcMar>
            <w:vAlign w:val="bottom"/>
          </w:tcPr>
          <w:p w14:paraId="5556A7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A796" w14:textId="77777777" w:rsidR="00F925DD" w:rsidRDefault="00E705D7">
            <w:pPr>
              <w:textAlignment w:val="center"/>
              <w:rPr>
                <w:rFonts w:ascii="Times New Roman" w:hAnsi="Times New Roman"/>
                <w:sz w:val="13"/>
                <w:szCs w:val="13"/>
              </w:rPr>
            </w:pPr>
            <w:r>
              <w:rPr>
                <w:rFonts w:ascii="Arial" w:eastAsia="宋体" w:hAnsi="Arial" w:cs="Arial"/>
                <w:sz w:val="13"/>
                <w:szCs w:val="13"/>
              </w:rPr>
              <w:t>Quarterly: March, June, September and December</w:t>
            </w:r>
          </w:p>
        </w:tc>
        <w:tc>
          <w:tcPr>
            <w:tcW w:w="0" w:type="auto"/>
            <w:shd w:val="clear" w:color="auto" w:fill="auto"/>
            <w:tcMar>
              <w:top w:w="40" w:type="dxa"/>
              <w:left w:w="40" w:type="dxa"/>
              <w:bottom w:w="40" w:type="dxa"/>
              <w:right w:w="40" w:type="dxa"/>
            </w:tcMar>
            <w:vAlign w:val="bottom"/>
          </w:tcPr>
          <w:p w14:paraId="5556A7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A798"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493</w:t>
            </w:r>
          </w:p>
        </w:tc>
        <w:tc>
          <w:tcPr>
            <w:tcW w:w="0" w:type="auto"/>
            <w:shd w:val="clear" w:color="auto" w:fill="auto"/>
            <w:vAlign w:val="bottom"/>
          </w:tcPr>
          <w:p w14:paraId="5556A79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A79A" w14:textId="77777777" w:rsidR="00F925DD" w:rsidRDefault="00F925DD">
            <w:pPr>
              <w:textAlignment w:val="center"/>
              <w:rPr>
                <w:rFonts w:ascii="Times New Roman" w:hAnsi="Times New Roman"/>
                <w:sz w:val="13"/>
                <w:szCs w:val="13"/>
              </w:rPr>
            </w:pPr>
          </w:p>
        </w:tc>
        <w:tc>
          <w:tcPr>
            <w:tcW w:w="0" w:type="auto"/>
            <w:shd w:val="clear" w:color="auto" w:fill="auto"/>
            <w:tcMar>
              <w:top w:w="40" w:type="dxa"/>
              <w:left w:w="40" w:type="dxa"/>
              <w:bottom w:w="40" w:type="dxa"/>
              <w:right w:w="40" w:type="dxa"/>
            </w:tcMar>
            <w:vAlign w:val="center"/>
          </w:tcPr>
          <w:p w14:paraId="5556A79B" w14:textId="77777777" w:rsidR="00F925DD" w:rsidRDefault="00E705D7">
            <w:pPr>
              <w:textAlignment w:val="center"/>
              <w:rPr>
                <w:rFonts w:ascii="Times New Roman" w:hAnsi="Times New Roman"/>
                <w:sz w:val="13"/>
                <w:szCs w:val="13"/>
              </w:rPr>
            </w:pPr>
            <w:r>
              <w:rPr>
                <w:rFonts w:ascii="Arial" w:eastAsia="宋体" w:hAnsi="Arial" w:cs="Arial"/>
                <w:sz w:val="13"/>
                <w:szCs w:val="13"/>
              </w:rPr>
              <w:t>March 15, 2026</w:t>
            </w:r>
          </w:p>
        </w:tc>
      </w:tr>
      <w:tr w:rsidR="00F925DD" w14:paraId="5556A7B5" w14:textId="77777777">
        <w:tc>
          <w:tcPr>
            <w:tcW w:w="0" w:type="auto"/>
            <w:shd w:val="clear" w:color="auto" w:fill="CCEEFF"/>
            <w:tcMar>
              <w:top w:w="40" w:type="dxa"/>
              <w:left w:w="40" w:type="dxa"/>
              <w:bottom w:w="40" w:type="dxa"/>
              <w:right w:w="40" w:type="dxa"/>
            </w:tcMar>
            <w:vAlign w:val="center"/>
          </w:tcPr>
          <w:p w14:paraId="5556A79D" w14:textId="77777777" w:rsidR="00F925DD" w:rsidRDefault="00E705D7">
            <w:pPr>
              <w:textAlignment w:val="center"/>
              <w:rPr>
                <w:rFonts w:ascii="Times New Roman" w:hAnsi="Times New Roman"/>
                <w:sz w:val="13"/>
                <w:szCs w:val="13"/>
              </w:rPr>
            </w:pPr>
            <w:r>
              <w:rPr>
                <w:rFonts w:ascii="Arial" w:eastAsia="宋体" w:hAnsi="Arial" w:cs="Arial"/>
                <w:sz w:val="13"/>
                <w:szCs w:val="13"/>
              </w:rPr>
              <w:t>Series H</w:t>
            </w:r>
          </w:p>
        </w:tc>
        <w:tc>
          <w:tcPr>
            <w:tcW w:w="0" w:type="auto"/>
            <w:shd w:val="clear" w:color="auto" w:fill="CCEEFF"/>
            <w:tcMar>
              <w:top w:w="40" w:type="dxa"/>
              <w:left w:w="40" w:type="dxa"/>
              <w:bottom w:w="40" w:type="dxa"/>
              <w:right w:w="40" w:type="dxa"/>
            </w:tcMar>
            <w:vAlign w:val="center"/>
          </w:tcPr>
          <w:p w14:paraId="5556A79E" w14:textId="77777777" w:rsidR="00F925DD" w:rsidRDefault="00E705D7">
            <w:pPr>
              <w:textAlignment w:val="center"/>
              <w:rPr>
                <w:rFonts w:ascii="Times New Roman" w:hAnsi="Times New Roman"/>
                <w:sz w:val="13"/>
                <w:szCs w:val="13"/>
              </w:rPr>
            </w:pPr>
            <w:r>
              <w:rPr>
                <w:rFonts w:ascii="Arial" w:eastAsia="宋体" w:hAnsi="Arial" w:cs="Arial"/>
                <w:sz w:val="13"/>
                <w:szCs w:val="13"/>
              </w:rPr>
              <w:t>September 2018</w:t>
            </w:r>
          </w:p>
        </w:tc>
        <w:tc>
          <w:tcPr>
            <w:tcW w:w="0" w:type="auto"/>
            <w:shd w:val="clear" w:color="auto" w:fill="CCEEFF"/>
            <w:tcMar>
              <w:top w:w="40" w:type="dxa"/>
              <w:left w:w="40" w:type="dxa"/>
              <w:bottom w:w="40" w:type="dxa"/>
              <w:right w:w="40" w:type="dxa"/>
            </w:tcMar>
            <w:vAlign w:val="bottom"/>
          </w:tcPr>
          <w:p w14:paraId="5556A7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A0" w14:textId="77777777" w:rsidR="00F925DD" w:rsidRDefault="00E705D7">
            <w:pPr>
              <w:textAlignment w:val="center"/>
              <w:rPr>
                <w:rFonts w:ascii="Times New Roman" w:hAnsi="Times New Roman"/>
                <w:sz w:val="13"/>
                <w:szCs w:val="13"/>
              </w:rPr>
            </w:pPr>
            <w:r>
              <w:rPr>
                <w:rFonts w:ascii="Arial" w:eastAsia="宋体" w:hAnsi="Arial" w:cs="Arial"/>
                <w:sz w:val="13"/>
                <w:szCs w:val="13"/>
              </w:rPr>
              <w:t>500,000</w:t>
            </w:r>
          </w:p>
        </w:tc>
        <w:tc>
          <w:tcPr>
            <w:tcW w:w="0" w:type="auto"/>
            <w:shd w:val="clear" w:color="auto" w:fill="CCEEFF"/>
            <w:tcMar>
              <w:top w:w="40" w:type="dxa"/>
              <w:left w:w="40" w:type="dxa"/>
              <w:bottom w:w="40" w:type="dxa"/>
              <w:right w:w="40" w:type="dxa"/>
            </w:tcMar>
            <w:vAlign w:val="bottom"/>
          </w:tcPr>
          <w:p w14:paraId="5556A7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A7A2"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500</w:t>
            </w:r>
          </w:p>
        </w:tc>
        <w:tc>
          <w:tcPr>
            <w:tcW w:w="0" w:type="auto"/>
            <w:shd w:val="clear" w:color="auto" w:fill="CCEEFF"/>
            <w:vAlign w:val="bottom"/>
          </w:tcPr>
          <w:p w14:paraId="5556A7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7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A5" w14:textId="77777777" w:rsidR="00F925DD" w:rsidRDefault="00E705D7">
            <w:pPr>
              <w:textAlignment w:val="center"/>
              <w:rPr>
                <w:rFonts w:ascii="Times New Roman" w:hAnsi="Times New Roman"/>
                <w:sz w:val="13"/>
                <w:szCs w:val="13"/>
              </w:rPr>
            </w:pPr>
            <w:r>
              <w:rPr>
                <w:rFonts w:ascii="Arial" w:eastAsia="宋体" w:hAnsi="Arial" w:cs="Arial"/>
                <w:sz w:val="13"/>
                <w:szCs w:val="13"/>
              </w:rPr>
              <w:t>1/100th</w:t>
            </w:r>
          </w:p>
        </w:tc>
        <w:tc>
          <w:tcPr>
            <w:tcW w:w="0" w:type="auto"/>
            <w:shd w:val="clear" w:color="auto" w:fill="CCEEFF"/>
            <w:tcMar>
              <w:top w:w="40" w:type="dxa"/>
              <w:left w:w="40" w:type="dxa"/>
              <w:bottom w:w="40" w:type="dxa"/>
              <w:right w:w="40" w:type="dxa"/>
            </w:tcMar>
            <w:vAlign w:val="bottom"/>
          </w:tcPr>
          <w:p w14:paraId="5556A7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A7A7"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100,000</w:t>
            </w:r>
          </w:p>
        </w:tc>
        <w:tc>
          <w:tcPr>
            <w:tcW w:w="0" w:type="auto"/>
            <w:shd w:val="clear" w:color="auto" w:fill="CCEEFF"/>
            <w:vAlign w:val="bottom"/>
          </w:tcPr>
          <w:p w14:paraId="5556A7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7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A7AA"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1,000</w:t>
            </w:r>
          </w:p>
        </w:tc>
        <w:tc>
          <w:tcPr>
            <w:tcW w:w="0" w:type="auto"/>
            <w:shd w:val="clear" w:color="auto" w:fill="CCEEFF"/>
            <w:vAlign w:val="bottom"/>
          </w:tcPr>
          <w:p w14:paraId="5556A7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7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AD" w14:textId="77777777" w:rsidR="00F925DD" w:rsidRDefault="00E705D7">
            <w:pPr>
              <w:textAlignment w:val="center"/>
              <w:rPr>
                <w:rFonts w:ascii="Times New Roman" w:hAnsi="Times New Roman"/>
                <w:sz w:val="13"/>
                <w:szCs w:val="13"/>
              </w:rPr>
            </w:pPr>
            <w:r>
              <w:rPr>
                <w:rFonts w:ascii="Arial" w:eastAsia="宋体" w:hAnsi="Arial" w:cs="Arial"/>
                <w:sz w:val="13"/>
                <w:szCs w:val="13"/>
              </w:rPr>
              <w:t>5.625% to but excluding December 15, 2023, then a floating rate equal to the three-month LIBOR plus 2.539%</w:t>
            </w:r>
          </w:p>
        </w:tc>
        <w:tc>
          <w:tcPr>
            <w:tcW w:w="0" w:type="auto"/>
            <w:shd w:val="clear" w:color="auto" w:fill="CCEEFF"/>
            <w:tcMar>
              <w:top w:w="40" w:type="dxa"/>
              <w:left w:w="40" w:type="dxa"/>
              <w:bottom w:w="40" w:type="dxa"/>
              <w:right w:w="40" w:type="dxa"/>
            </w:tcMar>
            <w:vAlign w:val="bottom"/>
          </w:tcPr>
          <w:p w14:paraId="5556A7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AF" w14:textId="77777777" w:rsidR="00F925DD" w:rsidRDefault="00E705D7">
            <w:pPr>
              <w:textAlignment w:val="center"/>
              <w:rPr>
                <w:rFonts w:ascii="Times New Roman" w:hAnsi="Times New Roman"/>
                <w:sz w:val="13"/>
                <w:szCs w:val="13"/>
              </w:rPr>
            </w:pPr>
            <w:r>
              <w:rPr>
                <w:rFonts w:ascii="Arial" w:eastAsia="宋体" w:hAnsi="Arial" w:cs="Arial"/>
                <w:sz w:val="13"/>
                <w:szCs w:val="13"/>
              </w:rPr>
              <w:t>Semi-annually: June and December</w:t>
            </w:r>
          </w:p>
        </w:tc>
        <w:tc>
          <w:tcPr>
            <w:tcW w:w="0" w:type="auto"/>
            <w:shd w:val="clear" w:color="auto" w:fill="CCEEFF"/>
            <w:tcMar>
              <w:top w:w="40" w:type="dxa"/>
              <w:left w:w="40" w:type="dxa"/>
              <w:bottom w:w="40" w:type="dxa"/>
              <w:right w:w="40" w:type="dxa"/>
            </w:tcMar>
            <w:vAlign w:val="bottom"/>
          </w:tcPr>
          <w:p w14:paraId="5556A7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A7B1" w14:textId="77777777" w:rsidR="00F925DD" w:rsidRDefault="00E705D7">
            <w:pPr>
              <w:jc w:val="right"/>
              <w:textAlignment w:val="center"/>
              <w:rPr>
                <w:rFonts w:ascii="Times New Roman" w:hAnsi="Times New Roman"/>
                <w:sz w:val="13"/>
                <w:szCs w:val="13"/>
              </w:rPr>
            </w:pPr>
            <w:r>
              <w:rPr>
                <w:rFonts w:ascii="Arial" w:eastAsia="宋体" w:hAnsi="Arial" w:cs="Arial"/>
                <w:sz w:val="13"/>
                <w:szCs w:val="13"/>
              </w:rPr>
              <w:t>494</w:t>
            </w:r>
          </w:p>
        </w:tc>
        <w:tc>
          <w:tcPr>
            <w:tcW w:w="0" w:type="auto"/>
            <w:shd w:val="clear" w:color="auto" w:fill="CCEEFF"/>
            <w:vAlign w:val="bottom"/>
          </w:tcPr>
          <w:p w14:paraId="5556A7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7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A7B4" w14:textId="77777777" w:rsidR="00F925DD" w:rsidRDefault="00E705D7">
            <w:pPr>
              <w:textAlignment w:val="center"/>
              <w:rPr>
                <w:rFonts w:ascii="Times New Roman" w:hAnsi="Times New Roman"/>
                <w:sz w:val="13"/>
                <w:szCs w:val="13"/>
              </w:rPr>
            </w:pPr>
            <w:r>
              <w:rPr>
                <w:rFonts w:ascii="Arial" w:eastAsia="宋体" w:hAnsi="Arial" w:cs="Arial"/>
                <w:sz w:val="13"/>
                <w:szCs w:val="13"/>
              </w:rPr>
              <w:t>December 15, 2023</w:t>
            </w:r>
          </w:p>
        </w:tc>
      </w:tr>
    </w:tbl>
    <w:p w14:paraId="5556A7B6"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1578"/>
        <w:gridCol w:w="1661"/>
        <w:gridCol w:w="2741"/>
      </w:tblGrid>
      <w:tr w:rsidR="00F925DD" w14:paraId="5556A7B8" w14:textId="77777777">
        <w:tc>
          <w:tcPr>
            <w:tcW w:w="0" w:type="auto"/>
            <w:gridSpan w:val="4"/>
            <w:shd w:val="clear" w:color="auto" w:fill="auto"/>
            <w:vAlign w:val="center"/>
          </w:tcPr>
          <w:p w14:paraId="5556A7B7" w14:textId="77777777" w:rsidR="00F925DD" w:rsidRDefault="00F925DD">
            <w:pPr>
              <w:rPr>
                <w:rFonts w:ascii="Times New Roman" w:hAnsi="Times New Roman"/>
                <w:sz w:val="20"/>
                <w:szCs w:val="20"/>
              </w:rPr>
            </w:pPr>
          </w:p>
        </w:tc>
      </w:tr>
      <w:tr w:rsidR="00F925DD" w14:paraId="5556A7BD" w14:textId="77777777">
        <w:tc>
          <w:tcPr>
            <w:tcW w:w="1400" w:type="pct"/>
            <w:shd w:val="clear" w:color="auto" w:fill="auto"/>
            <w:vAlign w:val="center"/>
          </w:tcPr>
          <w:p w14:paraId="5556A7B9" w14:textId="77777777" w:rsidR="00F925DD" w:rsidRDefault="00F925DD">
            <w:pPr>
              <w:rPr>
                <w:rFonts w:ascii="Times New Roman" w:hAnsi="Times New Roman"/>
                <w:sz w:val="20"/>
                <w:szCs w:val="20"/>
              </w:rPr>
            </w:pPr>
          </w:p>
        </w:tc>
        <w:tc>
          <w:tcPr>
            <w:tcW w:w="950" w:type="pct"/>
            <w:shd w:val="clear" w:color="auto" w:fill="auto"/>
            <w:vAlign w:val="center"/>
          </w:tcPr>
          <w:p w14:paraId="5556A7BA" w14:textId="77777777" w:rsidR="00F925DD" w:rsidRDefault="00F925DD">
            <w:pPr>
              <w:rPr>
                <w:rFonts w:ascii="Times New Roman" w:hAnsi="Times New Roman"/>
                <w:sz w:val="20"/>
                <w:szCs w:val="20"/>
              </w:rPr>
            </w:pPr>
          </w:p>
        </w:tc>
        <w:tc>
          <w:tcPr>
            <w:tcW w:w="1000" w:type="pct"/>
            <w:shd w:val="clear" w:color="auto" w:fill="auto"/>
            <w:vAlign w:val="center"/>
          </w:tcPr>
          <w:p w14:paraId="5556A7BB" w14:textId="77777777" w:rsidR="00F925DD" w:rsidRDefault="00F925DD">
            <w:pPr>
              <w:rPr>
                <w:rFonts w:ascii="Times New Roman" w:hAnsi="Times New Roman"/>
                <w:sz w:val="20"/>
                <w:szCs w:val="20"/>
              </w:rPr>
            </w:pPr>
          </w:p>
        </w:tc>
        <w:tc>
          <w:tcPr>
            <w:tcW w:w="1650" w:type="pct"/>
            <w:shd w:val="clear" w:color="auto" w:fill="auto"/>
            <w:vAlign w:val="center"/>
          </w:tcPr>
          <w:p w14:paraId="5556A7BC" w14:textId="77777777" w:rsidR="00F925DD" w:rsidRDefault="00F925DD">
            <w:pPr>
              <w:rPr>
                <w:rFonts w:ascii="Times New Roman" w:hAnsi="Times New Roman"/>
                <w:sz w:val="20"/>
                <w:szCs w:val="20"/>
              </w:rPr>
            </w:pPr>
          </w:p>
        </w:tc>
      </w:tr>
      <w:tr w:rsidR="00F925DD" w14:paraId="5556A7C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A7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7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7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7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A7C3" w14:textId="77777777" w:rsidR="00F925DD" w:rsidRDefault="00E705D7">
      <w:pPr>
        <w:spacing w:line="288" w:lineRule="auto"/>
        <w:jc w:val="both"/>
        <w:rPr>
          <w:rFonts w:ascii="Times New Roman" w:hAnsi="Times New Roman"/>
          <w:sz w:val="20"/>
          <w:szCs w:val="20"/>
        </w:rPr>
      </w:pPr>
      <w:r>
        <w:rPr>
          <w:rFonts w:ascii="Arial" w:eastAsia="宋体" w:hAnsi="Arial" w:cs="Arial"/>
          <w:sz w:val="13"/>
          <w:szCs w:val="13"/>
        </w:rPr>
        <w:t xml:space="preserve">(1) On the redemption date, or any dividend payment date thereafter, the preferred stock and corresponding depositary shares may be redeemed by us, in whole or in part, at </w:t>
      </w:r>
      <w:r>
        <w:rPr>
          <w:rFonts w:ascii="Arial" w:eastAsia="宋体" w:hAnsi="Arial" w:cs="Arial"/>
          <w:sz w:val="13"/>
          <w:szCs w:val="13"/>
        </w:rPr>
        <w:t>the liquidation price per share and liquidation price per depositary share plus any declared and unpaid dividends, without accumulation of any undeclared dividends.</w:t>
      </w:r>
    </w:p>
    <w:p w14:paraId="5556A7C4"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(2) The preferred stock and corresponding depositary shares may be redeemed at our option i</w:t>
      </w:r>
      <w:r>
        <w:rPr>
          <w:rFonts w:ascii="Arial" w:eastAsia="宋体" w:hAnsi="Arial" w:cs="Arial"/>
          <w:sz w:val="13"/>
          <w:szCs w:val="13"/>
        </w:rPr>
        <w:t>n whole, but not in part, prior to the redemption date upon the occurrence of a regulatory capital treatment event, as defined in the certificate of designation, at a redemption price equal to the liquidation price per share and liquidation price per depos</w:t>
      </w:r>
      <w:r>
        <w:rPr>
          <w:rFonts w:ascii="Arial" w:eastAsia="宋体" w:hAnsi="Arial" w:cs="Arial"/>
          <w:sz w:val="13"/>
          <w:szCs w:val="13"/>
        </w:rPr>
        <w:t>itary share plus any declared and unpaid dividends, without accumulation of any undeclared dividends.</w:t>
      </w:r>
    </w:p>
    <w:p w14:paraId="5556A7C5" w14:textId="77777777" w:rsidR="00F925DD" w:rsidRDefault="00F925DD">
      <w:pPr>
        <w:rPr>
          <w:rFonts w:ascii="Times New Roman" w:hAnsi="Times New Roman"/>
          <w:sz w:val="20"/>
          <w:szCs w:val="20"/>
        </w:rPr>
      </w:pPr>
    </w:p>
    <w:p w14:paraId="5556A7C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113</w:t>
      </w:r>
    </w:p>
    <w:p w14:paraId="5556A7C7" w14:textId="77777777" w:rsidR="00F925DD" w:rsidRDefault="00F925DD">
      <w:pPr>
        <w:spacing w:line="288" w:lineRule="auto"/>
        <w:ind w:firstLine="600"/>
        <w:jc w:val="center"/>
        <w:rPr>
          <w:rFonts w:ascii="Times New Roman" w:hAnsi="Times New Roman"/>
          <w:sz w:val="18"/>
          <w:szCs w:val="18"/>
        </w:rPr>
      </w:pPr>
    </w:p>
    <w:p w14:paraId="5556A7C8" w14:textId="77777777" w:rsidR="00F925DD" w:rsidRDefault="00E705D7">
      <w:r>
        <w:rPr>
          <w:rFonts w:ascii="Times New Roman" w:hAnsi="Times New Roman"/>
          <w:sz w:val="18"/>
          <w:szCs w:val="18"/>
        </w:rPr>
        <w:pict w14:anchorId="555706AB">
          <v:rect id="_x0000_i1137" style="width:415.3pt;height:1.5pt" o:hralign="center" o:hrstd="t" o:hr="t" fillcolor="#a0a0a0" stroked="f"/>
        </w:pict>
      </w:r>
    </w:p>
    <w:p w14:paraId="5556A7C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A7C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A7CB" w14:textId="77777777" w:rsidR="00F925DD" w:rsidRDefault="00F925DD">
      <w:pPr>
        <w:rPr>
          <w:rFonts w:ascii="Times New Roman" w:hAnsi="Times New Roman"/>
          <w:sz w:val="20"/>
          <w:szCs w:val="20"/>
        </w:rPr>
      </w:pPr>
    </w:p>
    <w:p w14:paraId="5556A7C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the fourth quarter of </w:t>
      </w:r>
      <w:r>
        <w:rPr>
          <w:rFonts w:ascii="Arial" w:eastAsia="宋体" w:hAnsi="Arial" w:cs="Arial"/>
          <w:sz w:val="20"/>
          <w:szCs w:val="20"/>
        </w:rPr>
        <w:t>2019, we requested and received approval from the Federal Reserve to redeem our outstanding Series E non-cumulative perpetual preferred stock. We redeemed all outstanding shares as of December 15, 2019 at a redemption price of $750 million ($100,000 per sh</w:t>
      </w:r>
      <w:r>
        <w:rPr>
          <w:rFonts w:ascii="Arial" w:eastAsia="宋体" w:hAnsi="Arial" w:cs="Arial"/>
          <w:sz w:val="20"/>
          <w:szCs w:val="20"/>
        </w:rPr>
        <w:t>are equivalent to $25.00 per depositary share) plus accrued and unpaid dividends. The difference between the redemption value and the net carrying value of $22 million resulted in an EPS impact of approximately ($0.06) per share in 2019.</w:t>
      </w:r>
    </w:p>
    <w:p w14:paraId="5556A7C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On February 12, 20</w:t>
      </w:r>
      <w:r>
        <w:rPr>
          <w:rFonts w:ascii="Arial" w:eastAsia="宋体" w:hAnsi="Arial" w:cs="Arial"/>
          <w:sz w:val="20"/>
          <w:szCs w:val="20"/>
        </w:rPr>
        <w:t>20, we announced that we will redeem all 5,000 of our outstanding shares of our non-cumulative perpetual preferred stock, Series C, for cash at a redemption price of $100,000 per share (equivalent to $25.00 per depositary share) plus all declared and unpai</w:t>
      </w:r>
      <w:r>
        <w:rPr>
          <w:rFonts w:ascii="Arial" w:eastAsia="宋体" w:hAnsi="Arial" w:cs="Arial"/>
          <w:sz w:val="20"/>
          <w:szCs w:val="20"/>
        </w:rPr>
        <w:t>d dividends. The redemption price will be payable on March 16, 2020, and this redemption will be reflected in our first quarter 2020 results of operations.</w:t>
      </w:r>
    </w:p>
    <w:p w14:paraId="5556A7C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the dividends declared for each of the series of preferred stock issued</w:t>
      </w:r>
      <w:r>
        <w:rPr>
          <w:rFonts w:ascii="Arial" w:eastAsia="宋体" w:hAnsi="Arial" w:cs="Arial"/>
          <w:sz w:val="20"/>
          <w:szCs w:val="20"/>
        </w:rPr>
        <w:t xml:space="preserve"> and outstanding for the periods indicated:</w:t>
      </w:r>
    </w:p>
    <w:tbl>
      <w:tblPr>
        <w:tblW w:w="5000" w:type="pct"/>
        <w:tblCellMar>
          <w:left w:w="0" w:type="dxa"/>
          <w:right w:w="0" w:type="dxa"/>
        </w:tblCellMar>
        <w:tblLook w:val="04A0" w:firstRow="1" w:lastRow="0" w:firstColumn="1" w:lastColumn="0" w:noHBand="0" w:noVBand="1"/>
      </w:tblPr>
      <w:tblGrid>
        <w:gridCol w:w="1909"/>
        <w:gridCol w:w="997"/>
        <w:gridCol w:w="83"/>
        <w:gridCol w:w="997"/>
        <w:gridCol w:w="83"/>
        <w:gridCol w:w="997"/>
        <w:gridCol w:w="83"/>
        <w:gridCol w:w="997"/>
        <w:gridCol w:w="83"/>
        <w:gridCol w:w="997"/>
        <w:gridCol w:w="83"/>
        <w:gridCol w:w="997"/>
      </w:tblGrid>
      <w:tr w:rsidR="00F925DD" w14:paraId="5556A7D0" w14:textId="77777777">
        <w:tc>
          <w:tcPr>
            <w:tcW w:w="0" w:type="auto"/>
            <w:gridSpan w:val="12"/>
            <w:shd w:val="clear" w:color="auto" w:fill="auto"/>
            <w:vAlign w:val="center"/>
          </w:tcPr>
          <w:p w14:paraId="5556A7CF" w14:textId="77777777" w:rsidR="00F925DD" w:rsidRDefault="00F925DD">
            <w:pPr>
              <w:rPr>
                <w:rFonts w:ascii="Times New Roman" w:hAnsi="Times New Roman"/>
                <w:sz w:val="20"/>
                <w:szCs w:val="20"/>
              </w:rPr>
            </w:pPr>
          </w:p>
        </w:tc>
      </w:tr>
      <w:tr w:rsidR="00F925DD" w14:paraId="5556A7DD" w14:textId="77777777">
        <w:tc>
          <w:tcPr>
            <w:tcW w:w="1150" w:type="pct"/>
            <w:shd w:val="clear" w:color="auto" w:fill="auto"/>
            <w:vAlign w:val="center"/>
          </w:tcPr>
          <w:p w14:paraId="5556A7D1" w14:textId="77777777" w:rsidR="00F925DD" w:rsidRDefault="00F925DD">
            <w:pPr>
              <w:rPr>
                <w:rFonts w:ascii="Times New Roman" w:hAnsi="Times New Roman"/>
                <w:sz w:val="20"/>
                <w:szCs w:val="20"/>
              </w:rPr>
            </w:pPr>
          </w:p>
        </w:tc>
        <w:tc>
          <w:tcPr>
            <w:tcW w:w="600" w:type="pct"/>
            <w:shd w:val="clear" w:color="auto" w:fill="auto"/>
            <w:vAlign w:val="center"/>
          </w:tcPr>
          <w:p w14:paraId="5556A7D2" w14:textId="77777777" w:rsidR="00F925DD" w:rsidRDefault="00F925DD">
            <w:pPr>
              <w:rPr>
                <w:rFonts w:ascii="Times New Roman" w:hAnsi="Times New Roman"/>
                <w:sz w:val="20"/>
                <w:szCs w:val="20"/>
              </w:rPr>
            </w:pPr>
          </w:p>
        </w:tc>
        <w:tc>
          <w:tcPr>
            <w:tcW w:w="50" w:type="pct"/>
            <w:shd w:val="clear" w:color="auto" w:fill="auto"/>
            <w:vAlign w:val="center"/>
          </w:tcPr>
          <w:p w14:paraId="5556A7D3" w14:textId="77777777" w:rsidR="00F925DD" w:rsidRDefault="00F925DD">
            <w:pPr>
              <w:rPr>
                <w:rFonts w:ascii="Times New Roman" w:hAnsi="Times New Roman"/>
                <w:sz w:val="20"/>
                <w:szCs w:val="20"/>
              </w:rPr>
            </w:pPr>
          </w:p>
        </w:tc>
        <w:tc>
          <w:tcPr>
            <w:tcW w:w="600" w:type="pct"/>
            <w:shd w:val="clear" w:color="auto" w:fill="auto"/>
            <w:vAlign w:val="center"/>
          </w:tcPr>
          <w:p w14:paraId="5556A7D4" w14:textId="77777777" w:rsidR="00F925DD" w:rsidRDefault="00F925DD">
            <w:pPr>
              <w:rPr>
                <w:rFonts w:ascii="Times New Roman" w:hAnsi="Times New Roman"/>
                <w:sz w:val="20"/>
                <w:szCs w:val="20"/>
              </w:rPr>
            </w:pPr>
          </w:p>
        </w:tc>
        <w:tc>
          <w:tcPr>
            <w:tcW w:w="50" w:type="pct"/>
            <w:shd w:val="clear" w:color="auto" w:fill="auto"/>
            <w:vAlign w:val="center"/>
          </w:tcPr>
          <w:p w14:paraId="5556A7D5" w14:textId="77777777" w:rsidR="00F925DD" w:rsidRDefault="00F925DD">
            <w:pPr>
              <w:rPr>
                <w:rFonts w:ascii="Times New Roman" w:hAnsi="Times New Roman"/>
                <w:sz w:val="20"/>
                <w:szCs w:val="20"/>
              </w:rPr>
            </w:pPr>
          </w:p>
        </w:tc>
        <w:tc>
          <w:tcPr>
            <w:tcW w:w="600" w:type="pct"/>
            <w:shd w:val="clear" w:color="auto" w:fill="auto"/>
            <w:vAlign w:val="center"/>
          </w:tcPr>
          <w:p w14:paraId="5556A7D6" w14:textId="77777777" w:rsidR="00F925DD" w:rsidRDefault="00F925DD">
            <w:pPr>
              <w:rPr>
                <w:rFonts w:ascii="Times New Roman" w:hAnsi="Times New Roman"/>
                <w:sz w:val="20"/>
                <w:szCs w:val="20"/>
              </w:rPr>
            </w:pPr>
          </w:p>
        </w:tc>
        <w:tc>
          <w:tcPr>
            <w:tcW w:w="50" w:type="pct"/>
            <w:shd w:val="clear" w:color="auto" w:fill="auto"/>
            <w:vAlign w:val="center"/>
          </w:tcPr>
          <w:p w14:paraId="5556A7D7" w14:textId="77777777" w:rsidR="00F925DD" w:rsidRDefault="00F925DD">
            <w:pPr>
              <w:rPr>
                <w:rFonts w:ascii="Times New Roman" w:hAnsi="Times New Roman"/>
                <w:sz w:val="20"/>
                <w:szCs w:val="20"/>
              </w:rPr>
            </w:pPr>
          </w:p>
        </w:tc>
        <w:tc>
          <w:tcPr>
            <w:tcW w:w="600" w:type="pct"/>
            <w:shd w:val="clear" w:color="auto" w:fill="auto"/>
            <w:vAlign w:val="center"/>
          </w:tcPr>
          <w:p w14:paraId="5556A7D8" w14:textId="77777777" w:rsidR="00F925DD" w:rsidRDefault="00F925DD">
            <w:pPr>
              <w:rPr>
                <w:rFonts w:ascii="Times New Roman" w:hAnsi="Times New Roman"/>
                <w:sz w:val="20"/>
                <w:szCs w:val="20"/>
              </w:rPr>
            </w:pPr>
          </w:p>
        </w:tc>
        <w:tc>
          <w:tcPr>
            <w:tcW w:w="50" w:type="pct"/>
            <w:shd w:val="clear" w:color="auto" w:fill="auto"/>
            <w:vAlign w:val="center"/>
          </w:tcPr>
          <w:p w14:paraId="5556A7D9" w14:textId="77777777" w:rsidR="00F925DD" w:rsidRDefault="00F925DD">
            <w:pPr>
              <w:rPr>
                <w:rFonts w:ascii="Times New Roman" w:hAnsi="Times New Roman"/>
                <w:sz w:val="20"/>
                <w:szCs w:val="20"/>
              </w:rPr>
            </w:pPr>
          </w:p>
        </w:tc>
        <w:tc>
          <w:tcPr>
            <w:tcW w:w="600" w:type="pct"/>
            <w:shd w:val="clear" w:color="auto" w:fill="auto"/>
            <w:vAlign w:val="center"/>
          </w:tcPr>
          <w:p w14:paraId="5556A7DA" w14:textId="77777777" w:rsidR="00F925DD" w:rsidRDefault="00F925DD">
            <w:pPr>
              <w:rPr>
                <w:rFonts w:ascii="Times New Roman" w:hAnsi="Times New Roman"/>
                <w:sz w:val="20"/>
                <w:szCs w:val="20"/>
              </w:rPr>
            </w:pPr>
          </w:p>
        </w:tc>
        <w:tc>
          <w:tcPr>
            <w:tcW w:w="50" w:type="pct"/>
            <w:shd w:val="clear" w:color="auto" w:fill="auto"/>
            <w:vAlign w:val="center"/>
          </w:tcPr>
          <w:p w14:paraId="5556A7DB" w14:textId="77777777" w:rsidR="00F925DD" w:rsidRDefault="00F925DD">
            <w:pPr>
              <w:rPr>
                <w:rFonts w:ascii="Times New Roman" w:hAnsi="Times New Roman"/>
                <w:sz w:val="20"/>
                <w:szCs w:val="20"/>
              </w:rPr>
            </w:pPr>
          </w:p>
        </w:tc>
        <w:tc>
          <w:tcPr>
            <w:tcW w:w="600" w:type="pct"/>
            <w:shd w:val="clear" w:color="auto" w:fill="auto"/>
            <w:vAlign w:val="center"/>
          </w:tcPr>
          <w:p w14:paraId="5556A7DC" w14:textId="77777777" w:rsidR="00F925DD" w:rsidRDefault="00F925DD">
            <w:pPr>
              <w:rPr>
                <w:rFonts w:ascii="Times New Roman" w:hAnsi="Times New Roman"/>
                <w:sz w:val="20"/>
                <w:szCs w:val="20"/>
              </w:rPr>
            </w:pPr>
          </w:p>
        </w:tc>
      </w:tr>
      <w:tr w:rsidR="00F925DD" w14:paraId="5556A7DF" w14:textId="77777777">
        <w:tc>
          <w:tcPr>
            <w:tcW w:w="0" w:type="auto"/>
            <w:gridSpan w:val="12"/>
            <w:shd w:val="clear" w:color="auto" w:fill="auto"/>
            <w:tcMar>
              <w:top w:w="40" w:type="dxa"/>
              <w:left w:w="40" w:type="dxa"/>
              <w:bottom w:w="40" w:type="dxa"/>
              <w:right w:w="40" w:type="dxa"/>
            </w:tcMar>
            <w:vAlign w:val="bottom"/>
          </w:tcPr>
          <w:p w14:paraId="5556A7D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47: PREFERRED STOCK DIVIDENDS</w:t>
            </w:r>
          </w:p>
        </w:tc>
      </w:tr>
    </w:tbl>
    <w:p w14:paraId="5556A7E0"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1870"/>
        <w:gridCol w:w="130"/>
        <w:gridCol w:w="791"/>
        <w:gridCol w:w="70"/>
        <w:gridCol w:w="130"/>
        <w:gridCol w:w="130"/>
        <w:gridCol w:w="764"/>
        <w:gridCol w:w="75"/>
        <w:gridCol w:w="130"/>
        <w:gridCol w:w="130"/>
        <w:gridCol w:w="759"/>
        <w:gridCol w:w="43"/>
        <w:gridCol w:w="130"/>
        <w:gridCol w:w="130"/>
        <w:gridCol w:w="791"/>
        <w:gridCol w:w="70"/>
        <w:gridCol w:w="130"/>
        <w:gridCol w:w="130"/>
        <w:gridCol w:w="764"/>
        <w:gridCol w:w="75"/>
        <w:gridCol w:w="130"/>
        <w:gridCol w:w="130"/>
        <w:gridCol w:w="760"/>
        <w:gridCol w:w="44"/>
      </w:tblGrid>
      <w:tr w:rsidR="00F925DD" w14:paraId="5556A7E2" w14:textId="77777777">
        <w:tc>
          <w:tcPr>
            <w:tcW w:w="0" w:type="auto"/>
            <w:gridSpan w:val="24"/>
            <w:shd w:val="clear" w:color="auto" w:fill="auto"/>
            <w:vAlign w:val="center"/>
          </w:tcPr>
          <w:p w14:paraId="5556A7E1" w14:textId="77777777" w:rsidR="00F925DD" w:rsidRDefault="00F925DD">
            <w:pPr>
              <w:rPr>
                <w:rFonts w:ascii="Times New Roman" w:hAnsi="Times New Roman"/>
                <w:sz w:val="20"/>
                <w:szCs w:val="20"/>
              </w:rPr>
            </w:pPr>
          </w:p>
        </w:tc>
      </w:tr>
      <w:tr w:rsidR="00F925DD" w14:paraId="5556A7FB" w14:textId="77777777">
        <w:tc>
          <w:tcPr>
            <w:tcW w:w="1150" w:type="pct"/>
            <w:shd w:val="clear" w:color="auto" w:fill="auto"/>
            <w:vAlign w:val="center"/>
          </w:tcPr>
          <w:p w14:paraId="5556A7E3" w14:textId="77777777" w:rsidR="00F925DD" w:rsidRDefault="00F925DD">
            <w:pPr>
              <w:rPr>
                <w:rFonts w:ascii="Times New Roman" w:hAnsi="Times New Roman"/>
                <w:sz w:val="20"/>
                <w:szCs w:val="20"/>
              </w:rPr>
            </w:pPr>
          </w:p>
        </w:tc>
        <w:tc>
          <w:tcPr>
            <w:tcW w:w="50" w:type="pct"/>
            <w:shd w:val="clear" w:color="auto" w:fill="auto"/>
            <w:vAlign w:val="center"/>
          </w:tcPr>
          <w:p w14:paraId="5556A7E4" w14:textId="77777777" w:rsidR="00F925DD" w:rsidRDefault="00F925DD">
            <w:pPr>
              <w:rPr>
                <w:rFonts w:ascii="Times New Roman" w:hAnsi="Times New Roman"/>
                <w:sz w:val="20"/>
                <w:szCs w:val="20"/>
              </w:rPr>
            </w:pPr>
          </w:p>
        </w:tc>
        <w:tc>
          <w:tcPr>
            <w:tcW w:w="500" w:type="pct"/>
            <w:shd w:val="clear" w:color="auto" w:fill="auto"/>
            <w:vAlign w:val="center"/>
          </w:tcPr>
          <w:p w14:paraId="5556A7E5" w14:textId="77777777" w:rsidR="00F925DD" w:rsidRDefault="00F925DD">
            <w:pPr>
              <w:rPr>
                <w:rFonts w:ascii="Times New Roman" w:hAnsi="Times New Roman"/>
                <w:sz w:val="20"/>
                <w:szCs w:val="20"/>
              </w:rPr>
            </w:pPr>
          </w:p>
        </w:tc>
        <w:tc>
          <w:tcPr>
            <w:tcW w:w="50" w:type="pct"/>
            <w:shd w:val="clear" w:color="auto" w:fill="auto"/>
            <w:vAlign w:val="center"/>
          </w:tcPr>
          <w:p w14:paraId="5556A7E6" w14:textId="77777777" w:rsidR="00F925DD" w:rsidRDefault="00F925DD">
            <w:pPr>
              <w:rPr>
                <w:rFonts w:ascii="Times New Roman" w:hAnsi="Times New Roman"/>
                <w:sz w:val="20"/>
                <w:szCs w:val="20"/>
              </w:rPr>
            </w:pPr>
          </w:p>
        </w:tc>
        <w:tc>
          <w:tcPr>
            <w:tcW w:w="50" w:type="pct"/>
            <w:shd w:val="clear" w:color="auto" w:fill="auto"/>
            <w:vAlign w:val="center"/>
          </w:tcPr>
          <w:p w14:paraId="5556A7E7" w14:textId="77777777" w:rsidR="00F925DD" w:rsidRDefault="00F925DD">
            <w:pPr>
              <w:rPr>
                <w:rFonts w:ascii="Times New Roman" w:hAnsi="Times New Roman"/>
                <w:sz w:val="20"/>
                <w:szCs w:val="20"/>
              </w:rPr>
            </w:pPr>
          </w:p>
        </w:tc>
        <w:tc>
          <w:tcPr>
            <w:tcW w:w="50" w:type="pct"/>
            <w:shd w:val="clear" w:color="auto" w:fill="auto"/>
            <w:vAlign w:val="center"/>
          </w:tcPr>
          <w:p w14:paraId="5556A7E8" w14:textId="77777777" w:rsidR="00F925DD" w:rsidRDefault="00F925DD">
            <w:pPr>
              <w:rPr>
                <w:rFonts w:ascii="Times New Roman" w:hAnsi="Times New Roman"/>
                <w:sz w:val="20"/>
                <w:szCs w:val="20"/>
              </w:rPr>
            </w:pPr>
          </w:p>
        </w:tc>
        <w:tc>
          <w:tcPr>
            <w:tcW w:w="500" w:type="pct"/>
            <w:shd w:val="clear" w:color="auto" w:fill="auto"/>
            <w:vAlign w:val="center"/>
          </w:tcPr>
          <w:p w14:paraId="5556A7E9" w14:textId="77777777" w:rsidR="00F925DD" w:rsidRDefault="00F925DD">
            <w:pPr>
              <w:rPr>
                <w:rFonts w:ascii="Times New Roman" w:hAnsi="Times New Roman"/>
                <w:sz w:val="20"/>
                <w:szCs w:val="20"/>
              </w:rPr>
            </w:pPr>
          </w:p>
        </w:tc>
        <w:tc>
          <w:tcPr>
            <w:tcW w:w="50" w:type="pct"/>
            <w:shd w:val="clear" w:color="auto" w:fill="auto"/>
            <w:vAlign w:val="center"/>
          </w:tcPr>
          <w:p w14:paraId="5556A7EA" w14:textId="77777777" w:rsidR="00F925DD" w:rsidRDefault="00F925DD">
            <w:pPr>
              <w:rPr>
                <w:rFonts w:ascii="Times New Roman" w:hAnsi="Times New Roman"/>
                <w:sz w:val="20"/>
                <w:szCs w:val="20"/>
              </w:rPr>
            </w:pPr>
          </w:p>
        </w:tc>
        <w:tc>
          <w:tcPr>
            <w:tcW w:w="50" w:type="pct"/>
            <w:shd w:val="clear" w:color="auto" w:fill="auto"/>
            <w:vAlign w:val="center"/>
          </w:tcPr>
          <w:p w14:paraId="5556A7EB" w14:textId="77777777" w:rsidR="00F925DD" w:rsidRDefault="00F925DD">
            <w:pPr>
              <w:rPr>
                <w:rFonts w:ascii="Times New Roman" w:hAnsi="Times New Roman"/>
                <w:sz w:val="20"/>
                <w:szCs w:val="20"/>
              </w:rPr>
            </w:pPr>
          </w:p>
        </w:tc>
        <w:tc>
          <w:tcPr>
            <w:tcW w:w="50" w:type="pct"/>
            <w:shd w:val="clear" w:color="auto" w:fill="auto"/>
            <w:vAlign w:val="center"/>
          </w:tcPr>
          <w:p w14:paraId="5556A7EC" w14:textId="77777777" w:rsidR="00F925DD" w:rsidRDefault="00F925DD">
            <w:pPr>
              <w:rPr>
                <w:rFonts w:ascii="Times New Roman" w:hAnsi="Times New Roman"/>
                <w:sz w:val="20"/>
                <w:szCs w:val="20"/>
              </w:rPr>
            </w:pPr>
          </w:p>
        </w:tc>
        <w:tc>
          <w:tcPr>
            <w:tcW w:w="500" w:type="pct"/>
            <w:shd w:val="clear" w:color="auto" w:fill="auto"/>
            <w:vAlign w:val="center"/>
          </w:tcPr>
          <w:p w14:paraId="5556A7ED" w14:textId="77777777" w:rsidR="00F925DD" w:rsidRDefault="00F925DD">
            <w:pPr>
              <w:rPr>
                <w:rFonts w:ascii="Times New Roman" w:hAnsi="Times New Roman"/>
                <w:sz w:val="20"/>
                <w:szCs w:val="20"/>
              </w:rPr>
            </w:pPr>
          </w:p>
        </w:tc>
        <w:tc>
          <w:tcPr>
            <w:tcW w:w="50" w:type="pct"/>
            <w:shd w:val="clear" w:color="auto" w:fill="auto"/>
            <w:vAlign w:val="center"/>
          </w:tcPr>
          <w:p w14:paraId="5556A7EE" w14:textId="77777777" w:rsidR="00F925DD" w:rsidRDefault="00F925DD">
            <w:pPr>
              <w:rPr>
                <w:rFonts w:ascii="Times New Roman" w:hAnsi="Times New Roman"/>
                <w:sz w:val="20"/>
                <w:szCs w:val="20"/>
              </w:rPr>
            </w:pPr>
          </w:p>
        </w:tc>
        <w:tc>
          <w:tcPr>
            <w:tcW w:w="50" w:type="pct"/>
            <w:shd w:val="clear" w:color="auto" w:fill="auto"/>
            <w:vAlign w:val="center"/>
          </w:tcPr>
          <w:p w14:paraId="5556A7EF" w14:textId="77777777" w:rsidR="00F925DD" w:rsidRDefault="00F925DD">
            <w:pPr>
              <w:rPr>
                <w:rFonts w:ascii="Times New Roman" w:hAnsi="Times New Roman"/>
                <w:sz w:val="20"/>
                <w:szCs w:val="20"/>
              </w:rPr>
            </w:pPr>
          </w:p>
        </w:tc>
        <w:tc>
          <w:tcPr>
            <w:tcW w:w="50" w:type="pct"/>
            <w:shd w:val="clear" w:color="auto" w:fill="auto"/>
            <w:vAlign w:val="center"/>
          </w:tcPr>
          <w:p w14:paraId="5556A7F0" w14:textId="77777777" w:rsidR="00F925DD" w:rsidRDefault="00F925DD">
            <w:pPr>
              <w:rPr>
                <w:rFonts w:ascii="Times New Roman" w:hAnsi="Times New Roman"/>
                <w:sz w:val="20"/>
                <w:szCs w:val="20"/>
              </w:rPr>
            </w:pPr>
          </w:p>
        </w:tc>
        <w:tc>
          <w:tcPr>
            <w:tcW w:w="500" w:type="pct"/>
            <w:shd w:val="clear" w:color="auto" w:fill="auto"/>
            <w:vAlign w:val="center"/>
          </w:tcPr>
          <w:p w14:paraId="5556A7F1" w14:textId="77777777" w:rsidR="00F925DD" w:rsidRDefault="00F925DD">
            <w:pPr>
              <w:rPr>
                <w:rFonts w:ascii="Times New Roman" w:hAnsi="Times New Roman"/>
                <w:sz w:val="20"/>
                <w:szCs w:val="20"/>
              </w:rPr>
            </w:pPr>
          </w:p>
        </w:tc>
        <w:tc>
          <w:tcPr>
            <w:tcW w:w="50" w:type="pct"/>
            <w:shd w:val="clear" w:color="auto" w:fill="auto"/>
            <w:vAlign w:val="center"/>
          </w:tcPr>
          <w:p w14:paraId="5556A7F2" w14:textId="77777777" w:rsidR="00F925DD" w:rsidRDefault="00F925DD">
            <w:pPr>
              <w:rPr>
                <w:rFonts w:ascii="Times New Roman" w:hAnsi="Times New Roman"/>
                <w:sz w:val="20"/>
                <w:szCs w:val="20"/>
              </w:rPr>
            </w:pPr>
          </w:p>
        </w:tc>
        <w:tc>
          <w:tcPr>
            <w:tcW w:w="50" w:type="pct"/>
            <w:shd w:val="clear" w:color="auto" w:fill="auto"/>
            <w:vAlign w:val="center"/>
          </w:tcPr>
          <w:p w14:paraId="5556A7F3" w14:textId="77777777" w:rsidR="00F925DD" w:rsidRDefault="00F925DD">
            <w:pPr>
              <w:rPr>
                <w:rFonts w:ascii="Times New Roman" w:hAnsi="Times New Roman"/>
                <w:sz w:val="20"/>
                <w:szCs w:val="20"/>
              </w:rPr>
            </w:pPr>
          </w:p>
        </w:tc>
        <w:tc>
          <w:tcPr>
            <w:tcW w:w="50" w:type="pct"/>
            <w:shd w:val="clear" w:color="auto" w:fill="auto"/>
            <w:vAlign w:val="center"/>
          </w:tcPr>
          <w:p w14:paraId="5556A7F4" w14:textId="77777777" w:rsidR="00F925DD" w:rsidRDefault="00F925DD">
            <w:pPr>
              <w:rPr>
                <w:rFonts w:ascii="Times New Roman" w:hAnsi="Times New Roman"/>
                <w:sz w:val="20"/>
                <w:szCs w:val="20"/>
              </w:rPr>
            </w:pPr>
          </w:p>
        </w:tc>
        <w:tc>
          <w:tcPr>
            <w:tcW w:w="500" w:type="pct"/>
            <w:shd w:val="clear" w:color="auto" w:fill="auto"/>
            <w:vAlign w:val="center"/>
          </w:tcPr>
          <w:p w14:paraId="5556A7F5" w14:textId="77777777" w:rsidR="00F925DD" w:rsidRDefault="00F925DD">
            <w:pPr>
              <w:rPr>
                <w:rFonts w:ascii="Times New Roman" w:hAnsi="Times New Roman"/>
                <w:sz w:val="20"/>
                <w:szCs w:val="20"/>
              </w:rPr>
            </w:pPr>
          </w:p>
        </w:tc>
        <w:tc>
          <w:tcPr>
            <w:tcW w:w="50" w:type="pct"/>
            <w:shd w:val="clear" w:color="auto" w:fill="auto"/>
            <w:vAlign w:val="center"/>
          </w:tcPr>
          <w:p w14:paraId="5556A7F6" w14:textId="77777777" w:rsidR="00F925DD" w:rsidRDefault="00F925DD">
            <w:pPr>
              <w:rPr>
                <w:rFonts w:ascii="Times New Roman" w:hAnsi="Times New Roman"/>
                <w:sz w:val="20"/>
                <w:szCs w:val="20"/>
              </w:rPr>
            </w:pPr>
          </w:p>
        </w:tc>
        <w:tc>
          <w:tcPr>
            <w:tcW w:w="50" w:type="pct"/>
            <w:shd w:val="clear" w:color="auto" w:fill="auto"/>
            <w:vAlign w:val="center"/>
          </w:tcPr>
          <w:p w14:paraId="5556A7F7" w14:textId="77777777" w:rsidR="00F925DD" w:rsidRDefault="00F925DD">
            <w:pPr>
              <w:rPr>
                <w:rFonts w:ascii="Times New Roman" w:hAnsi="Times New Roman"/>
                <w:sz w:val="20"/>
                <w:szCs w:val="20"/>
              </w:rPr>
            </w:pPr>
          </w:p>
        </w:tc>
        <w:tc>
          <w:tcPr>
            <w:tcW w:w="50" w:type="pct"/>
            <w:shd w:val="clear" w:color="auto" w:fill="auto"/>
            <w:vAlign w:val="center"/>
          </w:tcPr>
          <w:p w14:paraId="5556A7F8" w14:textId="77777777" w:rsidR="00F925DD" w:rsidRDefault="00F925DD">
            <w:pPr>
              <w:rPr>
                <w:rFonts w:ascii="Times New Roman" w:hAnsi="Times New Roman"/>
                <w:sz w:val="20"/>
                <w:szCs w:val="20"/>
              </w:rPr>
            </w:pPr>
          </w:p>
        </w:tc>
        <w:tc>
          <w:tcPr>
            <w:tcW w:w="500" w:type="pct"/>
            <w:shd w:val="clear" w:color="auto" w:fill="auto"/>
            <w:vAlign w:val="center"/>
          </w:tcPr>
          <w:p w14:paraId="5556A7F9" w14:textId="77777777" w:rsidR="00F925DD" w:rsidRDefault="00F925DD">
            <w:pPr>
              <w:rPr>
                <w:rFonts w:ascii="Times New Roman" w:hAnsi="Times New Roman"/>
                <w:sz w:val="20"/>
                <w:szCs w:val="20"/>
              </w:rPr>
            </w:pPr>
          </w:p>
        </w:tc>
        <w:tc>
          <w:tcPr>
            <w:tcW w:w="50" w:type="pct"/>
            <w:shd w:val="clear" w:color="auto" w:fill="auto"/>
            <w:vAlign w:val="center"/>
          </w:tcPr>
          <w:p w14:paraId="5556A7FA" w14:textId="77777777" w:rsidR="00F925DD" w:rsidRDefault="00F925DD">
            <w:pPr>
              <w:rPr>
                <w:rFonts w:ascii="Times New Roman" w:hAnsi="Times New Roman"/>
                <w:sz w:val="20"/>
                <w:szCs w:val="20"/>
              </w:rPr>
            </w:pPr>
          </w:p>
        </w:tc>
      </w:tr>
      <w:tr w:rsidR="00F925DD" w14:paraId="5556A7FE" w14:textId="77777777">
        <w:tc>
          <w:tcPr>
            <w:tcW w:w="0" w:type="auto"/>
            <w:shd w:val="clear" w:color="auto" w:fill="auto"/>
            <w:tcMar>
              <w:top w:w="40" w:type="dxa"/>
              <w:left w:w="40" w:type="dxa"/>
              <w:bottom w:w="40" w:type="dxa"/>
              <w:right w:w="40" w:type="dxa"/>
            </w:tcMar>
            <w:vAlign w:val="bottom"/>
          </w:tcPr>
          <w:p w14:paraId="5556A7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5556A7F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Years Ended December 31,</w:t>
            </w:r>
          </w:p>
        </w:tc>
      </w:tr>
      <w:tr w:rsidR="00F925DD" w14:paraId="5556A803" w14:textId="77777777">
        <w:tc>
          <w:tcPr>
            <w:tcW w:w="0" w:type="auto"/>
            <w:shd w:val="clear" w:color="auto" w:fill="auto"/>
            <w:tcMar>
              <w:top w:w="40" w:type="dxa"/>
              <w:left w:w="40" w:type="dxa"/>
              <w:bottom w:w="40" w:type="dxa"/>
              <w:right w:w="40" w:type="dxa"/>
            </w:tcMar>
            <w:vAlign w:val="bottom"/>
          </w:tcPr>
          <w:p w14:paraId="5556A7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A800"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A8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A802"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r>
      <w:tr w:rsidR="00F925DD" w14:paraId="5556A810" w14:textId="77777777">
        <w:tc>
          <w:tcPr>
            <w:tcW w:w="0" w:type="auto"/>
            <w:shd w:val="clear" w:color="auto" w:fill="auto"/>
            <w:tcMar>
              <w:top w:w="40" w:type="dxa"/>
              <w:left w:w="40" w:type="dxa"/>
              <w:bottom w:w="40" w:type="dxa"/>
              <w:right w:w="40" w:type="dxa"/>
            </w:tcMar>
            <w:vAlign w:val="bottom"/>
          </w:tcPr>
          <w:p w14:paraId="5556A804"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(Dollars in millions, except per share amounts)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805"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8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807"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Dividends Declared per Depositary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8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809"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Total</w:t>
            </w:r>
          </w:p>
        </w:tc>
        <w:tc>
          <w:tcPr>
            <w:tcW w:w="0" w:type="auto"/>
            <w:shd w:val="clear" w:color="auto" w:fill="auto"/>
            <w:tcMar>
              <w:top w:w="40" w:type="dxa"/>
              <w:left w:w="40" w:type="dxa"/>
              <w:bottom w:w="40" w:type="dxa"/>
              <w:right w:w="40" w:type="dxa"/>
            </w:tcMar>
            <w:vAlign w:val="bottom"/>
          </w:tcPr>
          <w:p w14:paraId="5556A8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80B"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8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80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 xml:space="preserve">Dividends Declared per </w:t>
            </w:r>
            <w:r>
              <w:rPr>
                <w:rFonts w:ascii="Arial" w:eastAsia="宋体" w:hAnsi="Arial" w:cs="Arial"/>
                <w:b/>
                <w:bCs/>
                <w:sz w:val="16"/>
                <w:szCs w:val="16"/>
              </w:rPr>
              <w:t>Depositary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8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80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Total</w:t>
            </w:r>
          </w:p>
        </w:tc>
      </w:tr>
      <w:tr w:rsidR="00F925DD" w14:paraId="5556A81D" w14:textId="77777777">
        <w:tc>
          <w:tcPr>
            <w:tcW w:w="0" w:type="auto"/>
            <w:shd w:val="clear" w:color="auto" w:fill="auto"/>
            <w:tcMar>
              <w:top w:w="40" w:type="dxa"/>
              <w:left w:w="40" w:type="dxa"/>
              <w:bottom w:w="40" w:type="dxa"/>
              <w:right w:w="40" w:type="dxa"/>
            </w:tcMar>
            <w:vAlign w:val="bottom"/>
          </w:tcPr>
          <w:p w14:paraId="5556A811"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Preferred Stock:</w:t>
            </w:r>
          </w:p>
        </w:tc>
        <w:tc>
          <w:tcPr>
            <w:tcW w:w="0" w:type="auto"/>
            <w:gridSpan w:val="3"/>
            <w:shd w:val="clear" w:color="auto" w:fill="auto"/>
            <w:tcMar>
              <w:top w:w="40" w:type="dxa"/>
              <w:left w:w="40" w:type="dxa"/>
              <w:bottom w:w="40" w:type="dxa"/>
              <w:right w:w="40" w:type="dxa"/>
            </w:tcMar>
            <w:vAlign w:val="bottom"/>
          </w:tcPr>
          <w:p w14:paraId="5556A8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8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8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8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8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8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8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8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8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8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8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836" w14:textId="77777777">
        <w:tc>
          <w:tcPr>
            <w:tcW w:w="0" w:type="auto"/>
            <w:shd w:val="clear" w:color="auto" w:fill="CCEEFF"/>
            <w:tcMar>
              <w:top w:w="40" w:type="dxa"/>
              <w:left w:w="40" w:type="dxa"/>
              <w:bottom w:w="40" w:type="dxa"/>
              <w:right w:w="40" w:type="dxa"/>
            </w:tcMar>
            <w:vAlign w:val="bottom"/>
          </w:tcPr>
          <w:p w14:paraId="5556A81E" w14:textId="77777777" w:rsidR="00F925DD" w:rsidRDefault="00E705D7">
            <w:pPr>
              <w:textAlignment w:val="bottom"/>
              <w:rPr>
                <w:rFonts w:ascii="Times New Roman" w:hAnsi="Times New Roman"/>
                <w:sz w:val="16"/>
                <w:szCs w:val="16"/>
              </w:rPr>
            </w:pPr>
            <w:r>
              <w:rPr>
                <w:rFonts w:ascii="Arial" w:eastAsia="宋体" w:hAnsi="Arial" w:cs="Arial"/>
                <w:sz w:val="16"/>
                <w:szCs w:val="16"/>
              </w:rPr>
              <w:t>Series C</w:t>
            </w:r>
          </w:p>
        </w:tc>
        <w:tc>
          <w:tcPr>
            <w:tcW w:w="0" w:type="auto"/>
            <w:shd w:val="clear" w:color="auto" w:fill="CCEEFF"/>
            <w:tcMar>
              <w:top w:w="40" w:type="dxa"/>
              <w:left w:w="40" w:type="dxa"/>
              <w:bottom w:w="40" w:type="dxa"/>
            </w:tcMar>
            <w:vAlign w:val="bottom"/>
          </w:tcPr>
          <w:p w14:paraId="5556A81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A82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5,250</w:t>
            </w:r>
          </w:p>
        </w:tc>
        <w:tc>
          <w:tcPr>
            <w:tcW w:w="0" w:type="auto"/>
            <w:shd w:val="clear" w:color="auto" w:fill="CCEEFF"/>
            <w:vAlign w:val="bottom"/>
          </w:tcPr>
          <w:p w14:paraId="5556A8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82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A82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1.32</w:t>
            </w:r>
          </w:p>
        </w:tc>
        <w:tc>
          <w:tcPr>
            <w:tcW w:w="0" w:type="auto"/>
            <w:shd w:val="clear" w:color="auto" w:fill="CCEEFF"/>
            <w:vAlign w:val="bottom"/>
          </w:tcPr>
          <w:p w14:paraId="5556A8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82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A82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26</w:t>
            </w:r>
          </w:p>
        </w:tc>
        <w:tc>
          <w:tcPr>
            <w:tcW w:w="0" w:type="auto"/>
            <w:shd w:val="clear" w:color="auto" w:fill="CCEEFF"/>
            <w:vAlign w:val="bottom"/>
          </w:tcPr>
          <w:p w14:paraId="5556A8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82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A82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5,250</w:t>
            </w:r>
          </w:p>
        </w:tc>
        <w:tc>
          <w:tcPr>
            <w:tcW w:w="0" w:type="auto"/>
            <w:shd w:val="clear" w:color="auto" w:fill="CCEEFF"/>
            <w:vAlign w:val="bottom"/>
          </w:tcPr>
          <w:p w14:paraId="5556A82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82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A83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1.32</w:t>
            </w:r>
          </w:p>
        </w:tc>
        <w:tc>
          <w:tcPr>
            <w:tcW w:w="0" w:type="auto"/>
            <w:shd w:val="clear" w:color="auto" w:fill="CCEEFF"/>
            <w:vAlign w:val="bottom"/>
          </w:tcPr>
          <w:p w14:paraId="5556A83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83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A83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w:t>
            </w:r>
          </w:p>
        </w:tc>
        <w:tc>
          <w:tcPr>
            <w:tcW w:w="0" w:type="auto"/>
            <w:shd w:val="clear" w:color="auto" w:fill="CCEEFF"/>
            <w:vAlign w:val="bottom"/>
          </w:tcPr>
          <w:p w14:paraId="5556A835" w14:textId="77777777" w:rsidR="00F925DD" w:rsidRDefault="00F925DD">
            <w:pPr>
              <w:textAlignment w:val="bottom"/>
              <w:rPr>
                <w:rFonts w:ascii="Times New Roman" w:hAnsi="Times New Roman"/>
                <w:sz w:val="20"/>
                <w:szCs w:val="20"/>
              </w:rPr>
            </w:pPr>
          </w:p>
        </w:tc>
      </w:tr>
      <w:tr w:rsidR="00F925DD" w14:paraId="5556A849" w14:textId="77777777">
        <w:tc>
          <w:tcPr>
            <w:tcW w:w="0" w:type="auto"/>
            <w:shd w:val="clear" w:color="auto" w:fill="auto"/>
            <w:tcMar>
              <w:top w:w="40" w:type="dxa"/>
              <w:left w:w="40" w:type="dxa"/>
              <w:bottom w:w="40" w:type="dxa"/>
              <w:right w:w="40" w:type="dxa"/>
            </w:tcMar>
            <w:vAlign w:val="bottom"/>
          </w:tcPr>
          <w:p w14:paraId="5556A837" w14:textId="77777777" w:rsidR="00F925DD" w:rsidRDefault="00E705D7">
            <w:pPr>
              <w:textAlignment w:val="bottom"/>
              <w:rPr>
                <w:rFonts w:ascii="Times New Roman" w:hAnsi="Times New Roman"/>
                <w:sz w:val="16"/>
                <w:szCs w:val="16"/>
              </w:rPr>
            </w:pPr>
            <w:r>
              <w:rPr>
                <w:rFonts w:ascii="Arial" w:eastAsia="宋体" w:hAnsi="Arial" w:cs="Arial"/>
                <w:sz w:val="16"/>
                <w:szCs w:val="16"/>
              </w:rPr>
              <w:t>Series D</w:t>
            </w:r>
          </w:p>
        </w:tc>
        <w:tc>
          <w:tcPr>
            <w:tcW w:w="0" w:type="auto"/>
            <w:gridSpan w:val="2"/>
            <w:shd w:val="clear" w:color="auto" w:fill="auto"/>
            <w:tcMar>
              <w:top w:w="40" w:type="dxa"/>
              <w:left w:w="40" w:type="dxa"/>
              <w:bottom w:w="40" w:type="dxa"/>
            </w:tcMar>
            <w:vAlign w:val="bottom"/>
          </w:tcPr>
          <w:p w14:paraId="5556A83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5,900</w:t>
            </w:r>
          </w:p>
        </w:tc>
        <w:tc>
          <w:tcPr>
            <w:tcW w:w="0" w:type="auto"/>
            <w:shd w:val="clear" w:color="auto" w:fill="auto"/>
            <w:vAlign w:val="bottom"/>
          </w:tcPr>
          <w:p w14:paraId="5556A83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3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1.48</w:t>
            </w:r>
          </w:p>
        </w:tc>
        <w:tc>
          <w:tcPr>
            <w:tcW w:w="0" w:type="auto"/>
            <w:shd w:val="clear" w:color="auto" w:fill="auto"/>
            <w:vAlign w:val="bottom"/>
          </w:tcPr>
          <w:p w14:paraId="5556A83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3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44</w:t>
            </w:r>
          </w:p>
        </w:tc>
        <w:tc>
          <w:tcPr>
            <w:tcW w:w="0" w:type="auto"/>
            <w:shd w:val="clear" w:color="auto" w:fill="auto"/>
            <w:vAlign w:val="bottom"/>
          </w:tcPr>
          <w:p w14:paraId="5556A83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4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5,900</w:t>
            </w:r>
          </w:p>
        </w:tc>
        <w:tc>
          <w:tcPr>
            <w:tcW w:w="0" w:type="auto"/>
            <w:shd w:val="clear" w:color="auto" w:fill="auto"/>
            <w:vAlign w:val="bottom"/>
          </w:tcPr>
          <w:p w14:paraId="5556A8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4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1.48</w:t>
            </w:r>
          </w:p>
        </w:tc>
        <w:tc>
          <w:tcPr>
            <w:tcW w:w="0" w:type="auto"/>
            <w:shd w:val="clear" w:color="auto" w:fill="auto"/>
            <w:vAlign w:val="bottom"/>
          </w:tcPr>
          <w:p w14:paraId="5556A8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4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44</w:t>
            </w:r>
          </w:p>
        </w:tc>
        <w:tc>
          <w:tcPr>
            <w:tcW w:w="0" w:type="auto"/>
            <w:shd w:val="clear" w:color="auto" w:fill="auto"/>
            <w:vAlign w:val="bottom"/>
          </w:tcPr>
          <w:p w14:paraId="5556A848" w14:textId="77777777" w:rsidR="00F925DD" w:rsidRDefault="00F925DD">
            <w:pPr>
              <w:textAlignment w:val="bottom"/>
              <w:rPr>
                <w:rFonts w:ascii="Times New Roman" w:hAnsi="Times New Roman"/>
                <w:sz w:val="20"/>
                <w:szCs w:val="20"/>
              </w:rPr>
            </w:pPr>
          </w:p>
        </w:tc>
      </w:tr>
      <w:tr w:rsidR="00F925DD" w14:paraId="5556A85C" w14:textId="77777777">
        <w:tc>
          <w:tcPr>
            <w:tcW w:w="0" w:type="auto"/>
            <w:shd w:val="clear" w:color="auto" w:fill="CCEEFF"/>
            <w:tcMar>
              <w:top w:w="40" w:type="dxa"/>
              <w:left w:w="40" w:type="dxa"/>
              <w:bottom w:w="40" w:type="dxa"/>
              <w:right w:w="40" w:type="dxa"/>
            </w:tcMar>
            <w:vAlign w:val="bottom"/>
          </w:tcPr>
          <w:p w14:paraId="5556A84A" w14:textId="77777777" w:rsidR="00F925DD" w:rsidRDefault="00E705D7">
            <w:pPr>
              <w:textAlignment w:val="bottom"/>
              <w:rPr>
                <w:rFonts w:ascii="Times New Roman" w:hAnsi="Times New Roman"/>
                <w:sz w:val="16"/>
                <w:szCs w:val="16"/>
              </w:rPr>
            </w:pPr>
            <w:r>
              <w:rPr>
                <w:rFonts w:ascii="Arial" w:eastAsia="宋体" w:hAnsi="Arial" w:cs="Arial"/>
                <w:sz w:val="16"/>
                <w:szCs w:val="16"/>
              </w:rPr>
              <w:t>Series E</w:t>
            </w:r>
          </w:p>
        </w:tc>
        <w:tc>
          <w:tcPr>
            <w:tcW w:w="0" w:type="auto"/>
            <w:gridSpan w:val="2"/>
            <w:shd w:val="clear" w:color="auto" w:fill="CCEEFF"/>
            <w:tcMar>
              <w:top w:w="40" w:type="dxa"/>
              <w:left w:w="40" w:type="dxa"/>
              <w:bottom w:w="40" w:type="dxa"/>
            </w:tcMar>
            <w:vAlign w:val="bottom"/>
          </w:tcPr>
          <w:p w14:paraId="5556A84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6,000</w:t>
            </w:r>
          </w:p>
        </w:tc>
        <w:tc>
          <w:tcPr>
            <w:tcW w:w="0" w:type="auto"/>
            <w:shd w:val="clear" w:color="auto" w:fill="CCEEFF"/>
            <w:vAlign w:val="bottom"/>
          </w:tcPr>
          <w:p w14:paraId="5556A84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4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1.52</w:t>
            </w:r>
          </w:p>
        </w:tc>
        <w:tc>
          <w:tcPr>
            <w:tcW w:w="0" w:type="auto"/>
            <w:shd w:val="clear" w:color="auto" w:fill="CCEEFF"/>
            <w:vAlign w:val="bottom"/>
          </w:tcPr>
          <w:p w14:paraId="5556A84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5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45</w:t>
            </w:r>
          </w:p>
        </w:tc>
        <w:tc>
          <w:tcPr>
            <w:tcW w:w="0" w:type="auto"/>
            <w:shd w:val="clear" w:color="auto" w:fill="CCEEFF"/>
            <w:vAlign w:val="bottom"/>
          </w:tcPr>
          <w:p w14:paraId="5556A85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5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6,000</w:t>
            </w:r>
          </w:p>
        </w:tc>
        <w:tc>
          <w:tcPr>
            <w:tcW w:w="0" w:type="auto"/>
            <w:shd w:val="clear" w:color="auto" w:fill="CCEEFF"/>
            <w:vAlign w:val="bottom"/>
          </w:tcPr>
          <w:p w14:paraId="5556A85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5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1.52</w:t>
            </w:r>
          </w:p>
        </w:tc>
        <w:tc>
          <w:tcPr>
            <w:tcW w:w="0" w:type="auto"/>
            <w:shd w:val="clear" w:color="auto" w:fill="CCEEFF"/>
            <w:vAlign w:val="bottom"/>
          </w:tcPr>
          <w:p w14:paraId="5556A85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5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45</w:t>
            </w:r>
          </w:p>
        </w:tc>
        <w:tc>
          <w:tcPr>
            <w:tcW w:w="0" w:type="auto"/>
            <w:shd w:val="clear" w:color="auto" w:fill="CCEEFF"/>
            <w:vAlign w:val="bottom"/>
          </w:tcPr>
          <w:p w14:paraId="5556A85B" w14:textId="77777777" w:rsidR="00F925DD" w:rsidRDefault="00F925DD">
            <w:pPr>
              <w:textAlignment w:val="bottom"/>
              <w:rPr>
                <w:rFonts w:ascii="Times New Roman" w:hAnsi="Times New Roman"/>
                <w:sz w:val="20"/>
                <w:szCs w:val="20"/>
              </w:rPr>
            </w:pPr>
          </w:p>
        </w:tc>
      </w:tr>
      <w:tr w:rsidR="00F925DD" w14:paraId="5556A86F" w14:textId="77777777">
        <w:tc>
          <w:tcPr>
            <w:tcW w:w="0" w:type="auto"/>
            <w:shd w:val="clear" w:color="auto" w:fill="auto"/>
            <w:tcMar>
              <w:top w:w="40" w:type="dxa"/>
              <w:left w:w="40" w:type="dxa"/>
              <w:bottom w:w="40" w:type="dxa"/>
              <w:right w:w="40" w:type="dxa"/>
            </w:tcMar>
            <w:vAlign w:val="bottom"/>
          </w:tcPr>
          <w:p w14:paraId="5556A85D" w14:textId="77777777" w:rsidR="00F925DD" w:rsidRDefault="00E705D7">
            <w:pPr>
              <w:textAlignment w:val="bottom"/>
              <w:rPr>
                <w:rFonts w:ascii="Times New Roman" w:hAnsi="Times New Roman"/>
                <w:sz w:val="16"/>
                <w:szCs w:val="16"/>
              </w:rPr>
            </w:pPr>
            <w:r>
              <w:rPr>
                <w:rFonts w:ascii="Arial" w:eastAsia="宋体" w:hAnsi="Arial" w:cs="Arial"/>
                <w:sz w:val="16"/>
                <w:szCs w:val="16"/>
              </w:rPr>
              <w:t>Series F</w:t>
            </w:r>
          </w:p>
        </w:tc>
        <w:tc>
          <w:tcPr>
            <w:tcW w:w="0" w:type="auto"/>
            <w:gridSpan w:val="2"/>
            <w:shd w:val="clear" w:color="auto" w:fill="auto"/>
            <w:tcMar>
              <w:top w:w="40" w:type="dxa"/>
              <w:left w:w="40" w:type="dxa"/>
              <w:bottom w:w="40" w:type="dxa"/>
            </w:tcMar>
            <w:vAlign w:val="bottom"/>
          </w:tcPr>
          <w:p w14:paraId="5556A85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5,250</w:t>
            </w:r>
          </w:p>
        </w:tc>
        <w:tc>
          <w:tcPr>
            <w:tcW w:w="0" w:type="auto"/>
            <w:shd w:val="clear" w:color="auto" w:fill="auto"/>
            <w:vAlign w:val="bottom"/>
          </w:tcPr>
          <w:p w14:paraId="5556A85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6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52.50</w:t>
            </w:r>
          </w:p>
        </w:tc>
        <w:tc>
          <w:tcPr>
            <w:tcW w:w="0" w:type="auto"/>
            <w:shd w:val="clear" w:color="auto" w:fill="auto"/>
            <w:vAlign w:val="bottom"/>
          </w:tcPr>
          <w:p w14:paraId="5556A86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6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40</w:t>
            </w:r>
          </w:p>
        </w:tc>
        <w:tc>
          <w:tcPr>
            <w:tcW w:w="0" w:type="auto"/>
            <w:shd w:val="clear" w:color="auto" w:fill="auto"/>
            <w:vAlign w:val="bottom"/>
          </w:tcPr>
          <w:p w14:paraId="5556A86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6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5,250</w:t>
            </w:r>
          </w:p>
        </w:tc>
        <w:tc>
          <w:tcPr>
            <w:tcW w:w="0" w:type="auto"/>
            <w:shd w:val="clear" w:color="auto" w:fill="auto"/>
            <w:vAlign w:val="bottom"/>
          </w:tcPr>
          <w:p w14:paraId="5556A86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6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52.50</w:t>
            </w:r>
          </w:p>
        </w:tc>
        <w:tc>
          <w:tcPr>
            <w:tcW w:w="0" w:type="auto"/>
            <w:shd w:val="clear" w:color="auto" w:fill="auto"/>
            <w:vAlign w:val="bottom"/>
          </w:tcPr>
          <w:p w14:paraId="5556A86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6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40</w:t>
            </w:r>
          </w:p>
        </w:tc>
        <w:tc>
          <w:tcPr>
            <w:tcW w:w="0" w:type="auto"/>
            <w:shd w:val="clear" w:color="auto" w:fill="auto"/>
            <w:vAlign w:val="bottom"/>
          </w:tcPr>
          <w:p w14:paraId="5556A86E" w14:textId="77777777" w:rsidR="00F925DD" w:rsidRDefault="00F925DD">
            <w:pPr>
              <w:textAlignment w:val="bottom"/>
              <w:rPr>
                <w:rFonts w:ascii="Times New Roman" w:hAnsi="Times New Roman"/>
                <w:sz w:val="20"/>
                <w:szCs w:val="20"/>
              </w:rPr>
            </w:pPr>
          </w:p>
        </w:tc>
      </w:tr>
      <w:tr w:rsidR="00F925DD" w14:paraId="5556A882" w14:textId="77777777">
        <w:tc>
          <w:tcPr>
            <w:tcW w:w="0" w:type="auto"/>
            <w:shd w:val="clear" w:color="auto" w:fill="CCEEFF"/>
            <w:tcMar>
              <w:top w:w="40" w:type="dxa"/>
              <w:left w:w="40" w:type="dxa"/>
              <w:bottom w:w="40" w:type="dxa"/>
              <w:right w:w="40" w:type="dxa"/>
            </w:tcMar>
            <w:vAlign w:val="bottom"/>
          </w:tcPr>
          <w:p w14:paraId="5556A870" w14:textId="77777777" w:rsidR="00F925DD" w:rsidRDefault="00E705D7">
            <w:pPr>
              <w:textAlignment w:val="bottom"/>
              <w:rPr>
                <w:rFonts w:ascii="Times New Roman" w:hAnsi="Times New Roman"/>
                <w:sz w:val="16"/>
                <w:szCs w:val="16"/>
              </w:rPr>
            </w:pPr>
            <w:r>
              <w:rPr>
                <w:rFonts w:ascii="Arial" w:eastAsia="宋体" w:hAnsi="Arial" w:cs="Arial"/>
                <w:sz w:val="16"/>
                <w:szCs w:val="16"/>
              </w:rPr>
              <w:t>Series G</w:t>
            </w:r>
          </w:p>
        </w:tc>
        <w:tc>
          <w:tcPr>
            <w:tcW w:w="0" w:type="auto"/>
            <w:gridSpan w:val="2"/>
            <w:shd w:val="clear" w:color="auto" w:fill="CCEEFF"/>
            <w:tcMar>
              <w:top w:w="40" w:type="dxa"/>
              <w:left w:w="40" w:type="dxa"/>
              <w:bottom w:w="40" w:type="dxa"/>
            </w:tcMar>
            <w:vAlign w:val="bottom"/>
          </w:tcPr>
          <w:p w14:paraId="5556A87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5,352</w:t>
            </w:r>
          </w:p>
        </w:tc>
        <w:tc>
          <w:tcPr>
            <w:tcW w:w="0" w:type="auto"/>
            <w:shd w:val="clear" w:color="auto" w:fill="CCEEFF"/>
            <w:vAlign w:val="bottom"/>
          </w:tcPr>
          <w:p w14:paraId="5556A87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7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1.32</w:t>
            </w:r>
          </w:p>
        </w:tc>
        <w:tc>
          <w:tcPr>
            <w:tcW w:w="0" w:type="auto"/>
            <w:shd w:val="clear" w:color="auto" w:fill="CCEEFF"/>
            <w:vAlign w:val="bottom"/>
          </w:tcPr>
          <w:p w14:paraId="5556A87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7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27</w:t>
            </w:r>
          </w:p>
        </w:tc>
        <w:tc>
          <w:tcPr>
            <w:tcW w:w="0" w:type="auto"/>
            <w:shd w:val="clear" w:color="auto" w:fill="CCEEFF"/>
            <w:vAlign w:val="bottom"/>
          </w:tcPr>
          <w:p w14:paraId="5556A87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7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5,352</w:t>
            </w:r>
          </w:p>
        </w:tc>
        <w:tc>
          <w:tcPr>
            <w:tcW w:w="0" w:type="auto"/>
            <w:shd w:val="clear" w:color="auto" w:fill="CCEEFF"/>
            <w:vAlign w:val="bottom"/>
          </w:tcPr>
          <w:p w14:paraId="5556A8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7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1.32</w:t>
            </w:r>
          </w:p>
        </w:tc>
        <w:tc>
          <w:tcPr>
            <w:tcW w:w="0" w:type="auto"/>
            <w:shd w:val="clear" w:color="auto" w:fill="CCEEFF"/>
            <w:vAlign w:val="bottom"/>
          </w:tcPr>
          <w:p w14:paraId="5556A87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8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27</w:t>
            </w:r>
          </w:p>
        </w:tc>
        <w:tc>
          <w:tcPr>
            <w:tcW w:w="0" w:type="auto"/>
            <w:shd w:val="clear" w:color="auto" w:fill="CCEEFF"/>
            <w:vAlign w:val="bottom"/>
          </w:tcPr>
          <w:p w14:paraId="5556A881" w14:textId="77777777" w:rsidR="00F925DD" w:rsidRDefault="00F925DD">
            <w:pPr>
              <w:textAlignment w:val="bottom"/>
              <w:rPr>
                <w:rFonts w:ascii="Times New Roman" w:hAnsi="Times New Roman"/>
                <w:sz w:val="20"/>
                <w:szCs w:val="20"/>
              </w:rPr>
            </w:pPr>
          </w:p>
        </w:tc>
      </w:tr>
      <w:tr w:rsidR="00F925DD" w14:paraId="5556A895" w14:textId="77777777">
        <w:tc>
          <w:tcPr>
            <w:tcW w:w="0" w:type="auto"/>
            <w:shd w:val="clear" w:color="auto" w:fill="auto"/>
            <w:tcMar>
              <w:top w:w="40" w:type="dxa"/>
              <w:left w:w="40" w:type="dxa"/>
              <w:bottom w:w="40" w:type="dxa"/>
              <w:right w:w="40" w:type="dxa"/>
            </w:tcMar>
            <w:vAlign w:val="bottom"/>
          </w:tcPr>
          <w:p w14:paraId="5556A883" w14:textId="77777777" w:rsidR="00F925DD" w:rsidRDefault="00E705D7">
            <w:pPr>
              <w:textAlignment w:val="bottom"/>
              <w:rPr>
                <w:rFonts w:ascii="Times New Roman" w:hAnsi="Times New Roman"/>
                <w:sz w:val="16"/>
                <w:szCs w:val="16"/>
              </w:rPr>
            </w:pPr>
            <w:r>
              <w:rPr>
                <w:rFonts w:ascii="Arial" w:eastAsia="宋体" w:hAnsi="Arial" w:cs="Arial"/>
                <w:sz w:val="16"/>
                <w:szCs w:val="16"/>
              </w:rPr>
              <w:t>Series H</w:t>
            </w:r>
          </w:p>
        </w:tc>
        <w:tc>
          <w:tcPr>
            <w:tcW w:w="0" w:type="auto"/>
            <w:gridSpan w:val="2"/>
            <w:shd w:val="clear" w:color="auto" w:fill="auto"/>
            <w:tcMar>
              <w:top w:w="40" w:type="dxa"/>
              <w:left w:w="40" w:type="dxa"/>
              <w:bottom w:w="40" w:type="dxa"/>
            </w:tcMar>
            <w:vAlign w:val="bottom"/>
          </w:tcPr>
          <w:p w14:paraId="5556A88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5,625</w:t>
            </w:r>
          </w:p>
        </w:tc>
        <w:tc>
          <w:tcPr>
            <w:tcW w:w="0" w:type="auto"/>
            <w:shd w:val="clear" w:color="auto" w:fill="auto"/>
            <w:vAlign w:val="bottom"/>
          </w:tcPr>
          <w:p w14:paraId="5556A88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8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56.25</w:t>
            </w:r>
          </w:p>
        </w:tc>
        <w:tc>
          <w:tcPr>
            <w:tcW w:w="0" w:type="auto"/>
            <w:shd w:val="clear" w:color="auto" w:fill="auto"/>
            <w:vAlign w:val="bottom"/>
          </w:tcPr>
          <w:p w14:paraId="5556A88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8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28</w:t>
            </w:r>
          </w:p>
        </w:tc>
        <w:tc>
          <w:tcPr>
            <w:tcW w:w="0" w:type="auto"/>
            <w:shd w:val="clear" w:color="auto" w:fill="auto"/>
            <w:vAlign w:val="bottom"/>
          </w:tcPr>
          <w:p w14:paraId="5556A88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8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1,219</w:t>
            </w:r>
          </w:p>
        </w:tc>
        <w:tc>
          <w:tcPr>
            <w:tcW w:w="0" w:type="auto"/>
            <w:shd w:val="clear" w:color="auto" w:fill="auto"/>
            <w:vAlign w:val="bottom"/>
          </w:tcPr>
          <w:p w14:paraId="5556A88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9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12.18</w:t>
            </w:r>
          </w:p>
        </w:tc>
        <w:tc>
          <w:tcPr>
            <w:tcW w:w="0" w:type="auto"/>
            <w:shd w:val="clear" w:color="auto" w:fill="auto"/>
            <w:vAlign w:val="bottom"/>
          </w:tcPr>
          <w:p w14:paraId="5556A89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9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auto"/>
            <w:vAlign w:val="bottom"/>
          </w:tcPr>
          <w:p w14:paraId="5556A894" w14:textId="77777777" w:rsidR="00F925DD" w:rsidRDefault="00F925DD">
            <w:pPr>
              <w:textAlignment w:val="bottom"/>
              <w:rPr>
                <w:rFonts w:ascii="Times New Roman" w:hAnsi="Times New Roman"/>
                <w:sz w:val="20"/>
                <w:szCs w:val="20"/>
              </w:rPr>
            </w:pPr>
          </w:p>
        </w:tc>
      </w:tr>
      <w:tr w:rsidR="00F925DD" w14:paraId="5556A8A6" w14:textId="77777777">
        <w:tc>
          <w:tcPr>
            <w:tcW w:w="0" w:type="auto"/>
            <w:shd w:val="clear" w:color="auto" w:fill="CCEEFF"/>
            <w:tcMar>
              <w:top w:w="40" w:type="dxa"/>
              <w:left w:w="40" w:type="dxa"/>
              <w:bottom w:w="40" w:type="dxa"/>
              <w:right w:w="40" w:type="dxa"/>
            </w:tcMar>
            <w:vAlign w:val="bottom"/>
          </w:tcPr>
          <w:p w14:paraId="5556A896" w14:textId="77777777" w:rsidR="00F925DD" w:rsidRDefault="00E705D7">
            <w:pPr>
              <w:textAlignment w:val="bottom"/>
              <w:rPr>
                <w:rFonts w:ascii="Times New Roman" w:hAnsi="Times New Roman"/>
                <w:sz w:val="16"/>
                <w:szCs w:val="16"/>
              </w:rPr>
            </w:pPr>
            <w:r>
              <w:rPr>
                <w:rFonts w:ascii="Arial" w:eastAsia="宋体" w:hAnsi="Arial" w:cs="Arial"/>
                <w:sz w:val="16"/>
                <w:szCs w:val="16"/>
              </w:rPr>
              <w:t>Total</w:t>
            </w:r>
          </w:p>
        </w:tc>
        <w:tc>
          <w:tcPr>
            <w:tcW w:w="0" w:type="auto"/>
            <w:gridSpan w:val="3"/>
            <w:shd w:val="clear" w:color="auto" w:fill="CCEEFF"/>
            <w:tcMar>
              <w:top w:w="40" w:type="dxa"/>
              <w:left w:w="40" w:type="dxa"/>
              <w:bottom w:w="40" w:type="dxa"/>
              <w:right w:w="40" w:type="dxa"/>
            </w:tcMar>
            <w:vAlign w:val="bottom"/>
          </w:tcPr>
          <w:p w14:paraId="5556A8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8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8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8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A89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A89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210</w:t>
            </w:r>
          </w:p>
        </w:tc>
        <w:tc>
          <w:tcPr>
            <w:tcW w:w="0" w:type="auto"/>
            <w:tcBorders>
              <w:top w:val="single" w:sz="8" w:space="0" w:color="000000"/>
              <w:bottom w:val="double" w:sz="6" w:space="0" w:color="000000"/>
            </w:tcBorders>
            <w:shd w:val="clear" w:color="auto" w:fill="CCEEFF"/>
            <w:vAlign w:val="bottom"/>
          </w:tcPr>
          <w:p w14:paraId="5556A8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8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8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8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8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A8A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A8A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188</w:t>
            </w:r>
          </w:p>
        </w:tc>
        <w:tc>
          <w:tcPr>
            <w:tcW w:w="0" w:type="auto"/>
            <w:tcBorders>
              <w:top w:val="single" w:sz="8" w:space="0" w:color="000000"/>
              <w:bottom w:val="double" w:sz="6" w:space="0" w:color="000000"/>
            </w:tcBorders>
            <w:shd w:val="clear" w:color="auto" w:fill="CCEEFF"/>
            <w:vAlign w:val="bottom"/>
          </w:tcPr>
          <w:p w14:paraId="5556A8A5" w14:textId="77777777" w:rsidR="00F925DD" w:rsidRDefault="00F925DD">
            <w:pPr>
              <w:textAlignment w:val="bottom"/>
              <w:rPr>
                <w:rFonts w:ascii="Times New Roman" w:hAnsi="Times New Roman"/>
                <w:sz w:val="20"/>
                <w:szCs w:val="20"/>
              </w:rPr>
            </w:pPr>
          </w:p>
        </w:tc>
      </w:tr>
    </w:tbl>
    <w:p w14:paraId="5556A8A7"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Common Stock</w:t>
      </w:r>
    </w:p>
    <w:p w14:paraId="5556A8A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June 2019, the Federal Reserve issued a non-objection to our capital plan submitted as part of the 2019 CCAR </w:t>
      </w:r>
      <w:r>
        <w:rPr>
          <w:rFonts w:ascii="Arial" w:eastAsia="宋体" w:hAnsi="Arial" w:cs="Arial"/>
          <w:sz w:val="20"/>
          <w:szCs w:val="20"/>
        </w:rPr>
        <w:t>submission; and in connection with that capital plan, our Board approved a common stock purchase program authorizing the purchase of up to $2.0 billion of our common stock from July 1, 2019 through June 30, 2020 (the 2019 Program). We repurchased $500 mill</w:t>
      </w:r>
      <w:r>
        <w:rPr>
          <w:rFonts w:ascii="Arial" w:eastAsia="宋体" w:hAnsi="Arial" w:cs="Arial"/>
          <w:sz w:val="20"/>
          <w:szCs w:val="20"/>
        </w:rPr>
        <w:t>ion of our common stock in each of the third and fourth quarters of 2019 under the 2019 Program.</w:t>
      </w:r>
    </w:p>
    <w:p w14:paraId="5556A8A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June 2018, the Federal Reserve issued a conditional non-objection to our 2018 capital plan; and in connection with that capital plan, our Board approved a c</w:t>
      </w:r>
      <w:r>
        <w:rPr>
          <w:rFonts w:ascii="Arial" w:eastAsia="宋体" w:hAnsi="Arial" w:cs="Arial"/>
          <w:sz w:val="20"/>
          <w:szCs w:val="20"/>
        </w:rPr>
        <w:t xml:space="preserve">ommon stock purchase program authorizing the purchase of up to $1.2 billion of our common stock through June 30, 2019 (the 2018 Program), under which we repurchased $300 million of our common stock in each of the first and second quarters of 2019. </w:t>
      </w:r>
    </w:p>
    <w:p w14:paraId="5556A8A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tab</w:t>
      </w:r>
      <w:r>
        <w:rPr>
          <w:rFonts w:ascii="Arial" w:eastAsia="宋体" w:hAnsi="Arial" w:cs="Arial"/>
          <w:sz w:val="20"/>
          <w:szCs w:val="20"/>
        </w:rPr>
        <w:t>le below presents the activity under our common stock purchase program during the year ended December 31, 2019:</w:t>
      </w:r>
    </w:p>
    <w:tbl>
      <w:tblPr>
        <w:tblW w:w="5000" w:type="pct"/>
        <w:tblCellMar>
          <w:left w:w="0" w:type="dxa"/>
          <w:right w:w="0" w:type="dxa"/>
        </w:tblCellMar>
        <w:tblLook w:val="04A0" w:firstRow="1" w:lastRow="0" w:firstColumn="1" w:lastColumn="0" w:noHBand="0" w:noVBand="1"/>
      </w:tblPr>
      <w:tblGrid>
        <w:gridCol w:w="2382"/>
        <w:gridCol w:w="1800"/>
        <w:gridCol w:w="56"/>
        <w:gridCol w:w="130"/>
        <w:gridCol w:w="131"/>
        <w:gridCol w:w="1717"/>
        <w:gridCol w:w="56"/>
        <w:gridCol w:w="130"/>
        <w:gridCol w:w="130"/>
        <w:gridCol w:w="1717"/>
        <w:gridCol w:w="57"/>
      </w:tblGrid>
      <w:tr w:rsidR="00F925DD" w14:paraId="5556A8AC" w14:textId="77777777">
        <w:tc>
          <w:tcPr>
            <w:tcW w:w="0" w:type="auto"/>
            <w:gridSpan w:val="11"/>
            <w:shd w:val="clear" w:color="auto" w:fill="auto"/>
            <w:vAlign w:val="center"/>
          </w:tcPr>
          <w:p w14:paraId="5556A8AB" w14:textId="77777777" w:rsidR="00F925DD" w:rsidRDefault="00F925DD">
            <w:pPr>
              <w:rPr>
                <w:rFonts w:ascii="Times New Roman" w:hAnsi="Times New Roman"/>
                <w:sz w:val="20"/>
                <w:szCs w:val="20"/>
              </w:rPr>
            </w:pPr>
          </w:p>
        </w:tc>
      </w:tr>
      <w:tr w:rsidR="00F925DD" w14:paraId="5556A8B8" w14:textId="77777777">
        <w:tc>
          <w:tcPr>
            <w:tcW w:w="1450" w:type="pct"/>
            <w:shd w:val="clear" w:color="auto" w:fill="auto"/>
            <w:vAlign w:val="center"/>
          </w:tcPr>
          <w:p w14:paraId="5556A8AD" w14:textId="77777777" w:rsidR="00F925DD" w:rsidRDefault="00F925DD">
            <w:pPr>
              <w:rPr>
                <w:rFonts w:ascii="Times New Roman" w:hAnsi="Times New Roman"/>
                <w:sz w:val="20"/>
                <w:szCs w:val="20"/>
              </w:rPr>
            </w:pPr>
          </w:p>
        </w:tc>
        <w:tc>
          <w:tcPr>
            <w:tcW w:w="1100" w:type="pct"/>
            <w:shd w:val="clear" w:color="auto" w:fill="auto"/>
            <w:vAlign w:val="center"/>
          </w:tcPr>
          <w:p w14:paraId="5556A8AE" w14:textId="77777777" w:rsidR="00F925DD" w:rsidRDefault="00F925DD">
            <w:pPr>
              <w:rPr>
                <w:rFonts w:ascii="Times New Roman" w:hAnsi="Times New Roman"/>
                <w:sz w:val="20"/>
                <w:szCs w:val="20"/>
              </w:rPr>
            </w:pPr>
          </w:p>
        </w:tc>
        <w:tc>
          <w:tcPr>
            <w:tcW w:w="50" w:type="pct"/>
            <w:shd w:val="clear" w:color="auto" w:fill="auto"/>
            <w:vAlign w:val="center"/>
          </w:tcPr>
          <w:p w14:paraId="5556A8AF" w14:textId="77777777" w:rsidR="00F925DD" w:rsidRDefault="00F925DD">
            <w:pPr>
              <w:rPr>
                <w:rFonts w:ascii="Times New Roman" w:hAnsi="Times New Roman"/>
                <w:sz w:val="20"/>
                <w:szCs w:val="20"/>
              </w:rPr>
            </w:pPr>
          </w:p>
        </w:tc>
        <w:tc>
          <w:tcPr>
            <w:tcW w:w="50" w:type="pct"/>
            <w:shd w:val="clear" w:color="auto" w:fill="auto"/>
            <w:vAlign w:val="center"/>
          </w:tcPr>
          <w:p w14:paraId="5556A8B0" w14:textId="77777777" w:rsidR="00F925DD" w:rsidRDefault="00F925DD">
            <w:pPr>
              <w:rPr>
                <w:rFonts w:ascii="Times New Roman" w:hAnsi="Times New Roman"/>
                <w:sz w:val="20"/>
                <w:szCs w:val="20"/>
              </w:rPr>
            </w:pPr>
          </w:p>
        </w:tc>
        <w:tc>
          <w:tcPr>
            <w:tcW w:w="50" w:type="pct"/>
            <w:shd w:val="clear" w:color="auto" w:fill="auto"/>
            <w:vAlign w:val="center"/>
          </w:tcPr>
          <w:p w14:paraId="5556A8B1" w14:textId="77777777" w:rsidR="00F925DD" w:rsidRDefault="00F925DD">
            <w:pPr>
              <w:rPr>
                <w:rFonts w:ascii="Times New Roman" w:hAnsi="Times New Roman"/>
                <w:sz w:val="20"/>
                <w:szCs w:val="20"/>
              </w:rPr>
            </w:pPr>
          </w:p>
        </w:tc>
        <w:tc>
          <w:tcPr>
            <w:tcW w:w="1050" w:type="pct"/>
            <w:shd w:val="clear" w:color="auto" w:fill="auto"/>
            <w:vAlign w:val="center"/>
          </w:tcPr>
          <w:p w14:paraId="5556A8B2" w14:textId="77777777" w:rsidR="00F925DD" w:rsidRDefault="00F925DD">
            <w:pPr>
              <w:rPr>
                <w:rFonts w:ascii="Times New Roman" w:hAnsi="Times New Roman"/>
                <w:sz w:val="20"/>
                <w:szCs w:val="20"/>
              </w:rPr>
            </w:pPr>
          </w:p>
        </w:tc>
        <w:tc>
          <w:tcPr>
            <w:tcW w:w="50" w:type="pct"/>
            <w:shd w:val="clear" w:color="auto" w:fill="auto"/>
            <w:vAlign w:val="center"/>
          </w:tcPr>
          <w:p w14:paraId="5556A8B3" w14:textId="77777777" w:rsidR="00F925DD" w:rsidRDefault="00F925DD">
            <w:pPr>
              <w:rPr>
                <w:rFonts w:ascii="Times New Roman" w:hAnsi="Times New Roman"/>
                <w:sz w:val="20"/>
                <w:szCs w:val="20"/>
              </w:rPr>
            </w:pPr>
          </w:p>
        </w:tc>
        <w:tc>
          <w:tcPr>
            <w:tcW w:w="50" w:type="pct"/>
            <w:shd w:val="clear" w:color="auto" w:fill="auto"/>
            <w:vAlign w:val="center"/>
          </w:tcPr>
          <w:p w14:paraId="5556A8B4" w14:textId="77777777" w:rsidR="00F925DD" w:rsidRDefault="00F925DD">
            <w:pPr>
              <w:rPr>
                <w:rFonts w:ascii="Times New Roman" w:hAnsi="Times New Roman"/>
                <w:sz w:val="20"/>
                <w:szCs w:val="20"/>
              </w:rPr>
            </w:pPr>
          </w:p>
        </w:tc>
        <w:tc>
          <w:tcPr>
            <w:tcW w:w="50" w:type="pct"/>
            <w:shd w:val="clear" w:color="auto" w:fill="auto"/>
            <w:vAlign w:val="center"/>
          </w:tcPr>
          <w:p w14:paraId="5556A8B5" w14:textId="77777777" w:rsidR="00F925DD" w:rsidRDefault="00F925DD">
            <w:pPr>
              <w:rPr>
                <w:rFonts w:ascii="Times New Roman" w:hAnsi="Times New Roman"/>
                <w:sz w:val="20"/>
                <w:szCs w:val="20"/>
              </w:rPr>
            </w:pPr>
          </w:p>
        </w:tc>
        <w:tc>
          <w:tcPr>
            <w:tcW w:w="1050" w:type="pct"/>
            <w:shd w:val="clear" w:color="auto" w:fill="auto"/>
            <w:vAlign w:val="center"/>
          </w:tcPr>
          <w:p w14:paraId="5556A8B6" w14:textId="77777777" w:rsidR="00F925DD" w:rsidRDefault="00F925DD">
            <w:pPr>
              <w:rPr>
                <w:rFonts w:ascii="Times New Roman" w:hAnsi="Times New Roman"/>
                <w:sz w:val="20"/>
                <w:szCs w:val="20"/>
              </w:rPr>
            </w:pPr>
          </w:p>
        </w:tc>
        <w:tc>
          <w:tcPr>
            <w:tcW w:w="50" w:type="pct"/>
            <w:shd w:val="clear" w:color="auto" w:fill="auto"/>
            <w:vAlign w:val="center"/>
          </w:tcPr>
          <w:p w14:paraId="5556A8B7" w14:textId="77777777" w:rsidR="00F925DD" w:rsidRDefault="00F925DD">
            <w:pPr>
              <w:rPr>
                <w:rFonts w:ascii="Times New Roman" w:hAnsi="Times New Roman"/>
                <w:sz w:val="20"/>
                <w:szCs w:val="20"/>
              </w:rPr>
            </w:pPr>
          </w:p>
        </w:tc>
      </w:tr>
      <w:tr w:rsidR="00F925DD" w14:paraId="5556A8BA" w14:textId="77777777">
        <w:tc>
          <w:tcPr>
            <w:tcW w:w="0" w:type="auto"/>
            <w:gridSpan w:val="11"/>
            <w:shd w:val="clear" w:color="auto" w:fill="auto"/>
            <w:tcMar>
              <w:top w:w="40" w:type="dxa"/>
              <w:left w:w="40" w:type="dxa"/>
              <w:bottom w:w="40" w:type="dxa"/>
              <w:right w:w="40" w:type="dxa"/>
            </w:tcMar>
            <w:vAlign w:val="bottom"/>
          </w:tcPr>
          <w:p w14:paraId="5556A8B9"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48: SHARES REPURCHASED</w:t>
            </w:r>
          </w:p>
        </w:tc>
      </w:tr>
      <w:tr w:rsidR="00F925DD" w14:paraId="5556A8BD" w14:textId="77777777">
        <w:tc>
          <w:tcPr>
            <w:tcW w:w="0" w:type="auto"/>
            <w:shd w:val="clear" w:color="auto" w:fill="auto"/>
            <w:tcMar>
              <w:top w:w="40" w:type="dxa"/>
              <w:left w:w="40" w:type="dxa"/>
              <w:bottom w:w="40" w:type="dxa"/>
              <w:right w:w="40" w:type="dxa"/>
            </w:tcMar>
            <w:vAlign w:val="bottom"/>
          </w:tcPr>
          <w:p w14:paraId="5556A8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5556A8BC"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 Ended December 31, 2019</w:t>
            </w:r>
          </w:p>
        </w:tc>
      </w:tr>
      <w:tr w:rsidR="00F925DD" w14:paraId="5556A8C4" w14:textId="77777777">
        <w:tc>
          <w:tcPr>
            <w:tcW w:w="0" w:type="auto"/>
            <w:shd w:val="clear" w:color="auto" w:fill="auto"/>
            <w:tcMar>
              <w:top w:w="40" w:type="dxa"/>
              <w:left w:w="40" w:type="dxa"/>
              <w:bottom w:w="40" w:type="dxa"/>
              <w:right w:w="40" w:type="dxa"/>
            </w:tcMar>
            <w:vAlign w:val="bottom"/>
          </w:tcPr>
          <w:p w14:paraId="5556A8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A8B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 xml:space="preserve">Shares Acquired </w:t>
            </w:r>
            <w:r>
              <w:rPr>
                <w:rFonts w:ascii="Arial" w:eastAsia="宋体" w:hAnsi="Arial" w:cs="Arial"/>
                <w:b/>
                <w:bCs/>
                <w:sz w:val="16"/>
                <w:szCs w:val="16"/>
              </w:rPr>
              <w:br/>
              <w:t>(In millions)</w:t>
            </w:r>
          </w:p>
        </w:tc>
        <w:tc>
          <w:tcPr>
            <w:tcW w:w="0" w:type="auto"/>
            <w:shd w:val="clear" w:color="auto" w:fill="auto"/>
            <w:tcMar>
              <w:top w:w="40" w:type="dxa"/>
              <w:left w:w="40" w:type="dxa"/>
              <w:bottom w:w="40" w:type="dxa"/>
              <w:right w:w="40" w:type="dxa"/>
            </w:tcMar>
            <w:vAlign w:val="bottom"/>
          </w:tcPr>
          <w:p w14:paraId="5556A8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8C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Average Cost per Share</w:t>
            </w:r>
          </w:p>
        </w:tc>
        <w:tc>
          <w:tcPr>
            <w:tcW w:w="0" w:type="auto"/>
            <w:shd w:val="clear" w:color="auto" w:fill="auto"/>
            <w:tcMar>
              <w:top w:w="40" w:type="dxa"/>
              <w:left w:w="40" w:type="dxa"/>
              <w:bottom w:w="40" w:type="dxa"/>
              <w:right w:w="40" w:type="dxa"/>
            </w:tcMar>
            <w:vAlign w:val="bottom"/>
          </w:tcPr>
          <w:p w14:paraId="5556A8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8C3"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 xml:space="preserve">Total Acquired </w:t>
            </w:r>
            <w:r>
              <w:rPr>
                <w:rFonts w:ascii="Arial" w:eastAsia="宋体" w:hAnsi="Arial" w:cs="Arial"/>
                <w:b/>
                <w:bCs/>
                <w:sz w:val="16"/>
                <w:szCs w:val="16"/>
              </w:rPr>
              <w:br/>
              <w:t>(In millions)</w:t>
            </w:r>
          </w:p>
        </w:tc>
      </w:tr>
      <w:tr w:rsidR="00F925DD" w14:paraId="5556A8D0" w14:textId="77777777">
        <w:tc>
          <w:tcPr>
            <w:tcW w:w="0" w:type="auto"/>
            <w:shd w:val="clear" w:color="auto" w:fill="CCEEFF"/>
            <w:tcMar>
              <w:top w:w="40" w:type="dxa"/>
              <w:left w:w="40" w:type="dxa"/>
              <w:bottom w:w="40" w:type="dxa"/>
              <w:right w:w="40" w:type="dxa"/>
            </w:tcMar>
            <w:vAlign w:val="bottom"/>
          </w:tcPr>
          <w:p w14:paraId="5556A8C5" w14:textId="77777777" w:rsidR="00F925DD" w:rsidRDefault="00E705D7">
            <w:pPr>
              <w:textAlignment w:val="bottom"/>
              <w:rPr>
                <w:rFonts w:ascii="Times New Roman" w:hAnsi="Times New Roman"/>
                <w:sz w:val="16"/>
                <w:szCs w:val="16"/>
              </w:rPr>
            </w:pPr>
            <w:r>
              <w:rPr>
                <w:rFonts w:ascii="Arial" w:eastAsia="宋体" w:hAnsi="Arial" w:cs="Arial"/>
                <w:sz w:val="16"/>
                <w:szCs w:val="16"/>
              </w:rPr>
              <w:t>2018 Program</w:t>
            </w:r>
          </w:p>
        </w:tc>
        <w:tc>
          <w:tcPr>
            <w:tcW w:w="0" w:type="auto"/>
            <w:tcBorders>
              <w:top w:val="single" w:sz="8" w:space="0" w:color="000000"/>
            </w:tcBorders>
            <w:shd w:val="clear" w:color="auto" w:fill="CCEEFF"/>
            <w:tcMar>
              <w:top w:w="40" w:type="dxa"/>
              <w:left w:w="40" w:type="dxa"/>
              <w:bottom w:w="40" w:type="dxa"/>
            </w:tcMar>
            <w:vAlign w:val="bottom"/>
          </w:tcPr>
          <w:p w14:paraId="5556A8C6"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8.8</w:t>
            </w:r>
          </w:p>
        </w:tc>
        <w:tc>
          <w:tcPr>
            <w:tcW w:w="0" w:type="auto"/>
            <w:tcBorders>
              <w:top w:val="single" w:sz="8" w:space="0" w:color="000000"/>
            </w:tcBorders>
            <w:shd w:val="clear" w:color="auto" w:fill="CCEEFF"/>
            <w:vAlign w:val="bottom"/>
          </w:tcPr>
          <w:p w14:paraId="5556A8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8C9"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A8C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67.97</w:t>
            </w:r>
          </w:p>
        </w:tc>
        <w:tc>
          <w:tcPr>
            <w:tcW w:w="0" w:type="auto"/>
            <w:tcBorders>
              <w:top w:val="single" w:sz="8" w:space="0" w:color="000000"/>
            </w:tcBorders>
            <w:shd w:val="clear" w:color="auto" w:fill="CCEEFF"/>
            <w:vAlign w:val="bottom"/>
          </w:tcPr>
          <w:p w14:paraId="5556A8C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8CD"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A8C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600</w:t>
            </w:r>
          </w:p>
        </w:tc>
        <w:tc>
          <w:tcPr>
            <w:tcW w:w="0" w:type="auto"/>
            <w:tcBorders>
              <w:top w:val="single" w:sz="8" w:space="0" w:color="000000"/>
            </w:tcBorders>
            <w:shd w:val="clear" w:color="auto" w:fill="CCEEFF"/>
            <w:vAlign w:val="bottom"/>
          </w:tcPr>
          <w:p w14:paraId="5556A8CF" w14:textId="77777777" w:rsidR="00F925DD" w:rsidRDefault="00F925DD">
            <w:pPr>
              <w:textAlignment w:val="bottom"/>
              <w:rPr>
                <w:rFonts w:ascii="Times New Roman" w:hAnsi="Times New Roman"/>
                <w:sz w:val="20"/>
                <w:szCs w:val="20"/>
              </w:rPr>
            </w:pPr>
          </w:p>
        </w:tc>
      </w:tr>
      <w:tr w:rsidR="00F925DD" w14:paraId="5556A8DA" w14:textId="77777777">
        <w:tc>
          <w:tcPr>
            <w:tcW w:w="0" w:type="auto"/>
            <w:shd w:val="clear" w:color="auto" w:fill="auto"/>
            <w:tcMar>
              <w:top w:w="40" w:type="dxa"/>
              <w:left w:w="40" w:type="dxa"/>
              <w:bottom w:w="40" w:type="dxa"/>
              <w:right w:w="40" w:type="dxa"/>
            </w:tcMar>
            <w:vAlign w:val="bottom"/>
          </w:tcPr>
          <w:p w14:paraId="5556A8D1" w14:textId="77777777" w:rsidR="00F925DD" w:rsidRDefault="00E705D7">
            <w:pPr>
              <w:textAlignment w:val="bottom"/>
              <w:rPr>
                <w:rFonts w:ascii="Times New Roman" w:hAnsi="Times New Roman"/>
                <w:sz w:val="16"/>
                <w:szCs w:val="16"/>
              </w:rPr>
            </w:pPr>
            <w:r>
              <w:rPr>
                <w:rFonts w:ascii="Arial" w:eastAsia="宋体" w:hAnsi="Arial" w:cs="Arial"/>
                <w:sz w:val="16"/>
                <w:szCs w:val="16"/>
              </w:rPr>
              <w:t>2019 Program</w:t>
            </w:r>
          </w:p>
        </w:tc>
        <w:tc>
          <w:tcPr>
            <w:tcW w:w="0" w:type="auto"/>
            <w:shd w:val="clear" w:color="auto" w:fill="auto"/>
            <w:tcMar>
              <w:top w:w="40" w:type="dxa"/>
              <w:left w:w="40" w:type="dxa"/>
              <w:bottom w:w="40" w:type="dxa"/>
            </w:tcMar>
            <w:vAlign w:val="bottom"/>
          </w:tcPr>
          <w:p w14:paraId="5556A8D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16.1</w:t>
            </w:r>
          </w:p>
        </w:tc>
        <w:tc>
          <w:tcPr>
            <w:tcW w:w="0" w:type="auto"/>
            <w:shd w:val="clear" w:color="auto" w:fill="auto"/>
            <w:vAlign w:val="bottom"/>
          </w:tcPr>
          <w:p w14:paraId="5556A8D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D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62.28</w:t>
            </w:r>
          </w:p>
        </w:tc>
        <w:tc>
          <w:tcPr>
            <w:tcW w:w="0" w:type="auto"/>
            <w:shd w:val="clear" w:color="auto" w:fill="auto"/>
            <w:vAlign w:val="bottom"/>
          </w:tcPr>
          <w:p w14:paraId="5556A8D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8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8D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1,000</w:t>
            </w:r>
          </w:p>
        </w:tc>
        <w:tc>
          <w:tcPr>
            <w:tcW w:w="0" w:type="auto"/>
            <w:shd w:val="clear" w:color="auto" w:fill="auto"/>
            <w:vAlign w:val="bottom"/>
          </w:tcPr>
          <w:p w14:paraId="5556A8D9" w14:textId="77777777" w:rsidR="00F925DD" w:rsidRDefault="00F925DD">
            <w:pPr>
              <w:textAlignment w:val="bottom"/>
              <w:rPr>
                <w:rFonts w:ascii="Times New Roman" w:hAnsi="Times New Roman"/>
                <w:sz w:val="20"/>
                <w:szCs w:val="20"/>
              </w:rPr>
            </w:pPr>
          </w:p>
        </w:tc>
      </w:tr>
      <w:tr w:rsidR="00F925DD" w14:paraId="5556A8E5" w14:textId="77777777">
        <w:tc>
          <w:tcPr>
            <w:tcW w:w="0" w:type="auto"/>
            <w:shd w:val="clear" w:color="auto" w:fill="CCEEFF"/>
            <w:tcMar>
              <w:top w:w="40" w:type="dxa"/>
              <w:left w:w="40" w:type="dxa"/>
              <w:bottom w:w="40" w:type="dxa"/>
              <w:right w:w="40" w:type="dxa"/>
            </w:tcMar>
            <w:vAlign w:val="bottom"/>
          </w:tcPr>
          <w:p w14:paraId="5556A8DB" w14:textId="77777777" w:rsidR="00F925DD" w:rsidRDefault="00E705D7">
            <w:pPr>
              <w:textAlignment w:val="bottom"/>
              <w:rPr>
                <w:rFonts w:ascii="Times New Roman" w:hAnsi="Times New Roman"/>
                <w:sz w:val="16"/>
                <w:szCs w:val="16"/>
              </w:rPr>
            </w:pPr>
            <w:r>
              <w:rPr>
                <w:rFonts w:ascii="Arial" w:eastAsia="宋体" w:hAnsi="Arial" w:cs="Arial"/>
                <w:sz w:val="16"/>
                <w:szCs w:val="16"/>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A8D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24.9</w:t>
            </w:r>
          </w:p>
        </w:tc>
        <w:tc>
          <w:tcPr>
            <w:tcW w:w="0" w:type="auto"/>
            <w:tcBorders>
              <w:top w:val="single" w:sz="8" w:space="0" w:color="000000"/>
              <w:bottom w:val="double" w:sz="6" w:space="0" w:color="000000"/>
            </w:tcBorders>
            <w:shd w:val="clear" w:color="auto" w:fill="CCEEFF"/>
            <w:vAlign w:val="bottom"/>
          </w:tcPr>
          <w:p w14:paraId="5556A8D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8D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64.30</w:t>
            </w:r>
          </w:p>
        </w:tc>
        <w:tc>
          <w:tcPr>
            <w:tcW w:w="0" w:type="auto"/>
            <w:shd w:val="clear" w:color="auto" w:fill="CCEEFF"/>
            <w:vAlign w:val="bottom"/>
          </w:tcPr>
          <w:p w14:paraId="5556A8E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8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A8E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A8E3"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1,600</w:t>
            </w:r>
          </w:p>
        </w:tc>
        <w:tc>
          <w:tcPr>
            <w:tcW w:w="0" w:type="auto"/>
            <w:tcBorders>
              <w:top w:val="single" w:sz="8" w:space="0" w:color="000000"/>
              <w:bottom w:val="double" w:sz="6" w:space="0" w:color="000000"/>
            </w:tcBorders>
            <w:shd w:val="clear" w:color="auto" w:fill="CCEEFF"/>
            <w:vAlign w:val="bottom"/>
          </w:tcPr>
          <w:p w14:paraId="5556A8E4" w14:textId="77777777" w:rsidR="00F925DD" w:rsidRDefault="00F925DD">
            <w:pPr>
              <w:textAlignment w:val="bottom"/>
              <w:rPr>
                <w:rFonts w:ascii="Times New Roman" w:hAnsi="Times New Roman"/>
                <w:sz w:val="20"/>
                <w:szCs w:val="20"/>
              </w:rPr>
            </w:pPr>
          </w:p>
        </w:tc>
      </w:tr>
    </w:tbl>
    <w:p w14:paraId="5556A8E6" w14:textId="77777777" w:rsidR="00F925DD" w:rsidRDefault="00E705D7">
      <w:pPr>
        <w:spacing w:line="288" w:lineRule="auto"/>
        <w:rPr>
          <w:rFonts w:ascii="Times New Roman" w:hAnsi="Times New Roman"/>
          <w:sz w:val="20"/>
          <w:szCs w:val="20"/>
        </w:rPr>
      </w:pPr>
      <w:r>
        <w:rPr>
          <w:rFonts w:ascii="Arial" w:eastAsia="宋体" w:hAnsi="Arial" w:cs="Arial"/>
          <w:sz w:val="20"/>
          <w:szCs w:val="20"/>
        </w:rPr>
        <w:t>The table below presents the dividends declared on common stock for the periods indicated:</w:t>
      </w:r>
    </w:p>
    <w:tbl>
      <w:tblPr>
        <w:tblW w:w="5000" w:type="pct"/>
        <w:tblCellMar>
          <w:left w:w="0" w:type="dxa"/>
          <w:right w:w="0" w:type="dxa"/>
        </w:tblCellMar>
        <w:tblLook w:val="04A0" w:firstRow="1" w:lastRow="0" w:firstColumn="1" w:lastColumn="0" w:noHBand="0" w:noVBand="1"/>
      </w:tblPr>
      <w:tblGrid>
        <w:gridCol w:w="2372"/>
        <w:gridCol w:w="130"/>
        <w:gridCol w:w="1209"/>
        <w:gridCol w:w="49"/>
        <w:gridCol w:w="130"/>
        <w:gridCol w:w="130"/>
        <w:gridCol w:w="1206"/>
        <w:gridCol w:w="46"/>
        <w:gridCol w:w="130"/>
        <w:gridCol w:w="130"/>
        <w:gridCol w:w="1210"/>
        <w:gridCol w:w="49"/>
        <w:gridCol w:w="130"/>
        <w:gridCol w:w="130"/>
        <w:gridCol w:w="1208"/>
        <w:gridCol w:w="47"/>
      </w:tblGrid>
      <w:tr w:rsidR="00F925DD" w14:paraId="5556A8E8" w14:textId="77777777">
        <w:tc>
          <w:tcPr>
            <w:tcW w:w="0" w:type="auto"/>
            <w:gridSpan w:val="16"/>
            <w:shd w:val="clear" w:color="auto" w:fill="auto"/>
            <w:vAlign w:val="center"/>
          </w:tcPr>
          <w:p w14:paraId="5556A8E7" w14:textId="77777777" w:rsidR="00F925DD" w:rsidRDefault="00F925DD">
            <w:pPr>
              <w:rPr>
                <w:rFonts w:ascii="Times New Roman" w:hAnsi="Times New Roman"/>
                <w:sz w:val="20"/>
                <w:szCs w:val="20"/>
              </w:rPr>
            </w:pPr>
          </w:p>
        </w:tc>
      </w:tr>
      <w:tr w:rsidR="00F925DD" w14:paraId="5556A8F9" w14:textId="77777777">
        <w:tc>
          <w:tcPr>
            <w:tcW w:w="1450" w:type="pct"/>
            <w:shd w:val="clear" w:color="auto" w:fill="auto"/>
            <w:vAlign w:val="center"/>
          </w:tcPr>
          <w:p w14:paraId="5556A8E9" w14:textId="77777777" w:rsidR="00F925DD" w:rsidRDefault="00F925DD">
            <w:pPr>
              <w:rPr>
                <w:rFonts w:ascii="Times New Roman" w:hAnsi="Times New Roman"/>
                <w:sz w:val="20"/>
                <w:szCs w:val="20"/>
              </w:rPr>
            </w:pPr>
          </w:p>
        </w:tc>
        <w:tc>
          <w:tcPr>
            <w:tcW w:w="50" w:type="pct"/>
            <w:shd w:val="clear" w:color="auto" w:fill="auto"/>
            <w:vAlign w:val="center"/>
          </w:tcPr>
          <w:p w14:paraId="5556A8EA" w14:textId="77777777" w:rsidR="00F925DD" w:rsidRDefault="00F925DD">
            <w:pPr>
              <w:rPr>
                <w:rFonts w:ascii="Times New Roman" w:hAnsi="Times New Roman"/>
                <w:sz w:val="20"/>
                <w:szCs w:val="20"/>
              </w:rPr>
            </w:pPr>
          </w:p>
        </w:tc>
        <w:tc>
          <w:tcPr>
            <w:tcW w:w="750" w:type="pct"/>
            <w:shd w:val="clear" w:color="auto" w:fill="auto"/>
            <w:vAlign w:val="center"/>
          </w:tcPr>
          <w:p w14:paraId="5556A8EB" w14:textId="77777777" w:rsidR="00F925DD" w:rsidRDefault="00F925DD">
            <w:pPr>
              <w:rPr>
                <w:rFonts w:ascii="Times New Roman" w:hAnsi="Times New Roman"/>
                <w:sz w:val="20"/>
                <w:szCs w:val="20"/>
              </w:rPr>
            </w:pPr>
          </w:p>
        </w:tc>
        <w:tc>
          <w:tcPr>
            <w:tcW w:w="50" w:type="pct"/>
            <w:shd w:val="clear" w:color="auto" w:fill="auto"/>
            <w:vAlign w:val="center"/>
          </w:tcPr>
          <w:p w14:paraId="5556A8EC" w14:textId="77777777" w:rsidR="00F925DD" w:rsidRDefault="00F925DD">
            <w:pPr>
              <w:rPr>
                <w:rFonts w:ascii="Times New Roman" w:hAnsi="Times New Roman"/>
                <w:sz w:val="20"/>
                <w:szCs w:val="20"/>
              </w:rPr>
            </w:pPr>
          </w:p>
        </w:tc>
        <w:tc>
          <w:tcPr>
            <w:tcW w:w="50" w:type="pct"/>
            <w:shd w:val="clear" w:color="auto" w:fill="auto"/>
            <w:vAlign w:val="center"/>
          </w:tcPr>
          <w:p w14:paraId="5556A8ED" w14:textId="77777777" w:rsidR="00F925DD" w:rsidRDefault="00F925DD">
            <w:pPr>
              <w:rPr>
                <w:rFonts w:ascii="Times New Roman" w:hAnsi="Times New Roman"/>
                <w:sz w:val="20"/>
                <w:szCs w:val="20"/>
              </w:rPr>
            </w:pPr>
          </w:p>
        </w:tc>
        <w:tc>
          <w:tcPr>
            <w:tcW w:w="50" w:type="pct"/>
            <w:shd w:val="clear" w:color="auto" w:fill="auto"/>
            <w:vAlign w:val="center"/>
          </w:tcPr>
          <w:p w14:paraId="5556A8EE" w14:textId="77777777" w:rsidR="00F925DD" w:rsidRDefault="00F925DD">
            <w:pPr>
              <w:rPr>
                <w:rFonts w:ascii="Times New Roman" w:hAnsi="Times New Roman"/>
                <w:sz w:val="20"/>
                <w:szCs w:val="20"/>
              </w:rPr>
            </w:pPr>
          </w:p>
        </w:tc>
        <w:tc>
          <w:tcPr>
            <w:tcW w:w="750" w:type="pct"/>
            <w:shd w:val="clear" w:color="auto" w:fill="auto"/>
            <w:vAlign w:val="center"/>
          </w:tcPr>
          <w:p w14:paraId="5556A8EF" w14:textId="77777777" w:rsidR="00F925DD" w:rsidRDefault="00F925DD">
            <w:pPr>
              <w:rPr>
                <w:rFonts w:ascii="Times New Roman" w:hAnsi="Times New Roman"/>
                <w:sz w:val="20"/>
                <w:szCs w:val="20"/>
              </w:rPr>
            </w:pPr>
          </w:p>
        </w:tc>
        <w:tc>
          <w:tcPr>
            <w:tcW w:w="50" w:type="pct"/>
            <w:shd w:val="clear" w:color="auto" w:fill="auto"/>
            <w:vAlign w:val="center"/>
          </w:tcPr>
          <w:p w14:paraId="5556A8F0" w14:textId="77777777" w:rsidR="00F925DD" w:rsidRDefault="00F925DD">
            <w:pPr>
              <w:rPr>
                <w:rFonts w:ascii="Times New Roman" w:hAnsi="Times New Roman"/>
                <w:sz w:val="20"/>
                <w:szCs w:val="20"/>
              </w:rPr>
            </w:pPr>
          </w:p>
        </w:tc>
        <w:tc>
          <w:tcPr>
            <w:tcW w:w="50" w:type="pct"/>
            <w:shd w:val="clear" w:color="auto" w:fill="auto"/>
            <w:vAlign w:val="center"/>
          </w:tcPr>
          <w:p w14:paraId="5556A8F1" w14:textId="77777777" w:rsidR="00F925DD" w:rsidRDefault="00F925DD">
            <w:pPr>
              <w:rPr>
                <w:rFonts w:ascii="Times New Roman" w:hAnsi="Times New Roman"/>
                <w:sz w:val="20"/>
                <w:szCs w:val="20"/>
              </w:rPr>
            </w:pPr>
          </w:p>
        </w:tc>
        <w:tc>
          <w:tcPr>
            <w:tcW w:w="50" w:type="pct"/>
            <w:shd w:val="clear" w:color="auto" w:fill="auto"/>
            <w:vAlign w:val="center"/>
          </w:tcPr>
          <w:p w14:paraId="5556A8F2" w14:textId="77777777" w:rsidR="00F925DD" w:rsidRDefault="00F925DD">
            <w:pPr>
              <w:rPr>
                <w:rFonts w:ascii="Times New Roman" w:hAnsi="Times New Roman"/>
                <w:sz w:val="20"/>
                <w:szCs w:val="20"/>
              </w:rPr>
            </w:pPr>
          </w:p>
        </w:tc>
        <w:tc>
          <w:tcPr>
            <w:tcW w:w="750" w:type="pct"/>
            <w:shd w:val="clear" w:color="auto" w:fill="auto"/>
            <w:vAlign w:val="center"/>
          </w:tcPr>
          <w:p w14:paraId="5556A8F3" w14:textId="77777777" w:rsidR="00F925DD" w:rsidRDefault="00F925DD">
            <w:pPr>
              <w:rPr>
                <w:rFonts w:ascii="Times New Roman" w:hAnsi="Times New Roman"/>
                <w:sz w:val="20"/>
                <w:szCs w:val="20"/>
              </w:rPr>
            </w:pPr>
          </w:p>
        </w:tc>
        <w:tc>
          <w:tcPr>
            <w:tcW w:w="50" w:type="pct"/>
            <w:shd w:val="clear" w:color="auto" w:fill="auto"/>
            <w:vAlign w:val="center"/>
          </w:tcPr>
          <w:p w14:paraId="5556A8F4" w14:textId="77777777" w:rsidR="00F925DD" w:rsidRDefault="00F925DD">
            <w:pPr>
              <w:rPr>
                <w:rFonts w:ascii="Times New Roman" w:hAnsi="Times New Roman"/>
                <w:sz w:val="20"/>
                <w:szCs w:val="20"/>
              </w:rPr>
            </w:pPr>
          </w:p>
        </w:tc>
        <w:tc>
          <w:tcPr>
            <w:tcW w:w="50" w:type="pct"/>
            <w:shd w:val="clear" w:color="auto" w:fill="auto"/>
            <w:vAlign w:val="center"/>
          </w:tcPr>
          <w:p w14:paraId="5556A8F5" w14:textId="77777777" w:rsidR="00F925DD" w:rsidRDefault="00F925DD">
            <w:pPr>
              <w:rPr>
                <w:rFonts w:ascii="Times New Roman" w:hAnsi="Times New Roman"/>
                <w:sz w:val="20"/>
                <w:szCs w:val="20"/>
              </w:rPr>
            </w:pPr>
          </w:p>
        </w:tc>
        <w:tc>
          <w:tcPr>
            <w:tcW w:w="50" w:type="pct"/>
            <w:shd w:val="clear" w:color="auto" w:fill="auto"/>
            <w:vAlign w:val="center"/>
          </w:tcPr>
          <w:p w14:paraId="5556A8F6" w14:textId="77777777" w:rsidR="00F925DD" w:rsidRDefault="00F925DD">
            <w:pPr>
              <w:rPr>
                <w:rFonts w:ascii="Times New Roman" w:hAnsi="Times New Roman"/>
                <w:sz w:val="20"/>
                <w:szCs w:val="20"/>
              </w:rPr>
            </w:pPr>
          </w:p>
        </w:tc>
        <w:tc>
          <w:tcPr>
            <w:tcW w:w="750" w:type="pct"/>
            <w:shd w:val="clear" w:color="auto" w:fill="auto"/>
            <w:vAlign w:val="center"/>
          </w:tcPr>
          <w:p w14:paraId="5556A8F7" w14:textId="77777777" w:rsidR="00F925DD" w:rsidRDefault="00F925DD">
            <w:pPr>
              <w:rPr>
                <w:rFonts w:ascii="Times New Roman" w:hAnsi="Times New Roman"/>
                <w:sz w:val="20"/>
                <w:szCs w:val="20"/>
              </w:rPr>
            </w:pPr>
          </w:p>
        </w:tc>
        <w:tc>
          <w:tcPr>
            <w:tcW w:w="50" w:type="pct"/>
            <w:shd w:val="clear" w:color="auto" w:fill="auto"/>
            <w:vAlign w:val="center"/>
          </w:tcPr>
          <w:p w14:paraId="5556A8F8" w14:textId="77777777" w:rsidR="00F925DD" w:rsidRDefault="00F925DD">
            <w:pPr>
              <w:rPr>
                <w:rFonts w:ascii="Times New Roman" w:hAnsi="Times New Roman"/>
                <w:sz w:val="20"/>
                <w:szCs w:val="20"/>
              </w:rPr>
            </w:pPr>
          </w:p>
        </w:tc>
      </w:tr>
      <w:tr w:rsidR="00F925DD" w14:paraId="5556A8FB" w14:textId="77777777">
        <w:tc>
          <w:tcPr>
            <w:tcW w:w="0" w:type="auto"/>
            <w:gridSpan w:val="16"/>
            <w:shd w:val="clear" w:color="auto" w:fill="auto"/>
            <w:tcMar>
              <w:top w:w="40" w:type="dxa"/>
              <w:left w:w="40" w:type="dxa"/>
              <w:bottom w:w="40" w:type="dxa"/>
              <w:right w:w="40" w:type="dxa"/>
            </w:tcMar>
            <w:vAlign w:val="bottom"/>
          </w:tcPr>
          <w:p w14:paraId="5556A8F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TABLE 49: COMMON STOCK DIVIDENDS</w:t>
            </w:r>
          </w:p>
        </w:tc>
      </w:tr>
      <w:tr w:rsidR="00F925DD" w14:paraId="5556A8FE" w14:textId="77777777">
        <w:tc>
          <w:tcPr>
            <w:tcW w:w="0" w:type="auto"/>
            <w:shd w:val="clear" w:color="auto" w:fill="auto"/>
            <w:tcMar>
              <w:top w:w="40" w:type="dxa"/>
              <w:left w:w="40" w:type="dxa"/>
              <w:bottom w:w="40" w:type="dxa"/>
              <w:right w:w="40" w:type="dxa"/>
            </w:tcMar>
            <w:vAlign w:val="bottom"/>
          </w:tcPr>
          <w:p w14:paraId="5556A8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A8F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Years Ended December 31,</w:t>
            </w:r>
          </w:p>
        </w:tc>
      </w:tr>
      <w:tr w:rsidR="00F925DD" w14:paraId="5556A903" w14:textId="77777777">
        <w:tc>
          <w:tcPr>
            <w:tcW w:w="0" w:type="auto"/>
            <w:shd w:val="clear" w:color="auto" w:fill="auto"/>
            <w:tcMar>
              <w:top w:w="40" w:type="dxa"/>
              <w:left w:w="40" w:type="dxa"/>
              <w:bottom w:w="40" w:type="dxa"/>
              <w:right w:w="40" w:type="dxa"/>
            </w:tcMar>
            <w:vAlign w:val="bottom"/>
          </w:tcPr>
          <w:p w14:paraId="5556A8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A900"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A9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A902"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r>
      <w:tr w:rsidR="00F925DD" w14:paraId="5556A90C" w14:textId="77777777">
        <w:tc>
          <w:tcPr>
            <w:tcW w:w="0" w:type="auto"/>
            <w:shd w:val="clear" w:color="auto" w:fill="auto"/>
            <w:tcMar>
              <w:top w:w="40" w:type="dxa"/>
              <w:left w:w="40" w:type="dxa"/>
              <w:bottom w:w="40" w:type="dxa"/>
              <w:right w:w="40" w:type="dxa"/>
            </w:tcMar>
            <w:vAlign w:val="bottom"/>
          </w:tcPr>
          <w:p w14:paraId="5556A9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905"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9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907"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Total</w:t>
            </w:r>
            <w:r>
              <w:rPr>
                <w:rFonts w:ascii="Arial" w:eastAsia="宋体" w:hAnsi="Arial" w:cs="Arial"/>
                <w:b/>
                <w:bCs/>
                <w:sz w:val="16"/>
                <w:szCs w:val="16"/>
              </w:rPr>
              <w:br/>
              <w:t>(In millions)</w:t>
            </w:r>
          </w:p>
        </w:tc>
        <w:tc>
          <w:tcPr>
            <w:tcW w:w="0" w:type="auto"/>
            <w:shd w:val="clear" w:color="auto" w:fill="auto"/>
            <w:tcMar>
              <w:top w:w="40" w:type="dxa"/>
              <w:left w:w="40" w:type="dxa"/>
              <w:bottom w:w="40" w:type="dxa"/>
              <w:right w:w="40" w:type="dxa"/>
            </w:tcMar>
            <w:vAlign w:val="bottom"/>
          </w:tcPr>
          <w:p w14:paraId="5556A9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909"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9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90B"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Total</w:t>
            </w:r>
            <w:r>
              <w:rPr>
                <w:rFonts w:ascii="Arial" w:eastAsia="宋体" w:hAnsi="Arial" w:cs="Arial"/>
                <w:b/>
                <w:bCs/>
                <w:sz w:val="16"/>
                <w:szCs w:val="16"/>
              </w:rPr>
              <w:br/>
              <w:t>(In millions)</w:t>
            </w:r>
          </w:p>
        </w:tc>
      </w:tr>
      <w:tr w:rsidR="00F925DD" w14:paraId="5556A91D" w14:textId="77777777">
        <w:tc>
          <w:tcPr>
            <w:tcW w:w="0" w:type="auto"/>
            <w:shd w:val="clear" w:color="auto" w:fill="CCEEFF"/>
            <w:tcMar>
              <w:top w:w="40" w:type="dxa"/>
              <w:left w:w="40" w:type="dxa"/>
              <w:bottom w:w="40" w:type="dxa"/>
              <w:right w:w="40" w:type="dxa"/>
            </w:tcMar>
            <w:vAlign w:val="bottom"/>
          </w:tcPr>
          <w:p w14:paraId="5556A90D" w14:textId="77777777" w:rsidR="00F925DD" w:rsidRDefault="00E705D7">
            <w:pPr>
              <w:textAlignment w:val="bottom"/>
              <w:rPr>
                <w:rFonts w:ascii="Times New Roman" w:hAnsi="Times New Roman"/>
                <w:sz w:val="16"/>
                <w:szCs w:val="16"/>
              </w:rPr>
            </w:pPr>
            <w:r>
              <w:rPr>
                <w:rFonts w:ascii="Arial" w:eastAsia="宋体" w:hAnsi="Arial" w:cs="Arial"/>
                <w:sz w:val="16"/>
                <w:szCs w:val="16"/>
              </w:rPr>
              <w:t>Common Stock</w:t>
            </w:r>
          </w:p>
        </w:tc>
        <w:tc>
          <w:tcPr>
            <w:tcW w:w="0" w:type="auto"/>
            <w:tcBorders>
              <w:top w:val="single" w:sz="8" w:space="0" w:color="000000"/>
            </w:tcBorders>
            <w:shd w:val="clear" w:color="auto" w:fill="CCEEFF"/>
            <w:tcMar>
              <w:top w:w="40" w:type="dxa"/>
              <w:left w:w="40" w:type="dxa"/>
              <w:bottom w:w="40" w:type="dxa"/>
            </w:tcMar>
            <w:vAlign w:val="bottom"/>
          </w:tcPr>
          <w:p w14:paraId="5556A90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A90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1.98</w:t>
            </w:r>
          </w:p>
        </w:tc>
        <w:tc>
          <w:tcPr>
            <w:tcW w:w="0" w:type="auto"/>
            <w:tcBorders>
              <w:top w:val="single" w:sz="8" w:space="0" w:color="000000"/>
            </w:tcBorders>
            <w:shd w:val="clear" w:color="auto" w:fill="CCEEFF"/>
            <w:vAlign w:val="bottom"/>
          </w:tcPr>
          <w:p w14:paraId="5556A9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911" w14:textId="77777777" w:rsidR="00F925DD" w:rsidRDefault="00F925DD">
            <w:pPr>
              <w:textAlignment w:val="bottom"/>
              <w:rPr>
                <w:rFonts w:ascii="Times New Roman" w:hAnsi="Times New Roman"/>
                <w:sz w:val="16"/>
                <w:szCs w:val="16"/>
              </w:rPr>
            </w:pPr>
          </w:p>
        </w:tc>
        <w:tc>
          <w:tcPr>
            <w:tcW w:w="0" w:type="auto"/>
            <w:shd w:val="clear" w:color="auto" w:fill="CCEEFF"/>
            <w:tcMar>
              <w:top w:w="40" w:type="dxa"/>
              <w:left w:w="40" w:type="dxa"/>
              <w:bottom w:w="40" w:type="dxa"/>
            </w:tcMar>
            <w:vAlign w:val="bottom"/>
          </w:tcPr>
          <w:p w14:paraId="5556A91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A913"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728</w:t>
            </w:r>
          </w:p>
        </w:tc>
        <w:tc>
          <w:tcPr>
            <w:tcW w:w="0" w:type="auto"/>
            <w:shd w:val="clear" w:color="auto" w:fill="CCEEFF"/>
            <w:vAlign w:val="bottom"/>
          </w:tcPr>
          <w:p w14:paraId="5556A91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915" w14:textId="77777777" w:rsidR="00F925DD" w:rsidRDefault="00F925DD">
            <w:pPr>
              <w:textAlignment w:val="bottom"/>
              <w:rPr>
                <w:rFonts w:ascii="Times New Roman" w:hAnsi="Times New Roman"/>
                <w:sz w:val="16"/>
                <w:szCs w:val="16"/>
              </w:rPr>
            </w:pPr>
          </w:p>
        </w:tc>
        <w:tc>
          <w:tcPr>
            <w:tcW w:w="0" w:type="auto"/>
            <w:shd w:val="clear" w:color="auto" w:fill="CCEEFF"/>
            <w:tcMar>
              <w:top w:w="40" w:type="dxa"/>
              <w:left w:w="40" w:type="dxa"/>
              <w:bottom w:w="40" w:type="dxa"/>
            </w:tcMar>
            <w:vAlign w:val="bottom"/>
          </w:tcPr>
          <w:p w14:paraId="5556A91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A91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1.78</w:t>
            </w:r>
          </w:p>
        </w:tc>
        <w:tc>
          <w:tcPr>
            <w:tcW w:w="0" w:type="auto"/>
            <w:shd w:val="clear" w:color="auto" w:fill="CCEEFF"/>
            <w:vAlign w:val="bottom"/>
          </w:tcPr>
          <w:p w14:paraId="5556A9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919" w14:textId="77777777" w:rsidR="00F925DD" w:rsidRDefault="00F925DD">
            <w:pPr>
              <w:textAlignment w:val="bottom"/>
              <w:rPr>
                <w:rFonts w:ascii="Times New Roman" w:hAnsi="Times New Roman"/>
                <w:sz w:val="16"/>
                <w:szCs w:val="16"/>
              </w:rPr>
            </w:pPr>
          </w:p>
        </w:tc>
        <w:tc>
          <w:tcPr>
            <w:tcW w:w="0" w:type="auto"/>
            <w:shd w:val="clear" w:color="auto" w:fill="CCEEFF"/>
            <w:tcMar>
              <w:top w:w="40" w:type="dxa"/>
              <w:left w:w="40" w:type="dxa"/>
              <w:bottom w:w="40" w:type="dxa"/>
            </w:tcMar>
            <w:vAlign w:val="bottom"/>
          </w:tcPr>
          <w:p w14:paraId="5556A91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A91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665</w:t>
            </w:r>
          </w:p>
        </w:tc>
        <w:tc>
          <w:tcPr>
            <w:tcW w:w="0" w:type="auto"/>
            <w:shd w:val="clear" w:color="auto" w:fill="CCEEFF"/>
            <w:vAlign w:val="bottom"/>
          </w:tcPr>
          <w:p w14:paraId="5556A91C" w14:textId="77777777" w:rsidR="00F925DD" w:rsidRDefault="00F925DD">
            <w:pPr>
              <w:textAlignment w:val="bottom"/>
              <w:rPr>
                <w:rFonts w:ascii="Times New Roman" w:hAnsi="Times New Roman"/>
                <w:sz w:val="20"/>
                <w:szCs w:val="20"/>
              </w:rPr>
            </w:pPr>
          </w:p>
        </w:tc>
      </w:tr>
    </w:tbl>
    <w:p w14:paraId="5556A91E" w14:textId="77777777" w:rsidR="00F925DD" w:rsidRDefault="00F925DD">
      <w:pPr>
        <w:rPr>
          <w:rFonts w:ascii="Times New Roman" w:hAnsi="Times New Roman"/>
          <w:sz w:val="20"/>
          <w:szCs w:val="20"/>
        </w:rPr>
      </w:pPr>
    </w:p>
    <w:p w14:paraId="5556A91F"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Street </w:t>
      </w:r>
      <w:r>
        <w:rPr>
          <w:rFonts w:ascii="Arial" w:eastAsia="宋体" w:hAnsi="Arial" w:cs="Arial"/>
          <w:sz w:val="18"/>
          <w:szCs w:val="18"/>
        </w:rPr>
        <w:t>Corporation | 114</w:t>
      </w:r>
    </w:p>
    <w:p w14:paraId="5556A920" w14:textId="77777777" w:rsidR="00F925DD" w:rsidRDefault="00F925DD">
      <w:pPr>
        <w:spacing w:line="288" w:lineRule="auto"/>
        <w:ind w:firstLine="600"/>
        <w:jc w:val="center"/>
        <w:rPr>
          <w:rFonts w:ascii="Times New Roman" w:hAnsi="Times New Roman"/>
          <w:sz w:val="18"/>
          <w:szCs w:val="18"/>
        </w:rPr>
      </w:pPr>
    </w:p>
    <w:p w14:paraId="5556A921" w14:textId="77777777" w:rsidR="00F925DD" w:rsidRDefault="00E705D7">
      <w:r>
        <w:rPr>
          <w:rFonts w:ascii="Times New Roman" w:hAnsi="Times New Roman"/>
          <w:sz w:val="18"/>
          <w:szCs w:val="18"/>
        </w:rPr>
        <w:pict w14:anchorId="555706AC">
          <v:rect id="_x0000_i1138" style="width:415.3pt;height:1.5pt" o:hralign="center" o:hrstd="t" o:hr="t" fillcolor="#a0a0a0" stroked="f"/>
        </w:pict>
      </w:r>
    </w:p>
    <w:p w14:paraId="5556A922"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A92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A924" w14:textId="77777777" w:rsidR="00F925DD" w:rsidRDefault="00F925DD">
      <w:pPr>
        <w:rPr>
          <w:rFonts w:ascii="Times New Roman" w:hAnsi="Times New Roman"/>
          <w:sz w:val="20"/>
          <w:szCs w:val="20"/>
        </w:rPr>
      </w:pPr>
    </w:p>
    <w:p w14:paraId="5556A92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Federal and state banking regulations place certain restrictions on dividends paid by subsidiary banks to the parent holding company. In </w:t>
      </w:r>
      <w:r>
        <w:rPr>
          <w:rFonts w:ascii="Arial" w:eastAsia="宋体" w:hAnsi="Arial" w:cs="Arial"/>
          <w:sz w:val="20"/>
          <w:szCs w:val="20"/>
        </w:rPr>
        <w:t>addition, banking regulators have the authority to prohibit bank holding companies from paying dividends. For information concerning limitations on dividends from our subsidiary banks, refer to "Related Stockholder Matters" included under Item 5, Market fo</w:t>
      </w:r>
      <w:r>
        <w:rPr>
          <w:rFonts w:ascii="Arial" w:eastAsia="宋体" w:hAnsi="Arial" w:cs="Arial"/>
          <w:sz w:val="20"/>
          <w:szCs w:val="20"/>
        </w:rPr>
        <w:t>r Registrant’s Common Equity, Related Stockholder Matters and Issuer Purchases of Equity Securities, and to Note 15 to the consolidated financial statements in this Form 10-K. Our common stock and preferred stock dividends, including the declaration, timin</w:t>
      </w:r>
      <w:r>
        <w:rPr>
          <w:rFonts w:ascii="Arial" w:eastAsia="宋体" w:hAnsi="Arial" w:cs="Arial"/>
          <w:sz w:val="20"/>
          <w:szCs w:val="20"/>
        </w:rPr>
        <w:t>g and amount thereof, are subject to consideration and approval by the Board at the relevant times.</w:t>
      </w:r>
    </w:p>
    <w:p w14:paraId="5556A92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Stock purchases may be made using various types of mechanisms, including open market purchases, accelerated share repurchases or transactions off market and</w:t>
      </w:r>
      <w:r>
        <w:rPr>
          <w:rFonts w:ascii="Arial" w:eastAsia="宋体" w:hAnsi="Arial" w:cs="Arial"/>
          <w:sz w:val="20"/>
          <w:szCs w:val="20"/>
        </w:rPr>
        <w:t xml:space="preserve"> may be made under Rule 10b5-1 trading programs. The timing of stock purchases, types of transactions and number of shares purchased will depend on several factors, including, market conditions and our capital positions, financial performance and investmen</w:t>
      </w:r>
      <w:r>
        <w:rPr>
          <w:rFonts w:ascii="Arial" w:eastAsia="宋体" w:hAnsi="Arial" w:cs="Arial"/>
          <w:sz w:val="20"/>
          <w:szCs w:val="20"/>
        </w:rPr>
        <w:t>t opportunities. The common stock purchase program does not have specific price targets and may be suspended at any time.</w:t>
      </w:r>
    </w:p>
    <w:p w14:paraId="5556A927"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OFF-BALANCE SHEET ARRANGEMENTS</w:t>
      </w:r>
    </w:p>
    <w:p w14:paraId="5556A92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On behalf of clients enrolled in our securities lending program, we lend securities to banks, broker/de</w:t>
      </w:r>
      <w:r>
        <w:rPr>
          <w:rFonts w:ascii="Arial" w:eastAsia="宋体" w:hAnsi="Arial" w:cs="Arial"/>
          <w:sz w:val="20"/>
          <w:szCs w:val="20"/>
        </w:rPr>
        <w:t>alers and other institutions. In most circumstances, we indemnify our clients for the fair market value of those securities against a failure of the borrower to return such securities. Though these transactions are collateralized, the substantial volume of</w:t>
      </w:r>
      <w:r>
        <w:rPr>
          <w:rFonts w:ascii="Arial" w:eastAsia="宋体" w:hAnsi="Arial" w:cs="Arial"/>
          <w:sz w:val="20"/>
          <w:szCs w:val="20"/>
        </w:rPr>
        <w:t xml:space="preserve"> these activities necessitates detailed credit-based underwriting and monitoring processes. The aggregate amount of indemnified securities on loan totaled $367.90 billion and $342.34 billion as of December 31, 2019 and December 31, 2018, respectively. We r</w:t>
      </w:r>
      <w:r>
        <w:rPr>
          <w:rFonts w:ascii="Arial" w:eastAsia="宋体" w:hAnsi="Arial" w:cs="Arial"/>
          <w:sz w:val="20"/>
          <w:szCs w:val="20"/>
        </w:rPr>
        <w:t xml:space="preserve">equire the borrower to provide collateral in an amount in excess of 100% of the fair market value of the securities borrowed. We hold the collateral received in connection with these securities lending services as agent, and the collateral is not recorded </w:t>
      </w:r>
      <w:r>
        <w:rPr>
          <w:rFonts w:ascii="Arial" w:eastAsia="宋体" w:hAnsi="Arial" w:cs="Arial"/>
          <w:sz w:val="20"/>
          <w:szCs w:val="20"/>
        </w:rPr>
        <w:t>in our consolidated statement of condition. We revalue the securities on loan and the collateral daily to determine if additional collateral is necessary or if excess collateral is required to be returned to the borrower. We held, as agent, cash and securi</w:t>
      </w:r>
      <w:r>
        <w:rPr>
          <w:rFonts w:ascii="Arial" w:eastAsia="宋体" w:hAnsi="Arial" w:cs="Arial"/>
          <w:sz w:val="20"/>
          <w:szCs w:val="20"/>
        </w:rPr>
        <w:t>ties totaling $385.43 billion and $357.89 billion as collateral for indemnified securities on loan as of December 31, 2019 and December 31, 2018, respectively.</w:t>
      </w:r>
    </w:p>
    <w:p w14:paraId="5556A92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cash collateral held by us as agent is invested on behalf of our clients. In certain cases, </w:t>
      </w:r>
      <w:r>
        <w:rPr>
          <w:rFonts w:ascii="Arial" w:eastAsia="宋体" w:hAnsi="Arial" w:cs="Arial"/>
          <w:sz w:val="20"/>
          <w:szCs w:val="20"/>
        </w:rPr>
        <w:t xml:space="preserve">the cash collateral is invested in third-party repurchase agreements, for which we indemnify the client against </w:t>
      </w:r>
    </w:p>
    <w:p w14:paraId="5556A92A"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A92B"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loss of the principal invested. We require the counterparty to the indemnified repurchase agreement to provide collateral in an amount in exc</w:t>
      </w:r>
      <w:r>
        <w:rPr>
          <w:rFonts w:ascii="Arial" w:eastAsia="宋体" w:hAnsi="Arial" w:cs="Arial"/>
          <w:sz w:val="20"/>
          <w:szCs w:val="20"/>
        </w:rPr>
        <w:t>ess of 100% of the amount of the repurchase agreement. In our role as agent, the indemnified repurchase agreements and the related collateral held by us are not recorded in our consolidated statement of condition. Of the collateral of $385.43 billion and $</w:t>
      </w:r>
      <w:r>
        <w:rPr>
          <w:rFonts w:ascii="Arial" w:eastAsia="宋体" w:hAnsi="Arial" w:cs="Arial"/>
          <w:sz w:val="20"/>
          <w:szCs w:val="20"/>
        </w:rPr>
        <w:t>357.89 billion, referenced above, $45.66 billion and $42.61 billion was invested in indemnified repurchase agreements as of December 31, 2019 and December 31, 2018, respectively. We or our agents held $48.89 billion and $45.06 billion as collateral for ind</w:t>
      </w:r>
      <w:r>
        <w:rPr>
          <w:rFonts w:ascii="Arial" w:eastAsia="宋体" w:hAnsi="Arial" w:cs="Arial"/>
          <w:sz w:val="20"/>
          <w:szCs w:val="20"/>
        </w:rPr>
        <w:t>emnified investments in repurchase agreements as of December 31, 2019 and December 31, 2018, respectively.</w:t>
      </w:r>
    </w:p>
    <w:p w14:paraId="5556A92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our securities finance activities and other off-balance sheet arrangements is provided in Notes 10, 12 and 14 to the con</w:t>
      </w:r>
      <w:r>
        <w:rPr>
          <w:rFonts w:ascii="Arial" w:eastAsia="宋体" w:hAnsi="Arial" w:cs="Arial"/>
          <w:sz w:val="20"/>
          <w:szCs w:val="20"/>
        </w:rPr>
        <w:t>solidated financial statements in this Form 10-K.</w:t>
      </w:r>
    </w:p>
    <w:p w14:paraId="5556A92D"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SIGNIFICANT ACCOUNTING ESTIMATES</w:t>
      </w:r>
    </w:p>
    <w:p w14:paraId="5556A92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consolidated financial statements are prepared in conformity with U.S. GAAP, and we apply accounting policies that affect the determination of amounts reported in the co</w:t>
      </w:r>
      <w:r>
        <w:rPr>
          <w:rFonts w:ascii="Arial" w:eastAsia="宋体" w:hAnsi="Arial" w:cs="Arial"/>
          <w:sz w:val="20"/>
          <w:szCs w:val="20"/>
        </w:rPr>
        <w:t xml:space="preserve">nsolidated financial statements. Additional information on our significant accounting policies, including references to applicable footnotes, is provided in Note 1 to the consolidated financial statements in this Form 10-K. </w:t>
      </w:r>
    </w:p>
    <w:p w14:paraId="5556A92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Certain of our accounting polic</w:t>
      </w:r>
      <w:r>
        <w:rPr>
          <w:rFonts w:ascii="Arial" w:eastAsia="宋体" w:hAnsi="Arial" w:cs="Arial"/>
          <w:sz w:val="20"/>
          <w:szCs w:val="20"/>
        </w:rPr>
        <w:t>ies, by their nature, require management to make judgments, involving significant estimates and assumptions, about the effects of matters that are inherently uncertain. These estimates and assumptions are based on information available as of the date of th</w:t>
      </w:r>
      <w:r>
        <w:rPr>
          <w:rFonts w:ascii="Arial" w:eastAsia="宋体" w:hAnsi="Arial" w:cs="Arial"/>
          <w:sz w:val="20"/>
          <w:szCs w:val="20"/>
        </w:rPr>
        <w:t xml:space="preserve">e consolidated financial statements, and changes in this information over time could materially affect the amounts of assets, liabilities, equity, revenue and expenses reported in subsequent consolidated financial statements. </w:t>
      </w:r>
    </w:p>
    <w:p w14:paraId="5556A93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Based on the sensitivity of r</w:t>
      </w:r>
      <w:r>
        <w:rPr>
          <w:rFonts w:ascii="Arial" w:eastAsia="宋体" w:hAnsi="Arial" w:cs="Arial"/>
          <w:sz w:val="20"/>
          <w:szCs w:val="20"/>
        </w:rPr>
        <w:t>eported financial statement amounts to the underlying estimates and assumptions, the more significant accounting policies applied by us have been identified by management as those associated with recurring fair value measurements, impairment of goodwill an</w:t>
      </w:r>
      <w:r>
        <w:rPr>
          <w:rFonts w:ascii="Arial" w:eastAsia="宋体" w:hAnsi="Arial" w:cs="Arial"/>
          <w:sz w:val="20"/>
          <w:szCs w:val="20"/>
        </w:rPr>
        <w:t>d other intangible assets, and contingencies. These accounting policies require the most subjective or complex judgments, and underlying estimates and assumptions could be most subject to revision as new information becomes available. An understanding of t</w:t>
      </w:r>
      <w:r>
        <w:rPr>
          <w:rFonts w:ascii="Arial" w:eastAsia="宋体" w:hAnsi="Arial" w:cs="Arial"/>
          <w:sz w:val="20"/>
          <w:szCs w:val="20"/>
        </w:rPr>
        <w:t xml:space="preserve">he judgments, estimates and assumptions underlying these accounting policies is essential in order to understand our reported consolidated results of operations and financial condition. </w:t>
      </w:r>
    </w:p>
    <w:p w14:paraId="5556A93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is a discussion of the above-mentioned significant acco</w:t>
      </w:r>
      <w:r>
        <w:rPr>
          <w:rFonts w:ascii="Arial" w:eastAsia="宋体" w:hAnsi="Arial" w:cs="Arial"/>
          <w:sz w:val="20"/>
          <w:szCs w:val="20"/>
        </w:rPr>
        <w:t xml:space="preserve">unting estimates. </w:t>
      </w:r>
    </w:p>
    <w:p w14:paraId="5556A932" w14:textId="77777777" w:rsidR="00F925DD" w:rsidRDefault="00F925DD">
      <w:pPr>
        <w:rPr>
          <w:rFonts w:ascii="Times New Roman" w:hAnsi="Times New Roman"/>
          <w:sz w:val="20"/>
          <w:szCs w:val="20"/>
        </w:rPr>
      </w:pPr>
    </w:p>
    <w:p w14:paraId="5556A93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115</w:t>
      </w:r>
    </w:p>
    <w:p w14:paraId="5556A934" w14:textId="77777777" w:rsidR="00F925DD" w:rsidRDefault="00F925DD">
      <w:pPr>
        <w:spacing w:line="288" w:lineRule="auto"/>
        <w:ind w:firstLine="600"/>
        <w:jc w:val="center"/>
        <w:rPr>
          <w:rFonts w:ascii="Times New Roman" w:hAnsi="Times New Roman"/>
          <w:sz w:val="18"/>
          <w:szCs w:val="18"/>
        </w:rPr>
      </w:pPr>
    </w:p>
    <w:p w14:paraId="5556A935" w14:textId="77777777" w:rsidR="00F925DD" w:rsidRDefault="00E705D7">
      <w:r>
        <w:rPr>
          <w:rFonts w:ascii="Times New Roman" w:hAnsi="Times New Roman"/>
          <w:sz w:val="18"/>
          <w:szCs w:val="18"/>
        </w:rPr>
        <w:pict w14:anchorId="555706AD">
          <v:rect id="_x0000_i1139" style="width:415.3pt;height:1.5pt" o:hralign="center" o:hrstd="t" o:hr="t" fillcolor="#a0a0a0" stroked="f"/>
        </w:pict>
      </w:r>
    </w:p>
    <w:p w14:paraId="5556A93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FINANCIAL CONDITION</w:t>
      </w:r>
    </w:p>
    <w:p w14:paraId="5556A93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A938" w14:textId="77777777" w:rsidR="00F925DD" w:rsidRDefault="00F925DD">
      <w:pPr>
        <w:rPr>
          <w:rFonts w:ascii="Times New Roman" w:hAnsi="Times New Roman"/>
          <w:sz w:val="20"/>
          <w:szCs w:val="20"/>
        </w:rPr>
      </w:pPr>
    </w:p>
    <w:p w14:paraId="5556A939"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Management has discussed these significant accounting estimates with the E&amp;A Committee of the Board. </w:t>
      </w:r>
    </w:p>
    <w:p w14:paraId="5556A93A"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Fair Value Measurements </w:t>
      </w:r>
    </w:p>
    <w:p w14:paraId="5556A93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carry certain of our financial assets and liabilities at fair value in our consolidated financial statements on a recurring basis, including trading account assets and liabilities, AFS debt securities, certain equity securities and various types of deri</w:t>
      </w:r>
      <w:r>
        <w:rPr>
          <w:rFonts w:ascii="Arial" w:eastAsia="宋体" w:hAnsi="Arial" w:cs="Arial"/>
          <w:sz w:val="20"/>
          <w:szCs w:val="20"/>
        </w:rPr>
        <w:t xml:space="preserve">vative financial instruments. </w:t>
      </w:r>
    </w:p>
    <w:p w14:paraId="5556A93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Changes in the fair value of these financial assets and liabilities are recorded either as components of our consolidated statement of income or as components of other comprehensive income within shareholders' equity in our c</w:t>
      </w:r>
      <w:r>
        <w:rPr>
          <w:rFonts w:ascii="Arial" w:eastAsia="宋体" w:hAnsi="Arial" w:cs="Arial"/>
          <w:sz w:val="20"/>
          <w:szCs w:val="20"/>
        </w:rPr>
        <w:t xml:space="preserve">onsolidated statement of condition. In addition to those financial assets and liabilities that we carry at fair value in our consolidated financial statements on a recurring basis, we estimate the fair values of other financial assets and liabilities that </w:t>
      </w:r>
      <w:r>
        <w:rPr>
          <w:rFonts w:ascii="Arial" w:eastAsia="宋体" w:hAnsi="Arial" w:cs="Arial"/>
          <w:sz w:val="20"/>
          <w:szCs w:val="20"/>
        </w:rPr>
        <w:t>we carry at amortized cost in our consolidated statement of condition, and we disclose these fair value estimates in the notes to our consolidated financial statements. We estimate the fair values of these financial assets and liabilities using the definit</w:t>
      </w:r>
      <w:r>
        <w:rPr>
          <w:rFonts w:ascii="Arial" w:eastAsia="宋体" w:hAnsi="Arial" w:cs="Arial"/>
          <w:sz w:val="20"/>
          <w:szCs w:val="20"/>
        </w:rPr>
        <w:t xml:space="preserve">ion of fair value described below. Additional information with respect to the assets and liabilities carried by us at fair value on a recurring basis is provided in Note 2 to the consolidated financial statements in this Form 10-K. </w:t>
      </w:r>
    </w:p>
    <w:p w14:paraId="5556A93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U.S. GAAP defines fair </w:t>
      </w:r>
      <w:r>
        <w:rPr>
          <w:rFonts w:ascii="Arial" w:eastAsia="宋体" w:hAnsi="Arial" w:cs="Arial"/>
          <w:sz w:val="20"/>
          <w:szCs w:val="20"/>
        </w:rPr>
        <w:t>value as the price that would be received to sell an asset or paid to transfer a liability in the principal or most advantageous market for an asset or liability in an orderly transaction between market participants on the measurement date. When we measure</w:t>
      </w:r>
      <w:r>
        <w:rPr>
          <w:rFonts w:ascii="Arial" w:eastAsia="宋体" w:hAnsi="Arial" w:cs="Arial"/>
          <w:sz w:val="20"/>
          <w:szCs w:val="20"/>
        </w:rPr>
        <w:t xml:space="preserve"> fair value for our financial assets and liabilities, we consider the principal or the most advantageous market in which we would transact; we also consider assumptions that market participants would use when pricing the asset or liability. When possible, </w:t>
      </w:r>
      <w:r>
        <w:rPr>
          <w:rFonts w:ascii="Arial" w:eastAsia="宋体" w:hAnsi="Arial" w:cs="Arial"/>
          <w:sz w:val="20"/>
          <w:szCs w:val="20"/>
        </w:rPr>
        <w:t>we look to active and observable markets to measure the fair value of identical, or similar, financial assets and liabilities. When identical financial assets and liabilities are not traded in active markets, we look to market-observable data for similar a</w:t>
      </w:r>
      <w:r>
        <w:rPr>
          <w:rFonts w:ascii="Arial" w:eastAsia="宋体" w:hAnsi="Arial" w:cs="Arial"/>
          <w:sz w:val="20"/>
          <w:szCs w:val="20"/>
        </w:rPr>
        <w:t xml:space="preserve">ssets and liabilities. In some instances, certain assets and liabilities are not actively traded in observable markets; as a result, we use alternate valuation techniques to measure their fair value. </w:t>
      </w:r>
    </w:p>
    <w:p w14:paraId="5556A93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categorize the financial assets and liabilities that</w:t>
      </w:r>
      <w:r>
        <w:rPr>
          <w:rFonts w:ascii="Arial" w:eastAsia="宋体" w:hAnsi="Arial" w:cs="Arial"/>
          <w:sz w:val="20"/>
          <w:szCs w:val="20"/>
        </w:rPr>
        <w:t xml:space="preserve"> we carry at fair value in our consolidated statement of condition on a recurring basis based on U.S. GAAP's prescribed three-level valuation hierarchy. The hierarchy gives the highest priority to quoted prices in active markets for identical assets or lia</w:t>
      </w:r>
      <w:r>
        <w:rPr>
          <w:rFonts w:ascii="Arial" w:eastAsia="宋体" w:hAnsi="Arial" w:cs="Arial"/>
          <w:sz w:val="20"/>
          <w:szCs w:val="20"/>
        </w:rPr>
        <w:t xml:space="preserve">bilities (level 1) and the lowest priority to valuation methods using significant unobservable inputs (level 3). </w:t>
      </w:r>
    </w:p>
    <w:p w14:paraId="5556A93F"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A94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With respect to derivative instruments, we evaluated the fair value impact of the credit risk of our counterparties. We considered such fact</w:t>
      </w:r>
      <w:r>
        <w:rPr>
          <w:rFonts w:ascii="Arial" w:eastAsia="宋体" w:hAnsi="Arial" w:cs="Arial"/>
          <w:sz w:val="20"/>
          <w:szCs w:val="20"/>
        </w:rPr>
        <w:t xml:space="preserve">ors as the market-based probability of default by our counterparties, and our current and expected potential future net exposures by remaining maturities, in determining the appropriate measurements of fair value. </w:t>
      </w:r>
    </w:p>
    <w:p w14:paraId="5556A941"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Goodwill and Other Intangible Assets </w:t>
      </w:r>
    </w:p>
    <w:p w14:paraId="5556A94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Goo</w:t>
      </w:r>
      <w:r>
        <w:rPr>
          <w:rFonts w:ascii="Arial" w:eastAsia="宋体" w:hAnsi="Arial" w:cs="Arial"/>
          <w:sz w:val="20"/>
          <w:szCs w:val="20"/>
        </w:rPr>
        <w:t>dwill represents the excess of the cost of an acquisition over the fair value of the net tangible and other intangible assets acquired at the acquisition date. Other intangible assets represent purchased long-lived intangible assets, primarily client relat</w:t>
      </w:r>
      <w:r>
        <w:rPr>
          <w:rFonts w:ascii="Arial" w:eastAsia="宋体" w:hAnsi="Arial" w:cs="Arial"/>
          <w:sz w:val="20"/>
          <w:szCs w:val="20"/>
        </w:rPr>
        <w:t>ionships, core deposit intangible assets and technology that can be distinguished from goodwill because of contractual rights or because the asset can be exchanged on its own or in combination with a related contract, asset or liability. Other intangible a</w:t>
      </w:r>
      <w:r>
        <w:rPr>
          <w:rFonts w:ascii="Arial" w:eastAsia="宋体" w:hAnsi="Arial" w:cs="Arial"/>
          <w:sz w:val="20"/>
          <w:szCs w:val="20"/>
        </w:rPr>
        <w:t>ssets are initially measured at their acquisition date fair value, the determination of which requires management judgment. Goodwill is not amortized, while other intangible assets are amortized over their estimated useful lives.</w:t>
      </w:r>
    </w:p>
    <w:p w14:paraId="5556A94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Management reviews goodwil</w:t>
      </w:r>
      <w:r>
        <w:rPr>
          <w:rFonts w:ascii="Arial" w:eastAsia="宋体" w:hAnsi="Arial" w:cs="Arial"/>
          <w:sz w:val="20"/>
          <w:szCs w:val="20"/>
        </w:rPr>
        <w:t>l for impairment annually or more frequently if circumstances arise or events occur that indicate an impairment of the carrying amount may exist. We begin our review by first assessing qualitative factors to determine whether it is more likely than not tha</w:t>
      </w:r>
      <w:r>
        <w:rPr>
          <w:rFonts w:ascii="Arial" w:eastAsia="宋体" w:hAnsi="Arial" w:cs="Arial"/>
          <w:sz w:val="20"/>
          <w:szCs w:val="20"/>
        </w:rPr>
        <w:t>t the fair value of a reporting unit is less than its carrying amount. Events that may indicate impairment include: significant or adverse changes in the business, economic or political climate; an adverse action or assessment by a regulator; unanticipated</w:t>
      </w:r>
      <w:r>
        <w:rPr>
          <w:rFonts w:ascii="Arial" w:eastAsia="宋体" w:hAnsi="Arial" w:cs="Arial"/>
          <w:sz w:val="20"/>
          <w:szCs w:val="20"/>
        </w:rPr>
        <w:t xml:space="preserve"> competition; and a more-likely-than-not expectation that we will sell or otherwise dispose of a business to which the goodwill or other intangible assets relate. If we conclude from the qualitative assessment of goodwill impairment that it is more likely </w:t>
      </w:r>
      <w:r>
        <w:rPr>
          <w:rFonts w:ascii="Arial" w:eastAsia="宋体" w:hAnsi="Arial" w:cs="Arial"/>
          <w:sz w:val="20"/>
          <w:szCs w:val="20"/>
        </w:rPr>
        <w:t xml:space="preserve">than not that a reporting unit’s fair value is greater than its carrying amount, quantitative tests are not required. However, if we determine it is more likely than not that a reporting unit’s fair value is less than its carrying amount, then we complete </w:t>
      </w:r>
      <w:r>
        <w:rPr>
          <w:rFonts w:ascii="Arial" w:eastAsia="宋体" w:hAnsi="Arial" w:cs="Arial"/>
          <w:sz w:val="20"/>
          <w:szCs w:val="20"/>
        </w:rPr>
        <w:t>a quantitative assessment to determine if there is goodwill impairment. We may elect to bypass the qualitative assessment and complete a quantitative assessment in any given year.</w:t>
      </w:r>
    </w:p>
    <w:p w14:paraId="5556A94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2019, due to the passage of time since the last quantitative test, we ele</w:t>
      </w:r>
      <w:r>
        <w:rPr>
          <w:rFonts w:ascii="Arial" w:eastAsia="宋体" w:hAnsi="Arial" w:cs="Arial"/>
          <w:sz w:val="20"/>
          <w:szCs w:val="20"/>
        </w:rPr>
        <w:t>cted to bypass the qualitative assessment and we assessed goodwill for impairment using a quantitative approach.  We determined there was no goodwill impairment in 2019.</w:t>
      </w:r>
    </w:p>
    <w:p w14:paraId="5556A94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Other intangible assets are supported by the future cash flows that are directly assoc</w:t>
      </w:r>
      <w:r>
        <w:rPr>
          <w:rFonts w:ascii="Arial" w:eastAsia="宋体" w:hAnsi="Arial" w:cs="Arial"/>
          <w:sz w:val="20"/>
          <w:szCs w:val="20"/>
        </w:rPr>
        <w:t xml:space="preserve">iated with and expected to arise as a direct result of the use of the intangible asset, less any costs associated with the intangible asset’s eventual disposition. We evaluate </w:t>
      </w:r>
    </w:p>
    <w:p w14:paraId="5556A946" w14:textId="77777777" w:rsidR="00F925DD" w:rsidRDefault="00F925DD">
      <w:pPr>
        <w:rPr>
          <w:rFonts w:ascii="Times New Roman" w:hAnsi="Times New Roman"/>
          <w:sz w:val="20"/>
          <w:szCs w:val="20"/>
        </w:rPr>
      </w:pPr>
    </w:p>
    <w:p w14:paraId="5556A94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116</w:t>
      </w:r>
    </w:p>
    <w:p w14:paraId="5556A948" w14:textId="77777777" w:rsidR="00F925DD" w:rsidRDefault="00F925DD">
      <w:pPr>
        <w:spacing w:line="288" w:lineRule="auto"/>
        <w:ind w:firstLine="600"/>
        <w:jc w:val="center"/>
        <w:rPr>
          <w:rFonts w:ascii="Times New Roman" w:hAnsi="Times New Roman"/>
          <w:sz w:val="18"/>
          <w:szCs w:val="18"/>
        </w:rPr>
      </w:pPr>
    </w:p>
    <w:p w14:paraId="5556A949" w14:textId="77777777" w:rsidR="00F925DD" w:rsidRDefault="00E705D7">
      <w:r>
        <w:rPr>
          <w:rFonts w:ascii="Times New Roman" w:hAnsi="Times New Roman"/>
          <w:sz w:val="18"/>
          <w:szCs w:val="18"/>
        </w:rPr>
        <w:pict w14:anchorId="555706AE">
          <v:rect id="_x0000_i1140" style="width:415.3pt;height:1.5pt" o:hralign="center" o:hrstd="t" o:hr="t" fillcolor="#a0a0a0" stroked="f"/>
        </w:pict>
      </w:r>
    </w:p>
    <w:p w14:paraId="5556A94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MANAGEMENT’S DISCUSSION AND ANALYSIS OF FINA</w:t>
      </w:r>
      <w:r>
        <w:rPr>
          <w:rFonts w:ascii="Arial" w:eastAsia="宋体" w:hAnsi="Arial" w:cs="Arial"/>
          <w:b/>
          <w:bCs/>
          <w:sz w:val="20"/>
          <w:szCs w:val="20"/>
        </w:rPr>
        <w:t>NCIAL CONDITION</w:t>
      </w:r>
    </w:p>
    <w:p w14:paraId="5556A94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AND RESULTS OF OPERATIONS</w:t>
      </w:r>
    </w:p>
    <w:p w14:paraId="5556A94C" w14:textId="77777777" w:rsidR="00F925DD" w:rsidRDefault="00F925DD">
      <w:pPr>
        <w:rPr>
          <w:rFonts w:ascii="Times New Roman" w:hAnsi="Times New Roman"/>
          <w:sz w:val="20"/>
          <w:szCs w:val="20"/>
        </w:rPr>
      </w:pPr>
    </w:p>
    <w:p w14:paraId="5556A94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other intangible assets for impairment at the lowest level for which there are identifiable cash flows that are largely independent of the cash flows from other groups of assets using the following process.  First</w:t>
      </w:r>
      <w:r>
        <w:rPr>
          <w:rFonts w:ascii="Arial" w:eastAsia="宋体" w:hAnsi="Arial" w:cs="Arial"/>
          <w:sz w:val="20"/>
          <w:szCs w:val="20"/>
        </w:rPr>
        <w:t>, we routinely assess whether impairment indicators are present. When impairment indicators are identified as being present, we compare the estimated future net undiscounted cash flows of the intangible asset with its carrying value. If the future net undi</w:t>
      </w:r>
      <w:r>
        <w:rPr>
          <w:rFonts w:ascii="Arial" w:eastAsia="宋体" w:hAnsi="Arial" w:cs="Arial"/>
          <w:sz w:val="20"/>
          <w:szCs w:val="20"/>
        </w:rPr>
        <w:t>scounted cash flows are greater than the carrying value, then there is no impairment, but if the intangible asset's net undiscounted cash flows are less than its carrying value, we are required to calculate impairment. An impairment is recognized by writin</w:t>
      </w:r>
      <w:r>
        <w:rPr>
          <w:rFonts w:ascii="Arial" w:eastAsia="宋体" w:hAnsi="Arial" w:cs="Arial"/>
          <w:sz w:val="20"/>
          <w:szCs w:val="20"/>
        </w:rPr>
        <w:t>g the intangible asset down to its fair value.  We evaluate intangible assets for indicators of impairment on a quarterly basis. There were no impairments taken on other intangible assets in 2019.</w:t>
      </w:r>
    </w:p>
    <w:p w14:paraId="5556A94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Additional information about goodwill and other intangible assets, including information by line of business, is provided in Note 5 to the consolidated financial statements in this Form 10-K. </w:t>
      </w:r>
    </w:p>
    <w:p w14:paraId="5556A94F"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Contingencies</w:t>
      </w:r>
    </w:p>
    <w:p w14:paraId="5556A95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Information on significant estimates and judgment</w:t>
      </w:r>
      <w:r>
        <w:rPr>
          <w:rFonts w:ascii="Arial" w:eastAsia="宋体" w:hAnsi="Arial" w:cs="Arial"/>
          <w:sz w:val="20"/>
          <w:szCs w:val="20"/>
        </w:rPr>
        <w:t>s related with establishing litigation reserves is discussed in Note 13 of the consolidated financial statements in this Form 10-K.</w:t>
      </w:r>
    </w:p>
    <w:p w14:paraId="5556A951"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RECENT ACCOUNTING DEVELOPMENTS</w:t>
      </w:r>
    </w:p>
    <w:p w14:paraId="5556A95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Information with respect to recent accounting developments is provided in Note 1 to the consolidated financial statements in this Form 10-K. </w:t>
      </w:r>
    </w:p>
    <w:p w14:paraId="5556A953"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ITEM 7A. QUANTITATIVE AND QUALITATIVE DISCLOSURES ABOUT MARKET RISK</w:t>
      </w:r>
    </w:p>
    <w:p w14:paraId="5556A95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information provided under “Market Risk Ma</w:t>
      </w:r>
      <w:r>
        <w:rPr>
          <w:rFonts w:ascii="Arial" w:eastAsia="宋体" w:hAnsi="Arial" w:cs="Arial"/>
          <w:sz w:val="20"/>
          <w:szCs w:val="20"/>
        </w:rPr>
        <w:t xml:space="preserve">nagement” in "Financial Condition" in our Management's Discussion and Analysis in this Form 10-K, is incorporated by reference herein. </w:t>
      </w:r>
    </w:p>
    <w:p w14:paraId="5556A955"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ITEM 8. FINANCIAL STATEMENTS AND SUPPLEMENTARY DATA</w:t>
      </w:r>
    </w:p>
    <w:p w14:paraId="5556A95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Additional information about restrictions on the transfer of funds f</w:t>
      </w:r>
      <w:r>
        <w:rPr>
          <w:rFonts w:ascii="Arial" w:eastAsia="宋体" w:hAnsi="Arial" w:cs="Arial"/>
          <w:sz w:val="20"/>
          <w:szCs w:val="20"/>
        </w:rPr>
        <w:t>rom State Street Bank to the Parent Company is provided under "Related Stockholder Matters" in Market for Registrant’s Common Equity, Related Stockholder Matters and Issuer Purchases of Equity Securities, and under "Capital" in “Financial Condition” in our</w:t>
      </w:r>
      <w:r>
        <w:rPr>
          <w:rFonts w:ascii="Arial" w:eastAsia="宋体" w:hAnsi="Arial" w:cs="Arial"/>
          <w:sz w:val="20"/>
          <w:szCs w:val="20"/>
        </w:rPr>
        <w:t xml:space="preserve"> Management’s Discussion and Analysis in this Form 10-K.</w:t>
      </w:r>
    </w:p>
    <w:p w14:paraId="5556A957" w14:textId="77777777" w:rsidR="00F925DD" w:rsidRDefault="00F925DD">
      <w:pPr>
        <w:spacing w:line="288" w:lineRule="auto"/>
        <w:ind w:firstLine="600"/>
        <w:rPr>
          <w:rFonts w:ascii="Times New Roman" w:hAnsi="Times New Roman"/>
          <w:sz w:val="20"/>
          <w:szCs w:val="20"/>
        </w:rPr>
      </w:pPr>
    </w:p>
    <w:p w14:paraId="5556A958" w14:textId="77777777" w:rsidR="00F925DD" w:rsidRDefault="00F925DD">
      <w:pPr>
        <w:rPr>
          <w:rFonts w:ascii="Times New Roman" w:hAnsi="Times New Roman"/>
          <w:sz w:val="20"/>
          <w:szCs w:val="20"/>
        </w:rPr>
      </w:pPr>
    </w:p>
    <w:p w14:paraId="5556A959"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117</w:t>
      </w:r>
    </w:p>
    <w:p w14:paraId="5556A95A" w14:textId="77777777" w:rsidR="00F925DD" w:rsidRDefault="00F925DD">
      <w:pPr>
        <w:spacing w:line="288" w:lineRule="auto"/>
        <w:ind w:firstLine="600"/>
        <w:jc w:val="center"/>
        <w:rPr>
          <w:rFonts w:ascii="Times New Roman" w:hAnsi="Times New Roman"/>
          <w:sz w:val="18"/>
          <w:szCs w:val="18"/>
        </w:rPr>
      </w:pPr>
    </w:p>
    <w:p w14:paraId="5556A95B" w14:textId="77777777" w:rsidR="00F925DD" w:rsidRDefault="00E705D7">
      <w:r>
        <w:rPr>
          <w:rFonts w:ascii="Times New Roman" w:hAnsi="Times New Roman"/>
          <w:sz w:val="18"/>
          <w:szCs w:val="18"/>
        </w:rPr>
        <w:pict w14:anchorId="555706AF">
          <v:rect id="_x0000_i1141" style="width:415.3pt;height:1.5pt" o:hralign="center" o:hrstd="t" o:hr="t" fillcolor="#a0a0a0" stroked="f"/>
        </w:pict>
      </w:r>
    </w:p>
    <w:p w14:paraId="5556A95C" w14:textId="77777777" w:rsidR="00F925DD" w:rsidRDefault="00F925DD">
      <w:pPr>
        <w:spacing w:line="288" w:lineRule="auto"/>
        <w:ind w:firstLine="600"/>
        <w:rPr>
          <w:rFonts w:ascii="Times New Roman" w:hAnsi="Times New Roman"/>
          <w:sz w:val="18"/>
          <w:szCs w:val="18"/>
        </w:rPr>
      </w:pPr>
    </w:p>
    <w:p w14:paraId="5556A95D" w14:textId="77777777" w:rsidR="00F925DD" w:rsidRDefault="00F925DD">
      <w:pPr>
        <w:spacing w:line="288" w:lineRule="auto"/>
        <w:ind w:firstLine="600"/>
        <w:jc w:val="center"/>
        <w:rPr>
          <w:rFonts w:ascii="Times New Roman" w:hAnsi="Times New Roman"/>
          <w:sz w:val="20"/>
          <w:szCs w:val="20"/>
        </w:rPr>
      </w:pPr>
    </w:p>
    <w:p w14:paraId="5556A95E" w14:textId="77777777" w:rsidR="00F925DD" w:rsidRDefault="00F925DD">
      <w:pPr>
        <w:rPr>
          <w:rFonts w:ascii="Times New Roman" w:hAnsi="Times New Roman"/>
          <w:sz w:val="20"/>
          <w:szCs w:val="20"/>
        </w:rPr>
      </w:pPr>
    </w:p>
    <w:p w14:paraId="5556A95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Report of Ernst &amp; Young LLP, Independent Registered Public Accounting Firm</w:t>
      </w:r>
    </w:p>
    <w:p w14:paraId="5556A960" w14:textId="77777777" w:rsidR="00F925DD" w:rsidRDefault="00F925DD">
      <w:pPr>
        <w:spacing w:line="288" w:lineRule="auto"/>
        <w:ind w:firstLine="600"/>
        <w:rPr>
          <w:rFonts w:ascii="Times New Roman" w:hAnsi="Times New Roman"/>
          <w:sz w:val="20"/>
          <w:szCs w:val="20"/>
        </w:rPr>
      </w:pPr>
    </w:p>
    <w:p w14:paraId="5556A96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To the Shareholders and the Board of Directors of State Street Corporation</w:t>
      </w:r>
    </w:p>
    <w:p w14:paraId="5556A962"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Opinion o</w:t>
      </w:r>
      <w:r>
        <w:rPr>
          <w:rFonts w:ascii="Arial" w:eastAsia="宋体" w:hAnsi="Arial" w:cs="Arial"/>
          <w:b/>
          <w:bCs/>
          <w:sz w:val="20"/>
          <w:szCs w:val="20"/>
        </w:rPr>
        <w:t>n the Financial Statements</w:t>
      </w:r>
    </w:p>
    <w:p w14:paraId="5556A963"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We have audited the accompanying consolidated statements of condition of State Street Corporation (the “Corporation”) as of December 31, 2019 and 2018, the related consolidated statements of income, comprehensive income, changes </w:t>
      </w:r>
      <w:r>
        <w:rPr>
          <w:rFonts w:ascii="Arial" w:eastAsia="宋体" w:hAnsi="Arial" w:cs="Arial"/>
          <w:sz w:val="20"/>
          <w:szCs w:val="20"/>
        </w:rPr>
        <w:t>in shareholders’ equity, and cash flows for each of the three years in the period ended December 31, 2019, and the related notes (collectively referred to as the “consolidated financial statements”). In our opinion, the consolidated financial statements pr</w:t>
      </w:r>
      <w:r>
        <w:rPr>
          <w:rFonts w:ascii="Arial" w:eastAsia="宋体" w:hAnsi="Arial" w:cs="Arial"/>
          <w:sz w:val="20"/>
          <w:szCs w:val="20"/>
        </w:rPr>
        <w:t>esent fairly, in all material respects, the financial position of the Corporation at December 31, 2019 and 2018, and the results of its operations and its cash flows for each of the three years in the period ended December 31, 2019, in conformity with U.S.</w:t>
      </w:r>
      <w:r>
        <w:rPr>
          <w:rFonts w:ascii="Arial" w:eastAsia="宋体" w:hAnsi="Arial" w:cs="Arial"/>
          <w:sz w:val="20"/>
          <w:szCs w:val="20"/>
        </w:rPr>
        <w:t xml:space="preserve"> generally accepted accounting principles.</w:t>
      </w:r>
    </w:p>
    <w:p w14:paraId="5556A96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We also have audited, in accordance with the standards of the Public Company Accounting Oversight Board (United States) (“PCAOB”), the Corporation's internal control over financial reporting as of December 31, 201</w:t>
      </w:r>
      <w:r>
        <w:rPr>
          <w:rFonts w:ascii="Arial" w:eastAsia="宋体" w:hAnsi="Arial" w:cs="Arial"/>
          <w:sz w:val="20"/>
          <w:szCs w:val="20"/>
        </w:rPr>
        <w:t>9, based on criteria established in Internal Control-Integrated Framework issued by the Committee of Sponsoring Organizations of the Treadway Commission (2013 framework) and our report dated February 20, 2020 expressed an unqualified opinion thereon.</w:t>
      </w:r>
    </w:p>
    <w:p w14:paraId="5556A965"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Change in Accounting Principle</w:t>
      </w:r>
    </w:p>
    <w:p w14:paraId="5556A966"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As discussed in Note 1 to the consolidated financial statements, the Corporation has elected to change its method of accounting for investments in low income housing tax credits from the equity method of accounting to the pro</w:t>
      </w:r>
      <w:r>
        <w:rPr>
          <w:rFonts w:ascii="Arial" w:eastAsia="宋体" w:hAnsi="Arial" w:cs="Arial"/>
          <w:sz w:val="20"/>
          <w:szCs w:val="20"/>
        </w:rPr>
        <w:t>portional amortization method of accounting in each of the three years in the period ended December 31, 2019.</w:t>
      </w:r>
    </w:p>
    <w:p w14:paraId="5556A967"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Basis for Opinion</w:t>
      </w:r>
    </w:p>
    <w:p w14:paraId="5556A968"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These consolidated financial statements are the responsibility of the Corporation's management. Our responsibility is to express</w:t>
      </w:r>
      <w:r>
        <w:rPr>
          <w:rFonts w:ascii="Arial" w:eastAsia="宋体" w:hAnsi="Arial" w:cs="Arial"/>
          <w:sz w:val="20"/>
          <w:szCs w:val="20"/>
        </w:rPr>
        <w:t xml:space="preserve"> an opinion on the Corporation’s consolidated financial statements based on our audits. We are a public accounting firm registered with the PCAOB and are required to be independent with respect to the Corporation in accordance with the U.S. federal securit</w:t>
      </w:r>
      <w:r>
        <w:rPr>
          <w:rFonts w:ascii="Arial" w:eastAsia="宋体" w:hAnsi="Arial" w:cs="Arial"/>
          <w:sz w:val="20"/>
          <w:szCs w:val="20"/>
        </w:rPr>
        <w:t>ies laws and the applicable rules and regulations of the Securities and Exchange Commission and the PCAOB.</w:t>
      </w:r>
    </w:p>
    <w:p w14:paraId="5556A969"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We conducted our audits in accordance with the standards of the PCAOB. Those standards require that we plan and perform the audit to obtain reasonabl</w:t>
      </w:r>
      <w:r>
        <w:rPr>
          <w:rFonts w:ascii="Arial" w:eastAsia="宋体" w:hAnsi="Arial" w:cs="Arial"/>
          <w:sz w:val="20"/>
          <w:szCs w:val="20"/>
        </w:rPr>
        <w:t>e assurance about whether the consolidated financial statements are free of material misstatement, whether due to error or fraud. Our audits included performing procedures to assess the risks of material misstatement of the consolidated financial statement</w:t>
      </w:r>
      <w:r>
        <w:rPr>
          <w:rFonts w:ascii="Arial" w:eastAsia="宋体" w:hAnsi="Arial" w:cs="Arial"/>
          <w:sz w:val="20"/>
          <w:szCs w:val="20"/>
        </w:rPr>
        <w:t xml:space="preserve">s, whether due to error or fraud, and performing procedures that respond to those risks. Such procedures included examining, on a test basis, evidence regarding the amounts and disclosures in the consolidated financial statements. Our audits also included </w:t>
      </w:r>
      <w:r>
        <w:rPr>
          <w:rFonts w:ascii="Arial" w:eastAsia="宋体" w:hAnsi="Arial" w:cs="Arial"/>
          <w:sz w:val="20"/>
          <w:szCs w:val="20"/>
        </w:rPr>
        <w:t>evaluating the accounting principles used and significant estimates made by management, as well as evaluating the overall presentation of the consolidated financial statements. We believe that our audits provide a reasonable basis for our opinion.</w:t>
      </w:r>
    </w:p>
    <w:p w14:paraId="5556A96A" w14:textId="77777777" w:rsidR="00F925DD" w:rsidRDefault="00F925DD">
      <w:pPr>
        <w:rPr>
          <w:rFonts w:ascii="Times New Roman" w:hAnsi="Times New Roman"/>
          <w:sz w:val="20"/>
          <w:szCs w:val="20"/>
        </w:rPr>
      </w:pPr>
    </w:p>
    <w:p w14:paraId="5556A96B"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w:t>
      </w:r>
      <w:r>
        <w:rPr>
          <w:rFonts w:ascii="Arial" w:eastAsia="宋体" w:hAnsi="Arial" w:cs="Arial"/>
          <w:sz w:val="18"/>
          <w:szCs w:val="18"/>
        </w:rPr>
        <w:t>treet Corporation | 118</w:t>
      </w:r>
    </w:p>
    <w:p w14:paraId="5556A96C" w14:textId="77777777" w:rsidR="00F925DD" w:rsidRDefault="00F925DD">
      <w:pPr>
        <w:spacing w:line="288" w:lineRule="auto"/>
        <w:ind w:firstLine="600"/>
        <w:jc w:val="center"/>
        <w:rPr>
          <w:rFonts w:ascii="Times New Roman" w:hAnsi="Times New Roman"/>
          <w:sz w:val="18"/>
          <w:szCs w:val="18"/>
        </w:rPr>
      </w:pPr>
    </w:p>
    <w:p w14:paraId="5556A96D" w14:textId="77777777" w:rsidR="00F925DD" w:rsidRDefault="00E705D7">
      <w:r>
        <w:rPr>
          <w:rFonts w:ascii="Times New Roman" w:hAnsi="Times New Roman"/>
          <w:sz w:val="18"/>
          <w:szCs w:val="18"/>
        </w:rPr>
        <w:pict w14:anchorId="555706B0">
          <v:rect id="_x0000_i1142" style="width:415.3pt;height:1.5pt" o:hralign="center" o:hrstd="t" o:hr="t" fillcolor="#a0a0a0" stroked="f"/>
        </w:pict>
      </w:r>
    </w:p>
    <w:p w14:paraId="5556A96E" w14:textId="77777777" w:rsidR="00F925DD" w:rsidRDefault="00F925DD">
      <w:pPr>
        <w:spacing w:line="288" w:lineRule="auto"/>
        <w:ind w:firstLine="600"/>
        <w:rPr>
          <w:rFonts w:ascii="Times New Roman" w:hAnsi="Times New Roman"/>
          <w:sz w:val="18"/>
          <w:szCs w:val="18"/>
        </w:rPr>
      </w:pPr>
    </w:p>
    <w:p w14:paraId="5556A96F" w14:textId="77777777" w:rsidR="00F925DD" w:rsidRDefault="00F925DD">
      <w:pPr>
        <w:spacing w:line="288" w:lineRule="auto"/>
        <w:ind w:firstLine="600"/>
        <w:jc w:val="center"/>
        <w:rPr>
          <w:rFonts w:ascii="Times New Roman" w:hAnsi="Times New Roman"/>
          <w:sz w:val="20"/>
          <w:szCs w:val="20"/>
        </w:rPr>
      </w:pPr>
    </w:p>
    <w:p w14:paraId="5556A970" w14:textId="77777777" w:rsidR="00F925DD" w:rsidRDefault="00F925DD">
      <w:pPr>
        <w:rPr>
          <w:rFonts w:ascii="Times New Roman" w:hAnsi="Times New Roman"/>
          <w:sz w:val="20"/>
          <w:szCs w:val="20"/>
        </w:rPr>
      </w:pPr>
    </w:p>
    <w:p w14:paraId="5556A971"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Critical Audit Matter</w:t>
      </w:r>
    </w:p>
    <w:p w14:paraId="5556A97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The critical audit matter communicated below is a matter arising from the current period audit of the financial statements that was communicated or required to be communicated to the audit committee and t</w:t>
      </w:r>
      <w:r>
        <w:rPr>
          <w:rFonts w:ascii="Arial" w:eastAsia="宋体" w:hAnsi="Arial" w:cs="Arial"/>
          <w:sz w:val="20"/>
          <w:szCs w:val="20"/>
        </w:rPr>
        <w:t>hat: (1) relates to accounts or disclosures that are material to the financial statements and (2) involved our especially challenging, subjective, or complex judgments. The communication of the critical audit matter does not alter in any way our opinion on</w:t>
      </w:r>
      <w:r>
        <w:rPr>
          <w:rFonts w:ascii="Arial" w:eastAsia="宋体" w:hAnsi="Arial" w:cs="Arial"/>
          <w:sz w:val="20"/>
          <w:szCs w:val="20"/>
        </w:rPr>
        <w:t xml:space="preserve"> the consolidated financial statements, taken as a whole, and we are not, by communicating the critical audit matter below, providing a separate opinion on the critical audit matter or on the account or disclosures to which it relates.</w:t>
      </w:r>
    </w:p>
    <w:tbl>
      <w:tblPr>
        <w:tblW w:w="5000" w:type="pct"/>
        <w:tblCellMar>
          <w:left w:w="0" w:type="dxa"/>
          <w:right w:w="0" w:type="dxa"/>
        </w:tblCellMar>
        <w:tblLook w:val="04A0" w:firstRow="1" w:lastRow="0" w:firstColumn="1" w:lastColumn="0" w:noHBand="0" w:noVBand="1"/>
      </w:tblPr>
      <w:tblGrid>
        <w:gridCol w:w="1744"/>
        <w:gridCol w:w="6562"/>
      </w:tblGrid>
      <w:tr w:rsidR="00F925DD" w14:paraId="5556A974" w14:textId="77777777">
        <w:tc>
          <w:tcPr>
            <w:tcW w:w="0" w:type="auto"/>
            <w:gridSpan w:val="2"/>
            <w:shd w:val="clear" w:color="auto" w:fill="auto"/>
            <w:vAlign w:val="center"/>
          </w:tcPr>
          <w:p w14:paraId="5556A973" w14:textId="77777777" w:rsidR="00F925DD" w:rsidRDefault="00F925DD">
            <w:pPr>
              <w:rPr>
                <w:rFonts w:ascii="Times New Roman" w:hAnsi="Times New Roman"/>
                <w:sz w:val="20"/>
                <w:szCs w:val="20"/>
              </w:rPr>
            </w:pPr>
          </w:p>
        </w:tc>
      </w:tr>
      <w:tr w:rsidR="00F925DD" w14:paraId="5556A977" w14:textId="77777777">
        <w:tc>
          <w:tcPr>
            <w:tcW w:w="1050" w:type="pct"/>
            <w:shd w:val="clear" w:color="auto" w:fill="auto"/>
            <w:vAlign w:val="center"/>
          </w:tcPr>
          <w:p w14:paraId="5556A975" w14:textId="77777777" w:rsidR="00F925DD" w:rsidRDefault="00F925DD">
            <w:pPr>
              <w:rPr>
                <w:rFonts w:ascii="Times New Roman" w:hAnsi="Times New Roman"/>
                <w:sz w:val="20"/>
                <w:szCs w:val="20"/>
              </w:rPr>
            </w:pPr>
          </w:p>
        </w:tc>
        <w:tc>
          <w:tcPr>
            <w:tcW w:w="3950" w:type="pct"/>
            <w:shd w:val="clear" w:color="auto" w:fill="auto"/>
            <w:vAlign w:val="center"/>
          </w:tcPr>
          <w:p w14:paraId="5556A976" w14:textId="77777777" w:rsidR="00F925DD" w:rsidRDefault="00F925DD">
            <w:pPr>
              <w:rPr>
                <w:rFonts w:ascii="Times New Roman" w:hAnsi="Times New Roman"/>
                <w:sz w:val="20"/>
                <w:szCs w:val="20"/>
              </w:rPr>
            </w:pPr>
          </w:p>
        </w:tc>
      </w:tr>
      <w:tr w:rsidR="00F925DD" w14:paraId="5556A97A" w14:textId="77777777">
        <w:tc>
          <w:tcPr>
            <w:tcW w:w="0" w:type="auto"/>
            <w:shd w:val="clear" w:color="auto" w:fill="auto"/>
            <w:tcMar>
              <w:top w:w="40" w:type="dxa"/>
              <w:left w:w="40" w:type="dxa"/>
              <w:bottom w:w="40" w:type="dxa"/>
              <w:right w:w="40" w:type="dxa"/>
            </w:tcMar>
            <w:vAlign w:val="bottom"/>
          </w:tcPr>
          <w:p w14:paraId="5556A9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979" w14:textId="77777777" w:rsidR="00F925DD" w:rsidRDefault="00E705D7">
            <w:pPr>
              <w:textAlignment w:val="bottom"/>
              <w:rPr>
                <w:rFonts w:ascii="Times New Roman" w:hAnsi="Times New Roman"/>
                <w:sz w:val="20"/>
                <w:szCs w:val="20"/>
              </w:rPr>
            </w:pPr>
            <w:r>
              <w:rPr>
                <w:rFonts w:ascii="Arial" w:eastAsia="宋体" w:hAnsi="Arial" w:cs="Arial"/>
                <w:b/>
                <w:bCs/>
                <w:i/>
                <w:iCs/>
                <w:sz w:val="20"/>
                <w:szCs w:val="20"/>
              </w:rPr>
              <w:t>Servicing Fee Revenue</w:t>
            </w:r>
          </w:p>
        </w:tc>
      </w:tr>
      <w:tr w:rsidR="00F925DD" w14:paraId="5556A97E" w14:textId="77777777">
        <w:tc>
          <w:tcPr>
            <w:tcW w:w="0" w:type="auto"/>
            <w:shd w:val="clear" w:color="auto" w:fill="auto"/>
            <w:tcMar>
              <w:top w:w="40" w:type="dxa"/>
              <w:left w:w="40" w:type="dxa"/>
              <w:bottom w:w="40" w:type="dxa"/>
              <w:right w:w="40" w:type="dxa"/>
            </w:tcMar>
          </w:tcPr>
          <w:p w14:paraId="5556A97B" w14:textId="77777777" w:rsidR="00F925DD" w:rsidRDefault="00E705D7">
            <w:pPr>
              <w:textAlignment w:val="top"/>
              <w:rPr>
                <w:rFonts w:ascii="Times New Roman" w:hAnsi="Times New Roman"/>
                <w:sz w:val="20"/>
                <w:szCs w:val="20"/>
              </w:rPr>
            </w:pPr>
            <w:r>
              <w:rPr>
                <w:rFonts w:ascii="Arial" w:eastAsia="宋体" w:hAnsi="Arial" w:cs="Arial"/>
                <w:i/>
                <w:iCs/>
                <w:sz w:val="20"/>
                <w:szCs w:val="20"/>
              </w:rPr>
              <w:t>Description of the Matter</w:t>
            </w:r>
          </w:p>
        </w:tc>
        <w:tc>
          <w:tcPr>
            <w:tcW w:w="0" w:type="auto"/>
            <w:shd w:val="clear" w:color="auto" w:fill="auto"/>
            <w:tcMar>
              <w:top w:w="40" w:type="dxa"/>
              <w:left w:w="40" w:type="dxa"/>
              <w:bottom w:w="40" w:type="dxa"/>
              <w:right w:w="40" w:type="dxa"/>
            </w:tcMar>
            <w:vAlign w:val="bottom"/>
          </w:tcPr>
          <w:p w14:paraId="5556A97C" w14:textId="77777777" w:rsidR="00F925DD" w:rsidRDefault="00E705D7">
            <w:pPr>
              <w:jc w:val="both"/>
              <w:textAlignment w:val="bottom"/>
              <w:rPr>
                <w:rFonts w:ascii="Times New Roman" w:hAnsi="Times New Roman"/>
                <w:sz w:val="20"/>
                <w:szCs w:val="20"/>
              </w:rPr>
            </w:pPr>
            <w:r>
              <w:rPr>
                <w:rFonts w:ascii="Arial" w:eastAsia="宋体" w:hAnsi="Arial" w:cs="Arial"/>
                <w:sz w:val="20"/>
                <w:szCs w:val="20"/>
              </w:rPr>
              <w:t xml:space="preserve">Revenue recognized by the Corporation as servicing fees was $5.1 billion for the year ended December 31, 2019. As disclosed in Notes 24 and 25 of the consolidated financial statements, servicing fee revenue </w:t>
            </w:r>
            <w:r>
              <w:rPr>
                <w:rFonts w:ascii="Arial" w:eastAsia="宋体" w:hAnsi="Arial" w:cs="Arial"/>
                <w:sz w:val="20"/>
                <w:szCs w:val="20"/>
              </w:rPr>
              <w:t xml:space="preserve">involves revenue streams from various products which include custody, product and participant level accounting, transfer agency, daily pricing and administration, master trust and master custody, depotbank services (a fund oversight role created by non-US </w:t>
            </w:r>
            <w:r>
              <w:rPr>
                <w:rFonts w:ascii="Arial" w:eastAsia="宋体" w:hAnsi="Arial" w:cs="Arial"/>
                <w:sz w:val="20"/>
                <w:szCs w:val="20"/>
              </w:rPr>
              <w:t>regulation), record-keeping, cash management, and investment manager operations outsourcing. The Corporation’s servicing fee revenue involves a significant volume of contracts and transactions and is sourced from multiple systems and processes across diffe</w:t>
            </w:r>
            <w:r>
              <w:rPr>
                <w:rFonts w:ascii="Arial" w:eastAsia="宋体" w:hAnsi="Arial" w:cs="Arial"/>
                <w:sz w:val="20"/>
                <w:szCs w:val="20"/>
              </w:rPr>
              <w:t>rent business teams and geographies.</w:t>
            </w:r>
          </w:p>
          <w:p w14:paraId="5556A97D" w14:textId="77777777" w:rsidR="00F925DD" w:rsidRDefault="00E705D7">
            <w:pPr>
              <w:jc w:val="both"/>
              <w:textAlignment w:val="bottom"/>
              <w:rPr>
                <w:rFonts w:ascii="Times New Roman" w:hAnsi="Times New Roman"/>
                <w:sz w:val="20"/>
                <w:szCs w:val="20"/>
              </w:rPr>
            </w:pPr>
            <w:r>
              <w:rPr>
                <w:rFonts w:ascii="Arial" w:eastAsia="宋体" w:hAnsi="Arial" w:cs="Arial"/>
                <w:sz w:val="20"/>
                <w:szCs w:val="20"/>
              </w:rPr>
              <w:t>Auditing servicing fee revenue was complex and involved significant audit effort due to the non-standard nature of the Corporation’s contracts, the volume of contracts, the impact of contract renegotiations on accrued s</w:t>
            </w:r>
            <w:r>
              <w:rPr>
                <w:rFonts w:ascii="Arial" w:eastAsia="宋体" w:hAnsi="Arial" w:cs="Arial"/>
                <w:sz w:val="20"/>
                <w:szCs w:val="20"/>
              </w:rPr>
              <w:t>ervicing fees, and the number of different processes used to recognize revenue.</w:t>
            </w:r>
          </w:p>
        </w:tc>
      </w:tr>
      <w:tr w:rsidR="00F925DD" w14:paraId="5556A982" w14:textId="77777777">
        <w:tc>
          <w:tcPr>
            <w:tcW w:w="0" w:type="auto"/>
            <w:shd w:val="clear" w:color="auto" w:fill="auto"/>
            <w:tcMar>
              <w:top w:w="40" w:type="dxa"/>
              <w:left w:w="40" w:type="dxa"/>
              <w:bottom w:w="40" w:type="dxa"/>
              <w:right w:w="40" w:type="dxa"/>
            </w:tcMar>
          </w:tcPr>
          <w:p w14:paraId="5556A97F" w14:textId="77777777" w:rsidR="00F925DD" w:rsidRDefault="00E705D7">
            <w:pPr>
              <w:textAlignment w:val="top"/>
              <w:rPr>
                <w:rFonts w:ascii="Times New Roman" w:hAnsi="Times New Roman"/>
                <w:sz w:val="20"/>
                <w:szCs w:val="20"/>
              </w:rPr>
            </w:pPr>
            <w:r>
              <w:rPr>
                <w:rFonts w:ascii="Arial" w:eastAsia="宋体" w:hAnsi="Arial" w:cs="Arial"/>
                <w:i/>
                <w:iCs/>
                <w:sz w:val="20"/>
                <w:szCs w:val="20"/>
              </w:rPr>
              <w:t>How We Addressed the Matter in Our Audit</w:t>
            </w:r>
          </w:p>
        </w:tc>
        <w:tc>
          <w:tcPr>
            <w:tcW w:w="0" w:type="auto"/>
            <w:shd w:val="clear" w:color="auto" w:fill="auto"/>
            <w:tcMar>
              <w:top w:w="40" w:type="dxa"/>
              <w:left w:w="40" w:type="dxa"/>
              <w:bottom w:w="40" w:type="dxa"/>
              <w:right w:w="40" w:type="dxa"/>
            </w:tcMar>
            <w:vAlign w:val="bottom"/>
          </w:tcPr>
          <w:p w14:paraId="5556A980" w14:textId="77777777" w:rsidR="00F925DD" w:rsidRDefault="00E705D7">
            <w:pPr>
              <w:jc w:val="both"/>
              <w:textAlignment w:val="bottom"/>
              <w:rPr>
                <w:rFonts w:ascii="Times New Roman" w:hAnsi="Times New Roman"/>
                <w:sz w:val="20"/>
                <w:szCs w:val="20"/>
              </w:rPr>
            </w:pPr>
            <w:r>
              <w:rPr>
                <w:rFonts w:ascii="Arial" w:eastAsia="宋体" w:hAnsi="Arial" w:cs="Arial"/>
                <w:sz w:val="20"/>
                <w:szCs w:val="20"/>
              </w:rPr>
              <w:t>We identified and obtained an understanding of the processes used by the Corporation to recognize revenue transactions. We evaluated the design and tested the operating effectiveness of controls over the Corporation’s processes for recognizing servicing fe</w:t>
            </w:r>
            <w:r>
              <w:rPr>
                <w:rFonts w:ascii="Arial" w:eastAsia="宋体" w:hAnsi="Arial" w:cs="Arial"/>
                <w:sz w:val="20"/>
                <w:szCs w:val="20"/>
              </w:rPr>
              <w:t>e revenue, including, among others, controls over the review of client contracts, the calculations of the key drivers of revenue (e.g., assets under custody) and the flow of this information from the business teams negotiating contract amendments to the de</w:t>
            </w:r>
            <w:r>
              <w:rPr>
                <w:rFonts w:ascii="Arial" w:eastAsia="宋体" w:hAnsi="Arial" w:cs="Arial"/>
                <w:sz w:val="20"/>
                <w:szCs w:val="20"/>
              </w:rPr>
              <w:t xml:space="preserve">partment accruing revenue. </w:t>
            </w:r>
          </w:p>
          <w:p w14:paraId="5556A981" w14:textId="77777777" w:rsidR="00F925DD" w:rsidRDefault="00E705D7">
            <w:pPr>
              <w:jc w:val="both"/>
              <w:textAlignment w:val="bottom"/>
              <w:rPr>
                <w:rFonts w:ascii="Times New Roman" w:hAnsi="Times New Roman"/>
                <w:sz w:val="20"/>
                <w:szCs w:val="20"/>
              </w:rPr>
            </w:pPr>
            <w:r>
              <w:rPr>
                <w:rFonts w:ascii="Arial" w:eastAsia="宋体" w:hAnsi="Arial" w:cs="Arial"/>
                <w:sz w:val="20"/>
                <w:szCs w:val="20"/>
              </w:rPr>
              <w:t>Among other procedures, to test servicing fee revenue, we selected a sample of client contracts and analyzed the contracts to determine whether terms that may have an impact on revenue recognition, including performance obligati</w:t>
            </w:r>
            <w:r>
              <w:rPr>
                <w:rFonts w:ascii="Arial" w:eastAsia="宋体" w:hAnsi="Arial" w:cs="Arial"/>
                <w:sz w:val="20"/>
                <w:szCs w:val="20"/>
              </w:rPr>
              <w:t>ons and specified fees, were identified and properly considered in the evaluation of the accounting for the contracts and reperformed the calculation of revenue for a sample of revenue transactions. We also agreed the amounts recognized to source documents</w:t>
            </w:r>
            <w:r>
              <w:rPr>
                <w:rFonts w:ascii="Arial" w:eastAsia="宋体" w:hAnsi="Arial" w:cs="Arial"/>
                <w:sz w:val="20"/>
                <w:szCs w:val="20"/>
              </w:rPr>
              <w:t xml:space="preserve"> and tested the mathematical accuracy of the recorded revenue. We inquired of the business teams involved in contract negotiations for a selection of clients to assess the state of those negotiations and any effect on accrued servicing fees. We obtained th</w:t>
            </w:r>
            <w:r>
              <w:rPr>
                <w:rFonts w:ascii="Arial" w:eastAsia="宋体" w:hAnsi="Arial" w:cs="Arial"/>
                <w:sz w:val="20"/>
                <w:szCs w:val="20"/>
              </w:rPr>
              <w:t>ird party confirmation of the client balance due for a sample of servicing fees receivable.</w:t>
            </w:r>
          </w:p>
        </w:tc>
      </w:tr>
    </w:tbl>
    <w:p w14:paraId="5556A983" w14:textId="77777777" w:rsidR="00F925DD" w:rsidRDefault="00F925DD">
      <w:pPr>
        <w:spacing w:line="288" w:lineRule="auto"/>
        <w:ind w:firstLine="600"/>
        <w:jc w:val="both"/>
        <w:rPr>
          <w:rFonts w:ascii="Times New Roman" w:hAnsi="Times New Roman"/>
          <w:sz w:val="20"/>
          <w:szCs w:val="20"/>
        </w:rPr>
      </w:pPr>
    </w:p>
    <w:p w14:paraId="5556A984" w14:textId="77777777" w:rsidR="00F925DD" w:rsidRDefault="00E705D7">
      <w:pPr>
        <w:spacing w:line="288" w:lineRule="auto"/>
        <w:ind w:firstLine="8640"/>
        <w:jc w:val="both"/>
        <w:rPr>
          <w:rFonts w:ascii="Times New Roman" w:hAnsi="Times New Roman"/>
          <w:sz w:val="20"/>
          <w:szCs w:val="20"/>
        </w:rPr>
      </w:pPr>
      <w:r>
        <w:rPr>
          <w:rFonts w:ascii="Arial" w:eastAsia="宋体" w:hAnsi="Arial" w:cs="Arial"/>
          <w:sz w:val="20"/>
          <w:szCs w:val="20"/>
        </w:rPr>
        <w:t>                                    </w:t>
      </w:r>
    </w:p>
    <w:p w14:paraId="5556A985" w14:textId="77777777" w:rsidR="00F925DD" w:rsidRDefault="00F925DD">
      <w:pPr>
        <w:spacing w:line="288" w:lineRule="auto"/>
        <w:jc w:val="both"/>
        <w:rPr>
          <w:rFonts w:ascii="Times New Roman" w:hAnsi="Times New Roman"/>
          <w:sz w:val="20"/>
          <w:szCs w:val="20"/>
        </w:rPr>
      </w:pPr>
    </w:p>
    <w:p w14:paraId="5556A986" w14:textId="77777777" w:rsidR="00F925DD" w:rsidRDefault="00F925DD">
      <w:pPr>
        <w:spacing w:line="288" w:lineRule="auto"/>
        <w:jc w:val="both"/>
        <w:rPr>
          <w:rFonts w:ascii="Times New Roman" w:hAnsi="Times New Roman"/>
          <w:sz w:val="20"/>
          <w:szCs w:val="20"/>
        </w:rPr>
      </w:pPr>
    </w:p>
    <w:p w14:paraId="5556A987" w14:textId="77777777" w:rsidR="00F925DD" w:rsidRDefault="00F925DD">
      <w:pPr>
        <w:spacing w:line="288" w:lineRule="auto"/>
        <w:jc w:val="both"/>
        <w:rPr>
          <w:rFonts w:ascii="Times New Roman" w:hAnsi="Times New Roman"/>
          <w:sz w:val="20"/>
          <w:szCs w:val="20"/>
        </w:rPr>
      </w:pPr>
    </w:p>
    <w:p w14:paraId="5556A988" w14:textId="77777777" w:rsidR="00F925DD" w:rsidRDefault="00F925DD">
      <w:pPr>
        <w:spacing w:line="288" w:lineRule="auto"/>
        <w:jc w:val="both"/>
        <w:rPr>
          <w:rFonts w:ascii="Times New Roman" w:hAnsi="Times New Roman"/>
          <w:sz w:val="20"/>
          <w:szCs w:val="20"/>
        </w:rPr>
      </w:pPr>
    </w:p>
    <w:p w14:paraId="5556A989" w14:textId="77777777" w:rsidR="00F925DD" w:rsidRDefault="00F925DD">
      <w:pPr>
        <w:spacing w:line="288" w:lineRule="auto"/>
        <w:jc w:val="both"/>
        <w:rPr>
          <w:rFonts w:ascii="Times New Roman" w:hAnsi="Times New Roman"/>
          <w:sz w:val="20"/>
          <w:szCs w:val="20"/>
        </w:rPr>
      </w:pPr>
    </w:p>
    <w:p w14:paraId="5556A98A"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/s/ Ernst &amp; Young LLP</w:t>
      </w:r>
    </w:p>
    <w:p w14:paraId="5556A98B"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We have served as the Corporation's auditor since 1972.</w:t>
      </w:r>
    </w:p>
    <w:p w14:paraId="5556A98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Boston, Massachusetts</w:t>
      </w:r>
    </w:p>
    <w:p w14:paraId="5556A98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February 20, 2020</w:t>
      </w:r>
    </w:p>
    <w:p w14:paraId="5556A98E" w14:textId="77777777" w:rsidR="00F925DD" w:rsidRDefault="00F925DD">
      <w:pPr>
        <w:rPr>
          <w:rFonts w:ascii="Times New Roman" w:hAnsi="Times New Roman"/>
          <w:sz w:val="20"/>
          <w:szCs w:val="20"/>
        </w:rPr>
      </w:pPr>
    </w:p>
    <w:p w14:paraId="5556A98F"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119</w:t>
      </w:r>
    </w:p>
    <w:p w14:paraId="5556A990" w14:textId="77777777" w:rsidR="00F925DD" w:rsidRDefault="00F925DD">
      <w:pPr>
        <w:spacing w:line="288" w:lineRule="auto"/>
        <w:ind w:firstLine="600"/>
        <w:jc w:val="center"/>
        <w:rPr>
          <w:rFonts w:ascii="Times New Roman" w:hAnsi="Times New Roman"/>
          <w:sz w:val="18"/>
          <w:szCs w:val="18"/>
        </w:rPr>
      </w:pPr>
    </w:p>
    <w:p w14:paraId="5556A991" w14:textId="77777777" w:rsidR="00F925DD" w:rsidRDefault="00E705D7">
      <w:r>
        <w:rPr>
          <w:rFonts w:ascii="Times New Roman" w:hAnsi="Times New Roman"/>
          <w:sz w:val="18"/>
          <w:szCs w:val="18"/>
        </w:rPr>
        <w:pict w14:anchorId="555706B1">
          <v:rect id="_x0000_i1143" style="width:415.3pt;height:1.5pt" o:hralign="center" o:hrstd="t" o:hr="t" fillcolor="#a0a0a0" stroked="f"/>
        </w:pict>
      </w:r>
    </w:p>
    <w:p w14:paraId="5556A992" w14:textId="77777777" w:rsidR="00F925DD" w:rsidRDefault="00F925DD">
      <w:pPr>
        <w:rPr>
          <w:rFonts w:ascii="Times New Roman" w:hAnsi="Times New Roman"/>
          <w:sz w:val="20"/>
          <w:szCs w:val="20"/>
        </w:rPr>
      </w:pPr>
    </w:p>
    <w:p w14:paraId="5556A99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A994"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CONSOLIDATED STATEMENT OF INCOME</w:t>
      </w:r>
    </w:p>
    <w:p w14:paraId="5556A995" w14:textId="77777777" w:rsidR="00F925DD" w:rsidRDefault="00F925DD">
      <w:pPr>
        <w:spacing w:line="288" w:lineRule="auto"/>
        <w:ind w:firstLine="600"/>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4539"/>
        <w:gridCol w:w="142"/>
        <w:gridCol w:w="885"/>
        <w:gridCol w:w="100"/>
        <w:gridCol w:w="220"/>
        <w:gridCol w:w="6"/>
        <w:gridCol w:w="142"/>
        <w:gridCol w:w="852"/>
        <w:gridCol w:w="100"/>
        <w:gridCol w:w="220"/>
        <w:gridCol w:w="6"/>
        <w:gridCol w:w="142"/>
        <w:gridCol w:w="852"/>
        <w:gridCol w:w="100"/>
      </w:tblGrid>
      <w:tr w:rsidR="00F925DD" w14:paraId="5556A997" w14:textId="77777777">
        <w:tc>
          <w:tcPr>
            <w:tcW w:w="0" w:type="auto"/>
            <w:gridSpan w:val="14"/>
            <w:shd w:val="clear" w:color="auto" w:fill="auto"/>
            <w:vAlign w:val="center"/>
          </w:tcPr>
          <w:p w14:paraId="5556A996" w14:textId="77777777" w:rsidR="00F925DD" w:rsidRDefault="00F925DD">
            <w:pPr>
              <w:rPr>
                <w:rFonts w:ascii="Times New Roman" w:hAnsi="Times New Roman"/>
                <w:sz w:val="20"/>
                <w:szCs w:val="20"/>
              </w:rPr>
            </w:pPr>
          </w:p>
        </w:tc>
      </w:tr>
      <w:tr w:rsidR="00F925DD" w14:paraId="5556A9A6" w14:textId="77777777">
        <w:tc>
          <w:tcPr>
            <w:tcW w:w="2800" w:type="pct"/>
            <w:shd w:val="clear" w:color="auto" w:fill="auto"/>
            <w:vAlign w:val="center"/>
          </w:tcPr>
          <w:p w14:paraId="5556A998" w14:textId="77777777" w:rsidR="00F925DD" w:rsidRDefault="00F925DD">
            <w:pPr>
              <w:rPr>
                <w:rFonts w:ascii="Times New Roman" w:hAnsi="Times New Roman"/>
                <w:sz w:val="20"/>
                <w:szCs w:val="20"/>
              </w:rPr>
            </w:pPr>
          </w:p>
        </w:tc>
        <w:tc>
          <w:tcPr>
            <w:tcW w:w="50" w:type="pct"/>
            <w:shd w:val="clear" w:color="auto" w:fill="auto"/>
            <w:vAlign w:val="center"/>
          </w:tcPr>
          <w:p w14:paraId="5556A999" w14:textId="77777777" w:rsidR="00F925DD" w:rsidRDefault="00F925DD">
            <w:pPr>
              <w:rPr>
                <w:rFonts w:ascii="Times New Roman" w:hAnsi="Times New Roman"/>
                <w:sz w:val="20"/>
                <w:szCs w:val="20"/>
              </w:rPr>
            </w:pPr>
          </w:p>
        </w:tc>
        <w:tc>
          <w:tcPr>
            <w:tcW w:w="600" w:type="pct"/>
            <w:shd w:val="clear" w:color="auto" w:fill="auto"/>
            <w:vAlign w:val="center"/>
          </w:tcPr>
          <w:p w14:paraId="5556A99A" w14:textId="77777777" w:rsidR="00F925DD" w:rsidRDefault="00F925DD">
            <w:pPr>
              <w:rPr>
                <w:rFonts w:ascii="Times New Roman" w:hAnsi="Times New Roman"/>
                <w:sz w:val="20"/>
                <w:szCs w:val="20"/>
              </w:rPr>
            </w:pPr>
          </w:p>
        </w:tc>
        <w:tc>
          <w:tcPr>
            <w:tcW w:w="50" w:type="pct"/>
            <w:shd w:val="clear" w:color="auto" w:fill="auto"/>
            <w:vAlign w:val="center"/>
          </w:tcPr>
          <w:p w14:paraId="5556A99B" w14:textId="77777777" w:rsidR="00F925DD" w:rsidRDefault="00F925DD">
            <w:pPr>
              <w:rPr>
                <w:rFonts w:ascii="Times New Roman" w:hAnsi="Times New Roman"/>
                <w:sz w:val="20"/>
                <w:szCs w:val="20"/>
              </w:rPr>
            </w:pPr>
          </w:p>
        </w:tc>
        <w:tc>
          <w:tcPr>
            <w:tcW w:w="0" w:type="pct"/>
            <w:shd w:val="clear" w:color="auto" w:fill="auto"/>
            <w:vAlign w:val="center"/>
          </w:tcPr>
          <w:p w14:paraId="5556A99C" w14:textId="77777777" w:rsidR="00F925DD" w:rsidRDefault="00F925DD">
            <w:pPr>
              <w:rPr>
                <w:rFonts w:ascii="Times New Roman" w:hAnsi="Times New Roman"/>
                <w:sz w:val="20"/>
                <w:szCs w:val="20"/>
              </w:rPr>
            </w:pPr>
          </w:p>
        </w:tc>
        <w:tc>
          <w:tcPr>
            <w:tcW w:w="50" w:type="pct"/>
            <w:shd w:val="clear" w:color="auto" w:fill="auto"/>
            <w:vAlign w:val="center"/>
          </w:tcPr>
          <w:p w14:paraId="5556A99D" w14:textId="77777777" w:rsidR="00F925DD" w:rsidRDefault="00F925DD">
            <w:pPr>
              <w:rPr>
                <w:rFonts w:ascii="Times New Roman" w:hAnsi="Times New Roman"/>
                <w:sz w:val="20"/>
                <w:szCs w:val="20"/>
              </w:rPr>
            </w:pPr>
          </w:p>
        </w:tc>
        <w:tc>
          <w:tcPr>
            <w:tcW w:w="50" w:type="pct"/>
            <w:shd w:val="clear" w:color="auto" w:fill="auto"/>
            <w:vAlign w:val="center"/>
          </w:tcPr>
          <w:p w14:paraId="5556A99E" w14:textId="77777777" w:rsidR="00F925DD" w:rsidRDefault="00F925DD">
            <w:pPr>
              <w:rPr>
                <w:rFonts w:ascii="Times New Roman" w:hAnsi="Times New Roman"/>
                <w:sz w:val="20"/>
                <w:szCs w:val="20"/>
              </w:rPr>
            </w:pPr>
          </w:p>
        </w:tc>
        <w:tc>
          <w:tcPr>
            <w:tcW w:w="600" w:type="pct"/>
            <w:shd w:val="clear" w:color="auto" w:fill="auto"/>
            <w:vAlign w:val="center"/>
          </w:tcPr>
          <w:p w14:paraId="5556A99F" w14:textId="77777777" w:rsidR="00F925DD" w:rsidRDefault="00F925DD">
            <w:pPr>
              <w:rPr>
                <w:rFonts w:ascii="Times New Roman" w:hAnsi="Times New Roman"/>
                <w:sz w:val="20"/>
                <w:szCs w:val="20"/>
              </w:rPr>
            </w:pPr>
          </w:p>
        </w:tc>
        <w:tc>
          <w:tcPr>
            <w:tcW w:w="50" w:type="pct"/>
            <w:shd w:val="clear" w:color="auto" w:fill="auto"/>
            <w:vAlign w:val="center"/>
          </w:tcPr>
          <w:p w14:paraId="5556A9A0" w14:textId="77777777" w:rsidR="00F925DD" w:rsidRDefault="00F925DD">
            <w:pPr>
              <w:rPr>
                <w:rFonts w:ascii="Times New Roman" w:hAnsi="Times New Roman"/>
                <w:sz w:val="20"/>
                <w:szCs w:val="20"/>
              </w:rPr>
            </w:pPr>
          </w:p>
        </w:tc>
        <w:tc>
          <w:tcPr>
            <w:tcW w:w="0" w:type="pct"/>
            <w:shd w:val="clear" w:color="auto" w:fill="auto"/>
            <w:vAlign w:val="center"/>
          </w:tcPr>
          <w:p w14:paraId="5556A9A1" w14:textId="77777777" w:rsidR="00F925DD" w:rsidRDefault="00F925DD">
            <w:pPr>
              <w:rPr>
                <w:rFonts w:ascii="Times New Roman" w:hAnsi="Times New Roman"/>
                <w:sz w:val="20"/>
                <w:szCs w:val="20"/>
              </w:rPr>
            </w:pPr>
          </w:p>
        </w:tc>
        <w:tc>
          <w:tcPr>
            <w:tcW w:w="50" w:type="pct"/>
            <w:shd w:val="clear" w:color="auto" w:fill="auto"/>
            <w:vAlign w:val="center"/>
          </w:tcPr>
          <w:p w14:paraId="5556A9A2" w14:textId="77777777" w:rsidR="00F925DD" w:rsidRDefault="00F925DD">
            <w:pPr>
              <w:rPr>
                <w:rFonts w:ascii="Times New Roman" w:hAnsi="Times New Roman"/>
                <w:sz w:val="20"/>
                <w:szCs w:val="20"/>
              </w:rPr>
            </w:pPr>
          </w:p>
        </w:tc>
        <w:tc>
          <w:tcPr>
            <w:tcW w:w="50" w:type="pct"/>
            <w:shd w:val="clear" w:color="auto" w:fill="auto"/>
            <w:vAlign w:val="center"/>
          </w:tcPr>
          <w:p w14:paraId="5556A9A3" w14:textId="77777777" w:rsidR="00F925DD" w:rsidRDefault="00F925DD">
            <w:pPr>
              <w:rPr>
                <w:rFonts w:ascii="Times New Roman" w:hAnsi="Times New Roman"/>
                <w:sz w:val="20"/>
                <w:szCs w:val="20"/>
              </w:rPr>
            </w:pPr>
          </w:p>
        </w:tc>
        <w:tc>
          <w:tcPr>
            <w:tcW w:w="600" w:type="pct"/>
            <w:shd w:val="clear" w:color="auto" w:fill="auto"/>
            <w:vAlign w:val="center"/>
          </w:tcPr>
          <w:p w14:paraId="5556A9A4" w14:textId="77777777" w:rsidR="00F925DD" w:rsidRDefault="00F925DD">
            <w:pPr>
              <w:rPr>
                <w:rFonts w:ascii="Times New Roman" w:hAnsi="Times New Roman"/>
                <w:sz w:val="20"/>
                <w:szCs w:val="20"/>
              </w:rPr>
            </w:pPr>
          </w:p>
        </w:tc>
        <w:tc>
          <w:tcPr>
            <w:tcW w:w="50" w:type="pct"/>
            <w:shd w:val="clear" w:color="auto" w:fill="auto"/>
            <w:vAlign w:val="center"/>
          </w:tcPr>
          <w:p w14:paraId="5556A9A5" w14:textId="77777777" w:rsidR="00F925DD" w:rsidRDefault="00F925DD">
            <w:pPr>
              <w:rPr>
                <w:rFonts w:ascii="Times New Roman" w:hAnsi="Times New Roman"/>
                <w:sz w:val="20"/>
                <w:szCs w:val="20"/>
              </w:rPr>
            </w:pPr>
          </w:p>
        </w:tc>
      </w:tr>
      <w:tr w:rsidR="00F925DD" w14:paraId="5556A9A9" w14:textId="77777777">
        <w:tc>
          <w:tcPr>
            <w:tcW w:w="0" w:type="auto"/>
            <w:shd w:val="clear" w:color="auto" w:fill="auto"/>
            <w:tcMar>
              <w:top w:w="40" w:type="dxa"/>
              <w:left w:w="40" w:type="dxa"/>
              <w:bottom w:w="40" w:type="dxa"/>
              <w:right w:w="40" w:type="dxa"/>
            </w:tcMar>
            <w:vAlign w:val="bottom"/>
          </w:tcPr>
          <w:p w14:paraId="5556A9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3"/>
            <w:shd w:val="clear" w:color="auto" w:fill="auto"/>
            <w:tcMar>
              <w:top w:w="40" w:type="dxa"/>
              <w:left w:w="40" w:type="dxa"/>
              <w:bottom w:w="40" w:type="dxa"/>
            </w:tcMar>
            <w:vAlign w:val="bottom"/>
          </w:tcPr>
          <w:p w14:paraId="5556A9A8"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Years Ended December 31,</w:t>
            </w:r>
          </w:p>
        </w:tc>
      </w:tr>
      <w:tr w:rsidR="00F925DD" w14:paraId="5556A9B0" w14:textId="77777777">
        <w:tc>
          <w:tcPr>
            <w:tcW w:w="0" w:type="auto"/>
            <w:shd w:val="clear" w:color="auto" w:fill="auto"/>
            <w:tcMar>
              <w:top w:w="40" w:type="dxa"/>
              <w:left w:w="40" w:type="dxa"/>
              <w:bottom w:w="40" w:type="dxa"/>
              <w:right w:w="40" w:type="dxa"/>
            </w:tcMar>
            <w:vAlign w:val="bottom"/>
          </w:tcPr>
          <w:p w14:paraId="5556A9AA"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(Dollars in millions, except per share amounts)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9AB"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2019</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5556A9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9AD"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2018</w:t>
            </w:r>
          </w:p>
        </w:tc>
        <w:tc>
          <w:tcPr>
            <w:tcW w:w="0" w:type="auto"/>
            <w:gridSpan w:val="2"/>
            <w:tcBorders>
              <w:top w:val="single" w:sz="8" w:space="0" w:color="000000"/>
            </w:tcBorders>
            <w:shd w:val="clear" w:color="auto" w:fill="auto"/>
            <w:tcMar>
              <w:top w:w="40" w:type="dxa"/>
              <w:left w:w="40" w:type="dxa"/>
              <w:bottom w:w="40" w:type="dxa"/>
              <w:right w:w="40" w:type="dxa"/>
            </w:tcMar>
            <w:vAlign w:val="bottom"/>
          </w:tcPr>
          <w:p w14:paraId="5556A9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9AF"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2017</w:t>
            </w:r>
          </w:p>
        </w:tc>
      </w:tr>
      <w:tr w:rsidR="00F925DD" w14:paraId="5556A9B7" w14:textId="77777777">
        <w:tc>
          <w:tcPr>
            <w:tcW w:w="0" w:type="auto"/>
            <w:shd w:val="clear" w:color="auto" w:fill="auto"/>
            <w:tcMar>
              <w:top w:w="40" w:type="dxa"/>
              <w:left w:w="40" w:type="dxa"/>
              <w:bottom w:w="40" w:type="dxa"/>
              <w:right w:w="40" w:type="dxa"/>
            </w:tcMar>
            <w:vAlign w:val="bottom"/>
          </w:tcPr>
          <w:p w14:paraId="5556A9B1"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Fee revenue:</w:t>
            </w:r>
          </w:p>
        </w:tc>
        <w:tc>
          <w:tcPr>
            <w:tcW w:w="0" w:type="auto"/>
            <w:gridSpan w:val="3"/>
            <w:shd w:val="clear" w:color="auto" w:fill="auto"/>
            <w:tcMar>
              <w:top w:w="40" w:type="dxa"/>
              <w:left w:w="40" w:type="dxa"/>
              <w:bottom w:w="40" w:type="dxa"/>
              <w:right w:w="40" w:type="dxa"/>
            </w:tcMar>
            <w:vAlign w:val="bottom"/>
          </w:tcPr>
          <w:p w14:paraId="5556A9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9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9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9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9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9C4" w14:textId="77777777">
        <w:tc>
          <w:tcPr>
            <w:tcW w:w="0" w:type="auto"/>
            <w:shd w:val="clear" w:color="auto" w:fill="CCEEFF"/>
            <w:tcMar>
              <w:top w:w="40" w:type="dxa"/>
              <w:left w:w="40" w:type="dxa"/>
              <w:bottom w:w="40" w:type="dxa"/>
              <w:right w:w="40" w:type="dxa"/>
            </w:tcMar>
            <w:vAlign w:val="bottom"/>
          </w:tcPr>
          <w:p w14:paraId="5556A9B8" w14:textId="77777777" w:rsidR="00F925DD" w:rsidRDefault="00E705D7">
            <w:pPr>
              <w:textAlignment w:val="bottom"/>
              <w:rPr>
                <w:rFonts w:ascii="Times New Roman" w:hAnsi="Times New Roman"/>
                <w:sz w:val="18"/>
                <w:szCs w:val="18"/>
              </w:rPr>
            </w:pPr>
            <w:r>
              <w:rPr>
                <w:rFonts w:ascii="Arial" w:eastAsia="宋体" w:hAnsi="Arial" w:cs="Arial"/>
                <w:sz w:val="18"/>
                <w:szCs w:val="18"/>
              </w:rPr>
              <w:t>Servicing fees</w:t>
            </w:r>
          </w:p>
        </w:tc>
        <w:tc>
          <w:tcPr>
            <w:tcW w:w="0" w:type="auto"/>
            <w:shd w:val="clear" w:color="auto" w:fill="CCEEFF"/>
            <w:tcMar>
              <w:top w:w="40" w:type="dxa"/>
              <w:left w:w="40" w:type="dxa"/>
              <w:bottom w:w="40" w:type="dxa"/>
            </w:tcMar>
            <w:vAlign w:val="bottom"/>
          </w:tcPr>
          <w:p w14:paraId="5556A9B9"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5556A9BA"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5,074</w:t>
            </w:r>
          </w:p>
        </w:tc>
        <w:tc>
          <w:tcPr>
            <w:tcW w:w="0" w:type="auto"/>
            <w:shd w:val="clear" w:color="auto" w:fill="CCEEFF"/>
            <w:vAlign w:val="bottom"/>
          </w:tcPr>
          <w:p w14:paraId="5556A9BB"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9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9BD"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5556A9B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5,421</w:t>
            </w:r>
          </w:p>
        </w:tc>
        <w:tc>
          <w:tcPr>
            <w:tcW w:w="0" w:type="auto"/>
            <w:shd w:val="clear" w:color="auto" w:fill="CCEEFF"/>
            <w:vAlign w:val="bottom"/>
          </w:tcPr>
          <w:p w14:paraId="5556A9BF"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9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9C1"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5556A9C2"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5,365</w:t>
            </w:r>
          </w:p>
        </w:tc>
        <w:tc>
          <w:tcPr>
            <w:tcW w:w="0" w:type="auto"/>
            <w:shd w:val="clear" w:color="auto" w:fill="CCEEFF"/>
            <w:vAlign w:val="bottom"/>
          </w:tcPr>
          <w:p w14:paraId="5556A9C3" w14:textId="77777777" w:rsidR="00F925DD" w:rsidRDefault="00F925DD">
            <w:pPr>
              <w:textAlignment w:val="bottom"/>
              <w:rPr>
                <w:rFonts w:ascii="Times New Roman" w:hAnsi="Times New Roman"/>
                <w:sz w:val="20"/>
                <w:szCs w:val="20"/>
              </w:rPr>
            </w:pPr>
          </w:p>
        </w:tc>
      </w:tr>
      <w:tr w:rsidR="00F925DD" w14:paraId="5556A9CE" w14:textId="77777777">
        <w:tc>
          <w:tcPr>
            <w:tcW w:w="0" w:type="auto"/>
            <w:shd w:val="clear" w:color="auto" w:fill="auto"/>
            <w:tcMar>
              <w:top w:w="40" w:type="dxa"/>
              <w:left w:w="40" w:type="dxa"/>
              <w:bottom w:w="40" w:type="dxa"/>
              <w:right w:w="40" w:type="dxa"/>
            </w:tcMar>
            <w:vAlign w:val="bottom"/>
          </w:tcPr>
          <w:p w14:paraId="5556A9C5" w14:textId="77777777" w:rsidR="00F925DD" w:rsidRDefault="00E705D7">
            <w:pPr>
              <w:textAlignment w:val="bottom"/>
              <w:rPr>
                <w:rFonts w:ascii="Times New Roman" w:hAnsi="Times New Roman"/>
                <w:sz w:val="18"/>
                <w:szCs w:val="18"/>
              </w:rPr>
            </w:pPr>
            <w:r>
              <w:rPr>
                <w:rFonts w:ascii="Arial" w:eastAsia="宋体" w:hAnsi="Arial" w:cs="Arial"/>
                <w:sz w:val="18"/>
                <w:szCs w:val="18"/>
              </w:rPr>
              <w:t>Management fees</w:t>
            </w:r>
          </w:p>
        </w:tc>
        <w:tc>
          <w:tcPr>
            <w:tcW w:w="0" w:type="auto"/>
            <w:gridSpan w:val="2"/>
            <w:shd w:val="clear" w:color="auto" w:fill="auto"/>
            <w:tcMar>
              <w:top w:w="40" w:type="dxa"/>
              <w:left w:w="40" w:type="dxa"/>
              <w:bottom w:w="40" w:type="dxa"/>
            </w:tcMar>
            <w:vAlign w:val="bottom"/>
          </w:tcPr>
          <w:p w14:paraId="5556A9C6"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1,771</w:t>
            </w:r>
          </w:p>
        </w:tc>
        <w:tc>
          <w:tcPr>
            <w:tcW w:w="0" w:type="auto"/>
            <w:shd w:val="clear" w:color="auto" w:fill="auto"/>
            <w:vAlign w:val="bottom"/>
          </w:tcPr>
          <w:p w14:paraId="5556A9C7"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9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9C9"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1,851</w:t>
            </w:r>
          </w:p>
        </w:tc>
        <w:tc>
          <w:tcPr>
            <w:tcW w:w="0" w:type="auto"/>
            <w:shd w:val="clear" w:color="auto" w:fill="auto"/>
            <w:vAlign w:val="bottom"/>
          </w:tcPr>
          <w:p w14:paraId="5556A9CA"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9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9CC"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1,616</w:t>
            </w:r>
          </w:p>
        </w:tc>
        <w:tc>
          <w:tcPr>
            <w:tcW w:w="0" w:type="auto"/>
            <w:shd w:val="clear" w:color="auto" w:fill="auto"/>
            <w:vAlign w:val="bottom"/>
          </w:tcPr>
          <w:p w14:paraId="5556A9CD" w14:textId="77777777" w:rsidR="00F925DD" w:rsidRDefault="00F925DD">
            <w:pPr>
              <w:textAlignment w:val="bottom"/>
              <w:rPr>
                <w:rFonts w:ascii="Times New Roman" w:hAnsi="Times New Roman"/>
                <w:sz w:val="20"/>
                <w:szCs w:val="20"/>
              </w:rPr>
            </w:pPr>
          </w:p>
        </w:tc>
      </w:tr>
      <w:tr w:rsidR="00F925DD" w14:paraId="5556A9D8" w14:textId="77777777">
        <w:tc>
          <w:tcPr>
            <w:tcW w:w="0" w:type="auto"/>
            <w:shd w:val="clear" w:color="auto" w:fill="CCEEFF"/>
            <w:tcMar>
              <w:top w:w="40" w:type="dxa"/>
              <w:left w:w="40" w:type="dxa"/>
              <w:bottom w:w="40" w:type="dxa"/>
              <w:right w:w="40" w:type="dxa"/>
            </w:tcMar>
            <w:vAlign w:val="bottom"/>
          </w:tcPr>
          <w:p w14:paraId="5556A9CF"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Foreign exchange trading services </w:t>
            </w:r>
          </w:p>
        </w:tc>
        <w:tc>
          <w:tcPr>
            <w:tcW w:w="0" w:type="auto"/>
            <w:gridSpan w:val="2"/>
            <w:shd w:val="clear" w:color="auto" w:fill="CCEEFF"/>
            <w:tcMar>
              <w:top w:w="40" w:type="dxa"/>
              <w:left w:w="40" w:type="dxa"/>
              <w:bottom w:w="40" w:type="dxa"/>
            </w:tcMar>
            <w:vAlign w:val="bottom"/>
          </w:tcPr>
          <w:p w14:paraId="5556A9D0"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1,111</w:t>
            </w:r>
          </w:p>
        </w:tc>
        <w:tc>
          <w:tcPr>
            <w:tcW w:w="0" w:type="auto"/>
            <w:shd w:val="clear" w:color="auto" w:fill="CCEEFF"/>
            <w:vAlign w:val="bottom"/>
          </w:tcPr>
          <w:p w14:paraId="5556A9D1"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9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9D3"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1,201</w:t>
            </w:r>
          </w:p>
        </w:tc>
        <w:tc>
          <w:tcPr>
            <w:tcW w:w="0" w:type="auto"/>
            <w:shd w:val="clear" w:color="auto" w:fill="CCEEFF"/>
            <w:vAlign w:val="bottom"/>
          </w:tcPr>
          <w:p w14:paraId="5556A9D4"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9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9D6"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1,071</w:t>
            </w:r>
          </w:p>
        </w:tc>
        <w:tc>
          <w:tcPr>
            <w:tcW w:w="0" w:type="auto"/>
            <w:shd w:val="clear" w:color="auto" w:fill="CCEEFF"/>
            <w:vAlign w:val="bottom"/>
          </w:tcPr>
          <w:p w14:paraId="5556A9D7" w14:textId="77777777" w:rsidR="00F925DD" w:rsidRDefault="00F925DD">
            <w:pPr>
              <w:textAlignment w:val="bottom"/>
              <w:rPr>
                <w:rFonts w:ascii="Times New Roman" w:hAnsi="Times New Roman"/>
                <w:sz w:val="20"/>
                <w:szCs w:val="20"/>
              </w:rPr>
            </w:pPr>
          </w:p>
        </w:tc>
      </w:tr>
      <w:tr w:rsidR="00F925DD" w14:paraId="5556A9E2" w14:textId="77777777">
        <w:tc>
          <w:tcPr>
            <w:tcW w:w="0" w:type="auto"/>
            <w:shd w:val="clear" w:color="auto" w:fill="auto"/>
            <w:tcMar>
              <w:top w:w="40" w:type="dxa"/>
              <w:left w:w="40" w:type="dxa"/>
              <w:bottom w:w="40" w:type="dxa"/>
              <w:right w:w="40" w:type="dxa"/>
            </w:tcMar>
            <w:vAlign w:val="bottom"/>
          </w:tcPr>
          <w:p w14:paraId="5556A9D9" w14:textId="77777777" w:rsidR="00F925DD" w:rsidRDefault="00E705D7">
            <w:pPr>
              <w:textAlignment w:val="bottom"/>
              <w:rPr>
                <w:rFonts w:ascii="Times New Roman" w:hAnsi="Times New Roman"/>
                <w:sz w:val="18"/>
                <w:szCs w:val="18"/>
              </w:rPr>
            </w:pPr>
            <w:r>
              <w:rPr>
                <w:rFonts w:ascii="Arial" w:eastAsia="宋体" w:hAnsi="Arial" w:cs="Arial"/>
                <w:sz w:val="18"/>
                <w:szCs w:val="18"/>
              </w:rPr>
              <w:t>Securities finance</w:t>
            </w:r>
          </w:p>
        </w:tc>
        <w:tc>
          <w:tcPr>
            <w:tcW w:w="0" w:type="auto"/>
            <w:gridSpan w:val="2"/>
            <w:shd w:val="clear" w:color="auto" w:fill="auto"/>
            <w:tcMar>
              <w:top w:w="40" w:type="dxa"/>
              <w:left w:w="40" w:type="dxa"/>
              <w:bottom w:w="40" w:type="dxa"/>
            </w:tcMar>
            <w:vAlign w:val="bottom"/>
          </w:tcPr>
          <w:p w14:paraId="5556A9DA"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471</w:t>
            </w:r>
          </w:p>
        </w:tc>
        <w:tc>
          <w:tcPr>
            <w:tcW w:w="0" w:type="auto"/>
            <w:shd w:val="clear" w:color="auto" w:fill="auto"/>
            <w:vAlign w:val="bottom"/>
          </w:tcPr>
          <w:p w14:paraId="5556A9DB"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9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9DD"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543</w:t>
            </w:r>
          </w:p>
        </w:tc>
        <w:tc>
          <w:tcPr>
            <w:tcW w:w="0" w:type="auto"/>
            <w:shd w:val="clear" w:color="auto" w:fill="auto"/>
            <w:vAlign w:val="bottom"/>
          </w:tcPr>
          <w:p w14:paraId="5556A9DE"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9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9E0"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606</w:t>
            </w:r>
          </w:p>
        </w:tc>
        <w:tc>
          <w:tcPr>
            <w:tcW w:w="0" w:type="auto"/>
            <w:shd w:val="clear" w:color="auto" w:fill="auto"/>
            <w:vAlign w:val="bottom"/>
          </w:tcPr>
          <w:p w14:paraId="5556A9E1" w14:textId="77777777" w:rsidR="00F925DD" w:rsidRDefault="00F925DD">
            <w:pPr>
              <w:textAlignment w:val="bottom"/>
              <w:rPr>
                <w:rFonts w:ascii="Times New Roman" w:hAnsi="Times New Roman"/>
                <w:sz w:val="20"/>
                <w:szCs w:val="20"/>
              </w:rPr>
            </w:pPr>
          </w:p>
        </w:tc>
      </w:tr>
      <w:tr w:rsidR="00F925DD" w14:paraId="5556A9EC" w14:textId="77777777">
        <w:tc>
          <w:tcPr>
            <w:tcW w:w="0" w:type="auto"/>
            <w:shd w:val="clear" w:color="auto" w:fill="CCEEFF"/>
            <w:tcMar>
              <w:top w:w="40" w:type="dxa"/>
              <w:left w:w="40" w:type="dxa"/>
              <w:bottom w:w="40" w:type="dxa"/>
              <w:right w:w="40" w:type="dxa"/>
            </w:tcMar>
            <w:vAlign w:val="bottom"/>
          </w:tcPr>
          <w:p w14:paraId="5556A9E3" w14:textId="77777777" w:rsidR="00F925DD" w:rsidRDefault="00E705D7">
            <w:pPr>
              <w:textAlignment w:val="bottom"/>
              <w:rPr>
                <w:rFonts w:ascii="Times New Roman" w:hAnsi="Times New Roman"/>
                <w:sz w:val="18"/>
                <w:szCs w:val="18"/>
              </w:rPr>
            </w:pPr>
            <w:r>
              <w:rPr>
                <w:rFonts w:ascii="Arial" w:eastAsia="宋体" w:hAnsi="Arial" w:cs="Arial"/>
                <w:sz w:val="18"/>
                <w:szCs w:val="18"/>
              </w:rPr>
              <w:t>Software and processing fees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9E4"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720</w:t>
            </w:r>
          </w:p>
        </w:tc>
        <w:tc>
          <w:tcPr>
            <w:tcW w:w="0" w:type="auto"/>
            <w:tcBorders>
              <w:bottom w:val="single" w:sz="8" w:space="0" w:color="000000"/>
            </w:tcBorders>
            <w:shd w:val="clear" w:color="auto" w:fill="CCEEFF"/>
            <w:vAlign w:val="bottom"/>
          </w:tcPr>
          <w:p w14:paraId="5556A9E5"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9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9E7"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438</w:t>
            </w:r>
          </w:p>
        </w:tc>
        <w:tc>
          <w:tcPr>
            <w:tcW w:w="0" w:type="auto"/>
            <w:tcBorders>
              <w:bottom w:val="single" w:sz="8" w:space="0" w:color="000000"/>
            </w:tcBorders>
            <w:shd w:val="clear" w:color="auto" w:fill="CCEEFF"/>
            <w:vAlign w:val="bottom"/>
          </w:tcPr>
          <w:p w14:paraId="5556A9E8"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9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9EA"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343</w:t>
            </w:r>
          </w:p>
        </w:tc>
        <w:tc>
          <w:tcPr>
            <w:tcW w:w="0" w:type="auto"/>
            <w:tcBorders>
              <w:bottom w:val="single" w:sz="8" w:space="0" w:color="000000"/>
            </w:tcBorders>
            <w:shd w:val="clear" w:color="auto" w:fill="CCEEFF"/>
            <w:vAlign w:val="bottom"/>
          </w:tcPr>
          <w:p w14:paraId="5556A9EB" w14:textId="77777777" w:rsidR="00F925DD" w:rsidRDefault="00F925DD">
            <w:pPr>
              <w:textAlignment w:val="bottom"/>
              <w:rPr>
                <w:rFonts w:ascii="Times New Roman" w:hAnsi="Times New Roman"/>
                <w:sz w:val="20"/>
                <w:szCs w:val="20"/>
              </w:rPr>
            </w:pPr>
          </w:p>
        </w:tc>
      </w:tr>
      <w:tr w:rsidR="00F925DD" w14:paraId="5556A9F6" w14:textId="77777777">
        <w:tc>
          <w:tcPr>
            <w:tcW w:w="0" w:type="auto"/>
            <w:shd w:val="clear" w:color="auto" w:fill="auto"/>
            <w:tcMar>
              <w:top w:w="40" w:type="dxa"/>
              <w:left w:w="40" w:type="dxa"/>
              <w:bottom w:w="40" w:type="dxa"/>
              <w:right w:w="40" w:type="dxa"/>
            </w:tcMar>
            <w:vAlign w:val="bottom"/>
          </w:tcPr>
          <w:p w14:paraId="5556A9ED" w14:textId="77777777" w:rsidR="00F925DD" w:rsidRDefault="00E705D7">
            <w:pPr>
              <w:textAlignment w:val="bottom"/>
              <w:rPr>
                <w:rFonts w:ascii="Times New Roman" w:hAnsi="Times New Roman"/>
                <w:sz w:val="18"/>
                <w:szCs w:val="18"/>
              </w:rPr>
            </w:pPr>
            <w:r>
              <w:rPr>
                <w:rFonts w:ascii="Arial" w:eastAsia="宋体" w:hAnsi="Arial" w:cs="Arial"/>
                <w:sz w:val="18"/>
                <w:szCs w:val="18"/>
              </w:rPr>
              <w:t>Total fee revenue</w:t>
            </w:r>
          </w:p>
        </w:tc>
        <w:tc>
          <w:tcPr>
            <w:tcW w:w="0" w:type="auto"/>
            <w:gridSpan w:val="2"/>
            <w:tcBorders>
              <w:top w:val="single" w:sz="8" w:space="0" w:color="000000"/>
            </w:tcBorders>
            <w:shd w:val="clear" w:color="auto" w:fill="auto"/>
            <w:tcMar>
              <w:top w:w="40" w:type="dxa"/>
              <w:left w:w="40" w:type="dxa"/>
              <w:bottom w:w="40" w:type="dxa"/>
            </w:tcMar>
            <w:vAlign w:val="bottom"/>
          </w:tcPr>
          <w:p w14:paraId="5556A9EE"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9,147</w:t>
            </w:r>
          </w:p>
        </w:tc>
        <w:tc>
          <w:tcPr>
            <w:tcW w:w="0" w:type="auto"/>
            <w:tcBorders>
              <w:top w:val="single" w:sz="8" w:space="0" w:color="000000"/>
            </w:tcBorders>
            <w:shd w:val="clear" w:color="auto" w:fill="auto"/>
            <w:vAlign w:val="bottom"/>
          </w:tcPr>
          <w:p w14:paraId="5556A9EF"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9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9F1"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9,454</w:t>
            </w:r>
          </w:p>
        </w:tc>
        <w:tc>
          <w:tcPr>
            <w:tcW w:w="0" w:type="auto"/>
            <w:tcBorders>
              <w:top w:val="single" w:sz="8" w:space="0" w:color="000000"/>
            </w:tcBorders>
            <w:shd w:val="clear" w:color="auto" w:fill="auto"/>
            <w:vAlign w:val="bottom"/>
          </w:tcPr>
          <w:p w14:paraId="5556A9F2"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9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9F4"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9,001</w:t>
            </w:r>
          </w:p>
        </w:tc>
        <w:tc>
          <w:tcPr>
            <w:tcW w:w="0" w:type="auto"/>
            <w:tcBorders>
              <w:top w:val="single" w:sz="8" w:space="0" w:color="000000"/>
            </w:tcBorders>
            <w:shd w:val="clear" w:color="auto" w:fill="auto"/>
            <w:vAlign w:val="bottom"/>
          </w:tcPr>
          <w:p w14:paraId="5556A9F5" w14:textId="77777777" w:rsidR="00F925DD" w:rsidRDefault="00F925DD">
            <w:pPr>
              <w:textAlignment w:val="bottom"/>
              <w:rPr>
                <w:rFonts w:ascii="Times New Roman" w:hAnsi="Times New Roman"/>
                <w:sz w:val="20"/>
                <w:szCs w:val="20"/>
              </w:rPr>
            </w:pPr>
          </w:p>
        </w:tc>
      </w:tr>
      <w:tr w:rsidR="00F925DD" w14:paraId="5556A9FD" w14:textId="77777777">
        <w:tc>
          <w:tcPr>
            <w:tcW w:w="0" w:type="auto"/>
            <w:shd w:val="clear" w:color="auto" w:fill="CCEEFF"/>
            <w:tcMar>
              <w:top w:w="40" w:type="dxa"/>
              <w:left w:w="40" w:type="dxa"/>
              <w:bottom w:w="40" w:type="dxa"/>
              <w:right w:w="40" w:type="dxa"/>
            </w:tcMar>
            <w:vAlign w:val="bottom"/>
          </w:tcPr>
          <w:p w14:paraId="5556A9F7"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Net interest income:</w:t>
            </w:r>
          </w:p>
        </w:tc>
        <w:tc>
          <w:tcPr>
            <w:tcW w:w="0" w:type="auto"/>
            <w:gridSpan w:val="3"/>
            <w:shd w:val="clear" w:color="auto" w:fill="CCEEFF"/>
            <w:tcMar>
              <w:top w:w="40" w:type="dxa"/>
              <w:left w:w="40" w:type="dxa"/>
              <w:bottom w:w="40" w:type="dxa"/>
              <w:right w:w="40" w:type="dxa"/>
            </w:tcMar>
            <w:vAlign w:val="bottom"/>
          </w:tcPr>
          <w:p w14:paraId="5556A9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9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9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9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9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A07" w14:textId="77777777">
        <w:tc>
          <w:tcPr>
            <w:tcW w:w="0" w:type="auto"/>
            <w:shd w:val="clear" w:color="auto" w:fill="auto"/>
            <w:tcMar>
              <w:top w:w="40" w:type="dxa"/>
              <w:left w:w="40" w:type="dxa"/>
              <w:bottom w:w="40" w:type="dxa"/>
              <w:right w:w="40" w:type="dxa"/>
            </w:tcMar>
            <w:vAlign w:val="bottom"/>
          </w:tcPr>
          <w:p w14:paraId="5556A9FE" w14:textId="77777777" w:rsidR="00F925DD" w:rsidRDefault="00E705D7">
            <w:pPr>
              <w:textAlignment w:val="bottom"/>
              <w:rPr>
                <w:rFonts w:ascii="Times New Roman" w:hAnsi="Times New Roman"/>
                <w:sz w:val="18"/>
                <w:szCs w:val="18"/>
              </w:rPr>
            </w:pPr>
            <w:r>
              <w:rPr>
                <w:rFonts w:ascii="Arial" w:eastAsia="宋体" w:hAnsi="Arial" w:cs="Arial"/>
                <w:sz w:val="18"/>
                <w:szCs w:val="18"/>
              </w:rPr>
              <w:t>Interest income</w:t>
            </w:r>
          </w:p>
        </w:tc>
        <w:tc>
          <w:tcPr>
            <w:tcW w:w="0" w:type="auto"/>
            <w:gridSpan w:val="2"/>
            <w:shd w:val="clear" w:color="auto" w:fill="auto"/>
            <w:tcMar>
              <w:top w:w="40" w:type="dxa"/>
              <w:left w:w="40" w:type="dxa"/>
              <w:bottom w:w="40" w:type="dxa"/>
            </w:tcMar>
            <w:vAlign w:val="bottom"/>
          </w:tcPr>
          <w:p w14:paraId="5556A9FF"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3,941</w:t>
            </w:r>
          </w:p>
        </w:tc>
        <w:tc>
          <w:tcPr>
            <w:tcW w:w="0" w:type="auto"/>
            <w:shd w:val="clear" w:color="auto" w:fill="auto"/>
            <w:vAlign w:val="bottom"/>
          </w:tcPr>
          <w:p w14:paraId="5556AA00"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02"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3,662</w:t>
            </w:r>
          </w:p>
        </w:tc>
        <w:tc>
          <w:tcPr>
            <w:tcW w:w="0" w:type="auto"/>
            <w:shd w:val="clear" w:color="auto" w:fill="auto"/>
            <w:vAlign w:val="bottom"/>
          </w:tcPr>
          <w:p w14:paraId="5556AA0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0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2,908</w:t>
            </w:r>
          </w:p>
        </w:tc>
        <w:tc>
          <w:tcPr>
            <w:tcW w:w="0" w:type="auto"/>
            <w:shd w:val="clear" w:color="auto" w:fill="auto"/>
            <w:vAlign w:val="bottom"/>
          </w:tcPr>
          <w:p w14:paraId="5556AA06" w14:textId="77777777" w:rsidR="00F925DD" w:rsidRDefault="00F925DD">
            <w:pPr>
              <w:textAlignment w:val="bottom"/>
              <w:rPr>
                <w:rFonts w:ascii="Times New Roman" w:hAnsi="Times New Roman"/>
                <w:sz w:val="20"/>
                <w:szCs w:val="20"/>
              </w:rPr>
            </w:pPr>
          </w:p>
        </w:tc>
      </w:tr>
      <w:tr w:rsidR="00F925DD" w14:paraId="5556AA11" w14:textId="77777777">
        <w:tc>
          <w:tcPr>
            <w:tcW w:w="0" w:type="auto"/>
            <w:shd w:val="clear" w:color="auto" w:fill="CCEEFF"/>
            <w:tcMar>
              <w:top w:w="40" w:type="dxa"/>
              <w:left w:w="40" w:type="dxa"/>
              <w:bottom w:w="40" w:type="dxa"/>
              <w:right w:w="40" w:type="dxa"/>
            </w:tcMar>
            <w:vAlign w:val="bottom"/>
          </w:tcPr>
          <w:p w14:paraId="5556AA08" w14:textId="77777777" w:rsidR="00F925DD" w:rsidRDefault="00E705D7">
            <w:pPr>
              <w:textAlignment w:val="bottom"/>
              <w:rPr>
                <w:rFonts w:ascii="Times New Roman" w:hAnsi="Times New Roman"/>
                <w:sz w:val="18"/>
                <w:szCs w:val="18"/>
              </w:rPr>
            </w:pPr>
            <w:r>
              <w:rPr>
                <w:rFonts w:ascii="Arial" w:eastAsia="宋体" w:hAnsi="Arial" w:cs="Arial"/>
                <w:sz w:val="18"/>
                <w:szCs w:val="18"/>
              </w:rPr>
              <w:t>Interest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A09"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1,375</w:t>
            </w:r>
          </w:p>
        </w:tc>
        <w:tc>
          <w:tcPr>
            <w:tcW w:w="0" w:type="auto"/>
            <w:tcBorders>
              <w:bottom w:val="single" w:sz="8" w:space="0" w:color="000000"/>
            </w:tcBorders>
            <w:shd w:val="clear" w:color="auto" w:fill="CCEEFF"/>
            <w:vAlign w:val="bottom"/>
          </w:tcPr>
          <w:p w14:paraId="5556AA0A"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A0C"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991</w:t>
            </w:r>
          </w:p>
        </w:tc>
        <w:tc>
          <w:tcPr>
            <w:tcW w:w="0" w:type="auto"/>
            <w:tcBorders>
              <w:bottom w:val="single" w:sz="8" w:space="0" w:color="000000"/>
            </w:tcBorders>
            <w:shd w:val="clear" w:color="auto" w:fill="CCEEFF"/>
            <w:vAlign w:val="bottom"/>
          </w:tcPr>
          <w:p w14:paraId="5556AA0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A0F"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604</w:t>
            </w:r>
          </w:p>
        </w:tc>
        <w:tc>
          <w:tcPr>
            <w:tcW w:w="0" w:type="auto"/>
            <w:tcBorders>
              <w:bottom w:val="single" w:sz="8" w:space="0" w:color="000000"/>
            </w:tcBorders>
            <w:shd w:val="clear" w:color="auto" w:fill="CCEEFF"/>
            <w:vAlign w:val="bottom"/>
          </w:tcPr>
          <w:p w14:paraId="5556AA10" w14:textId="77777777" w:rsidR="00F925DD" w:rsidRDefault="00F925DD">
            <w:pPr>
              <w:textAlignment w:val="bottom"/>
              <w:rPr>
                <w:rFonts w:ascii="Times New Roman" w:hAnsi="Times New Roman"/>
                <w:sz w:val="20"/>
                <w:szCs w:val="20"/>
              </w:rPr>
            </w:pPr>
          </w:p>
        </w:tc>
      </w:tr>
      <w:tr w:rsidR="00F925DD" w14:paraId="5556AA1B" w14:textId="77777777">
        <w:tc>
          <w:tcPr>
            <w:tcW w:w="0" w:type="auto"/>
            <w:shd w:val="clear" w:color="auto" w:fill="auto"/>
            <w:tcMar>
              <w:top w:w="40" w:type="dxa"/>
              <w:left w:w="40" w:type="dxa"/>
              <w:bottom w:w="40" w:type="dxa"/>
              <w:right w:w="40" w:type="dxa"/>
            </w:tcMar>
            <w:vAlign w:val="bottom"/>
          </w:tcPr>
          <w:p w14:paraId="5556AA12" w14:textId="77777777" w:rsidR="00F925DD" w:rsidRDefault="00E705D7">
            <w:pPr>
              <w:textAlignment w:val="bottom"/>
              <w:rPr>
                <w:rFonts w:ascii="Times New Roman" w:hAnsi="Times New Roman"/>
                <w:sz w:val="18"/>
                <w:szCs w:val="18"/>
              </w:rPr>
            </w:pPr>
            <w:r>
              <w:rPr>
                <w:rFonts w:ascii="Arial" w:eastAsia="宋体" w:hAnsi="Arial" w:cs="Arial"/>
                <w:sz w:val="18"/>
                <w:szCs w:val="18"/>
              </w:rPr>
              <w:t>Net interest income</w:t>
            </w:r>
          </w:p>
        </w:tc>
        <w:tc>
          <w:tcPr>
            <w:tcW w:w="0" w:type="auto"/>
            <w:gridSpan w:val="2"/>
            <w:tcBorders>
              <w:top w:val="single" w:sz="8" w:space="0" w:color="000000"/>
            </w:tcBorders>
            <w:shd w:val="clear" w:color="auto" w:fill="auto"/>
            <w:tcMar>
              <w:top w:w="40" w:type="dxa"/>
              <w:left w:w="40" w:type="dxa"/>
              <w:bottom w:w="40" w:type="dxa"/>
            </w:tcMar>
            <w:vAlign w:val="bottom"/>
          </w:tcPr>
          <w:p w14:paraId="5556AA13"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2,566</w:t>
            </w:r>
          </w:p>
        </w:tc>
        <w:tc>
          <w:tcPr>
            <w:tcW w:w="0" w:type="auto"/>
            <w:tcBorders>
              <w:top w:val="single" w:sz="8" w:space="0" w:color="000000"/>
            </w:tcBorders>
            <w:shd w:val="clear" w:color="auto" w:fill="auto"/>
            <w:vAlign w:val="bottom"/>
          </w:tcPr>
          <w:p w14:paraId="5556AA14"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A16"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2,671</w:t>
            </w:r>
          </w:p>
        </w:tc>
        <w:tc>
          <w:tcPr>
            <w:tcW w:w="0" w:type="auto"/>
            <w:tcBorders>
              <w:top w:val="single" w:sz="8" w:space="0" w:color="000000"/>
            </w:tcBorders>
            <w:shd w:val="clear" w:color="auto" w:fill="auto"/>
            <w:vAlign w:val="bottom"/>
          </w:tcPr>
          <w:p w14:paraId="5556AA17"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A19"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2,304</w:t>
            </w:r>
          </w:p>
        </w:tc>
        <w:tc>
          <w:tcPr>
            <w:tcW w:w="0" w:type="auto"/>
            <w:tcBorders>
              <w:top w:val="single" w:sz="8" w:space="0" w:color="000000"/>
            </w:tcBorders>
            <w:shd w:val="clear" w:color="auto" w:fill="auto"/>
            <w:vAlign w:val="bottom"/>
          </w:tcPr>
          <w:p w14:paraId="5556AA1A" w14:textId="77777777" w:rsidR="00F925DD" w:rsidRDefault="00F925DD">
            <w:pPr>
              <w:textAlignment w:val="bottom"/>
              <w:rPr>
                <w:rFonts w:ascii="Times New Roman" w:hAnsi="Times New Roman"/>
                <w:sz w:val="20"/>
                <w:szCs w:val="20"/>
              </w:rPr>
            </w:pPr>
          </w:p>
        </w:tc>
      </w:tr>
      <w:tr w:rsidR="00F925DD" w14:paraId="5556AA22" w14:textId="77777777">
        <w:tc>
          <w:tcPr>
            <w:tcW w:w="0" w:type="auto"/>
            <w:shd w:val="clear" w:color="auto" w:fill="CCEEFF"/>
            <w:tcMar>
              <w:top w:w="40" w:type="dxa"/>
              <w:left w:w="40" w:type="dxa"/>
              <w:bottom w:w="40" w:type="dxa"/>
              <w:right w:w="40" w:type="dxa"/>
            </w:tcMar>
            <w:vAlign w:val="bottom"/>
          </w:tcPr>
          <w:p w14:paraId="5556AA1C"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Other income:</w:t>
            </w:r>
          </w:p>
        </w:tc>
        <w:tc>
          <w:tcPr>
            <w:tcW w:w="0" w:type="auto"/>
            <w:gridSpan w:val="3"/>
            <w:shd w:val="clear" w:color="auto" w:fill="CCEEFF"/>
            <w:tcMar>
              <w:top w:w="40" w:type="dxa"/>
              <w:left w:w="40" w:type="dxa"/>
              <w:bottom w:w="40" w:type="dxa"/>
              <w:right w:w="40" w:type="dxa"/>
            </w:tcMar>
            <w:vAlign w:val="bottom"/>
          </w:tcPr>
          <w:p w14:paraId="5556AA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A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A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A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A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A2C" w14:textId="77777777">
        <w:tc>
          <w:tcPr>
            <w:tcW w:w="0" w:type="auto"/>
            <w:shd w:val="clear" w:color="auto" w:fill="auto"/>
            <w:tcMar>
              <w:top w:w="40" w:type="dxa"/>
              <w:left w:w="40" w:type="dxa"/>
              <w:bottom w:w="40" w:type="dxa"/>
              <w:right w:w="40" w:type="dxa"/>
            </w:tcMar>
            <w:vAlign w:val="bottom"/>
          </w:tcPr>
          <w:p w14:paraId="5556AA23"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Gains (losses) from sales of </w:t>
            </w:r>
            <w:r>
              <w:rPr>
                <w:rFonts w:ascii="Arial" w:eastAsia="宋体" w:hAnsi="Arial" w:cs="Arial"/>
                <w:sz w:val="18"/>
                <w:szCs w:val="18"/>
              </w:rPr>
              <w:t>available-for-sale securities, net</w:t>
            </w:r>
          </w:p>
        </w:tc>
        <w:tc>
          <w:tcPr>
            <w:tcW w:w="0" w:type="auto"/>
            <w:gridSpan w:val="2"/>
            <w:shd w:val="clear" w:color="auto" w:fill="auto"/>
            <w:tcMar>
              <w:top w:w="40" w:type="dxa"/>
              <w:left w:w="40" w:type="dxa"/>
              <w:bottom w:w="40" w:type="dxa"/>
            </w:tcMar>
            <w:vAlign w:val="bottom"/>
          </w:tcPr>
          <w:p w14:paraId="5556AA24"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w:t>
            </w:r>
          </w:p>
        </w:tc>
        <w:tc>
          <w:tcPr>
            <w:tcW w:w="0" w:type="auto"/>
            <w:shd w:val="clear" w:color="auto" w:fill="auto"/>
            <w:tcMar>
              <w:top w:w="40" w:type="dxa"/>
              <w:bottom w:w="40" w:type="dxa"/>
              <w:right w:w="40" w:type="dxa"/>
            </w:tcMar>
            <w:vAlign w:val="bottom"/>
          </w:tcPr>
          <w:p w14:paraId="5556AA25"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gridSpan w:val="2"/>
            <w:shd w:val="clear" w:color="auto" w:fill="auto"/>
            <w:tcMar>
              <w:top w:w="40" w:type="dxa"/>
              <w:left w:w="40" w:type="dxa"/>
              <w:bottom w:w="40" w:type="dxa"/>
              <w:right w:w="40" w:type="dxa"/>
            </w:tcMar>
            <w:vAlign w:val="bottom"/>
          </w:tcPr>
          <w:p w14:paraId="5556AA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27"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9</w:t>
            </w:r>
          </w:p>
        </w:tc>
        <w:tc>
          <w:tcPr>
            <w:tcW w:w="0" w:type="auto"/>
            <w:shd w:val="clear" w:color="auto" w:fill="auto"/>
            <w:vAlign w:val="bottom"/>
          </w:tcPr>
          <w:p w14:paraId="5556AA28"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2A"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(39</w:t>
            </w:r>
          </w:p>
        </w:tc>
        <w:tc>
          <w:tcPr>
            <w:tcW w:w="0" w:type="auto"/>
            <w:shd w:val="clear" w:color="auto" w:fill="auto"/>
            <w:tcMar>
              <w:top w:w="40" w:type="dxa"/>
              <w:bottom w:w="40" w:type="dxa"/>
              <w:right w:w="40" w:type="dxa"/>
            </w:tcMar>
            <w:vAlign w:val="bottom"/>
          </w:tcPr>
          <w:p w14:paraId="5556AA2B"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r>
      <w:tr w:rsidR="00F925DD" w14:paraId="5556AA36" w14:textId="77777777">
        <w:tc>
          <w:tcPr>
            <w:tcW w:w="0" w:type="auto"/>
            <w:shd w:val="clear" w:color="auto" w:fill="CCEEFF"/>
            <w:tcMar>
              <w:top w:w="40" w:type="dxa"/>
              <w:left w:w="40" w:type="dxa"/>
              <w:bottom w:w="40" w:type="dxa"/>
              <w:right w:w="40" w:type="dxa"/>
            </w:tcMar>
            <w:vAlign w:val="bottom"/>
          </w:tcPr>
          <w:p w14:paraId="5556AA2D" w14:textId="77777777" w:rsidR="00F925DD" w:rsidRDefault="00E705D7">
            <w:pPr>
              <w:textAlignment w:val="bottom"/>
              <w:rPr>
                <w:rFonts w:ascii="Times New Roman" w:hAnsi="Times New Roman"/>
                <w:sz w:val="18"/>
                <w:szCs w:val="18"/>
              </w:rPr>
            </w:pPr>
            <w:r>
              <w:rPr>
                <w:rFonts w:ascii="Arial" w:eastAsia="宋体" w:hAnsi="Arial" w:cs="Arial"/>
                <w:sz w:val="18"/>
                <w:szCs w:val="18"/>
              </w:rPr>
              <w:t>Other income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A2E"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44</w:t>
            </w:r>
          </w:p>
        </w:tc>
        <w:tc>
          <w:tcPr>
            <w:tcW w:w="0" w:type="auto"/>
            <w:tcBorders>
              <w:bottom w:val="single" w:sz="8" w:space="0" w:color="000000"/>
            </w:tcBorders>
            <w:shd w:val="clear" w:color="auto" w:fill="CCEEFF"/>
            <w:vAlign w:val="bottom"/>
          </w:tcPr>
          <w:p w14:paraId="5556AA2F"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A31"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w:t>
            </w:r>
          </w:p>
        </w:tc>
        <w:tc>
          <w:tcPr>
            <w:tcW w:w="0" w:type="auto"/>
            <w:tcBorders>
              <w:bottom w:val="single" w:sz="8" w:space="0" w:color="000000"/>
            </w:tcBorders>
            <w:shd w:val="clear" w:color="auto" w:fill="CCEEFF"/>
            <w:tcMar>
              <w:top w:w="40" w:type="dxa"/>
              <w:bottom w:w="40" w:type="dxa"/>
              <w:right w:w="40" w:type="dxa"/>
            </w:tcMar>
            <w:vAlign w:val="bottom"/>
          </w:tcPr>
          <w:p w14:paraId="5556AA32"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gridSpan w:val="2"/>
            <w:shd w:val="clear" w:color="auto" w:fill="CCEEFF"/>
            <w:tcMar>
              <w:top w:w="40" w:type="dxa"/>
              <w:left w:w="40" w:type="dxa"/>
              <w:bottom w:w="40" w:type="dxa"/>
              <w:right w:w="40" w:type="dxa"/>
            </w:tcMar>
            <w:vAlign w:val="bottom"/>
          </w:tcPr>
          <w:p w14:paraId="5556AA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A34"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w:t>
            </w:r>
          </w:p>
        </w:tc>
        <w:tc>
          <w:tcPr>
            <w:tcW w:w="0" w:type="auto"/>
            <w:tcBorders>
              <w:bottom w:val="single" w:sz="8" w:space="0" w:color="000000"/>
            </w:tcBorders>
            <w:shd w:val="clear" w:color="auto" w:fill="CCEEFF"/>
            <w:vAlign w:val="bottom"/>
          </w:tcPr>
          <w:p w14:paraId="5556AA35" w14:textId="77777777" w:rsidR="00F925DD" w:rsidRDefault="00F925DD">
            <w:pPr>
              <w:textAlignment w:val="bottom"/>
              <w:rPr>
                <w:rFonts w:ascii="Times New Roman" w:hAnsi="Times New Roman"/>
                <w:sz w:val="20"/>
                <w:szCs w:val="20"/>
              </w:rPr>
            </w:pPr>
          </w:p>
        </w:tc>
      </w:tr>
      <w:tr w:rsidR="00F925DD" w14:paraId="5556AA42" w14:textId="77777777">
        <w:tc>
          <w:tcPr>
            <w:tcW w:w="0" w:type="auto"/>
            <w:shd w:val="clear" w:color="auto" w:fill="auto"/>
            <w:tcMar>
              <w:top w:w="40" w:type="dxa"/>
              <w:left w:w="40" w:type="dxa"/>
              <w:bottom w:w="40" w:type="dxa"/>
              <w:right w:w="40" w:type="dxa"/>
            </w:tcMar>
            <w:vAlign w:val="bottom"/>
          </w:tcPr>
          <w:p w14:paraId="5556AA37" w14:textId="77777777" w:rsidR="00F925DD" w:rsidRDefault="00E705D7">
            <w:pPr>
              <w:textAlignment w:val="bottom"/>
              <w:rPr>
                <w:rFonts w:ascii="Times New Roman" w:hAnsi="Times New Roman"/>
                <w:sz w:val="18"/>
                <w:szCs w:val="18"/>
              </w:rPr>
            </w:pPr>
            <w:r>
              <w:rPr>
                <w:rFonts w:ascii="Arial" w:eastAsia="宋体" w:hAnsi="Arial" w:cs="Arial"/>
                <w:sz w:val="18"/>
                <w:szCs w:val="18"/>
              </w:rPr>
              <w:t>Total other income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AA38"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43</w:t>
            </w:r>
          </w:p>
        </w:tc>
        <w:tc>
          <w:tcPr>
            <w:tcW w:w="0" w:type="auto"/>
            <w:tcBorders>
              <w:top w:val="single" w:sz="8" w:space="0" w:color="000000"/>
              <w:bottom w:val="single" w:sz="8" w:space="0" w:color="000000"/>
            </w:tcBorders>
            <w:shd w:val="clear" w:color="auto" w:fill="auto"/>
            <w:vAlign w:val="bottom"/>
          </w:tcPr>
          <w:p w14:paraId="5556AA3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5556AA3A"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vAlign w:val="bottom"/>
          </w:tcPr>
          <w:p w14:paraId="5556AA3B" w14:textId="77777777" w:rsidR="00F925DD" w:rsidRDefault="00F925D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AA3C"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6</w:t>
            </w:r>
          </w:p>
        </w:tc>
        <w:tc>
          <w:tcPr>
            <w:tcW w:w="0" w:type="auto"/>
            <w:tcBorders>
              <w:top w:val="single" w:sz="8" w:space="0" w:color="000000"/>
              <w:bottom w:val="single" w:sz="8" w:space="0" w:color="000000"/>
            </w:tcBorders>
            <w:shd w:val="clear" w:color="auto" w:fill="auto"/>
            <w:vAlign w:val="bottom"/>
          </w:tcPr>
          <w:p w14:paraId="5556AA3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5556AA3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vAlign w:val="bottom"/>
          </w:tcPr>
          <w:p w14:paraId="5556AA3F" w14:textId="77777777" w:rsidR="00F925DD" w:rsidRDefault="00F925D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AA40"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(39</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556AA41"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r>
      <w:tr w:rsidR="00F925DD" w14:paraId="5556AA4C" w14:textId="77777777">
        <w:tc>
          <w:tcPr>
            <w:tcW w:w="0" w:type="auto"/>
            <w:shd w:val="clear" w:color="auto" w:fill="CCEEFF"/>
            <w:tcMar>
              <w:top w:w="40" w:type="dxa"/>
              <w:left w:w="40" w:type="dxa"/>
              <w:bottom w:w="40" w:type="dxa"/>
              <w:right w:w="40" w:type="dxa"/>
            </w:tcMar>
            <w:vAlign w:val="bottom"/>
          </w:tcPr>
          <w:p w14:paraId="5556AA43"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Total revenue</w:t>
            </w:r>
          </w:p>
        </w:tc>
        <w:tc>
          <w:tcPr>
            <w:tcW w:w="0" w:type="auto"/>
            <w:gridSpan w:val="2"/>
            <w:tcBorders>
              <w:top w:val="single" w:sz="8" w:space="0" w:color="000000"/>
            </w:tcBorders>
            <w:shd w:val="clear" w:color="auto" w:fill="CCEEFF"/>
            <w:tcMar>
              <w:top w:w="40" w:type="dxa"/>
              <w:left w:w="40" w:type="dxa"/>
              <w:bottom w:w="40" w:type="dxa"/>
            </w:tcMar>
            <w:vAlign w:val="bottom"/>
          </w:tcPr>
          <w:p w14:paraId="5556AA44"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11,756</w:t>
            </w:r>
          </w:p>
        </w:tc>
        <w:tc>
          <w:tcPr>
            <w:tcW w:w="0" w:type="auto"/>
            <w:tcBorders>
              <w:top w:val="single" w:sz="8" w:space="0" w:color="000000"/>
            </w:tcBorders>
            <w:shd w:val="clear" w:color="auto" w:fill="CCEEFF"/>
            <w:vAlign w:val="bottom"/>
          </w:tcPr>
          <w:p w14:paraId="5556AA45"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A47"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12,131</w:t>
            </w:r>
          </w:p>
        </w:tc>
        <w:tc>
          <w:tcPr>
            <w:tcW w:w="0" w:type="auto"/>
            <w:tcBorders>
              <w:top w:val="single" w:sz="8" w:space="0" w:color="000000"/>
            </w:tcBorders>
            <w:shd w:val="clear" w:color="auto" w:fill="CCEEFF"/>
            <w:vAlign w:val="bottom"/>
          </w:tcPr>
          <w:p w14:paraId="5556AA48"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A4A"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11,266</w:t>
            </w:r>
          </w:p>
        </w:tc>
        <w:tc>
          <w:tcPr>
            <w:tcW w:w="0" w:type="auto"/>
            <w:shd w:val="clear" w:color="auto" w:fill="CCEEFF"/>
            <w:vAlign w:val="bottom"/>
          </w:tcPr>
          <w:p w14:paraId="5556AA4B" w14:textId="77777777" w:rsidR="00F925DD" w:rsidRDefault="00F925DD">
            <w:pPr>
              <w:textAlignment w:val="bottom"/>
              <w:rPr>
                <w:rFonts w:ascii="Times New Roman" w:hAnsi="Times New Roman"/>
                <w:sz w:val="20"/>
                <w:szCs w:val="20"/>
              </w:rPr>
            </w:pPr>
          </w:p>
        </w:tc>
      </w:tr>
      <w:tr w:rsidR="00F925DD" w14:paraId="5556AA56" w14:textId="77777777">
        <w:tc>
          <w:tcPr>
            <w:tcW w:w="0" w:type="auto"/>
            <w:shd w:val="clear" w:color="auto" w:fill="auto"/>
            <w:tcMar>
              <w:top w:w="40" w:type="dxa"/>
              <w:left w:w="40" w:type="dxa"/>
              <w:bottom w:w="40" w:type="dxa"/>
              <w:right w:w="40" w:type="dxa"/>
            </w:tcMar>
            <w:vAlign w:val="bottom"/>
          </w:tcPr>
          <w:p w14:paraId="5556AA4D" w14:textId="77777777" w:rsidR="00F925DD" w:rsidRDefault="00E705D7">
            <w:pPr>
              <w:textAlignment w:val="bottom"/>
              <w:rPr>
                <w:rFonts w:ascii="Times New Roman" w:hAnsi="Times New Roman"/>
                <w:sz w:val="18"/>
                <w:szCs w:val="18"/>
              </w:rPr>
            </w:pPr>
            <w:r>
              <w:rPr>
                <w:rFonts w:ascii="Arial" w:eastAsia="宋体" w:hAnsi="Arial" w:cs="Arial"/>
                <w:sz w:val="18"/>
                <w:szCs w:val="18"/>
              </w:rPr>
              <w:t>Provision for loan losses</w:t>
            </w:r>
          </w:p>
        </w:tc>
        <w:tc>
          <w:tcPr>
            <w:tcW w:w="0" w:type="auto"/>
            <w:gridSpan w:val="2"/>
            <w:shd w:val="clear" w:color="auto" w:fill="auto"/>
            <w:tcMar>
              <w:top w:w="40" w:type="dxa"/>
              <w:left w:w="40" w:type="dxa"/>
              <w:bottom w:w="40" w:type="dxa"/>
            </w:tcMar>
            <w:vAlign w:val="bottom"/>
          </w:tcPr>
          <w:p w14:paraId="5556AA4E"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10</w:t>
            </w:r>
          </w:p>
        </w:tc>
        <w:tc>
          <w:tcPr>
            <w:tcW w:w="0" w:type="auto"/>
            <w:shd w:val="clear" w:color="auto" w:fill="auto"/>
            <w:vAlign w:val="bottom"/>
          </w:tcPr>
          <w:p w14:paraId="5556AA4F"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51"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15</w:t>
            </w:r>
          </w:p>
        </w:tc>
        <w:tc>
          <w:tcPr>
            <w:tcW w:w="0" w:type="auto"/>
            <w:shd w:val="clear" w:color="auto" w:fill="auto"/>
            <w:vAlign w:val="bottom"/>
          </w:tcPr>
          <w:p w14:paraId="5556AA52"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54"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w:t>
            </w:r>
          </w:p>
        </w:tc>
        <w:tc>
          <w:tcPr>
            <w:tcW w:w="0" w:type="auto"/>
            <w:shd w:val="clear" w:color="auto" w:fill="auto"/>
            <w:vAlign w:val="bottom"/>
          </w:tcPr>
          <w:p w14:paraId="5556AA55" w14:textId="77777777" w:rsidR="00F925DD" w:rsidRDefault="00F925DD">
            <w:pPr>
              <w:textAlignment w:val="bottom"/>
              <w:rPr>
                <w:rFonts w:ascii="Times New Roman" w:hAnsi="Times New Roman"/>
                <w:sz w:val="20"/>
                <w:szCs w:val="20"/>
              </w:rPr>
            </w:pPr>
          </w:p>
        </w:tc>
      </w:tr>
      <w:tr w:rsidR="00F925DD" w14:paraId="5556AA5D" w14:textId="77777777">
        <w:tc>
          <w:tcPr>
            <w:tcW w:w="0" w:type="auto"/>
            <w:shd w:val="clear" w:color="auto" w:fill="CCEEFF"/>
            <w:tcMar>
              <w:top w:w="40" w:type="dxa"/>
              <w:left w:w="40" w:type="dxa"/>
              <w:bottom w:w="40" w:type="dxa"/>
              <w:right w:w="40" w:type="dxa"/>
            </w:tcMar>
            <w:vAlign w:val="bottom"/>
          </w:tcPr>
          <w:p w14:paraId="5556AA57"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Expenses:</w:t>
            </w:r>
          </w:p>
        </w:tc>
        <w:tc>
          <w:tcPr>
            <w:tcW w:w="0" w:type="auto"/>
            <w:gridSpan w:val="3"/>
            <w:shd w:val="clear" w:color="auto" w:fill="CCEEFF"/>
            <w:tcMar>
              <w:top w:w="40" w:type="dxa"/>
              <w:left w:w="40" w:type="dxa"/>
              <w:bottom w:w="40" w:type="dxa"/>
              <w:right w:w="40" w:type="dxa"/>
            </w:tcMar>
            <w:vAlign w:val="bottom"/>
          </w:tcPr>
          <w:p w14:paraId="5556AA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A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A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A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A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A67" w14:textId="77777777">
        <w:tc>
          <w:tcPr>
            <w:tcW w:w="0" w:type="auto"/>
            <w:shd w:val="clear" w:color="auto" w:fill="auto"/>
            <w:tcMar>
              <w:top w:w="40" w:type="dxa"/>
              <w:left w:w="40" w:type="dxa"/>
              <w:bottom w:w="40" w:type="dxa"/>
              <w:right w:w="40" w:type="dxa"/>
            </w:tcMar>
            <w:vAlign w:val="bottom"/>
          </w:tcPr>
          <w:p w14:paraId="5556AA5E"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Compensation and </w:t>
            </w:r>
            <w:r>
              <w:rPr>
                <w:rFonts w:ascii="Arial" w:eastAsia="宋体" w:hAnsi="Arial" w:cs="Arial"/>
                <w:sz w:val="18"/>
                <w:szCs w:val="18"/>
              </w:rPr>
              <w:t>employee benefits</w:t>
            </w:r>
          </w:p>
        </w:tc>
        <w:tc>
          <w:tcPr>
            <w:tcW w:w="0" w:type="auto"/>
            <w:gridSpan w:val="2"/>
            <w:shd w:val="clear" w:color="auto" w:fill="auto"/>
            <w:tcMar>
              <w:top w:w="40" w:type="dxa"/>
              <w:left w:w="40" w:type="dxa"/>
              <w:bottom w:w="40" w:type="dxa"/>
            </w:tcMar>
            <w:vAlign w:val="bottom"/>
          </w:tcPr>
          <w:p w14:paraId="5556AA5F"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4,541</w:t>
            </w:r>
          </w:p>
        </w:tc>
        <w:tc>
          <w:tcPr>
            <w:tcW w:w="0" w:type="auto"/>
            <w:shd w:val="clear" w:color="auto" w:fill="auto"/>
            <w:vAlign w:val="bottom"/>
          </w:tcPr>
          <w:p w14:paraId="5556AA60"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62"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4,780</w:t>
            </w:r>
          </w:p>
        </w:tc>
        <w:tc>
          <w:tcPr>
            <w:tcW w:w="0" w:type="auto"/>
            <w:shd w:val="clear" w:color="auto" w:fill="auto"/>
            <w:vAlign w:val="bottom"/>
          </w:tcPr>
          <w:p w14:paraId="5556AA6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6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4,394</w:t>
            </w:r>
          </w:p>
        </w:tc>
        <w:tc>
          <w:tcPr>
            <w:tcW w:w="0" w:type="auto"/>
            <w:shd w:val="clear" w:color="auto" w:fill="auto"/>
            <w:vAlign w:val="bottom"/>
          </w:tcPr>
          <w:p w14:paraId="5556AA66" w14:textId="77777777" w:rsidR="00F925DD" w:rsidRDefault="00F925DD">
            <w:pPr>
              <w:textAlignment w:val="bottom"/>
              <w:rPr>
                <w:rFonts w:ascii="Times New Roman" w:hAnsi="Times New Roman"/>
                <w:sz w:val="20"/>
                <w:szCs w:val="20"/>
              </w:rPr>
            </w:pPr>
          </w:p>
        </w:tc>
      </w:tr>
      <w:tr w:rsidR="00F925DD" w14:paraId="5556AA71" w14:textId="77777777">
        <w:tc>
          <w:tcPr>
            <w:tcW w:w="0" w:type="auto"/>
            <w:shd w:val="clear" w:color="auto" w:fill="CCEEFF"/>
            <w:tcMar>
              <w:top w:w="40" w:type="dxa"/>
              <w:left w:w="40" w:type="dxa"/>
              <w:bottom w:w="40" w:type="dxa"/>
              <w:right w:w="40" w:type="dxa"/>
            </w:tcMar>
            <w:vAlign w:val="bottom"/>
          </w:tcPr>
          <w:p w14:paraId="5556AA68" w14:textId="77777777" w:rsidR="00F925DD" w:rsidRDefault="00E705D7">
            <w:pPr>
              <w:textAlignment w:val="bottom"/>
              <w:rPr>
                <w:rFonts w:ascii="Times New Roman" w:hAnsi="Times New Roman"/>
                <w:sz w:val="18"/>
                <w:szCs w:val="18"/>
              </w:rPr>
            </w:pPr>
            <w:r>
              <w:rPr>
                <w:rFonts w:ascii="Arial" w:eastAsia="宋体" w:hAnsi="Arial" w:cs="Arial"/>
                <w:sz w:val="18"/>
                <w:szCs w:val="18"/>
              </w:rPr>
              <w:t>Information systems and communications</w:t>
            </w:r>
          </w:p>
        </w:tc>
        <w:tc>
          <w:tcPr>
            <w:tcW w:w="0" w:type="auto"/>
            <w:gridSpan w:val="2"/>
            <w:shd w:val="clear" w:color="auto" w:fill="CCEEFF"/>
            <w:tcMar>
              <w:top w:w="40" w:type="dxa"/>
              <w:left w:w="40" w:type="dxa"/>
              <w:bottom w:w="40" w:type="dxa"/>
            </w:tcMar>
            <w:vAlign w:val="bottom"/>
          </w:tcPr>
          <w:p w14:paraId="5556AA69"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1,465</w:t>
            </w:r>
          </w:p>
        </w:tc>
        <w:tc>
          <w:tcPr>
            <w:tcW w:w="0" w:type="auto"/>
            <w:shd w:val="clear" w:color="auto" w:fill="CCEEFF"/>
            <w:vAlign w:val="bottom"/>
          </w:tcPr>
          <w:p w14:paraId="5556AA6A"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A6C"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1,324</w:t>
            </w:r>
          </w:p>
        </w:tc>
        <w:tc>
          <w:tcPr>
            <w:tcW w:w="0" w:type="auto"/>
            <w:shd w:val="clear" w:color="auto" w:fill="CCEEFF"/>
            <w:vAlign w:val="bottom"/>
          </w:tcPr>
          <w:p w14:paraId="5556AA6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A6F"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1,167</w:t>
            </w:r>
          </w:p>
        </w:tc>
        <w:tc>
          <w:tcPr>
            <w:tcW w:w="0" w:type="auto"/>
            <w:shd w:val="clear" w:color="auto" w:fill="CCEEFF"/>
            <w:vAlign w:val="bottom"/>
          </w:tcPr>
          <w:p w14:paraId="5556AA70" w14:textId="77777777" w:rsidR="00F925DD" w:rsidRDefault="00F925DD">
            <w:pPr>
              <w:textAlignment w:val="bottom"/>
              <w:rPr>
                <w:rFonts w:ascii="Times New Roman" w:hAnsi="Times New Roman"/>
                <w:sz w:val="20"/>
                <w:szCs w:val="20"/>
              </w:rPr>
            </w:pPr>
          </w:p>
        </w:tc>
      </w:tr>
      <w:tr w:rsidR="00F925DD" w14:paraId="5556AA7B" w14:textId="77777777">
        <w:tc>
          <w:tcPr>
            <w:tcW w:w="0" w:type="auto"/>
            <w:shd w:val="clear" w:color="auto" w:fill="auto"/>
            <w:tcMar>
              <w:top w:w="40" w:type="dxa"/>
              <w:left w:w="40" w:type="dxa"/>
              <w:bottom w:w="40" w:type="dxa"/>
              <w:right w:w="40" w:type="dxa"/>
            </w:tcMar>
            <w:vAlign w:val="bottom"/>
          </w:tcPr>
          <w:p w14:paraId="5556AA72" w14:textId="77777777" w:rsidR="00F925DD" w:rsidRDefault="00E705D7">
            <w:pPr>
              <w:textAlignment w:val="bottom"/>
              <w:rPr>
                <w:rFonts w:ascii="Times New Roman" w:hAnsi="Times New Roman"/>
                <w:sz w:val="18"/>
                <w:szCs w:val="18"/>
              </w:rPr>
            </w:pPr>
            <w:r>
              <w:rPr>
                <w:rFonts w:ascii="Arial" w:eastAsia="宋体" w:hAnsi="Arial" w:cs="Arial"/>
                <w:sz w:val="18"/>
                <w:szCs w:val="18"/>
              </w:rPr>
              <w:t>Transaction processing services</w:t>
            </w:r>
          </w:p>
        </w:tc>
        <w:tc>
          <w:tcPr>
            <w:tcW w:w="0" w:type="auto"/>
            <w:gridSpan w:val="2"/>
            <w:shd w:val="clear" w:color="auto" w:fill="auto"/>
            <w:tcMar>
              <w:top w:w="40" w:type="dxa"/>
              <w:left w:w="40" w:type="dxa"/>
              <w:bottom w:w="40" w:type="dxa"/>
            </w:tcMar>
            <w:vAlign w:val="bottom"/>
          </w:tcPr>
          <w:p w14:paraId="5556AA73"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983</w:t>
            </w:r>
          </w:p>
        </w:tc>
        <w:tc>
          <w:tcPr>
            <w:tcW w:w="0" w:type="auto"/>
            <w:shd w:val="clear" w:color="auto" w:fill="auto"/>
            <w:vAlign w:val="bottom"/>
          </w:tcPr>
          <w:p w14:paraId="5556AA74"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76"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985</w:t>
            </w:r>
          </w:p>
        </w:tc>
        <w:tc>
          <w:tcPr>
            <w:tcW w:w="0" w:type="auto"/>
            <w:shd w:val="clear" w:color="auto" w:fill="auto"/>
            <w:vAlign w:val="bottom"/>
          </w:tcPr>
          <w:p w14:paraId="5556AA77"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79"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838</w:t>
            </w:r>
          </w:p>
        </w:tc>
        <w:tc>
          <w:tcPr>
            <w:tcW w:w="0" w:type="auto"/>
            <w:shd w:val="clear" w:color="auto" w:fill="auto"/>
            <w:vAlign w:val="bottom"/>
          </w:tcPr>
          <w:p w14:paraId="5556AA7A" w14:textId="77777777" w:rsidR="00F925DD" w:rsidRDefault="00F925DD">
            <w:pPr>
              <w:textAlignment w:val="bottom"/>
              <w:rPr>
                <w:rFonts w:ascii="Times New Roman" w:hAnsi="Times New Roman"/>
                <w:sz w:val="20"/>
                <w:szCs w:val="20"/>
              </w:rPr>
            </w:pPr>
          </w:p>
        </w:tc>
      </w:tr>
      <w:tr w:rsidR="00F925DD" w14:paraId="5556AA85" w14:textId="77777777">
        <w:tc>
          <w:tcPr>
            <w:tcW w:w="0" w:type="auto"/>
            <w:shd w:val="clear" w:color="auto" w:fill="CCEEFF"/>
            <w:tcMar>
              <w:top w:w="40" w:type="dxa"/>
              <w:left w:w="40" w:type="dxa"/>
              <w:bottom w:w="40" w:type="dxa"/>
              <w:right w:w="40" w:type="dxa"/>
            </w:tcMar>
            <w:vAlign w:val="bottom"/>
          </w:tcPr>
          <w:p w14:paraId="5556AA7C" w14:textId="77777777" w:rsidR="00F925DD" w:rsidRDefault="00E705D7">
            <w:pPr>
              <w:textAlignment w:val="bottom"/>
              <w:rPr>
                <w:rFonts w:ascii="Times New Roman" w:hAnsi="Times New Roman"/>
                <w:sz w:val="18"/>
                <w:szCs w:val="18"/>
              </w:rPr>
            </w:pPr>
            <w:r>
              <w:rPr>
                <w:rFonts w:ascii="Arial" w:eastAsia="宋体" w:hAnsi="Arial" w:cs="Arial"/>
                <w:sz w:val="18"/>
                <w:szCs w:val="18"/>
              </w:rPr>
              <w:t>Occupancy</w:t>
            </w:r>
          </w:p>
        </w:tc>
        <w:tc>
          <w:tcPr>
            <w:tcW w:w="0" w:type="auto"/>
            <w:gridSpan w:val="2"/>
            <w:shd w:val="clear" w:color="auto" w:fill="CCEEFF"/>
            <w:tcMar>
              <w:top w:w="40" w:type="dxa"/>
              <w:left w:w="40" w:type="dxa"/>
              <w:bottom w:w="40" w:type="dxa"/>
            </w:tcMar>
            <w:vAlign w:val="bottom"/>
          </w:tcPr>
          <w:p w14:paraId="5556AA7D"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470</w:t>
            </w:r>
          </w:p>
        </w:tc>
        <w:tc>
          <w:tcPr>
            <w:tcW w:w="0" w:type="auto"/>
            <w:shd w:val="clear" w:color="auto" w:fill="CCEEFF"/>
            <w:vAlign w:val="bottom"/>
          </w:tcPr>
          <w:p w14:paraId="5556AA7E"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A80"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500</w:t>
            </w:r>
          </w:p>
        </w:tc>
        <w:tc>
          <w:tcPr>
            <w:tcW w:w="0" w:type="auto"/>
            <w:shd w:val="clear" w:color="auto" w:fill="CCEEFF"/>
            <w:vAlign w:val="bottom"/>
          </w:tcPr>
          <w:p w14:paraId="5556AA81"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A83"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461</w:t>
            </w:r>
          </w:p>
        </w:tc>
        <w:tc>
          <w:tcPr>
            <w:tcW w:w="0" w:type="auto"/>
            <w:shd w:val="clear" w:color="auto" w:fill="CCEEFF"/>
            <w:vAlign w:val="bottom"/>
          </w:tcPr>
          <w:p w14:paraId="5556AA84" w14:textId="77777777" w:rsidR="00F925DD" w:rsidRDefault="00F925DD">
            <w:pPr>
              <w:textAlignment w:val="bottom"/>
              <w:rPr>
                <w:rFonts w:ascii="Times New Roman" w:hAnsi="Times New Roman"/>
                <w:sz w:val="20"/>
                <w:szCs w:val="20"/>
              </w:rPr>
            </w:pPr>
          </w:p>
        </w:tc>
      </w:tr>
      <w:tr w:rsidR="00F925DD" w14:paraId="5556AA8F" w14:textId="77777777">
        <w:tc>
          <w:tcPr>
            <w:tcW w:w="0" w:type="auto"/>
            <w:shd w:val="clear" w:color="auto" w:fill="auto"/>
            <w:tcMar>
              <w:top w:w="40" w:type="dxa"/>
              <w:left w:w="40" w:type="dxa"/>
              <w:bottom w:w="40" w:type="dxa"/>
              <w:right w:w="40" w:type="dxa"/>
            </w:tcMar>
            <w:vAlign w:val="bottom"/>
          </w:tcPr>
          <w:p w14:paraId="5556AA86" w14:textId="77777777" w:rsidR="00F925DD" w:rsidRDefault="00E705D7">
            <w:pPr>
              <w:textAlignment w:val="bottom"/>
              <w:rPr>
                <w:rFonts w:ascii="Times New Roman" w:hAnsi="Times New Roman"/>
                <w:sz w:val="18"/>
                <w:szCs w:val="18"/>
              </w:rPr>
            </w:pPr>
            <w:r>
              <w:rPr>
                <w:rFonts w:ascii="Arial" w:eastAsia="宋体" w:hAnsi="Arial" w:cs="Arial"/>
                <w:sz w:val="18"/>
                <w:szCs w:val="18"/>
              </w:rPr>
              <w:t>Acquisition and restructuring costs</w:t>
            </w:r>
          </w:p>
        </w:tc>
        <w:tc>
          <w:tcPr>
            <w:tcW w:w="0" w:type="auto"/>
            <w:gridSpan w:val="2"/>
            <w:shd w:val="clear" w:color="auto" w:fill="auto"/>
            <w:tcMar>
              <w:top w:w="40" w:type="dxa"/>
              <w:left w:w="40" w:type="dxa"/>
              <w:bottom w:w="40" w:type="dxa"/>
            </w:tcMar>
            <w:vAlign w:val="bottom"/>
          </w:tcPr>
          <w:p w14:paraId="5556AA87"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77</w:t>
            </w:r>
          </w:p>
        </w:tc>
        <w:tc>
          <w:tcPr>
            <w:tcW w:w="0" w:type="auto"/>
            <w:shd w:val="clear" w:color="auto" w:fill="auto"/>
            <w:vAlign w:val="bottom"/>
          </w:tcPr>
          <w:p w14:paraId="5556AA88"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8A"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24</w:t>
            </w:r>
          </w:p>
        </w:tc>
        <w:tc>
          <w:tcPr>
            <w:tcW w:w="0" w:type="auto"/>
            <w:shd w:val="clear" w:color="auto" w:fill="auto"/>
            <w:vAlign w:val="bottom"/>
          </w:tcPr>
          <w:p w14:paraId="5556AA8B"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8D"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266</w:t>
            </w:r>
          </w:p>
        </w:tc>
        <w:tc>
          <w:tcPr>
            <w:tcW w:w="0" w:type="auto"/>
            <w:shd w:val="clear" w:color="auto" w:fill="auto"/>
            <w:vAlign w:val="bottom"/>
          </w:tcPr>
          <w:p w14:paraId="5556AA8E" w14:textId="77777777" w:rsidR="00F925DD" w:rsidRDefault="00F925DD">
            <w:pPr>
              <w:textAlignment w:val="bottom"/>
              <w:rPr>
                <w:rFonts w:ascii="Times New Roman" w:hAnsi="Times New Roman"/>
                <w:sz w:val="20"/>
                <w:szCs w:val="20"/>
              </w:rPr>
            </w:pPr>
          </w:p>
        </w:tc>
      </w:tr>
      <w:tr w:rsidR="00F925DD" w14:paraId="5556AA99" w14:textId="77777777">
        <w:tc>
          <w:tcPr>
            <w:tcW w:w="0" w:type="auto"/>
            <w:shd w:val="clear" w:color="auto" w:fill="CCEEFF"/>
            <w:tcMar>
              <w:top w:w="40" w:type="dxa"/>
              <w:left w:w="40" w:type="dxa"/>
              <w:bottom w:w="40" w:type="dxa"/>
              <w:right w:w="40" w:type="dxa"/>
            </w:tcMar>
            <w:vAlign w:val="bottom"/>
          </w:tcPr>
          <w:p w14:paraId="5556AA90" w14:textId="77777777" w:rsidR="00F925DD" w:rsidRDefault="00E705D7">
            <w:pPr>
              <w:textAlignment w:val="bottom"/>
              <w:rPr>
                <w:rFonts w:ascii="Times New Roman" w:hAnsi="Times New Roman"/>
                <w:sz w:val="18"/>
                <w:szCs w:val="18"/>
              </w:rPr>
            </w:pPr>
            <w:r>
              <w:rPr>
                <w:rFonts w:ascii="Arial" w:eastAsia="宋体" w:hAnsi="Arial" w:cs="Arial"/>
                <w:sz w:val="18"/>
                <w:szCs w:val="18"/>
              </w:rPr>
              <w:t>Amortization of other intangible assets</w:t>
            </w:r>
          </w:p>
        </w:tc>
        <w:tc>
          <w:tcPr>
            <w:tcW w:w="0" w:type="auto"/>
            <w:gridSpan w:val="2"/>
            <w:shd w:val="clear" w:color="auto" w:fill="CCEEFF"/>
            <w:tcMar>
              <w:top w:w="40" w:type="dxa"/>
              <w:left w:w="40" w:type="dxa"/>
              <w:bottom w:w="40" w:type="dxa"/>
            </w:tcMar>
            <w:vAlign w:val="bottom"/>
          </w:tcPr>
          <w:p w14:paraId="5556AA91"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236</w:t>
            </w:r>
          </w:p>
        </w:tc>
        <w:tc>
          <w:tcPr>
            <w:tcW w:w="0" w:type="auto"/>
            <w:shd w:val="clear" w:color="auto" w:fill="CCEEFF"/>
            <w:vAlign w:val="bottom"/>
          </w:tcPr>
          <w:p w14:paraId="5556AA92"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A94"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226</w:t>
            </w:r>
          </w:p>
        </w:tc>
        <w:tc>
          <w:tcPr>
            <w:tcW w:w="0" w:type="auto"/>
            <w:shd w:val="clear" w:color="auto" w:fill="CCEEFF"/>
            <w:vAlign w:val="bottom"/>
          </w:tcPr>
          <w:p w14:paraId="5556AA95"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A97"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214</w:t>
            </w:r>
          </w:p>
        </w:tc>
        <w:tc>
          <w:tcPr>
            <w:tcW w:w="0" w:type="auto"/>
            <w:shd w:val="clear" w:color="auto" w:fill="CCEEFF"/>
            <w:vAlign w:val="bottom"/>
          </w:tcPr>
          <w:p w14:paraId="5556AA98" w14:textId="77777777" w:rsidR="00F925DD" w:rsidRDefault="00F925DD">
            <w:pPr>
              <w:textAlignment w:val="bottom"/>
              <w:rPr>
                <w:rFonts w:ascii="Times New Roman" w:hAnsi="Times New Roman"/>
                <w:sz w:val="20"/>
                <w:szCs w:val="20"/>
              </w:rPr>
            </w:pPr>
          </w:p>
        </w:tc>
      </w:tr>
      <w:tr w:rsidR="00F925DD" w14:paraId="5556AAA3" w14:textId="77777777">
        <w:tc>
          <w:tcPr>
            <w:tcW w:w="0" w:type="auto"/>
            <w:shd w:val="clear" w:color="auto" w:fill="auto"/>
            <w:tcMar>
              <w:top w:w="40" w:type="dxa"/>
              <w:left w:w="40" w:type="dxa"/>
              <w:bottom w:w="40" w:type="dxa"/>
              <w:right w:w="40" w:type="dxa"/>
            </w:tcMar>
            <w:vAlign w:val="bottom"/>
          </w:tcPr>
          <w:p w14:paraId="5556AA9A" w14:textId="77777777" w:rsidR="00F925DD" w:rsidRDefault="00E705D7">
            <w:pPr>
              <w:textAlignment w:val="bottom"/>
              <w:rPr>
                <w:rFonts w:ascii="Times New Roman" w:hAnsi="Times New Roman"/>
                <w:sz w:val="18"/>
                <w:szCs w:val="18"/>
              </w:rPr>
            </w:pPr>
            <w:r>
              <w:rPr>
                <w:rFonts w:ascii="Arial" w:eastAsia="宋体" w:hAnsi="Arial" w:cs="Arial"/>
                <w:sz w:val="18"/>
                <w:szCs w:val="18"/>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5556AA9B"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1,262</w:t>
            </w:r>
          </w:p>
        </w:tc>
        <w:tc>
          <w:tcPr>
            <w:tcW w:w="0" w:type="auto"/>
            <w:tcBorders>
              <w:bottom w:val="single" w:sz="8" w:space="0" w:color="000000"/>
            </w:tcBorders>
            <w:shd w:val="clear" w:color="auto" w:fill="auto"/>
            <w:vAlign w:val="bottom"/>
          </w:tcPr>
          <w:p w14:paraId="5556AA9C"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A9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1,176</w:t>
            </w:r>
          </w:p>
        </w:tc>
        <w:tc>
          <w:tcPr>
            <w:tcW w:w="0" w:type="auto"/>
            <w:tcBorders>
              <w:bottom w:val="single" w:sz="8" w:space="0" w:color="000000"/>
            </w:tcBorders>
            <w:shd w:val="clear" w:color="auto" w:fill="auto"/>
            <w:vAlign w:val="bottom"/>
          </w:tcPr>
          <w:p w14:paraId="5556AA9F"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AA1"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929</w:t>
            </w:r>
          </w:p>
        </w:tc>
        <w:tc>
          <w:tcPr>
            <w:tcW w:w="0" w:type="auto"/>
            <w:tcBorders>
              <w:bottom w:val="single" w:sz="8" w:space="0" w:color="000000"/>
            </w:tcBorders>
            <w:shd w:val="clear" w:color="auto" w:fill="auto"/>
            <w:vAlign w:val="bottom"/>
          </w:tcPr>
          <w:p w14:paraId="5556AAA2" w14:textId="77777777" w:rsidR="00F925DD" w:rsidRDefault="00F925DD">
            <w:pPr>
              <w:textAlignment w:val="bottom"/>
              <w:rPr>
                <w:rFonts w:ascii="Times New Roman" w:hAnsi="Times New Roman"/>
                <w:sz w:val="20"/>
                <w:szCs w:val="20"/>
              </w:rPr>
            </w:pPr>
          </w:p>
        </w:tc>
      </w:tr>
      <w:tr w:rsidR="00F925DD" w14:paraId="5556AAAD" w14:textId="77777777">
        <w:tc>
          <w:tcPr>
            <w:tcW w:w="0" w:type="auto"/>
            <w:shd w:val="clear" w:color="auto" w:fill="CCEEFF"/>
            <w:tcMar>
              <w:top w:w="40" w:type="dxa"/>
              <w:left w:w="40" w:type="dxa"/>
              <w:bottom w:w="40" w:type="dxa"/>
              <w:right w:w="40" w:type="dxa"/>
            </w:tcMar>
            <w:vAlign w:val="bottom"/>
          </w:tcPr>
          <w:p w14:paraId="5556AAA4"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Total expenses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AA5"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9,034</w:t>
            </w:r>
          </w:p>
        </w:tc>
        <w:tc>
          <w:tcPr>
            <w:tcW w:w="0" w:type="auto"/>
            <w:tcBorders>
              <w:top w:val="single" w:sz="8" w:space="0" w:color="000000"/>
              <w:bottom w:val="single" w:sz="8" w:space="0" w:color="000000"/>
            </w:tcBorders>
            <w:shd w:val="clear" w:color="auto" w:fill="CCEEFF"/>
            <w:vAlign w:val="bottom"/>
          </w:tcPr>
          <w:p w14:paraId="5556AAA6"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AA8"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9,015</w:t>
            </w:r>
          </w:p>
        </w:tc>
        <w:tc>
          <w:tcPr>
            <w:tcW w:w="0" w:type="auto"/>
            <w:tcBorders>
              <w:top w:val="single" w:sz="8" w:space="0" w:color="000000"/>
              <w:bottom w:val="single" w:sz="8" w:space="0" w:color="000000"/>
            </w:tcBorders>
            <w:shd w:val="clear" w:color="auto" w:fill="CCEEFF"/>
            <w:vAlign w:val="bottom"/>
          </w:tcPr>
          <w:p w14:paraId="5556AAA9"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AAB"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8,269</w:t>
            </w:r>
          </w:p>
        </w:tc>
        <w:tc>
          <w:tcPr>
            <w:tcW w:w="0" w:type="auto"/>
            <w:tcBorders>
              <w:top w:val="single" w:sz="8" w:space="0" w:color="000000"/>
              <w:bottom w:val="single" w:sz="8" w:space="0" w:color="000000"/>
            </w:tcBorders>
            <w:shd w:val="clear" w:color="auto" w:fill="CCEEFF"/>
            <w:vAlign w:val="bottom"/>
          </w:tcPr>
          <w:p w14:paraId="5556AAAC" w14:textId="77777777" w:rsidR="00F925DD" w:rsidRDefault="00F925DD">
            <w:pPr>
              <w:textAlignment w:val="bottom"/>
              <w:rPr>
                <w:rFonts w:ascii="Times New Roman" w:hAnsi="Times New Roman"/>
                <w:sz w:val="20"/>
                <w:szCs w:val="20"/>
              </w:rPr>
            </w:pPr>
          </w:p>
        </w:tc>
      </w:tr>
      <w:tr w:rsidR="00F925DD" w14:paraId="5556AAB7" w14:textId="77777777">
        <w:tc>
          <w:tcPr>
            <w:tcW w:w="0" w:type="auto"/>
            <w:shd w:val="clear" w:color="auto" w:fill="auto"/>
            <w:tcMar>
              <w:top w:w="40" w:type="dxa"/>
              <w:left w:w="40" w:type="dxa"/>
              <w:bottom w:w="40" w:type="dxa"/>
              <w:right w:w="40" w:type="dxa"/>
            </w:tcMar>
            <w:vAlign w:val="bottom"/>
          </w:tcPr>
          <w:p w14:paraId="5556AAAE"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Income before income tax expense </w:t>
            </w:r>
          </w:p>
        </w:tc>
        <w:tc>
          <w:tcPr>
            <w:tcW w:w="0" w:type="auto"/>
            <w:gridSpan w:val="2"/>
            <w:tcBorders>
              <w:top w:val="single" w:sz="8" w:space="0" w:color="000000"/>
            </w:tcBorders>
            <w:shd w:val="clear" w:color="auto" w:fill="auto"/>
            <w:tcMar>
              <w:top w:w="40" w:type="dxa"/>
              <w:left w:w="40" w:type="dxa"/>
              <w:bottom w:w="40" w:type="dxa"/>
            </w:tcMar>
            <w:vAlign w:val="bottom"/>
          </w:tcPr>
          <w:p w14:paraId="5556AAAF"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2,712</w:t>
            </w:r>
          </w:p>
        </w:tc>
        <w:tc>
          <w:tcPr>
            <w:tcW w:w="0" w:type="auto"/>
            <w:tcBorders>
              <w:top w:val="single" w:sz="8" w:space="0" w:color="000000"/>
            </w:tcBorders>
            <w:shd w:val="clear" w:color="auto" w:fill="auto"/>
            <w:vAlign w:val="bottom"/>
          </w:tcPr>
          <w:p w14:paraId="5556AAB0"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AB2"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3,101</w:t>
            </w:r>
          </w:p>
        </w:tc>
        <w:tc>
          <w:tcPr>
            <w:tcW w:w="0" w:type="auto"/>
            <w:tcBorders>
              <w:top w:val="single" w:sz="8" w:space="0" w:color="000000"/>
            </w:tcBorders>
            <w:shd w:val="clear" w:color="auto" w:fill="auto"/>
            <w:vAlign w:val="bottom"/>
          </w:tcPr>
          <w:p w14:paraId="5556AAB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AB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2,995</w:t>
            </w:r>
          </w:p>
        </w:tc>
        <w:tc>
          <w:tcPr>
            <w:tcW w:w="0" w:type="auto"/>
            <w:tcBorders>
              <w:top w:val="single" w:sz="8" w:space="0" w:color="000000"/>
            </w:tcBorders>
            <w:shd w:val="clear" w:color="auto" w:fill="auto"/>
            <w:vAlign w:val="bottom"/>
          </w:tcPr>
          <w:p w14:paraId="5556AAB6" w14:textId="77777777" w:rsidR="00F925DD" w:rsidRDefault="00F925DD">
            <w:pPr>
              <w:textAlignment w:val="bottom"/>
              <w:rPr>
                <w:rFonts w:ascii="Times New Roman" w:hAnsi="Times New Roman"/>
                <w:sz w:val="20"/>
                <w:szCs w:val="20"/>
              </w:rPr>
            </w:pPr>
          </w:p>
        </w:tc>
      </w:tr>
      <w:tr w:rsidR="00F925DD" w14:paraId="5556AAC1" w14:textId="77777777">
        <w:tc>
          <w:tcPr>
            <w:tcW w:w="0" w:type="auto"/>
            <w:shd w:val="clear" w:color="auto" w:fill="CCEEFF"/>
            <w:tcMar>
              <w:top w:w="40" w:type="dxa"/>
              <w:left w:w="40" w:type="dxa"/>
              <w:bottom w:w="40" w:type="dxa"/>
              <w:right w:w="40" w:type="dxa"/>
            </w:tcMar>
            <w:vAlign w:val="bottom"/>
          </w:tcPr>
          <w:p w14:paraId="5556AAB8"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Income tax expense </w:t>
            </w:r>
          </w:p>
        </w:tc>
        <w:tc>
          <w:tcPr>
            <w:tcW w:w="0" w:type="auto"/>
            <w:gridSpan w:val="2"/>
            <w:shd w:val="clear" w:color="auto" w:fill="CCEEFF"/>
            <w:tcMar>
              <w:top w:w="40" w:type="dxa"/>
              <w:left w:w="40" w:type="dxa"/>
              <w:bottom w:w="40" w:type="dxa"/>
            </w:tcMar>
            <w:vAlign w:val="bottom"/>
          </w:tcPr>
          <w:p w14:paraId="5556AAB9"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470</w:t>
            </w:r>
          </w:p>
        </w:tc>
        <w:tc>
          <w:tcPr>
            <w:tcW w:w="0" w:type="auto"/>
            <w:shd w:val="clear" w:color="auto" w:fill="CCEEFF"/>
            <w:vAlign w:val="bottom"/>
          </w:tcPr>
          <w:p w14:paraId="5556AABA"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ABC"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508</w:t>
            </w:r>
          </w:p>
        </w:tc>
        <w:tc>
          <w:tcPr>
            <w:tcW w:w="0" w:type="auto"/>
            <w:shd w:val="clear" w:color="auto" w:fill="CCEEFF"/>
            <w:vAlign w:val="bottom"/>
          </w:tcPr>
          <w:p w14:paraId="5556AAB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ABF"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839</w:t>
            </w:r>
          </w:p>
        </w:tc>
        <w:tc>
          <w:tcPr>
            <w:tcW w:w="0" w:type="auto"/>
            <w:shd w:val="clear" w:color="auto" w:fill="CCEEFF"/>
            <w:vAlign w:val="bottom"/>
          </w:tcPr>
          <w:p w14:paraId="5556AAC0" w14:textId="77777777" w:rsidR="00F925DD" w:rsidRDefault="00F925DD">
            <w:pPr>
              <w:textAlignment w:val="bottom"/>
              <w:rPr>
                <w:rFonts w:ascii="Times New Roman" w:hAnsi="Times New Roman"/>
                <w:sz w:val="20"/>
                <w:szCs w:val="20"/>
              </w:rPr>
            </w:pPr>
          </w:p>
        </w:tc>
      </w:tr>
      <w:tr w:rsidR="00F925DD" w14:paraId="5556AACE" w14:textId="77777777">
        <w:tc>
          <w:tcPr>
            <w:tcW w:w="0" w:type="auto"/>
            <w:shd w:val="clear" w:color="auto" w:fill="auto"/>
            <w:tcMar>
              <w:top w:w="40" w:type="dxa"/>
              <w:left w:w="40" w:type="dxa"/>
              <w:bottom w:w="40" w:type="dxa"/>
              <w:right w:w="40" w:type="dxa"/>
            </w:tcMar>
            <w:vAlign w:val="bottom"/>
          </w:tcPr>
          <w:p w14:paraId="5556AAC2"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Net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AC3"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AC4"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2,242</w:t>
            </w:r>
          </w:p>
        </w:tc>
        <w:tc>
          <w:tcPr>
            <w:tcW w:w="0" w:type="auto"/>
            <w:tcBorders>
              <w:top w:val="single" w:sz="8" w:space="0" w:color="000000"/>
              <w:bottom w:val="double" w:sz="6" w:space="0" w:color="000000"/>
            </w:tcBorders>
            <w:shd w:val="clear" w:color="auto" w:fill="auto"/>
            <w:vAlign w:val="bottom"/>
          </w:tcPr>
          <w:p w14:paraId="5556AAC5"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AC7"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AC8"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2,593</w:t>
            </w:r>
          </w:p>
        </w:tc>
        <w:tc>
          <w:tcPr>
            <w:tcW w:w="0" w:type="auto"/>
            <w:tcBorders>
              <w:top w:val="single" w:sz="8" w:space="0" w:color="000000"/>
              <w:bottom w:val="double" w:sz="6" w:space="0" w:color="000000"/>
            </w:tcBorders>
            <w:shd w:val="clear" w:color="auto" w:fill="auto"/>
            <w:vAlign w:val="bottom"/>
          </w:tcPr>
          <w:p w14:paraId="5556AAC9"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ACB"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ACC"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2,156</w:t>
            </w:r>
          </w:p>
        </w:tc>
        <w:tc>
          <w:tcPr>
            <w:tcW w:w="0" w:type="auto"/>
            <w:tcBorders>
              <w:top w:val="single" w:sz="8" w:space="0" w:color="000000"/>
              <w:bottom w:val="double" w:sz="6" w:space="0" w:color="000000"/>
            </w:tcBorders>
            <w:shd w:val="clear" w:color="auto" w:fill="auto"/>
            <w:vAlign w:val="bottom"/>
          </w:tcPr>
          <w:p w14:paraId="5556AACD" w14:textId="77777777" w:rsidR="00F925DD" w:rsidRDefault="00F925DD">
            <w:pPr>
              <w:textAlignment w:val="bottom"/>
              <w:rPr>
                <w:rFonts w:ascii="Times New Roman" w:hAnsi="Times New Roman"/>
                <w:sz w:val="20"/>
                <w:szCs w:val="20"/>
              </w:rPr>
            </w:pPr>
          </w:p>
        </w:tc>
      </w:tr>
      <w:tr w:rsidR="00F925DD" w14:paraId="5556AADB" w14:textId="77777777">
        <w:tc>
          <w:tcPr>
            <w:tcW w:w="0" w:type="auto"/>
            <w:shd w:val="clear" w:color="auto" w:fill="CCEEFF"/>
            <w:tcMar>
              <w:top w:w="40" w:type="dxa"/>
              <w:left w:w="40" w:type="dxa"/>
              <w:bottom w:w="40" w:type="dxa"/>
              <w:right w:w="40" w:type="dxa"/>
            </w:tcMar>
            <w:vAlign w:val="bottom"/>
          </w:tcPr>
          <w:p w14:paraId="5556AACF"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Net income available to common shareholders</w:t>
            </w:r>
          </w:p>
        </w:tc>
        <w:tc>
          <w:tcPr>
            <w:tcW w:w="0" w:type="auto"/>
            <w:tcBorders>
              <w:bottom w:val="double" w:sz="6" w:space="0" w:color="000000"/>
            </w:tcBorders>
            <w:shd w:val="clear" w:color="auto" w:fill="CCEEFF"/>
            <w:tcMar>
              <w:top w:w="40" w:type="dxa"/>
              <w:left w:w="40" w:type="dxa"/>
              <w:bottom w:w="40" w:type="dxa"/>
            </w:tcMar>
            <w:vAlign w:val="bottom"/>
          </w:tcPr>
          <w:p w14:paraId="5556AAD0"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bottom w:val="double" w:sz="6" w:space="0" w:color="000000"/>
            </w:tcBorders>
            <w:shd w:val="clear" w:color="auto" w:fill="CCEEFF"/>
            <w:tcMar>
              <w:top w:w="40" w:type="dxa"/>
              <w:bottom w:w="40" w:type="dxa"/>
            </w:tcMar>
            <w:vAlign w:val="bottom"/>
          </w:tcPr>
          <w:p w14:paraId="5556AAD1"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2,009</w:t>
            </w:r>
          </w:p>
        </w:tc>
        <w:tc>
          <w:tcPr>
            <w:tcW w:w="0" w:type="auto"/>
            <w:tcBorders>
              <w:bottom w:val="double" w:sz="6" w:space="0" w:color="000000"/>
            </w:tcBorders>
            <w:shd w:val="clear" w:color="auto" w:fill="CCEEFF"/>
            <w:vAlign w:val="bottom"/>
          </w:tcPr>
          <w:p w14:paraId="5556AAD2"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AAD4"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CCEEFF"/>
            <w:tcMar>
              <w:top w:w="40" w:type="dxa"/>
              <w:bottom w:w="40" w:type="dxa"/>
            </w:tcMar>
            <w:vAlign w:val="bottom"/>
          </w:tcPr>
          <w:p w14:paraId="5556AAD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2,404</w:t>
            </w:r>
          </w:p>
        </w:tc>
        <w:tc>
          <w:tcPr>
            <w:tcW w:w="0" w:type="auto"/>
            <w:tcBorders>
              <w:bottom w:val="double" w:sz="6" w:space="0" w:color="000000"/>
            </w:tcBorders>
            <w:shd w:val="clear" w:color="auto" w:fill="CCEEFF"/>
            <w:vAlign w:val="bottom"/>
          </w:tcPr>
          <w:p w14:paraId="5556AAD6"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AAD8"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tcBorders>
              <w:bottom w:val="double" w:sz="6" w:space="0" w:color="000000"/>
            </w:tcBorders>
            <w:shd w:val="clear" w:color="auto" w:fill="CCEEFF"/>
            <w:tcMar>
              <w:top w:w="40" w:type="dxa"/>
              <w:bottom w:w="40" w:type="dxa"/>
            </w:tcMar>
            <w:vAlign w:val="bottom"/>
          </w:tcPr>
          <w:p w14:paraId="5556AAD9"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1,972</w:t>
            </w:r>
          </w:p>
        </w:tc>
        <w:tc>
          <w:tcPr>
            <w:tcW w:w="0" w:type="auto"/>
            <w:tcBorders>
              <w:bottom w:val="double" w:sz="6" w:space="0" w:color="000000"/>
            </w:tcBorders>
            <w:shd w:val="clear" w:color="auto" w:fill="CCEEFF"/>
            <w:vAlign w:val="bottom"/>
          </w:tcPr>
          <w:p w14:paraId="5556AADA" w14:textId="77777777" w:rsidR="00F925DD" w:rsidRDefault="00F925DD">
            <w:pPr>
              <w:textAlignment w:val="bottom"/>
              <w:rPr>
                <w:rFonts w:ascii="Times New Roman" w:hAnsi="Times New Roman"/>
                <w:sz w:val="20"/>
                <w:szCs w:val="20"/>
              </w:rPr>
            </w:pPr>
          </w:p>
        </w:tc>
      </w:tr>
      <w:tr w:rsidR="00F925DD" w14:paraId="5556AAE2" w14:textId="77777777">
        <w:tc>
          <w:tcPr>
            <w:tcW w:w="0" w:type="auto"/>
            <w:shd w:val="clear" w:color="auto" w:fill="auto"/>
            <w:tcMar>
              <w:top w:w="40" w:type="dxa"/>
              <w:left w:w="40" w:type="dxa"/>
              <w:bottom w:w="40" w:type="dxa"/>
              <w:right w:w="40" w:type="dxa"/>
            </w:tcMar>
            <w:vAlign w:val="bottom"/>
          </w:tcPr>
          <w:p w14:paraId="5556AADC"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 xml:space="preserve">Earnings per common share: </w:t>
            </w:r>
          </w:p>
        </w:tc>
        <w:tc>
          <w:tcPr>
            <w:tcW w:w="0" w:type="auto"/>
            <w:gridSpan w:val="3"/>
            <w:shd w:val="clear" w:color="auto" w:fill="auto"/>
            <w:tcMar>
              <w:top w:w="40" w:type="dxa"/>
              <w:left w:w="40" w:type="dxa"/>
              <w:bottom w:w="40" w:type="dxa"/>
              <w:right w:w="40" w:type="dxa"/>
            </w:tcMar>
            <w:vAlign w:val="bottom"/>
          </w:tcPr>
          <w:p w14:paraId="5556AA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A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A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A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A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AEF" w14:textId="77777777">
        <w:tc>
          <w:tcPr>
            <w:tcW w:w="0" w:type="auto"/>
            <w:shd w:val="clear" w:color="auto" w:fill="CCEEFF"/>
            <w:tcMar>
              <w:top w:w="40" w:type="dxa"/>
              <w:left w:w="40" w:type="dxa"/>
              <w:bottom w:w="40" w:type="dxa"/>
              <w:right w:w="40" w:type="dxa"/>
            </w:tcMar>
            <w:vAlign w:val="bottom"/>
          </w:tcPr>
          <w:p w14:paraId="5556AAE3" w14:textId="77777777" w:rsidR="00F925DD" w:rsidRDefault="00E705D7">
            <w:pPr>
              <w:textAlignment w:val="bottom"/>
              <w:rPr>
                <w:rFonts w:ascii="Times New Roman" w:hAnsi="Times New Roman"/>
                <w:sz w:val="18"/>
                <w:szCs w:val="18"/>
              </w:rPr>
            </w:pPr>
            <w:r>
              <w:rPr>
                <w:rFonts w:ascii="Arial" w:eastAsia="宋体" w:hAnsi="Arial" w:cs="Arial"/>
                <w:sz w:val="18"/>
                <w:szCs w:val="18"/>
              </w:rPr>
              <w:t>Basic</w:t>
            </w:r>
          </w:p>
        </w:tc>
        <w:tc>
          <w:tcPr>
            <w:tcW w:w="0" w:type="auto"/>
            <w:shd w:val="clear" w:color="auto" w:fill="CCEEFF"/>
            <w:tcMar>
              <w:top w:w="40" w:type="dxa"/>
              <w:left w:w="40" w:type="dxa"/>
              <w:bottom w:w="40" w:type="dxa"/>
            </w:tcMar>
            <w:vAlign w:val="bottom"/>
          </w:tcPr>
          <w:p w14:paraId="5556AAE4"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5556AAE5"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5.43</w:t>
            </w:r>
          </w:p>
        </w:tc>
        <w:tc>
          <w:tcPr>
            <w:tcW w:w="0" w:type="auto"/>
            <w:shd w:val="clear" w:color="auto" w:fill="CCEEFF"/>
            <w:vAlign w:val="bottom"/>
          </w:tcPr>
          <w:p w14:paraId="5556AAE6"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AE8"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5556AAE9"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6.46</w:t>
            </w:r>
          </w:p>
        </w:tc>
        <w:tc>
          <w:tcPr>
            <w:tcW w:w="0" w:type="auto"/>
            <w:shd w:val="clear" w:color="auto" w:fill="CCEEFF"/>
            <w:vAlign w:val="bottom"/>
          </w:tcPr>
          <w:p w14:paraId="5556AAEA"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A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AEC"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5556AAED"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5.26</w:t>
            </w:r>
          </w:p>
        </w:tc>
        <w:tc>
          <w:tcPr>
            <w:tcW w:w="0" w:type="auto"/>
            <w:shd w:val="clear" w:color="auto" w:fill="CCEEFF"/>
            <w:vAlign w:val="bottom"/>
          </w:tcPr>
          <w:p w14:paraId="5556AAEE" w14:textId="77777777" w:rsidR="00F925DD" w:rsidRDefault="00F925DD">
            <w:pPr>
              <w:textAlignment w:val="bottom"/>
              <w:rPr>
                <w:rFonts w:ascii="Times New Roman" w:hAnsi="Times New Roman"/>
                <w:sz w:val="20"/>
                <w:szCs w:val="20"/>
              </w:rPr>
            </w:pPr>
          </w:p>
        </w:tc>
      </w:tr>
      <w:tr w:rsidR="00F925DD" w14:paraId="5556AAF9" w14:textId="77777777">
        <w:tc>
          <w:tcPr>
            <w:tcW w:w="0" w:type="auto"/>
            <w:shd w:val="clear" w:color="auto" w:fill="auto"/>
            <w:tcMar>
              <w:top w:w="40" w:type="dxa"/>
              <w:left w:w="40" w:type="dxa"/>
              <w:bottom w:w="40" w:type="dxa"/>
              <w:right w:w="40" w:type="dxa"/>
            </w:tcMar>
            <w:vAlign w:val="bottom"/>
          </w:tcPr>
          <w:p w14:paraId="5556AAF0" w14:textId="77777777" w:rsidR="00F925DD" w:rsidRDefault="00E705D7">
            <w:pPr>
              <w:textAlignment w:val="bottom"/>
              <w:rPr>
                <w:rFonts w:ascii="Times New Roman" w:hAnsi="Times New Roman"/>
                <w:sz w:val="18"/>
                <w:szCs w:val="18"/>
              </w:rPr>
            </w:pPr>
            <w:r>
              <w:rPr>
                <w:rFonts w:ascii="Arial" w:eastAsia="宋体" w:hAnsi="Arial" w:cs="Arial"/>
                <w:sz w:val="18"/>
                <w:szCs w:val="18"/>
              </w:rPr>
              <w:t>Diluted</w:t>
            </w:r>
          </w:p>
        </w:tc>
        <w:tc>
          <w:tcPr>
            <w:tcW w:w="0" w:type="auto"/>
            <w:gridSpan w:val="2"/>
            <w:shd w:val="clear" w:color="auto" w:fill="auto"/>
            <w:tcMar>
              <w:top w:w="40" w:type="dxa"/>
              <w:left w:w="40" w:type="dxa"/>
              <w:bottom w:w="40" w:type="dxa"/>
            </w:tcMar>
            <w:vAlign w:val="bottom"/>
          </w:tcPr>
          <w:p w14:paraId="5556AAF1"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5.38</w:t>
            </w:r>
          </w:p>
        </w:tc>
        <w:tc>
          <w:tcPr>
            <w:tcW w:w="0" w:type="auto"/>
            <w:shd w:val="clear" w:color="auto" w:fill="auto"/>
            <w:vAlign w:val="bottom"/>
          </w:tcPr>
          <w:p w14:paraId="5556AAF2"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F4"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6.39</w:t>
            </w:r>
          </w:p>
        </w:tc>
        <w:tc>
          <w:tcPr>
            <w:tcW w:w="0" w:type="auto"/>
            <w:shd w:val="clear" w:color="auto" w:fill="auto"/>
            <w:vAlign w:val="bottom"/>
          </w:tcPr>
          <w:p w14:paraId="5556AAF5"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A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AF7"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5.19</w:t>
            </w:r>
          </w:p>
        </w:tc>
        <w:tc>
          <w:tcPr>
            <w:tcW w:w="0" w:type="auto"/>
            <w:shd w:val="clear" w:color="auto" w:fill="auto"/>
            <w:vAlign w:val="bottom"/>
          </w:tcPr>
          <w:p w14:paraId="5556AAF8" w14:textId="77777777" w:rsidR="00F925DD" w:rsidRDefault="00F925DD">
            <w:pPr>
              <w:textAlignment w:val="bottom"/>
              <w:rPr>
                <w:rFonts w:ascii="Times New Roman" w:hAnsi="Times New Roman"/>
                <w:sz w:val="20"/>
                <w:szCs w:val="20"/>
              </w:rPr>
            </w:pPr>
          </w:p>
        </w:tc>
      </w:tr>
      <w:tr w:rsidR="00F925DD" w14:paraId="5556AB00" w14:textId="77777777">
        <w:tc>
          <w:tcPr>
            <w:tcW w:w="0" w:type="auto"/>
            <w:shd w:val="clear" w:color="auto" w:fill="CCEEFF"/>
            <w:tcMar>
              <w:top w:w="40" w:type="dxa"/>
              <w:left w:w="40" w:type="dxa"/>
              <w:bottom w:w="40" w:type="dxa"/>
              <w:right w:w="40" w:type="dxa"/>
            </w:tcMar>
            <w:vAlign w:val="bottom"/>
          </w:tcPr>
          <w:p w14:paraId="5556AAFA"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 xml:space="preserve">Average common shares outstanding (in </w:t>
            </w:r>
            <w:r>
              <w:rPr>
                <w:rFonts w:ascii="Arial" w:eastAsia="宋体" w:hAnsi="Arial" w:cs="Arial"/>
                <w:b/>
                <w:bCs/>
                <w:sz w:val="18"/>
                <w:szCs w:val="18"/>
              </w:rPr>
              <w:t>thousands):</w:t>
            </w:r>
          </w:p>
        </w:tc>
        <w:tc>
          <w:tcPr>
            <w:tcW w:w="0" w:type="auto"/>
            <w:gridSpan w:val="3"/>
            <w:shd w:val="clear" w:color="auto" w:fill="CCEEFF"/>
            <w:tcMar>
              <w:top w:w="40" w:type="dxa"/>
              <w:left w:w="40" w:type="dxa"/>
              <w:bottom w:w="40" w:type="dxa"/>
              <w:right w:w="40" w:type="dxa"/>
            </w:tcMar>
            <w:vAlign w:val="bottom"/>
          </w:tcPr>
          <w:p w14:paraId="5556AA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A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A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A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A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B0A" w14:textId="77777777">
        <w:tc>
          <w:tcPr>
            <w:tcW w:w="0" w:type="auto"/>
            <w:shd w:val="clear" w:color="auto" w:fill="auto"/>
            <w:tcMar>
              <w:top w:w="40" w:type="dxa"/>
              <w:left w:w="40" w:type="dxa"/>
              <w:bottom w:w="40" w:type="dxa"/>
              <w:right w:w="40" w:type="dxa"/>
            </w:tcMar>
            <w:vAlign w:val="bottom"/>
          </w:tcPr>
          <w:p w14:paraId="5556AB01" w14:textId="77777777" w:rsidR="00F925DD" w:rsidRDefault="00E705D7">
            <w:pPr>
              <w:textAlignment w:val="bottom"/>
              <w:rPr>
                <w:rFonts w:ascii="Times New Roman" w:hAnsi="Times New Roman"/>
                <w:sz w:val="18"/>
                <w:szCs w:val="18"/>
              </w:rPr>
            </w:pPr>
            <w:r>
              <w:rPr>
                <w:rFonts w:ascii="Arial" w:eastAsia="宋体" w:hAnsi="Arial" w:cs="Arial"/>
                <w:sz w:val="18"/>
                <w:szCs w:val="18"/>
              </w:rPr>
              <w:t>Basic</w:t>
            </w:r>
          </w:p>
        </w:tc>
        <w:tc>
          <w:tcPr>
            <w:tcW w:w="0" w:type="auto"/>
            <w:gridSpan w:val="2"/>
            <w:shd w:val="clear" w:color="auto" w:fill="auto"/>
            <w:tcMar>
              <w:top w:w="40" w:type="dxa"/>
              <w:left w:w="40" w:type="dxa"/>
              <w:bottom w:w="40" w:type="dxa"/>
            </w:tcMar>
            <w:vAlign w:val="bottom"/>
          </w:tcPr>
          <w:p w14:paraId="5556AB02"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369,911</w:t>
            </w:r>
          </w:p>
        </w:tc>
        <w:tc>
          <w:tcPr>
            <w:tcW w:w="0" w:type="auto"/>
            <w:shd w:val="clear" w:color="auto" w:fill="auto"/>
            <w:vAlign w:val="bottom"/>
          </w:tcPr>
          <w:p w14:paraId="5556AB0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B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B0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371,983</w:t>
            </w:r>
          </w:p>
        </w:tc>
        <w:tc>
          <w:tcPr>
            <w:tcW w:w="0" w:type="auto"/>
            <w:shd w:val="clear" w:color="auto" w:fill="auto"/>
            <w:vAlign w:val="bottom"/>
          </w:tcPr>
          <w:p w14:paraId="5556AB06"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B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B08"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374,793</w:t>
            </w:r>
          </w:p>
        </w:tc>
        <w:tc>
          <w:tcPr>
            <w:tcW w:w="0" w:type="auto"/>
            <w:shd w:val="clear" w:color="auto" w:fill="auto"/>
            <w:vAlign w:val="bottom"/>
          </w:tcPr>
          <w:p w14:paraId="5556AB09" w14:textId="77777777" w:rsidR="00F925DD" w:rsidRDefault="00F925DD">
            <w:pPr>
              <w:textAlignment w:val="bottom"/>
              <w:rPr>
                <w:rFonts w:ascii="Times New Roman" w:hAnsi="Times New Roman"/>
                <w:sz w:val="20"/>
                <w:szCs w:val="20"/>
              </w:rPr>
            </w:pPr>
          </w:p>
        </w:tc>
      </w:tr>
      <w:tr w:rsidR="00F925DD" w14:paraId="5556AB14" w14:textId="77777777">
        <w:tc>
          <w:tcPr>
            <w:tcW w:w="0" w:type="auto"/>
            <w:shd w:val="clear" w:color="auto" w:fill="CCEEFF"/>
            <w:tcMar>
              <w:top w:w="40" w:type="dxa"/>
              <w:left w:w="40" w:type="dxa"/>
              <w:bottom w:w="40" w:type="dxa"/>
              <w:right w:w="40" w:type="dxa"/>
            </w:tcMar>
            <w:vAlign w:val="bottom"/>
          </w:tcPr>
          <w:p w14:paraId="5556AB0B" w14:textId="77777777" w:rsidR="00F925DD" w:rsidRDefault="00E705D7">
            <w:pPr>
              <w:textAlignment w:val="bottom"/>
              <w:rPr>
                <w:rFonts w:ascii="Times New Roman" w:hAnsi="Times New Roman"/>
                <w:sz w:val="18"/>
                <w:szCs w:val="18"/>
              </w:rPr>
            </w:pPr>
            <w:r>
              <w:rPr>
                <w:rFonts w:ascii="Arial" w:eastAsia="宋体" w:hAnsi="Arial" w:cs="Arial"/>
                <w:sz w:val="18"/>
                <w:szCs w:val="18"/>
              </w:rPr>
              <w:t>Diluted</w:t>
            </w:r>
          </w:p>
        </w:tc>
        <w:tc>
          <w:tcPr>
            <w:tcW w:w="0" w:type="auto"/>
            <w:gridSpan w:val="2"/>
            <w:shd w:val="clear" w:color="auto" w:fill="CCEEFF"/>
            <w:tcMar>
              <w:top w:w="40" w:type="dxa"/>
              <w:left w:w="40" w:type="dxa"/>
              <w:bottom w:w="40" w:type="dxa"/>
            </w:tcMar>
            <w:vAlign w:val="bottom"/>
          </w:tcPr>
          <w:p w14:paraId="5556AB0C"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373,666</w:t>
            </w:r>
          </w:p>
        </w:tc>
        <w:tc>
          <w:tcPr>
            <w:tcW w:w="0" w:type="auto"/>
            <w:shd w:val="clear" w:color="auto" w:fill="CCEEFF"/>
            <w:vAlign w:val="bottom"/>
          </w:tcPr>
          <w:p w14:paraId="5556AB0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B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B0F"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376,476</w:t>
            </w:r>
          </w:p>
        </w:tc>
        <w:tc>
          <w:tcPr>
            <w:tcW w:w="0" w:type="auto"/>
            <w:shd w:val="clear" w:color="auto" w:fill="CCEEFF"/>
            <w:vAlign w:val="bottom"/>
          </w:tcPr>
          <w:p w14:paraId="5556AB10"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AB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B12"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380,213</w:t>
            </w:r>
          </w:p>
        </w:tc>
        <w:tc>
          <w:tcPr>
            <w:tcW w:w="0" w:type="auto"/>
            <w:shd w:val="clear" w:color="auto" w:fill="CCEEFF"/>
            <w:vAlign w:val="bottom"/>
          </w:tcPr>
          <w:p w14:paraId="5556AB13" w14:textId="77777777" w:rsidR="00F925DD" w:rsidRDefault="00F925DD">
            <w:pPr>
              <w:textAlignment w:val="bottom"/>
              <w:rPr>
                <w:rFonts w:ascii="Times New Roman" w:hAnsi="Times New Roman"/>
                <w:sz w:val="20"/>
                <w:szCs w:val="20"/>
              </w:rPr>
            </w:pPr>
          </w:p>
        </w:tc>
      </w:tr>
      <w:tr w:rsidR="00F925DD" w14:paraId="5556AB21" w14:textId="77777777">
        <w:tc>
          <w:tcPr>
            <w:tcW w:w="0" w:type="auto"/>
            <w:shd w:val="clear" w:color="auto" w:fill="auto"/>
            <w:tcMar>
              <w:top w:w="40" w:type="dxa"/>
              <w:left w:w="40" w:type="dxa"/>
              <w:bottom w:w="40" w:type="dxa"/>
              <w:right w:w="40" w:type="dxa"/>
            </w:tcMar>
            <w:vAlign w:val="bottom"/>
          </w:tcPr>
          <w:p w14:paraId="5556AB15"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Cash dividends declared per common share</w:t>
            </w:r>
          </w:p>
        </w:tc>
        <w:tc>
          <w:tcPr>
            <w:tcW w:w="0" w:type="auto"/>
            <w:shd w:val="clear" w:color="auto" w:fill="auto"/>
            <w:tcMar>
              <w:top w:w="40" w:type="dxa"/>
              <w:left w:w="40" w:type="dxa"/>
              <w:bottom w:w="40" w:type="dxa"/>
            </w:tcMar>
            <w:vAlign w:val="bottom"/>
          </w:tcPr>
          <w:p w14:paraId="5556AB16"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bottom w:w="40" w:type="dxa"/>
            </w:tcMar>
            <w:vAlign w:val="bottom"/>
          </w:tcPr>
          <w:p w14:paraId="5556AB17"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1.98</w:t>
            </w:r>
          </w:p>
        </w:tc>
        <w:tc>
          <w:tcPr>
            <w:tcW w:w="0" w:type="auto"/>
            <w:shd w:val="clear" w:color="auto" w:fill="auto"/>
            <w:vAlign w:val="bottom"/>
          </w:tcPr>
          <w:p w14:paraId="5556AB18"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B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B1A"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5556AB1B"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1.78</w:t>
            </w:r>
          </w:p>
        </w:tc>
        <w:tc>
          <w:tcPr>
            <w:tcW w:w="0" w:type="auto"/>
            <w:shd w:val="clear" w:color="auto" w:fill="auto"/>
            <w:vAlign w:val="bottom"/>
          </w:tcPr>
          <w:p w14:paraId="5556AB1C"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AB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B1E"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5556AB1F"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1.60</w:t>
            </w:r>
          </w:p>
        </w:tc>
        <w:tc>
          <w:tcPr>
            <w:tcW w:w="0" w:type="auto"/>
            <w:shd w:val="clear" w:color="auto" w:fill="auto"/>
            <w:vAlign w:val="bottom"/>
          </w:tcPr>
          <w:p w14:paraId="5556AB20" w14:textId="77777777" w:rsidR="00F925DD" w:rsidRDefault="00F925DD">
            <w:pPr>
              <w:textAlignment w:val="bottom"/>
              <w:rPr>
                <w:rFonts w:ascii="Times New Roman" w:hAnsi="Times New Roman"/>
                <w:sz w:val="20"/>
                <w:szCs w:val="20"/>
              </w:rPr>
            </w:pPr>
          </w:p>
        </w:tc>
      </w:tr>
    </w:tbl>
    <w:p w14:paraId="5556AB22" w14:textId="77777777" w:rsidR="00F925DD" w:rsidRDefault="00F925DD">
      <w:pPr>
        <w:spacing w:line="288" w:lineRule="auto"/>
        <w:rPr>
          <w:rFonts w:ascii="Times New Roman" w:hAnsi="Times New Roman"/>
          <w:sz w:val="14"/>
          <w:szCs w:val="14"/>
        </w:rPr>
      </w:pPr>
    </w:p>
    <w:p w14:paraId="5556AB23" w14:textId="77777777" w:rsidR="00F925DD" w:rsidRDefault="00F925DD">
      <w:pPr>
        <w:spacing w:line="288" w:lineRule="auto"/>
        <w:rPr>
          <w:rFonts w:ascii="Times New Roman" w:hAnsi="Times New Roman"/>
          <w:sz w:val="14"/>
          <w:szCs w:val="14"/>
        </w:rPr>
      </w:pPr>
    </w:p>
    <w:p w14:paraId="5556AB24" w14:textId="77777777" w:rsidR="00F925DD" w:rsidRDefault="00F925DD">
      <w:pPr>
        <w:spacing w:line="288" w:lineRule="auto"/>
        <w:rPr>
          <w:rFonts w:ascii="Times New Roman" w:hAnsi="Times New Roman"/>
          <w:sz w:val="14"/>
          <w:szCs w:val="14"/>
        </w:rPr>
      </w:pPr>
    </w:p>
    <w:p w14:paraId="5556AB25" w14:textId="77777777" w:rsidR="00F925DD" w:rsidRDefault="00F925DD">
      <w:pPr>
        <w:spacing w:line="288" w:lineRule="auto"/>
        <w:rPr>
          <w:rFonts w:ascii="Times New Roman" w:hAnsi="Times New Roman"/>
          <w:sz w:val="14"/>
          <w:szCs w:val="14"/>
        </w:rPr>
      </w:pPr>
    </w:p>
    <w:p w14:paraId="5556AB26" w14:textId="77777777" w:rsidR="00F925DD" w:rsidRDefault="00F925DD">
      <w:pPr>
        <w:spacing w:line="288" w:lineRule="auto"/>
        <w:rPr>
          <w:rFonts w:ascii="Times New Roman" w:hAnsi="Times New Roman"/>
          <w:sz w:val="14"/>
          <w:szCs w:val="14"/>
        </w:rPr>
      </w:pPr>
    </w:p>
    <w:p w14:paraId="5556AB27" w14:textId="77777777" w:rsidR="00F925DD" w:rsidRDefault="00F925DD">
      <w:pPr>
        <w:spacing w:line="288" w:lineRule="auto"/>
        <w:rPr>
          <w:rFonts w:ascii="Times New Roman" w:hAnsi="Times New Roman"/>
          <w:sz w:val="14"/>
          <w:szCs w:val="14"/>
        </w:rPr>
      </w:pPr>
    </w:p>
    <w:p w14:paraId="5556AB28" w14:textId="77777777" w:rsidR="00F925DD" w:rsidRDefault="00F925DD">
      <w:pPr>
        <w:spacing w:line="288" w:lineRule="auto"/>
        <w:rPr>
          <w:rFonts w:ascii="Times New Roman" w:hAnsi="Times New Roman"/>
          <w:sz w:val="14"/>
          <w:szCs w:val="14"/>
        </w:rPr>
      </w:pPr>
    </w:p>
    <w:p w14:paraId="5556AB29" w14:textId="77777777" w:rsidR="00F925DD" w:rsidRDefault="00F925DD">
      <w:pPr>
        <w:spacing w:line="288" w:lineRule="auto"/>
        <w:rPr>
          <w:rFonts w:ascii="Times New Roman" w:hAnsi="Times New Roman"/>
          <w:sz w:val="14"/>
          <w:szCs w:val="14"/>
        </w:rPr>
      </w:pPr>
    </w:p>
    <w:p w14:paraId="5556AB2A" w14:textId="77777777" w:rsidR="00F925DD" w:rsidRDefault="00F925DD">
      <w:pPr>
        <w:spacing w:line="288" w:lineRule="auto"/>
        <w:rPr>
          <w:rFonts w:ascii="Times New Roman" w:hAnsi="Times New Roman"/>
          <w:sz w:val="14"/>
          <w:szCs w:val="14"/>
        </w:rPr>
      </w:pPr>
    </w:p>
    <w:p w14:paraId="5556AB2B" w14:textId="77777777" w:rsidR="00F925DD" w:rsidRDefault="00E705D7">
      <w:pPr>
        <w:spacing w:line="288" w:lineRule="auto"/>
        <w:ind w:firstLine="600"/>
        <w:jc w:val="center"/>
        <w:rPr>
          <w:rFonts w:ascii="Times New Roman" w:hAnsi="Times New Roman"/>
          <w:sz w:val="18"/>
          <w:szCs w:val="18"/>
        </w:rPr>
      </w:pPr>
      <w:r>
        <w:rPr>
          <w:rFonts w:ascii="Arial" w:eastAsia="宋体" w:hAnsi="Arial" w:cs="Arial"/>
          <w:sz w:val="18"/>
          <w:szCs w:val="18"/>
        </w:rPr>
        <w:t xml:space="preserve">The accompanying notes are an integral part of these consolidated financial statements. </w:t>
      </w:r>
    </w:p>
    <w:p w14:paraId="5556AB2C" w14:textId="77777777" w:rsidR="00F925DD" w:rsidRDefault="00F925DD">
      <w:pPr>
        <w:rPr>
          <w:rFonts w:ascii="Times New Roman" w:hAnsi="Times New Roman"/>
          <w:sz w:val="20"/>
          <w:szCs w:val="20"/>
        </w:rPr>
      </w:pPr>
    </w:p>
    <w:p w14:paraId="5556AB2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120</w:t>
      </w:r>
    </w:p>
    <w:p w14:paraId="5556AB2E" w14:textId="77777777" w:rsidR="00F925DD" w:rsidRDefault="00F925DD">
      <w:pPr>
        <w:spacing w:line="288" w:lineRule="auto"/>
        <w:ind w:firstLine="600"/>
        <w:jc w:val="center"/>
        <w:rPr>
          <w:rFonts w:ascii="Times New Roman" w:hAnsi="Times New Roman"/>
          <w:sz w:val="18"/>
          <w:szCs w:val="18"/>
        </w:rPr>
      </w:pPr>
    </w:p>
    <w:p w14:paraId="5556AB2F" w14:textId="77777777" w:rsidR="00F925DD" w:rsidRDefault="00E705D7">
      <w:r>
        <w:rPr>
          <w:rFonts w:ascii="Times New Roman" w:hAnsi="Times New Roman"/>
          <w:sz w:val="18"/>
          <w:szCs w:val="18"/>
        </w:rPr>
        <w:pict w14:anchorId="555706B2">
          <v:rect id="_x0000_i1144" style="width:415.3pt;height:1.5pt" o:hralign="center" o:hrstd="t" o:hr="t" fillcolor="#a0a0a0" stroked="f"/>
        </w:pict>
      </w:r>
    </w:p>
    <w:p w14:paraId="5556AB30" w14:textId="77777777" w:rsidR="00F925DD" w:rsidRDefault="00F925DD">
      <w:pPr>
        <w:rPr>
          <w:rFonts w:ascii="Times New Roman" w:hAnsi="Times New Roman"/>
          <w:sz w:val="20"/>
          <w:szCs w:val="20"/>
        </w:rPr>
      </w:pPr>
    </w:p>
    <w:p w14:paraId="5556AB31" w14:textId="77777777" w:rsidR="00F925DD" w:rsidRDefault="00F925DD">
      <w:pPr>
        <w:spacing w:line="288" w:lineRule="auto"/>
        <w:ind w:firstLine="600"/>
        <w:jc w:val="center"/>
        <w:rPr>
          <w:rFonts w:ascii="Times New Roman" w:hAnsi="Times New Roman"/>
          <w:sz w:val="20"/>
          <w:szCs w:val="20"/>
        </w:rPr>
      </w:pPr>
    </w:p>
    <w:p w14:paraId="5556AB32"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AB3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CONSOLIDATED STATEMENT OF COMPREHENSIVE INCOME</w:t>
      </w:r>
    </w:p>
    <w:p w14:paraId="5556AB34" w14:textId="77777777" w:rsidR="00F925DD" w:rsidRDefault="00F925DD">
      <w:pPr>
        <w:spacing w:line="288" w:lineRule="auto"/>
        <w:ind w:firstLine="600"/>
        <w:jc w:val="center"/>
        <w:rPr>
          <w:rFonts w:ascii="Times New Roman" w:hAnsi="Times New Roman"/>
          <w:sz w:val="14"/>
          <w:szCs w:val="14"/>
        </w:rPr>
      </w:pPr>
    </w:p>
    <w:tbl>
      <w:tblPr>
        <w:tblW w:w="5000" w:type="pct"/>
        <w:tblCellMar>
          <w:left w:w="0" w:type="dxa"/>
          <w:right w:w="0" w:type="dxa"/>
        </w:tblCellMar>
        <w:tblLook w:val="04A0" w:firstRow="1" w:lastRow="0" w:firstColumn="1" w:lastColumn="0" w:noHBand="0" w:noVBand="1"/>
      </w:tblPr>
      <w:tblGrid>
        <w:gridCol w:w="4571"/>
        <w:gridCol w:w="141"/>
        <w:gridCol w:w="917"/>
        <w:gridCol w:w="100"/>
        <w:gridCol w:w="130"/>
        <w:gridCol w:w="141"/>
        <w:gridCol w:w="917"/>
        <w:gridCol w:w="100"/>
        <w:gridCol w:w="130"/>
        <w:gridCol w:w="141"/>
        <w:gridCol w:w="918"/>
        <w:gridCol w:w="100"/>
      </w:tblGrid>
      <w:tr w:rsidR="00F925DD" w14:paraId="5556AB36" w14:textId="77777777">
        <w:tc>
          <w:tcPr>
            <w:tcW w:w="0" w:type="auto"/>
            <w:gridSpan w:val="12"/>
            <w:shd w:val="clear" w:color="auto" w:fill="auto"/>
            <w:vAlign w:val="center"/>
          </w:tcPr>
          <w:p w14:paraId="5556AB35" w14:textId="77777777" w:rsidR="00F925DD" w:rsidRDefault="00F925DD">
            <w:pPr>
              <w:rPr>
                <w:rFonts w:ascii="Times New Roman" w:hAnsi="Times New Roman"/>
                <w:sz w:val="20"/>
                <w:szCs w:val="20"/>
              </w:rPr>
            </w:pPr>
          </w:p>
        </w:tc>
      </w:tr>
      <w:tr w:rsidR="00F925DD" w14:paraId="5556AB43" w14:textId="77777777">
        <w:tc>
          <w:tcPr>
            <w:tcW w:w="2800" w:type="pct"/>
            <w:shd w:val="clear" w:color="auto" w:fill="auto"/>
            <w:vAlign w:val="center"/>
          </w:tcPr>
          <w:p w14:paraId="5556AB37" w14:textId="77777777" w:rsidR="00F925DD" w:rsidRDefault="00F925DD">
            <w:pPr>
              <w:rPr>
                <w:rFonts w:ascii="Times New Roman" w:hAnsi="Times New Roman"/>
                <w:sz w:val="20"/>
                <w:szCs w:val="20"/>
              </w:rPr>
            </w:pPr>
          </w:p>
        </w:tc>
        <w:tc>
          <w:tcPr>
            <w:tcW w:w="50" w:type="pct"/>
            <w:shd w:val="clear" w:color="auto" w:fill="auto"/>
            <w:vAlign w:val="center"/>
          </w:tcPr>
          <w:p w14:paraId="5556AB38" w14:textId="77777777" w:rsidR="00F925DD" w:rsidRDefault="00F925DD">
            <w:pPr>
              <w:rPr>
                <w:rFonts w:ascii="Times New Roman" w:hAnsi="Times New Roman"/>
                <w:sz w:val="20"/>
                <w:szCs w:val="20"/>
              </w:rPr>
            </w:pPr>
          </w:p>
        </w:tc>
        <w:tc>
          <w:tcPr>
            <w:tcW w:w="600" w:type="pct"/>
            <w:shd w:val="clear" w:color="auto" w:fill="auto"/>
            <w:vAlign w:val="center"/>
          </w:tcPr>
          <w:p w14:paraId="5556AB39" w14:textId="77777777" w:rsidR="00F925DD" w:rsidRDefault="00F925DD">
            <w:pPr>
              <w:rPr>
                <w:rFonts w:ascii="Times New Roman" w:hAnsi="Times New Roman"/>
                <w:sz w:val="20"/>
                <w:szCs w:val="20"/>
              </w:rPr>
            </w:pPr>
          </w:p>
        </w:tc>
        <w:tc>
          <w:tcPr>
            <w:tcW w:w="50" w:type="pct"/>
            <w:shd w:val="clear" w:color="auto" w:fill="auto"/>
            <w:vAlign w:val="center"/>
          </w:tcPr>
          <w:p w14:paraId="5556AB3A" w14:textId="77777777" w:rsidR="00F925DD" w:rsidRDefault="00F925DD">
            <w:pPr>
              <w:rPr>
                <w:rFonts w:ascii="Times New Roman" w:hAnsi="Times New Roman"/>
                <w:sz w:val="20"/>
                <w:szCs w:val="20"/>
              </w:rPr>
            </w:pPr>
          </w:p>
        </w:tc>
        <w:tc>
          <w:tcPr>
            <w:tcW w:w="50" w:type="pct"/>
            <w:shd w:val="clear" w:color="auto" w:fill="auto"/>
            <w:vAlign w:val="center"/>
          </w:tcPr>
          <w:p w14:paraId="5556AB3B" w14:textId="77777777" w:rsidR="00F925DD" w:rsidRDefault="00F925DD">
            <w:pPr>
              <w:rPr>
                <w:rFonts w:ascii="Times New Roman" w:hAnsi="Times New Roman"/>
                <w:sz w:val="20"/>
                <w:szCs w:val="20"/>
              </w:rPr>
            </w:pPr>
          </w:p>
        </w:tc>
        <w:tc>
          <w:tcPr>
            <w:tcW w:w="50" w:type="pct"/>
            <w:shd w:val="clear" w:color="auto" w:fill="auto"/>
            <w:vAlign w:val="center"/>
          </w:tcPr>
          <w:p w14:paraId="5556AB3C" w14:textId="77777777" w:rsidR="00F925DD" w:rsidRDefault="00F925DD">
            <w:pPr>
              <w:rPr>
                <w:rFonts w:ascii="Times New Roman" w:hAnsi="Times New Roman"/>
                <w:sz w:val="20"/>
                <w:szCs w:val="20"/>
              </w:rPr>
            </w:pPr>
          </w:p>
        </w:tc>
        <w:tc>
          <w:tcPr>
            <w:tcW w:w="600" w:type="pct"/>
            <w:shd w:val="clear" w:color="auto" w:fill="auto"/>
            <w:vAlign w:val="center"/>
          </w:tcPr>
          <w:p w14:paraId="5556AB3D" w14:textId="77777777" w:rsidR="00F925DD" w:rsidRDefault="00F925DD">
            <w:pPr>
              <w:rPr>
                <w:rFonts w:ascii="Times New Roman" w:hAnsi="Times New Roman"/>
                <w:sz w:val="20"/>
                <w:szCs w:val="20"/>
              </w:rPr>
            </w:pPr>
          </w:p>
        </w:tc>
        <w:tc>
          <w:tcPr>
            <w:tcW w:w="50" w:type="pct"/>
            <w:shd w:val="clear" w:color="auto" w:fill="auto"/>
            <w:vAlign w:val="center"/>
          </w:tcPr>
          <w:p w14:paraId="5556AB3E" w14:textId="77777777" w:rsidR="00F925DD" w:rsidRDefault="00F925DD">
            <w:pPr>
              <w:rPr>
                <w:rFonts w:ascii="Times New Roman" w:hAnsi="Times New Roman"/>
                <w:sz w:val="20"/>
                <w:szCs w:val="20"/>
              </w:rPr>
            </w:pPr>
          </w:p>
        </w:tc>
        <w:tc>
          <w:tcPr>
            <w:tcW w:w="50" w:type="pct"/>
            <w:shd w:val="clear" w:color="auto" w:fill="auto"/>
            <w:vAlign w:val="center"/>
          </w:tcPr>
          <w:p w14:paraId="5556AB3F" w14:textId="77777777" w:rsidR="00F925DD" w:rsidRDefault="00F925DD">
            <w:pPr>
              <w:rPr>
                <w:rFonts w:ascii="Times New Roman" w:hAnsi="Times New Roman"/>
                <w:sz w:val="20"/>
                <w:szCs w:val="20"/>
              </w:rPr>
            </w:pPr>
          </w:p>
        </w:tc>
        <w:tc>
          <w:tcPr>
            <w:tcW w:w="50" w:type="pct"/>
            <w:shd w:val="clear" w:color="auto" w:fill="auto"/>
            <w:vAlign w:val="center"/>
          </w:tcPr>
          <w:p w14:paraId="5556AB40" w14:textId="77777777" w:rsidR="00F925DD" w:rsidRDefault="00F925DD">
            <w:pPr>
              <w:rPr>
                <w:rFonts w:ascii="Times New Roman" w:hAnsi="Times New Roman"/>
                <w:sz w:val="20"/>
                <w:szCs w:val="20"/>
              </w:rPr>
            </w:pPr>
          </w:p>
        </w:tc>
        <w:tc>
          <w:tcPr>
            <w:tcW w:w="600" w:type="pct"/>
            <w:shd w:val="clear" w:color="auto" w:fill="auto"/>
            <w:vAlign w:val="center"/>
          </w:tcPr>
          <w:p w14:paraId="5556AB41" w14:textId="77777777" w:rsidR="00F925DD" w:rsidRDefault="00F925DD">
            <w:pPr>
              <w:rPr>
                <w:rFonts w:ascii="Times New Roman" w:hAnsi="Times New Roman"/>
                <w:sz w:val="20"/>
                <w:szCs w:val="20"/>
              </w:rPr>
            </w:pPr>
          </w:p>
        </w:tc>
        <w:tc>
          <w:tcPr>
            <w:tcW w:w="50" w:type="pct"/>
            <w:shd w:val="clear" w:color="auto" w:fill="auto"/>
            <w:vAlign w:val="center"/>
          </w:tcPr>
          <w:p w14:paraId="5556AB42" w14:textId="77777777" w:rsidR="00F925DD" w:rsidRDefault="00F925DD">
            <w:pPr>
              <w:rPr>
                <w:rFonts w:ascii="Times New Roman" w:hAnsi="Times New Roman"/>
                <w:sz w:val="20"/>
                <w:szCs w:val="20"/>
              </w:rPr>
            </w:pPr>
          </w:p>
        </w:tc>
      </w:tr>
      <w:tr w:rsidR="00F925DD" w14:paraId="5556AB46" w14:textId="77777777">
        <w:tc>
          <w:tcPr>
            <w:tcW w:w="0" w:type="auto"/>
            <w:shd w:val="clear" w:color="auto" w:fill="auto"/>
            <w:tcMar>
              <w:top w:w="40" w:type="dxa"/>
              <w:left w:w="40" w:type="dxa"/>
              <w:bottom w:w="40" w:type="dxa"/>
              <w:right w:w="40" w:type="dxa"/>
            </w:tcMar>
            <w:vAlign w:val="bottom"/>
          </w:tcPr>
          <w:p w14:paraId="5556AB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AB45"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Years Ended December 31,</w:t>
            </w:r>
          </w:p>
        </w:tc>
      </w:tr>
      <w:tr w:rsidR="00F925DD" w14:paraId="5556AB4D" w14:textId="77777777">
        <w:tc>
          <w:tcPr>
            <w:tcW w:w="0" w:type="auto"/>
            <w:shd w:val="clear" w:color="auto" w:fill="auto"/>
            <w:tcMar>
              <w:top w:w="40" w:type="dxa"/>
              <w:left w:w="40" w:type="dxa"/>
              <w:bottom w:w="40" w:type="dxa"/>
              <w:right w:w="40" w:type="dxa"/>
            </w:tcMar>
            <w:vAlign w:val="bottom"/>
          </w:tcPr>
          <w:p w14:paraId="5556AB47"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 xml:space="preserve">(In </w:t>
            </w:r>
            <w:r>
              <w:rPr>
                <w:rFonts w:ascii="Arial" w:eastAsia="宋体" w:hAnsi="Arial" w:cs="Arial"/>
                <w:b/>
                <w:bCs/>
                <w:sz w:val="18"/>
                <w:szCs w:val="18"/>
              </w:rPr>
              <w:t>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B48"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B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B4A"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AB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AB4C"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2017</w:t>
            </w:r>
          </w:p>
        </w:tc>
      </w:tr>
      <w:tr w:rsidR="00F925DD" w14:paraId="5556AB5A" w14:textId="77777777">
        <w:tc>
          <w:tcPr>
            <w:tcW w:w="0" w:type="auto"/>
            <w:shd w:val="clear" w:color="auto" w:fill="CCEEFF"/>
            <w:tcMar>
              <w:top w:w="40" w:type="dxa"/>
              <w:left w:w="40" w:type="dxa"/>
              <w:bottom w:w="40" w:type="dxa"/>
              <w:right w:w="40" w:type="dxa"/>
            </w:tcMar>
            <w:vAlign w:val="bottom"/>
          </w:tcPr>
          <w:p w14:paraId="5556AB4E" w14:textId="77777777" w:rsidR="00F925DD" w:rsidRDefault="00E705D7">
            <w:pPr>
              <w:textAlignment w:val="bottom"/>
              <w:rPr>
                <w:rFonts w:ascii="Times New Roman" w:hAnsi="Times New Roman"/>
                <w:sz w:val="18"/>
                <w:szCs w:val="18"/>
              </w:rPr>
            </w:pPr>
            <w:r>
              <w:rPr>
                <w:rFonts w:ascii="Arial" w:eastAsia="宋体" w:hAnsi="Arial" w:cs="Arial"/>
                <w:b/>
                <w:bCs/>
                <w:sz w:val="18"/>
                <w:szCs w:val="18"/>
                <w:shd w:val="clear" w:color="auto" w:fill="CCEEFF"/>
              </w:rPr>
              <w:t>Net income</w:t>
            </w:r>
          </w:p>
        </w:tc>
        <w:tc>
          <w:tcPr>
            <w:tcW w:w="0" w:type="auto"/>
            <w:tcBorders>
              <w:top w:val="single" w:sz="8" w:space="0" w:color="000000"/>
            </w:tcBorders>
            <w:shd w:val="clear" w:color="auto" w:fill="CCEEFF"/>
            <w:tcMar>
              <w:top w:w="40" w:type="dxa"/>
              <w:left w:w="40" w:type="dxa"/>
              <w:bottom w:w="40" w:type="dxa"/>
            </w:tcMar>
            <w:vAlign w:val="bottom"/>
          </w:tcPr>
          <w:p w14:paraId="5556AB4F"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tcBorders>
            <w:shd w:val="clear" w:color="auto" w:fill="CCEEFF"/>
            <w:tcMar>
              <w:top w:w="40" w:type="dxa"/>
              <w:bottom w:w="40" w:type="dxa"/>
            </w:tcMar>
            <w:vAlign w:val="bottom"/>
          </w:tcPr>
          <w:p w14:paraId="5556AB50"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2,242</w:t>
            </w:r>
          </w:p>
        </w:tc>
        <w:tc>
          <w:tcPr>
            <w:tcW w:w="0" w:type="auto"/>
            <w:tcBorders>
              <w:top w:val="single" w:sz="8" w:space="0" w:color="000000"/>
            </w:tcBorders>
            <w:shd w:val="clear" w:color="auto" w:fill="CCEEFF"/>
            <w:vAlign w:val="bottom"/>
          </w:tcPr>
          <w:p w14:paraId="5556AB5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B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B53"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tcBorders>
            <w:shd w:val="clear" w:color="auto" w:fill="CCEEFF"/>
            <w:tcMar>
              <w:top w:w="40" w:type="dxa"/>
              <w:bottom w:w="40" w:type="dxa"/>
            </w:tcMar>
            <w:vAlign w:val="bottom"/>
          </w:tcPr>
          <w:p w14:paraId="5556AB54"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2,593</w:t>
            </w:r>
          </w:p>
        </w:tc>
        <w:tc>
          <w:tcPr>
            <w:tcW w:w="0" w:type="auto"/>
            <w:tcBorders>
              <w:top w:val="single" w:sz="8" w:space="0" w:color="000000"/>
            </w:tcBorders>
            <w:shd w:val="clear" w:color="auto" w:fill="CCEEFF"/>
            <w:vAlign w:val="bottom"/>
          </w:tcPr>
          <w:p w14:paraId="5556AB5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B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B57"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5556AB58"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2,156</w:t>
            </w:r>
          </w:p>
        </w:tc>
        <w:tc>
          <w:tcPr>
            <w:tcW w:w="0" w:type="auto"/>
            <w:shd w:val="clear" w:color="auto" w:fill="CCEEFF"/>
            <w:vAlign w:val="bottom"/>
          </w:tcPr>
          <w:p w14:paraId="5556AB59" w14:textId="77777777" w:rsidR="00F925DD" w:rsidRDefault="00F925DD">
            <w:pPr>
              <w:textAlignment w:val="bottom"/>
              <w:rPr>
                <w:rFonts w:ascii="Times New Roman" w:hAnsi="Times New Roman"/>
                <w:sz w:val="20"/>
                <w:szCs w:val="20"/>
              </w:rPr>
            </w:pPr>
          </w:p>
        </w:tc>
      </w:tr>
      <w:tr w:rsidR="00F925DD" w14:paraId="5556AB61" w14:textId="77777777">
        <w:tc>
          <w:tcPr>
            <w:tcW w:w="0" w:type="auto"/>
            <w:shd w:val="clear" w:color="auto" w:fill="auto"/>
            <w:tcMar>
              <w:top w:w="40" w:type="dxa"/>
              <w:left w:w="40" w:type="dxa"/>
              <w:bottom w:w="40" w:type="dxa"/>
              <w:right w:w="40" w:type="dxa"/>
            </w:tcMar>
            <w:vAlign w:val="bottom"/>
          </w:tcPr>
          <w:p w14:paraId="5556AB5B"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Other comprehensive income (loss), net of related taxes:</w:t>
            </w:r>
          </w:p>
        </w:tc>
        <w:tc>
          <w:tcPr>
            <w:tcW w:w="0" w:type="auto"/>
            <w:gridSpan w:val="3"/>
            <w:shd w:val="clear" w:color="auto" w:fill="auto"/>
            <w:tcMar>
              <w:top w:w="40" w:type="dxa"/>
              <w:left w:w="40" w:type="dxa"/>
              <w:bottom w:w="40" w:type="dxa"/>
              <w:right w:w="40" w:type="dxa"/>
            </w:tcMar>
            <w:vAlign w:val="bottom"/>
          </w:tcPr>
          <w:p w14:paraId="5556AB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B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B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B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B60" w14:textId="77777777" w:rsidR="00F925DD" w:rsidRDefault="00F925DD">
            <w:pPr>
              <w:textAlignment w:val="bottom"/>
              <w:rPr>
                <w:rFonts w:ascii="Times New Roman" w:hAnsi="Times New Roman"/>
                <w:sz w:val="18"/>
                <w:szCs w:val="18"/>
              </w:rPr>
            </w:pPr>
          </w:p>
        </w:tc>
      </w:tr>
      <w:tr w:rsidR="00F925DD" w14:paraId="5556AB6B" w14:textId="77777777">
        <w:tc>
          <w:tcPr>
            <w:tcW w:w="0" w:type="auto"/>
            <w:shd w:val="clear" w:color="auto" w:fill="CCEEFF"/>
            <w:tcMar>
              <w:top w:w="40" w:type="dxa"/>
              <w:left w:w="40" w:type="dxa"/>
              <w:bottom w:w="40" w:type="dxa"/>
              <w:right w:w="40" w:type="dxa"/>
            </w:tcMar>
            <w:vAlign w:val="bottom"/>
          </w:tcPr>
          <w:p w14:paraId="5556AB62" w14:textId="77777777" w:rsidR="00F925DD" w:rsidRDefault="00E705D7">
            <w:pPr>
              <w:textAlignment w:val="bottom"/>
              <w:rPr>
                <w:rFonts w:ascii="Times New Roman" w:hAnsi="Times New Roman"/>
                <w:sz w:val="18"/>
                <w:szCs w:val="18"/>
              </w:rPr>
            </w:pPr>
            <w:r>
              <w:rPr>
                <w:rFonts w:ascii="Arial" w:eastAsia="宋体" w:hAnsi="Arial" w:cs="Arial"/>
                <w:sz w:val="18"/>
                <w:szCs w:val="18"/>
              </w:rPr>
              <w:t>Foreign currency translation, net of related taxes of $2, ($8) and $21, respectively</w:t>
            </w:r>
          </w:p>
        </w:tc>
        <w:tc>
          <w:tcPr>
            <w:tcW w:w="0" w:type="auto"/>
            <w:gridSpan w:val="2"/>
            <w:shd w:val="clear" w:color="auto" w:fill="CCEEFF"/>
            <w:tcMar>
              <w:top w:w="40" w:type="dxa"/>
              <w:left w:w="40" w:type="dxa"/>
              <w:bottom w:w="40" w:type="dxa"/>
            </w:tcMar>
            <w:vAlign w:val="bottom"/>
          </w:tcPr>
          <w:p w14:paraId="5556AB63"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(9</w:t>
            </w:r>
          </w:p>
        </w:tc>
        <w:tc>
          <w:tcPr>
            <w:tcW w:w="0" w:type="auto"/>
            <w:shd w:val="clear" w:color="auto" w:fill="CCEEFF"/>
            <w:tcMar>
              <w:top w:w="40" w:type="dxa"/>
              <w:bottom w:w="40" w:type="dxa"/>
              <w:right w:w="40" w:type="dxa"/>
            </w:tcMar>
            <w:vAlign w:val="bottom"/>
          </w:tcPr>
          <w:p w14:paraId="5556AB64"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5556AB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B66"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(67</w:t>
            </w:r>
          </w:p>
        </w:tc>
        <w:tc>
          <w:tcPr>
            <w:tcW w:w="0" w:type="auto"/>
            <w:shd w:val="clear" w:color="auto" w:fill="CCEEFF"/>
            <w:tcMar>
              <w:top w:w="40" w:type="dxa"/>
              <w:bottom w:w="40" w:type="dxa"/>
              <w:right w:w="40" w:type="dxa"/>
            </w:tcMar>
            <w:vAlign w:val="bottom"/>
          </w:tcPr>
          <w:p w14:paraId="5556AB67"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left w:w="40" w:type="dxa"/>
              <w:bottom w:w="40" w:type="dxa"/>
              <w:right w:w="40" w:type="dxa"/>
            </w:tcMar>
            <w:vAlign w:val="bottom"/>
          </w:tcPr>
          <w:p w14:paraId="5556AB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B69"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900</w:t>
            </w:r>
          </w:p>
        </w:tc>
        <w:tc>
          <w:tcPr>
            <w:tcW w:w="0" w:type="auto"/>
            <w:shd w:val="clear" w:color="auto" w:fill="CCEEFF"/>
            <w:vAlign w:val="bottom"/>
          </w:tcPr>
          <w:p w14:paraId="5556AB6A" w14:textId="77777777" w:rsidR="00F925DD" w:rsidRDefault="00F925DD">
            <w:pPr>
              <w:textAlignment w:val="bottom"/>
              <w:rPr>
                <w:rFonts w:ascii="Times New Roman" w:hAnsi="Times New Roman"/>
                <w:sz w:val="20"/>
                <w:szCs w:val="20"/>
              </w:rPr>
            </w:pPr>
          </w:p>
        </w:tc>
      </w:tr>
      <w:tr w:rsidR="00F925DD" w14:paraId="5556AB75" w14:textId="77777777">
        <w:tc>
          <w:tcPr>
            <w:tcW w:w="0" w:type="auto"/>
            <w:shd w:val="clear" w:color="auto" w:fill="auto"/>
            <w:tcMar>
              <w:top w:w="40" w:type="dxa"/>
              <w:left w:w="40" w:type="dxa"/>
              <w:bottom w:w="40" w:type="dxa"/>
              <w:right w:w="40" w:type="dxa"/>
            </w:tcMar>
            <w:vAlign w:val="bottom"/>
          </w:tcPr>
          <w:p w14:paraId="5556AB6C"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Net </w:t>
            </w:r>
            <w:r>
              <w:rPr>
                <w:rFonts w:ascii="Arial" w:eastAsia="宋体" w:hAnsi="Arial" w:cs="Arial"/>
                <w:sz w:val="18"/>
                <w:szCs w:val="18"/>
              </w:rPr>
              <w:t>unrealized gains (losses) on available-for-sale securities, net of reclassification adjustment and net of related taxes of $212, ($134) and $272, respectively</w:t>
            </w:r>
          </w:p>
        </w:tc>
        <w:tc>
          <w:tcPr>
            <w:tcW w:w="0" w:type="auto"/>
            <w:gridSpan w:val="2"/>
            <w:shd w:val="clear" w:color="auto" w:fill="auto"/>
            <w:tcMar>
              <w:top w:w="40" w:type="dxa"/>
              <w:left w:w="40" w:type="dxa"/>
              <w:bottom w:w="40" w:type="dxa"/>
            </w:tcMar>
            <w:vAlign w:val="bottom"/>
          </w:tcPr>
          <w:p w14:paraId="5556AB6D"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545</w:t>
            </w:r>
          </w:p>
        </w:tc>
        <w:tc>
          <w:tcPr>
            <w:tcW w:w="0" w:type="auto"/>
            <w:shd w:val="clear" w:color="auto" w:fill="auto"/>
            <w:vAlign w:val="bottom"/>
          </w:tcPr>
          <w:p w14:paraId="5556AB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B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B70"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(302</w:t>
            </w:r>
          </w:p>
        </w:tc>
        <w:tc>
          <w:tcPr>
            <w:tcW w:w="0" w:type="auto"/>
            <w:shd w:val="clear" w:color="auto" w:fill="auto"/>
            <w:tcMar>
              <w:top w:w="40" w:type="dxa"/>
              <w:bottom w:w="40" w:type="dxa"/>
              <w:right w:w="40" w:type="dxa"/>
            </w:tcMar>
            <w:vAlign w:val="bottom"/>
          </w:tcPr>
          <w:p w14:paraId="5556AB71"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left w:w="40" w:type="dxa"/>
              <w:bottom w:w="40" w:type="dxa"/>
              <w:right w:w="40" w:type="dxa"/>
            </w:tcMar>
            <w:vAlign w:val="bottom"/>
          </w:tcPr>
          <w:p w14:paraId="5556AB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B73"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367</w:t>
            </w:r>
          </w:p>
        </w:tc>
        <w:tc>
          <w:tcPr>
            <w:tcW w:w="0" w:type="auto"/>
            <w:shd w:val="clear" w:color="auto" w:fill="auto"/>
            <w:vAlign w:val="bottom"/>
          </w:tcPr>
          <w:p w14:paraId="5556AB74" w14:textId="77777777" w:rsidR="00F925DD" w:rsidRDefault="00F925DD">
            <w:pPr>
              <w:textAlignment w:val="bottom"/>
              <w:rPr>
                <w:rFonts w:ascii="Times New Roman" w:hAnsi="Times New Roman"/>
                <w:sz w:val="20"/>
                <w:szCs w:val="20"/>
              </w:rPr>
            </w:pPr>
          </w:p>
        </w:tc>
      </w:tr>
      <w:tr w:rsidR="00F925DD" w14:paraId="5556AB7F" w14:textId="77777777">
        <w:tc>
          <w:tcPr>
            <w:tcW w:w="0" w:type="auto"/>
            <w:shd w:val="clear" w:color="auto" w:fill="CCEEFF"/>
            <w:tcMar>
              <w:top w:w="40" w:type="dxa"/>
              <w:left w:w="40" w:type="dxa"/>
              <w:bottom w:w="40" w:type="dxa"/>
              <w:right w:w="40" w:type="dxa"/>
            </w:tcMar>
            <w:vAlign w:val="bottom"/>
          </w:tcPr>
          <w:p w14:paraId="5556AB76"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Net unrealized gains (losses) on available-for-sale securities </w:t>
            </w:r>
            <w:r>
              <w:rPr>
                <w:rFonts w:ascii="Arial" w:eastAsia="宋体" w:hAnsi="Arial" w:cs="Arial"/>
                <w:sz w:val="18"/>
                <w:szCs w:val="18"/>
              </w:rPr>
              <w:t>designated in fair value hedges, net of related taxes of $6, $9 and $16, respectively</w:t>
            </w:r>
          </w:p>
        </w:tc>
        <w:tc>
          <w:tcPr>
            <w:tcW w:w="0" w:type="auto"/>
            <w:gridSpan w:val="2"/>
            <w:shd w:val="clear" w:color="auto" w:fill="CCEEFF"/>
            <w:tcMar>
              <w:top w:w="40" w:type="dxa"/>
              <w:left w:w="40" w:type="dxa"/>
              <w:bottom w:w="40" w:type="dxa"/>
            </w:tcMar>
            <w:vAlign w:val="bottom"/>
          </w:tcPr>
          <w:p w14:paraId="5556AB77"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18</w:t>
            </w:r>
          </w:p>
        </w:tc>
        <w:tc>
          <w:tcPr>
            <w:tcW w:w="0" w:type="auto"/>
            <w:shd w:val="clear" w:color="auto" w:fill="CCEEFF"/>
            <w:vAlign w:val="bottom"/>
          </w:tcPr>
          <w:p w14:paraId="5556AB7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B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B7A"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24</w:t>
            </w:r>
          </w:p>
        </w:tc>
        <w:tc>
          <w:tcPr>
            <w:tcW w:w="0" w:type="auto"/>
            <w:shd w:val="clear" w:color="auto" w:fill="CCEEFF"/>
            <w:vAlign w:val="bottom"/>
          </w:tcPr>
          <w:p w14:paraId="5556AB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B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B7D"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22</w:t>
            </w:r>
          </w:p>
        </w:tc>
        <w:tc>
          <w:tcPr>
            <w:tcW w:w="0" w:type="auto"/>
            <w:shd w:val="clear" w:color="auto" w:fill="CCEEFF"/>
            <w:vAlign w:val="bottom"/>
          </w:tcPr>
          <w:p w14:paraId="5556AB7E" w14:textId="77777777" w:rsidR="00F925DD" w:rsidRDefault="00F925DD">
            <w:pPr>
              <w:textAlignment w:val="bottom"/>
              <w:rPr>
                <w:rFonts w:ascii="Times New Roman" w:hAnsi="Times New Roman"/>
                <w:sz w:val="20"/>
                <w:szCs w:val="20"/>
              </w:rPr>
            </w:pPr>
          </w:p>
        </w:tc>
      </w:tr>
      <w:tr w:rsidR="00F925DD" w14:paraId="5556AB89" w14:textId="77777777">
        <w:tc>
          <w:tcPr>
            <w:tcW w:w="0" w:type="auto"/>
            <w:shd w:val="clear" w:color="auto" w:fill="auto"/>
            <w:tcMar>
              <w:top w:w="40" w:type="dxa"/>
              <w:left w:w="40" w:type="dxa"/>
              <w:bottom w:w="40" w:type="dxa"/>
              <w:right w:w="40" w:type="dxa"/>
            </w:tcMar>
            <w:vAlign w:val="bottom"/>
          </w:tcPr>
          <w:p w14:paraId="5556AB80"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Other-than-temporary impairment on held-to-maturity securities related to factors other than credit, net of related taxes of $1, $2 and $3, </w:t>
            </w:r>
            <w:r>
              <w:rPr>
                <w:rFonts w:ascii="Arial" w:eastAsia="宋体" w:hAnsi="Arial" w:cs="Arial"/>
                <w:sz w:val="18"/>
                <w:szCs w:val="18"/>
              </w:rPr>
              <w:t>respectively</w:t>
            </w:r>
          </w:p>
        </w:tc>
        <w:tc>
          <w:tcPr>
            <w:tcW w:w="0" w:type="auto"/>
            <w:gridSpan w:val="2"/>
            <w:shd w:val="clear" w:color="auto" w:fill="auto"/>
            <w:tcMar>
              <w:top w:w="40" w:type="dxa"/>
              <w:left w:w="40" w:type="dxa"/>
              <w:bottom w:w="40" w:type="dxa"/>
            </w:tcMar>
            <w:vAlign w:val="bottom"/>
          </w:tcPr>
          <w:p w14:paraId="5556AB81"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w:t>
            </w:r>
          </w:p>
        </w:tc>
        <w:tc>
          <w:tcPr>
            <w:tcW w:w="0" w:type="auto"/>
            <w:shd w:val="clear" w:color="auto" w:fill="auto"/>
            <w:vAlign w:val="bottom"/>
          </w:tcPr>
          <w:p w14:paraId="5556AB8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B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B84"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w:t>
            </w:r>
          </w:p>
        </w:tc>
        <w:tc>
          <w:tcPr>
            <w:tcW w:w="0" w:type="auto"/>
            <w:shd w:val="clear" w:color="auto" w:fill="auto"/>
            <w:vAlign w:val="bottom"/>
          </w:tcPr>
          <w:p w14:paraId="5556AB8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B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B87"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w:t>
            </w:r>
          </w:p>
        </w:tc>
        <w:tc>
          <w:tcPr>
            <w:tcW w:w="0" w:type="auto"/>
            <w:shd w:val="clear" w:color="auto" w:fill="auto"/>
            <w:vAlign w:val="bottom"/>
          </w:tcPr>
          <w:p w14:paraId="5556AB88" w14:textId="77777777" w:rsidR="00F925DD" w:rsidRDefault="00F925DD">
            <w:pPr>
              <w:textAlignment w:val="bottom"/>
              <w:rPr>
                <w:rFonts w:ascii="Times New Roman" w:hAnsi="Times New Roman"/>
                <w:sz w:val="20"/>
                <w:szCs w:val="20"/>
              </w:rPr>
            </w:pPr>
          </w:p>
        </w:tc>
      </w:tr>
      <w:tr w:rsidR="00F925DD" w14:paraId="5556AB93" w14:textId="77777777">
        <w:tc>
          <w:tcPr>
            <w:tcW w:w="0" w:type="auto"/>
            <w:shd w:val="clear" w:color="auto" w:fill="CCEEFF"/>
            <w:tcMar>
              <w:top w:w="40" w:type="dxa"/>
              <w:left w:w="40" w:type="dxa"/>
              <w:bottom w:w="40" w:type="dxa"/>
              <w:right w:w="40" w:type="dxa"/>
            </w:tcMar>
            <w:vAlign w:val="bottom"/>
          </w:tcPr>
          <w:p w14:paraId="5556AB8A" w14:textId="77777777" w:rsidR="00F925DD" w:rsidRDefault="00E705D7">
            <w:pPr>
              <w:textAlignment w:val="bottom"/>
              <w:rPr>
                <w:rFonts w:ascii="Times New Roman" w:hAnsi="Times New Roman"/>
                <w:sz w:val="18"/>
                <w:szCs w:val="18"/>
              </w:rPr>
            </w:pPr>
            <w:r>
              <w:rPr>
                <w:rFonts w:ascii="Arial" w:eastAsia="宋体" w:hAnsi="Arial" w:cs="Arial"/>
                <w:sz w:val="18"/>
                <w:szCs w:val="18"/>
              </w:rPr>
              <w:t>Net unrealized gains (losses) on cash flow hedges, net of related taxes of $9, ($17) and ($181), respectively</w:t>
            </w:r>
          </w:p>
        </w:tc>
        <w:tc>
          <w:tcPr>
            <w:tcW w:w="0" w:type="auto"/>
            <w:gridSpan w:val="2"/>
            <w:shd w:val="clear" w:color="auto" w:fill="CCEEFF"/>
            <w:tcMar>
              <w:top w:w="40" w:type="dxa"/>
              <w:left w:w="40" w:type="dxa"/>
              <w:bottom w:w="40" w:type="dxa"/>
            </w:tcMar>
            <w:vAlign w:val="bottom"/>
          </w:tcPr>
          <w:p w14:paraId="5556AB8B"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25</w:t>
            </w:r>
          </w:p>
        </w:tc>
        <w:tc>
          <w:tcPr>
            <w:tcW w:w="0" w:type="auto"/>
            <w:shd w:val="clear" w:color="auto" w:fill="CCEEFF"/>
            <w:vAlign w:val="bottom"/>
          </w:tcPr>
          <w:p w14:paraId="5556AB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B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B8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(33</w:t>
            </w:r>
          </w:p>
        </w:tc>
        <w:tc>
          <w:tcPr>
            <w:tcW w:w="0" w:type="auto"/>
            <w:shd w:val="clear" w:color="auto" w:fill="CCEEFF"/>
            <w:tcMar>
              <w:top w:w="40" w:type="dxa"/>
              <w:bottom w:w="40" w:type="dxa"/>
              <w:right w:w="40" w:type="dxa"/>
            </w:tcMar>
            <w:vAlign w:val="bottom"/>
          </w:tcPr>
          <w:p w14:paraId="5556AB8F"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left w:w="40" w:type="dxa"/>
              <w:bottom w:w="40" w:type="dxa"/>
              <w:right w:w="40" w:type="dxa"/>
            </w:tcMar>
            <w:vAlign w:val="bottom"/>
          </w:tcPr>
          <w:p w14:paraId="5556AB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B91"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(285</w:t>
            </w:r>
          </w:p>
        </w:tc>
        <w:tc>
          <w:tcPr>
            <w:tcW w:w="0" w:type="auto"/>
            <w:shd w:val="clear" w:color="auto" w:fill="CCEEFF"/>
            <w:tcMar>
              <w:top w:w="40" w:type="dxa"/>
              <w:bottom w:w="40" w:type="dxa"/>
              <w:right w:w="40" w:type="dxa"/>
            </w:tcMar>
            <w:vAlign w:val="bottom"/>
          </w:tcPr>
          <w:p w14:paraId="5556AB92"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r>
      <w:tr w:rsidR="00F925DD" w14:paraId="5556AB9D" w14:textId="77777777">
        <w:tc>
          <w:tcPr>
            <w:tcW w:w="0" w:type="auto"/>
            <w:shd w:val="clear" w:color="auto" w:fill="auto"/>
            <w:tcMar>
              <w:top w:w="40" w:type="dxa"/>
              <w:left w:w="40" w:type="dxa"/>
              <w:bottom w:w="40" w:type="dxa"/>
              <w:right w:w="40" w:type="dxa"/>
            </w:tcMar>
            <w:vAlign w:val="bottom"/>
          </w:tcPr>
          <w:p w14:paraId="5556AB94"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Net unrealized gains (losses) on retirement plans, net of related taxes of ($8), $8 and $8, </w:t>
            </w:r>
            <w:r>
              <w:rPr>
                <w:rFonts w:ascii="Arial" w:eastAsia="宋体" w:hAnsi="Arial" w:cs="Arial"/>
                <w:sz w:val="18"/>
                <w:szCs w:val="18"/>
              </w:rPr>
              <w:t>respectively</w:t>
            </w:r>
          </w:p>
        </w:tc>
        <w:tc>
          <w:tcPr>
            <w:tcW w:w="0" w:type="auto"/>
            <w:gridSpan w:val="2"/>
            <w:tcBorders>
              <w:bottom w:val="single" w:sz="8" w:space="0" w:color="000000"/>
            </w:tcBorders>
            <w:shd w:val="clear" w:color="auto" w:fill="auto"/>
            <w:tcMar>
              <w:top w:w="40" w:type="dxa"/>
              <w:left w:w="40" w:type="dxa"/>
              <w:bottom w:w="40" w:type="dxa"/>
            </w:tcMar>
            <w:vAlign w:val="bottom"/>
          </w:tcPr>
          <w:p w14:paraId="5556AB95"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(16</w:t>
            </w:r>
          </w:p>
        </w:tc>
        <w:tc>
          <w:tcPr>
            <w:tcW w:w="0" w:type="auto"/>
            <w:tcBorders>
              <w:bottom w:val="single" w:sz="8" w:space="0" w:color="000000"/>
            </w:tcBorders>
            <w:shd w:val="clear" w:color="auto" w:fill="auto"/>
            <w:tcMar>
              <w:top w:w="40" w:type="dxa"/>
              <w:bottom w:w="40" w:type="dxa"/>
              <w:right w:w="40" w:type="dxa"/>
            </w:tcMar>
            <w:vAlign w:val="bottom"/>
          </w:tcPr>
          <w:p w14:paraId="5556AB96"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left w:w="40" w:type="dxa"/>
              <w:bottom w:w="40" w:type="dxa"/>
              <w:right w:w="40" w:type="dxa"/>
            </w:tcMar>
            <w:vAlign w:val="bottom"/>
          </w:tcPr>
          <w:p w14:paraId="5556AB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B98"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27</w:t>
            </w:r>
          </w:p>
        </w:tc>
        <w:tc>
          <w:tcPr>
            <w:tcW w:w="0" w:type="auto"/>
            <w:tcBorders>
              <w:bottom w:val="single" w:sz="8" w:space="0" w:color="000000"/>
            </w:tcBorders>
            <w:shd w:val="clear" w:color="auto" w:fill="auto"/>
            <w:vAlign w:val="bottom"/>
          </w:tcPr>
          <w:p w14:paraId="5556AB9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B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B9B"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24</w:t>
            </w:r>
          </w:p>
        </w:tc>
        <w:tc>
          <w:tcPr>
            <w:tcW w:w="0" w:type="auto"/>
            <w:shd w:val="clear" w:color="auto" w:fill="auto"/>
            <w:vAlign w:val="bottom"/>
          </w:tcPr>
          <w:p w14:paraId="5556AB9C" w14:textId="77777777" w:rsidR="00F925DD" w:rsidRDefault="00F925DD">
            <w:pPr>
              <w:textAlignment w:val="bottom"/>
              <w:rPr>
                <w:rFonts w:ascii="Times New Roman" w:hAnsi="Times New Roman"/>
                <w:sz w:val="20"/>
                <w:szCs w:val="20"/>
              </w:rPr>
            </w:pPr>
          </w:p>
        </w:tc>
      </w:tr>
      <w:tr w:rsidR="00F925DD" w14:paraId="5556ABA7" w14:textId="77777777">
        <w:tc>
          <w:tcPr>
            <w:tcW w:w="0" w:type="auto"/>
            <w:shd w:val="clear" w:color="auto" w:fill="CCEEFF"/>
            <w:tcMar>
              <w:top w:w="40" w:type="dxa"/>
              <w:left w:w="40" w:type="dxa"/>
              <w:bottom w:w="40" w:type="dxa"/>
              <w:right w:w="40" w:type="dxa"/>
            </w:tcMar>
            <w:vAlign w:val="bottom"/>
          </w:tcPr>
          <w:p w14:paraId="5556AB9E" w14:textId="77777777" w:rsidR="00F925DD" w:rsidRDefault="00E705D7">
            <w:pPr>
              <w:textAlignment w:val="bottom"/>
              <w:rPr>
                <w:rFonts w:ascii="Times New Roman" w:hAnsi="Times New Roman"/>
                <w:sz w:val="18"/>
                <w:szCs w:val="18"/>
              </w:rPr>
            </w:pPr>
            <w:r>
              <w:rPr>
                <w:rFonts w:ascii="Arial" w:eastAsia="宋体" w:hAnsi="Arial" w:cs="Arial"/>
                <w:b/>
                <w:bCs/>
                <w:sz w:val="18"/>
                <w:szCs w:val="18"/>
                <w:shd w:val="clear" w:color="auto" w:fill="CCEEFF"/>
              </w:rPr>
              <w:t>Other comprehensive income (loss)</w:t>
            </w:r>
          </w:p>
        </w:tc>
        <w:tc>
          <w:tcPr>
            <w:tcW w:w="0" w:type="auto"/>
            <w:gridSpan w:val="2"/>
            <w:tcBorders>
              <w:top w:val="single" w:sz="8" w:space="0" w:color="000000"/>
            </w:tcBorders>
            <w:shd w:val="clear" w:color="auto" w:fill="CCEEFF"/>
            <w:tcMar>
              <w:top w:w="40" w:type="dxa"/>
              <w:left w:w="40" w:type="dxa"/>
              <w:bottom w:w="40" w:type="dxa"/>
            </w:tcMar>
            <w:vAlign w:val="bottom"/>
          </w:tcPr>
          <w:p w14:paraId="5556AB9F"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564</w:t>
            </w:r>
          </w:p>
        </w:tc>
        <w:tc>
          <w:tcPr>
            <w:tcW w:w="0" w:type="auto"/>
            <w:tcBorders>
              <w:top w:val="single" w:sz="8" w:space="0" w:color="000000"/>
            </w:tcBorders>
            <w:shd w:val="clear" w:color="auto" w:fill="CCEEFF"/>
            <w:vAlign w:val="bottom"/>
          </w:tcPr>
          <w:p w14:paraId="5556AB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B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BA2"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(347</w:t>
            </w:r>
          </w:p>
        </w:tc>
        <w:tc>
          <w:tcPr>
            <w:tcW w:w="0" w:type="auto"/>
            <w:tcBorders>
              <w:top w:val="single" w:sz="8" w:space="0" w:color="000000"/>
            </w:tcBorders>
            <w:shd w:val="clear" w:color="auto" w:fill="CCEEFF"/>
            <w:tcMar>
              <w:top w:w="40" w:type="dxa"/>
              <w:bottom w:w="40" w:type="dxa"/>
              <w:right w:w="40" w:type="dxa"/>
            </w:tcMar>
            <w:vAlign w:val="bottom"/>
          </w:tcPr>
          <w:p w14:paraId="5556ABA3"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left w:w="40" w:type="dxa"/>
              <w:bottom w:w="40" w:type="dxa"/>
              <w:right w:w="40" w:type="dxa"/>
            </w:tcMar>
            <w:vAlign w:val="bottom"/>
          </w:tcPr>
          <w:p w14:paraId="5556AB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ABA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1,031</w:t>
            </w:r>
          </w:p>
        </w:tc>
        <w:tc>
          <w:tcPr>
            <w:tcW w:w="0" w:type="auto"/>
            <w:tcBorders>
              <w:top w:val="single" w:sz="8" w:space="0" w:color="000000"/>
              <w:bottom w:val="single" w:sz="8" w:space="0" w:color="000000"/>
            </w:tcBorders>
            <w:shd w:val="clear" w:color="auto" w:fill="CCEEFF"/>
            <w:vAlign w:val="bottom"/>
          </w:tcPr>
          <w:p w14:paraId="5556ABA6" w14:textId="77777777" w:rsidR="00F925DD" w:rsidRDefault="00F925DD">
            <w:pPr>
              <w:textAlignment w:val="bottom"/>
              <w:rPr>
                <w:rFonts w:ascii="Times New Roman" w:hAnsi="Times New Roman"/>
                <w:sz w:val="20"/>
                <w:szCs w:val="20"/>
              </w:rPr>
            </w:pPr>
          </w:p>
        </w:tc>
      </w:tr>
      <w:tr w:rsidR="00F925DD" w14:paraId="5556ABB4" w14:textId="77777777">
        <w:tc>
          <w:tcPr>
            <w:tcW w:w="0" w:type="auto"/>
            <w:shd w:val="clear" w:color="auto" w:fill="auto"/>
            <w:tcMar>
              <w:top w:w="40" w:type="dxa"/>
              <w:left w:w="40" w:type="dxa"/>
              <w:bottom w:w="40" w:type="dxa"/>
              <w:right w:w="40" w:type="dxa"/>
            </w:tcMar>
            <w:vAlign w:val="bottom"/>
          </w:tcPr>
          <w:p w14:paraId="5556ABA8"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Total comprehensive income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BA9"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BAA"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2,806</w:t>
            </w:r>
          </w:p>
        </w:tc>
        <w:tc>
          <w:tcPr>
            <w:tcW w:w="0" w:type="auto"/>
            <w:tcBorders>
              <w:top w:val="single" w:sz="8" w:space="0" w:color="000000"/>
              <w:bottom w:val="double" w:sz="6" w:space="0" w:color="000000"/>
            </w:tcBorders>
            <w:shd w:val="clear" w:color="auto" w:fill="auto"/>
            <w:vAlign w:val="bottom"/>
          </w:tcPr>
          <w:p w14:paraId="5556ABA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B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BAD"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BA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2,246</w:t>
            </w:r>
          </w:p>
        </w:tc>
        <w:tc>
          <w:tcPr>
            <w:tcW w:w="0" w:type="auto"/>
            <w:tcBorders>
              <w:top w:val="single" w:sz="8" w:space="0" w:color="000000"/>
              <w:bottom w:val="double" w:sz="6" w:space="0" w:color="000000"/>
            </w:tcBorders>
            <w:shd w:val="clear" w:color="auto" w:fill="auto"/>
            <w:vAlign w:val="bottom"/>
          </w:tcPr>
          <w:p w14:paraId="5556ABA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B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ABB1"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ABB2"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3,187</w:t>
            </w:r>
          </w:p>
        </w:tc>
        <w:tc>
          <w:tcPr>
            <w:tcW w:w="0" w:type="auto"/>
            <w:tcBorders>
              <w:top w:val="single" w:sz="8" w:space="0" w:color="000000"/>
              <w:bottom w:val="double" w:sz="6" w:space="0" w:color="000000"/>
            </w:tcBorders>
            <w:shd w:val="clear" w:color="auto" w:fill="auto"/>
            <w:vAlign w:val="bottom"/>
          </w:tcPr>
          <w:p w14:paraId="5556ABB3" w14:textId="77777777" w:rsidR="00F925DD" w:rsidRDefault="00F925DD">
            <w:pPr>
              <w:textAlignment w:val="bottom"/>
              <w:rPr>
                <w:rFonts w:ascii="Times New Roman" w:hAnsi="Times New Roman"/>
                <w:sz w:val="20"/>
                <w:szCs w:val="20"/>
              </w:rPr>
            </w:pPr>
          </w:p>
        </w:tc>
      </w:tr>
    </w:tbl>
    <w:p w14:paraId="5556ABB5" w14:textId="77777777" w:rsidR="00F925DD" w:rsidRDefault="00F925DD">
      <w:pPr>
        <w:spacing w:line="288" w:lineRule="auto"/>
        <w:ind w:firstLine="600"/>
        <w:jc w:val="center"/>
        <w:rPr>
          <w:rFonts w:ascii="Times New Roman" w:hAnsi="Times New Roman"/>
          <w:sz w:val="14"/>
          <w:szCs w:val="14"/>
        </w:rPr>
      </w:pPr>
    </w:p>
    <w:p w14:paraId="5556ABB6" w14:textId="77777777" w:rsidR="00F925DD" w:rsidRDefault="00F925DD">
      <w:pPr>
        <w:spacing w:line="288" w:lineRule="auto"/>
        <w:ind w:firstLine="600"/>
        <w:jc w:val="center"/>
        <w:rPr>
          <w:rFonts w:ascii="Times New Roman" w:hAnsi="Times New Roman"/>
          <w:sz w:val="14"/>
          <w:szCs w:val="14"/>
        </w:rPr>
      </w:pPr>
    </w:p>
    <w:p w14:paraId="5556ABB7" w14:textId="77777777" w:rsidR="00F925DD" w:rsidRDefault="00F925DD">
      <w:pPr>
        <w:spacing w:line="288" w:lineRule="auto"/>
        <w:ind w:firstLine="600"/>
        <w:jc w:val="center"/>
        <w:rPr>
          <w:rFonts w:ascii="Times New Roman" w:hAnsi="Times New Roman"/>
          <w:sz w:val="14"/>
          <w:szCs w:val="14"/>
        </w:rPr>
      </w:pPr>
    </w:p>
    <w:p w14:paraId="5556ABB8" w14:textId="77777777" w:rsidR="00F925DD" w:rsidRDefault="00F925DD">
      <w:pPr>
        <w:spacing w:line="288" w:lineRule="auto"/>
        <w:ind w:firstLine="600"/>
        <w:jc w:val="center"/>
        <w:rPr>
          <w:rFonts w:ascii="Times New Roman" w:hAnsi="Times New Roman"/>
          <w:sz w:val="14"/>
          <w:szCs w:val="14"/>
        </w:rPr>
      </w:pPr>
    </w:p>
    <w:p w14:paraId="5556ABB9" w14:textId="77777777" w:rsidR="00F925DD" w:rsidRDefault="00F925DD">
      <w:pPr>
        <w:spacing w:line="288" w:lineRule="auto"/>
        <w:ind w:firstLine="600"/>
        <w:jc w:val="center"/>
        <w:rPr>
          <w:rFonts w:ascii="Times New Roman" w:hAnsi="Times New Roman"/>
          <w:sz w:val="14"/>
          <w:szCs w:val="14"/>
        </w:rPr>
      </w:pPr>
    </w:p>
    <w:p w14:paraId="5556ABBA" w14:textId="77777777" w:rsidR="00F925DD" w:rsidRDefault="00F925DD">
      <w:pPr>
        <w:spacing w:line="288" w:lineRule="auto"/>
        <w:ind w:firstLine="600"/>
        <w:jc w:val="center"/>
        <w:rPr>
          <w:rFonts w:ascii="Times New Roman" w:hAnsi="Times New Roman"/>
          <w:sz w:val="14"/>
          <w:szCs w:val="14"/>
        </w:rPr>
      </w:pPr>
    </w:p>
    <w:p w14:paraId="5556ABBB" w14:textId="77777777" w:rsidR="00F925DD" w:rsidRDefault="00F925DD">
      <w:pPr>
        <w:spacing w:line="288" w:lineRule="auto"/>
        <w:ind w:firstLine="600"/>
        <w:jc w:val="center"/>
        <w:rPr>
          <w:rFonts w:ascii="Times New Roman" w:hAnsi="Times New Roman"/>
          <w:sz w:val="14"/>
          <w:szCs w:val="14"/>
        </w:rPr>
      </w:pPr>
    </w:p>
    <w:p w14:paraId="5556ABBC" w14:textId="77777777" w:rsidR="00F925DD" w:rsidRDefault="00F925DD">
      <w:pPr>
        <w:spacing w:line="288" w:lineRule="auto"/>
        <w:ind w:firstLine="600"/>
        <w:jc w:val="center"/>
        <w:rPr>
          <w:rFonts w:ascii="Times New Roman" w:hAnsi="Times New Roman"/>
          <w:sz w:val="14"/>
          <w:szCs w:val="14"/>
        </w:rPr>
      </w:pPr>
    </w:p>
    <w:p w14:paraId="5556ABBD" w14:textId="77777777" w:rsidR="00F925DD" w:rsidRDefault="00F925DD">
      <w:pPr>
        <w:spacing w:line="288" w:lineRule="auto"/>
        <w:ind w:firstLine="600"/>
        <w:rPr>
          <w:rFonts w:ascii="Times New Roman" w:hAnsi="Times New Roman"/>
          <w:sz w:val="20"/>
          <w:szCs w:val="20"/>
        </w:rPr>
      </w:pPr>
    </w:p>
    <w:p w14:paraId="5556ABBE" w14:textId="77777777" w:rsidR="00F925DD" w:rsidRDefault="00F925DD">
      <w:pPr>
        <w:spacing w:line="288" w:lineRule="auto"/>
        <w:ind w:firstLine="600"/>
        <w:rPr>
          <w:rFonts w:ascii="Times New Roman" w:hAnsi="Times New Roman"/>
          <w:sz w:val="20"/>
          <w:szCs w:val="20"/>
        </w:rPr>
      </w:pPr>
    </w:p>
    <w:p w14:paraId="5556ABBF" w14:textId="77777777" w:rsidR="00F925DD" w:rsidRDefault="00F925DD">
      <w:pPr>
        <w:spacing w:line="288" w:lineRule="auto"/>
        <w:ind w:firstLine="600"/>
        <w:rPr>
          <w:rFonts w:ascii="Times New Roman" w:hAnsi="Times New Roman"/>
          <w:sz w:val="20"/>
          <w:szCs w:val="20"/>
        </w:rPr>
      </w:pPr>
    </w:p>
    <w:p w14:paraId="5556ABC0" w14:textId="77777777" w:rsidR="00F925DD" w:rsidRDefault="00F925DD">
      <w:pPr>
        <w:spacing w:line="288" w:lineRule="auto"/>
        <w:ind w:firstLine="600"/>
        <w:rPr>
          <w:rFonts w:ascii="Times New Roman" w:hAnsi="Times New Roman"/>
          <w:sz w:val="20"/>
          <w:szCs w:val="20"/>
        </w:rPr>
      </w:pPr>
    </w:p>
    <w:p w14:paraId="5556ABC1" w14:textId="77777777" w:rsidR="00F925DD" w:rsidRDefault="00F925DD">
      <w:pPr>
        <w:spacing w:line="288" w:lineRule="auto"/>
        <w:ind w:firstLine="600"/>
        <w:rPr>
          <w:rFonts w:ascii="Times New Roman" w:hAnsi="Times New Roman"/>
          <w:sz w:val="20"/>
          <w:szCs w:val="20"/>
        </w:rPr>
      </w:pPr>
    </w:p>
    <w:p w14:paraId="5556ABC2" w14:textId="77777777" w:rsidR="00F925DD" w:rsidRDefault="00F925DD">
      <w:pPr>
        <w:spacing w:line="288" w:lineRule="auto"/>
        <w:ind w:firstLine="600"/>
        <w:rPr>
          <w:rFonts w:ascii="Times New Roman" w:hAnsi="Times New Roman"/>
          <w:sz w:val="20"/>
          <w:szCs w:val="20"/>
        </w:rPr>
      </w:pPr>
    </w:p>
    <w:p w14:paraId="5556ABC3" w14:textId="77777777" w:rsidR="00F925DD" w:rsidRDefault="00F925DD">
      <w:pPr>
        <w:spacing w:line="288" w:lineRule="auto"/>
        <w:ind w:firstLine="600"/>
        <w:rPr>
          <w:rFonts w:ascii="Times New Roman" w:hAnsi="Times New Roman"/>
          <w:sz w:val="20"/>
          <w:szCs w:val="20"/>
        </w:rPr>
      </w:pPr>
    </w:p>
    <w:p w14:paraId="5556ABC4" w14:textId="77777777" w:rsidR="00F925DD" w:rsidRDefault="00F925DD">
      <w:pPr>
        <w:spacing w:line="288" w:lineRule="auto"/>
        <w:ind w:firstLine="600"/>
        <w:rPr>
          <w:rFonts w:ascii="Times New Roman" w:hAnsi="Times New Roman"/>
          <w:sz w:val="20"/>
          <w:szCs w:val="20"/>
        </w:rPr>
      </w:pPr>
    </w:p>
    <w:p w14:paraId="5556ABC5" w14:textId="77777777" w:rsidR="00F925DD" w:rsidRDefault="00F925DD">
      <w:pPr>
        <w:spacing w:line="288" w:lineRule="auto"/>
        <w:ind w:firstLine="600"/>
        <w:rPr>
          <w:rFonts w:ascii="Times New Roman" w:hAnsi="Times New Roman"/>
          <w:sz w:val="20"/>
          <w:szCs w:val="20"/>
        </w:rPr>
      </w:pPr>
    </w:p>
    <w:p w14:paraId="5556ABC6" w14:textId="77777777" w:rsidR="00F925DD" w:rsidRDefault="00F925DD">
      <w:pPr>
        <w:spacing w:line="288" w:lineRule="auto"/>
        <w:ind w:firstLine="600"/>
        <w:rPr>
          <w:rFonts w:ascii="Times New Roman" w:hAnsi="Times New Roman"/>
          <w:sz w:val="20"/>
          <w:szCs w:val="20"/>
        </w:rPr>
      </w:pPr>
    </w:p>
    <w:p w14:paraId="5556ABC7" w14:textId="77777777" w:rsidR="00F925DD" w:rsidRDefault="00F925DD">
      <w:pPr>
        <w:spacing w:line="288" w:lineRule="auto"/>
        <w:ind w:firstLine="600"/>
        <w:rPr>
          <w:rFonts w:ascii="Times New Roman" w:hAnsi="Times New Roman"/>
          <w:sz w:val="20"/>
          <w:szCs w:val="20"/>
        </w:rPr>
      </w:pPr>
    </w:p>
    <w:p w14:paraId="5556ABC8" w14:textId="77777777" w:rsidR="00F925DD" w:rsidRDefault="00F925DD">
      <w:pPr>
        <w:spacing w:line="288" w:lineRule="auto"/>
        <w:ind w:firstLine="600"/>
        <w:rPr>
          <w:rFonts w:ascii="Times New Roman" w:hAnsi="Times New Roman"/>
          <w:sz w:val="20"/>
          <w:szCs w:val="20"/>
        </w:rPr>
      </w:pPr>
    </w:p>
    <w:p w14:paraId="5556ABC9" w14:textId="77777777" w:rsidR="00F925DD" w:rsidRDefault="00F925DD">
      <w:pPr>
        <w:spacing w:line="288" w:lineRule="auto"/>
        <w:ind w:firstLine="600"/>
        <w:rPr>
          <w:rFonts w:ascii="Times New Roman" w:hAnsi="Times New Roman"/>
          <w:sz w:val="20"/>
          <w:szCs w:val="20"/>
        </w:rPr>
      </w:pPr>
    </w:p>
    <w:p w14:paraId="5556ABCA" w14:textId="77777777" w:rsidR="00F925DD" w:rsidRDefault="00F925DD">
      <w:pPr>
        <w:spacing w:line="288" w:lineRule="auto"/>
        <w:ind w:firstLine="600"/>
        <w:rPr>
          <w:rFonts w:ascii="Times New Roman" w:hAnsi="Times New Roman"/>
          <w:sz w:val="20"/>
          <w:szCs w:val="20"/>
        </w:rPr>
      </w:pPr>
    </w:p>
    <w:p w14:paraId="5556ABCB" w14:textId="77777777" w:rsidR="00F925DD" w:rsidRDefault="00F925DD">
      <w:pPr>
        <w:spacing w:line="288" w:lineRule="auto"/>
        <w:ind w:firstLine="600"/>
        <w:rPr>
          <w:rFonts w:ascii="Times New Roman" w:hAnsi="Times New Roman"/>
          <w:sz w:val="20"/>
          <w:szCs w:val="20"/>
        </w:rPr>
      </w:pPr>
    </w:p>
    <w:p w14:paraId="5556ABCC" w14:textId="77777777" w:rsidR="00F925DD" w:rsidRDefault="00F925DD">
      <w:pPr>
        <w:spacing w:line="288" w:lineRule="auto"/>
        <w:ind w:firstLine="600"/>
        <w:rPr>
          <w:rFonts w:ascii="Times New Roman" w:hAnsi="Times New Roman"/>
          <w:sz w:val="20"/>
          <w:szCs w:val="20"/>
        </w:rPr>
      </w:pPr>
    </w:p>
    <w:p w14:paraId="5556ABCD" w14:textId="77777777" w:rsidR="00F925DD" w:rsidRDefault="00F925DD">
      <w:pPr>
        <w:spacing w:line="288" w:lineRule="auto"/>
        <w:ind w:firstLine="600"/>
        <w:rPr>
          <w:rFonts w:ascii="Times New Roman" w:hAnsi="Times New Roman"/>
          <w:sz w:val="20"/>
          <w:szCs w:val="20"/>
        </w:rPr>
      </w:pPr>
    </w:p>
    <w:p w14:paraId="5556ABCE" w14:textId="77777777" w:rsidR="00F925DD" w:rsidRDefault="00F925DD">
      <w:pPr>
        <w:spacing w:line="288" w:lineRule="auto"/>
        <w:ind w:firstLine="600"/>
        <w:rPr>
          <w:rFonts w:ascii="Times New Roman" w:hAnsi="Times New Roman"/>
          <w:sz w:val="20"/>
          <w:szCs w:val="20"/>
        </w:rPr>
      </w:pPr>
    </w:p>
    <w:p w14:paraId="5556ABCF" w14:textId="77777777" w:rsidR="00F925DD" w:rsidRDefault="00F925DD">
      <w:pPr>
        <w:spacing w:line="288" w:lineRule="auto"/>
        <w:ind w:firstLine="600"/>
        <w:rPr>
          <w:rFonts w:ascii="Times New Roman" w:hAnsi="Times New Roman"/>
          <w:sz w:val="20"/>
          <w:szCs w:val="20"/>
        </w:rPr>
      </w:pPr>
    </w:p>
    <w:p w14:paraId="5556ABD0" w14:textId="77777777" w:rsidR="00F925DD" w:rsidRDefault="00E705D7">
      <w:pPr>
        <w:spacing w:line="288" w:lineRule="auto"/>
        <w:ind w:firstLine="600"/>
        <w:jc w:val="center"/>
        <w:rPr>
          <w:rFonts w:ascii="Times New Roman" w:hAnsi="Times New Roman"/>
          <w:sz w:val="18"/>
          <w:szCs w:val="18"/>
        </w:rPr>
      </w:pPr>
      <w:r>
        <w:rPr>
          <w:rFonts w:ascii="Arial" w:eastAsia="宋体" w:hAnsi="Arial" w:cs="Arial"/>
          <w:sz w:val="18"/>
          <w:szCs w:val="18"/>
        </w:rPr>
        <w:t xml:space="preserve">The accompanying notes are an integral part of these consolidated financial statements. </w:t>
      </w:r>
    </w:p>
    <w:p w14:paraId="5556ABD1" w14:textId="77777777" w:rsidR="00F925DD" w:rsidRDefault="00F925DD">
      <w:pPr>
        <w:rPr>
          <w:rFonts w:ascii="Times New Roman" w:hAnsi="Times New Roman"/>
          <w:sz w:val="20"/>
          <w:szCs w:val="20"/>
        </w:rPr>
      </w:pPr>
    </w:p>
    <w:p w14:paraId="5556ABD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121</w:t>
      </w:r>
    </w:p>
    <w:p w14:paraId="5556ABD3" w14:textId="77777777" w:rsidR="00F925DD" w:rsidRDefault="00F925DD">
      <w:pPr>
        <w:spacing w:line="288" w:lineRule="auto"/>
        <w:ind w:firstLine="600"/>
        <w:jc w:val="center"/>
        <w:rPr>
          <w:rFonts w:ascii="Times New Roman" w:hAnsi="Times New Roman"/>
          <w:sz w:val="18"/>
          <w:szCs w:val="18"/>
        </w:rPr>
      </w:pPr>
    </w:p>
    <w:p w14:paraId="5556ABD4" w14:textId="77777777" w:rsidR="00F925DD" w:rsidRDefault="00E705D7">
      <w:r>
        <w:rPr>
          <w:rFonts w:ascii="Times New Roman" w:hAnsi="Times New Roman"/>
          <w:sz w:val="18"/>
          <w:szCs w:val="18"/>
        </w:rPr>
        <w:pict w14:anchorId="555706B3">
          <v:rect id="_x0000_i1145" style="width:415.3pt;height:1.5pt" o:hralign="center" o:hrstd="t" o:hr="t" fillcolor="#a0a0a0" stroked="f"/>
        </w:pict>
      </w:r>
    </w:p>
    <w:p w14:paraId="5556ABD5" w14:textId="77777777" w:rsidR="00F925DD" w:rsidRDefault="00F925DD">
      <w:pPr>
        <w:rPr>
          <w:rFonts w:ascii="Times New Roman" w:hAnsi="Times New Roman"/>
          <w:sz w:val="20"/>
          <w:szCs w:val="20"/>
        </w:rPr>
      </w:pPr>
    </w:p>
    <w:p w14:paraId="5556ABD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ABD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CONSOLIDATED STATEMENT OF CONDITION </w:t>
      </w:r>
    </w:p>
    <w:p w14:paraId="5556ABD8" w14:textId="77777777" w:rsidR="00F925DD" w:rsidRDefault="00F925DD">
      <w:pPr>
        <w:spacing w:line="288" w:lineRule="auto"/>
        <w:ind w:firstLine="600"/>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576"/>
        <w:gridCol w:w="142"/>
        <w:gridCol w:w="1058"/>
        <w:gridCol w:w="100"/>
        <w:gridCol w:w="130"/>
        <w:gridCol w:w="142"/>
        <w:gridCol w:w="1058"/>
        <w:gridCol w:w="100"/>
      </w:tblGrid>
      <w:tr w:rsidR="00F925DD" w14:paraId="5556ABDA" w14:textId="77777777">
        <w:tc>
          <w:tcPr>
            <w:tcW w:w="0" w:type="auto"/>
            <w:gridSpan w:val="8"/>
            <w:shd w:val="clear" w:color="auto" w:fill="auto"/>
            <w:vAlign w:val="center"/>
          </w:tcPr>
          <w:p w14:paraId="5556ABD9" w14:textId="77777777" w:rsidR="00F925DD" w:rsidRDefault="00F925DD">
            <w:pPr>
              <w:rPr>
                <w:rFonts w:ascii="Times New Roman" w:hAnsi="Times New Roman"/>
                <w:sz w:val="20"/>
                <w:szCs w:val="20"/>
              </w:rPr>
            </w:pPr>
          </w:p>
        </w:tc>
      </w:tr>
      <w:tr w:rsidR="00F925DD" w14:paraId="5556ABE3" w14:textId="77777777">
        <w:tc>
          <w:tcPr>
            <w:tcW w:w="3650" w:type="pct"/>
            <w:shd w:val="clear" w:color="auto" w:fill="auto"/>
            <w:vAlign w:val="center"/>
          </w:tcPr>
          <w:p w14:paraId="5556ABDB" w14:textId="77777777" w:rsidR="00F925DD" w:rsidRDefault="00F925DD">
            <w:pPr>
              <w:rPr>
                <w:rFonts w:ascii="Times New Roman" w:hAnsi="Times New Roman"/>
                <w:sz w:val="20"/>
                <w:szCs w:val="20"/>
              </w:rPr>
            </w:pPr>
          </w:p>
        </w:tc>
        <w:tc>
          <w:tcPr>
            <w:tcW w:w="50" w:type="pct"/>
            <w:shd w:val="clear" w:color="auto" w:fill="auto"/>
            <w:vAlign w:val="center"/>
          </w:tcPr>
          <w:p w14:paraId="5556ABDC" w14:textId="77777777" w:rsidR="00F925DD" w:rsidRDefault="00F925DD">
            <w:pPr>
              <w:rPr>
                <w:rFonts w:ascii="Times New Roman" w:hAnsi="Times New Roman"/>
                <w:sz w:val="20"/>
                <w:szCs w:val="20"/>
              </w:rPr>
            </w:pPr>
          </w:p>
        </w:tc>
        <w:tc>
          <w:tcPr>
            <w:tcW w:w="550" w:type="pct"/>
            <w:shd w:val="clear" w:color="auto" w:fill="auto"/>
            <w:vAlign w:val="center"/>
          </w:tcPr>
          <w:p w14:paraId="5556ABDD" w14:textId="77777777" w:rsidR="00F925DD" w:rsidRDefault="00F925DD">
            <w:pPr>
              <w:rPr>
                <w:rFonts w:ascii="Times New Roman" w:hAnsi="Times New Roman"/>
                <w:sz w:val="20"/>
                <w:szCs w:val="20"/>
              </w:rPr>
            </w:pPr>
          </w:p>
        </w:tc>
        <w:tc>
          <w:tcPr>
            <w:tcW w:w="50" w:type="pct"/>
            <w:shd w:val="clear" w:color="auto" w:fill="auto"/>
            <w:vAlign w:val="center"/>
          </w:tcPr>
          <w:p w14:paraId="5556ABDE" w14:textId="77777777" w:rsidR="00F925DD" w:rsidRDefault="00F925DD">
            <w:pPr>
              <w:rPr>
                <w:rFonts w:ascii="Times New Roman" w:hAnsi="Times New Roman"/>
                <w:sz w:val="20"/>
                <w:szCs w:val="20"/>
              </w:rPr>
            </w:pPr>
          </w:p>
        </w:tc>
        <w:tc>
          <w:tcPr>
            <w:tcW w:w="50" w:type="pct"/>
            <w:shd w:val="clear" w:color="auto" w:fill="auto"/>
            <w:vAlign w:val="center"/>
          </w:tcPr>
          <w:p w14:paraId="5556ABDF" w14:textId="77777777" w:rsidR="00F925DD" w:rsidRDefault="00F925DD">
            <w:pPr>
              <w:rPr>
                <w:rFonts w:ascii="Times New Roman" w:hAnsi="Times New Roman"/>
                <w:sz w:val="20"/>
                <w:szCs w:val="20"/>
              </w:rPr>
            </w:pPr>
          </w:p>
        </w:tc>
        <w:tc>
          <w:tcPr>
            <w:tcW w:w="50" w:type="pct"/>
            <w:shd w:val="clear" w:color="auto" w:fill="auto"/>
            <w:vAlign w:val="center"/>
          </w:tcPr>
          <w:p w14:paraId="5556ABE0" w14:textId="77777777" w:rsidR="00F925DD" w:rsidRDefault="00F925DD">
            <w:pPr>
              <w:rPr>
                <w:rFonts w:ascii="Times New Roman" w:hAnsi="Times New Roman"/>
                <w:sz w:val="20"/>
                <w:szCs w:val="20"/>
              </w:rPr>
            </w:pPr>
          </w:p>
        </w:tc>
        <w:tc>
          <w:tcPr>
            <w:tcW w:w="550" w:type="pct"/>
            <w:shd w:val="clear" w:color="auto" w:fill="auto"/>
            <w:vAlign w:val="center"/>
          </w:tcPr>
          <w:p w14:paraId="5556ABE1" w14:textId="77777777" w:rsidR="00F925DD" w:rsidRDefault="00F925DD">
            <w:pPr>
              <w:rPr>
                <w:rFonts w:ascii="Times New Roman" w:hAnsi="Times New Roman"/>
                <w:sz w:val="20"/>
                <w:szCs w:val="20"/>
              </w:rPr>
            </w:pPr>
          </w:p>
        </w:tc>
        <w:tc>
          <w:tcPr>
            <w:tcW w:w="50" w:type="pct"/>
            <w:shd w:val="clear" w:color="auto" w:fill="auto"/>
            <w:vAlign w:val="center"/>
          </w:tcPr>
          <w:p w14:paraId="5556ABE2" w14:textId="77777777" w:rsidR="00F925DD" w:rsidRDefault="00F925DD">
            <w:pPr>
              <w:rPr>
                <w:rFonts w:ascii="Times New Roman" w:hAnsi="Times New Roman"/>
                <w:sz w:val="20"/>
                <w:szCs w:val="20"/>
              </w:rPr>
            </w:pPr>
          </w:p>
        </w:tc>
      </w:tr>
      <w:tr w:rsidR="00F925DD" w14:paraId="5556ABE8" w14:textId="77777777">
        <w:tc>
          <w:tcPr>
            <w:tcW w:w="0" w:type="auto"/>
            <w:shd w:val="clear" w:color="auto" w:fill="auto"/>
            <w:tcMar>
              <w:top w:w="40" w:type="dxa"/>
              <w:left w:w="40" w:type="dxa"/>
              <w:bottom w:w="40" w:type="dxa"/>
              <w:right w:w="40" w:type="dxa"/>
            </w:tcMar>
            <w:vAlign w:val="bottom"/>
          </w:tcPr>
          <w:p w14:paraId="5556AB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BE5"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December 31, 2019</w:t>
            </w:r>
          </w:p>
        </w:tc>
        <w:tc>
          <w:tcPr>
            <w:tcW w:w="0" w:type="auto"/>
            <w:shd w:val="clear" w:color="auto" w:fill="auto"/>
            <w:tcMar>
              <w:top w:w="40" w:type="dxa"/>
              <w:left w:w="40" w:type="dxa"/>
              <w:bottom w:w="40" w:type="dxa"/>
              <w:right w:w="40" w:type="dxa"/>
            </w:tcMar>
            <w:vAlign w:val="bottom"/>
          </w:tcPr>
          <w:p w14:paraId="5556AB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BE7" w14:textId="77777777" w:rsidR="00F925DD" w:rsidRDefault="00E705D7">
            <w:pPr>
              <w:jc w:val="center"/>
              <w:textAlignment w:val="bottom"/>
              <w:rPr>
                <w:rFonts w:ascii="Times New Roman" w:hAnsi="Times New Roman"/>
                <w:sz w:val="18"/>
                <w:szCs w:val="18"/>
              </w:rPr>
            </w:pPr>
            <w:r>
              <w:rPr>
                <w:rFonts w:ascii="Arial" w:eastAsia="宋体" w:hAnsi="Arial" w:cs="Arial"/>
                <w:b/>
                <w:bCs/>
                <w:sz w:val="18"/>
                <w:szCs w:val="18"/>
              </w:rPr>
              <w:t>December 31, 2018</w:t>
            </w:r>
          </w:p>
        </w:tc>
      </w:tr>
      <w:tr w:rsidR="00F925DD" w14:paraId="5556ABED" w14:textId="77777777">
        <w:tc>
          <w:tcPr>
            <w:tcW w:w="0" w:type="auto"/>
            <w:shd w:val="clear" w:color="auto" w:fill="auto"/>
            <w:tcMar>
              <w:top w:w="40" w:type="dxa"/>
              <w:left w:w="40" w:type="dxa"/>
              <w:bottom w:w="40" w:type="dxa"/>
              <w:right w:w="40" w:type="dxa"/>
            </w:tcMar>
            <w:vAlign w:val="bottom"/>
          </w:tcPr>
          <w:p w14:paraId="5556ABE9"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 xml:space="preserve">(Dollars in </w:t>
            </w:r>
            <w:r>
              <w:rPr>
                <w:rFonts w:ascii="Arial" w:eastAsia="宋体" w:hAnsi="Arial" w:cs="Arial"/>
                <w:b/>
                <w:bCs/>
                <w:sz w:val="18"/>
                <w:szCs w:val="18"/>
              </w:rPr>
              <w:t>millions, except per share amounts)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AB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B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B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BF2" w14:textId="77777777">
        <w:tc>
          <w:tcPr>
            <w:tcW w:w="0" w:type="auto"/>
            <w:shd w:val="clear" w:color="auto" w:fill="auto"/>
            <w:tcMar>
              <w:top w:w="40" w:type="dxa"/>
              <w:left w:w="40" w:type="dxa"/>
              <w:bottom w:w="40" w:type="dxa"/>
              <w:right w:w="40" w:type="dxa"/>
            </w:tcMar>
            <w:vAlign w:val="bottom"/>
          </w:tcPr>
          <w:p w14:paraId="5556ABEE"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Assets:</w:t>
            </w:r>
          </w:p>
        </w:tc>
        <w:tc>
          <w:tcPr>
            <w:tcW w:w="0" w:type="auto"/>
            <w:gridSpan w:val="3"/>
            <w:shd w:val="clear" w:color="auto" w:fill="auto"/>
            <w:tcMar>
              <w:top w:w="40" w:type="dxa"/>
              <w:left w:w="40" w:type="dxa"/>
              <w:bottom w:w="40" w:type="dxa"/>
              <w:right w:w="40" w:type="dxa"/>
            </w:tcMar>
            <w:vAlign w:val="bottom"/>
          </w:tcPr>
          <w:p w14:paraId="5556AB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B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B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BFB" w14:textId="77777777">
        <w:tc>
          <w:tcPr>
            <w:tcW w:w="0" w:type="auto"/>
            <w:shd w:val="clear" w:color="auto" w:fill="CCEEFF"/>
            <w:tcMar>
              <w:top w:w="40" w:type="dxa"/>
              <w:left w:w="40" w:type="dxa"/>
              <w:bottom w:w="40" w:type="dxa"/>
              <w:right w:w="40" w:type="dxa"/>
            </w:tcMar>
            <w:vAlign w:val="bottom"/>
          </w:tcPr>
          <w:p w14:paraId="5556ABF3" w14:textId="77777777" w:rsidR="00F925DD" w:rsidRDefault="00E705D7">
            <w:pPr>
              <w:textAlignment w:val="bottom"/>
              <w:rPr>
                <w:rFonts w:ascii="Times New Roman" w:hAnsi="Times New Roman"/>
                <w:sz w:val="18"/>
                <w:szCs w:val="18"/>
              </w:rPr>
            </w:pPr>
            <w:r>
              <w:rPr>
                <w:rFonts w:ascii="Arial" w:eastAsia="宋体" w:hAnsi="Arial" w:cs="Arial"/>
                <w:sz w:val="18"/>
                <w:szCs w:val="18"/>
              </w:rPr>
              <w:t>Cash and due from banks</w:t>
            </w:r>
          </w:p>
        </w:tc>
        <w:tc>
          <w:tcPr>
            <w:tcW w:w="0" w:type="auto"/>
            <w:shd w:val="clear" w:color="auto" w:fill="CCEEFF"/>
            <w:tcMar>
              <w:top w:w="40" w:type="dxa"/>
              <w:left w:w="40" w:type="dxa"/>
              <w:bottom w:w="40" w:type="dxa"/>
            </w:tcMar>
            <w:vAlign w:val="bottom"/>
          </w:tcPr>
          <w:p w14:paraId="5556ABF4"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5556ABF5"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3,302</w:t>
            </w:r>
          </w:p>
        </w:tc>
        <w:tc>
          <w:tcPr>
            <w:tcW w:w="0" w:type="auto"/>
            <w:shd w:val="clear" w:color="auto" w:fill="CCEEFF"/>
            <w:vAlign w:val="bottom"/>
          </w:tcPr>
          <w:p w14:paraId="5556ABF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B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BF8"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CCEEFF"/>
            <w:tcMar>
              <w:top w:w="40" w:type="dxa"/>
              <w:bottom w:w="40" w:type="dxa"/>
            </w:tcMar>
            <w:vAlign w:val="bottom"/>
          </w:tcPr>
          <w:p w14:paraId="5556ABF9"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3,212</w:t>
            </w:r>
          </w:p>
        </w:tc>
        <w:tc>
          <w:tcPr>
            <w:tcW w:w="0" w:type="auto"/>
            <w:shd w:val="clear" w:color="auto" w:fill="CCEEFF"/>
            <w:vAlign w:val="bottom"/>
          </w:tcPr>
          <w:p w14:paraId="5556ABFA" w14:textId="77777777" w:rsidR="00F925DD" w:rsidRDefault="00F925DD">
            <w:pPr>
              <w:textAlignment w:val="bottom"/>
              <w:rPr>
                <w:rFonts w:ascii="Times New Roman" w:hAnsi="Times New Roman"/>
                <w:sz w:val="20"/>
                <w:szCs w:val="20"/>
              </w:rPr>
            </w:pPr>
          </w:p>
        </w:tc>
      </w:tr>
      <w:tr w:rsidR="00F925DD" w14:paraId="5556AC02" w14:textId="77777777">
        <w:tc>
          <w:tcPr>
            <w:tcW w:w="0" w:type="auto"/>
            <w:shd w:val="clear" w:color="auto" w:fill="auto"/>
            <w:tcMar>
              <w:top w:w="40" w:type="dxa"/>
              <w:left w:w="40" w:type="dxa"/>
              <w:bottom w:w="40" w:type="dxa"/>
              <w:right w:w="40" w:type="dxa"/>
            </w:tcMar>
            <w:vAlign w:val="bottom"/>
          </w:tcPr>
          <w:p w14:paraId="5556ABFC" w14:textId="77777777" w:rsidR="00F925DD" w:rsidRDefault="00E705D7">
            <w:pPr>
              <w:textAlignment w:val="bottom"/>
              <w:rPr>
                <w:rFonts w:ascii="Times New Roman" w:hAnsi="Times New Roman"/>
                <w:sz w:val="18"/>
                <w:szCs w:val="18"/>
              </w:rPr>
            </w:pPr>
            <w:r>
              <w:rPr>
                <w:rFonts w:ascii="Arial" w:eastAsia="宋体" w:hAnsi="Arial" w:cs="Arial"/>
                <w:sz w:val="18"/>
                <w:szCs w:val="18"/>
              </w:rPr>
              <w:t>Interest-bearing deposits with banks</w:t>
            </w:r>
          </w:p>
        </w:tc>
        <w:tc>
          <w:tcPr>
            <w:tcW w:w="0" w:type="auto"/>
            <w:gridSpan w:val="2"/>
            <w:shd w:val="clear" w:color="auto" w:fill="auto"/>
            <w:tcMar>
              <w:top w:w="40" w:type="dxa"/>
              <w:left w:w="40" w:type="dxa"/>
              <w:bottom w:w="40" w:type="dxa"/>
            </w:tcMar>
            <w:vAlign w:val="bottom"/>
          </w:tcPr>
          <w:p w14:paraId="5556ABFD"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68,965</w:t>
            </w:r>
          </w:p>
        </w:tc>
        <w:tc>
          <w:tcPr>
            <w:tcW w:w="0" w:type="auto"/>
            <w:shd w:val="clear" w:color="auto" w:fill="auto"/>
            <w:vAlign w:val="bottom"/>
          </w:tcPr>
          <w:p w14:paraId="5556ABF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B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00"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73,040</w:t>
            </w:r>
          </w:p>
        </w:tc>
        <w:tc>
          <w:tcPr>
            <w:tcW w:w="0" w:type="auto"/>
            <w:shd w:val="clear" w:color="auto" w:fill="auto"/>
            <w:vAlign w:val="bottom"/>
          </w:tcPr>
          <w:p w14:paraId="5556AC01" w14:textId="77777777" w:rsidR="00F925DD" w:rsidRDefault="00F925DD">
            <w:pPr>
              <w:textAlignment w:val="bottom"/>
              <w:rPr>
                <w:rFonts w:ascii="Times New Roman" w:hAnsi="Times New Roman"/>
                <w:sz w:val="20"/>
                <w:szCs w:val="20"/>
              </w:rPr>
            </w:pPr>
          </w:p>
        </w:tc>
      </w:tr>
      <w:tr w:rsidR="00F925DD" w14:paraId="5556AC09" w14:textId="77777777">
        <w:tc>
          <w:tcPr>
            <w:tcW w:w="0" w:type="auto"/>
            <w:shd w:val="clear" w:color="auto" w:fill="CCEEFF"/>
            <w:tcMar>
              <w:top w:w="40" w:type="dxa"/>
              <w:left w:w="40" w:type="dxa"/>
              <w:bottom w:w="40" w:type="dxa"/>
              <w:right w:w="40" w:type="dxa"/>
            </w:tcMar>
            <w:vAlign w:val="bottom"/>
          </w:tcPr>
          <w:p w14:paraId="5556AC03" w14:textId="77777777" w:rsidR="00F925DD" w:rsidRDefault="00E705D7">
            <w:pPr>
              <w:textAlignment w:val="bottom"/>
              <w:rPr>
                <w:rFonts w:ascii="Times New Roman" w:hAnsi="Times New Roman"/>
                <w:sz w:val="18"/>
                <w:szCs w:val="18"/>
              </w:rPr>
            </w:pPr>
            <w:r>
              <w:rPr>
                <w:rFonts w:ascii="Arial" w:eastAsia="宋体" w:hAnsi="Arial" w:cs="Arial"/>
                <w:sz w:val="18"/>
                <w:szCs w:val="18"/>
              </w:rPr>
              <w:t>Securities purchased under resale agreements</w:t>
            </w:r>
          </w:p>
        </w:tc>
        <w:tc>
          <w:tcPr>
            <w:tcW w:w="0" w:type="auto"/>
            <w:gridSpan w:val="2"/>
            <w:shd w:val="clear" w:color="auto" w:fill="CCEEFF"/>
            <w:tcMar>
              <w:top w:w="40" w:type="dxa"/>
              <w:left w:w="40" w:type="dxa"/>
              <w:bottom w:w="40" w:type="dxa"/>
            </w:tcMar>
            <w:vAlign w:val="bottom"/>
          </w:tcPr>
          <w:p w14:paraId="5556AC04"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1,487</w:t>
            </w:r>
          </w:p>
        </w:tc>
        <w:tc>
          <w:tcPr>
            <w:tcW w:w="0" w:type="auto"/>
            <w:shd w:val="clear" w:color="auto" w:fill="CCEEFF"/>
            <w:vAlign w:val="bottom"/>
          </w:tcPr>
          <w:p w14:paraId="5556AC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07"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4,679</w:t>
            </w:r>
          </w:p>
        </w:tc>
        <w:tc>
          <w:tcPr>
            <w:tcW w:w="0" w:type="auto"/>
            <w:shd w:val="clear" w:color="auto" w:fill="CCEEFF"/>
            <w:vAlign w:val="bottom"/>
          </w:tcPr>
          <w:p w14:paraId="5556AC08" w14:textId="77777777" w:rsidR="00F925DD" w:rsidRDefault="00F925DD">
            <w:pPr>
              <w:textAlignment w:val="bottom"/>
              <w:rPr>
                <w:rFonts w:ascii="Times New Roman" w:hAnsi="Times New Roman"/>
                <w:sz w:val="20"/>
                <w:szCs w:val="20"/>
              </w:rPr>
            </w:pPr>
          </w:p>
        </w:tc>
      </w:tr>
      <w:tr w:rsidR="00F925DD" w14:paraId="5556AC10" w14:textId="77777777">
        <w:tc>
          <w:tcPr>
            <w:tcW w:w="0" w:type="auto"/>
            <w:shd w:val="clear" w:color="auto" w:fill="auto"/>
            <w:tcMar>
              <w:top w:w="40" w:type="dxa"/>
              <w:left w:w="40" w:type="dxa"/>
              <w:bottom w:w="40" w:type="dxa"/>
              <w:right w:w="40" w:type="dxa"/>
            </w:tcMar>
            <w:vAlign w:val="bottom"/>
          </w:tcPr>
          <w:p w14:paraId="5556AC0A" w14:textId="77777777" w:rsidR="00F925DD" w:rsidRDefault="00E705D7">
            <w:pPr>
              <w:textAlignment w:val="bottom"/>
              <w:rPr>
                <w:rFonts w:ascii="Times New Roman" w:hAnsi="Times New Roman"/>
                <w:sz w:val="18"/>
                <w:szCs w:val="18"/>
              </w:rPr>
            </w:pPr>
            <w:r>
              <w:rPr>
                <w:rFonts w:ascii="Arial" w:eastAsia="宋体" w:hAnsi="Arial" w:cs="Arial"/>
                <w:sz w:val="18"/>
                <w:szCs w:val="18"/>
              </w:rPr>
              <w:t>Trading account assets</w:t>
            </w:r>
          </w:p>
        </w:tc>
        <w:tc>
          <w:tcPr>
            <w:tcW w:w="0" w:type="auto"/>
            <w:gridSpan w:val="2"/>
            <w:shd w:val="clear" w:color="auto" w:fill="auto"/>
            <w:tcMar>
              <w:top w:w="40" w:type="dxa"/>
              <w:left w:w="40" w:type="dxa"/>
              <w:bottom w:w="40" w:type="dxa"/>
            </w:tcMar>
            <w:vAlign w:val="bottom"/>
          </w:tcPr>
          <w:p w14:paraId="5556AC0B"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914</w:t>
            </w:r>
          </w:p>
        </w:tc>
        <w:tc>
          <w:tcPr>
            <w:tcW w:w="0" w:type="auto"/>
            <w:shd w:val="clear" w:color="auto" w:fill="auto"/>
            <w:vAlign w:val="bottom"/>
          </w:tcPr>
          <w:p w14:paraId="5556AC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0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860</w:t>
            </w:r>
          </w:p>
        </w:tc>
        <w:tc>
          <w:tcPr>
            <w:tcW w:w="0" w:type="auto"/>
            <w:shd w:val="clear" w:color="auto" w:fill="auto"/>
            <w:vAlign w:val="bottom"/>
          </w:tcPr>
          <w:p w14:paraId="5556AC0F" w14:textId="77777777" w:rsidR="00F925DD" w:rsidRDefault="00F925DD">
            <w:pPr>
              <w:textAlignment w:val="bottom"/>
              <w:rPr>
                <w:rFonts w:ascii="Times New Roman" w:hAnsi="Times New Roman"/>
                <w:sz w:val="20"/>
                <w:szCs w:val="20"/>
              </w:rPr>
            </w:pPr>
          </w:p>
        </w:tc>
      </w:tr>
      <w:tr w:rsidR="00F925DD" w14:paraId="5556AC17" w14:textId="77777777">
        <w:tc>
          <w:tcPr>
            <w:tcW w:w="0" w:type="auto"/>
            <w:shd w:val="clear" w:color="auto" w:fill="CCEEFF"/>
            <w:tcMar>
              <w:top w:w="40" w:type="dxa"/>
              <w:left w:w="40" w:type="dxa"/>
              <w:bottom w:w="40" w:type="dxa"/>
              <w:right w:w="40" w:type="dxa"/>
            </w:tcMar>
            <w:vAlign w:val="bottom"/>
          </w:tcPr>
          <w:p w14:paraId="5556AC11" w14:textId="77777777" w:rsidR="00F925DD" w:rsidRDefault="00E705D7">
            <w:pPr>
              <w:textAlignment w:val="bottom"/>
              <w:rPr>
                <w:rFonts w:ascii="Times New Roman" w:hAnsi="Times New Roman"/>
                <w:sz w:val="18"/>
                <w:szCs w:val="18"/>
              </w:rPr>
            </w:pPr>
            <w:r>
              <w:rPr>
                <w:rFonts w:ascii="Arial" w:eastAsia="宋体" w:hAnsi="Arial" w:cs="Arial"/>
                <w:sz w:val="18"/>
                <w:szCs w:val="18"/>
              </w:rPr>
              <w:t>Investment securities available-for-sale</w:t>
            </w:r>
          </w:p>
        </w:tc>
        <w:tc>
          <w:tcPr>
            <w:tcW w:w="0" w:type="auto"/>
            <w:gridSpan w:val="2"/>
            <w:shd w:val="clear" w:color="auto" w:fill="CCEEFF"/>
            <w:tcMar>
              <w:top w:w="40" w:type="dxa"/>
              <w:left w:w="40" w:type="dxa"/>
              <w:bottom w:w="40" w:type="dxa"/>
            </w:tcMar>
            <w:vAlign w:val="bottom"/>
          </w:tcPr>
          <w:p w14:paraId="5556AC12"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53,815</w:t>
            </w:r>
          </w:p>
        </w:tc>
        <w:tc>
          <w:tcPr>
            <w:tcW w:w="0" w:type="auto"/>
            <w:shd w:val="clear" w:color="auto" w:fill="CCEEFF"/>
            <w:vAlign w:val="bottom"/>
          </w:tcPr>
          <w:p w14:paraId="5556AC1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1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45,148</w:t>
            </w:r>
          </w:p>
        </w:tc>
        <w:tc>
          <w:tcPr>
            <w:tcW w:w="0" w:type="auto"/>
            <w:shd w:val="clear" w:color="auto" w:fill="CCEEFF"/>
            <w:vAlign w:val="bottom"/>
          </w:tcPr>
          <w:p w14:paraId="5556AC16" w14:textId="77777777" w:rsidR="00F925DD" w:rsidRDefault="00F925DD">
            <w:pPr>
              <w:textAlignment w:val="bottom"/>
              <w:rPr>
                <w:rFonts w:ascii="Times New Roman" w:hAnsi="Times New Roman"/>
                <w:sz w:val="20"/>
                <w:szCs w:val="20"/>
              </w:rPr>
            </w:pPr>
          </w:p>
        </w:tc>
      </w:tr>
      <w:tr w:rsidR="00F925DD" w14:paraId="5556AC1E" w14:textId="77777777">
        <w:tc>
          <w:tcPr>
            <w:tcW w:w="0" w:type="auto"/>
            <w:shd w:val="clear" w:color="auto" w:fill="auto"/>
            <w:tcMar>
              <w:top w:w="40" w:type="dxa"/>
              <w:left w:w="40" w:type="dxa"/>
              <w:bottom w:w="40" w:type="dxa"/>
              <w:right w:w="40" w:type="dxa"/>
            </w:tcMar>
            <w:vAlign w:val="bottom"/>
          </w:tcPr>
          <w:p w14:paraId="5556AC18" w14:textId="77777777" w:rsidR="00F925DD" w:rsidRDefault="00E705D7">
            <w:pPr>
              <w:textAlignment w:val="bottom"/>
              <w:rPr>
                <w:rFonts w:ascii="Times New Roman" w:hAnsi="Times New Roman"/>
                <w:sz w:val="18"/>
                <w:szCs w:val="18"/>
              </w:rPr>
            </w:pPr>
            <w:r>
              <w:rPr>
                <w:rFonts w:ascii="Arial" w:eastAsia="宋体" w:hAnsi="Arial" w:cs="Arial"/>
                <w:sz w:val="18"/>
                <w:szCs w:val="18"/>
              </w:rPr>
              <w:t>Investment securities held-to-maturity (fair value of $42,157 and $41,351)</w:t>
            </w:r>
          </w:p>
        </w:tc>
        <w:tc>
          <w:tcPr>
            <w:tcW w:w="0" w:type="auto"/>
            <w:gridSpan w:val="2"/>
            <w:shd w:val="clear" w:color="auto" w:fill="auto"/>
            <w:tcMar>
              <w:top w:w="40" w:type="dxa"/>
              <w:left w:w="40" w:type="dxa"/>
              <w:bottom w:w="40" w:type="dxa"/>
            </w:tcMar>
            <w:vAlign w:val="bottom"/>
          </w:tcPr>
          <w:p w14:paraId="5556AC19"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41,782</w:t>
            </w:r>
          </w:p>
        </w:tc>
        <w:tc>
          <w:tcPr>
            <w:tcW w:w="0" w:type="auto"/>
            <w:shd w:val="clear" w:color="auto" w:fill="auto"/>
            <w:vAlign w:val="bottom"/>
          </w:tcPr>
          <w:p w14:paraId="5556AC1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1C"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41,914</w:t>
            </w:r>
          </w:p>
        </w:tc>
        <w:tc>
          <w:tcPr>
            <w:tcW w:w="0" w:type="auto"/>
            <w:shd w:val="clear" w:color="auto" w:fill="auto"/>
            <w:vAlign w:val="bottom"/>
          </w:tcPr>
          <w:p w14:paraId="5556AC1D" w14:textId="77777777" w:rsidR="00F925DD" w:rsidRDefault="00F925DD">
            <w:pPr>
              <w:textAlignment w:val="bottom"/>
              <w:rPr>
                <w:rFonts w:ascii="Times New Roman" w:hAnsi="Times New Roman"/>
                <w:sz w:val="20"/>
                <w:szCs w:val="20"/>
              </w:rPr>
            </w:pPr>
          </w:p>
        </w:tc>
      </w:tr>
      <w:tr w:rsidR="00F925DD" w14:paraId="5556AC25" w14:textId="77777777">
        <w:tc>
          <w:tcPr>
            <w:tcW w:w="0" w:type="auto"/>
            <w:shd w:val="clear" w:color="auto" w:fill="CCEEFF"/>
            <w:tcMar>
              <w:top w:w="40" w:type="dxa"/>
              <w:left w:w="40" w:type="dxa"/>
              <w:bottom w:w="40" w:type="dxa"/>
              <w:right w:w="40" w:type="dxa"/>
            </w:tcMar>
            <w:vAlign w:val="bottom"/>
          </w:tcPr>
          <w:p w14:paraId="5556AC1F" w14:textId="77777777" w:rsidR="00F925DD" w:rsidRDefault="00E705D7">
            <w:pPr>
              <w:textAlignment w:val="bottom"/>
              <w:rPr>
                <w:rFonts w:ascii="Times New Roman" w:hAnsi="Times New Roman"/>
                <w:sz w:val="18"/>
                <w:szCs w:val="18"/>
              </w:rPr>
            </w:pPr>
            <w:r>
              <w:rPr>
                <w:rFonts w:ascii="Arial" w:eastAsia="宋体" w:hAnsi="Arial" w:cs="Arial"/>
                <w:sz w:val="18"/>
                <w:szCs w:val="18"/>
                <w:shd w:val="clear" w:color="auto" w:fill="CCEEFF"/>
              </w:rPr>
              <w:t>Loans (less allowance for losses of $74 and $67)</w:t>
            </w:r>
          </w:p>
        </w:tc>
        <w:tc>
          <w:tcPr>
            <w:tcW w:w="0" w:type="auto"/>
            <w:gridSpan w:val="2"/>
            <w:shd w:val="clear" w:color="auto" w:fill="CCEEFF"/>
            <w:tcMar>
              <w:top w:w="40" w:type="dxa"/>
              <w:left w:w="40" w:type="dxa"/>
              <w:bottom w:w="40" w:type="dxa"/>
            </w:tcMar>
            <w:vAlign w:val="bottom"/>
          </w:tcPr>
          <w:p w14:paraId="5556AC20"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26,235</w:t>
            </w:r>
          </w:p>
        </w:tc>
        <w:tc>
          <w:tcPr>
            <w:tcW w:w="0" w:type="auto"/>
            <w:shd w:val="clear" w:color="auto" w:fill="CCEEFF"/>
            <w:vAlign w:val="bottom"/>
          </w:tcPr>
          <w:p w14:paraId="5556AC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23"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25,722</w:t>
            </w:r>
          </w:p>
        </w:tc>
        <w:tc>
          <w:tcPr>
            <w:tcW w:w="0" w:type="auto"/>
            <w:shd w:val="clear" w:color="auto" w:fill="CCEEFF"/>
            <w:vAlign w:val="bottom"/>
          </w:tcPr>
          <w:p w14:paraId="5556AC24" w14:textId="77777777" w:rsidR="00F925DD" w:rsidRDefault="00F925DD">
            <w:pPr>
              <w:textAlignment w:val="bottom"/>
              <w:rPr>
                <w:rFonts w:ascii="Times New Roman" w:hAnsi="Times New Roman"/>
                <w:sz w:val="20"/>
                <w:szCs w:val="20"/>
              </w:rPr>
            </w:pPr>
          </w:p>
        </w:tc>
      </w:tr>
      <w:tr w:rsidR="00F925DD" w14:paraId="5556AC2C" w14:textId="77777777">
        <w:tc>
          <w:tcPr>
            <w:tcW w:w="0" w:type="auto"/>
            <w:shd w:val="clear" w:color="auto" w:fill="auto"/>
            <w:tcMar>
              <w:top w:w="40" w:type="dxa"/>
              <w:left w:w="40" w:type="dxa"/>
              <w:bottom w:w="40" w:type="dxa"/>
              <w:right w:w="40" w:type="dxa"/>
            </w:tcMar>
            <w:vAlign w:val="bottom"/>
          </w:tcPr>
          <w:p w14:paraId="5556AC26"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Premises and </w:t>
            </w:r>
            <w:r>
              <w:rPr>
                <w:rFonts w:ascii="Arial" w:eastAsia="宋体" w:hAnsi="Arial" w:cs="Arial"/>
                <w:sz w:val="18"/>
                <w:szCs w:val="18"/>
              </w:rPr>
              <w:t>equipment (net of accumulated depreciation of $4,367 and $4,152)</w:t>
            </w:r>
          </w:p>
        </w:tc>
        <w:tc>
          <w:tcPr>
            <w:tcW w:w="0" w:type="auto"/>
            <w:gridSpan w:val="2"/>
            <w:shd w:val="clear" w:color="auto" w:fill="auto"/>
            <w:tcMar>
              <w:top w:w="40" w:type="dxa"/>
              <w:left w:w="40" w:type="dxa"/>
              <w:bottom w:w="40" w:type="dxa"/>
            </w:tcMar>
            <w:vAlign w:val="bottom"/>
          </w:tcPr>
          <w:p w14:paraId="5556AC27"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2,282</w:t>
            </w:r>
          </w:p>
        </w:tc>
        <w:tc>
          <w:tcPr>
            <w:tcW w:w="0" w:type="auto"/>
            <w:shd w:val="clear" w:color="auto" w:fill="auto"/>
            <w:vAlign w:val="bottom"/>
          </w:tcPr>
          <w:p w14:paraId="5556AC2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2A"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2,214</w:t>
            </w:r>
          </w:p>
        </w:tc>
        <w:tc>
          <w:tcPr>
            <w:tcW w:w="0" w:type="auto"/>
            <w:shd w:val="clear" w:color="auto" w:fill="auto"/>
            <w:vAlign w:val="bottom"/>
          </w:tcPr>
          <w:p w14:paraId="5556AC2B" w14:textId="77777777" w:rsidR="00F925DD" w:rsidRDefault="00F925DD">
            <w:pPr>
              <w:textAlignment w:val="bottom"/>
              <w:rPr>
                <w:rFonts w:ascii="Times New Roman" w:hAnsi="Times New Roman"/>
                <w:sz w:val="20"/>
                <w:szCs w:val="20"/>
              </w:rPr>
            </w:pPr>
          </w:p>
        </w:tc>
      </w:tr>
      <w:tr w:rsidR="00F925DD" w14:paraId="5556AC33" w14:textId="77777777">
        <w:tc>
          <w:tcPr>
            <w:tcW w:w="0" w:type="auto"/>
            <w:shd w:val="clear" w:color="auto" w:fill="CCEEFF"/>
            <w:tcMar>
              <w:top w:w="40" w:type="dxa"/>
              <w:left w:w="40" w:type="dxa"/>
              <w:bottom w:w="40" w:type="dxa"/>
              <w:right w:w="40" w:type="dxa"/>
            </w:tcMar>
            <w:vAlign w:val="bottom"/>
          </w:tcPr>
          <w:p w14:paraId="5556AC2D" w14:textId="77777777" w:rsidR="00F925DD" w:rsidRDefault="00E705D7">
            <w:pPr>
              <w:textAlignment w:val="bottom"/>
              <w:rPr>
                <w:rFonts w:ascii="Times New Roman" w:hAnsi="Times New Roman"/>
                <w:sz w:val="18"/>
                <w:szCs w:val="18"/>
              </w:rPr>
            </w:pPr>
            <w:r>
              <w:rPr>
                <w:rFonts w:ascii="Arial" w:eastAsia="宋体" w:hAnsi="Arial" w:cs="Arial"/>
                <w:sz w:val="18"/>
                <w:szCs w:val="18"/>
              </w:rPr>
              <w:t>Accrued interest and fees receivable</w:t>
            </w:r>
          </w:p>
        </w:tc>
        <w:tc>
          <w:tcPr>
            <w:tcW w:w="0" w:type="auto"/>
            <w:gridSpan w:val="2"/>
            <w:shd w:val="clear" w:color="auto" w:fill="CCEEFF"/>
            <w:tcMar>
              <w:top w:w="40" w:type="dxa"/>
              <w:left w:w="40" w:type="dxa"/>
              <w:bottom w:w="40" w:type="dxa"/>
            </w:tcMar>
            <w:vAlign w:val="bottom"/>
          </w:tcPr>
          <w:p w14:paraId="5556AC2E"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3,231</w:t>
            </w:r>
          </w:p>
        </w:tc>
        <w:tc>
          <w:tcPr>
            <w:tcW w:w="0" w:type="auto"/>
            <w:shd w:val="clear" w:color="auto" w:fill="CCEEFF"/>
            <w:vAlign w:val="bottom"/>
          </w:tcPr>
          <w:p w14:paraId="5556AC2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31"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3,203</w:t>
            </w:r>
          </w:p>
        </w:tc>
        <w:tc>
          <w:tcPr>
            <w:tcW w:w="0" w:type="auto"/>
            <w:shd w:val="clear" w:color="auto" w:fill="CCEEFF"/>
            <w:vAlign w:val="bottom"/>
          </w:tcPr>
          <w:p w14:paraId="5556AC32" w14:textId="77777777" w:rsidR="00F925DD" w:rsidRDefault="00F925DD">
            <w:pPr>
              <w:textAlignment w:val="bottom"/>
              <w:rPr>
                <w:rFonts w:ascii="Times New Roman" w:hAnsi="Times New Roman"/>
                <w:sz w:val="20"/>
                <w:szCs w:val="20"/>
              </w:rPr>
            </w:pPr>
          </w:p>
        </w:tc>
      </w:tr>
      <w:tr w:rsidR="00F925DD" w14:paraId="5556AC3A" w14:textId="77777777">
        <w:tc>
          <w:tcPr>
            <w:tcW w:w="0" w:type="auto"/>
            <w:shd w:val="clear" w:color="auto" w:fill="auto"/>
            <w:tcMar>
              <w:top w:w="40" w:type="dxa"/>
              <w:left w:w="40" w:type="dxa"/>
              <w:bottom w:w="40" w:type="dxa"/>
              <w:right w:w="40" w:type="dxa"/>
            </w:tcMar>
            <w:vAlign w:val="bottom"/>
          </w:tcPr>
          <w:p w14:paraId="5556AC34" w14:textId="77777777" w:rsidR="00F925DD" w:rsidRDefault="00E705D7">
            <w:pPr>
              <w:textAlignment w:val="bottom"/>
              <w:rPr>
                <w:rFonts w:ascii="Times New Roman" w:hAnsi="Times New Roman"/>
                <w:sz w:val="18"/>
                <w:szCs w:val="18"/>
              </w:rPr>
            </w:pPr>
            <w:r>
              <w:rPr>
                <w:rFonts w:ascii="Arial" w:eastAsia="宋体" w:hAnsi="Arial" w:cs="Arial"/>
                <w:sz w:val="18"/>
                <w:szCs w:val="18"/>
              </w:rPr>
              <w:t>Goodwill</w:t>
            </w:r>
          </w:p>
        </w:tc>
        <w:tc>
          <w:tcPr>
            <w:tcW w:w="0" w:type="auto"/>
            <w:gridSpan w:val="2"/>
            <w:shd w:val="clear" w:color="auto" w:fill="auto"/>
            <w:tcMar>
              <w:top w:w="40" w:type="dxa"/>
              <w:left w:w="40" w:type="dxa"/>
              <w:bottom w:w="40" w:type="dxa"/>
            </w:tcMar>
            <w:vAlign w:val="bottom"/>
          </w:tcPr>
          <w:p w14:paraId="5556AC35"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7,556</w:t>
            </w:r>
          </w:p>
        </w:tc>
        <w:tc>
          <w:tcPr>
            <w:tcW w:w="0" w:type="auto"/>
            <w:shd w:val="clear" w:color="auto" w:fill="auto"/>
            <w:vAlign w:val="bottom"/>
          </w:tcPr>
          <w:p w14:paraId="5556AC3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38"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7,446</w:t>
            </w:r>
          </w:p>
        </w:tc>
        <w:tc>
          <w:tcPr>
            <w:tcW w:w="0" w:type="auto"/>
            <w:shd w:val="clear" w:color="auto" w:fill="auto"/>
            <w:vAlign w:val="bottom"/>
          </w:tcPr>
          <w:p w14:paraId="5556AC39" w14:textId="77777777" w:rsidR="00F925DD" w:rsidRDefault="00F925DD">
            <w:pPr>
              <w:textAlignment w:val="bottom"/>
              <w:rPr>
                <w:rFonts w:ascii="Times New Roman" w:hAnsi="Times New Roman"/>
                <w:sz w:val="20"/>
                <w:szCs w:val="20"/>
              </w:rPr>
            </w:pPr>
          </w:p>
        </w:tc>
      </w:tr>
      <w:tr w:rsidR="00F925DD" w14:paraId="5556AC41" w14:textId="77777777">
        <w:tc>
          <w:tcPr>
            <w:tcW w:w="0" w:type="auto"/>
            <w:shd w:val="clear" w:color="auto" w:fill="CCEEFF"/>
            <w:tcMar>
              <w:top w:w="40" w:type="dxa"/>
              <w:left w:w="40" w:type="dxa"/>
              <w:bottom w:w="40" w:type="dxa"/>
              <w:right w:w="40" w:type="dxa"/>
            </w:tcMar>
            <w:vAlign w:val="bottom"/>
          </w:tcPr>
          <w:p w14:paraId="5556AC3B" w14:textId="77777777" w:rsidR="00F925DD" w:rsidRDefault="00E705D7">
            <w:pPr>
              <w:textAlignment w:val="bottom"/>
              <w:rPr>
                <w:rFonts w:ascii="Times New Roman" w:hAnsi="Times New Roman"/>
                <w:sz w:val="18"/>
                <w:szCs w:val="18"/>
              </w:rPr>
            </w:pPr>
            <w:r>
              <w:rPr>
                <w:rFonts w:ascii="Arial" w:eastAsia="宋体" w:hAnsi="Arial" w:cs="Arial"/>
                <w:sz w:val="18"/>
                <w:szCs w:val="18"/>
              </w:rPr>
              <w:t>Other intangible assets</w:t>
            </w:r>
          </w:p>
        </w:tc>
        <w:tc>
          <w:tcPr>
            <w:tcW w:w="0" w:type="auto"/>
            <w:gridSpan w:val="2"/>
            <w:shd w:val="clear" w:color="auto" w:fill="CCEEFF"/>
            <w:tcMar>
              <w:top w:w="40" w:type="dxa"/>
              <w:left w:w="40" w:type="dxa"/>
              <w:bottom w:w="40" w:type="dxa"/>
            </w:tcMar>
            <w:vAlign w:val="bottom"/>
          </w:tcPr>
          <w:p w14:paraId="5556AC3C"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2,030</w:t>
            </w:r>
          </w:p>
        </w:tc>
        <w:tc>
          <w:tcPr>
            <w:tcW w:w="0" w:type="auto"/>
            <w:shd w:val="clear" w:color="auto" w:fill="CCEEFF"/>
            <w:vAlign w:val="bottom"/>
          </w:tcPr>
          <w:p w14:paraId="5556AC3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3F"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2,369</w:t>
            </w:r>
          </w:p>
        </w:tc>
        <w:tc>
          <w:tcPr>
            <w:tcW w:w="0" w:type="auto"/>
            <w:shd w:val="clear" w:color="auto" w:fill="CCEEFF"/>
            <w:vAlign w:val="bottom"/>
          </w:tcPr>
          <w:p w14:paraId="5556AC40" w14:textId="77777777" w:rsidR="00F925DD" w:rsidRDefault="00F925DD">
            <w:pPr>
              <w:textAlignment w:val="bottom"/>
              <w:rPr>
                <w:rFonts w:ascii="Times New Roman" w:hAnsi="Times New Roman"/>
                <w:sz w:val="20"/>
                <w:szCs w:val="20"/>
              </w:rPr>
            </w:pPr>
          </w:p>
        </w:tc>
      </w:tr>
      <w:tr w:rsidR="00F925DD" w14:paraId="5556AC48" w14:textId="77777777">
        <w:tc>
          <w:tcPr>
            <w:tcW w:w="0" w:type="auto"/>
            <w:shd w:val="clear" w:color="auto" w:fill="auto"/>
            <w:tcMar>
              <w:top w:w="40" w:type="dxa"/>
              <w:left w:w="40" w:type="dxa"/>
              <w:bottom w:w="40" w:type="dxa"/>
              <w:right w:w="40" w:type="dxa"/>
            </w:tcMar>
            <w:vAlign w:val="bottom"/>
          </w:tcPr>
          <w:p w14:paraId="5556AC42" w14:textId="77777777" w:rsidR="00F925DD" w:rsidRDefault="00E705D7">
            <w:pPr>
              <w:textAlignment w:val="bottom"/>
              <w:rPr>
                <w:rFonts w:ascii="Times New Roman" w:hAnsi="Times New Roman"/>
                <w:sz w:val="18"/>
                <w:szCs w:val="18"/>
              </w:rPr>
            </w:pPr>
            <w:r>
              <w:rPr>
                <w:rFonts w:ascii="Arial" w:eastAsia="宋体" w:hAnsi="Arial" w:cs="Arial"/>
                <w:sz w:val="18"/>
                <w:szCs w:val="18"/>
              </w:rPr>
              <w:t>Other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5556AC43"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34,011</w:t>
            </w:r>
          </w:p>
        </w:tc>
        <w:tc>
          <w:tcPr>
            <w:tcW w:w="0" w:type="auto"/>
            <w:tcBorders>
              <w:bottom w:val="single" w:sz="8" w:space="0" w:color="000000"/>
            </w:tcBorders>
            <w:shd w:val="clear" w:color="auto" w:fill="auto"/>
            <w:vAlign w:val="bottom"/>
          </w:tcPr>
          <w:p w14:paraId="5556AC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C46"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34,789</w:t>
            </w:r>
          </w:p>
        </w:tc>
        <w:tc>
          <w:tcPr>
            <w:tcW w:w="0" w:type="auto"/>
            <w:tcBorders>
              <w:bottom w:val="single" w:sz="8" w:space="0" w:color="000000"/>
            </w:tcBorders>
            <w:shd w:val="clear" w:color="auto" w:fill="auto"/>
            <w:vAlign w:val="bottom"/>
          </w:tcPr>
          <w:p w14:paraId="5556AC47" w14:textId="77777777" w:rsidR="00F925DD" w:rsidRDefault="00F925DD">
            <w:pPr>
              <w:textAlignment w:val="bottom"/>
              <w:rPr>
                <w:rFonts w:ascii="Times New Roman" w:hAnsi="Times New Roman"/>
                <w:sz w:val="20"/>
                <w:szCs w:val="20"/>
              </w:rPr>
            </w:pPr>
          </w:p>
        </w:tc>
      </w:tr>
      <w:tr w:rsidR="00F925DD" w14:paraId="5556AC51" w14:textId="77777777">
        <w:tc>
          <w:tcPr>
            <w:tcW w:w="0" w:type="auto"/>
            <w:shd w:val="clear" w:color="auto" w:fill="CCEEFF"/>
            <w:tcMar>
              <w:top w:w="40" w:type="dxa"/>
              <w:left w:w="40" w:type="dxa"/>
              <w:bottom w:w="40" w:type="dxa"/>
              <w:right w:w="40" w:type="dxa"/>
            </w:tcMar>
            <w:vAlign w:val="bottom"/>
          </w:tcPr>
          <w:p w14:paraId="5556AC49"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Total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AC4A"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AC4B"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245,610</w:t>
            </w:r>
          </w:p>
        </w:tc>
        <w:tc>
          <w:tcPr>
            <w:tcW w:w="0" w:type="auto"/>
            <w:tcBorders>
              <w:top w:val="single" w:sz="8" w:space="0" w:color="000000"/>
              <w:bottom w:val="double" w:sz="6" w:space="0" w:color="000000"/>
            </w:tcBorders>
            <w:shd w:val="clear" w:color="auto" w:fill="CCEEFF"/>
            <w:vAlign w:val="bottom"/>
          </w:tcPr>
          <w:p w14:paraId="5556AC4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AC4E"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AC4F"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244,596</w:t>
            </w:r>
          </w:p>
        </w:tc>
        <w:tc>
          <w:tcPr>
            <w:tcW w:w="0" w:type="auto"/>
            <w:tcBorders>
              <w:top w:val="single" w:sz="8" w:space="0" w:color="000000"/>
              <w:bottom w:val="double" w:sz="6" w:space="0" w:color="000000"/>
            </w:tcBorders>
            <w:shd w:val="clear" w:color="auto" w:fill="CCEEFF"/>
            <w:vAlign w:val="bottom"/>
          </w:tcPr>
          <w:p w14:paraId="5556AC50" w14:textId="77777777" w:rsidR="00F925DD" w:rsidRDefault="00F925DD">
            <w:pPr>
              <w:textAlignment w:val="bottom"/>
              <w:rPr>
                <w:rFonts w:ascii="Times New Roman" w:hAnsi="Times New Roman"/>
                <w:sz w:val="20"/>
                <w:szCs w:val="20"/>
              </w:rPr>
            </w:pPr>
          </w:p>
        </w:tc>
      </w:tr>
      <w:tr w:rsidR="00F925DD" w14:paraId="5556AC56" w14:textId="77777777">
        <w:tc>
          <w:tcPr>
            <w:tcW w:w="0" w:type="auto"/>
            <w:shd w:val="clear" w:color="auto" w:fill="auto"/>
            <w:tcMar>
              <w:top w:w="40" w:type="dxa"/>
              <w:left w:w="40" w:type="dxa"/>
              <w:bottom w:w="40" w:type="dxa"/>
              <w:right w:w="40" w:type="dxa"/>
            </w:tcMar>
            <w:vAlign w:val="bottom"/>
          </w:tcPr>
          <w:p w14:paraId="5556AC52"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Liabilities:</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5556AC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C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C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C5B" w14:textId="77777777">
        <w:tc>
          <w:tcPr>
            <w:tcW w:w="0" w:type="auto"/>
            <w:shd w:val="clear" w:color="auto" w:fill="CCEEFF"/>
            <w:tcMar>
              <w:top w:w="40" w:type="dxa"/>
              <w:left w:w="40" w:type="dxa"/>
              <w:bottom w:w="40" w:type="dxa"/>
              <w:right w:w="40" w:type="dxa"/>
            </w:tcMar>
            <w:vAlign w:val="bottom"/>
          </w:tcPr>
          <w:p w14:paraId="5556AC57" w14:textId="77777777" w:rsidR="00F925DD" w:rsidRDefault="00E705D7">
            <w:pPr>
              <w:textAlignment w:val="bottom"/>
              <w:rPr>
                <w:rFonts w:ascii="Times New Roman" w:hAnsi="Times New Roman"/>
                <w:sz w:val="18"/>
                <w:szCs w:val="18"/>
              </w:rPr>
            </w:pPr>
            <w:r>
              <w:rPr>
                <w:rFonts w:ascii="Arial" w:eastAsia="宋体" w:hAnsi="Arial" w:cs="Arial"/>
                <w:sz w:val="18"/>
                <w:szCs w:val="18"/>
              </w:rPr>
              <w:t>Deposits:</w:t>
            </w:r>
          </w:p>
        </w:tc>
        <w:tc>
          <w:tcPr>
            <w:tcW w:w="0" w:type="auto"/>
            <w:gridSpan w:val="3"/>
            <w:shd w:val="clear" w:color="auto" w:fill="CCEEFF"/>
            <w:tcMar>
              <w:top w:w="40" w:type="dxa"/>
              <w:left w:w="40" w:type="dxa"/>
              <w:bottom w:w="40" w:type="dxa"/>
              <w:right w:w="40" w:type="dxa"/>
            </w:tcMar>
            <w:vAlign w:val="bottom"/>
          </w:tcPr>
          <w:p w14:paraId="5556AC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C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C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C64" w14:textId="77777777">
        <w:tc>
          <w:tcPr>
            <w:tcW w:w="0" w:type="auto"/>
            <w:shd w:val="clear" w:color="auto" w:fill="auto"/>
            <w:tcMar>
              <w:top w:w="40" w:type="dxa"/>
              <w:left w:w="400" w:type="dxa"/>
              <w:bottom w:w="40" w:type="dxa"/>
              <w:right w:w="40" w:type="dxa"/>
            </w:tcMar>
            <w:vAlign w:val="bottom"/>
          </w:tcPr>
          <w:p w14:paraId="5556AC5C" w14:textId="77777777" w:rsidR="00F925DD" w:rsidRDefault="00E705D7">
            <w:pPr>
              <w:textAlignment w:val="bottom"/>
              <w:rPr>
                <w:rFonts w:ascii="Times New Roman" w:hAnsi="Times New Roman"/>
                <w:sz w:val="18"/>
                <w:szCs w:val="18"/>
              </w:rPr>
            </w:pPr>
            <w:r>
              <w:rPr>
                <w:rFonts w:ascii="Arial" w:eastAsia="宋体" w:hAnsi="Arial" w:cs="Arial"/>
                <w:sz w:val="18"/>
                <w:szCs w:val="18"/>
              </w:rPr>
              <w:t>Non-interest-bearing</w:t>
            </w:r>
          </w:p>
        </w:tc>
        <w:tc>
          <w:tcPr>
            <w:tcW w:w="0" w:type="auto"/>
            <w:shd w:val="clear" w:color="auto" w:fill="auto"/>
            <w:tcMar>
              <w:top w:w="40" w:type="dxa"/>
              <w:left w:w="40" w:type="dxa"/>
              <w:bottom w:w="40" w:type="dxa"/>
            </w:tcMar>
            <w:vAlign w:val="bottom"/>
          </w:tcPr>
          <w:p w14:paraId="5556AC5D"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bottom w:w="40" w:type="dxa"/>
            </w:tcMar>
            <w:vAlign w:val="bottom"/>
          </w:tcPr>
          <w:p w14:paraId="5556AC5E"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34,031</w:t>
            </w:r>
          </w:p>
        </w:tc>
        <w:tc>
          <w:tcPr>
            <w:tcW w:w="0" w:type="auto"/>
            <w:shd w:val="clear" w:color="auto" w:fill="auto"/>
            <w:vAlign w:val="bottom"/>
          </w:tcPr>
          <w:p w14:paraId="5556AC5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C61"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shd w:val="clear" w:color="auto" w:fill="auto"/>
            <w:tcMar>
              <w:top w:w="40" w:type="dxa"/>
              <w:bottom w:w="40" w:type="dxa"/>
            </w:tcMar>
            <w:vAlign w:val="bottom"/>
          </w:tcPr>
          <w:p w14:paraId="5556AC62"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44,804</w:t>
            </w:r>
          </w:p>
        </w:tc>
        <w:tc>
          <w:tcPr>
            <w:tcW w:w="0" w:type="auto"/>
            <w:shd w:val="clear" w:color="auto" w:fill="auto"/>
            <w:vAlign w:val="bottom"/>
          </w:tcPr>
          <w:p w14:paraId="5556AC63" w14:textId="77777777" w:rsidR="00F925DD" w:rsidRDefault="00F925DD">
            <w:pPr>
              <w:textAlignment w:val="bottom"/>
              <w:rPr>
                <w:rFonts w:ascii="Times New Roman" w:hAnsi="Times New Roman"/>
                <w:sz w:val="20"/>
                <w:szCs w:val="20"/>
              </w:rPr>
            </w:pPr>
          </w:p>
        </w:tc>
      </w:tr>
      <w:tr w:rsidR="00F925DD" w14:paraId="5556AC6B" w14:textId="77777777">
        <w:tc>
          <w:tcPr>
            <w:tcW w:w="0" w:type="auto"/>
            <w:shd w:val="clear" w:color="auto" w:fill="CCEEFF"/>
            <w:tcMar>
              <w:top w:w="40" w:type="dxa"/>
              <w:left w:w="400" w:type="dxa"/>
              <w:bottom w:w="40" w:type="dxa"/>
              <w:right w:w="40" w:type="dxa"/>
            </w:tcMar>
            <w:vAlign w:val="bottom"/>
          </w:tcPr>
          <w:p w14:paraId="5556AC65" w14:textId="77777777" w:rsidR="00F925DD" w:rsidRDefault="00E705D7">
            <w:pPr>
              <w:textAlignment w:val="bottom"/>
              <w:rPr>
                <w:rFonts w:ascii="Times New Roman" w:hAnsi="Times New Roman"/>
                <w:sz w:val="18"/>
                <w:szCs w:val="18"/>
              </w:rPr>
            </w:pPr>
            <w:r>
              <w:rPr>
                <w:rFonts w:ascii="Arial" w:eastAsia="宋体" w:hAnsi="Arial" w:cs="Arial"/>
                <w:sz w:val="18"/>
                <w:szCs w:val="18"/>
              </w:rPr>
              <w:t>Interest-bearing - U.S.</w:t>
            </w:r>
          </w:p>
        </w:tc>
        <w:tc>
          <w:tcPr>
            <w:tcW w:w="0" w:type="auto"/>
            <w:gridSpan w:val="2"/>
            <w:shd w:val="clear" w:color="auto" w:fill="CCEEFF"/>
            <w:tcMar>
              <w:top w:w="40" w:type="dxa"/>
              <w:left w:w="40" w:type="dxa"/>
              <w:bottom w:w="40" w:type="dxa"/>
            </w:tcMar>
            <w:vAlign w:val="bottom"/>
          </w:tcPr>
          <w:p w14:paraId="5556AC66"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77,504</w:t>
            </w:r>
          </w:p>
        </w:tc>
        <w:tc>
          <w:tcPr>
            <w:tcW w:w="0" w:type="auto"/>
            <w:shd w:val="clear" w:color="auto" w:fill="CCEEFF"/>
            <w:vAlign w:val="bottom"/>
          </w:tcPr>
          <w:p w14:paraId="5556AC6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69"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66,235</w:t>
            </w:r>
          </w:p>
        </w:tc>
        <w:tc>
          <w:tcPr>
            <w:tcW w:w="0" w:type="auto"/>
            <w:shd w:val="clear" w:color="auto" w:fill="CCEEFF"/>
            <w:vAlign w:val="bottom"/>
          </w:tcPr>
          <w:p w14:paraId="5556AC6A" w14:textId="77777777" w:rsidR="00F925DD" w:rsidRDefault="00F925DD">
            <w:pPr>
              <w:textAlignment w:val="bottom"/>
              <w:rPr>
                <w:rFonts w:ascii="Times New Roman" w:hAnsi="Times New Roman"/>
                <w:sz w:val="20"/>
                <w:szCs w:val="20"/>
              </w:rPr>
            </w:pPr>
          </w:p>
        </w:tc>
      </w:tr>
      <w:tr w:rsidR="00F925DD" w14:paraId="5556AC72" w14:textId="77777777">
        <w:tc>
          <w:tcPr>
            <w:tcW w:w="0" w:type="auto"/>
            <w:shd w:val="clear" w:color="auto" w:fill="auto"/>
            <w:tcMar>
              <w:top w:w="40" w:type="dxa"/>
              <w:left w:w="400" w:type="dxa"/>
              <w:bottom w:w="40" w:type="dxa"/>
              <w:right w:w="40" w:type="dxa"/>
            </w:tcMar>
            <w:vAlign w:val="bottom"/>
          </w:tcPr>
          <w:p w14:paraId="5556AC6C" w14:textId="77777777" w:rsidR="00F925DD" w:rsidRDefault="00E705D7">
            <w:pPr>
              <w:textAlignment w:val="bottom"/>
              <w:rPr>
                <w:rFonts w:ascii="Times New Roman" w:hAnsi="Times New Roman"/>
                <w:sz w:val="18"/>
                <w:szCs w:val="18"/>
              </w:rPr>
            </w:pPr>
            <w:r>
              <w:rPr>
                <w:rFonts w:ascii="Arial" w:eastAsia="宋体" w:hAnsi="Arial" w:cs="Arial"/>
                <w:sz w:val="18"/>
                <w:szCs w:val="18"/>
              </w:rPr>
              <w:t>Interest-bearing - non-U.S.</w:t>
            </w:r>
          </w:p>
        </w:tc>
        <w:tc>
          <w:tcPr>
            <w:tcW w:w="0" w:type="auto"/>
            <w:gridSpan w:val="2"/>
            <w:tcBorders>
              <w:bottom w:val="single" w:sz="8" w:space="0" w:color="000000"/>
            </w:tcBorders>
            <w:shd w:val="clear" w:color="auto" w:fill="auto"/>
            <w:tcMar>
              <w:top w:w="40" w:type="dxa"/>
              <w:left w:w="40" w:type="dxa"/>
              <w:bottom w:w="40" w:type="dxa"/>
            </w:tcMar>
            <w:vAlign w:val="bottom"/>
          </w:tcPr>
          <w:p w14:paraId="5556AC6D"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70,337</w:t>
            </w:r>
          </w:p>
        </w:tc>
        <w:tc>
          <w:tcPr>
            <w:tcW w:w="0" w:type="auto"/>
            <w:tcBorders>
              <w:bottom w:val="single" w:sz="8" w:space="0" w:color="000000"/>
            </w:tcBorders>
            <w:shd w:val="clear" w:color="auto" w:fill="auto"/>
            <w:vAlign w:val="bottom"/>
          </w:tcPr>
          <w:p w14:paraId="5556AC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AC70"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69,321</w:t>
            </w:r>
          </w:p>
        </w:tc>
        <w:tc>
          <w:tcPr>
            <w:tcW w:w="0" w:type="auto"/>
            <w:tcBorders>
              <w:bottom w:val="single" w:sz="8" w:space="0" w:color="000000"/>
            </w:tcBorders>
            <w:shd w:val="clear" w:color="auto" w:fill="auto"/>
            <w:vAlign w:val="bottom"/>
          </w:tcPr>
          <w:p w14:paraId="5556AC71" w14:textId="77777777" w:rsidR="00F925DD" w:rsidRDefault="00F925DD">
            <w:pPr>
              <w:textAlignment w:val="bottom"/>
              <w:rPr>
                <w:rFonts w:ascii="Times New Roman" w:hAnsi="Times New Roman"/>
                <w:sz w:val="20"/>
                <w:szCs w:val="20"/>
              </w:rPr>
            </w:pPr>
          </w:p>
        </w:tc>
      </w:tr>
      <w:tr w:rsidR="00F925DD" w14:paraId="5556AC79" w14:textId="77777777">
        <w:tc>
          <w:tcPr>
            <w:tcW w:w="0" w:type="auto"/>
            <w:shd w:val="clear" w:color="auto" w:fill="CCEEFF"/>
            <w:tcMar>
              <w:top w:w="40" w:type="dxa"/>
              <w:left w:w="40" w:type="dxa"/>
              <w:bottom w:w="40" w:type="dxa"/>
              <w:right w:w="40" w:type="dxa"/>
            </w:tcMar>
            <w:vAlign w:val="bottom"/>
          </w:tcPr>
          <w:p w14:paraId="5556AC73" w14:textId="77777777" w:rsidR="00F925DD" w:rsidRDefault="00E705D7">
            <w:pPr>
              <w:textAlignment w:val="bottom"/>
              <w:rPr>
                <w:rFonts w:ascii="Times New Roman" w:hAnsi="Times New Roman"/>
                <w:sz w:val="18"/>
                <w:szCs w:val="18"/>
              </w:rPr>
            </w:pPr>
            <w:r>
              <w:rPr>
                <w:rFonts w:ascii="Arial" w:eastAsia="宋体" w:hAnsi="Arial" w:cs="Arial"/>
                <w:sz w:val="18"/>
                <w:szCs w:val="18"/>
              </w:rPr>
              <w:t>Total deposits</w:t>
            </w:r>
          </w:p>
        </w:tc>
        <w:tc>
          <w:tcPr>
            <w:tcW w:w="0" w:type="auto"/>
            <w:gridSpan w:val="2"/>
            <w:tcBorders>
              <w:top w:val="single" w:sz="8" w:space="0" w:color="000000"/>
            </w:tcBorders>
            <w:shd w:val="clear" w:color="auto" w:fill="CCEEFF"/>
            <w:tcMar>
              <w:top w:w="40" w:type="dxa"/>
              <w:left w:w="40" w:type="dxa"/>
              <w:bottom w:w="40" w:type="dxa"/>
            </w:tcMar>
            <w:vAlign w:val="bottom"/>
          </w:tcPr>
          <w:p w14:paraId="5556AC74"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181,872</w:t>
            </w:r>
          </w:p>
        </w:tc>
        <w:tc>
          <w:tcPr>
            <w:tcW w:w="0" w:type="auto"/>
            <w:tcBorders>
              <w:top w:val="single" w:sz="8" w:space="0" w:color="000000"/>
            </w:tcBorders>
            <w:shd w:val="clear" w:color="auto" w:fill="CCEEFF"/>
            <w:vAlign w:val="bottom"/>
          </w:tcPr>
          <w:p w14:paraId="5556AC7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AC77"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180,360</w:t>
            </w:r>
          </w:p>
        </w:tc>
        <w:tc>
          <w:tcPr>
            <w:tcW w:w="0" w:type="auto"/>
            <w:tcBorders>
              <w:top w:val="single" w:sz="8" w:space="0" w:color="000000"/>
            </w:tcBorders>
            <w:shd w:val="clear" w:color="auto" w:fill="CCEEFF"/>
            <w:vAlign w:val="bottom"/>
          </w:tcPr>
          <w:p w14:paraId="5556AC78" w14:textId="77777777" w:rsidR="00F925DD" w:rsidRDefault="00F925DD">
            <w:pPr>
              <w:textAlignment w:val="bottom"/>
              <w:rPr>
                <w:rFonts w:ascii="Times New Roman" w:hAnsi="Times New Roman"/>
                <w:sz w:val="20"/>
                <w:szCs w:val="20"/>
              </w:rPr>
            </w:pPr>
          </w:p>
        </w:tc>
      </w:tr>
      <w:tr w:rsidR="00F925DD" w14:paraId="5556AC80" w14:textId="77777777">
        <w:tc>
          <w:tcPr>
            <w:tcW w:w="0" w:type="auto"/>
            <w:shd w:val="clear" w:color="auto" w:fill="auto"/>
            <w:tcMar>
              <w:top w:w="40" w:type="dxa"/>
              <w:left w:w="40" w:type="dxa"/>
              <w:bottom w:w="40" w:type="dxa"/>
              <w:right w:w="40" w:type="dxa"/>
            </w:tcMar>
            <w:vAlign w:val="bottom"/>
          </w:tcPr>
          <w:p w14:paraId="5556AC7A"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Securities sold under </w:t>
            </w:r>
            <w:r>
              <w:rPr>
                <w:rFonts w:ascii="Arial" w:eastAsia="宋体" w:hAnsi="Arial" w:cs="Arial"/>
                <w:sz w:val="18"/>
                <w:szCs w:val="18"/>
              </w:rPr>
              <w:t>repurchase agreements</w:t>
            </w:r>
          </w:p>
        </w:tc>
        <w:tc>
          <w:tcPr>
            <w:tcW w:w="0" w:type="auto"/>
            <w:gridSpan w:val="2"/>
            <w:shd w:val="clear" w:color="auto" w:fill="auto"/>
            <w:tcMar>
              <w:top w:w="40" w:type="dxa"/>
              <w:left w:w="40" w:type="dxa"/>
              <w:bottom w:w="40" w:type="dxa"/>
            </w:tcMar>
            <w:vAlign w:val="bottom"/>
          </w:tcPr>
          <w:p w14:paraId="5556AC7B"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1,102</w:t>
            </w:r>
          </w:p>
        </w:tc>
        <w:tc>
          <w:tcPr>
            <w:tcW w:w="0" w:type="auto"/>
            <w:shd w:val="clear" w:color="auto" w:fill="auto"/>
            <w:vAlign w:val="bottom"/>
          </w:tcPr>
          <w:p w14:paraId="5556AC7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7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1,082</w:t>
            </w:r>
          </w:p>
        </w:tc>
        <w:tc>
          <w:tcPr>
            <w:tcW w:w="0" w:type="auto"/>
            <w:shd w:val="clear" w:color="auto" w:fill="auto"/>
            <w:vAlign w:val="bottom"/>
          </w:tcPr>
          <w:p w14:paraId="5556AC7F" w14:textId="77777777" w:rsidR="00F925DD" w:rsidRDefault="00F925DD">
            <w:pPr>
              <w:textAlignment w:val="bottom"/>
              <w:rPr>
                <w:rFonts w:ascii="Times New Roman" w:hAnsi="Times New Roman"/>
                <w:sz w:val="20"/>
                <w:szCs w:val="20"/>
              </w:rPr>
            </w:pPr>
          </w:p>
        </w:tc>
      </w:tr>
      <w:tr w:rsidR="00F925DD" w14:paraId="5556AC87" w14:textId="77777777">
        <w:tc>
          <w:tcPr>
            <w:tcW w:w="0" w:type="auto"/>
            <w:shd w:val="clear" w:color="auto" w:fill="CCEEFF"/>
            <w:tcMar>
              <w:top w:w="40" w:type="dxa"/>
              <w:left w:w="40" w:type="dxa"/>
              <w:bottom w:w="40" w:type="dxa"/>
              <w:right w:w="40" w:type="dxa"/>
            </w:tcMar>
            <w:vAlign w:val="bottom"/>
          </w:tcPr>
          <w:p w14:paraId="5556AC81" w14:textId="77777777" w:rsidR="00F925DD" w:rsidRDefault="00E705D7">
            <w:pPr>
              <w:textAlignment w:val="bottom"/>
              <w:rPr>
                <w:rFonts w:ascii="Times New Roman" w:hAnsi="Times New Roman"/>
                <w:sz w:val="18"/>
                <w:szCs w:val="18"/>
              </w:rPr>
            </w:pPr>
            <w:r>
              <w:rPr>
                <w:rFonts w:ascii="Arial" w:eastAsia="宋体" w:hAnsi="Arial" w:cs="Arial"/>
                <w:sz w:val="18"/>
                <w:szCs w:val="18"/>
              </w:rPr>
              <w:t>Other short-term borrowings</w:t>
            </w:r>
          </w:p>
        </w:tc>
        <w:tc>
          <w:tcPr>
            <w:tcW w:w="0" w:type="auto"/>
            <w:gridSpan w:val="2"/>
            <w:shd w:val="clear" w:color="auto" w:fill="CCEEFF"/>
            <w:tcMar>
              <w:top w:w="40" w:type="dxa"/>
              <w:left w:w="40" w:type="dxa"/>
              <w:bottom w:w="40" w:type="dxa"/>
            </w:tcMar>
            <w:vAlign w:val="bottom"/>
          </w:tcPr>
          <w:p w14:paraId="5556AC82"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839</w:t>
            </w:r>
          </w:p>
        </w:tc>
        <w:tc>
          <w:tcPr>
            <w:tcW w:w="0" w:type="auto"/>
            <w:shd w:val="clear" w:color="auto" w:fill="CCEEFF"/>
            <w:vAlign w:val="bottom"/>
          </w:tcPr>
          <w:p w14:paraId="5556AC8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8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3,092</w:t>
            </w:r>
          </w:p>
        </w:tc>
        <w:tc>
          <w:tcPr>
            <w:tcW w:w="0" w:type="auto"/>
            <w:shd w:val="clear" w:color="auto" w:fill="CCEEFF"/>
            <w:vAlign w:val="bottom"/>
          </w:tcPr>
          <w:p w14:paraId="5556AC86" w14:textId="77777777" w:rsidR="00F925DD" w:rsidRDefault="00F925DD">
            <w:pPr>
              <w:textAlignment w:val="bottom"/>
              <w:rPr>
                <w:rFonts w:ascii="Times New Roman" w:hAnsi="Times New Roman"/>
                <w:sz w:val="20"/>
                <w:szCs w:val="20"/>
              </w:rPr>
            </w:pPr>
          </w:p>
        </w:tc>
      </w:tr>
      <w:tr w:rsidR="00F925DD" w14:paraId="5556AC8E" w14:textId="77777777">
        <w:tc>
          <w:tcPr>
            <w:tcW w:w="0" w:type="auto"/>
            <w:shd w:val="clear" w:color="auto" w:fill="auto"/>
            <w:tcMar>
              <w:top w:w="40" w:type="dxa"/>
              <w:left w:w="40" w:type="dxa"/>
              <w:bottom w:w="40" w:type="dxa"/>
              <w:right w:w="40" w:type="dxa"/>
            </w:tcMar>
            <w:vAlign w:val="bottom"/>
          </w:tcPr>
          <w:p w14:paraId="5556AC88" w14:textId="77777777" w:rsidR="00F925DD" w:rsidRDefault="00E705D7">
            <w:pPr>
              <w:textAlignment w:val="bottom"/>
              <w:rPr>
                <w:rFonts w:ascii="Times New Roman" w:hAnsi="Times New Roman"/>
                <w:sz w:val="18"/>
                <w:szCs w:val="18"/>
              </w:rPr>
            </w:pPr>
            <w:r>
              <w:rPr>
                <w:rFonts w:ascii="Arial" w:eastAsia="宋体" w:hAnsi="Arial" w:cs="Arial"/>
                <w:sz w:val="18"/>
                <w:szCs w:val="18"/>
              </w:rPr>
              <w:t>Accrued expenses and other liabilities</w:t>
            </w:r>
          </w:p>
        </w:tc>
        <w:tc>
          <w:tcPr>
            <w:tcW w:w="0" w:type="auto"/>
            <w:gridSpan w:val="2"/>
            <w:shd w:val="clear" w:color="auto" w:fill="auto"/>
            <w:tcMar>
              <w:top w:w="40" w:type="dxa"/>
              <w:left w:w="40" w:type="dxa"/>
              <w:bottom w:w="40" w:type="dxa"/>
            </w:tcMar>
            <w:vAlign w:val="bottom"/>
          </w:tcPr>
          <w:p w14:paraId="5556AC89"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24,857</w:t>
            </w:r>
          </w:p>
        </w:tc>
        <w:tc>
          <w:tcPr>
            <w:tcW w:w="0" w:type="auto"/>
            <w:shd w:val="clear" w:color="auto" w:fill="auto"/>
            <w:vAlign w:val="bottom"/>
          </w:tcPr>
          <w:p w14:paraId="5556AC8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8C"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24,232</w:t>
            </w:r>
          </w:p>
        </w:tc>
        <w:tc>
          <w:tcPr>
            <w:tcW w:w="0" w:type="auto"/>
            <w:shd w:val="clear" w:color="auto" w:fill="auto"/>
            <w:vAlign w:val="bottom"/>
          </w:tcPr>
          <w:p w14:paraId="5556AC8D" w14:textId="77777777" w:rsidR="00F925DD" w:rsidRDefault="00F925DD">
            <w:pPr>
              <w:textAlignment w:val="bottom"/>
              <w:rPr>
                <w:rFonts w:ascii="Times New Roman" w:hAnsi="Times New Roman"/>
                <w:sz w:val="20"/>
                <w:szCs w:val="20"/>
              </w:rPr>
            </w:pPr>
          </w:p>
        </w:tc>
      </w:tr>
      <w:tr w:rsidR="00F925DD" w14:paraId="5556AC95" w14:textId="77777777">
        <w:tc>
          <w:tcPr>
            <w:tcW w:w="0" w:type="auto"/>
            <w:shd w:val="clear" w:color="auto" w:fill="CCEEFF"/>
            <w:tcMar>
              <w:top w:w="40" w:type="dxa"/>
              <w:left w:w="40" w:type="dxa"/>
              <w:bottom w:w="40" w:type="dxa"/>
              <w:right w:w="40" w:type="dxa"/>
            </w:tcMar>
            <w:vAlign w:val="bottom"/>
          </w:tcPr>
          <w:p w14:paraId="5556AC8F" w14:textId="77777777" w:rsidR="00F925DD" w:rsidRDefault="00E705D7">
            <w:pPr>
              <w:textAlignment w:val="bottom"/>
              <w:rPr>
                <w:rFonts w:ascii="Times New Roman" w:hAnsi="Times New Roman"/>
                <w:sz w:val="18"/>
                <w:szCs w:val="18"/>
              </w:rPr>
            </w:pPr>
            <w:r>
              <w:rPr>
                <w:rFonts w:ascii="Arial" w:eastAsia="宋体" w:hAnsi="Arial" w:cs="Arial"/>
                <w:sz w:val="18"/>
                <w:szCs w:val="18"/>
              </w:rPr>
              <w:t>Long-term debt</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C90"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12,509</w:t>
            </w:r>
          </w:p>
        </w:tc>
        <w:tc>
          <w:tcPr>
            <w:tcW w:w="0" w:type="auto"/>
            <w:tcBorders>
              <w:bottom w:val="single" w:sz="8" w:space="0" w:color="000000"/>
            </w:tcBorders>
            <w:shd w:val="clear" w:color="auto" w:fill="CCEEFF"/>
            <w:vAlign w:val="bottom"/>
          </w:tcPr>
          <w:p w14:paraId="5556AC9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C93"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11,093</w:t>
            </w:r>
          </w:p>
        </w:tc>
        <w:tc>
          <w:tcPr>
            <w:tcW w:w="0" w:type="auto"/>
            <w:tcBorders>
              <w:bottom w:val="single" w:sz="8" w:space="0" w:color="000000"/>
            </w:tcBorders>
            <w:shd w:val="clear" w:color="auto" w:fill="CCEEFF"/>
            <w:vAlign w:val="bottom"/>
          </w:tcPr>
          <w:p w14:paraId="5556AC94" w14:textId="77777777" w:rsidR="00F925DD" w:rsidRDefault="00F925DD">
            <w:pPr>
              <w:textAlignment w:val="bottom"/>
              <w:rPr>
                <w:rFonts w:ascii="Times New Roman" w:hAnsi="Times New Roman"/>
                <w:sz w:val="20"/>
                <w:szCs w:val="20"/>
              </w:rPr>
            </w:pPr>
          </w:p>
        </w:tc>
      </w:tr>
      <w:tr w:rsidR="00F925DD" w14:paraId="5556AC9C" w14:textId="77777777">
        <w:tc>
          <w:tcPr>
            <w:tcW w:w="0" w:type="auto"/>
            <w:shd w:val="clear" w:color="auto" w:fill="auto"/>
            <w:tcMar>
              <w:top w:w="40" w:type="dxa"/>
              <w:left w:w="40" w:type="dxa"/>
              <w:bottom w:w="40" w:type="dxa"/>
              <w:right w:w="40" w:type="dxa"/>
            </w:tcMar>
            <w:vAlign w:val="bottom"/>
          </w:tcPr>
          <w:p w14:paraId="5556AC96"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Total liabilities</w:t>
            </w:r>
          </w:p>
        </w:tc>
        <w:tc>
          <w:tcPr>
            <w:tcW w:w="0" w:type="auto"/>
            <w:gridSpan w:val="2"/>
            <w:tcBorders>
              <w:top w:val="single" w:sz="8" w:space="0" w:color="000000"/>
            </w:tcBorders>
            <w:shd w:val="clear" w:color="auto" w:fill="auto"/>
            <w:tcMar>
              <w:top w:w="40" w:type="dxa"/>
              <w:left w:w="40" w:type="dxa"/>
              <w:bottom w:w="40" w:type="dxa"/>
            </w:tcMar>
            <w:vAlign w:val="bottom"/>
          </w:tcPr>
          <w:p w14:paraId="5556AC97"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221,179</w:t>
            </w:r>
          </w:p>
        </w:tc>
        <w:tc>
          <w:tcPr>
            <w:tcW w:w="0" w:type="auto"/>
            <w:tcBorders>
              <w:top w:val="single" w:sz="8" w:space="0" w:color="000000"/>
            </w:tcBorders>
            <w:shd w:val="clear" w:color="auto" w:fill="auto"/>
            <w:vAlign w:val="bottom"/>
          </w:tcPr>
          <w:p w14:paraId="5556AC9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AC9A"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219,859</w:t>
            </w:r>
          </w:p>
        </w:tc>
        <w:tc>
          <w:tcPr>
            <w:tcW w:w="0" w:type="auto"/>
            <w:tcBorders>
              <w:top w:val="single" w:sz="8" w:space="0" w:color="000000"/>
            </w:tcBorders>
            <w:shd w:val="clear" w:color="auto" w:fill="auto"/>
            <w:vAlign w:val="bottom"/>
          </w:tcPr>
          <w:p w14:paraId="5556AC9B" w14:textId="77777777" w:rsidR="00F925DD" w:rsidRDefault="00F925DD">
            <w:pPr>
              <w:textAlignment w:val="bottom"/>
              <w:rPr>
                <w:rFonts w:ascii="Times New Roman" w:hAnsi="Times New Roman"/>
                <w:sz w:val="20"/>
                <w:szCs w:val="20"/>
              </w:rPr>
            </w:pPr>
          </w:p>
        </w:tc>
      </w:tr>
      <w:tr w:rsidR="00F925DD" w14:paraId="5556ACA1" w14:textId="77777777">
        <w:tc>
          <w:tcPr>
            <w:tcW w:w="0" w:type="auto"/>
            <w:shd w:val="clear" w:color="auto" w:fill="CCEEFF"/>
            <w:tcMar>
              <w:top w:w="40" w:type="dxa"/>
              <w:left w:w="40" w:type="dxa"/>
              <w:bottom w:w="40" w:type="dxa"/>
              <w:right w:w="40" w:type="dxa"/>
            </w:tcMar>
            <w:vAlign w:val="bottom"/>
          </w:tcPr>
          <w:p w14:paraId="5556AC9D"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Commitments, guarantees and </w:t>
            </w:r>
            <w:r>
              <w:rPr>
                <w:rFonts w:ascii="Arial" w:eastAsia="宋体" w:hAnsi="Arial" w:cs="Arial"/>
                <w:sz w:val="18"/>
                <w:szCs w:val="18"/>
              </w:rPr>
              <w:t>contingencies (Notes 12 and 13)</w:t>
            </w:r>
          </w:p>
        </w:tc>
        <w:tc>
          <w:tcPr>
            <w:tcW w:w="0" w:type="auto"/>
            <w:gridSpan w:val="3"/>
            <w:shd w:val="clear" w:color="auto" w:fill="CCEEFF"/>
            <w:tcMar>
              <w:top w:w="40" w:type="dxa"/>
              <w:left w:w="40" w:type="dxa"/>
              <w:bottom w:w="40" w:type="dxa"/>
              <w:right w:w="40" w:type="dxa"/>
            </w:tcMar>
            <w:vAlign w:val="bottom"/>
          </w:tcPr>
          <w:p w14:paraId="5556AC9E" w14:textId="77777777" w:rsidR="00F925DD" w:rsidRDefault="00F925DD">
            <w:pPr>
              <w:textAlignment w:val="bottom"/>
              <w:rPr>
                <w:rFonts w:ascii="Times New Roman" w:hAnsi="Times New Roman"/>
                <w:sz w:val="18"/>
                <w:szCs w:val="18"/>
              </w:rPr>
            </w:pPr>
          </w:p>
        </w:tc>
        <w:tc>
          <w:tcPr>
            <w:tcW w:w="0" w:type="auto"/>
            <w:shd w:val="clear" w:color="auto" w:fill="CCEEFF"/>
            <w:tcMar>
              <w:top w:w="40" w:type="dxa"/>
              <w:left w:w="40" w:type="dxa"/>
              <w:bottom w:w="40" w:type="dxa"/>
              <w:right w:w="40" w:type="dxa"/>
            </w:tcMar>
            <w:vAlign w:val="bottom"/>
          </w:tcPr>
          <w:p w14:paraId="5556AC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CA0" w14:textId="77777777" w:rsidR="00F925DD" w:rsidRDefault="00F925DD">
            <w:pPr>
              <w:textAlignment w:val="bottom"/>
              <w:rPr>
                <w:rFonts w:ascii="Times New Roman" w:hAnsi="Times New Roman"/>
                <w:sz w:val="18"/>
                <w:szCs w:val="18"/>
              </w:rPr>
            </w:pPr>
          </w:p>
        </w:tc>
      </w:tr>
      <w:tr w:rsidR="00F925DD" w14:paraId="5556ACA6" w14:textId="77777777">
        <w:tc>
          <w:tcPr>
            <w:tcW w:w="0" w:type="auto"/>
            <w:shd w:val="clear" w:color="auto" w:fill="auto"/>
            <w:tcMar>
              <w:top w:w="40" w:type="dxa"/>
              <w:left w:w="40" w:type="dxa"/>
              <w:bottom w:w="40" w:type="dxa"/>
              <w:right w:w="40" w:type="dxa"/>
            </w:tcMar>
            <w:vAlign w:val="bottom"/>
          </w:tcPr>
          <w:p w14:paraId="5556ACA2"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Shareholders’ equity:</w:t>
            </w:r>
          </w:p>
        </w:tc>
        <w:tc>
          <w:tcPr>
            <w:tcW w:w="0" w:type="auto"/>
            <w:gridSpan w:val="3"/>
            <w:shd w:val="clear" w:color="auto" w:fill="auto"/>
            <w:tcMar>
              <w:top w:w="40" w:type="dxa"/>
              <w:left w:w="40" w:type="dxa"/>
              <w:bottom w:w="40" w:type="dxa"/>
              <w:right w:w="40" w:type="dxa"/>
            </w:tcMar>
            <w:vAlign w:val="bottom"/>
          </w:tcPr>
          <w:p w14:paraId="5556AC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C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C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CAB" w14:textId="77777777">
        <w:tc>
          <w:tcPr>
            <w:tcW w:w="0" w:type="auto"/>
            <w:shd w:val="clear" w:color="auto" w:fill="CCEEFF"/>
            <w:tcMar>
              <w:top w:w="40" w:type="dxa"/>
              <w:left w:w="40" w:type="dxa"/>
              <w:bottom w:w="40" w:type="dxa"/>
              <w:right w:w="40" w:type="dxa"/>
            </w:tcMar>
            <w:vAlign w:val="bottom"/>
          </w:tcPr>
          <w:p w14:paraId="5556ACA7" w14:textId="77777777" w:rsidR="00F925DD" w:rsidRDefault="00E705D7">
            <w:pPr>
              <w:textAlignment w:val="bottom"/>
              <w:rPr>
                <w:rFonts w:ascii="Times New Roman" w:hAnsi="Times New Roman"/>
                <w:sz w:val="18"/>
                <w:szCs w:val="18"/>
              </w:rPr>
            </w:pPr>
            <w:r>
              <w:rPr>
                <w:rFonts w:ascii="Arial" w:eastAsia="宋体" w:hAnsi="Arial" w:cs="Arial"/>
                <w:sz w:val="18"/>
                <w:szCs w:val="18"/>
              </w:rPr>
              <w:t>Preferred stock, no par, 3,500,000 shares authorized:</w:t>
            </w:r>
          </w:p>
        </w:tc>
        <w:tc>
          <w:tcPr>
            <w:tcW w:w="0" w:type="auto"/>
            <w:gridSpan w:val="3"/>
            <w:shd w:val="clear" w:color="auto" w:fill="CCEEFF"/>
            <w:tcMar>
              <w:top w:w="40" w:type="dxa"/>
              <w:left w:w="40" w:type="dxa"/>
              <w:bottom w:w="40" w:type="dxa"/>
              <w:right w:w="40" w:type="dxa"/>
            </w:tcMar>
            <w:vAlign w:val="bottom"/>
          </w:tcPr>
          <w:p w14:paraId="5556AC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C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C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CB2" w14:textId="77777777">
        <w:tc>
          <w:tcPr>
            <w:tcW w:w="0" w:type="auto"/>
            <w:shd w:val="clear" w:color="auto" w:fill="auto"/>
            <w:tcMar>
              <w:top w:w="40" w:type="dxa"/>
              <w:left w:w="400" w:type="dxa"/>
              <w:bottom w:w="40" w:type="dxa"/>
              <w:right w:w="40" w:type="dxa"/>
            </w:tcMar>
            <w:vAlign w:val="bottom"/>
          </w:tcPr>
          <w:p w14:paraId="5556ACAC" w14:textId="77777777" w:rsidR="00F925DD" w:rsidRDefault="00E705D7">
            <w:pPr>
              <w:textAlignment w:val="bottom"/>
              <w:rPr>
                <w:rFonts w:ascii="Times New Roman" w:hAnsi="Times New Roman"/>
                <w:sz w:val="18"/>
                <w:szCs w:val="18"/>
              </w:rPr>
            </w:pPr>
            <w:r>
              <w:rPr>
                <w:rFonts w:ascii="Arial" w:eastAsia="宋体" w:hAnsi="Arial" w:cs="Arial"/>
                <w:sz w:val="18"/>
                <w:szCs w:val="18"/>
              </w:rPr>
              <w:t>Series C, 5,000 shares issued and outstanding</w:t>
            </w:r>
          </w:p>
        </w:tc>
        <w:tc>
          <w:tcPr>
            <w:tcW w:w="0" w:type="auto"/>
            <w:gridSpan w:val="2"/>
            <w:shd w:val="clear" w:color="auto" w:fill="auto"/>
            <w:tcMar>
              <w:top w:w="40" w:type="dxa"/>
              <w:left w:w="40" w:type="dxa"/>
              <w:bottom w:w="40" w:type="dxa"/>
            </w:tcMar>
            <w:vAlign w:val="bottom"/>
          </w:tcPr>
          <w:p w14:paraId="5556ACAD"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491</w:t>
            </w:r>
          </w:p>
        </w:tc>
        <w:tc>
          <w:tcPr>
            <w:tcW w:w="0" w:type="auto"/>
            <w:shd w:val="clear" w:color="auto" w:fill="auto"/>
            <w:vAlign w:val="bottom"/>
          </w:tcPr>
          <w:p w14:paraId="5556ACA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B0"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491</w:t>
            </w:r>
          </w:p>
        </w:tc>
        <w:tc>
          <w:tcPr>
            <w:tcW w:w="0" w:type="auto"/>
            <w:shd w:val="clear" w:color="auto" w:fill="auto"/>
            <w:vAlign w:val="bottom"/>
          </w:tcPr>
          <w:p w14:paraId="5556ACB1" w14:textId="77777777" w:rsidR="00F925DD" w:rsidRDefault="00F925DD">
            <w:pPr>
              <w:textAlignment w:val="bottom"/>
              <w:rPr>
                <w:rFonts w:ascii="Times New Roman" w:hAnsi="Times New Roman"/>
                <w:sz w:val="20"/>
                <w:szCs w:val="20"/>
              </w:rPr>
            </w:pPr>
          </w:p>
        </w:tc>
      </w:tr>
      <w:tr w:rsidR="00F925DD" w14:paraId="5556ACB9" w14:textId="77777777">
        <w:tc>
          <w:tcPr>
            <w:tcW w:w="0" w:type="auto"/>
            <w:shd w:val="clear" w:color="auto" w:fill="CCEEFF"/>
            <w:tcMar>
              <w:top w:w="40" w:type="dxa"/>
              <w:left w:w="400" w:type="dxa"/>
              <w:bottom w:w="40" w:type="dxa"/>
              <w:right w:w="40" w:type="dxa"/>
            </w:tcMar>
            <w:vAlign w:val="bottom"/>
          </w:tcPr>
          <w:p w14:paraId="5556ACB3" w14:textId="77777777" w:rsidR="00F925DD" w:rsidRDefault="00E705D7">
            <w:pPr>
              <w:textAlignment w:val="bottom"/>
              <w:rPr>
                <w:rFonts w:ascii="Times New Roman" w:hAnsi="Times New Roman"/>
                <w:sz w:val="18"/>
                <w:szCs w:val="18"/>
              </w:rPr>
            </w:pPr>
            <w:r>
              <w:rPr>
                <w:rFonts w:ascii="Arial" w:eastAsia="宋体" w:hAnsi="Arial" w:cs="Arial"/>
                <w:sz w:val="18"/>
                <w:szCs w:val="18"/>
              </w:rPr>
              <w:t>Series D, 7,500 shares issued and outstanding</w:t>
            </w:r>
          </w:p>
        </w:tc>
        <w:tc>
          <w:tcPr>
            <w:tcW w:w="0" w:type="auto"/>
            <w:gridSpan w:val="2"/>
            <w:shd w:val="clear" w:color="auto" w:fill="CCEEFF"/>
            <w:tcMar>
              <w:top w:w="40" w:type="dxa"/>
              <w:left w:w="40" w:type="dxa"/>
              <w:bottom w:w="40" w:type="dxa"/>
            </w:tcMar>
            <w:vAlign w:val="bottom"/>
          </w:tcPr>
          <w:p w14:paraId="5556ACB4"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742</w:t>
            </w:r>
          </w:p>
        </w:tc>
        <w:tc>
          <w:tcPr>
            <w:tcW w:w="0" w:type="auto"/>
            <w:shd w:val="clear" w:color="auto" w:fill="CCEEFF"/>
            <w:vAlign w:val="bottom"/>
          </w:tcPr>
          <w:p w14:paraId="5556AC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B7"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742</w:t>
            </w:r>
          </w:p>
        </w:tc>
        <w:tc>
          <w:tcPr>
            <w:tcW w:w="0" w:type="auto"/>
            <w:shd w:val="clear" w:color="auto" w:fill="CCEEFF"/>
            <w:vAlign w:val="bottom"/>
          </w:tcPr>
          <w:p w14:paraId="5556ACB8" w14:textId="77777777" w:rsidR="00F925DD" w:rsidRDefault="00F925DD">
            <w:pPr>
              <w:textAlignment w:val="bottom"/>
              <w:rPr>
                <w:rFonts w:ascii="Times New Roman" w:hAnsi="Times New Roman"/>
                <w:sz w:val="20"/>
                <w:szCs w:val="20"/>
              </w:rPr>
            </w:pPr>
          </w:p>
        </w:tc>
      </w:tr>
      <w:tr w:rsidR="00F925DD" w14:paraId="5556ACC0" w14:textId="77777777">
        <w:tc>
          <w:tcPr>
            <w:tcW w:w="0" w:type="auto"/>
            <w:shd w:val="clear" w:color="auto" w:fill="auto"/>
            <w:tcMar>
              <w:top w:w="40" w:type="dxa"/>
              <w:left w:w="400" w:type="dxa"/>
              <w:bottom w:w="40" w:type="dxa"/>
              <w:right w:w="40" w:type="dxa"/>
            </w:tcMar>
            <w:vAlign w:val="bottom"/>
          </w:tcPr>
          <w:p w14:paraId="5556ACBA" w14:textId="77777777" w:rsidR="00F925DD" w:rsidRDefault="00E705D7">
            <w:pPr>
              <w:textAlignment w:val="bottom"/>
              <w:rPr>
                <w:rFonts w:ascii="Times New Roman" w:hAnsi="Times New Roman"/>
                <w:sz w:val="18"/>
                <w:szCs w:val="18"/>
              </w:rPr>
            </w:pPr>
            <w:r>
              <w:rPr>
                <w:rFonts w:ascii="Arial" w:eastAsia="宋体" w:hAnsi="Arial" w:cs="Arial"/>
                <w:sz w:val="18"/>
                <w:szCs w:val="18"/>
              </w:rPr>
              <w:t>Series E, 7,500 shares issued and outstanding</w:t>
            </w:r>
          </w:p>
        </w:tc>
        <w:tc>
          <w:tcPr>
            <w:tcW w:w="0" w:type="auto"/>
            <w:gridSpan w:val="2"/>
            <w:shd w:val="clear" w:color="auto" w:fill="auto"/>
            <w:tcMar>
              <w:top w:w="40" w:type="dxa"/>
              <w:left w:w="40" w:type="dxa"/>
              <w:bottom w:w="40" w:type="dxa"/>
            </w:tcMar>
            <w:vAlign w:val="bottom"/>
          </w:tcPr>
          <w:p w14:paraId="5556ACBB"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vAlign w:val="bottom"/>
          </w:tcPr>
          <w:p w14:paraId="5556AC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BE"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728</w:t>
            </w:r>
          </w:p>
        </w:tc>
        <w:tc>
          <w:tcPr>
            <w:tcW w:w="0" w:type="auto"/>
            <w:shd w:val="clear" w:color="auto" w:fill="auto"/>
            <w:vAlign w:val="bottom"/>
          </w:tcPr>
          <w:p w14:paraId="5556ACBF" w14:textId="77777777" w:rsidR="00F925DD" w:rsidRDefault="00F925DD">
            <w:pPr>
              <w:textAlignment w:val="bottom"/>
              <w:rPr>
                <w:rFonts w:ascii="Times New Roman" w:hAnsi="Times New Roman"/>
                <w:sz w:val="20"/>
                <w:szCs w:val="20"/>
              </w:rPr>
            </w:pPr>
          </w:p>
        </w:tc>
      </w:tr>
      <w:tr w:rsidR="00F925DD" w14:paraId="5556ACC7" w14:textId="77777777">
        <w:tc>
          <w:tcPr>
            <w:tcW w:w="0" w:type="auto"/>
            <w:shd w:val="clear" w:color="auto" w:fill="CCEEFF"/>
            <w:tcMar>
              <w:top w:w="40" w:type="dxa"/>
              <w:left w:w="400" w:type="dxa"/>
              <w:bottom w:w="40" w:type="dxa"/>
              <w:right w:w="40" w:type="dxa"/>
            </w:tcMar>
            <w:vAlign w:val="bottom"/>
          </w:tcPr>
          <w:p w14:paraId="5556ACC1" w14:textId="77777777" w:rsidR="00F925DD" w:rsidRDefault="00E705D7">
            <w:pPr>
              <w:textAlignment w:val="bottom"/>
              <w:rPr>
                <w:rFonts w:ascii="Times New Roman" w:hAnsi="Times New Roman"/>
                <w:sz w:val="18"/>
                <w:szCs w:val="18"/>
              </w:rPr>
            </w:pPr>
            <w:r>
              <w:rPr>
                <w:rFonts w:ascii="Arial" w:eastAsia="宋体" w:hAnsi="Arial" w:cs="Arial"/>
                <w:sz w:val="18"/>
                <w:szCs w:val="18"/>
              </w:rPr>
              <w:t>Series F, 7,500 shares issued and outstanding</w:t>
            </w:r>
          </w:p>
        </w:tc>
        <w:tc>
          <w:tcPr>
            <w:tcW w:w="0" w:type="auto"/>
            <w:gridSpan w:val="2"/>
            <w:shd w:val="clear" w:color="auto" w:fill="CCEEFF"/>
            <w:tcMar>
              <w:top w:w="40" w:type="dxa"/>
              <w:left w:w="40" w:type="dxa"/>
              <w:bottom w:w="40" w:type="dxa"/>
            </w:tcMar>
            <w:vAlign w:val="bottom"/>
          </w:tcPr>
          <w:p w14:paraId="5556ACC2"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742</w:t>
            </w:r>
          </w:p>
        </w:tc>
        <w:tc>
          <w:tcPr>
            <w:tcW w:w="0" w:type="auto"/>
            <w:shd w:val="clear" w:color="auto" w:fill="CCEEFF"/>
            <w:vAlign w:val="bottom"/>
          </w:tcPr>
          <w:p w14:paraId="5556ACC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C5"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742</w:t>
            </w:r>
          </w:p>
        </w:tc>
        <w:tc>
          <w:tcPr>
            <w:tcW w:w="0" w:type="auto"/>
            <w:shd w:val="clear" w:color="auto" w:fill="CCEEFF"/>
            <w:vAlign w:val="bottom"/>
          </w:tcPr>
          <w:p w14:paraId="5556ACC6" w14:textId="77777777" w:rsidR="00F925DD" w:rsidRDefault="00F925DD">
            <w:pPr>
              <w:textAlignment w:val="bottom"/>
              <w:rPr>
                <w:rFonts w:ascii="Times New Roman" w:hAnsi="Times New Roman"/>
                <w:sz w:val="20"/>
                <w:szCs w:val="20"/>
              </w:rPr>
            </w:pPr>
          </w:p>
        </w:tc>
      </w:tr>
      <w:tr w:rsidR="00F925DD" w14:paraId="5556ACCE" w14:textId="77777777">
        <w:tc>
          <w:tcPr>
            <w:tcW w:w="0" w:type="auto"/>
            <w:shd w:val="clear" w:color="auto" w:fill="auto"/>
            <w:tcMar>
              <w:top w:w="40" w:type="dxa"/>
              <w:left w:w="400" w:type="dxa"/>
              <w:bottom w:w="40" w:type="dxa"/>
              <w:right w:w="40" w:type="dxa"/>
            </w:tcMar>
            <w:vAlign w:val="bottom"/>
          </w:tcPr>
          <w:p w14:paraId="5556ACC8" w14:textId="77777777" w:rsidR="00F925DD" w:rsidRDefault="00E705D7">
            <w:pPr>
              <w:textAlignment w:val="bottom"/>
              <w:rPr>
                <w:rFonts w:ascii="Times New Roman" w:hAnsi="Times New Roman"/>
                <w:sz w:val="18"/>
                <w:szCs w:val="18"/>
              </w:rPr>
            </w:pPr>
            <w:r>
              <w:rPr>
                <w:rFonts w:ascii="Arial" w:eastAsia="宋体" w:hAnsi="Arial" w:cs="Arial"/>
                <w:sz w:val="18"/>
                <w:szCs w:val="18"/>
              </w:rPr>
              <w:t>Series G, 5,000 shares issued and outstanding</w:t>
            </w:r>
          </w:p>
        </w:tc>
        <w:tc>
          <w:tcPr>
            <w:tcW w:w="0" w:type="auto"/>
            <w:gridSpan w:val="2"/>
            <w:shd w:val="clear" w:color="auto" w:fill="auto"/>
            <w:tcMar>
              <w:top w:w="40" w:type="dxa"/>
              <w:left w:w="40" w:type="dxa"/>
              <w:bottom w:w="40" w:type="dxa"/>
            </w:tcMar>
            <w:vAlign w:val="bottom"/>
          </w:tcPr>
          <w:p w14:paraId="5556ACC9"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493</w:t>
            </w:r>
          </w:p>
        </w:tc>
        <w:tc>
          <w:tcPr>
            <w:tcW w:w="0" w:type="auto"/>
            <w:shd w:val="clear" w:color="auto" w:fill="auto"/>
            <w:vAlign w:val="bottom"/>
          </w:tcPr>
          <w:p w14:paraId="5556ACC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CC"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493</w:t>
            </w:r>
          </w:p>
        </w:tc>
        <w:tc>
          <w:tcPr>
            <w:tcW w:w="0" w:type="auto"/>
            <w:shd w:val="clear" w:color="auto" w:fill="auto"/>
            <w:vAlign w:val="bottom"/>
          </w:tcPr>
          <w:p w14:paraId="5556ACCD" w14:textId="77777777" w:rsidR="00F925DD" w:rsidRDefault="00F925DD">
            <w:pPr>
              <w:textAlignment w:val="bottom"/>
              <w:rPr>
                <w:rFonts w:ascii="Times New Roman" w:hAnsi="Times New Roman"/>
                <w:sz w:val="20"/>
                <w:szCs w:val="20"/>
              </w:rPr>
            </w:pPr>
          </w:p>
        </w:tc>
      </w:tr>
      <w:tr w:rsidR="00F925DD" w14:paraId="5556ACD5" w14:textId="77777777">
        <w:tc>
          <w:tcPr>
            <w:tcW w:w="0" w:type="auto"/>
            <w:shd w:val="clear" w:color="auto" w:fill="CCEEFF"/>
            <w:tcMar>
              <w:top w:w="40" w:type="dxa"/>
              <w:left w:w="400" w:type="dxa"/>
              <w:bottom w:w="40" w:type="dxa"/>
              <w:right w:w="40" w:type="dxa"/>
            </w:tcMar>
            <w:vAlign w:val="bottom"/>
          </w:tcPr>
          <w:p w14:paraId="5556ACCF" w14:textId="77777777" w:rsidR="00F925DD" w:rsidRDefault="00E705D7">
            <w:pPr>
              <w:textAlignment w:val="bottom"/>
              <w:rPr>
                <w:rFonts w:ascii="Times New Roman" w:hAnsi="Times New Roman"/>
                <w:sz w:val="18"/>
                <w:szCs w:val="18"/>
              </w:rPr>
            </w:pPr>
            <w:r>
              <w:rPr>
                <w:rFonts w:ascii="Arial" w:eastAsia="宋体" w:hAnsi="Arial" w:cs="Arial"/>
                <w:sz w:val="18"/>
                <w:szCs w:val="18"/>
              </w:rPr>
              <w:t>Series H, 5,000 shares issued and outstanding</w:t>
            </w:r>
          </w:p>
        </w:tc>
        <w:tc>
          <w:tcPr>
            <w:tcW w:w="0" w:type="auto"/>
            <w:gridSpan w:val="2"/>
            <w:shd w:val="clear" w:color="auto" w:fill="CCEEFF"/>
            <w:tcMar>
              <w:top w:w="40" w:type="dxa"/>
              <w:left w:w="40" w:type="dxa"/>
              <w:bottom w:w="40" w:type="dxa"/>
            </w:tcMar>
            <w:vAlign w:val="bottom"/>
          </w:tcPr>
          <w:p w14:paraId="5556ACD0"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494</w:t>
            </w:r>
          </w:p>
        </w:tc>
        <w:tc>
          <w:tcPr>
            <w:tcW w:w="0" w:type="auto"/>
            <w:shd w:val="clear" w:color="auto" w:fill="CCEEFF"/>
            <w:vAlign w:val="bottom"/>
          </w:tcPr>
          <w:p w14:paraId="5556ACD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D3"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494</w:t>
            </w:r>
          </w:p>
        </w:tc>
        <w:tc>
          <w:tcPr>
            <w:tcW w:w="0" w:type="auto"/>
            <w:shd w:val="clear" w:color="auto" w:fill="CCEEFF"/>
            <w:vAlign w:val="bottom"/>
          </w:tcPr>
          <w:p w14:paraId="5556ACD4" w14:textId="77777777" w:rsidR="00F925DD" w:rsidRDefault="00F925DD">
            <w:pPr>
              <w:textAlignment w:val="bottom"/>
              <w:rPr>
                <w:rFonts w:ascii="Times New Roman" w:hAnsi="Times New Roman"/>
                <w:sz w:val="20"/>
                <w:szCs w:val="20"/>
              </w:rPr>
            </w:pPr>
          </w:p>
        </w:tc>
      </w:tr>
      <w:tr w:rsidR="00F925DD" w14:paraId="5556ACDA" w14:textId="77777777">
        <w:tc>
          <w:tcPr>
            <w:tcW w:w="0" w:type="auto"/>
            <w:shd w:val="clear" w:color="auto" w:fill="auto"/>
            <w:tcMar>
              <w:top w:w="40" w:type="dxa"/>
              <w:left w:w="40" w:type="dxa"/>
              <w:bottom w:w="40" w:type="dxa"/>
              <w:right w:w="40" w:type="dxa"/>
            </w:tcMar>
            <w:vAlign w:val="bottom"/>
          </w:tcPr>
          <w:p w14:paraId="5556ACD6"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Common stock, $1 </w:t>
            </w:r>
            <w:r>
              <w:rPr>
                <w:rFonts w:ascii="Arial" w:eastAsia="宋体" w:hAnsi="Arial" w:cs="Arial"/>
                <w:sz w:val="18"/>
                <w:szCs w:val="18"/>
              </w:rPr>
              <w:t>par, 750,000,000 shares authorized:</w:t>
            </w:r>
          </w:p>
        </w:tc>
        <w:tc>
          <w:tcPr>
            <w:tcW w:w="0" w:type="auto"/>
            <w:gridSpan w:val="3"/>
            <w:shd w:val="clear" w:color="auto" w:fill="auto"/>
            <w:tcMar>
              <w:top w:w="40" w:type="dxa"/>
              <w:left w:w="40" w:type="dxa"/>
              <w:bottom w:w="40" w:type="dxa"/>
              <w:right w:w="40" w:type="dxa"/>
            </w:tcMar>
            <w:vAlign w:val="bottom"/>
          </w:tcPr>
          <w:p w14:paraId="5556AC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C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C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ACE1" w14:textId="77777777">
        <w:tc>
          <w:tcPr>
            <w:tcW w:w="0" w:type="auto"/>
            <w:shd w:val="clear" w:color="auto" w:fill="CCEEFF"/>
            <w:tcMar>
              <w:top w:w="40" w:type="dxa"/>
              <w:left w:w="400" w:type="dxa"/>
              <w:bottom w:w="40" w:type="dxa"/>
              <w:right w:w="40" w:type="dxa"/>
            </w:tcMar>
            <w:vAlign w:val="bottom"/>
          </w:tcPr>
          <w:p w14:paraId="5556ACDB" w14:textId="77777777" w:rsidR="00F925DD" w:rsidRDefault="00E705D7">
            <w:pPr>
              <w:textAlignment w:val="bottom"/>
              <w:rPr>
                <w:rFonts w:ascii="Times New Roman" w:hAnsi="Times New Roman"/>
                <w:sz w:val="18"/>
                <w:szCs w:val="18"/>
              </w:rPr>
            </w:pPr>
            <w:r>
              <w:rPr>
                <w:rFonts w:ascii="Arial" w:eastAsia="宋体" w:hAnsi="Arial" w:cs="Arial"/>
                <w:sz w:val="18"/>
                <w:szCs w:val="18"/>
                <w:shd w:val="clear" w:color="auto" w:fill="CCEEFF"/>
              </w:rPr>
              <w:t>503,879,642 and 503,879,642 shares issued, and 357,389,416</w:t>
            </w:r>
            <w:r>
              <w:rPr>
                <w:rFonts w:ascii="Arial" w:eastAsia="宋体" w:hAnsi="Arial" w:cs="Arial"/>
                <w:color w:val="FF0000"/>
                <w:sz w:val="18"/>
                <w:szCs w:val="18"/>
                <w:shd w:val="clear" w:color="auto" w:fill="CCEEFF"/>
              </w:rPr>
              <w:t> </w:t>
            </w:r>
            <w:r>
              <w:rPr>
                <w:rFonts w:ascii="Arial" w:eastAsia="宋体" w:hAnsi="Arial" w:cs="Arial"/>
                <w:sz w:val="18"/>
                <w:szCs w:val="18"/>
                <w:shd w:val="clear" w:color="auto" w:fill="CCEEFF"/>
              </w:rPr>
              <w:t>and 379,946,724 shares outstanding</w:t>
            </w:r>
          </w:p>
        </w:tc>
        <w:tc>
          <w:tcPr>
            <w:tcW w:w="0" w:type="auto"/>
            <w:gridSpan w:val="2"/>
            <w:shd w:val="clear" w:color="auto" w:fill="CCEEFF"/>
            <w:tcMar>
              <w:top w:w="40" w:type="dxa"/>
              <w:left w:w="40" w:type="dxa"/>
              <w:bottom w:w="40" w:type="dxa"/>
            </w:tcMar>
            <w:vAlign w:val="bottom"/>
          </w:tcPr>
          <w:p w14:paraId="5556ACDC"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504</w:t>
            </w:r>
          </w:p>
        </w:tc>
        <w:tc>
          <w:tcPr>
            <w:tcW w:w="0" w:type="auto"/>
            <w:shd w:val="clear" w:color="auto" w:fill="CCEEFF"/>
            <w:vAlign w:val="bottom"/>
          </w:tcPr>
          <w:p w14:paraId="5556ACD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CDF"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504</w:t>
            </w:r>
          </w:p>
        </w:tc>
        <w:tc>
          <w:tcPr>
            <w:tcW w:w="0" w:type="auto"/>
            <w:shd w:val="clear" w:color="auto" w:fill="CCEEFF"/>
            <w:vAlign w:val="bottom"/>
          </w:tcPr>
          <w:p w14:paraId="5556ACE0" w14:textId="77777777" w:rsidR="00F925DD" w:rsidRDefault="00F925DD">
            <w:pPr>
              <w:textAlignment w:val="bottom"/>
              <w:rPr>
                <w:rFonts w:ascii="Times New Roman" w:hAnsi="Times New Roman"/>
                <w:sz w:val="20"/>
                <w:szCs w:val="20"/>
              </w:rPr>
            </w:pPr>
          </w:p>
        </w:tc>
      </w:tr>
      <w:tr w:rsidR="00F925DD" w14:paraId="5556ACE8" w14:textId="77777777">
        <w:tc>
          <w:tcPr>
            <w:tcW w:w="0" w:type="auto"/>
            <w:shd w:val="clear" w:color="auto" w:fill="auto"/>
            <w:tcMar>
              <w:top w:w="40" w:type="dxa"/>
              <w:left w:w="40" w:type="dxa"/>
              <w:bottom w:w="40" w:type="dxa"/>
              <w:right w:w="40" w:type="dxa"/>
            </w:tcMar>
            <w:vAlign w:val="bottom"/>
          </w:tcPr>
          <w:p w14:paraId="5556ACE2" w14:textId="77777777" w:rsidR="00F925DD" w:rsidRDefault="00E705D7">
            <w:pPr>
              <w:textAlignment w:val="bottom"/>
              <w:rPr>
                <w:rFonts w:ascii="Times New Roman" w:hAnsi="Times New Roman"/>
                <w:sz w:val="18"/>
                <w:szCs w:val="18"/>
              </w:rPr>
            </w:pPr>
            <w:r>
              <w:rPr>
                <w:rFonts w:ascii="Arial" w:eastAsia="宋体" w:hAnsi="Arial" w:cs="Arial"/>
                <w:sz w:val="18"/>
                <w:szCs w:val="18"/>
              </w:rPr>
              <w:t>Surplus</w:t>
            </w:r>
          </w:p>
        </w:tc>
        <w:tc>
          <w:tcPr>
            <w:tcW w:w="0" w:type="auto"/>
            <w:gridSpan w:val="2"/>
            <w:shd w:val="clear" w:color="auto" w:fill="auto"/>
            <w:tcMar>
              <w:top w:w="40" w:type="dxa"/>
              <w:left w:w="40" w:type="dxa"/>
              <w:bottom w:w="40" w:type="dxa"/>
            </w:tcMar>
            <w:vAlign w:val="bottom"/>
          </w:tcPr>
          <w:p w14:paraId="5556ACE3"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10,132</w:t>
            </w:r>
          </w:p>
        </w:tc>
        <w:tc>
          <w:tcPr>
            <w:tcW w:w="0" w:type="auto"/>
            <w:shd w:val="clear" w:color="auto" w:fill="auto"/>
            <w:vAlign w:val="bottom"/>
          </w:tcPr>
          <w:p w14:paraId="5556AC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C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E6"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10,061</w:t>
            </w:r>
          </w:p>
        </w:tc>
        <w:tc>
          <w:tcPr>
            <w:tcW w:w="0" w:type="auto"/>
            <w:shd w:val="clear" w:color="auto" w:fill="auto"/>
            <w:vAlign w:val="bottom"/>
          </w:tcPr>
          <w:p w14:paraId="5556ACE7" w14:textId="77777777" w:rsidR="00F925DD" w:rsidRDefault="00F925DD">
            <w:pPr>
              <w:textAlignment w:val="bottom"/>
              <w:rPr>
                <w:rFonts w:ascii="Times New Roman" w:hAnsi="Times New Roman"/>
                <w:sz w:val="20"/>
                <w:szCs w:val="20"/>
              </w:rPr>
            </w:pPr>
          </w:p>
        </w:tc>
      </w:tr>
      <w:tr w:rsidR="00F925DD" w14:paraId="5556ACEF" w14:textId="77777777">
        <w:tc>
          <w:tcPr>
            <w:tcW w:w="0" w:type="auto"/>
            <w:shd w:val="clear" w:color="auto" w:fill="CCEEFF"/>
            <w:tcMar>
              <w:top w:w="40" w:type="dxa"/>
              <w:left w:w="40" w:type="dxa"/>
              <w:bottom w:w="40" w:type="dxa"/>
              <w:right w:w="40" w:type="dxa"/>
            </w:tcMar>
            <w:vAlign w:val="bottom"/>
          </w:tcPr>
          <w:p w14:paraId="5556ACE9" w14:textId="77777777" w:rsidR="00F925DD" w:rsidRDefault="00E705D7">
            <w:pPr>
              <w:textAlignment w:val="bottom"/>
              <w:rPr>
                <w:rFonts w:ascii="Times New Roman" w:hAnsi="Times New Roman"/>
                <w:sz w:val="18"/>
                <w:szCs w:val="18"/>
              </w:rPr>
            </w:pPr>
            <w:r>
              <w:rPr>
                <w:rFonts w:ascii="Arial" w:eastAsia="宋体" w:hAnsi="Arial" w:cs="Arial"/>
                <w:sz w:val="18"/>
                <w:szCs w:val="18"/>
              </w:rPr>
              <w:t>Retained earnings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CEA"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21,918</w:t>
            </w:r>
          </w:p>
        </w:tc>
        <w:tc>
          <w:tcPr>
            <w:tcW w:w="0" w:type="auto"/>
            <w:tcBorders>
              <w:bottom w:val="single" w:sz="8" w:space="0" w:color="000000"/>
            </w:tcBorders>
            <w:shd w:val="clear" w:color="auto" w:fill="CCEEFF"/>
            <w:vAlign w:val="bottom"/>
          </w:tcPr>
          <w:p w14:paraId="5556ACE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C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CED"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20,553</w:t>
            </w:r>
          </w:p>
        </w:tc>
        <w:tc>
          <w:tcPr>
            <w:tcW w:w="0" w:type="auto"/>
            <w:tcBorders>
              <w:bottom w:val="single" w:sz="8" w:space="0" w:color="000000"/>
            </w:tcBorders>
            <w:shd w:val="clear" w:color="auto" w:fill="CCEEFF"/>
            <w:vAlign w:val="bottom"/>
          </w:tcPr>
          <w:p w14:paraId="5556ACEE" w14:textId="77777777" w:rsidR="00F925DD" w:rsidRDefault="00F925DD">
            <w:pPr>
              <w:textAlignment w:val="bottom"/>
              <w:rPr>
                <w:rFonts w:ascii="Times New Roman" w:hAnsi="Times New Roman"/>
                <w:sz w:val="20"/>
                <w:szCs w:val="20"/>
              </w:rPr>
            </w:pPr>
          </w:p>
        </w:tc>
      </w:tr>
      <w:tr w:rsidR="00F925DD" w14:paraId="5556ACF6" w14:textId="77777777">
        <w:tc>
          <w:tcPr>
            <w:tcW w:w="0" w:type="auto"/>
            <w:shd w:val="clear" w:color="auto" w:fill="auto"/>
            <w:tcMar>
              <w:top w:w="40" w:type="dxa"/>
              <w:left w:w="40" w:type="dxa"/>
              <w:bottom w:w="40" w:type="dxa"/>
              <w:right w:w="40" w:type="dxa"/>
            </w:tcMar>
            <w:vAlign w:val="bottom"/>
          </w:tcPr>
          <w:p w14:paraId="5556ACF0" w14:textId="77777777" w:rsidR="00F925DD" w:rsidRDefault="00E705D7">
            <w:pPr>
              <w:textAlignment w:val="bottom"/>
              <w:rPr>
                <w:rFonts w:ascii="Times New Roman" w:hAnsi="Times New Roman"/>
                <w:sz w:val="18"/>
                <w:szCs w:val="18"/>
              </w:rPr>
            </w:pPr>
            <w:r>
              <w:rPr>
                <w:rFonts w:ascii="Arial" w:eastAsia="宋体" w:hAnsi="Arial" w:cs="Arial"/>
                <w:sz w:val="18"/>
                <w:szCs w:val="18"/>
              </w:rPr>
              <w:t xml:space="preserve">Accumulated other </w:t>
            </w:r>
            <w:r>
              <w:rPr>
                <w:rFonts w:ascii="Arial" w:eastAsia="宋体" w:hAnsi="Arial" w:cs="Arial"/>
                <w:sz w:val="18"/>
                <w:szCs w:val="18"/>
              </w:rPr>
              <w:t>comprehensive income (loss)</w:t>
            </w:r>
          </w:p>
        </w:tc>
        <w:tc>
          <w:tcPr>
            <w:tcW w:w="0" w:type="auto"/>
            <w:gridSpan w:val="2"/>
            <w:shd w:val="clear" w:color="auto" w:fill="auto"/>
            <w:tcMar>
              <w:top w:w="40" w:type="dxa"/>
              <w:left w:w="40" w:type="dxa"/>
              <w:bottom w:w="40" w:type="dxa"/>
            </w:tcMar>
            <w:vAlign w:val="bottom"/>
          </w:tcPr>
          <w:p w14:paraId="5556ACF1"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(876</w:t>
            </w:r>
          </w:p>
        </w:tc>
        <w:tc>
          <w:tcPr>
            <w:tcW w:w="0" w:type="auto"/>
            <w:shd w:val="clear" w:color="auto" w:fill="auto"/>
            <w:tcMar>
              <w:top w:w="40" w:type="dxa"/>
              <w:bottom w:w="40" w:type="dxa"/>
              <w:right w:w="40" w:type="dxa"/>
            </w:tcMar>
            <w:vAlign w:val="bottom"/>
          </w:tcPr>
          <w:p w14:paraId="5556ACF2"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tcMar>
              <w:top w:w="40" w:type="dxa"/>
              <w:left w:w="40" w:type="dxa"/>
              <w:bottom w:w="40" w:type="dxa"/>
              <w:right w:w="40" w:type="dxa"/>
            </w:tcMar>
            <w:vAlign w:val="bottom"/>
          </w:tcPr>
          <w:p w14:paraId="5556AC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CF4"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(1,356</w:t>
            </w:r>
          </w:p>
        </w:tc>
        <w:tc>
          <w:tcPr>
            <w:tcW w:w="0" w:type="auto"/>
            <w:shd w:val="clear" w:color="auto" w:fill="auto"/>
            <w:tcMar>
              <w:top w:w="40" w:type="dxa"/>
              <w:bottom w:w="40" w:type="dxa"/>
              <w:right w:w="40" w:type="dxa"/>
            </w:tcMar>
            <w:vAlign w:val="bottom"/>
          </w:tcPr>
          <w:p w14:paraId="5556ACF5"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r>
      <w:tr w:rsidR="00F925DD" w14:paraId="5556ACFD" w14:textId="77777777">
        <w:tc>
          <w:tcPr>
            <w:tcW w:w="0" w:type="auto"/>
            <w:shd w:val="clear" w:color="auto" w:fill="CCEEFF"/>
            <w:tcMar>
              <w:top w:w="40" w:type="dxa"/>
              <w:left w:w="40" w:type="dxa"/>
              <w:bottom w:w="40" w:type="dxa"/>
              <w:right w:w="40" w:type="dxa"/>
            </w:tcMar>
            <w:vAlign w:val="bottom"/>
          </w:tcPr>
          <w:p w14:paraId="5556ACF7" w14:textId="77777777" w:rsidR="00F925DD" w:rsidRDefault="00E705D7">
            <w:pPr>
              <w:textAlignment w:val="bottom"/>
              <w:rPr>
                <w:rFonts w:ascii="Times New Roman" w:hAnsi="Times New Roman"/>
                <w:sz w:val="18"/>
                <w:szCs w:val="18"/>
              </w:rPr>
            </w:pPr>
            <w:r>
              <w:rPr>
                <w:rFonts w:ascii="Arial" w:eastAsia="宋体" w:hAnsi="Arial" w:cs="Arial"/>
                <w:sz w:val="18"/>
                <w:szCs w:val="18"/>
                <w:shd w:val="clear" w:color="auto" w:fill="CCEEFF"/>
              </w:rPr>
              <w:t>Treasury stock, at cost (146,490,226 and 123,932,918 shares)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CF8"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(10,209</w:t>
            </w:r>
          </w:p>
        </w:tc>
        <w:tc>
          <w:tcPr>
            <w:tcW w:w="0" w:type="auto"/>
            <w:tcBorders>
              <w:bottom w:val="single" w:sz="8" w:space="0" w:color="000000"/>
            </w:tcBorders>
            <w:shd w:val="clear" w:color="auto" w:fill="CCEEFF"/>
            <w:tcMar>
              <w:top w:w="40" w:type="dxa"/>
              <w:bottom w:w="40" w:type="dxa"/>
              <w:right w:w="40" w:type="dxa"/>
            </w:tcMar>
            <w:vAlign w:val="bottom"/>
          </w:tcPr>
          <w:p w14:paraId="5556ACF9"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left w:w="40" w:type="dxa"/>
              <w:bottom w:w="40" w:type="dxa"/>
              <w:right w:w="40" w:type="dxa"/>
            </w:tcMar>
            <w:vAlign w:val="bottom"/>
          </w:tcPr>
          <w:p w14:paraId="5556AC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ACFB"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(8,715</w:t>
            </w:r>
          </w:p>
        </w:tc>
        <w:tc>
          <w:tcPr>
            <w:tcW w:w="0" w:type="auto"/>
            <w:tcBorders>
              <w:bottom w:val="single" w:sz="8" w:space="0" w:color="000000"/>
            </w:tcBorders>
            <w:shd w:val="clear" w:color="auto" w:fill="CCEEFF"/>
            <w:tcMar>
              <w:top w:w="40" w:type="dxa"/>
              <w:bottom w:w="40" w:type="dxa"/>
              <w:right w:w="40" w:type="dxa"/>
            </w:tcMar>
            <w:vAlign w:val="bottom"/>
          </w:tcPr>
          <w:p w14:paraId="5556ACFC"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r>
      <w:tr w:rsidR="00F925DD" w14:paraId="5556AD04" w14:textId="77777777">
        <w:tc>
          <w:tcPr>
            <w:tcW w:w="0" w:type="auto"/>
            <w:shd w:val="clear" w:color="auto" w:fill="auto"/>
            <w:tcMar>
              <w:top w:w="40" w:type="dxa"/>
              <w:left w:w="40" w:type="dxa"/>
              <w:bottom w:w="40" w:type="dxa"/>
              <w:right w:w="40" w:type="dxa"/>
            </w:tcMar>
            <w:vAlign w:val="bottom"/>
          </w:tcPr>
          <w:p w14:paraId="5556ACFE"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Total shareholders’ equity</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ACFF"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24,431</w:t>
            </w:r>
          </w:p>
        </w:tc>
        <w:tc>
          <w:tcPr>
            <w:tcW w:w="0" w:type="auto"/>
            <w:tcBorders>
              <w:top w:val="single" w:sz="8" w:space="0" w:color="000000"/>
              <w:bottom w:val="single" w:sz="8" w:space="0" w:color="000000"/>
            </w:tcBorders>
            <w:shd w:val="clear" w:color="auto" w:fill="auto"/>
            <w:vAlign w:val="bottom"/>
          </w:tcPr>
          <w:p w14:paraId="5556AD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D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AD02"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24,737</w:t>
            </w:r>
          </w:p>
        </w:tc>
        <w:tc>
          <w:tcPr>
            <w:tcW w:w="0" w:type="auto"/>
            <w:tcBorders>
              <w:top w:val="single" w:sz="8" w:space="0" w:color="000000"/>
              <w:bottom w:val="single" w:sz="8" w:space="0" w:color="000000"/>
            </w:tcBorders>
            <w:shd w:val="clear" w:color="auto" w:fill="auto"/>
            <w:vAlign w:val="bottom"/>
          </w:tcPr>
          <w:p w14:paraId="5556AD03" w14:textId="77777777" w:rsidR="00F925DD" w:rsidRDefault="00F925DD">
            <w:pPr>
              <w:textAlignment w:val="bottom"/>
              <w:rPr>
                <w:rFonts w:ascii="Times New Roman" w:hAnsi="Times New Roman"/>
                <w:sz w:val="20"/>
                <w:szCs w:val="20"/>
              </w:rPr>
            </w:pPr>
          </w:p>
        </w:tc>
      </w:tr>
      <w:tr w:rsidR="00F925DD" w14:paraId="5556AD0D" w14:textId="77777777">
        <w:tc>
          <w:tcPr>
            <w:tcW w:w="0" w:type="auto"/>
            <w:shd w:val="clear" w:color="auto" w:fill="CCEEFF"/>
            <w:tcMar>
              <w:top w:w="40" w:type="dxa"/>
              <w:left w:w="40" w:type="dxa"/>
              <w:bottom w:w="40" w:type="dxa"/>
              <w:right w:w="40" w:type="dxa"/>
            </w:tcMar>
            <w:vAlign w:val="bottom"/>
          </w:tcPr>
          <w:p w14:paraId="5556AD05"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Total liabilities and shareholders' equity</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AD06"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AD07"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245,610</w:t>
            </w:r>
          </w:p>
        </w:tc>
        <w:tc>
          <w:tcPr>
            <w:tcW w:w="0" w:type="auto"/>
            <w:tcBorders>
              <w:top w:val="single" w:sz="8" w:space="0" w:color="000000"/>
              <w:bottom w:val="double" w:sz="6" w:space="0" w:color="000000"/>
            </w:tcBorders>
            <w:shd w:val="clear" w:color="auto" w:fill="CCEEFF"/>
            <w:vAlign w:val="bottom"/>
          </w:tcPr>
          <w:p w14:paraId="5556AD0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D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AD0A" w14:textId="77777777" w:rsidR="00F925DD" w:rsidRDefault="00E705D7">
            <w:pPr>
              <w:textAlignment w:val="bottom"/>
              <w:rPr>
                <w:rFonts w:ascii="Times New Roman" w:hAnsi="Times New Roman"/>
                <w:sz w:val="18"/>
                <w:szCs w:val="18"/>
              </w:rPr>
            </w:pPr>
            <w:r>
              <w:rPr>
                <w:rFonts w:ascii="Arial" w:eastAsia="宋体" w:hAnsi="Arial" w:cs="Arial"/>
                <w:sz w:val="18"/>
                <w:szCs w:val="18"/>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AD0B" w14:textId="77777777" w:rsidR="00F925DD" w:rsidRDefault="00E705D7">
            <w:pPr>
              <w:jc w:val="right"/>
              <w:textAlignment w:val="bottom"/>
              <w:rPr>
                <w:rFonts w:ascii="Times New Roman" w:hAnsi="Times New Roman"/>
                <w:sz w:val="18"/>
                <w:szCs w:val="18"/>
              </w:rPr>
            </w:pPr>
            <w:r>
              <w:rPr>
                <w:rFonts w:ascii="Arial" w:eastAsia="宋体" w:hAnsi="Arial" w:cs="Arial"/>
                <w:sz w:val="18"/>
                <w:szCs w:val="18"/>
              </w:rPr>
              <w:t>244,596</w:t>
            </w:r>
          </w:p>
        </w:tc>
        <w:tc>
          <w:tcPr>
            <w:tcW w:w="0" w:type="auto"/>
            <w:tcBorders>
              <w:top w:val="single" w:sz="8" w:space="0" w:color="000000"/>
              <w:bottom w:val="double" w:sz="6" w:space="0" w:color="000000"/>
            </w:tcBorders>
            <w:shd w:val="clear" w:color="auto" w:fill="CCEEFF"/>
            <w:vAlign w:val="bottom"/>
          </w:tcPr>
          <w:p w14:paraId="5556AD0C" w14:textId="77777777" w:rsidR="00F925DD" w:rsidRDefault="00F925DD">
            <w:pPr>
              <w:textAlignment w:val="bottom"/>
              <w:rPr>
                <w:rFonts w:ascii="Times New Roman" w:hAnsi="Times New Roman"/>
                <w:sz w:val="20"/>
                <w:szCs w:val="20"/>
              </w:rPr>
            </w:pPr>
          </w:p>
        </w:tc>
      </w:tr>
    </w:tbl>
    <w:p w14:paraId="5556AD0E" w14:textId="77777777" w:rsidR="00F925DD" w:rsidRDefault="00F925DD">
      <w:pPr>
        <w:spacing w:line="288" w:lineRule="auto"/>
        <w:ind w:firstLine="600"/>
        <w:jc w:val="center"/>
        <w:rPr>
          <w:rFonts w:ascii="Times New Roman" w:hAnsi="Times New Roman"/>
          <w:sz w:val="14"/>
          <w:szCs w:val="14"/>
        </w:rPr>
      </w:pPr>
    </w:p>
    <w:p w14:paraId="5556AD0F" w14:textId="77777777" w:rsidR="00F925DD" w:rsidRDefault="00F925DD">
      <w:pPr>
        <w:spacing w:line="288" w:lineRule="auto"/>
        <w:ind w:firstLine="600"/>
        <w:rPr>
          <w:rFonts w:ascii="Times New Roman" w:hAnsi="Times New Roman"/>
          <w:sz w:val="20"/>
          <w:szCs w:val="20"/>
        </w:rPr>
      </w:pPr>
    </w:p>
    <w:p w14:paraId="5556AD10" w14:textId="77777777" w:rsidR="00F925DD" w:rsidRDefault="00F925DD">
      <w:pPr>
        <w:spacing w:line="288" w:lineRule="auto"/>
        <w:ind w:firstLine="600"/>
        <w:rPr>
          <w:rFonts w:ascii="Times New Roman" w:hAnsi="Times New Roman"/>
          <w:sz w:val="20"/>
          <w:szCs w:val="20"/>
        </w:rPr>
      </w:pPr>
    </w:p>
    <w:p w14:paraId="5556AD11" w14:textId="77777777" w:rsidR="00F925DD" w:rsidRDefault="00E705D7">
      <w:pPr>
        <w:spacing w:line="288" w:lineRule="auto"/>
        <w:ind w:firstLine="600"/>
        <w:jc w:val="center"/>
        <w:rPr>
          <w:rFonts w:ascii="Times New Roman" w:hAnsi="Times New Roman"/>
          <w:sz w:val="18"/>
          <w:szCs w:val="18"/>
        </w:rPr>
      </w:pPr>
      <w:r>
        <w:rPr>
          <w:rFonts w:ascii="Arial" w:eastAsia="宋体" w:hAnsi="Arial" w:cs="Arial"/>
          <w:sz w:val="18"/>
          <w:szCs w:val="18"/>
        </w:rPr>
        <w:t xml:space="preserve">The accompanying notes are an integral part of these consolidated financial statements. </w:t>
      </w:r>
    </w:p>
    <w:p w14:paraId="5556AD12" w14:textId="77777777" w:rsidR="00F925DD" w:rsidRDefault="00F925DD">
      <w:pPr>
        <w:rPr>
          <w:rFonts w:ascii="Times New Roman" w:hAnsi="Times New Roman"/>
          <w:sz w:val="20"/>
          <w:szCs w:val="20"/>
        </w:rPr>
      </w:pPr>
    </w:p>
    <w:p w14:paraId="5556AD1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122</w:t>
      </w:r>
    </w:p>
    <w:p w14:paraId="5556AD14" w14:textId="77777777" w:rsidR="00F925DD" w:rsidRDefault="00F925DD">
      <w:pPr>
        <w:spacing w:line="288" w:lineRule="auto"/>
        <w:ind w:firstLine="600"/>
        <w:jc w:val="center"/>
        <w:rPr>
          <w:rFonts w:ascii="Times New Roman" w:hAnsi="Times New Roman"/>
          <w:sz w:val="18"/>
          <w:szCs w:val="18"/>
        </w:rPr>
      </w:pPr>
    </w:p>
    <w:p w14:paraId="5556AD15" w14:textId="77777777" w:rsidR="00F925DD" w:rsidRDefault="00E705D7">
      <w:r>
        <w:rPr>
          <w:rFonts w:ascii="Times New Roman" w:hAnsi="Times New Roman"/>
          <w:sz w:val="18"/>
          <w:szCs w:val="18"/>
        </w:rPr>
        <w:pict w14:anchorId="555706B4">
          <v:rect id="_x0000_i1146" style="width:415.3pt;height:1.5pt" o:hralign="center" o:hrstd="t" o:hr="t" fillcolor="#a0a0a0" stroked="f"/>
        </w:pict>
      </w:r>
    </w:p>
    <w:p w14:paraId="5556AD16" w14:textId="77777777" w:rsidR="00F925DD" w:rsidRDefault="00F925DD">
      <w:pPr>
        <w:rPr>
          <w:rFonts w:ascii="Times New Roman" w:hAnsi="Times New Roman"/>
          <w:sz w:val="20"/>
          <w:szCs w:val="20"/>
        </w:rPr>
      </w:pPr>
    </w:p>
    <w:p w14:paraId="5556AD1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AD1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CONSOLIDATED STATEMENT OF CHANGES IN SHAREHOLDERS' EQUITY</w:t>
      </w:r>
    </w:p>
    <w:p w14:paraId="5556AD19" w14:textId="77777777" w:rsidR="00F925DD" w:rsidRDefault="00F925DD">
      <w:pPr>
        <w:spacing w:line="288" w:lineRule="auto"/>
        <w:ind w:firstLine="600"/>
        <w:jc w:val="cente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60"/>
        <w:gridCol w:w="123"/>
        <w:gridCol w:w="471"/>
        <w:gridCol w:w="96"/>
        <w:gridCol w:w="127"/>
        <w:gridCol w:w="552"/>
        <w:gridCol w:w="6"/>
        <w:gridCol w:w="127"/>
        <w:gridCol w:w="121"/>
        <w:gridCol w:w="408"/>
        <w:gridCol w:w="82"/>
        <w:gridCol w:w="127"/>
        <w:gridCol w:w="121"/>
        <w:gridCol w:w="431"/>
        <w:gridCol w:w="87"/>
        <w:gridCol w:w="127"/>
        <w:gridCol w:w="122"/>
        <w:gridCol w:w="455"/>
        <w:gridCol w:w="94"/>
        <w:gridCol w:w="127"/>
        <w:gridCol w:w="122"/>
        <w:gridCol w:w="884"/>
        <w:gridCol w:w="91"/>
        <w:gridCol w:w="127"/>
        <w:gridCol w:w="552"/>
        <w:gridCol w:w="87"/>
        <w:gridCol w:w="127"/>
        <w:gridCol w:w="121"/>
        <w:gridCol w:w="478"/>
        <w:gridCol w:w="87"/>
        <w:gridCol w:w="127"/>
        <w:gridCol w:w="121"/>
        <w:gridCol w:w="431"/>
        <w:gridCol w:w="87"/>
      </w:tblGrid>
      <w:tr w:rsidR="00F925DD" w14:paraId="5556AD1B" w14:textId="77777777">
        <w:tc>
          <w:tcPr>
            <w:tcW w:w="0" w:type="auto"/>
            <w:gridSpan w:val="34"/>
            <w:shd w:val="clear" w:color="auto" w:fill="auto"/>
            <w:vAlign w:val="center"/>
          </w:tcPr>
          <w:p w14:paraId="5556AD1A" w14:textId="77777777" w:rsidR="00F925DD" w:rsidRDefault="00F925DD">
            <w:pPr>
              <w:rPr>
                <w:rFonts w:ascii="Times New Roman" w:hAnsi="Times New Roman"/>
                <w:sz w:val="20"/>
                <w:szCs w:val="20"/>
              </w:rPr>
            </w:pPr>
          </w:p>
        </w:tc>
      </w:tr>
      <w:tr w:rsidR="00F925DD" w14:paraId="5556AD3E" w14:textId="77777777">
        <w:tc>
          <w:tcPr>
            <w:tcW w:w="1100" w:type="pct"/>
            <w:shd w:val="clear" w:color="auto" w:fill="auto"/>
            <w:vAlign w:val="center"/>
          </w:tcPr>
          <w:p w14:paraId="5556AD1C" w14:textId="77777777" w:rsidR="00F925DD" w:rsidRDefault="00F925DD">
            <w:pPr>
              <w:rPr>
                <w:rFonts w:ascii="Times New Roman" w:hAnsi="Times New Roman"/>
                <w:sz w:val="20"/>
                <w:szCs w:val="20"/>
              </w:rPr>
            </w:pPr>
          </w:p>
        </w:tc>
        <w:tc>
          <w:tcPr>
            <w:tcW w:w="50" w:type="pct"/>
            <w:shd w:val="clear" w:color="auto" w:fill="auto"/>
            <w:vAlign w:val="center"/>
          </w:tcPr>
          <w:p w14:paraId="5556AD1D" w14:textId="77777777" w:rsidR="00F925DD" w:rsidRDefault="00F925DD">
            <w:pPr>
              <w:rPr>
                <w:rFonts w:ascii="Times New Roman" w:hAnsi="Times New Roman"/>
                <w:sz w:val="20"/>
                <w:szCs w:val="20"/>
              </w:rPr>
            </w:pPr>
          </w:p>
        </w:tc>
        <w:tc>
          <w:tcPr>
            <w:tcW w:w="250" w:type="pct"/>
            <w:shd w:val="clear" w:color="auto" w:fill="auto"/>
            <w:vAlign w:val="center"/>
          </w:tcPr>
          <w:p w14:paraId="5556AD1E" w14:textId="77777777" w:rsidR="00F925DD" w:rsidRDefault="00F925DD">
            <w:pPr>
              <w:rPr>
                <w:rFonts w:ascii="Times New Roman" w:hAnsi="Times New Roman"/>
                <w:sz w:val="20"/>
                <w:szCs w:val="20"/>
              </w:rPr>
            </w:pPr>
          </w:p>
        </w:tc>
        <w:tc>
          <w:tcPr>
            <w:tcW w:w="50" w:type="pct"/>
            <w:shd w:val="clear" w:color="auto" w:fill="auto"/>
            <w:vAlign w:val="center"/>
          </w:tcPr>
          <w:p w14:paraId="5556AD1F" w14:textId="77777777" w:rsidR="00F925DD" w:rsidRDefault="00F925DD">
            <w:pPr>
              <w:rPr>
                <w:rFonts w:ascii="Times New Roman" w:hAnsi="Times New Roman"/>
                <w:sz w:val="20"/>
                <w:szCs w:val="20"/>
              </w:rPr>
            </w:pPr>
          </w:p>
        </w:tc>
        <w:tc>
          <w:tcPr>
            <w:tcW w:w="50" w:type="pct"/>
            <w:shd w:val="clear" w:color="auto" w:fill="auto"/>
            <w:vAlign w:val="center"/>
          </w:tcPr>
          <w:p w14:paraId="5556AD20" w14:textId="77777777" w:rsidR="00F925DD" w:rsidRDefault="00F925DD">
            <w:pPr>
              <w:rPr>
                <w:rFonts w:ascii="Times New Roman" w:hAnsi="Times New Roman"/>
                <w:sz w:val="20"/>
                <w:szCs w:val="20"/>
              </w:rPr>
            </w:pPr>
          </w:p>
        </w:tc>
        <w:tc>
          <w:tcPr>
            <w:tcW w:w="300" w:type="pct"/>
            <w:shd w:val="clear" w:color="auto" w:fill="auto"/>
            <w:vAlign w:val="center"/>
          </w:tcPr>
          <w:p w14:paraId="5556AD21" w14:textId="77777777" w:rsidR="00F925DD" w:rsidRDefault="00F925DD">
            <w:pPr>
              <w:rPr>
                <w:rFonts w:ascii="Times New Roman" w:hAnsi="Times New Roman"/>
                <w:sz w:val="20"/>
                <w:szCs w:val="20"/>
              </w:rPr>
            </w:pPr>
          </w:p>
        </w:tc>
        <w:tc>
          <w:tcPr>
            <w:tcW w:w="50" w:type="pct"/>
            <w:shd w:val="clear" w:color="auto" w:fill="auto"/>
            <w:vAlign w:val="center"/>
          </w:tcPr>
          <w:p w14:paraId="5556AD22" w14:textId="77777777" w:rsidR="00F925DD" w:rsidRDefault="00F925DD">
            <w:pPr>
              <w:rPr>
                <w:rFonts w:ascii="Times New Roman" w:hAnsi="Times New Roman"/>
                <w:sz w:val="20"/>
                <w:szCs w:val="20"/>
              </w:rPr>
            </w:pPr>
          </w:p>
        </w:tc>
        <w:tc>
          <w:tcPr>
            <w:tcW w:w="50" w:type="pct"/>
            <w:shd w:val="clear" w:color="auto" w:fill="auto"/>
            <w:vAlign w:val="center"/>
          </w:tcPr>
          <w:p w14:paraId="5556AD23" w14:textId="77777777" w:rsidR="00F925DD" w:rsidRDefault="00F925DD">
            <w:pPr>
              <w:rPr>
                <w:rFonts w:ascii="Times New Roman" w:hAnsi="Times New Roman"/>
                <w:sz w:val="20"/>
                <w:szCs w:val="20"/>
              </w:rPr>
            </w:pPr>
          </w:p>
        </w:tc>
        <w:tc>
          <w:tcPr>
            <w:tcW w:w="50" w:type="pct"/>
            <w:shd w:val="clear" w:color="auto" w:fill="auto"/>
            <w:vAlign w:val="center"/>
          </w:tcPr>
          <w:p w14:paraId="5556AD24" w14:textId="77777777" w:rsidR="00F925DD" w:rsidRDefault="00F925DD">
            <w:pPr>
              <w:rPr>
                <w:rFonts w:ascii="Times New Roman" w:hAnsi="Times New Roman"/>
                <w:sz w:val="20"/>
                <w:szCs w:val="20"/>
              </w:rPr>
            </w:pPr>
          </w:p>
        </w:tc>
        <w:tc>
          <w:tcPr>
            <w:tcW w:w="250" w:type="pct"/>
            <w:shd w:val="clear" w:color="auto" w:fill="auto"/>
            <w:vAlign w:val="center"/>
          </w:tcPr>
          <w:p w14:paraId="5556AD25" w14:textId="77777777" w:rsidR="00F925DD" w:rsidRDefault="00F925DD">
            <w:pPr>
              <w:rPr>
                <w:rFonts w:ascii="Times New Roman" w:hAnsi="Times New Roman"/>
                <w:sz w:val="20"/>
                <w:szCs w:val="20"/>
              </w:rPr>
            </w:pPr>
          </w:p>
        </w:tc>
        <w:tc>
          <w:tcPr>
            <w:tcW w:w="50" w:type="pct"/>
            <w:shd w:val="clear" w:color="auto" w:fill="auto"/>
            <w:vAlign w:val="center"/>
          </w:tcPr>
          <w:p w14:paraId="5556AD26" w14:textId="77777777" w:rsidR="00F925DD" w:rsidRDefault="00F925DD">
            <w:pPr>
              <w:rPr>
                <w:rFonts w:ascii="Times New Roman" w:hAnsi="Times New Roman"/>
                <w:sz w:val="20"/>
                <w:szCs w:val="20"/>
              </w:rPr>
            </w:pPr>
          </w:p>
        </w:tc>
        <w:tc>
          <w:tcPr>
            <w:tcW w:w="50" w:type="pct"/>
            <w:shd w:val="clear" w:color="auto" w:fill="auto"/>
            <w:vAlign w:val="center"/>
          </w:tcPr>
          <w:p w14:paraId="5556AD27" w14:textId="77777777" w:rsidR="00F925DD" w:rsidRDefault="00F925DD">
            <w:pPr>
              <w:rPr>
                <w:rFonts w:ascii="Times New Roman" w:hAnsi="Times New Roman"/>
                <w:sz w:val="20"/>
                <w:szCs w:val="20"/>
              </w:rPr>
            </w:pPr>
          </w:p>
        </w:tc>
        <w:tc>
          <w:tcPr>
            <w:tcW w:w="50" w:type="pct"/>
            <w:shd w:val="clear" w:color="auto" w:fill="auto"/>
            <w:vAlign w:val="center"/>
          </w:tcPr>
          <w:p w14:paraId="5556AD28" w14:textId="77777777" w:rsidR="00F925DD" w:rsidRDefault="00F925DD">
            <w:pPr>
              <w:rPr>
                <w:rFonts w:ascii="Times New Roman" w:hAnsi="Times New Roman"/>
                <w:sz w:val="20"/>
                <w:szCs w:val="20"/>
              </w:rPr>
            </w:pPr>
          </w:p>
        </w:tc>
        <w:tc>
          <w:tcPr>
            <w:tcW w:w="250" w:type="pct"/>
            <w:shd w:val="clear" w:color="auto" w:fill="auto"/>
            <w:vAlign w:val="center"/>
          </w:tcPr>
          <w:p w14:paraId="5556AD29" w14:textId="77777777" w:rsidR="00F925DD" w:rsidRDefault="00F925DD">
            <w:pPr>
              <w:rPr>
                <w:rFonts w:ascii="Times New Roman" w:hAnsi="Times New Roman"/>
                <w:sz w:val="20"/>
                <w:szCs w:val="20"/>
              </w:rPr>
            </w:pPr>
          </w:p>
        </w:tc>
        <w:tc>
          <w:tcPr>
            <w:tcW w:w="50" w:type="pct"/>
            <w:shd w:val="clear" w:color="auto" w:fill="auto"/>
            <w:vAlign w:val="center"/>
          </w:tcPr>
          <w:p w14:paraId="5556AD2A" w14:textId="77777777" w:rsidR="00F925DD" w:rsidRDefault="00F925DD">
            <w:pPr>
              <w:rPr>
                <w:rFonts w:ascii="Times New Roman" w:hAnsi="Times New Roman"/>
                <w:sz w:val="20"/>
                <w:szCs w:val="20"/>
              </w:rPr>
            </w:pPr>
          </w:p>
        </w:tc>
        <w:tc>
          <w:tcPr>
            <w:tcW w:w="50" w:type="pct"/>
            <w:shd w:val="clear" w:color="auto" w:fill="auto"/>
            <w:vAlign w:val="center"/>
          </w:tcPr>
          <w:p w14:paraId="5556AD2B" w14:textId="77777777" w:rsidR="00F925DD" w:rsidRDefault="00F925DD">
            <w:pPr>
              <w:rPr>
                <w:rFonts w:ascii="Times New Roman" w:hAnsi="Times New Roman"/>
                <w:sz w:val="20"/>
                <w:szCs w:val="20"/>
              </w:rPr>
            </w:pPr>
          </w:p>
        </w:tc>
        <w:tc>
          <w:tcPr>
            <w:tcW w:w="50" w:type="pct"/>
            <w:shd w:val="clear" w:color="auto" w:fill="auto"/>
            <w:vAlign w:val="center"/>
          </w:tcPr>
          <w:p w14:paraId="5556AD2C" w14:textId="77777777" w:rsidR="00F925DD" w:rsidRDefault="00F925DD">
            <w:pPr>
              <w:rPr>
                <w:rFonts w:ascii="Times New Roman" w:hAnsi="Times New Roman"/>
                <w:sz w:val="20"/>
                <w:szCs w:val="20"/>
              </w:rPr>
            </w:pPr>
          </w:p>
        </w:tc>
        <w:tc>
          <w:tcPr>
            <w:tcW w:w="250" w:type="pct"/>
            <w:shd w:val="clear" w:color="auto" w:fill="auto"/>
            <w:vAlign w:val="center"/>
          </w:tcPr>
          <w:p w14:paraId="5556AD2D" w14:textId="77777777" w:rsidR="00F925DD" w:rsidRDefault="00F925DD">
            <w:pPr>
              <w:rPr>
                <w:rFonts w:ascii="Times New Roman" w:hAnsi="Times New Roman"/>
                <w:sz w:val="20"/>
                <w:szCs w:val="20"/>
              </w:rPr>
            </w:pPr>
          </w:p>
        </w:tc>
        <w:tc>
          <w:tcPr>
            <w:tcW w:w="50" w:type="pct"/>
            <w:shd w:val="clear" w:color="auto" w:fill="auto"/>
            <w:vAlign w:val="center"/>
          </w:tcPr>
          <w:p w14:paraId="5556AD2E" w14:textId="77777777" w:rsidR="00F925DD" w:rsidRDefault="00F925DD">
            <w:pPr>
              <w:rPr>
                <w:rFonts w:ascii="Times New Roman" w:hAnsi="Times New Roman"/>
                <w:sz w:val="20"/>
                <w:szCs w:val="20"/>
              </w:rPr>
            </w:pPr>
          </w:p>
        </w:tc>
        <w:tc>
          <w:tcPr>
            <w:tcW w:w="50" w:type="pct"/>
            <w:shd w:val="clear" w:color="auto" w:fill="auto"/>
            <w:vAlign w:val="center"/>
          </w:tcPr>
          <w:p w14:paraId="5556AD2F" w14:textId="77777777" w:rsidR="00F925DD" w:rsidRDefault="00F925DD">
            <w:pPr>
              <w:rPr>
                <w:rFonts w:ascii="Times New Roman" w:hAnsi="Times New Roman"/>
                <w:sz w:val="20"/>
                <w:szCs w:val="20"/>
              </w:rPr>
            </w:pPr>
          </w:p>
        </w:tc>
        <w:tc>
          <w:tcPr>
            <w:tcW w:w="50" w:type="pct"/>
            <w:shd w:val="clear" w:color="auto" w:fill="auto"/>
            <w:vAlign w:val="center"/>
          </w:tcPr>
          <w:p w14:paraId="5556AD30" w14:textId="77777777" w:rsidR="00F925DD" w:rsidRDefault="00F925DD">
            <w:pPr>
              <w:rPr>
                <w:rFonts w:ascii="Times New Roman" w:hAnsi="Times New Roman"/>
                <w:sz w:val="20"/>
                <w:szCs w:val="20"/>
              </w:rPr>
            </w:pPr>
          </w:p>
        </w:tc>
        <w:tc>
          <w:tcPr>
            <w:tcW w:w="500" w:type="pct"/>
            <w:shd w:val="clear" w:color="auto" w:fill="auto"/>
            <w:vAlign w:val="center"/>
          </w:tcPr>
          <w:p w14:paraId="5556AD31" w14:textId="77777777" w:rsidR="00F925DD" w:rsidRDefault="00F925DD">
            <w:pPr>
              <w:rPr>
                <w:rFonts w:ascii="Times New Roman" w:hAnsi="Times New Roman"/>
                <w:sz w:val="20"/>
                <w:szCs w:val="20"/>
              </w:rPr>
            </w:pPr>
          </w:p>
        </w:tc>
        <w:tc>
          <w:tcPr>
            <w:tcW w:w="50" w:type="pct"/>
            <w:shd w:val="clear" w:color="auto" w:fill="auto"/>
            <w:vAlign w:val="center"/>
          </w:tcPr>
          <w:p w14:paraId="5556AD32" w14:textId="77777777" w:rsidR="00F925DD" w:rsidRDefault="00F925DD">
            <w:pPr>
              <w:rPr>
                <w:rFonts w:ascii="Times New Roman" w:hAnsi="Times New Roman"/>
                <w:sz w:val="20"/>
                <w:szCs w:val="20"/>
              </w:rPr>
            </w:pPr>
          </w:p>
        </w:tc>
        <w:tc>
          <w:tcPr>
            <w:tcW w:w="50" w:type="pct"/>
            <w:shd w:val="clear" w:color="auto" w:fill="auto"/>
            <w:vAlign w:val="center"/>
          </w:tcPr>
          <w:p w14:paraId="5556AD33" w14:textId="77777777" w:rsidR="00F925DD" w:rsidRDefault="00F925DD">
            <w:pPr>
              <w:rPr>
                <w:rFonts w:ascii="Times New Roman" w:hAnsi="Times New Roman"/>
                <w:sz w:val="20"/>
                <w:szCs w:val="20"/>
              </w:rPr>
            </w:pPr>
          </w:p>
        </w:tc>
        <w:tc>
          <w:tcPr>
            <w:tcW w:w="400" w:type="pct"/>
            <w:shd w:val="clear" w:color="auto" w:fill="auto"/>
            <w:vAlign w:val="center"/>
          </w:tcPr>
          <w:p w14:paraId="5556AD34" w14:textId="77777777" w:rsidR="00F925DD" w:rsidRDefault="00F925DD">
            <w:pPr>
              <w:rPr>
                <w:rFonts w:ascii="Times New Roman" w:hAnsi="Times New Roman"/>
                <w:sz w:val="20"/>
                <w:szCs w:val="20"/>
              </w:rPr>
            </w:pPr>
          </w:p>
        </w:tc>
        <w:tc>
          <w:tcPr>
            <w:tcW w:w="50" w:type="pct"/>
            <w:shd w:val="clear" w:color="auto" w:fill="auto"/>
            <w:vAlign w:val="center"/>
          </w:tcPr>
          <w:p w14:paraId="5556AD35" w14:textId="77777777" w:rsidR="00F925DD" w:rsidRDefault="00F925DD">
            <w:pPr>
              <w:rPr>
                <w:rFonts w:ascii="Times New Roman" w:hAnsi="Times New Roman"/>
                <w:sz w:val="20"/>
                <w:szCs w:val="20"/>
              </w:rPr>
            </w:pPr>
          </w:p>
        </w:tc>
        <w:tc>
          <w:tcPr>
            <w:tcW w:w="50" w:type="pct"/>
            <w:shd w:val="clear" w:color="auto" w:fill="auto"/>
            <w:vAlign w:val="center"/>
          </w:tcPr>
          <w:p w14:paraId="5556AD36" w14:textId="77777777" w:rsidR="00F925DD" w:rsidRDefault="00F925DD">
            <w:pPr>
              <w:rPr>
                <w:rFonts w:ascii="Times New Roman" w:hAnsi="Times New Roman"/>
                <w:sz w:val="20"/>
                <w:szCs w:val="20"/>
              </w:rPr>
            </w:pPr>
          </w:p>
        </w:tc>
        <w:tc>
          <w:tcPr>
            <w:tcW w:w="50" w:type="pct"/>
            <w:shd w:val="clear" w:color="auto" w:fill="auto"/>
            <w:vAlign w:val="center"/>
          </w:tcPr>
          <w:p w14:paraId="5556AD37" w14:textId="77777777" w:rsidR="00F925DD" w:rsidRDefault="00F925DD">
            <w:pPr>
              <w:rPr>
                <w:rFonts w:ascii="Times New Roman" w:hAnsi="Times New Roman"/>
                <w:sz w:val="20"/>
                <w:szCs w:val="20"/>
              </w:rPr>
            </w:pPr>
          </w:p>
        </w:tc>
        <w:tc>
          <w:tcPr>
            <w:tcW w:w="250" w:type="pct"/>
            <w:shd w:val="clear" w:color="auto" w:fill="auto"/>
            <w:vAlign w:val="center"/>
          </w:tcPr>
          <w:p w14:paraId="5556AD38" w14:textId="77777777" w:rsidR="00F925DD" w:rsidRDefault="00F925DD">
            <w:pPr>
              <w:rPr>
                <w:rFonts w:ascii="Times New Roman" w:hAnsi="Times New Roman"/>
                <w:sz w:val="20"/>
                <w:szCs w:val="20"/>
              </w:rPr>
            </w:pPr>
          </w:p>
        </w:tc>
        <w:tc>
          <w:tcPr>
            <w:tcW w:w="50" w:type="pct"/>
            <w:shd w:val="clear" w:color="auto" w:fill="auto"/>
            <w:vAlign w:val="center"/>
          </w:tcPr>
          <w:p w14:paraId="5556AD39" w14:textId="77777777" w:rsidR="00F925DD" w:rsidRDefault="00F925DD">
            <w:pPr>
              <w:rPr>
                <w:rFonts w:ascii="Times New Roman" w:hAnsi="Times New Roman"/>
                <w:sz w:val="20"/>
                <w:szCs w:val="20"/>
              </w:rPr>
            </w:pPr>
          </w:p>
        </w:tc>
        <w:tc>
          <w:tcPr>
            <w:tcW w:w="50" w:type="pct"/>
            <w:shd w:val="clear" w:color="auto" w:fill="auto"/>
            <w:vAlign w:val="center"/>
          </w:tcPr>
          <w:p w14:paraId="5556AD3A" w14:textId="77777777" w:rsidR="00F925DD" w:rsidRDefault="00F925DD">
            <w:pPr>
              <w:rPr>
                <w:rFonts w:ascii="Times New Roman" w:hAnsi="Times New Roman"/>
                <w:sz w:val="20"/>
                <w:szCs w:val="20"/>
              </w:rPr>
            </w:pPr>
          </w:p>
        </w:tc>
        <w:tc>
          <w:tcPr>
            <w:tcW w:w="50" w:type="pct"/>
            <w:shd w:val="clear" w:color="auto" w:fill="auto"/>
            <w:vAlign w:val="center"/>
          </w:tcPr>
          <w:p w14:paraId="5556AD3B" w14:textId="77777777" w:rsidR="00F925DD" w:rsidRDefault="00F925DD">
            <w:pPr>
              <w:rPr>
                <w:rFonts w:ascii="Times New Roman" w:hAnsi="Times New Roman"/>
                <w:sz w:val="20"/>
                <w:szCs w:val="20"/>
              </w:rPr>
            </w:pPr>
          </w:p>
        </w:tc>
        <w:tc>
          <w:tcPr>
            <w:tcW w:w="250" w:type="pct"/>
            <w:shd w:val="clear" w:color="auto" w:fill="auto"/>
            <w:vAlign w:val="center"/>
          </w:tcPr>
          <w:p w14:paraId="5556AD3C" w14:textId="77777777" w:rsidR="00F925DD" w:rsidRDefault="00F925DD">
            <w:pPr>
              <w:rPr>
                <w:rFonts w:ascii="Times New Roman" w:hAnsi="Times New Roman"/>
                <w:sz w:val="20"/>
                <w:szCs w:val="20"/>
              </w:rPr>
            </w:pPr>
          </w:p>
        </w:tc>
        <w:tc>
          <w:tcPr>
            <w:tcW w:w="50" w:type="pct"/>
            <w:shd w:val="clear" w:color="auto" w:fill="auto"/>
            <w:vAlign w:val="center"/>
          </w:tcPr>
          <w:p w14:paraId="5556AD3D" w14:textId="77777777" w:rsidR="00F925DD" w:rsidRDefault="00F925DD">
            <w:pPr>
              <w:rPr>
                <w:rFonts w:ascii="Times New Roman" w:hAnsi="Times New Roman"/>
                <w:sz w:val="20"/>
                <w:szCs w:val="20"/>
              </w:rPr>
            </w:pPr>
          </w:p>
        </w:tc>
      </w:tr>
      <w:tr w:rsidR="00F925DD" w14:paraId="5556AD52" w14:textId="77777777">
        <w:tc>
          <w:tcPr>
            <w:tcW w:w="0" w:type="auto"/>
            <w:vMerge w:val="restart"/>
            <w:shd w:val="clear" w:color="auto" w:fill="auto"/>
            <w:tcMar>
              <w:top w:w="40" w:type="dxa"/>
              <w:left w:w="40" w:type="dxa"/>
              <w:bottom w:w="40" w:type="dxa"/>
              <w:right w:w="40" w:type="dxa"/>
            </w:tcMar>
            <w:vAlign w:val="bottom"/>
          </w:tcPr>
          <w:p w14:paraId="5556AD3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(Dollars in millions, except per share amounts, shares in thousands)</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AD4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Preferred</w:t>
            </w:r>
          </w:p>
          <w:p w14:paraId="5556AD4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Stock</w:t>
            </w:r>
          </w:p>
        </w:tc>
        <w:tc>
          <w:tcPr>
            <w:tcW w:w="0" w:type="auto"/>
            <w:vMerge w:val="restart"/>
            <w:shd w:val="clear" w:color="auto" w:fill="auto"/>
            <w:tcMar>
              <w:top w:w="40" w:type="dxa"/>
              <w:left w:w="40" w:type="dxa"/>
              <w:bottom w:w="40" w:type="dxa"/>
              <w:right w:w="40" w:type="dxa"/>
            </w:tcMar>
            <w:vAlign w:val="bottom"/>
          </w:tcPr>
          <w:p w14:paraId="5556AD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556AD4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Common Stock</w:t>
            </w:r>
          </w:p>
        </w:tc>
        <w:tc>
          <w:tcPr>
            <w:tcW w:w="0" w:type="auto"/>
            <w:shd w:val="clear" w:color="auto" w:fill="auto"/>
            <w:tcMar>
              <w:top w:w="40" w:type="dxa"/>
              <w:left w:w="40" w:type="dxa"/>
              <w:bottom w:w="40" w:type="dxa"/>
              <w:right w:w="40" w:type="dxa"/>
            </w:tcMar>
            <w:vAlign w:val="bottom"/>
          </w:tcPr>
          <w:p w14:paraId="5556AD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AD4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Surplus</w:t>
            </w:r>
          </w:p>
        </w:tc>
        <w:tc>
          <w:tcPr>
            <w:tcW w:w="0" w:type="auto"/>
            <w:vMerge w:val="restart"/>
            <w:shd w:val="clear" w:color="auto" w:fill="auto"/>
            <w:tcMar>
              <w:top w:w="40" w:type="dxa"/>
              <w:left w:w="40" w:type="dxa"/>
              <w:bottom w:w="40" w:type="dxa"/>
              <w:right w:w="40" w:type="dxa"/>
            </w:tcMar>
            <w:vAlign w:val="bottom"/>
          </w:tcPr>
          <w:p w14:paraId="5556AD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AD4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Retained</w:t>
            </w:r>
          </w:p>
          <w:p w14:paraId="5556AD4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Earnings</w:t>
            </w:r>
          </w:p>
        </w:tc>
        <w:tc>
          <w:tcPr>
            <w:tcW w:w="0" w:type="auto"/>
            <w:vMerge w:val="restart"/>
            <w:shd w:val="clear" w:color="auto" w:fill="auto"/>
            <w:tcMar>
              <w:top w:w="40" w:type="dxa"/>
              <w:left w:w="40" w:type="dxa"/>
              <w:bottom w:w="40" w:type="dxa"/>
              <w:right w:w="40" w:type="dxa"/>
            </w:tcMar>
            <w:vAlign w:val="bottom"/>
          </w:tcPr>
          <w:p w14:paraId="5556AD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AD4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Accumulated</w:t>
            </w:r>
          </w:p>
          <w:p w14:paraId="5556AD4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Other</w:t>
            </w:r>
          </w:p>
          <w:p w14:paraId="5556AD4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Comprehensive</w:t>
            </w:r>
          </w:p>
          <w:p w14:paraId="5556AD4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Income (Loss)</w:t>
            </w:r>
          </w:p>
        </w:tc>
        <w:tc>
          <w:tcPr>
            <w:tcW w:w="0" w:type="auto"/>
            <w:vMerge w:val="restart"/>
            <w:shd w:val="clear" w:color="auto" w:fill="auto"/>
            <w:tcMar>
              <w:top w:w="40" w:type="dxa"/>
              <w:left w:w="40" w:type="dxa"/>
              <w:bottom w:w="40" w:type="dxa"/>
              <w:right w:w="40" w:type="dxa"/>
            </w:tcMar>
            <w:vAlign w:val="bottom"/>
          </w:tcPr>
          <w:p w14:paraId="5556AD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5556AD4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Treasury Stock</w:t>
            </w:r>
          </w:p>
        </w:tc>
        <w:tc>
          <w:tcPr>
            <w:tcW w:w="0" w:type="auto"/>
            <w:shd w:val="clear" w:color="auto" w:fill="auto"/>
            <w:tcMar>
              <w:top w:w="40" w:type="dxa"/>
              <w:left w:w="40" w:type="dxa"/>
              <w:bottom w:w="40" w:type="dxa"/>
              <w:right w:w="40" w:type="dxa"/>
            </w:tcMar>
            <w:vAlign w:val="bottom"/>
          </w:tcPr>
          <w:p w14:paraId="5556AD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AD5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r>
      <w:tr w:rsidR="00F925DD" w14:paraId="5556AD65" w14:textId="77777777">
        <w:tc>
          <w:tcPr>
            <w:tcW w:w="0" w:type="auto"/>
            <w:vMerge/>
            <w:shd w:val="clear" w:color="auto" w:fill="auto"/>
            <w:tcMar>
              <w:top w:w="40" w:type="dxa"/>
              <w:left w:w="40" w:type="dxa"/>
              <w:bottom w:w="40" w:type="dxa"/>
              <w:right w:w="40" w:type="dxa"/>
            </w:tcMar>
            <w:vAlign w:val="bottom"/>
          </w:tcPr>
          <w:p w14:paraId="5556AD53"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AD54"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AD55" w14:textId="77777777" w:rsidR="00F925DD" w:rsidRDefault="00F925DD">
            <w:pPr>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AD5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Shares</w:t>
            </w:r>
          </w:p>
        </w:tc>
        <w:tc>
          <w:tcPr>
            <w:tcW w:w="0" w:type="auto"/>
            <w:shd w:val="clear" w:color="auto" w:fill="auto"/>
            <w:tcMar>
              <w:top w:w="40" w:type="dxa"/>
              <w:left w:w="40" w:type="dxa"/>
              <w:bottom w:w="40" w:type="dxa"/>
              <w:right w:w="40" w:type="dxa"/>
            </w:tcMar>
            <w:vAlign w:val="bottom"/>
          </w:tcPr>
          <w:p w14:paraId="5556AD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D5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Amount</w:t>
            </w:r>
          </w:p>
        </w:tc>
        <w:tc>
          <w:tcPr>
            <w:tcW w:w="0" w:type="auto"/>
            <w:shd w:val="clear" w:color="auto" w:fill="auto"/>
            <w:tcMar>
              <w:top w:w="40" w:type="dxa"/>
              <w:left w:w="40" w:type="dxa"/>
              <w:bottom w:w="40" w:type="dxa"/>
              <w:right w:w="40" w:type="dxa"/>
            </w:tcMar>
            <w:vAlign w:val="bottom"/>
          </w:tcPr>
          <w:p w14:paraId="5556AD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AD5A"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AD5B"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AD5C"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AD5D"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AD5E"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AD5F" w14:textId="77777777" w:rsidR="00F925DD" w:rsidRDefault="00F925DD">
            <w:pPr>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AD6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Shares</w:t>
            </w:r>
          </w:p>
        </w:tc>
        <w:tc>
          <w:tcPr>
            <w:tcW w:w="0" w:type="auto"/>
            <w:shd w:val="clear" w:color="auto" w:fill="auto"/>
            <w:tcMar>
              <w:top w:w="40" w:type="dxa"/>
              <w:left w:w="40" w:type="dxa"/>
              <w:bottom w:w="40" w:type="dxa"/>
              <w:right w:w="40" w:type="dxa"/>
            </w:tcMar>
            <w:vAlign w:val="bottom"/>
          </w:tcPr>
          <w:p w14:paraId="5556AD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AD6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Amount</w:t>
            </w:r>
          </w:p>
        </w:tc>
        <w:tc>
          <w:tcPr>
            <w:tcW w:w="0" w:type="auto"/>
            <w:shd w:val="clear" w:color="auto" w:fill="auto"/>
            <w:tcMar>
              <w:top w:w="40" w:type="dxa"/>
              <w:left w:w="40" w:type="dxa"/>
              <w:bottom w:w="40" w:type="dxa"/>
              <w:right w:w="40" w:type="dxa"/>
            </w:tcMar>
            <w:vAlign w:val="bottom"/>
          </w:tcPr>
          <w:p w14:paraId="5556AD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AD64" w14:textId="77777777" w:rsidR="00F925DD" w:rsidRDefault="00F925DD">
            <w:pPr>
              <w:rPr>
                <w:rFonts w:ascii="Times New Roman" w:hAnsi="Times New Roman"/>
                <w:sz w:val="20"/>
                <w:szCs w:val="20"/>
              </w:rPr>
            </w:pPr>
          </w:p>
        </w:tc>
      </w:tr>
      <w:tr w:rsidR="00E705D7" w14:paraId="5556AD88" w14:textId="77777777">
        <w:tc>
          <w:tcPr>
            <w:tcW w:w="0" w:type="auto"/>
            <w:shd w:val="clear" w:color="auto" w:fill="CCEEFF"/>
            <w:tcMar>
              <w:top w:w="40" w:type="dxa"/>
              <w:left w:w="40" w:type="dxa"/>
              <w:bottom w:w="40" w:type="dxa"/>
              <w:right w:w="40" w:type="dxa"/>
            </w:tcMar>
            <w:vAlign w:val="bottom"/>
          </w:tcPr>
          <w:p w14:paraId="5556AD6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Balance at December 31, 2016</w:t>
            </w:r>
          </w:p>
        </w:tc>
        <w:tc>
          <w:tcPr>
            <w:tcW w:w="0" w:type="auto"/>
            <w:tcBorders>
              <w:top w:val="single" w:sz="8" w:space="0" w:color="000000"/>
            </w:tcBorders>
            <w:shd w:val="clear" w:color="auto" w:fill="CCEEFF"/>
            <w:tcMar>
              <w:top w:w="40" w:type="dxa"/>
              <w:left w:w="40" w:type="dxa"/>
              <w:bottom w:w="40" w:type="dxa"/>
            </w:tcMar>
            <w:vAlign w:val="bottom"/>
          </w:tcPr>
          <w:p w14:paraId="5556AD6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D6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3,196</w:t>
            </w:r>
          </w:p>
        </w:tc>
        <w:tc>
          <w:tcPr>
            <w:tcW w:w="0" w:type="auto"/>
            <w:tcBorders>
              <w:top w:val="single" w:sz="8" w:space="0" w:color="000000"/>
            </w:tcBorders>
            <w:shd w:val="clear" w:color="auto" w:fill="CCEEFF"/>
            <w:vAlign w:val="bottom"/>
          </w:tcPr>
          <w:p w14:paraId="5556AD6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D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D6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503,880</w:t>
            </w:r>
          </w:p>
        </w:tc>
        <w:tc>
          <w:tcPr>
            <w:tcW w:w="0" w:type="auto"/>
            <w:tcBorders>
              <w:top w:val="single" w:sz="8" w:space="0" w:color="000000"/>
            </w:tcBorders>
            <w:shd w:val="clear" w:color="auto" w:fill="CCEEFF"/>
            <w:vAlign w:val="bottom"/>
          </w:tcPr>
          <w:p w14:paraId="5556AD6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D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D6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D6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504</w:t>
            </w:r>
          </w:p>
        </w:tc>
        <w:tc>
          <w:tcPr>
            <w:tcW w:w="0" w:type="auto"/>
            <w:tcBorders>
              <w:top w:val="single" w:sz="8" w:space="0" w:color="000000"/>
            </w:tcBorders>
            <w:shd w:val="clear" w:color="auto" w:fill="CCEEFF"/>
            <w:vAlign w:val="bottom"/>
          </w:tcPr>
          <w:p w14:paraId="5556AD7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D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D7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D7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9,782</w:t>
            </w:r>
          </w:p>
        </w:tc>
        <w:tc>
          <w:tcPr>
            <w:tcW w:w="0" w:type="auto"/>
            <w:tcBorders>
              <w:top w:val="single" w:sz="8" w:space="0" w:color="000000"/>
            </w:tcBorders>
            <w:shd w:val="clear" w:color="auto" w:fill="CCEEFF"/>
            <w:vAlign w:val="bottom"/>
          </w:tcPr>
          <w:p w14:paraId="5556AD74" w14:textId="77777777" w:rsidR="00F925DD" w:rsidRDefault="00F925D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5556AD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D7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D7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17,433</w:t>
            </w:r>
          </w:p>
        </w:tc>
        <w:tc>
          <w:tcPr>
            <w:tcW w:w="0" w:type="auto"/>
            <w:tcBorders>
              <w:top w:val="single" w:sz="8" w:space="0" w:color="000000"/>
            </w:tcBorders>
            <w:shd w:val="clear" w:color="auto" w:fill="CCEEFF"/>
            <w:vAlign w:val="bottom"/>
          </w:tcPr>
          <w:p w14:paraId="5556AD78" w14:textId="77777777" w:rsidR="00F925DD" w:rsidRDefault="00F925D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5556AD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D7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D7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(2,040</w:t>
            </w:r>
          </w:p>
        </w:tc>
        <w:tc>
          <w:tcPr>
            <w:tcW w:w="0" w:type="auto"/>
            <w:tcBorders>
              <w:top w:val="single" w:sz="8" w:space="0" w:color="000000"/>
            </w:tcBorders>
            <w:shd w:val="clear" w:color="auto" w:fill="CCEEFF"/>
            <w:tcMar>
              <w:top w:w="40" w:type="dxa"/>
              <w:bottom w:w="40" w:type="dxa"/>
              <w:right w:w="40" w:type="dxa"/>
            </w:tcMar>
            <w:vAlign w:val="bottom"/>
          </w:tcPr>
          <w:p w14:paraId="5556AD7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AD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D7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121,941</w:t>
            </w:r>
          </w:p>
        </w:tc>
        <w:tc>
          <w:tcPr>
            <w:tcW w:w="0" w:type="auto"/>
            <w:tcBorders>
              <w:top w:val="single" w:sz="8" w:space="0" w:color="000000"/>
            </w:tcBorders>
            <w:shd w:val="clear" w:color="auto" w:fill="CCEEFF"/>
            <w:vAlign w:val="bottom"/>
          </w:tcPr>
          <w:p w14:paraId="5556AD7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D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D8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D8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(7,682</w:t>
            </w:r>
          </w:p>
        </w:tc>
        <w:tc>
          <w:tcPr>
            <w:tcW w:w="0" w:type="auto"/>
            <w:tcBorders>
              <w:top w:val="single" w:sz="8" w:space="0" w:color="000000"/>
            </w:tcBorders>
            <w:shd w:val="clear" w:color="auto" w:fill="CCEEFF"/>
            <w:tcMar>
              <w:top w:w="40" w:type="dxa"/>
              <w:bottom w:w="40" w:type="dxa"/>
              <w:right w:w="40" w:type="dxa"/>
            </w:tcMar>
            <w:vAlign w:val="bottom"/>
          </w:tcPr>
          <w:p w14:paraId="5556AD8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AD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D8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D8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21,193</w:t>
            </w:r>
          </w:p>
        </w:tc>
        <w:tc>
          <w:tcPr>
            <w:tcW w:w="0" w:type="auto"/>
            <w:tcBorders>
              <w:top w:val="single" w:sz="8" w:space="0" w:color="000000"/>
            </w:tcBorders>
            <w:shd w:val="clear" w:color="auto" w:fill="CCEEFF"/>
            <w:vAlign w:val="bottom"/>
          </w:tcPr>
          <w:p w14:paraId="5556AD87" w14:textId="77777777" w:rsidR="00F925DD" w:rsidRDefault="00F925DD">
            <w:pPr>
              <w:textAlignment w:val="bottom"/>
              <w:rPr>
                <w:rFonts w:ascii="Times New Roman" w:hAnsi="Times New Roman"/>
                <w:sz w:val="20"/>
                <w:szCs w:val="20"/>
              </w:rPr>
            </w:pPr>
          </w:p>
        </w:tc>
      </w:tr>
      <w:tr w:rsidR="00F925DD" w14:paraId="5556AD9D" w14:textId="77777777">
        <w:tc>
          <w:tcPr>
            <w:tcW w:w="0" w:type="auto"/>
            <w:shd w:val="clear" w:color="auto" w:fill="auto"/>
            <w:tcMar>
              <w:top w:w="40" w:type="dxa"/>
              <w:left w:w="40" w:type="dxa"/>
              <w:bottom w:w="40" w:type="dxa"/>
              <w:right w:w="40" w:type="dxa"/>
            </w:tcMar>
            <w:vAlign w:val="bottom"/>
          </w:tcPr>
          <w:p w14:paraId="5556AD89" w14:textId="77777777" w:rsidR="00F925DD" w:rsidRDefault="00E705D7">
            <w:pPr>
              <w:textAlignment w:val="bottom"/>
              <w:rPr>
                <w:rFonts w:ascii="Times New Roman" w:hAnsi="Times New Roman"/>
                <w:sz w:val="15"/>
                <w:szCs w:val="15"/>
              </w:rPr>
            </w:pPr>
            <w:r>
              <w:rPr>
                <w:rFonts w:ascii="Arial" w:eastAsia="宋体" w:hAnsi="Arial" w:cs="Arial"/>
                <w:sz w:val="15"/>
                <w:szCs w:val="15"/>
              </w:rPr>
              <w:t>Net income</w:t>
            </w:r>
          </w:p>
        </w:tc>
        <w:tc>
          <w:tcPr>
            <w:tcW w:w="0" w:type="auto"/>
            <w:gridSpan w:val="3"/>
            <w:shd w:val="clear" w:color="auto" w:fill="auto"/>
            <w:tcMar>
              <w:top w:w="40" w:type="dxa"/>
              <w:left w:w="40" w:type="dxa"/>
              <w:bottom w:w="40" w:type="dxa"/>
              <w:right w:w="40" w:type="dxa"/>
            </w:tcMar>
            <w:vAlign w:val="bottom"/>
          </w:tcPr>
          <w:p w14:paraId="5556AD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D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D9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2,156</w:t>
            </w:r>
          </w:p>
        </w:tc>
        <w:tc>
          <w:tcPr>
            <w:tcW w:w="0" w:type="auto"/>
            <w:shd w:val="clear" w:color="auto" w:fill="auto"/>
            <w:vAlign w:val="bottom"/>
          </w:tcPr>
          <w:p w14:paraId="5556AD9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D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D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D9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2,156</w:t>
            </w:r>
          </w:p>
        </w:tc>
        <w:tc>
          <w:tcPr>
            <w:tcW w:w="0" w:type="auto"/>
            <w:shd w:val="clear" w:color="auto" w:fill="auto"/>
            <w:vAlign w:val="bottom"/>
          </w:tcPr>
          <w:p w14:paraId="5556AD9C" w14:textId="77777777" w:rsidR="00F925DD" w:rsidRDefault="00F925DD">
            <w:pPr>
              <w:textAlignment w:val="bottom"/>
              <w:rPr>
                <w:rFonts w:ascii="Times New Roman" w:hAnsi="Times New Roman"/>
                <w:sz w:val="20"/>
                <w:szCs w:val="20"/>
              </w:rPr>
            </w:pPr>
          </w:p>
        </w:tc>
      </w:tr>
      <w:tr w:rsidR="00F925DD" w14:paraId="5556ADB2" w14:textId="77777777">
        <w:tc>
          <w:tcPr>
            <w:tcW w:w="0" w:type="auto"/>
            <w:shd w:val="clear" w:color="auto" w:fill="CCEEFF"/>
            <w:tcMar>
              <w:top w:w="40" w:type="dxa"/>
              <w:left w:w="40" w:type="dxa"/>
              <w:bottom w:w="40" w:type="dxa"/>
              <w:right w:w="40" w:type="dxa"/>
            </w:tcMar>
            <w:vAlign w:val="bottom"/>
          </w:tcPr>
          <w:p w14:paraId="5556AD9E"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comprehensive income (loss)</w:t>
            </w:r>
          </w:p>
        </w:tc>
        <w:tc>
          <w:tcPr>
            <w:tcW w:w="0" w:type="auto"/>
            <w:gridSpan w:val="3"/>
            <w:shd w:val="clear" w:color="auto" w:fill="CCEEFF"/>
            <w:tcMar>
              <w:top w:w="40" w:type="dxa"/>
              <w:left w:w="40" w:type="dxa"/>
              <w:bottom w:w="40" w:type="dxa"/>
              <w:right w:w="40" w:type="dxa"/>
            </w:tcMar>
            <w:vAlign w:val="bottom"/>
          </w:tcPr>
          <w:p w14:paraId="5556AD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D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DA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1,031</w:t>
            </w:r>
          </w:p>
        </w:tc>
        <w:tc>
          <w:tcPr>
            <w:tcW w:w="0" w:type="auto"/>
            <w:shd w:val="clear" w:color="auto" w:fill="CCEEFF"/>
            <w:vAlign w:val="bottom"/>
          </w:tcPr>
          <w:p w14:paraId="5556ADA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D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D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DB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1,031</w:t>
            </w:r>
          </w:p>
        </w:tc>
        <w:tc>
          <w:tcPr>
            <w:tcW w:w="0" w:type="auto"/>
            <w:shd w:val="clear" w:color="auto" w:fill="CCEEFF"/>
            <w:vAlign w:val="bottom"/>
          </w:tcPr>
          <w:p w14:paraId="5556ADB1" w14:textId="77777777" w:rsidR="00F925DD" w:rsidRDefault="00F925DD">
            <w:pPr>
              <w:textAlignment w:val="bottom"/>
              <w:rPr>
                <w:rFonts w:ascii="Times New Roman" w:hAnsi="Times New Roman"/>
                <w:sz w:val="20"/>
                <w:szCs w:val="20"/>
              </w:rPr>
            </w:pPr>
          </w:p>
        </w:tc>
      </w:tr>
      <w:tr w:rsidR="00F925DD" w14:paraId="5556ADC6" w14:textId="77777777">
        <w:tc>
          <w:tcPr>
            <w:tcW w:w="0" w:type="auto"/>
            <w:shd w:val="clear" w:color="auto" w:fill="auto"/>
            <w:tcMar>
              <w:top w:w="40" w:type="dxa"/>
              <w:left w:w="40" w:type="dxa"/>
              <w:bottom w:w="40" w:type="dxa"/>
              <w:right w:w="40" w:type="dxa"/>
            </w:tcMar>
            <w:vAlign w:val="bottom"/>
          </w:tcPr>
          <w:p w14:paraId="5556ADB3" w14:textId="77777777" w:rsidR="00F925DD" w:rsidRDefault="00E705D7">
            <w:pPr>
              <w:textAlignment w:val="bottom"/>
              <w:rPr>
                <w:rFonts w:ascii="Times New Roman" w:hAnsi="Times New Roman"/>
                <w:sz w:val="15"/>
                <w:szCs w:val="15"/>
              </w:rPr>
            </w:pPr>
            <w:r>
              <w:rPr>
                <w:rFonts w:ascii="Arial" w:eastAsia="宋体" w:hAnsi="Arial" w:cs="Arial"/>
                <w:sz w:val="15"/>
                <w:szCs w:val="15"/>
              </w:rPr>
              <w:t>Cash dividends declared:</w:t>
            </w:r>
          </w:p>
        </w:tc>
        <w:tc>
          <w:tcPr>
            <w:tcW w:w="0" w:type="auto"/>
            <w:gridSpan w:val="3"/>
            <w:shd w:val="clear" w:color="auto" w:fill="auto"/>
            <w:tcMar>
              <w:top w:w="40" w:type="dxa"/>
              <w:left w:w="40" w:type="dxa"/>
              <w:bottom w:w="40" w:type="dxa"/>
              <w:right w:w="40" w:type="dxa"/>
            </w:tcMar>
            <w:vAlign w:val="bottom"/>
          </w:tcPr>
          <w:p w14:paraId="5556AD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D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D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DC4" w14:textId="77777777" w:rsidR="00F925DD" w:rsidRDefault="00F925DD">
            <w:pPr>
              <w:jc w:val="right"/>
              <w:textAlignment w:val="bottom"/>
              <w:rPr>
                <w:rFonts w:ascii="Times New Roman" w:hAnsi="Times New Roman"/>
                <w:sz w:val="15"/>
                <w:szCs w:val="15"/>
              </w:rPr>
            </w:pPr>
          </w:p>
        </w:tc>
        <w:tc>
          <w:tcPr>
            <w:tcW w:w="0" w:type="auto"/>
            <w:shd w:val="clear" w:color="auto" w:fill="auto"/>
            <w:vAlign w:val="bottom"/>
          </w:tcPr>
          <w:p w14:paraId="5556ADC5" w14:textId="77777777" w:rsidR="00F925DD" w:rsidRDefault="00F925DD">
            <w:pPr>
              <w:textAlignment w:val="bottom"/>
              <w:rPr>
                <w:rFonts w:ascii="Times New Roman" w:hAnsi="Times New Roman"/>
                <w:sz w:val="20"/>
                <w:szCs w:val="20"/>
              </w:rPr>
            </w:pPr>
          </w:p>
        </w:tc>
      </w:tr>
      <w:tr w:rsidR="00F925DD" w14:paraId="5556ADDB" w14:textId="77777777">
        <w:tc>
          <w:tcPr>
            <w:tcW w:w="0" w:type="auto"/>
            <w:shd w:val="clear" w:color="auto" w:fill="CCEEFF"/>
            <w:tcMar>
              <w:top w:w="40" w:type="dxa"/>
              <w:left w:w="40" w:type="dxa"/>
              <w:bottom w:w="40" w:type="dxa"/>
              <w:right w:w="40" w:type="dxa"/>
            </w:tcMar>
            <w:vAlign w:val="bottom"/>
          </w:tcPr>
          <w:p w14:paraId="5556ADC7" w14:textId="77777777" w:rsidR="00F925DD" w:rsidRDefault="00E705D7">
            <w:pPr>
              <w:textAlignment w:val="bottom"/>
              <w:rPr>
                <w:rFonts w:ascii="Times New Roman" w:hAnsi="Times New Roman"/>
                <w:sz w:val="15"/>
                <w:szCs w:val="15"/>
              </w:rPr>
            </w:pPr>
            <w:r>
              <w:rPr>
                <w:rFonts w:ascii="Arial" w:eastAsia="宋体" w:hAnsi="Arial" w:cs="Arial"/>
                <w:sz w:val="15"/>
                <w:szCs w:val="15"/>
              </w:rPr>
              <w:t>  Common stock - $1.60 per share</w:t>
            </w:r>
          </w:p>
        </w:tc>
        <w:tc>
          <w:tcPr>
            <w:tcW w:w="0" w:type="auto"/>
            <w:gridSpan w:val="3"/>
            <w:shd w:val="clear" w:color="auto" w:fill="CCEEFF"/>
            <w:tcMar>
              <w:top w:w="40" w:type="dxa"/>
              <w:left w:w="40" w:type="dxa"/>
              <w:bottom w:w="40" w:type="dxa"/>
              <w:right w:w="40" w:type="dxa"/>
            </w:tcMar>
            <w:vAlign w:val="bottom"/>
          </w:tcPr>
          <w:p w14:paraId="5556AD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D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DD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(596</w:t>
            </w:r>
          </w:p>
        </w:tc>
        <w:tc>
          <w:tcPr>
            <w:tcW w:w="0" w:type="auto"/>
            <w:shd w:val="clear" w:color="auto" w:fill="CCEEFF"/>
            <w:tcMar>
              <w:top w:w="40" w:type="dxa"/>
              <w:bottom w:w="40" w:type="dxa"/>
              <w:right w:w="40" w:type="dxa"/>
            </w:tcMar>
            <w:vAlign w:val="bottom"/>
          </w:tcPr>
          <w:p w14:paraId="5556ADD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AD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D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DD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(596</w:t>
            </w:r>
          </w:p>
        </w:tc>
        <w:tc>
          <w:tcPr>
            <w:tcW w:w="0" w:type="auto"/>
            <w:shd w:val="clear" w:color="auto" w:fill="CCEEFF"/>
            <w:tcMar>
              <w:top w:w="40" w:type="dxa"/>
              <w:bottom w:w="40" w:type="dxa"/>
              <w:right w:w="40" w:type="dxa"/>
            </w:tcMar>
            <w:vAlign w:val="bottom"/>
          </w:tcPr>
          <w:p w14:paraId="5556ADD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DF0" w14:textId="77777777">
        <w:tc>
          <w:tcPr>
            <w:tcW w:w="0" w:type="auto"/>
            <w:shd w:val="clear" w:color="auto" w:fill="auto"/>
            <w:tcMar>
              <w:top w:w="40" w:type="dxa"/>
              <w:left w:w="40" w:type="dxa"/>
              <w:bottom w:w="40" w:type="dxa"/>
              <w:right w:w="40" w:type="dxa"/>
            </w:tcMar>
            <w:vAlign w:val="bottom"/>
          </w:tcPr>
          <w:p w14:paraId="5556ADDC" w14:textId="77777777" w:rsidR="00F925DD" w:rsidRDefault="00E705D7">
            <w:pPr>
              <w:textAlignment w:val="bottom"/>
              <w:rPr>
                <w:rFonts w:ascii="Times New Roman" w:hAnsi="Times New Roman"/>
                <w:sz w:val="15"/>
                <w:szCs w:val="15"/>
              </w:rPr>
            </w:pPr>
            <w:r>
              <w:rPr>
                <w:rFonts w:ascii="Arial" w:eastAsia="宋体" w:hAnsi="Arial" w:cs="Arial"/>
                <w:sz w:val="15"/>
                <w:szCs w:val="15"/>
              </w:rPr>
              <w:t>  Preferred stock</w:t>
            </w:r>
          </w:p>
        </w:tc>
        <w:tc>
          <w:tcPr>
            <w:tcW w:w="0" w:type="auto"/>
            <w:gridSpan w:val="3"/>
            <w:shd w:val="clear" w:color="auto" w:fill="auto"/>
            <w:tcMar>
              <w:top w:w="40" w:type="dxa"/>
              <w:left w:w="40" w:type="dxa"/>
              <w:bottom w:w="40" w:type="dxa"/>
              <w:right w:w="40" w:type="dxa"/>
            </w:tcMar>
            <w:vAlign w:val="bottom"/>
          </w:tcPr>
          <w:p w14:paraId="5556AD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D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DE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(182</w:t>
            </w:r>
          </w:p>
        </w:tc>
        <w:tc>
          <w:tcPr>
            <w:tcW w:w="0" w:type="auto"/>
            <w:shd w:val="clear" w:color="auto" w:fill="auto"/>
            <w:tcMar>
              <w:top w:w="40" w:type="dxa"/>
              <w:bottom w:w="40" w:type="dxa"/>
              <w:right w:w="40" w:type="dxa"/>
            </w:tcMar>
            <w:vAlign w:val="bottom"/>
          </w:tcPr>
          <w:p w14:paraId="5556ADE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AD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D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D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D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DE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(182</w:t>
            </w:r>
          </w:p>
        </w:tc>
        <w:tc>
          <w:tcPr>
            <w:tcW w:w="0" w:type="auto"/>
            <w:shd w:val="clear" w:color="auto" w:fill="auto"/>
            <w:tcMar>
              <w:top w:w="40" w:type="dxa"/>
              <w:bottom w:w="40" w:type="dxa"/>
              <w:right w:w="40" w:type="dxa"/>
            </w:tcMar>
            <w:vAlign w:val="bottom"/>
          </w:tcPr>
          <w:p w14:paraId="5556ADE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E06" w14:textId="77777777">
        <w:tc>
          <w:tcPr>
            <w:tcW w:w="0" w:type="auto"/>
            <w:shd w:val="clear" w:color="auto" w:fill="CCEEFF"/>
            <w:tcMar>
              <w:top w:w="40" w:type="dxa"/>
              <w:left w:w="40" w:type="dxa"/>
              <w:bottom w:w="40" w:type="dxa"/>
              <w:right w:w="40" w:type="dxa"/>
            </w:tcMar>
            <w:vAlign w:val="bottom"/>
          </w:tcPr>
          <w:p w14:paraId="5556ADF1" w14:textId="77777777" w:rsidR="00F925DD" w:rsidRDefault="00E705D7">
            <w:pPr>
              <w:textAlignment w:val="bottom"/>
              <w:rPr>
                <w:rFonts w:ascii="Times New Roman" w:hAnsi="Times New Roman"/>
                <w:sz w:val="15"/>
                <w:szCs w:val="15"/>
              </w:rPr>
            </w:pPr>
            <w:r>
              <w:rPr>
                <w:rFonts w:ascii="Arial" w:eastAsia="宋体" w:hAnsi="Arial" w:cs="Arial"/>
                <w:sz w:val="15"/>
                <w:szCs w:val="15"/>
              </w:rPr>
              <w:t>Common stock acquired</w:t>
            </w:r>
          </w:p>
        </w:tc>
        <w:tc>
          <w:tcPr>
            <w:tcW w:w="0" w:type="auto"/>
            <w:gridSpan w:val="3"/>
            <w:shd w:val="clear" w:color="auto" w:fill="CCEEFF"/>
            <w:tcMar>
              <w:top w:w="40" w:type="dxa"/>
              <w:left w:w="40" w:type="dxa"/>
              <w:bottom w:w="40" w:type="dxa"/>
              <w:right w:w="40" w:type="dxa"/>
            </w:tcMar>
            <w:vAlign w:val="bottom"/>
          </w:tcPr>
          <w:p w14:paraId="5556AD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D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D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D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DF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16,788</w:t>
            </w:r>
          </w:p>
        </w:tc>
        <w:tc>
          <w:tcPr>
            <w:tcW w:w="0" w:type="auto"/>
            <w:shd w:val="clear" w:color="auto" w:fill="CCEEFF"/>
            <w:vAlign w:val="bottom"/>
          </w:tcPr>
          <w:p w14:paraId="5556ADF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E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0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(1,450</w:t>
            </w:r>
          </w:p>
        </w:tc>
        <w:tc>
          <w:tcPr>
            <w:tcW w:w="0" w:type="auto"/>
            <w:shd w:val="clear" w:color="auto" w:fill="CCEEFF"/>
            <w:tcMar>
              <w:top w:w="40" w:type="dxa"/>
              <w:bottom w:w="40" w:type="dxa"/>
              <w:right w:w="40" w:type="dxa"/>
            </w:tcMar>
            <w:vAlign w:val="bottom"/>
          </w:tcPr>
          <w:p w14:paraId="5556AE0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AE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0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(1,450</w:t>
            </w:r>
          </w:p>
        </w:tc>
        <w:tc>
          <w:tcPr>
            <w:tcW w:w="0" w:type="auto"/>
            <w:shd w:val="clear" w:color="auto" w:fill="CCEEFF"/>
            <w:tcMar>
              <w:top w:w="40" w:type="dxa"/>
              <w:bottom w:w="40" w:type="dxa"/>
              <w:right w:w="40" w:type="dxa"/>
            </w:tcMar>
            <w:vAlign w:val="bottom"/>
          </w:tcPr>
          <w:p w14:paraId="5556AE0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E1D" w14:textId="77777777">
        <w:tc>
          <w:tcPr>
            <w:tcW w:w="0" w:type="auto"/>
            <w:shd w:val="clear" w:color="auto" w:fill="auto"/>
            <w:tcMar>
              <w:top w:w="40" w:type="dxa"/>
              <w:left w:w="40" w:type="dxa"/>
              <w:bottom w:w="40" w:type="dxa"/>
              <w:right w:w="40" w:type="dxa"/>
            </w:tcMar>
            <w:vAlign w:val="bottom"/>
          </w:tcPr>
          <w:p w14:paraId="5556AE07" w14:textId="77777777" w:rsidR="00F925DD" w:rsidRDefault="00E705D7">
            <w:pPr>
              <w:textAlignment w:val="bottom"/>
              <w:rPr>
                <w:rFonts w:ascii="Times New Roman" w:hAnsi="Times New Roman"/>
                <w:sz w:val="15"/>
                <w:szCs w:val="15"/>
              </w:rPr>
            </w:pPr>
            <w:r>
              <w:rPr>
                <w:rFonts w:ascii="Arial" w:eastAsia="宋体" w:hAnsi="Arial" w:cs="Arial"/>
                <w:sz w:val="15"/>
                <w:szCs w:val="15"/>
              </w:rPr>
              <w:t>Common stock awards exercised</w:t>
            </w:r>
          </w:p>
        </w:tc>
        <w:tc>
          <w:tcPr>
            <w:tcW w:w="0" w:type="auto"/>
            <w:gridSpan w:val="3"/>
            <w:shd w:val="clear" w:color="auto" w:fill="auto"/>
            <w:tcMar>
              <w:top w:w="40" w:type="dxa"/>
              <w:left w:w="40" w:type="dxa"/>
              <w:bottom w:w="40" w:type="dxa"/>
              <w:right w:w="40" w:type="dxa"/>
            </w:tcMar>
            <w:vAlign w:val="bottom"/>
          </w:tcPr>
          <w:p w14:paraId="5556AE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E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0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w:t>
            </w:r>
          </w:p>
        </w:tc>
        <w:tc>
          <w:tcPr>
            <w:tcW w:w="0" w:type="auto"/>
            <w:shd w:val="clear" w:color="auto" w:fill="auto"/>
            <w:vAlign w:val="bottom"/>
          </w:tcPr>
          <w:p w14:paraId="5556AE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E1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(2,503</w:t>
            </w:r>
          </w:p>
        </w:tc>
        <w:tc>
          <w:tcPr>
            <w:tcW w:w="0" w:type="auto"/>
            <w:shd w:val="clear" w:color="auto" w:fill="auto"/>
            <w:tcMar>
              <w:top w:w="40" w:type="dxa"/>
              <w:bottom w:w="40" w:type="dxa"/>
              <w:right w:w="40" w:type="dxa"/>
            </w:tcMar>
            <w:vAlign w:val="bottom"/>
          </w:tcPr>
          <w:p w14:paraId="5556AE1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AE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1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104</w:t>
            </w:r>
          </w:p>
        </w:tc>
        <w:tc>
          <w:tcPr>
            <w:tcW w:w="0" w:type="auto"/>
            <w:shd w:val="clear" w:color="auto" w:fill="auto"/>
            <w:vAlign w:val="bottom"/>
          </w:tcPr>
          <w:p w14:paraId="5556AE1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1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120</w:t>
            </w:r>
          </w:p>
        </w:tc>
        <w:tc>
          <w:tcPr>
            <w:tcW w:w="0" w:type="auto"/>
            <w:shd w:val="clear" w:color="auto" w:fill="auto"/>
            <w:vAlign w:val="bottom"/>
          </w:tcPr>
          <w:p w14:paraId="5556AE1C" w14:textId="77777777" w:rsidR="00F925DD" w:rsidRDefault="00F925DD">
            <w:pPr>
              <w:textAlignment w:val="bottom"/>
              <w:rPr>
                <w:rFonts w:ascii="Times New Roman" w:hAnsi="Times New Roman"/>
                <w:sz w:val="20"/>
                <w:szCs w:val="20"/>
              </w:rPr>
            </w:pPr>
          </w:p>
        </w:tc>
      </w:tr>
      <w:tr w:rsidR="00F925DD" w14:paraId="5556AE35" w14:textId="77777777">
        <w:tc>
          <w:tcPr>
            <w:tcW w:w="0" w:type="auto"/>
            <w:shd w:val="clear" w:color="auto" w:fill="CCEEFF"/>
            <w:tcMar>
              <w:top w:w="40" w:type="dxa"/>
              <w:left w:w="40" w:type="dxa"/>
              <w:bottom w:w="40" w:type="dxa"/>
              <w:right w:w="40" w:type="dxa"/>
            </w:tcMar>
            <w:vAlign w:val="bottom"/>
          </w:tcPr>
          <w:p w14:paraId="5556AE1E"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3"/>
            <w:shd w:val="clear" w:color="auto" w:fill="CCEEFF"/>
            <w:tcMar>
              <w:top w:w="40" w:type="dxa"/>
              <w:left w:w="40" w:type="dxa"/>
              <w:bottom w:w="40" w:type="dxa"/>
              <w:right w:w="40" w:type="dxa"/>
            </w:tcMar>
            <w:vAlign w:val="bottom"/>
          </w:tcPr>
          <w:p w14:paraId="5556AE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E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2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5556AE2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E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2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tcMar>
              <w:top w:w="40" w:type="dxa"/>
              <w:bottom w:w="40" w:type="dxa"/>
              <w:right w:w="40" w:type="dxa"/>
            </w:tcMar>
            <w:vAlign w:val="bottom"/>
          </w:tcPr>
          <w:p w14:paraId="5556AE2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AE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E2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CCEEFF"/>
            <w:vAlign w:val="bottom"/>
          </w:tcPr>
          <w:p w14:paraId="5556AE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E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3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tcMar>
              <w:top w:w="40" w:type="dxa"/>
              <w:bottom w:w="40" w:type="dxa"/>
              <w:right w:w="40" w:type="dxa"/>
            </w:tcMar>
            <w:vAlign w:val="bottom"/>
          </w:tcPr>
          <w:p w14:paraId="5556AE3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AE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3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tcMar>
              <w:top w:w="40" w:type="dxa"/>
              <w:bottom w:w="40" w:type="dxa"/>
              <w:right w:w="40" w:type="dxa"/>
            </w:tcMar>
            <w:vAlign w:val="bottom"/>
          </w:tcPr>
          <w:p w14:paraId="5556AE3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E58" w14:textId="77777777">
        <w:tc>
          <w:tcPr>
            <w:tcW w:w="0" w:type="auto"/>
            <w:shd w:val="clear" w:color="auto" w:fill="auto"/>
            <w:tcMar>
              <w:top w:w="40" w:type="dxa"/>
              <w:left w:w="40" w:type="dxa"/>
              <w:bottom w:w="40" w:type="dxa"/>
              <w:right w:w="40" w:type="dxa"/>
            </w:tcMar>
            <w:vAlign w:val="bottom"/>
          </w:tcPr>
          <w:p w14:paraId="5556AE3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Balance at December 31, 2017</w:t>
            </w:r>
          </w:p>
        </w:tc>
        <w:tc>
          <w:tcPr>
            <w:tcW w:w="0" w:type="auto"/>
            <w:tcBorders>
              <w:top w:val="single" w:sz="8" w:space="0" w:color="000000"/>
            </w:tcBorders>
            <w:shd w:val="clear" w:color="auto" w:fill="auto"/>
            <w:tcMar>
              <w:top w:w="40" w:type="dxa"/>
              <w:left w:w="40" w:type="dxa"/>
              <w:bottom w:w="40" w:type="dxa"/>
            </w:tcMar>
            <w:vAlign w:val="bottom"/>
          </w:tcPr>
          <w:p w14:paraId="5556AE3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tcMar>
              <w:top w:w="40" w:type="dxa"/>
              <w:bottom w:w="40" w:type="dxa"/>
            </w:tcMar>
            <w:vAlign w:val="bottom"/>
          </w:tcPr>
          <w:p w14:paraId="5556AE3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3,196</w:t>
            </w:r>
          </w:p>
        </w:tc>
        <w:tc>
          <w:tcPr>
            <w:tcW w:w="0" w:type="auto"/>
            <w:tcBorders>
              <w:top w:val="single" w:sz="8" w:space="0" w:color="000000"/>
            </w:tcBorders>
            <w:shd w:val="clear" w:color="auto" w:fill="auto"/>
            <w:vAlign w:val="bottom"/>
          </w:tcPr>
          <w:p w14:paraId="5556AE3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AE3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503,880</w:t>
            </w:r>
          </w:p>
        </w:tc>
        <w:tc>
          <w:tcPr>
            <w:tcW w:w="0" w:type="auto"/>
            <w:tcBorders>
              <w:top w:val="single" w:sz="8" w:space="0" w:color="000000"/>
            </w:tcBorders>
            <w:shd w:val="clear" w:color="auto" w:fill="auto"/>
            <w:vAlign w:val="bottom"/>
          </w:tcPr>
          <w:p w14:paraId="5556AE3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AE3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tcMar>
              <w:top w:w="40" w:type="dxa"/>
              <w:bottom w:w="40" w:type="dxa"/>
            </w:tcMar>
            <w:vAlign w:val="bottom"/>
          </w:tcPr>
          <w:p w14:paraId="5556AE3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504</w:t>
            </w:r>
          </w:p>
        </w:tc>
        <w:tc>
          <w:tcPr>
            <w:tcW w:w="0" w:type="auto"/>
            <w:tcBorders>
              <w:top w:val="single" w:sz="8" w:space="0" w:color="000000"/>
            </w:tcBorders>
            <w:shd w:val="clear" w:color="auto" w:fill="auto"/>
            <w:vAlign w:val="bottom"/>
          </w:tcPr>
          <w:p w14:paraId="5556AE4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AE4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tcMar>
              <w:top w:w="40" w:type="dxa"/>
              <w:bottom w:w="40" w:type="dxa"/>
            </w:tcMar>
            <w:vAlign w:val="bottom"/>
          </w:tcPr>
          <w:p w14:paraId="5556AE4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9,799</w:t>
            </w:r>
          </w:p>
        </w:tc>
        <w:tc>
          <w:tcPr>
            <w:tcW w:w="0" w:type="auto"/>
            <w:tcBorders>
              <w:top w:val="single" w:sz="8" w:space="0" w:color="000000"/>
            </w:tcBorders>
            <w:shd w:val="clear" w:color="auto" w:fill="auto"/>
            <w:vAlign w:val="bottom"/>
          </w:tcPr>
          <w:p w14:paraId="5556AE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AE4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tcMar>
              <w:top w:w="40" w:type="dxa"/>
              <w:bottom w:w="40" w:type="dxa"/>
            </w:tcMar>
            <w:vAlign w:val="bottom"/>
          </w:tcPr>
          <w:p w14:paraId="5556AE4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18,809</w:t>
            </w:r>
          </w:p>
        </w:tc>
        <w:tc>
          <w:tcPr>
            <w:tcW w:w="0" w:type="auto"/>
            <w:tcBorders>
              <w:top w:val="single" w:sz="8" w:space="0" w:color="000000"/>
            </w:tcBorders>
            <w:shd w:val="clear" w:color="auto" w:fill="auto"/>
            <w:vAlign w:val="bottom"/>
          </w:tcPr>
          <w:p w14:paraId="5556AE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AE4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tcMar>
              <w:top w:w="40" w:type="dxa"/>
              <w:bottom w:w="40" w:type="dxa"/>
            </w:tcMar>
            <w:vAlign w:val="bottom"/>
          </w:tcPr>
          <w:p w14:paraId="5556AE4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(1,009</w:t>
            </w:r>
          </w:p>
        </w:tc>
        <w:tc>
          <w:tcPr>
            <w:tcW w:w="0" w:type="auto"/>
            <w:tcBorders>
              <w:top w:val="single" w:sz="8" w:space="0" w:color="000000"/>
            </w:tcBorders>
            <w:shd w:val="clear" w:color="auto" w:fill="auto"/>
            <w:tcMar>
              <w:top w:w="40" w:type="dxa"/>
              <w:bottom w:w="40" w:type="dxa"/>
              <w:right w:w="40" w:type="dxa"/>
            </w:tcMar>
            <w:vAlign w:val="bottom"/>
          </w:tcPr>
          <w:p w14:paraId="5556AE4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AE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AE4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136,230</w:t>
            </w:r>
          </w:p>
        </w:tc>
        <w:tc>
          <w:tcPr>
            <w:tcW w:w="0" w:type="auto"/>
            <w:tcBorders>
              <w:top w:val="single" w:sz="8" w:space="0" w:color="000000"/>
            </w:tcBorders>
            <w:shd w:val="clear" w:color="auto" w:fill="auto"/>
            <w:vAlign w:val="bottom"/>
          </w:tcPr>
          <w:p w14:paraId="5556AE4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AE5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tcMar>
              <w:top w:w="40" w:type="dxa"/>
              <w:bottom w:w="40" w:type="dxa"/>
            </w:tcMar>
            <w:vAlign w:val="bottom"/>
          </w:tcPr>
          <w:p w14:paraId="5556AE5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(9,029</w:t>
            </w:r>
          </w:p>
        </w:tc>
        <w:tc>
          <w:tcPr>
            <w:tcW w:w="0" w:type="auto"/>
            <w:tcBorders>
              <w:top w:val="single" w:sz="8" w:space="0" w:color="000000"/>
            </w:tcBorders>
            <w:shd w:val="clear" w:color="auto" w:fill="auto"/>
            <w:tcMar>
              <w:top w:w="40" w:type="dxa"/>
              <w:bottom w:w="40" w:type="dxa"/>
              <w:right w:w="40" w:type="dxa"/>
            </w:tcMar>
            <w:vAlign w:val="bottom"/>
          </w:tcPr>
          <w:p w14:paraId="5556AE5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AE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AE5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tcMar>
              <w:top w:w="40" w:type="dxa"/>
              <w:bottom w:w="40" w:type="dxa"/>
            </w:tcMar>
            <w:vAlign w:val="bottom"/>
          </w:tcPr>
          <w:p w14:paraId="5556AE5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22,270</w:t>
            </w:r>
          </w:p>
        </w:tc>
        <w:tc>
          <w:tcPr>
            <w:tcW w:w="0" w:type="auto"/>
            <w:tcBorders>
              <w:top w:val="single" w:sz="8" w:space="0" w:color="000000"/>
            </w:tcBorders>
            <w:shd w:val="clear" w:color="auto" w:fill="auto"/>
            <w:vAlign w:val="bottom"/>
          </w:tcPr>
          <w:p w14:paraId="5556AE57" w14:textId="77777777" w:rsidR="00F925DD" w:rsidRDefault="00F925DD">
            <w:pPr>
              <w:textAlignment w:val="bottom"/>
              <w:rPr>
                <w:rFonts w:ascii="Times New Roman" w:hAnsi="Times New Roman"/>
                <w:sz w:val="20"/>
                <w:szCs w:val="20"/>
              </w:rPr>
            </w:pPr>
          </w:p>
        </w:tc>
      </w:tr>
      <w:tr w:rsidR="00F925DD" w14:paraId="5556AE6D" w14:textId="77777777">
        <w:tc>
          <w:tcPr>
            <w:tcW w:w="0" w:type="auto"/>
            <w:shd w:val="clear" w:color="auto" w:fill="CCEEFF"/>
            <w:tcMar>
              <w:top w:w="40" w:type="dxa"/>
              <w:left w:w="40" w:type="dxa"/>
              <w:bottom w:w="40" w:type="dxa"/>
              <w:right w:w="40" w:type="dxa"/>
            </w:tcMar>
            <w:vAlign w:val="bottom"/>
          </w:tcPr>
          <w:p w14:paraId="5556AE59" w14:textId="77777777" w:rsidR="00F925DD" w:rsidRDefault="00E705D7">
            <w:pPr>
              <w:textAlignment w:val="bottom"/>
              <w:rPr>
                <w:rFonts w:ascii="Times New Roman" w:hAnsi="Times New Roman"/>
                <w:sz w:val="15"/>
                <w:szCs w:val="15"/>
              </w:rPr>
            </w:pPr>
            <w:r>
              <w:rPr>
                <w:rFonts w:ascii="Arial" w:eastAsia="宋体" w:hAnsi="Arial" w:cs="Arial"/>
                <w:sz w:val="15"/>
                <w:szCs w:val="15"/>
              </w:rPr>
              <w:t>Net income</w:t>
            </w:r>
          </w:p>
        </w:tc>
        <w:tc>
          <w:tcPr>
            <w:tcW w:w="0" w:type="auto"/>
            <w:gridSpan w:val="3"/>
            <w:shd w:val="clear" w:color="auto" w:fill="CCEEFF"/>
            <w:tcMar>
              <w:top w:w="40" w:type="dxa"/>
              <w:left w:w="40" w:type="dxa"/>
              <w:bottom w:w="40" w:type="dxa"/>
              <w:right w:w="40" w:type="dxa"/>
            </w:tcMar>
            <w:vAlign w:val="bottom"/>
          </w:tcPr>
          <w:p w14:paraId="5556AE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E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6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2,593</w:t>
            </w:r>
          </w:p>
        </w:tc>
        <w:tc>
          <w:tcPr>
            <w:tcW w:w="0" w:type="auto"/>
            <w:shd w:val="clear" w:color="auto" w:fill="CCEEFF"/>
            <w:vAlign w:val="bottom"/>
          </w:tcPr>
          <w:p w14:paraId="5556AE6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E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E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6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2,593</w:t>
            </w:r>
          </w:p>
        </w:tc>
        <w:tc>
          <w:tcPr>
            <w:tcW w:w="0" w:type="auto"/>
            <w:shd w:val="clear" w:color="auto" w:fill="CCEEFF"/>
            <w:vAlign w:val="bottom"/>
          </w:tcPr>
          <w:p w14:paraId="5556AE6C" w14:textId="77777777" w:rsidR="00F925DD" w:rsidRDefault="00F925DD">
            <w:pPr>
              <w:textAlignment w:val="bottom"/>
              <w:rPr>
                <w:rFonts w:ascii="Times New Roman" w:hAnsi="Times New Roman"/>
                <w:sz w:val="20"/>
                <w:szCs w:val="20"/>
              </w:rPr>
            </w:pPr>
          </w:p>
        </w:tc>
      </w:tr>
      <w:tr w:rsidR="00F925DD" w14:paraId="5556AE82" w14:textId="77777777">
        <w:tc>
          <w:tcPr>
            <w:tcW w:w="0" w:type="auto"/>
            <w:shd w:val="clear" w:color="auto" w:fill="auto"/>
            <w:tcMar>
              <w:top w:w="40" w:type="dxa"/>
              <w:left w:w="40" w:type="dxa"/>
              <w:bottom w:w="40" w:type="dxa"/>
              <w:right w:w="40" w:type="dxa"/>
            </w:tcMar>
            <w:vAlign w:val="bottom"/>
          </w:tcPr>
          <w:p w14:paraId="5556AE6E"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comprehensive income (loss)</w:t>
            </w:r>
          </w:p>
        </w:tc>
        <w:tc>
          <w:tcPr>
            <w:tcW w:w="0" w:type="auto"/>
            <w:gridSpan w:val="3"/>
            <w:shd w:val="clear" w:color="auto" w:fill="auto"/>
            <w:tcMar>
              <w:top w:w="40" w:type="dxa"/>
              <w:left w:w="40" w:type="dxa"/>
              <w:bottom w:w="40" w:type="dxa"/>
              <w:right w:w="40" w:type="dxa"/>
            </w:tcMar>
            <w:vAlign w:val="bottom"/>
          </w:tcPr>
          <w:p w14:paraId="5556AE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E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7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(347</w:t>
            </w:r>
          </w:p>
        </w:tc>
        <w:tc>
          <w:tcPr>
            <w:tcW w:w="0" w:type="auto"/>
            <w:shd w:val="clear" w:color="auto" w:fill="auto"/>
            <w:tcMar>
              <w:top w:w="40" w:type="dxa"/>
              <w:bottom w:w="40" w:type="dxa"/>
              <w:right w:w="40" w:type="dxa"/>
            </w:tcMar>
            <w:vAlign w:val="bottom"/>
          </w:tcPr>
          <w:p w14:paraId="5556AE7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AE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E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8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(347</w:t>
            </w:r>
          </w:p>
        </w:tc>
        <w:tc>
          <w:tcPr>
            <w:tcW w:w="0" w:type="auto"/>
            <w:shd w:val="clear" w:color="auto" w:fill="auto"/>
            <w:tcMar>
              <w:top w:w="40" w:type="dxa"/>
              <w:bottom w:w="40" w:type="dxa"/>
              <w:right w:w="40" w:type="dxa"/>
            </w:tcMar>
            <w:vAlign w:val="bottom"/>
          </w:tcPr>
          <w:p w14:paraId="5556AE8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E97" w14:textId="77777777">
        <w:tc>
          <w:tcPr>
            <w:tcW w:w="0" w:type="auto"/>
            <w:shd w:val="clear" w:color="auto" w:fill="CCEEFF"/>
            <w:tcMar>
              <w:top w:w="40" w:type="dxa"/>
              <w:left w:w="40" w:type="dxa"/>
              <w:bottom w:w="40" w:type="dxa"/>
              <w:right w:w="40" w:type="dxa"/>
            </w:tcMar>
            <w:vAlign w:val="bottom"/>
          </w:tcPr>
          <w:p w14:paraId="5556AE83" w14:textId="77777777" w:rsidR="00F925DD" w:rsidRDefault="00E705D7">
            <w:pPr>
              <w:textAlignment w:val="bottom"/>
              <w:rPr>
                <w:rFonts w:ascii="Times New Roman" w:hAnsi="Times New Roman"/>
                <w:sz w:val="15"/>
                <w:szCs w:val="15"/>
              </w:rPr>
            </w:pPr>
            <w:r>
              <w:rPr>
                <w:rFonts w:ascii="Arial" w:eastAsia="宋体" w:hAnsi="Arial" w:cs="Arial"/>
                <w:sz w:val="15"/>
                <w:szCs w:val="15"/>
              </w:rPr>
              <w:t>Preferred stock issued</w:t>
            </w:r>
          </w:p>
        </w:tc>
        <w:tc>
          <w:tcPr>
            <w:tcW w:w="0" w:type="auto"/>
            <w:gridSpan w:val="2"/>
            <w:shd w:val="clear" w:color="auto" w:fill="CCEEFF"/>
            <w:tcMar>
              <w:top w:w="40" w:type="dxa"/>
              <w:left w:w="40" w:type="dxa"/>
              <w:bottom w:w="40" w:type="dxa"/>
            </w:tcMar>
            <w:vAlign w:val="bottom"/>
          </w:tcPr>
          <w:p w14:paraId="5556AE8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494</w:t>
            </w:r>
          </w:p>
        </w:tc>
        <w:tc>
          <w:tcPr>
            <w:tcW w:w="0" w:type="auto"/>
            <w:shd w:val="clear" w:color="auto" w:fill="CCEEFF"/>
            <w:vAlign w:val="bottom"/>
          </w:tcPr>
          <w:p w14:paraId="5556AE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E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E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E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9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494</w:t>
            </w:r>
          </w:p>
        </w:tc>
        <w:tc>
          <w:tcPr>
            <w:tcW w:w="0" w:type="auto"/>
            <w:shd w:val="clear" w:color="auto" w:fill="CCEEFF"/>
            <w:vAlign w:val="bottom"/>
          </w:tcPr>
          <w:p w14:paraId="5556AE96" w14:textId="77777777" w:rsidR="00F925DD" w:rsidRDefault="00F925DD">
            <w:pPr>
              <w:textAlignment w:val="bottom"/>
              <w:rPr>
                <w:rFonts w:ascii="Times New Roman" w:hAnsi="Times New Roman"/>
                <w:sz w:val="20"/>
                <w:szCs w:val="20"/>
              </w:rPr>
            </w:pPr>
          </w:p>
        </w:tc>
      </w:tr>
      <w:tr w:rsidR="00F925DD" w14:paraId="5556AEAE" w14:textId="77777777">
        <w:tc>
          <w:tcPr>
            <w:tcW w:w="0" w:type="auto"/>
            <w:shd w:val="clear" w:color="auto" w:fill="auto"/>
            <w:tcMar>
              <w:top w:w="40" w:type="dxa"/>
              <w:left w:w="40" w:type="dxa"/>
              <w:bottom w:w="40" w:type="dxa"/>
              <w:right w:w="40" w:type="dxa"/>
            </w:tcMar>
            <w:vAlign w:val="bottom"/>
          </w:tcPr>
          <w:p w14:paraId="5556AE98" w14:textId="77777777" w:rsidR="00F925DD" w:rsidRDefault="00E705D7">
            <w:pPr>
              <w:textAlignment w:val="bottom"/>
              <w:rPr>
                <w:rFonts w:ascii="Times New Roman" w:hAnsi="Times New Roman"/>
                <w:sz w:val="15"/>
                <w:szCs w:val="15"/>
              </w:rPr>
            </w:pPr>
            <w:r>
              <w:rPr>
                <w:rFonts w:ascii="Arial" w:eastAsia="宋体" w:hAnsi="Arial" w:cs="Arial"/>
                <w:sz w:val="15"/>
                <w:szCs w:val="15"/>
              </w:rPr>
              <w:t>Common stock issued</w:t>
            </w:r>
          </w:p>
        </w:tc>
        <w:tc>
          <w:tcPr>
            <w:tcW w:w="0" w:type="auto"/>
            <w:gridSpan w:val="3"/>
            <w:shd w:val="clear" w:color="auto" w:fill="auto"/>
            <w:tcMar>
              <w:top w:w="40" w:type="dxa"/>
              <w:left w:w="40" w:type="dxa"/>
              <w:bottom w:w="40" w:type="dxa"/>
              <w:right w:w="40" w:type="dxa"/>
            </w:tcMar>
            <w:vAlign w:val="bottom"/>
          </w:tcPr>
          <w:p w14:paraId="5556AE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E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9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586</w:t>
            </w:r>
          </w:p>
        </w:tc>
        <w:tc>
          <w:tcPr>
            <w:tcW w:w="0" w:type="auto"/>
            <w:shd w:val="clear" w:color="auto" w:fill="auto"/>
            <w:vAlign w:val="bottom"/>
          </w:tcPr>
          <w:p w14:paraId="5556AE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EA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(13,244</w:t>
            </w:r>
          </w:p>
        </w:tc>
        <w:tc>
          <w:tcPr>
            <w:tcW w:w="0" w:type="auto"/>
            <w:shd w:val="clear" w:color="auto" w:fill="auto"/>
            <w:tcMar>
              <w:top w:w="40" w:type="dxa"/>
              <w:bottom w:w="40" w:type="dxa"/>
              <w:right w:w="40" w:type="dxa"/>
            </w:tcMar>
            <w:vAlign w:val="bottom"/>
          </w:tcPr>
          <w:p w14:paraId="5556AEA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AE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A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564</w:t>
            </w:r>
          </w:p>
        </w:tc>
        <w:tc>
          <w:tcPr>
            <w:tcW w:w="0" w:type="auto"/>
            <w:shd w:val="clear" w:color="auto" w:fill="auto"/>
            <w:vAlign w:val="bottom"/>
          </w:tcPr>
          <w:p w14:paraId="5556AEA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A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1,150</w:t>
            </w:r>
          </w:p>
        </w:tc>
        <w:tc>
          <w:tcPr>
            <w:tcW w:w="0" w:type="auto"/>
            <w:shd w:val="clear" w:color="auto" w:fill="auto"/>
            <w:vAlign w:val="bottom"/>
          </w:tcPr>
          <w:p w14:paraId="5556AEAD" w14:textId="77777777" w:rsidR="00F925DD" w:rsidRDefault="00F925DD">
            <w:pPr>
              <w:textAlignment w:val="bottom"/>
              <w:rPr>
                <w:rFonts w:ascii="Times New Roman" w:hAnsi="Times New Roman"/>
                <w:sz w:val="20"/>
                <w:szCs w:val="20"/>
              </w:rPr>
            </w:pPr>
          </w:p>
        </w:tc>
      </w:tr>
      <w:tr w:rsidR="00F925DD" w14:paraId="5556AEC2" w14:textId="77777777">
        <w:tc>
          <w:tcPr>
            <w:tcW w:w="0" w:type="auto"/>
            <w:shd w:val="clear" w:color="auto" w:fill="CCEEFF"/>
            <w:tcMar>
              <w:top w:w="40" w:type="dxa"/>
              <w:left w:w="40" w:type="dxa"/>
              <w:bottom w:w="40" w:type="dxa"/>
              <w:right w:w="40" w:type="dxa"/>
            </w:tcMar>
            <w:vAlign w:val="bottom"/>
          </w:tcPr>
          <w:p w14:paraId="5556AEAF" w14:textId="77777777" w:rsidR="00F925DD" w:rsidRDefault="00E705D7">
            <w:pPr>
              <w:textAlignment w:val="bottom"/>
              <w:rPr>
                <w:rFonts w:ascii="Times New Roman" w:hAnsi="Times New Roman"/>
                <w:sz w:val="15"/>
                <w:szCs w:val="15"/>
              </w:rPr>
            </w:pPr>
            <w:r>
              <w:rPr>
                <w:rFonts w:ascii="Arial" w:eastAsia="宋体" w:hAnsi="Arial" w:cs="Arial"/>
                <w:sz w:val="15"/>
                <w:szCs w:val="15"/>
              </w:rPr>
              <w:t>Cash d</w:t>
            </w:r>
            <w:r>
              <w:rPr>
                <w:rFonts w:ascii="Arial" w:eastAsia="宋体" w:hAnsi="Arial" w:cs="Arial"/>
                <w:sz w:val="15"/>
                <w:szCs w:val="15"/>
              </w:rPr>
              <w:t>ividends declared:</w:t>
            </w:r>
          </w:p>
        </w:tc>
        <w:tc>
          <w:tcPr>
            <w:tcW w:w="0" w:type="auto"/>
            <w:gridSpan w:val="3"/>
            <w:shd w:val="clear" w:color="auto" w:fill="CCEEFF"/>
            <w:tcMar>
              <w:top w:w="40" w:type="dxa"/>
              <w:left w:w="40" w:type="dxa"/>
              <w:bottom w:w="40" w:type="dxa"/>
              <w:right w:w="40" w:type="dxa"/>
            </w:tcMar>
            <w:vAlign w:val="bottom"/>
          </w:tcPr>
          <w:p w14:paraId="5556AE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E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E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C0" w14:textId="77777777" w:rsidR="00F925DD" w:rsidRDefault="00F925DD">
            <w:pPr>
              <w:jc w:val="right"/>
              <w:textAlignment w:val="bottom"/>
              <w:rPr>
                <w:rFonts w:ascii="Times New Roman" w:hAnsi="Times New Roman"/>
                <w:sz w:val="15"/>
                <w:szCs w:val="15"/>
              </w:rPr>
            </w:pPr>
          </w:p>
        </w:tc>
        <w:tc>
          <w:tcPr>
            <w:tcW w:w="0" w:type="auto"/>
            <w:shd w:val="clear" w:color="auto" w:fill="CCEEFF"/>
            <w:vAlign w:val="bottom"/>
          </w:tcPr>
          <w:p w14:paraId="5556AEC1" w14:textId="77777777" w:rsidR="00F925DD" w:rsidRDefault="00F925DD">
            <w:pPr>
              <w:textAlignment w:val="bottom"/>
              <w:rPr>
                <w:rFonts w:ascii="Times New Roman" w:hAnsi="Times New Roman"/>
                <w:sz w:val="20"/>
                <w:szCs w:val="20"/>
              </w:rPr>
            </w:pPr>
          </w:p>
        </w:tc>
      </w:tr>
      <w:tr w:rsidR="00F925DD" w14:paraId="5556AED7" w14:textId="77777777">
        <w:tc>
          <w:tcPr>
            <w:tcW w:w="0" w:type="auto"/>
            <w:shd w:val="clear" w:color="auto" w:fill="auto"/>
            <w:tcMar>
              <w:top w:w="40" w:type="dxa"/>
              <w:left w:w="40" w:type="dxa"/>
              <w:bottom w:w="40" w:type="dxa"/>
              <w:right w:w="40" w:type="dxa"/>
            </w:tcMar>
            <w:vAlign w:val="bottom"/>
          </w:tcPr>
          <w:p w14:paraId="5556AEC3" w14:textId="77777777" w:rsidR="00F925DD" w:rsidRDefault="00E705D7">
            <w:pPr>
              <w:textAlignment w:val="bottom"/>
              <w:rPr>
                <w:rFonts w:ascii="Times New Roman" w:hAnsi="Times New Roman"/>
                <w:sz w:val="15"/>
                <w:szCs w:val="15"/>
              </w:rPr>
            </w:pPr>
            <w:r>
              <w:rPr>
                <w:rFonts w:ascii="Arial" w:eastAsia="宋体" w:hAnsi="Arial" w:cs="Arial"/>
                <w:sz w:val="15"/>
                <w:szCs w:val="15"/>
              </w:rPr>
              <w:t>  Common stock - $1.78 per share</w:t>
            </w:r>
          </w:p>
        </w:tc>
        <w:tc>
          <w:tcPr>
            <w:tcW w:w="0" w:type="auto"/>
            <w:gridSpan w:val="3"/>
            <w:shd w:val="clear" w:color="auto" w:fill="auto"/>
            <w:tcMar>
              <w:top w:w="40" w:type="dxa"/>
              <w:left w:w="40" w:type="dxa"/>
              <w:bottom w:w="40" w:type="dxa"/>
              <w:right w:w="40" w:type="dxa"/>
            </w:tcMar>
            <w:vAlign w:val="bottom"/>
          </w:tcPr>
          <w:p w14:paraId="5556AE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E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C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(665</w:t>
            </w:r>
          </w:p>
        </w:tc>
        <w:tc>
          <w:tcPr>
            <w:tcW w:w="0" w:type="auto"/>
            <w:shd w:val="clear" w:color="auto" w:fill="auto"/>
            <w:tcMar>
              <w:top w:w="40" w:type="dxa"/>
              <w:bottom w:w="40" w:type="dxa"/>
              <w:right w:w="40" w:type="dxa"/>
            </w:tcMar>
            <w:vAlign w:val="bottom"/>
          </w:tcPr>
          <w:p w14:paraId="5556AEC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AE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E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D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(665</w:t>
            </w:r>
          </w:p>
        </w:tc>
        <w:tc>
          <w:tcPr>
            <w:tcW w:w="0" w:type="auto"/>
            <w:shd w:val="clear" w:color="auto" w:fill="auto"/>
            <w:tcMar>
              <w:top w:w="40" w:type="dxa"/>
              <w:bottom w:w="40" w:type="dxa"/>
              <w:right w:w="40" w:type="dxa"/>
            </w:tcMar>
            <w:vAlign w:val="bottom"/>
          </w:tcPr>
          <w:p w14:paraId="5556AED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EEC" w14:textId="77777777">
        <w:tc>
          <w:tcPr>
            <w:tcW w:w="0" w:type="auto"/>
            <w:shd w:val="clear" w:color="auto" w:fill="CCEEFF"/>
            <w:tcMar>
              <w:top w:w="40" w:type="dxa"/>
              <w:left w:w="40" w:type="dxa"/>
              <w:bottom w:w="40" w:type="dxa"/>
              <w:right w:w="40" w:type="dxa"/>
            </w:tcMar>
            <w:vAlign w:val="bottom"/>
          </w:tcPr>
          <w:p w14:paraId="5556AED8" w14:textId="77777777" w:rsidR="00F925DD" w:rsidRDefault="00E705D7">
            <w:pPr>
              <w:textAlignment w:val="bottom"/>
              <w:rPr>
                <w:rFonts w:ascii="Times New Roman" w:hAnsi="Times New Roman"/>
                <w:sz w:val="15"/>
                <w:szCs w:val="15"/>
              </w:rPr>
            </w:pPr>
            <w:r>
              <w:rPr>
                <w:rFonts w:ascii="Arial" w:eastAsia="宋体" w:hAnsi="Arial" w:cs="Arial"/>
                <w:sz w:val="15"/>
                <w:szCs w:val="15"/>
              </w:rPr>
              <w:t>  Preferred stock</w:t>
            </w:r>
          </w:p>
        </w:tc>
        <w:tc>
          <w:tcPr>
            <w:tcW w:w="0" w:type="auto"/>
            <w:gridSpan w:val="3"/>
            <w:shd w:val="clear" w:color="auto" w:fill="CCEEFF"/>
            <w:tcMar>
              <w:top w:w="40" w:type="dxa"/>
              <w:left w:w="40" w:type="dxa"/>
              <w:bottom w:w="40" w:type="dxa"/>
              <w:right w:w="40" w:type="dxa"/>
            </w:tcMar>
            <w:vAlign w:val="bottom"/>
          </w:tcPr>
          <w:p w14:paraId="5556AE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E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E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(188</w:t>
            </w:r>
          </w:p>
        </w:tc>
        <w:tc>
          <w:tcPr>
            <w:tcW w:w="0" w:type="auto"/>
            <w:shd w:val="clear" w:color="auto" w:fill="CCEEFF"/>
            <w:tcMar>
              <w:top w:w="40" w:type="dxa"/>
              <w:bottom w:w="40" w:type="dxa"/>
              <w:right w:w="40" w:type="dxa"/>
            </w:tcMar>
            <w:vAlign w:val="bottom"/>
          </w:tcPr>
          <w:p w14:paraId="5556AEE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AE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E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E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E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EE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(188</w:t>
            </w:r>
          </w:p>
        </w:tc>
        <w:tc>
          <w:tcPr>
            <w:tcW w:w="0" w:type="auto"/>
            <w:shd w:val="clear" w:color="auto" w:fill="CCEEFF"/>
            <w:tcMar>
              <w:top w:w="40" w:type="dxa"/>
              <w:bottom w:w="40" w:type="dxa"/>
              <w:right w:w="40" w:type="dxa"/>
            </w:tcMar>
            <w:vAlign w:val="bottom"/>
          </w:tcPr>
          <w:p w14:paraId="5556AEE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F02" w14:textId="77777777">
        <w:tc>
          <w:tcPr>
            <w:tcW w:w="0" w:type="auto"/>
            <w:shd w:val="clear" w:color="auto" w:fill="auto"/>
            <w:tcMar>
              <w:top w:w="40" w:type="dxa"/>
              <w:left w:w="40" w:type="dxa"/>
              <w:bottom w:w="40" w:type="dxa"/>
              <w:right w:w="40" w:type="dxa"/>
            </w:tcMar>
            <w:vAlign w:val="bottom"/>
          </w:tcPr>
          <w:p w14:paraId="5556AEED" w14:textId="77777777" w:rsidR="00F925DD" w:rsidRDefault="00E705D7">
            <w:pPr>
              <w:textAlignment w:val="bottom"/>
              <w:rPr>
                <w:rFonts w:ascii="Times New Roman" w:hAnsi="Times New Roman"/>
                <w:sz w:val="15"/>
                <w:szCs w:val="15"/>
              </w:rPr>
            </w:pPr>
            <w:r>
              <w:rPr>
                <w:rFonts w:ascii="Arial" w:eastAsia="宋体" w:hAnsi="Arial" w:cs="Arial"/>
                <w:sz w:val="15"/>
                <w:szCs w:val="15"/>
              </w:rPr>
              <w:t>Common stock acquired</w:t>
            </w:r>
          </w:p>
        </w:tc>
        <w:tc>
          <w:tcPr>
            <w:tcW w:w="0" w:type="auto"/>
            <w:gridSpan w:val="3"/>
            <w:shd w:val="clear" w:color="auto" w:fill="auto"/>
            <w:tcMar>
              <w:top w:w="40" w:type="dxa"/>
              <w:left w:w="40" w:type="dxa"/>
              <w:bottom w:w="40" w:type="dxa"/>
              <w:right w:w="40" w:type="dxa"/>
            </w:tcMar>
            <w:vAlign w:val="bottom"/>
          </w:tcPr>
          <w:p w14:paraId="5556AE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E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E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E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EF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3,324</w:t>
            </w:r>
          </w:p>
        </w:tc>
        <w:tc>
          <w:tcPr>
            <w:tcW w:w="0" w:type="auto"/>
            <w:shd w:val="clear" w:color="auto" w:fill="auto"/>
            <w:vAlign w:val="bottom"/>
          </w:tcPr>
          <w:p w14:paraId="5556AE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E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EF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(350</w:t>
            </w:r>
          </w:p>
        </w:tc>
        <w:tc>
          <w:tcPr>
            <w:tcW w:w="0" w:type="auto"/>
            <w:shd w:val="clear" w:color="auto" w:fill="auto"/>
            <w:tcMar>
              <w:top w:w="40" w:type="dxa"/>
              <w:bottom w:w="40" w:type="dxa"/>
              <w:right w:w="40" w:type="dxa"/>
            </w:tcMar>
            <w:vAlign w:val="bottom"/>
          </w:tcPr>
          <w:p w14:paraId="5556AEF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AE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0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(350</w:t>
            </w:r>
          </w:p>
        </w:tc>
        <w:tc>
          <w:tcPr>
            <w:tcW w:w="0" w:type="auto"/>
            <w:shd w:val="clear" w:color="auto" w:fill="auto"/>
            <w:tcMar>
              <w:top w:w="40" w:type="dxa"/>
              <w:bottom w:w="40" w:type="dxa"/>
              <w:right w:w="40" w:type="dxa"/>
            </w:tcMar>
            <w:vAlign w:val="bottom"/>
          </w:tcPr>
          <w:p w14:paraId="5556AF0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AF19" w14:textId="77777777">
        <w:tc>
          <w:tcPr>
            <w:tcW w:w="0" w:type="auto"/>
            <w:shd w:val="clear" w:color="auto" w:fill="CCEEFF"/>
            <w:tcMar>
              <w:top w:w="40" w:type="dxa"/>
              <w:left w:w="40" w:type="dxa"/>
              <w:bottom w:w="40" w:type="dxa"/>
              <w:right w:w="40" w:type="dxa"/>
            </w:tcMar>
            <w:vAlign w:val="bottom"/>
          </w:tcPr>
          <w:p w14:paraId="5556AF03" w14:textId="77777777" w:rsidR="00F925DD" w:rsidRDefault="00E705D7">
            <w:pPr>
              <w:textAlignment w:val="bottom"/>
              <w:rPr>
                <w:rFonts w:ascii="Times New Roman" w:hAnsi="Times New Roman"/>
                <w:sz w:val="15"/>
                <w:szCs w:val="15"/>
              </w:rPr>
            </w:pPr>
            <w:r>
              <w:rPr>
                <w:rFonts w:ascii="Arial" w:eastAsia="宋体" w:hAnsi="Arial" w:cs="Arial"/>
                <w:sz w:val="15"/>
                <w:szCs w:val="15"/>
              </w:rPr>
              <w:t>Common stock awards exercised</w:t>
            </w:r>
          </w:p>
        </w:tc>
        <w:tc>
          <w:tcPr>
            <w:tcW w:w="0" w:type="auto"/>
            <w:gridSpan w:val="3"/>
            <w:shd w:val="clear" w:color="auto" w:fill="CCEEFF"/>
            <w:tcMar>
              <w:top w:w="40" w:type="dxa"/>
              <w:left w:w="40" w:type="dxa"/>
              <w:bottom w:w="40" w:type="dxa"/>
              <w:right w:w="40" w:type="dxa"/>
            </w:tcMar>
            <w:vAlign w:val="bottom"/>
          </w:tcPr>
          <w:p w14:paraId="5556AF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F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0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44</w:t>
            </w:r>
          </w:p>
        </w:tc>
        <w:tc>
          <w:tcPr>
            <w:tcW w:w="0" w:type="auto"/>
            <w:shd w:val="clear" w:color="auto" w:fill="CCEEFF"/>
            <w:vAlign w:val="bottom"/>
          </w:tcPr>
          <w:p w14:paraId="5556AF0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F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F1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(2,389</w:t>
            </w:r>
          </w:p>
        </w:tc>
        <w:tc>
          <w:tcPr>
            <w:tcW w:w="0" w:type="auto"/>
            <w:shd w:val="clear" w:color="auto" w:fill="CCEEFF"/>
            <w:tcMar>
              <w:top w:w="40" w:type="dxa"/>
              <w:bottom w:w="40" w:type="dxa"/>
              <w:right w:w="40" w:type="dxa"/>
            </w:tcMar>
            <w:vAlign w:val="bottom"/>
          </w:tcPr>
          <w:p w14:paraId="5556AF1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AF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1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101</w:t>
            </w:r>
          </w:p>
        </w:tc>
        <w:tc>
          <w:tcPr>
            <w:tcW w:w="0" w:type="auto"/>
            <w:shd w:val="clear" w:color="auto" w:fill="CCEEFF"/>
            <w:vAlign w:val="bottom"/>
          </w:tcPr>
          <w:p w14:paraId="5556AF1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F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1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145</w:t>
            </w:r>
          </w:p>
        </w:tc>
        <w:tc>
          <w:tcPr>
            <w:tcW w:w="0" w:type="auto"/>
            <w:shd w:val="clear" w:color="auto" w:fill="CCEEFF"/>
            <w:vAlign w:val="bottom"/>
          </w:tcPr>
          <w:p w14:paraId="5556AF18" w14:textId="77777777" w:rsidR="00F925DD" w:rsidRDefault="00F925DD">
            <w:pPr>
              <w:textAlignment w:val="bottom"/>
              <w:rPr>
                <w:rFonts w:ascii="Times New Roman" w:hAnsi="Times New Roman"/>
                <w:sz w:val="20"/>
                <w:szCs w:val="20"/>
              </w:rPr>
            </w:pPr>
          </w:p>
        </w:tc>
      </w:tr>
      <w:tr w:rsidR="00F925DD" w14:paraId="5556AF31" w14:textId="77777777">
        <w:tc>
          <w:tcPr>
            <w:tcW w:w="0" w:type="auto"/>
            <w:shd w:val="clear" w:color="auto" w:fill="auto"/>
            <w:tcMar>
              <w:top w:w="40" w:type="dxa"/>
              <w:left w:w="40" w:type="dxa"/>
              <w:bottom w:w="40" w:type="dxa"/>
              <w:right w:w="40" w:type="dxa"/>
            </w:tcMar>
            <w:vAlign w:val="bottom"/>
          </w:tcPr>
          <w:p w14:paraId="5556AF1A"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3"/>
            <w:shd w:val="clear" w:color="auto" w:fill="auto"/>
            <w:tcMar>
              <w:top w:w="40" w:type="dxa"/>
              <w:left w:w="40" w:type="dxa"/>
              <w:bottom w:w="40" w:type="dxa"/>
              <w:right w:w="40" w:type="dxa"/>
            </w:tcMar>
            <w:vAlign w:val="bottom"/>
          </w:tcPr>
          <w:p w14:paraId="5556AF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F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2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(368</w:t>
            </w:r>
          </w:p>
        </w:tc>
        <w:tc>
          <w:tcPr>
            <w:tcW w:w="0" w:type="auto"/>
            <w:shd w:val="clear" w:color="auto" w:fill="auto"/>
            <w:tcMar>
              <w:top w:w="40" w:type="dxa"/>
              <w:bottom w:w="40" w:type="dxa"/>
              <w:right w:w="40" w:type="dxa"/>
            </w:tcMar>
            <w:vAlign w:val="bottom"/>
          </w:tcPr>
          <w:p w14:paraId="5556AF2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AF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2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auto"/>
            <w:vAlign w:val="bottom"/>
          </w:tcPr>
          <w:p w14:paraId="5556AF2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F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AF2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w:t>
            </w:r>
          </w:p>
        </w:tc>
        <w:tc>
          <w:tcPr>
            <w:tcW w:w="0" w:type="auto"/>
            <w:shd w:val="clear" w:color="auto" w:fill="auto"/>
            <w:vAlign w:val="bottom"/>
          </w:tcPr>
          <w:p w14:paraId="5556AF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F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2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tcMar>
              <w:top w:w="40" w:type="dxa"/>
              <w:bottom w:w="40" w:type="dxa"/>
              <w:right w:w="40" w:type="dxa"/>
            </w:tcMar>
            <w:vAlign w:val="bottom"/>
          </w:tcPr>
          <w:p w14:paraId="5556AF2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AF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2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(365</w:t>
            </w:r>
          </w:p>
        </w:tc>
        <w:tc>
          <w:tcPr>
            <w:tcW w:w="0" w:type="auto"/>
            <w:shd w:val="clear" w:color="auto" w:fill="auto"/>
            <w:tcMar>
              <w:top w:w="40" w:type="dxa"/>
              <w:bottom w:w="40" w:type="dxa"/>
              <w:right w:w="40" w:type="dxa"/>
            </w:tcMar>
            <w:vAlign w:val="bottom"/>
          </w:tcPr>
          <w:p w14:paraId="5556AF3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E705D7" w14:paraId="5556AF54" w14:textId="77777777">
        <w:tc>
          <w:tcPr>
            <w:tcW w:w="0" w:type="auto"/>
            <w:shd w:val="clear" w:color="auto" w:fill="CCEEFF"/>
            <w:tcMar>
              <w:top w:w="40" w:type="dxa"/>
              <w:left w:w="40" w:type="dxa"/>
              <w:bottom w:w="40" w:type="dxa"/>
              <w:right w:w="40" w:type="dxa"/>
            </w:tcMar>
            <w:vAlign w:val="bottom"/>
          </w:tcPr>
          <w:p w14:paraId="5556AF3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Balance at December 31, 2018</w:t>
            </w:r>
          </w:p>
        </w:tc>
        <w:tc>
          <w:tcPr>
            <w:tcW w:w="0" w:type="auto"/>
            <w:tcBorders>
              <w:top w:val="single" w:sz="8" w:space="0" w:color="000000"/>
            </w:tcBorders>
            <w:shd w:val="clear" w:color="auto" w:fill="CCEEFF"/>
            <w:tcMar>
              <w:top w:w="40" w:type="dxa"/>
              <w:left w:w="40" w:type="dxa"/>
              <w:bottom w:w="40" w:type="dxa"/>
            </w:tcMar>
            <w:vAlign w:val="bottom"/>
          </w:tcPr>
          <w:p w14:paraId="5556AF3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F3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3,690</w:t>
            </w:r>
          </w:p>
        </w:tc>
        <w:tc>
          <w:tcPr>
            <w:tcW w:w="0" w:type="auto"/>
            <w:tcBorders>
              <w:top w:val="single" w:sz="8" w:space="0" w:color="000000"/>
            </w:tcBorders>
            <w:shd w:val="clear" w:color="auto" w:fill="CCEEFF"/>
            <w:vAlign w:val="bottom"/>
          </w:tcPr>
          <w:p w14:paraId="5556AF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F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F3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503,880</w:t>
            </w:r>
          </w:p>
        </w:tc>
        <w:tc>
          <w:tcPr>
            <w:tcW w:w="0" w:type="auto"/>
            <w:tcBorders>
              <w:top w:val="single" w:sz="8" w:space="0" w:color="000000"/>
            </w:tcBorders>
            <w:shd w:val="clear" w:color="auto" w:fill="CCEEFF"/>
            <w:vAlign w:val="bottom"/>
          </w:tcPr>
          <w:p w14:paraId="5556AF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F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F3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F3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504</w:t>
            </w:r>
          </w:p>
        </w:tc>
        <w:tc>
          <w:tcPr>
            <w:tcW w:w="0" w:type="auto"/>
            <w:tcBorders>
              <w:top w:val="single" w:sz="8" w:space="0" w:color="000000"/>
            </w:tcBorders>
            <w:shd w:val="clear" w:color="auto" w:fill="CCEEFF"/>
            <w:vAlign w:val="bottom"/>
          </w:tcPr>
          <w:p w14:paraId="5556AF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F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F3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F3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10,061</w:t>
            </w:r>
          </w:p>
        </w:tc>
        <w:tc>
          <w:tcPr>
            <w:tcW w:w="0" w:type="auto"/>
            <w:tcBorders>
              <w:top w:val="single" w:sz="8" w:space="0" w:color="000000"/>
            </w:tcBorders>
            <w:shd w:val="clear" w:color="auto" w:fill="CCEEFF"/>
            <w:vAlign w:val="bottom"/>
          </w:tcPr>
          <w:p w14:paraId="5556AF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F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F4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F4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20,553</w:t>
            </w:r>
          </w:p>
        </w:tc>
        <w:tc>
          <w:tcPr>
            <w:tcW w:w="0" w:type="auto"/>
            <w:tcBorders>
              <w:top w:val="single" w:sz="8" w:space="0" w:color="000000"/>
            </w:tcBorders>
            <w:shd w:val="clear" w:color="auto" w:fill="CCEEFF"/>
            <w:vAlign w:val="bottom"/>
          </w:tcPr>
          <w:p w14:paraId="5556AF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F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F4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F4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(1,356</w:t>
            </w:r>
          </w:p>
        </w:tc>
        <w:tc>
          <w:tcPr>
            <w:tcW w:w="0" w:type="auto"/>
            <w:tcBorders>
              <w:top w:val="single" w:sz="8" w:space="0" w:color="000000"/>
            </w:tcBorders>
            <w:shd w:val="clear" w:color="auto" w:fill="CCEEFF"/>
            <w:tcMar>
              <w:top w:w="40" w:type="dxa"/>
              <w:bottom w:w="40" w:type="dxa"/>
              <w:right w:w="40" w:type="dxa"/>
            </w:tcMar>
            <w:vAlign w:val="bottom"/>
          </w:tcPr>
          <w:p w14:paraId="5556AF4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AF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F4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123,933</w:t>
            </w:r>
          </w:p>
        </w:tc>
        <w:tc>
          <w:tcPr>
            <w:tcW w:w="0" w:type="auto"/>
            <w:tcBorders>
              <w:top w:val="single" w:sz="8" w:space="0" w:color="000000"/>
            </w:tcBorders>
            <w:shd w:val="clear" w:color="auto" w:fill="CCEEFF"/>
            <w:vAlign w:val="bottom"/>
          </w:tcPr>
          <w:p w14:paraId="5556AF4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F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F4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F4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(8,715</w:t>
            </w:r>
          </w:p>
        </w:tc>
        <w:tc>
          <w:tcPr>
            <w:tcW w:w="0" w:type="auto"/>
            <w:tcBorders>
              <w:top w:val="single" w:sz="8" w:space="0" w:color="000000"/>
            </w:tcBorders>
            <w:shd w:val="clear" w:color="auto" w:fill="CCEEFF"/>
            <w:tcMar>
              <w:top w:w="40" w:type="dxa"/>
              <w:bottom w:w="40" w:type="dxa"/>
              <w:right w:w="40" w:type="dxa"/>
            </w:tcMar>
            <w:vAlign w:val="bottom"/>
          </w:tcPr>
          <w:p w14:paraId="5556AF4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AF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AF5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AF5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24,737</w:t>
            </w:r>
          </w:p>
        </w:tc>
        <w:tc>
          <w:tcPr>
            <w:tcW w:w="0" w:type="auto"/>
            <w:tcBorders>
              <w:top w:val="single" w:sz="8" w:space="0" w:color="000000"/>
            </w:tcBorders>
            <w:shd w:val="clear" w:color="auto" w:fill="CCEEFF"/>
            <w:vAlign w:val="bottom"/>
          </w:tcPr>
          <w:p w14:paraId="5556AF53" w14:textId="77777777" w:rsidR="00F925DD" w:rsidRDefault="00F925DD">
            <w:pPr>
              <w:textAlignment w:val="bottom"/>
              <w:rPr>
                <w:rFonts w:ascii="Times New Roman" w:hAnsi="Times New Roman"/>
                <w:sz w:val="20"/>
                <w:szCs w:val="20"/>
              </w:rPr>
            </w:pPr>
          </w:p>
        </w:tc>
      </w:tr>
      <w:tr w:rsidR="00F925DD" w14:paraId="5556AF6A" w14:textId="77777777">
        <w:tc>
          <w:tcPr>
            <w:tcW w:w="0" w:type="auto"/>
            <w:shd w:val="clear" w:color="auto" w:fill="auto"/>
            <w:tcMar>
              <w:top w:w="40" w:type="dxa"/>
              <w:left w:w="40" w:type="dxa"/>
              <w:bottom w:w="40" w:type="dxa"/>
              <w:right w:w="40" w:type="dxa"/>
            </w:tcMar>
            <w:vAlign w:val="bottom"/>
          </w:tcPr>
          <w:p w14:paraId="5556AF55" w14:textId="77777777" w:rsidR="00F925DD" w:rsidRDefault="00E705D7">
            <w:pPr>
              <w:textAlignment w:val="bottom"/>
              <w:rPr>
                <w:rFonts w:ascii="Times New Roman" w:hAnsi="Times New Roman"/>
                <w:sz w:val="15"/>
                <w:szCs w:val="15"/>
              </w:rPr>
            </w:pPr>
            <w:r>
              <w:rPr>
                <w:rFonts w:ascii="Arial" w:eastAsia="宋体" w:hAnsi="Arial" w:cs="Arial"/>
                <w:sz w:val="15"/>
                <w:szCs w:val="15"/>
              </w:rPr>
              <w:t>Reclassification of c</w:t>
            </w:r>
            <w:r>
              <w:rPr>
                <w:rFonts w:ascii="Arial" w:eastAsia="宋体" w:hAnsi="Arial" w:cs="Arial"/>
                <w:sz w:val="15"/>
                <w:szCs w:val="15"/>
              </w:rPr>
              <w:t>ertain tax effects(1)</w:t>
            </w:r>
          </w:p>
        </w:tc>
        <w:tc>
          <w:tcPr>
            <w:tcW w:w="0" w:type="auto"/>
            <w:gridSpan w:val="3"/>
            <w:shd w:val="clear" w:color="auto" w:fill="auto"/>
            <w:tcMar>
              <w:top w:w="40" w:type="dxa"/>
              <w:left w:w="40" w:type="dxa"/>
              <w:bottom w:w="40" w:type="dxa"/>
              <w:right w:w="40" w:type="dxa"/>
            </w:tcMar>
            <w:vAlign w:val="bottom"/>
          </w:tcPr>
          <w:p w14:paraId="5556AF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F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5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84</w:t>
            </w:r>
          </w:p>
        </w:tc>
        <w:tc>
          <w:tcPr>
            <w:tcW w:w="0" w:type="auto"/>
            <w:shd w:val="clear" w:color="auto" w:fill="auto"/>
            <w:vAlign w:val="bottom"/>
          </w:tcPr>
          <w:p w14:paraId="5556AF5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F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6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(84</w:t>
            </w:r>
          </w:p>
        </w:tc>
        <w:tc>
          <w:tcPr>
            <w:tcW w:w="0" w:type="auto"/>
            <w:shd w:val="clear" w:color="auto" w:fill="auto"/>
            <w:tcMar>
              <w:top w:w="40" w:type="dxa"/>
              <w:bottom w:w="40" w:type="dxa"/>
              <w:right w:w="40" w:type="dxa"/>
            </w:tcMar>
            <w:vAlign w:val="bottom"/>
          </w:tcPr>
          <w:p w14:paraId="5556AF6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AF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F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6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AF69" w14:textId="77777777" w:rsidR="00F925DD" w:rsidRDefault="00F925DD">
            <w:pPr>
              <w:textAlignment w:val="bottom"/>
              <w:rPr>
                <w:rFonts w:ascii="Times New Roman" w:hAnsi="Times New Roman"/>
                <w:sz w:val="20"/>
                <w:szCs w:val="20"/>
              </w:rPr>
            </w:pPr>
          </w:p>
        </w:tc>
      </w:tr>
      <w:tr w:rsidR="00F925DD" w14:paraId="5556AF7F" w14:textId="77777777">
        <w:tc>
          <w:tcPr>
            <w:tcW w:w="0" w:type="auto"/>
            <w:shd w:val="clear" w:color="auto" w:fill="CCEEFF"/>
            <w:tcMar>
              <w:top w:w="40" w:type="dxa"/>
              <w:left w:w="40" w:type="dxa"/>
              <w:bottom w:w="40" w:type="dxa"/>
              <w:right w:w="40" w:type="dxa"/>
            </w:tcMar>
            <w:vAlign w:val="bottom"/>
          </w:tcPr>
          <w:p w14:paraId="5556AF6B" w14:textId="77777777" w:rsidR="00F925DD" w:rsidRDefault="00E705D7">
            <w:pPr>
              <w:textAlignment w:val="bottom"/>
              <w:rPr>
                <w:rFonts w:ascii="Times New Roman" w:hAnsi="Times New Roman"/>
                <w:sz w:val="15"/>
                <w:szCs w:val="15"/>
              </w:rPr>
            </w:pPr>
            <w:r>
              <w:rPr>
                <w:rFonts w:ascii="Arial" w:eastAsia="宋体" w:hAnsi="Arial" w:cs="Arial"/>
                <w:sz w:val="15"/>
                <w:szCs w:val="15"/>
              </w:rPr>
              <w:t>Net income</w:t>
            </w:r>
          </w:p>
        </w:tc>
        <w:tc>
          <w:tcPr>
            <w:tcW w:w="0" w:type="auto"/>
            <w:gridSpan w:val="3"/>
            <w:shd w:val="clear" w:color="auto" w:fill="CCEEFF"/>
            <w:tcMar>
              <w:top w:w="40" w:type="dxa"/>
              <w:left w:w="40" w:type="dxa"/>
              <w:bottom w:w="40" w:type="dxa"/>
              <w:right w:w="40" w:type="dxa"/>
            </w:tcMar>
            <w:vAlign w:val="bottom"/>
          </w:tcPr>
          <w:p w14:paraId="5556AF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F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7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2,242</w:t>
            </w:r>
          </w:p>
        </w:tc>
        <w:tc>
          <w:tcPr>
            <w:tcW w:w="0" w:type="auto"/>
            <w:shd w:val="clear" w:color="auto" w:fill="CCEEFF"/>
            <w:vAlign w:val="bottom"/>
          </w:tcPr>
          <w:p w14:paraId="5556AF7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F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F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7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2,242</w:t>
            </w:r>
          </w:p>
        </w:tc>
        <w:tc>
          <w:tcPr>
            <w:tcW w:w="0" w:type="auto"/>
            <w:shd w:val="clear" w:color="auto" w:fill="CCEEFF"/>
            <w:vAlign w:val="bottom"/>
          </w:tcPr>
          <w:p w14:paraId="5556AF7E" w14:textId="77777777" w:rsidR="00F925DD" w:rsidRDefault="00F925DD">
            <w:pPr>
              <w:textAlignment w:val="bottom"/>
              <w:rPr>
                <w:rFonts w:ascii="Times New Roman" w:hAnsi="Times New Roman"/>
                <w:sz w:val="20"/>
                <w:szCs w:val="20"/>
              </w:rPr>
            </w:pPr>
          </w:p>
        </w:tc>
      </w:tr>
      <w:tr w:rsidR="00F925DD" w14:paraId="5556AF94" w14:textId="77777777">
        <w:tc>
          <w:tcPr>
            <w:tcW w:w="0" w:type="auto"/>
            <w:shd w:val="clear" w:color="auto" w:fill="auto"/>
            <w:tcMar>
              <w:top w:w="40" w:type="dxa"/>
              <w:left w:w="40" w:type="dxa"/>
              <w:bottom w:w="40" w:type="dxa"/>
              <w:right w:w="40" w:type="dxa"/>
            </w:tcMar>
            <w:vAlign w:val="bottom"/>
          </w:tcPr>
          <w:p w14:paraId="5556AF80"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comprehensive income (loss)</w:t>
            </w:r>
          </w:p>
        </w:tc>
        <w:tc>
          <w:tcPr>
            <w:tcW w:w="0" w:type="auto"/>
            <w:gridSpan w:val="3"/>
            <w:shd w:val="clear" w:color="auto" w:fill="auto"/>
            <w:tcMar>
              <w:top w:w="40" w:type="dxa"/>
              <w:left w:w="40" w:type="dxa"/>
              <w:bottom w:w="40" w:type="dxa"/>
              <w:right w:w="40" w:type="dxa"/>
            </w:tcMar>
            <w:vAlign w:val="bottom"/>
          </w:tcPr>
          <w:p w14:paraId="5556AF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F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8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564</w:t>
            </w:r>
          </w:p>
        </w:tc>
        <w:tc>
          <w:tcPr>
            <w:tcW w:w="0" w:type="auto"/>
            <w:shd w:val="clear" w:color="auto" w:fill="auto"/>
            <w:vAlign w:val="bottom"/>
          </w:tcPr>
          <w:p w14:paraId="5556AF8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AF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F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9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564</w:t>
            </w:r>
          </w:p>
        </w:tc>
        <w:tc>
          <w:tcPr>
            <w:tcW w:w="0" w:type="auto"/>
            <w:shd w:val="clear" w:color="auto" w:fill="auto"/>
            <w:vAlign w:val="bottom"/>
          </w:tcPr>
          <w:p w14:paraId="5556AF93" w14:textId="77777777" w:rsidR="00F925DD" w:rsidRDefault="00F925DD">
            <w:pPr>
              <w:textAlignment w:val="bottom"/>
              <w:rPr>
                <w:rFonts w:ascii="Times New Roman" w:hAnsi="Times New Roman"/>
                <w:sz w:val="20"/>
                <w:szCs w:val="20"/>
              </w:rPr>
            </w:pPr>
          </w:p>
        </w:tc>
      </w:tr>
      <w:tr w:rsidR="00F925DD" w14:paraId="5556AFAA" w14:textId="77777777">
        <w:tc>
          <w:tcPr>
            <w:tcW w:w="0" w:type="auto"/>
            <w:shd w:val="clear" w:color="auto" w:fill="CCEEFF"/>
            <w:tcMar>
              <w:top w:w="40" w:type="dxa"/>
              <w:left w:w="40" w:type="dxa"/>
              <w:bottom w:w="40" w:type="dxa"/>
              <w:right w:w="40" w:type="dxa"/>
            </w:tcMar>
            <w:vAlign w:val="bottom"/>
          </w:tcPr>
          <w:p w14:paraId="5556AF95" w14:textId="77777777" w:rsidR="00F925DD" w:rsidRDefault="00E705D7">
            <w:pPr>
              <w:textAlignment w:val="bottom"/>
              <w:rPr>
                <w:rFonts w:ascii="Times New Roman" w:hAnsi="Times New Roman"/>
                <w:sz w:val="15"/>
                <w:szCs w:val="15"/>
              </w:rPr>
            </w:pPr>
            <w:r>
              <w:rPr>
                <w:rFonts w:ascii="Arial" w:eastAsia="宋体" w:hAnsi="Arial" w:cs="Arial"/>
                <w:sz w:val="15"/>
                <w:szCs w:val="15"/>
              </w:rPr>
              <w:t>Preferred stock redeemed</w:t>
            </w:r>
          </w:p>
        </w:tc>
        <w:tc>
          <w:tcPr>
            <w:tcW w:w="0" w:type="auto"/>
            <w:gridSpan w:val="2"/>
            <w:shd w:val="clear" w:color="auto" w:fill="CCEEFF"/>
            <w:tcMar>
              <w:top w:w="40" w:type="dxa"/>
              <w:left w:w="40" w:type="dxa"/>
              <w:bottom w:w="40" w:type="dxa"/>
            </w:tcMar>
            <w:vAlign w:val="bottom"/>
          </w:tcPr>
          <w:p w14:paraId="5556AF9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(728</w:t>
            </w:r>
          </w:p>
        </w:tc>
        <w:tc>
          <w:tcPr>
            <w:tcW w:w="0" w:type="auto"/>
            <w:shd w:val="clear" w:color="auto" w:fill="CCEEFF"/>
            <w:tcMar>
              <w:top w:w="40" w:type="dxa"/>
              <w:bottom w:w="40" w:type="dxa"/>
              <w:right w:w="40" w:type="dxa"/>
            </w:tcMar>
            <w:vAlign w:val="bottom"/>
          </w:tcPr>
          <w:p w14:paraId="5556AF9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AF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F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9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shd w:val="clear" w:color="auto" w:fill="CCEEFF"/>
            <w:tcMar>
              <w:top w:w="40" w:type="dxa"/>
              <w:bottom w:w="40" w:type="dxa"/>
              <w:right w:w="40" w:type="dxa"/>
            </w:tcMar>
            <w:vAlign w:val="bottom"/>
          </w:tcPr>
          <w:p w14:paraId="5556AFA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AF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F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A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(750</w:t>
            </w:r>
          </w:p>
        </w:tc>
        <w:tc>
          <w:tcPr>
            <w:tcW w:w="0" w:type="auto"/>
            <w:shd w:val="clear" w:color="auto" w:fill="CCEEFF"/>
            <w:tcMar>
              <w:top w:w="40" w:type="dxa"/>
              <w:bottom w:w="40" w:type="dxa"/>
              <w:right w:w="40" w:type="dxa"/>
            </w:tcMar>
            <w:vAlign w:val="bottom"/>
          </w:tcPr>
          <w:p w14:paraId="5556AFA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AFBE" w14:textId="77777777">
        <w:tc>
          <w:tcPr>
            <w:tcW w:w="0" w:type="auto"/>
            <w:shd w:val="clear" w:color="auto" w:fill="auto"/>
            <w:tcMar>
              <w:top w:w="40" w:type="dxa"/>
              <w:left w:w="40" w:type="dxa"/>
              <w:bottom w:w="40" w:type="dxa"/>
              <w:right w:w="40" w:type="dxa"/>
            </w:tcMar>
            <w:vAlign w:val="bottom"/>
          </w:tcPr>
          <w:p w14:paraId="5556AFAB" w14:textId="77777777" w:rsidR="00F925DD" w:rsidRDefault="00E705D7">
            <w:pPr>
              <w:textAlignment w:val="bottom"/>
              <w:rPr>
                <w:rFonts w:ascii="Times New Roman" w:hAnsi="Times New Roman"/>
                <w:sz w:val="15"/>
                <w:szCs w:val="15"/>
              </w:rPr>
            </w:pPr>
            <w:r>
              <w:rPr>
                <w:rFonts w:ascii="Arial" w:eastAsia="宋体" w:hAnsi="Arial" w:cs="Arial"/>
                <w:sz w:val="15"/>
                <w:szCs w:val="15"/>
              </w:rPr>
              <w:t>Cash dividends declared:</w:t>
            </w:r>
          </w:p>
        </w:tc>
        <w:tc>
          <w:tcPr>
            <w:tcW w:w="0" w:type="auto"/>
            <w:gridSpan w:val="3"/>
            <w:shd w:val="clear" w:color="auto" w:fill="auto"/>
            <w:tcMar>
              <w:top w:w="40" w:type="dxa"/>
              <w:left w:w="40" w:type="dxa"/>
              <w:bottom w:w="40" w:type="dxa"/>
              <w:right w:w="40" w:type="dxa"/>
            </w:tcMar>
            <w:vAlign w:val="bottom"/>
          </w:tcPr>
          <w:p w14:paraId="5556AF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F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F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BC" w14:textId="77777777" w:rsidR="00F925DD" w:rsidRDefault="00F925DD">
            <w:pPr>
              <w:jc w:val="right"/>
              <w:textAlignment w:val="bottom"/>
              <w:rPr>
                <w:rFonts w:ascii="Times New Roman" w:hAnsi="Times New Roman"/>
                <w:sz w:val="15"/>
                <w:szCs w:val="15"/>
              </w:rPr>
            </w:pPr>
          </w:p>
        </w:tc>
        <w:tc>
          <w:tcPr>
            <w:tcW w:w="0" w:type="auto"/>
            <w:shd w:val="clear" w:color="auto" w:fill="auto"/>
            <w:vAlign w:val="bottom"/>
          </w:tcPr>
          <w:p w14:paraId="5556AFBD" w14:textId="77777777" w:rsidR="00F925DD" w:rsidRDefault="00F925DD">
            <w:pPr>
              <w:textAlignment w:val="bottom"/>
              <w:rPr>
                <w:rFonts w:ascii="Times New Roman" w:hAnsi="Times New Roman"/>
                <w:sz w:val="20"/>
                <w:szCs w:val="20"/>
              </w:rPr>
            </w:pPr>
          </w:p>
        </w:tc>
      </w:tr>
      <w:tr w:rsidR="00F925DD" w14:paraId="5556AFD3" w14:textId="77777777">
        <w:tc>
          <w:tcPr>
            <w:tcW w:w="0" w:type="auto"/>
            <w:shd w:val="clear" w:color="auto" w:fill="CCEEFF"/>
            <w:tcMar>
              <w:top w:w="40" w:type="dxa"/>
              <w:left w:w="40" w:type="dxa"/>
              <w:bottom w:w="40" w:type="dxa"/>
              <w:right w:w="40" w:type="dxa"/>
            </w:tcMar>
            <w:vAlign w:val="bottom"/>
          </w:tcPr>
          <w:p w14:paraId="5556AFBF" w14:textId="77777777" w:rsidR="00F925DD" w:rsidRDefault="00E705D7">
            <w:pPr>
              <w:textAlignment w:val="bottom"/>
              <w:rPr>
                <w:rFonts w:ascii="Times New Roman" w:hAnsi="Times New Roman"/>
                <w:sz w:val="15"/>
                <w:szCs w:val="15"/>
              </w:rPr>
            </w:pPr>
            <w:r>
              <w:rPr>
                <w:rFonts w:ascii="Arial" w:eastAsia="宋体" w:hAnsi="Arial" w:cs="Arial"/>
                <w:sz w:val="15"/>
                <w:szCs w:val="15"/>
              </w:rPr>
              <w:t>  Common stock - $1.98 per share</w:t>
            </w:r>
          </w:p>
        </w:tc>
        <w:tc>
          <w:tcPr>
            <w:tcW w:w="0" w:type="auto"/>
            <w:gridSpan w:val="3"/>
            <w:shd w:val="clear" w:color="auto" w:fill="CCEEFF"/>
            <w:tcMar>
              <w:top w:w="40" w:type="dxa"/>
              <w:left w:w="40" w:type="dxa"/>
              <w:bottom w:w="40" w:type="dxa"/>
              <w:right w:w="40" w:type="dxa"/>
            </w:tcMar>
            <w:vAlign w:val="bottom"/>
          </w:tcPr>
          <w:p w14:paraId="5556AF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F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C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(728</w:t>
            </w:r>
          </w:p>
        </w:tc>
        <w:tc>
          <w:tcPr>
            <w:tcW w:w="0" w:type="auto"/>
            <w:shd w:val="clear" w:color="auto" w:fill="CCEEFF"/>
            <w:tcMar>
              <w:top w:w="40" w:type="dxa"/>
              <w:bottom w:w="40" w:type="dxa"/>
              <w:right w:w="40" w:type="dxa"/>
            </w:tcMar>
            <w:vAlign w:val="bottom"/>
          </w:tcPr>
          <w:p w14:paraId="5556AFC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AF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F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D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(728</w:t>
            </w:r>
          </w:p>
        </w:tc>
        <w:tc>
          <w:tcPr>
            <w:tcW w:w="0" w:type="auto"/>
            <w:shd w:val="clear" w:color="auto" w:fill="CCEEFF"/>
            <w:tcMar>
              <w:top w:w="40" w:type="dxa"/>
              <w:bottom w:w="40" w:type="dxa"/>
              <w:right w:w="40" w:type="dxa"/>
            </w:tcMar>
            <w:vAlign w:val="bottom"/>
          </w:tcPr>
          <w:p w14:paraId="5556AFD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AFE8" w14:textId="77777777">
        <w:tc>
          <w:tcPr>
            <w:tcW w:w="0" w:type="auto"/>
            <w:shd w:val="clear" w:color="auto" w:fill="auto"/>
            <w:tcMar>
              <w:top w:w="40" w:type="dxa"/>
              <w:left w:w="40" w:type="dxa"/>
              <w:bottom w:w="40" w:type="dxa"/>
              <w:right w:w="40" w:type="dxa"/>
            </w:tcMar>
            <w:vAlign w:val="bottom"/>
          </w:tcPr>
          <w:p w14:paraId="5556AFD4" w14:textId="77777777" w:rsidR="00F925DD" w:rsidRDefault="00E705D7">
            <w:pPr>
              <w:textAlignment w:val="bottom"/>
              <w:rPr>
                <w:rFonts w:ascii="Times New Roman" w:hAnsi="Times New Roman"/>
                <w:sz w:val="15"/>
                <w:szCs w:val="15"/>
              </w:rPr>
            </w:pPr>
            <w:r>
              <w:rPr>
                <w:rFonts w:ascii="Arial" w:eastAsia="宋体" w:hAnsi="Arial" w:cs="Arial"/>
                <w:sz w:val="15"/>
                <w:szCs w:val="15"/>
              </w:rPr>
              <w:t>  Preferred stock</w:t>
            </w:r>
          </w:p>
        </w:tc>
        <w:tc>
          <w:tcPr>
            <w:tcW w:w="0" w:type="auto"/>
            <w:gridSpan w:val="3"/>
            <w:shd w:val="clear" w:color="auto" w:fill="auto"/>
            <w:tcMar>
              <w:top w:w="40" w:type="dxa"/>
              <w:left w:w="40" w:type="dxa"/>
              <w:bottom w:w="40" w:type="dxa"/>
              <w:right w:w="40" w:type="dxa"/>
            </w:tcMar>
            <w:vAlign w:val="bottom"/>
          </w:tcPr>
          <w:p w14:paraId="5556AF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F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D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(210</w:t>
            </w:r>
          </w:p>
        </w:tc>
        <w:tc>
          <w:tcPr>
            <w:tcW w:w="0" w:type="auto"/>
            <w:shd w:val="clear" w:color="auto" w:fill="auto"/>
            <w:tcMar>
              <w:top w:w="40" w:type="dxa"/>
              <w:bottom w:w="40" w:type="dxa"/>
              <w:right w:w="40" w:type="dxa"/>
            </w:tcMar>
            <w:vAlign w:val="bottom"/>
          </w:tcPr>
          <w:p w14:paraId="5556AFD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AF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AF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AF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AF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AFE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(210</w:t>
            </w:r>
          </w:p>
        </w:tc>
        <w:tc>
          <w:tcPr>
            <w:tcW w:w="0" w:type="auto"/>
            <w:shd w:val="clear" w:color="auto" w:fill="auto"/>
            <w:tcMar>
              <w:top w:w="40" w:type="dxa"/>
              <w:bottom w:w="40" w:type="dxa"/>
              <w:right w:w="40" w:type="dxa"/>
            </w:tcMar>
            <w:vAlign w:val="bottom"/>
          </w:tcPr>
          <w:p w14:paraId="5556AFE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AFFE" w14:textId="77777777">
        <w:tc>
          <w:tcPr>
            <w:tcW w:w="0" w:type="auto"/>
            <w:shd w:val="clear" w:color="auto" w:fill="CCEEFF"/>
            <w:tcMar>
              <w:top w:w="40" w:type="dxa"/>
              <w:left w:w="40" w:type="dxa"/>
              <w:bottom w:w="40" w:type="dxa"/>
              <w:right w:w="40" w:type="dxa"/>
            </w:tcMar>
            <w:vAlign w:val="bottom"/>
          </w:tcPr>
          <w:p w14:paraId="5556AFE9" w14:textId="77777777" w:rsidR="00F925DD" w:rsidRDefault="00E705D7">
            <w:pPr>
              <w:textAlignment w:val="bottom"/>
              <w:rPr>
                <w:rFonts w:ascii="Times New Roman" w:hAnsi="Times New Roman"/>
                <w:sz w:val="15"/>
                <w:szCs w:val="15"/>
              </w:rPr>
            </w:pPr>
            <w:r>
              <w:rPr>
                <w:rFonts w:ascii="Arial" w:eastAsia="宋体" w:hAnsi="Arial" w:cs="Arial"/>
                <w:sz w:val="15"/>
                <w:szCs w:val="15"/>
              </w:rPr>
              <w:t>Common stock acquired</w:t>
            </w:r>
          </w:p>
        </w:tc>
        <w:tc>
          <w:tcPr>
            <w:tcW w:w="0" w:type="auto"/>
            <w:gridSpan w:val="3"/>
            <w:shd w:val="clear" w:color="auto" w:fill="CCEEFF"/>
            <w:tcMar>
              <w:top w:w="40" w:type="dxa"/>
              <w:left w:w="40" w:type="dxa"/>
              <w:bottom w:w="40" w:type="dxa"/>
              <w:right w:w="40" w:type="dxa"/>
            </w:tcMar>
            <w:vAlign w:val="bottom"/>
          </w:tcPr>
          <w:p w14:paraId="5556AF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AF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AF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AF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AFF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24,884</w:t>
            </w:r>
          </w:p>
        </w:tc>
        <w:tc>
          <w:tcPr>
            <w:tcW w:w="0" w:type="auto"/>
            <w:shd w:val="clear" w:color="auto" w:fill="CCEEFF"/>
            <w:vAlign w:val="bottom"/>
          </w:tcPr>
          <w:p w14:paraId="5556AFF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AF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F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(1,600</w:t>
            </w:r>
          </w:p>
        </w:tc>
        <w:tc>
          <w:tcPr>
            <w:tcW w:w="0" w:type="auto"/>
            <w:shd w:val="clear" w:color="auto" w:fill="CCEEFF"/>
            <w:tcMar>
              <w:top w:w="40" w:type="dxa"/>
              <w:bottom w:w="40" w:type="dxa"/>
              <w:right w:w="40" w:type="dxa"/>
            </w:tcMar>
            <w:vAlign w:val="bottom"/>
          </w:tcPr>
          <w:p w14:paraId="5556AFF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AF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AFF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(1,600</w:t>
            </w:r>
          </w:p>
        </w:tc>
        <w:tc>
          <w:tcPr>
            <w:tcW w:w="0" w:type="auto"/>
            <w:shd w:val="clear" w:color="auto" w:fill="CCEEFF"/>
            <w:tcMar>
              <w:top w:w="40" w:type="dxa"/>
              <w:bottom w:w="40" w:type="dxa"/>
              <w:right w:w="40" w:type="dxa"/>
            </w:tcMar>
            <w:vAlign w:val="bottom"/>
          </w:tcPr>
          <w:p w14:paraId="5556AFF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B015" w14:textId="77777777">
        <w:tc>
          <w:tcPr>
            <w:tcW w:w="0" w:type="auto"/>
            <w:shd w:val="clear" w:color="auto" w:fill="auto"/>
            <w:tcMar>
              <w:top w:w="40" w:type="dxa"/>
              <w:left w:w="40" w:type="dxa"/>
              <w:bottom w:w="40" w:type="dxa"/>
              <w:right w:w="40" w:type="dxa"/>
            </w:tcMar>
            <w:vAlign w:val="bottom"/>
          </w:tcPr>
          <w:p w14:paraId="5556AFFF" w14:textId="77777777" w:rsidR="00F925DD" w:rsidRDefault="00E705D7">
            <w:pPr>
              <w:textAlignment w:val="bottom"/>
              <w:rPr>
                <w:rFonts w:ascii="Times New Roman" w:hAnsi="Times New Roman"/>
                <w:sz w:val="15"/>
                <w:szCs w:val="15"/>
              </w:rPr>
            </w:pPr>
            <w:r>
              <w:rPr>
                <w:rFonts w:ascii="Arial" w:eastAsia="宋体" w:hAnsi="Arial" w:cs="Arial"/>
                <w:sz w:val="15"/>
                <w:szCs w:val="15"/>
              </w:rPr>
              <w:t>Common stock awards exercised</w:t>
            </w:r>
          </w:p>
        </w:tc>
        <w:tc>
          <w:tcPr>
            <w:tcW w:w="0" w:type="auto"/>
            <w:gridSpan w:val="3"/>
            <w:shd w:val="clear" w:color="auto" w:fill="auto"/>
            <w:tcMar>
              <w:top w:w="40" w:type="dxa"/>
              <w:left w:w="40" w:type="dxa"/>
              <w:bottom w:w="40" w:type="dxa"/>
              <w:right w:w="40" w:type="dxa"/>
            </w:tcMar>
            <w:vAlign w:val="bottom"/>
          </w:tcPr>
          <w:p w14:paraId="5556B0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B0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0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0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95</w:t>
            </w:r>
          </w:p>
        </w:tc>
        <w:tc>
          <w:tcPr>
            <w:tcW w:w="0" w:type="auto"/>
            <w:shd w:val="clear" w:color="auto" w:fill="auto"/>
            <w:vAlign w:val="bottom"/>
          </w:tcPr>
          <w:p w14:paraId="5556B0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0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0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B00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(2,295</w:t>
            </w:r>
          </w:p>
        </w:tc>
        <w:tc>
          <w:tcPr>
            <w:tcW w:w="0" w:type="auto"/>
            <w:shd w:val="clear" w:color="auto" w:fill="auto"/>
            <w:tcMar>
              <w:top w:w="40" w:type="dxa"/>
              <w:bottom w:w="40" w:type="dxa"/>
              <w:right w:w="40" w:type="dxa"/>
            </w:tcMar>
            <w:vAlign w:val="bottom"/>
          </w:tcPr>
          <w:p w14:paraId="5556B00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0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1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103</w:t>
            </w:r>
          </w:p>
        </w:tc>
        <w:tc>
          <w:tcPr>
            <w:tcW w:w="0" w:type="auto"/>
            <w:shd w:val="clear" w:color="auto" w:fill="auto"/>
            <w:vAlign w:val="bottom"/>
          </w:tcPr>
          <w:p w14:paraId="5556B01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1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198</w:t>
            </w:r>
          </w:p>
        </w:tc>
        <w:tc>
          <w:tcPr>
            <w:tcW w:w="0" w:type="auto"/>
            <w:shd w:val="clear" w:color="auto" w:fill="auto"/>
            <w:vAlign w:val="bottom"/>
          </w:tcPr>
          <w:p w14:paraId="5556B014" w14:textId="77777777" w:rsidR="00F925DD" w:rsidRDefault="00F925DD">
            <w:pPr>
              <w:textAlignment w:val="bottom"/>
              <w:rPr>
                <w:rFonts w:ascii="Times New Roman" w:hAnsi="Times New Roman"/>
                <w:sz w:val="20"/>
                <w:szCs w:val="20"/>
              </w:rPr>
            </w:pPr>
          </w:p>
        </w:tc>
      </w:tr>
      <w:tr w:rsidR="00F925DD" w14:paraId="5556B02D" w14:textId="77777777">
        <w:tc>
          <w:tcPr>
            <w:tcW w:w="0" w:type="auto"/>
            <w:shd w:val="clear" w:color="auto" w:fill="CCEEFF"/>
            <w:tcMar>
              <w:top w:w="40" w:type="dxa"/>
              <w:left w:w="40" w:type="dxa"/>
              <w:bottom w:w="40" w:type="dxa"/>
              <w:right w:w="40" w:type="dxa"/>
            </w:tcMar>
            <w:vAlign w:val="bottom"/>
          </w:tcPr>
          <w:p w14:paraId="5556B016"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3"/>
            <w:shd w:val="clear" w:color="auto" w:fill="CCEEFF"/>
            <w:tcMar>
              <w:top w:w="40" w:type="dxa"/>
              <w:left w:w="40" w:type="dxa"/>
              <w:bottom w:w="40" w:type="dxa"/>
              <w:right w:w="40" w:type="dxa"/>
            </w:tcMar>
            <w:vAlign w:val="bottom"/>
          </w:tcPr>
          <w:p w14:paraId="5556B0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0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B0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0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0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0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1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w:t>
            </w:r>
          </w:p>
        </w:tc>
        <w:tc>
          <w:tcPr>
            <w:tcW w:w="0" w:type="auto"/>
            <w:shd w:val="clear" w:color="auto" w:fill="CCEEFF"/>
            <w:tcMar>
              <w:top w:w="40" w:type="dxa"/>
              <w:bottom w:w="40" w:type="dxa"/>
              <w:right w:w="40" w:type="dxa"/>
            </w:tcMar>
            <w:vAlign w:val="bottom"/>
          </w:tcPr>
          <w:p w14:paraId="5556B01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0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2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tcMar>
              <w:top w:w="40" w:type="dxa"/>
              <w:bottom w:w="40" w:type="dxa"/>
              <w:right w:w="40" w:type="dxa"/>
            </w:tcMar>
            <w:vAlign w:val="bottom"/>
          </w:tcPr>
          <w:p w14:paraId="5556B02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0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0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0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02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w:t>
            </w:r>
          </w:p>
        </w:tc>
        <w:tc>
          <w:tcPr>
            <w:tcW w:w="0" w:type="auto"/>
            <w:shd w:val="clear" w:color="auto" w:fill="CCEEFF"/>
            <w:tcMar>
              <w:top w:w="40" w:type="dxa"/>
              <w:bottom w:w="40" w:type="dxa"/>
              <w:right w:w="40" w:type="dxa"/>
            </w:tcMar>
            <w:vAlign w:val="bottom"/>
          </w:tcPr>
          <w:p w14:paraId="5556B02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0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2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5556B0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0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2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shd w:val="clear" w:color="auto" w:fill="CCEEFF"/>
            <w:tcMar>
              <w:top w:w="40" w:type="dxa"/>
              <w:bottom w:w="40" w:type="dxa"/>
              <w:right w:w="40" w:type="dxa"/>
            </w:tcMar>
            <w:vAlign w:val="bottom"/>
          </w:tcPr>
          <w:p w14:paraId="5556B02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B050" w14:textId="77777777">
        <w:tc>
          <w:tcPr>
            <w:tcW w:w="0" w:type="auto"/>
            <w:shd w:val="clear" w:color="auto" w:fill="auto"/>
            <w:tcMar>
              <w:top w:w="40" w:type="dxa"/>
              <w:left w:w="40" w:type="dxa"/>
              <w:bottom w:w="40" w:type="dxa"/>
              <w:right w:w="40" w:type="dxa"/>
            </w:tcMar>
            <w:vAlign w:val="bottom"/>
          </w:tcPr>
          <w:p w14:paraId="5556B02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Balance at December 31,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02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B03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2,962</w:t>
            </w:r>
          </w:p>
        </w:tc>
        <w:tc>
          <w:tcPr>
            <w:tcW w:w="0" w:type="auto"/>
            <w:tcBorders>
              <w:top w:val="single" w:sz="8" w:space="0" w:color="000000"/>
              <w:bottom w:val="double" w:sz="6" w:space="0" w:color="000000"/>
            </w:tcBorders>
            <w:shd w:val="clear" w:color="auto" w:fill="auto"/>
            <w:vAlign w:val="bottom"/>
          </w:tcPr>
          <w:p w14:paraId="5556B0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03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503,880</w:t>
            </w:r>
          </w:p>
        </w:tc>
        <w:tc>
          <w:tcPr>
            <w:tcW w:w="0" w:type="auto"/>
            <w:tcBorders>
              <w:top w:val="single" w:sz="8" w:space="0" w:color="000000"/>
              <w:bottom w:val="double" w:sz="6" w:space="0" w:color="000000"/>
            </w:tcBorders>
            <w:shd w:val="clear" w:color="auto" w:fill="auto"/>
            <w:vAlign w:val="bottom"/>
          </w:tcPr>
          <w:p w14:paraId="5556B03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03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B03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504</w:t>
            </w:r>
          </w:p>
        </w:tc>
        <w:tc>
          <w:tcPr>
            <w:tcW w:w="0" w:type="auto"/>
            <w:tcBorders>
              <w:top w:val="single" w:sz="8" w:space="0" w:color="000000"/>
              <w:bottom w:val="double" w:sz="6" w:space="0" w:color="000000"/>
            </w:tcBorders>
            <w:shd w:val="clear" w:color="auto" w:fill="auto"/>
            <w:vAlign w:val="bottom"/>
          </w:tcPr>
          <w:p w14:paraId="5556B03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03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B03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10,132</w:t>
            </w:r>
          </w:p>
        </w:tc>
        <w:tc>
          <w:tcPr>
            <w:tcW w:w="0" w:type="auto"/>
            <w:tcBorders>
              <w:top w:val="single" w:sz="8" w:space="0" w:color="000000"/>
              <w:bottom w:val="double" w:sz="6" w:space="0" w:color="000000"/>
            </w:tcBorders>
            <w:shd w:val="clear" w:color="auto" w:fill="auto"/>
            <w:vAlign w:val="bottom"/>
          </w:tcPr>
          <w:p w14:paraId="5556B03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03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B03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21,918</w:t>
            </w:r>
          </w:p>
        </w:tc>
        <w:tc>
          <w:tcPr>
            <w:tcW w:w="0" w:type="auto"/>
            <w:tcBorders>
              <w:top w:val="single" w:sz="8" w:space="0" w:color="000000"/>
              <w:bottom w:val="double" w:sz="6" w:space="0" w:color="000000"/>
            </w:tcBorders>
            <w:shd w:val="clear" w:color="auto" w:fill="auto"/>
            <w:vAlign w:val="bottom"/>
          </w:tcPr>
          <w:p w14:paraId="5556B04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04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B04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(876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B04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0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04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146,490</w:t>
            </w:r>
          </w:p>
        </w:tc>
        <w:tc>
          <w:tcPr>
            <w:tcW w:w="0" w:type="auto"/>
            <w:tcBorders>
              <w:top w:val="single" w:sz="8" w:space="0" w:color="000000"/>
              <w:bottom w:val="double" w:sz="6" w:space="0" w:color="000000"/>
            </w:tcBorders>
            <w:shd w:val="clear" w:color="auto" w:fill="auto"/>
            <w:vAlign w:val="bottom"/>
          </w:tcPr>
          <w:p w14:paraId="5556B04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04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B04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(10,209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B04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0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04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B04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24,431</w:t>
            </w:r>
          </w:p>
        </w:tc>
        <w:tc>
          <w:tcPr>
            <w:tcW w:w="0" w:type="auto"/>
            <w:tcBorders>
              <w:top w:val="single" w:sz="8" w:space="0" w:color="000000"/>
              <w:bottom w:val="double" w:sz="6" w:space="0" w:color="000000"/>
            </w:tcBorders>
            <w:shd w:val="clear" w:color="auto" w:fill="auto"/>
            <w:vAlign w:val="bottom"/>
          </w:tcPr>
          <w:p w14:paraId="5556B04F" w14:textId="77777777" w:rsidR="00F925DD" w:rsidRDefault="00F925DD">
            <w:pPr>
              <w:textAlignment w:val="bottom"/>
              <w:rPr>
                <w:rFonts w:ascii="Times New Roman" w:hAnsi="Times New Roman"/>
                <w:sz w:val="20"/>
                <w:szCs w:val="20"/>
              </w:rPr>
            </w:pPr>
          </w:p>
        </w:tc>
      </w:tr>
    </w:tbl>
    <w:p w14:paraId="5556B051"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997"/>
        <w:gridCol w:w="1661"/>
        <w:gridCol w:w="1661"/>
        <w:gridCol w:w="1661"/>
      </w:tblGrid>
      <w:tr w:rsidR="00F925DD" w14:paraId="5556B053" w14:textId="77777777">
        <w:tc>
          <w:tcPr>
            <w:tcW w:w="0" w:type="auto"/>
            <w:gridSpan w:val="5"/>
            <w:shd w:val="clear" w:color="auto" w:fill="auto"/>
            <w:vAlign w:val="center"/>
          </w:tcPr>
          <w:p w14:paraId="5556B052" w14:textId="77777777" w:rsidR="00F925DD" w:rsidRDefault="00F925DD">
            <w:pPr>
              <w:rPr>
                <w:rFonts w:ascii="Times New Roman" w:hAnsi="Times New Roman"/>
                <w:sz w:val="20"/>
                <w:szCs w:val="20"/>
              </w:rPr>
            </w:pPr>
          </w:p>
        </w:tc>
      </w:tr>
      <w:tr w:rsidR="00F925DD" w14:paraId="5556B059" w14:textId="77777777">
        <w:tc>
          <w:tcPr>
            <w:tcW w:w="1400" w:type="pct"/>
            <w:shd w:val="clear" w:color="auto" w:fill="auto"/>
            <w:vAlign w:val="center"/>
          </w:tcPr>
          <w:p w14:paraId="5556B054" w14:textId="77777777" w:rsidR="00F925DD" w:rsidRDefault="00F925DD">
            <w:pPr>
              <w:rPr>
                <w:rFonts w:ascii="Times New Roman" w:hAnsi="Times New Roman"/>
                <w:sz w:val="20"/>
                <w:szCs w:val="20"/>
              </w:rPr>
            </w:pPr>
          </w:p>
        </w:tc>
        <w:tc>
          <w:tcPr>
            <w:tcW w:w="600" w:type="pct"/>
            <w:shd w:val="clear" w:color="auto" w:fill="auto"/>
            <w:vAlign w:val="center"/>
          </w:tcPr>
          <w:p w14:paraId="5556B055" w14:textId="77777777" w:rsidR="00F925DD" w:rsidRDefault="00F925DD">
            <w:pPr>
              <w:rPr>
                <w:rFonts w:ascii="Times New Roman" w:hAnsi="Times New Roman"/>
                <w:sz w:val="20"/>
                <w:szCs w:val="20"/>
              </w:rPr>
            </w:pPr>
          </w:p>
        </w:tc>
        <w:tc>
          <w:tcPr>
            <w:tcW w:w="1000" w:type="pct"/>
            <w:shd w:val="clear" w:color="auto" w:fill="auto"/>
            <w:vAlign w:val="center"/>
          </w:tcPr>
          <w:p w14:paraId="5556B056" w14:textId="77777777" w:rsidR="00F925DD" w:rsidRDefault="00F925DD">
            <w:pPr>
              <w:rPr>
                <w:rFonts w:ascii="Times New Roman" w:hAnsi="Times New Roman"/>
                <w:sz w:val="20"/>
                <w:szCs w:val="20"/>
              </w:rPr>
            </w:pPr>
          </w:p>
        </w:tc>
        <w:tc>
          <w:tcPr>
            <w:tcW w:w="1000" w:type="pct"/>
            <w:shd w:val="clear" w:color="auto" w:fill="auto"/>
            <w:vAlign w:val="center"/>
          </w:tcPr>
          <w:p w14:paraId="5556B057" w14:textId="77777777" w:rsidR="00F925DD" w:rsidRDefault="00F925DD">
            <w:pPr>
              <w:rPr>
                <w:rFonts w:ascii="Times New Roman" w:hAnsi="Times New Roman"/>
                <w:sz w:val="20"/>
                <w:szCs w:val="20"/>
              </w:rPr>
            </w:pPr>
          </w:p>
        </w:tc>
        <w:tc>
          <w:tcPr>
            <w:tcW w:w="1000" w:type="pct"/>
            <w:shd w:val="clear" w:color="auto" w:fill="auto"/>
            <w:vAlign w:val="center"/>
          </w:tcPr>
          <w:p w14:paraId="5556B058" w14:textId="77777777" w:rsidR="00F925DD" w:rsidRDefault="00F925DD">
            <w:pPr>
              <w:rPr>
                <w:rFonts w:ascii="Times New Roman" w:hAnsi="Times New Roman"/>
                <w:sz w:val="20"/>
                <w:szCs w:val="20"/>
              </w:rPr>
            </w:pPr>
          </w:p>
        </w:tc>
      </w:tr>
      <w:tr w:rsidR="00F925DD" w14:paraId="5556B05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B0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B060" w14:textId="77777777" w:rsidR="00F925DD" w:rsidRDefault="00E705D7">
      <w:pPr>
        <w:spacing w:line="288" w:lineRule="auto"/>
        <w:jc w:val="both"/>
        <w:rPr>
          <w:rFonts w:ascii="Times New Roman" w:hAnsi="Times New Roman"/>
          <w:sz w:val="20"/>
          <w:szCs w:val="20"/>
        </w:rPr>
      </w:pPr>
      <w:r>
        <w:rPr>
          <w:rFonts w:ascii="Arial" w:eastAsia="宋体" w:hAnsi="Arial" w:cs="Arial"/>
          <w:sz w:val="10"/>
          <w:szCs w:val="10"/>
          <w:shd w:val="clear" w:color="auto" w:fill="FFFFFF"/>
        </w:rPr>
        <w:t xml:space="preserve">(1) </w:t>
      </w:r>
      <w:r>
        <w:rPr>
          <w:rFonts w:ascii="Arial" w:eastAsia="宋体" w:hAnsi="Arial" w:cs="Arial"/>
          <w:sz w:val="14"/>
          <w:szCs w:val="14"/>
          <w:shd w:val="clear" w:color="auto" w:fill="FFFFFF"/>
        </w:rPr>
        <w:t xml:space="preserve">Represents the reclassification from accumulated other comprehensive income into retained earnings as a result of our adoption of ASU 2018-02 - Reclassification of Certain Tax Effects </w:t>
      </w:r>
      <w:r>
        <w:rPr>
          <w:rFonts w:ascii="Arial" w:eastAsia="宋体" w:hAnsi="Arial" w:cs="Arial"/>
          <w:sz w:val="14"/>
          <w:szCs w:val="14"/>
          <w:shd w:val="clear" w:color="auto" w:fill="FFFFFF"/>
        </w:rPr>
        <w:t>from Accumulated Other Comprehensive Income in the first quarter of 2019.</w:t>
      </w:r>
    </w:p>
    <w:p w14:paraId="5556B061" w14:textId="77777777" w:rsidR="00F925DD" w:rsidRDefault="00F925DD">
      <w:pPr>
        <w:spacing w:line="288" w:lineRule="auto"/>
        <w:ind w:firstLine="600"/>
        <w:jc w:val="both"/>
        <w:rPr>
          <w:rFonts w:ascii="Times New Roman" w:hAnsi="Times New Roman"/>
          <w:sz w:val="20"/>
          <w:szCs w:val="20"/>
        </w:rPr>
      </w:pPr>
    </w:p>
    <w:p w14:paraId="5556B062" w14:textId="77777777" w:rsidR="00F925DD" w:rsidRDefault="00F925DD">
      <w:pPr>
        <w:spacing w:line="288" w:lineRule="auto"/>
        <w:ind w:firstLine="600"/>
        <w:rPr>
          <w:rFonts w:ascii="Times New Roman" w:hAnsi="Times New Roman"/>
          <w:sz w:val="20"/>
          <w:szCs w:val="20"/>
        </w:rPr>
      </w:pPr>
    </w:p>
    <w:p w14:paraId="5556B063" w14:textId="77777777" w:rsidR="00F925DD" w:rsidRDefault="00F925DD">
      <w:pPr>
        <w:spacing w:line="288" w:lineRule="auto"/>
        <w:ind w:firstLine="600"/>
        <w:rPr>
          <w:rFonts w:ascii="Times New Roman" w:hAnsi="Times New Roman"/>
          <w:sz w:val="20"/>
          <w:szCs w:val="20"/>
        </w:rPr>
      </w:pPr>
    </w:p>
    <w:p w14:paraId="5556B064" w14:textId="77777777" w:rsidR="00F925DD" w:rsidRDefault="00F925DD">
      <w:pPr>
        <w:spacing w:line="288" w:lineRule="auto"/>
        <w:ind w:firstLine="600"/>
        <w:rPr>
          <w:rFonts w:ascii="Times New Roman" w:hAnsi="Times New Roman"/>
          <w:sz w:val="20"/>
          <w:szCs w:val="20"/>
        </w:rPr>
      </w:pPr>
    </w:p>
    <w:p w14:paraId="5556B065" w14:textId="77777777" w:rsidR="00F925DD" w:rsidRDefault="00F925DD">
      <w:pPr>
        <w:spacing w:line="288" w:lineRule="auto"/>
        <w:ind w:firstLine="600"/>
        <w:rPr>
          <w:rFonts w:ascii="Times New Roman" w:hAnsi="Times New Roman"/>
          <w:sz w:val="20"/>
          <w:szCs w:val="20"/>
        </w:rPr>
      </w:pPr>
    </w:p>
    <w:p w14:paraId="5556B066" w14:textId="77777777" w:rsidR="00F925DD" w:rsidRDefault="00F925DD">
      <w:pPr>
        <w:spacing w:line="288" w:lineRule="auto"/>
        <w:ind w:firstLine="600"/>
        <w:rPr>
          <w:rFonts w:ascii="Times New Roman" w:hAnsi="Times New Roman"/>
          <w:sz w:val="20"/>
          <w:szCs w:val="20"/>
        </w:rPr>
      </w:pPr>
    </w:p>
    <w:p w14:paraId="5556B067" w14:textId="77777777" w:rsidR="00F925DD" w:rsidRDefault="00F925DD">
      <w:pPr>
        <w:spacing w:line="288" w:lineRule="auto"/>
        <w:ind w:firstLine="600"/>
        <w:rPr>
          <w:rFonts w:ascii="Times New Roman" w:hAnsi="Times New Roman"/>
          <w:sz w:val="20"/>
          <w:szCs w:val="20"/>
        </w:rPr>
      </w:pPr>
    </w:p>
    <w:p w14:paraId="5556B068" w14:textId="77777777" w:rsidR="00F925DD" w:rsidRDefault="00F925DD">
      <w:pPr>
        <w:spacing w:line="288" w:lineRule="auto"/>
        <w:ind w:firstLine="600"/>
        <w:rPr>
          <w:rFonts w:ascii="Times New Roman" w:hAnsi="Times New Roman"/>
          <w:sz w:val="20"/>
          <w:szCs w:val="20"/>
        </w:rPr>
      </w:pPr>
    </w:p>
    <w:p w14:paraId="5556B069" w14:textId="77777777" w:rsidR="00F925DD" w:rsidRDefault="00F925DD">
      <w:pPr>
        <w:spacing w:line="288" w:lineRule="auto"/>
        <w:ind w:firstLine="600"/>
        <w:rPr>
          <w:rFonts w:ascii="Times New Roman" w:hAnsi="Times New Roman"/>
          <w:sz w:val="20"/>
          <w:szCs w:val="20"/>
        </w:rPr>
      </w:pPr>
    </w:p>
    <w:p w14:paraId="5556B06A" w14:textId="77777777" w:rsidR="00F925DD" w:rsidRDefault="00F925DD">
      <w:pPr>
        <w:spacing w:line="288" w:lineRule="auto"/>
        <w:ind w:firstLine="600"/>
        <w:rPr>
          <w:rFonts w:ascii="Times New Roman" w:hAnsi="Times New Roman"/>
          <w:sz w:val="20"/>
          <w:szCs w:val="20"/>
        </w:rPr>
      </w:pPr>
    </w:p>
    <w:p w14:paraId="5556B06B" w14:textId="77777777" w:rsidR="00F925DD" w:rsidRDefault="00F925DD">
      <w:pPr>
        <w:spacing w:line="288" w:lineRule="auto"/>
        <w:ind w:firstLine="600"/>
        <w:rPr>
          <w:rFonts w:ascii="Times New Roman" w:hAnsi="Times New Roman"/>
          <w:sz w:val="20"/>
          <w:szCs w:val="20"/>
        </w:rPr>
      </w:pPr>
    </w:p>
    <w:p w14:paraId="5556B06C" w14:textId="77777777" w:rsidR="00F925DD" w:rsidRDefault="00F925DD">
      <w:pPr>
        <w:spacing w:line="288" w:lineRule="auto"/>
        <w:ind w:firstLine="600"/>
        <w:rPr>
          <w:rFonts w:ascii="Times New Roman" w:hAnsi="Times New Roman"/>
          <w:sz w:val="20"/>
          <w:szCs w:val="20"/>
        </w:rPr>
      </w:pPr>
    </w:p>
    <w:p w14:paraId="5556B06D" w14:textId="77777777" w:rsidR="00F925DD" w:rsidRDefault="00E705D7">
      <w:pPr>
        <w:spacing w:line="288" w:lineRule="auto"/>
        <w:ind w:firstLine="600"/>
        <w:jc w:val="center"/>
        <w:rPr>
          <w:rFonts w:ascii="Times New Roman" w:hAnsi="Times New Roman"/>
          <w:sz w:val="18"/>
          <w:szCs w:val="18"/>
        </w:rPr>
      </w:pPr>
      <w:r>
        <w:rPr>
          <w:rFonts w:ascii="Arial" w:eastAsia="宋体" w:hAnsi="Arial" w:cs="Arial"/>
          <w:sz w:val="18"/>
          <w:szCs w:val="18"/>
        </w:rPr>
        <w:t xml:space="preserve">The accompanying notes are an integral part of these consolidated financial statements. </w:t>
      </w:r>
    </w:p>
    <w:p w14:paraId="5556B06E" w14:textId="77777777" w:rsidR="00F925DD" w:rsidRDefault="00F925DD">
      <w:pPr>
        <w:rPr>
          <w:rFonts w:ascii="Times New Roman" w:hAnsi="Times New Roman"/>
          <w:sz w:val="20"/>
          <w:szCs w:val="20"/>
        </w:rPr>
      </w:pPr>
    </w:p>
    <w:p w14:paraId="5556B06F"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123</w:t>
      </w:r>
    </w:p>
    <w:p w14:paraId="5556B070" w14:textId="77777777" w:rsidR="00F925DD" w:rsidRDefault="00F925DD">
      <w:pPr>
        <w:spacing w:line="288" w:lineRule="auto"/>
        <w:ind w:firstLine="600"/>
        <w:jc w:val="center"/>
        <w:rPr>
          <w:rFonts w:ascii="Times New Roman" w:hAnsi="Times New Roman"/>
          <w:sz w:val="18"/>
          <w:szCs w:val="18"/>
        </w:rPr>
      </w:pPr>
    </w:p>
    <w:p w14:paraId="5556B071" w14:textId="77777777" w:rsidR="00F925DD" w:rsidRDefault="00E705D7">
      <w:r>
        <w:rPr>
          <w:rFonts w:ascii="Times New Roman" w:hAnsi="Times New Roman"/>
          <w:sz w:val="18"/>
          <w:szCs w:val="18"/>
        </w:rPr>
        <w:pict w14:anchorId="555706B5">
          <v:rect id="_x0000_i1147" style="width:415.3pt;height:1.5pt" o:hralign="center" o:hrstd="t" o:hr="t" fillcolor="#a0a0a0" stroked="f"/>
        </w:pict>
      </w:r>
    </w:p>
    <w:p w14:paraId="5556B072" w14:textId="77777777" w:rsidR="00F925DD" w:rsidRDefault="00F925DD">
      <w:pPr>
        <w:rPr>
          <w:rFonts w:ascii="Times New Roman" w:hAnsi="Times New Roman"/>
          <w:sz w:val="20"/>
          <w:szCs w:val="20"/>
        </w:rPr>
      </w:pPr>
    </w:p>
    <w:p w14:paraId="5556B07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074"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CONSOLIDATED STATEMENT OF CASH FLOWS</w:t>
      </w:r>
      <w:r>
        <w:rPr>
          <w:rFonts w:ascii="Arial" w:eastAsia="宋体" w:hAnsi="Arial" w:cs="Arial"/>
          <w:b/>
          <w:bCs/>
          <w:sz w:val="20"/>
          <w:szCs w:val="20"/>
        </w:rPr>
        <w:t xml:space="preserve"> </w:t>
      </w:r>
    </w:p>
    <w:tbl>
      <w:tblPr>
        <w:tblW w:w="5000" w:type="pct"/>
        <w:tblCellMar>
          <w:left w:w="0" w:type="dxa"/>
          <w:right w:w="0" w:type="dxa"/>
        </w:tblCellMar>
        <w:tblLook w:val="04A0" w:firstRow="1" w:lastRow="0" w:firstColumn="1" w:lastColumn="0" w:noHBand="0" w:noVBand="1"/>
      </w:tblPr>
      <w:tblGrid>
        <w:gridCol w:w="4673"/>
        <w:gridCol w:w="125"/>
        <w:gridCol w:w="937"/>
        <w:gridCol w:w="90"/>
        <w:gridCol w:w="130"/>
        <w:gridCol w:w="125"/>
        <w:gridCol w:w="854"/>
        <w:gridCol w:w="90"/>
        <w:gridCol w:w="130"/>
        <w:gridCol w:w="125"/>
        <w:gridCol w:w="937"/>
        <w:gridCol w:w="90"/>
      </w:tblGrid>
      <w:tr w:rsidR="00F925DD" w14:paraId="5556B076" w14:textId="77777777">
        <w:tc>
          <w:tcPr>
            <w:tcW w:w="0" w:type="auto"/>
            <w:gridSpan w:val="12"/>
            <w:shd w:val="clear" w:color="auto" w:fill="auto"/>
            <w:vAlign w:val="center"/>
          </w:tcPr>
          <w:p w14:paraId="5556B075" w14:textId="77777777" w:rsidR="00F925DD" w:rsidRDefault="00F925DD">
            <w:pPr>
              <w:rPr>
                <w:rFonts w:ascii="Times New Roman" w:hAnsi="Times New Roman"/>
                <w:sz w:val="20"/>
                <w:szCs w:val="20"/>
              </w:rPr>
            </w:pPr>
          </w:p>
        </w:tc>
      </w:tr>
      <w:tr w:rsidR="00F925DD" w14:paraId="5556B083" w14:textId="77777777">
        <w:tc>
          <w:tcPr>
            <w:tcW w:w="2849" w:type="pct"/>
            <w:shd w:val="clear" w:color="auto" w:fill="auto"/>
            <w:vAlign w:val="center"/>
          </w:tcPr>
          <w:p w14:paraId="5556B077" w14:textId="77777777" w:rsidR="00F925DD" w:rsidRDefault="00F925DD">
            <w:pPr>
              <w:rPr>
                <w:rFonts w:ascii="Times New Roman" w:hAnsi="Times New Roman"/>
                <w:sz w:val="20"/>
                <w:szCs w:val="20"/>
              </w:rPr>
            </w:pPr>
          </w:p>
        </w:tc>
        <w:tc>
          <w:tcPr>
            <w:tcW w:w="50" w:type="pct"/>
            <w:shd w:val="clear" w:color="auto" w:fill="auto"/>
            <w:vAlign w:val="center"/>
          </w:tcPr>
          <w:p w14:paraId="5556B078" w14:textId="77777777" w:rsidR="00F925DD" w:rsidRDefault="00F925DD">
            <w:pPr>
              <w:rPr>
                <w:rFonts w:ascii="Times New Roman" w:hAnsi="Times New Roman"/>
                <w:sz w:val="20"/>
                <w:szCs w:val="20"/>
              </w:rPr>
            </w:pPr>
          </w:p>
        </w:tc>
        <w:tc>
          <w:tcPr>
            <w:tcW w:w="600" w:type="pct"/>
            <w:shd w:val="clear" w:color="auto" w:fill="auto"/>
            <w:vAlign w:val="center"/>
          </w:tcPr>
          <w:p w14:paraId="5556B079" w14:textId="77777777" w:rsidR="00F925DD" w:rsidRDefault="00F925DD">
            <w:pPr>
              <w:rPr>
                <w:rFonts w:ascii="Times New Roman" w:hAnsi="Times New Roman"/>
                <w:sz w:val="20"/>
                <w:szCs w:val="20"/>
              </w:rPr>
            </w:pPr>
          </w:p>
        </w:tc>
        <w:tc>
          <w:tcPr>
            <w:tcW w:w="50" w:type="pct"/>
            <w:shd w:val="clear" w:color="auto" w:fill="auto"/>
            <w:vAlign w:val="center"/>
          </w:tcPr>
          <w:p w14:paraId="5556B07A" w14:textId="77777777" w:rsidR="00F925DD" w:rsidRDefault="00F925DD">
            <w:pPr>
              <w:rPr>
                <w:rFonts w:ascii="Times New Roman" w:hAnsi="Times New Roman"/>
                <w:sz w:val="20"/>
                <w:szCs w:val="20"/>
              </w:rPr>
            </w:pPr>
          </w:p>
        </w:tc>
        <w:tc>
          <w:tcPr>
            <w:tcW w:w="50" w:type="pct"/>
            <w:shd w:val="clear" w:color="auto" w:fill="auto"/>
            <w:vAlign w:val="center"/>
          </w:tcPr>
          <w:p w14:paraId="5556B07B" w14:textId="77777777" w:rsidR="00F925DD" w:rsidRDefault="00F925DD">
            <w:pPr>
              <w:rPr>
                <w:rFonts w:ascii="Times New Roman" w:hAnsi="Times New Roman"/>
                <w:sz w:val="20"/>
                <w:szCs w:val="20"/>
              </w:rPr>
            </w:pPr>
          </w:p>
        </w:tc>
        <w:tc>
          <w:tcPr>
            <w:tcW w:w="50" w:type="pct"/>
            <w:shd w:val="clear" w:color="auto" w:fill="auto"/>
            <w:vAlign w:val="center"/>
          </w:tcPr>
          <w:p w14:paraId="5556B07C" w14:textId="77777777" w:rsidR="00F925DD" w:rsidRDefault="00F925DD">
            <w:pPr>
              <w:rPr>
                <w:rFonts w:ascii="Times New Roman" w:hAnsi="Times New Roman"/>
                <w:sz w:val="20"/>
                <w:szCs w:val="20"/>
              </w:rPr>
            </w:pPr>
          </w:p>
        </w:tc>
        <w:tc>
          <w:tcPr>
            <w:tcW w:w="550" w:type="pct"/>
            <w:shd w:val="clear" w:color="auto" w:fill="auto"/>
            <w:vAlign w:val="center"/>
          </w:tcPr>
          <w:p w14:paraId="5556B07D" w14:textId="77777777" w:rsidR="00F925DD" w:rsidRDefault="00F925DD">
            <w:pPr>
              <w:rPr>
                <w:rFonts w:ascii="Times New Roman" w:hAnsi="Times New Roman"/>
                <w:sz w:val="20"/>
                <w:szCs w:val="20"/>
              </w:rPr>
            </w:pPr>
          </w:p>
        </w:tc>
        <w:tc>
          <w:tcPr>
            <w:tcW w:w="50" w:type="pct"/>
            <w:shd w:val="clear" w:color="auto" w:fill="auto"/>
            <w:vAlign w:val="center"/>
          </w:tcPr>
          <w:p w14:paraId="5556B07E" w14:textId="77777777" w:rsidR="00F925DD" w:rsidRDefault="00F925DD">
            <w:pPr>
              <w:rPr>
                <w:rFonts w:ascii="Times New Roman" w:hAnsi="Times New Roman"/>
                <w:sz w:val="20"/>
                <w:szCs w:val="20"/>
              </w:rPr>
            </w:pPr>
          </w:p>
        </w:tc>
        <w:tc>
          <w:tcPr>
            <w:tcW w:w="50" w:type="pct"/>
            <w:shd w:val="clear" w:color="auto" w:fill="auto"/>
            <w:vAlign w:val="center"/>
          </w:tcPr>
          <w:p w14:paraId="5556B07F" w14:textId="77777777" w:rsidR="00F925DD" w:rsidRDefault="00F925DD">
            <w:pPr>
              <w:rPr>
                <w:rFonts w:ascii="Times New Roman" w:hAnsi="Times New Roman"/>
                <w:sz w:val="20"/>
                <w:szCs w:val="20"/>
              </w:rPr>
            </w:pPr>
          </w:p>
        </w:tc>
        <w:tc>
          <w:tcPr>
            <w:tcW w:w="50" w:type="pct"/>
            <w:shd w:val="clear" w:color="auto" w:fill="auto"/>
            <w:vAlign w:val="center"/>
          </w:tcPr>
          <w:p w14:paraId="5556B080" w14:textId="77777777" w:rsidR="00F925DD" w:rsidRDefault="00F925DD">
            <w:pPr>
              <w:rPr>
                <w:rFonts w:ascii="Times New Roman" w:hAnsi="Times New Roman"/>
                <w:sz w:val="20"/>
                <w:szCs w:val="20"/>
              </w:rPr>
            </w:pPr>
          </w:p>
        </w:tc>
        <w:tc>
          <w:tcPr>
            <w:tcW w:w="600" w:type="pct"/>
            <w:shd w:val="clear" w:color="auto" w:fill="auto"/>
            <w:vAlign w:val="center"/>
          </w:tcPr>
          <w:p w14:paraId="5556B081" w14:textId="77777777" w:rsidR="00F925DD" w:rsidRDefault="00F925DD">
            <w:pPr>
              <w:rPr>
                <w:rFonts w:ascii="Times New Roman" w:hAnsi="Times New Roman"/>
                <w:sz w:val="20"/>
                <w:szCs w:val="20"/>
              </w:rPr>
            </w:pPr>
          </w:p>
        </w:tc>
        <w:tc>
          <w:tcPr>
            <w:tcW w:w="50" w:type="pct"/>
            <w:shd w:val="clear" w:color="auto" w:fill="auto"/>
            <w:vAlign w:val="center"/>
          </w:tcPr>
          <w:p w14:paraId="5556B082" w14:textId="77777777" w:rsidR="00F925DD" w:rsidRDefault="00F925DD">
            <w:pPr>
              <w:rPr>
                <w:rFonts w:ascii="Times New Roman" w:hAnsi="Times New Roman"/>
                <w:sz w:val="20"/>
                <w:szCs w:val="20"/>
              </w:rPr>
            </w:pPr>
          </w:p>
        </w:tc>
      </w:tr>
      <w:tr w:rsidR="00F925DD" w14:paraId="5556B086" w14:textId="77777777">
        <w:tc>
          <w:tcPr>
            <w:tcW w:w="0" w:type="auto"/>
            <w:shd w:val="clear" w:color="auto" w:fill="auto"/>
            <w:tcMar>
              <w:top w:w="40" w:type="dxa"/>
              <w:left w:w="40" w:type="dxa"/>
              <w:bottom w:w="40" w:type="dxa"/>
              <w:right w:w="40" w:type="dxa"/>
            </w:tcMar>
            <w:vAlign w:val="bottom"/>
          </w:tcPr>
          <w:p w14:paraId="5556B0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B08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Years Ended December 31,</w:t>
            </w:r>
          </w:p>
        </w:tc>
      </w:tr>
      <w:tr w:rsidR="00F925DD" w14:paraId="5556B08D" w14:textId="77777777">
        <w:tc>
          <w:tcPr>
            <w:tcW w:w="0" w:type="auto"/>
            <w:shd w:val="clear" w:color="auto" w:fill="auto"/>
            <w:tcMar>
              <w:top w:w="40" w:type="dxa"/>
              <w:left w:w="40" w:type="dxa"/>
              <w:bottom w:w="40" w:type="dxa"/>
              <w:right w:w="40" w:type="dxa"/>
            </w:tcMar>
            <w:vAlign w:val="bottom"/>
          </w:tcPr>
          <w:p w14:paraId="5556B08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08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shd w:val="clear" w:color="auto" w:fill="auto"/>
            <w:tcMar>
              <w:top w:w="40" w:type="dxa"/>
              <w:left w:w="40" w:type="dxa"/>
              <w:bottom w:w="40" w:type="dxa"/>
              <w:right w:w="40" w:type="dxa"/>
            </w:tcMar>
            <w:vAlign w:val="bottom"/>
          </w:tcPr>
          <w:p w14:paraId="5556B0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08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2018</w:t>
            </w:r>
          </w:p>
        </w:tc>
        <w:tc>
          <w:tcPr>
            <w:tcW w:w="0" w:type="auto"/>
            <w:shd w:val="clear" w:color="auto" w:fill="auto"/>
            <w:tcMar>
              <w:top w:w="40" w:type="dxa"/>
              <w:left w:w="40" w:type="dxa"/>
              <w:bottom w:w="40" w:type="dxa"/>
              <w:right w:w="40" w:type="dxa"/>
            </w:tcMar>
            <w:vAlign w:val="bottom"/>
          </w:tcPr>
          <w:p w14:paraId="5556B0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08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2017</w:t>
            </w:r>
          </w:p>
        </w:tc>
      </w:tr>
      <w:tr w:rsidR="00F925DD" w14:paraId="5556B094" w14:textId="77777777">
        <w:tc>
          <w:tcPr>
            <w:tcW w:w="0" w:type="auto"/>
            <w:shd w:val="clear" w:color="auto" w:fill="auto"/>
            <w:tcMar>
              <w:top w:w="40" w:type="dxa"/>
              <w:left w:w="40" w:type="dxa"/>
              <w:bottom w:w="40" w:type="dxa"/>
              <w:right w:w="40" w:type="dxa"/>
            </w:tcMar>
            <w:vAlign w:val="bottom"/>
          </w:tcPr>
          <w:p w14:paraId="5556B08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Operating Activities:</w:t>
            </w:r>
          </w:p>
        </w:tc>
        <w:tc>
          <w:tcPr>
            <w:tcW w:w="0" w:type="auto"/>
            <w:gridSpan w:val="3"/>
            <w:shd w:val="clear" w:color="auto" w:fill="auto"/>
            <w:tcMar>
              <w:top w:w="40" w:type="dxa"/>
              <w:left w:w="40" w:type="dxa"/>
              <w:bottom w:w="40" w:type="dxa"/>
              <w:right w:w="40" w:type="dxa"/>
            </w:tcMar>
            <w:vAlign w:val="bottom"/>
          </w:tcPr>
          <w:p w14:paraId="5556B0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0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0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0A1" w14:textId="77777777">
        <w:tc>
          <w:tcPr>
            <w:tcW w:w="0" w:type="auto"/>
            <w:shd w:val="clear" w:color="auto" w:fill="CCEEFF"/>
            <w:tcMar>
              <w:top w:w="40" w:type="dxa"/>
              <w:left w:w="40" w:type="dxa"/>
              <w:bottom w:w="40" w:type="dxa"/>
              <w:right w:w="40" w:type="dxa"/>
            </w:tcMar>
            <w:vAlign w:val="bottom"/>
          </w:tcPr>
          <w:p w14:paraId="5556B095" w14:textId="77777777" w:rsidR="00F925DD" w:rsidRDefault="00E705D7">
            <w:pPr>
              <w:textAlignment w:val="bottom"/>
              <w:rPr>
                <w:rFonts w:ascii="Times New Roman" w:hAnsi="Times New Roman"/>
                <w:sz w:val="15"/>
                <w:szCs w:val="15"/>
              </w:rPr>
            </w:pPr>
            <w:r>
              <w:rPr>
                <w:rFonts w:ascii="Arial" w:eastAsia="宋体" w:hAnsi="Arial" w:cs="Arial"/>
                <w:sz w:val="15"/>
                <w:szCs w:val="15"/>
              </w:rPr>
              <w:t>Net income</w:t>
            </w:r>
          </w:p>
        </w:tc>
        <w:tc>
          <w:tcPr>
            <w:tcW w:w="0" w:type="auto"/>
            <w:shd w:val="clear" w:color="auto" w:fill="CCEEFF"/>
            <w:tcMar>
              <w:top w:w="40" w:type="dxa"/>
              <w:left w:w="40" w:type="dxa"/>
              <w:bottom w:w="40" w:type="dxa"/>
            </w:tcMar>
            <w:vAlign w:val="bottom"/>
          </w:tcPr>
          <w:p w14:paraId="5556B09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09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2,242</w:t>
            </w:r>
          </w:p>
        </w:tc>
        <w:tc>
          <w:tcPr>
            <w:tcW w:w="0" w:type="auto"/>
            <w:shd w:val="clear" w:color="auto" w:fill="CCEEFF"/>
            <w:vAlign w:val="bottom"/>
          </w:tcPr>
          <w:p w14:paraId="5556B09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0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09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09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2,593</w:t>
            </w:r>
          </w:p>
        </w:tc>
        <w:tc>
          <w:tcPr>
            <w:tcW w:w="0" w:type="auto"/>
            <w:shd w:val="clear" w:color="auto" w:fill="CCEEFF"/>
            <w:vAlign w:val="bottom"/>
          </w:tcPr>
          <w:p w14:paraId="5556B0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0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09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09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2,156</w:t>
            </w:r>
          </w:p>
        </w:tc>
        <w:tc>
          <w:tcPr>
            <w:tcW w:w="0" w:type="auto"/>
            <w:shd w:val="clear" w:color="auto" w:fill="CCEEFF"/>
            <w:vAlign w:val="bottom"/>
          </w:tcPr>
          <w:p w14:paraId="5556B0A0" w14:textId="77777777" w:rsidR="00F925DD" w:rsidRDefault="00F925DD">
            <w:pPr>
              <w:textAlignment w:val="bottom"/>
              <w:rPr>
                <w:rFonts w:ascii="Times New Roman" w:hAnsi="Times New Roman"/>
                <w:sz w:val="20"/>
                <w:szCs w:val="20"/>
              </w:rPr>
            </w:pPr>
          </w:p>
        </w:tc>
      </w:tr>
      <w:tr w:rsidR="00F925DD" w14:paraId="5556B0A8" w14:textId="77777777">
        <w:tc>
          <w:tcPr>
            <w:tcW w:w="0" w:type="auto"/>
            <w:shd w:val="clear" w:color="auto" w:fill="auto"/>
            <w:tcMar>
              <w:top w:w="40" w:type="dxa"/>
              <w:left w:w="40" w:type="dxa"/>
              <w:bottom w:w="40" w:type="dxa"/>
              <w:right w:w="40" w:type="dxa"/>
            </w:tcMar>
            <w:vAlign w:val="bottom"/>
          </w:tcPr>
          <w:p w14:paraId="5556B0A2" w14:textId="77777777" w:rsidR="00F925DD" w:rsidRDefault="00E705D7">
            <w:pPr>
              <w:textAlignment w:val="bottom"/>
              <w:rPr>
                <w:rFonts w:ascii="Times New Roman" w:hAnsi="Times New Roman"/>
                <w:sz w:val="15"/>
                <w:szCs w:val="15"/>
              </w:rPr>
            </w:pPr>
            <w:r>
              <w:rPr>
                <w:rFonts w:ascii="Arial" w:eastAsia="宋体" w:hAnsi="Arial" w:cs="Arial"/>
                <w:sz w:val="15"/>
                <w:szCs w:val="15"/>
              </w:rPr>
              <w:t>Adjustments to reconcile net income to net cash provided by operating activities:</w:t>
            </w:r>
          </w:p>
        </w:tc>
        <w:tc>
          <w:tcPr>
            <w:tcW w:w="0" w:type="auto"/>
            <w:gridSpan w:val="3"/>
            <w:shd w:val="clear" w:color="auto" w:fill="auto"/>
            <w:tcMar>
              <w:top w:w="40" w:type="dxa"/>
              <w:left w:w="40" w:type="dxa"/>
              <w:bottom w:w="40" w:type="dxa"/>
              <w:right w:w="40" w:type="dxa"/>
            </w:tcMar>
            <w:vAlign w:val="bottom"/>
          </w:tcPr>
          <w:p w14:paraId="5556B0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0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0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0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0B2" w14:textId="77777777">
        <w:tc>
          <w:tcPr>
            <w:tcW w:w="0" w:type="auto"/>
            <w:shd w:val="clear" w:color="auto" w:fill="CCEEFF"/>
            <w:tcMar>
              <w:top w:w="40" w:type="dxa"/>
              <w:left w:w="40" w:type="dxa"/>
              <w:bottom w:w="40" w:type="dxa"/>
              <w:right w:w="40" w:type="dxa"/>
            </w:tcMar>
            <w:vAlign w:val="bottom"/>
          </w:tcPr>
          <w:p w14:paraId="5556B0A9" w14:textId="77777777" w:rsidR="00F925DD" w:rsidRDefault="00E705D7">
            <w:pPr>
              <w:textAlignment w:val="bottom"/>
              <w:rPr>
                <w:rFonts w:ascii="Times New Roman" w:hAnsi="Times New Roman"/>
                <w:sz w:val="15"/>
                <w:szCs w:val="15"/>
              </w:rPr>
            </w:pPr>
            <w:r>
              <w:rPr>
                <w:rFonts w:ascii="Arial" w:eastAsia="宋体" w:hAnsi="Arial" w:cs="Arial"/>
                <w:sz w:val="15"/>
                <w:szCs w:val="15"/>
              </w:rPr>
              <w:t>Deferred income tax expense (benefit)</w:t>
            </w:r>
          </w:p>
        </w:tc>
        <w:tc>
          <w:tcPr>
            <w:tcW w:w="0" w:type="auto"/>
            <w:gridSpan w:val="2"/>
            <w:shd w:val="clear" w:color="auto" w:fill="CCEEFF"/>
            <w:tcMar>
              <w:top w:w="40" w:type="dxa"/>
              <w:left w:w="40" w:type="dxa"/>
              <w:bottom w:w="40" w:type="dxa"/>
            </w:tcMar>
            <w:vAlign w:val="bottom"/>
          </w:tcPr>
          <w:p w14:paraId="5556B0A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(130</w:t>
            </w:r>
          </w:p>
        </w:tc>
        <w:tc>
          <w:tcPr>
            <w:tcW w:w="0" w:type="auto"/>
            <w:shd w:val="clear" w:color="auto" w:fill="CCEEFF"/>
            <w:tcMar>
              <w:top w:w="40" w:type="dxa"/>
              <w:bottom w:w="40" w:type="dxa"/>
              <w:right w:w="40" w:type="dxa"/>
            </w:tcMar>
            <w:vAlign w:val="bottom"/>
          </w:tcPr>
          <w:p w14:paraId="5556B0A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0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A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(136</w:t>
            </w:r>
          </w:p>
        </w:tc>
        <w:tc>
          <w:tcPr>
            <w:tcW w:w="0" w:type="auto"/>
            <w:shd w:val="clear" w:color="auto" w:fill="CCEEFF"/>
            <w:tcMar>
              <w:top w:w="40" w:type="dxa"/>
              <w:bottom w:w="40" w:type="dxa"/>
              <w:right w:w="40" w:type="dxa"/>
            </w:tcMar>
            <w:vAlign w:val="bottom"/>
          </w:tcPr>
          <w:p w14:paraId="5556B0A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0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B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92</w:t>
            </w:r>
          </w:p>
        </w:tc>
        <w:tc>
          <w:tcPr>
            <w:tcW w:w="0" w:type="auto"/>
            <w:shd w:val="clear" w:color="auto" w:fill="CCEEFF"/>
            <w:vAlign w:val="bottom"/>
          </w:tcPr>
          <w:p w14:paraId="5556B0B1" w14:textId="77777777" w:rsidR="00F925DD" w:rsidRDefault="00F925DD">
            <w:pPr>
              <w:textAlignment w:val="bottom"/>
              <w:rPr>
                <w:rFonts w:ascii="Times New Roman" w:hAnsi="Times New Roman"/>
                <w:sz w:val="20"/>
                <w:szCs w:val="20"/>
              </w:rPr>
            </w:pPr>
          </w:p>
        </w:tc>
      </w:tr>
      <w:tr w:rsidR="00F925DD" w14:paraId="5556B0BC" w14:textId="77777777">
        <w:tc>
          <w:tcPr>
            <w:tcW w:w="0" w:type="auto"/>
            <w:shd w:val="clear" w:color="auto" w:fill="auto"/>
            <w:tcMar>
              <w:top w:w="40" w:type="dxa"/>
              <w:left w:w="40" w:type="dxa"/>
              <w:bottom w:w="40" w:type="dxa"/>
              <w:right w:w="40" w:type="dxa"/>
            </w:tcMar>
            <w:vAlign w:val="bottom"/>
          </w:tcPr>
          <w:p w14:paraId="5556B0B3" w14:textId="77777777" w:rsidR="00F925DD" w:rsidRDefault="00E705D7">
            <w:pPr>
              <w:textAlignment w:val="bottom"/>
              <w:rPr>
                <w:rFonts w:ascii="Times New Roman" w:hAnsi="Times New Roman"/>
                <w:sz w:val="15"/>
                <w:szCs w:val="15"/>
              </w:rPr>
            </w:pPr>
            <w:r>
              <w:rPr>
                <w:rFonts w:ascii="Arial" w:eastAsia="宋体" w:hAnsi="Arial" w:cs="Arial"/>
                <w:sz w:val="15"/>
                <w:szCs w:val="15"/>
              </w:rPr>
              <w:t>Amortization of other intangible assets</w:t>
            </w:r>
          </w:p>
        </w:tc>
        <w:tc>
          <w:tcPr>
            <w:tcW w:w="0" w:type="auto"/>
            <w:gridSpan w:val="2"/>
            <w:shd w:val="clear" w:color="auto" w:fill="auto"/>
            <w:tcMar>
              <w:top w:w="40" w:type="dxa"/>
              <w:left w:w="40" w:type="dxa"/>
              <w:bottom w:w="40" w:type="dxa"/>
            </w:tcMar>
            <w:vAlign w:val="bottom"/>
          </w:tcPr>
          <w:p w14:paraId="5556B0B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236</w:t>
            </w:r>
          </w:p>
        </w:tc>
        <w:tc>
          <w:tcPr>
            <w:tcW w:w="0" w:type="auto"/>
            <w:shd w:val="clear" w:color="auto" w:fill="auto"/>
            <w:vAlign w:val="bottom"/>
          </w:tcPr>
          <w:p w14:paraId="5556B0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B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226</w:t>
            </w:r>
          </w:p>
        </w:tc>
        <w:tc>
          <w:tcPr>
            <w:tcW w:w="0" w:type="auto"/>
            <w:shd w:val="clear" w:color="auto" w:fill="auto"/>
            <w:vAlign w:val="bottom"/>
          </w:tcPr>
          <w:p w14:paraId="5556B0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B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214</w:t>
            </w:r>
          </w:p>
        </w:tc>
        <w:tc>
          <w:tcPr>
            <w:tcW w:w="0" w:type="auto"/>
            <w:shd w:val="clear" w:color="auto" w:fill="auto"/>
            <w:vAlign w:val="bottom"/>
          </w:tcPr>
          <w:p w14:paraId="5556B0BB" w14:textId="77777777" w:rsidR="00F925DD" w:rsidRDefault="00F925DD">
            <w:pPr>
              <w:textAlignment w:val="bottom"/>
              <w:rPr>
                <w:rFonts w:ascii="Times New Roman" w:hAnsi="Times New Roman"/>
                <w:sz w:val="20"/>
                <w:szCs w:val="20"/>
              </w:rPr>
            </w:pPr>
          </w:p>
        </w:tc>
      </w:tr>
      <w:tr w:rsidR="00F925DD" w14:paraId="5556B0C6" w14:textId="77777777">
        <w:tc>
          <w:tcPr>
            <w:tcW w:w="0" w:type="auto"/>
            <w:shd w:val="clear" w:color="auto" w:fill="CCEEFF"/>
            <w:tcMar>
              <w:top w:w="40" w:type="dxa"/>
              <w:left w:w="40" w:type="dxa"/>
              <w:bottom w:w="40" w:type="dxa"/>
              <w:right w:w="40" w:type="dxa"/>
            </w:tcMar>
            <w:vAlign w:val="bottom"/>
          </w:tcPr>
          <w:p w14:paraId="5556B0BD"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non-cash adjustments for depreciation, amortization and accretion, net</w:t>
            </w:r>
          </w:p>
        </w:tc>
        <w:tc>
          <w:tcPr>
            <w:tcW w:w="0" w:type="auto"/>
            <w:gridSpan w:val="2"/>
            <w:shd w:val="clear" w:color="auto" w:fill="CCEEFF"/>
            <w:tcMar>
              <w:top w:w="40" w:type="dxa"/>
              <w:left w:w="40" w:type="dxa"/>
              <w:bottom w:w="40" w:type="dxa"/>
            </w:tcMar>
            <w:vAlign w:val="bottom"/>
          </w:tcPr>
          <w:p w14:paraId="5556B0B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1,101</w:t>
            </w:r>
          </w:p>
        </w:tc>
        <w:tc>
          <w:tcPr>
            <w:tcW w:w="0" w:type="auto"/>
            <w:shd w:val="clear" w:color="auto" w:fill="CCEEFF"/>
            <w:vAlign w:val="bottom"/>
          </w:tcPr>
          <w:p w14:paraId="5556B0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0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C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977</w:t>
            </w:r>
          </w:p>
        </w:tc>
        <w:tc>
          <w:tcPr>
            <w:tcW w:w="0" w:type="auto"/>
            <w:shd w:val="clear" w:color="auto" w:fill="CCEEFF"/>
            <w:vAlign w:val="bottom"/>
          </w:tcPr>
          <w:p w14:paraId="5556B0C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0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C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871</w:t>
            </w:r>
          </w:p>
        </w:tc>
        <w:tc>
          <w:tcPr>
            <w:tcW w:w="0" w:type="auto"/>
            <w:shd w:val="clear" w:color="auto" w:fill="CCEEFF"/>
            <w:vAlign w:val="bottom"/>
          </w:tcPr>
          <w:p w14:paraId="5556B0C5" w14:textId="77777777" w:rsidR="00F925DD" w:rsidRDefault="00F925DD">
            <w:pPr>
              <w:textAlignment w:val="bottom"/>
              <w:rPr>
                <w:rFonts w:ascii="Times New Roman" w:hAnsi="Times New Roman"/>
                <w:sz w:val="20"/>
                <w:szCs w:val="20"/>
              </w:rPr>
            </w:pPr>
          </w:p>
        </w:tc>
      </w:tr>
      <w:tr w:rsidR="00F925DD" w14:paraId="5556B0D0" w14:textId="77777777">
        <w:tc>
          <w:tcPr>
            <w:tcW w:w="0" w:type="auto"/>
            <w:shd w:val="clear" w:color="auto" w:fill="auto"/>
            <w:tcMar>
              <w:top w:w="40" w:type="dxa"/>
              <w:left w:w="40" w:type="dxa"/>
              <w:bottom w:w="40" w:type="dxa"/>
              <w:right w:w="40" w:type="dxa"/>
            </w:tcMar>
            <w:vAlign w:val="bottom"/>
          </w:tcPr>
          <w:p w14:paraId="5556B0C7" w14:textId="77777777" w:rsidR="00F925DD" w:rsidRDefault="00E705D7">
            <w:pPr>
              <w:textAlignment w:val="bottom"/>
              <w:rPr>
                <w:rFonts w:ascii="Times New Roman" w:hAnsi="Times New Roman"/>
                <w:sz w:val="15"/>
                <w:szCs w:val="15"/>
              </w:rPr>
            </w:pPr>
            <w:r>
              <w:rPr>
                <w:rFonts w:ascii="Arial" w:eastAsia="宋体" w:hAnsi="Arial" w:cs="Arial"/>
                <w:sz w:val="15"/>
                <w:szCs w:val="15"/>
              </w:rPr>
              <w:t>Losses (gains) related to investment securities, net</w:t>
            </w:r>
          </w:p>
        </w:tc>
        <w:tc>
          <w:tcPr>
            <w:tcW w:w="0" w:type="auto"/>
            <w:gridSpan w:val="2"/>
            <w:shd w:val="clear" w:color="auto" w:fill="auto"/>
            <w:tcMar>
              <w:top w:w="40" w:type="dxa"/>
              <w:left w:w="40" w:type="dxa"/>
              <w:bottom w:w="40" w:type="dxa"/>
            </w:tcMar>
            <w:vAlign w:val="bottom"/>
          </w:tcPr>
          <w:p w14:paraId="5556B0C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B0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C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auto"/>
            <w:tcMar>
              <w:top w:w="40" w:type="dxa"/>
              <w:bottom w:w="40" w:type="dxa"/>
              <w:right w:w="40" w:type="dxa"/>
            </w:tcMar>
            <w:vAlign w:val="bottom"/>
          </w:tcPr>
          <w:p w14:paraId="5556B0C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0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C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39</w:t>
            </w:r>
          </w:p>
        </w:tc>
        <w:tc>
          <w:tcPr>
            <w:tcW w:w="0" w:type="auto"/>
            <w:shd w:val="clear" w:color="auto" w:fill="auto"/>
            <w:vAlign w:val="bottom"/>
          </w:tcPr>
          <w:p w14:paraId="5556B0CF" w14:textId="77777777" w:rsidR="00F925DD" w:rsidRDefault="00F925DD">
            <w:pPr>
              <w:textAlignment w:val="bottom"/>
              <w:rPr>
                <w:rFonts w:ascii="Times New Roman" w:hAnsi="Times New Roman"/>
                <w:sz w:val="20"/>
                <w:szCs w:val="20"/>
              </w:rPr>
            </w:pPr>
          </w:p>
        </w:tc>
      </w:tr>
      <w:tr w:rsidR="00F925DD" w14:paraId="5556B0DA" w14:textId="77777777">
        <w:tc>
          <w:tcPr>
            <w:tcW w:w="0" w:type="auto"/>
            <w:shd w:val="clear" w:color="auto" w:fill="CCEEFF"/>
            <w:tcMar>
              <w:top w:w="40" w:type="dxa"/>
              <w:left w:w="40" w:type="dxa"/>
              <w:bottom w:w="40" w:type="dxa"/>
              <w:right w:w="40" w:type="dxa"/>
            </w:tcMar>
            <w:vAlign w:val="bottom"/>
          </w:tcPr>
          <w:p w14:paraId="5556B0D1"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Change in trading </w:t>
            </w:r>
            <w:r>
              <w:rPr>
                <w:rFonts w:ascii="Arial" w:eastAsia="宋体" w:hAnsi="Arial" w:cs="Arial"/>
                <w:sz w:val="15"/>
                <w:szCs w:val="15"/>
              </w:rPr>
              <w:t>account assets, net</w:t>
            </w:r>
          </w:p>
        </w:tc>
        <w:tc>
          <w:tcPr>
            <w:tcW w:w="0" w:type="auto"/>
            <w:gridSpan w:val="2"/>
            <w:shd w:val="clear" w:color="auto" w:fill="CCEEFF"/>
            <w:tcMar>
              <w:top w:w="40" w:type="dxa"/>
              <w:left w:w="40" w:type="dxa"/>
              <w:bottom w:w="40" w:type="dxa"/>
            </w:tcMar>
            <w:vAlign w:val="bottom"/>
          </w:tcPr>
          <w:p w14:paraId="5556B0D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(54</w:t>
            </w:r>
          </w:p>
        </w:tc>
        <w:tc>
          <w:tcPr>
            <w:tcW w:w="0" w:type="auto"/>
            <w:shd w:val="clear" w:color="auto" w:fill="CCEEFF"/>
            <w:tcMar>
              <w:top w:w="40" w:type="dxa"/>
              <w:bottom w:w="40" w:type="dxa"/>
              <w:right w:w="40" w:type="dxa"/>
            </w:tcMar>
            <w:vAlign w:val="bottom"/>
          </w:tcPr>
          <w:p w14:paraId="5556B0D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0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D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233</w:t>
            </w:r>
          </w:p>
        </w:tc>
        <w:tc>
          <w:tcPr>
            <w:tcW w:w="0" w:type="auto"/>
            <w:shd w:val="clear" w:color="auto" w:fill="CCEEFF"/>
            <w:vAlign w:val="bottom"/>
          </w:tcPr>
          <w:p w14:paraId="5556B0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0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D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(69</w:t>
            </w:r>
          </w:p>
        </w:tc>
        <w:tc>
          <w:tcPr>
            <w:tcW w:w="0" w:type="auto"/>
            <w:shd w:val="clear" w:color="auto" w:fill="CCEEFF"/>
            <w:tcMar>
              <w:top w:w="40" w:type="dxa"/>
              <w:bottom w:w="40" w:type="dxa"/>
              <w:right w:w="40" w:type="dxa"/>
            </w:tcMar>
            <w:vAlign w:val="bottom"/>
          </w:tcPr>
          <w:p w14:paraId="5556B0D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0E4" w14:textId="77777777">
        <w:tc>
          <w:tcPr>
            <w:tcW w:w="0" w:type="auto"/>
            <w:shd w:val="clear" w:color="auto" w:fill="auto"/>
            <w:tcMar>
              <w:top w:w="40" w:type="dxa"/>
              <w:left w:w="40" w:type="dxa"/>
              <w:bottom w:w="40" w:type="dxa"/>
              <w:right w:w="40" w:type="dxa"/>
            </w:tcMar>
            <w:vAlign w:val="bottom"/>
          </w:tcPr>
          <w:p w14:paraId="5556B0DB" w14:textId="77777777" w:rsidR="00F925DD" w:rsidRDefault="00E705D7">
            <w:pPr>
              <w:textAlignment w:val="bottom"/>
              <w:rPr>
                <w:rFonts w:ascii="Times New Roman" w:hAnsi="Times New Roman"/>
                <w:sz w:val="15"/>
                <w:szCs w:val="15"/>
              </w:rPr>
            </w:pPr>
            <w:r>
              <w:rPr>
                <w:rFonts w:ascii="Arial" w:eastAsia="宋体" w:hAnsi="Arial" w:cs="Arial"/>
                <w:sz w:val="15"/>
                <w:szCs w:val="15"/>
              </w:rPr>
              <w:t>Change in accrued interest and fees receivable, net</w:t>
            </w:r>
          </w:p>
        </w:tc>
        <w:tc>
          <w:tcPr>
            <w:tcW w:w="0" w:type="auto"/>
            <w:gridSpan w:val="2"/>
            <w:shd w:val="clear" w:color="auto" w:fill="auto"/>
            <w:tcMar>
              <w:top w:w="40" w:type="dxa"/>
              <w:left w:w="40" w:type="dxa"/>
              <w:bottom w:w="40" w:type="dxa"/>
            </w:tcMar>
            <w:vAlign w:val="bottom"/>
          </w:tcPr>
          <w:p w14:paraId="5556B0D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w:t>
            </w:r>
          </w:p>
        </w:tc>
        <w:tc>
          <w:tcPr>
            <w:tcW w:w="0" w:type="auto"/>
            <w:shd w:val="clear" w:color="auto" w:fill="auto"/>
            <w:tcMar>
              <w:top w:w="40" w:type="dxa"/>
              <w:bottom w:w="40" w:type="dxa"/>
              <w:right w:w="40" w:type="dxa"/>
            </w:tcMar>
            <w:vAlign w:val="bottom"/>
          </w:tcPr>
          <w:p w14:paraId="5556B0D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0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D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shd w:val="clear" w:color="auto" w:fill="auto"/>
            <w:vAlign w:val="bottom"/>
          </w:tcPr>
          <w:p w14:paraId="5556B0E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E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(455</w:t>
            </w:r>
          </w:p>
        </w:tc>
        <w:tc>
          <w:tcPr>
            <w:tcW w:w="0" w:type="auto"/>
            <w:shd w:val="clear" w:color="auto" w:fill="auto"/>
            <w:tcMar>
              <w:top w:w="40" w:type="dxa"/>
              <w:bottom w:w="40" w:type="dxa"/>
              <w:right w:w="40" w:type="dxa"/>
            </w:tcMar>
            <w:vAlign w:val="bottom"/>
          </w:tcPr>
          <w:p w14:paraId="5556B0E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0EE" w14:textId="77777777">
        <w:tc>
          <w:tcPr>
            <w:tcW w:w="0" w:type="auto"/>
            <w:shd w:val="clear" w:color="auto" w:fill="CCEEFF"/>
            <w:tcMar>
              <w:top w:w="40" w:type="dxa"/>
              <w:left w:w="40" w:type="dxa"/>
              <w:bottom w:w="40" w:type="dxa"/>
              <w:right w:w="40" w:type="dxa"/>
            </w:tcMar>
            <w:vAlign w:val="bottom"/>
          </w:tcPr>
          <w:p w14:paraId="5556B0E5" w14:textId="77777777" w:rsidR="00F925DD" w:rsidRDefault="00E705D7">
            <w:pPr>
              <w:textAlignment w:val="bottom"/>
              <w:rPr>
                <w:rFonts w:ascii="Times New Roman" w:hAnsi="Times New Roman"/>
                <w:sz w:val="15"/>
                <w:szCs w:val="15"/>
              </w:rPr>
            </w:pPr>
            <w:r>
              <w:rPr>
                <w:rFonts w:ascii="Arial" w:eastAsia="宋体" w:hAnsi="Arial" w:cs="Arial"/>
                <w:sz w:val="15"/>
                <w:szCs w:val="15"/>
              </w:rPr>
              <w:t>Change in collateral deposits, net</w:t>
            </w:r>
          </w:p>
        </w:tc>
        <w:tc>
          <w:tcPr>
            <w:tcW w:w="0" w:type="auto"/>
            <w:gridSpan w:val="2"/>
            <w:shd w:val="clear" w:color="auto" w:fill="CCEEFF"/>
            <w:tcMar>
              <w:top w:w="40" w:type="dxa"/>
              <w:left w:w="40" w:type="dxa"/>
              <w:bottom w:w="40" w:type="dxa"/>
            </w:tcMar>
            <w:vAlign w:val="bottom"/>
          </w:tcPr>
          <w:p w14:paraId="5556B0E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287</w:t>
            </w:r>
          </w:p>
        </w:tc>
        <w:tc>
          <w:tcPr>
            <w:tcW w:w="0" w:type="auto"/>
            <w:shd w:val="clear" w:color="auto" w:fill="CCEEFF"/>
            <w:vAlign w:val="bottom"/>
          </w:tcPr>
          <w:p w14:paraId="5556B0E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0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E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7,326</w:t>
            </w:r>
          </w:p>
        </w:tc>
        <w:tc>
          <w:tcPr>
            <w:tcW w:w="0" w:type="auto"/>
            <w:shd w:val="clear" w:color="auto" w:fill="CCEEFF"/>
            <w:vAlign w:val="bottom"/>
          </w:tcPr>
          <w:p w14:paraId="5556B0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0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E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1,819</w:t>
            </w:r>
          </w:p>
        </w:tc>
        <w:tc>
          <w:tcPr>
            <w:tcW w:w="0" w:type="auto"/>
            <w:shd w:val="clear" w:color="auto" w:fill="CCEEFF"/>
            <w:vAlign w:val="bottom"/>
          </w:tcPr>
          <w:p w14:paraId="5556B0ED" w14:textId="77777777" w:rsidR="00F925DD" w:rsidRDefault="00F925DD">
            <w:pPr>
              <w:textAlignment w:val="bottom"/>
              <w:rPr>
                <w:rFonts w:ascii="Times New Roman" w:hAnsi="Times New Roman"/>
                <w:sz w:val="20"/>
                <w:szCs w:val="20"/>
              </w:rPr>
            </w:pPr>
          </w:p>
        </w:tc>
      </w:tr>
      <w:tr w:rsidR="00F925DD" w14:paraId="5556B0F8" w14:textId="77777777">
        <w:tc>
          <w:tcPr>
            <w:tcW w:w="0" w:type="auto"/>
            <w:shd w:val="clear" w:color="auto" w:fill="auto"/>
            <w:tcMar>
              <w:top w:w="40" w:type="dxa"/>
              <w:left w:w="40" w:type="dxa"/>
              <w:bottom w:w="40" w:type="dxa"/>
              <w:right w:w="40" w:type="dxa"/>
            </w:tcMar>
            <w:vAlign w:val="bottom"/>
          </w:tcPr>
          <w:p w14:paraId="5556B0EF" w14:textId="77777777" w:rsidR="00F925DD" w:rsidRDefault="00E705D7">
            <w:pPr>
              <w:textAlignment w:val="bottom"/>
              <w:rPr>
                <w:rFonts w:ascii="Times New Roman" w:hAnsi="Times New Roman"/>
                <w:sz w:val="15"/>
                <w:szCs w:val="15"/>
              </w:rPr>
            </w:pPr>
            <w:r>
              <w:rPr>
                <w:rFonts w:ascii="Arial" w:eastAsia="宋体" w:hAnsi="Arial" w:cs="Arial"/>
                <w:sz w:val="15"/>
                <w:szCs w:val="15"/>
              </w:rPr>
              <w:t>Change in unrealized losses (gains) on foreign exchange derivatives, net</w:t>
            </w:r>
          </w:p>
        </w:tc>
        <w:tc>
          <w:tcPr>
            <w:tcW w:w="0" w:type="auto"/>
            <w:gridSpan w:val="2"/>
            <w:shd w:val="clear" w:color="auto" w:fill="auto"/>
            <w:tcMar>
              <w:top w:w="40" w:type="dxa"/>
              <w:left w:w="40" w:type="dxa"/>
              <w:bottom w:w="40" w:type="dxa"/>
            </w:tcMar>
            <w:vAlign w:val="bottom"/>
          </w:tcPr>
          <w:p w14:paraId="5556B0F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2,034</w:t>
            </w:r>
          </w:p>
        </w:tc>
        <w:tc>
          <w:tcPr>
            <w:tcW w:w="0" w:type="auto"/>
            <w:shd w:val="clear" w:color="auto" w:fill="auto"/>
            <w:vAlign w:val="bottom"/>
          </w:tcPr>
          <w:p w14:paraId="5556B0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0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F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(1,836</w:t>
            </w:r>
          </w:p>
        </w:tc>
        <w:tc>
          <w:tcPr>
            <w:tcW w:w="0" w:type="auto"/>
            <w:shd w:val="clear" w:color="auto" w:fill="auto"/>
            <w:tcMar>
              <w:top w:w="40" w:type="dxa"/>
              <w:bottom w:w="40" w:type="dxa"/>
              <w:right w:w="40" w:type="dxa"/>
            </w:tcMar>
            <w:vAlign w:val="bottom"/>
          </w:tcPr>
          <w:p w14:paraId="5556B0F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0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0F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3,267</w:t>
            </w:r>
          </w:p>
        </w:tc>
        <w:tc>
          <w:tcPr>
            <w:tcW w:w="0" w:type="auto"/>
            <w:shd w:val="clear" w:color="auto" w:fill="auto"/>
            <w:vAlign w:val="bottom"/>
          </w:tcPr>
          <w:p w14:paraId="5556B0F7" w14:textId="77777777" w:rsidR="00F925DD" w:rsidRDefault="00F925DD">
            <w:pPr>
              <w:textAlignment w:val="bottom"/>
              <w:rPr>
                <w:rFonts w:ascii="Times New Roman" w:hAnsi="Times New Roman"/>
                <w:sz w:val="20"/>
                <w:szCs w:val="20"/>
              </w:rPr>
            </w:pPr>
          </w:p>
        </w:tc>
      </w:tr>
      <w:tr w:rsidR="00F925DD" w14:paraId="5556B102" w14:textId="77777777">
        <w:tc>
          <w:tcPr>
            <w:tcW w:w="0" w:type="auto"/>
            <w:shd w:val="clear" w:color="auto" w:fill="CCEEFF"/>
            <w:tcMar>
              <w:top w:w="40" w:type="dxa"/>
              <w:left w:w="40" w:type="dxa"/>
              <w:bottom w:w="40" w:type="dxa"/>
              <w:right w:w="40" w:type="dxa"/>
            </w:tcMar>
            <w:vAlign w:val="bottom"/>
          </w:tcPr>
          <w:p w14:paraId="5556B0F9" w14:textId="77777777" w:rsidR="00F925DD" w:rsidRDefault="00E705D7">
            <w:pPr>
              <w:textAlignment w:val="bottom"/>
              <w:rPr>
                <w:rFonts w:ascii="Times New Roman" w:hAnsi="Times New Roman"/>
                <w:sz w:val="15"/>
                <w:szCs w:val="15"/>
              </w:rPr>
            </w:pPr>
            <w:r>
              <w:rPr>
                <w:rFonts w:ascii="Arial" w:eastAsia="宋体" w:hAnsi="Arial" w:cs="Arial"/>
                <w:sz w:val="15"/>
                <w:szCs w:val="15"/>
              </w:rPr>
              <w:t>Change in other assets, net</w:t>
            </w:r>
          </w:p>
        </w:tc>
        <w:tc>
          <w:tcPr>
            <w:tcW w:w="0" w:type="auto"/>
            <w:gridSpan w:val="2"/>
            <w:shd w:val="clear" w:color="auto" w:fill="CCEEFF"/>
            <w:tcMar>
              <w:top w:w="40" w:type="dxa"/>
              <w:left w:w="40" w:type="dxa"/>
              <w:bottom w:w="40" w:type="dxa"/>
            </w:tcMar>
            <w:vAlign w:val="bottom"/>
          </w:tcPr>
          <w:p w14:paraId="5556B0F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(713</w:t>
            </w:r>
          </w:p>
        </w:tc>
        <w:tc>
          <w:tcPr>
            <w:tcW w:w="0" w:type="auto"/>
            <w:shd w:val="clear" w:color="auto" w:fill="CCEEFF"/>
            <w:tcMar>
              <w:top w:w="40" w:type="dxa"/>
              <w:bottom w:w="40" w:type="dxa"/>
              <w:right w:w="40" w:type="dxa"/>
            </w:tcMar>
            <w:vAlign w:val="bottom"/>
          </w:tcPr>
          <w:p w14:paraId="5556B0F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0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0F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w:t>
            </w:r>
          </w:p>
        </w:tc>
        <w:tc>
          <w:tcPr>
            <w:tcW w:w="0" w:type="auto"/>
            <w:shd w:val="clear" w:color="auto" w:fill="CCEEFF"/>
            <w:tcMar>
              <w:top w:w="40" w:type="dxa"/>
              <w:bottom w:w="40" w:type="dxa"/>
              <w:right w:w="40" w:type="dxa"/>
            </w:tcMar>
            <w:vAlign w:val="bottom"/>
          </w:tcPr>
          <w:p w14:paraId="5556B0F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0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0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(1,334</w:t>
            </w:r>
          </w:p>
        </w:tc>
        <w:tc>
          <w:tcPr>
            <w:tcW w:w="0" w:type="auto"/>
            <w:shd w:val="clear" w:color="auto" w:fill="CCEEFF"/>
            <w:tcMar>
              <w:top w:w="40" w:type="dxa"/>
              <w:bottom w:w="40" w:type="dxa"/>
              <w:right w:w="40" w:type="dxa"/>
            </w:tcMar>
            <w:vAlign w:val="bottom"/>
          </w:tcPr>
          <w:p w14:paraId="5556B10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10C" w14:textId="77777777">
        <w:tc>
          <w:tcPr>
            <w:tcW w:w="0" w:type="auto"/>
            <w:shd w:val="clear" w:color="auto" w:fill="auto"/>
            <w:tcMar>
              <w:top w:w="40" w:type="dxa"/>
              <w:left w:w="40" w:type="dxa"/>
              <w:bottom w:w="40" w:type="dxa"/>
              <w:right w:w="40" w:type="dxa"/>
            </w:tcMar>
            <w:vAlign w:val="bottom"/>
          </w:tcPr>
          <w:p w14:paraId="5556B103" w14:textId="77777777" w:rsidR="00F925DD" w:rsidRDefault="00E705D7">
            <w:pPr>
              <w:textAlignment w:val="bottom"/>
              <w:rPr>
                <w:rFonts w:ascii="Times New Roman" w:hAnsi="Times New Roman"/>
                <w:sz w:val="15"/>
                <w:szCs w:val="15"/>
              </w:rPr>
            </w:pPr>
            <w:r>
              <w:rPr>
                <w:rFonts w:ascii="Arial" w:eastAsia="宋体" w:hAnsi="Arial" w:cs="Arial"/>
                <w:sz w:val="15"/>
                <w:szCs w:val="15"/>
              </w:rPr>
              <w:t>Change in accrued expenses and other liabilities, net</w:t>
            </w:r>
          </w:p>
        </w:tc>
        <w:tc>
          <w:tcPr>
            <w:tcW w:w="0" w:type="auto"/>
            <w:gridSpan w:val="2"/>
            <w:shd w:val="clear" w:color="auto" w:fill="auto"/>
            <w:tcMar>
              <w:top w:w="40" w:type="dxa"/>
              <w:left w:w="40" w:type="dxa"/>
              <w:bottom w:w="40" w:type="dxa"/>
            </w:tcMar>
            <w:vAlign w:val="bottom"/>
          </w:tcPr>
          <w:p w14:paraId="5556B10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294</w:t>
            </w:r>
          </w:p>
        </w:tc>
        <w:tc>
          <w:tcPr>
            <w:tcW w:w="0" w:type="auto"/>
            <w:shd w:val="clear" w:color="auto" w:fill="auto"/>
            <w:vAlign w:val="bottom"/>
          </w:tcPr>
          <w:p w14:paraId="5556B10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0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394</w:t>
            </w:r>
          </w:p>
        </w:tc>
        <w:tc>
          <w:tcPr>
            <w:tcW w:w="0" w:type="auto"/>
            <w:shd w:val="clear" w:color="auto" w:fill="auto"/>
            <w:vAlign w:val="bottom"/>
          </w:tcPr>
          <w:p w14:paraId="5556B10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0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w:t>
            </w:r>
          </w:p>
        </w:tc>
        <w:tc>
          <w:tcPr>
            <w:tcW w:w="0" w:type="auto"/>
            <w:shd w:val="clear" w:color="auto" w:fill="auto"/>
            <w:vAlign w:val="bottom"/>
          </w:tcPr>
          <w:p w14:paraId="5556B10B" w14:textId="77777777" w:rsidR="00F925DD" w:rsidRDefault="00F925DD">
            <w:pPr>
              <w:textAlignment w:val="bottom"/>
              <w:rPr>
                <w:rFonts w:ascii="Times New Roman" w:hAnsi="Times New Roman"/>
                <w:sz w:val="20"/>
                <w:szCs w:val="20"/>
              </w:rPr>
            </w:pPr>
          </w:p>
        </w:tc>
      </w:tr>
      <w:tr w:rsidR="00F925DD" w14:paraId="5556B116" w14:textId="77777777">
        <w:tc>
          <w:tcPr>
            <w:tcW w:w="0" w:type="auto"/>
            <w:shd w:val="clear" w:color="auto" w:fill="CCEEFF"/>
            <w:tcMar>
              <w:top w:w="40" w:type="dxa"/>
              <w:left w:w="40" w:type="dxa"/>
              <w:bottom w:w="40" w:type="dxa"/>
              <w:right w:w="40" w:type="dxa"/>
            </w:tcMar>
            <w:vAlign w:val="bottom"/>
          </w:tcPr>
          <w:p w14:paraId="5556B10D"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net</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10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420</w:t>
            </w:r>
          </w:p>
        </w:tc>
        <w:tc>
          <w:tcPr>
            <w:tcW w:w="0" w:type="auto"/>
            <w:tcBorders>
              <w:bottom w:val="single" w:sz="8" w:space="0" w:color="000000"/>
            </w:tcBorders>
            <w:shd w:val="clear" w:color="auto" w:fill="CCEEFF"/>
            <w:vAlign w:val="bottom"/>
          </w:tcPr>
          <w:p w14:paraId="5556B10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11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400</w:t>
            </w:r>
          </w:p>
        </w:tc>
        <w:tc>
          <w:tcPr>
            <w:tcW w:w="0" w:type="auto"/>
            <w:tcBorders>
              <w:bottom w:val="single" w:sz="8" w:space="0" w:color="000000"/>
            </w:tcBorders>
            <w:shd w:val="clear" w:color="auto" w:fill="CCEEFF"/>
            <w:vAlign w:val="bottom"/>
          </w:tcPr>
          <w:p w14:paraId="5556B1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11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307</w:t>
            </w:r>
          </w:p>
        </w:tc>
        <w:tc>
          <w:tcPr>
            <w:tcW w:w="0" w:type="auto"/>
            <w:tcBorders>
              <w:bottom w:val="single" w:sz="8" w:space="0" w:color="000000"/>
            </w:tcBorders>
            <w:shd w:val="clear" w:color="auto" w:fill="CCEEFF"/>
            <w:vAlign w:val="bottom"/>
          </w:tcPr>
          <w:p w14:paraId="5556B115" w14:textId="77777777" w:rsidR="00F925DD" w:rsidRDefault="00F925DD">
            <w:pPr>
              <w:textAlignment w:val="bottom"/>
              <w:rPr>
                <w:rFonts w:ascii="Times New Roman" w:hAnsi="Times New Roman"/>
                <w:sz w:val="20"/>
                <w:szCs w:val="20"/>
              </w:rPr>
            </w:pPr>
          </w:p>
        </w:tc>
      </w:tr>
      <w:tr w:rsidR="00F925DD" w14:paraId="5556B120" w14:textId="77777777">
        <w:tc>
          <w:tcPr>
            <w:tcW w:w="0" w:type="auto"/>
            <w:shd w:val="clear" w:color="auto" w:fill="auto"/>
            <w:tcMar>
              <w:top w:w="40" w:type="dxa"/>
              <w:left w:w="40" w:type="dxa"/>
              <w:bottom w:w="40" w:type="dxa"/>
              <w:right w:w="40" w:type="dxa"/>
            </w:tcMar>
            <w:vAlign w:val="bottom"/>
          </w:tcPr>
          <w:p w14:paraId="5556B117" w14:textId="77777777" w:rsidR="00F925DD" w:rsidRDefault="00E705D7">
            <w:pPr>
              <w:textAlignment w:val="bottom"/>
              <w:rPr>
                <w:rFonts w:ascii="Times New Roman" w:hAnsi="Times New Roman"/>
                <w:sz w:val="15"/>
                <w:szCs w:val="15"/>
              </w:rPr>
            </w:pPr>
            <w:r>
              <w:rPr>
                <w:rFonts w:ascii="Arial" w:eastAsia="宋体" w:hAnsi="Arial" w:cs="Arial"/>
                <w:sz w:val="15"/>
                <w:szCs w:val="15"/>
              </w:rPr>
              <w:t>Net cash provided by operating activities</w:t>
            </w:r>
          </w:p>
        </w:tc>
        <w:tc>
          <w:tcPr>
            <w:tcW w:w="0" w:type="auto"/>
            <w:gridSpan w:val="2"/>
            <w:shd w:val="clear" w:color="auto" w:fill="auto"/>
            <w:tcMar>
              <w:top w:w="40" w:type="dxa"/>
              <w:left w:w="40" w:type="dxa"/>
              <w:bottom w:w="40" w:type="dxa"/>
            </w:tcMar>
            <w:vAlign w:val="bottom"/>
          </w:tcPr>
          <w:p w14:paraId="5556B11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5,690</w:t>
            </w:r>
          </w:p>
        </w:tc>
        <w:tc>
          <w:tcPr>
            <w:tcW w:w="0" w:type="auto"/>
            <w:shd w:val="clear" w:color="auto" w:fill="auto"/>
            <w:vAlign w:val="bottom"/>
          </w:tcPr>
          <w:p w14:paraId="5556B11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1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10,175</w:t>
            </w:r>
          </w:p>
        </w:tc>
        <w:tc>
          <w:tcPr>
            <w:tcW w:w="0" w:type="auto"/>
            <w:shd w:val="clear" w:color="auto" w:fill="auto"/>
            <w:vAlign w:val="bottom"/>
          </w:tcPr>
          <w:p w14:paraId="5556B11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1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6,940</w:t>
            </w:r>
          </w:p>
        </w:tc>
        <w:tc>
          <w:tcPr>
            <w:tcW w:w="0" w:type="auto"/>
            <w:shd w:val="clear" w:color="auto" w:fill="auto"/>
            <w:vAlign w:val="bottom"/>
          </w:tcPr>
          <w:p w14:paraId="5556B11F" w14:textId="77777777" w:rsidR="00F925DD" w:rsidRDefault="00F925DD">
            <w:pPr>
              <w:textAlignment w:val="bottom"/>
              <w:rPr>
                <w:rFonts w:ascii="Times New Roman" w:hAnsi="Times New Roman"/>
                <w:sz w:val="20"/>
                <w:szCs w:val="20"/>
              </w:rPr>
            </w:pPr>
          </w:p>
        </w:tc>
      </w:tr>
      <w:tr w:rsidR="00F925DD" w14:paraId="5556B127" w14:textId="77777777">
        <w:tc>
          <w:tcPr>
            <w:tcW w:w="0" w:type="auto"/>
            <w:shd w:val="clear" w:color="auto" w:fill="CCEEFF"/>
            <w:tcMar>
              <w:top w:w="40" w:type="dxa"/>
              <w:left w:w="40" w:type="dxa"/>
              <w:bottom w:w="40" w:type="dxa"/>
              <w:right w:w="40" w:type="dxa"/>
            </w:tcMar>
            <w:vAlign w:val="bottom"/>
          </w:tcPr>
          <w:p w14:paraId="5556B12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Investing Activities:</w:t>
            </w:r>
          </w:p>
        </w:tc>
        <w:tc>
          <w:tcPr>
            <w:tcW w:w="0" w:type="auto"/>
            <w:gridSpan w:val="3"/>
            <w:shd w:val="clear" w:color="auto" w:fill="CCEEFF"/>
            <w:tcMar>
              <w:top w:w="40" w:type="dxa"/>
              <w:left w:w="40" w:type="dxa"/>
              <w:bottom w:w="40" w:type="dxa"/>
              <w:right w:w="40" w:type="dxa"/>
            </w:tcMar>
            <w:vAlign w:val="bottom"/>
          </w:tcPr>
          <w:p w14:paraId="5556B1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1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1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1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1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131" w14:textId="77777777">
        <w:tc>
          <w:tcPr>
            <w:tcW w:w="0" w:type="auto"/>
            <w:shd w:val="clear" w:color="auto" w:fill="auto"/>
            <w:tcMar>
              <w:top w:w="40" w:type="dxa"/>
              <w:left w:w="40" w:type="dxa"/>
              <w:bottom w:w="40" w:type="dxa"/>
              <w:right w:w="40" w:type="dxa"/>
            </w:tcMar>
            <w:vAlign w:val="bottom"/>
          </w:tcPr>
          <w:p w14:paraId="5556B128" w14:textId="77777777" w:rsidR="00F925DD" w:rsidRDefault="00E705D7">
            <w:pPr>
              <w:textAlignment w:val="bottom"/>
              <w:rPr>
                <w:rFonts w:ascii="Times New Roman" w:hAnsi="Times New Roman"/>
                <w:sz w:val="15"/>
                <w:szCs w:val="15"/>
              </w:rPr>
            </w:pPr>
            <w:r>
              <w:rPr>
                <w:rFonts w:ascii="Arial" w:eastAsia="宋体" w:hAnsi="Arial" w:cs="Arial"/>
                <w:sz w:val="15"/>
                <w:szCs w:val="15"/>
              </w:rPr>
              <w:t>Net decrease (increase) in interest-bearing deposits with banks</w:t>
            </w:r>
          </w:p>
        </w:tc>
        <w:tc>
          <w:tcPr>
            <w:tcW w:w="0" w:type="auto"/>
            <w:gridSpan w:val="2"/>
            <w:shd w:val="clear" w:color="auto" w:fill="auto"/>
            <w:tcMar>
              <w:top w:w="40" w:type="dxa"/>
              <w:left w:w="40" w:type="dxa"/>
              <w:bottom w:w="40" w:type="dxa"/>
            </w:tcMar>
            <w:vAlign w:val="bottom"/>
          </w:tcPr>
          <w:p w14:paraId="5556B12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4,075</w:t>
            </w:r>
          </w:p>
        </w:tc>
        <w:tc>
          <w:tcPr>
            <w:tcW w:w="0" w:type="auto"/>
            <w:shd w:val="clear" w:color="auto" w:fill="auto"/>
            <w:vAlign w:val="bottom"/>
          </w:tcPr>
          <w:p w14:paraId="5556B1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2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(5,813</w:t>
            </w:r>
          </w:p>
        </w:tc>
        <w:tc>
          <w:tcPr>
            <w:tcW w:w="0" w:type="auto"/>
            <w:shd w:val="clear" w:color="auto" w:fill="auto"/>
            <w:tcMar>
              <w:top w:w="40" w:type="dxa"/>
              <w:bottom w:w="40" w:type="dxa"/>
              <w:right w:w="40" w:type="dxa"/>
            </w:tcMar>
            <w:vAlign w:val="bottom"/>
          </w:tcPr>
          <w:p w14:paraId="5556B12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1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2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3,708</w:t>
            </w:r>
          </w:p>
        </w:tc>
        <w:tc>
          <w:tcPr>
            <w:tcW w:w="0" w:type="auto"/>
            <w:shd w:val="clear" w:color="auto" w:fill="auto"/>
            <w:vAlign w:val="bottom"/>
          </w:tcPr>
          <w:p w14:paraId="5556B130" w14:textId="77777777" w:rsidR="00F925DD" w:rsidRDefault="00F925DD">
            <w:pPr>
              <w:textAlignment w:val="bottom"/>
              <w:rPr>
                <w:rFonts w:ascii="Times New Roman" w:hAnsi="Times New Roman"/>
                <w:sz w:val="20"/>
                <w:szCs w:val="20"/>
              </w:rPr>
            </w:pPr>
          </w:p>
        </w:tc>
      </w:tr>
      <w:tr w:rsidR="00F925DD" w14:paraId="5556B13B" w14:textId="77777777">
        <w:tc>
          <w:tcPr>
            <w:tcW w:w="0" w:type="auto"/>
            <w:shd w:val="clear" w:color="auto" w:fill="CCEEFF"/>
            <w:tcMar>
              <w:top w:w="40" w:type="dxa"/>
              <w:left w:w="40" w:type="dxa"/>
              <w:bottom w:w="40" w:type="dxa"/>
              <w:right w:w="40" w:type="dxa"/>
            </w:tcMar>
            <w:vAlign w:val="bottom"/>
          </w:tcPr>
          <w:p w14:paraId="5556B132" w14:textId="77777777" w:rsidR="00F925DD" w:rsidRDefault="00E705D7">
            <w:pPr>
              <w:textAlignment w:val="bottom"/>
              <w:rPr>
                <w:rFonts w:ascii="Times New Roman" w:hAnsi="Times New Roman"/>
                <w:sz w:val="15"/>
                <w:szCs w:val="15"/>
              </w:rPr>
            </w:pPr>
            <w:r>
              <w:rPr>
                <w:rFonts w:ascii="Arial" w:eastAsia="宋体" w:hAnsi="Arial" w:cs="Arial"/>
                <w:sz w:val="15"/>
                <w:szCs w:val="15"/>
              </w:rPr>
              <w:t>Net decrease (increase) in securities purchased under resale agreements</w:t>
            </w:r>
          </w:p>
        </w:tc>
        <w:tc>
          <w:tcPr>
            <w:tcW w:w="0" w:type="auto"/>
            <w:gridSpan w:val="2"/>
            <w:shd w:val="clear" w:color="auto" w:fill="CCEEFF"/>
            <w:tcMar>
              <w:top w:w="40" w:type="dxa"/>
              <w:left w:w="40" w:type="dxa"/>
              <w:bottom w:w="40" w:type="dxa"/>
            </w:tcMar>
            <w:vAlign w:val="bottom"/>
          </w:tcPr>
          <w:p w14:paraId="5556B13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3,192</w:t>
            </w:r>
          </w:p>
        </w:tc>
        <w:tc>
          <w:tcPr>
            <w:tcW w:w="0" w:type="auto"/>
            <w:shd w:val="clear" w:color="auto" w:fill="CCEEFF"/>
            <w:vAlign w:val="bottom"/>
          </w:tcPr>
          <w:p w14:paraId="5556B1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3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(1,438</w:t>
            </w:r>
          </w:p>
        </w:tc>
        <w:tc>
          <w:tcPr>
            <w:tcW w:w="0" w:type="auto"/>
            <w:shd w:val="clear" w:color="auto" w:fill="CCEEFF"/>
            <w:tcMar>
              <w:top w:w="40" w:type="dxa"/>
              <w:bottom w:w="40" w:type="dxa"/>
              <w:right w:w="40" w:type="dxa"/>
            </w:tcMar>
            <w:vAlign w:val="bottom"/>
          </w:tcPr>
          <w:p w14:paraId="5556B13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1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3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(1,285</w:t>
            </w:r>
          </w:p>
        </w:tc>
        <w:tc>
          <w:tcPr>
            <w:tcW w:w="0" w:type="auto"/>
            <w:shd w:val="clear" w:color="auto" w:fill="CCEEFF"/>
            <w:tcMar>
              <w:top w:w="40" w:type="dxa"/>
              <w:bottom w:w="40" w:type="dxa"/>
              <w:right w:w="40" w:type="dxa"/>
            </w:tcMar>
            <w:vAlign w:val="bottom"/>
          </w:tcPr>
          <w:p w14:paraId="5556B13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145" w14:textId="77777777">
        <w:tc>
          <w:tcPr>
            <w:tcW w:w="0" w:type="auto"/>
            <w:shd w:val="clear" w:color="auto" w:fill="auto"/>
            <w:tcMar>
              <w:top w:w="40" w:type="dxa"/>
              <w:left w:w="40" w:type="dxa"/>
              <w:bottom w:w="40" w:type="dxa"/>
              <w:right w:w="40" w:type="dxa"/>
            </w:tcMar>
            <w:vAlign w:val="bottom"/>
          </w:tcPr>
          <w:p w14:paraId="5556B13C"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Proceeds from </w:t>
            </w:r>
            <w:r>
              <w:rPr>
                <w:rFonts w:ascii="Arial" w:eastAsia="宋体" w:hAnsi="Arial" w:cs="Arial"/>
                <w:sz w:val="15"/>
                <w:szCs w:val="15"/>
              </w:rPr>
              <w:t>sales of available-for-sale securities</w:t>
            </w:r>
          </w:p>
        </w:tc>
        <w:tc>
          <w:tcPr>
            <w:tcW w:w="0" w:type="auto"/>
            <w:gridSpan w:val="2"/>
            <w:shd w:val="clear" w:color="auto" w:fill="auto"/>
            <w:tcMar>
              <w:top w:w="40" w:type="dxa"/>
              <w:left w:w="40" w:type="dxa"/>
              <w:bottom w:w="40" w:type="dxa"/>
            </w:tcMar>
            <w:vAlign w:val="bottom"/>
          </w:tcPr>
          <w:p w14:paraId="5556B13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5,642</w:t>
            </w:r>
          </w:p>
        </w:tc>
        <w:tc>
          <w:tcPr>
            <w:tcW w:w="0" w:type="auto"/>
            <w:shd w:val="clear" w:color="auto" w:fill="auto"/>
            <w:vAlign w:val="bottom"/>
          </w:tcPr>
          <w:p w14:paraId="5556B13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4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26,082</w:t>
            </w:r>
          </w:p>
        </w:tc>
        <w:tc>
          <w:tcPr>
            <w:tcW w:w="0" w:type="auto"/>
            <w:shd w:val="clear" w:color="auto" w:fill="auto"/>
            <w:vAlign w:val="bottom"/>
          </w:tcPr>
          <w:p w14:paraId="5556B1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4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12,439</w:t>
            </w:r>
          </w:p>
        </w:tc>
        <w:tc>
          <w:tcPr>
            <w:tcW w:w="0" w:type="auto"/>
            <w:shd w:val="clear" w:color="auto" w:fill="auto"/>
            <w:vAlign w:val="bottom"/>
          </w:tcPr>
          <w:p w14:paraId="5556B144" w14:textId="77777777" w:rsidR="00F925DD" w:rsidRDefault="00F925DD">
            <w:pPr>
              <w:textAlignment w:val="bottom"/>
              <w:rPr>
                <w:rFonts w:ascii="Times New Roman" w:hAnsi="Times New Roman"/>
                <w:sz w:val="20"/>
                <w:szCs w:val="20"/>
              </w:rPr>
            </w:pPr>
          </w:p>
        </w:tc>
      </w:tr>
      <w:tr w:rsidR="00F925DD" w14:paraId="5556B14F" w14:textId="77777777">
        <w:tc>
          <w:tcPr>
            <w:tcW w:w="0" w:type="auto"/>
            <w:shd w:val="clear" w:color="auto" w:fill="CCEEFF"/>
            <w:tcMar>
              <w:top w:w="40" w:type="dxa"/>
              <w:left w:w="40" w:type="dxa"/>
              <w:bottom w:w="40" w:type="dxa"/>
              <w:right w:w="40" w:type="dxa"/>
            </w:tcMar>
            <w:vAlign w:val="bottom"/>
          </w:tcPr>
          <w:p w14:paraId="5556B146" w14:textId="77777777" w:rsidR="00F925DD" w:rsidRDefault="00E705D7">
            <w:pPr>
              <w:textAlignment w:val="bottom"/>
              <w:rPr>
                <w:rFonts w:ascii="Times New Roman" w:hAnsi="Times New Roman"/>
                <w:sz w:val="15"/>
                <w:szCs w:val="15"/>
              </w:rPr>
            </w:pPr>
            <w:r>
              <w:rPr>
                <w:rFonts w:ascii="Arial" w:eastAsia="宋体" w:hAnsi="Arial" w:cs="Arial"/>
                <w:sz w:val="15"/>
                <w:szCs w:val="15"/>
              </w:rPr>
              <w:t>Proceeds from maturities of available-for-sale securities</w:t>
            </w:r>
          </w:p>
        </w:tc>
        <w:tc>
          <w:tcPr>
            <w:tcW w:w="0" w:type="auto"/>
            <w:gridSpan w:val="2"/>
            <w:shd w:val="clear" w:color="auto" w:fill="CCEEFF"/>
            <w:tcMar>
              <w:top w:w="40" w:type="dxa"/>
              <w:left w:w="40" w:type="dxa"/>
              <w:bottom w:w="40" w:type="dxa"/>
            </w:tcMar>
            <w:vAlign w:val="bottom"/>
          </w:tcPr>
          <w:p w14:paraId="5556B14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20,407</w:t>
            </w:r>
          </w:p>
        </w:tc>
        <w:tc>
          <w:tcPr>
            <w:tcW w:w="0" w:type="auto"/>
            <w:shd w:val="clear" w:color="auto" w:fill="CCEEFF"/>
            <w:vAlign w:val="bottom"/>
          </w:tcPr>
          <w:p w14:paraId="5556B14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4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14,645</w:t>
            </w:r>
          </w:p>
        </w:tc>
        <w:tc>
          <w:tcPr>
            <w:tcW w:w="0" w:type="auto"/>
            <w:shd w:val="clear" w:color="auto" w:fill="CCEEFF"/>
            <w:vAlign w:val="bottom"/>
          </w:tcPr>
          <w:p w14:paraId="5556B14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4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28,878</w:t>
            </w:r>
          </w:p>
        </w:tc>
        <w:tc>
          <w:tcPr>
            <w:tcW w:w="0" w:type="auto"/>
            <w:shd w:val="clear" w:color="auto" w:fill="CCEEFF"/>
            <w:vAlign w:val="bottom"/>
          </w:tcPr>
          <w:p w14:paraId="5556B14E" w14:textId="77777777" w:rsidR="00F925DD" w:rsidRDefault="00F925DD">
            <w:pPr>
              <w:textAlignment w:val="bottom"/>
              <w:rPr>
                <w:rFonts w:ascii="Times New Roman" w:hAnsi="Times New Roman"/>
                <w:sz w:val="20"/>
                <w:szCs w:val="20"/>
              </w:rPr>
            </w:pPr>
          </w:p>
        </w:tc>
      </w:tr>
      <w:tr w:rsidR="00F925DD" w14:paraId="5556B159" w14:textId="77777777">
        <w:tc>
          <w:tcPr>
            <w:tcW w:w="0" w:type="auto"/>
            <w:shd w:val="clear" w:color="auto" w:fill="auto"/>
            <w:tcMar>
              <w:top w:w="40" w:type="dxa"/>
              <w:left w:w="40" w:type="dxa"/>
              <w:bottom w:w="40" w:type="dxa"/>
              <w:right w:w="40" w:type="dxa"/>
            </w:tcMar>
            <w:vAlign w:val="bottom"/>
          </w:tcPr>
          <w:p w14:paraId="5556B150" w14:textId="77777777" w:rsidR="00F925DD" w:rsidRDefault="00E705D7">
            <w:pPr>
              <w:textAlignment w:val="bottom"/>
              <w:rPr>
                <w:rFonts w:ascii="Times New Roman" w:hAnsi="Times New Roman"/>
                <w:sz w:val="15"/>
                <w:szCs w:val="15"/>
              </w:rPr>
            </w:pPr>
            <w:r>
              <w:rPr>
                <w:rFonts w:ascii="Arial" w:eastAsia="宋体" w:hAnsi="Arial" w:cs="Arial"/>
                <w:sz w:val="15"/>
                <w:szCs w:val="15"/>
              </w:rPr>
              <w:t>Purchases of available-for-sale securities</w:t>
            </w:r>
          </w:p>
        </w:tc>
        <w:tc>
          <w:tcPr>
            <w:tcW w:w="0" w:type="auto"/>
            <w:gridSpan w:val="2"/>
            <w:shd w:val="clear" w:color="auto" w:fill="auto"/>
            <w:tcMar>
              <w:top w:w="40" w:type="dxa"/>
              <w:left w:w="40" w:type="dxa"/>
              <w:bottom w:w="40" w:type="dxa"/>
            </w:tcMar>
            <w:vAlign w:val="bottom"/>
          </w:tcPr>
          <w:p w14:paraId="5556B15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(38,164</w:t>
            </w:r>
          </w:p>
        </w:tc>
        <w:tc>
          <w:tcPr>
            <w:tcW w:w="0" w:type="auto"/>
            <w:shd w:val="clear" w:color="auto" w:fill="auto"/>
            <w:tcMar>
              <w:top w:w="40" w:type="dxa"/>
              <w:bottom w:w="40" w:type="dxa"/>
              <w:right w:w="40" w:type="dxa"/>
            </w:tcMar>
            <w:vAlign w:val="bottom"/>
          </w:tcPr>
          <w:p w14:paraId="5556B15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1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5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(31,814</w:t>
            </w:r>
          </w:p>
        </w:tc>
        <w:tc>
          <w:tcPr>
            <w:tcW w:w="0" w:type="auto"/>
            <w:shd w:val="clear" w:color="auto" w:fill="auto"/>
            <w:tcMar>
              <w:top w:w="40" w:type="dxa"/>
              <w:bottom w:w="40" w:type="dxa"/>
              <w:right w:w="40" w:type="dxa"/>
            </w:tcMar>
            <w:vAlign w:val="bottom"/>
          </w:tcPr>
          <w:p w14:paraId="5556B15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1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5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(34,841</w:t>
            </w:r>
          </w:p>
        </w:tc>
        <w:tc>
          <w:tcPr>
            <w:tcW w:w="0" w:type="auto"/>
            <w:shd w:val="clear" w:color="auto" w:fill="auto"/>
            <w:tcMar>
              <w:top w:w="40" w:type="dxa"/>
              <w:bottom w:w="40" w:type="dxa"/>
              <w:right w:w="40" w:type="dxa"/>
            </w:tcMar>
            <w:vAlign w:val="bottom"/>
          </w:tcPr>
          <w:p w14:paraId="5556B15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163" w14:textId="77777777">
        <w:tc>
          <w:tcPr>
            <w:tcW w:w="0" w:type="auto"/>
            <w:shd w:val="clear" w:color="auto" w:fill="CCEEFF"/>
            <w:tcMar>
              <w:top w:w="40" w:type="dxa"/>
              <w:left w:w="40" w:type="dxa"/>
              <w:bottom w:w="40" w:type="dxa"/>
              <w:right w:w="40" w:type="dxa"/>
            </w:tcMar>
            <w:vAlign w:val="bottom"/>
          </w:tcPr>
          <w:p w14:paraId="5556B15A"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Proceeds from </w:t>
            </w:r>
            <w:r>
              <w:rPr>
                <w:rFonts w:ascii="Arial" w:eastAsia="宋体" w:hAnsi="Arial" w:cs="Arial"/>
                <w:sz w:val="15"/>
                <w:szCs w:val="15"/>
              </w:rPr>
              <w:t>maturities of held-to-maturity securities</w:t>
            </w:r>
          </w:p>
        </w:tc>
        <w:tc>
          <w:tcPr>
            <w:tcW w:w="0" w:type="auto"/>
            <w:gridSpan w:val="2"/>
            <w:shd w:val="clear" w:color="auto" w:fill="CCEEFF"/>
            <w:tcMar>
              <w:top w:w="40" w:type="dxa"/>
              <w:left w:w="40" w:type="dxa"/>
              <w:bottom w:w="40" w:type="dxa"/>
            </w:tcMar>
            <w:vAlign w:val="bottom"/>
          </w:tcPr>
          <w:p w14:paraId="5556B15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10,390</w:t>
            </w:r>
          </w:p>
        </w:tc>
        <w:tc>
          <w:tcPr>
            <w:tcW w:w="0" w:type="auto"/>
            <w:shd w:val="clear" w:color="auto" w:fill="CCEEFF"/>
            <w:vAlign w:val="bottom"/>
          </w:tcPr>
          <w:p w14:paraId="5556B15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5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6,296</w:t>
            </w:r>
          </w:p>
        </w:tc>
        <w:tc>
          <w:tcPr>
            <w:tcW w:w="0" w:type="auto"/>
            <w:shd w:val="clear" w:color="auto" w:fill="CCEEFF"/>
            <w:vAlign w:val="bottom"/>
          </w:tcPr>
          <w:p w14:paraId="5556B15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6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4,028</w:t>
            </w:r>
          </w:p>
        </w:tc>
        <w:tc>
          <w:tcPr>
            <w:tcW w:w="0" w:type="auto"/>
            <w:shd w:val="clear" w:color="auto" w:fill="CCEEFF"/>
            <w:vAlign w:val="bottom"/>
          </w:tcPr>
          <w:p w14:paraId="5556B162" w14:textId="77777777" w:rsidR="00F925DD" w:rsidRDefault="00F925DD">
            <w:pPr>
              <w:textAlignment w:val="bottom"/>
              <w:rPr>
                <w:rFonts w:ascii="Times New Roman" w:hAnsi="Times New Roman"/>
                <w:sz w:val="20"/>
                <w:szCs w:val="20"/>
              </w:rPr>
            </w:pPr>
          </w:p>
        </w:tc>
      </w:tr>
      <w:tr w:rsidR="00F925DD" w14:paraId="5556B16D" w14:textId="77777777">
        <w:tc>
          <w:tcPr>
            <w:tcW w:w="0" w:type="auto"/>
            <w:shd w:val="clear" w:color="auto" w:fill="auto"/>
            <w:tcMar>
              <w:top w:w="40" w:type="dxa"/>
              <w:left w:w="40" w:type="dxa"/>
              <w:bottom w:w="40" w:type="dxa"/>
              <w:right w:w="40" w:type="dxa"/>
            </w:tcMar>
            <w:vAlign w:val="bottom"/>
          </w:tcPr>
          <w:p w14:paraId="5556B164" w14:textId="77777777" w:rsidR="00F925DD" w:rsidRDefault="00E705D7">
            <w:pPr>
              <w:textAlignment w:val="bottom"/>
              <w:rPr>
                <w:rFonts w:ascii="Times New Roman" w:hAnsi="Times New Roman"/>
                <w:sz w:val="15"/>
                <w:szCs w:val="15"/>
              </w:rPr>
            </w:pPr>
            <w:r>
              <w:rPr>
                <w:rFonts w:ascii="Arial" w:eastAsia="宋体" w:hAnsi="Arial" w:cs="Arial"/>
                <w:sz w:val="15"/>
                <w:szCs w:val="15"/>
              </w:rPr>
              <w:t>Purchases of held-to-maturity securities</w:t>
            </w:r>
          </w:p>
        </w:tc>
        <w:tc>
          <w:tcPr>
            <w:tcW w:w="0" w:type="auto"/>
            <w:gridSpan w:val="2"/>
            <w:shd w:val="clear" w:color="auto" w:fill="auto"/>
            <w:tcMar>
              <w:top w:w="40" w:type="dxa"/>
              <w:left w:w="40" w:type="dxa"/>
              <w:bottom w:w="40" w:type="dxa"/>
            </w:tcMar>
            <w:vAlign w:val="bottom"/>
          </w:tcPr>
          <w:p w14:paraId="5556B16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(6,938</w:t>
            </w:r>
          </w:p>
        </w:tc>
        <w:tc>
          <w:tcPr>
            <w:tcW w:w="0" w:type="auto"/>
            <w:shd w:val="clear" w:color="auto" w:fill="auto"/>
            <w:tcMar>
              <w:top w:w="40" w:type="dxa"/>
              <w:bottom w:w="40" w:type="dxa"/>
              <w:right w:w="40" w:type="dxa"/>
            </w:tcMar>
            <w:vAlign w:val="bottom"/>
          </w:tcPr>
          <w:p w14:paraId="5556B16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1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6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(6,539</w:t>
            </w:r>
          </w:p>
        </w:tc>
        <w:tc>
          <w:tcPr>
            <w:tcW w:w="0" w:type="auto"/>
            <w:shd w:val="clear" w:color="auto" w:fill="auto"/>
            <w:tcMar>
              <w:top w:w="40" w:type="dxa"/>
              <w:bottom w:w="40" w:type="dxa"/>
              <w:right w:w="40" w:type="dxa"/>
            </w:tcMar>
            <w:vAlign w:val="bottom"/>
          </w:tcPr>
          <w:p w14:paraId="5556B16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1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6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(8,772</w:t>
            </w:r>
          </w:p>
        </w:tc>
        <w:tc>
          <w:tcPr>
            <w:tcW w:w="0" w:type="auto"/>
            <w:shd w:val="clear" w:color="auto" w:fill="auto"/>
            <w:tcMar>
              <w:top w:w="40" w:type="dxa"/>
              <w:bottom w:w="40" w:type="dxa"/>
              <w:right w:w="40" w:type="dxa"/>
            </w:tcMar>
            <w:vAlign w:val="bottom"/>
          </w:tcPr>
          <w:p w14:paraId="5556B16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177" w14:textId="77777777">
        <w:tc>
          <w:tcPr>
            <w:tcW w:w="0" w:type="auto"/>
            <w:shd w:val="clear" w:color="auto" w:fill="CCEEFF"/>
            <w:tcMar>
              <w:top w:w="40" w:type="dxa"/>
              <w:left w:w="40" w:type="dxa"/>
              <w:bottom w:w="40" w:type="dxa"/>
              <w:right w:w="40" w:type="dxa"/>
            </w:tcMar>
            <w:vAlign w:val="bottom"/>
          </w:tcPr>
          <w:p w14:paraId="5556B16E" w14:textId="77777777" w:rsidR="00F925DD" w:rsidRDefault="00E705D7">
            <w:pPr>
              <w:textAlignment w:val="bottom"/>
              <w:rPr>
                <w:rFonts w:ascii="Times New Roman" w:hAnsi="Times New Roman"/>
                <w:sz w:val="15"/>
                <w:szCs w:val="15"/>
              </w:rPr>
            </w:pPr>
            <w:r>
              <w:rPr>
                <w:rFonts w:ascii="Arial" w:eastAsia="宋体" w:hAnsi="Arial" w:cs="Arial"/>
                <w:sz w:val="15"/>
                <w:szCs w:val="15"/>
              </w:rPr>
              <w:t>Net (increase) in loans and leases</w:t>
            </w:r>
          </w:p>
        </w:tc>
        <w:tc>
          <w:tcPr>
            <w:tcW w:w="0" w:type="auto"/>
            <w:gridSpan w:val="2"/>
            <w:shd w:val="clear" w:color="auto" w:fill="CCEEFF"/>
            <w:tcMar>
              <w:top w:w="40" w:type="dxa"/>
              <w:left w:w="40" w:type="dxa"/>
              <w:bottom w:w="40" w:type="dxa"/>
            </w:tcMar>
            <w:vAlign w:val="bottom"/>
          </w:tcPr>
          <w:p w14:paraId="5556B16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(519</w:t>
            </w:r>
          </w:p>
        </w:tc>
        <w:tc>
          <w:tcPr>
            <w:tcW w:w="0" w:type="auto"/>
            <w:shd w:val="clear" w:color="auto" w:fill="CCEEFF"/>
            <w:tcMar>
              <w:top w:w="40" w:type="dxa"/>
              <w:bottom w:w="40" w:type="dxa"/>
              <w:right w:w="40" w:type="dxa"/>
            </w:tcMar>
            <w:vAlign w:val="bottom"/>
          </w:tcPr>
          <w:p w14:paraId="5556B17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1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7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(2,461</w:t>
            </w:r>
          </w:p>
        </w:tc>
        <w:tc>
          <w:tcPr>
            <w:tcW w:w="0" w:type="auto"/>
            <w:shd w:val="clear" w:color="auto" w:fill="CCEEFF"/>
            <w:tcMar>
              <w:top w:w="40" w:type="dxa"/>
              <w:bottom w:w="40" w:type="dxa"/>
              <w:right w:w="40" w:type="dxa"/>
            </w:tcMar>
            <w:vAlign w:val="bottom"/>
          </w:tcPr>
          <w:p w14:paraId="5556B17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1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7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(3,511</w:t>
            </w:r>
          </w:p>
        </w:tc>
        <w:tc>
          <w:tcPr>
            <w:tcW w:w="0" w:type="auto"/>
            <w:shd w:val="clear" w:color="auto" w:fill="CCEEFF"/>
            <w:tcMar>
              <w:top w:w="40" w:type="dxa"/>
              <w:bottom w:w="40" w:type="dxa"/>
              <w:right w:w="40" w:type="dxa"/>
            </w:tcMar>
            <w:vAlign w:val="bottom"/>
          </w:tcPr>
          <w:p w14:paraId="5556B17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181" w14:textId="77777777">
        <w:tc>
          <w:tcPr>
            <w:tcW w:w="0" w:type="auto"/>
            <w:shd w:val="clear" w:color="auto" w:fill="auto"/>
            <w:tcMar>
              <w:top w:w="40" w:type="dxa"/>
              <w:left w:w="40" w:type="dxa"/>
              <w:bottom w:w="40" w:type="dxa"/>
              <w:right w:w="40" w:type="dxa"/>
            </w:tcMar>
            <w:vAlign w:val="bottom"/>
          </w:tcPr>
          <w:p w14:paraId="5556B178"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Business acquisitions, net of cash </w:t>
            </w:r>
            <w:r>
              <w:rPr>
                <w:rFonts w:ascii="Arial" w:eastAsia="宋体" w:hAnsi="Arial" w:cs="Arial"/>
                <w:sz w:val="15"/>
                <w:szCs w:val="15"/>
              </w:rPr>
              <w:t>acquired</w:t>
            </w:r>
          </w:p>
        </w:tc>
        <w:tc>
          <w:tcPr>
            <w:tcW w:w="0" w:type="auto"/>
            <w:gridSpan w:val="2"/>
            <w:shd w:val="clear" w:color="auto" w:fill="auto"/>
            <w:tcMar>
              <w:top w:w="40" w:type="dxa"/>
              <w:left w:w="40" w:type="dxa"/>
              <w:bottom w:w="40" w:type="dxa"/>
            </w:tcMar>
            <w:vAlign w:val="bottom"/>
          </w:tcPr>
          <w:p w14:paraId="5556B17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(54</w:t>
            </w:r>
          </w:p>
        </w:tc>
        <w:tc>
          <w:tcPr>
            <w:tcW w:w="0" w:type="auto"/>
            <w:shd w:val="clear" w:color="auto" w:fill="auto"/>
            <w:tcMar>
              <w:top w:w="40" w:type="dxa"/>
              <w:bottom w:w="40" w:type="dxa"/>
              <w:right w:w="40" w:type="dxa"/>
            </w:tcMar>
            <w:vAlign w:val="bottom"/>
          </w:tcPr>
          <w:p w14:paraId="5556B17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1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7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(2,595</w:t>
            </w:r>
          </w:p>
        </w:tc>
        <w:tc>
          <w:tcPr>
            <w:tcW w:w="0" w:type="auto"/>
            <w:shd w:val="clear" w:color="auto" w:fill="auto"/>
            <w:tcMar>
              <w:top w:w="40" w:type="dxa"/>
              <w:bottom w:w="40" w:type="dxa"/>
              <w:right w:w="40" w:type="dxa"/>
            </w:tcMar>
            <w:vAlign w:val="bottom"/>
          </w:tcPr>
          <w:p w14:paraId="5556B17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1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7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180" w14:textId="77777777" w:rsidR="00F925DD" w:rsidRDefault="00F925DD">
            <w:pPr>
              <w:textAlignment w:val="bottom"/>
              <w:rPr>
                <w:rFonts w:ascii="Times New Roman" w:hAnsi="Times New Roman"/>
                <w:sz w:val="20"/>
                <w:szCs w:val="20"/>
              </w:rPr>
            </w:pPr>
          </w:p>
        </w:tc>
      </w:tr>
      <w:tr w:rsidR="00F925DD" w14:paraId="5556B18B" w14:textId="77777777">
        <w:tc>
          <w:tcPr>
            <w:tcW w:w="0" w:type="auto"/>
            <w:shd w:val="clear" w:color="auto" w:fill="CCEEFF"/>
            <w:tcMar>
              <w:top w:w="40" w:type="dxa"/>
              <w:left w:w="40" w:type="dxa"/>
              <w:bottom w:w="40" w:type="dxa"/>
              <w:right w:w="40" w:type="dxa"/>
            </w:tcMar>
            <w:vAlign w:val="bottom"/>
          </w:tcPr>
          <w:p w14:paraId="5556B182" w14:textId="77777777" w:rsidR="00F925DD" w:rsidRDefault="00E705D7">
            <w:pPr>
              <w:textAlignment w:val="bottom"/>
              <w:rPr>
                <w:rFonts w:ascii="Times New Roman" w:hAnsi="Times New Roman"/>
                <w:sz w:val="15"/>
                <w:szCs w:val="15"/>
              </w:rPr>
            </w:pPr>
            <w:r>
              <w:rPr>
                <w:rFonts w:ascii="Arial" w:eastAsia="宋体" w:hAnsi="Arial" w:cs="Arial"/>
                <w:sz w:val="15"/>
                <w:szCs w:val="15"/>
              </w:rPr>
              <w:t>Purchases of equity investments and other long-term assets</w:t>
            </w:r>
          </w:p>
        </w:tc>
        <w:tc>
          <w:tcPr>
            <w:tcW w:w="0" w:type="auto"/>
            <w:gridSpan w:val="2"/>
            <w:shd w:val="clear" w:color="auto" w:fill="CCEEFF"/>
            <w:tcMar>
              <w:top w:w="40" w:type="dxa"/>
              <w:left w:w="40" w:type="dxa"/>
              <w:bottom w:w="40" w:type="dxa"/>
            </w:tcMar>
            <w:vAlign w:val="bottom"/>
          </w:tcPr>
          <w:p w14:paraId="5556B18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(647</w:t>
            </w:r>
          </w:p>
        </w:tc>
        <w:tc>
          <w:tcPr>
            <w:tcW w:w="0" w:type="auto"/>
            <w:shd w:val="clear" w:color="auto" w:fill="CCEEFF"/>
            <w:tcMar>
              <w:top w:w="40" w:type="dxa"/>
              <w:bottom w:w="40" w:type="dxa"/>
              <w:right w:w="40" w:type="dxa"/>
            </w:tcMar>
            <w:vAlign w:val="bottom"/>
          </w:tcPr>
          <w:p w14:paraId="5556B18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1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8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(326</w:t>
            </w:r>
          </w:p>
        </w:tc>
        <w:tc>
          <w:tcPr>
            <w:tcW w:w="0" w:type="auto"/>
            <w:shd w:val="clear" w:color="auto" w:fill="CCEEFF"/>
            <w:tcMar>
              <w:top w:w="40" w:type="dxa"/>
              <w:bottom w:w="40" w:type="dxa"/>
              <w:right w:w="40" w:type="dxa"/>
            </w:tcMar>
            <w:vAlign w:val="bottom"/>
          </w:tcPr>
          <w:p w14:paraId="5556B18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1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8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(233</w:t>
            </w:r>
          </w:p>
        </w:tc>
        <w:tc>
          <w:tcPr>
            <w:tcW w:w="0" w:type="auto"/>
            <w:shd w:val="clear" w:color="auto" w:fill="CCEEFF"/>
            <w:tcMar>
              <w:top w:w="40" w:type="dxa"/>
              <w:bottom w:w="40" w:type="dxa"/>
              <w:right w:w="40" w:type="dxa"/>
            </w:tcMar>
            <w:vAlign w:val="bottom"/>
          </w:tcPr>
          <w:p w14:paraId="5556B18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195" w14:textId="77777777">
        <w:tc>
          <w:tcPr>
            <w:tcW w:w="0" w:type="auto"/>
            <w:shd w:val="clear" w:color="auto" w:fill="auto"/>
            <w:tcMar>
              <w:top w:w="40" w:type="dxa"/>
              <w:left w:w="40" w:type="dxa"/>
              <w:bottom w:w="40" w:type="dxa"/>
              <w:right w:w="40" w:type="dxa"/>
            </w:tcMar>
            <w:vAlign w:val="bottom"/>
          </w:tcPr>
          <w:p w14:paraId="5556B18C" w14:textId="77777777" w:rsidR="00F925DD" w:rsidRDefault="00E705D7">
            <w:pPr>
              <w:textAlignment w:val="bottom"/>
              <w:rPr>
                <w:rFonts w:ascii="Times New Roman" w:hAnsi="Times New Roman"/>
                <w:sz w:val="15"/>
                <w:szCs w:val="15"/>
              </w:rPr>
            </w:pPr>
            <w:r>
              <w:rPr>
                <w:rFonts w:ascii="Arial" w:eastAsia="宋体" w:hAnsi="Arial" w:cs="Arial"/>
                <w:sz w:val="15"/>
                <w:szCs w:val="15"/>
              </w:rPr>
              <w:t>Purchases of premises and equipment, net</w:t>
            </w:r>
          </w:p>
        </w:tc>
        <w:tc>
          <w:tcPr>
            <w:tcW w:w="0" w:type="auto"/>
            <w:gridSpan w:val="2"/>
            <w:shd w:val="clear" w:color="auto" w:fill="auto"/>
            <w:tcMar>
              <w:top w:w="40" w:type="dxa"/>
              <w:left w:w="40" w:type="dxa"/>
              <w:bottom w:w="40" w:type="dxa"/>
            </w:tcMar>
            <w:vAlign w:val="bottom"/>
          </w:tcPr>
          <w:p w14:paraId="5556B18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(730</w:t>
            </w:r>
          </w:p>
        </w:tc>
        <w:tc>
          <w:tcPr>
            <w:tcW w:w="0" w:type="auto"/>
            <w:shd w:val="clear" w:color="auto" w:fill="auto"/>
            <w:tcMar>
              <w:top w:w="40" w:type="dxa"/>
              <w:bottom w:w="40" w:type="dxa"/>
              <w:right w:w="40" w:type="dxa"/>
            </w:tcMar>
            <w:vAlign w:val="bottom"/>
          </w:tcPr>
          <w:p w14:paraId="5556B18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1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9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(609</w:t>
            </w:r>
          </w:p>
        </w:tc>
        <w:tc>
          <w:tcPr>
            <w:tcW w:w="0" w:type="auto"/>
            <w:shd w:val="clear" w:color="auto" w:fill="auto"/>
            <w:tcMar>
              <w:top w:w="40" w:type="dxa"/>
              <w:bottom w:w="40" w:type="dxa"/>
              <w:right w:w="40" w:type="dxa"/>
            </w:tcMar>
            <w:vAlign w:val="bottom"/>
          </w:tcPr>
          <w:p w14:paraId="5556B19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1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9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(637</w:t>
            </w:r>
          </w:p>
        </w:tc>
        <w:tc>
          <w:tcPr>
            <w:tcW w:w="0" w:type="auto"/>
            <w:shd w:val="clear" w:color="auto" w:fill="auto"/>
            <w:tcMar>
              <w:top w:w="40" w:type="dxa"/>
              <w:bottom w:w="40" w:type="dxa"/>
              <w:right w:w="40" w:type="dxa"/>
            </w:tcMar>
            <w:vAlign w:val="bottom"/>
          </w:tcPr>
          <w:p w14:paraId="5556B19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19F" w14:textId="77777777">
        <w:tc>
          <w:tcPr>
            <w:tcW w:w="0" w:type="auto"/>
            <w:shd w:val="clear" w:color="auto" w:fill="CCEEFF"/>
            <w:tcMar>
              <w:top w:w="40" w:type="dxa"/>
              <w:left w:w="40" w:type="dxa"/>
              <w:bottom w:w="40" w:type="dxa"/>
              <w:right w:w="40" w:type="dxa"/>
            </w:tcMar>
            <w:vAlign w:val="bottom"/>
          </w:tcPr>
          <w:p w14:paraId="5556B196" w14:textId="77777777" w:rsidR="00F925DD" w:rsidRDefault="00E705D7">
            <w:pPr>
              <w:textAlignment w:val="bottom"/>
              <w:rPr>
                <w:rFonts w:ascii="Times New Roman" w:hAnsi="Times New Roman"/>
                <w:sz w:val="15"/>
                <w:szCs w:val="15"/>
              </w:rPr>
            </w:pPr>
            <w:r>
              <w:rPr>
                <w:rFonts w:ascii="Arial" w:eastAsia="宋体" w:hAnsi="Arial" w:cs="Arial"/>
                <w:sz w:val="15"/>
                <w:szCs w:val="15"/>
              </w:rPr>
              <w:t>Proceeds from sale of joint venture investment</w:t>
            </w:r>
          </w:p>
        </w:tc>
        <w:tc>
          <w:tcPr>
            <w:tcW w:w="0" w:type="auto"/>
            <w:gridSpan w:val="2"/>
            <w:shd w:val="clear" w:color="auto" w:fill="CCEEFF"/>
            <w:tcMar>
              <w:top w:w="40" w:type="dxa"/>
              <w:left w:w="40" w:type="dxa"/>
              <w:bottom w:w="40" w:type="dxa"/>
            </w:tcMar>
            <w:vAlign w:val="bottom"/>
          </w:tcPr>
          <w:p w14:paraId="5556B19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19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9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19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9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172</w:t>
            </w:r>
          </w:p>
        </w:tc>
        <w:tc>
          <w:tcPr>
            <w:tcW w:w="0" w:type="auto"/>
            <w:shd w:val="clear" w:color="auto" w:fill="CCEEFF"/>
            <w:vAlign w:val="bottom"/>
          </w:tcPr>
          <w:p w14:paraId="5556B19E" w14:textId="77777777" w:rsidR="00F925DD" w:rsidRDefault="00F925DD">
            <w:pPr>
              <w:textAlignment w:val="bottom"/>
              <w:rPr>
                <w:rFonts w:ascii="Times New Roman" w:hAnsi="Times New Roman"/>
                <w:sz w:val="20"/>
                <w:szCs w:val="20"/>
              </w:rPr>
            </w:pPr>
          </w:p>
        </w:tc>
      </w:tr>
      <w:tr w:rsidR="00F925DD" w14:paraId="5556B1A9" w14:textId="77777777">
        <w:tc>
          <w:tcPr>
            <w:tcW w:w="0" w:type="auto"/>
            <w:shd w:val="clear" w:color="auto" w:fill="auto"/>
            <w:tcMar>
              <w:top w:w="40" w:type="dxa"/>
              <w:left w:w="40" w:type="dxa"/>
              <w:bottom w:w="40" w:type="dxa"/>
              <w:right w:w="40" w:type="dxa"/>
            </w:tcMar>
            <w:vAlign w:val="bottom"/>
          </w:tcPr>
          <w:p w14:paraId="5556B1A0"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net</w:t>
            </w:r>
          </w:p>
        </w:tc>
        <w:tc>
          <w:tcPr>
            <w:tcW w:w="0" w:type="auto"/>
            <w:gridSpan w:val="2"/>
            <w:tcBorders>
              <w:bottom w:val="single" w:sz="8" w:space="0" w:color="000000"/>
            </w:tcBorders>
            <w:shd w:val="clear" w:color="auto" w:fill="auto"/>
            <w:tcMar>
              <w:top w:w="40" w:type="dxa"/>
              <w:left w:w="40" w:type="dxa"/>
              <w:bottom w:w="40" w:type="dxa"/>
            </w:tcMar>
            <w:vAlign w:val="bottom"/>
          </w:tcPr>
          <w:p w14:paraId="5556B1A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720</w:t>
            </w:r>
          </w:p>
        </w:tc>
        <w:tc>
          <w:tcPr>
            <w:tcW w:w="0" w:type="auto"/>
            <w:tcBorders>
              <w:bottom w:val="single" w:sz="8" w:space="0" w:color="000000"/>
            </w:tcBorders>
            <w:shd w:val="clear" w:color="auto" w:fill="auto"/>
            <w:vAlign w:val="bottom"/>
          </w:tcPr>
          <w:p w14:paraId="5556B1A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B1A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76</w:t>
            </w:r>
          </w:p>
        </w:tc>
        <w:tc>
          <w:tcPr>
            <w:tcW w:w="0" w:type="auto"/>
            <w:tcBorders>
              <w:bottom w:val="single" w:sz="8" w:space="0" w:color="000000"/>
            </w:tcBorders>
            <w:shd w:val="clear" w:color="auto" w:fill="auto"/>
            <w:vAlign w:val="bottom"/>
          </w:tcPr>
          <w:p w14:paraId="5556B1A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B1A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102</w:t>
            </w:r>
          </w:p>
        </w:tc>
        <w:tc>
          <w:tcPr>
            <w:tcW w:w="0" w:type="auto"/>
            <w:tcBorders>
              <w:bottom w:val="single" w:sz="8" w:space="0" w:color="000000"/>
            </w:tcBorders>
            <w:shd w:val="clear" w:color="auto" w:fill="auto"/>
            <w:vAlign w:val="bottom"/>
          </w:tcPr>
          <w:p w14:paraId="5556B1A8" w14:textId="77777777" w:rsidR="00F925DD" w:rsidRDefault="00F925DD">
            <w:pPr>
              <w:textAlignment w:val="bottom"/>
              <w:rPr>
                <w:rFonts w:ascii="Times New Roman" w:hAnsi="Times New Roman"/>
                <w:sz w:val="20"/>
                <w:szCs w:val="20"/>
              </w:rPr>
            </w:pPr>
          </w:p>
        </w:tc>
      </w:tr>
      <w:tr w:rsidR="00F925DD" w14:paraId="5556B1B3" w14:textId="77777777">
        <w:tc>
          <w:tcPr>
            <w:tcW w:w="0" w:type="auto"/>
            <w:shd w:val="clear" w:color="auto" w:fill="CCEEFF"/>
            <w:tcMar>
              <w:top w:w="40" w:type="dxa"/>
              <w:left w:w="40" w:type="dxa"/>
              <w:bottom w:w="40" w:type="dxa"/>
              <w:right w:w="40" w:type="dxa"/>
            </w:tcMar>
            <w:vAlign w:val="bottom"/>
          </w:tcPr>
          <w:p w14:paraId="5556B1AA" w14:textId="77777777" w:rsidR="00F925DD" w:rsidRDefault="00E705D7">
            <w:pPr>
              <w:textAlignment w:val="bottom"/>
              <w:rPr>
                <w:rFonts w:ascii="Times New Roman" w:hAnsi="Times New Roman"/>
                <w:sz w:val="15"/>
                <w:szCs w:val="15"/>
              </w:rPr>
            </w:pPr>
            <w:r>
              <w:rPr>
                <w:rFonts w:ascii="Arial" w:eastAsia="宋体" w:hAnsi="Arial" w:cs="Arial"/>
                <w:sz w:val="15"/>
                <w:szCs w:val="15"/>
              </w:rPr>
              <w:t>Net cash (used in) provided by investing activities</w:t>
            </w:r>
          </w:p>
        </w:tc>
        <w:tc>
          <w:tcPr>
            <w:tcW w:w="0" w:type="auto"/>
            <w:gridSpan w:val="2"/>
            <w:tcBorders>
              <w:top w:val="single" w:sz="8" w:space="0" w:color="000000"/>
            </w:tcBorders>
            <w:shd w:val="clear" w:color="auto" w:fill="CCEEFF"/>
            <w:tcMar>
              <w:top w:w="40" w:type="dxa"/>
              <w:left w:w="40" w:type="dxa"/>
              <w:bottom w:w="40" w:type="dxa"/>
            </w:tcMar>
            <w:vAlign w:val="bottom"/>
          </w:tcPr>
          <w:p w14:paraId="5556B1A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(2,626</w:t>
            </w:r>
          </w:p>
        </w:tc>
        <w:tc>
          <w:tcPr>
            <w:tcW w:w="0" w:type="auto"/>
            <w:tcBorders>
              <w:top w:val="single" w:sz="8" w:space="0" w:color="000000"/>
            </w:tcBorders>
            <w:shd w:val="clear" w:color="auto" w:fill="CCEEFF"/>
            <w:tcMar>
              <w:top w:w="40" w:type="dxa"/>
              <w:bottom w:w="40" w:type="dxa"/>
              <w:right w:w="40" w:type="dxa"/>
            </w:tcMar>
            <w:vAlign w:val="bottom"/>
          </w:tcPr>
          <w:p w14:paraId="5556B1A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1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1A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(4,496</w:t>
            </w:r>
          </w:p>
        </w:tc>
        <w:tc>
          <w:tcPr>
            <w:tcW w:w="0" w:type="auto"/>
            <w:tcBorders>
              <w:top w:val="single" w:sz="8" w:space="0" w:color="000000"/>
            </w:tcBorders>
            <w:shd w:val="clear" w:color="auto" w:fill="CCEEFF"/>
            <w:tcMar>
              <w:top w:w="40" w:type="dxa"/>
              <w:bottom w:w="40" w:type="dxa"/>
              <w:right w:w="40" w:type="dxa"/>
            </w:tcMar>
            <w:vAlign w:val="bottom"/>
          </w:tcPr>
          <w:p w14:paraId="5556B1A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1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B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48</w:t>
            </w:r>
          </w:p>
        </w:tc>
        <w:tc>
          <w:tcPr>
            <w:tcW w:w="0" w:type="auto"/>
            <w:shd w:val="clear" w:color="auto" w:fill="CCEEFF"/>
            <w:vAlign w:val="bottom"/>
          </w:tcPr>
          <w:p w14:paraId="5556B1B2" w14:textId="77777777" w:rsidR="00F925DD" w:rsidRDefault="00F925DD">
            <w:pPr>
              <w:textAlignment w:val="bottom"/>
              <w:rPr>
                <w:rFonts w:ascii="Times New Roman" w:hAnsi="Times New Roman"/>
                <w:sz w:val="20"/>
                <w:szCs w:val="20"/>
              </w:rPr>
            </w:pPr>
          </w:p>
        </w:tc>
      </w:tr>
      <w:tr w:rsidR="00F925DD" w14:paraId="5556B1BA" w14:textId="77777777">
        <w:tc>
          <w:tcPr>
            <w:tcW w:w="0" w:type="auto"/>
            <w:shd w:val="clear" w:color="auto" w:fill="auto"/>
            <w:tcMar>
              <w:top w:w="40" w:type="dxa"/>
              <w:left w:w="40" w:type="dxa"/>
              <w:bottom w:w="40" w:type="dxa"/>
              <w:right w:w="40" w:type="dxa"/>
            </w:tcMar>
            <w:vAlign w:val="bottom"/>
          </w:tcPr>
          <w:p w14:paraId="5556B1B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Financing Activities:</w:t>
            </w:r>
          </w:p>
        </w:tc>
        <w:tc>
          <w:tcPr>
            <w:tcW w:w="0" w:type="auto"/>
            <w:gridSpan w:val="3"/>
            <w:shd w:val="clear" w:color="auto" w:fill="auto"/>
            <w:tcMar>
              <w:top w:w="40" w:type="dxa"/>
              <w:left w:w="40" w:type="dxa"/>
              <w:bottom w:w="40" w:type="dxa"/>
              <w:right w:w="40" w:type="dxa"/>
            </w:tcMar>
            <w:vAlign w:val="bottom"/>
          </w:tcPr>
          <w:p w14:paraId="5556B1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1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1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1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1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1C4" w14:textId="77777777">
        <w:tc>
          <w:tcPr>
            <w:tcW w:w="0" w:type="auto"/>
            <w:shd w:val="clear" w:color="auto" w:fill="CCEEFF"/>
            <w:tcMar>
              <w:top w:w="40" w:type="dxa"/>
              <w:left w:w="40" w:type="dxa"/>
              <w:bottom w:w="40" w:type="dxa"/>
              <w:right w:w="40" w:type="dxa"/>
            </w:tcMar>
            <w:vAlign w:val="bottom"/>
          </w:tcPr>
          <w:p w14:paraId="5556B1BB" w14:textId="77777777" w:rsidR="00F925DD" w:rsidRDefault="00E705D7">
            <w:pPr>
              <w:textAlignment w:val="bottom"/>
              <w:rPr>
                <w:rFonts w:ascii="Times New Roman" w:hAnsi="Times New Roman"/>
                <w:sz w:val="15"/>
                <w:szCs w:val="15"/>
              </w:rPr>
            </w:pPr>
            <w:r>
              <w:rPr>
                <w:rFonts w:ascii="Arial" w:eastAsia="宋体" w:hAnsi="Arial" w:cs="Arial"/>
                <w:sz w:val="15"/>
                <w:szCs w:val="15"/>
              </w:rPr>
              <w:t>Net (decrease) increase in time deposits</w:t>
            </w:r>
          </w:p>
        </w:tc>
        <w:tc>
          <w:tcPr>
            <w:tcW w:w="0" w:type="auto"/>
            <w:gridSpan w:val="2"/>
            <w:shd w:val="clear" w:color="auto" w:fill="CCEEFF"/>
            <w:tcMar>
              <w:top w:w="40" w:type="dxa"/>
              <w:left w:w="40" w:type="dxa"/>
              <w:bottom w:w="40" w:type="dxa"/>
            </w:tcMar>
            <w:vAlign w:val="bottom"/>
          </w:tcPr>
          <w:p w14:paraId="5556B1B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(11,255</w:t>
            </w:r>
          </w:p>
        </w:tc>
        <w:tc>
          <w:tcPr>
            <w:tcW w:w="0" w:type="auto"/>
            <w:shd w:val="clear" w:color="auto" w:fill="CCEEFF"/>
            <w:tcMar>
              <w:top w:w="40" w:type="dxa"/>
              <w:bottom w:w="40" w:type="dxa"/>
              <w:right w:w="40" w:type="dxa"/>
            </w:tcMar>
            <w:vAlign w:val="bottom"/>
          </w:tcPr>
          <w:p w14:paraId="5556B1B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1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B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6,673</w:t>
            </w:r>
          </w:p>
        </w:tc>
        <w:tc>
          <w:tcPr>
            <w:tcW w:w="0" w:type="auto"/>
            <w:shd w:val="clear" w:color="auto" w:fill="CCEEFF"/>
            <w:vAlign w:val="bottom"/>
          </w:tcPr>
          <w:p w14:paraId="5556B1C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C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(15,306</w:t>
            </w:r>
          </w:p>
        </w:tc>
        <w:tc>
          <w:tcPr>
            <w:tcW w:w="0" w:type="auto"/>
            <w:shd w:val="clear" w:color="auto" w:fill="CCEEFF"/>
            <w:tcMar>
              <w:top w:w="40" w:type="dxa"/>
              <w:bottom w:w="40" w:type="dxa"/>
              <w:right w:w="40" w:type="dxa"/>
            </w:tcMar>
            <w:vAlign w:val="bottom"/>
          </w:tcPr>
          <w:p w14:paraId="5556B1C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1CE" w14:textId="77777777">
        <w:tc>
          <w:tcPr>
            <w:tcW w:w="0" w:type="auto"/>
            <w:shd w:val="clear" w:color="auto" w:fill="auto"/>
            <w:tcMar>
              <w:top w:w="40" w:type="dxa"/>
              <w:left w:w="40" w:type="dxa"/>
              <w:bottom w:w="40" w:type="dxa"/>
              <w:right w:w="40" w:type="dxa"/>
            </w:tcMar>
            <w:vAlign w:val="bottom"/>
          </w:tcPr>
          <w:p w14:paraId="5556B1C5"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Net increase (decrease) in all other </w:t>
            </w:r>
            <w:r>
              <w:rPr>
                <w:rFonts w:ascii="Arial" w:eastAsia="宋体" w:hAnsi="Arial" w:cs="Arial"/>
                <w:sz w:val="15"/>
                <w:szCs w:val="15"/>
              </w:rPr>
              <w:t>deposits</w:t>
            </w:r>
          </w:p>
        </w:tc>
        <w:tc>
          <w:tcPr>
            <w:tcW w:w="0" w:type="auto"/>
            <w:gridSpan w:val="2"/>
            <w:shd w:val="clear" w:color="auto" w:fill="auto"/>
            <w:tcMar>
              <w:top w:w="40" w:type="dxa"/>
              <w:left w:w="40" w:type="dxa"/>
              <w:bottom w:w="40" w:type="dxa"/>
            </w:tcMar>
            <w:vAlign w:val="bottom"/>
          </w:tcPr>
          <w:p w14:paraId="5556B1C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12,767</w:t>
            </w:r>
          </w:p>
        </w:tc>
        <w:tc>
          <w:tcPr>
            <w:tcW w:w="0" w:type="auto"/>
            <w:shd w:val="clear" w:color="auto" w:fill="auto"/>
            <w:vAlign w:val="bottom"/>
          </w:tcPr>
          <w:p w14:paraId="5556B1C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C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(11,209</w:t>
            </w:r>
          </w:p>
        </w:tc>
        <w:tc>
          <w:tcPr>
            <w:tcW w:w="0" w:type="auto"/>
            <w:shd w:val="clear" w:color="auto" w:fill="auto"/>
            <w:tcMar>
              <w:top w:w="40" w:type="dxa"/>
              <w:bottom w:w="40" w:type="dxa"/>
              <w:right w:w="40" w:type="dxa"/>
            </w:tcMar>
            <w:vAlign w:val="bottom"/>
          </w:tcPr>
          <w:p w14:paraId="5556B1C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1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C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13,040</w:t>
            </w:r>
          </w:p>
        </w:tc>
        <w:tc>
          <w:tcPr>
            <w:tcW w:w="0" w:type="auto"/>
            <w:shd w:val="clear" w:color="auto" w:fill="auto"/>
            <w:vAlign w:val="bottom"/>
          </w:tcPr>
          <w:p w14:paraId="5556B1CD" w14:textId="77777777" w:rsidR="00F925DD" w:rsidRDefault="00F925DD">
            <w:pPr>
              <w:textAlignment w:val="bottom"/>
              <w:rPr>
                <w:rFonts w:ascii="Times New Roman" w:hAnsi="Times New Roman"/>
                <w:sz w:val="20"/>
                <w:szCs w:val="20"/>
              </w:rPr>
            </w:pPr>
          </w:p>
        </w:tc>
      </w:tr>
      <w:tr w:rsidR="00F925DD" w14:paraId="5556B1D8" w14:textId="77777777">
        <w:tc>
          <w:tcPr>
            <w:tcW w:w="0" w:type="auto"/>
            <w:shd w:val="clear" w:color="auto" w:fill="CCEEFF"/>
            <w:tcMar>
              <w:top w:w="40" w:type="dxa"/>
              <w:left w:w="40" w:type="dxa"/>
              <w:bottom w:w="40" w:type="dxa"/>
              <w:right w:w="40" w:type="dxa"/>
            </w:tcMar>
            <w:vAlign w:val="bottom"/>
          </w:tcPr>
          <w:p w14:paraId="5556B1CF" w14:textId="77777777" w:rsidR="00F925DD" w:rsidRDefault="00E705D7">
            <w:pPr>
              <w:textAlignment w:val="bottom"/>
              <w:rPr>
                <w:rFonts w:ascii="Times New Roman" w:hAnsi="Times New Roman"/>
                <w:sz w:val="15"/>
                <w:szCs w:val="15"/>
              </w:rPr>
            </w:pPr>
            <w:r>
              <w:rPr>
                <w:rFonts w:ascii="Arial" w:eastAsia="宋体" w:hAnsi="Arial" w:cs="Arial"/>
                <w:sz w:val="15"/>
                <w:szCs w:val="15"/>
              </w:rPr>
              <w:t>Net (decrease) increase in other short-term borrowings</w:t>
            </w:r>
          </w:p>
        </w:tc>
        <w:tc>
          <w:tcPr>
            <w:tcW w:w="0" w:type="auto"/>
            <w:gridSpan w:val="2"/>
            <w:shd w:val="clear" w:color="auto" w:fill="CCEEFF"/>
            <w:tcMar>
              <w:top w:w="40" w:type="dxa"/>
              <w:left w:w="40" w:type="dxa"/>
              <w:bottom w:w="40" w:type="dxa"/>
            </w:tcMar>
            <w:vAlign w:val="bottom"/>
          </w:tcPr>
          <w:p w14:paraId="5556B1D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(2,233</w:t>
            </w:r>
          </w:p>
        </w:tc>
        <w:tc>
          <w:tcPr>
            <w:tcW w:w="0" w:type="auto"/>
            <w:shd w:val="clear" w:color="auto" w:fill="CCEEFF"/>
            <w:tcMar>
              <w:top w:w="40" w:type="dxa"/>
              <w:bottom w:w="40" w:type="dxa"/>
              <w:right w:w="40" w:type="dxa"/>
            </w:tcMar>
            <w:vAlign w:val="bottom"/>
          </w:tcPr>
          <w:p w14:paraId="5556B1D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1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D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188</w:t>
            </w:r>
          </w:p>
        </w:tc>
        <w:tc>
          <w:tcPr>
            <w:tcW w:w="0" w:type="auto"/>
            <w:shd w:val="clear" w:color="auto" w:fill="CCEEFF"/>
            <w:vAlign w:val="bottom"/>
          </w:tcPr>
          <w:p w14:paraId="5556B1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D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(1,999</w:t>
            </w:r>
          </w:p>
        </w:tc>
        <w:tc>
          <w:tcPr>
            <w:tcW w:w="0" w:type="auto"/>
            <w:shd w:val="clear" w:color="auto" w:fill="CCEEFF"/>
            <w:tcMar>
              <w:top w:w="40" w:type="dxa"/>
              <w:bottom w:w="40" w:type="dxa"/>
              <w:right w:w="40" w:type="dxa"/>
            </w:tcMar>
            <w:vAlign w:val="bottom"/>
          </w:tcPr>
          <w:p w14:paraId="5556B1D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1E2" w14:textId="77777777">
        <w:tc>
          <w:tcPr>
            <w:tcW w:w="0" w:type="auto"/>
            <w:shd w:val="clear" w:color="auto" w:fill="auto"/>
            <w:tcMar>
              <w:top w:w="40" w:type="dxa"/>
              <w:left w:w="40" w:type="dxa"/>
              <w:bottom w:w="40" w:type="dxa"/>
              <w:right w:w="40" w:type="dxa"/>
            </w:tcMar>
            <w:vAlign w:val="bottom"/>
          </w:tcPr>
          <w:p w14:paraId="5556B1D9" w14:textId="77777777" w:rsidR="00F925DD" w:rsidRDefault="00E705D7">
            <w:pPr>
              <w:textAlignment w:val="bottom"/>
              <w:rPr>
                <w:rFonts w:ascii="Times New Roman" w:hAnsi="Times New Roman"/>
                <w:sz w:val="15"/>
                <w:szCs w:val="15"/>
              </w:rPr>
            </w:pPr>
            <w:r>
              <w:rPr>
                <w:rFonts w:ascii="Arial" w:eastAsia="宋体" w:hAnsi="Arial" w:cs="Arial"/>
                <w:sz w:val="15"/>
                <w:szCs w:val="15"/>
              </w:rPr>
              <w:t>Proceeds from issuance of long-term debt, net of issuance costs</w:t>
            </w:r>
          </w:p>
        </w:tc>
        <w:tc>
          <w:tcPr>
            <w:tcW w:w="0" w:type="auto"/>
            <w:gridSpan w:val="2"/>
            <w:shd w:val="clear" w:color="auto" w:fill="auto"/>
            <w:tcMar>
              <w:top w:w="40" w:type="dxa"/>
              <w:left w:w="40" w:type="dxa"/>
              <w:bottom w:w="40" w:type="dxa"/>
            </w:tcMar>
            <w:vAlign w:val="bottom"/>
          </w:tcPr>
          <w:p w14:paraId="5556B1D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1,495</w:t>
            </w:r>
          </w:p>
        </w:tc>
        <w:tc>
          <w:tcPr>
            <w:tcW w:w="0" w:type="auto"/>
            <w:shd w:val="clear" w:color="auto" w:fill="auto"/>
            <w:vAlign w:val="bottom"/>
          </w:tcPr>
          <w:p w14:paraId="5556B1D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D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995</w:t>
            </w:r>
          </w:p>
        </w:tc>
        <w:tc>
          <w:tcPr>
            <w:tcW w:w="0" w:type="auto"/>
            <w:shd w:val="clear" w:color="auto" w:fill="auto"/>
            <w:vAlign w:val="bottom"/>
          </w:tcPr>
          <w:p w14:paraId="5556B1D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E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747</w:t>
            </w:r>
          </w:p>
        </w:tc>
        <w:tc>
          <w:tcPr>
            <w:tcW w:w="0" w:type="auto"/>
            <w:shd w:val="clear" w:color="auto" w:fill="auto"/>
            <w:vAlign w:val="bottom"/>
          </w:tcPr>
          <w:p w14:paraId="5556B1E1" w14:textId="77777777" w:rsidR="00F925DD" w:rsidRDefault="00F925DD">
            <w:pPr>
              <w:textAlignment w:val="bottom"/>
              <w:rPr>
                <w:rFonts w:ascii="Times New Roman" w:hAnsi="Times New Roman"/>
                <w:sz w:val="20"/>
                <w:szCs w:val="20"/>
              </w:rPr>
            </w:pPr>
          </w:p>
        </w:tc>
      </w:tr>
      <w:tr w:rsidR="00F925DD" w14:paraId="5556B1EC" w14:textId="77777777">
        <w:tc>
          <w:tcPr>
            <w:tcW w:w="0" w:type="auto"/>
            <w:shd w:val="clear" w:color="auto" w:fill="CCEEFF"/>
            <w:tcMar>
              <w:top w:w="40" w:type="dxa"/>
              <w:left w:w="40" w:type="dxa"/>
              <w:bottom w:w="40" w:type="dxa"/>
              <w:right w:w="40" w:type="dxa"/>
            </w:tcMar>
            <w:vAlign w:val="bottom"/>
          </w:tcPr>
          <w:p w14:paraId="5556B1E3"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Payments for long-term debt and </w:t>
            </w:r>
            <w:r>
              <w:rPr>
                <w:rFonts w:ascii="Arial" w:eastAsia="宋体" w:hAnsi="Arial" w:cs="Arial"/>
                <w:sz w:val="15"/>
                <w:szCs w:val="15"/>
              </w:rPr>
              <w:t>obligations under finance leases</w:t>
            </w:r>
          </w:p>
        </w:tc>
        <w:tc>
          <w:tcPr>
            <w:tcW w:w="0" w:type="auto"/>
            <w:gridSpan w:val="2"/>
            <w:shd w:val="clear" w:color="auto" w:fill="CCEEFF"/>
            <w:tcMar>
              <w:top w:w="40" w:type="dxa"/>
              <w:left w:w="40" w:type="dxa"/>
              <w:bottom w:w="40" w:type="dxa"/>
            </w:tcMar>
            <w:vAlign w:val="bottom"/>
          </w:tcPr>
          <w:p w14:paraId="5556B1E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(402</w:t>
            </w:r>
          </w:p>
        </w:tc>
        <w:tc>
          <w:tcPr>
            <w:tcW w:w="0" w:type="auto"/>
            <w:shd w:val="clear" w:color="auto" w:fill="CCEEFF"/>
            <w:tcMar>
              <w:top w:w="40" w:type="dxa"/>
              <w:bottom w:w="40" w:type="dxa"/>
              <w:right w:w="40" w:type="dxa"/>
            </w:tcMar>
            <w:vAlign w:val="bottom"/>
          </w:tcPr>
          <w:p w14:paraId="5556B1E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1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E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(1,461</w:t>
            </w:r>
          </w:p>
        </w:tc>
        <w:tc>
          <w:tcPr>
            <w:tcW w:w="0" w:type="auto"/>
            <w:shd w:val="clear" w:color="auto" w:fill="CCEEFF"/>
            <w:tcMar>
              <w:top w:w="40" w:type="dxa"/>
              <w:bottom w:w="40" w:type="dxa"/>
              <w:right w:w="40" w:type="dxa"/>
            </w:tcMar>
            <w:vAlign w:val="bottom"/>
          </w:tcPr>
          <w:p w14:paraId="5556B1E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1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E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(493</w:t>
            </w:r>
          </w:p>
        </w:tc>
        <w:tc>
          <w:tcPr>
            <w:tcW w:w="0" w:type="auto"/>
            <w:shd w:val="clear" w:color="auto" w:fill="CCEEFF"/>
            <w:tcMar>
              <w:top w:w="40" w:type="dxa"/>
              <w:bottom w:w="40" w:type="dxa"/>
              <w:right w:w="40" w:type="dxa"/>
            </w:tcMar>
            <w:vAlign w:val="bottom"/>
          </w:tcPr>
          <w:p w14:paraId="5556B1E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1F6" w14:textId="77777777">
        <w:tc>
          <w:tcPr>
            <w:tcW w:w="0" w:type="auto"/>
            <w:shd w:val="clear" w:color="auto" w:fill="auto"/>
            <w:tcMar>
              <w:top w:w="40" w:type="dxa"/>
              <w:left w:w="40" w:type="dxa"/>
              <w:bottom w:w="40" w:type="dxa"/>
              <w:right w:w="40" w:type="dxa"/>
            </w:tcMar>
            <w:vAlign w:val="bottom"/>
          </w:tcPr>
          <w:p w14:paraId="5556B1ED" w14:textId="77777777" w:rsidR="00F925DD" w:rsidRDefault="00E705D7">
            <w:pPr>
              <w:textAlignment w:val="bottom"/>
              <w:rPr>
                <w:rFonts w:ascii="Times New Roman" w:hAnsi="Times New Roman"/>
                <w:sz w:val="15"/>
                <w:szCs w:val="15"/>
              </w:rPr>
            </w:pPr>
            <w:r>
              <w:rPr>
                <w:rFonts w:ascii="Arial" w:eastAsia="宋体" w:hAnsi="Arial" w:cs="Arial"/>
                <w:sz w:val="15"/>
                <w:szCs w:val="15"/>
              </w:rPr>
              <w:t>Payments for redemption of preferred stock</w:t>
            </w:r>
          </w:p>
        </w:tc>
        <w:tc>
          <w:tcPr>
            <w:tcW w:w="0" w:type="auto"/>
            <w:gridSpan w:val="2"/>
            <w:shd w:val="clear" w:color="auto" w:fill="auto"/>
            <w:tcMar>
              <w:top w:w="40" w:type="dxa"/>
              <w:left w:w="40" w:type="dxa"/>
              <w:bottom w:w="40" w:type="dxa"/>
            </w:tcMar>
            <w:vAlign w:val="bottom"/>
          </w:tcPr>
          <w:p w14:paraId="5556B1E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(750</w:t>
            </w:r>
          </w:p>
        </w:tc>
        <w:tc>
          <w:tcPr>
            <w:tcW w:w="0" w:type="auto"/>
            <w:shd w:val="clear" w:color="auto" w:fill="auto"/>
            <w:tcMar>
              <w:top w:w="40" w:type="dxa"/>
              <w:bottom w:w="40" w:type="dxa"/>
              <w:right w:w="40" w:type="dxa"/>
            </w:tcMar>
            <w:vAlign w:val="bottom"/>
          </w:tcPr>
          <w:p w14:paraId="5556B1E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1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F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1F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1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1F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1F5" w14:textId="77777777" w:rsidR="00F925DD" w:rsidRDefault="00F925DD">
            <w:pPr>
              <w:textAlignment w:val="bottom"/>
              <w:rPr>
                <w:rFonts w:ascii="Times New Roman" w:hAnsi="Times New Roman"/>
                <w:sz w:val="20"/>
                <w:szCs w:val="20"/>
              </w:rPr>
            </w:pPr>
          </w:p>
        </w:tc>
      </w:tr>
      <w:tr w:rsidR="00F925DD" w14:paraId="5556B200" w14:textId="77777777">
        <w:tc>
          <w:tcPr>
            <w:tcW w:w="0" w:type="auto"/>
            <w:shd w:val="clear" w:color="auto" w:fill="CCEEFF"/>
            <w:tcMar>
              <w:top w:w="40" w:type="dxa"/>
              <w:left w:w="40" w:type="dxa"/>
              <w:bottom w:w="40" w:type="dxa"/>
              <w:right w:w="40" w:type="dxa"/>
            </w:tcMar>
            <w:vAlign w:val="bottom"/>
          </w:tcPr>
          <w:p w14:paraId="5556B1F7" w14:textId="77777777" w:rsidR="00F925DD" w:rsidRDefault="00E705D7">
            <w:pPr>
              <w:textAlignment w:val="bottom"/>
              <w:rPr>
                <w:rFonts w:ascii="Times New Roman" w:hAnsi="Times New Roman"/>
                <w:sz w:val="15"/>
                <w:szCs w:val="15"/>
              </w:rPr>
            </w:pPr>
            <w:r>
              <w:rPr>
                <w:rFonts w:ascii="Arial" w:eastAsia="宋体" w:hAnsi="Arial" w:cs="Arial"/>
                <w:sz w:val="15"/>
                <w:szCs w:val="15"/>
              </w:rPr>
              <w:t>Proceeds from issuance of preferred stock, net of issuance costs</w:t>
            </w:r>
          </w:p>
        </w:tc>
        <w:tc>
          <w:tcPr>
            <w:tcW w:w="0" w:type="auto"/>
            <w:gridSpan w:val="2"/>
            <w:shd w:val="clear" w:color="auto" w:fill="CCEEFF"/>
            <w:tcMar>
              <w:top w:w="40" w:type="dxa"/>
              <w:left w:w="40" w:type="dxa"/>
              <w:bottom w:w="40" w:type="dxa"/>
            </w:tcMar>
            <w:vAlign w:val="bottom"/>
          </w:tcPr>
          <w:p w14:paraId="5556B1F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1F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F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495</w:t>
            </w:r>
          </w:p>
        </w:tc>
        <w:tc>
          <w:tcPr>
            <w:tcW w:w="0" w:type="auto"/>
            <w:shd w:val="clear" w:color="auto" w:fill="CCEEFF"/>
            <w:vAlign w:val="bottom"/>
          </w:tcPr>
          <w:p w14:paraId="5556B1F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1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1F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1FF" w14:textId="77777777" w:rsidR="00F925DD" w:rsidRDefault="00F925DD">
            <w:pPr>
              <w:textAlignment w:val="bottom"/>
              <w:rPr>
                <w:rFonts w:ascii="Times New Roman" w:hAnsi="Times New Roman"/>
                <w:sz w:val="20"/>
                <w:szCs w:val="20"/>
              </w:rPr>
            </w:pPr>
          </w:p>
        </w:tc>
      </w:tr>
      <w:tr w:rsidR="00F925DD" w14:paraId="5556B20A" w14:textId="77777777">
        <w:tc>
          <w:tcPr>
            <w:tcW w:w="0" w:type="auto"/>
            <w:shd w:val="clear" w:color="auto" w:fill="auto"/>
            <w:tcMar>
              <w:top w:w="40" w:type="dxa"/>
              <w:left w:w="40" w:type="dxa"/>
              <w:bottom w:w="40" w:type="dxa"/>
              <w:right w:w="40" w:type="dxa"/>
            </w:tcMar>
            <w:vAlign w:val="bottom"/>
          </w:tcPr>
          <w:p w14:paraId="5556B201"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Proceeds from issuance of common stock, net of </w:t>
            </w:r>
            <w:r>
              <w:rPr>
                <w:rFonts w:ascii="Arial" w:eastAsia="宋体" w:hAnsi="Arial" w:cs="Arial"/>
                <w:sz w:val="15"/>
                <w:szCs w:val="15"/>
              </w:rPr>
              <w:t>issuance costs</w:t>
            </w:r>
          </w:p>
        </w:tc>
        <w:tc>
          <w:tcPr>
            <w:tcW w:w="0" w:type="auto"/>
            <w:gridSpan w:val="2"/>
            <w:shd w:val="clear" w:color="auto" w:fill="auto"/>
            <w:tcMar>
              <w:top w:w="40" w:type="dxa"/>
              <w:left w:w="40" w:type="dxa"/>
              <w:bottom w:w="40" w:type="dxa"/>
            </w:tcMar>
            <w:vAlign w:val="bottom"/>
          </w:tcPr>
          <w:p w14:paraId="5556B20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20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2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20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1,150</w:t>
            </w:r>
          </w:p>
        </w:tc>
        <w:tc>
          <w:tcPr>
            <w:tcW w:w="0" w:type="auto"/>
            <w:shd w:val="clear" w:color="auto" w:fill="auto"/>
            <w:vAlign w:val="bottom"/>
          </w:tcPr>
          <w:p w14:paraId="5556B20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2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20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209" w14:textId="77777777" w:rsidR="00F925DD" w:rsidRDefault="00F925DD">
            <w:pPr>
              <w:textAlignment w:val="bottom"/>
              <w:rPr>
                <w:rFonts w:ascii="Times New Roman" w:hAnsi="Times New Roman"/>
                <w:sz w:val="20"/>
                <w:szCs w:val="20"/>
              </w:rPr>
            </w:pPr>
          </w:p>
        </w:tc>
      </w:tr>
      <w:tr w:rsidR="00F925DD" w14:paraId="5556B214" w14:textId="77777777">
        <w:tc>
          <w:tcPr>
            <w:tcW w:w="0" w:type="auto"/>
            <w:shd w:val="clear" w:color="auto" w:fill="CCEEFF"/>
            <w:tcMar>
              <w:top w:w="40" w:type="dxa"/>
              <w:left w:w="40" w:type="dxa"/>
              <w:bottom w:w="40" w:type="dxa"/>
              <w:right w:w="40" w:type="dxa"/>
            </w:tcMar>
            <w:vAlign w:val="bottom"/>
          </w:tcPr>
          <w:p w14:paraId="5556B20B" w14:textId="77777777" w:rsidR="00F925DD" w:rsidRDefault="00E705D7">
            <w:pPr>
              <w:textAlignment w:val="bottom"/>
              <w:rPr>
                <w:rFonts w:ascii="Times New Roman" w:hAnsi="Times New Roman"/>
                <w:sz w:val="15"/>
                <w:szCs w:val="15"/>
              </w:rPr>
            </w:pPr>
            <w:r>
              <w:rPr>
                <w:rFonts w:ascii="Arial" w:eastAsia="宋体" w:hAnsi="Arial" w:cs="Arial"/>
                <w:sz w:val="15"/>
                <w:szCs w:val="15"/>
              </w:rPr>
              <w:t>Repurchases of common stock</w:t>
            </w:r>
          </w:p>
        </w:tc>
        <w:tc>
          <w:tcPr>
            <w:tcW w:w="0" w:type="auto"/>
            <w:gridSpan w:val="2"/>
            <w:shd w:val="clear" w:color="auto" w:fill="CCEEFF"/>
            <w:tcMar>
              <w:top w:w="40" w:type="dxa"/>
              <w:left w:w="40" w:type="dxa"/>
              <w:bottom w:w="40" w:type="dxa"/>
            </w:tcMar>
            <w:vAlign w:val="bottom"/>
          </w:tcPr>
          <w:p w14:paraId="5556B20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(1,585</w:t>
            </w:r>
          </w:p>
        </w:tc>
        <w:tc>
          <w:tcPr>
            <w:tcW w:w="0" w:type="auto"/>
            <w:shd w:val="clear" w:color="auto" w:fill="CCEEFF"/>
            <w:tcMar>
              <w:top w:w="40" w:type="dxa"/>
              <w:bottom w:w="40" w:type="dxa"/>
              <w:right w:w="40" w:type="dxa"/>
            </w:tcMar>
            <w:vAlign w:val="bottom"/>
          </w:tcPr>
          <w:p w14:paraId="5556B20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2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20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(350</w:t>
            </w:r>
          </w:p>
        </w:tc>
        <w:tc>
          <w:tcPr>
            <w:tcW w:w="0" w:type="auto"/>
            <w:shd w:val="clear" w:color="auto" w:fill="CCEEFF"/>
            <w:tcMar>
              <w:top w:w="40" w:type="dxa"/>
              <w:bottom w:w="40" w:type="dxa"/>
              <w:right w:w="40" w:type="dxa"/>
            </w:tcMar>
            <w:vAlign w:val="bottom"/>
          </w:tcPr>
          <w:p w14:paraId="5556B21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2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21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(1,292</w:t>
            </w:r>
          </w:p>
        </w:tc>
        <w:tc>
          <w:tcPr>
            <w:tcW w:w="0" w:type="auto"/>
            <w:shd w:val="clear" w:color="auto" w:fill="CCEEFF"/>
            <w:tcMar>
              <w:top w:w="40" w:type="dxa"/>
              <w:bottom w:w="40" w:type="dxa"/>
              <w:right w:w="40" w:type="dxa"/>
            </w:tcMar>
            <w:vAlign w:val="bottom"/>
          </w:tcPr>
          <w:p w14:paraId="5556B21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21E" w14:textId="77777777">
        <w:tc>
          <w:tcPr>
            <w:tcW w:w="0" w:type="auto"/>
            <w:shd w:val="clear" w:color="auto" w:fill="auto"/>
            <w:tcMar>
              <w:top w:w="40" w:type="dxa"/>
              <w:left w:w="40" w:type="dxa"/>
              <w:bottom w:w="40" w:type="dxa"/>
              <w:right w:w="40" w:type="dxa"/>
            </w:tcMar>
            <w:vAlign w:val="bottom"/>
          </w:tcPr>
          <w:p w14:paraId="5556B215" w14:textId="77777777" w:rsidR="00F925DD" w:rsidRDefault="00E705D7">
            <w:pPr>
              <w:textAlignment w:val="bottom"/>
              <w:rPr>
                <w:rFonts w:ascii="Times New Roman" w:hAnsi="Times New Roman"/>
                <w:sz w:val="15"/>
                <w:szCs w:val="15"/>
              </w:rPr>
            </w:pPr>
            <w:r>
              <w:rPr>
                <w:rFonts w:ascii="Arial" w:eastAsia="宋体" w:hAnsi="Arial" w:cs="Arial"/>
                <w:sz w:val="15"/>
                <w:szCs w:val="15"/>
              </w:rPr>
              <w:t>Excess tax benefit related to stock-based compensation</w:t>
            </w:r>
          </w:p>
        </w:tc>
        <w:tc>
          <w:tcPr>
            <w:tcW w:w="0" w:type="auto"/>
            <w:gridSpan w:val="2"/>
            <w:shd w:val="clear" w:color="auto" w:fill="auto"/>
            <w:tcMar>
              <w:top w:w="40" w:type="dxa"/>
              <w:left w:w="40" w:type="dxa"/>
              <w:bottom w:w="40" w:type="dxa"/>
            </w:tcMar>
            <w:vAlign w:val="bottom"/>
          </w:tcPr>
          <w:p w14:paraId="5556B21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21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2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21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21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2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21C" w14:textId="77777777" w:rsidR="00F925DD" w:rsidRDefault="00F925DD">
            <w:pPr>
              <w:jc w:val="right"/>
              <w:textAlignment w:val="bottom"/>
              <w:rPr>
                <w:rFonts w:ascii="Times New Roman" w:hAnsi="Times New Roman"/>
                <w:sz w:val="15"/>
                <w:szCs w:val="15"/>
              </w:rPr>
            </w:pPr>
          </w:p>
        </w:tc>
        <w:tc>
          <w:tcPr>
            <w:tcW w:w="0" w:type="auto"/>
            <w:shd w:val="clear" w:color="auto" w:fill="auto"/>
            <w:vAlign w:val="bottom"/>
          </w:tcPr>
          <w:p w14:paraId="5556B21D" w14:textId="77777777" w:rsidR="00F925DD" w:rsidRDefault="00F925DD">
            <w:pPr>
              <w:textAlignment w:val="bottom"/>
              <w:rPr>
                <w:rFonts w:ascii="Times New Roman" w:hAnsi="Times New Roman"/>
                <w:sz w:val="20"/>
                <w:szCs w:val="20"/>
              </w:rPr>
            </w:pPr>
          </w:p>
        </w:tc>
      </w:tr>
      <w:tr w:rsidR="00F925DD" w14:paraId="5556B228" w14:textId="77777777">
        <w:tc>
          <w:tcPr>
            <w:tcW w:w="0" w:type="auto"/>
            <w:shd w:val="clear" w:color="auto" w:fill="CCEEFF"/>
            <w:tcMar>
              <w:top w:w="40" w:type="dxa"/>
              <w:left w:w="40" w:type="dxa"/>
              <w:bottom w:w="40" w:type="dxa"/>
              <w:right w:w="40" w:type="dxa"/>
            </w:tcMar>
            <w:vAlign w:val="bottom"/>
          </w:tcPr>
          <w:p w14:paraId="5556B21F" w14:textId="77777777" w:rsidR="00F925DD" w:rsidRDefault="00E705D7">
            <w:pPr>
              <w:textAlignment w:val="bottom"/>
              <w:rPr>
                <w:rFonts w:ascii="Times New Roman" w:hAnsi="Times New Roman"/>
                <w:sz w:val="15"/>
                <w:szCs w:val="15"/>
              </w:rPr>
            </w:pPr>
            <w:r>
              <w:rPr>
                <w:rFonts w:ascii="Arial" w:eastAsia="宋体" w:hAnsi="Arial" w:cs="Arial"/>
                <w:sz w:val="15"/>
                <w:szCs w:val="15"/>
              </w:rPr>
              <w:t>Repurchases of common stock for employee tax withholding</w:t>
            </w:r>
          </w:p>
        </w:tc>
        <w:tc>
          <w:tcPr>
            <w:tcW w:w="0" w:type="auto"/>
            <w:gridSpan w:val="2"/>
            <w:shd w:val="clear" w:color="auto" w:fill="CCEEFF"/>
            <w:tcMar>
              <w:top w:w="40" w:type="dxa"/>
              <w:left w:w="40" w:type="dxa"/>
              <w:bottom w:w="40" w:type="dxa"/>
            </w:tcMar>
            <w:vAlign w:val="bottom"/>
          </w:tcPr>
          <w:p w14:paraId="5556B22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(81</w:t>
            </w:r>
          </w:p>
        </w:tc>
        <w:tc>
          <w:tcPr>
            <w:tcW w:w="0" w:type="auto"/>
            <w:shd w:val="clear" w:color="auto" w:fill="CCEEFF"/>
            <w:tcMar>
              <w:top w:w="40" w:type="dxa"/>
              <w:bottom w:w="40" w:type="dxa"/>
              <w:right w:w="40" w:type="dxa"/>
            </w:tcMar>
            <w:vAlign w:val="bottom"/>
          </w:tcPr>
          <w:p w14:paraId="5556B22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2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22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(124</w:t>
            </w:r>
          </w:p>
        </w:tc>
        <w:tc>
          <w:tcPr>
            <w:tcW w:w="0" w:type="auto"/>
            <w:shd w:val="clear" w:color="auto" w:fill="CCEEFF"/>
            <w:tcMar>
              <w:top w:w="40" w:type="dxa"/>
              <w:bottom w:w="40" w:type="dxa"/>
              <w:right w:w="40" w:type="dxa"/>
            </w:tcMar>
            <w:vAlign w:val="bottom"/>
          </w:tcPr>
          <w:p w14:paraId="5556B22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2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22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(126</w:t>
            </w:r>
          </w:p>
        </w:tc>
        <w:tc>
          <w:tcPr>
            <w:tcW w:w="0" w:type="auto"/>
            <w:shd w:val="clear" w:color="auto" w:fill="CCEEFF"/>
            <w:tcMar>
              <w:top w:w="40" w:type="dxa"/>
              <w:bottom w:w="40" w:type="dxa"/>
              <w:right w:w="40" w:type="dxa"/>
            </w:tcMar>
            <w:vAlign w:val="bottom"/>
          </w:tcPr>
          <w:p w14:paraId="5556B22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232" w14:textId="77777777">
        <w:tc>
          <w:tcPr>
            <w:tcW w:w="0" w:type="auto"/>
            <w:shd w:val="clear" w:color="auto" w:fill="auto"/>
            <w:tcMar>
              <w:top w:w="40" w:type="dxa"/>
              <w:left w:w="40" w:type="dxa"/>
              <w:bottom w:w="40" w:type="dxa"/>
              <w:right w:w="40" w:type="dxa"/>
            </w:tcMar>
            <w:vAlign w:val="bottom"/>
          </w:tcPr>
          <w:p w14:paraId="5556B229" w14:textId="77777777" w:rsidR="00F925DD" w:rsidRDefault="00E705D7">
            <w:pPr>
              <w:textAlignment w:val="bottom"/>
              <w:rPr>
                <w:rFonts w:ascii="Times New Roman" w:hAnsi="Times New Roman"/>
                <w:sz w:val="15"/>
                <w:szCs w:val="15"/>
              </w:rPr>
            </w:pPr>
            <w:r>
              <w:rPr>
                <w:rFonts w:ascii="Arial" w:eastAsia="宋体" w:hAnsi="Arial" w:cs="Arial"/>
                <w:sz w:val="15"/>
                <w:szCs w:val="15"/>
              </w:rPr>
              <w:t>Payments for cash dividends</w:t>
            </w:r>
          </w:p>
        </w:tc>
        <w:tc>
          <w:tcPr>
            <w:tcW w:w="0" w:type="auto"/>
            <w:gridSpan w:val="2"/>
            <w:shd w:val="clear" w:color="auto" w:fill="auto"/>
            <w:tcMar>
              <w:top w:w="40" w:type="dxa"/>
              <w:left w:w="40" w:type="dxa"/>
              <w:bottom w:w="40" w:type="dxa"/>
            </w:tcMar>
            <w:vAlign w:val="bottom"/>
          </w:tcPr>
          <w:p w14:paraId="5556B22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(930</w:t>
            </w:r>
          </w:p>
        </w:tc>
        <w:tc>
          <w:tcPr>
            <w:tcW w:w="0" w:type="auto"/>
            <w:shd w:val="clear" w:color="auto" w:fill="auto"/>
            <w:tcMar>
              <w:top w:w="40" w:type="dxa"/>
              <w:bottom w:w="40" w:type="dxa"/>
              <w:right w:w="40" w:type="dxa"/>
            </w:tcMar>
            <w:vAlign w:val="bottom"/>
          </w:tcPr>
          <w:p w14:paraId="5556B22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2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22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(828</w:t>
            </w:r>
          </w:p>
        </w:tc>
        <w:tc>
          <w:tcPr>
            <w:tcW w:w="0" w:type="auto"/>
            <w:shd w:val="clear" w:color="auto" w:fill="auto"/>
            <w:tcMar>
              <w:top w:w="40" w:type="dxa"/>
              <w:bottom w:w="40" w:type="dxa"/>
              <w:right w:w="40" w:type="dxa"/>
            </w:tcMar>
            <w:vAlign w:val="bottom"/>
          </w:tcPr>
          <w:p w14:paraId="5556B22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2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23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(768</w:t>
            </w:r>
          </w:p>
        </w:tc>
        <w:tc>
          <w:tcPr>
            <w:tcW w:w="0" w:type="auto"/>
            <w:shd w:val="clear" w:color="auto" w:fill="auto"/>
            <w:tcMar>
              <w:top w:w="40" w:type="dxa"/>
              <w:bottom w:w="40" w:type="dxa"/>
              <w:right w:w="40" w:type="dxa"/>
            </w:tcMar>
            <w:vAlign w:val="bottom"/>
          </w:tcPr>
          <w:p w14:paraId="5556B23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23C" w14:textId="77777777">
        <w:tc>
          <w:tcPr>
            <w:tcW w:w="0" w:type="auto"/>
            <w:shd w:val="clear" w:color="auto" w:fill="CCEEFF"/>
            <w:tcMar>
              <w:top w:w="40" w:type="dxa"/>
              <w:left w:w="40" w:type="dxa"/>
              <w:bottom w:w="40" w:type="dxa"/>
              <w:right w:w="40" w:type="dxa"/>
            </w:tcMar>
            <w:vAlign w:val="bottom"/>
          </w:tcPr>
          <w:p w14:paraId="5556B233"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net</w:t>
            </w:r>
          </w:p>
        </w:tc>
        <w:tc>
          <w:tcPr>
            <w:tcW w:w="0" w:type="auto"/>
            <w:gridSpan w:val="2"/>
            <w:shd w:val="clear" w:color="auto" w:fill="CCEEFF"/>
            <w:tcMar>
              <w:top w:w="40" w:type="dxa"/>
              <w:left w:w="40" w:type="dxa"/>
              <w:bottom w:w="40" w:type="dxa"/>
            </w:tcMar>
            <w:vAlign w:val="bottom"/>
          </w:tcPr>
          <w:p w14:paraId="5556B23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2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2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23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2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2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23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tcBorders>
              <w:bottom w:val="single" w:sz="8" w:space="0" w:color="000000"/>
            </w:tcBorders>
            <w:shd w:val="clear" w:color="auto" w:fill="CCEEFF"/>
            <w:vAlign w:val="bottom"/>
          </w:tcPr>
          <w:p w14:paraId="5556B23B" w14:textId="77777777" w:rsidR="00F925DD" w:rsidRDefault="00F925DD">
            <w:pPr>
              <w:textAlignment w:val="bottom"/>
              <w:rPr>
                <w:rFonts w:ascii="Times New Roman" w:hAnsi="Times New Roman"/>
                <w:sz w:val="20"/>
                <w:szCs w:val="20"/>
              </w:rPr>
            </w:pPr>
          </w:p>
        </w:tc>
      </w:tr>
      <w:tr w:rsidR="00F925DD" w14:paraId="5556B246" w14:textId="77777777">
        <w:tc>
          <w:tcPr>
            <w:tcW w:w="0" w:type="auto"/>
            <w:shd w:val="clear" w:color="auto" w:fill="auto"/>
            <w:tcMar>
              <w:top w:w="40" w:type="dxa"/>
              <w:left w:w="40" w:type="dxa"/>
              <w:bottom w:w="40" w:type="dxa"/>
              <w:right w:w="40" w:type="dxa"/>
            </w:tcMar>
            <w:vAlign w:val="bottom"/>
          </w:tcPr>
          <w:p w14:paraId="5556B23D" w14:textId="77777777" w:rsidR="00F925DD" w:rsidRDefault="00E705D7">
            <w:pPr>
              <w:textAlignment w:val="bottom"/>
              <w:rPr>
                <w:rFonts w:ascii="Times New Roman" w:hAnsi="Times New Roman"/>
                <w:sz w:val="15"/>
                <w:szCs w:val="15"/>
              </w:rPr>
            </w:pPr>
            <w:r>
              <w:rPr>
                <w:rFonts w:ascii="Arial" w:eastAsia="宋体" w:hAnsi="Arial" w:cs="Arial"/>
                <w:sz w:val="15"/>
                <w:szCs w:val="15"/>
              </w:rPr>
              <w:t>Net cash (used in) financing activities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23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(2,974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556B23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2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24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(4,471</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556B24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2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24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(6,188</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556B24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B250" w14:textId="77777777">
        <w:tc>
          <w:tcPr>
            <w:tcW w:w="0" w:type="auto"/>
            <w:shd w:val="clear" w:color="auto" w:fill="CCEEFF"/>
            <w:tcMar>
              <w:top w:w="40" w:type="dxa"/>
              <w:left w:w="40" w:type="dxa"/>
              <w:bottom w:w="40" w:type="dxa"/>
              <w:right w:w="40" w:type="dxa"/>
            </w:tcMar>
            <w:vAlign w:val="bottom"/>
          </w:tcPr>
          <w:p w14:paraId="5556B247" w14:textId="77777777" w:rsidR="00F925DD" w:rsidRDefault="00E705D7">
            <w:pPr>
              <w:textAlignment w:val="bottom"/>
              <w:rPr>
                <w:rFonts w:ascii="Times New Roman" w:hAnsi="Times New Roman"/>
                <w:sz w:val="15"/>
                <w:szCs w:val="15"/>
              </w:rPr>
            </w:pPr>
            <w:r>
              <w:rPr>
                <w:rFonts w:ascii="Arial" w:eastAsia="宋体" w:hAnsi="Arial" w:cs="Arial"/>
                <w:sz w:val="15"/>
                <w:szCs w:val="15"/>
              </w:rPr>
              <w:t>Net increase</w:t>
            </w:r>
          </w:p>
        </w:tc>
        <w:tc>
          <w:tcPr>
            <w:tcW w:w="0" w:type="auto"/>
            <w:gridSpan w:val="2"/>
            <w:tcBorders>
              <w:top w:val="single" w:sz="8" w:space="0" w:color="000000"/>
            </w:tcBorders>
            <w:shd w:val="clear" w:color="auto" w:fill="CCEEFF"/>
            <w:tcMar>
              <w:top w:w="40" w:type="dxa"/>
              <w:left w:w="40" w:type="dxa"/>
              <w:bottom w:w="40" w:type="dxa"/>
            </w:tcMar>
            <w:vAlign w:val="bottom"/>
          </w:tcPr>
          <w:p w14:paraId="5556B24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90</w:t>
            </w:r>
          </w:p>
        </w:tc>
        <w:tc>
          <w:tcPr>
            <w:tcW w:w="0" w:type="auto"/>
            <w:tcBorders>
              <w:top w:val="single" w:sz="8" w:space="0" w:color="000000"/>
            </w:tcBorders>
            <w:shd w:val="clear" w:color="auto" w:fill="CCEEFF"/>
            <w:vAlign w:val="bottom"/>
          </w:tcPr>
          <w:p w14:paraId="5556B24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2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24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1,208</w:t>
            </w:r>
          </w:p>
        </w:tc>
        <w:tc>
          <w:tcPr>
            <w:tcW w:w="0" w:type="auto"/>
            <w:tcBorders>
              <w:top w:val="single" w:sz="8" w:space="0" w:color="000000"/>
            </w:tcBorders>
            <w:shd w:val="clear" w:color="auto" w:fill="CCEEFF"/>
            <w:vAlign w:val="bottom"/>
          </w:tcPr>
          <w:p w14:paraId="5556B24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2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24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800</w:t>
            </w:r>
          </w:p>
        </w:tc>
        <w:tc>
          <w:tcPr>
            <w:tcW w:w="0" w:type="auto"/>
            <w:tcBorders>
              <w:top w:val="single" w:sz="8" w:space="0" w:color="000000"/>
            </w:tcBorders>
            <w:shd w:val="clear" w:color="auto" w:fill="CCEEFF"/>
            <w:vAlign w:val="bottom"/>
          </w:tcPr>
          <w:p w14:paraId="5556B24F" w14:textId="77777777" w:rsidR="00F925DD" w:rsidRDefault="00F925DD">
            <w:pPr>
              <w:textAlignment w:val="bottom"/>
              <w:rPr>
                <w:rFonts w:ascii="Times New Roman" w:hAnsi="Times New Roman"/>
                <w:sz w:val="20"/>
                <w:szCs w:val="20"/>
              </w:rPr>
            </w:pPr>
          </w:p>
        </w:tc>
      </w:tr>
      <w:tr w:rsidR="00F925DD" w14:paraId="5556B25A" w14:textId="77777777">
        <w:tc>
          <w:tcPr>
            <w:tcW w:w="0" w:type="auto"/>
            <w:shd w:val="clear" w:color="auto" w:fill="auto"/>
            <w:tcMar>
              <w:top w:w="40" w:type="dxa"/>
              <w:left w:w="40" w:type="dxa"/>
              <w:bottom w:w="40" w:type="dxa"/>
              <w:right w:w="40" w:type="dxa"/>
            </w:tcMar>
            <w:vAlign w:val="bottom"/>
          </w:tcPr>
          <w:p w14:paraId="5556B251" w14:textId="77777777" w:rsidR="00F925DD" w:rsidRDefault="00E705D7">
            <w:pPr>
              <w:textAlignment w:val="bottom"/>
              <w:rPr>
                <w:rFonts w:ascii="Times New Roman" w:hAnsi="Times New Roman"/>
                <w:sz w:val="15"/>
                <w:szCs w:val="15"/>
              </w:rPr>
            </w:pPr>
            <w:r>
              <w:rPr>
                <w:rFonts w:ascii="Arial" w:eastAsia="宋体" w:hAnsi="Arial" w:cs="Arial"/>
                <w:sz w:val="15"/>
                <w:szCs w:val="15"/>
              </w:rPr>
              <w:t>Cash and due from banks at beginning of period</w:t>
            </w:r>
          </w:p>
        </w:tc>
        <w:tc>
          <w:tcPr>
            <w:tcW w:w="0" w:type="auto"/>
            <w:gridSpan w:val="2"/>
            <w:tcBorders>
              <w:bottom w:val="single" w:sz="8" w:space="0" w:color="000000"/>
            </w:tcBorders>
            <w:shd w:val="clear" w:color="auto" w:fill="auto"/>
            <w:tcMar>
              <w:top w:w="40" w:type="dxa"/>
              <w:left w:w="40" w:type="dxa"/>
              <w:bottom w:w="40" w:type="dxa"/>
            </w:tcMar>
            <w:vAlign w:val="bottom"/>
          </w:tcPr>
          <w:p w14:paraId="5556B25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3,212</w:t>
            </w:r>
          </w:p>
        </w:tc>
        <w:tc>
          <w:tcPr>
            <w:tcW w:w="0" w:type="auto"/>
            <w:tcBorders>
              <w:bottom w:val="single" w:sz="8" w:space="0" w:color="000000"/>
            </w:tcBorders>
            <w:shd w:val="clear" w:color="auto" w:fill="auto"/>
            <w:vAlign w:val="bottom"/>
          </w:tcPr>
          <w:p w14:paraId="5556B25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2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B25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2,004</w:t>
            </w:r>
          </w:p>
        </w:tc>
        <w:tc>
          <w:tcPr>
            <w:tcW w:w="0" w:type="auto"/>
            <w:tcBorders>
              <w:bottom w:val="single" w:sz="8" w:space="0" w:color="000000"/>
            </w:tcBorders>
            <w:shd w:val="clear" w:color="auto" w:fill="auto"/>
            <w:vAlign w:val="bottom"/>
          </w:tcPr>
          <w:p w14:paraId="5556B2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2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B25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1,204</w:t>
            </w:r>
          </w:p>
        </w:tc>
        <w:tc>
          <w:tcPr>
            <w:tcW w:w="0" w:type="auto"/>
            <w:tcBorders>
              <w:bottom w:val="single" w:sz="8" w:space="0" w:color="000000"/>
            </w:tcBorders>
            <w:shd w:val="clear" w:color="auto" w:fill="auto"/>
            <w:vAlign w:val="bottom"/>
          </w:tcPr>
          <w:p w14:paraId="5556B259" w14:textId="77777777" w:rsidR="00F925DD" w:rsidRDefault="00F925DD">
            <w:pPr>
              <w:textAlignment w:val="bottom"/>
              <w:rPr>
                <w:rFonts w:ascii="Times New Roman" w:hAnsi="Times New Roman"/>
                <w:sz w:val="20"/>
                <w:szCs w:val="20"/>
              </w:rPr>
            </w:pPr>
          </w:p>
        </w:tc>
      </w:tr>
      <w:tr w:rsidR="00F925DD" w14:paraId="5556B267" w14:textId="77777777">
        <w:tc>
          <w:tcPr>
            <w:tcW w:w="0" w:type="auto"/>
            <w:shd w:val="clear" w:color="auto" w:fill="CCEEFF"/>
            <w:tcMar>
              <w:top w:w="40" w:type="dxa"/>
              <w:left w:w="40" w:type="dxa"/>
              <w:bottom w:w="40" w:type="dxa"/>
              <w:right w:w="40" w:type="dxa"/>
            </w:tcMar>
            <w:vAlign w:val="bottom"/>
          </w:tcPr>
          <w:p w14:paraId="5556B25B" w14:textId="77777777" w:rsidR="00F925DD" w:rsidRDefault="00E705D7">
            <w:pPr>
              <w:textAlignment w:val="bottom"/>
              <w:rPr>
                <w:rFonts w:ascii="Times New Roman" w:hAnsi="Times New Roman"/>
                <w:sz w:val="15"/>
                <w:szCs w:val="15"/>
              </w:rPr>
            </w:pPr>
            <w:r>
              <w:rPr>
                <w:rFonts w:ascii="Arial" w:eastAsia="宋体" w:hAnsi="Arial" w:cs="Arial"/>
                <w:sz w:val="15"/>
                <w:szCs w:val="15"/>
              </w:rPr>
              <w:t>Cash and due from banks at end of period</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25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25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3,302</w:t>
            </w:r>
          </w:p>
        </w:tc>
        <w:tc>
          <w:tcPr>
            <w:tcW w:w="0" w:type="auto"/>
            <w:tcBorders>
              <w:top w:val="single" w:sz="8" w:space="0" w:color="000000"/>
              <w:bottom w:val="double" w:sz="6" w:space="0" w:color="000000"/>
            </w:tcBorders>
            <w:shd w:val="clear" w:color="auto" w:fill="CCEEFF"/>
            <w:vAlign w:val="bottom"/>
          </w:tcPr>
          <w:p w14:paraId="5556B2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2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26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26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3,212</w:t>
            </w:r>
          </w:p>
        </w:tc>
        <w:tc>
          <w:tcPr>
            <w:tcW w:w="0" w:type="auto"/>
            <w:tcBorders>
              <w:top w:val="single" w:sz="8" w:space="0" w:color="000000"/>
              <w:bottom w:val="double" w:sz="6" w:space="0" w:color="000000"/>
            </w:tcBorders>
            <w:shd w:val="clear" w:color="auto" w:fill="CCEEFF"/>
            <w:vAlign w:val="bottom"/>
          </w:tcPr>
          <w:p w14:paraId="5556B26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2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26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26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2,004</w:t>
            </w:r>
          </w:p>
        </w:tc>
        <w:tc>
          <w:tcPr>
            <w:tcW w:w="0" w:type="auto"/>
            <w:tcBorders>
              <w:top w:val="single" w:sz="8" w:space="0" w:color="000000"/>
              <w:bottom w:val="double" w:sz="6" w:space="0" w:color="000000"/>
            </w:tcBorders>
            <w:shd w:val="clear" w:color="auto" w:fill="CCEEFF"/>
            <w:vAlign w:val="bottom"/>
          </w:tcPr>
          <w:p w14:paraId="5556B266" w14:textId="77777777" w:rsidR="00F925DD" w:rsidRDefault="00F925DD">
            <w:pPr>
              <w:textAlignment w:val="bottom"/>
              <w:rPr>
                <w:rFonts w:ascii="Times New Roman" w:hAnsi="Times New Roman"/>
                <w:sz w:val="20"/>
                <w:szCs w:val="20"/>
              </w:rPr>
            </w:pPr>
          </w:p>
        </w:tc>
      </w:tr>
      <w:tr w:rsidR="00F925DD" w14:paraId="5556B26E" w14:textId="77777777">
        <w:tc>
          <w:tcPr>
            <w:tcW w:w="0" w:type="auto"/>
            <w:shd w:val="clear" w:color="auto" w:fill="auto"/>
            <w:tcMar>
              <w:top w:w="40" w:type="dxa"/>
              <w:left w:w="40" w:type="dxa"/>
              <w:bottom w:w="40" w:type="dxa"/>
              <w:right w:w="40" w:type="dxa"/>
            </w:tcMar>
            <w:vAlign w:val="bottom"/>
          </w:tcPr>
          <w:p w14:paraId="5556B2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2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2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2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2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2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275" w14:textId="77777777">
        <w:tc>
          <w:tcPr>
            <w:tcW w:w="0" w:type="auto"/>
            <w:shd w:val="clear" w:color="auto" w:fill="CCEEFF"/>
            <w:tcMar>
              <w:top w:w="40" w:type="dxa"/>
              <w:left w:w="40" w:type="dxa"/>
              <w:bottom w:w="40" w:type="dxa"/>
              <w:right w:w="40" w:type="dxa"/>
            </w:tcMar>
            <w:vAlign w:val="bottom"/>
          </w:tcPr>
          <w:p w14:paraId="5556B26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Supplemental disclosure:</w:t>
            </w:r>
          </w:p>
        </w:tc>
        <w:tc>
          <w:tcPr>
            <w:tcW w:w="0" w:type="auto"/>
            <w:gridSpan w:val="3"/>
            <w:shd w:val="clear" w:color="auto" w:fill="CCEEFF"/>
            <w:tcMar>
              <w:top w:w="40" w:type="dxa"/>
              <w:left w:w="40" w:type="dxa"/>
              <w:bottom w:w="40" w:type="dxa"/>
              <w:right w:w="40" w:type="dxa"/>
            </w:tcMar>
            <w:vAlign w:val="bottom"/>
          </w:tcPr>
          <w:p w14:paraId="5556B2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2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2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2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2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282" w14:textId="77777777">
        <w:tc>
          <w:tcPr>
            <w:tcW w:w="0" w:type="auto"/>
            <w:shd w:val="clear" w:color="auto" w:fill="auto"/>
            <w:tcMar>
              <w:top w:w="40" w:type="dxa"/>
              <w:left w:w="40" w:type="dxa"/>
              <w:bottom w:w="40" w:type="dxa"/>
              <w:right w:w="40" w:type="dxa"/>
            </w:tcMar>
            <w:vAlign w:val="bottom"/>
          </w:tcPr>
          <w:p w14:paraId="5556B276"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paid</w:t>
            </w:r>
          </w:p>
        </w:tc>
        <w:tc>
          <w:tcPr>
            <w:tcW w:w="0" w:type="auto"/>
            <w:shd w:val="clear" w:color="auto" w:fill="auto"/>
            <w:tcMar>
              <w:top w:w="40" w:type="dxa"/>
              <w:left w:w="40" w:type="dxa"/>
              <w:bottom w:w="40" w:type="dxa"/>
            </w:tcMar>
            <w:vAlign w:val="bottom"/>
          </w:tcPr>
          <w:p w14:paraId="5556B27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bottom w:w="40" w:type="dxa"/>
            </w:tcMar>
            <w:vAlign w:val="bottom"/>
          </w:tcPr>
          <w:p w14:paraId="5556B27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1,382</w:t>
            </w:r>
          </w:p>
        </w:tc>
        <w:tc>
          <w:tcPr>
            <w:tcW w:w="0" w:type="auto"/>
            <w:shd w:val="clear" w:color="auto" w:fill="auto"/>
            <w:vAlign w:val="bottom"/>
          </w:tcPr>
          <w:p w14:paraId="5556B27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2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B27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5556B27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981</w:t>
            </w:r>
          </w:p>
        </w:tc>
        <w:tc>
          <w:tcPr>
            <w:tcW w:w="0" w:type="auto"/>
            <w:shd w:val="clear" w:color="auto" w:fill="auto"/>
            <w:vAlign w:val="bottom"/>
          </w:tcPr>
          <w:p w14:paraId="5556B2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2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B27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5556B28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593</w:t>
            </w:r>
          </w:p>
        </w:tc>
        <w:tc>
          <w:tcPr>
            <w:tcW w:w="0" w:type="auto"/>
            <w:shd w:val="clear" w:color="auto" w:fill="auto"/>
            <w:vAlign w:val="bottom"/>
          </w:tcPr>
          <w:p w14:paraId="5556B281" w14:textId="77777777" w:rsidR="00F925DD" w:rsidRDefault="00F925DD">
            <w:pPr>
              <w:textAlignment w:val="bottom"/>
              <w:rPr>
                <w:rFonts w:ascii="Times New Roman" w:hAnsi="Times New Roman"/>
                <w:sz w:val="20"/>
                <w:szCs w:val="20"/>
              </w:rPr>
            </w:pPr>
          </w:p>
        </w:tc>
      </w:tr>
      <w:tr w:rsidR="00F925DD" w14:paraId="5556B28C" w14:textId="77777777">
        <w:tc>
          <w:tcPr>
            <w:tcW w:w="0" w:type="auto"/>
            <w:shd w:val="clear" w:color="auto" w:fill="CCEEFF"/>
            <w:tcMar>
              <w:top w:w="40" w:type="dxa"/>
              <w:left w:w="40" w:type="dxa"/>
              <w:bottom w:w="40" w:type="dxa"/>
              <w:right w:w="40" w:type="dxa"/>
            </w:tcMar>
            <w:vAlign w:val="bottom"/>
          </w:tcPr>
          <w:p w14:paraId="5556B283" w14:textId="77777777" w:rsidR="00F925DD" w:rsidRDefault="00E705D7">
            <w:pPr>
              <w:textAlignment w:val="bottom"/>
              <w:rPr>
                <w:rFonts w:ascii="Times New Roman" w:hAnsi="Times New Roman"/>
                <w:sz w:val="15"/>
                <w:szCs w:val="15"/>
              </w:rPr>
            </w:pPr>
            <w:r>
              <w:rPr>
                <w:rFonts w:ascii="Arial" w:eastAsia="宋体" w:hAnsi="Arial" w:cs="Arial"/>
                <w:sz w:val="15"/>
                <w:szCs w:val="15"/>
              </w:rPr>
              <w:t>Income taxes paid, net</w:t>
            </w:r>
          </w:p>
        </w:tc>
        <w:tc>
          <w:tcPr>
            <w:tcW w:w="0" w:type="auto"/>
            <w:gridSpan w:val="2"/>
            <w:shd w:val="clear" w:color="auto" w:fill="CCEEFF"/>
            <w:tcMar>
              <w:top w:w="40" w:type="dxa"/>
              <w:left w:w="40" w:type="dxa"/>
              <w:bottom w:w="40" w:type="dxa"/>
            </w:tcMar>
            <w:vAlign w:val="bottom"/>
          </w:tcPr>
          <w:p w14:paraId="5556B28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510</w:t>
            </w:r>
          </w:p>
        </w:tc>
        <w:tc>
          <w:tcPr>
            <w:tcW w:w="0" w:type="auto"/>
            <w:shd w:val="clear" w:color="auto" w:fill="CCEEFF"/>
            <w:vAlign w:val="bottom"/>
          </w:tcPr>
          <w:p w14:paraId="5556B2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2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28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549</w:t>
            </w:r>
          </w:p>
        </w:tc>
        <w:tc>
          <w:tcPr>
            <w:tcW w:w="0" w:type="auto"/>
            <w:shd w:val="clear" w:color="auto" w:fill="CCEEFF"/>
            <w:vAlign w:val="bottom"/>
          </w:tcPr>
          <w:p w14:paraId="5556B2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2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28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345</w:t>
            </w:r>
          </w:p>
        </w:tc>
        <w:tc>
          <w:tcPr>
            <w:tcW w:w="0" w:type="auto"/>
            <w:shd w:val="clear" w:color="auto" w:fill="CCEEFF"/>
            <w:vAlign w:val="bottom"/>
          </w:tcPr>
          <w:p w14:paraId="5556B28B" w14:textId="77777777" w:rsidR="00F925DD" w:rsidRDefault="00F925DD">
            <w:pPr>
              <w:textAlignment w:val="bottom"/>
              <w:rPr>
                <w:rFonts w:ascii="Times New Roman" w:hAnsi="Times New Roman"/>
                <w:sz w:val="20"/>
                <w:szCs w:val="20"/>
              </w:rPr>
            </w:pPr>
          </w:p>
        </w:tc>
      </w:tr>
    </w:tbl>
    <w:p w14:paraId="5556B28D" w14:textId="77777777" w:rsidR="00F925DD" w:rsidRDefault="00E705D7">
      <w:pPr>
        <w:spacing w:line="288" w:lineRule="auto"/>
        <w:rPr>
          <w:rFonts w:ascii="Times New Roman" w:hAnsi="Times New Roman"/>
          <w:sz w:val="20"/>
          <w:szCs w:val="20"/>
        </w:rPr>
      </w:pPr>
      <w:r>
        <w:rPr>
          <w:rFonts w:ascii="Arial" w:eastAsia="宋体" w:hAnsi="Arial" w:cs="Arial"/>
          <w:sz w:val="14"/>
          <w:szCs w:val="14"/>
          <w:shd w:val="clear" w:color="auto" w:fill="FFFFFF"/>
        </w:rPr>
        <w:t> </w:t>
      </w:r>
    </w:p>
    <w:p w14:paraId="5556B28E" w14:textId="77777777" w:rsidR="00F925DD" w:rsidRDefault="00F925DD">
      <w:pPr>
        <w:spacing w:line="288" w:lineRule="auto"/>
        <w:ind w:firstLine="600"/>
        <w:rPr>
          <w:rFonts w:ascii="Times New Roman" w:hAnsi="Times New Roman"/>
          <w:sz w:val="20"/>
          <w:szCs w:val="20"/>
        </w:rPr>
      </w:pPr>
    </w:p>
    <w:p w14:paraId="5556B28F" w14:textId="77777777" w:rsidR="00F925DD" w:rsidRDefault="00F925DD">
      <w:pPr>
        <w:spacing w:line="288" w:lineRule="auto"/>
        <w:ind w:firstLine="600"/>
        <w:rPr>
          <w:rFonts w:ascii="Times New Roman" w:hAnsi="Times New Roman"/>
          <w:sz w:val="20"/>
          <w:szCs w:val="20"/>
        </w:rPr>
      </w:pPr>
    </w:p>
    <w:p w14:paraId="5556B290" w14:textId="77777777" w:rsidR="00F925DD" w:rsidRDefault="00F925DD">
      <w:pPr>
        <w:spacing w:line="288" w:lineRule="auto"/>
        <w:ind w:firstLine="600"/>
        <w:rPr>
          <w:rFonts w:ascii="Times New Roman" w:hAnsi="Times New Roman"/>
          <w:sz w:val="20"/>
          <w:szCs w:val="20"/>
        </w:rPr>
      </w:pPr>
    </w:p>
    <w:p w14:paraId="5556B291" w14:textId="77777777" w:rsidR="00F925DD" w:rsidRDefault="00E705D7">
      <w:pPr>
        <w:spacing w:line="288" w:lineRule="auto"/>
        <w:ind w:firstLine="600"/>
        <w:jc w:val="center"/>
        <w:rPr>
          <w:rFonts w:ascii="Times New Roman" w:hAnsi="Times New Roman"/>
          <w:sz w:val="18"/>
          <w:szCs w:val="18"/>
        </w:rPr>
      </w:pPr>
      <w:r>
        <w:rPr>
          <w:rFonts w:ascii="Arial" w:eastAsia="宋体" w:hAnsi="Arial" w:cs="Arial"/>
          <w:sz w:val="18"/>
          <w:szCs w:val="18"/>
        </w:rPr>
        <w:t xml:space="preserve">The accompanying notes are an integral part of these consolidated financial statements. </w:t>
      </w:r>
    </w:p>
    <w:p w14:paraId="5556B292" w14:textId="77777777" w:rsidR="00F925DD" w:rsidRDefault="00F925DD">
      <w:pPr>
        <w:rPr>
          <w:rFonts w:ascii="Times New Roman" w:hAnsi="Times New Roman"/>
          <w:sz w:val="20"/>
          <w:szCs w:val="20"/>
        </w:rPr>
      </w:pPr>
    </w:p>
    <w:p w14:paraId="5556B29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124</w:t>
      </w:r>
    </w:p>
    <w:p w14:paraId="5556B294" w14:textId="77777777" w:rsidR="00F925DD" w:rsidRDefault="00F925DD">
      <w:pPr>
        <w:spacing w:line="288" w:lineRule="auto"/>
        <w:ind w:firstLine="600"/>
        <w:jc w:val="center"/>
        <w:rPr>
          <w:rFonts w:ascii="Times New Roman" w:hAnsi="Times New Roman"/>
          <w:sz w:val="18"/>
          <w:szCs w:val="18"/>
        </w:rPr>
      </w:pPr>
    </w:p>
    <w:p w14:paraId="5556B295" w14:textId="77777777" w:rsidR="00F925DD" w:rsidRDefault="00E705D7">
      <w:r>
        <w:rPr>
          <w:rFonts w:ascii="Times New Roman" w:hAnsi="Times New Roman"/>
          <w:sz w:val="18"/>
          <w:szCs w:val="18"/>
        </w:rPr>
        <w:pict w14:anchorId="555706B6">
          <v:rect id="_x0000_i1148" style="width:415.3pt;height:1.5pt" o:hralign="center" o:hrstd="t" o:hr="t" fillcolor="#a0a0a0" stroked="f"/>
        </w:pict>
      </w:r>
    </w:p>
    <w:p w14:paraId="5556B29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29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B298" w14:textId="77777777" w:rsidR="00F925DD" w:rsidRDefault="00F925DD">
      <w:pPr>
        <w:rPr>
          <w:rFonts w:ascii="Times New Roman" w:hAnsi="Times New Roman"/>
          <w:sz w:val="20"/>
          <w:szCs w:val="20"/>
        </w:rPr>
      </w:pPr>
    </w:p>
    <w:p w14:paraId="5556B299"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1.    Summary of Significant Accounting Policies</w:t>
      </w:r>
    </w:p>
    <w:p w14:paraId="5556B29A"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Basis of Presentation</w:t>
      </w:r>
    </w:p>
    <w:p w14:paraId="5556B29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accounting and financial reporting policies of State Street Corporation conform to U.S. GAAP. State Street Corporation, the Parent Company, is a financial holding company headquartered in Boston, Massachusetts. Unless otherwise in</w:t>
      </w:r>
      <w:r>
        <w:rPr>
          <w:rFonts w:ascii="Arial" w:eastAsia="宋体" w:hAnsi="Arial" w:cs="Arial"/>
          <w:sz w:val="20"/>
          <w:szCs w:val="20"/>
        </w:rPr>
        <w:t>dicated or unless the context requires otherwise, all references in these notes to consolidated financial statements to “State Street,” “we,” “us,” “our” or similar references mean State Street Corporation and its subsidiaries on a consolidated basis, incl</w:t>
      </w:r>
      <w:r>
        <w:rPr>
          <w:rFonts w:ascii="Arial" w:eastAsia="宋体" w:hAnsi="Arial" w:cs="Arial"/>
          <w:sz w:val="20"/>
          <w:szCs w:val="20"/>
        </w:rPr>
        <w:t>uding our principal banking subsidiary, State Street Bank.</w:t>
      </w:r>
    </w:p>
    <w:p w14:paraId="5556B29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two lines of business:</w:t>
      </w:r>
    </w:p>
    <w:p w14:paraId="5556B29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Investment Servicing</w:t>
      </w:r>
      <w:r>
        <w:rPr>
          <w:rFonts w:ascii="Arial" w:eastAsia="宋体" w:hAnsi="Arial" w:cs="Arial"/>
          <w:sz w:val="20"/>
          <w:szCs w:val="20"/>
        </w:rPr>
        <w:t xml:space="preserve"> provides a suite of related products and services including: custody; product and participant level accounting; daily pricing and administration;</w:t>
      </w:r>
      <w:r>
        <w:rPr>
          <w:rFonts w:ascii="Arial" w:eastAsia="宋体" w:hAnsi="Arial" w:cs="Arial"/>
          <w:sz w:val="20"/>
          <w:szCs w:val="20"/>
        </w:rPr>
        <w:t xml:space="preserve"> master trust and master custody; depotbank services (a fund oversight role created by non-U.S. regulation); record-keeping; cash management; foreign exchange, brokerage and other trading services; securities finance and enhanced custody products; deposit </w:t>
      </w:r>
      <w:r>
        <w:rPr>
          <w:rFonts w:ascii="Arial" w:eastAsia="宋体" w:hAnsi="Arial" w:cs="Arial"/>
          <w:sz w:val="20"/>
          <w:szCs w:val="20"/>
        </w:rPr>
        <w:t>and short-term investment facilities; loans and lease financing; investment manager and alternative investment manager operations outsourcing; performance, risk and compliance analytics; and financial data management to support institutional investors. Our</w:t>
      </w:r>
      <w:r>
        <w:rPr>
          <w:rFonts w:ascii="Arial" w:eastAsia="宋体" w:hAnsi="Arial" w:cs="Arial"/>
          <w:sz w:val="20"/>
          <w:szCs w:val="20"/>
        </w:rPr>
        <w:t xml:space="preserve"> CRD business also falls within our Investment Servicing line of business and includes products and services, such as: portfolio modeling and construction; trade order management; investment risk and compliance; and wealth management solutions.</w:t>
      </w:r>
    </w:p>
    <w:p w14:paraId="5556B29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 xml:space="preserve">Investment </w:t>
      </w:r>
      <w:r>
        <w:rPr>
          <w:rFonts w:ascii="Arial" w:eastAsia="宋体" w:hAnsi="Arial" w:cs="Arial"/>
          <w:i/>
          <w:iCs/>
          <w:sz w:val="20"/>
          <w:szCs w:val="20"/>
        </w:rPr>
        <w:t>Management</w:t>
      </w:r>
      <w:r>
        <w:rPr>
          <w:rFonts w:ascii="Arial" w:eastAsia="宋体" w:hAnsi="Arial" w:cs="Arial"/>
          <w:sz w:val="20"/>
          <w:szCs w:val="20"/>
        </w:rPr>
        <w:t>, through State Street Global Advisors, provides a broad range of investment management strategies and products for our clients. Our investment management strategies and products span the risk/reward spectrum, including core and enhanced indexing</w:t>
      </w:r>
      <w:r>
        <w:rPr>
          <w:rFonts w:ascii="Arial" w:eastAsia="宋体" w:hAnsi="Arial" w:cs="Arial"/>
          <w:sz w:val="20"/>
          <w:szCs w:val="20"/>
        </w:rPr>
        <w:t>, multi-asset strategies, active quantitative and fundamental active capabilities and alternative investment strategies. Our AUM is currently primarily weighted to indexed strategies. In addition, we provide a breadth of services and solutions, including e</w:t>
      </w:r>
      <w:r>
        <w:rPr>
          <w:rFonts w:ascii="Arial" w:eastAsia="宋体" w:hAnsi="Arial" w:cs="Arial"/>
          <w:sz w:val="20"/>
          <w:szCs w:val="20"/>
        </w:rPr>
        <w:t>nvironmental, social and governance investing, defined benefit and defined contribution and Global Fiduciary Solutions (formerly Outsourced Chief Investment Officer). State Street Global Advisors is also a provider of ETFs, including the SPDR</w:t>
      </w:r>
      <w:r>
        <w:rPr>
          <w:rFonts w:ascii="Arial" w:eastAsia="宋体" w:hAnsi="Arial" w:cs="Arial"/>
          <w:sz w:val="12"/>
          <w:szCs w:val="12"/>
        </w:rPr>
        <w:t xml:space="preserve">® </w:t>
      </w:r>
      <w:r>
        <w:rPr>
          <w:rFonts w:ascii="Arial" w:eastAsia="宋体" w:hAnsi="Arial" w:cs="Arial"/>
          <w:sz w:val="20"/>
          <w:szCs w:val="20"/>
        </w:rPr>
        <w:t>ETF brand. W</w:t>
      </w:r>
      <w:r>
        <w:rPr>
          <w:rFonts w:ascii="Arial" w:eastAsia="宋体" w:hAnsi="Arial" w:cs="Arial"/>
          <w:sz w:val="20"/>
          <w:szCs w:val="20"/>
        </w:rPr>
        <w:t>hile management fees are primarily determined by the values of AUM and the investment strategies employed, management fees reflect other factors as well, including the benchmarks specified in the respective management agreements related to performance fees</w:t>
      </w:r>
      <w:r>
        <w:rPr>
          <w:rFonts w:ascii="Arial" w:eastAsia="宋体" w:hAnsi="Arial" w:cs="Arial"/>
          <w:sz w:val="20"/>
          <w:szCs w:val="20"/>
        </w:rPr>
        <w:t>.</w:t>
      </w:r>
    </w:p>
    <w:p w14:paraId="5556B29F"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B2A0"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Consolidation</w:t>
      </w:r>
    </w:p>
    <w:p w14:paraId="5556B2A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consolidated financial statements include the accounts of the Parent Company and its majority- and wholly-owned and otherwise controlled subsidiaries, including State Street Bank. All material inter-company transactions and </w:t>
      </w:r>
      <w:r>
        <w:rPr>
          <w:rFonts w:ascii="Arial" w:eastAsia="宋体" w:hAnsi="Arial" w:cs="Arial"/>
          <w:sz w:val="20"/>
          <w:szCs w:val="20"/>
        </w:rPr>
        <w:t>balances have been eliminated. Certain previously reported amounts have been reclassified to conform to current-year presentation.</w:t>
      </w:r>
    </w:p>
    <w:p w14:paraId="5556B2A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consolidate subsidiaries in which we exercise control. Investments in unconsolidated subsidiaries, recorded in other asset</w:t>
      </w:r>
      <w:r>
        <w:rPr>
          <w:rFonts w:ascii="Arial" w:eastAsia="宋体" w:hAnsi="Arial" w:cs="Arial"/>
          <w:sz w:val="20"/>
          <w:szCs w:val="20"/>
        </w:rPr>
        <w:t>s, generally are accounted for under the equity method of accounting if we have the ability to exercise significant influence over the operations of the investee. For investments accounted for under the equity method, our share of income or loss is recorde</w:t>
      </w:r>
      <w:r>
        <w:rPr>
          <w:rFonts w:ascii="Arial" w:eastAsia="宋体" w:hAnsi="Arial" w:cs="Arial"/>
          <w:sz w:val="20"/>
          <w:szCs w:val="20"/>
        </w:rPr>
        <w:t>d in software and processing fees in our consolidated statement of income. Investments not meeting the criteria for equity-method treatment are measured at fair value through earnings, except for investments where a fair market value is not readily availab</w:t>
      </w:r>
      <w:r>
        <w:rPr>
          <w:rFonts w:ascii="Arial" w:eastAsia="宋体" w:hAnsi="Arial" w:cs="Arial"/>
          <w:sz w:val="20"/>
          <w:szCs w:val="20"/>
        </w:rPr>
        <w:t>le, which are accounted for under the cost method of accounting.</w:t>
      </w:r>
    </w:p>
    <w:p w14:paraId="5556B2A3"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Use of Estimates</w:t>
      </w:r>
    </w:p>
    <w:p w14:paraId="5556B2A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preparation of consolidated financial statements in conformity with U.S. GAAP requires management to make estimates and assumptions in the application of certain of our s</w:t>
      </w:r>
      <w:r>
        <w:rPr>
          <w:rFonts w:ascii="Arial" w:eastAsia="宋体" w:hAnsi="Arial" w:cs="Arial"/>
          <w:sz w:val="20"/>
          <w:szCs w:val="20"/>
        </w:rPr>
        <w:t>ignificant accounting policies that may materially affect the reported amounts of assets, liabilities, equity, revenue and expenses. As a result of unanticipated events or circumstances, actual results could differ from those estimates.</w:t>
      </w:r>
    </w:p>
    <w:p w14:paraId="5556B2A5"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Foreign Currency Tr</w:t>
      </w:r>
      <w:r>
        <w:rPr>
          <w:rFonts w:ascii="Arial" w:eastAsia="宋体" w:hAnsi="Arial" w:cs="Arial"/>
          <w:b/>
          <w:bCs/>
          <w:i/>
          <w:iCs/>
          <w:color w:val="000000"/>
          <w:sz w:val="20"/>
          <w:szCs w:val="20"/>
        </w:rPr>
        <w:t>anslation</w:t>
      </w:r>
    </w:p>
    <w:p w14:paraId="5556B2A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assets and liabilities of our operations with functional currencies other than the U.S. dollar are translated at month-end exchange rates, and revenue and expenses are translated at rates that approximate average monthly exchange rates. Gains</w:t>
      </w:r>
      <w:r>
        <w:rPr>
          <w:rFonts w:ascii="Arial" w:eastAsia="宋体" w:hAnsi="Arial" w:cs="Arial"/>
          <w:sz w:val="20"/>
          <w:szCs w:val="20"/>
        </w:rPr>
        <w:t xml:space="preserve"> or losses from the translation of the net assets of subsidiaries with functional currencies other than the U.S. dollar, net of related taxes, are recorded in AOCI, a component of shareholders’ equity.</w:t>
      </w:r>
    </w:p>
    <w:p w14:paraId="5556B2A7"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Cash and Cash Equivalents</w:t>
      </w:r>
    </w:p>
    <w:p w14:paraId="5556B2A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purposes of the consolid</w:t>
      </w:r>
      <w:r>
        <w:rPr>
          <w:rFonts w:ascii="Arial" w:eastAsia="宋体" w:hAnsi="Arial" w:cs="Arial"/>
          <w:sz w:val="20"/>
          <w:szCs w:val="20"/>
        </w:rPr>
        <w:t>ated statement of cash flows, cash and cash equivalents are defined as cash and due from banks.</w:t>
      </w:r>
    </w:p>
    <w:p w14:paraId="5556B2A9"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Interest-Bearing Deposits with Banks</w:t>
      </w:r>
    </w:p>
    <w:p w14:paraId="5556B2A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Interest-bearing deposits with banks generally consist of highly liquid, short-term investments maintained at the </w:t>
      </w:r>
      <w:r>
        <w:rPr>
          <w:rFonts w:ascii="Arial" w:eastAsia="宋体" w:hAnsi="Arial" w:cs="Arial"/>
          <w:sz w:val="20"/>
          <w:szCs w:val="20"/>
        </w:rPr>
        <w:t>Federal Reserve Bank and other non-U.S. central banks with original maturities at the time of purchase of one month or less.</w:t>
      </w:r>
    </w:p>
    <w:p w14:paraId="5556B2AB" w14:textId="77777777" w:rsidR="00F925DD" w:rsidRDefault="00F925DD">
      <w:pPr>
        <w:rPr>
          <w:rFonts w:ascii="Times New Roman" w:hAnsi="Times New Roman"/>
          <w:sz w:val="20"/>
          <w:szCs w:val="20"/>
        </w:rPr>
      </w:pPr>
    </w:p>
    <w:p w14:paraId="5556B2A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125</w:t>
      </w:r>
    </w:p>
    <w:p w14:paraId="5556B2AD" w14:textId="77777777" w:rsidR="00F925DD" w:rsidRDefault="00F925DD">
      <w:pPr>
        <w:spacing w:line="288" w:lineRule="auto"/>
        <w:ind w:firstLine="600"/>
        <w:jc w:val="center"/>
        <w:rPr>
          <w:rFonts w:ascii="Times New Roman" w:hAnsi="Times New Roman"/>
          <w:sz w:val="18"/>
          <w:szCs w:val="18"/>
        </w:rPr>
      </w:pPr>
    </w:p>
    <w:p w14:paraId="5556B2AE" w14:textId="77777777" w:rsidR="00F925DD" w:rsidRDefault="00E705D7">
      <w:r>
        <w:rPr>
          <w:rFonts w:ascii="Times New Roman" w:hAnsi="Times New Roman"/>
          <w:sz w:val="18"/>
          <w:szCs w:val="18"/>
        </w:rPr>
        <w:pict w14:anchorId="555706B7">
          <v:rect id="_x0000_i1149" style="width:415.3pt;height:1.5pt" o:hralign="center" o:hrstd="t" o:hr="t" fillcolor="#a0a0a0" stroked="f"/>
        </w:pict>
      </w:r>
    </w:p>
    <w:p w14:paraId="5556B2A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2B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B2B1" w14:textId="77777777" w:rsidR="00F925DD" w:rsidRDefault="00F925DD">
      <w:pPr>
        <w:rPr>
          <w:rFonts w:ascii="Times New Roman" w:hAnsi="Times New Roman"/>
          <w:sz w:val="20"/>
          <w:szCs w:val="20"/>
        </w:rPr>
      </w:pPr>
    </w:p>
    <w:p w14:paraId="5556B2B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 xml:space="preserve">Securities Purchased Under </w:t>
      </w:r>
      <w:r>
        <w:rPr>
          <w:rFonts w:ascii="Arial" w:eastAsia="宋体" w:hAnsi="Arial" w:cs="Arial"/>
          <w:b/>
          <w:bCs/>
          <w:i/>
          <w:iCs/>
          <w:color w:val="000000"/>
          <w:sz w:val="20"/>
          <w:szCs w:val="20"/>
        </w:rPr>
        <w:t>Resale Agreements and Securities Sold Under Repurchase Agreements</w:t>
      </w:r>
    </w:p>
    <w:p w14:paraId="5556B2B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Securities purchased under resale agreements and sold under repurchase agreements are treated as collateralized financing transactions, and are recorded in our consolidated statement of cond</w:t>
      </w:r>
      <w:r>
        <w:rPr>
          <w:rFonts w:ascii="Arial" w:eastAsia="宋体" w:hAnsi="Arial" w:cs="Arial"/>
          <w:sz w:val="20"/>
          <w:szCs w:val="20"/>
        </w:rPr>
        <w:t>ition at the amounts at which the securities will be subsequently resold or repurchased, plus accrued interest. Our policy is to take possession or control of securities underlying resale agreements either directly or through agent banks, allowing borrower</w:t>
      </w:r>
      <w:r>
        <w:rPr>
          <w:rFonts w:ascii="Arial" w:eastAsia="宋体" w:hAnsi="Arial" w:cs="Arial"/>
          <w:sz w:val="20"/>
          <w:szCs w:val="20"/>
        </w:rPr>
        <w:t xml:space="preserve">s the right of collateral substitution and/or short-notice termination. We revalue these securities daily to determine if additional collateral is necessary from the borrower to protect us against credit exposure. We can use these securities as collateral </w:t>
      </w:r>
      <w:r>
        <w:rPr>
          <w:rFonts w:ascii="Arial" w:eastAsia="宋体" w:hAnsi="Arial" w:cs="Arial"/>
          <w:sz w:val="20"/>
          <w:szCs w:val="20"/>
        </w:rPr>
        <w:t>for repurchase agreements.</w:t>
      </w:r>
    </w:p>
    <w:p w14:paraId="5556B2B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securities sold under repurchase agreements collateralized by our investment securities portfolio, the dollar value of the securities remains in investment securities in our consolidated statement of condition. Where a master</w:t>
      </w:r>
      <w:r>
        <w:rPr>
          <w:rFonts w:ascii="Arial" w:eastAsia="宋体" w:hAnsi="Arial" w:cs="Arial"/>
          <w:sz w:val="20"/>
          <w:szCs w:val="20"/>
        </w:rPr>
        <w:t xml:space="preserve"> netting agreement exists or both parties are members of a common clearing organization, resale and repurchase agreements with the same counterparty or clearing house and maturity date are recorded on a net basis.</w:t>
      </w:r>
    </w:p>
    <w:p w14:paraId="5556B2B5"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Fee and Net Interest Income</w:t>
      </w:r>
    </w:p>
    <w:p w14:paraId="5556B2B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majority o</w:t>
      </w:r>
      <w:r>
        <w:rPr>
          <w:rFonts w:ascii="Arial" w:eastAsia="宋体" w:hAnsi="Arial" w:cs="Arial"/>
          <w:sz w:val="20"/>
          <w:szCs w:val="20"/>
        </w:rPr>
        <w:t xml:space="preserve">f fees from investment servicing, investment management, securities finance, trading services and certain types of software and processing fees are recorded in our consolidated statement of income based on the consideration specified in contracts with our </w:t>
      </w:r>
      <w:r>
        <w:rPr>
          <w:rFonts w:ascii="Arial" w:eastAsia="宋体" w:hAnsi="Arial" w:cs="Arial"/>
          <w:sz w:val="20"/>
          <w:szCs w:val="20"/>
        </w:rPr>
        <w:t>customers, and excludes taxes collected from customers subsequently remitted to governmental authorities. We recognize revenue as the services are performed or at a point in time depending on the nature of the services provided. Payments made to third part</w:t>
      </w:r>
      <w:r>
        <w:rPr>
          <w:rFonts w:ascii="Arial" w:eastAsia="宋体" w:hAnsi="Arial" w:cs="Arial"/>
          <w:sz w:val="20"/>
          <w:szCs w:val="20"/>
        </w:rPr>
        <w:t>y service providers are generally recognized on a gross basis when we control those services and are deemed to be the principal. Additional information about revenue from contracts with customers is provided in Note 25.</w:t>
      </w:r>
    </w:p>
    <w:p w14:paraId="5556B2B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Interest income on interest-earning </w:t>
      </w:r>
      <w:r>
        <w:rPr>
          <w:rFonts w:ascii="Arial" w:eastAsia="宋体" w:hAnsi="Arial" w:cs="Arial"/>
          <w:sz w:val="20"/>
          <w:szCs w:val="20"/>
        </w:rPr>
        <w:t>assets and interest expense on interest-bearing liabilities are recorded in our consolidated statement of income as components of NII, and are generally based on the effective yield of the related financial asset or liability.</w:t>
      </w:r>
    </w:p>
    <w:p w14:paraId="5556B2B8"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Other Significant Policies</w:t>
      </w:r>
    </w:p>
    <w:p w14:paraId="5556B2B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w:t>
      </w:r>
      <w:r>
        <w:rPr>
          <w:rFonts w:ascii="Arial" w:eastAsia="宋体" w:hAnsi="Arial" w:cs="Arial"/>
          <w:sz w:val="20"/>
          <w:szCs w:val="20"/>
        </w:rPr>
        <w:t>e following table identifies our other significant accounting policies and the note and page where a detailed description of each policy can be found:</w:t>
      </w:r>
    </w:p>
    <w:tbl>
      <w:tblPr>
        <w:tblW w:w="5000" w:type="pct"/>
        <w:tblCellMar>
          <w:left w:w="0" w:type="dxa"/>
          <w:right w:w="0" w:type="dxa"/>
        </w:tblCellMar>
        <w:tblLook w:val="04A0" w:firstRow="1" w:lastRow="0" w:firstColumn="1" w:lastColumn="0" w:noHBand="0" w:noVBand="1"/>
      </w:tblPr>
      <w:tblGrid>
        <w:gridCol w:w="5316"/>
        <w:gridCol w:w="997"/>
        <w:gridCol w:w="498"/>
        <w:gridCol w:w="997"/>
        <w:gridCol w:w="498"/>
      </w:tblGrid>
      <w:tr w:rsidR="00F925DD" w14:paraId="5556B2BB" w14:textId="77777777">
        <w:tc>
          <w:tcPr>
            <w:tcW w:w="0" w:type="auto"/>
            <w:gridSpan w:val="5"/>
            <w:shd w:val="clear" w:color="auto" w:fill="auto"/>
            <w:vAlign w:val="center"/>
          </w:tcPr>
          <w:p w14:paraId="5556B2BA" w14:textId="77777777" w:rsidR="00F925DD" w:rsidRDefault="00F925DD">
            <w:pPr>
              <w:rPr>
                <w:rFonts w:ascii="Times New Roman" w:hAnsi="Times New Roman"/>
                <w:sz w:val="20"/>
                <w:szCs w:val="20"/>
              </w:rPr>
            </w:pPr>
          </w:p>
        </w:tc>
      </w:tr>
      <w:tr w:rsidR="00F925DD" w14:paraId="5556B2C1" w14:textId="77777777">
        <w:tc>
          <w:tcPr>
            <w:tcW w:w="3200" w:type="pct"/>
            <w:shd w:val="clear" w:color="auto" w:fill="auto"/>
            <w:vAlign w:val="center"/>
          </w:tcPr>
          <w:p w14:paraId="5556B2BC" w14:textId="77777777" w:rsidR="00F925DD" w:rsidRDefault="00F925DD">
            <w:pPr>
              <w:rPr>
                <w:rFonts w:ascii="Times New Roman" w:hAnsi="Times New Roman"/>
                <w:sz w:val="20"/>
                <w:szCs w:val="20"/>
              </w:rPr>
            </w:pPr>
          </w:p>
        </w:tc>
        <w:tc>
          <w:tcPr>
            <w:tcW w:w="600" w:type="pct"/>
            <w:shd w:val="clear" w:color="auto" w:fill="auto"/>
            <w:vAlign w:val="center"/>
          </w:tcPr>
          <w:p w14:paraId="5556B2BD" w14:textId="77777777" w:rsidR="00F925DD" w:rsidRDefault="00F925DD">
            <w:pPr>
              <w:rPr>
                <w:rFonts w:ascii="Times New Roman" w:hAnsi="Times New Roman"/>
                <w:sz w:val="20"/>
                <w:szCs w:val="20"/>
              </w:rPr>
            </w:pPr>
          </w:p>
        </w:tc>
        <w:tc>
          <w:tcPr>
            <w:tcW w:w="300" w:type="pct"/>
            <w:shd w:val="clear" w:color="auto" w:fill="auto"/>
            <w:vAlign w:val="center"/>
          </w:tcPr>
          <w:p w14:paraId="5556B2BE" w14:textId="77777777" w:rsidR="00F925DD" w:rsidRDefault="00F925DD">
            <w:pPr>
              <w:rPr>
                <w:rFonts w:ascii="Times New Roman" w:hAnsi="Times New Roman"/>
                <w:sz w:val="20"/>
                <w:szCs w:val="20"/>
              </w:rPr>
            </w:pPr>
          </w:p>
        </w:tc>
        <w:tc>
          <w:tcPr>
            <w:tcW w:w="600" w:type="pct"/>
            <w:shd w:val="clear" w:color="auto" w:fill="auto"/>
            <w:vAlign w:val="center"/>
          </w:tcPr>
          <w:p w14:paraId="5556B2BF" w14:textId="77777777" w:rsidR="00F925DD" w:rsidRDefault="00F925DD">
            <w:pPr>
              <w:rPr>
                <w:rFonts w:ascii="Times New Roman" w:hAnsi="Times New Roman"/>
                <w:sz w:val="20"/>
                <w:szCs w:val="20"/>
              </w:rPr>
            </w:pPr>
          </w:p>
        </w:tc>
        <w:tc>
          <w:tcPr>
            <w:tcW w:w="300" w:type="pct"/>
            <w:shd w:val="clear" w:color="auto" w:fill="auto"/>
            <w:vAlign w:val="center"/>
          </w:tcPr>
          <w:p w14:paraId="5556B2C0" w14:textId="77777777" w:rsidR="00F925DD" w:rsidRDefault="00F925DD">
            <w:pPr>
              <w:rPr>
                <w:rFonts w:ascii="Times New Roman" w:hAnsi="Times New Roman"/>
                <w:sz w:val="20"/>
                <w:szCs w:val="20"/>
              </w:rPr>
            </w:pPr>
          </w:p>
        </w:tc>
      </w:tr>
      <w:tr w:rsidR="00F925DD" w14:paraId="5556B2C7" w14:textId="77777777">
        <w:tc>
          <w:tcPr>
            <w:tcW w:w="0" w:type="auto"/>
            <w:shd w:val="clear" w:color="auto" w:fill="auto"/>
            <w:tcMar>
              <w:top w:w="40" w:type="dxa"/>
              <w:left w:w="40" w:type="dxa"/>
              <w:bottom w:w="40" w:type="dxa"/>
              <w:right w:w="40" w:type="dxa"/>
            </w:tcMar>
            <w:vAlign w:val="bottom"/>
          </w:tcPr>
          <w:p w14:paraId="5556B2C2" w14:textId="77777777" w:rsidR="00F925DD" w:rsidRDefault="00E705D7">
            <w:pPr>
              <w:textAlignment w:val="bottom"/>
              <w:rPr>
                <w:rFonts w:ascii="Times New Roman" w:hAnsi="Times New Roman"/>
                <w:sz w:val="16"/>
                <w:szCs w:val="16"/>
              </w:rPr>
            </w:pPr>
            <w:r>
              <w:rPr>
                <w:rFonts w:ascii="Arial" w:eastAsia="宋体" w:hAnsi="Arial" w:cs="Arial"/>
                <w:sz w:val="16"/>
                <w:szCs w:val="16"/>
              </w:rPr>
              <w:t>Fair Value</w:t>
            </w:r>
          </w:p>
        </w:tc>
        <w:tc>
          <w:tcPr>
            <w:tcW w:w="0" w:type="auto"/>
            <w:shd w:val="clear" w:color="auto" w:fill="auto"/>
            <w:tcMar>
              <w:top w:w="40" w:type="dxa"/>
              <w:left w:w="40" w:type="dxa"/>
              <w:bottom w:w="40" w:type="dxa"/>
              <w:right w:w="40" w:type="dxa"/>
            </w:tcMar>
            <w:vAlign w:val="bottom"/>
          </w:tcPr>
          <w:p w14:paraId="5556B2C3"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2C4"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2</w:t>
            </w:r>
          </w:p>
        </w:tc>
        <w:tc>
          <w:tcPr>
            <w:tcW w:w="0" w:type="auto"/>
            <w:shd w:val="clear" w:color="auto" w:fill="auto"/>
            <w:tcMar>
              <w:top w:w="40" w:type="dxa"/>
              <w:left w:w="40" w:type="dxa"/>
              <w:bottom w:w="40" w:type="dxa"/>
              <w:right w:w="40" w:type="dxa"/>
            </w:tcMar>
            <w:vAlign w:val="bottom"/>
          </w:tcPr>
          <w:p w14:paraId="5556B2C5"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2C6" w14:textId="77777777" w:rsidR="00F925DD" w:rsidRDefault="00E705D7">
            <w:pPr>
              <w:jc w:val="center"/>
              <w:textAlignment w:val="bottom"/>
              <w:rPr>
                <w:rFonts w:ascii="Times New Roman" w:hAnsi="Times New Roman"/>
                <w:sz w:val="16"/>
                <w:szCs w:val="16"/>
              </w:rPr>
            </w:pPr>
            <w:hyperlink r:id="rId95" w:anchor="s9D635DCAEDF12D9AC322143A407EC56B" w:history="1">
              <w:r>
                <w:rPr>
                  <w:rStyle w:val="a5"/>
                  <w:rFonts w:ascii="Arial" w:eastAsia="宋体" w:hAnsi="Arial" w:cs="Arial"/>
                  <w:color w:val="000000"/>
                  <w:sz w:val="16"/>
                  <w:szCs w:val="16"/>
                  <w:u w:val="none"/>
                </w:rPr>
                <w:t>128</w:t>
              </w:r>
            </w:hyperlink>
          </w:p>
        </w:tc>
      </w:tr>
      <w:tr w:rsidR="00F925DD" w14:paraId="5556B2CD" w14:textId="77777777">
        <w:tc>
          <w:tcPr>
            <w:tcW w:w="0" w:type="auto"/>
            <w:shd w:val="clear" w:color="auto" w:fill="auto"/>
            <w:tcMar>
              <w:top w:w="40" w:type="dxa"/>
              <w:left w:w="40" w:type="dxa"/>
              <w:bottom w:w="40" w:type="dxa"/>
              <w:right w:w="40" w:type="dxa"/>
            </w:tcMar>
            <w:vAlign w:val="bottom"/>
          </w:tcPr>
          <w:p w14:paraId="5556B2C8" w14:textId="77777777" w:rsidR="00F925DD" w:rsidRDefault="00E705D7">
            <w:pPr>
              <w:textAlignment w:val="bottom"/>
              <w:rPr>
                <w:rFonts w:ascii="Times New Roman" w:hAnsi="Times New Roman"/>
                <w:sz w:val="16"/>
                <w:szCs w:val="16"/>
              </w:rPr>
            </w:pPr>
            <w:r>
              <w:rPr>
                <w:rFonts w:ascii="Arial" w:eastAsia="宋体" w:hAnsi="Arial" w:cs="Arial"/>
                <w:sz w:val="16"/>
                <w:szCs w:val="16"/>
              </w:rPr>
              <w:t>Investment Securities</w:t>
            </w:r>
          </w:p>
        </w:tc>
        <w:tc>
          <w:tcPr>
            <w:tcW w:w="0" w:type="auto"/>
            <w:shd w:val="clear" w:color="auto" w:fill="auto"/>
            <w:tcMar>
              <w:top w:w="40" w:type="dxa"/>
              <w:left w:w="40" w:type="dxa"/>
              <w:bottom w:w="40" w:type="dxa"/>
              <w:right w:w="40" w:type="dxa"/>
            </w:tcMar>
            <w:vAlign w:val="bottom"/>
          </w:tcPr>
          <w:p w14:paraId="5556B2C9"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2C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3</w:t>
            </w:r>
          </w:p>
        </w:tc>
        <w:tc>
          <w:tcPr>
            <w:tcW w:w="0" w:type="auto"/>
            <w:shd w:val="clear" w:color="auto" w:fill="auto"/>
            <w:tcMar>
              <w:top w:w="40" w:type="dxa"/>
              <w:left w:w="40" w:type="dxa"/>
              <w:bottom w:w="40" w:type="dxa"/>
              <w:right w:w="40" w:type="dxa"/>
            </w:tcMar>
            <w:vAlign w:val="bottom"/>
          </w:tcPr>
          <w:p w14:paraId="5556B2CB"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2CC" w14:textId="77777777" w:rsidR="00F925DD" w:rsidRDefault="00E705D7">
            <w:pPr>
              <w:jc w:val="center"/>
              <w:textAlignment w:val="bottom"/>
              <w:rPr>
                <w:rFonts w:ascii="Times New Roman" w:hAnsi="Times New Roman"/>
                <w:sz w:val="16"/>
                <w:szCs w:val="16"/>
              </w:rPr>
            </w:pPr>
            <w:hyperlink r:id="rId96" w:anchor="s0E76B35A1252FEFE11FD143A47053D03" w:history="1">
              <w:r>
                <w:rPr>
                  <w:rStyle w:val="a5"/>
                  <w:rFonts w:ascii="Arial" w:eastAsia="宋体" w:hAnsi="Arial" w:cs="Arial"/>
                  <w:color w:val="000000"/>
                  <w:sz w:val="16"/>
                  <w:szCs w:val="16"/>
                  <w:u w:val="none"/>
                </w:rPr>
                <w:t>135</w:t>
              </w:r>
            </w:hyperlink>
          </w:p>
        </w:tc>
      </w:tr>
      <w:tr w:rsidR="00F925DD" w14:paraId="5556B2D3" w14:textId="77777777">
        <w:tc>
          <w:tcPr>
            <w:tcW w:w="0" w:type="auto"/>
            <w:shd w:val="clear" w:color="auto" w:fill="auto"/>
            <w:tcMar>
              <w:top w:w="40" w:type="dxa"/>
              <w:left w:w="40" w:type="dxa"/>
              <w:bottom w:w="40" w:type="dxa"/>
              <w:right w:w="40" w:type="dxa"/>
            </w:tcMar>
            <w:vAlign w:val="bottom"/>
          </w:tcPr>
          <w:p w14:paraId="5556B2CE"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Loans </w:t>
            </w:r>
          </w:p>
        </w:tc>
        <w:tc>
          <w:tcPr>
            <w:tcW w:w="0" w:type="auto"/>
            <w:shd w:val="clear" w:color="auto" w:fill="auto"/>
            <w:tcMar>
              <w:top w:w="40" w:type="dxa"/>
              <w:left w:w="40" w:type="dxa"/>
              <w:bottom w:w="40" w:type="dxa"/>
              <w:right w:w="40" w:type="dxa"/>
            </w:tcMar>
            <w:vAlign w:val="bottom"/>
          </w:tcPr>
          <w:p w14:paraId="5556B2CF"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2D0"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4</w:t>
            </w:r>
          </w:p>
        </w:tc>
        <w:tc>
          <w:tcPr>
            <w:tcW w:w="0" w:type="auto"/>
            <w:shd w:val="clear" w:color="auto" w:fill="auto"/>
            <w:tcMar>
              <w:top w:w="40" w:type="dxa"/>
              <w:left w:w="40" w:type="dxa"/>
              <w:bottom w:w="40" w:type="dxa"/>
              <w:right w:w="40" w:type="dxa"/>
            </w:tcMar>
            <w:vAlign w:val="bottom"/>
          </w:tcPr>
          <w:p w14:paraId="5556B2D1"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2D2" w14:textId="77777777" w:rsidR="00F925DD" w:rsidRDefault="00E705D7">
            <w:pPr>
              <w:jc w:val="center"/>
              <w:textAlignment w:val="bottom"/>
              <w:rPr>
                <w:rFonts w:ascii="Times New Roman" w:hAnsi="Times New Roman"/>
                <w:sz w:val="16"/>
                <w:szCs w:val="16"/>
              </w:rPr>
            </w:pPr>
            <w:hyperlink r:id="rId97" w:anchor="sB272D50A93A5D0F51E1F143A5D012971" w:history="1">
              <w:r>
                <w:rPr>
                  <w:rStyle w:val="a5"/>
                  <w:rFonts w:ascii="Arial" w:eastAsia="宋体" w:hAnsi="Arial" w:cs="Arial"/>
                  <w:color w:val="000000"/>
                  <w:sz w:val="16"/>
                  <w:szCs w:val="16"/>
                  <w:u w:val="none"/>
                </w:rPr>
                <w:t>141</w:t>
              </w:r>
            </w:hyperlink>
          </w:p>
        </w:tc>
      </w:tr>
      <w:tr w:rsidR="00F925DD" w14:paraId="5556B2D9" w14:textId="77777777">
        <w:tc>
          <w:tcPr>
            <w:tcW w:w="0" w:type="auto"/>
            <w:shd w:val="clear" w:color="auto" w:fill="auto"/>
            <w:tcMar>
              <w:top w:w="40" w:type="dxa"/>
              <w:left w:w="40" w:type="dxa"/>
              <w:bottom w:w="40" w:type="dxa"/>
              <w:right w:w="40" w:type="dxa"/>
            </w:tcMar>
            <w:vAlign w:val="bottom"/>
          </w:tcPr>
          <w:p w14:paraId="5556B2D4" w14:textId="77777777" w:rsidR="00F925DD" w:rsidRDefault="00E705D7">
            <w:pPr>
              <w:textAlignment w:val="bottom"/>
              <w:rPr>
                <w:rFonts w:ascii="Times New Roman" w:hAnsi="Times New Roman"/>
                <w:sz w:val="16"/>
                <w:szCs w:val="16"/>
              </w:rPr>
            </w:pPr>
            <w:r>
              <w:rPr>
                <w:rFonts w:ascii="Arial" w:eastAsia="宋体" w:hAnsi="Arial" w:cs="Arial"/>
                <w:sz w:val="16"/>
                <w:szCs w:val="16"/>
              </w:rPr>
              <w:t>Goodwill and Other Intangible Assets</w:t>
            </w:r>
          </w:p>
        </w:tc>
        <w:tc>
          <w:tcPr>
            <w:tcW w:w="0" w:type="auto"/>
            <w:shd w:val="clear" w:color="auto" w:fill="auto"/>
            <w:tcMar>
              <w:top w:w="40" w:type="dxa"/>
              <w:left w:w="40" w:type="dxa"/>
              <w:bottom w:w="40" w:type="dxa"/>
              <w:right w:w="40" w:type="dxa"/>
            </w:tcMar>
            <w:vAlign w:val="bottom"/>
          </w:tcPr>
          <w:p w14:paraId="5556B2D5"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2D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tcMar>
              <w:top w:w="40" w:type="dxa"/>
              <w:left w:w="40" w:type="dxa"/>
              <w:bottom w:w="40" w:type="dxa"/>
              <w:right w:w="40" w:type="dxa"/>
            </w:tcMar>
            <w:vAlign w:val="bottom"/>
          </w:tcPr>
          <w:p w14:paraId="5556B2D7"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2D8" w14:textId="77777777" w:rsidR="00F925DD" w:rsidRDefault="00E705D7">
            <w:pPr>
              <w:jc w:val="center"/>
              <w:textAlignment w:val="bottom"/>
              <w:rPr>
                <w:rFonts w:ascii="Times New Roman" w:hAnsi="Times New Roman"/>
                <w:sz w:val="16"/>
                <w:szCs w:val="16"/>
              </w:rPr>
            </w:pPr>
            <w:hyperlink r:id="rId98" w:anchor="s59C157974BD82240ADB6143A4B069CC7" w:history="1">
              <w:r>
                <w:rPr>
                  <w:rStyle w:val="a5"/>
                  <w:rFonts w:ascii="Arial" w:eastAsia="宋体" w:hAnsi="Arial" w:cs="Arial"/>
                  <w:color w:val="000000"/>
                  <w:sz w:val="16"/>
                  <w:szCs w:val="16"/>
                  <w:u w:val="none"/>
                </w:rPr>
                <w:t>143</w:t>
              </w:r>
            </w:hyperlink>
          </w:p>
        </w:tc>
      </w:tr>
      <w:tr w:rsidR="00F925DD" w14:paraId="5556B2DF" w14:textId="77777777">
        <w:tc>
          <w:tcPr>
            <w:tcW w:w="0" w:type="auto"/>
            <w:shd w:val="clear" w:color="auto" w:fill="auto"/>
            <w:tcMar>
              <w:top w:w="40" w:type="dxa"/>
              <w:left w:w="40" w:type="dxa"/>
              <w:bottom w:w="40" w:type="dxa"/>
              <w:right w:w="40" w:type="dxa"/>
            </w:tcMar>
            <w:vAlign w:val="bottom"/>
          </w:tcPr>
          <w:p w14:paraId="5556B2DA" w14:textId="77777777" w:rsidR="00F925DD" w:rsidRDefault="00E705D7">
            <w:pPr>
              <w:textAlignment w:val="bottom"/>
              <w:rPr>
                <w:rFonts w:ascii="Times New Roman" w:hAnsi="Times New Roman"/>
                <w:sz w:val="16"/>
                <w:szCs w:val="16"/>
              </w:rPr>
            </w:pPr>
            <w:r>
              <w:rPr>
                <w:rFonts w:ascii="Arial" w:eastAsia="宋体" w:hAnsi="Arial" w:cs="Arial"/>
                <w:sz w:val="16"/>
                <w:szCs w:val="16"/>
              </w:rPr>
              <w:t>Derivative Financial Instruments</w:t>
            </w:r>
          </w:p>
        </w:tc>
        <w:tc>
          <w:tcPr>
            <w:tcW w:w="0" w:type="auto"/>
            <w:shd w:val="clear" w:color="auto" w:fill="auto"/>
            <w:tcMar>
              <w:top w:w="40" w:type="dxa"/>
              <w:left w:w="40" w:type="dxa"/>
              <w:bottom w:w="40" w:type="dxa"/>
              <w:right w:w="40" w:type="dxa"/>
            </w:tcMar>
            <w:vAlign w:val="bottom"/>
          </w:tcPr>
          <w:p w14:paraId="5556B2DB"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2DC"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10</w:t>
            </w:r>
          </w:p>
        </w:tc>
        <w:tc>
          <w:tcPr>
            <w:tcW w:w="0" w:type="auto"/>
            <w:shd w:val="clear" w:color="auto" w:fill="auto"/>
            <w:tcMar>
              <w:top w:w="40" w:type="dxa"/>
              <w:left w:w="40" w:type="dxa"/>
              <w:bottom w:w="40" w:type="dxa"/>
              <w:right w:w="40" w:type="dxa"/>
            </w:tcMar>
            <w:vAlign w:val="bottom"/>
          </w:tcPr>
          <w:p w14:paraId="5556B2DD"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2DE" w14:textId="77777777" w:rsidR="00F925DD" w:rsidRDefault="00E705D7">
            <w:pPr>
              <w:jc w:val="center"/>
              <w:textAlignment w:val="bottom"/>
              <w:rPr>
                <w:rFonts w:ascii="Times New Roman" w:hAnsi="Times New Roman"/>
                <w:sz w:val="16"/>
                <w:szCs w:val="16"/>
              </w:rPr>
            </w:pPr>
            <w:hyperlink r:id="rId99" w:anchor="s7347CFB3DF9D167154D0143A4B9C8F4F" w:history="1">
              <w:r>
                <w:rPr>
                  <w:rStyle w:val="a5"/>
                  <w:rFonts w:ascii="Arial" w:eastAsia="宋体" w:hAnsi="Arial" w:cs="Arial"/>
                  <w:color w:val="000000"/>
                  <w:sz w:val="16"/>
                  <w:szCs w:val="16"/>
                  <w:u w:val="none"/>
                </w:rPr>
                <w:t>147</w:t>
              </w:r>
            </w:hyperlink>
          </w:p>
        </w:tc>
      </w:tr>
      <w:tr w:rsidR="00F925DD" w14:paraId="5556B2E5" w14:textId="77777777">
        <w:tc>
          <w:tcPr>
            <w:tcW w:w="0" w:type="auto"/>
            <w:shd w:val="clear" w:color="auto" w:fill="auto"/>
            <w:tcMar>
              <w:top w:w="40" w:type="dxa"/>
              <w:left w:w="40" w:type="dxa"/>
              <w:bottom w:w="40" w:type="dxa"/>
              <w:right w:w="40" w:type="dxa"/>
            </w:tcMar>
            <w:vAlign w:val="bottom"/>
          </w:tcPr>
          <w:p w14:paraId="5556B2E0" w14:textId="77777777" w:rsidR="00F925DD" w:rsidRDefault="00E705D7">
            <w:pPr>
              <w:textAlignment w:val="bottom"/>
              <w:rPr>
                <w:rFonts w:ascii="Times New Roman" w:hAnsi="Times New Roman"/>
                <w:sz w:val="16"/>
                <w:szCs w:val="16"/>
              </w:rPr>
            </w:pPr>
            <w:r>
              <w:rPr>
                <w:rFonts w:ascii="Arial" w:eastAsia="宋体" w:hAnsi="Arial" w:cs="Arial"/>
                <w:sz w:val="16"/>
                <w:szCs w:val="16"/>
              </w:rPr>
              <w:t>Offsetting Arrangements</w:t>
            </w:r>
          </w:p>
        </w:tc>
        <w:tc>
          <w:tcPr>
            <w:tcW w:w="0" w:type="auto"/>
            <w:shd w:val="clear" w:color="auto" w:fill="auto"/>
            <w:tcMar>
              <w:top w:w="40" w:type="dxa"/>
              <w:left w:w="40" w:type="dxa"/>
              <w:bottom w:w="40" w:type="dxa"/>
              <w:right w:w="40" w:type="dxa"/>
            </w:tcMar>
            <w:vAlign w:val="bottom"/>
          </w:tcPr>
          <w:p w14:paraId="5556B2E1"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2E2"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11</w:t>
            </w:r>
          </w:p>
        </w:tc>
        <w:tc>
          <w:tcPr>
            <w:tcW w:w="0" w:type="auto"/>
            <w:shd w:val="clear" w:color="auto" w:fill="auto"/>
            <w:tcMar>
              <w:top w:w="40" w:type="dxa"/>
              <w:left w:w="40" w:type="dxa"/>
              <w:bottom w:w="40" w:type="dxa"/>
              <w:right w:w="40" w:type="dxa"/>
            </w:tcMar>
            <w:vAlign w:val="bottom"/>
          </w:tcPr>
          <w:p w14:paraId="5556B2E3"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2E4" w14:textId="77777777" w:rsidR="00F925DD" w:rsidRDefault="00E705D7">
            <w:pPr>
              <w:jc w:val="center"/>
              <w:textAlignment w:val="bottom"/>
              <w:rPr>
                <w:rFonts w:ascii="Times New Roman" w:hAnsi="Times New Roman"/>
                <w:sz w:val="16"/>
                <w:szCs w:val="16"/>
              </w:rPr>
            </w:pPr>
            <w:hyperlink r:id="rId100" w:anchor="sAE93A2DAAC40C07B959B143A4E087C5C" w:history="1">
              <w:r>
                <w:rPr>
                  <w:rStyle w:val="a5"/>
                  <w:rFonts w:ascii="Arial" w:eastAsia="宋体" w:hAnsi="Arial" w:cs="Arial"/>
                  <w:color w:val="000000"/>
                  <w:sz w:val="16"/>
                  <w:szCs w:val="16"/>
                  <w:u w:val="none"/>
                </w:rPr>
                <w:t>152</w:t>
              </w:r>
            </w:hyperlink>
          </w:p>
        </w:tc>
      </w:tr>
      <w:tr w:rsidR="00F925DD" w14:paraId="5556B2EB" w14:textId="77777777">
        <w:tc>
          <w:tcPr>
            <w:tcW w:w="0" w:type="auto"/>
            <w:shd w:val="clear" w:color="auto" w:fill="auto"/>
            <w:tcMar>
              <w:top w:w="40" w:type="dxa"/>
              <w:left w:w="40" w:type="dxa"/>
              <w:bottom w:w="40" w:type="dxa"/>
              <w:right w:w="40" w:type="dxa"/>
            </w:tcMar>
            <w:vAlign w:val="bottom"/>
          </w:tcPr>
          <w:p w14:paraId="5556B2E6" w14:textId="77777777" w:rsidR="00F925DD" w:rsidRDefault="00E705D7">
            <w:pPr>
              <w:textAlignment w:val="bottom"/>
              <w:rPr>
                <w:rFonts w:ascii="Times New Roman" w:hAnsi="Times New Roman"/>
                <w:sz w:val="16"/>
                <w:szCs w:val="16"/>
              </w:rPr>
            </w:pPr>
            <w:r>
              <w:rPr>
                <w:rFonts w:ascii="Arial" w:eastAsia="宋体" w:hAnsi="Arial" w:cs="Arial"/>
                <w:sz w:val="16"/>
                <w:szCs w:val="16"/>
              </w:rPr>
              <w:t>Contingencies</w:t>
            </w:r>
          </w:p>
        </w:tc>
        <w:tc>
          <w:tcPr>
            <w:tcW w:w="0" w:type="auto"/>
            <w:shd w:val="clear" w:color="auto" w:fill="auto"/>
            <w:tcMar>
              <w:top w:w="40" w:type="dxa"/>
              <w:left w:w="40" w:type="dxa"/>
              <w:bottom w:w="40" w:type="dxa"/>
              <w:right w:w="40" w:type="dxa"/>
            </w:tcMar>
            <w:vAlign w:val="bottom"/>
          </w:tcPr>
          <w:p w14:paraId="5556B2E7"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2E8"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13</w:t>
            </w:r>
          </w:p>
        </w:tc>
        <w:tc>
          <w:tcPr>
            <w:tcW w:w="0" w:type="auto"/>
            <w:shd w:val="clear" w:color="auto" w:fill="auto"/>
            <w:tcMar>
              <w:top w:w="40" w:type="dxa"/>
              <w:left w:w="40" w:type="dxa"/>
              <w:bottom w:w="40" w:type="dxa"/>
              <w:right w:w="40" w:type="dxa"/>
            </w:tcMar>
            <w:vAlign w:val="bottom"/>
          </w:tcPr>
          <w:p w14:paraId="5556B2E9"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2EA" w14:textId="77777777" w:rsidR="00F925DD" w:rsidRDefault="00E705D7">
            <w:pPr>
              <w:jc w:val="center"/>
              <w:textAlignment w:val="bottom"/>
              <w:rPr>
                <w:rFonts w:ascii="Times New Roman" w:hAnsi="Times New Roman"/>
                <w:sz w:val="16"/>
                <w:szCs w:val="16"/>
              </w:rPr>
            </w:pPr>
            <w:hyperlink r:id="rId101" w:anchor="s00A02816E9A0A3D886C9143A4F3494EC" w:history="1">
              <w:r>
                <w:rPr>
                  <w:rStyle w:val="a5"/>
                  <w:rFonts w:ascii="Arial" w:eastAsia="宋体" w:hAnsi="Arial" w:cs="Arial"/>
                  <w:color w:val="000000"/>
                  <w:sz w:val="16"/>
                  <w:szCs w:val="16"/>
                  <w:u w:val="none"/>
                </w:rPr>
                <w:t>156</w:t>
              </w:r>
            </w:hyperlink>
          </w:p>
        </w:tc>
      </w:tr>
      <w:tr w:rsidR="00F925DD" w14:paraId="5556B2F1" w14:textId="77777777">
        <w:tc>
          <w:tcPr>
            <w:tcW w:w="0" w:type="auto"/>
            <w:shd w:val="clear" w:color="auto" w:fill="auto"/>
            <w:tcMar>
              <w:top w:w="40" w:type="dxa"/>
              <w:left w:w="40" w:type="dxa"/>
              <w:bottom w:w="40" w:type="dxa"/>
              <w:right w:w="40" w:type="dxa"/>
            </w:tcMar>
            <w:vAlign w:val="bottom"/>
          </w:tcPr>
          <w:p w14:paraId="5556B2EC" w14:textId="77777777" w:rsidR="00F925DD" w:rsidRDefault="00E705D7">
            <w:pPr>
              <w:textAlignment w:val="bottom"/>
              <w:rPr>
                <w:rFonts w:ascii="Times New Roman" w:hAnsi="Times New Roman"/>
                <w:sz w:val="16"/>
                <w:szCs w:val="16"/>
              </w:rPr>
            </w:pPr>
            <w:r>
              <w:rPr>
                <w:rFonts w:ascii="Arial" w:eastAsia="宋体" w:hAnsi="Arial" w:cs="Arial"/>
                <w:sz w:val="16"/>
                <w:szCs w:val="16"/>
              </w:rPr>
              <w:t>Variable Interest Entities</w:t>
            </w:r>
          </w:p>
        </w:tc>
        <w:tc>
          <w:tcPr>
            <w:tcW w:w="0" w:type="auto"/>
            <w:shd w:val="clear" w:color="auto" w:fill="auto"/>
            <w:tcMar>
              <w:top w:w="40" w:type="dxa"/>
              <w:left w:w="40" w:type="dxa"/>
              <w:bottom w:w="40" w:type="dxa"/>
              <w:right w:w="40" w:type="dxa"/>
            </w:tcMar>
            <w:vAlign w:val="bottom"/>
          </w:tcPr>
          <w:p w14:paraId="5556B2ED"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2EE"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14</w:t>
            </w:r>
          </w:p>
        </w:tc>
        <w:tc>
          <w:tcPr>
            <w:tcW w:w="0" w:type="auto"/>
            <w:shd w:val="clear" w:color="auto" w:fill="auto"/>
            <w:tcMar>
              <w:top w:w="40" w:type="dxa"/>
              <w:left w:w="40" w:type="dxa"/>
              <w:bottom w:w="40" w:type="dxa"/>
              <w:right w:w="40" w:type="dxa"/>
            </w:tcMar>
            <w:vAlign w:val="bottom"/>
          </w:tcPr>
          <w:p w14:paraId="5556B2EF"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2F0" w14:textId="77777777" w:rsidR="00F925DD" w:rsidRDefault="00E705D7">
            <w:pPr>
              <w:jc w:val="center"/>
              <w:textAlignment w:val="bottom"/>
              <w:rPr>
                <w:rFonts w:ascii="Times New Roman" w:hAnsi="Times New Roman"/>
                <w:sz w:val="16"/>
                <w:szCs w:val="16"/>
              </w:rPr>
            </w:pPr>
            <w:hyperlink r:id="rId102" w:anchor="sC36CE1B2B3BE27045F88143A5F3B7ED4" w:history="1">
              <w:r>
                <w:rPr>
                  <w:rStyle w:val="a5"/>
                  <w:rFonts w:ascii="Arial" w:eastAsia="宋体" w:hAnsi="Arial" w:cs="Arial"/>
                  <w:color w:val="000000"/>
                  <w:sz w:val="16"/>
                  <w:szCs w:val="16"/>
                  <w:u w:val="none"/>
                </w:rPr>
                <w:t>158</w:t>
              </w:r>
            </w:hyperlink>
          </w:p>
        </w:tc>
      </w:tr>
      <w:tr w:rsidR="00F925DD" w14:paraId="5556B2F7" w14:textId="77777777">
        <w:tc>
          <w:tcPr>
            <w:tcW w:w="0" w:type="auto"/>
            <w:shd w:val="clear" w:color="auto" w:fill="auto"/>
            <w:tcMar>
              <w:top w:w="40" w:type="dxa"/>
              <w:left w:w="40" w:type="dxa"/>
              <w:bottom w:w="40" w:type="dxa"/>
              <w:right w:w="40" w:type="dxa"/>
            </w:tcMar>
            <w:vAlign w:val="bottom"/>
          </w:tcPr>
          <w:p w14:paraId="5556B2F2" w14:textId="77777777" w:rsidR="00F925DD" w:rsidRDefault="00E705D7">
            <w:pPr>
              <w:textAlignment w:val="bottom"/>
              <w:rPr>
                <w:rFonts w:ascii="Times New Roman" w:hAnsi="Times New Roman"/>
                <w:sz w:val="16"/>
                <w:szCs w:val="16"/>
              </w:rPr>
            </w:pPr>
            <w:r>
              <w:rPr>
                <w:rFonts w:ascii="Arial" w:eastAsia="宋体" w:hAnsi="Arial" w:cs="Arial"/>
                <w:sz w:val="16"/>
                <w:szCs w:val="16"/>
              </w:rPr>
              <w:t>Equity-Based Compensation</w:t>
            </w:r>
          </w:p>
        </w:tc>
        <w:tc>
          <w:tcPr>
            <w:tcW w:w="0" w:type="auto"/>
            <w:shd w:val="clear" w:color="auto" w:fill="auto"/>
            <w:tcMar>
              <w:top w:w="40" w:type="dxa"/>
              <w:left w:w="40" w:type="dxa"/>
              <w:bottom w:w="40" w:type="dxa"/>
              <w:right w:w="40" w:type="dxa"/>
            </w:tcMar>
            <w:vAlign w:val="bottom"/>
          </w:tcPr>
          <w:p w14:paraId="5556B2F3"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2F4"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18</w:t>
            </w:r>
          </w:p>
        </w:tc>
        <w:tc>
          <w:tcPr>
            <w:tcW w:w="0" w:type="auto"/>
            <w:shd w:val="clear" w:color="auto" w:fill="auto"/>
            <w:tcMar>
              <w:top w:w="40" w:type="dxa"/>
              <w:left w:w="40" w:type="dxa"/>
              <w:bottom w:w="40" w:type="dxa"/>
              <w:right w:w="40" w:type="dxa"/>
            </w:tcMar>
            <w:vAlign w:val="bottom"/>
          </w:tcPr>
          <w:p w14:paraId="5556B2F5"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2F6" w14:textId="77777777" w:rsidR="00F925DD" w:rsidRDefault="00E705D7">
            <w:pPr>
              <w:jc w:val="center"/>
              <w:textAlignment w:val="bottom"/>
              <w:rPr>
                <w:rFonts w:ascii="Times New Roman" w:hAnsi="Times New Roman"/>
                <w:sz w:val="16"/>
                <w:szCs w:val="16"/>
              </w:rPr>
            </w:pPr>
            <w:hyperlink r:id="rId103" w:anchor="s87397F0F2CDE4B88C7C6143A5F4FB743" w:history="1">
              <w:r>
                <w:rPr>
                  <w:rStyle w:val="a5"/>
                  <w:rFonts w:ascii="Arial" w:eastAsia="宋体" w:hAnsi="Arial" w:cs="Arial"/>
                  <w:color w:val="000000"/>
                  <w:sz w:val="16"/>
                  <w:szCs w:val="16"/>
                  <w:u w:val="none"/>
                </w:rPr>
                <w:t>164</w:t>
              </w:r>
            </w:hyperlink>
          </w:p>
        </w:tc>
      </w:tr>
      <w:tr w:rsidR="00F925DD" w14:paraId="5556B2FD" w14:textId="77777777">
        <w:tc>
          <w:tcPr>
            <w:tcW w:w="0" w:type="auto"/>
            <w:shd w:val="clear" w:color="auto" w:fill="auto"/>
            <w:tcMar>
              <w:top w:w="40" w:type="dxa"/>
              <w:left w:w="40" w:type="dxa"/>
              <w:bottom w:w="40" w:type="dxa"/>
              <w:right w:w="40" w:type="dxa"/>
            </w:tcMar>
            <w:vAlign w:val="bottom"/>
          </w:tcPr>
          <w:p w14:paraId="5556B2F8" w14:textId="77777777" w:rsidR="00F925DD" w:rsidRDefault="00E705D7">
            <w:pPr>
              <w:textAlignment w:val="bottom"/>
              <w:rPr>
                <w:rFonts w:ascii="Times New Roman" w:hAnsi="Times New Roman"/>
                <w:sz w:val="16"/>
                <w:szCs w:val="16"/>
              </w:rPr>
            </w:pPr>
            <w:r>
              <w:rPr>
                <w:rFonts w:ascii="Arial" w:eastAsia="宋体" w:hAnsi="Arial" w:cs="Arial"/>
                <w:sz w:val="16"/>
                <w:szCs w:val="16"/>
              </w:rPr>
              <w:t>Income Taxes</w:t>
            </w:r>
          </w:p>
        </w:tc>
        <w:tc>
          <w:tcPr>
            <w:tcW w:w="0" w:type="auto"/>
            <w:shd w:val="clear" w:color="auto" w:fill="auto"/>
            <w:tcMar>
              <w:top w:w="40" w:type="dxa"/>
              <w:left w:w="40" w:type="dxa"/>
              <w:bottom w:w="40" w:type="dxa"/>
              <w:right w:w="40" w:type="dxa"/>
            </w:tcMar>
            <w:vAlign w:val="bottom"/>
          </w:tcPr>
          <w:p w14:paraId="5556B2F9"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2FA"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22</w:t>
            </w:r>
          </w:p>
        </w:tc>
        <w:tc>
          <w:tcPr>
            <w:tcW w:w="0" w:type="auto"/>
            <w:shd w:val="clear" w:color="auto" w:fill="auto"/>
            <w:tcMar>
              <w:top w:w="40" w:type="dxa"/>
              <w:left w:w="40" w:type="dxa"/>
              <w:bottom w:w="40" w:type="dxa"/>
              <w:right w:w="40" w:type="dxa"/>
            </w:tcMar>
            <w:vAlign w:val="bottom"/>
          </w:tcPr>
          <w:p w14:paraId="5556B2FB"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2FC" w14:textId="77777777" w:rsidR="00F925DD" w:rsidRDefault="00E705D7">
            <w:pPr>
              <w:jc w:val="center"/>
              <w:textAlignment w:val="bottom"/>
              <w:rPr>
                <w:rFonts w:ascii="Times New Roman" w:hAnsi="Times New Roman"/>
                <w:sz w:val="16"/>
                <w:szCs w:val="16"/>
              </w:rPr>
            </w:pPr>
            <w:hyperlink r:id="rId104" w:anchor="s3F3881EAB7061B00ECCD143A6017BDA8" w:history="1">
              <w:r>
                <w:rPr>
                  <w:rStyle w:val="a5"/>
                  <w:rFonts w:ascii="Arial" w:eastAsia="宋体" w:hAnsi="Arial" w:cs="Arial"/>
                  <w:color w:val="000000"/>
                  <w:sz w:val="16"/>
                  <w:szCs w:val="16"/>
                  <w:u w:val="none"/>
                </w:rPr>
                <w:t>168</w:t>
              </w:r>
            </w:hyperlink>
          </w:p>
        </w:tc>
      </w:tr>
      <w:tr w:rsidR="00F925DD" w14:paraId="5556B303" w14:textId="77777777">
        <w:tc>
          <w:tcPr>
            <w:tcW w:w="0" w:type="auto"/>
            <w:shd w:val="clear" w:color="auto" w:fill="auto"/>
            <w:tcMar>
              <w:top w:w="40" w:type="dxa"/>
              <w:left w:w="40" w:type="dxa"/>
              <w:bottom w:w="40" w:type="dxa"/>
              <w:right w:w="40" w:type="dxa"/>
            </w:tcMar>
            <w:vAlign w:val="bottom"/>
          </w:tcPr>
          <w:p w14:paraId="5556B2FE" w14:textId="77777777" w:rsidR="00F925DD" w:rsidRDefault="00E705D7">
            <w:pPr>
              <w:textAlignment w:val="bottom"/>
              <w:rPr>
                <w:rFonts w:ascii="Times New Roman" w:hAnsi="Times New Roman"/>
                <w:sz w:val="16"/>
                <w:szCs w:val="16"/>
              </w:rPr>
            </w:pPr>
            <w:r>
              <w:rPr>
                <w:rFonts w:ascii="Arial" w:eastAsia="宋体" w:hAnsi="Arial" w:cs="Arial"/>
                <w:sz w:val="16"/>
                <w:szCs w:val="16"/>
              </w:rPr>
              <w:t>Earnings Per Common Share</w:t>
            </w:r>
          </w:p>
        </w:tc>
        <w:tc>
          <w:tcPr>
            <w:tcW w:w="0" w:type="auto"/>
            <w:shd w:val="clear" w:color="auto" w:fill="auto"/>
            <w:tcMar>
              <w:top w:w="40" w:type="dxa"/>
              <w:left w:w="40" w:type="dxa"/>
              <w:bottom w:w="40" w:type="dxa"/>
              <w:right w:w="40" w:type="dxa"/>
            </w:tcMar>
            <w:vAlign w:val="bottom"/>
          </w:tcPr>
          <w:p w14:paraId="5556B2FF"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300"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23</w:t>
            </w:r>
          </w:p>
        </w:tc>
        <w:tc>
          <w:tcPr>
            <w:tcW w:w="0" w:type="auto"/>
            <w:shd w:val="clear" w:color="auto" w:fill="auto"/>
            <w:tcMar>
              <w:top w:w="40" w:type="dxa"/>
              <w:left w:w="40" w:type="dxa"/>
              <w:bottom w:w="40" w:type="dxa"/>
              <w:right w:w="40" w:type="dxa"/>
            </w:tcMar>
            <w:vAlign w:val="bottom"/>
          </w:tcPr>
          <w:p w14:paraId="5556B301"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302" w14:textId="77777777" w:rsidR="00F925DD" w:rsidRDefault="00E705D7">
            <w:pPr>
              <w:jc w:val="center"/>
              <w:textAlignment w:val="bottom"/>
              <w:rPr>
                <w:rFonts w:ascii="Times New Roman" w:hAnsi="Times New Roman"/>
                <w:sz w:val="16"/>
                <w:szCs w:val="16"/>
              </w:rPr>
            </w:pPr>
            <w:hyperlink r:id="rId105" w:anchor="s77FC53BDCEB6D5FE7214143A5396A98F" w:history="1">
              <w:r>
                <w:rPr>
                  <w:rStyle w:val="a5"/>
                  <w:rFonts w:ascii="Arial" w:eastAsia="宋体" w:hAnsi="Arial" w:cs="Arial"/>
                  <w:color w:val="000000"/>
                  <w:sz w:val="16"/>
                  <w:szCs w:val="16"/>
                  <w:u w:val="none"/>
                </w:rPr>
                <w:t>169</w:t>
              </w:r>
            </w:hyperlink>
          </w:p>
        </w:tc>
      </w:tr>
      <w:tr w:rsidR="00F925DD" w14:paraId="5556B309" w14:textId="77777777">
        <w:tc>
          <w:tcPr>
            <w:tcW w:w="0" w:type="auto"/>
            <w:shd w:val="clear" w:color="auto" w:fill="auto"/>
            <w:tcMar>
              <w:top w:w="40" w:type="dxa"/>
              <w:left w:w="40" w:type="dxa"/>
              <w:bottom w:w="40" w:type="dxa"/>
              <w:right w:w="40" w:type="dxa"/>
            </w:tcMar>
            <w:vAlign w:val="bottom"/>
          </w:tcPr>
          <w:p w14:paraId="5556B304" w14:textId="77777777" w:rsidR="00F925DD" w:rsidRDefault="00E705D7">
            <w:pPr>
              <w:textAlignment w:val="bottom"/>
              <w:rPr>
                <w:rFonts w:ascii="Times New Roman" w:hAnsi="Times New Roman"/>
                <w:sz w:val="16"/>
                <w:szCs w:val="16"/>
              </w:rPr>
            </w:pPr>
            <w:r>
              <w:rPr>
                <w:rFonts w:ascii="Arial" w:eastAsia="宋体" w:hAnsi="Arial" w:cs="Arial"/>
                <w:sz w:val="16"/>
                <w:szCs w:val="16"/>
              </w:rPr>
              <w:t>Revenue from Contracts with Customers</w:t>
            </w:r>
          </w:p>
        </w:tc>
        <w:tc>
          <w:tcPr>
            <w:tcW w:w="0" w:type="auto"/>
            <w:shd w:val="clear" w:color="auto" w:fill="auto"/>
            <w:tcMar>
              <w:top w:w="40" w:type="dxa"/>
              <w:left w:w="40" w:type="dxa"/>
              <w:bottom w:w="40" w:type="dxa"/>
              <w:right w:w="40" w:type="dxa"/>
            </w:tcMar>
            <w:vAlign w:val="bottom"/>
          </w:tcPr>
          <w:p w14:paraId="5556B305"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Note</w:t>
            </w:r>
          </w:p>
        </w:tc>
        <w:tc>
          <w:tcPr>
            <w:tcW w:w="0" w:type="auto"/>
            <w:shd w:val="clear" w:color="auto" w:fill="auto"/>
            <w:tcMar>
              <w:top w:w="40" w:type="dxa"/>
              <w:left w:w="40" w:type="dxa"/>
              <w:bottom w:w="40" w:type="dxa"/>
              <w:right w:w="40" w:type="dxa"/>
            </w:tcMar>
            <w:vAlign w:val="bottom"/>
          </w:tcPr>
          <w:p w14:paraId="5556B306"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25</w:t>
            </w:r>
          </w:p>
        </w:tc>
        <w:tc>
          <w:tcPr>
            <w:tcW w:w="0" w:type="auto"/>
            <w:shd w:val="clear" w:color="auto" w:fill="auto"/>
            <w:tcMar>
              <w:top w:w="40" w:type="dxa"/>
              <w:left w:w="40" w:type="dxa"/>
              <w:bottom w:w="40" w:type="dxa"/>
              <w:right w:w="40" w:type="dxa"/>
            </w:tcMar>
            <w:vAlign w:val="bottom"/>
          </w:tcPr>
          <w:p w14:paraId="5556B307" w14:textId="77777777" w:rsidR="00F925DD" w:rsidRDefault="00E705D7">
            <w:pPr>
              <w:jc w:val="center"/>
              <w:textAlignment w:val="bottom"/>
              <w:rPr>
                <w:rFonts w:ascii="Times New Roman" w:hAnsi="Times New Roman"/>
                <w:sz w:val="16"/>
                <w:szCs w:val="16"/>
              </w:rPr>
            </w:pPr>
            <w:r>
              <w:rPr>
                <w:rFonts w:ascii="Arial" w:eastAsia="宋体" w:hAnsi="Arial" w:cs="Arial"/>
                <w:sz w:val="16"/>
                <w:szCs w:val="16"/>
              </w:rPr>
              <w:t>Page</w:t>
            </w:r>
          </w:p>
        </w:tc>
        <w:tc>
          <w:tcPr>
            <w:tcW w:w="0" w:type="auto"/>
            <w:shd w:val="clear" w:color="auto" w:fill="auto"/>
            <w:tcMar>
              <w:top w:w="40" w:type="dxa"/>
              <w:left w:w="40" w:type="dxa"/>
              <w:bottom w:w="40" w:type="dxa"/>
              <w:right w:w="40" w:type="dxa"/>
            </w:tcMar>
            <w:vAlign w:val="bottom"/>
          </w:tcPr>
          <w:p w14:paraId="5556B308" w14:textId="77777777" w:rsidR="00F925DD" w:rsidRDefault="00E705D7">
            <w:pPr>
              <w:jc w:val="center"/>
              <w:textAlignment w:val="bottom"/>
              <w:rPr>
                <w:rFonts w:ascii="Times New Roman" w:hAnsi="Times New Roman"/>
                <w:sz w:val="16"/>
                <w:szCs w:val="16"/>
              </w:rPr>
            </w:pPr>
            <w:hyperlink r:id="rId106" w:anchor="s9C54FF67DCD99F358C1F143A55B2E4A8" w:history="1">
              <w:r>
                <w:rPr>
                  <w:rStyle w:val="a5"/>
                  <w:rFonts w:ascii="Arial" w:eastAsia="宋体" w:hAnsi="Arial" w:cs="Arial"/>
                  <w:color w:val="000000"/>
                  <w:sz w:val="16"/>
                  <w:szCs w:val="16"/>
                  <w:u w:val="none"/>
                </w:rPr>
                <w:t>172</w:t>
              </w:r>
            </w:hyperlink>
          </w:p>
        </w:tc>
      </w:tr>
    </w:tbl>
    <w:p w14:paraId="5556B30A" w14:textId="77777777" w:rsidR="00F925DD" w:rsidRDefault="00F925DD">
      <w:pPr>
        <w:spacing w:line="288" w:lineRule="auto"/>
        <w:rPr>
          <w:rFonts w:ascii="Times New Roman" w:hAnsi="Times New Roman"/>
          <w:sz w:val="20"/>
          <w:szCs w:val="20"/>
        </w:rPr>
      </w:pPr>
    </w:p>
    <w:p w14:paraId="5556B30B" w14:textId="77777777" w:rsidR="00F925DD" w:rsidRDefault="00F925DD">
      <w:pPr>
        <w:spacing w:line="288" w:lineRule="auto"/>
        <w:ind w:firstLine="600"/>
        <w:jc w:val="both"/>
        <w:rPr>
          <w:rFonts w:ascii="Times New Roman" w:hAnsi="Times New Roman"/>
          <w:sz w:val="20"/>
          <w:szCs w:val="20"/>
        </w:rPr>
      </w:pPr>
    </w:p>
    <w:p w14:paraId="5556B30C" w14:textId="77777777" w:rsidR="00F925DD" w:rsidRDefault="00F925DD">
      <w:pPr>
        <w:rPr>
          <w:rFonts w:ascii="Times New Roman" w:hAnsi="Times New Roman"/>
          <w:sz w:val="20"/>
          <w:szCs w:val="20"/>
        </w:rPr>
      </w:pPr>
    </w:p>
    <w:p w14:paraId="5556B30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126</w:t>
      </w:r>
    </w:p>
    <w:p w14:paraId="5556B30E" w14:textId="77777777" w:rsidR="00F925DD" w:rsidRDefault="00F925DD">
      <w:pPr>
        <w:spacing w:line="288" w:lineRule="auto"/>
        <w:ind w:firstLine="600"/>
        <w:jc w:val="center"/>
        <w:rPr>
          <w:rFonts w:ascii="Times New Roman" w:hAnsi="Times New Roman"/>
          <w:sz w:val="18"/>
          <w:szCs w:val="18"/>
        </w:rPr>
      </w:pPr>
    </w:p>
    <w:p w14:paraId="5556B30F" w14:textId="77777777" w:rsidR="00F925DD" w:rsidRDefault="00E705D7">
      <w:r>
        <w:rPr>
          <w:rFonts w:ascii="Times New Roman" w:hAnsi="Times New Roman"/>
          <w:sz w:val="18"/>
          <w:szCs w:val="18"/>
        </w:rPr>
        <w:pict w14:anchorId="555706B8">
          <v:rect id="_x0000_i1150" style="width:415.3pt;height:1.5pt" o:hralign="center" o:hrstd="t" o:hr="t" fillcolor="#a0a0a0" stroked="f"/>
        </w:pict>
      </w:r>
    </w:p>
    <w:p w14:paraId="5556B31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31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NOTES TO CONSOLIDATED FINANCIAL </w:t>
      </w:r>
      <w:r>
        <w:rPr>
          <w:rFonts w:ascii="Arial" w:eastAsia="宋体" w:hAnsi="Arial" w:cs="Arial"/>
          <w:b/>
          <w:bCs/>
          <w:sz w:val="20"/>
          <w:szCs w:val="20"/>
        </w:rPr>
        <w:t>STATEMENTS</w:t>
      </w:r>
    </w:p>
    <w:p w14:paraId="5556B312" w14:textId="77777777" w:rsidR="00F925DD" w:rsidRDefault="00F925DD">
      <w:pPr>
        <w:rPr>
          <w:rFonts w:ascii="Times New Roman" w:hAnsi="Times New Roman"/>
          <w:sz w:val="20"/>
          <w:szCs w:val="20"/>
        </w:rPr>
      </w:pPr>
    </w:p>
    <w:p w14:paraId="5556B313"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Recent Accounting Developments</w:t>
      </w:r>
    </w:p>
    <w:tbl>
      <w:tblPr>
        <w:tblW w:w="5000" w:type="pct"/>
        <w:tblCellMar>
          <w:left w:w="0" w:type="dxa"/>
          <w:right w:w="0" w:type="dxa"/>
        </w:tblCellMar>
        <w:tblLook w:val="04A0" w:firstRow="1" w:lastRow="0" w:firstColumn="1" w:lastColumn="0" w:noHBand="0" w:noVBand="1"/>
      </w:tblPr>
      <w:tblGrid>
        <w:gridCol w:w="1744"/>
        <w:gridCol w:w="2990"/>
        <w:gridCol w:w="997"/>
        <w:gridCol w:w="2575"/>
      </w:tblGrid>
      <w:tr w:rsidR="00F925DD" w14:paraId="5556B315" w14:textId="77777777">
        <w:tc>
          <w:tcPr>
            <w:tcW w:w="0" w:type="auto"/>
            <w:gridSpan w:val="4"/>
            <w:shd w:val="clear" w:color="auto" w:fill="auto"/>
            <w:vAlign w:val="center"/>
          </w:tcPr>
          <w:p w14:paraId="5556B314" w14:textId="77777777" w:rsidR="00F925DD" w:rsidRDefault="00F925DD">
            <w:pPr>
              <w:rPr>
                <w:rFonts w:ascii="Times New Roman" w:hAnsi="Times New Roman"/>
                <w:sz w:val="20"/>
                <w:szCs w:val="20"/>
              </w:rPr>
            </w:pPr>
          </w:p>
        </w:tc>
      </w:tr>
      <w:tr w:rsidR="00F925DD" w14:paraId="5556B31A" w14:textId="77777777">
        <w:tc>
          <w:tcPr>
            <w:tcW w:w="1050" w:type="pct"/>
            <w:shd w:val="clear" w:color="auto" w:fill="auto"/>
            <w:vAlign w:val="center"/>
          </w:tcPr>
          <w:p w14:paraId="5556B316" w14:textId="77777777" w:rsidR="00F925DD" w:rsidRDefault="00F925DD">
            <w:pPr>
              <w:rPr>
                <w:rFonts w:ascii="Times New Roman" w:hAnsi="Times New Roman"/>
                <w:sz w:val="20"/>
                <w:szCs w:val="20"/>
              </w:rPr>
            </w:pPr>
          </w:p>
        </w:tc>
        <w:tc>
          <w:tcPr>
            <w:tcW w:w="1800" w:type="pct"/>
            <w:shd w:val="clear" w:color="auto" w:fill="auto"/>
            <w:vAlign w:val="center"/>
          </w:tcPr>
          <w:p w14:paraId="5556B317" w14:textId="77777777" w:rsidR="00F925DD" w:rsidRDefault="00F925DD">
            <w:pPr>
              <w:rPr>
                <w:rFonts w:ascii="Times New Roman" w:hAnsi="Times New Roman"/>
                <w:sz w:val="20"/>
                <w:szCs w:val="20"/>
              </w:rPr>
            </w:pPr>
          </w:p>
        </w:tc>
        <w:tc>
          <w:tcPr>
            <w:tcW w:w="600" w:type="pct"/>
            <w:shd w:val="clear" w:color="auto" w:fill="auto"/>
            <w:vAlign w:val="center"/>
          </w:tcPr>
          <w:p w14:paraId="5556B318" w14:textId="77777777" w:rsidR="00F925DD" w:rsidRDefault="00F925DD">
            <w:pPr>
              <w:rPr>
                <w:rFonts w:ascii="Times New Roman" w:hAnsi="Times New Roman"/>
                <w:sz w:val="20"/>
                <w:szCs w:val="20"/>
              </w:rPr>
            </w:pPr>
          </w:p>
        </w:tc>
        <w:tc>
          <w:tcPr>
            <w:tcW w:w="1550" w:type="pct"/>
            <w:shd w:val="clear" w:color="auto" w:fill="auto"/>
            <w:vAlign w:val="center"/>
          </w:tcPr>
          <w:p w14:paraId="5556B319" w14:textId="77777777" w:rsidR="00F925DD" w:rsidRDefault="00F925DD">
            <w:pPr>
              <w:rPr>
                <w:rFonts w:ascii="Times New Roman" w:hAnsi="Times New Roman"/>
                <w:sz w:val="20"/>
                <w:szCs w:val="20"/>
              </w:rPr>
            </w:pPr>
          </w:p>
        </w:tc>
      </w:tr>
      <w:tr w:rsidR="00F925DD" w14:paraId="5556B31C" w14:textId="77777777">
        <w:tc>
          <w:tcPr>
            <w:tcW w:w="0" w:type="auto"/>
            <w:gridSpan w:val="4"/>
            <w:shd w:val="clear" w:color="auto" w:fill="auto"/>
            <w:tcMar>
              <w:top w:w="40" w:type="dxa"/>
              <w:left w:w="40" w:type="dxa"/>
              <w:bottom w:w="40" w:type="dxa"/>
              <w:right w:w="40" w:type="dxa"/>
            </w:tcMar>
            <w:vAlign w:val="bottom"/>
          </w:tcPr>
          <w:p w14:paraId="5556B31B" w14:textId="77777777" w:rsidR="00F925DD" w:rsidRDefault="00E705D7">
            <w:pPr>
              <w:textAlignment w:val="bottom"/>
              <w:rPr>
                <w:rFonts w:ascii="Times New Roman" w:hAnsi="Times New Roman"/>
                <w:sz w:val="20"/>
                <w:szCs w:val="20"/>
              </w:rPr>
            </w:pPr>
            <w:r>
              <w:rPr>
                <w:rFonts w:ascii="Arial" w:eastAsia="宋体" w:hAnsi="Arial" w:cs="Arial"/>
                <w:sz w:val="20"/>
                <w:szCs w:val="20"/>
              </w:rPr>
              <w:t>Relevant standards that were recently issued but not yet adopted as of December 31, 2019:</w:t>
            </w:r>
          </w:p>
        </w:tc>
      </w:tr>
      <w:tr w:rsidR="00F925DD" w14:paraId="5556B321"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B31D"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Standard</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B31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Description</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B31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Date of Adoption</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B32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Effects on the financial statements or other significant matters</w:t>
            </w:r>
          </w:p>
        </w:tc>
      </w:tr>
      <w:tr w:rsidR="00F925DD" w14:paraId="5556B326"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2"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 xml:space="preserve">ASU </w:t>
            </w:r>
            <w:r>
              <w:rPr>
                <w:rFonts w:ascii="Arial" w:eastAsia="宋体" w:hAnsi="Arial" w:cs="Arial"/>
                <w:sz w:val="16"/>
                <w:szCs w:val="16"/>
              </w:rPr>
              <w:t>2016-13, Financial Instruments-Credit Losses (Topic 326): Measurement of Credit Losses on Financial Instruments</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3"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The standard, and its related amendments, replaces the existing incurred loss impairment guidance and requires immediate recognition of expected</w:t>
            </w:r>
            <w:r>
              <w:rPr>
                <w:rFonts w:ascii="Arial" w:eastAsia="宋体" w:hAnsi="Arial" w:cs="Arial"/>
                <w:sz w:val="16"/>
                <w:szCs w:val="16"/>
              </w:rPr>
              <w:t xml:space="preserve"> credit losses for financial assets carried at amortized cost, including trade and other receivables, loans and commitments, held-to-maturity debt securities and other financial assets, held at the reporting date to be measured based on historical experien</w:t>
            </w:r>
            <w:r>
              <w:rPr>
                <w:rFonts w:ascii="Arial" w:eastAsia="宋体" w:hAnsi="Arial" w:cs="Arial"/>
                <w:sz w:val="16"/>
                <w:szCs w:val="16"/>
              </w:rPr>
              <w:t xml:space="preserve">ce, current conditions and reasonable supportable forecasts. The standard also amends existing impairment guidance for available-for-sale securities, and credit losses will be recorded as an allowance versus a write-down of the amortized cost basis of the </w:t>
            </w:r>
            <w:r>
              <w:rPr>
                <w:rFonts w:ascii="Arial" w:eastAsia="宋体" w:hAnsi="Arial" w:cs="Arial"/>
                <w:sz w:val="16"/>
                <w:szCs w:val="16"/>
              </w:rPr>
              <w:t xml:space="preserve">security and will allow for a reversal of impairment loss when the credit of the issuer improves. The guidance requires a cumulative effect of initial application to be recognized in retained earnings at the date of initial application.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4" w14:textId="77777777" w:rsidR="00F925DD" w:rsidRDefault="00E705D7">
            <w:pPr>
              <w:textAlignment w:val="top"/>
              <w:rPr>
                <w:rFonts w:ascii="Times New Roman" w:hAnsi="Times New Roman"/>
                <w:sz w:val="16"/>
                <w:szCs w:val="16"/>
              </w:rPr>
            </w:pPr>
            <w:r>
              <w:rPr>
                <w:rFonts w:ascii="Arial" w:eastAsia="宋体" w:hAnsi="Arial" w:cs="Arial"/>
                <w:sz w:val="16"/>
                <w:szCs w:val="16"/>
              </w:rPr>
              <w:t xml:space="preserve">January 1, </w:t>
            </w:r>
            <w:r>
              <w:rPr>
                <w:rFonts w:ascii="Arial" w:eastAsia="宋体" w:hAnsi="Arial" w:cs="Arial"/>
                <w:sz w:val="16"/>
                <w:szCs w:val="16"/>
              </w:rPr>
              <w:t>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5"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 xml:space="preserve">We have assessed the impact of the standard on our consolidated financial statements. We established a steering committee which provided cross-functional governance over the project plan and key decisions. Key accounting policies were enhanced and we </w:t>
            </w:r>
            <w:r>
              <w:rPr>
                <w:rFonts w:ascii="Arial" w:eastAsia="宋体" w:hAnsi="Arial" w:cs="Arial"/>
                <w:sz w:val="16"/>
                <w:szCs w:val="16"/>
              </w:rPr>
              <w:t>refined the credit loss models, processes and the associated data requirements needed to meet the standard. The majority of our exposures utilize a probability-of-default and loss-given-default methodology to estimate the credit loss reserve. Our senior se</w:t>
            </w:r>
            <w:r>
              <w:rPr>
                <w:rFonts w:ascii="Arial" w:eastAsia="宋体" w:hAnsi="Arial" w:cs="Arial"/>
                <w:sz w:val="16"/>
                <w:szCs w:val="16"/>
              </w:rPr>
              <w:t>cured loan portfolio remains a major driver of the allowance for credit loss, along with off-balance sheet commitments. There was no material allowance upon implementation for held-to-maturity exposures given the nature of our portfolio. Our credit loss mo</w:t>
            </w:r>
            <w:r>
              <w:rPr>
                <w:rFonts w:ascii="Arial" w:eastAsia="宋体" w:hAnsi="Arial" w:cs="Arial"/>
                <w:sz w:val="16"/>
                <w:szCs w:val="16"/>
              </w:rPr>
              <w:t>dels were approved for use by our Model Validation Group in 2019. We executed our new processes in parallel with the existing processes during 2019 to ensure that we have an appropriate control environment over the allowance for credit losses upon adoption</w:t>
            </w:r>
            <w:r>
              <w:rPr>
                <w:rFonts w:ascii="Arial" w:eastAsia="宋体" w:hAnsi="Arial" w:cs="Arial"/>
                <w:sz w:val="16"/>
                <w:szCs w:val="16"/>
              </w:rPr>
              <w:t xml:space="preserve"> in 2020. Upon adoption of the new guidance on January 1, 2020, no material adjustment to retained earnings was required.</w:t>
            </w:r>
          </w:p>
        </w:tc>
      </w:tr>
      <w:tr w:rsidR="00F925DD" w14:paraId="5556B32C"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7"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ASU 2017-04, Intangibles-Goodwill and Other (Topic 350): Simplifying the Test for Goodwill Impairment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8"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The standard simplifies the sub</w:t>
            </w:r>
            <w:r>
              <w:rPr>
                <w:rFonts w:ascii="Arial" w:eastAsia="宋体" w:hAnsi="Arial" w:cs="Arial"/>
                <w:sz w:val="16"/>
                <w:szCs w:val="16"/>
              </w:rPr>
              <w:t>sequent measurement of goodwill by eliminating Step 2 from the goodwill impairment test. The ASU requires an entity to compare the fair value of a reporting unit with its carrying amount and recognize an impairment charge for the amount by which the carryi</w:t>
            </w:r>
            <w:r>
              <w:rPr>
                <w:rFonts w:ascii="Arial" w:eastAsia="宋体" w:hAnsi="Arial" w:cs="Arial"/>
                <w:sz w:val="16"/>
                <w:szCs w:val="16"/>
              </w:rPr>
              <w:t>ng value exceeds the fair value of the reporting unit. Additionally, an entity should consider income tax effects from any tax deductible goodwill on the carrying amount of the reporting unit when measuring the goodwill impairment loss.</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9" w14:textId="77777777" w:rsidR="00F925DD" w:rsidRDefault="00E705D7">
            <w:pPr>
              <w:textAlignment w:val="top"/>
              <w:rPr>
                <w:rFonts w:ascii="Times New Roman" w:hAnsi="Times New Roman"/>
                <w:sz w:val="16"/>
                <w:szCs w:val="16"/>
              </w:rPr>
            </w:pPr>
            <w:r>
              <w:rPr>
                <w:rFonts w:ascii="Arial" w:eastAsia="宋体" w:hAnsi="Arial" w:cs="Arial"/>
                <w:sz w:val="16"/>
                <w:szCs w:val="16"/>
              </w:rPr>
              <w:t>January 1, 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A"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 xml:space="preserve">We </w:t>
            </w:r>
            <w:r>
              <w:rPr>
                <w:rFonts w:ascii="Arial" w:eastAsia="宋体" w:hAnsi="Arial" w:cs="Arial"/>
                <w:sz w:val="16"/>
                <w:szCs w:val="16"/>
              </w:rPr>
              <w:t>have adopted the new standard as of January 1, 2020 prospectively. There are no material impacts as a result of the adoption.</w:t>
            </w:r>
          </w:p>
          <w:p w14:paraId="5556B32B" w14:textId="77777777" w:rsidR="00F925DD" w:rsidRDefault="00F925DD">
            <w:pPr>
              <w:jc w:val="both"/>
              <w:textAlignment w:val="top"/>
              <w:rPr>
                <w:rFonts w:ascii="Times New Roman" w:hAnsi="Times New Roman"/>
                <w:sz w:val="16"/>
                <w:szCs w:val="16"/>
              </w:rPr>
            </w:pPr>
          </w:p>
        </w:tc>
      </w:tr>
      <w:tr w:rsidR="00F925DD" w14:paraId="5556B332"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D"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ASU 2018-13, Fair Value Measurement (Topic 820): Disclosure Framework-Changes to the Disclosure Requirements for Fair Value Meas</w:t>
            </w:r>
            <w:r>
              <w:rPr>
                <w:rFonts w:ascii="Arial" w:eastAsia="宋体" w:hAnsi="Arial" w:cs="Arial"/>
                <w:sz w:val="16"/>
                <w:szCs w:val="16"/>
              </w:rPr>
              <w:t>urement</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E"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 xml:space="preserve">The standard eliminates, amends and adds disclosure requirements for fair value measurements.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2F" w14:textId="77777777" w:rsidR="00F925DD" w:rsidRDefault="00E705D7">
            <w:pPr>
              <w:textAlignment w:val="top"/>
              <w:rPr>
                <w:rFonts w:ascii="Times New Roman" w:hAnsi="Times New Roman"/>
                <w:sz w:val="16"/>
                <w:szCs w:val="16"/>
              </w:rPr>
            </w:pPr>
            <w:r>
              <w:rPr>
                <w:rFonts w:ascii="Arial" w:eastAsia="宋体" w:hAnsi="Arial" w:cs="Arial"/>
                <w:sz w:val="16"/>
                <w:szCs w:val="16"/>
              </w:rPr>
              <w:t>January 1, 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30"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We have elected to early adopt the provisions of the new standard that eliminate or amend disclosures as of December 31, 2018 and our dis</w:t>
            </w:r>
            <w:r>
              <w:rPr>
                <w:rFonts w:ascii="Arial" w:eastAsia="宋体" w:hAnsi="Arial" w:cs="Arial"/>
                <w:sz w:val="16"/>
                <w:szCs w:val="16"/>
              </w:rPr>
              <w:t xml:space="preserve">closures were modified accordingly. The remaining provisions of the standard that add disclosures have been adopted from January 1, 2020 and applied prospectively. </w:t>
            </w:r>
          </w:p>
          <w:p w14:paraId="5556B331" w14:textId="77777777" w:rsidR="00F925DD" w:rsidRDefault="00F925DD">
            <w:pPr>
              <w:jc w:val="both"/>
              <w:textAlignment w:val="top"/>
              <w:rPr>
                <w:rFonts w:ascii="Times New Roman" w:hAnsi="Times New Roman"/>
                <w:sz w:val="16"/>
                <w:szCs w:val="16"/>
              </w:rPr>
            </w:pPr>
          </w:p>
        </w:tc>
      </w:tr>
      <w:tr w:rsidR="00F925DD" w14:paraId="5556B338" w14:textId="77777777">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33"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 xml:space="preserve">ASU 2018-15, Intangibles-Goodwill and Other-Internal-Use Software (Subtopic </w:t>
            </w:r>
            <w:r>
              <w:rPr>
                <w:rFonts w:ascii="Arial" w:eastAsia="宋体" w:hAnsi="Arial" w:cs="Arial"/>
                <w:sz w:val="16"/>
                <w:szCs w:val="16"/>
              </w:rPr>
              <w:t>350-40): Customer’s Accounting for Implementation Costs Incurred in a Cloud Computing Arrangement. That Is a Service Contract (a consensus of the Financial Accounting Standards Board Emerging Issues Task Force)</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34"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This standard addresses accounting for fees p</w:t>
            </w:r>
            <w:r>
              <w:rPr>
                <w:rFonts w:ascii="Arial" w:eastAsia="宋体" w:hAnsi="Arial" w:cs="Arial"/>
                <w:sz w:val="16"/>
                <w:szCs w:val="16"/>
              </w:rPr>
              <w:t>aid by a customer for implementation, set-up and other upfront costs incurred in a cloud computing arrangement that is hosted by the vendor, i.e., a service contract. The new guidance aligns treatment for capitalization of implementation costs with guidanc</w:t>
            </w:r>
            <w:r>
              <w:rPr>
                <w:rFonts w:ascii="Arial" w:eastAsia="宋体" w:hAnsi="Arial" w:cs="Arial"/>
                <w:sz w:val="16"/>
                <w:szCs w:val="16"/>
              </w:rPr>
              <w:t xml:space="preserve">e on internal-use software.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35" w14:textId="77777777" w:rsidR="00F925DD" w:rsidRDefault="00E705D7">
            <w:pPr>
              <w:textAlignment w:val="top"/>
              <w:rPr>
                <w:rFonts w:ascii="Times New Roman" w:hAnsi="Times New Roman"/>
                <w:sz w:val="16"/>
                <w:szCs w:val="16"/>
              </w:rPr>
            </w:pPr>
            <w:r>
              <w:rPr>
                <w:rFonts w:ascii="Arial" w:eastAsia="宋体" w:hAnsi="Arial" w:cs="Arial"/>
                <w:sz w:val="16"/>
                <w:szCs w:val="16"/>
              </w:rPr>
              <w:t>January 1, 2020</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tcPr>
          <w:p w14:paraId="5556B336" w14:textId="77777777" w:rsidR="00F925DD" w:rsidRDefault="00E705D7">
            <w:pPr>
              <w:jc w:val="both"/>
              <w:textAlignment w:val="top"/>
              <w:rPr>
                <w:rFonts w:ascii="Times New Roman" w:hAnsi="Times New Roman"/>
                <w:sz w:val="16"/>
                <w:szCs w:val="16"/>
              </w:rPr>
            </w:pPr>
            <w:r>
              <w:rPr>
                <w:rFonts w:ascii="Arial" w:eastAsia="宋体" w:hAnsi="Arial" w:cs="Arial"/>
                <w:sz w:val="16"/>
                <w:szCs w:val="16"/>
              </w:rPr>
              <w:t>We have adopted the new standard prospectively as of January 1, 2020. There are no material impacts as a result of the adoption.</w:t>
            </w:r>
          </w:p>
          <w:p w14:paraId="5556B337" w14:textId="77777777" w:rsidR="00F925DD" w:rsidRDefault="00F925DD">
            <w:pPr>
              <w:jc w:val="both"/>
              <w:textAlignment w:val="top"/>
              <w:rPr>
                <w:rFonts w:ascii="Times New Roman" w:hAnsi="Times New Roman"/>
                <w:sz w:val="16"/>
                <w:szCs w:val="16"/>
              </w:rPr>
            </w:pPr>
          </w:p>
        </w:tc>
      </w:tr>
    </w:tbl>
    <w:p w14:paraId="5556B339" w14:textId="77777777" w:rsidR="00F925DD" w:rsidRDefault="00F925DD">
      <w:pPr>
        <w:rPr>
          <w:rFonts w:ascii="Times New Roman" w:hAnsi="Times New Roman"/>
          <w:sz w:val="20"/>
          <w:szCs w:val="20"/>
        </w:rPr>
      </w:pPr>
    </w:p>
    <w:p w14:paraId="5556B33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127</w:t>
      </w:r>
    </w:p>
    <w:p w14:paraId="5556B33B" w14:textId="77777777" w:rsidR="00F925DD" w:rsidRDefault="00F925DD">
      <w:pPr>
        <w:spacing w:line="288" w:lineRule="auto"/>
        <w:ind w:firstLine="600"/>
        <w:jc w:val="center"/>
        <w:rPr>
          <w:rFonts w:ascii="Times New Roman" w:hAnsi="Times New Roman"/>
          <w:sz w:val="18"/>
          <w:szCs w:val="18"/>
        </w:rPr>
      </w:pPr>
    </w:p>
    <w:p w14:paraId="5556B33C" w14:textId="77777777" w:rsidR="00F925DD" w:rsidRDefault="00E705D7">
      <w:r>
        <w:rPr>
          <w:rFonts w:ascii="Times New Roman" w:hAnsi="Times New Roman"/>
          <w:sz w:val="18"/>
          <w:szCs w:val="18"/>
        </w:rPr>
        <w:pict w14:anchorId="555706B9">
          <v:rect id="_x0000_i1151" style="width:415.3pt;height:1.5pt" o:hralign="center" o:hrstd="t" o:hr="t" fillcolor="#a0a0a0" stroked="f"/>
        </w:pict>
      </w:r>
    </w:p>
    <w:p w14:paraId="5556B33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33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NOTES TO </w:t>
      </w:r>
      <w:r>
        <w:rPr>
          <w:rFonts w:ascii="Arial" w:eastAsia="宋体" w:hAnsi="Arial" w:cs="Arial"/>
          <w:b/>
          <w:bCs/>
          <w:sz w:val="20"/>
          <w:szCs w:val="20"/>
        </w:rPr>
        <w:t>CONSOLIDATED FINANCIAL STATEMENTS</w:t>
      </w:r>
    </w:p>
    <w:p w14:paraId="5556B33F" w14:textId="77777777" w:rsidR="00F925DD" w:rsidRDefault="00F925DD">
      <w:pPr>
        <w:rPr>
          <w:rFonts w:ascii="Times New Roman" w:hAnsi="Times New Roman"/>
          <w:sz w:val="20"/>
          <w:szCs w:val="20"/>
        </w:rPr>
      </w:pPr>
    </w:p>
    <w:p w14:paraId="5556B340"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Relevant standards that were adopted in 2019:</w:t>
      </w:r>
    </w:p>
    <w:p w14:paraId="5556B34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adopted ASU 2016-02, Leases (Topic 842) and relevant amendments, effective January 1, 2019. The standard represents a change to lease accounting and requires all </w:t>
      </w:r>
      <w:r>
        <w:rPr>
          <w:rFonts w:ascii="Arial" w:eastAsia="宋体" w:hAnsi="Arial" w:cs="Arial"/>
          <w:sz w:val="20"/>
          <w:szCs w:val="20"/>
        </w:rPr>
        <w:t>leases, other than short-term leases, to be reported on the balance sheet through recognition of a right-of-use asset and a corresponding liability for future lease obligations. The standard also requires incremental disclosures for assets, expenses, and c</w:t>
      </w:r>
      <w:r>
        <w:rPr>
          <w:rFonts w:ascii="Arial" w:eastAsia="宋体" w:hAnsi="Arial" w:cs="Arial"/>
          <w:sz w:val="20"/>
          <w:szCs w:val="20"/>
        </w:rPr>
        <w:t>ash flows associated with leases, as well as a maturity analysis of lease liabilities. We adopted Topic 842 by applying the transition method whereby comparative periods have not been restated, and no adjustment to retained earnings was required. Upon adop</w:t>
      </w:r>
      <w:r>
        <w:rPr>
          <w:rFonts w:ascii="Arial" w:eastAsia="宋体" w:hAnsi="Arial" w:cs="Arial"/>
          <w:sz w:val="20"/>
          <w:szCs w:val="20"/>
        </w:rPr>
        <w:t>tion of the standard, we recognized right-of-use assets of approximately $0.9 billion and lease liabilities of approximately $1.1 billion. This increase largely relates to the present value of future minimum lease payments due under existing operating leas</w:t>
      </w:r>
      <w:r>
        <w:rPr>
          <w:rFonts w:ascii="Arial" w:eastAsia="宋体" w:hAnsi="Arial" w:cs="Arial"/>
          <w:sz w:val="20"/>
          <w:szCs w:val="20"/>
        </w:rPr>
        <w:t>es of office space. There were no material changes to the recognition of lease expenses in the Consolidated Statement of Income as a result of the adoption of Topic 842. For adoption, we elected Topic 842’s package of three practical expedients, and (1) di</w:t>
      </w:r>
      <w:r>
        <w:rPr>
          <w:rFonts w:ascii="Arial" w:eastAsia="宋体" w:hAnsi="Arial" w:cs="Arial"/>
          <w:sz w:val="20"/>
          <w:szCs w:val="20"/>
        </w:rPr>
        <w:t>d not reassess whether any expired or existing contracts are or contain leases, (2) did not reassess the lease classification for any expired or existing leases, and (3) did not reassess initial direct costs for any existing leases. In addition, we made an</w:t>
      </w:r>
      <w:r>
        <w:rPr>
          <w:rFonts w:ascii="Arial" w:eastAsia="宋体" w:hAnsi="Arial" w:cs="Arial"/>
          <w:sz w:val="20"/>
          <w:szCs w:val="20"/>
        </w:rPr>
        <w:t xml:space="preserve"> accounting policy election not to apply the recognition requirements to short-term leases, and elected the practical expedient to not separate lease and nonlease components of leases.</w:t>
      </w:r>
    </w:p>
    <w:p w14:paraId="5556B34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adopted ASU 2017-08, Receivables - Nonrefundable Fees and Other Cost</w:t>
      </w:r>
      <w:r>
        <w:rPr>
          <w:rFonts w:ascii="Arial" w:eastAsia="宋体" w:hAnsi="Arial" w:cs="Arial"/>
          <w:sz w:val="20"/>
          <w:szCs w:val="20"/>
        </w:rPr>
        <w:t>s (Subtopic 310-20): Premium Amortization on Purchased Callable Debt Securities, effective January 1, 2019. The standard shortens the amortization period for certain purchased callable debt securities to the earliest call date. The standard does not impact</w:t>
      </w:r>
      <w:r>
        <w:rPr>
          <w:rFonts w:ascii="Arial" w:eastAsia="宋体" w:hAnsi="Arial" w:cs="Arial"/>
          <w:sz w:val="20"/>
          <w:szCs w:val="20"/>
        </w:rPr>
        <w:t xml:space="preserve"> debt securities which are held at a discount. The guidance requires a cumulative effect of initial application to be recognized in retained earnings at the beginning of the period of adoption. The impact to beginning retained earnings was not material.</w:t>
      </w:r>
    </w:p>
    <w:p w14:paraId="5556B34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w:t>
      </w:r>
      <w:r>
        <w:rPr>
          <w:rFonts w:ascii="Arial" w:eastAsia="宋体" w:hAnsi="Arial" w:cs="Arial"/>
          <w:sz w:val="20"/>
          <w:szCs w:val="20"/>
        </w:rPr>
        <w:t xml:space="preserve"> adopted ASU 2018-02, Income Statement - Reporting Comprehensive Income (Topic 220): Reclassification of Certain Tax Effects from Accumulated Other Comprehensive Income, effective January 1, 2019. This standard provides an election to reclassify the strand</w:t>
      </w:r>
      <w:r>
        <w:rPr>
          <w:rFonts w:ascii="Arial" w:eastAsia="宋体" w:hAnsi="Arial" w:cs="Arial"/>
          <w:sz w:val="20"/>
          <w:szCs w:val="20"/>
        </w:rPr>
        <w:t>ed tax effects resulting from the enactment of the Tax Cuts and Jobs Act of 2017, from accumulated other comprehensive income to retained earnings. Upon adoption of the standard we reclassified approximately $84 million of stranded tax effects.</w:t>
      </w:r>
    </w:p>
    <w:p w14:paraId="5556B344" w14:textId="77777777" w:rsidR="00F925DD" w:rsidRDefault="00F925DD">
      <w:pPr>
        <w:spacing w:line="288" w:lineRule="auto"/>
        <w:ind w:firstLine="600"/>
        <w:jc w:val="both"/>
        <w:rPr>
          <w:rFonts w:ascii="Times New Roman" w:hAnsi="Times New Roman"/>
          <w:sz w:val="20"/>
          <w:szCs w:val="20"/>
        </w:rPr>
      </w:pPr>
    </w:p>
    <w:p w14:paraId="5556B345"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B346"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Change i</w:t>
      </w:r>
      <w:r>
        <w:rPr>
          <w:rFonts w:ascii="Arial" w:eastAsia="宋体" w:hAnsi="Arial" w:cs="Arial"/>
          <w:b/>
          <w:bCs/>
          <w:i/>
          <w:iCs/>
          <w:color w:val="000000"/>
          <w:sz w:val="20"/>
          <w:szCs w:val="20"/>
        </w:rPr>
        <w:t>n Accounting Method</w:t>
      </w:r>
    </w:p>
    <w:p w14:paraId="5556B34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During the first quarter of 2019, we voluntarily changed our accounting method under the FASB ASC 323, </w:t>
      </w:r>
      <w:r>
        <w:rPr>
          <w:rFonts w:ascii="Arial" w:eastAsia="宋体" w:hAnsi="Arial" w:cs="Arial"/>
          <w:i/>
          <w:iCs/>
          <w:sz w:val="20"/>
          <w:szCs w:val="20"/>
        </w:rPr>
        <w:t>Investments - Equity Method and Joint Ventures</w:t>
      </w:r>
      <w:r>
        <w:rPr>
          <w:rFonts w:ascii="Arial" w:eastAsia="宋体" w:hAnsi="Arial" w:cs="Arial"/>
          <w:sz w:val="20"/>
          <w:szCs w:val="20"/>
        </w:rPr>
        <w:t xml:space="preserve">, for investments in low income housing tax credit (LIHTC) from the equity method of </w:t>
      </w:r>
      <w:r>
        <w:rPr>
          <w:rFonts w:ascii="Arial" w:eastAsia="宋体" w:hAnsi="Arial" w:cs="Arial"/>
          <w:sz w:val="20"/>
          <w:szCs w:val="20"/>
        </w:rPr>
        <w:t xml:space="preserve">accounting to the proportional amortization method of accounting. While both methods of accounting are acceptable under U.S. GAAP, we believe the proportional method is preferable because it more fairly represents the economics of LIHTC investments, which </w:t>
      </w:r>
      <w:r>
        <w:rPr>
          <w:rFonts w:ascii="Arial" w:eastAsia="宋体" w:hAnsi="Arial" w:cs="Arial"/>
          <w:sz w:val="20"/>
          <w:szCs w:val="20"/>
        </w:rPr>
        <w:t>are made primarily for the purpose of receiving tax credits and other tax benefits. In addition, this method aligns to the method typically used by the companies within our industry which have similar investments. In addition to the change in the timing of</w:t>
      </w:r>
      <w:r>
        <w:rPr>
          <w:rFonts w:ascii="Arial" w:eastAsia="宋体" w:hAnsi="Arial" w:cs="Arial"/>
          <w:sz w:val="20"/>
          <w:szCs w:val="20"/>
        </w:rPr>
        <w:t xml:space="preserve"> the recognition of income on LIHTC investments, amortization of the LIHTC investments is now recorded fully within the Income tax expense (benefit) line instead of the software and processing fees line on the consolidated statements of operations. As part</w:t>
      </w:r>
      <w:r>
        <w:rPr>
          <w:rFonts w:ascii="Arial" w:eastAsia="宋体" w:hAnsi="Arial" w:cs="Arial"/>
          <w:sz w:val="20"/>
          <w:szCs w:val="20"/>
        </w:rPr>
        <w:t xml:space="preserve"> of our change in accounting, all prior periods were revised to reflect the change. Additional information about the effect of the changes on the financial statement line items for prior periods is provided by Exhibit 99.2 to our Current Report on Form 8-K</w:t>
      </w:r>
      <w:r>
        <w:rPr>
          <w:rFonts w:ascii="Arial" w:eastAsia="宋体" w:hAnsi="Arial" w:cs="Arial"/>
          <w:sz w:val="20"/>
          <w:szCs w:val="20"/>
        </w:rPr>
        <w:t xml:space="preserve"> filed with the SEC on May 2, 2019.</w:t>
      </w:r>
    </w:p>
    <w:p w14:paraId="5556B34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Since the change in accounting method was effective in the first quarter of 2019 and the financial results under the equity method of accounting as compared to the proportional amortization method of accounting would not</w:t>
      </w:r>
      <w:r>
        <w:rPr>
          <w:rFonts w:ascii="Arial" w:eastAsia="宋体" w:hAnsi="Arial" w:cs="Arial"/>
          <w:sz w:val="20"/>
          <w:szCs w:val="20"/>
        </w:rPr>
        <w:t xml:space="preserve"> affect future management decisions, we did not undertake the operational effort and cost to maintain separate systems of record for the equity method of accounting to enable a calculation of the impact of the change subsequent to the first quarter of 2019</w:t>
      </w:r>
      <w:r>
        <w:rPr>
          <w:rFonts w:ascii="Arial" w:eastAsia="宋体" w:hAnsi="Arial" w:cs="Arial"/>
          <w:sz w:val="20"/>
          <w:szCs w:val="20"/>
        </w:rPr>
        <w:t>. However, we estimate that software and processing fees and income tax expense (benefit) would have both been lower had we continued to use the equity method, resulting in an immaterial impact to net income and earnings per share.</w:t>
      </w:r>
    </w:p>
    <w:p w14:paraId="5556B349"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 xml:space="preserve">Note 2.    Fair Value </w:t>
      </w:r>
    </w:p>
    <w:p w14:paraId="5556B34A"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F</w:t>
      </w:r>
      <w:r>
        <w:rPr>
          <w:rFonts w:ascii="Arial" w:eastAsia="宋体" w:hAnsi="Arial" w:cs="Arial"/>
          <w:b/>
          <w:bCs/>
          <w:i/>
          <w:iCs/>
          <w:color w:val="000000"/>
          <w:sz w:val="20"/>
          <w:szCs w:val="20"/>
        </w:rPr>
        <w:t>air Value Measurements</w:t>
      </w:r>
    </w:p>
    <w:p w14:paraId="5556B34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carry trading account assets and liabilities, AFS debt securities, certain equity securities and various types of derivative financial instruments, at fair value in our consolidated statement of condition on a recurring basis. Cha</w:t>
      </w:r>
      <w:r>
        <w:rPr>
          <w:rFonts w:ascii="Arial" w:eastAsia="宋体" w:hAnsi="Arial" w:cs="Arial"/>
          <w:sz w:val="20"/>
          <w:szCs w:val="20"/>
        </w:rPr>
        <w:t>nges in the fair values of these financial assets and liabilities are recorded either as components of our consolidated statement of income or as components of AOCI within shareholders' equity in our consolidated statement of condition.</w:t>
      </w:r>
    </w:p>
    <w:p w14:paraId="5556B34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measure fair val</w:t>
      </w:r>
      <w:r>
        <w:rPr>
          <w:rFonts w:ascii="Arial" w:eastAsia="宋体" w:hAnsi="Arial" w:cs="Arial"/>
          <w:sz w:val="20"/>
          <w:szCs w:val="20"/>
        </w:rPr>
        <w:t xml:space="preserve">ue for the above-described financial assets and liabilities in conformity with U.S. GAAP that governs the measurement of the fair value of financial instruments. Management believes that its </w:t>
      </w:r>
    </w:p>
    <w:p w14:paraId="5556B34D" w14:textId="77777777" w:rsidR="00F925DD" w:rsidRDefault="00F925DD">
      <w:pPr>
        <w:rPr>
          <w:rFonts w:ascii="Times New Roman" w:hAnsi="Times New Roman"/>
          <w:sz w:val="20"/>
          <w:szCs w:val="20"/>
        </w:rPr>
      </w:pPr>
    </w:p>
    <w:p w14:paraId="5556B34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128</w:t>
      </w:r>
    </w:p>
    <w:p w14:paraId="5556B34F" w14:textId="77777777" w:rsidR="00F925DD" w:rsidRDefault="00F925DD">
      <w:pPr>
        <w:spacing w:line="288" w:lineRule="auto"/>
        <w:ind w:firstLine="600"/>
        <w:jc w:val="center"/>
        <w:rPr>
          <w:rFonts w:ascii="Times New Roman" w:hAnsi="Times New Roman"/>
          <w:sz w:val="18"/>
          <w:szCs w:val="18"/>
        </w:rPr>
      </w:pPr>
    </w:p>
    <w:p w14:paraId="5556B350" w14:textId="77777777" w:rsidR="00F925DD" w:rsidRDefault="00E705D7">
      <w:r>
        <w:rPr>
          <w:rFonts w:ascii="Times New Roman" w:hAnsi="Times New Roman"/>
          <w:sz w:val="18"/>
          <w:szCs w:val="18"/>
        </w:rPr>
        <w:pict w14:anchorId="555706BA">
          <v:rect id="_x0000_i1152" style="width:415.3pt;height:1.5pt" o:hralign="center" o:hrstd="t" o:hr="t" fillcolor="#a0a0a0" stroked="f"/>
        </w:pict>
      </w:r>
    </w:p>
    <w:p w14:paraId="5556B35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352"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w:t>
      </w:r>
      <w:r>
        <w:rPr>
          <w:rFonts w:ascii="Arial" w:eastAsia="宋体" w:hAnsi="Arial" w:cs="Arial"/>
          <w:b/>
          <w:bCs/>
          <w:sz w:val="20"/>
          <w:szCs w:val="20"/>
        </w:rPr>
        <w:t>S TO CONSOLIDATED FINANCIAL STATEMENTS</w:t>
      </w:r>
    </w:p>
    <w:p w14:paraId="5556B353" w14:textId="77777777" w:rsidR="00F925DD" w:rsidRDefault="00F925DD">
      <w:pPr>
        <w:rPr>
          <w:rFonts w:ascii="Times New Roman" w:hAnsi="Times New Roman"/>
          <w:sz w:val="20"/>
          <w:szCs w:val="20"/>
        </w:rPr>
      </w:pPr>
    </w:p>
    <w:p w14:paraId="5556B354"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valuation techniques and underlying assumptions used to measure fair value conform to the provisions of U.S. GAAP. We categorize the financial assets and liabilities that we carry at fair value based on a prescribed </w:t>
      </w:r>
      <w:r>
        <w:rPr>
          <w:rFonts w:ascii="Arial" w:eastAsia="宋体" w:hAnsi="Arial" w:cs="Arial"/>
          <w:sz w:val="20"/>
          <w:szCs w:val="20"/>
        </w:rPr>
        <w:t xml:space="preserve">three-level valuation hierarchy. The hierarchy gives the highest priority to quoted prices in active markets for identical assets or liabilities (level 1) and the lowest priority to valuation methods using significant unobservable inputs (level 3). If the </w:t>
      </w:r>
      <w:r>
        <w:rPr>
          <w:rFonts w:ascii="Arial" w:eastAsia="宋体" w:hAnsi="Arial" w:cs="Arial"/>
          <w:sz w:val="20"/>
          <w:szCs w:val="20"/>
        </w:rPr>
        <w:t xml:space="preserve">inputs used to measure a financial asset or liability cross different levels of the hierarchy, categorization is based on the lowest-level input that is significant to the fair-value measurement. Management's assessment of the significance of a particular </w:t>
      </w:r>
      <w:r>
        <w:rPr>
          <w:rFonts w:ascii="Arial" w:eastAsia="宋体" w:hAnsi="Arial" w:cs="Arial"/>
          <w:sz w:val="20"/>
          <w:szCs w:val="20"/>
        </w:rPr>
        <w:t>input to the overall fair-value measurement of a financial asset or liability requires judgment, and considers factors specific to that asset or liability. The three levels of the valuation hierarchy are described below.</w:t>
      </w:r>
    </w:p>
    <w:p w14:paraId="5556B35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Level 1. Financial assets and liabi</w:t>
      </w:r>
      <w:r>
        <w:rPr>
          <w:rFonts w:ascii="Arial" w:eastAsia="宋体" w:hAnsi="Arial" w:cs="Arial"/>
          <w:i/>
          <w:iCs/>
          <w:sz w:val="20"/>
          <w:szCs w:val="20"/>
        </w:rPr>
        <w:t>lities with values based on unadjusted quoted prices for identical assets or liabilities in an active market.</w:t>
      </w:r>
      <w:r>
        <w:rPr>
          <w:rFonts w:ascii="Arial" w:eastAsia="宋体" w:hAnsi="Arial" w:cs="Arial"/>
          <w:sz w:val="20"/>
          <w:szCs w:val="20"/>
        </w:rPr>
        <w:t xml:space="preserve"> Our level 1 financial assets and liabilities primarily include positions in U.S. government securities and highly liquid U.S. and non-U.S. governm</w:t>
      </w:r>
      <w:r>
        <w:rPr>
          <w:rFonts w:ascii="Arial" w:eastAsia="宋体" w:hAnsi="Arial" w:cs="Arial"/>
          <w:sz w:val="20"/>
          <w:szCs w:val="20"/>
        </w:rPr>
        <w:t>ent fixed-income securities. Our level 1 financial assets also include actively traded exchange- traded equity securities.</w:t>
      </w:r>
    </w:p>
    <w:p w14:paraId="5556B35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Level 2. Financial assets and liabilities with values based on quoted prices for similar assets and liabilities in active markets, an</w:t>
      </w:r>
      <w:r>
        <w:rPr>
          <w:rFonts w:ascii="Arial" w:eastAsia="宋体" w:hAnsi="Arial" w:cs="Arial"/>
          <w:i/>
          <w:iCs/>
          <w:sz w:val="20"/>
          <w:szCs w:val="20"/>
        </w:rPr>
        <w:t>d inputs that are observable for the asset or liability, either directly or indirectly, for substantially the full term of the asset or liability.</w:t>
      </w:r>
      <w:r>
        <w:rPr>
          <w:rFonts w:ascii="Arial" w:eastAsia="宋体" w:hAnsi="Arial" w:cs="Arial"/>
          <w:sz w:val="20"/>
          <w:szCs w:val="20"/>
        </w:rPr>
        <w:t xml:space="preserve"> Level 2 inputs include the following:</w:t>
      </w:r>
    </w:p>
    <w:tbl>
      <w:tblPr>
        <w:tblW w:w="0" w:type="auto"/>
        <w:tblCellSpacing w:w="0" w:type="dxa"/>
        <w:tblCellMar>
          <w:left w:w="0" w:type="dxa"/>
          <w:right w:w="0" w:type="dxa"/>
        </w:tblCellMar>
        <w:tblLook w:val="04A0" w:firstRow="1" w:lastRow="0" w:firstColumn="1" w:lastColumn="0" w:noHBand="0" w:noVBand="1"/>
      </w:tblPr>
      <w:tblGrid>
        <w:gridCol w:w="960"/>
        <w:gridCol w:w="5458"/>
      </w:tblGrid>
      <w:tr w:rsidR="00F925DD" w14:paraId="5556B359" w14:textId="77777777">
        <w:trPr>
          <w:tblCellSpacing w:w="0" w:type="dxa"/>
        </w:trPr>
        <w:tc>
          <w:tcPr>
            <w:tcW w:w="960" w:type="dxa"/>
            <w:shd w:val="clear" w:color="auto" w:fill="auto"/>
            <w:vAlign w:val="center"/>
          </w:tcPr>
          <w:p w14:paraId="5556B357" w14:textId="77777777" w:rsidR="00F925DD" w:rsidRDefault="00F925DD">
            <w:pPr>
              <w:rPr>
                <w:rFonts w:ascii="Times New Roman" w:hAnsi="Times New Roman"/>
                <w:sz w:val="20"/>
                <w:szCs w:val="20"/>
              </w:rPr>
            </w:pPr>
          </w:p>
        </w:tc>
        <w:tc>
          <w:tcPr>
            <w:tcW w:w="0" w:type="auto"/>
            <w:shd w:val="clear" w:color="auto" w:fill="auto"/>
            <w:vAlign w:val="center"/>
          </w:tcPr>
          <w:p w14:paraId="5556B358" w14:textId="77777777" w:rsidR="00F925DD" w:rsidRDefault="00F925DD">
            <w:pPr>
              <w:rPr>
                <w:rFonts w:ascii="Times New Roman" w:hAnsi="Times New Roman"/>
                <w:sz w:val="20"/>
                <w:szCs w:val="20"/>
              </w:rPr>
            </w:pPr>
          </w:p>
        </w:tc>
      </w:tr>
      <w:tr w:rsidR="00F925DD" w14:paraId="5556B35C" w14:textId="77777777">
        <w:trPr>
          <w:tblCellSpacing w:w="0" w:type="dxa"/>
        </w:trPr>
        <w:tc>
          <w:tcPr>
            <w:tcW w:w="0" w:type="auto"/>
            <w:shd w:val="clear" w:color="auto" w:fill="auto"/>
          </w:tcPr>
          <w:p w14:paraId="5556B35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B35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Quoted prices for similar assets or liabilities in active </w:t>
            </w:r>
            <w:r>
              <w:rPr>
                <w:rFonts w:ascii="Arial" w:eastAsia="宋体" w:hAnsi="Arial" w:cs="Arial"/>
                <w:sz w:val="20"/>
                <w:szCs w:val="20"/>
              </w:rPr>
              <w:t>markets;</w:t>
            </w:r>
          </w:p>
        </w:tc>
      </w:tr>
    </w:tbl>
    <w:p w14:paraId="5556B35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881"/>
      </w:tblGrid>
      <w:tr w:rsidR="00F925DD" w14:paraId="5556B360" w14:textId="77777777">
        <w:trPr>
          <w:tblCellSpacing w:w="0" w:type="dxa"/>
        </w:trPr>
        <w:tc>
          <w:tcPr>
            <w:tcW w:w="960" w:type="dxa"/>
            <w:shd w:val="clear" w:color="auto" w:fill="auto"/>
            <w:vAlign w:val="center"/>
          </w:tcPr>
          <w:p w14:paraId="5556B35E" w14:textId="77777777" w:rsidR="00F925DD" w:rsidRDefault="00F925DD">
            <w:pPr>
              <w:rPr>
                <w:rFonts w:ascii="Times New Roman" w:hAnsi="Times New Roman"/>
                <w:sz w:val="20"/>
                <w:szCs w:val="20"/>
              </w:rPr>
            </w:pPr>
          </w:p>
        </w:tc>
        <w:tc>
          <w:tcPr>
            <w:tcW w:w="0" w:type="auto"/>
            <w:shd w:val="clear" w:color="auto" w:fill="auto"/>
            <w:vAlign w:val="center"/>
          </w:tcPr>
          <w:p w14:paraId="5556B35F" w14:textId="77777777" w:rsidR="00F925DD" w:rsidRDefault="00F925DD">
            <w:pPr>
              <w:rPr>
                <w:rFonts w:ascii="Times New Roman" w:hAnsi="Times New Roman"/>
                <w:sz w:val="20"/>
                <w:szCs w:val="20"/>
              </w:rPr>
            </w:pPr>
          </w:p>
        </w:tc>
      </w:tr>
      <w:tr w:rsidR="00F925DD" w14:paraId="5556B363" w14:textId="77777777">
        <w:trPr>
          <w:tblCellSpacing w:w="0" w:type="dxa"/>
        </w:trPr>
        <w:tc>
          <w:tcPr>
            <w:tcW w:w="0" w:type="auto"/>
            <w:shd w:val="clear" w:color="auto" w:fill="auto"/>
          </w:tcPr>
          <w:p w14:paraId="5556B36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B36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Quoted prices for identical or similar assets or liabilities in non-active markets;</w:t>
            </w:r>
          </w:p>
        </w:tc>
      </w:tr>
    </w:tbl>
    <w:p w14:paraId="5556B36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B367" w14:textId="77777777">
        <w:trPr>
          <w:tblCellSpacing w:w="0" w:type="dxa"/>
        </w:trPr>
        <w:tc>
          <w:tcPr>
            <w:tcW w:w="960" w:type="dxa"/>
            <w:shd w:val="clear" w:color="auto" w:fill="auto"/>
            <w:vAlign w:val="center"/>
          </w:tcPr>
          <w:p w14:paraId="5556B365" w14:textId="77777777" w:rsidR="00F925DD" w:rsidRDefault="00F925DD">
            <w:pPr>
              <w:rPr>
                <w:rFonts w:ascii="Times New Roman" w:hAnsi="Times New Roman"/>
                <w:sz w:val="20"/>
                <w:szCs w:val="20"/>
              </w:rPr>
            </w:pPr>
          </w:p>
        </w:tc>
        <w:tc>
          <w:tcPr>
            <w:tcW w:w="0" w:type="auto"/>
            <w:shd w:val="clear" w:color="auto" w:fill="auto"/>
            <w:vAlign w:val="center"/>
          </w:tcPr>
          <w:p w14:paraId="5556B366" w14:textId="77777777" w:rsidR="00F925DD" w:rsidRDefault="00F925DD">
            <w:pPr>
              <w:rPr>
                <w:rFonts w:ascii="Times New Roman" w:hAnsi="Times New Roman"/>
                <w:sz w:val="20"/>
                <w:szCs w:val="20"/>
              </w:rPr>
            </w:pPr>
          </w:p>
        </w:tc>
      </w:tr>
      <w:tr w:rsidR="00F925DD" w14:paraId="5556B36A" w14:textId="77777777">
        <w:trPr>
          <w:tblCellSpacing w:w="0" w:type="dxa"/>
        </w:trPr>
        <w:tc>
          <w:tcPr>
            <w:tcW w:w="0" w:type="auto"/>
            <w:shd w:val="clear" w:color="auto" w:fill="auto"/>
          </w:tcPr>
          <w:p w14:paraId="5556B36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B36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Pricing models whose inputs are observable for substantially the full term of the asset or liability; and</w:t>
            </w:r>
          </w:p>
        </w:tc>
      </w:tr>
    </w:tbl>
    <w:p w14:paraId="5556B36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B36E" w14:textId="77777777">
        <w:trPr>
          <w:tblCellSpacing w:w="0" w:type="dxa"/>
        </w:trPr>
        <w:tc>
          <w:tcPr>
            <w:tcW w:w="960" w:type="dxa"/>
            <w:shd w:val="clear" w:color="auto" w:fill="auto"/>
            <w:vAlign w:val="center"/>
          </w:tcPr>
          <w:p w14:paraId="5556B36C" w14:textId="77777777" w:rsidR="00F925DD" w:rsidRDefault="00F925DD">
            <w:pPr>
              <w:rPr>
                <w:rFonts w:ascii="Times New Roman" w:hAnsi="Times New Roman"/>
                <w:sz w:val="20"/>
                <w:szCs w:val="20"/>
              </w:rPr>
            </w:pPr>
          </w:p>
        </w:tc>
        <w:tc>
          <w:tcPr>
            <w:tcW w:w="0" w:type="auto"/>
            <w:shd w:val="clear" w:color="auto" w:fill="auto"/>
            <w:vAlign w:val="center"/>
          </w:tcPr>
          <w:p w14:paraId="5556B36D" w14:textId="77777777" w:rsidR="00F925DD" w:rsidRDefault="00F925DD">
            <w:pPr>
              <w:rPr>
                <w:rFonts w:ascii="Times New Roman" w:hAnsi="Times New Roman"/>
                <w:sz w:val="20"/>
                <w:szCs w:val="20"/>
              </w:rPr>
            </w:pPr>
          </w:p>
        </w:tc>
      </w:tr>
      <w:tr w:rsidR="00F925DD" w14:paraId="5556B371" w14:textId="77777777">
        <w:trPr>
          <w:tblCellSpacing w:w="0" w:type="dxa"/>
        </w:trPr>
        <w:tc>
          <w:tcPr>
            <w:tcW w:w="0" w:type="auto"/>
            <w:shd w:val="clear" w:color="auto" w:fill="auto"/>
          </w:tcPr>
          <w:p w14:paraId="5556B36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B37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Pricing models whose inputs are </w:t>
            </w:r>
            <w:r>
              <w:rPr>
                <w:rFonts w:ascii="Arial" w:eastAsia="宋体" w:hAnsi="Arial" w:cs="Arial"/>
                <w:sz w:val="20"/>
                <w:szCs w:val="20"/>
              </w:rPr>
              <w:t>derived principally from, or corroborated by, observable market information through correlation or other means for substantially the full term of the asset or liability.</w:t>
            </w:r>
          </w:p>
        </w:tc>
      </w:tr>
    </w:tbl>
    <w:p w14:paraId="5556B37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level 2 financial assets and liabilities primarily include non-U.S. debt </w:t>
      </w:r>
      <w:r>
        <w:rPr>
          <w:rFonts w:ascii="Arial" w:eastAsia="宋体" w:hAnsi="Arial" w:cs="Arial"/>
          <w:sz w:val="20"/>
          <w:szCs w:val="20"/>
        </w:rPr>
        <w:t>securities carried in trading account assets and various types of fixed-income AFS investment securities, as well as various types of foreign exchange and interest rate derivative instruments.</w:t>
      </w:r>
    </w:p>
    <w:p w14:paraId="5556B37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Fair value for our AFS investment securities categorized in lev</w:t>
      </w:r>
      <w:r>
        <w:rPr>
          <w:rFonts w:ascii="Arial" w:eastAsia="宋体" w:hAnsi="Arial" w:cs="Arial"/>
          <w:sz w:val="20"/>
          <w:szCs w:val="20"/>
        </w:rPr>
        <w:t xml:space="preserve">el 2 is measured primarily using information obtained from independent third parties. This third-party information is subject to review by management as part of a validation process, which includes obtaining an understanding of the underlying </w:t>
      </w:r>
    </w:p>
    <w:p w14:paraId="5556B374"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B375"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assumption</w:t>
      </w:r>
      <w:r>
        <w:rPr>
          <w:rFonts w:ascii="Arial" w:eastAsia="宋体" w:hAnsi="Arial" w:cs="Arial"/>
          <w:sz w:val="20"/>
          <w:szCs w:val="20"/>
        </w:rPr>
        <w:t>s and the level of market participant information used to support those assumptions. In addition, management compares significant assumptions used by third parties to available market information. Such information may include known trades or, to the extent</w:t>
      </w:r>
      <w:r>
        <w:rPr>
          <w:rFonts w:ascii="Arial" w:eastAsia="宋体" w:hAnsi="Arial" w:cs="Arial"/>
          <w:sz w:val="20"/>
          <w:szCs w:val="20"/>
        </w:rPr>
        <w:t xml:space="preserve"> that trading activity is limited, comparisons to market research information pertaining to credit expectations, execution prices and the timing of cash flows and, where information is available, back- testing.</w:t>
      </w:r>
    </w:p>
    <w:p w14:paraId="5556B37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Derivative instruments categorized in level 2</w:t>
      </w:r>
      <w:r>
        <w:rPr>
          <w:rFonts w:ascii="Arial" w:eastAsia="宋体" w:hAnsi="Arial" w:cs="Arial"/>
          <w:sz w:val="20"/>
          <w:szCs w:val="20"/>
        </w:rPr>
        <w:t xml:space="preserve"> predominantly represent foreign exchange contracts used in our trading activities, for which fair value is measured using discounted cash-flow techniques, with inputs consisting of observable spot and forward points, as well as observable interest rate cu</w:t>
      </w:r>
      <w:r>
        <w:rPr>
          <w:rFonts w:ascii="Arial" w:eastAsia="宋体" w:hAnsi="Arial" w:cs="Arial"/>
          <w:sz w:val="20"/>
          <w:szCs w:val="20"/>
        </w:rPr>
        <w:t>rves. With respect to derivative instruments, we evaluate the impact on valuation of the credit risk of our counterparties. We consider factors such as the likelihood of default by our counterparties, our current and potential future net exposures and rema</w:t>
      </w:r>
      <w:r>
        <w:rPr>
          <w:rFonts w:ascii="Arial" w:eastAsia="宋体" w:hAnsi="Arial" w:cs="Arial"/>
          <w:sz w:val="20"/>
          <w:szCs w:val="20"/>
        </w:rPr>
        <w:t>ining maturities in determining the fair value. Valuation adjustments associated with derivative instruments were not material to those instruments for the years ended December 31, 2019 and 2018.</w:t>
      </w:r>
    </w:p>
    <w:p w14:paraId="5556B37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 xml:space="preserve">Level 3. Financial assets and liabilities with values based </w:t>
      </w:r>
      <w:r>
        <w:rPr>
          <w:rFonts w:ascii="Arial" w:eastAsia="宋体" w:hAnsi="Arial" w:cs="Arial"/>
          <w:i/>
          <w:iCs/>
          <w:sz w:val="20"/>
          <w:szCs w:val="20"/>
        </w:rPr>
        <w:t>on prices or valuation techniques that require inputs that are both unobservable in the market and significant to the overall measurement of fair value.</w:t>
      </w:r>
      <w:r>
        <w:rPr>
          <w:rFonts w:ascii="Arial" w:eastAsia="宋体" w:hAnsi="Arial" w:cs="Arial"/>
          <w:sz w:val="20"/>
          <w:szCs w:val="20"/>
        </w:rPr>
        <w:t xml:space="preserve"> These inputs reflect management's judgment about the assumptions that a market participant would use in</w:t>
      </w:r>
      <w:r>
        <w:rPr>
          <w:rFonts w:ascii="Arial" w:eastAsia="宋体" w:hAnsi="Arial" w:cs="Arial"/>
          <w:sz w:val="20"/>
          <w:szCs w:val="20"/>
        </w:rPr>
        <w:t xml:space="preserve"> pricing the financial asset or liability, and are based on the best available information, some of which may be internally developed. The following provides a more detailed discussion of our financial assets and liabilities that we may categorize in level</w:t>
      </w:r>
      <w:r>
        <w:rPr>
          <w:rFonts w:ascii="Arial" w:eastAsia="宋体" w:hAnsi="Arial" w:cs="Arial"/>
          <w:sz w:val="20"/>
          <w:szCs w:val="20"/>
        </w:rPr>
        <w:t xml:space="preserve"> 3 and the related valuation methodology.</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B37A" w14:textId="77777777">
        <w:trPr>
          <w:tblCellSpacing w:w="0" w:type="dxa"/>
        </w:trPr>
        <w:tc>
          <w:tcPr>
            <w:tcW w:w="960" w:type="dxa"/>
            <w:shd w:val="clear" w:color="auto" w:fill="auto"/>
            <w:vAlign w:val="center"/>
          </w:tcPr>
          <w:p w14:paraId="5556B378" w14:textId="77777777" w:rsidR="00F925DD" w:rsidRDefault="00F925DD">
            <w:pPr>
              <w:rPr>
                <w:rFonts w:ascii="Times New Roman" w:hAnsi="Times New Roman"/>
                <w:sz w:val="20"/>
                <w:szCs w:val="20"/>
              </w:rPr>
            </w:pPr>
          </w:p>
        </w:tc>
        <w:tc>
          <w:tcPr>
            <w:tcW w:w="0" w:type="auto"/>
            <w:shd w:val="clear" w:color="auto" w:fill="auto"/>
            <w:vAlign w:val="center"/>
          </w:tcPr>
          <w:p w14:paraId="5556B379" w14:textId="77777777" w:rsidR="00F925DD" w:rsidRDefault="00F925DD">
            <w:pPr>
              <w:rPr>
                <w:rFonts w:ascii="Times New Roman" w:hAnsi="Times New Roman"/>
                <w:sz w:val="20"/>
                <w:szCs w:val="20"/>
              </w:rPr>
            </w:pPr>
          </w:p>
        </w:tc>
      </w:tr>
      <w:tr w:rsidR="00F925DD" w14:paraId="5556B37D" w14:textId="77777777">
        <w:trPr>
          <w:tblCellSpacing w:w="0" w:type="dxa"/>
        </w:trPr>
        <w:tc>
          <w:tcPr>
            <w:tcW w:w="0" w:type="auto"/>
            <w:shd w:val="clear" w:color="auto" w:fill="auto"/>
          </w:tcPr>
          <w:p w14:paraId="5556B37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B37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fair value of our investment securities categorized in level 3 is measured using information obtained from third-party sources, typically non-binding broker/dealer quotes, or through the use of internally-</w:t>
            </w:r>
            <w:r>
              <w:rPr>
                <w:rFonts w:ascii="Arial" w:eastAsia="宋体" w:hAnsi="Arial" w:cs="Arial"/>
                <w:sz w:val="20"/>
                <w:szCs w:val="20"/>
              </w:rPr>
              <w:t>developed pricing models. Management has evaluated its methodologies used to measure fair value and has considered the level of observable market information to be insufficient to categorize the securities in level 2.</w:t>
            </w:r>
          </w:p>
        </w:tc>
      </w:tr>
    </w:tbl>
    <w:p w14:paraId="5556B37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B381" w14:textId="77777777">
        <w:trPr>
          <w:tblCellSpacing w:w="0" w:type="dxa"/>
        </w:trPr>
        <w:tc>
          <w:tcPr>
            <w:tcW w:w="960" w:type="dxa"/>
            <w:shd w:val="clear" w:color="auto" w:fill="auto"/>
            <w:vAlign w:val="center"/>
          </w:tcPr>
          <w:p w14:paraId="5556B37F" w14:textId="77777777" w:rsidR="00F925DD" w:rsidRDefault="00F925DD">
            <w:pPr>
              <w:rPr>
                <w:rFonts w:ascii="Times New Roman" w:hAnsi="Times New Roman"/>
                <w:sz w:val="20"/>
                <w:szCs w:val="20"/>
              </w:rPr>
            </w:pPr>
          </w:p>
        </w:tc>
        <w:tc>
          <w:tcPr>
            <w:tcW w:w="0" w:type="auto"/>
            <w:shd w:val="clear" w:color="auto" w:fill="auto"/>
            <w:vAlign w:val="center"/>
          </w:tcPr>
          <w:p w14:paraId="5556B380" w14:textId="77777777" w:rsidR="00F925DD" w:rsidRDefault="00F925DD">
            <w:pPr>
              <w:rPr>
                <w:rFonts w:ascii="Times New Roman" w:hAnsi="Times New Roman"/>
                <w:sz w:val="20"/>
                <w:szCs w:val="20"/>
              </w:rPr>
            </w:pPr>
          </w:p>
        </w:tc>
      </w:tr>
      <w:tr w:rsidR="00F925DD" w14:paraId="5556B384" w14:textId="77777777">
        <w:trPr>
          <w:tblCellSpacing w:w="0" w:type="dxa"/>
        </w:trPr>
        <w:tc>
          <w:tcPr>
            <w:tcW w:w="0" w:type="auto"/>
            <w:shd w:val="clear" w:color="auto" w:fill="auto"/>
          </w:tcPr>
          <w:p w14:paraId="5556B38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B38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fair value of </w:t>
            </w:r>
            <w:r>
              <w:rPr>
                <w:rFonts w:ascii="Arial" w:eastAsia="宋体" w:hAnsi="Arial" w:cs="Arial"/>
                <w:sz w:val="20"/>
                <w:szCs w:val="20"/>
              </w:rPr>
              <w:t>certain foreign exchange contracts, primarily options, is measured using an option-pricing model. Because of a limited number of observable transactions, certain model inputs are not observable, such as implied volatility surface, but are derived from obse</w:t>
            </w:r>
            <w:r>
              <w:rPr>
                <w:rFonts w:ascii="Arial" w:eastAsia="宋体" w:hAnsi="Arial" w:cs="Arial"/>
                <w:sz w:val="20"/>
                <w:szCs w:val="20"/>
              </w:rPr>
              <w:t>rvable market information.</w:t>
            </w:r>
          </w:p>
        </w:tc>
      </w:tr>
    </w:tbl>
    <w:p w14:paraId="5556B385" w14:textId="77777777" w:rsidR="00F925DD" w:rsidRDefault="00F925DD">
      <w:pPr>
        <w:rPr>
          <w:rFonts w:ascii="Times New Roman" w:hAnsi="Times New Roman"/>
          <w:sz w:val="20"/>
          <w:szCs w:val="20"/>
        </w:rPr>
      </w:pPr>
    </w:p>
    <w:p w14:paraId="5556B38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129</w:t>
      </w:r>
    </w:p>
    <w:p w14:paraId="5556B387" w14:textId="77777777" w:rsidR="00F925DD" w:rsidRDefault="00F925DD">
      <w:pPr>
        <w:spacing w:line="288" w:lineRule="auto"/>
        <w:ind w:firstLine="600"/>
        <w:jc w:val="center"/>
        <w:rPr>
          <w:rFonts w:ascii="Times New Roman" w:hAnsi="Times New Roman"/>
          <w:sz w:val="18"/>
          <w:szCs w:val="18"/>
        </w:rPr>
      </w:pPr>
    </w:p>
    <w:p w14:paraId="5556B388" w14:textId="77777777" w:rsidR="00F925DD" w:rsidRDefault="00E705D7">
      <w:r>
        <w:rPr>
          <w:rFonts w:ascii="Times New Roman" w:hAnsi="Times New Roman"/>
          <w:sz w:val="18"/>
          <w:szCs w:val="18"/>
        </w:rPr>
        <w:pict w14:anchorId="555706BB">
          <v:rect id="_x0000_i1153" style="width:415.3pt;height:1.5pt" o:hralign="center" o:hrstd="t" o:hr="t" fillcolor="#a0a0a0" stroked="f"/>
        </w:pict>
      </w:r>
    </w:p>
    <w:p w14:paraId="5556B38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38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B38B" w14:textId="77777777" w:rsidR="00F925DD" w:rsidRDefault="00F925DD">
      <w:pPr>
        <w:rPr>
          <w:rFonts w:ascii="Times New Roman" w:hAnsi="Times New Roman"/>
          <w:sz w:val="20"/>
          <w:szCs w:val="20"/>
        </w:rPr>
      </w:pPr>
    </w:p>
    <w:p w14:paraId="5556B38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level 3 financial assets and liabilities are similar in structure and profile to our level 1 and level 2 </w:t>
      </w:r>
      <w:r>
        <w:rPr>
          <w:rFonts w:ascii="Arial" w:eastAsia="宋体" w:hAnsi="Arial" w:cs="Arial"/>
          <w:sz w:val="20"/>
          <w:szCs w:val="20"/>
        </w:rPr>
        <w:t>financial instruments, but they trade in less liquid markets, and the measurement of their fair value is inherently less observable.</w:t>
      </w:r>
    </w:p>
    <w:p w14:paraId="5556B38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tables present information with respect to our financial assets and liabilities carried at fair value in our </w:t>
      </w:r>
      <w:r>
        <w:rPr>
          <w:rFonts w:ascii="Arial" w:eastAsia="宋体" w:hAnsi="Arial" w:cs="Arial"/>
          <w:sz w:val="20"/>
          <w:szCs w:val="20"/>
        </w:rPr>
        <w:t>consolidated statement of condition on a recurring basis as of the dates indicated:</w:t>
      </w:r>
    </w:p>
    <w:tbl>
      <w:tblPr>
        <w:tblW w:w="5000" w:type="pct"/>
        <w:tblCellMar>
          <w:left w:w="0" w:type="dxa"/>
          <w:right w:w="0" w:type="dxa"/>
        </w:tblCellMar>
        <w:tblLook w:val="04A0" w:firstRow="1" w:lastRow="0" w:firstColumn="1" w:lastColumn="0" w:noHBand="0" w:noVBand="1"/>
      </w:tblPr>
      <w:tblGrid>
        <w:gridCol w:w="2188"/>
        <w:gridCol w:w="124"/>
        <w:gridCol w:w="981"/>
        <w:gridCol w:w="89"/>
        <w:gridCol w:w="128"/>
        <w:gridCol w:w="124"/>
        <w:gridCol w:w="1023"/>
        <w:gridCol w:w="92"/>
        <w:gridCol w:w="128"/>
        <w:gridCol w:w="124"/>
        <w:gridCol w:w="1023"/>
        <w:gridCol w:w="92"/>
        <w:gridCol w:w="128"/>
        <w:gridCol w:w="124"/>
        <w:gridCol w:w="567"/>
        <w:gridCol w:w="95"/>
        <w:gridCol w:w="128"/>
        <w:gridCol w:w="124"/>
        <w:gridCol w:w="946"/>
        <w:gridCol w:w="78"/>
      </w:tblGrid>
      <w:tr w:rsidR="00F925DD" w14:paraId="5556B38F" w14:textId="77777777">
        <w:tc>
          <w:tcPr>
            <w:tcW w:w="0" w:type="auto"/>
            <w:gridSpan w:val="20"/>
            <w:shd w:val="clear" w:color="auto" w:fill="auto"/>
            <w:vAlign w:val="center"/>
          </w:tcPr>
          <w:p w14:paraId="5556B38E" w14:textId="77777777" w:rsidR="00F925DD" w:rsidRDefault="00F925DD">
            <w:pPr>
              <w:rPr>
                <w:rFonts w:ascii="Times New Roman" w:hAnsi="Times New Roman"/>
                <w:sz w:val="20"/>
                <w:szCs w:val="20"/>
              </w:rPr>
            </w:pPr>
          </w:p>
        </w:tc>
      </w:tr>
      <w:tr w:rsidR="00F925DD" w14:paraId="5556B3A4" w14:textId="77777777">
        <w:tc>
          <w:tcPr>
            <w:tcW w:w="1750" w:type="pct"/>
            <w:shd w:val="clear" w:color="auto" w:fill="auto"/>
            <w:vAlign w:val="center"/>
          </w:tcPr>
          <w:p w14:paraId="5556B390" w14:textId="77777777" w:rsidR="00F925DD" w:rsidRDefault="00F925DD">
            <w:pPr>
              <w:rPr>
                <w:rFonts w:ascii="Times New Roman" w:hAnsi="Times New Roman"/>
                <w:sz w:val="20"/>
                <w:szCs w:val="20"/>
              </w:rPr>
            </w:pPr>
          </w:p>
        </w:tc>
        <w:tc>
          <w:tcPr>
            <w:tcW w:w="50" w:type="pct"/>
            <w:shd w:val="clear" w:color="auto" w:fill="auto"/>
            <w:vAlign w:val="center"/>
          </w:tcPr>
          <w:p w14:paraId="5556B391" w14:textId="77777777" w:rsidR="00F925DD" w:rsidRDefault="00F925DD">
            <w:pPr>
              <w:rPr>
                <w:rFonts w:ascii="Times New Roman" w:hAnsi="Times New Roman"/>
                <w:sz w:val="20"/>
                <w:szCs w:val="20"/>
              </w:rPr>
            </w:pPr>
          </w:p>
        </w:tc>
        <w:tc>
          <w:tcPr>
            <w:tcW w:w="550" w:type="pct"/>
            <w:shd w:val="clear" w:color="auto" w:fill="auto"/>
            <w:vAlign w:val="center"/>
          </w:tcPr>
          <w:p w14:paraId="5556B392" w14:textId="77777777" w:rsidR="00F925DD" w:rsidRDefault="00F925DD">
            <w:pPr>
              <w:rPr>
                <w:rFonts w:ascii="Times New Roman" w:hAnsi="Times New Roman"/>
                <w:sz w:val="20"/>
                <w:szCs w:val="20"/>
              </w:rPr>
            </w:pPr>
          </w:p>
        </w:tc>
        <w:tc>
          <w:tcPr>
            <w:tcW w:w="50" w:type="pct"/>
            <w:shd w:val="clear" w:color="auto" w:fill="auto"/>
            <w:vAlign w:val="center"/>
          </w:tcPr>
          <w:p w14:paraId="5556B393" w14:textId="77777777" w:rsidR="00F925DD" w:rsidRDefault="00F925DD">
            <w:pPr>
              <w:rPr>
                <w:rFonts w:ascii="Times New Roman" w:hAnsi="Times New Roman"/>
                <w:sz w:val="20"/>
                <w:szCs w:val="20"/>
              </w:rPr>
            </w:pPr>
          </w:p>
        </w:tc>
        <w:tc>
          <w:tcPr>
            <w:tcW w:w="50" w:type="pct"/>
            <w:shd w:val="clear" w:color="auto" w:fill="auto"/>
            <w:vAlign w:val="center"/>
          </w:tcPr>
          <w:p w14:paraId="5556B394" w14:textId="77777777" w:rsidR="00F925DD" w:rsidRDefault="00F925DD">
            <w:pPr>
              <w:rPr>
                <w:rFonts w:ascii="Times New Roman" w:hAnsi="Times New Roman"/>
                <w:sz w:val="20"/>
                <w:szCs w:val="20"/>
              </w:rPr>
            </w:pPr>
          </w:p>
        </w:tc>
        <w:tc>
          <w:tcPr>
            <w:tcW w:w="50" w:type="pct"/>
            <w:shd w:val="clear" w:color="auto" w:fill="auto"/>
            <w:vAlign w:val="center"/>
          </w:tcPr>
          <w:p w14:paraId="5556B395" w14:textId="77777777" w:rsidR="00F925DD" w:rsidRDefault="00F925DD">
            <w:pPr>
              <w:rPr>
                <w:rFonts w:ascii="Times New Roman" w:hAnsi="Times New Roman"/>
                <w:sz w:val="20"/>
                <w:szCs w:val="20"/>
              </w:rPr>
            </w:pPr>
          </w:p>
        </w:tc>
        <w:tc>
          <w:tcPr>
            <w:tcW w:w="550" w:type="pct"/>
            <w:shd w:val="clear" w:color="auto" w:fill="auto"/>
            <w:vAlign w:val="center"/>
          </w:tcPr>
          <w:p w14:paraId="5556B396" w14:textId="77777777" w:rsidR="00F925DD" w:rsidRDefault="00F925DD">
            <w:pPr>
              <w:rPr>
                <w:rFonts w:ascii="Times New Roman" w:hAnsi="Times New Roman"/>
                <w:sz w:val="20"/>
                <w:szCs w:val="20"/>
              </w:rPr>
            </w:pPr>
          </w:p>
        </w:tc>
        <w:tc>
          <w:tcPr>
            <w:tcW w:w="50" w:type="pct"/>
            <w:shd w:val="clear" w:color="auto" w:fill="auto"/>
            <w:vAlign w:val="center"/>
          </w:tcPr>
          <w:p w14:paraId="5556B397" w14:textId="77777777" w:rsidR="00F925DD" w:rsidRDefault="00F925DD">
            <w:pPr>
              <w:rPr>
                <w:rFonts w:ascii="Times New Roman" w:hAnsi="Times New Roman"/>
                <w:sz w:val="20"/>
                <w:szCs w:val="20"/>
              </w:rPr>
            </w:pPr>
          </w:p>
        </w:tc>
        <w:tc>
          <w:tcPr>
            <w:tcW w:w="50" w:type="pct"/>
            <w:shd w:val="clear" w:color="auto" w:fill="auto"/>
            <w:vAlign w:val="center"/>
          </w:tcPr>
          <w:p w14:paraId="5556B398" w14:textId="77777777" w:rsidR="00F925DD" w:rsidRDefault="00F925DD">
            <w:pPr>
              <w:rPr>
                <w:rFonts w:ascii="Times New Roman" w:hAnsi="Times New Roman"/>
                <w:sz w:val="20"/>
                <w:szCs w:val="20"/>
              </w:rPr>
            </w:pPr>
          </w:p>
        </w:tc>
        <w:tc>
          <w:tcPr>
            <w:tcW w:w="50" w:type="pct"/>
            <w:shd w:val="clear" w:color="auto" w:fill="auto"/>
            <w:vAlign w:val="center"/>
          </w:tcPr>
          <w:p w14:paraId="5556B399" w14:textId="77777777" w:rsidR="00F925DD" w:rsidRDefault="00F925DD">
            <w:pPr>
              <w:rPr>
                <w:rFonts w:ascii="Times New Roman" w:hAnsi="Times New Roman"/>
                <w:sz w:val="20"/>
                <w:szCs w:val="20"/>
              </w:rPr>
            </w:pPr>
          </w:p>
        </w:tc>
        <w:tc>
          <w:tcPr>
            <w:tcW w:w="550" w:type="pct"/>
            <w:shd w:val="clear" w:color="auto" w:fill="auto"/>
            <w:vAlign w:val="center"/>
          </w:tcPr>
          <w:p w14:paraId="5556B39A" w14:textId="77777777" w:rsidR="00F925DD" w:rsidRDefault="00F925DD">
            <w:pPr>
              <w:rPr>
                <w:rFonts w:ascii="Times New Roman" w:hAnsi="Times New Roman"/>
                <w:sz w:val="20"/>
                <w:szCs w:val="20"/>
              </w:rPr>
            </w:pPr>
          </w:p>
        </w:tc>
        <w:tc>
          <w:tcPr>
            <w:tcW w:w="50" w:type="pct"/>
            <w:shd w:val="clear" w:color="auto" w:fill="auto"/>
            <w:vAlign w:val="center"/>
          </w:tcPr>
          <w:p w14:paraId="5556B39B" w14:textId="77777777" w:rsidR="00F925DD" w:rsidRDefault="00F925DD">
            <w:pPr>
              <w:rPr>
                <w:rFonts w:ascii="Times New Roman" w:hAnsi="Times New Roman"/>
                <w:sz w:val="20"/>
                <w:szCs w:val="20"/>
              </w:rPr>
            </w:pPr>
          </w:p>
        </w:tc>
        <w:tc>
          <w:tcPr>
            <w:tcW w:w="50" w:type="pct"/>
            <w:shd w:val="clear" w:color="auto" w:fill="auto"/>
            <w:vAlign w:val="center"/>
          </w:tcPr>
          <w:p w14:paraId="5556B39C" w14:textId="77777777" w:rsidR="00F925DD" w:rsidRDefault="00F925DD">
            <w:pPr>
              <w:rPr>
                <w:rFonts w:ascii="Times New Roman" w:hAnsi="Times New Roman"/>
                <w:sz w:val="20"/>
                <w:szCs w:val="20"/>
              </w:rPr>
            </w:pPr>
          </w:p>
        </w:tc>
        <w:tc>
          <w:tcPr>
            <w:tcW w:w="50" w:type="pct"/>
            <w:shd w:val="clear" w:color="auto" w:fill="auto"/>
            <w:vAlign w:val="center"/>
          </w:tcPr>
          <w:p w14:paraId="5556B39D" w14:textId="77777777" w:rsidR="00F925DD" w:rsidRDefault="00F925DD">
            <w:pPr>
              <w:rPr>
                <w:rFonts w:ascii="Times New Roman" w:hAnsi="Times New Roman"/>
                <w:sz w:val="20"/>
                <w:szCs w:val="20"/>
              </w:rPr>
            </w:pPr>
          </w:p>
        </w:tc>
        <w:tc>
          <w:tcPr>
            <w:tcW w:w="300" w:type="pct"/>
            <w:shd w:val="clear" w:color="auto" w:fill="auto"/>
            <w:vAlign w:val="center"/>
          </w:tcPr>
          <w:p w14:paraId="5556B39E" w14:textId="77777777" w:rsidR="00F925DD" w:rsidRDefault="00F925DD">
            <w:pPr>
              <w:rPr>
                <w:rFonts w:ascii="Times New Roman" w:hAnsi="Times New Roman"/>
                <w:sz w:val="20"/>
                <w:szCs w:val="20"/>
              </w:rPr>
            </w:pPr>
          </w:p>
        </w:tc>
        <w:tc>
          <w:tcPr>
            <w:tcW w:w="50" w:type="pct"/>
            <w:shd w:val="clear" w:color="auto" w:fill="auto"/>
            <w:vAlign w:val="center"/>
          </w:tcPr>
          <w:p w14:paraId="5556B39F" w14:textId="77777777" w:rsidR="00F925DD" w:rsidRDefault="00F925DD">
            <w:pPr>
              <w:rPr>
                <w:rFonts w:ascii="Times New Roman" w:hAnsi="Times New Roman"/>
                <w:sz w:val="20"/>
                <w:szCs w:val="20"/>
              </w:rPr>
            </w:pPr>
          </w:p>
        </w:tc>
        <w:tc>
          <w:tcPr>
            <w:tcW w:w="50" w:type="pct"/>
            <w:shd w:val="clear" w:color="auto" w:fill="auto"/>
            <w:vAlign w:val="center"/>
          </w:tcPr>
          <w:p w14:paraId="5556B3A0" w14:textId="77777777" w:rsidR="00F925DD" w:rsidRDefault="00F925DD">
            <w:pPr>
              <w:rPr>
                <w:rFonts w:ascii="Times New Roman" w:hAnsi="Times New Roman"/>
                <w:sz w:val="20"/>
                <w:szCs w:val="20"/>
              </w:rPr>
            </w:pPr>
          </w:p>
        </w:tc>
        <w:tc>
          <w:tcPr>
            <w:tcW w:w="50" w:type="pct"/>
            <w:shd w:val="clear" w:color="auto" w:fill="auto"/>
            <w:vAlign w:val="center"/>
          </w:tcPr>
          <w:p w14:paraId="5556B3A1" w14:textId="77777777" w:rsidR="00F925DD" w:rsidRDefault="00F925DD">
            <w:pPr>
              <w:rPr>
                <w:rFonts w:ascii="Times New Roman" w:hAnsi="Times New Roman"/>
                <w:sz w:val="20"/>
                <w:szCs w:val="20"/>
              </w:rPr>
            </w:pPr>
          </w:p>
        </w:tc>
        <w:tc>
          <w:tcPr>
            <w:tcW w:w="600" w:type="pct"/>
            <w:shd w:val="clear" w:color="auto" w:fill="auto"/>
            <w:vAlign w:val="center"/>
          </w:tcPr>
          <w:p w14:paraId="5556B3A2" w14:textId="77777777" w:rsidR="00F925DD" w:rsidRDefault="00F925DD">
            <w:pPr>
              <w:rPr>
                <w:rFonts w:ascii="Times New Roman" w:hAnsi="Times New Roman"/>
                <w:sz w:val="20"/>
                <w:szCs w:val="20"/>
              </w:rPr>
            </w:pPr>
          </w:p>
        </w:tc>
        <w:tc>
          <w:tcPr>
            <w:tcW w:w="50" w:type="pct"/>
            <w:shd w:val="clear" w:color="auto" w:fill="auto"/>
            <w:vAlign w:val="center"/>
          </w:tcPr>
          <w:p w14:paraId="5556B3A3" w14:textId="77777777" w:rsidR="00F925DD" w:rsidRDefault="00F925DD">
            <w:pPr>
              <w:rPr>
                <w:rFonts w:ascii="Times New Roman" w:hAnsi="Times New Roman"/>
                <w:sz w:val="20"/>
                <w:szCs w:val="20"/>
              </w:rPr>
            </w:pPr>
          </w:p>
        </w:tc>
      </w:tr>
      <w:tr w:rsidR="00F925DD" w14:paraId="5556B3A7" w14:textId="77777777">
        <w:tc>
          <w:tcPr>
            <w:tcW w:w="0" w:type="auto"/>
            <w:shd w:val="clear" w:color="auto" w:fill="auto"/>
            <w:tcMar>
              <w:top w:w="40" w:type="dxa"/>
              <w:left w:w="40" w:type="dxa"/>
              <w:bottom w:w="40" w:type="dxa"/>
              <w:right w:w="40" w:type="dxa"/>
            </w:tcMar>
            <w:vAlign w:val="bottom"/>
          </w:tcPr>
          <w:p w14:paraId="5556B3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auto"/>
            <w:tcMar>
              <w:top w:w="40" w:type="dxa"/>
              <w:left w:w="40" w:type="dxa"/>
              <w:bottom w:w="40" w:type="dxa"/>
            </w:tcMar>
            <w:vAlign w:val="bottom"/>
          </w:tcPr>
          <w:p w14:paraId="5556B3A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Fair Value Measurements on a Recurring Basis</w:t>
            </w:r>
          </w:p>
        </w:tc>
      </w:tr>
      <w:tr w:rsidR="00F925DD" w14:paraId="5556B3AA" w14:textId="77777777">
        <w:tc>
          <w:tcPr>
            <w:tcW w:w="0" w:type="auto"/>
            <w:shd w:val="clear" w:color="auto" w:fill="auto"/>
            <w:tcMar>
              <w:top w:w="40" w:type="dxa"/>
              <w:left w:w="40" w:type="dxa"/>
              <w:bottom w:w="40" w:type="dxa"/>
              <w:right w:w="40" w:type="dxa"/>
            </w:tcMar>
            <w:vAlign w:val="bottom"/>
          </w:tcPr>
          <w:p w14:paraId="5556B3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5556B3A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 of December 31, 2019</w:t>
            </w:r>
          </w:p>
        </w:tc>
      </w:tr>
      <w:tr w:rsidR="00F925DD" w14:paraId="5556B3C4" w14:textId="77777777">
        <w:tc>
          <w:tcPr>
            <w:tcW w:w="0" w:type="auto"/>
            <w:shd w:val="clear" w:color="auto" w:fill="auto"/>
            <w:tcMar>
              <w:top w:w="40" w:type="dxa"/>
              <w:left w:w="40" w:type="dxa"/>
              <w:bottom w:w="40" w:type="dxa"/>
              <w:right w:w="40" w:type="dxa"/>
            </w:tcMar>
            <w:vAlign w:val="bottom"/>
          </w:tcPr>
          <w:p w14:paraId="5556B3A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3A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Quoted Market</w:t>
            </w:r>
          </w:p>
          <w:p w14:paraId="5556B3A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Prices in Active</w:t>
            </w:r>
          </w:p>
          <w:p w14:paraId="5556B3A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Markets</w:t>
            </w:r>
          </w:p>
          <w:p w14:paraId="5556B3A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(Level 1)</w:t>
            </w:r>
          </w:p>
        </w:tc>
        <w:tc>
          <w:tcPr>
            <w:tcW w:w="0" w:type="auto"/>
            <w:shd w:val="clear" w:color="auto" w:fill="auto"/>
            <w:tcMar>
              <w:top w:w="40" w:type="dxa"/>
              <w:left w:w="40" w:type="dxa"/>
              <w:bottom w:w="40" w:type="dxa"/>
              <w:right w:w="40" w:type="dxa"/>
            </w:tcMar>
            <w:vAlign w:val="bottom"/>
          </w:tcPr>
          <w:p w14:paraId="5556B3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3B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Pricing Methods</w:t>
            </w:r>
          </w:p>
          <w:p w14:paraId="5556B3B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with Significant</w:t>
            </w:r>
          </w:p>
          <w:p w14:paraId="5556B3B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Observable</w:t>
            </w:r>
          </w:p>
          <w:p w14:paraId="5556B3B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Market Inputs</w:t>
            </w:r>
          </w:p>
          <w:p w14:paraId="5556B3B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(Level 2)</w:t>
            </w:r>
          </w:p>
        </w:tc>
        <w:tc>
          <w:tcPr>
            <w:tcW w:w="0" w:type="auto"/>
            <w:shd w:val="clear" w:color="auto" w:fill="auto"/>
            <w:tcMar>
              <w:top w:w="40" w:type="dxa"/>
              <w:left w:w="40" w:type="dxa"/>
              <w:bottom w:w="40" w:type="dxa"/>
              <w:right w:w="40" w:type="dxa"/>
            </w:tcMar>
            <w:vAlign w:val="bottom"/>
          </w:tcPr>
          <w:p w14:paraId="5556B3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3B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Pricing Methods</w:t>
            </w:r>
          </w:p>
          <w:p w14:paraId="5556B3B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with Significant</w:t>
            </w:r>
          </w:p>
          <w:p w14:paraId="5556B3B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Unobservable</w:t>
            </w:r>
          </w:p>
          <w:p w14:paraId="5556B3B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Market Inputs</w:t>
            </w:r>
          </w:p>
          <w:p w14:paraId="5556B3B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(Level 3)</w:t>
            </w:r>
          </w:p>
        </w:tc>
        <w:tc>
          <w:tcPr>
            <w:tcW w:w="0" w:type="auto"/>
            <w:shd w:val="clear" w:color="auto" w:fill="auto"/>
            <w:tcMar>
              <w:top w:w="40" w:type="dxa"/>
              <w:left w:w="40" w:type="dxa"/>
              <w:bottom w:w="40" w:type="dxa"/>
              <w:right w:w="40" w:type="dxa"/>
            </w:tcMar>
            <w:vAlign w:val="bottom"/>
          </w:tcPr>
          <w:p w14:paraId="5556B3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3B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Impact of Netting(1)</w:t>
            </w:r>
          </w:p>
        </w:tc>
        <w:tc>
          <w:tcPr>
            <w:tcW w:w="0" w:type="auto"/>
            <w:shd w:val="clear" w:color="auto" w:fill="auto"/>
            <w:tcMar>
              <w:top w:w="40" w:type="dxa"/>
              <w:left w:w="40" w:type="dxa"/>
              <w:bottom w:w="40" w:type="dxa"/>
              <w:right w:w="40" w:type="dxa"/>
            </w:tcMar>
            <w:vAlign w:val="bottom"/>
          </w:tcPr>
          <w:p w14:paraId="5556B3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3B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 Net</w:t>
            </w:r>
          </w:p>
          <w:p w14:paraId="5556B3C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Carrying Value</w:t>
            </w:r>
          </w:p>
          <w:p w14:paraId="5556B3C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 Consolidated</w:t>
            </w:r>
          </w:p>
          <w:p w14:paraId="5556B3C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Statement of</w:t>
            </w:r>
          </w:p>
          <w:p w14:paraId="5556B3C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Condition</w:t>
            </w:r>
          </w:p>
        </w:tc>
      </w:tr>
      <w:tr w:rsidR="00F925DD" w14:paraId="5556B3CF" w14:textId="77777777">
        <w:tc>
          <w:tcPr>
            <w:tcW w:w="0" w:type="auto"/>
            <w:shd w:val="clear" w:color="auto" w:fill="auto"/>
            <w:tcMar>
              <w:top w:w="40" w:type="dxa"/>
              <w:left w:w="40" w:type="dxa"/>
              <w:bottom w:w="40" w:type="dxa"/>
              <w:right w:w="40" w:type="dxa"/>
            </w:tcMar>
            <w:vAlign w:val="bottom"/>
          </w:tcPr>
          <w:p w14:paraId="5556B3C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Assets:</w:t>
            </w:r>
          </w:p>
        </w:tc>
        <w:tc>
          <w:tcPr>
            <w:tcW w:w="0" w:type="auto"/>
            <w:gridSpan w:val="3"/>
            <w:shd w:val="clear" w:color="auto" w:fill="auto"/>
            <w:tcMar>
              <w:top w:w="40" w:type="dxa"/>
              <w:left w:w="40" w:type="dxa"/>
              <w:bottom w:w="40" w:type="dxa"/>
              <w:right w:w="40" w:type="dxa"/>
            </w:tcMar>
            <w:vAlign w:val="bottom"/>
          </w:tcPr>
          <w:p w14:paraId="5556B3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3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3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3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3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3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3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3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3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3DA" w14:textId="77777777">
        <w:tc>
          <w:tcPr>
            <w:tcW w:w="0" w:type="auto"/>
            <w:shd w:val="clear" w:color="auto" w:fill="auto"/>
            <w:tcMar>
              <w:top w:w="40" w:type="dxa"/>
              <w:left w:w="40" w:type="dxa"/>
              <w:bottom w:w="40" w:type="dxa"/>
              <w:right w:w="40" w:type="dxa"/>
            </w:tcMar>
            <w:vAlign w:val="bottom"/>
          </w:tcPr>
          <w:p w14:paraId="5556B3D0" w14:textId="77777777" w:rsidR="00F925DD" w:rsidRDefault="00E705D7">
            <w:pPr>
              <w:textAlignment w:val="bottom"/>
              <w:rPr>
                <w:rFonts w:ascii="Times New Roman" w:hAnsi="Times New Roman"/>
                <w:sz w:val="15"/>
                <w:szCs w:val="15"/>
              </w:rPr>
            </w:pPr>
            <w:r>
              <w:rPr>
                <w:rFonts w:ascii="Arial" w:eastAsia="宋体" w:hAnsi="Arial" w:cs="Arial"/>
                <w:sz w:val="15"/>
                <w:szCs w:val="15"/>
              </w:rPr>
              <w:t>Trading account assets:</w:t>
            </w:r>
          </w:p>
        </w:tc>
        <w:tc>
          <w:tcPr>
            <w:tcW w:w="0" w:type="auto"/>
            <w:gridSpan w:val="3"/>
            <w:shd w:val="clear" w:color="auto" w:fill="auto"/>
            <w:tcMar>
              <w:top w:w="40" w:type="dxa"/>
              <w:left w:w="40" w:type="dxa"/>
              <w:bottom w:w="40" w:type="dxa"/>
              <w:right w:w="40" w:type="dxa"/>
            </w:tcMar>
            <w:vAlign w:val="bottom"/>
          </w:tcPr>
          <w:p w14:paraId="5556B3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3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3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3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3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3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3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3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3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3ED" w14:textId="77777777">
        <w:tc>
          <w:tcPr>
            <w:tcW w:w="0" w:type="auto"/>
            <w:shd w:val="clear" w:color="auto" w:fill="CCEEFF"/>
            <w:tcMar>
              <w:top w:w="40" w:type="dxa"/>
              <w:left w:w="400" w:type="dxa"/>
              <w:bottom w:w="40" w:type="dxa"/>
              <w:right w:w="40" w:type="dxa"/>
            </w:tcMar>
            <w:vAlign w:val="bottom"/>
          </w:tcPr>
          <w:p w14:paraId="5556B3DB" w14:textId="77777777" w:rsidR="00F925DD" w:rsidRDefault="00E705D7">
            <w:pPr>
              <w:textAlignment w:val="bottom"/>
              <w:rPr>
                <w:rFonts w:ascii="Times New Roman" w:hAnsi="Times New Roman"/>
                <w:sz w:val="15"/>
                <w:szCs w:val="15"/>
              </w:rPr>
            </w:pPr>
            <w:r>
              <w:rPr>
                <w:rFonts w:ascii="Arial" w:eastAsia="宋体" w:hAnsi="Arial" w:cs="Arial"/>
                <w:sz w:val="15"/>
                <w:szCs w:val="15"/>
              </w:rPr>
              <w:t>U.S. government securities</w:t>
            </w:r>
          </w:p>
        </w:tc>
        <w:tc>
          <w:tcPr>
            <w:tcW w:w="0" w:type="auto"/>
            <w:shd w:val="clear" w:color="auto" w:fill="CCEEFF"/>
            <w:tcMar>
              <w:top w:w="40" w:type="dxa"/>
              <w:left w:w="40" w:type="dxa"/>
              <w:bottom w:w="40" w:type="dxa"/>
            </w:tcMar>
            <w:vAlign w:val="bottom"/>
          </w:tcPr>
          <w:p w14:paraId="5556B3D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3D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w:t>
            </w:r>
          </w:p>
        </w:tc>
        <w:tc>
          <w:tcPr>
            <w:tcW w:w="0" w:type="auto"/>
            <w:shd w:val="clear" w:color="auto" w:fill="CCEEFF"/>
            <w:vAlign w:val="bottom"/>
          </w:tcPr>
          <w:p w14:paraId="5556B3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3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3E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3E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3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3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3E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3E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3E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3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3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3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3E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3E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w:t>
            </w:r>
          </w:p>
        </w:tc>
        <w:tc>
          <w:tcPr>
            <w:tcW w:w="0" w:type="auto"/>
            <w:shd w:val="clear" w:color="auto" w:fill="CCEEFF"/>
            <w:vAlign w:val="bottom"/>
          </w:tcPr>
          <w:p w14:paraId="5556B3EC" w14:textId="77777777" w:rsidR="00F925DD" w:rsidRDefault="00F925DD">
            <w:pPr>
              <w:textAlignment w:val="bottom"/>
              <w:rPr>
                <w:rFonts w:ascii="Times New Roman" w:hAnsi="Times New Roman"/>
                <w:sz w:val="20"/>
                <w:szCs w:val="20"/>
              </w:rPr>
            </w:pPr>
          </w:p>
        </w:tc>
      </w:tr>
      <w:tr w:rsidR="00F925DD" w14:paraId="5556B3FC" w14:textId="77777777">
        <w:tc>
          <w:tcPr>
            <w:tcW w:w="0" w:type="auto"/>
            <w:shd w:val="clear" w:color="auto" w:fill="auto"/>
            <w:tcMar>
              <w:top w:w="40" w:type="dxa"/>
              <w:left w:w="400" w:type="dxa"/>
              <w:bottom w:w="40" w:type="dxa"/>
              <w:right w:w="40" w:type="dxa"/>
            </w:tcMar>
            <w:vAlign w:val="bottom"/>
          </w:tcPr>
          <w:p w14:paraId="5556B3EE"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government securities</w:t>
            </w:r>
          </w:p>
        </w:tc>
        <w:tc>
          <w:tcPr>
            <w:tcW w:w="0" w:type="auto"/>
            <w:gridSpan w:val="2"/>
            <w:shd w:val="clear" w:color="auto" w:fill="auto"/>
            <w:tcMar>
              <w:top w:w="40" w:type="dxa"/>
              <w:left w:w="40" w:type="dxa"/>
              <w:bottom w:w="40" w:type="dxa"/>
            </w:tcMar>
            <w:vAlign w:val="bottom"/>
          </w:tcPr>
          <w:p w14:paraId="5556B3E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146</w:t>
            </w:r>
          </w:p>
        </w:tc>
        <w:tc>
          <w:tcPr>
            <w:tcW w:w="0" w:type="auto"/>
            <w:shd w:val="clear" w:color="auto" w:fill="auto"/>
            <w:vAlign w:val="bottom"/>
          </w:tcPr>
          <w:p w14:paraId="5556B3F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3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3F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173</w:t>
            </w:r>
          </w:p>
        </w:tc>
        <w:tc>
          <w:tcPr>
            <w:tcW w:w="0" w:type="auto"/>
            <w:shd w:val="clear" w:color="auto" w:fill="auto"/>
            <w:vAlign w:val="bottom"/>
          </w:tcPr>
          <w:p w14:paraId="5556B3F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3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3F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3F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3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3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3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3F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319</w:t>
            </w:r>
          </w:p>
        </w:tc>
        <w:tc>
          <w:tcPr>
            <w:tcW w:w="0" w:type="auto"/>
            <w:shd w:val="clear" w:color="auto" w:fill="auto"/>
            <w:vAlign w:val="bottom"/>
          </w:tcPr>
          <w:p w14:paraId="5556B3FB" w14:textId="77777777" w:rsidR="00F925DD" w:rsidRDefault="00F925DD">
            <w:pPr>
              <w:textAlignment w:val="bottom"/>
              <w:rPr>
                <w:rFonts w:ascii="Times New Roman" w:hAnsi="Times New Roman"/>
                <w:sz w:val="20"/>
                <w:szCs w:val="20"/>
              </w:rPr>
            </w:pPr>
          </w:p>
        </w:tc>
      </w:tr>
      <w:tr w:rsidR="00F925DD" w14:paraId="5556B40B" w14:textId="77777777">
        <w:tc>
          <w:tcPr>
            <w:tcW w:w="0" w:type="auto"/>
            <w:shd w:val="clear" w:color="auto" w:fill="CCEEFF"/>
            <w:tcMar>
              <w:top w:w="40" w:type="dxa"/>
              <w:left w:w="400" w:type="dxa"/>
              <w:bottom w:w="40" w:type="dxa"/>
              <w:right w:w="40" w:type="dxa"/>
            </w:tcMar>
            <w:vAlign w:val="bottom"/>
          </w:tcPr>
          <w:p w14:paraId="5556B3FD"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CCEEFF"/>
            <w:tcMar>
              <w:top w:w="40" w:type="dxa"/>
              <w:left w:w="40" w:type="dxa"/>
              <w:bottom w:w="40" w:type="dxa"/>
            </w:tcMar>
            <w:vAlign w:val="bottom"/>
          </w:tcPr>
          <w:p w14:paraId="5556B3F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w:t>
            </w:r>
          </w:p>
        </w:tc>
        <w:tc>
          <w:tcPr>
            <w:tcW w:w="0" w:type="auto"/>
            <w:shd w:val="clear" w:color="auto" w:fill="CCEEFF"/>
            <w:vAlign w:val="bottom"/>
          </w:tcPr>
          <w:p w14:paraId="5556B3F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0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540</w:t>
            </w:r>
          </w:p>
        </w:tc>
        <w:tc>
          <w:tcPr>
            <w:tcW w:w="0" w:type="auto"/>
            <w:shd w:val="clear" w:color="auto" w:fill="CCEEFF"/>
            <w:vAlign w:val="bottom"/>
          </w:tcPr>
          <w:p w14:paraId="5556B40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0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4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0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561</w:t>
            </w:r>
          </w:p>
        </w:tc>
        <w:tc>
          <w:tcPr>
            <w:tcW w:w="0" w:type="auto"/>
            <w:shd w:val="clear" w:color="auto" w:fill="CCEEFF"/>
            <w:vAlign w:val="bottom"/>
          </w:tcPr>
          <w:p w14:paraId="5556B40A" w14:textId="77777777" w:rsidR="00F925DD" w:rsidRDefault="00F925DD">
            <w:pPr>
              <w:textAlignment w:val="bottom"/>
              <w:rPr>
                <w:rFonts w:ascii="Times New Roman" w:hAnsi="Times New Roman"/>
                <w:sz w:val="20"/>
                <w:szCs w:val="20"/>
              </w:rPr>
            </w:pPr>
          </w:p>
        </w:tc>
      </w:tr>
      <w:tr w:rsidR="00F925DD" w14:paraId="5556B41A" w14:textId="77777777">
        <w:tc>
          <w:tcPr>
            <w:tcW w:w="0" w:type="auto"/>
            <w:shd w:val="clear" w:color="auto" w:fill="auto"/>
            <w:tcMar>
              <w:top w:w="40" w:type="dxa"/>
              <w:left w:w="1040" w:type="dxa"/>
              <w:bottom w:w="40" w:type="dxa"/>
              <w:right w:w="40" w:type="dxa"/>
            </w:tcMar>
            <w:vAlign w:val="bottom"/>
          </w:tcPr>
          <w:p w14:paraId="5556B40C"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trading account assets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40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201</w:t>
            </w:r>
          </w:p>
        </w:tc>
        <w:tc>
          <w:tcPr>
            <w:tcW w:w="0" w:type="auto"/>
            <w:tcBorders>
              <w:top w:val="single" w:sz="8" w:space="0" w:color="000000"/>
              <w:bottom w:val="single" w:sz="8" w:space="0" w:color="000000"/>
            </w:tcBorders>
            <w:shd w:val="clear" w:color="auto" w:fill="auto"/>
            <w:vAlign w:val="bottom"/>
          </w:tcPr>
          <w:p w14:paraId="5556B40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41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713</w:t>
            </w:r>
          </w:p>
        </w:tc>
        <w:tc>
          <w:tcPr>
            <w:tcW w:w="0" w:type="auto"/>
            <w:tcBorders>
              <w:top w:val="single" w:sz="8" w:space="0" w:color="000000"/>
              <w:bottom w:val="single" w:sz="8" w:space="0" w:color="000000"/>
            </w:tcBorders>
            <w:shd w:val="clear" w:color="auto" w:fill="auto"/>
            <w:vAlign w:val="bottom"/>
          </w:tcPr>
          <w:p w14:paraId="5556B41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41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auto"/>
            <w:vAlign w:val="bottom"/>
          </w:tcPr>
          <w:p w14:paraId="5556B41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41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914</w:t>
            </w:r>
          </w:p>
        </w:tc>
        <w:tc>
          <w:tcPr>
            <w:tcW w:w="0" w:type="auto"/>
            <w:tcBorders>
              <w:top w:val="single" w:sz="8" w:space="0" w:color="000000"/>
              <w:bottom w:val="single" w:sz="8" w:space="0" w:color="000000"/>
            </w:tcBorders>
            <w:shd w:val="clear" w:color="auto" w:fill="auto"/>
            <w:vAlign w:val="bottom"/>
          </w:tcPr>
          <w:p w14:paraId="5556B419" w14:textId="77777777" w:rsidR="00F925DD" w:rsidRDefault="00F925DD">
            <w:pPr>
              <w:textAlignment w:val="bottom"/>
              <w:rPr>
                <w:rFonts w:ascii="Times New Roman" w:hAnsi="Times New Roman"/>
                <w:sz w:val="20"/>
                <w:szCs w:val="20"/>
              </w:rPr>
            </w:pPr>
          </w:p>
        </w:tc>
      </w:tr>
      <w:tr w:rsidR="00F925DD" w14:paraId="5556B425" w14:textId="77777777">
        <w:tc>
          <w:tcPr>
            <w:tcW w:w="0" w:type="auto"/>
            <w:shd w:val="clear" w:color="auto" w:fill="CCEEFF"/>
            <w:tcMar>
              <w:top w:w="40" w:type="dxa"/>
              <w:left w:w="40" w:type="dxa"/>
              <w:bottom w:w="40" w:type="dxa"/>
              <w:right w:w="40" w:type="dxa"/>
            </w:tcMar>
            <w:vAlign w:val="bottom"/>
          </w:tcPr>
          <w:p w14:paraId="5556B41B" w14:textId="77777777" w:rsidR="00F925DD" w:rsidRDefault="00E705D7">
            <w:pPr>
              <w:textAlignment w:val="bottom"/>
              <w:rPr>
                <w:rFonts w:ascii="Times New Roman" w:hAnsi="Times New Roman"/>
                <w:sz w:val="15"/>
                <w:szCs w:val="15"/>
              </w:rPr>
            </w:pPr>
            <w:r>
              <w:rPr>
                <w:rFonts w:ascii="Arial" w:eastAsia="宋体" w:hAnsi="Arial" w:cs="Arial"/>
                <w:sz w:val="15"/>
                <w:szCs w:val="15"/>
              </w:rPr>
              <w:t>Available-for-sale investment securities:</w:t>
            </w:r>
          </w:p>
        </w:tc>
        <w:tc>
          <w:tcPr>
            <w:tcW w:w="0" w:type="auto"/>
            <w:gridSpan w:val="3"/>
            <w:shd w:val="clear" w:color="auto" w:fill="CCEEFF"/>
            <w:tcMar>
              <w:top w:w="40" w:type="dxa"/>
              <w:left w:w="40" w:type="dxa"/>
              <w:bottom w:w="40" w:type="dxa"/>
              <w:right w:w="40" w:type="dxa"/>
            </w:tcMar>
            <w:vAlign w:val="bottom"/>
          </w:tcPr>
          <w:p w14:paraId="5556B4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430" w14:textId="77777777">
        <w:tc>
          <w:tcPr>
            <w:tcW w:w="0" w:type="auto"/>
            <w:shd w:val="clear" w:color="auto" w:fill="auto"/>
            <w:tcMar>
              <w:top w:w="40" w:type="dxa"/>
              <w:left w:w="400" w:type="dxa"/>
              <w:bottom w:w="40" w:type="dxa"/>
              <w:right w:w="40" w:type="dxa"/>
            </w:tcMar>
            <w:vAlign w:val="bottom"/>
          </w:tcPr>
          <w:p w14:paraId="5556B426" w14:textId="77777777" w:rsidR="00F925DD" w:rsidRDefault="00E705D7">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5556B4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43F" w14:textId="77777777">
        <w:tc>
          <w:tcPr>
            <w:tcW w:w="0" w:type="auto"/>
            <w:shd w:val="clear" w:color="auto" w:fill="CCEEFF"/>
            <w:tcMar>
              <w:top w:w="40" w:type="dxa"/>
              <w:left w:w="720" w:type="dxa"/>
              <w:bottom w:w="40" w:type="dxa"/>
              <w:right w:w="40" w:type="dxa"/>
            </w:tcMar>
            <w:vAlign w:val="bottom"/>
          </w:tcPr>
          <w:p w14:paraId="5556B431" w14:textId="77777777" w:rsidR="00F925DD" w:rsidRDefault="00E705D7">
            <w:pPr>
              <w:textAlignment w:val="bottom"/>
              <w:rPr>
                <w:rFonts w:ascii="Times New Roman" w:hAnsi="Times New Roman"/>
                <w:sz w:val="15"/>
                <w:szCs w:val="15"/>
              </w:rPr>
            </w:pPr>
            <w:r>
              <w:rPr>
                <w:rFonts w:ascii="Arial" w:eastAsia="宋体" w:hAnsi="Arial" w:cs="Arial"/>
                <w:sz w:val="15"/>
                <w:szCs w:val="15"/>
              </w:rPr>
              <w:t>Direct obligations</w:t>
            </w:r>
          </w:p>
        </w:tc>
        <w:tc>
          <w:tcPr>
            <w:tcW w:w="0" w:type="auto"/>
            <w:gridSpan w:val="2"/>
            <w:shd w:val="clear" w:color="auto" w:fill="CCEEFF"/>
            <w:tcMar>
              <w:top w:w="40" w:type="dxa"/>
              <w:left w:w="40" w:type="dxa"/>
              <w:bottom w:w="40" w:type="dxa"/>
            </w:tcMar>
            <w:vAlign w:val="bottom"/>
          </w:tcPr>
          <w:p w14:paraId="5556B43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3,487</w:t>
            </w:r>
          </w:p>
        </w:tc>
        <w:tc>
          <w:tcPr>
            <w:tcW w:w="0" w:type="auto"/>
            <w:shd w:val="clear" w:color="auto" w:fill="CCEEFF"/>
            <w:vAlign w:val="bottom"/>
          </w:tcPr>
          <w:p w14:paraId="5556B43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3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43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3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43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3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3,487</w:t>
            </w:r>
          </w:p>
        </w:tc>
        <w:tc>
          <w:tcPr>
            <w:tcW w:w="0" w:type="auto"/>
            <w:shd w:val="clear" w:color="auto" w:fill="CCEEFF"/>
            <w:vAlign w:val="bottom"/>
          </w:tcPr>
          <w:p w14:paraId="5556B43E" w14:textId="77777777" w:rsidR="00F925DD" w:rsidRDefault="00F925DD">
            <w:pPr>
              <w:textAlignment w:val="bottom"/>
              <w:rPr>
                <w:rFonts w:ascii="Times New Roman" w:hAnsi="Times New Roman"/>
                <w:sz w:val="20"/>
                <w:szCs w:val="20"/>
              </w:rPr>
            </w:pPr>
          </w:p>
        </w:tc>
      </w:tr>
      <w:tr w:rsidR="00F925DD" w14:paraId="5556B44E" w14:textId="77777777">
        <w:tc>
          <w:tcPr>
            <w:tcW w:w="0" w:type="auto"/>
            <w:shd w:val="clear" w:color="auto" w:fill="auto"/>
            <w:tcMar>
              <w:top w:w="40" w:type="dxa"/>
              <w:left w:w="720" w:type="dxa"/>
              <w:bottom w:w="40" w:type="dxa"/>
              <w:right w:w="40" w:type="dxa"/>
            </w:tcMar>
            <w:vAlign w:val="bottom"/>
          </w:tcPr>
          <w:p w14:paraId="5556B440"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5556B44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4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4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17,838</w:t>
            </w:r>
          </w:p>
        </w:tc>
        <w:tc>
          <w:tcPr>
            <w:tcW w:w="0" w:type="auto"/>
            <w:shd w:val="clear" w:color="auto" w:fill="auto"/>
            <w:vAlign w:val="bottom"/>
          </w:tcPr>
          <w:p w14:paraId="5556B4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4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4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4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17,838</w:t>
            </w:r>
          </w:p>
        </w:tc>
        <w:tc>
          <w:tcPr>
            <w:tcW w:w="0" w:type="auto"/>
            <w:shd w:val="clear" w:color="auto" w:fill="auto"/>
            <w:vAlign w:val="bottom"/>
          </w:tcPr>
          <w:p w14:paraId="5556B44D" w14:textId="77777777" w:rsidR="00F925DD" w:rsidRDefault="00F925DD">
            <w:pPr>
              <w:textAlignment w:val="bottom"/>
              <w:rPr>
                <w:rFonts w:ascii="Times New Roman" w:hAnsi="Times New Roman"/>
                <w:sz w:val="20"/>
                <w:szCs w:val="20"/>
              </w:rPr>
            </w:pPr>
          </w:p>
        </w:tc>
      </w:tr>
      <w:tr w:rsidR="00F925DD" w14:paraId="5556B45D" w14:textId="77777777">
        <w:tc>
          <w:tcPr>
            <w:tcW w:w="0" w:type="auto"/>
            <w:shd w:val="clear" w:color="auto" w:fill="CCEEFF"/>
            <w:tcMar>
              <w:top w:w="40" w:type="dxa"/>
              <w:left w:w="1040" w:type="dxa"/>
              <w:bottom w:w="40" w:type="dxa"/>
              <w:right w:w="40" w:type="dxa"/>
            </w:tcMar>
            <w:vAlign w:val="bottom"/>
          </w:tcPr>
          <w:p w14:paraId="5556B44F"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Total U.S. </w:t>
            </w:r>
            <w:r>
              <w:rPr>
                <w:rFonts w:ascii="Arial" w:eastAsia="宋体" w:hAnsi="Arial" w:cs="Arial"/>
                <w:sz w:val="15"/>
                <w:szCs w:val="15"/>
              </w:rPr>
              <w:t>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B45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3,487</w:t>
            </w:r>
          </w:p>
        </w:tc>
        <w:tc>
          <w:tcPr>
            <w:tcW w:w="0" w:type="auto"/>
            <w:tcBorders>
              <w:top w:val="single" w:sz="8" w:space="0" w:color="000000"/>
              <w:bottom w:val="single" w:sz="8" w:space="0" w:color="000000"/>
            </w:tcBorders>
            <w:shd w:val="clear" w:color="auto" w:fill="CCEEFF"/>
            <w:vAlign w:val="bottom"/>
          </w:tcPr>
          <w:p w14:paraId="5556B45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B45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17,838</w:t>
            </w:r>
          </w:p>
        </w:tc>
        <w:tc>
          <w:tcPr>
            <w:tcW w:w="0" w:type="auto"/>
            <w:tcBorders>
              <w:top w:val="single" w:sz="8" w:space="0" w:color="000000"/>
              <w:bottom w:val="single" w:sz="8" w:space="0" w:color="000000"/>
            </w:tcBorders>
            <w:shd w:val="clear" w:color="auto" w:fill="CCEEFF"/>
            <w:vAlign w:val="bottom"/>
          </w:tcPr>
          <w:p w14:paraId="5556B4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B45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CCEEFF"/>
            <w:vAlign w:val="bottom"/>
          </w:tcPr>
          <w:p w14:paraId="5556B45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B45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21,325</w:t>
            </w:r>
          </w:p>
        </w:tc>
        <w:tc>
          <w:tcPr>
            <w:tcW w:w="0" w:type="auto"/>
            <w:tcBorders>
              <w:top w:val="single" w:sz="8" w:space="0" w:color="000000"/>
              <w:bottom w:val="single" w:sz="8" w:space="0" w:color="000000"/>
            </w:tcBorders>
            <w:shd w:val="clear" w:color="auto" w:fill="CCEEFF"/>
            <w:vAlign w:val="bottom"/>
          </w:tcPr>
          <w:p w14:paraId="5556B45C" w14:textId="77777777" w:rsidR="00F925DD" w:rsidRDefault="00F925DD">
            <w:pPr>
              <w:textAlignment w:val="bottom"/>
              <w:rPr>
                <w:rFonts w:ascii="Times New Roman" w:hAnsi="Times New Roman"/>
                <w:sz w:val="20"/>
                <w:szCs w:val="20"/>
              </w:rPr>
            </w:pPr>
          </w:p>
        </w:tc>
      </w:tr>
      <w:tr w:rsidR="00F925DD" w14:paraId="5556B468" w14:textId="77777777">
        <w:tc>
          <w:tcPr>
            <w:tcW w:w="0" w:type="auto"/>
            <w:shd w:val="clear" w:color="auto" w:fill="auto"/>
            <w:tcMar>
              <w:top w:w="40" w:type="dxa"/>
              <w:left w:w="400" w:type="dxa"/>
              <w:bottom w:w="40" w:type="dxa"/>
              <w:right w:w="40" w:type="dxa"/>
            </w:tcMar>
            <w:vAlign w:val="bottom"/>
          </w:tcPr>
          <w:p w14:paraId="5556B45E"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5556B4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477" w14:textId="77777777">
        <w:tc>
          <w:tcPr>
            <w:tcW w:w="0" w:type="auto"/>
            <w:shd w:val="clear" w:color="auto" w:fill="CCEEFF"/>
            <w:tcMar>
              <w:top w:w="40" w:type="dxa"/>
              <w:left w:w="720" w:type="dxa"/>
              <w:bottom w:w="40" w:type="dxa"/>
              <w:right w:w="40" w:type="dxa"/>
            </w:tcMar>
            <w:vAlign w:val="bottom"/>
          </w:tcPr>
          <w:p w14:paraId="5556B469" w14:textId="77777777" w:rsidR="00F925DD" w:rsidRDefault="00E705D7">
            <w:pPr>
              <w:textAlignment w:val="bottom"/>
              <w:rPr>
                <w:rFonts w:ascii="Times New Roman" w:hAnsi="Times New Roman"/>
                <w:sz w:val="15"/>
                <w:szCs w:val="15"/>
              </w:rPr>
            </w:pPr>
            <w:r>
              <w:rPr>
                <w:rFonts w:ascii="Arial" w:eastAsia="宋体" w:hAnsi="Arial" w:cs="Arial"/>
                <w:sz w:val="15"/>
                <w:szCs w:val="15"/>
              </w:rPr>
              <w:t>Student loans</w:t>
            </w:r>
          </w:p>
        </w:tc>
        <w:tc>
          <w:tcPr>
            <w:tcW w:w="0" w:type="auto"/>
            <w:gridSpan w:val="2"/>
            <w:shd w:val="clear" w:color="auto" w:fill="CCEEFF"/>
            <w:tcMar>
              <w:top w:w="40" w:type="dxa"/>
              <w:left w:w="40" w:type="dxa"/>
              <w:bottom w:w="40" w:type="dxa"/>
            </w:tcMar>
            <w:vAlign w:val="bottom"/>
          </w:tcPr>
          <w:p w14:paraId="5556B46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46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6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531</w:t>
            </w:r>
          </w:p>
        </w:tc>
        <w:tc>
          <w:tcPr>
            <w:tcW w:w="0" w:type="auto"/>
            <w:shd w:val="clear" w:color="auto" w:fill="CCEEFF"/>
            <w:vAlign w:val="bottom"/>
          </w:tcPr>
          <w:p w14:paraId="5556B46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7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47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7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531</w:t>
            </w:r>
          </w:p>
        </w:tc>
        <w:tc>
          <w:tcPr>
            <w:tcW w:w="0" w:type="auto"/>
            <w:shd w:val="clear" w:color="auto" w:fill="CCEEFF"/>
            <w:vAlign w:val="bottom"/>
          </w:tcPr>
          <w:p w14:paraId="5556B476" w14:textId="77777777" w:rsidR="00F925DD" w:rsidRDefault="00F925DD">
            <w:pPr>
              <w:textAlignment w:val="bottom"/>
              <w:rPr>
                <w:rFonts w:ascii="Times New Roman" w:hAnsi="Times New Roman"/>
                <w:sz w:val="20"/>
                <w:szCs w:val="20"/>
              </w:rPr>
            </w:pPr>
          </w:p>
        </w:tc>
      </w:tr>
      <w:tr w:rsidR="00F925DD" w14:paraId="5556B486" w14:textId="77777777">
        <w:tc>
          <w:tcPr>
            <w:tcW w:w="0" w:type="auto"/>
            <w:shd w:val="clear" w:color="auto" w:fill="auto"/>
            <w:tcMar>
              <w:top w:w="40" w:type="dxa"/>
              <w:left w:w="720" w:type="dxa"/>
              <w:bottom w:w="40" w:type="dxa"/>
              <w:right w:w="40" w:type="dxa"/>
            </w:tcMar>
            <w:vAlign w:val="bottom"/>
          </w:tcPr>
          <w:p w14:paraId="5556B478" w14:textId="77777777" w:rsidR="00F925DD" w:rsidRDefault="00E705D7">
            <w:pPr>
              <w:textAlignment w:val="bottom"/>
              <w:rPr>
                <w:rFonts w:ascii="Times New Roman" w:hAnsi="Times New Roman"/>
                <w:sz w:val="15"/>
                <w:szCs w:val="15"/>
              </w:rPr>
            </w:pPr>
            <w:r>
              <w:rPr>
                <w:rFonts w:ascii="Arial" w:eastAsia="宋体" w:hAnsi="Arial" w:cs="Arial"/>
                <w:sz w:val="15"/>
                <w:szCs w:val="15"/>
              </w:rPr>
              <w:t>Credit cards</w:t>
            </w:r>
          </w:p>
        </w:tc>
        <w:tc>
          <w:tcPr>
            <w:tcW w:w="0" w:type="auto"/>
            <w:gridSpan w:val="2"/>
            <w:shd w:val="clear" w:color="auto" w:fill="auto"/>
            <w:tcMar>
              <w:top w:w="40" w:type="dxa"/>
              <w:left w:w="40" w:type="dxa"/>
              <w:bottom w:w="40" w:type="dxa"/>
            </w:tcMar>
            <w:vAlign w:val="bottom"/>
          </w:tcPr>
          <w:p w14:paraId="5556B47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4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7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w:t>
            </w:r>
          </w:p>
        </w:tc>
        <w:tc>
          <w:tcPr>
            <w:tcW w:w="0" w:type="auto"/>
            <w:shd w:val="clear" w:color="auto" w:fill="auto"/>
            <w:vAlign w:val="bottom"/>
          </w:tcPr>
          <w:p w14:paraId="5556B4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7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4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8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w:t>
            </w:r>
          </w:p>
        </w:tc>
        <w:tc>
          <w:tcPr>
            <w:tcW w:w="0" w:type="auto"/>
            <w:shd w:val="clear" w:color="auto" w:fill="auto"/>
            <w:vAlign w:val="bottom"/>
          </w:tcPr>
          <w:p w14:paraId="5556B485" w14:textId="77777777" w:rsidR="00F925DD" w:rsidRDefault="00F925DD">
            <w:pPr>
              <w:textAlignment w:val="bottom"/>
              <w:rPr>
                <w:rFonts w:ascii="Times New Roman" w:hAnsi="Times New Roman"/>
                <w:sz w:val="20"/>
                <w:szCs w:val="20"/>
              </w:rPr>
            </w:pPr>
          </w:p>
        </w:tc>
      </w:tr>
      <w:tr w:rsidR="00F925DD" w14:paraId="5556B495" w14:textId="77777777">
        <w:tc>
          <w:tcPr>
            <w:tcW w:w="0" w:type="auto"/>
            <w:shd w:val="clear" w:color="auto" w:fill="CCEEFF"/>
            <w:tcMar>
              <w:top w:w="40" w:type="dxa"/>
              <w:left w:w="720" w:type="dxa"/>
              <w:bottom w:w="40" w:type="dxa"/>
              <w:right w:w="40" w:type="dxa"/>
            </w:tcMar>
            <w:vAlign w:val="bottom"/>
          </w:tcPr>
          <w:p w14:paraId="5556B487"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48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B4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48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B4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48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1,820</w:t>
            </w:r>
          </w:p>
        </w:tc>
        <w:tc>
          <w:tcPr>
            <w:tcW w:w="0" w:type="auto"/>
            <w:tcBorders>
              <w:bottom w:val="single" w:sz="8" w:space="0" w:color="000000"/>
            </w:tcBorders>
            <w:shd w:val="clear" w:color="auto" w:fill="CCEEFF"/>
            <w:vAlign w:val="bottom"/>
          </w:tcPr>
          <w:p w14:paraId="5556B48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49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1,820</w:t>
            </w:r>
          </w:p>
        </w:tc>
        <w:tc>
          <w:tcPr>
            <w:tcW w:w="0" w:type="auto"/>
            <w:tcBorders>
              <w:bottom w:val="single" w:sz="8" w:space="0" w:color="000000"/>
            </w:tcBorders>
            <w:shd w:val="clear" w:color="auto" w:fill="CCEEFF"/>
            <w:vAlign w:val="bottom"/>
          </w:tcPr>
          <w:p w14:paraId="5556B494" w14:textId="77777777" w:rsidR="00F925DD" w:rsidRDefault="00F925DD">
            <w:pPr>
              <w:textAlignment w:val="bottom"/>
              <w:rPr>
                <w:rFonts w:ascii="Times New Roman" w:hAnsi="Times New Roman"/>
                <w:sz w:val="20"/>
                <w:szCs w:val="20"/>
              </w:rPr>
            </w:pPr>
          </w:p>
        </w:tc>
      </w:tr>
      <w:tr w:rsidR="00F925DD" w14:paraId="5556B4A4" w14:textId="77777777">
        <w:tc>
          <w:tcPr>
            <w:tcW w:w="0" w:type="auto"/>
            <w:shd w:val="clear" w:color="auto" w:fill="auto"/>
            <w:tcMar>
              <w:top w:w="40" w:type="dxa"/>
              <w:left w:w="1040" w:type="dxa"/>
              <w:bottom w:w="40" w:type="dxa"/>
              <w:right w:w="40" w:type="dxa"/>
            </w:tcMar>
            <w:vAlign w:val="bottom"/>
          </w:tcPr>
          <w:p w14:paraId="5556B496"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B49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B49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B49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620</w:t>
            </w:r>
          </w:p>
        </w:tc>
        <w:tc>
          <w:tcPr>
            <w:tcW w:w="0" w:type="auto"/>
            <w:tcBorders>
              <w:bottom w:val="single" w:sz="8" w:space="0" w:color="000000"/>
            </w:tcBorders>
            <w:shd w:val="clear" w:color="auto" w:fill="auto"/>
            <w:vAlign w:val="bottom"/>
          </w:tcPr>
          <w:p w14:paraId="5556B4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B49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1,820</w:t>
            </w:r>
          </w:p>
        </w:tc>
        <w:tc>
          <w:tcPr>
            <w:tcW w:w="0" w:type="auto"/>
            <w:tcBorders>
              <w:bottom w:val="single" w:sz="8" w:space="0" w:color="000000"/>
            </w:tcBorders>
            <w:shd w:val="clear" w:color="auto" w:fill="auto"/>
            <w:vAlign w:val="bottom"/>
          </w:tcPr>
          <w:p w14:paraId="5556B49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A0"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4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B4A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2,440</w:t>
            </w:r>
          </w:p>
        </w:tc>
        <w:tc>
          <w:tcPr>
            <w:tcW w:w="0" w:type="auto"/>
            <w:tcBorders>
              <w:bottom w:val="single" w:sz="8" w:space="0" w:color="000000"/>
            </w:tcBorders>
            <w:shd w:val="clear" w:color="auto" w:fill="auto"/>
            <w:vAlign w:val="bottom"/>
          </w:tcPr>
          <w:p w14:paraId="5556B4A3" w14:textId="77777777" w:rsidR="00F925DD" w:rsidRDefault="00F925DD">
            <w:pPr>
              <w:textAlignment w:val="bottom"/>
              <w:rPr>
                <w:rFonts w:ascii="Times New Roman" w:hAnsi="Times New Roman"/>
                <w:sz w:val="20"/>
                <w:szCs w:val="20"/>
              </w:rPr>
            </w:pPr>
          </w:p>
        </w:tc>
      </w:tr>
      <w:tr w:rsidR="00F925DD" w14:paraId="5556B4AF" w14:textId="77777777">
        <w:tc>
          <w:tcPr>
            <w:tcW w:w="0" w:type="auto"/>
            <w:shd w:val="clear" w:color="auto" w:fill="CCEEFF"/>
            <w:tcMar>
              <w:top w:w="40" w:type="dxa"/>
              <w:left w:w="400" w:type="dxa"/>
              <w:bottom w:w="40" w:type="dxa"/>
              <w:right w:w="40" w:type="dxa"/>
            </w:tcMar>
            <w:vAlign w:val="bottom"/>
          </w:tcPr>
          <w:p w14:paraId="5556B4A5"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556B4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556B4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5556B4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4BE" w14:textId="77777777">
        <w:tc>
          <w:tcPr>
            <w:tcW w:w="0" w:type="auto"/>
            <w:shd w:val="clear" w:color="auto" w:fill="auto"/>
            <w:tcMar>
              <w:top w:w="40" w:type="dxa"/>
              <w:left w:w="720" w:type="dxa"/>
              <w:bottom w:w="40" w:type="dxa"/>
              <w:right w:w="40" w:type="dxa"/>
            </w:tcMar>
            <w:vAlign w:val="bottom"/>
          </w:tcPr>
          <w:p w14:paraId="5556B4B0"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5556B4B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4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B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1,980</w:t>
            </w:r>
          </w:p>
        </w:tc>
        <w:tc>
          <w:tcPr>
            <w:tcW w:w="0" w:type="auto"/>
            <w:shd w:val="clear" w:color="auto" w:fill="auto"/>
            <w:vAlign w:val="bottom"/>
          </w:tcPr>
          <w:p w14:paraId="5556B4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B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4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B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1,980</w:t>
            </w:r>
          </w:p>
        </w:tc>
        <w:tc>
          <w:tcPr>
            <w:tcW w:w="0" w:type="auto"/>
            <w:shd w:val="clear" w:color="auto" w:fill="auto"/>
            <w:vAlign w:val="bottom"/>
          </w:tcPr>
          <w:p w14:paraId="5556B4BD" w14:textId="77777777" w:rsidR="00F925DD" w:rsidRDefault="00F925DD">
            <w:pPr>
              <w:textAlignment w:val="bottom"/>
              <w:rPr>
                <w:rFonts w:ascii="Times New Roman" w:hAnsi="Times New Roman"/>
                <w:sz w:val="20"/>
                <w:szCs w:val="20"/>
              </w:rPr>
            </w:pPr>
          </w:p>
        </w:tc>
      </w:tr>
      <w:tr w:rsidR="00F925DD" w14:paraId="5556B4CD" w14:textId="77777777">
        <w:tc>
          <w:tcPr>
            <w:tcW w:w="0" w:type="auto"/>
            <w:shd w:val="clear" w:color="auto" w:fill="CCEEFF"/>
            <w:tcMar>
              <w:top w:w="40" w:type="dxa"/>
              <w:left w:w="720" w:type="dxa"/>
              <w:bottom w:w="40" w:type="dxa"/>
              <w:right w:w="40" w:type="dxa"/>
            </w:tcMar>
            <w:vAlign w:val="bottom"/>
          </w:tcPr>
          <w:p w14:paraId="5556B4BF"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CCEEFF"/>
            <w:tcMar>
              <w:top w:w="40" w:type="dxa"/>
              <w:left w:w="40" w:type="dxa"/>
              <w:bottom w:w="40" w:type="dxa"/>
            </w:tcMar>
            <w:vAlign w:val="bottom"/>
          </w:tcPr>
          <w:p w14:paraId="5556B4C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4C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C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1,292</w:t>
            </w:r>
          </w:p>
        </w:tc>
        <w:tc>
          <w:tcPr>
            <w:tcW w:w="0" w:type="auto"/>
            <w:shd w:val="clear" w:color="auto" w:fill="CCEEFF"/>
            <w:vAlign w:val="bottom"/>
          </w:tcPr>
          <w:p w14:paraId="5556B4C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C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887</w:t>
            </w:r>
          </w:p>
        </w:tc>
        <w:tc>
          <w:tcPr>
            <w:tcW w:w="0" w:type="auto"/>
            <w:shd w:val="clear" w:color="auto" w:fill="CCEEFF"/>
            <w:vAlign w:val="bottom"/>
          </w:tcPr>
          <w:p w14:paraId="5556B4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C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2,179</w:t>
            </w:r>
          </w:p>
        </w:tc>
        <w:tc>
          <w:tcPr>
            <w:tcW w:w="0" w:type="auto"/>
            <w:shd w:val="clear" w:color="auto" w:fill="CCEEFF"/>
            <w:vAlign w:val="bottom"/>
          </w:tcPr>
          <w:p w14:paraId="5556B4CC" w14:textId="77777777" w:rsidR="00F925DD" w:rsidRDefault="00F925DD">
            <w:pPr>
              <w:textAlignment w:val="bottom"/>
              <w:rPr>
                <w:rFonts w:ascii="Times New Roman" w:hAnsi="Times New Roman"/>
                <w:sz w:val="20"/>
                <w:szCs w:val="20"/>
              </w:rPr>
            </w:pPr>
          </w:p>
        </w:tc>
      </w:tr>
      <w:tr w:rsidR="00F925DD" w14:paraId="5556B4DC" w14:textId="77777777">
        <w:tc>
          <w:tcPr>
            <w:tcW w:w="0" w:type="auto"/>
            <w:shd w:val="clear" w:color="auto" w:fill="auto"/>
            <w:tcMar>
              <w:top w:w="40" w:type="dxa"/>
              <w:left w:w="720" w:type="dxa"/>
              <w:bottom w:w="40" w:type="dxa"/>
              <w:right w:w="40" w:type="dxa"/>
            </w:tcMar>
            <w:vAlign w:val="bottom"/>
          </w:tcPr>
          <w:p w14:paraId="5556B4CE" w14:textId="77777777" w:rsidR="00F925DD" w:rsidRDefault="00E705D7">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shd w:val="clear" w:color="auto" w:fill="auto"/>
            <w:tcMar>
              <w:top w:w="40" w:type="dxa"/>
              <w:left w:w="40" w:type="dxa"/>
              <w:bottom w:w="40" w:type="dxa"/>
            </w:tcMar>
            <w:vAlign w:val="bottom"/>
          </w:tcPr>
          <w:p w14:paraId="5556B4C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4D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D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12,373</w:t>
            </w:r>
          </w:p>
        </w:tc>
        <w:tc>
          <w:tcPr>
            <w:tcW w:w="0" w:type="auto"/>
            <w:shd w:val="clear" w:color="auto" w:fill="auto"/>
            <w:vAlign w:val="bottom"/>
          </w:tcPr>
          <w:p w14:paraId="5556B4D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D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4D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4D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12,373</w:t>
            </w:r>
          </w:p>
        </w:tc>
        <w:tc>
          <w:tcPr>
            <w:tcW w:w="0" w:type="auto"/>
            <w:shd w:val="clear" w:color="auto" w:fill="auto"/>
            <w:vAlign w:val="bottom"/>
          </w:tcPr>
          <w:p w14:paraId="5556B4DB" w14:textId="77777777" w:rsidR="00F925DD" w:rsidRDefault="00F925DD">
            <w:pPr>
              <w:textAlignment w:val="bottom"/>
              <w:rPr>
                <w:rFonts w:ascii="Times New Roman" w:hAnsi="Times New Roman"/>
                <w:sz w:val="20"/>
                <w:szCs w:val="20"/>
              </w:rPr>
            </w:pPr>
          </w:p>
        </w:tc>
      </w:tr>
      <w:tr w:rsidR="00F925DD" w14:paraId="5556B4EB" w14:textId="77777777">
        <w:tc>
          <w:tcPr>
            <w:tcW w:w="0" w:type="auto"/>
            <w:shd w:val="clear" w:color="auto" w:fill="CCEEFF"/>
            <w:tcMar>
              <w:top w:w="40" w:type="dxa"/>
              <w:left w:w="720" w:type="dxa"/>
              <w:bottom w:w="40" w:type="dxa"/>
              <w:right w:w="40" w:type="dxa"/>
            </w:tcMar>
            <w:vAlign w:val="bottom"/>
          </w:tcPr>
          <w:p w14:paraId="5556B4DD" w14:textId="77777777" w:rsidR="00F925DD" w:rsidRDefault="00E705D7">
            <w:pPr>
              <w:textAlignment w:val="bottom"/>
              <w:rPr>
                <w:rFonts w:ascii="Times New Roman" w:hAnsi="Times New Roman"/>
                <w:sz w:val="15"/>
                <w:szCs w:val="15"/>
              </w:rPr>
            </w:pPr>
            <w:r>
              <w:rPr>
                <w:rFonts w:ascii="Arial" w:eastAsia="宋体" w:hAnsi="Arial" w:cs="Arial"/>
                <w:sz w:val="15"/>
                <w:szCs w:val="15"/>
              </w:rPr>
              <w:t>Other(2)</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4D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B4D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4E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8,613</w:t>
            </w:r>
          </w:p>
        </w:tc>
        <w:tc>
          <w:tcPr>
            <w:tcW w:w="0" w:type="auto"/>
            <w:tcBorders>
              <w:bottom w:val="single" w:sz="8" w:space="0" w:color="000000"/>
            </w:tcBorders>
            <w:shd w:val="clear" w:color="auto" w:fill="CCEEFF"/>
            <w:vAlign w:val="bottom"/>
          </w:tcPr>
          <w:p w14:paraId="5556B4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4E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45</w:t>
            </w:r>
          </w:p>
        </w:tc>
        <w:tc>
          <w:tcPr>
            <w:tcW w:w="0" w:type="auto"/>
            <w:tcBorders>
              <w:bottom w:val="single" w:sz="8" w:space="0" w:color="000000"/>
            </w:tcBorders>
            <w:shd w:val="clear" w:color="auto" w:fill="CCEEFF"/>
            <w:vAlign w:val="bottom"/>
          </w:tcPr>
          <w:p w14:paraId="5556B4E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4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4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4E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8,658</w:t>
            </w:r>
          </w:p>
        </w:tc>
        <w:tc>
          <w:tcPr>
            <w:tcW w:w="0" w:type="auto"/>
            <w:shd w:val="clear" w:color="auto" w:fill="CCEEFF"/>
            <w:vAlign w:val="bottom"/>
          </w:tcPr>
          <w:p w14:paraId="5556B4EA" w14:textId="77777777" w:rsidR="00F925DD" w:rsidRDefault="00F925DD">
            <w:pPr>
              <w:textAlignment w:val="bottom"/>
              <w:rPr>
                <w:rFonts w:ascii="Times New Roman" w:hAnsi="Times New Roman"/>
                <w:sz w:val="20"/>
                <w:szCs w:val="20"/>
              </w:rPr>
            </w:pPr>
          </w:p>
        </w:tc>
      </w:tr>
      <w:tr w:rsidR="00F925DD" w14:paraId="5556B4FA" w14:textId="77777777">
        <w:tc>
          <w:tcPr>
            <w:tcW w:w="0" w:type="auto"/>
            <w:shd w:val="clear" w:color="auto" w:fill="auto"/>
            <w:tcMar>
              <w:top w:w="40" w:type="dxa"/>
              <w:left w:w="1040" w:type="dxa"/>
              <w:bottom w:w="40" w:type="dxa"/>
              <w:right w:w="40" w:type="dxa"/>
            </w:tcMar>
            <w:vAlign w:val="bottom"/>
          </w:tcPr>
          <w:p w14:paraId="5556B4EC"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4E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auto"/>
            <w:vAlign w:val="bottom"/>
          </w:tcPr>
          <w:p w14:paraId="5556B4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4F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24,258</w:t>
            </w:r>
          </w:p>
        </w:tc>
        <w:tc>
          <w:tcPr>
            <w:tcW w:w="0" w:type="auto"/>
            <w:tcBorders>
              <w:top w:val="single" w:sz="8" w:space="0" w:color="000000"/>
              <w:bottom w:val="single" w:sz="8" w:space="0" w:color="000000"/>
            </w:tcBorders>
            <w:shd w:val="clear" w:color="auto" w:fill="auto"/>
            <w:vAlign w:val="bottom"/>
          </w:tcPr>
          <w:p w14:paraId="5556B4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4F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932</w:t>
            </w:r>
          </w:p>
        </w:tc>
        <w:tc>
          <w:tcPr>
            <w:tcW w:w="0" w:type="auto"/>
            <w:tcBorders>
              <w:top w:val="single" w:sz="8" w:space="0" w:color="000000"/>
              <w:bottom w:val="single" w:sz="8" w:space="0" w:color="000000"/>
            </w:tcBorders>
            <w:shd w:val="clear" w:color="auto" w:fill="auto"/>
            <w:vAlign w:val="bottom"/>
          </w:tcPr>
          <w:p w14:paraId="5556B4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4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4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4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4F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25,190</w:t>
            </w:r>
          </w:p>
        </w:tc>
        <w:tc>
          <w:tcPr>
            <w:tcW w:w="0" w:type="auto"/>
            <w:tcBorders>
              <w:top w:val="single" w:sz="8" w:space="0" w:color="000000"/>
              <w:bottom w:val="single" w:sz="8" w:space="0" w:color="000000"/>
            </w:tcBorders>
            <w:shd w:val="clear" w:color="auto" w:fill="auto"/>
            <w:vAlign w:val="bottom"/>
          </w:tcPr>
          <w:p w14:paraId="5556B4F9" w14:textId="77777777" w:rsidR="00F925DD" w:rsidRDefault="00F925DD">
            <w:pPr>
              <w:textAlignment w:val="bottom"/>
              <w:rPr>
                <w:rFonts w:ascii="Times New Roman" w:hAnsi="Times New Roman"/>
                <w:sz w:val="20"/>
                <w:szCs w:val="20"/>
              </w:rPr>
            </w:pPr>
          </w:p>
        </w:tc>
      </w:tr>
      <w:tr w:rsidR="00F925DD" w14:paraId="5556B509" w14:textId="77777777">
        <w:tc>
          <w:tcPr>
            <w:tcW w:w="0" w:type="auto"/>
            <w:shd w:val="clear" w:color="auto" w:fill="CCEEFF"/>
            <w:tcMar>
              <w:top w:w="40" w:type="dxa"/>
              <w:left w:w="400" w:type="dxa"/>
              <w:bottom w:w="40" w:type="dxa"/>
              <w:right w:w="40" w:type="dxa"/>
            </w:tcMar>
            <w:vAlign w:val="bottom"/>
          </w:tcPr>
          <w:p w14:paraId="5556B4FB" w14:textId="77777777" w:rsidR="00F925DD" w:rsidRDefault="00E705D7">
            <w:pPr>
              <w:textAlignment w:val="bottom"/>
              <w:rPr>
                <w:rFonts w:ascii="Times New Roman" w:hAnsi="Times New Roman"/>
                <w:sz w:val="15"/>
                <w:szCs w:val="15"/>
              </w:rPr>
            </w:pPr>
            <w:r>
              <w:rPr>
                <w:rFonts w:ascii="Arial" w:eastAsia="宋体" w:hAnsi="Arial" w:cs="Arial"/>
                <w:sz w:val="15"/>
                <w:szCs w:val="15"/>
              </w:rPr>
              <w:t>State and political subdivisions</w:t>
            </w:r>
          </w:p>
        </w:tc>
        <w:tc>
          <w:tcPr>
            <w:tcW w:w="0" w:type="auto"/>
            <w:gridSpan w:val="2"/>
            <w:tcBorders>
              <w:top w:val="single" w:sz="8" w:space="0" w:color="000000"/>
            </w:tcBorders>
            <w:shd w:val="clear" w:color="auto" w:fill="CCEEFF"/>
            <w:tcMar>
              <w:top w:w="40" w:type="dxa"/>
              <w:left w:w="40" w:type="dxa"/>
              <w:bottom w:w="40" w:type="dxa"/>
            </w:tcMar>
            <w:vAlign w:val="bottom"/>
          </w:tcPr>
          <w:p w14:paraId="5556B4F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vAlign w:val="bottom"/>
          </w:tcPr>
          <w:p w14:paraId="5556B4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4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4F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1,783</w:t>
            </w:r>
          </w:p>
        </w:tc>
        <w:tc>
          <w:tcPr>
            <w:tcW w:w="0" w:type="auto"/>
            <w:tcBorders>
              <w:top w:val="single" w:sz="8" w:space="0" w:color="000000"/>
            </w:tcBorders>
            <w:shd w:val="clear" w:color="auto" w:fill="CCEEFF"/>
            <w:vAlign w:val="bottom"/>
          </w:tcPr>
          <w:p w14:paraId="5556B5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50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vAlign w:val="bottom"/>
          </w:tcPr>
          <w:p w14:paraId="5556B50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5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5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50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1,783</w:t>
            </w:r>
          </w:p>
        </w:tc>
        <w:tc>
          <w:tcPr>
            <w:tcW w:w="0" w:type="auto"/>
            <w:shd w:val="clear" w:color="auto" w:fill="CCEEFF"/>
            <w:vAlign w:val="bottom"/>
          </w:tcPr>
          <w:p w14:paraId="5556B508" w14:textId="77777777" w:rsidR="00F925DD" w:rsidRDefault="00F925DD">
            <w:pPr>
              <w:textAlignment w:val="bottom"/>
              <w:rPr>
                <w:rFonts w:ascii="Times New Roman" w:hAnsi="Times New Roman"/>
                <w:sz w:val="20"/>
                <w:szCs w:val="20"/>
              </w:rPr>
            </w:pPr>
          </w:p>
        </w:tc>
      </w:tr>
      <w:tr w:rsidR="00F925DD" w14:paraId="5556B518" w14:textId="77777777">
        <w:tc>
          <w:tcPr>
            <w:tcW w:w="0" w:type="auto"/>
            <w:shd w:val="clear" w:color="auto" w:fill="auto"/>
            <w:tcMar>
              <w:top w:w="40" w:type="dxa"/>
              <w:left w:w="400" w:type="dxa"/>
              <w:bottom w:w="40" w:type="dxa"/>
              <w:right w:w="40" w:type="dxa"/>
            </w:tcMar>
            <w:vAlign w:val="bottom"/>
          </w:tcPr>
          <w:p w14:paraId="5556B50A"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mortgage obligations</w:t>
            </w:r>
          </w:p>
        </w:tc>
        <w:tc>
          <w:tcPr>
            <w:tcW w:w="0" w:type="auto"/>
            <w:gridSpan w:val="2"/>
            <w:shd w:val="clear" w:color="auto" w:fill="auto"/>
            <w:tcMar>
              <w:top w:w="40" w:type="dxa"/>
              <w:left w:w="40" w:type="dxa"/>
              <w:bottom w:w="40" w:type="dxa"/>
            </w:tcMar>
            <w:vAlign w:val="bottom"/>
          </w:tcPr>
          <w:p w14:paraId="5556B50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5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0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104</w:t>
            </w:r>
          </w:p>
        </w:tc>
        <w:tc>
          <w:tcPr>
            <w:tcW w:w="0" w:type="auto"/>
            <w:shd w:val="clear" w:color="auto" w:fill="auto"/>
            <w:vAlign w:val="bottom"/>
          </w:tcPr>
          <w:p w14:paraId="5556B5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1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5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1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104</w:t>
            </w:r>
          </w:p>
        </w:tc>
        <w:tc>
          <w:tcPr>
            <w:tcW w:w="0" w:type="auto"/>
            <w:shd w:val="clear" w:color="auto" w:fill="auto"/>
            <w:vAlign w:val="bottom"/>
          </w:tcPr>
          <w:p w14:paraId="5556B517" w14:textId="77777777" w:rsidR="00F925DD" w:rsidRDefault="00F925DD">
            <w:pPr>
              <w:textAlignment w:val="bottom"/>
              <w:rPr>
                <w:rFonts w:ascii="Times New Roman" w:hAnsi="Times New Roman"/>
                <w:sz w:val="20"/>
                <w:szCs w:val="20"/>
              </w:rPr>
            </w:pPr>
          </w:p>
        </w:tc>
      </w:tr>
      <w:tr w:rsidR="00F925DD" w14:paraId="5556B527" w14:textId="77777777">
        <w:tc>
          <w:tcPr>
            <w:tcW w:w="0" w:type="auto"/>
            <w:shd w:val="clear" w:color="auto" w:fill="CCEEFF"/>
            <w:tcMar>
              <w:top w:w="40" w:type="dxa"/>
              <w:left w:w="400" w:type="dxa"/>
              <w:bottom w:w="40" w:type="dxa"/>
              <w:right w:w="40" w:type="dxa"/>
            </w:tcMar>
            <w:vAlign w:val="bottom"/>
          </w:tcPr>
          <w:p w14:paraId="5556B519"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U.S. debt securities</w:t>
            </w:r>
          </w:p>
        </w:tc>
        <w:tc>
          <w:tcPr>
            <w:tcW w:w="0" w:type="auto"/>
            <w:gridSpan w:val="2"/>
            <w:shd w:val="clear" w:color="auto" w:fill="CCEEFF"/>
            <w:tcMar>
              <w:top w:w="40" w:type="dxa"/>
              <w:left w:w="40" w:type="dxa"/>
              <w:bottom w:w="40" w:type="dxa"/>
            </w:tcMar>
            <w:vAlign w:val="bottom"/>
          </w:tcPr>
          <w:p w14:paraId="5556B51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51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51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2,973</w:t>
            </w:r>
          </w:p>
        </w:tc>
        <w:tc>
          <w:tcPr>
            <w:tcW w:w="0" w:type="auto"/>
            <w:shd w:val="clear" w:color="auto" w:fill="CCEEFF"/>
            <w:vAlign w:val="bottom"/>
          </w:tcPr>
          <w:p w14:paraId="5556B51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52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5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5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5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52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2,973</w:t>
            </w:r>
          </w:p>
        </w:tc>
        <w:tc>
          <w:tcPr>
            <w:tcW w:w="0" w:type="auto"/>
            <w:shd w:val="clear" w:color="auto" w:fill="CCEEFF"/>
            <w:vAlign w:val="bottom"/>
          </w:tcPr>
          <w:p w14:paraId="5556B526" w14:textId="77777777" w:rsidR="00F925DD" w:rsidRDefault="00F925DD">
            <w:pPr>
              <w:textAlignment w:val="bottom"/>
              <w:rPr>
                <w:rFonts w:ascii="Times New Roman" w:hAnsi="Times New Roman"/>
                <w:sz w:val="20"/>
                <w:szCs w:val="20"/>
              </w:rPr>
            </w:pPr>
          </w:p>
        </w:tc>
      </w:tr>
      <w:tr w:rsidR="00F925DD" w14:paraId="5556B536" w14:textId="77777777">
        <w:tc>
          <w:tcPr>
            <w:tcW w:w="0" w:type="auto"/>
            <w:shd w:val="clear" w:color="auto" w:fill="auto"/>
            <w:tcMar>
              <w:top w:w="40" w:type="dxa"/>
              <w:left w:w="1040" w:type="dxa"/>
              <w:bottom w:w="40" w:type="dxa"/>
              <w:right w:w="40" w:type="dxa"/>
            </w:tcMar>
            <w:vAlign w:val="bottom"/>
          </w:tcPr>
          <w:p w14:paraId="5556B528"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available-for-sale investment securities</w:t>
            </w:r>
          </w:p>
        </w:tc>
        <w:tc>
          <w:tcPr>
            <w:tcW w:w="0" w:type="auto"/>
            <w:gridSpan w:val="2"/>
            <w:tcBorders>
              <w:top w:val="single" w:sz="8" w:space="0" w:color="000000"/>
            </w:tcBorders>
            <w:shd w:val="clear" w:color="auto" w:fill="auto"/>
            <w:tcMar>
              <w:top w:w="40" w:type="dxa"/>
              <w:left w:w="40" w:type="dxa"/>
              <w:bottom w:w="40" w:type="dxa"/>
            </w:tcMar>
            <w:vAlign w:val="bottom"/>
          </w:tcPr>
          <w:p w14:paraId="5556B52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3,487</w:t>
            </w:r>
          </w:p>
        </w:tc>
        <w:tc>
          <w:tcPr>
            <w:tcW w:w="0" w:type="auto"/>
            <w:tcBorders>
              <w:top w:val="single" w:sz="8" w:space="0" w:color="000000"/>
            </w:tcBorders>
            <w:shd w:val="clear" w:color="auto" w:fill="auto"/>
            <w:vAlign w:val="bottom"/>
          </w:tcPr>
          <w:p w14:paraId="5556B5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B52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47,576</w:t>
            </w:r>
          </w:p>
        </w:tc>
        <w:tc>
          <w:tcPr>
            <w:tcW w:w="0" w:type="auto"/>
            <w:tcBorders>
              <w:top w:val="single" w:sz="8" w:space="0" w:color="000000"/>
            </w:tcBorders>
            <w:shd w:val="clear" w:color="auto" w:fill="auto"/>
            <w:vAlign w:val="bottom"/>
          </w:tcPr>
          <w:p w14:paraId="5556B5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B52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2,752</w:t>
            </w:r>
          </w:p>
        </w:tc>
        <w:tc>
          <w:tcPr>
            <w:tcW w:w="0" w:type="auto"/>
            <w:tcBorders>
              <w:top w:val="single" w:sz="8" w:space="0" w:color="000000"/>
            </w:tcBorders>
            <w:shd w:val="clear" w:color="auto" w:fill="auto"/>
            <w:vAlign w:val="bottom"/>
          </w:tcPr>
          <w:p w14:paraId="5556B53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32"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5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B53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53,815</w:t>
            </w:r>
          </w:p>
        </w:tc>
        <w:tc>
          <w:tcPr>
            <w:tcW w:w="0" w:type="auto"/>
            <w:tcBorders>
              <w:top w:val="single" w:sz="8" w:space="0" w:color="000000"/>
            </w:tcBorders>
            <w:shd w:val="clear" w:color="auto" w:fill="auto"/>
            <w:vAlign w:val="bottom"/>
          </w:tcPr>
          <w:p w14:paraId="5556B535" w14:textId="77777777" w:rsidR="00F925DD" w:rsidRDefault="00F925DD">
            <w:pPr>
              <w:textAlignment w:val="bottom"/>
              <w:rPr>
                <w:rFonts w:ascii="Times New Roman" w:hAnsi="Times New Roman"/>
                <w:sz w:val="20"/>
                <w:szCs w:val="20"/>
              </w:rPr>
            </w:pPr>
          </w:p>
        </w:tc>
      </w:tr>
      <w:tr w:rsidR="00F925DD" w14:paraId="5556B541" w14:textId="77777777">
        <w:tc>
          <w:tcPr>
            <w:tcW w:w="0" w:type="auto"/>
            <w:shd w:val="clear" w:color="auto" w:fill="CCEEFF"/>
            <w:tcMar>
              <w:top w:w="40" w:type="dxa"/>
              <w:left w:w="40" w:type="dxa"/>
              <w:bottom w:w="40" w:type="dxa"/>
              <w:right w:w="40" w:type="dxa"/>
            </w:tcMar>
            <w:vAlign w:val="bottom"/>
          </w:tcPr>
          <w:p w14:paraId="5556B537"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assets:</w:t>
            </w:r>
          </w:p>
        </w:tc>
        <w:tc>
          <w:tcPr>
            <w:tcW w:w="0" w:type="auto"/>
            <w:gridSpan w:val="3"/>
            <w:shd w:val="clear" w:color="auto" w:fill="CCEEFF"/>
            <w:tcMar>
              <w:top w:w="40" w:type="dxa"/>
              <w:left w:w="40" w:type="dxa"/>
              <w:bottom w:w="40" w:type="dxa"/>
              <w:right w:w="40" w:type="dxa"/>
            </w:tcMar>
            <w:vAlign w:val="bottom"/>
          </w:tcPr>
          <w:p w14:paraId="5556B5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5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5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5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5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5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5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5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5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54C" w14:textId="77777777">
        <w:tc>
          <w:tcPr>
            <w:tcW w:w="0" w:type="auto"/>
            <w:shd w:val="clear" w:color="auto" w:fill="auto"/>
            <w:tcMar>
              <w:top w:w="40" w:type="dxa"/>
              <w:left w:w="400" w:type="dxa"/>
              <w:bottom w:w="40" w:type="dxa"/>
              <w:right w:w="40" w:type="dxa"/>
            </w:tcMar>
            <w:vAlign w:val="bottom"/>
          </w:tcPr>
          <w:p w14:paraId="5556B542" w14:textId="77777777" w:rsidR="00F925DD" w:rsidRDefault="00E705D7">
            <w:pPr>
              <w:textAlignment w:val="bottom"/>
              <w:rPr>
                <w:rFonts w:ascii="Times New Roman" w:hAnsi="Times New Roman"/>
                <w:sz w:val="15"/>
                <w:szCs w:val="15"/>
              </w:rPr>
            </w:pPr>
            <w:r>
              <w:rPr>
                <w:rFonts w:ascii="Arial" w:eastAsia="宋体" w:hAnsi="Arial" w:cs="Arial"/>
                <w:sz w:val="15"/>
                <w:szCs w:val="15"/>
              </w:rPr>
              <w:t>Derivative instruments:</w:t>
            </w:r>
          </w:p>
        </w:tc>
        <w:tc>
          <w:tcPr>
            <w:tcW w:w="0" w:type="auto"/>
            <w:gridSpan w:val="3"/>
            <w:shd w:val="clear" w:color="auto" w:fill="auto"/>
            <w:tcMar>
              <w:top w:w="40" w:type="dxa"/>
              <w:left w:w="40" w:type="dxa"/>
              <w:bottom w:w="40" w:type="dxa"/>
              <w:right w:w="40" w:type="dxa"/>
            </w:tcMar>
            <w:vAlign w:val="bottom"/>
          </w:tcPr>
          <w:p w14:paraId="5556B5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55D" w14:textId="77777777">
        <w:tc>
          <w:tcPr>
            <w:tcW w:w="0" w:type="auto"/>
            <w:shd w:val="clear" w:color="auto" w:fill="CCEEFF"/>
            <w:tcMar>
              <w:top w:w="40" w:type="dxa"/>
              <w:left w:w="720" w:type="dxa"/>
              <w:bottom w:w="40" w:type="dxa"/>
              <w:right w:w="40" w:type="dxa"/>
            </w:tcMar>
            <w:vAlign w:val="bottom"/>
          </w:tcPr>
          <w:p w14:paraId="5556B54D"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Foreign exchange </w:t>
            </w:r>
            <w:r>
              <w:rPr>
                <w:rFonts w:ascii="Arial" w:eastAsia="宋体" w:hAnsi="Arial" w:cs="Arial"/>
                <w:sz w:val="15"/>
                <w:szCs w:val="15"/>
              </w:rPr>
              <w:t>contracts</w:t>
            </w:r>
          </w:p>
        </w:tc>
        <w:tc>
          <w:tcPr>
            <w:tcW w:w="0" w:type="auto"/>
            <w:gridSpan w:val="2"/>
            <w:shd w:val="clear" w:color="auto" w:fill="CCEEFF"/>
            <w:tcMar>
              <w:top w:w="40" w:type="dxa"/>
              <w:left w:w="40" w:type="dxa"/>
              <w:bottom w:w="40" w:type="dxa"/>
            </w:tcMar>
            <w:vAlign w:val="bottom"/>
          </w:tcPr>
          <w:p w14:paraId="5556B54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54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55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15,136</w:t>
            </w:r>
          </w:p>
        </w:tc>
        <w:tc>
          <w:tcPr>
            <w:tcW w:w="0" w:type="auto"/>
            <w:shd w:val="clear" w:color="auto" w:fill="CCEEFF"/>
            <w:vAlign w:val="bottom"/>
          </w:tcPr>
          <w:p w14:paraId="5556B55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55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CCEEFF"/>
            <w:vAlign w:val="bottom"/>
          </w:tcPr>
          <w:p w14:paraId="5556B55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55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55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(10,391</w:t>
            </w:r>
          </w:p>
        </w:tc>
        <w:tc>
          <w:tcPr>
            <w:tcW w:w="0" w:type="auto"/>
            <w:shd w:val="clear" w:color="auto" w:fill="CCEEFF"/>
            <w:tcMar>
              <w:top w:w="40" w:type="dxa"/>
              <w:bottom w:w="40" w:type="dxa"/>
              <w:right w:w="40" w:type="dxa"/>
            </w:tcMar>
            <w:vAlign w:val="bottom"/>
          </w:tcPr>
          <w:p w14:paraId="5556B55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5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55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4,749</w:t>
            </w:r>
          </w:p>
        </w:tc>
        <w:tc>
          <w:tcPr>
            <w:tcW w:w="0" w:type="auto"/>
            <w:shd w:val="clear" w:color="auto" w:fill="CCEEFF"/>
            <w:vAlign w:val="bottom"/>
          </w:tcPr>
          <w:p w14:paraId="5556B55C" w14:textId="77777777" w:rsidR="00F925DD" w:rsidRDefault="00F925DD">
            <w:pPr>
              <w:textAlignment w:val="bottom"/>
              <w:rPr>
                <w:rFonts w:ascii="Times New Roman" w:hAnsi="Times New Roman"/>
                <w:sz w:val="20"/>
                <w:szCs w:val="20"/>
              </w:rPr>
            </w:pPr>
          </w:p>
        </w:tc>
      </w:tr>
      <w:tr w:rsidR="00F925DD" w14:paraId="5556B56D" w14:textId="77777777">
        <w:tc>
          <w:tcPr>
            <w:tcW w:w="0" w:type="auto"/>
            <w:shd w:val="clear" w:color="auto" w:fill="auto"/>
            <w:tcMar>
              <w:top w:w="40" w:type="dxa"/>
              <w:left w:w="720" w:type="dxa"/>
              <w:bottom w:w="40" w:type="dxa"/>
              <w:right w:w="40" w:type="dxa"/>
            </w:tcMar>
            <w:vAlign w:val="bottom"/>
          </w:tcPr>
          <w:p w14:paraId="5556B55E"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2"/>
            <w:shd w:val="clear" w:color="auto" w:fill="auto"/>
            <w:tcMar>
              <w:top w:w="40" w:type="dxa"/>
              <w:left w:w="40" w:type="dxa"/>
              <w:bottom w:w="40" w:type="dxa"/>
            </w:tcMar>
            <w:vAlign w:val="bottom"/>
          </w:tcPr>
          <w:p w14:paraId="5556B55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5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6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shd w:val="clear" w:color="auto" w:fill="auto"/>
            <w:vAlign w:val="bottom"/>
          </w:tcPr>
          <w:p w14:paraId="5556B5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6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5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6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auto"/>
            <w:tcMar>
              <w:top w:w="40" w:type="dxa"/>
              <w:bottom w:w="40" w:type="dxa"/>
              <w:right w:w="40" w:type="dxa"/>
            </w:tcMar>
            <w:vAlign w:val="bottom"/>
          </w:tcPr>
          <w:p w14:paraId="5556B56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5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6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auto"/>
            <w:vAlign w:val="bottom"/>
          </w:tcPr>
          <w:p w14:paraId="5556B56C" w14:textId="77777777" w:rsidR="00F925DD" w:rsidRDefault="00F925DD">
            <w:pPr>
              <w:textAlignment w:val="bottom"/>
              <w:rPr>
                <w:rFonts w:ascii="Times New Roman" w:hAnsi="Times New Roman"/>
                <w:sz w:val="20"/>
                <w:szCs w:val="20"/>
              </w:rPr>
            </w:pPr>
          </w:p>
        </w:tc>
      </w:tr>
      <w:tr w:rsidR="00F925DD" w14:paraId="5556B57D" w14:textId="77777777">
        <w:tc>
          <w:tcPr>
            <w:tcW w:w="0" w:type="auto"/>
            <w:shd w:val="clear" w:color="auto" w:fill="CCEEFF"/>
            <w:tcMar>
              <w:top w:w="40" w:type="dxa"/>
              <w:left w:w="1040" w:type="dxa"/>
              <w:bottom w:w="40" w:type="dxa"/>
              <w:right w:w="40" w:type="dxa"/>
            </w:tcMar>
            <w:vAlign w:val="bottom"/>
          </w:tcPr>
          <w:p w14:paraId="5556B56E"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derivative instruments</w:t>
            </w:r>
          </w:p>
        </w:tc>
        <w:tc>
          <w:tcPr>
            <w:tcW w:w="0" w:type="auto"/>
            <w:gridSpan w:val="2"/>
            <w:tcBorders>
              <w:top w:val="single" w:sz="8" w:space="0" w:color="000000"/>
            </w:tcBorders>
            <w:shd w:val="clear" w:color="auto" w:fill="CCEEFF"/>
            <w:tcMar>
              <w:top w:w="40" w:type="dxa"/>
              <w:left w:w="40" w:type="dxa"/>
              <w:bottom w:w="40" w:type="dxa"/>
            </w:tcMar>
            <w:vAlign w:val="bottom"/>
          </w:tcPr>
          <w:p w14:paraId="5556B56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vAlign w:val="bottom"/>
          </w:tcPr>
          <w:p w14:paraId="5556B57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57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15,144</w:t>
            </w:r>
          </w:p>
        </w:tc>
        <w:tc>
          <w:tcPr>
            <w:tcW w:w="0" w:type="auto"/>
            <w:tcBorders>
              <w:top w:val="single" w:sz="8" w:space="0" w:color="000000"/>
            </w:tcBorders>
            <w:shd w:val="clear" w:color="auto" w:fill="CCEEFF"/>
            <w:vAlign w:val="bottom"/>
          </w:tcPr>
          <w:p w14:paraId="5556B5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57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tcBorders>
              <w:top w:val="single" w:sz="8" w:space="0" w:color="000000"/>
            </w:tcBorders>
            <w:shd w:val="clear" w:color="auto" w:fill="CCEEFF"/>
            <w:vAlign w:val="bottom"/>
          </w:tcPr>
          <w:p w14:paraId="5556B57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57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(10,395</w:t>
            </w:r>
          </w:p>
        </w:tc>
        <w:tc>
          <w:tcPr>
            <w:tcW w:w="0" w:type="auto"/>
            <w:tcBorders>
              <w:top w:val="single" w:sz="8" w:space="0" w:color="000000"/>
            </w:tcBorders>
            <w:shd w:val="clear" w:color="auto" w:fill="CCEEFF"/>
            <w:tcMar>
              <w:top w:w="40" w:type="dxa"/>
              <w:bottom w:w="40" w:type="dxa"/>
              <w:right w:w="40" w:type="dxa"/>
            </w:tcMar>
            <w:vAlign w:val="bottom"/>
          </w:tcPr>
          <w:p w14:paraId="5556B57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5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57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4,753</w:t>
            </w:r>
          </w:p>
        </w:tc>
        <w:tc>
          <w:tcPr>
            <w:tcW w:w="0" w:type="auto"/>
            <w:tcBorders>
              <w:top w:val="single" w:sz="8" w:space="0" w:color="000000"/>
            </w:tcBorders>
            <w:shd w:val="clear" w:color="auto" w:fill="CCEEFF"/>
            <w:vAlign w:val="bottom"/>
          </w:tcPr>
          <w:p w14:paraId="5556B57C" w14:textId="77777777" w:rsidR="00F925DD" w:rsidRDefault="00F925DD">
            <w:pPr>
              <w:textAlignment w:val="bottom"/>
              <w:rPr>
                <w:rFonts w:ascii="Times New Roman" w:hAnsi="Times New Roman"/>
                <w:sz w:val="20"/>
                <w:szCs w:val="20"/>
              </w:rPr>
            </w:pPr>
          </w:p>
        </w:tc>
      </w:tr>
      <w:tr w:rsidR="00F925DD" w14:paraId="5556B58D" w14:textId="77777777">
        <w:tc>
          <w:tcPr>
            <w:tcW w:w="0" w:type="auto"/>
            <w:shd w:val="clear" w:color="auto" w:fill="auto"/>
            <w:tcMar>
              <w:top w:w="40" w:type="dxa"/>
              <w:left w:w="400" w:type="dxa"/>
              <w:bottom w:w="40" w:type="dxa"/>
              <w:right w:w="40" w:type="dxa"/>
            </w:tcMar>
            <w:vAlign w:val="bottom"/>
          </w:tcPr>
          <w:p w14:paraId="5556B57E"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5556B57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B5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8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504</w:t>
            </w:r>
          </w:p>
        </w:tc>
        <w:tc>
          <w:tcPr>
            <w:tcW w:w="0" w:type="auto"/>
            <w:shd w:val="clear" w:color="auto" w:fill="auto"/>
            <w:vAlign w:val="bottom"/>
          </w:tcPr>
          <w:p w14:paraId="5556B58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8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5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8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5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8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504</w:t>
            </w:r>
          </w:p>
        </w:tc>
        <w:tc>
          <w:tcPr>
            <w:tcW w:w="0" w:type="auto"/>
            <w:shd w:val="clear" w:color="auto" w:fill="auto"/>
            <w:vAlign w:val="bottom"/>
          </w:tcPr>
          <w:p w14:paraId="5556B58C" w14:textId="77777777" w:rsidR="00F925DD" w:rsidRDefault="00F925DD">
            <w:pPr>
              <w:textAlignment w:val="bottom"/>
              <w:rPr>
                <w:rFonts w:ascii="Times New Roman" w:hAnsi="Times New Roman"/>
                <w:sz w:val="20"/>
                <w:szCs w:val="20"/>
              </w:rPr>
            </w:pPr>
          </w:p>
        </w:tc>
      </w:tr>
      <w:tr w:rsidR="00F925DD" w14:paraId="5556B5A2" w14:textId="77777777">
        <w:tc>
          <w:tcPr>
            <w:tcW w:w="0" w:type="auto"/>
            <w:shd w:val="clear" w:color="auto" w:fill="CCEEFF"/>
            <w:tcMar>
              <w:top w:w="40" w:type="dxa"/>
              <w:left w:w="40" w:type="dxa"/>
              <w:bottom w:w="40" w:type="dxa"/>
              <w:right w:w="40" w:type="dxa"/>
            </w:tcMar>
            <w:vAlign w:val="bottom"/>
          </w:tcPr>
          <w:p w14:paraId="5556B58E"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assets carried at fair value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58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59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3,688</w:t>
            </w:r>
          </w:p>
        </w:tc>
        <w:tc>
          <w:tcPr>
            <w:tcW w:w="0" w:type="auto"/>
            <w:tcBorders>
              <w:top w:val="single" w:sz="8" w:space="0" w:color="000000"/>
              <w:bottom w:val="double" w:sz="6" w:space="0" w:color="000000"/>
            </w:tcBorders>
            <w:shd w:val="clear" w:color="auto" w:fill="CCEEFF"/>
            <w:vAlign w:val="bottom"/>
          </w:tcPr>
          <w:p w14:paraId="5556B59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59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59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63,937</w:t>
            </w:r>
          </w:p>
        </w:tc>
        <w:tc>
          <w:tcPr>
            <w:tcW w:w="0" w:type="auto"/>
            <w:tcBorders>
              <w:top w:val="single" w:sz="8" w:space="0" w:color="000000"/>
              <w:bottom w:val="double" w:sz="6" w:space="0" w:color="000000"/>
            </w:tcBorders>
            <w:shd w:val="clear" w:color="auto" w:fill="CCEEFF"/>
            <w:vAlign w:val="bottom"/>
          </w:tcPr>
          <w:p w14:paraId="5556B59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59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59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2,756</w:t>
            </w:r>
          </w:p>
        </w:tc>
        <w:tc>
          <w:tcPr>
            <w:tcW w:w="0" w:type="auto"/>
            <w:tcBorders>
              <w:top w:val="single" w:sz="8" w:space="0" w:color="000000"/>
              <w:bottom w:val="double" w:sz="6" w:space="0" w:color="000000"/>
            </w:tcBorders>
            <w:shd w:val="clear" w:color="auto" w:fill="CCEEFF"/>
            <w:vAlign w:val="bottom"/>
          </w:tcPr>
          <w:p w14:paraId="5556B5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59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59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(10,395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B59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5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59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5A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59,986</w:t>
            </w:r>
          </w:p>
        </w:tc>
        <w:tc>
          <w:tcPr>
            <w:tcW w:w="0" w:type="auto"/>
            <w:tcBorders>
              <w:top w:val="single" w:sz="8" w:space="0" w:color="000000"/>
              <w:bottom w:val="double" w:sz="6" w:space="0" w:color="000000"/>
            </w:tcBorders>
            <w:shd w:val="clear" w:color="auto" w:fill="CCEEFF"/>
            <w:vAlign w:val="bottom"/>
          </w:tcPr>
          <w:p w14:paraId="5556B5A1" w14:textId="77777777" w:rsidR="00F925DD" w:rsidRDefault="00F925DD">
            <w:pPr>
              <w:textAlignment w:val="bottom"/>
              <w:rPr>
                <w:rFonts w:ascii="Times New Roman" w:hAnsi="Times New Roman"/>
                <w:sz w:val="20"/>
                <w:szCs w:val="20"/>
              </w:rPr>
            </w:pPr>
          </w:p>
        </w:tc>
      </w:tr>
      <w:tr w:rsidR="00F925DD" w14:paraId="5556B5AD" w14:textId="77777777">
        <w:tc>
          <w:tcPr>
            <w:tcW w:w="0" w:type="auto"/>
            <w:shd w:val="clear" w:color="auto" w:fill="auto"/>
            <w:tcMar>
              <w:top w:w="40" w:type="dxa"/>
              <w:left w:w="40" w:type="dxa"/>
              <w:bottom w:w="40" w:type="dxa"/>
              <w:right w:w="40" w:type="dxa"/>
            </w:tcMar>
            <w:vAlign w:val="bottom"/>
          </w:tcPr>
          <w:p w14:paraId="5556B5A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Liabilities:</w:t>
            </w:r>
          </w:p>
        </w:tc>
        <w:tc>
          <w:tcPr>
            <w:tcW w:w="0" w:type="auto"/>
            <w:gridSpan w:val="3"/>
            <w:shd w:val="clear" w:color="auto" w:fill="auto"/>
            <w:tcMar>
              <w:top w:w="40" w:type="dxa"/>
              <w:left w:w="40" w:type="dxa"/>
              <w:bottom w:w="40" w:type="dxa"/>
              <w:right w:w="40" w:type="dxa"/>
            </w:tcMar>
            <w:vAlign w:val="bottom"/>
          </w:tcPr>
          <w:p w14:paraId="5556B5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5B8" w14:textId="77777777">
        <w:tc>
          <w:tcPr>
            <w:tcW w:w="0" w:type="auto"/>
            <w:shd w:val="clear" w:color="auto" w:fill="CCEEFF"/>
            <w:tcMar>
              <w:top w:w="40" w:type="dxa"/>
              <w:left w:w="40" w:type="dxa"/>
              <w:bottom w:w="40" w:type="dxa"/>
              <w:right w:w="40" w:type="dxa"/>
            </w:tcMar>
            <w:vAlign w:val="bottom"/>
          </w:tcPr>
          <w:p w14:paraId="5556B5AE" w14:textId="77777777" w:rsidR="00F925DD" w:rsidRDefault="00E705D7">
            <w:pPr>
              <w:textAlignment w:val="bottom"/>
              <w:rPr>
                <w:rFonts w:ascii="Times New Roman" w:hAnsi="Times New Roman"/>
                <w:sz w:val="15"/>
                <w:szCs w:val="15"/>
              </w:rPr>
            </w:pPr>
            <w:r>
              <w:rPr>
                <w:rFonts w:ascii="Arial" w:eastAsia="宋体" w:hAnsi="Arial" w:cs="Arial"/>
                <w:sz w:val="15"/>
                <w:szCs w:val="15"/>
              </w:rPr>
              <w:t>Accrued expenses and other liabilities:</w:t>
            </w:r>
          </w:p>
        </w:tc>
        <w:tc>
          <w:tcPr>
            <w:tcW w:w="0" w:type="auto"/>
            <w:gridSpan w:val="3"/>
            <w:shd w:val="clear" w:color="auto" w:fill="CCEEFF"/>
            <w:tcMar>
              <w:top w:w="40" w:type="dxa"/>
              <w:left w:w="40" w:type="dxa"/>
              <w:bottom w:w="40" w:type="dxa"/>
              <w:right w:w="40" w:type="dxa"/>
            </w:tcMar>
            <w:vAlign w:val="bottom"/>
          </w:tcPr>
          <w:p w14:paraId="5556B5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5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5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5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5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5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5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5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5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5C3" w14:textId="77777777">
        <w:tc>
          <w:tcPr>
            <w:tcW w:w="0" w:type="auto"/>
            <w:shd w:val="clear" w:color="auto" w:fill="auto"/>
            <w:tcMar>
              <w:top w:w="40" w:type="dxa"/>
              <w:left w:w="400" w:type="dxa"/>
              <w:bottom w:w="40" w:type="dxa"/>
              <w:right w:w="40" w:type="dxa"/>
            </w:tcMar>
            <w:vAlign w:val="bottom"/>
          </w:tcPr>
          <w:p w14:paraId="5556B5B9" w14:textId="77777777" w:rsidR="00F925DD" w:rsidRDefault="00E705D7">
            <w:pPr>
              <w:textAlignment w:val="bottom"/>
              <w:rPr>
                <w:rFonts w:ascii="Times New Roman" w:hAnsi="Times New Roman"/>
                <w:sz w:val="15"/>
                <w:szCs w:val="15"/>
              </w:rPr>
            </w:pPr>
            <w:r>
              <w:rPr>
                <w:rFonts w:ascii="Arial" w:eastAsia="宋体" w:hAnsi="Arial" w:cs="Arial"/>
                <w:sz w:val="15"/>
                <w:szCs w:val="15"/>
              </w:rPr>
              <w:t>Trading account liabilities:</w:t>
            </w:r>
          </w:p>
        </w:tc>
        <w:tc>
          <w:tcPr>
            <w:tcW w:w="0" w:type="auto"/>
            <w:gridSpan w:val="3"/>
            <w:shd w:val="clear" w:color="auto" w:fill="auto"/>
            <w:tcMar>
              <w:top w:w="40" w:type="dxa"/>
              <w:left w:w="40" w:type="dxa"/>
              <w:bottom w:w="40" w:type="dxa"/>
              <w:right w:w="40" w:type="dxa"/>
            </w:tcMar>
            <w:vAlign w:val="bottom"/>
          </w:tcPr>
          <w:p w14:paraId="5556B5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5D8" w14:textId="77777777">
        <w:tc>
          <w:tcPr>
            <w:tcW w:w="0" w:type="auto"/>
            <w:shd w:val="clear" w:color="auto" w:fill="CCEEFF"/>
            <w:tcMar>
              <w:top w:w="40" w:type="dxa"/>
              <w:left w:w="720" w:type="dxa"/>
              <w:bottom w:w="40" w:type="dxa"/>
              <w:right w:w="40" w:type="dxa"/>
            </w:tcMar>
            <w:vAlign w:val="bottom"/>
          </w:tcPr>
          <w:p w14:paraId="5556B5C4"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shd w:val="clear" w:color="auto" w:fill="CCEEFF"/>
            <w:tcMar>
              <w:top w:w="40" w:type="dxa"/>
              <w:left w:w="40" w:type="dxa"/>
              <w:bottom w:w="40" w:type="dxa"/>
            </w:tcMar>
            <w:vAlign w:val="bottom"/>
          </w:tcPr>
          <w:p w14:paraId="5556B5C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5C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shd w:val="clear" w:color="auto" w:fill="CCEEFF"/>
            <w:vAlign w:val="bottom"/>
          </w:tcPr>
          <w:p w14:paraId="5556B5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5C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5C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5C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5C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5C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5C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5D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5D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B5D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5D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5D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w:t>
            </w:r>
          </w:p>
        </w:tc>
        <w:tc>
          <w:tcPr>
            <w:tcW w:w="0" w:type="auto"/>
            <w:shd w:val="clear" w:color="auto" w:fill="CCEEFF"/>
            <w:vAlign w:val="bottom"/>
          </w:tcPr>
          <w:p w14:paraId="5556B5D7" w14:textId="77777777" w:rsidR="00F925DD" w:rsidRDefault="00F925DD">
            <w:pPr>
              <w:textAlignment w:val="bottom"/>
              <w:rPr>
                <w:rFonts w:ascii="Times New Roman" w:hAnsi="Times New Roman"/>
                <w:sz w:val="20"/>
                <w:szCs w:val="20"/>
              </w:rPr>
            </w:pPr>
          </w:p>
        </w:tc>
      </w:tr>
      <w:tr w:rsidR="00F925DD" w14:paraId="5556B5E3" w14:textId="77777777">
        <w:tc>
          <w:tcPr>
            <w:tcW w:w="0" w:type="auto"/>
            <w:shd w:val="clear" w:color="auto" w:fill="auto"/>
            <w:tcMar>
              <w:top w:w="40" w:type="dxa"/>
              <w:left w:w="400" w:type="dxa"/>
              <w:bottom w:w="40" w:type="dxa"/>
              <w:right w:w="40" w:type="dxa"/>
            </w:tcMar>
            <w:vAlign w:val="bottom"/>
          </w:tcPr>
          <w:p w14:paraId="5556B5D9" w14:textId="77777777" w:rsidR="00F925DD" w:rsidRDefault="00E705D7">
            <w:pPr>
              <w:textAlignment w:val="bottom"/>
              <w:rPr>
                <w:rFonts w:ascii="Times New Roman" w:hAnsi="Times New Roman"/>
                <w:sz w:val="15"/>
                <w:szCs w:val="15"/>
              </w:rPr>
            </w:pPr>
            <w:r>
              <w:rPr>
                <w:rFonts w:ascii="Arial" w:eastAsia="宋体" w:hAnsi="Arial" w:cs="Arial"/>
                <w:sz w:val="15"/>
                <w:szCs w:val="15"/>
              </w:rPr>
              <w:t>Derivative instruments:</w:t>
            </w:r>
          </w:p>
        </w:tc>
        <w:tc>
          <w:tcPr>
            <w:tcW w:w="0" w:type="auto"/>
            <w:gridSpan w:val="3"/>
            <w:shd w:val="clear" w:color="auto" w:fill="auto"/>
            <w:tcMar>
              <w:top w:w="40" w:type="dxa"/>
              <w:left w:w="40" w:type="dxa"/>
              <w:bottom w:w="40" w:type="dxa"/>
              <w:right w:w="40" w:type="dxa"/>
            </w:tcMar>
            <w:vAlign w:val="bottom"/>
          </w:tcPr>
          <w:p w14:paraId="5556B5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5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5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5F7" w14:textId="77777777">
        <w:tc>
          <w:tcPr>
            <w:tcW w:w="0" w:type="auto"/>
            <w:shd w:val="clear" w:color="auto" w:fill="CCEEFF"/>
            <w:tcMar>
              <w:top w:w="40" w:type="dxa"/>
              <w:left w:w="720" w:type="dxa"/>
              <w:bottom w:w="40" w:type="dxa"/>
              <w:right w:w="40" w:type="dxa"/>
            </w:tcMar>
            <w:vAlign w:val="bottom"/>
          </w:tcPr>
          <w:p w14:paraId="5556B5E4"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shd w:val="clear" w:color="auto" w:fill="CCEEFF"/>
            <w:tcMar>
              <w:top w:w="40" w:type="dxa"/>
              <w:left w:w="40" w:type="dxa"/>
              <w:bottom w:w="40" w:type="dxa"/>
            </w:tcMar>
            <w:vAlign w:val="bottom"/>
          </w:tcPr>
          <w:p w14:paraId="5556B5E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5E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5556B5E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5E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5E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15,144</w:t>
            </w:r>
          </w:p>
        </w:tc>
        <w:tc>
          <w:tcPr>
            <w:tcW w:w="0" w:type="auto"/>
            <w:shd w:val="clear" w:color="auto" w:fill="CCEEFF"/>
            <w:vAlign w:val="bottom"/>
          </w:tcPr>
          <w:p w14:paraId="5556B5E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5E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5E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5556B5E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5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5F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B5F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(8,918</w:t>
            </w:r>
          </w:p>
        </w:tc>
        <w:tc>
          <w:tcPr>
            <w:tcW w:w="0" w:type="auto"/>
            <w:shd w:val="clear" w:color="auto" w:fill="CCEEFF"/>
            <w:tcMar>
              <w:top w:w="40" w:type="dxa"/>
              <w:bottom w:w="40" w:type="dxa"/>
              <w:right w:w="40" w:type="dxa"/>
            </w:tcMar>
            <w:vAlign w:val="bottom"/>
          </w:tcPr>
          <w:p w14:paraId="5556B5F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5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5F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6,232</w:t>
            </w:r>
          </w:p>
        </w:tc>
        <w:tc>
          <w:tcPr>
            <w:tcW w:w="0" w:type="auto"/>
            <w:shd w:val="clear" w:color="auto" w:fill="CCEEFF"/>
            <w:vAlign w:val="bottom"/>
          </w:tcPr>
          <w:p w14:paraId="5556B5F6" w14:textId="77777777" w:rsidR="00F925DD" w:rsidRDefault="00F925DD">
            <w:pPr>
              <w:textAlignment w:val="bottom"/>
              <w:rPr>
                <w:rFonts w:ascii="Times New Roman" w:hAnsi="Times New Roman"/>
                <w:sz w:val="20"/>
                <w:szCs w:val="20"/>
              </w:rPr>
            </w:pPr>
          </w:p>
        </w:tc>
      </w:tr>
      <w:tr w:rsidR="00F925DD" w14:paraId="5556B607" w14:textId="77777777">
        <w:tc>
          <w:tcPr>
            <w:tcW w:w="0" w:type="auto"/>
            <w:shd w:val="clear" w:color="auto" w:fill="auto"/>
            <w:tcMar>
              <w:top w:w="40" w:type="dxa"/>
              <w:left w:w="720" w:type="dxa"/>
              <w:bottom w:w="40" w:type="dxa"/>
              <w:right w:w="40" w:type="dxa"/>
            </w:tcMar>
            <w:vAlign w:val="bottom"/>
          </w:tcPr>
          <w:p w14:paraId="5556B5F8"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2"/>
            <w:shd w:val="clear" w:color="auto" w:fill="auto"/>
            <w:tcMar>
              <w:top w:w="40" w:type="dxa"/>
              <w:left w:w="40" w:type="dxa"/>
              <w:bottom w:w="40" w:type="dxa"/>
            </w:tcMar>
            <w:vAlign w:val="bottom"/>
          </w:tcPr>
          <w:p w14:paraId="5556B5F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auto"/>
            <w:vAlign w:val="bottom"/>
          </w:tcPr>
          <w:p w14:paraId="5556B5F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F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w:t>
            </w:r>
          </w:p>
        </w:tc>
        <w:tc>
          <w:tcPr>
            <w:tcW w:w="0" w:type="auto"/>
            <w:shd w:val="clear" w:color="auto" w:fill="auto"/>
            <w:vAlign w:val="bottom"/>
          </w:tcPr>
          <w:p w14:paraId="5556B5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5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5F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B6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6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60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auto"/>
            <w:tcMar>
              <w:top w:w="40" w:type="dxa"/>
              <w:bottom w:w="40" w:type="dxa"/>
              <w:right w:w="40" w:type="dxa"/>
            </w:tcMar>
            <w:vAlign w:val="bottom"/>
          </w:tcPr>
          <w:p w14:paraId="5556B60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6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60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45</w:t>
            </w:r>
          </w:p>
        </w:tc>
        <w:tc>
          <w:tcPr>
            <w:tcW w:w="0" w:type="auto"/>
            <w:shd w:val="clear" w:color="auto" w:fill="auto"/>
            <w:vAlign w:val="bottom"/>
          </w:tcPr>
          <w:p w14:paraId="5556B606" w14:textId="77777777" w:rsidR="00F925DD" w:rsidRDefault="00F925DD">
            <w:pPr>
              <w:textAlignment w:val="bottom"/>
              <w:rPr>
                <w:rFonts w:ascii="Times New Roman" w:hAnsi="Times New Roman"/>
                <w:sz w:val="20"/>
                <w:szCs w:val="20"/>
              </w:rPr>
            </w:pPr>
          </w:p>
        </w:tc>
      </w:tr>
      <w:tr w:rsidR="00F925DD" w14:paraId="5556B617" w14:textId="77777777">
        <w:tc>
          <w:tcPr>
            <w:tcW w:w="0" w:type="auto"/>
            <w:shd w:val="clear" w:color="auto" w:fill="CCEEFF"/>
            <w:tcMar>
              <w:top w:w="40" w:type="dxa"/>
              <w:left w:w="720" w:type="dxa"/>
              <w:bottom w:w="40" w:type="dxa"/>
              <w:right w:w="40" w:type="dxa"/>
            </w:tcMar>
            <w:vAlign w:val="bottom"/>
          </w:tcPr>
          <w:p w14:paraId="5556B608"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derivative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60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B60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60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w:t>
            </w:r>
          </w:p>
        </w:tc>
        <w:tc>
          <w:tcPr>
            <w:tcW w:w="0" w:type="auto"/>
            <w:tcBorders>
              <w:bottom w:val="single" w:sz="8" w:space="0" w:color="000000"/>
            </w:tcBorders>
            <w:shd w:val="clear" w:color="auto" w:fill="CCEEFF"/>
            <w:vAlign w:val="bottom"/>
          </w:tcPr>
          <w:p w14:paraId="5556B60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60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B6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61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B61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61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w:t>
            </w:r>
          </w:p>
        </w:tc>
        <w:tc>
          <w:tcPr>
            <w:tcW w:w="0" w:type="auto"/>
            <w:tcBorders>
              <w:bottom w:val="single" w:sz="8" w:space="0" w:color="000000"/>
            </w:tcBorders>
            <w:shd w:val="clear" w:color="auto" w:fill="CCEEFF"/>
            <w:vAlign w:val="bottom"/>
          </w:tcPr>
          <w:p w14:paraId="5556B616" w14:textId="77777777" w:rsidR="00F925DD" w:rsidRDefault="00F925DD">
            <w:pPr>
              <w:textAlignment w:val="bottom"/>
              <w:rPr>
                <w:rFonts w:ascii="Times New Roman" w:hAnsi="Times New Roman"/>
                <w:sz w:val="20"/>
                <w:szCs w:val="20"/>
              </w:rPr>
            </w:pPr>
          </w:p>
        </w:tc>
      </w:tr>
      <w:tr w:rsidR="00F925DD" w14:paraId="5556B627" w14:textId="77777777">
        <w:tc>
          <w:tcPr>
            <w:tcW w:w="0" w:type="auto"/>
            <w:shd w:val="clear" w:color="auto" w:fill="auto"/>
            <w:tcMar>
              <w:top w:w="40" w:type="dxa"/>
              <w:left w:w="1040" w:type="dxa"/>
              <w:bottom w:w="40" w:type="dxa"/>
              <w:right w:w="40" w:type="dxa"/>
            </w:tcMar>
            <w:vAlign w:val="bottom"/>
          </w:tcPr>
          <w:p w14:paraId="5556B618"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derivative instruments</w:t>
            </w:r>
          </w:p>
        </w:tc>
        <w:tc>
          <w:tcPr>
            <w:tcW w:w="0" w:type="auto"/>
            <w:gridSpan w:val="2"/>
            <w:tcBorders>
              <w:top w:val="single" w:sz="8" w:space="0" w:color="000000"/>
            </w:tcBorders>
            <w:shd w:val="clear" w:color="auto" w:fill="auto"/>
            <w:tcMar>
              <w:top w:w="40" w:type="dxa"/>
              <w:left w:w="40" w:type="dxa"/>
              <w:bottom w:w="40" w:type="dxa"/>
            </w:tcMar>
            <w:vAlign w:val="bottom"/>
          </w:tcPr>
          <w:p w14:paraId="5556B61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w:t>
            </w:r>
          </w:p>
        </w:tc>
        <w:tc>
          <w:tcPr>
            <w:tcW w:w="0" w:type="auto"/>
            <w:tcBorders>
              <w:top w:val="single" w:sz="8" w:space="0" w:color="000000"/>
            </w:tcBorders>
            <w:shd w:val="clear" w:color="auto" w:fill="auto"/>
            <w:vAlign w:val="bottom"/>
          </w:tcPr>
          <w:p w14:paraId="5556B61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6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61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15,369</w:t>
            </w:r>
          </w:p>
        </w:tc>
        <w:tc>
          <w:tcPr>
            <w:tcW w:w="0" w:type="auto"/>
            <w:shd w:val="clear" w:color="auto" w:fill="auto"/>
            <w:vAlign w:val="bottom"/>
          </w:tcPr>
          <w:p w14:paraId="5556B61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6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61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auto"/>
            <w:vAlign w:val="bottom"/>
          </w:tcPr>
          <w:p w14:paraId="5556B62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6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62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(8,922</w:t>
            </w:r>
          </w:p>
        </w:tc>
        <w:tc>
          <w:tcPr>
            <w:tcW w:w="0" w:type="auto"/>
            <w:shd w:val="clear" w:color="auto" w:fill="auto"/>
            <w:tcMar>
              <w:top w:w="40" w:type="dxa"/>
              <w:bottom w:w="40" w:type="dxa"/>
              <w:right w:w="40" w:type="dxa"/>
            </w:tcMar>
            <w:vAlign w:val="bottom"/>
          </w:tcPr>
          <w:p w14:paraId="5556B62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B6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62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6,459</w:t>
            </w:r>
          </w:p>
        </w:tc>
        <w:tc>
          <w:tcPr>
            <w:tcW w:w="0" w:type="auto"/>
            <w:shd w:val="clear" w:color="auto" w:fill="auto"/>
            <w:vAlign w:val="bottom"/>
          </w:tcPr>
          <w:p w14:paraId="5556B626" w14:textId="77777777" w:rsidR="00F925DD" w:rsidRDefault="00F925DD">
            <w:pPr>
              <w:textAlignment w:val="bottom"/>
              <w:rPr>
                <w:rFonts w:ascii="Times New Roman" w:hAnsi="Times New Roman"/>
                <w:sz w:val="20"/>
                <w:szCs w:val="20"/>
              </w:rPr>
            </w:pPr>
          </w:p>
        </w:tc>
      </w:tr>
      <w:tr w:rsidR="00F925DD" w14:paraId="5556B63C" w14:textId="77777777">
        <w:tc>
          <w:tcPr>
            <w:tcW w:w="0" w:type="auto"/>
            <w:shd w:val="clear" w:color="auto" w:fill="CCEEFF"/>
            <w:tcMar>
              <w:top w:w="40" w:type="dxa"/>
              <w:left w:w="40" w:type="dxa"/>
              <w:bottom w:w="40" w:type="dxa"/>
              <w:right w:w="40" w:type="dxa"/>
            </w:tcMar>
            <w:vAlign w:val="bottom"/>
          </w:tcPr>
          <w:p w14:paraId="5556B628"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62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62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w:t>
            </w:r>
          </w:p>
        </w:tc>
        <w:tc>
          <w:tcPr>
            <w:tcW w:w="0" w:type="auto"/>
            <w:tcBorders>
              <w:top w:val="single" w:sz="8" w:space="0" w:color="000000"/>
              <w:bottom w:val="double" w:sz="6" w:space="0" w:color="000000"/>
            </w:tcBorders>
            <w:shd w:val="clear" w:color="auto" w:fill="CCEEFF"/>
            <w:vAlign w:val="bottom"/>
          </w:tcPr>
          <w:p w14:paraId="5556B6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62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62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15,369</w:t>
            </w:r>
          </w:p>
        </w:tc>
        <w:tc>
          <w:tcPr>
            <w:tcW w:w="0" w:type="auto"/>
            <w:tcBorders>
              <w:top w:val="single" w:sz="8" w:space="0" w:color="000000"/>
              <w:bottom w:val="double" w:sz="6" w:space="0" w:color="000000"/>
            </w:tcBorders>
            <w:shd w:val="clear" w:color="auto" w:fill="CCEEFF"/>
            <w:vAlign w:val="bottom"/>
          </w:tcPr>
          <w:p w14:paraId="5556B62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63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63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tcBorders>
              <w:top w:val="single" w:sz="8" w:space="0" w:color="000000"/>
              <w:bottom w:val="double" w:sz="6" w:space="0" w:color="000000"/>
            </w:tcBorders>
            <w:shd w:val="clear" w:color="auto" w:fill="CCEEFF"/>
            <w:vAlign w:val="bottom"/>
          </w:tcPr>
          <w:p w14:paraId="5556B63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63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63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(8,922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B63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B6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63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63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6,464</w:t>
            </w:r>
          </w:p>
        </w:tc>
        <w:tc>
          <w:tcPr>
            <w:tcW w:w="0" w:type="auto"/>
            <w:tcBorders>
              <w:top w:val="single" w:sz="8" w:space="0" w:color="000000"/>
              <w:bottom w:val="double" w:sz="6" w:space="0" w:color="000000"/>
            </w:tcBorders>
            <w:shd w:val="clear" w:color="auto" w:fill="CCEEFF"/>
            <w:vAlign w:val="bottom"/>
          </w:tcPr>
          <w:p w14:paraId="5556B63B" w14:textId="77777777" w:rsidR="00F925DD" w:rsidRDefault="00F925DD">
            <w:pPr>
              <w:textAlignment w:val="bottom"/>
              <w:rPr>
                <w:rFonts w:ascii="Times New Roman" w:hAnsi="Times New Roman"/>
                <w:sz w:val="20"/>
                <w:szCs w:val="20"/>
              </w:rPr>
            </w:pPr>
          </w:p>
        </w:tc>
      </w:tr>
    </w:tbl>
    <w:p w14:paraId="5556B63D"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09"/>
        <w:gridCol w:w="1163"/>
        <w:gridCol w:w="1578"/>
        <w:gridCol w:w="3156"/>
      </w:tblGrid>
      <w:tr w:rsidR="00F925DD" w14:paraId="5556B63F" w14:textId="77777777">
        <w:tc>
          <w:tcPr>
            <w:tcW w:w="0" w:type="auto"/>
            <w:gridSpan w:val="4"/>
            <w:shd w:val="clear" w:color="auto" w:fill="auto"/>
            <w:vAlign w:val="center"/>
          </w:tcPr>
          <w:p w14:paraId="5556B63E" w14:textId="77777777" w:rsidR="00F925DD" w:rsidRDefault="00F925DD">
            <w:pPr>
              <w:rPr>
                <w:rFonts w:ascii="Times New Roman" w:hAnsi="Times New Roman"/>
                <w:sz w:val="20"/>
                <w:szCs w:val="20"/>
              </w:rPr>
            </w:pPr>
          </w:p>
        </w:tc>
      </w:tr>
      <w:tr w:rsidR="00F925DD" w14:paraId="5556B644" w14:textId="77777777">
        <w:tc>
          <w:tcPr>
            <w:tcW w:w="1450" w:type="pct"/>
            <w:shd w:val="clear" w:color="auto" w:fill="auto"/>
            <w:vAlign w:val="center"/>
          </w:tcPr>
          <w:p w14:paraId="5556B640" w14:textId="77777777" w:rsidR="00F925DD" w:rsidRDefault="00F925DD">
            <w:pPr>
              <w:rPr>
                <w:rFonts w:ascii="Times New Roman" w:hAnsi="Times New Roman"/>
                <w:sz w:val="20"/>
                <w:szCs w:val="20"/>
              </w:rPr>
            </w:pPr>
          </w:p>
        </w:tc>
        <w:tc>
          <w:tcPr>
            <w:tcW w:w="700" w:type="pct"/>
            <w:shd w:val="clear" w:color="auto" w:fill="auto"/>
            <w:vAlign w:val="center"/>
          </w:tcPr>
          <w:p w14:paraId="5556B641" w14:textId="77777777" w:rsidR="00F925DD" w:rsidRDefault="00F925DD">
            <w:pPr>
              <w:rPr>
                <w:rFonts w:ascii="Times New Roman" w:hAnsi="Times New Roman"/>
                <w:sz w:val="20"/>
                <w:szCs w:val="20"/>
              </w:rPr>
            </w:pPr>
          </w:p>
        </w:tc>
        <w:tc>
          <w:tcPr>
            <w:tcW w:w="950" w:type="pct"/>
            <w:shd w:val="clear" w:color="auto" w:fill="auto"/>
            <w:vAlign w:val="center"/>
          </w:tcPr>
          <w:p w14:paraId="5556B642" w14:textId="77777777" w:rsidR="00F925DD" w:rsidRDefault="00F925DD">
            <w:pPr>
              <w:rPr>
                <w:rFonts w:ascii="Times New Roman" w:hAnsi="Times New Roman"/>
                <w:sz w:val="20"/>
                <w:szCs w:val="20"/>
              </w:rPr>
            </w:pPr>
          </w:p>
        </w:tc>
        <w:tc>
          <w:tcPr>
            <w:tcW w:w="1900" w:type="pct"/>
            <w:shd w:val="clear" w:color="auto" w:fill="auto"/>
            <w:vAlign w:val="center"/>
          </w:tcPr>
          <w:p w14:paraId="5556B643" w14:textId="77777777" w:rsidR="00F925DD" w:rsidRDefault="00F925DD">
            <w:pPr>
              <w:rPr>
                <w:rFonts w:ascii="Times New Roman" w:hAnsi="Times New Roman"/>
                <w:sz w:val="20"/>
                <w:szCs w:val="20"/>
              </w:rPr>
            </w:pPr>
          </w:p>
        </w:tc>
      </w:tr>
      <w:tr w:rsidR="00F925DD" w14:paraId="5556B64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B6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B64A"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Represents counterparty netting against level 2 financial assets and liabilities where a legally enforceable master netting </w:t>
      </w:r>
      <w:r>
        <w:rPr>
          <w:rFonts w:ascii="Arial" w:eastAsia="宋体" w:hAnsi="Arial" w:cs="Arial"/>
          <w:sz w:val="14"/>
          <w:szCs w:val="14"/>
        </w:rPr>
        <w:t>agreement exists between us and the counterparty. Netting also reflects asset and liability reductions of $2.31 billion and $0.84 billion, respectively, for cash collateral received from and provided to derivative counterparties.</w:t>
      </w:r>
    </w:p>
    <w:p w14:paraId="5556B64B" w14:textId="77777777" w:rsidR="00F925DD" w:rsidRDefault="00E705D7">
      <w:pPr>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As of December 31, 201</w:t>
      </w:r>
      <w:r>
        <w:rPr>
          <w:rFonts w:ascii="Arial" w:eastAsia="宋体" w:hAnsi="Arial" w:cs="Arial"/>
          <w:sz w:val="14"/>
          <w:szCs w:val="14"/>
        </w:rPr>
        <w:t>9, the fair value of other non-U.S. debt securities included $5.50 billion of supranational and non-U.S. agency bonds, $1.78 billion of corporate bonds and $0.68 billion of covered bonds.</w:t>
      </w:r>
    </w:p>
    <w:p w14:paraId="5556B64C" w14:textId="77777777" w:rsidR="00F925DD" w:rsidRDefault="00F925DD">
      <w:pPr>
        <w:rPr>
          <w:rFonts w:ascii="Times New Roman" w:hAnsi="Times New Roman"/>
          <w:sz w:val="20"/>
          <w:szCs w:val="20"/>
        </w:rPr>
      </w:pPr>
    </w:p>
    <w:p w14:paraId="5556B64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130</w:t>
      </w:r>
    </w:p>
    <w:p w14:paraId="5556B64E" w14:textId="77777777" w:rsidR="00F925DD" w:rsidRDefault="00F925DD">
      <w:pPr>
        <w:spacing w:line="288" w:lineRule="auto"/>
        <w:ind w:firstLine="600"/>
        <w:jc w:val="center"/>
        <w:rPr>
          <w:rFonts w:ascii="Times New Roman" w:hAnsi="Times New Roman"/>
          <w:sz w:val="18"/>
          <w:szCs w:val="18"/>
        </w:rPr>
      </w:pPr>
    </w:p>
    <w:p w14:paraId="5556B64F" w14:textId="77777777" w:rsidR="00F925DD" w:rsidRDefault="00E705D7">
      <w:r>
        <w:rPr>
          <w:rFonts w:ascii="Times New Roman" w:hAnsi="Times New Roman"/>
          <w:sz w:val="18"/>
          <w:szCs w:val="18"/>
        </w:rPr>
        <w:pict w14:anchorId="555706BC">
          <v:rect id="_x0000_i1154" style="width:415.3pt;height:1.5pt" o:hralign="center" o:hrstd="t" o:hr="t" fillcolor="#a0a0a0" stroked="f"/>
        </w:pict>
      </w:r>
    </w:p>
    <w:p w14:paraId="5556B65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65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w:t>
      </w:r>
      <w:r>
        <w:rPr>
          <w:rFonts w:ascii="Arial" w:eastAsia="宋体" w:hAnsi="Arial" w:cs="Arial"/>
          <w:b/>
          <w:bCs/>
          <w:sz w:val="20"/>
          <w:szCs w:val="20"/>
        </w:rPr>
        <w:t xml:space="preserve"> CONSOLIDATED FINANCIAL STATEMENTS</w:t>
      </w:r>
    </w:p>
    <w:p w14:paraId="5556B652"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89"/>
        <w:gridCol w:w="125"/>
        <w:gridCol w:w="982"/>
        <w:gridCol w:w="89"/>
        <w:gridCol w:w="128"/>
        <w:gridCol w:w="124"/>
        <w:gridCol w:w="1024"/>
        <w:gridCol w:w="92"/>
        <w:gridCol w:w="128"/>
        <w:gridCol w:w="124"/>
        <w:gridCol w:w="1024"/>
        <w:gridCol w:w="92"/>
        <w:gridCol w:w="128"/>
        <w:gridCol w:w="124"/>
        <w:gridCol w:w="567"/>
        <w:gridCol w:w="95"/>
        <w:gridCol w:w="128"/>
        <w:gridCol w:w="124"/>
        <w:gridCol w:w="935"/>
        <w:gridCol w:w="84"/>
      </w:tblGrid>
      <w:tr w:rsidR="00F925DD" w14:paraId="5556B654" w14:textId="77777777">
        <w:tc>
          <w:tcPr>
            <w:tcW w:w="0" w:type="auto"/>
            <w:gridSpan w:val="20"/>
            <w:shd w:val="clear" w:color="auto" w:fill="auto"/>
            <w:vAlign w:val="center"/>
          </w:tcPr>
          <w:p w14:paraId="5556B653" w14:textId="77777777" w:rsidR="00F925DD" w:rsidRDefault="00F925DD">
            <w:pPr>
              <w:rPr>
                <w:rFonts w:ascii="Times New Roman" w:hAnsi="Times New Roman"/>
                <w:sz w:val="20"/>
                <w:szCs w:val="20"/>
              </w:rPr>
            </w:pPr>
          </w:p>
        </w:tc>
      </w:tr>
      <w:tr w:rsidR="00F925DD" w14:paraId="5556B669" w14:textId="77777777">
        <w:tc>
          <w:tcPr>
            <w:tcW w:w="1800" w:type="pct"/>
            <w:shd w:val="clear" w:color="auto" w:fill="auto"/>
            <w:vAlign w:val="center"/>
          </w:tcPr>
          <w:p w14:paraId="5556B655" w14:textId="77777777" w:rsidR="00F925DD" w:rsidRDefault="00F925DD">
            <w:pPr>
              <w:rPr>
                <w:rFonts w:ascii="Times New Roman" w:hAnsi="Times New Roman"/>
                <w:sz w:val="20"/>
                <w:szCs w:val="20"/>
              </w:rPr>
            </w:pPr>
          </w:p>
        </w:tc>
        <w:tc>
          <w:tcPr>
            <w:tcW w:w="50" w:type="pct"/>
            <w:shd w:val="clear" w:color="auto" w:fill="auto"/>
            <w:vAlign w:val="center"/>
          </w:tcPr>
          <w:p w14:paraId="5556B656" w14:textId="77777777" w:rsidR="00F925DD" w:rsidRDefault="00F925DD">
            <w:pPr>
              <w:rPr>
                <w:rFonts w:ascii="Times New Roman" w:hAnsi="Times New Roman"/>
                <w:sz w:val="20"/>
                <w:szCs w:val="20"/>
              </w:rPr>
            </w:pPr>
          </w:p>
        </w:tc>
        <w:tc>
          <w:tcPr>
            <w:tcW w:w="550" w:type="pct"/>
            <w:shd w:val="clear" w:color="auto" w:fill="auto"/>
            <w:vAlign w:val="center"/>
          </w:tcPr>
          <w:p w14:paraId="5556B657" w14:textId="77777777" w:rsidR="00F925DD" w:rsidRDefault="00F925DD">
            <w:pPr>
              <w:rPr>
                <w:rFonts w:ascii="Times New Roman" w:hAnsi="Times New Roman"/>
                <w:sz w:val="20"/>
                <w:szCs w:val="20"/>
              </w:rPr>
            </w:pPr>
          </w:p>
        </w:tc>
        <w:tc>
          <w:tcPr>
            <w:tcW w:w="50" w:type="pct"/>
            <w:shd w:val="clear" w:color="auto" w:fill="auto"/>
            <w:vAlign w:val="center"/>
          </w:tcPr>
          <w:p w14:paraId="5556B658" w14:textId="77777777" w:rsidR="00F925DD" w:rsidRDefault="00F925DD">
            <w:pPr>
              <w:rPr>
                <w:rFonts w:ascii="Times New Roman" w:hAnsi="Times New Roman"/>
                <w:sz w:val="20"/>
                <w:szCs w:val="20"/>
              </w:rPr>
            </w:pPr>
          </w:p>
        </w:tc>
        <w:tc>
          <w:tcPr>
            <w:tcW w:w="50" w:type="pct"/>
            <w:shd w:val="clear" w:color="auto" w:fill="auto"/>
            <w:vAlign w:val="center"/>
          </w:tcPr>
          <w:p w14:paraId="5556B659" w14:textId="77777777" w:rsidR="00F925DD" w:rsidRDefault="00F925DD">
            <w:pPr>
              <w:rPr>
                <w:rFonts w:ascii="Times New Roman" w:hAnsi="Times New Roman"/>
                <w:sz w:val="20"/>
                <w:szCs w:val="20"/>
              </w:rPr>
            </w:pPr>
          </w:p>
        </w:tc>
        <w:tc>
          <w:tcPr>
            <w:tcW w:w="50" w:type="pct"/>
            <w:shd w:val="clear" w:color="auto" w:fill="auto"/>
            <w:vAlign w:val="center"/>
          </w:tcPr>
          <w:p w14:paraId="5556B65A" w14:textId="77777777" w:rsidR="00F925DD" w:rsidRDefault="00F925DD">
            <w:pPr>
              <w:rPr>
                <w:rFonts w:ascii="Times New Roman" w:hAnsi="Times New Roman"/>
                <w:sz w:val="20"/>
                <w:szCs w:val="20"/>
              </w:rPr>
            </w:pPr>
          </w:p>
        </w:tc>
        <w:tc>
          <w:tcPr>
            <w:tcW w:w="550" w:type="pct"/>
            <w:shd w:val="clear" w:color="auto" w:fill="auto"/>
            <w:vAlign w:val="center"/>
          </w:tcPr>
          <w:p w14:paraId="5556B65B" w14:textId="77777777" w:rsidR="00F925DD" w:rsidRDefault="00F925DD">
            <w:pPr>
              <w:rPr>
                <w:rFonts w:ascii="Times New Roman" w:hAnsi="Times New Roman"/>
                <w:sz w:val="20"/>
                <w:szCs w:val="20"/>
              </w:rPr>
            </w:pPr>
          </w:p>
        </w:tc>
        <w:tc>
          <w:tcPr>
            <w:tcW w:w="50" w:type="pct"/>
            <w:shd w:val="clear" w:color="auto" w:fill="auto"/>
            <w:vAlign w:val="center"/>
          </w:tcPr>
          <w:p w14:paraId="5556B65C" w14:textId="77777777" w:rsidR="00F925DD" w:rsidRDefault="00F925DD">
            <w:pPr>
              <w:rPr>
                <w:rFonts w:ascii="Times New Roman" w:hAnsi="Times New Roman"/>
                <w:sz w:val="20"/>
                <w:szCs w:val="20"/>
              </w:rPr>
            </w:pPr>
          </w:p>
        </w:tc>
        <w:tc>
          <w:tcPr>
            <w:tcW w:w="50" w:type="pct"/>
            <w:shd w:val="clear" w:color="auto" w:fill="auto"/>
            <w:vAlign w:val="center"/>
          </w:tcPr>
          <w:p w14:paraId="5556B65D" w14:textId="77777777" w:rsidR="00F925DD" w:rsidRDefault="00F925DD">
            <w:pPr>
              <w:rPr>
                <w:rFonts w:ascii="Times New Roman" w:hAnsi="Times New Roman"/>
                <w:sz w:val="20"/>
                <w:szCs w:val="20"/>
              </w:rPr>
            </w:pPr>
          </w:p>
        </w:tc>
        <w:tc>
          <w:tcPr>
            <w:tcW w:w="50" w:type="pct"/>
            <w:shd w:val="clear" w:color="auto" w:fill="auto"/>
            <w:vAlign w:val="center"/>
          </w:tcPr>
          <w:p w14:paraId="5556B65E" w14:textId="77777777" w:rsidR="00F925DD" w:rsidRDefault="00F925DD">
            <w:pPr>
              <w:rPr>
                <w:rFonts w:ascii="Times New Roman" w:hAnsi="Times New Roman"/>
                <w:sz w:val="20"/>
                <w:szCs w:val="20"/>
              </w:rPr>
            </w:pPr>
          </w:p>
        </w:tc>
        <w:tc>
          <w:tcPr>
            <w:tcW w:w="550" w:type="pct"/>
            <w:shd w:val="clear" w:color="auto" w:fill="auto"/>
            <w:vAlign w:val="center"/>
          </w:tcPr>
          <w:p w14:paraId="5556B65F" w14:textId="77777777" w:rsidR="00F925DD" w:rsidRDefault="00F925DD">
            <w:pPr>
              <w:rPr>
                <w:rFonts w:ascii="Times New Roman" w:hAnsi="Times New Roman"/>
                <w:sz w:val="20"/>
                <w:szCs w:val="20"/>
              </w:rPr>
            </w:pPr>
          </w:p>
        </w:tc>
        <w:tc>
          <w:tcPr>
            <w:tcW w:w="50" w:type="pct"/>
            <w:shd w:val="clear" w:color="auto" w:fill="auto"/>
            <w:vAlign w:val="center"/>
          </w:tcPr>
          <w:p w14:paraId="5556B660" w14:textId="77777777" w:rsidR="00F925DD" w:rsidRDefault="00F925DD">
            <w:pPr>
              <w:rPr>
                <w:rFonts w:ascii="Times New Roman" w:hAnsi="Times New Roman"/>
                <w:sz w:val="20"/>
                <w:szCs w:val="20"/>
              </w:rPr>
            </w:pPr>
          </w:p>
        </w:tc>
        <w:tc>
          <w:tcPr>
            <w:tcW w:w="50" w:type="pct"/>
            <w:shd w:val="clear" w:color="auto" w:fill="auto"/>
            <w:vAlign w:val="center"/>
          </w:tcPr>
          <w:p w14:paraId="5556B661" w14:textId="77777777" w:rsidR="00F925DD" w:rsidRDefault="00F925DD">
            <w:pPr>
              <w:rPr>
                <w:rFonts w:ascii="Times New Roman" w:hAnsi="Times New Roman"/>
                <w:sz w:val="20"/>
                <w:szCs w:val="20"/>
              </w:rPr>
            </w:pPr>
          </w:p>
        </w:tc>
        <w:tc>
          <w:tcPr>
            <w:tcW w:w="50" w:type="pct"/>
            <w:shd w:val="clear" w:color="auto" w:fill="auto"/>
            <w:vAlign w:val="center"/>
          </w:tcPr>
          <w:p w14:paraId="5556B662" w14:textId="77777777" w:rsidR="00F925DD" w:rsidRDefault="00F925DD">
            <w:pPr>
              <w:rPr>
                <w:rFonts w:ascii="Times New Roman" w:hAnsi="Times New Roman"/>
                <w:sz w:val="20"/>
                <w:szCs w:val="20"/>
              </w:rPr>
            </w:pPr>
          </w:p>
        </w:tc>
        <w:tc>
          <w:tcPr>
            <w:tcW w:w="300" w:type="pct"/>
            <w:shd w:val="clear" w:color="auto" w:fill="auto"/>
            <w:vAlign w:val="center"/>
          </w:tcPr>
          <w:p w14:paraId="5556B663" w14:textId="77777777" w:rsidR="00F925DD" w:rsidRDefault="00F925DD">
            <w:pPr>
              <w:rPr>
                <w:rFonts w:ascii="Times New Roman" w:hAnsi="Times New Roman"/>
                <w:sz w:val="20"/>
                <w:szCs w:val="20"/>
              </w:rPr>
            </w:pPr>
          </w:p>
        </w:tc>
        <w:tc>
          <w:tcPr>
            <w:tcW w:w="50" w:type="pct"/>
            <w:shd w:val="clear" w:color="auto" w:fill="auto"/>
            <w:vAlign w:val="center"/>
          </w:tcPr>
          <w:p w14:paraId="5556B664" w14:textId="77777777" w:rsidR="00F925DD" w:rsidRDefault="00F925DD">
            <w:pPr>
              <w:rPr>
                <w:rFonts w:ascii="Times New Roman" w:hAnsi="Times New Roman"/>
                <w:sz w:val="20"/>
                <w:szCs w:val="20"/>
              </w:rPr>
            </w:pPr>
          </w:p>
        </w:tc>
        <w:tc>
          <w:tcPr>
            <w:tcW w:w="50" w:type="pct"/>
            <w:shd w:val="clear" w:color="auto" w:fill="auto"/>
            <w:vAlign w:val="center"/>
          </w:tcPr>
          <w:p w14:paraId="5556B665" w14:textId="77777777" w:rsidR="00F925DD" w:rsidRDefault="00F925DD">
            <w:pPr>
              <w:rPr>
                <w:rFonts w:ascii="Times New Roman" w:hAnsi="Times New Roman"/>
                <w:sz w:val="20"/>
                <w:szCs w:val="20"/>
              </w:rPr>
            </w:pPr>
          </w:p>
        </w:tc>
        <w:tc>
          <w:tcPr>
            <w:tcW w:w="50" w:type="pct"/>
            <w:shd w:val="clear" w:color="auto" w:fill="auto"/>
            <w:vAlign w:val="center"/>
          </w:tcPr>
          <w:p w14:paraId="5556B666" w14:textId="77777777" w:rsidR="00F925DD" w:rsidRDefault="00F925DD">
            <w:pPr>
              <w:rPr>
                <w:rFonts w:ascii="Times New Roman" w:hAnsi="Times New Roman"/>
                <w:sz w:val="20"/>
                <w:szCs w:val="20"/>
              </w:rPr>
            </w:pPr>
          </w:p>
        </w:tc>
        <w:tc>
          <w:tcPr>
            <w:tcW w:w="550" w:type="pct"/>
            <w:shd w:val="clear" w:color="auto" w:fill="auto"/>
            <w:vAlign w:val="center"/>
          </w:tcPr>
          <w:p w14:paraId="5556B667" w14:textId="77777777" w:rsidR="00F925DD" w:rsidRDefault="00F925DD">
            <w:pPr>
              <w:rPr>
                <w:rFonts w:ascii="Times New Roman" w:hAnsi="Times New Roman"/>
                <w:sz w:val="20"/>
                <w:szCs w:val="20"/>
              </w:rPr>
            </w:pPr>
          </w:p>
        </w:tc>
        <w:tc>
          <w:tcPr>
            <w:tcW w:w="50" w:type="pct"/>
            <w:shd w:val="clear" w:color="auto" w:fill="auto"/>
            <w:vAlign w:val="center"/>
          </w:tcPr>
          <w:p w14:paraId="5556B668" w14:textId="77777777" w:rsidR="00F925DD" w:rsidRDefault="00F925DD">
            <w:pPr>
              <w:rPr>
                <w:rFonts w:ascii="Times New Roman" w:hAnsi="Times New Roman"/>
                <w:sz w:val="20"/>
                <w:szCs w:val="20"/>
              </w:rPr>
            </w:pPr>
          </w:p>
        </w:tc>
      </w:tr>
      <w:tr w:rsidR="00F925DD" w14:paraId="5556B66C" w14:textId="77777777">
        <w:tc>
          <w:tcPr>
            <w:tcW w:w="0" w:type="auto"/>
            <w:shd w:val="clear" w:color="auto" w:fill="auto"/>
            <w:tcMar>
              <w:top w:w="40" w:type="dxa"/>
              <w:left w:w="40" w:type="dxa"/>
              <w:bottom w:w="40" w:type="dxa"/>
              <w:right w:w="40" w:type="dxa"/>
            </w:tcMar>
            <w:vAlign w:val="bottom"/>
          </w:tcPr>
          <w:p w14:paraId="5556B6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shd w:val="clear" w:color="auto" w:fill="auto"/>
            <w:tcMar>
              <w:top w:w="40" w:type="dxa"/>
              <w:left w:w="40" w:type="dxa"/>
              <w:bottom w:w="40" w:type="dxa"/>
            </w:tcMar>
            <w:vAlign w:val="bottom"/>
          </w:tcPr>
          <w:p w14:paraId="5556B66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Fair Value Measurements on a Recurring Basis</w:t>
            </w:r>
          </w:p>
        </w:tc>
      </w:tr>
      <w:tr w:rsidR="00F925DD" w14:paraId="5556B66F" w14:textId="77777777">
        <w:tc>
          <w:tcPr>
            <w:tcW w:w="0" w:type="auto"/>
            <w:shd w:val="clear" w:color="auto" w:fill="auto"/>
            <w:tcMar>
              <w:top w:w="40" w:type="dxa"/>
              <w:left w:w="40" w:type="dxa"/>
              <w:bottom w:w="40" w:type="dxa"/>
              <w:right w:w="40" w:type="dxa"/>
            </w:tcMar>
            <w:vAlign w:val="bottom"/>
          </w:tcPr>
          <w:p w14:paraId="5556B6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5556B66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 of December 31, 2018</w:t>
            </w:r>
          </w:p>
        </w:tc>
      </w:tr>
      <w:tr w:rsidR="00F925DD" w14:paraId="5556B689" w14:textId="77777777">
        <w:tc>
          <w:tcPr>
            <w:tcW w:w="0" w:type="auto"/>
            <w:shd w:val="clear" w:color="auto" w:fill="auto"/>
            <w:tcMar>
              <w:top w:w="40" w:type="dxa"/>
              <w:left w:w="40" w:type="dxa"/>
              <w:bottom w:w="40" w:type="dxa"/>
              <w:right w:w="40" w:type="dxa"/>
            </w:tcMar>
            <w:vAlign w:val="bottom"/>
          </w:tcPr>
          <w:p w14:paraId="5556B67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67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Quoted Market</w:t>
            </w:r>
          </w:p>
          <w:p w14:paraId="5556B67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Prices in Active</w:t>
            </w:r>
          </w:p>
          <w:p w14:paraId="5556B67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Markets</w:t>
            </w:r>
          </w:p>
          <w:p w14:paraId="5556B67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(Level 1)</w:t>
            </w:r>
          </w:p>
        </w:tc>
        <w:tc>
          <w:tcPr>
            <w:tcW w:w="0" w:type="auto"/>
            <w:shd w:val="clear" w:color="auto" w:fill="auto"/>
            <w:tcMar>
              <w:top w:w="40" w:type="dxa"/>
              <w:left w:w="40" w:type="dxa"/>
              <w:bottom w:w="40" w:type="dxa"/>
              <w:right w:w="40" w:type="dxa"/>
            </w:tcMar>
            <w:vAlign w:val="bottom"/>
          </w:tcPr>
          <w:p w14:paraId="5556B6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67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Pricing Methods</w:t>
            </w:r>
          </w:p>
          <w:p w14:paraId="5556B67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with Significant</w:t>
            </w:r>
          </w:p>
          <w:p w14:paraId="5556B67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Observable</w:t>
            </w:r>
          </w:p>
          <w:p w14:paraId="5556B67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Market Inputs</w:t>
            </w:r>
          </w:p>
          <w:p w14:paraId="5556B67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(Level 2)</w:t>
            </w:r>
          </w:p>
        </w:tc>
        <w:tc>
          <w:tcPr>
            <w:tcW w:w="0" w:type="auto"/>
            <w:shd w:val="clear" w:color="auto" w:fill="auto"/>
            <w:tcMar>
              <w:top w:w="40" w:type="dxa"/>
              <w:left w:w="40" w:type="dxa"/>
              <w:bottom w:w="40" w:type="dxa"/>
              <w:right w:w="40" w:type="dxa"/>
            </w:tcMar>
            <w:vAlign w:val="bottom"/>
          </w:tcPr>
          <w:p w14:paraId="5556B6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67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Pricing Methods</w:t>
            </w:r>
          </w:p>
          <w:p w14:paraId="5556B67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with Significant</w:t>
            </w:r>
          </w:p>
          <w:p w14:paraId="5556B67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Unobservable</w:t>
            </w:r>
          </w:p>
          <w:p w14:paraId="5556B67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Market Inputs</w:t>
            </w:r>
          </w:p>
          <w:p w14:paraId="5556B68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(Level 3)</w:t>
            </w:r>
          </w:p>
        </w:tc>
        <w:tc>
          <w:tcPr>
            <w:tcW w:w="0" w:type="auto"/>
            <w:shd w:val="clear" w:color="auto" w:fill="auto"/>
            <w:tcMar>
              <w:top w:w="40" w:type="dxa"/>
              <w:left w:w="40" w:type="dxa"/>
              <w:bottom w:w="40" w:type="dxa"/>
              <w:right w:w="40" w:type="dxa"/>
            </w:tcMar>
            <w:vAlign w:val="bottom"/>
          </w:tcPr>
          <w:p w14:paraId="5556B6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68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Impact of Netting(1)</w:t>
            </w:r>
          </w:p>
        </w:tc>
        <w:tc>
          <w:tcPr>
            <w:tcW w:w="0" w:type="auto"/>
            <w:shd w:val="clear" w:color="auto" w:fill="auto"/>
            <w:tcMar>
              <w:top w:w="40" w:type="dxa"/>
              <w:left w:w="40" w:type="dxa"/>
              <w:bottom w:w="40" w:type="dxa"/>
              <w:right w:w="40" w:type="dxa"/>
            </w:tcMar>
            <w:vAlign w:val="bottom"/>
          </w:tcPr>
          <w:p w14:paraId="5556B6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68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 Net</w:t>
            </w:r>
          </w:p>
          <w:p w14:paraId="5556B68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Carrying Value</w:t>
            </w:r>
          </w:p>
          <w:p w14:paraId="5556B68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 Consolidated</w:t>
            </w:r>
          </w:p>
          <w:p w14:paraId="5556B68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Statement of</w:t>
            </w:r>
          </w:p>
          <w:p w14:paraId="5556B68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Condition</w:t>
            </w:r>
          </w:p>
        </w:tc>
      </w:tr>
      <w:tr w:rsidR="00F925DD" w14:paraId="5556B694" w14:textId="77777777">
        <w:tc>
          <w:tcPr>
            <w:tcW w:w="0" w:type="auto"/>
            <w:shd w:val="clear" w:color="auto" w:fill="auto"/>
            <w:tcMar>
              <w:top w:w="40" w:type="dxa"/>
              <w:left w:w="40" w:type="dxa"/>
              <w:bottom w:w="40" w:type="dxa"/>
              <w:right w:w="40" w:type="dxa"/>
            </w:tcMar>
            <w:vAlign w:val="bottom"/>
          </w:tcPr>
          <w:p w14:paraId="5556B68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Assets:</w:t>
            </w:r>
          </w:p>
        </w:tc>
        <w:tc>
          <w:tcPr>
            <w:tcW w:w="0" w:type="auto"/>
            <w:gridSpan w:val="3"/>
            <w:shd w:val="clear" w:color="auto" w:fill="auto"/>
            <w:tcMar>
              <w:top w:w="40" w:type="dxa"/>
              <w:left w:w="40" w:type="dxa"/>
              <w:bottom w:w="40" w:type="dxa"/>
              <w:right w:w="40" w:type="dxa"/>
            </w:tcMar>
            <w:vAlign w:val="bottom"/>
          </w:tcPr>
          <w:p w14:paraId="5556B6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69F" w14:textId="77777777">
        <w:tc>
          <w:tcPr>
            <w:tcW w:w="0" w:type="auto"/>
            <w:shd w:val="clear" w:color="auto" w:fill="auto"/>
            <w:tcMar>
              <w:top w:w="40" w:type="dxa"/>
              <w:left w:w="40" w:type="dxa"/>
              <w:bottom w:w="40" w:type="dxa"/>
              <w:right w:w="40" w:type="dxa"/>
            </w:tcMar>
            <w:vAlign w:val="bottom"/>
          </w:tcPr>
          <w:p w14:paraId="5556B695" w14:textId="77777777" w:rsidR="00F925DD" w:rsidRDefault="00E705D7">
            <w:pPr>
              <w:textAlignment w:val="bottom"/>
              <w:rPr>
                <w:rFonts w:ascii="Times New Roman" w:hAnsi="Times New Roman"/>
                <w:sz w:val="15"/>
                <w:szCs w:val="15"/>
              </w:rPr>
            </w:pPr>
            <w:r>
              <w:rPr>
                <w:rFonts w:ascii="Arial" w:eastAsia="宋体" w:hAnsi="Arial" w:cs="Arial"/>
                <w:sz w:val="15"/>
                <w:szCs w:val="15"/>
              </w:rPr>
              <w:t>Trading account assets:</w:t>
            </w:r>
          </w:p>
        </w:tc>
        <w:tc>
          <w:tcPr>
            <w:tcW w:w="0" w:type="auto"/>
            <w:gridSpan w:val="3"/>
            <w:shd w:val="clear" w:color="auto" w:fill="auto"/>
            <w:tcMar>
              <w:top w:w="40" w:type="dxa"/>
              <w:left w:w="40" w:type="dxa"/>
              <w:bottom w:w="40" w:type="dxa"/>
              <w:right w:w="40" w:type="dxa"/>
            </w:tcMar>
            <w:vAlign w:val="bottom"/>
          </w:tcPr>
          <w:p w14:paraId="5556B6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6B2" w14:textId="77777777">
        <w:tc>
          <w:tcPr>
            <w:tcW w:w="0" w:type="auto"/>
            <w:shd w:val="clear" w:color="auto" w:fill="CCEEFF"/>
            <w:tcMar>
              <w:top w:w="40" w:type="dxa"/>
              <w:left w:w="400" w:type="dxa"/>
              <w:bottom w:w="40" w:type="dxa"/>
              <w:right w:w="40" w:type="dxa"/>
            </w:tcMar>
            <w:vAlign w:val="bottom"/>
          </w:tcPr>
          <w:p w14:paraId="5556B6A0" w14:textId="77777777" w:rsidR="00F925DD" w:rsidRDefault="00E705D7">
            <w:pPr>
              <w:textAlignment w:val="bottom"/>
              <w:rPr>
                <w:rFonts w:ascii="Times New Roman" w:hAnsi="Times New Roman"/>
                <w:sz w:val="15"/>
                <w:szCs w:val="15"/>
              </w:rPr>
            </w:pPr>
            <w:r>
              <w:rPr>
                <w:rFonts w:ascii="Arial" w:eastAsia="宋体" w:hAnsi="Arial" w:cs="Arial"/>
                <w:sz w:val="15"/>
                <w:szCs w:val="15"/>
              </w:rPr>
              <w:t>U.S. government securities</w:t>
            </w:r>
          </w:p>
        </w:tc>
        <w:tc>
          <w:tcPr>
            <w:tcW w:w="0" w:type="auto"/>
            <w:shd w:val="clear" w:color="auto" w:fill="CCEEFF"/>
            <w:tcMar>
              <w:top w:w="40" w:type="dxa"/>
              <w:left w:w="40" w:type="dxa"/>
              <w:bottom w:w="40" w:type="dxa"/>
            </w:tcMar>
            <w:vAlign w:val="bottom"/>
          </w:tcPr>
          <w:p w14:paraId="5556B6A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6A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w:t>
            </w:r>
          </w:p>
        </w:tc>
        <w:tc>
          <w:tcPr>
            <w:tcW w:w="0" w:type="auto"/>
            <w:shd w:val="clear" w:color="auto" w:fill="CCEEFF"/>
            <w:vAlign w:val="bottom"/>
          </w:tcPr>
          <w:p w14:paraId="5556B6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6A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6A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6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6A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6A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6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6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6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6A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6B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w:t>
            </w:r>
          </w:p>
        </w:tc>
        <w:tc>
          <w:tcPr>
            <w:tcW w:w="0" w:type="auto"/>
            <w:shd w:val="clear" w:color="auto" w:fill="CCEEFF"/>
            <w:vAlign w:val="bottom"/>
          </w:tcPr>
          <w:p w14:paraId="5556B6B1" w14:textId="77777777" w:rsidR="00F925DD" w:rsidRDefault="00F925DD">
            <w:pPr>
              <w:textAlignment w:val="bottom"/>
              <w:rPr>
                <w:rFonts w:ascii="Times New Roman" w:hAnsi="Times New Roman"/>
                <w:sz w:val="20"/>
                <w:szCs w:val="20"/>
              </w:rPr>
            </w:pPr>
          </w:p>
        </w:tc>
      </w:tr>
      <w:tr w:rsidR="00F925DD" w14:paraId="5556B6C1" w14:textId="77777777">
        <w:tc>
          <w:tcPr>
            <w:tcW w:w="0" w:type="auto"/>
            <w:shd w:val="clear" w:color="auto" w:fill="auto"/>
            <w:tcMar>
              <w:top w:w="40" w:type="dxa"/>
              <w:left w:w="400" w:type="dxa"/>
              <w:bottom w:w="40" w:type="dxa"/>
              <w:right w:w="40" w:type="dxa"/>
            </w:tcMar>
            <w:vAlign w:val="bottom"/>
          </w:tcPr>
          <w:p w14:paraId="5556B6B3"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government securities</w:t>
            </w:r>
          </w:p>
        </w:tc>
        <w:tc>
          <w:tcPr>
            <w:tcW w:w="0" w:type="auto"/>
            <w:gridSpan w:val="2"/>
            <w:shd w:val="clear" w:color="auto" w:fill="auto"/>
            <w:tcMar>
              <w:top w:w="40" w:type="dxa"/>
              <w:left w:w="40" w:type="dxa"/>
              <w:bottom w:w="40" w:type="dxa"/>
            </w:tcMar>
            <w:vAlign w:val="bottom"/>
          </w:tcPr>
          <w:p w14:paraId="5556B6B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146</w:t>
            </w:r>
          </w:p>
        </w:tc>
        <w:tc>
          <w:tcPr>
            <w:tcW w:w="0" w:type="auto"/>
            <w:shd w:val="clear" w:color="auto" w:fill="auto"/>
            <w:vAlign w:val="bottom"/>
          </w:tcPr>
          <w:p w14:paraId="5556B6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6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6B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179</w:t>
            </w:r>
          </w:p>
        </w:tc>
        <w:tc>
          <w:tcPr>
            <w:tcW w:w="0" w:type="auto"/>
            <w:shd w:val="clear" w:color="auto" w:fill="auto"/>
            <w:vAlign w:val="bottom"/>
          </w:tcPr>
          <w:p w14:paraId="5556B6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6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6B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6B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6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6B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325</w:t>
            </w:r>
          </w:p>
        </w:tc>
        <w:tc>
          <w:tcPr>
            <w:tcW w:w="0" w:type="auto"/>
            <w:shd w:val="clear" w:color="auto" w:fill="auto"/>
            <w:vAlign w:val="bottom"/>
          </w:tcPr>
          <w:p w14:paraId="5556B6C0" w14:textId="77777777" w:rsidR="00F925DD" w:rsidRDefault="00F925DD">
            <w:pPr>
              <w:textAlignment w:val="bottom"/>
              <w:rPr>
                <w:rFonts w:ascii="Times New Roman" w:hAnsi="Times New Roman"/>
                <w:sz w:val="20"/>
                <w:szCs w:val="20"/>
              </w:rPr>
            </w:pPr>
          </w:p>
        </w:tc>
      </w:tr>
      <w:tr w:rsidR="00F925DD" w14:paraId="5556B6D0" w14:textId="77777777">
        <w:tc>
          <w:tcPr>
            <w:tcW w:w="0" w:type="auto"/>
            <w:shd w:val="clear" w:color="auto" w:fill="CCEEFF"/>
            <w:tcMar>
              <w:top w:w="40" w:type="dxa"/>
              <w:left w:w="400" w:type="dxa"/>
              <w:bottom w:w="40" w:type="dxa"/>
              <w:right w:w="40" w:type="dxa"/>
            </w:tcMar>
            <w:vAlign w:val="bottom"/>
          </w:tcPr>
          <w:p w14:paraId="5556B6C2"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CCEEFF"/>
            <w:tcMar>
              <w:top w:w="40" w:type="dxa"/>
              <w:left w:w="40" w:type="dxa"/>
              <w:bottom w:w="40" w:type="dxa"/>
            </w:tcMar>
            <w:vAlign w:val="bottom"/>
          </w:tcPr>
          <w:p w14:paraId="5556B6C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6C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6C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501</w:t>
            </w:r>
          </w:p>
        </w:tc>
        <w:tc>
          <w:tcPr>
            <w:tcW w:w="0" w:type="auto"/>
            <w:shd w:val="clear" w:color="auto" w:fill="CCEEFF"/>
            <w:vAlign w:val="bottom"/>
          </w:tcPr>
          <w:p w14:paraId="5556B6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6C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B6C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6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6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6C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501</w:t>
            </w:r>
          </w:p>
        </w:tc>
        <w:tc>
          <w:tcPr>
            <w:tcW w:w="0" w:type="auto"/>
            <w:shd w:val="clear" w:color="auto" w:fill="CCEEFF"/>
            <w:vAlign w:val="bottom"/>
          </w:tcPr>
          <w:p w14:paraId="5556B6CF" w14:textId="77777777" w:rsidR="00F925DD" w:rsidRDefault="00F925DD">
            <w:pPr>
              <w:textAlignment w:val="bottom"/>
              <w:rPr>
                <w:rFonts w:ascii="Times New Roman" w:hAnsi="Times New Roman"/>
                <w:sz w:val="20"/>
                <w:szCs w:val="20"/>
              </w:rPr>
            </w:pPr>
          </w:p>
        </w:tc>
      </w:tr>
      <w:tr w:rsidR="00F925DD" w14:paraId="5556B6DF" w14:textId="77777777">
        <w:tc>
          <w:tcPr>
            <w:tcW w:w="0" w:type="auto"/>
            <w:shd w:val="clear" w:color="auto" w:fill="auto"/>
            <w:tcMar>
              <w:top w:w="40" w:type="dxa"/>
              <w:left w:w="1040" w:type="dxa"/>
              <w:bottom w:w="40" w:type="dxa"/>
              <w:right w:w="40" w:type="dxa"/>
            </w:tcMar>
            <w:vAlign w:val="bottom"/>
          </w:tcPr>
          <w:p w14:paraId="5556B6D1"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trading account assets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6D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180</w:t>
            </w:r>
          </w:p>
        </w:tc>
        <w:tc>
          <w:tcPr>
            <w:tcW w:w="0" w:type="auto"/>
            <w:tcBorders>
              <w:top w:val="single" w:sz="8" w:space="0" w:color="000000"/>
              <w:bottom w:val="single" w:sz="8" w:space="0" w:color="000000"/>
            </w:tcBorders>
            <w:shd w:val="clear" w:color="auto" w:fill="auto"/>
            <w:vAlign w:val="bottom"/>
          </w:tcPr>
          <w:p w14:paraId="5556B6D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6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6D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680</w:t>
            </w:r>
          </w:p>
        </w:tc>
        <w:tc>
          <w:tcPr>
            <w:tcW w:w="0" w:type="auto"/>
            <w:tcBorders>
              <w:top w:val="single" w:sz="8" w:space="0" w:color="000000"/>
              <w:bottom w:val="single" w:sz="8" w:space="0" w:color="000000"/>
            </w:tcBorders>
            <w:shd w:val="clear" w:color="auto" w:fill="auto"/>
            <w:vAlign w:val="bottom"/>
          </w:tcPr>
          <w:p w14:paraId="5556B6D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6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6D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auto"/>
            <w:vAlign w:val="bottom"/>
          </w:tcPr>
          <w:p w14:paraId="5556B6D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6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6D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860</w:t>
            </w:r>
          </w:p>
        </w:tc>
        <w:tc>
          <w:tcPr>
            <w:tcW w:w="0" w:type="auto"/>
            <w:tcBorders>
              <w:top w:val="single" w:sz="8" w:space="0" w:color="000000"/>
              <w:bottom w:val="single" w:sz="8" w:space="0" w:color="000000"/>
            </w:tcBorders>
            <w:shd w:val="clear" w:color="auto" w:fill="auto"/>
            <w:vAlign w:val="bottom"/>
          </w:tcPr>
          <w:p w14:paraId="5556B6DE" w14:textId="77777777" w:rsidR="00F925DD" w:rsidRDefault="00F925DD">
            <w:pPr>
              <w:textAlignment w:val="bottom"/>
              <w:rPr>
                <w:rFonts w:ascii="Times New Roman" w:hAnsi="Times New Roman"/>
                <w:sz w:val="20"/>
                <w:szCs w:val="20"/>
              </w:rPr>
            </w:pPr>
          </w:p>
        </w:tc>
      </w:tr>
      <w:tr w:rsidR="00F925DD" w14:paraId="5556B6EA" w14:textId="77777777">
        <w:tc>
          <w:tcPr>
            <w:tcW w:w="0" w:type="auto"/>
            <w:shd w:val="clear" w:color="auto" w:fill="CCEEFF"/>
            <w:tcMar>
              <w:top w:w="40" w:type="dxa"/>
              <w:left w:w="40" w:type="dxa"/>
              <w:bottom w:w="40" w:type="dxa"/>
              <w:right w:w="40" w:type="dxa"/>
            </w:tcMar>
            <w:vAlign w:val="bottom"/>
          </w:tcPr>
          <w:p w14:paraId="5556B6E0"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Available-for-sale investment </w:t>
            </w:r>
            <w:r>
              <w:rPr>
                <w:rFonts w:ascii="Arial" w:eastAsia="宋体" w:hAnsi="Arial" w:cs="Arial"/>
                <w:sz w:val="15"/>
                <w:szCs w:val="15"/>
              </w:rPr>
              <w:t>securities:</w:t>
            </w:r>
          </w:p>
        </w:tc>
        <w:tc>
          <w:tcPr>
            <w:tcW w:w="0" w:type="auto"/>
            <w:gridSpan w:val="3"/>
            <w:shd w:val="clear" w:color="auto" w:fill="CCEEFF"/>
            <w:tcMar>
              <w:top w:w="40" w:type="dxa"/>
              <w:left w:w="40" w:type="dxa"/>
              <w:bottom w:w="40" w:type="dxa"/>
              <w:right w:w="40" w:type="dxa"/>
            </w:tcMar>
            <w:vAlign w:val="bottom"/>
          </w:tcPr>
          <w:p w14:paraId="5556B6E1"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B6E2"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B6E3"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B6E4"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B6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6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6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6E8"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B6E9" w14:textId="77777777" w:rsidR="00F925DD" w:rsidRDefault="00F925DD">
            <w:pPr>
              <w:textAlignment w:val="bottom"/>
              <w:rPr>
                <w:rFonts w:ascii="Times New Roman" w:hAnsi="Times New Roman"/>
                <w:sz w:val="15"/>
                <w:szCs w:val="15"/>
              </w:rPr>
            </w:pPr>
          </w:p>
        </w:tc>
      </w:tr>
      <w:tr w:rsidR="00F925DD" w14:paraId="5556B6F5" w14:textId="77777777">
        <w:tc>
          <w:tcPr>
            <w:tcW w:w="0" w:type="auto"/>
            <w:shd w:val="clear" w:color="auto" w:fill="auto"/>
            <w:tcMar>
              <w:top w:w="40" w:type="dxa"/>
              <w:left w:w="400" w:type="dxa"/>
              <w:bottom w:w="40" w:type="dxa"/>
              <w:right w:w="40" w:type="dxa"/>
            </w:tcMar>
            <w:vAlign w:val="bottom"/>
          </w:tcPr>
          <w:p w14:paraId="5556B6EB" w14:textId="77777777" w:rsidR="00F925DD" w:rsidRDefault="00E705D7">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5556B6EC"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6ED"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6EE"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6EF"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6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6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6F3"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6F4" w14:textId="77777777" w:rsidR="00F925DD" w:rsidRDefault="00F925DD">
            <w:pPr>
              <w:textAlignment w:val="bottom"/>
              <w:rPr>
                <w:rFonts w:ascii="Times New Roman" w:hAnsi="Times New Roman"/>
                <w:sz w:val="15"/>
                <w:szCs w:val="15"/>
              </w:rPr>
            </w:pPr>
          </w:p>
        </w:tc>
      </w:tr>
      <w:tr w:rsidR="00F925DD" w14:paraId="5556B704" w14:textId="77777777">
        <w:tc>
          <w:tcPr>
            <w:tcW w:w="0" w:type="auto"/>
            <w:shd w:val="clear" w:color="auto" w:fill="CCEEFF"/>
            <w:tcMar>
              <w:top w:w="40" w:type="dxa"/>
              <w:left w:w="720" w:type="dxa"/>
              <w:bottom w:w="40" w:type="dxa"/>
              <w:right w:w="40" w:type="dxa"/>
            </w:tcMar>
            <w:vAlign w:val="bottom"/>
          </w:tcPr>
          <w:p w14:paraId="5556B6F6" w14:textId="77777777" w:rsidR="00F925DD" w:rsidRDefault="00E705D7">
            <w:pPr>
              <w:textAlignment w:val="bottom"/>
              <w:rPr>
                <w:rFonts w:ascii="Times New Roman" w:hAnsi="Times New Roman"/>
                <w:sz w:val="15"/>
                <w:szCs w:val="15"/>
              </w:rPr>
            </w:pPr>
            <w:r>
              <w:rPr>
                <w:rFonts w:ascii="Arial" w:eastAsia="宋体" w:hAnsi="Arial" w:cs="Arial"/>
                <w:sz w:val="15"/>
                <w:szCs w:val="15"/>
              </w:rPr>
              <w:t>Direct obligations</w:t>
            </w:r>
          </w:p>
        </w:tc>
        <w:tc>
          <w:tcPr>
            <w:tcW w:w="0" w:type="auto"/>
            <w:gridSpan w:val="2"/>
            <w:shd w:val="clear" w:color="auto" w:fill="CCEEFF"/>
            <w:tcMar>
              <w:top w:w="40" w:type="dxa"/>
              <w:left w:w="40" w:type="dxa"/>
              <w:bottom w:w="40" w:type="dxa"/>
            </w:tcMar>
            <w:vAlign w:val="bottom"/>
          </w:tcPr>
          <w:p w14:paraId="5556B6F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1,039</w:t>
            </w:r>
          </w:p>
        </w:tc>
        <w:tc>
          <w:tcPr>
            <w:tcW w:w="0" w:type="auto"/>
            <w:shd w:val="clear" w:color="auto" w:fill="CCEEFF"/>
            <w:vAlign w:val="bottom"/>
          </w:tcPr>
          <w:p w14:paraId="5556B6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F9"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6F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6F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FC"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6F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6F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6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7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701"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0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1,039</w:t>
            </w:r>
          </w:p>
        </w:tc>
        <w:tc>
          <w:tcPr>
            <w:tcW w:w="0" w:type="auto"/>
            <w:shd w:val="clear" w:color="auto" w:fill="CCEEFF"/>
            <w:vAlign w:val="bottom"/>
          </w:tcPr>
          <w:p w14:paraId="5556B703" w14:textId="77777777" w:rsidR="00F925DD" w:rsidRDefault="00F925DD">
            <w:pPr>
              <w:textAlignment w:val="bottom"/>
              <w:rPr>
                <w:rFonts w:ascii="Times New Roman" w:hAnsi="Times New Roman"/>
                <w:sz w:val="20"/>
                <w:szCs w:val="20"/>
              </w:rPr>
            </w:pPr>
          </w:p>
        </w:tc>
      </w:tr>
      <w:tr w:rsidR="00F925DD" w14:paraId="5556B713" w14:textId="77777777">
        <w:tc>
          <w:tcPr>
            <w:tcW w:w="0" w:type="auto"/>
            <w:shd w:val="clear" w:color="auto" w:fill="auto"/>
            <w:tcMar>
              <w:top w:w="40" w:type="dxa"/>
              <w:left w:w="720" w:type="dxa"/>
              <w:bottom w:w="40" w:type="dxa"/>
              <w:right w:w="40" w:type="dxa"/>
            </w:tcMar>
            <w:vAlign w:val="bottom"/>
          </w:tcPr>
          <w:p w14:paraId="5556B705"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5556B70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7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08"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0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15,968</w:t>
            </w:r>
          </w:p>
        </w:tc>
        <w:tc>
          <w:tcPr>
            <w:tcW w:w="0" w:type="auto"/>
            <w:shd w:val="clear" w:color="auto" w:fill="auto"/>
            <w:vAlign w:val="bottom"/>
          </w:tcPr>
          <w:p w14:paraId="5556B70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0B"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0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70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7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710"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1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15,968</w:t>
            </w:r>
          </w:p>
        </w:tc>
        <w:tc>
          <w:tcPr>
            <w:tcW w:w="0" w:type="auto"/>
            <w:shd w:val="clear" w:color="auto" w:fill="auto"/>
            <w:vAlign w:val="bottom"/>
          </w:tcPr>
          <w:p w14:paraId="5556B712" w14:textId="77777777" w:rsidR="00F925DD" w:rsidRDefault="00F925DD">
            <w:pPr>
              <w:textAlignment w:val="bottom"/>
              <w:rPr>
                <w:rFonts w:ascii="Times New Roman" w:hAnsi="Times New Roman"/>
                <w:sz w:val="20"/>
                <w:szCs w:val="20"/>
              </w:rPr>
            </w:pPr>
          </w:p>
        </w:tc>
      </w:tr>
      <w:tr w:rsidR="00F925DD" w14:paraId="5556B722" w14:textId="77777777">
        <w:tc>
          <w:tcPr>
            <w:tcW w:w="0" w:type="auto"/>
            <w:shd w:val="clear" w:color="auto" w:fill="CCEEFF"/>
            <w:tcMar>
              <w:top w:w="40" w:type="dxa"/>
              <w:left w:w="1040" w:type="dxa"/>
              <w:bottom w:w="40" w:type="dxa"/>
              <w:right w:w="40" w:type="dxa"/>
            </w:tcMar>
            <w:vAlign w:val="bottom"/>
          </w:tcPr>
          <w:p w14:paraId="5556B714"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B71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1,039</w:t>
            </w:r>
          </w:p>
        </w:tc>
        <w:tc>
          <w:tcPr>
            <w:tcW w:w="0" w:type="auto"/>
            <w:tcBorders>
              <w:top w:val="single" w:sz="8" w:space="0" w:color="000000"/>
              <w:bottom w:val="single" w:sz="8" w:space="0" w:color="000000"/>
            </w:tcBorders>
            <w:shd w:val="clear" w:color="auto" w:fill="CCEEFF"/>
            <w:vAlign w:val="bottom"/>
          </w:tcPr>
          <w:p w14:paraId="5556B7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17"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B71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15,968</w:t>
            </w:r>
          </w:p>
        </w:tc>
        <w:tc>
          <w:tcPr>
            <w:tcW w:w="0" w:type="auto"/>
            <w:tcBorders>
              <w:top w:val="single" w:sz="8" w:space="0" w:color="000000"/>
              <w:bottom w:val="single" w:sz="8" w:space="0" w:color="000000"/>
            </w:tcBorders>
            <w:shd w:val="clear" w:color="auto" w:fill="CCEEFF"/>
            <w:vAlign w:val="bottom"/>
          </w:tcPr>
          <w:p w14:paraId="5556B7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1A"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B71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CCEEFF"/>
            <w:vAlign w:val="bottom"/>
          </w:tcPr>
          <w:p w14:paraId="5556B7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7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71F" w14:textId="77777777" w:rsidR="00F925DD" w:rsidRDefault="00F925DD">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B72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17,007</w:t>
            </w:r>
          </w:p>
        </w:tc>
        <w:tc>
          <w:tcPr>
            <w:tcW w:w="0" w:type="auto"/>
            <w:tcBorders>
              <w:top w:val="single" w:sz="8" w:space="0" w:color="000000"/>
              <w:bottom w:val="single" w:sz="8" w:space="0" w:color="000000"/>
            </w:tcBorders>
            <w:shd w:val="clear" w:color="auto" w:fill="CCEEFF"/>
            <w:vAlign w:val="bottom"/>
          </w:tcPr>
          <w:p w14:paraId="5556B721" w14:textId="77777777" w:rsidR="00F925DD" w:rsidRDefault="00F925DD">
            <w:pPr>
              <w:textAlignment w:val="bottom"/>
              <w:rPr>
                <w:rFonts w:ascii="Times New Roman" w:hAnsi="Times New Roman"/>
                <w:sz w:val="20"/>
                <w:szCs w:val="20"/>
              </w:rPr>
            </w:pPr>
          </w:p>
        </w:tc>
      </w:tr>
      <w:tr w:rsidR="00F925DD" w14:paraId="5556B72D" w14:textId="77777777">
        <w:tc>
          <w:tcPr>
            <w:tcW w:w="0" w:type="auto"/>
            <w:shd w:val="clear" w:color="auto" w:fill="auto"/>
            <w:tcMar>
              <w:top w:w="40" w:type="dxa"/>
              <w:left w:w="400" w:type="dxa"/>
              <w:bottom w:w="40" w:type="dxa"/>
              <w:right w:w="40" w:type="dxa"/>
            </w:tcMar>
            <w:vAlign w:val="bottom"/>
          </w:tcPr>
          <w:p w14:paraId="5556B723"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5556B724"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725"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726"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727"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7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7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7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72B"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72C" w14:textId="77777777" w:rsidR="00F925DD" w:rsidRDefault="00F925DD">
            <w:pPr>
              <w:textAlignment w:val="bottom"/>
              <w:rPr>
                <w:rFonts w:ascii="Times New Roman" w:hAnsi="Times New Roman"/>
                <w:sz w:val="15"/>
                <w:szCs w:val="15"/>
              </w:rPr>
            </w:pPr>
          </w:p>
        </w:tc>
      </w:tr>
      <w:tr w:rsidR="00F925DD" w14:paraId="5556B73C" w14:textId="77777777">
        <w:tc>
          <w:tcPr>
            <w:tcW w:w="0" w:type="auto"/>
            <w:shd w:val="clear" w:color="auto" w:fill="CCEEFF"/>
            <w:tcMar>
              <w:top w:w="40" w:type="dxa"/>
              <w:left w:w="720" w:type="dxa"/>
              <w:bottom w:w="40" w:type="dxa"/>
              <w:right w:w="40" w:type="dxa"/>
            </w:tcMar>
            <w:vAlign w:val="bottom"/>
          </w:tcPr>
          <w:p w14:paraId="5556B72E" w14:textId="77777777" w:rsidR="00F925DD" w:rsidRDefault="00E705D7">
            <w:pPr>
              <w:textAlignment w:val="bottom"/>
              <w:rPr>
                <w:rFonts w:ascii="Times New Roman" w:hAnsi="Times New Roman"/>
                <w:sz w:val="15"/>
                <w:szCs w:val="15"/>
              </w:rPr>
            </w:pPr>
            <w:r>
              <w:rPr>
                <w:rFonts w:ascii="Arial" w:eastAsia="宋体" w:hAnsi="Arial" w:cs="Arial"/>
                <w:sz w:val="15"/>
                <w:szCs w:val="15"/>
              </w:rPr>
              <w:t>Student loans</w:t>
            </w:r>
          </w:p>
        </w:tc>
        <w:tc>
          <w:tcPr>
            <w:tcW w:w="0" w:type="auto"/>
            <w:gridSpan w:val="2"/>
            <w:shd w:val="clear" w:color="auto" w:fill="CCEEFF"/>
            <w:tcMar>
              <w:top w:w="40" w:type="dxa"/>
              <w:left w:w="40" w:type="dxa"/>
              <w:bottom w:w="40" w:type="dxa"/>
            </w:tcMar>
            <w:vAlign w:val="bottom"/>
          </w:tcPr>
          <w:p w14:paraId="5556B72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73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31"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3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541</w:t>
            </w:r>
          </w:p>
        </w:tc>
        <w:tc>
          <w:tcPr>
            <w:tcW w:w="0" w:type="auto"/>
            <w:shd w:val="clear" w:color="auto" w:fill="CCEEFF"/>
            <w:vAlign w:val="bottom"/>
          </w:tcPr>
          <w:p w14:paraId="5556B73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34"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3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73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7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739"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3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541</w:t>
            </w:r>
          </w:p>
        </w:tc>
        <w:tc>
          <w:tcPr>
            <w:tcW w:w="0" w:type="auto"/>
            <w:shd w:val="clear" w:color="auto" w:fill="CCEEFF"/>
            <w:vAlign w:val="bottom"/>
          </w:tcPr>
          <w:p w14:paraId="5556B73B" w14:textId="77777777" w:rsidR="00F925DD" w:rsidRDefault="00F925DD">
            <w:pPr>
              <w:textAlignment w:val="bottom"/>
              <w:rPr>
                <w:rFonts w:ascii="Times New Roman" w:hAnsi="Times New Roman"/>
                <w:sz w:val="20"/>
                <w:szCs w:val="20"/>
              </w:rPr>
            </w:pPr>
          </w:p>
        </w:tc>
      </w:tr>
      <w:tr w:rsidR="00F925DD" w14:paraId="5556B74B" w14:textId="77777777">
        <w:tc>
          <w:tcPr>
            <w:tcW w:w="0" w:type="auto"/>
            <w:shd w:val="clear" w:color="auto" w:fill="auto"/>
            <w:tcMar>
              <w:top w:w="40" w:type="dxa"/>
              <w:left w:w="720" w:type="dxa"/>
              <w:bottom w:w="40" w:type="dxa"/>
              <w:right w:w="40" w:type="dxa"/>
            </w:tcMar>
            <w:vAlign w:val="bottom"/>
          </w:tcPr>
          <w:p w14:paraId="5556B73D" w14:textId="77777777" w:rsidR="00F925DD" w:rsidRDefault="00E705D7">
            <w:pPr>
              <w:textAlignment w:val="bottom"/>
              <w:rPr>
                <w:rFonts w:ascii="Times New Roman" w:hAnsi="Times New Roman"/>
                <w:sz w:val="15"/>
                <w:szCs w:val="15"/>
              </w:rPr>
            </w:pPr>
            <w:r>
              <w:rPr>
                <w:rFonts w:ascii="Arial" w:eastAsia="宋体" w:hAnsi="Arial" w:cs="Arial"/>
                <w:sz w:val="15"/>
                <w:szCs w:val="15"/>
              </w:rPr>
              <w:t>Credit cards</w:t>
            </w:r>
          </w:p>
        </w:tc>
        <w:tc>
          <w:tcPr>
            <w:tcW w:w="0" w:type="auto"/>
            <w:gridSpan w:val="2"/>
            <w:shd w:val="clear" w:color="auto" w:fill="auto"/>
            <w:tcMar>
              <w:top w:w="40" w:type="dxa"/>
              <w:left w:w="40" w:type="dxa"/>
              <w:bottom w:w="40" w:type="dxa"/>
            </w:tcMar>
            <w:vAlign w:val="bottom"/>
          </w:tcPr>
          <w:p w14:paraId="5556B73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73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40"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4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583</w:t>
            </w:r>
          </w:p>
        </w:tc>
        <w:tc>
          <w:tcPr>
            <w:tcW w:w="0" w:type="auto"/>
            <w:shd w:val="clear" w:color="auto" w:fill="auto"/>
            <w:vAlign w:val="bottom"/>
          </w:tcPr>
          <w:p w14:paraId="5556B7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43"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4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7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7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748"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4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583</w:t>
            </w:r>
          </w:p>
        </w:tc>
        <w:tc>
          <w:tcPr>
            <w:tcW w:w="0" w:type="auto"/>
            <w:shd w:val="clear" w:color="auto" w:fill="auto"/>
            <w:vAlign w:val="bottom"/>
          </w:tcPr>
          <w:p w14:paraId="5556B74A" w14:textId="77777777" w:rsidR="00F925DD" w:rsidRDefault="00F925DD">
            <w:pPr>
              <w:textAlignment w:val="bottom"/>
              <w:rPr>
                <w:rFonts w:ascii="Times New Roman" w:hAnsi="Times New Roman"/>
                <w:sz w:val="20"/>
                <w:szCs w:val="20"/>
              </w:rPr>
            </w:pPr>
          </w:p>
        </w:tc>
      </w:tr>
      <w:tr w:rsidR="00F925DD" w14:paraId="5556B75A" w14:textId="77777777">
        <w:tc>
          <w:tcPr>
            <w:tcW w:w="0" w:type="auto"/>
            <w:shd w:val="clear" w:color="auto" w:fill="CCEEFF"/>
            <w:tcMar>
              <w:top w:w="40" w:type="dxa"/>
              <w:left w:w="720" w:type="dxa"/>
              <w:bottom w:w="40" w:type="dxa"/>
              <w:right w:w="40" w:type="dxa"/>
            </w:tcMar>
            <w:vAlign w:val="bottom"/>
          </w:tcPr>
          <w:p w14:paraId="5556B74C"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74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B74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4F"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B75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B75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52"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B75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593</w:t>
            </w:r>
          </w:p>
        </w:tc>
        <w:tc>
          <w:tcPr>
            <w:tcW w:w="0" w:type="auto"/>
            <w:tcBorders>
              <w:bottom w:val="single" w:sz="8" w:space="0" w:color="000000"/>
            </w:tcBorders>
            <w:shd w:val="clear" w:color="auto" w:fill="CCEEFF"/>
            <w:vAlign w:val="bottom"/>
          </w:tcPr>
          <w:p w14:paraId="5556B7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7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757"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B75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593</w:t>
            </w:r>
          </w:p>
        </w:tc>
        <w:tc>
          <w:tcPr>
            <w:tcW w:w="0" w:type="auto"/>
            <w:tcBorders>
              <w:bottom w:val="single" w:sz="8" w:space="0" w:color="000000"/>
            </w:tcBorders>
            <w:shd w:val="clear" w:color="auto" w:fill="CCEEFF"/>
            <w:vAlign w:val="bottom"/>
          </w:tcPr>
          <w:p w14:paraId="5556B759" w14:textId="77777777" w:rsidR="00F925DD" w:rsidRDefault="00F925DD">
            <w:pPr>
              <w:textAlignment w:val="bottom"/>
              <w:rPr>
                <w:rFonts w:ascii="Times New Roman" w:hAnsi="Times New Roman"/>
                <w:sz w:val="20"/>
                <w:szCs w:val="20"/>
              </w:rPr>
            </w:pPr>
          </w:p>
        </w:tc>
      </w:tr>
      <w:tr w:rsidR="00F925DD" w14:paraId="5556B769" w14:textId="77777777">
        <w:tc>
          <w:tcPr>
            <w:tcW w:w="0" w:type="auto"/>
            <w:shd w:val="clear" w:color="auto" w:fill="auto"/>
            <w:tcMar>
              <w:top w:w="40" w:type="dxa"/>
              <w:left w:w="1040" w:type="dxa"/>
              <w:bottom w:w="40" w:type="dxa"/>
              <w:right w:w="40" w:type="dxa"/>
            </w:tcMar>
            <w:vAlign w:val="bottom"/>
          </w:tcPr>
          <w:p w14:paraId="5556B75B"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B75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B75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5E"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B75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1,124</w:t>
            </w:r>
          </w:p>
        </w:tc>
        <w:tc>
          <w:tcPr>
            <w:tcW w:w="0" w:type="auto"/>
            <w:tcBorders>
              <w:bottom w:val="single" w:sz="8" w:space="0" w:color="000000"/>
            </w:tcBorders>
            <w:shd w:val="clear" w:color="auto" w:fill="auto"/>
            <w:vAlign w:val="bottom"/>
          </w:tcPr>
          <w:p w14:paraId="5556B7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61"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B76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593</w:t>
            </w:r>
          </w:p>
        </w:tc>
        <w:tc>
          <w:tcPr>
            <w:tcW w:w="0" w:type="auto"/>
            <w:tcBorders>
              <w:bottom w:val="single" w:sz="8" w:space="0" w:color="000000"/>
            </w:tcBorders>
            <w:shd w:val="clear" w:color="auto" w:fill="auto"/>
            <w:vAlign w:val="bottom"/>
          </w:tcPr>
          <w:p w14:paraId="5556B7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7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766"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B76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1,717</w:t>
            </w:r>
          </w:p>
        </w:tc>
        <w:tc>
          <w:tcPr>
            <w:tcW w:w="0" w:type="auto"/>
            <w:tcBorders>
              <w:bottom w:val="single" w:sz="8" w:space="0" w:color="000000"/>
            </w:tcBorders>
            <w:shd w:val="clear" w:color="auto" w:fill="auto"/>
            <w:vAlign w:val="bottom"/>
          </w:tcPr>
          <w:p w14:paraId="5556B768" w14:textId="77777777" w:rsidR="00F925DD" w:rsidRDefault="00F925DD">
            <w:pPr>
              <w:textAlignment w:val="bottom"/>
              <w:rPr>
                <w:rFonts w:ascii="Times New Roman" w:hAnsi="Times New Roman"/>
                <w:sz w:val="20"/>
                <w:szCs w:val="20"/>
              </w:rPr>
            </w:pPr>
          </w:p>
        </w:tc>
      </w:tr>
      <w:tr w:rsidR="00F925DD" w14:paraId="5556B777" w14:textId="77777777">
        <w:tc>
          <w:tcPr>
            <w:tcW w:w="0" w:type="auto"/>
            <w:shd w:val="clear" w:color="auto" w:fill="CCEEFF"/>
            <w:tcMar>
              <w:top w:w="40" w:type="dxa"/>
              <w:left w:w="400" w:type="dxa"/>
              <w:bottom w:w="40" w:type="dxa"/>
              <w:right w:w="40" w:type="dxa"/>
            </w:tcMar>
            <w:vAlign w:val="bottom"/>
          </w:tcPr>
          <w:p w14:paraId="5556B76A"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Non-U.S. debt </w:t>
            </w:r>
            <w:r>
              <w:rPr>
                <w:rFonts w:ascii="Arial" w:eastAsia="宋体" w:hAnsi="Arial" w:cs="Arial"/>
                <w:sz w:val="15"/>
                <w:szCs w:val="15"/>
              </w:rPr>
              <w:t>securities:</w:t>
            </w:r>
          </w:p>
        </w:tc>
        <w:tc>
          <w:tcPr>
            <w:tcW w:w="0" w:type="auto"/>
            <w:gridSpan w:val="2"/>
            <w:shd w:val="clear" w:color="auto" w:fill="CCEEFF"/>
            <w:tcMar>
              <w:top w:w="40" w:type="dxa"/>
              <w:left w:w="40" w:type="dxa"/>
              <w:bottom w:w="40" w:type="dxa"/>
            </w:tcMar>
            <w:vAlign w:val="bottom"/>
          </w:tcPr>
          <w:p w14:paraId="5556B76B" w14:textId="77777777" w:rsidR="00F925DD" w:rsidRDefault="00F925DD">
            <w:pPr>
              <w:jc w:val="right"/>
              <w:textAlignment w:val="bottom"/>
              <w:rPr>
                <w:rFonts w:ascii="Times New Roman" w:hAnsi="Times New Roman"/>
                <w:sz w:val="15"/>
                <w:szCs w:val="15"/>
              </w:rPr>
            </w:pPr>
          </w:p>
        </w:tc>
        <w:tc>
          <w:tcPr>
            <w:tcW w:w="0" w:type="auto"/>
            <w:shd w:val="clear" w:color="auto" w:fill="CCEEFF"/>
            <w:vAlign w:val="bottom"/>
          </w:tcPr>
          <w:p w14:paraId="5556B76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6D"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6E" w14:textId="77777777" w:rsidR="00F925DD" w:rsidRDefault="00F925DD">
            <w:pPr>
              <w:jc w:val="right"/>
              <w:textAlignment w:val="bottom"/>
              <w:rPr>
                <w:rFonts w:ascii="Times New Roman" w:hAnsi="Times New Roman"/>
                <w:sz w:val="15"/>
                <w:szCs w:val="15"/>
              </w:rPr>
            </w:pPr>
          </w:p>
        </w:tc>
        <w:tc>
          <w:tcPr>
            <w:tcW w:w="0" w:type="auto"/>
            <w:shd w:val="clear" w:color="auto" w:fill="CCEEFF"/>
            <w:vAlign w:val="bottom"/>
          </w:tcPr>
          <w:p w14:paraId="5556B76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70" w14:textId="77777777" w:rsidR="00F925DD" w:rsidRDefault="00F925DD">
            <w:pPr>
              <w:jc w:val="right"/>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B7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7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7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774"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75" w14:textId="77777777" w:rsidR="00F925DD" w:rsidRDefault="00F925DD">
            <w:pPr>
              <w:jc w:val="right"/>
              <w:textAlignment w:val="bottom"/>
              <w:rPr>
                <w:rFonts w:ascii="Times New Roman" w:hAnsi="Times New Roman"/>
                <w:sz w:val="15"/>
                <w:szCs w:val="15"/>
              </w:rPr>
            </w:pPr>
          </w:p>
        </w:tc>
        <w:tc>
          <w:tcPr>
            <w:tcW w:w="0" w:type="auto"/>
            <w:shd w:val="clear" w:color="auto" w:fill="CCEEFF"/>
            <w:vAlign w:val="bottom"/>
          </w:tcPr>
          <w:p w14:paraId="5556B776" w14:textId="77777777" w:rsidR="00F925DD" w:rsidRDefault="00F925DD">
            <w:pPr>
              <w:textAlignment w:val="bottom"/>
              <w:rPr>
                <w:rFonts w:ascii="Times New Roman" w:hAnsi="Times New Roman"/>
                <w:sz w:val="20"/>
                <w:szCs w:val="20"/>
              </w:rPr>
            </w:pPr>
          </w:p>
        </w:tc>
      </w:tr>
      <w:tr w:rsidR="00F925DD" w14:paraId="5556B786" w14:textId="77777777">
        <w:tc>
          <w:tcPr>
            <w:tcW w:w="0" w:type="auto"/>
            <w:shd w:val="clear" w:color="auto" w:fill="auto"/>
            <w:tcMar>
              <w:top w:w="40" w:type="dxa"/>
              <w:left w:w="720" w:type="dxa"/>
              <w:bottom w:w="40" w:type="dxa"/>
              <w:right w:w="40" w:type="dxa"/>
            </w:tcMar>
            <w:vAlign w:val="bottom"/>
          </w:tcPr>
          <w:p w14:paraId="5556B778"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5556B77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7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7B"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7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1,682</w:t>
            </w:r>
          </w:p>
        </w:tc>
        <w:tc>
          <w:tcPr>
            <w:tcW w:w="0" w:type="auto"/>
            <w:shd w:val="clear" w:color="auto" w:fill="auto"/>
            <w:vAlign w:val="bottom"/>
          </w:tcPr>
          <w:p w14:paraId="5556B7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7E"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7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7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7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783"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8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1,682</w:t>
            </w:r>
          </w:p>
        </w:tc>
        <w:tc>
          <w:tcPr>
            <w:tcW w:w="0" w:type="auto"/>
            <w:shd w:val="clear" w:color="auto" w:fill="auto"/>
            <w:vAlign w:val="bottom"/>
          </w:tcPr>
          <w:p w14:paraId="5556B785" w14:textId="77777777" w:rsidR="00F925DD" w:rsidRDefault="00F925DD">
            <w:pPr>
              <w:textAlignment w:val="bottom"/>
              <w:rPr>
                <w:rFonts w:ascii="Times New Roman" w:hAnsi="Times New Roman"/>
                <w:sz w:val="20"/>
                <w:szCs w:val="20"/>
              </w:rPr>
            </w:pPr>
          </w:p>
        </w:tc>
      </w:tr>
      <w:tr w:rsidR="00F925DD" w14:paraId="5556B795" w14:textId="77777777">
        <w:tc>
          <w:tcPr>
            <w:tcW w:w="0" w:type="auto"/>
            <w:shd w:val="clear" w:color="auto" w:fill="CCEEFF"/>
            <w:tcMar>
              <w:top w:w="40" w:type="dxa"/>
              <w:left w:w="720" w:type="dxa"/>
              <w:bottom w:w="40" w:type="dxa"/>
              <w:right w:w="40" w:type="dxa"/>
            </w:tcMar>
            <w:vAlign w:val="bottom"/>
          </w:tcPr>
          <w:p w14:paraId="5556B787"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CCEEFF"/>
            <w:tcMar>
              <w:top w:w="40" w:type="dxa"/>
              <w:left w:w="40" w:type="dxa"/>
              <w:bottom w:w="40" w:type="dxa"/>
            </w:tcMar>
            <w:vAlign w:val="bottom"/>
          </w:tcPr>
          <w:p w14:paraId="5556B78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7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8A"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8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943</w:t>
            </w:r>
          </w:p>
        </w:tc>
        <w:tc>
          <w:tcPr>
            <w:tcW w:w="0" w:type="auto"/>
            <w:shd w:val="clear" w:color="auto" w:fill="CCEEFF"/>
            <w:vAlign w:val="bottom"/>
          </w:tcPr>
          <w:p w14:paraId="5556B7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8D"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8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631</w:t>
            </w:r>
          </w:p>
        </w:tc>
        <w:tc>
          <w:tcPr>
            <w:tcW w:w="0" w:type="auto"/>
            <w:shd w:val="clear" w:color="auto" w:fill="CCEEFF"/>
            <w:vAlign w:val="bottom"/>
          </w:tcPr>
          <w:p w14:paraId="5556B78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7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792"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9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1,574</w:t>
            </w:r>
          </w:p>
        </w:tc>
        <w:tc>
          <w:tcPr>
            <w:tcW w:w="0" w:type="auto"/>
            <w:shd w:val="clear" w:color="auto" w:fill="CCEEFF"/>
            <w:vAlign w:val="bottom"/>
          </w:tcPr>
          <w:p w14:paraId="5556B794" w14:textId="77777777" w:rsidR="00F925DD" w:rsidRDefault="00F925DD">
            <w:pPr>
              <w:textAlignment w:val="bottom"/>
              <w:rPr>
                <w:rFonts w:ascii="Times New Roman" w:hAnsi="Times New Roman"/>
                <w:sz w:val="20"/>
                <w:szCs w:val="20"/>
              </w:rPr>
            </w:pPr>
          </w:p>
        </w:tc>
      </w:tr>
      <w:tr w:rsidR="00F925DD" w14:paraId="5556B7A4" w14:textId="77777777">
        <w:tc>
          <w:tcPr>
            <w:tcW w:w="0" w:type="auto"/>
            <w:shd w:val="clear" w:color="auto" w:fill="auto"/>
            <w:tcMar>
              <w:top w:w="40" w:type="dxa"/>
              <w:left w:w="720" w:type="dxa"/>
              <w:bottom w:w="40" w:type="dxa"/>
              <w:right w:w="40" w:type="dxa"/>
            </w:tcMar>
            <w:vAlign w:val="bottom"/>
          </w:tcPr>
          <w:p w14:paraId="5556B796" w14:textId="77777777" w:rsidR="00F925DD" w:rsidRDefault="00E705D7">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shd w:val="clear" w:color="auto" w:fill="auto"/>
            <w:tcMar>
              <w:top w:w="40" w:type="dxa"/>
              <w:left w:w="40" w:type="dxa"/>
              <w:bottom w:w="40" w:type="dxa"/>
            </w:tcMar>
            <w:vAlign w:val="bottom"/>
          </w:tcPr>
          <w:p w14:paraId="5556B79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79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99"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9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12,793</w:t>
            </w:r>
          </w:p>
        </w:tc>
        <w:tc>
          <w:tcPr>
            <w:tcW w:w="0" w:type="auto"/>
            <w:shd w:val="clear" w:color="auto" w:fill="auto"/>
            <w:vAlign w:val="bottom"/>
          </w:tcPr>
          <w:p w14:paraId="5556B7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9C"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9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79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7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7A1"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A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12,793</w:t>
            </w:r>
          </w:p>
        </w:tc>
        <w:tc>
          <w:tcPr>
            <w:tcW w:w="0" w:type="auto"/>
            <w:shd w:val="clear" w:color="auto" w:fill="auto"/>
            <w:vAlign w:val="bottom"/>
          </w:tcPr>
          <w:p w14:paraId="5556B7A3" w14:textId="77777777" w:rsidR="00F925DD" w:rsidRDefault="00F925DD">
            <w:pPr>
              <w:textAlignment w:val="bottom"/>
              <w:rPr>
                <w:rFonts w:ascii="Times New Roman" w:hAnsi="Times New Roman"/>
                <w:sz w:val="20"/>
                <w:szCs w:val="20"/>
              </w:rPr>
            </w:pPr>
          </w:p>
        </w:tc>
      </w:tr>
      <w:tr w:rsidR="00F925DD" w14:paraId="5556B7B3" w14:textId="77777777">
        <w:tc>
          <w:tcPr>
            <w:tcW w:w="0" w:type="auto"/>
            <w:shd w:val="clear" w:color="auto" w:fill="CCEEFF"/>
            <w:tcMar>
              <w:top w:w="40" w:type="dxa"/>
              <w:left w:w="720" w:type="dxa"/>
              <w:bottom w:w="40" w:type="dxa"/>
              <w:right w:w="40" w:type="dxa"/>
            </w:tcMar>
            <w:vAlign w:val="bottom"/>
          </w:tcPr>
          <w:p w14:paraId="5556B7A5" w14:textId="77777777" w:rsidR="00F925DD" w:rsidRDefault="00E705D7">
            <w:pPr>
              <w:textAlignment w:val="bottom"/>
              <w:rPr>
                <w:rFonts w:ascii="Times New Roman" w:hAnsi="Times New Roman"/>
                <w:sz w:val="15"/>
                <w:szCs w:val="15"/>
              </w:rPr>
            </w:pPr>
            <w:r>
              <w:rPr>
                <w:rFonts w:ascii="Arial" w:eastAsia="宋体" w:hAnsi="Arial" w:cs="Arial"/>
                <w:sz w:val="15"/>
                <w:szCs w:val="15"/>
              </w:rPr>
              <w:t>Other(2)</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7A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B7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A8"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B7A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6,544</w:t>
            </w:r>
          </w:p>
        </w:tc>
        <w:tc>
          <w:tcPr>
            <w:tcW w:w="0" w:type="auto"/>
            <w:tcBorders>
              <w:bottom w:val="single" w:sz="8" w:space="0" w:color="000000"/>
            </w:tcBorders>
            <w:shd w:val="clear" w:color="auto" w:fill="CCEEFF"/>
            <w:vAlign w:val="bottom"/>
          </w:tcPr>
          <w:p w14:paraId="5556B7A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AB"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B7A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w:t>
            </w:r>
          </w:p>
        </w:tc>
        <w:tc>
          <w:tcPr>
            <w:tcW w:w="0" w:type="auto"/>
            <w:tcBorders>
              <w:bottom w:val="single" w:sz="8" w:space="0" w:color="000000"/>
            </w:tcBorders>
            <w:shd w:val="clear" w:color="auto" w:fill="CCEEFF"/>
            <w:vAlign w:val="bottom"/>
          </w:tcPr>
          <w:p w14:paraId="5556B7A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7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7B0"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B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6,602</w:t>
            </w:r>
          </w:p>
        </w:tc>
        <w:tc>
          <w:tcPr>
            <w:tcW w:w="0" w:type="auto"/>
            <w:shd w:val="clear" w:color="auto" w:fill="CCEEFF"/>
            <w:vAlign w:val="bottom"/>
          </w:tcPr>
          <w:p w14:paraId="5556B7B2" w14:textId="77777777" w:rsidR="00F925DD" w:rsidRDefault="00F925DD">
            <w:pPr>
              <w:textAlignment w:val="bottom"/>
              <w:rPr>
                <w:rFonts w:ascii="Times New Roman" w:hAnsi="Times New Roman"/>
                <w:sz w:val="20"/>
                <w:szCs w:val="20"/>
              </w:rPr>
            </w:pPr>
          </w:p>
        </w:tc>
      </w:tr>
      <w:tr w:rsidR="00F925DD" w14:paraId="5556B7C2" w14:textId="77777777">
        <w:tc>
          <w:tcPr>
            <w:tcW w:w="0" w:type="auto"/>
            <w:shd w:val="clear" w:color="auto" w:fill="auto"/>
            <w:tcMar>
              <w:top w:w="40" w:type="dxa"/>
              <w:left w:w="1040" w:type="dxa"/>
              <w:bottom w:w="40" w:type="dxa"/>
              <w:right w:w="40" w:type="dxa"/>
            </w:tcMar>
            <w:vAlign w:val="bottom"/>
          </w:tcPr>
          <w:p w14:paraId="5556B7B4"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Total non-U.S. debt </w:t>
            </w:r>
            <w:r>
              <w:rPr>
                <w:rFonts w:ascii="Arial" w:eastAsia="宋体" w:hAnsi="Arial" w:cs="Arial"/>
                <w:sz w:val="15"/>
                <w:szCs w:val="15"/>
              </w:rPr>
              <w:t>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7B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auto"/>
            <w:vAlign w:val="bottom"/>
          </w:tcPr>
          <w:p w14:paraId="5556B7B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B7"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7B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21,962</w:t>
            </w:r>
          </w:p>
        </w:tc>
        <w:tc>
          <w:tcPr>
            <w:tcW w:w="0" w:type="auto"/>
            <w:tcBorders>
              <w:top w:val="single" w:sz="8" w:space="0" w:color="000000"/>
              <w:bottom w:val="single" w:sz="8" w:space="0" w:color="000000"/>
            </w:tcBorders>
            <w:shd w:val="clear" w:color="auto" w:fill="auto"/>
            <w:vAlign w:val="bottom"/>
          </w:tcPr>
          <w:p w14:paraId="5556B7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BA"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7B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689</w:t>
            </w:r>
          </w:p>
        </w:tc>
        <w:tc>
          <w:tcPr>
            <w:tcW w:w="0" w:type="auto"/>
            <w:tcBorders>
              <w:top w:val="single" w:sz="8" w:space="0" w:color="000000"/>
              <w:bottom w:val="single" w:sz="8" w:space="0" w:color="000000"/>
            </w:tcBorders>
            <w:shd w:val="clear" w:color="auto" w:fill="auto"/>
            <w:vAlign w:val="bottom"/>
          </w:tcPr>
          <w:p w14:paraId="5556B7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7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7BF" w14:textId="77777777" w:rsidR="00F925DD" w:rsidRDefault="00F925DD">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B7C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22,651</w:t>
            </w:r>
          </w:p>
        </w:tc>
        <w:tc>
          <w:tcPr>
            <w:tcW w:w="0" w:type="auto"/>
            <w:tcBorders>
              <w:top w:val="single" w:sz="8" w:space="0" w:color="000000"/>
              <w:bottom w:val="single" w:sz="8" w:space="0" w:color="000000"/>
            </w:tcBorders>
            <w:shd w:val="clear" w:color="auto" w:fill="auto"/>
            <w:vAlign w:val="bottom"/>
          </w:tcPr>
          <w:p w14:paraId="5556B7C1" w14:textId="77777777" w:rsidR="00F925DD" w:rsidRDefault="00F925DD">
            <w:pPr>
              <w:textAlignment w:val="bottom"/>
              <w:rPr>
                <w:rFonts w:ascii="Times New Roman" w:hAnsi="Times New Roman"/>
                <w:sz w:val="20"/>
                <w:szCs w:val="20"/>
              </w:rPr>
            </w:pPr>
          </w:p>
        </w:tc>
      </w:tr>
      <w:tr w:rsidR="00F925DD" w14:paraId="5556B7D1" w14:textId="77777777">
        <w:tc>
          <w:tcPr>
            <w:tcW w:w="0" w:type="auto"/>
            <w:shd w:val="clear" w:color="auto" w:fill="CCEEFF"/>
            <w:tcMar>
              <w:top w:w="40" w:type="dxa"/>
              <w:left w:w="400" w:type="dxa"/>
              <w:bottom w:w="40" w:type="dxa"/>
              <w:right w:w="40" w:type="dxa"/>
            </w:tcMar>
            <w:vAlign w:val="bottom"/>
          </w:tcPr>
          <w:p w14:paraId="5556B7C3" w14:textId="77777777" w:rsidR="00F925DD" w:rsidRDefault="00E705D7">
            <w:pPr>
              <w:textAlignment w:val="bottom"/>
              <w:rPr>
                <w:rFonts w:ascii="Times New Roman" w:hAnsi="Times New Roman"/>
                <w:sz w:val="15"/>
                <w:szCs w:val="15"/>
              </w:rPr>
            </w:pPr>
            <w:r>
              <w:rPr>
                <w:rFonts w:ascii="Arial" w:eastAsia="宋体" w:hAnsi="Arial" w:cs="Arial"/>
                <w:sz w:val="15"/>
                <w:szCs w:val="15"/>
              </w:rPr>
              <w:t>State and political subdivisions</w:t>
            </w:r>
          </w:p>
        </w:tc>
        <w:tc>
          <w:tcPr>
            <w:tcW w:w="0" w:type="auto"/>
            <w:gridSpan w:val="2"/>
            <w:tcBorders>
              <w:top w:val="single" w:sz="8" w:space="0" w:color="000000"/>
            </w:tcBorders>
            <w:shd w:val="clear" w:color="auto" w:fill="CCEEFF"/>
            <w:tcMar>
              <w:top w:w="40" w:type="dxa"/>
              <w:left w:w="40" w:type="dxa"/>
              <w:bottom w:w="40" w:type="dxa"/>
            </w:tcMar>
            <w:vAlign w:val="bottom"/>
          </w:tcPr>
          <w:p w14:paraId="5556B7C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vAlign w:val="bottom"/>
          </w:tcPr>
          <w:p w14:paraId="5556B7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C6"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B7C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1,918</w:t>
            </w:r>
          </w:p>
        </w:tc>
        <w:tc>
          <w:tcPr>
            <w:tcW w:w="0" w:type="auto"/>
            <w:tcBorders>
              <w:top w:val="single" w:sz="8" w:space="0" w:color="000000"/>
            </w:tcBorders>
            <w:shd w:val="clear" w:color="auto" w:fill="CCEEFF"/>
            <w:vAlign w:val="bottom"/>
          </w:tcPr>
          <w:p w14:paraId="5556B7C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C9"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B7C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vAlign w:val="bottom"/>
          </w:tcPr>
          <w:p w14:paraId="5556B7C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7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7CE"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C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1,918</w:t>
            </w:r>
          </w:p>
        </w:tc>
        <w:tc>
          <w:tcPr>
            <w:tcW w:w="0" w:type="auto"/>
            <w:shd w:val="clear" w:color="auto" w:fill="CCEEFF"/>
            <w:vAlign w:val="bottom"/>
          </w:tcPr>
          <w:p w14:paraId="5556B7D0" w14:textId="77777777" w:rsidR="00F925DD" w:rsidRDefault="00F925DD">
            <w:pPr>
              <w:textAlignment w:val="bottom"/>
              <w:rPr>
                <w:rFonts w:ascii="Times New Roman" w:hAnsi="Times New Roman"/>
                <w:sz w:val="20"/>
                <w:szCs w:val="20"/>
              </w:rPr>
            </w:pPr>
          </w:p>
        </w:tc>
      </w:tr>
      <w:tr w:rsidR="00F925DD" w14:paraId="5556B7E0" w14:textId="77777777">
        <w:tc>
          <w:tcPr>
            <w:tcW w:w="0" w:type="auto"/>
            <w:shd w:val="clear" w:color="auto" w:fill="auto"/>
            <w:tcMar>
              <w:top w:w="40" w:type="dxa"/>
              <w:left w:w="400" w:type="dxa"/>
              <w:bottom w:w="40" w:type="dxa"/>
              <w:right w:w="40" w:type="dxa"/>
            </w:tcMar>
            <w:vAlign w:val="bottom"/>
          </w:tcPr>
          <w:p w14:paraId="5556B7D2"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mortgage obligations</w:t>
            </w:r>
          </w:p>
        </w:tc>
        <w:tc>
          <w:tcPr>
            <w:tcW w:w="0" w:type="auto"/>
            <w:gridSpan w:val="2"/>
            <w:shd w:val="clear" w:color="auto" w:fill="auto"/>
            <w:tcMar>
              <w:top w:w="40" w:type="dxa"/>
              <w:left w:w="40" w:type="dxa"/>
              <w:bottom w:w="40" w:type="dxa"/>
            </w:tcMar>
            <w:vAlign w:val="bottom"/>
          </w:tcPr>
          <w:p w14:paraId="5556B7D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7D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D5"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D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195</w:t>
            </w:r>
          </w:p>
        </w:tc>
        <w:tc>
          <w:tcPr>
            <w:tcW w:w="0" w:type="auto"/>
            <w:shd w:val="clear" w:color="auto" w:fill="auto"/>
            <w:vAlign w:val="bottom"/>
          </w:tcPr>
          <w:p w14:paraId="5556B7D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D8"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D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vAlign w:val="bottom"/>
          </w:tcPr>
          <w:p w14:paraId="5556B7D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7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7DD"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7D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197</w:t>
            </w:r>
          </w:p>
        </w:tc>
        <w:tc>
          <w:tcPr>
            <w:tcW w:w="0" w:type="auto"/>
            <w:shd w:val="clear" w:color="auto" w:fill="auto"/>
            <w:vAlign w:val="bottom"/>
          </w:tcPr>
          <w:p w14:paraId="5556B7DF" w14:textId="77777777" w:rsidR="00F925DD" w:rsidRDefault="00F925DD">
            <w:pPr>
              <w:textAlignment w:val="bottom"/>
              <w:rPr>
                <w:rFonts w:ascii="Times New Roman" w:hAnsi="Times New Roman"/>
                <w:sz w:val="20"/>
                <w:szCs w:val="20"/>
              </w:rPr>
            </w:pPr>
          </w:p>
        </w:tc>
      </w:tr>
      <w:tr w:rsidR="00F925DD" w14:paraId="5556B7EF" w14:textId="77777777">
        <w:tc>
          <w:tcPr>
            <w:tcW w:w="0" w:type="auto"/>
            <w:shd w:val="clear" w:color="auto" w:fill="CCEEFF"/>
            <w:tcMar>
              <w:top w:w="40" w:type="dxa"/>
              <w:left w:w="400" w:type="dxa"/>
              <w:bottom w:w="40" w:type="dxa"/>
              <w:right w:w="40" w:type="dxa"/>
            </w:tcMar>
            <w:vAlign w:val="bottom"/>
          </w:tcPr>
          <w:p w14:paraId="5556B7E1"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U.S. debt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7E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B7E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E4"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E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1,658</w:t>
            </w:r>
          </w:p>
        </w:tc>
        <w:tc>
          <w:tcPr>
            <w:tcW w:w="0" w:type="auto"/>
            <w:shd w:val="clear" w:color="auto" w:fill="CCEEFF"/>
            <w:vAlign w:val="bottom"/>
          </w:tcPr>
          <w:p w14:paraId="5556B7E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E7"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E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7E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7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7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7EC"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7E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1,658</w:t>
            </w:r>
          </w:p>
        </w:tc>
        <w:tc>
          <w:tcPr>
            <w:tcW w:w="0" w:type="auto"/>
            <w:shd w:val="clear" w:color="auto" w:fill="CCEEFF"/>
            <w:vAlign w:val="bottom"/>
          </w:tcPr>
          <w:p w14:paraId="5556B7EE" w14:textId="77777777" w:rsidR="00F925DD" w:rsidRDefault="00F925DD">
            <w:pPr>
              <w:textAlignment w:val="bottom"/>
              <w:rPr>
                <w:rFonts w:ascii="Times New Roman" w:hAnsi="Times New Roman"/>
                <w:sz w:val="20"/>
                <w:szCs w:val="20"/>
              </w:rPr>
            </w:pPr>
          </w:p>
        </w:tc>
      </w:tr>
      <w:tr w:rsidR="00F925DD" w14:paraId="5556B7FE" w14:textId="77777777">
        <w:tc>
          <w:tcPr>
            <w:tcW w:w="0" w:type="auto"/>
            <w:shd w:val="clear" w:color="auto" w:fill="auto"/>
            <w:tcMar>
              <w:top w:w="40" w:type="dxa"/>
              <w:left w:w="1040" w:type="dxa"/>
              <w:bottom w:w="40" w:type="dxa"/>
              <w:right w:w="40" w:type="dxa"/>
            </w:tcMar>
            <w:vAlign w:val="bottom"/>
          </w:tcPr>
          <w:p w14:paraId="5556B7F0"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Total </w:t>
            </w:r>
            <w:r>
              <w:rPr>
                <w:rFonts w:ascii="Arial" w:eastAsia="宋体" w:hAnsi="Arial" w:cs="Arial"/>
                <w:sz w:val="15"/>
                <w:szCs w:val="15"/>
              </w:rPr>
              <w:t>available-for-sale investment securities</w:t>
            </w:r>
          </w:p>
        </w:tc>
        <w:tc>
          <w:tcPr>
            <w:tcW w:w="0" w:type="auto"/>
            <w:gridSpan w:val="2"/>
            <w:shd w:val="clear" w:color="auto" w:fill="auto"/>
            <w:tcMar>
              <w:top w:w="40" w:type="dxa"/>
              <w:left w:w="40" w:type="dxa"/>
              <w:bottom w:w="40" w:type="dxa"/>
            </w:tcMar>
            <w:vAlign w:val="bottom"/>
          </w:tcPr>
          <w:p w14:paraId="5556B7F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1,039</w:t>
            </w:r>
          </w:p>
        </w:tc>
        <w:tc>
          <w:tcPr>
            <w:tcW w:w="0" w:type="auto"/>
            <w:shd w:val="clear" w:color="auto" w:fill="auto"/>
            <w:vAlign w:val="bottom"/>
          </w:tcPr>
          <w:p w14:paraId="5556B7F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F3"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auto"/>
            <w:tcMar>
              <w:top w:w="40" w:type="dxa"/>
              <w:left w:w="40" w:type="dxa"/>
              <w:bottom w:w="40" w:type="dxa"/>
            </w:tcMar>
            <w:vAlign w:val="bottom"/>
          </w:tcPr>
          <w:p w14:paraId="5556B7F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42,825</w:t>
            </w:r>
          </w:p>
        </w:tc>
        <w:tc>
          <w:tcPr>
            <w:tcW w:w="0" w:type="auto"/>
            <w:tcBorders>
              <w:top w:val="single" w:sz="8" w:space="0" w:color="000000"/>
            </w:tcBorders>
            <w:shd w:val="clear" w:color="auto" w:fill="auto"/>
            <w:vAlign w:val="bottom"/>
          </w:tcPr>
          <w:p w14:paraId="5556B7F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F6"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auto"/>
            <w:tcMar>
              <w:top w:w="40" w:type="dxa"/>
              <w:left w:w="40" w:type="dxa"/>
              <w:bottom w:w="40" w:type="dxa"/>
            </w:tcMar>
            <w:vAlign w:val="bottom"/>
          </w:tcPr>
          <w:p w14:paraId="5556B7F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1,284</w:t>
            </w:r>
          </w:p>
        </w:tc>
        <w:tc>
          <w:tcPr>
            <w:tcW w:w="0" w:type="auto"/>
            <w:tcBorders>
              <w:top w:val="single" w:sz="8" w:space="0" w:color="000000"/>
            </w:tcBorders>
            <w:shd w:val="clear" w:color="auto" w:fill="auto"/>
            <w:vAlign w:val="bottom"/>
          </w:tcPr>
          <w:p w14:paraId="5556B7F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7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7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7FB" w14:textId="77777777" w:rsidR="00F925DD" w:rsidRDefault="00F925DD">
            <w:pPr>
              <w:textAlignment w:val="bottom"/>
              <w:rPr>
                <w:rFonts w:ascii="Times New Roman" w:hAnsi="Times New Roman"/>
                <w:sz w:val="15"/>
                <w:szCs w:val="15"/>
              </w:rPr>
            </w:pPr>
          </w:p>
        </w:tc>
        <w:tc>
          <w:tcPr>
            <w:tcW w:w="0" w:type="auto"/>
            <w:gridSpan w:val="2"/>
            <w:tcBorders>
              <w:top w:val="single" w:sz="8" w:space="0" w:color="000000"/>
            </w:tcBorders>
            <w:shd w:val="clear" w:color="auto" w:fill="auto"/>
            <w:tcMar>
              <w:top w:w="40" w:type="dxa"/>
              <w:left w:w="40" w:type="dxa"/>
              <w:bottom w:w="40" w:type="dxa"/>
            </w:tcMar>
            <w:vAlign w:val="bottom"/>
          </w:tcPr>
          <w:p w14:paraId="5556B7F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45,148</w:t>
            </w:r>
          </w:p>
        </w:tc>
        <w:tc>
          <w:tcPr>
            <w:tcW w:w="0" w:type="auto"/>
            <w:tcBorders>
              <w:top w:val="single" w:sz="8" w:space="0" w:color="000000"/>
            </w:tcBorders>
            <w:shd w:val="clear" w:color="auto" w:fill="auto"/>
            <w:vAlign w:val="bottom"/>
          </w:tcPr>
          <w:p w14:paraId="5556B7FD" w14:textId="77777777" w:rsidR="00F925DD" w:rsidRDefault="00F925DD">
            <w:pPr>
              <w:textAlignment w:val="bottom"/>
              <w:rPr>
                <w:rFonts w:ascii="Times New Roman" w:hAnsi="Times New Roman"/>
                <w:sz w:val="20"/>
                <w:szCs w:val="20"/>
              </w:rPr>
            </w:pPr>
          </w:p>
        </w:tc>
      </w:tr>
      <w:tr w:rsidR="00F925DD" w14:paraId="5556B809" w14:textId="77777777">
        <w:tc>
          <w:tcPr>
            <w:tcW w:w="0" w:type="auto"/>
            <w:shd w:val="clear" w:color="auto" w:fill="CCEEFF"/>
            <w:tcMar>
              <w:top w:w="40" w:type="dxa"/>
              <w:left w:w="40" w:type="dxa"/>
              <w:bottom w:w="40" w:type="dxa"/>
              <w:right w:w="40" w:type="dxa"/>
            </w:tcMar>
            <w:vAlign w:val="bottom"/>
          </w:tcPr>
          <w:p w14:paraId="5556B7FF"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assets:</w:t>
            </w:r>
          </w:p>
        </w:tc>
        <w:tc>
          <w:tcPr>
            <w:tcW w:w="0" w:type="auto"/>
            <w:gridSpan w:val="3"/>
            <w:shd w:val="clear" w:color="auto" w:fill="CCEEFF"/>
            <w:tcMar>
              <w:top w:w="40" w:type="dxa"/>
              <w:left w:w="40" w:type="dxa"/>
              <w:bottom w:w="40" w:type="dxa"/>
              <w:right w:w="40" w:type="dxa"/>
            </w:tcMar>
            <w:vAlign w:val="bottom"/>
          </w:tcPr>
          <w:p w14:paraId="5556B800"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B801"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B802"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B803"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B8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8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8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8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8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814" w14:textId="77777777">
        <w:tc>
          <w:tcPr>
            <w:tcW w:w="0" w:type="auto"/>
            <w:shd w:val="clear" w:color="auto" w:fill="auto"/>
            <w:tcMar>
              <w:top w:w="40" w:type="dxa"/>
              <w:left w:w="400" w:type="dxa"/>
              <w:bottom w:w="40" w:type="dxa"/>
              <w:right w:w="40" w:type="dxa"/>
            </w:tcMar>
            <w:vAlign w:val="bottom"/>
          </w:tcPr>
          <w:p w14:paraId="5556B80A" w14:textId="77777777" w:rsidR="00F925DD" w:rsidRDefault="00E705D7">
            <w:pPr>
              <w:textAlignment w:val="bottom"/>
              <w:rPr>
                <w:rFonts w:ascii="Times New Roman" w:hAnsi="Times New Roman"/>
                <w:sz w:val="15"/>
                <w:szCs w:val="15"/>
              </w:rPr>
            </w:pPr>
            <w:r>
              <w:rPr>
                <w:rFonts w:ascii="Arial" w:eastAsia="宋体" w:hAnsi="Arial" w:cs="Arial"/>
                <w:sz w:val="15"/>
                <w:szCs w:val="15"/>
              </w:rPr>
              <w:t>Derivative instruments:</w:t>
            </w:r>
          </w:p>
        </w:tc>
        <w:tc>
          <w:tcPr>
            <w:tcW w:w="0" w:type="auto"/>
            <w:gridSpan w:val="3"/>
            <w:shd w:val="clear" w:color="auto" w:fill="auto"/>
            <w:tcMar>
              <w:top w:w="40" w:type="dxa"/>
              <w:left w:w="40" w:type="dxa"/>
              <w:bottom w:w="40" w:type="dxa"/>
              <w:right w:w="40" w:type="dxa"/>
            </w:tcMar>
            <w:vAlign w:val="bottom"/>
          </w:tcPr>
          <w:p w14:paraId="5556B80B"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80C"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80D"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80E"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8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8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8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8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8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825" w14:textId="77777777">
        <w:tc>
          <w:tcPr>
            <w:tcW w:w="0" w:type="auto"/>
            <w:shd w:val="clear" w:color="auto" w:fill="CCEEFF"/>
            <w:tcMar>
              <w:top w:w="40" w:type="dxa"/>
              <w:left w:w="720" w:type="dxa"/>
              <w:bottom w:w="40" w:type="dxa"/>
              <w:right w:w="40" w:type="dxa"/>
            </w:tcMar>
            <w:vAlign w:val="bottom"/>
          </w:tcPr>
          <w:p w14:paraId="5556B815"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gridSpan w:val="2"/>
            <w:shd w:val="clear" w:color="auto" w:fill="CCEEFF"/>
            <w:tcMar>
              <w:top w:w="40" w:type="dxa"/>
              <w:left w:w="40" w:type="dxa"/>
              <w:bottom w:w="40" w:type="dxa"/>
            </w:tcMar>
            <w:vAlign w:val="bottom"/>
          </w:tcPr>
          <w:p w14:paraId="5556B81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81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18"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81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16,382</w:t>
            </w:r>
          </w:p>
        </w:tc>
        <w:tc>
          <w:tcPr>
            <w:tcW w:w="0" w:type="auto"/>
            <w:shd w:val="clear" w:color="auto" w:fill="CCEEFF"/>
            <w:vAlign w:val="bottom"/>
          </w:tcPr>
          <w:p w14:paraId="5556B8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1B"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B81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CCEEFF"/>
            <w:vAlign w:val="bottom"/>
          </w:tcPr>
          <w:p w14:paraId="5556B81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81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82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(11,210</w:t>
            </w:r>
          </w:p>
        </w:tc>
        <w:tc>
          <w:tcPr>
            <w:tcW w:w="0" w:type="auto"/>
            <w:shd w:val="clear" w:color="auto" w:fill="CCEEFF"/>
            <w:tcMar>
              <w:top w:w="40" w:type="dxa"/>
              <w:bottom w:w="40" w:type="dxa"/>
              <w:right w:w="40" w:type="dxa"/>
            </w:tcMar>
            <w:vAlign w:val="bottom"/>
          </w:tcPr>
          <w:p w14:paraId="5556B82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8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82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5,176</w:t>
            </w:r>
          </w:p>
        </w:tc>
        <w:tc>
          <w:tcPr>
            <w:tcW w:w="0" w:type="auto"/>
            <w:shd w:val="clear" w:color="auto" w:fill="CCEEFF"/>
            <w:vAlign w:val="bottom"/>
          </w:tcPr>
          <w:p w14:paraId="5556B824" w14:textId="77777777" w:rsidR="00F925DD" w:rsidRDefault="00F925DD">
            <w:pPr>
              <w:textAlignment w:val="bottom"/>
              <w:rPr>
                <w:rFonts w:ascii="Times New Roman" w:hAnsi="Times New Roman"/>
                <w:sz w:val="20"/>
                <w:szCs w:val="20"/>
              </w:rPr>
            </w:pPr>
          </w:p>
        </w:tc>
      </w:tr>
      <w:tr w:rsidR="00F925DD" w14:paraId="5556B835" w14:textId="77777777">
        <w:tc>
          <w:tcPr>
            <w:tcW w:w="0" w:type="auto"/>
            <w:shd w:val="clear" w:color="auto" w:fill="auto"/>
            <w:tcMar>
              <w:top w:w="40" w:type="dxa"/>
              <w:left w:w="720" w:type="dxa"/>
              <w:bottom w:w="40" w:type="dxa"/>
              <w:right w:w="40" w:type="dxa"/>
            </w:tcMar>
            <w:vAlign w:val="bottom"/>
          </w:tcPr>
          <w:p w14:paraId="5556B826"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2"/>
            <w:shd w:val="clear" w:color="auto" w:fill="auto"/>
            <w:tcMar>
              <w:top w:w="40" w:type="dxa"/>
              <w:left w:w="40" w:type="dxa"/>
              <w:bottom w:w="40" w:type="dxa"/>
            </w:tcMar>
            <w:vAlign w:val="bottom"/>
          </w:tcPr>
          <w:p w14:paraId="5556B82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w:t>
            </w:r>
          </w:p>
        </w:tc>
        <w:tc>
          <w:tcPr>
            <w:tcW w:w="0" w:type="auto"/>
            <w:shd w:val="clear" w:color="auto" w:fill="auto"/>
            <w:vAlign w:val="bottom"/>
          </w:tcPr>
          <w:p w14:paraId="5556B82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29"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82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82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2C"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82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8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83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8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83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w:t>
            </w:r>
          </w:p>
        </w:tc>
        <w:tc>
          <w:tcPr>
            <w:tcW w:w="0" w:type="auto"/>
            <w:shd w:val="clear" w:color="auto" w:fill="auto"/>
            <w:vAlign w:val="bottom"/>
          </w:tcPr>
          <w:p w14:paraId="5556B834" w14:textId="77777777" w:rsidR="00F925DD" w:rsidRDefault="00F925DD">
            <w:pPr>
              <w:textAlignment w:val="bottom"/>
              <w:rPr>
                <w:rFonts w:ascii="Times New Roman" w:hAnsi="Times New Roman"/>
                <w:sz w:val="20"/>
                <w:szCs w:val="20"/>
              </w:rPr>
            </w:pPr>
          </w:p>
        </w:tc>
      </w:tr>
      <w:tr w:rsidR="00F925DD" w14:paraId="5556B845" w14:textId="77777777">
        <w:tc>
          <w:tcPr>
            <w:tcW w:w="0" w:type="auto"/>
            <w:shd w:val="clear" w:color="auto" w:fill="CCEEFF"/>
            <w:tcMar>
              <w:top w:w="40" w:type="dxa"/>
              <w:left w:w="1040" w:type="dxa"/>
              <w:bottom w:w="40" w:type="dxa"/>
              <w:right w:w="40" w:type="dxa"/>
            </w:tcMar>
            <w:vAlign w:val="bottom"/>
          </w:tcPr>
          <w:p w14:paraId="5556B836"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derivative instruments</w:t>
            </w:r>
          </w:p>
        </w:tc>
        <w:tc>
          <w:tcPr>
            <w:tcW w:w="0" w:type="auto"/>
            <w:gridSpan w:val="2"/>
            <w:tcBorders>
              <w:top w:val="single" w:sz="8" w:space="0" w:color="000000"/>
            </w:tcBorders>
            <w:shd w:val="clear" w:color="auto" w:fill="CCEEFF"/>
            <w:tcMar>
              <w:top w:w="40" w:type="dxa"/>
              <w:left w:w="40" w:type="dxa"/>
              <w:bottom w:w="40" w:type="dxa"/>
            </w:tcMar>
            <w:vAlign w:val="bottom"/>
          </w:tcPr>
          <w:p w14:paraId="5556B83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w:t>
            </w:r>
          </w:p>
        </w:tc>
        <w:tc>
          <w:tcPr>
            <w:tcW w:w="0" w:type="auto"/>
            <w:tcBorders>
              <w:top w:val="single" w:sz="8" w:space="0" w:color="000000"/>
            </w:tcBorders>
            <w:shd w:val="clear" w:color="auto" w:fill="CCEEFF"/>
            <w:vAlign w:val="bottom"/>
          </w:tcPr>
          <w:p w14:paraId="5556B8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39"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B83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16,382</w:t>
            </w:r>
          </w:p>
        </w:tc>
        <w:tc>
          <w:tcPr>
            <w:tcW w:w="0" w:type="auto"/>
            <w:tcBorders>
              <w:top w:val="single" w:sz="8" w:space="0" w:color="000000"/>
            </w:tcBorders>
            <w:shd w:val="clear" w:color="auto" w:fill="CCEEFF"/>
            <w:vAlign w:val="bottom"/>
          </w:tcPr>
          <w:p w14:paraId="5556B8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3C"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B83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tcBorders>
              <w:top w:val="single" w:sz="8" w:space="0" w:color="000000"/>
            </w:tcBorders>
            <w:shd w:val="clear" w:color="auto" w:fill="CCEEFF"/>
            <w:vAlign w:val="bottom"/>
          </w:tcPr>
          <w:p w14:paraId="5556B8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84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(11,210</w:t>
            </w:r>
          </w:p>
        </w:tc>
        <w:tc>
          <w:tcPr>
            <w:tcW w:w="0" w:type="auto"/>
            <w:tcBorders>
              <w:top w:val="single" w:sz="8" w:space="0" w:color="000000"/>
            </w:tcBorders>
            <w:shd w:val="clear" w:color="auto" w:fill="CCEEFF"/>
            <w:tcMar>
              <w:top w:w="40" w:type="dxa"/>
              <w:bottom w:w="40" w:type="dxa"/>
              <w:right w:w="40" w:type="dxa"/>
            </w:tcMar>
            <w:vAlign w:val="bottom"/>
          </w:tcPr>
          <w:p w14:paraId="5556B84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8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B84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5,189</w:t>
            </w:r>
          </w:p>
        </w:tc>
        <w:tc>
          <w:tcPr>
            <w:tcW w:w="0" w:type="auto"/>
            <w:tcBorders>
              <w:top w:val="single" w:sz="8" w:space="0" w:color="000000"/>
            </w:tcBorders>
            <w:shd w:val="clear" w:color="auto" w:fill="CCEEFF"/>
            <w:vAlign w:val="bottom"/>
          </w:tcPr>
          <w:p w14:paraId="5556B844" w14:textId="77777777" w:rsidR="00F925DD" w:rsidRDefault="00F925DD">
            <w:pPr>
              <w:textAlignment w:val="bottom"/>
              <w:rPr>
                <w:rFonts w:ascii="Times New Roman" w:hAnsi="Times New Roman"/>
                <w:sz w:val="20"/>
                <w:szCs w:val="20"/>
              </w:rPr>
            </w:pPr>
          </w:p>
        </w:tc>
      </w:tr>
      <w:tr w:rsidR="00F925DD" w14:paraId="5556B855" w14:textId="77777777">
        <w:tc>
          <w:tcPr>
            <w:tcW w:w="0" w:type="auto"/>
            <w:shd w:val="clear" w:color="auto" w:fill="auto"/>
            <w:tcMar>
              <w:top w:w="40" w:type="dxa"/>
              <w:left w:w="400" w:type="dxa"/>
              <w:bottom w:w="40" w:type="dxa"/>
              <w:right w:w="40" w:type="dxa"/>
            </w:tcMar>
            <w:vAlign w:val="bottom"/>
          </w:tcPr>
          <w:p w14:paraId="5556B846"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auto"/>
            <w:tcMar>
              <w:top w:w="40" w:type="dxa"/>
              <w:left w:w="40" w:type="dxa"/>
              <w:bottom w:w="40" w:type="dxa"/>
            </w:tcMar>
            <w:vAlign w:val="bottom"/>
          </w:tcPr>
          <w:p w14:paraId="5556B84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8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49"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84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395</w:t>
            </w:r>
          </w:p>
        </w:tc>
        <w:tc>
          <w:tcPr>
            <w:tcW w:w="0" w:type="auto"/>
            <w:shd w:val="clear" w:color="auto" w:fill="auto"/>
            <w:vAlign w:val="bottom"/>
          </w:tcPr>
          <w:p w14:paraId="5556B8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4C"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84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8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85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8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85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395</w:t>
            </w:r>
          </w:p>
        </w:tc>
        <w:tc>
          <w:tcPr>
            <w:tcW w:w="0" w:type="auto"/>
            <w:shd w:val="clear" w:color="auto" w:fill="auto"/>
            <w:vAlign w:val="bottom"/>
          </w:tcPr>
          <w:p w14:paraId="5556B854" w14:textId="77777777" w:rsidR="00F925DD" w:rsidRDefault="00F925DD">
            <w:pPr>
              <w:textAlignment w:val="bottom"/>
              <w:rPr>
                <w:rFonts w:ascii="Times New Roman" w:hAnsi="Times New Roman"/>
                <w:sz w:val="20"/>
                <w:szCs w:val="20"/>
              </w:rPr>
            </w:pPr>
          </w:p>
        </w:tc>
      </w:tr>
      <w:tr w:rsidR="00F925DD" w14:paraId="5556B86A" w14:textId="77777777">
        <w:tc>
          <w:tcPr>
            <w:tcW w:w="0" w:type="auto"/>
            <w:shd w:val="clear" w:color="auto" w:fill="CCEEFF"/>
            <w:tcMar>
              <w:top w:w="40" w:type="dxa"/>
              <w:left w:w="40" w:type="dxa"/>
              <w:bottom w:w="40" w:type="dxa"/>
              <w:right w:w="40" w:type="dxa"/>
            </w:tcMar>
            <w:vAlign w:val="bottom"/>
          </w:tcPr>
          <w:p w14:paraId="5556B856"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assets carried at fair value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85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85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1,232</w:t>
            </w:r>
          </w:p>
        </w:tc>
        <w:tc>
          <w:tcPr>
            <w:tcW w:w="0" w:type="auto"/>
            <w:tcBorders>
              <w:top w:val="single" w:sz="8" w:space="0" w:color="000000"/>
              <w:bottom w:val="double" w:sz="6" w:space="0" w:color="000000"/>
            </w:tcBorders>
            <w:shd w:val="clear" w:color="auto" w:fill="CCEEFF"/>
            <w:vAlign w:val="bottom"/>
          </w:tcPr>
          <w:p w14:paraId="5556B85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5A" w14:textId="77777777" w:rsidR="00F925DD" w:rsidRDefault="00F925DD">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85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85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60,282</w:t>
            </w:r>
          </w:p>
        </w:tc>
        <w:tc>
          <w:tcPr>
            <w:tcW w:w="0" w:type="auto"/>
            <w:tcBorders>
              <w:top w:val="single" w:sz="8" w:space="0" w:color="000000"/>
              <w:bottom w:val="double" w:sz="6" w:space="0" w:color="000000"/>
            </w:tcBorders>
            <w:shd w:val="clear" w:color="auto" w:fill="CCEEFF"/>
            <w:vAlign w:val="bottom"/>
          </w:tcPr>
          <w:p w14:paraId="5556B85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5E" w14:textId="77777777" w:rsidR="00F925DD" w:rsidRDefault="00F925DD">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85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86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1,288</w:t>
            </w:r>
          </w:p>
        </w:tc>
        <w:tc>
          <w:tcPr>
            <w:tcW w:w="0" w:type="auto"/>
            <w:tcBorders>
              <w:top w:val="single" w:sz="8" w:space="0" w:color="000000"/>
              <w:bottom w:val="double" w:sz="6" w:space="0" w:color="000000"/>
            </w:tcBorders>
            <w:shd w:val="clear" w:color="auto" w:fill="CCEEFF"/>
            <w:vAlign w:val="bottom"/>
          </w:tcPr>
          <w:p w14:paraId="5556B8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86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86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(11,210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B86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8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86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86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51,592</w:t>
            </w:r>
          </w:p>
        </w:tc>
        <w:tc>
          <w:tcPr>
            <w:tcW w:w="0" w:type="auto"/>
            <w:tcBorders>
              <w:top w:val="single" w:sz="8" w:space="0" w:color="000000"/>
              <w:bottom w:val="double" w:sz="6" w:space="0" w:color="000000"/>
            </w:tcBorders>
            <w:shd w:val="clear" w:color="auto" w:fill="CCEEFF"/>
            <w:vAlign w:val="bottom"/>
          </w:tcPr>
          <w:p w14:paraId="5556B869" w14:textId="77777777" w:rsidR="00F925DD" w:rsidRDefault="00F925DD">
            <w:pPr>
              <w:textAlignment w:val="bottom"/>
              <w:rPr>
                <w:rFonts w:ascii="Times New Roman" w:hAnsi="Times New Roman"/>
                <w:sz w:val="20"/>
                <w:szCs w:val="20"/>
              </w:rPr>
            </w:pPr>
          </w:p>
        </w:tc>
      </w:tr>
      <w:tr w:rsidR="00F925DD" w14:paraId="5556B875" w14:textId="77777777">
        <w:tc>
          <w:tcPr>
            <w:tcW w:w="0" w:type="auto"/>
            <w:shd w:val="clear" w:color="auto" w:fill="auto"/>
            <w:tcMar>
              <w:top w:w="40" w:type="dxa"/>
              <w:left w:w="40" w:type="dxa"/>
              <w:bottom w:w="40" w:type="dxa"/>
              <w:right w:w="40" w:type="dxa"/>
            </w:tcMar>
            <w:vAlign w:val="bottom"/>
          </w:tcPr>
          <w:p w14:paraId="5556B86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Liabilities:</w:t>
            </w:r>
          </w:p>
        </w:tc>
        <w:tc>
          <w:tcPr>
            <w:tcW w:w="0" w:type="auto"/>
            <w:gridSpan w:val="3"/>
            <w:shd w:val="clear" w:color="auto" w:fill="auto"/>
            <w:tcMar>
              <w:top w:w="40" w:type="dxa"/>
              <w:left w:w="40" w:type="dxa"/>
              <w:bottom w:w="40" w:type="dxa"/>
              <w:right w:w="40" w:type="dxa"/>
            </w:tcMar>
            <w:vAlign w:val="bottom"/>
          </w:tcPr>
          <w:p w14:paraId="5556B86C"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86D"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86E"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86F"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870"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8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8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8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8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880" w14:textId="77777777">
        <w:tc>
          <w:tcPr>
            <w:tcW w:w="0" w:type="auto"/>
            <w:shd w:val="clear" w:color="auto" w:fill="CCEEFF"/>
            <w:tcMar>
              <w:top w:w="40" w:type="dxa"/>
              <w:left w:w="40" w:type="dxa"/>
              <w:bottom w:w="40" w:type="dxa"/>
              <w:right w:w="40" w:type="dxa"/>
            </w:tcMar>
            <w:vAlign w:val="bottom"/>
          </w:tcPr>
          <w:p w14:paraId="5556B876" w14:textId="77777777" w:rsidR="00F925DD" w:rsidRDefault="00E705D7">
            <w:pPr>
              <w:textAlignment w:val="bottom"/>
              <w:rPr>
                <w:rFonts w:ascii="Times New Roman" w:hAnsi="Times New Roman"/>
                <w:sz w:val="15"/>
                <w:szCs w:val="15"/>
              </w:rPr>
            </w:pPr>
            <w:r>
              <w:rPr>
                <w:rFonts w:ascii="Arial" w:eastAsia="宋体" w:hAnsi="Arial" w:cs="Arial"/>
                <w:sz w:val="15"/>
                <w:szCs w:val="15"/>
              </w:rPr>
              <w:t>Accrued expenses and other liabilities:</w:t>
            </w:r>
          </w:p>
        </w:tc>
        <w:tc>
          <w:tcPr>
            <w:tcW w:w="0" w:type="auto"/>
            <w:gridSpan w:val="3"/>
            <w:shd w:val="clear" w:color="auto" w:fill="CCEEFF"/>
            <w:tcMar>
              <w:top w:w="40" w:type="dxa"/>
              <w:left w:w="40" w:type="dxa"/>
              <w:bottom w:w="40" w:type="dxa"/>
              <w:right w:w="40" w:type="dxa"/>
            </w:tcMar>
            <w:vAlign w:val="bottom"/>
          </w:tcPr>
          <w:p w14:paraId="5556B877"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B878"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B879"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B87A"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B87B"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B8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8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8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8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88B" w14:textId="77777777">
        <w:tc>
          <w:tcPr>
            <w:tcW w:w="0" w:type="auto"/>
            <w:shd w:val="clear" w:color="auto" w:fill="auto"/>
            <w:tcMar>
              <w:top w:w="40" w:type="dxa"/>
              <w:left w:w="400" w:type="dxa"/>
              <w:bottom w:w="40" w:type="dxa"/>
              <w:right w:w="40" w:type="dxa"/>
            </w:tcMar>
            <w:vAlign w:val="bottom"/>
          </w:tcPr>
          <w:p w14:paraId="5556B881" w14:textId="77777777" w:rsidR="00F925DD" w:rsidRDefault="00E705D7">
            <w:pPr>
              <w:textAlignment w:val="bottom"/>
              <w:rPr>
                <w:rFonts w:ascii="Times New Roman" w:hAnsi="Times New Roman"/>
                <w:sz w:val="15"/>
                <w:szCs w:val="15"/>
              </w:rPr>
            </w:pPr>
            <w:r>
              <w:rPr>
                <w:rFonts w:ascii="Arial" w:eastAsia="宋体" w:hAnsi="Arial" w:cs="Arial"/>
                <w:sz w:val="15"/>
                <w:szCs w:val="15"/>
              </w:rPr>
              <w:t>Derivative instruments:</w:t>
            </w:r>
          </w:p>
        </w:tc>
        <w:tc>
          <w:tcPr>
            <w:tcW w:w="0" w:type="auto"/>
            <w:gridSpan w:val="3"/>
            <w:shd w:val="clear" w:color="auto" w:fill="auto"/>
            <w:tcMar>
              <w:top w:w="40" w:type="dxa"/>
              <w:left w:w="40" w:type="dxa"/>
              <w:bottom w:w="40" w:type="dxa"/>
              <w:right w:w="40" w:type="dxa"/>
            </w:tcMar>
            <w:vAlign w:val="bottom"/>
          </w:tcPr>
          <w:p w14:paraId="5556B882"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883"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884"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885"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B886"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B8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8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8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8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8A0" w14:textId="77777777">
        <w:tc>
          <w:tcPr>
            <w:tcW w:w="0" w:type="auto"/>
            <w:shd w:val="clear" w:color="auto" w:fill="CCEEFF"/>
            <w:tcMar>
              <w:top w:w="40" w:type="dxa"/>
              <w:left w:w="720" w:type="dxa"/>
              <w:bottom w:w="40" w:type="dxa"/>
              <w:right w:w="40" w:type="dxa"/>
            </w:tcMar>
            <w:vAlign w:val="bottom"/>
          </w:tcPr>
          <w:p w14:paraId="5556B88C"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shd w:val="clear" w:color="auto" w:fill="CCEEFF"/>
            <w:tcMar>
              <w:top w:w="40" w:type="dxa"/>
              <w:left w:w="40" w:type="dxa"/>
              <w:bottom w:w="40" w:type="dxa"/>
            </w:tcMar>
            <w:vAlign w:val="bottom"/>
          </w:tcPr>
          <w:p w14:paraId="5556B88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88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B88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90" w14:textId="77777777" w:rsidR="00F925DD" w:rsidRDefault="00F925DD">
            <w:pPr>
              <w:jc w:val="right"/>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5556B89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89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16,518</w:t>
            </w:r>
          </w:p>
        </w:tc>
        <w:tc>
          <w:tcPr>
            <w:tcW w:w="0" w:type="auto"/>
            <w:shd w:val="clear" w:color="auto" w:fill="CCEEFF"/>
            <w:vAlign w:val="bottom"/>
          </w:tcPr>
          <w:p w14:paraId="5556B89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94" w14:textId="77777777" w:rsidR="00F925DD" w:rsidRDefault="00F925DD">
            <w:pPr>
              <w:jc w:val="right"/>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5556B89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89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CCEEFF"/>
            <w:vAlign w:val="bottom"/>
          </w:tcPr>
          <w:p w14:paraId="5556B89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89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89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(11,564</w:t>
            </w:r>
          </w:p>
        </w:tc>
        <w:tc>
          <w:tcPr>
            <w:tcW w:w="0" w:type="auto"/>
            <w:shd w:val="clear" w:color="auto" w:fill="CCEEFF"/>
            <w:tcMar>
              <w:top w:w="40" w:type="dxa"/>
              <w:bottom w:w="40" w:type="dxa"/>
              <w:right w:w="40" w:type="dxa"/>
            </w:tcMar>
            <w:vAlign w:val="bottom"/>
          </w:tcPr>
          <w:p w14:paraId="5556B89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8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89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B89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4,958</w:t>
            </w:r>
          </w:p>
        </w:tc>
        <w:tc>
          <w:tcPr>
            <w:tcW w:w="0" w:type="auto"/>
            <w:shd w:val="clear" w:color="auto" w:fill="CCEEFF"/>
            <w:vAlign w:val="bottom"/>
          </w:tcPr>
          <w:p w14:paraId="5556B89F" w14:textId="77777777" w:rsidR="00F925DD" w:rsidRDefault="00F925DD">
            <w:pPr>
              <w:textAlignment w:val="bottom"/>
              <w:rPr>
                <w:rFonts w:ascii="Times New Roman" w:hAnsi="Times New Roman"/>
                <w:sz w:val="20"/>
                <w:szCs w:val="20"/>
              </w:rPr>
            </w:pPr>
          </w:p>
        </w:tc>
      </w:tr>
      <w:tr w:rsidR="00F925DD" w14:paraId="5556B8B0" w14:textId="77777777">
        <w:tc>
          <w:tcPr>
            <w:tcW w:w="0" w:type="auto"/>
            <w:shd w:val="clear" w:color="auto" w:fill="auto"/>
            <w:tcMar>
              <w:top w:w="40" w:type="dxa"/>
              <w:left w:w="720" w:type="dxa"/>
              <w:bottom w:w="40" w:type="dxa"/>
              <w:right w:w="40" w:type="dxa"/>
            </w:tcMar>
            <w:vAlign w:val="bottom"/>
          </w:tcPr>
          <w:p w14:paraId="5556B8A1"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2"/>
            <w:shd w:val="clear" w:color="auto" w:fill="auto"/>
            <w:tcMar>
              <w:top w:w="40" w:type="dxa"/>
              <w:left w:w="40" w:type="dxa"/>
              <w:bottom w:w="40" w:type="dxa"/>
            </w:tcMar>
            <w:vAlign w:val="bottom"/>
          </w:tcPr>
          <w:p w14:paraId="5556B8A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8A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A4"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8A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71</w:t>
            </w:r>
          </w:p>
        </w:tc>
        <w:tc>
          <w:tcPr>
            <w:tcW w:w="0" w:type="auto"/>
            <w:shd w:val="clear" w:color="auto" w:fill="auto"/>
            <w:vAlign w:val="bottom"/>
          </w:tcPr>
          <w:p w14:paraId="5556B8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A7"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8A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8A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8A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B8A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8A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71</w:t>
            </w:r>
          </w:p>
        </w:tc>
        <w:tc>
          <w:tcPr>
            <w:tcW w:w="0" w:type="auto"/>
            <w:shd w:val="clear" w:color="auto" w:fill="auto"/>
            <w:vAlign w:val="bottom"/>
          </w:tcPr>
          <w:p w14:paraId="5556B8AF" w14:textId="77777777" w:rsidR="00F925DD" w:rsidRDefault="00F925DD">
            <w:pPr>
              <w:textAlignment w:val="bottom"/>
              <w:rPr>
                <w:rFonts w:ascii="Times New Roman" w:hAnsi="Times New Roman"/>
                <w:sz w:val="20"/>
                <w:szCs w:val="20"/>
              </w:rPr>
            </w:pPr>
          </w:p>
        </w:tc>
      </w:tr>
      <w:tr w:rsidR="00F925DD" w14:paraId="5556B8C0" w14:textId="77777777">
        <w:tc>
          <w:tcPr>
            <w:tcW w:w="0" w:type="auto"/>
            <w:shd w:val="clear" w:color="auto" w:fill="CCEEFF"/>
            <w:tcMar>
              <w:top w:w="40" w:type="dxa"/>
              <w:left w:w="720" w:type="dxa"/>
              <w:bottom w:w="40" w:type="dxa"/>
              <w:right w:w="40" w:type="dxa"/>
            </w:tcMar>
            <w:vAlign w:val="bottom"/>
          </w:tcPr>
          <w:p w14:paraId="5556B8B1"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derivative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8B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B8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B4"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B8B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214</w:t>
            </w:r>
          </w:p>
        </w:tc>
        <w:tc>
          <w:tcPr>
            <w:tcW w:w="0" w:type="auto"/>
            <w:tcBorders>
              <w:bottom w:val="single" w:sz="8" w:space="0" w:color="000000"/>
            </w:tcBorders>
            <w:shd w:val="clear" w:color="auto" w:fill="CCEEFF"/>
            <w:vAlign w:val="bottom"/>
          </w:tcPr>
          <w:p w14:paraId="5556B8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B7"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B8B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B8B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8B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B8B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B8B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214</w:t>
            </w:r>
          </w:p>
        </w:tc>
        <w:tc>
          <w:tcPr>
            <w:tcW w:w="0" w:type="auto"/>
            <w:tcBorders>
              <w:bottom w:val="single" w:sz="8" w:space="0" w:color="000000"/>
            </w:tcBorders>
            <w:shd w:val="clear" w:color="auto" w:fill="CCEEFF"/>
            <w:vAlign w:val="bottom"/>
          </w:tcPr>
          <w:p w14:paraId="5556B8BF" w14:textId="77777777" w:rsidR="00F925DD" w:rsidRDefault="00F925DD">
            <w:pPr>
              <w:textAlignment w:val="bottom"/>
              <w:rPr>
                <w:rFonts w:ascii="Times New Roman" w:hAnsi="Times New Roman"/>
                <w:sz w:val="20"/>
                <w:szCs w:val="20"/>
              </w:rPr>
            </w:pPr>
          </w:p>
        </w:tc>
      </w:tr>
      <w:tr w:rsidR="00F925DD" w14:paraId="5556B8D0" w14:textId="77777777">
        <w:tc>
          <w:tcPr>
            <w:tcW w:w="0" w:type="auto"/>
            <w:shd w:val="clear" w:color="auto" w:fill="auto"/>
            <w:tcMar>
              <w:top w:w="40" w:type="dxa"/>
              <w:left w:w="1040" w:type="dxa"/>
              <w:bottom w:w="40" w:type="dxa"/>
              <w:right w:w="40" w:type="dxa"/>
            </w:tcMar>
            <w:vAlign w:val="bottom"/>
          </w:tcPr>
          <w:p w14:paraId="5556B8C1"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derivative instruments</w:t>
            </w:r>
          </w:p>
        </w:tc>
        <w:tc>
          <w:tcPr>
            <w:tcW w:w="0" w:type="auto"/>
            <w:gridSpan w:val="2"/>
            <w:tcBorders>
              <w:top w:val="single" w:sz="8" w:space="0" w:color="000000"/>
            </w:tcBorders>
            <w:shd w:val="clear" w:color="auto" w:fill="auto"/>
            <w:tcMar>
              <w:top w:w="40" w:type="dxa"/>
              <w:left w:w="40" w:type="dxa"/>
              <w:bottom w:w="40" w:type="dxa"/>
            </w:tcMar>
            <w:vAlign w:val="bottom"/>
          </w:tcPr>
          <w:p w14:paraId="5556B8C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vAlign w:val="bottom"/>
          </w:tcPr>
          <w:p w14:paraId="5556B8C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C4"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8C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16,803</w:t>
            </w:r>
          </w:p>
        </w:tc>
        <w:tc>
          <w:tcPr>
            <w:tcW w:w="0" w:type="auto"/>
            <w:shd w:val="clear" w:color="auto" w:fill="auto"/>
            <w:vAlign w:val="bottom"/>
          </w:tcPr>
          <w:p w14:paraId="5556B8C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C7"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B8C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auto"/>
            <w:vAlign w:val="bottom"/>
          </w:tcPr>
          <w:p w14:paraId="5556B8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8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8C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(11,564</w:t>
            </w:r>
          </w:p>
        </w:tc>
        <w:tc>
          <w:tcPr>
            <w:tcW w:w="0" w:type="auto"/>
            <w:shd w:val="clear" w:color="auto" w:fill="auto"/>
            <w:tcMar>
              <w:top w:w="40" w:type="dxa"/>
              <w:bottom w:w="40" w:type="dxa"/>
              <w:right w:w="40" w:type="dxa"/>
            </w:tcMar>
            <w:vAlign w:val="bottom"/>
          </w:tcPr>
          <w:p w14:paraId="5556B8C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B8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8C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5,243</w:t>
            </w:r>
          </w:p>
        </w:tc>
        <w:tc>
          <w:tcPr>
            <w:tcW w:w="0" w:type="auto"/>
            <w:shd w:val="clear" w:color="auto" w:fill="auto"/>
            <w:vAlign w:val="bottom"/>
          </w:tcPr>
          <w:p w14:paraId="5556B8CF" w14:textId="77777777" w:rsidR="00F925DD" w:rsidRDefault="00F925DD">
            <w:pPr>
              <w:textAlignment w:val="bottom"/>
              <w:rPr>
                <w:rFonts w:ascii="Times New Roman" w:hAnsi="Times New Roman"/>
                <w:sz w:val="20"/>
                <w:szCs w:val="20"/>
              </w:rPr>
            </w:pPr>
          </w:p>
        </w:tc>
      </w:tr>
      <w:tr w:rsidR="00F925DD" w14:paraId="5556B8E5" w14:textId="77777777">
        <w:tc>
          <w:tcPr>
            <w:tcW w:w="0" w:type="auto"/>
            <w:shd w:val="clear" w:color="auto" w:fill="CCEEFF"/>
            <w:tcMar>
              <w:top w:w="40" w:type="dxa"/>
              <w:left w:w="40" w:type="dxa"/>
              <w:bottom w:w="40" w:type="dxa"/>
              <w:right w:w="40" w:type="dxa"/>
            </w:tcMar>
            <w:vAlign w:val="bottom"/>
          </w:tcPr>
          <w:p w14:paraId="5556B8D1"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liabilities carried at fair value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8D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8D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vAlign w:val="bottom"/>
          </w:tcPr>
          <w:p w14:paraId="5556B8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D5" w14:textId="77777777" w:rsidR="00F925DD" w:rsidRDefault="00F925DD">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8D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8D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16,803</w:t>
            </w:r>
          </w:p>
        </w:tc>
        <w:tc>
          <w:tcPr>
            <w:tcW w:w="0" w:type="auto"/>
            <w:tcBorders>
              <w:top w:val="single" w:sz="8" w:space="0" w:color="000000"/>
              <w:bottom w:val="double" w:sz="6" w:space="0" w:color="000000"/>
            </w:tcBorders>
            <w:shd w:val="clear" w:color="auto" w:fill="CCEEFF"/>
            <w:vAlign w:val="bottom"/>
          </w:tcPr>
          <w:p w14:paraId="5556B8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D9" w14:textId="77777777" w:rsidR="00F925DD" w:rsidRDefault="00F925DD">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8D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8D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tcBorders>
              <w:top w:val="single" w:sz="8" w:space="0" w:color="000000"/>
              <w:bottom w:val="double" w:sz="6" w:space="0" w:color="000000"/>
            </w:tcBorders>
            <w:shd w:val="clear" w:color="auto" w:fill="CCEEFF"/>
            <w:vAlign w:val="bottom"/>
          </w:tcPr>
          <w:p w14:paraId="5556B8D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8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8D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8D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(11,564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B8E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B8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8E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8E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5,243</w:t>
            </w:r>
          </w:p>
        </w:tc>
        <w:tc>
          <w:tcPr>
            <w:tcW w:w="0" w:type="auto"/>
            <w:tcBorders>
              <w:top w:val="single" w:sz="8" w:space="0" w:color="000000"/>
              <w:bottom w:val="double" w:sz="6" w:space="0" w:color="000000"/>
            </w:tcBorders>
            <w:shd w:val="clear" w:color="auto" w:fill="CCEEFF"/>
            <w:vAlign w:val="bottom"/>
          </w:tcPr>
          <w:p w14:paraId="5556B8E4" w14:textId="77777777" w:rsidR="00F925DD" w:rsidRDefault="00F925DD">
            <w:pPr>
              <w:textAlignment w:val="bottom"/>
              <w:rPr>
                <w:rFonts w:ascii="Times New Roman" w:hAnsi="Times New Roman"/>
                <w:sz w:val="20"/>
                <w:szCs w:val="20"/>
              </w:rPr>
            </w:pPr>
          </w:p>
        </w:tc>
      </w:tr>
    </w:tbl>
    <w:p w14:paraId="5556B8E6"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242"/>
        <w:gridCol w:w="2741"/>
        <w:gridCol w:w="997"/>
        <w:gridCol w:w="748"/>
        <w:gridCol w:w="1578"/>
      </w:tblGrid>
      <w:tr w:rsidR="00F925DD" w14:paraId="5556B8E8" w14:textId="77777777">
        <w:tc>
          <w:tcPr>
            <w:tcW w:w="0" w:type="auto"/>
            <w:gridSpan w:val="5"/>
            <w:shd w:val="clear" w:color="auto" w:fill="auto"/>
            <w:vAlign w:val="center"/>
          </w:tcPr>
          <w:p w14:paraId="5556B8E7" w14:textId="77777777" w:rsidR="00F925DD" w:rsidRDefault="00F925DD">
            <w:pPr>
              <w:rPr>
                <w:rFonts w:ascii="Times New Roman" w:hAnsi="Times New Roman"/>
                <w:sz w:val="20"/>
                <w:szCs w:val="20"/>
              </w:rPr>
            </w:pPr>
          </w:p>
        </w:tc>
      </w:tr>
      <w:tr w:rsidR="00F925DD" w14:paraId="5556B8EE" w14:textId="77777777">
        <w:tc>
          <w:tcPr>
            <w:tcW w:w="1350" w:type="pct"/>
            <w:shd w:val="clear" w:color="auto" w:fill="auto"/>
            <w:vAlign w:val="center"/>
          </w:tcPr>
          <w:p w14:paraId="5556B8E9" w14:textId="77777777" w:rsidR="00F925DD" w:rsidRDefault="00F925DD">
            <w:pPr>
              <w:rPr>
                <w:rFonts w:ascii="Times New Roman" w:hAnsi="Times New Roman"/>
                <w:sz w:val="20"/>
                <w:szCs w:val="20"/>
              </w:rPr>
            </w:pPr>
          </w:p>
        </w:tc>
        <w:tc>
          <w:tcPr>
            <w:tcW w:w="1650" w:type="pct"/>
            <w:shd w:val="clear" w:color="auto" w:fill="auto"/>
            <w:vAlign w:val="center"/>
          </w:tcPr>
          <w:p w14:paraId="5556B8EA" w14:textId="77777777" w:rsidR="00F925DD" w:rsidRDefault="00F925DD">
            <w:pPr>
              <w:rPr>
                <w:rFonts w:ascii="Times New Roman" w:hAnsi="Times New Roman"/>
                <w:sz w:val="20"/>
                <w:szCs w:val="20"/>
              </w:rPr>
            </w:pPr>
          </w:p>
        </w:tc>
        <w:tc>
          <w:tcPr>
            <w:tcW w:w="600" w:type="pct"/>
            <w:shd w:val="clear" w:color="auto" w:fill="auto"/>
            <w:vAlign w:val="center"/>
          </w:tcPr>
          <w:p w14:paraId="5556B8EB" w14:textId="77777777" w:rsidR="00F925DD" w:rsidRDefault="00F925DD">
            <w:pPr>
              <w:rPr>
                <w:rFonts w:ascii="Times New Roman" w:hAnsi="Times New Roman"/>
                <w:sz w:val="20"/>
                <w:szCs w:val="20"/>
              </w:rPr>
            </w:pPr>
          </w:p>
        </w:tc>
        <w:tc>
          <w:tcPr>
            <w:tcW w:w="450" w:type="pct"/>
            <w:shd w:val="clear" w:color="auto" w:fill="auto"/>
            <w:vAlign w:val="center"/>
          </w:tcPr>
          <w:p w14:paraId="5556B8EC" w14:textId="77777777" w:rsidR="00F925DD" w:rsidRDefault="00F925DD">
            <w:pPr>
              <w:rPr>
                <w:rFonts w:ascii="Times New Roman" w:hAnsi="Times New Roman"/>
                <w:sz w:val="20"/>
                <w:szCs w:val="20"/>
              </w:rPr>
            </w:pPr>
          </w:p>
        </w:tc>
        <w:tc>
          <w:tcPr>
            <w:tcW w:w="950" w:type="pct"/>
            <w:shd w:val="clear" w:color="auto" w:fill="auto"/>
            <w:vAlign w:val="center"/>
          </w:tcPr>
          <w:p w14:paraId="5556B8ED" w14:textId="77777777" w:rsidR="00F925DD" w:rsidRDefault="00F925DD">
            <w:pPr>
              <w:rPr>
                <w:rFonts w:ascii="Times New Roman" w:hAnsi="Times New Roman"/>
                <w:sz w:val="20"/>
                <w:szCs w:val="20"/>
              </w:rPr>
            </w:pPr>
          </w:p>
        </w:tc>
      </w:tr>
      <w:tr w:rsidR="00F925DD" w14:paraId="5556B8F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B8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8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8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8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8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B8F5" w14:textId="77777777" w:rsidR="00F925DD" w:rsidRDefault="00E705D7">
      <w:pPr>
        <w:spacing w:line="288" w:lineRule="auto"/>
        <w:jc w:val="both"/>
        <w:rPr>
          <w:rFonts w:ascii="Times New Roman" w:hAnsi="Times New Roman"/>
          <w:sz w:val="20"/>
          <w:szCs w:val="20"/>
        </w:rPr>
      </w:pPr>
      <w:r>
        <w:rPr>
          <w:rFonts w:ascii="Arial" w:eastAsia="宋体" w:hAnsi="Arial" w:cs="Arial"/>
          <w:sz w:val="10"/>
          <w:szCs w:val="10"/>
        </w:rPr>
        <w:t xml:space="preserve">(1) </w:t>
      </w:r>
      <w:r>
        <w:rPr>
          <w:rFonts w:ascii="Arial" w:eastAsia="宋体" w:hAnsi="Arial" w:cs="Arial"/>
          <w:sz w:val="14"/>
          <w:szCs w:val="14"/>
        </w:rPr>
        <w:t xml:space="preserve">Represents counterparty netting against level 2 financial assets and liabilities where a legally </w:t>
      </w:r>
      <w:r>
        <w:rPr>
          <w:rFonts w:ascii="Arial" w:eastAsia="宋体" w:hAnsi="Arial" w:cs="Arial"/>
          <w:sz w:val="14"/>
          <w:szCs w:val="14"/>
        </w:rPr>
        <w:t>enforceable master netting agreement exists between us and the counterparty. Netting also reflects asset and liability reductions of $0.99 billion and $1.34 billion, respectively, for cash collateral received from and provided to derivative counterparties.</w:t>
      </w:r>
    </w:p>
    <w:p w14:paraId="5556B8F6"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As of December 31, 2018, the fair value of other non-U.S. debt securities included $3.20 billion of supranational and non-U.S. agency bonds, $1.33 billion of corporate bonds and $1.30 billion of covered bonds.</w:t>
      </w:r>
    </w:p>
    <w:p w14:paraId="5556B8F7" w14:textId="77777777" w:rsidR="00F925DD" w:rsidRDefault="00F925DD">
      <w:pPr>
        <w:spacing w:line="288" w:lineRule="auto"/>
        <w:jc w:val="both"/>
        <w:rPr>
          <w:rFonts w:ascii="Times New Roman" w:hAnsi="Times New Roman"/>
          <w:sz w:val="14"/>
          <w:szCs w:val="14"/>
        </w:rPr>
      </w:pPr>
    </w:p>
    <w:p w14:paraId="5556B8F8" w14:textId="77777777" w:rsidR="00F925DD" w:rsidRDefault="00F925DD">
      <w:pPr>
        <w:rPr>
          <w:rFonts w:ascii="Times New Roman" w:hAnsi="Times New Roman"/>
          <w:sz w:val="20"/>
          <w:szCs w:val="20"/>
        </w:rPr>
      </w:pPr>
    </w:p>
    <w:p w14:paraId="5556B8F9"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131</w:t>
      </w:r>
    </w:p>
    <w:p w14:paraId="5556B8FA" w14:textId="77777777" w:rsidR="00F925DD" w:rsidRDefault="00F925DD">
      <w:pPr>
        <w:spacing w:line="288" w:lineRule="auto"/>
        <w:ind w:firstLine="600"/>
        <w:jc w:val="center"/>
        <w:rPr>
          <w:rFonts w:ascii="Times New Roman" w:hAnsi="Times New Roman"/>
          <w:sz w:val="18"/>
          <w:szCs w:val="18"/>
        </w:rPr>
      </w:pPr>
    </w:p>
    <w:p w14:paraId="5556B8FB" w14:textId="77777777" w:rsidR="00F925DD" w:rsidRDefault="00E705D7">
      <w:r>
        <w:rPr>
          <w:rFonts w:ascii="Times New Roman" w:hAnsi="Times New Roman"/>
          <w:sz w:val="18"/>
          <w:szCs w:val="18"/>
        </w:rPr>
        <w:pict w14:anchorId="555706BD">
          <v:rect id="_x0000_i1155" style="width:415.3pt;height:1.5pt" o:hralign="center" o:hrstd="t" o:hr="t" fillcolor="#a0a0a0" stroked="f"/>
        </w:pict>
      </w:r>
    </w:p>
    <w:p w14:paraId="5556B8F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w:t>
      </w:r>
      <w:r>
        <w:rPr>
          <w:rFonts w:ascii="Arial" w:eastAsia="宋体" w:hAnsi="Arial" w:cs="Arial"/>
          <w:b/>
          <w:bCs/>
          <w:sz w:val="20"/>
          <w:szCs w:val="20"/>
        </w:rPr>
        <w:t xml:space="preserve"> STREET CORPORATION</w:t>
      </w:r>
    </w:p>
    <w:p w14:paraId="5556B8F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B8FE" w14:textId="77777777" w:rsidR="00F925DD" w:rsidRDefault="00F925DD">
      <w:pPr>
        <w:rPr>
          <w:rFonts w:ascii="Times New Roman" w:hAnsi="Times New Roman"/>
          <w:sz w:val="20"/>
          <w:szCs w:val="20"/>
        </w:rPr>
      </w:pPr>
    </w:p>
    <w:p w14:paraId="5556B8F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tables present activity related to our level 3 financial assets during the years ended December 31, 2019 and 2018, respectively. Transfers into and out of level 3 are </w:t>
      </w:r>
      <w:r>
        <w:rPr>
          <w:rFonts w:ascii="Arial" w:eastAsia="宋体" w:hAnsi="Arial" w:cs="Arial"/>
          <w:sz w:val="20"/>
          <w:szCs w:val="20"/>
        </w:rPr>
        <w:t>reported as of the beginning of the period presented. During the years ended December 31, 2019 and 2018, transfers into level 3 were primarily related to collateralized loan obligations, collateralized mortgage obligations and non-U.S. debt securities, for</w:t>
      </w:r>
      <w:r>
        <w:rPr>
          <w:rFonts w:ascii="Arial" w:eastAsia="宋体" w:hAnsi="Arial" w:cs="Arial"/>
          <w:sz w:val="20"/>
          <w:szCs w:val="20"/>
        </w:rPr>
        <w:t xml:space="preserve"> which fair value was measured using information obtained from third party sources, including non-binding broker/dealer quotes. During the years ended December 31, 2019 and 2018, transfers out of level 3 were mainly related to certain ABS, MBS, municipal b</w:t>
      </w:r>
      <w:r>
        <w:rPr>
          <w:rFonts w:ascii="Arial" w:eastAsia="宋体" w:hAnsi="Arial" w:cs="Arial"/>
          <w:sz w:val="20"/>
          <w:szCs w:val="20"/>
        </w:rPr>
        <w:t>onds and non-U.S. debt securities, for which fair value was measured using prices for which observable market information became available.</w:t>
      </w:r>
    </w:p>
    <w:tbl>
      <w:tblPr>
        <w:tblW w:w="5000" w:type="pct"/>
        <w:tblCellMar>
          <w:left w:w="0" w:type="dxa"/>
          <w:right w:w="0" w:type="dxa"/>
        </w:tblCellMar>
        <w:tblLook w:val="04A0" w:firstRow="1" w:lastRow="0" w:firstColumn="1" w:lastColumn="0" w:noHBand="0" w:noVBand="1"/>
      </w:tblPr>
      <w:tblGrid>
        <w:gridCol w:w="921"/>
        <w:gridCol w:w="104"/>
        <w:gridCol w:w="449"/>
        <w:gridCol w:w="63"/>
        <w:gridCol w:w="123"/>
        <w:gridCol w:w="104"/>
        <w:gridCol w:w="424"/>
        <w:gridCol w:w="89"/>
        <w:gridCol w:w="125"/>
        <w:gridCol w:w="105"/>
        <w:gridCol w:w="686"/>
        <w:gridCol w:w="91"/>
        <w:gridCol w:w="124"/>
        <w:gridCol w:w="105"/>
        <w:gridCol w:w="430"/>
        <w:gridCol w:w="86"/>
        <w:gridCol w:w="124"/>
        <w:gridCol w:w="105"/>
        <w:gridCol w:w="207"/>
        <w:gridCol w:w="68"/>
        <w:gridCol w:w="124"/>
        <w:gridCol w:w="105"/>
        <w:gridCol w:w="499"/>
        <w:gridCol w:w="88"/>
        <w:gridCol w:w="124"/>
        <w:gridCol w:w="105"/>
        <w:gridCol w:w="392"/>
        <w:gridCol w:w="78"/>
        <w:gridCol w:w="124"/>
        <w:gridCol w:w="105"/>
        <w:gridCol w:w="392"/>
        <w:gridCol w:w="83"/>
        <w:gridCol w:w="124"/>
        <w:gridCol w:w="105"/>
        <w:gridCol w:w="413"/>
        <w:gridCol w:w="82"/>
        <w:gridCol w:w="124"/>
        <w:gridCol w:w="105"/>
        <w:gridCol w:w="522"/>
        <w:gridCol w:w="79"/>
      </w:tblGrid>
      <w:tr w:rsidR="00F925DD" w14:paraId="5556B901" w14:textId="77777777">
        <w:tc>
          <w:tcPr>
            <w:tcW w:w="0" w:type="auto"/>
            <w:gridSpan w:val="40"/>
            <w:shd w:val="clear" w:color="auto" w:fill="auto"/>
            <w:vAlign w:val="center"/>
          </w:tcPr>
          <w:p w14:paraId="5556B900" w14:textId="77777777" w:rsidR="00F925DD" w:rsidRDefault="00F925DD">
            <w:pPr>
              <w:rPr>
                <w:rFonts w:ascii="Times New Roman" w:hAnsi="Times New Roman"/>
                <w:sz w:val="20"/>
                <w:szCs w:val="20"/>
              </w:rPr>
            </w:pPr>
          </w:p>
        </w:tc>
      </w:tr>
      <w:tr w:rsidR="00F925DD" w14:paraId="5556B92A" w14:textId="77777777">
        <w:tc>
          <w:tcPr>
            <w:tcW w:w="750" w:type="pct"/>
            <w:shd w:val="clear" w:color="auto" w:fill="auto"/>
            <w:vAlign w:val="center"/>
          </w:tcPr>
          <w:p w14:paraId="5556B902" w14:textId="77777777" w:rsidR="00F925DD" w:rsidRDefault="00F925DD">
            <w:pPr>
              <w:rPr>
                <w:rFonts w:ascii="Times New Roman" w:hAnsi="Times New Roman"/>
                <w:sz w:val="20"/>
                <w:szCs w:val="20"/>
              </w:rPr>
            </w:pPr>
          </w:p>
        </w:tc>
        <w:tc>
          <w:tcPr>
            <w:tcW w:w="50" w:type="pct"/>
            <w:shd w:val="clear" w:color="auto" w:fill="auto"/>
            <w:vAlign w:val="center"/>
          </w:tcPr>
          <w:p w14:paraId="5556B903" w14:textId="77777777" w:rsidR="00F925DD" w:rsidRDefault="00F925DD">
            <w:pPr>
              <w:rPr>
                <w:rFonts w:ascii="Times New Roman" w:hAnsi="Times New Roman"/>
                <w:sz w:val="20"/>
                <w:szCs w:val="20"/>
              </w:rPr>
            </w:pPr>
          </w:p>
        </w:tc>
        <w:tc>
          <w:tcPr>
            <w:tcW w:w="350" w:type="pct"/>
            <w:shd w:val="clear" w:color="auto" w:fill="auto"/>
            <w:vAlign w:val="center"/>
          </w:tcPr>
          <w:p w14:paraId="5556B904" w14:textId="77777777" w:rsidR="00F925DD" w:rsidRDefault="00F925DD">
            <w:pPr>
              <w:rPr>
                <w:rFonts w:ascii="Times New Roman" w:hAnsi="Times New Roman"/>
                <w:sz w:val="20"/>
                <w:szCs w:val="20"/>
              </w:rPr>
            </w:pPr>
          </w:p>
        </w:tc>
        <w:tc>
          <w:tcPr>
            <w:tcW w:w="50" w:type="pct"/>
            <w:shd w:val="clear" w:color="auto" w:fill="auto"/>
            <w:vAlign w:val="center"/>
          </w:tcPr>
          <w:p w14:paraId="5556B905" w14:textId="77777777" w:rsidR="00F925DD" w:rsidRDefault="00F925DD">
            <w:pPr>
              <w:rPr>
                <w:rFonts w:ascii="Times New Roman" w:hAnsi="Times New Roman"/>
                <w:sz w:val="20"/>
                <w:szCs w:val="20"/>
              </w:rPr>
            </w:pPr>
          </w:p>
        </w:tc>
        <w:tc>
          <w:tcPr>
            <w:tcW w:w="50" w:type="pct"/>
            <w:shd w:val="clear" w:color="auto" w:fill="auto"/>
            <w:vAlign w:val="center"/>
          </w:tcPr>
          <w:p w14:paraId="5556B906" w14:textId="77777777" w:rsidR="00F925DD" w:rsidRDefault="00F925DD">
            <w:pPr>
              <w:rPr>
                <w:rFonts w:ascii="Times New Roman" w:hAnsi="Times New Roman"/>
                <w:sz w:val="20"/>
                <w:szCs w:val="20"/>
              </w:rPr>
            </w:pPr>
          </w:p>
        </w:tc>
        <w:tc>
          <w:tcPr>
            <w:tcW w:w="50" w:type="pct"/>
            <w:shd w:val="clear" w:color="auto" w:fill="auto"/>
            <w:vAlign w:val="center"/>
          </w:tcPr>
          <w:p w14:paraId="5556B907" w14:textId="77777777" w:rsidR="00F925DD" w:rsidRDefault="00F925DD">
            <w:pPr>
              <w:rPr>
                <w:rFonts w:ascii="Times New Roman" w:hAnsi="Times New Roman"/>
                <w:sz w:val="20"/>
                <w:szCs w:val="20"/>
              </w:rPr>
            </w:pPr>
          </w:p>
        </w:tc>
        <w:tc>
          <w:tcPr>
            <w:tcW w:w="250" w:type="pct"/>
            <w:shd w:val="clear" w:color="auto" w:fill="auto"/>
            <w:vAlign w:val="center"/>
          </w:tcPr>
          <w:p w14:paraId="5556B908" w14:textId="77777777" w:rsidR="00F925DD" w:rsidRDefault="00F925DD">
            <w:pPr>
              <w:rPr>
                <w:rFonts w:ascii="Times New Roman" w:hAnsi="Times New Roman"/>
                <w:sz w:val="20"/>
                <w:szCs w:val="20"/>
              </w:rPr>
            </w:pPr>
          </w:p>
        </w:tc>
        <w:tc>
          <w:tcPr>
            <w:tcW w:w="50" w:type="pct"/>
            <w:shd w:val="clear" w:color="auto" w:fill="auto"/>
            <w:vAlign w:val="center"/>
          </w:tcPr>
          <w:p w14:paraId="5556B909" w14:textId="77777777" w:rsidR="00F925DD" w:rsidRDefault="00F925DD">
            <w:pPr>
              <w:rPr>
                <w:rFonts w:ascii="Times New Roman" w:hAnsi="Times New Roman"/>
                <w:sz w:val="20"/>
                <w:szCs w:val="20"/>
              </w:rPr>
            </w:pPr>
          </w:p>
        </w:tc>
        <w:tc>
          <w:tcPr>
            <w:tcW w:w="50" w:type="pct"/>
            <w:shd w:val="clear" w:color="auto" w:fill="auto"/>
            <w:vAlign w:val="center"/>
          </w:tcPr>
          <w:p w14:paraId="5556B90A" w14:textId="77777777" w:rsidR="00F925DD" w:rsidRDefault="00F925DD">
            <w:pPr>
              <w:rPr>
                <w:rFonts w:ascii="Times New Roman" w:hAnsi="Times New Roman"/>
                <w:sz w:val="20"/>
                <w:szCs w:val="20"/>
              </w:rPr>
            </w:pPr>
          </w:p>
        </w:tc>
        <w:tc>
          <w:tcPr>
            <w:tcW w:w="50" w:type="pct"/>
            <w:shd w:val="clear" w:color="auto" w:fill="auto"/>
            <w:vAlign w:val="center"/>
          </w:tcPr>
          <w:p w14:paraId="5556B90B" w14:textId="77777777" w:rsidR="00F925DD" w:rsidRDefault="00F925DD">
            <w:pPr>
              <w:rPr>
                <w:rFonts w:ascii="Times New Roman" w:hAnsi="Times New Roman"/>
                <w:sz w:val="20"/>
                <w:szCs w:val="20"/>
              </w:rPr>
            </w:pPr>
          </w:p>
        </w:tc>
        <w:tc>
          <w:tcPr>
            <w:tcW w:w="400" w:type="pct"/>
            <w:shd w:val="clear" w:color="auto" w:fill="auto"/>
            <w:vAlign w:val="center"/>
          </w:tcPr>
          <w:p w14:paraId="5556B90C" w14:textId="77777777" w:rsidR="00F925DD" w:rsidRDefault="00F925DD">
            <w:pPr>
              <w:rPr>
                <w:rFonts w:ascii="Times New Roman" w:hAnsi="Times New Roman"/>
                <w:sz w:val="20"/>
                <w:szCs w:val="20"/>
              </w:rPr>
            </w:pPr>
          </w:p>
        </w:tc>
        <w:tc>
          <w:tcPr>
            <w:tcW w:w="50" w:type="pct"/>
            <w:shd w:val="clear" w:color="auto" w:fill="auto"/>
            <w:vAlign w:val="center"/>
          </w:tcPr>
          <w:p w14:paraId="5556B90D" w14:textId="77777777" w:rsidR="00F925DD" w:rsidRDefault="00F925DD">
            <w:pPr>
              <w:rPr>
                <w:rFonts w:ascii="Times New Roman" w:hAnsi="Times New Roman"/>
                <w:sz w:val="20"/>
                <w:szCs w:val="20"/>
              </w:rPr>
            </w:pPr>
          </w:p>
        </w:tc>
        <w:tc>
          <w:tcPr>
            <w:tcW w:w="50" w:type="pct"/>
            <w:shd w:val="clear" w:color="auto" w:fill="auto"/>
            <w:vAlign w:val="center"/>
          </w:tcPr>
          <w:p w14:paraId="5556B90E" w14:textId="77777777" w:rsidR="00F925DD" w:rsidRDefault="00F925DD">
            <w:pPr>
              <w:rPr>
                <w:rFonts w:ascii="Times New Roman" w:hAnsi="Times New Roman"/>
                <w:sz w:val="20"/>
                <w:szCs w:val="20"/>
              </w:rPr>
            </w:pPr>
          </w:p>
        </w:tc>
        <w:tc>
          <w:tcPr>
            <w:tcW w:w="50" w:type="pct"/>
            <w:shd w:val="clear" w:color="auto" w:fill="auto"/>
            <w:vAlign w:val="center"/>
          </w:tcPr>
          <w:p w14:paraId="5556B90F" w14:textId="77777777" w:rsidR="00F925DD" w:rsidRDefault="00F925DD">
            <w:pPr>
              <w:rPr>
                <w:rFonts w:ascii="Times New Roman" w:hAnsi="Times New Roman"/>
                <w:sz w:val="20"/>
                <w:szCs w:val="20"/>
              </w:rPr>
            </w:pPr>
          </w:p>
        </w:tc>
        <w:tc>
          <w:tcPr>
            <w:tcW w:w="250" w:type="pct"/>
            <w:shd w:val="clear" w:color="auto" w:fill="auto"/>
            <w:vAlign w:val="center"/>
          </w:tcPr>
          <w:p w14:paraId="5556B910" w14:textId="77777777" w:rsidR="00F925DD" w:rsidRDefault="00F925DD">
            <w:pPr>
              <w:rPr>
                <w:rFonts w:ascii="Times New Roman" w:hAnsi="Times New Roman"/>
                <w:sz w:val="20"/>
                <w:szCs w:val="20"/>
              </w:rPr>
            </w:pPr>
          </w:p>
        </w:tc>
        <w:tc>
          <w:tcPr>
            <w:tcW w:w="50" w:type="pct"/>
            <w:shd w:val="clear" w:color="auto" w:fill="auto"/>
            <w:vAlign w:val="center"/>
          </w:tcPr>
          <w:p w14:paraId="5556B911" w14:textId="77777777" w:rsidR="00F925DD" w:rsidRDefault="00F925DD">
            <w:pPr>
              <w:rPr>
                <w:rFonts w:ascii="Times New Roman" w:hAnsi="Times New Roman"/>
                <w:sz w:val="20"/>
                <w:szCs w:val="20"/>
              </w:rPr>
            </w:pPr>
          </w:p>
        </w:tc>
        <w:tc>
          <w:tcPr>
            <w:tcW w:w="50" w:type="pct"/>
            <w:shd w:val="clear" w:color="auto" w:fill="auto"/>
            <w:vAlign w:val="center"/>
          </w:tcPr>
          <w:p w14:paraId="5556B912" w14:textId="77777777" w:rsidR="00F925DD" w:rsidRDefault="00F925DD">
            <w:pPr>
              <w:rPr>
                <w:rFonts w:ascii="Times New Roman" w:hAnsi="Times New Roman"/>
                <w:sz w:val="20"/>
                <w:szCs w:val="20"/>
              </w:rPr>
            </w:pPr>
          </w:p>
        </w:tc>
        <w:tc>
          <w:tcPr>
            <w:tcW w:w="50" w:type="pct"/>
            <w:shd w:val="clear" w:color="auto" w:fill="auto"/>
            <w:vAlign w:val="center"/>
          </w:tcPr>
          <w:p w14:paraId="5556B913" w14:textId="77777777" w:rsidR="00F925DD" w:rsidRDefault="00F925DD">
            <w:pPr>
              <w:rPr>
                <w:rFonts w:ascii="Times New Roman" w:hAnsi="Times New Roman"/>
                <w:sz w:val="20"/>
                <w:szCs w:val="20"/>
              </w:rPr>
            </w:pPr>
          </w:p>
        </w:tc>
        <w:tc>
          <w:tcPr>
            <w:tcW w:w="150" w:type="pct"/>
            <w:shd w:val="clear" w:color="auto" w:fill="auto"/>
            <w:vAlign w:val="center"/>
          </w:tcPr>
          <w:p w14:paraId="5556B914" w14:textId="77777777" w:rsidR="00F925DD" w:rsidRDefault="00F925DD">
            <w:pPr>
              <w:rPr>
                <w:rFonts w:ascii="Times New Roman" w:hAnsi="Times New Roman"/>
                <w:sz w:val="20"/>
                <w:szCs w:val="20"/>
              </w:rPr>
            </w:pPr>
          </w:p>
        </w:tc>
        <w:tc>
          <w:tcPr>
            <w:tcW w:w="50" w:type="pct"/>
            <w:shd w:val="clear" w:color="auto" w:fill="auto"/>
            <w:vAlign w:val="center"/>
          </w:tcPr>
          <w:p w14:paraId="5556B915" w14:textId="77777777" w:rsidR="00F925DD" w:rsidRDefault="00F925DD">
            <w:pPr>
              <w:rPr>
                <w:rFonts w:ascii="Times New Roman" w:hAnsi="Times New Roman"/>
                <w:sz w:val="20"/>
                <w:szCs w:val="20"/>
              </w:rPr>
            </w:pPr>
          </w:p>
        </w:tc>
        <w:tc>
          <w:tcPr>
            <w:tcW w:w="50" w:type="pct"/>
            <w:shd w:val="clear" w:color="auto" w:fill="auto"/>
            <w:vAlign w:val="center"/>
          </w:tcPr>
          <w:p w14:paraId="5556B916" w14:textId="77777777" w:rsidR="00F925DD" w:rsidRDefault="00F925DD">
            <w:pPr>
              <w:rPr>
                <w:rFonts w:ascii="Times New Roman" w:hAnsi="Times New Roman"/>
                <w:sz w:val="20"/>
                <w:szCs w:val="20"/>
              </w:rPr>
            </w:pPr>
          </w:p>
        </w:tc>
        <w:tc>
          <w:tcPr>
            <w:tcW w:w="50" w:type="pct"/>
            <w:shd w:val="clear" w:color="auto" w:fill="auto"/>
            <w:vAlign w:val="center"/>
          </w:tcPr>
          <w:p w14:paraId="5556B917" w14:textId="77777777" w:rsidR="00F925DD" w:rsidRDefault="00F925DD">
            <w:pPr>
              <w:rPr>
                <w:rFonts w:ascii="Times New Roman" w:hAnsi="Times New Roman"/>
                <w:sz w:val="20"/>
                <w:szCs w:val="20"/>
              </w:rPr>
            </w:pPr>
          </w:p>
        </w:tc>
        <w:tc>
          <w:tcPr>
            <w:tcW w:w="300" w:type="pct"/>
            <w:shd w:val="clear" w:color="auto" w:fill="auto"/>
            <w:vAlign w:val="center"/>
          </w:tcPr>
          <w:p w14:paraId="5556B918" w14:textId="77777777" w:rsidR="00F925DD" w:rsidRDefault="00F925DD">
            <w:pPr>
              <w:rPr>
                <w:rFonts w:ascii="Times New Roman" w:hAnsi="Times New Roman"/>
                <w:sz w:val="20"/>
                <w:szCs w:val="20"/>
              </w:rPr>
            </w:pPr>
          </w:p>
        </w:tc>
        <w:tc>
          <w:tcPr>
            <w:tcW w:w="50" w:type="pct"/>
            <w:shd w:val="clear" w:color="auto" w:fill="auto"/>
            <w:vAlign w:val="center"/>
          </w:tcPr>
          <w:p w14:paraId="5556B919" w14:textId="77777777" w:rsidR="00F925DD" w:rsidRDefault="00F925DD">
            <w:pPr>
              <w:rPr>
                <w:rFonts w:ascii="Times New Roman" w:hAnsi="Times New Roman"/>
                <w:sz w:val="20"/>
                <w:szCs w:val="20"/>
              </w:rPr>
            </w:pPr>
          </w:p>
        </w:tc>
        <w:tc>
          <w:tcPr>
            <w:tcW w:w="50" w:type="pct"/>
            <w:shd w:val="clear" w:color="auto" w:fill="auto"/>
            <w:vAlign w:val="center"/>
          </w:tcPr>
          <w:p w14:paraId="5556B91A" w14:textId="77777777" w:rsidR="00F925DD" w:rsidRDefault="00F925DD">
            <w:pPr>
              <w:rPr>
                <w:rFonts w:ascii="Times New Roman" w:hAnsi="Times New Roman"/>
                <w:sz w:val="20"/>
                <w:szCs w:val="20"/>
              </w:rPr>
            </w:pPr>
          </w:p>
        </w:tc>
        <w:tc>
          <w:tcPr>
            <w:tcW w:w="50" w:type="pct"/>
            <w:shd w:val="clear" w:color="auto" w:fill="auto"/>
            <w:vAlign w:val="center"/>
          </w:tcPr>
          <w:p w14:paraId="5556B91B" w14:textId="77777777" w:rsidR="00F925DD" w:rsidRDefault="00F925DD">
            <w:pPr>
              <w:rPr>
                <w:rFonts w:ascii="Times New Roman" w:hAnsi="Times New Roman"/>
                <w:sz w:val="20"/>
                <w:szCs w:val="20"/>
              </w:rPr>
            </w:pPr>
          </w:p>
        </w:tc>
        <w:tc>
          <w:tcPr>
            <w:tcW w:w="250" w:type="pct"/>
            <w:shd w:val="clear" w:color="auto" w:fill="auto"/>
            <w:vAlign w:val="center"/>
          </w:tcPr>
          <w:p w14:paraId="5556B91C" w14:textId="77777777" w:rsidR="00F925DD" w:rsidRDefault="00F925DD">
            <w:pPr>
              <w:rPr>
                <w:rFonts w:ascii="Times New Roman" w:hAnsi="Times New Roman"/>
                <w:sz w:val="20"/>
                <w:szCs w:val="20"/>
              </w:rPr>
            </w:pPr>
          </w:p>
        </w:tc>
        <w:tc>
          <w:tcPr>
            <w:tcW w:w="50" w:type="pct"/>
            <w:shd w:val="clear" w:color="auto" w:fill="auto"/>
            <w:vAlign w:val="center"/>
          </w:tcPr>
          <w:p w14:paraId="5556B91D" w14:textId="77777777" w:rsidR="00F925DD" w:rsidRDefault="00F925DD">
            <w:pPr>
              <w:rPr>
                <w:rFonts w:ascii="Times New Roman" w:hAnsi="Times New Roman"/>
                <w:sz w:val="20"/>
                <w:szCs w:val="20"/>
              </w:rPr>
            </w:pPr>
          </w:p>
        </w:tc>
        <w:tc>
          <w:tcPr>
            <w:tcW w:w="50" w:type="pct"/>
            <w:shd w:val="clear" w:color="auto" w:fill="auto"/>
            <w:vAlign w:val="center"/>
          </w:tcPr>
          <w:p w14:paraId="5556B91E" w14:textId="77777777" w:rsidR="00F925DD" w:rsidRDefault="00F925DD">
            <w:pPr>
              <w:rPr>
                <w:rFonts w:ascii="Times New Roman" w:hAnsi="Times New Roman"/>
                <w:sz w:val="20"/>
                <w:szCs w:val="20"/>
              </w:rPr>
            </w:pPr>
          </w:p>
        </w:tc>
        <w:tc>
          <w:tcPr>
            <w:tcW w:w="50" w:type="pct"/>
            <w:shd w:val="clear" w:color="auto" w:fill="auto"/>
            <w:vAlign w:val="center"/>
          </w:tcPr>
          <w:p w14:paraId="5556B91F" w14:textId="77777777" w:rsidR="00F925DD" w:rsidRDefault="00F925DD">
            <w:pPr>
              <w:rPr>
                <w:rFonts w:ascii="Times New Roman" w:hAnsi="Times New Roman"/>
                <w:sz w:val="20"/>
                <w:szCs w:val="20"/>
              </w:rPr>
            </w:pPr>
          </w:p>
        </w:tc>
        <w:tc>
          <w:tcPr>
            <w:tcW w:w="250" w:type="pct"/>
            <w:shd w:val="clear" w:color="auto" w:fill="auto"/>
            <w:vAlign w:val="center"/>
          </w:tcPr>
          <w:p w14:paraId="5556B920" w14:textId="77777777" w:rsidR="00F925DD" w:rsidRDefault="00F925DD">
            <w:pPr>
              <w:rPr>
                <w:rFonts w:ascii="Times New Roman" w:hAnsi="Times New Roman"/>
                <w:sz w:val="20"/>
                <w:szCs w:val="20"/>
              </w:rPr>
            </w:pPr>
          </w:p>
        </w:tc>
        <w:tc>
          <w:tcPr>
            <w:tcW w:w="50" w:type="pct"/>
            <w:shd w:val="clear" w:color="auto" w:fill="auto"/>
            <w:vAlign w:val="center"/>
          </w:tcPr>
          <w:p w14:paraId="5556B921" w14:textId="77777777" w:rsidR="00F925DD" w:rsidRDefault="00F925DD">
            <w:pPr>
              <w:rPr>
                <w:rFonts w:ascii="Times New Roman" w:hAnsi="Times New Roman"/>
                <w:sz w:val="20"/>
                <w:szCs w:val="20"/>
              </w:rPr>
            </w:pPr>
          </w:p>
        </w:tc>
        <w:tc>
          <w:tcPr>
            <w:tcW w:w="50" w:type="pct"/>
            <w:shd w:val="clear" w:color="auto" w:fill="auto"/>
            <w:vAlign w:val="center"/>
          </w:tcPr>
          <w:p w14:paraId="5556B922" w14:textId="77777777" w:rsidR="00F925DD" w:rsidRDefault="00F925DD">
            <w:pPr>
              <w:rPr>
                <w:rFonts w:ascii="Times New Roman" w:hAnsi="Times New Roman"/>
                <w:sz w:val="20"/>
                <w:szCs w:val="20"/>
              </w:rPr>
            </w:pPr>
          </w:p>
        </w:tc>
        <w:tc>
          <w:tcPr>
            <w:tcW w:w="50" w:type="pct"/>
            <w:shd w:val="clear" w:color="auto" w:fill="auto"/>
            <w:vAlign w:val="center"/>
          </w:tcPr>
          <w:p w14:paraId="5556B923" w14:textId="77777777" w:rsidR="00F925DD" w:rsidRDefault="00F925DD">
            <w:pPr>
              <w:rPr>
                <w:rFonts w:ascii="Times New Roman" w:hAnsi="Times New Roman"/>
                <w:sz w:val="20"/>
                <w:szCs w:val="20"/>
              </w:rPr>
            </w:pPr>
          </w:p>
        </w:tc>
        <w:tc>
          <w:tcPr>
            <w:tcW w:w="250" w:type="pct"/>
            <w:shd w:val="clear" w:color="auto" w:fill="auto"/>
            <w:vAlign w:val="center"/>
          </w:tcPr>
          <w:p w14:paraId="5556B924" w14:textId="77777777" w:rsidR="00F925DD" w:rsidRDefault="00F925DD">
            <w:pPr>
              <w:rPr>
                <w:rFonts w:ascii="Times New Roman" w:hAnsi="Times New Roman"/>
                <w:sz w:val="20"/>
                <w:szCs w:val="20"/>
              </w:rPr>
            </w:pPr>
          </w:p>
        </w:tc>
        <w:tc>
          <w:tcPr>
            <w:tcW w:w="50" w:type="pct"/>
            <w:shd w:val="clear" w:color="auto" w:fill="auto"/>
            <w:vAlign w:val="center"/>
          </w:tcPr>
          <w:p w14:paraId="5556B925" w14:textId="77777777" w:rsidR="00F925DD" w:rsidRDefault="00F925DD">
            <w:pPr>
              <w:rPr>
                <w:rFonts w:ascii="Times New Roman" w:hAnsi="Times New Roman"/>
                <w:sz w:val="20"/>
                <w:szCs w:val="20"/>
              </w:rPr>
            </w:pPr>
          </w:p>
        </w:tc>
        <w:tc>
          <w:tcPr>
            <w:tcW w:w="50" w:type="pct"/>
            <w:shd w:val="clear" w:color="auto" w:fill="auto"/>
            <w:vAlign w:val="center"/>
          </w:tcPr>
          <w:p w14:paraId="5556B926" w14:textId="77777777" w:rsidR="00F925DD" w:rsidRDefault="00F925DD">
            <w:pPr>
              <w:rPr>
                <w:rFonts w:ascii="Times New Roman" w:hAnsi="Times New Roman"/>
                <w:sz w:val="20"/>
                <w:szCs w:val="20"/>
              </w:rPr>
            </w:pPr>
          </w:p>
        </w:tc>
        <w:tc>
          <w:tcPr>
            <w:tcW w:w="50" w:type="pct"/>
            <w:shd w:val="clear" w:color="auto" w:fill="auto"/>
            <w:vAlign w:val="center"/>
          </w:tcPr>
          <w:p w14:paraId="5556B927" w14:textId="77777777" w:rsidR="00F925DD" w:rsidRDefault="00F925DD">
            <w:pPr>
              <w:rPr>
                <w:rFonts w:ascii="Times New Roman" w:hAnsi="Times New Roman"/>
                <w:sz w:val="20"/>
                <w:szCs w:val="20"/>
              </w:rPr>
            </w:pPr>
          </w:p>
        </w:tc>
        <w:tc>
          <w:tcPr>
            <w:tcW w:w="350" w:type="pct"/>
            <w:shd w:val="clear" w:color="auto" w:fill="auto"/>
            <w:vAlign w:val="center"/>
          </w:tcPr>
          <w:p w14:paraId="5556B928" w14:textId="77777777" w:rsidR="00F925DD" w:rsidRDefault="00F925DD">
            <w:pPr>
              <w:rPr>
                <w:rFonts w:ascii="Times New Roman" w:hAnsi="Times New Roman"/>
                <w:sz w:val="20"/>
                <w:szCs w:val="20"/>
              </w:rPr>
            </w:pPr>
          </w:p>
        </w:tc>
        <w:tc>
          <w:tcPr>
            <w:tcW w:w="50" w:type="pct"/>
            <w:shd w:val="clear" w:color="auto" w:fill="auto"/>
            <w:vAlign w:val="center"/>
          </w:tcPr>
          <w:p w14:paraId="5556B929" w14:textId="77777777" w:rsidR="00F925DD" w:rsidRDefault="00F925DD">
            <w:pPr>
              <w:rPr>
                <w:rFonts w:ascii="Times New Roman" w:hAnsi="Times New Roman"/>
                <w:sz w:val="20"/>
                <w:szCs w:val="20"/>
              </w:rPr>
            </w:pPr>
          </w:p>
        </w:tc>
      </w:tr>
      <w:tr w:rsidR="00F925DD" w14:paraId="5556B92D" w14:textId="77777777">
        <w:tc>
          <w:tcPr>
            <w:tcW w:w="0" w:type="auto"/>
            <w:shd w:val="clear" w:color="auto" w:fill="auto"/>
            <w:tcMar>
              <w:top w:w="40" w:type="dxa"/>
              <w:left w:w="40" w:type="dxa"/>
              <w:bottom w:w="40" w:type="dxa"/>
              <w:right w:w="40" w:type="dxa"/>
            </w:tcMar>
            <w:vAlign w:val="bottom"/>
          </w:tcPr>
          <w:p w14:paraId="5556B9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9"/>
            <w:shd w:val="clear" w:color="auto" w:fill="auto"/>
            <w:tcMar>
              <w:top w:w="40" w:type="dxa"/>
              <w:left w:w="40" w:type="dxa"/>
              <w:bottom w:w="40" w:type="dxa"/>
            </w:tcMar>
            <w:vAlign w:val="bottom"/>
          </w:tcPr>
          <w:p w14:paraId="5556B92C"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Fair Value Measurements Using Significant Unobservable Inputs</w:t>
            </w:r>
          </w:p>
        </w:tc>
      </w:tr>
      <w:tr w:rsidR="00F925DD" w14:paraId="5556B930" w14:textId="77777777">
        <w:tc>
          <w:tcPr>
            <w:tcW w:w="0" w:type="auto"/>
            <w:shd w:val="clear" w:color="auto" w:fill="auto"/>
            <w:tcMar>
              <w:top w:w="40" w:type="dxa"/>
              <w:left w:w="40" w:type="dxa"/>
              <w:bottom w:w="40" w:type="dxa"/>
              <w:right w:w="40" w:type="dxa"/>
            </w:tcMar>
            <w:vAlign w:val="bottom"/>
          </w:tcPr>
          <w:p w14:paraId="5556B92E" w14:textId="77777777" w:rsidR="00F925DD" w:rsidRDefault="00E705D7">
            <w:pPr>
              <w:textAlignment w:val="bottom"/>
              <w:rPr>
                <w:rFonts w:ascii="Times New Roman" w:hAnsi="Times New Roman"/>
                <w:sz w:val="12"/>
                <w:szCs w:val="12"/>
              </w:rPr>
            </w:pPr>
            <w:r>
              <w:rPr>
                <w:rFonts w:ascii="Arial" w:eastAsia="宋体" w:hAnsi="Arial" w:cs="Arial"/>
                <w:sz w:val="12"/>
                <w:szCs w:val="12"/>
              </w:rPr>
              <w:t> </w:t>
            </w:r>
          </w:p>
        </w:tc>
        <w:tc>
          <w:tcPr>
            <w:tcW w:w="0" w:type="auto"/>
            <w:gridSpan w:val="39"/>
            <w:tcBorders>
              <w:bottom w:val="single" w:sz="8" w:space="0" w:color="000000"/>
            </w:tcBorders>
            <w:shd w:val="clear" w:color="auto" w:fill="auto"/>
            <w:tcMar>
              <w:top w:w="40" w:type="dxa"/>
              <w:left w:w="40" w:type="dxa"/>
              <w:bottom w:w="40" w:type="dxa"/>
            </w:tcMar>
            <w:vAlign w:val="bottom"/>
          </w:tcPr>
          <w:p w14:paraId="5556B92F"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Year Ended December 31, 2019</w:t>
            </w:r>
          </w:p>
        </w:tc>
      </w:tr>
      <w:tr w:rsidR="00F925DD" w14:paraId="5556B948" w14:textId="77777777">
        <w:tc>
          <w:tcPr>
            <w:tcW w:w="0" w:type="auto"/>
            <w:shd w:val="clear" w:color="auto" w:fill="auto"/>
            <w:tcMar>
              <w:top w:w="40" w:type="dxa"/>
              <w:left w:w="40" w:type="dxa"/>
              <w:bottom w:w="40" w:type="dxa"/>
              <w:right w:w="40" w:type="dxa"/>
            </w:tcMar>
            <w:vAlign w:val="bottom"/>
          </w:tcPr>
          <w:p w14:paraId="5556B931" w14:textId="77777777" w:rsidR="00F925DD" w:rsidRDefault="00E705D7">
            <w:pPr>
              <w:textAlignment w:val="bottom"/>
              <w:rPr>
                <w:rFonts w:ascii="Times New Roman" w:hAnsi="Times New Roman"/>
                <w:sz w:val="12"/>
                <w:szCs w:val="12"/>
              </w:rPr>
            </w:pPr>
            <w:r>
              <w:rPr>
                <w:rFonts w:ascii="Arial" w:eastAsia="宋体" w:hAnsi="Arial" w:cs="Arial"/>
                <w:sz w:val="12"/>
                <w:szCs w:val="12"/>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932"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Fair Value as of</w:t>
            </w:r>
            <w:r>
              <w:rPr>
                <w:rFonts w:ascii="Arial" w:eastAsia="宋体" w:hAnsi="Arial" w:cs="Arial"/>
                <w:b/>
                <w:bCs/>
                <w:sz w:val="12"/>
                <w:szCs w:val="12"/>
              </w:rPr>
              <w:br/>
              <w:t>December 31,</w:t>
            </w:r>
            <w:r>
              <w:rPr>
                <w:rFonts w:ascii="Arial" w:eastAsia="宋体" w:hAnsi="Arial" w:cs="Arial"/>
                <w:b/>
                <w:bCs/>
                <w:sz w:val="12"/>
                <w:szCs w:val="12"/>
              </w:rPr>
              <w:br/>
              <w:t>2018</w:t>
            </w:r>
          </w:p>
        </w:tc>
        <w:tc>
          <w:tcPr>
            <w:tcW w:w="0" w:type="auto"/>
            <w:shd w:val="clear" w:color="auto" w:fill="auto"/>
            <w:tcMar>
              <w:top w:w="40" w:type="dxa"/>
              <w:left w:w="40" w:type="dxa"/>
              <w:bottom w:w="40" w:type="dxa"/>
              <w:right w:w="40" w:type="dxa"/>
            </w:tcMar>
            <w:vAlign w:val="bottom"/>
          </w:tcPr>
          <w:p w14:paraId="5556B9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B934"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Total Realized and</w:t>
            </w:r>
            <w:r>
              <w:rPr>
                <w:rFonts w:ascii="Arial" w:eastAsia="宋体" w:hAnsi="Arial" w:cs="Arial"/>
                <w:b/>
                <w:bCs/>
                <w:sz w:val="12"/>
                <w:szCs w:val="12"/>
              </w:rPr>
              <w:br/>
              <w:t>Unrealized Gains (Losses)</w:t>
            </w:r>
          </w:p>
        </w:tc>
        <w:tc>
          <w:tcPr>
            <w:tcW w:w="0" w:type="auto"/>
            <w:shd w:val="clear" w:color="auto" w:fill="auto"/>
            <w:tcMar>
              <w:top w:w="40" w:type="dxa"/>
              <w:left w:w="40" w:type="dxa"/>
              <w:bottom w:w="40" w:type="dxa"/>
              <w:right w:w="40" w:type="dxa"/>
            </w:tcMar>
            <w:vAlign w:val="bottom"/>
          </w:tcPr>
          <w:p w14:paraId="5556B9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936"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Purchases</w:t>
            </w:r>
          </w:p>
        </w:tc>
        <w:tc>
          <w:tcPr>
            <w:tcW w:w="0" w:type="auto"/>
            <w:shd w:val="clear" w:color="auto" w:fill="auto"/>
            <w:tcMar>
              <w:top w:w="40" w:type="dxa"/>
              <w:left w:w="40" w:type="dxa"/>
              <w:bottom w:w="40" w:type="dxa"/>
              <w:right w:w="40" w:type="dxa"/>
            </w:tcMar>
            <w:vAlign w:val="bottom"/>
          </w:tcPr>
          <w:p w14:paraId="5556B9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938"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Sales</w:t>
            </w:r>
          </w:p>
        </w:tc>
        <w:tc>
          <w:tcPr>
            <w:tcW w:w="0" w:type="auto"/>
            <w:shd w:val="clear" w:color="auto" w:fill="auto"/>
            <w:tcMar>
              <w:top w:w="40" w:type="dxa"/>
              <w:left w:w="40" w:type="dxa"/>
              <w:bottom w:w="40" w:type="dxa"/>
              <w:right w:w="40" w:type="dxa"/>
            </w:tcMar>
            <w:vAlign w:val="bottom"/>
          </w:tcPr>
          <w:p w14:paraId="5556B9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93A"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Settlements</w:t>
            </w:r>
          </w:p>
        </w:tc>
        <w:tc>
          <w:tcPr>
            <w:tcW w:w="0" w:type="auto"/>
            <w:shd w:val="clear" w:color="auto" w:fill="auto"/>
            <w:tcMar>
              <w:top w:w="40" w:type="dxa"/>
              <w:left w:w="40" w:type="dxa"/>
              <w:bottom w:w="40" w:type="dxa"/>
              <w:right w:w="40" w:type="dxa"/>
            </w:tcMar>
            <w:vAlign w:val="bottom"/>
          </w:tcPr>
          <w:p w14:paraId="5556B9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93C"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Transfers into </w:t>
            </w:r>
          </w:p>
          <w:p w14:paraId="5556B93D"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Level 3</w:t>
            </w:r>
          </w:p>
        </w:tc>
        <w:tc>
          <w:tcPr>
            <w:tcW w:w="0" w:type="auto"/>
            <w:shd w:val="clear" w:color="auto" w:fill="auto"/>
            <w:tcMar>
              <w:top w:w="40" w:type="dxa"/>
              <w:left w:w="40" w:type="dxa"/>
              <w:bottom w:w="40" w:type="dxa"/>
              <w:right w:w="40" w:type="dxa"/>
            </w:tcMar>
            <w:vAlign w:val="bottom"/>
          </w:tcPr>
          <w:p w14:paraId="5556B9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93F"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Transfers </w:t>
            </w:r>
          </w:p>
          <w:p w14:paraId="5556B940"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out of Level 3</w:t>
            </w:r>
          </w:p>
        </w:tc>
        <w:tc>
          <w:tcPr>
            <w:tcW w:w="0" w:type="auto"/>
            <w:shd w:val="clear" w:color="auto" w:fill="auto"/>
            <w:tcMar>
              <w:top w:w="40" w:type="dxa"/>
              <w:left w:w="40" w:type="dxa"/>
              <w:bottom w:w="40" w:type="dxa"/>
              <w:right w:w="40" w:type="dxa"/>
            </w:tcMar>
            <w:vAlign w:val="bottom"/>
          </w:tcPr>
          <w:p w14:paraId="5556B9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942"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Fair Value </w:t>
            </w:r>
          </w:p>
          <w:p w14:paraId="5556B943"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as of December 31, 2019</w:t>
            </w:r>
            <w:r>
              <w:rPr>
                <w:rFonts w:ascii="Arial" w:eastAsia="宋体" w:hAnsi="Arial" w:cs="Arial"/>
                <w:b/>
                <w:bCs/>
                <w:sz w:val="8"/>
                <w:szCs w:val="8"/>
              </w:rPr>
              <w:t>(1)</w:t>
            </w:r>
          </w:p>
        </w:tc>
        <w:tc>
          <w:tcPr>
            <w:tcW w:w="0" w:type="auto"/>
            <w:shd w:val="clear" w:color="auto" w:fill="auto"/>
            <w:tcMar>
              <w:top w:w="40" w:type="dxa"/>
              <w:left w:w="40" w:type="dxa"/>
              <w:bottom w:w="40" w:type="dxa"/>
              <w:right w:w="40" w:type="dxa"/>
            </w:tcMar>
            <w:vAlign w:val="bottom"/>
          </w:tcPr>
          <w:p w14:paraId="5556B9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945"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Change in Unrealized Gains (Losses) Related to Financial Instruments </w:t>
            </w:r>
          </w:p>
          <w:p w14:paraId="5556B946"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Held as of </w:t>
            </w:r>
          </w:p>
          <w:p w14:paraId="5556B947"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December 31, 2019</w:t>
            </w:r>
          </w:p>
        </w:tc>
      </w:tr>
      <w:tr w:rsidR="00F925DD" w14:paraId="5556B95D" w14:textId="77777777">
        <w:tc>
          <w:tcPr>
            <w:tcW w:w="0" w:type="auto"/>
            <w:shd w:val="clear" w:color="auto" w:fill="auto"/>
            <w:tcMar>
              <w:top w:w="40" w:type="dxa"/>
              <w:left w:w="40" w:type="dxa"/>
              <w:bottom w:w="40" w:type="dxa"/>
              <w:right w:w="40" w:type="dxa"/>
            </w:tcMar>
            <w:vAlign w:val="bottom"/>
          </w:tcPr>
          <w:p w14:paraId="5556B949"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94A"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9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94C"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Recorded in Revenue</w:t>
            </w:r>
            <w:r>
              <w:rPr>
                <w:rFonts w:ascii="Arial" w:eastAsia="宋体" w:hAnsi="Arial" w:cs="Arial"/>
                <w:b/>
                <w:bCs/>
                <w:sz w:val="8"/>
                <w:szCs w:val="8"/>
              </w:rPr>
              <w:t>(1)</w:t>
            </w:r>
          </w:p>
        </w:tc>
        <w:tc>
          <w:tcPr>
            <w:tcW w:w="0" w:type="auto"/>
            <w:shd w:val="clear" w:color="auto" w:fill="auto"/>
            <w:tcMar>
              <w:top w:w="40" w:type="dxa"/>
              <w:left w:w="40" w:type="dxa"/>
              <w:bottom w:w="40" w:type="dxa"/>
              <w:right w:w="40" w:type="dxa"/>
            </w:tcMar>
            <w:vAlign w:val="bottom"/>
          </w:tcPr>
          <w:p w14:paraId="5556B9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94E"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Recorded in Other Comprehensive Income</w:t>
            </w:r>
            <w:r>
              <w:rPr>
                <w:rFonts w:ascii="Arial" w:eastAsia="宋体" w:hAnsi="Arial" w:cs="Arial"/>
                <w:b/>
                <w:bCs/>
                <w:sz w:val="8"/>
                <w:szCs w:val="8"/>
              </w:rPr>
              <w:t>(1)</w:t>
            </w:r>
          </w:p>
        </w:tc>
        <w:tc>
          <w:tcPr>
            <w:tcW w:w="0" w:type="auto"/>
            <w:shd w:val="clear" w:color="auto" w:fill="auto"/>
            <w:tcMar>
              <w:top w:w="40" w:type="dxa"/>
              <w:left w:w="40" w:type="dxa"/>
              <w:bottom w:w="40" w:type="dxa"/>
              <w:right w:w="40" w:type="dxa"/>
            </w:tcMar>
            <w:vAlign w:val="bottom"/>
          </w:tcPr>
          <w:p w14:paraId="5556B9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950"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9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952"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9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954"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9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956"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9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958"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9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95A"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9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95C" w14:textId="77777777" w:rsidR="00F925DD" w:rsidRDefault="00F925DD">
            <w:pPr>
              <w:rPr>
                <w:rFonts w:ascii="Times New Roman" w:hAnsi="Times New Roman"/>
                <w:sz w:val="20"/>
                <w:szCs w:val="20"/>
              </w:rPr>
            </w:pPr>
          </w:p>
        </w:tc>
      </w:tr>
      <w:tr w:rsidR="00F925DD" w14:paraId="5556B972" w14:textId="77777777">
        <w:tc>
          <w:tcPr>
            <w:tcW w:w="0" w:type="auto"/>
            <w:shd w:val="clear" w:color="auto" w:fill="auto"/>
            <w:tcMar>
              <w:top w:w="40" w:type="dxa"/>
              <w:left w:w="40" w:type="dxa"/>
              <w:bottom w:w="40" w:type="dxa"/>
              <w:right w:w="40" w:type="dxa"/>
            </w:tcMar>
            <w:vAlign w:val="center"/>
          </w:tcPr>
          <w:p w14:paraId="5556B95E"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Assets:</w:t>
            </w:r>
          </w:p>
        </w:tc>
        <w:tc>
          <w:tcPr>
            <w:tcW w:w="0" w:type="auto"/>
            <w:gridSpan w:val="3"/>
            <w:shd w:val="clear" w:color="auto" w:fill="auto"/>
            <w:tcMar>
              <w:top w:w="40" w:type="dxa"/>
              <w:left w:w="40" w:type="dxa"/>
              <w:bottom w:w="40" w:type="dxa"/>
              <w:right w:w="40" w:type="dxa"/>
            </w:tcMar>
            <w:vAlign w:val="bottom"/>
          </w:tcPr>
          <w:p w14:paraId="5556B9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987" w14:textId="77777777">
        <w:tc>
          <w:tcPr>
            <w:tcW w:w="0" w:type="auto"/>
            <w:shd w:val="clear" w:color="auto" w:fill="auto"/>
            <w:tcMar>
              <w:top w:w="40" w:type="dxa"/>
              <w:left w:w="40" w:type="dxa"/>
              <w:bottom w:w="40" w:type="dxa"/>
              <w:right w:w="40" w:type="dxa"/>
            </w:tcMar>
            <w:vAlign w:val="center"/>
          </w:tcPr>
          <w:p w14:paraId="5556B973" w14:textId="77777777" w:rsidR="00F925DD" w:rsidRDefault="00E705D7">
            <w:pPr>
              <w:textAlignment w:val="center"/>
              <w:rPr>
                <w:rFonts w:ascii="Times New Roman" w:hAnsi="Times New Roman"/>
                <w:sz w:val="12"/>
                <w:szCs w:val="12"/>
              </w:rPr>
            </w:pPr>
            <w:r>
              <w:rPr>
                <w:rFonts w:ascii="Arial" w:eastAsia="宋体" w:hAnsi="Arial" w:cs="Arial"/>
                <w:sz w:val="12"/>
                <w:szCs w:val="12"/>
              </w:rPr>
              <w:t>Available-for-sale Investment securities:</w:t>
            </w:r>
          </w:p>
        </w:tc>
        <w:tc>
          <w:tcPr>
            <w:tcW w:w="0" w:type="auto"/>
            <w:gridSpan w:val="3"/>
            <w:shd w:val="clear" w:color="auto" w:fill="auto"/>
            <w:tcMar>
              <w:top w:w="40" w:type="dxa"/>
              <w:left w:w="40" w:type="dxa"/>
              <w:bottom w:w="40" w:type="dxa"/>
              <w:right w:w="40" w:type="dxa"/>
            </w:tcMar>
            <w:vAlign w:val="bottom"/>
          </w:tcPr>
          <w:p w14:paraId="5556B9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99C" w14:textId="77777777">
        <w:tc>
          <w:tcPr>
            <w:tcW w:w="0" w:type="auto"/>
            <w:shd w:val="clear" w:color="auto" w:fill="auto"/>
            <w:tcMar>
              <w:top w:w="40" w:type="dxa"/>
              <w:left w:w="40" w:type="dxa"/>
              <w:bottom w:w="40" w:type="dxa"/>
              <w:right w:w="40" w:type="dxa"/>
            </w:tcMar>
            <w:vAlign w:val="center"/>
          </w:tcPr>
          <w:p w14:paraId="5556B988" w14:textId="77777777" w:rsidR="00F925DD" w:rsidRDefault="00E705D7">
            <w:pPr>
              <w:textAlignment w:val="center"/>
              <w:rPr>
                <w:rFonts w:ascii="Times New Roman" w:hAnsi="Times New Roman"/>
                <w:sz w:val="12"/>
                <w:szCs w:val="12"/>
              </w:rPr>
            </w:pPr>
            <w:r>
              <w:rPr>
                <w:rFonts w:ascii="Arial" w:eastAsia="宋体" w:hAnsi="Arial" w:cs="Arial"/>
                <w:sz w:val="12"/>
                <w:szCs w:val="12"/>
              </w:rPr>
              <w:t>U.S. Treasury and federal agencies:</w:t>
            </w:r>
          </w:p>
        </w:tc>
        <w:tc>
          <w:tcPr>
            <w:tcW w:w="0" w:type="auto"/>
            <w:gridSpan w:val="3"/>
            <w:shd w:val="clear" w:color="auto" w:fill="auto"/>
            <w:tcMar>
              <w:top w:w="40" w:type="dxa"/>
              <w:left w:w="40" w:type="dxa"/>
              <w:bottom w:w="40" w:type="dxa"/>
              <w:right w:w="40" w:type="dxa"/>
            </w:tcMar>
            <w:vAlign w:val="bottom"/>
          </w:tcPr>
          <w:p w14:paraId="5556B9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B9C3" w14:textId="77777777">
        <w:tc>
          <w:tcPr>
            <w:tcW w:w="0" w:type="auto"/>
            <w:shd w:val="clear" w:color="auto" w:fill="CCEEFF"/>
            <w:tcMar>
              <w:top w:w="40" w:type="dxa"/>
              <w:left w:w="40" w:type="dxa"/>
              <w:bottom w:w="40" w:type="dxa"/>
              <w:right w:w="40" w:type="dxa"/>
            </w:tcMar>
            <w:vAlign w:val="center"/>
          </w:tcPr>
          <w:p w14:paraId="5556B99D" w14:textId="77777777" w:rsidR="00F925DD" w:rsidRDefault="00E705D7">
            <w:pPr>
              <w:textAlignment w:val="center"/>
              <w:rPr>
                <w:rFonts w:ascii="Times New Roman" w:hAnsi="Times New Roman"/>
                <w:sz w:val="12"/>
                <w:szCs w:val="12"/>
              </w:rPr>
            </w:pPr>
            <w:r>
              <w:rPr>
                <w:rFonts w:ascii="Arial" w:eastAsia="宋体" w:hAnsi="Arial" w:cs="Arial"/>
                <w:sz w:val="12"/>
                <w:szCs w:val="12"/>
              </w:rPr>
              <w:t>Mortgage-backed securities</w:t>
            </w:r>
          </w:p>
        </w:tc>
        <w:tc>
          <w:tcPr>
            <w:tcW w:w="0" w:type="auto"/>
            <w:shd w:val="clear" w:color="auto" w:fill="CCEEFF"/>
            <w:tcMar>
              <w:top w:w="40" w:type="dxa"/>
              <w:left w:w="40" w:type="dxa"/>
              <w:bottom w:w="40" w:type="dxa"/>
            </w:tcMar>
            <w:vAlign w:val="center"/>
          </w:tcPr>
          <w:p w14:paraId="5556B99E"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center"/>
          </w:tcPr>
          <w:p w14:paraId="5556B99F"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9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9A2"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center"/>
          </w:tcPr>
          <w:p w14:paraId="5556B9A3"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9A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9A6"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center"/>
          </w:tcPr>
          <w:p w14:paraId="5556B9A7"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9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9AA"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center"/>
          </w:tcPr>
          <w:p w14:paraId="5556B9AB"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123</w:t>
            </w:r>
          </w:p>
        </w:tc>
        <w:tc>
          <w:tcPr>
            <w:tcW w:w="0" w:type="auto"/>
            <w:shd w:val="clear" w:color="auto" w:fill="CCEEFF"/>
            <w:vAlign w:val="bottom"/>
          </w:tcPr>
          <w:p w14:paraId="5556B9A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9AE"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center"/>
          </w:tcPr>
          <w:p w14:paraId="5556B9AF"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9B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9B2"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center"/>
          </w:tcPr>
          <w:p w14:paraId="5556B9B3"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9B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9B6"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center"/>
          </w:tcPr>
          <w:p w14:paraId="5556B9B7"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9B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9BA"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center"/>
          </w:tcPr>
          <w:p w14:paraId="5556B9BB"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(123</w:t>
            </w:r>
          </w:p>
        </w:tc>
        <w:tc>
          <w:tcPr>
            <w:tcW w:w="0" w:type="auto"/>
            <w:shd w:val="clear" w:color="auto" w:fill="CCEEFF"/>
            <w:tcMar>
              <w:top w:w="40" w:type="dxa"/>
              <w:bottom w:w="40" w:type="dxa"/>
              <w:right w:w="40" w:type="dxa"/>
            </w:tcMar>
            <w:vAlign w:val="center"/>
          </w:tcPr>
          <w:p w14:paraId="5556B9BC"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B9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9BE"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center"/>
          </w:tcPr>
          <w:p w14:paraId="5556B9BF"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9C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9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9D8" w14:textId="77777777">
        <w:tc>
          <w:tcPr>
            <w:tcW w:w="0" w:type="auto"/>
            <w:shd w:val="clear" w:color="auto" w:fill="auto"/>
            <w:tcMar>
              <w:top w:w="40" w:type="dxa"/>
              <w:left w:w="40" w:type="dxa"/>
              <w:bottom w:w="40" w:type="dxa"/>
              <w:right w:w="40" w:type="dxa"/>
            </w:tcMar>
            <w:vAlign w:val="center"/>
          </w:tcPr>
          <w:p w14:paraId="5556B9C4" w14:textId="77777777" w:rsidR="00F925DD" w:rsidRDefault="00E705D7">
            <w:pPr>
              <w:textAlignment w:val="center"/>
              <w:rPr>
                <w:rFonts w:ascii="Times New Roman" w:hAnsi="Times New Roman"/>
                <w:sz w:val="12"/>
                <w:szCs w:val="12"/>
              </w:rPr>
            </w:pPr>
            <w:r>
              <w:rPr>
                <w:rFonts w:ascii="Arial" w:eastAsia="宋体" w:hAnsi="Arial" w:cs="Arial"/>
                <w:sz w:val="12"/>
                <w:szCs w:val="12"/>
              </w:rPr>
              <w:t>Asset-backed securities:</w:t>
            </w:r>
          </w:p>
        </w:tc>
        <w:tc>
          <w:tcPr>
            <w:tcW w:w="0" w:type="auto"/>
            <w:gridSpan w:val="3"/>
            <w:shd w:val="clear" w:color="auto" w:fill="auto"/>
            <w:tcMar>
              <w:top w:w="40" w:type="dxa"/>
              <w:left w:w="40" w:type="dxa"/>
              <w:bottom w:w="40" w:type="dxa"/>
              <w:right w:w="40" w:type="dxa"/>
            </w:tcMar>
            <w:vAlign w:val="bottom"/>
          </w:tcPr>
          <w:p w14:paraId="5556B9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9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center"/>
          </w:tcPr>
          <w:p w14:paraId="5556B9D5" w14:textId="77777777" w:rsidR="00F925DD" w:rsidRDefault="00F925DD">
            <w:pPr>
              <w:textAlignment w:val="center"/>
              <w:rPr>
                <w:rFonts w:ascii="Times New Roman" w:hAnsi="Times New Roman"/>
                <w:sz w:val="12"/>
                <w:szCs w:val="12"/>
              </w:rPr>
            </w:pPr>
          </w:p>
        </w:tc>
        <w:tc>
          <w:tcPr>
            <w:tcW w:w="0" w:type="auto"/>
            <w:shd w:val="clear" w:color="auto" w:fill="auto"/>
            <w:tcMar>
              <w:top w:w="40" w:type="dxa"/>
              <w:left w:w="40" w:type="dxa"/>
              <w:bottom w:w="40" w:type="dxa"/>
              <w:right w:w="40" w:type="dxa"/>
            </w:tcMar>
            <w:vAlign w:val="bottom"/>
          </w:tcPr>
          <w:p w14:paraId="5556B9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9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9F6" w14:textId="77777777">
        <w:tc>
          <w:tcPr>
            <w:tcW w:w="0" w:type="auto"/>
            <w:shd w:val="clear" w:color="auto" w:fill="CCEEFF"/>
            <w:tcMar>
              <w:top w:w="40" w:type="dxa"/>
              <w:left w:w="240" w:type="dxa"/>
              <w:bottom w:w="40" w:type="dxa"/>
              <w:right w:w="40" w:type="dxa"/>
            </w:tcMar>
            <w:vAlign w:val="center"/>
          </w:tcPr>
          <w:p w14:paraId="5556B9D9" w14:textId="77777777" w:rsidR="00F925DD" w:rsidRDefault="00E705D7">
            <w:pPr>
              <w:textAlignment w:val="center"/>
              <w:rPr>
                <w:rFonts w:ascii="Times New Roman" w:hAnsi="Times New Roman"/>
                <w:sz w:val="12"/>
                <w:szCs w:val="12"/>
              </w:rPr>
            </w:pPr>
            <w:r>
              <w:rPr>
                <w:rFonts w:ascii="Arial" w:eastAsia="宋体" w:hAnsi="Arial" w:cs="Arial"/>
                <w:sz w:val="12"/>
                <w:szCs w:val="12"/>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9DA"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593</w:t>
            </w:r>
          </w:p>
        </w:tc>
        <w:tc>
          <w:tcPr>
            <w:tcW w:w="0" w:type="auto"/>
            <w:tcBorders>
              <w:bottom w:val="single" w:sz="8" w:space="0" w:color="000000"/>
            </w:tcBorders>
            <w:shd w:val="clear" w:color="auto" w:fill="CCEEFF"/>
            <w:vAlign w:val="bottom"/>
          </w:tcPr>
          <w:p w14:paraId="5556B9D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9DD"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w:t>
            </w:r>
          </w:p>
        </w:tc>
        <w:tc>
          <w:tcPr>
            <w:tcW w:w="0" w:type="auto"/>
            <w:tcBorders>
              <w:bottom w:val="single" w:sz="8" w:space="0" w:color="000000"/>
            </w:tcBorders>
            <w:shd w:val="clear" w:color="auto" w:fill="CCEEFF"/>
            <w:vAlign w:val="bottom"/>
          </w:tcPr>
          <w:p w14:paraId="5556B9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9E0"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CCEEFF"/>
            <w:vAlign w:val="bottom"/>
          </w:tcPr>
          <w:p w14:paraId="5556B9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9E3"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1,065</w:t>
            </w:r>
          </w:p>
        </w:tc>
        <w:tc>
          <w:tcPr>
            <w:tcW w:w="0" w:type="auto"/>
            <w:tcBorders>
              <w:bottom w:val="single" w:sz="8" w:space="0" w:color="000000"/>
            </w:tcBorders>
            <w:shd w:val="clear" w:color="auto" w:fill="CCEEFF"/>
            <w:vAlign w:val="bottom"/>
          </w:tcPr>
          <w:p w14:paraId="5556B9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9E6"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CCEEFF"/>
            <w:vAlign w:val="bottom"/>
          </w:tcPr>
          <w:p w14:paraId="5556B9E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9E9"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(342</w:t>
            </w:r>
          </w:p>
        </w:tc>
        <w:tc>
          <w:tcPr>
            <w:tcW w:w="0" w:type="auto"/>
            <w:tcBorders>
              <w:bottom w:val="single" w:sz="8" w:space="0" w:color="000000"/>
            </w:tcBorders>
            <w:shd w:val="clear" w:color="auto" w:fill="CCEEFF"/>
            <w:tcMar>
              <w:top w:w="40" w:type="dxa"/>
              <w:bottom w:w="40" w:type="dxa"/>
              <w:right w:w="40" w:type="dxa"/>
            </w:tcMar>
            <w:vAlign w:val="center"/>
          </w:tcPr>
          <w:p w14:paraId="5556B9EA"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B9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9EC"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503</w:t>
            </w:r>
          </w:p>
        </w:tc>
        <w:tc>
          <w:tcPr>
            <w:tcW w:w="0" w:type="auto"/>
            <w:tcBorders>
              <w:bottom w:val="single" w:sz="8" w:space="0" w:color="000000"/>
            </w:tcBorders>
            <w:shd w:val="clear" w:color="auto" w:fill="CCEEFF"/>
            <w:vAlign w:val="bottom"/>
          </w:tcPr>
          <w:p w14:paraId="5556B9E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9EF"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CCEEFF"/>
            <w:vAlign w:val="bottom"/>
          </w:tcPr>
          <w:p w14:paraId="5556B9F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9F2"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1,820</w:t>
            </w:r>
          </w:p>
        </w:tc>
        <w:tc>
          <w:tcPr>
            <w:tcW w:w="0" w:type="auto"/>
            <w:shd w:val="clear" w:color="auto" w:fill="CCEEFF"/>
            <w:vAlign w:val="bottom"/>
          </w:tcPr>
          <w:p w14:paraId="5556B9F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9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9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A14" w14:textId="77777777">
        <w:tc>
          <w:tcPr>
            <w:tcW w:w="0" w:type="auto"/>
            <w:shd w:val="clear" w:color="auto" w:fill="auto"/>
            <w:tcMar>
              <w:top w:w="40" w:type="dxa"/>
              <w:left w:w="40" w:type="dxa"/>
              <w:bottom w:w="40" w:type="dxa"/>
              <w:right w:w="40" w:type="dxa"/>
            </w:tcMar>
            <w:vAlign w:val="center"/>
          </w:tcPr>
          <w:p w14:paraId="5556B9F7" w14:textId="77777777" w:rsidR="00F925DD" w:rsidRDefault="00E705D7">
            <w:pPr>
              <w:textAlignment w:val="center"/>
              <w:rPr>
                <w:rFonts w:ascii="Times New Roman" w:hAnsi="Times New Roman"/>
                <w:sz w:val="12"/>
                <w:szCs w:val="12"/>
              </w:rPr>
            </w:pPr>
            <w:r>
              <w:rPr>
                <w:rFonts w:ascii="Arial" w:eastAsia="宋体" w:hAnsi="Arial" w:cs="Arial"/>
                <w:sz w:val="12"/>
                <w:szCs w:val="12"/>
              </w:rPr>
              <w:t>Total asset-backed securities</w:t>
            </w:r>
          </w:p>
        </w:tc>
        <w:tc>
          <w:tcPr>
            <w:tcW w:w="0" w:type="auto"/>
            <w:gridSpan w:val="2"/>
            <w:tcBorders>
              <w:top w:val="single" w:sz="8" w:space="0" w:color="000000"/>
            </w:tcBorders>
            <w:shd w:val="clear" w:color="auto" w:fill="auto"/>
            <w:tcMar>
              <w:top w:w="40" w:type="dxa"/>
              <w:left w:w="40" w:type="dxa"/>
              <w:bottom w:w="40" w:type="dxa"/>
            </w:tcMar>
            <w:vAlign w:val="center"/>
          </w:tcPr>
          <w:p w14:paraId="5556B9F8"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593</w:t>
            </w:r>
          </w:p>
        </w:tc>
        <w:tc>
          <w:tcPr>
            <w:tcW w:w="0" w:type="auto"/>
            <w:tcBorders>
              <w:top w:val="single" w:sz="8" w:space="0" w:color="000000"/>
            </w:tcBorders>
            <w:shd w:val="clear" w:color="auto" w:fill="auto"/>
            <w:vAlign w:val="bottom"/>
          </w:tcPr>
          <w:p w14:paraId="5556B9F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9FA"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9FB"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w:t>
            </w:r>
          </w:p>
        </w:tc>
        <w:tc>
          <w:tcPr>
            <w:tcW w:w="0" w:type="auto"/>
            <w:tcBorders>
              <w:top w:val="single" w:sz="8" w:space="0" w:color="000000"/>
            </w:tcBorders>
            <w:shd w:val="clear" w:color="auto" w:fill="auto"/>
            <w:vAlign w:val="bottom"/>
          </w:tcPr>
          <w:p w14:paraId="5556B9F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9FD"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9FE"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auto"/>
            <w:vAlign w:val="bottom"/>
          </w:tcPr>
          <w:p w14:paraId="5556B9F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A00"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01"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1,065</w:t>
            </w:r>
          </w:p>
        </w:tc>
        <w:tc>
          <w:tcPr>
            <w:tcW w:w="0" w:type="auto"/>
            <w:tcBorders>
              <w:top w:val="single" w:sz="8" w:space="0" w:color="000000"/>
            </w:tcBorders>
            <w:shd w:val="clear" w:color="auto" w:fill="auto"/>
            <w:vAlign w:val="bottom"/>
          </w:tcPr>
          <w:p w14:paraId="5556BA0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A03"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04"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auto"/>
            <w:vAlign w:val="bottom"/>
          </w:tcPr>
          <w:p w14:paraId="5556BA0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A06"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07"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(342</w:t>
            </w:r>
          </w:p>
        </w:tc>
        <w:tc>
          <w:tcPr>
            <w:tcW w:w="0" w:type="auto"/>
            <w:tcBorders>
              <w:top w:val="single" w:sz="8" w:space="0" w:color="000000"/>
            </w:tcBorders>
            <w:shd w:val="clear" w:color="auto" w:fill="auto"/>
            <w:tcMar>
              <w:top w:w="40" w:type="dxa"/>
              <w:bottom w:w="40" w:type="dxa"/>
              <w:right w:w="40" w:type="dxa"/>
            </w:tcMar>
            <w:vAlign w:val="center"/>
          </w:tcPr>
          <w:p w14:paraId="5556BA08"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center"/>
          </w:tcPr>
          <w:p w14:paraId="5556BA09"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0A"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503</w:t>
            </w:r>
          </w:p>
        </w:tc>
        <w:tc>
          <w:tcPr>
            <w:tcW w:w="0" w:type="auto"/>
            <w:tcBorders>
              <w:top w:val="single" w:sz="8" w:space="0" w:color="000000"/>
            </w:tcBorders>
            <w:shd w:val="clear" w:color="auto" w:fill="auto"/>
            <w:vAlign w:val="bottom"/>
          </w:tcPr>
          <w:p w14:paraId="5556BA0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A0C"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0D"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auto"/>
            <w:vAlign w:val="bottom"/>
          </w:tcPr>
          <w:p w14:paraId="5556BA0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A0F"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10"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1,820</w:t>
            </w:r>
          </w:p>
        </w:tc>
        <w:tc>
          <w:tcPr>
            <w:tcW w:w="0" w:type="auto"/>
            <w:tcBorders>
              <w:top w:val="single" w:sz="8" w:space="0" w:color="000000"/>
            </w:tcBorders>
            <w:shd w:val="clear" w:color="auto" w:fill="auto"/>
            <w:vAlign w:val="bottom"/>
          </w:tcPr>
          <w:p w14:paraId="5556BA1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A29" w14:textId="77777777">
        <w:tc>
          <w:tcPr>
            <w:tcW w:w="0" w:type="auto"/>
            <w:shd w:val="clear" w:color="auto" w:fill="CCEEFF"/>
            <w:tcMar>
              <w:top w:w="40" w:type="dxa"/>
              <w:left w:w="40" w:type="dxa"/>
              <w:bottom w:w="40" w:type="dxa"/>
              <w:right w:w="40" w:type="dxa"/>
            </w:tcMar>
            <w:vAlign w:val="center"/>
          </w:tcPr>
          <w:p w14:paraId="5556BA15" w14:textId="77777777" w:rsidR="00F925DD" w:rsidRDefault="00E705D7">
            <w:pPr>
              <w:textAlignment w:val="center"/>
              <w:rPr>
                <w:rFonts w:ascii="Times New Roman" w:hAnsi="Times New Roman"/>
                <w:sz w:val="12"/>
                <w:szCs w:val="12"/>
              </w:rPr>
            </w:pPr>
            <w:r>
              <w:rPr>
                <w:rFonts w:ascii="Arial" w:eastAsia="宋体" w:hAnsi="Arial" w:cs="Arial"/>
                <w:sz w:val="12"/>
                <w:szCs w:val="12"/>
              </w:rPr>
              <w:t>Non-U.S. debt securities:</w:t>
            </w:r>
          </w:p>
        </w:tc>
        <w:tc>
          <w:tcPr>
            <w:tcW w:w="0" w:type="auto"/>
            <w:gridSpan w:val="3"/>
            <w:shd w:val="clear" w:color="auto" w:fill="CCEEFF"/>
            <w:tcMar>
              <w:top w:w="40" w:type="dxa"/>
              <w:left w:w="40" w:type="dxa"/>
              <w:bottom w:w="40" w:type="dxa"/>
              <w:right w:w="40" w:type="dxa"/>
            </w:tcMar>
            <w:vAlign w:val="bottom"/>
          </w:tcPr>
          <w:p w14:paraId="5556BA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A47" w14:textId="77777777">
        <w:tc>
          <w:tcPr>
            <w:tcW w:w="0" w:type="auto"/>
            <w:shd w:val="clear" w:color="auto" w:fill="auto"/>
            <w:tcMar>
              <w:top w:w="40" w:type="dxa"/>
              <w:left w:w="240" w:type="dxa"/>
              <w:bottom w:w="40" w:type="dxa"/>
              <w:right w:w="40" w:type="dxa"/>
            </w:tcMar>
            <w:vAlign w:val="center"/>
          </w:tcPr>
          <w:p w14:paraId="5556BA2A" w14:textId="77777777" w:rsidR="00F925DD" w:rsidRDefault="00E705D7">
            <w:pPr>
              <w:textAlignment w:val="center"/>
              <w:rPr>
                <w:rFonts w:ascii="Times New Roman" w:hAnsi="Times New Roman"/>
                <w:sz w:val="12"/>
                <w:szCs w:val="12"/>
              </w:rPr>
            </w:pPr>
            <w:r>
              <w:rPr>
                <w:rFonts w:ascii="Arial" w:eastAsia="宋体" w:hAnsi="Arial" w:cs="Arial"/>
                <w:sz w:val="12"/>
                <w:szCs w:val="12"/>
              </w:rPr>
              <w:t>Asset-backed securities</w:t>
            </w:r>
          </w:p>
        </w:tc>
        <w:tc>
          <w:tcPr>
            <w:tcW w:w="0" w:type="auto"/>
            <w:gridSpan w:val="2"/>
            <w:shd w:val="clear" w:color="auto" w:fill="auto"/>
            <w:tcMar>
              <w:top w:w="40" w:type="dxa"/>
              <w:left w:w="40" w:type="dxa"/>
              <w:bottom w:w="40" w:type="dxa"/>
            </w:tcMar>
            <w:vAlign w:val="center"/>
          </w:tcPr>
          <w:p w14:paraId="5556BA2B"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631</w:t>
            </w:r>
          </w:p>
        </w:tc>
        <w:tc>
          <w:tcPr>
            <w:tcW w:w="0" w:type="auto"/>
            <w:shd w:val="clear" w:color="auto" w:fill="auto"/>
            <w:vAlign w:val="bottom"/>
          </w:tcPr>
          <w:p w14:paraId="5556BA2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2E"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A2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31"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(9</w:t>
            </w:r>
          </w:p>
        </w:tc>
        <w:tc>
          <w:tcPr>
            <w:tcW w:w="0" w:type="auto"/>
            <w:shd w:val="clear" w:color="auto" w:fill="auto"/>
            <w:tcMar>
              <w:top w:w="40" w:type="dxa"/>
              <w:bottom w:w="40" w:type="dxa"/>
              <w:right w:w="40" w:type="dxa"/>
            </w:tcMar>
            <w:vAlign w:val="center"/>
          </w:tcPr>
          <w:p w14:paraId="5556BA32"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BA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34"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340</w:t>
            </w:r>
          </w:p>
        </w:tc>
        <w:tc>
          <w:tcPr>
            <w:tcW w:w="0" w:type="auto"/>
            <w:shd w:val="clear" w:color="auto" w:fill="auto"/>
            <w:vAlign w:val="bottom"/>
          </w:tcPr>
          <w:p w14:paraId="5556BA3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37"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A3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3A"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(36</w:t>
            </w:r>
          </w:p>
        </w:tc>
        <w:tc>
          <w:tcPr>
            <w:tcW w:w="0" w:type="auto"/>
            <w:shd w:val="clear" w:color="auto" w:fill="auto"/>
            <w:tcMar>
              <w:top w:w="40" w:type="dxa"/>
              <w:bottom w:w="40" w:type="dxa"/>
              <w:right w:w="40" w:type="dxa"/>
            </w:tcMar>
            <w:vAlign w:val="center"/>
          </w:tcPr>
          <w:p w14:paraId="5556BA3B"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BA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3D"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A3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40"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(39</w:t>
            </w:r>
          </w:p>
        </w:tc>
        <w:tc>
          <w:tcPr>
            <w:tcW w:w="0" w:type="auto"/>
            <w:shd w:val="clear" w:color="auto" w:fill="auto"/>
            <w:tcMar>
              <w:top w:w="40" w:type="dxa"/>
              <w:bottom w:w="40" w:type="dxa"/>
              <w:right w:w="40" w:type="dxa"/>
            </w:tcMar>
            <w:vAlign w:val="center"/>
          </w:tcPr>
          <w:p w14:paraId="5556BA41"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BA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43"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887</w:t>
            </w:r>
          </w:p>
        </w:tc>
        <w:tc>
          <w:tcPr>
            <w:tcW w:w="0" w:type="auto"/>
            <w:shd w:val="clear" w:color="auto" w:fill="auto"/>
            <w:vAlign w:val="bottom"/>
          </w:tcPr>
          <w:p w14:paraId="5556BA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A65" w14:textId="77777777">
        <w:tc>
          <w:tcPr>
            <w:tcW w:w="0" w:type="auto"/>
            <w:shd w:val="clear" w:color="auto" w:fill="CCEEFF"/>
            <w:tcMar>
              <w:top w:w="40" w:type="dxa"/>
              <w:left w:w="240" w:type="dxa"/>
              <w:bottom w:w="40" w:type="dxa"/>
              <w:right w:w="40" w:type="dxa"/>
            </w:tcMar>
            <w:vAlign w:val="center"/>
          </w:tcPr>
          <w:p w14:paraId="5556BA48" w14:textId="77777777" w:rsidR="00F925DD" w:rsidRDefault="00E705D7">
            <w:pPr>
              <w:textAlignment w:val="center"/>
              <w:rPr>
                <w:rFonts w:ascii="Times New Roman" w:hAnsi="Times New Roman"/>
                <w:sz w:val="12"/>
                <w:szCs w:val="12"/>
              </w:rPr>
            </w:pPr>
            <w:r>
              <w:rPr>
                <w:rFonts w:ascii="Arial" w:eastAsia="宋体" w:hAnsi="Arial" w:cs="Arial"/>
                <w:sz w:val="12"/>
                <w:szCs w:val="12"/>
              </w:rPr>
              <w:t>Other</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A49"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58</w:t>
            </w:r>
          </w:p>
        </w:tc>
        <w:tc>
          <w:tcPr>
            <w:tcW w:w="0" w:type="auto"/>
            <w:tcBorders>
              <w:bottom w:val="single" w:sz="8" w:space="0" w:color="000000"/>
            </w:tcBorders>
            <w:shd w:val="clear" w:color="auto" w:fill="CCEEFF"/>
            <w:vAlign w:val="bottom"/>
          </w:tcPr>
          <w:p w14:paraId="5556BA4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A4C"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CCEEFF"/>
            <w:vAlign w:val="bottom"/>
          </w:tcPr>
          <w:p w14:paraId="5556BA4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A4F"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w:t>
            </w:r>
          </w:p>
        </w:tc>
        <w:tc>
          <w:tcPr>
            <w:tcW w:w="0" w:type="auto"/>
            <w:tcBorders>
              <w:bottom w:val="single" w:sz="8" w:space="0" w:color="000000"/>
            </w:tcBorders>
            <w:shd w:val="clear" w:color="auto" w:fill="CCEEFF"/>
            <w:tcMar>
              <w:top w:w="40" w:type="dxa"/>
              <w:bottom w:w="40" w:type="dxa"/>
              <w:right w:w="40" w:type="dxa"/>
            </w:tcMar>
            <w:vAlign w:val="center"/>
          </w:tcPr>
          <w:p w14:paraId="5556BA50"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BA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A52"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CCEEFF"/>
            <w:vAlign w:val="bottom"/>
          </w:tcPr>
          <w:p w14:paraId="5556BA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A55"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CCEEFF"/>
            <w:vAlign w:val="bottom"/>
          </w:tcPr>
          <w:p w14:paraId="5556BA5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A58"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CCEEFF"/>
            <w:vAlign w:val="bottom"/>
          </w:tcPr>
          <w:p w14:paraId="5556BA5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A5B"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CCEEFF"/>
            <w:vAlign w:val="bottom"/>
          </w:tcPr>
          <w:p w14:paraId="5556BA5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A5E"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(12</w:t>
            </w:r>
          </w:p>
        </w:tc>
        <w:tc>
          <w:tcPr>
            <w:tcW w:w="0" w:type="auto"/>
            <w:tcBorders>
              <w:bottom w:val="single" w:sz="8" w:space="0" w:color="000000"/>
            </w:tcBorders>
            <w:shd w:val="clear" w:color="auto" w:fill="CCEEFF"/>
            <w:tcMar>
              <w:top w:w="40" w:type="dxa"/>
              <w:bottom w:w="40" w:type="dxa"/>
              <w:right w:w="40" w:type="dxa"/>
            </w:tcMar>
            <w:vAlign w:val="center"/>
          </w:tcPr>
          <w:p w14:paraId="5556BA5F"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BA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A61"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45</w:t>
            </w:r>
          </w:p>
        </w:tc>
        <w:tc>
          <w:tcPr>
            <w:tcW w:w="0" w:type="auto"/>
            <w:shd w:val="clear" w:color="auto" w:fill="CCEEFF"/>
            <w:vAlign w:val="bottom"/>
          </w:tcPr>
          <w:p w14:paraId="5556BA6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A83" w14:textId="77777777">
        <w:tc>
          <w:tcPr>
            <w:tcW w:w="0" w:type="auto"/>
            <w:shd w:val="clear" w:color="auto" w:fill="auto"/>
            <w:tcMar>
              <w:top w:w="40" w:type="dxa"/>
              <w:left w:w="40" w:type="dxa"/>
              <w:bottom w:w="40" w:type="dxa"/>
              <w:right w:w="40" w:type="dxa"/>
            </w:tcMar>
            <w:vAlign w:val="center"/>
          </w:tcPr>
          <w:p w14:paraId="5556BA66" w14:textId="77777777" w:rsidR="00F925DD" w:rsidRDefault="00E705D7">
            <w:pPr>
              <w:textAlignment w:val="center"/>
              <w:rPr>
                <w:rFonts w:ascii="Times New Roman" w:hAnsi="Times New Roman"/>
                <w:sz w:val="12"/>
                <w:szCs w:val="12"/>
              </w:rPr>
            </w:pPr>
            <w:r>
              <w:rPr>
                <w:rFonts w:ascii="Arial" w:eastAsia="宋体" w:hAnsi="Arial" w:cs="Arial"/>
                <w:sz w:val="12"/>
                <w:szCs w:val="12"/>
              </w:rPr>
              <w:t>Total non-U.S. debt securities</w:t>
            </w:r>
          </w:p>
        </w:tc>
        <w:tc>
          <w:tcPr>
            <w:tcW w:w="0" w:type="auto"/>
            <w:gridSpan w:val="2"/>
            <w:tcBorders>
              <w:top w:val="single" w:sz="8" w:space="0" w:color="000000"/>
            </w:tcBorders>
            <w:shd w:val="clear" w:color="auto" w:fill="auto"/>
            <w:tcMar>
              <w:top w:w="40" w:type="dxa"/>
              <w:left w:w="40" w:type="dxa"/>
              <w:bottom w:w="40" w:type="dxa"/>
            </w:tcMar>
            <w:vAlign w:val="center"/>
          </w:tcPr>
          <w:p w14:paraId="5556BA67"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689</w:t>
            </w:r>
          </w:p>
        </w:tc>
        <w:tc>
          <w:tcPr>
            <w:tcW w:w="0" w:type="auto"/>
            <w:tcBorders>
              <w:top w:val="single" w:sz="8" w:space="0" w:color="000000"/>
            </w:tcBorders>
            <w:shd w:val="clear" w:color="auto" w:fill="auto"/>
            <w:vAlign w:val="bottom"/>
          </w:tcPr>
          <w:p w14:paraId="5556BA6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A69"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6A"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auto"/>
            <w:vAlign w:val="bottom"/>
          </w:tcPr>
          <w:p w14:paraId="5556BA6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A6C"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6D"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(10</w:t>
            </w:r>
          </w:p>
        </w:tc>
        <w:tc>
          <w:tcPr>
            <w:tcW w:w="0" w:type="auto"/>
            <w:tcBorders>
              <w:top w:val="single" w:sz="8" w:space="0" w:color="000000"/>
            </w:tcBorders>
            <w:shd w:val="clear" w:color="auto" w:fill="auto"/>
            <w:tcMar>
              <w:top w:w="40" w:type="dxa"/>
              <w:bottom w:w="40" w:type="dxa"/>
              <w:right w:w="40" w:type="dxa"/>
            </w:tcMar>
            <w:vAlign w:val="center"/>
          </w:tcPr>
          <w:p w14:paraId="5556BA6E"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center"/>
          </w:tcPr>
          <w:p w14:paraId="5556BA6F"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70"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340</w:t>
            </w:r>
          </w:p>
        </w:tc>
        <w:tc>
          <w:tcPr>
            <w:tcW w:w="0" w:type="auto"/>
            <w:tcBorders>
              <w:top w:val="single" w:sz="8" w:space="0" w:color="000000"/>
            </w:tcBorders>
            <w:shd w:val="clear" w:color="auto" w:fill="auto"/>
            <w:vAlign w:val="bottom"/>
          </w:tcPr>
          <w:p w14:paraId="5556BA7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A72"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73"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auto"/>
            <w:vAlign w:val="bottom"/>
          </w:tcPr>
          <w:p w14:paraId="5556BA7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A75"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76"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(36</w:t>
            </w:r>
          </w:p>
        </w:tc>
        <w:tc>
          <w:tcPr>
            <w:tcW w:w="0" w:type="auto"/>
            <w:tcBorders>
              <w:top w:val="single" w:sz="8" w:space="0" w:color="000000"/>
            </w:tcBorders>
            <w:shd w:val="clear" w:color="auto" w:fill="auto"/>
            <w:tcMar>
              <w:top w:w="40" w:type="dxa"/>
              <w:bottom w:w="40" w:type="dxa"/>
              <w:right w:w="40" w:type="dxa"/>
            </w:tcMar>
            <w:vAlign w:val="center"/>
          </w:tcPr>
          <w:p w14:paraId="5556BA77"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center"/>
          </w:tcPr>
          <w:p w14:paraId="5556BA78"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79"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auto"/>
            <w:vAlign w:val="bottom"/>
          </w:tcPr>
          <w:p w14:paraId="5556BA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A7B"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auto"/>
            <w:tcMar>
              <w:top w:w="40" w:type="dxa"/>
              <w:left w:w="40" w:type="dxa"/>
              <w:bottom w:w="40" w:type="dxa"/>
            </w:tcMar>
            <w:vAlign w:val="center"/>
          </w:tcPr>
          <w:p w14:paraId="5556BA7C"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(51</w:t>
            </w:r>
          </w:p>
        </w:tc>
        <w:tc>
          <w:tcPr>
            <w:tcW w:w="0" w:type="auto"/>
            <w:tcBorders>
              <w:top w:val="single" w:sz="8" w:space="0" w:color="000000"/>
            </w:tcBorders>
            <w:shd w:val="clear" w:color="auto" w:fill="auto"/>
            <w:tcMar>
              <w:top w:w="40" w:type="dxa"/>
              <w:bottom w:w="40" w:type="dxa"/>
              <w:right w:w="40" w:type="dxa"/>
            </w:tcMar>
            <w:vAlign w:val="center"/>
          </w:tcPr>
          <w:p w14:paraId="5556BA7D"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BA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A7F"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932</w:t>
            </w:r>
          </w:p>
        </w:tc>
        <w:tc>
          <w:tcPr>
            <w:tcW w:w="0" w:type="auto"/>
            <w:tcBorders>
              <w:top w:val="single" w:sz="8" w:space="0" w:color="000000"/>
            </w:tcBorders>
            <w:shd w:val="clear" w:color="auto" w:fill="auto"/>
            <w:vAlign w:val="bottom"/>
          </w:tcPr>
          <w:p w14:paraId="5556BA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AA1" w14:textId="77777777">
        <w:tc>
          <w:tcPr>
            <w:tcW w:w="0" w:type="auto"/>
            <w:shd w:val="clear" w:color="auto" w:fill="CCEEFF"/>
            <w:tcMar>
              <w:top w:w="40" w:type="dxa"/>
              <w:left w:w="40" w:type="dxa"/>
              <w:bottom w:w="40" w:type="dxa"/>
              <w:right w:w="40" w:type="dxa"/>
            </w:tcMar>
            <w:vAlign w:val="center"/>
          </w:tcPr>
          <w:p w14:paraId="5556BA84" w14:textId="77777777" w:rsidR="00F925DD" w:rsidRDefault="00E705D7">
            <w:pPr>
              <w:textAlignment w:val="center"/>
              <w:rPr>
                <w:rFonts w:ascii="Times New Roman" w:hAnsi="Times New Roman"/>
                <w:sz w:val="12"/>
                <w:szCs w:val="12"/>
              </w:rPr>
            </w:pPr>
            <w:r>
              <w:rPr>
                <w:rFonts w:ascii="Arial" w:eastAsia="宋体" w:hAnsi="Arial" w:cs="Arial"/>
                <w:sz w:val="12"/>
                <w:szCs w:val="12"/>
              </w:rPr>
              <w:t>State and political subdivisions</w:t>
            </w:r>
          </w:p>
        </w:tc>
        <w:tc>
          <w:tcPr>
            <w:tcW w:w="0" w:type="auto"/>
            <w:gridSpan w:val="2"/>
            <w:shd w:val="clear" w:color="auto" w:fill="CCEEFF"/>
            <w:tcMar>
              <w:top w:w="40" w:type="dxa"/>
              <w:left w:w="40" w:type="dxa"/>
              <w:bottom w:w="40" w:type="dxa"/>
            </w:tcMar>
            <w:vAlign w:val="center"/>
          </w:tcPr>
          <w:p w14:paraId="5556BA85"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A8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A88"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A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A8B"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A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A8E"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A8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A91"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A9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A94"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A9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A97"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A9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A9A"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A9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A9D"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vAlign w:val="bottom"/>
          </w:tcPr>
          <w:p w14:paraId="5556BA9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ABF" w14:textId="77777777">
        <w:tc>
          <w:tcPr>
            <w:tcW w:w="0" w:type="auto"/>
            <w:shd w:val="clear" w:color="auto" w:fill="auto"/>
            <w:tcMar>
              <w:top w:w="40" w:type="dxa"/>
              <w:left w:w="40" w:type="dxa"/>
              <w:bottom w:w="40" w:type="dxa"/>
              <w:right w:w="40" w:type="dxa"/>
            </w:tcMar>
            <w:vAlign w:val="center"/>
          </w:tcPr>
          <w:p w14:paraId="5556BAA2" w14:textId="77777777" w:rsidR="00F925DD" w:rsidRDefault="00E705D7">
            <w:pPr>
              <w:textAlignment w:val="center"/>
              <w:rPr>
                <w:rFonts w:ascii="Times New Roman" w:hAnsi="Times New Roman"/>
                <w:sz w:val="12"/>
                <w:szCs w:val="12"/>
              </w:rPr>
            </w:pPr>
            <w:r>
              <w:rPr>
                <w:rFonts w:ascii="Arial" w:eastAsia="宋体" w:hAnsi="Arial" w:cs="Arial"/>
                <w:sz w:val="12"/>
                <w:szCs w:val="12"/>
              </w:rPr>
              <w:t>Collateralized mortgage obligations</w:t>
            </w:r>
          </w:p>
        </w:tc>
        <w:tc>
          <w:tcPr>
            <w:tcW w:w="0" w:type="auto"/>
            <w:gridSpan w:val="2"/>
            <w:shd w:val="clear" w:color="auto" w:fill="auto"/>
            <w:tcMar>
              <w:top w:w="40" w:type="dxa"/>
              <w:left w:w="40" w:type="dxa"/>
              <w:bottom w:w="40" w:type="dxa"/>
            </w:tcMar>
            <w:vAlign w:val="center"/>
          </w:tcPr>
          <w:p w14:paraId="5556BAA3"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2</w:t>
            </w:r>
          </w:p>
        </w:tc>
        <w:tc>
          <w:tcPr>
            <w:tcW w:w="0" w:type="auto"/>
            <w:shd w:val="clear" w:color="auto" w:fill="auto"/>
            <w:vAlign w:val="bottom"/>
          </w:tcPr>
          <w:p w14:paraId="5556BAA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A6"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AA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A9"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AA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AC"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AA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AF"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AB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B2"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(2</w:t>
            </w:r>
          </w:p>
        </w:tc>
        <w:tc>
          <w:tcPr>
            <w:tcW w:w="0" w:type="auto"/>
            <w:shd w:val="clear" w:color="auto" w:fill="auto"/>
            <w:tcMar>
              <w:top w:w="40" w:type="dxa"/>
              <w:bottom w:w="40" w:type="dxa"/>
              <w:right w:w="40" w:type="dxa"/>
            </w:tcMar>
            <w:vAlign w:val="center"/>
          </w:tcPr>
          <w:p w14:paraId="5556BAB3"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BA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B5"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AB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B8"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A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ABB"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A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A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ADD" w14:textId="77777777">
        <w:tc>
          <w:tcPr>
            <w:tcW w:w="0" w:type="auto"/>
            <w:shd w:val="clear" w:color="auto" w:fill="CCEEFF"/>
            <w:tcMar>
              <w:top w:w="40" w:type="dxa"/>
              <w:left w:w="40" w:type="dxa"/>
              <w:bottom w:w="40" w:type="dxa"/>
              <w:right w:w="40" w:type="dxa"/>
            </w:tcMar>
            <w:vAlign w:val="center"/>
          </w:tcPr>
          <w:p w14:paraId="5556BAC0" w14:textId="77777777" w:rsidR="00F925DD" w:rsidRDefault="00E705D7">
            <w:pPr>
              <w:textAlignment w:val="center"/>
              <w:rPr>
                <w:rFonts w:ascii="Times New Roman" w:hAnsi="Times New Roman"/>
                <w:sz w:val="12"/>
                <w:szCs w:val="12"/>
              </w:rPr>
            </w:pPr>
            <w:r>
              <w:rPr>
                <w:rFonts w:ascii="Arial" w:eastAsia="宋体" w:hAnsi="Arial" w:cs="Arial"/>
                <w:sz w:val="12"/>
                <w:szCs w:val="12"/>
              </w:rPr>
              <w:t>Total Available-for-sale investment securities</w:t>
            </w:r>
          </w:p>
        </w:tc>
        <w:tc>
          <w:tcPr>
            <w:tcW w:w="0" w:type="auto"/>
            <w:gridSpan w:val="2"/>
            <w:tcBorders>
              <w:top w:val="single" w:sz="8" w:space="0" w:color="000000"/>
            </w:tcBorders>
            <w:shd w:val="clear" w:color="auto" w:fill="CCEEFF"/>
            <w:tcMar>
              <w:top w:w="40" w:type="dxa"/>
              <w:left w:w="40" w:type="dxa"/>
              <w:bottom w:w="40" w:type="dxa"/>
            </w:tcMar>
            <w:vAlign w:val="center"/>
          </w:tcPr>
          <w:p w14:paraId="5556BAC1"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1,284</w:t>
            </w:r>
          </w:p>
        </w:tc>
        <w:tc>
          <w:tcPr>
            <w:tcW w:w="0" w:type="auto"/>
            <w:tcBorders>
              <w:top w:val="single" w:sz="8" w:space="0" w:color="000000"/>
            </w:tcBorders>
            <w:shd w:val="clear" w:color="auto" w:fill="CCEEFF"/>
            <w:vAlign w:val="bottom"/>
          </w:tcPr>
          <w:p w14:paraId="5556BAC2" w14:textId="77777777" w:rsidR="00F925DD" w:rsidRDefault="00F925D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5556BAC3"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AC4"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w:t>
            </w:r>
          </w:p>
        </w:tc>
        <w:tc>
          <w:tcPr>
            <w:tcW w:w="0" w:type="auto"/>
            <w:tcBorders>
              <w:top w:val="single" w:sz="8" w:space="0" w:color="000000"/>
            </w:tcBorders>
            <w:shd w:val="clear" w:color="auto" w:fill="CCEEFF"/>
            <w:vAlign w:val="bottom"/>
          </w:tcPr>
          <w:p w14:paraId="5556BA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BAC6"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AC7"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(10</w:t>
            </w:r>
          </w:p>
        </w:tc>
        <w:tc>
          <w:tcPr>
            <w:tcW w:w="0" w:type="auto"/>
            <w:tcBorders>
              <w:top w:val="single" w:sz="8" w:space="0" w:color="000000"/>
            </w:tcBorders>
            <w:shd w:val="clear" w:color="auto" w:fill="CCEEFF"/>
            <w:tcMar>
              <w:top w:w="40" w:type="dxa"/>
              <w:bottom w:w="40" w:type="dxa"/>
              <w:right w:w="40" w:type="dxa"/>
            </w:tcMar>
            <w:vAlign w:val="center"/>
          </w:tcPr>
          <w:p w14:paraId="5556BAC8"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center"/>
          </w:tcPr>
          <w:p w14:paraId="5556BAC9"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ACA"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1,528</w:t>
            </w:r>
          </w:p>
        </w:tc>
        <w:tc>
          <w:tcPr>
            <w:tcW w:w="0" w:type="auto"/>
            <w:tcBorders>
              <w:top w:val="single" w:sz="8" w:space="0" w:color="000000"/>
            </w:tcBorders>
            <w:shd w:val="clear" w:color="auto" w:fill="CCEEFF"/>
            <w:vAlign w:val="bottom"/>
          </w:tcPr>
          <w:p w14:paraId="5556BACB" w14:textId="77777777" w:rsidR="00F925DD" w:rsidRDefault="00F925D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5556BACC"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ACD"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CCEEFF"/>
            <w:vAlign w:val="bottom"/>
          </w:tcPr>
          <w:p w14:paraId="5556BACE" w14:textId="77777777" w:rsidR="00F925DD" w:rsidRDefault="00F925D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5556BACF"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AD0"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(380</w:t>
            </w:r>
          </w:p>
        </w:tc>
        <w:tc>
          <w:tcPr>
            <w:tcW w:w="0" w:type="auto"/>
            <w:tcBorders>
              <w:top w:val="single" w:sz="8" w:space="0" w:color="000000"/>
            </w:tcBorders>
            <w:shd w:val="clear" w:color="auto" w:fill="CCEEFF"/>
            <w:tcMar>
              <w:top w:w="40" w:type="dxa"/>
              <w:bottom w:w="40" w:type="dxa"/>
              <w:right w:w="40" w:type="dxa"/>
            </w:tcMar>
            <w:vAlign w:val="center"/>
          </w:tcPr>
          <w:p w14:paraId="5556BAD1"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center"/>
          </w:tcPr>
          <w:p w14:paraId="5556BAD2"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AD3"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503</w:t>
            </w:r>
          </w:p>
        </w:tc>
        <w:tc>
          <w:tcPr>
            <w:tcW w:w="0" w:type="auto"/>
            <w:tcBorders>
              <w:top w:val="single" w:sz="8" w:space="0" w:color="000000"/>
            </w:tcBorders>
            <w:shd w:val="clear" w:color="auto" w:fill="CCEEFF"/>
            <w:vAlign w:val="bottom"/>
          </w:tcPr>
          <w:p w14:paraId="5556BAD4" w14:textId="77777777" w:rsidR="00F925DD" w:rsidRDefault="00F925D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center"/>
          </w:tcPr>
          <w:p w14:paraId="5556BAD5"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AD6"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(174</w:t>
            </w:r>
          </w:p>
        </w:tc>
        <w:tc>
          <w:tcPr>
            <w:tcW w:w="0" w:type="auto"/>
            <w:tcBorders>
              <w:top w:val="single" w:sz="8" w:space="0" w:color="000000"/>
            </w:tcBorders>
            <w:shd w:val="clear" w:color="auto" w:fill="CCEEFF"/>
            <w:tcMar>
              <w:top w:w="40" w:type="dxa"/>
              <w:bottom w:w="40" w:type="dxa"/>
              <w:right w:w="40" w:type="dxa"/>
            </w:tcMar>
            <w:vAlign w:val="center"/>
          </w:tcPr>
          <w:p w14:paraId="5556BAD7"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BA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AD9"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2,752</w:t>
            </w:r>
          </w:p>
        </w:tc>
        <w:tc>
          <w:tcPr>
            <w:tcW w:w="0" w:type="auto"/>
            <w:tcBorders>
              <w:top w:val="single" w:sz="8" w:space="0" w:color="000000"/>
            </w:tcBorders>
            <w:shd w:val="clear" w:color="auto" w:fill="CCEEFF"/>
            <w:vAlign w:val="bottom"/>
          </w:tcPr>
          <w:p w14:paraId="5556BAD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A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AF2" w14:textId="77777777">
        <w:tc>
          <w:tcPr>
            <w:tcW w:w="0" w:type="auto"/>
            <w:shd w:val="clear" w:color="auto" w:fill="auto"/>
            <w:tcMar>
              <w:top w:w="40" w:type="dxa"/>
              <w:left w:w="40" w:type="dxa"/>
              <w:bottom w:w="40" w:type="dxa"/>
              <w:right w:w="40" w:type="dxa"/>
            </w:tcMar>
            <w:vAlign w:val="center"/>
          </w:tcPr>
          <w:p w14:paraId="5556BADE" w14:textId="77777777" w:rsidR="00F925DD" w:rsidRDefault="00E705D7">
            <w:pPr>
              <w:textAlignment w:val="center"/>
              <w:rPr>
                <w:rFonts w:ascii="Times New Roman" w:hAnsi="Times New Roman"/>
                <w:sz w:val="12"/>
                <w:szCs w:val="12"/>
              </w:rPr>
            </w:pPr>
            <w:r>
              <w:rPr>
                <w:rFonts w:ascii="Arial" w:eastAsia="宋体" w:hAnsi="Arial" w:cs="Arial"/>
                <w:sz w:val="12"/>
                <w:szCs w:val="12"/>
              </w:rPr>
              <w:t>Other assets:</w:t>
            </w:r>
          </w:p>
        </w:tc>
        <w:tc>
          <w:tcPr>
            <w:tcW w:w="0" w:type="auto"/>
            <w:gridSpan w:val="3"/>
            <w:shd w:val="clear" w:color="auto" w:fill="auto"/>
            <w:tcMar>
              <w:top w:w="40" w:type="dxa"/>
              <w:left w:w="40" w:type="dxa"/>
              <w:bottom w:w="40" w:type="dxa"/>
              <w:right w:w="40" w:type="dxa"/>
            </w:tcMar>
            <w:vAlign w:val="bottom"/>
          </w:tcPr>
          <w:p w14:paraId="5556BA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A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A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A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A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A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A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A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A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A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A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B07" w14:textId="77777777">
        <w:tc>
          <w:tcPr>
            <w:tcW w:w="0" w:type="auto"/>
            <w:shd w:val="clear" w:color="auto" w:fill="CCEEFF"/>
            <w:tcMar>
              <w:top w:w="40" w:type="dxa"/>
              <w:left w:w="40" w:type="dxa"/>
              <w:bottom w:w="40" w:type="dxa"/>
              <w:right w:w="40" w:type="dxa"/>
            </w:tcMar>
            <w:vAlign w:val="center"/>
          </w:tcPr>
          <w:p w14:paraId="5556BAF3" w14:textId="77777777" w:rsidR="00F925DD" w:rsidRDefault="00E705D7">
            <w:pPr>
              <w:textAlignment w:val="center"/>
              <w:rPr>
                <w:rFonts w:ascii="Times New Roman" w:hAnsi="Times New Roman"/>
                <w:sz w:val="12"/>
                <w:szCs w:val="12"/>
              </w:rPr>
            </w:pPr>
            <w:r>
              <w:rPr>
                <w:rFonts w:ascii="Arial" w:eastAsia="宋体" w:hAnsi="Arial" w:cs="Arial"/>
                <w:sz w:val="12"/>
                <w:szCs w:val="12"/>
              </w:rPr>
              <w:t>Derivative instruments:</w:t>
            </w:r>
          </w:p>
        </w:tc>
        <w:tc>
          <w:tcPr>
            <w:tcW w:w="0" w:type="auto"/>
            <w:gridSpan w:val="3"/>
            <w:shd w:val="clear" w:color="auto" w:fill="CCEEFF"/>
            <w:tcMar>
              <w:top w:w="40" w:type="dxa"/>
              <w:left w:w="40" w:type="dxa"/>
              <w:bottom w:w="40" w:type="dxa"/>
              <w:right w:w="40" w:type="dxa"/>
            </w:tcMar>
            <w:vAlign w:val="bottom"/>
          </w:tcPr>
          <w:p w14:paraId="5556BA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A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A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B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B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B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B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B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B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B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B27" w14:textId="77777777">
        <w:tc>
          <w:tcPr>
            <w:tcW w:w="0" w:type="auto"/>
            <w:shd w:val="clear" w:color="auto" w:fill="auto"/>
            <w:tcMar>
              <w:top w:w="40" w:type="dxa"/>
              <w:left w:w="240" w:type="dxa"/>
              <w:bottom w:w="40" w:type="dxa"/>
              <w:right w:w="40" w:type="dxa"/>
            </w:tcMar>
            <w:vAlign w:val="center"/>
          </w:tcPr>
          <w:p w14:paraId="5556BB08" w14:textId="77777777" w:rsidR="00F925DD" w:rsidRDefault="00E705D7">
            <w:pPr>
              <w:textAlignment w:val="center"/>
              <w:rPr>
                <w:rFonts w:ascii="Times New Roman" w:hAnsi="Times New Roman"/>
                <w:sz w:val="12"/>
                <w:szCs w:val="12"/>
              </w:rPr>
            </w:pPr>
            <w:r>
              <w:rPr>
                <w:rFonts w:ascii="Arial" w:eastAsia="宋体" w:hAnsi="Arial" w:cs="Arial"/>
                <w:sz w:val="12"/>
                <w:szCs w:val="12"/>
              </w:rPr>
              <w:t>Foreign exchange contracts</w:t>
            </w:r>
          </w:p>
        </w:tc>
        <w:tc>
          <w:tcPr>
            <w:tcW w:w="0" w:type="auto"/>
            <w:gridSpan w:val="2"/>
            <w:shd w:val="clear" w:color="auto" w:fill="auto"/>
            <w:tcMar>
              <w:top w:w="40" w:type="dxa"/>
              <w:left w:w="40" w:type="dxa"/>
              <w:bottom w:w="40" w:type="dxa"/>
            </w:tcMar>
            <w:vAlign w:val="center"/>
          </w:tcPr>
          <w:p w14:paraId="5556BB09"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4</w:t>
            </w:r>
          </w:p>
        </w:tc>
        <w:tc>
          <w:tcPr>
            <w:tcW w:w="0" w:type="auto"/>
            <w:shd w:val="clear" w:color="auto" w:fill="auto"/>
            <w:vAlign w:val="bottom"/>
          </w:tcPr>
          <w:p w14:paraId="5556BB0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B0C"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(15</w:t>
            </w:r>
          </w:p>
        </w:tc>
        <w:tc>
          <w:tcPr>
            <w:tcW w:w="0" w:type="auto"/>
            <w:shd w:val="clear" w:color="auto" w:fill="auto"/>
            <w:tcMar>
              <w:top w:w="40" w:type="dxa"/>
              <w:bottom w:w="40" w:type="dxa"/>
              <w:right w:w="40" w:type="dxa"/>
            </w:tcMar>
            <w:vAlign w:val="center"/>
          </w:tcPr>
          <w:p w14:paraId="5556BB0D"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BB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B0F"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B1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B12"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16</w:t>
            </w:r>
          </w:p>
        </w:tc>
        <w:tc>
          <w:tcPr>
            <w:tcW w:w="0" w:type="auto"/>
            <w:shd w:val="clear" w:color="auto" w:fill="auto"/>
            <w:vAlign w:val="bottom"/>
          </w:tcPr>
          <w:p w14:paraId="5556BB1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B15"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B1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B18"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w:t>
            </w:r>
          </w:p>
        </w:tc>
        <w:tc>
          <w:tcPr>
            <w:tcW w:w="0" w:type="auto"/>
            <w:shd w:val="clear" w:color="auto" w:fill="auto"/>
            <w:tcMar>
              <w:top w:w="40" w:type="dxa"/>
              <w:bottom w:w="40" w:type="dxa"/>
              <w:right w:w="40" w:type="dxa"/>
            </w:tcMar>
            <w:vAlign w:val="center"/>
          </w:tcPr>
          <w:p w14:paraId="5556BB19"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BB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B1B"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B1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B1E"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BB1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B21"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4</w:t>
            </w:r>
          </w:p>
        </w:tc>
        <w:tc>
          <w:tcPr>
            <w:tcW w:w="0" w:type="auto"/>
            <w:shd w:val="clear" w:color="auto" w:fill="auto"/>
            <w:vAlign w:val="bottom"/>
          </w:tcPr>
          <w:p w14:paraId="5556BB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BB24"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center"/>
          </w:tcPr>
          <w:p w14:paraId="5556BB25"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(11</w:t>
            </w:r>
          </w:p>
        </w:tc>
        <w:tc>
          <w:tcPr>
            <w:tcW w:w="0" w:type="auto"/>
            <w:shd w:val="clear" w:color="auto" w:fill="auto"/>
            <w:tcMar>
              <w:top w:w="40" w:type="dxa"/>
              <w:bottom w:w="40" w:type="dxa"/>
              <w:right w:w="40" w:type="dxa"/>
            </w:tcMar>
            <w:vAlign w:val="center"/>
          </w:tcPr>
          <w:p w14:paraId="5556BB26"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r>
      <w:tr w:rsidR="00E705D7" w14:paraId="5556BB46" w14:textId="77777777">
        <w:tc>
          <w:tcPr>
            <w:tcW w:w="0" w:type="auto"/>
            <w:shd w:val="clear" w:color="auto" w:fill="CCEEFF"/>
            <w:tcMar>
              <w:top w:w="40" w:type="dxa"/>
              <w:left w:w="40" w:type="dxa"/>
              <w:bottom w:w="40" w:type="dxa"/>
              <w:right w:w="40" w:type="dxa"/>
            </w:tcMar>
            <w:vAlign w:val="center"/>
          </w:tcPr>
          <w:p w14:paraId="5556BB28" w14:textId="77777777" w:rsidR="00F925DD" w:rsidRDefault="00E705D7">
            <w:pPr>
              <w:textAlignment w:val="center"/>
              <w:rPr>
                <w:rFonts w:ascii="Times New Roman" w:hAnsi="Times New Roman"/>
                <w:sz w:val="12"/>
                <w:szCs w:val="12"/>
              </w:rPr>
            </w:pPr>
            <w:r>
              <w:rPr>
                <w:rFonts w:ascii="Arial" w:eastAsia="宋体" w:hAnsi="Arial" w:cs="Arial"/>
                <w:sz w:val="12"/>
                <w:szCs w:val="12"/>
              </w:rPr>
              <w:t>Total derivative instruments</w:t>
            </w:r>
          </w:p>
        </w:tc>
        <w:tc>
          <w:tcPr>
            <w:tcW w:w="0" w:type="auto"/>
            <w:gridSpan w:val="2"/>
            <w:tcBorders>
              <w:top w:val="single" w:sz="8" w:space="0" w:color="000000"/>
            </w:tcBorders>
            <w:shd w:val="clear" w:color="auto" w:fill="CCEEFF"/>
            <w:tcMar>
              <w:top w:w="40" w:type="dxa"/>
              <w:left w:w="40" w:type="dxa"/>
              <w:bottom w:w="40" w:type="dxa"/>
            </w:tcMar>
            <w:vAlign w:val="center"/>
          </w:tcPr>
          <w:p w14:paraId="5556BB29"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4</w:t>
            </w:r>
          </w:p>
        </w:tc>
        <w:tc>
          <w:tcPr>
            <w:tcW w:w="0" w:type="auto"/>
            <w:tcBorders>
              <w:top w:val="single" w:sz="8" w:space="0" w:color="000000"/>
            </w:tcBorders>
            <w:shd w:val="clear" w:color="auto" w:fill="CCEEFF"/>
            <w:vAlign w:val="bottom"/>
          </w:tcPr>
          <w:p w14:paraId="5556BB2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BB2B"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B2C"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(15</w:t>
            </w:r>
          </w:p>
        </w:tc>
        <w:tc>
          <w:tcPr>
            <w:tcW w:w="0" w:type="auto"/>
            <w:tcBorders>
              <w:top w:val="single" w:sz="8" w:space="0" w:color="000000"/>
            </w:tcBorders>
            <w:shd w:val="clear" w:color="auto" w:fill="CCEEFF"/>
            <w:tcMar>
              <w:top w:w="40" w:type="dxa"/>
              <w:bottom w:w="40" w:type="dxa"/>
              <w:right w:w="40" w:type="dxa"/>
            </w:tcMar>
            <w:vAlign w:val="center"/>
          </w:tcPr>
          <w:p w14:paraId="5556BB2D"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center"/>
          </w:tcPr>
          <w:p w14:paraId="5556BB2E"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B2F"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CCEEFF"/>
            <w:vAlign w:val="bottom"/>
          </w:tcPr>
          <w:p w14:paraId="5556BB3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BB31"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B32"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16</w:t>
            </w:r>
          </w:p>
        </w:tc>
        <w:tc>
          <w:tcPr>
            <w:tcW w:w="0" w:type="auto"/>
            <w:tcBorders>
              <w:top w:val="single" w:sz="8" w:space="0" w:color="000000"/>
            </w:tcBorders>
            <w:shd w:val="clear" w:color="auto" w:fill="CCEEFF"/>
            <w:vAlign w:val="bottom"/>
          </w:tcPr>
          <w:p w14:paraId="5556BB3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BB34"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B35"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CCEEFF"/>
            <w:vAlign w:val="bottom"/>
          </w:tcPr>
          <w:p w14:paraId="5556BB3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BB37"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B38"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w:t>
            </w:r>
          </w:p>
        </w:tc>
        <w:tc>
          <w:tcPr>
            <w:tcW w:w="0" w:type="auto"/>
            <w:tcBorders>
              <w:top w:val="single" w:sz="8" w:space="0" w:color="000000"/>
            </w:tcBorders>
            <w:shd w:val="clear" w:color="auto" w:fill="CCEEFF"/>
            <w:tcMar>
              <w:top w:w="40" w:type="dxa"/>
              <w:bottom w:w="40" w:type="dxa"/>
              <w:right w:w="40" w:type="dxa"/>
            </w:tcMar>
            <w:vAlign w:val="center"/>
          </w:tcPr>
          <w:p w14:paraId="5556BB39"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center"/>
          </w:tcPr>
          <w:p w14:paraId="5556BB3A"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B3B"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CCEEFF"/>
            <w:vAlign w:val="bottom"/>
          </w:tcPr>
          <w:p w14:paraId="5556BB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5556BB3D" w14:textId="77777777" w:rsidR="00F925DD" w:rsidRDefault="00F925DD">
            <w:pPr>
              <w:textAlignment w:val="center"/>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center"/>
          </w:tcPr>
          <w:p w14:paraId="5556BB3E"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tcBorders>
            <w:shd w:val="clear" w:color="auto" w:fill="CCEEFF"/>
            <w:vAlign w:val="bottom"/>
          </w:tcPr>
          <w:p w14:paraId="5556BB3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B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B41"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4</w:t>
            </w:r>
          </w:p>
        </w:tc>
        <w:tc>
          <w:tcPr>
            <w:tcW w:w="0" w:type="auto"/>
            <w:tcBorders>
              <w:top w:val="single" w:sz="8" w:space="0" w:color="000000"/>
            </w:tcBorders>
            <w:shd w:val="clear" w:color="auto" w:fill="CCEEFF"/>
            <w:vAlign w:val="bottom"/>
          </w:tcPr>
          <w:p w14:paraId="5556BB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B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B44"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(11</w:t>
            </w:r>
          </w:p>
        </w:tc>
        <w:tc>
          <w:tcPr>
            <w:tcW w:w="0" w:type="auto"/>
            <w:tcBorders>
              <w:top w:val="single" w:sz="8" w:space="0" w:color="000000"/>
            </w:tcBorders>
            <w:shd w:val="clear" w:color="auto" w:fill="CCEEFF"/>
            <w:tcMar>
              <w:top w:w="40" w:type="dxa"/>
              <w:bottom w:w="40" w:type="dxa"/>
              <w:right w:w="40" w:type="dxa"/>
            </w:tcMar>
            <w:vAlign w:val="center"/>
          </w:tcPr>
          <w:p w14:paraId="5556BB45"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r>
      <w:tr w:rsidR="00F925DD" w14:paraId="5556BB6F" w14:textId="77777777">
        <w:tc>
          <w:tcPr>
            <w:tcW w:w="0" w:type="auto"/>
            <w:shd w:val="clear" w:color="auto" w:fill="auto"/>
            <w:tcMar>
              <w:top w:w="40" w:type="dxa"/>
              <w:left w:w="40" w:type="dxa"/>
              <w:bottom w:w="40" w:type="dxa"/>
              <w:right w:w="40" w:type="dxa"/>
            </w:tcMar>
            <w:vAlign w:val="center"/>
          </w:tcPr>
          <w:p w14:paraId="5556BB47" w14:textId="77777777" w:rsidR="00F925DD" w:rsidRDefault="00E705D7">
            <w:pPr>
              <w:textAlignment w:val="center"/>
              <w:rPr>
                <w:rFonts w:ascii="Times New Roman" w:hAnsi="Times New Roman"/>
                <w:sz w:val="12"/>
                <w:szCs w:val="12"/>
              </w:rPr>
            </w:pPr>
            <w:r>
              <w:rPr>
                <w:rFonts w:ascii="Arial" w:eastAsia="宋体" w:hAnsi="Arial" w:cs="Arial"/>
                <w:sz w:val="12"/>
                <w:szCs w:val="12"/>
              </w:rPr>
              <w:t>Total</w:t>
            </w:r>
            <w:r>
              <w:rPr>
                <w:rFonts w:ascii="Arial" w:eastAsia="宋体" w:hAnsi="Arial" w:cs="Arial"/>
                <w:sz w:val="12"/>
                <w:szCs w:val="12"/>
              </w:rPr>
              <w:t xml:space="preserve"> assets carried at fair value</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5556BB48"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5556BB49"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1,288</w:t>
            </w:r>
          </w:p>
        </w:tc>
        <w:tc>
          <w:tcPr>
            <w:tcW w:w="0" w:type="auto"/>
            <w:tcBorders>
              <w:top w:val="single" w:sz="8" w:space="0" w:color="000000"/>
              <w:bottom w:val="double" w:sz="6" w:space="0" w:color="000000"/>
            </w:tcBorders>
            <w:shd w:val="clear" w:color="auto" w:fill="auto"/>
            <w:vAlign w:val="bottom"/>
          </w:tcPr>
          <w:p w14:paraId="5556BB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B4B" w14:textId="77777777" w:rsidR="00F925DD" w:rsidRDefault="00F925DD">
            <w:pPr>
              <w:textAlignment w:val="center"/>
              <w:rPr>
                <w:rFonts w:ascii="Times New Roman" w:hAnsi="Times New Roman"/>
                <w:sz w:val="12"/>
                <w:szCs w:val="12"/>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5556BB4C"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5556BB4D"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(14</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5556BB4E"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center"/>
          </w:tcPr>
          <w:p w14:paraId="5556BB4F" w14:textId="77777777" w:rsidR="00F925DD" w:rsidRDefault="00F925DD">
            <w:pPr>
              <w:textAlignment w:val="center"/>
              <w:rPr>
                <w:rFonts w:ascii="Times New Roman" w:hAnsi="Times New Roman"/>
                <w:sz w:val="12"/>
                <w:szCs w:val="12"/>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5556BB50"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5556BB51"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(10</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5556BB52"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center"/>
          </w:tcPr>
          <w:p w14:paraId="5556BB53" w14:textId="77777777" w:rsidR="00F925DD" w:rsidRDefault="00F925DD">
            <w:pPr>
              <w:textAlignment w:val="center"/>
              <w:rPr>
                <w:rFonts w:ascii="Times New Roman" w:hAnsi="Times New Roman"/>
                <w:sz w:val="12"/>
                <w:szCs w:val="12"/>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5556BB54"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5556BB55"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1,544</w:t>
            </w:r>
          </w:p>
        </w:tc>
        <w:tc>
          <w:tcPr>
            <w:tcW w:w="0" w:type="auto"/>
            <w:tcBorders>
              <w:top w:val="single" w:sz="8" w:space="0" w:color="000000"/>
              <w:bottom w:val="double" w:sz="6" w:space="0" w:color="000000"/>
            </w:tcBorders>
            <w:shd w:val="clear" w:color="auto" w:fill="auto"/>
            <w:vAlign w:val="bottom"/>
          </w:tcPr>
          <w:p w14:paraId="5556BB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B57" w14:textId="77777777" w:rsidR="00F925DD" w:rsidRDefault="00F925DD">
            <w:pPr>
              <w:textAlignment w:val="center"/>
              <w:rPr>
                <w:rFonts w:ascii="Times New Roman" w:hAnsi="Times New Roman"/>
                <w:sz w:val="12"/>
                <w:szCs w:val="12"/>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5556BB58"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5556BB59"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vAlign w:val="bottom"/>
          </w:tcPr>
          <w:p w14:paraId="5556BB5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B5B" w14:textId="77777777" w:rsidR="00F925DD" w:rsidRDefault="00F925DD">
            <w:pPr>
              <w:textAlignment w:val="center"/>
              <w:rPr>
                <w:rFonts w:ascii="Times New Roman" w:hAnsi="Times New Roman"/>
                <w:sz w:val="12"/>
                <w:szCs w:val="12"/>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5556BB5C"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5556BB5D"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(381</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5556BB5E"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center"/>
          </w:tcPr>
          <w:p w14:paraId="5556BB5F" w14:textId="77777777" w:rsidR="00F925DD" w:rsidRDefault="00F925DD">
            <w:pPr>
              <w:textAlignment w:val="center"/>
              <w:rPr>
                <w:rFonts w:ascii="Times New Roman" w:hAnsi="Times New Roman"/>
                <w:sz w:val="12"/>
                <w:szCs w:val="12"/>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5556BB60"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5556BB61"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503</w:t>
            </w:r>
          </w:p>
        </w:tc>
        <w:tc>
          <w:tcPr>
            <w:tcW w:w="0" w:type="auto"/>
            <w:tcBorders>
              <w:top w:val="single" w:sz="8" w:space="0" w:color="000000"/>
              <w:bottom w:val="double" w:sz="6" w:space="0" w:color="000000"/>
            </w:tcBorders>
            <w:shd w:val="clear" w:color="auto" w:fill="auto"/>
            <w:vAlign w:val="bottom"/>
          </w:tcPr>
          <w:p w14:paraId="5556BB6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5556BB63" w14:textId="77777777" w:rsidR="00F925DD" w:rsidRDefault="00F925DD">
            <w:pPr>
              <w:textAlignment w:val="center"/>
              <w:rPr>
                <w:rFonts w:ascii="Times New Roman" w:hAnsi="Times New Roman"/>
                <w:sz w:val="12"/>
                <w:szCs w:val="12"/>
              </w:rPr>
            </w:pP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5556BB64"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5556BB65"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(174</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5556BB66"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BB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5556BB68"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5556BB69"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2,756</w:t>
            </w:r>
          </w:p>
        </w:tc>
        <w:tc>
          <w:tcPr>
            <w:tcW w:w="0" w:type="auto"/>
            <w:tcBorders>
              <w:top w:val="single" w:sz="8" w:space="0" w:color="000000"/>
              <w:bottom w:val="double" w:sz="6" w:space="0" w:color="000000"/>
            </w:tcBorders>
            <w:shd w:val="clear" w:color="auto" w:fill="auto"/>
            <w:vAlign w:val="bottom"/>
          </w:tcPr>
          <w:p w14:paraId="5556BB6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5556BB6C"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5556BB6D" w14:textId="77777777" w:rsidR="00F925DD" w:rsidRDefault="00E705D7">
            <w:pPr>
              <w:jc w:val="right"/>
              <w:textAlignment w:val="center"/>
              <w:rPr>
                <w:rFonts w:ascii="Times New Roman" w:hAnsi="Times New Roman"/>
                <w:sz w:val="12"/>
                <w:szCs w:val="12"/>
              </w:rPr>
            </w:pPr>
            <w:r>
              <w:rPr>
                <w:rFonts w:ascii="Arial" w:eastAsia="宋体" w:hAnsi="Arial" w:cs="Arial"/>
                <w:b/>
                <w:bCs/>
                <w:sz w:val="12"/>
                <w:szCs w:val="12"/>
              </w:rPr>
              <w:t>(11</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5556BB6E"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w:t>
            </w:r>
          </w:p>
        </w:tc>
      </w:tr>
    </w:tbl>
    <w:p w14:paraId="5556BB70"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09"/>
        <w:gridCol w:w="1163"/>
        <w:gridCol w:w="1578"/>
        <w:gridCol w:w="3156"/>
      </w:tblGrid>
      <w:tr w:rsidR="00F925DD" w14:paraId="5556BB72" w14:textId="77777777">
        <w:tc>
          <w:tcPr>
            <w:tcW w:w="0" w:type="auto"/>
            <w:gridSpan w:val="4"/>
            <w:shd w:val="clear" w:color="auto" w:fill="auto"/>
            <w:vAlign w:val="center"/>
          </w:tcPr>
          <w:p w14:paraId="5556BB71" w14:textId="77777777" w:rsidR="00F925DD" w:rsidRDefault="00F925DD">
            <w:pPr>
              <w:rPr>
                <w:rFonts w:ascii="Times New Roman" w:hAnsi="Times New Roman"/>
                <w:sz w:val="20"/>
                <w:szCs w:val="20"/>
              </w:rPr>
            </w:pPr>
          </w:p>
        </w:tc>
      </w:tr>
      <w:tr w:rsidR="00F925DD" w14:paraId="5556BB77" w14:textId="77777777">
        <w:tc>
          <w:tcPr>
            <w:tcW w:w="1450" w:type="pct"/>
            <w:shd w:val="clear" w:color="auto" w:fill="auto"/>
            <w:vAlign w:val="center"/>
          </w:tcPr>
          <w:p w14:paraId="5556BB73" w14:textId="77777777" w:rsidR="00F925DD" w:rsidRDefault="00F925DD">
            <w:pPr>
              <w:rPr>
                <w:rFonts w:ascii="Times New Roman" w:hAnsi="Times New Roman"/>
                <w:sz w:val="20"/>
                <w:szCs w:val="20"/>
              </w:rPr>
            </w:pPr>
          </w:p>
        </w:tc>
        <w:tc>
          <w:tcPr>
            <w:tcW w:w="700" w:type="pct"/>
            <w:shd w:val="clear" w:color="auto" w:fill="auto"/>
            <w:vAlign w:val="center"/>
          </w:tcPr>
          <w:p w14:paraId="5556BB74" w14:textId="77777777" w:rsidR="00F925DD" w:rsidRDefault="00F925DD">
            <w:pPr>
              <w:rPr>
                <w:rFonts w:ascii="Times New Roman" w:hAnsi="Times New Roman"/>
                <w:sz w:val="20"/>
                <w:szCs w:val="20"/>
              </w:rPr>
            </w:pPr>
          </w:p>
        </w:tc>
        <w:tc>
          <w:tcPr>
            <w:tcW w:w="950" w:type="pct"/>
            <w:shd w:val="clear" w:color="auto" w:fill="auto"/>
            <w:vAlign w:val="center"/>
          </w:tcPr>
          <w:p w14:paraId="5556BB75" w14:textId="77777777" w:rsidR="00F925DD" w:rsidRDefault="00F925DD">
            <w:pPr>
              <w:rPr>
                <w:rFonts w:ascii="Times New Roman" w:hAnsi="Times New Roman"/>
                <w:sz w:val="20"/>
                <w:szCs w:val="20"/>
              </w:rPr>
            </w:pPr>
          </w:p>
        </w:tc>
        <w:tc>
          <w:tcPr>
            <w:tcW w:w="1900" w:type="pct"/>
            <w:shd w:val="clear" w:color="auto" w:fill="auto"/>
            <w:vAlign w:val="center"/>
          </w:tcPr>
          <w:p w14:paraId="5556BB76" w14:textId="77777777" w:rsidR="00F925DD" w:rsidRDefault="00F925DD">
            <w:pPr>
              <w:rPr>
                <w:rFonts w:ascii="Times New Roman" w:hAnsi="Times New Roman"/>
                <w:sz w:val="20"/>
                <w:szCs w:val="20"/>
              </w:rPr>
            </w:pPr>
          </w:p>
        </w:tc>
      </w:tr>
      <w:tr w:rsidR="00F925DD" w14:paraId="5556BB7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BB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BB7D"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(1) Total realized and unrealized gains (losses) on AFS </w:t>
      </w:r>
      <w:r>
        <w:rPr>
          <w:rFonts w:ascii="Arial" w:eastAsia="宋体" w:hAnsi="Arial" w:cs="Arial"/>
          <w:sz w:val="13"/>
          <w:szCs w:val="13"/>
        </w:rPr>
        <w:t>investment securities are included within gains (losses) related to investment securities, net. Total realized and unrealized gains (losses) on derivative instruments are included within foreign exchange trading services.</w:t>
      </w:r>
    </w:p>
    <w:p w14:paraId="5556BB7E" w14:textId="77777777" w:rsidR="00F925DD" w:rsidRDefault="00F925DD">
      <w:pPr>
        <w:rPr>
          <w:rFonts w:ascii="Times New Roman" w:hAnsi="Times New Roman"/>
          <w:sz w:val="20"/>
          <w:szCs w:val="20"/>
        </w:rPr>
      </w:pPr>
    </w:p>
    <w:p w14:paraId="5556BB7F"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Street </w:t>
      </w:r>
      <w:r>
        <w:rPr>
          <w:rFonts w:ascii="Arial" w:eastAsia="宋体" w:hAnsi="Arial" w:cs="Arial"/>
          <w:sz w:val="18"/>
          <w:szCs w:val="18"/>
        </w:rPr>
        <w:t>Corporation | 132</w:t>
      </w:r>
    </w:p>
    <w:p w14:paraId="5556BB80" w14:textId="77777777" w:rsidR="00F925DD" w:rsidRDefault="00F925DD">
      <w:pPr>
        <w:spacing w:line="288" w:lineRule="auto"/>
        <w:ind w:firstLine="600"/>
        <w:jc w:val="center"/>
        <w:rPr>
          <w:rFonts w:ascii="Times New Roman" w:hAnsi="Times New Roman"/>
          <w:sz w:val="18"/>
          <w:szCs w:val="18"/>
        </w:rPr>
      </w:pPr>
    </w:p>
    <w:p w14:paraId="5556BB81" w14:textId="77777777" w:rsidR="00F925DD" w:rsidRDefault="00E705D7">
      <w:r>
        <w:rPr>
          <w:rFonts w:ascii="Times New Roman" w:hAnsi="Times New Roman"/>
          <w:sz w:val="18"/>
          <w:szCs w:val="18"/>
        </w:rPr>
        <w:pict w14:anchorId="555706BE">
          <v:rect id="_x0000_i1156" style="width:415.3pt;height:1.5pt" o:hralign="center" o:hrstd="t" o:hr="t" fillcolor="#a0a0a0" stroked="f"/>
        </w:pict>
      </w:r>
    </w:p>
    <w:p w14:paraId="5556BB82"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B8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BB84"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064"/>
        <w:gridCol w:w="103"/>
        <w:gridCol w:w="431"/>
        <w:gridCol w:w="61"/>
        <w:gridCol w:w="122"/>
        <w:gridCol w:w="104"/>
        <w:gridCol w:w="407"/>
        <w:gridCol w:w="87"/>
        <w:gridCol w:w="123"/>
        <w:gridCol w:w="103"/>
        <w:gridCol w:w="658"/>
        <w:gridCol w:w="89"/>
        <w:gridCol w:w="122"/>
        <w:gridCol w:w="103"/>
        <w:gridCol w:w="412"/>
        <w:gridCol w:w="82"/>
        <w:gridCol w:w="122"/>
        <w:gridCol w:w="103"/>
        <w:gridCol w:w="286"/>
        <w:gridCol w:w="74"/>
        <w:gridCol w:w="122"/>
        <w:gridCol w:w="103"/>
        <w:gridCol w:w="478"/>
        <w:gridCol w:w="86"/>
        <w:gridCol w:w="122"/>
        <w:gridCol w:w="103"/>
        <w:gridCol w:w="376"/>
        <w:gridCol w:w="75"/>
        <w:gridCol w:w="122"/>
        <w:gridCol w:w="103"/>
        <w:gridCol w:w="376"/>
        <w:gridCol w:w="81"/>
        <w:gridCol w:w="122"/>
        <w:gridCol w:w="103"/>
        <w:gridCol w:w="396"/>
        <w:gridCol w:w="79"/>
        <w:gridCol w:w="122"/>
        <w:gridCol w:w="103"/>
        <w:gridCol w:w="500"/>
        <w:gridCol w:w="78"/>
      </w:tblGrid>
      <w:tr w:rsidR="00F925DD" w14:paraId="5556BB86" w14:textId="77777777">
        <w:tc>
          <w:tcPr>
            <w:tcW w:w="0" w:type="auto"/>
            <w:gridSpan w:val="40"/>
            <w:shd w:val="clear" w:color="auto" w:fill="auto"/>
            <w:vAlign w:val="center"/>
          </w:tcPr>
          <w:p w14:paraId="5556BB85" w14:textId="77777777" w:rsidR="00F925DD" w:rsidRDefault="00F925DD">
            <w:pPr>
              <w:rPr>
                <w:rFonts w:ascii="Times New Roman" w:hAnsi="Times New Roman"/>
                <w:sz w:val="20"/>
                <w:szCs w:val="20"/>
              </w:rPr>
            </w:pPr>
          </w:p>
        </w:tc>
      </w:tr>
      <w:tr w:rsidR="00F925DD" w14:paraId="5556BBAF" w14:textId="77777777">
        <w:tc>
          <w:tcPr>
            <w:tcW w:w="750" w:type="pct"/>
            <w:shd w:val="clear" w:color="auto" w:fill="auto"/>
            <w:vAlign w:val="center"/>
          </w:tcPr>
          <w:p w14:paraId="5556BB87" w14:textId="77777777" w:rsidR="00F925DD" w:rsidRDefault="00F925DD">
            <w:pPr>
              <w:rPr>
                <w:rFonts w:ascii="Times New Roman" w:hAnsi="Times New Roman"/>
                <w:sz w:val="20"/>
                <w:szCs w:val="20"/>
              </w:rPr>
            </w:pPr>
          </w:p>
        </w:tc>
        <w:tc>
          <w:tcPr>
            <w:tcW w:w="50" w:type="pct"/>
            <w:shd w:val="clear" w:color="auto" w:fill="auto"/>
            <w:vAlign w:val="center"/>
          </w:tcPr>
          <w:p w14:paraId="5556BB88" w14:textId="77777777" w:rsidR="00F925DD" w:rsidRDefault="00F925DD">
            <w:pPr>
              <w:rPr>
                <w:rFonts w:ascii="Times New Roman" w:hAnsi="Times New Roman"/>
                <w:sz w:val="20"/>
                <w:szCs w:val="20"/>
              </w:rPr>
            </w:pPr>
          </w:p>
        </w:tc>
        <w:tc>
          <w:tcPr>
            <w:tcW w:w="350" w:type="pct"/>
            <w:shd w:val="clear" w:color="auto" w:fill="auto"/>
            <w:vAlign w:val="center"/>
          </w:tcPr>
          <w:p w14:paraId="5556BB89" w14:textId="77777777" w:rsidR="00F925DD" w:rsidRDefault="00F925DD">
            <w:pPr>
              <w:rPr>
                <w:rFonts w:ascii="Times New Roman" w:hAnsi="Times New Roman"/>
                <w:sz w:val="20"/>
                <w:szCs w:val="20"/>
              </w:rPr>
            </w:pPr>
          </w:p>
        </w:tc>
        <w:tc>
          <w:tcPr>
            <w:tcW w:w="50" w:type="pct"/>
            <w:shd w:val="clear" w:color="auto" w:fill="auto"/>
            <w:vAlign w:val="center"/>
          </w:tcPr>
          <w:p w14:paraId="5556BB8A" w14:textId="77777777" w:rsidR="00F925DD" w:rsidRDefault="00F925DD">
            <w:pPr>
              <w:rPr>
                <w:rFonts w:ascii="Times New Roman" w:hAnsi="Times New Roman"/>
                <w:sz w:val="20"/>
                <w:szCs w:val="20"/>
              </w:rPr>
            </w:pPr>
          </w:p>
        </w:tc>
        <w:tc>
          <w:tcPr>
            <w:tcW w:w="50" w:type="pct"/>
            <w:shd w:val="clear" w:color="auto" w:fill="auto"/>
            <w:vAlign w:val="center"/>
          </w:tcPr>
          <w:p w14:paraId="5556BB8B" w14:textId="77777777" w:rsidR="00F925DD" w:rsidRDefault="00F925DD">
            <w:pPr>
              <w:rPr>
                <w:rFonts w:ascii="Times New Roman" w:hAnsi="Times New Roman"/>
                <w:sz w:val="20"/>
                <w:szCs w:val="20"/>
              </w:rPr>
            </w:pPr>
          </w:p>
        </w:tc>
        <w:tc>
          <w:tcPr>
            <w:tcW w:w="50" w:type="pct"/>
            <w:shd w:val="clear" w:color="auto" w:fill="auto"/>
            <w:vAlign w:val="center"/>
          </w:tcPr>
          <w:p w14:paraId="5556BB8C" w14:textId="77777777" w:rsidR="00F925DD" w:rsidRDefault="00F925DD">
            <w:pPr>
              <w:rPr>
                <w:rFonts w:ascii="Times New Roman" w:hAnsi="Times New Roman"/>
                <w:sz w:val="20"/>
                <w:szCs w:val="20"/>
              </w:rPr>
            </w:pPr>
          </w:p>
        </w:tc>
        <w:tc>
          <w:tcPr>
            <w:tcW w:w="250" w:type="pct"/>
            <w:shd w:val="clear" w:color="auto" w:fill="auto"/>
            <w:vAlign w:val="center"/>
          </w:tcPr>
          <w:p w14:paraId="5556BB8D" w14:textId="77777777" w:rsidR="00F925DD" w:rsidRDefault="00F925DD">
            <w:pPr>
              <w:rPr>
                <w:rFonts w:ascii="Times New Roman" w:hAnsi="Times New Roman"/>
                <w:sz w:val="20"/>
                <w:szCs w:val="20"/>
              </w:rPr>
            </w:pPr>
          </w:p>
        </w:tc>
        <w:tc>
          <w:tcPr>
            <w:tcW w:w="50" w:type="pct"/>
            <w:shd w:val="clear" w:color="auto" w:fill="auto"/>
            <w:vAlign w:val="center"/>
          </w:tcPr>
          <w:p w14:paraId="5556BB8E" w14:textId="77777777" w:rsidR="00F925DD" w:rsidRDefault="00F925DD">
            <w:pPr>
              <w:rPr>
                <w:rFonts w:ascii="Times New Roman" w:hAnsi="Times New Roman"/>
                <w:sz w:val="20"/>
                <w:szCs w:val="20"/>
              </w:rPr>
            </w:pPr>
          </w:p>
        </w:tc>
        <w:tc>
          <w:tcPr>
            <w:tcW w:w="50" w:type="pct"/>
            <w:shd w:val="clear" w:color="auto" w:fill="auto"/>
            <w:vAlign w:val="center"/>
          </w:tcPr>
          <w:p w14:paraId="5556BB8F" w14:textId="77777777" w:rsidR="00F925DD" w:rsidRDefault="00F925DD">
            <w:pPr>
              <w:rPr>
                <w:rFonts w:ascii="Times New Roman" w:hAnsi="Times New Roman"/>
                <w:sz w:val="20"/>
                <w:szCs w:val="20"/>
              </w:rPr>
            </w:pPr>
          </w:p>
        </w:tc>
        <w:tc>
          <w:tcPr>
            <w:tcW w:w="50" w:type="pct"/>
            <w:shd w:val="clear" w:color="auto" w:fill="auto"/>
            <w:vAlign w:val="center"/>
          </w:tcPr>
          <w:p w14:paraId="5556BB90" w14:textId="77777777" w:rsidR="00F925DD" w:rsidRDefault="00F925DD">
            <w:pPr>
              <w:rPr>
                <w:rFonts w:ascii="Times New Roman" w:hAnsi="Times New Roman"/>
                <w:sz w:val="20"/>
                <w:szCs w:val="20"/>
              </w:rPr>
            </w:pPr>
          </w:p>
        </w:tc>
        <w:tc>
          <w:tcPr>
            <w:tcW w:w="400" w:type="pct"/>
            <w:shd w:val="clear" w:color="auto" w:fill="auto"/>
            <w:vAlign w:val="center"/>
          </w:tcPr>
          <w:p w14:paraId="5556BB91" w14:textId="77777777" w:rsidR="00F925DD" w:rsidRDefault="00F925DD">
            <w:pPr>
              <w:rPr>
                <w:rFonts w:ascii="Times New Roman" w:hAnsi="Times New Roman"/>
                <w:sz w:val="20"/>
                <w:szCs w:val="20"/>
              </w:rPr>
            </w:pPr>
          </w:p>
        </w:tc>
        <w:tc>
          <w:tcPr>
            <w:tcW w:w="50" w:type="pct"/>
            <w:shd w:val="clear" w:color="auto" w:fill="auto"/>
            <w:vAlign w:val="center"/>
          </w:tcPr>
          <w:p w14:paraId="5556BB92" w14:textId="77777777" w:rsidR="00F925DD" w:rsidRDefault="00F925DD">
            <w:pPr>
              <w:rPr>
                <w:rFonts w:ascii="Times New Roman" w:hAnsi="Times New Roman"/>
                <w:sz w:val="20"/>
                <w:szCs w:val="20"/>
              </w:rPr>
            </w:pPr>
          </w:p>
        </w:tc>
        <w:tc>
          <w:tcPr>
            <w:tcW w:w="50" w:type="pct"/>
            <w:shd w:val="clear" w:color="auto" w:fill="auto"/>
            <w:vAlign w:val="center"/>
          </w:tcPr>
          <w:p w14:paraId="5556BB93" w14:textId="77777777" w:rsidR="00F925DD" w:rsidRDefault="00F925DD">
            <w:pPr>
              <w:rPr>
                <w:rFonts w:ascii="Times New Roman" w:hAnsi="Times New Roman"/>
                <w:sz w:val="20"/>
                <w:szCs w:val="20"/>
              </w:rPr>
            </w:pPr>
          </w:p>
        </w:tc>
        <w:tc>
          <w:tcPr>
            <w:tcW w:w="50" w:type="pct"/>
            <w:shd w:val="clear" w:color="auto" w:fill="auto"/>
            <w:vAlign w:val="center"/>
          </w:tcPr>
          <w:p w14:paraId="5556BB94" w14:textId="77777777" w:rsidR="00F925DD" w:rsidRDefault="00F925DD">
            <w:pPr>
              <w:rPr>
                <w:rFonts w:ascii="Times New Roman" w:hAnsi="Times New Roman"/>
                <w:sz w:val="20"/>
                <w:szCs w:val="20"/>
              </w:rPr>
            </w:pPr>
          </w:p>
        </w:tc>
        <w:tc>
          <w:tcPr>
            <w:tcW w:w="250" w:type="pct"/>
            <w:shd w:val="clear" w:color="auto" w:fill="auto"/>
            <w:vAlign w:val="center"/>
          </w:tcPr>
          <w:p w14:paraId="5556BB95" w14:textId="77777777" w:rsidR="00F925DD" w:rsidRDefault="00F925DD">
            <w:pPr>
              <w:rPr>
                <w:rFonts w:ascii="Times New Roman" w:hAnsi="Times New Roman"/>
                <w:sz w:val="20"/>
                <w:szCs w:val="20"/>
              </w:rPr>
            </w:pPr>
          </w:p>
        </w:tc>
        <w:tc>
          <w:tcPr>
            <w:tcW w:w="50" w:type="pct"/>
            <w:shd w:val="clear" w:color="auto" w:fill="auto"/>
            <w:vAlign w:val="center"/>
          </w:tcPr>
          <w:p w14:paraId="5556BB96" w14:textId="77777777" w:rsidR="00F925DD" w:rsidRDefault="00F925DD">
            <w:pPr>
              <w:rPr>
                <w:rFonts w:ascii="Times New Roman" w:hAnsi="Times New Roman"/>
                <w:sz w:val="20"/>
                <w:szCs w:val="20"/>
              </w:rPr>
            </w:pPr>
          </w:p>
        </w:tc>
        <w:tc>
          <w:tcPr>
            <w:tcW w:w="50" w:type="pct"/>
            <w:shd w:val="clear" w:color="auto" w:fill="auto"/>
            <w:vAlign w:val="center"/>
          </w:tcPr>
          <w:p w14:paraId="5556BB97" w14:textId="77777777" w:rsidR="00F925DD" w:rsidRDefault="00F925DD">
            <w:pPr>
              <w:rPr>
                <w:rFonts w:ascii="Times New Roman" w:hAnsi="Times New Roman"/>
                <w:sz w:val="20"/>
                <w:szCs w:val="20"/>
              </w:rPr>
            </w:pPr>
          </w:p>
        </w:tc>
        <w:tc>
          <w:tcPr>
            <w:tcW w:w="50" w:type="pct"/>
            <w:shd w:val="clear" w:color="auto" w:fill="auto"/>
            <w:vAlign w:val="center"/>
          </w:tcPr>
          <w:p w14:paraId="5556BB98" w14:textId="77777777" w:rsidR="00F925DD" w:rsidRDefault="00F925DD">
            <w:pPr>
              <w:rPr>
                <w:rFonts w:ascii="Times New Roman" w:hAnsi="Times New Roman"/>
                <w:sz w:val="20"/>
                <w:szCs w:val="20"/>
              </w:rPr>
            </w:pPr>
          </w:p>
        </w:tc>
        <w:tc>
          <w:tcPr>
            <w:tcW w:w="150" w:type="pct"/>
            <w:shd w:val="clear" w:color="auto" w:fill="auto"/>
            <w:vAlign w:val="center"/>
          </w:tcPr>
          <w:p w14:paraId="5556BB99" w14:textId="77777777" w:rsidR="00F925DD" w:rsidRDefault="00F925DD">
            <w:pPr>
              <w:rPr>
                <w:rFonts w:ascii="Times New Roman" w:hAnsi="Times New Roman"/>
                <w:sz w:val="20"/>
                <w:szCs w:val="20"/>
              </w:rPr>
            </w:pPr>
          </w:p>
        </w:tc>
        <w:tc>
          <w:tcPr>
            <w:tcW w:w="50" w:type="pct"/>
            <w:shd w:val="clear" w:color="auto" w:fill="auto"/>
            <w:vAlign w:val="center"/>
          </w:tcPr>
          <w:p w14:paraId="5556BB9A" w14:textId="77777777" w:rsidR="00F925DD" w:rsidRDefault="00F925DD">
            <w:pPr>
              <w:rPr>
                <w:rFonts w:ascii="Times New Roman" w:hAnsi="Times New Roman"/>
                <w:sz w:val="20"/>
                <w:szCs w:val="20"/>
              </w:rPr>
            </w:pPr>
          </w:p>
        </w:tc>
        <w:tc>
          <w:tcPr>
            <w:tcW w:w="50" w:type="pct"/>
            <w:shd w:val="clear" w:color="auto" w:fill="auto"/>
            <w:vAlign w:val="center"/>
          </w:tcPr>
          <w:p w14:paraId="5556BB9B" w14:textId="77777777" w:rsidR="00F925DD" w:rsidRDefault="00F925DD">
            <w:pPr>
              <w:rPr>
                <w:rFonts w:ascii="Times New Roman" w:hAnsi="Times New Roman"/>
                <w:sz w:val="20"/>
                <w:szCs w:val="20"/>
              </w:rPr>
            </w:pPr>
          </w:p>
        </w:tc>
        <w:tc>
          <w:tcPr>
            <w:tcW w:w="50" w:type="pct"/>
            <w:shd w:val="clear" w:color="auto" w:fill="auto"/>
            <w:vAlign w:val="center"/>
          </w:tcPr>
          <w:p w14:paraId="5556BB9C" w14:textId="77777777" w:rsidR="00F925DD" w:rsidRDefault="00F925DD">
            <w:pPr>
              <w:rPr>
                <w:rFonts w:ascii="Times New Roman" w:hAnsi="Times New Roman"/>
                <w:sz w:val="20"/>
                <w:szCs w:val="20"/>
              </w:rPr>
            </w:pPr>
          </w:p>
        </w:tc>
        <w:tc>
          <w:tcPr>
            <w:tcW w:w="300" w:type="pct"/>
            <w:shd w:val="clear" w:color="auto" w:fill="auto"/>
            <w:vAlign w:val="center"/>
          </w:tcPr>
          <w:p w14:paraId="5556BB9D" w14:textId="77777777" w:rsidR="00F925DD" w:rsidRDefault="00F925DD">
            <w:pPr>
              <w:rPr>
                <w:rFonts w:ascii="Times New Roman" w:hAnsi="Times New Roman"/>
                <w:sz w:val="20"/>
                <w:szCs w:val="20"/>
              </w:rPr>
            </w:pPr>
          </w:p>
        </w:tc>
        <w:tc>
          <w:tcPr>
            <w:tcW w:w="50" w:type="pct"/>
            <w:shd w:val="clear" w:color="auto" w:fill="auto"/>
            <w:vAlign w:val="center"/>
          </w:tcPr>
          <w:p w14:paraId="5556BB9E" w14:textId="77777777" w:rsidR="00F925DD" w:rsidRDefault="00F925DD">
            <w:pPr>
              <w:rPr>
                <w:rFonts w:ascii="Times New Roman" w:hAnsi="Times New Roman"/>
                <w:sz w:val="20"/>
                <w:szCs w:val="20"/>
              </w:rPr>
            </w:pPr>
          </w:p>
        </w:tc>
        <w:tc>
          <w:tcPr>
            <w:tcW w:w="50" w:type="pct"/>
            <w:shd w:val="clear" w:color="auto" w:fill="auto"/>
            <w:vAlign w:val="center"/>
          </w:tcPr>
          <w:p w14:paraId="5556BB9F" w14:textId="77777777" w:rsidR="00F925DD" w:rsidRDefault="00F925DD">
            <w:pPr>
              <w:rPr>
                <w:rFonts w:ascii="Times New Roman" w:hAnsi="Times New Roman"/>
                <w:sz w:val="20"/>
                <w:szCs w:val="20"/>
              </w:rPr>
            </w:pPr>
          </w:p>
        </w:tc>
        <w:tc>
          <w:tcPr>
            <w:tcW w:w="50" w:type="pct"/>
            <w:shd w:val="clear" w:color="auto" w:fill="auto"/>
            <w:vAlign w:val="center"/>
          </w:tcPr>
          <w:p w14:paraId="5556BBA0" w14:textId="77777777" w:rsidR="00F925DD" w:rsidRDefault="00F925DD">
            <w:pPr>
              <w:rPr>
                <w:rFonts w:ascii="Times New Roman" w:hAnsi="Times New Roman"/>
                <w:sz w:val="20"/>
                <w:szCs w:val="20"/>
              </w:rPr>
            </w:pPr>
          </w:p>
        </w:tc>
        <w:tc>
          <w:tcPr>
            <w:tcW w:w="250" w:type="pct"/>
            <w:shd w:val="clear" w:color="auto" w:fill="auto"/>
            <w:vAlign w:val="center"/>
          </w:tcPr>
          <w:p w14:paraId="5556BBA1" w14:textId="77777777" w:rsidR="00F925DD" w:rsidRDefault="00F925DD">
            <w:pPr>
              <w:rPr>
                <w:rFonts w:ascii="Times New Roman" w:hAnsi="Times New Roman"/>
                <w:sz w:val="20"/>
                <w:szCs w:val="20"/>
              </w:rPr>
            </w:pPr>
          </w:p>
        </w:tc>
        <w:tc>
          <w:tcPr>
            <w:tcW w:w="50" w:type="pct"/>
            <w:shd w:val="clear" w:color="auto" w:fill="auto"/>
            <w:vAlign w:val="center"/>
          </w:tcPr>
          <w:p w14:paraId="5556BBA2" w14:textId="77777777" w:rsidR="00F925DD" w:rsidRDefault="00F925DD">
            <w:pPr>
              <w:rPr>
                <w:rFonts w:ascii="Times New Roman" w:hAnsi="Times New Roman"/>
                <w:sz w:val="20"/>
                <w:szCs w:val="20"/>
              </w:rPr>
            </w:pPr>
          </w:p>
        </w:tc>
        <w:tc>
          <w:tcPr>
            <w:tcW w:w="50" w:type="pct"/>
            <w:shd w:val="clear" w:color="auto" w:fill="auto"/>
            <w:vAlign w:val="center"/>
          </w:tcPr>
          <w:p w14:paraId="5556BBA3" w14:textId="77777777" w:rsidR="00F925DD" w:rsidRDefault="00F925DD">
            <w:pPr>
              <w:rPr>
                <w:rFonts w:ascii="Times New Roman" w:hAnsi="Times New Roman"/>
                <w:sz w:val="20"/>
                <w:szCs w:val="20"/>
              </w:rPr>
            </w:pPr>
          </w:p>
        </w:tc>
        <w:tc>
          <w:tcPr>
            <w:tcW w:w="50" w:type="pct"/>
            <w:shd w:val="clear" w:color="auto" w:fill="auto"/>
            <w:vAlign w:val="center"/>
          </w:tcPr>
          <w:p w14:paraId="5556BBA4" w14:textId="77777777" w:rsidR="00F925DD" w:rsidRDefault="00F925DD">
            <w:pPr>
              <w:rPr>
                <w:rFonts w:ascii="Times New Roman" w:hAnsi="Times New Roman"/>
                <w:sz w:val="20"/>
                <w:szCs w:val="20"/>
              </w:rPr>
            </w:pPr>
          </w:p>
        </w:tc>
        <w:tc>
          <w:tcPr>
            <w:tcW w:w="250" w:type="pct"/>
            <w:shd w:val="clear" w:color="auto" w:fill="auto"/>
            <w:vAlign w:val="center"/>
          </w:tcPr>
          <w:p w14:paraId="5556BBA5" w14:textId="77777777" w:rsidR="00F925DD" w:rsidRDefault="00F925DD">
            <w:pPr>
              <w:rPr>
                <w:rFonts w:ascii="Times New Roman" w:hAnsi="Times New Roman"/>
                <w:sz w:val="20"/>
                <w:szCs w:val="20"/>
              </w:rPr>
            </w:pPr>
          </w:p>
        </w:tc>
        <w:tc>
          <w:tcPr>
            <w:tcW w:w="50" w:type="pct"/>
            <w:shd w:val="clear" w:color="auto" w:fill="auto"/>
            <w:vAlign w:val="center"/>
          </w:tcPr>
          <w:p w14:paraId="5556BBA6" w14:textId="77777777" w:rsidR="00F925DD" w:rsidRDefault="00F925DD">
            <w:pPr>
              <w:rPr>
                <w:rFonts w:ascii="Times New Roman" w:hAnsi="Times New Roman"/>
                <w:sz w:val="20"/>
                <w:szCs w:val="20"/>
              </w:rPr>
            </w:pPr>
          </w:p>
        </w:tc>
        <w:tc>
          <w:tcPr>
            <w:tcW w:w="50" w:type="pct"/>
            <w:shd w:val="clear" w:color="auto" w:fill="auto"/>
            <w:vAlign w:val="center"/>
          </w:tcPr>
          <w:p w14:paraId="5556BBA7" w14:textId="77777777" w:rsidR="00F925DD" w:rsidRDefault="00F925DD">
            <w:pPr>
              <w:rPr>
                <w:rFonts w:ascii="Times New Roman" w:hAnsi="Times New Roman"/>
                <w:sz w:val="20"/>
                <w:szCs w:val="20"/>
              </w:rPr>
            </w:pPr>
          </w:p>
        </w:tc>
        <w:tc>
          <w:tcPr>
            <w:tcW w:w="50" w:type="pct"/>
            <w:shd w:val="clear" w:color="auto" w:fill="auto"/>
            <w:vAlign w:val="center"/>
          </w:tcPr>
          <w:p w14:paraId="5556BBA8" w14:textId="77777777" w:rsidR="00F925DD" w:rsidRDefault="00F925DD">
            <w:pPr>
              <w:rPr>
                <w:rFonts w:ascii="Times New Roman" w:hAnsi="Times New Roman"/>
                <w:sz w:val="20"/>
                <w:szCs w:val="20"/>
              </w:rPr>
            </w:pPr>
          </w:p>
        </w:tc>
        <w:tc>
          <w:tcPr>
            <w:tcW w:w="250" w:type="pct"/>
            <w:shd w:val="clear" w:color="auto" w:fill="auto"/>
            <w:vAlign w:val="center"/>
          </w:tcPr>
          <w:p w14:paraId="5556BBA9" w14:textId="77777777" w:rsidR="00F925DD" w:rsidRDefault="00F925DD">
            <w:pPr>
              <w:rPr>
                <w:rFonts w:ascii="Times New Roman" w:hAnsi="Times New Roman"/>
                <w:sz w:val="20"/>
                <w:szCs w:val="20"/>
              </w:rPr>
            </w:pPr>
          </w:p>
        </w:tc>
        <w:tc>
          <w:tcPr>
            <w:tcW w:w="50" w:type="pct"/>
            <w:shd w:val="clear" w:color="auto" w:fill="auto"/>
            <w:vAlign w:val="center"/>
          </w:tcPr>
          <w:p w14:paraId="5556BBAA" w14:textId="77777777" w:rsidR="00F925DD" w:rsidRDefault="00F925DD">
            <w:pPr>
              <w:rPr>
                <w:rFonts w:ascii="Times New Roman" w:hAnsi="Times New Roman"/>
                <w:sz w:val="20"/>
                <w:szCs w:val="20"/>
              </w:rPr>
            </w:pPr>
          </w:p>
        </w:tc>
        <w:tc>
          <w:tcPr>
            <w:tcW w:w="50" w:type="pct"/>
            <w:shd w:val="clear" w:color="auto" w:fill="auto"/>
            <w:vAlign w:val="center"/>
          </w:tcPr>
          <w:p w14:paraId="5556BBAB" w14:textId="77777777" w:rsidR="00F925DD" w:rsidRDefault="00F925DD">
            <w:pPr>
              <w:rPr>
                <w:rFonts w:ascii="Times New Roman" w:hAnsi="Times New Roman"/>
                <w:sz w:val="20"/>
                <w:szCs w:val="20"/>
              </w:rPr>
            </w:pPr>
          </w:p>
        </w:tc>
        <w:tc>
          <w:tcPr>
            <w:tcW w:w="50" w:type="pct"/>
            <w:shd w:val="clear" w:color="auto" w:fill="auto"/>
            <w:vAlign w:val="center"/>
          </w:tcPr>
          <w:p w14:paraId="5556BBAC" w14:textId="77777777" w:rsidR="00F925DD" w:rsidRDefault="00F925DD">
            <w:pPr>
              <w:rPr>
                <w:rFonts w:ascii="Times New Roman" w:hAnsi="Times New Roman"/>
                <w:sz w:val="20"/>
                <w:szCs w:val="20"/>
              </w:rPr>
            </w:pPr>
          </w:p>
        </w:tc>
        <w:tc>
          <w:tcPr>
            <w:tcW w:w="350" w:type="pct"/>
            <w:shd w:val="clear" w:color="auto" w:fill="auto"/>
            <w:vAlign w:val="center"/>
          </w:tcPr>
          <w:p w14:paraId="5556BBAD" w14:textId="77777777" w:rsidR="00F925DD" w:rsidRDefault="00F925DD">
            <w:pPr>
              <w:rPr>
                <w:rFonts w:ascii="Times New Roman" w:hAnsi="Times New Roman"/>
                <w:sz w:val="20"/>
                <w:szCs w:val="20"/>
              </w:rPr>
            </w:pPr>
          </w:p>
        </w:tc>
        <w:tc>
          <w:tcPr>
            <w:tcW w:w="50" w:type="pct"/>
            <w:shd w:val="clear" w:color="auto" w:fill="auto"/>
            <w:vAlign w:val="center"/>
          </w:tcPr>
          <w:p w14:paraId="5556BBAE" w14:textId="77777777" w:rsidR="00F925DD" w:rsidRDefault="00F925DD">
            <w:pPr>
              <w:rPr>
                <w:rFonts w:ascii="Times New Roman" w:hAnsi="Times New Roman"/>
                <w:sz w:val="20"/>
                <w:szCs w:val="20"/>
              </w:rPr>
            </w:pPr>
          </w:p>
        </w:tc>
      </w:tr>
      <w:tr w:rsidR="00F925DD" w14:paraId="5556BBB2" w14:textId="77777777">
        <w:tc>
          <w:tcPr>
            <w:tcW w:w="0" w:type="auto"/>
            <w:shd w:val="clear" w:color="auto" w:fill="auto"/>
            <w:tcMar>
              <w:top w:w="40" w:type="dxa"/>
              <w:left w:w="40" w:type="dxa"/>
              <w:bottom w:w="40" w:type="dxa"/>
              <w:right w:w="40" w:type="dxa"/>
            </w:tcMar>
            <w:vAlign w:val="bottom"/>
          </w:tcPr>
          <w:p w14:paraId="5556BB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9"/>
            <w:shd w:val="clear" w:color="auto" w:fill="auto"/>
            <w:tcMar>
              <w:top w:w="40" w:type="dxa"/>
              <w:left w:w="40" w:type="dxa"/>
              <w:bottom w:w="40" w:type="dxa"/>
            </w:tcMar>
            <w:vAlign w:val="bottom"/>
          </w:tcPr>
          <w:p w14:paraId="5556BBB1"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Fair Value Measurements Using Significant Unobservable Inputs</w:t>
            </w:r>
          </w:p>
        </w:tc>
      </w:tr>
      <w:tr w:rsidR="00F925DD" w14:paraId="5556BBB5" w14:textId="77777777">
        <w:tc>
          <w:tcPr>
            <w:tcW w:w="0" w:type="auto"/>
            <w:shd w:val="clear" w:color="auto" w:fill="auto"/>
            <w:tcMar>
              <w:top w:w="40" w:type="dxa"/>
              <w:left w:w="40" w:type="dxa"/>
              <w:bottom w:w="40" w:type="dxa"/>
              <w:right w:w="40" w:type="dxa"/>
            </w:tcMar>
          </w:tcPr>
          <w:p w14:paraId="5556BBB3" w14:textId="77777777" w:rsidR="00F925DD" w:rsidRDefault="00E705D7">
            <w:pPr>
              <w:textAlignment w:val="top"/>
              <w:rPr>
                <w:rFonts w:ascii="Times New Roman" w:hAnsi="Times New Roman"/>
                <w:sz w:val="12"/>
                <w:szCs w:val="12"/>
              </w:rPr>
            </w:pPr>
            <w:r>
              <w:rPr>
                <w:rFonts w:ascii="Arial" w:eastAsia="宋体" w:hAnsi="Arial" w:cs="Arial"/>
                <w:sz w:val="12"/>
                <w:szCs w:val="12"/>
              </w:rPr>
              <w:t> </w:t>
            </w:r>
          </w:p>
        </w:tc>
        <w:tc>
          <w:tcPr>
            <w:tcW w:w="0" w:type="auto"/>
            <w:gridSpan w:val="39"/>
            <w:tcBorders>
              <w:bottom w:val="single" w:sz="8" w:space="0" w:color="000000"/>
            </w:tcBorders>
            <w:shd w:val="clear" w:color="auto" w:fill="auto"/>
            <w:tcMar>
              <w:top w:w="40" w:type="dxa"/>
              <w:left w:w="40" w:type="dxa"/>
              <w:bottom w:w="40" w:type="dxa"/>
            </w:tcMar>
            <w:vAlign w:val="bottom"/>
          </w:tcPr>
          <w:p w14:paraId="5556BBB4"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Year Ended December 31, 2018</w:t>
            </w:r>
          </w:p>
        </w:tc>
      </w:tr>
      <w:tr w:rsidR="00F925DD" w14:paraId="5556BBCE" w14:textId="77777777">
        <w:tc>
          <w:tcPr>
            <w:tcW w:w="0" w:type="auto"/>
            <w:shd w:val="clear" w:color="auto" w:fill="auto"/>
            <w:tcMar>
              <w:top w:w="40" w:type="dxa"/>
              <w:left w:w="40" w:type="dxa"/>
              <w:bottom w:w="40" w:type="dxa"/>
              <w:right w:w="40" w:type="dxa"/>
            </w:tcMar>
          </w:tcPr>
          <w:p w14:paraId="5556BBB6" w14:textId="77777777" w:rsidR="00F925DD" w:rsidRDefault="00E705D7">
            <w:pPr>
              <w:textAlignment w:val="top"/>
              <w:rPr>
                <w:rFonts w:ascii="Times New Roman" w:hAnsi="Times New Roman"/>
                <w:sz w:val="12"/>
                <w:szCs w:val="12"/>
              </w:rPr>
            </w:pPr>
            <w:r>
              <w:rPr>
                <w:rFonts w:ascii="Arial" w:eastAsia="宋体" w:hAnsi="Arial" w:cs="Arial"/>
                <w:sz w:val="12"/>
                <w:szCs w:val="12"/>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BB7"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Fair Value </w:t>
            </w:r>
          </w:p>
          <w:p w14:paraId="5556BBB8"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as of </w:t>
            </w:r>
          </w:p>
          <w:p w14:paraId="5556BBB9"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December 31, </w:t>
            </w:r>
          </w:p>
          <w:p w14:paraId="5556BBBA"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2017</w:t>
            </w:r>
          </w:p>
        </w:tc>
        <w:tc>
          <w:tcPr>
            <w:tcW w:w="0" w:type="auto"/>
            <w:shd w:val="clear" w:color="auto" w:fill="auto"/>
            <w:tcMar>
              <w:top w:w="40" w:type="dxa"/>
              <w:left w:w="40" w:type="dxa"/>
              <w:bottom w:w="40" w:type="dxa"/>
              <w:right w:w="40" w:type="dxa"/>
            </w:tcMar>
            <w:vAlign w:val="bottom"/>
          </w:tcPr>
          <w:p w14:paraId="5556BB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BBBC"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Total Realized and</w:t>
            </w:r>
            <w:r>
              <w:rPr>
                <w:rFonts w:ascii="Arial" w:eastAsia="宋体" w:hAnsi="Arial" w:cs="Arial"/>
                <w:b/>
                <w:bCs/>
                <w:sz w:val="12"/>
                <w:szCs w:val="12"/>
              </w:rPr>
              <w:br/>
              <w:t>Unrealized Gains (Losses)</w:t>
            </w:r>
          </w:p>
        </w:tc>
        <w:tc>
          <w:tcPr>
            <w:tcW w:w="0" w:type="auto"/>
            <w:shd w:val="clear" w:color="auto" w:fill="auto"/>
            <w:tcMar>
              <w:top w:w="40" w:type="dxa"/>
              <w:left w:w="40" w:type="dxa"/>
              <w:bottom w:w="40" w:type="dxa"/>
              <w:right w:w="40" w:type="dxa"/>
            </w:tcMar>
            <w:vAlign w:val="bottom"/>
          </w:tcPr>
          <w:p w14:paraId="5556BB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BBE"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Purchases</w:t>
            </w:r>
          </w:p>
        </w:tc>
        <w:tc>
          <w:tcPr>
            <w:tcW w:w="0" w:type="auto"/>
            <w:shd w:val="clear" w:color="auto" w:fill="auto"/>
            <w:tcMar>
              <w:top w:w="40" w:type="dxa"/>
              <w:left w:w="40" w:type="dxa"/>
              <w:bottom w:w="40" w:type="dxa"/>
              <w:right w:w="40" w:type="dxa"/>
            </w:tcMar>
            <w:vAlign w:val="bottom"/>
          </w:tcPr>
          <w:p w14:paraId="5556BB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BC0"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Sales</w:t>
            </w:r>
          </w:p>
        </w:tc>
        <w:tc>
          <w:tcPr>
            <w:tcW w:w="0" w:type="auto"/>
            <w:shd w:val="clear" w:color="auto" w:fill="auto"/>
            <w:tcMar>
              <w:top w:w="40" w:type="dxa"/>
              <w:left w:w="40" w:type="dxa"/>
              <w:bottom w:w="40" w:type="dxa"/>
              <w:right w:w="40" w:type="dxa"/>
            </w:tcMar>
            <w:vAlign w:val="bottom"/>
          </w:tcPr>
          <w:p w14:paraId="5556BB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BC2"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Settlements</w:t>
            </w:r>
          </w:p>
        </w:tc>
        <w:tc>
          <w:tcPr>
            <w:tcW w:w="0" w:type="auto"/>
            <w:shd w:val="clear" w:color="auto" w:fill="auto"/>
            <w:tcMar>
              <w:top w:w="40" w:type="dxa"/>
              <w:left w:w="40" w:type="dxa"/>
              <w:bottom w:w="40" w:type="dxa"/>
              <w:right w:w="40" w:type="dxa"/>
            </w:tcMar>
            <w:vAlign w:val="bottom"/>
          </w:tcPr>
          <w:p w14:paraId="5556BB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BC4"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Transfers</w:t>
            </w:r>
            <w:r>
              <w:rPr>
                <w:rFonts w:ascii="Arial" w:eastAsia="宋体" w:hAnsi="Arial" w:cs="Arial"/>
                <w:b/>
                <w:bCs/>
                <w:sz w:val="12"/>
                <w:szCs w:val="12"/>
              </w:rPr>
              <w:br/>
              <w:t>into</w:t>
            </w:r>
            <w:r>
              <w:rPr>
                <w:rFonts w:ascii="Arial" w:eastAsia="宋体" w:hAnsi="Arial" w:cs="Arial"/>
                <w:b/>
                <w:bCs/>
                <w:sz w:val="12"/>
                <w:szCs w:val="12"/>
              </w:rPr>
              <w:br/>
              <w:t>Level 3</w:t>
            </w:r>
          </w:p>
        </w:tc>
        <w:tc>
          <w:tcPr>
            <w:tcW w:w="0" w:type="auto"/>
            <w:shd w:val="clear" w:color="auto" w:fill="auto"/>
            <w:tcMar>
              <w:top w:w="40" w:type="dxa"/>
              <w:left w:w="40" w:type="dxa"/>
              <w:bottom w:w="40" w:type="dxa"/>
              <w:right w:w="40" w:type="dxa"/>
            </w:tcMar>
            <w:vAlign w:val="bottom"/>
          </w:tcPr>
          <w:p w14:paraId="5556BB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BC6"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Transfers</w:t>
            </w:r>
            <w:r>
              <w:rPr>
                <w:rFonts w:ascii="Arial" w:eastAsia="宋体" w:hAnsi="Arial" w:cs="Arial"/>
                <w:b/>
                <w:bCs/>
                <w:sz w:val="12"/>
                <w:szCs w:val="12"/>
              </w:rPr>
              <w:br/>
              <w:t>out of</w:t>
            </w:r>
            <w:r>
              <w:rPr>
                <w:rFonts w:ascii="Arial" w:eastAsia="宋体" w:hAnsi="Arial" w:cs="Arial"/>
                <w:b/>
                <w:bCs/>
                <w:sz w:val="12"/>
                <w:szCs w:val="12"/>
              </w:rPr>
              <w:br/>
              <w:t>Level 3</w:t>
            </w:r>
          </w:p>
        </w:tc>
        <w:tc>
          <w:tcPr>
            <w:tcW w:w="0" w:type="auto"/>
            <w:shd w:val="clear" w:color="auto" w:fill="auto"/>
            <w:tcMar>
              <w:top w:w="40" w:type="dxa"/>
              <w:left w:w="40" w:type="dxa"/>
              <w:bottom w:w="40" w:type="dxa"/>
              <w:right w:w="40" w:type="dxa"/>
            </w:tcMar>
            <w:vAlign w:val="bottom"/>
          </w:tcPr>
          <w:p w14:paraId="5556BB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BC8"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Fair Value </w:t>
            </w:r>
          </w:p>
          <w:p w14:paraId="5556BBC9"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as of December 31, 2018</w:t>
            </w:r>
            <w:r>
              <w:rPr>
                <w:rFonts w:ascii="Arial" w:eastAsia="宋体" w:hAnsi="Arial" w:cs="Arial"/>
                <w:b/>
                <w:bCs/>
                <w:sz w:val="8"/>
                <w:szCs w:val="8"/>
              </w:rPr>
              <w:t>(1)</w:t>
            </w:r>
          </w:p>
        </w:tc>
        <w:tc>
          <w:tcPr>
            <w:tcW w:w="0" w:type="auto"/>
            <w:shd w:val="clear" w:color="auto" w:fill="auto"/>
            <w:tcMar>
              <w:top w:w="40" w:type="dxa"/>
              <w:left w:w="40" w:type="dxa"/>
              <w:bottom w:w="40" w:type="dxa"/>
              <w:right w:w="40" w:type="dxa"/>
            </w:tcMar>
            <w:vAlign w:val="bottom"/>
          </w:tcPr>
          <w:p w14:paraId="5556BB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BBCB"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Change in Unrealized Gains (Losses) Related to Financial Instruments </w:t>
            </w:r>
          </w:p>
          <w:p w14:paraId="5556BBCC"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Held as of </w:t>
            </w:r>
          </w:p>
          <w:p w14:paraId="5556BBCD"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December 31, 2018</w:t>
            </w:r>
          </w:p>
        </w:tc>
      </w:tr>
      <w:tr w:rsidR="00F925DD" w14:paraId="5556BBE3" w14:textId="77777777">
        <w:tc>
          <w:tcPr>
            <w:tcW w:w="0" w:type="auto"/>
            <w:shd w:val="clear" w:color="auto" w:fill="auto"/>
            <w:tcMar>
              <w:top w:w="40" w:type="dxa"/>
              <w:left w:w="40" w:type="dxa"/>
              <w:bottom w:w="40" w:type="dxa"/>
              <w:right w:w="40" w:type="dxa"/>
            </w:tcMar>
            <w:vAlign w:val="bottom"/>
          </w:tcPr>
          <w:p w14:paraId="5556BBCF"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BD0"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BD2"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Recorded</w:t>
            </w:r>
            <w:r>
              <w:rPr>
                <w:rFonts w:ascii="Arial" w:eastAsia="宋体" w:hAnsi="Arial" w:cs="Arial"/>
                <w:b/>
                <w:bCs/>
                <w:sz w:val="12"/>
                <w:szCs w:val="12"/>
              </w:rPr>
              <w:br/>
              <w:t>in</w:t>
            </w:r>
            <w:r>
              <w:rPr>
                <w:rFonts w:ascii="Arial" w:eastAsia="宋体" w:hAnsi="Arial" w:cs="Arial"/>
                <w:b/>
                <w:bCs/>
                <w:sz w:val="12"/>
                <w:szCs w:val="12"/>
              </w:rPr>
              <w:br/>
              <w:t>Revenue</w:t>
            </w:r>
            <w:r>
              <w:rPr>
                <w:rFonts w:ascii="Arial" w:eastAsia="宋体" w:hAnsi="Arial" w:cs="Arial"/>
                <w:b/>
                <w:bCs/>
                <w:sz w:val="8"/>
                <w:szCs w:val="8"/>
              </w:rPr>
              <w:t>(1)</w:t>
            </w:r>
          </w:p>
        </w:tc>
        <w:tc>
          <w:tcPr>
            <w:tcW w:w="0" w:type="auto"/>
            <w:shd w:val="clear" w:color="auto" w:fill="auto"/>
            <w:tcMar>
              <w:top w:w="40" w:type="dxa"/>
              <w:left w:w="40" w:type="dxa"/>
              <w:bottom w:w="40" w:type="dxa"/>
              <w:right w:w="40" w:type="dxa"/>
            </w:tcMar>
            <w:vAlign w:val="bottom"/>
          </w:tcPr>
          <w:p w14:paraId="5556BB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BD4"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Recorded</w:t>
            </w:r>
            <w:r>
              <w:rPr>
                <w:rFonts w:ascii="Arial" w:eastAsia="宋体" w:hAnsi="Arial" w:cs="Arial"/>
                <w:b/>
                <w:bCs/>
                <w:sz w:val="12"/>
                <w:szCs w:val="12"/>
              </w:rPr>
              <w:br/>
              <w:t>in Other</w:t>
            </w:r>
            <w:r>
              <w:rPr>
                <w:rFonts w:ascii="Arial" w:eastAsia="宋体" w:hAnsi="Arial" w:cs="Arial"/>
                <w:b/>
                <w:bCs/>
                <w:sz w:val="12"/>
                <w:szCs w:val="12"/>
              </w:rPr>
              <w:br/>
              <w:t>Comprehensive</w:t>
            </w:r>
            <w:r>
              <w:rPr>
                <w:rFonts w:ascii="Arial" w:eastAsia="宋体" w:hAnsi="Arial" w:cs="Arial"/>
                <w:b/>
                <w:bCs/>
                <w:sz w:val="12"/>
                <w:szCs w:val="12"/>
              </w:rPr>
              <w:br/>
              <w:t>Income</w:t>
            </w:r>
            <w:r>
              <w:rPr>
                <w:rFonts w:ascii="Arial" w:eastAsia="宋体" w:hAnsi="Arial" w:cs="Arial"/>
                <w:b/>
                <w:bCs/>
                <w:sz w:val="8"/>
                <w:szCs w:val="8"/>
              </w:rPr>
              <w:t>(1)</w:t>
            </w:r>
          </w:p>
        </w:tc>
        <w:tc>
          <w:tcPr>
            <w:tcW w:w="0" w:type="auto"/>
            <w:shd w:val="clear" w:color="auto" w:fill="auto"/>
            <w:tcMar>
              <w:top w:w="40" w:type="dxa"/>
              <w:left w:w="40" w:type="dxa"/>
              <w:bottom w:w="40" w:type="dxa"/>
              <w:right w:w="40" w:type="dxa"/>
            </w:tcMar>
            <w:vAlign w:val="bottom"/>
          </w:tcPr>
          <w:p w14:paraId="5556BB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BD6"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BD8"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BDA"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BDC"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BDE"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BE0"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B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BBE2" w14:textId="77777777" w:rsidR="00F925DD" w:rsidRDefault="00F925DD">
            <w:pPr>
              <w:rPr>
                <w:rFonts w:ascii="Times New Roman" w:hAnsi="Times New Roman"/>
                <w:sz w:val="20"/>
                <w:szCs w:val="20"/>
              </w:rPr>
            </w:pPr>
          </w:p>
        </w:tc>
      </w:tr>
      <w:tr w:rsidR="00F925DD" w14:paraId="5556BBF8" w14:textId="77777777">
        <w:tc>
          <w:tcPr>
            <w:tcW w:w="0" w:type="auto"/>
            <w:shd w:val="clear" w:color="auto" w:fill="auto"/>
            <w:tcMar>
              <w:top w:w="40" w:type="dxa"/>
              <w:left w:w="40" w:type="dxa"/>
              <w:bottom w:w="40" w:type="dxa"/>
              <w:right w:w="40" w:type="dxa"/>
            </w:tcMar>
            <w:vAlign w:val="center"/>
          </w:tcPr>
          <w:p w14:paraId="5556BBE4" w14:textId="77777777" w:rsidR="00F925DD" w:rsidRDefault="00E705D7">
            <w:pPr>
              <w:textAlignment w:val="center"/>
              <w:rPr>
                <w:rFonts w:ascii="Times New Roman" w:hAnsi="Times New Roman"/>
                <w:sz w:val="12"/>
                <w:szCs w:val="12"/>
              </w:rPr>
            </w:pPr>
            <w:r>
              <w:rPr>
                <w:rFonts w:ascii="Arial" w:eastAsia="宋体" w:hAnsi="Arial" w:cs="Arial"/>
                <w:b/>
                <w:bCs/>
                <w:sz w:val="12"/>
                <w:szCs w:val="12"/>
              </w:rPr>
              <w:t>Assets:</w:t>
            </w:r>
          </w:p>
        </w:tc>
        <w:tc>
          <w:tcPr>
            <w:tcW w:w="0" w:type="auto"/>
            <w:gridSpan w:val="3"/>
            <w:shd w:val="clear" w:color="auto" w:fill="auto"/>
            <w:tcMar>
              <w:top w:w="40" w:type="dxa"/>
              <w:left w:w="40" w:type="dxa"/>
              <w:bottom w:w="40" w:type="dxa"/>
              <w:right w:w="40" w:type="dxa"/>
            </w:tcMar>
            <w:vAlign w:val="bottom"/>
          </w:tcPr>
          <w:p w14:paraId="5556BB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C0D" w14:textId="77777777">
        <w:tc>
          <w:tcPr>
            <w:tcW w:w="0" w:type="auto"/>
            <w:shd w:val="clear" w:color="auto" w:fill="auto"/>
            <w:tcMar>
              <w:top w:w="40" w:type="dxa"/>
              <w:left w:w="40" w:type="dxa"/>
              <w:bottom w:w="40" w:type="dxa"/>
              <w:right w:w="40" w:type="dxa"/>
            </w:tcMar>
            <w:vAlign w:val="center"/>
          </w:tcPr>
          <w:p w14:paraId="5556BBF9" w14:textId="77777777" w:rsidR="00F925DD" w:rsidRDefault="00E705D7">
            <w:pPr>
              <w:textAlignment w:val="center"/>
              <w:rPr>
                <w:rFonts w:ascii="Times New Roman" w:hAnsi="Times New Roman"/>
                <w:sz w:val="12"/>
                <w:szCs w:val="12"/>
              </w:rPr>
            </w:pPr>
            <w:r>
              <w:rPr>
                <w:rFonts w:ascii="Arial" w:eastAsia="宋体" w:hAnsi="Arial" w:cs="Arial"/>
                <w:sz w:val="12"/>
                <w:szCs w:val="12"/>
              </w:rPr>
              <w:t>Available-for-sale Investment securities:</w:t>
            </w:r>
          </w:p>
        </w:tc>
        <w:tc>
          <w:tcPr>
            <w:tcW w:w="0" w:type="auto"/>
            <w:gridSpan w:val="3"/>
            <w:shd w:val="clear" w:color="auto" w:fill="auto"/>
            <w:tcMar>
              <w:top w:w="40" w:type="dxa"/>
              <w:left w:w="40" w:type="dxa"/>
              <w:bottom w:w="40" w:type="dxa"/>
              <w:right w:w="40" w:type="dxa"/>
            </w:tcMar>
            <w:vAlign w:val="bottom"/>
          </w:tcPr>
          <w:p w14:paraId="5556BB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B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B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C22" w14:textId="77777777">
        <w:tc>
          <w:tcPr>
            <w:tcW w:w="0" w:type="auto"/>
            <w:shd w:val="clear" w:color="auto" w:fill="auto"/>
            <w:tcMar>
              <w:top w:w="40" w:type="dxa"/>
              <w:left w:w="40" w:type="dxa"/>
              <w:bottom w:w="40" w:type="dxa"/>
              <w:right w:w="40" w:type="dxa"/>
            </w:tcMar>
            <w:vAlign w:val="center"/>
          </w:tcPr>
          <w:p w14:paraId="5556BC0E" w14:textId="77777777" w:rsidR="00F925DD" w:rsidRDefault="00E705D7">
            <w:pPr>
              <w:textAlignment w:val="center"/>
              <w:rPr>
                <w:rFonts w:ascii="Times New Roman" w:hAnsi="Times New Roman"/>
                <w:sz w:val="12"/>
                <w:szCs w:val="12"/>
              </w:rPr>
            </w:pPr>
            <w:r>
              <w:rPr>
                <w:rFonts w:ascii="Arial" w:eastAsia="宋体" w:hAnsi="Arial" w:cs="Arial"/>
                <w:sz w:val="12"/>
                <w:szCs w:val="12"/>
              </w:rPr>
              <w:t>Asset-backed securities:</w:t>
            </w:r>
          </w:p>
        </w:tc>
        <w:tc>
          <w:tcPr>
            <w:tcW w:w="0" w:type="auto"/>
            <w:gridSpan w:val="3"/>
            <w:shd w:val="clear" w:color="auto" w:fill="auto"/>
            <w:tcMar>
              <w:top w:w="40" w:type="dxa"/>
              <w:left w:w="40" w:type="dxa"/>
              <w:bottom w:w="40" w:type="dxa"/>
              <w:right w:w="40" w:type="dxa"/>
            </w:tcMar>
            <w:vAlign w:val="bottom"/>
          </w:tcPr>
          <w:p w14:paraId="5556BC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C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BC49" w14:textId="77777777">
        <w:tc>
          <w:tcPr>
            <w:tcW w:w="0" w:type="auto"/>
            <w:shd w:val="clear" w:color="auto" w:fill="CCEEFF"/>
            <w:tcMar>
              <w:top w:w="40" w:type="dxa"/>
              <w:left w:w="240" w:type="dxa"/>
              <w:bottom w:w="40" w:type="dxa"/>
              <w:right w:w="40" w:type="dxa"/>
            </w:tcMar>
            <w:vAlign w:val="center"/>
          </w:tcPr>
          <w:p w14:paraId="5556BC23" w14:textId="77777777" w:rsidR="00F925DD" w:rsidRDefault="00E705D7">
            <w:pPr>
              <w:textAlignment w:val="center"/>
              <w:rPr>
                <w:rFonts w:ascii="Times New Roman" w:hAnsi="Times New Roman"/>
                <w:sz w:val="12"/>
                <w:szCs w:val="12"/>
              </w:rPr>
            </w:pPr>
            <w:r>
              <w:rPr>
                <w:rFonts w:ascii="Arial" w:eastAsia="宋体" w:hAnsi="Arial" w:cs="Arial"/>
                <w:sz w:val="12"/>
                <w:szCs w:val="12"/>
              </w:rPr>
              <w:t xml:space="preserve">Collateralized loan </w:t>
            </w:r>
            <w:r>
              <w:rPr>
                <w:rFonts w:ascii="Arial" w:eastAsia="宋体" w:hAnsi="Arial" w:cs="Arial"/>
                <w:sz w:val="12"/>
                <w:szCs w:val="12"/>
              </w:rPr>
              <w:t>obligations</w:t>
            </w:r>
          </w:p>
        </w:tc>
        <w:tc>
          <w:tcPr>
            <w:tcW w:w="0" w:type="auto"/>
            <w:shd w:val="clear" w:color="auto" w:fill="CCEEFF"/>
            <w:tcMar>
              <w:top w:w="40" w:type="dxa"/>
              <w:left w:w="40" w:type="dxa"/>
              <w:bottom w:w="40" w:type="dxa"/>
            </w:tcMar>
            <w:vAlign w:val="center"/>
          </w:tcPr>
          <w:p w14:paraId="5556BC24"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BC25"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1,358</w:t>
            </w:r>
          </w:p>
        </w:tc>
        <w:tc>
          <w:tcPr>
            <w:tcW w:w="0" w:type="auto"/>
            <w:shd w:val="clear" w:color="auto" w:fill="CCEEFF"/>
            <w:vAlign w:val="bottom"/>
          </w:tcPr>
          <w:p w14:paraId="5556BC2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C28"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BC29"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w:t>
            </w:r>
          </w:p>
        </w:tc>
        <w:tc>
          <w:tcPr>
            <w:tcW w:w="0" w:type="auto"/>
            <w:shd w:val="clear" w:color="auto" w:fill="CCEEFF"/>
            <w:vAlign w:val="bottom"/>
          </w:tcPr>
          <w:p w14:paraId="5556BC2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C2C"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BC2D"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(7</w:t>
            </w:r>
          </w:p>
        </w:tc>
        <w:tc>
          <w:tcPr>
            <w:tcW w:w="0" w:type="auto"/>
            <w:shd w:val="clear" w:color="auto" w:fill="CCEEFF"/>
            <w:tcMar>
              <w:top w:w="40" w:type="dxa"/>
              <w:bottom w:w="40" w:type="dxa"/>
              <w:right w:w="40" w:type="dxa"/>
            </w:tcMar>
            <w:vAlign w:val="center"/>
          </w:tcPr>
          <w:p w14:paraId="5556BC2E"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C30"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BC31"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351</w:t>
            </w:r>
          </w:p>
        </w:tc>
        <w:tc>
          <w:tcPr>
            <w:tcW w:w="0" w:type="auto"/>
            <w:shd w:val="clear" w:color="auto" w:fill="CCEEFF"/>
            <w:vAlign w:val="bottom"/>
          </w:tcPr>
          <w:p w14:paraId="5556BC3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C34"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BC35"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(636</w:t>
            </w:r>
          </w:p>
        </w:tc>
        <w:tc>
          <w:tcPr>
            <w:tcW w:w="0" w:type="auto"/>
            <w:shd w:val="clear" w:color="auto" w:fill="CCEEFF"/>
            <w:tcMar>
              <w:top w:w="40" w:type="dxa"/>
              <w:bottom w:w="40" w:type="dxa"/>
              <w:right w:w="40" w:type="dxa"/>
            </w:tcMar>
            <w:vAlign w:val="center"/>
          </w:tcPr>
          <w:p w14:paraId="5556BC36"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C38"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BC39"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(268</w:t>
            </w:r>
          </w:p>
        </w:tc>
        <w:tc>
          <w:tcPr>
            <w:tcW w:w="0" w:type="auto"/>
            <w:shd w:val="clear" w:color="auto" w:fill="CCEEFF"/>
            <w:tcMar>
              <w:top w:w="40" w:type="dxa"/>
              <w:bottom w:w="40" w:type="dxa"/>
              <w:right w:w="40" w:type="dxa"/>
            </w:tcMar>
            <w:vAlign w:val="center"/>
          </w:tcPr>
          <w:p w14:paraId="5556BC3A"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C3C"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BC3D"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5556BC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C40"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BC41"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(209</w:t>
            </w:r>
          </w:p>
        </w:tc>
        <w:tc>
          <w:tcPr>
            <w:tcW w:w="0" w:type="auto"/>
            <w:shd w:val="clear" w:color="auto" w:fill="CCEEFF"/>
            <w:tcMar>
              <w:top w:w="40" w:type="dxa"/>
              <w:bottom w:w="40" w:type="dxa"/>
              <w:right w:w="40" w:type="dxa"/>
            </w:tcMar>
            <w:vAlign w:val="center"/>
          </w:tcPr>
          <w:p w14:paraId="5556BC42"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BC44"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BC45"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593</w:t>
            </w:r>
          </w:p>
        </w:tc>
        <w:tc>
          <w:tcPr>
            <w:tcW w:w="0" w:type="auto"/>
            <w:shd w:val="clear" w:color="auto" w:fill="CCEEFF"/>
            <w:vAlign w:val="bottom"/>
          </w:tcPr>
          <w:p w14:paraId="5556BC4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C67" w14:textId="77777777">
        <w:tc>
          <w:tcPr>
            <w:tcW w:w="0" w:type="auto"/>
            <w:shd w:val="clear" w:color="auto" w:fill="auto"/>
            <w:tcMar>
              <w:top w:w="40" w:type="dxa"/>
              <w:left w:w="40" w:type="dxa"/>
              <w:bottom w:w="40" w:type="dxa"/>
              <w:right w:w="40" w:type="dxa"/>
            </w:tcMar>
            <w:vAlign w:val="center"/>
          </w:tcPr>
          <w:p w14:paraId="5556BC4A" w14:textId="77777777" w:rsidR="00F925DD" w:rsidRDefault="00E705D7">
            <w:pPr>
              <w:textAlignment w:val="center"/>
              <w:rPr>
                <w:rFonts w:ascii="Times New Roman" w:hAnsi="Times New Roman"/>
                <w:sz w:val="12"/>
                <w:szCs w:val="12"/>
              </w:rPr>
            </w:pPr>
            <w:r>
              <w:rPr>
                <w:rFonts w:ascii="Arial" w:eastAsia="宋体" w:hAnsi="Arial" w:cs="Arial"/>
                <w:sz w:val="12"/>
                <w:szCs w:val="12"/>
              </w:rPr>
              <w:t>Total asset-backed securities</w:t>
            </w:r>
          </w:p>
        </w:tc>
        <w:tc>
          <w:tcPr>
            <w:tcW w:w="0" w:type="auto"/>
            <w:gridSpan w:val="2"/>
            <w:tcBorders>
              <w:top w:val="single" w:sz="8" w:space="0" w:color="000000"/>
            </w:tcBorders>
            <w:shd w:val="clear" w:color="auto" w:fill="auto"/>
            <w:tcMar>
              <w:top w:w="40" w:type="dxa"/>
              <w:left w:w="40" w:type="dxa"/>
              <w:bottom w:w="40" w:type="dxa"/>
            </w:tcMar>
            <w:vAlign w:val="center"/>
          </w:tcPr>
          <w:p w14:paraId="5556BC4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1,358</w:t>
            </w:r>
          </w:p>
        </w:tc>
        <w:tc>
          <w:tcPr>
            <w:tcW w:w="0" w:type="auto"/>
            <w:tcBorders>
              <w:top w:val="single" w:sz="8" w:space="0" w:color="000000"/>
            </w:tcBorders>
            <w:shd w:val="clear" w:color="auto" w:fill="auto"/>
            <w:vAlign w:val="bottom"/>
          </w:tcPr>
          <w:p w14:paraId="5556BC4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C4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w:t>
            </w:r>
          </w:p>
        </w:tc>
        <w:tc>
          <w:tcPr>
            <w:tcW w:w="0" w:type="auto"/>
            <w:tcBorders>
              <w:top w:val="single" w:sz="8" w:space="0" w:color="000000"/>
            </w:tcBorders>
            <w:shd w:val="clear" w:color="auto" w:fill="auto"/>
            <w:vAlign w:val="bottom"/>
          </w:tcPr>
          <w:p w14:paraId="5556BC4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C51"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(7</w:t>
            </w:r>
          </w:p>
        </w:tc>
        <w:tc>
          <w:tcPr>
            <w:tcW w:w="0" w:type="auto"/>
            <w:tcBorders>
              <w:top w:val="single" w:sz="8" w:space="0" w:color="000000"/>
            </w:tcBorders>
            <w:shd w:val="clear" w:color="auto" w:fill="auto"/>
            <w:tcMar>
              <w:top w:w="40" w:type="dxa"/>
              <w:bottom w:w="40" w:type="dxa"/>
              <w:right w:w="40" w:type="dxa"/>
            </w:tcMar>
            <w:vAlign w:val="center"/>
          </w:tcPr>
          <w:p w14:paraId="5556BC52"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C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C54"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351</w:t>
            </w:r>
          </w:p>
        </w:tc>
        <w:tc>
          <w:tcPr>
            <w:tcW w:w="0" w:type="auto"/>
            <w:tcBorders>
              <w:top w:val="single" w:sz="8" w:space="0" w:color="000000"/>
            </w:tcBorders>
            <w:shd w:val="clear" w:color="auto" w:fill="auto"/>
            <w:vAlign w:val="bottom"/>
          </w:tcPr>
          <w:p w14:paraId="5556BC5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C57"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(636</w:t>
            </w:r>
          </w:p>
        </w:tc>
        <w:tc>
          <w:tcPr>
            <w:tcW w:w="0" w:type="auto"/>
            <w:tcBorders>
              <w:top w:val="single" w:sz="8" w:space="0" w:color="000000"/>
            </w:tcBorders>
            <w:shd w:val="clear" w:color="auto" w:fill="auto"/>
            <w:tcMar>
              <w:top w:w="40" w:type="dxa"/>
              <w:bottom w:w="40" w:type="dxa"/>
              <w:right w:w="40" w:type="dxa"/>
            </w:tcMar>
            <w:vAlign w:val="center"/>
          </w:tcPr>
          <w:p w14:paraId="5556BC58"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C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C5A"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(268</w:t>
            </w:r>
          </w:p>
        </w:tc>
        <w:tc>
          <w:tcPr>
            <w:tcW w:w="0" w:type="auto"/>
            <w:tcBorders>
              <w:top w:val="single" w:sz="8" w:space="0" w:color="000000"/>
            </w:tcBorders>
            <w:shd w:val="clear" w:color="auto" w:fill="auto"/>
            <w:tcMar>
              <w:top w:w="40" w:type="dxa"/>
              <w:bottom w:w="40" w:type="dxa"/>
              <w:right w:w="40" w:type="dxa"/>
            </w:tcMar>
            <w:vAlign w:val="center"/>
          </w:tcPr>
          <w:p w14:paraId="5556BC5B"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C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C5D"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tcBorders>
            <w:shd w:val="clear" w:color="auto" w:fill="auto"/>
            <w:vAlign w:val="bottom"/>
          </w:tcPr>
          <w:p w14:paraId="5556BC5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C60"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(209</w:t>
            </w:r>
          </w:p>
        </w:tc>
        <w:tc>
          <w:tcPr>
            <w:tcW w:w="0" w:type="auto"/>
            <w:tcBorders>
              <w:top w:val="single" w:sz="8" w:space="0" w:color="000000"/>
            </w:tcBorders>
            <w:shd w:val="clear" w:color="auto" w:fill="auto"/>
            <w:tcMar>
              <w:top w:w="40" w:type="dxa"/>
              <w:bottom w:w="40" w:type="dxa"/>
              <w:right w:w="40" w:type="dxa"/>
            </w:tcMar>
            <w:vAlign w:val="center"/>
          </w:tcPr>
          <w:p w14:paraId="5556BC61"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C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C63"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593</w:t>
            </w:r>
          </w:p>
        </w:tc>
        <w:tc>
          <w:tcPr>
            <w:tcW w:w="0" w:type="auto"/>
            <w:tcBorders>
              <w:top w:val="single" w:sz="8" w:space="0" w:color="000000"/>
            </w:tcBorders>
            <w:shd w:val="clear" w:color="auto" w:fill="auto"/>
            <w:vAlign w:val="bottom"/>
          </w:tcPr>
          <w:p w14:paraId="5556BC6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C7C" w14:textId="77777777">
        <w:tc>
          <w:tcPr>
            <w:tcW w:w="0" w:type="auto"/>
            <w:shd w:val="clear" w:color="auto" w:fill="CCEEFF"/>
            <w:tcMar>
              <w:top w:w="40" w:type="dxa"/>
              <w:left w:w="40" w:type="dxa"/>
              <w:bottom w:w="40" w:type="dxa"/>
              <w:right w:w="40" w:type="dxa"/>
            </w:tcMar>
            <w:vAlign w:val="center"/>
          </w:tcPr>
          <w:p w14:paraId="5556BC68" w14:textId="77777777" w:rsidR="00F925DD" w:rsidRDefault="00E705D7">
            <w:pPr>
              <w:textAlignment w:val="center"/>
              <w:rPr>
                <w:rFonts w:ascii="Times New Roman" w:hAnsi="Times New Roman"/>
                <w:sz w:val="12"/>
                <w:szCs w:val="12"/>
              </w:rPr>
            </w:pPr>
            <w:r>
              <w:rPr>
                <w:rFonts w:ascii="Arial" w:eastAsia="宋体" w:hAnsi="Arial" w:cs="Arial"/>
                <w:sz w:val="12"/>
                <w:szCs w:val="12"/>
              </w:rPr>
              <w:t>Non-U.S. debt securities:</w:t>
            </w:r>
          </w:p>
        </w:tc>
        <w:tc>
          <w:tcPr>
            <w:tcW w:w="0" w:type="auto"/>
            <w:gridSpan w:val="3"/>
            <w:shd w:val="clear" w:color="auto" w:fill="CCEEFF"/>
            <w:tcMar>
              <w:top w:w="40" w:type="dxa"/>
              <w:left w:w="40" w:type="dxa"/>
              <w:bottom w:w="40" w:type="dxa"/>
              <w:right w:w="40" w:type="dxa"/>
            </w:tcMar>
            <w:vAlign w:val="bottom"/>
          </w:tcPr>
          <w:p w14:paraId="5556BC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C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C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C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C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C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C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C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C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C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C9A" w14:textId="77777777">
        <w:tc>
          <w:tcPr>
            <w:tcW w:w="0" w:type="auto"/>
            <w:shd w:val="clear" w:color="auto" w:fill="auto"/>
            <w:tcMar>
              <w:top w:w="40" w:type="dxa"/>
              <w:left w:w="240" w:type="dxa"/>
              <w:bottom w:w="40" w:type="dxa"/>
              <w:right w:w="40" w:type="dxa"/>
            </w:tcMar>
            <w:vAlign w:val="center"/>
          </w:tcPr>
          <w:p w14:paraId="5556BC7D" w14:textId="77777777" w:rsidR="00F925DD" w:rsidRDefault="00E705D7">
            <w:pPr>
              <w:textAlignment w:val="center"/>
              <w:rPr>
                <w:rFonts w:ascii="Times New Roman" w:hAnsi="Times New Roman"/>
                <w:sz w:val="12"/>
                <w:szCs w:val="12"/>
              </w:rPr>
            </w:pPr>
            <w:r>
              <w:rPr>
                <w:rFonts w:ascii="Arial" w:eastAsia="宋体" w:hAnsi="Arial" w:cs="Arial"/>
                <w:sz w:val="12"/>
                <w:szCs w:val="12"/>
              </w:rPr>
              <w:t>Mortgage-backed securities</w:t>
            </w:r>
          </w:p>
        </w:tc>
        <w:tc>
          <w:tcPr>
            <w:tcW w:w="0" w:type="auto"/>
            <w:gridSpan w:val="2"/>
            <w:shd w:val="clear" w:color="auto" w:fill="auto"/>
            <w:tcMar>
              <w:top w:w="40" w:type="dxa"/>
              <w:left w:w="40" w:type="dxa"/>
              <w:bottom w:w="40" w:type="dxa"/>
            </w:tcMar>
            <w:vAlign w:val="center"/>
          </w:tcPr>
          <w:p w14:paraId="5556BC7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119</w:t>
            </w:r>
          </w:p>
        </w:tc>
        <w:tc>
          <w:tcPr>
            <w:tcW w:w="0" w:type="auto"/>
            <w:shd w:val="clear" w:color="auto" w:fill="auto"/>
            <w:vAlign w:val="bottom"/>
          </w:tcPr>
          <w:p w14:paraId="5556BC7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81"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8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84"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8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87"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8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8A"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8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8D"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8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90"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9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93"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(119</w:t>
            </w:r>
          </w:p>
        </w:tc>
        <w:tc>
          <w:tcPr>
            <w:tcW w:w="0" w:type="auto"/>
            <w:shd w:val="clear" w:color="auto" w:fill="auto"/>
            <w:tcMar>
              <w:top w:w="40" w:type="dxa"/>
              <w:bottom w:w="40" w:type="dxa"/>
              <w:right w:w="40" w:type="dxa"/>
            </w:tcMar>
            <w:vAlign w:val="center"/>
          </w:tcPr>
          <w:p w14:paraId="5556BC94"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C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96"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9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CB8" w14:textId="77777777">
        <w:tc>
          <w:tcPr>
            <w:tcW w:w="0" w:type="auto"/>
            <w:shd w:val="clear" w:color="auto" w:fill="CCEEFF"/>
            <w:tcMar>
              <w:top w:w="40" w:type="dxa"/>
              <w:left w:w="240" w:type="dxa"/>
              <w:bottom w:w="40" w:type="dxa"/>
              <w:right w:w="40" w:type="dxa"/>
            </w:tcMar>
            <w:vAlign w:val="center"/>
          </w:tcPr>
          <w:p w14:paraId="5556BC9B" w14:textId="77777777" w:rsidR="00F925DD" w:rsidRDefault="00E705D7">
            <w:pPr>
              <w:textAlignment w:val="center"/>
              <w:rPr>
                <w:rFonts w:ascii="Times New Roman" w:hAnsi="Times New Roman"/>
                <w:sz w:val="12"/>
                <w:szCs w:val="12"/>
              </w:rPr>
            </w:pPr>
            <w:r>
              <w:rPr>
                <w:rFonts w:ascii="Arial" w:eastAsia="宋体" w:hAnsi="Arial" w:cs="Arial"/>
                <w:sz w:val="12"/>
                <w:szCs w:val="12"/>
              </w:rPr>
              <w:t>Asset-backed securities</w:t>
            </w:r>
          </w:p>
        </w:tc>
        <w:tc>
          <w:tcPr>
            <w:tcW w:w="0" w:type="auto"/>
            <w:gridSpan w:val="2"/>
            <w:shd w:val="clear" w:color="auto" w:fill="CCEEFF"/>
            <w:tcMar>
              <w:top w:w="40" w:type="dxa"/>
              <w:left w:w="40" w:type="dxa"/>
              <w:bottom w:w="40" w:type="dxa"/>
            </w:tcMar>
            <w:vAlign w:val="center"/>
          </w:tcPr>
          <w:p w14:paraId="5556BC9C"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402</w:t>
            </w:r>
          </w:p>
        </w:tc>
        <w:tc>
          <w:tcPr>
            <w:tcW w:w="0" w:type="auto"/>
            <w:shd w:val="clear" w:color="auto" w:fill="CCEEFF"/>
            <w:vAlign w:val="bottom"/>
          </w:tcPr>
          <w:p w14:paraId="5556BC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C9F"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5556BC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CA2"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(14</w:t>
            </w:r>
          </w:p>
        </w:tc>
        <w:tc>
          <w:tcPr>
            <w:tcW w:w="0" w:type="auto"/>
            <w:shd w:val="clear" w:color="auto" w:fill="CCEEFF"/>
            <w:tcMar>
              <w:top w:w="40" w:type="dxa"/>
              <w:bottom w:w="40" w:type="dxa"/>
              <w:right w:w="40" w:type="dxa"/>
            </w:tcMar>
            <w:vAlign w:val="center"/>
          </w:tcPr>
          <w:p w14:paraId="5556BCA3"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CA5"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495</w:t>
            </w:r>
          </w:p>
        </w:tc>
        <w:tc>
          <w:tcPr>
            <w:tcW w:w="0" w:type="auto"/>
            <w:shd w:val="clear" w:color="auto" w:fill="CCEEFF"/>
            <w:vAlign w:val="bottom"/>
          </w:tcPr>
          <w:p w14:paraId="5556BCA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CA8"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(310</w:t>
            </w:r>
          </w:p>
        </w:tc>
        <w:tc>
          <w:tcPr>
            <w:tcW w:w="0" w:type="auto"/>
            <w:shd w:val="clear" w:color="auto" w:fill="CCEEFF"/>
            <w:tcMar>
              <w:top w:w="40" w:type="dxa"/>
              <w:bottom w:w="40" w:type="dxa"/>
              <w:right w:w="40" w:type="dxa"/>
            </w:tcMar>
            <w:vAlign w:val="center"/>
          </w:tcPr>
          <w:p w14:paraId="5556BCA9"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CA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(56</w:t>
            </w:r>
          </w:p>
        </w:tc>
        <w:tc>
          <w:tcPr>
            <w:tcW w:w="0" w:type="auto"/>
            <w:shd w:val="clear" w:color="auto" w:fill="CCEEFF"/>
            <w:tcMar>
              <w:top w:w="40" w:type="dxa"/>
              <w:bottom w:w="40" w:type="dxa"/>
              <w:right w:w="40" w:type="dxa"/>
            </w:tcMar>
            <w:vAlign w:val="center"/>
          </w:tcPr>
          <w:p w14:paraId="5556BCAC"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CA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114</w:t>
            </w:r>
          </w:p>
        </w:tc>
        <w:tc>
          <w:tcPr>
            <w:tcW w:w="0" w:type="auto"/>
            <w:shd w:val="clear" w:color="auto" w:fill="CCEEFF"/>
            <w:vAlign w:val="bottom"/>
          </w:tcPr>
          <w:p w14:paraId="5556BCA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CB1"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5556BC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CB4"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631</w:t>
            </w:r>
          </w:p>
        </w:tc>
        <w:tc>
          <w:tcPr>
            <w:tcW w:w="0" w:type="auto"/>
            <w:shd w:val="clear" w:color="auto" w:fill="CCEEFF"/>
            <w:vAlign w:val="bottom"/>
          </w:tcPr>
          <w:p w14:paraId="5556BC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CD6" w14:textId="77777777">
        <w:tc>
          <w:tcPr>
            <w:tcW w:w="0" w:type="auto"/>
            <w:shd w:val="clear" w:color="auto" w:fill="auto"/>
            <w:tcMar>
              <w:top w:w="40" w:type="dxa"/>
              <w:left w:w="240" w:type="dxa"/>
              <w:bottom w:w="40" w:type="dxa"/>
              <w:right w:w="40" w:type="dxa"/>
            </w:tcMar>
            <w:vAlign w:val="center"/>
          </w:tcPr>
          <w:p w14:paraId="5556BCB9" w14:textId="77777777" w:rsidR="00F925DD" w:rsidRDefault="00E705D7">
            <w:pPr>
              <w:textAlignment w:val="center"/>
              <w:rPr>
                <w:rFonts w:ascii="Times New Roman" w:hAnsi="Times New Roman"/>
                <w:sz w:val="12"/>
                <w:szCs w:val="12"/>
              </w:rPr>
            </w:pPr>
            <w:r>
              <w:rPr>
                <w:rFonts w:ascii="Arial" w:eastAsia="宋体" w:hAnsi="Arial" w:cs="Arial"/>
                <w:sz w:val="12"/>
                <w:szCs w:val="12"/>
              </w:rPr>
              <w:t>Other</w:t>
            </w:r>
          </w:p>
        </w:tc>
        <w:tc>
          <w:tcPr>
            <w:tcW w:w="0" w:type="auto"/>
            <w:gridSpan w:val="2"/>
            <w:shd w:val="clear" w:color="auto" w:fill="auto"/>
            <w:tcMar>
              <w:top w:w="40" w:type="dxa"/>
              <w:left w:w="40" w:type="dxa"/>
              <w:bottom w:w="40" w:type="dxa"/>
            </w:tcMar>
            <w:vAlign w:val="center"/>
          </w:tcPr>
          <w:p w14:paraId="5556BCBA"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204</w:t>
            </w:r>
          </w:p>
        </w:tc>
        <w:tc>
          <w:tcPr>
            <w:tcW w:w="0" w:type="auto"/>
            <w:shd w:val="clear" w:color="auto" w:fill="auto"/>
            <w:vAlign w:val="bottom"/>
          </w:tcPr>
          <w:p w14:paraId="5556BCB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BD"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B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C0"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(6</w:t>
            </w:r>
          </w:p>
        </w:tc>
        <w:tc>
          <w:tcPr>
            <w:tcW w:w="0" w:type="auto"/>
            <w:shd w:val="clear" w:color="auto" w:fill="auto"/>
            <w:tcMar>
              <w:top w:w="40" w:type="dxa"/>
              <w:bottom w:w="40" w:type="dxa"/>
              <w:right w:w="40" w:type="dxa"/>
            </w:tcMar>
            <w:vAlign w:val="center"/>
          </w:tcPr>
          <w:p w14:paraId="5556BCC1"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C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C3"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13</w:t>
            </w:r>
          </w:p>
        </w:tc>
        <w:tc>
          <w:tcPr>
            <w:tcW w:w="0" w:type="auto"/>
            <w:shd w:val="clear" w:color="auto" w:fill="auto"/>
            <w:vAlign w:val="bottom"/>
          </w:tcPr>
          <w:p w14:paraId="5556BCC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C6"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(59</w:t>
            </w:r>
          </w:p>
        </w:tc>
        <w:tc>
          <w:tcPr>
            <w:tcW w:w="0" w:type="auto"/>
            <w:shd w:val="clear" w:color="auto" w:fill="auto"/>
            <w:tcMar>
              <w:top w:w="40" w:type="dxa"/>
              <w:bottom w:w="40" w:type="dxa"/>
              <w:right w:w="40" w:type="dxa"/>
            </w:tcMar>
            <w:vAlign w:val="center"/>
          </w:tcPr>
          <w:p w14:paraId="5556BCC7"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C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C9"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(30</w:t>
            </w:r>
          </w:p>
        </w:tc>
        <w:tc>
          <w:tcPr>
            <w:tcW w:w="0" w:type="auto"/>
            <w:shd w:val="clear" w:color="auto" w:fill="auto"/>
            <w:tcMar>
              <w:top w:w="40" w:type="dxa"/>
              <w:bottom w:w="40" w:type="dxa"/>
              <w:right w:w="40" w:type="dxa"/>
            </w:tcMar>
            <w:vAlign w:val="center"/>
          </w:tcPr>
          <w:p w14:paraId="5556BCCA"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C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CC"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C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CF"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(64</w:t>
            </w:r>
          </w:p>
        </w:tc>
        <w:tc>
          <w:tcPr>
            <w:tcW w:w="0" w:type="auto"/>
            <w:shd w:val="clear" w:color="auto" w:fill="auto"/>
            <w:tcMar>
              <w:top w:w="40" w:type="dxa"/>
              <w:bottom w:w="40" w:type="dxa"/>
              <w:right w:w="40" w:type="dxa"/>
            </w:tcMar>
            <w:vAlign w:val="center"/>
          </w:tcPr>
          <w:p w14:paraId="5556BCD0"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C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D2"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58</w:t>
            </w:r>
          </w:p>
        </w:tc>
        <w:tc>
          <w:tcPr>
            <w:tcW w:w="0" w:type="auto"/>
            <w:shd w:val="clear" w:color="auto" w:fill="auto"/>
            <w:vAlign w:val="bottom"/>
          </w:tcPr>
          <w:p w14:paraId="5556BCD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C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CF4" w14:textId="77777777">
        <w:tc>
          <w:tcPr>
            <w:tcW w:w="0" w:type="auto"/>
            <w:shd w:val="clear" w:color="auto" w:fill="CCEEFF"/>
            <w:tcMar>
              <w:top w:w="40" w:type="dxa"/>
              <w:left w:w="40" w:type="dxa"/>
              <w:bottom w:w="40" w:type="dxa"/>
              <w:right w:w="40" w:type="dxa"/>
            </w:tcMar>
            <w:vAlign w:val="center"/>
          </w:tcPr>
          <w:p w14:paraId="5556BCD7" w14:textId="77777777" w:rsidR="00F925DD" w:rsidRDefault="00E705D7">
            <w:pPr>
              <w:textAlignment w:val="center"/>
              <w:rPr>
                <w:rFonts w:ascii="Times New Roman" w:hAnsi="Times New Roman"/>
                <w:sz w:val="12"/>
                <w:szCs w:val="12"/>
              </w:rPr>
            </w:pPr>
            <w:r>
              <w:rPr>
                <w:rFonts w:ascii="Arial" w:eastAsia="宋体" w:hAnsi="Arial" w:cs="Arial"/>
                <w:sz w:val="12"/>
                <w:szCs w:val="12"/>
              </w:rPr>
              <w:t>Total non-U.S. debt securities</w:t>
            </w:r>
          </w:p>
        </w:tc>
        <w:tc>
          <w:tcPr>
            <w:tcW w:w="0" w:type="auto"/>
            <w:gridSpan w:val="2"/>
            <w:tcBorders>
              <w:top w:val="single" w:sz="8" w:space="0" w:color="000000"/>
            </w:tcBorders>
            <w:shd w:val="clear" w:color="auto" w:fill="CCEEFF"/>
            <w:tcMar>
              <w:top w:w="40" w:type="dxa"/>
              <w:left w:w="40" w:type="dxa"/>
              <w:bottom w:w="40" w:type="dxa"/>
            </w:tcMar>
            <w:vAlign w:val="center"/>
          </w:tcPr>
          <w:p w14:paraId="5556BCD8"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725</w:t>
            </w:r>
          </w:p>
        </w:tc>
        <w:tc>
          <w:tcPr>
            <w:tcW w:w="0" w:type="auto"/>
            <w:tcBorders>
              <w:top w:val="single" w:sz="8" w:space="0" w:color="000000"/>
            </w:tcBorders>
            <w:shd w:val="clear" w:color="auto" w:fill="CCEEFF"/>
            <w:vAlign w:val="bottom"/>
          </w:tcPr>
          <w:p w14:paraId="5556BCD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CD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tcBorders>
            <w:shd w:val="clear" w:color="auto" w:fill="CCEEFF"/>
            <w:vAlign w:val="bottom"/>
          </w:tcPr>
          <w:p w14:paraId="5556BCD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CD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(20</w:t>
            </w:r>
          </w:p>
        </w:tc>
        <w:tc>
          <w:tcPr>
            <w:tcW w:w="0" w:type="auto"/>
            <w:tcBorders>
              <w:top w:val="single" w:sz="8" w:space="0" w:color="000000"/>
            </w:tcBorders>
            <w:shd w:val="clear" w:color="auto" w:fill="CCEEFF"/>
            <w:tcMar>
              <w:top w:w="40" w:type="dxa"/>
              <w:bottom w:w="40" w:type="dxa"/>
              <w:right w:w="40" w:type="dxa"/>
            </w:tcMar>
            <w:vAlign w:val="center"/>
          </w:tcPr>
          <w:p w14:paraId="5556BCDF"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CE1"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508</w:t>
            </w:r>
          </w:p>
        </w:tc>
        <w:tc>
          <w:tcPr>
            <w:tcW w:w="0" w:type="auto"/>
            <w:tcBorders>
              <w:top w:val="single" w:sz="8" w:space="0" w:color="000000"/>
            </w:tcBorders>
            <w:shd w:val="clear" w:color="auto" w:fill="CCEEFF"/>
            <w:vAlign w:val="bottom"/>
          </w:tcPr>
          <w:p w14:paraId="5556BC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CE4"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(369</w:t>
            </w:r>
          </w:p>
        </w:tc>
        <w:tc>
          <w:tcPr>
            <w:tcW w:w="0" w:type="auto"/>
            <w:tcBorders>
              <w:top w:val="single" w:sz="8" w:space="0" w:color="000000"/>
            </w:tcBorders>
            <w:shd w:val="clear" w:color="auto" w:fill="CCEEFF"/>
            <w:tcMar>
              <w:top w:w="40" w:type="dxa"/>
              <w:bottom w:w="40" w:type="dxa"/>
              <w:right w:w="40" w:type="dxa"/>
            </w:tcMar>
            <w:vAlign w:val="center"/>
          </w:tcPr>
          <w:p w14:paraId="5556BCE5"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CE7"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(86</w:t>
            </w:r>
          </w:p>
        </w:tc>
        <w:tc>
          <w:tcPr>
            <w:tcW w:w="0" w:type="auto"/>
            <w:tcBorders>
              <w:top w:val="single" w:sz="8" w:space="0" w:color="000000"/>
            </w:tcBorders>
            <w:shd w:val="clear" w:color="auto" w:fill="CCEEFF"/>
            <w:tcMar>
              <w:top w:w="40" w:type="dxa"/>
              <w:bottom w:w="40" w:type="dxa"/>
              <w:right w:w="40" w:type="dxa"/>
            </w:tcMar>
            <w:vAlign w:val="center"/>
          </w:tcPr>
          <w:p w14:paraId="5556BCE8"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CEA"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114</w:t>
            </w:r>
          </w:p>
        </w:tc>
        <w:tc>
          <w:tcPr>
            <w:tcW w:w="0" w:type="auto"/>
            <w:tcBorders>
              <w:top w:val="single" w:sz="8" w:space="0" w:color="000000"/>
            </w:tcBorders>
            <w:shd w:val="clear" w:color="auto" w:fill="CCEEFF"/>
            <w:vAlign w:val="bottom"/>
          </w:tcPr>
          <w:p w14:paraId="5556BCE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CED"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(183</w:t>
            </w:r>
          </w:p>
        </w:tc>
        <w:tc>
          <w:tcPr>
            <w:tcW w:w="0" w:type="auto"/>
            <w:tcBorders>
              <w:top w:val="single" w:sz="8" w:space="0" w:color="000000"/>
            </w:tcBorders>
            <w:shd w:val="clear" w:color="auto" w:fill="CCEEFF"/>
            <w:tcMar>
              <w:top w:w="40" w:type="dxa"/>
              <w:bottom w:w="40" w:type="dxa"/>
              <w:right w:w="40" w:type="dxa"/>
            </w:tcMar>
            <w:vAlign w:val="center"/>
          </w:tcPr>
          <w:p w14:paraId="5556BCEE"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C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5556BCF0"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689</w:t>
            </w:r>
          </w:p>
        </w:tc>
        <w:tc>
          <w:tcPr>
            <w:tcW w:w="0" w:type="auto"/>
            <w:tcBorders>
              <w:top w:val="single" w:sz="8" w:space="0" w:color="000000"/>
            </w:tcBorders>
            <w:shd w:val="clear" w:color="auto" w:fill="CCEEFF"/>
            <w:vAlign w:val="bottom"/>
          </w:tcPr>
          <w:p w14:paraId="5556BC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C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C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D12" w14:textId="77777777">
        <w:tc>
          <w:tcPr>
            <w:tcW w:w="0" w:type="auto"/>
            <w:shd w:val="clear" w:color="auto" w:fill="auto"/>
            <w:tcMar>
              <w:top w:w="40" w:type="dxa"/>
              <w:left w:w="40" w:type="dxa"/>
              <w:bottom w:w="40" w:type="dxa"/>
              <w:right w:w="40" w:type="dxa"/>
            </w:tcMar>
            <w:vAlign w:val="center"/>
          </w:tcPr>
          <w:p w14:paraId="5556BCF5" w14:textId="77777777" w:rsidR="00F925DD" w:rsidRDefault="00E705D7">
            <w:pPr>
              <w:textAlignment w:val="center"/>
              <w:rPr>
                <w:rFonts w:ascii="Times New Roman" w:hAnsi="Times New Roman"/>
                <w:sz w:val="12"/>
                <w:szCs w:val="12"/>
              </w:rPr>
            </w:pPr>
            <w:r>
              <w:rPr>
                <w:rFonts w:ascii="Arial" w:eastAsia="宋体" w:hAnsi="Arial" w:cs="Arial"/>
                <w:sz w:val="12"/>
                <w:szCs w:val="12"/>
              </w:rPr>
              <w:t xml:space="preserve">State and </w:t>
            </w:r>
            <w:r>
              <w:rPr>
                <w:rFonts w:ascii="Arial" w:eastAsia="宋体" w:hAnsi="Arial" w:cs="Arial"/>
                <w:sz w:val="12"/>
                <w:szCs w:val="12"/>
              </w:rPr>
              <w:t>political subdivisions</w:t>
            </w:r>
          </w:p>
        </w:tc>
        <w:tc>
          <w:tcPr>
            <w:tcW w:w="0" w:type="auto"/>
            <w:gridSpan w:val="2"/>
            <w:shd w:val="clear" w:color="auto" w:fill="auto"/>
            <w:tcMar>
              <w:top w:w="40" w:type="dxa"/>
              <w:left w:w="40" w:type="dxa"/>
              <w:bottom w:w="40" w:type="dxa"/>
            </w:tcMar>
            <w:vAlign w:val="center"/>
          </w:tcPr>
          <w:p w14:paraId="5556BCF6"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43</w:t>
            </w:r>
          </w:p>
        </w:tc>
        <w:tc>
          <w:tcPr>
            <w:tcW w:w="0" w:type="auto"/>
            <w:shd w:val="clear" w:color="auto" w:fill="auto"/>
            <w:vAlign w:val="bottom"/>
          </w:tcPr>
          <w:p w14:paraId="5556BCF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F9"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F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FC"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C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C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CFF"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D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02"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(37</w:t>
            </w:r>
          </w:p>
        </w:tc>
        <w:tc>
          <w:tcPr>
            <w:tcW w:w="0" w:type="auto"/>
            <w:shd w:val="clear" w:color="auto" w:fill="auto"/>
            <w:tcMar>
              <w:top w:w="40" w:type="dxa"/>
              <w:bottom w:w="40" w:type="dxa"/>
              <w:right w:w="40" w:type="dxa"/>
            </w:tcMar>
            <w:vAlign w:val="center"/>
          </w:tcPr>
          <w:p w14:paraId="5556BD03"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D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05"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w:t>
            </w:r>
          </w:p>
        </w:tc>
        <w:tc>
          <w:tcPr>
            <w:tcW w:w="0" w:type="auto"/>
            <w:shd w:val="clear" w:color="auto" w:fill="auto"/>
            <w:tcMar>
              <w:top w:w="40" w:type="dxa"/>
              <w:bottom w:w="40" w:type="dxa"/>
              <w:right w:w="40" w:type="dxa"/>
            </w:tcMar>
            <w:vAlign w:val="center"/>
          </w:tcPr>
          <w:p w14:paraId="5556BD06"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D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08"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D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0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(5</w:t>
            </w:r>
          </w:p>
        </w:tc>
        <w:tc>
          <w:tcPr>
            <w:tcW w:w="0" w:type="auto"/>
            <w:shd w:val="clear" w:color="auto" w:fill="auto"/>
            <w:tcMar>
              <w:top w:w="40" w:type="dxa"/>
              <w:bottom w:w="40" w:type="dxa"/>
              <w:right w:w="40" w:type="dxa"/>
            </w:tcMar>
            <w:vAlign w:val="center"/>
          </w:tcPr>
          <w:p w14:paraId="5556BD0C"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D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0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D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D31" w14:textId="77777777">
        <w:tc>
          <w:tcPr>
            <w:tcW w:w="0" w:type="auto"/>
            <w:shd w:val="clear" w:color="auto" w:fill="CCEEFF"/>
            <w:tcMar>
              <w:top w:w="40" w:type="dxa"/>
              <w:left w:w="40" w:type="dxa"/>
              <w:bottom w:w="40" w:type="dxa"/>
              <w:right w:w="40" w:type="dxa"/>
            </w:tcMar>
            <w:vAlign w:val="center"/>
          </w:tcPr>
          <w:p w14:paraId="5556BD13" w14:textId="77777777" w:rsidR="00F925DD" w:rsidRDefault="00E705D7">
            <w:pPr>
              <w:textAlignment w:val="center"/>
              <w:rPr>
                <w:rFonts w:ascii="Times New Roman" w:hAnsi="Times New Roman"/>
                <w:sz w:val="12"/>
                <w:szCs w:val="12"/>
              </w:rPr>
            </w:pPr>
            <w:r>
              <w:rPr>
                <w:rFonts w:ascii="Arial" w:eastAsia="宋体" w:hAnsi="Arial" w:cs="Arial"/>
                <w:sz w:val="12"/>
                <w:szCs w:val="12"/>
              </w:rPr>
              <w:t>Collateralized mortgage obligations</w:t>
            </w:r>
          </w:p>
          <w:p w14:paraId="5556BD14" w14:textId="77777777" w:rsidR="00F925DD" w:rsidRDefault="00F925DD">
            <w:pPr>
              <w:textAlignment w:val="center"/>
              <w:rPr>
                <w:rFonts w:ascii="Times New Roman" w:hAnsi="Times New Roman"/>
                <w:sz w:val="12"/>
                <w:szCs w:val="12"/>
              </w:rPr>
            </w:pPr>
          </w:p>
        </w:tc>
        <w:tc>
          <w:tcPr>
            <w:tcW w:w="0" w:type="auto"/>
            <w:gridSpan w:val="2"/>
            <w:shd w:val="clear" w:color="auto" w:fill="CCEEFF"/>
            <w:tcMar>
              <w:top w:w="40" w:type="dxa"/>
              <w:left w:w="40" w:type="dxa"/>
              <w:bottom w:w="40" w:type="dxa"/>
            </w:tcMar>
            <w:vAlign w:val="center"/>
          </w:tcPr>
          <w:p w14:paraId="5556BD15"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5556BD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D18"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5556BD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D1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5556BD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D1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5556BD1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D21"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5556BD2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D24"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(6</w:t>
            </w:r>
          </w:p>
        </w:tc>
        <w:tc>
          <w:tcPr>
            <w:tcW w:w="0" w:type="auto"/>
            <w:shd w:val="clear" w:color="auto" w:fill="CCEEFF"/>
            <w:tcMar>
              <w:top w:w="40" w:type="dxa"/>
              <w:bottom w:w="40" w:type="dxa"/>
              <w:right w:w="40" w:type="dxa"/>
            </w:tcMar>
            <w:vAlign w:val="center"/>
          </w:tcPr>
          <w:p w14:paraId="5556BD25"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D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D27"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8</w:t>
            </w:r>
          </w:p>
        </w:tc>
        <w:tc>
          <w:tcPr>
            <w:tcW w:w="0" w:type="auto"/>
            <w:shd w:val="clear" w:color="auto" w:fill="CCEEFF"/>
            <w:vAlign w:val="bottom"/>
          </w:tcPr>
          <w:p w14:paraId="5556BD2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D2A"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vAlign w:val="bottom"/>
          </w:tcPr>
          <w:p w14:paraId="5556BD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BD2D"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w:t>
            </w:r>
          </w:p>
        </w:tc>
        <w:tc>
          <w:tcPr>
            <w:tcW w:w="0" w:type="auto"/>
            <w:shd w:val="clear" w:color="auto" w:fill="CCEEFF"/>
            <w:vAlign w:val="bottom"/>
          </w:tcPr>
          <w:p w14:paraId="5556BD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D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D4F" w14:textId="77777777">
        <w:tc>
          <w:tcPr>
            <w:tcW w:w="0" w:type="auto"/>
            <w:shd w:val="clear" w:color="auto" w:fill="auto"/>
            <w:tcMar>
              <w:top w:w="40" w:type="dxa"/>
              <w:left w:w="40" w:type="dxa"/>
              <w:bottom w:w="40" w:type="dxa"/>
              <w:right w:w="40" w:type="dxa"/>
            </w:tcMar>
            <w:vAlign w:val="center"/>
          </w:tcPr>
          <w:p w14:paraId="5556BD32" w14:textId="77777777" w:rsidR="00F925DD" w:rsidRDefault="00E705D7">
            <w:pPr>
              <w:textAlignment w:val="center"/>
              <w:rPr>
                <w:rFonts w:ascii="Times New Roman" w:hAnsi="Times New Roman"/>
                <w:sz w:val="12"/>
                <w:szCs w:val="12"/>
              </w:rPr>
            </w:pPr>
            <w:r>
              <w:rPr>
                <w:rFonts w:ascii="Arial" w:eastAsia="宋体" w:hAnsi="Arial" w:cs="Arial"/>
                <w:sz w:val="12"/>
                <w:szCs w:val="12"/>
              </w:rPr>
              <w:t>Total Available-for-sale investment securities</w:t>
            </w:r>
          </w:p>
        </w:tc>
        <w:tc>
          <w:tcPr>
            <w:tcW w:w="0" w:type="auto"/>
            <w:gridSpan w:val="2"/>
            <w:tcBorders>
              <w:top w:val="single" w:sz="8" w:space="0" w:color="000000"/>
            </w:tcBorders>
            <w:shd w:val="clear" w:color="auto" w:fill="auto"/>
            <w:tcMar>
              <w:top w:w="40" w:type="dxa"/>
              <w:left w:w="40" w:type="dxa"/>
              <w:bottom w:w="40" w:type="dxa"/>
            </w:tcMar>
            <w:vAlign w:val="center"/>
          </w:tcPr>
          <w:p w14:paraId="5556BD33"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2,126</w:t>
            </w:r>
          </w:p>
        </w:tc>
        <w:tc>
          <w:tcPr>
            <w:tcW w:w="0" w:type="auto"/>
            <w:tcBorders>
              <w:top w:val="single" w:sz="8" w:space="0" w:color="000000"/>
            </w:tcBorders>
            <w:shd w:val="clear" w:color="auto" w:fill="auto"/>
            <w:vAlign w:val="bottom"/>
          </w:tcPr>
          <w:p w14:paraId="5556BD3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D36"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w:t>
            </w:r>
          </w:p>
        </w:tc>
        <w:tc>
          <w:tcPr>
            <w:tcW w:w="0" w:type="auto"/>
            <w:tcBorders>
              <w:top w:val="single" w:sz="8" w:space="0" w:color="000000"/>
            </w:tcBorders>
            <w:shd w:val="clear" w:color="auto" w:fill="auto"/>
            <w:vAlign w:val="bottom"/>
          </w:tcPr>
          <w:p w14:paraId="5556BD3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D39"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(27</w:t>
            </w:r>
          </w:p>
        </w:tc>
        <w:tc>
          <w:tcPr>
            <w:tcW w:w="0" w:type="auto"/>
            <w:tcBorders>
              <w:top w:val="single" w:sz="8" w:space="0" w:color="000000"/>
            </w:tcBorders>
            <w:shd w:val="clear" w:color="auto" w:fill="auto"/>
            <w:tcMar>
              <w:top w:w="40" w:type="dxa"/>
              <w:bottom w:w="40" w:type="dxa"/>
              <w:right w:w="40" w:type="dxa"/>
            </w:tcMar>
            <w:vAlign w:val="center"/>
          </w:tcPr>
          <w:p w14:paraId="5556BD3A"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D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D3C"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859</w:t>
            </w:r>
          </w:p>
        </w:tc>
        <w:tc>
          <w:tcPr>
            <w:tcW w:w="0" w:type="auto"/>
            <w:tcBorders>
              <w:top w:val="single" w:sz="8" w:space="0" w:color="000000"/>
            </w:tcBorders>
            <w:shd w:val="clear" w:color="auto" w:fill="auto"/>
            <w:vAlign w:val="bottom"/>
          </w:tcPr>
          <w:p w14:paraId="5556BD3D" w14:textId="77777777" w:rsidR="00F925DD" w:rsidRDefault="00F925D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5556BD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D3F"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(1,042</w:t>
            </w:r>
          </w:p>
        </w:tc>
        <w:tc>
          <w:tcPr>
            <w:tcW w:w="0" w:type="auto"/>
            <w:tcBorders>
              <w:top w:val="single" w:sz="8" w:space="0" w:color="000000"/>
            </w:tcBorders>
            <w:shd w:val="clear" w:color="auto" w:fill="auto"/>
            <w:tcMar>
              <w:top w:w="40" w:type="dxa"/>
              <w:bottom w:w="40" w:type="dxa"/>
              <w:right w:w="40" w:type="dxa"/>
            </w:tcMar>
            <w:vAlign w:val="center"/>
          </w:tcPr>
          <w:p w14:paraId="5556BD40"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D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D42"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(361</w:t>
            </w:r>
          </w:p>
        </w:tc>
        <w:tc>
          <w:tcPr>
            <w:tcW w:w="0" w:type="auto"/>
            <w:tcBorders>
              <w:top w:val="single" w:sz="8" w:space="0" w:color="000000"/>
            </w:tcBorders>
            <w:shd w:val="clear" w:color="auto" w:fill="auto"/>
            <w:tcMar>
              <w:top w:w="40" w:type="dxa"/>
              <w:bottom w:w="40" w:type="dxa"/>
              <w:right w:w="40" w:type="dxa"/>
            </w:tcMar>
            <w:vAlign w:val="center"/>
          </w:tcPr>
          <w:p w14:paraId="5556BD43"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D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D45"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122</w:t>
            </w:r>
          </w:p>
        </w:tc>
        <w:tc>
          <w:tcPr>
            <w:tcW w:w="0" w:type="auto"/>
            <w:tcBorders>
              <w:top w:val="single" w:sz="8" w:space="0" w:color="000000"/>
            </w:tcBorders>
            <w:shd w:val="clear" w:color="auto" w:fill="auto"/>
            <w:vAlign w:val="bottom"/>
          </w:tcPr>
          <w:p w14:paraId="5556BD4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D48"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(397</w:t>
            </w:r>
          </w:p>
        </w:tc>
        <w:tc>
          <w:tcPr>
            <w:tcW w:w="0" w:type="auto"/>
            <w:tcBorders>
              <w:top w:val="single" w:sz="8" w:space="0" w:color="000000"/>
            </w:tcBorders>
            <w:shd w:val="clear" w:color="auto" w:fill="auto"/>
            <w:tcMar>
              <w:top w:w="40" w:type="dxa"/>
              <w:bottom w:w="40" w:type="dxa"/>
              <w:right w:w="40" w:type="dxa"/>
            </w:tcMar>
            <w:vAlign w:val="center"/>
          </w:tcPr>
          <w:p w14:paraId="5556BD49"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D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5556BD4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1,284</w:t>
            </w:r>
          </w:p>
        </w:tc>
        <w:tc>
          <w:tcPr>
            <w:tcW w:w="0" w:type="auto"/>
            <w:tcBorders>
              <w:top w:val="single" w:sz="8" w:space="0" w:color="000000"/>
            </w:tcBorders>
            <w:shd w:val="clear" w:color="auto" w:fill="auto"/>
            <w:vAlign w:val="bottom"/>
          </w:tcPr>
          <w:p w14:paraId="5556BD4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D64" w14:textId="77777777">
        <w:tc>
          <w:tcPr>
            <w:tcW w:w="0" w:type="auto"/>
            <w:shd w:val="clear" w:color="auto" w:fill="CCEEFF"/>
            <w:tcMar>
              <w:top w:w="40" w:type="dxa"/>
              <w:left w:w="40" w:type="dxa"/>
              <w:bottom w:w="40" w:type="dxa"/>
              <w:right w:w="40" w:type="dxa"/>
            </w:tcMar>
            <w:vAlign w:val="center"/>
          </w:tcPr>
          <w:p w14:paraId="5556BD50" w14:textId="77777777" w:rsidR="00F925DD" w:rsidRDefault="00E705D7">
            <w:pPr>
              <w:textAlignment w:val="center"/>
              <w:rPr>
                <w:rFonts w:ascii="Times New Roman" w:hAnsi="Times New Roman"/>
                <w:sz w:val="12"/>
                <w:szCs w:val="12"/>
              </w:rPr>
            </w:pPr>
            <w:r>
              <w:rPr>
                <w:rFonts w:ascii="Arial" w:eastAsia="宋体" w:hAnsi="Arial" w:cs="Arial"/>
                <w:sz w:val="12"/>
                <w:szCs w:val="12"/>
              </w:rPr>
              <w:t>Other assets:</w:t>
            </w:r>
          </w:p>
        </w:tc>
        <w:tc>
          <w:tcPr>
            <w:tcW w:w="0" w:type="auto"/>
            <w:gridSpan w:val="3"/>
            <w:shd w:val="clear" w:color="auto" w:fill="CCEEFF"/>
            <w:tcMar>
              <w:top w:w="40" w:type="dxa"/>
              <w:left w:w="40" w:type="dxa"/>
              <w:bottom w:w="40" w:type="dxa"/>
              <w:right w:w="40" w:type="dxa"/>
            </w:tcMar>
            <w:vAlign w:val="bottom"/>
          </w:tcPr>
          <w:p w14:paraId="5556BD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D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D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D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D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D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D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D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D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D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D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D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D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D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D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D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D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D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D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D79" w14:textId="77777777">
        <w:tc>
          <w:tcPr>
            <w:tcW w:w="0" w:type="auto"/>
            <w:shd w:val="clear" w:color="auto" w:fill="auto"/>
            <w:tcMar>
              <w:top w:w="40" w:type="dxa"/>
              <w:left w:w="40" w:type="dxa"/>
              <w:bottom w:w="40" w:type="dxa"/>
              <w:right w:w="40" w:type="dxa"/>
            </w:tcMar>
            <w:vAlign w:val="center"/>
          </w:tcPr>
          <w:p w14:paraId="5556BD65" w14:textId="77777777" w:rsidR="00F925DD" w:rsidRDefault="00E705D7">
            <w:pPr>
              <w:textAlignment w:val="center"/>
              <w:rPr>
                <w:rFonts w:ascii="Times New Roman" w:hAnsi="Times New Roman"/>
                <w:sz w:val="12"/>
                <w:szCs w:val="12"/>
              </w:rPr>
            </w:pPr>
            <w:r>
              <w:rPr>
                <w:rFonts w:ascii="Arial" w:eastAsia="宋体" w:hAnsi="Arial" w:cs="Arial"/>
                <w:sz w:val="12"/>
                <w:szCs w:val="12"/>
              </w:rPr>
              <w:t>Derivative instruments:</w:t>
            </w:r>
          </w:p>
        </w:tc>
        <w:tc>
          <w:tcPr>
            <w:tcW w:w="0" w:type="auto"/>
            <w:gridSpan w:val="3"/>
            <w:shd w:val="clear" w:color="auto" w:fill="auto"/>
            <w:tcMar>
              <w:top w:w="40" w:type="dxa"/>
              <w:left w:w="40" w:type="dxa"/>
              <w:bottom w:w="40" w:type="dxa"/>
              <w:right w:w="40" w:type="dxa"/>
            </w:tcMar>
            <w:vAlign w:val="bottom"/>
          </w:tcPr>
          <w:p w14:paraId="5556BD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D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BD99" w14:textId="77777777">
        <w:tc>
          <w:tcPr>
            <w:tcW w:w="0" w:type="auto"/>
            <w:shd w:val="clear" w:color="auto" w:fill="CCEEFF"/>
            <w:tcMar>
              <w:top w:w="40" w:type="dxa"/>
              <w:left w:w="240" w:type="dxa"/>
              <w:bottom w:w="40" w:type="dxa"/>
              <w:right w:w="40" w:type="dxa"/>
            </w:tcMar>
            <w:vAlign w:val="center"/>
          </w:tcPr>
          <w:p w14:paraId="5556BD7A" w14:textId="77777777" w:rsidR="00F925DD" w:rsidRDefault="00E705D7">
            <w:pPr>
              <w:textAlignment w:val="center"/>
              <w:rPr>
                <w:rFonts w:ascii="Times New Roman" w:hAnsi="Times New Roman"/>
                <w:sz w:val="12"/>
                <w:szCs w:val="12"/>
              </w:rPr>
            </w:pPr>
            <w:r>
              <w:rPr>
                <w:rFonts w:ascii="Arial" w:eastAsia="宋体" w:hAnsi="Arial" w:cs="Arial"/>
                <w:sz w:val="12"/>
                <w:szCs w:val="12"/>
              </w:rPr>
              <w:t>Foreign exchange contracts</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D7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w:t>
            </w:r>
          </w:p>
        </w:tc>
        <w:tc>
          <w:tcPr>
            <w:tcW w:w="0" w:type="auto"/>
            <w:tcBorders>
              <w:bottom w:val="single" w:sz="8" w:space="0" w:color="000000"/>
            </w:tcBorders>
            <w:shd w:val="clear" w:color="auto" w:fill="CCEEFF"/>
            <w:vAlign w:val="bottom"/>
          </w:tcPr>
          <w:p w14:paraId="5556BD7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D7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w:t>
            </w:r>
          </w:p>
        </w:tc>
        <w:tc>
          <w:tcPr>
            <w:tcW w:w="0" w:type="auto"/>
            <w:tcBorders>
              <w:bottom w:val="single" w:sz="8" w:space="0" w:color="000000"/>
            </w:tcBorders>
            <w:shd w:val="clear" w:color="auto" w:fill="CCEEFF"/>
            <w:tcMar>
              <w:top w:w="40" w:type="dxa"/>
              <w:bottom w:w="40" w:type="dxa"/>
              <w:right w:w="40" w:type="dxa"/>
            </w:tcMar>
            <w:vAlign w:val="center"/>
          </w:tcPr>
          <w:p w14:paraId="5556BD7F"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D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D81"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CCEEFF"/>
            <w:vAlign w:val="bottom"/>
          </w:tcPr>
          <w:p w14:paraId="5556BD8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D84"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6</w:t>
            </w:r>
          </w:p>
        </w:tc>
        <w:tc>
          <w:tcPr>
            <w:tcW w:w="0" w:type="auto"/>
            <w:tcBorders>
              <w:bottom w:val="single" w:sz="8" w:space="0" w:color="000000"/>
            </w:tcBorders>
            <w:shd w:val="clear" w:color="auto" w:fill="CCEEFF"/>
            <w:vAlign w:val="bottom"/>
          </w:tcPr>
          <w:p w14:paraId="5556BD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D87"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CCEEFF"/>
            <w:vAlign w:val="bottom"/>
          </w:tcPr>
          <w:p w14:paraId="5556BD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D8A"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CCEEFF"/>
            <w:vAlign w:val="bottom"/>
          </w:tcPr>
          <w:p w14:paraId="5556BD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D8D"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CCEEFF"/>
            <w:vAlign w:val="bottom"/>
          </w:tcPr>
          <w:p w14:paraId="5556BD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D90"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CCEEFF"/>
            <w:vAlign w:val="bottom"/>
          </w:tcPr>
          <w:p w14:paraId="5556BD9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5556BD93"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w:t>
            </w:r>
          </w:p>
        </w:tc>
        <w:tc>
          <w:tcPr>
            <w:tcW w:w="0" w:type="auto"/>
            <w:tcBorders>
              <w:bottom w:val="single" w:sz="8" w:space="0" w:color="000000"/>
            </w:tcBorders>
            <w:shd w:val="clear" w:color="auto" w:fill="CCEEFF"/>
            <w:vAlign w:val="bottom"/>
          </w:tcPr>
          <w:p w14:paraId="5556BD9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5556BD96"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CCEEFF"/>
            <w:tcMar>
              <w:top w:w="40" w:type="dxa"/>
              <w:bottom w:w="40" w:type="dxa"/>
            </w:tcMar>
            <w:vAlign w:val="center"/>
          </w:tcPr>
          <w:p w14:paraId="5556BD97"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w:t>
            </w:r>
          </w:p>
        </w:tc>
        <w:tc>
          <w:tcPr>
            <w:tcW w:w="0" w:type="auto"/>
            <w:tcBorders>
              <w:bottom w:val="single" w:sz="8" w:space="0" w:color="000000"/>
            </w:tcBorders>
            <w:shd w:val="clear" w:color="auto" w:fill="CCEEFF"/>
            <w:tcMar>
              <w:top w:w="40" w:type="dxa"/>
              <w:bottom w:w="40" w:type="dxa"/>
              <w:right w:w="40" w:type="dxa"/>
            </w:tcMar>
            <w:vAlign w:val="center"/>
          </w:tcPr>
          <w:p w14:paraId="5556BD98"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r>
      <w:tr w:rsidR="00F925DD" w14:paraId="5556BDB8" w14:textId="77777777">
        <w:tc>
          <w:tcPr>
            <w:tcW w:w="0" w:type="auto"/>
            <w:shd w:val="clear" w:color="auto" w:fill="auto"/>
            <w:tcMar>
              <w:top w:w="40" w:type="dxa"/>
              <w:left w:w="40" w:type="dxa"/>
              <w:bottom w:w="40" w:type="dxa"/>
              <w:right w:w="40" w:type="dxa"/>
            </w:tcMar>
            <w:vAlign w:val="center"/>
          </w:tcPr>
          <w:p w14:paraId="5556BD9A" w14:textId="77777777" w:rsidR="00F925DD" w:rsidRDefault="00E705D7">
            <w:pPr>
              <w:textAlignment w:val="center"/>
              <w:rPr>
                <w:rFonts w:ascii="Times New Roman" w:hAnsi="Times New Roman"/>
                <w:sz w:val="12"/>
                <w:szCs w:val="12"/>
              </w:rPr>
            </w:pPr>
            <w:r>
              <w:rPr>
                <w:rFonts w:ascii="Arial" w:eastAsia="宋体" w:hAnsi="Arial" w:cs="Arial"/>
                <w:sz w:val="12"/>
                <w:szCs w:val="12"/>
              </w:rPr>
              <w:t>Total derivative instruments</w:t>
            </w:r>
          </w:p>
        </w:tc>
        <w:tc>
          <w:tcPr>
            <w:tcW w:w="0" w:type="auto"/>
            <w:gridSpan w:val="2"/>
            <w:shd w:val="clear" w:color="auto" w:fill="auto"/>
            <w:tcMar>
              <w:top w:w="40" w:type="dxa"/>
              <w:left w:w="40" w:type="dxa"/>
              <w:bottom w:w="40" w:type="dxa"/>
            </w:tcMar>
            <w:vAlign w:val="center"/>
          </w:tcPr>
          <w:p w14:paraId="5556BD9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w:t>
            </w:r>
          </w:p>
        </w:tc>
        <w:tc>
          <w:tcPr>
            <w:tcW w:w="0" w:type="auto"/>
            <w:shd w:val="clear" w:color="auto" w:fill="auto"/>
            <w:vAlign w:val="bottom"/>
          </w:tcPr>
          <w:p w14:paraId="5556BD9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9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w:t>
            </w:r>
          </w:p>
        </w:tc>
        <w:tc>
          <w:tcPr>
            <w:tcW w:w="0" w:type="auto"/>
            <w:shd w:val="clear" w:color="auto" w:fill="auto"/>
            <w:tcMar>
              <w:top w:w="40" w:type="dxa"/>
              <w:bottom w:w="40" w:type="dxa"/>
              <w:right w:w="40" w:type="dxa"/>
            </w:tcMar>
            <w:vAlign w:val="center"/>
          </w:tcPr>
          <w:p w14:paraId="5556BD9F"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BD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A1"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DA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A4"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6</w:t>
            </w:r>
          </w:p>
        </w:tc>
        <w:tc>
          <w:tcPr>
            <w:tcW w:w="0" w:type="auto"/>
            <w:shd w:val="clear" w:color="auto" w:fill="auto"/>
            <w:vAlign w:val="bottom"/>
          </w:tcPr>
          <w:p w14:paraId="5556BDA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A7"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DA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AA"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DA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AD"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DA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B0"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BDB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B3"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w:t>
            </w:r>
          </w:p>
        </w:tc>
        <w:tc>
          <w:tcPr>
            <w:tcW w:w="0" w:type="auto"/>
            <w:shd w:val="clear" w:color="auto" w:fill="auto"/>
            <w:vAlign w:val="bottom"/>
          </w:tcPr>
          <w:p w14:paraId="5556BDB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D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BDB6"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w:t>
            </w:r>
          </w:p>
        </w:tc>
        <w:tc>
          <w:tcPr>
            <w:tcW w:w="0" w:type="auto"/>
            <w:shd w:val="clear" w:color="auto" w:fill="auto"/>
            <w:tcMar>
              <w:top w:w="40" w:type="dxa"/>
              <w:bottom w:w="40" w:type="dxa"/>
              <w:right w:w="40" w:type="dxa"/>
            </w:tcMar>
            <w:vAlign w:val="center"/>
          </w:tcPr>
          <w:p w14:paraId="5556BDB7"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r>
      <w:tr w:rsidR="00E705D7" w14:paraId="5556BDE1" w14:textId="77777777">
        <w:tc>
          <w:tcPr>
            <w:tcW w:w="0" w:type="auto"/>
            <w:shd w:val="clear" w:color="auto" w:fill="CCEEFF"/>
            <w:tcMar>
              <w:top w:w="40" w:type="dxa"/>
              <w:left w:w="40" w:type="dxa"/>
              <w:bottom w:w="40" w:type="dxa"/>
              <w:right w:w="40" w:type="dxa"/>
            </w:tcMar>
            <w:vAlign w:val="center"/>
          </w:tcPr>
          <w:p w14:paraId="5556BDB9" w14:textId="77777777" w:rsidR="00F925DD" w:rsidRDefault="00E705D7">
            <w:pPr>
              <w:textAlignment w:val="center"/>
              <w:rPr>
                <w:rFonts w:ascii="Times New Roman" w:hAnsi="Times New Roman"/>
                <w:sz w:val="12"/>
                <w:szCs w:val="12"/>
              </w:rPr>
            </w:pPr>
            <w:r>
              <w:rPr>
                <w:rFonts w:ascii="Arial" w:eastAsia="宋体" w:hAnsi="Arial" w:cs="Arial"/>
                <w:sz w:val="12"/>
                <w:szCs w:val="12"/>
              </w:rPr>
              <w:t>Total assets carried at fair value</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BDBA"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BDB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2,127</w:t>
            </w:r>
          </w:p>
        </w:tc>
        <w:tc>
          <w:tcPr>
            <w:tcW w:w="0" w:type="auto"/>
            <w:tcBorders>
              <w:top w:val="single" w:sz="8" w:space="0" w:color="000000"/>
              <w:bottom w:val="double" w:sz="6" w:space="0" w:color="000000"/>
            </w:tcBorders>
            <w:shd w:val="clear" w:color="auto" w:fill="CCEEFF"/>
            <w:vAlign w:val="bottom"/>
          </w:tcPr>
          <w:p w14:paraId="5556BDB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BDBE"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BDBF"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w:t>
            </w:r>
          </w:p>
        </w:tc>
        <w:tc>
          <w:tcPr>
            <w:tcW w:w="0" w:type="auto"/>
            <w:tcBorders>
              <w:top w:val="single" w:sz="8" w:space="0" w:color="000000"/>
              <w:bottom w:val="double" w:sz="6" w:space="0" w:color="000000"/>
            </w:tcBorders>
            <w:shd w:val="clear" w:color="auto" w:fill="CCEEFF"/>
            <w:vAlign w:val="bottom"/>
          </w:tcPr>
          <w:p w14:paraId="5556BDC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BDC2"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BDC3"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(27</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5556BDC4"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D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BDC6"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BDC7"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865</w:t>
            </w:r>
          </w:p>
        </w:tc>
        <w:tc>
          <w:tcPr>
            <w:tcW w:w="0" w:type="auto"/>
            <w:tcBorders>
              <w:top w:val="single" w:sz="8" w:space="0" w:color="000000"/>
              <w:bottom w:val="double" w:sz="6" w:space="0" w:color="000000"/>
            </w:tcBorders>
            <w:shd w:val="clear" w:color="auto" w:fill="CCEEFF"/>
            <w:vAlign w:val="bottom"/>
          </w:tcPr>
          <w:p w14:paraId="5556BDC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BDCA"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BDC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(1,042</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5556BDCC"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D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BDCE"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BDCF"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(361</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5556BDD0"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D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BDD2"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BDD3"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122</w:t>
            </w:r>
          </w:p>
        </w:tc>
        <w:tc>
          <w:tcPr>
            <w:tcW w:w="0" w:type="auto"/>
            <w:tcBorders>
              <w:top w:val="single" w:sz="8" w:space="0" w:color="000000"/>
              <w:bottom w:val="double" w:sz="6" w:space="0" w:color="000000"/>
            </w:tcBorders>
            <w:shd w:val="clear" w:color="auto" w:fill="CCEEFF"/>
            <w:vAlign w:val="bottom"/>
          </w:tcPr>
          <w:p w14:paraId="5556BD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BDD6"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BDD7"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(397</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5556BDD8"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BD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BDDA"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BDD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1,288</w:t>
            </w:r>
          </w:p>
        </w:tc>
        <w:tc>
          <w:tcPr>
            <w:tcW w:w="0" w:type="auto"/>
            <w:tcBorders>
              <w:top w:val="single" w:sz="8" w:space="0" w:color="000000"/>
              <w:bottom w:val="double" w:sz="6" w:space="0" w:color="000000"/>
            </w:tcBorders>
            <w:shd w:val="clear" w:color="auto" w:fill="CCEEFF"/>
            <w:vAlign w:val="bottom"/>
          </w:tcPr>
          <w:p w14:paraId="5556BDD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D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BDDE"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BDDF"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(3</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5556BDE0"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r>
    </w:tbl>
    <w:p w14:paraId="5556BDE2"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97"/>
        <w:gridCol w:w="1566"/>
        <w:gridCol w:w="2646"/>
        <w:gridCol w:w="1567"/>
        <w:gridCol w:w="130"/>
      </w:tblGrid>
      <w:tr w:rsidR="00F925DD" w14:paraId="5556BDE4" w14:textId="77777777">
        <w:tc>
          <w:tcPr>
            <w:tcW w:w="0" w:type="auto"/>
            <w:gridSpan w:val="5"/>
            <w:shd w:val="clear" w:color="auto" w:fill="auto"/>
            <w:vAlign w:val="center"/>
          </w:tcPr>
          <w:p w14:paraId="5556BDE3" w14:textId="77777777" w:rsidR="00F925DD" w:rsidRDefault="00F925DD">
            <w:pPr>
              <w:rPr>
                <w:rFonts w:ascii="Times New Roman" w:hAnsi="Times New Roman"/>
                <w:sz w:val="20"/>
                <w:szCs w:val="20"/>
              </w:rPr>
            </w:pPr>
          </w:p>
        </w:tc>
      </w:tr>
      <w:tr w:rsidR="00F925DD" w14:paraId="5556BDEA" w14:textId="77777777">
        <w:tc>
          <w:tcPr>
            <w:tcW w:w="1450" w:type="pct"/>
            <w:shd w:val="clear" w:color="auto" w:fill="auto"/>
            <w:vAlign w:val="center"/>
          </w:tcPr>
          <w:p w14:paraId="5556BDE5" w14:textId="77777777" w:rsidR="00F925DD" w:rsidRDefault="00F925DD">
            <w:pPr>
              <w:rPr>
                <w:rFonts w:ascii="Times New Roman" w:hAnsi="Times New Roman"/>
                <w:sz w:val="20"/>
                <w:szCs w:val="20"/>
              </w:rPr>
            </w:pPr>
          </w:p>
        </w:tc>
        <w:tc>
          <w:tcPr>
            <w:tcW w:w="950" w:type="pct"/>
            <w:shd w:val="clear" w:color="auto" w:fill="auto"/>
            <w:vAlign w:val="center"/>
          </w:tcPr>
          <w:p w14:paraId="5556BDE6" w14:textId="77777777" w:rsidR="00F925DD" w:rsidRDefault="00F925DD">
            <w:pPr>
              <w:rPr>
                <w:rFonts w:ascii="Times New Roman" w:hAnsi="Times New Roman"/>
                <w:sz w:val="20"/>
                <w:szCs w:val="20"/>
              </w:rPr>
            </w:pPr>
          </w:p>
        </w:tc>
        <w:tc>
          <w:tcPr>
            <w:tcW w:w="1600" w:type="pct"/>
            <w:shd w:val="clear" w:color="auto" w:fill="auto"/>
            <w:vAlign w:val="center"/>
          </w:tcPr>
          <w:p w14:paraId="5556BDE7" w14:textId="77777777" w:rsidR="00F925DD" w:rsidRDefault="00F925DD">
            <w:pPr>
              <w:rPr>
                <w:rFonts w:ascii="Times New Roman" w:hAnsi="Times New Roman"/>
                <w:sz w:val="20"/>
                <w:szCs w:val="20"/>
              </w:rPr>
            </w:pPr>
          </w:p>
        </w:tc>
        <w:tc>
          <w:tcPr>
            <w:tcW w:w="950" w:type="pct"/>
            <w:shd w:val="clear" w:color="auto" w:fill="auto"/>
            <w:vAlign w:val="center"/>
          </w:tcPr>
          <w:p w14:paraId="5556BDE8" w14:textId="77777777" w:rsidR="00F925DD" w:rsidRDefault="00F925DD">
            <w:pPr>
              <w:rPr>
                <w:rFonts w:ascii="Times New Roman" w:hAnsi="Times New Roman"/>
                <w:sz w:val="20"/>
                <w:szCs w:val="20"/>
              </w:rPr>
            </w:pPr>
          </w:p>
        </w:tc>
        <w:tc>
          <w:tcPr>
            <w:tcW w:w="50" w:type="pct"/>
            <w:shd w:val="clear" w:color="auto" w:fill="auto"/>
            <w:vAlign w:val="center"/>
          </w:tcPr>
          <w:p w14:paraId="5556BDE9" w14:textId="77777777" w:rsidR="00F925DD" w:rsidRDefault="00F925DD">
            <w:pPr>
              <w:rPr>
                <w:rFonts w:ascii="Times New Roman" w:hAnsi="Times New Roman"/>
                <w:sz w:val="20"/>
                <w:szCs w:val="20"/>
              </w:rPr>
            </w:pPr>
          </w:p>
        </w:tc>
      </w:tr>
      <w:tr w:rsidR="00F925DD" w14:paraId="5556BDF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BD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D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BDF1" w14:textId="77777777" w:rsidR="00F925DD" w:rsidRDefault="00E705D7">
      <w:pPr>
        <w:spacing w:line="288" w:lineRule="auto"/>
        <w:rPr>
          <w:rFonts w:ascii="Times New Roman" w:hAnsi="Times New Roman"/>
          <w:sz w:val="20"/>
          <w:szCs w:val="20"/>
        </w:rPr>
      </w:pPr>
      <w:r>
        <w:rPr>
          <w:rFonts w:ascii="Arial" w:eastAsia="宋体" w:hAnsi="Arial" w:cs="Arial"/>
          <w:sz w:val="13"/>
          <w:szCs w:val="13"/>
        </w:rPr>
        <w:t xml:space="preserve">(1) Total realized and </w:t>
      </w:r>
      <w:r>
        <w:rPr>
          <w:rFonts w:ascii="Arial" w:eastAsia="宋体" w:hAnsi="Arial" w:cs="Arial"/>
          <w:sz w:val="13"/>
          <w:szCs w:val="13"/>
        </w:rPr>
        <w:t>unrealized gains (losses) on AFS investment securities are included within gains (losses) related to investment securities, net. Total realized and unrealized gains (losses) on derivative instruments are included within foreign exchange trading services.</w:t>
      </w:r>
    </w:p>
    <w:p w14:paraId="5556BDF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w:t>
      </w:r>
      <w:r>
        <w:rPr>
          <w:rFonts w:ascii="Arial" w:eastAsia="宋体" w:hAnsi="Arial" w:cs="Arial"/>
          <w:sz w:val="20"/>
          <w:szCs w:val="20"/>
        </w:rPr>
        <w:t xml:space="preserve">he following table presents quantitative information, as of the dates indicated, about the valuation techniques and significant unobservable inputs used in the valuation of our level 3 financial assets and liabilities measured at fair value on a recurring </w:t>
      </w:r>
      <w:r>
        <w:rPr>
          <w:rFonts w:ascii="Arial" w:eastAsia="宋体" w:hAnsi="Arial" w:cs="Arial"/>
          <w:sz w:val="20"/>
          <w:szCs w:val="20"/>
        </w:rPr>
        <w:t>basis for which we use internally-developed pricing models. The significant unobservable inputs for our level 3 financial assets and liabilities whose fair value is measured using pricing information from non-binding broker/dealer quotes are not included i</w:t>
      </w:r>
      <w:r>
        <w:rPr>
          <w:rFonts w:ascii="Arial" w:eastAsia="宋体" w:hAnsi="Arial" w:cs="Arial"/>
          <w:sz w:val="20"/>
          <w:szCs w:val="20"/>
        </w:rPr>
        <w:t>n the table, as the specific inputs applied are not provided by the broker/dealer.</w:t>
      </w:r>
    </w:p>
    <w:tbl>
      <w:tblPr>
        <w:tblW w:w="5000" w:type="pct"/>
        <w:jc w:val="center"/>
        <w:tblCellMar>
          <w:left w:w="0" w:type="dxa"/>
          <w:right w:w="0" w:type="dxa"/>
        </w:tblCellMar>
        <w:tblLook w:val="04A0" w:firstRow="1" w:lastRow="0" w:firstColumn="1" w:lastColumn="0" w:noHBand="0" w:noVBand="1"/>
      </w:tblPr>
      <w:tblGrid>
        <w:gridCol w:w="1840"/>
        <w:gridCol w:w="114"/>
        <w:gridCol w:w="844"/>
        <w:gridCol w:w="54"/>
        <w:gridCol w:w="130"/>
        <w:gridCol w:w="114"/>
        <w:gridCol w:w="804"/>
        <w:gridCol w:w="54"/>
        <w:gridCol w:w="130"/>
        <w:gridCol w:w="731"/>
        <w:gridCol w:w="130"/>
        <w:gridCol w:w="940"/>
        <w:gridCol w:w="130"/>
        <w:gridCol w:w="919"/>
        <w:gridCol w:w="157"/>
        <w:gridCol w:w="131"/>
        <w:gridCol w:w="928"/>
        <w:gridCol w:w="156"/>
      </w:tblGrid>
      <w:tr w:rsidR="00F925DD" w14:paraId="5556BDF4" w14:textId="77777777">
        <w:trPr>
          <w:jc w:val="center"/>
        </w:trPr>
        <w:tc>
          <w:tcPr>
            <w:tcW w:w="0" w:type="auto"/>
            <w:gridSpan w:val="18"/>
            <w:shd w:val="clear" w:color="auto" w:fill="auto"/>
            <w:vAlign w:val="center"/>
          </w:tcPr>
          <w:p w14:paraId="5556BDF3" w14:textId="77777777" w:rsidR="00F925DD" w:rsidRDefault="00F925DD">
            <w:pPr>
              <w:rPr>
                <w:rFonts w:ascii="Times New Roman" w:hAnsi="Times New Roman"/>
                <w:sz w:val="20"/>
                <w:szCs w:val="20"/>
              </w:rPr>
            </w:pPr>
          </w:p>
        </w:tc>
      </w:tr>
      <w:tr w:rsidR="00F925DD" w14:paraId="5556BE07" w14:textId="77777777">
        <w:trPr>
          <w:jc w:val="center"/>
        </w:trPr>
        <w:tc>
          <w:tcPr>
            <w:tcW w:w="1150" w:type="pct"/>
            <w:shd w:val="clear" w:color="auto" w:fill="auto"/>
            <w:vAlign w:val="center"/>
          </w:tcPr>
          <w:p w14:paraId="5556BDF5" w14:textId="77777777" w:rsidR="00F925DD" w:rsidRDefault="00F925DD">
            <w:pPr>
              <w:rPr>
                <w:rFonts w:ascii="Times New Roman" w:hAnsi="Times New Roman"/>
                <w:sz w:val="20"/>
                <w:szCs w:val="20"/>
              </w:rPr>
            </w:pPr>
          </w:p>
        </w:tc>
        <w:tc>
          <w:tcPr>
            <w:tcW w:w="50" w:type="pct"/>
            <w:shd w:val="clear" w:color="auto" w:fill="auto"/>
            <w:vAlign w:val="center"/>
          </w:tcPr>
          <w:p w14:paraId="5556BDF6" w14:textId="77777777" w:rsidR="00F925DD" w:rsidRDefault="00F925DD">
            <w:pPr>
              <w:rPr>
                <w:rFonts w:ascii="Times New Roman" w:hAnsi="Times New Roman"/>
                <w:sz w:val="20"/>
                <w:szCs w:val="20"/>
              </w:rPr>
            </w:pPr>
          </w:p>
        </w:tc>
        <w:tc>
          <w:tcPr>
            <w:tcW w:w="550" w:type="pct"/>
            <w:shd w:val="clear" w:color="auto" w:fill="auto"/>
            <w:vAlign w:val="center"/>
          </w:tcPr>
          <w:p w14:paraId="5556BDF7" w14:textId="77777777" w:rsidR="00F925DD" w:rsidRDefault="00F925DD">
            <w:pPr>
              <w:rPr>
                <w:rFonts w:ascii="Times New Roman" w:hAnsi="Times New Roman"/>
                <w:sz w:val="20"/>
                <w:szCs w:val="20"/>
              </w:rPr>
            </w:pPr>
          </w:p>
        </w:tc>
        <w:tc>
          <w:tcPr>
            <w:tcW w:w="50" w:type="pct"/>
            <w:shd w:val="clear" w:color="auto" w:fill="auto"/>
            <w:vAlign w:val="center"/>
          </w:tcPr>
          <w:p w14:paraId="5556BDF8" w14:textId="77777777" w:rsidR="00F925DD" w:rsidRDefault="00F925DD">
            <w:pPr>
              <w:rPr>
                <w:rFonts w:ascii="Times New Roman" w:hAnsi="Times New Roman"/>
                <w:sz w:val="20"/>
                <w:szCs w:val="20"/>
              </w:rPr>
            </w:pPr>
          </w:p>
        </w:tc>
        <w:tc>
          <w:tcPr>
            <w:tcW w:w="50" w:type="pct"/>
            <w:shd w:val="clear" w:color="auto" w:fill="auto"/>
            <w:vAlign w:val="center"/>
          </w:tcPr>
          <w:p w14:paraId="5556BDF9" w14:textId="77777777" w:rsidR="00F925DD" w:rsidRDefault="00F925DD">
            <w:pPr>
              <w:rPr>
                <w:rFonts w:ascii="Times New Roman" w:hAnsi="Times New Roman"/>
                <w:sz w:val="20"/>
                <w:szCs w:val="20"/>
              </w:rPr>
            </w:pPr>
          </w:p>
        </w:tc>
        <w:tc>
          <w:tcPr>
            <w:tcW w:w="50" w:type="pct"/>
            <w:shd w:val="clear" w:color="auto" w:fill="auto"/>
            <w:vAlign w:val="center"/>
          </w:tcPr>
          <w:p w14:paraId="5556BDFA" w14:textId="77777777" w:rsidR="00F925DD" w:rsidRDefault="00F925DD">
            <w:pPr>
              <w:rPr>
                <w:rFonts w:ascii="Times New Roman" w:hAnsi="Times New Roman"/>
                <w:sz w:val="20"/>
                <w:szCs w:val="20"/>
              </w:rPr>
            </w:pPr>
          </w:p>
        </w:tc>
        <w:tc>
          <w:tcPr>
            <w:tcW w:w="550" w:type="pct"/>
            <w:shd w:val="clear" w:color="auto" w:fill="auto"/>
            <w:vAlign w:val="center"/>
          </w:tcPr>
          <w:p w14:paraId="5556BDFB" w14:textId="77777777" w:rsidR="00F925DD" w:rsidRDefault="00F925DD">
            <w:pPr>
              <w:rPr>
                <w:rFonts w:ascii="Times New Roman" w:hAnsi="Times New Roman"/>
                <w:sz w:val="20"/>
                <w:szCs w:val="20"/>
              </w:rPr>
            </w:pPr>
          </w:p>
        </w:tc>
        <w:tc>
          <w:tcPr>
            <w:tcW w:w="50" w:type="pct"/>
            <w:shd w:val="clear" w:color="auto" w:fill="auto"/>
            <w:vAlign w:val="center"/>
          </w:tcPr>
          <w:p w14:paraId="5556BDFC" w14:textId="77777777" w:rsidR="00F925DD" w:rsidRDefault="00F925DD">
            <w:pPr>
              <w:rPr>
                <w:rFonts w:ascii="Times New Roman" w:hAnsi="Times New Roman"/>
                <w:sz w:val="20"/>
                <w:szCs w:val="20"/>
              </w:rPr>
            </w:pPr>
          </w:p>
        </w:tc>
        <w:tc>
          <w:tcPr>
            <w:tcW w:w="50" w:type="pct"/>
            <w:shd w:val="clear" w:color="auto" w:fill="auto"/>
            <w:vAlign w:val="center"/>
          </w:tcPr>
          <w:p w14:paraId="5556BDFD" w14:textId="77777777" w:rsidR="00F925DD" w:rsidRDefault="00F925DD">
            <w:pPr>
              <w:rPr>
                <w:rFonts w:ascii="Times New Roman" w:hAnsi="Times New Roman"/>
                <w:sz w:val="20"/>
                <w:szCs w:val="20"/>
              </w:rPr>
            </w:pPr>
          </w:p>
        </w:tc>
        <w:tc>
          <w:tcPr>
            <w:tcW w:w="500" w:type="pct"/>
            <w:shd w:val="clear" w:color="auto" w:fill="auto"/>
            <w:vAlign w:val="center"/>
          </w:tcPr>
          <w:p w14:paraId="5556BDFE" w14:textId="77777777" w:rsidR="00F925DD" w:rsidRDefault="00F925DD">
            <w:pPr>
              <w:rPr>
                <w:rFonts w:ascii="Times New Roman" w:hAnsi="Times New Roman"/>
                <w:sz w:val="20"/>
                <w:szCs w:val="20"/>
              </w:rPr>
            </w:pPr>
          </w:p>
        </w:tc>
        <w:tc>
          <w:tcPr>
            <w:tcW w:w="50" w:type="pct"/>
            <w:shd w:val="clear" w:color="auto" w:fill="auto"/>
            <w:vAlign w:val="center"/>
          </w:tcPr>
          <w:p w14:paraId="5556BDFF" w14:textId="77777777" w:rsidR="00F925DD" w:rsidRDefault="00F925DD">
            <w:pPr>
              <w:rPr>
                <w:rFonts w:ascii="Times New Roman" w:hAnsi="Times New Roman"/>
                <w:sz w:val="20"/>
                <w:szCs w:val="20"/>
              </w:rPr>
            </w:pPr>
          </w:p>
        </w:tc>
        <w:tc>
          <w:tcPr>
            <w:tcW w:w="500" w:type="pct"/>
            <w:shd w:val="clear" w:color="auto" w:fill="auto"/>
            <w:vAlign w:val="center"/>
          </w:tcPr>
          <w:p w14:paraId="5556BE00" w14:textId="77777777" w:rsidR="00F925DD" w:rsidRDefault="00F925DD">
            <w:pPr>
              <w:rPr>
                <w:rFonts w:ascii="Times New Roman" w:hAnsi="Times New Roman"/>
                <w:sz w:val="20"/>
                <w:szCs w:val="20"/>
              </w:rPr>
            </w:pPr>
          </w:p>
        </w:tc>
        <w:tc>
          <w:tcPr>
            <w:tcW w:w="50" w:type="pct"/>
            <w:shd w:val="clear" w:color="auto" w:fill="auto"/>
            <w:vAlign w:val="center"/>
          </w:tcPr>
          <w:p w14:paraId="5556BE01" w14:textId="77777777" w:rsidR="00F925DD" w:rsidRDefault="00F925DD">
            <w:pPr>
              <w:rPr>
                <w:rFonts w:ascii="Times New Roman" w:hAnsi="Times New Roman"/>
                <w:sz w:val="20"/>
                <w:szCs w:val="20"/>
              </w:rPr>
            </w:pPr>
          </w:p>
        </w:tc>
        <w:tc>
          <w:tcPr>
            <w:tcW w:w="600" w:type="pct"/>
            <w:shd w:val="clear" w:color="auto" w:fill="auto"/>
            <w:vAlign w:val="center"/>
          </w:tcPr>
          <w:p w14:paraId="5556BE02" w14:textId="77777777" w:rsidR="00F925DD" w:rsidRDefault="00F925DD">
            <w:pPr>
              <w:rPr>
                <w:rFonts w:ascii="Times New Roman" w:hAnsi="Times New Roman"/>
                <w:sz w:val="20"/>
                <w:szCs w:val="20"/>
              </w:rPr>
            </w:pPr>
          </w:p>
        </w:tc>
        <w:tc>
          <w:tcPr>
            <w:tcW w:w="50" w:type="pct"/>
            <w:shd w:val="clear" w:color="auto" w:fill="auto"/>
            <w:vAlign w:val="center"/>
          </w:tcPr>
          <w:p w14:paraId="5556BE03" w14:textId="77777777" w:rsidR="00F925DD" w:rsidRDefault="00F925DD">
            <w:pPr>
              <w:rPr>
                <w:rFonts w:ascii="Times New Roman" w:hAnsi="Times New Roman"/>
                <w:sz w:val="20"/>
                <w:szCs w:val="20"/>
              </w:rPr>
            </w:pPr>
          </w:p>
        </w:tc>
        <w:tc>
          <w:tcPr>
            <w:tcW w:w="50" w:type="pct"/>
            <w:shd w:val="clear" w:color="auto" w:fill="auto"/>
            <w:vAlign w:val="center"/>
          </w:tcPr>
          <w:p w14:paraId="5556BE04" w14:textId="77777777" w:rsidR="00F925DD" w:rsidRDefault="00F925DD">
            <w:pPr>
              <w:rPr>
                <w:rFonts w:ascii="Times New Roman" w:hAnsi="Times New Roman"/>
                <w:sz w:val="20"/>
                <w:szCs w:val="20"/>
              </w:rPr>
            </w:pPr>
          </w:p>
        </w:tc>
        <w:tc>
          <w:tcPr>
            <w:tcW w:w="600" w:type="pct"/>
            <w:shd w:val="clear" w:color="auto" w:fill="auto"/>
            <w:vAlign w:val="center"/>
          </w:tcPr>
          <w:p w14:paraId="5556BE05" w14:textId="77777777" w:rsidR="00F925DD" w:rsidRDefault="00F925DD">
            <w:pPr>
              <w:rPr>
                <w:rFonts w:ascii="Times New Roman" w:hAnsi="Times New Roman"/>
                <w:sz w:val="20"/>
                <w:szCs w:val="20"/>
              </w:rPr>
            </w:pPr>
          </w:p>
        </w:tc>
        <w:tc>
          <w:tcPr>
            <w:tcW w:w="50" w:type="pct"/>
            <w:shd w:val="clear" w:color="auto" w:fill="auto"/>
            <w:vAlign w:val="center"/>
          </w:tcPr>
          <w:p w14:paraId="5556BE06" w14:textId="77777777" w:rsidR="00F925DD" w:rsidRDefault="00F925DD">
            <w:pPr>
              <w:rPr>
                <w:rFonts w:ascii="Times New Roman" w:hAnsi="Times New Roman"/>
                <w:sz w:val="20"/>
                <w:szCs w:val="20"/>
              </w:rPr>
            </w:pPr>
          </w:p>
        </w:tc>
      </w:tr>
      <w:tr w:rsidR="00F925DD" w14:paraId="5556BE0A" w14:textId="77777777">
        <w:trPr>
          <w:jc w:val="center"/>
        </w:trPr>
        <w:tc>
          <w:tcPr>
            <w:tcW w:w="0" w:type="auto"/>
            <w:shd w:val="clear" w:color="auto" w:fill="auto"/>
            <w:tcMar>
              <w:top w:w="40" w:type="dxa"/>
              <w:left w:w="40" w:type="dxa"/>
              <w:bottom w:w="40" w:type="dxa"/>
              <w:right w:w="40" w:type="dxa"/>
            </w:tcMar>
            <w:vAlign w:val="bottom"/>
          </w:tcPr>
          <w:p w14:paraId="5556BE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7"/>
            <w:tcBorders>
              <w:bottom w:val="single" w:sz="8" w:space="0" w:color="000000"/>
            </w:tcBorders>
            <w:shd w:val="clear" w:color="auto" w:fill="auto"/>
            <w:tcMar>
              <w:top w:w="40" w:type="dxa"/>
              <w:left w:w="40" w:type="dxa"/>
              <w:bottom w:w="40" w:type="dxa"/>
            </w:tcMar>
            <w:vAlign w:val="bottom"/>
          </w:tcPr>
          <w:p w14:paraId="5556BE0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Quantitative Information about Level 3 Fair Value Measurements</w:t>
            </w:r>
          </w:p>
        </w:tc>
      </w:tr>
      <w:tr w:rsidR="00F925DD" w14:paraId="5556BE13" w14:textId="77777777">
        <w:trPr>
          <w:jc w:val="center"/>
        </w:trPr>
        <w:tc>
          <w:tcPr>
            <w:tcW w:w="0" w:type="auto"/>
            <w:shd w:val="clear" w:color="auto" w:fill="auto"/>
            <w:tcMar>
              <w:top w:w="40" w:type="dxa"/>
              <w:left w:w="40" w:type="dxa"/>
              <w:bottom w:w="40" w:type="dxa"/>
              <w:right w:w="40" w:type="dxa"/>
            </w:tcMar>
            <w:vAlign w:val="bottom"/>
          </w:tcPr>
          <w:p w14:paraId="5556BE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BE0C"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Fair Value</w:t>
            </w:r>
          </w:p>
        </w:tc>
        <w:tc>
          <w:tcPr>
            <w:tcW w:w="0" w:type="auto"/>
            <w:shd w:val="clear" w:color="auto" w:fill="auto"/>
            <w:tcMar>
              <w:top w:w="40" w:type="dxa"/>
              <w:left w:w="40" w:type="dxa"/>
              <w:bottom w:w="40" w:type="dxa"/>
              <w:right w:w="40" w:type="dxa"/>
            </w:tcMar>
            <w:vAlign w:val="bottom"/>
          </w:tcPr>
          <w:p w14:paraId="5556BE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5556BE12"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Weighted-Average</w:t>
            </w:r>
          </w:p>
        </w:tc>
      </w:tr>
      <w:tr w:rsidR="00F925DD" w14:paraId="5556BE20" w14:textId="77777777">
        <w:trPr>
          <w:jc w:val="center"/>
        </w:trPr>
        <w:tc>
          <w:tcPr>
            <w:tcW w:w="0" w:type="auto"/>
            <w:shd w:val="clear" w:color="auto" w:fill="auto"/>
            <w:tcMar>
              <w:top w:w="40" w:type="dxa"/>
              <w:left w:w="40" w:type="dxa"/>
              <w:bottom w:w="40" w:type="dxa"/>
              <w:right w:w="40" w:type="dxa"/>
            </w:tcMar>
            <w:vAlign w:val="bottom"/>
          </w:tcPr>
          <w:p w14:paraId="5556BE14"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(Dollars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E15"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 xml:space="preserve">As of December 31, </w:t>
            </w:r>
            <w:r>
              <w:rPr>
                <w:rFonts w:ascii="Arial" w:eastAsia="宋体" w:hAnsi="Arial" w:cs="Arial"/>
                <w:b/>
                <w:bCs/>
                <w:sz w:val="13"/>
                <w:szCs w:val="13"/>
              </w:rPr>
              <w:t>2019</w:t>
            </w:r>
          </w:p>
        </w:tc>
        <w:tc>
          <w:tcPr>
            <w:tcW w:w="0" w:type="auto"/>
            <w:shd w:val="clear" w:color="auto" w:fill="auto"/>
            <w:tcMar>
              <w:top w:w="40" w:type="dxa"/>
              <w:left w:w="40" w:type="dxa"/>
              <w:bottom w:w="40" w:type="dxa"/>
              <w:right w:w="40" w:type="dxa"/>
            </w:tcMar>
            <w:vAlign w:val="bottom"/>
          </w:tcPr>
          <w:p w14:paraId="5556BE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BE17"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As of December 31, 2018</w:t>
            </w:r>
          </w:p>
        </w:tc>
        <w:tc>
          <w:tcPr>
            <w:tcW w:w="0" w:type="auto"/>
            <w:shd w:val="clear" w:color="auto" w:fill="auto"/>
            <w:tcMar>
              <w:top w:w="40" w:type="dxa"/>
              <w:left w:w="40" w:type="dxa"/>
              <w:bottom w:w="40" w:type="dxa"/>
              <w:right w:w="40" w:type="dxa"/>
            </w:tcMar>
            <w:vAlign w:val="bottom"/>
          </w:tcPr>
          <w:p w14:paraId="5556BE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BE19"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Valuation Technique</w:t>
            </w:r>
          </w:p>
        </w:tc>
        <w:tc>
          <w:tcPr>
            <w:tcW w:w="0" w:type="auto"/>
            <w:shd w:val="clear" w:color="auto" w:fill="auto"/>
            <w:tcMar>
              <w:top w:w="40" w:type="dxa"/>
              <w:left w:w="40" w:type="dxa"/>
              <w:bottom w:w="40" w:type="dxa"/>
              <w:right w:w="40" w:type="dxa"/>
            </w:tcMar>
            <w:vAlign w:val="bottom"/>
          </w:tcPr>
          <w:p w14:paraId="5556BE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BE1B"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Significant Unobservable Input(1)</w:t>
            </w:r>
          </w:p>
        </w:tc>
        <w:tc>
          <w:tcPr>
            <w:tcW w:w="0" w:type="auto"/>
            <w:shd w:val="clear" w:color="auto" w:fill="auto"/>
            <w:tcMar>
              <w:top w:w="40" w:type="dxa"/>
              <w:left w:w="40" w:type="dxa"/>
              <w:bottom w:w="40" w:type="dxa"/>
              <w:right w:w="40" w:type="dxa"/>
            </w:tcMar>
            <w:vAlign w:val="bottom"/>
          </w:tcPr>
          <w:p w14:paraId="5556BE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BE1D"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As of December 31, 2019</w:t>
            </w:r>
          </w:p>
        </w:tc>
        <w:tc>
          <w:tcPr>
            <w:tcW w:w="0" w:type="auto"/>
            <w:shd w:val="clear" w:color="auto" w:fill="auto"/>
            <w:tcMar>
              <w:top w:w="40" w:type="dxa"/>
              <w:left w:w="40" w:type="dxa"/>
              <w:bottom w:w="40" w:type="dxa"/>
              <w:right w:w="40" w:type="dxa"/>
            </w:tcMar>
            <w:vAlign w:val="bottom"/>
          </w:tcPr>
          <w:p w14:paraId="5556BE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BE1F"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As of December 31, 2018</w:t>
            </w:r>
          </w:p>
        </w:tc>
      </w:tr>
      <w:tr w:rsidR="00F925DD" w14:paraId="5556BE22" w14:textId="77777777">
        <w:trPr>
          <w:jc w:val="center"/>
        </w:trPr>
        <w:tc>
          <w:tcPr>
            <w:tcW w:w="0" w:type="auto"/>
            <w:gridSpan w:val="18"/>
            <w:shd w:val="clear" w:color="auto" w:fill="auto"/>
            <w:tcMar>
              <w:top w:w="40" w:type="dxa"/>
              <w:left w:w="40" w:type="dxa"/>
              <w:bottom w:w="40" w:type="dxa"/>
              <w:right w:w="40" w:type="dxa"/>
            </w:tcMar>
            <w:vAlign w:val="bottom"/>
          </w:tcPr>
          <w:p w14:paraId="5556BE21"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Significant unobservable inputs readily available to State Street:</w:t>
            </w:r>
          </w:p>
        </w:tc>
      </w:tr>
      <w:tr w:rsidR="00F925DD" w14:paraId="5556BE2F" w14:textId="77777777">
        <w:trPr>
          <w:jc w:val="center"/>
        </w:trPr>
        <w:tc>
          <w:tcPr>
            <w:tcW w:w="0" w:type="auto"/>
            <w:shd w:val="clear" w:color="auto" w:fill="auto"/>
            <w:tcMar>
              <w:top w:w="40" w:type="dxa"/>
              <w:left w:w="40" w:type="dxa"/>
              <w:bottom w:w="40" w:type="dxa"/>
              <w:right w:w="40" w:type="dxa"/>
            </w:tcMar>
            <w:vAlign w:val="bottom"/>
          </w:tcPr>
          <w:p w14:paraId="5556BE23"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Assets:</w:t>
            </w:r>
          </w:p>
        </w:tc>
        <w:tc>
          <w:tcPr>
            <w:tcW w:w="0" w:type="auto"/>
            <w:gridSpan w:val="3"/>
            <w:shd w:val="clear" w:color="auto" w:fill="auto"/>
            <w:tcMar>
              <w:top w:w="40" w:type="dxa"/>
              <w:left w:w="40" w:type="dxa"/>
              <w:bottom w:w="40" w:type="dxa"/>
              <w:right w:w="40" w:type="dxa"/>
            </w:tcMar>
            <w:vAlign w:val="bottom"/>
          </w:tcPr>
          <w:p w14:paraId="5556BE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E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BE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BE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E42" w14:textId="77777777">
        <w:trPr>
          <w:jc w:val="center"/>
        </w:trPr>
        <w:tc>
          <w:tcPr>
            <w:tcW w:w="0" w:type="auto"/>
            <w:shd w:val="clear" w:color="auto" w:fill="CCEEFF"/>
            <w:tcMar>
              <w:top w:w="40" w:type="dxa"/>
              <w:left w:w="40" w:type="dxa"/>
              <w:bottom w:w="40" w:type="dxa"/>
              <w:right w:w="40" w:type="dxa"/>
            </w:tcMar>
            <w:vAlign w:val="bottom"/>
          </w:tcPr>
          <w:p w14:paraId="5556BE30" w14:textId="77777777" w:rsidR="00F925DD" w:rsidRDefault="00E705D7">
            <w:pPr>
              <w:textAlignment w:val="bottom"/>
              <w:rPr>
                <w:rFonts w:ascii="Times New Roman" w:hAnsi="Times New Roman"/>
                <w:sz w:val="13"/>
                <w:szCs w:val="13"/>
              </w:rPr>
            </w:pPr>
            <w:r>
              <w:rPr>
                <w:rFonts w:ascii="Arial" w:eastAsia="宋体" w:hAnsi="Arial" w:cs="Arial"/>
                <w:sz w:val="13"/>
                <w:szCs w:val="13"/>
              </w:rPr>
              <w:t>Derivative Instruments, foreign exchange contracts</w:t>
            </w:r>
          </w:p>
        </w:tc>
        <w:tc>
          <w:tcPr>
            <w:tcW w:w="0" w:type="auto"/>
            <w:shd w:val="clear" w:color="auto" w:fill="CCEEFF"/>
            <w:tcMar>
              <w:top w:w="40" w:type="dxa"/>
              <w:left w:w="40" w:type="dxa"/>
              <w:bottom w:w="40" w:type="dxa"/>
            </w:tcMar>
            <w:vAlign w:val="bottom"/>
          </w:tcPr>
          <w:p w14:paraId="5556BE31"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5556BE32"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4</w:t>
            </w:r>
          </w:p>
        </w:tc>
        <w:tc>
          <w:tcPr>
            <w:tcW w:w="0" w:type="auto"/>
            <w:shd w:val="clear" w:color="auto" w:fill="CCEEFF"/>
            <w:vAlign w:val="bottom"/>
          </w:tcPr>
          <w:p w14:paraId="5556BE3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E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E35"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5556BE36"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4</w:t>
            </w:r>
          </w:p>
        </w:tc>
        <w:tc>
          <w:tcPr>
            <w:tcW w:w="0" w:type="auto"/>
            <w:shd w:val="clear" w:color="auto" w:fill="CCEEFF"/>
            <w:vAlign w:val="bottom"/>
          </w:tcPr>
          <w:p w14:paraId="5556BE3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E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39" w14:textId="77777777" w:rsidR="00F925DD" w:rsidRDefault="00E705D7">
            <w:pPr>
              <w:textAlignment w:val="bottom"/>
              <w:rPr>
                <w:rFonts w:ascii="Times New Roman" w:hAnsi="Times New Roman"/>
                <w:sz w:val="13"/>
                <w:szCs w:val="13"/>
              </w:rPr>
            </w:pPr>
            <w:r>
              <w:rPr>
                <w:rFonts w:ascii="Arial" w:eastAsia="宋体" w:hAnsi="Arial" w:cs="Arial"/>
                <w:sz w:val="13"/>
                <w:szCs w:val="13"/>
              </w:rPr>
              <w:t>Option model</w:t>
            </w:r>
          </w:p>
        </w:tc>
        <w:tc>
          <w:tcPr>
            <w:tcW w:w="0" w:type="auto"/>
            <w:shd w:val="clear" w:color="auto" w:fill="CCEEFF"/>
            <w:tcMar>
              <w:top w:w="40" w:type="dxa"/>
              <w:left w:w="40" w:type="dxa"/>
              <w:bottom w:w="40" w:type="dxa"/>
              <w:right w:w="40" w:type="dxa"/>
            </w:tcMar>
            <w:vAlign w:val="bottom"/>
          </w:tcPr>
          <w:p w14:paraId="5556BE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3B" w14:textId="77777777" w:rsidR="00F925DD" w:rsidRDefault="00E705D7">
            <w:pPr>
              <w:textAlignment w:val="bottom"/>
              <w:rPr>
                <w:rFonts w:ascii="Times New Roman" w:hAnsi="Times New Roman"/>
                <w:sz w:val="13"/>
                <w:szCs w:val="13"/>
              </w:rPr>
            </w:pPr>
            <w:r>
              <w:rPr>
                <w:rFonts w:ascii="Arial" w:eastAsia="宋体" w:hAnsi="Arial" w:cs="Arial"/>
                <w:sz w:val="13"/>
                <w:szCs w:val="13"/>
              </w:rPr>
              <w:t>Volatility</w:t>
            </w:r>
          </w:p>
        </w:tc>
        <w:tc>
          <w:tcPr>
            <w:tcW w:w="0" w:type="auto"/>
            <w:shd w:val="clear" w:color="auto" w:fill="CCEEFF"/>
            <w:tcMar>
              <w:top w:w="40" w:type="dxa"/>
              <w:left w:w="40" w:type="dxa"/>
              <w:bottom w:w="40" w:type="dxa"/>
              <w:right w:w="40" w:type="dxa"/>
            </w:tcMar>
            <w:vAlign w:val="bottom"/>
          </w:tcPr>
          <w:p w14:paraId="5556BE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E3D"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8.2</w:t>
            </w:r>
          </w:p>
        </w:tc>
        <w:tc>
          <w:tcPr>
            <w:tcW w:w="0" w:type="auto"/>
            <w:shd w:val="clear" w:color="auto" w:fill="CCEEFF"/>
            <w:tcMar>
              <w:top w:w="40" w:type="dxa"/>
              <w:bottom w:w="40" w:type="dxa"/>
              <w:right w:w="40" w:type="dxa"/>
            </w:tcMar>
            <w:vAlign w:val="bottom"/>
          </w:tcPr>
          <w:p w14:paraId="5556BE3E"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5556BE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E40"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11.4</w:t>
            </w:r>
          </w:p>
        </w:tc>
        <w:tc>
          <w:tcPr>
            <w:tcW w:w="0" w:type="auto"/>
            <w:shd w:val="clear" w:color="auto" w:fill="CCEEFF"/>
            <w:tcMar>
              <w:top w:w="40" w:type="dxa"/>
              <w:bottom w:w="40" w:type="dxa"/>
              <w:right w:w="40" w:type="dxa"/>
            </w:tcMar>
            <w:vAlign w:val="bottom"/>
          </w:tcPr>
          <w:p w14:paraId="5556BE41"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r>
      <w:tr w:rsidR="00F925DD" w14:paraId="5556BE53" w14:textId="77777777">
        <w:trPr>
          <w:jc w:val="center"/>
        </w:trPr>
        <w:tc>
          <w:tcPr>
            <w:tcW w:w="0" w:type="auto"/>
            <w:shd w:val="clear" w:color="auto" w:fill="auto"/>
            <w:tcMar>
              <w:top w:w="40" w:type="dxa"/>
              <w:left w:w="240" w:type="dxa"/>
              <w:bottom w:w="40" w:type="dxa"/>
              <w:right w:w="40" w:type="dxa"/>
            </w:tcMar>
            <w:vAlign w:val="bottom"/>
          </w:tcPr>
          <w:p w14:paraId="5556BE43" w14:textId="77777777" w:rsidR="00F925DD" w:rsidRDefault="00E705D7">
            <w:pPr>
              <w:textAlignment w:val="bottom"/>
              <w:rPr>
                <w:rFonts w:ascii="Times New Roman" w:hAnsi="Times New Roman"/>
                <w:sz w:val="13"/>
                <w:szCs w:val="13"/>
              </w:rPr>
            </w:pPr>
            <w:r>
              <w:rPr>
                <w:rFonts w:ascii="Arial" w:eastAsia="宋体" w:hAnsi="Arial" w:cs="Arial"/>
                <w:sz w:val="13"/>
                <w:szCs w:val="13"/>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E44"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BE45"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4</w:t>
            </w:r>
          </w:p>
        </w:tc>
        <w:tc>
          <w:tcPr>
            <w:tcW w:w="0" w:type="auto"/>
            <w:tcBorders>
              <w:top w:val="single" w:sz="8" w:space="0" w:color="000000"/>
              <w:bottom w:val="double" w:sz="6" w:space="0" w:color="000000"/>
            </w:tcBorders>
            <w:shd w:val="clear" w:color="auto" w:fill="auto"/>
            <w:vAlign w:val="bottom"/>
          </w:tcPr>
          <w:p w14:paraId="5556BE4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E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BE48"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BE49"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4</w:t>
            </w:r>
          </w:p>
        </w:tc>
        <w:tc>
          <w:tcPr>
            <w:tcW w:w="0" w:type="auto"/>
            <w:tcBorders>
              <w:top w:val="single" w:sz="8" w:space="0" w:color="000000"/>
              <w:bottom w:val="double" w:sz="6" w:space="0" w:color="000000"/>
            </w:tcBorders>
            <w:shd w:val="clear" w:color="auto" w:fill="auto"/>
            <w:vAlign w:val="bottom"/>
          </w:tcPr>
          <w:p w14:paraId="5556BE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E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BE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BE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E60" w14:textId="77777777">
        <w:trPr>
          <w:jc w:val="center"/>
        </w:trPr>
        <w:tc>
          <w:tcPr>
            <w:tcW w:w="0" w:type="auto"/>
            <w:shd w:val="clear" w:color="auto" w:fill="CCEEFF"/>
            <w:tcMar>
              <w:top w:w="40" w:type="dxa"/>
              <w:left w:w="40" w:type="dxa"/>
              <w:bottom w:w="40" w:type="dxa"/>
              <w:right w:w="40" w:type="dxa"/>
            </w:tcMar>
            <w:vAlign w:val="bottom"/>
          </w:tcPr>
          <w:p w14:paraId="5556BE54"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Liabilities:</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5556BE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E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BE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BE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E73" w14:textId="77777777">
        <w:trPr>
          <w:jc w:val="center"/>
        </w:trPr>
        <w:tc>
          <w:tcPr>
            <w:tcW w:w="0" w:type="auto"/>
            <w:shd w:val="clear" w:color="auto" w:fill="auto"/>
            <w:tcMar>
              <w:top w:w="40" w:type="dxa"/>
              <w:left w:w="40" w:type="dxa"/>
              <w:bottom w:w="40" w:type="dxa"/>
              <w:right w:w="40" w:type="dxa"/>
            </w:tcMar>
            <w:vAlign w:val="bottom"/>
          </w:tcPr>
          <w:p w14:paraId="5556BE61" w14:textId="77777777" w:rsidR="00F925DD" w:rsidRDefault="00E705D7">
            <w:pPr>
              <w:textAlignment w:val="bottom"/>
              <w:rPr>
                <w:rFonts w:ascii="Times New Roman" w:hAnsi="Times New Roman"/>
                <w:sz w:val="13"/>
                <w:szCs w:val="13"/>
              </w:rPr>
            </w:pPr>
            <w:r>
              <w:rPr>
                <w:rFonts w:ascii="Arial" w:eastAsia="宋体" w:hAnsi="Arial" w:cs="Arial"/>
                <w:sz w:val="13"/>
                <w:szCs w:val="13"/>
              </w:rPr>
              <w:t>Derivative instruments, foreign exchange contracts</w:t>
            </w:r>
          </w:p>
        </w:tc>
        <w:tc>
          <w:tcPr>
            <w:tcW w:w="0" w:type="auto"/>
            <w:shd w:val="clear" w:color="auto" w:fill="auto"/>
            <w:tcMar>
              <w:top w:w="40" w:type="dxa"/>
              <w:left w:w="40" w:type="dxa"/>
              <w:bottom w:w="40" w:type="dxa"/>
            </w:tcMar>
            <w:vAlign w:val="bottom"/>
          </w:tcPr>
          <w:p w14:paraId="5556BE62"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bottom w:w="40" w:type="dxa"/>
            </w:tcMar>
            <w:vAlign w:val="bottom"/>
          </w:tcPr>
          <w:p w14:paraId="5556BE63"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3</w:t>
            </w:r>
          </w:p>
        </w:tc>
        <w:tc>
          <w:tcPr>
            <w:tcW w:w="0" w:type="auto"/>
            <w:shd w:val="clear" w:color="auto" w:fill="auto"/>
            <w:vAlign w:val="bottom"/>
          </w:tcPr>
          <w:p w14:paraId="5556BE6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E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BE66"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bottom w:w="40" w:type="dxa"/>
            </w:tcMar>
            <w:vAlign w:val="bottom"/>
          </w:tcPr>
          <w:p w14:paraId="5556BE67"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4</w:t>
            </w:r>
          </w:p>
        </w:tc>
        <w:tc>
          <w:tcPr>
            <w:tcW w:w="0" w:type="auto"/>
            <w:shd w:val="clear" w:color="auto" w:fill="auto"/>
            <w:vAlign w:val="bottom"/>
          </w:tcPr>
          <w:p w14:paraId="5556BE6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E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6A" w14:textId="77777777" w:rsidR="00F925DD" w:rsidRDefault="00E705D7">
            <w:pPr>
              <w:textAlignment w:val="bottom"/>
              <w:rPr>
                <w:rFonts w:ascii="Times New Roman" w:hAnsi="Times New Roman"/>
                <w:sz w:val="13"/>
                <w:szCs w:val="13"/>
              </w:rPr>
            </w:pPr>
            <w:r>
              <w:rPr>
                <w:rFonts w:ascii="Arial" w:eastAsia="宋体" w:hAnsi="Arial" w:cs="Arial"/>
                <w:sz w:val="13"/>
                <w:szCs w:val="13"/>
              </w:rPr>
              <w:t>Option model</w:t>
            </w:r>
          </w:p>
        </w:tc>
        <w:tc>
          <w:tcPr>
            <w:tcW w:w="0" w:type="auto"/>
            <w:shd w:val="clear" w:color="auto" w:fill="auto"/>
            <w:tcMar>
              <w:top w:w="40" w:type="dxa"/>
              <w:left w:w="40" w:type="dxa"/>
              <w:bottom w:w="40" w:type="dxa"/>
              <w:right w:w="40" w:type="dxa"/>
            </w:tcMar>
            <w:vAlign w:val="bottom"/>
          </w:tcPr>
          <w:p w14:paraId="5556BE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6C" w14:textId="77777777" w:rsidR="00F925DD" w:rsidRDefault="00E705D7">
            <w:pPr>
              <w:textAlignment w:val="bottom"/>
              <w:rPr>
                <w:rFonts w:ascii="Times New Roman" w:hAnsi="Times New Roman"/>
                <w:sz w:val="13"/>
                <w:szCs w:val="13"/>
              </w:rPr>
            </w:pPr>
            <w:r>
              <w:rPr>
                <w:rFonts w:ascii="Arial" w:eastAsia="宋体" w:hAnsi="Arial" w:cs="Arial"/>
                <w:sz w:val="13"/>
                <w:szCs w:val="13"/>
              </w:rPr>
              <w:t>Volatility</w:t>
            </w:r>
          </w:p>
        </w:tc>
        <w:tc>
          <w:tcPr>
            <w:tcW w:w="0" w:type="auto"/>
            <w:shd w:val="clear" w:color="auto" w:fill="auto"/>
            <w:tcMar>
              <w:top w:w="40" w:type="dxa"/>
              <w:left w:w="40" w:type="dxa"/>
              <w:bottom w:w="40" w:type="dxa"/>
              <w:right w:w="40" w:type="dxa"/>
            </w:tcMar>
            <w:vAlign w:val="bottom"/>
          </w:tcPr>
          <w:p w14:paraId="5556BE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BE6E"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7.0</w:t>
            </w:r>
          </w:p>
        </w:tc>
        <w:tc>
          <w:tcPr>
            <w:tcW w:w="0" w:type="auto"/>
            <w:shd w:val="clear" w:color="auto" w:fill="auto"/>
            <w:tcMar>
              <w:top w:w="40" w:type="dxa"/>
              <w:bottom w:w="40" w:type="dxa"/>
              <w:right w:w="40" w:type="dxa"/>
            </w:tcMar>
            <w:vAlign w:val="bottom"/>
          </w:tcPr>
          <w:p w14:paraId="5556BE6F"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5556BE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BE71"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11.4</w:t>
            </w:r>
          </w:p>
        </w:tc>
        <w:tc>
          <w:tcPr>
            <w:tcW w:w="0" w:type="auto"/>
            <w:shd w:val="clear" w:color="auto" w:fill="auto"/>
            <w:tcMar>
              <w:top w:w="40" w:type="dxa"/>
              <w:bottom w:w="40" w:type="dxa"/>
              <w:right w:w="40" w:type="dxa"/>
            </w:tcMar>
            <w:vAlign w:val="bottom"/>
          </w:tcPr>
          <w:p w14:paraId="5556BE72"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r>
      <w:tr w:rsidR="00F925DD" w14:paraId="5556BE84" w14:textId="77777777">
        <w:trPr>
          <w:jc w:val="center"/>
        </w:trPr>
        <w:tc>
          <w:tcPr>
            <w:tcW w:w="0" w:type="auto"/>
            <w:shd w:val="clear" w:color="auto" w:fill="CCEEFF"/>
            <w:tcMar>
              <w:top w:w="40" w:type="dxa"/>
              <w:left w:w="240" w:type="dxa"/>
              <w:bottom w:w="40" w:type="dxa"/>
              <w:right w:w="40" w:type="dxa"/>
            </w:tcMar>
            <w:vAlign w:val="bottom"/>
          </w:tcPr>
          <w:p w14:paraId="5556BE74" w14:textId="77777777" w:rsidR="00F925DD" w:rsidRDefault="00E705D7">
            <w:pPr>
              <w:textAlignment w:val="bottom"/>
              <w:rPr>
                <w:rFonts w:ascii="Times New Roman" w:hAnsi="Times New Roman"/>
                <w:sz w:val="13"/>
                <w:szCs w:val="13"/>
              </w:rPr>
            </w:pPr>
            <w:r>
              <w:rPr>
                <w:rFonts w:ascii="Arial" w:eastAsia="宋体" w:hAnsi="Arial" w:cs="Arial"/>
                <w:sz w:val="13"/>
                <w:szCs w:val="13"/>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E75"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E76"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3</w:t>
            </w:r>
          </w:p>
        </w:tc>
        <w:tc>
          <w:tcPr>
            <w:tcW w:w="0" w:type="auto"/>
            <w:tcBorders>
              <w:top w:val="single" w:sz="8" w:space="0" w:color="000000"/>
              <w:bottom w:val="double" w:sz="6" w:space="0" w:color="000000"/>
            </w:tcBorders>
            <w:shd w:val="clear" w:color="auto" w:fill="CCEEFF"/>
            <w:vAlign w:val="bottom"/>
          </w:tcPr>
          <w:p w14:paraId="5556BE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E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BE79"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BE7A"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4</w:t>
            </w:r>
          </w:p>
        </w:tc>
        <w:tc>
          <w:tcPr>
            <w:tcW w:w="0" w:type="auto"/>
            <w:tcBorders>
              <w:top w:val="single" w:sz="8" w:space="0" w:color="000000"/>
              <w:bottom w:val="double" w:sz="6" w:space="0" w:color="000000"/>
            </w:tcBorders>
            <w:shd w:val="clear" w:color="auto" w:fill="CCEEFF"/>
            <w:vAlign w:val="bottom"/>
          </w:tcPr>
          <w:p w14:paraId="5556BE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E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BE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E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BE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BE85" w14:textId="77777777" w:rsidR="00F925DD" w:rsidRDefault="00F925DD">
      <w:pPr>
        <w:rPr>
          <w:vanish/>
        </w:rPr>
      </w:pPr>
    </w:p>
    <w:tbl>
      <w:tblPr>
        <w:tblW w:w="5000" w:type="pct"/>
        <w:jc w:val="center"/>
        <w:tblCellMar>
          <w:left w:w="0" w:type="dxa"/>
          <w:right w:w="0" w:type="dxa"/>
        </w:tblCellMar>
        <w:tblLook w:val="04A0" w:firstRow="1" w:lastRow="0" w:firstColumn="1" w:lastColumn="0" w:noHBand="0" w:noVBand="1"/>
      </w:tblPr>
      <w:tblGrid>
        <w:gridCol w:w="2409"/>
        <w:gridCol w:w="1163"/>
        <w:gridCol w:w="1578"/>
        <w:gridCol w:w="3156"/>
      </w:tblGrid>
      <w:tr w:rsidR="00F925DD" w14:paraId="5556BE87" w14:textId="77777777">
        <w:trPr>
          <w:jc w:val="center"/>
        </w:trPr>
        <w:tc>
          <w:tcPr>
            <w:tcW w:w="0" w:type="auto"/>
            <w:gridSpan w:val="4"/>
            <w:shd w:val="clear" w:color="auto" w:fill="auto"/>
            <w:vAlign w:val="center"/>
          </w:tcPr>
          <w:p w14:paraId="5556BE86" w14:textId="77777777" w:rsidR="00F925DD" w:rsidRDefault="00F925DD">
            <w:pPr>
              <w:rPr>
                <w:rFonts w:ascii="Times New Roman" w:hAnsi="Times New Roman"/>
                <w:sz w:val="20"/>
                <w:szCs w:val="20"/>
              </w:rPr>
            </w:pPr>
          </w:p>
        </w:tc>
      </w:tr>
      <w:tr w:rsidR="00F925DD" w14:paraId="5556BE8C" w14:textId="77777777">
        <w:trPr>
          <w:jc w:val="center"/>
        </w:trPr>
        <w:tc>
          <w:tcPr>
            <w:tcW w:w="1450" w:type="pct"/>
            <w:shd w:val="clear" w:color="auto" w:fill="auto"/>
            <w:vAlign w:val="center"/>
          </w:tcPr>
          <w:p w14:paraId="5556BE88" w14:textId="77777777" w:rsidR="00F925DD" w:rsidRDefault="00F925DD">
            <w:pPr>
              <w:rPr>
                <w:rFonts w:ascii="Times New Roman" w:hAnsi="Times New Roman"/>
                <w:sz w:val="20"/>
                <w:szCs w:val="20"/>
              </w:rPr>
            </w:pPr>
          </w:p>
        </w:tc>
        <w:tc>
          <w:tcPr>
            <w:tcW w:w="700" w:type="pct"/>
            <w:shd w:val="clear" w:color="auto" w:fill="auto"/>
            <w:vAlign w:val="center"/>
          </w:tcPr>
          <w:p w14:paraId="5556BE89" w14:textId="77777777" w:rsidR="00F925DD" w:rsidRDefault="00F925DD">
            <w:pPr>
              <w:rPr>
                <w:rFonts w:ascii="Times New Roman" w:hAnsi="Times New Roman"/>
                <w:sz w:val="20"/>
                <w:szCs w:val="20"/>
              </w:rPr>
            </w:pPr>
          </w:p>
        </w:tc>
        <w:tc>
          <w:tcPr>
            <w:tcW w:w="950" w:type="pct"/>
            <w:shd w:val="clear" w:color="auto" w:fill="auto"/>
            <w:vAlign w:val="center"/>
          </w:tcPr>
          <w:p w14:paraId="5556BE8A" w14:textId="77777777" w:rsidR="00F925DD" w:rsidRDefault="00F925DD">
            <w:pPr>
              <w:rPr>
                <w:rFonts w:ascii="Times New Roman" w:hAnsi="Times New Roman"/>
                <w:sz w:val="20"/>
                <w:szCs w:val="20"/>
              </w:rPr>
            </w:pPr>
          </w:p>
        </w:tc>
        <w:tc>
          <w:tcPr>
            <w:tcW w:w="1900" w:type="pct"/>
            <w:shd w:val="clear" w:color="auto" w:fill="auto"/>
            <w:vAlign w:val="center"/>
          </w:tcPr>
          <w:p w14:paraId="5556BE8B" w14:textId="77777777" w:rsidR="00F925DD" w:rsidRDefault="00F925DD">
            <w:pPr>
              <w:rPr>
                <w:rFonts w:ascii="Times New Roman" w:hAnsi="Times New Roman"/>
                <w:sz w:val="20"/>
                <w:szCs w:val="20"/>
              </w:rPr>
            </w:pPr>
          </w:p>
        </w:tc>
      </w:tr>
      <w:tr w:rsidR="00F925DD" w14:paraId="5556BE91"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556BE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BE92" w14:textId="77777777" w:rsidR="00F925DD" w:rsidRDefault="00E705D7">
      <w:pPr>
        <w:spacing w:line="288" w:lineRule="auto"/>
        <w:rPr>
          <w:rFonts w:ascii="Times New Roman" w:hAnsi="Times New Roman"/>
          <w:sz w:val="13"/>
          <w:szCs w:val="13"/>
        </w:rPr>
      </w:pPr>
      <w:r>
        <w:rPr>
          <w:rFonts w:ascii="Arial" w:eastAsia="宋体" w:hAnsi="Arial" w:cs="Arial"/>
          <w:sz w:val="13"/>
          <w:szCs w:val="13"/>
        </w:rPr>
        <w:t>(1) Significant changes in these unobservable inputs may result in significant changes in fair value measurement of the derivative instrument.</w:t>
      </w:r>
    </w:p>
    <w:p w14:paraId="5556BE93" w14:textId="77777777" w:rsidR="00F925DD" w:rsidRDefault="00F925DD">
      <w:pPr>
        <w:rPr>
          <w:rFonts w:ascii="Times New Roman" w:hAnsi="Times New Roman"/>
          <w:sz w:val="20"/>
          <w:szCs w:val="20"/>
        </w:rPr>
      </w:pPr>
    </w:p>
    <w:p w14:paraId="5556BE94"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w:t>
      </w:r>
      <w:r>
        <w:rPr>
          <w:rFonts w:ascii="Arial" w:eastAsia="宋体" w:hAnsi="Arial" w:cs="Arial"/>
          <w:sz w:val="18"/>
          <w:szCs w:val="18"/>
        </w:rPr>
        <w:t>Street Corporation | 133</w:t>
      </w:r>
    </w:p>
    <w:p w14:paraId="5556BE95" w14:textId="77777777" w:rsidR="00F925DD" w:rsidRDefault="00F925DD">
      <w:pPr>
        <w:spacing w:line="288" w:lineRule="auto"/>
        <w:ind w:firstLine="600"/>
        <w:jc w:val="center"/>
        <w:rPr>
          <w:rFonts w:ascii="Times New Roman" w:hAnsi="Times New Roman"/>
          <w:sz w:val="18"/>
          <w:szCs w:val="18"/>
        </w:rPr>
      </w:pPr>
    </w:p>
    <w:p w14:paraId="5556BE96" w14:textId="77777777" w:rsidR="00F925DD" w:rsidRDefault="00E705D7">
      <w:r>
        <w:rPr>
          <w:rFonts w:ascii="Times New Roman" w:hAnsi="Times New Roman"/>
          <w:sz w:val="18"/>
          <w:szCs w:val="18"/>
        </w:rPr>
        <w:pict w14:anchorId="555706BF">
          <v:rect id="_x0000_i1157" style="width:415.3pt;height:1.5pt" o:hralign="center" o:hrstd="t" o:hr="t" fillcolor="#a0a0a0" stroked="f"/>
        </w:pict>
      </w:r>
    </w:p>
    <w:p w14:paraId="5556BE9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E9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BE99" w14:textId="77777777" w:rsidR="00F925DD" w:rsidRDefault="00F925DD">
      <w:pPr>
        <w:rPr>
          <w:rFonts w:ascii="Times New Roman" w:hAnsi="Times New Roman"/>
          <w:sz w:val="20"/>
          <w:szCs w:val="20"/>
        </w:rPr>
      </w:pPr>
    </w:p>
    <w:p w14:paraId="5556BE9A"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Financial Instruments Not Carried at Fair Value</w:t>
      </w:r>
    </w:p>
    <w:p w14:paraId="5556BE9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Estimates of fair value for financial instruments not carried at fair value on a recurring basis in our </w:t>
      </w:r>
      <w:r>
        <w:rPr>
          <w:rFonts w:ascii="Arial" w:eastAsia="宋体" w:hAnsi="Arial" w:cs="Arial"/>
          <w:sz w:val="20"/>
          <w:szCs w:val="20"/>
        </w:rPr>
        <w:t>consolidated statement of condition are generally subjective in nature, and are determined as of a specific point in time based on the characteristics of the financial instruments and relevant market information. Disclosure of fair value estimates is not r</w:t>
      </w:r>
      <w:r>
        <w:rPr>
          <w:rFonts w:ascii="Arial" w:eastAsia="宋体" w:hAnsi="Arial" w:cs="Arial"/>
          <w:sz w:val="20"/>
          <w:szCs w:val="20"/>
        </w:rPr>
        <w:t>equired by U.S. GAAP for certain items, such as lease financing, equity- method investments, obligations for pension and other post-retirement plans, premises and equipment, other intangible assets and income-tax assets and liabilities. Accordingly, aggreg</w:t>
      </w:r>
      <w:r>
        <w:rPr>
          <w:rFonts w:ascii="Arial" w:eastAsia="宋体" w:hAnsi="Arial" w:cs="Arial"/>
          <w:sz w:val="20"/>
          <w:szCs w:val="20"/>
        </w:rPr>
        <w:t>ate fair-value estimates presented do not purport to represent, and should not be considered representative of, our underlying “market” or franchise value. In addition, because of potential differences in methodologies and assumptions used to estimate fair</w:t>
      </w:r>
      <w:r>
        <w:rPr>
          <w:rFonts w:ascii="Arial" w:eastAsia="宋体" w:hAnsi="Arial" w:cs="Arial"/>
          <w:sz w:val="20"/>
          <w:szCs w:val="20"/>
        </w:rPr>
        <w:t xml:space="preserve"> values, our estimates of fair value should not be compared to those of other financial institutions.</w:t>
      </w:r>
    </w:p>
    <w:p w14:paraId="5556BE9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the following methods to estimate the fair values of our financial instruments:</w:t>
      </w: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925DD" w14:paraId="5556BE9F" w14:textId="77777777">
        <w:trPr>
          <w:tblCellSpacing w:w="0" w:type="dxa"/>
        </w:trPr>
        <w:tc>
          <w:tcPr>
            <w:tcW w:w="1440" w:type="dxa"/>
            <w:shd w:val="clear" w:color="auto" w:fill="auto"/>
            <w:vAlign w:val="center"/>
          </w:tcPr>
          <w:p w14:paraId="5556BE9D" w14:textId="77777777" w:rsidR="00F925DD" w:rsidRDefault="00F925DD">
            <w:pPr>
              <w:rPr>
                <w:rFonts w:ascii="Times New Roman" w:hAnsi="Times New Roman"/>
                <w:sz w:val="20"/>
                <w:szCs w:val="20"/>
              </w:rPr>
            </w:pPr>
          </w:p>
        </w:tc>
        <w:tc>
          <w:tcPr>
            <w:tcW w:w="0" w:type="auto"/>
            <w:shd w:val="clear" w:color="auto" w:fill="auto"/>
            <w:vAlign w:val="center"/>
          </w:tcPr>
          <w:p w14:paraId="5556BE9E" w14:textId="77777777" w:rsidR="00F925DD" w:rsidRDefault="00F925DD">
            <w:pPr>
              <w:rPr>
                <w:rFonts w:ascii="Times New Roman" w:hAnsi="Times New Roman"/>
                <w:sz w:val="20"/>
                <w:szCs w:val="20"/>
              </w:rPr>
            </w:pPr>
          </w:p>
        </w:tc>
      </w:tr>
      <w:tr w:rsidR="00F925DD" w14:paraId="5556BEA2" w14:textId="77777777">
        <w:trPr>
          <w:tblCellSpacing w:w="0" w:type="dxa"/>
        </w:trPr>
        <w:tc>
          <w:tcPr>
            <w:tcW w:w="0" w:type="auto"/>
            <w:shd w:val="clear" w:color="auto" w:fill="auto"/>
          </w:tcPr>
          <w:p w14:paraId="5556BEA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BEA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For financial instruments that have quoted market </w:t>
            </w:r>
            <w:r>
              <w:rPr>
                <w:rFonts w:ascii="Arial" w:eastAsia="宋体" w:hAnsi="Arial" w:cs="Arial"/>
                <w:sz w:val="20"/>
                <w:szCs w:val="20"/>
              </w:rPr>
              <w:t>prices, those quoted prices are used to estimate fair value;</w:t>
            </w:r>
          </w:p>
        </w:tc>
      </w:tr>
    </w:tbl>
    <w:p w14:paraId="5556BEA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925DD" w14:paraId="5556BEA6" w14:textId="77777777">
        <w:trPr>
          <w:tblCellSpacing w:w="0" w:type="dxa"/>
        </w:trPr>
        <w:tc>
          <w:tcPr>
            <w:tcW w:w="1440" w:type="dxa"/>
            <w:shd w:val="clear" w:color="auto" w:fill="auto"/>
            <w:vAlign w:val="center"/>
          </w:tcPr>
          <w:p w14:paraId="5556BEA4" w14:textId="77777777" w:rsidR="00F925DD" w:rsidRDefault="00F925DD">
            <w:pPr>
              <w:rPr>
                <w:rFonts w:ascii="Times New Roman" w:hAnsi="Times New Roman"/>
                <w:sz w:val="20"/>
                <w:szCs w:val="20"/>
              </w:rPr>
            </w:pPr>
          </w:p>
        </w:tc>
        <w:tc>
          <w:tcPr>
            <w:tcW w:w="0" w:type="auto"/>
            <w:shd w:val="clear" w:color="auto" w:fill="auto"/>
            <w:vAlign w:val="center"/>
          </w:tcPr>
          <w:p w14:paraId="5556BEA5" w14:textId="77777777" w:rsidR="00F925DD" w:rsidRDefault="00F925DD">
            <w:pPr>
              <w:rPr>
                <w:rFonts w:ascii="Times New Roman" w:hAnsi="Times New Roman"/>
                <w:sz w:val="20"/>
                <w:szCs w:val="20"/>
              </w:rPr>
            </w:pPr>
          </w:p>
        </w:tc>
      </w:tr>
      <w:tr w:rsidR="00F925DD" w14:paraId="5556BEA9" w14:textId="77777777">
        <w:trPr>
          <w:tblCellSpacing w:w="0" w:type="dxa"/>
        </w:trPr>
        <w:tc>
          <w:tcPr>
            <w:tcW w:w="0" w:type="auto"/>
            <w:shd w:val="clear" w:color="auto" w:fill="auto"/>
          </w:tcPr>
          <w:p w14:paraId="5556BEA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BEA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For financial instruments that have no defined maturity, have a remaining maturity of 180 days or less, or reprice frequently to a market rate, we assume that the fair value of these instr</w:t>
            </w:r>
            <w:r>
              <w:rPr>
                <w:rFonts w:ascii="Arial" w:eastAsia="宋体" w:hAnsi="Arial" w:cs="Arial"/>
                <w:sz w:val="20"/>
                <w:szCs w:val="20"/>
              </w:rPr>
              <w:t>uments approximates their reported value, after taking into consideration any applicable credit risk; and</w:t>
            </w:r>
          </w:p>
        </w:tc>
      </w:tr>
    </w:tbl>
    <w:p w14:paraId="5556BEA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F925DD" w14:paraId="5556BEAD" w14:textId="77777777">
        <w:trPr>
          <w:tblCellSpacing w:w="0" w:type="dxa"/>
        </w:trPr>
        <w:tc>
          <w:tcPr>
            <w:tcW w:w="1440" w:type="dxa"/>
            <w:shd w:val="clear" w:color="auto" w:fill="auto"/>
            <w:vAlign w:val="center"/>
          </w:tcPr>
          <w:p w14:paraId="5556BEAB" w14:textId="77777777" w:rsidR="00F925DD" w:rsidRDefault="00F925DD">
            <w:pPr>
              <w:rPr>
                <w:rFonts w:ascii="Times New Roman" w:hAnsi="Times New Roman"/>
                <w:sz w:val="20"/>
                <w:szCs w:val="20"/>
              </w:rPr>
            </w:pPr>
          </w:p>
        </w:tc>
        <w:tc>
          <w:tcPr>
            <w:tcW w:w="0" w:type="auto"/>
            <w:shd w:val="clear" w:color="auto" w:fill="auto"/>
            <w:vAlign w:val="center"/>
          </w:tcPr>
          <w:p w14:paraId="5556BEAC" w14:textId="77777777" w:rsidR="00F925DD" w:rsidRDefault="00F925DD">
            <w:pPr>
              <w:rPr>
                <w:rFonts w:ascii="Times New Roman" w:hAnsi="Times New Roman"/>
                <w:sz w:val="20"/>
                <w:szCs w:val="20"/>
              </w:rPr>
            </w:pPr>
          </w:p>
        </w:tc>
      </w:tr>
      <w:tr w:rsidR="00F925DD" w14:paraId="5556BEB0" w14:textId="77777777">
        <w:trPr>
          <w:tblCellSpacing w:w="0" w:type="dxa"/>
        </w:trPr>
        <w:tc>
          <w:tcPr>
            <w:tcW w:w="0" w:type="auto"/>
            <w:shd w:val="clear" w:color="auto" w:fill="auto"/>
          </w:tcPr>
          <w:p w14:paraId="5556BEA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BEA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For financial instruments for which no quoted market prices are available, fair value is estimated using information obtained from </w:t>
            </w:r>
            <w:r>
              <w:rPr>
                <w:rFonts w:ascii="Arial" w:eastAsia="宋体" w:hAnsi="Arial" w:cs="Arial"/>
                <w:sz w:val="20"/>
                <w:szCs w:val="20"/>
              </w:rPr>
              <w:t>independent third parties, or by discounting the expected cash flows using an estimated current market interest rate for the financial instrument.</w:t>
            </w:r>
          </w:p>
        </w:tc>
      </w:tr>
    </w:tbl>
    <w:p w14:paraId="5556BEB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generally short duration of certain of our assets and liabilities results in a significant number of fin</w:t>
      </w:r>
      <w:r>
        <w:rPr>
          <w:rFonts w:ascii="Arial" w:eastAsia="宋体" w:hAnsi="Arial" w:cs="Arial"/>
          <w:sz w:val="20"/>
          <w:szCs w:val="20"/>
        </w:rPr>
        <w:t>ancial instruments for which fair value equals or closely approximates the amount recorded in our consolidated statement of condition. These financial instruments are reported in the following captions in our consolidated statement of condition: cash and d</w:t>
      </w:r>
      <w:r>
        <w:rPr>
          <w:rFonts w:ascii="Arial" w:eastAsia="宋体" w:hAnsi="Arial" w:cs="Arial"/>
          <w:sz w:val="20"/>
          <w:szCs w:val="20"/>
        </w:rPr>
        <w:t>ue from banks; interest-bearing deposits with banks; securities purchased under resale agreements; accrued interest and fees receivable; deposits; securities sold under repurchase agreements; and other short-term borrowings.</w:t>
      </w:r>
    </w:p>
    <w:p w14:paraId="5556BEB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due to the relativ</w:t>
      </w:r>
      <w:r>
        <w:rPr>
          <w:rFonts w:ascii="Arial" w:eastAsia="宋体" w:hAnsi="Arial" w:cs="Arial"/>
          <w:sz w:val="20"/>
          <w:szCs w:val="20"/>
        </w:rPr>
        <w:t>ely short duration of certain of our loans, we consider fair value for these loans to approximate their reported value. The fair value of other types of loans, such as senior secured bank loans, commercial real estate loans, purchased receivables and munic</w:t>
      </w:r>
      <w:r>
        <w:rPr>
          <w:rFonts w:ascii="Arial" w:eastAsia="宋体" w:hAnsi="Arial" w:cs="Arial"/>
          <w:sz w:val="20"/>
          <w:szCs w:val="20"/>
        </w:rPr>
        <w:t>ipal loans is estimated using information obtained from independent third parties or by discounting expected future cash flows using current rates at which similar loans would be made to borrowers with similar credit ratings for the same remaining maturiti</w:t>
      </w:r>
      <w:r>
        <w:rPr>
          <w:rFonts w:ascii="Arial" w:eastAsia="宋体" w:hAnsi="Arial" w:cs="Arial"/>
          <w:sz w:val="20"/>
          <w:szCs w:val="20"/>
        </w:rPr>
        <w:t>es. Commitments to lend have no reported value because their terms are at prevailing market rates.</w:t>
      </w:r>
    </w:p>
    <w:p w14:paraId="5556BEB3"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The following tables present the reported amounts and estimated fair values of the financial assets and liabilities not carried at fair value, as they </w:t>
      </w:r>
      <w:r>
        <w:rPr>
          <w:rFonts w:ascii="Arial" w:eastAsia="宋体" w:hAnsi="Arial" w:cs="Arial"/>
          <w:sz w:val="20"/>
          <w:szCs w:val="20"/>
        </w:rPr>
        <w:t>would be categorized within the fair value hierarchy, as of the dates indicated:</w:t>
      </w:r>
    </w:p>
    <w:tbl>
      <w:tblPr>
        <w:tblW w:w="5000" w:type="pct"/>
        <w:tblCellMar>
          <w:left w:w="0" w:type="dxa"/>
          <w:right w:w="0" w:type="dxa"/>
        </w:tblCellMar>
        <w:tblLook w:val="04A0" w:firstRow="1" w:lastRow="0" w:firstColumn="1" w:lastColumn="0" w:noHBand="0" w:noVBand="1"/>
      </w:tblPr>
      <w:tblGrid>
        <w:gridCol w:w="2190"/>
        <w:gridCol w:w="119"/>
        <w:gridCol w:w="568"/>
        <w:gridCol w:w="63"/>
        <w:gridCol w:w="130"/>
        <w:gridCol w:w="119"/>
        <w:gridCol w:w="613"/>
        <w:gridCol w:w="68"/>
        <w:gridCol w:w="130"/>
        <w:gridCol w:w="119"/>
        <w:gridCol w:w="974"/>
        <w:gridCol w:w="74"/>
        <w:gridCol w:w="130"/>
        <w:gridCol w:w="119"/>
        <w:gridCol w:w="1156"/>
        <w:gridCol w:w="88"/>
        <w:gridCol w:w="130"/>
        <w:gridCol w:w="119"/>
        <w:gridCol w:w="1298"/>
        <w:gridCol w:w="99"/>
      </w:tblGrid>
      <w:tr w:rsidR="00F925DD" w14:paraId="5556BEB5" w14:textId="77777777">
        <w:tc>
          <w:tcPr>
            <w:tcW w:w="0" w:type="auto"/>
            <w:gridSpan w:val="20"/>
            <w:shd w:val="clear" w:color="auto" w:fill="auto"/>
            <w:vAlign w:val="center"/>
          </w:tcPr>
          <w:p w14:paraId="5556BEB4" w14:textId="77777777" w:rsidR="00F925DD" w:rsidRDefault="00F925DD">
            <w:pPr>
              <w:rPr>
                <w:rFonts w:ascii="Times New Roman" w:hAnsi="Times New Roman"/>
                <w:sz w:val="20"/>
                <w:szCs w:val="20"/>
              </w:rPr>
            </w:pPr>
          </w:p>
        </w:tc>
      </w:tr>
      <w:tr w:rsidR="00F925DD" w14:paraId="5556BECA" w14:textId="77777777">
        <w:tc>
          <w:tcPr>
            <w:tcW w:w="1450" w:type="pct"/>
            <w:shd w:val="clear" w:color="auto" w:fill="auto"/>
            <w:vAlign w:val="center"/>
          </w:tcPr>
          <w:p w14:paraId="5556BEB6" w14:textId="77777777" w:rsidR="00F925DD" w:rsidRDefault="00F925DD">
            <w:pPr>
              <w:rPr>
                <w:rFonts w:ascii="Times New Roman" w:hAnsi="Times New Roman"/>
                <w:sz w:val="20"/>
                <w:szCs w:val="20"/>
              </w:rPr>
            </w:pPr>
          </w:p>
        </w:tc>
        <w:tc>
          <w:tcPr>
            <w:tcW w:w="50" w:type="pct"/>
            <w:shd w:val="clear" w:color="auto" w:fill="auto"/>
            <w:vAlign w:val="center"/>
          </w:tcPr>
          <w:p w14:paraId="5556BEB7" w14:textId="77777777" w:rsidR="00F925DD" w:rsidRDefault="00F925DD">
            <w:pPr>
              <w:rPr>
                <w:rFonts w:ascii="Times New Roman" w:hAnsi="Times New Roman"/>
                <w:sz w:val="20"/>
                <w:szCs w:val="20"/>
              </w:rPr>
            </w:pPr>
          </w:p>
        </w:tc>
        <w:tc>
          <w:tcPr>
            <w:tcW w:w="450" w:type="pct"/>
            <w:shd w:val="clear" w:color="auto" w:fill="auto"/>
            <w:vAlign w:val="center"/>
          </w:tcPr>
          <w:p w14:paraId="5556BEB8" w14:textId="77777777" w:rsidR="00F925DD" w:rsidRDefault="00F925DD">
            <w:pPr>
              <w:rPr>
                <w:rFonts w:ascii="Times New Roman" w:hAnsi="Times New Roman"/>
                <w:sz w:val="20"/>
                <w:szCs w:val="20"/>
              </w:rPr>
            </w:pPr>
          </w:p>
        </w:tc>
        <w:tc>
          <w:tcPr>
            <w:tcW w:w="50" w:type="pct"/>
            <w:shd w:val="clear" w:color="auto" w:fill="auto"/>
            <w:vAlign w:val="center"/>
          </w:tcPr>
          <w:p w14:paraId="5556BEB9" w14:textId="77777777" w:rsidR="00F925DD" w:rsidRDefault="00F925DD">
            <w:pPr>
              <w:rPr>
                <w:rFonts w:ascii="Times New Roman" w:hAnsi="Times New Roman"/>
                <w:sz w:val="20"/>
                <w:szCs w:val="20"/>
              </w:rPr>
            </w:pPr>
          </w:p>
        </w:tc>
        <w:tc>
          <w:tcPr>
            <w:tcW w:w="50" w:type="pct"/>
            <w:shd w:val="clear" w:color="auto" w:fill="auto"/>
            <w:vAlign w:val="center"/>
          </w:tcPr>
          <w:p w14:paraId="5556BEBA" w14:textId="77777777" w:rsidR="00F925DD" w:rsidRDefault="00F925DD">
            <w:pPr>
              <w:rPr>
                <w:rFonts w:ascii="Times New Roman" w:hAnsi="Times New Roman"/>
                <w:sz w:val="20"/>
                <w:szCs w:val="20"/>
              </w:rPr>
            </w:pPr>
          </w:p>
        </w:tc>
        <w:tc>
          <w:tcPr>
            <w:tcW w:w="50" w:type="pct"/>
            <w:shd w:val="clear" w:color="auto" w:fill="auto"/>
            <w:vAlign w:val="center"/>
          </w:tcPr>
          <w:p w14:paraId="5556BEBB" w14:textId="77777777" w:rsidR="00F925DD" w:rsidRDefault="00F925DD">
            <w:pPr>
              <w:rPr>
                <w:rFonts w:ascii="Times New Roman" w:hAnsi="Times New Roman"/>
                <w:sz w:val="20"/>
                <w:szCs w:val="20"/>
              </w:rPr>
            </w:pPr>
          </w:p>
        </w:tc>
        <w:tc>
          <w:tcPr>
            <w:tcW w:w="450" w:type="pct"/>
            <w:shd w:val="clear" w:color="auto" w:fill="auto"/>
            <w:vAlign w:val="center"/>
          </w:tcPr>
          <w:p w14:paraId="5556BEBC" w14:textId="77777777" w:rsidR="00F925DD" w:rsidRDefault="00F925DD">
            <w:pPr>
              <w:rPr>
                <w:rFonts w:ascii="Times New Roman" w:hAnsi="Times New Roman"/>
                <w:sz w:val="20"/>
                <w:szCs w:val="20"/>
              </w:rPr>
            </w:pPr>
          </w:p>
        </w:tc>
        <w:tc>
          <w:tcPr>
            <w:tcW w:w="50" w:type="pct"/>
            <w:shd w:val="clear" w:color="auto" w:fill="auto"/>
            <w:vAlign w:val="center"/>
          </w:tcPr>
          <w:p w14:paraId="5556BEBD" w14:textId="77777777" w:rsidR="00F925DD" w:rsidRDefault="00F925DD">
            <w:pPr>
              <w:rPr>
                <w:rFonts w:ascii="Times New Roman" w:hAnsi="Times New Roman"/>
                <w:sz w:val="20"/>
                <w:szCs w:val="20"/>
              </w:rPr>
            </w:pPr>
          </w:p>
        </w:tc>
        <w:tc>
          <w:tcPr>
            <w:tcW w:w="50" w:type="pct"/>
            <w:shd w:val="clear" w:color="auto" w:fill="auto"/>
            <w:vAlign w:val="center"/>
          </w:tcPr>
          <w:p w14:paraId="5556BEBE" w14:textId="77777777" w:rsidR="00F925DD" w:rsidRDefault="00F925DD">
            <w:pPr>
              <w:rPr>
                <w:rFonts w:ascii="Times New Roman" w:hAnsi="Times New Roman"/>
                <w:sz w:val="20"/>
                <w:szCs w:val="20"/>
              </w:rPr>
            </w:pPr>
          </w:p>
        </w:tc>
        <w:tc>
          <w:tcPr>
            <w:tcW w:w="50" w:type="pct"/>
            <w:shd w:val="clear" w:color="auto" w:fill="auto"/>
            <w:vAlign w:val="center"/>
          </w:tcPr>
          <w:p w14:paraId="5556BEBF" w14:textId="77777777" w:rsidR="00F925DD" w:rsidRDefault="00F925DD">
            <w:pPr>
              <w:rPr>
                <w:rFonts w:ascii="Times New Roman" w:hAnsi="Times New Roman"/>
                <w:sz w:val="20"/>
                <w:szCs w:val="20"/>
              </w:rPr>
            </w:pPr>
          </w:p>
        </w:tc>
        <w:tc>
          <w:tcPr>
            <w:tcW w:w="650" w:type="pct"/>
            <w:shd w:val="clear" w:color="auto" w:fill="auto"/>
            <w:vAlign w:val="center"/>
          </w:tcPr>
          <w:p w14:paraId="5556BEC0" w14:textId="77777777" w:rsidR="00F925DD" w:rsidRDefault="00F925DD">
            <w:pPr>
              <w:rPr>
                <w:rFonts w:ascii="Times New Roman" w:hAnsi="Times New Roman"/>
                <w:sz w:val="20"/>
                <w:szCs w:val="20"/>
              </w:rPr>
            </w:pPr>
          </w:p>
        </w:tc>
        <w:tc>
          <w:tcPr>
            <w:tcW w:w="50" w:type="pct"/>
            <w:shd w:val="clear" w:color="auto" w:fill="auto"/>
            <w:vAlign w:val="center"/>
          </w:tcPr>
          <w:p w14:paraId="5556BEC1" w14:textId="77777777" w:rsidR="00F925DD" w:rsidRDefault="00F925DD">
            <w:pPr>
              <w:rPr>
                <w:rFonts w:ascii="Times New Roman" w:hAnsi="Times New Roman"/>
                <w:sz w:val="20"/>
                <w:szCs w:val="20"/>
              </w:rPr>
            </w:pPr>
          </w:p>
        </w:tc>
        <w:tc>
          <w:tcPr>
            <w:tcW w:w="50" w:type="pct"/>
            <w:shd w:val="clear" w:color="auto" w:fill="auto"/>
            <w:vAlign w:val="center"/>
          </w:tcPr>
          <w:p w14:paraId="5556BEC2" w14:textId="77777777" w:rsidR="00F925DD" w:rsidRDefault="00F925DD">
            <w:pPr>
              <w:rPr>
                <w:rFonts w:ascii="Times New Roman" w:hAnsi="Times New Roman"/>
                <w:sz w:val="20"/>
                <w:szCs w:val="20"/>
              </w:rPr>
            </w:pPr>
          </w:p>
        </w:tc>
        <w:tc>
          <w:tcPr>
            <w:tcW w:w="50" w:type="pct"/>
            <w:shd w:val="clear" w:color="auto" w:fill="auto"/>
            <w:vAlign w:val="center"/>
          </w:tcPr>
          <w:p w14:paraId="5556BEC3" w14:textId="77777777" w:rsidR="00F925DD" w:rsidRDefault="00F925DD">
            <w:pPr>
              <w:rPr>
                <w:rFonts w:ascii="Times New Roman" w:hAnsi="Times New Roman"/>
                <w:sz w:val="20"/>
                <w:szCs w:val="20"/>
              </w:rPr>
            </w:pPr>
          </w:p>
        </w:tc>
        <w:tc>
          <w:tcPr>
            <w:tcW w:w="650" w:type="pct"/>
            <w:shd w:val="clear" w:color="auto" w:fill="auto"/>
            <w:vAlign w:val="center"/>
          </w:tcPr>
          <w:p w14:paraId="5556BEC4" w14:textId="77777777" w:rsidR="00F925DD" w:rsidRDefault="00F925DD">
            <w:pPr>
              <w:rPr>
                <w:rFonts w:ascii="Times New Roman" w:hAnsi="Times New Roman"/>
                <w:sz w:val="20"/>
                <w:szCs w:val="20"/>
              </w:rPr>
            </w:pPr>
          </w:p>
        </w:tc>
        <w:tc>
          <w:tcPr>
            <w:tcW w:w="50" w:type="pct"/>
            <w:shd w:val="clear" w:color="auto" w:fill="auto"/>
            <w:vAlign w:val="center"/>
          </w:tcPr>
          <w:p w14:paraId="5556BEC5" w14:textId="77777777" w:rsidR="00F925DD" w:rsidRDefault="00F925DD">
            <w:pPr>
              <w:rPr>
                <w:rFonts w:ascii="Times New Roman" w:hAnsi="Times New Roman"/>
                <w:sz w:val="20"/>
                <w:szCs w:val="20"/>
              </w:rPr>
            </w:pPr>
          </w:p>
        </w:tc>
        <w:tc>
          <w:tcPr>
            <w:tcW w:w="50" w:type="pct"/>
            <w:shd w:val="clear" w:color="auto" w:fill="auto"/>
            <w:vAlign w:val="center"/>
          </w:tcPr>
          <w:p w14:paraId="5556BEC6" w14:textId="77777777" w:rsidR="00F925DD" w:rsidRDefault="00F925DD">
            <w:pPr>
              <w:rPr>
                <w:rFonts w:ascii="Times New Roman" w:hAnsi="Times New Roman"/>
                <w:sz w:val="20"/>
                <w:szCs w:val="20"/>
              </w:rPr>
            </w:pPr>
          </w:p>
        </w:tc>
        <w:tc>
          <w:tcPr>
            <w:tcW w:w="50" w:type="pct"/>
            <w:shd w:val="clear" w:color="auto" w:fill="auto"/>
            <w:vAlign w:val="center"/>
          </w:tcPr>
          <w:p w14:paraId="5556BEC7" w14:textId="77777777" w:rsidR="00F925DD" w:rsidRDefault="00F925DD">
            <w:pPr>
              <w:rPr>
                <w:rFonts w:ascii="Times New Roman" w:hAnsi="Times New Roman"/>
                <w:sz w:val="20"/>
                <w:szCs w:val="20"/>
              </w:rPr>
            </w:pPr>
          </w:p>
        </w:tc>
        <w:tc>
          <w:tcPr>
            <w:tcW w:w="650" w:type="pct"/>
            <w:shd w:val="clear" w:color="auto" w:fill="auto"/>
            <w:vAlign w:val="center"/>
          </w:tcPr>
          <w:p w14:paraId="5556BEC8" w14:textId="77777777" w:rsidR="00F925DD" w:rsidRDefault="00F925DD">
            <w:pPr>
              <w:rPr>
                <w:rFonts w:ascii="Times New Roman" w:hAnsi="Times New Roman"/>
                <w:sz w:val="20"/>
                <w:szCs w:val="20"/>
              </w:rPr>
            </w:pPr>
          </w:p>
        </w:tc>
        <w:tc>
          <w:tcPr>
            <w:tcW w:w="50" w:type="pct"/>
            <w:shd w:val="clear" w:color="auto" w:fill="auto"/>
            <w:vAlign w:val="center"/>
          </w:tcPr>
          <w:p w14:paraId="5556BEC9" w14:textId="77777777" w:rsidR="00F925DD" w:rsidRDefault="00F925DD">
            <w:pPr>
              <w:rPr>
                <w:rFonts w:ascii="Times New Roman" w:hAnsi="Times New Roman"/>
                <w:sz w:val="20"/>
                <w:szCs w:val="20"/>
              </w:rPr>
            </w:pPr>
          </w:p>
        </w:tc>
      </w:tr>
      <w:tr w:rsidR="00F925DD" w14:paraId="5556BED1" w14:textId="77777777">
        <w:tc>
          <w:tcPr>
            <w:tcW w:w="0" w:type="auto"/>
            <w:shd w:val="clear" w:color="auto" w:fill="auto"/>
            <w:tcMar>
              <w:top w:w="40" w:type="dxa"/>
              <w:left w:w="40" w:type="dxa"/>
              <w:bottom w:w="40" w:type="dxa"/>
              <w:right w:w="40" w:type="dxa"/>
            </w:tcMar>
            <w:vAlign w:val="bottom"/>
          </w:tcPr>
          <w:p w14:paraId="5556BECB" w14:textId="77777777" w:rsidR="00F925DD" w:rsidRDefault="00E705D7">
            <w:pPr>
              <w:textAlignment w:val="bottom"/>
              <w:rPr>
                <w:rFonts w:ascii="Times New Roman" w:hAnsi="Times New Roman"/>
                <w:sz w:val="16"/>
                <w:szCs w:val="16"/>
              </w:rPr>
            </w:pPr>
            <w:r>
              <w:rPr>
                <w:rFonts w:ascii="Arial" w:eastAsia="宋体" w:hAnsi="Arial" w:cs="Arial"/>
                <w:sz w:val="16"/>
                <w:szCs w:val="16"/>
              </w:rPr>
              <w:t> </w:t>
            </w:r>
          </w:p>
        </w:tc>
        <w:tc>
          <w:tcPr>
            <w:tcW w:w="0" w:type="auto"/>
            <w:gridSpan w:val="3"/>
            <w:shd w:val="clear" w:color="auto" w:fill="auto"/>
            <w:tcMar>
              <w:top w:w="40" w:type="dxa"/>
              <w:left w:w="40" w:type="dxa"/>
              <w:bottom w:w="40" w:type="dxa"/>
              <w:right w:w="40" w:type="dxa"/>
            </w:tcMar>
            <w:vAlign w:val="bottom"/>
          </w:tcPr>
          <w:p w14:paraId="5556BE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E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BED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Fair Value Hierarchy</w:t>
            </w:r>
          </w:p>
        </w:tc>
      </w:tr>
      <w:tr w:rsidR="00F925DD" w14:paraId="5556BEDC" w14:textId="77777777">
        <w:tc>
          <w:tcPr>
            <w:tcW w:w="0" w:type="auto"/>
            <w:shd w:val="clear" w:color="auto" w:fill="auto"/>
            <w:tcMar>
              <w:top w:w="40" w:type="dxa"/>
              <w:left w:w="40" w:type="dxa"/>
              <w:bottom w:w="40" w:type="dxa"/>
              <w:right w:w="40" w:type="dxa"/>
            </w:tcMar>
            <w:vAlign w:val="bottom"/>
          </w:tcPr>
          <w:p w14:paraId="5556BED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ED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Reported Amount </w:t>
            </w:r>
          </w:p>
        </w:tc>
        <w:tc>
          <w:tcPr>
            <w:tcW w:w="0" w:type="auto"/>
            <w:shd w:val="clear" w:color="auto" w:fill="auto"/>
            <w:tcMar>
              <w:top w:w="40" w:type="dxa"/>
              <w:left w:w="40" w:type="dxa"/>
              <w:bottom w:w="40" w:type="dxa"/>
              <w:right w:w="40" w:type="dxa"/>
            </w:tcMar>
            <w:vAlign w:val="bottom"/>
          </w:tcPr>
          <w:p w14:paraId="5556BED4" w14:textId="77777777" w:rsidR="00F925DD" w:rsidRDefault="00F925DD">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ED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Estimated Fair Value</w:t>
            </w:r>
          </w:p>
        </w:tc>
        <w:tc>
          <w:tcPr>
            <w:tcW w:w="0" w:type="auto"/>
            <w:shd w:val="clear" w:color="auto" w:fill="auto"/>
            <w:tcMar>
              <w:top w:w="40" w:type="dxa"/>
              <w:left w:w="40" w:type="dxa"/>
              <w:bottom w:w="40" w:type="dxa"/>
              <w:right w:w="40" w:type="dxa"/>
            </w:tcMar>
            <w:vAlign w:val="bottom"/>
          </w:tcPr>
          <w:p w14:paraId="5556BED6" w14:textId="77777777" w:rsidR="00F925DD" w:rsidRDefault="00F925DD">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ED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Quoted Market Prices in Active Markets (Level 1)</w:t>
            </w:r>
          </w:p>
        </w:tc>
        <w:tc>
          <w:tcPr>
            <w:tcW w:w="0" w:type="auto"/>
            <w:shd w:val="clear" w:color="auto" w:fill="auto"/>
            <w:tcMar>
              <w:top w:w="40" w:type="dxa"/>
              <w:left w:w="40" w:type="dxa"/>
              <w:bottom w:w="40" w:type="dxa"/>
              <w:right w:w="40" w:type="dxa"/>
            </w:tcMar>
            <w:vAlign w:val="bottom"/>
          </w:tcPr>
          <w:p w14:paraId="5556BED8" w14:textId="77777777" w:rsidR="00F925DD" w:rsidRDefault="00F925DD">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ED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Pricing </w:t>
            </w:r>
            <w:r>
              <w:rPr>
                <w:rFonts w:ascii="Arial" w:eastAsia="宋体" w:hAnsi="Arial" w:cs="Arial"/>
                <w:b/>
                <w:bCs/>
                <w:sz w:val="14"/>
                <w:szCs w:val="14"/>
              </w:rPr>
              <w:t>Methods with Significant Observable Market Inputs (Level 2) </w:t>
            </w:r>
          </w:p>
        </w:tc>
        <w:tc>
          <w:tcPr>
            <w:tcW w:w="0" w:type="auto"/>
            <w:shd w:val="clear" w:color="auto" w:fill="auto"/>
            <w:tcMar>
              <w:top w:w="40" w:type="dxa"/>
              <w:left w:w="40" w:type="dxa"/>
              <w:bottom w:w="40" w:type="dxa"/>
              <w:right w:w="40" w:type="dxa"/>
            </w:tcMar>
            <w:vAlign w:val="bottom"/>
          </w:tcPr>
          <w:p w14:paraId="5556BEDA" w14:textId="77777777" w:rsidR="00F925DD" w:rsidRDefault="00F925DD">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BED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Pricing Methods with Significant Unobservable Market Inputs (Level 3)</w:t>
            </w:r>
          </w:p>
        </w:tc>
      </w:tr>
      <w:tr w:rsidR="00F925DD" w14:paraId="5556BEE7" w14:textId="77777777">
        <w:tc>
          <w:tcPr>
            <w:tcW w:w="0" w:type="auto"/>
            <w:shd w:val="clear" w:color="auto" w:fill="auto"/>
            <w:tcMar>
              <w:top w:w="40" w:type="dxa"/>
              <w:left w:w="40" w:type="dxa"/>
              <w:bottom w:w="40" w:type="dxa"/>
              <w:right w:w="40" w:type="dxa"/>
            </w:tcMar>
            <w:vAlign w:val="bottom"/>
          </w:tcPr>
          <w:p w14:paraId="5556BED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gridSpan w:val="3"/>
            <w:shd w:val="clear" w:color="auto" w:fill="auto"/>
            <w:tcMar>
              <w:top w:w="40" w:type="dxa"/>
              <w:left w:w="40" w:type="dxa"/>
              <w:bottom w:w="40" w:type="dxa"/>
              <w:right w:w="40" w:type="dxa"/>
            </w:tcMar>
            <w:vAlign w:val="bottom"/>
          </w:tcPr>
          <w:p w14:paraId="5556BE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E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E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E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E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E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EF3" w14:textId="77777777">
        <w:tc>
          <w:tcPr>
            <w:tcW w:w="0" w:type="auto"/>
            <w:shd w:val="clear" w:color="auto" w:fill="auto"/>
            <w:tcMar>
              <w:top w:w="40" w:type="dxa"/>
              <w:left w:w="40" w:type="dxa"/>
              <w:bottom w:w="40" w:type="dxa"/>
              <w:right w:w="40" w:type="dxa"/>
            </w:tcMar>
            <w:vAlign w:val="bottom"/>
          </w:tcPr>
          <w:p w14:paraId="5556BEE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Financial Assets:</w:t>
            </w:r>
          </w:p>
        </w:tc>
        <w:tc>
          <w:tcPr>
            <w:tcW w:w="0" w:type="auto"/>
            <w:gridSpan w:val="2"/>
            <w:shd w:val="clear" w:color="auto" w:fill="auto"/>
            <w:tcMar>
              <w:top w:w="40" w:type="dxa"/>
              <w:left w:w="40" w:type="dxa"/>
              <w:bottom w:w="40" w:type="dxa"/>
            </w:tcMar>
            <w:vAlign w:val="bottom"/>
          </w:tcPr>
          <w:p w14:paraId="5556BEE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vAlign w:val="bottom"/>
          </w:tcPr>
          <w:p w14:paraId="5556BEE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E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EEC"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tcMar>
              <w:top w:w="40" w:type="dxa"/>
              <w:left w:w="40" w:type="dxa"/>
              <w:bottom w:w="40" w:type="dxa"/>
              <w:right w:w="40" w:type="dxa"/>
            </w:tcMar>
            <w:vAlign w:val="bottom"/>
          </w:tcPr>
          <w:p w14:paraId="5556BE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EEE"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tcMar>
              <w:top w:w="40" w:type="dxa"/>
              <w:left w:w="40" w:type="dxa"/>
              <w:bottom w:w="40" w:type="dxa"/>
              <w:right w:w="40" w:type="dxa"/>
            </w:tcMar>
            <w:vAlign w:val="bottom"/>
          </w:tcPr>
          <w:p w14:paraId="5556BE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EF0"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tcMar>
              <w:top w:w="40" w:type="dxa"/>
              <w:left w:w="40" w:type="dxa"/>
              <w:bottom w:w="40" w:type="dxa"/>
              <w:right w:w="40" w:type="dxa"/>
            </w:tcMar>
            <w:vAlign w:val="bottom"/>
          </w:tcPr>
          <w:p w14:paraId="5556BE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E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F08" w14:textId="77777777">
        <w:tc>
          <w:tcPr>
            <w:tcW w:w="0" w:type="auto"/>
            <w:shd w:val="clear" w:color="auto" w:fill="CCEEFF"/>
            <w:tcMar>
              <w:top w:w="40" w:type="dxa"/>
              <w:left w:w="40" w:type="dxa"/>
              <w:bottom w:w="40" w:type="dxa"/>
              <w:right w:w="40" w:type="dxa"/>
            </w:tcMar>
            <w:vAlign w:val="bottom"/>
          </w:tcPr>
          <w:p w14:paraId="5556BEF4" w14:textId="77777777" w:rsidR="00F925DD" w:rsidRDefault="00E705D7">
            <w:pPr>
              <w:textAlignment w:val="bottom"/>
              <w:rPr>
                <w:rFonts w:ascii="Times New Roman" w:hAnsi="Times New Roman"/>
                <w:sz w:val="14"/>
                <w:szCs w:val="14"/>
              </w:rPr>
            </w:pPr>
            <w:r>
              <w:rPr>
                <w:rFonts w:ascii="Arial" w:eastAsia="宋体" w:hAnsi="Arial" w:cs="Arial"/>
                <w:sz w:val="14"/>
                <w:szCs w:val="14"/>
              </w:rPr>
              <w:t>Cash and due from banks</w:t>
            </w:r>
          </w:p>
        </w:tc>
        <w:tc>
          <w:tcPr>
            <w:tcW w:w="0" w:type="auto"/>
            <w:shd w:val="clear" w:color="auto" w:fill="CCEEFF"/>
            <w:tcMar>
              <w:top w:w="40" w:type="dxa"/>
              <w:left w:w="40" w:type="dxa"/>
              <w:bottom w:w="40" w:type="dxa"/>
            </w:tcMar>
            <w:vAlign w:val="bottom"/>
          </w:tcPr>
          <w:p w14:paraId="5556BEF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BEF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3,302</w:t>
            </w:r>
          </w:p>
        </w:tc>
        <w:tc>
          <w:tcPr>
            <w:tcW w:w="0" w:type="auto"/>
            <w:shd w:val="clear" w:color="auto" w:fill="CCEEFF"/>
            <w:vAlign w:val="bottom"/>
          </w:tcPr>
          <w:p w14:paraId="5556BEF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E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EF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BEF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3,302</w:t>
            </w:r>
          </w:p>
        </w:tc>
        <w:tc>
          <w:tcPr>
            <w:tcW w:w="0" w:type="auto"/>
            <w:shd w:val="clear" w:color="auto" w:fill="CCEEFF"/>
            <w:vAlign w:val="bottom"/>
          </w:tcPr>
          <w:p w14:paraId="5556BEF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E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EF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BEF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3,302</w:t>
            </w:r>
          </w:p>
        </w:tc>
        <w:tc>
          <w:tcPr>
            <w:tcW w:w="0" w:type="auto"/>
            <w:shd w:val="clear" w:color="auto" w:fill="CCEEFF"/>
            <w:vAlign w:val="bottom"/>
          </w:tcPr>
          <w:p w14:paraId="5556BEF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F0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BF0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0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F0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BF0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07" w14:textId="77777777" w:rsidR="00F925DD" w:rsidRDefault="00F925DD">
            <w:pPr>
              <w:textAlignment w:val="bottom"/>
              <w:rPr>
                <w:rFonts w:ascii="Times New Roman" w:hAnsi="Times New Roman"/>
                <w:sz w:val="20"/>
                <w:szCs w:val="20"/>
              </w:rPr>
            </w:pPr>
          </w:p>
        </w:tc>
      </w:tr>
      <w:tr w:rsidR="00F925DD" w14:paraId="5556BF18" w14:textId="77777777">
        <w:tc>
          <w:tcPr>
            <w:tcW w:w="0" w:type="auto"/>
            <w:shd w:val="clear" w:color="auto" w:fill="auto"/>
            <w:tcMar>
              <w:top w:w="40" w:type="dxa"/>
              <w:left w:w="40" w:type="dxa"/>
              <w:bottom w:w="40" w:type="dxa"/>
              <w:right w:w="40" w:type="dxa"/>
            </w:tcMar>
            <w:vAlign w:val="bottom"/>
          </w:tcPr>
          <w:p w14:paraId="5556BF09"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Interest-bearing deposits with banks</w:t>
            </w:r>
          </w:p>
        </w:tc>
        <w:tc>
          <w:tcPr>
            <w:tcW w:w="0" w:type="auto"/>
            <w:gridSpan w:val="2"/>
            <w:shd w:val="clear" w:color="auto" w:fill="auto"/>
            <w:tcMar>
              <w:top w:w="40" w:type="dxa"/>
              <w:left w:w="40" w:type="dxa"/>
              <w:bottom w:w="40" w:type="dxa"/>
            </w:tcMar>
            <w:vAlign w:val="bottom"/>
          </w:tcPr>
          <w:p w14:paraId="5556BF0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68,965</w:t>
            </w:r>
          </w:p>
        </w:tc>
        <w:tc>
          <w:tcPr>
            <w:tcW w:w="0" w:type="auto"/>
            <w:shd w:val="clear" w:color="auto" w:fill="auto"/>
            <w:vAlign w:val="bottom"/>
          </w:tcPr>
          <w:p w14:paraId="5556BF0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0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68,965</w:t>
            </w:r>
          </w:p>
        </w:tc>
        <w:tc>
          <w:tcPr>
            <w:tcW w:w="0" w:type="auto"/>
            <w:shd w:val="clear" w:color="auto" w:fill="auto"/>
            <w:vAlign w:val="bottom"/>
          </w:tcPr>
          <w:p w14:paraId="5556BF0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1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BF1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1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68,965</w:t>
            </w:r>
          </w:p>
        </w:tc>
        <w:tc>
          <w:tcPr>
            <w:tcW w:w="0" w:type="auto"/>
            <w:shd w:val="clear" w:color="auto" w:fill="auto"/>
            <w:vAlign w:val="bottom"/>
          </w:tcPr>
          <w:p w14:paraId="5556BF1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1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BF17" w14:textId="77777777" w:rsidR="00F925DD" w:rsidRDefault="00F925DD">
            <w:pPr>
              <w:textAlignment w:val="bottom"/>
              <w:rPr>
                <w:rFonts w:ascii="Times New Roman" w:hAnsi="Times New Roman"/>
                <w:sz w:val="20"/>
                <w:szCs w:val="20"/>
              </w:rPr>
            </w:pPr>
          </w:p>
        </w:tc>
      </w:tr>
      <w:tr w:rsidR="00F925DD" w14:paraId="5556BF28" w14:textId="77777777">
        <w:tc>
          <w:tcPr>
            <w:tcW w:w="0" w:type="auto"/>
            <w:shd w:val="clear" w:color="auto" w:fill="CCEEFF"/>
            <w:tcMar>
              <w:top w:w="40" w:type="dxa"/>
              <w:left w:w="40" w:type="dxa"/>
              <w:bottom w:w="40" w:type="dxa"/>
              <w:right w:w="40" w:type="dxa"/>
            </w:tcMar>
            <w:vAlign w:val="bottom"/>
          </w:tcPr>
          <w:p w14:paraId="5556BF19"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purchased under resale agreements</w:t>
            </w:r>
          </w:p>
        </w:tc>
        <w:tc>
          <w:tcPr>
            <w:tcW w:w="0" w:type="auto"/>
            <w:gridSpan w:val="2"/>
            <w:shd w:val="clear" w:color="auto" w:fill="CCEEFF"/>
            <w:tcMar>
              <w:top w:w="40" w:type="dxa"/>
              <w:left w:w="40" w:type="dxa"/>
              <w:bottom w:w="40" w:type="dxa"/>
            </w:tcMar>
            <w:vAlign w:val="bottom"/>
          </w:tcPr>
          <w:p w14:paraId="5556BF1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1,487</w:t>
            </w:r>
          </w:p>
        </w:tc>
        <w:tc>
          <w:tcPr>
            <w:tcW w:w="0" w:type="auto"/>
            <w:shd w:val="clear" w:color="auto" w:fill="CCEEFF"/>
            <w:vAlign w:val="bottom"/>
          </w:tcPr>
          <w:p w14:paraId="5556BF1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1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1,487</w:t>
            </w:r>
          </w:p>
        </w:tc>
        <w:tc>
          <w:tcPr>
            <w:tcW w:w="0" w:type="auto"/>
            <w:shd w:val="clear" w:color="auto" w:fill="CCEEFF"/>
            <w:vAlign w:val="bottom"/>
          </w:tcPr>
          <w:p w14:paraId="5556BF1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2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2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1,487</w:t>
            </w:r>
          </w:p>
        </w:tc>
        <w:tc>
          <w:tcPr>
            <w:tcW w:w="0" w:type="auto"/>
            <w:shd w:val="clear" w:color="auto" w:fill="CCEEFF"/>
            <w:vAlign w:val="bottom"/>
          </w:tcPr>
          <w:p w14:paraId="5556BF2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2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27" w14:textId="77777777" w:rsidR="00F925DD" w:rsidRDefault="00F925DD">
            <w:pPr>
              <w:textAlignment w:val="bottom"/>
              <w:rPr>
                <w:rFonts w:ascii="Times New Roman" w:hAnsi="Times New Roman"/>
                <w:sz w:val="20"/>
                <w:szCs w:val="20"/>
              </w:rPr>
            </w:pPr>
          </w:p>
        </w:tc>
      </w:tr>
      <w:tr w:rsidR="00F925DD" w14:paraId="5556BF38" w14:textId="77777777">
        <w:tc>
          <w:tcPr>
            <w:tcW w:w="0" w:type="auto"/>
            <w:shd w:val="clear" w:color="auto" w:fill="auto"/>
            <w:tcMar>
              <w:top w:w="40" w:type="dxa"/>
              <w:left w:w="40" w:type="dxa"/>
              <w:bottom w:w="40" w:type="dxa"/>
              <w:right w:w="40" w:type="dxa"/>
            </w:tcMar>
            <w:vAlign w:val="bottom"/>
          </w:tcPr>
          <w:p w14:paraId="5556BF29" w14:textId="77777777" w:rsidR="00F925DD" w:rsidRDefault="00E705D7">
            <w:pPr>
              <w:textAlignment w:val="bottom"/>
              <w:rPr>
                <w:rFonts w:ascii="Times New Roman" w:hAnsi="Times New Roman"/>
                <w:sz w:val="14"/>
                <w:szCs w:val="14"/>
              </w:rPr>
            </w:pPr>
            <w:r>
              <w:rPr>
                <w:rFonts w:ascii="Arial" w:eastAsia="宋体" w:hAnsi="Arial" w:cs="Arial"/>
                <w:sz w:val="14"/>
                <w:szCs w:val="14"/>
              </w:rPr>
              <w:t>Investment securities held-to-maturity</w:t>
            </w:r>
          </w:p>
        </w:tc>
        <w:tc>
          <w:tcPr>
            <w:tcW w:w="0" w:type="auto"/>
            <w:gridSpan w:val="2"/>
            <w:shd w:val="clear" w:color="auto" w:fill="auto"/>
            <w:tcMar>
              <w:top w:w="40" w:type="dxa"/>
              <w:left w:w="40" w:type="dxa"/>
              <w:bottom w:w="40" w:type="dxa"/>
            </w:tcMar>
            <w:vAlign w:val="bottom"/>
          </w:tcPr>
          <w:p w14:paraId="5556BF2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41,782</w:t>
            </w:r>
          </w:p>
        </w:tc>
        <w:tc>
          <w:tcPr>
            <w:tcW w:w="0" w:type="auto"/>
            <w:shd w:val="clear" w:color="auto" w:fill="auto"/>
            <w:vAlign w:val="bottom"/>
          </w:tcPr>
          <w:p w14:paraId="5556BF2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2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42,157</w:t>
            </w:r>
          </w:p>
        </w:tc>
        <w:tc>
          <w:tcPr>
            <w:tcW w:w="0" w:type="auto"/>
            <w:shd w:val="clear" w:color="auto" w:fill="auto"/>
            <w:vAlign w:val="bottom"/>
          </w:tcPr>
          <w:p w14:paraId="5556BF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3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10,299</w:t>
            </w:r>
          </w:p>
        </w:tc>
        <w:tc>
          <w:tcPr>
            <w:tcW w:w="0" w:type="auto"/>
            <w:shd w:val="clear" w:color="auto" w:fill="auto"/>
            <w:vAlign w:val="bottom"/>
          </w:tcPr>
          <w:p w14:paraId="5556BF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3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31,682</w:t>
            </w:r>
          </w:p>
        </w:tc>
        <w:tc>
          <w:tcPr>
            <w:tcW w:w="0" w:type="auto"/>
            <w:shd w:val="clear" w:color="auto" w:fill="auto"/>
            <w:vAlign w:val="bottom"/>
          </w:tcPr>
          <w:p w14:paraId="5556BF3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3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176</w:t>
            </w:r>
          </w:p>
        </w:tc>
        <w:tc>
          <w:tcPr>
            <w:tcW w:w="0" w:type="auto"/>
            <w:shd w:val="clear" w:color="auto" w:fill="auto"/>
            <w:vAlign w:val="bottom"/>
          </w:tcPr>
          <w:p w14:paraId="5556BF37" w14:textId="77777777" w:rsidR="00F925DD" w:rsidRDefault="00F925DD">
            <w:pPr>
              <w:textAlignment w:val="bottom"/>
              <w:rPr>
                <w:rFonts w:ascii="Times New Roman" w:hAnsi="Times New Roman"/>
                <w:sz w:val="20"/>
                <w:szCs w:val="20"/>
              </w:rPr>
            </w:pPr>
          </w:p>
        </w:tc>
      </w:tr>
      <w:tr w:rsidR="00F925DD" w14:paraId="5556BF48" w14:textId="77777777">
        <w:tc>
          <w:tcPr>
            <w:tcW w:w="0" w:type="auto"/>
            <w:shd w:val="clear" w:color="auto" w:fill="CCEEFF"/>
            <w:tcMar>
              <w:top w:w="40" w:type="dxa"/>
              <w:left w:w="40" w:type="dxa"/>
              <w:bottom w:w="40" w:type="dxa"/>
              <w:right w:w="40" w:type="dxa"/>
            </w:tcMar>
            <w:vAlign w:val="bottom"/>
          </w:tcPr>
          <w:p w14:paraId="5556BF39" w14:textId="77777777" w:rsidR="00F925DD" w:rsidRDefault="00E705D7">
            <w:pPr>
              <w:textAlignment w:val="bottom"/>
              <w:rPr>
                <w:rFonts w:ascii="Times New Roman" w:hAnsi="Times New Roman"/>
                <w:sz w:val="14"/>
                <w:szCs w:val="14"/>
              </w:rPr>
            </w:pPr>
            <w:r>
              <w:rPr>
                <w:rFonts w:ascii="Arial" w:eastAsia="宋体" w:hAnsi="Arial" w:cs="Arial"/>
                <w:sz w:val="14"/>
                <w:szCs w:val="14"/>
              </w:rPr>
              <w:t>Net loans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5556BF3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26,235</w:t>
            </w:r>
          </w:p>
        </w:tc>
        <w:tc>
          <w:tcPr>
            <w:tcW w:w="0" w:type="auto"/>
            <w:shd w:val="clear" w:color="auto" w:fill="CCEEFF"/>
            <w:vAlign w:val="bottom"/>
          </w:tcPr>
          <w:p w14:paraId="5556BF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3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26,292</w:t>
            </w:r>
          </w:p>
        </w:tc>
        <w:tc>
          <w:tcPr>
            <w:tcW w:w="0" w:type="auto"/>
            <w:shd w:val="clear" w:color="auto" w:fill="CCEEFF"/>
            <w:vAlign w:val="bottom"/>
          </w:tcPr>
          <w:p w14:paraId="5556BF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4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4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4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24,432</w:t>
            </w:r>
          </w:p>
        </w:tc>
        <w:tc>
          <w:tcPr>
            <w:tcW w:w="0" w:type="auto"/>
            <w:shd w:val="clear" w:color="auto" w:fill="CCEEFF"/>
            <w:vAlign w:val="bottom"/>
          </w:tcPr>
          <w:p w14:paraId="5556BF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4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1,860</w:t>
            </w:r>
          </w:p>
        </w:tc>
        <w:tc>
          <w:tcPr>
            <w:tcW w:w="0" w:type="auto"/>
            <w:shd w:val="clear" w:color="auto" w:fill="CCEEFF"/>
            <w:vAlign w:val="bottom"/>
          </w:tcPr>
          <w:p w14:paraId="5556BF47" w14:textId="77777777" w:rsidR="00F925DD" w:rsidRDefault="00F925DD">
            <w:pPr>
              <w:textAlignment w:val="bottom"/>
              <w:rPr>
                <w:rFonts w:ascii="Times New Roman" w:hAnsi="Times New Roman"/>
                <w:sz w:val="20"/>
                <w:szCs w:val="20"/>
              </w:rPr>
            </w:pPr>
          </w:p>
        </w:tc>
      </w:tr>
      <w:tr w:rsidR="00F925DD" w14:paraId="5556BF58" w14:textId="77777777">
        <w:tc>
          <w:tcPr>
            <w:tcW w:w="0" w:type="auto"/>
            <w:shd w:val="clear" w:color="auto" w:fill="auto"/>
            <w:tcMar>
              <w:top w:w="40" w:type="dxa"/>
              <w:left w:w="40" w:type="dxa"/>
              <w:bottom w:w="40" w:type="dxa"/>
              <w:right w:w="40" w:type="dxa"/>
            </w:tcMar>
            <w:vAlign w:val="bottom"/>
          </w:tcPr>
          <w:p w14:paraId="5556BF49"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5556BF4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7,500</w:t>
            </w:r>
          </w:p>
        </w:tc>
        <w:tc>
          <w:tcPr>
            <w:tcW w:w="0" w:type="auto"/>
            <w:shd w:val="clear" w:color="auto" w:fill="auto"/>
            <w:vAlign w:val="bottom"/>
          </w:tcPr>
          <w:p w14:paraId="5556BF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4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7,500</w:t>
            </w:r>
          </w:p>
        </w:tc>
        <w:tc>
          <w:tcPr>
            <w:tcW w:w="0" w:type="auto"/>
            <w:shd w:val="clear" w:color="auto" w:fill="auto"/>
            <w:vAlign w:val="bottom"/>
          </w:tcPr>
          <w:p w14:paraId="5556BF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5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BF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5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7,500</w:t>
            </w:r>
          </w:p>
        </w:tc>
        <w:tc>
          <w:tcPr>
            <w:tcW w:w="0" w:type="auto"/>
            <w:shd w:val="clear" w:color="auto" w:fill="auto"/>
            <w:vAlign w:val="bottom"/>
          </w:tcPr>
          <w:p w14:paraId="5556BF5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5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BF57" w14:textId="77777777" w:rsidR="00F925DD" w:rsidRDefault="00F925DD">
            <w:pPr>
              <w:textAlignment w:val="bottom"/>
              <w:rPr>
                <w:rFonts w:ascii="Times New Roman" w:hAnsi="Times New Roman"/>
                <w:sz w:val="20"/>
                <w:szCs w:val="20"/>
              </w:rPr>
            </w:pPr>
          </w:p>
        </w:tc>
      </w:tr>
      <w:tr w:rsidR="00F925DD" w14:paraId="5556BF63" w14:textId="77777777">
        <w:tc>
          <w:tcPr>
            <w:tcW w:w="0" w:type="auto"/>
            <w:shd w:val="clear" w:color="auto" w:fill="CCEEFF"/>
            <w:tcMar>
              <w:top w:w="40" w:type="dxa"/>
              <w:left w:w="40" w:type="dxa"/>
              <w:bottom w:w="40" w:type="dxa"/>
              <w:right w:w="40" w:type="dxa"/>
            </w:tcMar>
            <w:vAlign w:val="bottom"/>
          </w:tcPr>
          <w:p w14:paraId="5556BF5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Financial Liabilities:</w:t>
            </w:r>
          </w:p>
        </w:tc>
        <w:tc>
          <w:tcPr>
            <w:tcW w:w="0" w:type="auto"/>
            <w:gridSpan w:val="3"/>
            <w:shd w:val="clear" w:color="auto" w:fill="CCEEFF"/>
            <w:tcMar>
              <w:top w:w="40" w:type="dxa"/>
              <w:left w:w="40" w:type="dxa"/>
              <w:bottom w:w="40" w:type="dxa"/>
              <w:right w:w="40" w:type="dxa"/>
            </w:tcMar>
            <w:vAlign w:val="bottom"/>
          </w:tcPr>
          <w:p w14:paraId="5556BF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F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F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F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F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F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F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BF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BF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F6E" w14:textId="77777777">
        <w:tc>
          <w:tcPr>
            <w:tcW w:w="0" w:type="auto"/>
            <w:shd w:val="clear" w:color="auto" w:fill="auto"/>
            <w:tcMar>
              <w:top w:w="40" w:type="dxa"/>
              <w:left w:w="40" w:type="dxa"/>
              <w:bottom w:w="40" w:type="dxa"/>
              <w:right w:w="40" w:type="dxa"/>
            </w:tcMar>
            <w:vAlign w:val="bottom"/>
          </w:tcPr>
          <w:p w14:paraId="5556BF64" w14:textId="77777777" w:rsidR="00F925DD" w:rsidRDefault="00E705D7">
            <w:pPr>
              <w:textAlignment w:val="bottom"/>
              <w:rPr>
                <w:rFonts w:ascii="Times New Roman" w:hAnsi="Times New Roman"/>
                <w:sz w:val="14"/>
                <w:szCs w:val="14"/>
              </w:rPr>
            </w:pPr>
            <w:r>
              <w:rPr>
                <w:rFonts w:ascii="Arial" w:eastAsia="宋体" w:hAnsi="Arial" w:cs="Arial"/>
                <w:sz w:val="14"/>
                <w:szCs w:val="14"/>
              </w:rPr>
              <w:t>Deposits:</w:t>
            </w:r>
          </w:p>
        </w:tc>
        <w:tc>
          <w:tcPr>
            <w:tcW w:w="0" w:type="auto"/>
            <w:gridSpan w:val="3"/>
            <w:shd w:val="clear" w:color="auto" w:fill="auto"/>
            <w:tcMar>
              <w:top w:w="40" w:type="dxa"/>
              <w:left w:w="40" w:type="dxa"/>
              <w:bottom w:w="40" w:type="dxa"/>
              <w:right w:w="40" w:type="dxa"/>
            </w:tcMar>
            <w:vAlign w:val="bottom"/>
          </w:tcPr>
          <w:p w14:paraId="5556BF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F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F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F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F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F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F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F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BF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BF83" w14:textId="77777777">
        <w:tc>
          <w:tcPr>
            <w:tcW w:w="0" w:type="auto"/>
            <w:shd w:val="clear" w:color="auto" w:fill="CCEEFF"/>
            <w:tcMar>
              <w:top w:w="40" w:type="dxa"/>
              <w:left w:w="40" w:type="dxa"/>
              <w:bottom w:w="40" w:type="dxa"/>
              <w:right w:w="40" w:type="dxa"/>
            </w:tcMar>
            <w:vAlign w:val="bottom"/>
          </w:tcPr>
          <w:p w14:paraId="5556BF6F" w14:textId="77777777" w:rsidR="00F925DD" w:rsidRDefault="00E705D7">
            <w:pPr>
              <w:textAlignment w:val="bottom"/>
              <w:rPr>
                <w:rFonts w:ascii="Times New Roman" w:hAnsi="Times New Roman"/>
                <w:sz w:val="14"/>
                <w:szCs w:val="14"/>
              </w:rPr>
            </w:pPr>
            <w:r>
              <w:rPr>
                <w:rFonts w:ascii="Arial" w:eastAsia="宋体" w:hAnsi="Arial" w:cs="Arial"/>
                <w:sz w:val="14"/>
                <w:szCs w:val="14"/>
              </w:rPr>
              <w:t>   Non-interest-bearing</w:t>
            </w:r>
          </w:p>
        </w:tc>
        <w:tc>
          <w:tcPr>
            <w:tcW w:w="0" w:type="auto"/>
            <w:shd w:val="clear" w:color="auto" w:fill="CCEEFF"/>
            <w:tcMar>
              <w:top w:w="40" w:type="dxa"/>
              <w:left w:w="40" w:type="dxa"/>
              <w:bottom w:w="40" w:type="dxa"/>
            </w:tcMar>
            <w:vAlign w:val="bottom"/>
          </w:tcPr>
          <w:p w14:paraId="5556BF7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BF7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34,031</w:t>
            </w:r>
          </w:p>
        </w:tc>
        <w:tc>
          <w:tcPr>
            <w:tcW w:w="0" w:type="auto"/>
            <w:shd w:val="clear" w:color="auto" w:fill="CCEEFF"/>
            <w:vAlign w:val="bottom"/>
          </w:tcPr>
          <w:p w14:paraId="5556BF7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F7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BF7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34,031</w:t>
            </w:r>
          </w:p>
        </w:tc>
        <w:tc>
          <w:tcPr>
            <w:tcW w:w="0" w:type="auto"/>
            <w:shd w:val="clear" w:color="auto" w:fill="CCEEFF"/>
            <w:vAlign w:val="bottom"/>
          </w:tcPr>
          <w:p w14:paraId="5556BF7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F7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BF7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7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F7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BF7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34,031</w:t>
            </w:r>
          </w:p>
        </w:tc>
        <w:tc>
          <w:tcPr>
            <w:tcW w:w="0" w:type="auto"/>
            <w:shd w:val="clear" w:color="auto" w:fill="CCEEFF"/>
            <w:vAlign w:val="bottom"/>
          </w:tcPr>
          <w:p w14:paraId="5556BF7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BF8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BF8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82" w14:textId="77777777" w:rsidR="00F925DD" w:rsidRDefault="00F925DD">
            <w:pPr>
              <w:textAlignment w:val="bottom"/>
              <w:rPr>
                <w:rFonts w:ascii="Times New Roman" w:hAnsi="Times New Roman"/>
                <w:sz w:val="20"/>
                <w:szCs w:val="20"/>
              </w:rPr>
            </w:pPr>
          </w:p>
        </w:tc>
      </w:tr>
      <w:tr w:rsidR="00F925DD" w14:paraId="5556BF93" w14:textId="77777777">
        <w:tc>
          <w:tcPr>
            <w:tcW w:w="0" w:type="auto"/>
            <w:shd w:val="clear" w:color="auto" w:fill="auto"/>
            <w:tcMar>
              <w:top w:w="40" w:type="dxa"/>
              <w:left w:w="40" w:type="dxa"/>
              <w:bottom w:w="40" w:type="dxa"/>
              <w:right w:w="40" w:type="dxa"/>
            </w:tcMar>
            <w:vAlign w:val="bottom"/>
          </w:tcPr>
          <w:p w14:paraId="5556BF84" w14:textId="77777777" w:rsidR="00F925DD" w:rsidRDefault="00E705D7">
            <w:pPr>
              <w:textAlignment w:val="bottom"/>
              <w:rPr>
                <w:rFonts w:ascii="Times New Roman" w:hAnsi="Times New Roman"/>
                <w:sz w:val="14"/>
                <w:szCs w:val="14"/>
              </w:rPr>
            </w:pPr>
            <w:r>
              <w:rPr>
                <w:rFonts w:ascii="Arial" w:eastAsia="宋体" w:hAnsi="Arial" w:cs="Arial"/>
                <w:sz w:val="14"/>
                <w:szCs w:val="14"/>
              </w:rPr>
              <w:t>   Interest-bearing - U.S.</w:t>
            </w:r>
          </w:p>
        </w:tc>
        <w:tc>
          <w:tcPr>
            <w:tcW w:w="0" w:type="auto"/>
            <w:gridSpan w:val="2"/>
            <w:shd w:val="clear" w:color="auto" w:fill="auto"/>
            <w:tcMar>
              <w:top w:w="40" w:type="dxa"/>
              <w:left w:w="40" w:type="dxa"/>
              <w:bottom w:w="40" w:type="dxa"/>
            </w:tcMar>
            <w:vAlign w:val="bottom"/>
          </w:tcPr>
          <w:p w14:paraId="5556BF8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77,504</w:t>
            </w:r>
          </w:p>
        </w:tc>
        <w:tc>
          <w:tcPr>
            <w:tcW w:w="0" w:type="auto"/>
            <w:shd w:val="clear" w:color="auto" w:fill="auto"/>
            <w:vAlign w:val="bottom"/>
          </w:tcPr>
          <w:p w14:paraId="5556BF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8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77,504</w:t>
            </w:r>
          </w:p>
        </w:tc>
        <w:tc>
          <w:tcPr>
            <w:tcW w:w="0" w:type="auto"/>
            <w:shd w:val="clear" w:color="auto" w:fill="auto"/>
            <w:vAlign w:val="bottom"/>
          </w:tcPr>
          <w:p w14:paraId="5556BF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8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BF8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8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77,504</w:t>
            </w:r>
          </w:p>
        </w:tc>
        <w:tc>
          <w:tcPr>
            <w:tcW w:w="0" w:type="auto"/>
            <w:shd w:val="clear" w:color="auto" w:fill="auto"/>
            <w:vAlign w:val="bottom"/>
          </w:tcPr>
          <w:p w14:paraId="5556BF8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9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BF92" w14:textId="77777777" w:rsidR="00F925DD" w:rsidRDefault="00F925DD">
            <w:pPr>
              <w:textAlignment w:val="bottom"/>
              <w:rPr>
                <w:rFonts w:ascii="Times New Roman" w:hAnsi="Times New Roman"/>
                <w:sz w:val="20"/>
                <w:szCs w:val="20"/>
              </w:rPr>
            </w:pPr>
          </w:p>
        </w:tc>
      </w:tr>
      <w:tr w:rsidR="00F925DD" w14:paraId="5556BFA3" w14:textId="77777777">
        <w:tc>
          <w:tcPr>
            <w:tcW w:w="0" w:type="auto"/>
            <w:shd w:val="clear" w:color="auto" w:fill="CCEEFF"/>
            <w:tcMar>
              <w:top w:w="40" w:type="dxa"/>
              <w:left w:w="40" w:type="dxa"/>
              <w:bottom w:w="40" w:type="dxa"/>
              <w:right w:w="40" w:type="dxa"/>
            </w:tcMar>
            <w:vAlign w:val="bottom"/>
          </w:tcPr>
          <w:p w14:paraId="5556BF94" w14:textId="77777777" w:rsidR="00F925DD" w:rsidRDefault="00E705D7">
            <w:pPr>
              <w:textAlignment w:val="bottom"/>
              <w:rPr>
                <w:rFonts w:ascii="Times New Roman" w:hAnsi="Times New Roman"/>
                <w:sz w:val="14"/>
                <w:szCs w:val="14"/>
              </w:rPr>
            </w:pPr>
            <w:r>
              <w:rPr>
                <w:rFonts w:ascii="Arial" w:eastAsia="宋体" w:hAnsi="Arial" w:cs="Arial"/>
                <w:sz w:val="14"/>
                <w:szCs w:val="14"/>
              </w:rPr>
              <w:t>   Interest-bearing - non-U.S.</w:t>
            </w:r>
          </w:p>
        </w:tc>
        <w:tc>
          <w:tcPr>
            <w:tcW w:w="0" w:type="auto"/>
            <w:gridSpan w:val="2"/>
            <w:shd w:val="clear" w:color="auto" w:fill="CCEEFF"/>
            <w:tcMar>
              <w:top w:w="40" w:type="dxa"/>
              <w:left w:w="40" w:type="dxa"/>
              <w:bottom w:w="40" w:type="dxa"/>
            </w:tcMar>
            <w:vAlign w:val="bottom"/>
          </w:tcPr>
          <w:p w14:paraId="5556BF9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70,337</w:t>
            </w:r>
          </w:p>
        </w:tc>
        <w:tc>
          <w:tcPr>
            <w:tcW w:w="0" w:type="auto"/>
            <w:shd w:val="clear" w:color="auto" w:fill="CCEEFF"/>
            <w:vAlign w:val="bottom"/>
          </w:tcPr>
          <w:p w14:paraId="5556BF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9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70,337</w:t>
            </w:r>
          </w:p>
        </w:tc>
        <w:tc>
          <w:tcPr>
            <w:tcW w:w="0" w:type="auto"/>
            <w:shd w:val="clear" w:color="auto" w:fill="CCEEFF"/>
            <w:vAlign w:val="bottom"/>
          </w:tcPr>
          <w:p w14:paraId="5556BF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9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9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70,337</w:t>
            </w:r>
          </w:p>
        </w:tc>
        <w:tc>
          <w:tcPr>
            <w:tcW w:w="0" w:type="auto"/>
            <w:shd w:val="clear" w:color="auto" w:fill="CCEEFF"/>
            <w:vAlign w:val="bottom"/>
          </w:tcPr>
          <w:p w14:paraId="5556BF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A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A2" w14:textId="77777777" w:rsidR="00F925DD" w:rsidRDefault="00F925DD">
            <w:pPr>
              <w:textAlignment w:val="bottom"/>
              <w:rPr>
                <w:rFonts w:ascii="Times New Roman" w:hAnsi="Times New Roman"/>
                <w:sz w:val="20"/>
                <w:szCs w:val="20"/>
              </w:rPr>
            </w:pPr>
          </w:p>
        </w:tc>
      </w:tr>
      <w:tr w:rsidR="00F925DD" w14:paraId="5556BFB3" w14:textId="77777777">
        <w:tc>
          <w:tcPr>
            <w:tcW w:w="0" w:type="auto"/>
            <w:shd w:val="clear" w:color="auto" w:fill="auto"/>
            <w:tcMar>
              <w:top w:w="40" w:type="dxa"/>
              <w:left w:w="40" w:type="dxa"/>
              <w:bottom w:w="40" w:type="dxa"/>
              <w:right w:w="40" w:type="dxa"/>
            </w:tcMar>
            <w:vAlign w:val="bottom"/>
          </w:tcPr>
          <w:p w14:paraId="5556BFA4"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sold under repurchase agreements</w:t>
            </w:r>
          </w:p>
        </w:tc>
        <w:tc>
          <w:tcPr>
            <w:tcW w:w="0" w:type="auto"/>
            <w:gridSpan w:val="2"/>
            <w:shd w:val="clear" w:color="auto" w:fill="auto"/>
            <w:tcMar>
              <w:top w:w="40" w:type="dxa"/>
              <w:left w:w="40" w:type="dxa"/>
              <w:bottom w:w="40" w:type="dxa"/>
            </w:tcMar>
            <w:vAlign w:val="bottom"/>
          </w:tcPr>
          <w:p w14:paraId="5556BFA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1,102</w:t>
            </w:r>
          </w:p>
        </w:tc>
        <w:tc>
          <w:tcPr>
            <w:tcW w:w="0" w:type="auto"/>
            <w:shd w:val="clear" w:color="auto" w:fill="auto"/>
            <w:vAlign w:val="bottom"/>
          </w:tcPr>
          <w:p w14:paraId="5556BF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A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1,102</w:t>
            </w:r>
          </w:p>
        </w:tc>
        <w:tc>
          <w:tcPr>
            <w:tcW w:w="0" w:type="auto"/>
            <w:shd w:val="clear" w:color="auto" w:fill="auto"/>
            <w:vAlign w:val="bottom"/>
          </w:tcPr>
          <w:p w14:paraId="5556BFA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A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BFA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A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1,102</w:t>
            </w:r>
          </w:p>
        </w:tc>
        <w:tc>
          <w:tcPr>
            <w:tcW w:w="0" w:type="auto"/>
            <w:shd w:val="clear" w:color="auto" w:fill="auto"/>
            <w:vAlign w:val="bottom"/>
          </w:tcPr>
          <w:p w14:paraId="5556BFA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B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BFB2" w14:textId="77777777" w:rsidR="00F925DD" w:rsidRDefault="00F925DD">
            <w:pPr>
              <w:textAlignment w:val="bottom"/>
              <w:rPr>
                <w:rFonts w:ascii="Times New Roman" w:hAnsi="Times New Roman"/>
                <w:sz w:val="20"/>
                <w:szCs w:val="20"/>
              </w:rPr>
            </w:pPr>
          </w:p>
        </w:tc>
      </w:tr>
      <w:tr w:rsidR="00F925DD" w14:paraId="5556BFC3" w14:textId="77777777">
        <w:tc>
          <w:tcPr>
            <w:tcW w:w="0" w:type="auto"/>
            <w:shd w:val="clear" w:color="auto" w:fill="CCEEFF"/>
            <w:tcMar>
              <w:top w:w="40" w:type="dxa"/>
              <w:left w:w="40" w:type="dxa"/>
              <w:bottom w:w="40" w:type="dxa"/>
              <w:right w:w="40" w:type="dxa"/>
            </w:tcMar>
            <w:vAlign w:val="bottom"/>
          </w:tcPr>
          <w:p w14:paraId="5556BFB4"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Other </w:t>
            </w:r>
            <w:r>
              <w:rPr>
                <w:rFonts w:ascii="Arial" w:eastAsia="宋体" w:hAnsi="Arial" w:cs="Arial"/>
                <w:sz w:val="14"/>
                <w:szCs w:val="14"/>
              </w:rPr>
              <w:t>short-term borrowings</w:t>
            </w:r>
          </w:p>
        </w:tc>
        <w:tc>
          <w:tcPr>
            <w:tcW w:w="0" w:type="auto"/>
            <w:gridSpan w:val="2"/>
            <w:shd w:val="clear" w:color="auto" w:fill="CCEEFF"/>
            <w:tcMar>
              <w:top w:w="40" w:type="dxa"/>
              <w:left w:w="40" w:type="dxa"/>
              <w:bottom w:w="40" w:type="dxa"/>
            </w:tcMar>
            <w:vAlign w:val="bottom"/>
          </w:tcPr>
          <w:p w14:paraId="5556BFB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839</w:t>
            </w:r>
          </w:p>
        </w:tc>
        <w:tc>
          <w:tcPr>
            <w:tcW w:w="0" w:type="auto"/>
            <w:shd w:val="clear" w:color="auto" w:fill="CCEEFF"/>
            <w:vAlign w:val="bottom"/>
          </w:tcPr>
          <w:p w14:paraId="5556BF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B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839</w:t>
            </w:r>
          </w:p>
        </w:tc>
        <w:tc>
          <w:tcPr>
            <w:tcW w:w="0" w:type="auto"/>
            <w:shd w:val="clear" w:color="auto" w:fill="CCEEFF"/>
            <w:vAlign w:val="bottom"/>
          </w:tcPr>
          <w:p w14:paraId="5556BFB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B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B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B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839</w:t>
            </w:r>
          </w:p>
        </w:tc>
        <w:tc>
          <w:tcPr>
            <w:tcW w:w="0" w:type="auto"/>
            <w:shd w:val="clear" w:color="auto" w:fill="CCEEFF"/>
            <w:vAlign w:val="bottom"/>
          </w:tcPr>
          <w:p w14:paraId="5556BF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C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C2" w14:textId="77777777" w:rsidR="00F925DD" w:rsidRDefault="00F925DD">
            <w:pPr>
              <w:textAlignment w:val="bottom"/>
              <w:rPr>
                <w:rFonts w:ascii="Times New Roman" w:hAnsi="Times New Roman"/>
                <w:sz w:val="20"/>
                <w:szCs w:val="20"/>
              </w:rPr>
            </w:pPr>
          </w:p>
        </w:tc>
      </w:tr>
      <w:tr w:rsidR="00F925DD" w14:paraId="5556BFD3" w14:textId="77777777">
        <w:tc>
          <w:tcPr>
            <w:tcW w:w="0" w:type="auto"/>
            <w:shd w:val="clear" w:color="auto" w:fill="auto"/>
            <w:tcMar>
              <w:top w:w="40" w:type="dxa"/>
              <w:left w:w="40" w:type="dxa"/>
              <w:bottom w:w="40" w:type="dxa"/>
              <w:right w:w="40" w:type="dxa"/>
            </w:tcMar>
            <w:vAlign w:val="bottom"/>
          </w:tcPr>
          <w:p w14:paraId="5556BFC4" w14:textId="77777777" w:rsidR="00F925DD" w:rsidRDefault="00E705D7">
            <w:pPr>
              <w:textAlignment w:val="bottom"/>
              <w:rPr>
                <w:rFonts w:ascii="Times New Roman" w:hAnsi="Times New Roman"/>
                <w:sz w:val="14"/>
                <w:szCs w:val="14"/>
              </w:rPr>
            </w:pPr>
            <w:r>
              <w:rPr>
                <w:rFonts w:ascii="Arial" w:eastAsia="宋体" w:hAnsi="Arial" w:cs="Arial"/>
                <w:sz w:val="14"/>
                <w:szCs w:val="14"/>
              </w:rPr>
              <w:t>Long-term debt</w:t>
            </w:r>
          </w:p>
        </w:tc>
        <w:tc>
          <w:tcPr>
            <w:tcW w:w="0" w:type="auto"/>
            <w:gridSpan w:val="2"/>
            <w:shd w:val="clear" w:color="auto" w:fill="auto"/>
            <w:tcMar>
              <w:top w:w="40" w:type="dxa"/>
              <w:left w:w="40" w:type="dxa"/>
              <w:bottom w:w="40" w:type="dxa"/>
            </w:tcMar>
            <w:vAlign w:val="bottom"/>
          </w:tcPr>
          <w:p w14:paraId="5556BFC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12,509</w:t>
            </w:r>
          </w:p>
        </w:tc>
        <w:tc>
          <w:tcPr>
            <w:tcW w:w="0" w:type="auto"/>
            <w:shd w:val="clear" w:color="auto" w:fill="auto"/>
            <w:vAlign w:val="bottom"/>
          </w:tcPr>
          <w:p w14:paraId="5556BFC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C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12,770</w:t>
            </w:r>
          </w:p>
        </w:tc>
        <w:tc>
          <w:tcPr>
            <w:tcW w:w="0" w:type="auto"/>
            <w:shd w:val="clear" w:color="auto" w:fill="auto"/>
            <w:vAlign w:val="bottom"/>
          </w:tcPr>
          <w:p w14:paraId="5556BF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C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BFC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C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12,621</w:t>
            </w:r>
          </w:p>
        </w:tc>
        <w:tc>
          <w:tcPr>
            <w:tcW w:w="0" w:type="auto"/>
            <w:shd w:val="clear" w:color="auto" w:fill="auto"/>
            <w:vAlign w:val="bottom"/>
          </w:tcPr>
          <w:p w14:paraId="5556BFC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BF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BFD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149</w:t>
            </w:r>
          </w:p>
        </w:tc>
        <w:tc>
          <w:tcPr>
            <w:tcW w:w="0" w:type="auto"/>
            <w:shd w:val="clear" w:color="auto" w:fill="auto"/>
            <w:vAlign w:val="bottom"/>
          </w:tcPr>
          <w:p w14:paraId="5556BFD2" w14:textId="77777777" w:rsidR="00F925DD" w:rsidRDefault="00F925DD">
            <w:pPr>
              <w:textAlignment w:val="bottom"/>
              <w:rPr>
                <w:rFonts w:ascii="Times New Roman" w:hAnsi="Times New Roman"/>
                <w:sz w:val="20"/>
                <w:szCs w:val="20"/>
              </w:rPr>
            </w:pPr>
          </w:p>
        </w:tc>
      </w:tr>
      <w:tr w:rsidR="00F925DD" w14:paraId="5556BFE3" w14:textId="77777777">
        <w:tc>
          <w:tcPr>
            <w:tcW w:w="0" w:type="auto"/>
            <w:shd w:val="clear" w:color="auto" w:fill="CCEEFF"/>
            <w:tcMar>
              <w:top w:w="40" w:type="dxa"/>
              <w:left w:w="40" w:type="dxa"/>
              <w:bottom w:w="40" w:type="dxa"/>
              <w:right w:w="40" w:type="dxa"/>
            </w:tcMar>
            <w:vAlign w:val="bottom"/>
          </w:tcPr>
          <w:p w14:paraId="5556BFD4"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5556BFD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7,500</w:t>
            </w:r>
          </w:p>
        </w:tc>
        <w:tc>
          <w:tcPr>
            <w:tcW w:w="0" w:type="auto"/>
            <w:shd w:val="clear" w:color="auto" w:fill="CCEEFF"/>
            <w:vAlign w:val="bottom"/>
          </w:tcPr>
          <w:p w14:paraId="5556BF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D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7,500</w:t>
            </w:r>
          </w:p>
        </w:tc>
        <w:tc>
          <w:tcPr>
            <w:tcW w:w="0" w:type="auto"/>
            <w:shd w:val="clear" w:color="auto" w:fill="CCEEFF"/>
            <w:vAlign w:val="bottom"/>
          </w:tcPr>
          <w:p w14:paraId="5556BFD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D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D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D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7,500</w:t>
            </w:r>
          </w:p>
        </w:tc>
        <w:tc>
          <w:tcPr>
            <w:tcW w:w="0" w:type="auto"/>
            <w:shd w:val="clear" w:color="auto" w:fill="CCEEFF"/>
            <w:vAlign w:val="bottom"/>
          </w:tcPr>
          <w:p w14:paraId="5556BFD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BF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BFE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BFE2" w14:textId="77777777" w:rsidR="00F925DD" w:rsidRDefault="00F925DD">
            <w:pPr>
              <w:textAlignment w:val="bottom"/>
              <w:rPr>
                <w:rFonts w:ascii="Times New Roman" w:hAnsi="Times New Roman"/>
                <w:sz w:val="20"/>
                <w:szCs w:val="20"/>
              </w:rPr>
            </w:pPr>
          </w:p>
        </w:tc>
      </w:tr>
    </w:tbl>
    <w:p w14:paraId="5556BFE4"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09"/>
        <w:gridCol w:w="1661"/>
        <w:gridCol w:w="1495"/>
        <w:gridCol w:w="2741"/>
      </w:tblGrid>
      <w:tr w:rsidR="00F925DD" w14:paraId="5556BFE6" w14:textId="77777777">
        <w:tc>
          <w:tcPr>
            <w:tcW w:w="0" w:type="auto"/>
            <w:gridSpan w:val="4"/>
            <w:shd w:val="clear" w:color="auto" w:fill="auto"/>
            <w:vAlign w:val="center"/>
          </w:tcPr>
          <w:p w14:paraId="5556BFE5" w14:textId="77777777" w:rsidR="00F925DD" w:rsidRDefault="00F925DD">
            <w:pPr>
              <w:rPr>
                <w:rFonts w:ascii="Times New Roman" w:hAnsi="Times New Roman"/>
                <w:sz w:val="20"/>
                <w:szCs w:val="20"/>
              </w:rPr>
            </w:pPr>
          </w:p>
        </w:tc>
      </w:tr>
      <w:tr w:rsidR="00F925DD" w14:paraId="5556BFEB" w14:textId="77777777">
        <w:tc>
          <w:tcPr>
            <w:tcW w:w="1450" w:type="pct"/>
            <w:shd w:val="clear" w:color="auto" w:fill="auto"/>
            <w:vAlign w:val="center"/>
          </w:tcPr>
          <w:p w14:paraId="5556BFE7" w14:textId="77777777" w:rsidR="00F925DD" w:rsidRDefault="00F925DD">
            <w:pPr>
              <w:rPr>
                <w:rFonts w:ascii="Times New Roman" w:hAnsi="Times New Roman"/>
                <w:sz w:val="20"/>
                <w:szCs w:val="20"/>
              </w:rPr>
            </w:pPr>
          </w:p>
        </w:tc>
        <w:tc>
          <w:tcPr>
            <w:tcW w:w="1000" w:type="pct"/>
            <w:shd w:val="clear" w:color="auto" w:fill="auto"/>
            <w:vAlign w:val="center"/>
          </w:tcPr>
          <w:p w14:paraId="5556BFE8" w14:textId="77777777" w:rsidR="00F925DD" w:rsidRDefault="00F925DD">
            <w:pPr>
              <w:rPr>
                <w:rFonts w:ascii="Times New Roman" w:hAnsi="Times New Roman"/>
                <w:sz w:val="20"/>
                <w:szCs w:val="20"/>
              </w:rPr>
            </w:pPr>
          </w:p>
        </w:tc>
        <w:tc>
          <w:tcPr>
            <w:tcW w:w="900" w:type="pct"/>
            <w:shd w:val="clear" w:color="auto" w:fill="auto"/>
            <w:vAlign w:val="center"/>
          </w:tcPr>
          <w:p w14:paraId="5556BFE9" w14:textId="77777777" w:rsidR="00F925DD" w:rsidRDefault="00F925DD">
            <w:pPr>
              <w:rPr>
                <w:rFonts w:ascii="Times New Roman" w:hAnsi="Times New Roman"/>
                <w:sz w:val="20"/>
                <w:szCs w:val="20"/>
              </w:rPr>
            </w:pPr>
          </w:p>
        </w:tc>
        <w:tc>
          <w:tcPr>
            <w:tcW w:w="1650" w:type="pct"/>
            <w:shd w:val="clear" w:color="auto" w:fill="auto"/>
            <w:vAlign w:val="center"/>
          </w:tcPr>
          <w:p w14:paraId="5556BFEA" w14:textId="77777777" w:rsidR="00F925DD" w:rsidRDefault="00F925DD">
            <w:pPr>
              <w:rPr>
                <w:rFonts w:ascii="Times New Roman" w:hAnsi="Times New Roman"/>
                <w:sz w:val="20"/>
                <w:szCs w:val="20"/>
              </w:rPr>
            </w:pPr>
          </w:p>
        </w:tc>
      </w:tr>
      <w:tr w:rsidR="00F925DD" w14:paraId="5556BFF0"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BF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F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F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BF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BFF1" w14:textId="77777777" w:rsidR="00F925DD" w:rsidRDefault="00E705D7">
      <w:pPr>
        <w:spacing w:line="288" w:lineRule="auto"/>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Includes $9 million of loans classified as held-for-sale that were </w:t>
      </w:r>
      <w:r>
        <w:rPr>
          <w:rFonts w:ascii="Arial" w:eastAsia="宋体" w:hAnsi="Arial" w:cs="Arial"/>
          <w:sz w:val="14"/>
          <w:szCs w:val="14"/>
        </w:rPr>
        <w:t>measured at fair value on a recurring basis as of December 31, 2019.</w:t>
      </w:r>
    </w:p>
    <w:p w14:paraId="5556BFF2" w14:textId="77777777" w:rsidR="00F925DD" w:rsidRDefault="00E705D7">
      <w:pPr>
        <w:spacing w:line="288" w:lineRule="auto"/>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Represents a portion of underlying client assets related to our enhanced custody business, which clients have allowed us to transfer and re-pledge.</w:t>
      </w:r>
    </w:p>
    <w:p w14:paraId="5556BFF3" w14:textId="77777777" w:rsidR="00F925DD" w:rsidRDefault="00F925DD">
      <w:pPr>
        <w:rPr>
          <w:rFonts w:ascii="Times New Roman" w:hAnsi="Times New Roman"/>
          <w:sz w:val="20"/>
          <w:szCs w:val="20"/>
        </w:rPr>
      </w:pPr>
    </w:p>
    <w:p w14:paraId="5556BFF4"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134</w:t>
      </w:r>
    </w:p>
    <w:p w14:paraId="5556BFF5" w14:textId="77777777" w:rsidR="00F925DD" w:rsidRDefault="00F925DD">
      <w:pPr>
        <w:spacing w:line="288" w:lineRule="auto"/>
        <w:ind w:firstLine="600"/>
        <w:jc w:val="center"/>
        <w:rPr>
          <w:rFonts w:ascii="Times New Roman" w:hAnsi="Times New Roman"/>
          <w:sz w:val="18"/>
          <w:szCs w:val="18"/>
        </w:rPr>
      </w:pPr>
    </w:p>
    <w:p w14:paraId="5556BFF6" w14:textId="77777777" w:rsidR="00F925DD" w:rsidRDefault="00E705D7">
      <w:r>
        <w:rPr>
          <w:rFonts w:ascii="Times New Roman" w:hAnsi="Times New Roman"/>
          <w:sz w:val="18"/>
          <w:szCs w:val="18"/>
        </w:rPr>
        <w:pict w14:anchorId="555706C0">
          <v:rect id="_x0000_i1158" style="width:415.3pt;height:1.5pt" o:hralign="center" o:hrstd="t" o:hr="t" fillcolor="#a0a0a0" stroked="f"/>
        </w:pict>
      </w:r>
    </w:p>
    <w:p w14:paraId="5556BFF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BFF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BFF9"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190"/>
        <w:gridCol w:w="119"/>
        <w:gridCol w:w="568"/>
        <w:gridCol w:w="63"/>
        <w:gridCol w:w="130"/>
        <w:gridCol w:w="119"/>
        <w:gridCol w:w="613"/>
        <w:gridCol w:w="68"/>
        <w:gridCol w:w="130"/>
        <w:gridCol w:w="119"/>
        <w:gridCol w:w="974"/>
        <w:gridCol w:w="74"/>
        <w:gridCol w:w="130"/>
        <w:gridCol w:w="119"/>
        <w:gridCol w:w="1156"/>
        <w:gridCol w:w="88"/>
        <w:gridCol w:w="130"/>
        <w:gridCol w:w="119"/>
        <w:gridCol w:w="1298"/>
        <w:gridCol w:w="99"/>
      </w:tblGrid>
      <w:tr w:rsidR="00F925DD" w14:paraId="5556BFFB" w14:textId="77777777">
        <w:tc>
          <w:tcPr>
            <w:tcW w:w="0" w:type="auto"/>
            <w:gridSpan w:val="20"/>
            <w:shd w:val="clear" w:color="auto" w:fill="auto"/>
            <w:vAlign w:val="center"/>
          </w:tcPr>
          <w:p w14:paraId="5556BFFA" w14:textId="77777777" w:rsidR="00F925DD" w:rsidRDefault="00F925DD">
            <w:pPr>
              <w:rPr>
                <w:rFonts w:ascii="Times New Roman" w:hAnsi="Times New Roman"/>
                <w:sz w:val="20"/>
                <w:szCs w:val="20"/>
              </w:rPr>
            </w:pPr>
          </w:p>
        </w:tc>
      </w:tr>
      <w:tr w:rsidR="00F925DD" w14:paraId="5556C010" w14:textId="77777777">
        <w:tc>
          <w:tcPr>
            <w:tcW w:w="1450" w:type="pct"/>
            <w:shd w:val="clear" w:color="auto" w:fill="auto"/>
            <w:vAlign w:val="center"/>
          </w:tcPr>
          <w:p w14:paraId="5556BFFC" w14:textId="77777777" w:rsidR="00F925DD" w:rsidRDefault="00F925DD">
            <w:pPr>
              <w:rPr>
                <w:rFonts w:ascii="Times New Roman" w:hAnsi="Times New Roman"/>
                <w:sz w:val="20"/>
                <w:szCs w:val="20"/>
              </w:rPr>
            </w:pPr>
          </w:p>
        </w:tc>
        <w:tc>
          <w:tcPr>
            <w:tcW w:w="50" w:type="pct"/>
            <w:shd w:val="clear" w:color="auto" w:fill="auto"/>
            <w:vAlign w:val="center"/>
          </w:tcPr>
          <w:p w14:paraId="5556BFFD" w14:textId="77777777" w:rsidR="00F925DD" w:rsidRDefault="00F925DD">
            <w:pPr>
              <w:rPr>
                <w:rFonts w:ascii="Times New Roman" w:hAnsi="Times New Roman"/>
                <w:sz w:val="20"/>
                <w:szCs w:val="20"/>
              </w:rPr>
            </w:pPr>
          </w:p>
        </w:tc>
        <w:tc>
          <w:tcPr>
            <w:tcW w:w="450" w:type="pct"/>
            <w:shd w:val="clear" w:color="auto" w:fill="auto"/>
            <w:vAlign w:val="center"/>
          </w:tcPr>
          <w:p w14:paraId="5556BFFE" w14:textId="77777777" w:rsidR="00F925DD" w:rsidRDefault="00F925DD">
            <w:pPr>
              <w:rPr>
                <w:rFonts w:ascii="Times New Roman" w:hAnsi="Times New Roman"/>
                <w:sz w:val="20"/>
                <w:szCs w:val="20"/>
              </w:rPr>
            </w:pPr>
          </w:p>
        </w:tc>
        <w:tc>
          <w:tcPr>
            <w:tcW w:w="50" w:type="pct"/>
            <w:shd w:val="clear" w:color="auto" w:fill="auto"/>
            <w:vAlign w:val="center"/>
          </w:tcPr>
          <w:p w14:paraId="5556BFFF" w14:textId="77777777" w:rsidR="00F925DD" w:rsidRDefault="00F925DD">
            <w:pPr>
              <w:rPr>
                <w:rFonts w:ascii="Times New Roman" w:hAnsi="Times New Roman"/>
                <w:sz w:val="20"/>
                <w:szCs w:val="20"/>
              </w:rPr>
            </w:pPr>
          </w:p>
        </w:tc>
        <w:tc>
          <w:tcPr>
            <w:tcW w:w="50" w:type="pct"/>
            <w:shd w:val="clear" w:color="auto" w:fill="auto"/>
            <w:vAlign w:val="center"/>
          </w:tcPr>
          <w:p w14:paraId="5556C000" w14:textId="77777777" w:rsidR="00F925DD" w:rsidRDefault="00F925DD">
            <w:pPr>
              <w:rPr>
                <w:rFonts w:ascii="Times New Roman" w:hAnsi="Times New Roman"/>
                <w:sz w:val="20"/>
                <w:szCs w:val="20"/>
              </w:rPr>
            </w:pPr>
          </w:p>
        </w:tc>
        <w:tc>
          <w:tcPr>
            <w:tcW w:w="50" w:type="pct"/>
            <w:shd w:val="clear" w:color="auto" w:fill="auto"/>
            <w:vAlign w:val="center"/>
          </w:tcPr>
          <w:p w14:paraId="5556C001" w14:textId="77777777" w:rsidR="00F925DD" w:rsidRDefault="00F925DD">
            <w:pPr>
              <w:rPr>
                <w:rFonts w:ascii="Times New Roman" w:hAnsi="Times New Roman"/>
                <w:sz w:val="20"/>
                <w:szCs w:val="20"/>
              </w:rPr>
            </w:pPr>
          </w:p>
        </w:tc>
        <w:tc>
          <w:tcPr>
            <w:tcW w:w="450" w:type="pct"/>
            <w:shd w:val="clear" w:color="auto" w:fill="auto"/>
            <w:vAlign w:val="center"/>
          </w:tcPr>
          <w:p w14:paraId="5556C002" w14:textId="77777777" w:rsidR="00F925DD" w:rsidRDefault="00F925DD">
            <w:pPr>
              <w:rPr>
                <w:rFonts w:ascii="Times New Roman" w:hAnsi="Times New Roman"/>
                <w:sz w:val="20"/>
                <w:szCs w:val="20"/>
              </w:rPr>
            </w:pPr>
          </w:p>
        </w:tc>
        <w:tc>
          <w:tcPr>
            <w:tcW w:w="50" w:type="pct"/>
            <w:shd w:val="clear" w:color="auto" w:fill="auto"/>
            <w:vAlign w:val="center"/>
          </w:tcPr>
          <w:p w14:paraId="5556C003" w14:textId="77777777" w:rsidR="00F925DD" w:rsidRDefault="00F925DD">
            <w:pPr>
              <w:rPr>
                <w:rFonts w:ascii="Times New Roman" w:hAnsi="Times New Roman"/>
                <w:sz w:val="20"/>
                <w:szCs w:val="20"/>
              </w:rPr>
            </w:pPr>
          </w:p>
        </w:tc>
        <w:tc>
          <w:tcPr>
            <w:tcW w:w="50" w:type="pct"/>
            <w:shd w:val="clear" w:color="auto" w:fill="auto"/>
            <w:vAlign w:val="center"/>
          </w:tcPr>
          <w:p w14:paraId="5556C004" w14:textId="77777777" w:rsidR="00F925DD" w:rsidRDefault="00F925DD">
            <w:pPr>
              <w:rPr>
                <w:rFonts w:ascii="Times New Roman" w:hAnsi="Times New Roman"/>
                <w:sz w:val="20"/>
                <w:szCs w:val="20"/>
              </w:rPr>
            </w:pPr>
          </w:p>
        </w:tc>
        <w:tc>
          <w:tcPr>
            <w:tcW w:w="50" w:type="pct"/>
            <w:shd w:val="clear" w:color="auto" w:fill="auto"/>
            <w:vAlign w:val="center"/>
          </w:tcPr>
          <w:p w14:paraId="5556C005" w14:textId="77777777" w:rsidR="00F925DD" w:rsidRDefault="00F925DD">
            <w:pPr>
              <w:rPr>
                <w:rFonts w:ascii="Times New Roman" w:hAnsi="Times New Roman"/>
                <w:sz w:val="20"/>
                <w:szCs w:val="20"/>
              </w:rPr>
            </w:pPr>
          </w:p>
        </w:tc>
        <w:tc>
          <w:tcPr>
            <w:tcW w:w="650" w:type="pct"/>
            <w:shd w:val="clear" w:color="auto" w:fill="auto"/>
            <w:vAlign w:val="center"/>
          </w:tcPr>
          <w:p w14:paraId="5556C006" w14:textId="77777777" w:rsidR="00F925DD" w:rsidRDefault="00F925DD">
            <w:pPr>
              <w:rPr>
                <w:rFonts w:ascii="Times New Roman" w:hAnsi="Times New Roman"/>
                <w:sz w:val="20"/>
                <w:szCs w:val="20"/>
              </w:rPr>
            </w:pPr>
          </w:p>
        </w:tc>
        <w:tc>
          <w:tcPr>
            <w:tcW w:w="50" w:type="pct"/>
            <w:shd w:val="clear" w:color="auto" w:fill="auto"/>
            <w:vAlign w:val="center"/>
          </w:tcPr>
          <w:p w14:paraId="5556C007" w14:textId="77777777" w:rsidR="00F925DD" w:rsidRDefault="00F925DD">
            <w:pPr>
              <w:rPr>
                <w:rFonts w:ascii="Times New Roman" w:hAnsi="Times New Roman"/>
                <w:sz w:val="20"/>
                <w:szCs w:val="20"/>
              </w:rPr>
            </w:pPr>
          </w:p>
        </w:tc>
        <w:tc>
          <w:tcPr>
            <w:tcW w:w="50" w:type="pct"/>
            <w:shd w:val="clear" w:color="auto" w:fill="auto"/>
            <w:vAlign w:val="center"/>
          </w:tcPr>
          <w:p w14:paraId="5556C008" w14:textId="77777777" w:rsidR="00F925DD" w:rsidRDefault="00F925DD">
            <w:pPr>
              <w:rPr>
                <w:rFonts w:ascii="Times New Roman" w:hAnsi="Times New Roman"/>
                <w:sz w:val="20"/>
                <w:szCs w:val="20"/>
              </w:rPr>
            </w:pPr>
          </w:p>
        </w:tc>
        <w:tc>
          <w:tcPr>
            <w:tcW w:w="50" w:type="pct"/>
            <w:shd w:val="clear" w:color="auto" w:fill="auto"/>
            <w:vAlign w:val="center"/>
          </w:tcPr>
          <w:p w14:paraId="5556C009" w14:textId="77777777" w:rsidR="00F925DD" w:rsidRDefault="00F925DD">
            <w:pPr>
              <w:rPr>
                <w:rFonts w:ascii="Times New Roman" w:hAnsi="Times New Roman"/>
                <w:sz w:val="20"/>
                <w:szCs w:val="20"/>
              </w:rPr>
            </w:pPr>
          </w:p>
        </w:tc>
        <w:tc>
          <w:tcPr>
            <w:tcW w:w="650" w:type="pct"/>
            <w:shd w:val="clear" w:color="auto" w:fill="auto"/>
            <w:vAlign w:val="center"/>
          </w:tcPr>
          <w:p w14:paraId="5556C00A" w14:textId="77777777" w:rsidR="00F925DD" w:rsidRDefault="00F925DD">
            <w:pPr>
              <w:rPr>
                <w:rFonts w:ascii="Times New Roman" w:hAnsi="Times New Roman"/>
                <w:sz w:val="20"/>
                <w:szCs w:val="20"/>
              </w:rPr>
            </w:pPr>
          </w:p>
        </w:tc>
        <w:tc>
          <w:tcPr>
            <w:tcW w:w="50" w:type="pct"/>
            <w:shd w:val="clear" w:color="auto" w:fill="auto"/>
            <w:vAlign w:val="center"/>
          </w:tcPr>
          <w:p w14:paraId="5556C00B" w14:textId="77777777" w:rsidR="00F925DD" w:rsidRDefault="00F925DD">
            <w:pPr>
              <w:rPr>
                <w:rFonts w:ascii="Times New Roman" w:hAnsi="Times New Roman"/>
                <w:sz w:val="20"/>
                <w:szCs w:val="20"/>
              </w:rPr>
            </w:pPr>
          </w:p>
        </w:tc>
        <w:tc>
          <w:tcPr>
            <w:tcW w:w="50" w:type="pct"/>
            <w:shd w:val="clear" w:color="auto" w:fill="auto"/>
            <w:vAlign w:val="center"/>
          </w:tcPr>
          <w:p w14:paraId="5556C00C" w14:textId="77777777" w:rsidR="00F925DD" w:rsidRDefault="00F925DD">
            <w:pPr>
              <w:rPr>
                <w:rFonts w:ascii="Times New Roman" w:hAnsi="Times New Roman"/>
                <w:sz w:val="20"/>
                <w:szCs w:val="20"/>
              </w:rPr>
            </w:pPr>
          </w:p>
        </w:tc>
        <w:tc>
          <w:tcPr>
            <w:tcW w:w="50" w:type="pct"/>
            <w:shd w:val="clear" w:color="auto" w:fill="auto"/>
            <w:vAlign w:val="center"/>
          </w:tcPr>
          <w:p w14:paraId="5556C00D" w14:textId="77777777" w:rsidR="00F925DD" w:rsidRDefault="00F925DD">
            <w:pPr>
              <w:rPr>
                <w:rFonts w:ascii="Times New Roman" w:hAnsi="Times New Roman"/>
                <w:sz w:val="20"/>
                <w:szCs w:val="20"/>
              </w:rPr>
            </w:pPr>
          </w:p>
        </w:tc>
        <w:tc>
          <w:tcPr>
            <w:tcW w:w="650" w:type="pct"/>
            <w:shd w:val="clear" w:color="auto" w:fill="auto"/>
            <w:vAlign w:val="center"/>
          </w:tcPr>
          <w:p w14:paraId="5556C00E" w14:textId="77777777" w:rsidR="00F925DD" w:rsidRDefault="00F925DD">
            <w:pPr>
              <w:rPr>
                <w:rFonts w:ascii="Times New Roman" w:hAnsi="Times New Roman"/>
                <w:sz w:val="20"/>
                <w:szCs w:val="20"/>
              </w:rPr>
            </w:pPr>
          </w:p>
        </w:tc>
        <w:tc>
          <w:tcPr>
            <w:tcW w:w="50" w:type="pct"/>
            <w:shd w:val="clear" w:color="auto" w:fill="auto"/>
            <w:vAlign w:val="center"/>
          </w:tcPr>
          <w:p w14:paraId="5556C00F" w14:textId="77777777" w:rsidR="00F925DD" w:rsidRDefault="00F925DD">
            <w:pPr>
              <w:rPr>
                <w:rFonts w:ascii="Times New Roman" w:hAnsi="Times New Roman"/>
                <w:sz w:val="20"/>
                <w:szCs w:val="20"/>
              </w:rPr>
            </w:pPr>
          </w:p>
        </w:tc>
      </w:tr>
      <w:tr w:rsidR="00F925DD" w14:paraId="5556C017" w14:textId="77777777">
        <w:tc>
          <w:tcPr>
            <w:tcW w:w="0" w:type="auto"/>
            <w:shd w:val="clear" w:color="auto" w:fill="auto"/>
            <w:tcMar>
              <w:top w:w="40" w:type="dxa"/>
              <w:left w:w="40" w:type="dxa"/>
              <w:bottom w:w="40" w:type="dxa"/>
              <w:right w:w="40" w:type="dxa"/>
            </w:tcMar>
            <w:vAlign w:val="bottom"/>
          </w:tcPr>
          <w:p w14:paraId="5556C0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C01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Fair Value Hierarchy</w:t>
            </w:r>
          </w:p>
        </w:tc>
      </w:tr>
      <w:tr w:rsidR="00F925DD" w14:paraId="5556C022" w14:textId="77777777">
        <w:tc>
          <w:tcPr>
            <w:tcW w:w="0" w:type="auto"/>
            <w:shd w:val="clear" w:color="auto" w:fill="auto"/>
            <w:tcMar>
              <w:top w:w="40" w:type="dxa"/>
              <w:left w:w="40" w:type="dxa"/>
              <w:bottom w:w="40" w:type="dxa"/>
              <w:right w:w="40" w:type="dxa"/>
            </w:tcMar>
            <w:vAlign w:val="bottom"/>
          </w:tcPr>
          <w:p w14:paraId="5556C01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01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Reported Amount </w:t>
            </w:r>
          </w:p>
        </w:tc>
        <w:tc>
          <w:tcPr>
            <w:tcW w:w="0" w:type="auto"/>
            <w:shd w:val="clear" w:color="auto" w:fill="auto"/>
            <w:tcMar>
              <w:top w:w="40" w:type="dxa"/>
              <w:left w:w="40" w:type="dxa"/>
              <w:bottom w:w="40" w:type="dxa"/>
              <w:right w:w="40" w:type="dxa"/>
            </w:tcMar>
            <w:vAlign w:val="bottom"/>
          </w:tcPr>
          <w:p w14:paraId="5556C0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01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Estimated Fair Value</w:t>
            </w:r>
          </w:p>
        </w:tc>
        <w:tc>
          <w:tcPr>
            <w:tcW w:w="0" w:type="auto"/>
            <w:shd w:val="clear" w:color="auto" w:fill="auto"/>
            <w:tcMar>
              <w:top w:w="40" w:type="dxa"/>
              <w:left w:w="40" w:type="dxa"/>
              <w:bottom w:w="40" w:type="dxa"/>
              <w:right w:w="40" w:type="dxa"/>
            </w:tcMar>
            <w:vAlign w:val="bottom"/>
          </w:tcPr>
          <w:p w14:paraId="5556C0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01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Quoted Market Prices in Active Markets (Level 1)</w:t>
            </w:r>
          </w:p>
        </w:tc>
        <w:tc>
          <w:tcPr>
            <w:tcW w:w="0" w:type="auto"/>
            <w:tcBorders>
              <w:top w:val="single" w:sz="8" w:space="0" w:color="000000"/>
            </w:tcBorders>
            <w:shd w:val="clear" w:color="auto" w:fill="auto"/>
            <w:tcMar>
              <w:top w:w="40" w:type="dxa"/>
              <w:left w:w="40" w:type="dxa"/>
              <w:bottom w:w="40" w:type="dxa"/>
              <w:right w:w="40" w:type="dxa"/>
            </w:tcMar>
            <w:vAlign w:val="bottom"/>
          </w:tcPr>
          <w:p w14:paraId="5556C0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01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Pricing Methods with </w:t>
            </w:r>
            <w:r>
              <w:rPr>
                <w:rFonts w:ascii="Arial" w:eastAsia="宋体" w:hAnsi="Arial" w:cs="Arial"/>
                <w:b/>
                <w:bCs/>
                <w:sz w:val="14"/>
                <w:szCs w:val="14"/>
              </w:rPr>
              <w:t>Significant Observable Market Inputs (Level 2) </w:t>
            </w:r>
          </w:p>
        </w:tc>
        <w:tc>
          <w:tcPr>
            <w:tcW w:w="0" w:type="auto"/>
            <w:tcBorders>
              <w:top w:val="single" w:sz="8" w:space="0" w:color="000000"/>
            </w:tcBorders>
            <w:shd w:val="clear" w:color="auto" w:fill="auto"/>
            <w:tcMar>
              <w:top w:w="40" w:type="dxa"/>
              <w:left w:w="40" w:type="dxa"/>
              <w:bottom w:w="40" w:type="dxa"/>
              <w:right w:w="40" w:type="dxa"/>
            </w:tcMar>
            <w:vAlign w:val="bottom"/>
          </w:tcPr>
          <w:p w14:paraId="5556C0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02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Pricing Methods with Significant Unobservable Market Inputs (Level 3)</w:t>
            </w:r>
          </w:p>
        </w:tc>
      </w:tr>
      <w:tr w:rsidR="00F925DD" w14:paraId="5556C02D" w14:textId="77777777">
        <w:tc>
          <w:tcPr>
            <w:tcW w:w="0" w:type="auto"/>
            <w:shd w:val="clear" w:color="auto" w:fill="auto"/>
            <w:tcMar>
              <w:top w:w="40" w:type="dxa"/>
              <w:left w:w="40" w:type="dxa"/>
              <w:bottom w:w="40" w:type="dxa"/>
              <w:right w:w="40" w:type="dxa"/>
            </w:tcMar>
            <w:vAlign w:val="bottom"/>
          </w:tcPr>
          <w:p w14:paraId="5556C02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December 31, 2018</w:t>
            </w:r>
          </w:p>
        </w:tc>
        <w:tc>
          <w:tcPr>
            <w:tcW w:w="0" w:type="auto"/>
            <w:gridSpan w:val="3"/>
            <w:shd w:val="clear" w:color="auto" w:fill="auto"/>
            <w:tcMar>
              <w:top w:w="40" w:type="dxa"/>
              <w:left w:w="40" w:type="dxa"/>
              <w:bottom w:w="40" w:type="dxa"/>
              <w:right w:w="40" w:type="dxa"/>
            </w:tcMar>
            <w:vAlign w:val="bottom"/>
          </w:tcPr>
          <w:p w14:paraId="5556C0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038" w14:textId="77777777">
        <w:tc>
          <w:tcPr>
            <w:tcW w:w="0" w:type="auto"/>
            <w:shd w:val="clear" w:color="auto" w:fill="auto"/>
            <w:tcMar>
              <w:top w:w="40" w:type="dxa"/>
              <w:left w:w="40" w:type="dxa"/>
              <w:bottom w:w="40" w:type="dxa"/>
              <w:right w:w="40" w:type="dxa"/>
            </w:tcMar>
            <w:vAlign w:val="bottom"/>
          </w:tcPr>
          <w:p w14:paraId="5556C02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Financial Assets:</w:t>
            </w:r>
          </w:p>
        </w:tc>
        <w:tc>
          <w:tcPr>
            <w:tcW w:w="0" w:type="auto"/>
            <w:gridSpan w:val="3"/>
            <w:shd w:val="clear" w:color="auto" w:fill="auto"/>
            <w:tcMar>
              <w:top w:w="40" w:type="dxa"/>
              <w:left w:w="40" w:type="dxa"/>
              <w:bottom w:w="40" w:type="dxa"/>
              <w:right w:w="40" w:type="dxa"/>
            </w:tcMar>
            <w:vAlign w:val="bottom"/>
          </w:tcPr>
          <w:p w14:paraId="5556C0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04D" w14:textId="77777777">
        <w:tc>
          <w:tcPr>
            <w:tcW w:w="0" w:type="auto"/>
            <w:shd w:val="clear" w:color="auto" w:fill="CCEEFF"/>
            <w:tcMar>
              <w:top w:w="40" w:type="dxa"/>
              <w:left w:w="40" w:type="dxa"/>
              <w:bottom w:w="40" w:type="dxa"/>
              <w:right w:w="40" w:type="dxa"/>
            </w:tcMar>
            <w:vAlign w:val="bottom"/>
          </w:tcPr>
          <w:p w14:paraId="5556C039" w14:textId="77777777" w:rsidR="00F925DD" w:rsidRDefault="00E705D7">
            <w:pPr>
              <w:textAlignment w:val="bottom"/>
              <w:rPr>
                <w:rFonts w:ascii="Times New Roman" w:hAnsi="Times New Roman"/>
                <w:sz w:val="14"/>
                <w:szCs w:val="14"/>
              </w:rPr>
            </w:pPr>
            <w:r>
              <w:rPr>
                <w:rFonts w:ascii="Arial" w:eastAsia="宋体" w:hAnsi="Arial" w:cs="Arial"/>
                <w:sz w:val="14"/>
                <w:szCs w:val="14"/>
              </w:rPr>
              <w:t>Cash and due from banks</w:t>
            </w:r>
          </w:p>
        </w:tc>
        <w:tc>
          <w:tcPr>
            <w:tcW w:w="0" w:type="auto"/>
            <w:shd w:val="clear" w:color="auto" w:fill="CCEEFF"/>
            <w:tcMar>
              <w:top w:w="40" w:type="dxa"/>
              <w:left w:w="40" w:type="dxa"/>
              <w:bottom w:w="40" w:type="dxa"/>
            </w:tcMar>
            <w:vAlign w:val="bottom"/>
          </w:tcPr>
          <w:p w14:paraId="5556C03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03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3,212</w:t>
            </w:r>
          </w:p>
        </w:tc>
        <w:tc>
          <w:tcPr>
            <w:tcW w:w="0" w:type="auto"/>
            <w:shd w:val="clear" w:color="auto" w:fill="CCEEFF"/>
            <w:vAlign w:val="bottom"/>
          </w:tcPr>
          <w:p w14:paraId="5556C0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03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03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3,212</w:t>
            </w:r>
          </w:p>
        </w:tc>
        <w:tc>
          <w:tcPr>
            <w:tcW w:w="0" w:type="auto"/>
            <w:shd w:val="clear" w:color="auto" w:fill="CCEEFF"/>
            <w:vAlign w:val="bottom"/>
          </w:tcPr>
          <w:p w14:paraId="5556C0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04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04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3,212</w:t>
            </w:r>
          </w:p>
        </w:tc>
        <w:tc>
          <w:tcPr>
            <w:tcW w:w="0" w:type="auto"/>
            <w:shd w:val="clear" w:color="auto" w:fill="CCEEFF"/>
            <w:vAlign w:val="bottom"/>
          </w:tcPr>
          <w:p w14:paraId="5556C0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04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04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04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04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04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04C" w14:textId="77777777" w:rsidR="00F925DD" w:rsidRDefault="00F925DD">
            <w:pPr>
              <w:textAlignment w:val="bottom"/>
              <w:rPr>
                <w:rFonts w:ascii="Times New Roman" w:hAnsi="Times New Roman"/>
                <w:sz w:val="20"/>
                <w:szCs w:val="20"/>
              </w:rPr>
            </w:pPr>
          </w:p>
        </w:tc>
      </w:tr>
      <w:tr w:rsidR="00F925DD" w14:paraId="5556C05D" w14:textId="77777777">
        <w:tc>
          <w:tcPr>
            <w:tcW w:w="0" w:type="auto"/>
            <w:shd w:val="clear" w:color="auto" w:fill="auto"/>
            <w:tcMar>
              <w:top w:w="40" w:type="dxa"/>
              <w:left w:w="40" w:type="dxa"/>
              <w:bottom w:w="40" w:type="dxa"/>
              <w:right w:w="40" w:type="dxa"/>
            </w:tcMar>
            <w:vAlign w:val="bottom"/>
          </w:tcPr>
          <w:p w14:paraId="5556C04E"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Interest-bearing deposits with banks</w:t>
            </w:r>
          </w:p>
        </w:tc>
        <w:tc>
          <w:tcPr>
            <w:tcW w:w="0" w:type="auto"/>
            <w:gridSpan w:val="2"/>
            <w:shd w:val="clear" w:color="auto" w:fill="auto"/>
            <w:tcMar>
              <w:top w:w="40" w:type="dxa"/>
              <w:left w:w="40" w:type="dxa"/>
              <w:bottom w:w="40" w:type="dxa"/>
            </w:tcMar>
            <w:vAlign w:val="bottom"/>
          </w:tcPr>
          <w:p w14:paraId="5556C04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73,040</w:t>
            </w:r>
          </w:p>
        </w:tc>
        <w:tc>
          <w:tcPr>
            <w:tcW w:w="0" w:type="auto"/>
            <w:shd w:val="clear" w:color="auto" w:fill="auto"/>
            <w:vAlign w:val="bottom"/>
          </w:tcPr>
          <w:p w14:paraId="5556C05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5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73,040</w:t>
            </w:r>
          </w:p>
        </w:tc>
        <w:tc>
          <w:tcPr>
            <w:tcW w:w="0" w:type="auto"/>
            <w:shd w:val="clear" w:color="auto" w:fill="auto"/>
            <w:vAlign w:val="bottom"/>
          </w:tcPr>
          <w:p w14:paraId="5556C05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5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0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5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73,040</w:t>
            </w:r>
          </w:p>
        </w:tc>
        <w:tc>
          <w:tcPr>
            <w:tcW w:w="0" w:type="auto"/>
            <w:shd w:val="clear" w:color="auto" w:fill="auto"/>
            <w:vAlign w:val="bottom"/>
          </w:tcPr>
          <w:p w14:paraId="5556C05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5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05C" w14:textId="77777777" w:rsidR="00F925DD" w:rsidRDefault="00F925DD">
            <w:pPr>
              <w:textAlignment w:val="bottom"/>
              <w:rPr>
                <w:rFonts w:ascii="Times New Roman" w:hAnsi="Times New Roman"/>
                <w:sz w:val="20"/>
                <w:szCs w:val="20"/>
              </w:rPr>
            </w:pPr>
          </w:p>
        </w:tc>
      </w:tr>
      <w:tr w:rsidR="00F925DD" w14:paraId="5556C06D" w14:textId="77777777">
        <w:tc>
          <w:tcPr>
            <w:tcW w:w="0" w:type="auto"/>
            <w:shd w:val="clear" w:color="auto" w:fill="CCEEFF"/>
            <w:tcMar>
              <w:top w:w="40" w:type="dxa"/>
              <w:left w:w="40" w:type="dxa"/>
              <w:bottom w:w="40" w:type="dxa"/>
              <w:right w:w="40" w:type="dxa"/>
            </w:tcMar>
            <w:vAlign w:val="bottom"/>
          </w:tcPr>
          <w:p w14:paraId="5556C05E"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purchased under resale agreements</w:t>
            </w:r>
          </w:p>
        </w:tc>
        <w:tc>
          <w:tcPr>
            <w:tcW w:w="0" w:type="auto"/>
            <w:gridSpan w:val="2"/>
            <w:shd w:val="clear" w:color="auto" w:fill="CCEEFF"/>
            <w:tcMar>
              <w:top w:w="40" w:type="dxa"/>
              <w:left w:w="40" w:type="dxa"/>
              <w:bottom w:w="40" w:type="dxa"/>
            </w:tcMar>
            <w:vAlign w:val="bottom"/>
          </w:tcPr>
          <w:p w14:paraId="5556C05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4,679</w:t>
            </w:r>
          </w:p>
        </w:tc>
        <w:tc>
          <w:tcPr>
            <w:tcW w:w="0" w:type="auto"/>
            <w:shd w:val="clear" w:color="auto" w:fill="CCEEFF"/>
            <w:vAlign w:val="bottom"/>
          </w:tcPr>
          <w:p w14:paraId="5556C06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6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4,679</w:t>
            </w:r>
          </w:p>
        </w:tc>
        <w:tc>
          <w:tcPr>
            <w:tcW w:w="0" w:type="auto"/>
            <w:shd w:val="clear" w:color="auto" w:fill="CCEEFF"/>
            <w:vAlign w:val="bottom"/>
          </w:tcPr>
          <w:p w14:paraId="5556C06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6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06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6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4,679</w:t>
            </w:r>
          </w:p>
        </w:tc>
        <w:tc>
          <w:tcPr>
            <w:tcW w:w="0" w:type="auto"/>
            <w:shd w:val="clear" w:color="auto" w:fill="CCEEFF"/>
            <w:vAlign w:val="bottom"/>
          </w:tcPr>
          <w:p w14:paraId="5556C06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6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06C" w14:textId="77777777" w:rsidR="00F925DD" w:rsidRDefault="00F925DD">
            <w:pPr>
              <w:textAlignment w:val="bottom"/>
              <w:rPr>
                <w:rFonts w:ascii="Times New Roman" w:hAnsi="Times New Roman"/>
                <w:sz w:val="20"/>
                <w:szCs w:val="20"/>
              </w:rPr>
            </w:pPr>
          </w:p>
        </w:tc>
      </w:tr>
      <w:tr w:rsidR="00F925DD" w14:paraId="5556C07D" w14:textId="77777777">
        <w:tc>
          <w:tcPr>
            <w:tcW w:w="0" w:type="auto"/>
            <w:shd w:val="clear" w:color="auto" w:fill="auto"/>
            <w:tcMar>
              <w:top w:w="40" w:type="dxa"/>
              <w:left w:w="40" w:type="dxa"/>
              <w:bottom w:w="40" w:type="dxa"/>
              <w:right w:w="40" w:type="dxa"/>
            </w:tcMar>
            <w:vAlign w:val="bottom"/>
          </w:tcPr>
          <w:p w14:paraId="5556C06E" w14:textId="77777777" w:rsidR="00F925DD" w:rsidRDefault="00E705D7">
            <w:pPr>
              <w:textAlignment w:val="bottom"/>
              <w:rPr>
                <w:rFonts w:ascii="Times New Roman" w:hAnsi="Times New Roman"/>
                <w:sz w:val="14"/>
                <w:szCs w:val="14"/>
              </w:rPr>
            </w:pPr>
            <w:r>
              <w:rPr>
                <w:rFonts w:ascii="Arial" w:eastAsia="宋体" w:hAnsi="Arial" w:cs="Arial"/>
                <w:sz w:val="14"/>
                <w:szCs w:val="14"/>
              </w:rPr>
              <w:t>Investment securities held-to-maturity</w:t>
            </w:r>
          </w:p>
        </w:tc>
        <w:tc>
          <w:tcPr>
            <w:tcW w:w="0" w:type="auto"/>
            <w:gridSpan w:val="2"/>
            <w:shd w:val="clear" w:color="auto" w:fill="auto"/>
            <w:tcMar>
              <w:top w:w="40" w:type="dxa"/>
              <w:left w:w="40" w:type="dxa"/>
              <w:bottom w:w="40" w:type="dxa"/>
            </w:tcMar>
            <w:vAlign w:val="bottom"/>
          </w:tcPr>
          <w:p w14:paraId="5556C06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41,914</w:t>
            </w:r>
          </w:p>
        </w:tc>
        <w:tc>
          <w:tcPr>
            <w:tcW w:w="0" w:type="auto"/>
            <w:shd w:val="clear" w:color="auto" w:fill="auto"/>
            <w:vAlign w:val="bottom"/>
          </w:tcPr>
          <w:p w14:paraId="5556C07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7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41,351</w:t>
            </w:r>
          </w:p>
        </w:tc>
        <w:tc>
          <w:tcPr>
            <w:tcW w:w="0" w:type="auto"/>
            <w:shd w:val="clear" w:color="auto" w:fill="auto"/>
            <w:vAlign w:val="bottom"/>
          </w:tcPr>
          <w:p w14:paraId="5556C07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7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14,541</w:t>
            </w:r>
          </w:p>
        </w:tc>
        <w:tc>
          <w:tcPr>
            <w:tcW w:w="0" w:type="auto"/>
            <w:shd w:val="clear" w:color="auto" w:fill="auto"/>
            <w:vAlign w:val="bottom"/>
          </w:tcPr>
          <w:p w14:paraId="5556C07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7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26,688</w:t>
            </w:r>
          </w:p>
        </w:tc>
        <w:tc>
          <w:tcPr>
            <w:tcW w:w="0" w:type="auto"/>
            <w:shd w:val="clear" w:color="auto" w:fill="auto"/>
            <w:vAlign w:val="bottom"/>
          </w:tcPr>
          <w:p w14:paraId="5556C07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7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122</w:t>
            </w:r>
          </w:p>
        </w:tc>
        <w:tc>
          <w:tcPr>
            <w:tcW w:w="0" w:type="auto"/>
            <w:shd w:val="clear" w:color="auto" w:fill="auto"/>
            <w:vAlign w:val="bottom"/>
          </w:tcPr>
          <w:p w14:paraId="5556C07C" w14:textId="77777777" w:rsidR="00F925DD" w:rsidRDefault="00F925DD">
            <w:pPr>
              <w:textAlignment w:val="bottom"/>
              <w:rPr>
                <w:rFonts w:ascii="Times New Roman" w:hAnsi="Times New Roman"/>
                <w:sz w:val="20"/>
                <w:szCs w:val="20"/>
              </w:rPr>
            </w:pPr>
          </w:p>
        </w:tc>
      </w:tr>
      <w:tr w:rsidR="00F925DD" w14:paraId="5556C08D" w14:textId="77777777">
        <w:tc>
          <w:tcPr>
            <w:tcW w:w="0" w:type="auto"/>
            <w:shd w:val="clear" w:color="auto" w:fill="CCEEFF"/>
            <w:tcMar>
              <w:top w:w="40" w:type="dxa"/>
              <w:left w:w="40" w:type="dxa"/>
              <w:bottom w:w="40" w:type="dxa"/>
              <w:right w:w="40" w:type="dxa"/>
            </w:tcMar>
            <w:vAlign w:val="bottom"/>
          </w:tcPr>
          <w:p w14:paraId="5556C07E"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w:t>
            </w:r>
            <w:r>
              <w:rPr>
                <w:rFonts w:ascii="Arial" w:eastAsia="宋体" w:hAnsi="Arial" w:cs="Arial"/>
                <w:sz w:val="14"/>
                <w:szCs w:val="14"/>
              </w:rPr>
              <w:t>loans (excluding leases)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5556C07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25,722</w:t>
            </w:r>
          </w:p>
        </w:tc>
        <w:tc>
          <w:tcPr>
            <w:tcW w:w="0" w:type="auto"/>
            <w:shd w:val="clear" w:color="auto" w:fill="CCEEFF"/>
            <w:vAlign w:val="bottom"/>
          </w:tcPr>
          <w:p w14:paraId="5556C08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8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25,561</w:t>
            </w:r>
          </w:p>
        </w:tc>
        <w:tc>
          <w:tcPr>
            <w:tcW w:w="0" w:type="auto"/>
            <w:shd w:val="clear" w:color="auto" w:fill="CCEEFF"/>
            <w:vAlign w:val="bottom"/>
          </w:tcPr>
          <w:p w14:paraId="5556C08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8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08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8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24,648</w:t>
            </w:r>
          </w:p>
        </w:tc>
        <w:tc>
          <w:tcPr>
            <w:tcW w:w="0" w:type="auto"/>
            <w:shd w:val="clear" w:color="auto" w:fill="CCEEFF"/>
            <w:vAlign w:val="bottom"/>
          </w:tcPr>
          <w:p w14:paraId="5556C0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8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913</w:t>
            </w:r>
          </w:p>
        </w:tc>
        <w:tc>
          <w:tcPr>
            <w:tcW w:w="0" w:type="auto"/>
            <w:shd w:val="clear" w:color="auto" w:fill="CCEEFF"/>
            <w:vAlign w:val="bottom"/>
          </w:tcPr>
          <w:p w14:paraId="5556C08C" w14:textId="77777777" w:rsidR="00F925DD" w:rsidRDefault="00F925DD">
            <w:pPr>
              <w:textAlignment w:val="bottom"/>
              <w:rPr>
                <w:rFonts w:ascii="Times New Roman" w:hAnsi="Times New Roman"/>
                <w:sz w:val="20"/>
                <w:szCs w:val="20"/>
              </w:rPr>
            </w:pPr>
          </w:p>
        </w:tc>
      </w:tr>
      <w:tr w:rsidR="00F925DD" w14:paraId="5556C09D" w14:textId="77777777">
        <w:tc>
          <w:tcPr>
            <w:tcW w:w="0" w:type="auto"/>
            <w:shd w:val="clear" w:color="auto" w:fill="auto"/>
            <w:tcMar>
              <w:top w:w="40" w:type="dxa"/>
              <w:left w:w="40" w:type="dxa"/>
              <w:bottom w:w="40" w:type="dxa"/>
              <w:right w:w="40" w:type="dxa"/>
            </w:tcMar>
            <w:vAlign w:val="bottom"/>
          </w:tcPr>
          <w:p w14:paraId="5556C08E"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5556C08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8,500</w:t>
            </w:r>
          </w:p>
        </w:tc>
        <w:tc>
          <w:tcPr>
            <w:tcW w:w="0" w:type="auto"/>
            <w:shd w:val="clear" w:color="auto" w:fill="auto"/>
            <w:vAlign w:val="bottom"/>
          </w:tcPr>
          <w:p w14:paraId="5556C09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9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8,500</w:t>
            </w:r>
          </w:p>
        </w:tc>
        <w:tc>
          <w:tcPr>
            <w:tcW w:w="0" w:type="auto"/>
            <w:shd w:val="clear" w:color="auto" w:fill="auto"/>
            <w:vAlign w:val="bottom"/>
          </w:tcPr>
          <w:p w14:paraId="5556C09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9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09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9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8,500</w:t>
            </w:r>
          </w:p>
        </w:tc>
        <w:tc>
          <w:tcPr>
            <w:tcW w:w="0" w:type="auto"/>
            <w:shd w:val="clear" w:color="auto" w:fill="auto"/>
            <w:vAlign w:val="bottom"/>
          </w:tcPr>
          <w:p w14:paraId="5556C09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9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09C" w14:textId="77777777" w:rsidR="00F925DD" w:rsidRDefault="00F925DD">
            <w:pPr>
              <w:textAlignment w:val="bottom"/>
              <w:rPr>
                <w:rFonts w:ascii="Times New Roman" w:hAnsi="Times New Roman"/>
                <w:sz w:val="20"/>
                <w:szCs w:val="20"/>
              </w:rPr>
            </w:pPr>
          </w:p>
        </w:tc>
      </w:tr>
      <w:tr w:rsidR="00F925DD" w14:paraId="5556C0A8" w14:textId="77777777">
        <w:tc>
          <w:tcPr>
            <w:tcW w:w="0" w:type="auto"/>
            <w:shd w:val="clear" w:color="auto" w:fill="CCEEFF"/>
            <w:tcMar>
              <w:top w:w="40" w:type="dxa"/>
              <w:left w:w="40" w:type="dxa"/>
              <w:bottom w:w="40" w:type="dxa"/>
              <w:right w:w="40" w:type="dxa"/>
            </w:tcMar>
            <w:vAlign w:val="bottom"/>
          </w:tcPr>
          <w:p w14:paraId="5556C09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Financial Liabilities:</w:t>
            </w:r>
          </w:p>
        </w:tc>
        <w:tc>
          <w:tcPr>
            <w:tcW w:w="0" w:type="auto"/>
            <w:gridSpan w:val="3"/>
            <w:shd w:val="clear" w:color="auto" w:fill="CCEEFF"/>
            <w:tcMar>
              <w:top w:w="40" w:type="dxa"/>
              <w:left w:w="40" w:type="dxa"/>
              <w:bottom w:w="40" w:type="dxa"/>
              <w:right w:w="40" w:type="dxa"/>
            </w:tcMar>
            <w:vAlign w:val="bottom"/>
          </w:tcPr>
          <w:p w14:paraId="5556C0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0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0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0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0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0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0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0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0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0B3" w14:textId="77777777">
        <w:tc>
          <w:tcPr>
            <w:tcW w:w="0" w:type="auto"/>
            <w:shd w:val="clear" w:color="auto" w:fill="auto"/>
            <w:tcMar>
              <w:top w:w="40" w:type="dxa"/>
              <w:left w:w="40" w:type="dxa"/>
              <w:bottom w:w="40" w:type="dxa"/>
              <w:right w:w="40" w:type="dxa"/>
            </w:tcMar>
            <w:vAlign w:val="bottom"/>
          </w:tcPr>
          <w:p w14:paraId="5556C0A9" w14:textId="77777777" w:rsidR="00F925DD" w:rsidRDefault="00E705D7">
            <w:pPr>
              <w:textAlignment w:val="bottom"/>
              <w:rPr>
                <w:rFonts w:ascii="Times New Roman" w:hAnsi="Times New Roman"/>
                <w:sz w:val="14"/>
                <w:szCs w:val="14"/>
              </w:rPr>
            </w:pPr>
            <w:r>
              <w:rPr>
                <w:rFonts w:ascii="Arial" w:eastAsia="宋体" w:hAnsi="Arial" w:cs="Arial"/>
                <w:sz w:val="14"/>
                <w:szCs w:val="14"/>
              </w:rPr>
              <w:t>Deposits:</w:t>
            </w:r>
          </w:p>
        </w:tc>
        <w:tc>
          <w:tcPr>
            <w:tcW w:w="0" w:type="auto"/>
            <w:gridSpan w:val="3"/>
            <w:shd w:val="clear" w:color="auto" w:fill="auto"/>
            <w:tcMar>
              <w:top w:w="40" w:type="dxa"/>
              <w:left w:w="40" w:type="dxa"/>
              <w:bottom w:w="40" w:type="dxa"/>
              <w:right w:w="40" w:type="dxa"/>
            </w:tcMar>
            <w:vAlign w:val="bottom"/>
          </w:tcPr>
          <w:p w14:paraId="5556C0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0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0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0C8" w14:textId="77777777">
        <w:tc>
          <w:tcPr>
            <w:tcW w:w="0" w:type="auto"/>
            <w:shd w:val="clear" w:color="auto" w:fill="CCEEFF"/>
            <w:tcMar>
              <w:top w:w="40" w:type="dxa"/>
              <w:left w:w="40" w:type="dxa"/>
              <w:bottom w:w="40" w:type="dxa"/>
              <w:right w:w="40" w:type="dxa"/>
            </w:tcMar>
            <w:vAlign w:val="bottom"/>
          </w:tcPr>
          <w:p w14:paraId="5556C0B4" w14:textId="77777777" w:rsidR="00F925DD" w:rsidRDefault="00E705D7">
            <w:pPr>
              <w:textAlignment w:val="bottom"/>
              <w:rPr>
                <w:rFonts w:ascii="Times New Roman" w:hAnsi="Times New Roman"/>
                <w:sz w:val="14"/>
                <w:szCs w:val="14"/>
              </w:rPr>
            </w:pPr>
            <w:r>
              <w:rPr>
                <w:rFonts w:ascii="Arial" w:eastAsia="宋体" w:hAnsi="Arial" w:cs="Arial"/>
                <w:sz w:val="14"/>
                <w:szCs w:val="14"/>
              </w:rPr>
              <w:t>   Non-interest-bearing</w:t>
            </w:r>
          </w:p>
        </w:tc>
        <w:tc>
          <w:tcPr>
            <w:tcW w:w="0" w:type="auto"/>
            <w:shd w:val="clear" w:color="auto" w:fill="CCEEFF"/>
            <w:tcMar>
              <w:top w:w="40" w:type="dxa"/>
              <w:left w:w="40" w:type="dxa"/>
              <w:bottom w:w="40" w:type="dxa"/>
            </w:tcMar>
            <w:vAlign w:val="bottom"/>
          </w:tcPr>
          <w:p w14:paraId="5556C0B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0B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44,804</w:t>
            </w:r>
          </w:p>
        </w:tc>
        <w:tc>
          <w:tcPr>
            <w:tcW w:w="0" w:type="auto"/>
            <w:shd w:val="clear" w:color="auto" w:fill="CCEEFF"/>
            <w:vAlign w:val="bottom"/>
          </w:tcPr>
          <w:p w14:paraId="5556C0B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0B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0B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44,804</w:t>
            </w:r>
          </w:p>
        </w:tc>
        <w:tc>
          <w:tcPr>
            <w:tcW w:w="0" w:type="auto"/>
            <w:shd w:val="clear" w:color="auto" w:fill="CCEEFF"/>
            <w:vAlign w:val="bottom"/>
          </w:tcPr>
          <w:p w14:paraId="5556C0B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0B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0B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0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0C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0C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44,804</w:t>
            </w:r>
          </w:p>
        </w:tc>
        <w:tc>
          <w:tcPr>
            <w:tcW w:w="0" w:type="auto"/>
            <w:shd w:val="clear" w:color="auto" w:fill="CCEEFF"/>
            <w:vAlign w:val="bottom"/>
          </w:tcPr>
          <w:p w14:paraId="5556C0C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0C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0C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0C7" w14:textId="77777777" w:rsidR="00F925DD" w:rsidRDefault="00F925DD">
            <w:pPr>
              <w:textAlignment w:val="bottom"/>
              <w:rPr>
                <w:rFonts w:ascii="Times New Roman" w:hAnsi="Times New Roman"/>
                <w:sz w:val="20"/>
                <w:szCs w:val="20"/>
              </w:rPr>
            </w:pPr>
          </w:p>
        </w:tc>
      </w:tr>
      <w:tr w:rsidR="00F925DD" w14:paraId="5556C0D8" w14:textId="77777777">
        <w:tc>
          <w:tcPr>
            <w:tcW w:w="0" w:type="auto"/>
            <w:shd w:val="clear" w:color="auto" w:fill="auto"/>
            <w:tcMar>
              <w:top w:w="40" w:type="dxa"/>
              <w:left w:w="40" w:type="dxa"/>
              <w:bottom w:w="40" w:type="dxa"/>
              <w:right w:w="40" w:type="dxa"/>
            </w:tcMar>
            <w:vAlign w:val="bottom"/>
          </w:tcPr>
          <w:p w14:paraId="5556C0C9" w14:textId="77777777" w:rsidR="00F925DD" w:rsidRDefault="00E705D7">
            <w:pPr>
              <w:textAlignment w:val="bottom"/>
              <w:rPr>
                <w:rFonts w:ascii="Times New Roman" w:hAnsi="Times New Roman"/>
                <w:sz w:val="14"/>
                <w:szCs w:val="14"/>
              </w:rPr>
            </w:pPr>
            <w:r>
              <w:rPr>
                <w:rFonts w:ascii="Arial" w:eastAsia="宋体" w:hAnsi="Arial" w:cs="Arial"/>
                <w:sz w:val="14"/>
                <w:szCs w:val="14"/>
              </w:rPr>
              <w:t>   Interest-bearing - U.S.</w:t>
            </w:r>
          </w:p>
        </w:tc>
        <w:tc>
          <w:tcPr>
            <w:tcW w:w="0" w:type="auto"/>
            <w:gridSpan w:val="2"/>
            <w:shd w:val="clear" w:color="auto" w:fill="auto"/>
            <w:tcMar>
              <w:top w:w="40" w:type="dxa"/>
              <w:left w:w="40" w:type="dxa"/>
              <w:bottom w:w="40" w:type="dxa"/>
            </w:tcMar>
            <w:vAlign w:val="bottom"/>
          </w:tcPr>
          <w:p w14:paraId="5556C0C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66,235</w:t>
            </w:r>
          </w:p>
        </w:tc>
        <w:tc>
          <w:tcPr>
            <w:tcW w:w="0" w:type="auto"/>
            <w:shd w:val="clear" w:color="auto" w:fill="auto"/>
            <w:vAlign w:val="bottom"/>
          </w:tcPr>
          <w:p w14:paraId="5556C0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C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66,235</w:t>
            </w:r>
          </w:p>
        </w:tc>
        <w:tc>
          <w:tcPr>
            <w:tcW w:w="0" w:type="auto"/>
            <w:shd w:val="clear" w:color="auto" w:fill="auto"/>
            <w:vAlign w:val="bottom"/>
          </w:tcPr>
          <w:p w14:paraId="5556C0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D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0D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D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66,235</w:t>
            </w:r>
          </w:p>
        </w:tc>
        <w:tc>
          <w:tcPr>
            <w:tcW w:w="0" w:type="auto"/>
            <w:shd w:val="clear" w:color="auto" w:fill="auto"/>
            <w:vAlign w:val="bottom"/>
          </w:tcPr>
          <w:p w14:paraId="5556C0D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D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0D7" w14:textId="77777777" w:rsidR="00F925DD" w:rsidRDefault="00F925DD">
            <w:pPr>
              <w:textAlignment w:val="bottom"/>
              <w:rPr>
                <w:rFonts w:ascii="Times New Roman" w:hAnsi="Times New Roman"/>
                <w:sz w:val="20"/>
                <w:szCs w:val="20"/>
              </w:rPr>
            </w:pPr>
          </w:p>
        </w:tc>
      </w:tr>
      <w:tr w:rsidR="00F925DD" w14:paraId="5556C0E8" w14:textId="77777777">
        <w:tc>
          <w:tcPr>
            <w:tcW w:w="0" w:type="auto"/>
            <w:shd w:val="clear" w:color="auto" w:fill="CCEEFF"/>
            <w:tcMar>
              <w:top w:w="40" w:type="dxa"/>
              <w:left w:w="40" w:type="dxa"/>
              <w:bottom w:w="40" w:type="dxa"/>
              <w:right w:w="40" w:type="dxa"/>
            </w:tcMar>
            <w:vAlign w:val="bottom"/>
          </w:tcPr>
          <w:p w14:paraId="5556C0D9" w14:textId="77777777" w:rsidR="00F925DD" w:rsidRDefault="00E705D7">
            <w:pPr>
              <w:textAlignment w:val="bottom"/>
              <w:rPr>
                <w:rFonts w:ascii="Times New Roman" w:hAnsi="Times New Roman"/>
                <w:sz w:val="14"/>
                <w:szCs w:val="14"/>
              </w:rPr>
            </w:pPr>
            <w:r>
              <w:rPr>
                <w:rFonts w:ascii="Arial" w:eastAsia="宋体" w:hAnsi="Arial" w:cs="Arial"/>
                <w:sz w:val="14"/>
                <w:szCs w:val="14"/>
              </w:rPr>
              <w:t>   Interest-bearing - non-U.S.</w:t>
            </w:r>
          </w:p>
        </w:tc>
        <w:tc>
          <w:tcPr>
            <w:tcW w:w="0" w:type="auto"/>
            <w:gridSpan w:val="2"/>
            <w:shd w:val="clear" w:color="auto" w:fill="CCEEFF"/>
            <w:tcMar>
              <w:top w:w="40" w:type="dxa"/>
              <w:left w:w="40" w:type="dxa"/>
              <w:bottom w:w="40" w:type="dxa"/>
            </w:tcMar>
            <w:vAlign w:val="bottom"/>
          </w:tcPr>
          <w:p w14:paraId="5556C0D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69,321</w:t>
            </w:r>
          </w:p>
        </w:tc>
        <w:tc>
          <w:tcPr>
            <w:tcW w:w="0" w:type="auto"/>
            <w:shd w:val="clear" w:color="auto" w:fill="CCEEFF"/>
            <w:vAlign w:val="bottom"/>
          </w:tcPr>
          <w:p w14:paraId="5556C0D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D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69,321</w:t>
            </w:r>
          </w:p>
        </w:tc>
        <w:tc>
          <w:tcPr>
            <w:tcW w:w="0" w:type="auto"/>
            <w:shd w:val="clear" w:color="auto" w:fill="CCEEFF"/>
            <w:vAlign w:val="bottom"/>
          </w:tcPr>
          <w:p w14:paraId="5556C0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E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0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E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69,321</w:t>
            </w:r>
          </w:p>
        </w:tc>
        <w:tc>
          <w:tcPr>
            <w:tcW w:w="0" w:type="auto"/>
            <w:shd w:val="clear" w:color="auto" w:fill="CCEEFF"/>
            <w:vAlign w:val="bottom"/>
          </w:tcPr>
          <w:p w14:paraId="5556C0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E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0E7" w14:textId="77777777" w:rsidR="00F925DD" w:rsidRDefault="00F925DD">
            <w:pPr>
              <w:textAlignment w:val="bottom"/>
              <w:rPr>
                <w:rFonts w:ascii="Times New Roman" w:hAnsi="Times New Roman"/>
                <w:sz w:val="20"/>
                <w:szCs w:val="20"/>
              </w:rPr>
            </w:pPr>
          </w:p>
        </w:tc>
      </w:tr>
      <w:tr w:rsidR="00F925DD" w14:paraId="5556C0F8" w14:textId="77777777">
        <w:tc>
          <w:tcPr>
            <w:tcW w:w="0" w:type="auto"/>
            <w:shd w:val="clear" w:color="auto" w:fill="auto"/>
            <w:tcMar>
              <w:top w:w="40" w:type="dxa"/>
              <w:left w:w="40" w:type="dxa"/>
              <w:bottom w:w="40" w:type="dxa"/>
              <w:right w:w="40" w:type="dxa"/>
            </w:tcMar>
            <w:vAlign w:val="bottom"/>
          </w:tcPr>
          <w:p w14:paraId="5556C0E9"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sold under repurchase agreements</w:t>
            </w:r>
          </w:p>
        </w:tc>
        <w:tc>
          <w:tcPr>
            <w:tcW w:w="0" w:type="auto"/>
            <w:gridSpan w:val="2"/>
            <w:shd w:val="clear" w:color="auto" w:fill="auto"/>
            <w:tcMar>
              <w:top w:w="40" w:type="dxa"/>
              <w:left w:w="40" w:type="dxa"/>
              <w:bottom w:w="40" w:type="dxa"/>
            </w:tcMar>
            <w:vAlign w:val="bottom"/>
          </w:tcPr>
          <w:p w14:paraId="5556C0E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1,082</w:t>
            </w:r>
          </w:p>
        </w:tc>
        <w:tc>
          <w:tcPr>
            <w:tcW w:w="0" w:type="auto"/>
            <w:shd w:val="clear" w:color="auto" w:fill="auto"/>
            <w:vAlign w:val="bottom"/>
          </w:tcPr>
          <w:p w14:paraId="5556C0E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E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1,082</w:t>
            </w:r>
          </w:p>
        </w:tc>
        <w:tc>
          <w:tcPr>
            <w:tcW w:w="0" w:type="auto"/>
            <w:shd w:val="clear" w:color="auto" w:fill="auto"/>
            <w:vAlign w:val="bottom"/>
          </w:tcPr>
          <w:p w14:paraId="5556C0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F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0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F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1,082</w:t>
            </w:r>
          </w:p>
        </w:tc>
        <w:tc>
          <w:tcPr>
            <w:tcW w:w="0" w:type="auto"/>
            <w:shd w:val="clear" w:color="auto" w:fill="auto"/>
            <w:vAlign w:val="bottom"/>
          </w:tcPr>
          <w:p w14:paraId="5556C0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0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0F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0F7" w14:textId="77777777" w:rsidR="00F925DD" w:rsidRDefault="00F925DD">
            <w:pPr>
              <w:textAlignment w:val="bottom"/>
              <w:rPr>
                <w:rFonts w:ascii="Times New Roman" w:hAnsi="Times New Roman"/>
                <w:sz w:val="20"/>
                <w:szCs w:val="20"/>
              </w:rPr>
            </w:pPr>
          </w:p>
        </w:tc>
      </w:tr>
      <w:tr w:rsidR="00F925DD" w14:paraId="5556C108" w14:textId="77777777">
        <w:tc>
          <w:tcPr>
            <w:tcW w:w="0" w:type="auto"/>
            <w:shd w:val="clear" w:color="auto" w:fill="CCEEFF"/>
            <w:tcMar>
              <w:top w:w="40" w:type="dxa"/>
              <w:left w:w="40" w:type="dxa"/>
              <w:bottom w:w="40" w:type="dxa"/>
              <w:right w:w="40" w:type="dxa"/>
            </w:tcMar>
            <w:vAlign w:val="bottom"/>
          </w:tcPr>
          <w:p w14:paraId="5556C0F9"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Other short-term </w:t>
            </w:r>
            <w:r>
              <w:rPr>
                <w:rFonts w:ascii="Arial" w:eastAsia="宋体" w:hAnsi="Arial" w:cs="Arial"/>
                <w:sz w:val="14"/>
                <w:szCs w:val="14"/>
              </w:rPr>
              <w:t>borrowings</w:t>
            </w:r>
          </w:p>
        </w:tc>
        <w:tc>
          <w:tcPr>
            <w:tcW w:w="0" w:type="auto"/>
            <w:gridSpan w:val="2"/>
            <w:shd w:val="clear" w:color="auto" w:fill="CCEEFF"/>
            <w:tcMar>
              <w:top w:w="40" w:type="dxa"/>
              <w:left w:w="40" w:type="dxa"/>
              <w:bottom w:w="40" w:type="dxa"/>
            </w:tcMar>
            <w:vAlign w:val="bottom"/>
          </w:tcPr>
          <w:p w14:paraId="5556C0F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3,092</w:t>
            </w:r>
          </w:p>
        </w:tc>
        <w:tc>
          <w:tcPr>
            <w:tcW w:w="0" w:type="auto"/>
            <w:shd w:val="clear" w:color="auto" w:fill="CCEEFF"/>
            <w:vAlign w:val="bottom"/>
          </w:tcPr>
          <w:p w14:paraId="5556C0F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0F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3,092</w:t>
            </w:r>
          </w:p>
        </w:tc>
        <w:tc>
          <w:tcPr>
            <w:tcW w:w="0" w:type="auto"/>
            <w:shd w:val="clear" w:color="auto" w:fill="CCEEFF"/>
            <w:vAlign w:val="bottom"/>
          </w:tcPr>
          <w:p w14:paraId="5556C0F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0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10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10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10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3,092</w:t>
            </w:r>
          </w:p>
        </w:tc>
        <w:tc>
          <w:tcPr>
            <w:tcW w:w="0" w:type="auto"/>
            <w:shd w:val="clear" w:color="auto" w:fill="CCEEFF"/>
            <w:vAlign w:val="bottom"/>
          </w:tcPr>
          <w:p w14:paraId="5556C10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10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107" w14:textId="77777777" w:rsidR="00F925DD" w:rsidRDefault="00F925DD">
            <w:pPr>
              <w:textAlignment w:val="bottom"/>
              <w:rPr>
                <w:rFonts w:ascii="Times New Roman" w:hAnsi="Times New Roman"/>
                <w:sz w:val="20"/>
                <w:szCs w:val="20"/>
              </w:rPr>
            </w:pPr>
          </w:p>
        </w:tc>
      </w:tr>
      <w:tr w:rsidR="00F925DD" w14:paraId="5556C118" w14:textId="77777777">
        <w:tc>
          <w:tcPr>
            <w:tcW w:w="0" w:type="auto"/>
            <w:shd w:val="clear" w:color="auto" w:fill="auto"/>
            <w:tcMar>
              <w:top w:w="40" w:type="dxa"/>
              <w:left w:w="40" w:type="dxa"/>
              <w:bottom w:w="40" w:type="dxa"/>
              <w:right w:w="40" w:type="dxa"/>
            </w:tcMar>
            <w:vAlign w:val="bottom"/>
          </w:tcPr>
          <w:p w14:paraId="5556C109" w14:textId="77777777" w:rsidR="00F925DD" w:rsidRDefault="00E705D7">
            <w:pPr>
              <w:textAlignment w:val="bottom"/>
              <w:rPr>
                <w:rFonts w:ascii="Times New Roman" w:hAnsi="Times New Roman"/>
                <w:sz w:val="14"/>
                <w:szCs w:val="14"/>
              </w:rPr>
            </w:pPr>
            <w:r>
              <w:rPr>
                <w:rFonts w:ascii="Arial" w:eastAsia="宋体" w:hAnsi="Arial" w:cs="Arial"/>
                <w:sz w:val="14"/>
                <w:szCs w:val="14"/>
              </w:rPr>
              <w:t>Long-term debt</w:t>
            </w:r>
          </w:p>
        </w:tc>
        <w:tc>
          <w:tcPr>
            <w:tcW w:w="0" w:type="auto"/>
            <w:gridSpan w:val="2"/>
            <w:shd w:val="clear" w:color="auto" w:fill="auto"/>
            <w:tcMar>
              <w:top w:w="40" w:type="dxa"/>
              <w:left w:w="40" w:type="dxa"/>
              <w:bottom w:w="40" w:type="dxa"/>
            </w:tcMar>
            <w:vAlign w:val="bottom"/>
          </w:tcPr>
          <w:p w14:paraId="5556C10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11,093</w:t>
            </w:r>
          </w:p>
        </w:tc>
        <w:tc>
          <w:tcPr>
            <w:tcW w:w="0" w:type="auto"/>
            <w:shd w:val="clear" w:color="auto" w:fill="auto"/>
            <w:vAlign w:val="bottom"/>
          </w:tcPr>
          <w:p w14:paraId="5556C10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10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11,048</w:t>
            </w:r>
          </w:p>
        </w:tc>
        <w:tc>
          <w:tcPr>
            <w:tcW w:w="0" w:type="auto"/>
            <w:shd w:val="clear" w:color="auto" w:fill="auto"/>
            <w:vAlign w:val="bottom"/>
          </w:tcPr>
          <w:p w14:paraId="5556C10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11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11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11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10,865</w:t>
            </w:r>
          </w:p>
        </w:tc>
        <w:tc>
          <w:tcPr>
            <w:tcW w:w="0" w:type="auto"/>
            <w:shd w:val="clear" w:color="auto" w:fill="auto"/>
            <w:vAlign w:val="bottom"/>
          </w:tcPr>
          <w:p w14:paraId="5556C11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11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183</w:t>
            </w:r>
          </w:p>
        </w:tc>
        <w:tc>
          <w:tcPr>
            <w:tcW w:w="0" w:type="auto"/>
            <w:shd w:val="clear" w:color="auto" w:fill="auto"/>
            <w:vAlign w:val="bottom"/>
          </w:tcPr>
          <w:p w14:paraId="5556C117" w14:textId="77777777" w:rsidR="00F925DD" w:rsidRDefault="00F925DD">
            <w:pPr>
              <w:textAlignment w:val="bottom"/>
              <w:rPr>
                <w:rFonts w:ascii="Times New Roman" w:hAnsi="Times New Roman"/>
                <w:sz w:val="20"/>
                <w:szCs w:val="20"/>
              </w:rPr>
            </w:pPr>
          </w:p>
        </w:tc>
      </w:tr>
      <w:tr w:rsidR="00F925DD" w14:paraId="5556C128" w14:textId="77777777">
        <w:tc>
          <w:tcPr>
            <w:tcW w:w="0" w:type="auto"/>
            <w:shd w:val="clear" w:color="auto" w:fill="CCEEFF"/>
            <w:tcMar>
              <w:top w:w="40" w:type="dxa"/>
              <w:left w:w="40" w:type="dxa"/>
              <w:bottom w:w="40" w:type="dxa"/>
              <w:right w:w="40" w:type="dxa"/>
            </w:tcMar>
            <w:vAlign w:val="bottom"/>
          </w:tcPr>
          <w:p w14:paraId="5556C119"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5556C11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8,500</w:t>
            </w:r>
          </w:p>
        </w:tc>
        <w:tc>
          <w:tcPr>
            <w:tcW w:w="0" w:type="auto"/>
            <w:shd w:val="clear" w:color="auto" w:fill="CCEEFF"/>
            <w:vAlign w:val="bottom"/>
          </w:tcPr>
          <w:p w14:paraId="5556C11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11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8,500</w:t>
            </w:r>
          </w:p>
        </w:tc>
        <w:tc>
          <w:tcPr>
            <w:tcW w:w="0" w:type="auto"/>
            <w:shd w:val="clear" w:color="auto" w:fill="CCEEFF"/>
            <w:vAlign w:val="bottom"/>
          </w:tcPr>
          <w:p w14:paraId="5556C11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12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1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12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8,500</w:t>
            </w:r>
          </w:p>
        </w:tc>
        <w:tc>
          <w:tcPr>
            <w:tcW w:w="0" w:type="auto"/>
            <w:shd w:val="clear" w:color="auto" w:fill="CCEEFF"/>
            <w:vAlign w:val="bottom"/>
          </w:tcPr>
          <w:p w14:paraId="5556C12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12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127" w14:textId="77777777" w:rsidR="00F925DD" w:rsidRDefault="00F925DD">
            <w:pPr>
              <w:textAlignment w:val="bottom"/>
              <w:rPr>
                <w:rFonts w:ascii="Times New Roman" w:hAnsi="Times New Roman"/>
                <w:sz w:val="20"/>
                <w:szCs w:val="20"/>
              </w:rPr>
            </w:pPr>
          </w:p>
        </w:tc>
      </w:tr>
    </w:tbl>
    <w:p w14:paraId="5556C129"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09"/>
        <w:gridCol w:w="1661"/>
        <w:gridCol w:w="1495"/>
        <w:gridCol w:w="2741"/>
      </w:tblGrid>
      <w:tr w:rsidR="00F925DD" w14:paraId="5556C12B" w14:textId="77777777">
        <w:tc>
          <w:tcPr>
            <w:tcW w:w="0" w:type="auto"/>
            <w:gridSpan w:val="4"/>
            <w:shd w:val="clear" w:color="auto" w:fill="auto"/>
            <w:vAlign w:val="center"/>
          </w:tcPr>
          <w:p w14:paraId="5556C12A" w14:textId="77777777" w:rsidR="00F925DD" w:rsidRDefault="00F925DD">
            <w:pPr>
              <w:rPr>
                <w:rFonts w:ascii="Times New Roman" w:hAnsi="Times New Roman"/>
                <w:sz w:val="20"/>
                <w:szCs w:val="20"/>
              </w:rPr>
            </w:pPr>
          </w:p>
        </w:tc>
      </w:tr>
      <w:tr w:rsidR="00F925DD" w14:paraId="5556C130" w14:textId="77777777">
        <w:tc>
          <w:tcPr>
            <w:tcW w:w="1450" w:type="pct"/>
            <w:shd w:val="clear" w:color="auto" w:fill="auto"/>
            <w:vAlign w:val="center"/>
          </w:tcPr>
          <w:p w14:paraId="5556C12C" w14:textId="77777777" w:rsidR="00F925DD" w:rsidRDefault="00F925DD">
            <w:pPr>
              <w:rPr>
                <w:rFonts w:ascii="Times New Roman" w:hAnsi="Times New Roman"/>
                <w:sz w:val="20"/>
                <w:szCs w:val="20"/>
              </w:rPr>
            </w:pPr>
          </w:p>
        </w:tc>
        <w:tc>
          <w:tcPr>
            <w:tcW w:w="1000" w:type="pct"/>
            <w:shd w:val="clear" w:color="auto" w:fill="auto"/>
            <w:vAlign w:val="center"/>
          </w:tcPr>
          <w:p w14:paraId="5556C12D" w14:textId="77777777" w:rsidR="00F925DD" w:rsidRDefault="00F925DD">
            <w:pPr>
              <w:rPr>
                <w:rFonts w:ascii="Times New Roman" w:hAnsi="Times New Roman"/>
                <w:sz w:val="20"/>
                <w:szCs w:val="20"/>
              </w:rPr>
            </w:pPr>
          </w:p>
        </w:tc>
        <w:tc>
          <w:tcPr>
            <w:tcW w:w="900" w:type="pct"/>
            <w:shd w:val="clear" w:color="auto" w:fill="auto"/>
            <w:vAlign w:val="center"/>
          </w:tcPr>
          <w:p w14:paraId="5556C12E" w14:textId="77777777" w:rsidR="00F925DD" w:rsidRDefault="00F925DD">
            <w:pPr>
              <w:rPr>
                <w:rFonts w:ascii="Times New Roman" w:hAnsi="Times New Roman"/>
                <w:sz w:val="20"/>
                <w:szCs w:val="20"/>
              </w:rPr>
            </w:pPr>
          </w:p>
        </w:tc>
        <w:tc>
          <w:tcPr>
            <w:tcW w:w="1650" w:type="pct"/>
            <w:shd w:val="clear" w:color="auto" w:fill="auto"/>
            <w:vAlign w:val="center"/>
          </w:tcPr>
          <w:p w14:paraId="5556C12F" w14:textId="77777777" w:rsidR="00F925DD" w:rsidRDefault="00F925DD">
            <w:pPr>
              <w:rPr>
                <w:rFonts w:ascii="Times New Roman" w:hAnsi="Times New Roman"/>
                <w:sz w:val="20"/>
                <w:szCs w:val="20"/>
              </w:rPr>
            </w:pPr>
          </w:p>
        </w:tc>
      </w:tr>
      <w:tr w:rsidR="00F925DD" w14:paraId="5556C13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C1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1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1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1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C136" w14:textId="77777777" w:rsidR="00F925DD" w:rsidRDefault="00E705D7">
      <w:pPr>
        <w:spacing w:line="288" w:lineRule="auto"/>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Includes $10 million of loans classified as held-for-sale that were measured at fair value on a recurring basis as of December 31, 2018.</w:t>
      </w:r>
    </w:p>
    <w:p w14:paraId="5556C137" w14:textId="77777777" w:rsidR="00F925DD" w:rsidRDefault="00E705D7">
      <w:pPr>
        <w:spacing w:line="288" w:lineRule="auto"/>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Represents a portion of underlying client assets related to our enhanced custody business, which clients have allo</w:t>
      </w:r>
      <w:r>
        <w:rPr>
          <w:rFonts w:ascii="Arial" w:eastAsia="宋体" w:hAnsi="Arial" w:cs="Arial"/>
          <w:sz w:val="14"/>
          <w:szCs w:val="14"/>
        </w:rPr>
        <w:t>wed us to transfer and re-pledge.</w:t>
      </w:r>
    </w:p>
    <w:p w14:paraId="5556C138"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 xml:space="preserve">Note 3.    Investment Securities </w:t>
      </w:r>
    </w:p>
    <w:p w14:paraId="5556C13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Investment securities held by us are classified as either trading account assets, AFS, HTM or equity securities held at fair value at the time of purchase and reassessed </w:t>
      </w:r>
      <w:r>
        <w:rPr>
          <w:rFonts w:ascii="Arial" w:eastAsia="宋体" w:hAnsi="Arial" w:cs="Arial"/>
          <w:sz w:val="20"/>
          <w:szCs w:val="20"/>
        </w:rPr>
        <w:t>periodically, based on management’s intent.</w:t>
      </w:r>
    </w:p>
    <w:p w14:paraId="5556C13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Generally, trading assets are debt and equity securities purchased in connection with our trading activities and, as such, are expected to be sold in the near term. Our trading activities typically involve active</w:t>
      </w:r>
      <w:r>
        <w:rPr>
          <w:rFonts w:ascii="Arial" w:eastAsia="宋体" w:hAnsi="Arial" w:cs="Arial"/>
          <w:sz w:val="20"/>
          <w:szCs w:val="20"/>
        </w:rPr>
        <w:t xml:space="preserve"> and frequent buying and selling with the objective of generating profits on short-term movements. AFS investment securities are those securities that we intend to hold for an indefinite period of time. AFS investment securities include securities utilized</w:t>
      </w:r>
      <w:r>
        <w:rPr>
          <w:rFonts w:ascii="Arial" w:eastAsia="宋体" w:hAnsi="Arial" w:cs="Arial"/>
          <w:sz w:val="20"/>
          <w:szCs w:val="20"/>
        </w:rPr>
        <w:t xml:space="preserve"> as part of our asset and liability management activities that may be sold in response to changes in interest rates, prepayment risk, liquidity needs or other factors. HTM securities are debt securities that management has the intent and the ability to hol</w:t>
      </w:r>
      <w:r>
        <w:rPr>
          <w:rFonts w:ascii="Arial" w:eastAsia="宋体" w:hAnsi="Arial" w:cs="Arial"/>
          <w:sz w:val="20"/>
          <w:szCs w:val="20"/>
        </w:rPr>
        <w:t>d to maturity.</w:t>
      </w:r>
    </w:p>
    <w:p w14:paraId="5556C13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Trading assets are carried at fair value. Both realized and unrealized gains and losses on trading assets are recorded in foreign exchange trading services revenue in our consolidated statement of income. AFS securities are carried at fair v</w:t>
      </w:r>
      <w:r>
        <w:rPr>
          <w:rFonts w:ascii="Arial" w:eastAsia="宋体" w:hAnsi="Arial" w:cs="Arial"/>
          <w:sz w:val="20"/>
          <w:szCs w:val="20"/>
        </w:rPr>
        <w:t>alue, and after-tax net unrealized gains and losses are recorded in AOCI. Gains or losses realized on sales of AFS investment securities are computed using the specific identification method and are recorded in gains (losses) related to investment securiti</w:t>
      </w:r>
      <w:r>
        <w:rPr>
          <w:rFonts w:ascii="Arial" w:eastAsia="宋体" w:hAnsi="Arial" w:cs="Arial"/>
          <w:sz w:val="20"/>
          <w:szCs w:val="20"/>
        </w:rPr>
        <w:t>es, net, in our consolidated statement of income. HTM investment securities are carried at cost, adjusted for amortization of premiums and accretion of discounts.</w:t>
      </w:r>
    </w:p>
    <w:p w14:paraId="5556C13C" w14:textId="77777777" w:rsidR="00F925DD" w:rsidRDefault="00F925DD">
      <w:pPr>
        <w:rPr>
          <w:rFonts w:ascii="Times New Roman" w:hAnsi="Times New Roman"/>
          <w:sz w:val="20"/>
          <w:szCs w:val="20"/>
        </w:rPr>
      </w:pPr>
    </w:p>
    <w:p w14:paraId="5556C13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135</w:t>
      </w:r>
    </w:p>
    <w:p w14:paraId="5556C13E" w14:textId="77777777" w:rsidR="00F925DD" w:rsidRDefault="00F925DD">
      <w:pPr>
        <w:spacing w:line="288" w:lineRule="auto"/>
        <w:ind w:firstLine="600"/>
        <w:jc w:val="center"/>
        <w:rPr>
          <w:rFonts w:ascii="Times New Roman" w:hAnsi="Times New Roman"/>
          <w:sz w:val="18"/>
          <w:szCs w:val="18"/>
        </w:rPr>
      </w:pPr>
    </w:p>
    <w:p w14:paraId="5556C13F" w14:textId="77777777" w:rsidR="00F925DD" w:rsidRDefault="00E705D7">
      <w:r>
        <w:rPr>
          <w:rFonts w:ascii="Times New Roman" w:hAnsi="Times New Roman"/>
          <w:sz w:val="18"/>
          <w:szCs w:val="18"/>
        </w:rPr>
        <w:pict w14:anchorId="555706C1">
          <v:rect id="_x0000_i1159" style="width:415.3pt;height:1.5pt" o:hralign="center" o:hrstd="t" o:hr="t" fillcolor="#a0a0a0" stroked="f"/>
        </w:pict>
      </w:r>
    </w:p>
    <w:p w14:paraId="5556C14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C14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w:t>
      </w:r>
      <w:r>
        <w:rPr>
          <w:rFonts w:ascii="Arial" w:eastAsia="宋体" w:hAnsi="Arial" w:cs="Arial"/>
          <w:b/>
          <w:bCs/>
          <w:sz w:val="20"/>
          <w:szCs w:val="20"/>
        </w:rPr>
        <w:t>TATEMENTS</w:t>
      </w:r>
    </w:p>
    <w:p w14:paraId="5556C142" w14:textId="77777777" w:rsidR="00F925DD" w:rsidRDefault="00F925DD">
      <w:pPr>
        <w:rPr>
          <w:rFonts w:ascii="Times New Roman" w:hAnsi="Times New Roman"/>
          <w:sz w:val="20"/>
          <w:szCs w:val="20"/>
        </w:rPr>
      </w:pPr>
    </w:p>
    <w:p w14:paraId="5556C14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amortized cost, fair value and associated unrealized gains and losses of AFS and HTM investment securities as of the dates indicated:</w:t>
      </w:r>
    </w:p>
    <w:tbl>
      <w:tblPr>
        <w:tblW w:w="5000" w:type="pct"/>
        <w:tblCellMar>
          <w:left w:w="0" w:type="dxa"/>
          <w:right w:w="0" w:type="dxa"/>
        </w:tblCellMar>
        <w:tblLook w:val="04A0" w:firstRow="1" w:lastRow="0" w:firstColumn="1" w:lastColumn="0" w:noHBand="0" w:noVBand="1"/>
      </w:tblPr>
      <w:tblGrid>
        <w:gridCol w:w="2161"/>
        <w:gridCol w:w="125"/>
        <w:gridCol w:w="633"/>
        <w:gridCol w:w="90"/>
        <w:gridCol w:w="130"/>
        <w:gridCol w:w="125"/>
        <w:gridCol w:w="332"/>
        <w:gridCol w:w="82"/>
        <w:gridCol w:w="130"/>
        <w:gridCol w:w="125"/>
        <w:gridCol w:w="426"/>
        <w:gridCol w:w="85"/>
        <w:gridCol w:w="130"/>
        <w:gridCol w:w="124"/>
        <w:gridCol w:w="459"/>
        <w:gridCol w:w="6"/>
        <w:gridCol w:w="130"/>
        <w:gridCol w:w="125"/>
        <w:gridCol w:w="633"/>
        <w:gridCol w:w="90"/>
        <w:gridCol w:w="130"/>
        <w:gridCol w:w="124"/>
        <w:gridCol w:w="355"/>
        <w:gridCol w:w="71"/>
        <w:gridCol w:w="130"/>
        <w:gridCol w:w="125"/>
        <w:gridCol w:w="426"/>
        <w:gridCol w:w="85"/>
        <w:gridCol w:w="130"/>
        <w:gridCol w:w="124"/>
        <w:gridCol w:w="459"/>
        <w:gridCol w:w="6"/>
      </w:tblGrid>
      <w:tr w:rsidR="00F925DD" w14:paraId="5556C145" w14:textId="77777777">
        <w:tc>
          <w:tcPr>
            <w:tcW w:w="0" w:type="auto"/>
            <w:gridSpan w:val="32"/>
            <w:shd w:val="clear" w:color="auto" w:fill="auto"/>
            <w:vAlign w:val="center"/>
          </w:tcPr>
          <w:p w14:paraId="5556C144" w14:textId="77777777" w:rsidR="00F925DD" w:rsidRDefault="00F925DD">
            <w:pPr>
              <w:rPr>
                <w:rFonts w:ascii="Times New Roman" w:hAnsi="Times New Roman"/>
                <w:sz w:val="20"/>
                <w:szCs w:val="20"/>
              </w:rPr>
            </w:pPr>
          </w:p>
        </w:tc>
      </w:tr>
      <w:tr w:rsidR="00F925DD" w14:paraId="5556C166" w14:textId="77777777">
        <w:tc>
          <w:tcPr>
            <w:tcW w:w="1550" w:type="pct"/>
            <w:shd w:val="clear" w:color="auto" w:fill="auto"/>
            <w:vAlign w:val="center"/>
          </w:tcPr>
          <w:p w14:paraId="5556C146" w14:textId="77777777" w:rsidR="00F925DD" w:rsidRDefault="00F925DD">
            <w:pPr>
              <w:rPr>
                <w:rFonts w:ascii="Times New Roman" w:hAnsi="Times New Roman"/>
                <w:sz w:val="20"/>
                <w:szCs w:val="20"/>
              </w:rPr>
            </w:pPr>
          </w:p>
        </w:tc>
        <w:tc>
          <w:tcPr>
            <w:tcW w:w="50" w:type="pct"/>
            <w:shd w:val="clear" w:color="auto" w:fill="auto"/>
            <w:vAlign w:val="center"/>
          </w:tcPr>
          <w:p w14:paraId="5556C147" w14:textId="77777777" w:rsidR="00F925DD" w:rsidRDefault="00F925DD">
            <w:pPr>
              <w:rPr>
                <w:rFonts w:ascii="Times New Roman" w:hAnsi="Times New Roman"/>
                <w:sz w:val="20"/>
                <w:szCs w:val="20"/>
              </w:rPr>
            </w:pPr>
          </w:p>
        </w:tc>
        <w:tc>
          <w:tcPr>
            <w:tcW w:w="350" w:type="pct"/>
            <w:shd w:val="clear" w:color="auto" w:fill="auto"/>
            <w:vAlign w:val="center"/>
          </w:tcPr>
          <w:p w14:paraId="5556C148" w14:textId="77777777" w:rsidR="00F925DD" w:rsidRDefault="00F925DD">
            <w:pPr>
              <w:rPr>
                <w:rFonts w:ascii="Times New Roman" w:hAnsi="Times New Roman"/>
                <w:sz w:val="20"/>
                <w:szCs w:val="20"/>
              </w:rPr>
            </w:pPr>
          </w:p>
        </w:tc>
        <w:tc>
          <w:tcPr>
            <w:tcW w:w="50" w:type="pct"/>
            <w:shd w:val="clear" w:color="auto" w:fill="auto"/>
            <w:vAlign w:val="center"/>
          </w:tcPr>
          <w:p w14:paraId="5556C149" w14:textId="77777777" w:rsidR="00F925DD" w:rsidRDefault="00F925DD">
            <w:pPr>
              <w:rPr>
                <w:rFonts w:ascii="Times New Roman" w:hAnsi="Times New Roman"/>
                <w:sz w:val="20"/>
                <w:szCs w:val="20"/>
              </w:rPr>
            </w:pPr>
          </w:p>
        </w:tc>
        <w:tc>
          <w:tcPr>
            <w:tcW w:w="50" w:type="pct"/>
            <w:shd w:val="clear" w:color="auto" w:fill="auto"/>
            <w:vAlign w:val="center"/>
          </w:tcPr>
          <w:p w14:paraId="5556C14A" w14:textId="77777777" w:rsidR="00F925DD" w:rsidRDefault="00F925DD">
            <w:pPr>
              <w:rPr>
                <w:rFonts w:ascii="Times New Roman" w:hAnsi="Times New Roman"/>
                <w:sz w:val="20"/>
                <w:szCs w:val="20"/>
              </w:rPr>
            </w:pPr>
          </w:p>
        </w:tc>
        <w:tc>
          <w:tcPr>
            <w:tcW w:w="50" w:type="pct"/>
            <w:shd w:val="clear" w:color="auto" w:fill="auto"/>
            <w:vAlign w:val="center"/>
          </w:tcPr>
          <w:p w14:paraId="5556C14B" w14:textId="77777777" w:rsidR="00F925DD" w:rsidRDefault="00F925DD">
            <w:pPr>
              <w:rPr>
                <w:rFonts w:ascii="Times New Roman" w:hAnsi="Times New Roman"/>
                <w:sz w:val="20"/>
                <w:szCs w:val="20"/>
              </w:rPr>
            </w:pPr>
          </w:p>
        </w:tc>
        <w:tc>
          <w:tcPr>
            <w:tcW w:w="200" w:type="pct"/>
            <w:shd w:val="clear" w:color="auto" w:fill="auto"/>
            <w:vAlign w:val="center"/>
          </w:tcPr>
          <w:p w14:paraId="5556C14C" w14:textId="77777777" w:rsidR="00F925DD" w:rsidRDefault="00F925DD">
            <w:pPr>
              <w:rPr>
                <w:rFonts w:ascii="Times New Roman" w:hAnsi="Times New Roman"/>
                <w:sz w:val="20"/>
                <w:szCs w:val="20"/>
              </w:rPr>
            </w:pPr>
          </w:p>
        </w:tc>
        <w:tc>
          <w:tcPr>
            <w:tcW w:w="50" w:type="pct"/>
            <w:shd w:val="clear" w:color="auto" w:fill="auto"/>
            <w:vAlign w:val="center"/>
          </w:tcPr>
          <w:p w14:paraId="5556C14D" w14:textId="77777777" w:rsidR="00F925DD" w:rsidRDefault="00F925DD">
            <w:pPr>
              <w:rPr>
                <w:rFonts w:ascii="Times New Roman" w:hAnsi="Times New Roman"/>
                <w:sz w:val="20"/>
                <w:szCs w:val="20"/>
              </w:rPr>
            </w:pPr>
          </w:p>
        </w:tc>
        <w:tc>
          <w:tcPr>
            <w:tcW w:w="50" w:type="pct"/>
            <w:shd w:val="clear" w:color="auto" w:fill="auto"/>
            <w:vAlign w:val="center"/>
          </w:tcPr>
          <w:p w14:paraId="5556C14E" w14:textId="77777777" w:rsidR="00F925DD" w:rsidRDefault="00F925DD">
            <w:pPr>
              <w:rPr>
                <w:rFonts w:ascii="Times New Roman" w:hAnsi="Times New Roman"/>
                <w:sz w:val="20"/>
                <w:szCs w:val="20"/>
              </w:rPr>
            </w:pPr>
          </w:p>
        </w:tc>
        <w:tc>
          <w:tcPr>
            <w:tcW w:w="50" w:type="pct"/>
            <w:shd w:val="clear" w:color="auto" w:fill="auto"/>
            <w:vAlign w:val="center"/>
          </w:tcPr>
          <w:p w14:paraId="5556C14F" w14:textId="77777777" w:rsidR="00F925DD" w:rsidRDefault="00F925DD">
            <w:pPr>
              <w:rPr>
                <w:rFonts w:ascii="Times New Roman" w:hAnsi="Times New Roman"/>
                <w:sz w:val="20"/>
                <w:szCs w:val="20"/>
              </w:rPr>
            </w:pPr>
          </w:p>
        </w:tc>
        <w:tc>
          <w:tcPr>
            <w:tcW w:w="250" w:type="pct"/>
            <w:shd w:val="clear" w:color="auto" w:fill="auto"/>
            <w:vAlign w:val="center"/>
          </w:tcPr>
          <w:p w14:paraId="5556C150" w14:textId="77777777" w:rsidR="00F925DD" w:rsidRDefault="00F925DD">
            <w:pPr>
              <w:rPr>
                <w:rFonts w:ascii="Times New Roman" w:hAnsi="Times New Roman"/>
                <w:sz w:val="20"/>
                <w:szCs w:val="20"/>
              </w:rPr>
            </w:pPr>
          </w:p>
        </w:tc>
        <w:tc>
          <w:tcPr>
            <w:tcW w:w="50" w:type="pct"/>
            <w:shd w:val="clear" w:color="auto" w:fill="auto"/>
            <w:vAlign w:val="center"/>
          </w:tcPr>
          <w:p w14:paraId="5556C151" w14:textId="77777777" w:rsidR="00F925DD" w:rsidRDefault="00F925DD">
            <w:pPr>
              <w:rPr>
                <w:rFonts w:ascii="Times New Roman" w:hAnsi="Times New Roman"/>
                <w:sz w:val="20"/>
                <w:szCs w:val="20"/>
              </w:rPr>
            </w:pPr>
          </w:p>
        </w:tc>
        <w:tc>
          <w:tcPr>
            <w:tcW w:w="50" w:type="pct"/>
            <w:shd w:val="clear" w:color="auto" w:fill="auto"/>
            <w:vAlign w:val="center"/>
          </w:tcPr>
          <w:p w14:paraId="5556C152" w14:textId="77777777" w:rsidR="00F925DD" w:rsidRDefault="00F925DD">
            <w:pPr>
              <w:rPr>
                <w:rFonts w:ascii="Times New Roman" w:hAnsi="Times New Roman"/>
                <w:sz w:val="20"/>
                <w:szCs w:val="20"/>
              </w:rPr>
            </w:pPr>
          </w:p>
        </w:tc>
        <w:tc>
          <w:tcPr>
            <w:tcW w:w="50" w:type="pct"/>
            <w:shd w:val="clear" w:color="auto" w:fill="auto"/>
            <w:vAlign w:val="center"/>
          </w:tcPr>
          <w:p w14:paraId="5556C153" w14:textId="77777777" w:rsidR="00F925DD" w:rsidRDefault="00F925DD">
            <w:pPr>
              <w:rPr>
                <w:rFonts w:ascii="Times New Roman" w:hAnsi="Times New Roman"/>
                <w:sz w:val="20"/>
                <w:szCs w:val="20"/>
              </w:rPr>
            </w:pPr>
          </w:p>
        </w:tc>
        <w:tc>
          <w:tcPr>
            <w:tcW w:w="350" w:type="pct"/>
            <w:shd w:val="clear" w:color="auto" w:fill="auto"/>
            <w:vAlign w:val="center"/>
          </w:tcPr>
          <w:p w14:paraId="5556C154" w14:textId="77777777" w:rsidR="00F925DD" w:rsidRDefault="00F925DD">
            <w:pPr>
              <w:rPr>
                <w:rFonts w:ascii="Times New Roman" w:hAnsi="Times New Roman"/>
                <w:sz w:val="20"/>
                <w:szCs w:val="20"/>
              </w:rPr>
            </w:pPr>
          </w:p>
        </w:tc>
        <w:tc>
          <w:tcPr>
            <w:tcW w:w="50" w:type="pct"/>
            <w:shd w:val="clear" w:color="auto" w:fill="auto"/>
            <w:vAlign w:val="center"/>
          </w:tcPr>
          <w:p w14:paraId="5556C155" w14:textId="77777777" w:rsidR="00F925DD" w:rsidRDefault="00F925DD">
            <w:pPr>
              <w:rPr>
                <w:rFonts w:ascii="Times New Roman" w:hAnsi="Times New Roman"/>
                <w:sz w:val="20"/>
                <w:szCs w:val="20"/>
              </w:rPr>
            </w:pPr>
          </w:p>
        </w:tc>
        <w:tc>
          <w:tcPr>
            <w:tcW w:w="50" w:type="pct"/>
            <w:shd w:val="clear" w:color="auto" w:fill="auto"/>
            <w:vAlign w:val="center"/>
          </w:tcPr>
          <w:p w14:paraId="5556C156" w14:textId="77777777" w:rsidR="00F925DD" w:rsidRDefault="00F925DD">
            <w:pPr>
              <w:rPr>
                <w:rFonts w:ascii="Times New Roman" w:hAnsi="Times New Roman"/>
                <w:sz w:val="20"/>
                <w:szCs w:val="20"/>
              </w:rPr>
            </w:pPr>
          </w:p>
        </w:tc>
        <w:tc>
          <w:tcPr>
            <w:tcW w:w="50" w:type="pct"/>
            <w:shd w:val="clear" w:color="auto" w:fill="auto"/>
            <w:vAlign w:val="center"/>
          </w:tcPr>
          <w:p w14:paraId="5556C157" w14:textId="77777777" w:rsidR="00F925DD" w:rsidRDefault="00F925DD">
            <w:pPr>
              <w:rPr>
                <w:rFonts w:ascii="Times New Roman" w:hAnsi="Times New Roman"/>
                <w:sz w:val="20"/>
                <w:szCs w:val="20"/>
              </w:rPr>
            </w:pPr>
          </w:p>
        </w:tc>
        <w:tc>
          <w:tcPr>
            <w:tcW w:w="350" w:type="pct"/>
            <w:shd w:val="clear" w:color="auto" w:fill="auto"/>
            <w:vAlign w:val="center"/>
          </w:tcPr>
          <w:p w14:paraId="5556C158" w14:textId="77777777" w:rsidR="00F925DD" w:rsidRDefault="00F925DD">
            <w:pPr>
              <w:rPr>
                <w:rFonts w:ascii="Times New Roman" w:hAnsi="Times New Roman"/>
                <w:sz w:val="20"/>
                <w:szCs w:val="20"/>
              </w:rPr>
            </w:pPr>
          </w:p>
        </w:tc>
        <w:tc>
          <w:tcPr>
            <w:tcW w:w="50" w:type="pct"/>
            <w:shd w:val="clear" w:color="auto" w:fill="auto"/>
            <w:vAlign w:val="center"/>
          </w:tcPr>
          <w:p w14:paraId="5556C159" w14:textId="77777777" w:rsidR="00F925DD" w:rsidRDefault="00F925DD">
            <w:pPr>
              <w:rPr>
                <w:rFonts w:ascii="Times New Roman" w:hAnsi="Times New Roman"/>
                <w:sz w:val="20"/>
                <w:szCs w:val="20"/>
              </w:rPr>
            </w:pPr>
          </w:p>
        </w:tc>
        <w:tc>
          <w:tcPr>
            <w:tcW w:w="50" w:type="pct"/>
            <w:shd w:val="clear" w:color="auto" w:fill="auto"/>
            <w:vAlign w:val="center"/>
          </w:tcPr>
          <w:p w14:paraId="5556C15A" w14:textId="77777777" w:rsidR="00F925DD" w:rsidRDefault="00F925DD">
            <w:pPr>
              <w:rPr>
                <w:rFonts w:ascii="Times New Roman" w:hAnsi="Times New Roman"/>
                <w:sz w:val="20"/>
                <w:szCs w:val="20"/>
              </w:rPr>
            </w:pPr>
          </w:p>
        </w:tc>
        <w:tc>
          <w:tcPr>
            <w:tcW w:w="50" w:type="pct"/>
            <w:shd w:val="clear" w:color="auto" w:fill="auto"/>
            <w:vAlign w:val="center"/>
          </w:tcPr>
          <w:p w14:paraId="5556C15B" w14:textId="77777777" w:rsidR="00F925DD" w:rsidRDefault="00F925DD">
            <w:pPr>
              <w:rPr>
                <w:rFonts w:ascii="Times New Roman" w:hAnsi="Times New Roman"/>
                <w:sz w:val="20"/>
                <w:szCs w:val="20"/>
              </w:rPr>
            </w:pPr>
          </w:p>
        </w:tc>
        <w:tc>
          <w:tcPr>
            <w:tcW w:w="250" w:type="pct"/>
            <w:shd w:val="clear" w:color="auto" w:fill="auto"/>
            <w:vAlign w:val="center"/>
          </w:tcPr>
          <w:p w14:paraId="5556C15C" w14:textId="77777777" w:rsidR="00F925DD" w:rsidRDefault="00F925DD">
            <w:pPr>
              <w:rPr>
                <w:rFonts w:ascii="Times New Roman" w:hAnsi="Times New Roman"/>
                <w:sz w:val="20"/>
                <w:szCs w:val="20"/>
              </w:rPr>
            </w:pPr>
          </w:p>
        </w:tc>
        <w:tc>
          <w:tcPr>
            <w:tcW w:w="50" w:type="pct"/>
            <w:shd w:val="clear" w:color="auto" w:fill="auto"/>
            <w:vAlign w:val="center"/>
          </w:tcPr>
          <w:p w14:paraId="5556C15D" w14:textId="77777777" w:rsidR="00F925DD" w:rsidRDefault="00F925DD">
            <w:pPr>
              <w:rPr>
                <w:rFonts w:ascii="Times New Roman" w:hAnsi="Times New Roman"/>
                <w:sz w:val="20"/>
                <w:szCs w:val="20"/>
              </w:rPr>
            </w:pPr>
          </w:p>
        </w:tc>
        <w:tc>
          <w:tcPr>
            <w:tcW w:w="50" w:type="pct"/>
            <w:shd w:val="clear" w:color="auto" w:fill="auto"/>
            <w:vAlign w:val="center"/>
          </w:tcPr>
          <w:p w14:paraId="5556C15E" w14:textId="77777777" w:rsidR="00F925DD" w:rsidRDefault="00F925DD">
            <w:pPr>
              <w:rPr>
                <w:rFonts w:ascii="Times New Roman" w:hAnsi="Times New Roman"/>
                <w:sz w:val="20"/>
                <w:szCs w:val="20"/>
              </w:rPr>
            </w:pPr>
          </w:p>
        </w:tc>
        <w:tc>
          <w:tcPr>
            <w:tcW w:w="50" w:type="pct"/>
            <w:shd w:val="clear" w:color="auto" w:fill="auto"/>
            <w:vAlign w:val="center"/>
          </w:tcPr>
          <w:p w14:paraId="5556C15F" w14:textId="77777777" w:rsidR="00F925DD" w:rsidRDefault="00F925DD">
            <w:pPr>
              <w:rPr>
                <w:rFonts w:ascii="Times New Roman" w:hAnsi="Times New Roman"/>
                <w:sz w:val="20"/>
                <w:szCs w:val="20"/>
              </w:rPr>
            </w:pPr>
          </w:p>
        </w:tc>
        <w:tc>
          <w:tcPr>
            <w:tcW w:w="250" w:type="pct"/>
            <w:shd w:val="clear" w:color="auto" w:fill="auto"/>
            <w:vAlign w:val="center"/>
          </w:tcPr>
          <w:p w14:paraId="5556C160" w14:textId="77777777" w:rsidR="00F925DD" w:rsidRDefault="00F925DD">
            <w:pPr>
              <w:rPr>
                <w:rFonts w:ascii="Times New Roman" w:hAnsi="Times New Roman"/>
                <w:sz w:val="20"/>
                <w:szCs w:val="20"/>
              </w:rPr>
            </w:pPr>
          </w:p>
        </w:tc>
        <w:tc>
          <w:tcPr>
            <w:tcW w:w="50" w:type="pct"/>
            <w:shd w:val="clear" w:color="auto" w:fill="auto"/>
            <w:vAlign w:val="center"/>
          </w:tcPr>
          <w:p w14:paraId="5556C161" w14:textId="77777777" w:rsidR="00F925DD" w:rsidRDefault="00F925DD">
            <w:pPr>
              <w:rPr>
                <w:rFonts w:ascii="Times New Roman" w:hAnsi="Times New Roman"/>
                <w:sz w:val="20"/>
                <w:szCs w:val="20"/>
              </w:rPr>
            </w:pPr>
          </w:p>
        </w:tc>
        <w:tc>
          <w:tcPr>
            <w:tcW w:w="50" w:type="pct"/>
            <w:shd w:val="clear" w:color="auto" w:fill="auto"/>
            <w:vAlign w:val="center"/>
          </w:tcPr>
          <w:p w14:paraId="5556C162" w14:textId="77777777" w:rsidR="00F925DD" w:rsidRDefault="00F925DD">
            <w:pPr>
              <w:rPr>
                <w:rFonts w:ascii="Times New Roman" w:hAnsi="Times New Roman"/>
                <w:sz w:val="20"/>
                <w:szCs w:val="20"/>
              </w:rPr>
            </w:pPr>
          </w:p>
        </w:tc>
        <w:tc>
          <w:tcPr>
            <w:tcW w:w="50" w:type="pct"/>
            <w:shd w:val="clear" w:color="auto" w:fill="auto"/>
            <w:vAlign w:val="center"/>
          </w:tcPr>
          <w:p w14:paraId="5556C163" w14:textId="77777777" w:rsidR="00F925DD" w:rsidRDefault="00F925DD">
            <w:pPr>
              <w:rPr>
                <w:rFonts w:ascii="Times New Roman" w:hAnsi="Times New Roman"/>
                <w:sz w:val="20"/>
                <w:szCs w:val="20"/>
              </w:rPr>
            </w:pPr>
          </w:p>
        </w:tc>
        <w:tc>
          <w:tcPr>
            <w:tcW w:w="300" w:type="pct"/>
            <w:shd w:val="clear" w:color="auto" w:fill="auto"/>
            <w:vAlign w:val="center"/>
          </w:tcPr>
          <w:p w14:paraId="5556C164" w14:textId="77777777" w:rsidR="00F925DD" w:rsidRDefault="00F925DD">
            <w:pPr>
              <w:rPr>
                <w:rFonts w:ascii="Times New Roman" w:hAnsi="Times New Roman"/>
                <w:sz w:val="20"/>
                <w:szCs w:val="20"/>
              </w:rPr>
            </w:pPr>
          </w:p>
        </w:tc>
        <w:tc>
          <w:tcPr>
            <w:tcW w:w="50" w:type="pct"/>
            <w:shd w:val="clear" w:color="auto" w:fill="auto"/>
            <w:vAlign w:val="center"/>
          </w:tcPr>
          <w:p w14:paraId="5556C165" w14:textId="77777777" w:rsidR="00F925DD" w:rsidRDefault="00F925DD">
            <w:pPr>
              <w:rPr>
                <w:rFonts w:ascii="Times New Roman" w:hAnsi="Times New Roman"/>
                <w:sz w:val="20"/>
                <w:szCs w:val="20"/>
              </w:rPr>
            </w:pPr>
          </w:p>
        </w:tc>
      </w:tr>
      <w:tr w:rsidR="00F925DD" w14:paraId="5556C16B" w14:textId="77777777">
        <w:tc>
          <w:tcPr>
            <w:tcW w:w="0" w:type="auto"/>
            <w:shd w:val="clear" w:color="auto" w:fill="auto"/>
            <w:tcMar>
              <w:top w:w="40" w:type="dxa"/>
              <w:left w:w="40" w:type="dxa"/>
              <w:bottom w:w="40" w:type="dxa"/>
              <w:right w:w="40" w:type="dxa"/>
            </w:tcMar>
            <w:vAlign w:val="bottom"/>
          </w:tcPr>
          <w:p w14:paraId="5556C167" w14:textId="77777777" w:rsidR="00F925DD" w:rsidRDefault="00E705D7">
            <w:pPr>
              <w:textAlignment w:val="bottom"/>
              <w:rPr>
                <w:rFonts w:ascii="Times New Roman" w:hAnsi="Times New Roman"/>
                <w:sz w:val="15"/>
                <w:szCs w:val="15"/>
              </w:rPr>
            </w:pPr>
            <w:r>
              <w:rPr>
                <w:rFonts w:ascii="Arial" w:eastAsia="宋体" w:hAnsi="Arial" w:cs="Arial"/>
                <w:sz w:val="15"/>
                <w:szCs w:val="15"/>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C16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C1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C16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r>
      <w:tr w:rsidR="00F925DD" w14:paraId="5556C17E" w14:textId="77777777">
        <w:tc>
          <w:tcPr>
            <w:tcW w:w="0" w:type="auto"/>
            <w:shd w:val="clear" w:color="auto" w:fill="auto"/>
            <w:tcMar>
              <w:top w:w="40" w:type="dxa"/>
              <w:left w:w="40" w:type="dxa"/>
              <w:bottom w:w="40" w:type="dxa"/>
              <w:right w:w="40" w:type="dxa"/>
            </w:tcMar>
            <w:vAlign w:val="bottom"/>
          </w:tcPr>
          <w:p w14:paraId="5556C16C" w14:textId="77777777" w:rsidR="00F925DD" w:rsidRDefault="00E705D7">
            <w:pPr>
              <w:textAlignment w:val="bottom"/>
              <w:rPr>
                <w:rFonts w:ascii="Times New Roman" w:hAnsi="Times New Roman"/>
                <w:sz w:val="15"/>
                <w:szCs w:val="15"/>
              </w:rPr>
            </w:pPr>
            <w:r>
              <w:rPr>
                <w:rFonts w:ascii="Arial" w:eastAsia="宋体" w:hAnsi="Arial" w:cs="Arial"/>
                <w:sz w:val="15"/>
                <w:szCs w:val="15"/>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C16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Amortized</w:t>
            </w:r>
          </w:p>
          <w:p w14:paraId="5556C16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Cost</w:t>
            </w:r>
          </w:p>
        </w:tc>
        <w:tc>
          <w:tcPr>
            <w:tcW w:w="0" w:type="auto"/>
            <w:vMerge w:val="restart"/>
            <w:shd w:val="clear" w:color="auto" w:fill="auto"/>
            <w:tcMar>
              <w:top w:w="40" w:type="dxa"/>
              <w:left w:w="40" w:type="dxa"/>
              <w:bottom w:w="40" w:type="dxa"/>
              <w:right w:w="40" w:type="dxa"/>
            </w:tcMar>
            <w:vAlign w:val="bottom"/>
          </w:tcPr>
          <w:p w14:paraId="5556C1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17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w:t>
            </w:r>
          </w:p>
          <w:p w14:paraId="5556C17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Unrealized</w:t>
            </w:r>
          </w:p>
        </w:tc>
        <w:tc>
          <w:tcPr>
            <w:tcW w:w="0" w:type="auto"/>
            <w:shd w:val="clear" w:color="auto" w:fill="auto"/>
            <w:tcMar>
              <w:top w:w="40" w:type="dxa"/>
              <w:left w:w="40" w:type="dxa"/>
              <w:bottom w:w="40" w:type="dxa"/>
              <w:right w:w="40" w:type="dxa"/>
            </w:tcMar>
            <w:vAlign w:val="bottom"/>
          </w:tcPr>
          <w:p w14:paraId="5556C1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C17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Fair</w:t>
            </w:r>
          </w:p>
          <w:p w14:paraId="5556C17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vMerge w:val="restart"/>
            <w:shd w:val="clear" w:color="auto" w:fill="auto"/>
            <w:tcMar>
              <w:top w:w="40" w:type="dxa"/>
              <w:left w:w="40" w:type="dxa"/>
              <w:bottom w:w="40" w:type="dxa"/>
              <w:right w:w="40" w:type="dxa"/>
            </w:tcMar>
            <w:vAlign w:val="bottom"/>
          </w:tcPr>
          <w:p w14:paraId="5556C1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C17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Amortized</w:t>
            </w:r>
          </w:p>
          <w:p w14:paraId="5556C17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Cost</w:t>
            </w:r>
          </w:p>
        </w:tc>
        <w:tc>
          <w:tcPr>
            <w:tcW w:w="0" w:type="auto"/>
            <w:vMerge w:val="restart"/>
            <w:shd w:val="clear" w:color="auto" w:fill="auto"/>
            <w:tcMar>
              <w:top w:w="40" w:type="dxa"/>
              <w:left w:w="40" w:type="dxa"/>
              <w:bottom w:w="40" w:type="dxa"/>
              <w:right w:w="40" w:type="dxa"/>
            </w:tcMar>
            <w:vAlign w:val="bottom"/>
          </w:tcPr>
          <w:p w14:paraId="5556C1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17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w:t>
            </w:r>
          </w:p>
          <w:p w14:paraId="5556C17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Unrealized</w:t>
            </w:r>
          </w:p>
        </w:tc>
        <w:tc>
          <w:tcPr>
            <w:tcW w:w="0" w:type="auto"/>
            <w:shd w:val="clear" w:color="auto" w:fill="auto"/>
            <w:tcMar>
              <w:top w:w="40" w:type="dxa"/>
              <w:left w:w="40" w:type="dxa"/>
              <w:bottom w:w="40" w:type="dxa"/>
              <w:right w:w="40" w:type="dxa"/>
            </w:tcMar>
            <w:vAlign w:val="bottom"/>
          </w:tcPr>
          <w:p w14:paraId="5556C1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C17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Fair</w:t>
            </w:r>
          </w:p>
          <w:p w14:paraId="5556C17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Value</w:t>
            </w:r>
          </w:p>
        </w:tc>
      </w:tr>
      <w:tr w:rsidR="00F925DD" w14:paraId="5556C18F" w14:textId="77777777">
        <w:tc>
          <w:tcPr>
            <w:tcW w:w="0" w:type="auto"/>
            <w:shd w:val="clear" w:color="auto" w:fill="auto"/>
            <w:tcMar>
              <w:top w:w="40" w:type="dxa"/>
              <w:left w:w="40" w:type="dxa"/>
              <w:bottom w:w="40" w:type="dxa"/>
              <w:right w:w="40" w:type="dxa"/>
            </w:tcMar>
            <w:vAlign w:val="bottom"/>
          </w:tcPr>
          <w:p w14:paraId="5556C17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 xml:space="preserve">(In </w:t>
            </w:r>
            <w:r>
              <w:rPr>
                <w:rFonts w:ascii="Arial" w:eastAsia="宋体" w:hAnsi="Arial" w:cs="Arial"/>
                <w:b/>
                <w:bCs/>
                <w:sz w:val="15"/>
                <w:szCs w:val="15"/>
              </w:rPr>
              <w:t>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C180"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C181" w14:textId="77777777" w:rsidR="00F925DD" w:rsidRDefault="00F925DD">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18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Gains</w:t>
            </w:r>
          </w:p>
        </w:tc>
        <w:tc>
          <w:tcPr>
            <w:tcW w:w="0" w:type="auto"/>
            <w:shd w:val="clear" w:color="auto" w:fill="auto"/>
            <w:tcMar>
              <w:top w:w="40" w:type="dxa"/>
              <w:left w:w="40" w:type="dxa"/>
              <w:bottom w:w="40" w:type="dxa"/>
              <w:right w:w="40" w:type="dxa"/>
            </w:tcMar>
            <w:vAlign w:val="bottom"/>
          </w:tcPr>
          <w:p w14:paraId="5556C1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18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5556C1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C186"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C187"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C188"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C189" w14:textId="77777777" w:rsidR="00F925DD" w:rsidRDefault="00F925DD">
            <w:pPr>
              <w:rPr>
                <w:rFonts w:ascii="Times New Roman" w:hAnsi="Times New Roman"/>
                <w:sz w:val="20"/>
                <w:szCs w:val="20"/>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18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Gains</w:t>
            </w:r>
          </w:p>
        </w:tc>
        <w:tc>
          <w:tcPr>
            <w:tcW w:w="0" w:type="auto"/>
            <w:shd w:val="clear" w:color="auto" w:fill="auto"/>
            <w:tcMar>
              <w:top w:w="40" w:type="dxa"/>
              <w:left w:w="40" w:type="dxa"/>
              <w:bottom w:w="40" w:type="dxa"/>
              <w:right w:w="40" w:type="dxa"/>
            </w:tcMar>
            <w:vAlign w:val="bottom"/>
          </w:tcPr>
          <w:p w14:paraId="5556C1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18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5556C1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C18E" w14:textId="77777777" w:rsidR="00F925DD" w:rsidRDefault="00F925DD">
            <w:pPr>
              <w:rPr>
                <w:rFonts w:ascii="Times New Roman" w:hAnsi="Times New Roman"/>
                <w:sz w:val="20"/>
                <w:szCs w:val="20"/>
              </w:rPr>
            </w:pPr>
          </w:p>
        </w:tc>
      </w:tr>
      <w:tr w:rsidR="00F925DD" w14:paraId="5556C1A0" w14:textId="77777777">
        <w:tc>
          <w:tcPr>
            <w:tcW w:w="0" w:type="auto"/>
            <w:shd w:val="clear" w:color="auto" w:fill="auto"/>
            <w:tcMar>
              <w:top w:w="40" w:type="dxa"/>
              <w:left w:w="40" w:type="dxa"/>
              <w:bottom w:w="40" w:type="dxa"/>
              <w:right w:w="40" w:type="dxa"/>
            </w:tcMar>
            <w:vAlign w:val="bottom"/>
          </w:tcPr>
          <w:p w14:paraId="5556C19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Available-for-sale:</w:t>
            </w:r>
          </w:p>
        </w:tc>
        <w:tc>
          <w:tcPr>
            <w:tcW w:w="0" w:type="auto"/>
            <w:gridSpan w:val="3"/>
            <w:shd w:val="clear" w:color="auto" w:fill="auto"/>
            <w:tcMar>
              <w:top w:w="40" w:type="dxa"/>
              <w:left w:w="40" w:type="dxa"/>
              <w:bottom w:w="40" w:type="dxa"/>
              <w:right w:w="40" w:type="dxa"/>
            </w:tcMar>
            <w:vAlign w:val="bottom"/>
          </w:tcPr>
          <w:p w14:paraId="5556C191"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192"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193"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194"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195"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196"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197"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1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1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1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1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1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1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1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1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1B1" w14:textId="77777777">
        <w:tc>
          <w:tcPr>
            <w:tcW w:w="0" w:type="auto"/>
            <w:shd w:val="clear" w:color="auto" w:fill="auto"/>
            <w:tcMar>
              <w:top w:w="40" w:type="dxa"/>
              <w:left w:w="40" w:type="dxa"/>
              <w:bottom w:w="40" w:type="dxa"/>
              <w:right w:w="40" w:type="dxa"/>
            </w:tcMar>
            <w:vAlign w:val="bottom"/>
          </w:tcPr>
          <w:p w14:paraId="5556C1A1" w14:textId="77777777" w:rsidR="00F925DD" w:rsidRDefault="00E705D7">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5556C1A2"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1A3"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1A4"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1A5"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1A6"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1A7"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1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1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1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1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1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1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1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1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1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C1D2" w14:textId="77777777">
        <w:tc>
          <w:tcPr>
            <w:tcW w:w="0" w:type="auto"/>
            <w:shd w:val="clear" w:color="auto" w:fill="CCEEFF"/>
            <w:tcMar>
              <w:top w:w="40" w:type="dxa"/>
              <w:left w:w="400" w:type="dxa"/>
              <w:bottom w:w="40" w:type="dxa"/>
              <w:right w:w="40" w:type="dxa"/>
            </w:tcMar>
            <w:vAlign w:val="bottom"/>
          </w:tcPr>
          <w:p w14:paraId="5556C1B2" w14:textId="77777777" w:rsidR="00F925DD" w:rsidRDefault="00E705D7">
            <w:pPr>
              <w:textAlignment w:val="bottom"/>
              <w:rPr>
                <w:rFonts w:ascii="Times New Roman" w:hAnsi="Times New Roman"/>
                <w:sz w:val="15"/>
                <w:szCs w:val="15"/>
              </w:rPr>
            </w:pPr>
            <w:r>
              <w:rPr>
                <w:rFonts w:ascii="Arial" w:eastAsia="宋体" w:hAnsi="Arial" w:cs="Arial"/>
                <w:sz w:val="15"/>
                <w:szCs w:val="15"/>
              </w:rPr>
              <w:t>Direct obligations</w:t>
            </w:r>
          </w:p>
        </w:tc>
        <w:tc>
          <w:tcPr>
            <w:tcW w:w="0" w:type="auto"/>
            <w:shd w:val="clear" w:color="auto" w:fill="CCEEFF"/>
            <w:tcMar>
              <w:top w:w="40" w:type="dxa"/>
              <w:left w:w="40" w:type="dxa"/>
              <w:bottom w:w="40" w:type="dxa"/>
            </w:tcMar>
            <w:vAlign w:val="bottom"/>
          </w:tcPr>
          <w:p w14:paraId="5556C1B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1B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3,506</w:t>
            </w:r>
          </w:p>
        </w:tc>
        <w:tc>
          <w:tcPr>
            <w:tcW w:w="0" w:type="auto"/>
            <w:shd w:val="clear" w:color="auto" w:fill="CCEEFF"/>
            <w:vAlign w:val="bottom"/>
          </w:tcPr>
          <w:p w14:paraId="5556C1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B6"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5556C1B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1B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w:t>
            </w:r>
          </w:p>
        </w:tc>
        <w:tc>
          <w:tcPr>
            <w:tcW w:w="0" w:type="auto"/>
            <w:shd w:val="clear" w:color="auto" w:fill="CCEEFF"/>
            <w:vAlign w:val="bottom"/>
          </w:tcPr>
          <w:p w14:paraId="5556C1B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BA"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5556C1B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1B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w:t>
            </w:r>
          </w:p>
        </w:tc>
        <w:tc>
          <w:tcPr>
            <w:tcW w:w="0" w:type="auto"/>
            <w:shd w:val="clear" w:color="auto" w:fill="CCEEFF"/>
            <w:vAlign w:val="bottom"/>
          </w:tcPr>
          <w:p w14:paraId="5556C1B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BE" w14:textId="77777777" w:rsidR="00F925DD" w:rsidRDefault="00F925DD">
            <w:pPr>
              <w:jc w:val="right"/>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5556C1B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1C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3,487</w:t>
            </w:r>
          </w:p>
        </w:tc>
        <w:tc>
          <w:tcPr>
            <w:tcW w:w="0" w:type="auto"/>
            <w:shd w:val="clear" w:color="auto" w:fill="CCEEFF"/>
            <w:vAlign w:val="bottom"/>
          </w:tcPr>
          <w:p w14:paraId="5556C1C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1C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1C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1,035</w:t>
            </w:r>
          </w:p>
        </w:tc>
        <w:tc>
          <w:tcPr>
            <w:tcW w:w="0" w:type="auto"/>
            <w:shd w:val="clear" w:color="auto" w:fill="CCEEFF"/>
            <w:vAlign w:val="bottom"/>
          </w:tcPr>
          <w:p w14:paraId="5556C1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1C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1C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CCEEFF"/>
            <w:vAlign w:val="bottom"/>
          </w:tcPr>
          <w:p w14:paraId="5556C1C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1C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1C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C1C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1C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1D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1,039</w:t>
            </w:r>
          </w:p>
        </w:tc>
        <w:tc>
          <w:tcPr>
            <w:tcW w:w="0" w:type="auto"/>
            <w:shd w:val="clear" w:color="auto" w:fill="CCEEFF"/>
            <w:vAlign w:val="bottom"/>
          </w:tcPr>
          <w:p w14:paraId="5556C1D1" w14:textId="77777777" w:rsidR="00F925DD" w:rsidRDefault="00F925DD">
            <w:pPr>
              <w:textAlignment w:val="bottom"/>
              <w:rPr>
                <w:rFonts w:ascii="Times New Roman" w:hAnsi="Times New Roman"/>
                <w:sz w:val="20"/>
                <w:szCs w:val="20"/>
              </w:rPr>
            </w:pPr>
          </w:p>
        </w:tc>
      </w:tr>
      <w:tr w:rsidR="00F925DD" w14:paraId="5556C1EB" w14:textId="77777777">
        <w:tc>
          <w:tcPr>
            <w:tcW w:w="0" w:type="auto"/>
            <w:shd w:val="clear" w:color="auto" w:fill="auto"/>
            <w:tcMar>
              <w:top w:w="40" w:type="dxa"/>
              <w:left w:w="400" w:type="dxa"/>
              <w:bottom w:w="40" w:type="dxa"/>
              <w:right w:w="40" w:type="dxa"/>
            </w:tcMar>
            <w:vAlign w:val="bottom"/>
          </w:tcPr>
          <w:p w14:paraId="5556C1D3"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5556C1D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17,599</w:t>
            </w:r>
          </w:p>
        </w:tc>
        <w:tc>
          <w:tcPr>
            <w:tcW w:w="0" w:type="auto"/>
            <w:shd w:val="clear" w:color="auto" w:fill="auto"/>
            <w:vAlign w:val="bottom"/>
          </w:tcPr>
          <w:p w14:paraId="5556C1D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D6"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1D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264</w:t>
            </w:r>
          </w:p>
        </w:tc>
        <w:tc>
          <w:tcPr>
            <w:tcW w:w="0" w:type="auto"/>
            <w:shd w:val="clear" w:color="auto" w:fill="auto"/>
            <w:vAlign w:val="bottom"/>
          </w:tcPr>
          <w:p w14:paraId="5556C1D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D9"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1D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w:t>
            </w:r>
          </w:p>
        </w:tc>
        <w:tc>
          <w:tcPr>
            <w:tcW w:w="0" w:type="auto"/>
            <w:shd w:val="clear" w:color="auto" w:fill="auto"/>
            <w:vAlign w:val="bottom"/>
          </w:tcPr>
          <w:p w14:paraId="5556C1D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DC"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1D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17,838</w:t>
            </w:r>
          </w:p>
        </w:tc>
        <w:tc>
          <w:tcPr>
            <w:tcW w:w="0" w:type="auto"/>
            <w:shd w:val="clear" w:color="auto" w:fill="auto"/>
            <w:vAlign w:val="bottom"/>
          </w:tcPr>
          <w:p w14:paraId="5556C1D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1E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16,112</w:t>
            </w:r>
          </w:p>
        </w:tc>
        <w:tc>
          <w:tcPr>
            <w:tcW w:w="0" w:type="auto"/>
            <w:shd w:val="clear" w:color="auto" w:fill="auto"/>
            <w:vAlign w:val="bottom"/>
          </w:tcPr>
          <w:p w14:paraId="5556C1E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1E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37</w:t>
            </w:r>
          </w:p>
        </w:tc>
        <w:tc>
          <w:tcPr>
            <w:tcW w:w="0" w:type="auto"/>
            <w:shd w:val="clear" w:color="auto" w:fill="auto"/>
            <w:vAlign w:val="bottom"/>
          </w:tcPr>
          <w:p w14:paraId="5556C1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1E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181</w:t>
            </w:r>
          </w:p>
        </w:tc>
        <w:tc>
          <w:tcPr>
            <w:tcW w:w="0" w:type="auto"/>
            <w:shd w:val="clear" w:color="auto" w:fill="auto"/>
            <w:vAlign w:val="bottom"/>
          </w:tcPr>
          <w:p w14:paraId="5556C1E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1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1E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15,968</w:t>
            </w:r>
          </w:p>
        </w:tc>
        <w:tc>
          <w:tcPr>
            <w:tcW w:w="0" w:type="auto"/>
            <w:shd w:val="clear" w:color="auto" w:fill="auto"/>
            <w:vAlign w:val="bottom"/>
          </w:tcPr>
          <w:p w14:paraId="5556C1EA" w14:textId="77777777" w:rsidR="00F925DD" w:rsidRDefault="00F925DD">
            <w:pPr>
              <w:textAlignment w:val="bottom"/>
              <w:rPr>
                <w:rFonts w:ascii="Times New Roman" w:hAnsi="Times New Roman"/>
                <w:sz w:val="20"/>
                <w:szCs w:val="20"/>
              </w:rPr>
            </w:pPr>
          </w:p>
        </w:tc>
      </w:tr>
      <w:tr w:rsidR="00F925DD" w14:paraId="5556C204" w14:textId="77777777">
        <w:tc>
          <w:tcPr>
            <w:tcW w:w="0" w:type="auto"/>
            <w:shd w:val="clear" w:color="auto" w:fill="CCEEFF"/>
            <w:tcMar>
              <w:top w:w="40" w:type="dxa"/>
              <w:left w:w="560" w:type="dxa"/>
              <w:bottom w:w="40" w:type="dxa"/>
              <w:right w:w="40" w:type="dxa"/>
            </w:tcMar>
            <w:vAlign w:val="bottom"/>
          </w:tcPr>
          <w:p w14:paraId="5556C1EC"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1E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21,105</w:t>
            </w:r>
          </w:p>
        </w:tc>
        <w:tc>
          <w:tcPr>
            <w:tcW w:w="0" w:type="auto"/>
            <w:tcBorders>
              <w:top w:val="single" w:sz="8" w:space="0" w:color="000000"/>
              <w:bottom w:val="single" w:sz="8" w:space="0" w:color="000000"/>
            </w:tcBorders>
            <w:shd w:val="clear" w:color="auto" w:fill="CCEEFF"/>
            <w:vAlign w:val="bottom"/>
          </w:tcPr>
          <w:p w14:paraId="5556C1E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EF"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1F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273</w:t>
            </w:r>
          </w:p>
        </w:tc>
        <w:tc>
          <w:tcPr>
            <w:tcW w:w="0" w:type="auto"/>
            <w:tcBorders>
              <w:top w:val="single" w:sz="8" w:space="0" w:color="000000"/>
              <w:bottom w:val="single" w:sz="8" w:space="0" w:color="000000"/>
            </w:tcBorders>
            <w:shd w:val="clear" w:color="auto" w:fill="CCEEFF"/>
            <w:vAlign w:val="bottom"/>
          </w:tcPr>
          <w:p w14:paraId="5556C1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F2"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1F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w:t>
            </w:r>
          </w:p>
        </w:tc>
        <w:tc>
          <w:tcPr>
            <w:tcW w:w="0" w:type="auto"/>
            <w:tcBorders>
              <w:top w:val="single" w:sz="8" w:space="0" w:color="000000"/>
              <w:bottom w:val="single" w:sz="8" w:space="0" w:color="000000"/>
            </w:tcBorders>
            <w:shd w:val="clear" w:color="auto" w:fill="CCEEFF"/>
            <w:vAlign w:val="bottom"/>
          </w:tcPr>
          <w:p w14:paraId="5556C1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F5"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1F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21,325</w:t>
            </w:r>
          </w:p>
        </w:tc>
        <w:tc>
          <w:tcPr>
            <w:tcW w:w="0" w:type="auto"/>
            <w:tcBorders>
              <w:top w:val="single" w:sz="8" w:space="0" w:color="000000"/>
              <w:bottom w:val="single" w:sz="8" w:space="0" w:color="000000"/>
            </w:tcBorders>
            <w:shd w:val="clear" w:color="auto" w:fill="CCEEFF"/>
            <w:vAlign w:val="bottom"/>
          </w:tcPr>
          <w:p w14:paraId="5556C1F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1F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17,147</w:t>
            </w:r>
          </w:p>
        </w:tc>
        <w:tc>
          <w:tcPr>
            <w:tcW w:w="0" w:type="auto"/>
            <w:tcBorders>
              <w:top w:val="single" w:sz="8" w:space="0" w:color="000000"/>
              <w:bottom w:val="single" w:sz="8" w:space="0" w:color="000000"/>
            </w:tcBorders>
            <w:shd w:val="clear" w:color="auto" w:fill="CCEEFF"/>
            <w:vAlign w:val="bottom"/>
          </w:tcPr>
          <w:p w14:paraId="5556C1F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1F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41</w:t>
            </w:r>
          </w:p>
        </w:tc>
        <w:tc>
          <w:tcPr>
            <w:tcW w:w="0" w:type="auto"/>
            <w:tcBorders>
              <w:top w:val="single" w:sz="8" w:space="0" w:color="000000"/>
              <w:bottom w:val="single" w:sz="8" w:space="0" w:color="000000"/>
            </w:tcBorders>
            <w:shd w:val="clear" w:color="auto" w:fill="CCEEFF"/>
            <w:vAlign w:val="bottom"/>
          </w:tcPr>
          <w:p w14:paraId="5556C1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1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1F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181</w:t>
            </w:r>
          </w:p>
        </w:tc>
        <w:tc>
          <w:tcPr>
            <w:tcW w:w="0" w:type="auto"/>
            <w:tcBorders>
              <w:top w:val="single" w:sz="8" w:space="0" w:color="000000"/>
              <w:bottom w:val="single" w:sz="8" w:space="0" w:color="000000"/>
            </w:tcBorders>
            <w:shd w:val="clear" w:color="auto" w:fill="CCEEFF"/>
            <w:vAlign w:val="bottom"/>
          </w:tcPr>
          <w:p w14:paraId="5556C2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20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17,007</w:t>
            </w:r>
          </w:p>
        </w:tc>
        <w:tc>
          <w:tcPr>
            <w:tcW w:w="0" w:type="auto"/>
            <w:tcBorders>
              <w:top w:val="single" w:sz="8" w:space="0" w:color="000000"/>
              <w:bottom w:val="single" w:sz="8" w:space="0" w:color="000000"/>
            </w:tcBorders>
            <w:shd w:val="clear" w:color="auto" w:fill="CCEEFF"/>
            <w:vAlign w:val="bottom"/>
          </w:tcPr>
          <w:p w14:paraId="5556C203" w14:textId="77777777" w:rsidR="00F925DD" w:rsidRDefault="00F925DD">
            <w:pPr>
              <w:textAlignment w:val="bottom"/>
              <w:rPr>
                <w:rFonts w:ascii="Times New Roman" w:hAnsi="Times New Roman"/>
                <w:sz w:val="20"/>
                <w:szCs w:val="20"/>
              </w:rPr>
            </w:pPr>
          </w:p>
        </w:tc>
      </w:tr>
      <w:tr w:rsidR="00F925DD" w14:paraId="5556C215" w14:textId="77777777">
        <w:tc>
          <w:tcPr>
            <w:tcW w:w="0" w:type="auto"/>
            <w:shd w:val="clear" w:color="auto" w:fill="auto"/>
            <w:tcMar>
              <w:top w:w="40" w:type="dxa"/>
              <w:left w:w="40" w:type="dxa"/>
              <w:bottom w:w="40" w:type="dxa"/>
              <w:right w:w="40" w:type="dxa"/>
            </w:tcMar>
            <w:vAlign w:val="bottom"/>
          </w:tcPr>
          <w:p w14:paraId="5556C205"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5556C206"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207"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208"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209"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20A"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20B"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20C"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2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2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2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2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2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2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2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2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22E" w14:textId="77777777">
        <w:tc>
          <w:tcPr>
            <w:tcW w:w="0" w:type="auto"/>
            <w:shd w:val="clear" w:color="auto" w:fill="CCEEFF"/>
            <w:tcMar>
              <w:top w:w="40" w:type="dxa"/>
              <w:left w:w="400" w:type="dxa"/>
              <w:bottom w:w="40" w:type="dxa"/>
              <w:right w:w="40" w:type="dxa"/>
            </w:tcMar>
            <w:vAlign w:val="bottom"/>
          </w:tcPr>
          <w:p w14:paraId="5556C216" w14:textId="77777777" w:rsidR="00F925DD" w:rsidRDefault="00E705D7">
            <w:pPr>
              <w:textAlignment w:val="bottom"/>
              <w:rPr>
                <w:rFonts w:ascii="Times New Roman" w:hAnsi="Times New Roman"/>
                <w:sz w:val="15"/>
                <w:szCs w:val="15"/>
              </w:rPr>
            </w:pPr>
            <w:r>
              <w:rPr>
                <w:rFonts w:ascii="Arial" w:eastAsia="宋体" w:hAnsi="Arial" w:cs="Arial"/>
                <w:sz w:val="15"/>
                <w:szCs w:val="15"/>
              </w:rPr>
              <w:t>Student loans(1)</w:t>
            </w:r>
          </w:p>
        </w:tc>
        <w:tc>
          <w:tcPr>
            <w:tcW w:w="0" w:type="auto"/>
            <w:gridSpan w:val="2"/>
            <w:shd w:val="clear" w:color="auto" w:fill="CCEEFF"/>
            <w:tcMar>
              <w:top w:w="40" w:type="dxa"/>
              <w:left w:w="40" w:type="dxa"/>
              <w:bottom w:w="40" w:type="dxa"/>
            </w:tcMar>
            <w:vAlign w:val="bottom"/>
          </w:tcPr>
          <w:p w14:paraId="5556C21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532</w:t>
            </w:r>
          </w:p>
        </w:tc>
        <w:tc>
          <w:tcPr>
            <w:tcW w:w="0" w:type="auto"/>
            <w:shd w:val="clear" w:color="auto" w:fill="CCEEFF"/>
            <w:vAlign w:val="bottom"/>
          </w:tcPr>
          <w:p w14:paraId="5556C2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19"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21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5556C21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1C"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21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CCEEFF"/>
            <w:vAlign w:val="bottom"/>
          </w:tcPr>
          <w:p w14:paraId="5556C21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1F"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22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531</w:t>
            </w:r>
          </w:p>
        </w:tc>
        <w:tc>
          <w:tcPr>
            <w:tcW w:w="0" w:type="auto"/>
            <w:shd w:val="clear" w:color="auto" w:fill="CCEEFF"/>
            <w:vAlign w:val="bottom"/>
          </w:tcPr>
          <w:p w14:paraId="5556C2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22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538</w:t>
            </w:r>
          </w:p>
        </w:tc>
        <w:tc>
          <w:tcPr>
            <w:tcW w:w="0" w:type="auto"/>
            <w:shd w:val="clear" w:color="auto" w:fill="CCEEFF"/>
            <w:vAlign w:val="bottom"/>
          </w:tcPr>
          <w:p w14:paraId="5556C22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22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CCEEFF"/>
            <w:vAlign w:val="bottom"/>
          </w:tcPr>
          <w:p w14:paraId="5556C22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22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5556C22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22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541</w:t>
            </w:r>
          </w:p>
        </w:tc>
        <w:tc>
          <w:tcPr>
            <w:tcW w:w="0" w:type="auto"/>
            <w:shd w:val="clear" w:color="auto" w:fill="CCEEFF"/>
            <w:vAlign w:val="bottom"/>
          </w:tcPr>
          <w:p w14:paraId="5556C22D" w14:textId="77777777" w:rsidR="00F925DD" w:rsidRDefault="00F925DD">
            <w:pPr>
              <w:textAlignment w:val="bottom"/>
              <w:rPr>
                <w:rFonts w:ascii="Times New Roman" w:hAnsi="Times New Roman"/>
                <w:sz w:val="20"/>
                <w:szCs w:val="20"/>
              </w:rPr>
            </w:pPr>
          </w:p>
        </w:tc>
      </w:tr>
      <w:tr w:rsidR="00F925DD" w14:paraId="5556C247" w14:textId="77777777">
        <w:tc>
          <w:tcPr>
            <w:tcW w:w="0" w:type="auto"/>
            <w:shd w:val="clear" w:color="auto" w:fill="auto"/>
            <w:tcMar>
              <w:top w:w="40" w:type="dxa"/>
              <w:left w:w="400" w:type="dxa"/>
              <w:bottom w:w="40" w:type="dxa"/>
              <w:right w:w="40" w:type="dxa"/>
            </w:tcMar>
            <w:vAlign w:val="bottom"/>
          </w:tcPr>
          <w:p w14:paraId="5556C22F" w14:textId="77777777" w:rsidR="00F925DD" w:rsidRDefault="00E705D7">
            <w:pPr>
              <w:textAlignment w:val="bottom"/>
              <w:rPr>
                <w:rFonts w:ascii="Times New Roman" w:hAnsi="Times New Roman"/>
                <w:sz w:val="15"/>
                <w:szCs w:val="15"/>
              </w:rPr>
            </w:pPr>
            <w:r>
              <w:rPr>
                <w:rFonts w:ascii="Arial" w:eastAsia="宋体" w:hAnsi="Arial" w:cs="Arial"/>
                <w:sz w:val="15"/>
                <w:szCs w:val="15"/>
              </w:rPr>
              <w:t>Credit cards</w:t>
            </w:r>
          </w:p>
        </w:tc>
        <w:tc>
          <w:tcPr>
            <w:tcW w:w="0" w:type="auto"/>
            <w:gridSpan w:val="2"/>
            <w:shd w:val="clear" w:color="auto" w:fill="auto"/>
            <w:tcMar>
              <w:top w:w="40" w:type="dxa"/>
              <w:left w:w="40" w:type="dxa"/>
              <w:bottom w:w="40" w:type="dxa"/>
            </w:tcMar>
            <w:vAlign w:val="bottom"/>
          </w:tcPr>
          <w:p w14:paraId="5556C23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90</w:t>
            </w:r>
          </w:p>
        </w:tc>
        <w:tc>
          <w:tcPr>
            <w:tcW w:w="0" w:type="auto"/>
            <w:shd w:val="clear" w:color="auto" w:fill="auto"/>
            <w:vAlign w:val="bottom"/>
          </w:tcPr>
          <w:p w14:paraId="5556C2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32"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23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23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35"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23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23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38"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23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w:t>
            </w:r>
          </w:p>
        </w:tc>
        <w:tc>
          <w:tcPr>
            <w:tcW w:w="0" w:type="auto"/>
            <w:shd w:val="clear" w:color="auto" w:fill="auto"/>
            <w:vAlign w:val="bottom"/>
          </w:tcPr>
          <w:p w14:paraId="5556C23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3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609</w:t>
            </w:r>
          </w:p>
        </w:tc>
        <w:tc>
          <w:tcPr>
            <w:tcW w:w="0" w:type="auto"/>
            <w:shd w:val="clear" w:color="auto" w:fill="auto"/>
            <w:vAlign w:val="bottom"/>
          </w:tcPr>
          <w:p w14:paraId="5556C23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3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24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4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shd w:val="clear" w:color="auto" w:fill="auto"/>
            <w:vAlign w:val="bottom"/>
          </w:tcPr>
          <w:p w14:paraId="5556C24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4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583</w:t>
            </w:r>
          </w:p>
        </w:tc>
        <w:tc>
          <w:tcPr>
            <w:tcW w:w="0" w:type="auto"/>
            <w:shd w:val="clear" w:color="auto" w:fill="auto"/>
            <w:vAlign w:val="bottom"/>
          </w:tcPr>
          <w:p w14:paraId="5556C246" w14:textId="77777777" w:rsidR="00F925DD" w:rsidRDefault="00F925DD">
            <w:pPr>
              <w:textAlignment w:val="bottom"/>
              <w:rPr>
                <w:rFonts w:ascii="Times New Roman" w:hAnsi="Times New Roman"/>
                <w:sz w:val="20"/>
                <w:szCs w:val="20"/>
              </w:rPr>
            </w:pPr>
          </w:p>
        </w:tc>
      </w:tr>
      <w:tr w:rsidR="00F925DD" w14:paraId="5556C260" w14:textId="77777777">
        <w:tc>
          <w:tcPr>
            <w:tcW w:w="0" w:type="auto"/>
            <w:shd w:val="clear" w:color="auto" w:fill="CCEEFF"/>
            <w:tcMar>
              <w:top w:w="40" w:type="dxa"/>
              <w:left w:w="400" w:type="dxa"/>
              <w:bottom w:w="40" w:type="dxa"/>
              <w:right w:w="40" w:type="dxa"/>
            </w:tcMar>
            <w:vAlign w:val="bottom"/>
          </w:tcPr>
          <w:p w14:paraId="5556C248"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24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1,822</w:t>
            </w:r>
          </w:p>
        </w:tc>
        <w:tc>
          <w:tcPr>
            <w:tcW w:w="0" w:type="auto"/>
            <w:tcBorders>
              <w:bottom w:val="single" w:sz="8" w:space="0" w:color="000000"/>
            </w:tcBorders>
            <w:shd w:val="clear" w:color="auto" w:fill="CCEEFF"/>
            <w:vAlign w:val="bottom"/>
          </w:tcPr>
          <w:p w14:paraId="5556C24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4B"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24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tcBorders>
              <w:bottom w:val="single" w:sz="8" w:space="0" w:color="000000"/>
            </w:tcBorders>
            <w:shd w:val="clear" w:color="auto" w:fill="CCEEFF"/>
            <w:vAlign w:val="bottom"/>
          </w:tcPr>
          <w:p w14:paraId="5556C24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4E"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24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tcBorders>
              <w:bottom w:val="single" w:sz="8" w:space="0" w:color="000000"/>
            </w:tcBorders>
            <w:shd w:val="clear" w:color="auto" w:fill="CCEEFF"/>
            <w:vAlign w:val="bottom"/>
          </w:tcPr>
          <w:p w14:paraId="5556C25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51"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25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1,820</w:t>
            </w:r>
          </w:p>
        </w:tc>
        <w:tc>
          <w:tcPr>
            <w:tcW w:w="0" w:type="auto"/>
            <w:tcBorders>
              <w:bottom w:val="single" w:sz="8" w:space="0" w:color="000000"/>
            </w:tcBorders>
            <w:shd w:val="clear" w:color="auto" w:fill="CCEEFF"/>
            <w:vAlign w:val="bottom"/>
          </w:tcPr>
          <w:p w14:paraId="5556C2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25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594</w:t>
            </w:r>
          </w:p>
        </w:tc>
        <w:tc>
          <w:tcPr>
            <w:tcW w:w="0" w:type="auto"/>
            <w:tcBorders>
              <w:bottom w:val="single" w:sz="8" w:space="0" w:color="000000"/>
            </w:tcBorders>
            <w:shd w:val="clear" w:color="auto" w:fill="CCEEFF"/>
            <w:vAlign w:val="bottom"/>
          </w:tcPr>
          <w:p w14:paraId="5556C25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25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bottom w:val="single" w:sz="8" w:space="0" w:color="000000"/>
            </w:tcBorders>
            <w:shd w:val="clear" w:color="auto" w:fill="CCEEFF"/>
            <w:vAlign w:val="bottom"/>
          </w:tcPr>
          <w:p w14:paraId="5556C25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25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tcBorders>
              <w:bottom w:val="single" w:sz="8" w:space="0" w:color="000000"/>
            </w:tcBorders>
            <w:shd w:val="clear" w:color="auto" w:fill="CCEEFF"/>
            <w:vAlign w:val="bottom"/>
          </w:tcPr>
          <w:p w14:paraId="5556C25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25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593</w:t>
            </w:r>
          </w:p>
        </w:tc>
        <w:tc>
          <w:tcPr>
            <w:tcW w:w="0" w:type="auto"/>
            <w:tcBorders>
              <w:bottom w:val="single" w:sz="8" w:space="0" w:color="000000"/>
            </w:tcBorders>
            <w:shd w:val="clear" w:color="auto" w:fill="CCEEFF"/>
            <w:vAlign w:val="bottom"/>
          </w:tcPr>
          <w:p w14:paraId="5556C25F" w14:textId="77777777" w:rsidR="00F925DD" w:rsidRDefault="00F925DD">
            <w:pPr>
              <w:textAlignment w:val="bottom"/>
              <w:rPr>
                <w:rFonts w:ascii="Times New Roman" w:hAnsi="Times New Roman"/>
                <w:sz w:val="20"/>
                <w:szCs w:val="20"/>
              </w:rPr>
            </w:pPr>
          </w:p>
        </w:tc>
      </w:tr>
      <w:tr w:rsidR="00F925DD" w14:paraId="5556C279" w14:textId="77777777">
        <w:tc>
          <w:tcPr>
            <w:tcW w:w="0" w:type="auto"/>
            <w:shd w:val="clear" w:color="auto" w:fill="auto"/>
            <w:tcMar>
              <w:top w:w="40" w:type="dxa"/>
              <w:left w:w="720" w:type="dxa"/>
              <w:bottom w:w="40" w:type="dxa"/>
              <w:right w:w="40" w:type="dxa"/>
            </w:tcMar>
            <w:vAlign w:val="bottom"/>
          </w:tcPr>
          <w:p w14:paraId="5556C261"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C26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2,444</w:t>
            </w:r>
          </w:p>
        </w:tc>
        <w:tc>
          <w:tcPr>
            <w:tcW w:w="0" w:type="auto"/>
            <w:tcBorders>
              <w:bottom w:val="single" w:sz="8" w:space="0" w:color="000000"/>
            </w:tcBorders>
            <w:shd w:val="clear" w:color="auto" w:fill="auto"/>
            <w:vAlign w:val="bottom"/>
          </w:tcPr>
          <w:p w14:paraId="5556C2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64"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26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tcBorders>
              <w:bottom w:val="single" w:sz="8" w:space="0" w:color="000000"/>
            </w:tcBorders>
            <w:shd w:val="clear" w:color="auto" w:fill="auto"/>
            <w:vAlign w:val="bottom"/>
          </w:tcPr>
          <w:p w14:paraId="5556C2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67"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26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tcBorders>
              <w:bottom w:val="single" w:sz="8" w:space="0" w:color="000000"/>
            </w:tcBorders>
            <w:shd w:val="clear" w:color="auto" w:fill="auto"/>
            <w:vAlign w:val="bottom"/>
          </w:tcPr>
          <w:p w14:paraId="5556C26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6A"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26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2,440</w:t>
            </w:r>
          </w:p>
        </w:tc>
        <w:tc>
          <w:tcPr>
            <w:tcW w:w="0" w:type="auto"/>
            <w:tcBorders>
              <w:bottom w:val="single" w:sz="8" w:space="0" w:color="000000"/>
            </w:tcBorders>
            <w:shd w:val="clear" w:color="auto" w:fill="auto"/>
            <w:vAlign w:val="bottom"/>
          </w:tcPr>
          <w:p w14:paraId="5556C26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26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1,741</w:t>
            </w:r>
          </w:p>
        </w:tc>
        <w:tc>
          <w:tcPr>
            <w:tcW w:w="0" w:type="auto"/>
            <w:tcBorders>
              <w:bottom w:val="single" w:sz="8" w:space="0" w:color="000000"/>
            </w:tcBorders>
            <w:shd w:val="clear" w:color="auto" w:fill="auto"/>
            <w:vAlign w:val="bottom"/>
          </w:tcPr>
          <w:p w14:paraId="5556C26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27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tcBorders>
              <w:bottom w:val="single" w:sz="8" w:space="0" w:color="000000"/>
            </w:tcBorders>
            <w:shd w:val="clear" w:color="auto" w:fill="auto"/>
            <w:vAlign w:val="bottom"/>
          </w:tcPr>
          <w:p w14:paraId="5556C27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27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w:t>
            </w:r>
          </w:p>
        </w:tc>
        <w:tc>
          <w:tcPr>
            <w:tcW w:w="0" w:type="auto"/>
            <w:tcBorders>
              <w:bottom w:val="single" w:sz="8" w:space="0" w:color="000000"/>
            </w:tcBorders>
            <w:shd w:val="clear" w:color="auto" w:fill="auto"/>
            <w:vAlign w:val="bottom"/>
          </w:tcPr>
          <w:p w14:paraId="5556C2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27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1,717</w:t>
            </w:r>
          </w:p>
        </w:tc>
        <w:tc>
          <w:tcPr>
            <w:tcW w:w="0" w:type="auto"/>
            <w:tcBorders>
              <w:bottom w:val="single" w:sz="8" w:space="0" w:color="000000"/>
            </w:tcBorders>
            <w:shd w:val="clear" w:color="auto" w:fill="auto"/>
            <w:vAlign w:val="bottom"/>
          </w:tcPr>
          <w:p w14:paraId="5556C278" w14:textId="77777777" w:rsidR="00F925DD" w:rsidRDefault="00F925DD">
            <w:pPr>
              <w:textAlignment w:val="bottom"/>
              <w:rPr>
                <w:rFonts w:ascii="Times New Roman" w:hAnsi="Times New Roman"/>
                <w:sz w:val="20"/>
                <w:szCs w:val="20"/>
              </w:rPr>
            </w:pPr>
          </w:p>
        </w:tc>
      </w:tr>
      <w:tr w:rsidR="00F925DD" w14:paraId="5556C28A" w14:textId="77777777">
        <w:tc>
          <w:tcPr>
            <w:tcW w:w="0" w:type="auto"/>
            <w:shd w:val="clear" w:color="auto" w:fill="CCEEFF"/>
            <w:tcMar>
              <w:top w:w="40" w:type="dxa"/>
              <w:left w:w="40" w:type="dxa"/>
              <w:bottom w:w="40" w:type="dxa"/>
              <w:right w:w="40" w:type="dxa"/>
            </w:tcMar>
            <w:vAlign w:val="bottom"/>
          </w:tcPr>
          <w:p w14:paraId="5556C27A"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CCEEFF"/>
            <w:tcMar>
              <w:top w:w="40" w:type="dxa"/>
              <w:left w:w="40" w:type="dxa"/>
              <w:bottom w:w="40" w:type="dxa"/>
              <w:right w:w="40" w:type="dxa"/>
            </w:tcMar>
            <w:vAlign w:val="bottom"/>
          </w:tcPr>
          <w:p w14:paraId="5556C27B"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27C"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C27D"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27E"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C27F"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280"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C281"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2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2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2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2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2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2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2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2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2A3" w14:textId="77777777">
        <w:tc>
          <w:tcPr>
            <w:tcW w:w="0" w:type="auto"/>
            <w:shd w:val="clear" w:color="auto" w:fill="auto"/>
            <w:tcMar>
              <w:top w:w="40" w:type="dxa"/>
              <w:left w:w="400" w:type="dxa"/>
              <w:bottom w:w="40" w:type="dxa"/>
              <w:right w:w="40" w:type="dxa"/>
            </w:tcMar>
            <w:vAlign w:val="bottom"/>
          </w:tcPr>
          <w:p w14:paraId="5556C28B"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5556C28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1,978</w:t>
            </w:r>
          </w:p>
        </w:tc>
        <w:tc>
          <w:tcPr>
            <w:tcW w:w="0" w:type="auto"/>
            <w:shd w:val="clear" w:color="auto" w:fill="auto"/>
            <w:vAlign w:val="bottom"/>
          </w:tcPr>
          <w:p w14:paraId="5556C28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8E"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28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auto"/>
            <w:vAlign w:val="bottom"/>
          </w:tcPr>
          <w:p w14:paraId="5556C29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91"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29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29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94"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29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1,980</w:t>
            </w:r>
          </w:p>
        </w:tc>
        <w:tc>
          <w:tcPr>
            <w:tcW w:w="0" w:type="auto"/>
            <w:shd w:val="clear" w:color="auto" w:fill="auto"/>
            <w:vAlign w:val="bottom"/>
          </w:tcPr>
          <w:p w14:paraId="5556C29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9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1,687</w:t>
            </w:r>
          </w:p>
        </w:tc>
        <w:tc>
          <w:tcPr>
            <w:tcW w:w="0" w:type="auto"/>
            <w:shd w:val="clear" w:color="auto" w:fill="auto"/>
            <w:vAlign w:val="bottom"/>
          </w:tcPr>
          <w:p w14:paraId="5556C29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9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29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9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auto"/>
            <w:vAlign w:val="bottom"/>
          </w:tcPr>
          <w:p w14:paraId="5556C29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A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1,682</w:t>
            </w:r>
          </w:p>
        </w:tc>
        <w:tc>
          <w:tcPr>
            <w:tcW w:w="0" w:type="auto"/>
            <w:shd w:val="clear" w:color="auto" w:fill="auto"/>
            <w:vAlign w:val="bottom"/>
          </w:tcPr>
          <w:p w14:paraId="5556C2A2" w14:textId="77777777" w:rsidR="00F925DD" w:rsidRDefault="00F925DD">
            <w:pPr>
              <w:textAlignment w:val="bottom"/>
              <w:rPr>
                <w:rFonts w:ascii="Times New Roman" w:hAnsi="Times New Roman"/>
                <w:sz w:val="20"/>
                <w:szCs w:val="20"/>
              </w:rPr>
            </w:pPr>
          </w:p>
        </w:tc>
      </w:tr>
      <w:tr w:rsidR="00F925DD" w14:paraId="5556C2BC" w14:textId="77777777">
        <w:tc>
          <w:tcPr>
            <w:tcW w:w="0" w:type="auto"/>
            <w:shd w:val="clear" w:color="auto" w:fill="CCEEFF"/>
            <w:tcMar>
              <w:top w:w="40" w:type="dxa"/>
              <w:left w:w="400" w:type="dxa"/>
              <w:bottom w:w="40" w:type="dxa"/>
              <w:right w:w="40" w:type="dxa"/>
            </w:tcMar>
            <w:vAlign w:val="bottom"/>
          </w:tcPr>
          <w:p w14:paraId="5556C2A4"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CCEEFF"/>
            <w:tcMar>
              <w:top w:w="40" w:type="dxa"/>
              <w:left w:w="40" w:type="dxa"/>
              <w:bottom w:w="40" w:type="dxa"/>
            </w:tcMar>
            <w:vAlign w:val="bottom"/>
          </w:tcPr>
          <w:p w14:paraId="5556C2A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2,179</w:t>
            </w:r>
          </w:p>
        </w:tc>
        <w:tc>
          <w:tcPr>
            <w:tcW w:w="0" w:type="auto"/>
            <w:shd w:val="clear" w:color="auto" w:fill="CCEEFF"/>
            <w:vAlign w:val="bottom"/>
          </w:tcPr>
          <w:p w14:paraId="5556C2A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A7"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2A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CCEEFF"/>
            <w:vAlign w:val="bottom"/>
          </w:tcPr>
          <w:p w14:paraId="5556C2A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AA"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2A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CCEEFF"/>
            <w:vAlign w:val="bottom"/>
          </w:tcPr>
          <w:p w14:paraId="5556C2A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AD"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2A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2,179</w:t>
            </w:r>
          </w:p>
        </w:tc>
        <w:tc>
          <w:tcPr>
            <w:tcW w:w="0" w:type="auto"/>
            <w:shd w:val="clear" w:color="auto" w:fill="CCEEFF"/>
            <w:vAlign w:val="bottom"/>
          </w:tcPr>
          <w:p w14:paraId="5556C2A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2B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1,580</w:t>
            </w:r>
          </w:p>
        </w:tc>
        <w:tc>
          <w:tcPr>
            <w:tcW w:w="0" w:type="auto"/>
            <w:shd w:val="clear" w:color="auto" w:fill="CCEEFF"/>
            <w:vAlign w:val="bottom"/>
          </w:tcPr>
          <w:p w14:paraId="5556C2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2B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C2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2B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CCEEFF"/>
            <w:vAlign w:val="bottom"/>
          </w:tcPr>
          <w:p w14:paraId="5556C2B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2B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1,574</w:t>
            </w:r>
          </w:p>
        </w:tc>
        <w:tc>
          <w:tcPr>
            <w:tcW w:w="0" w:type="auto"/>
            <w:shd w:val="clear" w:color="auto" w:fill="CCEEFF"/>
            <w:vAlign w:val="bottom"/>
          </w:tcPr>
          <w:p w14:paraId="5556C2BB" w14:textId="77777777" w:rsidR="00F925DD" w:rsidRDefault="00F925DD">
            <w:pPr>
              <w:textAlignment w:val="bottom"/>
              <w:rPr>
                <w:rFonts w:ascii="Times New Roman" w:hAnsi="Times New Roman"/>
                <w:sz w:val="20"/>
                <w:szCs w:val="20"/>
              </w:rPr>
            </w:pPr>
          </w:p>
        </w:tc>
      </w:tr>
      <w:tr w:rsidR="00F925DD" w14:paraId="5556C2D5" w14:textId="77777777">
        <w:tc>
          <w:tcPr>
            <w:tcW w:w="0" w:type="auto"/>
            <w:shd w:val="clear" w:color="auto" w:fill="auto"/>
            <w:tcMar>
              <w:top w:w="40" w:type="dxa"/>
              <w:left w:w="400" w:type="dxa"/>
              <w:bottom w:w="40" w:type="dxa"/>
              <w:right w:w="40" w:type="dxa"/>
            </w:tcMar>
            <w:vAlign w:val="bottom"/>
          </w:tcPr>
          <w:p w14:paraId="5556C2BD" w14:textId="77777777" w:rsidR="00F925DD" w:rsidRDefault="00E705D7">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shd w:val="clear" w:color="auto" w:fill="auto"/>
            <w:tcMar>
              <w:top w:w="40" w:type="dxa"/>
              <w:left w:w="40" w:type="dxa"/>
              <w:bottom w:w="40" w:type="dxa"/>
            </w:tcMar>
            <w:vAlign w:val="bottom"/>
          </w:tcPr>
          <w:p w14:paraId="5556C2B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12,243</w:t>
            </w:r>
          </w:p>
        </w:tc>
        <w:tc>
          <w:tcPr>
            <w:tcW w:w="0" w:type="auto"/>
            <w:shd w:val="clear" w:color="auto" w:fill="auto"/>
            <w:vAlign w:val="bottom"/>
          </w:tcPr>
          <w:p w14:paraId="5556C2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C0"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2C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131</w:t>
            </w:r>
          </w:p>
        </w:tc>
        <w:tc>
          <w:tcPr>
            <w:tcW w:w="0" w:type="auto"/>
            <w:shd w:val="clear" w:color="auto" w:fill="auto"/>
            <w:vAlign w:val="bottom"/>
          </w:tcPr>
          <w:p w14:paraId="5556C2C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C3"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2C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2C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C6"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2C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12,373</w:t>
            </w:r>
          </w:p>
        </w:tc>
        <w:tc>
          <w:tcPr>
            <w:tcW w:w="0" w:type="auto"/>
            <w:shd w:val="clear" w:color="auto" w:fill="auto"/>
            <w:vAlign w:val="bottom"/>
          </w:tcPr>
          <w:p w14:paraId="5556C2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C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12,816</w:t>
            </w:r>
          </w:p>
        </w:tc>
        <w:tc>
          <w:tcPr>
            <w:tcW w:w="0" w:type="auto"/>
            <w:shd w:val="clear" w:color="auto" w:fill="auto"/>
            <w:vAlign w:val="bottom"/>
          </w:tcPr>
          <w:p w14:paraId="5556C2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C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w:t>
            </w:r>
          </w:p>
        </w:tc>
        <w:tc>
          <w:tcPr>
            <w:tcW w:w="0" w:type="auto"/>
            <w:shd w:val="clear" w:color="auto" w:fill="auto"/>
            <w:vAlign w:val="bottom"/>
          </w:tcPr>
          <w:p w14:paraId="5556C2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D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w:t>
            </w:r>
          </w:p>
        </w:tc>
        <w:tc>
          <w:tcPr>
            <w:tcW w:w="0" w:type="auto"/>
            <w:shd w:val="clear" w:color="auto" w:fill="auto"/>
            <w:vAlign w:val="bottom"/>
          </w:tcPr>
          <w:p w14:paraId="5556C2D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2D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12,793</w:t>
            </w:r>
          </w:p>
        </w:tc>
        <w:tc>
          <w:tcPr>
            <w:tcW w:w="0" w:type="auto"/>
            <w:shd w:val="clear" w:color="auto" w:fill="auto"/>
            <w:vAlign w:val="bottom"/>
          </w:tcPr>
          <w:p w14:paraId="5556C2D4" w14:textId="77777777" w:rsidR="00F925DD" w:rsidRDefault="00F925DD">
            <w:pPr>
              <w:textAlignment w:val="bottom"/>
              <w:rPr>
                <w:rFonts w:ascii="Times New Roman" w:hAnsi="Times New Roman"/>
                <w:sz w:val="20"/>
                <w:szCs w:val="20"/>
              </w:rPr>
            </w:pPr>
          </w:p>
        </w:tc>
      </w:tr>
      <w:tr w:rsidR="00F925DD" w14:paraId="5556C2EE" w14:textId="77777777">
        <w:tc>
          <w:tcPr>
            <w:tcW w:w="0" w:type="auto"/>
            <w:shd w:val="clear" w:color="auto" w:fill="CCEEFF"/>
            <w:tcMar>
              <w:top w:w="40" w:type="dxa"/>
              <w:left w:w="400" w:type="dxa"/>
              <w:bottom w:w="40" w:type="dxa"/>
              <w:right w:w="40" w:type="dxa"/>
            </w:tcMar>
            <w:vAlign w:val="bottom"/>
          </w:tcPr>
          <w:p w14:paraId="5556C2D6" w14:textId="77777777" w:rsidR="00F925DD" w:rsidRDefault="00E705D7">
            <w:pPr>
              <w:textAlignment w:val="bottom"/>
              <w:rPr>
                <w:rFonts w:ascii="Times New Roman" w:hAnsi="Times New Roman"/>
                <w:sz w:val="15"/>
                <w:szCs w:val="15"/>
              </w:rPr>
            </w:pPr>
            <w:r>
              <w:rPr>
                <w:rFonts w:ascii="Arial" w:eastAsia="宋体" w:hAnsi="Arial" w:cs="Arial"/>
                <w:sz w:val="15"/>
                <w:szCs w:val="15"/>
              </w:rPr>
              <w:t>Other(2)</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2D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8,595</w:t>
            </w:r>
          </w:p>
        </w:tc>
        <w:tc>
          <w:tcPr>
            <w:tcW w:w="0" w:type="auto"/>
            <w:tcBorders>
              <w:bottom w:val="single" w:sz="8" w:space="0" w:color="000000"/>
            </w:tcBorders>
            <w:shd w:val="clear" w:color="auto" w:fill="CCEEFF"/>
            <w:vAlign w:val="bottom"/>
          </w:tcPr>
          <w:p w14:paraId="5556C2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D9"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2D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73</w:t>
            </w:r>
          </w:p>
        </w:tc>
        <w:tc>
          <w:tcPr>
            <w:tcW w:w="0" w:type="auto"/>
            <w:tcBorders>
              <w:bottom w:val="single" w:sz="8" w:space="0" w:color="000000"/>
            </w:tcBorders>
            <w:shd w:val="clear" w:color="auto" w:fill="CCEEFF"/>
            <w:vAlign w:val="bottom"/>
          </w:tcPr>
          <w:p w14:paraId="5556C2D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DC"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2D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tcBorders>
              <w:bottom w:val="single" w:sz="8" w:space="0" w:color="000000"/>
            </w:tcBorders>
            <w:shd w:val="clear" w:color="auto" w:fill="CCEEFF"/>
            <w:vAlign w:val="bottom"/>
          </w:tcPr>
          <w:p w14:paraId="5556C2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DF"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2E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8,658</w:t>
            </w:r>
          </w:p>
        </w:tc>
        <w:tc>
          <w:tcPr>
            <w:tcW w:w="0" w:type="auto"/>
            <w:tcBorders>
              <w:bottom w:val="single" w:sz="8" w:space="0" w:color="000000"/>
            </w:tcBorders>
            <w:shd w:val="clear" w:color="auto" w:fill="CCEEFF"/>
            <w:vAlign w:val="bottom"/>
          </w:tcPr>
          <w:p w14:paraId="5556C2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2E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6,600</w:t>
            </w:r>
          </w:p>
        </w:tc>
        <w:tc>
          <w:tcPr>
            <w:tcW w:w="0" w:type="auto"/>
            <w:tcBorders>
              <w:bottom w:val="single" w:sz="8" w:space="0" w:color="000000"/>
            </w:tcBorders>
            <w:shd w:val="clear" w:color="auto" w:fill="CCEEFF"/>
            <w:vAlign w:val="bottom"/>
          </w:tcPr>
          <w:p w14:paraId="5556C2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2E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w:t>
            </w:r>
          </w:p>
        </w:tc>
        <w:tc>
          <w:tcPr>
            <w:tcW w:w="0" w:type="auto"/>
            <w:tcBorders>
              <w:bottom w:val="single" w:sz="8" w:space="0" w:color="000000"/>
            </w:tcBorders>
            <w:shd w:val="clear" w:color="auto" w:fill="CCEEFF"/>
            <w:vAlign w:val="bottom"/>
          </w:tcPr>
          <w:p w14:paraId="5556C2E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2E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w:t>
            </w:r>
          </w:p>
        </w:tc>
        <w:tc>
          <w:tcPr>
            <w:tcW w:w="0" w:type="auto"/>
            <w:tcBorders>
              <w:bottom w:val="single" w:sz="8" w:space="0" w:color="000000"/>
            </w:tcBorders>
            <w:shd w:val="clear" w:color="auto" w:fill="CCEEFF"/>
            <w:vAlign w:val="bottom"/>
          </w:tcPr>
          <w:p w14:paraId="5556C2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2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2E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6,602</w:t>
            </w:r>
          </w:p>
        </w:tc>
        <w:tc>
          <w:tcPr>
            <w:tcW w:w="0" w:type="auto"/>
            <w:tcBorders>
              <w:bottom w:val="single" w:sz="8" w:space="0" w:color="000000"/>
            </w:tcBorders>
            <w:shd w:val="clear" w:color="auto" w:fill="CCEEFF"/>
            <w:vAlign w:val="bottom"/>
          </w:tcPr>
          <w:p w14:paraId="5556C2ED" w14:textId="77777777" w:rsidR="00F925DD" w:rsidRDefault="00F925DD">
            <w:pPr>
              <w:textAlignment w:val="bottom"/>
              <w:rPr>
                <w:rFonts w:ascii="Times New Roman" w:hAnsi="Times New Roman"/>
                <w:sz w:val="20"/>
                <w:szCs w:val="20"/>
              </w:rPr>
            </w:pPr>
          </w:p>
        </w:tc>
      </w:tr>
      <w:tr w:rsidR="00F925DD" w14:paraId="5556C307" w14:textId="77777777">
        <w:tc>
          <w:tcPr>
            <w:tcW w:w="0" w:type="auto"/>
            <w:shd w:val="clear" w:color="auto" w:fill="auto"/>
            <w:tcMar>
              <w:top w:w="40" w:type="dxa"/>
              <w:left w:w="560" w:type="dxa"/>
              <w:bottom w:w="40" w:type="dxa"/>
              <w:right w:w="40" w:type="dxa"/>
            </w:tcMar>
            <w:vAlign w:val="bottom"/>
          </w:tcPr>
          <w:p w14:paraId="5556C2EF"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C2F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24,995</w:t>
            </w:r>
          </w:p>
        </w:tc>
        <w:tc>
          <w:tcPr>
            <w:tcW w:w="0" w:type="auto"/>
            <w:tcBorders>
              <w:bottom w:val="single" w:sz="8" w:space="0" w:color="000000"/>
            </w:tcBorders>
            <w:shd w:val="clear" w:color="auto" w:fill="auto"/>
            <w:vAlign w:val="bottom"/>
          </w:tcPr>
          <w:p w14:paraId="5556C2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F2"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2F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209</w:t>
            </w:r>
          </w:p>
        </w:tc>
        <w:tc>
          <w:tcPr>
            <w:tcW w:w="0" w:type="auto"/>
            <w:tcBorders>
              <w:bottom w:val="single" w:sz="8" w:space="0" w:color="000000"/>
            </w:tcBorders>
            <w:shd w:val="clear" w:color="auto" w:fill="auto"/>
            <w:vAlign w:val="bottom"/>
          </w:tcPr>
          <w:p w14:paraId="5556C2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F5"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2F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w:t>
            </w:r>
          </w:p>
        </w:tc>
        <w:tc>
          <w:tcPr>
            <w:tcW w:w="0" w:type="auto"/>
            <w:tcBorders>
              <w:bottom w:val="single" w:sz="8" w:space="0" w:color="000000"/>
            </w:tcBorders>
            <w:shd w:val="clear" w:color="auto" w:fill="auto"/>
            <w:vAlign w:val="bottom"/>
          </w:tcPr>
          <w:p w14:paraId="5556C2F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F8"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2F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25,190</w:t>
            </w:r>
          </w:p>
        </w:tc>
        <w:tc>
          <w:tcPr>
            <w:tcW w:w="0" w:type="auto"/>
            <w:tcBorders>
              <w:bottom w:val="single" w:sz="8" w:space="0" w:color="000000"/>
            </w:tcBorders>
            <w:shd w:val="clear" w:color="auto" w:fill="auto"/>
            <w:vAlign w:val="bottom"/>
          </w:tcPr>
          <w:p w14:paraId="5556C2F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2F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22,683</w:t>
            </w:r>
          </w:p>
        </w:tc>
        <w:tc>
          <w:tcPr>
            <w:tcW w:w="0" w:type="auto"/>
            <w:tcBorders>
              <w:bottom w:val="single" w:sz="8" w:space="0" w:color="000000"/>
            </w:tcBorders>
            <w:shd w:val="clear" w:color="auto" w:fill="auto"/>
            <w:vAlign w:val="bottom"/>
          </w:tcPr>
          <w:p w14:paraId="5556C2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2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2F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40</w:t>
            </w:r>
          </w:p>
        </w:tc>
        <w:tc>
          <w:tcPr>
            <w:tcW w:w="0" w:type="auto"/>
            <w:tcBorders>
              <w:bottom w:val="single" w:sz="8" w:space="0" w:color="000000"/>
            </w:tcBorders>
            <w:shd w:val="clear" w:color="auto" w:fill="auto"/>
            <w:vAlign w:val="bottom"/>
          </w:tcPr>
          <w:p w14:paraId="5556C3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30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72</w:t>
            </w:r>
          </w:p>
        </w:tc>
        <w:tc>
          <w:tcPr>
            <w:tcW w:w="0" w:type="auto"/>
            <w:tcBorders>
              <w:bottom w:val="single" w:sz="8" w:space="0" w:color="000000"/>
            </w:tcBorders>
            <w:shd w:val="clear" w:color="auto" w:fill="auto"/>
            <w:vAlign w:val="bottom"/>
          </w:tcPr>
          <w:p w14:paraId="5556C30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30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22,651</w:t>
            </w:r>
          </w:p>
        </w:tc>
        <w:tc>
          <w:tcPr>
            <w:tcW w:w="0" w:type="auto"/>
            <w:tcBorders>
              <w:bottom w:val="single" w:sz="8" w:space="0" w:color="000000"/>
            </w:tcBorders>
            <w:shd w:val="clear" w:color="auto" w:fill="auto"/>
            <w:vAlign w:val="bottom"/>
          </w:tcPr>
          <w:p w14:paraId="5556C306" w14:textId="77777777" w:rsidR="00F925DD" w:rsidRDefault="00F925DD">
            <w:pPr>
              <w:textAlignment w:val="bottom"/>
              <w:rPr>
                <w:rFonts w:ascii="Times New Roman" w:hAnsi="Times New Roman"/>
                <w:sz w:val="20"/>
                <w:szCs w:val="20"/>
              </w:rPr>
            </w:pPr>
          </w:p>
        </w:tc>
      </w:tr>
      <w:tr w:rsidR="00F925DD" w14:paraId="5556C320" w14:textId="77777777">
        <w:tc>
          <w:tcPr>
            <w:tcW w:w="0" w:type="auto"/>
            <w:shd w:val="clear" w:color="auto" w:fill="CCEEFF"/>
            <w:tcMar>
              <w:top w:w="40" w:type="dxa"/>
              <w:left w:w="40" w:type="dxa"/>
              <w:bottom w:w="40" w:type="dxa"/>
              <w:right w:w="40" w:type="dxa"/>
            </w:tcMar>
            <w:vAlign w:val="bottom"/>
          </w:tcPr>
          <w:p w14:paraId="5556C308" w14:textId="77777777" w:rsidR="00F925DD" w:rsidRDefault="00E705D7">
            <w:pPr>
              <w:textAlignment w:val="bottom"/>
              <w:rPr>
                <w:rFonts w:ascii="Times New Roman" w:hAnsi="Times New Roman"/>
                <w:sz w:val="15"/>
                <w:szCs w:val="15"/>
              </w:rPr>
            </w:pPr>
            <w:r>
              <w:rPr>
                <w:rFonts w:ascii="Arial" w:eastAsia="宋体" w:hAnsi="Arial" w:cs="Arial"/>
                <w:sz w:val="15"/>
                <w:szCs w:val="15"/>
              </w:rPr>
              <w:t>State and political subdivisions(3)</w:t>
            </w:r>
          </w:p>
        </w:tc>
        <w:tc>
          <w:tcPr>
            <w:tcW w:w="0" w:type="auto"/>
            <w:gridSpan w:val="2"/>
            <w:tcBorders>
              <w:top w:val="single" w:sz="8" w:space="0" w:color="000000"/>
            </w:tcBorders>
            <w:shd w:val="clear" w:color="auto" w:fill="CCEEFF"/>
            <w:tcMar>
              <w:top w:w="40" w:type="dxa"/>
              <w:left w:w="40" w:type="dxa"/>
              <w:bottom w:w="40" w:type="dxa"/>
            </w:tcMar>
            <w:vAlign w:val="bottom"/>
          </w:tcPr>
          <w:p w14:paraId="5556C30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1,725</w:t>
            </w:r>
          </w:p>
        </w:tc>
        <w:tc>
          <w:tcPr>
            <w:tcW w:w="0" w:type="auto"/>
            <w:tcBorders>
              <w:top w:val="single" w:sz="8" w:space="0" w:color="000000"/>
            </w:tcBorders>
            <w:shd w:val="clear" w:color="auto" w:fill="CCEEFF"/>
            <w:vAlign w:val="bottom"/>
          </w:tcPr>
          <w:p w14:paraId="5556C30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0B" w14:textId="77777777" w:rsidR="00F925DD" w:rsidRDefault="00F925DD">
            <w:pPr>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C30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59</w:t>
            </w:r>
          </w:p>
        </w:tc>
        <w:tc>
          <w:tcPr>
            <w:tcW w:w="0" w:type="auto"/>
            <w:tcBorders>
              <w:top w:val="single" w:sz="8" w:space="0" w:color="000000"/>
            </w:tcBorders>
            <w:shd w:val="clear" w:color="auto" w:fill="CCEEFF"/>
            <w:vAlign w:val="bottom"/>
          </w:tcPr>
          <w:p w14:paraId="5556C30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0E" w14:textId="77777777" w:rsidR="00F925DD" w:rsidRDefault="00F925DD">
            <w:pPr>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C30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tcBorders>
              <w:top w:val="single" w:sz="8" w:space="0" w:color="000000"/>
            </w:tcBorders>
            <w:shd w:val="clear" w:color="auto" w:fill="CCEEFF"/>
            <w:vAlign w:val="bottom"/>
          </w:tcPr>
          <w:p w14:paraId="5556C3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11"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C31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1,783</w:t>
            </w:r>
          </w:p>
        </w:tc>
        <w:tc>
          <w:tcPr>
            <w:tcW w:w="0" w:type="auto"/>
            <w:tcBorders>
              <w:top w:val="single" w:sz="8" w:space="0" w:color="000000"/>
            </w:tcBorders>
            <w:shd w:val="clear" w:color="auto" w:fill="CCEEFF"/>
            <w:vAlign w:val="bottom"/>
          </w:tcPr>
          <w:p w14:paraId="5556C31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C31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1,905</w:t>
            </w:r>
          </w:p>
        </w:tc>
        <w:tc>
          <w:tcPr>
            <w:tcW w:w="0" w:type="auto"/>
            <w:tcBorders>
              <w:top w:val="single" w:sz="8" w:space="0" w:color="000000"/>
            </w:tcBorders>
            <w:shd w:val="clear" w:color="auto" w:fill="CCEEFF"/>
            <w:vAlign w:val="bottom"/>
          </w:tcPr>
          <w:p w14:paraId="5556C3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C31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w:t>
            </w:r>
          </w:p>
        </w:tc>
        <w:tc>
          <w:tcPr>
            <w:tcW w:w="0" w:type="auto"/>
            <w:tcBorders>
              <w:top w:val="single" w:sz="8" w:space="0" w:color="000000"/>
            </w:tcBorders>
            <w:shd w:val="clear" w:color="auto" w:fill="CCEEFF"/>
            <w:vAlign w:val="bottom"/>
          </w:tcPr>
          <w:p w14:paraId="5556C3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C31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w:t>
            </w:r>
          </w:p>
        </w:tc>
        <w:tc>
          <w:tcPr>
            <w:tcW w:w="0" w:type="auto"/>
            <w:tcBorders>
              <w:top w:val="single" w:sz="8" w:space="0" w:color="000000"/>
            </w:tcBorders>
            <w:shd w:val="clear" w:color="auto" w:fill="CCEEFF"/>
            <w:vAlign w:val="bottom"/>
          </w:tcPr>
          <w:p w14:paraId="5556C3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C31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1,918</w:t>
            </w:r>
          </w:p>
        </w:tc>
        <w:tc>
          <w:tcPr>
            <w:tcW w:w="0" w:type="auto"/>
            <w:tcBorders>
              <w:top w:val="single" w:sz="8" w:space="0" w:color="000000"/>
            </w:tcBorders>
            <w:shd w:val="clear" w:color="auto" w:fill="CCEEFF"/>
            <w:vAlign w:val="bottom"/>
          </w:tcPr>
          <w:p w14:paraId="5556C31F" w14:textId="77777777" w:rsidR="00F925DD" w:rsidRDefault="00F925DD">
            <w:pPr>
              <w:textAlignment w:val="bottom"/>
              <w:rPr>
                <w:rFonts w:ascii="Times New Roman" w:hAnsi="Times New Roman"/>
                <w:sz w:val="20"/>
                <w:szCs w:val="20"/>
              </w:rPr>
            </w:pPr>
          </w:p>
        </w:tc>
      </w:tr>
      <w:tr w:rsidR="00F925DD" w14:paraId="5556C339" w14:textId="77777777">
        <w:tc>
          <w:tcPr>
            <w:tcW w:w="0" w:type="auto"/>
            <w:shd w:val="clear" w:color="auto" w:fill="auto"/>
            <w:tcMar>
              <w:top w:w="40" w:type="dxa"/>
              <w:left w:w="40" w:type="dxa"/>
              <w:bottom w:w="40" w:type="dxa"/>
              <w:right w:w="40" w:type="dxa"/>
            </w:tcMar>
            <w:vAlign w:val="bottom"/>
          </w:tcPr>
          <w:p w14:paraId="5556C321"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mortgage obligations</w:t>
            </w:r>
          </w:p>
        </w:tc>
        <w:tc>
          <w:tcPr>
            <w:tcW w:w="0" w:type="auto"/>
            <w:gridSpan w:val="2"/>
            <w:shd w:val="clear" w:color="auto" w:fill="auto"/>
            <w:tcMar>
              <w:top w:w="40" w:type="dxa"/>
              <w:left w:w="40" w:type="dxa"/>
              <w:bottom w:w="40" w:type="dxa"/>
            </w:tcMar>
            <w:vAlign w:val="bottom"/>
          </w:tcPr>
          <w:p w14:paraId="5556C32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104</w:t>
            </w:r>
          </w:p>
        </w:tc>
        <w:tc>
          <w:tcPr>
            <w:tcW w:w="0" w:type="auto"/>
            <w:shd w:val="clear" w:color="auto" w:fill="auto"/>
            <w:vAlign w:val="bottom"/>
          </w:tcPr>
          <w:p w14:paraId="5556C32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24"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32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32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27"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32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3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2A"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32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104</w:t>
            </w:r>
          </w:p>
        </w:tc>
        <w:tc>
          <w:tcPr>
            <w:tcW w:w="0" w:type="auto"/>
            <w:shd w:val="clear" w:color="auto" w:fill="auto"/>
            <w:vAlign w:val="bottom"/>
          </w:tcPr>
          <w:p w14:paraId="5556C32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32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200</w:t>
            </w:r>
          </w:p>
        </w:tc>
        <w:tc>
          <w:tcPr>
            <w:tcW w:w="0" w:type="auto"/>
            <w:shd w:val="clear" w:color="auto" w:fill="auto"/>
            <w:vAlign w:val="bottom"/>
          </w:tcPr>
          <w:p w14:paraId="5556C32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33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33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33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auto"/>
            <w:vAlign w:val="bottom"/>
          </w:tcPr>
          <w:p w14:paraId="5556C33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33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197</w:t>
            </w:r>
          </w:p>
        </w:tc>
        <w:tc>
          <w:tcPr>
            <w:tcW w:w="0" w:type="auto"/>
            <w:shd w:val="clear" w:color="auto" w:fill="auto"/>
            <w:vAlign w:val="bottom"/>
          </w:tcPr>
          <w:p w14:paraId="5556C338" w14:textId="77777777" w:rsidR="00F925DD" w:rsidRDefault="00F925DD">
            <w:pPr>
              <w:textAlignment w:val="bottom"/>
              <w:rPr>
                <w:rFonts w:ascii="Times New Roman" w:hAnsi="Times New Roman"/>
                <w:sz w:val="20"/>
                <w:szCs w:val="20"/>
              </w:rPr>
            </w:pPr>
          </w:p>
        </w:tc>
      </w:tr>
      <w:tr w:rsidR="00F925DD" w14:paraId="5556C352" w14:textId="77777777">
        <w:tc>
          <w:tcPr>
            <w:tcW w:w="0" w:type="auto"/>
            <w:shd w:val="clear" w:color="auto" w:fill="CCEEFF"/>
            <w:tcMar>
              <w:top w:w="40" w:type="dxa"/>
              <w:left w:w="40" w:type="dxa"/>
              <w:bottom w:w="40" w:type="dxa"/>
              <w:right w:w="40" w:type="dxa"/>
            </w:tcMar>
            <w:vAlign w:val="bottom"/>
          </w:tcPr>
          <w:p w14:paraId="5556C33A"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U.S. debt securities</w:t>
            </w:r>
          </w:p>
        </w:tc>
        <w:tc>
          <w:tcPr>
            <w:tcW w:w="0" w:type="auto"/>
            <w:gridSpan w:val="2"/>
            <w:shd w:val="clear" w:color="auto" w:fill="CCEEFF"/>
            <w:tcMar>
              <w:top w:w="40" w:type="dxa"/>
              <w:left w:w="40" w:type="dxa"/>
              <w:bottom w:w="40" w:type="dxa"/>
            </w:tcMar>
            <w:vAlign w:val="bottom"/>
          </w:tcPr>
          <w:p w14:paraId="5556C33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2,941</w:t>
            </w:r>
          </w:p>
        </w:tc>
        <w:tc>
          <w:tcPr>
            <w:tcW w:w="0" w:type="auto"/>
            <w:shd w:val="clear" w:color="auto" w:fill="CCEEFF"/>
            <w:vAlign w:val="bottom"/>
          </w:tcPr>
          <w:p w14:paraId="5556C3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3D"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33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w:t>
            </w:r>
          </w:p>
        </w:tc>
        <w:tc>
          <w:tcPr>
            <w:tcW w:w="0" w:type="auto"/>
            <w:shd w:val="clear" w:color="auto" w:fill="CCEEFF"/>
            <w:vAlign w:val="bottom"/>
          </w:tcPr>
          <w:p w14:paraId="5556C33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40"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34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3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43"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34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2,973</w:t>
            </w:r>
          </w:p>
        </w:tc>
        <w:tc>
          <w:tcPr>
            <w:tcW w:w="0" w:type="auto"/>
            <w:shd w:val="clear" w:color="auto" w:fill="CCEEFF"/>
            <w:vAlign w:val="bottom"/>
          </w:tcPr>
          <w:p w14:paraId="5556C34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34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1,683</w:t>
            </w:r>
          </w:p>
        </w:tc>
        <w:tc>
          <w:tcPr>
            <w:tcW w:w="0" w:type="auto"/>
            <w:shd w:val="clear" w:color="auto" w:fill="CCEEFF"/>
            <w:vAlign w:val="bottom"/>
          </w:tcPr>
          <w:p w14:paraId="5556C34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34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5556C34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34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shd w:val="clear" w:color="auto" w:fill="CCEEFF"/>
            <w:vAlign w:val="bottom"/>
          </w:tcPr>
          <w:p w14:paraId="5556C34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35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1,658</w:t>
            </w:r>
          </w:p>
        </w:tc>
        <w:tc>
          <w:tcPr>
            <w:tcW w:w="0" w:type="auto"/>
            <w:shd w:val="clear" w:color="auto" w:fill="CCEEFF"/>
            <w:vAlign w:val="bottom"/>
          </w:tcPr>
          <w:p w14:paraId="5556C351" w14:textId="77777777" w:rsidR="00F925DD" w:rsidRDefault="00F925DD">
            <w:pPr>
              <w:textAlignment w:val="bottom"/>
              <w:rPr>
                <w:rFonts w:ascii="Times New Roman" w:hAnsi="Times New Roman"/>
                <w:sz w:val="20"/>
                <w:szCs w:val="20"/>
              </w:rPr>
            </w:pPr>
          </w:p>
        </w:tc>
      </w:tr>
      <w:tr w:rsidR="00F925DD" w14:paraId="5556C373" w14:textId="77777777">
        <w:tc>
          <w:tcPr>
            <w:tcW w:w="0" w:type="auto"/>
            <w:shd w:val="clear" w:color="auto" w:fill="auto"/>
            <w:tcMar>
              <w:top w:w="40" w:type="dxa"/>
              <w:left w:w="40" w:type="dxa"/>
              <w:bottom w:w="40" w:type="dxa"/>
              <w:right w:w="40" w:type="dxa"/>
            </w:tcMar>
            <w:vAlign w:val="bottom"/>
          </w:tcPr>
          <w:p w14:paraId="5556C353"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35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35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53,314</w:t>
            </w:r>
          </w:p>
        </w:tc>
        <w:tc>
          <w:tcPr>
            <w:tcW w:w="0" w:type="auto"/>
            <w:tcBorders>
              <w:top w:val="single" w:sz="8" w:space="0" w:color="000000"/>
              <w:bottom w:val="double" w:sz="6" w:space="0" w:color="000000"/>
            </w:tcBorders>
            <w:shd w:val="clear" w:color="auto" w:fill="auto"/>
            <w:vAlign w:val="bottom"/>
          </w:tcPr>
          <w:p w14:paraId="5556C3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57" w14:textId="77777777" w:rsidR="00F925DD" w:rsidRDefault="00F925DD">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35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35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575</w:t>
            </w:r>
          </w:p>
        </w:tc>
        <w:tc>
          <w:tcPr>
            <w:tcW w:w="0" w:type="auto"/>
            <w:tcBorders>
              <w:top w:val="single" w:sz="8" w:space="0" w:color="000000"/>
              <w:bottom w:val="double" w:sz="6" w:space="0" w:color="000000"/>
            </w:tcBorders>
            <w:shd w:val="clear" w:color="auto" w:fill="auto"/>
            <w:vAlign w:val="bottom"/>
          </w:tcPr>
          <w:p w14:paraId="5556C35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5B" w14:textId="77777777" w:rsidR="00F925DD" w:rsidRDefault="00F925DD">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35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35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74</w:t>
            </w:r>
          </w:p>
        </w:tc>
        <w:tc>
          <w:tcPr>
            <w:tcW w:w="0" w:type="auto"/>
            <w:tcBorders>
              <w:top w:val="single" w:sz="8" w:space="0" w:color="000000"/>
              <w:bottom w:val="double" w:sz="6" w:space="0" w:color="000000"/>
            </w:tcBorders>
            <w:shd w:val="clear" w:color="auto" w:fill="auto"/>
            <w:vAlign w:val="bottom"/>
          </w:tcPr>
          <w:p w14:paraId="5556C35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5F" w14:textId="77777777" w:rsidR="00F925DD" w:rsidRDefault="00F925DD">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36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36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53,815</w:t>
            </w:r>
          </w:p>
        </w:tc>
        <w:tc>
          <w:tcPr>
            <w:tcW w:w="0" w:type="auto"/>
            <w:tcBorders>
              <w:top w:val="single" w:sz="8" w:space="0" w:color="000000"/>
              <w:bottom w:val="double" w:sz="6" w:space="0" w:color="000000"/>
            </w:tcBorders>
            <w:shd w:val="clear" w:color="auto" w:fill="auto"/>
            <w:vAlign w:val="bottom"/>
          </w:tcPr>
          <w:p w14:paraId="5556C36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36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36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45,359</w:t>
            </w:r>
          </w:p>
        </w:tc>
        <w:tc>
          <w:tcPr>
            <w:tcW w:w="0" w:type="auto"/>
            <w:tcBorders>
              <w:top w:val="single" w:sz="8" w:space="0" w:color="000000"/>
              <w:bottom w:val="double" w:sz="6" w:space="0" w:color="000000"/>
            </w:tcBorders>
            <w:shd w:val="clear" w:color="auto" w:fill="auto"/>
            <w:vAlign w:val="bottom"/>
          </w:tcPr>
          <w:p w14:paraId="5556C3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36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36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107</w:t>
            </w:r>
          </w:p>
        </w:tc>
        <w:tc>
          <w:tcPr>
            <w:tcW w:w="0" w:type="auto"/>
            <w:tcBorders>
              <w:top w:val="single" w:sz="8" w:space="0" w:color="000000"/>
              <w:bottom w:val="double" w:sz="6" w:space="0" w:color="000000"/>
            </w:tcBorders>
            <w:shd w:val="clear" w:color="auto" w:fill="auto"/>
            <w:vAlign w:val="bottom"/>
          </w:tcPr>
          <w:p w14:paraId="5556C36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36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36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318</w:t>
            </w:r>
          </w:p>
        </w:tc>
        <w:tc>
          <w:tcPr>
            <w:tcW w:w="0" w:type="auto"/>
            <w:tcBorders>
              <w:top w:val="single" w:sz="8" w:space="0" w:color="000000"/>
              <w:bottom w:val="double" w:sz="6" w:space="0" w:color="000000"/>
            </w:tcBorders>
            <w:shd w:val="clear" w:color="auto" w:fill="auto"/>
            <w:vAlign w:val="bottom"/>
          </w:tcPr>
          <w:p w14:paraId="5556C3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37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37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45,148</w:t>
            </w:r>
          </w:p>
        </w:tc>
        <w:tc>
          <w:tcPr>
            <w:tcW w:w="0" w:type="auto"/>
            <w:tcBorders>
              <w:top w:val="single" w:sz="8" w:space="0" w:color="000000"/>
              <w:bottom w:val="double" w:sz="6" w:space="0" w:color="000000"/>
            </w:tcBorders>
            <w:shd w:val="clear" w:color="auto" w:fill="auto"/>
            <w:vAlign w:val="bottom"/>
          </w:tcPr>
          <w:p w14:paraId="5556C372" w14:textId="77777777" w:rsidR="00F925DD" w:rsidRDefault="00F925DD">
            <w:pPr>
              <w:textAlignment w:val="bottom"/>
              <w:rPr>
                <w:rFonts w:ascii="Times New Roman" w:hAnsi="Times New Roman"/>
                <w:sz w:val="20"/>
                <w:szCs w:val="20"/>
              </w:rPr>
            </w:pPr>
          </w:p>
        </w:tc>
      </w:tr>
      <w:tr w:rsidR="00F925DD" w14:paraId="5556C384" w14:textId="77777777">
        <w:tc>
          <w:tcPr>
            <w:tcW w:w="0" w:type="auto"/>
            <w:shd w:val="clear" w:color="auto" w:fill="CCEEFF"/>
            <w:tcMar>
              <w:top w:w="40" w:type="dxa"/>
              <w:left w:w="40" w:type="dxa"/>
              <w:bottom w:w="40" w:type="dxa"/>
              <w:right w:w="40" w:type="dxa"/>
            </w:tcMar>
            <w:vAlign w:val="bottom"/>
          </w:tcPr>
          <w:p w14:paraId="5556C37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H</w:t>
            </w:r>
            <w:r>
              <w:rPr>
                <w:rFonts w:ascii="Arial" w:eastAsia="宋体" w:hAnsi="Arial" w:cs="Arial"/>
                <w:b/>
                <w:bCs/>
                <w:sz w:val="15"/>
                <w:szCs w:val="15"/>
              </w:rPr>
              <w:t>eld-to-maturity:</w:t>
            </w:r>
          </w:p>
        </w:tc>
        <w:tc>
          <w:tcPr>
            <w:tcW w:w="0" w:type="auto"/>
            <w:gridSpan w:val="3"/>
            <w:shd w:val="clear" w:color="auto" w:fill="CCEEFF"/>
            <w:tcMar>
              <w:top w:w="40" w:type="dxa"/>
              <w:left w:w="40" w:type="dxa"/>
              <w:bottom w:w="40" w:type="dxa"/>
              <w:right w:w="40" w:type="dxa"/>
            </w:tcMar>
            <w:vAlign w:val="bottom"/>
          </w:tcPr>
          <w:p w14:paraId="5556C375"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376"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C377"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378"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C379"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37A"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C37B"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3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3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3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3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3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3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3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3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395" w14:textId="77777777">
        <w:tc>
          <w:tcPr>
            <w:tcW w:w="0" w:type="auto"/>
            <w:shd w:val="clear" w:color="auto" w:fill="auto"/>
            <w:tcMar>
              <w:top w:w="40" w:type="dxa"/>
              <w:left w:w="40" w:type="dxa"/>
              <w:bottom w:w="40" w:type="dxa"/>
              <w:right w:w="40" w:type="dxa"/>
            </w:tcMar>
            <w:vAlign w:val="bottom"/>
          </w:tcPr>
          <w:p w14:paraId="5556C385" w14:textId="77777777" w:rsidR="00F925DD" w:rsidRDefault="00E705D7">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5556C386"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387"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388"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389"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38A"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38B"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C38C"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C3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3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3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3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3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3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3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3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C3B6" w14:textId="77777777">
        <w:tc>
          <w:tcPr>
            <w:tcW w:w="0" w:type="auto"/>
            <w:shd w:val="clear" w:color="auto" w:fill="CCEEFF"/>
            <w:tcMar>
              <w:top w:w="40" w:type="dxa"/>
              <w:left w:w="400" w:type="dxa"/>
              <w:bottom w:w="40" w:type="dxa"/>
              <w:right w:w="40" w:type="dxa"/>
            </w:tcMar>
            <w:vAlign w:val="bottom"/>
          </w:tcPr>
          <w:p w14:paraId="5556C396" w14:textId="77777777" w:rsidR="00F925DD" w:rsidRDefault="00E705D7">
            <w:pPr>
              <w:textAlignment w:val="bottom"/>
              <w:rPr>
                <w:rFonts w:ascii="Times New Roman" w:hAnsi="Times New Roman"/>
                <w:sz w:val="15"/>
                <w:szCs w:val="15"/>
              </w:rPr>
            </w:pPr>
            <w:r>
              <w:rPr>
                <w:rFonts w:ascii="Arial" w:eastAsia="宋体" w:hAnsi="Arial" w:cs="Arial"/>
                <w:sz w:val="15"/>
                <w:szCs w:val="15"/>
              </w:rPr>
              <w:t>Direct obligations</w:t>
            </w:r>
          </w:p>
        </w:tc>
        <w:tc>
          <w:tcPr>
            <w:tcW w:w="0" w:type="auto"/>
            <w:shd w:val="clear" w:color="auto" w:fill="CCEEFF"/>
            <w:tcMar>
              <w:top w:w="40" w:type="dxa"/>
              <w:left w:w="40" w:type="dxa"/>
              <w:bottom w:w="40" w:type="dxa"/>
            </w:tcMar>
            <w:vAlign w:val="bottom"/>
          </w:tcPr>
          <w:p w14:paraId="5556C39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39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10,311</w:t>
            </w:r>
          </w:p>
        </w:tc>
        <w:tc>
          <w:tcPr>
            <w:tcW w:w="0" w:type="auto"/>
            <w:shd w:val="clear" w:color="auto" w:fill="CCEEFF"/>
            <w:vAlign w:val="bottom"/>
          </w:tcPr>
          <w:p w14:paraId="5556C3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9A"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5556C39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39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w:t>
            </w:r>
          </w:p>
        </w:tc>
        <w:tc>
          <w:tcPr>
            <w:tcW w:w="0" w:type="auto"/>
            <w:shd w:val="clear" w:color="auto" w:fill="CCEEFF"/>
            <w:vAlign w:val="bottom"/>
          </w:tcPr>
          <w:p w14:paraId="5556C3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9E"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5556C39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3A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5556C3A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A2"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tcMar>
            <w:vAlign w:val="bottom"/>
          </w:tcPr>
          <w:p w14:paraId="5556C3A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3A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10,332</w:t>
            </w:r>
          </w:p>
        </w:tc>
        <w:tc>
          <w:tcPr>
            <w:tcW w:w="0" w:type="auto"/>
            <w:shd w:val="clear" w:color="auto" w:fill="CCEEFF"/>
            <w:vAlign w:val="bottom"/>
          </w:tcPr>
          <w:p w14:paraId="5556C3A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3A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3A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14,794</w:t>
            </w:r>
          </w:p>
        </w:tc>
        <w:tc>
          <w:tcPr>
            <w:tcW w:w="0" w:type="auto"/>
            <w:shd w:val="clear" w:color="auto" w:fill="CCEEFF"/>
            <w:vAlign w:val="bottom"/>
          </w:tcPr>
          <w:p w14:paraId="5556C3A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3A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3A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C3A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3A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3B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199</w:t>
            </w:r>
          </w:p>
        </w:tc>
        <w:tc>
          <w:tcPr>
            <w:tcW w:w="0" w:type="auto"/>
            <w:shd w:val="clear" w:color="auto" w:fill="CCEEFF"/>
            <w:vAlign w:val="bottom"/>
          </w:tcPr>
          <w:p w14:paraId="5556C3B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3B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3B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14,595</w:t>
            </w:r>
          </w:p>
        </w:tc>
        <w:tc>
          <w:tcPr>
            <w:tcW w:w="0" w:type="auto"/>
            <w:shd w:val="clear" w:color="auto" w:fill="CCEEFF"/>
            <w:vAlign w:val="bottom"/>
          </w:tcPr>
          <w:p w14:paraId="5556C3B5" w14:textId="77777777" w:rsidR="00F925DD" w:rsidRDefault="00F925DD">
            <w:pPr>
              <w:textAlignment w:val="bottom"/>
              <w:rPr>
                <w:rFonts w:ascii="Times New Roman" w:hAnsi="Times New Roman"/>
                <w:sz w:val="20"/>
                <w:szCs w:val="20"/>
              </w:rPr>
            </w:pPr>
          </w:p>
        </w:tc>
      </w:tr>
      <w:tr w:rsidR="00F925DD" w14:paraId="5556C3CF" w14:textId="77777777">
        <w:tc>
          <w:tcPr>
            <w:tcW w:w="0" w:type="auto"/>
            <w:shd w:val="clear" w:color="auto" w:fill="auto"/>
            <w:tcMar>
              <w:top w:w="40" w:type="dxa"/>
              <w:left w:w="400" w:type="dxa"/>
              <w:bottom w:w="40" w:type="dxa"/>
              <w:right w:w="40" w:type="dxa"/>
            </w:tcMar>
            <w:vAlign w:val="bottom"/>
          </w:tcPr>
          <w:p w14:paraId="5556C3B7"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5556C3B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26,297</w:t>
            </w:r>
          </w:p>
        </w:tc>
        <w:tc>
          <w:tcPr>
            <w:tcW w:w="0" w:type="auto"/>
            <w:shd w:val="clear" w:color="auto" w:fill="auto"/>
            <w:vAlign w:val="bottom"/>
          </w:tcPr>
          <w:p w14:paraId="5556C3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BA"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3B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316</w:t>
            </w:r>
          </w:p>
        </w:tc>
        <w:tc>
          <w:tcPr>
            <w:tcW w:w="0" w:type="auto"/>
            <w:shd w:val="clear" w:color="auto" w:fill="auto"/>
            <w:vAlign w:val="bottom"/>
          </w:tcPr>
          <w:p w14:paraId="5556C3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BD"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3B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44</w:t>
            </w:r>
          </w:p>
        </w:tc>
        <w:tc>
          <w:tcPr>
            <w:tcW w:w="0" w:type="auto"/>
            <w:shd w:val="clear" w:color="auto" w:fill="auto"/>
            <w:vAlign w:val="bottom"/>
          </w:tcPr>
          <w:p w14:paraId="5556C3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C0"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3C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26,569</w:t>
            </w:r>
          </w:p>
        </w:tc>
        <w:tc>
          <w:tcPr>
            <w:tcW w:w="0" w:type="auto"/>
            <w:shd w:val="clear" w:color="auto" w:fill="auto"/>
            <w:vAlign w:val="bottom"/>
          </w:tcPr>
          <w:p w14:paraId="5556C3C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3C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21,647</w:t>
            </w:r>
          </w:p>
        </w:tc>
        <w:tc>
          <w:tcPr>
            <w:tcW w:w="0" w:type="auto"/>
            <w:shd w:val="clear" w:color="auto" w:fill="auto"/>
            <w:vAlign w:val="bottom"/>
          </w:tcPr>
          <w:p w14:paraId="5556C3C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3C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w:t>
            </w:r>
          </w:p>
        </w:tc>
        <w:tc>
          <w:tcPr>
            <w:tcW w:w="0" w:type="auto"/>
            <w:shd w:val="clear" w:color="auto" w:fill="auto"/>
            <w:vAlign w:val="bottom"/>
          </w:tcPr>
          <w:p w14:paraId="5556C3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3C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518</w:t>
            </w:r>
          </w:p>
        </w:tc>
        <w:tc>
          <w:tcPr>
            <w:tcW w:w="0" w:type="auto"/>
            <w:shd w:val="clear" w:color="auto" w:fill="auto"/>
            <w:vAlign w:val="bottom"/>
          </w:tcPr>
          <w:p w14:paraId="5556C3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3C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21,153</w:t>
            </w:r>
          </w:p>
        </w:tc>
        <w:tc>
          <w:tcPr>
            <w:tcW w:w="0" w:type="auto"/>
            <w:shd w:val="clear" w:color="auto" w:fill="auto"/>
            <w:vAlign w:val="bottom"/>
          </w:tcPr>
          <w:p w14:paraId="5556C3CE" w14:textId="77777777" w:rsidR="00F925DD" w:rsidRDefault="00F925DD">
            <w:pPr>
              <w:textAlignment w:val="bottom"/>
              <w:rPr>
                <w:rFonts w:ascii="Times New Roman" w:hAnsi="Times New Roman"/>
                <w:sz w:val="20"/>
                <w:szCs w:val="20"/>
              </w:rPr>
            </w:pPr>
          </w:p>
        </w:tc>
      </w:tr>
      <w:tr w:rsidR="00F925DD" w14:paraId="5556C3E8" w14:textId="77777777">
        <w:tc>
          <w:tcPr>
            <w:tcW w:w="0" w:type="auto"/>
            <w:shd w:val="clear" w:color="auto" w:fill="CCEEFF"/>
            <w:tcMar>
              <w:top w:w="40" w:type="dxa"/>
              <w:left w:w="560" w:type="dxa"/>
              <w:bottom w:w="40" w:type="dxa"/>
              <w:right w:w="40" w:type="dxa"/>
            </w:tcMar>
            <w:vAlign w:val="bottom"/>
          </w:tcPr>
          <w:p w14:paraId="5556C3D0"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3D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36,608</w:t>
            </w:r>
          </w:p>
        </w:tc>
        <w:tc>
          <w:tcPr>
            <w:tcW w:w="0" w:type="auto"/>
            <w:tcBorders>
              <w:top w:val="single" w:sz="8" w:space="0" w:color="000000"/>
              <w:bottom w:val="single" w:sz="8" w:space="0" w:color="000000"/>
            </w:tcBorders>
            <w:shd w:val="clear" w:color="auto" w:fill="CCEEFF"/>
            <w:vAlign w:val="bottom"/>
          </w:tcPr>
          <w:p w14:paraId="5556C3D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D3" w14:textId="77777777" w:rsidR="00F925DD" w:rsidRDefault="00F925DD">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3D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340</w:t>
            </w:r>
          </w:p>
        </w:tc>
        <w:tc>
          <w:tcPr>
            <w:tcW w:w="0" w:type="auto"/>
            <w:tcBorders>
              <w:top w:val="single" w:sz="8" w:space="0" w:color="000000"/>
              <w:bottom w:val="single" w:sz="8" w:space="0" w:color="000000"/>
            </w:tcBorders>
            <w:shd w:val="clear" w:color="auto" w:fill="CCEEFF"/>
            <w:vAlign w:val="bottom"/>
          </w:tcPr>
          <w:p w14:paraId="5556C3D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D6" w14:textId="77777777" w:rsidR="00F925DD" w:rsidRDefault="00F925DD">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3D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47</w:t>
            </w:r>
          </w:p>
        </w:tc>
        <w:tc>
          <w:tcPr>
            <w:tcW w:w="0" w:type="auto"/>
            <w:tcBorders>
              <w:top w:val="single" w:sz="8" w:space="0" w:color="000000"/>
              <w:bottom w:val="single" w:sz="8" w:space="0" w:color="000000"/>
            </w:tcBorders>
            <w:shd w:val="clear" w:color="auto" w:fill="CCEEFF"/>
            <w:vAlign w:val="bottom"/>
          </w:tcPr>
          <w:p w14:paraId="5556C3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D9" w14:textId="77777777" w:rsidR="00F925DD" w:rsidRDefault="00F925DD">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3D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36,901</w:t>
            </w:r>
          </w:p>
        </w:tc>
        <w:tc>
          <w:tcPr>
            <w:tcW w:w="0" w:type="auto"/>
            <w:tcBorders>
              <w:top w:val="single" w:sz="8" w:space="0" w:color="000000"/>
              <w:bottom w:val="single" w:sz="8" w:space="0" w:color="000000"/>
            </w:tcBorders>
            <w:shd w:val="clear" w:color="auto" w:fill="CCEEFF"/>
            <w:vAlign w:val="bottom"/>
          </w:tcPr>
          <w:p w14:paraId="5556C3D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3D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36,441</w:t>
            </w:r>
          </w:p>
        </w:tc>
        <w:tc>
          <w:tcPr>
            <w:tcW w:w="0" w:type="auto"/>
            <w:tcBorders>
              <w:top w:val="single" w:sz="8" w:space="0" w:color="000000"/>
              <w:bottom w:val="single" w:sz="8" w:space="0" w:color="000000"/>
            </w:tcBorders>
            <w:shd w:val="clear" w:color="auto" w:fill="CCEEFF"/>
            <w:vAlign w:val="bottom"/>
          </w:tcPr>
          <w:p w14:paraId="5556C3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3E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w:t>
            </w:r>
          </w:p>
        </w:tc>
        <w:tc>
          <w:tcPr>
            <w:tcW w:w="0" w:type="auto"/>
            <w:tcBorders>
              <w:top w:val="single" w:sz="8" w:space="0" w:color="000000"/>
              <w:bottom w:val="single" w:sz="8" w:space="0" w:color="000000"/>
            </w:tcBorders>
            <w:shd w:val="clear" w:color="auto" w:fill="CCEEFF"/>
            <w:vAlign w:val="bottom"/>
          </w:tcPr>
          <w:p w14:paraId="5556C3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3E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717</w:t>
            </w:r>
          </w:p>
        </w:tc>
        <w:tc>
          <w:tcPr>
            <w:tcW w:w="0" w:type="auto"/>
            <w:tcBorders>
              <w:top w:val="single" w:sz="8" w:space="0" w:color="000000"/>
              <w:bottom w:val="single" w:sz="8" w:space="0" w:color="000000"/>
            </w:tcBorders>
            <w:shd w:val="clear" w:color="auto" w:fill="CCEEFF"/>
            <w:vAlign w:val="bottom"/>
          </w:tcPr>
          <w:p w14:paraId="5556C3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3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3E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35,748</w:t>
            </w:r>
          </w:p>
        </w:tc>
        <w:tc>
          <w:tcPr>
            <w:tcW w:w="0" w:type="auto"/>
            <w:tcBorders>
              <w:top w:val="single" w:sz="8" w:space="0" w:color="000000"/>
              <w:bottom w:val="single" w:sz="8" w:space="0" w:color="000000"/>
            </w:tcBorders>
            <w:shd w:val="clear" w:color="auto" w:fill="CCEEFF"/>
            <w:vAlign w:val="bottom"/>
          </w:tcPr>
          <w:p w14:paraId="5556C3E7" w14:textId="77777777" w:rsidR="00F925DD" w:rsidRDefault="00F925DD">
            <w:pPr>
              <w:textAlignment w:val="bottom"/>
              <w:rPr>
                <w:rFonts w:ascii="Times New Roman" w:hAnsi="Times New Roman"/>
                <w:sz w:val="20"/>
                <w:szCs w:val="20"/>
              </w:rPr>
            </w:pPr>
          </w:p>
        </w:tc>
      </w:tr>
      <w:tr w:rsidR="00F925DD" w14:paraId="5556C3FD" w14:textId="77777777">
        <w:tc>
          <w:tcPr>
            <w:tcW w:w="0" w:type="auto"/>
            <w:shd w:val="clear" w:color="auto" w:fill="auto"/>
            <w:tcMar>
              <w:top w:w="40" w:type="dxa"/>
              <w:left w:w="40" w:type="dxa"/>
              <w:bottom w:w="40" w:type="dxa"/>
              <w:right w:w="40" w:type="dxa"/>
            </w:tcMar>
            <w:vAlign w:val="bottom"/>
          </w:tcPr>
          <w:p w14:paraId="5556C3E9"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auto"/>
            <w:tcMar>
              <w:top w:w="40" w:type="dxa"/>
              <w:left w:w="40" w:type="dxa"/>
              <w:bottom w:w="40" w:type="dxa"/>
            </w:tcMar>
            <w:vAlign w:val="bottom"/>
          </w:tcPr>
          <w:p w14:paraId="5556C3EA" w14:textId="77777777" w:rsidR="00F925DD" w:rsidRDefault="00F925DD">
            <w:pPr>
              <w:jc w:val="right"/>
              <w:textAlignment w:val="bottom"/>
              <w:rPr>
                <w:rFonts w:ascii="Times New Roman" w:hAnsi="Times New Roman"/>
                <w:sz w:val="15"/>
                <w:szCs w:val="15"/>
              </w:rPr>
            </w:pPr>
          </w:p>
        </w:tc>
        <w:tc>
          <w:tcPr>
            <w:tcW w:w="0" w:type="auto"/>
            <w:shd w:val="clear" w:color="auto" w:fill="auto"/>
            <w:vAlign w:val="bottom"/>
          </w:tcPr>
          <w:p w14:paraId="5556C3E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EC"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3ED" w14:textId="77777777" w:rsidR="00F925DD" w:rsidRDefault="00F925DD">
            <w:pPr>
              <w:jc w:val="right"/>
              <w:textAlignment w:val="bottom"/>
              <w:rPr>
                <w:rFonts w:ascii="Times New Roman" w:hAnsi="Times New Roman"/>
                <w:sz w:val="15"/>
                <w:szCs w:val="15"/>
              </w:rPr>
            </w:pPr>
          </w:p>
        </w:tc>
        <w:tc>
          <w:tcPr>
            <w:tcW w:w="0" w:type="auto"/>
            <w:shd w:val="clear" w:color="auto" w:fill="auto"/>
            <w:vAlign w:val="bottom"/>
          </w:tcPr>
          <w:p w14:paraId="5556C3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EF"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3F0" w14:textId="77777777" w:rsidR="00F925DD" w:rsidRDefault="00F925DD">
            <w:pPr>
              <w:jc w:val="right"/>
              <w:textAlignment w:val="bottom"/>
              <w:rPr>
                <w:rFonts w:ascii="Times New Roman" w:hAnsi="Times New Roman"/>
                <w:sz w:val="15"/>
                <w:szCs w:val="15"/>
              </w:rPr>
            </w:pPr>
          </w:p>
        </w:tc>
        <w:tc>
          <w:tcPr>
            <w:tcW w:w="0" w:type="auto"/>
            <w:shd w:val="clear" w:color="auto" w:fill="auto"/>
            <w:vAlign w:val="bottom"/>
          </w:tcPr>
          <w:p w14:paraId="5556C3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F2"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3F3" w14:textId="77777777" w:rsidR="00F925DD" w:rsidRDefault="00F925DD">
            <w:pPr>
              <w:jc w:val="right"/>
              <w:textAlignment w:val="bottom"/>
              <w:rPr>
                <w:rFonts w:ascii="Times New Roman" w:hAnsi="Times New Roman"/>
                <w:sz w:val="15"/>
                <w:szCs w:val="15"/>
              </w:rPr>
            </w:pPr>
          </w:p>
        </w:tc>
        <w:tc>
          <w:tcPr>
            <w:tcW w:w="0" w:type="auto"/>
            <w:shd w:val="clear" w:color="auto" w:fill="auto"/>
            <w:vAlign w:val="bottom"/>
          </w:tcPr>
          <w:p w14:paraId="5556C3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3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3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3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3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3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3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3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3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416" w14:textId="77777777">
        <w:tc>
          <w:tcPr>
            <w:tcW w:w="0" w:type="auto"/>
            <w:shd w:val="clear" w:color="auto" w:fill="CCEEFF"/>
            <w:tcMar>
              <w:top w:w="40" w:type="dxa"/>
              <w:left w:w="400" w:type="dxa"/>
              <w:bottom w:w="40" w:type="dxa"/>
              <w:right w:w="40" w:type="dxa"/>
            </w:tcMar>
            <w:vAlign w:val="bottom"/>
          </w:tcPr>
          <w:p w14:paraId="5556C3FE" w14:textId="77777777" w:rsidR="00F925DD" w:rsidRDefault="00E705D7">
            <w:pPr>
              <w:textAlignment w:val="bottom"/>
              <w:rPr>
                <w:rFonts w:ascii="Times New Roman" w:hAnsi="Times New Roman"/>
                <w:sz w:val="15"/>
                <w:szCs w:val="15"/>
              </w:rPr>
            </w:pPr>
            <w:r>
              <w:rPr>
                <w:rFonts w:ascii="Arial" w:eastAsia="宋体" w:hAnsi="Arial" w:cs="Arial"/>
                <w:sz w:val="15"/>
                <w:szCs w:val="15"/>
              </w:rPr>
              <w:t>Student loans(1)</w:t>
            </w:r>
          </w:p>
        </w:tc>
        <w:tc>
          <w:tcPr>
            <w:tcW w:w="0" w:type="auto"/>
            <w:gridSpan w:val="2"/>
            <w:shd w:val="clear" w:color="auto" w:fill="CCEEFF"/>
            <w:tcMar>
              <w:top w:w="40" w:type="dxa"/>
              <w:left w:w="40" w:type="dxa"/>
              <w:bottom w:w="40" w:type="dxa"/>
            </w:tcMar>
            <w:vAlign w:val="bottom"/>
          </w:tcPr>
          <w:p w14:paraId="5556C3F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3,783</w:t>
            </w:r>
          </w:p>
        </w:tc>
        <w:tc>
          <w:tcPr>
            <w:tcW w:w="0" w:type="auto"/>
            <w:shd w:val="clear" w:color="auto" w:fill="CCEEFF"/>
            <w:vAlign w:val="bottom"/>
          </w:tcPr>
          <w:p w14:paraId="5556C4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01"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40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shd w:val="clear" w:color="auto" w:fill="CCEEFF"/>
            <w:vAlign w:val="bottom"/>
          </w:tcPr>
          <w:p w14:paraId="5556C40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04"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40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w:t>
            </w:r>
          </w:p>
        </w:tc>
        <w:tc>
          <w:tcPr>
            <w:tcW w:w="0" w:type="auto"/>
            <w:shd w:val="clear" w:color="auto" w:fill="CCEEFF"/>
            <w:vAlign w:val="bottom"/>
          </w:tcPr>
          <w:p w14:paraId="5556C40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07"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40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3,752</w:t>
            </w:r>
          </w:p>
        </w:tc>
        <w:tc>
          <w:tcPr>
            <w:tcW w:w="0" w:type="auto"/>
            <w:shd w:val="clear" w:color="auto" w:fill="CCEEFF"/>
            <w:vAlign w:val="bottom"/>
          </w:tcPr>
          <w:p w14:paraId="5556C40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40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3,191</w:t>
            </w:r>
          </w:p>
        </w:tc>
        <w:tc>
          <w:tcPr>
            <w:tcW w:w="0" w:type="auto"/>
            <w:shd w:val="clear" w:color="auto" w:fill="CCEEFF"/>
            <w:vAlign w:val="bottom"/>
          </w:tcPr>
          <w:p w14:paraId="5556C40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40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w:t>
            </w:r>
          </w:p>
        </w:tc>
        <w:tc>
          <w:tcPr>
            <w:tcW w:w="0" w:type="auto"/>
            <w:shd w:val="clear" w:color="auto" w:fill="CCEEFF"/>
            <w:vAlign w:val="bottom"/>
          </w:tcPr>
          <w:p w14:paraId="5556C40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41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CCEEFF"/>
            <w:vAlign w:val="bottom"/>
          </w:tcPr>
          <w:p w14:paraId="5556C4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41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3,216</w:t>
            </w:r>
          </w:p>
        </w:tc>
        <w:tc>
          <w:tcPr>
            <w:tcW w:w="0" w:type="auto"/>
            <w:shd w:val="clear" w:color="auto" w:fill="CCEEFF"/>
            <w:vAlign w:val="bottom"/>
          </w:tcPr>
          <w:p w14:paraId="5556C415" w14:textId="77777777" w:rsidR="00F925DD" w:rsidRDefault="00F925DD">
            <w:pPr>
              <w:textAlignment w:val="bottom"/>
              <w:rPr>
                <w:rFonts w:ascii="Times New Roman" w:hAnsi="Times New Roman"/>
                <w:sz w:val="20"/>
                <w:szCs w:val="20"/>
              </w:rPr>
            </w:pPr>
          </w:p>
        </w:tc>
      </w:tr>
      <w:tr w:rsidR="00F925DD" w14:paraId="5556C42F" w14:textId="77777777">
        <w:tc>
          <w:tcPr>
            <w:tcW w:w="0" w:type="auto"/>
            <w:shd w:val="clear" w:color="auto" w:fill="auto"/>
            <w:tcMar>
              <w:top w:w="40" w:type="dxa"/>
              <w:left w:w="400" w:type="dxa"/>
              <w:bottom w:w="40" w:type="dxa"/>
              <w:right w:w="40" w:type="dxa"/>
            </w:tcMar>
            <w:vAlign w:val="bottom"/>
          </w:tcPr>
          <w:p w14:paraId="5556C417" w14:textId="77777777" w:rsidR="00F925DD" w:rsidRDefault="00E705D7">
            <w:pPr>
              <w:textAlignment w:val="bottom"/>
              <w:rPr>
                <w:rFonts w:ascii="Times New Roman" w:hAnsi="Times New Roman"/>
                <w:sz w:val="15"/>
                <w:szCs w:val="15"/>
              </w:rPr>
            </w:pPr>
            <w:r>
              <w:rPr>
                <w:rFonts w:ascii="Arial" w:eastAsia="宋体" w:hAnsi="Arial" w:cs="Arial"/>
                <w:sz w:val="15"/>
                <w:szCs w:val="15"/>
              </w:rPr>
              <w:t>Credit cards</w:t>
            </w:r>
          </w:p>
        </w:tc>
        <w:tc>
          <w:tcPr>
            <w:tcW w:w="0" w:type="auto"/>
            <w:gridSpan w:val="2"/>
            <w:shd w:val="clear" w:color="auto" w:fill="auto"/>
            <w:tcMar>
              <w:top w:w="40" w:type="dxa"/>
              <w:left w:w="40" w:type="dxa"/>
              <w:bottom w:w="40" w:type="dxa"/>
            </w:tcMar>
            <w:vAlign w:val="bottom"/>
          </w:tcPr>
          <w:p w14:paraId="5556C41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41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1A"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41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41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1D"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41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41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20"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42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4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2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193</w:t>
            </w:r>
          </w:p>
        </w:tc>
        <w:tc>
          <w:tcPr>
            <w:tcW w:w="0" w:type="auto"/>
            <w:shd w:val="clear" w:color="auto" w:fill="auto"/>
            <w:vAlign w:val="bottom"/>
          </w:tcPr>
          <w:p w14:paraId="5556C42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2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42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2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42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2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193</w:t>
            </w:r>
          </w:p>
        </w:tc>
        <w:tc>
          <w:tcPr>
            <w:tcW w:w="0" w:type="auto"/>
            <w:shd w:val="clear" w:color="auto" w:fill="auto"/>
            <w:vAlign w:val="bottom"/>
          </w:tcPr>
          <w:p w14:paraId="5556C42E" w14:textId="77777777" w:rsidR="00F925DD" w:rsidRDefault="00F925DD">
            <w:pPr>
              <w:textAlignment w:val="bottom"/>
              <w:rPr>
                <w:rFonts w:ascii="Times New Roman" w:hAnsi="Times New Roman"/>
                <w:sz w:val="20"/>
                <w:szCs w:val="20"/>
              </w:rPr>
            </w:pPr>
          </w:p>
        </w:tc>
      </w:tr>
      <w:tr w:rsidR="00F925DD" w14:paraId="5556C448" w14:textId="77777777">
        <w:tc>
          <w:tcPr>
            <w:tcW w:w="0" w:type="auto"/>
            <w:shd w:val="clear" w:color="auto" w:fill="CCEEFF"/>
            <w:tcMar>
              <w:top w:w="40" w:type="dxa"/>
              <w:left w:w="400" w:type="dxa"/>
              <w:bottom w:w="40" w:type="dxa"/>
              <w:right w:w="40" w:type="dxa"/>
            </w:tcMar>
            <w:vAlign w:val="bottom"/>
          </w:tcPr>
          <w:p w14:paraId="5556C430"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3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C43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33"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43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C4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36"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43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C4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39"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43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C4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3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bottom w:val="single" w:sz="8" w:space="0" w:color="000000"/>
            </w:tcBorders>
            <w:shd w:val="clear" w:color="auto" w:fill="CCEEFF"/>
            <w:vAlign w:val="bottom"/>
          </w:tcPr>
          <w:p w14:paraId="5556C4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4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C44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4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C4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4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bottom w:val="single" w:sz="8" w:space="0" w:color="000000"/>
            </w:tcBorders>
            <w:shd w:val="clear" w:color="auto" w:fill="CCEEFF"/>
            <w:vAlign w:val="bottom"/>
          </w:tcPr>
          <w:p w14:paraId="5556C447" w14:textId="77777777" w:rsidR="00F925DD" w:rsidRDefault="00F925DD">
            <w:pPr>
              <w:textAlignment w:val="bottom"/>
              <w:rPr>
                <w:rFonts w:ascii="Times New Roman" w:hAnsi="Times New Roman"/>
                <w:sz w:val="20"/>
                <w:szCs w:val="20"/>
              </w:rPr>
            </w:pPr>
          </w:p>
        </w:tc>
      </w:tr>
      <w:tr w:rsidR="00F925DD" w14:paraId="5556C461" w14:textId="77777777">
        <w:tc>
          <w:tcPr>
            <w:tcW w:w="0" w:type="auto"/>
            <w:shd w:val="clear" w:color="auto" w:fill="auto"/>
            <w:tcMar>
              <w:top w:w="40" w:type="dxa"/>
              <w:left w:w="720" w:type="dxa"/>
              <w:bottom w:w="40" w:type="dxa"/>
              <w:right w:w="40" w:type="dxa"/>
            </w:tcMar>
            <w:vAlign w:val="bottom"/>
          </w:tcPr>
          <w:p w14:paraId="5556C449"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C44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3,783</w:t>
            </w:r>
          </w:p>
        </w:tc>
        <w:tc>
          <w:tcPr>
            <w:tcW w:w="0" w:type="auto"/>
            <w:tcBorders>
              <w:bottom w:val="single" w:sz="8" w:space="0" w:color="000000"/>
            </w:tcBorders>
            <w:shd w:val="clear" w:color="auto" w:fill="auto"/>
            <w:vAlign w:val="bottom"/>
          </w:tcPr>
          <w:p w14:paraId="5556C4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4C"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44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tcBorders>
              <w:bottom w:val="single" w:sz="8" w:space="0" w:color="000000"/>
            </w:tcBorders>
            <w:shd w:val="clear" w:color="auto" w:fill="auto"/>
            <w:vAlign w:val="bottom"/>
          </w:tcPr>
          <w:p w14:paraId="5556C4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4F"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45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w:t>
            </w:r>
          </w:p>
        </w:tc>
        <w:tc>
          <w:tcPr>
            <w:tcW w:w="0" w:type="auto"/>
            <w:tcBorders>
              <w:bottom w:val="single" w:sz="8" w:space="0" w:color="000000"/>
            </w:tcBorders>
            <w:shd w:val="clear" w:color="auto" w:fill="auto"/>
            <w:vAlign w:val="bottom"/>
          </w:tcPr>
          <w:p w14:paraId="5556C4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52"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45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3,752</w:t>
            </w:r>
          </w:p>
        </w:tc>
        <w:tc>
          <w:tcPr>
            <w:tcW w:w="0" w:type="auto"/>
            <w:tcBorders>
              <w:bottom w:val="single" w:sz="8" w:space="0" w:color="000000"/>
            </w:tcBorders>
            <w:shd w:val="clear" w:color="auto" w:fill="auto"/>
            <w:vAlign w:val="bottom"/>
          </w:tcPr>
          <w:p w14:paraId="5556C45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45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3,385</w:t>
            </w:r>
          </w:p>
        </w:tc>
        <w:tc>
          <w:tcPr>
            <w:tcW w:w="0" w:type="auto"/>
            <w:tcBorders>
              <w:bottom w:val="single" w:sz="8" w:space="0" w:color="000000"/>
            </w:tcBorders>
            <w:shd w:val="clear" w:color="auto" w:fill="auto"/>
            <w:vAlign w:val="bottom"/>
          </w:tcPr>
          <w:p w14:paraId="5556C45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45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w:t>
            </w:r>
          </w:p>
        </w:tc>
        <w:tc>
          <w:tcPr>
            <w:tcW w:w="0" w:type="auto"/>
            <w:tcBorders>
              <w:bottom w:val="single" w:sz="8" w:space="0" w:color="000000"/>
            </w:tcBorders>
            <w:shd w:val="clear" w:color="auto" w:fill="auto"/>
            <w:vAlign w:val="bottom"/>
          </w:tcPr>
          <w:p w14:paraId="5556C45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45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tcBorders>
              <w:bottom w:val="single" w:sz="8" w:space="0" w:color="000000"/>
            </w:tcBorders>
            <w:shd w:val="clear" w:color="auto" w:fill="auto"/>
            <w:vAlign w:val="bottom"/>
          </w:tcPr>
          <w:p w14:paraId="5556C45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45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3,410</w:t>
            </w:r>
          </w:p>
        </w:tc>
        <w:tc>
          <w:tcPr>
            <w:tcW w:w="0" w:type="auto"/>
            <w:tcBorders>
              <w:bottom w:val="single" w:sz="8" w:space="0" w:color="000000"/>
            </w:tcBorders>
            <w:shd w:val="clear" w:color="auto" w:fill="auto"/>
            <w:vAlign w:val="bottom"/>
          </w:tcPr>
          <w:p w14:paraId="5556C460" w14:textId="77777777" w:rsidR="00F925DD" w:rsidRDefault="00F925DD">
            <w:pPr>
              <w:textAlignment w:val="bottom"/>
              <w:rPr>
                <w:rFonts w:ascii="Times New Roman" w:hAnsi="Times New Roman"/>
                <w:sz w:val="20"/>
                <w:szCs w:val="20"/>
              </w:rPr>
            </w:pPr>
          </w:p>
        </w:tc>
      </w:tr>
      <w:tr w:rsidR="00F925DD" w14:paraId="5556C472" w14:textId="77777777">
        <w:tc>
          <w:tcPr>
            <w:tcW w:w="0" w:type="auto"/>
            <w:shd w:val="clear" w:color="auto" w:fill="CCEEFF"/>
            <w:tcMar>
              <w:top w:w="40" w:type="dxa"/>
              <w:left w:w="40" w:type="dxa"/>
              <w:bottom w:w="40" w:type="dxa"/>
              <w:right w:w="40" w:type="dxa"/>
            </w:tcMar>
            <w:vAlign w:val="bottom"/>
          </w:tcPr>
          <w:p w14:paraId="5556C462"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CCEEFF"/>
            <w:tcMar>
              <w:top w:w="40" w:type="dxa"/>
              <w:left w:w="40" w:type="dxa"/>
              <w:bottom w:w="40" w:type="dxa"/>
              <w:right w:w="40" w:type="dxa"/>
            </w:tcMar>
            <w:vAlign w:val="bottom"/>
          </w:tcPr>
          <w:p w14:paraId="5556C463"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464"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C465"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466"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C467"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468" w14:textId="77777777" w:rsidR="00F925DD" w:rsidRDefault="00F925DD">
            <w:pPr>
              <w:textAlignment w:val="bottom"/>
              <w:rPr>
                <w:rFonts w:ascii="Times New Roman" w:hAnsi="Times New Roman"/>
                <w:sz w:val="15"/>
                <w:szCs w:val="15"/>
              </w:rPr>
            </w:pPr>
          </w:p>
        </w:tc>
        <w:tc>
          <w:tcPr>
            <w:tcW w:w="0" w:type="auto"/>
            <w:gridSpan w:val="3"/>
            <w:shd w:val="clear" w:color="auto" w:fill="CCEEFF"/>
            <w:tcMar>
              <w:top w:w="40" w:type="dxa"/>
              <w:left w:w="40" w:type="dxa"/>
              <w:bottom w:w="40" w:type="dxa"/>
              <w:right w:w="40" w:type="dxa"/>
            </w:tcMar>
            <w:vAlign w:val="bottom"/>
          </w:tcPr>
          <w:p w14:paraId="5556C469" w14:textId="77777777" w:rsidR="00F925DD" w:rsidRDefault="00F925DD">
            <w:pPr>
              <w:textAlignment w:val="bottom"/>
              <w:rPr>
                <w:rFonts w:ascii="Times New Roman" w:hAnsi="Times New Roman"/>
                <w:sz w:val="15"/>
                <w:szCs w:val="15"/>
              </w:rPr>
            </w:pPr>
          </w:p>
        </w:tc>
        <w:tc>
          <w:tcPr>
            <w:tcW w:w="0" w:type="auto"/>
            <w:shd w:val="clear" w:color="auto" w:fill="CCEEFF"/>
            <w:tcMar>
              <w:top w:w="40" w:type="dxa"/>
              <w:left w:w="40" w:type="dxa"/>
              <w:bottom w:w="40" w:type="dxa"/>
              <w:right w:w="40" w:type="dxa"/>
            </w:tcMar>
            <w:vAlign w:val="bottom"/>
          </w:tcPr>
          <w:p w14:paraId="5556C4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4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4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4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4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4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4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4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48B" w14:textId="77777777">
        <w:tc>
          <w:tcPr>
            <w:tcW w:w="0" w:type="auto"/>
            <w:shd w:val="clear" w:color="auto" w:fill="auto"/>
            <w:tcMar>
              <w:top w:w="40" w:type="dxa"/>
              <w:left w:w="400" w:type="dxa"/>
              <w:bottom w:w="40" w:type="dxa"/>
              <w:right w:w="40" w:type="dxa"/>
            </w:tcMar>
            <w:vAlign w:val="bottom"/>
          </w:tcPr>
          <w:p w14:paraId="5556C473"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5556C47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366</w:t>
            </w:r>
          </w:p>
        </w:tc>
        <w:tc>
          <w:tcPr>
            <w:tcW w:w="0" w:type="auto"/>
            <w:shd w:val="clear" w:color="auto" w:fill="auto"/>
            <w:vAlign w:val="bottom"/>
          </w:tcPr>
          <w:p w14:paraId="5556C4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76"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47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82</w:t>
            </w:r>
          </w:p>
        </w:tc>
        <w:tc>
          <w:tcPr>
            <w:tcW w:w="0" w:type="auto"/>
            <w:shd w:val="clear" w:color="auto" w:fill="auto"/>
            <w:vAlign w:val="bottom"/>
          </w:tcPr>
          <w:p w14:paraId="5556C47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79"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47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auto"/>
            <w:vAlign w:val="bottom"/>
          </w:tcPr>
          <w:p w14:paraId="5556C47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7C"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47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442</w:t>
            </w:r>
          </w:p>
        </w:tc>
        <w:tc>
          <w:tcPr>
            <w:tcW w:w="0" w:type="auto"/>
            <w:shd w:val="clear" w:color="auto" w:fill="auto"/>
            <w:vAlign w:val="bottom"/>
          </w:tcPr>
          <w:p w14:paraId="5556C47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8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638</w:t>
            </w:r>
          </w:p>
        </w:tc>
        <w:tc>
          <w:tcPr>
            <w:tcW w:w="0" w:type="auto"/>
            <w:shd w:val="clear" w:color="auto" w:fill="auto"/>
            <w:vAlign w:val="bottom"/>
          </w:tcPr>
          <w:p w14:paraId="5556C48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8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77</w:t>
            </w:r>
          </w:p>
        </w:tc>
        <w:tc>
          <w:tcPr>
            <w:tcW w:w="0" w:type="auto"/>
            <w:shd w:val="clear" w:color="auto" w:fill="auto"/>
            <w:vAlign w:val="bottom"/>
          </w:tcPr>
          <w:p w14:paraId="5556C48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8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shd w:val="clear" w:color="auto" w:fill="auto"/>
            <w:vAlign w:val="bottom"/>
          </w:tcPr>
          <w:p w14:paraId="5556C48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8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706</w:t>
            </w:r>
          </w:p>
        </w:tc>
        <w:tc>
          <w:tcPr>
            <w:tcW w:w="0" w:type="auto"/>
            <w:shd w:val="clear" w:color="auto" w:fill="auto"/>
            <w:vAlign w:val="bottom"/>
          </w:tcPr>
          <w:p w14:paraId="5556C48A" w14:textId="77777777" w:rsidR="00F925DD" w:rsidRDefault="00F925DD">
            <w:pPr>
              <w:textAlignment w:val="bottom"/>
              <w:rPr>
                <w:rFonts w:ascii="Times New Roman" w:hAnsi="Times New Roman"/>
                <w:sz w:val="20"/>
                <w:szCs w:val="20"/>
              </w:rPr>
            </w:pPr>
          </w:p>
        </w:tc>
      </w:tr>
      <w:tr w:rsidR="00F925DD" w14:paraId="5556C4A4" w14:textId="77777777">
        <w:tc>
          <w:tcPr>
            <w:tcW w:w="0" w:type="auto"/>
            <w:shd w:val="clear" w:color="auto" w:fill="CCEEFF"/>
            <w:tcMar>
              <w:top w:w="40" w:type="dxa"/>
              <w:left w:w="400" w:type="dxa"/>
              <w:bottom w:w="40" w:type="dxa"/>
              <w:right w:w="40" w:type="dxa"/>
            </w:tcMar>
            <w:vAlign w:val="bottom"/>
          </w:tcPr>
          <w:p w14:paraId="5556C48C"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CCEEFF"/>
            <w:tcMar>
              <w:top w:w="40" w:type="dxa"/>
              <w:left w:w="40" w:type="dxa"/>
              <w:bottom w:w="40" w:type="dxa"/>
            </w:tcMar>
            <w:vAlign w:val="bottom"/>
          </w:tcPr>
          <w:p w14:paraId="5556C48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4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8F"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49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49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92"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49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49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95" w14:textId="77777777" w:rsidR="00F925DD" w:rsidRDefault="00F925DD">
            <w:pPr>
              <w:jc w:val="right"/>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49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49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49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223</w:t>
            </w:r>
          </w:p>
        </w:tc>
        <w:tc>
          <w:tcPr>
            <w:tcW w:w="0" w:type="auto"/>
            <w:shd w:val="clear" w:color="auto" w:fill="CCEEFF"/>
            <w:vAlign w:val="bottom"/>
          </w:tcPr>
          <w:p w14:paraId="5556C49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49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C4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49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C4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4A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223</w:t>
            </w:r>
          </w:p>
        </w:tc>
        <w:tc>
          <w:tcPr>
            <w:tcW w:w="0" w:type="auto"/>
            <w:shd w:val="clear" w:color="auto" w:fill="CCEEFF"/>
            <w:vAlign w:val="bottom"/>
          </w:tcPr>
          <w:p w14:paraId="5556C4A3" w14:textId="77777777" w:rsidR="00F925DD" w:rsidRDefault="00F925DD">
            <w:pPr>
              <w:textAlignment w:val="bottom"/>
              <w:rPr>
                <w:rFonts w:ascii="Times New Roman" w:hAnsi="Times New Roman"/>
                <w:sz w:val="20"/>
                <w:szCs w:val="20"/>
              </w:rPr>
            </w:pPr>
          </w:p>
        </w:tc>
      </w:tr>
      <w:tr w:rsidR="00F925DD" w14:paraId="5556C4BD" w14:textId="77777777">
        <w:tc>
          <w:tcPr>
            <w:tcW w:w="0" w:type="auto"/>
            <w:shd w:val="clear" w:color="auto" w:fill="auto"/>
            <w:tcMar>
              <w:top w:w="40" w:type="dxa"/>
              <w:left w:w="400" w:type="dxa"/>
              <w:bottom w:w="40" w:type="dxa"/>
              <w:right w:w="40" w:type="dxa"/>
            </w:tcMar>
            <w:vAlign w:val="bottom"/>
          </w:tcPr>
          <w:p w14:paraId="5556C4A5" w14:textId="77777777" w:rsidR="00F925DD" w:rsidRDefault="00E705D7">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shd w:val="clear" w:color="auto" w:fill="auto"/>
            <w:tcMar>
              <w:top w:w="40" w:type="dxa"/>
              <w:left w:w="40" w:type="dxa"/>
              <w:bottom w:w="40" w:type="dxa"/>
            </w:tcMar>
            <w:vAlign w:val="bottom"/>
          </w:tcPr>
          <w:p w14:paraId="5556C4A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328</w:t>
            </w:r>
          </w:p>
        </w:tc>
        <w:tc>
          <w:tcPr>
            <w:tcW w:w="0" w:type="auto"/>
            <w:shd w:val="clear" w:color="auto" w:fill="auto"/>
            <w:vAlign w:val="bottom"/>
          </w:tcPr>
          <w:p w14:paraId="5556C4A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A8"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4A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4A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AB" w14:textId="77777777" w:rsidR="00F925DD" w:rsidRDefault="00F925DD">
            <w:pPr>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4A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4A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AE" w14:textId="77777777" w:rsidR="00F925DD" w:rsidRDefault="00F925DD">
            <w:pPr>
              <w:jc w:val="right"/>
              <w:textAlignment w:val="bottom"/>
              <w:rPr>
                <w:rFonts w:ascii="Times New Roman" w:hAnsi="Times New Roman"/>
                <w:sz w:val="15"/>
                <w:szCs w:val="15"/>
              </w:rPr>
            </w:pPr>
          </w:p>
        </w:tc>
        <w:tc>
          <w:tcPr>
            <w:tcW w:w="0" w:type="auto"/>
            <w:gridSpan w:val="2"/>
            <w:shd w:val="clear" w:color="auto" w:fill="auto"/>
            <w:tcMar>
              <w:top w:w="40" w:type="dxa"/>
              <w:left w:w="40" w:type="dxa"/>
              <w:bottom w:w="40" w:type="dxa"/>
            </w:tcMar>
            <w:vAlign w:val="bottom"/>
          </w:tcPr>
          <w:p w14:paraId="5556C4A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328</w:t>
            </w:r>
          </w:p>
        </w:tc>
        <w:tc>
          <w:tcPr>
            <w:tcW w:w="0" w:type="auto"/>
            <w:shd w:val="clear" w:color="auto" w:fill="auto"/>
            <w:vAlign w:val="bottom"/>
          </w:tcPr>
          <w:p w14:paraId="5556C4B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B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358</w:t>
            </w:r>
          </w:p>
        </w:tc>
        <w:tc>
          <w:tcPr>
            <w:tcW w:w="0" w:type="auto"/>
            <w:shd w:val="clear" w:color="auto" w:fill="auto"/>
            <w:vAlign w:val="bottom"/>
          </w:tcPr>
          <w:p w14:paraId="5556C4B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B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5556C4B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B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4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4B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359</w:t>
            </w:r>
          </w:p>
        </w:tc>
        <w:tc>
          <w:tcPr>
            <w:tcW w:w="0" w:type="auto"/>
            <w:shd w:val="clear" w:color="auto" w:fill="auto"/>
            <w:vAlign w:val="bottom"/>
          </w:tcPr>
          <w:p w14:paraId="5556C4BC" w14:textId="77777777" w:rsidR="00F925DD" w:rsidRDefault="00F925DD">
            <w:pPr>
              <w:textAlignment w:val="bottom"/>
              <w:rPr>
                <w:rFonts w:ascii="Times New Roman" w:hAnsi="Times New Roman"/>
                <w:sz w:val="20"/>
                <w:szCs w:val="20"/>
              </w:rPr>
            </w:pPr>
          </w:p>
        </w:tc>
      </w:tr>
      <w:tr w:rsidR="00F925DD" w14:paraId="5556C4D6" w14:textId="77777777">
        <w:tc>
          <w:tcPr>
            <w:tcW w:w="0" w:type="auto"/>
            <w:shd w:val="clear" w:color="auto" w:fill="CCEEFF"/>
            <w:tcMar>
              <w:top w:w="40" w:type="dxa"/>
              <w:left w:w="400" w:type="dxa"/>
              <w:bottom w:w="40" w:type="dxa"/>
              <w:right w:w="40" w:type="dxa"/>
            </w:tcMar>
            <w:vAlign w:val="bottom"/>
          </w:tcPr>
          <w:p w14:paraId="5556C4BE"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B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C4C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C1"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4C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C4C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C4" w14:textId="77777777" w:rsidR="00F925DD" w:rsidRDefault="00F925DD">
            <w:pPr>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4C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C4C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C7"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4C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C4C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C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46</w:t>
            </w:r>
          </w:p>
        </w:tc>
        <w:tc>
          <w:tcPr>
            <w:tcW w:w="0" w:type="auto"/>
            <w:tcBorders>
              <w:bottom w:val="single" w:sz="8" w:space="0" w:color="000000"/>
            </w:tcBorders>
            <w:shd w:val="clear" w:color="auto" w:fill="CCEEFF"/>
            <w:vAlign w:val="bottom"/>
          </w:tcPr>
          <w:p w14:paraId="5556C4C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C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C4C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D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C4D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D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46</w:t>
            </w:r>
          </w:p>
        </w:tc>
        <w:tc>
          <w:tcPr>
            <w:tcW w:w="0" w:type="auto"/>
            <w:tcBorders>
              <w:bottom w:val="single" w:sz="8" w:space="0" w:color="000000"/>
            </w:tcBorders>
            <w:shd w:val="clear" w:color="auto" w:fill="CCEEFF"/>
            <w:vAlign w:val="bottom"/>
          </w:tcPr>
          <w:p w14:paraId="5556C4D5" w14:textId="77777777" w:rsidR="00F925DD" w:rsidRDefault="00F925DD">
            <w:pPr>
              <w:textAlignment w:val="bottom"/>
              <w:rPr>
                <w:rFonts w:ascii="Times New Roman" w:hAnsi="Times New Roman"/>
                <w:sz w:val="20"/>
                <w:szCs w:val="20"/>
              </w:rPr>
            </w:pPr>
          </w:p>
        </w:tc>
      </w:tr>
      <w:tr w:rsidR="00F925DD" w14:paraId="5556C4EF" w14:textId="77777777">
        <w:tc>
          <w:tcPr>
            <w:tcW w:w="0" w:type="auto"/>
            <w:shd w:val="clear" w:color="auto" w:fill="auto"/>
            <w:tcMar>
              <w:top w:w="40" w:type="dxa"/>
              <w:left w:w="560" w:type="dxa"/>
              <w:bottom w:w="40" w:type="dxa"/>
              <w:right w:w="40" w:type="dxa"/>
            </w:tcMar>
            <w:vAlign w:val="bottom"/>
          </w:tcPr>
          <w:p w14:paraId="5556C4D7"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C4D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694</w:t>
            </w:r>
          </w:p>
        </w:tc>
        <w:tc>
          <w:tcPr>
            <w:tcW w:w="0" w:type="auto"/>
            <w:tcBorders>
              <w:bottom w:val="single" w:sz="8" w:space="0" w:color="000000"/>
            </w:tcBorders>
            <w:shd w:val="clear" w:color="auto" w:fill="auto"/>
            <w:vAlign w:val="bottom"/>
          </w:tcPr>
          <w:p w14:paraId="5556C4D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DA"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4D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82</w:t>
            </w:r>
          </w:p>
        </w:tc>
        <w:tc>
          <w:tcPr>
            <w:tcW w:w="0" w:type="auto"/>
            <w:tcBorders>
              <w:bottom w:val="single" w:sz="8" w:space="0" w:color="000000"/>
            </w:tcBorders>
            <w:shd w:val="clear" w:color="auto" w:fill="auto"/>
            <w:vAlign w:val="bottom"/>
          </w:tcPr>
          <w:p w14:paraId="5556C4D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DD"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4D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tcBorders>
              <w:bottom w:val="single" w:sz="8" w:space="0" w:color="000000"/>
            </w:tcBorders>
            <w:shd w:val="clear" w:color="auto" w:fill="auto"/>
            <w:vAlign w:val="bottom"/>
          </w:tcPr>
          <w:p w14:paraId="5556C4D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E0"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4E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770</w:t>
            </w:r>
          </w:p>
        </w:tc>
        <w:tc>
          <w:tcPr>
            <w:tcW w:w="0" w:type="auto"/>
            <w:tcBorders>
              <w:bottom w:val="single" w:sz="8" w:space="0" w:color="000000"/>
            </w:tcBorders>
            <w:shd w:val="clear" w:color="auto" w:fill="auto"/>
            <w:vAlign w:val="bottom"/>
          </w:tcPr>
          <w:p w14:paraId="5556C4E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4E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1,265</w:t>
            </w:r>
          </w:p>
        </w:tc>
        <w:tc>
          <w:tcPr>
            <w:tcW w:w="0" w:type="auto"/>
            <w:tcBorders>
              <w:bottom w:val="single" w:sz="8" w:space="0" w:color="000000"/>
            </w:tcBorders>
            <w:shd w:val="clear" w:color="auto" w:fill="auto"/>
            <w:vAlign w:val="bottom"/>
          </w:tcPr>
          <w:p w14:paraId="5556C4E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4E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78</w:t>
            </w:r>
          </w:p>
        </w:tc>
        <w:tc>
          <w:tcPr>
            <w:tcW w:w="0" w:type="auto"/>
            <w:tcBorders>
              <w:bottom w:val="single" w:sz="8" w:space="0" w:color="000000"/>
            </w:tcBorders>
            <w:shd w:val="clear" w:color="auto" w:fill="auto"/>
            <w:vAlign w:val="bottom"/>
          </w:tcPr>
          <w:p w14:paraId="5556C4E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4E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tcBorders>
              <w:bottom w:val="single" w:sz="8" w:space="0" w:color="000000"/>
            </w:tcBorders>
            <w:shd w:val="clear" w:color="auto" w:fill="auto"/>
            <w:vAlign w:val="bottom"/>
          </w:tcPr>
          <w:p w14:paraId="5556C4E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4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4E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1,334</w:t>
            </w:r>
          </w:p>
        </w:tc>
        <w:tc>
          <w:tcPr>
            <w:tcW w:w="0" w:type="auto"/>
            <w:tcBorders>
              <w:bottom w:val="single" w:sz="8" w:space="0" w:color="000000"/>
            </w:tcBorders>
            <w:shd w:val="clear" w:color="auto" w:fill="auto"/>
            <w:vAlign w:val="bottom"/>
          </w:tcPr>
          <w:p w14:paraId="5556C4EE" w14:textId="77777777" w:rsidR="00F925DD" w:rsidRDefault="00F925DD">
            <w:pPr>
              <w:textAlignment w:val="bottom"/>
              <w:rPr>
                <w:rFonts w:ascii="Times New Roman" w:hAnsi="Times New Roman"/>
                <w:sz w:val="20"/>
                <w:szCs w:val="20"/>
              </w:rPr>
            </w:pPr>
          </w:p>
        </w:tc>
      </w:tr>
      <w:tr w:rsidR="00F925DD" w14:paraId="5556C508" w14:textId="77777777">
        <w:tc>
          <w:tcPr>
            <w:tcW w:w="0" w:type="auto"/>
            <w:shd w:val="clear" w:color="auto" w:fill="CCEEFF"/>
            <w:tcMar>
              <w:top w:w="40" w:type="dxa"/>
              <w:left w:w="40" w:type="dxa"/>
              <w:bottom w:w="40" w:type="dxa"/>
              <w:right w:w="40" w:type="dxa"/>
            </w:tcMar>
            <w:vAlign w:val="bottom"/>
          </w:tcPr>
          <w:p w14:paraId="5556C4F0"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mortgage obligations</w:t>
            </w:r>
          </w:p>
        </w:tc>
        <w:tc>
          <w:tcPr>
            <w:tcW w:w="0" w:type="auto"/>
            <w:gridSpan w:val="2"/>
            <w:shd w:val="clear" w:color="auto" w:fill="CCEEFF"/>
            <w:tcMar>
              <w:top w:w="40" w:type="dxa"/>
              <w:left w:w="40" w:type="dxa"/>
              <w:bottom w:w="40" w:type="dxa"/>
            </w:tcMar>
            <w:vAlign w:val="bottom"/>
          </w:tcPr>
          <w:p w14:paraId="5556C4F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697</w:t>
            </w:r>
          </w:p>
        </w:tc>
        <w:tc>
          <w:tcPr>
            <w:tcW w:w="0" w:type="auto"/>
            <w:shd w:val="clear" w:color="auto" w:fill="CCEEFF"/>
            <w:vAlign w:val="bottom"/>
          </w:tcPr>
          <w:p w14:paraId="5556C4F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F3"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4F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w:t>
            </w:r>
          </w:p>
        </w:tc>
        <w:tc>
          <w:tcPr>
            <w:tcW w:w="0" w:type="auto"/>
            <w:shd w:val="clear" w:color="auto" w:fill="CCEEFF"/>
            <w:vAlign w:val="bottom"/>
          </w:tcPr>
          <w:p w14:paraId="5556C4F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F6" w14:textId="77777777" w:rsidR="00F925DD" w:rsidRDefault="00F925DD">
            <w:pPr>
              <w:textAlignment w:val="bottom"/>
              <w:rPr>
                <w:rFonts w:ascii="Times New Roman" w:hAnsi="Times New Roman"/>
                <w:sz w:val="15"/>
                <w:szCs w:val="15"/>
              </w:rPr>
            </w:pPr>
          </w:p>
        </w:tc>
        <w:tc>
          <w:tcPr>
            <w:tcW w:w="0" w:type="auto"/>
            <w:gridSpan w:val="2"/>
            <w:shd w:val="clear" w:color="auto" w:fill="CCEEFF"/>
            <w:tcMar>
              <w:top w:w="40" w:type="dxa"/>
              <w:left w:w="40" w:type="dxa"/>
              <w:bottom w:w="40" w:type="dxa"/>
            </w:tcMar>
            <w:vAlign w:val="bottom"/>
          </w:tcPr>
          <w:p w14:paraId="5556C4F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5556C4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F9" w14:textId="77777777" w:rsidR="00F925DD" w:rsidRDefault="00F925DD">
            <w:pPr>
              <w:jc w:val="right"/>
              <w:textAlignment w:val="bottom"/>
              <w:rPr>
                <w:rFonts w:ascii="Times New Roman" w:hAnsi="Times New Roman"/>
                <w:sz w:val="15"/>
                <w:szCs w:val="15"/>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4F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734</w:t>
            </w:r>
          </w:p>
        </w:tc>
        <w:tc>
          <w:tcPr>
            <w:tcW w:w="0" w:type="auto"/>
            <w:tcBorders>
              <w:bottom w:val="single" w:sz="8" w:space="0" w:color="000000"/>
            </w:tcBorders>
            <w:shd w:val="clear" w:color="auto" w:fill="CCEEFF"/>
            <w:vAlign w:val="bottom"/>
          </w:tcPr>
          <w:p w14:paraId="5556C4F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4F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823</w:t>
            </w:r>
          </w:p>
        </w:tc>
        <w:tc>
          <w:tcPr>
            <w:tcW w:w="0" w:type="auto"/>
            <w:tcBorders>
              <w:bottom w:val="single" w:sz="8" w:space="0" w:color="000000"/>
            </w:tcBorders>
            <w:shd w:val="clear" w:color="auto" w:fill="CCEEFF"/>
            <w:vAlign w:val="bottom"/>
          </w:tcPr>
          <w:p w14:paraId="5556C4F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4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50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38</w:t>
            </w:r>
          </w:p>
        </w:tc>
        <w:tc>
          <w:tcPr>
            <w:tcW w:w="0" w:type="auto"/>
            <w:tcBorders>
              <w:bottom w:val="single" w:sz="8" w:space="0" w:color="000000"/>
            </w:tcBorders>
            <w:shd w:val="clear" w:color="auto" w:fill="CCEEFF"/>
            <w:vAlign w:val="bottom"/>
          </w:tcPr>
          <w:p w14:paraId="5556C50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50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tcBorders>
              <w:bottom w:val="single" w:sz="8" w:space="0" w:color="000000"/>
            </w:tcBorders>
            <w:shd w:val="clear" w:color="auto" w:fill="CCEEFF"/>
            <w:vAlign w:val="bottom"/>
          </w:tcPr>
          <w:p w14:paraId="5556C50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50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859</w:t>
            </w:r>
          </w:p>
        </w:tc>
        <w:tc>
          <w:tcPr>
            <w:tcW w:w="0" w:type="auto"/>
            <w:tcBorders>
              <w:bottom w:val="single" w:sz="8" w:space="0" w:color="000000"/>
            </w:tcBorders>
            <w:shd w:val="clear" w:color="auto" w:fill="CCEEFF"/>
            <w:vAlign w:val="bottom"/>
          </w:tcPr>
          <w:p w14:paraId="5556C507" w14:textId="77777777" w:rsidR="00F925DD" w:rsidRDefault="00F925DD">
            <w:pPr>
              <w:textAlignment w:val="bottom"/>
              <w:rPr>
                <w:rFonts w:ascii="Times New Roman" w:hAnsi="Times New Roman"/>
                <w:sz w:val="20"/>
                <w:szCs w:val="20"/>
              </w:rPr>
            </w:pPr>
          </w:p>
        </w:tc>
      </w:tr>
      <w:tr w:rsidR="00F925DD" w14:paraId="5556C529" w14:textId="77777777">
        <w:tc>
          <w:tcPr>
            <w:tcW w:w="0" w:type="auto"/>
            <w:shd w:val="clear" w:color="auto" w:fill="auto"/>
            <w:tcMar>
              <w:top w:w="40" w:type="dxa"/>
              <w:left w:w="40" w:type="dxa"/>
              <w:bottom w:w="40" w:type="dxa"/>
              <w:right w:w="40" w:type="dxa"/>
            </w:tcMar>
            <w:vAlign w:val="bottom"/>
          </w:tcPr>
          <w:p w14:paraId="5556C509"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50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50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41,782</w:t>
            </w:r>
          </w:p>
        </w:tc>
        <w:tc>
          <w:tcPr>
            <w:tcW w:w="0" w:type="auto"/>
            <w:tcBorders>
              <w:top w:val="single" w:sz="8" w:space="0" w:color="000000"/>
              <w:bottom w:val="double" w:sz="6" w:space="0" w:color="000000"/>
            </w:tcBorders>
            <w:shd w:val="clear" w:color="auto" w:fill="auto"/>
            <w:vAlign w:val="bottom"/>
          </w:tcPr>
          <w:p w14:paraId="5556C5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0D" w14:textId="77777777" w:rsidR="00F925DD" w:rsidRDefault="00F925DD">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50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50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470</w:t>
            </w:r>
          </w:p>
        </w:tc>
        <w:tc>
          <w:tcPr>
            <w:tcW w:w="0" w:type="auto"/>
            <w:tcBorders>
              <w:top w:val="single" w:sz="8" w:space="0" w:color="000000"/>
              <w:bottom w:val="double" w:sz="6" w:space="0" w:color="000000"/>
            </w:tcBorders>
            <w:shd w:val="clear" w:color="auto" w:fill="auto"/>
            <w:vAlign w:val="bottom"/>
          </w:tcPr>
          <w:p w14:paraId="5556C51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11" w14:textId="77777777" w:rsidR="00F925DD" w:rsidRDefault="00F925DD">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51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51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95</w:t>
            </w:r>
          </w:p>
        </w:tc>
        <w:tc>
          <w:tcPr>
            <w:tcW w:w="0" w:type="auto"/>
            <w:tcBorders>
              <w:top w:val="single" w:sz="8" w:space="0" w:color="000000"/>
              <w:bottom w:val="double" w:sz="6" w:space="0" w:color="000000"/>
            </w:tcBorders>
            <w:shd w:val="clear" w:color="auto" w:fill="auto"/>
            <w:vAlign w:val="bottom"/>
          </w:tcPr>
          <w:p w14:paraId="5556C51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15" w14:textId="77777777" w:rsidR="00F925DD" w:rsidRDefault="00F925DD">
            <w:pPr>
              <w:jc w:val="right"/>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51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51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42,157</w:t>
            </w:r>
          </w:p>
        </w:tc>
        <w:tc>
          <w:tcPr>
            <w:tcW w:w="0" w:type="auto"/>
            <w:tcBorders>
              <w:top w:val="single" w:sz="8" w:space="0" w:color="000000"/>
              <w:bottom w:val="double" w:sz="6" w:space="0" w:color="000000"/>
            </w:tcBorders>
            <w:shd w:val="clear" w:color="auto" w:fill="auto"/>
            <w:vAlign w:val="bottom"/>
          </w:tcPr>
          <w:p w14:paraId="5556C51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C51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C51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41,914</w:t>
            </w:r>
          </w:p>
        </w:tc>
        <w:tc>
          <w:tcPr>
            <w:tcW w:w="0" w:type="auto"/>
            <w:tcBorders>
              <w:bottom w:val="double" w:sz="6" w:space="0" w:color="000000"/>
            </w:tcBorders>
            <w:shd w:val="clear" w:color="auto" w:fill="auto"/>
            <w:vAlign w:val="bottom"/>
          </w:tcPr>
          <w:p w14:paraId="5556C51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51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51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175</w:t>
            </w:r>
          </w:p>
        </w:tc>
        <w:tc>
          <w:tcPr>
            <w:tcW w:w="0" w:type="auto"/>
            <w:tcBorders>
              <w:top w:val="single" w:sz="8" w:space="0" w:color="000000"/>
              <w:bottom w:val="double" w:sz="6" w:space="0" w:color="000000"/>
            </w:tcBorders>
            <w:shd w:val="clear" w:color="auto" w:fill="auto"/>
            <w:vAlign w:val="bottom"/>
          </w:tcPr>
          <w:p w14:paraId="5556C52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52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52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738</w:t>
            </w:r>
          </w:p>
        </w:tc>
        <w:tc>
          <w:tcPr>
            <w:tcW w:w="0" w:type="auto"/>
            <w:tcBorders>
              <w:top w:val="single" w:sz="8" w:space="0" w:color="000000"/>
              <w:bottom w:val="double" w:sz="6" w:space="0" w:color="000000"/>
            </w:tcBorders>
            <w:shd w:val="clear" w:color="auto" w:fill="auto"/>
            <w:vAlign w:val="bottom"/>
          </w:tcPr>
          <w:p w14:paraId="5556C52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52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52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41,351</w:t>
            </w:r>
          </w:p>
        </w:tc>
        <w:tc>
          <w:tcPr>
            <w:tcW w:w="0" w:type="auto"/>
            <w:tcBorders>
              <w:top w:val="single" w:sz="8" w:space="0" w:color="000000"/>
              <w:bottom w:val="double" w:sz="6" w:space="0" w:color="000000"/>
            </w:tcBorders>
            <w:shd w:val="clear" w:color="auto" w:fill="auto"/>
            <w:vAlign w:val="bottom"/>
          </w:tcPr>
          <w:p w14:paraId="5556C528" w14:textId="77777777" w:rsidR="00F925DD" w:rsidRDefault="00F925DD">
            <w:pPr>
              <w:textAlignment w:val="bottom"/>
              <w:rPr>
                <w:rFonts w:ascii="Times New Roman" w:hAnsi="Times New Roman"/>
                <w:sz w:val="20"/>
                <w:szCs w:val="20"/>
              </w:rPr>
            </w:pPr>
          </w:p>
        </w:tc>
      </w:tr>
    </w:tbl>
    <w:p w14:paraId="5556C52A"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09"/>
        <w:gridCol w:w="1578"/>
        <w:gridCol w:w="1578"/>
        <w:gridCol w:w="2741"/>
      </w:tblGrid>
      <w:tr w:rsidR="00F925DD" w14:paraId="5556C52C" w14:textId="77777777">
        <w:tc>
          <w:tcPr>
            <w:tcW w:w="0" w:type="auto"/>
            <w:gridSpan w:val="4"/>
            <w:shd w:val="clear" w:color="auto" w:fill="auto"/>
            <w:vAlign w:val="center"/>
          </w:tcPr>
          <w:p w14:paraId="5556C52B" w14:textId="77777777" w:rsidR="00F925DD" w:rsidRDefault="00F925DD">
            <w:pPr>
              <w:rPr>
                <w:rFonts w:ascii="Times New Roman" w:hAnsi="Times New Roman"/>
                <w:sz w:val="20"/>
                <w:szCs w:val="20"/>
              </w:rPr>
            </w:pPr>
          </w:p>
        </w:tc>
      </w:tr>
      <w:tr w:rsidR="00F925DD" w14:paraId="5556C531" w14:textId="77777777">
        <w:tc>
          <w:tcPr>
            <w:tcW w:w="1450" w:type="pct"/>
            <w:shd w:val="clear" w:color="auto" w:fill="auto"/>
            <w:vAlign w:val="center"/>
          </w:tcPr>
          <w:p w14:paraId="5556C52D" w14:textId="77777777" w:rsidR="00F925DD" w:rsidRDefault="00F925DD">
            <w:pPr>
              <w:rPr>
                <w:rFonts w:ascii="Times New Roman" w:hAnsi="Times New Roman"/>
                <w:sz w:val="20"/>
                <w:szCs w:val="20"/>
              </w:rPr>
            </w:pPr>
          </w:p>
        </w:tc>
        <w:tc>
          <w:tcPr>
            <w:tcW w:w="950" w:type="pct"/>
            <w:shd w:val="clear" w:color="auto" w:fill="auto"/>
            <w:vAlign w:val="center"/>
          </w:tcPr>
          <w:p w14:paraId="5556C52E" w14:textId="77777777" w:rsidR="00F925DD" w:rsidRDefault="00F925DD">
            <w:pPr>
              <w:rPr>
                <w:rFonts w:ascii="Times New Roman" w:hAnsi="Times New Roman"/>
                <w:sz w:val="20"/>
                <w:szCs w:val="20"/>
              </w:rPr>
            </w:pPr>
          </w:p>
        </w:tc>
        <w:tc>
          <w:tcPr>
            <w:tcW w:w="950" w:type="pct"/>
            <w:shd w:val="clear" w:color="auto" w:fill="auto"/>
            <w:vAlign w:val="center"/>
          </w:tcPr>
          <w:p w14:paraId="5556C52F" w14:textId="77777777" w:rsidR="00F925DD" w:rsidRDefault="00F925DD">
            <w:pPr>
              <w:rPr>
                <w:rFonts w:ascii="Times New Roman" w:hAnsi="Times New Roman"/>
                <w:sz w:val="20"/>
                <w:szCs w:val="20"/>
              </w:rPr>
            </w:pPr>
          </w:p>
        </w:tc>
        <w:tc>
          <w:tcPr>
            <w:tcW w:w="1650" w:type="pct"/>
            <w:shd w:val="clear" w:color="auto" w:fill="auto"/>
            <w:vAlign w:val="center"/>
          </w:tcPr>
          <w:p w14:paraId="5556C530" w14:textId="77777777" w:rsidR="00F925DD" w:rsidRDefault="00F925DD">
            <w:pPr>
              <w:rPr>
                <w:rFonts w:ascii="Times New Roman" w:hAnsi="Times New Roman"/>
                <w:sz w:val="20"/>
                <w:szCs w:val="20"/>
              </w:rPr>
            </w:pPr>
          </w:p>
        </w:tc>
      </w:tr>
      <w:tr w:rsidR="00F925DD" w14:paraId="5556C53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C5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C537" w14:textId="77777777" w:rsidR="00F925DD" w:rsidRDefault="00E705D7">
      <w:pPr>
        <w:spacing w:line="288" w:lineRule="auto"/>
        <w:jc w:val="both"/>
        <w:rPr>
          <w:rFonts w:ascii="Times New Roman" w:hAnsi="Times New Roman"/>
          <w:sz w:val="20"/>
          <w:szCs w:val="20"/>
        </w:rPr>
      </w:pPr>
      <w:r>
        <w:rPr>
          <w:rFonts w:ascii="Arial" w:eastAsia="宋体" w:hAnsi="Arial" w:cs="Arial"/>
          <w:sz w:val="8"/>
          <w:szCs w:val="8"/>
        </w:rPr>
        <w:t>(1)</w:t>
      </w:r>
      <w:r>
        <w:rPr>
          <w:rFonts w:ascii="Arial" w:eastAsia="宋体" w:hAnsi="Arial" w:cs="Arial"/>
          <w:sz w:val="12"/>
          <w:szCs w:val="12"/>
        </w:rPr>
        <w:t xml:space="preserve"> Primarily comprised of securities guaranteed by the federal government with respect to at least 97% of defaulted principal and accrued interest on the underlying loans.</w:t>
      </w:r>
    </w:p>
    <w:p w14:paraId="5556C538"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As of December 31, 2019 and December 31, 2018, the fair value of other non-U.S. de</w:t>
      </w:r>
      <w:r>
        <w:rPr>
          <w:rFonts w:ascii="Arial" w:eastAsia="宋体" w:hAnsi="Arial" w:cs="Arial"/>
          <w:sz w:val="12"/>
          <w:szCs w:val="12"/>
        </w:rPr>
        <w:t>bt securities included $5.50 billion and $3.20 billion, respectively, primarily of supranational and non-U.S. agency bonds, $1.78 billion and $1.33 billion, respectively, of corporate bonds and $0.68 billion and $1.30 billion, respectively, of covered bond</w:t>
      </w:r>
      <w:r>
        <w:rPr>
          <w:rFonts w:ascii="Arial" w:eastAsia="宋体" w:hAnsi="Arial" w:cs="Arial"/>
          <w:sz w:val="12"/>
          <w:szCs w:val="12"/>
        </w:rPr>
        <w:t>s.</w:t>
      </w:r>
    </w:p>
    <w:p w14:paraId="5556C539"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(3)</w:t>
      </w:r>
      <w:r>
        <w:rPr>
          <w:rFonts w:ascii="Arial" w:eastAsia="宋体" w:hAnsi="Arial" w:cs="Arial"/>
          <w:sz w:val="12"/>
          <w:szCs w:val="12"/>
        </w:rPr>
        <w:t xml:space="preserve"> As of December 31, 2019 and December 31, 2018, the fair value of state and political subdivisions includes securities in trusts of $0.94 billion and $1.05 billion respectively. Additional information about these trusts is provided in Note 14.</w:t>
      </w:r>
    </w:p>
    <w:p w14:paraId="5556C53A" w14:textId="77777777" w:rsidR="00F925DD" w:rsidRDefault="00F925DD">
      <w:pPr>
        <w:rPr>
          <w:rFonts w:ascii="Times New Roman" w:hAnsi="Times New Roman"/>
          <w:sz w:val="20"/>
          <w:szCs w:val="20"/>
        </w:rPr>
      </w:pPr>
    </w:p>
    <w:p w14:paraId="5556C53B"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w:t>
      </w:r>
      <w:r>
        <w:rPr>
          <w:rFonts w:ascii="Arial" w:eastAsia="宋体" w:hAnsi="Arial" w:cs="Arial"/>
          <w:sz w:val="18"/>
          <w:szCs w:val="18"/>
        </w:rPr>
        <w:t xml:space="preserve"> Street Corporation | 136</w:t>
      </w:r>
    </w:p>
    <w:p w14:paraId="5556C53C" w14:textId="77777777" w:rsidR="00F925DD" w:rsidRDefault="00F925DD">
      <w:pPr>
        <w:spacing w:line="288" w:lineRule="auto"/>
        <w:ind w:firstLine="600"/>
        <w:jc w:val="center"/>
        <w:rPr>
          <w:rFonts w:ascii="Times New Roman" w:hAnsi="Times New Roman"/>
          <w:sz w:val="18"/>
          <w:szCs w:val="18"/>
        </w:rPr>
      </w:pPr>
    </w:p>
    <w:p w14:paraId="5556C53D" w14:textId="77777777" w:rsidR="00F925DD" w:rsidRDefault="00E705D7">
      <w:r>
        <w:rPr>
          <w:rFonts w:ascii="Times New Roman" w:hAnsi="Times New Roman"/>
          <w:sz w:val="18"/>
          <w:szCs w:val="18"/>
        </w:rPr>
        <w:pict w14:anchorId="555706C2">
          <v:rect id="_x0000_i1160" style="width:415.3pt;height:1.5pt" o:hralign="center" o:hrstd="t" o:hr="t" fillcolor="#a0a0a0" stroked="f"/>
        </w:pict>
      </w:r>
    </w:p>
    <w:p w14:paraId="5556C53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C53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C540" w14:textId="77777777" w:rsidR="00F925DD" w:rsidRDefault="00F925DD">
      <w:pPr>
        <w:rPr>
          <w:rFonts w:ascii="Times New Roman" w:hAnsi="Times New Roman"/>
          <w:sz w:val="20"/>
          <w:szCs w:val="20"/>
        </w:rPr>
      </w:pPr>
    </w:p>
    <w:p w14:paraId="5556C54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Aggregate investment securities with carrying values of approximately $49.48 billion and $38.87 billion as of December 31, 2019 and December 31, 2018, </w:t>
      </w:r>
      <w:r>
        <w:rPr>
          <w:rFonts w:ascii="Arial" w:eastAsia="宋体" w:hAnsi="Arial" w:cs="Arial"/>
          <w:sz w:val="20"/>
          <w:szCs w:val="20"/>
        </w:rPr>
        <w:t>respectively, were designated as pledged for public and trust deposits, short-term borrowings and for other purposes as provided by law.</w:t>
      </w:r>
    </w:p>
    <w:p w14:paraId="5556C54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2019, 2018 and 2017, $3.98 billion, $2.13 billion and $496 million, respectively, of agency MBS, previously classifi</w:t>
      </w:r>
      <w:r>
        <w:rPr>
          <w:rFonts w:ascii="Arial" w:eastAsia="宋体" w:hAnsi="Arial" w:cs="Arial"/>
          <w:sz w:val="20"/>
          <w:szCs w:val="20"/>
        </w:rPr>
        <w:t>ed as AFS, were transferred to HTM. These transfers reflect our intent to hold these securities until their maturity. These securities were transferred at fair value, which included a net unrealized loss of $49 million, $53 million and $3 million as of Dec</w:t>
      </w:r>
      <w:r>
        <w:rPr>
          <w:rFonts w:ascii="Arial" w:eastAsia="宋体" w:hAnsi="Arial" w:cs="Arial"/>
          <w:sz w:val="20"/>
          <w:szCs w:val="20"/>
        </w:rPr>
        <w:t>ember 31, 2019, 2018 and 2017, respectively, within accumulated other comprehensive loss which will be accreted into interest income over the remaining life of the transferred security (ranging from approximately 10 to 42 years).</w:t>
      </w:r>
    </w:p>
    <w:p w14:paraId="5556C54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2018, $1.2 </w:t>
      </w:r>
      <w:r>
        <w:rPr>
          <w:rFonts w:ascii="Arial" w:eastAsia="宋体" w:hAnsi="Arial" w:cs="Arial"/>
          <w:sz w:val="20"/>
          <w:szCs w:val="20"/>
        </w:rPr>
        <w:t>billion of HTM securities, primarily consisting of MBS and CMBS, were transferred to AFS at book value and sold at a pre-tax loss of approximately $36 million, due to our election to make a one-time transfer of securities relating to the adoption of ASU 20</w:t>
      </w:r>
      <w:r>
        <w:rPr>
          <w:rFonts w:ascii="Arial" w:eastAsia="宋体" w:hAnsi="Arial" w:cs="Arial"/>
          <w:sz w:val="20"/>
          <w:szCs w:val="20"/>
        </w:rPr>
        <w:t>17-12, Derivatives and Hedging (Topic 815): Targeted Improvements to Accounting for Hedging Activities.</w:t>
      </w:r>
    </w:p>
    <w:p w14:paraId="5556C54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2018, we sold approximately $26 billion of AFS securities, primarily ABS and municipal bonds, resulting in a pre-tax gain of approximately $9 million</w:t>
      </w:r>
      <w:r>
        <w:rPr>
          <w:rFonts w:ascii="Arial" w:eastAsia="宋体" w:hAnsi="Arial" w:cs="Arial"/>
          <w:sz w:val="20"/>
          <w:szCs w:val="20"/>
        </w:rPr>
        <w:t>. In 2017, we sold $12.2 billion of AFS securities, primarily agency MBS and U.S. treasury securities in our investment portfolio, to position for the then existing interest rate environment resulting in a pre-tax loss of $39 million.</w:t>
      </w:r>
    </w:p>
    <w:p w14:paraId="5556C54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tables </w:t>
      </w:r>
      <w:r>
        <w:rPr>
          <w:rFonts w:ascii="Arial" w:eastAsia="宋体" w:hAnsi="Arial" w:cs="Arial"/>
          <w:sz w:val="20"/>
          <w:szCs w:val="20"/>
        </w:rPr>
        <w:t>present the aggregate fair values of AFS and HTM investment securities that have been in a continuous unrealized loss position for less than 12 months, and those that have been in a continuous unrealized loss position for 12 months or longer, as of the dat</w:t>
      </w:r>
      <w:r>
        <w:rPr>
          <w:rFonts w:ascii="Arial" w:eastAsia="宋体" w:hAnsi="Arial" w:cs="Arial"/>
          <w:sz w:val="20"/>
          <w:szCs w:val="20"/>
        </w:rPr>
        <w:t>es indicated:</w:t>
      </w:r>
    </w:p>
    <w:tbl>
      <w:tblPr>
        <w:tblW w:w="5000" w:type="pct"/>
        <w:tblCellMar>
          <w:left w:w="0" w:type="dxa"/>
          <w:right w:w="0" w:type="dxa"/>
        </w:tblCellMar>
        <w:tblLook w:val="04A0" w:firstRow="1" w:lastRow="0" w:firstColumn="1" w:lastColumn="0" w:noHBand="0" w:noVBand="1"/>
      </w:tblPr>
      <w:tblGrid>
        <w:gridCol w:w="3244"/>
        <w:gridCol w:w="124"/>
        <w:gridCol w:w="503"/>
        <w:gridCol w:w="6"/>
        <w:gridCol w:w="130"/>
        <w:gridCol w:w="125"/>
        <w:gridCol w:w="672"/>
        <w:gridCol w:w="83"/>
        <w:gridCol w:w="130"/>
        <w:gridCol w:w="124"/>
        <w:gridCol w:w="420"/>
        <w:gridCol w:w="6"/>
        <w:gridCol w:w="130"/>
        <w:gridCol w:w="125"/>
        <w:gridCol w:w="672"/>
        <w:gridCol w:w="83"/>
        <w:gridCol w:w="130"/>
        <w:gridCol w:w="124"/>
        <w:gridCol w:w="459"/>
        <w:gridCol w:w="6"/>
        <w:gridCol w:w="130"/>
        <w:gridCol w:w="125"/>
        <w:gridCol w:w="672"/>
        <w:gridCol w:w="83"/>
      </w:tblGrid>
      <w:tr w:rsidR="00F925DD" w14:paraId="5556C547" w14:textId="77777777">
        <w:tc>
          <w:tcPr>
            <w:tcW w:w="0" w:type="auto"/>
            <w:gridSpan w:val="24"/>
            <w:shd w:val="clear" w:color="auto" w:fill="auto"/>
            <w:vAlign w:val="center"/>
          </w:tcPr>
          <w:p w14:paraId="5556C546" w14:textId="77777777" w:rsidR="00F925DD" w:rsidRDefault="00F925DD">
            <w:pPr>
              <w:rPr>
                <w:rFonts w:ascii="Times New Roman" w:hAnsi="Times New Roman"/>
                <w:sz w:val="20"/>
                <w:szCs w:val="20"/>
              </w:rPr>
            </w:pPr>
          </w:p>
        </w:tc>
      </w:tr>
      <w:tr w:rsidR="00F925DD" w14:paraId="5556C560" w14:textId="77777777">
        <w:tc>
          <w:tcPr>
            <w:tcW w:w="2000" w:type="pct"/>
            <w:shd w:val="clear" w:color="auto" w:fill="auto"/>
            <w:vAlign w:val="center"/>
          </w:tcPr>
          <w:p w14:paraId="5556C548" w14:textId="77777777" w:rsidR="00F925DD" w:rsidRDefault="00F925DD">
            <w:pPr>
              <w:rPr>
                <w:rFonts w:ascii="Times New Roman" w:hAnsi="Times New Roman"/>
                <w:sz w:val="20"/>
                <w:szCs w:val="20"/>
              </w:rPr>
            </w:pPr>
          </w:p>
        </w:tc>
        <w:tc>
          <w:tcPr>
            <w:tcW w:w="50" w:type="pct"/>
            <w:shd w:val="clear" w:color="auto" w:fill="auto"/>
            <w:vAlign w:val="center"/>
          </w:tcPr>
          <w:p w14:paraId="5556C549" w14:textId="77777777" w:rsidR="00F925DD" w:rsidRDefault="00F925DD">
            <w:pPr>
              <w:rPr>
                <w:rFonts w:ascii="Times New Roman" w:hAnsi="Times New Roman"/>
                <w:sz w:val="20"/>
                <w:szCs w:val="20"/>
              </w:rPr>
            </w:pPr>
          </w:p>
        </w:tc>
        <w:tc>
          <w:tcPr>
            <w:tcW w:w="350" w:type="pct"/>
            <w:shd w:val="clear" w:color="auto" w:fill="auto"/>
            <w:vAlign w:val="center"/>
          </w:tcPr>
          <w:p w14:paraId="5556C54A" w14:textId="77777777" w:rsidR="00F925DD" w:rsidRDefault="00F925DD">
            <w:pPr>
              <w:rPr>
                <w:rFonts w:ascii="Times New Roman" w:hAnsi="Times New Roman"/>
                <w:sz w:val="20"/>
                <w:szCs w:val="20"/>
              </w:rPr>
            </w:pPr>
          </w:p>
        </w:tc>
        <w:tc>
          <w:tcPr>
            <w:tcW w:w="50" w:type="pct"/>
            <w:shd w:val="clear" w:color="auto" w:fill="auto"/>
            <w:vAlign w:val="center"/>
          </w:tcPr>
          <w:p w14:paraId="5556C54B" w14:textId="77777777" w:rsidR="00F925DD" w:rsidRDefault="00F925DD">
            <w:pPr>
              <w:rPr>
                <w:rFonts w:ascii="Times New Roman" w:hAnsi="Times New Roman"/>
                <w:sz w:val="20"/>
                <w:szCs w:val="20"/>
              </w:rPr>
            </w:pPr>
          </w:p>
        </w:tc>
        <w:tc>
          <w:tcPr>
            <w:tcW w:w="50" w:type="pct"/>
            <w:shd w:val="clear" w:color="auto" w:fill="auto"/>
            <w:vAlign w:val="center"/>
          </w:tcPr>
          <w:p w14:paraId="5556C54C" w14:textId="77777777" w:rsidR="00F925DD" w:rsidRDefault="00F925DD">
            <w:pPr>
              <w:rPr>
                <w:rFonts w:ascii="Times New Roman" w:hAnsi="Times New Roman"/>
                <w:sz w:val="20"/>
                <w:szCs w:val="20"/>
              </w:rPr>
            </w:pPr>
          </w:p>
        </w:tc>
        <w:tc>
          <w:tcPr>
            <w:tcW w:w="50" w:type="pct"/>
            <w:shd w:val="clear" w:color="auto" w:fill="auto"/>
            <w:vAlign w:val="center"/>
          </w:tcPr>
          <w:p w14:paraId="5556C54D" w14:textId="77777777" w:rsidR="00F925DD" w:rsidRDefault="00F925DD">
            <w:pPr>
              <w:rPr>
                <w:rFonts w:ascii="Times New Roman" w:hAnsi="Times New Roman"/>
                <w:sz w:val="20"/>
                <w:szCs w:val="20"/>
              </w:rPr>
            </w:pPr>
          </w:p>
        </w:tc>
        <w:tc>
          <w:tcPr>
            <w:tcW w:w="400" w:type="pct"/>
            <w:shd w:val="clear" w:color="auto" w:fill="auto"/>
            <w:vAlign w:val="center"/>
          </w:tcPr>
          <w:p w14:paraId="5556C54E" w14:textId="77777777" w:rsidR="00F925DD" w:rsidRDefault="00F925DD">
            <w:pPr>
              <w:rPr>
                <w:rFonts w:ascii="Times New Roman" w:hAnsi="Times New Roman"/>
                <w:sz w:val="20"/>
                <w:szCs w:val="20"/>
              </w:rPr>
            </w:pPr>
          </w:p>
        </w:tc>
        <w:tc>
          <w:tcPr>
            <w:tcW w:w="50" w:type="pct"/>
            <w:shd w:val="clear" w:color="auto" w:fill="auto"/>
            <w:vAlign w:val="center"/>
          </w:tcPr>
          <w:p w14:paraId="5556C54F" w14:textId="77777777" w:rsidR="00F925DD" w:rsidRDefault="00F925DD">
            <w:pPr>
              <w:rPr>
                <w:rFonts w:ascii="Times New Roman" w:hAnsi="Times New Roman"/>
                <w:sz w:val="20"/>
                <w:szCs w:val="20"/>
              </w:rPr>
            </w:pPr>
          </w:p>
        </w:tc>
        <w:tc>
          <w:tcPr>
            <w:tcW w:w="50" w:type="pct"/>
            <w:shd w:val="clear" w:color="auto" w:fill="auto"/>
            <w:vAlign w:val="center"/>
          </w:tcPr>
          <w:p w14:paraId="5556C550" w14:textId="77777777" w:rsidR="00F925DD" w:rsidRDefault="00F925DD">
            <w:pPr>
              <w:rPr>
                <w:rFonts w:ascii="Times New Roman" w:hAnsi="Times New Roman"/>
                <w:sz w:val="20"/>
                <w:szCs w:val="20"/>
              </w:rPr>
            </w:pPr>
          </w:p>
        </w:tc>
        <w:tc>
          <w:tcPr>
            <w:tcW w:w="50" w:type="pct"/>
            <w:shd w:val="clear" w:color="auto" w:fill="auto"/>
            <w:vAlign w:val="center"/>
          </w:tcPr>
          <w:p w14:paraId="5556C551" w14:textId="77777777" w:rsidR="00F925DD" w:rsidRDefault="00F925DD">
            <w:pPr>
              <w:rPr>
                <w:rFonts w:ascii="Times New Roman" w:hAnsi="Times New Roman"/>
                <w:sz w:val="20"/>
                <w:szCs w:val="20"/>
              </w:rPr>
            </w:pPr>
          </w:p>
        </w:tc>
        <w:tc>
          <w:tcPr>
            <w:tcW w:w="300" w:type="pct"/>
            <w:shd w:val="clear" w:color="auto" w:fill="auto"/>
            <w:vAlign w:val="center"/>
          </w:tcPr>
          <w:p w14:paraId="5556C552" w14:textId="77777777" w:rsidR="00F925DD" w:rsidRDefault="00F925DD">
            <w:pPr>
              <w:rPr>
                <w:rFonts w:ascii="Times New Roman" w:hAnsi="Times New Roman"/>
                <w:sz w:val="20"/>
                <w:szCs w:val="20"/>
              </w:rPr>
            </w:pPr>
          </w:p>
        </w:tc>
        <w:tc>
          <w:tcPr>
            <w:tcW w:w="50" w:type="pct"/>
            <w:shd w:val="clear" w:color="auto" w:fill="auto"/>
            <w:vAlign w:val="center"/>
          </w:tcPr>
          <w:p w14:paraId="5556C553" w14:textId="77777777" w:rsidR="00F925DD" w:rsidRDefault="00F925DD">
            <w:pPr>
              <w:rPr>
                <w:rFonts w:ascii="Times New Roman" w:hAnsi="Times New Roman"/>
                <w:sz w:val="20"/>
                <w:szCs w:val="20"/>
              </w:rPr>
            </w:pPr>
          </w:p>
        </w:tc>
        <w:tc>
          <w:tcPr>
            <w:tcW w:w="50" w:type="pct"/>
            <w:shd w:val="clear" w:color="auto" w:fill="auto"/>
            <w:vAlign w:val="center"/>
          </w:tcPr>
          <w:p w14:paraId="5556C554" w14:textId="77777777" w:rsidR="00F925DD" w:rsidRDefault="00F925DD">
            <w:pPr>
              <w:rPr>
                <w:rFonts w:ascii="Times New Roman" w:hAnsi="Times New Roman"/>
                <w:sz w:val="20"/>
                <w:szCs w:val="20"/>
              </w:rPr>
            </w:pPr>
          </w:p>
        </w:tc>
        <w:tc>
          <w:tcPr>
            <w:tcW w:w="50" w:type="pct"/>
            <w:shd w:val="clear" w:color="auto" w:fill="auto"/>
            <w:vAlign w:val="center"/>
          </w:tcPr>
          <w:p w14:paraId="5556C555" w14:textId="77777777" w:rsidR="00F925DD" w:rsidRDefault="00F925DD">
            <w:pPr>
              <w:rPr>
                <w:rFonts w:ascii="Times New Roman" w:hAnsi="Times New Roman"/>
                <w:sz w:val="20"/>
                <w:szCs w:val="20"/>
              </w:rPr>
            </w:pPr>
          </w:p>
        </w:tc>
        <w:tc>
          <w:tcPr>
            <w:tcW w:w="400" w:type="pct"/>
            <w:shd w:val="clear" w:color="auto" w:fill="auto"/>
            <w:vAlign w:val="center"/>
          </w:tcPr>
          <w:p w14:paraId="5556C556" w14:textId="77777777" w:rsidR="00F925DD" w:rsidRDefault="00F925DD">
            <w:pPr>
              <w:rPr>
                <w:rFonts w:ascii="Times New Roman" w:hAnsi="Times New Roman"/>
                <w:sz w:val="20"/>
                <w:szCs w:val="20"/>
              </w:rPr>
            </w:pPr>
          </w:p>
        </w:tc>
        <w:tc>
          <w:tcPr>
            <w:tcW w:w="50" w:type="pct"/>
            <w:shd w:val="clear" w:color="auto" w:fill="auto"/>
            <w:vAlign w:val="center"/>
          </w:tcPr>
          <w:p w14:paraId="5556C557" w14:textId="77777777" w:rsidR="00F925DD" w:rsidRDefault="00F925DD">
            <w:pPr>
              <w:rPr>
                <w:rFonts w:ascii="Times New Roman" w:hAnsi="Times New Roman"/>
                <w:sz w:val="20"/>
                <w:szCs w:val="20"/>
              </w:rPr>
            </w:pPr>
          </w:p>
        </w:tc>
        <w:tc>
          <w:tcPr>
            <w:tcW w:w="50" w:type="pct"/>
            <w:shd w:val="clear" w:color="auto" w:fill="auto"/>
            <w:vAlign w:val="center"/>
          </w:tcPr>
          <w:p w14:paraId="5556C558" w14:textId="77777777" w:rsidR="00F925DD" w:rsidRDefault="00F925DD">
            <w:pPr>
              <w:rPr>
                <w:rFonts w:ascii="Times New Roman" w:hAnsi="Times New Roman"/>
                <w:sz w:val="20"/>
                <w:szCs w:val="20"/>
              </w:rPr>
            </w:pPr>
          </w:p>
        </w:tc>
        <w:tc>
          <w:tcPr>
            <w:tcW w:w="50" w:type="pct"/>
            <w:shd w:val="clear" w:color="auto" w:fill="auto"/>
            <w:vAlign w:val="center"/>
          </w:tcPr>
          <w:p w14:paraId="5556C559" w14:textId="77777777" w:rsidR="00F925DD" w:rsidRDefault="00F925DD">
            <w:pPr>
              <w:rPr>
                <w:rFonts w:ascii="Times New Roman" w:hAnsi="Times New Roman"/>
                <w:sz w:val="20"/>
                <w:szCs w:val="20"/>
              </w:rPr>
            </w:pPr>
          </w:p>
        </w:tc>
        <w:tc>
          <w:tcPr>
            <w:tcW w:w="300" w:type="pct"/>
            <w:shd w:val="clear" w:color="auto" w:fill="auto"/>
            <w:vAlign w:val="center"/>
          </w:tcPr>
          <w:p w14:paraId="5556C55A" w14:textId="77777777" w:rsidR="00F925DD" w:rsidRDefault="00F925DD">
            <w:pPr>
              <w:rPr>
                <w:rFonts w:ascii="Times New Roman" w:hAnsi="Times New Roman"/>
                <w:sz w:val="20"/>
                <w:szCs w:val="20"/>
              </w:rPr>
            </w:pPr>
          </w:p>
        </w:tc>
        <w:tc>
          <w:tcPr>
            <w:tcW w:w="50" w:type="pct"/>
            <w:shd w:val="clear" w:color="auto" w:fill="auto"/>
            <w:vAlign w:val="center"/>
          </w:tcPr>
          <w:p w14:paraId="5556C55B" w14:textId="77777777" w:rsidR="00F925DD" w:rsidRDefault="00F925DD">
            <w:pPr>
              <w:rPr>
                <w:rFonts w:ascii="Times New Roman" w:hAnsi="Times New Roman"/>
                <w:sz w:val="20"/>
                <w:szCs w:val="20"/>
              </w:rPr>
            </w:pPr>
          </w:p>
        </w:tc>
        <w:tc>
          <w:tcPr>
            <w:tcW w:w="50" w:type="pct"/>
            <w:shd w:val="clear" w:color="auto" w:fill="auto"/>
            <w:vAlign w:val="center"/>
          </w:tcPr>
          <w:p w14:paraId="5556C55C" w14:textId="77777777" w:rsidR="00F925DD" w:rsidRDefault="00F925DD">
            <w:pPr>
              <w:rPr>
                <w:rFonts w:ascii="Times New Roman" w:hAnsi="Times New Roman"/>
                <w:sz w:val="20"/>
                <w:szCs w:val="20"/>
              </w:rPr>
            </w:pPr>
          </w:p>
        </w:tc>
        <w:tc>
          <w:tcPr>
            <w:tcW w:w="50" w:type="pct"/>
            <w:shd w:val="clear" w:color="auto" w:fill="auto"/>
            <w:vAlign w:val="center"/>
          </w:tcPr>
          <w:p w14:paraId="5556C55D" w14:textId="77777777" w:rsidR="00F925DD" w:rsidRDefault="00F925DD">
            <w:pPr>
              <w:rPr>
                <w:rFonts w:ascii="Times New Roman" w:hAnsi="Times New Roman"/>
                <w:sz w:val="20"/>
                <w:szCs w:val="20"/>
              </w:rPr>
            </w:pPr>
          </w:p>
        </w:tc>
        <w:tc>
          <w:tcPr>
            <w:tcW w:w="400" w:type="pct"/>
            <w:shd w:val="clear" w:color="auto" w:fill="auto"/>
            <w:vAlign w:val="center"/>
          </w:tcPr>
          <w:p w14:paraId="5556C55E" w14:textId="77777777" w:rsidR="00F925DD" w:rsidRDefault="00F925DD">
            <w:pPr>
              <w:rPr>
                <w:rFonts w:ascii="Times New Roman" w:hAnsi="Times New Roman"/>
                <w:sz w:val="20"/>
                <w:szCs w:val="20"/>
              </w:rPr>
            </w:pPr>
          </w:p>
        </w:tc>
        <w:tc>
          <w:tcPr>
            <w:tcW w:w="50" w:type="pct"/>
            <w:shd w:val="clear" w:color="auto" w:fill="auto"/>
            <w:vAlign w:val="center"/>
          </w:tcPr>
          <w:p w14:paraId="5556C55F" w14:textId="77777777" w:rsidR="00F925DD" w:rsidRDefault="00F925DD">
            <w:pPr>
              <w:rPr>
                <w:rFonts w:ascii="Times New Roman" w:hAnsi="Times New Roman"/>
                <w:sz w:val="20"/>
                <w:szCs w:val="20"/>
              </w:rPr>
            </w:pPr>
          </w:p>
        </w:tc>
      </w:tr>
      <w:tr w:rsidR="00F925DD" w14:paraId="5556C563" w14:textId="77777777">
        <w:tc>
          <w:tcPr>
            <w:tcW w:w="0" w:type="auto"/>
            <w:shd w:val="clear" w:color="auto" w:fill="auto"/>
            <w:tcMar>
              <w:top w:w="40" w:type="dxa"/>
              <w:left w:w="40" w:type="dxa"/>
              <w:bottom w:w="40" w:type="dxa"/>
              <w:right w:w="40" w:type="dxa"/>
            </w:tcMar>
            <w:vAlign w:val="bottom"/>
          </w:tcPr>
          <w:p w14:paraId="5556C5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5556C56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 of December 31, 2019</w:t>
            </w:r>
          </w:p>
        </w:tc>
      </w:tr>
      <w:tr w:rsidR="00F925DD" w14:paraId="5556C56A" w14:textId="77777777">
        <w:tc>
          <w:tcPr>
            <w:tcW w:w="0" w:type="auto"/>
            <w:shd w:val="clear" w:color="auto" w:fill="auto"/>
            <w:tcMar>
              <w:top w:w="40" w:type="dxa"/>
              <w:left w:w="40" w:type="dxa"/>
              <w:bottom w:w="40" w:type="dxa"/>
              <w:right w:w="40" w:type="dxa"/>
            </w:tcMar>
            <w:vAlign w:val="bottom"/>
          </w:tcPr>
          <w:p w14:paraId="5556C5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56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Less than 12 months</w:t>
            </w:r>
          </w:p>
        </w:tc>
        <w:tc>
          <w:tcPr>
            <w:tcW w:w="0" w:type="auto"/>
            <w:shd w:val="clear" w:color="auto" w:fill="auto"/>
            <w:tcMar>
              <w:top w:w="40" w:type="dxa"/>
              <w:left w:w="40" w:type="dxa"/>
              <w:bottom w:w="40" w:type="dxa"/>
              <w:right w:w="40" w:type="dxa"/>
            </w:tcMar>
            <w:vAlign w:val="bottom"/>
          </w:tcPr>
          <w:p w14:paraId="5556C5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56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12 months or longer</w:t>
            </w:r>
          </w:p>
        </w:tc>
        <w:tc>
          <w:tcPr>
            <w:tcW w:w="0" w:type="auto"/>
            <w:shd w:val="clear" w:color="auto" w:fill="auto"/>
            <w:tcMar>
              <w:top w:w="40" w:type="dxa"/>
              <w:left w:w="40" w:type="dxa"/>
              <w:bottom w:w="40" w:type="dxa"/>
              <w:right w:w="40" w:type="dxa"/>
            </w:tcMar>
            <w:vAlign w:val="bottom"/>
          </w:tcPr>
          <w:p w14:paraId="5556C5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56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r>
      <w:tr w:rsidR="00F925DD" w14:paraId="5556C580" w14:textId="77777777">
        <w:tc>
          <w:tcPr>
            <w:tcW w:w="0" w:type="auto"/>
            <w:shd w:val="clear" w:color="auto" w:fill="auto"/>
            <w:tcMar>
              <w:top w:w="40" w:type="dxa"/>
              <w:left w:w="40" w:type="dxa"/>
              <w:bottom w:w="40" w:type="dxa"/>
              <w:right w:w="40" w:type="dxa"/>
            </w:tcMar>
            <w:vAlign w:val="bottom"/>
          </w:tcPr>
          <w:p w14:paraId="5556C56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56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Fair</w:t>
            </w:r>
          </w:p>
          <w:p w14:paraId="5556C56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5556C5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56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w:t>
            </w:r>
          </w:p>
          <w:p w14:paraId="5556C57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Unrealized</w:t>
            </w:r>
          </w:p>
          <w:p w14:paraId="5556C57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5556C5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57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Fair</w:t>
            </w:r>
          </w:p>
          <w:p w14:paraId="5556C57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5556C5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57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w:t>
            </w:r>
          </w:p>
          <w:p w14:paraId="5556C57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Unrealized</w:t>
            </w:r>
          </w:p>
          <w:p w14:paraId="5556C57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5556C5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57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Fair</w:t>
            </w:r>
          </w:p>
          <w:p w14:paraId="5556C57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5556C5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57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w:t>
            </w:r>
          </w:p>
          <w:p w14:paraId="5556C57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Unrealized</w:t>
            </w:r>
          </w:p>
          <w:p w14:paraId="5556C57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Losses</w:t>
            </w:r>
          </w:p>
        </w:tc>
      </w:tr>
      <w:tr w:rsidR="00F925DD" w14:paraId="5556C58D" w14:textId="77777777">
        <w:tc>
          <w:tcPr>
            <w:tcW w:w="0" w:type="auto"/>
            <w:shd w:val="clear" w:color="auto" w:fill="auto"/>
            <w:tcMar>
              <w:top w:w="40" w:type="dxa"/>
              <w:left w:w="40" w:type="dxa"/>
              <w:bottom w:w="40" w:type="dxa"/>
              <w:right w:w="40" w:type="dxa"/>
            </w:tcMar>
            <w:vAlign w:val="bottom"/>
          </w:tcPr>
          <w:p w14:paraId="5556C58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Available-for-sale:</w:t>
            </w:r>
          </w:p>
        </w:tc>
        <w:tc>
          <w:tcPr>
            <w:tcW w:w="0" w:type="auto"/>
            <w:gridSpan w:val="3"/>
            <w:shd w:val="clear" w:color="auto" w:fill="auto"/>
            <w:tcMar>
              <w:top w:w="40" w:type="dxa"/>
              <w:left w:w="40" w:type="dxa"/>
              <w:bottom w:w="40" w:type="dxa"/>
              <w:right w:w="40" w:type="dxa"/>
            </w:tcMar>
            <w:vAlign w:val="bottom"/>
          </w:tcPr>
          <w:p w14:paraId="5556C5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59A" w14:textId="77777777">
        <w:tc>
          <w:tcPr>
            <w:tcW w:w="0" w:type="auto"/>
            <w:shd w:val="clear" w:color="auto" w:fill="auto"/>
            <w:tcMar>
              <w:top w:w="40" w:type="dxa"/>
              <w:left w:w="40" w:type="dxa"/>
              <w:bottom w:w="40" w:type="dxa"/>
              <w:right w:w="40" w:type="dxa"/>
            </w:tcMar>
            <w:vAlign w:val="bottom"/>
          </w:tcPr>
          <w:p w14:paraId="5556C58E" w14:textId="77777777" w:rsidR="00F925DD" w:rsidRDefault="00E705D7">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5556C5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5B3" w14:textId="77777777">
        <w:tc>
          <w:tcPr>
            <w:tcW w:w="0" w:type="auto"/>
            <w:shd w:val="clear" w:color="auto" w:fill="CCEEFF"/>
            <w:tcMar>
              <w:top w:w="40" w:type="dxa"/>
              <w:left w:w="240" w:type="dxa"/>
              <w:bottom w:w="40" w:type="dxa"/>
              <w:right w:w="40" w:type="dxa"/>
            </w:tcMar>
            <w:vAlign w:val="bottom"/>
          </w:tcPr>
          <w:p w14:paraId="5556C59B" w14:textId="77777777" w:rsidR="00F925DD" w:rsidRDefault="00E705D7">
            <w:pPr>
              <w:textAlignment w:val="bottom"/>
              <w:rPr>
                <w:rFonts w:ascii="Times New Roman" w:hAnsi="Times New Roman"/>
                <w:sz w:val="15"/>
                <w:szCs w:val="15"/>
              </w:rPr>
            </w:pPr>
            <w:r>
              <w:rPr>
                <w:rFonts w:ascii="Arial" w:eastAsia="宋体" w:hAnsi="Arial" w:cs="Arial"/>
                <w:sz w:val="15"/>
                <w:szCs w:val="15"/>
              </w:rPr>
              <w:t>Direct obligations</w:t>
            </w:r>
          </w:p>
        </w:tc>
        <w:tc>
          <w:tcPr>
            <w:tcW w:w="0" w:type="auto"/>
            <w:shd w:val="clear" w:color="auto" w:fill="CCEEFF"/>
            <w:tcMar>
              <w:top w:w="40" w:type="dxa"/>
              <w:left w:w="40" w:type="dxa"/>
              <w:bottom w:w="40" w:type="dxa"/>
            </w:tcMar>
            <w:vAlign w:val="bottom"/>
          </w:tcPr>
          <w:p w14:paraId="5556C59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59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1,430</w:t>
            </w:r>
          </w:p>
        </w:tc>
        <w:tc>
          <w:tcPr>
            <w:tcW w:w="0" w:type="auto"/>
            <w:shd w:val="clear" w:color="auto" w:fill="CCEEFF"/>
            <w:vAlign w:val="bottom"/>
          </w:tcPr>
          <w:p w14:paraId="5556C59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5A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5A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w:t>
            </w:r>
          </w:p>
        </w:tc>
        <w:tc>
          <w:tcPr>
            <w:tcW w:w="0" w:type="auto"/>
            <w:shd w:val="clear" w:color="auto" w:fill="CCEEFF"/>
            <w:vAlign w:val="bottom"/>
          </w:tcPr>
          <w:p w14:paraId="5556C5A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5A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5A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5A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5A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5A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5A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5A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5A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1,430</w:t>
            </w:r>
          </w:p>
        </w:tc>
        <w:tc>
          <w:tcPr>
            <w:tcW w:w="0" w:type="auto"/>
            <w:shd w:val="clear" w:color="auto" w:fill="CCEEFF"/>
            <w:vAlign w:val="bottom"/>
          </w:tcPr>
          <w:p w14:paraId="5556C5A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5B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5B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w:t>
            </w:r>
          </w:p>
        </w:tc>
        <w:tc>
          <w:tcPr>
            <w:tcW w:w="0" w:type="auto"/>
            <w:shd w:val="clear" w:color="auto" w:fill="CCEEFF"/>
            <w:vAlign w:val="bottom"/>
          </w:tcPr>
          <w:p w14:paraId="5556C5B2" w14:textId="77777777" w:rsidR="00F925DD" w:rsidRDefault="00F925DD">
            <w:pPr>
              <w:textAlignment w:val="bottom"/>
              <w:rPr>
                <w:rFonts w:ascii="Times New Roman" w:hAnsi="Times New Roman"/>
                <w:sz w:val="20"/>
                <w:szCs w:val="20"/>
              </w:rPr>
            </w:pPr>
          </w:p>
        </w:tc>
      </w:tr>
      <w:tr w:rsidR="00F925DD" w14:paraId="5556C5C6" w14:textId="77777777">
        <w:tc>
          <w:tcPr>
            <w:tcW w:w="0" w:type="auto"/>
            <w:shd w:val="clear" w:color="auto" w:fill="auto"/>
            <w:tcMar>
              <w:top w:w="40" w:type="dxa"/>
              <w:left w:w="240" w:type="dxa"/>
              <w:bottom w:w="40" w:type="dxa"/>
              <w:right w:w="40" w:type="dxa"/>
            </w:tcMar>
            <w:vAlign w:val="bottom"/>
          </w:tcPr>
          <w:p w14:paraId="5556C5B4"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C5B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2,499</w:t>
            </w:r>
          </w:p>
        </w:tc>
        <w:tc>
          <w:tcPr>
            <w:tcW w:w="0" w:type="auto"/>
            <w:tcBorders>
              <w:bottom w:val="single" w:sz="8" w:space="0" w:color="000000"/>
            </w:tcBorders>
            <w:shd w:val="clear" w:color="auto" w:fill="auto"/>
            <w:vAlign w:val="bottom"/>
          </w:tcPr>
          <w:p w14:paraId="5556C5B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5B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w:t>
            </w:r>
          </w:p>
        </w:tc>
        <w:tc>
          <w:tcPr>
            <w:tcW w:w="0" w:type="auto"/>
            <w:tcBorders>
              <w:bottom w:val="single" w:sz="8" w:space="0" w:color="000000"/>
            </w:tcBorders>
            <w:shd w:val="clear" w:color="auto" w:fill="auto"/>
            <w:vAlign w:val="bottom"/>
          </w:tcPr>
          <w:p w14:paraId="5556C5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5B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1,665</w:t>
            </w:r>
          </w:p>
        </w:tc>
        <w:tc>
          <w:tcPr>
            <w:tcW w:w="0" w:type="auto"/>
            <w:tcBorders>
              <w:bottom w:val="single" w:sz="8" w:space="0" w:color="000000"/>
            </w:tcBorders>
            <w:shd w:val="clear" w:color="auto" w:fill="auto"/>
            <w:vAlign w:val="bottom"/>
          </w:tcPr>
          <w:p w14:paraId="5556C5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5B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w:t>
            </w:r>
          </w:p>
        </w:tc>
        <w:tc>
          <w:tcPr>
            <w:tcW w:w="0" w:type="auto"/>
            <w:tcBorders>
              <w:bottom w:val="single" w:sz="8" w:space="0" w:color="000000"/>
            </w:tcBorders>
            <w:shd w:val="clear" w:color="auto" w:fill="auto"/>
            <w:vAlign w:val="bottom"/>
          </w:tcPr>
          <w:p w14:paraId="5556C5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5C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4,164</w:t>
            </w:r>
          </w:p>
        </w:tc>
        <w:tc>
          <w:tcPr>
            <w:tcW w:w="0" w:type="auto"/>
            <w:shd w:val="clear" w:color="auto" w:fill="auto"/>
            <w:vAlign w:val="bottom"/>
          </w:tcPr>
          <w:p w14:paraId="5556C5C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5C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w:t>
            </w:r>
          </w:p>
        </w:tc>
        <w:tc>
          <w:tcPr>
            <w:tcW w:w="0" w:type="auto"/>
            <w:tcBorders>
              <w:bottom w:val="single" w:sz="8" w:space="0" w:color="000000"/>
            </w:tcBorders>
            <w:shd w:val="clear" w:color="auto" w:fill="auto"/>
            <w:vAlign w:val="bottom"/>
          </w:tcPr>
          <w:p w14:paraId="5556C5C5" w14:textId="77777777" w:rsidR="00F925DD" w:rsidRDefault="00F925DD">
            <w:pPr>
              <w:textAlignment w:val="bottom"/>
              <w:rPr>
                <w:rFonts w:ascii="Times New Roman" w:hAnsi="Times New Roman"/>
                <w:sz w:val="20"/>
                <w:szCs w:val="20"/>
              </w:rPr>
            </w:pPr>
          </w:p>
        </w:tc>
      </w:tr>
      <w:tr w:rsidR="00F925DD" w14:paraId="5556C5D9" w14:textId="77777777">
        <w:tc>
          <w:tcPr>
            <w:tcW w:w="0" w:type="auto"/>
            <w:shd w:val="clear" w:color="auto" w:fill="CCEEFF"/>
            <w:tcMar>
              <w:top w:w="40" w:type="dxa"/>
              <w:left w:w="400" w:type="dxa"/>
              <w:bottom w:w="40" w:type="dxa"/>
              <w:right w:w="40" w:type="dxa"/>
            </w:tcMar>
            <w:vAlign w:val="bottom"/>
          </w:tcPr>
          <w:p w14:paraId="5556C5C7"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5C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3,929</w:t>
            </w:r>
          </w:p>
        </w:tc>
        <w:tc>
          <w:tcPr>
            <w:tcW w:w="0" w:type="auto"/>
            <w:tcBorders>
              <w:top w:val="single" w:sz="8" w:space="0" w:color="000000"/>
              <w:bottom w:val="single" w:sz="8" w:space="0" w:color="000000"/>
            </w:tcBorders>
            <w:shd w:val="clear" w:color="auto" w:fill="CCEEFF"/>
            <w:vAlign w:val="bottom"/>
          </w:tcPr>
          <w:p w14:paraId="5556C5C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CA"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5C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35</w:t>
            </w:r>
          </w:p>
        </w:tc>
        <w:tc>
          <w:tcPr>
            <w:tcW w:w="0" w:type="auto"/>
            <w:tcBorders>
              <w:top w:val="single" w:sz="8" w:space="0" w:color="000000"/>
              <w:bottom w:val="single" w:sz="8" w:space="0" w:color="000000"/>
            </w:tcBorders>
            <w:shd w:val="clear" w:color="auto" w:fill="CCEEFF"/>
            <w:vAlign w:val="bottom"/>
          </w:tcPr>
          <w:p w14:paraId="5556C5C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CD"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5C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1,665</w:t>
            </w:r>
          </w:p>
        </w:tc>
        <w:tc>
          <w:tcPr>
            <w:tcW w:w="0" w:type="auto"/>
            <w:tcBorders>
              <w:top w:val="single" w:sz="8" w:space="0" w:color="000000"/>
              <w:bottom w:val="single" w:sz="8" w:space="0" w:color="000000"/>
            </w:tcBorders>
            <w:shd w:val="clear" w:color="auto" w:fill="CCEEFF"/>
            <w:vAlign w:val="bottom"/>
          </w:tcPr>
          <w:p w14:paraId="5556C5C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D0"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5D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w:t>
            </w:r>
          </w:p>
        </w:tc>
        <w:tc>
          <w:tcPr>
            <w:tcW w:w="0" w:type="auto"/>
            <w:tcBorders>
              <w:top w:val="single" w:sz="8" w:space="0" w:color="000000"/>
              <w:bottom w:val="single" w:sz="8" w:space="0" w:color="000000"/>
            </w:tcBorders>
            <w:shd w:val="clear" w:color="auto" w:fill="CCEEFF"/>
            <w:vAlign w:val="bottom"/>
          </w:tcPr>
          <w:p w14:paraId="5556C5D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D3"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5D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5,594</w:t>
            </w:r>
          </w:p>
        </w:tc>
        <w:tc>
          <w:tcPr>
            <w:tcW w:w="0" w:type="auto"/>
            <w:tcBorders>
              <w:top w:val="single" w:sz="8" w:space="0" w:color="000000"/>
              <w:bottom w:val="single" w:sz="8" w:space="0" w:color="000000"/>
            </w:tcBorders>
            <w:shd w:val="clear" w:color="auto" w:fill="CCEEFF"/>
            <w:vAlign w:val="bottom"/>
          </w:tcPr>
          <w:p w14:paraId="5556C5D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D6"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5D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w:t>
            </w:r>
          </w:p>
        </w:tc>
        <w:tc>
          <w:tcPr>
            <w:tcW w:w="0" w:type="auto"/>
            <w:tcBorders>
              <w:top w:val="single" w:sz="8" w:space="0" w:color="000000"/>
              <w:bottom w:val="single" w:sz="8" w:space="0" w:color="000000"/>
            </w:tcBorders>
            <w:shd w:val="clear" w:color="auto" w:fill="CCEEFF"/>
            <w:vAlign w:val="bottom"/>
          </w:tcPr>
          <w:p w14:paraId="5556C5D8" w14:textId="77777777" w:rsidR="00F925DD" w:rsidRDefault="00F925DD">
            <w:pPr>
              <w:textAlignment w:val="bottom"/>
              <w:rPr>
                <w:rFonts w:ascii="Times New Roman" w:hAnsi="Times New Roman"/>
                <w:sz w:val="20"/>
                <w:szCs w:val="20"/>
              </w:rPr>
            </w:pPr>
          </w:p>
        </w:tc>
      </w:tr>
      <w:tr w:rsidR="00F925DD" w14:paraId="5556C5E6" w14:textId="77777777">
        <w:tc>
          <w:tcPr>
            <w:tcW w:w="0" w:type="auto"/>
            <w:shd w:val="clear" w:color="auto" w:fill="auto"/>
            <w:tcMar>
              <w:top w:w="40" w:type="dxa"/>
              <w:left w:w="40" w:type="dxa"/>
              <w:bottom w:w="40" w:type="dxa"/>
              <w:right w:w="40" w:type="dxa"/>
            </w:tcMar>
            <w:vAlign w:val="bottom"/>
          </w:tcPr>
          <w:p w14:paraId="5556C5DA"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5556C5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5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5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5F9" w14:textId="77777777">
        <w:tc>
          <w:tcPr>
            <w:tcW w:w="0" w:type="auto"/>
            <w:shd w:val="clear" w:color="auto" w:fill="CCEEFF"/>
            <w:tcMar>
              <w:top w:w="40" w:type="dxa"/>
              <w:left w:w="240" w:type="dxa"/>
              <w:bottom w:w="40" w:type="dxa"/>
              <w:right w:w="40" w:type="dxa"/>
            </w:tcMar>
            <w:vAlign w:val="bottom"/>
          </w:tcPr>
          <w:p w14:paraId="5556C5E7" w14:textId="77777777" w:rsidR="00F925DD" w:rsidRDefault="00E705D7">
            <w:pPr>
              <w:textAlignment w:val="bottom"/>
              <w:rPr>
                <w:rFonts w:ascii="Times New Roman" w:hAnsi="Times New Roman"/>
                <w:sz w:val="15"/>
                <w:szCs w:val="15"/>
              </w:rPr>
            </w:pPr>
            <w:r>
              <w:rPr>
                <w:rFonts w:ascii="Arial" w:eastAsia="宋体" w:hAnsi="Arial" w:cs="Arial"/>
                <w:sz w:val="15"/>
                <w:szCs w:val="15"/>
              </w:rPr>
              <w:t>Student loans</w:t>
            </w:r>
          </w:p>
        </w:tc>
        <w:tc>
          <w:tcPr>
            <w:tcW w:w="0" w:type="auto"/>
            <w:gridSpan w:val="2"/>
            <w:shd w:val="clear" w:color="auto" w:fill="CCEEFF"/>
            <w:tcMar>
              <w:top w:w="40" w:type="dxa"/>
              <w:left w:w="40" w:type="dxa"/>
              <w:bottom w:w="40" w:type="dxa"/>
            </w:tcMar>
            <w:vAlign w:val="bottom"/>
          </w:tcPr>
          <w:p w14:paraId="5556C5E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271</w:t>
            </w:r>
          </w:p>
        </w:tc>
        <w:tc>
          <w:tcPr>
            <w:tcW w:w="0" w:type="auto"/>
            <w:shd w:val="clear" w:color="auto" w:fill="CCEEFF"/>
            <w:vAlign w:val="bottom"/>
          </w:tcPr>
          <w:p w14:paraId="5556C5E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5E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5556C5E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5E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127</w:t>
            </w:r>
          </w:p>
        </w:tc>
        <w:tc>
          <w:tcPr>
            <w:tcW w:w="0" w:type="auto"/>
            <w:shd w:val="clear" w:color="auto" w:fill="CCEEFF"/>
            <w:vAlign w:val="bottom"/>
          </w:tcPr>
          <w:p w14:paraId="5556C5E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5F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5556C5F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5F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398</w:t>
            </w:r>
          </w:p>
        </w:tc>
        <w:tc>
          <w:tcPr>
            <w:tcW w:w="0" w:type="auto"/>
            <w:shd w:val="clear" w:color="auto" w:fill="CCEEFF"/>
            <w:vAlign w:val="bottom"/>
          </w:tcPr>
          <w:p w14:paraId="5556C5F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5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5F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CCEEFF"/>
            <w:vAlign w:val="bottom"/>
          </w:tcPr>
          <w:p w14:paraId="5556C5F8" w14:textId="77777777" w:rsidR="00F925DD" w:rsidRDefault="00F925DD">
            <w:pPr>
              <w:textAlignment w:val="bottom"/>
              <w:rPr>
                <w:rFonts w:ascii="Times New Roman" w:hAnsi="Times New Roman"/>
                <w:sz w:val="20"/>
                <w:szCs w:val="20"/>
              </w:rPr>
            </w:pPr>
          </w:p>
        </w:tc>
      </w:tr>
      <w:tr w:rsidR="00F925DD" w14:paraId="5556C60C" w14:textId="77777777">
        <w:tc>
          <w:tcPr>
            <w:tcW w:w="0" w:type="auto"/>
            <w:shd w:val="clear" w:color="auto" w:fill="auto"/>
            <w:tcMar>
              <w:top w:w="40" w:type="dxa"/>
              <w:left w:w="240" w:type="dxa"/>
              <w:bottom w:w="40" w:type="dxa"/>
              <w:right w:w="40" w:type="dxa"/>
            </w:tcMar>
            <w:vAlign w:val="bottom"/>
          </w:tcPr>
          <w:p w14:paraId="5556C5FA" w14:textId="77777777" w:rsidR="00F925DD" w:rsidRDefault="00E705D7">
            <w:pPr>
              <w:textAlignment w:val="bottom"/>
              <w:rPr>
                <w:rFonts w:ascii="Times New Roman" w:hAnsi="Times New Roman"/>
                <w:sz w:val="15"/>
                <w:szCs w:val="15"/>
              </w:rPr>
            </w:pPr>
            <w:r>
              <w:rPr>
                <w:rFonts w:ascii="Arial" w:eastAsia="宋体" w:hAnsi="Arial" w:cs="Arial"/>
                <w:sz w:val="15"/>
                <w:szCs w:val="15"/>
              </w:rPr>
              <w:t>Credit cards</w:t>
            </w:r>
          </w:p>
        </w:tc>
        <w:tc>
          <w:tcPr>
            <w:tcW w:w="0" w:type="auto"/>
            <w:gridSpan w:val="2"/>
            <w:shd w:val="clear" w:color="auto" w:fill="auto"/>
            <w:tcMar>
              <w:top w:w="40" w:type="dxa"/>
              <w:left w:w="40" w:type="dxa"/>
              <w:bottom w:w="40" w:type="dxa"/>
            </w:tcMar>
            <w:vAlign w:val="bottom"/>
          </w:tcPr>
          <w:p w14:paraId="5556C5F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w:t>
            </w:r>
          </w:p>
        </w:tc>
        <w:tc>
          <w:tcPr>
            <w:tcW w:w="0" w:type="auto"/>
            <w:shd w:val="clear" w:color="auto" w:fill="auto"/>
            <w:vAlign w:val="bottom"/>
          </w:tcPr>
          <w:p w14:paraId="5556C5F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5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5F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5F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0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60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0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60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0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w:t>
            </w:r>
          </w:p>
        </w:tc>
        <w:tc>
          <w:tcPr>
            <w:tcW w:w="0" w:type="auto"/>
            <w:shd w:val="clear" w:color="auto" w:fill="auto"/>
            <w:vAlign w:val="bottom"/>
          </w:tcPr>
          <w:p w14:paraId="5556C60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0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60B" w14:textId="77777777" w:rsidR="00F925DD" w:rsidRDefault="00F925DD">
            <w:pPr>
              <w:textAlignment w:val="bottom"/>
              <w:rPr>
                <w:rFonts w:ascii="Times New Roman" w:hAnsi="Times New Roman"/>
                <w:sz w:val="20"/>
                <w:szCs w:val="20"/>
              </w:rPr>
            </w:pPr>
          </w:p>
        </w:tc>
      </w:tr>
      <w:tr w:rsidR="00F925DD" w14:paraId="5556C61F" w14:textId="77777777">
        <w:tc>
          <w:tcPr>
            <w:tcW w:w="0" w:type="auto"/>
            <w:shd w:val="clear" w:color="auto" w:fill="CCEEFF"/>
            <w:tcMar>
              <w:top w:w="40" w:type="dxa"/>
              <w:left w:w="240" w:type="dxa"/>
              <w:bottom w:w="40" w:type="dxa"/>
              <w:right w:w="40" w:type="dxa"/>
            </w:tcMar>
            <w:vAlign w:val="bottom"/>
          </w:tcPr>
          <w:p w14:paraId="5556C60D"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60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862</w:t>
            </w:r>
          </w:p>
        </w:tc>
        <w:tc>
          <w:tcPr>
            <w:tcW w:w="0" w:type="auto"/>
            <w:tcBorders>
              <w:bottom w:val="single" w:sz="8" w:space="0" w:color="000000"/>
            </w:tcBorders>
            <w:shd w:val="clear" w:color="auto" w:fill="CCEEFF"/>
            <w:vAlign w:val="bottom"/>
          </w:tcPr>
          <w:p w14:paraId="5556C60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61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tcBorders>
              <w:bottom w:val="single" w:sz="8" w:space="0" w:color="000000"/>
            </w:tcBorders>
            <w:shd w:val="clear" w:color="auto" w:fill="CCEEFF"/>
            <w:vAlign w:val="bottom"/>
          </w:tcPr>
          <w:p w14:paraId="5556C6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61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278</w:t>
            </w:r>
          </w:p>
        </w:tc>
        <w:tc>
          <w:tcPr>
            <w:tcW w:w="0" w:type="auto"/>
            <w:tcBorders>
              <w:bottom w:val="single" w:sz="8" w:space="0" w:color="000000"/>
            </w:tcBorders>
            <w:shd w:val="clear" w:color="auto" w:fill="CCEEFF"/>
            <w:vAlign w:val="bottom"/>
          </w:tcPr>
          <w:p w14:paraId="5556C61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61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tcBorders>
              <w:bottom w:val="single" w:sz="8" w:space="0" w:color="000000"/>
            </w:tcBorders>
            <w:shd w:val="clear" w:color="auto" w:fill="CCEEFF"/>
            <w:vAlign w:val="bottom"/>
          </w:tcPr>
          <w:p w14:paraId="5556C6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1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1,140</w:t>
            </w:r>
          </w:p>
        </w:tc>
        <w:tc>
          <w:tcPr>
            <w:tcW w:w="0" w:type="auto"/>
            <w:shd w:val="clear" w:color="auto" w:fill="CCEEFF"/>
            <w:vAlign w:val="bottom"/>
          </w:tcPr>
          <w:p w14:paraId="5556C61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1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5556C61E" w14:textId="77777777" w:rsidR="00F925DD" w:rsidRDefault="00F925DD">
            <w:pPr>
              <w:textAlignment w:val="bottom"/>
              <w:rPr>
                <w:rFonts w:ascii="Times New Roman" w:hAnsi="Times New Roman"/>
                <w:sz w:val="20"/>
                <w:szCs w:val="20"/>
              </w:rPr>
            </w:pPr>
          </w:p>
        </w:tc>
      </w:tr>
      <w:tr w:rsidR="00F925DD" w14:paraId="5556C632" w14:textId="77777777">
        <w:tc>
          <w:tcPr>
            <w:tcW w:w="0" w:type="auto"/>
            <w:shd w:val="clear" w:color="auto" w:fill="auto"/>
            <w:tcMar>
              <w:top w:w="40" w:type="dxa"/>
              <w:left w:w="400" w:type="dxa"/>
              <w:bottom w:w="40" w:type="dxa"/>
              <w:right w:w="40" w:type="dxa"/>
            </w:tcMar>
            <w:vAlign w:val="bottom"/>
          </w:tcPr>
          <w:p w14:paraId="5556C620"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2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1,222</w:t>
            </w:r>
          </w:p>
        </w:tc>
        <w:tc>
          <w:tcPr>
            <w:tcW w:w="0" w:type="auto"/>
            <w:tcBorders>
              <w:top w:val="single" w:sz="8" w:space="0" w:color="000000"/>
              <w:bottom w:val="single" w:sz="8" w:space="0" w:color="000000"/>
            </w:tcBorders>
            <w:shd w:val="clear" w:color="auto" w:fill="auto"/>
            <w:vAlign w:val="bottom"/>
          </w:tcPr>
          <w:p w14:paraId="5556C6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23"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2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tcBorders>
              <w:top w:val="single" w:sz="8" w:space="0" w:color="000000"/>
              <w:bottom w:val="single" w:sz="8" w:space="0" w:color="000000"/>
            </w:tcBorders>
            <w:shd w:val="clear" w:color="auto" w:fill="auto"/>
            <w:vAlign w:val="bottom"/>
          </w:tcPr>
          <w:p w14:paraId="5556C62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26"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2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405</w:t>
            </w:r>
          </w:p>
        </w:tc>
        <w:tc>
          <w:tcPr>
            <w:tcW w:w="0" w:type="auto"/>
            <w:tcBorders>
              <w:top w:val="single" w:sz="8" w:space="0" w:color="000000"/>
              <w:bottom w:val="single" w:sz="8" w:space="0" w:color="000000"/>
            </w:tcBorders>
            <w:shd w:val="clear" w:color="auto" w:fill="auto"/>
            <w:vAlign w:val="bottom"/>
          </w:tcPr>
          <w:p w14:paraId="5556C62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29"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2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tcBorders>
              <w:top w:val="single" w:sz="8" w:space="0" w:color="000000"/>
              <w:bottom w:val="single" w:sz="8" w:space="0" w:color="000000"/>
            </w:tcBorders>
            <w:shd w:val="clear" w:color="auto" w:fill="auto"/>
            <w:vAlign w:val="bottom"/>
          </w:tcPr>
          <w:p w14:paraId="5556C62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2C"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2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1,627</w:t>
            </w:r>
          </w:p>
        </w:tc>
        <w:tc>
          <w:tcPr>
            <w:tcW w:w="0" w:type="auto"/>
            <w:tcBorders>
              <w:top w:val="single" w:sz="8" w:space="0" w:color="000000"/>
              <w:bottom w:val="single" w:sz="8" w:space="0" w:color="000000"/>
            </w:tcBorders>
            <w:shd w:val="clear" w:color="auto" w:fill="auto"/>
            <w:vAlign w:val="bottom"/>
          </w:tcPr>
          <w:p w14:paraId="5556C6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2F"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3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tcBorders>
              <w:top w:val="single" w:sz="8" w:space="0" w:color="000000"/>
              <w:bottom w:val="single" w:sz="8" w:space="0" w:color="000000"/>
            </w:tcBorders>
            <w:shd w:val="clear" w:color="auto" w:fill="auto"/>
            <w:vAlign w:val="bottom"/>
          </w:tcPr>
          <w:p w14:paraId="5556C631" w14:textId="77777777" w:rsidR="00F925DD" w:rsidRDefault="00F925DD">
            <w:pPr>
              <w:textAlignment w:val="bottom"/>
              <w:rPr>
                <w:rFonts w:ascii="Times New Roman" w:hAnsi="Times New Roman"/>
                <w:sz w:val="20"/>
                <w:szCs w:val="20"/>
              </w:rPr>
            </w:pPr>
          </w:p>
        </w:tc>
      </w:tr>
      <w:tr w:rsidR="00F925DD" w14:paraId="5556C63F" w14:textId="77777777">
        <w:tc>
          <w:tcPr>
            <w:tcW w:w="0" w:type="auto"/>
            <w:shd w:val="clear" w:color="auto" w:fill="CCEEFF"/>
            <w:tcMar>
              <w:top w:w="40" w:type="dxa"/>
              <w:left w:w="40" w:type="dxa"/>
              <w:bottom w:w="40" w:type="dxa"/>
              <w:right w:w="40" w:type="dxa"/>
            </w:tcMar>
            <w:vAlign w:val="bottom"/>
          </w:tcPr>
          <w:p w14:paraId="5556C633"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CCEEFF"/>
            <w:tcMar>
              <w:top w:w="40" w:type="dxa"/>
              <w:left w:w="40" w:type="dxa"/>
              <w:bottom w:w="40" w:type="dxa"/>
              <w:right w:w="40" w:type="dxa"/>
            </w:tcMar>
            <w:vAlign w:val="bottom"/>
          </w:tcPr>
          <w:p w14:paraId="5556C6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6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6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6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6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6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6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6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6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6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6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652" w14:textId="77777777">
        <w:tc>
          <w:tcPr>
            <w:tcW w:w="0" w:type="auto"/>
            <w:shd w:val="clear" w:color="auto" w:fill="auto"/>
            <w:tcMar>
              <w:top w:w="40" w:type="dxa"/>
              <w:left w:w="240" w:type="dxa"/>
              <w:bottom w:w="40" w:type="dxa"/>
              <w:right w:w="40" w:type="dxa"/>
            </w:tcMar>
            <w:vAlign w:val="bottom"/>
          </w:tcPr>
          <w:p w14:paraId="5556C640"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5556C64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228</w:t>
            </w:r>
          </w:p>
        </w:tc>
        <w:tc>
          <w:tcPr>
            <w:tcW w:w="0" w:type="auto"/>
            <w:shd w:val="clear" w:color="auto" w:fill="auto"/>
            <w:vAlign w:val="bottom"/>
          </w:tcPr>
          <w:p w14:paraId="5556C6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4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6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4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220</w:t>
            </w:r>
          </w:p>
        </w:tc>
        <w:tc>
          <w:tcPr>
            <w:tcW w:w="0" w:type="auto"/>
            <w:shd w:val="clear" w:color="auto" w:fill="auto"/>
            <w:vAlign w:val="bottom"/>
          </w:tcPr>
          <w:p w14:paraId="5556C6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4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6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4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448</w:t>
            </w:r>
          </w:p>
        </w:tc>
        <w:tc>
          <w:tcPr>
            <w:tcW w:w="0" w:type="auto"/>
            <w:shd w:val="clear" w:color="auto" w:fill="auto"/>
            <w:vAlign w:val="bottom"/>
          </w:tcPr>
          <w:p w14:paraId="5556C6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5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651" w14:textId="77777777" w:rsidR="00F925DD" w:rsidRDefault="00F925DD">
            <w:pPr>
              <w:textAlignment w:val="bottom"/>
              <w:rPr>
                <w:rFonts w:ascii="Times New Roman" w:hAnsi="Times New Roman"/>
                <w:sz w:val="20"/>
                <w:szCs w:val="20"/>
              </w:rPr>
            </w:pPr>
          </w:p>
        </w:tc>
      </w:tr>
      <w:tr w:rsidR="00F925DD" w14:paraId="5556C665" w14:textId="77777777">
        <w:tc>
          <w:tcPr>
            <w:tcW w:w="0" w:type="auto"/>
            <w:shd w:val="clear" w:color="auto" w:fill="CCEEFF"/>
            <w:tcMar>
              <w:top w:w="40" w:type="dxa"/>
              <w:left w:w="240" w:type="dxa"/>
              <w:bottom w:w="40" w:type="dxa"/>
              <w:right w:w="40" w:type="dxa"/>
            </w:tcMar>
            <w:vAlign w:val="bottom"/>
          </w:tcPr>
          <w:p w14:paraId="5556C653"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CCEEFF"/>
            <w:tcMar>
              <w:top w:w="40" w:type="dxa"/>
              <w:left w:w="40" w:type="dxa"/>
              <w:bottom w:w="40" w:type="dxa"/>
            </w:tcMar>
            <w:vAlign w:val="bottom"/>
          </w:tcPr>
          <w:p w14:paraId="5556C65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672</w:t>
            </w:r>
          </w:p>
        </w:tc>
        <w:tc>
          <w:tcPr>
            <w:tcW w:w="0" w:type="auto"/>
            <w:shd w:val="clear" w:color="auto" w:fill="CCEEFF"/>
            <w:vAlign w:val="bottom"/>
          </w:tcPr>
          <w:p w14:paraId="5556C65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5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5556C65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5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109</w:t>
            </w:r>
          </w:p>
        </w:tc>
        <w:tc>
          <w:tcPr>
            <w:tcW w:w="0" w:type="auto"/>
            <w:shd w:val="clear" w:color="auto" w:fill="CCEEFF"/>
            <w:vAlign w:val="bottom"/>
          </w:tcPr>
          <w:p w14:paraId="5556C6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5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5556C6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6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781</w:t>
            </w:r>
          </w:p>
        </w:tc>
        <w:tc>
          <w:tcPr>
            <w:tcW w:w="0" w:type="auto"/>
            <w:shd w:val="clear" w:color="auto" w:fill="CCEEFF"/>
            <w:vAlign w:val="bottom"/>
          </w:tcPr>
          <w:p w14:paraId="5556C6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6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w:t>
            </w:r>
          </w:p>
        </w:tc>
        <w:tc>
          <w:tcPr>
            <w:tcW w:w="0" w:type="auto"/>
            <w:shd w:val="clear" w:color="auto" w:fill="CCEEFF"/>
            <w:vAlign w:val="bottom"/>
          </w:tcPr>
          <w:p w14:paraId="5556C664" w14:textId="77777777" w:rsidR="00F925DD" w:rsidRDefault="00F925DD">
            <w:pPr>
              <w:textAlignment w:val="bottom"/>
              <w:rPr>
                <w:rFonts w:ascii="Times New Roman" w:hAnsi="Times New Roman"/>
                <w:sz w:val="20"/>
                <w:szCs w:val="20"/>
              </w:rPr>
            </w:pPr>
          </w:p>
        </w:tc>
      </w:tr>
      <w:tr w:rsidR="00F925DD" w14:paraId="5556C678" w14:textId="77777777">
        <w:tc>
          <w:tcPr>
            <w:tcW w:w="0" w:type="auto"/>
            <w:shd w:val="clear" w:color="auto" w:fill="auto"/>
            <w:tcMar>
              <w:top w:w="40" w:type="dxa"/>
              <w:left w:w="240" w:type="dxa"/>
              <w:bottom w:w="40" w:type="dxa"/>
              <w:right w:w="40" w:type="dxa"/>
            </w:tcMar>
            <w:vAlign w:val="bottom"/>
          </w:tcPr>
          <w:p w14:paraId="5556C666" w14:textId="77777777" w:rsidR="00F925DD" w:rsidRDefault="00E705D7">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shd w:val="clear" w:color="auto" w:fill="auto"/>
            <w:tcMar>
              <w:top w:w="40" w:type="dxa"/>
              <w:left w:w="40" w:type="dxa"/>
              <w:bottom w:w="40" w:type="dxa"/>
            </w:tcMar>
            <w:vAlign w:val="bottom"/>
          </w:tcPr>
          <w:p w14:paraId="5556C66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3,246</w:t>
            </w:r>
          </w:p>
        </w:tc>
        <w:tc>
          <w:tcPr>
            <w:tcW w:w="0" w:type="auto"/>
            <w:shd w:val="clear" w:color="auto" w:fill="auto"/>
            <w:vAlign w:val="bottom"/>
          </w:tcPr>
          <w:p w14:paraId="5556C66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6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66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6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6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7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67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7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3,246</w:t>
            </w:r>
          </w:p>
        </w:tc>
        <w:tc>
          <w:tcPr>
            <w:tcW w:w="0" w:type="auto"/>
            <w:shd w:val="clear" w:color="auto" w:fill="auto"/>
            <w:vAlign w:val="bottom"/>
          </w:tcPr>
          <w:p w14:paraId="5556C67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7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677" w14:textId="77777777" w:rsidR="00F925DD" w:rsidRDefault="00F925DD">
            <w:pPr>
              <w:textAlignment w:val="bottom"/>
              <w:rPr>
                <w:rFonts w:ascii="Times New Roman" w:hAnsi="Times New Roman"/>
                <w:sz w:val="20"/>
                <w:szCs w:val="20"/>
              </w:rPr>
            </w:pPr>
          </w:p>
        </w:tc>
      </w:tr>
      <w:tr w:rsidR="00F925DD" w14:paraId="5556C68B" w14:textId="77777777">
        <w:tc>
          <w:tcPr>
            <w:tcW w:w="0" w:type="auto"/>
            <w:shd w:val="clear" w:color="auto" w:fill="CCEEFF"/>
            <w:tcMar>
              <w:top w:w="40" w:type="dxa"/>
              <w:left w:w="240" w:type="dxa"/>
              <w:bottom w:w="40" w:type="dxa"/>
              <w:right w:w="40" w:type="dxa"/>
            </w:tcMar>
            <w:vAlign w:val="bottom"/>
          </w:tcPr>
          <w:p w14:paraId="5556C679"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67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2,736</w:t>
            </w:r>
          </w:p>
        </w:tc>
        <w:tc>
          <w:tcPr>
            <w:tcW w:w="0" w:type="auto"/>
            <w:tcBorders>
              <w:bottom w:val="single" w:sz="8" w:space="0" w:color="000000"/>
            </w:tcBorders>
            <w:shd w:val="clear" w:color="auto" w:fill="CCEEFF"/>
            <w:vAlign w:val="bottom"/>
          </w:tcPr>
          <w:p w14:paraId="5556C6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67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w:t>
            </w:r>
          </w:p>
        </w:tc>
        <w:tc>
          <w:tcPr>
            <w:tcW w:w="0" w:type="auto"/>
            <w:tcBorders>
              <w:bottom w:val="single" w:sz="8" w:space="0" w:color="000000"/>
            </w:tcBorders>
            <w:shd w:val="clear" w:color="auto" w:fill="CCEEFF"/>
            <w:vAlign w:val="bottom"/>
          </w:tcPr>
          <w:p w14:paraId="5556C67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68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187</w:t>
            </w:r>
          </w:p>
        </w:tc>
        <w:tc>
          <w:tcPr>
            <w:tcW w:w="0" w:type="auto"/>
            <w:tcBorders>
              <w:bottom w:val="single" w:sz="8" w:space="0" w:color="000000"/>
            </w:tcBorders>
            <w:shd w:val="clear" w:color="auto" w:fill="CCEEFF"/>
            <w:vAlign w:val="bottom"/>
          </w:tcPr>
          <w:p w14:paraId="5556C68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68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tcBorders>
              <w:bottom w:val="single" w:sz="8" w:space="0" w:color="000000"/>
            </w:tcBorders>
            <w:shd w:val="clear" w:color="auto" w:fill="CCEEFF"/>
            <w:vAlign w:val="bottom"/>
          </w:tcPr>
          <w:p w14:paraId="5556C68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8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2,923</w:t>
            </w:r>
          </w:p>
        </w:tc>
        <w:tc>
          <w:tcPr>
            <w:tcW w:w="0" w:type="auto"/>
            <w:shd w:val="clear" w:color="auto" w:fill="CCEEFF"/>
            <w:vAlign w:val="bottom"/>
          </w:tcPr>
          <w:p w14:paraId="5556C68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8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shd w:val="clear" w:color="auto" w:fill="CCEEFF"/>
            <w:vAlign w:val="bottom"/>
          </w:tcPr>
          <w:p w14:paraId="5556C68A" w14:textId="77777777" w:rsidR="00F925DD" w:rsidRDefault="00F925DD">
            <w:pPr>
              <w:textAlignment w:val="bottom"/>
              <w:rPr>
                <w:rFonts w:ascii="Times New Roman" w:hAnsi="Times New Roman"/>
                <w:sz w:val="20"/>
                <w:szCs w:val="20"/>
              </w:rPr>
            </w:pPr>
          </w:p>
        </w:tc>
      </w:tr>
      <w:tr w:rsidR="00F925DD" w14:paraId="5556C69E" w14:textId="77777777">
        <w:tc>
          <w:tcPr>
            <w:tcW w:w="0" w:type="auto"/>
            <w:shd w:val="clear" w:color="auto" w:fill="auto"/>
            <w:tcMar>
              <w:top w:w="40" w:type="dxa"/>
              <w:left w:w="400" w:type="dxa"/>
              <w:bottom w:w="40" w:type="dxa"/>
              <w:right w:w="40" w:type="dxa"/>
            </w:tcMar>
            <w:vAlign w:val="bottom"/>
          </w:tcPr>
          <w:p w14:paraId="5556C68C"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C68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6,882</w:t>
            </w:r>
          </w:p>
        </w:tc>
        <w:tc>
          <w:tcPr>
            <w:tcW w:w="0" w:type="auto"/>
            <w:tcBorders>
              <w:bottom w:val="single" w:sz="8" w:space="0" w:color="000000"/>
            </w:tcBorders>
            <w:shd w:val="clear" w:color="auto" w:fill="auto"/>
            <w:vAlign w:val="bottom"/>
          </w:tcPr>
          <w:p w14:paraId="5556C68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8F"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9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w:t>
            </w:r>
          </w:p>
        </w:tc>
        <w:tc>
          <w:tcPr>
            <w:tcW w:w="0" w:type="auto"/>
            <w:tcBorders>
              <w:top w:val="single" w:sz="8" w:space="0" w:color="000000"/>
              <w:bottom w:val="single" w:sz="8" w:space="0" w:color="000000"/>
            </w:tcBorders>
            <w:shd w:val="clear" w:color="auto" w:fill="auto"/>
            <w:vAlign w:val="bottom"/>
          </w:tcPr>
          <w:p w14:paraId="5556C69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92"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9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516</w:t>
            </w:r>
          </w:p>
        </w:tc>
        <w:tc>
          <w:tcPr>
            <w:tcW w:w="0" w:type="auto"/>
            <w:tcBorders>
              <w:top w:val="single" w:sz="8" w:space="0" w:color="000000"/>
              <w:bottom w:val="single" w:sz="8" w:space="0" w:color="000000"/>
            </w:tcBorders>
            <w:shd w:val="clear" w:color="auto" w:fill="auto"/>
            <w:vAlign w:val="bottom"/>
          </w:tcPr>
          <w:p w14:paraId="5556C69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95"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9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tcBorders>
              <w:top w:val="single" w:sz="8" w:space="0" w:color="000000"/>
              <w:bottom w:val="single" w:sz="8" w:space="0" w:color="000000"/>
            </w:tcBorders>
            <w:shd w:val="clear" w:color="auto" w:fill="auto"/>
            <w:vAlign w:val="bottom"/>
          </w:tcPr>
          <w:p w14:paraId="5556C69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98"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9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7,398</w:t>
            </w:r>
          </w:p>
        </w:tc>
        <w:tc>
          <w:tcPr>
            <w:tcW w:w="0" w:type="auto"/>
            <w:tcBorders>
              <w:top w:val="single" w:sz="8" w:space="0" w:color="000000"/>
              <w:bottom w:val="single" w:sz="8" w:space="0" w:color="000000"/>
            </w:tcBorders>
            <w:shd w:val="clear" w:color="auto" w:fill="auto"/>
            <w:vAlign w:val="bottom"/>
          </w:tcPr>
          <w:p w14:paraId="5556C69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9B"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69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w:t>
            </w:r>
          </w:p>
        </w:tc>
        <w:tc>
          <w:tcPr>
            <w:tcW w:w="0" w:type="auto"/>
            <w:tcBorders>
              <w:top w:val="single" w:sz="8" w:space="0" w:color="000000"/>
              <w:bottom w:val="single" w:sz="8" w:space="0" w:color="000000"/>
            </w:tcBorders>
            <w:shd w:val="clear" w:color="auto" w:fill="auto"/>
            <w:vAlign w:val="bottom"/>
          </w:tcPr>
          <w:p w14:paraId="5556C69D" w14:textId="77777777" w:rsidR="00F925DD" w:rsidRDefault="00F925DD">
            <w:pPr>
              <w:textAlignment w:val="bottom"/>
              <w:rPr>
                <w:rFonts w:ascii="Times New Roman" w:hAnsi="Times New Roman"/>
                <w:sz w:val="20"/>
                <w:szCs w:val="20"/>
              </w:rPr>
            </w:pPr>
          </w:p>
        </w:tc>
      </w:tr>
      <w:tr w:rsidR="00F925DD" w14:paraId="5556C6B1" w14:textId="77777777">
        <w:tc>
          <w:tcPr>
            <w:tcW w:w="0" w:type="auto"/>
            <w:shd w:val="clear" w:color="auto" w:fill="CCEEFF"/>
            <w:tcMar>
              <w:top w:w="40" w:type="dxa"/>
              <w:left w:w="40" w:type="dxa"/>
              <w:bottom w:w="40" w:type="dxa"/>
              <w:right w:w="40" w:type="dxa"/>
            </w:tcMar>
            <w:vAlign w:val="bottom"/>
          </w:tcPr>
          <w:p w14:paraId="5556C69F" w14:textId="77777777" w:rsidR="00F925DD" w:rsidRDefault="00E705D7">
            <w:pPr>
              <w:textAlignment w:val="bottom"/>
              <w:rPr>
                <w:rFonts w:ascii="Times New Roman" w:hAnsi="Times New Roman"/>
                <w:sz w:val="15"/>
                <w:szCs w:val="15"/>
              </w:rPr>
            </w:pPr>
            <w:r>
              <w:rPr>
                <w:rFonts w:ascii="Arial" w:eastAsia="宋体" w:hAnsi="Arial" w:cs="Arial"/>
                <w:sz w:val="15"/>
                <w:szCs w:val="15"/>
              </w:rPr>
              <w:t>State and political subdivisions</w:t>
            </w:r>
          </w:p>
        </w:tc>
        <w:tc>
          <w:tcPr>
            <w:tcW w:w="0" w:type="auto"/>
            <w:gridSpan w:val="2"/>
            <w:shd w:val="clear" w:color="auto" w:fill="CCEEFF"/>
            <w:tcMar>
              <w:top w:w="40" w:type="dxa"/>
              <w:left w:w="40" w:type="dxa"/>
              <w:bottom w:w="40" w:type="dxa"/>
            </w:tcMar>
            <w:vAlign w:val="bottom"/>
          </w:tcPr>
          <w:p w14:paraId="5556C6A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163</w:t>
            </w:r>
          </w:p>
        </w:tc>
        <w:tc>
          <w:tcPr>
            <w:tcW w:w="0" w:type="auto"/>
            <w:shd w:val="clear" w:color="auto" w:fill="CCEEFF"/>
            <w:vAlign w:val="bottom"/>
          </w:tcPr>
          <w:p w14:paraId="5556C6A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A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6A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A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shd w:val="clear" w:color="auto" w:fill="CCEEFF"/>
            <w:vAlign w:val="bottom"/>
          </w:tcPr>
          <w:p w14:paraId="5556C6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A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5556C6A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A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185</w:t>
            </w:r>
          </w:p>
        </w:tc>
        <w:tc>
          <w:tcPr>
            <w:tcW w:w="0" w:type="auto"/>
            <w:shd w:val="clear" w:color="auto" w:fill="CCEEFF"/>
            <w:vAlign w:val="bottom"/>
          </w:tcPr>
          <w:p w14:paraId="5556C6A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A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CCEEFF"/>
            <w:vAlign w:val="bottom"/>
          </w:tcPr>
          <w:p w14:paraId="5556C6B0" w14:textId="77777777" w:rsidR="00F925DD" w:rsidRDefault="00F925DD">
            <w:pPr>
              <w:textAlignment w:val="bottom"/>
              <w:rPr>
                <w:rFonts w:ascii="Times New Roman" w:hAnsi="Times New Roman"/>
                <w:sz w:val="20"/>
                <w:szCs w:val="20"/>
              </w:rPr>
            </w:pPr>
          </w:p>
        </w:tc>
      </w:tr>
      <w:tr w:rsidR="00F925DD" w14:paraId="5556C6C4" w14:textId="77777777">
        <w:tc>
          <w:tcPr>
            <w:tcW w:w="0" w:type="auto"/>
            <w:shd w:val="clear" w:color="auto" w:fill="auto"/>
            <w:tcMar>
              <w:top w:w="40" w:type="dxa"/>
              <w:left w:w="40" w:type="dxa"/>
              <w:bottom w:w="40" w:type="dxa"/>
              <w:right w:w="40" w:type="dxa"/>
            </w:tcMar>
            <w:vAlign w:val="bottom"/>
          </w:tcPr>
          <w:p w14:paraId="5556C6B2"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Collateralized mortgage obligations </w:t>
            </w:r>
          </w:p>
        </w:tc>
        <w:tc>
          <w:tcPr>
            <w:tcW w:w="0" w:type="auto"/>
            <w:gridSpan w:val="2"/>
            <w:shd w:val="clear" w:color="auto" w:fill="auto"/>
            <w:tcMar>
              <w:top w:w="40" w:type="dxa"/>
              <w:left w:w="40" w:type="dxa"/>
              <w:bottom w:w="40" w:type="dxa"/>
            </w:tcMar>
            <w:vAlign w:val="bottom"/>
          </w:tcPr>
          <w:p w14:paraId="5556C6B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w:t>
            </w:r>
          </w:p>
        </w:tc>
        <w:tc>
          <w:tcPr>
            <w:tcW w:w="0" w:type="auto"/>
            <w:shd w:val="clear" w:color="auto" w:fill="auto"/>
            <w:vAlign w:val="bottom"/>
          </w:tcPr>
          <w:p w14:paraId="5556C6B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B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6B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B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auto"/>
            <w:vAlign w:val="bottom"/>
          </w:tcPr>
          <w:p w14:paraId="5556C6B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B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6B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B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w:t>
            </w:r>
          </w:p>
        </w:tc>
        <w:tc>
          <w:tcPr>
            <w:tcW w:w="0" w:type="auto"/>
            <w:shd w:val="clear" w:color="auto" w:fill="auto"/>
            <w:vAlign w:val="bottom"/>
          </w:tcPr>
          <w:p w14:paraId="5556C6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6C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6C3" w14:textId="77777777" w:rsidR="00F925DD" w:rsidRDefault="00F925DD">
            <w:pPr>
              <w:textAlignment w:val="bottom"/>
              <w:rPr>
                <w:rFonts w:ascii="Times New Roman" w:hAnsi="Times New Roman"/>
                <w:sz w:val="20"/>
                <w:szCs w:val="20"/>
              </w:rPr>
            </w:pPr>
          </w:p>
        </w:tc>
      </w:tr>
      <w:tr w:rsidR="00F925DD" w14:paraId="5556C6D7" w14:textId="77777777">
        <w:tc>
          <w:tcPr>
            <w:tcW w:w="0" w:type="auto"/>
            <w:shd w:val="clear" w:color="auto" w:fill="CCEEFF"/>
            <w:tcMar>
              <w:top w:w="40" w:type="dxa"/>
              <w:left w:w="40" w:type="dxa"/>
              <w:bottom w:w="40" w:type="dxa"/>
              <w:right w:w="40" w:type="dxa"/>
            </w:tcMar>
            <w:vAlign w:val="bottom"/>
          </w:tcPr>
          <w:p w14:paraId="5556C6C5"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U.S. debt securities</w:t>
            </w:r>
          </w:p>
        </w:tc>
        <w:tc>
          <w:tcPr>
            <w:tcW w:w="0" w:type="auto"/>
            <w:gridSpan w:val="2"/>
            <w:shd w:val="clear" w:color="auto" w:fill="CCEEFF"/>
            <w:tcMar>
              <w:top w:w="40" w:type="dxa"/>
              <w:left w:w="40" w:type="dxa"/>
              <w:bottom w:w="40" w:type="dxa"/>
            </w:tcMar>
            <w:vAlign w:val="bottom"/>
          </w:tcPr>
          <w:p w14:paraId="5556C6C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219</w:t>
            </w:r>
          </w:p>
        </w:tc>
        <w:tc>
          <w:tcPr>
            <w:tcW w:w="0" w:type="auto"/>
            <w:shd w:val="clear" w:color="auto" w:fill="CCEEFF"/>
            <w:vAlign w:val="bottom"/>
          </w:tcPr>
          <w:p w14:paraId="5556C6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C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6C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C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w:t>
            </w:r>
          </w:p>
        </w:tc>
        <w:tc>
          <w:tcPr>
            <w:tcW w:w="0" w:type="auto"/>
            <w:shd w:val="clear" w:color="auto" w:fill="CCEEFF"/>
            <w:vAlign w:val="bottom"/>
          </w:tcPr>
          <w:p w14:paraId="5556C6C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C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6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D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233</w:t>
            </w:r>
          </w:p>
        </w:tc>
        <w:tc>
          <w:tcPr>
            <w:tcW w:w="0" w:type="auto"/>
            <w:shd w:val="clear" w:color="auto" w:fill="CCEEFF"/>
            <w:vAlign w:val="bottom"/>
          </w:tcPr>
          <w:p w14:paraId="5556C6D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6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6D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6D6" w14:textId="77777777" w:rsidR="00F925DD" w:rsidRDefault="00F925DD">
            <w:pPr>
              <w:textAlignment w:val="bottom"/>
              <w:rPr>
                <w:rFonts w:ascii="Times New Roman" w:hAnsi="Times New Roman"/>
                <w:sz w:val="20"/>
                <w:szCs w:val="20"/>
              </w:rPr>
            </w:pPr>
          </w:p>
        </w:tc>
      </w:tr>
      <w:tr w:rsidR="00F925DD" w14:paraId="5556C6F0" w14:textId="77777777">
        <w:tc>
          <w:tcPr>
            <w:tcW w:w="0" w:type="auto"/>
            <w:shd w:val="clear" w:color="auto" w:fill="auto"/>
            <w:tcMar>
              <w:top w:w="40" w:type="dxa"/>
              <w:left w:w="40" w:type="dxa"/>
              <w:bottom w:w="40" w:type="dxa"/>
              <w:right w:w="40" w:type="dxa"/>
            </w:tcMar>
            <w:vAlign w:val="bottom"/>
          </w:tcPr>
          <w:p w14:paraId="5556C6D8"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6D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6D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12,428</w:t>
            </w:r>
          </w:p>
        </w:tc>
        <w:tc>
          <w:tcPr>
            <w:tcW w:w="0" w:type="auto"/>
            <w:tcBorders>
              <w:top w:val="single" w:sz="8" w:space="0" w:color="000000"/>
              <w:bottom w:val="double" w:sz="6" w:space="0" w:color="000000"/>
            </w:tcBorders>
            <w:shd w:val="clear" w:color="auto" w:fill="auto"/>
            <w:vAlign w:val="bottom"/>
          </w:tcPr>
          <w:p w14:paraId="5556C6D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6D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6D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50</w:t>
            </w:r>
          </w:p>
        </w:tc>
        <w:tc>
          <w:tcPr>
            <w:tcW w:w="0" w:type="auto"/>
            <w:tcBorders>
              <w:top w:val="single" w:sz="8" w:space="0" w:color="000000"/>
              <w:bottom w:val="double" w:sz="6" w:space="0" w:color="000000"/>
            </w:tcBorders>
            <w:shd w:val="clear" w:color="auto" w:fill="auto"/>
            <w:vAlign w:val="bottom"/>
          </w:tcPr>
          <w:p w14:paraId="5556C6D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6E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6E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2,626</w:t>
            </w:r>
          </w:p>
        </w:tc>
        <w:tc>
          <w:tcPr>
            <w:tcW w:w="0" w:type="auto"/>
            <w:tcBorders>
              <w:top w:val="single" w:sz="8" w:space="0" w:color="000000"/>
              <w:bottom w:val="double" w:sz="6" w:space="0" w:color="000000"/>
            </w:tcBorders>
            <w:shd w:val="clear" w:color="auto" w:fill="auto"/>
            <w:vAlign w:val="bottom"/>
          </w:tcPr>
          <w:p w14:paraId="5556C6E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6E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6E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w:t>
            </w:r>
          </w:p>
        </w:tc>
        <w:tc>
          <w:tcPr>
            <w:tcW w:w="0" w:type="auto"/>
            <w:tcBorders>
              <w:top w:val="single" w:sz="8" w:space="0" w:color="000000"/>
              <w:bottom w:val="double" w:sz="6" w:space="0" w:color="000000"/>
            </w:tcBorders>
            <w:shd w:val="clear" w:color="auto" w:fill="auto"/>
            <w:vAlign w:val="bottom"/>
          </w:tcPr>
          <w:p w14:paraId="5556C6E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6E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6E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15,054</w:t>
            </w:r>
          </w:p>
        </w:tc>
        <w:tc>
          <w:tcPr>
            <w:tcW w:w="0" w:type="auto"/>
            <w:tcBorders>
              <w:top w:val="single" w:sz="8" w:space="0" w:color="000000"/>
              <w:bottom w:val="double" w:sz="6" w:space="0" w:color="000000"/>
            </w:tcBorders>
            <w:shd w:val="clear" w:color="auto" w:fill="auto"/>
            <w:vAlign w:val="bottom"/>
          </w:tcPr>
          <w:p w14:paraId="5556C6E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6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6E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6E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74</w:t>
            </w:r>
          </w:p>
        </w:tc>
        <w:tc>
          <w:tcPr>
            <w:tcW w:w="0" w:type="auto"/>
            <w:tcBorders>
              <w:top w:val="single" w:sz="8" w:space="0" w:color="000000"/>
              <w:bottom w:val="double" w:sz="6" w:space="0" w:color="000000"/>
            </w:tcBorders>
            <w:shd w:val="clear" w:color="auto" w:fill="auto"/>
            <w:vAlign w:val="bottom"/>
          </w:tcPr>
          <w:p w14:paraId="5556C6EF" w14:textId="77777777" w:rsidR="00F925DD" w:rsidRDefault="00F925DD">
            <w:pPr>
              <w:textAlignment w:val="bottom"/>
              <w:rPr>
                <w:rFonts w:ascii="Times New Roman" w:hAnsi="Times New Roman"/>
                <w:sz w:val="20"/>
                <w:szCs w:val="20"/>
              </w:rPr>
            </w:pPr>
          </w:p>
        </w:tc>
      </w:tr>
      <w:tr w:rsidR="00F925DD" w14:paraId="5556C6FD" w14:textId="77777777">
        <w:tc>
          <w:tcPr>
            <w:tcW w:w="0" w:type="auto"/>
            <w:shd w:val="clear" w:color="auto" w:fill="CCEEFF"/>
            <w:tcMar>
              <w:top w:w="40" w:type="dxa"/>
              <w:left w:w="40" w:type="dxa"/>
              <w:bottom w:w="40" w:type="dxa"/>
              <w:right w:w="40" w:type="dxa"/>
            </w:tcMar>
            <w:vAlign w:val="bottom"/>
          </w:tcPr>
          <w:p w14:paraId="5556C6F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Held-to-maturity:</w:t>
            </w:r>
          </w:p>
        </w:tc>
        <w:tc>
          <w:tcPr>
            <w:tcW w:w="0" w:type="auto"/>
            <w:gridSpan w:val="3"/>
            <w:shd w:val="clear" w:color="auto" w:fill="CCEEFF"/>
            <w:tcMar>
              <w:top w:w="40" w:type="dxa"/>
              <w:left w:w="40" w:type="dxa"/>
              <w:bottom w:w="40" w:type="dxa"/>
              <w:right w:w="40" w:type="dxa"/>
            </w:tcMar>
            <w:vAlign w:val="bottom"/>
          </w:tcPr>
          <w:p w14:paraId="5556C6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6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6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6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6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6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6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6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6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6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6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70A" w14:textId="77777777">
        <w:tc>
          <w:tcPr>
            <w:tcW w:w="0" w:type="auto"/>
            <w:shd w:val="clear" w:color="auto" w:fill="auto"/>
            <w:tcMar>
              <w:top w:w="40" w:type="dxa"/>
              <w:left w:w="40" w:type="dxa"/>
              <w:bottom w:w="40" w:type="dxa"/>
              <w:right w:w="40" w:type="dxa"/>
            </w:tcMar>
            <w:vAlign w:val="bottom"/>
          </w:tcPr>
          <w:p w14:paraId="5556C6FE" w14:textId="77777777" w:rsidR="00F925DD" w:rsidRDefault="00E705D7">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5556C6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7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7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7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7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7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7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7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7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7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7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723" w14:textId="77777777">
        <w:tc>
          <w:tcPr>
            <w:tcW w:w="0" w:type="auto"/>
            <w:shd w:val="clear" w:color="auto" w:fill="CCEEFF"/>
            <w:tcMar>
              <w:top w:w="40" w:type="dxa"/>
              <w:left w:w="240" w:type="dxa"/>
              <w:bottom w:w="40" w:type="dxa"/>
              <w:right w:w="40" w:type="dxa"/>
            </w:tcMar>
            <w:vAlign w:val="bottom"/>
          </w:tcPr>
          <w:p w14:paraId="5556C70B"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Direct </w:t>
            </w:r>
            <w:r>
              <w:rPr>
                <w:rFonts w:ascii="Arial" w:eastAsia="宋体" w:hAnsi="Arial" w:cs="Arial"/>
                <w:sz w:val="15"/>
                <w:szCs w:val="15"/>
              </w:rPr>
              <w:t>obligations</w:t>
            </w:r>
          </w:p>
        </w:tc>
        <w:tc>
          <w:tcPr>
            <w:tcW w:w="0" w:type="auto"/>
            <w:shd w:val="clear" w:color="auto" w:fill="CCEEFF"/>
            <w:tcMar>
              <w:top w:w="40" w:type="dxa"/>
              <w:left w:w="40" w:type="dxa"/>
              <w:bottom w:w="40" w:type="dxa"/>
            </w:tcMar>
            <w:vAlign w:val="bottom"/>
          </w:tcPr>
          <w:p w14:paraId="5556C70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70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604</w:t>
            </w:r>
          </w:p>
        </w:tc>
        <w:tc>
          <w:tcPr>
            <w:tcW w:w="0" w:type="auto"/>
            <w:shd w:val="clear" w:color="auto" w:fill="CCEEFF"/>
            <w:vAlign w:val="bottom"/>
          </w:tcPr>
          <w:p w14:paraId="5556C70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71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71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C7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71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71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2,262</w:t>
            </w:r>
          </w:p>
        </w:tc>
        <w:tc>
          <w:tcPr>
            <w:tcW w:w="0" w:type="auto"/>
            <w:shd w:val="clear" w:color="auto" w:fill="CCEEFF"/>
            <w:vAlign w:val="bottom"/>
          </w:tcPr>
          <w:p w14:paraId="5556C7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71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71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5556C7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71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71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2,866</w:t>
            </w:r>
          </w:p>
        </w:tc>
        <w:tc>
          <w:tcPr>
            <w:tcW w:w="0" w:type="auto"/>
            <w:shd w:val="clear" w:color="auto" w:fill="CCEEFF"/>
            <w:vAlign w:val="bottom"/>
          </w:tcPr>
          <w:p w14:paraId="5556C71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72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C72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w:t>
            </w:r>
          </w:p>
        </w:tc>
        <w:tc>
          <w:tcPr>
            <w:tcW w:w="0" w:type="auto"/>
            <w:shd w:val="clear" w:color="auto" w:fill="CCEEFF"/>
            <w:vAlign w:val="bottom"/>
          </w:tcPr>
          <w:p w14:paraId="5556C722" w14:textId="77777777" w:rsidR="00F925DD" w:rsidRDefault="00F925DD">
            <w:pPr>
              <w:textAlignment w:val="bottom"/>
              <w:rPr>
                <w:rFonts w:ascii="Times New Roman" w:hAnsi="Times New Roman"/>
                <w:sz w:val="20"/>
                <w:szCs w:val="20"/>
              </w:rPr>
            </w:pPr>
          </w:p>
        </w:tc>
      </w:tr>
      <w:tr w:rsidR="00F925DD" w14:paraId="5556C736" w14:textId="77777777">
        <w:tc>
          <w:tcPr>
            <w:tcW w:w="0" w:type="auto"/>
            <w:shd w:val="clear" w:color="auto" w:fill="auto"/>
            <w:tcMar>
              <w:top w:w="40" w:type="dxa"/>
              <w:left w:w="240" w:type="dxa"/>
              <w:bottom w:w="40" w:type="dxa"/>
              <w:right w:w="40" w:type="dxa"/>
            </w:tcMar>
            <w:vAlign w:val="bottom"/>
          </w:tcPr>
          <w:p w14:paraId="5556C724"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C72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6,056</w:t>
            </w:r>
          </w:p>
        </w:tc>
        <w:tc>
          <w:tcPr>
            <w:tcW w:w="0" w:type="auto"/>
            <w:tcBorders>
              <w:bottom w:val="single" w:sz="8" w:space="0" w:color="000000"/>
            </w:tcBorders>
            <w:shd w:val="clear" w:color="auto" w:fill="auto"/>
            <w:vAlign w:val="bottom"/>
          </w:tcPr>
          <w:p w14:paraId="5556C72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72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w:t>
            </w:r>
          </w:p>
        </w:tc>
        <w:tc>
          <w:tcPr>
            <w:tcW w:w="0" w:type="auto"/>
            <w:tcBorders>
              <w:bottom w:val="single" w:sz="8" w:space="0" w:color="000000"/>
            </w:tcBorders>
            <w:shd w:val="clear" w:color="auto" w:fill="auto"/>
            <w:vAlign w:val="bottom"/>
          </w:tcPr>
          <w:p w14:paraId="5556C7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72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1,606</w:t>
            </w:r>
          </w:p>
        </w:tc>
        <w:tc>
          <w:tcPr>
            <w:tcW w:w="0" w:type="auto"/>
            <w:tcBorders>
              <w:bottom w:val="single" w:sz="8" w:space="0" w:color="000000"/>
            </w:tcBorders>
            <w:shd w:val="clear" w:color="auto" w:fill="auto"/>
            <w:vAlign w:val="bottom"/>
          </w:tcPr>
          <w:p w14:paraId="5556C72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72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w:t>
            </w:r>
          </w:p>
        </w:tc>
        <w:tc>
          <w:tcPr>
            <w:tcW w:w="0" w:type="auto"/>
            <w:tcBorders>
              <w:bottom w:val="single" w:sz="8" w:space="0" w:color="000000"/>
            </w:tcBorders>
            <w:shd w:val="clear" w:color="auto" w:fill="auto"/>
            <w:vAlign w:val="bottom"/>
          </w:tcPr>
          <w:p w14:paraId="5556C72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3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7,662</w:t>
            </w:r>
          </w:p>
        </w:tc>
        <w:tc>
          <w:tcPr>
            <w:tcW w:w="0" w:type="auto"/>
            <w:shd w:val="clear" w:color="auto" w:fill="auto"/>
            <w:vAlign w:val="bottom"/>
          </w:tcPr>
          <w:p w14:paraId="5556C73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3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44</w:t>
            </w:r>
          </w:p>
        </w:tc>
        <w:tc>
          <w:tcPr>
            <w:tcW w:w="0" w:type="auto"/>
            <w:shd w:val="clear" w:color="auto" w:fill="auto"/>
            <w:vAlign w:val="bottom"/>
          </w:tcPr>
          <w:p w14:paraId="5556C735" w14:textId="77777777" w:rsidR="00F925DD" w:rsidRDefault="00F925DD">
            <w:pPr>
              <w:textAlignment w:val="bottom"/>
              <w:rPr>
                <w:rFonts w:ascii="Times New Roman" w:hAnsi="Times New Roman"/>
                <w:sz w:val="20"/>
                <w:szCs w:val="20"/>
              </w:rPr>
            </w:pPr>
          </w:p>
        </w:tc>
      </w:tr>
      <w:tr w:rsidR="00F925DD" w14:paraId="5556C749" w14:textId="77777777">
        <w:tc>
          <w:tcPr>
            <w:tcW w:w="0" w:type="auto"/>
            <w:shd w:val="clear" w:color="auto" w:fill="CCEEFF"/>
            <w:tcMar>
              <w:top w:w="40" w:type="dxa"/>
              <w:left w:w="400" w:type="dxa"/>
              <w:bottom w:w="40" w:type="dxa"/>
              <w:right w:w="40" w:type="dxa"/>
            </w:tcMar>
            <w:vAlign w:val="bottom"/>
          </w:tcPr>
          <w:p w14:paraId="5556C737"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3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6,660</w:t>
            </w:r>
          </w:p>
        </w:tc>
        <w:tc>
          <w:tcPr>
            <w:tcW w:w="0" w:type="auto"/>
            <w:tcBorders>
              <w:top w:val="single" w:sz="8" w:space="0" w:color="000000"/>
              <w:bottom w:val="single" w:sz="8" w:space="0" w:color="000000"/>
            </w:tcBorders>
            <w:shd w:val="clear" w:color="auto" w:fill="CCEEFF"/>
            <w:vAlign w:val="bottom"/>
          </w:tcPr>
          <w:p w14:paraId="5556C73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3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w:t>
            </w:r>
          </w:p>
        </w:tc>
        <w:tc>
          <w:tcPr>
            <w:tcW w:w="0" w:type="auto"/>
            <w:tcBorders>
              <w:top w:val="single" w:sz="8" w:space="0" w:color="000000"/>
              <w:bottom w:val="single" w:sz="8" w:space="0" w:color="000000"/>
            </w:tcBorders>
            <w:shd w:val="clear" w:color="auto" w:fill="CCEEFF"/>
            <w:vAlign w:val="bottom"/>
          </w:tcPr>
          <w:p w14:paraId="5556C7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3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3,868</w:t>
            </w:r>
          </w:p>
        </w:tc>
        <w:tc>
          <w:tcPr>
            <w:tcW w:w="0" w:type="auto"/>
            <w:tcBorders>
              <w:top w:val="single" w:sz="8" w:space="0" w:color="000000"/>
              <w:bottom w:val="single" w:sz="8" w:space="0" w:color="000000"/>
            </w:tcBorders>
            <w:shd w:val="clear" w:color="auto" w:fill="CCEEFF"/>
            <w:vAlign w:val="bottom"/>
          </w:tcPr>
          <w:p w14:paraId="5556C73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4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w:t>
            </w:r>
          </w:p>
        </w:tc>
        <w:tc>
          <w:tcPr>
            <w:tcW w:w="0" w:type="auto"/>
            <w:tcBorders>
              <w:top w:val="single" w:sz="8" w:space="0" w:color="000000"/>
              <w:bottom w:val="single" w:sz="8" w:space="0" w:color="000000"/>
            </w:tcBorders>
            <w:shd w:val="clear" w:color="auto" w:fill="CCEEFF"/>
            <w:vAlign w:val="bottom"/>
          </w:tcPr>
          <w:p w14:paraId="5556C7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4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10,528</w:t>
            </w:r>
          </w:p>
        </w:tc>
        <w:tc>
          <w:tcPr>
            <w:tcW w:w="0" w:type="auto"/>
            <w:tcBorders>
              <w:top w:val="single" w:sz="8" w:space="0" w:color="000000"/>
              <w:bottom w:val="single" w:sz="8" w:space="0" w:color="000000"/>
            </w:tcBorders>
            <w:shd w:val="clear" w:color="auto" w:fill="CCEEFF"/>
            <w:vAlign w:val="bottom"/>
          </w:tcPr>
          <w:p w14:paraId="5556C74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4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47</w:t>
            </w:r>
          </w:p>
        </w:tc>
        <w:tc>
          <w:tcPr>
            <w:tcW w:w="0" w:type="auto"/>
            <w:tcBorders>
              <w:top w:val="single" w:sz="8" w:space="0" w:color="000000"/>
              <w:bottom w:val="single" w:sz="8" w:space="0" w:color="000000"/>
            </w:tcBorders>
            <w:shd w:val="clear" w:color="auto" w:fill="CCEEFF"/>
            <w:vAlign w:val="bottom"/>
          </w:tcPr>
          <w:p w14:paraId="5556C748" w14:textId="77777777" w:rsidR="00F925DD" w:rsidRDefault="00F925DD">
            <w:pPr>
              <w:textAlignment w:val="bottom"/>
              <w:rPr>
                <w:rFonts w:ascii="Times New Roman" w:hAnsi="Times New Roman"/>
                <w:sz w:val="20"/>
                <w:szCs w:val="20"/>
              </w:rPr>
            </w:pPr>
          </w:p>
        </w:tc>
      </w:tr>
      <w:tr w:rsidR="00F925DD" w14:paraId="5556C758" w14:textId="77777777">
        <w:tc>
          <w:tcPr>
            <w:tcW w:w="0" w:type="auto"/>
            <w:shd w:val="clear" w:color="auto" w:fill="auto"/>
            <w:tcMar>
              <w:top w:w="40" w:type="dxa"/>
              <w:left w:w="40" w:type="dxa"/>
              <w:bottom w:w="40" w:type="dxa"/>
              <w:right w:w="40" w:type="dxa"/>
            </w:tcMar>
            <w:vAlign w:val="bottom"/>
          </w:tcPr>
          <w:p w14:paraId="5556C74A"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auto"/>
            <w:tcMar>
              <w:top w:w="40" w:type="dxa"/>
              <w:left w:w="40" w:type="dxa"/>
              <w:bottom w:w="40" w:type="dxa"/>
              <w:right w:w="40" w:type="dxa"/>
            </w:tcMar>
            <w:vAlign w:val="bottom"/>
          </w:tcPr>
          <w:p w14:paraId="5556C7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7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7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7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7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7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7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7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53" w14:textId="77777777" w:rsidR="00F925DD" w:rsidRDefault="00F925DD">
            <w:pPr>
              <w:jc w:val="right"/>
              <w:textAlignment w:val="bottom"/>
              <w:rPr>
                <w:rFonts w:ascii="Times New Roman" w:hAnsi="Times New Roman"/>
                <w:sz w:val="15"/>
                <w:szCs w:val="15"/>
              </w:rPr>
            </w:pPr>
          </w:p>
        </w:tc>
        <w:tc>
          <w:tcPr>
            <w:tcW w:w="0" w:type="auto"/>
            <w:shd w:val="clear" w:color="auto" w:fill="auto"/>
            <w:vAlign w:val="bottom"/>
          </w:tcPr>
          <w:p w14:paraId="5556C75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56" w14:textId="77777777" w:rsidR="00F925DD" w:rsidRDefault="00F925DD">
            <w:pPr>
              <w:jc w:val="right"/>
              <w:textAlignment w:val="bottom"/>
              <w:rPr>
                <w:rFonts w:ascii="Times New Roman" w:hAnsi="Times New Roman"/>
                <w:sz w:val="15"/>
                <w:szCs w:val="15"/>
              </w:rPr>
            </w:pPr>
          </w:p>
        </w:tc>
        <w:tc>
          <w:tcPr>
            <w:tcW w:w="0" w:type="auto"/>
            <w:shd w:val="clear" w:color="auto" w:fill="auto"/>
            <w:vAlign w:val="bottom"/>
          </w:tcPr>
          <w:p w14:paraId="5556C757" w14:textId="77777777" w:rsidR="00F925DD" w:rsidRDefault="00F925DD">
            <w:pPr>
              <w:textAlignment w:val="bottom"/>
              <w:rPr>
                <w:rFonts w:ascii="Times New Roman" w:hAnsi="Times New Roman"/>
                <w:sz w:val="20"/>
                <w:szCs w:val="20"/>
              </w:rPr>
            </w:pPr>
          </w:p>
        </w:tc>
      </w:tr>
      <w:tr w:rsidR="00F925DD" w14:paraId="5556C76B" w14:textId="77777777">
        <w:tc>
          <w:tcPr>
            <w:tcW w:w="0" w:type="auto"/>
            <w:shd w:val="clear" w:color="auto" w:fill="CCEEFF"/>
            <w:tcMar>
              <w:top w:w="40" w:type="dxa"/>
              <w:left w:w="240" w:type="dxa"/>
              <w:bottom w:w="40" w:type="dxa"/>
              <w:right w:w="40" w:type="dxa"/>
            </w:tcMar>
            <w:vAlign w:val="bottom"/>
          </w:tcPr>
          <w:p w14:paraId="5556C759" w14:textId="77777777" w:rsidR="00F925DD" w:rsidRDefault="00E705D7">
            <w:pPr>
              <w:textAlignment w:val="bottom"/>
              <w:rPr>
                <w:rFonts w:ascii="Times New Roman" w:hAnsi="Times New Roman"/>
                <w:sz w:val="15"/>
                <w:szCs w:val="15"/>
              </w:rPr>
            </w:pPr>
            <w:r>
              <w:rPr>
                <w:rFonts w:ascii="Arial" w:eastAsia="宋体" w:hAnsi="Arial" w:cs="Arial"/>
                <w:sz w:val="15"/>
                <w:szCs w:val="15"/>
              </w:rPr>
              <w:t>Student loans</w:t>
            </w:r>
          </w:p>
        </w:tc>
        <w:tc>
          <w:tcPr>
            <w:tcW w:w="0" w:type="auto"/>
            <w:gridSpan w:val="2"/>
            <w:shd w:val="clear" w:color="auto" w:fill="CCEEFF"/>
            <w:tcMar>
              <w:top w:w="40" w:type="dxa"/>
              <w:left w:w="40" w:type="dxa"/>
              <w:bottom w:w="40" w:type="dxa"/>
            </w:tcMar>
            <w:vAlign w:val="bottom"/>
          </w:tcPr>
          <w:p w14:paraId="5556C75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2,003</w:t>
            </w:r>
          </w:p>
        </w:tc>
        <w:tc>
          <w:tcPr>
            <w:tcW w:w="0" w:type="auto"/>
            <w:shd w:val="clear" w:color="auto" w:fill="CCEEFF"/>
            <w:vAlign w:val="bottom"/>
          </w:tcPr>
          <w:p w14:paraId="5556C7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75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shd w:val="clear" w:color="auto" w:fill="CCEEFF"/>
            <w:vAlign w:val="bottom"/>
          </w:tcPr>
          <w:p w14:paraId="5556C7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76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778</w:t>
            </w:r>
          </w:p>
        </w:tc>
        <w:tc>
          <w:tcPr>
            <w:tcW w:w="0" w:type="auto"/>
            <w:shd w:val="clear" w:color="auto" w:fill="CCEEFF"/>
            <w:vAlign w:val="bottom"/>
          </w:tcPr>
          <w:p w14:paraId="5556C7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76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w:t>
            </w:r>
          </w:p>
        </w:tc>
        <w:tc>
          <w:tcPr>
            <w:tcW w:w="0" w:type="auto"/>
            <w:shd w:val="clear" w:color="auto" w:fill="CCEEFF"/>
            <w:vAlign w:val="bottom"/>
          </w:tcPr>
          <w:p w14:paraId="5556C7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76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2,781</w:t>
            </w:r>
          </w:p>
        </w:tc>
        <w:tc>
          <w:tcPr>
            <w:tcW w:w="0" w:type="auto"/>
            <w:shd w:val="clear" w:color="auto" w:fill="CCEEFF"/>
            <w:vAlign w:val="bottom"/>
          </w:tcPr>
          <w:p w14:paraId="5556C76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76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w:t>
            </w:r>
          </w:p>
        </w:tc>
        <w:tc>
          <w:tcPr>
            <w:tcW w:w="0" w:type="auto"/>
            <w:shd w:val="clear" w:color="auto" w:fill="CCEEFF"/>
            <w:vAlign w:val="bottom"/>
          </w:tcPr>
          <w:p w14:paraId="5556C76A" w14:textId="77777777" w:rsidR="00F925DD" w:rsidRDefault="00F925DD">
            <w:pPr>
              <w:textAlignment w:val="bottom"/>
              <w:rPr>
                <w:rFonts w:ascii="Times New Roman" w:hAnsi="Times New Roman"/>
                <w:sz w:val="20"/>
                <w:szCs w:val="20"/>
              </w:rPr>
            </w:pPr>
          </w:p>
        </w:tc>
      </w:tr>
      <w:tr w:rsidR="00F925DD" w14:paraId="5556C77E" w14:textId="77777777">
        <w:tc>
          <w:tcPr>
            <w:tcW w:w="0" w:type="auto"/>
            <w:shd w:val="clear" w:color="auto" w:fill="auto"/>
            <w:tcMar>
              <w:top w:w="40" w:type="dxa"/>
              <w:left w:w="400" w:type="dxa"/>
              <w:bottom w:w="40" w:type="dxa"/>
              <w:right w:w="40" w:type="dxa"/>
            </w:tcMar>
            <w:vAlign w:val="bottom"/>
          </w:tcPr>
          <w:p w14:paraId="5556C76C"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76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2,003</w:t>
            </w:r>
          </w:p>
        </w:tc>
        <w:tc>
          <w:tcPr>
            <w:tcW w:w="0" w:type="auto"/>
            <w:tcBorders>
              <w:top w:val="single" w:sz="8" w:space="0" w:color="000000"/>
              <w:bottom w:val="single" w:sz="8" w:space="0" w:color="000000"/>
            </w:tcBorders>
            <w:shd w:val="clear" w:color="auto" w:fill="auto"/>
            <w:vAlign w:val="bottom"/>
          </w:tcPr>
          <w:p w14:paraId="5556C7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77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w:t>
            </w:r>
          </w:p>
        </w:tc>
        <w:tc>
          <w:tcPr>
            <w:tcW w:w="0" w:type="auto"/>
            <w:tcBorders>
              <w:top w:val="single" w:sz="8" w:space="0" w:color="000000"/>
              <w:bottom w:val="single" w:sz="8" w:space="0" w:color="000000"/>
            </w:tcBorders>
            <w:shd w:val="clear" w:color="auto" w:fill="auto"/>
            <w:vAlign w:val="bottom"/>
          </w:tcPr>
          <w:p w14:paraId="5556C77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77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778</w:t>
            </w:r>
          </w:p>
        </w:tc>
        <w:tc>
          <w:tcPr>
            <w:tcW w:w="0" w:type="auto"/>
            <w:tcBorders>
              <w:top w:val="single" w:sz="8" w:space="0" w:color="000000"/>
              <w:bottom w:val="single" w:sz="8" w:space="0" w:color="000000"/>
            </w:tcBorders>
            <w:shd w:val="clear" w:color="auto" w:fill="auto"/>
            <w:vAlign w:val="bottom"/>
          </w:tcPr>
          <w:p w14:paraId="5556C77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77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w:t>
            </w:r>
          </w:p>
        </w:tc>
        <w:tc>
          <w:tcPr>
            <w:tcW w:w="0" w:type="auto"/>
            <w:tcBorders>
              <w:top w:val="single" w:sz="8" w:space="0" w:color="000000"/>
              <w:bottom w:val="single" w:sz="8" w:space="0" w:color="000000"/>
            </w:tcBorders>
            <w:shd w:val="clear" w:color="auto" w:fill="auto"/>
            <w:vAlign w:val="bottom"/>
          </w:tcPr>
          <w:p w14:paraId="5556C77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78" w14:textId="77777777" w:rsidR="00F925DD" w:rsidRDefault="00F925DD">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77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2,781</w:t>
            </w:r>
          </w:p>
        </w:tc>
        <w:tc>
          <w:tcPr>
            <w:tcW w:w="0" w:type="auto"/>
            <w:tcBorders>
              <w:top w:val="single" w:sz="8" w:space="0" w:color="000000"/>
              <w:bottom w:val="single" w:sz="8" w:space="0" w:color="000000"/>
            </w:tcBorders>
            <w:shd w:val="clear" w:color="auto" w:fill="auto"/>
            <w:vAlign w:val="bottom"/>
          </w:tcPr>
          <w:p w14:paraId="5556C7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7B" w14:textId="77777777" w:rsidR="00F925DD" w:rsidRDefault="00F925DD">
            <w:pPr>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77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41</w:t>
            </w:r>
          </w:p>
        </w:tc>
        <w:tc>
          <w:tcPr>
            <w:tcW w:w="0" w:type="auto"/>
            <w:tcBorders>
              <w:top w:val="single" w:sz="8" w:space="0" w:color="000000"/>
              <w:bottom w:val="single" w:sz="8" w:space="0" w:color="000000"/>
            </w:tcBorders>
            <w:shd w:val="clear" w:color="auto" w:fill="auto"/>
            <w:vAlign w:val="bottom"/>
          </w:tcPr>
          <w:p w14:paraId="5556C77D" w14:textId="77777777" w:rsidR="00F925DD" w:rsidRDefault="00F925DD">
            <w:pPr>
              <w:textAlignment w:val="bottom"/>
              <w:rPr>
                <w:rFonts w:ascii="Times New Roman" w:hAnsi="Times New Roman"/>
                <w:sz w:val="20"/>
                <w:szCs w:val="20"/>
              </w:rPr>
            </w:pPr>
          </w:p>
        </w:tc>
      </w:tr>
      <w:tr w:rsidR="00F925DD" w14:paraId="5556C78B" w14:textId="77777777">
        <w:tc>
          <w:tcPr>
            <w:tcW w:w="0" w:type="auto"/>
            <w:shd w:val="clear" w:color="auto" w:fill="CCEEFF"/>
            <w:tcMar>
              <w:top w:w="40" w:type="dxa"/>
              <w:left w:w="40" w:type="dxa"/>
              <w:bottom w:w="40" w:type="dxa"/>
              <w:right w:w="40" w:type="dxa"/>
            </w:tcMar>
            <w:vAlign w:val="bottom"/>
          </w:tcPr>
          <w:p w14:paraId="5556C77F"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CCEEFF"/>
            <w:tcMar>
              <w:top w:w="40" w:type="dxa"/>
              <w:left w:w="40" w:type="dxa"/>
              <w:bottom w:w="40" w:type="dxa"/>
              <w:right w:w="40" w:type="dxa"/>
            </w:tcMar>
            <w:vAlign w:val="bottom"/>
          </w:tcPr>
          <w:p w14:paraId="5556C7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7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7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7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7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7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7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7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7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7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7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79E" w14:textId="77777777">
        <w:tc>
          <w:tcPr>
            <w:tcW w:w="0" w:type="auto"/>
            <w:shd w:val="clear" w:color="auto" w:fill="auto"/>
            <w:tcMar>
              <w:top w:w="40" w:type="dxa"/>
              <w:left w:w="240" w:type="dxa"/>
              <w:bottom w:w="40" w:type="dxa"/>
              <w:right w:w="40" w:type="dxa"/>
            </w:tcMar>
            <w:vAlign w:val="bottom"/>
          </w:tcPr>
          <w:p w14:paraId="5556C78C"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auto"/>
            <w:tcMar>
              <w:top w:w="40" w:type="dxa"/>
              <w:left w:w="40" w:type="dxa"/>
              <w:bottom w:w="40" w:type="dxa"/>
            </w:tcMar>
            <w:vAlign w:val="bottom"/>
          </w:tcPr>
          <w:p w14:paraId="5556C78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78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9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79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9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138</w:t>
            </w:r>
          </w:p>
        </w:tc>
        <w:tc>
          <w:tcPr>
            <w:tcW w:w="0" w:type="auto"/>
            <w:shd w:val="clear" w:color="auto" w:fill="auto"/>
            <w:vAlign w:val="bottom"/>
          </w:tcPr>
          <w:p w14:paraId="5556C79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9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auto"/>
            <w:vAlign w:val="bottom"/>
          </w:tcPr>
          <w:p w14:paraId="5556C79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9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138</w:t>
            </w:r>
          </w:p>
        </w:tc>
        <w:tc>
          <w:tcPr>
            <w:tcW w:w="0" w:type="auto"/>
            <w:shd w:val="clear" w:color="auto" w:fill="auto"/>
            <w:vAlign w:val="bottom"/>
          </w:tcPr>
          <w:p w14:paraId="5556C79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9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shd w:val="clear" w:color="auto" w:fill="auto"/>
            <w:vAlign w:val="bottom"/>
          </w:tcPr>
          <w:p w14:paraId="5556C79D" w14:textId="77777777" w:rsidR="00F925DD" w:rsidRDefault="00F925DD">
            <w:pPr>
              <w:textAlignment w:val="bottom"/>
              <w:rPr>
                <w:rFonts w:ascii="Times New Roman" w:hAnsi="Times New Roman"/>
                <w:sz w:val="20"/>
                <w:szCs w:val="20"/>
              </w:rPr>
            </w:pPr>
          </w:p>
        </w:tc>
      </w:tr>
      <w:tr w:rsidR="00F925DD" w14:paraId="5556C7B1" w14:textId="77777777">
        <w:tc>
          <w:tcPr>
            <w:tcW w:w="0" w:type="auto"/>
            <w:shd w:val="clear" w:color="auto" w:fill="CCEEFF"/>
            <w:tcMar>
              <w:top w:w="40" w:type="dxa"/>
              <w:left w:w="400" w:type="dxa"/>
              <w:bottom w:w="40" w:type="dxa"/>
              <w:right w:w="40" w:type="dxa"/>
            </w:tcMar>
            <w:vAlign w:val="bottom"/>
          </w:tcPr>
          <w:p w14:paraId="5556C79F"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A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CCEEFF"/>
            <w:vAlign w:val="bottom"/>
          </w:tcPr>
          <w:p w14:paraId="5556C7A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A2"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A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CCEEFF"/>
            <w:vAlign w:val="bottom"/>
          </w:tcPr>
          <w:p w14:paraId="5556C7A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A5"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A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138</w:t>
            </w:r>
          </w:p>
        </w:tc>
        <w:tc>
          <w:tcPr>
            <w:tcW w:w="0" w:type="auto"/>
            <w:tcBorders>
              <w:top w:val="single" w:sz="8" w:space="0" w:color="000000"/>
              <w:bottom w:val="single" w:sz="8" w:space="0" w:color="000000"/>
            </w:tcBorders>
            <w:shd w:val="clear" w:color="auto" w:fill="CCEEFF"/>
            <w:vAlign w:val="bottom"/>
          </w:tcPr>
          <w:p w14:paraId="5556C7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A8"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A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tcBorders>
              <w:top w:val="single" w:sz="8" w:space="0" w:color="000000"/>
              <w:bottom w:val="single" w:sz="8" w:space="0" w:color="000000"/>
            </w:tcBorders>
            <w:shd w:val="clear" w:color="auto" w:fill="CCEEFF"/>
            <w:vAlign w:val="bottom"/>
          </w:tcPr>
          <w:p w14:paraId="5556C7A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AB"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A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138</w:t>
            </w:r>
          </w:p>
        </w:tc>
        <w:tc>
          <w:tcPr>
            <w:tcW w:w="0" w:type="auto"/>
            <w:tcBorders>
              <w:top w:val="single" w:sz="8" w:space="0" w:color="000000"/>
              <w:bottom w:val="single" w:sz="8" w:space="0" w:color="000000"/>
            </w:tcBorders>
            <w:shd w:val="clear" w:color="auto" w:fill="CCEEFF"/>
            <w:vAlign w:val="bottom"/>
          </w:tcPr>
          <w:p w14:paraId="5556C7A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AE" w14:textId="77777777" w:rsidR="00F925DD" w:rsidRDefault="00F925DD">
            <w:pPr>
              <w:jc w:val="right"/>
              <w:textAlignment w:val="bottom"/>
              <w:rPr>
                <w:rFonts w:ascii="Times New Roman" w:hAnsi="Times New Roman"/>
                <w:sz w:val="15"/>
                <w:szCs w:val="15"/>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7A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w:t>
            </w:r>
          </w:p>
        </w:tc>
        <w:tc>
          <w:tcPr>
            <w:tcW w:w="0" w:type="auto"/>
            <w:tcBorders>
              <w:top w:val="single" w:sz="8" w:space="0" w:color="000000"/>
              <w:bottom w:val="single" w:sz="8" w:space="0" w:color="000000"/>
            </w:tcBorders>
            <w:shd w:val="clear" w:color="auto" w:fill="CCEEFF"/>
            <w:vAlign w:val="bottom"/>
          </w:tcPr>
          <w:p w14:paraId="5556C7B0" w14:textId="77777777" w:rsidR="00F925DD" w:rsidRDefault="00F925DD">
            <w:pPr>
              <w:textAlignment w:val="bottom"/>
              <w:rPr>
                <w:rFonts w:ascii="Times New Roman" w:hAnsi="Times New Roman"/>
                <w:sz w:val="20"/>
                <w:szCs w:val="20"/>
              </w:rPr>
            </w:pPr>
          </w:p>
        </w:tc>
      </w:tr>
      <w:tr w:rsidR="00F925DD" w14:paraId="5556C7C4" w14:textId="77777777">
        <w:tc>
          <w:tcPr>
            <w:tcW w:w="0" w:type="auto"/>
            <w:shd w:val="clear" w:color="auto" w:fill="auto"/>
            <w:tcMar>
              <w:top w:w="40" w:type="dxa"/>
              <w:left w:w="40" w:type="dxa"/>
              <w:bottom w:w="40" w:type="dxa"/>
              <w:right w:w="40" w:type="dxa"/>
            </w:tcMar>
            <w:vAlign w:val="bottom"/>
          </w:tcPr>
          <w:p w14:paraId="5556C7B2"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Collateralized mortgage obligations </w:t>
            </w:r>
          </w:p>
        </w:tc>
        <w:tc>
          <w:tcPr>
            <w:tcW w:w="0" w:type="auto"/>
            <w:gridSpan w:val="2"/>
            <w:shd w:val="clear" w:color="auto" w:fill="auto"/>
            <w:tcMar>
              <w:top w:w="40" w:type="dxa"/>
              <w:left w:w="40" w:type="dxa"/>
              <w:bottom w:w="40" w:type="dxa"/>
            </w:tcMar>
            <w:vAlign w:val="bottom"/>
          </w:tcPr>
          <w:p w14:paraId="5556C7B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w:t>
            </w:r>
          </w:p>
        </w:tc>
        <w:tc>
          <w:tcPr>
            <w:tcW w:w="0" w:type="auto"/>
            <w:shd w:val="clear" w:color="auto" w:fill="auto"/>
            <w:vAlign w:val="bottom"/>
          </w:tcPr>
          <w:p w14:paraId="5556C7B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B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C7B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B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110</w:t>
            </w:r>
          </w:p>
        </w:tc>
        <w:tc>
          <w:tcPr>
            <w:tcW w:w="0" w:type="auto"/>
            <w:shd w:val="clear" w:color="auto" w:fill="auto"/>
            <w:vAlign w:val="bottom"/>
          </w:tcPr>
          <w:p w14:paraId="5556C7B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B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7B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B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123</w:t>
            </w:r>
          </w:p>
        </w:tc>
        <w:tc>
          <w:tcPr>
            <w:tcW w:w="0" w:type="auto"/>
            <w:shd w:val="clear" w:color="auto" w:fill="auto"/>
            <w:vAlign w:val="bottom"/>
          </w:tcPr>
          <w:p w14:paraId="5556C7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7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7C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C7C3" w14:textId="77777777" w:rsidR="00F925DD" w:rsidRDefault="00F925DD">
            <w:pPr>
              <w:textAlignment w:val="bottom"/>
              <w:rPr>
                <w:rFonts w:ascii="Times New Roman" w:hAnsi="Times New Roman"/>
                <w:sz w:val="20"/>
                <w:szCs w:val="20"/>
              </w:rPr>
            </w:pPr>
          </w:p>
        </w:tc>
      </w:tr>
      <w:tr w:rsidR="00F925DD" w14:paraId="5556C7DD" w14:textId="77777777">
        <w:tc>
          <w:tcPr>
            <w:tcW w:w="0" w:type="auto"/>
            <w:shd w:val="clear" w:color="auto" w:fill="CCEEFF"/>
            <w:tcMar>
              <w:top w:w="40" w:type="dxa"/>
              <w:left w:w="40" w:type="dxa"/>
              <w:bottom w:w="40" w:type="dxa"/>
              <w:right w:w="40" w:type="dxa"/>
            </w:tcMar>
            <w:vAlign w:val="bottom"/>
          </w:tcPr>
          <w:p w14:paraId="5556C7C5"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7C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7C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8,676</w:t>
            </w:r>
          </w:p>
        </w:tc>
        <w:tc>
          <w:tcPr>
            <w:tcW w:w="0" w:type="auto"/>
            <w:tcBorders>
              <w:top w:val="single" w:sz="8" w:space="0" w:color="000000"/>
              <w:bottom w:val="double" w:sz="6" w:space="0" w:color="000000"/>
            </w:tcBorders>
            <w:shd w:val="clear" w:color="auto" w:fill="CCEEFF"/>
            <w:vAlign w:val="bottom"/>
          </w:tcPr>
          <w:p w14:paraId="5556C7C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C9" w14:textId="77777777" w:rsidR="00F925DD" w:rsidRDefault="00F925DD">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7C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7C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w:t>
            </w:r>
          </w:p>
        </w:tc>
        <w:tc>
          <w:tcPr>
            <w:tcW w:w="0" w:type="auto"/>
            <w:tcBorders>
              <w:top w:val="single" w:sz="8" w:space="0" w:color="000000"/>
              <w:bottom w:val="double" w:sz="6" w:space="0" w:color="000000"/>
            </w:tcBorders>
            <w:shd w:val="clear" w:color="auto" w:fill="CCEEFF"/>
            <w:vAlign w:val="bottom"/>
          </w:tcPr>
          <w:p w14:paraId="5556C7C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CD" w14:textId="77777777" w:rsidR="00F925DD" w:rsidRDefault="00F925DD">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7C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7C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4,894</w:t>
            </w:r>
          </w:p>
        </w:tc>
        <w:tc>
          <w:tcPr>
            <w:tcW w:w="0" w:type="auto"/>
            <w:tcBorders>
              <w:top w:val="single" w:sz="8" w:space="0" w:color="000000"/>
              <w:bottom w:val="double" w:sz="6" w:space="0" w:color="000000"/>
            </w:tcBorders>
            <w:shd w:val="clear" w:color="auto" w:fill="CCEEFF"/>
            <w:vAlign w:val="bottom"/>
          </w:tcPr>
          <w:p w14:paraId="5556C7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D1" w14:textId="77777777" w:rsidR="00F925DD" w:rsidRDefault="00F925DD">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7D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7D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42</w:t>
            </w:r>
          </w:p>
        </w:tc>
        <w:tc>
          <w:tcPr>
            <w:tcW w:w="0" w:type="auto"/>
            <w:tcBorders>
              <w:top w:val="single" w:sz="8" w:space="0" w:color="000000"/>
              <w:bottom w:val="double" w:sz="6" w:space="0" w:color="000000"/>
            </w:tcBorders>
            <w:shd w:val="clear" w:color="auto" w:fill="CCEEFF"/>
            <w:vAlign w:val="bottom"/>
          </w:tcPr>
          <w:p w14:paraId="5556C7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D5" w14:textId="77777777" w:rsidR="00F925DD" w:rsidRDefault="00F925DD">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7D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7D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13,570</w:t>
            </w:r>
          </w:p>
        </w:tc>
        <w:tc>
          <w:tcPr>
            <w:tcW w:w="0" w:type="auto"/>
            <w:tcBorders>
              <w:top w:val="single" w:sz="8" w:space="0" w:color="000000"/>
              <w:bottom w:val="double" w:sz="6" w:space="0" w:color="000000"/>
            </w:tcBorders>
            <w:shd w:val="clear" w:color="auto" w:fill="CCEEFF"/>
            <w:vAlign w:val="bottom"/>
          </w:tcPr>
          <w:p w14:paraId="5556C7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7D9" w14:textId="77777777" w:rsidR="00F925DD" w:rsidRDefault="00F925DD">
            <w:pPr>
              <w:textAlignment w:val="bottom"/>
              <w:rPr>
                <w:rFonts w:ascii="Times New Roman" w:hAnsi="Times New Roman"/>
                <w:sz w:val="15"/>
                <w:szCs w:val="15"/>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7D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7D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95</w:t>
            </w:r>
          </w:p>
        </w:tc>
        <w:tc>
          <w:tcPr>
            <w:tcW w:w="0" w:type="auto"/>
            <w:tcBorders>
              <w:top w:val="single" w:sz="8" w:space="0" w:color="000000"/>
              <w:bottom w:val="double" w:sz="6" w:space="0" w:color="000000"/>
            </w:tcBorders>
            <w:shd w:val="clear" w:color="auto" w:fill="CCEEFF"/>
            <w:vAlign w:val="bottom"/>
          </w:tcPr>
          <w:p w14:paraId="5556C7DC" w14:textId="77777777" w:rsidR="00F925DD" w:rsidRDefault="00F925DD">
            <w:pPr>
              <w:textAlignment w:val="bottom"/>
              <w:rPr>
                <w:rFonts w:ascii="Times New Roman" w:hAnsi="Times New Roman"/>
                <w:sz w:val="20"/>
                <w:szCs w:val="20"/>
              </w:rPr>
            </w:pPr>
          </w:p>
        </w:tc>
      </w:tr>
    </w:tbl>
    <w:p w14:paraId="5556C7DE" w14:textId="77777777" w:rsidR="00F925DD" w:rsidRDefault="00F925DD">
      <w:pPr>
        <w:rPr>
          <w:rFonts w:ascii="Times New Roman" w:hAnsi="Times New Roman"/>
          <w:sz w:val="20"/>
          <w:szCs w:val="20"/>
        </w:rPr>
      </w:pPr>
    </w:p>
    <w:p w14:paraId="5556C7DF"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137</w:t>
      </w:r>
    </w:p>
    <w:p w14:paraId="5556C7E0" w14:textId="77777777" w:rsidR="00F925DD" w:rsidRDefault="00F925DD">
      <w:pPr>
        <w:spacing w:line="288" w:lineRule="auto"/>
        <w:ind w:firstLine="600"/>
        <w:jc w:val="center"/>
        <w:rPr>
          <w:rFonts w:ascii="Times New Roman" w:hAnsi="Times New Roman"/>
          <w:sz w:val="18"/>
          <w:szCs w:val="18"/>
        </w:rPr>
      </w:pPr>
    </w:p>
    <w:p w14:paraId="5556C7E1" w14:textId="77777777" w:rsidR="00F925DD" w:rsidRDefault="00E705D7">
      <w:r>
        <w:rPr>
          <w:rFonts w:ascii="Times New Roman" w:hAnsi="Times New Roman"/>
          <w:sz w:val="18"/>
          <w:szCs w:val="18"/>
        </w:rPr>
        <w:pict w14:anchorId="555706C3">
          <v:rect id="_x0000_i1161" style="width:415.3pt;height:1.5pt" o:hralign="center" o:hrstd="t" o:hr="t" fillcolor="#a0a0a0" stroked="f"/>
        </w:pict>
      </w:r>
    </w:p>
    <w:p w14:paraId="5556C7E2"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C7E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C7E4" w14:textId="77777777" w:rsidR="00F925DD" w:rsidRDefault="00F925D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49"/>
        <w:gridCol w:w="124"/>
        <w:gridCol w:w="459"/>
        <w:gridCol w:w="6"/>
        <w:gridCol w:w="130"/>
        <w:gridCol w:w="125"/>
        <w:gridCol w:w="672"/>
        <w:gridCol w:w="83"/>
        <w:gridCol w:w="130"/>
        <w:gridCol w:w="124"/>
        <w:gridCol w:w="459"/>
        <w:gridCol w:w="6"/>
        <w:gridCol w:w="130"/>
        <w:gridCol w:w="125"/>
        <w:gridCol w:w="672"/>
        <w:gridCol w:w="83"/>
        <w:gridCol w:w="130"/>
        <w:gridCol w:w="124"/>
        <w:gridCol w:w="459"/>
        <w:gridCol w:w="6"/>
        <w:gridCol w:w="130"/>
        <w:gridCol w:w="125"/>
        <w:gridCol w:w="672"/>
        <w:gridCol w:w="83"/>
      </w:tblGrid>
      <w:tr w:rsidR="00F925DD" w14:paraId="5556C7E6" w14:textId="77777777">
        <w:trPr>
          <w:jc w:val="center"/>
        </w:trPr>
        <w:tc>
          <w:tcPr>
            <w:tcW w:w="0" w:type="auto"/>
            <w:gridSpan w:val="24"/>
            <w:shd w:val="clear" w:color="auto" w:fill="auto"/>
            <w:vAlign w:val="center"/>
          </w:tcPr>
          <w:p w14:paraId="5556C7E5" w14:textId="77777777" w:rsidR="00F925DD" w:rsidRDefault="00F925DD">
            <w:pPr>
              <w:rPr>
                <w:rFonts w:ascii="Times New Roman" w:hAnsi="Times New Roman"/>
                <w:sz w:val="20"/>
                <w:szCs w:val="20"/>
              </w:rPr>
            </w:pPr>
          </w:p>
        </w:tc>
      </w:tr>
      <w:tr w:rsidR="00F925DD" w14:paraId="5556C7FF" w14:textId="77777777">
        <w:trPr>
          <w:jc w:val="center"/>
        </w:trPr>
        <w:tc>
          <w:tcPr>
            <w:tcW w:w="2050" w:type="pct"/>
            <w:shd w:val="clear" w:color="auto" w:fill="auto"/>
            <w:vAlign w:val="center"/>
          </w:tcPr>
          <w:p w14:paraId="5556C7E7" w14:textId="77777777" w:rsidR="00F925DD" w:rsidRDefault="00F925DD">
            <w:pPr>
              <w:rPr>
                <w:rFonts w:ascii="Times New Roman" w:hAnsi="Times New Roman"/>
                <w:sz w:val="20"/>
                <w:szCs w:val="20"/>
              </w:rPr>
            </w:pPr>
          </w:p>
        </w:tc>
        <w:tc>
          <w:tcPr>
            <w:tcW w:w="50" w:type="pct"/>
            <w:shd w:val="clear" w:color="auto" w:fill="auto"/>
            <w:vAlign w:val="center"/>
          </w:tcPr>
          <w:p w14:paraId="5556C7E8" w14:textId="77777777" w:rsidR="00F925DD" w:rsidRDefault="00F925DD">
            <w:pPr>
              <w:rPr>
                <w:rFonts w:ascii="Times New Roman" w:hAnsi="Times New Roman"/>
                <w:sz w:val="20"/>
                <w:szCs w:val="20"/>
              </w:rPr>
            </w:pPr>
          </w:p>
        </w:tc>
        <w:tc>
          <w:tcPr>
            <w:tcW w:w="300" w:type="pct"/>
            <w:shd w:val="clear" w:color="auto" w:fill="auto"/>
            <w:vAlign w:val="center"/>
          </w:tcPr>
          <w:p w14:paraId="5556C7E9" w14:textId="77777777" w:rsidR="00F925DD" w:rsidRDefault="00F925DD">
            <w:pPr>
              <w:rPr>
                <w:rFonts w:ascii="Times New Roman" w:hAnsi="Times New Roman"/>
                <w:sz w:val="20"/>
                <w:szCs w:val="20"/>
              </w:rPr>
            </w:pPr>
          </w:p>
        </w:tc>
        <w:tc>
          <w:tcPr>
            <w:tcW w:w="50" w:type="pct"/>
            <w:shd w:val="clear" w:color="auto" w:fill="auto"/>
            <w:vAlign w:val="center"/>
          </w:tcPr>
          <w:p w14:paraId="5556C7EA" w14:textId="77777777" w:rsidR="00F925DD" w:rsidRDefault="00F925DD">
            <w:pPr>
              <w:rPr>
                <w:rFonts w:ascii="Times New Roman" w:hAnsi="Times New Roman"/>
                <w:sz w:val="20"/>
                <w:szCs w:val="20"/>
              </w:rPr>
            </w:pPr>
          </w:p>
        </w:tc>
        <w:tc>
          <w:tcPr>
            <w:tcW w:w="50" w:type="pct"/>
            <w:shd w:val="clear" w:color="auto" w:fill="auto"/>
            <w:vAlign w:val="center"/>
          </w:tcPr>
          <w:p w14:paraId="5556C7EB" w14:textId="77777777" w:rsidR="00F925DD" w:rsidRDefault="00F925DD">
            <w:pPr>
              <w:rPr>
                <w:rFonts w:ascii="Times New Roman" w:hAnsi="Times New Roman"/>
                <w:sz w:val="20"/>
                <w:szCs w:val="20"/>
              </w:rPr>
            </w:pPr>
          </w:p>
        </w:tc>
        <w:tc>
          <w:tcPr>
            <w:tcW w:w="50" w:type="pct"/>
            <w:shd w:val="clear" w:color="auto" w:fill="auto"/>
            <w:vAlign w:val="center"/>
          </w:tcPr>
          <w:p w14:paraId="5556C7EC" w14:textId="77777777" w:rsidR="00F925DD" w:rsidRDefault="00F925DD">
            <w:pPr>
              <w:rPr>
                <w:rFonts w:ascii="Times New Roman" w:hAnsi="Times New Roman"/>
                <w:sz w:val="20"/>
                <w:szCs w:val="20"/>
              </w:rPr>
            </w:pPr>
          </w:p>
        </w:tc>
        <w:tc>
          <w:tcPr>
            <w:tcW w:w="400" w:type="pct"/>
            <w:shd w:val="clear" w:color="auto" w:fill="auto"/>
            <w:vAlign w:val="center"/>
          </w:tcPr>
          <w:p w14:paraId="5556C7ED" w14:textId="77777777" w:rsidR="00F925DD" w:rsidRDefault="00F925DD">
            <w:pPr>
              <w:rPr>
                <w:rFonts w:ascii="Times New Roman" w:hAnsi="Times New Roman"/>
                <w:sz w:val="20"/>
                <w:szCs w:val="20"/>
              </w:rPr>
            </w:pPr>
          </w:p>
        </w:tc>
        <w:tc>
          <w:tcPr>
            <w:tcW w:w="50" w:type="pct"/>
            <w:shd w:val="clear" w:color="auto" w:fill="auto"/>
            <w:vAlign w:val="center"/>
          </w:tcPr>
          <w:p w14:paraId="5556C7EE" w14:textId="77777777" w:rsidR="00F925DD" w:rsidRDefault="00F925DD">
            <w:pPr>
              <w:rPr>
                <w:rFonts w:ascii="Times New Roman" w:hAnsi="Times New Roman"/>
                <w:sz w:val="20"/>
                <w:szCs w:val="20"/>
              </w:rPr>
            </w:pPr>
          </w:p>
        </w:tc>
        <w:tc>
          <w:tcPr>
            <w:tcW w:w="50" w:type="pct"/>
            <w:shd w:val="clear" w:color="auto" w:fill="auto"/>
            <w:vAlign w:val="center"/>
          </w:tcPr>
          <w:p w14:paraId="5556C7EF" w14:textId="77777777" w:rsidR="00F925DD" w:rsidRDefault="00F925DD">
            <w:pPr>
              <w:rPr>
                <w:rFonts w:ascii="Times New Roman" w:hAnsi="Times New Roman"/>
                <w:sz w:val="20"/>
                <w:szCs w:val="20"/>
              </w:rPr>
            </w:pPr>
          </w:p>
        </w:tc>
        <w:tc>
          <w:tcPr>
            <w:tcW w:w="50" w:type="pct"/>
            <w:shd w:val="clear" w:color="auto" w:fill="auto"/>
            <w:vAlign w:val="center"/>
          </w:tcPr>
          <w:p w14:paraId="5556C7F0" w14:textId="77777777" w:rsidR="00F925DD" w:rsidRDefault="00F925DD">
            <w:pPr>
              <w:rPr>
                <w:rFonts w:ascii="Times New Roman" w:hAnsi="Times New Roman"/>
                <w:sz w:val="20"/>
                <w:szCs w:val="20"/>
              </w:rPr>
            </w:pPr>
          </w:p>
        </w:tc>
        <w:tc>
          <w:tcPr>
            <w:tcW w:w="300" w:type="pct"/>
            <w:shd w:val="clear" w:color="auto" w:fill="auto"/>
            <w:vAlign w:val="center"/>
          </w:tcPr>
          <w:p w14:paraId="5556C7F1" w14:textId="77777777" w:rsidR="00F925DD" w:rsidRDefault="00F925DD">
            <w:pPr>
              <w:rPr>
                <w:rFonts w:ascii="Times New Roman" w:hAnsi="Times New Roman"/>
                <w:sz w:val="20"/>
                <w:szCs w:val="20"/>
              </w:rPr>
            </w:pPr>
          </w:p>
        </w:tc>
        <w:tc>
          <w:tcPr>
            <w:tcW w:w="50" w:type="pct"/>
            <w:shd w:val="clear" w:color="auto" w:fill="auto"/>
            <w:vAlign w:val="center"/>
          </w:tcPr>
          <w:p w14:paraId="5556C7F2" w14:textId="77777777" w:rsidR="00F925DD" w:rsidRDefault="00F925DD">
            <w:pPr>
              <w:rPr>
                <w:rFonts w:ascii="Times New Roman" w:hAnsi="Times New Roman"/>
                <w:sz w:val="20"/>
                <w:szCs w:val="20"/>
              </w:rPr>
            </w:pPr>
          </w:p>
        </w:tc>
        <w:tc>
          <w:tcPr>
            <w:tcW w:w="50" w:type="pct"/>
            <w:shd w:val="clear" w:color="auto" w:fill="auto"/>
            <w:vAlign w:val="center"/>
          </w:tcPr>
          <w:p w14:paraId="5556C7F3" w14:textId="77777777" w:rsidR="00F925DD" w:rsidRDefault="00F925DD">
            <w:pPr>
              <w:rPr>
                <w:rFonts w:ascii="Times New Roman" w:hAnsi="Times New Roman"/>
                <w:sz w:val="20"/>
                <w:szCs w:val="20"/>
              </w:rPr>
            </w:pPr>
          </w:p>
        </w:tc>
        <w:tc>
          <w:tcPr>
            <w:tcW w:w="50" w:type="pct"/>
            <w:shd w:val="clear" w:color="auto" w:fill="auto"/>
            <w:vAlign w:val="center"/>
          </w:tcPr>
          <w:p w14:paraId="5556C7F4" w14:textId="77777777" w:rsidR="00F925DD" w:rsidRDefault="00F925DD">
            <w:pPr>
              <w:rPr>
                <w:rFonts w:ascii="Times New Roman" w:hAnsi="Times New Roman"/>
                <w:sz w:val="20"/>
                <w:szCs w:val="20"/>
              </w:rPr>
            </w:pPr>
          </w:p>
        </w:tc>
        <w:tc>
          <w:tcPr>
            <w:tcW w:w="400" w:type="pct"/>
            <w:shd w:val="clear" w:color="auto" w:fill="auto"/>
            <w:vAlign w:val="center"/>
          </w:tcPr>
          <w:p w14:paraId="5556C7F5" w14:textId="77777777" w:rsidR="00F925DD" w:rsidRDefault="00F925DD">
            <w:pPr>
              <w:rPr>
                <w:rFonts w:ascii="Times New Roman" w:hAnsi="Times New Roman"/>
                <w:sz w:val="20"/>
                <w:szCs w:val="20"/>
              </w:rPr>
            </w:pPr>
          </w:p>
        </w:tc>
        <w:tc>
          <w:tcPr>
            <w:tcW w:w="50" w:type="pct"/>
            <w:shd w:val="clear" w:color="auto" w:fill="auto"/>
            <w:vAlign w:val="center"/>
          </w:tcPr>
          <w:p w14:paraId="5556C7F6" w14:textId="77777777" w:rsidR="00F925DD" w:rsidRDefault="00F925DD">
            <w:pPr>
              <w:rPr>
                <w:rFonts w:ascii="Times New Roman" w:hAnsi="Times New Roman"/>
                <w:sz w:val="20"/>
                <w:szCs w:val="20"/>
              </w:rPr>
            </w:pPr>
          </w:p>
        </w:tc>
        <w:tc>
          <w:tcPr>
            <w:tcW w:w="50" w:type="pct"/>
            <w:shd w:val="clear" w:color="auto" w:fill="auto"/>
            <w:vAlign w:val="center"/>
          </w:tcPr>
          <w:p w14:paraId="5556C7F7" w14:textId="77777777" w:rsidR="00F925DD" w:rsidRDefault="00F925DD">
            <w:pPr>
              <w:rPr>
                <w:rFonts w:ascii="Times New Roman" w:hAnsi="Times New Roman"/>
                <w:sz w:val="20"/>
                <w:szCs w:val="20"/>
              </w:rPr>
            </w:pPr>
          </w:p>
        </w:tc>
        <w:tc>
          <w:tcPr>
            <w:tcW w:w="50" w:type="pct"/>
            <w:shd w:val="clear" w:color="auto" w:fill="auto"/>
            <w:vAlign w:val="center"/>
          </w:tcPr>
          <w:p w14:paraId="5556C7F8" w14:textId="77777777" w:rsidR="00F925DD" w:rsidRDefault="00F925DD">
            <w:pPr>
              <w:rPr>
                <w:rFonts w:ascii="Times New Roman" w:hAnsi="Times New Roman"/>
                <w:sz w:val="20"/>
                <w:szCs w:val="20"/>
              </w:rPr>
            </w:pPr>
          </w:p>
        </w:tc>
        <w:tc>
          <w:tcPr>
            <w:tcW w:w="300" w:type="pct"/>
            <w:shd w:val="clear" w:color="auto" w:fill="auto"/>
            <w:vAlign w:val="center"/>
          </w:tcPr>
          <w:p w14:paraId="5556C7F9" w14:textId="77777777" w:rsidR="00F925DD" w:rsidRDefault="00F925DD">
            <w:pPr>
              <w:rPr>
                <w:rFonts w:ascii="Times New Roman" w:hAnsi="Times New Roman"/>
                <w:sz w:val="20"/>
                <w:szCs w:val="20"/>
              </w:rPr>
            </w:pPr>
          </w:p>
        </w:tc>
        <w:tc>
          <w:tcPr>
            <w:tcW w:w="50" w:type="pct"/>
            <w:shd w:val="clear" w:color="auto" w:fill="auto"/>
            <w:vAlign w:val="center"/>
          </w:tcPr>
          <w:p w14:paraId="5556C7FA" w14:textId="77777777" w:rsidR="00F925DD" w:rsidRDefault="00F925DD">
            <w:pPr>
              <w:rPr>
                <w:rFonts w:ascii="Times New Roman" w:hAnsi="Times New Roman"/>
                <w:sz w:val="20"/>
                <w:szCs w:val="20"/>
              </w:rPr>
            </w:pPr>
          </w:p>
        </w:tc>
        <w:tc>
          <w:tcPr>
            <w:tcW w:w="50" w:type="pct"/>
            <w:shd w:val="clear" w:color="auto" w:fill="auto"/>
            <w:vAlign w:val="center"/>
          </w:tcPr>
          <w:p w14:paraId="5556C7FB" w14:textId="77777777" w:rsidR="00F925DD" w:rsidRDefault="00F925DD">
            <w:pPr>
              <w:rPr>
                <w:rFonts w:ascii="Times New Roman" w:hAnsi="Times New Roman"/>
                <w:sz w:val="20"/>
                <w:szCs w:val="20"/>
              </w:rPr>
            </w:pPr>
          </w:p>
        </w:tc>
        <w:tc>
          <w:tcPr>
            <w:tcW w:w="50" w:type="pct"/>
            <w:shd w:val="clear" w:color="auto" w:fill="auto"/>
            <w:vAlign w:val="center"/>
          </w:tcPr>
          <w:p w14:paraId="5556C7FC" w14:textId="77777777" w:rsidR="00F925DD" w:rsidRDefault="00F925DD">
            <w:pPr>
              <w:rPr>
                <w:rFonts w:ascii="Times New Roman" w:hAnsi="Times New Roman"/>
                <w:sz w:val="20"/>
                <w:szCs w:val="20"/>
              </w:rPr>
            </w:pPr>
          </w:p>
        </w:tc>
        <w:tc>
          <w:tcPr>
            <w:tcW w:w="400" w:type="pct"/>
            <w:shd w:val="clear" w:color="auto" w:fill="auto"/>
            <w:vAlign w:val="center"/>
          </w:tcPr>
          <w:p w14:paraId="5556C7FD" w14:textId="77777777" w:rsidR="00F925DD" w:rsidRDefault="00F925DD">
            <w:pPr>
              <w:rPr>
                <w:rFonts w:ascii="Times New Roman" w:hAnsi="Times New Roman"/>
                <w:sz w:val="20"/>
                <w:szCs w:val="20"/>
              </w:rPr>
            </w:pPr>
          </w:p>
        </w:tc>
        <w:tc>
          <w:tcPr>
            <w:tcW w:w="50" w:type="pct"/>
            <w:shd w:val="clear" w:color="auto" w:fill="auto"/>
            <w:vAlign w:val="center"/>
          </w:tcPr>
          <w:p w14:paraId="5556C7FE" w14:textId="77777777" w:rsidR="00F925DD" w:rsidRDefault="00F925DD">
            <w:pPr>
              <w:rPr>
                <w:rFonts w:ascii="Times New Roman" w:hAnsi="Times New Roman"/>
                <w:sz w:val="20"/>
                <w:szCs w:val="20"/>
              </w:rPr>
            </w:pPr>
          </w:p>
        </w:tc>
      </w:tr>
      <w:tr w:rsidR="00F925DD" w14:paraId="5556C802" w14:textId="77777777">
        <w:trPr>
          <w:jc w:val="center"/>
        </w:trPr>
        <w:tc>
          <w:tcPr>
            <w:tcW w:w="0" w:type="auto"/>
            <w:shd w:val="clear" w:color="auto" w:fill="auto"/>
            <w:tcMar>
              <w:top w:w="40" w:type="dxa"/>
              <w:left w:w="40" w:type="dxa"/>
              <w:bottom w:w="40" w:type="dxa"/>
              <w:right w:w="40" w:type="dxa"/>
            </w:tcMar>
            <w:vAlign w:val="bottom"/>
          </w:tcPr>
          <w:p w14:paraId="5556C8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5556C80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 of December 31, 2018</w:t>
            </w:r>
          </w:p>
        </w:tc>
      </w:tr>
      <w:tr w:rsidR="00F925DD" w14:paraId="5556C809" w14:textId="77777777">
        <w:trPr>
          <w:jc w:val="center"/>
        </w:trPr>
        <w:tc>
          <w:tcPr>
            <w:tcW w:w="0" w:type="auto"/>
            <w:shd w:val="clear" w:color="auto" w:fill="auto"/>
            <w:tcMar>
              <w:top w:w="40" w:type="dxa"/>
              <w:left w:w="40" w:type="dxa"/>
              <w:bottom w:w="40" w:type="dxa"/>
              <w:right w:w="40" w:type="dxa"/>
            </w:tcMar>
            <w:vAlign w:val="bottom"/>
          </w:tcPr>
          <w:p w14:paraId="5556C8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80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Less than 12 months</w:t>
            </w:r>
          </w:p>
        </w:tc>
        <w:tc>
          <w:tcPr>
            <w:tcW w:w="0" w:type="auto"/>
            <w:shd w:val="clear" w:color="auto" w:fill="auto"/>
            <w:tcMar>
              <w:top w:w="40" w:type="dxa"/>
              <w:left w:w="40" w:type="dxa"/>
              <w:bottom w:w="40" w:type="dxa"/>
              <w:right w:w="40" w:type="dxa"/>
            </w:tcMar>
            <w:vAlign w:val="bottom"/>
          </w:tcPr>
          <w:p w14:paraId="5556C8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80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12 months or longer</w:t>
            </w:r>
          </w:p>
        </w:tc>
        <w:tc>
          <w:tcPr>
            <w:tcW w:w="0" w:type="auto"/>
            <w:shd w:val="clear" w:color="auto" w:fill="auto"/>
            <w:tcMar>
              <w:top w:w="40" w:type="dxa"/>
              <w:left w:w="40" w:type="dxa"/>
              <w:bottom w:w="40" w:type="dxa"/>
              <w:right w:w="40" w:type="dxa"/>
            </w:tcMar>
            <w:vAlign w:val="bottom"/>
          </w:tcPr>
          <w:p w14:paraId="5556C8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80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r>
      <w:tr w:rsidR="00F925DD" w14:paraId="5556C81F" w14:textId="77777777">
        <w:trPr>
          <w:jc w:val="center"/>
        </w:trPr>
        <w:tc>
          <w:tcPr>
            <w:tcW w:w="0" w:type="auto"/>
            <w:shd w:val="clear" w:color="auto" w:fill="auto"/>
            <w:tcMar>
              <w:top w:w="40" w:type="dxa"/>
              <w:left w:w="40" w:type="dxa"/>
              <w:bottom w:w="40" w:type="dxa"/>
              <w:right w:w="40" w:type="dxa"/>
            </w:tcMar>
            <w:vAlign w:val="bottom"/>
          </w:tcPr>
          <w:p w14:paraId="5556C80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80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Fair</w:t>
            </w:r>
          </w:p>
          <w:p w14:paraId="5556C80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5556C8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80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w:t>
            </w:r>
          </w:p>
          <w:p w14:paraId="5556C80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Unrealized</w:t>
            </w:r>
          </w:p>
          <w:p w14:paraId="5556C81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5556C8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81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Fair</w:t>
            </w:r>
          </w:p>
          <w:p w14:paraId="5556C81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5556C8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81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w:t>
            </w:r>
          </w:p>
          <w:p w14:paraId="5556C81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Unrealized</w:t>
            </w:r>
          </w:p>
          <w:p w14:paraId="5556C81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Losses</w:t>
            </w:r>
          </w:p>
        </w:tc>
        <w:tc>
          <w:tcPr>
            <w:tcW w:w="0" w:type="auto"/>
            <w:shd w:val="clear" w:color="auto" w:fill="auto"/>
            <w:tcMar>
              <w:top w:w="40" w:type="dxa"/>
              <w:left w:w="40" w:type="dxa"/>
              <w:bottom w:w="40" w:type="dxa"/>
              <w:right w:w="40" w:type="dxa"/>
            </w:tcMar>
            <w:vAlign w:val="bottom"/>
          </w:tcPr>
          <w:p w14:paraId="5556C8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81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Fair</w:t>
            </w:r>
          </w:p>
          <w:p w14:paraId="5556C81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Value</w:t>
            </w:r>
          </w:p>
        </w:tc>
        <w:tc>
          <w:tcPr>
            <w:tcW w:w="0" w:type="auto"/>
            <w:shd w:val="clear" w:color="auto" w:fill="auto"/>
            <w:tcMar>
              <w:top w:w="40" w:type="dxa"/>
              <w:left w:w="40" w:type="dxa"/>
              <w:bottom w:w="40" w:type="dxa"/>
              <w:right w:w="40" w:type="dxa"/>
            </w:tcMar>
            <w:vAlign w:val="bottom"/>
          </w:tcPr>
          <w:p w14:paraId="5556C8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81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w:t>
            </w:r>
          </w:p>
          <w:p w14:paraId="5556C81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Unrealized</w:t>
            </w:r>
          </w:p>
          <w:p w14:paraId="5556C81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Losses</w:t>
            </w:r>
          </w:p>
        </w:tc>
      </w:tr>
      <w:tr w:rsidR="00F925DD" w14:paraId="5556C82C" w14:textId="77777777">
        <w:trPr>
          <w:jc w:val="center"/>
        </w:trPr>
        <w:tc>
          <w:tcPr>
            <w:tcW w:w="0" w:type="auto"/>
            <w:shd w:val="clear" w:color="auto" w:fill="auto"/>
            <w:tcMar>
              <w:top w:w="40" w:type="dxa"/>
              <w:left w:w="40" w:type="dxa"/>
              <w:bottom w:w="40" w:type="dxa"/>
              <w:right w:w="40" w:type="dxa"/>
            </w:tcMar>
            <w:vAlign w:val="bottom"/>
          </w:tcPr>
          <w:p w14:paraId="5556C82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Available-for-sale:</w:t>
            </w:r>
          </w:p>
        </w:tc>
        <w:tc>
          <w:tcPr>
            <w:tcW w:w="0" w:type="auto"/>
            <w:gridSpan w:val="3"/>
            <w:shd w:val="clear" w:color="auto" w:fill="auto"/>
            <w:tcMar>
              <w:top w:w="40" w:type="dxa"/>
              <w:left w:w="40" w:type="dxa"/>
              <w:bottom w:w="40" w:type="dxa"/>
              <w:right w:w="40" w:type="dxa"/>
            </w:tcMar>
            <w:vAlign w:val="bottom"/>
          </w:tcPr>
          <w:p w14:paraId="5556C8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839" w14:textId="77777777">
        <w:trPr>
          <w:jc w:val="center"/>
        </w:trPr>
        <w:tc>
          <w:tcPr>
            <w:tcW w:w="0" w:type="auto"/>
            <w:shd w:val="clear" w:color="auto" w:fill="auto"/>
            <w:tcMar>
              <w:top w:w="40" w:type="dxa"/>
              <w:left w:w="40" w:type="dxa"/>
              <w:bottom w:w="40" w:type="dxa"/>
              <w:right w:w="40" w:type="dxa"/>
            </w:tcMar>
            <w:vAlign w:val="bottom"/>
          </w:tcPr>
          <w:p w14:paraId="5556C82D" w14:textId="77777777" w:rsidR="00F925DD" w:rsidRDefault="00E705D7">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auto"/>
            <w:tcMar>
              <w:top w:w="40" w:type="dxa"/>
              <w:left w:w="40" w:type="dxa"/>
              <w:bottom w:w="40" w:type="dxa"/>
              <w:right w:w="40" w:type="dxa"/>
            </w:tcMar>
            <w:vAlign w:val="bottom"/>
          </w:tcPr>
          <w:p w14:paraId="5556C8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852" w14:textId="77777777">
        <w:trPr>
          <w:jc w:val="center"/>
        </w:trPr>
        <w:tc>
          <w:tcPr>
            <w:tcW w:w="0" w:type="auto"/>
            <w:shd w:val="clear" w:color="auto" w:fill="CCEEFF"/>
            <w:tcMar>
              <w:top w:w="40" w:type="dxa"/>
              <w:left w:w="400" w:type="dxa"/>
              <w:bottom w:w="40" w:type="dxa"/>
              <w:right w:w="40" w:type="dxa"/>
            </w:tcMar>
            <w:vAlign w:val="bottom"/>
          </w:tcPr>
          <w:p w14:paraId="5556C83A"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shd w:val="clear" w:color="auto" w:fill="CCEEFF"/>
            <w:tcMar>
              <w:top w:w="40" w:type="dxa"/>
              <w:left w:w="40" w:type="dxa"/>
              <w:bottom w:w="40" w:type="dxa"/>
            </w:tcMar>
            <w:vAlign w:val="bottom"/>
          </w:tcPr>
          <w:p w14:paraId="5556C83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83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5,058</w:t>
            </w:r>
          </w:p>
        </w:tc>
        <w:tc>
          <w:tcPr>
            <w:tcW w:w="0" w:type="auto"/>
            <w:shd w:val="clear" w:color="auto" w:fill="CCEEFF"/>
            <w:vAlign w:val="bottom"/>
          </w:tcPr>
          <w:p w14:paraId="5556C83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83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84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w:t>
            </w:r>
          </w:p>
        </w:tc>
        <w:tc>
          <w:tcPr>
            <w:tcW w:w="0" w:type="auto"/>
            <w:shd w:val="clear" w:color="auto" w:fill="CCEEFF"/>
            <w:vAlign w:val="bottom"/>
          </w:tcPr>
          <w:p w14:paraId="5556C84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84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84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5,089</w:t>
            </w:r>
          </w:p>
        </w:tc>
        <w:tc>
          <w:tcPr>
            <w:tcW w:w="0" w:type="auto"/>
            <w:shd w:val="clear" w:color="auto" w:fill="CCEEFF"/>
            <w:vAlign w:val="bottom"/>
          </w:tcPr>
          <w:p w14:paraId="5556C84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84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84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160</w:t>
            </w:r>
          </w:p>
        </w:tc>
        <w:tc>
          <w:tcPr>
            <w:tcW w:w="0" w:type="auto"/>
            <w:shd w:val="clear" w:color="auto" w:fill="CCEEFF"/>
            <w:vAlign w:val="bottom"/>
          </w:tcPr>
          <w:p w14:paraId="5556C84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84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84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10,147</w:t>
            </w:r>
          </w:p>
        </w:tc>
        <w:tc>
          <w:tcPr>
            <w:tcW w:w="0" w:type="auto"/>
            <w:shd w:val="clear" w:color="auto" w:fill="CCEEFF"/>
            <w:vAlign w:val="bottom"/>
          </w:tcPr>
          <w:p w14:paraId="5556C84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84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C85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181</w:t>
            </w:r>
          </w:p>
        </w:tc>
        <w:tc>
          <w:tcPr>
            <w:tcW w:w="0" w:type="auto"/>
            <w:shd w:val="clear" w:color="auto" w:fill="CCEEFF"/>
            <w:vAlign w:val="bottom"/>
          </w:tcPr>
          <w:p w14:paraId="5556C851" w14:textId="77777777" w:rsidR="00F925DD" w:rsidRDefault="00F925DD">
            <w:pPr>
              <w:textAlignment w:val="bottom"/>
              <w:rPr>
                <w:rFonts w:ascii="Times New Roman" w:hAnsi="Times New Roman"/>
                <w:sz w:val="20"/>
                <w:szCs w:val="20"/>
              </w:rPr>
            </w:pPr>
          </w:p>
        </w:tc>
      </w:tr>
      <w:tr w:rsidR="00F925DD" w14:paraId="5556C865" w14:textId="77777777">
        <w:trPr>
          <w:jc w:val="center"/>
        </w:trPr>
        <w:tc>
          <w:tcPr>
            <w:tcW w:w="0" w:type="auto"/>
            <w:shd w:val="clear" w:color="auto" w:fill="auto"/>
            <w:tcMar>
              <w:top w:w="40" w:type="dxa"/>
              <w:left w:w="720" w:type="dxa"/>
              <w:bottom w:w="40" w:type="dxa"/>
              <w:right w:w="40" w:type="dxa"/>
            </w:tcMar>
            <w:vAlign w:val="bottom"/>
          </w:tcPr>
          <w:p w14:paraId="5556C853"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85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5,058</w:t>
            </w:r>
          </w:p>
        </w:tc>
        <w:tc>
          <w:tcPr>
            <w:tcW w:w="0" w:type="auto"/>
            <w:tcBorders>
              <w:top w:val="single" w:sz="8" w:space="0" w:color="000000"/>
              <w:bottom w:val="single" w:sz="8" w:space="0" w:color="000000"/>
            </w:tcBorders>
            <w:shd w:val="clear" w:color="auto" w:fill="auto"/>
            <w:vAlign w:val="bottom"/>
          </w:tcPr>
          <w:p w14:paraId="5556C85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85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w:t>
            </w:r>
          </w:p>
        </w:tc>
        <w:tc>
          <w:tcPr>
            <w:tcW w:w="0" w:type="auto"/>
            <w:tcBorders>
              <w:top w:val="single" w:sz="8" w:space="0" w:color="000000"/>
              <w:bottom w:val="single" w:sz="8" w:space="0" w:color="000000"/>
            </w:tcBorders>
            <w:shd w:val="clear" w:color="auto" w:fill="auto"/>
            <w:vAlign w:val="bottom"/>
          </w:tcPr>
          <w:p w14:paraId="5556C85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85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5,089</w:t>
            </w:r>
          </w:p>
        </w:tc>
        <w:tc>
          <w:tcPr>
            <w:tcW w:w="0" w:type="auto"/>
            <w:tcBorders>
              <w:top w:val="single" w:sz="8" w:space="0" w:color="000000"/>
              <w:bottom w:val="single" w:sz="8" w:space="0" w:color="000000"/>
            </w:tcBorders>
            <w:shd w:val="clear" w:color="auto" w:fill="auto"/>
            <w:vAlign w:val="bottom"/>
          </w:tcPr>
          <w:p w14:paraId="5556C85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85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160</w:t>
            </w:r>
          </w:p>
        </w:tc>
        <w:tc>
          <w:tcPr>
            <w:tcW w:w="0" w:type="auto"/>
            <w:tcBorders>
              <w:top w:val="single" w:sz="8" w:space="0" w:color="000000"/>
              <w:bottom w:val="single" w:sz="8" w:space="0" w:color="000000"/>
            </w:tcBorders>
            <w:shd w:val="clear" w:color="auto" w:fill="auto"/>
            <w:vAlign w:val="bottom"/>
          </w:tcPr>
          <w:p w14:paraId="5556C85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86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10,147</w:t>
            </w:r>
          </w:p>
        </w:tc>
        <w:tc>
          <w:tcPr>
            <w:tcW w:w="0" w:type="auto"/>
            <w:tcBorders>
              <w:top w:val="single" w:sz="8" w:space="0" w:color="000000"/>
              <w:bottom w:val="single" w:sz="8" w:space="0" w:color="000000"/>
            </w:tcBorders>
            <w:shd w:val="clear" w:color="auto" w:fill="auto"/>
            <w:vAlign w:val="bottom"/>
          </w:tcPr>
          <w:p w14:paraId="5556C86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86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181</w:t>
            </w:r>
          </w:p>
        </w:tc>
        <w:tc>
          <w:tcPr>
            <w:tcW w:w="0" w:type="auto"/>
            <w:tcBorders>
              <w:top w:val="single" w:sz="8" w:space="0" w:color="000000"/>
              <w:bottom w:val="single" w:sz="8" w:space="0" w:color="000000"/>
            </w:tcBorders>
            <w:shd w:val="clear" w:color="auto" w:fill="auto"/>
            <w:vAlign w:val="bottom"/>
          </w:tcPr>
          <w:p w14:paraId="5556C864" w14:textId="77777777" w:rsidR="00F925DD" w:rsidRDefault="00F925DD">
            <w:pPr>
              <w:textAlignment w:val="bottom"/>
              <w:rPr>
                <w:rFonts w:ascii="Times New Roman" w:hAnsi="Times New Roman"/>
                <w:sz w:val="20"/>
                <w:szCs w:val="20"/>
              </w:rPr>
            </w:pPr>
          </w:p>
        </w:tc>
      </w:tr>
      <w:tr w:rsidR="00F925DD" w14:paraId="5556C872" w14:textId="77777777">
        <w:trPr>
          <w:jc w:val="center"/>
        </w:trPr>
        <w:tc>
          <w:tcPr>
            <w:tcW w:w="0" w:type="auto"/>
            <w:shd w:val="clear" w:color="auto" w:fill="CCEEFF"/>
            <w:tcMar>
              <w:top w:w="40" w:type="dxa"/>
              <w:left w:w="40" w:type="dxa"/>
              <w:bottom w:w="40" w:type="dxa"/>
              <w:right w:w="40" w:type="dxa"/>
            </w:tcMar>
            <w:vAlign w:val="bottom"/>
          </w:tcPr>
          <w:p w14:paraId="5556C866"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CCEEFF"/>
            <w:tcMar>
              <w:top w:w="40" w:type="dxa"/>
              <w:left w:w="40" w:type="dxa"/>
              <w:bottom w:w="40" w:type="dxa"/>
              <w:right w:w="40" w:type="dxa"/>
            </w:tcMar>
            <w:vAlign w:val="bottom"/>
          </w:tcPr>
          <w:p w14:paraId="5556C8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8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8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8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8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8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8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8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8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8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8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885" w14:textId="77777777">
        <w:trPr>
          <w:jc w:val="center"/>
        </w:trPr>
        <w:tc>
          <w:tcPr>
            <w:tcW w:w="0" w:type="auto"/>
            <w:shd w:val="clear" w:color="auto" w:fill="auto"/>
            <w:tcMar>
              <w:top w:w="40" w:type="dxa"/>
              <w:left w:w="400" w:type="dxa"/>
              <w:bottom w:w="40" w:type="dxa"/>
              <w:right w:w="40" w:type="dxa"/>
            </w:tcMar>
            <w:vAlign w:val="bottom"/>
          </w:tcPr>
          <w:p w14:paraId="5556C873" w14:textId="77777777" w:rsidR="00F925DD" w:rsidRDefault="00E705D7">
            <w:pPr>
              <w:textAlignment w:val="bottom"/>
              <w:rPr>
                <w:rFonts w:ascii="Times New Roman" w:hAnsi="Times New Roman"/>
                <w:sz w:val="15"/>
                <w:szCs w:val="15"/>
              </w:rPr>
            </w:pPr>
            <w:r>
              <w:rPr>
                <w:rFonts w:ascii="Arial" w:eastAsia="宋体" w:hAnsi="Arial" w:cs="Arial"/>
                <w:sz w:val="15"/>
                <w:szCs w:val="15"/>
              </w:rPr>
              <w:t>Student loans</w:t>
            </w:r>
          </w:p>
        </w:tc>
        <w:tc>
          <w:tcPr>
            <w:tcW w:w="0" w:type="auto"/>
            <w:gridSpan w:val="2"/>
            <w:shd w:val="clear" w:color="auto" w:fill="auto"/>
            <w:tcMar>
              <w:top w:w="40" w:type="dxa"/>
              <w:left w:w="40" w:type="dxa"/>
              <w:bottom w:w="40" w:type="dxa"/>
            </w:tcMar>
            <w:vAlign w:val="bottom"/>
          </w:tcPr>
          <w:p w14:paraId="5556C87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106</w:t>
            </w:r>
          </w:p>
        </w:tc>
        <w:tc>
          <w:tcPr>
            <w:tcW w:w="0" w:type="auto"/>
            <w:shd w:val="clear" w:color="auto" w:fill="auto"/>
            <w:vAlign w:val="bottom"/>
          </w:tcPr>
          <w:p w14:paraId="5556C8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7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87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7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218</w:t>
            </w:r>
          </w:p>
        </w:tc>
        <w:tc>
          <w:tcPr>
            <w:tcW w:w="0" w:type="auto"/>
            <w:shd w:val="clear" w:color="auto" w:fill="auto"/>
            <w:vAlign w:val="bottom"/>
          </w:tcPr>
          <w:p w14:paraId="5556C87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7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5556C87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8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324</w:t>
            </w:r>
          </w:p>
        </w:tc>
        <w:tc>
          <w:tcPr>
            <w:tcW w:w="0" w:type="auto"/>
            <w:shd w:val="clear" w:color="auto" w:fill="auto"/>
            <w:vAlign w:val="bottom"/>
          </w:tcPr>
          <w:p w14:paraId="5556C88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8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auto"/>
            <w:vAlign w:val="bottom"/>
          </w:tcPr>
          <w:p w14:paraId="5556C884" w14:textId="77777777" w:rsidR="00F925DD" w:rsidRDefault="00F925DD">
            <w:pPr>
              <w:textAlignment w:val="bottom"/>
              <w:rPr>
                <w:rFonts w:ascii="Times New Roman" w:hAnsi="Times New Roman"/>
                <w:sz w:val="20"/>
                <w:szCs w:val="20"/>
              </w:rPr>
            </w:pPr>
          </w:p>
        </w:tc>
      </w:tr>
      <w:tr w:rsidR="00F925DD" w14:paraId="5556C898" w14:textId="77777777">
        <w:trPr>
          <w:jc w:val="center"/>
        </w:trPr>
        <w:tc>
          <w:tcPr>
            <w:tcW w:w="0" w:type="auto"/>
            <w:shd w:val="clear" w:color="auto" w:fill="CCEEFF"/>
            <w:tcMar>
              <w:top w:w="40" w:type="dxa"/>
              <w:left w:w="400" w:type="dxa"/>
              <w:bottom w:w="40" w:type="dxa"/>
              <w:right w:w="40" w:type="dxa"/>
            </w:tcMar>
            <w:vAlign w:val="bottom"/>
          </w:tcPr>
          <w:p w14:paraId="5556C886" w14:textId="77777777" w:rsidR="00F925DD" w:rsidRDefault="00E705D7">
            <w:pPr>
              <w:textAlignment w:val="bottom"/>
              <w:rPr>
                <w:rFonts w:ascii="Times New Roman" w:hAnsi="Times New Roman"/>
                <w:sz w:val="15"/>
                <w:szCs w:val="15"/>
              </w:rPr>
            </w:pPr>
            <w:r>
              <w:rPr>
                <w:rFonts w:ascii="Arial" w:eastAsia="宋体" w:hAnsi="Arial" w:cs="Arial"/>
                <w:sz w:val="15"/>
                <w:szCs w:val="15"/>
              </w:rPr>
              <w:t>Credit cards</w:t>
            </w:r>
          </w:p>
        </w:tc>
        <w:tc>
          <w:tcPr>
            <w:tcW w:w="0" w:type="auto"/>
            <w:gridSpan w:val="2"/>
            <w:shd w:val="clear" w:color="auto" w:fill="CCEEFF"/>
            <w:tcMar>
              <w:top w:w="40" w:type="dxa"/>
              <w:left w:w="40" w:type="dxa"/>
              <w:bottom w:w="40" w:type="dxa"/>
            </w:tcMar>
            <w:vAlign w:val="bottom"/>
          </w:tcPr>
          <w:p w14:paraId="5556C88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90</w:t>
            </w:r>
          </w:p>
        </w:tc>
        <w:tc>
          <w:tcPr>
            <w:tcW w:w="0" w:type="auto"/>
            <w:shd w:val="clear" w:color="auto" w:fill="CCEEFF"/>
            <w:vAlign w:val="bottom"/>
          </w:tcPr>
          <w:p w14:paraId="5556C8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8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C8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8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493</w:t>
            </w:r>
          </w:p>
        </w:tc>
        <w:tc>
          <w:tcPr>
            <w:tcW w:w="0" w:type="auto"/>
            <w:shd w:val="clear" w:color="auto" w:fill="CCEEFF"/>
            <w:vAlign w:val="bottom"/>
          </w:tcPr>
          <w:p w14:paraId="5556C8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9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shd w:val="clear" w:color="auto" w:fill="CCEEFF"/>
            <w:vAlign w:val="bottom"/>
          </w:tcPr>
          <w:p w14:paraId="5556C89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9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583</w:t>
            </w:r>
          </w:p>
        </w:tc>
        <w:tc>
          <w:tcPr>
            <w:tcW w:w="0" w:type="auto"/>
            <w:shd w:val="clear" w:color="auto" w:fill="CCEEFF"/>
            <w:vAlign w:val="bottom"/>
          </w:tcPr>
          <w:p w14:paraId="5556C89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9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shd w:val="clear" w:color="auto" w:fill="CCEEFF"/>
            <w:vAlign w:val="bottom"/>
          </w:tcPr>
          <w:p w14:paraId="5556C897" w14:textId="77777777" w:rsidR="00F925DD" w:rsidRDefault="00F925DD">
            <w:pPr>
              <w:textAlignment w:val="bottom"/>
              <w:rPr>
                <w:rFonts w:ascii="Times New Roman" w:hAnsi="Times New Roman"/>
                <w:sz w:val="20"/>
                <w:szCs w:val="20"/>
              </w:rPr>
            </w:pPr>
          </w:p>
        </w:tc>
      </w:tr>
      <w:tr w:rsidR="00F925DD" w14:paraId="5556C8AB" w14:textId="77777777">
        <w:trPr>
          <w:jc w:val="center"/>
        </w:trPr>
        <w:tc>
          <w:tcPr>
            <w:tcW w:w="0" w:type="auto"/>
            <w:shd w:val="clear" w:color="auto" w:fill="auto"/>
            <w:tcMar>
              <w:top w:w="40" w:type="dxa"/>
              <w:left w:w="400" w:type="dxa"/>
              <w:bottom w:w="40" w:type="dxa"/>
              <w:right w:w="40" w:type="dxa"/>
            </w:tcMar>
            <w:vAlign w:val="bottom"/>
          </w:tcPr>
          <w:p w14:paraId="5556C899"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Collateralized loan obligations</w:t>
            </w:r>
          </w:p>
        </w:tc>
        <w:tc>
          <w:tcPr>
            <w:tcW w:w="0" w:type="auto"/>
            <w:gridSpan w:val="2"/>
            <w:shd w:val="clear" w:color="auto" w:fill="auto"/>
            <w:tcMar>
              <w:top w:w="40" w:type="dxa"/>
              <w:left w:w="40" w:type="dxa"/>
              <w:bottom w:w="40" w:type="dxa"/>
            </w:tcMar>
            <w:vAlign w:val="bottom"/>
          </w:tcPr>
          <w:p w14:paraId="5556C89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548</w:t>
            </w:r>
          </w:p>
        </w:tc>
        <w:tc>
          <w:tcPr>
            <w:tcW w:w="0" w:type="auto"/>
            <w:shd w:val="clear" w:color="auto" w:fill="auto"/>
            <w:vAlign w:val="bottom"/>
          </w:tcPr>
          <w:p w14:paraId="5556C8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9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vAlign w:val="bottom"/>
          </w:tcPr>
          <w:p w14:paraId="5556C89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A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8A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A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8A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A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548</w:t>
            </w:r>
          </w:p>
        </w:tc>
        <w:tc>
          <w:tcPr>
            <w:tcW w:w="0" w:type="auto"/>
            <w:shd w:val="clear" w:color="auto" w:fill="auto"/>
            <w:vAlign w:val="bottom"/>
          </w:tcPr>
          <w:p w14:paraId="5556C8A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A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vAlign w:val="bottom"/>
          </w:tcPr>
          <w:p w14:paraId="5556C8AA" w14:textId="77777777" w:rsidR="00F925DD" w:rsidRDefault="00F925DD">
            <w:pPr>
              <w:textAlignment w:val="bottom"/>
              <w:rPr>
                <w:rFonts w:ascii="Times New Roman" w:hAnsi="Times New Roman"/>
                <w:sz w:val="20"/>
                <w:szCs w:val="20"/>
              </w:rPr>
            </w:pPr>
          </w:p>
        </w:tc>
      </w:tr>
      <w:tr w:rsidR="00F925DD" w14:paraId="5556C8BE" w14:textId="77777777">
        <w:trPr>
          <w:jc w:val="center"/>
        </w:trPr>
        <w:tc>
          <w:tcPr>
            <w:tcW w:w="0" w:type="auto"/>
            <w:shd w:val="clear" w:color="auto" w:fill="CCEEFF"/>
            <w:tcMar>
              <w:top w:w="40" w:type="dxa"/>
              <w:left w:w="720" w:type="dxa"/>
              <w:bottom w:w="40" w:type="dxa"/>
              <w:right w:w="40" w:type="dxa"/>
            </w:tcMar>
            <w:vAlign w:val="bottom"/>
          </w:tcPr>
          <w:p w14:paraId="5556C8AC"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Total </w:t>
            </w:r>
            <w:r>
              <w:rPr>
                <w:rFonts w:ascii="Arial" w:eastAsia="宋体" w:hAnsi="Arial" w:cs="Arial"/>
                <w:sz w:val="15"/>
                <w:szCs w:val="15"/>
              </w:rPr>
              <w:t>asset-backed securities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8A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744</w:t>
            </w:r>
          </w:p>
        </w:tc>
        <w:tc>
          <w:tcPr>
            <w:tcW w:w="0" w:type="auto"/>
            <w:tcBorders>
              <w:top w:val="single" w:sz="8" w:space="0" w:color="000000"/>
              <w:bottom w:val="single" w:sz="8" w:space="0" w:color="000000"/>
            </w:tcBorders>
            <w:shd w:val="clear" w:color="auto" w:fill="CCEEFF"/>
            <w:vAlign w:val="bottom"/>
          </w:tcPr>
          <w:p w14:paraId="5556C8A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8B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tcBorders>
              <w:top w:val="single" w:sz="8" w:space="0" w:color="000000"/>
              <w:bottom w:val="single" w:sz="8" w:space="0" w:color="000000"/>
            </w:tcBorders>
            <w:shd w:val="clear" w:color="auto" w:fill="CCEEFF"/>
            <w:vAlign w:val="bottom"/>
          </w:tcPr>
          <w:p w14:paraId="5556C8B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8B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711</w:t>
            </w:r>
          </w:p>
        </w:tc>
        <w:tc>
          <w:tcPr>
            <w:tcW w:w="0" w:type="auto"/>
            <w:tcBorders>
              <w:top w:val="single" w:sz="8" w:space="0" w:color="000000"/>
              <w:bottom w:val="single" w:sz="8" w:space="0" w:color="000000"/>
            </w:tcBorders>
            <w:shd w:val="clear" w:color="auto" w:fill="CCEEFF"/>
            <w:vAlign w:val="bottom"/>
          </w:tcPr>
          <w:p w14:paraId="5556C8B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8B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27</w:t>
            </w:r>
          </w:p>
        </w:tc>
        <w:tc>
          <w:tcPr>
            <w:tcW w:w="0" w:type="auto"/>
            <w:tcBorders>
              <w:top w:val="single" w:sz="8" w:space="0" w:color="000000"/>
              <w:bottom w:val="single" w:sz="8" w:space="0" w:color="000000"/>
            </w:tcBorders>
            <w:shd w:val="clear" w:color="auto" w:fill="CCEEFF"/>
            <w:vAlign w:val="bottom"/>
          </w:tcPr>
          <w:p w14:paraId="5556C8B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8B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1,455</w:t>
            </w:r>
          </w:p>
        </w:tc>
        <w:tc>
          <w:tcPr>
            <w:tcW w:w="0" w:type="auto"/>
            <w:tcBorders>
              <w:top w:val="single" w:sz="8" w:space="0" w:color="000000"/>
              <w:bottom w:val="single" w:sz="8" w:space="0" w:color="000000"/>
            </w:tcBorders>
            <w:shd w:val="clear" w:color="auto" w:fill="CCEEFF"/>
            <w:vAlign w:val="bottom"/>
          </w:tcPr>
          <w:p w14:paraId="5556C8B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8B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w:t>
            </w:r>
          </w:p>
        </w:tc>
        <w:tc>
          <w:tcPr>
            <w:tcW w:w="0" w:type="auto"/>
            <w:tcBorders>
              <w:top w:val="single" w:sz="8" w:space="0" w:color="000000"/>
              <w:bottom w:val="single" w:sz="8" w:space="0" w:color="000000"/>
            </w:tcBorders>
            <w:shd w:val="clear" w:color="auto" w:fill="CCEEFF"/>
            <w:vAlign w:val="bottom"/>
          </w:tcPr>
          <w:p w14:paraId="5556C8BD" w14:textId="77777777" w:rsidR="00F925DD" w:rsidRDefault="00F925DD">
            <w:pPr>
              <w:textAlignment w:val="bottom"/>
              <w:rPr>
                <w:rFonts w:ascii="Times New Roman" w:hAnsi="Times New Roman"/>
                <w:sz w:val="20"/>
                <w:szCs w:val="20"/>
              </w:rPr>
            </w:pPr>
          </w:p>
        </w:tc>
      </w:tr>
      <w:tr w:rsidR="00F925DD" w14:paraId="5556C8CB" w14:textId="77777777">
        <w:trPr>
          <w:jc w:val="center"/>
        </w:trPr>
        <w:tc>
          <w:tcPr>
            <w:tcW w:w="0" w:type="auto"/>
            <w:shd w:val="clear" w:color="auto" w:fill="auto"/>
            <w:tcMar>
              <w:top w:w="40" w:type="dxa"/>
              <w:left w:w="40" w:type="dxa"/>
              <w:bottom w:w="40" w:type="dxa"/>
              <w:right w:w="40" w:type="dxa"/>
            </w:tcMar>
            <w:vAlign w:val="bottom"/>
          </w:tcPr>
          <w:p w14:paraId="5556C8BF"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auto"/>
            <w:tcMar>
              <w:top w:w="40" w:type="dxa"/>
              <w:left w:w="40" w:type="dxa"/>
              <w:bottom w:w="40" w:type="dxa"/>
              <w:right w:w="40" w:type="dxa"/>
            </w:tcMar>
            <w:vAlign w:val="bottom"/>
          </w:tcPr>
          <w:p w14:paraId="5556C8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8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8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8DE" w14:textId="77777777">
        <w:trPr>
          <w:jc w:val="center"/>
        </w:trPr>
        <w:tc>
          <w:tcPr>
            <w:tcW w:w="0" w:type="auto"/>
            <w:shd w:val="clear" w:color="auto" w:fill="CCEEFF"/>
            <w:tcMar>
              <w:top w:w="40" w:type="dxa"/>
              <w:left w:w="400" w:type="dxa"/>
              <w:bottom w:w="40" w:type="dxa"/>
              <w:right w:w="40" w:type="dxa"/>
            </w:tcMar>
            <w:vAlign w:val="bottom"/>
          </w:tcPr>
          <w:p w14:paraId="5556C8CC"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CCEEFF"/>
            <w:tcMar>
              <w:top w:w="40" w:type="dxa"/>
              <w:left w:w="40" w:type="dxa"/>
              <w:bottom w:w="40" w:type="dxa"/>
            </w:tcMar>
            <w:vAlign w:val="bottom"/>
          </w:tcPr>
          <w:p w14:paraId="5556C8C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1,407</w:t>
            </w:r>
          </w:p>
        </w:tc>
        <w:tc>
          <w:tcPr>
            <w:tcW w:w="0" w:type="auto"/>
            <w:shd w:val="clear" w:color="auto" w:fill="CCEEFF"/>
            <w:vAlign w:val="bottom"/>
          </w:tcPr>
          <w:p w14:paraId="5556C8C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D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CCEEFF"/>
            <w:vAlign w:val="bottom"/>
          </w:tcPr>
          <w:p w14:paraId="5556C8D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D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118</w:t>
            </w:r>
          </w:p>
        </w:tc>
        <w:tc>
          <w:tcPr>
            <w:tcW w:w="0" w:type="auto"/>
            <w:shd w:val="clear" w:color="auto" w:fill="CCEEFF"/>
            <w:vAlign w:val="bottom"/>
          </w:tcPr>
          <w:p w14:paraId="5556C8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D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shd w:val="clear" w:color="auto" w:fill="CCEEFF"/>
            <w:vAlign w:val="bottom"/>
          </w:tcPr>
          <w:p w14:paraId="5556C8D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D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1,525</w:t>
            </w:r>
          </w:p>
        </w:tc>
        <w:tc>
          <w:tcPr>
            <w:tcW w:w="0" w:type="auto"/>
            <w:shd w:val="clear" w:color="auto" w:fill="CCEEFF"/>
            <w:vAlign w:val="bottom"/>
          </w:tcPr>
          <w:p w14:paraId="5556C8D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D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CCEEFF"/>
            <w:vAlign w:val="bottom"/>
          </w:tcPr>
          <w:p w14:paraId="5556C8DD" w14:textId="77777777" w:rsidR="00F925DD" w:rsidRDefault="00F925DD">
            <w:pPr>
              <w:textAlignment w:val="bottom"/>
              <w:rPr>
                <w:rFonts w:ascii="Times New Roman" w:hAnsi="Times New Roman"/>
                <w:sz w:val="20"/>
                <w:szCs w:val="20"/>
              </w:rPr>
            </w:pPr>
          </w:p>
        </w:tc>
      </w:tr>
      <w:tr w:rsidR="00F925DD" w14:paraId="5556C8F1" w14:textId="77777777">
        <w:trPr>
          <w:jc w:val="center"/>
        </w:trPr>
        <w:tc>
          <w:tcPr>
            <w:tcW w:w="0" w:type="auto"/>
            <w:shd w:val="clear" w:color="auto" w:fill="auto"/>
            <w:tcMar>
              <w:top w:w="40" w:type="dxa"/>
              <w:left w:w="400" w:type="dxa"/>
              <w:bottom w:w="40" w:type="dxa"/>
              <w:right w:w="40" w:type="dxa"/>
            </w:tcMar>
            <w:vAlign w:val="bottom"/>
          </w:tcPr>
          <w:p w14:paraId="5556C8DF"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2"/>
            <w:shd w:val="clear" w:color="auto" w:fill="auto"/>
            <w:tcMar>
              <w:top w:w="40" w:type="dxa"/>
              <w:left w:w="40" w:type="dxa"/>
              <w:bottom w:w="40" w:type="dxa"/>
            </w:tcMar>
            <w:vAlign w:val="bottom"/>
          </w:tcPr>
          <w:p w14:paraId="5556C8E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1,479</w:t>
            </w:r>
          </w:p>
        </w:tc>
        <w:tc>
          <w:tcPr>
            <w:tcW w:w="0" w:type="auto"/>
            <w:shd w:val="clear" w:color="auto" w:fill="auto"/>
            <w:vAlign w:val="bottom"/>
          </w:tcPr>
          <w:p w14:paraId="5556C8E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E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auto"/>
            <w:vAlign w:val="bottom"/>
          </w:tcPr>
          <w:p w14:paraId="5556C8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E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8E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E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C8E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E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1,479</w:t>
            </w:r>
          </w:p>
        </w:tc>
        <w:tc>
          <w:tcPr>
            <w:tcW w:w="0" w:type="auto"/>
            <w:shd w:val="clear" w:color="auto" w:fill="auto"/>
            <w:vAlign w:val="bottom"/>
          </w:tcPr>
          <w:p w14:paraId="5556C8E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8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8E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auto"/>
            <w:vAlign w:val="bottom"/>
          </w:tcPr>
          <w:p w14:paraId="5556C8F0" w14:textId="77777777" w:rsidR="00F925DD" w:rsidRDefault="00F925DD">
            <w:pPr>
              <w:textAlignment w:val="bottom"/>
              <w:rPr>
                <w:rFonts w:ascii="Times New Roman" w:hAnsi="Times New Roman"/>
                <w:sz w:val="20"/>
                <w:szCs w:val="20"/>
              </w:rPr>
            </w:pPr>
          </w:p>
        </w:tc>
      </w:tr>
      <w:tr w:rsidR="00F925DD" w14:paraId="5556C904" w14:textId="77777777">
        <w:trPr>
          <w:jc w:val="center"/>
        </w:trPr>
        <w:tc>
          <w:tcPr>
            <w:tcW w:w="0" w:type="auto"/>
            <w:shd w:val="clear" w:color="auto" w:fill="CCEEFF"/>
            <w:tcMar>
              <w:top w:w="40" w:type="dxa"/>
              <w:left w:w="400" w:type="dxa"/>
              <w:bottom w:w="40" w:type="dxa"/>
              <w:right w:w="40" w:type="dxa"/>
            </w:tcMar>
            <w:vAlign w:val="bottom"/>
          </w:tcPr>
          <w:p w14:paraId="5556C8F2" w14:textId="77777777" w:rsidR="00F925DD" w:rsidRDefault="00E705D7">
            <w:pPr>
              <w:textAlignment w:val="bottom"/>
              <w:rPr>
                <w:rFonts w:ascii="Times New Roman" w:hAnsi="Times New Roman"/>
                <w:sz w:val="15"/>
                <w:szCs w:val="15"/>
              </w:rPr>
            </w:pPr>
            <w:r>
              <w:rPr>
                <w:rFonts w:ascii="Arial" w:eastAsia="宋体" w:hAnsi="Arial" w:cs="Arial"/>
                <w:sz w:val="15"/>
                <w:szCs w:val="15"/>
              </w:rPr>
              <w:t>Government securities</w:t>
            </w:r>
          </w:p>
        </w:tc>
        <w:tc>
          <w:tcPr>
            <w:tcW w:w="0" w:type="auto"/>
            <w:gridSpan w:val="2"/>
            <w:shd w:val="clear" w:color="auto" w:fill="CCEEFF"/>
            <w:tcMar>
              <w:top w:w="40" w:type="dxa"/>
              <w:left w:w="40" w:type="dxa"/>
              <w:bottom w:w="40" w:type="dxa"/>
            </w:tcMar>
            <w:vAlign w:val="bottom"/>
          </w:tcPr>
          <w:p w14:paraId="5556C8F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5,478</w:t>
            </w:r>
          </w:p>
        </w:tc>
        <w:tc>
          <w:tcPr>
            <w:tcW w:w="0" w:type="auto"/>
            <w:shd w:val="clear" w:color="auto" w:fill="CCEEFF"/>
            <w:vAlign w:val="bottom"/>
          </w:tcPr>
          <w:p w14:paraId="5556C8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F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w:t>
            </w:r>
          </w:p>
        </w:tc>
        <w:tc>
          <w:tcPr>
            <w:tcW w:w="0" w:type="auto"/>
            <w:shd w:val="clear" w:color="auto" w:fill="CCEEFF"/>
            <w:vAlign w:val="bottom"/>
          </w:tcPr>
          <w:p w14:paraId="5556C8F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F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C8F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F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C8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8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8F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5,478</w:t>
            </w:r>
          </w:p>
        </w:tc>
        <w:tc>
          <w:tcPr>
            <w:tcW w:w="0" w:type="auto"/>
            <w:shd w:val="clear" w:color="auto" w:fill="CCEEFF"/>
            <w:vAlign w:val="bottom"/>
          </w:tcPr>
          <w:p w14:paraId="5556C9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0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w:t>
            </w:r>
          </w:p>
        </w:tc>
        <w:tc>
          <w:tcPr>
            <w:tcW w:w="0" w:type="auto"/>
            <w:shd w:val="clear" w:color="auto" w:fill="CCEEFF"/>
            <w:vAlign w:val="bottom"/>
          </w:tcPr>
          <w:p w14:paraId="5556C903" w14:textId="77777777" w:rsidR="00F925DD" w:rsidRDefault="00F925DD">
            <w:pPr>
              <w:textAlignment w:val="bottom"/>
              <w:rPr>
                <w:rFonts w:ascii="Times New Roman" w:hAnsi="Times New Roman"/>
                <w:sz w:val="20"/>
                <w:szCs w:val="20"/>
              </w:rPr>
            </w:pPr>
          </w:p>
        </w:tc>
      </w:tr>
      <w:tr w:rsidR="00F925DD" w14:paraId="5556C917" w14:textId="77777777">
        <w:trPr>
          <w:jc w:val="center"/>
        </w:trPr>
        <w:tc>
          <w:tcPr>
            <w:tcW w:w="0" w:type="auto"/>
            <w:shd w:val="clear" w:color="auto" w:fill="auto"/>
            <w:tcMar>
              <w:top w:w="40" w:type="dxa"/>
              <w:left w:w="400" w:type="dxa"/>
              <w:bottom w:w="40" w:type="dxa"/>
              <w:right w:w="40" w:type="dxa"/>
            </w:tcMar>
            <w:vAlign w:val="bottom"/>
          </w:tcPr>
          <w:p w14:paraId="5556C905"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5556C90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2,167</w:t>
            </w:r>
          </w:p>
        </w:tc>
        <w:tc>
          <w:tcPr>
            <w:tcW w:w="0" w:type="auto"/>
            <w:tcBorders>
              <w:bottom w:val="single" w:sz="8" w:space="0" w:color="000000"/>
            </w:tcBorders>
            <w:shd w:val="clear" w:color="auto" w:fill="auto"/>
            <w:vAlign w:val="bottom"/>
          </w:tcPr>
          <w:p w14:paraId="5556C9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90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w:t>
            </w:r>
          </w:p>
        </w:tc>
        <w:tc>
          <w:tcPr>
            <w:tcW w:w="0" w:type="auto"/>
            <w:tcBorders>
              <w:bottom w:val="single" w:sz="8" w:space="0" w:color="000000"/>
            </w:tcBorders>
            <w:shd w:val="clear" w:color="auto" w:fill="auto"/>
            <w:vAlign w:val="bottom"/>
          </w:tcPr>
          <w:p w14:paraId="5556C90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90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226</w:t>
            </w:r>
          </w:p>
        </w:tc>
        <w:tc>
          <w:tcPr>
            <w:tcW w:w="0" w:type="auto"/>
            <w:tcBorders>
              <w:bottom w:val="single" w:sz="8" w:space="0" w:color="000000"/>
            </w:tcBorders>
            <w:shd w:val="clear" w:color="auto" w:fill="auto"/>
            <w:vAlign w:val="bottom"/>
          </w:tcPr>
          <w:p w14:paraId="5556C90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90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tcBorders>
              <w:bottom w:val="single" w:sz="8" w:space="0" w:color="000000"/>
            </w:tcBorders>
            <w:shd w:val="clear" w:color="auto" w:fill="auto"/>
            <w:vAlign w:val="bottom"/>
          </w:tcPr>
          <w:p w14:paraId="5556C91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91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2,393</w:t>
            </w:r>
          </w:p>
        </w:tc>
        <w:tc>
          <w:tcPr>
            <w:tcW w:w="0" w:type="auto"/>
            <w:tcBorders>
              <w:bottom w:val="single" w:sz="8" w:space="0" w:color="000000"/>
            </w:tcBorders>
            <w:shd w:val="clear" w:color="auto" w:fill="auto"/>
            <w:vAlign w:val="bottom"/>
          </w:tcPr>
          <w:p w14:paraId="5556C91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91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w:t>
            </w:r>
          </w:p>
        </w:tc>
        <w:tc>
          <w:tcPr>
            <w:tcW w:w="0" w:type="auto"/>
            <w:tcBorders>
              <w:bottom w:val="single" w:sz="8" w:space="0" w:color="000000"/>
            </w:tcBorders>
            <w:shd w:val="clear" w:color="auto" w:fill="auto"/>
            <w:vAlign w:val="bottom"/>
          </w:tcPr>
          <w:p w14:paraId="5556C916" w14:textId="77777777" w:rsidR="00F925DD" w:rsidRDefault="00F925DD">
            <w:pPr>
              <w:textAlignment w:val="bottom"/>
              <w:rPr>
                <w:rFonts w:ascii="Times New Roman" w:hAnsi="Times New Roman"/>
                <w:sz w:val="20"/>
                <w:szCs w:val="20"/>
              </w:rPr>
            </w:pPr>
          </w:p>
        </w:tc>
      </w:tr>
      <w:tr w:rsidR="00F925DD" w14:paraId="5556C92A" w14:textId="77777777">
        <w:trPr>
          <w:jc w:val="center"/>
        </w:trPr>
        <w:tc>
          <w:tcPr>
            <w:tcW w:w="0" w:type="auto"/>
            <w:shd w:val="clear" w:color="auto" w:fill="CCEEFF"/>
            <w:tcMar>
              <w:top w:w="40" w:type="dxa"/>
              <w:left w:w="720" w:type="dxa"/>
              <w:bottom w:w="40" w:type="dxa"/>
              <w:right w:w="40" w:type="dxa"/>
            </w:tcMar>
            <w:vAlign w:val="bottom"/>
          </w:tcPr>
          <w:p w14:paraId="5556C918"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91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10,531</w:t>
            </w:r>
          </w:p>
        </w:tc>
        <w:tc>
          <w:tcPr>
            <w:tcW w:w="0" w:type="auto"/>
            <w:tcBorders>
              <w:bottom w:val="single" w:sz="8" w:space="0" w:color="000000"/>
            </w:tcBorders>
            <w:shd w:val="clear" w:color="auto" w:fill="CCEEFF"/>
            <w:vAlign w:val="bottom"/>
          </w:tcPr>
          <w:p w14:paraId="5556C9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91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67</w:t>
            </w:r>
          </w:p>
        </w:tc>
        <w:tc>
          <w:tcPr>
            <w:tcW w:w="0" w:type="auto"/>
            <w:tcBorders>
              <w:bottom w:val="single" w:sz="8" w:space="0" w:color="000000"/>
            </w:tcBorders>
            <w:shd w:val="clear" w:color="auto" w:fill="CCEEFF"/>
            <w:vAlign w:val="bottom"/>
          </w:tcPr>
          <w:p w14:paraId="5556C91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91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344</w:t>
            </w:r>
          </w:p>
        </w:tc>
        <w:tc>
          <w:tcPr>
            <w:tcW w:w="0" w:type="auto"/>
            <w:tcBorders>
              <w:bottom w:val="single" w:sz="8" w:space="0" w:color="000000"/>
            </w:tcBorders>
            <w:shd w:val="clear" w:color="auto" w:fill="CCEEFF"/>
            <w:vAlign w:val="bottom"/>
          </w:tcPr>
          <w:p w14:paraId="5556C92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92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tcBorders>
              <w:bottom w:val="single" w:sz="8" w:space="0" w:color="000000"/>
            </w:tcBorders>
            <w:shd w:val="clear" w:color="auto" w:fill="CCEEFF"/>
            <w:vAlign w:val="bottom"/>
          </w:tcPr>
          <w:p w14:paraId="5556C92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92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10,875</w:t>
            </w:r>
          </w:p>
        </w:tc>
        <w:tc>
          <w:tcPr>
            <w:tcW w:w="0" w:type="auto"/>
            <w:tcBorders>
              <w:bottom w:val="single" w:sz="8" w:space="0" w:color="000000"/>
            </w:tcBorders>
            <w:shd w:val="clear" w:color="auto" w:fill="CCEEFF"/>
            <w:vAlign w:val="bottom"/>
          </w:tcPr>
          <w:p w14:paraId="5556C92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92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72</w:t>
            </w:r>
          </w:p>
        </w:tc>
        <w:tc>
          <w:tcPr>
            <w:tcW w:w="0" w:type="auto"/>
            <w:tcBorders>
              <w:bottom w:val="single" w:sz="8" w:space="0" w:color="000000"/>
            </w:tcBorders>
            <w:shd w:val="clear" w:color="auto" w:fill="CCEEFF"/>
            <w:vAlign w:val="bottom"/>
          </w:tcPr>
          <w:p w14:paraId="5556C929" w14:textId="77777777" w:rsidR="00F925DD" w:rsidRDefault="00F925DD">
            <w:pPr>
              <w:textAlignment w:val="bottom"/>
              <w:rPr>
                <w:rFonts w:ascii="Times New Roman" w:hAnsi="Times New Roman"/>
                <w:sz w:val="20"/>
                <w:szCs w:val="20"/>
              </w:rPr>
            </w:pPr>
          </w:p>
        </w:tc>
      </w:tr>
      <w:tr w:rsidR="00F925DD" w14:paraId="5556C93D" w14:textId="77777777">
        <w:trPr>
          <w:jc w:val="center"/>
        </w:trPr>
        <w:tc>
          <w:tcPr>
            <w:tcW w:w="0" w:type="auto"/>
            <w:shd w:val="clear" w:color="auto" w:fill="auto"/>
            <w:tcMar>
              <w:top w:w="40" w:type="dxa"/>
              <w:left w:w="40" w:type="dxa"/>
              <w:bottom w:w="40" w:type="dxa"/>
              <w:right w:w="40" w:type="dxa"/>
            </w:tcMar>
            <w:vAlign w:val="bottom"/>
          </w:tcPr>
          <w:p w14:paraId="5556C92B" w14:textId="77777777" w:rsidR="00F925DD" w:rsidRDefault="00E705D7">
            <w:pPr>
              <w:textAlignment w:val="bottom"/>
              <w:rPr>
                <w:rFonts w:ascii="Times New Roman" w:hAnsi="Times New Roman"/>
                <w:sz w:val="15"/>
                <w:szCs w:val="15"/>
              </w:rPr>
            </w:pPr>
            <w:r>
              <w:rPr>
                <w:rFonts w:ascii="Arial" w:eastAsia="宋体" w:hAnsi="Arial" w:cs="Arial"/>
                <w:sz w:val="15"/>
                <w:szCs w:val="15"/>
              </w:rPr>
              <w:t>State and political subdivisions</w:t>
            </w:r>
          </w:p>
        </w:tc>
        <w:tc>
          <w:tcPr>
            <w:tcW w:w="0" w:type="auto"/>
            <w:gridSpan w:val="2"/>
            <w:tcBorders>
              <w:top w:val="single" w:sz="8" w:space="0" w:color="000000"/>
            </w:tcBorders>
            <w:shd w:val="clear" w:color="auto" w:fill="auto"/>
            <w:tcMar>
              <w:top w:w="40" w:type="dxa"/>
              <w:left w:w="40" w:type="dxa"/>
              <w:bottom w:w="40" w:type="dxa"/>
            </w:tcMar>
            <w:vAlign w:val="bottom"/>
          </w:tcPr>
          <w:p w14:paraId="5556C92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365</w:t>
            </w:r>
          </w:p>
        </w:tc>
        <w:tc>
          <w:tcPr>
            <w:tcW w:w="0" w:type="auto"/>
            <w:tcBorders>
              <w:top w:val="single" w:sz="8" w:space="0" w:color="000000"/>
            </w:tcBorders>
            <w:shd w:val="clear" w:color="auto" w:fill="auto"/>
            <w:vAlign w:val="bottom"/>
          </w:tcPr>
          <w:p w14:paraId="5556C9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C92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w:t>
            </w:r>
          </w:p>
        </w:tc>
        <w:tc>
          <w:tcPr>
            <w:tcW w:w="0" w:type="auto"/>
            <w:tcBorders>
              <w:top w:val="single" w:sz="8" w:space="0" w:color="000000"/>
            </w:tcBorders>
            <w:shd w:val="clear" w:color="auto" w:fill="auto"/>
            <w:vAlign w:val="bottom"/>
          </w:tcPr>
          <w:p w14:paraId="5556C93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C93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244</w:t>
            </w:r>
          </w:p>
        </w:tc>
        <w:tc>
          <w:tcPr>
            <w:tcW w:w="0" w:type="auto"/>
            <w:tcBorders>
              <w:top w:val="single" w:sz="8" w:space="0" w:color="000000"/>
            </w:tcBorders>
            <w:shd w:val="clear" w:color="auto" w:fill="auto"/>
            <w:vAlign w:val="bottom"/>
          </w:tcPr>
          <w:p w14:paraId="5556C93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C93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tcBorders>
              <w:top w:val="single" w:sz="8" w:space="0" w:color="000000"/>
            </w:tcBorders>
            <w:shd w:val="clear" w:color="auto" w:fill="auto"/>
            <w:vAlign w:val="bottom"/>
          </w:tcPr>
          <w:p w14:paraId="5556C93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C93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609</w:t>
            </w:r>
          </w:p>
        </w:tc>
        <w:tc>
          <w:tcPr>
            <w:tcW w:w="0" w:type="auto"/>
            <w:tcBorders>
              <w:top w:val="single" w:sz="8" w:space="0" w:color="000000"/>
            </w:tcBorders>
            <w:shd w:val="clear" w:color="auto" w:fill="auto"/>
            <w:vAlign w:val="bottom"/>
          </w:tcPr>
          <w:p w14:paraId="5556C93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C93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w:t>
            </w:r>
          </w:p>
        </w:tc>
        <w:tc>
          <w:tcPr>
            <w:tcW w:w="0" w:type="auto"/>
            <w:tcBorders>
              <w:top w:val="single" w:sz="8" w:space="0" w:color="000000"/>
            </w:tcBorders>
            <w:shd w:val="clear" w:color="auto" w:fill="auto"/>
            <w:vAlign w:val="bottom"/>
          </w:tcPr>
          <w:p w14:paraId="5556C93C" w14:textId="77777777" w:rsidR="00F925DD" w:rsidRDefault="00F925DD">
            <w:pPr>
              <w:textAlignment w:val="bottom"/>
              <w:rPr>
                <w:rFonts w:ascii="Times New Roman" w:hAnsi="Times New Roman"/>
                <w:sz w:val="20"/>
                <w:szCs w:val="20"/>
              </w:rPr>
            </w:pPr>
          </w:p>
        </w:tc>
      </w:tr>
      <w:tr w:rsidR="00F925DD" w14:paraId="5556C950" w14:textId="77777777">
        <w:trPr>
          <w:jc w:val="center"/>
        </w:trPr>
        <w:tc>
          <w:tcPr>
            <w:tcW w:w="0" w:type="auto"/>
            <w:shd w:val="clear" w:color="auto" w:fill="CCEEFF"/>
            <w:tcMar>
              <w:top w:w="40" w:type="dxa"/>
              <w:left w:w="40" w:type="dxa"/>
              <w:bottom w:w="40" w:type="dxa"/>
              <w:right w:w="40" w:type="dxa"/>
            </w:tcMar>
            <w:vAlign w:val="bottom"/>
          </w:tcPr>
          <w:p w14:paraId="5556C93E"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Collateralized mortgage obligations </w:t>
            </w:r>
          </w:p>
        </w:tc>
        <w:tc>
          <w:tcPr>
            <w:tcW w:w="0" w:type="auto"/>
            <w:gridSpan w:val="2"/>
            <w:shd w:val="clear" w:color="auto" w:fill="CCEEFF"/>
            <w:tcMar>
              <w:top w:w="40" w:type="dxa"/>
              <w:left w:w="40" w:type="dxa"/>
              <w:bottom w:w="40" w:type="dxa"/>
            </w:tcMar>
            <w:vAlign w:val="bottom"/>
          </w:tcPr>
          <w:p w14:paraId="5556C93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181</w:t>
            </w:r>
          </w:p>
        </w:tc>
        <w:tc>
          <w:tcPr>
            <w:tcW w:w="0" w:type="auto"/>
            <w:shd w:val="clear" w:color="auto" w:fill="CCEEFF"/>
            <w:vAlign w:val="bottom"/>
          </w:tcPr>
          <w:p w14:paraId="5556C9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4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CCEEFF"/>
            <w:vAlign w:val="bottom"/>
          </w:tcPr>
          <w:p w14:paraId="5556C94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4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w:t>
            </w:r>
          </w:p>
        </w:tc>
        <w:tc>
          <w:tcPr>
            <w:tcW w:w="0" w:type="auto"/>
            <w:shd w:val="clear" w:color="auto" w:fill="CCEEFF"/>
            <w:vAlign w:val="bottom"/>
          </w:tcPr>
          <w:p w14:paraId="5556C94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4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C94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4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195</w:t>
            </w:r>
          </w:p>
        </w:tc>
        <w:tc>
          <w:tcPr>
            <w:tcW w:w="0" w:type="auto"/>
            <w:shd w:val="clear" w:color="auto" w:fill="CCEEFF"/>
            <w:vAlign w:val="bottom"/>
          </w:tcPr>
          <w:p w14:paraId="5556C94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4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w:t>
            </w:r>
          </w:p>
        </w:tc>
        <w:tc>
          <w:tcPr>
            <w:tcW w:w="0" w:type="auto"/>
            <w:shd w:val="clear" w:color="auto" w:fill="CCEEFF"/>
            <w:vAlign w:val="bottom"/>
          </w:tcPr>
          <w:p w14:paraId="5556C94F" w14:textId="77777777" w:rsidR="00F925DD" w:rsidRDefault="00F925DD">
            <w:pPr>
              <w:textAlignment w:val="bottom"/>
              <w:rPr>
                <w:rFonts w:ascii="Times New Roman" w:hAnsi="Times New Roman"/>
                <w:sz w:val="20"/>
                <w:szCs w:val="20"/>
              </w:rPr>
            </w:pPr>
          </w:p>
        </w:tc>
      </w:tr>
      <w:tr w:rsidR="00F925DD" w14:paraId="5556C963" w14:textId="77777777">
        <w:trPr>
          <w:jc w:val="center"/>
        </w:trPr>
        <w:tc>
          <w:tcPr>
            <w:tcW w:w="0" w:type="auto"/>
            <w:shd w:val="clear" w:color="auto" w:fill="auto"/>
            <w:tcMar>
              <w:top w:w="40" w:type="dxa"/>
              <w:left w:w="40" w:type="dxa"/>
              <w:bottom w:w="40" w:type="dxa"/>
              <w:right w:w="40" w:type="dxa"/>
            </w:tcMar>
            <w:vAlign w:val="bottom"/>
          </w:tcPr>
          <w:p w14:paraId="5556C951"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U.S. debt securities</w:t>
            </w:r>
          </w:p>
        </w:tc>
        <w:tc>
          <w:tcPr>
            <w:tcW w:w="0" w:type="auto"/>
            <w:gridSpan w:val="2"/>
            <w:shd w:val="clear" w:color="auto" w:fill="auto"/>
            <w:tcMar>
              <w:top w:w="40" w:type="dxa"/>
              <w:left w:w="40" w:type="dxa"/>
              <w:bottom w:w="40" w:type="dxa"/>
            </w:tcMar>
            <w:vAlign w:val="bottom"/>
          </w:tcPr>
          <w:p w14:paraId="5556C95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861</w:t>
            </w:r>
          </w:p>
        </w:tc>
        <w:tc>
          <w:tcPr>
            <w:tcW w:w="0" w:type="auto"/>
            <w:shd w:val="clear" w:color="auto" w:fill="auto"/>
            <w:vAlign w:val="bottom"/>
          </w:tcPr>
          <w:p w14:paraId="5556C95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95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w:t>
            </w:r>
          </w:p>
        </w:tc>
        <w:tc>
          <w:tcPr>
            <w:tcW w:w="0" w:type="auto"/>
            <w:shd w:val="clear" w:color="auto" w:fill="auto"/>
            <w:vAlign w:val="bottom"/>
          </w:tcPr>
          <w:p w14:paraId="5556C9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95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484</w:t>
            </w:r>
          </w:p>
        </w:tc>
        <w:tc>
          <w:tcPr>
            <w:tcW w:w="0" w:type="auto"/>
            <w:shd w:val="clear" w:color="auto" w:fill="auto"/>
            <w:vAlign w:val="bottom"/>
          </w:tcPr>
          <w:p w14:paraId="5556C95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95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w:t>
            </w:r>
          </w:p>
        </w:tc>
        <w:tc>
          <w:tcPr>
            <w:tcW w:w="0" w:type="auto"/>
            <w:shd w:val="clear" w:color="auto" w:fill="auto"/>
            <w:vAlign w:val="bottom"/>
          </w:tcPr>
          <w:p w14:paraId="5556C95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95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1,345</w:t>
            </w:r>
          </w:p>
        </w:tc>
        <w:tc>
          <w:tcPr>
            <w:tcW w:w="0" w:type="auto"/>
            <w:shd w:val="clear" w:color="auto" w:fill="auto"/>
            <w:vAlign w:val="bottom"/>
          </w:tcPr>
          <w:p w14:paraId="5556C95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96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shd w:val="clear" w:color="auto" w:fill="auto"/>
            <w:vAlign w:val="bottom"/>
          </w:tcPr>
          <w:p w14:paraId="5556C962" w14:textId="77777777" w:rsidR="00F925DD" w:rsidRDefault="00F925DD">
            <w:pPr>
              <w:textAlignment w:val="bottom"/>
              <w:rPr>
                <w:rFonts w:ascii="Times New Roman" w:hAnsi="Times New Roman"/>
                <w:sz w:val="20"/>
                <w:szCs w:val="20"/>
              </w:rPr>
            </w:pPr>
          </w:p>
        </w:tc>
      </w:tr>
      <w:tr w:rsidR="00F925DD" w14:paraId="5556C97C" w14:textId="77777777">
        <w:trPr>
          <w:jc w:val="center"/>
        </w:trPr>
        <w:tc>
          <w:tcPr>
            <w:tcW w:w="0" w:type="auto"/>
            <w:shd w:val="clear" w:color="auto" w:fill="CCEEFF"/>
            <w:tcMar>
              <w:top w:w="40" w:type="dxa"/>
              <w:left w:w="40" w:type="dxa"/>
              <w:bottom w:w="40" w:type="dxa"/>
              <w:right w:w="40" w:type="dxa"/>
            </w:tcMar>
            <w:vAlign w:val="bottom"/>
          </w:tcPr>
          <w:p w14:paraId="5556C964"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96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96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17,740</w:t>
            </w:r>
          </w:p>
        </w:tc>
        <w:tc>
          <w:tcPr>
            <w:tcW w:w="0" w:type="auto"/>
            <w:tcBorders>
              <w:top w:val="single" w:sz="8" w:space="0" w:color="000000"/>
              <w:bottom w:val="double" w:sz="6" w:space="0" w:color="000000"/>
            </w:tcBorders>
            <w:shd w:val="clear" w:color="auto" w:fill="CCEEFF"/>
            <w:vAlign w:val="bottom"/>
          </w:tcPr>
          <w:p w14:paraId="5556C96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96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96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110</w:t>
            </w:r>
          </w:p>
        </w:tc>
        <w:tc>
          <w:tcPr>
            <w:tcW w:w="0" w:type="auto"/>
            <w:tcBorders>
              <w:top w:val="single" w:sz="8" w:space="0" w:color="000000"/>
              <w:bottom w:val="double" w:sz="6" w:space="0" w:color="000000"/>
            </w:tcBorders>
            <w:shd w:val="clear" w:color="auto" w:fill="CCEEFF"/>
            <w:vAlign w:val="bottom"/>
          </w:tcPr>
          <w:p w14:paraId="5556C96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96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96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6,886</w:t>
            </w:r>
          </w:p>
        </w:tc>
        <w:tc>
          <w:tcPr>
            <w:tcW w:w="0" w:type="auto"/>
            <w:tcBorders>
              <w:top w:val="single" w:sz="8" w:space="0" w:color="000000"/>
              <w:bottom w:val="double" w:sz="6" w:space="0" w:color="000000"/>
            </w:tcBorders>
            <w:shd w:val="clear" w:color="auto" w:fill="CCEEFF"/>
            <w:vAlign w:val="bottom"/>
          </w:tcPr>
          <w:p w14:paraId="5556C96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97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97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208</w:t>
            </w:r>
          </w:p>
        </w:tc>
        <w:tc>
          <w:tcPr>
            <w:tcW w:w="0" w:type="auto"/>
            <w:tcBorders>
              <w:top w:val="single" w:sz="8" w:space="0" w:color="000000"/>
              <w:bottom w:val="double" w:sz="6" w:space="0" w:color="000000"/>
            </w:tcBorders>
            <w:shd w:val="clear" w:color="auto" w:fill="CCEEFF"/>
            <w:vAlign w:val="bottom"/>
          </w:tcPr>
          <w:p w14:paraId="5556C9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97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97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24,626</w:t>
            </w:r>
          </w:p>
        </w:tc>
        <w:tc>
          <w:tcPr>
            <w:tcW w:w="0" w:type="auto"/>
            <w:tcBorders>
              <w:top w:val="single" w:sz="8" w:space="0" w:color="000000"/>
              <w:bottom w:val="double" w:sz="6" w:space="0" w:color="000000"/>
            </w:tcBorders>
            <w:shd w:val="clear" w:color="auto" w:fill="CCEEFF"/>
            <w:vAlign w:val="bottom"/>
          </w:tcPr>
          <w:p w14:paraId="5556C9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97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97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318</w:t>
            </w:r>
          </w:p>
        </w:tc>
        <w:tc>
          <w:tcPr>
            <w:tcW w:w="0" w:type="auto"/>
            <w:tcBorders>
              <w:top w:val="single" w:sz="8" w:space="0" w:color="000000"/>
              <w:bottom w:val="double" w:sz="6" w:space="0" w:color="000000"/>
            </w:tcBorders>
            <w:shd w:val="clear" w:color="auto" w:fill="CCEEFF"/>
            <w:vAlign w:val="bottom"/>
          </w:tcPr>
          <w:p w14:paraId="5556C97B" w14:textId="77777777" w:rsidR="00F925DD" w:rsidRDefault="00F925DD">
            <w:pPr>
              <w:textAlignment w:val="bottom"/>
              <w:rPr>
                <w:rFonts w:ascii="Times New Roman" w:hAnsi="Times New Roman"/>
                <w:sz w:val="20"/>
                <w:szCs w:val="20"/>
              </w:rPr>
            </w:pPr>
          </w:p>
        </w:tc>
      </w:tr>
      <w:tr w:rsidR="00F925DD" w14:paraId="5556C989" w14:textId="77777777">
        <w:trPr>
          <w:jc w:val="center"/>
        </w:trPr>
        <w:tc>
          <w:tcPr>
            <w:tcW w:w="0" w:type="auto"/>
            <w:shd w:val="clear" w:color="auto" w:fill="auto"/>
            <w:tcMar>
              <w:top w:w="40" w:type="dxa"/>
              <w:left w:w="40" w:type="dxa"/>
              <w:bottom w:w="40" w:type="dxa"/>
              <w:right w:w="40" w:type="dxa"/>
            </w:tcMar>
            <w:vAlign w:val="bottom"/>
          </w:tcPr>
          <w:p w14:paraId="5556C97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Held-to-maturity:</w:t>
            </w:r>
          </w:p>
        </w:tc>
        <w:tc>
          <w:tcPr>
            <w:tcW w:w="0" w:type="auto"/>
            <w:gridSpan w:val="3"/>
            <w:shd w:val="clear" w:color="auto" w:fill="auto"/>
            <w:tcMar>
              <w:top w:w="40" w:type="dxa"/>
              <w:left w:w="40" w:type="dxa"/>
              <w:bottom w:w="40" w:type="dxa"/>
              <w:right w:w="40" w:type="dxa"/>
            </w:tcMar>
            <w:vAlign w:val="bottom"/>
          </w:tcPr>
          <w:p w14:paraId="5556C9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9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9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9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9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9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9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9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9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9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9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996" w14:textId="77777777">
        <w:trPr>
          <w:jc w:val="center"/>
        </w:trPr>
        <w:tc>
          <w:tcPr>
            <w:tcW w:w="0" w:type="auto"/>
            <w:shd w:val="clear" w:color="auto" w:fill="CCEEFF"/>
            <w:tcMar>
              <w:top w:w="40" w:type="dxa"/>
              <w:left w:w="40" w:type="dxa"/>
              <w:bottom w:w="40" w:type="dxa"/>
              <w:right w:w="40" w:type="dxa"/>
            </w:tcMar>
            <w:vAlign w:val="bottom"/>
          </w:tcPr>
          <w:p w14:paraId="5556C98A" w14:textId="77777777" w:rsidR="00F925DD" w:rsidRDefault="00E705D7">
            <w:pPr>
              <w:textAlignment w:val="bottom"/>
              <w:rPr>
                <w:rFonts w:ascii="Times New Roman" w:hAnsi="Times New Roman"/>
                <w:sz w:val="15"/>
                <w:szCs w:val="15"/>
              </w:rPr>
            </w:pPr>
            <w:r>
              <w:rPr>
                <w:rFonts w:ascii="Arial" w:eastAsia="宋体" w:hAnsi="Arial" w:cs="Arial"/>
                <w:sz w:val="15"/>
                <w:szCs w:val="15"/>
              </w:rPr>
              <w:t>U.S. Treasury and federal agencies:</w:t>
            </w:r>
          </w:p>
        </w:tc>
        <w:tc>
          <w:tcPr>
            <w:tcW w:w="0" w:type="auto"/>
            <w:gridSpan w:val="3"/>
            <w:shd w:val="clear" w:color="auto" w:fill="CCEEFF"/>
            <w:tcMar>
              <w:top w:w="40" w:type="dxa"/>
              <w:left w:w="40" w:type="dxa"/>
              <w:bottom w:w="40" w:type="dxa"/>
              <w:right w:w="40" w:type="dxa"/>
            </w:tcMar>
            <w:vAlign w:val="bottom"/>
          </w:tcPr>
          <w:p w14:paraId="5556C9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9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9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9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9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9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9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9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9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9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9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9AF" w14:textId="77777777">
        <w:trPr>
          <w:jc w:val="center"/>
        </w:trPr>
        <w:tc>
          <w:tcPr>
            <w:tcW w:w="0" w:type="auto"/>
            <w:shd w:val="clear" w:color="auto" w:fill="auto"/>
            <w:tcMar>
              <w:top w:w="40" w:type="dxa"/>
              <w:left w:w="400" w:type="dxa"/>
              <w:bottom w:w="40" w:type="dxa"/>
              <w:right w:w="40" w:type="dxa"/>
            </w:tcMar>
            <w:vAlign w:val="bottom"/>
          </w:tcPr>
          <w:p w14:paraId="5556C997"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Direct </w:t>
            </w:r>
            <w:r>
              <w:rPr>
                <w:rFonts w:ascii="Arial" w:eastAsia="宋体" w:hAnsi="Arial" w:cs="Arial"/>
                <w:sz w:val="15"/>
                <w:szCs w:val="15"/>
              </w:rPr>
              <w:t>obligations</w:t>
            </w:r>
          </w:p>
        </w:tc>
        <w:tc>
          <w:tcPr>
            <w:tcW w:w="0" w:type="auto"/>
            <w:shd w:val="clear" w:color="auto" w:fill="auto"/>
            <w:tcMar>
              <w:top w:w="40" w:type="dxa"/>
              <w:left w:w="40" w:type="dxa"/>
              <w:bottom w:w="40" w:type="dxa"/>
            </w:tcMar>
            <w:vAlign w:val="bottom"/>
          </w:tcPr>
          <w:p w14:paraId="5556C99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5556C99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2,192</w:t>
            </w:r>
          </w:p>
        </w:tc>
        <w:tc>
          <w:tcPr>
            <w:tcW w:w="0" w:type="auto"/>
            <w:shd w:val="clear" w:color="auto" w:fill="auto"/>
            <w:vAlign w:val="bottom"/>
          </w:tcPr>
          <w:p w14:paraId="5556C99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C99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5556C99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w:t>
            </w:r>
          </w:p>
        </w:tc>
        <w:tc>
          <w:tcPr>
            <w:tcW w:w="0" w:type="auto"/>
            <w:shd w:val="clear" w:color="auto" w:fill="auto"/>
            <w:vAlign w:val="bottom"/>
          </w:tcPr>
          <w:p w14:paraId="5556C99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C9A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5556C9A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12,403</w:t>
            </w:r>
          </w:p>
        </w:tc>
        <w:tc>
          <w:tcPr>
            <w:tcW w:w="0" w:type="auto"/>
            <w:shd w:val="clear" w:color="auto" w:fill="auto"/>
            <w:vAlign w:val="bottom"/>
          </w:tcPr>
          <w:p w14:paraId="5556C9A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C9A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5556C9A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154</w:t>
            </w:r>
          </w:p>
        </w:tc>
        <w:tc>
          <w:tcPr>
            <w:tcW w:w="0" w:type="auto"/>
            <w:shd w:val="clear" w:color="auto" w:fill="auto"/>
            <w:vAlign w:val="bottom"/>
          </w:tcPr>
          <w:p w14:paraId="5556C9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C9A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5556C9A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14,595</w:t>
            </w:r>
          </w:p>
        </w:tc>
        <w:tc>
          <w:tcPr>
            <w:tcW w:w="0" w:type="auto"/>
            <w:shd w:val="clear" w:color="auto" w:fill="auto"/>
            <w:vAlign w:val="bottom"/>
          </w:tcPr>
          <w:p w14:paraId="5556C9A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C9A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5556C9A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199</w:t>
            </w:r>
          </w:p>
        </w:tc>
        <w:tc>
          <w:tcPr>
            <w:tcW w:w="0" w:type="auto"/>
            <w:shd w:val="clear" w:color="auto" w:fill="auto"/>
            <w:vAlign w:val="bottom"/>
          </w:tcPr>
          <w:p w14:paraId="5556C9AE" w14:textId="77777777" w:rsidR="00F925DD" w:rsidRDefault="00F925DD">
            <w:pPr>
              <w:textAlignment w:val="bottom"/>
              <w:rPr>
                <w:rFonts w:ascii="Times New Roman" w:hAnsi="Times New Roman"/>
                <w:sz w:val="20"/>
                <w:szCs w:val="20"/>
              </w:rPr>
            </w:pPr>
          </w:p>
        </w:tc>
      </w:tr>
      <w:tr w:rsidR="00F925DD" w14:paraId="5556C9C2" w14:textId="77777777">
        <w:trPr>
          <w:jc w:val="center"/>
        </w:trPr>
        <w:tc>
          <w:tcPr>
            <w:tcW w:w="0" w:type="auto"/>
            <w:shd w:val="clear" w:color="auto" w:fill="CCEEFF"/>
            <w:tcMar>
              <w:top w:w="40" w:type="dxa"/>
              <w:left w:w="240" w:type="dxa"/>
              <w:bottom w:w="40" w:type="dxa"/>
              <w:right w:w="40" w:type="dxa"/>
            </w:tcMar>
            <w:vAlign w:val="bottom"/>
          </w:tcPr>
          <w:p w14:paraId="5556C9B0" w14:textId="77777777" w:rsidR="00F925DD" w:rsidRDefault="00E705D7">
            <w:pPr>
              <w:textAlignment w:val="bottom"/>
              <w:rPr>
                <w:rFonts w:ascii="Times New Roman" w:hAnsi="Times New Roman"/>
                <w:sz w:val="15"/>
                <w:szCs w:val="15"/>
              </w:rPr>
            </w:pPr>
            <w:r>
              <w:rPr>
                <w:rFonts w:ascii="Arial" w:eastAsia="宋体" w:hAnsi="Arial" w:cs="Arial"/>
                <w:sz w:val="15"/>
                <w:szCs w:val="15"/>
              </w:rPr>
              <w:t>   Mortgage-backed securities</w:t>
            </w:r>
          </w:p>
        </w:tc>
        <w:tc>
          <w:tcPr>
            <w:tcW w:w="0" w:type="auto"/>
            <w:gridSpan w:val="2"/>
            <w:shd w:val="clear" w:color="auto" w:fill="CCEEFF"/>
            <w:tcMar>
              <w:top w:w="40" w:type="dxa"/>
              <w:left w:w="40" w:type="dxa"/>
              <w:bottom w:w="40" w:type="dxa"/>
            </w:tcMar>
            <w:vAlign w:val="bottom"/>
          </w:tcPr>
          <w:p w14:paraId="5556C9B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6,502</w:t>
            </w:r>
          </w:p>
        </w:tc>
        <w:tc>
          <w:tcPr>
            <w:tcW w:w="0" w:type="auto"/>
            <w:shd w:val="clear" w:color="auto" w:fill="CCEEFF"/>
            <w:vAlign w:val="bottom"/>
          </w:tcPr>
          <w:p w14:paraId="5556C9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B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w:t>
            </w:r>
          </w:p>
        </w:tc>
        <w:tc>
          <w:tcPr>
            <w:tcW w:w="0" w:type="auto"/>
            <w:shd w:val="clear" w:color="auto" w:fill="CCEEFF"/>
            <w:vAlign w:val="bottom"/>
          </w:tcPr>
          <w:p w14:paraId="5556C9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B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10,648</w:t>
            </w:r>
          </w:p>
        </w:tc>
        <w:tc>
          <w:tcPr>
            <w:tcW w:w="0" w:type="auto"/>
            <w:shd w:val="clear" w:color="auto" w:fill="CCEEFF"/>
            <w:vAlign w:val="bottom"/>
          </w:tcPr>
          <w:p w14:paraId="5556C9B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B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415</w:t>
            </w:r>
          </w:p>
        </w:tc>
        <w:tc>
          <w:tcPr>
            <w:tcW w:w="0" w:type="auto"/>
            <w:shd w:val="clear" w:color="auto" w:fill="CCEEFF"/>
            <w:vAlign w:val="bottom"/>
          </w:tcPr>
          <w:p w14:paraId="5556C9B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B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17,150</w:t>
            </w:r>
          </w:p>
        </w:tc>
        <w:tc>
          <w:tcPr>
            <w:tcW w:w="0" w:type="auto"/>
            <w:shd w:val="clear" w:color="auto" w:fill="CCEEFF"/>
            <w:vAlign w:val="bottom"/>
          </w:tcPr>
          <w:p w14:paraId="5556C9B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9C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518</w:t>
            </w:r>
          </w:p>
        </w:tc>
        <w:tc>
          <w:tcPr>
            <w:tcW w:w="0" w:type="auto"/>
            <w:shd w:val="clear" w:color="auto" w:fill="CCEEFF"/>
            <w:vAlign w:val="bottom"/>
          </w:tcPr>
          <w:p w14:paraId="5556C9C1" w14:textId="77777777" w:rsidR="00F925DD" w:rsidRDefault="00F925DD">
            <w:pPr>
              <w:textAlignment w:val="bottom"/>
              <w:rPr>
                <w:rFonts w:ascii="Times New Roman" w:hAnsi="Times New Roman"/>
                <w:sz w:val="20"/>
                <w:szCs w:val="20"/>
              </w:rPr>
            </w:pPr>
          </w:p>
        </w:tc>
      </w:tr>
      <w:tr w:rsidR="00F925DD" w14:paraId="5556C9D5" w14:textId="77777777">
        <w:trPr>
          <w:jc w:val="center"/>
        </w:trPr>
        <w:tc>
          <w:tcPr>
            <w:tcW w:w="0" w:type="auto"/>
            <w:shd w:val="clear" w:color="auto" w:fill="auto"/>
            <w:tcMar>
              <w:top w:w="40" w:type="dxa"/>
              <w:left w:w="720" w:type="dxa"/>
              <w:bottom w:w="40" w:type="dxa"/>
              <w:right w:w="40" w:type="dxa"/>
            </w:tcMar>
            <w:vAlign w:val="bottom"/>
          </w:tcPr>
          <w:p w14:paraId="5556C9C3"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U.S. Treasury and federal agencies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9C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8,694</w:t>
            </w:r>
          </w:p>
        </w:tc>
        <w:tc>
          <w:tcPr>
            <w:tcW w:w="0" w:type="auto"/>
            <w:tcBorders>
              <w:top w:val="single" w:sz="8" w:space="0" w:color="000000"/>
              <w:bottom w:val="single" w:sz="8" w:space="0" w:color="000000"/>
            </w:tcBorders>
            <w:shd w:val="clear" w:color="auto" w:fill="auto"/>
            <w:vAlign w:val="bottom"/>
          </w:tcPr>
          <w:p w14:paraId="5556C9C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9C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148</w:t>
            </w:r>
          </w:p>
        </w:tc>
        <w:tc>
          <w:tcPr>
            <w:tcW w:w="0" w:type="auto"/>
            <w:tcBorders>
              <w:top w:val="single" w:sz="8" w:space="0" w:color="000000"/>
              <w:bottom w:val="single" w:sz="8" w:space="0" w:color="000000"/>
            </w:tcBorders>
            <w:shd w:val="clear" w:color="auto" w:fill="auto"/>
            <w:vAlign w:val="bottom"/>
          </w:tcPr>
          <w:p w14:paraId="5556C9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9C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23,051</w:t>
            </w:r>
          </w:p>
        </w:tc>
        <w:tc>
          <w:tcPr>
            <w:tcW w:w="0" w:type="auto"/>
            <w:tcBorders>
              <w:top w:val="single" w:sz="8" w:space="0" w:color="000000"/>
              <w:bottom w:val="single" w:sz="8" w:space="0" w:color="000000"/>
            </w:tcBorders>
            <w:shd w:val="clear" w:color="auto" w:fill="auto"/>
            <w:vAlign w:val="bottom"/>
          </w:tcPr>
          <w:p w14:paraId="5556C9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9C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569</w:t>
            </w:r>
          </w:p>
        </w:tc>
        <w:tc>
          <w:tcPr>
            <w:tcW w:w="0" w:type="auto"/>
            <w:tcBorders>
              <w:top w:val="single" w:sz="8" w:space="0" w:color="000000"/>
              <w:bottom w:val="single" w:sz="8" w:space="0" w:color="000000"/>
            </w:tcBorders>
            <w:shd w:val="clear" w:color="auto" w:fill="auto"/>
            <w:vAlign w:val="bottom"/>
          </w:tcPr>
          <w:p w14:paraId="5556C9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9D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31,745</w:t>
            </w:r>
          </w:p>
        </w:tc>
        <w:tc>
          <w:tcPr>
            <w:tcW w:w="0" w:type="auto"/>
            <w:tcBorders>
              <w:top w:val="single" w:sz="8" w:space="0" w:color="000000"/>
              <w:bottom w:val="single" w:sz="8" w:space="0" w:color="000000"/>
            </w:tcBorders>
            <w:shd w:val="clear" w:color="auto" w:fill="auto"/>
            <w:vAlign w:val="bottom"/>
          </w:tcPr>
          <w:p w14:paraId="5556C9D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9D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717</w:t>
            </w:r>
          </w:p>
        </w:tc>
        <w:tc>
          <w:tcPr>
            <w:tcW w:w="0" w:type="auto"/>
            <w:tcBorders>
              <w:top w:val="single" w:sz="8" w:space="0" w:color="000000"/>
              <w:bottom w:val="single" w:sz="8" w:space="0" w:color="000000"/>
            </w:tcBorders>
            <w:shd w:val="clear" w:color="auto" w:fill="auto"/>
            <w:vAlign w:val="bottom"/>
          </w:tcPr>
          <w:p w14:paraId="5556C9D4" w14:textId="77777777" w:rsidR="00F925DD" w:rsidRDefault="00F925DD">
            <w:pPr>
              <w:textAlignment w:val="bottom"/>
              <w:rPr>
                <w:rFonts w:ascii="Times New Roman" w:hAnsi="Times New Roman"/>
                <w:sz w:val="20"/>
                <w:szCs w:val="20"/>
              </w:rPr>
            </w:pPr>
          </w:p>
        </w:tc>
      </w:tr>
      <w:tr w:rsidR="00F925DD" w14:paraId="5556C9E2" w14:textId="77777777">
        <w:trPr>
          <w:jc w:val="center"/>
        </w:trPr>
        <w:tc>
          <w:tcPr>
            <w:tcW w:w="0" w:type="auto"/>
            <w:shd w:val="clear" w:color="auto" w:fill="CCEEFF"/>
            <w:tcMar>
              <w:top w:w="40" w:type="dxa"/>
              <w:left w:w="40" w:type="dxa"/>
              <w:bottom w:w="40" w:type="dxa"/>
              <w:right w:w="40" w:type="dxa"/>
            </w:tcMar>
            <w:vAlign w:val="bottom"/>
          </w:tcPr>
          <w:p w14:paraId="5556C9D6" w14:textId="77777777" w:rsidR="00F925DD" w:rsidRDefault="00E705D7">
            <w:pPr>
              <w:textAlignment w:val="bottom"/>
              <w:rPr>
                <w:rFonts w:ascii="Times New Roman" w:hAnsi="Times New Roman"/>
                <w:sz w:val="15"/>
                <w:szCs w:val="15"/>
              </w:rPr>
            </w:pPr>
            <w:r>
              <w:rPr>
                <w:rFonts w:ascii="Arial" w:eastAsia="宋体" w:hAnsi="Arial" w:cs="Arial"/>
                <w:sz w:val="15"/>
                <w:szCs w:val="15"/>
              </w:rPr>
              <w:t>Asset-backed securities:</w:t>
            </w:r>
          </w:p>
        </w:tc>
        <w:tc>
          <w:tcPr>
            <w:tcW w:w="0" w:type="auto"/>
            <w:gridSpan w:val="3"/>
            <w:shd w:val="clear" w:color="auto" w:fill="CCEEFF"/>
            <w:tcMar>
              <w:top w:w="40" w:type="dxa"/>
              <w:left w:w="40" w:type="dxa"/>
              <w:bottom w:w="40" w:type="dxa"/>
              <w:right w:w="40" w:type="dxa"/>
            </w:tcMar>
            <w:vAlign w:val="bottom"/>
          </w:tcPr>
          <w:p w14:paraId="5556C9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9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9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9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9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9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9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9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9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9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9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9F5" w14:textId="77777777">
        <w:trPr>
          <w:jc w:val="center"/>
        </w:trPr>
        <w:tc>
          <w:tcPr>
            <w:tcW w:w="0" w:type="auto"/>
            <w:shd w:val="clear" w:color="auto" w:fill="auto"/>
            <w:tcMar>
              <w:top w:w="40" w:type="dxa"/>
              <w:left w:w="400" w:type="dxa"/>
              <w:bottom w:w="40" w:type="dxa"/>
              <w:right w:w="40" w:type="dxa"/>
            </w:tcMar>
            <w:vAlign w:val="bottom"/>
          </w:tcPr>
          <w:p w14:paraId="5556C9E3" w14:textId="77777777" w:rsidR="00F925DD" w:rsidRDefault="00E705D7">
            <w:pPr>
              <w:textAlignment w:val="bottom"/>
              <w:rPr>
                <w:rFonts w:ascii="Times New Roman" w:hAnsi="Times New Roman"/>
                <w:sz w:val="15"/>
                <w:szCs w:val="15"/>
              </w:rPr>
            </w:pPr>
            <w:r>
              <w:rPr>
                <w:rFonts w:ascii="Arial" w:eastAsia="宋体" w:hAnsi="Arial" w:cs="Arial"/>
                <w:sz w:val="15"/>
                <w:szCs w:val="15"/>
              </w:rPr>
              <w:t>Student loans</w:t>
            </w:r>
          </w:p>
        </w:tc>
        <w:tc>
          <w:tcPr>
            <w:tcW w:w="0" w:type="auto"/>
            <w:gridSpan w:val="2"/>
            <w:shd w:val="clear" w:color="auto" w:fill="auto"/>
            <w:tcMar>
              <w:top w:w="40" w:type="dxa"/>
              <w:left w:w="40" w:type="dxa"/>
              <w:bottom w:w="40" w:type="dxa"/>
            </w:tcMar>
            <w:vAlign w:val="bottom"/>
          </w:tcPr>
          <w:p w14:paraId="5556C9E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481</w:t>
            </w:r>
          </w:p>
        </w:tc>
        <w:tc>
          <w:tcPr>
            <w:tcW w:w="0" w:type="auto"/>
            <w:shd w:val="clear" w:color="auto" w:fill="auto"/>
            <w:vAlign w:val="bottom"/>
          </w:tcPr>
          <w:p w14:paraId="5556C9E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9E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shd w:val="clear" w:color="auto" w:fill="auto"/>
            <w:vAlign w:val="bottom"/>
          </w:tcPr>
          <w:p w14:paraId="5556C9E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9E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536</w:t>
            </w:r>
          </w:p>
        </w:tc>
        <w:tc>
          <w:tcPr>
            <w:tcW w:w="0" w:type="auto"/>
            <w:shd w:val="clear" w:color="auto" w:fill="auto"/>
            <w:vAlign w:val="bottom"/>
          </w:tcPr>
          <w:p w14:paraId="5556C9E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9E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auto"/>
            <w:vAlign w:val="bottom"/>
          </w:tcPr>
          <w:p w14:paraId="5556C9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9F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1,017</w:t>
            </w:r>
          </w:p>
        </w:tc>
        <w:tc>
          <w:tcPr>
            <w:tcW w:w="0" w:type="auto"/>
            <w:shd w:val="clear" w:color="auto" w:fill="auto"/>
            <w:vAlign w:val="bottom"/>
          </w:tcPr>
          <w:p w14:paraId="5556C9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9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9F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shd w:val="clear" w:color="auto" w:fill="auto"/>
            <w:vAlign w:val="bottom"/>
          </w:tcPr>
          <w:p w14:paraId="5556C9F4" w14:textId="77777777" w:rsidR="00F925DD" w:rsidRDefault="00F925DD">
            <w:pPr>
              <w:textAlignment w:val="bottom"/>
              <w:rPr>
                <w:rFonts w:ascii="Times New Roman" w:hAnsi="Times New Roman"/>
                <w:sz w:val="20"/>
                <w:szCs w:val="20"/>
              </w:rPr>
            </w:pPr>
          </w:p>
        </w:tc>
      </w:tr>
      <w:tr w:rsidR="00F925DD" w14:paraId="5556CA08" w14:textId="77777777">
        <w:trPr>
          <w:jc w:val="center"/>
        </w:trPr>
        <w:tc>
          <w:tcPr>
            <w:tcW w:w="0" w:type="auto"/>
            <w:shd w:val="clear" w:color="auto" w:fill="CCEEFF"/>
            <w:tcMar>
              <w:top w:w="40" w:type="dxa"/>
              <w:left w:w="720" w:type="dxa"/>
              <w:bottom w:w="40" w:type="dxa"/>
              <w:right w:w="40" w:type="dxa"/>
            </w:tcMar>
            <w:vAlign w:val="bottom"/>
          </w:tcPr>
          <w:p w14:paraId="5556C9F6"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asset-backed securities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9F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481</w:t>
            </w:r>
          </w:p>
        </w:tc>
        <w:tc>
          <w:tcPr>
            <w:tcW w:w="0" w:type="auto"/>
            <w:tcBorders>
              <w:top w:val="single" w:sz="8" w:space="0" w:color="000000"/>
              <w:bottom w:val="single" w:sz="8" w:space="0" w:color="000000"/>
            </w:tcBorders>
            <w:shd w:val="clear" w:color="auto" w:fill="CCEEFF"/>
            <w:vAlign w:val="bottom"/>
          </w:tcPr>
          <w:p w14:paraId="5556C9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9F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tcBorders>
              <w:top w:val="single" w:sz="8" w:space="0" w:color="000000"/>
              <w:bottom w:val="single" w:sz="8" w:space="0" w:color="000000"/>
            </w:tcBorders>
            <w:shd w:val="clear" w:color="auto" w:fill="CCEEFF"/>
            <w:vAlign w:val="bottom"/>
          </w:tcPr>
          <w:p w14:paraId="5556C9F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9F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536</w:t>
            </w:r>
          </w:p>
        </w:tc>
        <w:tc>
          <w:tcPr>
            <w:tcW w:w="0" w:type="auto"/>
            <w:tcBorders>
              <w:top w:val="single" w:sz="8" w:space="0" w:color="000000"/>
              <w:bottom w:val="single" w:sz="8" w:space="0" w:color="000000"/>
            </w:tcBorders>
            <w:shd w:val="clear" w:color="auto" w:fill="CCEEFF"/>
            <w:vAlign w:val="bottom"/>
          </w:tcPr>
          <w:p w14:paraId="5556C9F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9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A0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tcBorders>
              <w:top w:val="single" w:sz="8" w:space="0" w:color="000000"/>
              <w:bottom w:val="single" w:sz="8" w:space="0" w:color="000000"/>
            </w:tcBorders>
            <w:shd w:val="clear" w:color="auto" w:fill="CCEEFF"/>
            <w:vAlign w:val="bottom"/>
          </w:tcPr>
          <w:p w14:paraId="5556CA0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A0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1,017</w:t>
            </w:r>
          </w:p>
        </w:tc>
        <w:tc>
          <w:tcPr>
            <w:tcW w:w="0" w:type="auto"/>
            <w:tcBorders>
              <w:top w:val="single" w:sz="8" w:space="0" w:color="000000"/>
              <w:bottom w:val="single" w:sz="8" w:space="0" w:color="000000"/>
            </w:tcBorders>
            <w:shd w:val="clear" w:color="auto" w:fill="CCEEFF"/>
            <w:vAlign w:val="bottom"/>
          </w:tcPr>
          <w:p w14:paraId="5556CA0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A0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w:t>
            </w:r>
          </w:p>
        </w:tc>
        <w:tc>
          <w:tcPr>
            <w:tcW w:w="0" w:type="auto"/>
            <w:tcBorders>
              <w:top w:val="single" w:sz="8" w:space="0" w:color="000000"/>
              <w:bottom w:val="single" w:sz="8" w:space="0" w:color="000000"/>
            </w:tcBorders>
            <w:shd w:val="clear" w:color="auto" w:fill="CCEEFF"/>
            <w:vAlign w:val="bottom"/>
          </w:tcPr>
          <w:p w14:paraId="5556CA07" w14:textId="77777777" w:rsidR="00F925DD" w:rsidRDefault="00F925DD">
            <w:pPr>
              <w:textAlignment w:val="bottom"/>
              <w:rPr>
                <w:rFonts w:ascii="Times New Roman" w:hAnsi="Times New Roman"/>
                <w:sz w:val="20"/>
                <w:szCs w:val="20"/>
              </w:rPr>
            </w:pPr>
          </w:p>
        </w:tc>
      </w:tr>
      <w:tr w:rsidR="00F925DD" w14:paraId="5556CA15" w14:textId="77777777">
        <w:trPr>
          <w:jc w:val="center"/>
        </w:trPr>
        <w:tc>
          <w:tcPr>
            <w:tcW w:w="0" w:type="auto"/>
            <w:shd w:val="clear" w:color="auto" w:fill="auto"/>
            <w:tcMar>
              <w:top w:w="40" w:type="dxa"/>
              <w:left w:w="40" w:type="dxa"/>
              <w:bottom w:w="40" w:type="dxa"/>
              <w:right w:w="40" w:type="dxa"/>
            </w:tcMar>
            <w:vAlign w:val="bottom"/>
          </w:tcPr>
          <w:p w14:paraId="5556CA09" w14:textId="77777777" w:rsidR="00F925DD" w:rsidRDefault="00E705D7">
            <w:pPr>
              <w:textAlignment w:val="bottom"/>
              <w:rPr>
                <w:rFonts w:ascii="Times New Roman" w:hAnsi="Times New Roman"/>
                <w:sz w:val="15"/>
                <w:szCs w:val="15"/>
              </w:rPr>
            </w:pPr>
            <w:r>
              <w:rPr>
                <w:rFonts w:ascii="Arial" w:eastAsia="宋体" w:hAnsi="Arial" w:cs="Arial"/>
                <w:sz w:val="15"/>
                <w:szCs w:val="15"/>
              </w:rPr>
              <w:t>Non-U.S. debt securities:</w:t>
            </w:r>
          </w:p>
        </w:tc>
        <w:tc>
          <w:tcPr>
            <w:tcW w:w="0" w:type="auto"/>
            <w:gridSpan w:val="3"/>
            <w:shd w:val="clear" w:color="auto" w:fill="auto"/>
            <w:tcMar>
              <w:top w:w="40" w:type="dxa"/>
              <w:left w:w="40" w:type="dxa"/>
              <w:bottom w:w="40" w:type="dxa"/>
              <w:right w:w="40" w:type="dxa"/>
            </w:tcMar>
            <w:vAlign w:val="bottom"/>
          </w:tcPr>
          <w:p w14:paraId="5556CA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A28" w14:textId="77777777">
        <w:trPr>
          <w:jc w:val="center"/>
        </w:trPr>
        <w:tc>
          <w:tcPr>
            <w:tcW w:w="0" w:type="auto"/>
            <w:shd w:val="clear" w:color="auto" w:fill="CCEEFF"/>
            <w:tcMar>
              <w:top w:w="40" w:type="dxa"/>
              <w:left w:w="400" w:type="dxa"/>
              <w:bottom w:w="40" w:type="dxa"/>
              <w:right w:w="40" w:type="dxa"/>
            </w:tcMar>
            <w:vAlign w:val="bottom"/>
          </w:tcPr>
          <w:p w14:paraId="5556CA16" w14:textId="77777777" w:rsidR="00F925DD" w:rsidRDefault="00E705D7">
            <w:pPr>
              <w:textAlignment w:val="bottom"/>
              <w:rPr>
                <w:rFonts w:ascii="Times New Roman" w:hAnsi="Times New Roman"/>
                <w:sz w:val="15"/>
                <w:szCs w:val="15"/>
              </w:rPr>
            </w:pPr>
            <w:r>
              <w:rPr>
                <w:rFonts w:ascii="Arial" w:eastAsia="宋体" w:hAnsi="Arial" w:cs="Arial"/>
                <w:sz w:val="15"/>
                <w:szCs w:val="15"/>
              </w:rPr>
              <w:t>Mortgage-backed securities</w:t>
            </w:r>
          </w:p>
        </w:tc>
        <w:tc>
          <w:tcPr>
            <w:tcW w:w="0" w:type="auto"/>
            <w:gridSpan w:val="2"/>
            <w:shd w:val="clear" w:color="auto" w:fill="CCEEFF"/>
            <w:tcMar>
              <w:top w:w="40" w:type="dxa"/>
              <w:left w:w="40" w:type="dxa"/>
              <w:bottom w:w="40" w:type="dxa"/>
            </w:tcMar>
            <w:vAlign w:val="bottom"/>
          </w:tcPr>
          <w:p w14:paraId="5556CA1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184</w:t>
            </w:r>
          </w:p>
        </w:tc>
        <w:tc>
          <w:tcPr>
            <w:tcW w:w="0" w:type="auto"/>
            <w:shd w:val="clear" w:color="auto" w:fill="CCEEFF"/>
            <w:vAlign w:val="bottom"/>
          </w:tcPr>
          <w:p w14:paraId="5556CA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A1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CCEEFF"/>
            <w:vAlign w:val="bottom"/>
          </w:tcPr>
          <w:p w14:paraId="5556CA1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A1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119</w:t>
            </w:r>
          </w:p>
        </w:tc>
        <w:tc>
          <w:tcPr>
            <w:tcW w:w="0" w:type="auto"/>
            <w:shd w:val="clear" w:color="auto" w:fill="CCEEFF"/>
            <w:vAlign w:val="bottom"/>
          </w:tcPr>
          <w:p w14:paraId="5556CA1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A2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w:t>
            </w:r>
          </w:p>
        </w:tc>
        <w:tc>
          <w:tcPr>
            <w:tcW w:w="0" w:type="auto"/>
            <w:shd w:val="clear" w:color="auto" w:fill="CCEEFF"/>
            <w:vAlign w:val="bottom"/>
          </w:tcPr>
          <w:p w14:paraId="5556CA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A2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303</w:t>
            </w:r>
          </w:p>
        </w:tc>
        <w:tc>
          <w:tcPr>
            <w:tcW w:w="0" w:type="auto"/>
            <w:shd w:val="clear" w:color="auto" w:fill="CCEEFF"/>
            <w:vAlign w:val="bottom"/>
          </w:tcPr>
          <w:p w14:paraId="5556CA2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A2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shd w:val="clear" w:color="auto" w:fill="CCEEFF"/>
            <w:vAlign w:val="bottom"/>
          </w:tcPr>
          <w:p w14:paraId="5556CA27" w14:textId="77777777" w:rsidR="00F925DD" w:rsidRDefault="00F925DD">
            <w:pPr>
              <w:textAlignment w:val="bottom"/>
              <w:rPr>
                <w:rFonts w:ascii="Times New Roman" w:hAnsi="Times New Roman"/>
                <w:sz w:val="20"/>
                <w:szCs w:val="20"/>
              </w:rPr>
            </w:pPr>
          </w:p>
        </w:tc>
      </w:tr>
      <w:tr w:rsidR="00F925DD" w14:paraId="5556CA3B" w14:textId="77777777">
        <w:trPr>
          <w:jc w:val="center"/>
        </w:trPr>
        <w:tc>
          <w:tcPr>
            <w:tcW w:w="0" w:type="auto"/>
            <w:shd w:val="clear" w:color="auto" w:fill="auto"/>
            <w:tcMar>
              <w:top w:w="40" w:type="dxa"/>
              <w:left w:w="720" w:type="dxa"/>
              <w:bottom w:w="40" w:type="dxa"/>
              <w:right w:w="40" w:type="dxa"/>
            </w:tcMar>
            <w:vAlign w:val="bottom"/>
          </w:tcPr>
          <w:p w14:paraId="5556CA29"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non-U.S. debt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A2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184</w:t>
            </w:r>
          </w:p>
        </w:tc>
        <w:tc>
          <w:tcPr>
            <w:tcW w:w="0" w:type="auto"/>
            <w:tcBorders>
              <w:top w:val="single" w:sz="8" w:space="0" w:color="000000"/>
              <w:bottom w:val="single" w:sz="8" w:space="0" w:color="000000"/>
            </w:tcBorders>
            <w:shd w:val="clear" w:color="auto" w:fill="auto"/>
            <w:vAlign w:val="bottom"/>
          </w:tcPr>
          <w:p w14:paraId="5556CA2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A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A2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tcBorders>
              <w:top w:val="single" w:sz="8" w:space="0" w:color="000000"/>
              <w:bottom w:val="single" w:sz="8" w:space="0" w:color="000000"/>
            </w:tcBorders>
            <w:shd w:val="clear" w:color="auto" w:fill="auto"/>
            <w:vAlign w:val="bottom"/>
          </w:tcPr>
          <w:p w14:paraId="5556CA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A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A3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119</w:t>
            </w:r>
          </w:p>
        </w:tc>
        <w:tc>
          <w:tcPr>
            <w:tcW w:w="0" w:type="auto"/>
            <w:tcBorders>
              <w:top w:val="single" w:sz="8" w:space="0" w:color="000000"/>
              <w:bottom w:val="single" w:sz="8" w:space="0" w:color="000000"/>
            </w:tcBorders>
            <w:shd w:val="clear" w:color="auto" w:fill="auto"/>
            <w:vAlign w:val="bottom"/>
          </w:tcPr>
          <w:p w14:paraId="5556CA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A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A3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w:t>
            </w:r>
          </w:p>
        </w:tc>
        <w:tc>
          <w:tcPr>
            <w:tcW w:w="0" w:type="auto"/>
            <w:tcBorders>
              <w:top w:val="single" w:sz="8" w:space="0" w:color="000000"/>
              <w:bottom w:val="single" w:sz="8" w:space="0" w:color="000000"/>
            </w:tcBorders>
            <w:shd w:val="clear" w:color="auto" w:fill="auto"/>
            <w:vAlign w:val="bottom"/>
          </w:tcPr>
          <w:p w14:paraId="5556CA3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A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A3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303</w:t>
            </w:r>
          </w:p>
        </w:tc>
        <w:tc>
          <w:tcPr>
            <w:tcW w:w="0" w:type="auto"/>
            <w:tcBorders>
              <w:top w:val="single" w:sz="8" w:space="0" w:color="000000"/>
              <w:bottom w:val="single" w:sz="8" w:space="0" w:color="000000"/>
            </w:tcBorders>
            <w:shd w:val="clear" w:color="auto" w:fill="auto"/>
            <w:vAlign w:val="bottom"/>
          </w:tcPr>
          <w:p w14:paraId="5556CA3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A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A3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w:t>
            </w:r>
          </w:p>
        </w:tc>
        <w:tc>
          <w:tcPr>
            <w:tcW w:w="0" w:type="auto"/>
            <w:tcBorders>
              <w:top w:val="single" w:sz="8" w:space="0" w:color="000000"/>
              <w:bottom w:val="single" w:sz="8" w:space="0" w:color="000000"/>
            </w:tcBorders>
            <w:shd w:val="clear" w:color="auto" w:fill="auto"/>
            <w:vAlign w:val="bottom"/>
          </w:tcPr>
          <w:p w14:paraId="5556CA3A" w14:textId="77777777" w:rsidR="00F925DD" w:rsidRDefault="00F925DD">
            <w:pPr>
              <w:textAlignment w:val="bottom"/>
              <w:rPr>
                <w:rFonts w:ascii="Times New Roman" w:hAnsi="Times New Roman"/>
                <w:sz w:val="20"/>
                <w:szCs w:val="20"/>
              </w:rPr>
            </w:pPr>
          </w:p>
        </w:tc>
      </w:tr>
      <w:tr w:rsidR="00F925DD" w14:paraId="5556CA4E" w14:textId="77777777">
        <w:trPr>
          <w:jc w:val="center"/>
        </w:trPr>
        <w:tc>
          <w:tcPr>
            <w:tcW w:w="0" w:type="auto"/>
            <w:shd w:val="clear" w:color="auto" w:fill="CCEEFF"/>
            <w:tcMar>
              <w:top w:w="40" w:type="dxa"/>
              <w:left w:w="40" w:type="dxa"/>
              <w:bottom w:w="40" w:type="dxa"/>
              <w:right w:w="40" w:type="dxa"/>
            </w:tcMar>
            <w:vAlign w:val="bottom"/>
          </w:tcPr>
          <w:p w14:paraId="5556CA3C"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Collateralized mortgage obligations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A3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102</w:t>
            </w:r>
          </w:p>
        </w:tc>
        <w:tc>
          <w:tcPr>
            <w:tcW w:w="0" w:type="auto"/>
            <w:tcBorders>
              <w:bottom w:val="single" w:sz="8" w:space="0" w:color="000000"/>
            </w:tcBorders>
            <w:shd w:val="clear" w:color="auto" w:fill="CCEEFF"/>
            <w:vAlign w:val="bottom"/>
          </w:tcPr>
          <w:p w14:paraId="5556CA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A4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bottom w:val="single" w:sz="8" w:space="0" w:color="000000"/>
            </w:tcBorders>
            <w:shd w:val="clear" w:color="auto" w:fill="CCEEFF"/>
            <w:vAlign w:val="bottom"/>
          </w:tcPr>
          <w:p w14:paraId="5556CA4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A4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51</w:t>
            </w:r>
          </w:p>
        </w:tc>
        <w:tc>
          <w:tcPr>
            <w:tcW w:w="0" w:type="auto"/>
            <w:tcBorders>
              <w:bottom w:val="single" w:sz="8" w:space="0" w:color="000000"/>
            </w:tcBorders>
            <w:shd w:val="clear" w:color="auto" w:fill="CCEEFF"/>
            <w:vAlign w:val="bottom"/>
          </w:tcPr>
          <w:p w14:paraId="5556CA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A4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w:t>
            </w:r>
          </w:p>
        </w:tc>
        <w:tc>
          <w:tcPr>
            <w:tcW w:w="0" w:type="auto"/>
            <w:tcBorders>
              <w:bottom w:val="single" w:sz="8" w:space="0" w:color="000000"/>
            </w:tcBorders>
            <w:shd w:val="clear" w:color="auto" w:fill="CCEEFF"/>
            <w:vAlign w:val="bottom"/>
          </w:tcPr>
          <w:p w14:paraId="5556CA4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A4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153</w:t>
            </w:r>
          </w:p>
        </w:tc>
        <w:tc>
          <w:tcPr>
            <w:tcW w:w="0" w:type="auto"/>
            <w:tcBorders>
              <w:bottom w:val="single" w:sz="8" w:space="0" w:color="000000"/>
            </w:tcBorders>
            <w:shd w:val="clear" w:color="auto" w:fill="CCEEFF"/>
            <w:vAlign w:val="bottom"/>
          </w:tcPr>
          <w:p w14:paraId="5556CA4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A4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tcBorders>
              <w:bottom w:val="single" w:sz="8" w:space="0" w:color="000000"/>
            </w:tcBorders>
            <w:shd w:val="clear" w:color="auto" w:fill="CCEEFF"/>
            <w:vAlign w:val="bottom"/>
          </w:tcPr>
          <w:p w14:paraId="5556CA4D" w14:textId="77777777" w:rsidR="00F925DD" w:rsidRDefault="00F925DD">
            <w:pPr>
              <w:textAlignment w:val="bottom"/>
              <w:rPr>
                <w:rFonts w:ascii="Times New Roman" w:hAnsi="Times New Roman"/>
                <w:sz w:val="20"/>
                <w:szCs w:val="20"/>
              </w:rPr>
            </w:pPr>
          </w:p>
        </w:tc>
      </w:tr>
      <w:tr w:rsidR="00F925DD" w14:paraId="5556CA67" w14:textId="77777777">
        <w:trPr>
          <w:jc w:val="center"/>
        </w:trPr>
        <w:tc>
          <w:tcPr>
            <w:tcW w:w="0" w:type="auto"/>
            <w:shd w:val="clear" w:color="auto" w:fill="auto"/>
            <w:tcMar>
              <w:top w:w="40" w:type="dxa"/>
              <w:left w:w="40" w:type="dxa"/>
              <w:bottom w:w="40" w:type="dxa"/>
              <w:right w:w="40" w:type="dxa"/>
            </w:tcMar>
            <w:vAlign w:val="bottom"/>
          </w:tcPr>
          <w:p w14:paraId="5556CA4F"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bottom w:val="double" w:sz="6" w:space="0" w:color="000000"/>
            </w:tcBorders>
            <w:shd w:val="clear" w:color="auto" w:fill="auto"/>
            <w:tcMar>
              <w:top w:w="40" w:type="dxa"/>
              <w:left w:w="40" w:type="dxa"/>
              <w:bottom w:w="40" w:type="dxa"/>
            </w:tcMar>
            <w:vAlign w:val="bottom"/>
          </w:tcPr>
          <w:p w14:paraId="5556CA5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CA5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9,461</w:t>
            </w:r>
          </w:p>
        </w:tc>
        <w:tc>
          <w:tcPr>
            <w:tcW w:w="0" w:type="auto"/>
            <w:tcBorders>
              <w:bottom w:val="double" w:sz="6" w:space="0" w:color="000000"/>
            </w:tcBorders>
            <w:shd w:val="clear" w:color="auto" w:fill="auto"/>
            <w:vAlign w:val="bottom"/>
          </w:tcPr>
          <w:p w14:paraId="5556CA5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A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A5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A5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155</w:t>
            </w:r>
          </w:p>
        </w:tc>
        <w:tc>
          <w:tcPr>
            <w:tcW w:w="0" w:type="auto"/>
            <w:tcBorders>
              <w:top w:val="single" w:sz="8" w:space="0" w:color="000000"/>
              <w:bottom w:val="double" w:sz="6" w:space="0" w:color="000000"/>
            </w:tcBorders>
            <w:shd w:val="clear" w:color="auto" w:fill="auto"/>
            <w:vAlign w:val="bottom"/>
          </w:tcPr>
          <w:p w14:paraId="5556CA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A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A5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A5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23,757</w:t>
            </w:r>
          </w:p>
        </w:tc>
        <w:tc>
          <w:tcPr>
            <w:tcW w:w="0" w:type="auto"/>
            <w:tcBorders>
              <w:top w:val="single" w:sz="8" w:space="0" w:color="000000"/>
              <w:bottom w:val="double" w:sz="6" w:space="0" w:color="000000"/>
            </w:tcBorders>
            <w:shd w:val="clear" w:color="auto" w:fill="auto"/>
            <w:vAlign w:val="bottom"/>
          </w:tcPr>
          <w:p w14:paraId="5556CA5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A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A5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A5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583</w:t>
            </w:r>
          </w:p>
        </w:tc>
        <w:tc>
          <w:tcPr>
            <w:tcW w:w="0" w:type="auto"/>
            <w:tcBorders>
              <w:top w:val="single" w:sz="8" w:space="0" w:color="000000"/>
              <w:bottom w:val="double" w:sz="6" w:space="0" w:color="000000"/>
            </w:tcBorders>
            <w:shd w:val="clear" w:color="auto" w:fill="auto"/>
            <w:vAlign w:val="bottom"/>
          </w:tcPr>
          <w:p w14:paraId="5556CA5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A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A6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A6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33,218</w:t>
            </w:r>
          </w:p>
        </w:tc>
        <w:tc>
          <w:tcPr>
            <w:tcW w:w="0" w:type="auto"/>
            <w:tcBorders>
              <w:top w:val="single" w:sz="8" w:space="0" w:color="000000"/>
              <w:bottom w:val="double" w:sz="6" w:space="0" w:color="000000"/>
            </w:tcBorders>
            <w:shd w:val="clear" w:color="auto" w:fill="auto"/>
            <w:vAlign w:val="bottom"/>
          </w:tcPr>
          <w:p w14:paraId="5556CA6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A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A6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A6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738</w:t>
            </w:r>
          </w:p>
        </w:tc>
        <w:tc>
          <w:tcPr>
            <w:tcW w:w="0" w:type="auto"/>
            <w:tcBorders>
              <w:top w:val="single" w:sz="8" w:space="0" w:color="000000"/>
              <w:bottom w:val="double" w:sz="6" w:space="0" w:color="000000"/>
            </w:tcBorders>
            <w:shd w:val="clear" w:color="auto" w:fill="auto"/>
            <w:vAlign w:val="bottom"/>
          </w:tcPr>
          <w:p w14:paraId="5556CA66" w14:textId="77777777" w:rsidR="00F925DD" w:rsidRDefault="00F925DD">
            <w:pPr>
              <w:textAlignment w:val="bottom"/>
              <w:rPr>
                <w:rFonts w:ascii="Times New Roman" w:hAnsi="Times New Roman"/>
                <w:sz w:val="20"/>
                <w:szCs w:val="20"/>
              </w:rPr>
            </w:pPr>
          </w:p>
        </w:tc>
      </w:tr>
    </w:tbl>
    <w:p w14:paraId="5556CA68" w14:textId="77777777" w:rsidR="00F925DD" w:rsidRDefault="00F925DD">
      <w:pPr>
        <w:spacing w:line="288" w:lineRule="auto"/>
        <w:jc w:val="center"/>
        <w:rPr>
          <w:rFonts w:ascii="Times New Roman" w:hAnsi="Times New Roman"/>
          <w:sz w:val="20"/>
          <w:szCs w:val="20"/>
        </w:rPr>
      </w:pPr>
    </w:p>
    <w:p w14:paraId="5556CA69" w14:textId="77777777" w:rsidR="00F925DD" w:rsidRDefault="00F925DD">
      <w:pPr>
        <w:rPr>
          <w:rFonts w:ascii="Times New Roman" w:hAnsi="Times New Roman"/>
          <w:sz w:val="20"/>
          <w:szCs w:val="20"/>
        </w:rPr>
      </w:pPr>
    </w:p>
    <w:p w14:paraId="5556CA6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138</w:t>
      </w:r>
    </w:p>
    <w:p w14:paraId="5556CA6B" w14:textId="77777777" w:rsidR="00F925DD" w:rsidRDefault="00F925DD">
      <w:pPr>
        <w:spacing w:line="288" w:lineRule="auto"/>
        <w:ind w:firstLine="600"/>
        <w:jc w:val="center"/>
        <w:rPr>
          <w:rFonts w:ascii="Times New Roman" w:hAnsi="Times New Roman"/>
          <w:sz w:val="18"/>
          <w:szCs w:val="18"/>
        </w:rPr>
      </w:pPr>
    </w:p>
    <w:p w14:paraId="5556CA6C" w14:textId="77777777" w:rsidR="00F925DD" w:rsidRDefault="00E705D7">
      <w:r>
        <w:rPr>
          <w:rFonts w:ascii="Times New Roman" w:hAnsi="Times New Roman"/>
          <w:sz w:val="18"/>
          <w:szCs w:val="18"/>
        </w:rPr>
        <w:pict w14:anchorId="555706C4">
          <v:rect id="_x0000_i1162" style="width:415.3pt;height:1.5pt" o:hralign="center" o:hrstd="t" o:hr="t" fillcolor="#a0a0a0" stroked="f"/>
        </w:pict>
      </w:r>
    </w:p>
    <w:p w14:paraId="5556CA6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CA6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CA6F" w14:textId="77777777" w:rsidR="00F925DD" w:rsidRDefault="00F925DD">
      <w:pPr>
        <w:rPr>
          <w:rFonts w:ascii="Times New Roman" w:hAnsi="Times New Roman"/>
          <w:sz w:val="20"/>
          <w:szCs w:val="20"/>
        </w:rPr>
      </w:pPr>
    </w:p>
    <w:p w14:paraId="5556CA7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following table presents the amortized cost and the fair value of contractual maturities of debt investment securities as of December 31, 2019. The maturities of certain ABS, MBS and collateralized mortgage obligations are based on expected principal payme</w:t>
      </w:r>
      <w:r>
        <w:rPr>
          <w:rFonts w:ascii="Arial" w:eastAsia="宋体" w:hAnsi="Arial" w:cs="Arial"/>
          <w:sz w:val="20"/>
          <w:szCs w:val="20"/>
        </w:rPr>
        <w:t>nts. Actual maturities may differ from these expected maturities since certain borrowers have the right to prepay obligations with or without prepayment penalties.</w:t>
      </w:r>
    </w:p>
    <w:tbl>
      <w:tblPr>
        <w:tblW w:w="5000" w:type="pct"/>
        <w:tblCellMar>
          <w:left w:w="0" w:type="dxa"/>
          <w:right w:w="0" w:type="dxa"/>
        </w:tblCellMar>
        <w:tblLook w:val="04A0" w:firstRow="1" w:lastRow="0" w:firstColumn="1" w:lastColumn="0" w:noHBand="0" w:noVBand="1"/>
      </w:tblPr>
      <w:tblGrid>
        <w:gridCol w:w="1473"/>
        <w:gridCol w:w="113"/>
        <w:gridCol w:w="492"/>
        <w:gridCol w:w="81"/>
        <w:gridCol w:w="123"/>
        <w:gridCol w:w="113"/>
        <w:gridCol w:w="301"/>
        <w:gridCol w:w="5"/>
        <w:gridCol w:w="123"/>
        <w:gridCol w:w="113"/>
        <w:gridCol w:w="492"/>
        <w:gridCol w:w="81"/>
        <w:gridCol w:w="123"/>
        <w:gridCol w:w="113"/>
        <w:gridCol w:w="368"/>
        <w:gridCol w:w="5"/>
        <w:gridCol w:w="123"/>
        <w:gridCol w:w="113"/>
        <w:gridCol w:w="492"/>
        <w:gridCol w:w="81"/>
        <w:gridCol w:w="123"/>
        <w:gridCol w:w="113"/>
        <w:gridCol w:w="301"/>
        <w:gridCol w:w="5"/>
        <w:gridCol w:w="123"/>
        <w:gridCol w:w="113"/>
        <w:gridCol w:w="492"/>
        <w:gridCol w:w="81"/>
        <w:gridCol w:w="123"/>
        <w:gridCol w:w="113"/>
        <w:gridCol w:w="368"/>
        <w:gridCol w:w="5"/>
        <w:gridCol w:w="123"/>
        <w:gridCol w:w="113"/>
        <w:gridCol w:w="492"/>
        <w:gridCol w:w="81"/>
        <w:gridCol w:w="123"/>
        <w:gridCol w:w="113"/>
        <w:gridCol w:w="368"/>
        <w:gridCol w:w="5"/>
      </w:tblGrid>
      <w:tr w:rsidR="00F925DD" w14:paraId="5556CA72" w14:textId="77777777">
        <w:tc>
          <w:tcPr>
            <w:tcW w:w="0" w:type="auto"/>
            <w:gridSpan w:val="40"/>
            <w:shd w:val="clear" w:color="auto" w:fill="auto"/>
            <w:vAlign w:val="center"/>
          </w:tcPr>
          <w:p w14:paraId="5556CA71" w14:textId="77777777" w:rsidR="00F925DD" w:rsidRDefault="00F925DD">
            <w:pPr>
              <w:rPr>
                <w:rFonts w:ascii="Times New Roman" w:hAnsi="Times New Roman"/>
                <w:sz w:val="20"/>
                <w:szCs w:val="20"/>
              </w:rPr>
            </w:pPr>
          </w:p>
        </w:tc>
      </w:tr>
      <w:tr w:rsidR="00F925DD" w14:paraId="5556CA9B" w14:textId="77777777">
        <w:tc>
          <w:tcPr>
            <w:tcW w:w="800" w:type="pct"/>
            <w:shd w:val="clear" w:color="auto" w:fill="auto"/>
            <w:vAlign w:val="center"/>
          </w:tcPr>
          <w:p w14:paraId="5556CA73" w14:textId="77777777" w:rsidR="00F925DD" w:rsidRDefault="00F925DD">
            <w:pPr>
              <w:rPr>
                <w:rFonts w:ascii="Times New Roman" w:hAnsi="Times New Roman"/>
                <w:sz w:val="20"/>
                <w:szCs w:val="20"/>
              </w:rPr>
            </w:pPr>
          </w:p>
        </w:tc>
        <w:tc>
          <w:tcPr>
            <w:tcW w:w="50" w:type="pct"/>
            <w:shd w:val="clear" w:color="auto" w:fill="auto"/>
            <w:vAlign w:val="center"/>
          </w:tcPr>
          <w:p w14:paraId="5556CA74" w14:textId="77777777" w:rsidR="00F925DD" w:rsidRDefault="00F925DD">
            <w:pPr>
              <w:rPr>
                <w:rFonts w:ascii="Times New Roman" w:hAnsi="Times New Roman"/>
                <w:sz w:val="20"/>
                <w:szCs w:val="20"/>
              </w:rPr>
            </w:pPr>
          </w:p>
        </w:tc>
        <w:tc>
          <w:tcPr>
            <w:tcW w:w="300" w:type="pct"/>
            <w:shd w:val="clear" w:color="auto" w:fill="auto"/>
            <w:vAlign w:val="center"/>
          </w:tcPr>
          <w:p w14:paraId="5556CA75" w14:textId="77777777" w:rsidR="00F925DD" w:rsidRDefault="00F925DD">
            <w:pPr>
              <w:rPr>
                <w:rFonts w:ascii="Times New Roman" w:hAnsi="Times New Roman"/>
                <w:sz w:val="20"/>
                <w:szCs w:val="20"/>
              </w:rPr>
            </w:pPr>
          </w:p>
        </w:tc>
        <w:tc>
          <w:tcPr>
            <w:tcW w:w="50" w:type="pct"/>
            <w:shd w:val="clear" w:color="auto" w:fill="auto"/>
            <w:vAlign w:val="center"/>
          </w:tcPr>
          <w:p w14:paraId="5556CA76" w14:textId="77777777" w:rsidR="00F925DD" w:rsidRDefault="00F925DD">
            <w:pPr>
              <w:rPr>
                <w:rFonts w:ascii="Times New Roman" w:hAnsi="Times New Roman"/>
                <w:sz w:val="20"/>
                <w:szCs w:val="20"/>
              </w:rPr>
            </w:pPr>
          </w:p>
        </w:tc>
        <w:tc>
          <w:tcPr>
            <w:tcW w:w="50" w:type="pct"/>
            <w:shd w:val="clear" w:color="auto" w:fill="auto"/>
            <w:vAlign w:val="center"/>
          </w:tcPr>
          <w:p w14:paraId="5556CA77" w14:textId="77777777" w:rsidR="00F925DD" w:rsidRDefault="00F925DD">
            <w:pPr>
              <w:rPr>
                <w:rFonts w:ascii="Times New Roman" w:hAnsi="Times New Roman"/>
                <w:sz w:val="20"/>
                <w:szCs w:val="20"/>
              </w:rPr>
            </w:pPr>
          </w:p>
        </w:tc>
        <w:tc>
          <w:tcPr>
            <w:tcW w:w="50" w:type="pct"/>
            <w:shd w:val="clear" w:color="auto" w:fill="auto"/>
            <w:vAlign w:val="center"/>
          </w:tcPr>
          <w:p w14:paraId="5556CA78" w14:textId="77777777" w:rsidR="00F925DD" w:rsidRDefault="00F925DD">
            <w:pPr>
              <w:rPr>
                <w:rFonts w:ascii="Times New Roman" w:hAnsi="Times New Roman"/>
                <w:sz w:val="20"/>
                <w:szCs w:val="20"/>
              </w:rPr>
            </w:pPr>
          </w:p>
        </w:tc>
        <w:tc>
          <w:tcPr>
            <w:tcW w:w="250" w:type="pct"/>
            <w:shd w:val="clear" w:color="auto" w:fill="auto"/>
            <w:vAlign w:val="center"/>
          </w:tcPr>
          <w:p w14:paraId="5556CA79" w14:textId="77777777" w:rsidR="00F925DD" w:rsidRDefault="00F925DD">
            <w:pPr>
              <w:rPr>
                <w:rFonts w:ascii="Times New Roman" w:hAnsi="Times New Roman"/>
                <w:sz w:val="20"/>
                <w:szCs w:val="20"/>
              </w:rPr>
            </w:pPr>
          </w:p>
        </w:tc>
        <w:tc>
          <w:tcPr>
            <w:tcW w:w="50" w:type="pct"/>
            <w:shd w:val="clear" w:color="auto" w:fill="auto"/>
            <w:vAlign w:val="center"/>
          </w:tcPr>
          <w:p w14:paraId="5556CA7A" w14:textId="77777777" w:rsidR="00F925DD" w:rsidRDefault="00F925DD">
            <w:pPr>
              <w:rPr>
                <w:rFonts w:ascii="Times New Roman" w:hAnsi="Times New Roman"/>
                <w:sz w:val="20"/>
                <w:szCs w:val="20"/>
              </w:rPr>
            </w:pPr>
          </w:p>
        </w:tc>
        <w:tc>
          <w:tcPr>
            <w:tcW w:w="50" w:type="pct"/>
            <w:shd w:val="clear" w:color="auto" w:fill="auto"/>
            <w:vAlign w:val="center"/>
          </w:tcPr>
          <w:p w14:paraId="5556CA7B" w14:textId="77777777" w:rsidR="00F925DD" w:rsidRDefault="00F925DD">
            <w:pPr>
              <w:rPr>
                <w:rFonts w:ascii="Times New Roman" w:hAnsi="Times New Roman"/>
                <w:sz w:val="20"/>
                <w:szCs w:val="20"/>
              </w:rPr>
            </w:pPr>
          </w:p>
        </w:tc>
        <w:tc>
          <w:tcPr>
            <w:tcW w:w="50" w:type="pct"/>
            <w:shd w:val="clear" w:color="auto" w:fill="auto"/>
            <w:vAlign w:val="center"/>
          </w:tcPr>
          <w:p w14:paraId="5556CA7C" w14:textId="77777777" w:rsidR="00F925DD" w:rsidRDefault="00F925DD">
            <w:pPr>
              <w:rPr>
                <w:rFonts w:ascii="Times New Roman" w:hAnsi="Times New Roman"/>
                <w:sz w:val="20"/>
                <w:szCs w:val="20"/>
              </w:rPr>
            </w:pPr>
          </w:p>
        </w:tc>
        <w:tc>
          <w:tcPr>
            <w:tcW w:w="300" w:type="pct"/>
            <w:shd w:val="clear" w:color="auto" w:fill="auto"/>
            <w:vAlign w:val="center"/>
          </w:tcPr>
          <w:p w14:paraId="5556CA7D" w14:textId="77777777" w:rsidR="00F925DD" w:rsidRDefault="00F925DD">
            <w:pPr>
              <w:rPr>
                <w:rFonts w:ascii="Times New Roman" w:hAnsi="Times New Roman"/>
                <w:sz w:val="20"/>
                <w:szCs w:val="20"/>
              </w:rPr>
            </w:pPr>
          </w:p>
        </w:tc>
        <w:tc>
          <w:tcPr>
            <w:tcW w:w="50" w:type="pct"/>
            <w:shd w:val="clear" w:color="auto" w:fill="auto"/>
            <w:vAlign w:val="center"/>
          </w:tcPr>
          <w:p w14:paraId="5556CA7E" w14:textId="77777777" w:rsidR="00F925DD" w:rsidRDefault="00F925DD">
            <w:pPr>
              <w:rPr>
                <w:rFonts w:ascii="Times New Roman" w:hAnsi="Times New Roman"/>
                <w:sz w:val="20"/>
                <w:szCs w:val="20"/>
              </w:rPr>
            </w:pPr>
          </w:p>
        </w:tc>
        <w:tc>
          <w:tcPr>
            <w:tcW w:w="50" w:type="pct"/>
            <w:shd w:val="clear" w:color="auto" w:fill="auto"/>
            <w:vAlign w:val="center"/>
          </w:tcPr>
          <w:p w14:paraId="5556CA7F" w14:textId="77777777" w:rsidR="00F925DD" w:rsidRDefault="00F925DD">
            <w:pPr>
              <w:rPr>
                <w:rFonts w:ascii="Times New Roman" w:hAnsi="Times New Roman"/>
                <w:sz w:val="20"/>
                <w:szCs w:val="20"/>
              </w:rPr>
            </w:pPr>
          </w:p>
        </w:tc>
        <w:tc>
          <w:tcPr>
            <w:tcW w:w="50" w:type="pct"/>
            <w:shd w:val="clear" w:color="auto" w:fill="auto"/>
            <w:vAlign w:val="center"/>
          </w:tcPr>
          <w:p w14:paraId="5556CA80" w14:textId="77777777" w:rsidR="00F925DD" w:rsidRDefault="00F925DD">
            <w:pPr>
              <w:rPr>
                <w:rFonts w:ascii="Times New Roman" w:hAnsi="Times New Roman"/>
                <w:sz w:val="20"/>
                <w:szCs w:val="20"/>
              </w:rPr>
            </w:pPr>
          </w:p>
        </w:tc>
        <w:tc>
          <w:tcPr>
            <w:tcW w:w="250" w:type="pct"/>
            <w:shd w:val="clear" w:color="auto" w:fill="auto"/>
            <w:vAlign w:val="center"/>
          </w:tcPr>
          <w:p w14:paraId="5556CA81" w14:textId="77777777" w:rsidR="00F925DD" w:rsidRDefault="00F925DD">
            <w:pPr>
              <w:rPr>
                <w:rFonts w:ascii="Times New Roman" w:hAnsi="Times New Roman"/>
                <w:sz w:val="20"/>
                <w:szCs w:val="20"/>
              </w:rPr>
            </w:pPr>
          </w:p>
        </w:tc>
        <w:tc>
          <w:tcPr>
            <w:tcW w:w="50" w:type="pct"/>
            <w:shd w:val="clear" w:color="auto" w:fill="auto"/>
            <w:vAlign w:val="center"/>
          </w:tcPr>
          <w:p w14:paraId="5556CA82" w14:textId="77777777" w:rsidR="00F925DD" w:rsidRDefault="00F925DD">
            <w:pPr>
              <w:rPr>
                <w:rFonts w:ascii="Times New Roman" w:hAnsi="Times New Roman"/>
                <w:sz w:val="20"/>
                <w:szCs w:val="20"/>
              </w:rPr>
            </w:pPr>
          </w:p>
        </w:tc>
        <w:tc>
          <w:tcPr>
            <w:tcW w:w="50" w:type="pct"/>
            <w:shd w:val="clear" w:color="auto" w:fill="auto"/>
            <w:vAlign w:val="center"/>
          </w:tcPr>
          <w:p w14:paraId="5556CA83" w14:textId="77777777" w:rsidR="00F925DD" w:rsidRDefault="00F925DD">
            <w:pPr>
              <w:rPr>
                <w:rFonts w:ascii="Times New Roman" w:hAnsi="Times New Roman"/>
                <w:sz w:val="20"/>
                <w:szCs w:val="20"/>
              </w:rPr>
            </w:pPr>
          </w:p>
        </w:tc>
        <w:tc>
          <w:tcPr>
            <w:tcW w:w="50" w:type="pct"/>
            <w:shd w:val="clear" w:color="auto" w:fill="auto"/>
            <w:vAlign w:val="center"/>
          </w:tcPr>
          <w:p w14:paraId="5556CA84" w14:textId="77777777" w:rsidR="00F925DD" w:rsidRDefault="00F925DD">
            <w:pPr>
              <w:rPr>
                <w:rFonts w:ascii="Times New Roman" w:hAnsi="Times New Roman"/>
                <w:sz w:val="20"/>
                <w:szCs w:val="20"/>
              </w:rPr>
            </w:pPr>
          </w:p>
        </w:tc>
        <w:tc>
          <w:tcPr>
            <w:tcW w:w="300" w:type="pct"/>
            <w:shd w:val="clear" w:color="auto" w:fill="auto"/>
            <w:vAlign w:val="center"/>
          </w:tcPr>
          <w:p w14:paraId="5556CA85" w14:textId="77777777" w:rsidR="00F925DD" w:rsidRDefault="00F925DD">
            <w:pPr>
              <w:rPr>
                <w:rFonts w:ascii="Times New Roman" w:hAnsi="Times New Roman"/>
                <w:sz w:val="20"/>
                <w:szCs w:val="20"/>
              </w:rPr>
            </w:pPr>
          </w:p>
        </w:tc>
        <w:tc>
          <w:tcPr>
            <w:tcW w:w="50" w:type="pct"/>
            <w:shd w:val="clear" w:color="auto" w:fill="auto"/>
            <w:vAlign w:val="center"/>
          </w:tcPr>
          <w:p w14:paraId="5556CA86" w14:textId="77777777" w:rsidR="00F925DD" w:rsidRDefault="00F925DD">
            <w:pPr>
              <w:rPr>
                <w:rFonts w:ascii="Times New Roman" w:hAnsi="Times New Roman"/>
                <w:sz w:val="20"/>
                <w:szCs w:val="20"/>
              </w:rPr>
            </w:pPr>
          </w:p>
        </w:tc>
        <w:tc>
          <w:tcPr>
            <w:tcW w:w="50" w:type="pct"/>
            <w:shd w:val="clear" w:color="auto" w:fill="auto"/>
            <w:vAlign w:val="center"/>
          </w:tcPr>
          <w:p w14:paraId="5556CA87" w14:textId="77777777" w:rsidR="00F925DD" w:rsidRDefault="00F925DD">
            <w:pPr>
              <w:rPr>
                <w:rFonts w:ascii="Times New Roman" w:hAnsi="Times New Roman"/>
                <w:sz w:val="20"/>
                <w:szCs w:val="20"/>
              </w:rPr>
            </w:pPr>
          </w:p>
        </w:tc>
        <w:tc>
          <w:tcPr>
            <w:tcW w:w="50" w:type="pct"/>
            <w:shd w:val="clear" w:color="auto" w:fill="auto"/>
            <w:vAlign w:val="center"/>
          </w:tcPr>
          <w:p w14:paraId="5556CA88" w14:textId="77777777" w:rsidR="00F925DD" w:rsidRDefault="00F925DD">
            <w:pPr>
              <w:rPr>
                <w:rFonts w:ascii="Times New Roman" w:hAnsi="Times New Roman"/>
                <w:sz w:val="20"/>
                <w:szCs w:val="20"/>
              </w:rPr>
            </w:pPr>
          </w:p>
        </w:tc>
        <w:tc>
          <w:tcPr>
            <w:tcW w:w="250" w:type="pct"/>
            <w:shd w:val="clear" w:color="auto" w:fill="auto"/>
            <w:vAlign w:val="center"/>
          </w:tcPr>
          <w:p w14:paraId="5556CA89" w14:textId="77777777" w:rsidR="00F925DD" w:rsidRDefault="00F925DD">
            <w:pPr>
              <w:rPr>
                <w:rFonts w:ascii="Times New Roman" w:hAnsi="Times New Roman"/>
                <w:sz w:val="20"/>
                <w:szCs w:val="20"/>
              </w:rPr>
            </w:pPr>
          </w:p>
        </w:tc>
        <w:tc>
          <w:tcPr>
            <w:tcW w:w="50" w:type="pct"/>
            <w:shd w:val="clear" w:color="auto" w:fill="auto"/>
            <w:vAlign w:val="center"/>
          </w:tcPr>
          <w:p w14:paraId="5556CA8A" w14:textId="77777777" w:rsidR="00F925DD" w:rsidRDefault="00F925DD">
            <w:pPr>
              <w:rPr>
                <w:rFonts w:ascii="Times New Roman" w:hAnsi="Times New Roman"/>
                <w:sz w:val="20"/>
                <w:szCs w:val="20"/>
              </w:rPr>
            </w:pPr>
          </w:p>
        </w:tc>
        <w:tc>
          <w:tcPr>
            <w:tcW w:w="50" w:type="pct"/>
            <w:shd w:val="clear" w:color="auto" w:fill="auto"/>
            <w:vAlign w:val="center"/>
          </w:tcPr>
          <w:p w14:paraId="5556CA8B" w14:textId="77777777" w:rsidR="00F925DD" w:rsidRDefault="00F925DD">
            <w:pPr>
              <w:rPr>
                <w:rFonts w:ascii="Times New Roman" w:hAnsi="Times New Roman"/>
                <w:sz w:val="20"/>
                <w:szCs w:val="20"/>
              </w:rPr>
            </w:pPr>
          </w:p>
        </w:tc>
        <w:tc>
          <w:tcPr>
            <w:tcW w:w="50" w:type="pct"/>
            <w:shd w:val="clear" w:color="auto" w:fill="auto"/>
            <w:vAlign w:val="center"/>
          </w:tcPr>
          <w:p w14:paraId="5556CA8C" w14:textId="77777777" w:rsidR="00F925DD" w:rsidRDefault="00F925DD">
            <w:pPr>
              <w:rPr>
                <w:rFonts w:ascii="Times New Roman" w:hAnsi="Times New Roman"/>
                <w:sz w:val="20"/>
                <w:szCs w:val="20"/>
              </w:rPr>
            </w:pPr>
          </w:p>
        </w:tc>
        <w:tc>
          <w:tcPr>
            <w:tcW w:w="300" w:type="pct"/>
            <w:shd w:val="clear" w:color="auto" w:fill="auto"/>
            <w:vAlign w:val="center"/>
          </w:tcPr>
          <w:p w14:paraId="5556CA8D" w14:textId="77777777" w:rsidR="00F925DD" w:rsidRDefault="00F925DD">
            <w:pPr>
              <w:rPr>
                <w:rFonts w:ascii="Times New Roman" w:hAnsi="Times New Roman"/>
                <w:sz w:val="20"/>
                <w:szCs w:val="20"/>
              </w:rPr>
            </w:pPr>
          </w:p>
        </w:tc>
        <w:tc>
          <w:tcPr>
            <w:tcW w:w="50" w:type="pct"/>
            <w:shd w:val="clear" w:color="auto" w:fill="auto"/>
            <w:vAlign w:val="center"/>
          </w:tcPr>
          <w:p w14:paraId="5556CA8E" w14:textId="77777777" w:rsidR="00F925DD" w:rsidRDefault="00F925DD">
            <w:pPr>
              <w:rPr>
                <w:rFonts w:ascii="Times New Roman" w:hAnsi="Times New Roman"/>
                <w:sz w:val="20"/>
                <w:szCs w:val="20"/>
              </w:rPr>
            </w:pPr>
          </w:p>
        </w:tc>
        <w:tc>
          <w:tcPr>
            <w:tcW w:w="50" w:type="pct"/>
            <w:shd w:val="clear" w:color="auto" w:fill="auto"/>
            <w:vAlign w:val="center"/>
          </w:tcPr>
          <w:p w14:paraId="5556CA8F" w14:textId="77777777" w:rsidR="00F925DD" w:rsidRDefault="00F925DD">
            <w:pPr>
              <w:rPr>
                <w:rFonts w:ascii="Times New Roman" w:hAnsi="Times New Roman"/>
                <w:sz w:val="20"/>
                <w:szCs w:val="20"/>
              </w:rPr>
            </w:pPr>
          </w:p>
        </w:tc>
        <w:tc>
          <w:tcPr>
            <w:tcW w:w="50" w:type="pct"/>
            <w:shd w:val="clear" w:color="auto" w:fill="auto"/>
            <w:vAlign w:val="center"/>
          </w:tcPr>
          <w:p w14:paraId="5556CA90" w14:textId="77777777" w:rsidR="00F925DD" w:rsidRDefault="00F925DD">
            <w:pPr>
              <w:rPr>
                <w:rFonts w:ascii="Times New Roman" w:hAnsi="Times New Roman"/>
                <w:sz w:val="20"/>
                <w:szCs w:val="20"/>
              </w:rPr>
            </w:pPr>
          </w:p>
        </w:tc>
        <w:tc>
          <w:tcPr>
            <w:tcW w:w="250" w:type="pct"/>
            <w:shd w:val="clear" w:color="auto" w:fill="auto"/>
            <w:vAlign w:val="center"/>
          </w:tcPr>
          <w:p w14:paraId="5556CA91" w14:textId="77777777" w:rsidR="00F925DD" w:rsidRDefault="00F925DD">
            <w:pPr>
              <w:rPr>
                <w:rFonts w:ascii="Times New Roman" w:hAnsi="Times New Roman"/>
                <w:sz w:val="20"/>
                <w:szCs w:val="20"/>
              </w:rPr>
            </w:pPr>
          </w:p>
        </w:tc>
        <w:tc>
          <w:tcPr>
            <w:tcW w:w="50" w:type="pct"/>
            <w:shd w:val="clear" w:color="auto" w:fill="auto"/>
            <w:vAlign w:val="center"/>
          </w:tcPr>
          <w:p w14:paraId="5556CA92" w14:textId="77777777" w:rsidR="00F925DD" w:rsidRDefault="00F925DD">
            <w:pPr>
              <w:rPr>
                <w:rFonts w:ascii="Times New Roman" w:hAnsi="Times New Roman"/>
                <w:sz w:val="20"/>
                <w:szCs w:val="20"/>
              </w:rPr>
            </w:pPr>
          </w:p>
        </w:tc>
        <w:tc>
          <w:tcPr>
            <w:tcW w:w="50" w:type="pct"/>
            <w:shd w:val="clear" w:color="auto" w:fill="auto"/>
            <w:vAlign w:val="center"/>
          </w:tcPr>
          <w:p w14:paraId="5556CA93" w14:textId="77777777" w:rsidR="00F925DD" w:rsidRDefault="00F925DD">
            <w:pPr>
              <w:rPr>
                <w:rFonts w:ascii="Times New Roman" w:hAnsi="Times New Roman"/>
                <w:sz w:val="20"/>
                <w:szCs w:val="20"/>
              </w:rPr>
            </w:pPr>
          </w:p>
        </w:tc>
        <w:tc>
          <w:tcPr>
            <w:tcW w:w="50" w:type="pct"/>
            <w:shd w:val="clear" w:color="auto" w:fill="auto"/>
            <w:vAlign w:val="center"/>
          </w:tcPr>
          <w:p w14:paraId="5556CA94" w14:textId="77777777" w:rsidR="00F925DD" w:rsidRDefault="00F925DD">
            <w:pPr>
              <w:rPr>
                <w:rFonts w:ascii="Times New Roman" w:hAnsi="Times New Roman"/>
                <w:sz w:val="20"/>
                <w:szCs w:val="20"/>
              </w:rPr>
            </w:pPr>
          </w:p>
        </w:tc>
        <w:tc>
          <w:tcPr>
            <w:tcW w:w="300" w:type="pct"/>
            <w:shd w:val="clear" w:color="auto" w:fill="auto"/>
            <w:vAlign w:val="center"/>
          </w:tcPr>
          <w:p w14:paraId="5556CA95" w14:textId="77777777" w:rsidR="00F925DD" w:rsidRDefault="00F925DD">
            <w:pPr>
              <w:rPr>
                <w:rFonts w:ascii="Times New Roman" w:hAnsi="Times New Roman"/>
                <w:sz w:val="20"/>
                <w:szCs w:val="20"/>
              </w:rPr>
            </w:pPr>
          </w:p>
        </w:tc>
        <w:tc>
          <w:tcPr>
            <w:tcW w:w="50" w:type="pct"/>
            <w:shd w:val="clear" w:color="auto" w:fill="auto"/>
            <w:vAlign w:val="center"/>
          </w:tcPr>
          <w:p w14:paraId="5556CA96" w14:textId="77777777" w:rsidR="00F925DD" w:rsidRDefault="00F925DD">
            <w:pPr>
              <w:rPr>
                <w:rFonts w:ascii="Times New Roman" w:hAnsi="Times New Roman"/>
                <w:sz w:val="20"/>
                <w:szCs w:val="20"/>
              </w:rPr>
            </w:pPr>
          </w:p>
        </w:tc>
        <w:tc>
          <w:tcPr>
            <w:tcW w:w="50" w:type="pct"/>
            <w:shd w:val="clear" w:color="auto" w:fill="auto"/>
            <w:vAlign w:val="center"/>
          </w:tcPr>
          <w:p w14:paraId="5556CA97" w14:textId="77777777" w:rsidR="00F925DD" w:rsidRDefault="00F925DD">
            <w:pPr>
              <w:rPr>
                <w:rFonts w:ascii="Times New Roman" w:hAnsi="Times New Roman"/>
                <w:sz w:val="20"/>
                <w:szCs w:val="20"/>
              </w:rPr>
            </w:pPr>
          </w:p>
        </w:tc>
        <w:tc>
          <w:tcPr>
            <w:tcW w:w="50" w:type="pct"/>
            <w:shd w:val="clear" w:color="auto" w:fill="auto"/>
            <w:vAlign w:val="center"/>
          </w:tcPr>
          <w:p w14:paraId="5556CA98" w14:textId="77777777" w:rsidR="00F925DD" w:rsidRDefault="00F925DD">
            <w:pPr>
              <w:rPr>
                <w:rFonts w:ascii="Times New Roman" w:hAnsi="Times New Roman"/>
                <w:sz w:val="20"/>
                <w:szCs w:val="20"/>
              </w:rPr>
            </w:pPr>
          </w:p>
        </w:tc>
        <w:tc>
          <w:tcPr>
            <w:tcW w:w="250" w:type="pct"/>
            <w:shd w:val="clear" w:color="auto" w:fill="auto"/>
            <w:vAlign w:val="center"/>
          </w:tcPr>
          <w:p w14:paraId="5556CA99" w14:textId="77777777" w:rsidR="00F925DD" w:rsidRDefault="00F925DD">
            <w:pPr>
              <w:rPr>
                <w:rFonts w:ascii="Times New Roman" w:hAnsi="Times New Roman"/>
                <w:sz w:val="20"/>
                <w:szCs w:val="20"/>
              </w:rPr>
            </w:pPr>
          </w:p>
        </w:tc>
        <w:tc>
          <w:tcPr>
            <w:tcW w:w="50" w:type="pct"/>
            <w:shd w:val="clear" w:color="auto" w:fill="auto"/>
            <w:vAlign w:val="center"/>
          </w:tcPr>
          <w:p w14:paraId="5556CA9A" w14:textId="77777777" w:rsidR="00F925DD" w:rsidRDefault="00F925DD">
            <w:pPr>
              <w:rPr>
                <w:rFonts w:ascii="Times New Roman" w:hAnsi="Times New Roman"/>
                <w:sz w:val="20"/>
                <w:szCs w:val="20"/>
              </w:rPr>
            </w:pPr>
          </w:p>
        </w:tc>
      </w:tr>
      <w:tr w:rsidR="00F925DD" w14:paraId="5556CA9E" w14:textId="77777777">
        <w:tc>
          <w:tcPr>
            <w:tcW w:w="0" w:type="auto"/>
            <w:shd w:val="clear" w:color="auto" w:fill="auto"/>
            <w:tcMar>
              <w:top w:w="40" w:type="dxa"/>
              <w:left w:w="40" w:type="dxa"/>
              <w:bottom w:w="40" w:type="dxa"/>
              <w:right w:w="40" w:type="dxa"/>
            </w:tcMar>
            <w:vAlign w:val="bottom"/>
          </w:tcPr>
          <w:p w14:paraId="5556CA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9"/>
            <w:tcBorders>
              <w:bottom w:val="single" w:sz="8" w:space="0" w:color="000000"/>
            </w:tcBorders>
            <w:shd w:val="clear" w:color="auto" w:fill="auto"/>
            <w:tcMar>
              <w:top w:w="40" w:type="dxa"/>
              <w:left w:w="40" w:type="dxa"/>
              <w:bottom w:w="40" w:type="dxa"/>
            </w:tcMar>
            <w:vAlign w:val="bottom"/>
          </w:tcPr>
          <w:p w14:paraId="5556CA9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 of December 31, 2019</w:t>
            </w:r>
          </w:p>
        </w:tc>
      </w:tr>
      <w:tr w:rsidR="00F925DD" w14:paraId="5556CAA9" w14:textId="77777777">
        <w:tc>
          <w:tcPr>
            <w:tcW w:w="0" w:type="auto"/>
            <w:shd w:val="clear" w:color="auto" w:fill="auto"/>
            <w:tcMar>
              <w:top w:w="40" w:type="dxa"/>
              <w:left w:w="40" w:type="dxa"/>
              <w:bottom w:w="40" w:type="dxa"/>
              <w:right w:w="40" w:type="dxa"/>
            </w:tcMar>
            <w:vAlign w:val="bottom"/>
          </w:tcPr>
          <w:p w14:paraId="5556CA9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7"/>
            <w:tcBorders>
              <w:bottom w:val="single" w:sz="8" w:space="0" w:color="000000"/>
            </w:tcBorders>
            <w:shd w:val="clear" w:color="auto" w:fill="auto"/>
            <w:tcMar>
              <w:top w:w="40" w:type="dxa"/>
              <w:left w:w="40" w:type="dxa"/>
              <w:bottom w:w="40" w:type="dxa"/>
            </w:tcMar>
            <w:vAlign w:val="bottom"/>
          </w:tcPr>
          <w:p w14:paraId="5556CAA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Under 1 Year</w:t>
            </w:r>
          </w:p>
        </w:tc>
        <w:tc>
          <w:tcPr>
            <w:tcW w:w="0" w:type="auto"/>
            <w:shd w:val="clear" w:color="auto" w:fill="auto"/>
            <w:tcMar>
              <w:top w:w="40" w:type="dxa"/>
              <w:left w:w="40" w:type="dxa"/>
              <w:bottom w:w="40" w:type="dxa"/>
              <w:right w:w="40" w:type="dxa"/>
            </w:tcMar>
            <w:vAlign w:val="bottom"/>
          </w:tcPr>
          <w:p w14:paraId="5556CA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AA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1 to 5 Years</w:t>
            </w:r>
          </w:p>
        </w:tc>
        <w:tc>
          <w:tcPr>
            <w:tcW w:w="0" w:type="auto"/>
            <w:shd w:val="clear" w:color="auto" w:fill="auto"/>
            <w:tcMar>
              <w:top w:w="40" w:type="dxa"/>
              <w:left w:w="40" w:type="dxa"/>
              <w:bottom w:w="40" w:type="dxa"/>
              <w:right w:w="40" w:type="dxa"/>
            </w:tcMar>
            <w:vAlign w:val="bottom"/>
          </w:tcPr>
          <w:p w14:paraId="5556CA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AA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6</w:t>
            </w:r>
            <w:r>
              <w:rPr>
                <w:rFonts w:ascii="Arial" w:eastAsia="宋体" w:hAnsi="Arial" w:cs="Arial"/>
                <w:b/>
                <w:bCs/>
                <w:sz w:val="14"/>
                <w:szCs w:val="14"/>
              </w:rPr>
              <w:t xml:space="preserve"> to 10 Years</w:t>
            </w:r>
          </w:p>
        </w:tc>
        <w:tc>
          <w:tcPr>
            <w:tcW w:w="0" w:type="auto"/>
            <w:shd w:val="clear" w:color="auto" w:fill="auto"/>
            <w:tcMar>
              <w:top w:w="40" w:type="dxa"/>
              <w:left w:w="40" w:type="dxa"/>
              <w:bottom w:w="40" w:type="dxa"/>
              <w:right w:w="40" w:type="dxa"/>
            </w:tcMar>
            <w:vAlign w:val="bottom"/>
          </w:tcPr>
          <w:p w14:paraId="5556CA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AA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Over 10 Years</w:t>
            </w:r>
          </w:p>
        </w:tc>
        <w:tc>
          <w:tcPr>
            <w:tcW w:w="0" w:type="auto"/>
            <w:shd w:val="clear" w:color="auto" w:fill="auto"/>
            <w:tcMar>
              <w:top w:w="40" w:type="dxa"/>
              <w:left w:w="40" w:type="dxa"/>
              <w:bottom w:w="40" w:type="dxa"/>
              <w:right w:w="40" w:type="dxa"/>
            </w:tcMar>
            <w:vAlign w:val="bottom"/>
          </w:tcPr>
          <w:p w14:paraId="5556CA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CAA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r>
      <w:tr w:rsidR="00F925DD" w14:paraId="5556CABE" w14:textId="77777777">
        <w:tc>
          <w:tcPr>
            <w:tcW w:w="0" w:type="auto"/>
            <w:shd w:val="clear" w:color="auto" w:fill="auto"/>
            <w:tcMar>
              <w:top w:w="40" w:type="dxa"/>
              <w:left w:w="40" w:type="dxa"/>
              <w:bottom w:w="40" w:type="dxa"/>
              <w:right w:w="40" w:type="dxa"/>
            </w:tcMar>
            <w:vAlign w:val="bottom"/>
          </w:tcPr>
          <w:p w14:paraId="5556CA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AA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Amortized Cost</w:t>
            </w:r>
          </w:p>
        </w:tc>
        <w:tc>
          <w:tcPr>
            <w:tcW w:w="0" w:type="auto"/>
            <w:shd w:val="clear" w:color="auto" w:fill="auto"/>
            <w:tcMar>
              <w:top w:w="40" w:type="dxa"/>
              <w:left w:w="40" w:type="dxa"/>
              <w:bottom w:w="40" w:type="dxa"/>
              <w:right w:w="40" w:type="dxa"/>
            </w:tcMar>
            <w:vAlign w:val="bottom"/>
          </w:tcPr>
          <w:p w14:paraId="5556CA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AA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Fair Value</w:t>
            </w:r>
          </w:p>
        </w:tc>
        <w:tc>
          <w:tcPr>
            <w:tcW w:w="0" w:type="auto"/>
            <w:shd w:val="clear" w:color="auto" w:fill="auto"/>
            <w:tcMar>
              <w:top w:w="40" w:type="dxa"/>
              <w:left w:w="40" w:type="dxa"/>
              <w:bottom w:w="40" w:type="dxa"/>
              <w:right w:w="40" w:type="dxa"/>
            </w:tcMar>
            <w:vAlign w:val="bottom"/>
          </w:tcPr>
          <w:p w14:paraId="5556CA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AA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Amortized Cost</w:t>
            </w:r>
          </w:p>
        </w:tc>
        <w:tc>
          <w:tcPr>
            <w:tcW w:w="0" w:type="auto"/>
            <w:tcBorders>
              <w:top w:val="single" w:sz="8" w:space="0" w:color="000000"/>
            </w:tcBorders>
            <w:shd w:val="clear" w:color="auto" w:fill="auto"/>
            <w:tcMar>
              <w:top w:w="40" w:type="dxa"/>
              <w:left w:w="40" w:type="dxa"/>
              <w:bottom w:w="40" w:type="dxa"/>
              <w:right w:w="40" w:type="dxa"/>
            </w:tcMar>
            <w:vAlign w:val="bottom"/>
          </w:tcPr>
          <w:p w14:paraId="5556CA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AB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Fair Value</w:t>
            </w:r>
          </w:p>
        </w:tc>
        <w:tc>
          <w:tcPr>
            <w:tcW w:w="0" w:type="auto"/>
            <w:shd w:val="clear" w:color="auto" w:fill="auto"/>
            <w:tcMar>
              <w:top w:w="40" w:type="dxa"/>
              <w:left w:w="40" w:type="dxa"/>
              <w:bottom w:w="40" w:type="dxa"/>
              <w:right w:w="40" w:type="dxa"/>
            </w:tcMar>
            <w:vAlign w:val="bottom"/>
          </w:tcPr>
          <w:p w14:paraId="5556CA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AB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Amortized Cost</w:t>
            </w:r>
          </w:p>
        </w:tc>
        <w:tc>
          <w:tcPr>
            <w:tcW w:w="0" w:type="auto"/>
            <w:tcBorders>
              <w:top w:val="single" w:sz="8" w:space="0" w:color="000000"/>
            </w:tcBorders>
            <w:shd w:val="clear" w:color="auto" w:fill="auto"/>
            <w:tcMar>
              <w:top w:w="40" w:type="dxa"/>
              <w:left w:w="40" w:type="dxa"/>
              <w:bottom w:w="40" w:type="dxa"/>
              <w:right w:w="40" w:type="dxa"/>
            </w:tcMar>
            <w:vAlign w:val="bottom"/>
          </w:tcPr>
          <w:p w14:paraId="5556CA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AB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Fair Value</w:t>
            </w:r>
          </w:p>
        </w:tc>
        <w:tc>
          <w:tcPr>
            <w:tcW w:w="0" w:type="auto"/>
            <w:shd w:val="clear" w:color="auto" w:fill="auto"/>
            <w:tcMar>
              <w:top w:w="40" w:type="dxa"/>
              <w:left w:w="40" w:type="dxa"/>
              <w:bottom w:w="40" w:type="dxa"/>
              <w:right w:w="40" w:type="dxa"/>
            </w:tcMar>
            <w:vAlign w:val="bottom"/>
          </w:tcPr>
          <w:p w14:paraId="5556CA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AB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Amortized Cost</w:t>
            </w:r>
          </w:p>
        </w:tc>
        <w:tc>
          <w:tcPr>
            <w:tcW w:w="0" w:type="auto"/>
            <w:tcBorders>
              <w:top w:val="single" w:sz="8" w:space="0" w:color="000000"/>
            </w:tcBorders>
            <w:shd w:val="clear" w:color="auto" w:fill="auto"/>
            <w:tcMar>
              <w:top w:w="40" w:type="dxa"/>
              <w:left w:w="40" w:type="dxa"/>
              <w:bottom w:w="40" w:type="dxa"/>
              <w:right w:w="40" w:type="dxa"/>
            </w:tcMar>
            <w:vAlign w:val="bottom"/>
          </w:tcPr>
          <w:p w14:paraId="5556CA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AB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Fair Value</w:t>
            </w:r>
          </w:p>
        </w:tc>
        <w:tc>
          <w:tcPr>
            <w:tcW w:w="0" w:type="auto"/>
            <w:shd w:val="clear" w:color="auto" w:fill="auto"/>
            <w:tcMar>
              <w:top w:w="40" w:type="dxa"/>
              <w:left w:w="40" w:type="dxa"/>
              <w:bottom w:w="40" w:type="dxa"/>
              <w:right w:w="40" w:type="dxa"/>
            </w:tcMar>
            <w:vAlign w:val="bottom"/>
          </w:tcPr>
          <w:p w14:paraId="5556CA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AB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Amortized Cost</w:t>
            </w:r>
          </w:p>
        </w:tc>
        <w:tc>
          <w:tcPr>
            <w:tcW w:w="0" w:type="auto"/>
            <w:tcBorders>
              <w:top w:val="single" w:sz="8" w:space="0" w:color="000000"/>
            </w:tcBorders>
            <w:shd w:val="clear" w:color="auto" w:fill="auto"/>
            <w:tcMar>
              <w:top w:w="40" w:type="dxa"/>
              <w:left w:w="40" w:type="dxa"/>
              <w:bottom w:w="40" w:type="dxa"/>
              <w:right w:w="40" w:type="dxa"/>
            </w:tcMar>
            <w:vAlign w:val="bottom"/>
          </w:tcPr>
          <w:p w14:paraId="5556CA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AB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Fair Value</w:t>
            </w:r>
          </w:p>
        </w:tc>
      </w:tr>
      <w:tr w:rsidR="00F925DD" w14:paraId="5556CAD3" w14:textId="77777777">
        <w:tc>
          <w:tcPr>
            <w:tcW w:w="0" w:type="auto"/>
            <w:shd w:val="clear" w:color="auto" w:fill="auto"/>
            <w:tcMar>
              <w:top w:w="40" w:type="dxa"/>
              <w:left w:w="40" w:type="dxa"/>
              <w:bottom w:w="40" w:type="dxa"/>
              <w:right w:w="40" w:type="dxa"/>
            </w:tcMar>
            <w:vAlign w:val="bottom"/>
          </w:tcPr>
          <w:p w14:paraId="5556CAB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Available-for-sale:</w:t>
            </w:r>
          </w:p>
        </w:tc>
        <w:tc>
          <w:tcPr>
            <w:tcW w:w="0" w:type="auto"/>
            <w:gridSpan w:val="3"/>
            <w:shd w:val="clear" w:color="auto" w:fill="auto"/>
            <w:tcMar>
              <w:top w:w="40" w:type="dxa"/>
              <w:left w:w="40" w:type="dxa"/>
              <w:bottom w:w="40" w:type="dxa"/>
              <w:right w:w="40" w:type="dxa"/>
            </w:tcMar>
            <w:vAlign w:val="bottom"/>
          </w:tcPr>
          <w:p w14:paraId="5556CA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AE8" w14:textId="77777777">
        <w:tc>
          <w:tcPr>
            <w:tcW w:w="0" w:type="auto"/>
            <w:shd w:val="clear" w:color="auto" w:fill="auto"/>
            <w:tcMar>
              <w:top w:w="40" w:type="dxa"/>
              <w:left w:w="40" w:type="dxa"/>
              <w:bottom w:w="40" w:type="dxa"/>
              <w:right w:w="40" w:type="dxa"/>
            </w:tcMar>
            <w:vAlign w:val="bottom"/>
          </w:tcPr>
          <w:p w14:paraId="5556CAD4" w14:textId="77777777" w:rsidR="00F925DD" w:rsidRDefault="00E705D7">
            <w:pPr>
              <w:textAlignment w:val="bottom"/>
              <w:rPr>
                <w:rFonts w:ascii="Times New Roman" w:hAnsi="Times New Roman"/>
                <w:sz w:val="14"/>
                <w:szCs w:val="14"/>
              </w:rPr>
            </w:pPr>
            <w:r>
              <w:rPr>
                <w:rFonts w:ascii="Arial" w:eastAsia="宋体" w:hAnsi="Arial" w:cs="Arial"/>
                <w:sz w:val="14"/>
                <w:szCs w:val="14"/>
              </w:rPr>
              <w:t>U.S. Treasury and federal agencies:</w:t>
            </w:r>
          </w:p>
        </w:tc>
        <w:tc>
          <w:tcPr>
            <w:tcW w:w="0" w:type="auto"/>
            <w:gridSpan w:val="3"/>
            <w:shd w:val="clear" w:color="auto" w:fill="auto"/>
            <w:tcMar>
              <w:top w:w="40" w:type="dxa"/>
              <w:left w:w="40" w:type="dxa"/>
              <w:bottom w:w="40" w:type="dxa"/>
              <w:right w:w="40" w:type="dxa"/>
            </w:tcMar>
            <w:vAlign w:val="bottom"/>
          </w:tcPr>
          <w:p w14:paraId="5556CA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A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A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CB11" w14:textId="77777777">
        <w:tc>
          <w:tcPr>
            <w:tcW w:w="0" w:type="auto"/>
            <w:shd w:val="clear" w:color="auto" w:fill="CCEEFF"/>
            <w:tcMar>
              <w:top w:w="40" w:type="dxa"/>
              <w:left w:w="400" w:type="dxa"/>
              <w:bottom w:w="40" w:type="dxa"/>
              <w:right w:w="40" w:type="dxa"/>
            </w:tcMar>
            <w:vAlign w:val="bottom"/>
          </w:tcPr>
          <w:p w14:paraId="5556CAE9" w14:textId="77777777" w:rsidR="00F925DD" w:rsidRDefault="00E705D7">
            <w:pPr>
              <w:textAlignment w:val="bottom"/>
              <w:rPr>
                <w:rFonts w:ascii="Times New Roman" w:hAnsi="Times New Roman"/>
                <w:sz w:val="14"/>
                <w:szCs w:val="14"/>
              </w:rPr>
            </w:pPr>
            <w:r>
              <w:rPr>
                <w:rFonts w:ascii="Arial" w:eastAsia="宋体" w:hAnsi="Arial" w:cs="Arial"/>
                <w:sz w:val="14"/>
                <w:szCs w:val="14"/>
              </w:rPr>
              <w:t>Direct obligations</w:t>
            </w:r>
          </w:p>
        </w:tc>
        <w:tc>
          <w:tcPr>
            <w:tcW w:w="0" w:type="auto"/>
            <w:shd w:val="clear" w:color="auto" w:fill="CCEEFF"/>
            <w:tcMar>
              <w:top w:w="40" w:type="dxa"/>
              <w:left w:w="40" w:type="dxa"/>
              <w:bottom w:w="40" w:type="dxa"/>
            </w:tcMar>
            <w:vAlign w:val="bottom"/>
          </w:tcPr>
          <w:p w14:paraId="5556CAE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AE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1,050</w:t>
            </w:r>
          </w:p>
        </w:tc>
        <w:tc>
          <w:tcPr>
            <w:tcW w:w="0" w:type="auto"/>
            <w:shd w:val="clear" w:color="auto" w:fill="CCEEFF"/>
            <w:vAlign w:val="bottom"/>
          </w:tcPr>
          <w:p w14:paraId="5556CAE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AE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AE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1,058</w:t>
            </w:r>
          </w:p>
        </w:tc>
        <w:tc>
          <w:tcPr>
            <w:tcW w:w="0" w:type="auto"/>
            <w:shd w:val="clear" w:color="auto" w:fill="CCEEFF"/>
            <w:vAlign w:val="bottom"/>
          </w:tcPr>
          <w:p w14:paraId="5556CAF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AF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AF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1,009</w:t>
            </w:r>
          </w:p>
        </w:tc>
        <w:tc>
          <w:tcPr>
            <w:tcW w:w="0" w:type="auto"/>
            <w:shd w:val="clear" w:color="auto" w:fill="CCEEFF"/>
            <w:vAlign w:val="bottom"/>
          </w:tcPr>
          <w:p w14:paraId="5556CA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AF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AF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1,010</w:t>
            </w:r>
          </w:p>
        </w:tc>
        <w:tc>
          <w:tcPr>
            <w:tcW w:w="0" w:type="auto"/>
            <w:shd w:val="clear" w:color="auto" w:fill="CCEEFF"/>
            <w:vAlign w:val="bottom"/>
          </w:tcPr>
          <w:p w14:paraId="5556CA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AF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AF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1,448</w:t>
            </w:r>
          </w:p>
        </w:tc>
        <w:tc>
          <w:tcPr>
            <w:tcW w:w="0" w:type="auto"/>
            <w:shd w:val="clear" w:color="auto" w:fill="CCEEFF"/>
            <w:vAlign w:val="bottom"/>
          </w:tcPr>
          <w:p w14:paraId="5556CAF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A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AF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AF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1,419</w:t>
            </w:r>
          </w:p>
        </w:tc>
        <w:tc>
          <w:tcPr>
            <w:tcW w:w="0" w:type="auto"/>
            <w:shd w:val="clear" w:color="auto" w:fill="CCEEFF"/>
            <w:vAlign w:val="bottom"/>
          </w:tcPr>
          <w:p w14:paraId="5556CB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B0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B0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CB0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B0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B0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CB0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B0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B0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3,507</w:t>
            </w:r>
          </w:p>
        </w:tc>
        <w:tc>
          <w:tcPr>
            <w:tcW w:w="0" w:type="auto"/>
            <w:shd w:val="clear" w:color="auto" w:fill="CCEEFF"/>
            <w:vAlign w:val="bottom"/>
          </w:tcPr>
          <w:p w14:paraId="5556CB0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B0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B0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3,487</w:t>
            </w:r>
          </w:p>
        </w:tc>
        <w:tc>
          <w:tcPr>
            <w:tcW w:w="0" w:type="auto"/>
            <w:shd w:val="clear" w:color="auto" w:fill="CCEEFF"/>
            <w:vAlign w:val="bottom"/>
          </w:tcPr>
          <w:p w14:paraId="5556CB10" w14:textId="77777777" w:rsidR="00F925DD" w:rsidRDefault="00F925DD">
            <w:pPr>
              <w:textAlignment w:val="bottom"/>
              <w:rPr>
                <w:rFonts w:ascii="Times New Roman" w:hAnsi="Times New Roman"/>
                <w:sz w:val="20"/>
                <w:szCs w:val="20"/>
              </w:rPr>
            </w:pPr>
          </w:p>
        </w:tc>
      </w:tr>
      <w:tr w:rsidR="00F925DD" w14:paraId="5556CB30" w14:textId="77777777">
        <w:tc>
          <w:tcPr>
            <w:tcW w:w="0" w:type="auto"/>
            <w:shd w:val="clear" w:color="auto" w:fill="auto"/>
            <w:tcMar>
              <w:top w:w="40" w:type="dxa"/>
              <w:left w:w="400" w:type="dxa"/>
              <w:bottom w:w="40" w:type="dxa"/>
              <w:right w:w="40" w:type="dxa"/>
            </w:tcMar>
            <w:vAlign w:val="bottom"/>
          </w:tcPr>
          <w:p w14:paraId="5556CB12" w14:textId="77777777" w:rsidR="00F925DD" w:rsidRDefault="00E705D7">
            <w:pPr>
              <w:textAlignment w:val="bottom"/>
              <w:rPr>
                <w:rFonts w:ascii="Times New Roman" w:hAnsi="Times New Roman"/>
                <w:sz w:val="14"/>
                <w:szCs w:val="14"/>
              </w:rPr>
            </w:pPr>
            <w:r>
              <w:rPr>
                <w:rFonts w:ascii="Arial" w:eastAsia="宋体" w:hAnsi="Arial" w:cs="Arial"/>
                <w:sz w:val="14"/>
                <w:szCs w:val="14"/>
              </w:rPr>
              <w:t>Mortgage-backed se</w:t>
            </w:r>
            <w:r>
              <w:rPr>
                <w:rFonts w:ascii="Arial" w:eastAsia="宋体" w:hAnsi="Arial" w:cs="Arial"/>
                <w:sz w:val="14"/>
                <w:szCs w:val="14"/>
              </w:rPr>
              <w:t>curities</w:t>
            </w:r>
          </w:p>
        </w:tc>
        <w:tc>
          <w:tcPr>
            <w:tcW w:w="0" w:type="auto"/>
            <w:gridSpan w:val="2"/>
            <w:shd w:val="clear" w:color="auto" w:fill="auto"/>
            <w:tcMar>
              <w:top w:w="40" w:type="dxa"/>
              <w:left w:w="40" w:type="dxa"/>
              <w:bottom w:w="40" w:type="dxa"/>
            </w:tcMar>
            <w:vAlign w:val="bottom"/>
          </w:tcPr>
          <w:p w14:paraId="5556CB1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116</w:t>
            </w:r>
          </w:p>
        </w:tc>
        <w:tc>
          <w:tcPr>
            <w:tcW w:w="0" w:type="auto"/>
            <w:shd w:val="clear" w:color="auto" w:fill="auto"/>
            <w:vAlign w:val="bottom"/>
          </w:tcPr>
          <w:p w14:paraId="5556CB1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B1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118</w:t>
            </w:r>
          </w:p>
        </w:tc>
        <w:tc>
          <w:tcPr>
            <w:tcW w:w="0" w:type="auto"/>
            <w:tcBorders>
              <w:bottom w:val="single" w:sz="8" w:space="0" w:color="000000"/>
            </w:tcBorders>
            <w:shd w:val="clear" w:color="auto" w:fill="auto"/>
            <w:vAlign w:val="bottom"/>
          </w:tcPr>
          <w:p w14:paraId="5556CB1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1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971</w:t>
            </w:r>
          </w:p>
        </w:tc>
        <w:tc>
          <w:tcPr>
            <w:tcW w:w="0" w:type="auto"/>
            <w:shd w:val="clear" w:color="auto" w:fill="auto"/>
            <w:vAlign w:val="bottom"/>
          </w:tcPr>
          <w:p w14:paraId="5556CB1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B1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970</w:t>
            </w:r>
          </w:p>
        </w:tc>
        <w:tc>
          <w:tcPr>
            <w:tcW w:w="0" w:type="auto"/>
            <w:tcBorders>
              <w:bottom w:val="single" w:sz="8" w:space="0" w:color="000000"/>
            </w:tcBorders>
            <w:shd w:val="clear" w:color="auto" w:fill="auto"/>
            <w:vAlign w:val="bottom"/>
          </w:tcPr>
          <w:p w14:paraId="5556CB1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1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2,954</w:t>
            </w:r>
          </w:p>
        </w:tc>
        <w:tc>
          <w:tcPr>
            <w:tcW w:w="0" w:type="auto"/>
            <w:shd w:val="clear" w:color="auto" w:fill="auto"/>
            <w:vAlign w:val="bottom"/>
          </w:tcPr>
          <w:p w14:paraId="5556CB2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B2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2,951</w:t>
            </w:r>
          </w:p>
        </w:tc>
        <w:tc>
          <w:tcPr>
            <w:tcW w:w="0" w:type="auto"/>
            <w:tcBorders>
              <w:bottom w:val="single" w:sz="8" w:space="0" w:color="000000"/>
            </w:tcBorders>
            <w:shd w:val="clear" w:color="auto" w:fill="auto"/>
            <w:vAlign w:val="bottom"/>
          </w:tcPr>
          <w:p w14:paraId="5556CB2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2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13,558</w:t>
            </w:r>
          </w:p>
        </w:tc>
        <w:tc>
          <w:tcPr>
            <w:tcW w:w="0" w:type="auto"/>
            <w:shd w:val="clear" w:color="auto" w:fill="auto"/>
            <w:vAlign w:val="bottom"/>
          </w:tcPr>
          <w:p w14:paraId="5556CB2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B2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13,799</w:t>
            </w:r>
          </w:p>
        </w:tc>
        <w:tc>
          <w:tcPr>
            <w:tcW w:w="0" w:type="auto"/>
            <w:tcBorders>
              <w:bottom w:val="single" w:sz="8" w:space="0" w:color="000000"/>
            </w:tcBorders>
            <w:shd w:val="clear" w:color="auto" w:fill="auto"/>
            <w:vAlign w:val="bottom"/>
          </w:tcPr>
          <w:p w14:paraId="5556CB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2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17,599</w:t>
            </w:r>
          </w:p>
        </w:tc>
        <w:tc>
          <w:tcPr>
            <w:tcW w:w="0" w:type="auto"/>
            <w:shd w:val="clear" w:color="auto" w:fill="auto"/>
            <w:vAlign w:val="bottom"/>
          </w:tcPr>
          <w:p w14:paraId="5556CB2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2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17,838</w:t>
            </w:r>
          </w:p>
        </w:tc>
        <w:tc>
          <w:tcPr>
            <w:tcW w:w="0" w:type="auto"/>
            <w:shd w:val="clear" w:color="auto" w:fill="auto"/>
            <w:vAlign w:val="bottom"/>
          </w:tcPr>
          <w:p w14:paraId="5556CB2F" w14:textId="77777777" w:rsidR="00F925DD" w:rsidRDefault="00F925DD">
            <w:pPr>
              <w:textAlignment w:val="bottom"/>
              <w:rPr>
                <w:rFonts w:ascii="Times New Roman" w:hAnsi="Times New Roman"/>
                <w:sz w:val="20"/>
                <w:szCs w:val="20"/>
              </w:rPr>
            </w:pPr>
          </w:p>
        </w:tc>
      </w:tr>
      <w:tr w:rsidR="00F925DD" w14:paraId="5556CB4F" w14:textId="77777777">
        <w:tc>
          <w:tcPr>
            <w:tcW w:w="0" w:type="auto"/>
            <w:shd w:val="clear" w:color="auto" w:fill="CCEEFF"/>
            <w:tcMar>
              <w:top w:w="40" w:type="dxa"/>
              <w:left w:w="720" w:type="dxa"/>
              <w:bottom w:w="40" w:type="dxa"/>
              <w:right w:w="40" w:type="dxa"/>
            </w:tcMar>
            <w:vAlign w:val="bottom"/>
          </w:tcPr>
          <w:p w14:paraId="5556CB31"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B3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1,166</w:t>
            </w:r>
          </w:p>
        </w:tc>
        <w:tc>
          <w:tcPr>
            <w:tcW w:w="0" w:type="auto"/>
            <w:tcBorders>
              <w:top w:val="single" w:sz="8" w:space="0" w:color="000000"/>
              <w:bottom w:val="single" w:sz="8" w:space="0" w:color="000000"/>
            </w:tcBorders>
            <w:shd w:val="clear" w:color="auto" w:fill="CCEEFF"/>
            <w:vAlign w:val="bottom"/>
          </w:tcPr>
          <w:p w14:paraId="5556CB3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B3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1,176</w:t>
            </w:r>
          </w:p>
        </w:tc>
        <w:tc>
          <w:tcPr>
            <w:tcW w:w="0" w:type="auto"/>
            <w:tcBorders>
              <w:top w:val="single" w:sz="8" w:space="0" w:color="000000"/>
              <w:bottom w:val="single" w:sz="8" w:space="0" w:color="000000"/>
            </w:tcBorders>
            <w:shd w:val="clear" w:color="auto" w:fill="CCEEFF"/>
            <w:vAlign w:val="bottom"/>
          </w:tcPr>
          <w:p w14:paraId="5556CB3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B3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1,980</w:t>
            </w:r>
          </w:p>
        </w:tc>
        <w:tc>
          <w:tcPr>
            <w:tcW w:w="0" w:type="auto"/>
            <w:tcBorders>
              <w:top w:val="single" w:sz="8" w:space="0" w:color="000000"/>
              <w:bottom w:val="single" w:sz="8" w:space="0" w:color="000000"/>
            </w:tcBorders>
            <w:shd w:val="clear" w:color="auto" w:fill="CCEEFF"/>
            <w:vAlign w:val="bottom"/>
          </w:tcPr>
          <w:p w14:paraId="5556CB3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B3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1,980</w:t>
            </w:r>
          </w:p>
        </w:tc>
        <w:tc>
          <w:tcPr>
            <w:tcW w:w="0" w:type="auto"/>
            <w:tcBorders>
              <w:top w:val="single" w:sz="8" w:space="0" w:color="000000"/>
              <w:bottom w:val="single" w:sz="8" w:space="0" w:color="000000"/>
            </w:tcBorders>
            <w:shd w:val="clear" w:color="auto" w:fill="CCEEFF"/>
            <w:vAlign w:val="bottom"/>
          </w:tcPr>
          <w:p w14:paraId="5556CB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B3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4,402</w:t>
            </w:r>
          </w:p>
        </w:tc>
        <w:tc>
          <w:tcPr>
            <w:tcW w:w="0" w:type="auto"/>
            <w:tcBorders>
              <w:top w:val="single" w:sz="8" w:space="0" w:color="000000"/>
              <w:bottom w:val="single" w:sz="8" w:space="0" w:color="000000"/>
            </w:tcBorders>
            <w:shd w:val="clear" w:color="auto" w:fill="CCEEFF"/>
            <w:vAlign w:val="bottom"/>
          </w:tcPr>
          <w:p w14:paraId="5556CB3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B4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4,370</w:t>
            </w:r>
          </w:p>
        </w:tc>
        <w:tc>
          <w:tcPr>
            <w:tcW w:w="0" w:type="auto"/>
            <w:tcBorders>
              <w:top w:val="single" w:sz="8" w:space="0" w:color="000000"/>
              <w:bottom w:val="single" w:sz="8" w:space="0" w:color="000000"/>
            </w:tcBorders>
            <w:shd w:val="clear" w:color="auto" w:fill="CCEEFF"/>
            <w:vAlign w:val="bottom"/>
          </w:tcPr>
          <w:p w14:paraId="5556CB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B4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13,558</w:t>
            </w:r>
          </w:p>
        </w:tc>
        <w:tc>
          <w:tcPr>
            <w:tcW w:w="0" w:type="auto"/>
            <w:tcBorders>
              <w:top w:val="single" w:sz="8" w:space="0" w:color="000000"/>
              <w:bottom w:val="single" w:sz="8" w:space="0" w:color="000000"/>
            </w:tcBorders>
            <w:shd w:val="clear" w:color="auto" w:fill="CCEEFF"/>
            <w:vAlign w:val="bottom"/>
          </w:tcPr>
          <w:p w14:paraId="5556CB4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B4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13,799</w:t>
            </w:r>
          </w:p>
        </w:tc>
        <w:tc>
          <w:tcPr>
            <w:tcW w:w="0" w:type="auto"/>
            <w:tcBorders>
              <w:top w:val="single" w:sz="8" w:space="0" w:color="000000"/>
              <w:bottom w:val="single" w:sz="8" w:space="0" w:color="000000"/>
            </w:tcBorders>
            <w:shd w:val="clear" w:color="auto" w:fill="CCEEFF"/>
            <w:vAlign w:val="bottom"/>
          </w:tcPr>
          <w:p w14:paraId="5556CB4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B4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21,106</w:t>
            </w:r>
          </w:p>
        </w:tc>
        <w:tc>
          <w:tcPr>
            <w:tcW w:w="0" w:type="auto"/>
            <w:tcBorders>
              <w:top w:val="single" w:sz="8" w:space="0" w:color="000000"/>
              <w:bottom w:val="single" w:sz="8" w:space="0" w:color="000000"/>
            </w:tcBorders>
            <w:shd w:val="clear" w:color="auto" w:fill="CCEEFF"/>
            <w:vAlign w:val="bottom"/>
          </w:tcPr>
          <w:p w14:paraId="5556CB4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B4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21,325</w:t>
            </w:r>
          </w:p>
        </w:tc>
        <w:tc>
          <w:tcPr>
            <w:tcW w:w="0" w:type="auto"/>
            <w:tcBorders>
              <w:top w:val="single" w:sz="8" w:space="0" w:color="000000"/>
              <w:bottom w:val="single" w:sz="8" w:space="0" w:color="000000"/>
            </w:tcBorders>
            <w:shd w:val="clear" w:color="auto" w:fill="CCEEFF"/>
            <w:vAlign w:val="bottom"/>
          </w:tcPr>
          <w:p w14:paraId="5556CB4E" w14:textId="77777777" w:rsidR="00F925DD" w:rsidRDefault="00F925DD">
            <w:pPr>
              <w:textAlignment w:val="bottom"/>
              <w:rPr>
                <w:rFonts w:ascii="Times New Roman" w:hAnsi="Times New Roman"/>
                <w:sz w:val="20"/>
                <w:szCs w:val="20"/>
              </w:rPr>
            </w:pPr>
          </w:p>
        </w:tc>
      </w:tr>
      <w:tr w:rsidR="00F925DD" w14:paraId="5556CB64" w14:textId="77777777">
        <w:tc>
          <w:tcPr>
            <w:tcW w:w="0" w:type="auto"/>
            <w:shd w:val="clear" w:color="auto" w:fill="auto"/>
            <w:tcMar>
              <w:top w:w="40" w:type="dxa"/>
              <w:left w:w="40" w:type="dxa"/>
              <w:bottom w:w="40" w:type="dxa"/>
              <w:right w:w="40" w:type="dxa"/>
            </w:tcMar>
            <w:vAlign w:val="bottom"/>
          </w:tcPr>
          <w:p w14:paraId="5556CB50" w14:textId="77777777" w:rsidR="00F925DD" w:rsidRDefault="00E705D7">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3"/>
            <w:shd w:val="clear" w:color="auto" w:fill="auto"/>
            <w:tcMar>
              <w:top w:w="40" w:type="dxa"/>
              <w:left w:w="40" w:type="dxa"/>
              <w:bottom w:w="40" w:type="dxa"/>
              <w:right w:w="40" w:type="dxa"/>
            </w:tcMar>
            <w:vAlign w:val="bottom"/>
          </w:tcPr>
          <w:p w14:paraId="5556CB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B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B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B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B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B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B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B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B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B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B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B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B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B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B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B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B61" w14:textId="77777777" w:rsidR="00F925DD" w:rsidRDefault="00F925DD">
            <w:pPr>
              <w:textAlignment w:val="bottom"/>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5556CB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B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B83" w14:textId="77777777">
        <w:tc>
          <w:tcPr>
            <w:tcW w:w="0" w:type="auto"/>
            <w:shd w:val="clear" w:color="auto" w:fill="CCEEFF"/>
            <w:tcMar>
              <w:top w:w="40" w:type="dxa"/>
              <w:left w:w="400" w:type="dxa"/>
              <w:bottom w:w="40" w:type="dxa"/>
              <w:right w:w="40" w:type="dxa"/>
            </w:tcMar>
            <w:vAlign w:val="bottom"/>
          </w:tcPr>
          <w:p w14:paraId="5556CB65" w14:textId="77777777" w:rsidR="00F925DD" w:rsidRDefault="00E705D7">
            <w:pPr>
              <w:textAlignment w:val="bottom"/>
              <w:rPr>
                <w:rFonts w:ascii="Times New Roman" w:hAnsi="Times New Roman"/>
                <w:sz w:val="14"/>
                <w:szCs w:val="14"/>
              </w:rPr>
            </w:pPr>
            <w:r>
              <w:rPr>
                <w:rFonts w:ascii="Arial" w:eastAsia="宋体" w:hAnsi="Arial" w:cs="Arial"/>
                <w:sz w:val="14"/>
                <w:szCs w:val="14"/>
              </w:rPr>
              <w:t>Student loans</w:t>
            </w:r>
          </w:p>
        </w:tc>
        <w:tc>
          <w:tcPr>
            <w:tcW w:w="0" w:type="auto"/>
            <w:gridSpan w:val="2"/>
            <w:shd w:val="clear" w:color="auto" w:fill="CCEEFF"/>
            <w:tcMar>
              <w:top w:w="40" w:type="dxa"/>
              <w:left w:w="40" w:type="dxa"/>
              <w:bottom w:w="40" w:type="dxa"/>
            </w:tcMar>
            <w:vAlign w:val="bottom"/>
          </w:tcPr>
          <w:p w14:paraId="5556CB6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w:t>
            </w:r>
          </w:p>
        </w:tc>
        <w:tc>
          <w:tcPr>
            <w:tcW w:w="0" w:type="auto"/>
            <w:shd w:val="clear" w:color="auto" w:fill="CCEEFF"/>
            <w:vAlign w:val="bottom"/>
          </w:tcPr>
          <w:p w14:paraId="5556CB6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6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w:t>
            </w:r>
          </w:p>
        </w:tc>
        <w:tc>
          <w:tcPr>
            <w:tcW w:w="0" w:type="auto"/>
            <w:shd w:val="clear" w:color="auto" w:fill="CCEEFF"/>
            <w:vAlign w:val="bottom"/>
          </w:tcPr>
          <w:p w14:paraId="5556CB6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6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185</w:t>
            </w:r>
          </w:p>
        </w:tc>
        <w:tc>
          <w:tcPr>
            <w:tcW w:w="0" w:type="auto"/>
            <w:shd w:val="clear" w:color="auto" w:fill="CCEEFF"/>
            <w:vAlign w:val="bottom"/>
          </w:tcPr>
          <w:p w14:paraId="5556CB6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6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184</w:t>
            </w:r>
          </w:p>
        </w:tc>
        <w:tc>
          <w:tcPr>
            <w:tcW w:w="0" w:type="auto"/>
            <w:shd w:val="clear" w:color="auto" w:fill="CCEEFF"/>
            <w:vAlign w:val="bottom"/>
          </w:tcPr>
          <w:p w14:paraId="5556CB7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7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96</w:t>
            </w:r>
          </w:p>
        </w:tc>
        <w:tc>
          <w:tcPr>
            <w:tcW w:w="0" w:type="auto"/>
            <w:shd w:val="clear" w:color="auto" w:fill="CCEEFF"/>
            <w:vAlign w:val="bottom"/>
          </w:tcPr>
          <w:p w14:paraId="5556CB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7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96</w:t>
            </w:r>
          </w:p>
        </w:tc>
        <w:tc>
          <w:tcPr>
            <w:tcW w:w="0" w:type="auto"/>
            <w:shd w:val="clear" w:color="auto" w:fill="CCEEFF"/>
            <w:vAlign w:val="bottom"/>
          </w:tcPr>
          <w:p w14:paraId="5556CB7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7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180</w:t>
            </w:r>
          </w:p>
        </w:tc>
        <w:tc>
          <w:tcPr>
            <w:tcW w:w="0" w:type="auto"/>
            <w:shd w:val="clear" w:color="auto" w:fill="CCEEFF"/>
            <w:vAlign w:val="bottom"/>
          </w:tcPr>
          <w:p w14:paraId="5556CB7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7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179</w:t>
            </w:r>
          </w:p>
        </w:tc>
        <w:tc>
          <w:tcPr>
            <w:tcW w:w="0" w:type="auto"/>
            <w:shd w:val="clear" w:color="auto" w:fill="CCEEFF"/>
            <w:vAlign w:val="bottom"/>
          </w:tcPr>
          <w:p w14:paraId="5556CB7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7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533</w:t>
            </w:r>
          </w:p>
        </w:tc>
        <w:tc>
          <w:tcPr>
            <w:tcW w:w="0" w:type="auto"/>
            <w:shd w:val="clear" w:color="auto" w:fill="CCEEFF"/>
            <w:vAlign w:val="bottom"/>
          </w:tcPr>
          <w:p w14:paraId="5556CB7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8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531</w:t>
            </w:r>
          </w:p>
        </w:tc>
        <w:tc>
          <w:tcPr>
            <w:tcW w:w="0" w:type="auto"/>
            <w:shd w:val="clear" w:color="auto" w:fill="CCEEFF"/>
            <w:vAlign w:val="bottom"/>
          </w:tcPr>
          <w:p w14:paraId="5556CB82" w14:textId="77777777" w:rsidR="00F925DD" w:rsidRDefault="00F925DD">
            <w:pPr>
              <w:textAlignment w:val="bottom"/>
              <w:rPr>
                <w:rFonts w:ascii="Times New Roman" w:hAnsi="Times New Roman"/>
                <w:sz w:val="20"/>
                <w:szCs w:val="20"/>
              </w:rPr>
            </w:pPr>
          </w:p>
        </w:tc>
      </w:tr>
      <w:tr w:rsidR="00F925DD" w14:paraId="5556CBA2" w14:textId="77777777">
        <w:tc>
          <w:tcPr>
            <w:tcW w:w="0" w:type="auto"/>
            <w:shd w:val="clear" w:color="auto" w:fill="auto"/>
            <w:tcMar>
              <w:top w:w="40" w:type="dxa"/>
              <w:left w:w="400" w:type="dxa"/>
              <w:bottom w:w="40" w:type="dxa"/>
              <w:right w:w="40" w:type="dxa"/>
            </w:tcMar>
            <w:vAlign w:val="bottom"/>
          </w:tcPr>
          <w:p w14:paraId="5556CB84" w14:textId="77777777" w:rsidR="00F925DD" w:rsidRDefault="00E705D7">
            <w:pPr>
              <w:textAlignment w:val="bottom"/>
              <w:rPr>
                <w:rFonts w:ascii="Times New Roman" w:hAnsi="Times New Roman"/>
                <w:sz w:val="14"/>
                <w:szCs w:val="14"/>
              </w:rPr>
            </w:pPr>
            <w:r>
              <w:rPr>
                <w:rFonts w:ascii="Arial" w:eastAsia="宋体" w:hAnsi="Arial" w:cs="Arial"/>
                <w:sz w:val="14"/>
                <w:szCs w:val="14"/>
              </w:rPr>
              <w:t>Credit cards</w:t>
            </w:r>
          </w:p>
        </w:tc>
        <w:tc>
          <w:tcPr>
            <w:tcW w:w="0" w:type="auto"/>
            <w:gridSpan w:val="2"/>
            <w:shd w:val="clear" w:color="auto" w:fill="auto"/>
            <w:tcMar>
              <w:top w:w="40" w:type="dxa"/>
              <w:left w:w="40" w:type="dxa"/>
              <w:bottom w:w="40" w:type="dxa"/>
            </w:tcMar>
            <w:vAlign w:val="bottom"/>
          </w:tcPr>
          <w:p w14:paraId="5556CB8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B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8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B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8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B8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8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B8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9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90</w:t>
            </w:r>
          </w:p>
        </w:tc>
        <w:tc>
          <w:tcPr>
            <w:tcW w:w="0" w:type="auto"/>
            <w:shd w:val="clear" w:color="auto" w:fill="auto"/>
            <w:vAlign w:val="bottom"/>
          </w:tcPr>
          <w:p w14:paraId="5556CB9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9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89</w:t>
            </w:r>
          </w:p>
        </w:tc>
        <w:tc>
          <w:tcPr>
            <w:tcW w:w="0" w:type="auto"/>
            <w:shd w:val="clear" w:color="auto" w:fill="auto"/>
            <w:vAlign w:val="bottom"/>
          </w:tcPr>
          <w:p w14:paraId="5556CB9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9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B9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9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B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9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90</w:t>
            </w:r>
          </w:p>
        </w:tc>
        <w:tc>
          <w:tcPr>
            <w:tcW w:w="0" w:type="auto"/>
            <w:shd w:val="clear" w:color="auto" w:fill="auto"/>
            <w:vAlign w:val="bottom"/>
          </w:tcPr>
          <w:p w14:paraId="5556CB9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A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89</w:t>
            </w:r>
          </w:p>
        </w:tc>
        <w:tc>
          <w:tcPr>
            <w:tcW w:w="0" w:type="auto"/>
            <w:shd w:val="clear" w:color="auto" w:fill="auto"/>
            <w:vAlign w:val="bottom"/>
          </w:tcPr>
          <w:p w14:paraId="5556CBA1" w14:textId="77777777" w:rsidR="00F925DD" w:rsidRDefault="00F925DD">
            <w:pPr>
              <w:textAlignment w:val="bottom"/>
              <w:rPr>
                <w:rFonts w:ascii="Times New Roman" w:hAnsi="Times New Roman"/>
                <w:sz w:val="20"/>
                <w:szCs w:val="20"/>
              </w:rPr>
            </w:pPr>
          </w:p>
        </w:tc>
      </w:tr>
      <w:tr w:rsidR="00F925DD" w14:paraId="5556CBC1" w14:textId="77777777">
        <w:tc>
          <w:tcPr>
            <w:tcW w:w="0" w:type="auto"/>
            <w:shd w:val="clear" w:color="auto" w:fill="CCEEFF"/>
            <w:tcMar>
              <w:top w:w="40" w:type="dxa"/>
              <w:left w:w="400" w:type="dxa"/>
              <w:bottom w:w="40" w:type="dxa"/>
              <w:right w:w="40" w:type="dxa"/>
            </w:tcMar>
            <w:vAlign w:val="bottom"/>
          </w:tcPr>
          <w:p w14:paraId="5556CBA3" w14:textId="77777777" w:rsidR="00F925DD" w:rsidRDefault="00E705D7">
            <w:pPr>
              <w:textAlignment w:val="bottom"/>
              <w:rPr>
                <w:rFonts w:ascii="Times New Roman" w:hAnsi="Times New Roman"/>
                <w:sz w:val="14"/>
                <w:szCs w:val="14"/>
              </w:rPr>
            </w:pPr>
            <w:r>
              <w:rPr>
                <w:rFonts w:ascii="Arial" w:eastAsia="宋体" w:hAnsi="Arial" w:cs="Arial"/>
                <w:sz w:val="14"/>
                <w:szCs w:val="14"/>
              </w:rPr>
              <w:t>Collateralized loan obligations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BA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CBA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BA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CB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BA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745</w:t>
            </w:r>
          </w:p>
        </w:tc>
        <w:tc>
          <w:tcPr>
            <w:tcW w:w="0" w:type="auto"/>
            <w:tcBorders>
              <w:bottom w:val="single" w:sz="8" w:space="0" w:color="000000"/>
            </w:tcBorders>
            <w:shd w:val="clear" w:color="auto" w:fill="CCEEFF"/>
            <w:vAlign w:val="bottom"/>
          </w:tcPr>
          <w:p w14:paraId="5556CB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BA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745</w:t>
            </w:r>
          </w:p>
        </w:tc>
        <w:tc>
          <w:tcPr>
            <w:tcW w:w="0" w:type="auto"/>
            <w:tcBorders>
              <w:bottom w:val="single" w:sz="8" w:space="0" w:color="000000"/>
            </w:tcBorders>
            <w:shd w:val="clear" w:color="auto" w:fill="CCEEFF"/>
            <w:vAlign w:val="bottom"/>
          </w:tcPr>
          <w:p w14:paraId="5556CBA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BB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959</w:t>
            </w:r>
          </w:p>
        </w:tc>
        <w:tc>
          <w:tcPr>
            <w:tcW w:w="0" w:type="auto"/>
            <w:tcBorders>
              <w:bottom w:val="single" w:sz="8" w:space="0" w:color="000000"/>
            </w:tcBorders>
            <w:shd w:val="clear" w:color="auto" w:fill="CCEEFF"/>
            <w:vAlign w:val="bottom"/>
          </w:tcPr>
          <w:p w14:paraId="5556CBB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BB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958</w:t>
            </w:r>
          </w:p>
        </w:tc>
        <w:tc>
          <w:tcPr>
            <w:tcW w:w="0" w:type="auto"/>
            <w:tcBorders>
              <w:bottom w:val="single" w:sz="8" w:space="0" w:color="000000"/>
            </w:tcBorders>
            <w:shd w:val="clear" w:color="auto" w:fill="CCEEFF"/>
            <w:vAlign w:val="bottom"/>
          </w:tcPr>
          <w:p w14:paraId="5556CBB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BB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117</w:t>
            </w:r>
          </w:p>
        </w:tc>
        <w:tc>
          <w:tcPr>
            <w:tcW w:w="0" w:type="auto"/>
            <w:tcBorders>
              <w:bottom w:val="single" w:sz="8" w:space="0" w:color="000000"/>
            </w:tcBorders>
            <w:shd w:val="clear" w:color="auto" w:fill="CCEEFF"/>
            <w:vAlign w:val="bottom"/>
          </w:tcPr>
          <w:p w14:paraId="5556CBB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BB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117</w:t>
            </w:r>
          </w:p>
        </w:tc>
        <w:tc>
          <w:tcPr>
            <w:tcW w:w="0" w:type="auto"/>
            <w:tcBorders>
              <w:bottom w:val="single" w:sz="8" w:space="0" w:color="000000"/>
            </w:tcBorders>
            <w:shd w:val="clear" w:color="auto" w:fill="CCEEFF"/>
            <w:vAlign w:val="bottom"/>
          </w:tcPr>
          <w:p w14:paraId="5556CBB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B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1,821</w:t>
            </w:r>
          </w:p>
        </w:tc>
        <w:tc>
          <w:tcPr>
            <w:tcW w:w="0" w:type="auto"/>
            <w:shd w:val="clear" w:color="auto" w:fill="CCEEFF"/>
            <w:vAlign w:val="bottom"/>
          </w:tcPr>
          <w:p w14:paraId="5556CBB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B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BB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1,820</w:t>
            </w:r>
          </w:p>
        </w:tc>
        <w:tc>
          <w:tcPr>
            <w:tcW w:w="0" w:type="auto"/>
            <w:shd w:val="clear" w:color="auto" w:fill="CCEEFF"/>
            <w:vAlign w:val="bottom"/>
          </w:tcPr>
          <w:p w14:paraId="5556CBC0" w14:textId="77777777" w:rsidR="00F925DD" w:rsidRDefault="00F925DD">
            <w:pPr>
              <w:textAlignment w:val="bottom"/>
              <w:rPr>
                <w:rFonts w:ascii="Times New Roman" w:hAnsi="Times New Roman"/>
                <w:sz w:val="20"/>
                <w:szCs w:val="20"/>
              </w:rPr>
            </w:pPr>
          </w:p>
        </w:tc>
      </w:tr>
      <w:tr w:rsidR="00F925DD" w14:paraId="5556CBE0" w14:textId="77777777">
        <w:tc>
          <w:tcPr>
            <w:tcW w:w="0" w:type="auto"/>
            <w:shd w:val="clear" w:color="auto" w:fill="auto"/>
            <w:tcMar>
              <w:top w:w="40" w:type="dxa"/>
              <w:left w:w="720" w:type="dxa"/>
              <w:bottom w:w="40" w:type="dxa"/>
              <w:right w:w="40" w:type="dxa"/>
            </w:tcMar>
            <w:vAlign w:val="bottom"/>
          </w:tcPr>
          <w:p w14:paraId="5556CBC2"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asset-backed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CBC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w:t>
            </w:r>
          </w:p>
        </w:tc>
        <w:tc>
          <w:tcPr>
            <w:tcW w:w="0" w:type="auto"/>
            <w:tcBorders>
              <w:bottom w:val="single" w:sz="8" w:space="0" w:color="000000"/>
            </w:tcBorders>
            <w:shd w:val="clear" w:color="auto" w:fill="auto"/>
            <w:vAlign w:val="bottom"/>
          </w:tcPr>
          <w:p w14:paraId="5556CBC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BC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w:t>
            </w:r>
          </w:p>
        </w:tc>
        <w:tc>
          <w:tcPr>
            <w:tcW w:w="0" w:type="auto"/>
            <w:tcBorders>
              <w:top w:val="single" w:sz="8" w:space="0" w:color="000000"/>
              <w:bottom w:val="single" w:sz="8" w:space="0" w:color="000000"/>
            </w:tcBorders>
            <w:shd w:val="clear" w:color="auto" w:fill="auto"/>
            <w:vAlign w:val="bottom"/>
          </w:tcPr>
          <w:p w14:paraId="5556CBC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BC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930</w:t>
            </w:r>
          </w:p>
        </w:tc>
        <w:tc>
          <w:tcPr>
            <w:tcW w:w="0" w:type="auto"/>
            <w:tcBorders>
              <w:bottom w:val="single" w:sz="8" w:space="0" w:color="000000"/>
            </w:tcBorders>
            <w:shd w:val="clear" w:color="auto" w:fill="auto"/>
            <w:vAlign w:val="bottom"/>
          </w:tcPr>
          <w:p w14:paraId="5556CBC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BC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929</w:t>
            </w:r>
          </w:p>
        </w:tc>
        <w:tc>
          <w:tcPr>
            <w:tcW w:w="0" w:type="auto"/>
            <w:tcBorders>
              <w:top w:val="single" w:sz="8" w:space="0" w:color="000000"/>
              <w:bottom w:val="single" w:sz="8" w:space="0" w:color="000000"/>
            </w:tcBorders>
            <w:shd w:val="clear" w:color="auto" w:fill="auto"/>
            <w:vAlign w:val="bottom"/>
          </w:tcPr>
          <w:p w14:paraId="5556CBC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BC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1,145</w:t>
            </w:r>
          </w:p>
        </w:tc>
        <w:tc>
          <w:tcPr>
            <w:tcW w:w="0" w:type="auto"/>
            <w:tcBorders>
              <w:bottom w:val="single" w:sz="8" w:space="0" w:color="000000"/>
            </w:tcBorders>
            <w:shd w:val="clear" w:color="auto" w:fill="auto"/>
            <w:vAlign w:val="bottom"/>
          </w:tcPr>
          <w:p w14:paraId="5556CBD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BD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1,143</w:t>
            </w:r>
          </w:p>
        </w:tc>
        <w:tc>
          <w:tcPr>
            <w:tcW w:w="0" w:type="auto"/>
            <w:tcBorders>
              <w:top w:val="single" w:sz="8" w:space="0" w:color="000000"/>
              <w:bottom w:val="single" w:sz="8" w:space="0" w:color="000000"/>
            </w:tcBorders>
            <w:shd w:val="clear" w:color="auto" w:fill="auto"/>
            <w:vAlign w:val="bottom"/>
          </w:tcPr>
          <w:p w14:paraId="5556CBD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BD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297</w:t>
            </w:r>
          </w:p>
        </w:tc>
        <w:tc>
          <w:tcPr>
            <w:tcW w:w="0" w:type="auto"/>
            <w:tcBorders>
              <w:bottom w:val="single" w:sz="8" w:space="0" w:color="000000"/>
            </w:tcBorders>
            <w:shd w:val="clear" w:color="auto" w:fill="auto"/>
            <w:vAlign w:val="bottom"/>
          </w:tcPr>
          <w:p w14:paraId="5556CBD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BD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296</w:t>
            </w:r>
          </w:p>
        </w:tc>
        <w:tc>
          <w:tcPr>
            <w:tcW w:w="0" w:type="auto"/>
            <w:tcBorders>
              <w:top w:val="single" w:sz="8" w:space="0" w:color="000000"/>
              <w:bottom w:val="single" w:sz="8" w:space="0" w:color="000000"/>
            </w:tcBorders>
            <w:shd w:val="clear" w:color="auto" w:fill="auto"/>
            <w:vAlign w:val="bottom"/>
          </w:tcPr>
          <w:p w14:paraId="5556CBD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BD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2,444</w:t>
            </w:r>
          </w:p>
        </w:tc>
        <w:tc>
          <w:tcPr>
            <w:tcW w:w="0" w:type="auto"/>
            <w:tcBorders>
              <w:top w:val="single" w:sz="8" w:space="0" w:color="000000"/>
              <w:bottom w:val="single" w:sz="8" w:space="0" w:color="000000"/>
            </w:tcBorders>
            <w:shd w:val="clear" w:color="auto" w:fill="auto"/>
            <w:vAlign w:val="bottom"/>
          </w:tcPr>
          <w:p w14:paraId="5556CBD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BD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2,440</w:t>
            </w:r>
          </w:p>
        </w:tc>
        <w:tc>
          <w:tcPr>
            <w:tcW w:w="0" w:type="auto"/>
            <w:tcBorders>
              <w:top w:val="single" w:sz="8" w:space="0" w:color="000000"/>
              <w:bottom w:val="single" w:sz="8" w:space="0" w:color="000000"/>
            </w:tcBorders>
            <w:shd w:val="clear" w:color="auto" w:fill="auto"/>
            <w:vAlign w:val="bottom"/>
          </w:tcPr>
          <w:p w14:paraId="5556CBDF" w14:textId="77777777" w:rsidR="00F925DD" w:rsidRDefault="00F925DD">
            <w:pPr>
              <w:textAlignment w:val="bottom"/>
              <w:rPr>
                <w:rFonts w:ascii="Times New Roman" w:hAnsi="Times New Roman"/>
                <w:sz w:val="20"/>
                <w:szCs w:val="20"/>
              </w:rPr>
            </w:pPr>
          </w:p>
        </w:tc>
      </w:tr>
      <w:tr w:rsidR="00F925DD" w14:paraId="5556CBF5" w14:textId="77777777">
        <w:tc>
          <w:tcPr>
            <w:tcW w:w="0" w:type="auto"/>
            <w:shd w:val="clear" w:color="auto" w:fill="CCEEFF"/>
            <w:tcMar>
              <w:top w:w="40" w:type="dxa"/>
              <w:left w:w="40" w:type="dxa"/>
              <w:bottom w:w="40" w:type="dxa"/>
              <w:right w:w="40" w:type="dxa"/>
            </w:tcMar>
            <w:vAlign w:val="bottom"/>
          </w:tcPr>
          <w:p w14:paraId="5556CBE1" w14:textId="77777777" w:rsidR="00F925DD" w:rsidRDefault="00E705D7">
            <w:pPr>
              <w:textAlignment w:val="bottom"/>
              <w:rPr>
                <w:rFonts w:ascii="Times New Roman" w:hAnsi="Times New Roman"/>
                <w:sz w:val="14"/>
                <w:szCs w:val="14"/>
              </w:rPr>
            </w:pPr>
            <w:r>
              <w:rPr>
                <w:rFonts w:ascii="Arial" w:eastAsia="宋体" w:hAnsi="Arial" w:cs="Arial"/>
                <w:sz w:val="14"/>
                <w:szCs w:val="14"/>
              </w:rPr>
              <w:t>Non-U.S. debt securities:</w:t>
            </w:r>
          </w:p>
        </w:tc>
        <w:tc>
          <w:tcPr>
            <w:tcW w:w="0" w:type="auto"/>
            <w:gridSpan w:val="3"/>
            <w:shd w:val="clear" w:color="auto" w:fill="CCEEFF"/>
            <w:tcMar>
              <w:top w:w="40" w:type="dxa"/>
              <w:left w:w="40" w:type="dxa"/>
              <w:bottom w:w="40" w:type="dxa"/>
              <w:right w:w="40" w:type="dxa"/>
            </w:tcMar>
            <w:vAlign w:val="bottom"/>
          </w:tcPr>
          <w:p w14:paraId="5556CB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B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B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B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B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B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B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B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B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B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B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B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B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B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B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B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BF2" w14:textId="77777777" w:rsidR="00F925DD" w:rsidRDefault="00F925DD">
            <w:pPr>
              <w:textAlignment w:val="bottom"/>
              <w:rPr>
                <w:rFonts w:ascii="Times New Roman" w:hAnsi="Times New Roman"/>
                <w:sz w:val="14"/>
                <w:szCs w:val="14"/>
              </w:rPr>
            </w:pPr>
          </w:p>
        </w:tc>
        <w:tc>
          <w:tcPr>
            <w:tcW w:w="0" w:type="auto"/>
            <w:shd w:val="clear" w:color="auto" w:fill="CCEEFF"/>
            <w:tcMar>
              <w:top w:w="40" w:type="dxa"/>
              <w:left w:w="40" w:type="dxa"/>
              <w:bottom w:w="40" w:type="dxa"/>
              <w:right w:w="40" w:type="dxa"/>
            </w:tcMar>
            <w:vAlign w:val="bottom"/>
          </w:tcPr>
          <w:p w14:paraId="5556CB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B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C14" w14:textId="77777777">
        <w:tc>
          <w:tcPr>
            <w:tcW w:w="0" w:type="auto"/>
            <w:shd w:val="clear" w:color="auto" w:fill="auto"/>
            <w:tcMar>
              <w:top w:w="40" w:type="dxa"/>
              <w:left w:w="400" w:type="dxa"/>
              <w:bottom w:w="40" w:type="dxa"/>
              <w:right w:w="40" w:type="dxa"/>
            </w:tcMar>
            <w:vAlign w:val="bottom"/>
          </w:tcPr>
          <w:p w14:paraId="5556CBF6" w14:textId="77777777" w:rsidR="00F925DD" w:rsidRDefault="00E705D7">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shd w:val="clear" w:color="auto" w:fill="auto"/>
            <w:tcMar>
              <w:top w:w="40" w:type="dxa"/>
              <w:left w:w="40" w:type="dxa"/>
              <w:bottom w:w="40" w:type="dxa"/>
            </w:tcMar>
            <w:vAlign w:val="bottom"/>
          </w:tcPr>
          <w:p w14:paraId="5556CBF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430</w:t>
            </w:r>
          </w:p>
        </w:tc>
        <w:tc>
          <w:tcPr>
            <w:tcW w:w="0" w:type="auto"/>
            <w:shd w:val="clear" w:color="auto" w:fill="auto"/>
            <w:vAlign w:val="bottom"/>
          </w:tcPr>
          <w:p w14:paraId="5556CBF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F9"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BF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430</w:t>
            </w:r>
          </w:p>
        </w:tc>
        <w:tc>
          <w:tcPr>
            <w:tcW w:w="0" w:type="auto"/>
            <w:shd w:val="clear" w:color="auto" w:fill="auto"/>
            <w:vAlign w:val="bottom"/>
          </w:tcPr>
          <w:p w14:paraId="5556CB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BF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568</w:t>
            </w:r>
          </w:p>
        </w:tc>
        <w:tc>
          <w:tcPr>
            <w:tcW w:w="0" w:type="auto"/>
            <w:shd w:val="clear" w:color="auto" w:fill="auto"/>
            <w:vAlign w:val="bottom"/>
          </w:tcPr>
          <w:p w14:paraId="5556CBF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B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0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569</w:t>
            </w:r>
          </w:p>
        </w:tc>
        <w:tc>
          <w:tcPr>
            <w:tcW w:w="0" w:type="auto"/>
            <w:shd w:val="clear" w:color="auto" w:fill="auto"/>
            <w:vAlign w:val="bottom"/>
          </w:tcPr>
          <w:p w14:paraId="5556CC0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02" w14:textId="77777777" w:rsidR="00F925DD" w:rsidRDefault="00F925DD">
            <w:pPr>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C0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196</w:t>
            </w:r>
          </w:p>
        </w:tc>
        <w:tc>
          <w:tcPr>
            <w:tcW w:w="0" w:type="auto"/>
            <w:shd w:val="clear" w:color="auto" w:fill="auto"/>
            <w:vAlign w:val="bottom"/>
          </w:tcPr>
          <w:p w14:paraId="5556CC0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0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196</w:t>
            </w:r>
          </w:p>
        </w:tc>
        <w:tc>
          <w:tcPr>
            <w:tcW w:w="0" w:type="auto"/>
            <w:shd w:val="clear" w:color="auto" w:fill="auto"/>
            <w:vAlign w:val="bottom"/>
          </w:tcPr>
          <w:p w14:paraId="5556CC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08"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C0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784</w:t>
            </w:r>
          </w:p>
        </w:tc>
        <w:tc>
          <w:tcPr>
            <w:tcW w:w="0" w:type="auto"/>
            <w:shd w:val="clear" w:color="auto" w:fill="auto"/>
            <w:vAlign w:val="bottom"/>
          </w:tcPr>
          <w:p w14:paraId="5556CC0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0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785</w:t>
            </w:r>
          </w:p>
        </w:tc>
        <w:tc>
          <w:tcPr>
            <w:tcW w:w="0" w:type="auto"/>
            <w:shd w:val="clear" w:color="auto" w:fill="auto"/>
            <w:vAlign w:val="bottom"/>
          </w:tcPr>
          <w:p w14:paraId="5556CC0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0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1,978</w:t>
            </w:r>
          </w:p>
        </w:tc>
        <w:tc>
          <w:tcPr>
            <w:tcW w:w="0" w:type="auto"/>
            <w:shd w:val="clear" w:color="auto" w:fill="auto"/>
            <w:vAlign w:val="bottom"/>
          </w:tcPr>
          <w:p w14:paraId="5556CC1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1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1,980</w:t>
            </w:r>
          </w:p>
        </w:tc>
        <w:tc>
          <w:tcPr>
            <w:tcW w:w="0" w:type="auto"/>
            <w:shd w:val="clear" w:color="auto" w:fill="auto"/>
            <w:vAlign w:val="bottom"/>
          </w:tcPr>
          <w:p w14:paraId="5556CC13" w14:textId="77777777" w:rsidR="00F925DD" w:rsidRDefault="00F925DD">
            <w:pPr>
              <w:textAlignment w:val="bottom"/>
              <w:rPr>
                <w:rFonts w:ascii="Times New Roman" w:hAnsi="Times New Roman"/>
                <w:sz w:val="20"/>
                <w:szCs w:val="20"/>
              </w:rPr>
            </w:pPr>
          </w:p>
        </w:tc>
      </w:tr>
      <w:tr w:rsidR="00F925DD" w14:paraId="5556CC33" w14:textId="77777777">
        <w:tc>
          <w:tcPr>
            <w:tcW w:w="0" w:type="auto"/>
            <w:shd w:val="clear" w:color="auto" w:fill="CCEEFF"/>
            <w:tcMar>
              <w:top w:w="40" w:type="dxa"/>
              <w:left w:w="400" w:type="dxa"/>
              <w:bottom w:w="40" w:type="dxa"/>
              <w:right w:w="40" w:type="dxa"/>
            </w:tcMar>
            <w:vAlign w:val="bottom"/>
          </w:tcPr>
          <w:p w14:paraId="5556CC15" w14:textId="77777777" w:rsidR="00F925DD" w:rsidRDefault="00E705D7">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2"/>
            <w:shd w:val="clear" w:color="auto" w:fill="CCEEFF"/>
            <w:tcMar>
              <w:top w:w="40" w:type="dxa"/>
              <w:left w:w="40" w:type="dxa"/>
              <w:bottom w:w="40" w:type="dxa"/>
            </w:tcMar>
            <w:vAlign w:val="bottom"/>
          </w:tcPr>
          <w:p w14:paraId="5556CC1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487</w:t>
            </w:r>
          </w:p>
        </w:tc>
        <w:tc>
          <w:tcPr>
            <w:tcW w:w="0" w:type="auto"/>
            <w:shd w:val="clear" w:color="auto" w:fill="CCEEFF"/>
            <w:vAlign w:val="bottom"/>
          </w:tcPr>
          <w:p w14:paraId="5556CC1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18" w14:textId="77777777" w:rsidR="00F925DD" w:rsidRDefault="00F925DD">
            <w:pPr>
              <w:jc w:val="right"/>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CC1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487</w:t>
            </w:r>
          </w:p>
        </w:tc>
        <w:tc>
          <w:tcPr>
            <w:tcW w:w="0" w:type="auto"/>
            <w:shd w:val="clear" w:color="auto" w:fill="CCEEFF"/>
            <w:vAlign w:val="bottom"/>
          </w:tcPr>
          <w:p w14:paraId="5556CC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1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981</w:t>
            </w:r>
          </w:p>
        </w:tc>
        <w:tc>
          <w:tcPr>
            <w:tcW w:w="0" w:type="auto"/>
            <w:shd w:val="clear" w:color="auto" w:fill="CCEEFF"/>
            <w:vAlign w:val="bottom"/>
          </w:tcPr>
          <w:p w14:paraId="5556CC1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1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981</w:t>
            </w:r>
          </w:p>
        </w:tc>
        <w:tc>
          <w:tcPr>
            <w:tcW w:w="0" w:type="auto"/>
            <w:shd w:val="clear" w:color="auto" w:fill="CCEEFF"/>
            <w:vAlign w:val="bottom"/>
          </w:tcPr>
          <w:p w14:paraId="5556CC2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21" w14:textId="77777777" w:rsidR="00F925DD" w:rsidRDefault="00F925DD">
            <w:pPr>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CC2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366</w:t>
            </w:r>
          </w:p>
        </w:tc>
        <w:tc>
          <w:tcPr>
            <w:tcW w:w="0" w:type="auto"/>
            <w:shd w:val="clear" w:color="auto" w:fill="CCEEFF"/>
            <w:vAlign w:val="bottom"/>
          </w:tcPr>
          <w:p w14:paraId="5556CC2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2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366</w:t>
            </w:r>
          </w:p>
        </w:tc>
        <w:tc>
          <w:tcPr>
            <w:tcW w:w="0" w:type="auto"/>
            <w:shd w:val="clear" w:color="auto" w:fill="CCEEFF"/>
            <w:vAlign w:val="bottom"/>
          </w:tcPr>
          <w:p w14:paraId="5556CC2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27" w14:textId="77777777" w:rsidR="00F925DD" w:rsidRDefault="00F925DD">
            <w:pPr>
              <w:jc w:val="right"/>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CC2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345</w:t>
            </w:r>
          </w:p>
        </w:tc>
        <w:tc>
          <w:tcPr>
            <w:tcW w:w="0" w:type="auto"/>
            <w:shd w:val="clear" w:color="auto" w:fill="CCEEFF"/>
            <w:vAlign w:val="bottom"/>
          </w:tcPr>
          <w:p w14:paraId="5556CC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2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345</w:t>
            </w:r>
          </w:p>
        </w:tc>
        <w:tc>
          <w:tcPr>
            <w:tcW w:w="0" w:type="auto"/>
            <w:shd w:val="clear" w:color="auto" w:fill="CCEEFF"/>
            <w:vAlign w:val="bottom"/>
          </w:tcPr>
          <w:p w14:paraId="5556CC2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2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2,179</w:t>
            </w:r>
          </w:p>
        </w:tc>
        <w:tc>
          <w:tcPr>
            <w:tcW w:w="0" w:type="auto"/>
            <w:shd w:val="clear" w:color="auto" w:fill="CCEEFF"/>
            <w:vAlign w:val="bottom"/>
          </w:tcPr>
          <w:p w14:paraId="5556CC2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3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2,179</w:t>
            </w:r>
          </w:p>
        </w:tc>
        <w:tc>
          <w:tcPr>
            <w:tcW w:w="0" w:type="auto"/>
            <w:shd w:val="clear" w:color="auto" w:fill="CCEEFF"/>
            <w:vAlign w:val="bottom"/>
          </w:tcPr>
          <w:p w14:paraId="5556CC32" w14:textId="77777777" w:rsidR="00F925DD" w:rsidRDefault="00F925DD">
            <w:pPr>
              <w:textAlignment w:val="bottom"/>
              <w:rPr>
                <w:rFonts w:ascii="Times New Roman" w:hAnsi="Times New Roman"/>
                <w:sz w:val="20"/>
                <w:szCs w:val="20"/>
              </w:rPr>
            </w:pPr>
          </w:p>
        </w:tc>
      </w:tr>
      <w:tr w:rsidR="00F925DD" w14:paraId="5556CC52" w14:textId="77777777">
        <w:tc>
          <w:tcPr>
            <w:tcW w:w="0" w:type="auto"/>
            <w:shd w:val="clear" w:color="auto" w:fill="auto"/>
            <w:tcMar>
              <w:top w:w="40" w:type="dxa"/>
              <w:left w:w="400" w:type="dxa"/>
              <w:bottom w:w="40" w:type="dxa"/>
              <w:right w:w="40" w:type="dxa"/>
            </w:tcMar>
            <w:vAlign w:val="bottom"/>
          </w:tcPr>
          <w:p w14:paraId="5556CC34" w14:textId="77777777" w:rsidR="00F925DD" w:rsidRDefault="00E705D7">
            <w:pPr>
              <w:textAlignment w:val="bottom"/>
              <w:rPr>
                <w:rFonts w:ascii="Times New Roman" w:hAnsi="Times New Roman"/>
                <w:sz w:val="14"/>
                <w:szCs w:val="14"/>
              </w:rPr>
            </w:pPr>
            <w:r>
              <w:rPr>
                <w:rFonts w:ascii="Arial" w:eastAsia="宋体" w:hAnsi="Arial" w:cs="Arial"/>
                <w:sz w:val="14"/>
                <w:szCs w:val="14"/>
              </w:rPr>
              <w:t>Government securities</w:t>
            </w:r>
          </w:p>
        </w:tc>
        <w:tc>
          <w:tcPr>
            <w:tcW w:w="0" w:type="auto"/>
            <w:gridSpan w:val="2"/>
            <w:shd w:val="clear" w:color="auto" w:fill="auto"/>
            <w:tcMar>
              <w:top w:w="40" w:type="dxa"/>
              <w:left w:w="40" w:type="dxa"/>
              <w:bottom w:w="40" w:type="dxa"/>
            </w:tcMar>
            <w:vAlign w:val="bottom"/>
          </w:tcPr>
          <w:p w14:paraId="5556CC3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4,183</w:t>
            </w:r>
          </w:p>
        </w:tc>
        <w:tc>
          <w:tcPr>
            <w:tcW w:w="0" w:type="auto"/>
            <w:shd w:val="clear" w:color="auto" w:fill="auto"/>
            <w:vAlign w:val="bottom"/>
          </w:tcPr>
          <w:p w14:paraId="5556CC3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37"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C3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4,183</w:t>
            </w:r>
          </w:p>
        </w:tc>
        <w:tc>
          <w:tcPr>
            <w:tcW w:w="0" w:type="auto"/>
            <w:shd w:val="clear" w:color="auto" w:fill="auto"/>
            <w:vAlign w:val="bottom"/>
          </w:tcPr>
          <w:p w14:paraId="5556CC3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3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7,270</w:t>
            </w:r>
          </w:p>
        </w:tc>
        <w:tc>
          <w:tcPr>
            <w:tcW w:w="0" w:type="auto"/>
            <w:shd w:val="clear" w:color="auto" w:fill="auto"/>
            <w:vAlign w:val="bottom"/>
          </w:tcPr>
          <w:p w14:paraId="5556CC3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3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7,381</w:t>
            </w:r>
          </w:p>
        </w:tc>
        <w:tc>
          <w:tcPr>
            <w:tcW w:w="0" w:type="auto"/>
            <w:shd w:val="clear" w:color="auto" w:fill="auto"/>
            <w:vAlign w:val="bottom"/>
          </w:tcPr>
          <w:p w14:paraId="5556CC3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40" w14:textId="77777777" w:rsidR="00F925DD" w:rsidRDefault="00F925DD">
            <w:pPr>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C4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791</w:t>
            </w:r>
          </w:p>
        </w:tc>
        <w:tc>
          <w:tcPr>
            <w:tcW w:w="0" w:type="auto"/>
            <w:shd w:val="clear" w:color="auto" w:fill="auto"/>
            <w:vAlign w:val="bottom"/>
          </w:tcPr>
          <w:p w14:paraId="5556CC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4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809</w:t>
            </w:r>
          </w:p>
        </w:tc>
        <w:tc>
          <w:tcPr>
            <w:tcW w:w="0" w:type="auto"/>
            <w:shd w:val="clear" w:color="auto" w:fill="auto"/>
            <w:vAlign w:val="bottom"/>
          </w:tcPr>
          <w:p w14:paraId="5556CC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46"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C4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C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4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C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4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12,244</w:t>
            </w:r>
          </w:p>
        </w:tc>
        <w:tc>
          <w:tcPr>
            <w:tcW w:w="0" w:type="auto"/>
            <w:shd w:val="clear" w:color="auto" w:fill="auto"/>
            <w:vAlign w:val="bottom"/>
          </w:tcPr>
          <w:p w14:paraId="5556CC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5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12,373</w:t>
            </w:r>
          </w:p>
        </w:tc>
        <w:tc>
          <w:tcPr>
            <w:tcW w:w="0" w:type="auto"/>
            <w:shd w:val="clear" w:color="auto" w:fill="auto"/>
            <w:vAlign w:val="bottom"/>
          </w:tcPr>
          <w:p w14:paraId="5556CC51" w14:textId="77777777" w:rsidR="00F925DD" w:rsidRDefault="00F925DD">
            <w:pPr>
              <w:textAlignment w:val="bottom"/>
              <w:rPr>
                <w:rFonts w:ascii="Times New Roman" w:hAnsi="Times New Roman"/>
                <w:sz w:val="20"/>
                <w:szCs w:val="20"/>
              </w:rPr>
            </w:pPr>
          </w:p>
        </w:tc>
      </w:tr>
      <w:tr w:rsidR="00F925DD" w14:paraId="5556CC71" w14:textId="77777777">
        <w:tc>
          <w:tcPr>
            <w:tcW w:w="0" w:type="auto"/>
            <w:shd w:val="clear" w:color="auto" w:fill="CCEEFF"/>
            <w:tcMar>
              <w:top w:w="40" w:type="dxa"/>
              <w:left w:w="400" w:type="dxa"/>
              <w:bottom w:w="40" w:type="dxa"/>
              <w:right w:w="40" w:type="dxa"/>
            </w:tcMar>
            <w:vAlign w:val="bottom"/>
          </w:tcPr>
          <w:p w14:paraId="5556CC53"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C5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883</w:t>
            </w:r>
          </w:p>
        </w:tc>
        <w:tc>
          <w:tcPr>
            <w:tcW w:w="0" w:type="auto"/>
            <w:tcBorders>
              <w:bottom w:val="single" w:sz="8" w:space="0" w:color="000000"/>
            </w:tcBorders>
            <w:shd w:val="clear" w:color="auto" w:fill="CCEEFF"/>
            <w:vAlign w:val="bottom"/>
          </w:tcPr>
          <w:p w14:paraId="5556CC5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56"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C5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884</w:t>
            </w:r>
          </w:p>
        </w:tc>
        <w:tc>
          <w:tcPr>
            <w:tcW w:w="0" w:type="auto"/>
            <w:tcBorders>
              <w:bottom w:val="single" w:sz="8" w:space="0" w:color="000000"/>
            </w:tcBorders>
            <w:shd w:val="clear" w:color="auto" w:fill="CCEEFF"/>
            <w:vAlign w:val="bottom"/>
          </w:tcPr>
          <w:p w14:paraId="5556CC5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C5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6,634</w:t>
            </w:r>
          </w:p>
        </w:tc>
        <w:tc>
          <w:tcPr>
            <w:tcW w:w="0" w:type="auto"/>
            <w:tcBorders>
              <w:bottom w:val="single" w:sz="8" w:space="0" w:color="000000"/>
            </w:tcBorders>
            <w:shd w:val="clear" w:color="auto" w:fill="CCEEFF"/>
            <w:vAlign w:val="bottom"/>
          </w:tcPr>
          <w:p w14:paraId="5556CC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C5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6,689</w:t>
            </w:r>
          </w:p>
        </w:tc>
        <w:tc>
          <w:tcPr>
            <w:tcW w:w="0" w:type="auto"/>
            <w:tcBorders>
              <w:bottom w:val="single" w:sz="8" w:space="0" w:color="000000"/>
            </w:tcBorders>
            <w:shd w:val="clear" w:color="auto" w:fill="CCEEFF"/>
            <w:vAlign w:val="bottom"/>
          </w:tcPr>
          <w:p w14:paraId="5556CC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5F" w14:textId="77777777" w:rsidR="00F925DD" w:rsidRDefault="00F925DD">
            <w:pPr>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C6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1,057</w:t>
            </w:r>
          </w:p>
        </w:tc>
        <w:tc>
          <w:tcPr>
            <w:tcW w:w="0" w:type="auto"/>
            <w:tcBorders>
              <w:bottom w:val="single" w:sz="8" w:space="0" w:color="000000"/>
            </w:tcBorders>
            <w:shd w:val="clear" w:color="auto" w:fill="CCEEFF"/>
            <w:vAlign w:val="bottom"/>
          </w:tcPr>
          <w:p w14:paraId="5556CC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C6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1,063</w:t>
            </w:r>
          </w:p>
        </w:tc>
        <w:tc>
          <w:tcPr>
            <w:tcW w:w="0" w:type="auto"/>
            <w:tcBorders>
              <w:bottom w:val="single" w:sz="8" w:space="0" w:color="000000"/>
            </w:tcBorders>
            <w:shd w:val="clear" w:color="auto" w:fill="CCEEFF"/>
            <w:vAlign w:val="bottom"/>
          </w:tcPr>
          <w:p w14:paraId="5556CC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65"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C6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tcBorders>
              <w:bottom w:val="single" w:sz="8" w:space="0" w:color="000000"/>
            </w:tcBorders>
            <w:shd w:val="clear" w:color="auto" w:fill="CCEEFF"/>
            <w:vAlign w:val="bottom"/>
          </w:tcPr>
          <w:p w14:paraId="5556CC6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C6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tcBorders>
              <w:bottom w:val="single" w:sz="8" w:space="0" w:color="000000"/>
            </w:tcBorders>
            <w:shd w:val="clear" w:color="auto" w:fill="CCEEFF"/>
            <w:vAlign w:val="bottom"/>
          </w:tcPr>
          <w:p w14:paraId="5556CC6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6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8,593</w:t>
            </w:r>
          </w:p>
        </w:tc>
        <w:tc>
          <w:tcPr>
            <w:tcW w:w="0" w:type="auto"/>
            <w:shd w:val="clear" w:color="auto" w:fill="CCEEFF"/>
            <w:vAlign w:val="bottom"/>
          </w:tcPr>
          <w:p w14:paraId="5556CC6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6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8,658</w:t>
            </w:r>
          </w:p>
        </w:tc>
        <w:tc>
          <w:tcPr>
            <w:tcW w:w="0" w:type="auto"/>
            <w:shd w:val="clear" w:color="auto" w:fill="CCEEFF"/>
            <w:vAlign w:val="bottom"/>
          </w:tcPr>
          <w:p w14:paraId="5556CC70" w14:textId="77777777" w:rsidR="00F925DD" w:rsidRDefault="00F925DD">
            <w:pPr>
              <w:textAlignment w:val="bottom"/>
              <w:rPr>
                <w:rFonts w:ascii="Times New Roman" w:hAnsi="Times New Roman"/>
                <w:sz w:val="20"/>
                <w:szCs w:val="20"/>
              </w:rPr>
            </w:pPr>
          </w:p>
        </w:tc>
      </w:tr>
      <w:tr w:rsidR="00F925DD" w14:paraId="5556CC90" w14:textId="77777777">
        <w:tc>
          <w:tcPr>
            <w:tcW w:w="0" w:type="auto"/>
            <w:shd w:val="clear" w:color="auto" w:fill="auto"/>
            <w:tcMar>
              <w:top w:w="40" w:type="dxa"/>
              <w:left w:w="720" w:type="dxa"/>
              <w:bottom w:w="40" w:type="dxa"/>
              <w:right w:w="40" w:type="dxa"/>
            </w:tcMar>
            <w:vAlign w:val="bottom"/>
          </w:tcPr>
          <w:p w14:paraId="5556CC72"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CC7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5,983</w:t>
            </w:r>
          </w:p>
        </w:tc>
        <w:tc>
          <w:tcPr>
            <w:tcW w:w="0" w:type="auto"/>
            <w:tcBorders>
              <w:bottom w:val="single" w:sz="8" w:space="0" w:color="000000"/>
            </w:tcBorders>
            <w:shd w:val="clear" w:color="auto" w:fill="auto"/>
            <w:vAlign w:val="bottom"/>
          </w:tcPr>
          <w:p w14:paraId="5556CC7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C7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5,984</w:t>
            </w:r>
          </w:p>
        </w:tc>
        <w:tc>
          <w:tcPr>
            <w:tcW w:w="0" w:type="auto"/>
            <w:tcBorders>
              <w:top w:val="single" w:sz="8" w:space="0" w:color="000000"/>
              <w:bottom w:val="single" w:sz="8" w:space="0" w:color="000000"/>
            </w:tcBorders>
            <w:shd w:val="clear" w:color="auto" w:fill="auto"/>
            <w:vAlign w:val="bottom"/>
          </w:tcPr>
          <w:p w14:paraId="5556CC7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C7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15,453</w:t>
            </w:r>
          </w:p>
        </w:tc>
        <w:tc>
          <w:tcPr>
            <w:tcW w:w="0" w:type="auto"/>
            <w:tcBorders>
              <w:bottom w:val="single" w:sz="8" w:space="0" w:color="000000"/>
            </w:tcBorders>
            <w:shd w:val="clear" w:color="auto" w:fill="auto"/>
            <w:vAlign w:val="bottom"/>
          </w:tcPr>
          <w:p w14:paraId="5556CC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C7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15,620</w:t>
            </w:r>
          </w:p>
        </w:tc>
        <w:tc>
          <w:tcPr>
            <w:tcW w:w="0" w:type="auto"/>
            <w:tcBorders>
              <w:top w:val="single" w:sz="8" w:space="0" w:color="000000"/>
              <w:bottom w:val="single" w:sz="8" w:space="0" w:color="000000"/>
            </w:tcBorders>
            <w:shd w:val="clear" w:color="auto" w:fill="auto"/>
            <w:vAlign w:val="bottom"/>
          </w:tcPr>
          <w:p w14:paraId="5556CC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C7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2,410</w:t>
            </w:r>
          </w:p>
        </w:tc>
        <w:tc>
          <w:tcPr>
            <w:tcW w:w="0" w:type="auto"/>
            <w:tcBorders>
              <w:bottom w:val="single" w:sz="8" w:space="0" w:color="000000"/>
            </w:tcBorders>
            <w:shd w:val="clear" w:color="auto" w:fill="auto"/>
            <w:vAlign w:val="bottom"/>
          </w:tcPr>
          <w:p w14:paraId="5556CC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C8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2,434</w:t>
            </w:r>
          </w:p>
        </w:tc>
        <w:tc>
          <w:tcPr>
            <w:tcW w:w="0" w:type="auto"/>
            <w:tcBorders>
              <w:top w:val="single" w:sz="8" w:space="0" w:color="000000"/>
              <w:bottom w:val="single" w:sz="8" w:space="0" w:color="000000"/>
            </w:tcBorders>
            <w:shd w:val="clear" w:color="auto" w:fill="auto"/>
            <w:vAlign w:val="bottom"/>
          </w:tcPr>
          <w:p w14:paraId="5556CC8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CC8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1,148</w:t>
            </w:r>
          </w:p>
        </w:tc>
        <w:tc>
          <w:tcPr>
            <w:tcW w:w="0" w:type="auto"/>
            <w:tcBorders>
              <w:bottom w:val="single" w:sz="8" w:space="0" w:color="000000"/>
            </w:tcBorders>
            <w:shd w:val="clear" w:color="auto" w:fill="auto"/>
            <w:vAlign w:val="bottom"/>
          </w:tcPr>
          <w:p w14:paraId="5556CC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C8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1,152</w:t>
            </w:r>
          </w:p>
        </w:tc>
        <w:tc>
          <w:tcPr>
            <w:tcW w:w="0" w:type="auto"/>
            <w:tcBorders>
              <w:top w:val="single" w:sz="8" w:space="0" w:color="000000"/>
              <w:bottom w:val="single" w:sz="8" w:space="0" w:color="000000"/>
            </w:tcBorders>
            <w:shd w:val="clear" w:color="auto" w:fill="auto"/>
            <w:vAlign w:val="bottom"/>
          </w:tcPr>
          <w:p w14:paraId="5556CC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C8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24,994</w:t>
            </w:r>
          </w:p>
        </w:tc>
        <w:tc>
          <w:tcPr>
            <w:tcW w:w="0" w:type="auto"/>
            <w:tcBorders>
              <w:top w:val="single" w:sz="8" w:space="0" w:color="000000"/>
              <w:bottom w:val="single" w:sz="8" w:space="0" w:color="000000"/>
            </w:tcBorders>
            <w:shd w:val="clear" w:color="auto" w:fill="auto"/>
            <w:vAlign w:val="bottom"/>
          </w:tcPr>
          <w:p w14:paraId="5556CC8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C8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25,190</w:t>
            </w:r>
          </w:p>
        </w:tc>
        <w:tc>
          <w:tcPr>
            <w:tcW w:w="0" w:type="auto"/>
            <w:tcBorders>
              <w:top w:val="single" w:sz="8" w:space="0" w:color="000000"/>
              <w:bottom w:val="single" w:sz="8" w:space="0" w:color="000000"/>
            </w:tcBorders>
            <w:shd w:val="clear" w:color="auto" w:fill="auto"/>
            <w:vAlign w:val="bottom"/>
          </w:tcPr>
          <w:p w14:paraId="5556CC8F" w14:textId="77777777" w:rsidR="00F925DD" w:rsidRDefault="00F925DD">
            <w:pPr>
              <w:textAlignment w:val="bottom"/>
              <w:rPr>
                <w:rFonts w:ascii="Times New Roman" w:hAnsi="Times New Roman"/>
                <w:sz w:val="20"/>
                <w:szCs w:val="20"/>
              </w:rPr>
            </w:pPr>
          </w:p>
        </w:tc>
      </w:tr>
      <w:tr w:rsidR="00F925DD" w14:paraId="5556CCAF" w14:textId="77777777">
        <w:tc>
          <w:tcPr>
            <w:tcW w:w="0" w:type="auto"/>
            <w:shd w:val="clear" w:color="auto" w:fill="CCEEFF"/>
            <w:tcMar>
              <w:top w:w="40" w:type="dxa"/>
              <w:left w:w="40" w:type="dxa"/>
              <w:bottom w:w="40" w:type="dxa"/>
              <w:right w:w="40" w:type="dxa"/>
            </w:tcMar>
            <w:vAlign w:val="bottom"/>
          </w:tcPr>
          <w:p w14:paraId="5556CC91" w14:textId="77777777" w:rsidR="00F925DD" w:rsidRDefault="00E705D7">
            <w:pPr>
              <w:textAlignment w:val="bottom"/>
              <w:rPr>
                <w:rFonts w:ascii="Times New Roman" w:hAnsi="Times New Roman"/>
                <w:sz w:val="14"/>
                <w:szCs w:val="14"/>
              </w:rPr>
            </w:pPr>
            <w:r>
              <w:rPr>
                <w:rFonts w:ascii="Arial" w:eastAsia="宋体" w:hAnsi="Arial" w:cs="Arial"/>
                <w:sz w:val="14"/>
                <w:szCs w:val="14"/>
              </w:rPr>
              <w:t>State and political subdivisions</w:t>
            </w:r>
          </w:p>
        </w:tc>
        <w:tc>
          <w:tcPr>
            <w:tcW w:w="0" w:type="auto"/>
            <w:gridSpan w:val="2"/>
            <w:tcBorders>
              <w:top w:val="single" w:sz="8" w:space="0" w:color="000000"/>
            </w:tcBorders>
            <w:shd w:val="clear" w:color="auto" w:fill="CCEEFF"/>
            <w:tcMar>
              <w:top w:w="40" w:type="dxa"/>
              <w:left w:w="40" w:type="dxa"/>
              <w:bottom w:w="40" w:type="dxa"/>
            </w:tcMar>
            <w:vAlign w:val="bottom"/>
          </w:tcPr>
          <w:p w14:paraId="5556CC9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236</w:t>
            </w:r>
          </w:p>
        </w:tc>
        <w:tc>
          <w:tcPr>
            <w:tcW w:w="0" w:type="auto"/>
            <w:tcBorders>
              <w:top w:val="single" w:sz="8" w:space="0" w:color="000000"/>
            </w:tcBorders>
            <w:shd w:val="clear" w:color="auto" w:fill="CCEEFF"/>
            <w:vAlign w:val="bottom"/>
          </w:tcPr>
          <w:p w14:paraId="5556CC9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94"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CC9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238</w:t>
            </w:r>
          </w:p>
        </w:tc>
        <w:tc>
          <w:tcPr>
            <w:tcW w:w="0" w:type="auto"/>
            <w:tcBorders>
              <w:top w:val="single" w:sz="8" w:space="0" w:color="000000"/>
            </w:tcBorders>
            <w:shd w:val="clear" w:color="auto" w:fill="CCEEFF"/>
            <w:vAlign w:val="bottom"/>
          </w:tcPr>
          <w:p w14:paraId="5556CC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CC9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622</w:t>
            </w:r>
          </w:p>
        </w:tc>
        <w:tc>
          <w:tcPr>
            <w:tcW w:w="0" w:type="auto"/>
            <w:tcBorders>
              <w:top w:val="single" w:sz="8" w:space="0" w:color="000000"/>
            </w:tcBorders>
            <w:shd w:val="clear" w:color="auto" w:fill="CCEEFF"/>
            <w:vAlign w:val="bottom"/>
          </w:tcPr>
          <w:p w14:paraId="5556CC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CC9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635</w:t>
            </w:r>
          </w:p>
        </w:tc>
        <w:tc>
          <w:tcPr>
            <w:tcW w:w="0" w:type="auto"/>
            <w:tcBorders>
              <w:top w:val="single" w:sz="8" w:space="0" w:color="000000"/>
            </w:tcBorders>
            <w:shd w:val="clear" w:color="auto" w:fill="CCEEFF"/>
            <w:vAlign w:val="bottom"/>
          </w:tcPr>
          <w:p w14:paraId="5556CC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9D" w14:textId="77777777" w:rsidR="00F925DD" w:rsidRDefault="00F925DD">
            <w:pPr>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CC9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526</w:t>
            </w:r>
          </w:p>
        </w:tc>
        <w:tc>
          <w:tcPr>
            <w:tcW w:w="0" w:type="auto"/>
            <w:tcBorders>
              <w:top w:val="single" w:sz="8" w:space="0" w:color="000000"/>
            </w:tcBorders>
            <w:shd w:val="clear" w:color="auto" w:fill="CCEEFF"/>
            <w:vAlign w:val="bottom"/>
          </w:tcPr>
          <w:p w14:paraId="5556CC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CCA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554</w:t>
            </w:r>
          </w:p>
        </w:tc>
        <w:tc>
          <w:tcPr>
            <w:tcW w:w="0" w:type="auto"/>
            <w:tcBorders>
              <w:top w:val="single" w:sz="8" w:space="0" w:color="000000"/>
            </w:tcBorders>
            <w:shd w:val="clear" w:color="auto" w:fill="CCEEFF"/>
            <w:vAlign w:val="bottom"/>
          </w:tcPr>
          <w:p w14:paraId="5556CCA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A3"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CCA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341</w:t>
            </w:r>
          </w:p>
        </w:tc>
        <w:tc>
          <w:tcPr>
            <w:tcW w:w="0" w:type="auto"/>
            <w:tcBorders>
              <w:top w:val="single" w:sz="8" w:space="0" w:color="000000"/>
            </w:tcBorders>
            <w:shd w:val="clear" w:color="auto" w:fill="CCEEFF"/>
            <w:vAlign w:val="bottom"/>
          </w:tcPr>
          <w:p w14:paraId="5556CCA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CCA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356</w:t>
            </w:r>
          </w:p>
        </w:tc>
        <w:tc>
          <w:tcPr>
            <w:tcW w:w="0" w:type="auto"/>
            <w:tcBorders>
              <w:top w:val="single" w:sz="8" w:space="0" w:color="000000"/>
            </w:tcBorders>
            <w:shd w:val="clear" w:color="auto" w:fill="CCEEFF"/>
            <w:vAlign w:val="bottom"/>
          </w:tcPr>
          <w:p w14:paraId="5556CC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A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1,725</w:t>
            </w:r>
          </w:p>
        </w:tc>
        <w:tc>
          <w:tcPr>
            <w:tcW w:w="0" w:type="auto"/>
            <w:shd w:val="clear" w:color="auto" w:fill="CCEEFF"/>
            <w:vAlign w:val="bottom"/>
          </w:tcPr>
          <w:p w14:paraId="5556CC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A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1,783</w:t>
            </w:r>
          </w:p>
        </w:tc>
        <w:tc>
          <w:tcPr>
            <w:tcW w:w="0" w:type="auto"/>
            <w:shd w:val="clear" w:color="auto" w:fill="CCEEFF"/>
            <w:vAlign w:val="bottom"/>
          </w:tcPr>
          <w:p w14:paraId="5556CCAE" w14:textId="77777777" w:rsidR="00F925DD" w:rsidRDefault="00F925DD">
            <w:pPr>
              <w:textAlignment w:val="bottom"/>
              <w:rPr>
                <w:rFonts w:ascii="Times New Roman" w:hAnsi="Times New Roman"/>
                <w:sz w:val="20"/>
                <w:szCs w:val="20"/>
              </w:rPr>
            </w:pPr>
          </w:p>
        </w:tc>
      </w:tr>
      <w:tr w:rsidR="00F925DD" w14:paraId="5556CCCE" w14:textId="77777777">
        <w:tc>
          <w:tcPr>
            <w:tcW w:w="0" w:type="auto"/>
            <w:shd w:val="clear" w:color="auto" w:fill="auto"/>
            <w:tcMar>
              <w:top w:w="40" w:type="dxa"/>
              <w:left w:w="40" w:type="dxa"/>
              <w:bottom w:w="40" w:type="dxa"/>
              <w:right w:w="40" w:type="dxa"/>
            </w:tcMar>
            <w:vAlign w:val="bottom"/>
          </w:tcPr>
          <w:p w14:paraId="5556CCB0"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Collateralized mortgage obligations </w:t>
            </w:r>
          </w:p>
        </w:tc>
        <w:tc>
          <w:tcPr>
            <w:tcW w:w="0" w:type="auto"/>
            <w:gridSpan w:val="2"/>
            <w:shd w:val="clear" w:color="auto" w:fill="auto"/>
            <w:tcMar>
              <w:top w:w="40" w:type="dxa"/>
              <w:left w:w="40" w:type="dxa"/>
              <w:bottom w:w="40" w:type="dxa"/>
            </w:tcMar>
            <w:vAlign w:val="bottom"/>
          </w:tcPr>
          <w:p w14:paraId="5556CCB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C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B3"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CB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C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B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C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B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CB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BC" w14:textId="77777777" w:rsidR="00F925DD" w:rsidRDefault="00F925DD">
            <w:pPr>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CB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CB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C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CC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C2"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CC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104</w:t>
            </w:r>
          </w:p>
        </w:tc>
        <w:tc>
          <w:tcPr>
            <w:tcW w:w="0" w:type="auto"/>
            <w:shd w:val="clear" w:color="auto" w:fill="auto"/>
            <w:vAlign w:val="bottom"/>
          </w:tcPr>
          <w:p w14:paraId="5556CCC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C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104</w:t>
            </w:r>
          </w:p>
        </w:tc>
        <w:tc>
          <w:tcPr>
            <w:tcW w:w="0" w:type="auto"/>
            <w:shd w:val="clear" w:color="auto" w:fill="auto"/>
            <w:vAlign w:val="bottom"/>
          </w:tcPr>
          <w:p w14:paraId="5556CCC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C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104</w:t>
            </w:r>
          </w:p>
        </w:tc>
        <w:tc>
          <w:tcPr>
            <w:tcW w:w="0" w:type="auto"/>
            <w:shd w:val="clear" w:color="auto" w:fill="auto"/>
            <w:vAlign w:val="bottom"/>
          </w:tcPr>
          <w:p w14:paraId="5556CCC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CC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104</w:t>
            </w:r>
          </w:p>
        </w:tc>
        <w:tc>
          <w:tcPr>
            <w:tcW w:w="0" w:type="auto"/>
            <w:shd w:val="clear" w:color="auto" w:fill="auto"/>
            <w:vAlign w:val="bottom"/>
          </w:tcPr>
          <w:p w14:paraId="5556CCCD" w14:textId="77777777" w:rsidR="00F925DD" w:rsidRDefault="00F925DD">
            <w:pPr>
              <w:textAlignment w:val="bottom"/>
              <w:rPr>
                <w:rFonts w:ascii="Times New Roman" w:hAnsi="Times New Roman"/>
                <w:sz w:val="20"/>
                <w:szCs w:val="20"/>
              </w:rPr>
            </w:pPr>
          </w:p>
        </w:tc>
      </w:tr>
      <w:tr w:rsidR="00F925DD" w14:paraId="5556CCED" w14:textId="77777777">
        <w:tc>
          <w:tcPr>
            <w:tcW w:w="0" w:type="auto"/>
            <w:shd w:val="clear" w:color="auto" w:fill="CCEEFF"/>
            <w:tcMar>
              <w:top w:w="40" w:type="dxa"/>
              <w:left w:w="40" w:type="dxa"/>
              <w:bottom w:w="40" w:type="dxa"/>
              <w:right w:w="40" w:type="dxa"/>
            </w:tcMar>
            <w:vAlign w:val="bottom"/>
          </w:tcPr>
          <w:p w14:paraId="5556CCCF"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U.S. debt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CD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759</w:t>
            </w:r>
          </w:p>
        </w:tc>
        <w:tc>
          <w:tcPr>
            <w:tcW w:w="0" w:type="auto"/>
            <w:tcBorders>
              <w:bottom w:val="single" w:sz="8" w:space="0" w:color="000000"/>
            </w:tcBorders>
            <w:shd w:val="clear" w:color="auto" w:fill="CCEEFF"/>
            <w:vAlign w:val="bottom"/>
          </w:tcPr>
          <w:p w14:paraId="5556CCD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D2"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CD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760</w:t>
            </w:r>
          </w:p>
        </w:tc>
        <w:tc>
          <w:tcPr>
            <w:tcW w:w="0" w:type="auto"/>
            <w:tcBorders>
              <w:bottom w:val="single" w:sz="8" w:space="0" w:color="000000"/>
            </w:tcBorders>
            <w:shd w:val="clear" w:color="auto" w:fill="CCEEFF"/>
            <w:vAlign w:val="bottom"/>
          </w:tcPr>
          <w:p w14:paraId="5556CC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CD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2,056</w:t>
            </w:r>
          </w:p>
        </w:tc>
        <w:tc>
          <w:tcPr>
            <w:tcW w:w="0" w:type="auto"/>
            <w:tcBorders>
              <w:bottom w:val="single" w:sz="8" w:space="0" w:color="000000"/>
            </w:tcBorders>
            <w:shd w:val="clear" w:color="auto" w:fill="CCEEFF"/>
            <w:vAlign w:val="bottom"/>
          </w:tcPr>
          <w:p w14:paraId="5556CCD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CD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2,083</w:t>
            </w:r>
          </w:p>
        </w:tc>
        <w:tc>
          <w:tcPr>
            <w:tcW w:w="0" w:type="auto"/>
            <w:tcBorders>
              <w:bottom w:val="single" w:sz="8" w:space="0" w:color="000000"/>
            </w:tcBorders>
            <w:shd w:val="clear" w:color="auto" w:fill="CCEEFF"/>
            <w:vAlign w:val="bottom"/>
          </w:tcPr>
          <w:p w14:paraId="5556CCD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DB" w14:textId="77777777" w:rsidR="00F925DD" w:rsidRDefault="00F925DD">
            <w:pPr>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CD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126</w:t>
            </w:r>
          </w:p>
        </w:tc>
        <w:tc>
          <w:tcPr>
            <w:tcW w:w="0" w:type="auto"/>
            <w:tcBorders>
              <w:bottom w:val="single" w:sz="8" w:space="0" w:color="000000"/>
            </w:tcBorders>
            <w:shd w:val="clear" w:color="auto" w:fill="CCEEFF"/>
            <w:vAlign w:val="bottom"/>
          </w:tcPr>
          <w:p w14:paraId="5556CCD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CD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130</w:t>
            </w:r>
          </w:p>
        </w:tc>
        <w:tc>
          <w:tcPr>
            <w:tcW w:w="0" w:type="auto"/>
            <w:tcBorders>
              <w:bottom w:val="single" w:sz="8" w:space="0" w:color="000000"/>
            </w:tcBorders>
            <w:shd w:val="clear" w:color="auto" w:fill="CCEEFF"/>
            <w:vAlign w:val="bottom"/>
          </w:tcPr>
          <w:p w14:paraId="5556CCE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E1"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CE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CCE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CE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CCE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E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2,941</w:t>
            </w:r>
          </w:p>
        </w:tc>
        <w:tc>
          <w:tcPr>
            <w:tcW w:w="0" w:type="auto"/>
            <w:shd w:val="clear" w:color="auto" w:fill="CCEEFF"/>
            <w:vAlign w:val="bottom"/>
          </w:tcPr>
          <w:p w14:paraId="5556CCE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C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CE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2,973</w:t>
            </w:r>
          </w:p>
        </w:tc>
        <w:tc>
          <w:tcPr>
            <w:tcW w:w="0" w:type="auto"/>
            <w:shd w:val="clear" w:color="auto" w:fill="CCEEFF"/>
            <w:vAlign w:val="bottom"/>
          </w:tcPr>
          <w:p w14:paraId="5556CCEC" w14:textId="77777777" w:rsidR="00F925DD" w:rsidRDefault="00F925DD">
            <w:pPr>
              <w:textAlignment w:val="bottom"/>
              <w:rPr>
                <w:rFonts w:ascii="Times New Roman" w:hAnsi="Times New Roman"/>
                <w:sz w:val="20"/>
                <w:szCs w:val="20"/>
              </w:rPr>
            </w:pPr>
          </w:p>
        </w:tc>
      </w:tr>
      <w:tr w:rsidR="00F925DD" w14:paraId="5556CD16" w14:textId="77777777">
        <w:tc>
          <w:tcPr>
            <w:tcW w:w="0" w:type="auto"/>
            <w:shd w:val="clear" w:color="auto" w:fill="auto"/>
            <w:tcMar>
              <w:top w:w="40" w:type="dxa"/>
              <w:left w:w="40" w:type="dxa"/>
              <w:bottom w:w="40" w:type="dxa"/>
              <w:right w:w="40" w:type="dxa"/>
            </w:tcMar>
            <w:vAlign w:val="bottom"/>
          </w:tcPr>
          <w:p w14:paraId="5556CCEE"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bottom w:val="double" w:sz="6" w:space="0" w:color="000000"/>
            </w:tcBorders>
            <w:shd w:val="clear" w:color="auto" w:fill="auto"/>
            <w:tcMar>
              <w:top w:w="40" w:type="dxa"/>
              <w:left w:w="40" w:type="dxa"/>
              <w:bottom w:w="40" w:type="dxa"/>
            </w:tcMar>
            <w:vAlign w:val="bottom"/>
          </w:tcPr>
          <w:p w14:paraId="5556CCE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6CCF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8,216</w:t>
            </w:r>
          </w:p>
        </w:tc>
        <w:tc>
          <w:tcPr>
            <w:tcW w:w="0" w:type="auto"/>
            <w:tcBorders>
              <w:bottom w:val="double" w:sz="6" w:space="0" w:color="000000"/>
            </w:tcBorders>
            <w:shd w:val="clear" w:color="auto" w:fill="auto"/>
            <w:vAlign w:val="bottom"/>
          </w:tcPr>
          <w:p w14:paraId="5556CC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CF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CF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8,230</w:t>
            </w:r>
          </w:p>
        </w:tc>
        <w:tc>
          <w:tcPr>
            <w:tcW w:w="0" w:type="auto"/>
            <w:tcBorders>
              <w:top w:val="single" w:sz="8" w:space="0" w:color="000000"/>
              <w:bottom w:val="double" w:sz="6" w:space="0" w:color="000000"/>
            </w:tcBorders>
            <w:shd w:val="clear" w:color="auto" w:fill="auto"/>
            <w:vAlign w:val="bottom"/>
          </w:tcPr>
          <w:p w14:paraId="5556CCF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CCF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6CCF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21,041</w:t>
            </w:r>
          </w:p>
        </w:tc>
        <w:tc>
          <w:tcPr>
            <w:tcW w:w="0" w:type="auto"/>
            <w:tcBorders>
              <w:bottom w:val="double" w:sz="6" w:space="0" w:color="000000"/>
            </w:tcBorders>
            <w:shd w:val="clear" w:color="auto" w:fill="auto"/>
            <w:vAlign w:val="bottom"/>
          </w:tcPr>
          <w:p w14:paraId="5556CCF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CF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CF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21,247</w:t>
            </w:r>
          </w:p>
        </w:tc>
        <w:tc>
          <w:tcPr>
            <w:tcW w:w="0" w:type="auto"/>
            <w:tcBorders>
              <w:top w:val="single" w:sz="8" w:space="0" w:color="000000"/>
              <w:bottom w:val="double" w:sz="6" w:space="0" w:color="000000"/>
            </w:tcBorders>
            <w:shd w:val="clear" w:color="auto" w:fill="auto"/>
            <w:vAlign w:val="bottom"/>
          </w:tcPr>
          <w:p w14:paraId="5556CC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C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CCF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6CD0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8,609</w:t>
            </w:r>
          </w:p>
        </w:tc>
        <w:tc>
          <w:tcPr>
            <w:tcW w:w="0" w:type="auto"/>
            <w:tcBorders>
              <w:bottom w:val="double" w:sz="6" w:space="0" w:color="000000"/>
            </w:tcBorders>
            <w:shd w:val="clear" w:color="auto" w:fill="auto"/>
            <w:vAlign w:val="bottom"/>
          </w:tcPr>
          <w:p w14:paraId="5556CD0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D0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D0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8,631</w:t>
            </w:r>
          </w:p>
        </w:tc>
        <w:tc>
          <w:tcPr>
            <w:tcW w:w="0" w:type="auto"/>
            <w:tcBorders>
              <w:top w:val="single" w:sz="8" w:space="0" w:color="000000"/>
              <w:bottom w:val="double" w:sz="6" w:space="0" w:color="000000"/>
            </w:tcBorders>
            <w:shd w:val="clear" w:color="auto" w:fill="auto"/>
            <w:vAlign w:val="bottom"/>
          </w:tcPr>
          <w:p w14:paraId="5556CD0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CD0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6CD0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15,448</w:t>
            </w:r>
          </w:p>
        </w:tc>
        <w:tc>
          <w:tcPr>
            <w:tcW w:w="0" w:type="auto"/>
            <w:tcBorders>
              <w:bottom w:val="double" w:sz="6" w:space="0" w:color="000000"/>
            </w:tcBorders>
            <w:shd w:val="clear" w:color="auto" w:fill="auto"/>
            <w:vAlign w:val="bottom"/>
          </w:tcPr>
          <w:p w14:paraId="5556CD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D0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D0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15,707</w:t>
            </w:r>
          </w:p>
        </w:tc>
        <w:tc>
          <w:tcPr>
            <w:tcW w:w="0" w:type="auto"/>
            <w:tcBorders>
              <w:top w:val="single" w:sz="8" w:space="0" w:color="000000"/>
              <w:bottom w:val="double" w:sz="6" w:space="0" w:color="000000"/>
            </w:tcBorders>
            <w:shd w:val="clear" w:color="auto" w:fill="auto"/>
            <w:vAlign w:val="bottom"/>
          </w:tcPr>
          <w:p w14:paraId="5556CD0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D0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D1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53,314</w:t>
            </w:r>
          </w:p>
        </w:tc>
        <w:tc>
          <w:tcPr>
            <w:tcW w:w="0" w:type="auto"/>
            <w:tcBorders>
              <w:top w:val="single" w:sz="8" w:space="0" w:color="000000"/>
              <w:bottom w:val="double" w:sz="6" w:space="0" w:color="000000"/>
            </w:tcBorders>
            <w:shd w:val="clear" w:color="auto" w:fill="auto"/>
            <w:vAlign w:val="bottom"/>
          </w:tcPr>
          <w:p w14:paraId="5556CD1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D1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D1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53,815</w:t>
            </w:r>
          </w:p>
        </w:tc>
        <w:tc>
          <w:tcPr>
            <w:tcW w:w="0" w:type="auto"/>
            <w:tcBorders>
              <w:top w:val="single" w:sz="8" w:space="0" w:color="000000"/>
              <w:bottom w:val="double" w:sz="6" w:space="0" w:color="000000"/>
            </w:tcBorders>
            <w:shd w:val="clear" w:color="auto" w:fill="auto"/>
            <w:vAlign w:val="bottom"/>
          </w:tcPr>
          <w:p w14:paraId="5556CD15" w14:textId="77777777" w:rsidR="00F925DD" w:rsidRDefault="00F925DD">
            <w:pPr>
              <w:textAlignment w:val="bottom"/>
              <w:rPr>
                <w:rFonts w:ascii="Times New Roman" w:hAnsi="Times New Roman"/>
                <w:sz w:val="20"/>
                <w:szCs w:val="20"/>
              </w:rPr>
            </w:pPr>
          </w:p>
        </w:tc>
      </w:tr>
      <w:tr w:rsidR="00F925DD" w14:paraId="5556CD2B" w14:textId="77777777">
        <w:tc>
          <w:tcPr>
            <w:tcW w:w="0" w:type="auto"/>
            <w:shd w:val="clear" w:color="auto" w:fill="auto"/>
            <w:tcMar>
              <w:top w:w="40" w:type="dxa"/>
              <w:left w:w="40" w:type="dxa"/>
              <w:bottom w:w="40" w:type="dxa"/>
              <w:right w:w="40" w:type="dxa"/>
            </w:tcMar>
            <w:vAlign w:val="bottom"/>
          </w:tcPr>
          <w:p w14:paraId="5556CD1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Held-to-maturity:</w:t>
            </w:r>
          </w:p>
        </w:tc>
        <w:tc>
          <w:tcPr>
            <w:tcW w:w="0" w:type="auto"/>
            <w:gridSpan w:val="3"/>
            <w:shd w:val="clear" w:color="auto" w:fill="auto"/>
            <w:tcMar>
              <w:top w:w="40" w:type="dxa"/>
              <w:left w:w="40" w:type="dxa"/>
              <w:bottom w:w="40" w:type="dxa"/>
              <w:right w:w="40" w:type="dxa"/>
            </w:tcMar>
            <w:vAlign w:val="bottom"/>
          </w:tcPr>
          <w:p w14:paraId="5556CD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D40" w14:textId="77777777">
        <w:tc>
          <w:tcPr>
            <w:tcW w:w="0" w:type="auto"/>
            <w:shd w:val="clear" w:color="auto" w:fill="auto"/>
            <w:tcMar>
              <w:top w:w="40" w:type="dxa"/>
              <w:left w:w="40" w:type="dxa"/>
              <w:bottom w:w="40" w:type="dxa"/>
              <w:right w:w="40" w:type="dxa"/>
            </w:tcMar>
            <w:vAlign w:val="bottom"/>
          </w:tcPr>
          <w:p w14:paraId="5556CD2C" w14:textId="77777777" w:rsidR="00F925DD" w:rsidRDefault="00E705D7">
            <w:pPr>
              <w:textAlignment w:val="bottom"/>
              <w:rPr>
                <w:rFonts w:ascii="Times New Roman" w:hAnsi="Times New Roman"/>
                <w:sz w:val="14"/>
                <w:szCs w:val="14"/>
              </w:rPr>
            </w:pPr>
            <w:r>
              <w:rPr>
                <w:rFonts w:ascii="Arial" w:eastAsia="宋体" w:hAnsi="Arial" w:cs="Arial"/>
                <w:sz w:val="14"/>
                <w:szCs w:val="14"/>
              </w:rPr>
              <w:t>U.S. Treasury and federal agencies:</w:t>
            </w:r>
          </w:p>
        </w:tc>
        <w:tc>
          <w:tcPr>
            <w:tcW w:w="0" w:type="auto"/>
            <w:gridSpan w:val="3"/>
            <w:shd w:val="clear" w:color="auto" w:fill="auto"/>
            <w:tcMar>
              <w:top w:w="40" w:type="dxa"/>
              <w:left w:w="40" w:type="dxa"/>
              <w:bottom w:w="40" w:type="dxa"/>
              <w:right w:w="40" w:type="dxa"/>
            </w:tcMar>
            <w:vAlign w:val="bottom"/>
          </w:tcPr>
          <w:p w14:paraId="5556CD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CD69" w14:textId="77777777">
        <w:tc>
          <w:tcPr>
            <w:tcW w:w="0" w:type="auto"/>
            <w:shd w:val="clear" w:color="auto" w:fill="CCEEFF"/>
            <w:tcMar>
              <w:top w:w="40" w:type="dxa"/>
              <w:left w:w="400" w:type="dxa"/>
              <w:bottom w:w="40" w:type="dxa"/>
              <w:right w:w="40" w:type="dxa"/>
            </w:tcMar>
            <w:vAlign w:val="bottom"/>
          </w:tcPr>
          <w:p w14:paraId="5556CD41" w14:textId="77777777" w:rsidR="00F925DD" w:rsidRDefault="00E705D7">
            <w:pPr>
              <w:textAlignment w:val="bottom"/>
              <w:rPr>
                <w:rFonts w:ascii="Times New Roman" w:hAnsi="Times New Roman"/>
                <w:sz w:val="14"/>
                <w:szCs w:val="14"/>
              </w:rPr>
            </w:pPr>
            <w:r>
              <w:rPr>
                <w:rFonts w:ascii="Arial" w:eastAsia="宋体" w:hAnsi="Arial" w:cs="Arial"/>
                <w:sz w:val="14"/>
                <w:szCs w:val="14"/>
              </w:rPr>
              <w:t>Direct obligations</w:t>
            </w:r>
          </w:p>
        </w:tc>
        <w:tc>
          <w:tcPr>
            <w:tcW w:w="0" w:type="auto"/>
            <w:shd w:val="clear" w:color="auto" w:fill="CCEEFF"/>
            <w:tcMar>
              <w:top w:w="40" w:type="dxa"/>
              <w:left w:w="40" w:type="dxa"/>
              <w:bottom w:w="40" w:type="dxa"/>
            </w:tcMar>
            <w:vAlign w:val="bottom"/>
          </w:tcPr>
          <w:p w14:paraId="5556CD4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D4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4,116</w:t>
            </w:r>
          </w:p>
        </w:tc>
        <w:tc>
          <w:tcPr>
            <w:tcW w:w="0" w:type="auto"/>
            <w:shd w:val="clear" w:color="auto" w:fill="CCEEFF"/>
            <w:vAlign w:val="bottom"/>
          </w:tcPr>
          <w:p w14:paraId="5556CD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45" w14:textId="77777777" w:rsidR="00F925DD" w:rsidRDefault="00F925DD">
            <w:pPr>
              <w:textAlignment w:val="bottom"/>
              <w:rPr>
                <w:rFonts w:ascii="Times New Roman" w:hAnsi="Times New Roman"/>
                <w:sz w:val="14"/>
                <w:szCs w:val="14"/>
              </w:rPr>
            </w:pPr>
          </w:p>
        </w:tc>
        <w:tc>
          <w:tcPr>
            <w:tcW w:w="0" w:type="auto"/>
            <w:shd w:val="clear" w:color="auto" w:fill="CCEEFF"/>
            <w:tcMar>
              <w:top w:w="40" w:type="dxa"/>
              <w:left w:w="40" w:type="dxa"/>
              <w:bottom w:w="40" w:type="dxa"/>
            </w:tcMar>
            <w:vAlign w:val="bottom"/>
          </w:tcPr>
          <w:p w14:paraId="5556CD4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D4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4,114</w:t>
            </w:r>
          </w:p>
        </w:tc>
        <w:tc>
          <w:tcPr>
            <w:tcW w:w="0" w:type="auto"/>
            <w:shd w:val="clear" w:color="auto" w:fill="CCEEFF"/>
            <w:vAlign w:val="bottom"/>
          </w:tcPr>
          <w:p w14:paraId="5556CD4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D4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D4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6,161</w:t>
            </w:r>
          </w:p>
        </w:tc>
        <w:tc>
          <w:tcPr>
            <w:tcW w:w="0" w:type="auto"/>
            <w:shd w:val="clear" w:color="auto" w:fill="CCEEFF"/>
            <w:vAlign w:val="bottom"/>
          </w:tcPr>
          <w:p w14:paraId="5556CD4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D4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D4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6,185</w:t>
            </w:r>
          </w:p>
        </w:tc>
        <w:tc>
          <w:tcPr>
            <w:tcW w:w="0" w:type="auto"/>
            <w:shd w:val="clear" w:color="auto" w:fill="CCEEFF"/>
            <w:vAlign w:val="bottom"/>
          </w:tcPr>
          <w:p w14:paraId="5556CD5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51" w14:textId="77777777" w:rsidR="00F925DD" w:rsidRDefault="00F925DD">
            <w:pPr>
              <w:textAlignment w:val="bottom"/>
              <w:rPr>
                <w:rFonts w:ascii="Times New Roman" w:hAnsi="Times New Roman"/>
                <w:sz w:val="14"/>
                <w:szCs w:val="14"/>
              </w:rPr>
            </w:pPr>
          </w:p>
        </w:tc>
        <w:tc>
          <w:tcPr>
            <w:tcW w:w="0" w:type="auto"/>
            <w:shd w:val="clear" w:color="auto" w:fill="CCEEFF"/>
            <w:tcMar>
              <w:top w:w="40" w:type="dxa"/>
              <w:left w:w="40" w:type="dxa"/>
              <w:bottom w:w="40" w:type="dxa"/>
            </w:tcMar>
            <w:vAlign w:val="bottom"/>
          </w:tcPr>
          <w:p w14:paraId="5556CD5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D5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shd w:val="clear" w:color="auto" w:fill="CCEEFF"/>
            <w:vAlign w:val="bottom"/>
          </w:tcPr>
          <w:p w14:paraId="5556CD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D5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D5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shd w:val="clear" w:color="auto" w:fill="CCEEFF"/>
            <w:vAlign w:val="bottom"/>
          </w:tcPr>
          <w:p w14:paraId="5556CD5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59" w14:textId="77777777" w:rsidR="00F925DD" w:rsidRDefault="00F925DD">
            <w:pPr>
              <w:jc w:val="right"/>
              <w:textAlignment w:val="bottom"/>
              <w:rPr>
                <w:rFonts w:ascii="Times New Roman" w:hAnsi="Times New Roman"/>
                <w:sz w:val="14"/>
                <w:szCs w:val="14"/>
              </w:rPr>
            </w:pPr>
          </w:p>
        </w:tc>
        <w:tc>
          <w:tcPr>
            <w:tcW w:w="0" w:type="auto"/>
            <w:shd w:val="clear" w:color="auto" w:fill="CCEEFF"/>
            <w:tcMar>
              <w:top w:w="40" w:type="dxa"/>
              <w:left w:w="40" w:type="dxa"/>
              <w:bottom w:w="40" w:type="dxa"/>
            </w:tcMar>
            <w:vAlign w:val="bottom"/>
          </w:tcPr>
          <w:p w14:paraId="5556CD5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D5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w:t>
            </w:r>
          </w:p>
        </w:tc>
        <w:tc>
          <w:tcPr>
            <w:tcW w:w="0" w:type="auto"/>
            <w:shd w:val="clear" w:color="auto" w:fill="CCEEFF"/>
            <w:vAlign w:val="bottom"/>
          </w:tcPr>
          <w:p w14:paraId="5556CD5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D5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D5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w:t>
            </w:r>
          </w:p>
        </w:tc>
        <w:tc>
          <w:tcPr>
            <w:tcW w:w="0" w:type="auto"/>
            <w:shd w:val="clear" w:color="auto" w:fill="CCEEFF"/>
            <w:vAlign w:val="bottom"/>
          </w:tcPr>
          <w:p w14:paraId="5556CD6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D6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D6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10,311</w:t>
            </w:r>
          </w:p>
        </w:tc>
        <w:tc>
          <w:tcPr>
            <w:tcW w:w="0" w:type="auto"/>
            <w:shd w:val="clear" w:color="auto" w:fill="CCEEFF"/>
            <w:vAlign w:val="bottom"/>
          </w:tcPr>
          <w:p w14:paraId="5556CD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D6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CD6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10,333</w:t>
            </w:r>
          </w:p>
        </w:tc>
        <w:tc>
          <w:tcPr>
            <w:tcW w:w="0" w:type="auto"/>
            <w:shd w:val="clear" w:color="auto" w:fill="CCEEFF"/>
            <w:vAlign w:val="bottom"/>
          </w:tcPr>
          <w:p w14:paraId="5556CD68" w14:textId="77777777" w:rsidR="00F925DD" w:rsidRDefault="00F925DD">
            <w:pPr>
              <w:textAlignment w:val="bottom"/>
              <w:rPr>
                <w:rFonts w:ascii="Times New Roman" w:hAnsi="Times New Roman"/>
                <w:sz w:val="20"/>
                <w:szCs w:val="20"/>
              </w:rPr>
            </w:pPr>
          </w:p>
        </w:tc>
      </w:tr>
      <w:tr w:rsidR="00F925DD" w14:paraId="5556CD88" w14:textId="77777777">
        <w:tc>
          <w:tcPr>
            <w:tcW w:w="0" w:type="auto"/>
            <w:shd w:val="clear" w:color="auto" w:fill="auto"/>
            <w:tcMar>
              <w:top w:w="40" w:type="dxa"/>
              <w:left w:w="400" w:type="dxa"/>
              <w:bottom w:w="40" w:type="dxa"/>
              <w:right w:w="40" w:type="dxa"/>
            </w:tcMar>
            <w:vAlign w:val="bottom"/>
          </w:tcPr>
          <w:p w14:paraId="5556CD6A" w14:textId="77777777" w:rsidR="00F925DD" w:rsidRDefault="00E705D7">
            <w:pPr>
              <w:textAlignment w:val="bottom"/>
              <w:rPr>
                <w:rFonts w:ascii="Times New Roman" w:hAnsi="Times New Roman"/>
                <w:sz w:val="14"/>
                <w:szCs w:val="14"/>
              </w:rPr>
            </w:pPr>
            <w:r>
              <w:rPr>
                <w:rFonts w:ascii="Arial" w:eastAsia="宋体" w:hAnsi="Arial" w:cs="Arial"/>
                <w:sz w:val="14"/>
                <w:szCs w:val="14"/>
              </w:rPr>
              <w:t>Mortgage-backed se</w:t>
            </w:r>
            <w:r>
              <w:rPr>
                <w:rFonts w:ascii="Arial" w:eastAsia="宋体" w:hAnsi="Arial" w:cs="Arial"/>
                <w:sz w:val="14"/>
                <w:szCs w:val="14"/>
              </w:rPr>
              <w:t>curities</w:t>
            </w:r>
          </w:p>
        </w:tc>
        <w:tc>
          <w:tcPr>
            <w:tcW w:w="0" w:type="auto"/>
            <w:gridSpan w:val="2"/>
            <w:shd w:val="clear" w:color="auto" w:fill="auto"/>
            <w:tcMar>
              <w:top w:w="40" w:type="dxa"/>
              <w:left w:w="40" w:type="dxa"/>
              <w:bottom w:w="40" w:type="dxa"/>
            </w:tcMar>
            <w:vAlign w:val="bottom"/>
          </w:tcPr>
          <w:p w14:paraId="5556CD6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shd w:val="clear" w:color="auto" w:fill="auto"/>
            <w:vAlign w:val="bottom"/>
          </w:tcPr>
          <w:p w14:paraId="5556CD6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6D" w14:textId="77777777" w:rsidR="00F925DD" w:rsidRDefault="00F925DD">
            <w:pPr>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D6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shd w:val="clear" w:color="auto" w:fill="auto"/>
            <w:vAlign w:val="bottom"/>
          </w:tcPr>
          <w:p w14:paraId="5556CD6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D7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438</w:t>
            </w:r>
          </w:p>
        </w:tc>
        <w:tc>
          <w:tcPr>
            <w:tcW w:w="0" w:type="auto"/>
            <w:shd w:val="clear" w:color="auto" w:fill="auto"/>
            <w:vAlign w:val="bottom"/>
          </w:tcPr>
          <w:p w14:paraId="5556CD7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D7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439</w:t>
            </w:r>
          </w:p>
        </w:tc>
        <w:tc>
          <w:tcPr>
            <w:tcW w:w="0" w:type="auto"/>
            <w:shd w:val="clear" w:color="auto" w:fill="auto"/>
            <w:vAlign w:val="bottom"/>
          </w:tcPr>
          <w:p w14:paraId="5556CD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76" w14:textId="77777777" w:rsidR="00F925DD" w:rsidRDefault="00F925DD">
            <w:pPr>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D7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2,515</w:t>
            </w:r>
          </w:p>
        </w:tc>
        <w:tc>
          <w:tcPr>
            <w:tcW w:w="0" w:type="auto"/>
            <w:shd w:val="clear" w:color="auto" w:fill="auto"/>
            <w:vAlign w:val="bottom"/>
          </w:tcPr>
          <w:p w14:paraId="5556CD7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D7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2,539</w:t>
            </w:r>
          </w:p>
        </w:tc>
        <w:tc>
          <w:tcPr>
            <w:tcW w:w="0" w:type="auto"/>
            <w:shd w:val="clear" w:color="auto" w:fill="auto"/>
            <w:vAlign w:val="bottom"/>
          </w:tcPr>
          <w:p w14:paraId="5556CD7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7C"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D7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23,335</w:t>
            </w:r>
          </w:p>
        </w:tc>
        <w:tc>
          <w:tcPr>
            <w:tcW w:w="0" w:type="auto"/>
            <w:shd w:val="clear" w:color="auto" w:fill="auto"/>
            <w:vAlign w:val="bottom"/>
          </w:tcPr>
          <w:p w14:paraId="5556CD7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D8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23,581</w:t>
            </w:r>
          </w:p>
        </w:tc>
        <w:tc>
          <w:tcPr>
            <w:tcW w:w="0" w:type="auto"/>
            <w:shd w:val="clear" w:color="auto" w:fill="auto"/>
            <w:vAlign w:val="bottom"/>
          </w:tcPr>
          <w:p w14:paraId="5556CD8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D8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26,297</w:t>
            </w:r>
          </w:p>
        </w:tc>
        <w:tc>
          <w:tcPr>
            <w:tcW w:w="0" w:type="auto"/>
            <w:shd w:val="clear" w:color="auto" w:fill="auto"/>
            <w:vAlign w:val="bottom"/>
          </w:tcPr>
          <w:p w14:paraId="5556CD8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D8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26,568</w:t>
            </w:r>
          </w:p>
        </w:tc>
        <w:tc>
          <w:tcPr>
            <w:tcW w:w="0" w:type="auto"/>
            <w:shd w:val="clear" w:color="auto" w:fill="auto"/>
            <w:vAlign w:val="bottom"/>
          </w:tcPr>
          <w:p w14:paraId="5556CD87" w14:textId="77777777" w:rsidR="00F925DD" w:rsidRDefault="00F925DD">
            <w:pPr>
              <w:textAlignment w:val="bottom"/>
              <w:rPr>
                <w:rFonts w:ascii="Times New Roman" w:hAnsi="Times New Roman"/>
                <w:sz w:val="20"/>
                <w:szCs w:val="20"/>
              </w:rPr>
            </w:pPr>
          </w:p>
        </w:tc>
      </w:tr>
      <w:tr w:rsidR="00F925DD" w14:paraId="5556CDA7" w14:textId="77777777">
        <w:tc>
          <w:tcPr>
            <w:tcW w:w="0" w:type="auto"/>
            <w:shd w:val="clear" w:color="auto" w:fill="CCEEFF"/>
            <w:tcMar>
              <w:top w:w="40" w:type="dxa"/>
              <w:left w:w="720" w:type="dxa"/>
              <w:bottom w:w="40" w:type="dxa"/>
              <w:right w:w="40" w:type="dxa"/>
            </w:tcMar>
            <w:vAlign w:val="bottom"/>
          </w:tcPr>
          <w:p w14:paraId="5556CD89"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U.S. Treasury and federal agencies</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D8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4,125</w:t>
            </w:r>
          </w:p>
        </w:tc>
        <w:tc>
          <w:tcPr>
            <w:tcW w:w="0" w:type="auto"/>
            <w:tcBorders>
              <w:top w:val="single" w:sz="8" w:space="0" w:color="000000"/>
              <w:bottom w:val="single" w:sz="8" w:space="0" w:color="000000"/>
            </w:tcBorders>
            <w:shd w:val="clear" w:color="auto" w:fill="CCEEFF"/>
            <w:vAlign w:val="bottom"/>
          </w:tcPr>
          <w:p w14:paraId="5556CD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8C"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D8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4,123</w:t>
            </w:r>
          </w:p>
        </w:tc>
        <w:tc>
          <w:tcPr>
            <w:tcW w:w="0" w:type="auto"/>
            <w:tcBorders>
              <w:top w:val="single" w:sz="8" w:space="0" w:color="000000"/>
              <w:bottom w:val="single" w:sz="8" w:space="0" w:color="000000"/>
            </w:tcBorders>
            <w:shd w:val="clear" w:color="auto" w:fill="CCEEFF"/>
            <w:vAlign w:val="bottom"/>
          </w:tcPr>
          <w:p w14:paraId="5556CD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8F"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D9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6,599</w:t>
            </w:r>
          </w:p>
        </w:tc>
        <w:tc>
          <w:tcPr>
            <w:tcW w:w="0" w:type="auto"/>
            <w:tcBorders>
              <w:top w:val="single" w:sz="8" w:space="0" w:color="000000"/>
              <w:bottom w:val="single" w:sz="8" w:space="0" w:color="000000"/>
            </w:tcBorders>
            <w:shd w:val="clear" w:color="auto" w:fill="CCEEFF"/>
            <w:vAlign w:val="bottom"/>
          </w:tcPr>
          <w:p w14:paraId="5556CD9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92"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D9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6,624</w:t>
            </w:r>
          </w:p>
        </w:tc>
        <w:tc>
          <w:tcPr>
            <w:tcW w:w="0" w:type="auto"/>
            <w:tcBorders>
              <w:top w:val="single" w:sz="8" w:space="0" w:color="000000"/>
              <w:bottom w:val="single" w:sz="8" w:space="0" w:color="000000"/>
            </w:tcBorders>
            <w:shd w:val="clear" w:color="auto" w:fill="CCEEFF"/>
            <w:vAlign w:val="bottom"/>
          </w:tcPr>
          <w:p w14:paraId="5556CD9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95"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D9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2,520</w:t>
            </w:r>
          </w:p>
        </w:tc>
        <w:tc>
          <w:tcPr>
            <w:tcW w:w="0" w:type="auto"/>
            <w:tcBorders>
              <w:top w:val="single" w:sz="8" w:space="0" w:color="000000"/>
              <w:bottom w:val="single" w:sz="8" w:space="0" w:color="000000"/>
            </w:tcBorders>
            <w:shd w:val="clear" w:color="auto" w:fill="CCEEFF"/>
            <w:vAlign w:val="bottom"/>
          </w:tcPr>
          <w:p w14:paraId="5556CD9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98"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D9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2,544</w:t>
            </w:r>
          </w:p>
        </w:tc>
        <w:tc>
          <w:tcPr>
            <w:tcW w:w="0" w:type="auto"/>
            <w:tcBorders>
              <w:top w:val="single" w:sz="8" w:space="0" w:color="000000"/>
              <w:bottom w:val="single" w:sz="8" w:space="0" w:color="000000"/>
            </w:tcBorders>
            <w:shd w:val="clear" w:color="auto" w:fill="CCEEFF"/>
            <w:vAlign w:val="bottom"/>
          </w:tcPr>
          <w:p w14:paraId="5556CD9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9B"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D9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23,364</w:t>
            </w:r>
          </w:p>
        </w:tc>
        <w:tc>
          <w:tcPr>
            <w:tcW w:w="0" w:type="auto"/>
            <w:tcBorders>
              <w:top w:val="single" w:sz="8" w:space="0" w:color="000000"/>
              <w:bottom w:val="single" w:sz="8" w:space="0" w:color="000000"/>
            </w:tcBorders>
            <w:shd w:val="clear" w:color="auto" w:fill="CCEEFF"/>
            <w:vAlign w:val="bottom"/>
          </w:tcPr>
          <w:p w14:paraId="5556CD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9E"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D9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23,610</w:t>
            </w:r>
          </w:p>
        </w:tc>
        <w:tc>
          <w:tcPr>
            <w:tcW w:w="0" w:type="auto"/>
            <w:tcBorders>
              <w:top w:val="single" w:sz="8" w:space="0" w:color="000000"/>
              <w:bottom w:val="single" w:sz="8" w:space="0" w:color="000000"/>
            </w:tcBorders>
            <w:shd w:val="clear" w:color="auto" w:fill="CCEEFF"/>
            <w:vAlign w:val="bottom"/>
          </w:tcPr>
          <w:p w14:paraId="5556CD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A1"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DA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36,608</w:t>
            </w:r>
          </w:p>
        </w:tc>
        <w:tc>
          <w:tcPr>
            <w:tcW w:w="0" w:type="auto"/>
            <w:tcBorders>
              <w:top w:val="single" w:sz="8" w:space="0" w:color="000000"/>
              <w:bottom w:val="single" w:sz="8" w:space="0" w:color="000000"/>
            </w:tcBorders>
            <w:shd w:val="clear" w:color="auto" w:fill="CCEEFF"/>
            <w:vAlign w:val="bottom"/>
          </w:tcPr>
          <w:p w14:paraId="5556CD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A4"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DA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36,901</w:t>
            </w:r>
          </w:p>
        </w:tc>
        <w:tc>
          <w:tcPr>
            <w:tcW w:w="0" w:type="auto"/>
            <w:tcBorders>
              <w:top w:val="single" w:sz="8" w:space="0" w:color="000000"/>
              <w:bottom w:val="single" w:sz="8" w:space="0" w:color="000000"/>
            </w:tcBorders>
            <w:shd w:val="clear" w:color="auto" w:fill="CCEEFF"/>
            <w:vAlign w:val="bottom"/>
          </w:tcPr>
          <w:p w14:paraId="5556CDA6" w14:textId="77777777" w:rsidR="00F925DD" w:rsidRDefault="00F925DD">
            <w:pPr>
              <w:textAlignment w:val="bottom"/>
              <w:rPr>
                <w:rFonts w:ascii="Times New Roman" w:hAnsi="Times New Roman"/>
                <w:sz w:val="20"/>
                <w:szCs w:val="20"/>
              </w:rPr>
            </w:pPr>
          </w:p>
        </w:tc>
      </w:tr>
      <w:tr w:rsidR="00F925DD" w14:paraId="5556CDC0" w14:textId="77777777">
        <w:tc>
          <w:tcPr>
            <w:tcW w:w="0" w:type="auto"/>
            <w:shd w:val="clear" w:color="auto" w:fill="auto"/>
            <w:tcMar>
              <w:top w:w="40" w:type="dxa"/>
              <w:left w:w="40" w:type="dxa"/>
              <w:bottom w:w="40" w:type="dxa"/>
              <w:right w:w="40" w:type="dxa"/>
            </w:tcMar>
            <w:vAlign w:val="bottom"/>
          </w:tcPr>
          <w:p w14:paraId="5556CDA8" w14:textId="77777777" w:rsidR="00F925DD" w:rsidRDefault="00E705D7">
            <w:pPr>
              <w:textAlignment w:val="bottom"/>
              <w:rPr>
                <w:rFonts w:ascii="Times New Roman" w:hAnsi="Times New Roman"/>
                <w:sz w:val="14"/>
                <w:szCs w:val="14"/>
              </w:rPr>
            </w:pPr>
            <w:r>
              <w:rPr>
                <w:rFonts w:ascii="Arial" w:eastAsia="宋体" w:hAnsi="Arial" w:cs="Arial"/>
                <w:sz w:val="14"/>
                <w:szCs w:val="14"/>
              </w:rPr>
              <w:t>Asset-backed securities:</w:t>
            </w:r>
          </w:p>
        </w:tc>
        <w:tc>
          <w:tcPr>
            <w:tcW w:w="0" w:type="auto"/>
            <w:gridSpan w:val="3"/>
            <w:shd w:val="clear" w:color="auto" w:fill="auto"/>
            <w:tcMar>
              <w:top w:w="40" w:type="dxa"/>
              <w:left w:w="40" w:type="dxa"/>
              <w:bottom w:w="40" w:type="dxa"/>
              <w:right w:w="40" w:type="dxa"/>
            </w:tcMar>
            <w:vAlign w:val="bottom"/>
          </w:tcPr>
          <w:p w14:paraId="5556CDA9" w14:textId="77777777" w:rsidR="00F925DD" w:rsidRDefault="00F925DD">
            <w:pPr>
              <w:textAlignment w:val="bottom"/>
              <w:rPr>
                <w:rFonts w:ascii="Times New Roman" w:hAnsi="Times New Roman"/>
                <w:sz w:val="14"/>
                <w:szCs w:val="14"/>
              </w:rPr>
            </w:pPr>
          </w:p>
        </w:tc>
        <w:tc>
          <w:tcPr>
            <w:tcW w:w="0" w:type="auto"/>
            <w:shd w:val="clear" w:color="auto" w:fill="auto"/>
            <w:tcMar>
              <w:top w:w="40" w:type="dxa"/>
              <w:left w:w="40" w:type="dxa"/>
              <w:bottom w:w="40" w:type="dxa"/>
              <w:right w:w="40" w:type="dxa"/>
            </w:tcMar>
            <w:vAlign w:val="bottom"/>
          </w:tcPr>
          <w:p w14:paraId="5556CDAA" w14:textId="77777777" w:rsidR="00F925DD" w:rsidRDefault="00F925DD">
            <w:pPr>
              <w:textAlignment w:val="bottom"/>
              <w:rPr>
                <w:rFonts w:ascii="Times New Roman" w:hAnsi="Times New Roman"/>
                <w:sz w:val="14"/>
                <w:szCs w:val="14"/>
              </w:rPr>
            </w:pPr>
          </w:p>
        </w:tc>
        <w:tc>
          <w:tcPr>
            <w:tcW w:w="0" w:type="auto"/>
            <w:gridSpan w:val="3"/>
            <w:shd w:val="clear" w:color="auto" w:fill="auto"/>
            <w:tcMar>
              <w:top w:w="40" w:type="dxa"/>
              <w:left w:w="40" w:type="dxa"/>
              <w:bottom w:w="40" w:type="dxa"/>
              <w:right w:w="40" w:type="dxa"/>
            </w:tcMar>
            <w:vAlign w:val="bottom"/>
          </w:tcPr>
          <w:p w14:paraId="5556CD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DAD"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CDA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B1"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DB2"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CDB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B6"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DB7"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CD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D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DBC"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CDB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D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DDF" w14:textId="77777777">
        <w:tc>
          <w:tcPr>
            <w:tcW w:w="0" w:type="auto"/>
            <w:shd w:val="clear" w:color="auto" w:fill="CCEEFF"/>
            <w:tcMar>
              <w:top w:w="40" w:type="dxa"/>
              <w:left w:w="400" w:type="dxa"/>
              <w:bottom w:w="40" w:type="dxa"/>
              <w:right w:w="40" w:type="dxa"/>
            </w:tcMar>
            <w:vAlign w:val="bottom"/>
          </w:tcPr>
          <w:p w14:paraId="5556CDC1" w14:textId="77777777" w:rsidR="00F925DD" w:rsidRDefault="00E705D7">
            <w:pPr>
              <w:textAlignment w:val="bottom"/>
              <w:rPr>
                <w:rFonts w:ascii="Times New Roman" w:hAnsi="Times New Roman"/>
                <w:sz w:val="14"/>
                <w:szCs w:val="14"/>
              </w:rPr>
            </w:pPr>
            <w:r>
              <w:rPr>
                <w:rFonts w:ascii="Arial" w:eastAsia="宋体" w:hAnsi="Arial" w:cs="Arial"/>
                <w:sz w:val="14"/>
                <w:szCs w:val="14"/>
              </w:rPr>
              <w:t>Student loans</w:t>
            </w:r>
          </w:p>
        </w:tc>
        <w:tc>
          <w:tcPr>
            <w:tcW w:w="0" w:type="auto"/>
            <w:gridSpan w:val="2"/>
            <w:shd w:val="clear" w:color="auto" w:fill="CCEEFF"/>
            <w:tcMar>
              <w:top w:w="40" w:type="dxa"/>
              <w:left w:w="40" w:type="dxa"/>
              <w:bottom w:w="40" w:type="dxa"/>
            </w:tcMar>
            <w:vAlign w:val="bottom"/>
          </w:tcPr>
          <w:p w14:paraId="5556CDC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96</w:t>
            </w:r>
          </w:p>
        </w:tc>
        <w:tc>
          <w:tcPr>
            <w:tcW w:w="0" w:type="auto"/>
            <w:shd w:val="clear" w:color="auto" w:fill="CCEEFF"/>
            <w:vAlign w:val="bottom"/>
          </w:tcPr>
          <w:p w14:paraId="5556CDC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C4" w14:textId="77777777" w:rsidR="00F925DD" w:rsidRDefault="00F925DD">
            <w:pPr>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CDC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92</w:t>
            </w:r>
          </w:p>
        </w:tc>
        <w:tc>
          <w:tcPr>
            <w:tcW w:w="0" w:type="auto"/>
            <w:shd w:val="clear" w:color="auto" w:fill="CCEEFF"/>
            <w:vAlign w:val="bottom"/>
          </w:tcPr>
          <w:p w14:paraId="5556CDC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DC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207</w:t>
            </w:r>
          </w:p>
        </w:tc>
        <w:tc>
          <w:tcPr>
            <w:tcW w:w="0" w:type="auto"/>
            <w:shd w:val="clear" w:color="auto" w:fill="CCEEFF"/>
            <w:vAlign w:val="bottom"/>
          </w:tcPr>
          <w:p w14:paraId="5556CDC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DC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206</w:t>
            </w:r>
          </w:p>
        </w:tc>
        <w:tc>
          <w:tcPr>
            <w:tcW w:w="0" w:type="auto"/>
            <w:shd w:val="clear" w:color="auto" w:fill="CCEEFF"/>
            <w:vAlign w:val="bottom"/>
          </w:tcPr>
          <w:p w14:paraId="5556CDC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CD" w14:textId="77777777" w:rsidR="00F925DD" w:rsidRDefault="00F925DD">
            <w:pPr>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CDC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408</w:t>
            </w:r>
          </w:p>
        </w:tc>
        <w:tc>
          <w:tcPr>
            <w:tcW w:w="0" w:type="auto"/>
            <w:shd w:val="clear" w:color="auto" w:fill="CCEEFF"/>
            <w:vAlign w:val="bottom"/>
          </w:tcPr>
          <w:p w14:paraId="5556CDC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DD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402</w:t>
            </w:r>
          </w:p>
        </w:tc>
        <w:tc>
          <w:tcPr>
            <w:tcW w:w="0" w:type="auto"/>
            <w:shd w:val="clear" w:color="auto" w:fill="CCEEFF"/>
            <w:vAlign w:val="bottom"/>
          </w:tcPr>
          <w:p w14:paraId="5556CDD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D3" w14:textId="77777777" w:rsidR="00F925DD" w:rsidRDefault="00F925DD">
            <w:pPr>
              <w:jc w:val="right"/>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CDD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3,072</w:t>
            </w:r>
          </w:p>
        </w:tc>
        <w:tc>
          <w:tcPr>
            <w:tcW w:w="0" w:type="auto"/>
            <w:shd w:val="clear" w:color="auto" w:fill="CCEEFF"/>
            <w:vAlign w:val="bottom"/>
          </w:tcPr>
          <w:p w14:paraId="5556CDD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DD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3,051</w:t>
            </w:r>
          </w:p>
        </w:tc>
        <w:tc>
          <w:tcPr>
            <w:tcW w:w="0" w:type="auto"/>
            <w:shd w:val="clear" w:color="auto" w:fill="CCEEFF"/>
            <w:vAlign w:val="bottom"/>
          </w:tcPr>
          <w:p w14:paraId="5556CD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DD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3,783</w:t>
            </w:r>
          </w:p>
        </w:tc>
        <w:tc>
          <w:tcPr>
            <w:tcW w:w="0" w:type="auto"/>
            <w:shd w:val="clear" w:color="auto" w:fill="CCEEFF"/>
            <w:vAlign w:val="bottom"/>
          </w:tcPr>
          <w:p w14:paraId="5556CDD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D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DD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3,751</w:t>
            </w:r>
          </w:p>
        </w:tc>
        <w:tc>
          <w:tcPr>
            <w:tcW w:w="0" w:type="auto"/>
            <w:shd w:val="clear" w:color="auto" w:fill="CCEEFF"/>
            <w:vAlign w:val="bottom"/>
          </w:tcPr>
          <w:p w14:paraId="5556CDDE" w14:textId="77777777" w:rsidR="00F925DD" w:rsidRDefault="00F925DD">
            <w:pPr>
              <w:textAlignment w:val="bottom"/>
              <w:rPr>
                <w:rFonts w:ascii="Times New Roman" w:hAnsi="Times New Roman"/>
                <w:sz w:val="20"/>
                <w:szCs w:val="20"/>
              </w:rPr>
            </w:pPr>
          </w:p>
        </w:tc>
      </w:tr>
      <w:tr w:rsidR="00F925DD" w14:paraId="5556CDFE" w14:textId="77777777">
        <w:tc>
          <w:tcPr>
            <w:tcW w:w="0" w:type="auto"/>
            <w:shd w:val="clear" w:color="auto" w:fill="auto"/>
            <w:tcMar>
              <w:top w:w="40" w:type="dxa"/>
              <w:left w:w="720" w:type="dxa"/>
              <w:bottom w:w="40" w:type="dxa"/>
              <w:right w:w="40" w:type="dxa"/>
            </w:tcMar>
            <w:vAlign w:val="bottom"/>
          </w:tcPr>
          <w:p w14:paraId="5556CDE0"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asset-backed securities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DE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96</w:t>
            </w:r>
          </w:p>
        </w:tc>
        <w:tc>
          <w:tcPr>
            <w:tcW w:w="0" w:type="auto"/>
            <w:tcBorders>
              <w:top w:val="single" w:sz="8" w:space="0" w:color="000000"/>
              <w:bottom w:val="single" w:sz="8" w:space="0" w:color="000000"/>
            </w:tcBorders>
            <w:shd w:val="clear" w:color="auto" w:fill="auto"/>
            <w:vAlign w:val="bottom"/>
          </w:tcPr>
          <w:p w14:paraId="5556CDE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E3"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DE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92</w:t>
            </w:r>
          </w:p>
        </w:tc>
        <w:tc>
          <w:tcPr>
            <w:tcW w:w="0" w:type="auto"/>
            <w:tcBorders>
              <w:top w:val="single" w:sz="8" w:space="0" w:color="000000"/>
              <w:bottom w:val="single" w:sz="8" w:space="0" w:color="000000"/>
            </w:tcBorders>
            <w:shd w:val="clear" w:color="auto" w:fill="auto"/>
            <w:vAlign w:val="bottom"/>
          </w:tcPr>
          <w:p w14:paraId="5556CDE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E6"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DE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207</w:t>
            </w:r>
          </w:p>
        </w:tc>
        <w:tc>
          <w:tcPr>
            <w:tcW w:w="0" w:type="auto"/>
            <w:tcBorders>
              <w:top w:val="single" w:sz="8" w:space="0" w:color="000000"/>
              <w:bottom w:val="single" w:sz="8" w:space="0" w:color="000000"/>
            </w:tcBorders>
            <w:shd w:val="clear" w:color="auto" w:fill="auto"/>
            <w:vAlign w:val="bottom"/>
          </w:tcPr>
          <w:p w14:paraId="5556CDE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E9"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DE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206</w:t>
            </w:r>
          </w:p>
        </w:tc>
        <w:tc>
          <w:tcPr>
            <w:tcW w:w="0" w:type="auto"/>
            <w:tcBorders>
              <w:top w:val="single" w:sz="8" w:space="0" w:color="000000"/>
              <w:bottom w:val="single" w:sz="8" w:space="0" w:color="000000"/>
            </w:tcBorders>
            <w:shd w:val="clear" w:color="auto" w:fill="auto"/>
            <w:vAlign w:val="bottom"/>
          </w:tcPr>
          <w:p w14:paraId="5556CDE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EC"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DE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408</w:t>
            </w:r>
          </w:p>
        </w:tc>
        <w:tc>
          <w:tcPr>
            <w:tcW w:w="0" w:type="auto"/>
            <w:tcBorders>
              <w:top w:val="single" w:sz="8" w:space="0" w:color="000000"/>
              <w:bottom w:val="single" w:sz="8" w:space="0" w:color="000000"/>
            </w:tcBorders>
            <w:shd w:val="clear" w:color="auto" w:fill="auto"/>
            <w:vAlign w:val="bottom"/>
          </w:tcPr>
          <w:p w14:paraId="5556CD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EF"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DF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402</w:t>
            </w:r>
          </w:p>
        </w:tc>
        <w:tc>
          <w:tcPr>
            <w:tcW w:w="0" w:type="auto"/>
            <w:tcBorders>
              <w:top w:val="single" w:sz="8" w:space="0" w:color="000000"/>
              <w:bottom w:val="single" w:sz="8" w:space="0" w:color="000000"/>
            </w:tcBorders>
            <w:shd w:val="clear" w:color="auto" w:fill="auto"/>
            <w:vAlign w:val="bottom"/>
          </w:tcPr>
          <w:p w14:paraId="5556CD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F2"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DF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3,072</w:t>
            </w:r>
          </w:p>
        </w:tc>
        <w:tc>
          <w:tcPr>
            <w:tcW w:w="0" w:type="auto"/>
            <w:tcBorders>
              <w:top w:val="single" w:sz="8" w:space="0" w:color="000000"/>
              <w:bottom w:val="single" w:sz="8" w:space="0" w:color="000000"/>
            </w:tcBorders>
            <w:shd w:val="clear" w:color="auto" w:fill="auto"/>
            <w:vAlign w:val="bottom"/>
          </w:tcPr>
          <w:p w14:paraId="5556CD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F5"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DF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3,051</w:t>
            </w:r>
          </w:p>
        </w:tc>
        <w:tc>
          <w:tcPr>
            <w:tcW w:w="0" w:type="auto"/>
            <w:tcBorders>
              <w:top w:val="single" w:sz="8" w:space="0" w:color="000000"/>
              <w:bottom w:val="single" w:sz="8" w:space="0" w:color="000000"/>
            </w:tcBorders>
            <w:shd w:val="clear" w:color="auto" w:fill="auto"/>
            <w:vAlign w:val="bottom"/>
          </w:tcPr>
          <w:p w14:paraId="5556CDF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F8"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DF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3,783</w:t>
            </w:r>
          </w:p>
        </w:tc>
        <w:tc>
          <w:tcPr>
            <w:tcW w:w="0" w:type="auto"/>
            <w:tcBorders>
              <w:top w:val="single" w:sz="8" w:space="0" w:color="000000"/>
              <w:bottom w:val="single" w:sz="8" w:space="0" w:color="000000"/>
            </w:tcBorders>
            <w:shd w:val="clear" w:color="auto" w:fill="auto"/>
            <w:vAlign w:val="bottom"/>
          </w:tcPr>
          <w:p w14:paraId="5556CDF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DFB"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DF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3,751</w:t>
            </w:r>
          </w:p>
        </w:tc>
        <w:tc>
          <w:tcPr>
            <w:tcW w:w="0" w:type="auto"/>
            <w:tcBorders>
              <w:top w:val="single" w:sz="8" w:space="0" w:color="000000"/>
              <w:bottom w:val="single" w:sz="8" w:space="0" w:color="000000"/>
            </w:tcBorders>
            <w:shd w:val="clear" w:color="auto" w:fill="auto"/>
            <w:vAlign w:val="bottom"/>
          </w:tcPr>
          <w:p w14:paraId="5556CDFD" w14:textId="77777777" w:rsidR="00F925DD" w:rsidRDefault="00F925DD">
            <w:pPr>
              <w:textAlignment w:val="bottom"/>
              <w:rPr>
                <w:rFonts w:ascii="Times New Roman" w:hAnsi="Times New Roman"/>
                <w:sz w:val="20"/>
                <w:szCs w:val="20"/>
              </w:rPr>
            </w:pPr>
          </w:p>
        </w:tc>
      </w:tr>
      <w:tr w:rsidR="00F925DD" w14:paraId="5556CE13" w14:textId="77777777">
        <w:tc>
          <w:tcPr>
            <w:tcW w:w="0" w:type="auto"/>
            <w:shd w:val="clear" w:color="auto" w:fill="CCEEFF"/>
            <w:tcMar>
              <w:top w:w="40" w:type="dxa"/>
              <w:left w:w="40" w:type="dxa"/>
              <w:bottom w:w="40" w:type="dxa"/>
              <w:right w:w="40" w:type="dxa"/>
            </w:tcMar>
            <w:vAlign w:val="bottom"/>
          </w:tcPr>
          <w:p w14:paraId="5556CDFF" w14:textId="77777777" w:rsidR="00F925DD" w:rsidRDefault="00E705D7">
            <w:pPr>
              <w:textAlignment w:val="bottom"/>
              <w:rPr>
                <w:rFonts w:ascii="Times New Roman" w:hAnsi="Times New Roman"/>
                <w:sz w:val="14"/>
                <w:szCs w:val="14"/>
              </w:rPr>
            </w:pPr>
            <w:r>
              <w:rPr>
                <w:rFonts w:ascii="Arial" w:eastAsia="宋体" w:hAnsi="Arial" w:cs="Arial"/>
                <w:sz w:val="14"/>
                <w:szCs w:val="14"/>
              </w:rPr>
              <w:t>Non-U.S. debt securities:</w:t>
            </w:r>
          </w:p>
        </w:tc>
        <w:tc>
          <w:tcPr>
            <w:tcW w:w="0" w:type="auto"/>
            <w:gridSpan w:val="3"/>
            <w:shd w:val="clear" w:color="auto" w:fill="CCEEFF"/>
            <w:tcMar>
              <w:top w:w="40" w:type="dxa"/>
              <w:left w:w="40" w:type="dxa"/>
              <w:bottom w:w="40" w:type="dxa"/>
              <w:right w:w="40" w:type="dxa"/>
            </w:tcMar>
            <w:vAlign w:val="bottom"/>
          </w:tcPr>
          <w:p w14:paraId="5556CE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E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E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E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E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E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E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E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E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10" w14:textId="77777777" w:rsidR="00F925DD" w:rsidRDefault="00F925DD">
            <w:pPr>
              <w:textAlignment w:val="bottom"/>
              <w:rPr>
                <w:rFonts w:ascii="Times New Roman" w:hAnsi="Times New Roman"/>
                <w:sz w:val="14"/>
                <w:szCs w:val="14"/>
              </w:rPr>
            </w:pPr>
          </w:p>
        </w:tc>
        <w:tc>
          <w:tcPr>
            <w:tcW w:w="0" w:type="auto"/>
            <w:shd w:val="clear" w:color="auto" w:fill="CCEEFF"/>
            <w:tcMar>
              <w:top w:w="40" w:type="dxa"/>
              <w:left w:w="40" w:type="dxa"/>
              <w:bottom w:w="40" w:type="dxa"/>
              <w:right w:w="40" w:type="dxa"/>
            </w:tcMar>
            <w:vAlign w:val="bottom"/>
          </w:tcPr>
          <w:p w14:paraId="5556CE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E32" w14:textId="77777777">
        <w:tc>
          <w:tcPr>
            <w:tcW w:w="0" w:type="auto"/>
            <w:shd w:val="clear" w:color="auto" w:fill="auto"/>
            <w:tcMar>
              <w:top w:w="40" w:type="dxa"/>
              <w:left w:w="400" w:type="dxa"/>
              <w:bottom w:w="40" w:type="dxa"/>
              <w:right w:w="40" w:type="dxa"/>
            </w:tcMar>
            <w:vAlign w:val="bottom"/>
          </w:tcPr>
          <w:p w14:paraId="5556CE14" w14:textId="77777777" w:rsidR="00F925DD" w:rsidRDefault="00E705D7">
            <w:pPr>
              <w:textAlignment w:val="bottom"/>
              <w:rPr>
                <w:rFonts w:ascii="Times New Roman" w:hAnsi="Times New Roman"/>
                <w:sz w:val="14"/>
                <w:szCs w:val="14"/>
              </w:rPr>
            </w:pPr>
            <w:r>
              <w:rPr>
                <w:rFonts w:ascii="Arial" w:eastAsia="宋体" w:hAnsi="Arial" w:cs="Arial"/>
                <w:sz w:val="14"/>
                <w:szCs w:val="14"/>
              </w:rPr>
              <w:t>Mortgage-backed securities</w:t>
            </w:r>
          </w:p>
        </w:tc>
        <w:tc>
          <w:tcPr>
            <w:tcW w:w="0" w:type="auto"/>
            <w:gridSpan w:val="2"/>
            <w:shd w:val="clear" w:color="auto" w:fill="auto"/>
            <w:tcMar>
              <w:top w:w="40" w:type="dxa"/>
              <w:left w:w="40" w:type="dxa"/>
              <w:bottom w:w="40" w:type="dxa"/>
            </w:tcMar>
            <w:vAlign w:val="bottom"/>
          </w:tcPr>
          <w:p w14:paraId="5556CE1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shd w:val="clear" w:color="auto" w:fill="auto"/>
            <w:vAlign w:val="bottom"/>
          </w:tcPr>
          <w:p w14:paraId="5556CE1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17"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E1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shd w:val="clear" w:color="auto" w:fill="auto"/>
            <w:vAlign w:val="bottom"/>
          </w:tcPr>
          <w:p w14:paraId="5556CE1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E1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w:t>
            </w:r>
          </w:p>
        </w:tc>
        <w:tc>
          <w:tcPr>
            <w:tcW w:w="0" w:type="auto"/>
            <w:shd w:val="clear" w:color="auto" w:fill="auto"/>
            <w:vAlign w:val="bottom"/>
          </w:tcPr>
          <w:p w14:paraId="5556CE1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E1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w:t>
            </w:r>
          </w:p>
        </w:tc>
        <w:tc>
          <w:tcPr>
            <w:tcW w:w="0" w:type="auto"/>
            <w:shd w:val="clear" w:color="auto" w:fill="auto"/>
            <w:vAlign w:val="bottom"/>
          </w:tcPr>
          <w:p w14:paraId="5556CE1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20" w14:textId="77777777" w:rsidR="00F925DD" w:rsidRDefault="00F925DD">
            <w:pPr>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E2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auto"/>
            <w:vAlign w:val="bottom"/>
          </w:tcPr>
          <w:p w14:paraId="5556CE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E2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auto"/>
            <w:vAlign w:val="bottom"/>
          </w:tcPr>
          <w:p w14:paraId="5556CE2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26"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CE2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313</w:t>
            </w:r>
          </w:p>
        </w:tc>
        <w:tc>
          <w:tcPr>
            <w:tcW w:w="0" w:type="auto"/>
            <w:shd w:val="clear" w:color="auto" w:fill="auto"/>
            <w:vAlign w:val="bottom"/>
          </w:tcPr>
          <w:p w14:paraId="5556CE2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E2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390</w:t>
            </w:r>
          </w:p>
        </w:tc>
        <w:tc>
          <w:tcPr>
            <w:tcW w:w="0" w:type="auto"/>
            <w:shd w:val="clear" w:color="auto" w:fill="auto"/>
            <w:vAlign w:val="bottom"/>
          </w:tcPr>
          <w:p w14:paraId="5556CE2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E2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366</w:t>
            </w:r>
          </w:p>
        </w:tc>
        <w:tc>
          <w:tcPr>
            <w:tcW w:w="0" w:type="auto"/>
            <w:shd w:val="clear" w:color="auto" w:fill="auto"/>
            <w:vAlign w:val="bottom"/>
          </w:tcPr>
          <w:p w14:paraId="5556CE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E3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443</w:t>
            </w:r>
          </w:p>
        </w:tc>
        <w:tc>
          <w:tcPr>
            <w:tcW w:w="0" w:type="auto"/>
            <w:shd w:val="clear" w:color="auto" w:fill="auto"/>
            <w:vAlign w:val="bottom"/>
          </w:tcPr>
          <w:p w14:paraId="5556CE31" w14:textId="77777777" w:rsidR="00F925DD" w:rsidRDefault="00F925DD">
            <w:pPr>
              <w:textAlignment w:val="bottom"/>
              <w:rPr>
                <w:rFonts w:ascii="Times New Roman" w:hAnsi="Times New Roman"/>
                <w:sz w:val="20"/>
                <w:szCs w:val="20"/>
              </w:rPr>
            </w:pPr>
          </w:p>
        </w:tc>
      </w:tr>
      <w:tr w:rsidR="00F925DD" w14:paraId="5556CE51" w14:textId="77777777">
        <w:tc>
          <w:tcPr>
            <w:tcW w:w="0" w:type="auto"/>
            <w:shd w:val="clear" w:color="auto" w:fill="CCEEFF"/>
            <w:tcMar>
              <w:top w:w="40" w:type="dxa"/>
              <w:left w:w="400" w:type="dxa"/>
              <w:bottom w:w="40" w:type="dxa"/>
              <w:right w:w="40" w:type="dxa"/>
            </w:tcMar>
            <w:vAlign w:val="bottom"/>
          </w:tcPr>
          <w:p w14:paraId="5556CE33" w14:textId="77777777" w:rsidR="00F925DD" w:rsidRDefault="00E705D7">
            <w:pPr>
              <w:textAlignment w:val="bottom"/>
              <w:rPr>
                <w:rFonts w:ascii="Times New Roman" w:hAnsi="Times New Roman"/>
                <w:sz w:val="14"/>
                <w:szCs w:val="14"/>
              </w:rPr>
            </w:pPr>
            <w:r>
              <w:rPr>
                <w:rFonts w:ascii="Arial" w:eastAsia="宋体" w:hAnsi="Arial" w:cs="Arial"/>
                <w:sz w:val="14"/>
                <w:szCs w:val="14"/>
              </w:rPr>
              <w:t>Government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E3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328</w:t>
            </w:r>
          </w:p>
        </w:tc>
        <w:tc>
          <w:tcPr>
            <w:tcW w:w="0" w:type="auto"/>
            <w:tcBorders>
              <w:bottom w:val="single" w:sz="8" w:space="0" w:color="000000"/>
            </w:tcBorders>
            <w:shd w:val="clear" w:color="auto" w:fill="CCEEFF"/>
            <w:vAlign w:val="bottom"/>
          </w:tcPr>
          <w:p w14:paraId="5556CE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36"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E3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328</w:t>
            </w:r>
          </w:p>
        </w:tc>
        <w:tc>
          <w:tcPr>
            <w:tcW w:w="0" w:type="auto"/>
            <w:tcBorders>
              <w:bottom w:val="single" w:sz="8" w:space="0" w:color="000000"/>
            </w:tcBorders>
            <w:shd w:val="clear" w:color="auto" w:fill="CCEEFF"/>
            <w:vAlign w:val="bottom"/>
          </w:tcPr>
          <w:p w14:paraId="5556CE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E3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CE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E3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CE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3F" w14:textId="77777777" w:rsidR="00F925DD" w:rsidRDefault="00F925DD">
            <w:pPr>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E4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CE4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E4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CE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45"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CCEEFF"/>
            <w:tcMar>
              <w:top w:w="40" w:type="dxa"/>
              <w:left w:w="40" w:type="dxa"/>
              <w:bottom w:w="40" w:type="dxa"/>
            </w:tcMar>
            <w:vAlign w:val="bottom"/>
          </w:tcPr>
          <w:p w14:paraId="5556CE4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CE4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E4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CE4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E4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328</w:t>
            </w:r>
          </w:p>
        </w:tc>
        <w:tc>
          <w:tcPr>
            <w:tcW w:w="0" w:type="auto"/>
            <w:tcBorders>
              <w:bottom w:val="single" w:sz="8" w:space="0" w:color="000000"/>
            </w:tcBorders>
            <w:shd w:val="clear" w:color="auto" w:fill="CCEEFF"/>
            <w:vAlign w:val="bottom"/>
          </w:tcPr>
          <w:p w14:paraId="5556CE4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CE4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328</w:t>
            </w:r>
          </w:p>
        </w:tc>
        <w:tc>
          <w:tcPr>
            <w:tcW w:w="0" w:type="auto"/>
            <w:tcBorders>
              <w:bottom w:val="single" w:sz="8" w:space="0" w:color="000000"/>
            </w:tcBorders>
            <w:shd w:val="clear" w:color="auto" w:fill="CCEEFF"/>
            <w:vAlign w:val="bottom"/>
          </w:tcPr>
          <w:p w14:paraId="5556CE50" w14:textId="77777777" w:rsidR="00F925DD" w:rsidRDefault="00F925DD">
            <w:pPr>
              <w:textAlignment w:val="bottom"/>
              <w:rPr>
                <w:rFonts w:ascii="Times New Roman" w:hAnsi="Times New Roman"/>
                <w:sz w:val="20"/>
                <w:szCs w:val="20"/>
              </w:rPr>
            </w:pPr>
          </w:p>
        </w:tc>
      </w:tr>
      <w:tr w:rsidR="00F925DD" w14:paraId="5556CE70" w14:textId="77777777">
        <w:tc>
          <w:tcPr>
            <w:tcW w:w="0" w:type="auto"/>
            <w:shd w:val="clear" w:color="auto" w:fill="auto"/>
            <w:tcMar>
              <w:top w:w="40" w:type="dxa"/>
              <w:left w:w="720" w:type="dxa"/>
              <w:bottom w:w="40" w:type="dxa"/>
              <w:right w:w="40" w:type="dxa"/>
            </w:tcMar>
            <w:vAlign w:val="bottom"/>
          </w:tcPr>
          <w:p w14:paraId="5556CE52"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non-U.S. debt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CE5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344</w:t>
            </w:r>
          </w:p>
        </w:tc>
        <w:tc>
          <w:tcPr>
            <w:tcW w:w="0" w:type="auto"/>
            <w:tcBorders>
              <w:bottom w:val="single" w:sz="8" w:space="0" w:color="000000"/>
            </w:tcBorders>
            <w:shd w:val="clear" w:color="auto" w:fill="auto"/>
            <w:vAlign w:val="bottom"/>
          </w:tcPr>
          <w:p w14:paraId="5556CE5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55"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E5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344</w:t>
            </w:r>
          </w:p>
        </w:tc>
        <w:tc>
          <w:tcPr>
            <w:tcW w:w="0" w:type="auto"/>
            <w:tcBorders>
              <w:bottom w:val="single" w:sz="8" w:space="0" w:color="000000"/>
            </w:tcBorders>
            <w:shd w:val="clear" w:color="auto" w:fill="auto"/>
            <w:vAlign w:val="bottom"/>
          </w:tcPr>
          <w:p w14:paraId="5556CE5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58"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E5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w:t>
            </w:r>
          </w:p>
        </w:tc>
        <w:tc>
          <w:tcPr>
            <w:tcW w:w="0" w:type="auto"/>
            <w:tcBorders>
              <w:bottom w:val="single" w:sz="8" w:space="0" w:color="000000"/>
            </w:tcBorders>
            <w:shd w:val="clear" w:color="auto" w:fill="auto"/>
            <w:vAlign w:val="bottom"/>
          </w:tcPr>
          <w:p w14:paraId="5556CE5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5B"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E5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w:t>
            </w:r>
          </w:p>
        </w:tc>
        <w:tc>
          <w:tcPr>
            <w:tcW w:w="0" w:type="auto"/>
            <w:tcBorders>
              <w:bottom w:val="single" w:sz="8" w:space="0" w:color="000000"/>
            </w:tcBorders>
            <w:shd w:val="clear" w:color="auto" w:fill="auto"/>
            <w:vAlign w:val="bottom"/>
          </w:tcPr>
          <w:p w14:paraId="5556CE5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5E"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E5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tcBorders>
              <w:bottom w:val="single" w:sz="8" w:space="0" w:color="000000"/>
            </w:tcBorders>
            <w:shd w:val="clear" w:color="auto" w:fill="auto"/>
            <w:vAlign w:val="bottom"/>
          </w:tcPr>
          <w:p w14:paraId="5556CE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61" w14:textId="77777777" w:rsidR="00F925DD" w:rsidRDefault="00F925DD">
            <w:pPr>
              <w:jc w:val="right"/>
              <w:textAlignment w:val="bottom"/>
              <w:rPr>
                <w:rFonts w:ascii="Times New Roman" w:hAnsi="Times New Roman"/>
                <w:sz w:val="14"/>
                <w:szCs w:val="14"/>
              </w:rPr>
            </w:pP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CE6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tcBorders>
              <w:top w:val="single" w:sz="8" w:space="0" w:color="000000"/>
              <w:bottom w:val="single" w:sz="8" w:space="0" w:color="000000"/>
            </w:tcBorders>
            <w:shd w:val="clear" w:color="auto" w:fill="auto"/>
            <w:vAlign w:val="bottom"/>
          </w:tcPr>
          <w:p w14:paraId="5556CE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64"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E6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313</w:t>
            </w:r>
          </w:p>
        </w:tc>
        <w:tc>
          <w:tcPr>
            <w:tcW w:w="0" w:type="auto"/>
            <w:tcBorders>
              <w:bottom w:val="single" w:sz="8" w:space="0" w:color="000000"/>
            </w:tcBorders>
            <w:shd w:val="clear" w:color="auto" w:fill="auto"/>
            <w:vAlign w:val="bottom"/>
          </w:tcPr>
          <w:p w14:paraId="5556CE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67"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E6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390</w:t>
            </w:r>
          </w:p>
        </w:tc>
        <w:tc>
          <w:tcPr>
            <w:tcW w:w="0" w:type="auto"/>
            <w:tcBorders>
              <w:bottom w:val="single" w:sz="8" w:space="0" w:color="000000"/>
            </w:tcBorders>
            <w:shd w:val="clear" w:color="auto" w:fill="auto"/>
            <w:vAlign w:val="bottom"/>
          </w:tcPr>
          <w:p w14:paraId="5556CE6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6A"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E6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694</w:t>
            </w:r>
          </w:p>
        </w:tc>
        <w:tc>
          <w:tcPr>
            <w:tcW w:w="0" w:type="auto"/>
            <w:tcBorders>
              <w:bottom w:val="single" w:sz="8" w:space="0" w:color="000000"/>
            </w:tcBorders>
            <w:shd w:val="clear" w:color="auto" w:fill="auto"/>
            <w:vAlign w:val="bottom"/>
          </w:tcPr>
          <w:p w14:paraId="5556CE6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6D" w14:textId="77777777" w:rsidR="00F925DD" w:rsidRDefault="00F925DD">
            <w:pPr>
              <w:jc w:val="right"/>
              <w:textAlignment w:val="bottom"/>
              <w:rPr>
                <w:rFonts w:ascii="Times New Roman" w:hAnsi="Times New Roman"/>
                <w:sz w:val="14"/>
                <w:szCs w:val="14"/>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CE6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771</w:t>
            </w:r>
          </w:p>
        </w:tc>
        <w:tc>
          <w:tcPr>
            <w:tcW w:w="0" w:type="auto"/>
            <w:tcBorders>
              <w:bottom w:val="single" w:sz="8" w:space="0" w:color="000000"/>
            </w:tcBorders>
            <w:shd w:val="clear" w:color="auto" w:fill="auto"/>
            <w:vAlign w:val="bottom"/>
          </w:tcPr>
          <w:p w14:paraId="5556CE6F" w14:textId="77777777" w:rsidR="00F925DD" w:rsidRDefault="00F925DD">
            <w:pPr>
              <w:textAlignment w:val="bottom"/>
              <w:rPr>
                <w:rFonts w:ascii="Times New Roman" w:hAnsi="Times New Roman"/>
                <w:sz w:val="20"/>
                <w:szCs w:val="20"/>
              </w:rPr>
            </w:pPr>
          </w:p>
        </w:tc>
      </w:tr>
      <w:tr w:rsidR="00F925DD" w14:paraId="5556CE8F" w14:textId="77777777">
        <w:tc>
          <w:tcPr>
            <w:tcW w:w="0" w:type="auto"/>
            <w:shd w:val="clear" w:color="auto" w:fill="CCEEFF"/>
            <w:tcMar>
              <w:top w:w="40" w:type="dxa"/>
              <w:left w:w="40" w:type="dxa"/>
              <w:bottom w:w="40" w:type="dxa"/>
              <w:right w:w="40" w:type="dxa"/>
            </w:tcMar>
            <w:vAlign w:val="bottom"/>
          </w:tcPr>
          <w:p w14:paraId="5556CE71"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Collateralized mortgage obligations </w:t>
            </w:r>
          </w:p>
        </w:tc>
        <w:tc>
          <w:tcPr>
            <w:tcW w:w="0" w:type="auto"/>
            <w:gridSpan w:val="2"/>
            <w:shd w:val="clear" w:color="auto" w:fill="CCEEFF"/>
            <w:tcMar>
              <w:top w:w="40" w:type="dxa"/>
              <w:left w:w="40" w:type="dxa"/>
              <w:bottom w:w="40" w:type="dxa"/>
            </w:tcMar>
            <w:vAlign w:val="bottom"/>
          </w:tcPr>
          <w:p w14:paraId="5556CE7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vAlign w:val="bottom"/>
          </w:tcPr>
          <w:p w14:paraId="5556CE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74" w14:textId="77777777" w:rsidR="00F925DD" w:rsidRDefault="00F925DD">
            <w:pPr>
              <w:jc w:val="right"/>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CE7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CCEEFF"/>
            <w:vAlign w:val="bottom"/>
          </w:tcPr>
          <w:p w14:paraId="5556CE7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E7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283</w:t>
            </w:r>
          </w:p>
        </w:tc>
        <w:tc>
          <w:tcPr>
            <w:tcW w:w="0" w:type="auto"/>
            <w:shd w:val="clear" w:color="auto" w:fill="CCEEFF"/>
            <w:vAlign w:val="bottom"/>
          </w:tcPr>
          <w:p w14:paraId="5556CE7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E7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287</w:t>
            </w:r>
          </w:p>
        </w:tc>
        <w:tc>
          <w:tcPr>
            <w:tcW w:w="0" w:type="auto"/>
            <w:shd w:val="clear" w:color="auto" w:fill="CCEEFF"/>
            <w:vAlign w:val="bottom"/>
          </w:tcPr>
          <w:p w14:paraId="5556CE7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7D" w14:textId="77777777" w:rsidR="00F925DD" w:rsidRDefault="00F925DD">
            <w:pPr>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CE7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w:t>
            </w:r>
          </w:p>
        </w:tc>
        <w:tc>
          <w:tcPr>
            <w:tcW w:w="0" w:type="auto"/>
            <w:shd w:val="clear" w:color="auto" w:fill="CCEEFF"/>
            <w:vAlign w:val="bottom"/>
          </w:tcPr>
          <w:p w14:paraId="5556CE7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E8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w:t>
            </w:r>
          </w:p>
        </w:tc>
        <w:tc>
          <w:tcPr>
            <w:tcW w:w="0" w:type="auto"/>
            <w:shd w:val="clear" w:color="auto" w:fill="CCEEFF"/>
            <w:vAlign w:val="bottom"/>
          </w:tcPr>
          <w:p w14:paraId="5556CE8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83" w14:textId="77777777" w:rsidR="00F925DD" w:rsidRDefault="00F925DD">
            <w:pPr>
              <w:jc w:val="right"/>
              <w:textAlignment w:val="bottom"/>
              <w:rPr>
                <w:rFonts w:ascii="Times New Roman" w:hAnsi="Times New Roman"/>
                <w:sz w:val="14"/>
                <w:szCs w:val="14"/>
              </w:rPr>
            </w:pPr>
          </w:p>
        </w:tc>
        <w:tc>
          <w:tcPr>
            <w:tcW w:w="0" w:type="auto"/>
            <w:gridSpan w:val="2"/>
            <w:shd w:val="clear" w:color="auto" w:fill="CCEEFF"/>
            <w:tcMar>
              <w:top w:w="40" w:type="dxa"/>
              <w:left w:w="40" w:type="dxa"/>
              <w:bottom w:w="40" w:type="dxa"/>
            </w:tcMar>
            <w:vAlign w:val="bottom"/>
          </w:tcPr>
          <w:p w14:paraId="5556CE8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399</w:t>
            </w:r>
          </w:p>
        </w:tc>
        <w:tc>
          <w:tcPr>
            <w:tcW w:w="0" w:type="auto"/>
            <w:shd w:val="clear" w:color="auto" w:fill="CCEEFF"/>
            <w:vAlign w:val="bottom"/>
          </w:tcPr>
          <w:p w14:paraId="5556CE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E8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431</w:t>
            </w:r>
          </w:p>
        </w:tc>
        <w:tc>
          <w:tcPr>
            <w:tcW w:w="0" w:type="auto"/>
            <w:shd w:val="clear" w:color="auto" w:fill="CCEEFF"/>
            <w:vAlign w:val="bottom"/>
          </w:tcPr>
          <w:p w14:paraId="5556CE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E8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697</w:t>
            </w:r>
          </w:p>
        </w:tc>
        <w:tc>
          <w:tcPr>
            <w:tcW w:w="0" w:type="auto"/>
            <w:shd w:val="clear" w:color="auto" w:fill="CCEEFF"/>
            <w:vAlign w:val="bottom"/>
          </w:tcPr>
          <w:p w14:paraId="5556CE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E8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734</w:t>
            </w:r>
          </w:p>
        </w:tc>
        <w:tc>
          <w:tcPr>
            <w:tcW w:w="0" w:type="auto"/>
            <w:shd w:val="clear" w:color="auto" w:fill="CCEEFF"/>
            <w:vAlign w:val="bottom"/>
          </w:tcPr>
          <w:p w14:paraId="5556CE8E" w14:textId="77777777" w:rsidR="00F925DD" w:rsidRDefault="00F925DD">
            <w:pPr>
              <w:textAlignment w:val="bottom"/>
              <w:rPr>
                <w:rFonts w:ascii="Times New Roman" w:hAnsi="Times New Roman"/>
                <w:sz w:val="20"/>
                <w:szCs w:val="20"/>
              </w:rPr>
            </w:pPr>
          </w:p>
        </w:tc>
      </w:tr>
      <w:tr w:rsidR="00F925DD" w14:paraId="5556CEB8" w14:textId="77777777">
        <w:tc>
          <w:tcPr>
            <w:tcW w:w="0" w:type="auto"/>
            <w:shd w:val="clear" w:color="auto" w:fill="auto"/>
            <w:tcMar>
              <w:top w:w="40" w:type="dxa"/>
              <w:left w:w="40" w:type="dxa"/>
              <w:bottom w:w="40" w:type="dxa"/>
              <w:right w:w="40" w:type="dxa"/>
            </w:tcMar>
            <w:vAlign w:val="bottom"/>
          </w:tcPr>
          <w:p w14:paraId="5556CE90"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E9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E9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4,567</w:t>
            </w:r>
          </w:p>
        </w:tc>
        <w:tc>
          <w:tcPr>
            <w:tcW w:w="0" w:type="auto"/>
            <w:tcBorders>
              <w:top w:val="single" w:sz="8" w:space="0" w:color="000000"/>
              <w:bottom w:val="double" w:sz="6" w:space="0" w:color="000000"/>
            </w:tcBorders>
            <w:shd w:val="clear" w:color="auto" w:fill="auto"/>
            <w:vAlign w:val="bottom"/>
          </w:tcPr>
          <w:p w14:paraId="5556CE9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94"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E9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E9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4,562</w:t>
            </w:r>
          </w:p>
        </w:tc>
        <w:tc>
          <w:tcPr>
            <w:tcW w:w="0" w:type="auto"/>
            <w:tcBorders>
              <w:top w:val="single" w:sz="8" w:space="0" w:color="000000"/>
              <w:bottom w:val="double" w:sz="6" w:space="0" w:color="000000"/>
            </w:tcBorders>
            <w:shd w:val="clear" w:color="auto" w:fill="auto"/>
            <w:vAlign w:val="bottom"/>
          </w:tcPr>
          <w:p w14:paraId="5556CE9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98"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E9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E9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7,122</w:t>
            </w:r>
          </w:p>
        </w:tc>
        <w:tc>
          <w:tcPr>
            <w:tcW w:w="0" w:type="auto"/>
            <w:tcBorders>
              <w:top w:val="single" w:sz="8" w:space="0" w:color="000000"/>
              <w:bottom w:val="double" w:sz="6" w:space="0" w:color="000000"/>
            </w:tcBorders>
            <w:shd w:val="clear" w:color="auto" w:fill="auto"/>
            <w:vAlign w:val="bottom"/>
          </w:tcPr>
          <w:p w14:paraId="5556CE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9C"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E9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E9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7,150</w:t>
            </w:r>
          </w:p>
        </w:tc>
        <w:tc>
          <w:tcPr>
            <w:tcW w:w="0" w:type="auto"/>
            <w:tcBorders>
              <w:top w:val="single" w:sz="8" w:space="0" w:color="000000"/>
              <w:bottom w:val="double" w:sz="6" w:space="0" w:color="000000"/>
            </w:tcBorders>
            <w:shd w:val="clear" w:color="auto" w:fill="auto"/>
            <w:vAlign w:val="bottom"/>
          </w:tcPr>
          <w:p w14:paraId="5556CE9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A0"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EA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EA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2,945</w:t>
            </w:r>
          </w:p>
        </w:tc>
        <w:tc>
          <w:tcPr>
            <w:tcW w:w="0" w:type="auto"/>
            <w:tcBorders>
              <w:top w:val="single" w:sz="8" w:space="0" w:color="000000"/>
              <w:bottom w:val="double" w:sz="6" w:space="0" w:color="000000"/>
            </w:tcBorders>
            <w:shd w:val="clear" w:color="auto" w:fill="auto"/>
            <w:vAlign w:val="bottom"/>
          </w:tcPr>
          <w:p w14:paraId="5556CEA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A4"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EA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EA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2,963</w:t>
            </w:r>
          </w:p>
        </w:tc>
        <w:tc>
          <w:tcPr>
            <w:tcW w:w="0" w:type="auto"/>
            <w:tcBorders>
              <w:top w:val="single" w:sz="8" w:space="0" w:color="000000"/>
              <w:bottom w:val="double" w:sz="6" w:space="0" w:color="000000"/>
            </w:tcBorders>
            <w:shd w:val="clear" w:color="auto" w:fill="auto"/>
            <w:vAlign w:val="bottom"/>
          </w:tcPr>
          <w:p w14:paraId="5556CEA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A8"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EA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EA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27,148</w:t>
            </w:r>
          </w:p>
        </w:tc>
        <w:tc>
          <w:tcPr>
            <w:tcW w:w="0" w:type="auto"/>
            <w:tcBorders>
              <w:top w:val="single" w:sz="8" w:space="0" w:color="000000"/>
              <w:bottom w:val="double" w:sz="6" w:space="0" w:color="000000"/>
            </w:tcBorders>
            <w:shd w:val="clear" w:color="auto" w:fill="auto"/>
            <w:vAlign w:val="bottom"/>
          </w:tcPr>
          <w:p w14:paraId="5556CEA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AC"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EA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EA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27,482</w:t>
            </w:r>
          </w:p>
        </w:tc>
        <w:tc>
          <w:tcPr>
            <w:tcW w:w="0" w:type="auto"/>
            <w:tcBorders>
              <w:top w:val="single" w:sz="8" w:space="0" w:color="000000"/>
              <w:bottom w:val="double" w:sz="6" w:space="0" w:color="000000"/>
            </w:tcBorders>
            <w:shd w:val="clear" w:color="auto" w:fill="auto"/>
            <w:vAlign w:val="bottom"/>
          </w:tcPr>
          <w:p w14:paraId="5556CEA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B0"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EB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EB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41,782</w:t>
            </w:r>
          </w:p>
        </w:tc>
        <w:tc>
          <w:tcPr>
            <w:tcW w:w="0" w:type="auto"/>
            <w:tcBorders>
              <w:top w:val="single" w:sz="8" w:space="0" w:color="000000"/>
              <w:bottom w:val="double" w:sz="6" w:space="0" w:color="000000"/>
            </w:tcBorders>
            <w:shd w:val="clear" w:color="auto" w:fill="auto"/>
            <w:vAlign w:val="bottom"/>
          </w:tcPr>
          <w:p w14:paraId="5556CEB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B4"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EB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EB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42,157</w:t>
            </w:r>
          </w:p>
        </w:tc>
        <w:tc>
          <w:tcPr>
            <w:tcW w:w="0" w:type="auto"/>
            <w:tcBorders>
              <w:top w:val="single" w:sz="8" w:space="0" w:color="000000"/>
              <w:bottom w:val="double" w:sz="6" w:space="0" w:color="000000"/>
            </w:tcBorders>
            <w:shd w:val="clear" w:color="auto" w:fill="auto"/>
            <w:vAlign w:val="bottom"/>
          </w:tcPr>
          <w:p w14:paraId="5556CEB7" w14:textId="77777777" w:rsidR="00F925DD" w:rsidRDefault="00F925DD">
            <w:pPr>
              <w:textAlignment w:val="bottom"/>
              <w:rPr>
                <w:rFonts w:ascii="Times New Roman" w:hAnsi="Times New Roman"/>
                <w:sz w:val="20"/>
                <w:szCs w:val="20"/>
              </w:rPr>
            </w:pPr>
          </w:p>
        </w:tc>
      </w:tr>
    </w:tbl>
    <w:p w14:paraId="5556CEB9" w14:textId="77777777" w:rsidR="00F925DD" w:rsidRDefault="00F925DD">
      <w:pPr>
        <w:spacing w:line="288" w:lineRule="auto"/>
        <w:rPr>
          <w:rFonts w:ascii="Times New Roman" w:hAnsi="Times New Roman"/>
          <w:sz w:val="20"/>
          <w:szCs w:val="20"/>
        </w:rPr>
      </w:pPr>
    </w:p>
    <w:p w14:paraId="5556CEBA" w14:textId="77777777" w:rsidR="00F925DD" w:rsidRDefault="00F925DD">
      <w:pPr>
        <w:rPr>
          <w:rFonts w:ascii="Times New Roman" w:hAnsi="Times New Roman"/>
          <w:sz w:val="20"/>
          <w:szCs w:val="20"/>
        </w:rPr>
      </w:pPr>
    </w:p>
    <w:p w14:paraId="5556CEBB"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139</w:t>
      </w:r>
    </w:p>
    <w:p w14:paraId="5556CEBC" w14:textId="77777777" w:rsidR="00F925DD" w:rsidRDefault="00F925DD">
      <w:pPr>
        <w:spacing w:line="288" w:lineRule="auto"/>
        <w:ind w:firstLine="600"/>
        <w:jc w:val="center"/>
        <w:rPr>
          <w:rFonts w:ascii="Times New Roman" w:hAnsi="Times New Roman"/>
          <w:sz w:val="18"/>
          <w:szCs w:val="18"/>
        </w:rPr>
      </w:pPr>
    </w:p>
    <w:p w14:paraId="5556CEBD" w14:textId="77777777" w:rsidR="00F925DD" w:rsidRDefault="00E705D7">
      <w:r>
        <w:rPr>
          <w:rFonts w:ascii="Times New Roman" w:hAnsi="Times New Roman"/>
          <w:sz w:val="18"/>
          <w:szCs w:val="18"/>
        </w:rPr>
        <w:pict w14:anchorId="555706C5">
          <v:rect id="_x0000_i1163" style="width:415.3pt;height:1.5pt" o:hralign="center" o:hrstd="t" o:hr="t" fillcolor="#a0a0a0" stroked="f"/>
        </w:pict>
      </w:r>
    </w:p>
    <w:p w14:paraId="5556CEB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CEB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CEC0" w14:textId="77777777" w:rsidR="00F925DD" w:rsidRDefault="00F925DD">
      <w:pPr>
        <w:rPr>
          <w:rFonts w:ascii="Times New Roman" w:hAnsi="Times New Roman"/>
          <w:sz w:val="20"/>
          <w:szCs w:val="20"/>
        </w:rPr>
      </w:pPr>
    </w:p>
    <w:p w14:paraId="5556CEC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w:t>
      </w:r>
      <w:r>
        <w:rPr>
          <w:rFonts w:ascii="Arial" w:eastAsia="宋体" w:hAnsi="Arial" w:cs="Arial"/>
          <w:sz w:val="20"/>
          <w:szCs w:val="20"/>
        </w:rPr>
        <w:t>ent gross realized gains and losses from sales of AFS investment securities, and the components of net impairment losses included in net gains and losses related to investment securities for the periods indicated:</w:t>
      </w:r>
    </w:p>
    <w:tbl>
      <w:tblPr>
        <w:tblW w:w="4990" w:type="pct"/>
        <w:tblCellMar>
          <w:left w:w="0" w:type="dxa"/>
          <w:right w:w="0" w:type="dxa"/>
        </w:tblCellMar>
        <w:tblLook w:val="04A0" w:firstRow="1" w:lastRow="0" w:firstColumn="1" w:lastColumn="0" w:noHBand="0" w:noVBand="1"/>
      </w:tblPr>
      <w:tblGrid>
        <w:gridCol w:w="4456"/>
        <w:gridCol w:w="118"/>
        <w:gridCol w:w="975"/>
        <w:gridCol w:w="87"/>
        <w:gridCol w:w="146"/>
        <w:gridCol w:w="118"/>
        <w:gridCol w:w="975"/>
        <w:gridCol w:w="87"/>
        <w:gridCol w:w="146"/>
        <w:gridCol w:w="118"/>
        <w:gridCol w:w="976"/>
        <w:gridCol w:w="87"/>
      </w:tblGrid>
      <w:tr w:rsidR="00F925DD" w14:paraId="5556CEC3" w14:textId="77777777">
        <w:tc>
          <w:tcPr>
            <w:tcW w:w="0" w:type="auto"/>
            <w:gridSpan w:val="12"/>
            <w:shd w:val="clear" w:color="auto" w:fill="auto"/>
            <w:vAlign w:val="center"/>
          </w:tcPr>
          <w:p w14:paraId="5556CEC2" w14:textId="77777777" w:rsidR="00F925DD" w:rsidRDefault="00F925DD">
            <w:pPr>
              <w:rPr>
                <w:rFonts w:ascii="Times New Roman" w:hAnsi="Times New Roman"/>
                <w:sz w:val="20"/>
                <w:szCs w:val="20"/>
              </w:rPr>
            </w:pPr>
          </w:p>
        </w:tc>
      </w:tr>
      <w:tr w:rsidR="00F925DD" w14:paraId="5556CED0" w14:textId="77777777">
        <w:tc>
          <w:tcPr>
            <w:tcW w:w="2700" w:type="pct"/>
            <w:shd w:val="clear" w:color="auto" w:fill="auto"/>
            <w:vAlign w:val="center"/>
          </w:tcPr>
          <w:p w14:paraId="5556CEC4" w14:textId="77777777" w:rsidR="00F925DD" w:rsidRDefault="00F925DD">
            <w:pPr>
              <w:rPr>
                <w:rFonts w:ascii="Times New Roman" w:hAnsi="Times New Roman"/>
                <w:sz w:val="20"/>
                <w:szCs w:val="20"/>
              </w:rPr>
            </w:pPr>
          </w:p>
        </w:tc>
        <w:tc>
          <w:tcPr>
            <w:tcW w:w="50" w:type="pct"/>
            <w:shd w:val="clear" w:color="auto" w:fill="auto"/>
            <w:vAlign w:val="center"/>
          </w:tcPr>
          <w:p w14:paraId="5556CEC5" w14:textId="77777777" w:rsidR="00F925DD" w:rsidRDefault="00F925DD">
            <w:pPr>
              <w:rPr>
                <w:rFonts w:ascii="Times New Roman" w:hAnsi="Times New Roman"/>
                <w:sz w:val="20"/>
                <w:szCs w:val="20"/>
              </w:rPr>
            </w:pPr>
          </w:p>
        </w:tc>
        <w:tc>
          <w:tcPr>
            <w:tcW w:w="600" w:type="pct"/>
            <w:shd w:val="clear" w:color="auto" w:fill="auto"/>
            <w:vAlign w:val="center"/>
          </w:tcPr>
          <w:p w14:paraId="5556CEC6" w14:textId="77777777" w:rsidR="00F925DD" w:rsidRDefault="00F925DD">
            <w:pPr>
              <w:rPr>
                <w:rFonts w:ascii="Times New Roman" w:hAnsi="Times New Roman"/>
                <w:sz w:val="20"/>
                <w:szCs w:val="20"/>
              </w:rPr>
            </w:pPr>
          </w:p>
        </w:tc>
        <w:tc>
          <w:tcPr>
            <w:tcW w:w="50" w:type="pct"/>
            <w:shd w:val="clear" w:color="auto" w:fill="auto"/>
            <w:vAlign w:val="center"/>
          </w:tcPr>
          <w:p w14:paraId="5556CEC7" w14:textId="77777777" w:rsidR="00F925DD" w:rsidRDefault="00F925DD">
            <w:pPr>
              <w:rPr>
                <w:rFonts w:ascii="Times New Roman" w:hAnsi="Times New Roman"/>
                <w:sz w:val="20"/>
                <w:szCs w:val="20"/>
              </w:rPr>
            </w:pPr>
          </w:p>
        </w:tc>
        <w:tc>
          <w:tcPr>
            <w:tcW w:w="100" w:type="pct"/>
            <w:shd w:val="clear" w:color="auto" w:fill="auto"/>
            <w:vAlign w:val="center"/>
          </w:tcPr>
          <w:p w14:paraId="5556CEC8" w14:textId="77777777" w:rsidR="00F925DD" w:rsidRDefault="00F925DD">
            <w:pPr>
              <w:rPr>
                <w:rFonts w:ascii="Times New Roman" w:hAnsi="Times New Roman"/>
                <w:sz w:val="20"/>
                <w:szCs w:val="20"/>
              </w:rPr>
            </w:pPr>
          </w:p>
        </w:tc>
        <w:tc>
          <w:tcPr>
            <w:tcW w:w="50" w:type="pct"/>
            <w:shd w:val="clear" w:color="auto" w:fill="auto"/>
            <w:vAlign w:val="center"/>
          </w:tcPr>
          <w:p w14:paraId="5556CEC9" w14:textId="77777777" w:rsidR="00F925DD" w:rsidRDefault="00F925DD">
            <w:pPr>
              <w:rPr>
                <w:rFonts w:ascii="Times New Roman" w:hAnsi="Times New Roman"/>
                <w:sz w:val="20"/>
                <w:szCs w:val="20"/>
              </w:rPr>
            </w:pPr>
          </w:p>
        </w:tc>
        <w:tc>
          <w:tcPr>
            <w:tcW w:w="600" w:type="pct"/>
            <w:shd w:val="clear" w:color="auto" w:fill="auto"/>
            <w:vAlign w:val="center"/>
          </w:tcPr>
          <w:p w14:paraId="5556CECA" w14:textId="77777777" w:rsidR="00F925DD" w:rsidRDefault="00F925DD">
            <w:pPr>
              <w:rPr>
                <w:rFonts w:ascii="Times New Roman" w:hAnsi="Times New Roman"/>
                <w:sz w:val="20"/>
                <w:szCs w:val="20"/>
              </w:rPr>
            </w:pPr>
          </w:p>
        </w:tc>
        <w:tc>
          <w:tcPr>
            <w:tcW w:w="50" w:type="pct"/>
            <w:shd w:val="clear" w:color="auto" w:fill="auto"/>
            <w:vAlign w:val="center"/>
          </w:tcPr>
          <w:p w14:paraId="5556CECB" w14:textId="77777777" w:rsidR="00F925DD" w:rsidRDefault="00F925DD">
            <w:pPr>
              <w:rPr>
                <w:rFonts w:ascii="Times New Roman" w:hAnsi="Times New Roman"/>
                <w:sz w:val="20"/>
                <w:szCs w:val="20"/>
              </w:rPr>
            </w:pPr>
          </w:p>
        </w:tc>
        <w:tc>
          <w:tcPr>
            <w:tcW w:w="100" w:type="pct"/>
            <w:shd w:val="clear" w:color="auto" w:fill="auto"/>
            <w:vAlign w:val="center"/>
          </w:tcPr>
          <w:p w14:paraId="5556CECC" w14:textId="77777777" w:rsidR="00F925DD" w:rsidRDefault="00F925DD">
            <w:pPr>
              <w:rPr>
                <w:rFonts w:ascii="Times New Roman" w:hAnsi="Times New Roman"/>
                <w:sz w:val="20"/>
                <w:szCs w:val="20"/>
              </w:rPr>
            </w:pPr>
          </w:p>
        </w:tc>
        <w:tc>
          <w:tcPr>
            <w:tcW w:w="50" w:type="pct"/>
            <w:shd w:val="clear" w:color="auto" w:fill="auto"/>
            <w:vAlign w:val="center"/>
          </w:tcPr>
          <w:p w14:paraId="5556CECD" w14:textId="77777777" w:rsidR="00F925DD" w:rsidRDefault="00F925DD">
            <w:pPr>
              <w:rPr>
                <w:rFonts w:ascii="Times New Roman" w:hAnsi="Times New Roman"/>
                <w:sz w:val="20"/>
                <w:szCs w:val="20"/>
              </w:rPr>
            </w:pPr>
          </w:p>
        </w:tc>
        <w:tc>
          <w:tcPr>
            <w:tcW w:w="600" w:type="pct"/>
            <w:shd w:val="clear" w:color="auto" w:fill="auto"/>
            <w:vAlign w:val="center"/>
          </w:tcPr>
          <w:p w14:paraId="5556CECE" w14:textId="77777777" w:rsidR="00F925DD" w:rsidRDefault="00F925DD">
            <w:pPr>
              <w:rPr>
                <w:rFonts w:ascii="Times New Roman" w:hAnsi="Times New Roman"/>
                <w:sz w:val="20"/>
                <w:szCs w:val="20"/>
              </w:rPr>
            </w:pPr>
          </w:p>
        </w:tc>
        <w:tc>
          <w:tcPr>
            <w:tcW w:w="50" w:type="pct"/>
            <w:shd w:val="clear" w:color="auto" w:fill="auto"/>
            <w:vAlign w:val="center"/>
          </w:tcPr>
          <w:p w14:paraId="5556CECF" w14:textId="77777777" w:rsidR="00F925DD" w:rsidRDefault="00F925DD">
            <w:pPr>
              <w:rPr>
                <w:rFonts w:ascii="Times New Roman" w:hAnsi="Times New Roman"/>
                <w:sz w:val="20"/>
                <w:szCs w:val="20"/>
              </w:rPr>
            </w:pPr>
          </w:p>
        </w:tc>
      </w:tr>
      <w:tr w:rsidR="00F925DD" w14:paraId="5556CED3" w14:textId="77777777">
        <w:tc>
          <w:tcPr>
            <w:tcW w:w="0" w:type="auto"/>
            <w:shd w:val="clear" w:color="auto" w:fill="auto"/>
            <w:tcMar>
              <w:top w:w="40" w:type="dxa"/>
              <w:left w:w="40" w:type="dxa"/>
              <w:bottom w:w="40" w:type="dxa"/>
              <w:right w:w="40" w:type="dxa"/>
            </w:tcMar>
            <w:vAlign w:val="bottom"/>
          </w:tcPr>
          <w:p w14:paraId="5556CE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CED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Years Ended </w:t>
            </w:r>
            <w:r>
              <w:rPr>
                <w:rFonts w:ascii="Arial" w:eastAsia="宋体" w:hAnsi="Arial" w:cs="Arial"/>
                <w:b/>
                <w:bCs/>
                <w:sz w:val="14"/>
                <w:szCs w:val="14"/>
              </w:rPr>
              <w:t>December 31,</w:t>
            </w:r>
          </w:p>
        </w:tc>
      </w:tr>
      <w:tr w:rsidR="00F925DD" w14:paraId="5556CEDA" w14:textId="77777777">
        <w:tc>
          <w:tcPr>
            <w:tcW w:w="0" w:type="auto"/>
            <w:shd w:val="clear" w:color="auto" w:fill="auto"/>
            <w:tcMar>
              <w:top w:w="40" w:type="dxa"/>
              <w:left w:w="40" w:type="dxa"/>
              <w:bottom w:w="40" w:type="dxa"/>
              <w:right w:w="40" w:type="dxa"/>
            </w:tcMar>
            <w:vAlign w:val="bottom"/>
          </w:tcPr>
          <w:p w14:paraId="5556CED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ED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CE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ED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CE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CED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CEE7" w14:textId="77777777">
        <w:tc>
          <w:tcPr>
            <w:tcW w:w="0" w:type="auto"/>
            <w:shd w:val="clear" w:color="auto" w:fill="CCEEFF"/>
            <w:tcMar>
              <w:top w:w="40" w:type="dxa"/>
              <w:left w:w="40" w:type="dxa"/>
              <w:bottom w:w="40" w:type="dxa"/>
              <w:right w:w="40" w:type="dxa"/>
            </w:tcMar>
            <w:vAlign w:val="bottom"/>
          </w:tcPr>
          <w:p w14:paraId="5556CEDB" w14:textId="77777777" w:rsidR="00F925DD" w:rsidRDefault="00E705D7">
            <w:pPr>
              <w:textAlignment w:val="bottom"/>
              <w:rPr>
                <w:rFonts w:ascii="Times New Roman" w:hAnsi="Times New Roman"/>
                <w:sz w:val="14"/>
                <w:szCs w:val="14"/>
              </w:rPr>
            </w:pPr>
            <w:r>
              <w:rPr>
                <w:rFonts w:ascii="Arial" w:eastAsia="宋体" w:hAnsi="Arial" w:cs="Arial"/>
                <w:sz w:val="14"/>
                <w:szCs w:val="14"/>
              </w:rPr>
              <w:t>Gross realized gains from sales of AFS investment securities</w:t>
            </w:r>
          </w:p>
        </w:tc>
        <w:tc>
          <w:tcPr>
            <w:tcW w:w="0" w:type="auto"/>
            <w:tcBorders>
              <w:top w:val="single" w:sz="8" w:space="0" w:color="000000"/>
            </w:tcBorders>
            <w:shd w:val="clear" w:color="auto" w:fill="CCEEFF"/>
            <w:tcMar>
              <w:top w:w="40" w:type="dxa"/>
              <w:left w:w="40" w:type="dxa"/>
              <w:bottom w:w="40" w:type="dxa"/>
            </w:tcMar>
            <w:vAlign w:val="bottom"/>
          </w:tcPr>
          <w:p w14:paraId="5556CED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CED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w:t>
            </w:r>
          </w:p>
        </w:tc>
        <w:tc>
          <w:tcPr>
            <w:tcW w:w="0" w:type="auto"/>
            <w:tcBorders>
              <w:top w:val="single" w:sz="8" w:space="0" w:color="000000"/>
            </w:tcBorders>
            <w:shd w:val="clear" w:color="auto" w:fill="CCEEFF"/>
            <w:vAlign w:val="bottom"/>
          </w:tcPr>
          <w:p w14:paraId="5556CE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EE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EE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205</w:t>
            </w:r>
          </w:p>
        </w:tc>
        <w:tc>
          <w:tcPr>
            <w:tcW w:w="0" w:type="auto"/>
            <w:shd w:val="clear" w:color="auto" w:fill="CCEEFF"/>
            <w:vAlign w:val="bottom"/>
          </w:tcPr>
          <w:p w14:paraId="5556CE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E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EE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EE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74</w:t>
            </w:r>
          </w:p>
        </w:tc>
        <w:tc>
          <w:tcPr>
            <w:tcW w:w="0" w:type="auto"/>
            <w:shd w:val="clear" w:color="auto" w:fill="CCEEFF"/>
            <w:vAlign w:val="bottom"/>
          </w:tcPr>
          <w:p w14:paraId="5556CEE6" w14:textId="77777777" w:rsidR="00F925DD" w:rsidRDefault="00F925DD">
            <w:pPr>
              <w:textAlignment w:val="bottom"/>
              <w:rPr>
                <w:rFonts w:ascii="Times New Roman" w:hAnsi="Times New Roman"/>
                <w:sz w:val="20"/>
                <w:szCs w:val="20"/>
              </w:rPr>
            </w:pPr>
          </w:p>
        </w:tc>
      </w:tr>
      <w:tr w:rsidR="00F925DD" w14:paraId="5556CEF1" w14:textId="77777777">
        <w:tc>
          <w:tcPr>
            <w:tcW w:w="0" w:type="auto"/>
            <w:shd w:val="clear" w:color="auto" w:fill="auto"/>
            <w:tcMar>
              <w:top w:w="40" w:type="dxa"/>
              <w:left w:w="40" w:type="dxa"/>
              <w:bottom w:w="40" w:type="dxa"/>
              <w:right w:w="40" w:type="dxa"/>
            </w:tcMar>
            <w:vAlign w:val="bottom"/>
          </w:tcPr>
          <w:p w14:paraId="5556CEE8" w14:textId="77777777" w:rsidR="00F925DD" w:rsidRDefault="00E705D7">
            <w:pPr>
              <w:textAlignment w:val="bottom"/>
              <w:rPr>
                <w:rFonts w:ascii="Times New Roman" w:hAnsi="Times New Roman"/>
                <w:sz w:val="14"/>
                <w:szCs w:val="14"/>
              </w:rPr>
            </w:pPr>
            <w:r>
              <w:rPr>
                <w:rFonts w:ascii="Arial" w:eastAsia="宋体" w:hAnsi="Arial" w:cs="Arial"/>
                <w:sz w:val="14"/>
                <w:szCs w:val="14"/>
              </w:rPr>
              <w:t>Gross realized losses from sales of AFS investment securities</w:t>
            </w:r>
          </w:p>
        </w:tc>
        <w:tc>
          <w:tcPr>
            <w:tcW w:w="0" w:type="auto"/>
            <w:gridSpan w:val="2"/>
            <w:shd w:val="clear" w:color="auto" w:fill="auto"/>
            <w:tcMar>
              <w:top w:w="40" w:type="dxa"/>
              <w:left w:w="40" w:type="dxa"/>
              <w:bottom w:w="40" w:type="dxa"/>
            </w:tcMar>
            <w:vAlign w:val="bottom"/>
          </w:tcPr>
          <w:p w14:paraId="5556CEE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w:t>
            </w:r>
          </w:p>
        </w:tc>
        <w:tc>
          <w:tcPr>
            <w:tcW w:w="0" w:type="auto"/>
            <w:shd w:val="clear" w:color="auto" w:fill="auto"/>
            <w:tcMar>
              <w:top w:w="40" w:type="dxa"/>
              <w:bottom w:w="40" w:type="dxa"/>
              <w:right w:w="40" w:type="dxa"/>
            </w:tcMar>
            <w:vAlign w:val="bottom"/>
          </w:tcPr>
          <w:p w14:paraId="5556CEE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CE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EE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(196</w:t>
            </w:r>
          </w:p>
        </w:tc>
        <w:tc>
          <w:tcPr>
            <w:tcW w:w="0" w:type="auto"/>
            <w:shd w:val="clear" w:color="auto" w:fill="auto"/>
            <w:tcMar>
              <w:top w:w="40" w:type="dxa"/>
              <w:bottom w:w="40" w:type="dxa"/>
              <w:right w:w="40" w:type="dxa"/>
            </w:tcMar>
            <w:vAlign w:val="bottom"/>
          </w:tcPr>
          <w:p w14:paraId="5556CEE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CE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EE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(113</w:t>
            </w:r>
          </w:p>
        </w:tc>
        <w:tc>
          <w:tcPr>
            <w:tcW w:w="0" w:type="auto"/>
            <w:shd w:val="clear" w:color="auto" w:fill="auto"/>
            <w:tcMar>
              <w:top w:w="40" w:type="dxa"/>
              <w:bottom w:w="40" w:type="dxa"/>
              <w:right w:w="40" w:type="dxa"/>
            </w:tcMar>
            <w:vAlign w:val="bottom"/>
          </w:tcPr>
          <w:p w14:paraId="5556CEF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CEF8" w14:textId="77777777">
        <w:tc>
          <w:tcPr>
            <w:tcW w:w="0" w:type="auto"/>
            <w:shd w:val="clear" w:color="auto" w:fill="CCEEFF"/>
            <w:tcMar>
              <w:top w:w="40" w:type="dxa"/>
              <w:left w:w="40" w:type="dxa"/>
              <w:bottom w:w="40" w:type="dxa"/>
              <w:right w:w="40" w:type="dxa"/>
            </w:tcMar>
            <w:vAlign w:val="bottom"/>
          </w:tcPr>
          <w:p w14:paraId="5556CEF2" w14:textId="77777777" w:rsidR="00F925DD" w:rsidRDefault="00E705D7">
            <w:pPr>
              <w:textAlignment w:val="bottom"/>
              <w:rPr>
                <w:rFonts w:ascii="Times New Roman" w:hAnsi="Times New Roman"/>
                <w:sz w:val="14"/>
                <w:szCs w:val="14"/>
              </w:rPr>
            </w:pPr>
            <w:r>
              <w:rPr>
                <w:rFonts w:ascii="Arial" w:eastAsia="宋体" w:hAnsi="Arial" w:cs="Arial"/>
                <w:sz w:val="14"/>
                <w:szCs w:val="14"/>
              </w:rPr>
              <w:t>Net impairment losses:</w:t>
            </w:r>
          </w:p>
        </w:tc>
        <w:tc>
          <w:tcPr>
            <w:tcW w:w="0" w:type="auto"/>
            <w:gridSpan w:val="3"/>
            <w:shd w:val="clear" w:color="auto" w:fill="CCEEFF"/>
            <w:tcMar>
              <w:top w:w="40" w:type="dxa"/>
              <w:left w:w="40" w:type="dxa"/>
              <w:bottom w:w="40" w:type="dxa"/>
              <w:right w:w="40" w:type="dxa"/>
            </w:tcMar>
            <w:vAlign w:val="bottom"/>
          </w:tcPr>
          <w:p w14:paraId="5556CE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E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E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E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F02" w14:textId="77777777">
        <w:tc>
          <w:tcPr>
            <w:tcW w:w="0" w:type="auto"/>
            <w:shd w:val="clear" w:color="auto" w:fill="auto"/>
            <w:tcMar>
              <w:top w:w="40" w:type="dxa"/>
              <w:left w:w="40" w:type="dxa"/>
              <w:bottom w:w="40" w:type="dxa"/>
              <w:right w:w="40" w:type="dxa"/>
            </w:tcMar>
            <w:vAlign w:val="bottom"/>
          </w:tcPr>
          <w:p w14:paraId="5556CEF9" w14:textId="77777777" w:rsidR="00F925DD" w:rsidRDefault="00E705D7">
            <w:pPr>
              <w:textAlignment w:val="bottom"/>
              <w:rPr>
                <w:rFonts w:ascii="Times New Roman" w:hAnsi="Times New Roman"/>
                <w:sz w:val="14"/>
                <w:szCs w:val="14"/>
              </w:rPr>
            </w:pPr>
            <w:r>
              <w:rPr>
                <w:rFonts w:ascii="Arial" w:eastAsia="宋体" w:hAnsi="Arial" w:cs="Arial"/>
                <w:sz w:val="14"/>
                <w:szCs w:val="14"/>
              </w:rPr>
              <w:t>Gross losses from OTTI</w:t>
            </w:r>
          </w:p>
        </w:tc>
        <w:tc>
          <w:tcPr>
            <w:tcW w:w="0" w:type="auto"/>
            <w:gridSpan w:val="2"/>
            <w:tcBorders>
              <w:bottom w:val="single" w:sz="8" w:space="0" w:color="000000"/>
            </w:tcBorders>
            <w:shd w:val="clear" w:color="auto" w:fill="auto"/>
            <w:tcMar>
              <w:top w:w="40" w:type="dxa"/>
              <w:left w:w="40" w:type="dxa"/>
              <w:bottom w:w="40" w:type="dxa"/>
            </w:tcMar>
            <w:vAlign w:val="bottom"/>
          </w:tcPr>
          <w:p w14:paraId="5556CEF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5556CE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E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EF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auto"/>
            <w:tcMar>
              <w:top w:w="40" w:type="dxa"/>
              <w:bottom w:w="40" w:type="dxa"/>
              <w:right w:w="40" w:type="dxa"/>
            </w:tcMar>
            <w:vAlign w:val="bottom"/>
          </w:tcPr>
          <w:p w14:paraId="5556CEF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CE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F0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F01" w14:textId="77777777" w:rsidR="00F925DD" w:rsidRDefault="00F925DD">
            <w:pPr>
              <w:textAlignment w:val="bottom"/>
              <w:rPr>
                <w:rFonts w:ascii="Times New Roman" w:hAnsi="Times New Roman"/>
                <w:sz w:val="20"/>
                <w:szCs w:val="20"/>
              </w:rPr>
            </w:pPr>
          </w:p>
        </w:tc>
      </w:tr>
      <w:tr w:rsidR="00F925DD" w14:paraId="5556CF0C" w14:textId="77777777">
        <w:tc>
          <w:tcPr>
            <w:tcW w:w="0" w:type="auto"/>
            <w:shd w:val="clear" w:color="auto" w:fill="CCEEFF"/>
            <w:tcMar>
              <w:top w:w="40" w:type="dxa"/>
              <w:left w:w="40" w:type="dxa"/>
              <w:bottom w:w="40" w:type="dxa"/>
              <w:right w:w="40" w:type="dxa"/>
            </w:tcMar>
            <w:vAlign w:val="bottom"/>
          </w:tcPr>
          <w:p w14:paraId="5556CF03" w14:textId="77777777" w:rsidR="00F925DD" w:rsidRDefault="00E705D7">
            <w:pPr>
              <w:textAlignment w:val="bottom"/>
              <w:rPr>
                <w:rFonts w:ascii="Times New Roman" w:hAnsi="Times New Roman"/>
                <w:sz w:val="14"/>
                <w:szCs w:val="14"/>
              </w:rPr>
            </w:pPr>
            <w:r>
              <w:rPr>
                <w:rFonts w:ascii="Arial" w:eastAsia="宋体" w:hAnsi="Arial" w:cs="Arial"/>
                <w:sz w:val="14"/>
                <w:szCs w:val="14"/>
              </w:rPr>
              <w:t>Net impairment losses</w:t>
            </w:r>
          </w:p>
        </w:tc>
        <w:tc>
          <w:tcPr>
            <w:tcW w:w="0" w:type="auto"/>
            <w:gridSpan w:val="2"/>
            <w:shd w:val="clear" w:color="auto" w:fill="CCEEFF"/>
            <w:tcMar>
              <w:top w:w="40" w:type="dxa"/>
              <w:left w:w="40" w:type="dxa"/>
              <w:bottom w:w="40" w:type="dxa"/>
            </w:tcMar>
            <w:vAlign w:val="bottom"/>
          </w:tcPr>
          <w:p w14:paraId="5556CF0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CF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F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F0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556CF0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CF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CF0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single" w:sz="8" w:space="0" w:color="000000"/>
            </w:tcBorders>
            <w:shd w:val="clear" w:color="auto" w:fill="CCEEFF"/>
            <w:vAlign w:val="bottom"/>
          </w:tcPr>
          <w:p w14:paraId="5556CF0B" w14:textId="77777777" w:rsidR="00F925DD" w:rsidRDefault="00F925DD">
            <w:pPr>
              <w:textAlignment w:val="bottom"/>
              <w:rPr>
                <w:rFonts w:ascii="Times New Roman" w:hAnsi="Times New Roman"/>
                <w:sz w:val="20"/>
                <w:szCs w:val="20"/>
              </w:rPr>
            </w:pPr>
          </w:p>
        </w:tc>
      </w:tr>
      <w:tr w:rsidR="00F925DD" w14:paraId="5556CF16" w14:textId="77777777">
        <w:tc>
          <w:tcPr>
            <w:tcW w:w="0" w:type="auto"/>
            <w:shd w:val="clear" w:color="auto" w:fill="auto"/>
            <w:tcMar>
              <w:top w:w="40" w:type="dxa"/>
              <w:left w:w="40" w:type="dxa"/>
              <w:bottom w:w="40" w:type="dxa"/>
              <w:right w:w="40" w:type="dxa"/>
            </w:tcMar>
            <w:vAlign w:val="bottom"/>
          </w:tcPr>
          <w:p w14:paraId="5556CF0D" w14:textId="77777777" w:rsidR="00F925DD" w:rsidRDefault="00E705D7">
            <w:pPr>
              <w:textAlignment w:val="bottom"/>
              <w:rPr>
                <w:rFonts w:ascii="Times New Roman" w:hAnsi="Times New Roman"/>
                <w:sz w:val="14"/>
                <w:szCs w:val="14"/>
              </w:rPr>
            </w:pPr>
            <w:r>
              <w:rPr>
                <w:rFonts w:ascii="Arial" w:eastAsia="宋体" w:hAnsi="Arial" w:cs="Arial"/>
                <w:sz w:val="14"/>
                <w:szCs w:val="14"/>
              </w:rPr>
              <w:t>Gains (losses) related to investment securities, net</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556CF0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CF0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CF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556CF1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tcBorders>
              <w:top w:val="single" w:sz="8" w:space="0" w:color="000000"/>
              <w:bottom w:val="double" w:sz="6" w:space="0" w:color="000000"/>
            </w:tcBorders>
            <w:shd w:val="clear" w:color="auto" w:fill="auto"/>
            <w:vAlign w:val="bottom"/>
          </w:tcPr>
          <w:p w14:paraId="5556CF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F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556CF1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CF1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CF1D" w14:textId="77777777">
        <w:tc>
          <w:tcPr>
            <w:tcW w:w="0" w:type="auto"/>
            <w:shd w:val="clear" w:color="auto" w:fill="CCEEFF"/>
            <w:tcMar>
              <w:top w:w="40" w:type="dxa"/>
              <w:left w:w="40" w:type="dxa"/>
              <w:bottom w:w="40" w:type="dxa"/>
              <w:right w:w="40" w:type="dxa"/>
            </w:tcMar>
            <w:vAlign w:val="bottom"/>
          </w:tcPr>
          <w:p w14:paraId="5556CF17"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impairment losses, recognized in our consolidated statement of income, were composed of the </w:t>
            </w:r>
            <w:r>
              <w:rPr>
                <w:rFonts w:ascii="Arial" w:eastAsia="宋体" w:hAnsi="Arial" w:cs="Arial"/>
                <w:sz w:val="14"/>
                <w:szCs w:val="14"/>
              </w:rPr>
              <w:t>following:</w:t>
            </w:r>
          </w:p>
        </w:tc>
        <w:tc>
          <w:tcPr>
            <w:tcW w:w="0" w:type="auto"/>
            <w:gridSpan w:val="3"/>
            <w:shd w:val="clear" w:color="auto" w:fill="CCEEFF"/>
            <w:tcMar>
              <w:top w:w="40" w:type="dxa"/>
              <w:left w:w="40" w:type="dxa"/>
              <w:bottom w:w="40" w:type="dxa"/>
              <w:right w:w="40" w:type="dxa"/>
            </w:tcMar>
            <w:vAlign w:val="bottom"/>
          </w:tcPr>
          <w:p w14:paraId="5556CF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F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F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CF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CF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F27" w14:textId="77777777">
        <w:tc>
          <w:tcPr>
            <w:tcW w:w="0" w:type="auto"/>
            <w:shd w:val="clear" w:color="auto" w:fill="auto"/>
            <w:tcMar>
              <w:top w:w="40" w:type="dxa"/>
              <w:left w:w="40" w:type="dxa"/>
              <w:bottom w:w="40" w:type="dxa"/>
              <w:right w:w="40" w:type="dxa"/>
            </w:tcMar>
            <w:vAlign w:val="bottom"/>
          </w:tcPr>
          <w:p w14:paraId="5556CF1E" w14:textId="77777777" w:rsidR="00F925DD" w:rsidRDefault="00E705D7">
            <w:pPr>
              <w:textAlignment w:val="bottom"/>
              <w:rPr>
                <w:rFonts w:ascii="Times New Roman" w:hAnsi="Times New Roman"/>
                <w:sz w:val="14"/>
                <w:szCs w:val="14"/>
              </w:rPr>
            </w:pPr>
            <w:r>
              <w:rPr>
                <w:rFonts w:ascii="Arial" w:eastAsia="宋体" w:hAnsi="Arial" w:cs="Arial"/>
                <w:sz w:val="14"/>
                <w:szCs w:val="14"/>
              </w:rPr>
              <w:t>Impairment associated with adverse changes in timing of expected future cash flows</w:t>
            </w:r>
          </w:p>
        </w:tc>
        <w:tc>
          <w:tcPr>
            <w:tcW w:w="0" w:type="auto"/>
            <w:gridSpan w:val="2"/>
            <w:shd w:val="clear" w:color="auto" w:fill="auto"/>
            <w:tcMar>
              <w:top w:w="40" w:type="dxa"/>
              <w:left w:w="40" w:type="dxa"/>
              <w:bottom w:w="40" w:type="dxa"/>
            </w:tcMar>
            <w:vAlign w:val="bottom"/>
          </w:tcPr>
          <w:p w14:paraId="5556CF1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CF2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F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F2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auto"/>
            <w:tcMar>
              <w:top w:w="40" w:type="dxa"/>
              <w:bottom w:w="40" w:type="dxa"/>
              <w:right w:w="40" w:type="dxa"/>
            </w:tcMar>
            <w:vAlign w:val="bottom"/>
          </w:tcPr>
          <w:p w14:paraId="5556CF2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CF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CF2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CF26" w14:textId="77777777" w:rsidR="00F925DD" w:rsidRDefault="00F925DD">
            <w:pPr>
              <w:textAlignment w:val="bottom"/>
              <w:rPr>
                <w:rFonts w:ascii="Times New Roman" w:hAnsi="Times New Roman"/>
                <w:sz w:val="20"/>
                <w:szCs w:val="20"/>
              </w:rPr>
            </w:pPr>
          </w:p>
        </w:tc>
      </w:tr>
      <w:tr w:rsidR="00F925DD" w14:paraId="5556CF34" w14:textId="77777777">
        <w:tc>
          <w:tcPr>
            <w:tcW w:w="0" w:type="auto"/>
            <w:shd w:val="clear" w:color="auto" w:fill="CCEEFF"/>
            <w:tcMar>
              <w:top w:w="40" w:type="dxa"/>
              <w:left w:w="40" w:type="dxa"/>
              <w:bottom w:w="40" w:type="dxa"/>
              <w:right w:w="40" w:type="dxa"/>
            </w:tcMar>
            <w:vAlign w:val="bottom"/>
          </w:tcPr>
          <w:p w14:paraId="5556CF28" w14:textId="77777777" w:rsidR="00F925DD" w:rsidRDefault="00E705D7">
            <w:pPr>
              <w:textAlignment w:val="bottom"/>
              <w:rPr>
                <w:rFonts w:ascii="Times New Roman" w:hAnsi="Times New Roman"/>
                <w:sz w:val="14"/>
                <w:szCs w:val="14"/>
              </w:rPr>
            </w:pPr>
            <w:r>
              <w:rPr>
                <w:rFonts w:ascii="Arial" w:eastAsia="宋体" w:hAnsi="Arial" w:cs="Arial"/>
                <w:sz w:val="14"/>
                <w:szCs w:val="14"/>
              </w:rPr>
              <w:t>Net impairment losses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F2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F2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vAlign w:val="bottom"/>
          </w:tcPr>
          <w:p w14:paraId="5556CF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F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F2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F2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CF2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CF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CF3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CF3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vAlign w:val="bottom"/>
          </w:tcPr>
          <w:p w14:paraId="5556CF33" w14:textId="77777777" w:rsidR="00F925DD" w:rsidRDefault="00F925DD">
            <w:pPr>
              <w:textAlignment w:val="bottom"/>
              <w:rPr>
                <w:rFonts w:ascii="Times New Roman" w:hAnsi="Times New Roman"/>
                <w:sz w:val="20"/>
                <w:szCs w:val="20"/>
              </w:rPr>
            </w:pPr>
          </w:p>
        </w:tc>
      </w:tr>
    </w:tbl>
    <w:p w14:paraId="5556CF35" w14:textId="77777777" w:rsidR="00F925DD" w:rsidRDefault="00F925DD">
      <w:pPr>
        <w:spacing w:line="288" w:lineRule="auto"/>
        <w:rPr>
          <w:rFonts w:ascii="Times New Roman" w:hAnsi="Times New Roman"/>
          <w:sz w:val="20"/>
          <w:szCs w:val="20"/>
        </w:rPr>
      </w:pPr>
    </w:p>
    <w:p w14:paraId="5556CF3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a roll-forward with respect to net impairment losses that </w:t>
      </w:r>
      <w:r>
        <w:rPr>
          <w:rFonts w:ascii="Arial" w:eastAsia="宋体" w:hAnsi="Arial" w:cs="Arial"/>
          <w:sz w:val="20"/>
          <w:szCs w:val="20"/>
        </w:rPr>
        <w:t>have been recognized in income for the periods indicated:</w:t>
      </w:r>
    </w:p>
    <w:tbl>
      <w:tblPr>
        <w:tblW w:w="4990" w:type="pct"/>
        <w:tblCellMar>
          <w:left w:w="0" w:type="dxa"/>
          <w:right w:w="0" w:type="dxa"/>
        </w:tblCellMar>
        <w:tblLook w:val="04A0" w:firstRow="1" w:lastRow="0" w:firstColumn="1" w:lastColumn="0" w:noHBand="0" w:noVBand="1"/>
      </w:tblPr>
      <w:tblGrid>
        <w:gridCol w:w="3460"/>
        <w:gridCol w:w="119"/>
        <w:gridCol w:w="1305"/>
        <w:gridCol w:w="88"/>
        <w:gridCol w:w="145"/>
        <w:gridCol w:w="119"/>
        <w:gridCol w:w="1306"/>
        <w:gridCol w:w="88"/>
        <w:gridCol w:w="146"/>
        <w:gridCol w:w="119"/>
        <w:gridCol w:w="1306"/>
        <w:gridCol w:w="88"/>
      </w:tblGrid>
      <w:tr w:rsidR="00F925DD" w14:paraId="5556CF38" w14:textId="77777777">
        <w:tc>
          <w:tcPr>
            <w:tcW w:w="0" w:type="auto"/>
            <w:gridSpan w:val="12"/>
            <w:shd w:val="clear" w:color="auto" w:fill="auto"/>
            <w:vAlign w:val="center"/>
          </w:tcPr>
          <w:p w14:paraId="5556CF37" w14:textId="77777777" w:rsidR="00F925DD" w:rsidRDefault="00F925DD">
            <w:pPr>
              <w:rPr>
                <w:rFonts w:ascii="Times New Roman" w:hAnsi="Times New Roman"/>
                <w:sz w:val="20"/>
                <w:szCs w:val="20"/>
              </w:rPr>
            </w:pPr>
          </w:p>
        </w:tc>
      </w:tr>
      <w:tr w:rsidR="00F925DD" w14:paraId="5556CF45" w14:textId="77777777">
        <w:tc>
          <w:tcPr>
            <w:tcW w:w="2100" w:type="pct"/>
            <w:shd w:val="clear" w:color="auto" w:fill="auto"/>
            <w:vAlign w:val="center"/>
          </w:tcPr>
          <w:p w14:paraId="5556CF39" w14:textId="77777777" w:rsidR="00F925DD" w:rsidRDefault="00F925DD">
            <w:pPr>
              <w:rPr>
                <w:rFonts w:ascii="Times New Roman" w:hAnsi="Times New Roman"/>
                <w:sz w:val="20"/>
                <w:szCs w:val="20"/>
              </w:rPr>
            </w:pPr>
          </w:p>
        </w:tc>
        <w:tc>
          <w:tcPr>
            <w:tcW w:w="50" w:type="pct"/>
            <w:shd w:val="clear" w:color="auto" w:fill="auto"/>
            <w:vAlign w:val="center"/>
          </w:tcPr>
          <w:p w14:paraId="5556CF3A" w14:textId="77777777" w:rsidR="00F925DD" w:rsidRDefault="00F925DD">
            <w:pPr>
              <w:rPr>
                <w:rFonts w:ascii="Times New Roman" w:hAnsi="Times New Roman"/>
                <w:sz w:val="20"/>
                <w:szCs w:val="20"/>
              </w:rPr>
            </w:pPr>
          </w:p>
        </w:tc>
        <w:tc>
          <w:tcPr>
            <w:tcW w:w="800" w:type="pct"/>
            <w:shd w:val="clear" w:color="auto" w:fill="auto"/>
            <w:vAlign w:val="center"/>
          </w:tcPr>
          <w:p w14:paraId="5556CF3B" w14:textId="77777777" w:rsidR="00F925DD" w:rsidRDefault="00F925DD">
            <w:pPr>
              <w:rPr>
                <w:rFonts w:ascii="Times New Roman" w:hAnsi="Times New Roman"/>
                <w:sz w:val="20"/>
                <w:szCs w:val="20"/>
              </w:rPr>
            </w:pPr>
          </w:p>
        </w:tc>
        <w:tc>
          <w:tcPr>
            <w:tcW w:w="50" w:type="pct"/>
            <w:shd w:val="clear" w:color="auto" w:fill="auto"/>
            <w:vAlign w:val="center"/>
          </w:tcPr>
          <w:p w14:paraId="5556CF3C" w14:textId="77777777" w:rsidR="00F925DD" w:rsidRDefault="00F925DD">
            <w:pPr>
              <w:rPr>
                <w:rFonts w:ascii="Times New Roman" w:hAnsi="Times New Roman"/>
                <w:sz w:val="20"/>
                <w:szCs w:val="20"/>
              </w:rPr>
            </w:pPr>
          </w:p>
        </w:tc>
        <w:tc>
          <w:tcPr>
            <w:tcW w:w="100" w:type="pct"/>
            <w:shd w:val="clear" w:color="auto" w:fill="auto"/>
            <w:vAlign w:val="center"/>
          </w:tcPr>
          <w:p w14:paraId="5556CF3D" w14:textId="77777777" w:rsidR="00F925DD" w:rsidRDefault="00F925DD">
            <w:pPr>
              <w:rPr>
                <w:rFonts w:ascii="Times New Roman" w:hAnsi="Times New Roman"/>
                <w:sz w:val="20"/>
                <w:szCs w:val="20"/>
              </w:rPr>
            </w:pPr>
          </w:p>
        </w:tc>
        <w:tc>
          <w:tcPr>
            <w:tcW w:w="50" w:type="pct"/>
            <w:shd w:val="clear" w:color="auto" w:fill="auto"/>
            <w:vAlign w:val="center"/>
          </w:tcPr>
          <w:p w14:paraId="5556CF3E" w14:textId="77777777" w:rsidR="00F925DD" w:rsidRDefault="00F925DD">
            <w:pPr>
              <w:rPr>
                <w:rFonts w:ascii="Times New Roman" w:hAnsi="Times New Roman"/>
                <w:sz w:val="20"/>
                <w:szCs w:val="20"/>
              </w:rPr>
            </w:pPr>
          </w:p>
        </w:tc>
        <w:tc>
          <w:tcPr>
            <w:tcW w:w="800" w:type="pct"/>
            <w:shd w:val="clear" w:color="auto" w:fill="auto"/>
            <w:vAlign w:val="center"/>
          </w:tcPr>
          <w:p w14:paraId="5556CF3F" w14:textId="77777777" w:rsidR="00F925DD" w:rsidRDefault="00F925DD">
            <w:pPr>
              <w:rPr>
                <w:rFonts w:ascii="Times New Roman" w:hAnsi="Times New Roman"/>
                <w:sz w:val="20"/>
                <w:szCs w:val="20"/>
              </w:rPr>
            </w:pPr>
          </w:p>
        </w:tc>
        <w:tc>
          <w:tcPr>
            <w:tcW w:w="50" w:type="pct"/>
            <w:shd w:val="clear" w:color="auto" w:fill="auto"/>
            <w:vAlign w:val="center"/>
          </w:tcPr>
          <w:p w14:paraId="5556CF40" w14:textId="77777777" w:rsidR="00F925DD" w:rsidRDefault="00F925DD">
            <w:pPr>
              <w:rPr>
                <w:rFonts w:ascii="Times New Roman" w:hAnsi="Times New Roman"/>
                <w:sz w:val="20"/>
                <w:szCs w:val="20"/>
              </w:rPr>
            </w:pPr>
          </w:p>
        </w:tc>
        <w:tc>
          <w:tcPr>
            <w:tcW w:w="100" w:type="pct"/>
            <w:shd w:val="clear" w:color="auto" w:fill="auto"/>
            <w:vAlign w:val="center"/>
          </w:tcPr>
          <w:p w14:paraId="5556CF41" w14:textId="77777777" w:rsidR="00F925DD" w:rsidRDefault="00F925DD">
            <w:pPr>
              <w:rPr>
                <w:rFonts w:ascii="Times New Roman" w:hAnsi="Times New Roman"/>
                <w:sz w:val="20"/>
                <w:szCs w:val="20"/>
              </w:rPr>
            </w:pPr>
          </w:p>
        </w:tc>
        <w:tc>
          <w:tcPr>
            <w:tcW w:w="50" w:type="pct"/>
            <w:shd w:val="clear" w:color="auto" w:fill="auto"/>
            <w:vAlign w:val="center"/>
          </w:tcPr>
          <w:p w14:paraId="5556CF42" w14:textId="77777777" w:rsidR="00F925DD" w:rsidRDefault="00F925DD">
            <w:pPr>
              <w:rPr>
                <w:rFonts w:ascii="Times New Roman" w:hAnsi="Times New Roman"/>
                <w:sz w:val="20"/>
                <w:szCs w:val="20"/>
              </w:rPr>
            </w:pPr>
          </w:p>
        </w:tc>
        <w:tc>
          <w:tcPr>
            <w:tcW w:w="800" w:type="pct"/>
            <w:shd w:val="clear" w:color="auto" w:fill="auto"/>
            <w:vAlign w:val="center"/>
          </w:tcPr>
          <w:p w14:paraId="5556CF43" w14:textId="77777777" w:rsidR="00F925DD" w:rsidRDefault="00F925DD">
            <w:pPr>
              <w:rPr>
                <w:rFonts w:ascii="Times New Roman" w:hAnsi="Times New Roman"/>
                <w:sz w:val="20"/>
                <w:szCs w:val="20"/>
              </w:rPr>
            </w:pPr>
          </w:p>
        </w:tc>
        <w:tc>
          <w:tcPr>
            <w:tcW w:w="50" w:type="pct"/>
            <w:shd w:val="clear" w:color="auto" w:fill="auto"/>
            <w:vAlign w:val="center"/>
          </w:tcPr>
          <w:p w14:paraId="5556CF44" w14:textId="77777777" w:rsidR="00F925DD" w:rsidRDefault="00F925DD">
            <w:pPr>
              <w:rPr>
                <w:rFonts w:ascii="Times New Roman" w:hAnsi="Times New Roman"/>
                <w:sz w:val="20"/>
                <w:szCs w:val="20"/>
              </w:rPr>
            </w:pPr>
          </w:p>
        </w:tc>
      </w:tr>
      <w:tr w:rsidR="00F925DD" w14:paraId="5556CF48" w14:textId="77777777">
        <w:tc>
          <w:tcPr>
            <w:tcW w:w="0" w:type="auto"/>
            <w:shd w:val="clear" w:color="auto" w:fill="auto"/>
            <w:tcMar>
              <w:top w:w="40" w:type="dxa"/>
              <w:left w:w="40" w:type="dxa"/>
              <w:bottom w:w="40" w:type="dxa"/>
              <w:right w:w="40" w:type="dxa"/>
            </w:tcMar>
            <w:vAlign w:val="bottom"/>
          </w:tcPr>
          <w:p w14:paraId="5556CF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CF4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CF4F" w14:textId="77777777">
        <w:tc>
          <w:tcPr>
            <w:tcW w:w="0" w:type="auto"/>
            <w:shd w:val="clear" w:color="auto" w:fill="auto"/>
            <w:tcMar>
              <w:top w:w="40" w:type="dxa"/>
              <w:left w:w="40" w:type="dxa"/>
              <w:bottom w:w="40" w:type="dxa"/>
              <w:right w:w="40" w:type="dxa"/>
            </w:tcMar>
            <w:vAlign w:val="bottom"/>
          </w:tcPr>
          <w:p w14:paraId="5556CF4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F4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CF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F4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CF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CF4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CF5C" w14:textId="77777777">
        <w:tc>
          <w:tcPr>
            <w:tcW w:w="0" w:type="auto"/>
            <w:shd w:val="clear" w:color="auto" w:fill="CCEEFF"/>
            <w:tcMar>
              <w:top w:w="40" w:type="dxa"/>
              <w:left w:w="40" w:type="dxa"/>
              <w:bottom w:w="40" w:type="dxa"/>
              <w:right w:w="40" w:type="dxa"/>
            </w:tcMar>
            <w:vAlign w:val="bottom"/>
          </w:tcPr>
          <w:p w14:paraId="5556CF50"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Balance, beginning of period </w:t>
            </w:r>
          </w:p>
        </w:tc>
        <w:tc>
          <w:tcPr>
            <w:tcW w:w="0" w:type="auto"/>
            <w:tcBorders>
              <w:top w:val="single" w:sz="8" w:space="0" w:color="000000"/>
            </w:tcBorders>
            <w:shd w:val="clear" w:color="auto" w:fill="CCEEFF"/>
            <w:tcMar>
              <w:top w:w="40" w:type="dxa"/>
              <w:left w:w="40" w:type="dxa"/>
              <w:bottom w:w="40" w:type="dxa"/>
            </w:tcMar>
            <w:vAlign w:val="bottom"/>
          </w:tcPr>
          <w:p w14:paraId="5556CF5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CF5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78</w:t>
            </w:r>
          </w:p>
        </w:tc>
        <w:tc>
          <w:tcPr>
            <w:tcW w:w="0" w:type="auto"/>
            <w:tcBorders>
              <w:top w:val="single" w:sz="8" w:space="0" w:color="000000"/>
            </w:tcBorders>
            <w:shd w:val="clear" w:color="auto" w:fill="CCEEFF"/>
            <w:vAlign w:val="bottom"/>
          </w:tcPr>
          <w:p w14:paraId="5556CF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F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F5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F5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77</w:t>
            </w:r>
          </w:p>
        </w:tc>
        <w:tc>
          <w:tcPr>
            <w:tcW w:w="0" w:type="auto"/>
            <w:shd w:val="clear" w:color="auto" w:fill="CCEEFF"/>
            <w:vAlign w:val="bottom"/>
          </w:tcPr>
          <w:p w14:paraId="5556CF5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F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CF5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CF5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79</w:t>
            </w:r>
          </w:p>
        </w:tc>
        <w:tc>
          <w:tcPr>
            <w:tcW w:w="0" w:type="auto"/>
            <w:shd w:val="clear" w:color="auto" w:fill="CCEEFF"/>
            <w:vAlign w:val="bottom"/>
          </w:tcPr>
          <w:p w14:paraId="5556CF5B" w14:textId="77777777" w:rsidR="00F925DD" w:rsidRDefault="00F925DD">
            <w:pPr>
              <w:textAlignment w:val="bottom"/>
              <w:rPr>
                <w:rFonts w:ascii="Times New Roman" w:hAnsi="Times New Roman"/>
                <w:sz w:val="20"/>
                <w:szCs w:val="20"/>
              </w:rPr>
            </w:pPr>
          </w:p>
        </w:tc>
      </w:tr>
      <w:tr w:rsidR="00F925DD" w14:paraId="5556CF63" w14:textId="77777777">
        <w:tc>
          <w:tcPr>
            <w:tcW w:w="0" w:type="auto"/>
            <w:shd w:val="clear" w:color="auto" w:fill="auto"/>
            <w:tcMar>
              <w:top w:w="40" w:type="dxa"/>
              <w:left w:w="40" w:type="dxa"/>
              <w:bottom w:w="40" w:type="dxa"/>
              <w:right w:w="40" w:type="dxa"/>
            </w:tcMar>
            <w:vAlign w:val="bottom"/>
          </w:tcPr>
          <w:p w14:paraId="5556CF5D" w14:textId="77777777" w:rsidR="00F925DD" w:rsidRDefault="00E705D7">
            <w:pPr>
              <w:textAlignment w:val="bottom"/>
              <w:rPr>
                <w:rFonts w:ascii="Times New Roman" w:hAnsi="Times New Roman"/>
                <w:sz w:val="14"/>
                <w:szCs w:val="14"/>
              </w:rPr>
            </w:pPr>
            <w:r>
              <w:rPr>
                <w:rFonts w:ascii="Arial" w:eastAsia="宋体" w:hAnsi="Arial" w:cs="Arial"/>
                <w:sz w:val="14"/>
                <w:szCs w:val="14"/>
              </w:rPr>
              <w:t>Additions</w:t>
            </w:r>
            <w:r>
              <w:rPr>
                <w:rFonts w:ascii="Arial" w:eastAsia="宋体" w:hAnsi="Arial" w:cs="Arial"/>
                <w:sz w:val="10"/>
                <w:szCs w:val="10"/>
              </w:rPr>
              <w:t>(1)</w:t>
            </w:r>
            <w:r>
              <w:rPr>
                <w:rFonts w:ascii="Arial" w:eastAsia="宋体" w:hAnsi="Arial" w:cs="Arial"/>
                <w:sz w:val="14"/>
                <w:szCs w:val="14"/>
              </w:rPr>
              <w:t>:</w:t>
            </w:r>
          </w:p>
        </w:tc>
        <w:tc>
          <w:tcPr>
            <w:tcW w:w="0" w:type="auto"/>
            <w:gridSpan w:val="3"/>
            <w:shd w:val="clear" w:color="auto" w:fill="auto"/>
            <w:tcMar>
              <w:top w:w="40" w:type="dxa"/>
              <w:left w:w="40" w:type="dxa"/>
              <w:bottom w:w="40" w:type="dxa"/>
              <w:right w:w="40" w:type="dxa"/>
            </w:tcMar>
            <w:vAlign w:val="bottom"/>
          </w:tcPr>
          <w:p w14:paraId="5556CF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F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F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F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F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F6D" w14:textId="77777777">
        <w:tc>
          <w:tcPr>
            <w:tcW w:w="0" w:type="auto"/>
            <w:shd w:val="clear" w:color="auto" w:fill="CCEEFF"/>
            <w:tcMar>
              <w:top w:w="40" w:type="dxa"/>
              <w:left w:w="40" w:type="dxa"/>
              <w:bottom w:w="40" w:type="dxa"/>
              <w:right w:w="40" w:type="dxa"/>
            </w:tcMar>
            <w:vAlign w:val="bottom"/>
          </w:tcPr>
          <w:p w14:paraId="5556CF64" w14:textId="77777777" w:rsidR="00F925DD" w:rsidRDefault="00E705D7">
            <w:pPr>
              <w:textAlignment w:val="bottom"/>
              <w:rPr>
                <w:rFonts w:ascii="Times New Roman" w:hAnsi="Times New Roman"/>
                <w:sz w:val="14"/>
                <w:szCs w:val="14"/>
              </w:rPr>
            </w:pPr>
            <w:r>
              <w:rPr>
                <w:rFonts w:ascii="Arial" w:eastAsia="宋体" w:hAnsi="Arial" w:cs="Arial"/>
                <w:sz w:val="14"/>
                <w:szCs w:val="14"/>
              </w:rPr>
              <w:t>Other-than-temporary-impairment recognized</w:t>
            </w:r>
          </w:p>
        </w:tc>
        <w:tc>
          <w:tcPr>
            <w:tcW w:w="0" w:type="auto"/>
            <w:gridSpan w:val="2"/>
            <w:shd w:val="clear" w:color="auto" w:fill="CCEEFF"/>
            <w:tcMar>
              <w:top w:w="40" w:type="dxa"/>
              <w:left w:w="40" w:type="dxa"/>
              <w:bottom w:w="40" w:type="dxa"/>
            </w:tcMar>
            <w:vAlign w:val="bottom"/>
          </w:tcPr>
          <w:p w14:paraId="5556CF6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CF6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F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F6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shd w:val="clear" w:color="auto" w:fill="CCEEFF"/>
            <w:vAlign w:val="bottom"/>
          </w:tcPr>
          <w:p w14:paraId="5556CF6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CF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F6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CF6C" w14:textId="77777777" w:rsidR="00F925DD" w:rsidRDefault="00F925DD">
            <w:pPr>
              <w:textAlignment w:val="bottom"/>
              <w:rPr>
                <w:rFonts w:ascii="Times New Roman" w:hAnsi="Times New Roman"/>
                <w:sz w:val="20"/>
                <w:szCs w:val="20"/>
              </w:rPr>
            </w:pPr>
          </w:p>
        </w:tc>
      </w:tr>
      <w:tr w:rsidR="00F925DD" w14:paraId="5556CF74" w14:textId="77777777">
        <w:tc>
          <w:tcPr>
            <w:tcW w:w="0" w:type="auto"/>
            <w:shd w:val="clear" w:color="auto" w:fill="auto"/>
            <w:tcMar>
              <w:top w:w="40" w:type="dxa"/>
              <w:left w:w="40" w:type="dxa"/>
              <w:bottom w:w="40" w:type="dxa"/>
              <w:right w:w="40" w:type="dxa"/>
            </w:tcMar>
            <w:vAlign w:val="bottom"/>
          </w:tcPr>
          <w:p w14:paraId="5556CF6E" w14:textId="77777777" w:rsidR="00F925DD" w:rsidRDefault="00E705D7">
            <w:pPr>
              <w:textAlignment w:val="bottom"/>
              <w:rPr>
                <w:rFonts w:ascii="Times New Roman" w:hAnsi="Times New Roman"/>
                <w:sz w:val="14"/>
                <w:szCs w:val="14"/>
              </w:rPr>
            </w:pPr>
            <w:r>
              <w:rPr>
                <w:rFonts w:ascii="Arial" w:eastAsia="宋体" w:hAnsi="Arial" w:cs="Arial"/>
                <w:sz w:val="14"/>
                <w:szCs w:val="14"/>
              </w:rPr>
              <w:t>Deductions</w:t>
            </w:r>
            <w:r>
              <w:rPr>
                <w:rFonts w:ascii="Arial" w:eastAsia="宋体" w:hAnsi="Arial" w:cs="Arial"/>
                <w:sz w:val="10"/>
                <w:szCs w:val="10"/>
              </w:rPr>
              <w:t>(2)</w:t>
            </w:r>
            <w:r>
              <w:rPr>
                <w:rFonts w:ascii="Arial" w:eastAsia="宋体" w:hAnsi="Arial" w:cs="Arial"/>
                <w:sz w:val="14"/>
                <w:szCs w:val="14"/>
              </w:rPr>
              <w:t>:</w:t>
            </w:r>
          </w:p>
        </w:tc>
        <w:tc>
          <w:tcPr>
            <w:tcW w:w="0" w:type="auto"/>
            <w:gridSpan w:val="3"/>
            <w:shd w:val="clear" w:color="auto" w:fill="auto"/>
            <w:tcMar>
              <w:top w:w="40" w:type="dxa"/>
              <w:left w:w="40" w:type="dxa"/>
              <w:bottom w:w="40" w:type="dxa"/>
              <w:right w:w="40" w:type="dxa"/>
            </w:tcMar>
            <w:vAlign w:val="bottom"/>
          </w:tcPr>
          <w:p w14:paraId="5556CF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F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F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F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CF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CF7E" w14:textId="77777777">
        <w:tc>
          <w:tcPr>
            <w:tcW w:w="0" w:type="auto"/>
            <w:shd w:val="clear" w:color="auto" w:fill="CCEEFF"/>
            <w:tcMar>
              <w:top w:w="40" w:type="dxa"/>
              <w:left w:w="40" w:type="dxa"/>
              <w:bottom w:w="40" w:type="dxa"/>
              <w:right w:w="40" w:type="dxa"/>
            </w:tcMar>
            <w:vAlign w:val="bottom"/>
          </w:tcPr>
          <w:p w14:paraId="5556CF75" w14:textId="77777777" w:rsidR="00F925DD" w:rsidRDefault="00E705D7">
            <w:pPr>
              <w:textAlignment w:val="bottom"/>
              <w:rPr>
                <w:rFonts w:ascii="Times New Roman" w:hAnsi="Times New Roman"/>
                <w:sz w:val="14"/>
                <w:szCs w:val="14"/>
              </w:rPr>
            </w:pPr>
            <w:r>
              <w:rPr>
                <w:rFonts w:ascii="Arial" w:eastAsia="宋体" w:hAnsi="Arial" w:cs="Arial"/>
                <w:sz w:val="14"/>
                <w:szCs w:val="14"/>
              </w:rPr>
              <w:t>Realized losses on securities sold or matured</w:t>
            </w:r>
          </w:p>
        </w:tc>
        <w:tc>
          <w:tcPr>
            <w:tcW w:w="0" w:type="auto"/>
            <w:gridSpan w:val="2"/>
            <w:shd w:val="clear" w:color="auto" w:fill="CCEEFF"/>
            <w:tcMar>
              <w:top w:w="40" w:type="dxa"/>
              <w:left w:w="40" w:type="dxa"/>
              <w:bottom w:w="40" w:type="dxa"/>
            </w:tcMar>
            <w:vAlign w:val="bottom"/>
          </w:tcPr>
          <w:p w14:paraId="5556CF7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w:t>
            </w:r>
          </w:p>
        </w:tc>
        <w:tc>
          <w:tcPr>
            <w:tcW w:w="0" w:type="auto"/>
            <w:shd w:val="clear" w:color="auto" w:fill="CCEEFF"/>
            <w:tcMar>
              <w:top w:w="40" w:type="dxa"/>
              <w:bottom w:w="40" w:type="dxa"/>
              <w:right w:w="40" w:type="dxa"/>
            </w:tcMar>
            <w:vAlign w:val="bottom"/>
          </w:tcPr>
          <w:p w14:paraId="5556CF7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CF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F7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5556CF7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CF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CF7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5556CF7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CF8B" w14:textId="77777777">
        <w:tc>
          <w:tcPr>
            <w:tcW w:w="0" w:type="auto"/>
            <w:shd w:val="clear" w:color="auto" w:fill="auto"/>
            <w:tcMar>
              <w:top w:w="40" w:type="dxa"/>
              <w:left w:w="40" w:type="dxa"/>
              <w:bottom w:w="40" w:type="dxa"/>
              <w:right w:w="40" w:type="dxa"/>
            </w:tcMar>
            <w:vAlign w:val="bottom"/>
          </w:tcPr>
          <w:p w14:paraId="5556CF7F" w14:textId="77777777" w:rsidR="00F925DD" w:rsidRDefault="00E705D7">
            <w:pPr>
              <w:textAlignment w:val="bottom"/>
              <w:rPr>
                <w:rFonts w:ascii="Times New Roman" w:hAnsi="Times New Roman"/>
                <w:sz w:val="14"/>
                <w:szCs w:val="14"/>
              </w:rPr>
            </w:pPr>
            <w:r>
              <w:rPr>
                <w:rFonts w:ascii="Arial" w:eastAsia="宋体" w:hAnsi="Arial" w:cs="Arial"/>
                <w:sz w:val="14"/>
                <w:szCs w:val="14"/>
              </w:rPr>
              <w:t>Balance,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F8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F8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70</w:t>
            </w:r>
          </w:p>
        </w:tc>
        <w:tc>
          <w:tcPr>
            <w:tcW w:w="0" w:type="auto"/>
            <w:tcBorders>
              <w:top w:val="single" w:sz="8" w:space="0" w:color="000000"/>
              <w:bottom w:val="double" w:sz="6" w:space="0" w:color="000000"/>
            </w:tcBorders>
            <w:shd w:val="clear" w:color="auto" w:fill="auto"/>
            <w:vAlign w:val="bottom"/>
          </w:tcPr>
          <w:p w14:paraId="5556CF8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F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F8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F8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78</w:t>
            </w:r>
          </w:p>
        </w:tc>
        <w:tc>
          <w:tcPr>
            <w:tcW w:w="0" w:type="auto"/>
            <w:tcBorders>
              <w:top w:val="single" w:sz="8" w:space="0" w:color="000000"/>
              <w:bottom w:val="double" w:sz="6" w:space="0" w:color="000000"/>
            </w:tcBorders>
            <w:shd w:val="clear" w:color="auto" w:fill="auto"/>
            <w:vAlign w:val="bottom"/>
          </w:tcPr>
          <w:p w14:paraId="5556CF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CF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CF8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CF8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77</w:t>
            </w:r>
          </w:p>
        </w:tc>
        <w:tc>
          <w:tcPr>
            <w:tcW w:w="0" w:type="auto"/>
            <w:tcBorders>
              <w:top w:val="single" w:sz="8" w:space="0" w:color="000000"/>
              <w:bottom w:val="double" w:sz="6" w:space="0" w:color="000000"/>
            </w:tcBorders>
            <w:shd w:val="clear" w:color="auto" w:fill="auto"/>
            <w:vAlign w:val="bottom"/>
          </w:tcPr>
          <w:p w14:paraId="5556CF8A" w14:textId="77777777" w:rsidR="00F925DD" w:rsidRDefault="00F925DD">
            <w:pPr>
              <w:textAlignment w:val="bottom"/>
              <w:rPr>
                <w:rFonts w:ascii="Times New Roman" w:hAnsi="Times New Roman"/>
                <w:sz w:val="20"/>
                <w:szCs w:val="20"/>
              </w:rPr>
            </w:pPr>
          </w:p>
        </w:tc>
      </w:tr>
    </w:tbl>
    <w:p w14:paraId="5556CF8C"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4319"/>
        <w:gridCol w:w="3987"/>
      </w:tblGrid>
      <w:tr w:rsidR="00F925DD" w14:paraId="5556CF8E" w14:textId="77777777">
        <w:tc>
          <w:tcPr>
            <w:tcW w:w="0" w:type="auto"/>
            <w:gridSpan w:val="2"/>
            <w:shd w:val="clear" w:color="auto" w:fill="auto"/>
            <w:vAlign w:val="center"/>
          </w:tcPr>
          <w:p w14:paraId="5556CF8D" w14:textId="77777777" w:rsidR="00F925DD" w:rsidRDefault="00F925DD">
            <w:pPr>
              <w:rPr>
                <w:rFonts w:ascii="Times New Roman" w:hAnsi="Times New Roman"/>
                <w:sz w:val="20"/>
                <w:szCs w:val="20"/>
              </w:rPr>
            </w:pPr>
          </w:p>
        </w:tc>
      </w:tr>
      <w:tr w:rsidR="00F925DD" w14:paraId="5556CF91" w14:textId="77777777">
        <w:tc>
          <w:tcPr>
            <w:tcW w:w="2600" w:type="pct"/>
            <w:shd w:val="clear" w:color="auto" w:fill="auto"/>
            <w:vAlign w:val="center"/>
          </w:tcPr>
          <w:p w14:paraId="5556CF8F" w14:textId="77777777" w:rsidR="00F925DD" w:rsidRDefault="00F925DD">
            <w:pPr>
              <w:rPr>
                <w:rFonts w:ascii="Times New Roman" w:hAnsi="Times New Roman"/>
                <w:sz w:val="20"/>
                <w:szCs w:val="20"/>
              </w:rPr>
            </w:pPr>
          </w:p>
        </w:tc>
        <w:tc>
          <w:tcPr>
            <w:tcW w:w="2400" w:type="pct"/>
            <w:shd w:val="clear" w:color="auto" w:fill="auto"/>
            <w:vAlign w:val="center"/>
          </w:tcPr>
          <w:p w14:paraId="5556CF90" w14:textId="77777777" w:rsidR="00F925DD" w:rsidRDefault="00F925DD">
            <w:pPr>
              <w:rPr>
                <w:rFonts w:ascii="Times New Roman" w:hAnsi="Times New Roman"/>
                <w:sz w:val="20"/>
                <w:szCs w:val="20"/>
              </w:rPr>
            </w:pPr>
          </w:p>
        </w:tc>
      </w:tr>
      <w:tr w:rsidR="00F925DD" w14:paraId="5556CF9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CF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CF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CF95"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1) Additions represent securities with a </w:t>
      </w:r>
      <w:r>
        <w:rPr>
          <w:rFonts w:ascii="Arial" w:eastAsia="宋体" w:hAnsi="Arial" w:cs="Arial"/>
          <w:sz w:val="13"/>
          <w:szCs w:val="13"/>
        </w:rPr>
        <w:t>first time credit impairment realized or when a subsequent credit impairment has occurred.</w:t>
      </w:r>
    </w:p>
    <w:p w14:paraId="5556CF96"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(2) Deductions represent impairments on securities that have been sold or matured, are required to be sold, or for which management intends to sell.</w:t>
      </w:r>
    </w:p>
    <w:p w14:paraId="5556CF9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Interest income </w:t>
      </w:r>
      <w:r>
        <w:rPr>
          <w:rFonts w:ascii="Arial" w:eastAsia="宋体" w:hAnsi="Arial" w:cs="Arial"/>
          <w:sz w:val="20"/>
          <w:szCs w:val="20"/>
        </w:rPr>
        <w:t>related to debt securities is recognized in our consolidated statement of income using the effective interest method, or on a basis approximating a level rate of return over the contractual or estimated life of the security. The level rate of return consid</w:t>
      </w:r>
      <w:r>
        <w:rPr>
          <w:rFonts w:ascii="Arial" w:eastAsia="宋体" w:hAnsi="Arial" w:cs="Arial"/>
          <w:sz w:val="20"/>
          <w:szCs w:val="20"/>
        </w:rPr>
        <w:t>ers any non-refundable fees or costs, as well as purchase premiums or discounts, adjusted as prepayments occur, resulting in amortization or accretion, accordingly.</w:t>
      </w:r>
    </w:p>
    <w:p w14:paraId="5556CF9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certain debt securities acquired which are considered to be beneficial interests in securitized financial assets, the excess of our estimate of undiscounted future cash flows from these securities over their initial recorded investment is accreted into</w:t>
      </w:r>
      <w:r>
        <w:rPr>
          <w:rFonts w:ascii="Arial" w:eastAsia="宋体" w:hAnsi="Arial" w:cs="Arial"/>
          <w:sz w:val="20"/>
          <w:szCs w:val="20"/>
        </w:rPr>
        <w:t xml:space="preserve"> interest income on a level-yield basis over the securities’ estimated remaining terms. Subsequent decreases in these securities’ expected future cash flows are either recognized prospectively through an adjustment of the yields on the securities over thei</w:t>
      </w:r>
      <w:r>
        <w:rPr>
          <w:rFonts w:ascii="Arial" w:eastAsia="宋体" w:hAnsi="Arial" w:cs="Arial"/>
          <w:sz w:val="20"/>
          <w:szCs w:val="20"/>
        </w:rPr>
        <w:t xml:space="preserve">r remaining terms, or </w:t>
      </w:r>
    </w:p>
    <w:p w14:paraId="5556CF99"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CF9A"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are evaluated for OTTI. Increases in expected future cash flows are recognized prospectively over the securities’ estimated remaining terms through the recalculation of their yields.</w:t>
      </w:r>
    </w:p>
    <w:p w14:paraId="5556CF9B"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Impairment</w:t>
      </w:r>
    </w:p>
    <w:p w14:paraId="5556CF9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conduct periodic reviews of indivi</w:t>
      </w:r>
      <w:r>
        <w:rPr>
          <w:rFonts w:ascii="Arial" w:eastAsia="宋体" w:hAnsi="Arial" w:cs="Arial"/>
          <w:sz w:val="20"/>
          <w:szCs w:val="20"/>
        </w:rPr>
        <w:t>dual securities to assess whether OTTI exists. Impairment exists when the current fair value of an individual security is below its amortized cost basis. For AFS and HTM debt securities, impairment is recorded in our consolidated statement of income when m</w:t>
      </w:r>
      <w:r>
        <w:rPr>
          <w:rFonts w:ascii="Arial" w:eastAsia="宋体" w:hAnsi="Arial" w:cs="Arial"/>
          <w:sz w:val="20"/>
          <w:szCs w:val="20"/>
        </w:rPr>
        <w:t>anagement intends to sell (or may be required to sell) the securities before they recover in value, or when management expects the present value of cash flows expected to be collected from the securities to be less than the amortized cost of the impaired s</w:t>
      </w:r>
      <w:r>
        <w:rPr>
          <w:rFonts w:ascii="Arial" w:eastAsia="宋体" w:hAnsi="Arial" w:cs="Arial"/>
          <w:sz w:val="20"/>
          <w:szCs w:val="20"/>
        </w:rPr>
        <w:t>ecurity (a credit loss).</w:t>
      </w:r>
    </w:p>
    <w:p w14:paraId="5556CF9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review of impaired securities generally includes: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CFA0" w14:textId="77777777">
        <w:trPr>
          <w:tblCellSpacing w:w="0" w:type="dxa"/>
        </w:trPr>
        <w:tc>
          <w:tcPr>
            <w:tcW w:w="960" w:type="dxa"/>
            <w:shd w:val="clear" w:color="auto" w:fill="auto"/>
            <w:vAlign w:val="center"/>
          </w:tcPr>
          <w:p w14:paraId="5556CF9E" w14:textId="77777777" w:rsidR="00F925DD" w:rsidRDefault="00F925DD">
            <w:pPr>
              <w:rPr>
                <w:rFonts w:ascii="Times New Roman" w:hAnsi="Times New Roman"/>
                <w:sz w:val="20"/>
                <w:szCs w:val="20"/>
              </w:rPr>
            </w:pPr>
          </w:p>
        </w:tc>
        <w:tc>
          <w:tcPr>
            <w:tcW w:w="0" w:type="auto"/>
            <w:shd w:val="clear" w:color="auto" w:fill="auto"/>
            <w:vAlign w:val="center"/>
          </w:tcPr>
          <w:p w14:paraId="5556CF9F" w14:textId="77777777" w:rsidR="00F925DD" w:rsidRDefault="00F925DD">
            <w:pPr>
              <w:rPr>
                <w:rFonts w:ascii="Times New Roman" w:hAnsi="Times New Roman"/>
                <w:sz w:val="20"/>
                <w:szCs w:val="20"/>
              </w:rPr>
            </w:pPr>
          </w:p>
        </w:tc>
      </w:tr>
      <w:tr w:rsidR="00F925DD" w14:paraId="5556CFA3" w14:textId="77777777">
        <w:trPr>
          <w:tblCellSpacing w:w="0" w:type="dxa"/>
        </w:trPr>
        <w:tc>
          <w:tcPr>
            <w:tcW w:w="0" w:type="auto"/>
            <w:shd w:val="clear" w:color="auto" w:fill="auto"/>
          </w:tcPr>
          <w:p w14:paraId="5556CFA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A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the identification and evaluation of securities that have indications of potential OTTI, such as issuer-specific concerns, including deteriorating financial condition or ba</w:t>
            </w:r>
            <w:r>
              <w:rPr>
                <w:rFonts w:ascii="Arial" w:eastAsia="宋体" w:hAnsi="Arial" w:cs="Arial"/>
                <w:sz w:val="20"/>
                <w:szCs w:val="20"/>
              </w:rPr>
              <w:t xml:space="preserve">nkruptcy; </w:t>
            </w:r>
          </w:p>
        </w:tc>
      </w:tr>
    </w:tbl>
    <w:p w14:paraId="5556CFA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CFA7" w14:textId="77777777">
        <w:trPr>
          <w:tblCellSpacing w:w="0" w:type="dxa"/>
        </w:trPr>
        <w:tc>
          <w:tcPr>
            <w:tcW w:w="960" w:type="dxa"/>
            <w:shd w:val="clear" w:color="auto" w:fill="auto"/>
            <w:vAlign w:val="center"/>
          </w:tcPr>
          <w:p w14:paraId="5556CFA5" w14:textId="77777777" w:rsidR="00F925DD" w:rsidRDefault="00F925DD">
            <w:pPr>
              <w:rPr>
                <w:rFonts w:ascii="Times New Roman" w:hAnsi="Times New Roman"/>
                <w:sz w:val="20"/>
                <w:szCs w:val="20"/>
              </w:rPr>
            </w:pPr>
          </w:p>
        </w:tc>
        <w:tc>
          <w:tcPr>
            <w:tcW w:w="0" w:type="auto"/>
            <w:shd w:val="clear" w:color="auto" w:fill="auto"/>
            <w:vAlign w:val="center"/>
          </w:tcPr>
          <w:p w14:paraId="5556CFA6" w14:textId="77777777" w:rsidR="00F925DD" w:rsidRDefault="00F925DD">
            <w:pPr>
              <w:rPr>
                <w:rFonts w:ascii="Times New Roman" w:hAnsi="Times New Roman"/>
                <w:sz w:val="20"/>
                <w:szCs w:val="20"/>
              </w:rPr>
            </w:pPr>
          </w:p>
        </w:tc>
      </w:tr>
      <w:tr w:rsidR="00F925DD" w14:paraId="5556CFAA" w14:textId="77777777">
        <w:trPr>
          <w:tblCellSpacing w:w="0" w:type="dxa"/>
        </w:trPr>
        <w:tc>
          <w:tcPr>
            <w:tcW w:w="0" w:type="auto"/>
            <w:shd w:val="clear" w:color="auto" w:fill="auto"/>
          </w:tcPr>
          <w:p w14:paraId="5556CFA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A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analysis of expected future cash flows of securities, based on quantitative and qualitative factors; </w:t>
            </w:r>
          </w:p>
        </w:tc>
      </w:tr>
    </w:tbl>
    <w:p w14:paraId="5556CFA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CFAE" w14:textId="77777777">
        <w:trPr>
          <w:tblCellSpacing w:w="0" w:type="dxa"/>
        </w:trPr>
        <w:tc>
          <w:tcPr>
            <w:tcW w:w="960" w:type="dxa"/>
            <w:shd w:val="clear" w:color="auto" w:fill="auto"/>
            <w:vAlign w:val="center"/>
          </w:tcPr>
          <w:p w14:paraId="5556CFAC" w14:textId="77777777" w:rsidR="00F925DD" w:rsidRDefault="00F925DD">
            <w:pPr>
              <w:rPr>
                <w:rFonts w:ascii="Times New Roman" w:hAnsi="Times New Roman"/>
                <w:sz w:val="20"/>
                <w:szCs w:val="20"/>
              </w:rPr>
            </w:pPr>
          </w:p>
        </w:tc>
        <w:tc>
          <w:tcPr>
            <w:tcW w:w="0" w:type="auto"/>
            <w:shd w:val="clear" w:color="auto" w:fill="auto"/>
            <w:vAlign w:val="center"/>
          </w:tcPr>
          <w:p w14:paraId="5556CFAD" w14:textId="77777777" w:rsidR="00F925DD" w:rsidRDefault="00F925DD">
            <w:pPr>
              <w:rPr>
                <w:rFonts w:ascii="Times New Roman" w:hAnsi="Times New Roman"/>
                <w:sz w:val="20"/>
                <w:szCs w:val="20"/>
              </w:rPr>
            </w:pPr>
          </w:p>
        </w:tc>
      </w:tr>
      <w:tr w:rsidR="00F925DD" w14:paraId="5556CFB1" w14:textId="77777777">
        <w:trPr>
          <w:tblCellSpacing w:w="0" w:type="dxa"/>
        </w:trPr>
        <w:tc>
          <w:tcPr>
            <w:tcW w:w="0" w:type="auto"/>
            <w:shd w:val="clear" w:color="auto" w:fill="auto"/>
          </w:tcPr>
          <w:p w14:paraId="5556CFA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B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analysis of the collectability of those future cash flows, including information about past events, current conditions, and reasonable and supportable forecasts; </w:t>
            </w:r>
          </w:p>
        </w:tc>
      </w:tr>
    </w:tbl>
    <w:p w14:paraId="5556CFB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125"/>
      </w:tblGrid>
      <w:tr w:rsidR="00F925DD" w14:paraId="5556CFB5" w14:textId="77777777">
        <w:trPr>
          <w:tblCellSpacing w:w="0" w:type="dxa"/>
        </w:trPr>
        <w:tc>
          <w:tcPr>
            <w:tcW w:w="960" w:type="dxa"/>
            <w:shd w:val="clear" w:color="auto" w:fill="auto"/>
            <w:vAlign w:val="center"/>
          </w:tcPr>
          <w:p w14:paraId="5556CFB3" w14:textId="77777777" w:rsidR="00F925DD" w:rsidRDefault="00F925DD">
            <w:pPr>
              <w:rPr>
                <w:rFonts w:ascii="Times New Roman" w:hAnsi="Times New Roman"/>
                <w:sz w:val="20"/>
                <w:szCs w:val="20"/>
              </w:rPr>
            </w:pPr>
          </w:p>
        </w:tc>
        <w:tc>
          <w:tcPr>
            <w:tcW w:w="0" w:type="auto"/>
            <w:shd w:val="clear" w:color="auto" w:fill="auto"/>
            <w:vAlign w:val="center"/>
          </w:tcPr>
          <w:p w14:paraId="5556CFB4" w14:textId="77777777" w:rsidR="00F925DD" w:rsidRDefault="00F925DD">
            <w:pPr>
              <w:rPr>
                <w:rFonts w:ascii="Times New Roman" w:hAnsi="Times New Roman"/>
                <w:sz w:val="20"/>
                <w:szCs w:val="20"/>
              </w:rPr>
            </w:pPr>
          </w:p>
        </w:tc>
      </w:tr>
      <w:tr w:rsidR="00F925DD" w14:paraId="5556CFB8" w14:textId="77777777">
        <w:trPr>
          <w:tblCellSpacing w:w="0" w:type="dxa"/>
        </w:trPr>
        <w:tc>
          <w:tcPr>
            <w:tcW w:w="0" w:type="auto"/>
            <w:shd w:val="clear" w:color="auto" w:fill="auto"/>
          </w:tcPr>
          <w:p w14:paraId="5556CFB6"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B7"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analysis of the underlying collateral for MBS and ABS; </w:t>
            </w:r>
          </w:p>
        </w:tc>
      </w:tr>
    </w:tbl>
    <w:p w14:paraId="5556CFB9"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CFBC" w14:textId="77777777">
        <w:trPr>
          <w:tblCellSpacing w:w="0" w:type="dxa"/>
        </w:trPr>
        <w:tc>
          <w:tcPr>
            <w:tcW w:w="960" w:type="dxa"/>
            <w:shd w:val="clear" w:color="auto" w:fill="auto"/>
            <w:vAlign w:val="center"/>
          </w:tcPr>
          <w:p w14:paraId="5556CFBA" w14:textId="77777777" w:rsidR="00F925DD" w:rsidRDefault="00F925DD">
            <w:pPr>
              <w:rPr>
                <w:rFonts w:ascii="Times New Roman" w:hAnsi="Times New Roman"/>
                <w:sz w:val="20"/>
                <w:szCs w:val="20"/>
              </w:rPr>
            </w:pPr>
          </w:p>
        </w:tc>
        <w:tc>
          <w:tcPr>
            <w:tcW w:w="0" w:type="auto"/>
            <w:shd w:val="clear" w:color="auto" w:fill="auto"/>
            <w:vAlign w:val="center"/>
          </w:tcPr>
          <w:p w14:paraId="5556CFBB" w14:textId="77777777" w:rsidR="00F925DD" w:rsidRDefault="00F925DD">
            <w:pPr>
              <w:rPr>
                <w:rFonts w:ascii="Times New Roman" w:hAnsi="Times New Roman"/>
                <w:sz w:val="20"/>
                <w:szCs w:val="20"/>
              </w:rPr>
            </w:pPr>
          </w:p>
        </w:tc>
      </w:tr>
      <w:tr w:rsidR="00F925DD" w14:paraId="5556CFBF" w14:textId="77777777">
        <w:trPr>
          <w:tblCellSpacing w:w="0" w:type="dxa"/>
        </w:trPr>
        <w:tc>
          <w:tcPr>
            <w:tcW w:w="0" w:type="auto"/>
            <w:shd w:val="clear" w:color="auto" w:fill="auto"/>
          </w:tcPr>
          <w:p w14:paraId="5556CFBD"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BE"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analysis of individual impaired securities, including consideration of the length of time the security has been in an unrealized loss position, the anticipated recovery period, and the magnitude of the overall price decline; </w:t>
            </w:r>
          </w:p>
        </w:tc>
      </w:tr>
    </w:tbl>
    <w:p w14:paraId="5556CFC0"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CFC3" w14:textId="77777777">
        <w:trPr>
          <w:tblCellSpacing w:w="0" w:type="dxa"/>
        </w:trPr>
        <w:tc>
          <w:tcPr>
            <w:tcW w:w="960" w:type="dxa"/>
            <w:shd w:val="clear" w:color="auto" w:fill="auto"/>
            <w:vAlign w:val="center"/>
          </w:tcPr>
          <w:p w14:paraId="5556CFC1" w14:textId="77777777" w:rsidR="00F925DD" w:rsidRDefault="00F925DD">
            <w:pPr>
              <w:rPr>
                <w:rFonts w:ascii="Times New Roman" w:hAnsi="Times New Roman"/>
                <w:sz w:val="20"/>
                <w:szCs w:val="20"/>
              </w:rPr>
            </w:pPr>
          </w:p>
        </w:tc>
        <w:tc>
          <w:tcPr>
            <w:tcW w:w="0" w:type="auto"/>
            <w:shd w:val="clear" w:color="auto" w:fill="auto"/>
            <w:vAlign w:val="center"/>
          </w:tcPr>
          <w:p w14:paraId="5556CFC2" w14:textId="77777777" w:rsidR="00F925DD" w:rsidRDefault="00F925DD">
            <w:pPr>
              <w:rPr>
                <w:rFonts w:ascii="Times New Roman" w:hAnsi="Times New Roman"/>
                <w:sz w:val="20"/>
                <w:szCs w:val="20"/>
              </w:rPr>
            </w:pPr>
          </w:p>
        </w:tc>
      </w:tr>
      <w:tr w:rsidR="00F925DD" w14:paraId="5556CFC6" w14:textId="77777777">
        <w:trPr>
          <w:tblCellSpacing w:w="0" w:type="dxa"/>
        </w:trPr>
        <w:tc>
          <w:tcPr>
            <w:tcW w:w="0" w:type="auto"/>
            <w:shd w:val="clear" w:color="auto" w:fill="auto"/>
          </w:tcPr>
          <w:p w14:paraId="5556CFC4"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C5"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evaluation of facto</w:t>
            </w:r>
            <w:r>
              <w:rPr>
                <w:rFonts w:ascii="Arial" w:eastAsia="宋体" w:hAnsi="Arial" w:cs="Arial"/>
                <w:sz w:val="20"/>
                <w:szCs w:val="20"/>
              </w:rPr>
              <w:t xml:space="preserve">rs or triggers that could cause individual securities to be deemed OTTI and those that would not support OTTI; and </w:t>
            </w:r>
          </w:p>
        </w:tc>
      </w:tr>
    </w:tbl>
    <w:p w14:paraId="5556CFC7"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181"/>
      </w:tblGrid>
      <w:tr w:rsidR="00F925DD" w14:paraId="5556CFCA" w14:textId="77777777">
        <w:trPr>
          <w:tblCellSpacing w:w="0" w:type="dxa"/>
        </w:trPr>
        <w:tc>
          <w:tcPr>
            <w:tcW w:w="960" w:type="dxa"/>
            <w:shd w:val="clear" w:color="auto" w:fill="auto"/>
            <w:vAlign w:val="center"/>
          </w:tcPr>
          <w:p w14:paraId="5556CFC8" w14:textId="77777777" w:rsidR="00F925DD" w:rsidRDefault="00F925DD">
            <w:pPr>
              <w:rPr>
                <w:rFonts w:ascii="Times New Roman" w:hAnsi="Times New Roman"/>
                <w:sz w:val="20"/>
                <w:szCs w:val="20"/>
              </w:rPr>
            </w:pPr>
          </w:p>
        </w:tc>
        <w:tc>
          <w:tcPr>
            <w:tcW w:w="0" w:type="auto"/>
            <w:shd w:val="clear" w:color="auto" w:fill="auto"/>
            <w:vAlign w:val="center"/>
          </w:tcPr>
          <w:p w14:paraId="5556CFC9" w14:textId="77777777" w:rsidR="00F925DD" w:rsidRDefault="00F925DD">
            <w:pPr>
              <w:rPr>
                <w:rFonts w:ascii="Times New Roman" w:hAnsi="Times New Roman"/>
                <w:sz w:val="20"/>
                <w:szCs w:val="20"/>
              </w:rPr>
            </w:pPr>
          </w:p>
        </w:tc>
      </w:tr>
      <w:tr w:rsidR="00F925DD" w14:paraId="5556CFCD" w14:textId="77777777">
        <w:trPr>
          <w:tblCellSpacing w:w="0" w:type="dxa"/>
        </w:trPr>
        <w:tc>
          <w:tcPr>
            <w:tcW w:w="0" w:type="auto"/>
            <w:shd w:val="clear" w:color="auto" w:fill="auto"/>
          </w:tcPr>
          <w:p w14:paraId="5556CFCB"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CC"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documentation of the results of these analyses.</w:t>
            </w:r>
          </w:p>
        </w:tc>
      </w:tr>
    </w:tbl>
    <w:p w14:paraId="5556CFC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Factors considered in determining whether impairment is other than </w:t>
      </w:r>
      <w:r>
        <w:rPr>
          <w:rFonts w:ascii="Arial" w:eastAsia="宋体" w:hAnsi="Arial" w:cs="Arial"/>
          <w:sz w:val="20"/>
          <w:szCs w:val="20"/>
        </w:rPr>
        <w:t>temporary include:</w:t>
      </w:r>
    </w:p>
    <w:tbl>
      <w:tblPr>
        <w:tblW w:w="0" w:type="auto"/>
        <w:tblCellSpacing w:w="0" w:type="dxa"/>
        <w:tblCellMar>
          <w:left w:w="0" w:type="dxa"/>
          <w:right w:w="0" w:type="dxa"/>
        </w:tblCellMar>
        <w:tblLook w:val="04A0" w:firstRow="1" w:lastRow="0" w:firstColumn="1" w:lastColumn="0" w:noHBand="0" w:noVBand="1"/>
      </w:tblPr>
      <w:tblGrid>
        <w:gridCol w:w="960"/>
        <w:gridCol w:w="2779"/>
      </w:tblGrid>
      <w:tr w:rsidR="00F925DD" w14:paraId="5556CFD1" w14:textId="77777777">
        <w:trPr>
          <w:tblCellSpacing w:w="0" w:type="dxa"/>
        </w:trPr>
        <w:tc>
          <w:tcPr>
            <w:tcW w:w="960" w:type="dxa"/>
            <w:shd w:val="clear" w:color="auto" w:fill="auto"/>
            <w:vAlign w:val="center"/>
          </w:tcPr>
          <w:p w14:paraId="5556CFCF" w14:textId="77777777" w:rsidR="00F925DD" w:rsidRDefault="00F925DD">
            <w:pPr>
              <w:rPr>
                <w:rFonts w:ascii="Times New Roman" w:hAnsi="Times New Roman"/>
                <w:sz w:val="20"/>
                <w:szCs w:val="20"/>
              </w:rPr>
            </w:pPr>
          </w:p>
        </w:tc>
        <w:tc>
          <w:tcPr>
            <w:tcW w:w="0" w:type="auto"/>
            <w:shd w:val="clear" w:color="auto" w:fill="auto"/>
            <w:vAlign w:val="center"/>
          </w:tcPr>
          <w:p w14:paraId="5556CFD0" w14:textId="77777777" w:rsidR="00F925DD" w:rsidRDefault="00F925DD">
            <w:pPr>
              <w:rPr>
                <w:rFonts w:ascii="Times New Roman" w:hAnsi="Times New Roman"/>
                <w:sz w:val="20"/>
                <w:szCs w:val="20"/>
              </w:rPr>
            </w:pPr>
          </w:p>
        </w:tc>
      </w:tr>
      <w:tr w:rsidR="00F925DD" w14:paraId="5556CFD4" w14:textId="77777777">
        <w:trPr>
          <w:tblCellSpacing w:w="0" w:type="dxa"/>
        </w:trPr>
        <w:tc>
          <w:tcPr>
            <w:tcW w:w="0" w:type="auto"/>
            <w:shd w:val="clear" w:color="auto" w:fill="auto"/>
          </w:tcPr>
          <w:p w14:paraId="5556CFD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D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certain macroeconomic drivers;</w:t>
            </w:r>
          </w:p>
        </w:tc>
      </w:tr>
    </w:tbl>
    <w:p w14:paraId="5556CFD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801"/>
      </w:tblGrid>
      <w:tr w:rsidR="00F925DD" w14:paraId="5556CFD8" w14:textId="77777777">
        <w:trPr>
          <w:tblCellSpacing w:w="0" w:type="dxa"/>
        </w:trPr>
        <w:tc>
          <w:tcPr>
            <w:tcW w:w="960" w:type="dxa"/>
            <w:shd w:val="clear" w:color="auto" w:fill="auto"/>
            <w:vAlign w:val="center"/>
          </w:tcPr>
          <w:p w14:paraId="5556CFD6" w14:textId="77777777" w:rsidR="00F925DD" w:rsidRDefault="00F925DD">
            <w:pPr>
              <w:rPr>
                <w:rFonts w:ascii="Times New Roman" w:hAnsi="Times New Roman"/>
                <w:sz w:val="20"/>
                <w:szCs w:val="20"/>
              </w:rPr>
            </w:pPr>
          </w:p>
        </w:tc>
        <w:tc>
          <w:tcPr>
            <w:tcW w:w="0" w:type="auto"/>
            <w:shd w:val="clear" w:color="auto" w:fill="auto"/>
            <w:vAlign w:val="center"/>
          </w:tcPr>
          <w:p w14:paraId="5556CFD7" w14:textId="77777777" w:rsidR="00F925DD" w:rsidRDefault="00F925DD">
            <w:pPr>
              <w:rPr>
                <w:rFonts w:ascii="Times New Roman" w:hAnsi="Times New Roman"/>
                <w:sz w:val="20"/>
                <w:szCs w:val="20"/>
              </w:rPr>
            </w:pPr>
          </w:p>
        </w:tc>
      </w:tr>
      <w:tr w:rsidR="00F925DD" w14:paraId="5556CFDB" w14:textId="77777777">
        <w:trPr>
          <w:tblCellSpacing w:w="0" w:type="dxa"/>
        </w:trPr>
        <w:tc>
          <w:tcPr>
            <w:tcW w:w="0" w:type="auto"/>
            <w:shd w:val="clear" w:color="auto" w:fill="auto"/>
          </w:tcPr>
          <w:p w14:paraId="5556CFD9"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DA"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certain industry-specific drivers;</w:t>
            </w:r>
          </w:p>
        </w:tc>
      </w:tr>
    </w:tbl>
    <w:p w14:paraId="5556CFDC"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370"/>
      </w:tblGrid>
      <w:tr w:rsidR="00F925DD" w14:paraId="5556CFDF" w14:textId="77777777">
        <w:trPr>
          <w:tblCellSpacing w:w="0" w:type="dxa"/>
        </w:trPr>
        <w:tc>
          <w:tcPr>
            <w:tcW w:w="960" w:type="dxa"/>
            <w:shd w:val="clear" w:color="auto" w:fill="auto"/>
            <w:vAlign w:val="center"/>
          </w:tcPr>
          <w:p w14:paraId="5556CFDD" w14:textId="77777777" w:rsidR="00F925DD" w:rsidRDefault="00F925DD">
            <w:pPr>
              <w:rPr>
                <w:rFonts w:ascii="Times New Roman" w:hAnsi="Times New Roman"/>
                <w:sz w:val="20"/>
                <w:szCs w:val="20"/>
              </w:rPr>
            </w:pPr>
          </w:p>
        </w:tc>
        <w:tc>
          <w:tcPr>
            <w:tcW w:w="0" w:type="auto"/>
            <w:shd w:val="clear" w:color="auto" w:fill="auto"/>
            <w:vAlign w:val="center"/>
          </w:tcPr>
          <w:p w14:paraId="5556CFDE" w14:textId="77777777" w:rsidR="00F925DD" w:rsidRDefault="00F925DD">
            <w:pPr>
              <w:rPr>
                <w:rFonts w:ascii="Times New Roman" w:hAnsi="Times New Roman"/>
                <w:sz w:val="20"/>
                <w:szCs w:val="20"/>
              </w:rPr>
            </w:pPr>
          </w:p>
        </w:tc>
      </w:tr>
      <w:tr w:rsidR="00F925DD" w14:paraId="5556CFE2" w14:textId="77777777">
        <w:trPr>
          <w:tblCellSpacing w:w="0" w:type="dxa"/>
        </w:trPr>
        <w:tc>
          <w:tcPr>
            <w:tcW w:w="0" w:type="auto"/>
            <w:shd w:val="clear" w:color="auto" w:fill="auto"/>
          </w:tcPr>
          <w:p w14:paraId="5556CFE0"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E1"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length of time the security has been impaired; </w:t>
            </w:r>
          </w:p>
        </w:tc>
      </w:tr>
    </w:tbl>
    <w:p w14:paraId="5556CFE3"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679"/>
      </w:tblGrid>
      <w:tr w:rsidR="00F925DD" w14:paraId="5556CFE6" w14:textId="77777777">
        <w:trPr>
          <w:tblCellSpacing w:w="0" w:type="dxa"/>
        </w:trPr>
        <w:tc>
          <w:tcPr>
            <w:tcW w:w="960" w:type="dxa"/>
            <w:shd w:val="clear" w:color="auto" w:fill="auto"/>
            <w:vAlign w:val="center"/>
          </w:tcPr>
          <w:p w14:paraId="5556CFE4" w14:textId="77777777" w:rsidR="00F925DD" w:rsidRDefault="00F925DD">
            <w:pPr>
              <w:rPr>
                <w:rFonts w:ascii="Times New Roman" w:hAnsi="Times New Roman"/>
                <w:sz w:val="20"/>
                <w:szCs w:val="20"/>
              </w:rPr>
            </w:pPr>
          </w:p>
        </w:tc>
        <w:tc>
          <w:tcPr>
            <w:tcW w:w="0" w:type="auto"/>
            <w:shd w:val="clear" w:color="auto" w:fill="auto"/>
            <w:vAlign w:val="center"/>
          </w:tcPr>
          <w:p w14:paraId="5556CFE5" w14:textId="77777777" w:rsidR="00F925DD" w:rsidRDefault="00F925DD">
            <w:pPr>
              <w:rPr>
                <w:rFonts w:ascii="Times New Roman" w:hAnsi="Times New Roman"/>
                <w:sz w:val="20"/>
                <w:szCs w:val="20"/>
              </w:rPr>
            </w:pPr>
          </w:p>
        </w:tc>
      </w:tr>
      <w:tr w:rsidR="00F925DD" w14:paraId="5556CFE9" w14:textId="77777777">
        <w:trPr>
          <w:tblCellSpacing w:w="0" w:type="dxa"/>
        </w:trPr>
        <w:tc>
          <w:tcPr>
            <w:tcW w:w="0" w:type="auto"/>
            <w:shd w:val="clear" w:color="auto" w:fill="auto"/>
          </w:tcPr>
          <w:p w14:paraId="5556CFE7"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E8"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severity of the impairment; </w:t>
            </w:r>
          </w:p>
        </w:tc>
      </w:tr>
    </w:tbl>
    <w:p w14:paraId="5556CFEA"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CFED" w14:textId="77777777">
        <w:trPr>
          <w:tblCellSpacing w:w="0" w:type="dxa"/>
        </w:trPr>
        <w:tc>
          <w:tcPr>
            <w:tcW w:w="960" w:type="dxa"/>
            <w:shd w:val="clear" w:color="auto" w:fill="auto"/>
            <w:vAlign w:val="center"/>
          </w:tcPr>
          <w:p w14:paraId="5556CFEB" w14:textId="77777777" w:rsidR="00F925DD" w:rsidRDefault="00F925DD">
            <w:pPr>
              <w:rPr>
                <w:rFonts w:ascii="Times New Roman" w:hAnsi="Times New Roman"/>
                <w:sz w:val="20"/>
                <w:szCs w:val="20"/>
              </w:rPr>
            </w:pPr>
          </w:p>
        </w:tc>
        <w:tc>
          <w:tcPr>
            <w:tcW w:w="0" w:type="auto"/>
            <w:shd w:val="clear" w:color="auto" w:fill="auto"/>
            <w:vAlign w:val="center"/>
          </w:tcPr>
          <w:p w14:paraId="5556CFEC" w14:textId="77777777" w:rsidR="00F925DD" w:rsidRDefault="00F925DD">
            <w:pPr>
              <w:rPr>
                <w:rFonts w:ascii="Times New Roman" w:hAnsi="Times New Roman"/>
                <w:sz w:val="20"/>
                <w:szCs w:val="20"/>
              </w:rPr>
            </w:pPr>
          </w:p>
        </w:tc>
      </w:tr>
      <w:tr w:rsidR="00F925DD" w14:paraId="5556CFF0" w14:textId="77777777">
        <w:trPr>
          <w:tblCellSpacing w:w="0" w:type="dxa"/>
        </w:trPr>
        <w:tc>
          <w:tcPr>
            <w:tcW w:w="0" w:type="auto"/>
            <w:shd w:val="clear" w:color="auto" w:fill="auto"/>
          </w:tcPr>
          <w:p w14:paraId="5556CFEE"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EF"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the cause of the impairment and the </w:t>
            </w:r>
            <w:r>
              <w:rPr>
                <w:rFonts w:ascii="Arial" w:eastAsia="宋体" w:hAnsi="Arial" w:cs="Arial"/>
                <w:sz w:val="20"/>
                <w:szCs w:val="20"/>
              </w:rPr>
              <w:t>financial condition and near-term prospects of the issuer;</w:t>
            </w:r>
          </w:p>
        </w:tc>
      </w:tr>
    </w:tbl>
    <w:p w14:paraId="5556CFF1"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CFF4" w14:textId="77777777">
        <w:trPr>
          <w:tblCellSpacing w:w="0" w:type="dxa"/>
        </w:trPr>
        <w:tc>
          <w:tcPr>
            <w:tcW w:w="960" w:type="dxa"/>
            <w:shd w:val="clear" w:color="auto" w:fill="auto"/>
            <w:vAlign w:val="center"/>
          </w:tcPr>
          <w:p w14:paraId="5556CFF2" w14:textId="77777777" w:rsidR="00F925DD" w:rsidRDefault="00F925DD">
            <w:pPr>
              <w:rPr>
                <w:rFonts w:ascii="Times New Roman" w:hAnsi="Times New Roman"/>
                <w:sz w:val="20"/>
                <w:szCs w:val="20"/>
              </w:rPr>
            </w:pPr>
          </w:p>
        </w:tc>
        <w:tc>
          <w:tcPr>
            <w:tcW w:w="0" w:type="auto"/>
            <w:shd w:val="clear" w:color="auto" w:fill="auto"/>
            <w:vAlign w:val="center"/>
          </w:tcPr>
          <w:p w14:paraId="5556CFF3" w14:textId="77777777" w:rsidR="00F925DD" w:rsidRDefault="00F925DD">
            <w:pPr>
              <w:rPr>
                <w:rFonts w:ascii="Times New Roman" w:hAnsi="Times New Roman"/>
                <w:sz w:val="20"/>
                <w:szCs w:val="20"/>
              </w:rPr>
            </w:pPr>
          </w:p>
        </w:tc>
      </w:tr>
      <w:tr w:rsidR="00F925DD" w14:paraId="5556CFF7" w14:textId="77777777">
        <w:trPr>
          <w:tblCellSpacing w:w="0" w:type="dxa"/>
        </w:trPr>
        <w:tc>
          <w:tcPr>
            <w:tcW w:w="0" w:type="auto"/>
            <w:shd w:val="clear" w:color="auto" w:fill="auto"/>
          </w:tcPr>
          <w:p w14:paraId="5556CFF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CFF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activity in the market with respect to the issuer's securities, which may indicate adverse credit conditions; and</w:t>
            </w:r>
          </w:p>
        </w:tc>
      </w:tr>
    </w:tbl>
    <w:p w14:paraId="5556CFF8" w14:textId="77777777" w:rsidR="00F925DD" w:rsidRDefault="00F925DD">
      <w:pPr>
        <w:rPr>
          <w:rFonts w:ascii="Times New Roman" w:hAnsi="Times New Roman"/>
          <w:sz w:val="20"/>
          <w:szCs w:val="20"/>
        </w:rPr>
      </w:pPr>
    </w:p>
    <w:p w14:paraId="5556CFF9"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140</w:t>
      </w:r>
    </w:p>
    <w:p w14:paraId="5556CFFA" w14:textId="77777777" w:rsidR="00F925DD" w:rsidRDefault="00F925DD">
      <w:pPr>
        <w:spacing w:line="288" w:lineRule="auto"/>
        <w:ind w:firstLine="600"/>
        <w:jc w:val="center"/>
        <w:rPr>
          <w:rFonts w:ascii="Times New Roman" w:hAnsi="Times New Roman"/>
          <w:sz w:val="18"/>
          <w:szCs w:val="18"/>
        </w:rPr>
      </w:pPr>
    </w:p>
    <w:p w14:paraId="5556CFFB" w14:textId="77777777" w:rsidR="00F925DD" w:rsidRDefault="00E705D7">
      <w:r>
        <w:rPr>
          <w:rFonts w:ascii="Times New Roman" w:hAnsi="Times New Roman"/>
          <w:sz w:val="18"/>
          <w:szCs w:val="18"/>
        </w:rPr>
        <w:pict w14:anchorId="555706C6">
          <v:rect id="_x0000_i1164" style="width:415.3pt;height:1.5pt" o:hralign="center" o:hrstd="t" o:hr="t" fillcolor="#a0a0a0" stroked="f"/>
        </w:pict>
      </w:r>
    </w:p>
    <w:p w14:paraId="5556CFF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CFF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NOTES TO </w:t>
      </w:r>
      <w:r>
        <w:rPr>
          <w:rFonts w:ascii="Arial" w:eastAsia="宋体" w:hAnsi="Arial" w:cs="Arial"/>
          <w:b/>
          <w:bCs/>
          <w:sz w:val="20"/>
          <w:szCs w:val="20"/>
        </w:rPr>
        <w:t>CONSOLIDATED FINANCIAL STATEMENTS</w:t>
      </w:r>
    </w:p>
    <w:p w14:paraId="5556CFFE" w14:textId="77777777" w:rsidR="00F925DD" w:rsidRDefault="00F925DD">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D001" w14:textId="77777777">
        <w:trPr>
          <w:tblCellSpacing w:w="0" w:type="dxa"/>
        </w:trPr>
        <w:tc>
          <w:tcPr>
            <w:tcW w:w="960" w:type="dxa"/>
            <w:shd w:val="clear" w:color="auto" w:fill="auto"/>
            <w:vAlign w:val="center"/>
          </w:tcPr>
          <w:p w14:paraId="5556CFFF" w14:textId="77777777" w:rsidR="00F925DD" w:rsidRDefault="00F925DD">
            <w:pPr>
              <w:rPr>
                <w:rFonts w:ascii="Times New Roman" w:hAnsi="Times New Roman"/>
                <w:sz w:val="20"/>
                <w:szCs w:val="20"/>
              </w:rPr>
            </w:pPr>
          </w:p>
        </w:tc>
        <w:tc>
          <w:tcPr>
            <w:tcW w:w="0" w:type="auto"/>
            <w:shd w:val="clear" w:color="auto" w:fill="auto"/>
            <w:vAlign w:val="center"/>
          </w:tcPr>
          <w:p w14:paraId="5556D000" w14:textId="77777777" w:rsidR="00F925DD" w:rsidRDefault="00F925DD">
            <w:pPr>
              <w:rPr>
                <w:rFonts w:ascii="Times New Roman" w:hAnsi="Times New Roman"/>
                <w:sz w:val="20"/>
                <w:szCs w:val="20"/>
              </w:rPr>
            </w:pPr>
          </w:p>
        </w:tc>
      </w:tr>
      <w:tr w:rsidR="00F925DD" w14:paraId="5556D004" w14:textId="77777777">
        <w:trPr>
          <w:tblCellSpacing w:w="0" w:type="dxa"/>
        </w:trPr>
        <w:tc>
          <w:tcPr>
            <w:tcW w:w="0" w:type="auto"/>
            <w:shd w:val="clear" w:color="auto" w:fill="auto"/>
          </w:tcPr>
          <w:p w14:paraId="5556D002"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D003"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our intention not to sell, and the likelihood that we will not be required to sell, the security for a period of time sufficient to allow for its recovery in value.</w:t>
            </w:r>
          </w:p>
        </w:tc>
      </w:tr>
    </w:tbl>
    <w:p w14:paraId="5556D00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Substantially all of our investment </w:t>
      </w:r>
      <w:r>
        <w:rPr>
          <w:rFonts w:ascii="Arial" w:eastAsia="宋体" w:hAnsi="Arial" w:cs="Arial"/>
          <w:sz w:val="20"/>
          <w:szCs w:val="20"/>
        </w:rPr>
        <w:t>securities portfolio is composed of debt securities. A critical component of our assessment of OTTI of these debt securities is the identification of credit-impaired securities for which management does not expect to receive cash flows sufficient to recove</w:t>
      </w:r>
      <w:r>
        <w:rPr>
          <w:rFonts w:ascii="Arial" w:eastAsia="宋体" w:hAnsi="Arial" w:cs="Arial"/>
          <w:sz w:val="20"/>
          <w:szCs w:val="20"/>
        </w:rPr>
        <w:t>r the entire amortized cost basis of the security. Debt securities that are not deemed to be credit-impaired are subject to additional management analysis to assess whether management intends to sell, or, more likely than not, would be required to sell, th</w:t>
      </w:r>
      <w:r>
        <w:rPr>
          <w:rFonts w:ascii="Arial" w:eastAsia="宋体" w:hAnsi="Arial" w:cs="Arial"/>
          <w:sz w:val="20"/>
          <w:szCs w:val="20"/>
        </w:rPr>
        <w:t>e security before the expected recovery of its amortized cost basis.</w:t>
      </w:r>
    </w:p>
    <w:p w14:paraId="5556D00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recorded less than $1 million, $3 million and less than $1 million of OTTI, included in other income, in the years ended December 31, 2019, 2018 and 2017, respectively, which resulted </w:t>
      </w:r>
      <w:r>
        <w:rPr>
          <w:rFonts w:ascii="Arial" w:eastAsia="宋体" w:hAnsi="Arial" w:cs="Arial"/>
          <w:sz w:val="20"/>
          <w:szCs w:val="20"/>
        </w:rPr>
        <w:t>from adverse changes in the timing of expected future cash flows from non-U.S. mortgage- and asset backed securities.</w:t>
      </w:r>
    </w:p>
    <w:p w14:paraId="5556D00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After a review of the investment portfolio, taking into consideration current economic conditions, adverse situations that might affect ou</w:t>
      </w:r>
      <w:r>
        <w:rPr>
          <w:rFonts w:ascii="Arial" w:eastAsia="宋体" w:hAnsi="Arial" w:cs="Arial"/>
          <w:sz w:val="20"/>
          <w:szCs w:val="20"/>
        </w:rPr>
        <w:t>r ability to fully collect principal and interest, the timing of future payments, the credit quality and performance of the collateral underlying MBS and ABS and other relevant factors, management considers the aggregate decline in fair value of the invest</w:t>
      </w:r>
      <w:r>
        <w:rPr>
          <w:rFonts w:ascii="Arial" w:eastAsia="宋体" w:hAnsi="Arial" w:cs="Arial"/>
          <w:sz w:val="20"/>
          <w:szCs w:val="20"/>
        </w:rPr>
        <w:t>ment securities portfolio and the resulting gross pre-tax unrealized losses of $169 million related to 622 securities as of December 31, 2019 to be temporary, and not the result of any material changes in the credit characteristics of the securities.</w:t>
      </w:r>
    </w:p>
    <w:p w14:paraId="5556D008"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Note </w:t>
      </w:r>
      <w:r>
        <w:rPr>
          <w:rFonts w:ascii="Arial" w:eastAsia="宋体" w:hAnsi="Arial" w:cs="Arial"/>
          <w:b/>
          <w:bCs/>
          <w:sz w:val="20"/>
          <w:szCs w:val="20"/>
        </w:rPr>
        <w:t xml:space="preserve">4.    Loans </w:t>
      </w:r>
    </w:p>
    <w:p w14:paraId="5556D00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Loans are generally recorded at their principal amount outstanding, net of the allowance for loan losses, unearned income, and any net unamortized deferred loan origination fees. Acquired loans have been initially recorded at fair value based </w:t>
      </w:r>
      <w:r>
        <w:rPr>
          <w:rFonts w:ascii="Arial" w:eastAsia="宋体" w:hAnsi="Arial" w:cs="Arial"/>
          <w:sz w:val="20"/>
          <w:szCs w:val="20"/>
        </w:rPr>
        <w:t>on management's expectation with respect to future principal and interest collection as of the date of acquisition. Acquired loans are held for investment, and as such their initial fair value is not adjusted subsequent to acquisition. Loans that are class</w:t>
      </w:r>
      <w:r>
        <w:rPr>
          <w:rFonts w:ascii="Arial" w:eastAsia="宋体" w:hAnsi="Arial" w:cs="Arial"/>
          <w:sz w:val="20"/>
          <w:szCs w:val="20"/>
        </w:rPr>
        <w:t>ified as held-for-sale are measured at lower of cost or fair value on an individual basis.</w:t>
      </w:r>
    </w:p>
    <w:p w14:paraId="5556D00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Interest income related to loans is recognized in our consolidated statement of income using the interest method, or on a basis approximating a level rate of return </w:t>
      </w:r>
      <w:r>
        <w:rPr>
          <w:rFonts w:ascii="Arial" w:eastAsia="宋体" w:hAnsi="Arial" w:cs="Arial"/>
          <w:sz w:val="20"/>
          <w:szCs w:val="20"/>
        </w:rPr>
        <w:t>over the term of the loan. Fees received for providing loan commitments and letters of credit that we anticipate will result in loans typically are deferred and amortized to interest income over the term of the related loan, beginning with the initial borr</w:t>
      </w:r>
      <w:r>
        <w:rPr>
          <w:rFonts w:ascii="Arial" w:eastAsia="宋体" w:hAnsi="Arial" w:cs="Arial"/>
          <w:sz w:val="20"/>
          <w:szCs w:val="20"/>
        </w:rPr>
        <w:t xml:space="preserve">owing. Fees </w:t>
      </w:r>
    </w:p>
    <w:p w14:paraId="5556D00B"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D00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on commitments and letters of credit are amortized to software and processing fees over the commitment period when funding is not known or expected.</w:t>
      </w:r>
    </w:p>
    <w:p w14:paraId="5556D00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our recorded investment in loans, by segment, as of the dates i</w:t>
      </w:r>
      <w:r>
        <w:rPr>
          <w:rFonts w:ascii="Arial" w:eastAsia="宋体" w:hAnsi="Arial" w:cs="Arial"/>
          <w:sz w:val="20"/>
          <w:szCs w:val="20"/>
        </w:rPr>
        <w:t>ndicated:</w:t>
      </w:r>
    </w:p>
    <w:tbl>
      <w:tblPr>
        <w:tblW w:w="4990" w:type="pct"/>
        <w:tblCellMar>
          <w:left w:w="0" w:type="dxa"/>
          <w:right w:w="0" w:type="dxa"/>
        </w:tblCellMar>
        <w:tblLook w:val="04A0" w:firstRow="1" w:lastRow="0" w:firstColumn="1" w:lastColumn="0" w:noHBand="0" w:noVBand="1"/>
      </w:tblPr>
      <w:tblGrid>
        <w:gridCol w:w="4289"/>
        <w:gridCol w:w="119"/>
        <w:gridCol w:w="1721"/>
        <w:gridCol w:w="87"/>
        <w:gridCol w:w="146"/>
        <w:gridCol w:w="119"/>
        <w:gridCol w:w="1721"/>
        <w:gridCol w:w="87"/>
      </w:tblGrid>
      <w:tr w:rsidR="00F925DD" w14:paraId="5556D00F" w14:textId="77777777">
        <w:tc>
          <w:tcPr>
            <w:tcW w:w="0" w:type="auto"/>
            <w:gridSpan w:val="8"/>
            <w:shd w:val="clear" w:color="auto" w:fill="auto"/>
            <w:vAlign w:val="center"/>
          </w:tcPr>
          <w:p w14:paraId="5556D00E" w14:textId="77777777" w:rsidR="00F925DD" w:rsidRDefault="00F925DD">
            <w:pPr>
              <w:rPr>
                <w:rFonts w:ascii="Times New Roman" w:hAnsi="Times New Roman"/>
                <w:sz w:val="20"/>
                <w:szCs w:val="20"/>
              </w:rPr>
            </w:pPr>
          </w:p>
        </w:tc>
      </w:tr>
      <w:tr w:rsidR="00F925DD" w14:paraId="5556D018" w14:textId="77777777">
        <w:tc>
          <w:tcPr>
            <w:tcW w:w="2600" w:type="pct"/>
            <w:shd w:val="clear" w:color="auto" w:fill="auto"/>
            <w:vAlign w:val="center"/>
          </w:tcPr>
          <w:p w14:paraId="5556D010" w14:textId="77777777" w:rsidR="00F925DD" w:rsidRDefault="00F925DD">
            <w:pPr>
              <w:rPr>
                <w:rFonts w:ascii="Times New Roman" w:hAnsi="Times New Roman"/>
                <w:sz w:val="20"/>
                <w:szCs w:val="20"/>
              </w:rPr>
            </w:pPr>
          </w:p>
        </w:tc>
        <w:tc>
          <w:tcPr>
            <w:tcW w:w="50" w:type="pct"/>
            <w:shd w:val="clear" w:color="auto" w:fill="auto"/>
            <w:vAlign w:val="center"/>
          </w:tcPr>
          <w:p w14:paraId="5556D011" w14:textId="77777777" w:rsidR="00F925DD" w:rsidRDefault="00F925DD">
            <w:pPr>
              <w:rPr>
                <w:rFonts w:ascii="Times New Roman" w:hAnsi="Times New Roman"/>
                <w:sz w:val="20"/>
                <w:szCs w:val="20"/>
              </w:rPr>
            </w:pPr>
          </w:p>
        </w:tc>
        <w:tc>
          <w:tcPr>
            <w:tcW w:w="1050" w:type="pct"/>
            <w:shd w:val="clear" w:color="auto" w:fill="auto"/>
            <w:vAlign w:val="center"/>
          </w:tcPr>
          <w:p w14:paraId="5556D012" w14:textId="77777777" w:rsidR="00F925DD" w:rsidRDefault="00F925DD">
            <w:pPr>
              <w:rPr>
                <w:rFonts w:ascii="Times New Roman" w:hAnsi="Times New Roman"/>
                <w:sz w:val="20"/>
                <w:szCs w:val="20"/>
              </w:rPr>
            </w:pPr>
          </w:p>
        </w:tc>
        <w:tc>
          <w:tcPr>
            <w:tcW w:w="50" w:type="pct"/>
            <w:shd w:val="clear" w:color="auto" w:fill="auto"/>
            <w:vAlign w:val="center"/>
          </w:tcPr>
          <w:p w14:paraId="5556D013" w14:textId="77777777" w:rsidR="00F925DD" w:rsidRDefault="00F925DD">
            <w:pPr>
              <w:rPr>
                <w:rFonts w:ascii="Times New Roman" w:hAnsi="Times New Roman"/>
                <w:sz w:val="20"/>
                <w:szCs w:val="20"/>
              </w:rPr>
            </w:pPr>
          </w:p>
        </w:tc>
        <w:tc>
          <w:tcPr>
            <w:tcW w:w="100" w:type="pct"/>
            <w:shd w:val="clear" w:color="auto" w:fill="auto"/>
            <w:vAlign w:val="center"/>
          </w:tcPr>
          <w:p w14:paraId="5556D014" w14:textId="77777777" w:rsidR="00F925DD" w:rsidRDefault="00F925DD">
            <w:pPr>
              <w:rPr>
                <w:rFonts w:ascii="Times New Roman" w:hAnsi="Times New Roman"/>
                <w:sz w:val="20"/>
                <w:szCs w:val="20"/>
              </w:rPr>
            </w:pPr>
          </w:p>
        </w:tc>
        <w:tc>
          <w:tcPr>
            <w:tcW w:w="50" w:type="pct"/>
            <w:shd w:val="clear" w:color="auto" w:fill="auto"/>
            <w:vAlign w:val="center"/>
          </w:tcPr>
          <w:p w14:paraId="5556D015" w14:textId="77777777" w:rsidR="00F925DD" w:rsidRDefault="00F925DD">
            <w:pPr>
              <w:rPr>
                <w:rFonts w:ascii="Times New Roman" w:hAnsi="Times New Roman"/>
                <w:sz w:val="20"/>
                <w:szCs w:val="20"/>
              </w:rPr>
            </w:pPr>
          </w:p>
        </w:tc>
        <w:tc>
          <w:tcPr>
            <w:tcW w:w="1050" w:type="pct"/>
            <w:shd w:val="clear" w:color="auto" w:fill="auto"/>
            <w:vAlign w:val="center"/>
          </w:tcPr>
          <w:p w14:paraId="5556D016" w14:textId="77777777" w:rsidR="00F925DD" w:rsidRDefault="00F925DD">
            <w:pPr>
              <w:rPr>
                <w:rFonts w:ascii="Times New Roman" w:hAnsi="Times New Roman"/>
                <w:sz w:val="20"/>
                <w:szCs w:val="20"/>
              </w:rPr>
            </w:pPr>
          </w:p>
        </w:tc>
        <w:tc>
          <w:tcPr>
            <w:tcW w:w="50" w:type="pct"/>
            <w:shd w:val="clear" w:color="auto" w:fill="auto"/>
            <w:vAlign w:val="center"/>
          </w:tcPr>
          <w:p w14:paraId="5556D017" w14:textId="77777777" w:rsidR="00F925DD" w:rsidRDefault="00F925DD">
            <w:pPr>
              <w:rPr>
                <w:rFonts w:ascii="Times New Roman" w:hAnsi="Times New Roman"/>
                <w:sz w:val="20"/>
                <w:szCs w:val="20"/>
              </w:rPr>
            </w:pPr>
          </w:p>
        </w:tc>
      </w:tr>
      <w:tr w:rsidR="00F925DD" w14:paraId="5556D01D" w14:textId="77777777">
        <w:tc>
          <w:tcPr>
            <w:tcW w:w="0" w:type="auto"/>
            <w:shd w:val="clear" w:color="auto" w:fill="auto"/>
            <w:tcMar>
              <w:top w:w="40" w:type="dxa"/>
              <w:left w:w="40" w:type="dxa"/>
              <w:bottom w:w="40" w:type="dxa"/>
              <w:right w:w="40" w:type="dxa"/>
            </w:tcMar>
            <w:vAlign w:val="bottom"/>
          </w:tcPr>
          <w:p w14:paraId="5556D01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01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shd w:val="clear" w:color="auto" w:fill="auto"/>
            <w:tcMar>
              <w:top w:w="40" w:type="dxa"/>
              <w:left w:w="40" w:type="dxa"/>
              <w:bottom w:w="40" w:type="dxa"/>
              <w:right w:w="40" w:type="dxa"/>
            </w:tcMar>
            <w:vAlign w:val="bottom"/>
          </w:tcPr>
          <w:p w14:paraId="5556D0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01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2018</w:t>
            </w:r>
          </w:p>
        </w:tc>
      </w:tr>
      <w:tr w:rsidR="00F925DD" w14:paraId="5556D022" w14:textId="77777777">
        <w:tc>
          <w:tcPr>
            <w:tcW w:w="0" w:type="auto"/>
            <w:shd w:val="clear" w:color="auto" w:fill="auto"/>
            <w:tcMar>
              <w:top w:w="40" w:type="dxa"/>
              <w:left w:w="40" w:type="dxa"/>
              <w:bottom w:w="40" w:type="dxa"/>
              <w:right w:w="40" w:type="dxa"/>
            </w:tcMar>
            <w:vAlign w:val="bottom"/>
          </w:tcPr>
          <w:p w14:paraId="5556D01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Domestic</w:t>
            </w:r>
            <w:r>
              <w:rPr>
                <w:rFonts w:ascii="Arial" w:eastAsia="宋体" w:hAnsi="Arial" w:cs="Arial"/>
                <w:b/>
                <w:bCs/>
                <w:sz w:val="10"/>
                <w:szCs w:val="10"/>
              </w:rPr>
              <w:t>(1)</w:t>
            </w:r>
            <w:r>
              <w:rPr>
                <w:rFonts w:ascii="Arial" w:eastAsia="宋体" w:hAnsi="Arial" w:cs="Arial"/>
                <w:b/>
                <w:bCs/>
                <w:sz w:val="14"/>
                <w:szCs w:val="14"/>
              </w:rPr>
              <w:t>:</w:t>
            </w:r>
          </w:p>
        </w:tc>
        <w:tc>
          <w:tcPr>
            <w:tcW w:w="0" w:type="auto"/>
            <w:gridSpan w:val="3"/>
            <w:shd w:val="clear" w:color="auto" w:fill="auto"/>
            <w:tcMar>
              <w:top w:w="40" w:type="dxa"/>
              <w:left w:w="40" w:type="dxa"/>
              <w:bottom w:w="40" w:type="dxa"/>
              <w:right w:w="40" w:type="dxa"/>
            </w:tcMar>
            <w:vAlign w:val="bottom"/>
          </w:tcPr>
          <w:p w14:paraId="5556D0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0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0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027" w14:textId="77777777">
        <w:tc>
          <w:tcPr>
            <w:tcW w:w="0" w:type="auto"/>
            <w:shd w:val="clear" w:color="auto" w:fill="auto"/>
            <w:tcMar>
              <w:top w:w="40" w:type="dxa"/>
              <w:left w:w="240" w:type="dxa"/>
              <w:bottom w:w="40" w:type="dxa"/>
              <w:right w:w="40" w:type="dxa"/>
            </w:tcMar>
            <w:vAlign w:val="bottom"/>
          </w:tcPr>
          <w:p w14:paraId="5556D023" w14:textId="77777777" w:rsidR="00F925DD" w:rsidRDefault="00E705D7">
            <w:pPr>
              <w:textAlignment w:val="bottom"/>
              <w:rPr>
                <w:rFonts w:ascii="Times New Roman" w:hAnsi="Times New Roman"/>
                <w:sz w:val="14"/>
                <w:szCs w:val="14"/>
              </w:rPr>
            </w:pPr>
            <w:r>
              <w:rPr>
                <w:rFonts w:ascii="Arial" w:eastAsia="宋体" w:hAnsi="Arial" w:cs="Arial"/>
                <w:sz w:val="14"/>
                <w:szCs w:val="14"/>
              </w:rPr>
              <w:t>Commercial and financial:</w:t>
            </w:r>
          </w:p>
        </w:tc>
        <w:tc>
          <w:tcPr>
            <w:tcW w:w="0" w:type="auto"/>
            <w:gridSpan w:val="3"/>
            <w:shd w:val="clear" w:color="auto" w:fill="auto"/>
            <w:tcMar>
              <w:top w:w="40" w:type="dxa"/>
              <w:left w:w="40" w:type="dxa"/>
              <w:bottom w:w="40" w:type="dxa"/>
              <w:right w:w="40" w:type="dxa"/>
            </w:tcMar>
            <w:vAlign w:val="bottom"/>
          </w:tcPr>
          <w:p w14:paraId="5556D0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0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0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030" w14:textId="77777777">
        <w:tc>
          <w:tcPr>
            <w:tcW w:w="0" w:type="auto"/>
            <w:shd w:val="clear" w:color="auto" w:fill="CCEEFF"/>
            <w:tcMar>
              <w:top w:w="40" w:type="dxa"/>
              <w:left w:w="400" w:type="dxa"/>
              <w:bottom w:w="40" w:type="dxa"/>
              <w:right w:w="40" w:type="dxa"/>
            </w:tcMar>
            <w:vAlign w:val="bottom"/>
          </w:tcPr>
          <w:p w14:paraId="5556D028" w14:textId="77777777" w:rsidR="00F925DD" w:rsidRDefault="00E705D7">
            <w:pPr>
              <w:textAlignment w:val="bottom"/>
              <w:rPr>
                <w:rFonts w:ascii="Times New Roman" w:hAnsi="Times New Roman"/>
                <w:sz w:val="14"/>
                <w:szCs w:val="14"/>
              </w:rPr>
            </w:pPr>
            <w:r>
              <w:rPr>
                <w:rFonts w:ascii="Arial" w:eastAsia="宋体" w:hAnsi="Arial" w:cs="Arial"/>
                <w:sz w:val="14"/>
                <w:szCs w:val="14"/>
              </w:rPr>
              <w:t>Loans to investment funds</w:t>
            </w:r>
          </w:p>
        </w:tc>
        <w:tc>
          <w:tcPr>
            <w:tcW w:w="0" w:type="auto"/>
            <w:shd w:val="clear" w:color="auto" w:fill="CCEEFF"/>
            <w:tcMar>
              <w:top w:w="40" w:type="dxa"/>
              <w:left w:w="40" w:type="dxa"/>
              <w:bottom w:w="40" w:type="dxa"/>
            </w:tcMar>
            <w:vAlign w:val="bottom"/>
          </w:tcPr>
          <w:p w14:paraId="5556D02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D02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14,546</w:t>
            </w:r>
          </w:p>
        </w:tc>
        <w:tc>
          <w:tcPr>
            <w:tcW w:w="0" w:type="auto"/>
            <w:shd w:val="clear" w:color="auto" w:fill="CCEEFF"/>
            <w:vAlign w:val="bottom"/>
          </w:tcPr>
          <w:p w14:paraId="5556D0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02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02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15,050</w:t>
            </w:r>
          </w:p>
        </w:tc>
        <w:tc>
          <w:tcPr>
            <w:tcW w:w="0" w:type="auto"/>
            <w:shd w:val="clear" w:color="auto" w:fill="CCEEFF"/>
            <w:vAlign w:val="bottom"/>
          </w:tcPr>
          <w:p w14:paraId="5556D02F" w14:textId="77777777" w:rsidR="00F925DD" w:rsidRDefault="00F925DD">
            <w:pPr>
              <w:textAlignment w:val="bottom"/>
              <w:rPr>
                <w:rFonts w:ascii="Times New Roman" w:hAnsi="Times New Roman"/>
                <w:sz w:val="20"/>
                <w:szCs w:val="20"/>
              </w:rPr>
            </w:pPr>
          </w:p>
        </w:tc>
      </w:tr>
      <w:tr w:rsidR="00F925DD" w14:paraId="5556D037" w14:textId="77777777">
        <w:tc>
          <w:tcPr>
            <w:tcW w:w="0" w:type="auto"/>
            <w:shd w:val="clear" w:color="auto" w:fill="auto"/>
            <w:tcMar>
              <w:top w:w="40" w:type="dxa"/>
              <w:left w:w="400" w:type="dxa"/>
              <w:bottom w:w="40" w:type="dxa"/>
              <w:right w:w="40" w:type="dxa"/>
            </w:tcMar>
            <w:vAlign w:val="bottom"/>
          </w:tcPr>
          <w:p w14:paraId="5556D031" w14:textId="77777777" w:rsidR="00F925DD" w:rsidRDefault="00E705D7">
            <w:pPr>
              <w:textAlignment w:val="bottom"/>
              <w:rPr>
                <w:rFonts w:ascii="Times New Roman" w:hAnsi="Times New Roman"/>
                <w:sz w:val="14"/>
                <w:szCs w:val="14"/>
              </w:rPr>
            </w:pPr>
            <w:r>
              <w:rPr>
                <w:rFonts w:ascii="Arial" w:eastAsia="宋体" w:hAnsi="Arial" w:cs="Arial"/>
                <w:sz w:val="14"/>
                <w:szCs w:val="14"/>
              </w:rPr>
              <w:t>Senior secured bank loans</w:t>
            </w:r>
          </w:p>
        </w:tc>
        <w:tc>
          <w:tcPr>
            <w:tcW w:w="0" w:type="auto"/>
            <w:gridSpan w:val="2"/>
            <w:shd w:val="clear" w:color="auto" w:fill="auto"/>
            <w:tcMar>
              <w:top w:w="40" w:type="dxa"/>
              <w:left w:w="40" w:type="dxa"/>
              <w:bottom w:w="40" w:type="dxa"/>
            </w:tcMar>
            <w:vAlign w:val="bottom"/>
          </w:tcPr>
          <w:p w14:paraId="5556D03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3,342</w:t>
            </w:r>
          </w:p>
        </w:tc>
        <w:tc>
          <w:tcPr>
            <w:tcW w:w="0" w:type="auto"/>
            <w:shd w:val="clear" w:color="auto" w:fill="auto"/>
            <w:vAlign w:val="bottom"/>
          </w:tcPr>
          <w:p w14:paraId="5556D03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0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03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3,490</w:t>
            </w:r>
          </w:p>
        </w:tc>
        <w:tc>
          <w:tcPr>
            <w:tcW w:w="0" w:type="auto"/>
            <w:shd w:val="clear" w:color="auto" w:fill="auto"/>
            <w:vAlign w:val="bottom"/>
          </w:tcPr>
          <w:p w14:paraId="5556D036" w14:textId="77777777" w:rsidR="00F925DD" w:rsidRDefault="00F925DD">
            <w:pPr>
              <w:textAlignment w:val="bottom"/>
              <w:rPr>
                <w:rFonts w:ascii="Times New Roman" w:hAnsi="Times New Roman"/>
                <w:sz w:val="20"/>
                <w:szCs w:val="20"/>
              </w:rPr>
            </w:pPr>
          </w:p>
        </w:tc>
      </w:tr>
      <w:tr w:rsidR="00F925DD" w14:paraId="5556D03E" w14:textId="77777777">
        <w:tc>
          <w:tcPr>
            <w:tcW w:w="0" w:type="auto"/>
            <w:shd w:val="clear" w:color="auto" w:fill="CCEEFF"/>
            <w:tcMar>
              <w:top w:w="40" w:type="dxa"/>
              <w:left w:w="400" w:type="dxa"/>
              <w:bottom w:w="40" w:type="dxa"/>
              <w:right w:w="40" w:type="dxa"/>
            </w:tcMar>
            <w:vAlign w:val="bottom"/>
          </w:tcPr>
          <w:p w14:paraId="5556D038" w14:textId="77777777" w:rsidR="00F925DD" w:rsidRDefault="00E705D7">
            <w:pPr>
              <w:textAlignment w:val="bottom"/>
              <w:rPr>
                <w:rFonts w:ascii="Times New Roman" w:hAnsi="Times New Roman"/>
                <w:sz w:val="14"/>
                <w:szCs w:val="14"/>
              </w:rPr>
            </w:pPr>
            <w:r>
              <w:rPr>
                <w:rFonts w:ascii="Arial" w:eastAsia="宋体" w:hAnsi="Arial" w:cs="Arial"/>
                <w:sz w:val="14"/>
                <w:szCs w:val="14"/>
              </w:rPr>
              <w:t>Loans to municipalities</w:t>
            </w:r>
          </w:p>
        </w:tc>
        <w:tc>
          <w:tcPr>
            <w:tcW w:w="0" w:type="auto"/>
            <w:gridSpan w:val="2"/>
            <w:shd w:val="clear" w:color="auto" w:fill="CCEEFF"/>
            <w:tcMar>
              <w:top w:w="40" w:type="dxa"/>
              <w:left w:w="40" w:type="dxa"/>
              <w:bottom w:w="40" w:type="dxa"/>
            </w:tcMar>
            <w:vAlign w:val="bottom"/>
          </w:tcPr>
          <w:p w14:paraId="5556D03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848</w:t>
            </w:r>
          </w:p>
        </w:tc>
        <w:tc>
          <w:tcPr>
            <w:tcW w:w="0" w:type="auto"/>
            <w:shd w:val="clear" w:color="auto" w:fill="CCEEFF"/>
            <w:vAlign w:val="bottom"/>
          </w:tcPr>
          <w:p w14:paraId="5556D0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03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902</w:t>
            </w:r>
          </w:p>
        </w:tc>
        <w:tc>
          <w:tcPr>
            <w:tcW w:w="0" w:type="auto"/>
            <w:shd w:val="clear" w:color="auto" w:fill="CCEEFF"/>
            <w:vAlign w:val="bottom"/>
          </w:tcPr>
          <w:p w14:paraId="5556D03D" w14:textId="77777777" w:rsidR="00F925DD" w:rsidRDefault="00F925DD">
            <w:pPr>
              <w:textAlignment w:val="bottom"/>
              <w:rPr>
                <w:rFonts w:ascii="Times New Roman" w:hAnsi="Times New Roman"/>
                <w:sz w:val="20"/>
                <w:szCs w:val="20"/>
              </w:rPr>
            </w:pPr>
          </w:p>
        </w:tc>
      </w:tr>
      <w:tr w:rsidR="00F925DD" w14:paraId="5556D045" w14:textId="77777777">
        <w:tc>
          <w:tcPr>
            <w:tcW w:w="0" w:type="auto"/>
            <w:shd w:val="clear" w:color="auto" w:fill="auto"/>
            <w:tcMar>
              <w:top w:w="40" w:type="dxa"/>
              <w:left w:w="400" w:type="dxa"/>
              <w:bottom w:w="40" w:type="dxa"/>
              <w:right w:w="40" w:type="dxa"/>
            </w:tcMar>
            <w:vAlign w:val="bottom"/>
          </w:tcPr>
          <w:p w14:paraId="5556D03F"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shd w:val="clear" w:color="auto" w:fill="auto"/>
            <w:tcMar>
              <w:top w:w="40" w:type="dxa"/>
              <w:left w:w="40" w:type="dxa"/>
              <w:bottom w:w="40" w:type="dxa"/>
            </w:tcMar>
            <w:vAlign w:val="bottom"/>
          </w:tcPr>
          <w:p w14:paraId="5556D04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w:t>
            </w:r>
          </w:p>
        </w:tc>
        <w:tc>
          <w:tcPr>
            <w:tcW w:w="0" w:type="auto"/>
            <w:shd w:val="clear" w:color="auto" w:fill="auto"/>
            <w:vAlign w:val="bottom"/>
          </w:tcPr>
          <w:p w14:paraId="5556D0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0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04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w:t>
            </w:r>
          </w:p>
        </w:tc>
        <w:tc>
          <w:tcPr>
            <w:tcW w:w="0" w:type="auto"/>
            <w:shd w:val="clear" w:color="auto" w:fill="auto"/>
            <w:vAlign w:val="bottom"/>
          </w:tcPr>
          <w:p w14:paraId="5556D044" w14:textId="77777777" w:rsidR="00F925DD" w:rsidRDefault="00F925DD">
            <w:pPr>
              <w:textAlignment w:val="bottom"/>
              <w:rPr>
                <w:rFonts w:ascii="Times New Roman" w:hAnsi="Times New Roman"/>
                <w:sz w:val="20"/>
                <w:szCs w:val="20"/>
              </w:rPr>
            </w:pPr>
          </w:p>
        </w:tc>
      </w:tr>
      <w:tr w:rsidR="00F925DD" w14:paraId="5556D04C" w14:textId="77777777">
        <w:tc>
          <w:tcPr>
            <w:tcW w:w="0" w:type="auto"/>
            <w:shd w:val="clear" w:color="auto" w:fill="CCEEFF"/>
            <w:tcMar>
              <w:top w:w="40" w:type="dxa"/>
              <w:left w:w="240" w:type="dxa"/>
              <w:bottom w:w="40" w:type="dxa"/>
              <w:right w:w="40" w:type="dxa"/>
            </w:tcMar>
            <w:vAlign w:val="bottom"/>
          </w:tcPr>
          <w:p w14:paraId="5556D046" w14:textId="77777777" w:rsidR="00F925DD" w:rsidRDefault="00E705D7">
            <w:pPr>
              <w:textAlignment w:val="bottom"/>
              <w:rPr>
                <w:rFonts w:ascii="Times New Roman" w:hAnsi="Times New Roman"/>
                <w:sz w:val="14"/>
                <w:szCs w:val="14"/>
              </w:rPr>
            </w:pPr>
            <w:r>
              <w:rPr>
                <w:rFonts w:ascii="Arial" w:eastAsia="宋体" w:hAnsi="Arial" w:cs="Arial"/>
                <w:sz w:val="14"/>
                <w:szCs w:val="14"/>
              </w:rPr>
              <w:t>Commercial real estate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04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1,766</w:t>
            </w:r>
          </w:p>
        </w:tc>
        <w:tc>
          <w:tcPr>
            <w:tcW w:w="0" w:type="auto"/>
            <w:tcBorders>
              <w:bottom w:val="single" w:sz="8" w:space="0" w:color="000000"/>
            </w:tcBorders>
            <w:shd w:val="clear" w:color="auto" w:fill="CCEEFF"/>
            <w:vAlign w:val="bottom"/>
          </w:tcPr>
          <w:p w14:paraId="5556D04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04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874</w:t>
            </w:r>
          </w:p>
        </w:tc>
        <w:tc>
          <w:tcPr>
            <w:tcW w:w="0" w:type="auto"/>
            <w:tcBorders>
              <w:bottom w:val="single" w:sz="8" w:space="0" w:color="000000"/>
            </w:tcBorders>
            <w:shd w:val="clear" w:color="auto" w:fill="CCEEFF"/>
            <w:vAlign w:val="bottom"/>
          </w:tcPr>
          <w:p w14:paraId="5556D04B" w14:textId="77777777" w:rsidR="00F925DD" w:rsidRDefault="00F925DD">
            <w:pPr>
              <w:textAlignment w:val="bottom"/>
              <w:rPr>
                <w:rFonts w:ascii="Times New Roman" w:hAnsi="Times New Roman"/>
                <w:sz w:val="20"/>
                <w:szCs w:val="20"/>
              </w:rPr>
            </w:pPr>
          </w:p>
        </w:tc>
      </w:tr>
      <w:tr w:rsidR="00F925DD" w14:paraId="5556D053" w14:textId="77777777">
        <w:tc>
          <w:tcPr>
            <w:tcW w:w="0" w:type="auto"/>
            <w:shd w:val="clear" w:color="auto" w:fill="auto"/>
            <w:tcMar>
              <w:top w:w="40" w:type="dxa"/>
              <w:left w:w="400" w:type="dxa"/>
              <w:bottom w:w="40" w:type="dxa"/>
              <w:right w:w="40" w:type="dxa"/>
            </w:tcMar>
            <w:vAlign w:val="bottom"/>
          </w:tcPr>
          <w:p w14:paraId="5556D04D"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domestic</w:t>
            </w:r>
          </w:p>
        </w:tc>
        <w:tc>
          <w:tcPr>
            <w:tcW w:w="0" w:type="auto"/>
            <w:gridSpan w:val="2"/>
            <w:shd w:val="clear" w:color="auto" w:fill="auto"/>
            <w:tcMar>
              <w:top w:w="40" w:type="dxa"/>
              <w:left w:w="40" w:type="dxa"/>
              <w:bottom w:w="40" w:type="dxa"/>
            </w:tcMar>
            <w:vAlign w:val="bottom"/>
          </w:tcPr>
          <w:p w14:paraId="5556D04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20,528</w:t>
            </w:r>
          </w:p>
        </w:tc>
        <w:tc>
          <w:tcPr>
            <w:tcW w:w="0" w:type="auto"/>
            <w:shd w:val="clear" w:color="auto" w:fill="auto"/>
            <w:vAlign w:val="bottom"/>
          </w:tcPr>
          <w:p w14:paraId="5556D04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0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05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20,353</w:t>
            </w:r>
          </w:p>
        </w:tc>
        <w:tc>
          <w:tcPr>
            <w:tcW w:w="0" w:type="auto"/>
            <w:shd w:val="clear" w:color="auto" w:fill="auto"/>
            <w:vAlign w:val="bottom"/>
          </w:tcPr>
          <w:p w14:paraId="5556D052" w14:textId="77777777" w:rsidR="00F925DD" w:rsidRDefault="00F925DD">
            <w:pPr>
              <w:textAlignment w:val="bottom"/>
              <w:rPr>
                <w:rFonts w:ascii="Times New Roman" w:hAnsi="Times New Roman"/>
                <w:sz w:val="20"/>
                <w:szCs w:val="20"/>
              </w:rPr>
            </w:pPr>
          </w:p>
        </w:tc>
      </w:tr>
      <w:tr w:rsidR="00F925DD" w14:paraId="5556D058" w14:textId="77777777">
        <w:tc>
          <w:tcPr>
            <w:tcW w:w="0" w:type="auto"/>
            <w:shd w:val="clear" w:color="auto" w:fill="CCEEFF"/>
            <w:tcMar>
              <w:top w:w="40" w:type="dxa"/>
              <w:left w:w="40" w:type="dxa"/>
              <w:bottom w:w="40" w:type="dxa"/>
              <w:right w:w="40" w:type="dxa"/>
            </w:tcMar>
            <w:vAlign w:val="bottom"/>
          </w:tcPr>
          <w:p w14:paraId="5556D05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Foreign</w:t>
            </w:r>
            <w:r>
              <w:rPr>
                <w:rFonts w:ascii="Arial" w:eastAsia="宋体" w:hAnsi="Arial" w:cs="Arial"/>
                <w:b/>
                <w:bCs/>
                <w:sz w:val="10"/>
                <w:szCs w:val="10"/>
              </w:rPr>
              <w:t>(1)</w:t>
            </w:r>
            <w:r>
              <w:rPr>
                <w:rFonts w:ascii="Arial" w:eastAsia="宋体" w:hAnsi="Arial" w:cs="Arial"/>
                <w:b/>
                <w:bCs/>
                <w:sz w:val="14"/>
                <w:szCs w:val="14"/>
              </w:rPr>
              <w:t>:</w:t>
            </w:r>
          </w:p>
        </w:tc>
        <w:tc>
          <w:tcPr>
            <w:tcW w:w="0" w:type="auto"/>
            <w:gridSpan w:val="3"/>
            <w:shd w:val="clear" w:color="auto" w:fill="CCEEFF"/>
            <w:tcMar>
              <w:top w:w="40" w:type="dxa"/>
              <w:left w:w="40" w:type="dxa"/>
              <w:bottom w:w="40" w:type="dxa"/>
              <w:right w:w="40" w:type="dxa"/>
            </w:tcMar>
            <w:vAlign w:val="bottom"/>
          </w:tcPr>
          <w:p w14:paraId="5556D0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0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0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05D" w14:textId="77777777">
        <w:tc>
          <w:tcPr>
            <w:tcW w:w="0" w:type="auto"/>
            <w:shd w:val="clear" w:color="auto" w:fill="auto"/>
            <w:tcMar>
              <w:top w:w="40" w:type="dxa"/>
              <w:left w:w="240" w:type="dxa"/>
              <w:bottom w:w="40" w:type="dxa"/>
              <w:right w:w="40" w:type="dxa"/>
            </w:tcMar>
            <w:vAlign w:val="bottom"/>
          </w:tcPr>
          <w:p w14:paraId="5556D059" w14:textId="77777777" w:rsidR="00F925DD" w:rsidRDefault="00E705D7">
            <w:pPr>
              <w:textAlignment w:val="bottom"/>
              <w:rPr>
                <w:rFonts w:ascii="Times New Roman" w:hAnsi="Times New Roman"/>
                <w:sz w:val="14"/>
                <w:szCs w:val="14"/>
              </w:rPr>
            </w:pPr>
            <w:r>
              <w:rPr>
                <w:rFonts w:ascii="Arial" w:eastAsia="宋体" w:hAnsi="Arial" w:cs="Arial"/>
                <w:sz w:val="14"/>
                <w:szCs w:val="14"/>
              </w:rPr>
              <w:t>Commercial and financial:</w:t>
            </w:r>
          </w:p>
        </w:tc>
        <w:tc>
          <w:tcPr>
            <w:tcW w:w="0" w:type="auto"/>
            <w:gridSpan w:val="3"/>
            <w:shd w:val="clear" w:color="auto" w:fill="auto"/>
            <w:tcMar>
              <w:top w:w="40" w:type="dxa"/>
              <w:left w:w="40" w:type="dxa"/>
              <w:bottom w:w="40" w:type="dxa"/>
              <w:right w:w="40" w:type="dxa"/>
            </w:tcMar>
            <w:vAlign w:val="bottom"/>
          </w:tcPr>
          <w:p w14:paraId="5556D0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0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0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064" w14:textId="77777777">
        <w:tc>
          <w:tcPr>
            <w:tcW w:w="0" w:type="auto"/>
            <w:shd w:val="clear" w:color="auto" w:fill="CCEEFF"/>
            <w:tcMar>
              <w:top w:w="40" w:type="dxa"/>
              <w:left w:w="400" w:type="dxa"/>
              <w:bottom w:w="40" w:type="dxa"/>
              <w:right w:w="40" w:type="dxa"/>
            </w:tcMar>
            <w:vAlign w:val="bottom"/>
          </w:tcPr>
          <w:p w14:paraId="5556D05E" w14:textId="77777777" w:rsidR="00F925DD" w:rsidRDefault="00E705D7">
            <w:pPr>
              <w:textAlignment w:val="bottom"/>
              <w:rPr>
                <w:rFonts w:ascii="Times New Roman" w:hAnsi="Times New Roman"/>
                <w:sz w:val="14"/>
                <w:szCs w:val="14"/>
              </w:rPr>
            </w:pPr>
            <w:r>
              <w:rPr>
                <w:rFonts w:ascii="Arial" w:eastAsia="宋体" w:hAnsi="Arial" w:cs="Arial"/>
                <w:sz w:val="14"/>
                <w:szCs w:val="14"/>
              </w:rPr>
              <w:t>Loans to investment funds</w:t>
            </w:r>
          </w:p>
        </w:tc>
        <w:tc>
          <w:tcPr>
            <w:tcW w:w="0" w:type="auto"/>
            <w:gridSpan w:val="2"/>
            <w:shd w:val="clear" w:color="auto" w:fill="CCEEFF"/>
            <w:tcMar>
              <w:top w:w="40" w:type="dxa"/>
              <w:left w:w="40" w:type="dxa"/>
              <w:bottom w:w="40" w:type="dxa"/>
            </w:tcMar>
            <w:vAlign w:val="bottom"/>
          </w:tcPr>
          <w:p w14:paraId="5556D05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4,662</w:t>
            </w:r>
          </w:p>
        </w:tc>
        <w:tc>
          <w:tcPr>
            <w:tcW w:w="0" w:type="auto"/>
            <w:shd w:val="clear" w:color="auto" w:fill="CCEEFF"/>
            <w:vAlign w:val="bottom"/>
          </w:tcPr>
          <w:p w14:paraId="5556D06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06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4,505</w:t>
            </w:r>
          </w:p>
        </w:tc>
        <w:tc>
          <w:tcPr>
            <w:tcW w:w="0" w:type="auto"/>
            <w:shd w:val="clear" w:color="auto" w:fill="CCEEFF"/>
            <w:vAlign w:val="bottom"/>
          </w:tcPr>
          <w:p w14:paraId="5556D063" w14:textId="77777777" w:rsidR="00F925DD" w:rsidRDefault="00F925DD">
            <w:pPr>
              <w:textAlignment w:val="bottom"/>
              <w:rPr>
                <w:rFonts w:ascii="Times New Roman" w:hAnsi="Times New Roman"/>
                <w:sz w:val="20"/>
                <w:szCs w:val="20"/>
              </w:rPr>
            </w:pPr>
          </w:p>
        </w:tc>
      </w:tr>
      <w:tr w:rsidR="00F925DD" w14:paraId="5556D06B" w14:textId="77777777">
        <w:tc>
          <w:tcPr>
            <w:tcW w:w="0" w:type="auto"/>
            <w:shd w:val="clear" w:color="auto" w:fill="auto"/>
            <w:tcMar>
              <w:top w:w="40" w:type="dxa"/>
              <w:left w:w="400" w:type="dxa"/>
              <w:bottom w:w="40" w:type="dxa"/>
              <w:right w:w="40" w:type="dxa"/>
            </w:tcMar>
            <w:vAlign w:val="bottom"/>
          </w:tcPr>
          <w:p w14:paraId="5556D065" w14:textId="77777777" w:rsidR="00F925DD" w:rsidRDefault="00E705D7">
            <w:pPr>
              <w:textAlignment w:val="bottom"/>
              <w:rPr>
                <w:rFonts w:ascii="Times New Roman" w:hAnsi="Times New Roman"/>
                <w:sz w:val="14"/>
                <w:szCs w:val="14"/>
              </w:rPr>
            </w:pPr>
            <w:r>
              <w:rPr>
                <w:rFonts w:ascii="Arial" w:eastAsia="宋体" w:hAnsi="Arial" w:cs="Arial"/>
                <w:sz w:val="14"/>
                <w:szCs w:val="14"/>
              </w:rPr>
              <w:t>Senior secured bank loans</w:t>
            </w:r>
          </w:p>
        </w:tc>
        <w:tc>
          <w:tcPr>
            <w:tcW w:w="0" w:type="auto"/>
            <w:gridSpan w:val="2"/>
            <w:tcBorders>
              <w:bottom w:val="single" w:sz="8" w:space="0" w:color="000000"/>
            </w:tcBorders>
            <w:shd w:val="clear" w:color="auto" w:fill="auto"/>
            <w:tcMar>
              <w:top w:w="40" w:type="dxa"/>
              <w:left w:w="40" w:type="dxa"/>
              <w:bottom w:w="40" w:type="dxa"/>
            </w:tcMar>
            <w:vAlign w:val="bottom"/>
          </w:tcPr>
          <w:p w14:paraId="5556D06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1,119</w:t>
            </w:r>
          </w:p>
        </w:tc>
        <w:tc>
          <w:tcPr>
            <w:tcW w:w="0" w:type="auto"/>
            <w:tcBorders>
              <w:bottom w:val="single" w:sz="8" w:space="0" w:color="000000"/>
            </w:tcBorders>
            <w:shd w:val="clear" w:color="auto" w:fill="auto"/>
            <w:vAlign w:val="bottom"/>
          </w:tcPr>
          <w:p w14:paraId="5556D06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0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06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931</w:t>
            </w:r>
          </w:p>
        </w:tc>
        <w:tc>
          <w:tcPr>
            <w:tcW w:w="0" w:type="auto"/>
            <w:tcBorders>
              <w:bottom w:val="single" w:sz="8" w:space="0" w:color="000000"/>
            </w:tcBorders>
            <w:shd w:val="clear" w:color="auto" w:fill="auto"/>
            <w:vAlign w:val="bottom"/>
          </w:tcPr>
          <w:p w14:paraId="5556D06A" w14:textId="77777777" w:rsidR="00F925DD" w:rsidRDefault="00F925DD">
            <w:pPr>
              <w:textAlignment w:val="bottom"/>
              <w:rPr>
                <w:rFonts w:ascii="Times New Roman" w:hAnsi="Times New Roman"/>
                <w:sz w:val="20"/>
                <w:szCs w:val="20"/>
              </w:rPr>
            </w:pPr>
          </w:p>
        </w:tc>
      </w:tr>
      <w:tr w:rsidR="00F925DD" w14:paraId="5556D072" w14:textId="77777777">
        <w:tc>
          <w:tcPr>
            <w:tcW w:w="0" w:type="auto"/>
            <w:shd w:val="clear" w:color="auto" w:fill="CCEEFF"/>
            <w:tcMar>
              <w:top w:w="40" w:type="dxa"/>
              <w:left w:w="400" w:type="dxa"/>
              <w:bottom w:w="40" w:type="dxa"/>
              <w:right w:w="40" w:type="dxa"/>
            </w:tcMar>
            <w:vAlign w:val="bottom"/>
          </w:tcPr>
          <w:p w14:paraId="5556D06C"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foreign</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06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5,781</w:t>
            </w:r>
          </w:p>
        </w:tc>
        <w:tc>
          <w:tcPr>
            <w:tcW w:w="0" w:type="auto"/>
            <w:tcBorders>
              <w:bottom w:val="single" w:sz="8" w:space="0" w:color="000000"/>
            </w:tcBorders>
            <w:shd w:val="clear" w:color="auto" w:fill="CCEEFF"/>
            <w:vAlign w:val="bottom"/>
          </w:tcPr>
          <w:p w14:paraId="5556D06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07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5,436</w:t>
            </w:r>
          </w:p>
        </w:tc>
        <w:tc>
          <w:tcPr>
            <w:tcW w:w="0" w:type="auto"/>
            <w:tcBorders>
              <w:bottom w:val="single" w:sz="8" w:space="0" w:color="000000"/>
            </w:tcBorders>
            <w:shd w:val="clear" w:color="auto" w:fill="CCEEFF"/>
            <w:vAlign w:val="bottom"/>
          </w:tcPr>
          <w:p w14:paraId="5556D071" w14:textId="77777777" w:rsidR="00F925DD" w:rsidRDefault="00F925DD">
            <w:pPr>
              <w:textAlignment w:val="bottom"/>
              <w:rPr>
                <w:rFonts w:ascii="Times New Roman" w:hAnsi="Times New Roman"/>
                <w:sz w:val="20"/>
                <w:szCs w:val="20"/>
              </w:rPr>
            </w:pPr>
          </w:p>
        </w:tc>
      </w:tr>
      <w:tr w:rsidR="00F925DD" w14:paraId="5556D079" w14:textId="77777777">
        <w:tc>
          <w:tcPr>
            <w:tcW w:w="0" w:type="auto"/>
            <w:shd w:val="clear" w:color="auto" w:fill="auto"/>
            <w:tcMar>
              <w:top w:w="40" w:type="dxa"/>
              <w:left w:w="40" w:type="dxa"/>
              <w:bottom w:w="40" w:type="dxa"/>
              <w:right w:w="40" w:type="dxa"/>
            </w:tcMar>
            <w:vAlign w:val="bottom"/>
          </w:tcPr>
          <w:p w14:paraId="5556D073"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loans</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5556D07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26,309</w:t>
            </w:r>
          </w:p>
        </w:tc>
        <w:tc>
          <w:tcPr>
            <w:tcW w:w="0" w:type="auto"/>
            <w:shd w:val="clear" w:color="auto" w:fill="auto"/>
            <w:vAlign w:val="bottom"/>
          </w:tcPr>
          <w:p w14:paraId="5556D0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0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07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25,789</w:t>
            </w:r>
          </w:p>
        </w:tc>
        <w:tc>
          <w:tcPr>
            <w:tcW w:w="0" w:type="auto"/>
            <w:shd w:val="clear" w:color="auto" w:fill="auto"/>
            <w:vAlign w:val="bottom"/>
          </w:tcPr>
          <w:p w14:paraId="5556D078" w14:textId="77777777" w:rsidR="00F925DD" w:rsidRDefault="00F925DD">
            <w:pPr>
              <w:textAlignment w:val="bottom"/>
              <w:rPr>
                <w:rFonts w:ascii="Times New Roman" w:hAnsi="Times New Roman"/>
                <w:sz w:val="20"/>
                <w:szCs w:val="20"/>
              </w:rPr>
            </w:pPr>
          </w:p>
        </w:tc>
      </w:tr>
      <w:tr w:rsidR="00F925DD" w14:paraId="5556D080" w14:textId="77777777">
        <w:tc>
          <w:tcPr>
            <w:tcW w:w="0" w:type="auto"/>
            <w:shd w:val="clear" w:color="auto" w:fill="CCEEFF"/>
            <w:tcMar>
              <w:top w:w="40" w:type="dxa"/>
              <w:left w:w="40" w:type="dxa"/>
              <w:bottom w:w="40" w:type="dxa"/>
              <w:right w:w="40" w:type="dxa"/>
            </w:tcMar>
            <w:vAlign w:val="bottom"/>
          </w:tcPr>
          <w:p w14:paraId="5556D07A" w14:textId="77777777" w:rsidR="00F925DD" w:rsidRDefault="00E705D7">
            <w:pPr>
              <w:textAlignment w:val="bottom"/>
              <w:rPr>
                <w:rFonts w:ascii="Times New Roman" w:hAnsi="Times New Roman"/>
                <w:sz w:val="14"/>
                <w:szCs w:val="14"/>
              </w:rPr>
            </w:pPr>
            <w:r>
              <w:rPr>
                <w:rFonts w:ascii="Arial" w:eastAsia="宋体" w:hAnsi="Arial" w:cs="Arial"/>
                <w:sz w:val="14"/>
                <w:szCs w:val="14"/>
              </w:rPr>
              <w:t>Allowance for loan losses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07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(74</w:t>
            </w:r>
          </w:p>
        </w:tc>
        <w:tc>
          <w:tcPr>
            <w:tcW w:w="0" w:type="auto"/>
            <w:tcBorders>
              <w:bottom w:val="single" w:sz="8" w:space="0" w:color="000000"/>
            </w:tcBorders>
            <w:shd w:val="clear" w:color="auto" w:fill="CCEEFF"/>
            <w:tcMar>
              <w:top w:w="40" w:type="dxa"/>
              <w:bottom w:w="40" w:type="dxa"/>
              <w:right w:w="40" w:type="dxa"/>
            </w:tcMar>
            <w:vAlign w:val="bottom"/>
          </w:tcPr>
          <w:p w14:paraId="5556D07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D0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07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(67</w:t>
            </w:r>
          </w:p>
        </w:tc>
        <w:tc>
          <w:tcPr>
            <w:tcW w:w="0" w:type="auto"/>
            <w:tcBorders>
              <w:bottom w:val="single" w:sz="8" w:space="0" w:color="000000"/>
            </w:tcBorders>
            <w:shd w:val="clear" w:color="auto" w:fill="CCEEFF"/>
            <w:tcMar>
              <w:top w:w="40" w:type="dxa"/>
              <w:bottom w:w="40" w:type="dxa"/>
              <w:right w:w="40" w:type="dxa"/>
            </w:tcMar>
            <w:vAlign w:val="bottom"/>
          </w:tcPr>
          <w:p w14:paraId="5556D07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D089" w14:textId="77777777">
        <w:tc>
          <w:tcPr>
            <w:tcW w:w="0" w:type="auto"/>
            <w:shd w:val="clear" w:color="auto" w:fill="auto"/>
            <w:tcMar>
              <w:top w:w="40" w:type="dxa"/>
              <w:left w:w="40" w:type="dxa"/>
              <w:bottom w:w="40" w:type="dxa"/>
              <w:right w:w="40" w:type="dxa"/>
            </w:tcMar>
            <w:vAlign w:val="bottom"/>
          </w:tcPr>
          <w:p w14:paraId="5556D081" w14:textId="77777777" w:rsidR="00F925DD" w:rsidRDefault="00E705D7">
            <w:pPr>
              <w:textAlignment w:val="bottom"/>
              <w:rPr>
                <w:rFonts w:ascii="Times New Roman" w:hAnsi="Times New Roman"/>
                <w:sz w:val="14"/>
                <w:szCs w:val="14"/>
              </w:rPr>
            </w:pPr>
            <w:r>
              <w:rPr>
                <w:rFonts w:ascii="Arial" w:eastAsia="宋体" w:hAnsi="Arial" w:cs="Arial"/>
                <w:sz w:val="14"/>
                <w:szCs w:val="14"/>
              </w:rPr>
              <w:t>Loans, net of allowance</w:t>
            </w:r>
          </w:p>
        </w:tc>
        <w:tc>
          <w:tcPr>
            <w:tcW w:w="0" w:type="auto"/>
            <w:tcBorders>
              <w:bottom w:val="double" w:sz="6" w:space="0" w:color="000000"/>
            </w:tcBorders>
            <w:shd w:val="clear" w:color="auto" w:fill="auto"/>
            <w:tcMar>
              <w:top w:w="40" w:type="dxa"/>
              <w:left w:w="40" w:type="dxa"/>
              <w:bottom w:w="40" w:type="dxa"/>
            </w:tcMar>
            <w:vAlign w:val="bottom"/>
          </w:tcPr>
          <w:p w14:paraId="5556D08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6D08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26,235</w:t>
            </w:r>
          </w:p>
        </w:tc>
        <w:tc>
          <w:tcPr>
            <w:tcW w:w="0" w:type="auto"/>
            <w:tcBorders>
              <w:bottom w:val="double" w:sz="6" w:space="0" w:color="000000"/>
            </w:tcBorders>
            <w:shd w:val="clear" w:color="auto" w:fill="auto"/>
            <w:vAlign w:val="bottom"/>
          </w:tcPr>
          <w:p w14:paraId="5556D08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0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D08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D08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25,722</w:t>
            </w:r>
          </w:p>
        </w:tc>
        <w:tc>
          <w:tcPr>
            <w:tcW w:w="0" w:type="auto"/>
            <w:tcBorders>
              <w:bottom w:val="double" w:sz="6" w:space="0" w:color="000000"/>
            </w:tcBorders>
            <w:shd w:val="clear" w:color="auto" w:fill="auto"/>
            <w:vAlign w:val="bottom"/>
          </w:tcPr>
          <w:p w14:paraId="5556D088" w14:textId="77777777" w:rsidR="00F925DD" w:rsidRDefault="00F925DD">
            <w:pPr>
              <w:textAlignment w:val="bottom"/>
              <w:rPr>
                <w:rFonts w:ascii="Times New Roman" w:hAnsi="Times New Roman"/>
                <w:sz w:val="20"/>
                <w:szCs w:val="20"/>
              </w:rPr>
            </w:pPr>
          </w:p>
        </w:tc>
      </w:tr>
    </w:tbl>
    <w:p w14:paraId="5556D08A" w14:textId="77777777" w:rsidR="00F925DD" w:rsidRDefault="00F925DD">
      <w:pPr>
        <w:spacing w:line="288"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987"/>
        <w:gridCol w:w="4319"/>
      </w:tblGrid>
      <w:tr w:rsidR="00F925DD" w14:paraId="5556D08C" w14:textId="77777777">
        <w:tc>
          <w:tcPr>
            <w:tcW w:w="0" w:type="auto"/>
            <w:gridSpan w:val="2"/>
            <w:shd w:val="clear" w:color="auto" w:fill="auto"/>
            <w:vAlign w:val="center"/>
          </w:tcPr>
          <w:p w14:paraId="5556D08B" w14:textId="77777777" w:rsidR="00F925DD" w:rsidRDefault="00F925DD">
            <w:pPr>
              <w:rPr>
                <w:rFonts w:ascii="Times New Roman" w:hAnsi="Times New Roman"/>
                <w:sz w:val="20"/>
                <w:szCs w:val="20"/>
              </w:rPr>
            </w:pPr>
          </w:p>
        </w:tc>
      </w:tr>
      <w:tr w:rsidR="00F925DD" w14:paraId="5556D08F" w14:textId="77777777">
        <w:tc>
          <w:tcPr>
            <w:tcW w:w="2400" w:type="pct"/>
            <w:shd w:val="clear" w:color="auto" w:fill="auto"/>
            <w:vAlign w:val="center"/>
          </w:tcPr>
          <w:p w14:paraId="5556D08D" w14:textId="77777777" w:rsidR="00F925DD" w:rsidRDefault="00F925DD">
            <w:pPr>
              <w:rPr>
                <w:rFonts w:ascii="Times New Roman" w:hAnsi="Times New Roman"/>
                <w:sz w:val="20"/>
                <w:szCs w:val="20"/>
              </w:rPr>
            </w:pPr>
          </w:p>
        </w:tc>
        <w:tc>
          <w:tcPr>
            <w:tcW w:w="2600" w:type="pct"/>
            <w:shd w:val="clear" w:color="auto" w:fill="auto"/>
            <w:vAlign w:val="center"/>
          </w:tcPr>
          <w:p w14:paraId="5556D08E" w14:textId="77777777" w:rsidR="00F925DD" w:rsidRDefault="00F925DD">
            <w:pPr>
              <w:rPr>
                <w:rFonts w:ascii="Times New Roman" w:hAnsi="Times New Roman"/>
                <w:sz w:val="20"/>
                <w:szCs w:val="20"/>
              </w:rPr>
            </w:pPr>
          </w:p>
        </w:tc>
      </w:tr>
      <w:tr w:rsidR="00F925DD" w14:paraId="5556D09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0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0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093" w14:textId="77777777" w:rsidR="00F925DD" w:rsidRDefault="00F925DD">
      <w:pPr>
        <w:spacing w:line="288" w:lineRule="auto"/>
        <w:jc w:val="both"/>
        <w:rPr>
          <w:rFonts w:ascii="Times New Roman" w:hAnsi="Times New Roman"/>
          <w:sz w:val="20"/>
          <w:szCs w:val="20"/>
        </w:rPr>
      </w:pPr>
    </w:p>
    <w:p w14:paraId="5556D094"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Domestic and foreign categorization is based on the borrower’s country of domicile.</w:t>
      </w:r>
    </w:p>
    <w:p w14:paraId="5556D095"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Includes $3,256 million and $5,444 million of overdrafts as of December 31, 2019 and December 31, 2018, respectively.</w:t>
      </w:r>
    </w:p>
    <w:p w14:paraId="5556D09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segregate our loans into two segments: commerc</w:t>
      </w:r>
      <w:r>
        <w:rPr>
          <w:rFonts w:ascii="Arial" w:eastAsia="宋体" w:hAnsi="Arial" w:cs="Arial"/>
          <w:sz w:val="20"/>
          <w:szCs w:val="20"/>
        </w:rPr>
        <w:t>ial and financial loans and commercial real estate loans. We further classify commercial and financial loans as loans to investment funds, senior secured bank loans, loans to municipalities, and other. These classifications reflect their risk characteristi</w:t>
      </w:r>
      <w:r>
        <w:rPr>
          <w:rFonts w:ascii="Arial" w:eastAsia="宋体" w:hAnsi="Arial" w:cs="Arial"/>
          <w:sz w:val="20"/>
          <w:szCs w:val="20"/>
        </w:rPr>
        <w:t xml:space="preserve">cs, their initial measurement attributes and the methods we use to monitor and assess credit risk. </w:t>
      </w:r>
    </w:p>
    <w:p w14:paraId="5556D09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commercial and financial segment is composed of primarily floating-rate loans to mutual fund clients, purchased senior secured bank loans, and loans to </w:t>
      </w:r>
      <w:r>
        <w:rPr>
          <w:rFonts w:ascii="Arial" w:eastAsia="宋体" w:hAnsi="Arial" w:cs="Arial"/>
          <w:sz w:val="20"/>
          <w:szCs w:val="20"/>
        </w:rPr>
        <w:t>municipalities. Investment fund lending is composed of revolving credit lines providing liquidity and leverage to mutual fund and private equity fund clients.</w:t>
      </w:r>
    </w:p>
    <w:p w14:paraId="5556D09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Certain loans are pledged as collateral for access to the Federal Reserve's discount window. As o</w:t>
      </w:r>
      <w:r>
        <w:rPr>
          <w:rFonts w:ascii="Arial" w:eastAsia="宋体" w:hAnsi="Arial" w:cs="Arial"/>
          <w:sz w:val="20"/>
          <w:szCs w:val="20"/>
        </w:rPr>
        <w:t>f December 31, 2019 and December 31, 2018, the loans pledged as collateral totaled $6.75 billion and $6.51 billion, respectively.</w:t>
      </w:r>
    </w:p>
    <w:p w14:paraId="5556D099" w14:textId="77777777" w:rsidR="00F925DD" w:rsidRDefault="00F925DD">
      <w:pPr>
        <w:rPr>
          <w:rFonts w:ascii="Times New Roman" w:hAnsi="Times New Roman"/>
          <w:sz w:val="20"/>
          <w:szCs w:val="20"/>
        </w:rPr>
      </w:pPr>
    </w:p>
    <w:p w14:paraId="5556D09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141</w:t>
      </w:r>
    </w:p>
    <w:p w14:paraId="5556D09B" w14:textId="77777777" w:rsidR="00F925DD" w:rsidRDefault="00F925DD">
      <w:pPr>
        <w:spacing w:line="288" w:lineRule="auto"/>
        <w:ind w:firstLine="600"/>
        <w:jc w:val="center"/>
        <w:rPr>
          <w:rFonts w:ascii="Times New Roman" w:hAnsi="Times New Roman"/>
          <w:sz w:val="18"/>
          <w:szCs w:val="18"/>
        </w:rPr>
      </w:pPr>
    </w:p>
    <w:p w14:paraId="5556D09C" w14:textId="77777777" w:rsidR="00F925DD" w:rsidRDefault="00E705D7">
      <w:r>
        <w:rPr>
          <w:rFonts w:ascii="Times New Roman" w:hAnsi="Times New Roman"/>
          <w:sz w:val="18"/>
          <w:szCs w:val="18"/>
        </w:rPr>
        <w:pict w14:anchorId="555706C7">
          <v:rect id="_x0000_i1165" style="width:415.3pt;height:1.5pt" o:hralign="center" o:hrstd="t" o:hr="t" fillcolor="#a0a0a0" stroked="f"/>
        </w:pict>
      </w:r>
    </w:p>
    <w:p w14:paraId="5556D09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09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D09F" w14:textId="77777777" w:rsidR="00F925DD" w:rsidRDefault="00F925DD">
      <w:pPr>
        <w:rPr>
          <w:rFonts w:ascii="Times New Roman" w:hAnsi="Times New Roman"/>
          <w:sz w:val="20"/>
          <w:szCs w:val="20"/>
        </w:rPr>
      </w:pPr>
    </w:p>
    <w:p w14:paraId="5556D0A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w:t>
      </w:r>
      <w:r>
        <w:rPr>
          <w:rFonts w:ascii="Arial" w:eastAsia="宋体" w:hAnsi="Arial" w:cs="Arial"/>
          <w:sz w:val="20"/>
          <w:szCs w:val="20"/>
        </w:rPr>
        <w:t>tables present our recorded investment in each class of loans by credit quality indicator as of the dates indicated:</w:t>
      </w:r>
    </w:p>
    <w:tbl>
      <w:tblPr>
        <w:tblW w:w="5000" w:type="pct"/>
        <w:tblCellMar>
          <w:left w:w="0" w:type="dxa"/>
          <w:right w:w="0" w:type="dxa"/>
        </w:tblCellMar>
        <w:tblLook w:val="04A0" w:firstRow="1" w:lastRow="0" w:firstColumn="1" w:lastColumn="0" w:noHBand="0" w:noVBand="1"/>
      </w:tblPr>
      <w:tblGrid>
        <w:gridCol w:w="2729"/>
        <w:gridCol w:w="118"/>
        <w:gridCol w:w="1566"/>
        <w:gridCol w:w="71"/>
        <w:gridCol w:w="154"/>
        <w:gridCol w:w="118"/>
        <w:gridCol w:w="1566"/>
        <w:gridCol w:w="72"/>
        <w:gridCol w:w="155"/>
        <w:gridCol w:w="118"/>
        <w:gridCol w:w="1567"/>
        <w:gridCol w:w="72"/>
      </w:tblGrid>
      <w:tr w:rsidR="00F925DD" w14:paraId="5556D0A2" w14:textId="77777777">
        <w:tc>
          <w:tcPr>
            <w:tcW w:w="0" w:type="auto"/>
            <w:gridSpan w:val="12"/>
            <w:shd w:val="clear" w:color="auto" w:fill="auto"/>
            <w:vAlign w:val="center"/>
          </w:tcPr>
          <w:p w14:paraId="5556D0A1" w14:textId="77777777" w:rsidR="00F925DD" w:rsidRDefault="00F925DD">
            <w:pPr>
              <w:rPr>
                <w:rFonts w:ascii="Times New Roman" w:hAnsi="Times New Roman"/>
                <w:sz w:val="20"/>
                <w:szCs w:val="20"/>
              </w:rPr>
            </w:pPr>
          </w:p>
        </w:tc>
      </w:tr>
      <w:tr w:rsidR="00F925DD" w14:paraId="5556D0AF" w14:textId="77777777">
        <w:tc>
          <w:tcPr>
            <w:tcW w:w="1650" w:type="pct"/>
            <w:shd w:val="clear" w:color="auto" w:fill="auto"/>
            <w:vAlign w:val="center"/>
          </w:tcPr>
          <w:p w14:paraId="5556D0A3" w14:textId="77777777" w:rsidR="00F925DD" w:rsidRDefault="00F925DD">
            <w:pPr>
              <w:rPr>
                <w:rFonts w:ascii="Times New Roman" w:hAnsi="Times New Roman"/>
                <w:sz w:val="20"/>
                <w:szCs w:val="20"/>
              </w:rPr>
            </w:pPr>
          </w:p>
        </w:tc>
        <w:tc>
          <w:tcPr>
            <w:tcW w:w="50" w:type="pct"/>
            <w:shd w:val="clear" w:color="auto" w:fill="auto"/>
            <w:vAlign w:val="center"/>
          </w:tcPr>
          <w:p w14:paraId="5556D0A4" w14:textId="77777777" w:rsidR="00F925DD" w:rsidRDefault="00F925DD">
            <w:pPr>
              <w:rPr>
                <w:rFonts w:ascii="Times New Roman" w:hAnsi="Times New Roman"/>
                <w:sz w:val="20"/>
                <w:szCs w:val="20"/>
              </w:rPr>
            </w:pPr>
          </w:p>
        </w:tc>
        <w:tc>
          <w:tcPr>
            <w:tcW w:w="950" w:type="pct"/>
            <w:shd w:val="clear" w:color="auto" w:fill="auto"/>
            <w:vAlign w:val="center"/>
          </w:tcPr>
          <w:p w14:paraId="5556D0A5" w14:textId="77777777" w:rsidR="00F925DD" w:rsidRDefault="00F925DD">
            <w:pPr>
              <w:rPr>
                <w:rFonts w:ascii="Times New Roman" w:hAnsi="Times New Roman"/>
                <w:sz w:val="20"/>
                <w:szCs w:val="20"/>
              </w:rPr>
            </w:pPr>
          </w:p>
        </w:tc>
        <w:tc>
          <w:tcPr>
            <w:tcW w:w="50" w:type="pct"/>
            <w:shd w:val="clear" w:color="auto" w:fill="auto"/>
            <w:vAlign w:val="center"/>
          </w:tcPr>
          <w:p w14:paraId="5556D0A6" w14:textId="77777777" w:rsidR="00F925DD" w:rsidRDefault="00F925DD">
            <w:pPr>
              <w:rPr>
                <w:rFonts w:ascii="Times New Roman" w:hAnsi="Times New Roman"/>
                <w:sz w:val="20"/>
                <w:szCs w:val="20"/>
              </w:rPr>
            </w:pPr>
          </w:p>
        </w:tc>
        <w:tc>
          <w:tcPr>
            <w:tcW w:w="100" w:type="pct"/>
            <w:shd w:val="clear" w:color="auto" w:fill="auto"/>
            <w:vAlign w:val="center"/>
          </w:tcPr>
          <w:p w14:paraId="5556D0A7" w14:textId="77777777" w:rsidR="00F925DD" w:rsidRDefault="00F925DD">
            <w:pPr>
              <w:rPr>
                <w:rFonts w:ascii="Times New Roman" w:hAnsi="Times New Roman"/>
                <w:sz w:val="20"/>
                <w:szCs w:val="20"/>
              </w:rPr>
            </w:pPr>
          </w:p>
        </w:tc>
        <w:tc>
          <w:tcPr>
            <w:tcW w:w="50" w:type="pct"/>
            <w:shd w:val="clear" w:color="auto" w:fill="auto"/>
            <w:vAlign w:val="center"/>
          </w:tcPr>
          <w:p w14:paraId="5556D0A8" w14:textId="77777777" w:rsidR="00F925DD" w:rsidRDefault="00F925DD">
            <w:pPr>
              <w:rPr>
                <w:rFonts w:ascii="Times New Roman" w:hAnsi="Times New Roman"/>
                <w:sz w:val="20"/>
                <w:szCs w:val="20"/>
              </w:rPr>
            </w:pPr>
          </w:p>
        </w:tc>
        <w:tc>
          <w:tcPr>
            <w:tcW w:w="950" w:type="pct"/>
            <w:shd w:val="clear" w:color="auto" w:fill="auto"/>
            <w:vAlign w:val="center"/>
          </w:tcPr>
          <w:p w14:paraId="5556D0A9" w14:textId="77777777" w:rsidR="00F925DD" w:rsidRDefault="00F925DD">
            <w:pPr>
              <w:rPr>
                <w:rFonts w:ascii="Times New Roman" w:hAnsi="Times New Roman"/>
                <w:sz w:val="20"/>
                <w:szCs w:val="20"/>
              </w:rPr>
            </w:pPr>
          </w:p>
        </w:tc>
        <w:tc>
          <w:tcPr>
            <w:tcW w:w="50" w:type="pct"/>
            <w:shd w:val="clear" w:color="auto" w:fill="auto"/>
            <w:vAlign w:val="center"/>
          </w:tcPr>
          <w:p w14:paraId="5556D0AA" w14:textId="77777777" w:rsidR="00F925DD" w:rsidRDefault="00F925DD">
            <w:pPr>
              <w:rPr>
                <w:rFonts w:ascii="Times New Roman" w:hAnsi="Times New Roman"/>
                <w:sz w:val="20"/>
                <w:szCs w:val="20"/>
              </w:rPr>
            </w:pPr>
          </w:p>
        </w:tc>
        <w:tc>
          <w:tcPr>
            <w:tcW w:w="100" w:type="pct"/>
            <w:shd w:val="clear" w:color="auto" w:fill="auto"/>
            <w:vAlign w:val="center"/>
          </w:tcPr>
          <w:p w14:paraId="5556D0AB" w14:textId="77777777" w:rsidR="00F925DD" w:rsidRDefault="00F925DD">
            <w:pPr>
              <w:rPr>
                <w:rFonts w:ascii="Times New Roman" w:hAnsi="Times New Roman"/>
                <w:sz w:val="20"/>
                <w:szCs w:val="20"/>
              </w:rPr>
            </w:pPr>
          </w:p>
        </w:tc>
        <w:tc>
          <w:tcPr>
            <w:tcW w:w="50" w:type="pct"/>
            <w:shd w:val="clear" w:color="auto" w:fill="auto"/>
            <w:vAlign w:val="center"/>
          </w:tcPr>
          <w:p w14:paraId="5556D0AC" w14:textId="77777777" w:rsidR="00F925DD" w:rsidRDefault="00F925DD">
            <w:pPr>
              <w:rPr>
                <w:rFonts w:ascii="Times New Roman" w:hAnsi="Times New Roman"/>
                <w:sz w:val="20"/>
                <w:szCs w:val="20"/>
              </w:rPr>
            </w:pPr>
          </w:p>
        </w:tc>
        <w:tc>
          <w:tcPr>
            <w:tcW w:w="950" w:type="pct"/>
            <w:shd w:val="clear" w:color="auto" w:fill="auto"/>
            <w:vAlign w:val="center"/>
          </w:tcPr>
          <w:p w14:paraId="5556D0AD" w14:textId="77777777" w:rsidR="00F925DD" w:rsidRDefault="00F925DD">
            <w:pPr>
              <w:rPr>
                <w:rFonts w:ascii="Times New Roman" w:hAnsi="Times New Roman"/>
                <w:sz w:val="20"/>
                <w:szCs w:val="20"/>
              </w:rPr>
            </w:pPr>
          </w:p>
        </w:tc>
        <w:tc>
          <w:tcPr>
            <w:tcW w:w="50" w:type="pct"/>
            <w:shd w:val="clear" w:color="auto" w:fill="auto"/>
            <w:vAlign w:val="center"/>
          </w:tcPr>
          <w:p w14:paraId="5556D0AE" w14:textId="77777777" w:rsidR="00F925DD" w:rsidRDefault="00F925DD">
            <w:pPr>
              <w:rPr>
                <w:rFonts w:ascii="Times New Roman" w:hAnsi="Times New Roman"/>
                <w:sz w:val="20"/>
                <w:szCs w:val="20"/>
              </w:rPr>
            </w:pPr>
          </w:p>
        </w:tc>
      </w:tr>
      <w:tr w:rsidR="00F925DD" w14:paraId="5556D0B6" w14:textId="77777777">
        <w:tc>
          <w:tcPr>
            <w:tcW w:w="0" w:type="auto"/>
            <w:shd w:val="clear" w:color="auto" w:fill="auto"/>
            <w:tcMar>
              <w:top w:w="40" w:type="dxa"/>
              <w:left w:w="40" w:type="dxa"/>
              <w:bottom w:w="40" w:type="dxa"/>
              <w:right w:w="40" w:type="dxa"/>
            </w:tcMar>
            <w:vAlign w:val="bottom"/>
          </w:tcPr>
          <w:p w14:paraId="5556D0B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December 31, 2019</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0B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Commercial and Financial</w:t>
            </w:r>
          </w:p>
        </w:tc>
        <w:tc>
          <w:tcPr>
            <w:tcW w:w="0" w:type="auto"/>
            <w:vMerge w:val="restart"/>
            <w:shd w:val="clear" w:color="auto" w:fill="auto"/>
            <w:tcMar>
              <w:top w:w="40" w:type="dxa"/>
              <w:left w:w="40" w:type="dxa"/>
              <w:bottom w:w="40" w:type="dxa"/>
              <w:right w:w="40" w:type="dxa"/>
            </w:tcMar>
            <w:vAlign w:val="bottom"/>
          </w:tcPr>
          <w:p w14:paraId="5556D0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0B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Commercial Real Estate</w:t>
            </w:r>
          </w:p>
        </w:tc>
        <w:tc>
          <w:tcPr>
            <w:tcW w:w="0" w:type="auto"/>
            <w:vMerge w:val="restart"/>
            <w:shd w:val="clear" w:color="auto" w:fill="auto"/>
            <w:tcMar>
              <w:top w:w="40" w:type="dxa"/>
              <w:left w:w="40" w:type="dxa"/>
              <w:bottom w:w="40" w:type="dxa"/>
              <w:right w:w="40" w:type="dxa"/>
            </w:tcMar>
            <w:vAlign w:val="bottom"/>
          </w:tcPr>
          <w:p w14:paraId="5556D0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0B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 Loans </w:t>
            </w:r>
          </w:p>
        </w:tc>
      </w:tr>
      <w:tr w:rsidR="00F925DD" w14:paraId="5556D0BD" w14:textId="77777777">
        <w:tc>
          <w:tcPr>
            <w:tcW w:w="0" w:type="auto"/>
            <w:shd w:val="clear" w:color="auto" w:fill="auto"/>
            <w:tcMar>
              <w:top w:w="40" w:type="dxa"/>
              <w:left w:w="40" w:type="dxa"/>
              <w:bottom w:w="40" w:type="dxa"/>
              <w:right w:w="40" w:type="dxa"/>
            </w:tcMar>
            <w:vAlign w:val="bottom"/>
          </w:tcPr>
          <w:p w14:paraId="5556D0B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0B8"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D0B9"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0BA"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D0BB"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0BC" w14:textId="77777777" w:rsidR="00F925DD" w:rsidRDefault="00F925DD">
            <w:pPr>
              <w:rPr>
                <w:rFonts w:ascii="Times New Roman" w:hAnsi="Times New Roman"/>
                <w:sz w:val="20"/>
                <w:szCs w:val="20"/>
              </w:rPr>
            </w:pPr>
          </w:p>
        </w:tc>
      </w:tr>
      <w:tr w:rsidR="00F925DD" w14:paraId="5556D0CA" w14:textId="77777777">
        <w:tc>
          <w:tcPr>
            <w:tcW w:w="0" w:type="auto"/>
            <w:shd w:val="clear" w:color="auto" w:fill="CCEEFF"/>
            <w:tcMar>
              <w:top w:w="40" w:type="dxa"/>
              <w:left w:w="40" w:type="dxa"/>
              <w:bottom w:w="40" w:type="dxa"/>
              <w:right w:w="40" w:type="dxa"/>
            </w:tcMar>
            <w:vAlign w:val="bottom"/>
          </w:tcPr>
          <w:p w14:paraId="5556D0BE"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Investment </w:t>
            </w:r>
            <w:r>
              <w:rPr>
                <w:rFonts w:ascii="Arial" w:eastAsia="宋体" w:hAnsi="Arial" w:cs="Arial"/>
                <w:sz w:val="14"/>
                <w:szCs w:val="14"/>
              </w:rPr>
              <w:t>grade</w:t>
            </w:r>
            <w:r>
              <w:rPr>
                <w:rFonts w:ascii="Arial" w:eastAsia="宋体" w:hAnsi="Arial" w:cs="Arial"/>
                <w:sz w:val="10"/>
                <w:szCs w:val="10"/>
              </w:rPr>
              <w:t>(1)</w:t>
            </w:r>
          </w:p>
        </w:tc>
        <w:tc>
          <w:tcPr>
            <w:tcW w:w="0" w:type="auto"/>
            <w:shd w:val="clear" w:color="auto" w:fill="CCEEFF"/>
            <w:tcMar>
              <w:top w:w="40" w:type="dxa"/>
              <w:left w:w="40" w:type="dxa"/>
              <w:bottom w:w="40" w:type="dxa"/>
            </w:tcMar>
            <w:vAlign w:val="bottom"/>
          </w:tcPr>
          <w:p w14:paraId="5556D0B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D0C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19,501</w:t>
            </w:r>
          </w:p>
        </w:tc>
        <w:tc>
          <w:tcPr>
            <w:tcW w:w="0" w:type="auto"/>
            <w:shd w:val="clear" w:color="auto" w:fill="CCEEFF"/>
            <w:vAlign w:val="bottom"/>
          </w:tcPr>
          <w:p w14:paraId="5556D0C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0C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D0C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1,766</w:t>
            </w:r>
          </w:p>
        </w:tc>
        <w:tc>
          <w:tcPr>
            <w:tcW w:w="0" w:type="auto"/>
            <w:shd w:val="clear" w:color="auto" w:fill="CCEEFF"/>
            <w:vAlign w:val="bottom"/>
          </w:tcPr>
          <w:p w14:paraId="5556D0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0C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D0C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21,267</w:t>
            </w:r>
          </w:p>
        </w:tc>
        <w:tc>
          <w:tcPr>
            <w:tcW w:w="0" w:type="auto"/>
            <w:shd w:val="clear" w:color="auto" w:fill="CCEEFF"/>
            <w:vAlign w:val="bottom"/>
          </w:tcPr>
          <w:p w14:paraId="5556D0C9" w14:textId="77777777" w:rsidR="00F925DD" w:rsidRDefault="00F925DD">
            <w:pPr>
              <w:textAlignment w:val="bottom"/>
              <w:rPr>
                <w:rFonts w:ascii="Times New Roman" w:hAnsi="Times New Roman"/>
                <w:sz w:val="20"/>
                <w:szCs w:val="20"/>
              </w:rPr>
            </w:pPr>
          </w:p>
        </w:tc>
      </w:tr>
      <w:tr w:rsidR="00F925DD" w14:paraId="5556D0D4" w14:textId="77777777">
        <w:tc>
          <w:tcPr>
            <w:tcW w:w="0" w:type="auto"/>
            <w:shd w:val="clear" w:color="auto" w:fill="auto"/>
            <w:tcMar>
              <w:top w:w="40" w:type="dxa"/>
              <w:left w:w="40" w:type="dxa"/>
              <w:bottom w:w="40" w:type="dxa"/>
              <w:right w:w="40" w:type="dxa"/>
            </w:tcMar>
            <w:vAlign w:val="bottom"/>
          </w:tcPr>
          <w:p w14:paraId="5556D0CB" w14:textId="77777777" w:rsidR="00F925DD" w:rsidRDefault="00E705D7">
            <w:pPr>
              <w:textAlignment w:val="bottom"/>
              <w:rPr>
                <w:rFonts w:ascii="Times New Roman" w:hAnsi="Times New Roman"/>
                <w:sz w:val="14"/>
                <w:szCs w:val="14"/>
              </w:rPr>
            </w:pPr>
            <w:r>
              <w:rPr>
                <w:rFonts w:ascii="Arial" w:eastAsia="宋体" w:hAnsi="Arial" w:cs="Arial"/>
                <w:sz w:val="14"/>
                <w:szCs w:val="14"/>
              </w:rPr>
              <w:t>Speculative</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5556D0C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5,008</w:t>
            </w:r>
          </w:p>
        </w:tc>
        <w:tc>
          <w:tcPr>
            <w:tcW w:w="0" w:type="auto"/>
            <w:shd w:val="clear" w:color="auto" w:fill="auto"/>
            <w:vAlign w:val="bottom"/>
          </w:tcPr>
          <w:p w14:paraId="5556D0C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0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0C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D0D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0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0D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5,008</w:t>
            </w:r>
          </w:p>
        </w:tc>
        <w:tc>
          <w:tcPr>
            <w:tcW w:w="0" w:type="auto"/>
            <w:shd w:val="clear" w:color="auto" w:fill="auto"/>
            <w:vAlign w:val="bottom"/>
          </w:tcPr>
          <w:p w14:paraId="5556D0D3" w14:textId="77777777" w:rsidR="00F925DD" w:rsidRDefault="00F925DD">
            <w:pPr>
              <w:textAlignment w:val="bottom"/>
              <w:rPr>
                <w:rFonts w:ascii="Times New Roman" w:hAnsi="Times New Roman"/>
                <w:sz w:val="20"/>
                <w:szCs w:val="20"/>
              </w:rPr>
            </w:pPr>
          </w:p>
        </w:tc>
      </w:tr>
      <w:tr w:rsidR="00F925DD" w14:paraId="5556D0DE" w14:textId="77777777">
        <w:tc>
          <w:tcPr>
            <w:tcW w:w="0" w:type="auto"/>
            <w:shd w:val="clear" w:color="auto" w:fill="CCEEFF"/>
            <w:tcMar>
              <w:top w:w="40" w:type="dxa"/>
              <w:left w:w="40" w:type="dxa"/>
              <w:bottom w:w="40" w:type="dxa"/>
              <w:right w:w="40" w:type="dxa"/>
            </w:tcMar>
            <w:vAlign w:val="bottom"/>
          </w:tcPr>
          <w:p w14:paraId="5556D0D5" w14:textId="77777777" w:rsidR="00F925DD" w:rsidRDefault="00E705D7">
            <w:pPr>
              <w:textAlignment w:val="bottom"/>
              <w:rPr>
                <w:rFonts w:ascii="Times New Roman" w:hAnsi="Times New Roman"/>
                <w:sz w:val="14"/>
                <w:szCs w:val="14"/>
              </w:rPr>
            </w:pPr>
            <w:r>
              <w:rPr>
                <w:rFonts w:ascii="Arial" w:eastAsia="宋体" w:hAnsi="Arial" w:cs="Arial"/>
                <w:sz w:val="14"/>
                <w:szCs w:val="14"/>
              </w:rPr>
              <w:t>Special mention</w:t>
            </w:r>
            <w:r>
              <w:rPr>
                <w:rFonts w:ascii="Arial" w:eastAsia="宋体" w:hAnsi="Arial" w:cs="Arial"/>
                <w:sz w:val="10"/>
                <w:szCs w:val="10"/>
              </w:rPr>
              <w:t>(3)</w:t>
            </w:r>
          </w:p>
        </w:tc>
        <w:tc>
          <w:tcPr>
            <w:tcW w:w="0" w:type="auto"/>
            <w:gridSpan w:val="2"/>
            <w:shd w:val="clear" w:color="auto" w:fill="CCEEFF"/>
            <w:tcMar>
              <w:top w:w="40" w:type="dxa"/>
              <w:left w:w="40" w:type="dxa"/>
              <w:bottom w:w="40" w:type="dxa"/>
            </w:tcMar>
            <w:vAlign w:val="bottom"/>
          </w:tcPr>
          <w:p w14:paraId="5556D0D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w:t>
            </w:r>
          </w:p>
        </w:tc>
        <w:tc>
          <w:tcPr>
            <w:tcW w:w="0" w:type="auto"/>
            <w:shd w:val="clear" w:color="auto" w:fill="CCEEFF"/>
            <w:vAlign w:val="bottom"/>
          </w:tcPr>
          <w:p w14:paraId="5556D0D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0D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D0D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0D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w:t>
            </w:r>
          </w:p>
        </w:tc>
        <w:tc>
          <w:tcPr>
            <w:tcW w:w="0" w:type="auto"/>
            <w:shd w:val="clear" w:color="auto" w:fill="CCEEFF"/>
            <w:vAlign w:val="bottom"/>
          </w:tcPr>
          <w:p w14:paraId="5556D0DD" w14:textId="77777777" w:rsidR="00F925DD" w:rsidRDefault="00F925DD">
            <w:pPr>
              <w:textAlignment w:val="bottom"/>
              <w:rPr>
                <w:rFonts w:ascii="Times New Roman" w:hAnsi="Times New Roman"/>
                <w:sz w:val="20"/>
                <w:szCs w:val="20"/>
              </w:rPr>
            </w:pPr>
          </w:p>
        </w:tc>
      </w:tr>
      <w:tr w:rsidR="00F925DD" w14:paraId="5556D0E8" w14:textId="77777777">
        <w:tc>
          <w:tcPr>
            <w:tcW w:w="0" w:type="auto"/>
            <w:shd w:val="clear" w:color="auto" w:fill="auto"/>
            <w:tcMar>
              <w:top w:w="40" w:type="dxa"/>
              <w:left w:w="40" w:type="dxa"/>
              <w:bottom w:w="40" w:type="dxa"/>
              <w:right w:w="40" w:type="dxa"/>
            </w:tcMar>
            <w:vAlign w:val="bottom"/>
          </w:tcPr>
          <w:p w14:paraId="5556D0DF" w14:textId="77777777" w:rsidR="00F925DD" w:rsidRDefault="00E705D7">
            <w:pPr>
              <w:textAlignment w:val="bottom"/>
              <w:rPr>
                <w:rFonts w:ascii="Times New Roman" w:hAnsi="Times New Roman"/>
                <w:sz w:val="14"/>
                <w:szCs w:val="14"/>
              </w:rPr>
            </w:pPr>
            <w:r>
              <w:rPr>
                <w:rFonts w:ascii="Arial" w:eastAsia="宋体" w:hAnsi="Arial" w:cs="Arial"/>
                <w:sz w:val="14"/>
                <w:szCs w:val="14"/>
              </w:rPr>
              <w:t>Substandard</w:t>
            </w:r>
            <w:r>
              <w:rPr>
                <w:rFonts w:ascii="Arial" w:eastAsia="宋体" w:hAnsi="Arial" w:cs="Arial"/>
                <w:sz w:val="10"/>
                <w:szCs w:val="10"/>
              </w:rPr>
              <w:t>(4)</w:t>
            </w:r>
          </w:p>
        </w:tc>
        <w:tc>
          <w:tcPr>
            <w:tcW w:w="0" w:type="auto"/>
            <w:gridSpan w:val="2"/>
            <w:shd w:val="clear" w:color="auto" w:fill="auto"/>
            <w:tcMar>
              <w:top w:w="40" w:type="dxa"/>
              <w:left w:w="40" w:type="dxa"/>
              <w:bottom w:w="40" w:type="dxa"/>
            </w:tcMar>
            <w:vAlign w:val="bottom"/>
          </w:tcPr>
          <w:p w14:paraId="5556D0E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shd w:val="clear" w:color="auto" w:fill="auto"/>
            <w:vAlign w:val="bottom"/>
          </w:tcPr>
          <w:p w14:paraId="5556D0E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0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0E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D0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0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0E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shd w:val="clear" w:color="auto" w:fill="auto"/>
            <w:vAlign w:val="bottom"/>
          </w:tcPr>
          <w:p w14:paraId="5556D0E7" w14:textId="77777777" w:rsidR="00F925DD" w:rsidRDefault="00F925DD">
            <w:pPr>
              <w:textAlignment w:val="bottom"/>
              <w:rPr>
                <w:rFonts w:ascii="Times New Roman" w:hAnsi="Times New Roman"/>
                <w:sz w:val="20"/>
                <w:szCs w:val="20"/>
              </w:rPr>
            </w:pPr>
          </w:p>
        </w:tc>
      </w:tr>
      <w:tr w:rsidR="00F925DD" w14:paraId="5556D0F5" w14:textId="77777777">
        <w:tc>
          <w:tcPr>
            <w:tcW w:w="0" w:type="auto"/>
            <w:shd w:val="clear" w:color="auto" w:fill="CCEEFF"/>
            <w:tcMar>
              <w:top w:w="40" w:type="dxa"/>
              <w:left w:w="40" w:type="dxa"/>
              <w:bottom w:w="40" w:type="dxa"/>
              <w:right w:w="40" w:type="dxa"/>
            </w:tcMar>
            <w:vAlign w:val="bottom"/>
          </w:tcPr>
          <w:p w14:paraId="5556D0E9"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0E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0E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24,543</w:t>
            </w:r>
          </w:p>
        </w:tc>
        <w:tc>
          <w:tcPr>
            <w:tcW w:w="0" w:type="auto"/>
            <w:tcBorders>
              <w:top w:val="single" w:sz="8" w:space="0" w:color="000000"/>
              <w:bottom w:val="double" w:sz="6" w:space="0" w:color="000000"/>
            </w:tcBorders>
            <w:shd w:val="clear" w:color="auto" w:fill="CCEEFF"/>
            <w:vAlign w:val="bottom"/>
          </w:tcPr>
          <w:p w14:paraId="5556D0E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0E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0E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1,766</w:t>
            </w:r>
          </w:p>
        </w:tc>
        <w:tc>
          <w:tcPr>
            <w:tcW w:w="0" w:type="auto"/>
            <w:tcBorders>
              <w:top w:val="single" w:sz="8" w:space="0" w:color="000000"/>
              <w:bottom w:val="double" w:sz="6" w:space="0" w:color="000000"/>
            </w:tcBorders>
            <w:shd w:val="clear" w:color="auto" w:fill="CCEEFF"/>
            <w:vAlign w:val="bottom"/>
          </w:tcPr>
          <w:p w14:paraId="5556D0F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0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0F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0F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26,309</w:t>
            </w:r>
          </w:p>
        </w:tc>
        <w:tc>
          <w:tcPr>
            <w:tcW w:w="0" w:type="auto"/>
            <w:tcBorders>
              <w:top w:val="single" w:sz="8" w:space="0" w:color="000000"/>
              <w:bottom w:val="double" w:sz="6" w:space="0" w:color="000000"/>
            </w:tcBorders>
            <w:shd w:val="clear" w:color="auto" w:fill="CCEEFF"/>
            <w:vAlign w:val="bottom"/>
          </w:tcPr>
          <w:p w14:paraId="5556D0F4" w14:textId="77777777" w:rsidR="00F925DD" w:rsidRDefault="00F925DD">
            <w:pPr>
              <w:textAlignment w:val="bottom"/>
              <w:rPr>
                <w:rFonts w:ascii="Times New Roman" w:hAnsi="Times New Roman"/>
                <w:sz w:val="20"/>
                <w:szCs w:val="20"/>
              </w:rPr>
            </w:pPr>
          </w:p>
        </w:tc>
      </w:tr>
    </w:tbl>
    <w:p w14:paraId="5556D0F6" w14:textId="77777777" w:rsidR="00F925DD" w:rsidRDefault="00F925DD">
      <w:pPr>
        <w:rPr>
          <w:vanish/>
        </w:rPr>
      </w:pPr>
    </w:p>
    <w:tbl>
      <w:tblPr>
        <w:tblW w:w="4990" w:type="pct"/>
        <w:tblCellMar>
          <w:left w:w="0" w:type="dxa"/>
          <w:right w:w="0" w:type="dxa"/>
        </w:tblCellMar>
        <w:tblLook w:val="04A0" w:firstRow="1" w:lastRow="0" w:firstColumn="1" w:lastColumn="0" w:noHBand="0" w:noVBand="1"/>
      </w:tblPr>
      <w:tblGrid>
        <w:gridCol w:w="2723"/>
        <w:gridCol w:w="118"/>
        <w:gridCol w:w="1563"/>
        <w:gridCol w:w="71"/>
        <w:gridCol w:w="154"/>
        <w:gridCol w:w="118"/>
        <w:gridCol w:w="1563"/>
        <w:gridCol w:w="71"/>
        <w:gridCol w:w="154"/>
        <w:gridCol w:w="118"/>
        <w:gridCol w:w="1564"/>
        <w:gridCol w:w="72"/>
      </w:tblGrid>
      <w:tr w:rsidR="00F925DD" w14:paraId="5556D0F8" w14:textId="77777777">
        <w:tc>
          <w:tcPr>
            <w:tcW w:w="0" w:type="auto"/>
            <w:gridSpan w:val="12"/>
            <w:shd w:val="clear" w:color="auto" w:fill="auto"/>
            <w:vAlign w:val="center"/>
          </w:tcPr>
          <w:p w14:paraId="5556D0F7" w14:textId="77777777" w:rsidR="00F925DD" w:rsidRDefault="00F925DD">
            <w:pPr>
              <w:rPr>
                <w:rFonts w:ascii="Times New Roman" w:hAnsi="Times New Roman"/>
                <w:sz w:val="20"/>
                <w:szCs w:val="20"/>
              </w:rPr>
            </w:pPr>
          </w:p>
        </w:tc>
      </w:tr>
      <w:tr w:rsidR="00F925DD" w14:paraId="5556D105" w14:textId="77777777">
        <w:tc>
          <w:tcPr>
            <w:tcW w:w="1650" w:type="pct"/>
            <w:shd w:val="clear" w:color="auto" w:fill="auto"/>
            <w:vAlign w:val="center"/>
          </w:tcPr>
          <w:p w14:paraId="5556D0F9" w14:textId="77777777" w:rsidR="00F925DD" w:rsidRDefault="00F925DD">
            <w:pPr>
              <w:rPr>
                <w:rFonts w:ascii="Times New Roman" w:hAnsi="Times New Roman"/>
                <w:sz w:val="20"/>
                <w:szCs w:val="20"/>
              </w:rPr>
            </w:pPr>
          </w:p>
        </w:tc>
        <w:tc>
          <w:tcPr>
            <w:tcW w:w="50" w:type="pct"/>
            <w:shd w:val="clear" w:color="auto" w:fill="auto"/>
            <w:vAlign w:val="center"/>
          </w:tcPr>
          <w:p w14:paraId="5556D0FA" w14:textId="77777777" w:rsidR="00F925DD" w:rsidRDefault="00F925DD">
            <w:pPr>
              <w:rPr>
                <w:rFonts w:ascii="Times New Roman" w:hAnsi="Times New Roman"/>
                <w:sz w:val="20"/>
                <w:szCs w:val="20"/>
              </w:rPr>
            </w:pPr>
          </w:p>
        </w:tc>
        <w:tc>
          <w:tcPr>
            <w:tcW w:w="950" w:type="pct"/>
            <w:shd w:val="clear" w:color="auto" w:fill="auto"/>
            <w:vAlign w:val="center"/>
          </w:tcPr>
          <w:p w14:paraId="5556D0FB" w14:textId="77777777" w:rsidR="00F925DD" w:rsidRDefault="00F925DD">
            <w:pPr>
              <w:rPr>
                <w:rFonts w:ascii="Times New Roman" w:hAnsi="Times New Roman"/>
                <w:sz w:val="20"/>
                <w:szCs w:val="20"/>
              </w:rPr>
            </w:pPr>
          </w:p>
        </w:tc>
        <w:tc>
          <w:tcPr>
            <w:tcW w:w="50" w:type="pct"/>
            <w:shd w:val="clear" w:color="auto" w:fill="auto"/>
            <w:vAlign w:val="center"/>
          </w:tcPr>
          <w:p w14:paraId="5556D0FC" w14:textId="77777777" w:rsidR="00F925DD" w:rsidRDefault="00F925DD">
            <w:pPr>
              <w:rPr>
                <w:rFonts w:ascii="Times New Roman" w:hAnsi="Times New Roman"/>
                <w:sz w:val="20"/>
                <w:szCs w:val="20"/>
              </w:rPr>
            </w:pPr>
          </w:p>
        </w:tc>
        <w:tc>
          <w:tcPr>
            <w:tcW w:w="100" w:type="pct"/>
            <w:shd w:val="clear" w:color="auto" w:fill="auto"/>
            <w:vAlign w:val="center"/>
          </w:tcPr>
          <w:p w14:paraId="5556D0FD" w14:textId="77777777" w:rsidR="00F925DD" w:rsidRDefault="00F925DD">
            <w:pPr>
              <w:rPr>
                <w:rFonts w:ascii="Times New Roman" w:hAnsi="Times New Roman"/>
                <w:sz w:val="20"/>
                <w:szCs w:val="20"/>
              </w:rPr>
            </w:pPr>
          </w:p>
        </w:tc>
        <w:tc>
          <w:tcPr>
            <w:tcW w:w="50" w:type="pct"/>
            <w:shd w:val="clear" w:color="auto" w:fill="auto"/>
            <w:vAlign w:val="center"/>
          </w:tcPr>
          <w:p w14:paraId="5556D0FE" w14:textId="77777777" w:rsidR="00F925DD" w:rsidRDefault="00F925DD">
            <w:pPr>
              <w:rPr>
                <w:rFonts w:ascii="Times New Roman" w:hAnsi="Times New Roman"/>
                <w:sz w:val="20"/>
                <w:szCs w:val="20"/>
              </w:rPr>
            </w:pPr>
          </w:p>
        </w:tc>
        <w:tc>
          <w:tcPr>
            <w:tcW w:w="950" w:type="pct"/>
            <w:shd w:val="clear" w:color="auto" w:fill="auto"/>
            <w:vAlign w:val="center"/>
          </w:tcPr>
          <w:p w14:paraId="5556D0FF" w14:textId="77777777" w:rsidR="00F925DD" w:rsidRDefault="00F925DD">
            <w:pPr>
              <w:rPr>
                <w:rFonts w:ascii="Times New Roman" w:hAnsi="Times New Roman"/>
                <w:sz w:val="20"/>
                <w:szCs w:val="20"/>
              </w:rPr>
            </w:pPr>
          </w:p>
        </w:tc>
        <w:tc>
          <w:tcPr>
            <w:tcW w:w="50" w:type="pct"/>
            <w:shd w:val="clear" w:color="auto" w:fill="auto"/>
            <w:vAlign w:val="center"/>
          </w:tcPr>
          <w:p w14:paraId="5556D100" w14:textId="77777777" w:rsidR="00F925DD" w:rsidRDefault="00F925DD">
            <w:pPr>
              <w:rPr>
                <w:rFonts w:ascii="Times New Roman" w:hAnsi="Times New Roman"/>
                <w:sz w:val="20"/>
                <w:szCs w:val="20"/>
              </w:rPr>
            </w:pPr>
          </w:p>
        </w:tc>
        <w:tc>
          <w:tcPr>
            <w:tcW w:w="100" w:type="pct"/>
            <w:shd w:val="clear" w:color="auto" w:fill="auto"/>
            <w:vAlign w:val="center"/>
          </w:tcPr>
          <w:p w14:paraId="5556D101" w14:textId="77777777" w:rsidR="00F925DD" w:rsidRDefault="00F925DD">
            <w:pPr>
              <w:rPr>
                <w:rFonts w:ascii="Times New Roman" w:hAnsi="Times New Roman"/>
                <w:sz w:val="20"/>
                <w:szCs w:val="20"/>
              </w:rPr>
            </w:pPr>
          </w:p>
        </w:tc>
        <w:tc>
          <w:tcPr>
            <w:tcW w:w="50" w:type="pct"/>
            <w:shd w:val="clear" w:color="auto" w:fill="auto"/>
            <w:vAlign w:val="center"/>
          </w:tcPr>
          <w:p w14:paraId="5556D102" w14:textId="77777777" w:rsidR="00F925DD" w:rsidRDefault="00F925DD">
            <w:pPr>
              <w:rPr>
                <w:rFonts w:ascii="Times New Roman" w:hAnsi="Times New Roman"/>
                <w:sz w:val="20"/>
                <w:szCs w:val="20"/>
              </w:rPr>
            </w:pPr>
          </w:p>
        </w:tc>
        <w:tc>
          <w:tcPr>
            <w:tcW w:w="950" w:type="pct"/>
            <w:shd w:val="clear" w:color="auto" w:fill="auto"/>
            <w:vAlign w:val="center"/>
          </w:tcPr>
          <w:p w14:paraId="5556D103" w14:textId="77777777" w:rsidR="00F925DD" w:rsidRDefault="00F925DD">
            <w:pPr>
              <w:rPr>
                <w:rFonts w:ascii="Times New Roman" w:hAnsi="Times New Roman"/>
                <w:sz w:val="20"/>
                <w:szCs w:val="20"/>
              </w:rPr>
            </w:pPr>
          </w:p>
        </w:tc>
        <w:tc>
          <w:tcPr>
            <w:tcW w:w="50" w:type="pct"/>
            <w:shd w:val="clear" w:color="auto" w:fill="auto"/>
            <w:vAlign w:val="center"/>
          </w:tcPr>
          <w:p w14:paraId="5556D104" w14:textId="77777777" w:rsidR="00F925DD" w:rsidRDefault="00F925DD">
            <w:pPr>
              <w:rPr>
                <w:rFonts w:ascii="Times New Roman" w:hAnsi="Times New Roman"/>
                <w:sz w:val="20"/>
                <w:szCs w:val="20"/>
              </w:rPr>
            </w:pPr>
          </w:p>
        </w:tc>
      </w:tr>
      <w:tr w:rsidR="00F925DD" w14:paraId="5556D10C" w14:textId="77777777">
        <w:tc>
          <w:tcPr>
            <w:tcW w:w="0" w:type="auto"/>
            <w:shd w:val="clear" w:color="auto" w:fill="auto"/>
            <w:tcMar>
              <w:top w:w="40" w:type="dxa"/>
              <w:left w:w="40" w:type="dxa"/>
              <w:bottom w:w="40" w:type="dxa"/>
              <w:right w:w="40" w:type="dxa"/>
            </w:tcMar>
            <w:vAlign w:val="bottom"/>
          </w:tcPr>
          <w:p w14:paraId="5556D10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December 31, 2018</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10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Commercial and Financial</w:t>
            </w:r>
          </w:p>
        </w:tc>
        <w:tc>
          <w:tcPr>
            <w:tcW w:w="0" w:type="auto"/>
            <w:vMerge w:val="restart"/>
            <w:shd w:val="clear" w:color="auto" w:fill="auto"/>
            <w:tcMar>
              <w:top w:w="40" w:type="dxa"/>
              <w:left w:w="40" w:type="dxa"/>
              <w:bottom w:w="40" w:type="dxa"/>
              <w:right w:w="40" w:type="dxa"/>
            </w:tcMar>
            <w:vAlign w:val="bottom"/>
          </w:tcPr>
          <w:p w14:paraId="5556D108" w14:textId="77777777" w:rsidR="00F925DD" w:rsidRDefault="00F925DD">
            <w:pPr>
              <w:jc w:val="center"/>
              <w:textAlignment w:val="bottom"/>
              <w:rPr>
                <w:rFonts w:ascii="Times New Roman" w:hAnsi="Times New Roman"/>
                <w:sz w:val="14"/>
                <w:szCs w:val="14"/>
              </w:rPr>
            </w:pP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10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Commercial Real Estate</w:t>
            </w:r>
          </w:p>
        </w:tc>
        <w:tc>
          <w:tcPr>
            <w:tcW w:w="0" w:type="auto"/>
            <w:vMerge w:val="restart"/>
            <w:shd w:val="clear" w:color="auto" w:fill="auto"/>
            <w:tcMar>
              <w:top w:w="40" w:type="dxa"/>
              <w:left w:w="40" w:type="dxa"/>
              <w:bottom w:w="40" w:type="dxa"/>
              <w:right w:w="40" w:type="dxa"/>
            </w:tcMar>
            <w:vAlign w:val="bottom"/>
          </w:tcPr>
          <w:p w14:paraId="5556D10A" w14:textId="77777777" w:rsidR="00F925DD" w:rsidRDefault="00F925DD">
            <w:pPr>
              <w:jc w:val="center"/>
              <w:textAlignment w:val="bottom"/>
              <w:rPr>
                <w:rFonts w:ascii="Times New Roman" w:hAnsi="Times New Roman"/>
                <w:sz w:val="14"/>
                <w:szCs w:val="14"/>
              </w:rPr>
            </w:pP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10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 Loans </w:t>
            </w:r>
          </w:p>
        </w:tc>
      </w:tr>
      <w:tr w:rsidR="00F925DD" w14:paraId="5556D113" w14:textId="77777777">
        <w:tc>
          <w:tcPr>
            <w:tcW w:w="0" w:type="auto"/>
            <w:shd w:val="clear" w:color="auto" w:fill="auto"/>
            <w:tcMar>
              <w:top w:w="40" w:type="dxa"/>
              <w:left w:w="40" w:type="dxa"/>
              <w:bottom w:w="40" w:type="dxa"/>
              <w:right w:w="40" w:type="dxa"/>
            </w:tcMar>
            <w:vAlign w:val="bottom"/>
          </w:tcPr>
          <w:p w14:paraId="5556D10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10E"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D10F"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110"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D111"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112" w14:textId="77777777" w:rsidR="00F925DD" w:rsidRDefault="00F925DD">
            <w:pPr>
              <w:rPr>
                <w:rFonts w:ascii="Times New Roman" w:hAnsi="Times New Roman"/>
                <w:sz w:val="20"/>
                <w:szCs w:val="20"/>
              </w:rPr>
            </w:pPr>
          </w:p>
        </w:tc>
      </w:tr>
      <w:tr w:rsidR="00F925DD" w14:paraId="5556D120" w14:textId="77777777">
        <w:tc>
          <w:tcPr>
            <w:tcW w:w="0" w:type="auto"/>
            <w:shd w:val="clear" w:color="auto" w:fill="CCEEFF"/>
            <w:tcMar>
              <w:top w:w="40" w:type="dxa"/>
              <w:left w:w="40" w:type="dxa"/>
              <w:bottom w:w="40" w:type="dxa"/>
              <w:right w:w="40" w:type="dxa"/>
            </w:tcMar>
            <w:vAlign w:val="bottom"/>
          </w:tcPr>
          <w:p w14:paraId="5556D114" w14:textId="77777777" w:rsidR="00F925DD" w:rsidRDefault="00E705D7">
            <w:pPr>
              <w:textAlignment w:val="bottom"/>
              <w:rPr>
                <w:rFonts w:ascii="Times New Roman" w:hAnsi="Times New Roman"/>
                <w:sz w:val="14"/>
                <w:szCs w:val="14"/>
              </w:rPr>
            </w:pPr>
            <w:r>
              <w:rPr>
                <w:rFonts w:ascii="Arial" w:eastAsia="宋体" w:hAnsi="Arial" w:cs="Arial"/>
                <w:sz w:val="14"/>
                <w:szCs w:val="14"/>
              </w:rPr>
              <w:t>Investment grade</w:t>
            </w:r>
            <w:r>
              <w:rPr>
                <w:rFonts w:ascii="Arial" w:eastAsia="宋体" w:hAnsi="Arial" w:cs="Arial"/>
                <w:sz w:val="10"/>
                <w:szCs w:val="10"/>
              </w:rPr>
              <w:t>(1)</w:t>
            </w:r>
          </w:p>
        </w:tc>
        <w:tc>
          <w:tcPr>
            <w:tcW w:w="0" w:type="auto"/>
            <w:tcBorders>
              <w:top w:val="single" w:sz="8" w:space="0" w:color="000000"/>
            </w:tcBorders>
            <w:shd w:val="clear" w:color="auto" w:fill="CCEEFF"/>
            <w:tcMar>
              <w:top w:w="40" w:type="dxa"/>
              <w:left w:w="40" w:type="dxa"/>
              <w:bottom w:w="40" w:type="dxa"/>
            </w:tcMar>
            <w:vAlign w:val="bottom"/>
          </w:tcPr>
          <w:p w14:paraId="5556D11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D11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19,599</w:t>
            </w:r>
          </w:p>
        </w:tc>
        <w:tc>
          <w:tcPr>
            <w:tcW w:w="0" w:type="auto"/>
            <w:tcBorders>
              <w:top w:val="single" w:sz="8" w:space="0" w:color="000000"/>
            </w:tcBorders>
            <w:shd w:val="clear" w:color="auto" w:fill="CCEEFF"/>
            <w:vAlign w:val="bottom"/>
          </w:tcPr>
          <w:p w14:paraId="5556D11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11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D11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874</w:t>
            </w:r>
          </w:p>
        </w:tc>
        <w:tc>
          <w:tcPr>
            <w:tcW w:w="0" w:type="auto"/>
            <w:tcBorders>
              <w:top w:val="single" w:sz="8" w:space="0" w:color="000000"/>
            </w:tcBorders>
            <w:shd w:val="clear" w:color="auto" w:fill="CCEEFF"/>
            <w:vAlign w:val="bottom"/>
          </w:tcPr>
          <w:p w14:paraId="5556D11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11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D11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20,473</w:t>
            </w:r>
          </w:p>
        </w:tc>
        <w:tc>
          <w:tcPr>
            <w:tcW w:w="0" w:type="auto"/>
            <w:tcBorders>
              <w:top w:val="single" w:sz="8" w:space="0" w:color="000000"/>
            </w:tcBorders>
            <w:shd w:val="clear" w:color="auto" w:fill="CCEEFF"/>
            <w:vAlign w:val="bottom"/>
          </w:tcPr>
          <w:p w14:paraId="5556D11F" w14:textId="77777777" w:rsidR="00F925DD" w:rsidRDefault="00F925DD">
            <w:pPr>
              <w:textAlignment w:val="bottom"/>
              <w:rPr>
                <w:rFonts w:ascii="Times New Roman" w:hAnsi="Times New Roman"/>
                <w:sz w:val="20"/>
                <w:szCs w:val="20"/>
              </w:rPr>
            </w:pPr>
          </w:p>
        </w:tc>
      </w:tr>
      <w:tr w:rsidR="00F925DD" w14:paraId="5556D12A" w14:textId="77777777">
        <w:tc>
          <w:tcPr>
            <w:tcW w:w="0" w:type="auto"/>
            <w:shd w:val="clear" w:color="auto" w:fill="auto"/>
            <w:tcMar>
              <w:top w:w="40" w:type="dxa"/>
              <w:left w:w="40" w:type="dxa"/>
              <w:bottom w:w="40" w:type="dxa"/>
              <w:right w:w="40" w:type="dxa"/>
            </w:tcMar>
            <w:vAlign w:val="bottom"/>
          </w:tcPr>
          <w:p w14:paraId="5556D121" w14:textId="77777777" w:rsidR="00F925DD" w:rsidRDefault="00E705D7">
            <w:pPr>
              <w:textAlignment w:val="bottom"/>
              <w:rPr>
                <w:rFonts w:ascii="Times New Roman" w:hAnsi="Times New Roman"/>
                <w:sz w:val="14"/>
                <w:szCs w:val="14"/>
              </w:rPr>
            </w:pPr>
            <w:r>
              <w:rPr>
                <w:rFonts w:ascii="Arial" w:eastAsia="宋体" w:hAnsi="Arial" w:cs="Arial"/>
                <w:sz w:val="14"/>
                <w:szCs w:val="14"/>
              </w:rPr>
              <w:t>Speculative</w:t>
            </w:r>
            <w:r>
              <w:rPr>
                <w:rFonts w:ascii="Arial" w:eastAsia="宋体" w:hAnsi="Arial" w:cs="Arial"/>
                <w:sz w:val="10"/>
                <w:szCs w:val="10"/>
              </w:rPr>
              <w:t>(2)</w:t>
            </w:r>
          </w:p>
        </w:tc>
        <w:tc>
          <w:tcPr>
            <w:tcW w:w="0" w:type="auto"/>
            <w:gridSpan w:val="2"/>
            <w:shd w:val="clear" w:color="auto" w:fill="auto"/>
            <w:tcMar>
              <w:top w:w="40" w:type="dxa"/>
              <w:left w:w="40" w:type="dxa"/>
              <w:bottom w:w="40" w:type="dxa"/>
            </w:tcMar>
            <w:vAlign w:val="bottom"/>
          </w:tcPr>
          <w:p w14:paraId="5556D12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5,308</w:t>
            </w:r>
          </w:p>
        </w:tc>
        <w:tc>
          <w:tcPr>
            <w:tcW w:w="0" w:type="auto"/>
            <w:shd w:val="clear" w:color="auto" w:fill="auto"/>
            <w:vAlign w:val="bottom"/>
          </w:tcPr>
          <w:p w14:paraId="5556D12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1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12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D12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1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12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5,308</w:t>
            </w:r>
          </w:p>
        </w:tc>
        <w:tc>
          <w:tcPr>
            <w:tcW w:w="0" w:type="auto"/>
            <w:shd w:val="clear" w:color="auto" w:fill="auto"/>
            <w:vAlign w:val="bottom"/>
          </w:tcPr>
          <w:p w14:paraId="5556D129" w14:textId="77777777" w:rsidR="00F925DD" w:rsidRDefault="00F925DD">
            <w:pPr>
              <w:textAlignment w:val="bottom"/>
              <w:rPr>
                <w:rFonts w:ascii="Times New Roman" w:hAnsi="Times New Roman"/>
                <w:sz w:val="20"/>
                <w:szCs w:val="20"/>
              </w:rPr>
            </w:pPr>
          </w:p>
        </w:tc>
      </w:tr>
      <w:tr w:rsidR="00F925DD" w14:paraId="5556D134" w14:textId="77777777">
        <w:tc>
          <w:tcPr>
            <w:tcW w:w="0" w:type="auto"/>
            <w:shd w:val="clear" w:color="auto" w:fill="CCEEFF"/>
            <w:tcMar>
              <w:top w:w="40" w:type="dxa"/>
              <w:left w:w="40" w:type="dxa"/>
              <w:bottom w:w="40" w:type="dxa"/>
              <w:right w:w="40" w:type="dxa"/>
            </w:tcMar>
            <w:vAlign w:val="bottom"/>
          </w:tcPr>
          <w:p w14:paraId="5556D12B" w14:textId="77777777" w:rsidR="00F925DD" w:rsidRDefault="00E705D7">
            <w:pPr>
              <w:textAlignment w:val="bottom"/>
              <w:rPr>
                <w:rFonts w:ascii="Times New Roman" w:hAnsi="Times New Roman"/>
                <w:sz w:val="14"/>
                <w:szCs w:val="14"/>
              </w:rPr>
            </w:pPr>
            <w:r>
              <w:rPr>
                <w:rFonts w:ascii="Arial" w:eastAsia="宋体" w:hAnsi="Arial" w:cs="Arial"/>
                <w:sz w:val="14"/>
                <w:szCs w:val="14"/>
              </w:rPr>
              <w:t>Substandard</w:t>
            </w:r>
            <w:r>
              <w:rPr>
                <w:rFonts w:ascii="Arial" w:eastAsia="宋体" w:hAnsi="Arial" w:cs="Arial"/>
                <w:sz w:val="10"/>
                <w:szCs w:val="10"/>
              </w:rPr>
              <w:t>(4)</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1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bottom w:val="single" w:sz="8" w:space="0" w:color="000000"/>
            </w:tcBorders>
            <w:shd w:val="clear" w:color="auto" w:fill="CCEEFF"/>
            <w:vAlign w:val="bottom"/>
          </w:tcPr>
          <w:p w14:paraId="5556D12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12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5556D13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13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bottom w:val="single" w:sz="8" w:space="0" w:color="000000"/>
            </w:tcBorders>
            <w:shd w:val="clear" w:color="auto" w:fill="CCEEFF"/>
            <w:vAlign w:val="bottom"/>
          </w:tcPr>
          <w:p w14:paraId="5556D133" w14:textId="77777777" w:rsidR="00F925DD" w:rsidRDefault="00F925DD">
            <w:pPr>
              <w:textAlignment w:val="bottom"/>
              <w:rPr>
                <w:rFonts w:ascii="Times New Roman" w:hAnsi="Times New Roman"/>
                <w:sz w:val="20"/>
                <w:szCs w:val="20"/>
              </w:rPr>
            </w:pPr>
          </w:p>
        </w:tc>
      </w:tr>
      <w:tr w:rsidR="00F925DD" w14:paraId="5556D141" w14:textId="77777777">
        <w:tc>
          <w:tcPr>
            <w:tcW w:w="0" w:type="auto"/>
            <w:shd w:val="clear" w:color="auto" w:fill="auto"/>
            <w:tcMar>
              <w:top w:w="40" w:type="dxa"/>
              <w:left w:w="40" w:type="dxa"/>
              <w:bottom w:w="40" w:type="dxa"/>
              <w:right w:w="40" w:type="dxa"/>
            </w:tcMar>
            <w:vAlign w:val="bottom"/>
          </w:tcPr>
          <w:p w14:paraId="5556D135"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bottom w:val="double" w:sz="6" w:space="0" w:color="000000"/>
            </w:tcBorders>
            <w:shd w:val="clear" w:color="auto" w:fill="auto"/>
            <w:tcMar>
              <w:top w:w="40" w:type="dxa"/>
              <w:left w:w="40" w:type="dxa"/>
              <w:bottom w:w="40" w:type="dxa"/>
            </w:tcMar>
            <w:vAlign w:val="bottom"/>
          </w:tcPr>
          <w:p w14:paraId="5556D13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D13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24,915</w:t>
            </w:r>
          </w:p>
        </w:tc>
        <w:tc>
          <w:tcPr>
            <w:tcW w:w="0" w:type="auto"/>
            <w:tcBorders>
              <w:bottom w:val="double" w:sz="6" w:space="0" w:color="000000"/>
            </w:tcBorders>
            <w:shd w:val="clear" w:color="auto" w:fill="auto"/>
            <w:vAlign w:val="bottom"/>
          </w:tcPr>
          <w:p w14:paraId="5556D13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1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D13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D13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874</w:t>
            </w:r>
          </w:p>
        </w:tc>
        <w:tc>
          <w:tcPr>
            <w:tcW w:w="0" w:type="auto"/>
            <w:tcBorders>
              <w:bottom w:val="double" w:sz="6" w:space="0" w:color="000000"/>
            </w:tcBorders>
            <w:shd w:val="clear" w:color="auto" w:fill="auto"/>
            <w:vAlign w:val="bottom"/>
          </w:tcPr>
          <w:p w14:paraId="5556D13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1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D13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D13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25,789</w:t>
            </w:r>
          </w:p>
        </w:tc>
        <w:tc>
          <w:tcPr>
            <w:tcW w:w="0" w:type="auto"/>
            <w:tcBorders>
              <w:bottom w:val="double" w:sz="6" w:space="0" w:color="000000"/>
            </w:tcBorders>
            <w:shd w:val="clear" w:color="auto" w:fill="auto"/>
            <w:vAlign w:val="bottom"/>
          </w:tcPr>
          <w:p w14:paraId="5556D140" w14:textId="77777777" w:rsidR="00F925DD" w:rsidRDefault="00F925DD">
            <w:pPr>
              <w:textAlignment w:val="bottom"/>
              <w:rPr>
                <w:rFonts w:ascii="Times New Roman" w:hAnsi="Times New Roman"/>
                <w:sz w:val="20"/>
                <w:szCs w:val="20"/>
              </w:rPr>
            </w:pPr>
          </w:p>
        </w:tc>
      </w:tr>
    </w:tbl>
    <w:p w14:paraId="5556D142"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3987"/>
        <w:gridCol w:w="4319"/>
      </w:tblGrid>
      <w:tr w:rsidR="00F925DD" w14:paraId="5556D144" w14:textId="77777777">
        <w:tc>
          <w:tcPr>
            <w:tcW w:w="0" w:type="auto"/>
            <w:gridSpan w:val="2"/>
            <w:shd w:val="clear" w:color="auto" w:fill="auto"/>
            <w:vAlign w:val="center"/>
          </w:tcPr>
          <w:p w14:paraId="5556D143" w14:textId="77777777" w:rsidR="00F925DD" w:rsidRDefault="00F925DD">
            <w:pPr>
              <w:rPr>
                <w:rFonts w:ascii="Times New Roman" w:hAnsi="Times New Roman"/>
                <w:sz w:val="20"/>
                <w:szCs w:val="20"/>
              </w:rPr>
            </w:pPr>
          </w:p>
        </w:tc>
      </w:tr>
      <w:tr w:rsidR="00F925DD" w14:paraId="5556D147" w14:textId="77777777">
        <w:tc>
          <w:tcPr>
            <w:tcW w:w="2400" w:type="pct"/>
            <w:shd w:val="clear" w:color="auto" w:fill="auto"/>
            <w:vAlign w:val="center"/>
          </w:tcPr>
          <w:p w14:paraId="5556D145" w14:textId="77777777" w:rsidR="00F925DD" w:rsidRDefault="00F925DD">
            <w:pPr>
              <w:rPr>
                <w:rFonts w:ascii="Times New Roman" w:hAnsi="Times New Roman"/>
                <w:sz w:val="20"/>
                <w:szCs w:val="20"/>
              </w:rPr>
            </w:pPr>
          </w:p>
        </w:tc>
        <w:tc>
          <w:tcPr>
            <w:tcW w:w="2600" w:type="pct"/>
            <w:shd w:val="clear" w:color="auto" w:fill="auto"/>
            <w:vAlign w:val="center"/>
          </w:tcPr>
          <w:p w14:paraId="5556D146" w14:textId="77777777" w:rsidR="00F925DD" w:rsidRDefault="00F925DD">
            <w:pPr>
              <w:rPr>
                <w:rFonts w:ascii="Times New Roman" w:hAnsi="Times New Roman"/>
                <w:sz w:val="20"/>
                <w:szCs w:val="20"/>
              </w:rPr>
            </w:pPr>
          </w:p>
        </w:tc>
      </w:tr>
      <w:tr w:rsidR="00F925DD" w14:paraId="5556D14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1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1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14B"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Investment grade loans </w:t>
      </w:r>
      <w:r>
        <w:rPr>
          <w:rFonts w:ascii="Arial" w:eastAsia="宋体" w:hAnsi="Arial" w:cs="Arial"/>
          <w:sz w:val="14"/>
          <w:szCs w:val="14"/>
        </w:rPr>
        <w:t>consist of counterparties with strong credit quality and low expected credit risk and probability of default. Ratings apply to counterparties with a strong capacity to support the timely repayment of any financial commitment.</w:t>
      </w:r>
    </w:p>
    <w:p w14:paraId="5556D14C"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 xml:space="preserve">Speculative loans consist </w:t>
      </w:r>
      <w:r>
        <w:rPr>
          <w:rFonts w:ascii="Arial" w:eastAsia="宋体" w:hAnsi="Arial" w:cs="Arial"/>
          <w:sz w:val="14"/>
          <w:szCs w:val="14"/>
        </w:rPr>
        <w:t>of counterparties that face ongoing uncertainties or exposure to business, financial, or economic downturns. However, these counterparties may have financial flexibility or access to financial alternatives, which allow for financial commitments to be met.</w:t>
      </w:r>
    </w:p>
    <w:p w14:paraId="5556D14D"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(3)</w:t>
      </w:r>
      <w:r>
        <w:rPr>
          <w:rFonts w:ascii="Arial" w:eastAsia="宋体" w:hAnsi="Arial" w:cs="Arial"/>
          <w:sz w:val="14"/>
          <w:szCs w:val="14"/>
        </w:rPr>
        <w:t xml:space="preserve"> Special mention loans consist of counterparties with potential weaknesses that, if uncorrected, may result in deterioration of repayment prospects.</w:t>
      </w:r>
    </w:p>
    <w:p w14:paraId="5556D14E"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(4) </w:t>
      </w:r>
      <w:r>
        <w:rPr>
          <w:rFonts w:ascii="Arial" w:eastAsia="宋体" w:hAnsi="Arial" w:cs="Arial"/>
          <w:sz w:val="14"/>
          <w:szCs w:val="14"/>
        </w:rPr>
        <w:t>Substandard loans consist of counterparties with well-defined weaknesses that jeopardize repayment w</w:t>
      </w:r>
      <w:r>
        <w:rPr>
          <w:rFonts w:ascii="Arial" w:eastAsia="宋体" w:hAnsi="Arial" w:cs="Arial"/>
          <w:sz w:val="14"/>
          <w:szCs w:val="14"/>
        </w:rPr>
        <w:t>ith the possibility we will sustain some loss.</w:t>
      </w:r>
    </w:p>
    <w:p w14:paraId="5556D14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an internal risk-rating system to assess our risk of credit loss for each loan. This risk-rating process incorporates the use of risk-rating tools in conjunction with management judgment. Qualitative an</w:t>
      </w:r>
      <w:r>
        <w:rPr>
          <w:rFonts w:ascii="Arial" w:eastAsia="宋体" w:hAnsi="Arial" w:cs="Arial"/>
          <w:sz w:val="20"/>
          <w:szCs w:val="20"/>
        </w:rPr>
        <w:t>d quantitative inputs are captured in a systematic manner, and following a formal review and approval process, an internal credit rating based on our credit scale is assigned.</w:t>
      </w:r>
    </w:p>
    <w:p w14:paraId="5556D15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assessing the risk rating assigned to each individual loan, among the factors</w:t>
      </w:r>
      <w:r>
        <w:rPr>
          <w:rFonts w:ascii="Arial" w:eastAsia="宋体" w:hAnsi="Arial" w:cs="Arial"/>
          <w:sz w:val="20"/>
          <w:szCs w:val="20"/>
        </w:rPr>
        <w:t xml:space="preserve"> considered are the borrower's debt capacity, collateral coverage, payment history and delinquency experience, financial flexibility and earnings strength, the expected amounts and source of repayment, the level and nature of contingencies, if any, and the</w:t>
      </w:r>
      <w:r>
        <w:rPr>
          <w:rFonts w:ascii="Arial" w:eastAsia="宋体" w:hAnsi="Arial" w:cs="Arial"/>
          <w:sz w:val="20"/>
          <w:szCs w:val="20"/>
        </w:rPr>
        <w:t xml:space="preserve"> industry and geography in which the borrower operates. These factors are based on an evaluation of historical and current information, and involve subjective assessment and interpretation. Credit counterparties are evaluated and risk-rated on an individua</w:t>
      </w:r>
      <w:r>
        <w:rPr>
          <w:rFonts w:ascii="Arial" w:eastAsia="宋体" w:hAnsi="Arial" w:cs="Arial"/>
          <w:sz w:val="20"/>
          <w:szCs w:val="20"/>
        </w:rPr>
        <w:t>l basis at least annually. Management considers the ratings to be current as of December 31, 2019.</w:t>
      </w:r>
    </w:p>
    <w:p w14:paraId="5556D15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review loans for indicators of impairment. Loans where indicators exist are evaluated individually for impairment at least quarterly. For those loans wher</w:t>
      </w:r>
      <w:r>
        <w:rPr>
          <w:rFonts w:ascii="Arial" w:eastAsia="宋体" w:hAnsi="Arial" w:cs="Arial"/>
          <w:sz w:val="20"/>
          <w:szCs w:val="20"/>
        </w:rPr>
        <w:t xml:space="preserve">e no such indicators are identified, the loans are collectively evaluated for impairment. </w:t>
      </w:r>
    </w:p>
    <w:p w14:paraId="5556D152"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D15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our recorded investment in loans, disaggregated based on our impairment methodology, as of the dates indicated:</w:t>
      </w:r>
    </w:p>
    <w:tbl>
      <w:tblPr>
        <w:tblW w:w="4990" w:type="pct"/>
        <w:tblCellMar>
          <w:left w:w="0" w:type="dxa"/>
          <w:right w:w="0" w:type="dxa"/>
        </w:tblCellMar>
        <w:tblLook w:val="04A0" w:firstRow="1" w:lastRow="0" w:firstColumn="1" w:lastColumn="0" w:noHBand="0" w:noVBand="1"/>
      </w:tblPr>
      <w:tblGrid>
        <w:gridCol w:w="2721"/>
        <w:gridCol w:w="124"/>
        <w:gridCol w:w="1561"/>
        <w:gridCol w:w="69"/>
        <w:gridCol w:w="152"/>
        <w:gridCol w:w="124"/>
        <w:gridCol w:w="1561"/>
        <w:gridCol w:w="69"/>
        <w:gridCol w:w="152"/>
        <w:gridCol w:w="124"/>
        <w:gridCol w:w="1562"/>
        <w:gridCol w:w="70"/>
      </w:tblGrid>
      <w:tr w:rsidR="00F925DD" w14:paraId="5556D155" w14:textId="77777777">
        <w:tc>
          <w:tcPr>
            <w:tcW w:w="0" w:type="auto"/>
            <w:gridSpan w:val="12"/>
            <w:shd w:val="clear" w:color="auto" w:fill="auto"/>
            <w:vAlign w:val="center"/>
          </w:tcPr>
          <w:p w14:paraId="5556D154" w14:textId="77777777" w:rsidR="00F925DD" w:rsidRDefault="00F925DD">
            <w:pPr>
              <w:rPr>
                <w:rFonts w:ascii="Times New Roman" w:hAnsi="Times New Roman"/>
                <w:sz w:val="20"/>
                <w:szCs w:val="20"/>
              </w:rPr>
            </w:pPr>
          </w:p>
        </w:tc>
      </w:tr>
      <w:tr w:rsidR="00F925DD" w14:paraId="5556D162" w14:textId="77777777">
        <w:tc>
          <w:tcPr>
            <w:tcW w:w="1650" w:type="pct"/>
            <w:shd w:val="clear" w:color="auto" w:fill="auto"/>
            <w:vAlign w:val="center"/>
          </w:tcPr>
          <w:p w14:paraId="5556D156" w14:textId="77777777" w:rsidR="00F925DD" w:rsidRDefault="00F925DD">
            <w:pPr>
              <w:rPr>
                <w:rFonts w:ascii="Times New Roman" w:hAnsi="Times New Roman"/>
                <w:sz w:val="20"/>
                <w:szCs w:val="20"/>
              </w:rPr>
            </w:pPr>
          </w:p>
        </w:tc>
        <w:tc>
          <w:tcPr>
            <w:tcW w:w="50" w:type="pct"/>
            <w:shd w:val="clear" w:color="auto" w:fill="auto"/>
            <w:vAlign w:val="center"/>
          </w:tcPr>
          <w:p w14:paraId="5556D157" w14:textId="77777777" w:rsidR="00F925DD" w:rsidRDefault="00F925DD">
            <w:pPr>
              <w:rPr>
                <w:rFonts w:ascii="Times New Roman" w:hAnsi="Times New Roman"/>
                <w:sz w:val="20"/>
                <w:szCs w:val="20"/>
              </w:rPr>
            </w:pPr>
          </w:p>
        </w:tc>
        <w:tc>
          <w:tcPr>
            <w:tcW w:w="950" w:type="pct"/>
            <w:shd w:val="clear" w:color="auto" w:fill="auto"/>
            <w:vAlign w:val="center"/>
          </w:tcPr>
          <w:p w14:paraId="5556D158" w14:textId="77777777" w:rsidR="00F925DD" w:rsidRDefault="00F925DD">
            <w:pPr>
              <w:rPr>
                <w:rFonts w:ascii="Times New Roman" w:hAnsi="Times New Roman"/>
                <w:sz w:val="20"/>
                <w:szCs w:val="20"/>
              </w:rPr>
            </w:pPr>
          </w:p>
        </w:tc>
        <w:tc>
          <w:tcPr>
            <w:tcW w:w="50" w:type="pct"/>
            <w:shd w:val="clear" w:color="auto" w:fill="auto"/>
            <w:vAlign w:val="center"/>
          </w:tcPr>
          <w:p w14:paraId="5556D159" w14:textId="77777777" w:rsidR="00F925DD" w:rsidRDefault="00F925DD">
            <w:pPr>
              <w:rPr>
                <w:rFonts w:ascii="Times New Roman" w:hAnsi="Times New Roman"/>
                <w:sz w:val="20"/>
                <w:szCs w:val="20"/>
              </w:rPr>
            </w:pPr>
          </w:p>
        </w:tc>
        <w:tc>
          <w:tcPr>
            <w:tcW w:w="100" w:type="pct"/>
            <w:shd w:val="clear" w:color="auto" w:fill="auto"/>
            <w:vAlign w:val="center"/>
          </w:tcPr>
          <w:p w14:paraId="5556D15A" w14:textId="77777777" w:rsidR="00F925DD" w:rsidRDefault="00F925DD">
            <w:pPr>
              <w:rPr>
                <w:rFonts w:ascii="Times New Roman" w:hAnsi="Times New Roman"/>
                <w:sz w:val="20"/>
                <w:szCs w:val="20"/>
              </w:rPr>
            </w:pPr>
          </w:p>
        </w:tc>
        <w:tc>
          <w:tcPr>
            <w:tcW w:w="50" w:type="pct"/>
            <w:shd w:val="clear" w:color="auto" w:fill="auto"/>
            <w:vAlign w:val="center"/>
          </w:tcPr>
          <w:p w14:paraId="5556D15B" w14:textId="77777777" w:rsidR="00F925DD" w:rsidRDefault="00F925DD">
            <w:pPr>
              <w:rPr>
                <w:rFonts w:ascii="Times New Roman" w:hAnsi="Times New Roman"/>
                <w:sz w:val="20"/>
                <w:szCs w:val="20"/>
              </w:rPr>
            </w:pPr>
          </w:p>
        </w:tc>
        <w:tc>
          <w:tcPr>
            <w:tcW w:w="950" w:type="pct"/>
            <w:shd w:val="clear" w:color="auto" w:fill="auto"/>
            <w:vAlign w:val="center"/>
          </w:tcPr>
          <w:p w14:paraId="5556D15C" w14:textId="77777777" w:rsidR="00F925DD" w:rsidRDefault="00F925DD">
            <w:pPr>
              <w:rPr>
                <w:rFonts w:ascii="Times New Roman" w:hAnsi="Times New Roman"/>
                <w:sz w:val="20"/>
                <w:szCs w:val="20"/>
              </w:rPr>
            </w:pPr>
          </w:p>
        </w:tc>
        <w:tc>
          <w:tcPr>
            <w:tcW w:w="50" w:type="pct"/>
            <w:shd w:val="clear" w:color="auto" w:fill="auto"/>
            <w:vAlign w:val="center"/>
          </w:tcPr>
          <w:p w14:paraId="5556D15D" w14:textId="77777777" w:rsidR="00F925DD" w:rsidRDefault="00F925DD">
            <w:pPr>
              <w:rPr>
                <w:rFonts w:ascii="Times New Roman" w:hAnsi="Times New Roman"/>
                <w:sz w:val="20"/>
                <w:szCs w:val="20"/>
              </w:rPr>
            </w:pPr>
          </w:p>
        </w:tc>
        <w:tc>
          <w:tcPr>
            <w:tcW w:w="100" w:type="pct"/>
            <w:shd w:val="clear" w:color="auto" w:fill="auto"/>
            <w:vAlign w:val="center"/>
          </w:tcPr>
          <w:p w14:paraId="5556D15E" w14:textId="77777777" w:rsidR="00F925DD" w:rsidRDefault="00F925DD">
            <w:pPr>
              <w:rPr>
                <w:rFonts w:ascii="Times New Roman" w:hAnsi="Times New Roman"/>
                <w:sz w:val="20"/>
                <w:szCs w:val="20"/>
              </w:rPr>
            </w:pPr>
          </w:p>
        </w:tc>
        <w:tc>
          <w:tcPr>
            <w:tcW w:w="50" w:type="pct"/>
            <w:shd w:val="clear" w:color="auto" w:fill="auto"/>
            <w:vAlign w:val="center"/>
          </w:tcPr>
          <w:p w14:paraId="5556D15F" w14:textId="77777777" w:rsidR="00F925DD" w:rsidRDefault="00F925DD">
            <w:pPr>
              <w:rPr>
                <w:rFonts w:ascii="Times New Roman" w:hAnsi="Times New Roman"/>
                <w:sz w:val="20"/>
                <w:szCs w:val="20"/>
              </w:rPr>
            </w:pPr>
          </w:p>
        </w:tc>
        <w:tc>
          <w:tcPr>
            <w:tcW w:w="950" w:type="pct"/>
            <w:shd w:val="clear" w:color="auto" w:fill="auto"/>
            <w:vAlign w:val="center"/>
          </w:tcPr>
          <w:p w14:paraId="5556D160" w14:textId="77777777" w:rsidR="00F925DD" w:rsidRDefault="00F925DD">
            <w:pPr>
              <w:rPr>
                <w:rFonts w:ascii="Times New Roman" w:hAnsi="Times New Roman"/>
                <w:sz w:val="20"/>
                <w:szCs w:val="20"/>
              </w:rPr>
            </w:pPr>
          </w:p>
        </w:tc>
        <w:tc>
          <w:tcPr>
            <w:tcW w:w="50" w:type="pct"/>
            <w:shd w:val="clear" w:color="auto" w:fill="auto"/>
            <w:vAlign w:val="center"/>
          </w:tcPr>
          <w:p w14:paraId="5556D161" w14:textId="77777777" w:rsidR="00F925DD" w:rsidRDefault="00F925DD">
            <w:pPr>
              <w:rPr>
                <w:rFonts w:ascii="Times New Roman" w:hAnsi="Times New Roman"/>
                <w:sz w:val="20"/>
                <w:szCs w:val="20"/>
              </w:rPr>
            </w:pPr>
          </w:p>
        </w:tc>
      </w:tr>
      <w:tr w:rsidR="00F925DD" w14:paraId="5556D169" w14:textId="77777777">
        <w:tc>
          <w:tcPr>
            <w:tcW w:w="0" w:type="auto"/>
            <w:shd w:val="clear" w:color="auto" w:fill="auto"/>
            <w:tcMar>
              <w:top w:w="40" w:type="dxa"/>
              <w:left w:w="40" w:type="dxa"/>
              <w:bottom w:w="40" w:type="dxa"/>
              <w:right w:w="40" w:type="dxa"/>
            </w:tcMar>
            <w:vAlign w:val="bottom"/>
          </w:tcPr>
          <w:p w14:paraId="5556D16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16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Commercial and Financial</w:t>
            </w:r>
          </w:p>
        </w:tc>
        <w:tc>
          <w:tcPr>
            <w:tcW w:w="0" w:type="auto"/>
            <w:vMerge w:val="restart"/>
            <w:shd w:val="clear" w:color="auto" w:fill="auto"/>
            <w:tcMar>
              <w:top w:w="40" w:type="dxa"/>
              <w:left w:w="40" w:type="dxa"/>
              <w:bottom w:w="40" w:type="dxa"/>
              <w:right w:w="40" w:type="dxa"/>
            </w:tcMar>
            <w:vAlign w:val="bottom"/>
          </w:tcPr>
          <w:p w14:paraId="5556D165" w14:textId="77777777" w:rsidR="00F925DD" w:rsidRDefault="00F925DD">
            <w:pPr>
              <w:jc w:val="center"/>
              <w:textAlignment w:val="bottom"/>
              <w:rPr>
                <w:rFonts w:ascii="Times New Roman" w:hAnsi="Times New Roman"/>
                <w:sz w:val="20"/>
                <w:szCs w:val="20"/>
              </w:rPr>
            </w:pP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16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Commercial Real Estate</w:t>
            </w:r>
          </w:p>
        </w:tc>
        <w:tc>
          <w:tcPr>
            <w:tcW w:w="0" w:type="auto"/>
            <w:vMerge w:val="restart"/>
            <w:shd w:val="clear" w:color="auto" w:fill="auto"/>
            <w:tcMar>
              <w:top w:w="40" w:type="dxa"/>
              <w:left w:w="40" w:type="dxa"/>
              <w:bottom w:w="40" w:type="dxa"/>
              <w:right w:w="40" w:type="dxa"/>
            </w:tcMar>
            <w:vAlign w:val="bottom"/>
          </w:tcPr>
          <w:p w14:paraId="5556D167" w14:textId="77777777" w:rsidR="00F925DD" w:rsidRDefault="00F925DD">
            <w:pPr>
              <w:jc w:val="center"/>
              <w:textAlignment w:val="bottom"/>
              <w:rPr>
                <w:rFonts w:ascii="Times New Roman" w:hAnsi="Times New Roman"/>
                <w:sz w:val="20"/>
                <w:szCs w:val="20"/>
              </w:rPr>
            </w:pP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16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 Loans </w:t>
            </w:r>
          </w:p>
        </w:tc>
      </w:tr>
      <w:tr w:rsidR="00F925DD" w14:paraId="5556D170" w14:textId="77777777">
        <w:tc>
          <w:tcPr>
            <w:tcW w:w="0" w:type="auto"/>
            <w:shd w:val="clear" w:color="auto" w:fill="auto"/>
            <w:tcMar>
              <w:top w:w="40" w:type="dxa"/>
              <w:left w:w="40" w:type="dxa"/>
              <w:bottom w:w="40" w:type="dxa"/>
              <w:right w:w="40" w:type="dxa"/>
            </w:tcMar>
            <w:vAlign w:val="bottom"/>
          </w:tcPr>
          <w:p w14:paraId="5556D16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16B"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D16C"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16D"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D16E"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16F" w14:textId="77777777" w:rsidR="00F925DD" w:rsidRDefault="00F925DD">
            <w:pPr>
              <w:rPr>
                <w:rFonts w:ascii="Times New Roman" w:hAnsi="Times New Roman"/>
                <w:sz w:val="20"/>
                <w:szCs w:val="20"/>
              </w:rPr>
            </w:pPr>
          </w:p>
        </w:tc>
      </w:tr>
      <w:tr w:rsidR="00F925DD" w14:paraId="5556D177" w14:textId="77777777">
        <w:tc>
          <w:tcPr>
            <w:tcW w:w="0" w:type="auto"/>
            <w:shd w:val="clear" w:color="auto" w:fill="auto"/>
            <w:tcMar>
              <w:top w:w="40" w:type="dxa"/>
              <w:left w:w="40" w:type="dxa"/>
              <w:bottom w:w="40" w:type="dxa"/>
              <w:right w:w="40" w:type="dxa"/>
            </w:tcMar>
            <w:vAlign w:val="bottom"/>
          </w:tcPr>
          <w:p w14:paraId="5556D17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Loans:</w:t>
            </w:r>
          </w:p>
        </w:tc>
        <w:tc>
          <w:tcPr>
            <w:tcW w:w="0" w:type="auto"/>
            <w:gridSpan w:val="3"/>
            <w:shd w:val="clear" w:color="auto" w:fill="auto"/>
            <w:tcMar>
              <w:top w:w="40" w:type="dxa"/>
              <w:left w:w="40" w:type="dxa"/>
              <w:bottom w:w="40" w:type="dxa"/>
              <w:right w:w="40" w:type="dxa"/>
            </w:tcMar>
            <w:vAlign w:val="bottom"/>
          </w:tcPr>
          <w:p w14:paraId="5556D172"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D173"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D174" w14:textId="77777777" w:rsidR="00F925DD" w:rsidRDefault="00F925DD">
            <w:pPr>
              <w:textAlignment w:val="bottom"/>
              <w:rPr>
                <w:rFonts w:ascii="Times New Roman" w:hAnsi="Times New Roman"/>
                <w:sz w:val="15"/>
                <w:szCs w:val="15"/>
              </w:rPr>
            </w:pPr>
          </w:p>
        </w:tc>
        <w:tc>
          <w:tcPr>
            <w:tcW w:w="0" w:type="auto"/>
            <w:shd w:val="clear" w:color="auto" w:fill="auto"/>
            <w:tcMar>
              <w:top w:w="40" w:type="dxa"/>
              <w:left w:w="40" w:type="dxa"/>
              <w:bottom w:w="40" w:type="dxa"/>
              <w:right w:w="40" w:type="dxa"/>
            </w:tcMar>
            <w:vAlign w:val="bottom"/>
          </w:tcPr>
          <w:p w14:paraId="5556D175" w14:textId="77777777" w:rsidR="00F925DD" w:rsidRDefault="00F925DD">
            <w:pP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D176" w14:textId="77777777" w:rsidR="00F925DD" w:rsidRDefault="00F925DD">
            <w:pPr>
              <w:textAlignment w:val="bottom"/>
              <w:rPr>
                <w:rFonts w:ascii="Times New Roman" w:hAnsi="Times New Roman"/>
                <w:sz w:val="15"/>
                <w:szCs w:val="15"/>
              </w:rPr>
            </w:pPr>
          </w:p>
        </w:tc>
      </w:tr>
      <w:tr w:rsidR="00F925DD" w14:paraId="5556D184" w14:textId="77777777">
        <w:tc>
          <w:tcPr>
            <w:tcW w:w="0" w:type="auto"/>
            <w:shd w:val="clear" w:color="auto" w:fill="CCEEFF"/>
            <w:tcMar>
              <w:top w:w="40" w:type="dxa"/>
              <w:left w:w="40" w:type="dxa"/>
              <w:bottom w:w="40" w:type="dxa"/>
              <w:right w:w="40" w:type="dxa"/>
            </w:tcMar>
            <w:vAlign w:val="bottom"/>
          </w:tcPr>
          <w:p w14:paraId="5556D178" w14:textId="77777777" w:rsidR="00F925DD" w:rsidRDefault="00E705D7">
            <w:pPr>
              <w:textAlignment w:val="bottom"/>
              <w:rPr>
                <w:rFonts w:ascii="Times New Roman" w:hAnsi="Times New Roman"/>
                <w:sz w:val="15"/>
                <w:szCs w:val="15"/>
              </w:rPr>
            </w:pPr>
            <w:r>
              <w:rPr>
                <w:rFonts w:ascii="Arial" w:eastAsia="宋体" w:hAnsi="Arial" w:cs="Arial"/>
                <w:sz w:val="15"/>
                <w:szCs w:val="15"/>
              </w:rPr>
              <w:t>Individually evaluated for impairment(1)</w:t>
            </w:r>
          </w:p>
        </w:tc>
        <w:tc>
          <w:tcPr>
            <w:tcW w:w="0" w:type="auto"/>
            <w:shd w:val="clear" w:color="auto" w:fill="CCEEFF"/>
            <w:tcMar>
              <w:top w:w="40" w:type="dxa"/>
              <w:left w:w="40" w:type="dxa"/>
              <w:bottom w:w="40" w:type="dxa"/>
            </w:tcMar>
            <w:vAlign w:val="bottom"/>
          </w:tcPr>
          <w:p w14:paraId="5556D17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17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w:t>
            </w:r>
          </w:p>
        </w:tc>
        <w:tc>
          <w:tcPr>
            <w:tcW w:w="0" w:type="auto"/>
            <w:shd w:val="clear" w:color="auto" w:fill="CCEEFF"/>
            <w:vAlign w:val="bottom"/>
          </w:tcPr>
          <w:p w14:paraId="5556D1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17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17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D17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18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18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w:t>
            </w:r>
          </w:p>
        </w:tc>
        <w:tc>
          <w:tcPr>
            <w:tcW w:w="0" w:type="auto"/>
            <w:shd w:val="clear" w:color="auto" w:fill="CCEEFF"/>
            <w:vAlign w:val="bottom"/>
          </w:tcPr>
          <w:p w14:paraId="5556D183" w14:textId="77777777" w:rsidR="00F925DD" w:rsidRDefault="00F925DD">
            <w:pPr>
              <w:textAlignment w:val="bottom"/>
              <w:rPr>
                <w:rFonts w:ascii="Times New Roman" w:hAnsi="Times New Roman"/>
                <w:sz w:val="20"/>
                <w:szCs w:val="20"/>
              </w:rPr>
            </w:pPr>
          </w:p>
        </w:tc>
      </w:tr>
      <w:tr w:rsidR="00F925DD" w14:paraId="5556D18E" w14:textId="77777777">
        <w:tc>
          <w:tcPr>
            <w:tcW w:w="0" w:type="auto"/>
            <w:shd w:val="clear" w:color="auto" w:fill="auto"/>
            <w:tcMar>
              <w:top w:w="40" w:type="dxa"/>
              <w:left w:w="40" w:type="dxa"/>
              <w:bottom w:w="40" w:type="dxa"/>
              <w:right w:w="40" w:type="dxa"/>
            </w:tcMar>
            <w:vAlign w:val="bottom"/>
          </w:tcPr>
          <w:p w14:paraId="5556D185" w14:textId="77777777" w:rsidR="00F925DD" w:rsidRDefault="00E705D7">
            <w:pPr>
              <w:textAlignment w:val="bottom"/>
              <w:rPr>
                <w:rFonts w:ascii="Times New Roman" w:hAnsi="Times New Roman"/>
                <w:sz w:val="15"/>
                <w:szCs w:val="15"/>
              </w:rPr>
            </w:pPr>
            <w:r>
              <w:rPr>
                <w:rFonts w:ascii="Arial" w:eastAsia="宋体" w:hAnsi="Arial" w:cs="Arial"/>
                <w:sz w:val="15"/>
                <w:szCs w:val="15"/>
              </w:rPr>
              <w:t>Collectively evaluated for impairment</w:t>
            </w:r>
          </w:p>
        </w:tc>
        <w:tc>
          <w:tcPr>
            <w:tcW w:w="0" w:type="auto"/>
            <w:gridSpan w:val="2"/>
            <w:shd w:val="clear" w:color="auto" w:fill="auto"/>
            <w:tcMar>
              <w:top w:w="40" w:type="dxa"/>
              <w:left w:w="40" w:type="dxa"/>
              <w:bottom w:w="40" w:type="dxa"/>
            </w:tcMar>
            <w:vAlign w:val="bottom"/>
          </w:tcPr>
          <w:p w14:paraId="5556D18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24,518</w:t>
            </w:r>
          </w:p>
        </w:tc>
        <w:tc>
          <w:tcPr>
            <w:tcW w:w="0" w:type="auto"/>
            <w:shd w:val="clear" w:color="auto" w:fill="auto"/>
            <w:vAlign w:val="bottom"/>
          </w:tcPr>
          <w:p w14:paraId="5556D18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1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18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1,766</w:t>
            </w:r>
          </w:p>
        </w:tc>
        <w:tc>
          <w:tcPr>
            <w:tcW w:w="0" w:type="auto"/>
            <w:shd w:val="clear" w:color="auto" w:fill="auto"/>
            <w:vAlign w:val="bottom"/>
          </w:tcPr>
          <w:p w14:paraId="5556D18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1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18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26,284</w:t>
            </w:r>
          </w:p>
        </w:tc>
        <w:tc>
          <w:tcPr>
            <w:tcW w:w="0" w:type="auto"/>
            <w:shd w:val="clear" w:color="auto" w:fill="auto"/>
            <w:vAlign w:val="bottom"/>
          </w:tcPr>
          <w:p w14:paraId="5556D18D" w14:textId="77777777" w:rsidR="00F925DD" w:rsidRDefault="00F925DD">
            <w:pPr>
              <w:textAlignment w:val="bottom"/>
              <w:rPr>
                <w:rFonts w:ascii="Times New Roman" w:hAnsi="Times New Roman"/>
                <w:sz w:val="20"/>
                <w:szCs w:val="20"/>
              </w:rPr>
            </w:pPr>
          </w:p>
        </w:tc>
      </w:tr>
      <w:tr w:rsidR="00F925DD" w14:paraId="5556D19B" w14:textId="77777777">
        <w:tc>
          <w:tcPr>
            <w:tcW w:w="0" w:type="auto"/>
            <w:shd w:val="clear" w:color="auto" w:fill="CCEEFF"/>
            <w:tcMar>
              <w:top w:w="40" w:type="dxa"/>
              <w:left w:w="40" w:type="dxa"/>
              <w:bottom w:w="40" w:type="dxa"/>
              <w:right w:w="40" w:type="dxa"/>
            </w:tcMar>
            <w:vAlign w:val="bottom"/>
          </w:tcPr>
          <w:p w14:paraId="5556D18F"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19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19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24,543</w:t>
            </w:r>
          </w:p>
        </w:tc>
        <w:tc>
          <w:tcPr>
            <w:tcW w:w="0" w:type="auto"/>
            <w:tcBorders>
              <w:top w:val="single" w:sz="8" w:space="0" w:color="000000"/>
              <w:bottom w:val="double" w:sz="6" w:space="0" w:color="000000"/>
            </w:tcBorders>
            <w:shd w:val="clear" w:color="auto" w:fill="CCEEFF"/>
            <w:vAlign w:val="bottom"/>
          </w:tcPr>
          <w:p w14:paraId="5556D19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19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19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1,766</w:t>
            </w:r>
          </w:p>
        </w:tc>
        <w:tc>
          <w:tcPr>
            <w:tcW w:w="0" w:type="auto"/>
            <w:tcBorders>
              <w:top w:val="single" w:sz="8" w:space="0" w:color="000000"/>
              <w:bottom w:val="double" w:sz="6" w:space="0" w:color="000000"/>
            </w:tcBorders>
            <w:shd w:val="clear" w:color="auto" w:fill="CCEEFF"/>
            <w:vAlign w:val="bottom"/>
          </w:tcPr>
          <w:p w14:paraId="5556D1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19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19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26,309</w:t>
            </w:r>
          </w:p>
        </w:tc>
        <w:tc>
          <w:tcPr>
            <w:tcW w:w="0" w:type="auto"/>
            <w:tcBorders>
              <w:top w:val="single" w:sz="8" w:space="0" w:color="000000"/>
              <w:bottom w:val="double" w:sz="6" w:space="0" w:color="000000"/>
            </w:tcBorders>
            <w:shd w:val="clear" w:color="auto" w:fill="CCEEFF"/>
            <w:vAlign w:val="bottom"/>
          </w:tcPr>
          <w:p w14:paraId="5556D19A" w14:textId="77777777" w:rsidR="00F925DD" w:rsidRDefault="00F925DD">
            <w:pPr>
              <w:textAlignment w:val="bottom"/>
              <w:rPr>
                <w:rFonts w:ascii="Times New Roman" w:hAnsi="Times New Roman"/>
                <w:sz w:val="20"/>
                <w:szCs w:val="20"/>
              </w:rPr>
            </w:pPr>
          </w:p>
        </w:tc>
      </w:tr>
      <w:tr w:rsidR="00F925DD" w14:paraId="5556D1A2" w14:textId="77777777">
        <w:tc>
          <w:tcPr>
            <w:tcW w:w="0" w:type="auto"/>
            <w:shd w:val="clear" w:color="auto" w:fill="auto"/>
            <w:tcMar>
              <w:top w:w="40" w:type="dxa"/>
              <w:left w:w="40" w:type="dxa"/>
              <w:bottom w:w="40" w:type="dxa"/>
              <w:right w:w="40" w:type="dxa"/>
            </w:tcMar>
            <w:vAlign w:val="bottom"/>
          </w:tcPr>
          <w:p w14:paraId="5556D1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1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1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1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1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1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1A9" w14:textId="77777777">
        <w:tc>
          <w:tcPr>
            <w:tcW w:w="0" w:type="auto"/>
            <w:shd w:val="clear" w:color="auto" w:fill="auto"/>
            <w:tcMar>
              <w:top w:w="40" w:type="dxa"/>
              <w:left w:w="40" w:type="dxa"/>
              <w:bottom w:w="40" w:type="dxa"/>
              <w:right w:w="40" w:type="dxa"/>
            </w:tcMar>
            <w:vAlign w:val="bottom"/>
          </w:tcPr>
          <w:p w14:paraId="5556D1A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December 31, 2018</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1A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Commercial and Financial</w:t>
            </w:r>
          </w:p>
        </w:tc>
        <w:tc>
          <w:tcPr>
            <w:tcW w:w="0" w:type="auto"/>
            <w:vMerge w:val="restart"/>
            <w:shd w:val="clear" w:color="auto" w:fill="auto"/>
            <w:tcMar>
              <w:top w:w="40" w:type="dxa"/>
              <w:left w:w="40" w:type="dxa"/>
              <w:bottom w:w="40" w:type="dxa"/>
              <w:right w:w="40" w:type="dxa"/>
            </w:tcMar>
            <w:vAlign w:val="bottom"/>
          </w:tcPr>
          <w:p w14:paraId="5556D1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1A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Commercial Real Estate</w:t>
            </w:r>
          </w:p>
        </w:tc>
        <w:tc>
          <w:tcPr>
            <w:tcW w:w="0" w:type="auto"/>
            <w:vMerge w:val="restart"/>
            <w:shd w:val="clear" w:color="auto" w:fill="auto"/>
            <w:tcMar>
              <w:top w:w="40" w:type="dxa"/>
              <w:left w:w="40" w:type="dxa"/>
              <w:bottom w:w="40" w:type="dxa"/>
              <w:right w:w="40" w:type="dxa"/>
            </w:tcMar>
            <w:vAlign w:val="bottom"/>
          </w:tcPr>
          <w:p w14:paraId="5556D1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1A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 Loans </w:t>
            </w:r>
          </w:p>
        </w:tc>
      </w:tr>
      <w:tr w:rsidR="00F925DD" w14:paraId="5556D1B0" w14:textId="77777777">
        <w:tc>
          <w:tcPr>
            <w:tcW w:w="0" w:type="auto"/>
            <w:shd w:val="clear" w:color="auto" w:fill="auto"/>
            <w:tcMar>
              <w:top w:w="40" w:type="dxa"/>
              <w:left w:w="40" w:type="dxa"/>
              <w:bottom w:w="40" w:type="dxa"/>
              <w:right w:w="40" w:type="dxa"/>
            </w:tcMar>
            <w:vAlign w:val="bottom"/>
          </w:tcPr>
          <w:p w14:paraId="5556D1A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1AB"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D1AC"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1AD" w14:textId="77777777" w:rsidR="00F925DD" w:rsidRDefault="00F925DD">
            <w:pPr>
              <w:rPr>
                <w:rFonts w:ascii="Times New Roman" w:hAnsi="Times New Roman"/>
                <w:sz w:val="20"/>
                <w:szCs w:val="20"/>
              </w:rPr>
            </w:pPr>
          </w:p>
        </w:tc>
        <w:tc>
          <w:tcPr>
            <w:tcW w:w="0" w:type="auto"/>
            <w:vMerge/>
            <w:shd w:val="clear" w:color="auto" w:fill="auto"/>
            <w:tcMar>
              <w:top w:w="40" w:type="dxa"/>
              <w:left w:w="40" w:type="dxa"/>
              <w:bottom w:w="40" w:type="dxa"/>
              <w:right w:w="40" w:type="dxa"/>
            </w:tcMar>
            <w:vAlign w:val="bottom"/>
          </w:tcPr>
          <w:p w14:paraId="5556D1AE" w14:textId="77777777" w:rsidR="00F925DD" w:rsidRDefault="00F925DD">
            <w:pPr>
              <w:rPr>
                <w:rFonts w:ascii="Times New Roman" w:hAnsi="Times New Roman"/>
                <w:sz w:val="20"/>
                <w:szCs w:val="20"/>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1AF" w14:textId="77777777" w:rsidR="00F925DD" w:rsidRDefault="00F925DD">
            <w:pPr>
              <w:rPr>
                <w:rFonts w:ascii="Times New Roman" w:hAnsi="Times New Roman"/>
                <w:sz w:val="20"/>
                <w:szCs w:val="20"/>
              </w:rPr>
            </w:pPr>
          </w:p>
        </w:tc>
      </w:tr>
      <w:tr w:rsidR="00F925DD" w14:paraId="5556D1B7" w14:textId="77777777">
        <w:tc>
          <w:tcPr>
            <w:tcW w:w="0" w:type="auto"/>
            <w:shd w:val="clear" w:color="auto" w:fill="auto"/>
            <w:tcMar>
              <w:top w:w="40" w:type="dxa"/>
              <w:left w:w="40" w:type="dxa"/>
              <w:bottom w:w="40" w:type="dxa"/>
              <w:right w:w="40" w:type="dxa"/>
            </w:tcMar>
            <w:vAlign w:val="bottom"/>
          </w:tcPr>
          <w:p w14:paraId="5556D1B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Loans:</w:t>
            </w:r>
          </w:p>
        </w:tc>
        <w:tc>
          <w:tcPr>
            <w:tcW w:w="0" w:type="auto"/>
            <w:gridSpan w:val="3"/>
            <w:shd w:val="clear" w:color="auto" w:fill="auto"/>
            <w:tcMar>
              <w:top w:w="40" w:type="dxa"/>
              <w:left w:w="40" w:type="dxa"/>
              <w:bottom w:w="40" w:type="dxa"/>
              <w:right w:w="40" w:type="dxa"/>
            </w:tcMar>
            <w:vAlign w:val="bottom"/>
          </w:tcPr>
          <w:p w14:paraId="5556D1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1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1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1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1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1C4" w14:textId="77777777">
        <w:tc>
          <w:tcPr>
            <w:tcW w:w="0" w:type="auto"/>
            <w:shd w:val="clear" w:color="auto" w:fill="CCEEFF"/>
            <w:tcMar>
              <w:top w:w="40" w:type="dxa"/>
              <w:left w:w="40" w:type="dxa"/>
              <w:bottom w:w="40" w:type="dxa"/>
              <w:right w:w="40" w:type="dxa"/>
            </w:tcMar>
            <w:vAlign w:val="bottom"/>
          </w:tcPr>
          <w:p w14:paraId="5556D1B8" w14:textId="77777777" w:rsidR="00F925DD" w:rsidRDefault="00E705D7">
            <w:pPr>
              <w:textAlignment w:val="bottom"/>
              <w:rPr>
                <w:rFonts w:ascii="Times New Roman" w:hAnsi="Times New Roman"/>
                <w:sz w:val="15"/>
                <w:szCs w:val="15"/>
              </w:rPr>
            </w:pPr>
            <w:r>
              <w:rPr>
                <w:rFonts w:ascii="Arial" w:eastAsia="宋体" w:hAnsi="Arial" w:cs="Arial"/>
                <w:sz w:val="15"/>
                <w:szCs w:val="15"/>
              </w:rPr>
              <w:t>Individually evaluated for impairment(1)</w:t>
            </w:r>
          </w:p>
        </w:tc>
        <w:tc>
          <w:tcPr>
            <w:tcW w:w="0" w:type="auto"/>
            <w:shd w:val="clear" w:color="auto" w:fill="CCEEFF"/>
            <w:tcMar>
              <w:top w:w="40" w:type="dxa"/>
              <w:left w:w="40" w:type="dxa"/>
              <w:bottom w:w="40" w:type="dxa"/>
            </w:tcMar>
            <w:vAlign w:val="bottom"/>
          </w:tcPr>
          <w:p w14:paraId="5556D1B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1B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w:t>
            </w:r>
          </w:p>
        </w:tc>
        <w:tc>
          <w:tcPr>
            <w:tcW w:w="0" w:type="auto"/>
            <w:shd w:val="clear" w:color="auto" w:fill="CCEEFF"/>
            <w:vAlign w:val="bottom"/>
          </w:tcPr>
          <w:p w14:paraId="5556D1B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1B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1B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D1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1C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1C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w:t>
            </w:r>
          </w:p>
        </w:tc>
        <w:tc>
          <w:tcPr>
            <w:tcW w:w="0" w:type="auto"/>
            <w:shd w:val="clear" w:color="auto" w:fill="CCEEFF"/>
            <w:vAlign w:val="bottom"/>
          </w:tcPr>
          <w:p w14:paraId="5556D1C3" w14:textId="77777777" w:rsidR="00F925DD" w:rsidRDefault="00F925DD">
            <w:pPr>
              <w:textAlignment w:val="bottom"/>
              <w:rPr>
                <w:rFonts w:ascii="Times New Roman" w:hAnsi="Times New Roman"/>
                <w:sz w:val="20"/>
                <w:szCs w:val="20"/>
              </w:rPr>
            </w:pPr>
          </w:p>
        </w:tc>
      </w:tr>
      <w:tr w:rsidR="00F925DD" w14:paraId="5556D1CE" w14:textId="77777777">
        <w:tc>
          <w:tcPr>
            <w:tcW w:w="0" w:type="auto"/>
            <w:shd w:val="clear" w:color="auto" w:fill="auto"/>
            <w:tcMar>
              <w:top w:w="40" w:type="dxa"/>
              <w:left w:w="40" w:type="dxa"/>
              <w:bottom w:w="40" w:type="dxa"/>
              <w:right w:w="40" w:type="dxa"/>
            </w:tcMar>
            <w:vAlign w:val="bottom"/>
          </w:tcPr>
          <w:p w14:paraId="5556D1C5"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Collectively </w:t>
            </w:r>
            <w:r>
              <w:rPr>
                <w:rFonts w:ascii="Arial" w:eastAsia="宋体" w:hAnsi="Arial" w:cs="Arial"/>
                <w:sz w:val="15"/>
                <w:szCs w:val="15"/>
              </w:rPr>
              <w:t>evaluated for impairment</w:t>
            </w:r>
          </w:p>
        </w:tc>
        <w:tc>
          <w:tcPr>
            <w:tcW w:w="0" w:type="auto"/>
            <w:gridSpan w:val="2"/>
            <w:shd w:val="clear" w:color="auto" w:fill="auto"/>
            <w:tcMar>
              <w:top w:w="40" w:type="dxa"/>
              <w:left w:w="40" w:type="dxa"/>
              <w:bottom w:w="40" w:type="dxa"/>
            </w:tcMar>
            <w:vAlign w:val="bottom"/>
          </w:tcPr>
          <w:p w14:paraId="5556D1C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24,907</w:t>
            </w:r>
          </w:p>
        </w:tc>
        <w:tc>
          <w:tcPr>
            <w:tcW w:w="0" w:type="auto"/>
            <w:shd w:val="clear" w:color="auto" w:fill="auto"/>
            <w:vAlign w:val="bottom"/>
          </w:tcPr>
          <w:p w14:paraId="5556D1C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1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1C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874</w:t>
            </w:r>
          </w:p>
        </w:tc>
        <w:tc>
          <w:tcPr>
            <w:tcW w:w="0" w:type="auto"/>
            <w:shd w:val="clear" w:color="auto" w:fill="auto"/>
            <w:vAlign w:val="bottom"/>
          </w:tcPr>
          <w:p w14:paraId="5556D1C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1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1C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25,781</w:t>
            </w:r>
          </w:p>
        </w:tc>
        <w:tc>
          <w:tcPr>
            <w:tcW w:w="0" w:type="auto"/>
            <w:shd w:val="clear" w:color="auto" w:fill="auto"/>
            <w:vAlign w:val="bottom"/>
          </w:tcPr>
          <w:p w14:paraId="5556D1CD" w14:textId="77777777" w:rsidR="00F925DD" w:rsidRDefault="00F925DD">
            <w:pPr>
              <w:textAlignment w:val="bottom"/>
              <w:rPr>
                <w:rFonts w:ascii="Times New Roman" w:hAnsi="Times New Roman"/>
                <w:sz w:val="20"/>
                <w:szCs w:val="20"/>
              </w:rPr>
            </w:pPr>
          </w:p>
        </w:tc>
      </w:tr>
      <w:tr w:rsidR="00F925DD" w14:paraId="5556D1DB" w14:textId="77777777">
        <w:tc>
          <w:tcPr>
            <w:tcW w:w="0" w:type="auto"/>
            <w:shd w:val="clear" w:color="auto" w:fill="CCEEFF"/>
            <w:tcMar>
              <w:top w:w="40" w:type="dxa"/>
              <w:left w:w="40" w:type="dxa"/>
              <w:bottom w:w="40" w:type="dxa"/>
              <w:right w:w="40" w:type="dxa"/>
            </w:tcMar>
            <w:vAlign w:val="bottom"/>
          </w:tcPr>
          <w:p w14:paraId="5556D1CF"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1D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1D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24,915</w:t>
            </w:r>
          </w:p>
        </w:tc>
        <w:tc>
          <w:tcPr>
            <w:tcW w:w="0" w:type="auto"/>
            <w:tcBorders>
              <w:top w:val="single" w:sz="8" w:space="0" w:color="000000"/>
              <w:bottom w:val="double" w:sz="6" w:space="0" w:color="000000"/>
            </w:tcBorders>
            <w:shd w:val="clear" w:color="auto" w:fill="CCEEFF"/>
            <w:vAlign w:val="bottom"/>
          </w:tcPr>
          <w:p w14:paraId="5556D1D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1D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1D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874</w:t>
            </w:r>
          </w:p>
        </w:tc>
        <w:tc>
          <w:tcPr>
            <w:tcW w:w="0" w:type="auto"/>
            <w:tcBorders>
              <w:top w:val="single" w:sz="8" w:space="0" w:color="000000"/>
              <w:bottom w:val="double" w:sz="6" w:space="0" w:color="000000"/>
            </w:tcBorders>
            <w:shd w:val="clear" w:color="auto" w:fill="CCEEFF"/>
            <w:vAlign w:val="bottom"/>
          </w:tcPr>
          <w:p w14:paraId="5556D1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1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1D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1D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25,789</w:t>
            </w:r>
          </w:p>
        </w:tc>
        <w:tc>
          <w:tcPr>
            <w:tcW w:w="0" w:type="auto"/>
            <w:tcBorders>
              <w:top w:val="single" w:sz="8" w:space="0" w:color="000000"/>
              <w:bottom w:val="double" w:sz="6" w:space="0" w:color="000000"/>
            </w:tcBorders>
            <w:shd w:val="clear" w:color="auto" w:fill="CCEEFF"/>
            <w:vAlign w:val="bottom"/>
          </w:tcPr>
          <w:p w14:paraId="5556D1DA" w14:textId="77777777" w:rsidR="00F925DD" w:rsidRDefault="00F925DD">
            <w:pPr>
              <w:textAlignment w:val="bottom"/>
              <w:rPr>
                <w:rFonts w:ascii="Times New Roman" w:hAnsi="Times New Roman"/>
                <w:sz w:val="20"/>
                <w:szCs w:val="20"/>
              </w:rPr>
            </w:pPr>
          </w:p>
        </w:tc>
      </w:tr>
    </w:tbl>
    <w:p w14:paraId="5556D1DC" w14:textId="77777777" w:rsidR="00F925DD" w:rsidRDefault="00F925DD">
      <w:pPr>
        <w:rPr>
          <w:vanish/>
        </w:rPr>
      </w:pPr>
    </w:p>
    <w:tbl>
      <w:tblPr>
        <w:tblW w:w="4990" w:type="pct"/>
        <w:tblCellMar>
          <w:left w:w="0" w:type="dxa"/>
          <w:right w:w="0" w:type="dxa"/>
        </w:tblCellMar>
        <w:tblLook w:val="04A0" w:firstRow="1" w:lastRow="0" w:firstColumn="1" w:lastColumn="0" w:noHBand="0" w:noVBand="1"/>
      </w:tblPr>
      <w:tblGrid>
        <w:gridCol w:w="4808"/>
        <w:gridCol w:w="3481"/>
      </w:tblGrid>
      <w:tr w:rsidR="00F925DD" w14:paraId="5556D1DE" w14:textId="77777777">
        <w:tc>
          <w:tcPr>
            <w:tcW w:w="0" w:type="auto"/>
            <w:gridSpan w:val="2"/>
            <w:shd w:val="clear" w:color="auto" w:fill="auto"/>
            <w:vAlign w:val="center"/>
          </w:tcPr>
          <w:p w14:paraId="5556D1DD" w14:textId="77777777" w:rsidR="00F925DD" w:rsidRDefault="00F925DD">
            <w:pPr>
              <w:rPr>
                <w:rFonts w:ascii="Times New Roman" w:hAnsi="Times New Roman"/>
                <w:sz w:val="20"/>
                <w:szCs w:val="20"/>
              </w:rPr>
            </w:pPr>
          </w:p>
        </w:tc>
      </w:tr>
      <w:tr w:rsidR="00F925DD" w14:paraId="5556D1E1" w14:textId="77777777">
        <w:tc>
          <w:tcPr>
            <w:tcW w:w="2900" w:type="pct"/>
            <w:shd w:val="clear" w:color="auto" w:fill="auto"/>
            <w:vAlign w:val="center"/>
          </w:tcPr>
          <w:p w14:paraId="5556D1DF" w14:textId="77777777" w:rsidR="00F925DD" w:rsidRDefault="00F925DD">
            <w:pPr>
              <w:rPr>
                <w:rFonts w:ascii="Times New Roman" w:hAnsi="Times New Roman"/>
                <w:sz w:val="20"/>
                <w:szCs w:val="20"/>
              </w:rPr>
            </w:pPr>
          </w:p>
        </w:tc>
        <w:tc>
          <w:tcPr>
            <w:tcW w:w="2100" w:type="pct"/>
            <w:shd w:val="clear" w:color="auto" w:fill="auto"/>
            <w:vAlign w:val="center"/>
          </w:tcPr>
          <w:p w14:paraId="5556D1E0" w14:textId="77777777" w:rsidR="00F925DD" w:rsidRDefault="00F925DD">
            <w:pPr>
              <w:rPr>
                <w:rFonts w:ascii="Times New Roman" w:hAnsi="Times New Roman"/>
                <w:sz w:val="20"/>
                <w:szCs w:val="20"/>
              </w:rPr>
            </w:pPr>
          </w:p>
        </w:tc>
      </w:tr>
      <w:tr w:rsidR="00F925DD" w14:paraId="5556D1E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1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1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1E5"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(1) As of December 31, 2019, we had one loan for $25 million in the commercial and financial segment that was individually evaluated for </w:t>
      </w:r>
      <w:r>
        <w:rPr>
          <w:rFonts w:ascii="Arial" w:eastAsia="宋体" w:hAnsi="Arial" w:cs="Arial"/>
          <w:sz w:val="13"/>
          <w:szCs w:val="13"/>
        </w:rPr>
        <w:t>impairment and deemed to be impaired. We recorded a specific reserve of $1 million on that loan. As of December 31, 2018, we had one loan for $8 million in the commercial and financial segment that was individually evaluated for impairment and deemed to be</w:t>
      </w:r>
      <w:r>
        <w:rPr>
          <w:rFonts w:ascii="Arial" w:eastAsia="宋体" w:hAnsi="Arial" w:cs="Arial"/>
          <w:sz w:val="13"/>
          <w:szCs w:val="13"/>
        </w:rPr>
        <w:t xml:space="preserve"> impaired. We did not record any reserve on this loan, which was subsequently paid in full in January 2019.</w:t>
      </w:r>
    </w:p>
    <w:p w14:paraId="5556D1E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certain circumstances, we restructure troubled loans by granting concessions to borrowers experiencing financial difficulty. Once restructured, t</w:t>
      </w:r>
      <w:r>
        <w:rPr>
          <w:rFonts w:ascii="Arial" w:eastAsia="宋体" w:hAnsi="Arial" w:cs="Arial"/>
          <w:sz w:val="20"/>
          <w:szCs w:val="20"/>
        </w:rPr>
        <w:t>he loans are generally considered impaired until their maturity, regardless of whether the borrowers perform under the modified terms of the loans. There were no loans modified in troubled debt restructurings during the years ended December 31, 2019 and 20</w:t>
      </w:r>
      <w:r>
        <w:rPr>
          <w:rFonts w:ascii="Arial" w:eastAsia="宋体" w:hAnsi="Arial" w:cs="Arial"/>
          <w:sz w:val="20"/>
          <w:szCs w:val="20"/>
        </w:rPr>
        <w:t>18.</w:t>
      </w:r>
    </w:p>
    <w:p w14:paraId="5556D1E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generally place loans on non-accrual status once principal or interest payments are 90 days contractually past due, or earlier if management determines that full collection is not probable. Loans 90 days past due, but considered both </w:t>
      </w:r>
      <w:r>
        <w:rPr>
          <w:rFonts w:ascii="Arial" w:eastAsia="宋体" w:hAnsi="Arial" w:cs="Arial"/>
          <w:sz w:val="20"/>
          <w:szCs w:val="20"/>
        </w:rPr>
        <w:t>well-secured and in the process of collection, may be excluded from non-accrual status. When we place a loan on non-accrual status, the accrual of interest is discontinued and previously recorded but unpaid interest is reversed and generally charged agains</w:t>
      </w:r>
      <w:r>
        <w:rPr>
          <w:rFonts w:ascii="Arial" w:eastAsia="宋体" w:hAnsi="Arial" w:cs="Arial"/>
          <w:sz w:val="20"/>
          <w:szCs w:val="20"/>
        </w:rPr>
        <w:t>t interest income. For loans on non-accrual status, income is recognized on a cash basis after recovery of principal, if and when interest payments are received. Loans may be removed from non-accrual status when repayment is reasonably assured and performa</w:t>
      </w:r>
      <w:r>
        <w:rPr>
          <w:rFonts w:ascii="Arial" w:eastAsia="宋体" w:hAnsi="Arial" w:cs="Arial"/>
          <w:sz w:val="20"/>
          <w:szCs w:val="20"/>
        </w:rPr>
        <w:t>nce under the terms of the loan has been demonstrated. As of December 31, 2019 and December 31, 2018, we had no loans on non-accrual status and no loans 30 days or more contractually past due.</w:t>
      </w:r>
    </w:p>
    <w:p w14:paraId="5556D1E8" w14:textId="77777777" w:rsidR="00F925DD" w:rsidRDefault="00F925DD">
      <w:pPr>
        <w:rPr>
          <w:rFonts w:ascii="Times New Roman" w:hAnsi="Times New Roman"/>
          <w:sz w:val="20"/>
          <w:szCs w:val="20"/>
        </w:rPr>
      </w:pPr>
    </w:p>
    <w:p w14:paraId="5556D1E9"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142</w:t>
      </w:r>
    </w:p>
    <w:p w14:paraId="5556D1EA" w14:textId="77777777" w:rsidR="00F925DD" w:rsidRDefault="00F925DD">
      <w:pPr>
        <w:spacing w:line="288" w:lineRule="auto"/>
        <w:ind w:firstLine="600"/>
        <w:jc w:val="center"/>
        <w:rPr>
          <w:rFonts w:ascii="Times New Roman" w:hAnsi="Times New Roman"/>
          <w:sz w:val="18"/>
          <w:szCs w:val="18"/>
        </w:rPr>
      </w:pPr>
    </w:p>
    <w:p w14:paraId="5556D1EB" w14:textId="77777777" w:rsidR="00F925DD" w:rsidRDefault="00E705D7">
      <w:r>
        <w:rPr>
          <w:rFonts w:ascii="Times New Roman" w:hAnsi="Times New Roman"/>
          <w:sz w:val="18"/>
          <w:szCs w:val="18"/>
        </w:rPr>
        <w:pict w14:anchorId="555706C8">
          <v:rect id="_x0000_i1166" style="width:415.3pt;height:1.5pt" o:hralign="center" o:hrstd="t" o:hr="t" fillcolor="#a0a0a0" stroked="f"/>
        </w:pict>
      </w:r>
    </w:p>
    <w:p w14:paraId="5556D1E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1E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w:t>
      </w:r>
      <w:r>
        <w:rPr>
          <w:rFonts w:ascii="Arial" w:eastAsia="宋体" w:hAnsi="Arial" w:cs="Arial"/>
          <w:b/>
          <w:bCs/>
          <w:sz w:val="20"/>
          <w:szCs w:val="20"/>
        </w:rPr>
        <w:t>ES TO CONSOLIDATED FINANCIAL STATEMENTS</w:t>
      </w:r>
    </w:p>
    <w:p w14:paraId="5556D1EE" w14:textId="77777777" w:rsidR="00F925DD" w:rsidRDefault="00F925DD">
      <w:pPr>
        <w:rPr>
          <w:rFonts w:ascii="Times New Roman" w:hAnsi="Times New Roman"/>
          <w:sz w:val="20"/>
          <w:szCs w:val="20"/>
        </w:rPr>
      </w:pPr>
    </w:p>
    <w:p w14:paraId="5556D1EF"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Allowance For Loan Losses</w:t>
      </w:r>
    </w:p>
    <w:p w14:paraId="5556D1F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allowance for loan losses, recorded as a reduction of loans in our consolidated statement of condition, represents management’s estimate of incurred credit losses in our loan portfolio </w:t>
      </w:r>
      <w:r>
        <w:rPr>
          <w:rFonts w:ascii="Arial" w:eastAsia="宋体" w:hAnsi="Arial" w:cs="Arial"/>
          <w:sz w:val="20"/>
          <w:szCs w:val="20"/>
        </w:rPr>
        <w:t>as of the balance sheet date. The allowance is evaluated on a regular basis by management. Factors considered in evaluating the appropriate level of the allowance for each segment of our loan portfolio include loss experience, the probability of default re</w:t>
      </w:r>
      <w:r>
        <w:rPr>
          <w:rFonts w:ascii="Arial" w:eastAsia="宋体" w:hAnsi="Arial" w:cs="Arial"/>
          <w:sz w:val="20"/>
          <w:szCs w:val="20"/>
        </w:rPr>
        <w:t>flected in our internal risk rating of the counterparty's creditworthiness, current economic conditions and adverse situations that may affect the borrower’s ability to repay, the estimated value of the underlying collateral, if any, the performance of ind</w:t>
      </w:r>
      <w:r>
        <w:rPr>
          <w:rFonts w:ascii="Arial" w:eastAsia="宋体" w:hAnsi="Arial" w:cs="Arial"/>
          <w:sz w:val="20"/>
          <w:szCs w:val="20"/>
        </w:rPr>
        <w:t xml:space="preserve">ividual credits in relation to contract terms, and other relevant factors. </w:t>
      </w:r>
    </w:p>
    <w:p w14:paraId="5556D1F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Loans are charged off to the allowance for loan losses in the reporting period in which either an event occurs that confirms the existence of a loss on a loan, including a sale of </w:t>
      </w:r>
      <w:r>
        <w:rPr>
          <w:rFonts w:ascii="Arial" w:eastAsia="宋体" w:hAnsi="Arial" w:cs="Arial"/>
          <w:sz w:val="20"/>
          <w:szCs w:val="20"/>
        </w:rPr>
        <w:t xml:space="preserve">a loan below its carrying value, or a portion of a loan is determined to be uncollectible. In addition, any impaired loan that is determined to be collateral-dependent is reduced to an amount equal to the fair value of the collateral less costs to sell. A </w:t>
      </w:r>
      <w:r>
        <w:rPr>
          <w:rFonts w:ascii="Arial" w:eastAsia="宋体" w:hAnsi="Arial" w:cs="Arial"/>
          <w:sz w:val="20"/>
          <w:szCs w:val="20"/>
        </w:rPr>
        <w:t xml:space="preserve">loan is identified as collateral-dependent when management determines that it is probable that the underlying collateral will be the sole source of repayment. Recoveries are recorded on a cash basis as adjustments to the allowance. </w:t>
      </w:r>
    </w:p>
    <w:p w14:paraId="5556D1F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w:t>
      </w:r>
      <w:r>
        <w:rPr>
          <w:rFonts w:ascii="Arial" w:eastAsia="宋体" w:hAnsi="Arial" w:cs="Arial"/>
          <w:sz w:val="20"/>
          <w:szCs w:val="20"/>
        </w:rPr>
        <w:t>sents activity in the allowance for loan losses for the periods indicated:</w:t>
      </w:r>
    </w:p>
    <w:tbl>
      <w:tblPr>
        <w:tblW w:w="4990" w:type="pct"/>
        <w:tblCellMar>
          <w:left w:w="0" w:type="dxa"/>
          <w:right w:w="0" w:type="dxa"/>
        </w:tblCellMar>
        <w:tblLook w:val="04A0" w:firstRow="1" w:lastRow="0" w:firstColumn="1" w:lastColumn="0" w:noHBand="0" w:noVBand="1"/>
      </w:tblPr>
      <w:tblGrid>
        <w:gridCol w:w="4621"/>
        <w:gridCol w:w="119"/>
        <w:gridCol w:w="891"/>
        <w:gridCol w:w="88"/>
        <w:gridCol w:w="145"/>
        <w:gridCol w:w="119"/>
        <w:gridCol w:w="892"/>
        <w:gridCol w:w="88"/>
        <w:gridCol w:w="146"/>
        <w:gridCol w:w="118"/>
        <w:gridCol w:w="975"/>
        <w:gridCol w:w="87"/>
      </w:tblGrid>
      <w:tr w:rsidR="00F925DD" w14:paraId="5556D1F4" w14:textId="77777777">
        <w:tc>
          <w:tcPr>
            <w:tcW w:w="0" w:type="auto"/>
            <w:gridSpan w:val="12"/>
            <w:shd w:val="clear" w:color="auto" w:fill="auto"/>
            <w:vAlign w:val="center"/>
          </w:tcPr>
          <w:p w14:paraId="5556D1F3" w14:textId="77777777" w:rsidR="00F925DD" w:rsidRDefault="00F925DD">
            <w:pPr>
              <w:rPr>
                <w:rFonts w:ascii="Times New Roman" w:hAnsi="Times New Roman"/>
                <w:sz w:val="20"/>
                <w:szCs w:val="20"/>
              </w:rPr>
            </w:pPr>
          </w:p>
        </w:tc>
      </w:tr>
      <w:tr w:rsidR="00F925DD" w14:paraId="5556D201" w14:textId="77777777">
        <w:tc>
          <w:tcPr>
            <w:tcW w:w="2800" w:type="pct"/>
            <w:shd w:val="clear" w:color="auto" w:fill="auto"/>
            <w:vAlign w:val="center"/>
          </w:tcPr>
          <w:p w14:paraId="5556D1F5" w14:textId="77777777" w:rsidR="00F925DD" w:rsidRDefault="00F925DD">
            <w:pPr>
              <w:rPr>
                <w:rFonts w:ascii="Times New Roman" w:hAnsi="Times New Roman"/>
                <w:sz w:val="20"/>
                <w:szCs w:val="20"/>
              </w:rPr>
            </w:pPr>
          </w:p>
        </w:tc>
        <w:tc>
          <w:tcPr>
            <w:tcW w:w="50" w:type="pct"/>
            <w:shd w:val="clear" w:color="auto" w:fill="auto"/>
            <w:vAlign w:val="center"/>
          </w:tcPr>
          <w:p w14:paraId="5556D1F6" w14:textId="77777777" w:rsidR="00F925DD" w:rsidRDefault="00F925DD">
            <w:pPr>
              <w:rPr>
                <w:rFonts w:ascii="Times New Roman" w:hAnsi="Times New Roman"/>
                <w:sz w:val="20"/>
                <w:szCs w:val="20"/>
              </w:rPr>
            </w:pPr>
          </w:p>
        </w:tc>
        <w:tc>
          <w:tcPr>
            <w:tcW w:w="550" w:type="pct"/>
            <w:shd w:val="clear" w:color="auto" w:fill="auto"/>
            <w:vAlign w:val="center"/>
          </w:tcPr>
          <w:p w14:paraId="5556D1F7" w14:textId="77777777" w:rsidR="00F925DD" w:rsidRDefault="00F925DD">
            <w:pPr>
              <w:rPr>
                <w:rFonts w:ascii="Times New Roman" w:hAnsi="Times New Roman"/>
                <w:sz w:val="20"/>
                <w:szCs w:val="20"/>
              </w:rPr>
            </w:pPr>
          </w:p>
        </w:tc>
        <w:tc>
          <w:tcPr>
            <w:tcW w:w="50" w:type="pct"/>
            <w:shd w:val="clear" w:color="auto" w:fill="auto"/>
            <w:vAlign w:val="center"/>
          </w:tcPr>
          <w:p w14:paraId="5556D1F8" w14:textId="77777777" w:rsidR="00F925DD" w:rsidRDefault="00F925DD">
            <w:pPr>
              <w:rPr>
                <w:rFonts w:ascii="Times New Roman" w:hAnsi="Times New Roman"/>
                <w:sz w:val="20"/>
                <w:szCs w:val="20"/>
              </w:rPr>
            </w:pPr>
          </w:p>
        </w:tc>
        <w:tc>
          <w:tcPr>
            <w:tcW w:w="100" w:type="pct"/>
            <w:shd w:val="clear" w:color="auto" w:fill="auto"/>
            <w:vAlign w:val="center"/>
          </w:tcPr>
          <w:p w14:paraId="5556D1F9" w14:textId="77777777" w:rsidR="00F925DD" w:rsidRDefault="00F925DD">
            <w:pPr>
              <w:rPr>
                <w:rFonts w:ascii="Times New Roman" w:hAnsi="Times New Roman"/>
                <w:sz w:val="20"/>
                <w:szCs w:val="20"/>
              </w:rPr>
            </w:pPr>
          </w:p>
        </w:tc>
        <w:tc>
          <w:tcPr>
            <w:tcW w:w="50" w:type="pct"/>
            <w:shd w:val="clear" w:color="auto" w:fill="auto"/>
            <w:vAlign w:val="center"/>
          </w:tcPr>
          <w:p w14:paraId="5556D1FA" w14:textId="77777777" w:rsidR="00F925DD" w:rsidRDefault="00F925DD">
            <w:pPr>
              <w:rPr>
                <w:rFonts w:ascii="Times New Roman" w:hAnsi="Times New Roman"/>
                <w:sz w:val="20"/>
                <w:szCs w:val="20"/>
              </w:rPr>
            </w:pPr>
          </w:p>
        </w:tc>
        <w:tc>
          <w:tcPr>
            <w:tcW w:w="550" w:type="pct"/>
            <w:shd w:val="clear" w:color="auto" w:fill="auto"/>
            <w:vAlign w:val="center"/>
          </w:tcPr>
          <w:p w14:paraId="5556D1FB" w14:textId="77777777" w:rsidR="00F925DD" w:rsidRDefault="00F925DD">
            <w:pPr>
              <w:rPr>
                <w:rFonts w:ascii="Times New Roman" w:hAnsi="Times New Roman"/>
                <w:sz w:val="20"/>
                <w:szCs w:val="20"/>
              </w:rPr>
            </w:pPr>
          </w:p>
        </w:tc>
        <w:tc>
          <w:tcPr>
            <w:tcW w:w="50" w:type="pct"/>
            <w:shd w:val="clear" w:color="auto" w:fill="auto"/>
            <w:vAlign w:val="center"/>
          </w:tcPr>
          <w:p w14:paraId="5556D1FC" w14:textId="77777777" w:rsidR="00F925DD" w:rsidRDefault="00F925DD">
            <w:pPr>
              <w:rPr>
                <w:rFonts w:ascii="Times New Roman" w:hAnsi="Times New Roman"/>
                <w:sz w:val="20"/>
                <w:szCs w:val="20"/>
              </w:rPr>
            </w:pPr>
          </w:p>
        </w:tc>
        <w:tc>
          <w:tcPr>
            <w:tcW w:w="100" w:type="pct"/>
            <w:shd w:val="clear" w:color="auto" w:fill="auto"/>
            <w:vAlign w:val="center"/>
          </w:tcPr>
          <w:p w14:paraId="5556D1FD" w14:textId="77777777" w:rsidR="00F925DD" w:rsidRDefault="00F925DD">
            <w:pPr>
              <w:rPr>
                <w:rFonts w:ascii="Times New Roman" w:hAnsi="Times New Roman"/>
                <w:sz w:val="20"/>
                <w:szCs w:val="20"/>
              </w:rPr>
            </w:pPr>
          </w:p>
        </w:tc>
        <w:tc>
          <w:tcPr>
            <w:tcW w:w="50" w:type="pct"/>
            <w:shd w:val="clear" w:color="auto" w:fill="auto"/>
            <w:vAlign w:val="center"/>
          </w:tcPr>
          <w:p w14:paraId="5556D1FE" w14:textId="77777777" w:rsidR="00F925DD" w:rsidRDefault="00F925DD">
            <w:pPr>
              <w:rPr>
                <w:rFonts w:ascii="Times New Roman" w:hAnsi="Times New Roman"/>
                <w:sz w:val="20"/>
                <w:szCs w:val="20"/>
              </w:rPr>
            </w:pPr>
          </w:p>
        </w:tc>
        <w:tc>
          <w:tcPr>
            <w:tcW w:w="600" w:type="pct"/>
            <w:shd w:val="clear" w:color="auto" w:fill="auto"/>
            <w:vAlign w:val="center"/>
          </w:tcPr>
          <w:p w14:paraId="5556D1FF" w14:textId="77777777" w:rsidR="00F925DD" w:rsidRDefault="00F925DD">
            <w:pPr>
              <w:rPr>
                <w:rFonts w:ascii="Times New Roman" w:hAnsi="Times New Roman"/>
                <w:sz w:val="20"/>
                <w:szCs w:val="20"/>
              </w:rPr>
            </w:pPr>
          </w:p>
        </w:tc>
        <w:tc>
          <w:tcPr>
            <w:tcW w:w="50" w:type="pct"/>
            <w:shd w:val="clear" w:color="auto" w:fill="auto"/>
            <w:vAlign w:val="center"/>
          </w:tcPr>
          <w:p w14:paraId="5556D200" w14:textId="77777777" w:rsidR="00F925DD" w:rsidRDefault="00F925DD">
            <w:pPr>
              <w:rPr>
                <w:rFonts w:ascii="Times New Roman" w:hAnsi="Times New Roman"/>
                <w:sz w:val="20"/>
                <w:szCs w:val="20"/>
              </w:rPr>
            </w:pPr>
          </w:p>
        </w:tc>
      </w:tr>
      <w:tr w:rsidR="00F925DD" w14:paraId="5556D204" w14:textId="77777777">
        <w:tc>
          <w:tcPr>
            <w:tcW w:w="0" w:type="auto"/>
            <w:shd w:val="clear" w:color="auto" w:fill="auto"/>
            <w:tcMar>
              <w:top w:w="40" w:type="dxa"/>
              <w:left w:w="40" w:type="dxa"/>
              <w:bottom w:w="40" w:type="dxa"/>
              <w:right w:w="40" w:type="dxa"/>
            </w:tcMar>
            <w:vAlign w:val="bottom"/>
          </w:tcPr>
          <w:p w14:paraId="5556D2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D20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D20B" w14:textId="77777777">
        <w:tc>
          <w:tcPr>
            <w:tcW w:w="0" w:type="auto"/>
            <w:shd w:val="clear" w:color="auto" w:fill="auto"/>
            <w:tcMar>
              <w:top w:w="40" w:type="dxa"/>
              <w:left w:w="40" w:type="dxa"/>
              <w:bottom w:w="40" w:type="dxa"/>
              <w:right w:w="40" w:type="dxa"/>
            </w:tcMar>
            <w:vAlign w:val="bottom"/>
          </w:tcPr>
          <w:p w14:paraId="5556D20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20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D2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20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D2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20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D20D" w14:textId="77777777">
        <w:tc>
          <w:tcPr>
            <w:tcW w:w="0" w:type="auto"/>
            <w:gridSpan w:val="12"/>
            <w:shd w:val="clear" w:color="auto" w:fill="auto"/>
            <w:tcMar>
              <w:top w:w="40" w:type="dxa"/>
              <w:left w:w="40" w:type="dxa"/>
              <w:bottom w:w="40" w:type="dxa"/>
              <w:right w:w="40" w:type="dxa"/>
            </w:tcMar>
            <w:vAlign w:val="bottom"/>
          </w:tcPr>
          <w:p w14:paraId="5556D20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Allowance for loan losses:</w:t>
            </w:r>
          </w:p>
        </w:tc>
      </w:tr>
      <w:tr w:rsidR="00F925DD" w14:paraId="5556D21A" w14:textId="77777777">
        <w:tc>
          <w:tcPr>
            <w:tcW w:w="0" w:type="auto"/>
            <w:shd w:val="clear" w:color="auto" w:fill="CCEEFF"/>
            <w:tcMar>
              <w:top w:w="40" w:type="dxa"/>
              <w:left w:w="40" w:type="dxa"/>
              <w:bottom w:w="40" w:type="dxa"/>
              <w:right w:w="40" w:type="dxa"/>
            </w:tcMar>
            <w:vAlign w:val="bottom"/>
          </w:tcPr>
          <w:p w14:paraId="5556D20E" w14:textId="77777777" w:rsidR="00F925DD" w:rsidRDefault="00E705D7">
            <w:pPr>
              <w:textAlignment w:val="bottom"/>
              <w:rPr>
                <w:rFonts w:ascii="Times New Roman" w:hAnsi="Times New Roman"/>
                <w:sz w:val="14"/>
                <w:szCs w:val="14"/>
              </w:rPr>
            </w:pPr>
            <w:r>
              <w:rPr>
                <w:rFonts w:ascii="Arial" w:eastAsia="宋体" w:hAnsi="Arial" w:cs="Arial"/>
                <w:sz w:val="14"/>
                <w:szCs w:val="14"/>
              </w:rPr>
              <w:t>Beginning balance</w:t>
            </w:r>
          </w:p>
        </w:tc>
        <w:tc>
          <w:tcPr>
            <w:tcW w:w="0" w:type="auto"/>
            <w:shd w:val="clear" w:color="auto" w:fill="CCEEFF"/>
            <w:tcMar>
              <w:top w:w="40" w:type="dxa"/>
              <w:left w:w="40" w:type="dxa"/>
              <w:bottom w:w="40" w:type="dxa"/>
            </w:tcMar>
            <w:vAlign w:val="bottom"/>
          </w:tcPr>
          <w:p w14:paraId="5556D20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D21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67</w:t>
            </w:r>
          </w:p>
        </w:tc>
        <w:tc>
          <w:tcPr>
            <w:tcW w:w="0" w:type="auto"/>
            <w:shd w:val="clear" w:color="auto" w:fill="CCEEFF"/>
            <w:vAlign w:val="bottom"/>
          </w:tcPr>
          <w:p w14:paraId="5556D21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2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21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21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w:t>
            </w:r>
          </w:p>
        </w:tc>
        <w:tc>
          <w:tcPr>
            <w:tcW w:w="0" w:type="auto"/>
            <w:shd w:val="clear" w:color="auto" w:fill="CCEEFF"/>
            <w:vAlign w:val="bottom"/>
          </w:tcPr>
          <w:p w14:paraId="5556D21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2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21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21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53</w:t>
            </w:r>
          </w:p>
        </w:tc>
        <w:tc>
          <w:tcPr>
            <w:tcW w:w="0" w:type="auto"/>
            <w:shd w:val="clear" w:color="auto" w:fill="CCEEFF"/>
            <w:vAlign w:val="bottom"/>
          </w:tcPr>
          <w:p w14:paraId="5556D219" w14:textId="77777777" w:rsidR="00F925DD" w:rsidRDefault="00F925DD">
            <w:pPr>
              <w:textAlignment w:val="bottom"/>
              <w:rPr>
                <w:rFonts w:ascii="Times New Roman" w:hAnsi="Times New Roman"/>
                <w:sz w:val="20"/>
                <w:szCs w:val="20"/>
              </w:rPr>
            </w:pPr>
          </w:p>
        </w:tc>
      </w:tr>
      <w:tr w:rsidR="00F925DD" w14:paraId="5556D224" w14:textId="77777777">
        <w:tc>
          <w:tcPr>
            <w:tcW w:w="0" w:type="auto"/>
            <w:shd w:val="clear" w:color="auto" w:fill="auto"/>
            <w:tcMar>
              <w:top w:w="40" w:type="dxa"/>
              <w:left w:w="40" w:type="dxa"/>
              <w:bottom w:w="40" w:type="dxa"/>
              <w:right w:w="40" w:type="dxa"/>
            </w:tcMar>
            <w:vAlign w:val="bottom"/>
          </w:tcPr>
          <w:p w14:paraId="5556D21B" w14:textId="77777777" w:rsidR="00F925DD" w:rsidRDefault="00E705D7">
            <w:pPr>
              <w:textAlignment w:val="bottom"/>
              <w:rPr>
                <w:rFonts w:ascii="Times New Roman" w:hAnsi="Times New Roman"/>
                <w:sz w:val="14"/>
                <w:szCs w:val="14"/>
              </w:rPr>
            </w:pPr>
            <w:r>
              <w:rPr>
                <w:rFonts w:ascii="Arial" w:eastAsia="宋体" w:hAnsi="Arial" w:cs="Arial"/>
                <w:sz w:val="14"/>
                <w:szCs w:val="14"/>
              </w:rPr>
              <w:t>Provision for loan losses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D21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w:t>
            </w:r>
          </w:p>
        </w:tc>
        <w:tc>
          <w:tcPr>
            <w:tcW w:w="0" w:type="auto"/>
            <w:shd w:val="clear" w:color="auto" w:fill="auto"/>
            <w:vAlign w:val="bottom"/>
          </w:tcPr>
          <w:p w14:paraId="5556D21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21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auto"/>
            <w:vAlign w:val="bottom"/>
          </w:tcPr>
          <w:p w14:paraId="5556D22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22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auto"/>
            <w:vAlign w:val="bottom"/>
          </w:tcPr>
          <w:p w14:paraId="5556D223" w14:textId="77777777" w:rsidR="00F925DD" w:rsidRDefault="00F925DD">
            <w:pPr>
              <w:textAlignment w:val="bottom"/>
              <w:rPr>
                <w:rFonts w:ascii="Times New Roman" w:hAnsi="Times New Roman"/>
                <w:sz w:val="20"/>
                <w:szCs w:val="20"/>
              </w:rPr>
            </w:pPr>
          </w:p>
        </w:tc>
      </w:tr>
      <w:tr w:rsidR="00F925DD" w14:paraId="5556D22E" w14:textId="77777777">
        <w:tc>
          <w:tcPr>
            <w:tcW w:w="0" w:type="auto"/>
            <w:shd w:val="clear" w:color="auto" w:fill="CCEEFF"/>
            <w:tcMar>
              <w:top w:w="40" w:type="dxa"/>
              <w:left w:w="40" w:type="dxa"/>
              <w:bottom w:w="40" w:type="dxa"/>
              <w:right w:w="40" w:type="dxa"/>
            </w:tcMar>
            <w:vAlign w:val="bottom"/>
          </w:tcPr>
          <w:p w14:paraId="5556D225" w14:textId="77777777" w:rsidR="00F925DD" w:rsidRDefault="00E705D7">
            <w:pPr>
              <w:textAlignment w:val="bottom"/>
              <w:rPr>
                <w:rFonts w:ascii="Times New Roman" w:hAnsi="Times New Roman"/>
                <w:sz w:val="14"/>
                <w:szCs w:val="14"/>
              </w:rPr>
            </w:pPr>
            <w:r>
              <w:rPr>
                <w:rFonts w:ascii="Arial" w:eastAsia="宋体" w:hAnsi="Arial" w:cs="Arial"/>
                <w:sz w:val="14"/>
                <w:szCs w:val="14"/>
              </w:rPr>
              <w:t>Charge-offs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5556D22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CCEEFF"/>
            <w:tcMar>
              <w:top w:w="40" w:type="dxa"/>
              <w:bottom w:w="40" w:type="dxa"/>
              <w:right w:w="40" w:type="dxa"/>
            </w:tcMar>
            <w:vAlign w:val="bottom"/>
          </w:tcPr>
          <w:p w14:paraId="5556D22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D2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22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5556D22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2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2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tcMar>
              <w:top w:w="40" w:type="dxa"/>
              <w:bottom w:w="40" w:type="dxa"/>
              <w:right w:w="40" w:type="dxa"/>
            </w:tcMar>
            <w:vAlign w:val="bottom"/>
          </w:tcPr>
          <w:p w14:paraId="5556D22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D23B" w14:textId="77777777">
        <w:tc>
          <w:tcPr>
            <w:tcW w:w="0" w:type="auto"/>
            <w:shd w:val="clear" w:color="auto" w:fill="auto"/>
            <w:tcMar>
              <w:top w:w="40" w:type="dxa"/>
              <w:left w:w="40" w:type="dxa"/>
              <w:bottom w:w="40" w:type="dxa"/>
              <w:right w:w="40" w:type="dxa"/>
            </w:tcMar>
            <w:vAlign w:val="bottom"/>
          </w:tcPr>
          <w:p w14:paraId="5556D22F" w14:textId="77777777" w:rsidR="00F925DD" w:rsidRDefault="00E705D7">
            <w:pPr>
              <w:textAlignment w:val="bottom"/>
              <w:rPr>
                <w:rFonts w:ascii="Times New Roman" w:hAnsi="Times New Roman"/>
                <w:sz w:val="14"/>
                <w:szCs w:val="14"/>
              </w:rPr>
            </w:pPr>
            <w:r>
              <w:rPr>
                <w:rFonts w:ascii="Arial" w:eastAsia="宋体" w:hAnsi="Arial" w:cs="Arial"/>
                <w:sz w:val="14"/>
                <w:szCs w:val="14"/>
              </w:rPr>
              <w:t>Ending balance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23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23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74</w:t>
            </w:r>
          </w:p>
        </w:tc>
        <w:tc>
          <w:tcPr>
            <w:tcW w:w="0" w:type="auto"/>
            <w:tcBorders>
              <w:top w:val="single" w:sz="8" w:space="0" w:color="000000"/>
              <w:bottom w:val="double" w:sz="6" w:space="0" w:color="000000"/>
            </w:tcBorders>
            <w:shd w:val="clear" w:color="auto" w:fill="auto"/>
            <w:vAlign w:val="bottom"/>
          </w:tcPr>
          <w:p w14:paraId="5556D23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33"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23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23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67</w:t>
            </w:r>
          </w:p>
        </w:tc>
        <w:tc>
          <w:tcPr>
            <w:tcW w:w="0" w:type="auto"/>
            <w:tcBorders>
              <w:top w:val="single" w:sz="8" w:space="0" w:color="000000"/>
              <w:bottom w:val="double" w:sz="6" w:space="0" w:color="000000"/>
            </w:tcBorders>
            <w:shd w:val="clear" w:color="auto" w:fill="auto"/>
            <w:vAlign w:val="bottom"/>
          </w:tcPr>
          <w:p w14:paraId="5556D23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37"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23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23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w:t>
            </w:r>
          </w:p>
        </w:tc>
        <w:tc>
          <w:tcPr>
            <w:tcW w:w="0" w:type="auto"/>
            <w:tcBorders>
              <w:top w:val="single" w:sz="8" w:space="0" w:color="000000"/>
              <w:bottom w:val="double" w:sz="6" w:space="0" w:color="000000"/>
            </w:tcBorders>
            <w:shd w:val="clear" w:color="auto" w:fill="auto"/>
            <w:vAlign w:val="bottom"/>
          </w:tcPr>
          <w:p w14:paraId="5556D23A" w14:textId="77777777" w:rsidR="00F925DD" w:rsidRDefault="00F925DD">
            <w:pPr>
              <w:textAlignment w:val="bottom"/>
              <w:rPr>
                <w:rFonts w:ascii="Times New Roman" w:hAnsi="Times New Roman"/>
                <w:sz w:val="20"/>
                <w:szCs w:val="20"/>
              </w:rPr>
            </w:pPr>
          </w:p>
        </w:tc>
      </w:tr>
    </w:tbl>
    <w:p w14:paraId="5556D23C" w14:textId="77777777" w:rsidR="00F925DD" w:rsidRDefault="00F925DD">
      <w:pPr>
        <w:rPr>
          <w:vanish/>
        </w:rPr>
      </w:pPr>
    </w:p>
    <w:tbl>
      <w:tblPr>
        <w:tblW w:w="4990" w:type="pct"/>
        <w:tblCellMar>
          <w:left w:w="0" w:type="dxa"/>
          <w:right w:w="0" w:type="dxa"/>
        </w:tblCellMar>
        <w:tblLook w:val="04A0" w:firstRow="1" w:lastRow="0" w:firstColumn="1" w:lastColumn="0" w:noHBand="0" w:noVBand="1"/>
      </w:tblPr>
      <w:tblGrid>
        <w:gridCol w:w="4808"/>
        <w:gridCol w:w="3481"/>
      </w:tblGrid>
      <w:tr w:rsidR="00F925DD" w14:paraId="5556D23E" w14:textId="77777777">
        <w:tc>
          <w:tcPr>
            <w:tcW w:w="0" w:type="auto"/>
            <w:gridSpan w:val="2"/>
            <w:shd w:val="clear" w:color="auto" w:fill="auto"/>
            <w:vAlign w:val="center"/>
          </w:tcPr>
          <w:p w14:paraId="5556D23D" w14:textId="77777777" w:rsidR="00F925DD" w:rsidRDefault="00F925DD">
            <w:pPr>
              <w:rPr>
                <w:rFonts w:ascii="Times New Roman" w:hAnsi="Times New Roman"/>
                <w:sz w:val="20"/>
                <w:szCs w:val="20"/>
              </w:rPr>
            </w:pPr>
          </w:p>
        </w:tc>
      </w:tr>
      <w:tr w:rsidR="00F925DD" w14:paraId="5556D241" w14:textId="77777777">
        <w:tc>
          <w:tcPr>
            <w:tcW w:w="2900" w:type="pct"/>
            <w:shd w:val="clear" w:color="auto" w:fill="auto"/>
            <w:vAlign w:val="center"/>
          </w:tcPr>
          <w:p w14:paraId="5556D23F" w14:textId="77777777" w:rsidR="00F925DD" w:rsidRDefault="00F925DD">
            <w:pPr>
              <w:rPr>
                <w:rFonts w:ascii="Times New Roman" w:hAnsi="Times New Roman"/>
                <w:sz w:val="20"/>
                <w:szCs w:val="20"/>
              </w:rPr>
            </w:pPr>
          </w:p>
        </w:tc>
        <w:tc>
          <w:tcPr>
            <w:tcW w:w="2100" w:type="pct"/>
            <w:shd w:val="clear" w:color="auto" w:fill="auto"/>
            <w:vAlign w:val="center"/>
          </w:tcPr>
          <w:p w14:paraId="5556D240" w14:textId="77777777" w:rsidR="00F925DD" w:rsidRDefault="00F925DD">
            <w:pPr>
              <w:rPr>
                <w:rFonts w:ascii="Times New Roman" w:hAnsi="Times New Roman"/>
                <w:sz w:val="20"/>
                <w:szCs w:val="20"/>
              </w:rPr>
            </w:pPr>
          </w:p>
        </w:tc>
      </w:tr>
      <w:tr w:rsidR="00F925DD" w14:paraId="5556D24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2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2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245"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(1) The provisions and charge-offs for loans were primarily attributable to exposure to senior secured loans to non-investment grade borrowers, purchased in </w:t>
      </w:r>
      <w:r>
        <w:rPr>
          <w:rFonts w:ascii="Arial" w:eastAsia="宋体" w:hAnsi="Arial" w:cs="Arial"/>
          <w:sz w:val="13"/>
          <w:szCs w:val="13"/>
        </w:rPr>
        <w:t>connection with our loans.</w:t>
      </w:r>
    </w:p>
    <w:p w14:paraId="5556D24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Loans are reviewed on a regular basis, and any provisions for loan losses that are recorded reflect management's estimate of the amount necessary to maintain the allowance for loan losses at a level considered appropriate to abso</w:t>
      </w:r>
      <w:r>
        <w:rPr>
          <w:rFonts w:ascii="Arial" w:eastAsia="宋体" w:hAnsi="Arial" w:cs="Arial"/>
          <w:sz w:val="20"/>
          <w:szCs w:val="20"/>
        </w:rPr>
        <w:t>rb estimated incurred losses in the loan portfolio.</w:t>
      </w:r>
    </w:p>
    <w:p w14:paraId="5556D247"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Off-Balance Sheet Credit Exposures</w:t>
      </w:r>
    </w:p>
    <w:p w14:paraId="5556D24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reserve for off-balance sheet credit exposures, recorded in accrued expenses and other liabilities in our consolidated statement of condition, represents management’</w:t>
      </w:r>
      <w:r>
        <w:rPr>
          <w:rFonts w:ascii="Arial" w:eastAsia="宋体" w:hAnsi="Arial" w:cs="Arial"/>
          <w:sz w:val="20"/>
          <w:szCs w:val="20"/>
        </w:rPr>
        <w:t xml:space="preserve">s estimate of probable credit losses primarily in outstanding letters and lines of credit and other credit-enhancement facilities provided to our clients and outstanding as of the balance sheet date. </w:t>
      </w:r>
    </w:p>
    <w:p w14:paraId="5556D249"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D24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reserve is evaluated on a regular basis by </w:t>
      </w:r>
      <w:r>
        <w:rPr>
          <w:rFonts w:ascii="Arial" w:eastAsia="宋体" w:hAnsi="Arial" w:cs="Arial"/>
          <w:sz w:val="20"/>
          <w:szCs w:val="20"/>
        </w:rPr>
        <w:t>management. Factors considered in evaluating the appropriate level of this reserve are similar to those considered with respect to the allowance for loan losses. Provisions to maintain the reserve at a level considered by us to be appropriate to absorb est</w:t>
      </w:r>
      <w:r>
        <w:rPr>
          <w:rFonts w:ascii="Arial" w:eastAsia="宋体" w:hAnsi="Arial" w:cs="Arial"/>
          <w:sz w:val="20"/>
          <w:szCs w:val="20"/>
        </w:rPr>
        <w:t>imated incurred credit losses in outstanding facilities are recorded in other expenses in our consolidated statement of income.</w:t>
      </w:r>
    </w:p>
    <w:p w14:paraId="5556D24B"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5.    Goodwill and Other Intangible Assets</w:t>
      </w:r>
    </w:p>
    <w:p w14:paraId="5556D24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Goodwill represents the excess of the cost of an acquisition over the fair value</w:t>
      </w:r>
      <w:r>
        <w:rPr>
          <w:rFonts w:ascii="Arial" w:eastAsia="宋体" w:hAnsi="Arial" w:cs="Arial"/>
          <w:sz w:val="20"/>
          <w:szCs w:val="20"/>
        </w:rPr>
        <w:t xml:space="preserve"> of the net tangible and other intangible assets acquired. Other intangible assets represent purchased long-lived intangible assets, primarily client relationships, that can be distinguished from goodwill because of contractual rights or because the asset </w:t>
      </w:r>
      <w:r>
        <w:rPr>
          <w:rFonts w:ascii="Arial" w:eastAsia="宋体" w:hAnsi="Arial" w:cs="Arial"/>
          <w:sz w:val="20"/>
          <w:szCs w:val="20"/>
        </w:rPr>
        <w:t>can be exchanged on its own or in combination with a related contract, asset or liability. Goodwill is not amortized, but is subject to at least annual evaluation for impairment. Other intangible assets, which are also subject to annual evaluation for impa</w:t>
      </w:r>
      <w:r>
        <w:rPr>
          <w:rFonts w:ascii="Arial" w:eastAsia="宋体" w:hAnsi="Arial" w:cs="Arial"/>
          <w:sz w:val="20"/>
          <w:szCs w:val="20"/>
        </w:rPr>
        <w:t>irment, are mainly related to client relationships, which are amortized on a straight-line basis over periods ranging from five to twenty years, technology assets, which are amortized on a straight-line basis over periods ranging from three to ten years, a</w:t>
      </w:r>
      <w:r>
        <w:rPr>
          <w:rFonts w:ascii="Arial" w:eastAsia="宋体" w:hAnsi="Arial" w:cs="Arial"/>
          <w:sz w:val="20"/>
          <w:szCs w:val="20"/>
        </w:rPr>
        <w:t>nd core deposit intangible assets, which are amortized on a straight-line basis over periods ranging from sixteen to twenty-two years, with such amortization recorded in other expenses in our consolidated statement of income.</w:t>
      </w:r>
    </w:p>
    <w:p w14:paraId="5556D24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Impairment of goodwill is deem</w:t>
      </w:r>
      <w:r>
        <w:rPr>
          <w:rFonts w:ascii="Arial" w:eastAsia="宋体" w:hAnsi="Arial" w:cs="Arial"/>
          <w:sz w:val="20"/>
          <w:szCs w:val="20"/>
        </w:rPr>
        <w:t>ed to exist if the carrying value of a reporting unit, including its allocation of goodwill and other intangible assets, exceeds its estimated fair value. Impairment of other intangible assets is deemed to exist if the balance of the other intangible asset</w:t>
      </w:r>
      <w:r>
        <w:rPr>
          <w:rFonts w:ascii="Arial" w:eastAsia="宋体" w:hAnsi="Arial" w:cs="Arial"/>
          <w:sz w:val="20"/>
          <w:szCs w:val="20"/>
        </w:rPr>
        <w:t xml:space="preserve"> exceeds the cumulative expected net cash inflows related to the asset over its remaining estimated useful life. If these reviews determine that goodwill or other intangible assets are impaired, the value of the goodwill or the other intangible asset is wr</w:t>
      </w:r>
      <w:r>
        <w:rPr>
          <w:rFonts w:ascii="Arial" w:eastAsia="宋体" w:hAnsi="Arial" w:cs="Arial"/>
          <w:sz w:val="20"/>
          <w:szCs w:val="20"/>
        </w:rPr>
        <w:t>itten down through a charge to other expenses in our consolidated statement of income. There were no impairments to goodwill or other intangible assets in 2019, 2018 and 2017.</w:t>
      </w:r>
    </w:p>
    <w:p w14:paraId="5556D24E" w14:textId="77777777" w:rsidR="00F925DD" w:rsidRDefault="00F925DD">
      <w:pPr>
        <w:rPr>
          <w:rFonts w:ascii="Times New Roman" w:hAnsi="Times New Roman"/>
          <w:sz w:val="20"/>
          <w:szCs w:val="20"/>
        </w:rPr>
      </w:pPr>
    </w:p>
    <w:p w14:paraId="5556D24F"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143</w:t>
      </w:r>
    </w:p>
    <w:p w14:paraId="5556D250" w14:textId="77777777" w:rsidR="00F925DD" w:rsidRDefault="00F925DD">
      <w:pPr>
        <w:spacing w:line="288" w:lineRule="auto"/>
        <w:ind w:firstLine="600"/>
        <w:jc w:val="center"/>
        <w:rPr>
          <w:rFonts w:ascii="Times New Roman" w:hAnsi="Times New Roman"/>
          <w:sz w:val="18"/>
          <w:szCs w:val="18"/>
        </w:rPr>
      </w:pPr>
    </w:p>
    <w:p w14:paraId="5556D251" w14:textId="77777777" w:rsidR="00F925DD" w:rsidRDefault="00E705D7">
      <w:r>
        <w:rPr>
          <w:rFonts w:ascii="Times New Roman" w:hAnsi="Times New Roman"/>
          <w:sz w:val="18"/>
          <w:szCs w:val="18"/>
        </w:rPr>
        <w:pict w14:anchorId="555706C9">
          <v:rect id="_x0000_i1167" style="width:415.3pt;height:1.5pt" o:hralign="center" o:hrstd="t" o:hr="t" fillcolor="#a0a0a0" stroked="f"/>
        </w:pict>
      </w:r>
    </w:p>
    <w:p w14:paraId="5556D252"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25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w:t>
      </w:r>
      <w:r>
        <w:rPr>
          <w:rFonts w:ascii="Arial" w:eastAsia="宋体" w:hAnsi="Arial" w:cs="Arial"/>
          <w:b/>
          <w:bCs/>
          <w:sz w:val="20"/>
          <w:szCs w:val="20"/>
        </w:rPr>
        <w:t>D FINANCIAL STATEMENTS</w:t>
      </w:r>
    </w:p>
    <w:p w14:paraId="5556D254" w14:textId="77777777" w:rsidR="00F925DD" w:rsidRDefault="00F925DD">
      <w:pPr>
        <w:rPr>
          <w:rFonts w:ascii="Times New Roman" w:hAnsi="Times New Roman"/>
          <w:sz w:val="20"/>
          <w:szCs w:val="20"/>
        </w:rPr>
      </w:pPr>
    </w:p>
    <w:p w14:paraId="5556D25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changes in the carrying amount of goodwill during the periods indicated:</w:t>
      </w:r>
    </w:p>
    <w:tbl>
      <w:tblPr>
        <w:tblW w:w="5000" w:type="pct"/>
        <w:tblCellMar>
          <w:left w:w="0" w:type="dxa"/>
          <w:right w:w="0" w:type="dxa"/>
        </w:tblCellMar>
        <w:tblLook w:val="04A0" w:firstRow="1" w:lastRow="0" w:firstColumn="1" w:lastColumn="0" w:noHBand="0" w:noVBand="1"/>
      </w:tblPr>
      <w:tblGrid>
        <w:gridCol w:w="2550"/>
        <w:gridCol w:w="125"/>
        <w:gridCol w:w="1554"/>
        <w:gridCol w:w="90"/>
        <w:gridCol w:w="142"/>
        <w:gridCol w:w="125"/>
        <w:gridCol w:w="1720"/>
        <w:gridCol w:w="90"/>
        <w:gridCol w:w="142"/>
        <w:gridCol w:w="124"/>
        <w:gridCol w:w="1554"/>
        <w:gridCol w:w="90"/>
      </w:tblGrid>
      <w:tr w:rsidR="00F925DD" w14:paraId="5556D257" w14:textId="77777777">
        <w:tc>
          <w:tcPr>
            <w:tcW w:w="0" w:type="auto"/>
            <w:gridSpan w:val="12"/>
            <w:shd w:val="clear" w:color="auto" w:fill="auto"/>
            <w:vAlign w:val="center"/>
          </w:tcPr>
          <w:p w14:paraId="5556D256" w14:textId="77777777" w:rsidR="00F925DD" w:rsidRDefault="00F925DD">
            <w:pPr>
              <w:rPr>
                <w:rFonts w:ascii="Times New Roman" w:hAnsi="Times New Roman"/>
                <w:sz w:val="20"/>
                <w:szCs w:val="20"/>
              </w:rPr>
            </w:pPr>
          </w:p>
        </w:tc>
      </w:tr>
      <w:tr w:rsidR="00F925DD" w14:paraId="5556D264" w14:textId="77777777">
        <w:tc>
          <w:tcPr>
            <w:tcW w:w="1550" w:type="pct"/>
            <w:shd w:val="clear" w:color="auto" w:fill="auto"/>
            <w:vAlign w:val="center"/>
          </w:tcPr>
          <w:p w14:paraId="5556D258" w14:textId="77777777" w:rsidR="00F925DD" w:rsidRDefault="00F925DD">
            <w:pPr>
              <w:rPr>
                <w:rFonts w:ascii="Times New Roman" w:hAnsi="Times New Roman"/>
                <w:sz w:val="20"/>
                <w:szCs w:val="20"/>
              </w:rPr>
            </w:pPr>
          </w:p>
        </w:tc>
        <w:tc>
          <w:tcPr>
            <w:tcW w:w="50" w:type="pct"/>
            <w:shd w:val="clear" w:color="auto" w:fill="auto"/>
            <w:vAlign w:val="center"/>
          </w:tcPr>
          <w:p w14:paraId="5556D259" w14:textId="77777777" w:rsidR="00F925DD" w:rsidRDefault="00F925DD">
            <w:pPr>
              <w:rPr>
                <w:rFonts w:ascii="Times New Roman" w:hAnsi="Times New Roman"/>
                <w:sz w:val="20"/>
                <w:szCs w:val="20"/>
              </w:rPr>
            </w:pPr>
          </w:p>
        </w:tc>
        <w:tc>
          <w:tcPr>
            <w:tcW w:w="950" w:type="pct"/>
            <w:shd w:val="clear" w:color="auto" w:fill="auto"/>
            <w:vAlign w:val="center"/>
          </w:tcPr>
          <w:p w14:paraId="5556D25A" w14:textId="77777777" w:rsidR="00F925DD" w:rsidRDefault="00F925DD">
            <w:pPr>
              <w:rPr>
                <w:rFonts w:ascii="Times New Roman" w:hAnsi="Times New Roman"/>
                <w:sz w:val="20"/>
                <w:szCs w:val="20"/>
              </w:rPr>
            </w:pPr>
          </w:p>
        </w:tc>
        <w:tc>
          <w:tcPr>
            <w:tcW w:w="50" w:type="pct"/>
            <w:shd w:val="clear" w:color="auto" w:fill="auto"/>
            <w:vAlign w:val="center"/>
          </w:tcPr>
          <w:p w14:paraId="5556D25B" w14:textId="77777777" w:rsidR="00F925DD" w:rsidRDefault="00F925DD">
            <w:pPr>
              <w:rPr>
                <w:rFonts w:ascii="Times New Roman" w:hAnsi="Times New Roman"/>
                <w:sz w:val="20"/>
                <w:szCs w:val="20"/>
              </w:rPr>
            </w:pPr>
          </w:p>
        </w:tc>
        <w:tc>
          <w:tcPr>
            <w:tcW w:w="100" w:type="pct"/>
            <w:shd w:val="clear" w:color="auto" w:fill="auto"/>
            <w:vAlign w:val="center"/>
          </w:tcPr>
          <w:p w14:paraId="5556D25C" w14:textId="77777777" w:rsidR="00F925DD" w:rsidRDefault="00F925DD">
            <w:pPr>
              <w:rPr>
                <w:rFonts w:ascii="Times New Roman" w:hAnsi="Times New Roman"/>
                <w:sz w:val="20"/>
                <w:szCs w:val="20"/>
              </w:rPr>
            </w:pPr>
          </w:p>
        </w:tc>
        <w:tc>
          <w:tcPr>
            <w:tcW w:w="50" w:type="pct"/>
            <w:shd w:val="clear" w:color="auto" w:fill="auto"/>
            <w:vAlign w:val="center"/>
          </w:tcPr>
          <w:p w14:paraId="5556D25D" w14:textId="77777777" w:rsidR="00F925DD" w:rsidRDefault="00F925DD">
            <w:pPr>
              <w:rPr>
                <w:rFonts w:ascii="Times New Roman" w:hAnsi="Times New Roman"/>
                <w:sz w:val="20"/>
                <w:szCs w:val="20"/>
              </w:rPr>
            </w:pPr>
          </w:p>
        </w:tc>
        <w:tc>
          <w:tcPr>
            <w:tcW w:w="1050" w:type="pct"/>
            <w:shd w:val="clear" w:color="auto" w:fill="auto"/>
            <w:vAlign w:val="center"/>
          </w:tcPr>
          <w:p w14:paraId="5556D25E" w14:textId="77777777" w:rsidR="00F925DD" w:rsidRDefault="00F925DD">
            <w:pPr>
              <w:rPr>
                <w:rFonts w:ascii="Times New Roman" w:hAnsi="Times New Roman"/>
                <w:sz w:val="20"/>
                <w:szCs w:val="20"/>
              </w:rPr>
            </w:pPr>
          </w:p>
        </w:tc>
        <w:tc>
          <w:tcPr>
            <w:tcW w:w="50" w:type="pct"/>
            <w:shd w:val="clear" w:color="auto" w:fill="auto"/>
            <w:vAlign w:val="center"/>
          </w:tcPr>
          <w:p w14:paraId="5556D25F" w14:textId="77777777" w:rsidR="00F925DD" w:rsidRDefault="00F925DD">
            <w:pPr>
              <w:rPr>
                <w:rFonts w:ascii="Times New Roman" w:hAnsi="Times New Roman"/>
                <w:sz w:val="20"/>
                <w:szCs w:val="20"/>
              </w:rPr>
            </w:pPr>
          </w:p>
        </w:tc>
        <w:tc>
          <w:tcPr>
            <w:tcW w:w="100" w:type="pct"/>
            <w:shd w:val="clear" w:color="auto" w:fill="auto"/>
            <w:vAlign w:val="center"/>
          </w:tcPr>
          <w:p w14:paraId="5556D260" w14:textId="77777777" w:rsidR="00F925DD" w:rsidRDefault="00F925DD">
            <w:pPr>
              <w:rPr>
                <w:rFonts w:ascii="Times New Roman" w:hAnsi="Times New Roman"/>
                <w:sz w:val="20"/>
                <w:szCs w:val="20"/>
              </w:rPr>
            </w:pPr>
          </w:p>
        </w:tc>
        <w:tc>
          <w:tcPr>
            <w:tcW w:w="50" w:type="pct"/>
            <w:shd w:val="clear" w:color="auto" w:fill="auto"/>
            <w:vAlign w:val="center"/>
          </w:tcPr>
          <w:p w14:paraId="5556D261" w14:textId="77777777" w:rsidR="00F925DD" w:rsidRDefault="00F925DD">
            <w:pPr>
              <w:rPr>
                <w:rFonts w:ascii="Times New Roman" w:hAnsi="Times New Roman"/>
                <w:sz w:val="20"/>
                <w:szCs w:val="20"/>
              </w:rPr>
            </w:pPr>
          </w:p>
        </w:tc>
        <w:tc>
          <w:tcPr>
            <w:tcW w:w="950" w:type="pct"/>
            <w:shd w:val="clear" w:color="auto" w:fill="auto"/>
            <w:vAlign w:val="center"/>
          </w:tcPr>
          <w:p w14:paraId="5556D262" w14:textId="77777777" w:rsidR="00F925DD" w:rsidRDefault="00F925DD">
            <w:pPr>
              <w:rPr>
                <w:rFonts w:ascii="Times New Roman" w:hAnsi="Times New Roman"/>
                <w:sz w:val="20"/>
                <w:szCs w:val="20"/>
              </w:rPr>
            </w:pPr>
          </w:p>
        </w:tc>
        <w:tc>
          <w:tcPr>
            <w:tcW w:w="50" w:type="pct"/>
            <w:shd w:val="clear" w:color="auto" w:fill="auto"/>
            <w:vAlign w:val="center"/>
          </w:tcPr>
          <w:p w14:paraId="5556D263" w14:textId="77777777" w:rsidR="00F925DD" w:rsidRDefault="00F925DD">
            <w:pPr>
              <w:rPr>
                <w:rFonts w:ascii="Times New Roman" w:hAnsi="Times New Roman"/>
                <w:sz w:val="20"/>
                <w:szCs w:val="20"/>
              </w:rPr>
            </w:pPr>
          </w:p>
        </w:tc>
      </w:tr>
      <w:tr w:rsidR="00F925DD" w14:paraId="5556D26D" w14:textId="77777777">
        <w:tc>
          <w:tcPr>
            <w:tcW w:w="0" w:type="auto"/>
            <w:shd w:val="clear" w:color="auto" w:fill="auto"/>
            <w:tcMar>
              <w:top w:w="40" w:type="dxa"/>
              <w:left w:w="40" w:type="dxa"/>
              <w:bottom w:w="40" w:type="dxa"/>
              <w:right w:w="40" w:type="dxa"/>
            </w:tcMar>
            <w:vAlign w:val="bottom"/>
          </w:tcPr>
          <w:p w14:paraId="5556D26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26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Investment</w:t>
            </w:r>
          </w:p>
          <w:p w14:paraId="5556D26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Servicing(1)</w:t>
            </w:r>
          </w:p>
        </w:tc>
        <w:tc>
          <w:tcPr>
            <w:tcW w:w="0" w:type="auto"/>
            <w:shd w:val="clear" w:color="auto" w:fill="auto"/>
            <w:tcMar>
              <w:top w:w="40" w:type="dxa"/>
              <w:left w:w="40" w:type="dxa"/>
              <w:bottom w:w="40" w:type="dxa"/>
              <w:right w:w="40" w:type="dxa"/>
            </w:tcMar>
            <w:vAlign w:val="bottom"/>
          </w:tcPr>
          <w:p w14:paraId="5556D2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26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Investment</w:t>
            </w:r>
          </w:p>
          <w:p w14:paraId="5556D26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Management</w:t>
            </w:r>
          </w:p>
        </w:tc>
        <w:tc>
          <w:tcPr>
            <w:tcW w:w="0" w:type="auto"/>
            <w:shd w:val="clear" w:color="auto" w:fill="auto"/>
            <w:tcMar>
              <w:top w:w="40" w:type="dxa"/>
              <w:left w:w="40" w:type="dxa"/>
              <w:bottom w:w="40" w:type="dxa"/>
              <w:right w:w="40" w:type="dxa"/>
            </w:tcMar>
            <w:vAlign w:val="bottom"/>
          </w:tcPr>
          <w:p w14:paraId="5556D2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26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r>
      <w:tr w:rsidR="00F925DD" w14:paraId="5556D274" w14:textId="77777777">
        <w:tc>
          <w:tcPr>
            <w:tcW w:w="0" w:type="auto"/>
            <w:shd w:val="clear" w:color="auto" w:fill="auto"/>
            <w:tcMar>
              <w:top w:w="40" w:type="dxa"/>
              <w:left w:w="40" w:type="dxa"/>
              <w:bottom w:w="40" w:type="dxa"/>
              <w:right w:w="40" w:type="dxa"/>
            </w:tcMar>
            <w:vAlign w:val="bottom"/>
          </w:tcPr>
          <w:p w14:paraId="5556D26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Goodwill:</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D2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2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D2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2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2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281" w14:textId="77777777">
        <w:tc>
          <w:tcPr>
            <w:tcW w:w="0" w:type="auto"/>
            <w:shd w:val="clear" w:color="auto" w:fill="CCEEFF"/>
            <w:tcMar>
              <w:top w:w="40" w:type="dxa"/>
              <w:left w:w="40" w:type="dxa"/>
              <w:bottom w:w="40" w:type="dxa"/>
              <w:right w:w="40" w:type="dxa"/>
            </w:tcMar>
            <w:vAlign w:val="bottom"/>
          </w:tcPr>
          <w:p w14:paraId="5556D27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 xml:space="preserve">Ending balance </w:t>
            </w:r>
            <w:r>
              <w:rPr>
                <w:rFonts w:ascii="Arial" w:eastAsia="宋体" w:hAnsi="Arial" w:cs="Arial"/>
                <w:b/>
                <w:bCs/>
                <w:sz w:val="15"/>
                <w:szCs w:val="15"/>
              </w:rPr>
              <w:t>December 31, 2017</w:t>
            </w:r>
          </w:p>
        </w:tc>
        <w:tc>
          <w:tcPr>
            <w:tcW w:w="0" w:type="auto"/>
            <w:shd w:val="clear" w:color="auto" w:fill="CCEEFF"/>
            <w:tcMar>
              <w:top w:w="40" w:type="dxa"/>
              <w:left w:w="40" w:type="dxa"/>
              <w:bottom w:w="40" w:type="dxa"/>
            </w:tcMar>
            <w:vAlign w:val="bottom"/>
          </w:tcPr>
          <w:p w14:paraId="5556D27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27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5,752</w:t>
            </w:r>
          </w:p>
        </w:tc>
        <w:tc>
          <w:tcPr>
            <w:tcW w:w="0" w:type="auto"/>
            <w:shd w:val="clear" w:color="auto" w:fill="CCEEFF"/>
            <w:vAlign w:val="bottom"/>
          </w:tcPr>
          <w:p w14:paraId="5556D27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2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27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27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270</w:t>
            </w:r>
          </w:p>
        </w:tc>
        <w:tc>
          <w:tcPr>
            <w:tcW w:w="0" w:type="auto"/>
            <w:shd w:val="clear" w:color="auto" w:fill="CCEEFF"/>
            <w:vAlign w:val="bottom"/>
          </w:tcPr>
          <w:p w14:paraId="5556D27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2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27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27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6,022</w:t>
            </w:r>
          </w:p>
        </w:tc>
        <w:tc>
          <w:tcPr>
            <w:tcW w:w="0" w:type="auto"/>
            <w:shd w:val="clear" w:color="auto" w:fill="CCEEFF"/>
            <w:vAlign w:val="bottom"/>
          </w:tcPr>
          <w:p w14:paraId="5556D280" w14:textId="77777777" w:rsidR="00F925DD" w:rsidRDefault="00F925DD">
            <w:pPr>
              <w:textAlignment w:val="bottom"/>
              <w:rPr>
                <w:rFonts w:ascii="Times New Roman" w:hAnsi="Times New Roman"/>
                <w:sz w:val="20"/>
                <w:szCs w:val="20"/>
              </w:rPr>
            </w:pPr>
          </w:p>
        </w:tc>
      </w:tr>
      <w:tr w:rsidR="00F925DD" w14:paraId="5556D28B" w14:textId="77777777">
        <w:tc>
          <w:tcPr>
            <w:tcW w:w="0" w:type="auto"/>
            <w:shd w:val="clear" w:color="auto" w:fill="auto"/>
            <w:tcMar>
              <w:top w:w="40" w:type="dxa"/>
              <w:left w:w="40" w:type="dxa"/>
              <w:bottom w:w="40" w:type="dxa"/>
              <w:right w:w="40" w:type="dxa"/>
            </w:tcMar>
            <w:vAlign w:val="bottom"/>
          </w:tcPr>
          <w:p w14:paraId="5556D282" w14:textId="77777777" w:rsidR="00F925DD" w:rsidRDefault="00E705D7">
            <w:pPr>
              <w:textAlignment w:val="bottom"/>
              <w:rPr>
                <w:rFonts w:ascii="Times New Roman" w:hAnsi="Times New Roman"/>
                <w:sz w:val="15"/>
                <w:szCs w:val="15"/>
              </w:rPr>
            </w:pPr>
            <w:r>
              <w:rPr>
                <w:rFonts w:ascii="Arial" w:eastAsia="宋体" w:hAnsi="Arial" w:cs="Arial"/>
                <w:sz w:val="15"/>
                <w:szCs w:val="15"/>
              </w:rPr>
              <w:t>Acquisitions(1)</w:t>
            </w:r>
          </w:p>
        </w:tc>
        <w:tc>
          <w:tcPr>
            <w:tcW w:w="0" w:type="auto"/>
            <w:gridSpan w:val="2"/>
            <w:shd w:val="clear" w:color="auto" w:fill="auto"/>
            <w:tcMar>
              <w:top w:w="40" w:type="dxa"/>
              <w:left w:w="40" w:type="dxa"/>
              <w:bottom w:w="40" w:type="dxa"/>
            </w:tcMar>
            <w:vAlign w:val="bottom"/>
          </w:tcPr>
          <w:p w14:paraId="5556D28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1,512</w:t>
            </w:r>
          </w:p>
        </w:tc>
        <w:tc>
          <w:tcPr>
            <w:tcW w:w="0" w:type="auto"/>
            <w:shd w:val="clear" w:color="auto" w:fill="auto"/>
            <w:vAlign w:val="bottom"/>
          </w:tcPr>
          <w:p w14:paraId="5556D28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28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D28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28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1,512</w:t>
            </w:r>
          </w:p>
        </w:tc>
        <w:tc>
          <w:tcPr>
            <w:tcW w:w="0" w:type="auto"/>
            <w:shd w:val="clear" w:color="auto" w:fill="auto"/>
            <w:vAlign w:val="bottom"/>
          </w:tcPr>
          <w:p w14:paraId="5556D28A" w14:textId="77777777" w:rsidR="00F925DD" w:rsidRDefault="00F925DD">
            <w:pPr>
              <w:textAlignment w:val="bottom"/>
              <w:rPr>
                <w:rFonts w:ascii="Times New Roman" w:hAnsi="Times New Roman"/>
                <w:sz w:val="20"/>
                <w:szCs w:val="20"/>
              </w:rPr>
            </w:pPr>
          </w:p>
        </w:tc>
      </w:tr>
      <w:tr w:rsidR="00F925DD" w14:paraId="5556D295" w14:textId="77777777">
        <w:tc>
          <w:tcPr>
            <w:tcW w:w="0" w:type="auto"/>
            <w:shd w:val="clear" w:color="auto" w:fill="CCEEFF"/>
            <w:tcMar>
              <w:top w:w="40" w:type="dxa"/>
              <w:left w:w="40" w:type="dxa"/>
              <w:bottom w:w="40" w:type="dxa"/>
              <w:right w:w="40" w:type="dxa"/>
            </w:tcMar>
            <w:vAlign w:val="bottom"/>
          </w:tcPr>
          <w:p w14:paraId="5556D28C"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currency translation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28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(84</w:t>
            </w:r>
          </w:p>
        </w:tc>
        <w:tc>
          <w:tcPr>
            <w:tcW w:w="0" w:type="auto"/>
            <w:tcBorders>
              <w:bottom w:val="single" w:sz="8" w:space="0" w:color="000000"/>
            </w:tcBorders>
            <w:shd w:val="clear" w:color="auto" w:fill="CCEEFF"/>
            <w:tcMar>
              <w:top w:w="40" w:type="dxa"/>
              <w:bottom w:w="40" w:type="dxa"/>
              <w:right w:w="40" w:type="dxa"/>
            </w:tcMar>
            <w:vAlign w:val="bottom"/>
          </w:tcPr>
          <w:p w14:paraId="5556D28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2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29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w:t>
            </w:r>
          </w:p>
        </w:tc>
        <w:tc>
          <w:tcPr>
            <w:tcW w:w="0" w:type="auto"/>
            <w:tcBorders>
              <w:bottom w:val="single" w:sz="8" w:space="0" w:color="000000"/>
            </w:tcBorders>
            <w:shd w:val="clear" w:color="auto" w:fill="CCEEFF"/>
            <w:tcMar>
              <w:top w:w="40" w:type="dxa"/>
              <w:bottom w:w="40" w:type="dxa"/>
              <w:right w:w="40" w:type="dxa"/>
            </w:tcMar>
            <w:vAlign w:val="bottom"/>
          </w:tcPr>
          <w:p w14:paraId="5556D29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2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29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(88</w:t>
            </w:r>
          </w:p>
        </w:tc>
        <w:tc>
          <w:tcPr>
            <w:tcW w:w="0" w:type="auto"/>
            <w:tcBorders>
              <w:bottom w:val="single" w:sz="8" w:space="0" w:color="000000"/>
            </w:tcBorders>
            <w:shd w:val="clear" w:color="auto" w:fill="CCEEFF"/>
            <w:tcMar>
              <w:top w:w="40" w:type="dxa"/>
              <w:bottom w:w="40" w:type="dxa"/>
              <w:right w:w="40" w:type="dxa"/>
            </w:tcMar>
            <w:vAlign w:val="bottom"/>
          </w:tcPr>
          <w:p w14:paraId="5556D29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D29F" w14:textId="77777777">
        <w:tc>
          <w:tcPr>
            <w:tcW w:w="0" w:type="auto"/>
            <w:shd w:val="clear" w:color="auto" w:fill="auto"/>
            <w:tcMar>
              <w:top w:w="40" w:type="dxa"/>
              <w:left w:w="40" w:type="dxa"/>
              <w:bottom w:w="40" w:type="dxa"/>
              <w:right w:w="40" w:type="dxa"/>
            </w:tcMar>
            <w:vAlign w:val="bottom"/>
          </w:tcPr>
          <w:p w14:paraId="5556D29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Ending balance December 31, 2018</w:t>
            </w:r>
          </w:p>
        </w:tc>
        <w:tc>
          <w:tcPr>
            <w:tcW w:w="0" w:type="auto"/>
            <w:gridSpan w:val="2"/>
            <w:shd w:val="clear" w:color="auto" w:fill="auto"/>
            <w:tcMar>
              <w:top w:w="40" w:type="dxa"/>
              <w:left w:w="40" w:type="dxa"/>
              <w:bottom w:w="40" w:type="dxa"/>
            </w:tcMar>
            <w:vAlign w:val="bottom"/>
          </w:tcPr>
          <w:p w14:paraId="5556D29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7,180</w:t>
            </w:r>
          </w:p>
        </w:tc>
        <w:tc>
          <w:tcPr>
            <w:tcW w:w="0" w:type="auto"/>
            <w:shd w:val="clear" w:color="auto" w:fill="auto"/>
            <w:vAlign w:val="bottom"/>
          </w:tcPr>
          <w:p w14:paraId="5556D29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29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266</w:t>
            </w:r>
          </w:p>
        </w:tc>
        <w:tc>
          <w:tcPr>
            <w:tcW w:w="0" w:type="auto"/>
            <w:shd w:val="clear" w:color="auto" w:fill="auto"/>
            <w:vAlign w:val="bottom"/>
          </w:tcPr>
          <w:p w14:paraId="5556D2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29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7,446</w:t>
            </w:r>
          </w:p>
        </w:tc>
        <w:tc>
          <w:tcPr>
            <w:tcW w:w="0" w:type="auto"/>
            <w:shd w:val="clear" w:color="auto" w:fill="auto"/>
            <w:vAlign w:val="bottom"/>
          </w:tcPr>
          <w:p w14:paraId="5556D29E" w14:textId="77777777" w:rsidR="00F925DD" w:rsidRDefault="00F925DD">
            <w:pPr>
              <w:textAlignment w:val="bottom"/>
              <w:rPr>
                <w:rFonts w:ascii="Times New Roman" w:hAnsi="Times New Roman"/>
                <w:sz w:val="20"/>
                <w:szCs w:val="20"/>
              </w:rPr>
            </w:pPr>
          </w:p>
        </w:tc>
      </w:tr>
      <w:tr w:rsidR="00F925DD" w14:paraId="5556D2A9" w14:textId="77777777">
        <w:tc>
          <w:tcPr>
            <w:tcW w:w="0" w:type="auto"/>
            <w:shd w:val="clear" w:color="auto" w:fill="CCEEFF"/>
            <w:tcMar>
              <w:top w:w="40" w:type="dxa"/>
              <w:left w:w="40" w:type="dxa"/>
              <w:bottom w:w="40" w:type="dxa"/>
              <w:right w:w="40" w:type="dxa"/>
            </w:tcMar>
            <w:vAlign w:val="bottom"/>
          </w:tcPr>
          <w:p w14:paraId="5556D2A0" w14:textId="77777777" w:rsidR="00F925DD" w:rsidRDefault="00E705D7">
            <w:pPr>
              <w:textAlignment w:val="bottom"/>
              <w:rPr>
                <w:rFonts w:ascii="Times New Roman" w:hAnsi="Times New Roman"/>
                <w:sz w:val="15"/>
                <w:szCs w:val="15"/>
              </w:rPr>
            </w:pPr>
            <w:r>
              <w:rPr>
                <w:rFonts w:ascii="Arial" w:eastAsia="宋体" w:hAnsi="Arial" w:cs="Arial"/>
                <w:sz w:val="15"/>
                <w:szCs w:val="15"/>
              </w:rPr>
              <w:t>Acquisitions(2)</w:t>
            </w:r>
          </w:p>
        </w:tc>
        <w:tc>
          <w:tcPr>
            <w:tcW w:w="0" w:type="auto"/>
            <w:gridSpan w:val="2"/>
            <w:shd w:val="clear" w:color="auto" w:fill="CCEEFF"/>
            <w:tcMar>
              <w:top w:w="40" w:type="dxa"/>
              <w:left w:w="40" w:type="dxa"/>
              <w:bottom w:w="40" w:type="dxa"/>
            </w:tcMar>
            <w:vAlign w:val="bottom"/>
          </w:tcPr>
          <w:p w14:paraId="5556D2A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122</w:t>
            </w:r>
          </w:p>
        </w:tc>
        <w:tc>
          <w:tcPr>
            <w:tcW w:w="0" w:type="auto"/>
            <w:shd w:val="clear" w:color="auto" w:fill="CCEEFF"/>
            <w:vAlign w:val="bottom"/>
          </w:tcPr>
          <w:p w14:paraId="5556D2A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2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2A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D2A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2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2A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122</w:t>
            </w:r>
          </w:p>
        </w:tc>
        <w:tc>
          <w:tcPr>
            <w:tcW w:w="0" w:type="auto"/>
            <w:shd w:val="clear" w:color="auto" w:fill="CCEEFF"/>
            <w:vAlign w:val="bottom"/>
          </w:tcPr>
          <w:p w14:paraId="5556D2A8" w14:textId="77777777" w:rsidR="00F925DD" w:rsidRDefault="00F925DD">
            <w:pPr>
              <w:textAlignment w:val="bottom"/>
              <w:rPr>
                <w:rFonts w:ascii="Times New Roman" w:hAnsi="Times New Roman"/>
                <w:sz w:val="20"/>
                <w:szCs w:val="20"/>
              </w:rPr>
            </w:pPr>
          </w:p>
        </w:tc>
      </w:tr>
      <w:tr w:rsidR="00F925DD" w14:paraId="5556D2B3" w14:textId="77777777">
        <w:tc>
          <w:tcPr>
            <w:tcW w:w="0" w:type="auto"/>
            <w:shd w:val="clear" w:color="auto" w:fill="auto"/>
            <w:tcMar>
              <w:top w:w="40" w:type="dxa"/>
              <w:left w:w="40" w:type="dxa"/>
              <w:bottom w:w="40" w:type="dxa"/>
              <w:right w:w="40" w:type="dxa"/>
            </w:tcMar>
            <w:vAlign w:val="bottom"/>
          </w:tcPr>
          <w:p w14:paraId="5556D2AA"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Foreign currency </w:t>
            </w:r>
            <w:r>
              <w:rPr>
                <w:rFonts w:ascii="Arial" w:eastAsia="宋体" w:hAnsi="Arial" w:cs="Arial"/>
                <w:sz w:val="15"/>
                <w:szCs w:val="15"/>
              </w:rPr>
              <w:t>translation</w:t>
            </w:r>
          </w:p>
        </w:tc>
        <w:tc>
          <w:tcPr>
            <w:tcW w:w="0" w:type="auto"/>
            <w:gridSpan w:val="2"/>
            <w:shd w:val="clear" w:color="auto" w:fill="auto"/>
            <w:tcMar>
              <w:top w:w="40" w:type="dxa"/>
              <w:left w:w="40" w:type="dxa"/>
              <w:bottom w:w="40" w:type="dxa"/>
            </w:tcMar>
            <w:vAlign w:val="bottom"/>
          </w:tcPr>
          <w:p w14:paraId="5556D2A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w:t>
            </w:r>
          </w:p>
        </w:tc>
        <w:tc>
          <w:tcPr>
            <w:tcW w:w="0" w:type="auto"/>
            <w:shd w:val="clear" w:color="auto" w:fill="auto"/>
            <w:tcMar>
              <w:top w:w="40" w:type="dxa"/>
              <w:bottom w:w="40" w:type="dxa"/>
              <w:right w:w="40" w:type="dxa"/>
            </w:tcMar>
            <w:vAlign w:val="bottom"/>
          </w:tcPr>
          <w:p w14:paraId="5556D2A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2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2A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w:t>
            </w:r>
          </w:p>
        </w:tc>
        <w:tc>
          <w:tcPr>
            <w:tcW w:w="0" w:type="auto"/>
            <w:shd w:val="clear" w:color="auto" w:fill="auto"/>
            <w:vAlign w:val="bottom"/>
          </w:tcPr>
          <w:p w14:paraId="5556D2A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2B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w:t>
            </w:r>
          </w:p>
        </w:tc>
        <w:tc>
          <w:tcPr>
            <w:tcW w:w="0" w:type="auto"/>
            <w:shd w:val="clear" w:color="auto" w:fill="auto"/>
            <w:tcMar>
              <w:top w:w="40" w:type="dxa"/>
              <w:bottom w:w="40" w:type="dxa"/>
              <w:right w:w="40" w:type="dxa"/>
            </w:tcMar>
            <w:vAlign w:val="bottom"/>
          </w:tcPr>
          <w:p w14:paraId="5556D2B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D2C0" w14:textId="77777777">
        <w:tc>
          <w:tcPr>
            <w:tcW w:w="0" w:type="auto"/>
            <w:shd w:val="clear" w:color="auto" w:fill="CCEEFF"/>
            <w:tcMar>
              <w:top w:w="40" w:type="dxa"/>
              <w:left w:w="40" w:type="dxa"/>
              <w:bottom w:w="40" w:type="dxa"/>
              <w:right w:w="40" w:type="dxa"/>
            </w:tcMar>
            <w:vAlign w:val="bottom"/>
          </w:tcPr>
          <w:p w14:paraId="5556D2B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Ending balance December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2B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2B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7,289</w:t>
            </w:r>
          </w:p>
        </w:tc>
        <w:tc>
          <w:tcPr>
            <w:tcW w:w="0" w:type="auto"/>
            <w:tcBorders>
              <w:top w:val="single" w:sz="8" w:space="0" w:color="000000"/>
              <w:bottom w:val="double" w:sz="6" w:space="0" w:color="000000"/>
            </w:tcBorders>
            <w:shd w:val="clear" w:color="auto" w:fill="CCEEFF"/>
            <w:vAlign w:val="bottom"/>
          </w:tcPr>
          <w:p w14:paraId="5556D2B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2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2B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2B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267</w:t>
            </w:r>
          </w:p>
        </w:tc>
        <w:tc>
          <w:tcPr>
            <w:tcW w:w="0" w:type="auto"/>
            <w:tcBorders>
              <w:top w:val="single" w:sz="8" w:space="0" w:color="000000"/>
              <w:bottom w:val="double" w:sz="6" w:space="0" w:color="000000"/>
            </w:tcBorders>
            <w:shd w:val="clear" w:color="auto" w:fill="CCEEFF"/>
            <w:vAlign w:val="bottom"/>
          </w:tcPr>
          <w:p w14:paraId="5556D2B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2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2B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2B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7,556</w:t>
            </w:r>
          </w:p>
        </w:tc>
        <w:tc>
          <w:tcPr>
            <w:tcW w:w="0" w:type="auto"/>
            <w:tcBorders>
              <w:top w:val="single" w:sz="8" w:space="0" w:color="000000"/>
              <w:bottom w:val="double" w:sz="6" w:space="0" w:color="000000"/>
            </w:tcBorders>
            <w:shd w:val="clear" w:color="auto" w:fill="CCEEFF"/>
            <w:vAlign w:val="bottom"/>
          </w:tcPr>
          <w:p w14:paraId="5556D2BF" w14:textId="77777777" w:rsidR="00F925DD" w:rsidRDefault="00F925DD">
            <w:pPr>
              <w:textAlignment w:val="bottom"/>
              <w:rPr>
                <w:rFonts w:ascii="Times New Roman" w:hAnsi="Times New Roman"/>
                <w:sz w:val="20"/>
                <w:szCs w:val="20"/>
              </w:rPr>
            </w:pPr>
          </w:p>
        </w:tc>
      </w:tr>
    </w:tbl>
    <w:p w14:paraId="5556D2C1"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4901"/>
        <w:gridCol w:w="3405"/>
      </w:tblGrid>
      <w:tr w:rsidR="00F925DD" w14:paraId="5556D2C3" w14:textId="77777777">
        <w:tc>
          <w:tcPr>
            <w:tcW w:w="0" w:type="auto"/>
            <w:gridSpan w:val="2"/>
            <w:shd w:val="clear" w:color="auto" w:fill="auto"/>
            <w:vAlign w:val="center"/>
          </w:tcPr>
          <w:p w14:paraId="5556D2C2" w14:textId="77777777" w:rsidR="00F925DD" w:rsidRDefault="00F925DD">
            <w:pPr>
              <w:rPr>
                <w:rFonts w:ascii="Times New Roman" w:hAnsi="Times New Roman"/>
                <w:sz w:val="20"/>
                <w:szCs w:val="20"/>
              </w:rPr>
            </w:pPr>
          </w:p>
        </w:tc>
      </w:tr>
      <w:tr w:rsidR="00F925DD" w14:paraId="5556D2C6" w14:textId="77777777">
        <w:tc>
          <w:tcPr>
            <w:tcW w:w="2950" w:type="pct"/>
            <w:shd w:val="clear" w:color="auto" w:fill="auto"/>
            <w:vAlign w:val="center"/>
          </w:tcPr>
          <w:p w14:paraId="5556D2C4" w14:textId="77777777" w:rsidR="00F925DD" w:rsidRDefault="00F925DD">
            <w:pPr>
              <w:rPr>
                <w:rFonts w:ascii="Times New Roman" w:hAnsi="Times New Roman"/>
                <w:sz w:val="20"/>
                <w:szCs w:val="20"/>
              </w:rPr>
            </w:pPr>
          </w:p>
        </w:tc>
        <w:tc>
          <w:tcPr>
            <w:tcW w:w="2050" w:type="pct"/>
            <w:shd w:val="clear" w:color="auto" w:fill="auto"/>
            <w:vAlign w:val="center"/>
          </w:tcPr>
          <w:p w14:paraId="5556D2C5" w14:textId="77777777" w:rsidR="00F925DD" w:rsidRDefault="00F925DD">
            <w:pPr>
              <w:rPr>
                <w:rFonts w:ascii="Times New Roman" w:hAnsi="Times New Roman"/>
                <w:sz w:val="20"/>
                <w:szCs w:val="20"/>
              </w:rPr>
            </w:pPr>
          </w:p>
        </w:tc>
      </w:tr>
      <w:tr w:rsidR="00F925DD" w14:paraId="5556D2C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2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2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2CA"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Investment Servicing includes our acquisition of CRD. </w:t>
      </w:r>
    </w:p>
    <w:p w14:paraId="5556D2CB"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 xml:space="preserve">We have completed the purchase price accounting for the CRD acquisition as of </w:t>
      </w:r>
      <w:r>
        <w:rPr>
          <w:rFonts w:ascii="Arial" w:eastAsia="宋体" w:hAnsi="Arial" w:cs="Arial"/>
          <w:sz w:val="14"/>
          <w:szCs w:val="14"/>
        </w:rPr>
        <w:t>March 31, 2019. Upon completion of valuation procedures related to the acquired assets and assumed liabilities, primarily the identifiable intangible assets, we recorded measurement period adjustments in the year ended December 31, 2019, resulting in an in</w:t>
      </w:r>
      <w:r>
        <w:rPr>
          <w:rFonts w:ascii="Arial" w:eastAsia="宋体" w:hAnsi="Arial" w:cs="Arial"/>
          <w:sz w:val="14"/>
          <w:szCs w:val="14"/>
        </w:rPr>
        <w:t>crease in the goodwill of $113 million and a decrease of $93 million in other intangible assets.</w:t>
      </w:r>
    </w:p>
    <w:p w14:paraId="5556D2C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changes in the net carrying amount of other intangible assets during the periods indicated:</w:t>
      </w:r>
    </w:p>
    <w:tbl>
      <w:tblPr>
        <w:tblW w:w="5000" w:type="pct"/>
        <w:tblCellMar>
          <w:left w:w="0" w:type="dxa"/>
          <w:right w:w="0" w:type="dxa"/>
        </w:tblCellMar>
        <w:tblLook w:val="04A0" w:firstRow="1" w:lastRow="0" w:firstColumn="1" w:lastColumn="0" w:noHBand="0" w:noVBand="1"/>
      </w:tblPr>
      <w:tblGrid>
        <w:gridCol w:w="2550"/>
        <w:gridCol w:w="125"/>
        <w:gridCol w:w="1554"/>
        <w:gridCol w:w="90"/>
        <w:gridCol w:w="142"/>
        <w:gridCol w:w="125"/>
        <w:gridCol w:w="1720"/>
        <w:gridCol w:w="90"/>
        <w:gridCol w:w="142"/>
        <w:gridCol w:w="124"/>
        <w:gridCol w:w="1554"/>
        <w:gridCol w:w="90"/>
      </w:tblGrid>
      <w:tr w:rsidR="00F925DD" w14:paraId="5556D2CE" w14:textId="77777777">
        <w:tc>
          <w:tcPr>
            <w:tcW w:w="0" w:type="auto"/>
            <w:gridSpan w:val="12"/>
            <w:shd w:val="clear" w:color="auto" w:fill="auto"/>
            <w:vAlign w:val="center"/>
          </w:tcPr>
          <w:p w14:paraId="5556D2CD" w14:textId="77777777" w:rsidR="00F925DD" w:rsidRDefault="00F925DD">
            <w:pPr>
              <w:rPr>
                <w:rFonts w:ascii="Times New Roman" w:hAnsi="Times New Roman"/>
                <w:sz w:val="20"/>
                <w:szCs w:val="20"/>
              </w:rPr>
            </w:pPr>
          </w:p>
        </w:tc>
      </w:tr>
      <w:tr w:rsidR="00F925DD" w14:paraId="5556D2DB" w14:textId="77777777">
        <w:tc>
          <w:tcPr>
            <w:tcW w:w="1550" w:type="pct"/>
            <w:shd w:val="clear" w:color="auto" w:fill="auto"/>
            <w:vAlign w:val="center"/>
          </w:tcPr>
          <w:p w14:paraId="5556D2CF" w14:textId="77777777" w:rsidR="00F925DD" w:rsidRDefault="00F925DD">
            <w:pPr>
              <w:rPr>
                <w:rFonts w:ascii="Times New Roman" w:hAnsi="Times New Roman"/>
                <w:sz w:val="20"/>
                <w:szCs w:val="20"/>
              </w:rPr>
            </w:pPr>
          </w:p>
        </w:tc>
        <w:tc>
          <w:tcPr>
            <w:tcW w:w="50" w:type="pct"/>
            <w:shd w:val="clear" w:color="auto" w:fill="auto"/>
            <w:vAlign w:val="center"/>
          </w:tcPr>
          <w:p w14:paraId="5556D2D0" w14:textId="77777777" w:rsidR="00F925DD" w:rsidRDefault="00F925DD">
            <w:pPr>
              <w:rPr>
                <w:rFonts w:ascii="Times New Roman" w:hAnsi="Times New Roman"/>
                <w:sz w:val="20"/>
                <w:szCs w:val="20"/>
              </w:rPr>
            </w:pPr>
          </w:p>
        </w:tc>
        <w:tc>
          <w:tcPr>
            <w:tcW w:w="950" w:type="pct"/>
            <w:shd w:val="clear" w:color="auto" w:fill="auto"/>
            <w:vAlign w:val="center"/>
          </w:tcPr>
          <w:p w14:paraId="5556D2D1" w14:textId="77777777" w:rsidR="00F925DD" w:rsidRDefault="00F925DD">
            <w:pPr>
              <w:rPr>
                <w:rFonts w:ascii="Times New Roman" w:hAnsi="Times New Roman"/>
                <w:sz w:val="20"/>
                <w:szCs w:val="20"/>
              </w:rPr>
            </w:pPr>
          </w:p>
        </w:tc>
        <w:tc>
          <w:tcPr>
            <w:tcW w:w="50" w:type="pct"/>
            <w:shd w:val="clear" w:color="auto" w:fill="auto"/>
            <w:vAlign w:val="center"/>
          </w:tcPr>
          <w:p w14:paraId="5556D2D2" w14:textId="77777777" w:rsidR="00F925DD" w:rsidRDefault="00F925DD">
            <w:pPr>
              <w:rPr>
                <w:rFonts w:ascii="Times New Roman" w:hAnsi="Times New Roman"/>
                <w:sz w:val="20"/>
                <w:szCs w:val="20"/>
              </w:rPr>
            </w:pPr>
          </w:p>
        </w:tc>
        <w:tc>
          <w:tcPr>
            <w:tcW w:w="100" w:type="pct"/>
            <w:shd w:val="clear" w:color="auto" w:fill="auto"/>
            <w:vAlign w:val="center"/>
          </w:tcPr>
          <w:p w14:paraId="5556D2D3" w14:textId="77777777" w:rsidR="00F925DD" w:rsidRDefault="00F925DD">
            <w:pPr>
              <w:rPr>
                <w:rFonts w:ascii="Times New Roman" w:hAnsi="Times New Roman"/>
                <w:sz w:val="20"/>
                <w:szCs w:val="20"/>
              </w:rPr>
            </w:pPr>
          </w:p>
        </w:tc>
        <w:tc>
          <w:tcPr>
            <w:tcW w:w="50" w:type="pct"/>
            <w:shd w:val="clear" w:color="auto" w:fill="auto"/>
            <w:vAlign w:val="center"/>
          </w:tcPr>
          <w:p w14:paraId="5556D2D4" w14:textId="77777777" w:rsidR="00F925DD" w:rsidRDefault="00F925DD">
            <w:pPr>
              <w:rPr>
                <w:rFonts w:ascii="Times New Roman" w:hAnsi="Times New Roman"/>
                <w:sz w:val="20"/>
                <w:szCs w:val="20"/>
              </w:rPr>
            </w:pPr>
          </w:p>
        </w:tc>
        <w:tc>
          <w:tcPr>
            <w:tcW w:w="1050" w:type="pct"/>
            <w:shd w:val="clear" w:color="auto" w:fill="auto"/>
            <w:vAlign w:val="center"/>
          </w:tcPr>
          <w:p w14:paraId="5556D2D5" w14:textId="77777777" w:rsidR="00F925DD" w:rsidRDefault="00F925DD">
            <w:pPr>
              <w:rPr>
                <w:rFonts w:ascii="Times New Roman" w:hAnsi="Times New Roman"/>
                <w:sz w:val="20"/>
                <w:szCs w:val="20"/>
              </w:rPr>
            </w:pPr>
          </w:p>
        </w:tc>
        <w:tc>
          <w:tcPr>
            <w:tcW w:w="50" w:type="pct"/>
            <w:shd w:val="clear" w:color="auto" w:fill="auto"/>
            <w:vAlign w:val="center"/>
          </w:tcPr>
          <w:p w14:paraId="5556D2D6" w14:textId="77777777" w:rsidR="00F925DD" w:rsidRDefault="00F925DD">
            <w:pPr>
              <w:rPr>
                <w:rFonts w:ascii="Times New Roman" w:hAnsi="Times New Roman"/>
                <w:sz w:val="20"/>
                <w:szCs w:val="20"/>
              </w:rPr>
            </w:pPr>
          </w:p>
        </w:tc>
        <w:tc>
          <w:tcPr>
            <w:tcW w:w="100" w:type="pct"/>
            <w:shd w:val="clear" w:color="auto" w:fill="auto"/>
            <w:vAlign w:val="center"/>
          </w:tcPr>
          <w:p w14:paraId="5556D2D7" w14:textId="77777777" w:rsidR="00F925DD" w:rsidRDefault="00F925DD">
            <w:pPr>
              <w:rPr>
                <w:rFonts w:ascii="Times New Roman" w:hAnsi="Times New Roman"/>
                <w:sz w:val="20"/>
                <w:szCs w:val="20"/>
              </w:rPr>
            </w:pPr>
          </w:p>
        </w:tc>
        <w:tc>
          <w:tcPr>
            <w:tcW w:w="50" w:type="pct"/>
            <w:shd w:val="clear" w:color="auto" w:fill="auto"/>
            <w:vAlign w:val="center"/>
          </w:tcPr>
          <w:p w14:paraId="5556D2D8" w14:textId="77777777" w:rsidR="00F925DD" w:rsidRDefault="00F925DD">
            <w:pPr>
              <w:rPr>
                <w:rFonts w:ascii="Times New Roman" w:hAnsi="Times New Roman"/>
                <w:sz w:val="20"/>
                <w:szCs w:val="20"/>
              </w:rPr>
            </w:pPr>
          </w:p>
        </w:tc>
        <w:tc>
          <w:tcPr>
            <w:tcW w:w="950" w:type="pct"/>
            <w:shd w:val="clear" w:color="auto" w:fill="auto"/>
            <w:vAlign w:val="center"/>
          </w:tcPr>
          <w:p w14:paraId="5556D2D9" w14:textId="77777777" w:rsidR="00F925DD" w:rsidRDefault="00F925DD">
            <w:pPr>
              <w:rPr>
                <w:rFonts w:ascii="Times New Roman" w:hAnsi="Times New Roman"/>
                <w:sz w:val="20"/>
                <w:szCs w:val="20"/>
              </w:rPr>
            </w:pPr>
          </w:p>
        </w:tc>
        <w:tc>
          <w:tcPr>
            <w:tcW w:w="50" w:type="pct"/>
            <w:shd w:val="clear" w:color="auto" w:fill="auto"/>
            <w:vAlign w:val="center"/>
          </w:tcPr>
          <w:p w14:paraId="5556D2DA" w14:textId="77777777" w:rsidR="00F925DD" w:rsidRDefault="00F925DD">
            <w:pPr>
              <w:rPr>
                <w:rFonts w:ascii="Times New Roman" w:hAnsi="Times New Roman"/>
                <w:sz w:val="20"/>
                <w:szCs w:val="20"/>
              </w:rPr>
            </w:pPr>
          </w:p>
        </w:tc>
      </w:tr>
      <w:tr w:rsidR="00F925DD" w14:paraId="5556D2E4" w14:textId="77777777">
        <w:tc>
          <w:tcPr>
            <w:tcW w:w="0" w:type="auto"/>
            <w:shd w:val="clear" w:color="auto" w:fill="auto"/>
            <w:tcMar>
              <w:top w:w="40" w:type="dxa"/>
              <w:left w:w="40" w:type="dxa"/>
              <w:bottom w:w="40" w:type="dxa"/>
              <w:right w:w="40" w:type="dxa"/>
            </w:tcMar>
            <w:vAlign w:val="bottom"/>
          </w:tcPr>
          <w:p w14:paraId="5556D2D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2D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Investment</w:t>
            </w:r>
          </w:p>
          <w:p w14:paraId="5556D2D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Servicing(1)</w:t>
            </w:r>
          </w:p>
        </w:tc>
        <w:tc>
          <w:tcPr>
            <w:tcW w:w="0" w:type="auto"/>
            <w:shd w:val="clear" w:color="auto" w:fill="auto"/>
            <w:tcMar>
              <w:top w:w="40" w:type="dxa"/>
              <w:left w:w="40" w:type="dxa"/>
              <w:bottom w:w="40" w:type="dxa"/>
              <w:right w:w="40" w:type="dxa"/>
            </w:tcMar>
            <w:vAlign w:val="bottom"/>
          </w:tcPr>
          <w:p w14:paraId="5556D2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2E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Investment</w:t>
            </w:r>
          </w:p>
          <w:p w14:paraId="5556D2E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Management</w:t>
            </w:r>
          </w:p>
        </w:tc>
        <w:tc>
          <w:tcPr>
            <w:tcW w:w="0" w:type="auto"/>
            <w:shd w:val="clear" w:color="auto" w:fill="auto"/>
            <w:tcMar>
              <w:top w:w="40" w:type="dxa"/>
              <w:left w:w="40" w:type="dxa"/>
              <w:bottom w:w="40" w:type="dxa"/>
              <w:right w:w="40" w:type="dxa"/>
            </w:tcMar>
            <w:vAlign w:val="bottom"/>
          </w:tcPr>
          <w:p w14:paraId="5556D2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2E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r>
      <w:tr w:rsidR="00F925DD" w14:paraId="5556D2EB" w14:textId="77777777">
        <w:tc>
          <w:tcPr>
            <w:tcW w:w="0" w:type="auto"/>
            <w:shd w:val="clear" w:color="auto" w:fill="auto"/>
            <w:tcMar>
              <w:top w:w="40" w:type="dxa"/>
              <w:left w:w="40" w:type="dxa"/>
              <w:bottom w:w="40" w:type="dxa"/>
              <w:right w:w="40" w:type="dxa"/>
            </w:tcMar>
            <w:vAlign w:val="bottom"/>
          </w:tcPr>
          <w:p w14:paraId="5556D2E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Other intangible assets: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D2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2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D2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2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2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2F8" w14:textId="77777777">
        <w:tc>
          <w:tcPr>
            <w:tcW w:w="0" w:type="auto"/>
            <w:shd w:val="clear" w:color="auto" w:fill="CCEEFF"/>
            <w:tcMar>
              <w:top w:w="40" w:type="dxa"/>
              <w:left w:w="40" w:type="dxa"/>
              <w:bottom w:w="40" w:type="dxa"/>
              <w:right w:w="40" w:type="dxa"/>
            </w:tcMar>
            <w:vAlign w:val="bottom"/>
          </w:tcPr>
          <w:p w14:paraId="5556D2E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Ending balance December 31, 2017</w:t>
            </w:r>
          </w:p>
        </w:tc>
        <w:tc>
          <w:tcPr>
            <w:tcW w:w="0" w:type="auto"/>
            <w:shd w:val="clear" w:color="auto" w:fill="CCEEFF"/>
            <w:tcMar>
              <w:top w:w="40" w:type="dxa"/>
              <w:left w:w="40" w:type="dxa"/>
              <w:bottom w:w="40" w:type="dxa"/>
            </w:tcMar>
            <w:vAlign w:val="bottom"/>
          </w:tcPr>
          <w:p w14:paraId="5556D2E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2E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1,432</w:t>
            </w:r>
          </w:p>
        </w:tc>
        <w:tc>
          <w:tcPr>
            <w:tcW w:w="0" w:type="auto"/>
            <w:shd w:val="clear" w:color="auto" w:fill="CCEEFF"/>
            <w:vAlign w:val="bottom"/>
          </w:tcPr>
          <w:p w14:paraId="5556D2E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2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2F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2F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181</w:t>
            </w:r>
          </w:p>
        </w:tc>
        <w:tc>
          <w:tcPr>
            <w:tcW w:w="0" w:type="auto"/>
            <w:shd w:val="clear" w:color="auto" w:fill="CCEEFF"/>
            <w:vAlign w:val="bottom"/>
          </w:tcPr>
          <w:p w14:paraId="5556D2F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2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2F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2F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1,613</w:t>
            </w:r>
          </w:p>
        </w:tc>
        <w:tc>
          <w:tcPr>
            <w:tcW w:w="0" w:type="auto"/>
            <w:shd w:val="clear" w:color="auto" w:fill="CCEEFF"/>
            <w:vAlign w:val="bottom"/>
          </w:tcPr>
          <w:p w14:paraId="5556D2F7" w14:textId="77777777" w:rsidR="00F925DD" w:rsidRDefault="00F925DD">
            <w:pPr>
              <w:textAlignment w:val="bottom"/>
              <w:rPr>
                <w:rFonts w:ascii="Times New Roman" w:hAnsi="Times New Roman"/>
                <w:sz w:val="20"/>
                <w:szCs w:val="20"/>
              </w:rPr>
            </w:pPr>
          </w:p>
        </w:tc>
      </w:tr>
      <w:tr w:rsidR="00F925DD" w14:paraId="5556D302" w14:textId="77777777">
        <w:tc>
          <w:tcPr>
            <w:tcW w:w="0" w:type="auto"/>
            <w:shd w:val="clear" w:color="auto" w:fill="auto"/>
            <w:tcMar>
              <w:top w:w="40" w:type="dxa"/>
              <w:left w:w="40" w:type="dxa"/>
              <w:bottom w:w="40" w:type="dxa"/>
              <w:right w:w="40" w:type="dxa"/>
            </w:tcMar>
            <w:vAlign w:val="bottom"/>
          </w:tcPr>
          <w:p w14:paraId="5556D2F9" w14:textId="77777777" w:rsidR="00F925DD" w:rsidRDefault="00E705D7">
            <w:pPr>
              <w:textAlignment w:val="bottom"/>
              <w:rPr>
                <w:rFonts w:ascii="Times New Roman" w:hAnsi="Times New Roman"/>
                <w:sz w:val="15"/>
                <w:szCs w:val="15"/>
              </w:rPr>
            </w:pPr>
            <w:r>
              <w:rPr>
                <w:rFonts w:ascii="Arial" w:eastAsia="宋体" w:hAnsi="Arial" w:cs="Arial"/>
                <w:sz w:val="15"/>
                <w:szCs w:val="15"/>
              </w:rPr>
              <w:t>Acquisitions(1)</w:t>
            </w:r>
          </w:p>
        </w:tc>
        <w:tc>
          <w:tcPr>
            <w:tcW w:w="0" w:type="auto"/>
            <w:gridSpan w:val="2"/>
            <w:shd w:val="clear" w:color="auto" w:fill="auto"/>
            <w:tcMar>
              <w:top w:w="40" w:type="dxa"/>
              <w:left w:w="40" w:type="dxa"/>
              <w:bottom w:w="40" w:type="dxa"/>
            </w:tcMar>
            <w:vAlign w:val="bottom"/>
          </w:tcPr>
          <w:p w14:paraId="5556D2F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1,007</w:t>
            </w:r>
          </w:p>
        </w:tc>
        <w:tc>
          <w:tcPr>
            <w:tcW w:w="0" w:type="auto"/>
            <w:shd w:val="clear" w:color="auto" w:fill="auto"/>
            <w:vAlign w:val="bottom"/>
          </w:tcPr>
          <w:p w14:paraId="5556D2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2F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D2F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2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0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1,007</w:t>
            </w:r>
          </w:p>
        </w:tc>
        <w:tc>
          <w:tcPr>
            <w:tcW w:w="0" w:type="auto"/>
            <w:shd w:val="clear" w:color="auto" w:fill="auto"/>
            <w:vAlign w:val="bottom"/>
          </w:tcPr>
          <w:p w14:paraId="5556D301" w14:textId="77777777" w:rsidR="00F925DD" w:rsidRDefault="00F925DD">
            <w:pPr>
              <w:textAlignment w:val="bottom"/>
              <w:rPr>
                <w:rFonts w:ascii="Times New Roman" w:hAnsi="Times New Roman"/>
                <w:sz w:val="20"/>
                <w:szCs w:val="20"/>
              </w:rPr>
            </w:pPr>
          </w:p>
        </w:tc>
      </w:tr>
      <w:tr w:rsidR="00F925DD" w14:paraId="5556D30C" w14:textId="77777777">
        <w:tc>
          <w:tcPr>
            <w:tcW w:w="0" w:type="auto"/>
            <w:shd w:val="clear" w:color="auto" w:fill="CCEEFF"/>
            <w:tcMar>
              <w:top w:w="40" w:type="dxa"/>
              <w:left w:w="40" w:type="dxa"/>
              <w:bottom w:w="40" w:type="dxa"/>
              <w:right w:w="40" w:type="dxa"/>
            </w:tcMar>
            <w:vAlign w:val="bottom"/>
          </w:tcPr>
          <w:p w14:paraId="5556D303" w14:textId="77777777" w:rsidR="00F925DD" w:rsidRDefault="00E705D7">
            <w:pPr>
              <w:textAlignment w:val="bottom"/>
              <w:rPr>
                <w:rFonts w:ascii="Times New Roman" w:hAnsi="Times New Roman"/>
                <w:sz w:val="15"/>
                <w:szCs w:val="15"/>
              </w:rPr>
            </w:pPr>
            <w:r>
              <w:rPr>
                <w:rFonts w:ascii="Arial" w:eastAsia="宋体" w:hAnsi="Arial" w:cs="Arial"/>
                <w:sz w:val="15"/>
                <w:szCs w:val="15"/>
              </w:rPr>
              <w:t>Amortization</w:t>
            </w:r>
          </w:p>
        </w:tc>
        <w:tc>
          <w:tcPr>
            <w:tcW w:w="0" w:type="auto"/>
            <w:gridSpan w:val="2"/>
            <w:shd w:val="clear" w:color="auto" w:fill="CCEEFF"/>
            <w:tcMar>
              <w:top w:w="40" w:type="dxa"/>
              <w:left w:w="40" w:type="dxa"/>
              <w:bottom w:w="40" w:type="dxa"/>
            </w:tcMar>
            <w:vAlign w:val="bottom"/>
          </w:tcPr>
          <w:p w14:paraId="5556D30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(196</w:t>
            </w:r>
          </w:p>
        </w:tc>
        <w:tc>
          <w:tcPr>
            <w:tcW w:w="0" w:type="auto"/>
            <w:shd w:val="clear" w:color="auto" w:fill="CCEEFF"/>
            <w:tcMar>
              <w:top w:w="40" w:type="dxa"/>
              <w:bottom w:w="40" w:type="dxa"/>
              <w:right w:w="40" w:type="dxa"/>
            </w:tcMar>
            <w:vAlign w:val="bottom"/>
          </w:tcPr>
          <w:p w14:paraId="5556D30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3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30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w:t>
            </w:r>
          </w:p>
        </w:tc>
        <w:tc>
          <w:tcPr>
            <w:tcW w:w="0" w:type="auto"/>
            <w:shd w:val="clear" w:color="auto" w:fill="CCEEFF"/>
            <w:tcMar>
              <w:top w:w="40" w:type="dxa"/>
              <w:bottom w:w="40" w:type="dxa"/>
              <w:right w:w="40" w:type="dxa"/>
            </w:tcMar>
            <w:vAlign w:val="bottom"/>
          </w:tcPr>
          <w:p w14:paraId="5556D30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3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30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(226</w:t>
            </w:r>
          </w:p>
        </w:tc>
        <w:tc>
          <w:tcPr>
            <w:tcW w:w="0" w:type="auto"/>
            <w:shd w:val="clear" w:color="auto" w:fill="CCEEFF"/>
            <w:tcMar>
              <w:top w:w="40" w:type="dxa"/>
              <w:bottom w:w="40" w:type="dxa"/>
              <w:right w:w="40" w:type="dxa"/>
            </w:tcMar>
            <w:vAlign w:val="bottom"/>
          </w:tcPr>
          <w:p w14:paraId="5556D30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D316" w14:textId="77777777">
        <w:tc>
          <w:tcPr>
            <w:tcW w:w="0" w:type="auto"/>
            <w:shd w:val="clear" w:color="auto" w:fill="auto"/>
            <w:tcMar>
              <w:top w:w="40" w:type="dxa"/>
              <w:left w:w="40" w:type="dxa"/>
              <w:bottom w:w="40" w:type="dxa"/>
              <w:right w:w="40" w:type="dxa"/>
            </w:tcMar>
            <w:vAlign w:val="bottom"/>
          </w:tcPr>
          <w:p w14:paraId="5556D30D"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Foreign currency </w:t>
            </w:r>
            <w:r>
              <w:rPr>
                <w:rFonts w:ascii="Arial" w:eastAsia="宋体" w:hAnsi="Arial" w:cs="Arial"/>
                <w:sz w:val="15"/>
                <w:szCs w:val="15"/>
              </w:rPr>
              <w:t>translation</w:t>
            </w:r>
          </w:p>
        </w:tc>
        <w:tc>
          <w:tcPr>
            <w:tcW w:w="0" w:type="auto"/>
            <w:gridSpan w:val="2"/>
            <w:tcBorders>
              <w:bottom w:val="single" w:sz="8" w:space="0" w:color="000000"/>
            </w:tcBorders>
            <w:shd w:val="clear" w:color="auto" w:fill="auto"/>
            <w:tcMar>
              <w:top w:w="40" w:type="dxa"/>
              <w:left w:w="40" w:type="dxa"/>
              <w:bottom w:w="40" w:type="dxa"/>
            </w:tcMar>
            <w:vAlign w:val="bottom"/>
          </w:tcPr>
          <w:p w14:paraId="5556D30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w:t>
            </w:r>
          </w:p>
        </w:tc>
        <w:tc>
          <w:tcPr>
            <w:tcW w:w="0" w:type="auto"/>
            <w:tcBorders>
              <w:bottom w:val="single" w:sz="8" w:space="0" w:color="000000"/>
            </w:tcBorders>
            <w:shd w:val="clear" w:color="auto" w:fill="auto"/>
            <w:tcMar>
              <w:top w:w="40" w:type="dxa"/>
              <w:bottom w:w="40" w:type="dxa"/>
              <w:right w:w="40" w:type="dxa"/>
            </w:tcMar>
            <w:vAlign w:val="bottom"/>
          </w:tcPr>
          <w:p w14:paraId="5556D30F"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D3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31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D3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31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(25</w:t>
            </w:r>
          </w:p>
        </w:tc>
        <w:tc>
          <w:tcPr>
            <w:tcW w:w="0" w:type="auto"/>
            <w:tcBorders>
              <w:bottom w:val="single" w:sz="8" w:space="0" w:color="000000"/>
            </w:tcBorders>
            <w:shd w:val="clear" w:color="auto" w:fill="auto"/>
            <w:tcMar>
              <w:top w:w="40" w:type="dxa"/>
              <w:bottom w:w="40" w:type="dxa"/>
              <w:right w:w="40" w:type="dxa"/>
            </w:tcMar>
            <w:vAlign w:val="bottom"/>
          </w:tcPr>
          <w:p w14:paraId="5556D31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D323" w14:textId="77777777">
        <w:tc>
          <w:tcPr>
            <w:tcW w:w="0" w:type="auto"/>
            <w:shd w:val="clear" w:color="auto" w:fill="CCEEFF"/>
            <w:tcMar>
              <w:top w:w="40" w:type="dxa"/>
              <w:left w:w="40" w:type="dxa"/>
              <w:bottom w:w="40" w:type="dxa"/>
              <w:right w:w="40" w:type="dxa"/>
            </w:tcMar>
            <w:vAlign w:val="bottom"/>
          </w:tcPr>
          <w:p w14:paraId="5556D31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Ending balance December 31, 2018</w:t>
            </w:r>
          </w:p>
        </w:tc>
        <w:tc>
          <w:tcPr>
            <w:tcW w:w="0" w:type="auto"/>
            <w:tcBorders>
              <w:top w:val="single" w:sz="8" w:space="0" w:color="000000"/>
            </w:tcBorders>
            <w:shd w:val="clear" w:color="auto" w:fill="CCEEFF"/>
            <w:tcMar>
              <w:top w:w="40" w:type="dxa"/>
              <w:left w:w="40" w:type="dxa"/>
              <w:bottom w:w="40" w:type="dxa"/>
            </w:tcMar>
            <w:vAlign w:val="bottom"/>
          </w:tcPr>
          <w:p w14:paraId="5556D31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D31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2,218</w:t>
            </w:r>
          </w:p>
        </w:tc>
        <w:tc>
          <w:tcPr>
            <w:tcW w:w="0" w:type="auto"/>
            <w:tcBorders>
              <w:top w:val="single" w:sz="8" w:space="0" w:color="000000"/>
            </w:tcBorders>
            <w:shd w:val="clear" w:color="auto" w:fill="CCEEFF"/>
            <w:vAlign w:val="bottom"/>
          </w:tcPr>
          <w:p w14:paraId="5556D3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3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31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D31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151</w:t>
            </w:r>
          </w:p>
        </w:tc>
        <w:tc>
          <w:tcPr>
            <w:tcW w:w="0" w:type="auto"/>
            <w:tcBorders>
              <w:top w:val="single" w:sz="8" w:space="0" w:color="000000"/>
            </w:tcBorders>
            <w:shd w:val="clear" w:color="auto" w:fill="CCEEFF"/>
            <w:vAlign w:val="bottom"/>
          </w:tcPr>
          <w:p w14:paraId="5556D31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3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32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D32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2,369</w:t>
            </w:r>
          </w:p>
        </w:tc>
        <w:tc>
          <w:tcPr>
            <w:tcW w:w="0" w:type="auto"/>
            <w:tcBorders>
              <w:top w:val="single" w:sz="8" w:space="0" w:color="000000"/>
            </w:tcBorders>
            <w:shd w:val="clear" w:color="auto" w:fill="CCEEFF"/>
            <w:vAlign w:val="bottom"/>
          </w:tcPr>
          <w:p w14:paraId="5556D322" w14:textId="77777777" w:rsidR="00F925DD" w:rsidRDefault="00F925DD">
            <w:pPr>
              <w:textAlignment w:val="bottom"/>
              <w:rPr>
                <w:rFonts w:ascii="Times New Roman" w:hAnsi="Times New Roman"/>
                <w:sz w:val="20"/>
                <w:szCs w:val="20"/>
              </w:rPr>
            </w:pPr>
          </w:p>
        </w:tc>
      </w:tr>
      <w:tr w:rsidR="00F925DD" w14:paraId="5556D32D" w14:textId="77777777">
        <w:tc>
          <w:tcPr>
            <w:tcW w:w="0" w:type="auto"/>
            <w:shd w:val="clear" w:color="auto" w:fill="auto"/>
            <w:tcMar>
              <w:top w:w="40" w:type="dxa"/>
              <w:left w:w="40" w:type="dxa"/>
              <w:bottom w:w="40" w:type="dxa"/>
              <w:right w:w="40" w:type="dxa"/>
            </w:tcMar>
            <w:vAlign w:val="bottom"/>
          </w:tcPr>
          <w:p w14:paraId="5556D324" w14:textId="77777777" w:rsidR="00F925DD" w:rsidRDefault="00E705D7">
            <w:pPr>
              <w:textAlignment w:val="bottom"/>
              <w:rPr>
                <w:rFonts w:ascii="Times New Roman" w:hAnsi="Times New Roman"/>
                <w:sz w:val="15"/>
                <w:szCs w:val="15"/>
              </w:rPr>
            </w:pPr>
            <w:r>
              <w:rPr>
                <w:rFonts w:ascii="Arial" w:eastAsia="宋体" w:hAnsi="Arial" w:cs="Arial"/>
                <w:sz w:val="15"/>
                <w:szCs w:val="15"/>
              </w:rPr>
              <w:t>Acquisitions(2)</w:t>
            </w:r>
          </w:p>
        </w:tc>
        <w:tc>
          <w:tcPr>
            <w:tcW w:w="0" w:type="auto"/>
            <w:gridSpan w:val="2"/>
            <w:shd w:val="clear" w:color="auto" w:fill="auto"/>
            <w:tcMar>
              <w:top w:w="40" w:type="dxa"/>
              <w:left w:w="40" w:type="dxa"/>
              <w:bottom w:w="40" w:type="dxa"/>
            </w:tcMar>
            <w:vAlign w:val="bottom"/>
          </w:tcPr>
          <w:p w14:paraId="5556D32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(93</w:t>
            </w:r>
          </w:p>
        </w:tc>
        <w:tc>
          <w:tcPr>
            <w:tcW w:w="0" w:type="auto"/>
            <w:shd w:val="clear" w:color="auto" w:fill="auto"/>
            <w:tcMar>
              <w:top w:w="40" w:type="dxa"/>
              <w:bottom w:w="40" w:type="dxa"/>
              <w:right w:w="40" w:type="dxa"/>
            </w:tcMar>
            <w:vAlign w:val="bottom"/>
          </w:tcPr>
          <w:p w14:paraId="5556D32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3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2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D3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2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(93</w:t>
            </w:r>
          </w:p>
        </w:tc>
        <w:tc>
          <w:tcPr>
            <w:tcW w:w="0" w:type="auto"/>
            <w:shd w:val="clear" w:color="auto" w:fill="auto"/>
            <w:tcMar>
              <w:top w:w="40" w:type="dxa"/>
              <w:bottom w:w="40" w:type="dxa"/>
              <w:right w:w="40" w:type="dxa"/>
            </w:tcMar>
            <w:vAlign w:val="bottom"/>
          </w:tcPr>
          <w:p w14:paraId="5556D32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D337" w14:textId="77777777">
        <w:tc>
          <w:tcPr>
            <w:tcW w:w="0" w:type="auto"/>
            <w:shd w:val="clear" w:color="auto" w:fill="CCEEFF"/>
            <w:tcMar>
              <w:top w:w="40" w:type="dxa"/>
              <w:left w:w="40" w:type="dxa"/>
              <w:bottom w:w="40" w:type="dxa"/>
              <w:right w:w="40" w:type="dxa"/>
            </w:tcMar>
            <w:vAlign w:val="bottom"/>
          </w:tcPr>
          <w:p w14:paraId="5556D32E" w14:textId="77777777" w:rsidR="00F925DD" w:rsidRDefault="00E705D7">
            <w:pPr>
              <w:textAlignment w:val="bottom"/>
              <w:rPr>
                <w:rFonts w:ascii="Times New Roman" w:hAnsi="Times New Roman"/>
                <w:sz w:val="15"/>
                <w:szCs w:val="15"/>
              </w:rPr>
            </w:pPr>
            <w:r>
              <w:rPr>
                <w:rFonts w:ascii="Arial" w:eastAsia="宋体" w:hAnsi="Arial" w:cs="Arial"/>
                <w:sz w:val="15"/>
                <w:szCs w:val="15"/>
              </w:rPr>
              <w:t>Amortization</w:t>
            </w:r>
          </w:p>
        </w:tc>
        <w:tc>
          <w:tcPr>
            <w:tcW w:w="0" w:type="auto"/>
            <w:gridSpan w:val="2"/>
            <w:shd w:val="clear" w:color="auto" w:fill="CCEEFF"/>
            <w:tcMar>
              <w:top w:w="40" w:type="dxa"/>
              <w:left w:w="40" w:type="dxa"/>
              <w:bottom w:w="40" w:type="dxa"/>
            </w:tcMar>
            <w:vAlign w:val="bottom"/>
          </w:tcPr>
          <w:p w14:paraId="5556D32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(207</w:t>
            </w:r>
          </w:p>
        </w:tc>
        <w:tc>
          <w:tcPr>
            <w:tcW w:w="0" w:type="auto"/>
            <w:shd w:val="clear" w:color="auto" w:fill="CCEEFF"/>
            <w:tcMar>
              <w:top w:w="40" w:type="dxa"/>
              <w:bottom w:w="40" w:type="dxa"/>
              <w:right w:w="40" w:type="dxa"/>
            </w:tcMar>
            <w:vAlign w:val="bottom"/>
          </w:tcPr>
          <w:p w14:paraId="5556D33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3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33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w:t>
            </w:r>
          </w:p>
        </w:tc>
        <w:tc>
          <w:tcPr>
            <w:tcW w:w="0" w:type="auto"/>
            <w:shd w:val="clear" w:color="auto" w:fill="CCEEFF"/>
            <w:tcMar>
              <w:top w:w="40" w:type="dxa"/>
              <w:bottom w:w="40" w:type="dxa"/>
              <w:right w:w="40" w:type="dxa"/>
            </w:tcMar>
            <w:vAlign w:val="bottom"/>
          </w:tcPr>
          <w:p w14:paraId="5556D33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3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33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(236</w:t>
            </w:r>
          </w:p>
        </w:tc>
        <w:tc>
          <w:tcPr>
            <w:tcW w:w="0" w:type="auto"/>
            <w:shd w:val="clear" w:color="auto" w:fill="CCEEFF"/>
            <w:tcMar>
              <w:top w:w="40" w:type="dxa"/>
              <w:bottom w:w="40" w:type="dxa"/>
              <w:right w:w="40" w:type="dxa"/>
            </w:tcMar>
            <w:vAlign w:val="bottom"/>
          </w:tcPr>
          <w:p w14:paraId="5556D33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D341" w14:textId="77777777">
        <w:tc>
          <w:tcPr>
            <w:tcW w:w="0" w:type="auto"/>
            <w:shd w:val="clear" w:color="auto" w:fill="auto"/>
            <w:tcMar>
              <w:top w:w="40" w:type="dxa"/>
              <w:left w:w="40" w:type="dxa"/>
              <w:bottom w:w="40" w:type="dxa"/>
              <w:right w:w="40" w:type="dxa"/>
            </w:tcMar>
            <w:vAlign w:val="bottom"/>
          </w:tcPr>
          <w:p w14:paraId="5556D338"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currency translation</w:t>
            </w:r>
          </w:p>
        </w:tc>
        <w:tc>
          <w:tcPr>
            <w:tcW w:w="0" w:type="auto"/>
            <w:gridSpan w:val="2"/>
            <w:shd w:val="clear" w:color="auto" w:fill="auto"/>
            <w:tcMar>
              <w:top w:w="40" w:type="dxa"/>
              <w:left w:w="40" w:type="dxa"/>
              <w:bottom w:w="40" w:type="dxa"/>
            </w:tcMar>
            <w:vAlign w:val="bottom"/>
          </w:tcPr>
          <w:p w14:paraId="5556D33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shd w:val="clear" w:color="auto" w:fill="auto"/>
            <w:tcMar>
              <w:top w:w="40" w:type="dxa"/>
              <w:bottom w:w="40" w:type="dxa"/>
              <w:right w:w="40" w:type="dxa"/>
            </w:tcMar>
            <w:vAlign w:val="bottom"/>
          </w:tcPr>
          <w:p w14:paraId="5556D33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3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3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D33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3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shd w:val="clear" w:color="auto" w:fill="auto"/>
            <w:tcMar>
              <w:top w:w="40" w:type="dxa"/>
              <w:bottom w:w="40" w:type="dxa"/>
              <w:right w:w="40" w:type="dxa"/>
            </w:tcMar>
            <w:vAlign w:val="bottom"/>
          </w:tcPr>
          <w:p w14:paraId="5556D34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D34E" w14:textId="77777777">
        <w:tc>
          <w:tcPr>
            <w:tcW w:w="0" w:type="auto"/>
            <w:shd w:val="clear" w:color="auto" w:fill="CCEEFF"/>
            <w:tcMar>
              <w:top w:w="40" w:type="dxa"/>
              <w:left w:w="40" w:type="dxa"/>
              <w:bottom w:w="40" w:type="dxa"/>
              <w:right w:w="40" w:type="dxa"/>
            </w:tcMar>
            <w:vAlign w:val="bottom"/>
          </w:tcPr>
          <w:p w14:paraId="5556D34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Ending balance December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34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34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1,908</w:t>
            </w:r>
          </w:p>
        </w:tc>
        <w:tc>
          <w:tcPr>
            <w:tcW w:w="0" w:type="auto"/>
            <w:tcBorders>
              <w:top w:val="single" w:sz="8" w:space="0" w:color="000000"/>
              <w:bottom w:val="double" w:sz="6" w:space="0" w:color="000000"/>
            </w:tcBorders>
            <w:shd w:val="clear" w:color="auto" w:fill="CCEEFF"/>
            <w:vAlign w:val="bottom"/>
          </w:tcPr>
          <w:p w14:paraId="5556D34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3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34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34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122</w:t>
            </w:r>
          </w:p>
        </w:tc>
        <w:tc>
          <w:tcPr>
            <w:tcW w:w="0" w:type="auto"/>
            <w:tcBorders>
              <w:top w:val="single" w:sz="8" w:space="0" w:color="000000"/>
              <w:bottom w:val="double" w:sz="6" w:space="0" w:color="000000"/>
            </w:tcBorders>
            <w:shd w:val="clear" w:color="auto" w:fill="CCEEFF"/>
            <w:vAlign w:val="bottom"/>
          </w:tcPr>
          <w:p w14:paraId="5556D34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3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34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34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2,030</w:t>
            </w:r>
          </w:p>
        </w:tc>
        <w:tc>
          <w:tcPr>
            <w:tcW w:w="0" w:type="auto"/>
            <w:tcBorders>
              <w:top w:val="single" w:sz="8" w:space="0" w:color="000000"/>
              <w:bottom w:val="double" w:sz="6" w:space="0" w:color="000000"/>
            </w:tcBorders>
            <w:shd w:val="clear" w:color="auto" w:fill="CCEEFF"/>
            <w:vAlign w:val="bottom"/>
          </w:tcPr>
          <w:p w14:paraId="5556D34D" w14:textId="77777777" w:rsidR="00F925DD" w:rsidRDefault="00F925DD">
            <w:pPr>
              <w:textAlignment w:val="bottom"/>
              <w:rPr>
                <w:rFonts w:ascii="Times New Roman" w:hAnsi="Times New Roman"/>
                <w:sz w:val="20"/>
                <w:szCs w:val="20"/>
              </w:rPr>
            </w:pPr>
          </w:p>
        </w:tc>
      </w:tr>
    </w:tbl>
    <w:p w14:paraId="5556D34F"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4901"/>
        <w:gridCol w:w="3405"/>
      </w:tblGrid>
      <w:tr w:rsidR="00F925DD" w14:paraId="5556D351" w14:textId="77777777">
        <w:tc>
          <w:tcPr>
            <w:tcW w:w="0" w:type="auto"/>
            <w:gridSpan w:val="2"/>
            <w:shd w:val="clear" w:color="auto" w:fill="auto"/>
            <w:vAlign w:val="center"/>
          </w:tcPr>
          <w:p w14:paraId="5556D350" w14:textId="77777777" w:rsidR="00F925DD" w:rsidRDefault="00F925DD">
            <w:pPr>
              <w:rPr>
                <w:rFonts w:ascii="Times New Roman" w:hAnsi="Times New Roman"/>
                <w:sz w:val="20"/>
                <w:szCs w:val="20"/>
              </w:rPr>
            </w:pPr>
          </w:p>
        </w:tc>
      </w:tr>
      <w:tr w:rsidR="00F925DD" w14:paraId="5556D354" w14:textId="77777777">
        <w:tc>
          <w:tcPr>
            <w:tcW w:w="2950" w:type="pct"/>
            <w:shd w:val="clear" w:color="auto" w:fill="auto"/>
            <w:vAlign w:val="center"/>
          </w:tcPr>
          <w:p w14:paraId="5556D352" w14:textId="77777777" w:rsidR="00F925DD" w:rsidRDefault="00F925DD">
            <w:pPr>
              <w:rPr>
                <w:rFonts w:ascii="Times New Roman" w:hAnsi="Times New Roman"/>
                <w:sz w:val="20"/>
                <w:szCs w:val="20"/>
              </w:rPr>
            </w:pPr>
          </w:p>
        </w:tc>
        <w:tc>
          <w:tcPr>
            <w:tcW w:w="2050" w:type="pct"/>
            <w:shd w:val="clear" w:color="auto" w:fill="auto"/>
            <w:vAlign w:val="center"/>
          </w:tcPr>
          <w:p w14:paraId="5556D353" w14:textId="77777777" w:rsidR="00F925DD" w:rsidRDefault="00F925DD">
            <w:pPr>
              <w:rPr>
                <w:rFonts w:ascii="Times New Roman" w:hAnsi="Times New Roman"/>
                <w:sz w:val="20"/>
                <w:szCs w:val="20"/>
              </w:rPr>
            </w:pPr>
          </w:p>
        </w:tc>
      </w:tr>
      <w:tr w:rsidR="00F925DD" w14:paraId="5556D35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3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3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358" w14:textId="77777777" w:rsidR="00F925DD" w:rsidRDefault="00E705D7">
      <w:pPr>
        <w:spacing w:line="288" w:lineRule="auto"/>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Investment Servicing includes our acquisition of CRD.</w:t>
      </w:r>
    </w:p>
    <w:p w14:paraId="5556D359" w14:textId="77777777" w:rsidR="00F925DD" w:rsidRDefault="00E705D7">
      <w:pPr>
        <w:spacing w:line="288" w:lineRule="auto"/>
        <w:jc w:val="both"/>
        <w:rPr>
          <w:rFonts w:ascii="Times New Roman" w:hAnsi="Times New Roman"/>
          <w:sz w:val="20"/>
          <w:szCs w:val="20"/>
        </w:rPr>
      </w:pPr>
      <w:r>
        <w:rPr>
          <w:rFonts w:ascii="Arial" w:eastAsia="宋体" w:hAnsi="Arial" w:cs="Arial"/>
          <w:sz w:val="10"/>
          <w:szCs w:val="10"/>
        </w:rPr>
        <w:t>(2)</w:t>
      </w:r>
      <w:r>
        <w:rPr>
          <w:rFonts w:ascii="Arial" w:eastAsia="宋体" w:hAnsi="Arial" w:cs="Arial"/>
          <w:sz w:val="14"/>
          <w:szCs w:val="14"/>
        </w:rPr>
        <w:t xml:space="preserve"> We have completed the purchase price accounting for the CRD acquisition as of March 31, 2019. Upon completion of valuation procedures related to the acquired assets and assumed liabilities, primarily the identifiable intangible assets, we recorded measure</w:t>
      </w:r>
      <w:r>
        <w:rPr>
          <w:rFonts w:ascii="Arial" w:eastAsia="宋体" w:hAnsi="Arial" w:cs="Arial"/>
          <w:sz w:val="14"/>
          <w:szCs w:val="14"/>
        </w:rPr>
        <w:t>ment period adjustments in the year ended December 31, 2019, resulting in a decrease in the fair value of other intangible assets of $93 million, with a corresponding increase to goodwill.</w:t>
      </w:r>
      <w:r>
        <w:rPr>
          <w:rFonts w:ascii="Arial" w:eastAsia="宋体" w:hAnsi="Arial" w:cs="Arial"/>
          <w:sz w:val="20"/>
          <w:szCs w:val="20"/>
        </w:rPr>
        <w:t>    </w:t>
      </w:r>
    </w:p>
    <w:p w14:paraId="5556D35A"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D35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the gross carrying </w:t>
      </w:r>
      <w:r>
        <w:rPr>
          <w:rFonts w:ascii="Arial" w:eastAsia="宋体" w:hAnsi="Arial" w:cs="Arial"/>
          <w:sz w:val="20"/>
          <w:szCs w:val="20"/>
        </w:rPr>
        <w:t>amount, accumulated amortization and net carrying amount of other intangible assets by type as of the dates indicated:</w:t>
      </w:r>
    </w:p>
    <w:tbl>
      <w:tblPr>
        <w:tblW w:w="5000" w:type="pct"/>
        <w:tblCellMar>
          <w:left w:w="0" w:type="dxa"/>
          <w:right w:w="0" w:type="dxa"/>
        </w:tblCellMar>
        <w:tblLook w:val="04A0" w:firstRow="1" w:lastRow="0" w:firstColumn="1" w:lastColumn="0" w:noHBand="0" w:noVBand="1"/>
      </w:tblPr>
      <w:tblGrid>
        <w:gridCol w:w="2558"/>
        <w:gridCol w:w="125"/>
        <w:gridCol w:w="1561"/>
        <w:gridCol w:w="66"/>
        <w:gridCol w:w="149"/>
        <w:gridCol w:w="125"/>
        <w:gridCol w:w="1728"/>
        <w:gridCol w:w="90"/>
        <w:gridCol w:w="150"/>
        <w:gridCol w:w="125"/>
        <w:gridCol w:w="1562"/>
        <w:gridCol w:w="67"/>
      </w:tblGrid>
      <w:tr w:rsidR="00F925DD" w14:paraId="5556D35D" w14:textId="77777777">
        <w:tc>
          <w:tcPr>
            <w:tcW w:w="0" w:type="auto"/>
            <w:gridSpan w:val="12"/>
            <w:shd w:val="clear" w:color="auto" w:fill="auto"/>
            <w:vAlign w:val="center"/>
          </w:tcPr>
          <w:p w14:paraId="5556D35C" w14:textId="77777777" w:rsidR="00F925DD" w:rsidRDefault="00F925DD">
            <w:pPr>
              <w:rPr>
                <w:rFonts w:ascii="Times New Roman" w:hAnsi="Times New Roman"/>
                <w:sz w:val="20"/>
                <w:szCs w:val="20"/>
              </w:rPr>
            </w:pPr>
          </w:p>
        </w:tc>
      </w:tr>
      <w:tr w:rsidR="00F925DD" w14:paraId="5556D36A" w14:textId="77777777">
        <w:tc>
          <w:tcPr>
            <w:tcW w:w="1550" w:type="pct"/>
            <w:shd w:val="clear" w:color="auto" w:fill="auto"/>
            <w:vAlign w:val="center"/>
          </w:tcPr>
          <w:p w14:paraId="5556D35E" w14:textId="77777777" w:rsidR="00F925DD" w:rsidRDefault="00F925DD">
            <w:pPr>
              <w:rPr>
                <w:rFonts w:ascii="Times New Roman" w:hAnsi="Times New Roman"/>
                <w:sz w:val="20"/>
                <w:szCs w:val="20"/>
              </w:rPr>
            </w:pPr>
          </w:p>
        </w:tc>
        <w:tc>
          <w:tcPr>
            <w:tcW w:w="50" w:type="pct"/>
            <w:shd w:val="clear" w:color="auto" w:fill="auto"/>
            <w:vAlign w:val="center"/>
          </w:tcPr>
          <w:p w14:paraId="5556D35F" w14:textId="77777777" w:rsidR="00F925DD" w:rsidRDefault="00F925DD">
            <w:pPr>
              <w:rPr>
                <w:rFonts w:ascii="Times New Roman" w:hAnsi="Times New Roman"/>
                <w:sz w:val="20"/>
                <w:szCs w:val="20"/>
              </w:rPr>
            </w:pPr>
          </w:p>
        </w:tc>
        <w:tc>
          <w:tcPr>
            <w:tcW w:w="950" w:type="pct"/>
            <w:shd w:val="clear" w:color="auto" w:fill="auto"/>
            <w:vAlign w:val="center"/>
          </w:tcPr>
          <w:p w14:paraId="5556D360" w14:textId="77777777" w:rsidR="00F925DD" w:rsidRDefault="00F925DD">
            <w:pPr>
              <w:rPr>
                <w:rFonts w:ascii="Times New Roman" w:hAnsi="Times New Roman"/>
                <w:sz w:val="20"/>
                <w:szCs w:val="20"/>
              </w:rPr>
            </w:pPr>
          </w:p>
        </w:tc>
        <w:tc>
          <w:tcPr>
            <w:tcW w:w="50" w:type="pct"/>
            <w:shd w:val="clear" w:color="auto" w:fill="auto"/>
            <w:vAlign w:val="center"/>
          </w:tcPr>
          <w:p w14:paraId="5556D361" w14:textId="77777777" w:rsidR="00F925DD" w:rsidRDefault="00F925DD">
            <w:pPr>
              <w:rPr>
                <w:rFonts w:ascii="Times New Roman" w:hAnsi="Times New Roman"/>
                <w:sz w:val="20"/>
                <w:szCs w:val="20"/>
              </w:rPr>
            </w:pPr>
          </w:p>
        </w:tc>
        <w:tc>
          <w:tcPr>
            <w:tcW w:w="100" w:type="pct"/>
            <w:shd w:val="clear" w:color="auto" w:fill="auto"/>
            <w:vAlign w:val="center"/>
          </w:tcPr>
          <w:p w14:paraId="5556D362" w14:textId="77777777" w:rsidR="00F925DD" w:rsidRDefault="00F925DD">
            <w:pPr>
              <w:rPr>
                <w:rFonts w:ascii="Times New Roman" w:hAnsi="Times New Roman"/>
                <w:sz w:val="20"/>
                <w:szCs w:val="20"/>
              </w:rPr>
            </w:pPr>
          </w:p>
        </w:tc>
        <w:tc>
          <w:tcPr>
            <w:tcW w:w="50" w:type="pct"/>
            <w:shd w:val="clear" w:color="auto" w:fill="auto"/>
            <w:vAlign w:val="center"/>
          </w:tcPr>
          <w:p w14:paraId="5556D363" w14:textId="77777777" w:rsidR="00F925DD" w:rsidRDefault="00F925DD">
            <w:pPr>
              <w:rPr>
                <w:rFonts w:ascii="Times New Roman" w:hAnsi="Times New Roman"/>
                <w:sz w:val="20"/>
                <w:szCs w:val="20"/>
              </w:rPr>
            </w:pPr>
          </w:p>
        </w:tc>
        <w:tc>
          <w:tcPr>
            <w:tcW w:w="1050" w:type="pct"/>
            <w:shd w:val="clear" w:color="auto" w:fill="auto"/>
            <w:vAlign w:val="center"/>
          </w:tcPr>
          <w:p w14:paraId="5556D364" w14:textId="77777777" w:rsidR="00F925DD" w:rsidRDefault="00F925DD">
            <w:pPr>
              <w:rPr>
                <w:rFonts w:ascii="Times New Roman" w:hAnsi="Times New Roman"/>
                <w:sz w:val="20"/>
                <w:szCs w:val="20"/>
              </w:rPr>
            </w:pPr>
          </w:p>
        </w:tc>
        <w:tc>
          <w:tcPr>
            <w:tcW w:w="50" w:type="pct"/>
            <w:shd w:val="clear" w:color="auto" w:fill="auto"/>
            <w:vAlign w:val="center"/>
          </w:tcPr>
          <w:p w14:paraId="5556D365" w14:textId="77777777" w:rsidR="00F925DD" w:rsidRDefault="00F925DD">
            <w:pPr>
              <w:rPr>
                <w:rFonts w:ascii="Times New Roman" w:hAnsi="Times New Roman"/>
                <w:sz w:val="20"/>
                <w:szCs w:val="20"/>
              </w:rPr>
            </w:pPr>
          </w:p>
        </w:tc>
        <w:tc>
          <w:tcPr>
            <w:tcW w:w="100" w:type="pct"/>
            <w:shd w:val="clear" w:color="auto" w:fill="auto"/>
            <w:vAlign w:val="center"/>
          </w:tcPr>
          <w:p w14:paraId="5556D366" w14:textId="77777777" w:rsidR="00F925DD" w:rsidRDefault="00F925DD">
            <w:pPr>
              <w:rPr>
                <w:rFonts w:ascii="Times New Roman" w:hAnsi="Times New Roman"/>
                <w:sz w:val="20"/>
                <w:szCs w:val="20"/>
              </w:rPr>
            </w:pPr>
          </w:p>
        </w:tc>
        <w:tc>
          <w:tcPr>
            <w:tcW w:w="50" w:type="pct"/>
            <w:shd w:val="clear" w:color="auto" w:fill="auto"/>
            <w:vAlign w:val="center"/>
          </w:tcPr>
          <w:p w14:paraId="5556D367" w14:textId="77777777" w:rsidR="00F925DD" w:rsidRDefault="00F925DD">
            <w:pPr>
              <w:rPr>
                <w:rFonts w:ascii="Times New Roman" w:hAnsi="Times New Roman"/>
                <w:sz w:val="20"/>
                <w:szCs w:val="20"/>
              </w:rPr>
            </w:pPr>
          </w:p>
        </w:tc>
        <w:tc>
          <w:tcPr>
            <w:tcW w:w="950" w:type="pct"/>
            <w:shd w:val="clear" w:color="auto" w:fill="auto"/>
            <w:vAlign w:val="center"/>
          </w:tcPr>
          <w:p w14:paraId="5556D368" w14:textId="77777777" w:rsidR="00F925DD" w:rsidRDefault="00F925DD">
            <w:pPr>
              <w:rPr>
                <w:rFonts w:ascii="Times New Roman" w:hAnsi="Times New Roman"/>
                <w:sz w:val="20"/>
                <w:szCs w:val="20"/>
              </w:rPr>
            </w:pPr>
          </w:p>
        </w:tc>
        <w:tc>
          <w:tcPr>
            <w:tcW w:w="50" w:type="pct"/>
            <w:shd w:val="clear" w:color="auto" w:fill="auto"/>
            <w:vAlign w:val="center"/>
          </w:tcPr>
          <w:p w14:paraId="5556D369" w14:textId="77777777" w:rsidR="00F925DD" w:rsidRDefault="00F925DD">
            <w:pPr>
              <w:rPr>
                <w:rFonts w:ascii="Times New Roman" w:hAnsi="Times New Roman"/>
                <w:sz w:val="20"/>
                <w:szCs w:val="20"/>
              </w:rPr>
            </w:pPr>
          </w:p>
        </w:tc>
      </w:tr>
      <w:tr w:rsidR="00F925DD" w14:paraId="5556D371" w14:textId="77777777">
        <w:tc>
          <w:tcPr>
            <w:tcW w:w="0" w:type="auto"/>
            <w:shd w:val="clear" w:color="auto" w:fill="auto"/>
            <w:tcMar>
              <w:top w:w="40" w:type="dxa"/>
              <w:left w:w="40" w:type="dxa"/>
              <w:bottom w:w="40" w:type="dxa"/>
              <w:right w:w="40" w:type="dxa"/>
            </w:tcMar>
            <w:vAlign w:val="bottom"/>
          </w:tcPr>
          <w:p w14:paraId="5556D36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36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w:t>
            </w:r>
            <w:r>
              <w:rPr>
                <w:rFonts w:ascii="Arial" w:eastAsia="宋体" w:hAnsi="Arial" w:cs="Arial"/>
                <w:b/>
                <w:bCs/>
                <w:sz w:val="15"/>
                <w:szCs w:val="15"/>
              </w:rPr>
              <w:br/>
              <w:t>Carrying</w:t>
            </w:r>
            <w:r>
              <w:rPr>
                <w:rFonts w:ascii="Arial" w:eastAsia="宋体" w:hAnsi="Arial" w:cs="Arial"/>
                <w:b/>
                <w:bCs/>
                <w:sz w:val="15"/>
                <w:szCs w:val="15"/>
              </w:rPr>
              <w:br/>
              <w:t>Amount</w:t>
            </w:r>
          </w:p>
        </w:tc>
        <w:tc>
          <w:tcPr>
            <w:tcW w:w="0" w:type="auto"/>
            <w:shd w:val="clear" w:color="auto" w:fill="auto"/>
            <w:tcMar>
              <w:top w:w="40" w:type="dxa"/>
              <w:left w:w="40" w:type="dxa"/>
              <w:bottom w:w="40" w:type="dxa"/>
              <w:right w:w="40" w:type="dxa"/>
            </w:tcMar>
            <w:vAlign w:val="bottom"/>
          </w:tcPr>
          <w:p w14:paraId="5556D36D" w14:textId="77777777" w:rsidR="00F925DD" w:rsidRDefault="00F925DD">
            <w:pPr>
              <w:jc w:val="right"/>
              <w:textAlignment w:val="bottom"/>
              <w:rPr>
                <w:rFonts w:ascii="Times New Roman" w:hAnsi="Times New Roman"/>
                <w:sz w:val="15"/>
                <w:szCs w:val="15"/>
              </w:rPr>
            </w:pP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36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Accumulated</w:t>
            </w:r>
            <w:r>
              <w:rPr>
                <w:rFonts w:ascii="Arial" w:eastAsia="宋体" w:hAnsi="Arial" w:cs="Arial"/>
                <w:b/>
                <w:bCs/>
                <w:sz w:val="15"/>
                <w:szCs w:val="15"/>
              </w:rPr>
              <w:br/>
              <w:t>Amortization</w:t>
            </w:r>
          </w:p>
        </w:tc>
        <w:tc>
          <w:tcPr>
            <w:tcW w:w="0" w:type="auto"/>
            <w:shd w:val="clear" w:color="auto" w:fill="auto"/>
            <w:tcMar>
              <w:top w:w="40" w:type="dxa"/>
              <w:left w:w="40" w:type="dxa"/>
              <w:bottom w:w="40" w:type="dxa"/>
              <w:right w:w="40" w:type="dxa"/>
            </w:tcMar>
            <w:vAlign w:val="bottom"/>
          </w:tcPr>
          <w:p w14:paraId="5556D36F" w14:textId="77777777" w:rsidR="00F925DD" w:rsidRDefault="00F925DD">
            <w:pPr>
              <w:jc w:val="right"/>
              <w:textAlignment w:val="bottom"/>
              <w:rPr>
                <w:rFonts w:ascii="Times New Roman" w:hAnsi="Times New Roman"/>
                <w:sz w:val="15"/>
                <w:szCs w:val="15"/>
              </w:rPr>
            </w:pP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37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Net</w:t>
            </w:r>
            <w:r>
              <w:rPr>
                <w:rFonts w:ascii="Arial" w:eastAsia="宋体" w:hAnsi="Arial" w:cs="Arial"/>
                <w:b/>
                <w:bCs/>
                <w:sz w:val="15"/>
                <w:szCs w:val="15"/>
              </w:rPr>
              <w:br/>
              <w:t>Carrying</w:t>
            </w:r>
            <w:r>
              <w:rPr>
                <w:rFonts w:ascii="Arial" w:eastAsia="宋体" w:hAnsi="Arial" w:cs="Arial"/>
                <w:b/>
                <w:bCs/>
                <w:sz w:val="15"/>
                <w:szCs w:val="15"/>
              </w:rPr>
              <w:br/>
              <w:t>Amount</w:t>
            </w:r>
          </w:p>
        </w:tc>
      </w:tr>
      <w:tr w:rsidR="00F925DD" w14:paraId="5556D378" w14:textId="77777777">
        <w:tc>
          <w:tcPr>
            <w:tcW w:w="0" w:type="auto"/>
            <w:shd w:val="clear" w:color="auto" w:fill="auto"/>
            <w:tcMar>
              <w:top w:w="40" w:type="dxa"/>
              <w:left w:w="40" w:type="dxa"/>
              <w:bottom w:w="40" w:type="dxa"/>
              <w:right w:w="40" w:type="dxa"/>
            </w:tcMar>
            <w:vAlign w:val="bottom"/>
          </w:tcPr>
          <w:p w14:paraId="5556D37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373"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74" w14:textId="77777777" w:rsidR="00F925DD" w:rsidRDefault="00F925DD">
            <w:pPr>
              <w:textAlignment w:val="bottom"/>
              <w:rPr>
                <w:rFonts w:ascii="Times New Roman" w:hAnsi="Times New Roman"/>
                <w:sz w:val="15"/>
                <w:szCs w:val="15"/>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375"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76" w14:textId="77777777" w:rsidR="00F925DD" w:rsidRDefault="00F925DD">
            <w:pPr>
              <w:textAlignment w:val="bottom"/>
              <w:rPr>
                <w:rFonts w:ascii="Times New Roman" w:hAnsi="Times New Roman"/>
                <w:sz w:val="15"/>
                <w:szCs w:val="15"/>
              </w:rPr>
            </w:pP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377" w14:textId="77777777" w:rsidR="00F925DD" w:rsidRDefault="00F925DD">
            <w:pPr>
              <w:rPr>
                <w:rFonts w:ascii="Times New Roman" w:hAnsi="Times New Roman"/>
                <w:sz w:val="20"/>
                <w:szCs w:val="20"/>
              </w:rPr>
            </w:pPr>
          </w:p>
        </w:tc>
      </w:tr>
      <w:tr w:rsidR="00F925DD" w14:paraId="5556D37F" w14:textId="77777777">
        <w:tc>
          <w:tcPr>
            <w:tcW w:w="0" w:type="auto"/>
            <w:shd w:val="clear" w:color="auto" w:fill="auto"/>
            <w:tcMar>
              <w:top w:w="40" w:type="dxa"/>
              <w:left w:w="40" w:type="dxa"/>
              <w:bottom w:w="40" w:type="dxa"/>
              <w:right w:w="40" w:type="dxa"/>
            </w:tcMar>
            <w:vAlign w:val="bottom"/>
          </w:tcPr>
          <w:p w14:paraId="5556D37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 xml:space="preserve">Other </w:t>
            </w:r>
            <w:r>
              <w:rPr>
                <w:rFonts w:ascii="Arial" w:eastAsia="宋体" w:hAnsi="Arial" w:cs="Arial"/>
                <w:b/>
                <w:bCs/>
                <w:sz w:val="15"/>
                <w:szCs w:val="15"/>
              </w:rPr>
              <w:t>intangible assets: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D3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3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D3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3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3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38C" w14:textId="77777777">
        <w:tc>
          <w:tcPr>
            <w:tcW w:w="0" w:type="auto"/>
            <w:shd w:val="clear" w:color="auto" w:fill="CCEEFF"/>
            <w:tcMar>
              <w:top w:w="40" w:type="dxa"/>
              <w:left w:w="40" w:type="dxa"/>
              <w:bottom w:w="40" w:type="dxa"/>
              <w:right w:w="40" w:type="dxa"/>
            </w:tcMar>
            <w:vAlign w:val="bottom"/>
          </w:tcPr>
          <w:p w14:paraId="5556D380" w14:textId="77777777" w:rsidR="00F925DD" w:rsidRDefault="00E705D7">
            <w:pPr>
              <w:textAlignment w:val="bottom"/>
              <w:rPr>
                <w:rFonts w:ascii="Times New Roman" w:hAnsi="Times New Roman"/>
                <w:sz w:val="15"/>
                <w:szCs w:val="15"/>
              </w:rPr>
            </w:pPr>
            <w:r>
              <w:rPr>
                <w:rFonts w:ascii="Arial" w:eastAsia="宋体" w:hAnsi="Arial" w:cs="Arial"/>
                <w:sz w:val="15"/>
                <w:szCs w:val="15"/>
              </w:rPr>
              <w:t>Client relationships</w:t>
            </w:r>
          </w:p>
        </w:tc>
        <w:tc>
          <w:tcPr>
            <w:tcW w:w="0" w:type="auto"/>
            <w:shd w:val="clear" w:color="auto" w:fill="CCEEFF"/>
            <w:tcMar>
              <w:top w:w="40" w:type="dxa"/>
              <w:left w:w="40" w:type="dxa"/>
              <w:bottom w:w="40" w:type="dxa"/>
            </w:tcMar>
            <w:vAlign w:val="bottom"/>
          </w:tcPr>
          <w:p w14:paraId="5556D38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38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3,104</w:t>
            </w:r>
          </w:p>
        </w:tc>
        <w:tc>
          <w:tcPr>
            <w:tcW w:w="0" w:type="auto"/>
            <w:shd w:val="clear" w:color="auto" w:fill="CCEEFF"/>
            <w:vAlign w:val="bottom"/>
          </w:tcPr>
          <w:p w14:paraId="5556D38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3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38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38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(1,718</w:t>
            </w:r>
          </w:p>
        </w:tc>
        <w:tc>
          <w:tcPr>
            <w:tcW w:w="0" w:type="auto"/>
            <w:shd w:val="clear" w:color="auto" w:fill="CCEEFF"/>
            <w:tcMar>
              <w:top w:w="40" w:type="dxa"/>
              <w:bottom w:w="40" w:type="dxa"/>
              <w:right w:w="40" w:type="dxa"/>
            </w:tcMar>
            <w:vAlign w:val="bottom"/>
          </w:tcPr>
          <w:p w14:paraId="5556D38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3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38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38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1,386</w:t>
            </w:r>
          </w:p>
        </w:tc>
        <w:tc>
          <w:tcPr>
            <w:tcW w:w="0" w:type="auto"/>
            <w:shd w:val="clear" w:color="auto" w:fill="CCEEFF"/>
            <w:vAlign w:val="bottom"/>
          </w:tcPr>
          <w:p w14:paraId="5556D38B" w14:textId="77777777" w:rsidR="00F925DD" w:rsidRDefault="00F925DD">
            <w:pPr>
              <w:textAlignment w:val="bottom"/>
              <w:rPr>
                <w:rFonts w:ascii="Times New Roman" w:hAnsi="Times New Roman"/>
                <w:sz w:val="20"/>
                <w:szCs w:val="20"/>
              </w:rPr>
            </w:pPr>
          </w:p>
        </w:tc>
      </w:tr>
      <w:tr w:rsidR="00F925DD" w14:paraId="5556D396" w14:textId="77777777">
        <w:tc>
          <w:tcPr>
            <w:tcW w:w="0" w:type="auto"/>
            <w:shd w:val="clear" w:color="auto" w:fill="auto"/>
            <w:tcMar>
              <w:top w:w="40" w:type="dxa"/>
              <w:left w:w="40" w:type="dxa"/>
              <w:bottom w:w="40" w:type="dxa"/>
              <w:right w:w="40" w:type="dxa"/>
            </w:tcMar>
            <w:vAlign w:val="bottom"/>
          </w:tcPr>
          <w:p w14:paraId="5556D38D" w14:textId="77777777" w:rsidR="00F925DD" w:rsidRDefault="00E705D7">
            <w:pPr>
              <w:textAlignment w:val="bottom"/>
              <w:rPr>
                <w:rFonts w:ascii="Times New Roman" w:hAnsi="Times New Roman"/>
                <w:sz w:val="15"/>
                <w:szCs w:val="15"/>
              </w:rPr>
            </w:pPr>
            <w:r>
              <w:rPr>
                <w:rFonts w:ascii="Arial" w:eastAsia="宋体" w:hAnsi="Arial" w:cs="Arial"/>
                <w:sz w:val="15"/>
                <w:szCs w:val="15"/>
              </w:rPr>
              <w:t>Technology</w:t>
            </w:r>
          </w:p>
        </w:tc>
        <w:tc>
          <w:tcPr>
            <w:tcW w:w="0" w:type="auto"/>
            <w:gridSpan w:val="2"/>
            <w:shd w:val="clear" w:color="auto" w:fill="auto"/>
            <w:tcMar>
              <w:top w:w="40" w:type="dxa"/>
              <w:left w:w="40" w:type="dxa"/>
              <w:bottom w:w="40" w:type="dxa"/>
            </w:tcMar>
            <w:vAlign w:val="bottom"/>
          </w:tcPr>
          <w:p w14:paraId="5556D38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403</w:t>
            </w:r>
          </w:p>
        </w:tc>
        <w:tc>
          <w:tcPr>
            <w:tcW w:w="0" w:type="auto"/>
            <w:shd w:val="clear" w:color="auto" w:fill="auto"/>
            <w:vAlign w:val="bottom"/>
          </w:tcPr>
          <w:p w14:paraId="5556D38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9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(87</w:t>
            </w:r>
          </w:p>
        </w:tc>
        <w:tc>
          <w:tcPr>
            <w:tcW w:w="0" w:type="auto"/>
            <w:shd w:val="clear" w:color="auto" w:fill="auto"/>
            <w:tcMar>
              <w:top w:w="40" w:type="dxa"/>
              <w:bottom w:w="40" w:type="dxa"/>
              <w:right w:w="40" w:type="dxa"/>
            </w:tcMar>
            <w:vAlign w:val="bottom"/>
          </w:tcPr>
          <w:p w14:paraId="5556D39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3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9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316</w:t>
            </w:r>
          </w:p>
        </w:tc>
        <w:tc>
          <w:tcPr>
            <w:tcW w:w="0" w:type="auto"/>
            <w:shd w:val="clear" w:color="auto" w:fill="auto"/>
            <w:vAlign w:val="bottom"/>
          </w:tcPr>
          <w:p w14:paraId="5556D395" w14:textId="77777777" w:rsidR="00F925DD" w:rsidRDefault="00F925DD">
            <w:pPr>
              <w:textAlignment w:val="bottom"/>
              <w:rPr>
                <w:rFonts w:ascii="Times New Roman" w:hAnsi="Times New Roman"/>
                <w:sz w:val="20"/>
                <w:szCs w:val="20"/>
              </w:rPr>
            </w:pPr>
          </w:p>
        </w:tc>
      </w:tr>
      <w:tr w:rsidR="00F925DD" w14:paraId="5556D3A0" w14:textId="77777777">
        <w:tc>
          <w:tcPr>
            <w:tcW w:w="0" w:type="auto"/>
            <w:shd w:val="clear" w:color="auto" w:fill="CCEEFF"/>
            <w:tcMar>
              <w:top w:w="40" w:type="dxa"/>
              <w:left w:w="40" w:type="dxa"/>
              <w:bottom w:w="40" w:type="dxa"/>
              <w:right w:w="40" w:type="dxa"/>
            </w:tcMar>
            <w:vAlign w:val="bottom"/>
          </w:tcPr>
          <w:p w14:paraId="5556D397" w14:textId="77777777" w:rsidR="00F925DD" w:rsidRDefault="00E705D7">
            <w:pPr>
              <w:textAlignment w:val="bottom"/>
              <w:rPr>
                <w:rFonts w:ascii="Times New Roman" w:hAnsi="Times New Roman"/>
                <w:sz w:val="15"/>
                <w:szCs w:val="15"/>
              </w:rPr>
            </w:pPr>
            <w:r>
              <w:rPr>
                <w:rFonts w:ascii="Arial" w:eastAsia="宋体" w:hAnsi="Arial" w:cs="Arial"/>
                <w:sz w:val="15"/>
                <w:szCs w:val="15"/>
              </w:rPr>
              <w:t>Core deposits</w:t>
            </w:r>
          </w:p>
        </w:tc>
        <w:tc>
          <w:tcPr>
            <w:tcW w:w="0" w:type="auto"/>
            <w:gridSpan w:val="2"/>
            <w:shd w:val="clear" w:color="auto" w:fill="CCEEFF"/>
            <w:tcMar>
              <w:top w:w="40" w:type="dxa"/>
              <w:left w:w="40" w:type="dxa"/>
              <w:bottom w:w="40" w:type="dxa"/>
            </w:tcMar>
            <w:vAlign w:val="bottom"/>
          </w:tcPr>
          <w:p w14:paraId="5556D39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673</w:t>
            </w:r>
          </w:p>
        </w:tc>
        <w:tc>
          <w:tcPr>
            <w:tcW w:w="0" w:type="auto"/>
            <w:shd w:val="clear" w:color="auto" w:fill="CCEEFF"/>
            <w:vAlign w:val="bottom"/>
          </w:tcPr>
          <w:p w14:paraId="5556D3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3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39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(381</w:t>
            </w:r>
          </w:p>
        </w:tc>
        <w:tc>
          <w:tcPr>
            <w:tcW w:w="0" w:type="auto"/>
            <w:shd w:val="clear" w:color="auto" w:fill="CCEEFF"/>
            <w:tcMar>
              <w:top w:w="40" w:type="dxa"/>
              <w:bottom w:w="40" w:type="dxa"/>
              <w:right w:w="40" w:type="dxa"/>
            </w:tcMar>
            <w:vAlign w:val="bottom"/>
          </w:tcPr>
          <w:p w14:paraId="5556D39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3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39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292</w:t>
            </w:r>
          </w:p>
        </w:tc>
        <w:tc>
          <w:tcPr>
            <w:tcW w:w="0" w:type="auto"/>
            <w:shd w:val="clear" w:color="auto" w:fill="CCEEFF"/>
            <w:vAlign w:val="bottom"/>
          </w:tcPr>
          <w:p w14:paraId="5556D39F" w14:textId="77777777" w:rsidR="00F925DD" w:rsidRDefault="00F925DD">
            <w:pPr>
              <w:textAlignment w:val="bottom"/>
              <w:rPr>
                <w:rFonts w:ascii="Times New Roman" w:hAnsi="Times New Roman"/>
                <w:sz w:val="20"/>
                <w:szCs w:val="20"/>
              </w:rPr>
            </w:pPr>
          </w:p>
        </w:tc>
      </w:tr>
      <w:tr w:rsidR="00F925DD" w14:paraId="5556D3AA" w14:textId="77777777">
        <w:tc>
          <w:tcPr>
            <w:tcW w:w="0" w:type="auto"/>
            <w:shd w:val="clear" w:color="auto" w:fill="auto"/>
            <w:tcMar>
              <w:top w:w="40" w:type="dxa"/>
              <w:left w:w="40" w:type="dxa"/>
              <w:bottom w:w="40" w:type="dxa"/>
              <w:right w:w="40" w:type="dxa"/>
            </w:tcMar>
            <w:vAlign w:val="bottom"/>
          </w:tcPr>
          <w:p w14:paraId="5556D3A1"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auto"/>
            <w:tcMar>
              <w:top w:w="40" w:type="dxa"/>
              <w:left w:w="40" w:type="dxa"/>
              <w:bottom w:w="40" w:type="dxa"/>
            </w:tcMar>
            <w:vAlign w:val="bottom"/>
          </w:tcPr>
          <w:p w14:paraId="5556D3A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100</w:t>
            </w:r>
          </w:p>
        </w:tc>
        <w:tc>
          <w:tcPr>
            <w:tcW w:w="0" w:type="auto"/>
            <w:shd w:val="clear" w:color="auto" w:fill="auto"/>
            <w:vAlign w:val="bottom"/>
          </w:tcPr>
          <w:p w14:paraId="5556D3A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A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(64</w:t>
            </w:r>
          </w:p>
        </w:tc>
        <w:tc>
          <w:tcPr>
            <w:tcW w:w="0" w:type="auto"/>
            <w:shd w:val="clear" w:color="auto" w:fill="auto"/>
            <w:tcMar>
              <w:top w:w="40" w:type="dxa"/>
              <w:bottom w:w="40" w:type="dxa"/>
              <w:right w:w="40" w:type="dxa"/>
            </w:tcMar>
            <w:vAlign w:val="bottom"/>
          </w:tcPr>
          <w:p w14:paraId="5556D3A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3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A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w:t>
            </w:r>
          </w:p>
        </w:tc>
        <w:tc>
          <w:tcPr>
            <w:tcW w:w="0" w:type="auto"/>
            <w:shd w:val="clear" w:color="auto" w:fill="auto"/>
            <w:vAlign w:val="bottom"/>
          </w:tcPr>
          <w:p w14:paraId="5556D3A9" w14:textId="77777777" w:rsidR="00F925DD" w:rsidRDefault="00F925DD">
            <w:pPr>
              <w:textAlignment w:val="bottom"/>
              <w:rPr>
                <w:rFonts w:ascii="Times New Roman" w:hAnsi="Times New Roman"/>
                <w:sz w:val="20"/>
                <w:szCs w:val="20"/>
              </w:rPr>
            </w:pPr>
          </w:p>
        </w:tc>
      </w:tr>
      <w:tr w:rsidR="00F925DD" w14:paraId="5556D3B7" w14:textId="77777777">
        <w:tc>
          <w:tcPr>
            <w:tcW w:w="0" w:type="auto"/>
            <w:shd w:val="clear" w:color="auto" w:fill="CCEEFF"/>
            <w:tcMar>
              <w:top w:w="40" w:type="dxa"/>
              <w:left w:w="40" w:type="dxa"/>
              <w:bottom w:w="40" w:type="dxa"/>
              <w:right w:w="40" w:type="dxa"/>
            </w:tcMar>
            <w:vAlign w:val="bottom"/>
          </w:tcPr>
          <w:p w14:paraId="5556D3AB"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3A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3A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4,280</w:t>
            </w:r>
          </w:p>
        </w:tc>
        <w:tc>
          <w:tcPr>
            <w:tcW w:w="0" w:type="auto"/>
            <w:tcBorders>
              <w:top w:val="single" w:sz="8" w:space="0" w:color="000000"/>
              <w:bottom w:val="double" w:sz="6" w:space="0" w:color="000000"/>
            </w:tcBorders>
            <w:shd w:val="clear" w:color="auto" w:fill="CCEEFF"/>
            <w:vAlign w:val="bottom"/>
          </w:tcPr>
          <w:p w14:paraId="5556D3A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3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3B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3B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(2,250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3B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3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3B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3B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2,030</w:t>
            </w:r>
          </w:p>
        </w:tc>
        <w:tc>
          <w:tcPr>
            <w:tcW w:w="0" w:type="auto"/>
            <w:tcBorders>
              <w:top w:val="single" w:sz="8" w:space="0" w:color="000000"/>
              <w:bottom w:val="double" w:sz="6" w:space="0" w:color="000000"/>
            </w:tcBorders>
            <w:shd w:val="clear" w:color="auto" w:fill="CCEEFF"/>
            <w:vAlign w:val="bottom"/>
          </w:tcPr>
          <w:p w14:paraId="5556D3B6" w14:textId="77777777" w:rsidR="00F925DD" w:rsidRDefault="00F925DD">
            <w:pPr>
              <w:textAlignment w:val="bottom"/>
              <w:rPr>
                <w:rFonts w:ascii="Times New Roman" w:hAnsi="Times New Roman"/>
                <w:sz w:val="20"/>
                <w:szCs w:val="20"/>
              </w:rPr>
            </w:pPr>
          </w:p>
        </w:tc>
      </w:tr>
      <w:tr w:rsidR="00F925DD" w14:paraId="5556D3BE" w14:textId="77777777">
        <w:tc>
          <w:tcPr>
            <w:tcW w:w="0" w:type="auto"/>
            <w:shd w:val="clear" w:color="auto" w:fill="auto"/>
            <w:tcMar>
              <w:top w:w="40" w:type="dxa"/>
              <w:left w:w="40" w:type="dxa"/>
              <w:bottom w:w="40" w:type="dxa"/>
              <w:right w:w="40" w:type="dxa"/>
            </w:tcMar>
            <w:vAlign w:val="bottom"/>
          </w:tcPr>
          <w:p w14:paraId="5556D3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3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3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3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3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3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3C5" w14:textId="77777777">
        <w:tc>
          <w:tcPr>
            <w:tcW w:w="0" w:type="auto"/>
            <w:shd w:val="clear" w:color="auto" w:fill="auto"/>
            <w:tcMar>
              <w:top w:w="40" w:type="dxa"/>
              <w:left w:w="40" w:type="dxa"/>
              <w:bottom w:w="40" w:type="dxa"/>
              <w:right w:w="40" w:type="dxa"/>
            </w:tcMar>
            <w:vAlign w:val="bottom"/>
          </w:tcPr>
          <w:p w14:paraId="5556D3B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December 31, 2018</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3C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w:t>
            </w:r>
            <w:r>
              <w:rPr>
                <w:rFonts w:ascii="Arial" w:eastAsia="宋体" w:hAnsi="Arial" w:cs="Arial"/>
                <w:b/>
                <w:bCs/>
                <w:sz w:val="15"/>
                <w:szCs w:val="15"/>
              </w:rPr>
              <w:br/>
              <w:t>Carrying</w:t>
            </w:r>
            <w:r>
              <w:rPr>
                <w:rFonts w:ascii="Arial" w:eastAsia="宋体" w:hAnsi="Arial" w:cs="Arial"/>
                <w:b/>
                <w:bCs/>
                <w:sz w:val="15"/>
                <w:szCs w:val="15"/>
              </w:rPr>
              <w:br/>
              <w:t>Amount</w:t>
            </w:r>
          </w:p>
        </w:tc>
        <w:tc>
          <w:tcPr>
            <w:tcW w:w="0" w:type="auto"/>
            <w:shd w:val="clear" w:color="auto" w:fill="auto"/>
            <w:tcMar>
              <w:top w:w="40" w:type="dxa"/>
              <w:left w:w="40" w:type="dxa"/>
              <w:bottom w:w="40" w:type="dxa"/>
              <w:right w:w="40" w:type="dxa"/>
            </w:tcMar>
            <w:vAlign w:val="bottom"/>
          </w:tcPr>
          <w:p w14:paraId="5556D3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3C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Accumulated</w:t>
            </w:r>
            <w:r>
              <w:rPr>
                <w:rFonts w:ascii="Arial" w:eastAsia="宋体" w:hAnsi="Arial" w:cs="Arial"/>
                <w:b/>
                <w:bCs/>
                <w:sz w:val="15"/>
                <w:szCs w:val="15"/>
              </w:rPr>
              <w:br/>
              <w:t>Amortization</w:t>
            </w:r>
          </w:p>
        </w:tc>
        <w:tc>
          <w:tcPr>
            <w:tcW w:w="0" w:type="auto"/>
            <w:shd w:val="clear" w:color="auto" w:fill="auto"/>
            <w:tcMar>
              <w:top w:w="40" w:type="dxa"/>
              <w:left w:w="40" w:type="dxa"/>
              <w:bottom w:w="40" w:type="dxa"/>
              <w:right w:w="40" w:type="dxa"/>
            </w:tcMar>
            <w:vAlign w:val="bottom"/>
          </w:tcPr>
          <w:p w14:paraId="5556D3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3C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Net</w:t>
            </w:r>
            <w:r>
              <w:rPr>
                <w:rFonts w:ascii="Arial" w:eastAsia="宋体" w:hAnsi="Arial" w:cs="Arial"/>
                <w:b/>
                <w:bCs/>
                <w:sz w:val="15"/>
                <w:szCs w:val="15"/>
              </w:rPr>
              <w:br/>
              <w:t>Carrying</w:t>
            </w:r>
            <w:r>
              <w:rPr>
                <w:rFonts w:ascii="Arial" w:eastAsia="宋体" w:hAnsi="Arial" w:cs="Arial"/>
                <w:b/>
                <w:bCs/>
                <w:sz w:val="15"/>
                <w:szCs w:val="15"/>
              </w:rPr>
              <w:br/>
              <w:t>Amount</w:t>
            </w:r>
          </w:p>
        </w:tc>
      </w:tr>
      <w:tr w:rsidR="00F925DD" w14:paraId="5556D3CC" w14:textId="77777777">
        <w:tc>
          <w:tcPr>
            <w:tcW w:w="0" w:type="auto"/>
            <w:shd w:val="clear" w:color="auto" w:fill="auto"/>
            <w:tcMar>
              <w:top w:w="40" w:type="dxa"/>
              <w:left w:w="40" w:type="dxa"/>
              <w:bottom w:w="40" w:type="dxa"/>
              <w:right w:w="40" w:type="dxa"/>
            </w:tcMar>
            <w:vAlign w:val="bottom"/>
          </w:tcPr>
          <w:p w14:paraId="5556D3C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3C7"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3C9"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3CB" w14:textId="77777777" w:rsidR="00F925DD" w:rsidRDefault="00F925DD">
            <w:pPr>
              <w:rPr>
                <w:rFonts w:ascii="Times New Roman" w:hAnsi="Times New Roman"/>
                <w:sz w:val="20"/>
                <w:szCs w:val="20"/>
              </w:rPr>
            </w:pPr>
          </w:p>
        </w:tc>
      </w:tr>
      <w:tr w:rsidR="00F925DD" w14:paraId="5556D3D3" w14:textId="77777777">
        <w:tc>
          <w:tcPr>
            <w:tcW w:w="0" w:type="auto"/>
            <w:shd w:val="clear" w:color="auto" w:fill="auto"/>
            <w:tcMar>
              <w:top w:w="40" w:type="dxa"/>
              <w:left w:w="40" w:type="dxa"/>
              <w:bottom w:w="40" w:type="dxa"/>
              <w:right w:w="40" w:type="dxa"/>
            </w:tcMar>
            <w:vAlign w:val="bottom"/>
          </w:tcPr>
          <w:p w14:paraId="5556D3C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Other intangible assets:</w:t>
            </w:r>
          </w:p>
        </w:tc>
        <w:tc>
          <w:tcPr>
            <w:tcW w:w="0" w:type="auto"/>
            <w:gridSpan w:val="3"/>
            <w:shd w:val="clear" w:color="auto" w:fill="auto"/>
            <w:tcMar>
              <w:top w:w="40" w:type="dxa"/>
              <w:left w:w="40" w:type="dxa"/>
              <w:bottom w:w="40" w:type="dxa"/>
              <w:right w:w="40" w:type="dxa"/>
            </w:tcMar>
            <w:vAlign w:val="bottom"/>
          </w:tcPr>
          <w:p w14:paraId="5556D3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3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3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3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3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3E0" w14:textId="77777777">
        <w:tc>
          <w:tcPr>
            <w:tcW w:w="0" w:type="auto"/>
            <w:shd w:val="clear" w:color="auto" w:fill="CCEEFF"/>
            <w:tcMar>
              <w:top w:w="40" w:type="dxa"/>
              <w:left w:w="40" w:type="dxa"/>
              <w:bottom w:w="40" w:type="dxa"/>
              <w:right w:w="40" w:type="dxa"/>
            </w:tcMar>
            <w:vAlign w:val="bottom"/>
          </w:tcPr>
          <w:p w14:paraId="5556D3D4" w14:textId="77777777" w:rsidR="00F925DD" w:rsidRDefault="00E705D7">
            <w:pPr>
              <w:textAlignment w:val="bottom"/>
              <w:rPr>
                <w:rFonts w:ascii="Times New Roman" w:hAnsi="Times New Roman"/>
                <w:sz w:val="15"/>
                <w:szCs w:val="15"/>
              </w:rPr>
            </w:pPr>
            <w:r>
              <w:rPr>
                <w:rFonts w:ascii="Arial" w:eastAsia="宋体" w:hAnsi="Arial" w:cs="Arial"/>
                <w:sz w:val="15"/>
                <w:szCs w:val="15"/>
                <w:shd w:val="clear" w:color="auto" w:fill="CCEEFF"/>
              </w:rPr>
              <w:t>Client relationships</w:t>
            </w:r>
          </w:p>
        </w:tc>
        <w:tc>
          <w:tcPr>
            <w:tcW w:w="0" w:type="auto"/>
            <w:shd w:val="clear" w:color="auto" w:fill="CCEEFF"/>
            <w:tcMar>
              <w:top w:w="40" w:type="dxa"/>
              <w:left w:w="40" w:type="dxa"/>
              <w:bottom w:w="40" w:type="dxa"/>
            </w:tcMar>
            <w:vAlign w:val="bottom"/>
          </w:tcPr>
          <w:p w14:paraId="5556D3D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3D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3,262</w:t>
            </w:r>
          </w:p>
        </w:tc>
        <w:tc>
          <w:tcPr>
            <w:tcW w:w="0" w:type="auto"/>
            <w:shd w:val="clear" w:color="auto" w:fill="CCEEFF"/>
            <w:vAlign w:val="bottom"/>
          </w:tcPr>
          <w:p w14:paraId="5556D3D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3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3D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3D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(1,605</w:t>
            </w:r>
          </w:p>
        </w:tc>
        <w:tc>
          <w:tcPr>
            <w:tcW w:w="0" w:type="auto"/>
            <w:shd w:val="clear" w:color="auto" w:fill="CCEEFF"/>
            <w:tcMar>
              <w:top w:w="40" w:type="dxa"/>
              <w:bottom w:w="40" w:type="dxa"/>
              <w:right w:w="40" w:type="dxa"/>
            </w:tcMar>
            <w:vAlign w:val="bottom"/>
          </w:tcPr>
          <w:p w14:paraId="5556D3D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3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3D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3D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1,657</w:t>
            </w:r>
          </w:p>
        </w:tc>
        <w:tc>
          <w:tcPr>
            <w:tcW w:w="0" w:type="auto"/>
            <w:shd w:val="clear" w:color="auto" w:fill="CCEEFF"/>
            <w:vAlign w:val="bottom"/>
          </w:tcPr>
          <w:p w14:paraId="5556D3DF" w14:textId="77777777" w:rsidR="00F925DD" w:rsidRDefault="00F925DD">
            <w:pPr>
              <w:textAlignment w:val="bottom"/>
              <w:rPr>
                <w:rFonts w:ascii="Times New Roman" w:hAnsi="Times New Roman"/>
                <w:sz w:val="20"/>
                <w:szCs w:val="20"/>
              </w:rPr>
            </w:pPr>
          </w:p>
        </w:tc>
      </w:tr>
      <w:tr w:rsidR="00F925DD" w14:paraId="5556D3EA" w14:textId="77777777">
        <w:tc>
          <w:tcPr>
            <w:tcW w:w="0" w:type="auto"/>
            <w:shd w:val="clear" w:color="auto" w:fill="auto"/>
            <w:tcMar>
              <w:top w:w="40" w:type="dxa"/>
              <w:left w:w="40" w:type="dxa"/>
              <w:bottom w:w="40" w:type="dxa"/>
              <w:right w:w="40" w:type="dxa"/>
            </w:tcMar>
            <w:vAlign w:val="bottom"/>
          </w:tcPr>
          <w:p w14:paraId="5556D3E1" w14:textId="77777777" w:rsidR="00F925DD" w:rsidRDefault="00E705D7">
            <w:pPr>
              <w:textAlignment w:val="bottom"/>
              <w:rPr>
                <w:rFonts w:ascii="Times New Roman" w:hAnsi="Times New Roman"/>
                <w:sz w:val="15"/>
                <w:szCs w:val="15"/>
              </w:rPr>
            </w:pPr>
            <w:r>
              <w:rPr>
                <w:rFonts w:ascii="Arial" w:eastAsia="宋体" w:hAnsi="Arial" w:cs="Arial"/>
                <w:sz w:val="15"/>
                <w:szCs w:val="15"/>
              </w:rPr>
              <w:t>Technology</w:t>
            </w:r>
          </w:p>
        </w:tc>
        <w:tc>
          <w:tcPr>
            <w:tcW w:w="0" w:type="auto"/>
            <w:gridSpan w:val="2"/>
            <w:shd w:val="clear" w:color="auto" w:fill="auto"/>
            <w:tcMar>
              <w:top w:w="40" w:type="dxa"/>
              <w:left w:w="40" w:type="dxa"/>
              <w:bottom w:w="40" w:type="dxa"/>
            </w:tcMar>
            <w:vAlign w:val="bottom"/>
          </w:tcPr>
          <w:p w14:paraId="5556D3E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389</w:t>
            </w:r>
          </w:p>
        </w:tc>
        <w:tc>
          <w:tcPr>
            <w:tcW w:w="0" w:type="auto"/>
            <w:shd w:val="clear" w:color="auto" w:fill="auto"/>
            <w:vAlign w:val="bottom"/>
          </w:tcPr>
          <w:p w14:paraId="5556D3E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E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w:t>
            </w:r>
          </w:p>
        </w:tc>
        <w:tc>
          <w:tcPr>
            <w:tcW w:w="0" w:type="auto"/>
            <w:shd w:val="clear" w:color="auto" w:fill="auto"/>
            <w:tcMar>
              <w:top w:w="40" w:type="dxa"/>
              <w:bottom w:w="40" w:type="dxa"/>
              <w:right w:w="40" w:type="dxa"/>
            </w:tcMar>
            <w:vAlign w:val="bottom"/>
          </w:tcPr>
          <w:p w14:paraId="5556D3E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D3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E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340</w:t>
            </w:r>
          </w:p>
        </w:tc>
        <w:tc>
          <w:tcPr>
            <w:tcW w:w="0" w:type="auto"/>
            <w:shd w:val="clear" w:color="auto" w:fill="auto"/>
            <w:vAlign w:val="bottom"/>
          </w:tcPr>
          <w:p w14:paraId="5556D3E9" w14:textId="77777777" w:rsidR="00F925DD" w:rsidRDefault="00F925DD">
            <w:pPr>
              <w:textAlignment w:val="bottom"/>
              <w:rPr>
                <w:rFonts w:ascii="Times New Roman" w:hAnsi="Times New Roman"/>
                <w:sz w:val="20"/>
                <w:szCs w:val="20"/>
              </w:rPr>
            </w:pPr>
          </w:p>
        </w:tc>
      </w:tr>
      <w:tr w:rsidR="00F925DD" w14:paraId="5556D3F4" w14:textId="77777777">
        <w:tc>
          <w:tcPr>
            <w:tcW w:w="0" w:type="auto"/>
            <w:shd w:val="clear" w:color="auto" w:fill="CCEEFF"/>
            <w:tcMar>
              <w:top w:w="40" w:type="dxa"/>
              <w:left w:w="40" w:type="dxa"/>
              <w:bottom w:w="40" w:type="dxa"/>
              <w:right w:w="40" w:type="dxa"/>
            </w:tcMar>
            <w:vAlign w:val="bottom"/>
          </w:tcPr>
          <w:p w14:paraId="5556D3EB" w14:textId="77777777" w:rsidR="00F925DD" w:rsidRDefault="00E705D7">
            <w:pPr>
              <w:textAlignment w:val="bottom"/>
              <w:rPr>
                <w:rFonts w:ascii="Times New Roman" w:hAnsi="Times New Roman"/>
                <w:sz w:val="15"/>
                <w:szCs w:val="15"/>
              </w:rPr>
            </w:pPr>
            <w:r>
              <w:rPr>
                <w:rFonts w:ascii="Arial" w:eastAsia="宋体" w:hAnsi="Arial" w:cs="Arial"/>
                <w:sz w:val="15"/>
                <w:szCs w:val="15"/>
                <w:shd w:val="clear" w:color="auto" w:fill="CCEEFF"/>
              </w:rPr>
              <w:t>Core deposits</w:t>
            </w:r>
          </w:p>
        </w:tc>
        <w:tc>
          <w:tcPr>
            <w:tcW w:w="0" w:type="auto"/>
            <w:gridSpan w:val="2"/>
            <w:shd w:val="clear" w:color="auto" w:fill="CCEEFF"/>
            <w:tcMar>
              <w:top w:w="40" w:type="dxa"/>
              <w:left w:w="40" w:type="dxa"/>
              <w:bottom w:w="40" w:type="dxa"/>
            </w:tcMar>
            <w:vAlign w:val="bottom"/>
          </w:tcPr>
          <w:p w14:paraId="5556D3E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676</w:t>
            </w:r>
          </w:p>
        </w:tc>
        <w:tc>
          <w:tcPr>
            <w:tcW w:w="0" w:type="auto"/>
            <w:shd w:val="clear" w:color="auto" w:fill="CCEEFF"/>
            <w:vAlign w:val="bottom"/>
          </w:tcPr>
          <w:p w14:paraId="5556D3E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3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3E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(350</w:t>
            </w:r>
          </w:p>
        </w:tc>
        <w:tc>
          <w:tcPr>
            <w:tcW w:w="0" w:type="auto"/>
            <w:shd w:val="clear" w:color="auto" w:fill="CCEEFF"/>
            <w:tcMar>
              <w:top w:w="40" w:type="dxa"/>
              <w:bottom w:w="40" w:type="dxa"/>
              <w:right w:w="40" w:type="dxa"/>
            </w:tcMar>
            <w:vAlign w:val="bottom"/>
          </w:tcPr>
          <w:p w14:paraId="5556D3F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3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3F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326</w:t>
            </w:r>
          </w:p>
        </w:tc>
        <w:tc>
          <w:tcPr>
            <w:tcW w:w="0" w:type="auto"/>
            <w:shd w:val="clear" w:color="auto" w:fill="CCEEFF"/>
            <w:vAlign w:val="bottom"/>
          </w:tcPr>
          <w:p w14:paraId="5556D3F3" w14:textId="77777777" w:rsidR="00F925DD" w:rsidRDefault="00F925DD">
            <w:pPr>
              <w:textAlignment w:val="bottom"/>
              <w:rPr>
                <w:rFonts w:ascii="Times New Roman" w:hAnsi="Times New Roman"/>
                <w:sz w:val="20"/>
                <w:szCs w:val="20"/>
              </w:rPr>
            </w:pPr>
          </w:p>
        </w:tc>
      </w:tr>
      <w:tr w:rsidR="00F925DD" w14:paraId="5556D3FE" w14:textId="77777777">
        <w:tc>
          <w:tcPr>
            <w:tcW w:w="0" w:type="auto"/>
            <w:shd w:val="clear" w:color="auto" w:fill="auto"/>
            <w:tcMar>
              <w:top w:w="40" w:type="dxa"/>
              <w:left w:w="40" w:type="dxa"/>
              <w:bottom w:w="40" w:type="dxa"/>
              <w:right w:w="40" w:type="dxa"/>
            </w:tcMar>
            <w:vAlign w:val="bottom"/>
          </w:tcPr>
          <w:p w14:paraId="5556D3F5"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auto"/>
            <w:tcMar>
              <w:top w:w="40" w:type="dxa"/>
              <w:left w:w="40" w:type="dxa"/>
              <w:bottom w:w="40" w:type="dxa"/>
            </w:tcMar>
            <w:vAlign w:val="bottom"/>
          </w:tcPr>
          <w:p w14:paraId="5556D3F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w:t>
            </w:r>
          </w:p>
        </w:tc>
        <w:tc>
          <w:tcPr>
            <w:tcW w:w="0" w:type="auto"/>
            <w:shd w:val="clear" w:color="auto" w:fill="auto"/>
            <w:vAlign w:val="bottom"/>
          </w:tcPr>
          <w:p w14:paraId="5556D3F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3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F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(57</w:t>
            </w:r>
          </w:p>
        </w:tc>
        <w:tc>
          <w:tcPr>
            <w:tcW w:w="0" w:type="auto"/>
            <w:shd w:val="clear" w:color="auto" w:fill="auto"/>
            <w:tcMar>
              <w:top w:w="40" w:type="dxa"/>
              <w:bottom w:w="40" w:type="dxa"/>
              <w:right w:w="40" w:type="dxa"/>
            </w:tcMar>
            <w:vAlign w:val="bottom"/>
          </w:tcPr>
          <w:p w14:paraId="5556D3F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D3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3F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46</w:t>
            </w:r>
          </w:p>
        </w:tc>
        <w:tc>
          <w:tcPr>
            <w:tcW w:w="0" w:type="auto"/>
            <w:shd w:val="clear" w:color="auto" w:fill="auto"/>
            <w:vAlign w:val="bottom"/>
          </w:tcPr>
          <w:p w14:paraId="5556D3FD" w14:textId="77777777" w:rsidR="00F925DD" w:rsidRDefault="00F925DD">
            <w:pPr>
              <w:textAlignment w:val="bottom"/>
              <w:rPr>
                <w:rFonts w:ascii="Times New Roman" w:hAnsi="Times New Roman"/>
                <w:sz w:val="20"/>
                <w:szCs w:val="20"/>
              </w:rPr>
            </w:pPr>
          </w:p>
        </w:tc>
      </w:tr>
      <w:tr w:rsidR="00F925DD" w14:paraId="5556D40B" w14:textId="77777777">
        <w:tc>
          <w:tcPr>
            <w:tcW w:w="0" w:type="auto"/>
            <w:shd w:val="clear" w:color="auto" w:fill="CCEEFF"/>
            <w:tcMar>
              <w:top w:w="40" w:type="dxa"/>
              <w:left w:w="40" w:type="dxa"/>
              <w:bottom w:w="40" w:type="dxa"/>
              <w:right w:w="40" w:type="dxa"/>
            </w:tcMar>
            <w:vAlign w:val="bottom"/>
          </w:tcPr>
          <w:p w14:paraId="5556D3FF" w14:textId="77777777" w:rsidR="00F925DD" w:rsidRDefault="00E705D7">
            <w:pPr>
              <w:textAlignment w:val="bottom"/>
              <w:rPr>
                <w:rFonts w:ascii="Times New Roman" w:hAnsi="Times New Roman"/>
                <w:sz w:val="15"/>
                <w:szCs w:val="15"/>
              </w:rPr>
            </w:pPr>
            <w:r>
              <w:rPr>
                <w:rFonts w:ascii="Arial" w:eastAsia="宋体" w:hAnsi="Arial" w:cs="Arial"/>
                <w:sz w:val="15"/>
                <w:szCs w:val="15"/>
                <w:shd w:val="clear" w:color="auto" w:fill="CCEEFF"/>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40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40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4,430</w:t>
            </w:r>
          </w:p>
        </w:tc>
        <w:tc>
          <w:tcPr>
            <w:tcW w:w="0" w:type="auto"/>
            <w:tcBorders>
              <w:top w:val="single" w:sz="8" w:space="0" w:color="000000"/>
              <w:bottom w:val="double" w:sz="6" w:space="0" w:color="000000"/>
            </w:tcBorders>
            <w:shd w:val="clear" w:color="auto" w:fill="CCEEFF"/>
            <w:vAlign w:val="bottom"/>
          </w:tcPr>
          <w:p w14:paraId="5556D40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4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40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40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(2,061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40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4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40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40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2,369</w:t>
            </w:r>
          </w:p>
        </w:tc>
        <w:tc>
          <w:tcPr>
            <w:tcW w:w="0" w:type="auto"/>
            <w:tcBorders>
              <w:top w:val="single" w:sz="8" w:space="0" w:color="000000"/>
              <w:bottom w:val="double" w:sz="6" w:space="0" w:color="000000"/>
            </w:tcBorders>
            <w:shd w:val="clear" w:color="auto" w:fill="CCEEFF"/>
            <w:vAlign w:val="bottom"/>
          </w:tcPr>
          <w:p w14:paraId="5556D40A" w14:textId="77777777" w:rsidR="00F925DD" w:rsidRDefault="00F925DD">
            <w:pPr>
              <w:textAlignment w:val="bottom"/>
              <w:rPr>
                <w:rFonts w:ascii="Times New Roman" w:hAnsi="Times New Roman"/>
                <w:sz w:val="20"/>
                <w:szCs w:val="20"/>
              </w:rPr>
            </w:pPr>
          </w:p>
        </w:tc>
      </w:tr>
    </w:tbl>
    <w:p w14:paraId="5556D40C" w14:textId="77777777" w:rsidR="00F925DD" w:rsidRDefault="00F925DD">
      <w:pPr>
        <w:spacing w:line="288" w:lineRule="auto"/>
        <w:jc w:val="both"/>
        <w:rPr>
          <w:rFonts w:ascii="Times New Roman" w:hAnsi="Times New Roman"/>
          <w:sz w:val="20"/>
          <w:szCs w:val="20"/>
        </w:rPr>
      </w:pPr>
    </w:p>
    <w:p w14:paraId="5556D40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Amortization expense related to other intangible assets was $236 million</w:t>
      </w:r>
      <w:r>
        <w:rPr>
          <w:rFonts w:ascii="Arial" w:eastAsia="宋体" w:hAnsi="Arial" w:cs="Arial"/>
          <w:sz w:val="20"/>
          <w:szCs w:val="20"/>
          <w:shd w:val="clear" w:color="auto" w:fill="FFFFFF"/>
        </w:rPr>
        <w:t>,</w:t>
      </w:r>
      <w:r>
        <w:rPr>
          <w:rFonts w:ascii="Arial" w:eastAsia="宋体" w:hAnsi="Arial" w:cs="Arial"/>
          <w:sz w:val="20"/>
          <w:szCs w:val="20"/>
        </w:rPr>
        <w:t xml:space="preserve"> $226 million and $214 million in 2019, 2018 and 2017, respectively.</w:t>
      </w:r>
    </w:p>
    <w:p w14:paraId="5556D40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Expected future amortization expense for other intangible assets recorded as of December 31, 2019 is as follows:</w:t>
      </w:r>
    </w:p>
    <w:tbl>
      <w:tblPr>
        <w:tblW w:w="5000" w:type="pct"/>
        <w:tblCellMar>
          <w:left w:w="0" w:type="dxa"/>
          <w:right w:w="0" w:type="dxa"/>
        </w:tblCellMar>
        <w:tblLook w:val="04A0" w:firstRow="1" w:lastRow="0" w:firstColumn="1" w:lastColumn="0" w:noHBand="0" w:noVBand="1"/>
      </w:tblPr>
      <w:tblGrid>
        <w:gridCol w:w="5219"/>
        <w:gridCol w:w="125"/>
        <w:gridCol w:w="2893"/>
        <w:gridCol w:w="69"/>
      </w:tblGrid>
      <w:tr w:rsidR="00F925DD" w14:paraId="5556D410" w14:textId="77777777">
        <w:tc>
          <w:tcPr>
            <w:tcW w:w="0" w:type="auto"/>
            <w:gridSpan w:val="4"/>
            <w:shd w:val="clear" w:color="auto" w:fill="auto"/>
            <w:vAlign w:val="center"/>
          </w:tcPr>
          <w:p w14:paraId="5556D40F" w14:textId="77777777" w:rsidR="00F925DD" w:rsidRDefault="00F925DD">
            <w:pPr>
              <w:rPr>
                <w:rFonts w:ascii="Times New Roman" w:hAnsi="Times New Roman"/>
                <w:sz w:val="20"/>
                <w:szCs w:val="20"/>
              </w:rPr>
            </w:pPr>
          </w:p>
        </w:tc>
      </w:tr>
      <w:tr w:rsidR="00F925DD" w14:paraId="5556D415" w14:textId="77777777">
        <w:tc>
          <w:tcPr>
            <w:tcW w:w="3150" w:type="pct"/>
            <w:shd w:val="clear" w:color="auto" w:fill="auto"/>
            <w:vAlign w:val="center"/>
          </w:tcPr>
          <w:p w14:paraId="5556D411" w14:textId="77777777" w:rsidR="00F925DD" w:rsidRDefault="00F925DD">
            <w:pPr>
              <w:rPr>
                <w:rFonts w:ascii="Times New Roman" w:hAnsi="Times New Roman"/>
                <w:sz w:val="20"/>
                <w:szCs w:val="20"/>
              </w:rPr>
            </w:pPr>
          </w:p>
        </w:tc>
        <w:tc>
          <w:tcPr>
            <w:tcW w:w="50" w:type="pct"/>
            <w:shd w:val="clear" w:color="auto" w:fill="auto"/>
            <w:vAlign w:val="center"/>
          </w:tcPr>
          <w:p w14:paraId="5556D412" w14:textId="77777777" w:rsidR="00F925DD" w:rsidRDefault="00F925DD">
            <w:pPr>
              <w:rPr>
                <w:rFonts w:ascii="Times New Roman" w:hAnsi="Times New Roman"/>
                <w:sz w:val="20"/>
                <w:szCs w:val="20"/>
              </w:rPr>
            </w:pPr>
          </w:p>
        </w:tc>
        <w:tc>
          <w:tcPr>
            <w:tcW w:w="1750" w:type="pct"/>
            <w:shd w:val="clear" w:color="auto" w:fill="auto"/>
            <w:vAlign w:val="center"/>
          </w:tcPr>
          <w:p w14:paraId="5556D413" w14:textId="77777777" w:rsidR="00F925DD" w:rsidRDefault="00F925DD">
            <w:pPr>
              <w:rPr>
                <w:rFonts w:ascii="Times New Roman" w:hAnsi="Times New Roman"/>
                <w:sz w:val="20"/>
                <w:szCs w:val="20"/>
              </w:rPr>
            </w:pPr>
          </w:p>
        </w:tc>
        <w:tc>
          <w:tcPr>
            <w:tcW w:w="50" w:type="pct"/>
            <w:shd w:val="clear" w:color="auto" w:fill="auto"/>
            <w:vAlign w:val="center"/>
          </w:tcPr>
          <w:p w14:paraId="5556D414" w14:textId="77777777" w:rsidR="00F925DD" w:rsidRDefault="00F925DD">
            <w:pPr>
              <w:rPr>
                <w:rFonts w:ascii="Times New Roman" w:hAnsi="Times New Roman"/>
                <w:sz w:val="20"/>
                <w:szCs w:val="20"/>
              </w:rPr>
            </w:pPr>
          </w:p>
        </w:tc>
      </w:tr>
      <w:tr w:rsidR="00F925DD" w14:paraId="5556D418" w14:textId="77777777">
        <w:tc>
          <w:tcPr>
            <w:tcW w:w="0" w:type="auto"/>
            <w:shd w:val="clear" w:color="auto" w:fill="auto"/>
            <w:tcMar>
              <w:top w:w="40" w:type="dxa"/>
              <w:left w:w="40" w:type="dxa"/>
              <w:bottom w:w="40" w:type="dxa"/>
              <w:right w:w="40" w:type="dxa"/>
            </w:tcMar>
            <w:vAlign w:val="bottom"/>
          </w:tcPr>
          <w:p w14:paraId="5556D41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41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Future Amortization</w:t>
            </w:r>
          </w:p>
        </w:tc>
      </w:tr>
      <w:tr w:rsidR="00F925DD" w14:paraId="5556D41B" w14:textId="77777777">
        <w:tc>
          <w:tcPr>
            <w:tcW w:w="0" w:type="auto"/>
            <w:shd w:val="clear" w:color="auto" w:fill="auto"/>
            <w:tcMar>
              <w:top w:w="40" w:type="dxa"/>
              <w:left w:w="40" w:type="dxa"/>
              <w:bottom w:w="40" w:type="dxa"/>
              <w:right w:w="40" w:type="dxa"/>
            </w:tcMar>
            <w:vAlign w:val="bottom"/>
          </w:tcPr>
          <w:p w14:paraId="5556D41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Years Ended December 31,</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D4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420" w14:textId="77777777">
        <w:tc>
          <w:tcPr>
            <w:tcW w:w="0" w:type="auto"/>
            <w:shd w:val="clear" w:color="auto" w:fill="CCEEFF"/>
            <w:tcMar>
              <w:top w:w="40" w:type="dxa"/>
              <w:left w:w="40" w:type="dxa"/>
              <w:bottom w:w="40" w:type="dxa"/>
              <w:right w:w="40" w:type="dxa"/>
            </w:tcMar>
            <w:vAlign w:val="bottom"/>
          </w:tcPr>
          <w:p w14:paraId="5556D41C" w14:textId="77777777" w:rsidR="00F925DD" w:rsidRDefault="00E705D7">
            <w:pPr>
              <w:textAlignment w:val="bottom"/>
              <w:rPr>
                <w:rFonts w:ascii="Times New Roman" w:hAnsi="Times New Roman"/>
                <w:sz w:val="15"/>
                <w:szCs w:val="15"/>
              </w:rPr>
            </w:pPr>
            <w:r>
              <w:rPr>
                <w:rFonts w:ascii="Arial" w:eastAsia="宋体" w:hAnsi="Arial" w:cs="Arial"/>
                <w:sz w:val="15"/>
                <w:szCs w:val="15"/>
              </w:rPr>
              <w:t>2020</w:t>
            </w:r>
          </w:p>
        </w:tc>
        <w:tc>
          <w:tcPr>
            <w:tcW w:w="0" w:type="auto"/>
            <w:shd w:val="clear" w:color="auto" w:fill="CCEEFF"/>
            <w:tcMar>
              <w:top w:w="40" w:type="dxa"/>
              <w:left w:w="40" w:type="dxa"/>
              <w:bottom w:w="40" w:type="dxa"/>
            </w:tcMar>
            <w:vAlign w:val="bottom"/>
          </w:tcPr>
          <w:p w14:paraId="5556D41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41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240</w:t>
            </w:r>
          </w:p>
        </w:tc>
        <w:tc>
          <w:tcPr>
            <w:tcW w:w="0" w:type="auto"/>
            <w:shd w:val="clear" w:color="auto" w:fill="CCEEFF"/>
            <w:vAlign w:val="bottom"/>
          </w:tcPr>
          <w:p w14:paraId="5556D41F" w14:textId="77777777" w:rsidR="00F925DD" w:rsidRDefault="00F925DD">
            <w:pPr>
              <w:textAlignment w:val="bottom"/>
              <w:rPr>
                <w:rFonts w:ascii="Times New Roman" w:hAnsi="Times New Roman"/>
                <w:sz w:val="20"/>
                <w:szCs w:val="20"/>
              </w:rPr>
            </w:pPr>
          </w:p>
        </w:tc>
      </w:tr>
      <w:tr w:rsidR="00F925DD" w14:paraId="5556D424" w14:textId="77777777">
        <w:tc>
          <w:tcPr>
            <w:tcW w:w="0" w:type="auto"/>
            <w:shd w:val="clear" w:color="auto" w:fill="auto"/>
            <w:tcMar>
              <w:top w:w="40" w:type="dxa"/>
              <w:left w:w="40" w:type="dxa"/>
              <w:bottom w:w="40" w:type="dxa"/>
              <w:right w:w="40" w:type="dxa"/>
            </w:tcMar>
            <w:vAlign w:val="bottom"/>
          </w:tcPr>
          <w:p w14:paraId="5556D421" w14:textId="77777777" w:rsidR="00F925DD" w:rsidRDefault="00E705D7">
            <w:pPr>
              <w:textAlignment w:val="bottom"/>
              <w:rPr>
                <w:rFonts w:ascii="Times New Roman" w:hAnsi="Times New Roman"/>
                <w:sz w:val="15"/>
                <w:szCs w:val="15"/>
              </w:rPr>
            </w:pPr>
            <w:r>
              <w:rPr>
                <w:rFonts w:ascii="Arial" w:eastAsia="宋体" w:hAnsi="Arial" w:cs="Arial"/>
                <w:sz w:val="15"/>
                <w:szCs w:val="15"/>
              </w:rPr>
              <w:t>2021</w:t>
            </w:r>
          </w:p>
        </w:tc>
        <w:tc>
          <w:tcPr>
            <w:tcW w:w="0" w:type="auto"/>
            <w:gridSpan w:val="2"/>
            <w:shd w:val="clear" w:color="auto" w:fill="auto"/>
            <w:tcMar>
              <w:top w:w="40" w:type="dxa"/>
              <w:left w:w="40" w:type="dxa"/>
              <w:bottom w:w="40" w:type="dxa"/>
            </w:tcMar>
            <w:vAlign w:val="bottom"/>
          </w:tcPr>
          <w:p w14:paraId="5556D42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230</w:t>
            </w:r>
          </w:p>
        </w:tc>
        <w:tc>
          <w:tcPr>
            <w:tcW w:w="0" w:type="auto"/>
            <w:shd w:val="clear" w:color="auto" w:fill="auto"/>
            <w:vAlign w:val="bottom"/>
          </w:tcPr>
          <w:p w14:paraId="5556D423" w14:textId="77777777" w:rsidR="00F925DD" w:rsidRDefault="00F925DD">
            <w:pPr>
              <w:textAlignment w:val="bottom"/>
              <w:rPr>
                <w:rFonts w:ascii="Times New Roman" w:hAnsi="Times New Roman"/>
                <w:sz w:val="20"/>
                <w:szCs w:val="20"/>
              </w:rPr>
            </w:pPr>
          </w:p>
        </w:tc>
      </w:tr>
      <w:tr w:rsidR="00F925DD" w14:paraId="5556D428" w14:textId="77777777">
        <w:tc>
          <w:tcPr>
            <w:tcW w:w="0" w:type="auto"/>
            <w:shd w:val="clear" w:color="auto" w:fill="CCEEFF"/>
            <w:tcMar>
              <w:top w:w="40" w:type="dxa"/>
              <w:left w:w="40" w:type="dxa"/>
              <w:bottom w:w="40" w:type="dxa"/>
              <w:right w:w="40" w:type="dxa"/>
            </w:tcMar>
            <w:vAlign w:val="bottom"/>
          </w:tcPr>
          <w:p w14:paraId="5556D425" w14:textId="77777777" w:rsidR="00F925DD" w:rsidRDefault="00E705D7">
            <w:pPr>
              <w:textAlignment w:val="bottom"/>
              <w:rPr>
                <w:rFonts w:ascii="Times New Roman" w:hAnsi="Times New Roman"/>
                <w:sz w:val="15"/>
                <w:szCs w:val="15"/>
              </w:rPr>
            </w:pPr>
            <w:r>
              <w:rPr>
                <w:rFonts w:ascii="Arial" w:eastAsia="宋体" w:hAnsi="Arial" w:cs="Arial"/>
                <w:sz w:val="15"/>
                <w:szCs w:val="15"/>
              </w:rPr>
              <w:t>2022</w:t>
            </w:r>
          </w:p>
        </w:tc>
        <w:tc>
          <w:tcPr>
            <w:tcW w:w="0" w:type="auto"/>
            <w:gridSpan w:val="2"/>
            <w:shd w:val="clear" w:color="auto" w:fill="CCEEFF"/>
            <w:tcMar>
              <w:top w:w="40" w:type="dxa"/>
              <w:left w:w="40" w:type="dxa"/>
              <w:bottom w:w="40" w:type="dxa"/>
            </w:tcMar>
            <w:vAlign w:val="bottom"/>
          </w:tcPr>
          <w:p w14:paraId="5556D42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227</w:t>
            </w:r>
          </w:p>
        </w:tc>
        <w:tc>
          <w:tcPr>
            <w:tcW w:w="0" w:type="auto"/>
            <w:shd w:val="clear" w:color="auto" w:fill="CCEEFF"/>
            <w:vAlign w:val="bottom"/>
          </w:tcPr>
          <w:p w14:paraId="5556D427" w14:textId="77777777" w:rsidR="00F925DD" w:rsidRDefault="00F925DD">
            <w:pPr>
              <w:textAlignment w:val="bottom"/>
              <w:rPr>
                <w:rFonts w:ascii="Times New Roman" w:hAnsi="Times New Roman"/>
                <w:sz w:val="20"/>
                <w:szCs w:val="20"/>
              </w:rPr>
            </w:pPr>
          </w:p>
        </w:tc>
      </w:tr>
      <w:tr w:rsidR="00F925DD" w14:paraId="5556D42C" w14:textId="77777777">
        <w:tc>
          <w:tcPr>
            <w:tcW w:w="0" w:type="auto"/>
            <w:shd w:val="clear" w:color="auto" w:fill="auto"/>
            <w:tcMar>
              <w:top w:w="40" w:type="dxa"/>
              <w:left w:w="40" w:type="dxa"/>
              <w:bottom w:w="40" w:type="dxa"/>
              <w:right w:w="40" w:type="dxa"/>
            </w:tcMar>
            <w:vAlign w:val="bottom"/>
          </w:tcPr>
          <w:p w14:paraId="5556D429" w14:textId="77777777" w:rsidR="00F925DD" w:rsidRDefault="00E705D7">
            <w:pPr>
              <w:textAlignment w:val="bottom"/>
              <w:rPr>
                <w:rFonts w:ascii="Times New Roman" w:hAnsi="Times New Roman"/>
                <w:sz w:val="15"/>
                <w:szCs w:val="15"/>
              </w:rPr>
            </w:pPr>
            <w:r>
              <w:rPr>
                <w:rFonts w:ascii="Arial" w:eastAsia="宋体" w:hAnsi="Arial" w:cs="Arial"/>
                <w:sz w:val="15"/>
                <w:szCs w:val="15"/>
              </w:rPr>
              <w:t>2023</w:t>
            </w:r>
          </w:p>
        </w:tc>
        <w:tc>
          <w:tcPr>
            <w:tcW w:w="0" w:type="auto"/>
            <w:gridSpan w:val="2"/>
            <w:shd w:val="clear" w:color="auto" w:fill="auto"/>
            <w:tcMar>
              <w:top w:w="40" w:type="dxa"/>
              <w:left w:w="40" w:type="dxa"/>
              <w:bottom w:w="40" w:type="dxa"/>
            </w:tcMar>
            <w:vAlign w:val="bottom"/>
          </w:tcPr>
          <w:p w14:paraId="5556D42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226</w:t>
            </w:r>
          </w:p>
        </w:tc>
        <w:tc>
          <w:tcPr>
            <w:tcW w:w="0" w:type="auto"/>
            <w:shd w:val="clear" w:color="auto" w:fill="auto"/>
            <w:vAlign w:val="bottom"/>
          </w:tcPr>
          <w:p w14:paraId="5556D42B" w14:textId="77777777" w:rsidR="00F925DD" w:rsidRDefault="00F925DD">
            <w:pPr>
              <w:textAlignment w:val="bottom"/>
              <w:rPr>
                <w:rFonts w:ascii="Times New Roman" w:hAnsi="Times New Roman"/>
                <w:sz w:val="20"/>
                <w:szCs w:val="20"/>
              </w:rPr>
            </w:pPr>
          </w:p>
        </w:tc>
      </w:tr>
      <w:tr w:rsidR="00F925DD" w14:paraId="5556D430" w14:textId="77777777">
        <w:tc>
          <w:tcPr>
            <w:tcW w:w="0" w:type="auto"/>
            <w:shd w:val="clear" w:color="auto" w:fill="CCEEFF"/>
            <w:tcMar>
              <w:top w:w="40" w:type="dxa"/>
              <w:left w:w="40" w:type="dxa"/>
              <w:bottom w:w="40" w:type="dxa"/>
              <w:right w:w="40" w:type="dxa"/>
            </w:tcMar>
            <w:vAlign w:val="bottom"/>
          </w:tcPr>
          <w:p w14:paraId="5556D42D" w14:textId="77777777" w:rsidR="00F925DD" w:rsidRDefault="00E705D7">
            <w:pPr>
              <w:textAlignment w:val="bottom"/>
              <w:rPr>
                <w:rFonts w:ascii="Times New Roman" w:hAnsi="Times New Roman"/>
                <w:sz w:val="15"/>
                <w:szCs w:val="15"/>
              </w:rPr>
            </w:pPr>
            <w:r>
              <w:rPr>
                <w:rFonts w:ascii="Arial" w:eastAsia="宋体" w:hAnsi="Arial" w:cs="Arial"/>
                <w:sz w:val="15"/>
                <w:szCs w:val="15"/>
              </w:rPr>
              <w:t>2024</w:t>
            </w:r>
          </w:p>
        </w:tc>
        <w:tc>
          <w:tcPr>
            <w:tcW w:w="0" w:type="auto"/>
            <w:gridSpan w:val="2"/>
            <w:shd w:val="clear" w:color="auto" w:fill="CCEEFF"/>
            <w:tcMar>
              <w:top w:w="40" w:type="dxa"/>
              <w:left w:w="40" w:type="dxa"/>
              <w:bottom w:w="40" w:type="dxa"/>
            </w:tcMar>
            <w:vAlign w:val="bottom"/>
          </w:tcPr>
          <w:p w14:paraId="5556D42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220</w:t>
            </w:r>
          </w:p>
        </w:tc>
        <w:tc>
          <w:tcPr>
            <w:tcW w:w="0" w:type="auto"/>
            <w:shd w:val="clear" w:color="auto" w:fill="CCEEFF"/>
            <w:vAlign w:val="bottom"/>
          </w:tcPr>
          <w:p w14:paraId="5556D42F" w14:textId="77777777" w:rsidR="00F925DD" w:rsidRDefault="00F925DD">
            <w:pPr>
              <w:textAlignment w:val="bottom"/>
              <w:rPr>
                <w:rFonts w:ascii="Times New Roman" w:hAnsi="Times New Roman"/>
                <w:sz w:val="20"/>
                <w:szCs w:val="20"/>
              </w:rPr>
            </w:pPr>
          </w:p>
        </w:tc>
      </w:tr>
    </w:tbl>
    <w:p w14:paraId="5556D431" w14:textId="77777777" w:rsidR="00F925DD" w:rsidRDefault="00F925DD">
      <w:pPr>
        <w:spacing w:line="288" w:lineRule="auto"/>
        <w:jc w:val="both"/>
        <w:rPr>
          <w:rFonts w:ascii="Times New Roman" w:hAnsi="Times New Roman"/>
          <w:sz w:val="20"/>
          <w:szCs w:val="20"/>
        </w:rPr>
      </w:pPr>
    </w:p>
    <w:p w14:paraId="5556D432" w14:textId="77777777" w:rsidR="00F925DD" w:rsidRDefault="00F925DD">
      <w:pPr>
        <w:rPr>
          <w:rFonts w:ascii="Times New Roman" w:hAnsi="Times New Roman"/>
          <w:sz w:val="20"/>
          <w:szCs w:val="20"/>
        </w:rPr>
      </w:pPr>
    </w:p>
    <w:p w14:paraId="5556D43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144</w:t>
      </w:r>
    </w:p>
    <w:p w14:paraId="5556D434" w14:textId="77777777" w:rsidR="00F925DD" w:rsidRDefault="00F925DD">
      <w:pPr>
        <w:spacing w:line="288" w:lineRule="auto"/>
        <w:ind w:firstLine="600"/>
        <w:jc w:val="center"/>
        <w:rPr>
          <w:rFonts w:ascii="Times New Roman" w:hAnsi="Times New Roman"/>
          <w:sz w:val="18"/>
          <w:szCs w:val="18"/>
        </w:rPr>
      </w:pPr>
    </w:p>
    <w:p w14:paraId="5556D435" w14:textId="77777777" w:rsidR="00F925DD" w:rsidRDefault="00E705D7">
      <w:r>
        <w:rPr>
          <w:rFonts w:ascii="Times New Roman" w:hAnsi="Times New Roman"/>
          <w:sz w:val="18"/>
          <w:szCs w:val="18"/>
        </w:rPr>
        <w:pict w14:anchorId="555706CA">
          <v:rect id="_x0000_i1168" style="width:415.3pt;height:1.5pt" o:hralign="center" o:hrstd="t" o:hr="t" fillcolor="#a0a0a0" stroked="f"/>
        </w:pict>
      </w:r>
    </w:p>
    <w:p w14:paraId="5556D43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43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D438" w14:textId="77777777" w:rsidR="00F925DD" w:rsidRDefault="00F925DD">
      <w:pPr>
        <w:rPr>
          <w:rFonts w:ascii="Times New Roman" w:hAnsi="Times New Roman"/>
          <w:sz w:val="20"/>
          <w:szCs w:val="20"/>
        </w:rPr>
      </w:pPr>
    </w:p>
    <w:p w14:paraId="5556D439"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Note 6.    Other Assets</w:t>
      </w:r>
    </w:p>
    <w:p w14:paraId="5556D43A" w14:textId="77777777" w:rsidR="00F925DD" w:rsidRDefault="00E705D7">
      <w:pPr>
        <w:spacing w:line="288" w:lineRule="auto"/>
        <w:rPr>
          <w:rFonts w:ascii="Times New Roman" w:hAnsi="Times New Roman"/>
          <w:sz w:val="20"/>
          <w:szCs w:val="20"/>
        </w:rPr>
      </w:pPr>
      <w:r>
        <w:rPr>
          <w:rFonts w:ascii="Arial" w:eastAsia="宋体" w:hAnsi="Arial" w:cs="Arial"/>
          <w:sz w:val="20"/>
          <w:szCs w:val="20"/>
        </w:rPr>
        <w:t xml:space="preserve">The following table presents the components of other assets as of </w:t>
      </w:r>
      <w:r>
        <w:rPr>
          <w:rFonts w:ascii="Arial" w:eastAsia="宋体" w:hAnsi="Arial" w:cs="Arial"/>
          <w:sz w:val="20"/>
          <w:szCs w:val="20"/>
        </w:rPr>
        <w:t>the dates indicated:</w:t>
      </w:r>
    </w:p>
    <w:tbl>
      <w:tblPr>
        <w:tblW w:w="5000" w:type="pct"/>
        <w:tblCellMar>
          <w:left w:w="0" w:type="dxa"/>
          <w:right w:w="0" w:type="dxa"/>
        </w:tblCellMar>
        <w:tblLook w:val="04A0" w:firstRow="1" w:lastRow="0" w:firstColumn="1" w:lastColumn="0" w:noHBand="0" w:noVBand="1"/>
      </w:tblPr>
      <w:tblGrid>
        <w:gridCol w:w="3545"/>
        <w:gridCol w:w="125"/>
        <w:gridCol w:w="2133"/>
        <w:gridCol w:w="57"/>
        <w:gridCol w:w="130"/>
        <w:gridCol w:w="125"/>
        <w:gridCol w:w="2134"/>
        <w:gridCol w:w="57"/>
      </w:tblGrid>
      <w:tr w:rsidR="00F925DD" w14:paraId="5556D43C" w14:textId="77777777">
        <w:tc>
          <w:tcPr>
            <w:tcW w:w="0" w:type="auto"/>
            <w:gridSpan w:val="8"/>
            <w:shd w:val="clear" w:color="auto" w:fill="auto"/>
            <w:vAlign w:val="center"/>
          </w:tcPr>
          <w:p w14:paraId="5556D43B" w14:textId="77777777" w:rsidR="00F925DD" w:rsidRDefault="00F925DD">
            <w:pPr>
              <w:rPr>
                <w:rFonts w:ascii="Times New Roman" w:hAnsi="Times New Roman"/>
                <w:sz w:val="20"/>
                <w:szCs w:val="20"/>
              </w:rPr>
            </w:pPr>
          </w:p>
        </w:tc>
      </w:tr>
      <w:tr w:rsidR="00F925DD" w14:paraId="5556D445" w14:textId="77777777">
        <w:tc>
          <w:tcPr>
            <w:tcW w:w="2150" w:type="pct"/>
            <w:shd w:val="clear" w:color="auto" w:fill="auto"/>
            <w:vAlign w:val="center"/>
          </w:tcPr>
          <w:p w14:paraId="5556D43D" w14:textId="77777777" w:rsidR="00F925DD" w:rsidRDefault="00F925DD">
            <w:pPr>
              <w:rPr>
                <w:rFonts w:ascii="Times New Roman" w:hAnsi="Times New Roman"/>
                <w:sz w:val="20"/>
                <w:szCs w:val="20"/>
              </w:rPr>
            </w:pPr>
          </w:p>
        </w:tc>
        <w:tc>
          <w:tcPr>
            <w:tcW w:w="50" w:type="pct"/>
            <w:shd w:val="clear" w:color="auto" w:fill="auto"/>
            <w:vAlign w:val="center"/>
          </w:tcPr>
          <w:p w14:paraId="5556D43E" w14:textId="77777777" w:rsidR="00F925DD" w:rsidRDefault="00F925DD">
            <w:pPr>
              <w:rPr>
                <w:rFonts w:ascii="Times New Roman" w:hAnsi="Times New Roman"/>
                <w:sz w:val="20"/>
                <w:szCs w:val="20"/>
              </w:rPr>
            </w:pPr>
          </w:p>
        </w:tc>
        <w:tc>
          <w:tcPr>
            <w:tcW w:w="1300" w:type="pct"/>
            <w:shd w:val="clear" w:color="auto" w:fill="auto"/>
            <w:vAlign w:val="center"/>
          </w:tcPr>
          <w:p w14:paraId="5556D43F" w14:textId="77777777" w:rsidR="00F925DD" w:rsidRDefault="00F925DD">
            <w:pPr>
              <w:rPr>
                <w:rFonts w:ascii="Times New Roman" w:hAnsi="Times New Roman"/>
                <w:sz w:val="20"/>
                <w:szCs w:val="20"/>
              </w:rPr>
            </w:pPr>
          </w:p>
        </w:tc>
        <w:tc>
          <w:tcPr>
            <w:tcW w:w="50" w:type="pct"/>
            <w:shd w:val="clear" w:color="auto" w:fill="auto"/>
            <w:vAlign w:val="center"/>
          </w:tcPr>
          <w:p w14:paraId="5556D440" w14:textId="77777777" w:rsidR="00F925DD" w:rsidRDefault="00F925DD">
            <w:pPr>
              <w:rPr>
                <w:rFonts w:ascii="Times New Roman" w:hAnsi="Times New Roman"/>
                <w:sz w:val="20"/>
                <w:szCs w:val="20"/>
              </w:rPr>
            </w:pPr>
          </w:p>
        </w:tc>
        <w:tc>
          <w:tcPr>
            <w:tcW w:w="50" w:type="pct"/>
            <w:shd w:val="clear" w:color="auto" w:fill="auto"/>
            <w:vAlign w:val="center"/>
          </w:tcPr>
          <w:p w14:paraId="5556D441" w14:textId="77777777" w:rsidR="00F925DD" w:rsidRDefault="00F925DD">
            <w:pPr>
              <w:rPr>
                <w:rFonts w:ascii="Times New Roman" w:hAnsi="Times New Roman"/>
                <w:sz w:val="20"/>
                <w:szCs w:val="20"/>
              </w:rPr>
            </w:pPr>
          </w:p>
        </w:tc>
        <w:tc>
          <w:tcPr>
            <w:tcW w:w="50" w:type="pct"/>
            <w:shd w:val="clear" w:color="auto" w:fill="auto"/>
            <w:vAlign w:val="center"/>
          </w:tcPr>
          <w:p w14:paraId="5556D442" w14:textId="77777777" w:rsidR="00F925DD" w:rsidRDefault="00F925DD">
            <w:pPr>
              <w:rPr>
                <w:rFonts w:ascii="Times New Roman" w:hAnsi="Times New Roman"/>
                <w:sz w:val="20"/>
                <w:szCs w:val="20"/>
              </w:rPr>
            </w:pPr>
          </w:p>
        </w:tc>
        <w:tc>
          <w:tcPr>
            <w:tcW w:w="1300" w:type="pct"/>
            <w:shd w:val="clear" w:color="auto" w:fill="auto"/>
            <w:vAlign w:val="center"/>
          </w:tcPr>
          <w:p w14:paraId="5556D443" w14:textId="77777777" w:rsidR="00F925DD" w:rsidRDefault="00F925DD">
            <w:pPr>
              <w:rPr>
                <w:rFonts w:ascii="Times New Roman" w:hAnsi="Times New Roman"/>
                <w:sz w:val="20"/>
                <w:szCs w:val="20"/>
              </w:rPr>
            </w:pPr>
          </w:p>
        </w:tc>
        <w:tc>
          <w:tcPr>
            <w:tcW w:w="50" w:type="pct"/>
            <w:shd w:val="clear" w:color="auto" w:fill="auto"/>
            <w:vAlign w:val="center"/>
          </w:tcPr>
          <w:p w14:paraId="5556D444" w14:textId="77777777" w:rsidR="00F925DD" w:rsidRDefault="00F925DD">
            <w:pPr>
              <w:rPr>
                <w:rFonts w:ascii="Times New Roman" w:hAnsi="Times New Roman"/>
                <w:sz w:val="20"/>
                <w:szCs w:val="20"/>
              </w:rPr>
            </w:pPr>
          </w:p>
        </w:tc>
      </w:tr>
      <w:tr w:rsidR="00F925DD" w14:paraId="5556D44A" w14:textId="77777777">
        <w:tc>
          <w:tcPr>
            <w:tcW w:w="0" w:type="auto"/>
            <w:shd w:val="clear" w:color="auto" w:fill="auto"/>
            <w:tcMar>
              <w:top w:w="40" w:type="dxa"/>
              <w:left w:w="40" w:type="dxa"/>
              <w:bottom w:w="40" w:type="dxa"/>
              <w:right w:w="40" w:type="dxa"/>
            </w:tcMar>
            <w:vAlign w:val="bottom"/>
          </w:tcPr>
          <w:p w14:paraId="5556D44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shd w:val="clear" w:color="auto" w:fill="auto"/>
            <w:tcMar>
              <w:top w:w="40" w:type="dxa"/>
              <w:left w:w="40" w:type="dxa"/>
              <w:bottom w:w="40" w:type="dxa"/>
              <w:right w:w="40" w:type="dxa"/>
            </w:tcMar>
            <w:vAlign w:val="bottom"/>
          </w:tcPr>
          <w:p w14:paraId="5556D44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D4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44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r>
      <w:tr w:rsidR="00F925DD" w14:paraId="5556D453" w14:textId="77777777">
        <w:tc>
          <w:tcPr>
            <w:tcW w:w="0" w:type="auto"/>
            <w:shd w:val="clear" w:color="auto" w:fill="CCEEFF"/>
            <w:tcMar>
              <w:top w:w="40" w:type="dxa"/>
              <w:left w:w="40" w:type="dxa"/>
              <w:bottom w:w="40" w:type="dxa"/>
              <w:right w:w="40" w:type="dxa"/>
            </w:tcMar>
            <w:vAlign w:val="bottom"/>
          </w:tcPr>
          <w:p w14:paraId="5556D44B" w14:textId="77777777" w:rsidR="00F925DD" w:rsidRDefault="00E705D7">
            <w:pPr>
              <w:textAlignment w:val="bottom"/>
              <w:rPr>
                <w:rFonts w:ascii="Times New Roman" w:hAnsi="Times New Roman"/>
                <w:sz w:val="15"/>
                <w:szCs w:val="15"/>
              </w:rPr>
            </w:pPr>
            <w:r>
              <w:rPr>
                <w:rFonts w:ascii="Arial" w:eastAsia="宋体" w:hAnsi="Arial" w:cs="Arial"/>
                <w:sz w:val="15"/>
                <w:szCs w:val="15"/>
              </w:rPr>
              <w:t>Securities borrowed(1)</w:t>
            </w:r>
          </w:p>
        </w:tc>
        <w:tc>
          <w:tcPr>
            <w:tcW w:w="0" w:type="auto"/>
            <w:tcBorders>
              <w:top w:val="single" w:sz="8" w:space="0" w:color="000000"/>
            </w:tcBorders>
            <w:shd w:val="clear" w:color="auto" w:fill="CCEEFF"/>
            <w:tcMar>
              <w:top w:w="40" w:type="dxa"/>
              <w:left w:w="40" w:type="dxa"/>
              <w:bottom w:w="40" w:type="dxa"/>
            </w:tcMar>
            <w:vAlign w:val="bottom"/>
          </w:tcPr>
          <w:p w14:paraId="5556D44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D44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18,524</w:t>
            </w:r>
          </w:p>
        </w:tc>
        <w:tc>
          <w:tcPr>
            <w:tcW w:w="0" w:type="auto"/>
            <w:tcBorders>
              <w:top w:val="single" w:sz="8" w:space="0" w:color="000000"/>
            </w:tcBorders>
            <w:shd w:val="clear" w:color="auto" w:fill="CCEEFF"/>
            <w:vAlign w:val="bottom"/>
          </w:tcPr>
          <w:p w14:paraId="5556D44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4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45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D45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19,575</w:t>
            </w:r>
          </w:p>
        </w:tc>
        <w:tc>
          <w:tcPr>
            <w:tcW w:w="0" w:type="auto"/>
            <w:tcBorders>
              <w:top w:val="single" w:sz="8" w:space="0" w:color="000000"/>
            </w:tcBorders>
            <w:shd w:val="clear" w:color="auto" w:fill="CCEEFF"/>
            <w:vAlign w:val="bottom"/>
          </w:tcPr>
          <w:p w14:paraId="5556D452" w14:textId="77777777" w:rsidR="00F925DD" w:rsidRDefault="00F925DD">
            <w:pPr>
              <w:textAlignment w:val="bottom"/>
              <w:rPr>
                <w:rFonts w:ascii="Times New Roman" w:hAnsi="Times New Roman"/>
                <w:sz w:val="20"/>
                <w:szCs w:val="20"/>
              </w:rPr>
            </w:pPr>
          </w:p>
        </w:tc>
      </w:tr>
      <w:tr w:rsidR="00F925DD" w14:paraId="5556D45A" w14:textId="77777777">
        <w:tc>
          <w:tcPr>
            <w:tcW w:w="0" w:type="auto"/>
            <w:shd w:val="clear" w:color="auto" w:fill="auto"/>
            <w:tcMar>
              <w:top w:w="40" w:type="dxa"/>
              <w:left w:w="40" w:type="dxa"/>
              <w:bottom w:w="40" w:type="dxa"/>
              <w:right w:w="40" w:type="dxa"/>
            </w:tcMar>
            <w:vAlign w:val="bottom"/>
          </w:tcPr>
          <w:p w14:paraId="5556D454" w14:textId="77777777" w:rsidR="00F925DD" w:rsidRDefault="00E705D7">
            <w:pPr>
              <w:textAlignment w:val="bottom"/>
              <w:rPr>
                <w:rFonts w:ascii="Times New Roman" w:hAnsi="Times New Roman"/>
                <w:sz w:val="15"/>
                <w:szCs w:val="15"/>
              </w:rPr>
            </w:pPr>
            <w:r>
              <w:rPr>
                <w:rFonts w:ascii="Arial" w:eastAsia="宋体" w:hAnsi="Arial" w:cs="Arial"/>
                <w:sz w:val="15"/>
                <w:szCs w:val="15"/>
              </w:rPr>
              <w:t>Derivative instruments, net</w:t>
            </w:r>
          </w:p>
        </w:tc>
        <w:tc>
          <w:tcPr>
            <w:tcW w:w="0" w:type="auto"/>
            <w:gridSpan w:val="2"/>
            <w:shd w:val="clear" w:color="auto" w:fill="auto"/>
            <w:tcMar>
              <w:top w:w="40" w:type="dxa"/>
              <w:left w:w="40" w:type="dxa"/>
              <w:bottom w:w="40" w:type="dxa"/>
            </w:tcMar>
            <w:vAlign w:val="bottom"/>
          </w:tcPr>
          <w:p w14:paraId="5556D45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4,753</w:t>
            </w:r>
          </w:p>
        </w:tc>
        <w:tc>
          <w:tcPr>
            <w:tcW w:w="0" w:type="auto"/>
            <w:shd w:val="clear" w:color="auto" w:fill="auto"/>
            <w:vAlign w:val="bottom"/>
          </w:tcPr>
          <w:p w14:paraId="5556D4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4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45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5,189</w:t>
            </w:r>
          </w:p>
        </w:tc>
        <w:tc>
          <w:tcPr>
            <w:tcW w:w="0" w:type="auto"/>
            <w:shd w:val="clear" w:color="auto" w:fill="auto"/>
            <w:vAlign w:val="bottom"/>
          </w:tcPr>
          <w:p w14:paraId="5556D459" w14:textId="77777777" w:rsidR="00F925DD" w:rsidRDefault="00F925DD">
            <w:pPr>
              <w:textAlignment w:val="bottom"/>
              <w:rPr>
                <w:rFonts w:ascii="Times New Roman" w:hAnsi="Times New Roman"/>
                <w:sz w:val="20"/>
                <w:szCs w:val="20"/>
              </w:rPr>
            </w:pPr>
          </w:p>
        </w:tc>
      </w:tr>
      <w:tr w:rsidR="00F925DD" w14:paraId="5556D461" w14:textId="77777777">
        <w:tc>
          <w:tcPr>
            <w:tcW w:w="0" w:type="auto"/>
            <w:shd w:val="clear" w:color="auto" w:fill="CCEEFF"/>
            <w:tcMar>
              <w:top w:w="40" w:type="dxa"/>
              <w:left w:w="40" w:type="dxa"/>
              <w:bottom w:w="40" w:type="dxa"/>
              <w:right w:w="40" w:type="dxa"/>
            </w:tcMar>
            <w:vAlign w:val="bottom"/>
          </w:tcPr>
          <w:p w14:paraId="5556D45B" w14:textId="77777777" w:rsidR="00F925DD" w:rsidRDefault="00E705D7">
            <w:pPr>
              <w:textAlignment w:val="bottom"/>
              <w:rPr>
                <w:rFonts w:ascii="Times New Roman" w:hAnsi="Times New Roman"/>
                <w:sz w:val="15"/>
                <w:szCs w:val="15"/>
              </w:rPr>
            </w:pPr>
            <w:r>
              <w:rPr>
                <w:rFonts w:ascii="Arial" w:eastAsia="宋体" w:hAnsi="Arial" w:cs="Arial"/>
                <w:sz w:val="15"/>
                <w:szCs w:val="15"/>
              </w:rPr>
              <w:t>Bank-owned life insurance</w:t>
            </w:r>
          </w:p>
        </w:tc>
        <w:tc>
          <w:tcPr>
            <w:tcW w:w="0" w:type="auto"/>
            <w:gridSpan w:val="2"/>
            <w:shd w:val="clear" w:color="auto" w:fill="CCEEFF"/>
            <w:tcMar>
              <w:top w:w="40" w:type="dxa"/>
              <w:left w:w="40" w:type="dxa"/>
              <w:bottom w:w="40" w:type="dxa"/>
            </w:tcMar>
            <w:vAlign w:val="bottom"/>
          </w:tcPr>
          <w:p w14:paraId="5556D45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3,395</w:t>
            </w:r>
          </w:p>
        </w:tc>
        <w:tc>
          <w:tcPr>
            <w:tcW w:w="0" w:type="auto"/>
            <w:shd w:val="clear" w:color="auto" w:fill="CCEEFF"/>
            <w:vAlign w:val="bottom"/>
          </w:tcPr>
          <w:p w14:paraId="5556D45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4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45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3,323</w:t>
            </w:r>
          </w:p>
        </w:tc>
        <w:tc>
          <w:tcPr>
            <w:tcW w:w="0" w:type="auto"/>
            <w:shd w:val="clear" w:color="auto" w:fill="CCEEFF"/>
            <w:vAlign w:val="bottom"/>
          </w:tcPr>
          <w:p w14:paraId="5556D460" w14:textId="77777777" w:rsidR="00F925DD" w:rsidRDefault="00F925DD">
            <w:pPr>
              <w:textAlignment w:val="bottom"/>
              <w:rPr>
                <w:rFonts w:ascii="Times New Roman" w:hAnsi="Times New Roman"/>
                <w:sz w:val="20"/>
                <w:szCs w:val="20"/>
              </w:rPr>
            </w:pPr>
          </w:p>
        </w:tc>
      </w:tr>
      <w:tr w:rsidR="00F925DD" w14:paraId="5556D468" w14:textId="77777777">
        <w:tc>
          <w:tcPr>
            <w:tcW w:w="0" w:type="auto"/>
            <w:shd w:val="clear" w:color="auto" w:fill="auto"/>
            <w:tcMar>
              <w:top w:w="40" w:type="dxa"/>
              <w:left w:w="40" w:type="dxa"/>
              <w:bottom w:w="40" w:type="dxa"/>
              <w:right w:w="40" w:type="dxa"/>
            </w:tcMar>
            <w:vAlign w:val="bottom"/>
          </w:tcPr>
          <w:p w14:paraId="5556D462"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Investments in joint ventures and </w:t>
            </w:r>
            <w:r>
              <w:rPr>
                <w:rFonts w:ascii="Arial" w:eastAsia="宋体" w:hAnsi="Arial" w:cs="Arial"/>
                <w:sz w:val="15"/>
                <w:szCs w:val="15"/>
              </w:rPr>
              <w:t>other unconsolidated entities</w:t>
            </w:r>
          </w:p>
        </w:tc>
        <w:tc>
          <w:tcPr>
            <w:tcW w:w="0" w:type="auto"/>
            <w:gridSpan w:val="2"/>
            <w:shd w:val="clear" w:color="auto" w:fill="auto"/>
            <w:tcMar>
              <w:top w:w="40" w:type="dxa"/>
              <w:left w:w="40" w:type="dxa"/>
              <w:bottom w:w="40" w:type="dxa"/>
            </w:tcMar>
            <w:vAlign w:val="bottom"/>
          </w:tcPr>
          <w:p w14:paraId="5556D46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2,899</w:t>
            </w:r>
          </w:p>
        </w:tc>
        <w:tc>
          <w:tcPr>
            <w:tcW w:w="0" w:type="auto"/>
            <w:shd w:val="clear" w:color="auto" w:fill="auto"/>
            <w:vAlign w:val="bottom"/>
          </w:tcPr>
          <w:p w14:paraId="5556D46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4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46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2,882</w:t>
            </w:r>
          </w:p>
        </w:tc>
        <w:tc>
          <w:tcPr>
            <w:tcW w:w="0" w:type="auto"/>
            <w:shd w:val="clear" w:color="auto" w:fill="auto"/>
            <w:vAlign w:val="bottom"/>
          </w:tcPr>
          <w:p w14:paraId="5556D467" w14:textId="77777777" w:rsidR="00F925DD" w:rsidRDefault="00F925DD">
            <w:pPr>
              <w:textAlignment w:val="bottom"/>
              <w:rPr>
                <w:rFonts w:ascii="Times New Roman" w:hAnsi="Times New Roman"/>
                <w:sz w:val="20"/>
                <w:szCs w:val="20"/>
              </w:rPr>
            </w:pPr>
          </w:p>
        </w:tc>
      </w:tr>
      <w:tr w:rsidR="00F925DD" w14:paraId="5556D46F" w14:textId="77777777">
        <w:tc>
          <w:tcPr>
            <w:tcW w:w="0" w:type="auto"/>
            <w:shd w:val="clear" w:color="auto" w:fill="CCEEFF"/>
            <w:tcMar>
              <w:top w:w="40" w:type="dxa"/>
              <w:left w:w="40" w:type="dxa"/>
              <w:bottom w:w="40" w:type="dxa"/>
              <w:right w:w="40" w:type="dxa"/>
            </w:tcMar>
            <w:vAlign w:val="bottom"/>
          </w:tcPr>
          <w:p w14:paraId="5556D469" w14:textId="77777777" w:rsidR="00F925DD" w:rsidRDefault="00E705D7">
            <w:pPr>
              <w:textAlignment w:val="bottom"/>
              <w:rPr>
                <w:rFonts w:ascii="Times New Roman" w:hAnsi="Times New Roman"/>
                <w:sz w:val="15"/>
                <w:szCs w:val="15"/>
              </w:rPr>
            </w:pPr>
            <w:r>
              <w:rPr>
                <w:rFonts w:ascii="Arial" w:eastAsia="宋体" w:hAnsi="Arial" w:cs="Arial"/>
                <w:sz w:val="15"/>
                <w:szCs w:val="15"/>
              </w:rPr>
              <w:t>Collateral, net</w:t>
            </w:r>
          </w:p>
        </w:tc>
        <w:tc>
          <w:tcPr>
            <w:tcW w:w="0" w:type="auto"/>
            <w:gridSpan w:val="2"/>
            <w:shd w:val="clear" w:color="auto" w:fill="CCEEFF"/>
            <w:tcMar>
              <w:top w:w="40" w:type="dxa"/>
              <w:left w:w="40" w:type="dxa"/>
              <w:bottom w:w="40" w:type="dxa"/>
            </w:tcMar>
            <w:vAlign w:val="bottom"/>
          </w:tcPr>
          <w:p w14:paraId="5556D46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874</w:t>
            </w:r>
          </w:p>
        </w:tc>
        <w:tc>
          <w:tcPr>
            <w:tcW w:w="0" w:type="auto"/>
            <w:shd w:val="clear" w:color="auto" w:fill="CCEEFF"/>
            <w:vAlign w:val="bottom"/>
          </w:tcPr>
          <w:p w14:paraId="5556D46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4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46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1,354</w:t>
            </w:r>
          </w:p>
        </w:tc>
        <w:tc>
          <w:tcPr>
            <w:tcW w:w="0" w:type="auto"/>
            <w:shd w:val="clear" w:color="auto" w:fill="CCEEFF"/>
            <w:vAlign w:val="bottom"/>
          </w:tcPr>
          <w:p w14:paraId="5556D46E" w14:textId="77777777" w:rsidR="00F925DD" w:rsidRDefault="00F925DD">
            <w:pPr>
              <w:textAlignment w:val="bottom"/>
              <w:rPr>
                <w:rFonts w:ascii="Times New Roman" w:hAnsi="Times New Roman"/>
                <w:sz w:val="20"/>
                <w:szCs w:val="20"/>
              </w:rPr>
            </w:pPr>
          </w:p>
        </w:tc>
      </w:tr>
      <w:tr w:rsidR="00F925DD" w14:paraId="5556D476" w14:textId="77777777">
        <w:tc>
          <w:tcPr>
            <w:tcW w:w="0" w:type="auto"/>
            <w:shd w:val="clear" w:color="auto" w:fill="auto"/>
            <w:tcMar>
              <w:top w:w="40" w:type="dxa"/>
              <w:left w:w="40" w:type="dxa"/>
              <w:bottom w:w="40" w:type="dxa"/>
              <w:right w:w="40" w:type="dxa"/>
            </w:tcMar>
            <w:vAlign w:val="bottom"/>
          </w:tcPr>
          <w:p w14:paraId="5556D470" w14:textId="77777777" w:rsidR="00F925DD" w:rsidRDefault="00E705D7">
            <w:pPr>
              <w:textAlignment w:val="bottom"/>
              <w:rPr>
                <w:rFonts w:ascii="Times New Roman" w:hAnsi="Times New Roman"/>
                <w:sz w:val="15"/>
                <w:szCs w:val="15"/>
              </w:rPr>
            </w:pPr>
            <w:r>
              <w:rPr>
                <w:rFonts w:ascii="Arial" w:eastAsia="宋体" w:hAnsi="Arial" w:cs="Arial"/>
                <w:sz w:val="15"/>
                <w:szCs w:val="15"/>
              </w:rPr>
              <w:t>Right-of-use assets(2)</w:t>
            </w:r>
          </w:p>
        </w:tc>
        <w:tc>
          <w:tcPr>
            <w:tcW w:w="0" w:type="auto"/>
            <w:gridSpan w:val="2"/>
            <w:shd w:val="clear" w:color="auto" w:fill="auto"/>
            <w:tcMar>
              <w:top w:w="40" w:type="dxa"/>
              <w:left w:w="40" w:type="dxa"/>
              <w:bottom w:w="40" w:type="dxa"/>
            </w:tcMar>
            <w:vAlign w:val="bottom"/>
          </w:tcPr>
          <w:p w14:paraId="5556D47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858</w:t>
            </w:r>
          </w:p>
        </w:tc>
        <w:tc>
          <w:tcPr>
            <w:tcW w:w="0" w:type="auto"/>
            <w:shd w:val="clear" w:color="auto" w:fill="auto"/>
            <w:vAlign w:val="bottom"/>
          </w:tcPr>
          <w:p w14:paraId="5556D47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4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47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D475" w14:textId="77777777" w:rsidR="00F925DD" w:rsidRDefault="00F925DD">
            <w:pPr>
              <w:textAlignment w:val="bottom"/>
              <w:rPr>
                <w:rFonts w:ascii="Times New Roman" w:hAnsi="Times New Roman"/>
                <w:sz w:val="20"/>
                <w:szCs w:val="20"/>
              </w:rPr>
            </w:pPr>
          </w:p>
        </w:tc>
      </w:tr>
      <w:tr w:rsidR="00F925DD" w14:paraId="5556D47D" w14:textId="77777777">
        <w:tc>
          <w:tcPr>
            <w:tcW w:w="0" w:type="auto"/>
            <w:shd w:val="clear" w:color="auto" w:fill="CCEEFF"/>
            <w:tcMar>
              <w:top w:w="40" w:type="dxa"/>
              <w:left w:w="40" w:type="dxa"/>
              <w:bottom w:w="40" w:type="dxa"/>
              <w:right w:w="40" w:type="dxa"/>
            </w:tcMar>
            <w:vAlign w:val="bottom"/>
          </w:tcPr>
          <w:p w14:paraId="5556D477" w14:textId="77777777" w:rsidR="00F925DD" w:rsidRDefault="00E705D7">
            <w:pPr>
              <w:textAlignment w:val="bottom"/>
              <w:rPr>
                <w:rFonts w:ascii="Times New Roman" w:hAnsi="Times New Roman"/>
                <w:sz w:val="15"/>
                <w:szCs w:val="15"/>
              </w:rPr>
            </w:pPr>
            <w:r>
              <w:rPr>
                <w:rFonts w:ascii="Arial" w:eastAsia="宋体" w:hAnsi="Arial" w:cs="Arial"/>
                <w:sz w:val="15"/>
                <w:szCs w:val="15"/>
              </w:rPr>
              <w:t>Accounts receivable</w:t>
            </w:r>
          </w:p>
        </w:tc>
        <w:tc>
          <w:tcPr>
            <w:tcW w:w="0" w:type="auto"/>
            <w:gridSpan w:val="2"/>
            <w:shd w:val="clear" w:color="auto" w:fill="CCEEFF"/>
            <w:tcMar>
              <w:top w:w="40" w:type="dxa"/>
              <w:left w:w="40" w:type="dxa"/>
              <w:bottom w:w="40" w:type="dxa"/>
            </w:tcMar>
            <w:vAlign w:val="bottom"/>
          </w:tcPr>
          <w:p w14:paraId="5556D47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432</w:t>
            </w:r>
          </w:p>
        </w:tc>
        <w:tc>
          <w:tcPr>
            <w:tcW w:w="0" w:type="auto"/>
            <w:shd w:val="clear" w:color="auto" w:fill="CCEEFF"/>
            <w:vAlign w:val="bottom"/>
          </w:tcPr>
          <w:p w14:paraId="5556D47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4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47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308</w:t>
            </w:r>
          </w:p>
        </w:tc>
        <w:tc>
          <w:tcPr>
            <w:tcW w:w="0" w:type="auto"/>
            <w:shd w:val="clear" w:color="auto" w:fill="CCEEFF"/>
            <w:vAlign w:val="bottom"/>
          </w:tcPr>
          <w:p w14:paraId="5556D47C" w14:textId="77777777" w:rsidR="00F925DD" w:rsidRDefault="00F925DD">
            <w:pPr>
              <w:textAlignment w:val="bottom"/>
              <w:rPr>
                <w:rFonts w:ascii="Times New Roman" w:hAnsi="Times New Roman"/>
                <w:sz w:val="20"/>
                <w:szCs w:val="20"/>
              </w:rPr>
            </w:pPr>
          </w:p>
        </w:tc>
      </w:tr>
      <w:tr w:rsidR="00F925DD" w14:paraId="5556D484" w14:textId="77777777">
        <w:tc>
          <w:tcPr>
            <w:tcW w:w="0" w:type="auto"/>
            <w:shd w:val="clear" w:color="auto" w:fill="auto"/>
            <w:tcMar>
              <w:top w:w="40" w:type="dxa"/>
              <w:left w:w="40" w:type="dxa"/>
              <w:bottom w:w="40" w:type="dxa"/>
              <w:right w:w="40" w:type="dxa"/>
            </w:tcMar>
            <w:vAlign w:val="bottom"/>
          </w:tcPr>
          <w:p w14:paraId="5556D47E" w14:textId="77777777" w:rsidR="00F925DD" w:rsidRDefault="00E705D7">
            <w:pPr>
              <w:textAlignment w:val="bottom"/>
              <w:rPr>
                <w:rFonts w:ascii="Times New Roman" w:hAnsi="Times New Roman"/>
                <w:sz w:val="15"/>
                <w:szCs w:val="15"/>
              </w:rPr>
            </w:pPr>
            <w:r>
              <w:rPr>
                <w:rFonts w:ascii="Arial" w:eastAsia="宋体" w:hAnsi="Arial" w:cs="Arial"/>
                <w:sz w:val="15"/>
                <w:szCs w:val="15"/>
              </w:rPr>
              <w:t>Prepaid expenses</w:t>
            </w:r>
          </w:p>
        </w:tc>
        <w:tc>
          <w:tcPr>
            <w:tcW w:w="0" w:type="auto"/>
            <w:gridSpan w:val="2"/>
            <w:shd w:val="clear" w:color="auto" w:fill="auto"/>
            <w:tcMar>
              <w:top w:w="40" w:type="dxa"/>
              <w:left w:w="40" w:type="dxa"/>
              <w:bottom w:w="40" w:type="dxa"/>
            </w:tcMar>
            <w:vAlign w:val="bottom"/>
          </w:tcPr>
          <w:p w14:paraId="5556D47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395</w:t>
            </w:r>
          </w:p>
        </w:tc>
        <w:tc>
          <w:tcPr>
            <w:tcW w:w="0" w:type="auto"/>
            <w:shd w:val="clear" w:color="auto" w:fill="auto"/>
            <w:vAlign w:val="bottom"/>
          </w:tcPr>
          <w:p w14:paraId="5556D4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4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48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493</w:t>
            </w:r>
          </w:p>
        </w:tc>
        <w:tc>
          <w:tcPr>
            <w:tcW w:w="0" w:type="auto"/>
            <w:shd w:val="clear" w:color="auto" w:fill="auto"/>
            <w:vAlign w:val="bottom"/>
          </w:tcPr>
          <w:p w14:paraId="5556D483" w14:textId="77777777" w:rsidR="00F925DD" w:rsidRDefault="00F925DD">
            <w:pPr>
              <w:textAlignment w:val="bottom"/>
              <w:rPr>
                <w:rFonts w:ascii="Times New Roman" w:hAnsi="Times New Roman"/>
                <w:sz w:val="20"/>
                <w:szCs w:val="20"/>
              </w:rPr>
            </w:pPr>
          </w:p>
        </w:tc>
      </w:tr>
      <w:tr w:rsidR="00F925DD" w14:paraId="5556D48B" w14:textId="77777777">
        <w:tc>
          <w:tcPr>
            <w:tcW w:w="0" w:type="auto"/>
            <w:shd w:val="clear" w:color="auto" w:fill="CCEEFF"/>
            <w:tcMar>
              <w:top w:w="40" w:type="dxa"/>
              <w:left w:w="40" w:type="dxa"/>
              <w:bottom w:w="40" w:type="dxa"/>
              <w:right w:w="40" w:type="dxa"/>
            </w:tcMar>
            <w:vAlign w:val="bottom"/>
          </w:tcPr>
          <w:p w14:paraId="5556D485" w14:textId="77777777" w:rsidR="00F925DD" w:rsidRDefault="00E705D7">
            <w:pPr>
              <w:textAlignment w:val="bottom"/>
              <w:rPr>
                <w:rFonts w:ascii="Times New Roman" w:hAnsi="Times New Roman"/>
                <w:sz w:val="15"/>
                <w:szCs w:val="15"/>
              </w:rPr>
            </w:pPr>
            <w:r>
              <w:rPr>
                <w:rFonts w:ascii="Arial" w:eastAsia="宋体" w:hAnsi="Arial" w:cs="Arial"/>
                <w:sz w:val="15"/>
                <w:szCs w:val="15"/>
              </w:rPr>
              <w:t>Receivable for securities settlement</w:t>
            </w:r>
          </w:p>
        </w:tc>
        <w:tc>
          <w:tcPr>
            <w:tcW w:w="0" w:type="auto"/>
            <w:gridSpan w:val="2"/>
            <w:shd w:val="clear" w:color="auto" w:fill="CCEEFF"/>
            <w:tcMar>
              <w:top w:w="40" w:type="dxa"/>
              <w:left w:w="40" w:type="dxa"/>
              <w:bottom w:w="40" w:type="dxa"/>
            </w:tcMar>
            <w:vAlign w:val="bottom"/>
          </w:tcPr>
          <w:p w14:paraId="5556D48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336</w:t>
            </w:r>
          </w:p>
        </w:tc>
        <w:tc>
          <w:tcPr>
            <w:tcW w:w="0" w:type="auto"/>
            <w:shd w:val="clear" w:color="auto" w:fill="CCEEFF"/>
            <w:vAlign w:val="bottom"/>
          </w:tcPr>
          <w:p w14:paraId="5556D48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4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48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531</w:t>
            </w:r>
          </w:p>
        </w:tc>
        <w:tc>
          <w:tcPr>
            <w:tcW w:w="0" w:type="auto"/>
            <w:shd w:val="clear" w:color="auto" w:fill="CCEEFF"/>
            <w:vAlign w:val="bottom"/>
          </w:tcPr>
          <w:p w14:paraId="5556D48A" w14:textId="77777777" w:rsidR="00F925DD" w:rsidRDefault="00F925DD">
            <w:pPr>
              <w:textAlignment w:val="bottom"/>
              <w:rPr>
                <w:rFonts w:ascii="Times New Roman" w:hAnsi="Times New Roman"/>
                <w:sz w:val="20"/>
                <w:szCs w:val="20"/>
              </w:rPr>
            </w:pPr>
          </w:p>
        </w:tc>
      </w:tr>
      <w:tr w:rsidR="00F925DD" w14:paraId="5556D492" w14:textId="77777777">
        <w:tc>
          <w:tcPr>
            <w:tcW w:w="0" w:type="auto"/>
            <w:shd w:val="clear" w:color="auto" w:fill="auto"/>
            <w:tcMar>
              <w:top w:w="40" w:type="dxa"/>
              <w:left w:w="40" w:type="dxa"/>
              <w:bottom w:w="40" w:type="dxa"/>
              <w:right w:w="40" w:type="dxa"/>
            </w:tcMar>
            <w:vAlign w:val="bottom"/>
          </w:tcPr>
          <w:p w14:paraId="5556D48C"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Income taxes </w:t>
            </w:r>
            <w:r>
              <w:rPr>
                <w:rFonts w:ascii="Arial" w:eastAsia="宋体" w:hAnsi="Arial" w:cs="Arial"/>
                <w:sz w:val="15"/>
                <w:szCs w:val="15"/>
              </w:rPr>
              <w:t>receivable</w:t>
            </w:r>
          </w:p>
        </w:tc>
        <w:tc>
          <w:tcPr>
            <w:tcW w:w="0" w:type="auto"/>
            <w:gridSpan w:val="2"/>
            <w:shd w:val="clear" w:color="auto" w:fill="auto"/>
            <w:tcMar>
              <w:top w:w="40" w:type="dxa"/>
              <w:left w:w="40" w:type="dxa"/>
              <w:bottom w:w="40" w:type="dxa"/>
            </w:tcMar>
            <w:vAlign w:val="bottom"/>
          </w:tcPr>
          <w:p w14:paraId="5556D48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309</w:t>
            </w:r>
          </w:p>
        </w:tc>
        <w:tc>
          <w:tcPr>
            <w:tcW w:w="0" w:type="auto"/>
            <w:shd w:val="clear" w:color="auto" w:fill="auto"/>
            <w:vAlign w:val="bottom"/>
          </w:tcPr>
          <w:p w14:paraId="5556D48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4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49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129</w:t>
            </w:r>
          </w:p>
        </w:tc>
        <w:tc>
          <w:tcPr>
            <w:tcW w:w="0" w:type="auto"/>
            <w:shd w:val="clear" w:color="auto" w:fill="auto"/>
            <w:vAlign w:val="bottom"/>
          </w:tcPr>
          <w:p w14:paraId="5556D491" w14:textId="77777777" w:rsidR="00F925DD" w:rsidRDefault="00F925DD">
            <w:pPr>
              <w:textAlignment w:val="bottom"/>
              <w:rPr>
                <w:rFonts w:ascii="Times New Roman" w:hAnsi="Times New Roman"/>
                <w:sz w:val="20"/>
                <w:szCs w:val="20"/>
              </w:rPr>
            </w:pPr>
          </w:p>
        </w:tc>
      </w:tr>
      <w:tr w:rsidR="00F925DD" w14:paraId="5556D499" w14:textId="77777777">
        <w:tc>
          <w:tcPr>
            <w:tcW w:w="0" w:type="auto"/>
            <w:shd w:val="clear" w:color="auto" w:fill="CCEEFF"/>
            <w:tcMar>
              <w:top w:w="40" w:type="dxa"/>
              <w:left w:w="40" w:type="dxa"/>
              <w:bottom w:w="40" w:type="dxa"/>
              <w:right w:w="40" w:type="dxa"/>
            </w:tcMar>
            <w:vAlign w:val="bottom"/>
          </w:tcPr>
          <w:p w14:paraId="5556D493" w14:textId="77777777" w:rsidR="00F925DD" w:rsidRDefault="00E705D7">
            <w:pPr>
              <w:textAlignment w:val="bottom"/>
              <w:rPr>
                <w:rFonts w:ascii="Times New Roman" w:hAnsi="Times New Roman"/>
                <w:sz w:val="15"/>
                <w:szCs w:val="15"/>
              </w:rPr>
            </w:pPr>
            <w:r>
              <w:rPr>
                <w:rFonts w:ascii="Arial" w:eastAsia="宋体" w:hAnsi="Arial" w:cs="Arial"/>
                <w:sz w:val="15"/>
                <w:szCs w:val="15"/>
              </w:rPr>
              <w:t>Deferred tax assets, net of valuation allowance(3)</w:t>
            </w:r>
          </w:p>
        </w:tc>
        <w:tc>
          <w:tcPr>
            <w:tcW w:w="0" w:type="auto"/>
            <w:gridSpan w:val="2"/>
            <w:shd w:val="clear" w:color="auto" w:fill="CCEEFF"/>
            <w:tcMar>
              <w:top w:w="40" w:type="dxa"/>
              <w:left w:w="40" w:type="dxa"/>
              <w:bottom w:w="40" w:type="dxa"/>
            </w:tcMar>
            <w:vAlign w:val="bottom"/>
          </w:tcPr>
          <w:p w14:paraId="5556D49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216</w:t>
            </w:r>
          </w:p>
        </w:tc>
        <w:tc>
          <w:tcPr>
            <w:tcW w:w="0" w:type="auto"/>
            <w:shd w:val="clear" w:color="auto" w:fill="CCEEFF"/>
            <w:vAlign w:val="bottom"/>
          </w:tcPr>
          <w:p w14:paraId="5556D49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4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49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113</w:t>
            </w:r>
          </w:p>
        </w:tc>
        <w:tc>
          <w:tcPr>
            <w:tcW w:w="0" w:type="auto"/>
            <w:shd w:val="clear" w:color="auto" w:fill="CCEEFF"/>
            <w:vAlign w:val="bottom"/>
          </w:tcPr>
          <w:p w14:paraId="5556D498" w14:textId="77777777" w:rsidR="00F925DD" w:rsidRDefault="00F925DD">
            <w:pPr>
              <w:textAlignment w:val="bottom"/>
              <w:rPr>
                <w:rFonts w:ascii="Times New Roman" w:hAnsi="Times New Roman"/>
                <w:sz w:val="20"/>
                <w:szCs w:val="20"/>
              </w:rPr>
            </w:pPr>
          </w:p>
        </w:tc>
      </w:tr>
      <w:tr w:rsidR="00F925DD" w14:paraId="5556D4A0" w14:textId="77777777">
        <w:tc>
          <w:tcPr>
            <w:tcW w:w="0" w:type="auto"/>
            <w:shd w:val="clear" w:color="auto" w:fill="auto"/>
            <w:tcMar>
              <w:top w:w="40" w:type="dxa"/>
              <w:left w:w="40" w:type="dxa"/>
              <w:bottom w:w="40" w:type="dxa"/>
              <w:right w:w="40" w:type="dxa"/>
            </w:tcMar>
            <w:vAlign w:val="bottom"/>
          </w:tcPr>
          <w:p w14:paraId="5556D49A" w14:textId="77777777" w:rsidR="00F925DD" w:rsidRDefault="00E705D7">
            <w:pPr>
              <w:textAlignment w:val="bottom"/>
              <w:rPr>
                <w:rFonts w:ascii="Times New Roman" w:hAnsi="Times New Roman"/>
                <w:sz w:val="15"/>
                <w:szCs w:val="15"/>
              </w:rPr>
            </w:pPr>
            <w:r>
              <w:rPr>
                <w:rFonts w:ascii="Arial" w:eastAsia="宋体" w:hAnsi="Arial" w:cs="Arial"/>
                <w:sz w:val="15"/>
                <w:szCs w:val="15"/>
              </w:rPr>
              <w:t>Deposits with clearing organizations</w:t>
            </w:r>
          </w:p>
        </w:tc>
        <w:tc>
          <w:tcPr>
            <w:tcW w:w="0" w:type="auto"/>
            <w:gridSpan w:val="2"/>
            <w:shd w:val="clear" w:color="auto" w:fill="auto"/>
            <w:tcMar>
              <w:top w:w="40" w:type="dxa"/>
              <w:left w:w="40" w:type="dxa"/>
              <w:bottom w:w="40" w:type="dxa"/>
            </w:tcMar>
            <w:vAlign w:val="bottom"/>
          </w:tcPr>
          <w:p w14:paraId="5556D49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58</w:t>
            </w:r>
          </w:p>
        </w:tc>
        <w:tc>
          <w:tcPr>
            <w:tcW w:w="0" w:type="auto"/>
            <w:shd w:val="clear" w:color="auto" w:fill="auto"/>
            <w:vAlign w:val="bottom"/>
          </w:tcPr>
          <w:p w14:paraId="5556D49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4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49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58</w:t>
            </w:r>
          </w:p>
        </w:tc>
        <w:tc>
          <w:tcPr>
            <w:tcW w:w="0" w:type="auto"/>
            <w:shd w:val="clear" w:color="auto" w:fill="auto"/>
            <w:vAlign w:val="bottom"/>
          </w:tcPr>
          <w:p w14:paraId="5556D49F" w14:textId="77777777" w:rsidR="00F925DD" w:rsidRDefault="00F925DD">
            <w:pPr>
              <w:textAlignment w:val="bottom"/>
              <w:rPr>
                <w:rFonts w:ascii="Times New Roman" w:hAnsi="Times New Roman"/>
                <w:sz w:val="20"/>
                <w:szCs w:val="20"/>
              </w:rPr>
            </w:pPr>
          </w:p>
        </w:tc>
      </w:tr>
      <w:tr w:rsidR="00F925DD" w14:paraId="5556D4A7" w14:textId="77777777">
        <w:tc>
          <w:tcPr>
            <w:tcW w:w="0" w:type="auto"/>
            <w:shd w:val="clear" w:color="auto" w:fill="CCEEFF"/>
            <w:tcMar>
              <w:top w:w="40" w:type="dxa"/>
              <w:left w:w="40" w:type="dxa"/>
              <w:bottom w:w="40" w:type="dxa"/>
              <w:right w:w="40" w:type="dxa"/>
            </w:tcMar>
            <w:vAlign w:val="bottom"/>
          </w:tcPr>
          <w:p w14:paraId="5556D4A1"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2"/>
            <w:shd w:val="clear" w:color="auto" w:fill="CCEEFF"/>
            <w:tcMar>
              <w:top w:w="40" w:type="dxa"/>
              <w:left w:w="40" w:type="dxa"/>
              <w:bottom w:w="40" w:type="dxa"/>
            </w:tcMar>
            <w:vAlign w:val="bottom"/>
          </w:tcPr>
          <w:p w14:paraId="5556D4A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962</w:t>
            </w:r>
          </w:p>
        </w:tc>
        <w:tc>
          <w:tcPr>
            <w:tcW w:w="0" w:type="auto"/>
            <w:shd w:val="clear" w:color="auto" w:fill="CCEEFF"/>
            <w:vAlign w:val="bottom"/>
          </w:tcPr>
          <w:p w14:paraId="5556D4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4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4A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834</w:t>
            </w:r>
          </w:p>
        </w:tc>
        <w:tc>
          <w:tcPr>
            <w:tcW w:w="0" w:type="auto"/>
            <w:shd w:val="clear" w:color="auto" w:fill="CCEEFF"/>
            <w:vAlign w:val="bottom"/>
          </w:tcPr>
          <w:p w14:paraId="5556D4A6" w14:textId="77777777" w:rsidR="00F925DD" w:rsidRDefault="00F925DD">
            <w:pPr>
              <w:textAlignment w:val="bottom"/>
              <w:rPr>
                <w:rFonts w:ascii="Times New Roman" w:hAnsi="Times New Roman"/>
                <w:sz w:val="20"/>
                <w:szCs w:val="20"/>
              </w:rPr>
            </w:pPr>
          </w:p>
        </w:tc>
      </w:tr>
      <w:tr w:rsidR="00F925DD" w14:paraId="5556D4B0" w14:textId="77777777">
        <w:tc>
          <w:tcPr>
            <w:tcW w:w="0" w:type="auto"/>
            <w:shd w:val="clear" w:color="auto" w:fill="auto"/>
            <w:tcMar>
              <w:top w:w="40" w:type="dxa"/>
              <w:left w:w="40" w:type="dxa"/>
              <w:bottom w:w="40" w:type="dxa"/>
              <w:right w:w="40" w:type="dxa"/>
            </w:tcMar>
            <w:vAlign w:val="bottom"/>
          </w:tcPr>
          <w:p w14:paraId="5556D4A8"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4A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4A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34,011</w:t>
            </w:r>
          </w:p>
        </w:tc>
        <w:tc>
          <w:tcPr>
            <w:tcW w:w="0" w:type="auto"/>
            <w:tcBorders>
              <w:top w:val="single" w:sz="8" w:space="0" w:color="000000"/>
              <w:bottom w:val="double" w:sz="6" w:space="0" w:color="000000"/>
            </w:tcBorders>
            <w:shd w:val="clear" w:color="auto" w:fill="auto"/>
            <w:vAlign w:val="bottom"/>
          </w:tcPr>
          <w:p w14:paraId="5556D4A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4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4A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4A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34,789</w:t>
            </w:r>
          </w:p>
        </w:tc>
        <w:tc>
          <w:tcPr>
            <w:tcW w:w="0" w:type="auto"/>
            <w:tcBorders>
              <w:top w:val="single" w:sz="8" w:space="0" w:color="000000"/>
              <w:bottom w:val="double" w:sz="6" w:space="0" w:color="000000"/>
            </w:tcBorders>
            <w:shd w:val="clear" w:color="auto" w:fill="auto"/>
            <w:vAlign w:val="bottom"/>
          </w:tcPr>
          <w:p w14:paraId="5556D4AF" w14:textId="77777777" w:rsidR="00F925DD" w:rsidRDefault="00F925DD">
            <w:pPr>
              <w:textAlignment w:val="bottom"/>
              <w:rPr>
                <w:rFonts w:ascii="Times New Roman" w:hAnsi="Times New Roman"/>
                <w:sz w:val="20"/>
                <w:szCs w:val="20"/>
              </w:rPr>
            </w:pPr>
          </w:p>
        </w:tc>
      </w:tr>
    </w:tbl>
    <w:p w14:paraId="5556D4B1"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D4B3" w14:textId="77777777">
        <w:tc>
          <w:tcPr>
            <w:tcW w:w="0" w:type="auto"/>
            <w:gridSpan w:val="2"/>
            <w:shd w:val="clear" w:color="auto" w:fill="auto"/>
            <w:vAlign w:val="center"/>
          </w:tcPr>
          <w:p w14:paraId="5556D4B2" w14:textId="77777777" w:rsidR="00F925DD" w:rsidRDefault="00F925DD">
            <w:pPr>
              <w:rPr>
                <w:rFonts w:ascii="Times New Roman" w:hAnsi="Times New Roman"/>
                <w:sz w:val="20"/>
                <w:szCs w:val="20"/>
              </w:rPr>
            </w:pPr>
          </w:p>
        </w:tc>
      </w:tr>
      <w:tr w:rsidR="00F925DD" w14:paraId="5556D4B6" w14:textId="77777777">
        <w:tc>
          <w:tcPr>
            <w:tcW w:w="1400" w:type="pct"/>
            <w:shd w:val="clear" w:color="auto" w:fill="auto"/>
            <w:vAlign w:val="center"/>
          </w:tcPr>
          <w:p w14:paraId="5556D4B4" w14:textId="77777777" w:rsidR="00F925DD" w:rsidRDefault="00F925DD">
            <w:pPr>
              <w:rPr>
                <w:rFonts w:ascii="Times New Roman" w:hAnsi="Times New Roman"/>
                <w:sz w:val="20"/>
                <w:szCs w:val="20"/>
              </w:rPr>
            </w:pPr>
          </w:p>
        </w:tc>
        <w:tc>
          <w:tcPr>
            <w:tcW w:w="3600" w:type="pct"/>
            <w:shd w:val="clear" w:color="auto" w:fill="auto"/>
            <w:vAlign w:val="center"/>
          </w:tcPr>
          <w:p w14:paraId="5556D4B5" w14:textId="77777777" w:rsidR="00F925DD" w:rsidRDefault="00F925DD">
            <w:pPr>
              <w:rPr>
                <w:rFonts w:ascii="Times New Roman" w:hAnsi="Times New Roman"/>
                <w:sz w:val="20"/>
                <w:szCs w:val="20"/>
              </w:rPr>
            </w:pPr>
          </w:p>
        </w:tc>
      </w:tr>
      <w:tr w:rsidR="00F925DD" w14:paraId="5556D4B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4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4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4BA"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(1)</w:t>
      </w:r>
      <w:r>
        <w:rPr>
          <w:rFonts w:ascii="Arial" w:eastAsia="宋体" w:hAnsi="Arial" w:cs="Arial"/>
          <w:sz w:val="12"/>
          <w:szCs w:val="12"/>
        </w:rPr>
        <w:t xml:space="preserve"> Refer to Note 11, for further information on the impact of collateral on our financial statement presentation of securities borrowing and securities lending transactions.</w:t>
      </w:r>
    </w:p>
    <w:p w14:paraId="5556D4BB"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We adopted ASU 2016-02, Leases (Topic 842) and relevant amendments, effective Ja</w:t>
      </w:r>
      <w:r>
        <w:rPr>
          <w:rFonts w:ascii="Arial" w:eastAsia="宋体" w:hAnsi="Arial" w:cs="Arial"/>
          <w:sz w:val="12"/>
          <w:szCs w:val="12"/>
        </w:rPr>
        <w:t>nuary 1, 2019. Refer to Note 1 for further information on this new accounting standard.</w:t>
      </w:r>
    </w:p>
    <w:p w14:paraId="5556D4BC"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(3) </w:t>
      </w:r>
      <w:r>
        <w:rPr>
          <w:rFonts w:ascii="Arial" w:eastAsia="宋体" w:hAnsi="Arial" w:cs="Arial"/>
          <w:sz w:val="12"/>
          <w:szCs w:val="12"/>
        </w:rPr>
        <w:t>Deferred tax assets and liabilities recorded in our consolidated statement of condition are netted within the same tax jurisdiction.</w:t>
      </w:r>
    </w:p>
    <w:p w14:paraId="5556D4BD"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7. Deposits</w:t>
      </w:r>
    </w:p>
    <w:p w14:paraId="5556D4B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w:t>
      </w:r>
      <w:r>
        <w:rPr>
          <w:rFonts w:ascii="Arial" w:eastAsia="宋体" w:hAnsi="Arial" w:cs="Arial"/>
          <w:sz w:val="20"/>
          <w:szCs w:val="20"/>
        </w:rPr>
        <w:t xml:space="preserve"> 31, 2019, we had $35.15 billion of time deposits outstanding, of which $3.00 billion were wholesale CDs, $32.01 billion were derived from client deposits (payable on demand to such clients) and held in a time deposit established by us as the agent and $13</w:t>
      </w:r>
      <w:r>
        <w:rPr>
          <w:rFonts w:ascii="Arial" w:eastAsia="宋体" w:hAnsi="Arial" w:cs="Arial"/>
          <w:sz w:val="20"/>
          <w:szCs w:val="20"/>
        </w:rPr>
        <w:t>9 million were non-U.S. and all of which are scheduled to mature in 2020. As of December 31, 2018, we had $46.40 billion of time deposits outstanding, of which $4.52 billion were wholesale CDs, $41.57 billion were derived from client deposits (payable on d</w:t>
      </w:r>
      <w:r>
        <w:rPr>
          <w:rFonts w:ascii="Arial" w:eastAsia="宋体" w:hAnsi="Arial" w:cs="Arial"/>
          <w:sz w:val="20"/>
          <w:szCs w:val="20"/>
        </w:rPr>
        <w:t>emand to such clients) and held in a time deposit established by us as the agent and $314 million were non-U.S. As of December 31, 2019 and 2018, all U.S. and non-U.S. time deposits were in amounts of $250,000 or more. Demand deposit overdrafts of $3.26 bi</w:t>
      </w:r>
      <w:r>
        <w:rPr>
          <w:rFonts w:ascii="Arial" w:eastAsia="宋体" w:hAnsi="Arial" w:cs="Arial"/>
          <w:sz w:val="20"/>
          <w:szCs w:val="20"/>
        </w:rPr>
        <w:t>llion and $5.44 billion were included as loan balances at December 31, 2019 and 2018, respectively.</w:t>
      </w:r>
    </w:p>
    <w:p w14:paraId="5556D4BF"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8. Short-Term Borrowings</w:t>
      </w:r>
    </w:p>
    <w:p w14:paraId="5556D4C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short-term borrowings include securities sold under repurchase agreements, short-term borrowings associated with our </w:t>
      </w:r>
      <w:r>
        <w:rPr>
          <w:rFonts w:ascii="Arial" w:eastAsia="宋体" w:hAnsi="Arial" w:cs="Arial"/>
          <w:sz w:val="20"/>
          <w:szCs w:val="20"/>
        </w:rPr>
        <w:t>tax-exempt investment program (more fully described in Note 14) and other short-term borrowings.</w:t>
      </w:r>
    </w:p>
    <w:p w14:paraId="5556D4C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Collectively, short-term borrowings had weighted-average interest rates of 1.64% and 0.88% in 2019 and 2018, respectively.</w:t>
      </w:r>
    </w:p>
    <w:p w14:paraId="5556D4C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informa</w:t>
      </w:r>
      <w:r>
        <w:rPr>
          <w:rFonts w:ascii="Arial" w:eastAsia="宋体" w:hAnsi="Arial" w:cs="Arial"/>
          <w:sz w:val="20"/>
          <w:szCs w:val="20"/>
        </w:rPr>
        <w:t>tion with respect to the amounts outstanding and weighted-average interest rates of the primary components of our short-term borrowings as of and for the years ended December 31:</w:t>
      </w:r>
    </w:p>
    <w:tbl>
      <w:tblPr>
        <w:tblW w:w="5000" w:type="pct"/>
        <w:tblCellMar>
          <w:left w:w="0" w:type="dxa"/>
          <w:right w:w="0" w:type="dxa"/>
        </w:tblCellMar>
        <w:tblLook w:val="04A0" w:firstRow="1" w:lastRow="0" w:firstColumn="1" w:lastColumn="0" w:noHBand="0" w:noVBand="1"/>
      </w:tblPr>
      <w:tblGrid>
        <w:gridCol w:w="1488"/>
        <w:gridCol w:w="129"/>
        <w:gridCol w:w="401"/>
        <w:gridCol w:w="183"/>
        <w:gridCol w:w="130"/>
        <w:gridCol w:w="129"/>
        <w:gridCol w:w="401"/>
        <w:gridCol w:w="183"/>
        <w:gridCol w:w="130"/>
        <w:gridCol w:w="129"/>
        <w:gridCol w:w="401"/>
        <w:gridCol w:w="183"/>
        <w:gridCol w:w="130"/>
        <w:gridCol w:w="129"/>
        <w:gridCol w:w="267"/>
        <w:gridCol w:w="183"/>
        <w:gridCol w:w="130"/>
        <w:gridCol w:w="129"/>
        <w:gridCol w:w="378"/>
        <w:gridCol w:w="183"/>
        <w:gridCol w:w="130"/>
        <w:gridCol w:w="129"/>
        <w:gridCol w:w="401"/>
        <w:gridCol w:w="183"/>
        <w:gridCol w:w="130"/>
        <w:gridCol w:w="129"/>
        <w:gridCol w:w="160"/>
        <w:gridCol w:w="183"/>
        <w:gridCol w:w="130"/>
        <w:gridCol w:w="129"/>
        <w:gridCol w:w="401"/>
        <w:gridCol w:w="183"/>
        <w:gridCol w:w="130"/>
        <w:gridCol w:w="129"/>
        <w:gridCol w:w="160"/>
        <w:gridCol w:w="183"/>
      </w:tblGrid>
      <w:tr w:rsidR="00F925DD" w14:paraId="5556D4C4" w14:textId="77777777">
        <w:tc>
          <w:tcPr>
            <w:tcW w:w="0" w:type="auto"/>
            <w:gridSpan w:val="36"/>
            <w:shd w:val="clear" w:color="auto" w:fill="auto"/>
            <w:vAlign w:val="center"/>
          </w:tcPr>
          <w:p w14:paraId="5556D4C3" w14:textId="77777777" w:rsidR="00F925DD" w:rsidRDefault="00F925DD">
            <w:pPr>
              <w:rPr>
                <w:rFonts w:ascii="Times New Roman" w:hAnsi="Times New Roman"/>
                <w:sz w:val="20"/>
                <w:szCs w:val="20"/>
              </w:rPr>
            </w:pPr>
          </w:p>
        </w:tc>
      </w:tr>
      <w:tr w:rsidR="00F925DD" w14:paraId="5556D4E9" w14:textId="77777777">
        <w:tc>
          <w:tcPr>
            <w:tcW w:w="1000" w:type="pct"/>
            <w:shd w:val="clear" w:color="auto" w:fill="auto"/>
            <w:vAlign w:val="center"/>
          </w:tcPr>
          <w:p w14:paraId="5556D4C5" w14:textId="77777777" w:rsidR="00F925DD" w:rsidRDefault="00F925DD">
            <w:pPr>
              <w:rPr>
                <w:rFonts w:ascii="Times New Roman" w:hAnsi="Times New Roman"/>
                <w:sz w:val="20"/>
                <w:szCs w:val="20"/>
              </w:rPr>
            </w:pPr>
          </w:p>
        </w:tc>
        <w:tc>
          <w:tcPr>
            <w:tcW w:w="50" w:type="pct"/>
            <w:shd w:val="clear" w:color="auto" w:fill="auto"/>
            <w:vAlign w:val="center"/>
          </w:tcPr>
          <w:p w14:paraId="5556D4C6" w14:textId="77777777" w:rsidR="00F925DD" w:rsidRDefault="00F925DD">
            <w:pPr>
              <w:rPr>
                <w:rFonts w:ascii="Times New Roman" w:hAnsi="Times New Roman"/>
                <w:sz w:val="20"/>
                <w:szCs w:val="20"/>
              </w:rPr>
            </w:pPr>
          </w:p>
        </w:tc>
        <w:tc>
          <w:tcPr>
            <w:tcW w:w="300" w:type="pct"/>
            <w:shd w:val="clear" w:color="auto" w:fill="auto"/>
            <w:vAlign w:val="center"/>
          </w:tcPr>
          <w:p w14:paraId="5556D4C7" w14:textId="77777777" w:rsidR="00F925DD" w:rsidRDefault="00F925DD">
            <w:pPr>
              <w:rPr>
                <w:rFonts w:ascii="Times New Roman" w:hAnsi="Times New Roman"/>
                <w:sz w:val="20"/>
                <w:szCs w:val="20"/>
              </w:rPr>
            </w:pPr>
          </w:p>
        </w:tc>
        <w:tc>
          <w:tcPr>
            <w:tcW w:w="50" w:type="pct"/>
            <w:shd w:val="clear" w:color="auto" w:fill="auto"/>
            <w:vAlign w:val="center"/>
          </w:tcPr>
          <w:p w14:paraId="5556D4C8" w14:textId="77777777" w:rsidR="00F925DD" w:rsidRDefault="00F925DD">
            <w:pPr>
              <w:rPr>
                <w:rFonts w:ascii="Times New Roman" w:hAnsi="Times New Roman"/>
                <w:sz w:val="20"/>
                <w:szCs w:val="20"/>
              </w:rPr>
            </w:pPr>
          </w:p>
        </w:tc>
        <w:tc>
          <w:tcPr>
            <w:tcW w:w="50" w:type="pct"/>
            <w:shd w:val="clear" w:color="auto" w:fill="auto"/>
            <w:vAlign w:val="center"/>
          </w:tcPr>
          <w:p w14:paraId="5556D4C9" w14:textId="77777777" w:rsidR="00F925DD" w:rsidRDefault="00F925DD">
            <w:pPr>
              <w:rPr>
                <w:rFonts w:ascii="Times New Roman" w:hAnsi="Times New Roman"/>
                <w:sz w:val="20"/>
                <w:szCs w:val="20"/>
              </w:rPr>
            </w:pPr>
          </w:p>
        </w:tc>
        <w:tc>
          <w:tcPr>
            <w:tcW w:w="50" w:type="pct"/>
            <w:shd w:val="clear" w:color="auto" w:fill="auto"/>
            <w:vAlign w:val="center"/>
          </w:tcPr>
          <w:p w14:paraId="5556D4CA" w14:textId="77777777" w:rsidR="00F925DD" w:rsidRDefault="00F925DD">
            <w:pPr>
              <w:rPr>
                <w:rFonts w:ascii="Times New Roman" w:hAnsi="Times New Roman"/>
                <w:sz w:val="20"/>
                <w:szCs w:val="20"/>
              </w:rPr>
            </w:pPr>
          </w:p>
        </w:tc>
        <w:tc>
          <w:tcPr>
            <w:tcW w:w="300" w:type="pct"/>
            <w:shd w:val="clear" w:color="auto" w:fill="auto"/>
            <w:vAlign w:val="center"/>
          </w:tcPr>
          <w:p w14:paraId="5556D4CB" w14:textId="77777777" w:rsidR="00F925DD" w:rsidRDefault="00F925DD">
            <w:pPr>
              <w:rPr>
                <w:rFonts w:ascii="Times New Roman" w:hAnsi="Times New Roman"/>
                <w:sz w:val="20"/>
                <w:szCs w:val="20"/>
              </w:rPr>
            </w:pPr>
          </w:p>
        </w:tc>
        <w:tc>
          <w:tcPr>
            <w:tcW w:w="50" w:type="pct"/>
            <w:shd w:val="clear" w:color="auto" w:fill="auto"/>
            <w:vAlign w:val="center"/>
          </w:tcPr>
          <w:p w14:paraId="5556D4CC" w14:textId="77777777" w:rsidR="00F925DD" w:rsidRDefault="00F925DD">
            <w:pPr>
              <w:rPr>
                <w:rFonts w:ascii="Times New Roman" w:hAnsi="Times New Roman"/>
                <w:sz w:val="20"/>
                <w:szCs w:val="20"/>
              </w:rPr>
            </w:pPr>
          </w:p>
        </w:tc>
        <w:tc>
          <w:tcPr>
            <w:tcW w:w="50" w:type="pct"/>
            <w:shd w:val="clear" w:color="auto" w:fill="auto"/>
            <w:vAlign w:val="center"/>
          </w:tcPr>
          <w:p w14:paraId="5556D4CD" w14:textId="77777777" w:rsidR="00F925DD" w:rsidRDefault="00F925DD">
            <w:pPr>
              <w:rPr>
                <w:rFonts w:ascii="Times New Roman" w:hAnsi="Times New Roman"/>
                <w:sz w:val="20"/>
                <w:szCs w:val="20"/>
              </w:rPr>
            </w:pPr>
          </w:p>
        </w:tc>
        <w:tc>
          <w:tcPr>
            <w:tcW w:w="50" w:type="pct"/>
            <w:shd w:val="clear" w:color="auto" w:fill="auto"/>
            <w:vAlign w:val="center"/>
          </w:tcPr>
          <w:p w14:paraId="5556D4CE" w14:textId="77777777" w:rsidR="00F925DD" w:rsidRDefault="00F925DD">
            <w:pPr>
              <w:rPr>
                <w:rFonts w:ascii="Times New Roman" w:hAnsi="Times New Roman"/>
                <w:sz w:val="20"/>
                <w:szCs w:val="20"/>
              </w:rPr>
            </w:pPr>
          </w:p>
        </w:tc>
        <w:tc>
          <w:tcPr>
            <w:tcW w:w="300" w:type="pct"/>
            <w:shd w:val="clear" w:color="auto" w:fill="auto"/>
            <w:vAlign w:val="center"/>
          </w:tcPr>
          <w:p w14:paraId="5556D4CF" w14:textId="77777777" w:rsidR="00F925DD" w:rsidRDefault="00F925DD">
            <w:pPr>
              <w:rPr>
                <w:rFonts w:ascii="Times New Roman" w:hAnsi="Times New Roman"/>
                <w:sz w:val="20"/>
                <w:szCs w:val="20"/>
              </w:rPr>
            </w:pPr>
          </w:p>
        </w:tc>
        <w:tc>
          <w:tcPr>
            <w:tcW w:w="50" w:type="pct"/>
            <w:shd w:val="clear" w:color="auto" w:fill="auto"/>
            <w:vAlign w:val="center"/>
          </w:tcPr>
          <w:p w14:paraId="5556D4D0" w14:textId="77777777" w:rsidR="00F925DD" w:rsidRDefault="00F925DD">
            <w:pPr>
              <w:rPr>
                <w:rFonts w:ascii="Times New Roman" w:hAnsi="Times New Roman"/>
                <w:sz w:val="20"/>
                <w:szCs w:val="20"/>
              </w:rPr>
            </w:pPr>
          </w:p>
        </w:tc>
        <w:tc>
          <w:tcPr>
            <w:tcW w:w="50" w:type="pct"/>
            <w:shd w:val="clear" w:color="auto" w:fill="auto"/>
            <w:vAlign w:val="center"/>
          </w:tcPr>
          <w:p w14:paraId="5556D4D1" w14:textId="77777777" w:rsidR="00F925DD" w:rsidRDefault="00F925DD">
            <w:pPr>
              <w:rPr>
                <w:rFonts w:ascii="Times New Roman" w:hAnsi="Times New Roman"/>
                <w:sz w:val="20"/>
                <w:szCs w:val="20"/>
              </w:rPr>
            </w:pPr>
          </w:p>
        </w:tc>
        <w:tc>
          <w:tcPr>
            <w:tcW w:w="50" w:type="pct"/>
            <w:shd w:val="clear" w:color="auto" w:fill="auto"/>
            <w:vAlign w:val="center"/>
          </w:tcPr>
          <w:p w14:paraId="5556D4D2" w14:textId="77777777" w:rsidR="00F925DD" w:rsidRDefault="00F925DD">
            <w:pPr>
              <w:rPr>
                <w:rFonts w:ascii="Times New Roman" w:hAnsi="Times New Roman"/>
                <w:sz w:val="20"/>
                <w:szCs w:val="20"/>
              </w:rPr>
            </w:pPr>
          </w:p>
        </w:tc>
        <w:tc>
          <w:tcPr>
            <w:tcW w:w="300" w:type="pct"/>
            <w:shd w:val="clear" w:color="auto" w:fill="auto"/>
            <w:vAlign w:val="center"/>
          </w:tcPr>
          <w:p w14:paraId="5556D4D3" w14:textId="77777777" w:rsidR="00F925DD" w:rsidRDefault="00F925DD">
            <w:pPr>
              <w:rPr>
                <w:rFonts w:ascii="Times New Roman" w:hAnsi="Times New Roman"/>
                <w:sz w:val="20"/>
                <w:szCs w:val="20"/>
              </w:rPr>
            </w:pPr>
          </w:p>
        </w:tc>
        <w:tc>
          <w:tcPr>
            <w:tcW w:w="50" w:type="pct"/>
            <w:shd w:val="clear" w:color="auto" w:fill="auto"/>
            <w:vAlign w:val="center"/>
          </w:tcPr>
          <w:p w14:paraId="5556D4D4" w14:textId="77777777" w:rsidR="00F925DD" w:rsidRDefault="00F925DD">
            <w:pPr>
              <w:rPr>
                <w:rFonts w:ascii="Times New Roman" w:hAnsi="Times New Roman"/>
                <w:sz w:val="20"/>
                <w:szCs w:val="20"/>
              </w:rPr>
            </w:pPr>
          </w:p>
        </w:tc>
        <w:tc>
          <w:tcPr>
            <w:tcW w:w="50" w:type="pct"/>
            <w:shd w:val="clear" w:color="auto" w:fill="auto"/>
            <w:vAlign w:val="center"/>
          </w:tcPr>
          <w:p w14:paraId="5556D4D5" w14:textId="77777777" w:rsidR="00F925DD" w:rsidRDefault="00F925DD">
            <w:pPr>
              <w:rPr>
                <w:rFonts w:ascii="Times New Roman" w:hAnsi="Times New Roman"/>
                <w:sz w:val="20"/>
                <w:szCs w:val="20"/>
              </w:rPr>
            </w:pPr>
          </w:p>
        </w:tc>
        <w:tc>
          <w:tcPr>
            <w:tcW w:w="50" w:type="pct"/>
            <w:shd w:val="clear" w:color="auto" w:fill="auto"/>
            <w:vAlign w:val="center"/>
          </w:tcPr>
          <w:p w14:paraId="5556D4D6" w14:textId="77777777" w:rsidR="00F925DD" w:rsidRDefault="00F925DD">
            <w:pPr>
              <w:rPr>
                <w:rFonts w:ascii="Times New Roman" w:hAnsi="Times New Roman"/>
                <w:sz w:val="20"/>
                <w:szCs w:val="20"/>
              </w:rPr>
            </w:pPr>
          </w:p>
        </w:tc>
        <w:tc>
          <w:tcPr>
            <w:tcW w:w="300" w:type="pct"/>
            <w:shd w:val="clear" w:color="auto" w:fill="auto"/>
            <w:vAlign w:val="center"/>
          </w:tcPr>
          <w:p w14:paraId="5556D4D7" w14:textId="77777777" w:rsidR="00F925DD" w:rsidRDefault="00F925DD">
            <w:pPr>
              <w:rPr>
                <w:rFonts w:ascii="Times New Roman" w:hAnsi="Times New Roman"/>
                <w:sz w:val="20"/>
                <w:szCs w:val="20"/>
              </w:rPr>
            </w:pPr>
          </w:p>
        </w:tc>
        <w:tc>
          <w:tcPr>
            <w:tcW w:w="50" w:type="pct"/>
            <w:shd w:val="clear" w:color="auto" w:fill="auto"/>
            <w:vAlign w:val="center"/>
          </w:tcPr>
          <w:p w14:paraId="5556D4D8" w14:textId="77777777" w:rsidR="00F925DD" w:rsidRDefault="00F925DD">
            <w:pPr>
              <w:rPr>
                <w:rFonts w:ascii="Times New Roman" w:hAnsi="Times New Roman"/>
                <w:sz w:val="20"/>
                <w:szCs w:val="20"/>
              </w:rPr>
            </w:pPr>
          </w:p>
        </w:tc>
        <w:tc>
          <w:tcPr>
            <w:tcW w:w="50" w:type="pct"/>
            <w:shd w:val="clear" w:color="auto" w:fill="auto"/>
            <w:vAlign w:val="center"/>
          </w:tcPr>
          <w:p w14:paraId="5556D4D9" w14:textId="77777777" w:rsidR="00F925DD" w:rsidRDefault="00F925DD">
            <w:pPr>
              <w:rPr>
                <w:rFonts w:ascii="Times New Roman" w:hAnsi="Times New Roman"/>
                <w:sz w:val="20"/>
                <w:szCs w:val="20"/>
              </w:rPr>
            </w:pPr>
          </w:p>
        </w:tc>
        <w:tc>
          <w:tcPr>
            <w:tcW w:w="50" w:type="pct"/>
            <w:shd w:val="clear" w:color="auto" w:fill="auto"/>
            <w:vAlign w:val="center"/>
          </w:tcPr>
          <w:p w14:paraId="5556D4DA" w14:textId="77777777" w:rsidR="00F925DD" w:rsidRDefault="00F925DD">
            <w:pPr>
              <w:rPr>
                <w:rFonts w:ascii="Times New Roman" w:hAnsi="Times New Roman"/>
                <w:sz w:val="20"/>
                <w:szCs w:val="20"/>
              </w:rPr>
            </w:pPr>
          </w:p>
        </w:tc>
        <w:tc>
          <w:tcPr>
            <w:tcW w:w="300" w:type="pct"/>
            <w:shd w:val="clear" w:color="auto" w:fill="auto"/>
            <w:vAlign w:val="center"/>
          </w:tcPr>
          <w:p w14:paraId="5556D4DB" w14:textId="77777777" w:rsidR="00F925DD" w:rsidRDefault="00F925DD">
            <w:pPr>
              <w:rPr>
                <w:rFonts w:ascii="Times New Roman" w:hAnsi="Times New Roman"/>
                <w:sz w:val="20"/>
                <w:szCs w:val="20"/>
              </w:rPr>
            </w:pPr>
          </w:p>
        </w:tc>
        <w:tc>
          <w:tcPr>
            <w:tcW w:w="50" w:type="pct"/>
            <w:shd w:val="clear" w:color="auto" w:fill="auto"/>
            <w:vAlign w:val="center"/>
          </w:tcPr>
          <w:p w14:paraId="5556D4DC" w14:textId="77777777" w:rsidR="00F925DD" w:rsidRDefault="00F925DD">
            <w:pPr>
              <w:rPr>
                <w:rFonts w:ascii="Times New Roman" w:hAnsi="Times New Roman"/>
                <w:sz w:val="20"/>
                <w:szCs w:val="20"/>
              </w:rPr>
            </w:pPr>
          </w:p>
        </w:tc>
        <w:tc>
          <w:tcPr>
            <w:tcW w:w="50" w:type="pct"/>
            <w:shd w:val="clear" w:color="auto" w:fill="auto"/>
            <w:vAlign w:val="center"/>
          </w:tcPr>
          <w:p w14:paraId="5556D4DD" w14:textId="77777777" w:rsidR="00F925DD" w:rsidRDefault="00F925DD">
            <w:pPr>
              <w:rPr>
                <w:rFonts w:ascii="Times New Roman" w:hAnsi="Times New Roman"/>
                <w:sz w:val="20"/>
                <w:szCs w:val="20"/>
              </w:rPr>
            </w:pPr>
          </w:p>
        </w:tc>
        <w:tc>
          <w:tcPr>
            <w:tcW w:w="50" w:type="pct"/>
            <w:shd w:val="clear" w:color="auto" w:fill="auto"/>
            <w:vAlign w:val="center"/>
          </w:tcPr>
          <w:p w14:paraId="5556D4DE" w14:textId="77777777" w:rsidR="00F925DD" w:rsidRDefault="00F925DD">
            <w:pPr>
              <w:rPr>
                <w:rFonts w:ascii="Times New Roman" w:hAnsi="Times New Roman"/>
                <w:sz w:val="20"/>
                <w:szCs w:val="20"/>
              </w:rPr>
            </w:pPr>
          </w:p>
        </w:tc>
        <w:tc>
          <w:tcPr>
            <w:tcW w:w="300" w:type="pct"/>
            <w:shd w:val="clear" w:color="auto" w:fill="auto"/>
            <w:vAlign w:val="center"/>
          </w:tcPr>
          <w:p w14:paraId="5556D4DF" w14:textId="77777777" w:rsidR="00F925DD" w:rsidRDefault="00F925DD">
            <w:pPr>
              <w:rPr>
                <w:rFonts w:ascii="Times New Roman" w:hAnsi="Times New Roman"/>
                <w:sz w:val="20"/>
                <w:szCs w:val="20"/>
              </w:rPr>
            </w:pPr>
          </w:p>
        </w:tc>
        <w:tc>
          <w:tcPr>
            <w:tcW w:w="50" w:type="pct"/>
            <w:shd w:val="clear" w:color="auto" w:fill="auto"/>
            <w:vAlign w:val="center"/>
          </w:tcPr>
          <w:p w14:paraId="5556D4E0" w14:textId="77777777" w:rsidR="00F925DD" w:rsidRDefault="00F925DD">
            <w:pPr>
              <w:rPr>
                <w:rFonts w:ascii="Times New Roman" w:hAnsi="Times New Roman"/>
                <w:sz w:val="20"/>
                <w:szCs w:val="20"/>
              </w:rPr>
            </w:pPr>
          </w:p>
        </w:tc>
        <w:tc>
          <w:tcPr>
            <w:tcW w:w="50" w:type="pct"/>
            <w:shd w:val="clear" w:color="auto" w:fill="auto"/>
            <w:vAlign w:val="center"/>
          </w:tcPr>
          <w:p w14:paraId="5556D4E1" w14:textId="77777777" w:rsidR="00F925DD" w:rsidRDefault="00F925DD">
            <w:pPr>
              <w:rPr>
                <w:rFonts w:ascii="Times New Roman" w:hAnsi="Times New Roman"/>
                <w:sz w:val="20"/>
                <w:szCs w:val="20"/>
              </w:rPr>
            </w:pPr>
          </w:p>
        </w:tc>
        <w:tc>
          <w:tcPr>
            <w:tcW w:w="50" w:type="pct"/>
            <w:shd w:val="clear" w:color="auto" w:fill="auto"/>
            <w:vAlign w:val="center"/>
          </w:tcPr>
          <w:p w14:paraId="5556D4E2" w14:textId="77777777" w:rsidR="00F925DD" w:rsidRDefault="00F925DD">
            <w:pPr>
              <w:rPr>
                <w:rFonts w:ascii="Times New Roman" w:hAnsi="Times New Roman"/>
                <w:sz w:val="20"/>
                <w:szCs w:val="20"/>
              </w:rPr>
            </w:pPr>
          </w:p>
        </w:tc>
        <w:tc>
          <w:tcPr>
            <w:tcW w:w="300" w:type="pct"/>
            <w:shd w:val="clear" w:color="auto" w:fill="auto"/>
            <w:vAlign w:val="center"/>
          </w:tcPr>
          <w:p w14:paraId="5556D4E3" w14:textId="77777777" w:rsidR="00F925DD" w:rsidRDefault="00F925DD">
            <w:pPr>
              <w:rPr>
                <w:rFonts w:ascii="Times New Roman" w:hAnsi="Times New Roman"/>
                <w:sz w:val="20"/>
                <w:szCs w:val="20"/>
              </w:rPr>
            </w:pPr>
          </w:p>
        </w:tc>
        <w:tc>
          <w:tcPr>
            <w:tcW w:w="50" w:type="pct"/>
            <w:shd w:val="clear" w:color="auto" w:fill="auto"/>
            <w:vAlign w:val="center"/>
          </w:tcPr>
          <w:p w14:paraId="5556D4E4" w14:textId="77777777" w:rsidR="00F925DD" w:rsidRDefault="00F925DD">
            <w:pPr>
              <w:rPr>
                <w:rFonts w:ascii="Times New Roman" w:hAnsi="Times New Roman"/>
                <w:sz w:val="20"/>
                <w:szCs w:val="20"/>
              </w:rPr>
            </w:pPr>
          </w:p>
        </w:tc>
        <w:tc>
          <w:tcPr>
            <w:tcW w:w="50" w:type="pct"/>
            <w:shd w:val="clear" w:color="auto" w:fill="auto"/>
            <w:vAlign w:val="center"/>
          </w:tcPr>
          <w:p w14:paraId="5556D4E5" w14:textId="77777777" w:rsidR="00F925DD" w:rsidRDefault="00F925DD">
            <w:pPr>
              <w:rPr>
                <w:rFonts w:ascii="Times New Roman" w:hAnsi="Times New Roman"/>
                <w:sz w:val="20"/>
                <w:szCs w:val="20"/>
              </w:rPr>
            </w:pPr>
          </w:p>
        </w:tc>
        <w:tc>
          <w:tcPr>
            <w:tcW w:w="50" w:type="pct"/>
            <w:shd w:val="clear" w:color="auto" w:fill="auto"/>
            <w:vAlign w:val="center"/>
          </w:tcPr>
          <w:p w14:paraId="5556D4E6" w14:textId="77777777" w:rsidR="00F925DD" w:rsidRDefault="00F925DD">
            <w:pPr>
              <w:rPr>
                <w:rFonts w:ascii="Times New Roman" w:hAnsi="Times New Roman"/>
                <w:sz w:val="20"/>
                <w:szCs w:val="20"/>
              </w:rPr>
            </w:pPr>
          </w:p>
        </w:tc>
        <w:tc>
          <w:tcPr>
            <w:tcW w:w="300" w:type="pct"/>
            <w:shd w:val="clear" w:color="auto" w:fill="auto"/>
            <w:vAlign w:val="center"/>
          </w:tcPr>
          <w:p w14:paraId="5556D4E7" w14:textId="77777777" w:rsidR="00F925DD" w:rsidRDefault="00F925DD">
            <w:pPr>
              <w:rPr>
                <w:rFonts w:ascii="Times New Roman" w:hAnsi="Times New Roman"/>
                <w:sz w:val="20"/>
                <w:szCs w:val="20"/>
              </w:rPr>
            </w:pPr>
          </w:p>
        </w:tc>
        <w:tc>
          <w:tcPr>
            <w:tcW w:w="50" w:type="pct"/>
            <w:shd w:val="clear" w:color="auto" w:fill="auto"/>
            <w:vAlign w:val="center"/>
          </w:tcPr>
          <w:p w14:paraId="5556D4E8" w14:textId="77777777" w:rsidR="00F925DD" w:rsidRDefault="00F925DD">
            <w:pPr>
              <w:rPr>
                <w:rFonts w:ascii="Times New Roman" w:hAnsi="Times New Roman"/>
                <w:sz w:val="20"/>
                <w:szCs w:val="20"/>
              </w:rPr>
            </w:pPr>
          </w:p>
        </w:tc>
      </w:tr>
      <w:tr w:rsidR="00F925DD" w14:paraId="5556D4F2" w14:textId="77777777">
        <w:tc>
          <w:tcPr>
            <w:tcW w:w="0" w:type="auto"/>
            <w:shd w:val="clear" w:color="auto" w:fill="auto"/>
            <w:tcMar>
              <w:top w:w="40" w:type="dxa"/>
              <w:left w:w="40" w:type="dxa"/>
              <w:bottom w:w="40" w:type="dxa"/>
              <w:right w:w="40" w:type="dxa"/>
            </w:tcMar>
            <w:vAlign w:val="bottom"/>
          </w:tcPr>
          <w:p w14:paraId="5556D4E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(Dollars in millions)</w:t>
            </w:r>
          </w:p>
        </w:tc>
        <w:tc>
          <w:tcPr>
            <w:tcW w:w="0" w:type="auto"/>
            <w:gridSpan w:val="11"/>
            <w:tcBorders>
              <w:bottom w:val="single" w:sz="8" w:space="0" w:color="000000"/>
            </w:tcBorders>
            <w:shd w:val="clear" w:color="auto" w:fill="auto"/>
            <w:tcMar>
              <w:top w:w="40" w:type="dxa"/>
              <w:left w:w="40" w:type="dxa"/>
              <w:bottom w:w="40" w:type="dxa"/>
            </w:tcMar>
            <w:vAlign w:val="bottom"/>
          </w:tcPr>
          <w:p w14:paraId="5556D4EB"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Securities Sold Under</w:t>
            </w:r>
          </w:p>
          <w:p w14:paraId="5556D4EC"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Repurchase Agreements</w:t>
            </w:r>
          </w:p>
        </w:tc>
        <w:tc>
          <w:tcPr>
            <w:tcW w:w="0" w:type="auto"/>
            <w:shd w:val="clear" w:color="auto" w:fill="auto"/>
            <w:tcMar>
              <w:top w:w="40" w:type="dxa"/>
              <w:left w:w="40" w:type="dxa"/>
              <w:bottom w:w="40" w:type="dxa"/>
              <w:right w:w="40" w:type="dxa"/>
            </w:tcMar>
            <w:vAlign w:val="bottom"/>
          </w:tcPr>
          <w:p w14:paraId="5556D4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D4EE"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Tax-Exempt</w:t>
            </w:r>
          </w:p>
          <w:p w14:paraId="5556D4E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Investment Program</w:t>
            </w:r>
          </w:p>
        </w:tc>
        <w:tc>
          <w:tcPr>
            <w:tcW w:w="0" w:type="auto"/>
            <w:shd w:val="clear" w:color="auto" w:fill="auto"/>
            <w:tcMar>
              <w:top w:w="40" w:type="dxa"/>
              <w:left w:w="40" w:type="dxa"/>
              <w:bottom w:w="40" w:type="dxa"/>
              <w:right w:w="40" w:type="dxa"/>
            </w:tcMar>
            <w:vAlign w:val="bottom"/>
          </w:tcPr>
          <w:p w14:paraId="5556D4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D4F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Other</w:t>
            </w:r>
          </w:p>
        </w:tc>
      </w:tr>
      <w:tr w:rsidR="00F925DD" w14:paraId="5556D505" w14:textId="77777777">
        <w:tc>
          <w:tcPr>
            <w:tcW w:w="0" w:type="auto"/>
            <w:shd w:val="clear" w:color="auto" w:fill="auto"/>
            <w:tcMar>
              <w:top w:w="40" w:type="dxa"/>
              <w:left w:w="40" w:type="dxa"/>
              <w:bottom w:w="40" w:type="dxa"/>
              <w:right w:w="40" w:type="dxa"/>
            </w:tcMar>
            <w:vAlign w:val="bottom"/>
          </w:tcPr>
          <w:p w14:paraId="5556D4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4F4"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D4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4F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5556D4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4F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c>
          <w:tcPr>
            <w:tcW w:w="0" w:type="auto"/>
            <w:shd w:val="clear" w:color="auto" w:fill="auto"/>
            <w:tcMar>
              <w:top w:w="40" w:type="dxa"/>
              <w:left w:w="40" w:type="dxa"/>
              <w:bottom w:w="40" w:type="dxa"/>
              <w:right w:w="40" w:type="dxa"/>
            </w:tcMar>
            <w:vAlign w:val="bottom"/>
          </w:tcPr>
          <w:p w14:paraId="5556D4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4FA"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D4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4FC"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5556D4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4FE"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c>
          <w:tcPr>
            <w:tcW w:w="0" w:type="auto"/>
            <w:shd w:val="clear" w:color="auto" w:fill="auto"/>
            <w:tcMar>
              <w:top w:w="40" w:type="dxa"/>
              <w:left w:w="40" w:type="dxa"/>
              <w:bottom w:w="40" w:type="dxa"/>
              <w:right w:w="40" w:type="dxa"/>
            </w:tcMar>
            <w:vAlign w:val="bottom"/>
          </w:tcPr>
          <w:p w14:paraId="5556D4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500"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D5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502"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5556D5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504"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r>
      <w:tr w:rsidR="00E705D7" w14:paraId="5556D52A" w14:textId="77777777">
        <w:tc>
          <w:tcPr>
            <w:tcW w:w="0" w:type="auto"/>
            <w:shd w:val="clear" w:color="auto" w:fill="CCEEFF"/>
            <w:tcMar>
              <w:top w:w="40" w:type="dxa"/>
              <w:left w:w="40" w:type="dxa"/>
              <w:bottom w:w="40" w:type="dxa"/>
              <w:right w:w="40" w:type="dxa"/>
            </w:tcMar>
            <w:vAlign w:val="bottom"/>
          </w:tcPr>
          <w:p w14:paraId="5556D506" w14:textId="77777777" w:rsidR="00F925DD" w:rsidRDefault="00E705D7">
            <w:pPr>
              <w:textAlignment w:val="bottom"/>
              <w:rPr>
                <w:rFonts w:ascii="Times New Roman" w:hAnsi="Times New Roman"/>
                <w:sz w:val="16"/>
                <w:szCs w:val="16"/>
              </w:rPr>
            </w:pPr>
            <w:r>
              <w:rPr>
                <w:rFonts w:ascii="Arial" w:eastAsia="宋体" w:hAnsi="Arial" w:cs="Arial"/>
                <w:sz w:val="16"/>
                <w:szCs w:val="16"/>
              </w:rPr>
              <w:t>Balance as of December 31</w:t>
            </w:r>
          </w:p>
        </w:tc>
        <w:tc>
          <w:tcPr>
            <w:tcW w:w="0" w:type="auto"/>
            <w:shd w:val="clear" w:color="auto" w:fill="CCEEFF"/>
            <w:tcMar>
              <w:top w:w="40" w:type="dxa"/>
              <w:left w:w="40" w:type="dxa"/>
              <w:bottom w:w="40" w:type="dxa"/>
            </w:tcMar>
            <w:vAlign w:val="bottom"/>
          </w:tcPr>
          <w:p w14:paraId="5556D50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D50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1,102</w:t>
            </w:r>
          </w:p>
        </w:tc>
        <w:tc>
          <w:tcPr>
            <w:tcW w:w="0" w:type="auto"/>
            <w:shd w:val="clear" w:color="auto" w:fill="CCEEFF"/>
            <w:vAlign w:val="bottom"/>
          </w:tcPr>
          <w:p w14:paraId="5556D50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50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D50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1,082</w:t>
            </w:r>
          </w:p>
        </w:tc>
        <w:tc>
          <w:tcPr>
            <w:tcW w:w="0" w:type="auto"/>
            <w:tcBorders>
              <w:top w:val="single" w:sz="8" w:space="0" w:color="000000"/>
            </w:tcBorders>
            <w:shd w:val="clear" w:color="auto" w:fill="CCEEFF"/>
            <w:vAlign w:val="bottom"/>
          </w:tcPr>
          <w:p w14:paraId="5556D50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50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D51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2,842</w:t>
            </w:r>
          </w:p>
        </w:tc>
        <w:tc>
          <w:tcPr>
            <w:tcW w:w="0" w:type="auto"/>
            <w:shd w:val="clear" w:color="auto" w:fill="CCEEFF"/>
            <w:vAlign w:val="bottom"/>
          </w:tcPr>
          <w:p w14:paraId="5556D51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51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D51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823</w:t>
            </w:r>
          </w:p>
        </w:tc>
        <w:tc>
          <w:tcPr>
            <w:tcW w:w="0" w:type="auto"/>
            <w:shd w:val="clear" w:color="auto" w:fill="CCEEFF"/>
            <w:vAlign w:val="bottom"/>
          </w:tcPr>
          <w:p w14:paraId="5556D51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51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D51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931</w:t>
            </w:r>
          </w:p>
        </w:tc>
        <w:tc>
          <w:tcPr>
            <w:tcW w:w="0" w:type="auto"/>
            <w:tcBorders>
              <w:top w:val="single" w:sz="8" w:space="0" w:color="000000"/>
            </w:tcBorders>
            <w:shd w:val="clear" w:color="auto" w:fill="CCEEFF"/>
            <w:vAlign w:val="bottom"/>
          </w:tcPr>
          <w:p w14:paraId="5556D5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51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D51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1,078</w:t>
            </w:r>
          </w:p>
        </w:tc>
        <w:tc>
          <w:tcPr>
            <w:tcW w:w="0" w:type="auto"/>
            <w:shd w:val="clear" w:color="auto" w:fill="CCEEFF"/>
            <w:vAlign w:val="bottom"/>
          </w:tcPr>
          <w:p w14:paraId="5556D51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51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D52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vAlign w:val="bottom"/>
          </w:tcPr>
          <w:p w14:paraId="5556D5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52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D52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2,000</w:t>
            </w:r>
          </w:p>
        </w:tc>
        <w:tc>
          <w:tcPr>
            <w:tcW w:w="0" w:type="auto"/>
            <w:shd w:val="clear" w:color="auto" w:fill="CCEEFF"/>
            <w:vAlign w:val="bottom"/>
          </w:tcPr>
          <w:p w14:paraId="5556D5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52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D52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D529" w14:textId="77777777" w:rsidR="00F925DD" w:rsidRDefault="00F925DD">
            <w:pPr>
              <w:textAlignment w:val="bottom"/>
              <w:rPr>
                <w:rFonts w:ascii="Times New Roman" w:hAnsi="Times New Roman"/>
                <w:sz w:val="20"/>
                <w:szCs w:val="20"/>
              </w:rPr>
            </w:pPr>
          </w:p>
        </w:tc>
      </w:tr>
      <w:tr w:rsidR="00F925DD" w14:paraId="5556D546" w14:textId="77777777">
        <w:tc>
          <w:tcPr>
            <w:tcW w:w="0" w:type="auto"/>
            <w:shd w:val="clear" w:color="auto" w:fill="auto"/>
            <w:tcMar>
              <w:top w:w="40" w:type="dxa"/>
              <w:left w:w="40" w:type="dxa"/>
              <w:bottom w:w="40" w:type="dxa"/>
              <w:right w:w="40" w:type="dxa"/>
            </w:tcMar>
            <w:vAlign w:val="bottom"/>
          </w:tcPr>
          <w:p w14:paraId="5556D52B" w14:textId="77777777" w:rsidR="00F925DD" w:rsidRDefault="00E705D7">
            <w:pPr>
              <w:textAlignment w:val="bottom"/>
              <w:rPr>
                <w:rFonts w:ascii="Times New Roman" w:hAnsi="Times New Roman"/>
                <w:sz w:val="16"/>
                <w:szCs w:val="16"/>
              </w:rPr>
            </w:pPr>
            <w:r>
              <w:rPr>
                <w:rFonts w:ascii="Arial" w:eastAsia="宋体" w:hAnsi="Arial" w:cs="Arial"/>
                <w:sz w:val="16"/>
                <w:szCs w:val="16"/>
              </w:rPr>
              <w:t>Maximum outstanding as of any month-end</w:t>
            </w:r>
          </w:p>
        </w:tc>
        <w:tc>
          <w:tcPr>
            <w:tcW w:w="0" w:type="auto"/>
            <w:gridSpan w:val="2"/>
            <w:shd w:val="clear" w:color="auto" w:fill="auto"/>
            <w:tcMar>
              <w:top w:w="40" w:type="dxa"/>
              <w:left w:w="40" w:type="dxa"/>
              <w:bottom w:w="40" w:type="dxa"/>
            </w:tcMar>
            <w:vAlign w:val="bottom"/>
          </w:tcPr>
          <w:p w14:paraId="5556D52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4,125</w:t>
            </w:r>
          </w:p>
        </w:tc>
        <w:tc>
          <w:tcPr>
            <w:tcW w:w="0" w:type="auto"/>
            <w:shd w:val="clear" w:color="auto" w:fill="auto"/>
            <w:vAlign w:val="bottom"/>
          </w:tcPr>
          <w:p w14:paraId="5556D5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5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2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3,441</w:t>
            </w:r>
          </w:p>
        </w:tc>
        <w:tc>
          <w:tcPr>
            <w:tcW w:w="0" w:type="auto"/>
            <w:shd w:val="clear" w:color="auto" w:fill="auto"/>
            <w:vAlign w:val="bottom"/>
          </w:tcPr>
          <w:p w14:paraId="5556D53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5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3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4,302</w:t>
            </w:r>
          </w:p>
        </w:tc>
        <w:tc>
          <w:tcPr>
            <w:tcW w:w="0" w:type="auto"/>
            <w:shd w:val="clear" w:color="auto" w:fill="auto"/>
            <w:vAlign w:val="bottom"/>
          </w:tcPr>
          <w:p w14:paraId="5556D53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5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3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931</w:t>
            </w:r>
          </w:p>
        </w:tc>
        <w:tc>
          <w:tcPr>
            <w:tcW w:w="0" w:type="auto"/>
            <w:shd w:val="clear" w:color="auto" w:fill="auto"/>
            <w:vAlign w:val="bottom"/>
          </w:tcPr>
          <w:p w14:paraId="5556D53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5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3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1,078</w:t>
            </w:r>
          </w:p>
        </w:tc>
        <w:tc>
          <w:tcPr>
            <w:tcW w:w="0" w:type="auto"/>
            <w:shd w:val="clear" w:color="auto" w:fill="auto"/>
            <w:vAlign w:val="bottom"/>
          </w:tcPr>
          <w:p w14:paraId="5556D53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5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3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1,158</w:t>
            </w:r>
          </w:p>
        </w:tc>
        <w:tc>
          <w:tcPr>
            <w:tcW w:w="0" w:type="auto"/>
            <w:shd w:val="clear" w:color="auto" w:fill="auto"/>
            <w:vAlign w:val="bottom"/>
          </w:tcPr>
          <w:p w14:paraId="5556D53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5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3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vAlign w:val="bottom"/>
          </w:tcPr>
          <w:p w14:paraId="5556D53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5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4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2,000</w:t>
            </w:r>
          </w:p>
        </w:tc>
        <w:tc>
          <w:tcPr>
            <w:tcW w:w="0" w:type="auto"/>
            <w:shd w:val="clear" w:color="auto" w:fill="auto"/>
            <w:vAlign w:val="bottom"/>
          </w:tcPr>
          <w:p w14:paraId="5556D5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5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4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5556D545" w14:textId="77777777" w:rsidR="00F925DD" w:rsidRDefault="00F925DD">
            <w:pPr>
              <w:textAlignment w:val="bottom"/>
              <w:rPr>
                <w:rFonts w:ascii="Times New Roman" w:hAnsi="Times New Roman"/>
                <w:sz w:val="20"/>
                <w:szCs w:val="20"/>
              </w:rPr>
            </w:pPr>
          </w:p>
        </w:tc>
      </w:tr>
      <w:tr w:rsidR="00F925DD" w14:paraId="5556D562" w14:textId="77777777">
        <w:tc>
          <w:tcPr>
            <w:tcW w:w="0" w:type="auto"/>
            <w:shd w:val="clear" w:color="auto" w:fill="CCEEFF"/>
            <w:tcMar>
              <w:top w:w="40" w:type="dxa"/>
              <w:left w:w="40" w:type="dxa"/>
              <w:bottom w:w="40" w:type="dxa"/>
              <w:right w:w="40" w:type="dxa"/>
            </w:tcMar>
            <w:vAlign w:val="bottom"/>
          </w:tcPr>
          <w:p w14:paraId="5556D547" w14:textId="77777777" w:rsidR="00F925DD" w:rsidRDefault="00E705D7">
            <w:pPr>
              <w:textAlignment w:val="bottom"/>
              <w:rPr>
                <w:rFonts w:ascii="Times New Roman" w:hAnsi="Times New Roman"/>
                <w:sz w:val="16"/>
                <w:szCs w:val="16"/>
              </w:rPr>
            </w:pPr>
            <w:r>
              <w:rPr>
                <w:rFonts w:ascii="Arial" w:eastAsia="宋体" w:hAnsi="Arial" w:cs="Arial"/>
                <w:sz w:val="16"/>
                <w:szCs w:val="16"/>
              </w:rPr>
              <w:t>Average outstanding during the year</w:t>
            </w:r>
          </w:p>
        </w:tc>
        <w:tc>
          <w:tcPr>
            <w:tcW w:w="0" w:type="auto"/>
            <w:gridSpan w:val="2"/>
            <w:shd w:val="clear" w:color="auto" w:fill="CCEEFF"/>
            <w:tcMar>
              <w:top w:w="40" w:type="dxa"/>
              <w:left w:w="40" w:type="dxa"/>
              <w:bottom w:w="40" w:type="dxa"/>
            </w:tcMar>
            <w:vAlign w:val="bottom"/>
          </w:tcPr>
          <w:p w14:paraId="5556D54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1,616</w:t>
            </w:r>
          </w:p>
        </w:tc>
        <w:tc>
          <w:tcPr>
            <w:tcW w:w="0" w:type="auto"/>
            <w:shd w:val="clear" w:color="auto" w:fill="CCEEFF"/>
            <w:vAlign w:val="bottom"/>
          </w:tcPr>
          <w:p w14:paraId="5556D54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4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2,048</w:t>
            </w:r>
          </w:p>
        </w:tc>
        <w:tc>
          <w:tcPr>
            <w:tcW w:w="0" w:type="auto"/>
            <w:shd w:val="clear" w:color="auto" w:fill="CCEEFF"/>
            <w:vAlign w:val="bottom"/>
          </w:tcPr>
          <w:p w14:paraId="5556D54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4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3,683</w:t>
            </w:r>
          </w:p>
        </w:tc>
        <w:tc>
          <w:tcPr>
            <w:tcW w:w="0" w:type="auto"/>
            <w:shd w:val="clear" w:color="auto" w:fill="CCEEFF"/>
            <w:vAlign w:val="bottom"/>
          </w:tcPr>
          <w:p w14:paraId="5556D54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5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898</w:t>
            </w:r>
          </w:p>
        </w:tc>
        <w:tc>
          <w:tcPr>
            <w:tcW w:w="0" w:type="auto"/>
            <w:shd w:val="clear" w:color="auto" w:fill="CCEEFF"/>
            <w:vAlign w:val="bottom"/>
          </w:tcPr>
          <w:p w14:paraId="5556D55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5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1,023</w:t>
            </w:r>
          </w:p>
        </w:tc>
        <w:tc>
          <w:tcPr>
            <w:tcW w:w="0" w:type="auto"/>
            <w:shd w:val="clear" w:color="auto" w:fill="CCEEFF"/>
            <w:vAlign w:val="bottom"/>
          </w:tcPr>
          <w:p w14:paraId="5556D55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5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1,127</w:t>
            </w:r>
          </w:p>
        </w:tc>
        <w:tc>
          <w:tcPr>
            <w:tcW w:w="0" w:type="auto"/>
            <w:shd w:val="clear" w:color="auto" w:fill="CCEEFF"/>
            <w:vAlign w:val="bottom"/>
          </w:tcPr>
          <w:p w14:paraId="5556D55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5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w:t>
            </w:r>
          </w:p>
        </w:tc>
        <w:tc>
          <w:tcPr>
            <w:tcW w:w="0" w:type="auto"/>
            <w:shd w:val="clear" w:color="auto" w:fill="CCEEFF"/>
            <w:vAlign w:val="bottom"/>
          </w:tcPr>
          <w:p w14:paraId="5556D5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5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CCEEFF"/>
            <w:vAlign w:val="bottom"/>
          </w:tcPr>
          <w:p w14:paraId="5556D5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6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CCEEFF"/>
            <w:vAlign w:val="bottom"/>
          </w:tcPr>
          <w:p w14:paraId="5556D561" w14:textId="77777777" w:rsidR="00F925DD" w:rsidRDefault="00F925DD">
            <w:pPr>
              <w:textAlignment w:val="bottom"/>
              <w:rPr>
                <w:rFonts w:ascii="Times New Roman" w:hAnsi="Times New Roman"/>
                <w:sz w:val="20"/>
                <w:szCs w:val="20"/>
              </w:rPr>
            </w:pPr>
          </w:p>
        </w:tc>
      </w:tr>
      <w:tr w:rsidR="00F925DD" w14:paraId="5556D57E" w14:textId="77777777">
        <w:tc>
          <w:tcPr>
            <w:tcW w:w="0" w:type="auto"/>
            <w:shd w:val="clear" w:color="auto" w:fill="auto"/>
            <w:tcMar>
              <w:top w:w="40" w:type="dxa"/>
              <w:left w:w="40" w:type="dxa"/>
              <w:bottom w:w="40" w:type="dxa"/>
              <w:right w:w="40" w:type="dxa"/>
            </w:tcMar>
            <w:vAlign w:val="bottom"/>
          </w:tcPr>
          <w:p w14:paraId="5556D563" w14:textId="77777777" w:rsidR="00F925DD" w:rsidRDefault="00E705D7">
            <w:pPr>
              <w:textAlignment w:val="bottom"/>
              <w:rPr>
                <w:rFonts w:ascii="Times New Roman" w:hAnsi="Times New Roman"/>
                <w:sz w:val="16"/>
                <w:szCs w:val="16"/>
              </w:rPr>
            </w:pPr>
            <w:r>
              <w:rPr>
                <w:rFonts w:ascii="Arial" w:eastAsia="宋体" w:hAnsi="Arial" w:cs="Arial"/>
                <w:sz w:val="16"/>
                <w:szCs w:val="16"/>
              </w:rPr>
              <w:t>Weighted-average interest rate as of year-end</w:t>
            </w:r>
          </w:p>
        </w:tc>
        <w:tc>
          <w:tcPr>
            <w:tcW w:w="0" w:type="auto"/>
            <w:gridSpan w:val="2"/>
            <w:shd w:val="clear" w:color="auto" w:fill="auto"/>
            <w:tcMar>
              <w:top w:w="40" w:type="dxa"/>
              <w:left w:w="40" w:type="dxa"/>
              <w:bottom w:w="40" w:type="dxa"/>
            </w:tcMar>
            <w:vAlign w:val="bottom"/>
          </w:tcPr>
          <w:p w14:paraId="5556D56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.00</w:t>
            </w:r>
          </w:p>
        </w:tc>
        <w:tc>
          <w:tcPr>
            <w:tcW w:w="0" w:type="auto"/>
            <w:shd w:val="clear" w:color="auto" w:fill="auto"/>
            <w:tcMar>
              <w:top w:w="40" w:type="dxa"/>
              <w:bottom w:w="40" w:type="dxa"/>
              <w:right w:w="40" w:type="dxa"/>
            </w:tcMar>
            <w:vAlign w:val="bottom"/>
          </w:tcPr>
          <w:p w14:paraId="5556D565"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D5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6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1.38</w:t>
            </w:r>
          </w:p>
        </w:tc>
        <w:tc>
          <w:tcPr>
            <w:tcW w:w="0" w:type="auto"/>
            <w:shd w:val="clear" w:color="auto" w:fill="auto"/>
            <w:tcMar>
              <w:top w:w="40" w:type="dxa"/>
              <w:bottom w:w="40" w:type="dxa"/>
              <w:right w:w="40" w:type="dxa"/>
            </w:tcMar>
            <w:vAlign w:val="bottom"/>
          </w:tcPr>
          <w:p w14:paraId="5556D56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D5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6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.03</w:t>
            </w:r>
          </w:p>
        </w:tc>
        <w:tc>
          <w:tcPr>
            <w:tcW w:w="0" w:type="auto"/>
            <w:shd w:val="clear" w:color="auto" w:fill="auto"/>
            <w:tcMar>
              <w:top w:w="40" w:type="dxa"/>
              <w:bottom w:w="40" w:type="dxa"/>
              <w:right w:w="40" w:type="dxa"/>
            </w:tcMar>
            <w:vAlign w:val="bottom"/>
          </w:tcPr>
          <w:p w14:paraId="5556D56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D5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6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1.75</w:t>
            </w:r>
          </w:p>
        </w:tc>
        <w:tc>
          <w:tcPr>
            <w:tcW w:w="0" w:type="auto"/>
            <w:shd w:val="clear" w:color="auto" w:fill="auto"/>
            <w:tcMar>
              <w:top w:w="40" w:type="dxa"/>
              <w:bottom w:w="40" w:type="dxa"/>
              <w:right w:w="40" w:type="dxa"/>
            </w:tcMar>
            <w:vAlign w:val="bottom"/>
          </w:tcPr>
          <w:p w14:paraId="5556D56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D5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7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1.74</w:t>
            </w:r>
          </w:p>
        </w:tc>
        <w:tc>
          <w:tcPr>
            <w:tcW w:w="0" w:type="auto"/>
            <w:shd w:val="clear" w:color="auto" w:fill="auto"/>
            <w:tcMar>
              <w:top w:w="40" w:type="dxa"/>
              <w:bottom w:w="40" w:type="dxa"/>
              <w:right w:w="40" w:type="dxa"/>
            </w:tcMar>
            <w:vAlign w:val="bottom"/>
          </w:tcPr>
          <w:p w14:paraId="5556D57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D5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7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1.45</w:t>
            </w:r>
          </w:p>
        </w:tc>
        <w:tc>
          <w:tcPr>
            <w:tcW w:w="0" w:type="auto"/>
            <w:shd w:val="clear" w:color="auto" w:fill="auto"/>
            <w:tcMar>
              <w:top w:w="40" w:type="dxa"/>
              <w:bottom w:w="40" w:type="dxa"/>
              <w:right w:w="40" w:type="dxa"/>
            </w:tcMar>
            <w:vAlign w:val="bottom"/>
          </w:tcPr>
          <w:p w14:paraId="5556D57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D5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76"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.00</w:t>
            </w:r>
          </w:p>
        </w:tc>
        <w:tc>
          <w:tcPr>
            <w:tcW w:w="0" w:type="auto"/>
            <w:shd w:val="clear" w:color="auto" w:fill="auto"/>
            <w:tcMar>
              <w:top w:w="40" w:type="dxa"/>
              <w:bottom w:w="40" w:type="dxa"/>
              <w:right w:w="40" w:type="dxa"/>
            </w:tcMar>
            <w:vAlign w:val="bottom"/>
          </w:tcPr>
          <w:p w14:paraId="5556D57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D5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7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2.68</w:t>
            </w:r>
          </w:p>
        </w:tc>
        <w:tc>
          <w:tcPr>
            <w:tcW w:w="0" w:type="auto"/>
            <w:shd w:val="clear" w:color="auto" w:fill="auto"/>
            <w:tcMar>
              <w:top w:w="40" w:type="dxa"/>
              <w:bottom w:w="40" w:type="dxa"/>
              <w:right w:w="40" w:type="dxa"/>
            </w:tcMar>
            <w:vAlign w:val="bottom"/>
          </w:tcPr>
          <w:p w14:paraId="5556D57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D5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57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.00</w:t>
            </w:r>
          </w:p>
        </w:tc>
        <w:tc>
          <w:tcPr>
            <w:tcW w:w="0" w:type="auto"/>
            <w:shd w:val="clear" w:color="auto" w:fill="auto"/>
            <w:tcMar>
              <w:top w:w="40" w:type="dxa"/>
              <w:bottom w:w="40" w:type="dxa"/>
              <w:right w:w="40" w:type="dxa"/>
            </w:tcMar>
            <w:vAlign w:val="bottom"/>
          </w:tcPr>
          <w:p w14:paraId="5556D57D"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D59A" w14:textId="77777777">
        <w:tc>
          <w:tcPr>
            <w:tcW w:w="0" w:type="auto"/>
            <w:shd w:val="clear" w:color="auto" w:fill="CCEEFF"/>
            <w:tcMar>
              <w:top w:w="40" w:type="dxa"/>
              <w:left w:w="40" w:type="dxa"/>
              <w:bottom w:w="40" w:type="dxa"/>
              <w:right w:w="40" w:type="dxa"/>
            </w:tcMar>
            <w:vAlign w:val="bottom"/>
          </w:tcPr>
          <w:p w14:paraId="5556D57F" w14:textId="77777777" w:rsidR="00F925DD" w:rsidRDefault="00E705D7">
            <w:pPr>
              <w:textAlignment w:val="bottom"/>
              <w:rPr>
                <w:rFonts w:ascii="Times New Roman" w:hAnsi="Times New Roman"/>
                <w:sz w:val="16"/>
                <w:szCs w:val="16"/>
              </w:rPr>
            </w:pPr>
            <w:r>
              <w:rPr>
                <w:rFonts w:ascii="Arial" w:eastAsia="宋体" w:hAnsi="Arial" w:cs="Arial"/>
                <w:sz w:val="16"/>
                <w:szCs w:val="16"/>
              </w:rPr>
              <w:t>Weighted-average interest rate during the year</w:t>
            </w:r>
          </w:p>
        </w:tc>
        <w:tc>
          <w:tcPr>
            <w:tcW w:w="0" w:type="auto"/>
            <w:gridSpan w:val="2"/>
            <w:shd w:val="clear" w:color="auto" w:fill="CCEEFF"/>
            <w:tcMar>
              <w:top w:w="40" w:type="dxa"/>
              <w:left w:w="40" w:type="dxa"/>
              <w:bottom w:w="40" w:type="dxa"/>
            </w:tcMar>
            <w:vAlign w:val="bottom"/>
          </w:tcPr>
          <w:p w14:paraId="5556D58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1.90</w:t>
            </w:r>
          </w:p>
        </w:tc>
        <w:tc>
          <w:tcPr>
            <w:tcW w:w="0" w:type="auto"/>
            <w:shd w:val="clear" w:color="auto" w:fill="CCEEFF"/>
            <w:vAlign w:val="bottom"/>
          </w:tcPr>
          <w:p w14:paraId="5556D58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8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.62</w:t>
            </w:r>
          </w:p>
        </w:tc>
        <w:tc>
          <w:tcPr>
            <w:tcW w:w="0" w:type="auto"/>
            <w:shd w:val="clear" w:color="auto" w:fill="CCEEFF"/>
            <w:vAlign w:val="bottom"/>
          </w:tcPr>
          <w:p w14:paraId="5556D58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8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.05</w:t>
            </w:r>
          </w:p>
        </w:tc>
        <w:tc>
          <w:tcPr>
            <w:tcW w:w="0" w:type="auto"/>
            <w:shd w:val="clear" w:color="auto" w:fill="CCEEFF"/>
            <w:vAlign w:val="bottom"/>
          </w:tcPr>
          <w:p w14:paraId="5556D58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8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1.51</w:t>
            </w:r>
          </w:p>
        </w:tc>
        <w:tc>
          <w:tcPr>
            <w:tcW w:w="0" w:type="auto"/>
            <w:shd w:val="clear" w:color="auto" w:fill="CCEEFF"/>
            <w:vAlign w:val="bottom"/>
          </w:tcPr>
          <w:p w14:paraId="5556D58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8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1.46</w:t>
            </w:r>
          </w:p>
        </w:tc>
        <w:tc>
          <w:tcPr>
            <w:tcW w:w="0" w:type="auto"/>
            <w:shd w:val="clear" w:color="auto" w:fill="CCEEFF"/>
            <w:vAlign w:val="bottom"/>
          </w:tcPr>
          <w:p w14:paraId="5556D58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8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.79</w:t>
            </w:r>
          </w:p>
        </w:tc>
        <w:tc>
          <w:tcPr>
            <w:tcW w:w="0" w:type="auto"/>
            <w:shd w:val="clear" w:color="auto" w:fill="CCEEFF"/>
            <w:vAlign w:val="bottom"/>
          </w:tcPr>
          <w:p w14:paraId="5556D59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9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.01</w:t>
            </w:r>
          </w:p>
        </w:tc>
        <w:tc>
          <w:tcPr>
            <w:tcW w:w="0" w:type="auto"/>
            <w:shd w:val="clear" w:color="auto" w:fill="CCEEFF"/>
            <w:vAlign w:val="bottom"/>
          </w:tcPr>
          <w:p w14:paraId="5556D59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9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nm</w:t>
            </w:r>
          </w:p>
        </w:tc>
        <w:tc>
          <w:tcPr>
            <w:tcW w:w="0" w:type="auto"/>
            <w:shd w:val="clear" w:color="auto" w:fill="CCEEFF"/>
            <w:vAlign w:val="bottom"/>
          </w:tcPr>
          <w:p w14:paraId="5556D5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59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.00</w:t>
            </w:r>
          </w:p>
        </w:tc>
        <w:tc>
          <w:tcPr>
            <w:tcW w:w="0" w:type="auto"/>
            <w:shd w:val="clear" w:color="auto" w:fill="CCEEFF"/>
            <w:vAlign w:val="bottom"/>
          </w:tcPr>
          <w:p w14:paraId="5556D599" w14:textId="77777777" w:rsidR="00F925DD" w:rsidRDefault="00F925DD">
            <w:pPr>
              <w:textAlignment w:val="bottom"/>
              <w:rPr>
                <w:rFonts w:ascii="Times New Roman" w:hAnsi="Times New Roman"/>
                <w:sz w:val="20"/>
                <w:szCs w:val="20"/>
              </w:rPr>
            </w:pPr>
          </w:p>
        </w:tc>
      </w:tr>
    </w:tbl>
    <w:p w14:paraId="5556D59B"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D59D" w14:textId="77777777">
        <w:tc>
          <w:tcPr>
            <w:tcW w:w="0" w:type="auto"/>
            <w:gridSpan w:val="2"/>
            <w:shd w:val="clear" w:color="auto" w:fill="auto"/>
            <w:vAlign w:val="center"/>
          </w:tcPr>
          <w:p w14:paraId="5556D59C" w14:textId="77777777" w:rsidR="00F925DD" w:rsidRDefault="00F925DD">
            <w:pPr>
              <w:rPr>
                <w:rFonts w:ascii="Times New Roman" w:hAnsi="Times New Roman"/>
                <w:sz w:val="20"/>
                <w:szCs w:val="20"/>
              </w:rPr>
            </w:pPr>
          </w:p>
        </w:tc>
      </w:tr>
      <w:tr w:rsidR="00F925DD" w14:paraId="5556D5A0" w14:textId="77777777">
        <w:tc>
          <w:tcPr>
            <w:tcW w:w="1400" w:type="pct"/>
            <w:shd w:val="clear" w:color="auto" w:fill="auto"/>
            <w:vAlign w:val="center"/>
          </w:tcPr>
          <w:p w14:paraId="5556D59E" w14:textId="77777777" w:rsidR="00F925DD" w:rsidRDefault="00F925DD">
            <w:pPr>
              <w:rPr>
                <w:rFonts w:ascii="Times New Roman" w:hAnsi="Times New Roman"/>
                <w:sz w:val="20"/>
                <w:szCs w:val="20"/>
              </w:rPr>
            </w:pPr>
          </w:p>
        </w:tc>
        <w:tc>
          <w:tcPr>
            <w:tcW w:w="3600" w:type="pct"/>
            <w:shd w:val="clear" w:color="auto" w:fill="auto"/>
            <w:vAlign w:val="center"/>
          </w:tcPr>
          <w:p w14:paraId="5556D59F" w14:textId="77777777" w:rsidR="00F925DD" w:rsidRDefault="00F925DD">
            <w:pPr>
              <w:rPr>
                <w:rFonts w:ascii="Times New Roman" w:hAnsi="Times New Roman"/>
                <w:sz w:val="20"/>
                <w:szCs w:val="20"/>
              </w:rPr>
            </w:pPr>
          </w:p>
        </w:tc>
      </w:tr>
      <w:tr w:rsidR="00F925DD" w14:paraId="5556D5A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5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5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5A4" w14:textId="77777777" w:rsidR="00F925DD" w:rsidRDefault="00E705D7">
      <w:r>
        <w:rPr>
          <w:rFonts w:ascii="Arial" w:eastAsia="宋体" w:hAnsi="Arial" w:cs="Arial"/>
          <w:sz w:val="10"/>
          <w:szCs w:val="10"/>
        </w:rPr>
        <w:t>nm</w:t>
      </w:r>
      <w:r>
        <w:rPr>
          <w:rFonts w:ascii="Arial" w:eastAsia="宋体" w:hAnsi="Arial" w:cs="Arial"/>
          <w:sz w:val="14"/>
          <w:szCs w:val="14"/>
        </w:rPr>
        <w:t xml:space="preserve"> Not meaningful</w:t>
      </w:r>
    </w:p>
    <w:p w14:paraId="5556D5A5" w14:textId="77777777" w:rsidR="00F925DD" w:rsidRDefault="00F925DD">
      <w:pPr>
        <w:rPr>
          <w:rFonts w:ascii="Times New Roman" w:hAnsi="Times New Roman"/>
          <w:sz w:val="20"/>
          <w:szCs w:val="20"/>
        </w:rPr>
      </w:pPr>
    </w:p>
    <w:p w14:paraId="5556D5A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145</w:t>
      </w:r>
    </w:p>
    <w:p w14:paraId="5556D5A7" w14:textId="77777777" w:rsidR="00F925DD" w:rsidRDefault="00F925DD">
      <w:pPr>
        <w:spacing w:line="288" w:lineRule="auto"/>
        <w:ind w:firstLine="600"/>
        <w:jc w:val="center"/>
        <w:rPr>
          <w:rFonts w:ascii="Times New Roman" w:hAnsi="Times New Roman"/>
          <w:sz w:val="18"/>
          <w:szCs w:val="18"/>
        </w:rPr>
      </w:pPr>
    </w:p>
    <w:p w14:paraId="5556D5A8" w14:textId="77777777" w:rsidR="00F925DD" w:rsidRDefault="00E705D7">
      <w:r>
        <w:rPr>
          <w:rFonts w:ascii="Times New Roman" w:hAnsi="Times New Roman"/>
          <w:sz w:val="18"/>
          <w:szCs w:val="18"/>
        </w:rPr>
        <w:pict w14:anchorId="555706CB">
          <v:rect id="_x0000_i1169" style="width:415.3pt;height:1.5pt" o:hralign="center" o:hrstd="t" o:hr="t" fillcolor="#a0a0a0" stroked="f"/>
        </w:pict>
      </w:r>
    </w:p>
    <w:p w14:paraId="5556D5A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5A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D5AB" w14:textId="77777777" w:rsidR="00F925DD" w:rsidRDefault="00F925DD">
      <w:pPr>
        <w:rPr>
          <w:rFonts w:ascii="Times New Roman" w:hAnsi="Times New Roman"/>
          <w:sz w:val="20"/>
          <w:szCs w:val="20"/>
        </w:rPr>
      </w:pPr>
    </w:p>
    <w:p w14:paraId="5556D5A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Obligations to repurchase securities sold </w:t>
      </w:r>
      <w:r>
        <w:rPr>
          <w:rFonts w:ascii="Arial" w:eastAsia="宋体" w:hAnsi="Arial" w:cs="Arial"/>
          <w:sz w:val="20"/>
          <w:szCs w:val="20"/>
        </w:rPr>
        <w:t>are recorded as a liability in our consolidated statement of condition. U.S. government securities with a fair value of $4.11 billion underlying the repurchase agreements remained in our investment securities portfolio as of December 31, 2019.</w:t>
      </w:r>
    </w:p>
    <w:p w14:paraId="5556D5A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w:t>
      </w:r>
      <w:r>
        <w:rPr>
          <w:rFonts w:ascii="Arial" w:eastAsia="宋体" w:hAnsi="Arial" w:cs="Arial"/>
          <w:sz w:val="20"/>
          <w:szCs w:val="20"/>
        </w:rPr>
        <w:t>g table presents information about these U.S. government securities and the carrying value of the related repurchase agreements, including accrued interest, as of December 31, 2019.</w:t>
      </w:r>
    </w:p>
    <w:tbl>
      <w:tblPr>
        <w:tblW w:w="5000" w:type="pct"/>
        <w:tblCellMar>
          <w:left w:w="0" w:type="dxa"/>
          <w:right w:w="0" w:type="dxa"/>
        </w:tblCellMar>
        <w:tblLook w:val="04A0" w:firstRow="1" w:lastRow="0" w:firstColumn="1" w:lastColumn="0" w:noHBand="0" w:noVBand="1"/>
      </w:tblPr>
      <w:tblGrid>
        <w:gridCol w:w="2126"/>
        <w:gridCol w:w="130"/>
        <w:gridCol w:w="1793"/>
        <w:gridCol w:w="49"/>
        <w:gridCol w:w="130"/>
        <w:gridCol w:w="130"/>
        <w:gridCol w:w="1794"/>
        <w:gridCol w:w="50"/>
        <w:gridCol w:w="130"/>
        <w:gridCol w:w="130"/>
        <w:gridCol w:w="1794"/>
        <w:gridCol w:w="50"/>
      </w:tblGrid>
      <w:tr w:rsidR="00F925DD" w14:paraId="5556D5AF" w14:textId="77777777">
        <w:tc>
          <w:tcPr>
            <w:tcW w:w="0" w:type="auto"/>
            <w:gridSpan w:val="12"/>
            <w:shd w:val="clear" w:color="auto" w:fill="auto"/>
            <w:vAlign w:val="center"/>
          </w:tcPr>
          <w:p w14:paraId="5556D5AE" w14:textId="77777777" w:rsidR="00F925DD" w:rsidRDefault="00F925DD">
            <w:pPr>
              <w:rPr>
                <w:rFonts w:ascii="Times New Roman" w:hAnsi="Times New Roman"/>
                <w:sz w:val="20"/>
                <w:szCs w:val="20"/>
              </w:rPr>
            </w:pPr>
          </w:p>
        </w:tc>
      </w:tr>
      <w:tr w:rsidR="00F925DD" w14:paraId="5556D5BC" w14:textId="77777777">
        <w:tc>
          <w:tcPr>
            <w:tcW w:w="1300" w:type="pct"/>
            <w:shd w:val="clear" w:color="auto" w:fill="auto"/>
            <w:vAlign w:val="center"/>
          </w:tcPr>
          <w:p w14:paraId="5556D5B0" w14:textId="77777777" w:rsidR="00F925DD" w:rsidRDefault="00F925DD">
            <w:pPr>
              <w:rPr>
                <w:rFonts w:ascii="Times New Roman" w:hAnsi="Times New Roman"/>
                <w:sz w:val="20"/>
                <w:szCs w:val="20"/>
              </w:rPr>
            </w:pPr>
          </w:p>
        </w:tc>
        <w:tc>
          <w:tcPr>
            <w:tcW w:w="50" w:type="pct"/>
            <w:shd w:val="clear" w:color="auto" w:fill="auto"/>
            <w:vAlign w:val="center"/>
          </w:tcPr>
          <w:p w14:paraId="5556D5B1" w14:textId="77777777" w:rsidR="00F925DD" w:rsidRDefault="00F925DD">
            <w:pPr>
              <w:rPr>
                <w:rFonts w:ascii="Times New Roman" w:hAnsi="Times New Roman"/>
                <w:sz w:val="20"/>
                <w:szCs w:val="20"/>
              </w:rPr>
            </w:pPr>
          </w:p>
        </w:tc>
        <w:tc>
          <w:tcPr>
            <w:tcW w:w="1100" w:type="pct"/>
            <w:shd w:val="clear" w:color="auto" w:fill="auto"/>
            <w:vAlign w:val="center"/>
          </w:tcPr>
          <w:p w14:paraId="5556D5B2" w14:textId="77777777" w:rsidR="00F925DD" w:rsidRDefault="00F925DD">
            <w:pPr>
              <w:rPr>
                <w:rFonts w:ascii="Times New Roman" w:hAnsi="Times New Roman"/>
                <w:sz w:val="20"/>
                <w:szCs w:val="20"/>
              </w:rPr>
            </w:pPr>
          </w:p>
        </w:tc>
        <w:tc>
          <w:tcPr>
            <w:tcW w:w="50" w:type="pct"/>
            <w:shd w:val="clear" w:color="auto" w:fill="auto"/>
            <w:vAlign w:val="center"/>
          </w:tcPr>
          <w:p w14:paraId="5556D5B3" w14:textId="77777777" w:rsidR="00F925DD" w:rsidRDefault="00F925DD">
            <w:pPr>
              <w:rPr>
                <w:rFonts w:ascii="Times New Roman" w:hAnsi="Times New Roman"/>
                <w:sz w:val="20"/>
                <w:szCs w:val="20"/>
              </w:rPr>
            </w:pPr>
          </w:p>
        </w:tc>
        <w:tc>
          <w:tcPr>
            <w:tcW w:w="50" w:type="pct"/>
            <w:shd w:val="clear" w:color="auto" w:fill="auto"/>
            <w:vAlign w:val="center"/>
          </w:tcPr>
          <w:p w14:paraId="5556D5B4" w14:textId="77777777" w:rsidR="00F925DD" w:rsidRDefault="00F925DD">
            <w:pPr>
              <w:rPr>
                <w:rFonts w:ascii="Times New Roman" w:hAnsi="Times New Roman"/>
                <w:sz w:val="20"/>
                <w:szCs w:val="20"/>
              </w:rPr>
            </w:pPr>
          </w:p>
        </w:tc>
        <w:tc>
          <w:tcPr>
            <w:tcW w:w="50" w:type="pct"/>
            <w:shd w:val="clear" w:color="auto" w:fill="auto"/>
            <w:vAlign w:val="center"/>
          </w:tcPr>
          <w:p w14:paraId="5556D5B5" w14:textId="77777777" w:rsidR="00F925DD" w:rsidRDefault="00F925DD">
            <w:pPr>
              <w:rPr>
                <w:rFonts w:ascii="Times New Roman" w:hAnsi="Times New Roman"/>
                <w:sz w:val="20"/>
                <w:szCs w:val="20"/>
              </w:rPr>
            </w:pPr>
          </w:p>
        </w:tc>
        <w:tc>
          <w:tcPr>
            <w:tcW w:w="1100" w:type="pct"/>
            <w:shd w:val="clear" w:color="auto" w:fill="auto"/>
            <w:vAlign w:val="center"/>
          </w:tcPr>
          <w:p w14:paraId="5556D5B6" w14:textId="77777777" w:rsidR="00F925DD" w:rsidRDefault="00F925DD">
            <w:pPr>
              <w:rPr>
                <w:rFonts w:ascii="Times New Roman" w:hAnsi="Times New Roman"/>
                <w:sz w:val="20"/>
                <w:szCs w:val="20"/>
              </w:rPr>
            </w:pPr>
          </w:p>
        </w:tc>
        <w:tc>
          <w:tcPr>
            <w:tcW w:w="50" w:type="pct"/>
            <w:shd w:val="clear" w:color="auto" w:fill="auto"/>
            <w:vAlign w:val="center"/>
          </w:tcPr>
          <w:p w14:paraId="5556D5B7" w14:textId="77777777" w:rsidR="00F925DD" w:rsidRDefault="00F925DD">
            <w:pPr>
              <w:rPr>
                <w:rFonts w:ascii="Times New Roman" w:hAnsi="Times New Roman"/>
                <w:sz w:val="20"/>
                <w:szCs w:val="20"/>
              </w:rPr>
            </w:pPr>
          </w:p>
        </w:tc>
        <w:tc>
          <w:tcPr>
            <w:tcW w:w="50" w:type="pct"/>
            <w:shd w:val="clear" w:color="auto" w:fill="auto"/>
            <w:vAlign w:val="center"/>
          </w:tcPr>
          <w:p w14:paraId="5556D5B8" w14:textId="77777777" w:rsidR="00F925DD" w:rsidRDefault="00F925DD">
            <w:pPr>
              <w:rPr>
                <w:rFonts w:ascii="Times New Roman" w:hAnsi="Times New Roman"/>
                <w:sz w:val="20"/>
                <w:szCs w:val="20"/>
              </w:rPr>
            </w:pPr>
          </w:p>
        </w:tc>
        <w:tc>
          <w:tcPr>
            <w:tcW w:w="50" w:type="pct"/>
            <w:shd w:val="clear" w:color="auto" w:fill="auto"/>
            <w:vAlign w:val="center"/>
          </w:tcPr>
          <w:p w14:paraId="5556D5B9" w14:textId="77777777" w:rsidR="00F925DD" w:rsidRDefault="00F925DD">
            <w:pPr>
              <w:rPr>
                <w:rFonts w:ascii="Times New Roman" w:hAnsi="Times New Roman"/>
                <w:sz w:val="20"/>
                <w:szCs w:val="20"/>
              </w:rPr>
            </w:pPr>
          </w:p>
        </w:tc>
        <w:tc>
          <w:tcPr>
            <w:tcW w:w="1100" w:type="pct"/>
            <w:shd w:val="clear" w:color="auto" w:fill="auto"/>
            <w:vAlign w:val="center"/>
          </w:tcPr>
          <w:p w14:paraId="5556D5BA" w14:textId="77777777" w:rsidR="00F925DD" w:rsidRDefault="00F925DD">
            <w:pPr>
              <w:rPr>
                <w:rFonts w:ascii="Times New Roman" w:hAnsi="Times New Roman"/>
                <w:sz w:val="20"/>
                <w:szCs w:val="20"/>
              </w:rPr>
            </w:pPr>
          </w:p>
        </w:tc>
        <w:tc>
          <w:tcPr>
            <w:tcW w:w="50" w:type="pct"/>
            <w:shd w:val="clear" w:color="auto" w:fill="auto"/>
            <w:vAlign w:val="center"/>
          </w:tcPr>
          <w:p w14:paraId="5556D5BB" w14:textId="77777777" w:rsidR="00F925DD" w:rsidRDefault="00F925DD">
            <w:pPr>
              <w:rPr>
                <w:rFonts w:ascii="Times New Roman" w:hAnsi="Times New Roman"/>
                <w:sz w:val="20"/>
                <w:szCs w:val="20"/>
              </w:rPr>
            </w:pPr>
          </w:p>
        </w:tc>
      </w:tr>
      <w:tr w:rsidR="00F925DD" w14:paraId="5556D5C3" w14:textId="77777777">
        <w:tc>
          <w:tcPr>
            <w:tcW w:w="0" w:type="auto"/>
            <w:shd w:val="clear" w:color="auto" w:fill="auto"/>
            <w:tcMar>
              <w:top w:w="40" w:type="dxa"/>
              <w:left w:w="40" w:type="dxa"/>
              <w:bottom w:w="40" w:type="dxa"/>
              <w:right w:w="40" w:type="dxa"/>
            </w:tcMar>
            <w:vAlign w:val="bottom"/>
          </w:tcPr>
          <w:p w14:paraId="5556D5BD" w14:textId="77777777" w:rsidR="00F925DD" w:rsidRDefault="00E705D7">
            <w:pPr>
              <w:textAlignment w:val="bottom"/>
              <w:rPr>
                <w:rFonts w:ascii="Times New Roman" w:hAnsi="Times New Roman"/>
                <w:sz w:val="16"/>
                <w:szCs w:val="16"/>
              </w:rPr>
            </w:pPr>
            <w:r>
              <w:rPr>
                <w:rFonts w:ascii="Arial" w:eastAsia="宋体" w:hAnsi="Arial" w:cs="Arial"/>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5BE"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U.S. Government</w:t>
            </w:r>
          </w:p>
          <w:p w14:paraId="5556D5B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Securities Sold</w:t>
            </w:r>
          </w:p>
        </w:tc>
        <w:tc>
          <w:tcPr>
            <w:tcW w:w="0" w:type="auto"/>
            <w:shd w:val="clear" w:color="auto" w:fill="auto"/>
            <w:tcMar>
              <w:top w:w="40" w:type="dxa"/>
              <w:left w:w="40" w:type="dxa"/>
              <w:bottom w:w="40" w:type="dxa"/>
              <w:right w:w="40" w:type="dxa"/>
            </w:tcMar>
            <w:vAlign w:val="bottom"/>
          </w:tcPr>
          <w:p w14:paraId="5556D5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5C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Repurchase</w:t>
            </w:r>
          </w:p>
          <w:p w14:paraId="5556D5C2"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Agreements</w:t>
            </w:r>
            <w:r>
              <w:rPr>
                <w:rFonts w:ascii="Arial" w:eastAsia="宋体" w:hAnsi="Arial" w:cs="Arial"/>
                <w:b/>
                <w:bCs/>
                <w:sz w:val="10"/>
                <w:szCs w:val="10"/>
              </w:rPr>
              <w:t>(1)</w:t>
            </w:r>
          </w:p>
        </w:tc>
      </w:tr>
      <w:tr w:rsidR="00F925DD" w14:paraId="5556D5CC" w14:textId="77777777">
        <w:tc>
          <w:tcPr>
            <w:tcW w:w="0" w:type="auto"/>
            <w:shd w:val="clear" w:color="auto" w:fill="auto"/>
            <w:tcMar>
              <w:top w:w="40" w:type="dxa"/>
              <w:left w:w="40" w:type="dxa"/>
              <w:bottom w:w="40" w:type="dxa"/>
              <w:right w:w="40" w:type="dxa"/>
            </w:tcMar>
            <w:vAlign w:val="bottom"/>
          </w:tcPr>
          <w:p w14:paraId="5556D5C4"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5C5"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Amortized</w:t>
            </w:r>
          </w:p>
          <w:p w14:paraId="5556D5C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Cost</w:t>
            </w:r>
          </w:p>
        </w:tc>
        <w:tc>
          <w:tcPr>
            <w:tcW w:w="0" w:type="auto"/>
            <w:shd w:val="clear" w:color="auto" w:fill="auto"/>
            <w:tcMar>
              <w:top w:w="40" w:type="dxa"/>
              <w:left w:w="40" w:type="dxa"/>
              <w:bottom w:w="40" w:type="dxa"/>
              <w:right w:w="40" w:type="dxa"/>
            </w:tcMar>
            <w:vAlign w:val="bottom"/>
          </w:tcPr>
          <w:p w14:paraId="5556D5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5C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Fair Value</w:t>
            </w:r>
          </w:p>
        </w:tc>
        <w:tc>
          <w:tcPr>
            <w:tcW w:w="0" w:type="auto"/>
            <w:shd w:val="clear" w:color="auto" w:fill="auto"/>
            <w:tcMar>
              <w:top w:w="40" w:type="dxa"/>
              <w:left w:w="40" w:type="dxa"/>
              <w:bottom w:w="40" w:type="dxa"/>
              <w:right w:w="40" w:type="dxa"/>
            </w:tcMar>
            <w:vAlign w:val="bottom"/>
          </w:tcPr>
          <w:p w14:paraId="5556D5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5CA"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Amortized</w:t>
            </w:r>
          </w:p>
          <w:p w14:paraId="5556D5CB"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Cost</w:t>
            </w:r>
          </w:p>
        </w:tc>
      </w:tr>
      <w:tr w:rsidR="00F925DD" w14:paraId="5556D5D9" w14:textId="77777777">
        <w:tc>
          <w:tcPr>
            <w:tcW w:w="0" w:type="auto"/>
            <w:shd w:val="clear" w:color="auto" w:fill="CCEEFF"/>
            <w:tcMar>
              <w:top w:w="40" w:type="dxa"/>
              <w:left w:w="40" w:type="dxa"/>
              <w:bottom w:w="40" w:type="dxa"/>
              <w:right w:w="40" w:type="dxa"/>
            </w:tcMar>
            <w:vAlign w:val="bottom"/>
          </w:tcPr>
          <w:p w14:paraId="5556D5CD" w14:textId="77777777" w:rsidR="00F925DD" w:rsidRDefault="00E705D7">
            <w:pPr>
              <w:textAlignment w:val="bottom"/>
              <w:rPr>
                <w:rFonts w:ascii="Times New Roman" w:hAnsi="Times New Roman"/>
                <w:sz w:val="16"/>
                <w:szCs w:val="16"/>
              </w:rPr>
            </w:pPr>
            <w:r>
              <w:rPr>
                <w:rFonts w:ascii="Arial" w:eastAsia="宋体" w:hAnsi="Arial" w:cs="Arial"/>
                <w:sz w:val="16"/>
                <w:szCs w:val="16"/>
              </w:rPr>
              <w:t>Overnight maturity</w:t>
            </w:r>
          </w:p>
        </w:tc>
        <w:tc>
          <w:tcPr>
            <w:tcW w:w="0" w:type="auto"/>
            <w:tcBorders>
              <w:top w:val="single" w:sz="8" w:space="0" w:color="000000"/>
            </w:tcBorders>
            <w:shd w:val="clear" w:color="auto" w:fill="CCEEFF"/>
            <w:tcMar>
              <w:top w:w="40" w:type="dxa"/>
              <w:left w:w="40" w:type="dxa"/>
              <w:bottom w:w="40" w:type="dxa"/>
            </w:tcMar>
            <w:vAlign w:val="bottom"/>
          </w:tcPr>
          <w:p w14:paraId="5556D5C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D5C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3,891</w:t>
            </w:r>
          </w:p>
        </w:tc>
        <w:tc>
          <w:tcPr>
            <w:tcW w:w="0" w:type="auto"/>
            <w:tcBorders>
              <w:top w:val="single" w:sz="8" w:space="0" w:color="000000"/>
            </w:tcBorders>
            <w:shd w:val="clear" w:color="auto" w:fill="CCEEFF"/>
            <w:vAlign w:val="bottom"/>
          </w:tcPr>
          <w:p w14:paraId="5556D5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5D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D5D3"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4,112</w:t>
            </w:r>
          </w:p>
        </w:tc>
        <w:tc>
          <w:tcPr>
            <w:tcW w:w="0" w:type="auto"/>
            <w:tcBorders>
              <w:top w:val="single" w:sz="8" w:space="0" w:color="000000"/>
            </w:tcBorders>
            <w:shd w:val="clear" w:color="auto" w:fill="CCEEFF"/>
            <w:vAlign w:val="bottom"/>
          </w:tcPr>
          <w:p w14:paraId="5556D5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5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5D6"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D5D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1,102</w:t>
            </w:r>
          </w:p>
        </w:tc>
        <w:tc>
          <w:tcPr>
            <w:tcW w:w="0" w:type="auto"/>
            <w:tcBorders>
              <w:top w:val="single" w:sz="8" w:space="0" w:color="000000"/>
            </w:tcBorders>
            <w:shd w:val="clear" w:color="auto" w:fill="CCEEFF"/>
            <w:vAlign w:val="bottom"/>
          </w:tcPr>
          <w:p w14:paraId="5556D5D8" w14:textId="77777777" w:rsidR="00F925DD" w:rsidRDefault="00F925DD">
            <w:pPr>
              <w:textAlignment w:val="bottom"/>
              <w:rPr>
                <w:rFonts w:ascii="Times New Roman" w:hAnsi="Times New Roman"/>
                <w:sz w:val="20"/>
                <w:szCs w:val="20"/>
              </w:rPr>
            </w:pPr>
          </w:p>
        </w:tc>
      </w:tr>
    </w:tbl>
    <w:p w14:paraId="5556D5DA" w14:textId="77777777" w:rsidR="00F925DD" w:rsidRDefault="00F925DD">
      <w:pPr>
        <w:spacing w:line="288"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D5DC" w14:textId="77777777">
        <w:tc>
          <w:tcPr>
            <w:tcW w:w="0" w:type="auto"/>
            <w:gridSpan w:val="2"/>
            <w:shd w:val="clear" w:color="auto" w:fill="auto"/>
            <w:vAlign w:val="center"/>
          </w:tcPr>
          <w:p w14:paraId="5556D5DB" w14:textId="77777777" w:rsidR="00F925DD" w:rsidRDefault="00F925DD">
            <w:pPr>
              <w:rPr>
                <w:rFonts w:ascii="Times New Roman" w:hAnsi="Times New Roman"/>
                <w:sz w:val="20"/>
                <w:szCs w:val="20"/>
              </w:rPr>
            </w:pPr>
          </w:p>
        </w:tc>
      </w:tr>
      <w:tr w:rsidR="00F925DD" w14:paraId="5556D5DF" w14:textId="77777777">
        <w:tc>
          <w:tcPr>
            <w:tcW w:w="1400" w:type="pct"/>
            <w:shd w:val="clear" w:color="auto" w:fill="auto"/>
            <w:vAlign w:val="center"/>
          </w:tcPr>
          <w:p w14:paraId="5556D5DD" w14:textId="77777777" w:rsidR="00F925DD" w:rsidRDefault="00F925DD">
            <w:pPr>
              <w:rPr>
                <w:rFonts w:ascii="Times New Roman" w:hAnsi="Times New Roman"/>
                <w:sz w:val="20"/>
                <w:szCs w:val="20"/>
              </w:rPr>
            </w:pPr>
          </w:p>
        </w:tc>
        <w:tc>
          <w:tcPr>
            <w:tcW w:w="3600" w:type="pct"/>
            <w:shd w:val="clear" w:color="auto" w:fill="auto"/>
            <w:vAlign w:val="center"/>
          </w:tcPr>
          <w:p w14:paraId="5556D5DE" w14:textId="77777777" w:rsidR="00F925DD" w:rsidRDefault="00F925DD">
            <w:pPr>
              <w:rPr>
                <w:rFonts w:ascii="Times New Roman" w:hAnsi="Times New Roman"/>
                <w:sz w:val="20"/>
                <w:szCs w:val="20"/>
              </w:rPr>
            </w:pPr>
          </w:p>
        </w:tc>
      </w:tr>
      <w:tr w:rsidR="00F925DD" w14:paraId="5556D5E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5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5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5E3" w14:textId="77777777" w:rsidR="00F925DD" w:rsidRDefault="00E705D7">
      <w:pPr>
        <w:spacing w:line="288" w:lineRule="auto"/>
        <w:rPr>
          <w:rFonts w:ascii="Times New Roman" w:hAnsi="Times New Roman"/>
          <w:sz w:val="20"/>
          <w:szCs w:val="20"/>
        </w:rPr>
      </w:pPr>
      <w:r>
        <w:rPr>
          <w:rFonts w:ascii="Arial" w:eastAsia="宋体" w:hAnsi="Arial" w:cs="Arial"/>
          <w:sz w:val="10"/>
          <w:szCs w:val="10"/>
        </w:rPr>
        <w:t>(1)</w:t>
      </w:r>
      <w:r>
        <w:rPr>
          <w:rFonts w:ascii="Arial" w:eastAsia="宋体" w:hAnsi="Arial" w:cs="Arial"/>
          <w:sz w:val="14"/>
          <w:szCs w:val="14"/>
        </w:rPr>
        <w:t xml:space="preserve"> Collateralized by investment securities.</w:t>
      </w:r>
    </w:p>
    <w:p w14:paraId="5556D5E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maintain an agreement with a clearing organization that enables us to </w:t>
      </w:r>
      <w:r>
        <w:rPr>
          <w:rFonts w:ascii="Arial" w:eastAsia="宋体" w:hAnsi="Arial" w:cs="Arial"/>
          <w:sz w:val="20"/>
          <w:szCs w:val="20"/>
        </w:rPr>
        <w:t>net all securities purchased under resale agreements and sold under repurchase agreements with counterparties that are also members of the clearing organization. As a result of this netting, the average balances of securities purchased under resale agreeme</w:t>
      </w:r>
      <w:r>
        <w:rPr>
          <w:rFonts w:ascii="Arial" w:eastAsia="宋体" w:hAnsi="Arial" w:cs="Arial"/>
          <w:sz w:val="20"/>
          <w:szCs w:val="20"/>
        </w:rPr>
        <w:t>nts and securities sold under repurchase agreements were reduced by $86.67 billion in 2019 compared to $35.74 billion in 2018. The increase in average balance sheet netting, in 2019 compared to 2018, is primarily due to the expansion of our FICC program an</w:t>
      </w:r>
      <w:r>
        <w:rPr>
          <w:rFonts w:ascii="Arial" w:eastAsia="宋体" w:hAnsi="Arial" w:cs="Arial"/>
          <w:sz w:val="20"/>
          <w:szCs w:val="20"/>
        </w:rPr>
        <w:t>d new client activity.</w:t>
      </w:r>
    </w:p>
    <w:p w14:paraId="5556D5E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State Street Bank currently maintains a line of credit of CAD 1.40 billion, or approximately $1.08 billion, as of December 31, 2019, to support its Canadian securities processing operations. The line of credit has no stated terminati</w:t>
      </w:r>
      <w:r>
        <w:rPr>
          <w:rFonts w:ascii="Arial" w:eastAsia="宋体" w:hAnsi="Arial" w:cs="Arial"/>
          <w:sz w:val="20"/>
          <w:szCs w:val="20"/>
        </w:rPr>
        <w:t>on date and is cancelable by either party with prior notice. As of December 31, 2019 and 2018, there was no balance outstanding on this line of credit.</w:t>
      </w:r>
    </w:p>
    <w:p w14:paraId="5556D5E6"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Note 9. Long-Term Debt</w:t>
      </w:r>
    </w:p>
    <w:tbl>
      <w:tblPr>
        <w:tblW w:w="5000" w:type="pct"/>
        <w:tblCellMar>
          <w:left w:w="0" w:type="dxa"/>
          <w:right w:w="0" w:type="dxa"/>
        </w:tblCellMar>
        <w:tblLook w:val="04A0" w:firstRow="1" w:lastRow="0" w:firstColumn="1" w:lastColumn="0" w:noHBand="0" w:noVBand="1"/>
      </w:tblPr>
      <w:tblGrid>
        <w:gridCol w:w="1114"/>
        <w:gridCol w:w="130"/>
        <w:gridCol w:w="1198"/>
        <w:gridCol w:w="130"/>
        <w:gridCol w:w="866"/>
        <w:gridCol w:w="165"/>
        <w:gridCol w:w="130"/>
        <w:gridCol w:w="1696"/>
        <w:gridCol w:w="130"/>
        <w:gridCol w:w="949"/>
        <w:gridCol w:w="130"/>
        <w:gridCol w:w="118"/>
        <w:gridCol w:w="616"/>
        <w:gridCol w:w="35"/>
        <w:gridCol w:w="130"/>
        <w:gridCol w:w="118"/>
        <w:gridCol w:w="616"/>
        <w:gridCol w:w="35"/>
      </w:tblGrid>
      <w:tr w:rsidR="00F925DD" w14:paraId="5556D5E8" w14:textId="77777777">
        <w:tc>
          <w:tcPr>
            <w:tcW w:w="0" w:type="auto"/>
            <w:gridSpan w:val="18"/>
            <w:shd w:val="clear" w:color="auto" w:fill="auto"/>
            <w:vAlign w:val="center"/>
          </w:tcPr>
          <w:p w14:paraId="5556D5E7" w14:textId="77777777" w:rsidR="00F925DD" w:rsidRDefault="00F925DD">
            <w:pPr>
              <w:rPr>
                <w:rFonts w:ascii="Times New Roman" w:hAnsi="Times New Roman"/>
                <w:sz w:val="20"/>
                <w:szCs w:val="20"/>
              </w:rPr>
            </w:pPr>
          </w:p>
        </w:tc>
      </w:tr>
      <w:tr w:rsidR="00F925DD" w14:paraId="5556D5FB" w14:textId="77777777">
        <w:tc>
          <w:tcPr>
            <w:tcW w:w="700" w:type="pct"/>
            <w:shd w:val="clear" w:color="auto" w:fill="auto"/>
            <w:vAlign w:val="center"/>
          </w:tcPr>
          <w:p w14:paraId="5556D5E9" w14:textId="77777777" w:rsidR="00F925DD" w:rsidRDefault="00F925DD">
            <w:pPr>
              <w:rPr>
                <w:rFonts w:ascii="Times New Roman" w:hAnsi="Times New Roman"/>
                <w:sz w:val="20"/>
                <w:szCs w:val="20"/>
              </w:rPr>
            </w:pPr>
          </w:p>
        </w:tc>
        <w:tc>
          <w:tcPr>
            <w:tcW w:w="50" w:type="pct"/>
            <w:shd w:val="clear" w:color="auto" w:fill="auto"/>
            <w:vAlign w:val="center"/>
          </w:tcPr>
          <w:p w14:paraId="5556D5EA" w14:textId="77777777" w:rsidR="00F925DD" w:rsidRDefault="00F925DD">
            <w:pPr>
              <w:rPr>
                <w:rFonts w:ascii="Times New Roman" w:hAnsi="Times New Roman"/>
                <w:sz w:val="20"/>
                <w:szCs w:val="20"/>
              </w:rPr>
            </w:pPr>
          </w:p>
        </w:tc>
        <w:tc>
          <w:tcPr>
            <w:tcW w:w="750" w:type="pct"/>
            <w:shd w:val="clear" w:color="auto" w:fill="auto"/>
            <w:vAlign w:val="center"/>
          </w:tcPr>
          <w:p w14:paraId="5556D5EB" w14:textId="77777777" w:rsidR="00F925DD" w:rsidRDefault="00F925DD">
            <w:pPr>
              <w:rPr>
                <w:rFonts w:ascii="Times New Roman" w:hAnsi="Times New Roman"/>
                <w:sz w:val="20"/>
                <w:szCs w:val="20"/>
              </w:rPr>
            </w:pPr>
          </w:p>
        </w:tc>
        <w:tc>
          <w:tcPr>
            <w:tcW w:w="50" w:type="pct"/>
            <w:shd w:val="clear" w:color="auto" w:fill="auto"/>
            <w:vAlign w:val="center"/>
          </w:tcPr>
          <w:p w14:paraId="5556D5EC" w14:textId="77777777" w:rsidR="00F925DD" w:rsidRDefault="00F925DD">
            <w:pPr>
              <w:rPr>
                <w:rFonts w:ascii="Times New Roman" w:hAnsi="Times New Roman"/>
                <w:sz w:val="20"/>
                <w:szCs w:val="20"/>
              </w:rPr>
            </w:pPr>
          </w:p>
        </w:tc>
        <w:tc>
          <w:tcPr>
            <w:tcW w:w="550" w:type="pct"/>
            <w:shd w:val="clear" w:color="auto" w:fill="auto"/>
            <w:vAlign w:val="center"/>
          </w:tcPr>
          <w:p w14:paraId="5556D5ED" w14:textId="77777777" w:rsidR="00F925DD" w:rsidRDefault="00F925DD">
            <w:pPr>
              <w:rPr>
                <w:rFonts w:ascii="Times New Roman" w:hAnsi="Times New Roman"/>
                <w:sz w:val="20"/>
                <w:szCs w:val="20"/>
              </w:rPr>
            </w:pPr>
          </w:p>
        </w:tc>
        <w:tc>
          <w:tcPr>
            <w:tcW w:w="50" w:type="pct"/>
            <w:shd w:val="clear" w:color="auto" w:fill="auto"/>
            <w:vAlign w:val="center"/>
          </w:tcPr>
          <w:p w14:paraId="5556D5EE" w14:textId="77777777" w:rsidR="00F925DD" w:rsidRDefault="00F925DD">
            <w:pPr>
              <w:rPr>
                <w:rFonts w:ascii="Times New Roman" w:hAnsi="Times New Roman"/>
                <w:sz w:val="20"/>
                <w:szCs w:val="20"/>
              </w:rPr>
            </w:pPr>
          </w:p>
        </w:tc>
        <w:tc>
          <w:tcPr>
            <w:tcW w:w="50" w:type="pct"/>
            <w:shd w:val="clear" w:color="auto" w:fill="auto"/>
            <w:vAlign w:val="center"/>
          </w:tcPr>
          <w:p w14:paraId="5556D5EF" w14:textId="77777777" w:rsidR="00F925DD" w:rsidRDefault="00F925DD">
            <w:pPr>
              <w:rPr>
                <w:rFonts w:ascii="Times New Roman" w:hAnsi="Times New Roman"/>
                <w:sz w:val="20"/>
                <w:szCs w:val="20"/>
              </w:rPr>
            </w:pPr>
          </w:p>
        </w:tc>
        <w:tc>
          <w:tcPr>
            <w:tcW w:w="1050" w:type="pct"/>
            <w:shd w:val="clear" w:color="auto" w:fill="auto"/>
            <w:vAlign w:val="center"/>
          </w:tcPr>
          <w:p w14:paraId="5556D5F0" w14:textId="77777777" w:rsidR="00F925DD" w:rsidRDefault="00F925DD">
            <w:pPr>
              <w:rPr>
                <w:rFonts w:ascii="Times New Roman" w:hAnsi="Times New Roman"/>
                <w:sz w:val="20"/>
                <w:szCs w:val="20"/>
              </w:rPr>
            </w:pPr>
          </w:p>
        </w:tc>
        <w:tc>
          <w:tcPr>
            <w:tcW w:w="50" w:type="pct"/>
            <w:shd w:val="clear" w:color="auto" w:fill="auto"/>
            <w:vAlign w:val="center"/>
          </w:tcPr>
          <w:p w14:paraId="5556D5F1" w14:textId="77777777" w:rsidR="00F925DD" w:rsidRDefault="00F925DD">
            <w:pPr>
              <w:rPr>
                <w:rFonts w:ascii="Times New Roman" w:hAnsi="Times New Roman"/>
                <w:sz w:val="20"/>
                <w:szCs w:val="20"/>
              </w:rPr>
            </w:pPr>
          </w:p>
        </w:tc>
        <w:tc>
          <w:tcPr>
            <w:tcW w:w="600" w:type="pct"/>
            <w:shd w:val="clear" w:color="auto" w:fill="auto"/>
            <w:vAlign w:val="center"/>
          </w:tcPr>
          <w:p w14:paraId="5556D5F2" w14:textId="77777777" w:rsidR="00F925DD" w:rsidRDefault="00F925DD">
            <w:pPr>
              <w:rPr>
                <w:rFonts w:ascii="Times New Roman" w:hAnsi="Times New Roman"/>
                <w:sz w:val="20"/>
                <w:szCs w:val="20"/>
              </w:rPr>
            </w:pPr>
          </w:p>
        </w:tc>
        <w:tc>
          <w:tcPr>
            <w:tcW w:w="50" w:type="pct"/>
            <w:shd w:val="clear" w:color="auto" w:fill="auto"/>
            <w:vAlign w:val="center"/>
          </w:tcPr>
          <w:p w14:paraId="5556D5F3" w14:textId="77777777" w:rsidR="00F925DD" w:rsidRDefault="00F925DD">
            <w:pPr>
              <w:rPr>
                <w:rFonts w:ascii="Times New Roman" w:hAnsi="Times New Roman"/>
                <w:sz w:val="20"/>
                <w:szCs w:val="20"/>
              </w:rPr>
            </w:pPr>
          </w:p>
        </w:tc>
        <w:tc>
          <w:tcPr>
            <w:tcW w:w="50" w:type="pct"/>
            <w:shd w:val="clear" w:color="auto" w:fill="auto"/>
            <w:vAlign w:val="center"/>
          </w:tcPr>
          <w:p w14:paraId="5556D5F4" w14:textId="77777777" w:rsidR="00F925DD" w:rsidRDefault="00F925DD">
            <w:pPr>
              <w:rPr>
                <w:rFonts w:ascii="Times New Roman" w:hAnsi="Times New Roman"/>
                <w:sz w:val="20"/>
                <w:szCs w:val="20"/>
              </w:rPr>
            </w:pPr>
          </w:p>
        </w:tc>
        <w:tc>
          <w:tcPr>
            <w:tcW w:w="400" w:type="pct"/>
            <w:shd w:val="clear" w:color="auto" w:fill="auto"/>
            <w:vAlign w:val="center"/>
          </w:tcPr>
          <w:p w14:paraId="5556D5F5" w14:textId="77777777" w:rsidR="00F925DD" w:rsidRDefault="00F925DD">
            <w:pPr>
              <w:rPr>
                <w:rFonts w:ascii="Times New Roman" w:hAnsi="Times New Roman"/>
                <w:sz w:val="20"/>
                <w:szCs w:val="20"/>
              </w:rPr>
            </w:pPr>
          </w:p>
        </w:tc>
        <w:tc>
          <w:tcPr>
            <w:tcW w:w="50" w:type="pct"/>
            <w:shd w:val="clear" w:color="auto" w:fill="auto"/>
            <w:vAlign w:val="center"/>
          </w:tcPr>
          <w:p w14:paraId="5556D5F6" w14:textId="77777777" w:rsidR="00F925DD" w:rsidRDefault="00F925DD">
            <w:pPr>
              <w:rPr>
                <w:rFonts w:ascii="Times New Roman" w:hAnsi="Times New Roman"/>
                <w:sz w:val="20"/>
                <w:szCs w:val="20"/>
              </w:rPr>
            </w:pPr>
          </w:p>
        </w:tc>
        <w:tc>
          <w:tcPr>
            <w:tcW w:w="50" w:type="pct"/>
            <w:shd w:val="clear" w:color="auto" w:fill="auto"/>
            <w:vAlign w:val="center"/>
          </w:tcPr>
          <w:p w14:paraId="5556D5F7" w14:textId="77777777" w:rsidR="00F925DD" w:rsidRDefault="00F925DD">
            <w:pPr>
              <w:rPr>
                <w:rFonts w:ascii="Times New Roman" w:hAnsi="Times New Roman"/>
                <w:sz w:val="20"/>
                <w:szCs w:val="20"/>
              </w:rPr>
            </w:pPr>
          </w:p>
        </w:tc>
        <w:tc>
          <w:tcPr>
            <w:tcW w:w="50" w:type="pct"/>
            <w:shd w:val="clear" w:color="auto" w:fill="auto"/>
            <w:vAlign w:val="center"/>
          </w:tcPr>
          <w:p w14:paraId="5556D5F8" w14:textId="77777777" w:rsidR="00F925DD" w:rsidRDefault="00F925DD">
            <w:pPr>
              <w:rPr>
                <w:rFonts w:ascii="Times New Roman" w:hAnsi="Times New Roman"/>
                <w:sz w:val="20"/>
                <w:szCs w:val="20"/>
              </w:rPr>
            </w:pPr>
          </w:p>
        </w:tc>
        <w:tc>
          <w:tcPr>
            <w:tcW w:w="400" w:type="pct"/>
            <w:shd w:val="clear" w:color="auto" w:fill="auto"/>
            <w:vAlign w:val="center"/>
          </w:tcPr>
          <w:p w14:paraId="5556D5F9" w14:textId="77777777" w:rsidR="00F925DD" w:rsidRDefault="00F925DD">
            <w:pPr>
              <w:rPr>
                <w:rFonts w:ascii="Times New Roman" w:hAnsi="Times New Roman"/>
                <w:sz w:val="20"/>
                <w:szCs w:val="20"/>
              </w:rPr>
            </w:pPr>
          </w:p>
        </w:tc>
        <w:tc>
          <w:tcPr>
            <w:tcW w:w="50" w:type="pct"/>
            <w:shd w:val="clear" w:color="auto" w:fill="auto"/>
            <w:vAlign w:val="center"/>
          </w:tcPr>
          <w:p w14:paraId="5556D5FA" w14:textId="77777777" w:rsidR="00F925DD" w:rsidRDefault="00F925DD">
            <w:pPr>
              <w:rPr>
                <w:rFonts w:ascii="Times New Roman" w:hAnsi="Times New Roman"/>
                <w:sz w:val="20"/>
                <w:szCs w:val="20"/>
              </w:rPr>
            </w:pPr>
          </w:p>
        </w:tc>
      </w:tr>
      <w:tr w:rsidR="00F925DD" w14:paraId="5556D607" w14:textId="77777777">
        <w:tc>
          <w:tcPr>
            <w:tcW w:w="0" w:type="auto"/>
            <w:shd w:val="clear" w:color="auto" w:fill="auto"/>
            <w:tcMar>
              <w:top w:w="40" w:type="dxa"/>
              <w:left w:w="40" w:type="dxa"/>
              <w:bottom w:w="40" w:type="dxa"/>
              <w:right w:w="40" w:type="dxa"/>
            </w:tcMar>
            <w:vAlign w:val="center"/>
          </w:tcPr>
          <w:p w14:paraId="5556D5FC"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(Dollars in millions)</w:t>
            </w:r>
          </w:p>
        </w:tc>
        <w:tc>
          <w:tcPr>
            <w:tcW w:w="0" w:type="auto"/>
            <w:shd w:val="clear" w:color="auto" w:fill="auto"/>
            <w:tcMar>
              <w:top w:w="40" w:type="dxa"/>
              <w:left w:w="40" w:type="dxa"/>
              <w:bottom w:w="40" w:type="dxa"/>
              <w:right w:w="40" w:type="dxa"/>
            </w:tcMar>
            <w:vAlign w:val="bottom"/>
          </w:tcPr>
          <w:p w14:paraId="5556D5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5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5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D6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6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6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6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6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6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5556D606" w14:textId="77777777" w:rsidR="00F925DD" w:rsidRDefault="00E705D7">
            <w:pPr>
              <w:jc w:val="center"/>
              <w:textAlignment w:val="center"/>
              <w:rPr>
                <w:rFonts w:ascii="Times New Roman" w:hAnsi="Times New Roman"/>
                <w:sz w:val="14"/>
                <w:szCs w:val="14"/>
              </w:rPr>
            </w:pPr>
            <w:r>
              <w:rPr>
                <w:rFonts w:ascii="Arial" w:eastAsia="宋体" w:hAnsi="Arial" w:cs="Arial"/>
                <w:b/>
                <w:bCs/>
                <w:sz w:val="14"/>
                <w:szCs w:val="14"/>
              </w:rPr>
              <w:t xml:space="preserve">As of </w:t>
            </w:r>
            <w:r>
              <w:rPr>
                <w:rFonts w:ascii="Arial" w:eastAsia="宋体" w:hAnsi="Arial" w:cs="Arial"/>
                <w:b/>
                <w:bCs/>
                <w:sz w:val="14"/>
                <w:szCs w:val="14"/>
              </w:rPr>
              <w:t>December 31,</w:t>
            </w:r>
          </w:p>
        </w:tc>
      </w:tr>
      <w:tr w:rsidR="00F925DD" w14:paraId="5556D615" w14:textId="77777777">
        <w:tc>
          <w:tcPr>
            <w:tcW w:w="0" w:type="auto"/>
            <w:tcBorders>
              <w:bottom w:val="single" w:sz="8" w:space="0" w:color="000000"/>
            </w:tcBorders>
            <w:shd w:val="clear" w:color="auto" w:fill="auto"/>
            <w:tcMar>
              <w:top w:w="40" w:type="dxa"/>
              <w:left w:w="240" w:type="dxa"/>
              <w:bottom w:w="40" w:type="dxa"/>
              <w:right w:w="40" w:type="dxa"/>
            </w:tcMar>
            <w:vAlign w:val="center"/>
          </w:tcPr>
          <w:p w14:paraId="5556D608" w14:textId="77777777" w:rsidR="00F925DD" w:rsidRDefault="00E705D7">
            <w:pPr>
              <w:jc w:val="center"/>
              <w:textAlignment w:val="center"/>
              <w:rPr>
                <w:rFonts w:ascii="Times New Roman" w:hAnsi="Times New Roman"/>
                <w:sz w:val="14"/>
                <w:szCs w:val="14"/>
              </w:rPr>
            </w:pPr>
            <w:r>
              <w:rPr>
                <w:rFonts w:ascii="Arial" w:eastAsia="宋体" w:hAnsi="Arial" w:cs="Arial"/>
                <w:b/>
                <w:bCs/>
                <w:sz w:val="14"/>
                <w:szCs w:val="14"/>
              </w:rPr>
              <w:t>Issuance Date</w:t>
            </w:r>
          </w:p>
        </w:tc>
        <w:tc>
          <w:tcPr>
            <w:tcW w:w="0" w:type="auto"/>
            <w:shd w:val="clear" w:color="auto" w:fill="auto"/>
            <w:tcMar>
              <w:top w:w="40" w:type="dxa"/>
              <w:left w:w="40" w:type="dxa"/>
              <w:bottom w:w="40" w:type="dxa"/>
              <w:right w:w="40" w:type="dxa"/>
            </w:tcMar>
            <w:vAlign w:val="bottom"/>
          </w:tcPr>
          <w:p w14:paraId="5556D6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240" w:type="dxa"/>
              <w:bottom w:w="40" w:type="dxa"/>
              <w:right w:w="40" w:type="dxa"/>
            </w:tcMar>
            <w:vAlign w:val="center"/>
          </w:tcPr>
          <w:p w14:paraId="5556D60A" w14:textId="77777777" w:rsidR="00F925DD" w:rsidRDefault="00E705D7">
            <w:pPr>
              <w:jc w:val="center"/>
              <w:textAlignment w:val="center"/>
              <w:rPr>
                <w:rFonts w:ascii="Times New Roman" w:hAnsi="Times New Roman"/>
                <w:sz w:val="14"/>
                <w:szCs w:val="14"/>
              </w:rPr>
            </w:pPr>
            <w:r>
              <w:rPr>
                <w:rFonts w:ascii="Arial" w:eastAsia="宋体" w:hAnsi="Arial" w:cs="Arial"/>
                <w:b/>
                <w:bCs/>
                <w:sz w:val="14"/>
                <w:szCs w:val="14"/>
              </w:rPr>
              <w:t>Maturity Date</w:t>
            </w:r>
          </w:p>
        </w:tc>
        <w:tc>
          <w:tcPr>
            <w:tcW w:w="0" w:type="auto"/>
            <w:shd w:val="clear" w:color="auto" w:fill="auto"/>
            <w:tcMar>
              <w:top w:w="40" w:type="dxa"/>
              <w:left w:w="40" w:type="dxa"/>
              <w:bottom w:w="40" w:type="dxa"/>
              <w:right w:w="40" w:type="dxa"/>
            </w:tcMar>
            <w:vAlign w:val="bottom"/>
          </w:tcPr>
          <w:p w14:paraId="5556D6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5556D60C" w14:textId="77777777" w:rsidR="00F925DD" w:rsidRDefault="00E705D7">
            <w:pPr>
              <w:jc w:val="center"/>
              <w:textAlignment w:val="center"/>
              <w:rPr>
                <w:rFonts w:ascii="Times New Roman" w:hAnsi="Times New Roman"/>
                <w:sz w:val="14"/>
                <w:szCs w:val="14"/>
              </w:rPr>
            </w:pPr>
            <w:r>
              <w:rPr>
                <w:rFonts w:ascii="Arial" w:eastAsia="宋体" w:hAnsi="Arial" w:cs="Arial"/>
                <w:b/>
                <w:bCs/>
                <w:sz w:val="14"/>
                <w:szCs w:val="14"/>
              </w:rPr>
              <w:t>Coupon Rate</w:t>
            </w:r>
          </w:p>
        </w:tc>
        <w:tc>
          <w:tcPr>
            <w:tcW w:w="0" w:type="auto"/>
            <w:shd w:val="clear" w:color="auto" w:fill="auto"/>
            <w:tcMar>
              <w:top w:w="40" w:type="dxa"/>
              <w:left w:w="40" w:type="dxa"/>
              <w:bottom w:w="40" w:type="dxa"/>
              <w:right w:w="40" w:type="dxa"/>
            </w:tcMar>
            <w:vAlign w:val="bottom"/>
          </w:tcPr>
          <w:p w14:paraId="5556D6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5556D60E" w14:textId="77777777" w:rsidR="00F925DD" w:rsidRDefault="00E705D7">
            <w:pPr>
              <w:jc w:val="center"/>
              <w:textAlignment w:val="center"/>
              <w:rPr>
                <w:rFonts w:ascii="Times New Roman" w:hAnsi="Times New Roman"/>
                <w:sz w:val="14"/>
                <w:szCs w:val="14"/>
              </w:rPr>
            </w:pPr>
            <w:r>
              <w:rPr>
                <w:rFonts w:ascii="Arial" w:eastAsia="宋体" w:hAnsi="Arial" w:cs="Arial"/>
                <w:b/>
                <w:bCs/>
                <w:sz w:val="14"/>
                <w:szCs w:val="14"/>
              </w:rPr>
              <w:t>Seniority</w:t>
            </w:r>
          </w:p>
        </w:tc>
        <w:tc>
          <w:tcPr>
            <w:tcW w:w="0" w:type="auto"/>
            <w:shd w:val="clear" w:color="auto" w:fill="auto"/>
            <w:tcMar>
              <w:top w:w="40" w:type="dxa"/>
              <w:left w:w="40" w:type="dxa"/>
              <w:bottom w:w="40" w:type="dxa"/>
              <w:right w:w="40" w:type="dxa"/>
            </w:tcMar>
            <w:vAlign w:val="bottom"/>
          </w:tcPr>
          <w:p w14:paraId="5556D6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5556D610" w14:textId="77777777" w:rsidR="00F925DD" w:rsidRDefault="00E705D7">
            <w:pPr>
              <w:jc w:val="center"/>
              <w:textAlignment w:val="center"/>
              <w:rPr>
                <w:rFonts w:ascii="Times New Roman" w:hAnsi="Times New Roman"/>
                <w:sz w:val="14"/>
                <w:szCs w:val="14"/>
              </w:rPr>
            </w:pPr>
            <w:r>
              <w:rPr>
                <w:rFonts w:ascii="Arial" w:eastAsia="宋体" w:hAnsi="Arial" w:cs="Arial"/>
                <w:b/>
                <w:bCs/>
                <w:sz w:val="14"/>
                <w:szCs w:val="14"/>
              </w:rPr>
              <w:t>Interest Due Dates</w:t>
            </w:r>
          </w:p>
        </w:tc>
        <w:tc>
          <w:tcPr>
            <w:tcW w:w="0" w:type="auto"/>
            <w:shd w:val="clear" w:color="auto" w:fill="auto"/>
            <w:tcMar>
              <w:top w:w="40" w:type="dxa"/>
              <w:left w:w="40" w:type="dxa"/>
              <w:bottom w:w="40" w:type="dxa"/>
              <w:right w:w="40" w:type="dxa"/>
            </w:tcMar>
            <w:vAlign w:val="bottom"/>
          </w:tcPr>
          <w:p w14:paraId="5556D6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5556D612" w14:textId="77777777" w:rsidR="00F925DD" w:rsidRDefault="00E705D7">
            <w:pPr>
              <w:jc w:val="center"/>
              <w:textAlignment w:val="center"/>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D6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5556D614" w14:textId="77777777" w:rsidR="00F925DD" w:rsidRDefault="00E705D7">
            <w:pPr>
              <w:jc w:val="center"/>
              <w:textAlignment w:val="center"/>
              <w:rPr>
                <w:rFonts w:ascii="Times New Roman" w:hAnsi="Times New Roman"/>
                <w:sz w:val="14"/>
                <w:szCs w:val="14"/>
              </w:rPr>
            </w:pPr>
            <w:r>
              <w:rPr>
                <w:rFonts w:ascii="Arial" w:eastAsia="宋体" w:hAnsi="Arial" w:cs="Arial"/>
                <w:b/>
                <w:bCs/>
                <w:sz w:val="14"/>
                <w:szCs w:val="14"/>
              </w:rPr>
              <w:t>2018</w:t>
            </w:r>
          </w:p>
        </w:tc>
      </w:tr>
      <w:tr w:rsidR="00F925DD" w14:paraId="5556D61B" w14:textId="77777777">
        <w:tc>
          <w:tcPr>
            <w:tcW w:w="0" w:type="auto"/>
            <w:gridSpan w:val="10"/>
            <w:shd w:val="clear" w:color="auto" w:fill="auto"/>
            <w:tcMar>
              <w:top w:w="40" w:type="dxa"/>
              <w:left w:w="40" w:type="dxa"/>
              <w:bottom w:w="40" w:type="dxa"/>
              <w:right w:w="40" w:type="dxa"/>
            </w:tcMar>
            <w:vAlign w:val="center"/>
          </w:tcPr>
          <w:p w14:paraId="5556D616"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 xml:space="preserve">Parent </w:t>
            </w:r>
            <w:r>
              <w:rPr>
                <w:rFonts w:ascii="Arial" w:eastAsia="宋体" w:hAnsi="Arial" w:cs="Arial"/>
                <w:b/>
                <w:bCs/>
                <w:sz w:val="14"/>
                <w:szCs w:val="14"/>
              </w:rPr>
              <w:t>Company And Non-Banking Subsidiary Issuances</w:t>
            </w:r>
          </w:p>
        </w:tc>
        <w:tc>
          <w:tcPr>
            <w:tcW w:w="0" w:type="auto"/>
            <w:shd w:val="clear" w:color="auto" w:fill="auto"/>
            <w:tcMar>
              <w:top w:w="40" w:type="dxa"/>
              <w:left w:w="40" w:type="dxa"/>
              <w:bottom w:w="40" w:type="dxa"/>
              <w:right w:w="40" w:type="dxa"/>
            </w:tcMar>
            <w:vAlign w:val="bottom"/>
          </w:tcPr>
          <w:p w14:paraId="5556D6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6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6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6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62E" w14:textId="77777777">
        <w:tc>
          <w:tcPr>
            <w:tcW w:w="0" w:type="auto"/>
            <w:shd w:val="clear" w:color="auto" w:fill="CCEEFF"/>
            <w:tcMar>
              <w:top w:w="40" w:type="dxa"/>
              <w:left w:w="240" w:type="dxa"/>
              <w:bottom w:w="40" w:type="dxa"/>
              <w:right w:w="40" w:type="dxa"/>
            </w:tcMar>
            <w:vAlign w:val="center"/>
          </w:tcPr>
          <w:p w14:paraId="5556D61C" w14:textId="77777777" w:rsidR="00F925DD" w:rsidRDefault="00E705D7">
            <w:pPr>
              <w:textAlignment w:val="center"/>
              <w:rPr>
                <w:rFonts w:ascii="Times New Roman" w:hAnsi="Times New Roman"/>
                <w:sz w:val="14"/>
                <w:szCs w:val="14"/>
              </w:rPr>
            </w:pPr>
            <w:r>
              <w:rPr>
                <w:rFonts w:ascii="Arial" w:eastAsia="宋体" w:hAnsi="Arial" w:cs="Arial"/>
                <w:sz w:val="14"/>
                <w:szCs w:val="14"/>
              </w:rPr>
              <w:t>August 18, 2015</w:t>
            </w:r>
          </w:p>
        </w:tc>
        <w:tc>
          <w:tcPr>
            <w:tcW w:w="0" w:type="auto"/>
            <w:shd w:val="clear" w:color="auto" w:fill="CCEEFF"/>
            <w:tcMar>
              <w:top w:w="40" w:type="dxa"/>
              <w:left w:w="40" w:type="dxa"/>
              <w:bottom w:w="40" w:type="dxa"/>
              <w:right w:w="40" w:type="dxa"/>
            </w:tcMar>
            <w:vAlign w:val="bottom"/>
          </w:tcPr>
          <w:p w14:paraId="5556D6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240" w:type="dxa"/>
              <w:bottom w:w="40" w:type="dxa"/>
              <w:right w:w="40" w:type="dxa"/>
            </w:tcMar>
            <w:vAlign w:val="center"/>
          </w:tcPr>
          <w:p w14:paraId="5556D61E" w14:textId="77777777" w:rsidR="00F925DD" w:rsidRDefault="00E705D7">
            <w:pPr>
              <w:textAlignment w:val="center"/>
              <w:rPr>
                <w:rFonts w:ascii="Times New Roman" w:hAnsi="Times New Roman"/>
                <w:sz w:val="14"/>
                <w:szCs w:val="14"/>
              </w:rPr>
            </w:pPr>
            <w:r>
              <w:rPr>
                <w:rFonts w:ascii="Arial" w:eastAsia="宋体" w:hAnsi="Arial" w:cs="Arial"/>
                <w:sz w:val="14"/>
                <w:szCs w:val="14"/>
              </w:rPr>
              <w:t>August 18, 2025</w:t>
            </w:r>
          </w:p>
        </w:tc>
        <w:tc>
          <w:tcPr>
            <w:tcW w:w="0" w:type="auto"/>
            <w:shd w:val="clear" w:color="auto" w:fill="CCEEFF"/>
            <w:tcMar>
              <w:top w:w="40" w:type="dxa"/>
              <w:left w:w="40" w:type="dxa"/>
              <w:bottom w:w="40" w:type="dxa"/>
              <w:right w:w="40" w:type="dxa"/>
            </w:tcMar>
            <w:vAlign w:val="bottom"/>
          </w:tcPr>
          <w:p w14:paraId="5556D6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620"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3.55</w:t>
            </w:r>
          </w:p>
        </w:tc>
        <w:tc>
          <w:tcPr>
            <w:tcW w:w="0" w:type="auto"/>
            <w:shd w:val="clear" w:color="auto" w:fill="CCEEFF"/>
            <w:tcMar>
              <w:top w:w="40" w:type="dxa"/>
              <w:bottom w:w="40" w:type="dxa"/>
              <w:right w:w="40" w:type="dxa"/>
            </w:tcMar>
            <w:vAlign w:val="center"/>
          </w:tcPr>
          <w:p w14:paraId="5556D621"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6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23"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Senior notes</w:t>
            </w:r>
          </w:p>
        </w:tc>
        <w:tc>
          <w:tcPr>
            <w:tcW w:w="0" w:type="auto"/>
            <w:shd w:val="clear" w:color="auto" w:fill="CCEEFF"/>
            <w:tcMar>
              <w:top w:w="40" w:type="dxa"/>
              <w:left w:w="40" w:type="dxa"/>
              <w:bottom w:w="40" w:type="dxa"/>
              <w:right w:w="40" w:type="dxa"/>
            </w:tcMar>
            <w:vAlign w:val="bottom"/>
          </w:tcPr>
          <w:p w14:paraId="5556D6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25" w14:textId="77777777" w:rsidR="00F925DD" w:rsidRDefault="00E705D7">
            <w:pPr>
              <w:textAlignment w:val="center"/>
              <w:rPr>
                <w:rFonts w:ascii="Times New Roman" w:hAnsi="Times New Roman"/>
                <w:sz w:val="14"/>
                <w:szCs w:val="14"/>
              </w:rPr>
            </w:pPr>
            <w:r>
              <w:rPr>
                <w:rFonts w:ascii="Arial" w:eastAsia="宋体" w:hAnsi="Arial" w:cs="Arial"/>
                <w:sz w:val="14"/>
                <w:szCs w:val="14"/>
              </w:rPr>
              <w:t>2/18; 8/18</w:t>
            </w:r>
            <w:r>
              <w:rPr>
                <w:rFonts w:ascii="Arial" w:eastAsia="宋体" w:hAnsi="Arial" w:cs="Arial"/>
                <w:sz w:val="10"/>
                <w:szCs w:val="10"/>
              </w:rPr>
              <w:t>(1)</w:t>
            </w:r>
          </w:p>
        </w:tc>
        <w:tc>
          <w:tcPr>
            <w:tcW w:w="0" w:type="auto"/>
            <w:shd w:val="clear" w:color="auto" w:fill="CCEEFF"/>
            <w:tcMar>
              <w:top w:w="40" w:type="dxa"/>
              <w:left w:w="40" w:type="dxa"/>
              <w:bottom w:w="40" w:type="dxa"/>
              <w:right w:w="40" w:type="dxa"/>
            </w:tcMar>
            <w:vAlign w:val="bottom"/>
          </w:tcPr>
          <w:p w14:paraId="5556D6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627"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center"/>
          </w:tcPr>
          <w:p w14:paraId="5556D628"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1,331</w:t>
            </w:r>
          </w:p>
        </w:tc>
        <w:tc>
          <w:tcPr>
            <w:tcW w:w="0" w:type="auto"/>
            <w:shd w:val="clear" w:color="auto" w:fill="CCEEFF"/>
            <w:vAlign w:val="bottom"/>
          </w:tcPr>
          <w:p w14:paraId="5556D6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6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62B"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center"/>
          </w:tcPr>
          <w:p w14:paraId="5556D62C"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1,268</w:t>
            </w:r>
          </w:p>
        </w:tc>
        <w:tc>
          <w:tcPr>
            <w:tcW w:w="0" w:type="auto"/>
            <w:shd w:val="clear" w:color="auto" w:fill="CCEEFF"/>
            <w:vAlign w:val="bottom"/>
          </w:tcPr>
          <w:p w14:paraId="5556D62D" w14:textId="77777777" w:rsidR="00F925DD" w:rsidRDefault="00F925DD">
            <w:pPr>
              <w:textAlignment w:val="bottom"/>
              <w:rPr>
                <w:rFonts w:ascii="Times New Roman" w:hAnsi="Times New Roman"/>
                <w:sz w:val="20"/>
                <w:szCs w:val="20"/>
              </w:rPr>
            </w:pPr>
          </w:p>
        </w:tc>
      </w:tr>
      <w:tr w:rsidR="00F925DD" w14:paraId="5556D63F" w14:textId="77777777">
        <w:tc>
          <w:tcPr>
            <w:tcW w:w="0" w:type="auto"/>
            <w:shd w:val="clear" w:color="auto" w:fill="auto"/>
            <w:tcMar>
              <w:top w:w="40" w:type="dxa"/>
              <w:left w:w="240" w:type="dxa"/>
              <w:bottom w:w="40" w:type="dxa"/>
              <w:right w:w="40" w:type="dxa"/>
            </w:tcMar>
            <w:vAlign w:val="center"/>
          </w:tcPr>
          <w:p w14:paraId="5556D62F" w14:textId="77777777" w:rsidR="00F925DD" w:rsidRDefault="00E705D7">
            <w:pPr>
              <w:textAlignment w:val="center"/>
              <w:rPr>
                <w:rFonts w:ascii="Times New Roman" w:hAnsi="Times New Roman"/>
                <w:sz w:val="14"/>
                <w:szCs w:val="14"/>
              </w:rPr>
            </w:pPr>
            <w:r>
              <w:rPr>
                <w:rFonts w:ascii="Arial" w:eastAsia="宋体" w:hAnsi="Arial" w:cs="Arial"/>
                <w:sz w:val="14"/>
                <w:szCs w:val="14"/>
              </w:rPr>
              <w:t>August 18, 2015</w:t>
            </w:r>
          </w:p>
        </w:tc>
        <w:tc>
          <w:tcPr>
            <w:tcW w:w="0" w:type="auto"/>
            <w:shd w:val="clear" w:color="auto" w:fill="auto"/>
            <w:tcMar>
              <w:top w:w="40" w:type="dxa"/>
              <w:left w:w="40" w:type="dxa"/>
              <w:bottom w:w="40" w:type="dxa"/>
              <w:right w:w="40" w:type="dxa"/>
            </w:tcMar>
            <w:vAlign w:val="bottom"/>
          </w:tcPr>
          <w:p w14:paraId="5556D6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240" w:type="dxa"/>
              <w:bottom w:w="40" w:type="dxa"/>
              <w:right w:w="40" w:type="dxa"/>
            </w:tcMar>
            <w:vAlign w:val="center"/>
          </w:tcPr>
          <w:p w14:paraId="5556D631" w14:textId="77777777" w:rsidR="00F925DD" w:rsidRDefault="00E705D7">
            <w:pPr>
              <w:textAlignment w:val="center"/>
              <w:rPr>
                <w:rFonts w:ascii="Times New Roman" w:hAnsi="Times New Roman"/>
                <w:sz w:val="14"/>
                <w:szCs w:val="14"/>
              </w:rPr>
            </w:pPr>
            <w:r>
              <w:rPr>
                <w:rFonts w:ascii="Arial" w:eastAsia="宋体" w:hAnsi="Arial" w:cs="Arial"/>
                <w:sz w:val="14"/>
                <w:szCs w:val="14"/>
              </w:rPr>
              <w:t>August 18, 2020</w:t>
            </w:r>
          </w:p>
        </w:tc>
        <w:tc>
          <w:tcPr>
            <w:tcW w:w="0" w:type="auto"/>
            <w:shd w:val="clear" w:color="auto" w:fill="auto"/>
            <w:tcMar>
              <w:top w:w="40" w:type="dxa"/>
              <w:left w:w="40" w:type="dxa"/>
              <w:bottom w:w="40" w:type="dxa"/>
              <w:right w:w="40" w:type="dxa"/>
            </w:tcMar>
            <w:vAlign w:val="bottom"/>
          </w:tcPr>
          <w:p w14:paraId="5556D6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D633"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2.55</w:t>
            </w:r>
          </w:p>
        </w:tc>
        <w:tc>
          <w:tcPr>
            <w:tcW w:w="0" w:type="auto"/>
            <w:shd w:val="clear" w:color="auto" w:fill="auto"/>
            <w:tcMar>
              <w:top w:w="40" w:type="dxa"/>
              <w:bottom w:w="40" w:type="dxa"/>
              <w:right w:w="40" w:type="dxa"/>
            </w:tcMar>
            <w:vAlign w:val="center"/>
          </w:tcPr>
          <w:p w14:paraId="5556D634"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6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36"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Senior notes</w:t>
            </w:r>
          </w:p>
        </w:tc>
        <w:tc>
          <w:tcPr>
            <w:tcW w:w="0" w:type="auto"/>
            <w:shd w:val="clear" w:color="auto" w:fill="auto"/>
            <w:tcMar>
              <w:top w:w="40" w:type="dxa"/>
              <w:left w:w="40" w:type="dxa"/>
              <w:bottom w:w="40" w:type="dxa"/>
              <w:right w:w="40" w:type="dxa"/>
            </w:tcMar>
            <w:vAlign w:val="bottom"/>
          </w:tcPr>
          <w:p w14:paraId="5556D6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38" w14:textId="77777777" w:rsidR="00F925DD" w:rsidRDefault="00E705D7">
            <w:pPr>
              <w:textAlignment w:val="center"/>
              <w:rPr>
                <w:rFonts w:ascii="Times New Roman" w:hAnsi="Times New Roman"/>
                <w:sz w:val="14"/>
                <w:szCs w:val="14"/>
              </w:rPr>
            </w:pPr>
            <w:r>
              <w:rPr>
                <w:rFonts w:ascii="Arial" w:eastAsia="宋体" w:hAnsi="Arial" w:cs="Arial"/>
                <w:sz w:val="14"/>
                <w:szCs w:val="14"/>
              </w:rPr>
              <w:t>2/18; 8/18</w:t>
            </w:r>
          </w:p>
        </w:tc>
        <w:tc>
          <w:tcPr>
            <w:tcW w:w="0" w:type="auto"/>
            <w:shd w:val="clear" w:color="auto" w:fill="auto"/>
            <w:tcMar>
              <w:top w:w="40" w:type="dxa"/>
              <w:left w:w="40" w:type="dxa"/>
              <w:bottom w:w="40" w:type="dxa"/>
              <w:right w:w="40" w:type="dxa"/>
            </w:tcMar>
            <w:vAlign w:val="bottom"/>
          </w:tcPr>
          <w:p w14:paraId="5556D6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3A"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1,191</w:t>
            </w:r>
          </w:p>
        </w:tc>
        <w:tc>
          <w:tcPr>
            <w:tcW w:w="0" w:type="auto"/>
            <w:shd w:val="clear" w:color="auto" w:fill="auto"/>
            <w:vAlign w:val="bottom"/>
          </w:tcPr>
          <w:p w14:paraId="5556D63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6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3D"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1,177</w:t>
            </w:r>
          </w:p>
        </w:tc>
        <w:tc>
          <w:tcPr>
            <w:tcW w:w="0" w:type="auto"/>
            <w:shd w:val="clear" w:color="auto" w:fill="auto"/>
            <w:vAlign w:val="bottom"/>
          </w:tcPr>
          <w:p w14:paraId="5556D63E" w14:textId="77777777" w:rsidR="00F925DD" w:rsidRDefault="00F925DD">
            <w:pPr>
              <w:textAlignment w:val="bottom"/>
              <w:rPr>
                <w:rFonts w:ascii="Times New Roman" w:hAnsi="Times New Roman"/>
                <w:sz w:val="20"/>
                <w:szCs w:val="20"/>
              </w:rPr>
            </w:pPr>
          </w:p>
        </w:tc>
      </w:tr>
      <w:tr w:rsidR="00F925DD" w14:paraId="5556D650" w14:textId="77777777">
        <w:tc>
          <w:tcPr>
            <w:tcW w:w="0" w:type="auto"/>
            <w:shd w:val="clear" w:color="auto" w:fill="CCEEFF"/>
            <w:tcMar>
              <w:top w:w="40" w:type="dxa"/>
              <w:left w:w="240" w:type="dxa"/>
              <w:bottom w:w="40" w:type="dxa"/>
              <w:right w:w="40" w:type="dxa"/>
            </w:tcMar>
            <w:vAlign w:val="center"/>
          </w:tcPr>
          <w:p w14:paraId="5556D640" w14:textId="77777777" w:rsidR="00F925DD" w:rsidRDefault="00E705D7">
            <w:pPr>
              <w:textAlignment w:val="center"/>
              <w:rPr>
                <w:rFonts w:ascii="Times New Roman" w:hAnsi="Times New Roman"/>
                <w:sz w:val="14"/>
                <w:szCs w:val="14"/>
              </w:rPr>
            </w:pPr>
            <w:r>
              <w:rPr>
                <w:rFonts w:ascii="Arial" w:eastAsia="宋体" w:hAnsi="Arial" w:cs="Arial"/>
                <w:sz w:val="14"/>
                <w:szCs w:val="14"/>
              </w:rPr>
              <w:t>November 19, 2013</w:t>
            </w:r>
          </w:p>
        </w:tc>
        <w:tc>
          <w:tcPr>
            <w:tcW w:w="0" w:type="auto"/>
            <w:shd w:val="clear" w:color="auto" w:fill="CCEEFF"/>
            <w:tcMar>
              <w:top w:w="40" w:type="dxa"/>
              <w:left w:w="40" w:type="dxa"/>
              <w:bottom w:w="40" w:type="dxa"/>
              <w:right w:w="40" w:type="dxa"/>
            </w:tcMar>
            <w:vAlign w:val="bottom"/>
          </w:tcPr>
          <w:p w14:paraId="5556D6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240" w:type="dxa"/>
              <w:bottom w:w="40" w:type="dxa"/>
              <w:right w:w="40" w:type="dxa"/>
            </w:tcMar>
            <w:vAlign w:val="center"/>
          </w:tcPr>
          <w:p w14:paraId="5556D642" w14:textId="77777777" w:rsidR="00F925DD" w:rsidRDefault="00E705D7">
            <w:pPr>
              <w:textAlignment w:val="center"/>
              <w:rPr>
                <w:rFonts w:ascii="Times New Roman" w:hAnsi="Times New Roman"/>
                <w:sz w:val="14"/>
                <w:szCs w:val="14"/>
              </w:rPr>
            </w:pPr>
            <w:r>
              <w:rPr>
                <w:rFonts w:ascii="Arial" w:eastAsia="宋体" w:hAnsi="Arial" w:cs="Arial"/>
                <w:sz w:val="14"/>
                <w:szCs w:val="14"/>
              </w:rPr>
              <w:t>November 20, 2023</w:t>
            </w:r>
          </w:p>
        </w:tc>
        <w:tc>
          <w:tcPr>
            <w:tcW w:w="0" w:type="auto"/>
            <w:shd w:val="clear" w:color="auto" w:fill="CCEEFF"/>
            <w:tcMar>
              <w:top w:w="40" w:type="dxa"/>
              <w:left w:w="40" w:type="dxa"/>
              <w:bottom w:w="40" w:type="dxa"/>
              <w:right w:w="40" w:type="dxa"/>
            </w:tcMar>
            <w:vAlign w:val="bottom"/>
          </w:tcPr>
          <w:p w14:paraId="5556D6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644"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3.7</w:t>
            </w:r>
          </w:p>
        </w:tc>
        <w:tc>
          <w:tcPr>
            <w:tcW w:w="0" w:type="auto"/>
            <w:shd w:val="clear" w:color="auto" w:fill="CCEEFF"/>
            <w:tcMar>
              <w:top w:w="40" w:type="dxa"/>
              <w:bottom w:w="40" w:type="dxa"/>
              <w:right w:w="40" w:type="dxa"/>
            </w:tcMar>
            <w:vAlign w:val="center"/>
          </w:tcPr>
          <w:p w14:paraId="5556D645"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6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47"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Senior notes</w:t>
            </w:r>
          </w:p>
        </w:tc>
        <w:tc>
          <w:tcPr>
            <w:tcW w:w="0" w:type="auto"/>
            <w:shd w:val="clear" w:color="auto" w:fill="CCEEFF"/>
            <w:tcMar>
              <w:top w:w="40" w:type="dxa"/>
              <w:left w:w="40" w:type="dxa"/>
              <w:bottom w:w="40" w:type="dxa"/>
              <w:right w:w="40" w:type="dxa"/>
            </w:tcMar>
            <w:vAlign w:val="bottom"/>
          </w:tcPr>
          <w:p w14:paraId="5556D6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49" w14:textId="77777777" w:rsidR="00F925DD" w:rsidRDefault="00E705D7">
            <w:pPr>
              <w:textAlignment w:val="center"/>
              <w:rPr>
                <w:rFonts w:ascii="Times New Roman" w:hAnsi="Times New Roman"/>
                <w:sz w:val="14"/>
                <w:szCs w:val="14"/>
              </w:rPr>
            </w:pPr>
            <w:r>
              <w:rPr>
                <w:rFonts w:ascii="Arial" w:eastAsia="宋体" w:hAnsi="Arial" w:cs="Arial"/>
                <w:sz w:val="14"/>
                <w:szCs w:val="14"/>
              </w:rPr>
              <w:t>5/20; 11/20</w:t>
            </w:r>
            <w:r>
              <w:rPr>
                <w:rFonts w:ascii="Arial" w:eastAsia="宋体" w:hAnsi="Arial" w:cs="Arial"/>
                <w:sz w:val="10"/>
                <w:szCs w:val="10"/>
              </w:rPr>
              <w:t>(1)</w:t>
            </w:r>
          </w:p>
        </w:tc>
        <w:tc>
          <w:tcPr>
            <w:tcW w:w="0" w:type="auto"/>
            <w:shd w:val="clear" w:color="auto" w:fill="CCEEFF"/>
            <w:tcMar>
              <w:top w:w="40" w:type="dxa"/>
              <w:left w:w="40" w:type="dxa"/>
              <w:bottom w:w="40" w:type="dxa"/>
              <w:right w:w="40" w:type="dxa"/>
            </w:tcMar>
            <w:vAlign w:val="bottom"/>
          </w:tcPr>
          <w:p w14:paraId="5556D6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4B"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1,037</w:t>
            </w:r>
          </w:p>
        </w:tc>
        <w:tc>
          <w:tcPr>
            <w:tcW w:w="0" w:type="auto"/>
            <w:shd w:val="clear" w:color="auto" w:fill="CCEEFF"/>
            <w:vAlign w:val="bottom"/>
          </w:tcPr>
          <w:p w14:paraId="5556D64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6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4E"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1,006</w:t>
            </w:r>
          </w:p>
        </w:tc>
        <w:tc>
          <w:tcPr>
            <w:tcW w:w="0" w:type="auto"/>
            <w:shd w:val="clear" w:color="auto" w:fill="CCEEFF"/>
            <w:vAlign w:val="bottom"/>
          </w:tcPr>
          <w:p w14:paraId="5556D64F" w14:textId="77777777" w:rsidR="00F925DD" w:rsidRDefault="00F925DD">
            <w:pPr>
              <w:textAlignment w:val="bottom"/>
              <w:rPr>
                <w:rFonts w:ascii="Times New Roman" w:hAnsi="Times New Roman"/>
                <w:sz w:val="20"/>
                <w:szCs w:val="20"/>
              </w:rPr>
            </w:pPr>
          </w:p>
        </w:tc>
      </w:tr>
      <w:tr w:rsidR="00F925DD" w14:paraId="5556D661" w14:textId="77777777">
        <w:tc>
          <w:tcPr>
            <w:tcW w:w="0" w:type="auto"/>
            <w:shd w:val="clear" w:color="auto" w:fill="auto"/>
            <w:tcMar>
              <w:top w:w="40" w:type="dxa"/>
              <w:left w:w="240" w:type="dxa"/>
              <w:bottom w:w="40" w:type="dxa"/>
              <w:right w:w="40" w:type="dxa"/>
            </w:tcMar>
            <w:vAlign w:val="center"/>
          </w:tcPr>
          <w:p w14:paraId="5556D651" w14:textId="77777777" w:rsidR="00F925DD" w:rsidRDefault="00E705D7">
            <w:pPr>
              <w:textAlignment w:val="center"/>
              <w:rPr>
                <w:rFonts w:ascii="Times New Roman" w:hAnsi="Times New Roman"/>
                <w:sz w:val="14"/>
                <w:szCs w:val="14"/>
              </w:rPr>
            </w:pPr>
            <w:r>
              <w:rPr>
                <w:rFonts w:ascii="Arial" w:eastAsia="宋体" w:hAnsi="Arial" w:cs="Arial"/>
                <w:sz w:val="14"/>
                <w:szCs w:val="14"/>
              </w:rPr>
              <w:t>De</w:t>
            </w:r>
            <w:r>
              <w:rPr>
                <w:rFonts w:ascii="Arial" w:eastAsia="宋体" w:hAnsi="Arial" w:cs="Arial"/>
                <w:sz w:val="14"/>
                <w:szCs w:val="14"/>
              </w:rPr>
              <w:t>cember 15, 2014</w:t>
            </w:r>
          </w:p>
        </w:tc>
        <w:tc>
          <w:tcPr>
            <w:tcW w:w="0" w:type="auto"/>
            <w:shd w:val="clear" w:color="auto" w:fill="auto"/>
            <w:tcMar>
              <w:top w:w="40" w:type="dxa"/>
              <w:left w:w="40" w:type="dxa"/>
              <w:bottom w:w="40" w:type="dxa"/>
              <w:right w:w="40" w:type="dxa"/>
            </w:tcMar>
            <w:vAlign w:val="bottom"/>
          </w:tcPr>
          <w:p w14:paraId="5556D6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240" w:type="dxa"/>
              <w:bottom w:w="40" w:type="dxa"/>
              <w:right w:w="40" w:type="dxa"/>
            </w:tcMar>
            <w:vAlign w:val="center"/>
          </w:tcPr>
          <w:p w14:paraId="5556D653" w14:textId="77777777" w:rsidR="00F925DD" w:rsidRDefault="00E705D7">
            <w:pPr>
              <w:textAlignment w:val="center"/>
              <w:rPr>
                <w:rFonts w:ascii="Times New Roman" w:hAnsi="Times New Roman"/>
                <w:sz w:val="14"/>
                <w:szCs w:val="14"/>
              </w:rPr>
            </w:pPr>
            <w:r>
              <w:rPr>
                <w:rFonts w:ascii="Arial" w:eastAsia="宋体" w:hAnsi="Arial" w:cs="Arial"/>
                <w:sz w:val="14"/>
                <w:szCs w:val="14"/>
              </w:rPr>
              <w:t>December 16, 2024</w:t>
            </w:r>
          </w:p>
        </w:tc>
        <w:tc>
          <w:tcPr>
            <w:tcW w:w="0" w:type="auto"/>
            <w:shd w:val="clear" w:color="auto" w:fill="auto"/>
            <w:tcMar>
              <w:top w:w="40" w:type="dxa"/>
              <w:left w:w="40" w:type="dxa"/>
              <w:bottom w:w="40" w:type="dxa"/>
              <w:right w:w="40" w:type="dxa"/>
            </w:tcMar>
            <w:vAlign w:val="bottom"/>
          </w:tcPr>
          <w:p w14:paraId="5556D6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D655"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3.3</w:t>
            </w:r>
          </w:p>
        </w:tc>
        <w:tc>
          <w:tcPr>
            <w:tcW w:w="0" w:type="auto"/>
            <w:shd w:val="clear" w:color="auto" w:fill="auto"/>
            <w:tcMar>
              <w:top w:w="40" w:type="dxa"/>
              <w:bottom w:w="40" w:type="dxa"/>
              <w:right w:w="40" w:type="dxa"/>
            </w:tcMar>
            <w:vAlign w:val="center"/>
          </w:tcPr>
          <w:p w14:paraId="5556D656"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6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58"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Senior notes</w:t>
            </w:r>
          </w:p>
        </w:tc>
        <w:tc>
          <w:tcPr>
            <w:tcW w:w="0" w:type="auto"/>
            <w:shd w:val="clear" w:color="auto" w:fill="auto"/>
            <w:tcMar>
              <w:top w:w="40" w:type="dxa"/>
              <w:left w:w="40" w:type="dxa"/>
              <w:bottom w:w="40" w:type="dxa"/>
              <w:right w:w="40" w:type="dxa"/>
            </w:tcMar>
            <w:vAlign w:val="bottom"/>
          </w:tcPr>
          <w:p w14:paraId="5556D6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5A" w14:textId="77777777" w:rsidR="00F925DD" w:rsidRDefault="00E705D7">
            <w:pPr>
              <w:textAlignment w:val="center"/>
              <w:rPr>
                <w:rFonts w:ascii="Times New Roman" w:hAnsi="Times New Roman"/>
                <w:sz w:val="14"/>
                <w:szCs w:val="14"/>
              </w:rPr>
            </w:pPr>
            <w:r>
              <w:rPr>
                <w:rFonts w:ascii="Arial" w:eastAsia="宋体" w:hAnsi="Arial" w:cs="Arial"/>
                <w:sz w:val="14"/>
                <w:szCs w:val="14"/>
              </w:rPr>
              <w:t>6/16; 12/16</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bottom"/>
          </w:tcPr>
          <w:p w14:paraId="5556D6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5C"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1,022</w:t>
            </w:r>
          </w:p>
        </w:tc>
        <w:tc>
          <w:tcPr>
            <w:tcW w:w="0" w:type="auto"/>
            <w:shd w:val="clear" w:color="auto" w:fill="auto"/>
            <w:vAlign w:val="bottom"/>
          </w:tcPr>
          <w:p w14:paraId="5556D65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6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5F"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979</w:t>
            </w:r>
          </w:p>
        </w:tc>
        <w:tc>
          <w:tcPr>
            <w:tcW w:w="0" w:type="auto"/>
            <w:shd w:val="clear" w:color="auto" w:fill="auto"/>
            <w:vAlign w:val="bottom"/>
          </w:tcPr>
          <w:p w14:paraId="5556D660" w14:textId="77777777" w:rsidR="00F925DD" w:rsidRDefault="00F925DD">
            <w:pPr>
              <w:textAlignment w:val="bottom"/>
              <w:rPr>
                <w:rFonts w:ascii="Times New Roman" w:hAnsi="Times New Roman"/>
                <w:sz w:val="20"/>
                <w:szCs w:val="20"/>
              </w:rPr>
            </w:pPr>
          </w:p>
        </w:tc>
      </w:tr>
      <w:tr w:rsidR="00F925DD" w14:paraId="5556D672" w14:textId="77777777">
        <w:tc>
          <w:tcPr>
            <w:tcW w:w="0" w:type="auto"/>
            <w:shd w:val="clear" w:color="auto" w:fill="CCEEFF"/>
            <w:tcMar>
              <w:top w:w="40" w:type="dxa"/>
              <w:left w:w="240" w:type="dxa"/>
              <w:bottom w:w="40" w:type="dxa"/>
              <w:right w:w="40" w:type="dxa"/>
            </w:tcMar>
            <w:vAlign w:val="center"/>
          </w:tcPr>
          <w:p w14:paraId="5556D662" w14:textId="77777777" w:rsidR="00F925DD" w:rsidRDefault="00E705D7">
            <w:pPr>
              <w:textAlignment w:val="center"/>
              <w:rPr>
                <w:rFonts w:ascii="Times New Roman" w:hAnsi="Times New Roman"/>
                <w:sz w:val="14"/>
                <w:szCs w:val="14"/>
              </w:rPr>
            </w:pPr>
            <w:r>
              <w:rPr>
                <w:rFonts w:ascii="Arial" w:eastAsia="宋体" w:hAnsi="Arial" w:cs="Arial"/>
                <w:sz w:val="14"/>
                <w:szCs w:val="14"/>
              </w:rPr>
              <w:t>Ma</w:t>
            </w:r>
            <w:r>
              <w:rPr>
                <w:rFonts w:ascii="Arial" w:eastAsia="宋体" w:hAnsi="Arial" w:cs="Arial"/>
                <w:sz w:val="14"/>
                <w:szCs w:val="14"/>
              </w:rPr>
              <w:t>y 15, 2013</w:t>
            </w:r>
          </w:p>
        </w:tc>
        <w:tc>
          <w:tcPr>
            <w:tcW w:w="0" w:type="auto"/>
            <w:shd w:val="clear" w:color="auto" w:fill="CCEEFF"/>
            <w:tcMar>
              <w:top w:w="40" w:type="dxa"/>
              <w:left w:w="40" w:type="dxa"/>
              <w:bottom w:w="40" w:type="dxa"/>
              <w:right w:w="40" w:type="dxa"/>
            </w:tcMar>
            <w:vAlign w:val="bottom"/>
          </w:tcPr>
          <w:p w14:paraId="5556D6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240" w:type="dxa"/>
              <w:bottom w:w="40" w:type="dxa"/>
              <w:right w:w="40" w:type="dxa"/>
            </w:tcMar>
            <w:vAlign w:val="center"/>
          </w:tcPr>
          <w:p w14:paraId="5556D664" w14:textId="77777777" w:rsidR="00F925DD" w:rsidRDefault="00E705D7">
            <w:pPr>
              <w:textAlignment w:val="center"/>
              <w:rPr>
                <w:rFonts w:ascii="Times New Roman" w:hAnsi="Times New Roman"/>
                <w:sz w:val="14"/>
                <w:szCs w:val="14"/>
              </w:rPr>
            </w:pPr>
            <w:r>
              <w:rPr>
                <w:rFonts w:ascii="Arial" w:eastAsia="宋体" w:hAnsi="Arial" w:cs="Arial"/>
                <w:sz w:val="14"/>
                <w:szCs w:val="14"/>
              </w:rPr>
              <w:t>May 15, 2023</w:t>
            </w:r>
            <w:r>
              <w:rPr>
                <w:rFonts w:ascii="Arial" w:eastAsia="宋体" w:hAnsi="Arial" w:cs="Arial"/>
                <w:sz w:val="10"/>
                <w:szCs w:val="10"/>
              </w:rPr>
              <w:t>(2)</w:t>
            </w:r>
          </w:p>
        </w:tc>
        <w:tc>
          <w:tcPr>
            <w:tcW w:w="0" w:type="auto"/>
            <w:shd w:val="clear" w:color="auto" w:fill="CCEEFF"/>
            <w:tcMar>
              <w:top w:w="40" w:type="dxa"/>
              <w:left w:w="40" w:type="dxa"/>
              <w:bottom w:w="40" w:type="dxa"/>
              <w:right w:w="40" w:type="dxa"/>
            </w:tcMar>
            <w:vAlign w:val="bottom"/>
          </w:tcPr>
          <w:p w14:paraId="5556D6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666"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3.1</w:t>
            </w:r>
          </w:p>
        </w:tc>
        <w:tc>
          <w:tcPr>
            <w:tcW w:w="0" w:type="auto"/>
            <w:shd w:val="clear" w:color="auto" w:fill="CCEEFF"/>
            <w:tcMar>
              <w:top w:w="40" w:type="dxa"/>
              <w:bottom w:w="40" w:type="dxa"/>
              <w:right w:w="40" w:type="dxa"/>
            </w:tcMar>
            <w:vAlign w:val="center"/>
          </w:tcPr>
          <w:p w14:paraId="5556D667"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6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69"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Subordinated notes</w:t>
            </w:r>
          </w:p>
        </w:tc>
        <w:tc>
          <w:tcPr>
            <w:tcW w:w="0" w:type="auto"/>
            <w:shd w:val="clear" w:color="auto" w:fill="CCEEFF"/>
            <w:tcMar>
              <w:top w:w="40" w:type="dxa"/>
              <w:left w:w="40" w:type="dxa"/>
              <w:bottom w:w="40" w:type="dxa"/>
              <w:right w:w="40" w:type="dxa"/>
            </w:tcMar>
            <w:vAlign w:val="bottom"/>
          </w:tcPr>
          <w:p w14:paraId="5556D6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6B" w14:textId="77777777" w:rsidR="00F925DD" w:rsidRDefault="00E705D7">
            <w:pPr>
              <w:textAlignment w:val="center"/>
              <w:rPr>
                <w:rFonts w:ascii="Times New Roman" w:hAnsi="Times New Roman"/>
                <w:sz w:val="14"/>
                <w:szCs w:val="14"/>
              </w:rPr>
            </w:pPr>
            <w:r>
              <w:rPr>
                <w:rFonts w:ascii="Arial" w:eastAsia="宋体" w:hAnsi="Arial" w:cs="Arial"/>
                <w:sz w:val="14"/>
                <w:szCs w:val="14"/>
              </w:rPr>
              <w:t>5/15; 11/15</w:t>
            </w:r>
            <w:r>
              <w:rPr>
                <w:rFonts w:ascii="Arial" w:eastAsia="宋体" w:hAnsi="Arial" w:cs="Arial"/>
                <w:sz w:val="10"/>
                <w:szCs w:val="10"/>
              </w:rPr>
              <w:t>(1)</w:t>
            </w:r>
          </w:p>
        </w:tc>
        <w:tc>
          <w:tcPr>
            <w:tcW w:w="0" w:type="auto"/>
            <w:shd w:val="clear" w:color="auto" w:fill="CCEEFF"/>
            <w:tcMar>
              <w:top w:w="40" w:type="dxa"/>
              <w:left w:w="40" w:type="dxa"/>
              <w:bottom w:w="40" w:type="dxa"/>
              <w:right w:w="40" w:type="dxa"/>
            </w:tcMar>
            <w:vAlign w:val="bottom"/>
          </w:tcPr>
          <w:p w14:paraId="5556D6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6D"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1,006</w:t>
            </w:r>
          </w:p>
        </w:tc>
        <w:tc>
          <w:tcPr>
            <w:tcW w:w="0" w:type="auto"/>
            <w:shd w:val="clear" w:color="auto" w:fill="CCEEFF"/>
            <w:vAlign w:val="bottom"/>
          </w:tcPr>
          <w:p w14:paraId="5556D66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6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70"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972</w:t>
            </w:r>
          </w:p>
        </w:tc>
        <w:tc>
          <w:tcPr>
            <w:tcW w:w="0" w:type="auto"/>
            <w:shd w:val="clear" w:color="auto" w:fill="CCEEFF"/>
            <w:vAlign w:val="bottom"/>
          </w:tcPr>
          <w:p w14:paraId="5556D671" w14:textId="77777777" w:rsidR="00F925DD" w:rsidRDefault="00F925DD">
            <w:pPr>
              <w:textAlignment w:val="bottom"/>
              <w:rPr>
                <w:rFonts w:ascii="Times New Roman" w:hAnsi="Times New Roman"/>
                <w:sz w:val="20"/>
                <w:szCs w:val="20"/>
              </w:rPr>
            </w:pPr>
          </w:p>
        </w:tc>
      </w:tr>
      <w:tr w:rsidR="00F925DD" w14:paraId="5556D683" w14:textId="77777777">
        <w:tc>
          <w:tcPr>
            <w:tcW w:w="0" w:type="auto"/>
            <w:shd w:val="clear" w:color="auto" w:fill="auto"/>
            <w:tcMar>
              <w:top w:w="40" w:type="dxa"/>
              <w:left w:w="240" w:type="dxa"/>
              <w:bottom w:w="40" w:type="dxa"/>
              <w:right w:w="40" w:type="dxa"/>
            </w:tcMar>
            <w:vAlign w:val="center"/>
          </w:tcPr>
          <w:p w14:paraId="5556D673" w14:textId="77777777" w:rsidR="00F925DD" w:rsidRDefault="00E705D7">
            <w:pPr>
              <w:textAlignment w:val="center"/>
              <w:rPr>
                <w:rFonts w:ascii="Times New Roman" w:hAnsi="Times New Roman"/>
                <w:sz w:val="14"/>
                <w:szCs w:val="14"/>
              </w:rPr>
            </w:pPr>
            <w:r>
              <w:rPr>
                <w:rFonts w:ascii="Arial" w:eastAsia="宋体" w:hAnsi="Arial" w:cs="Arial"/>
                <w:sz w:val="14"/>
                <w:szCs w:val="14"/>
              </w:rPr>
              <w:t>No</w:t>
            </w:r>
            <w:r>
              <w:rPr>
                <w:rFonts w:ascii="Arial" w:eastAsia="宋体" w:hAnsi="Arial" w:cs="Arial"/>
                <w:sz w:val="14"/>
                <w:szCs w:val="14"/>
              </w:rPr>
              <w:t>vember 1, 2019</w:t>
            </w:r>
          </w:p>
        </w:tc>
        <w:tc>
          <w:tcPr>
            <w:tcW w:w="0" w:type="auto"/>
            <w:shd w:val="clear" w:color="auto" w:fill="auto"/>
            <w:tcMar>
              <w:top w:w="40" w:type="dxa"/>
              <w:left w:w="40" w:type="dxa"/>
              <w:bottom w:w="40" w:type="dxa"/>
              <w:right w:w="40" w:type="dxa"/>
            </w:tcMar>
            <w:vAlign w:val="bottom"/>
          </w:tcPr>
          <w:p w14:paraId="5556D6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240" w:type="dxa"/>
              <w:bottom w:w="40" w:type="dxa"/>
              <w:right w:w="40" w:type="dxa"/>
            </w:tcMar>
            <w:vAlign w:val="center"/>
          </w:tcPr>
          <w:p w14:paraId="5556D675" w14:textId="77777777" w:rsidR="00F925DD" w:rsidRDefault="00E705D7">
            <w:pPr>
              <w:textAlignment w:val="center"/>
              <w:rPr>
                <w:rFonts w:ascii="Times New Roman" w:hAnsi="Times New Roman"/>
                <w:sz w:val="14"/>
                <w:szCs w:val="14"/>
              </w:rPr>
            </w:pPr>
            <w:r>
              <w:rPr>
                <w:rFonts w:ascii="Arial" w:eastAsia="宋体" w:hAnsi="Arial" w:cs="Arial"/>
                <w:sz w:val="14"/>
                <w:szCs w:val="14"/>
              </w:rPr>
              <w:t>November 1, 2025</w:t>
            </w:r>
          </w:p>
        </w:tc>
        <w:tc>
          <w:tcPr>
            <w:tcW w:w="0" w:type="auto"/>
            <w:shd w:val="clear" w:color="auto" w:fill="auto"/>
            <w:tcMar>
              <w:top w:w="40" w:type="dxa"/>
              <w:left w:w="40" w:type="dxa"/>
              <w:bottom w:w="40" w:type="dxa"/>
              <w:right w:w="40" w:type="dxa"/>
            </w:tcMar>
            <w:vAlign w:val="bottom"/>
          </w:tcPr>
          <w:p w14:paraId="5556D6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D677"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2.354</w:t>
            </w:r>
          </w:p>
        </w:tc>
        <w:tc>
          <w:tcPr>
            <w:tcW w:w="0" w:type="auto"/>
            <w:shd w:val="clear" w:color="auto" w:fill="auto"/>
            <w:tcMar>
              <w:top w:w="40" w:type="dxa"/>
              <w:bottom w:w="40" w:type="dxa"/>
              <w:right w:w="40" w:type="dxa"/>
            </w:tcMar>
            <w:vAlign w:val="center"/>
          </w:tcPr>
          <w:p w14:paraId="5556D678"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6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7A"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Fixed-to-floating rate senior notes</w:t>
            </w:r>
          </w:p>
        </w:tc>
        <w:tc>
          <w:tcPr>
            <w:tcW w:w="0" w:type="auto"/>
            <w:shd w:val="clear" w:color="auto" w:fill="auto"/>
            <w:tcMar>
              <w:top w:w="40" w:type="dxa"/>
              <w:left w:w="40" w:type="dxa"/>
              <w:bottom w:w="40" w:type="dxa"/>
              <w:right w:w="40" w:type="dxa"/>
            </w:tcMar>
            <w:vAlign w:val="bottom"/>
          </w:tcPr>
          <w:p w14:paraId="5556D6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7C" w14:textId="77777777" w:rsidR="00F925DD" w:rsidRDefault="00E705D7">
            <w:pPr>
              <w:textAlignment w:val="center"/>
              <w:rPr>
                <w:rFonts w:ascii="Times New Roman" w:hAnsi="Times New Roman"/>
                <w:sz w:val="14"/>
                <w:szCs w:val="14"/>
              </w:rPr>
            </w:pPr>
            <w:r>
              <w:rPr>
                <w:rFonts w:ascii="Arial" w:eastAsia="宋体" w:hAnsi="Arial" w:cs="Arial"/>
                <w:sz w:val="14"/>
                <w:szCs w:val="14"/>
              </w:rPr>
              <w:t>5/1; 11/1</w:t>
            </w:r>
          </w:p>
        </w:tc>
        <w:tc>
          <w:tcPr>
            <w:tcW w:w="0" w:type="auto"/>
            <w:shd w:val="clear" w:color="auto" w:fill="auto"/>
            <w:tcMar>
              <w:top w:w="40" w:type="dxa"/>
              <w:left w:w="40" w:type="dxa"/>
              <w:bottom w:w="40" w:type="dxa"/>
              <w:right w:w="40" w:type="dxa"/>
            </w:tcMar>
            <w:vAlign w:val="bottom"/>
          </w:tcPr>
          <w:p w14:paraId="5556D6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7E"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991</w:t>
            </w:r>
          </w:p>
        </w:tc>
        <w:tc>
          <w:tcPr>
            <w:tcW w:w="0" w:type="auto"/>
            <w:shd w:val="clear" w:color="auto" w:fill="auto"/>
            <w:vAlign w:val="bottom"/>
          </w:tcPr>
          <w:p w14:paraId="5556D67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6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81"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D682" w14:textId="77777777" w:rsidR="00F925DD" w:rsidRDefault="00F925DD">
            <w:pPr>
              <w:textAlignment w:val="bottom"/>
              <w:rPr>
                <w:rFonts w:ascii="Times New Roman" w:hAnsi="Times New Roman"/>
                <w:sz w:val="20"/>
                <w:szCs w:val="20"/>
              </w:rPr>
            </w:pPr>
          </w:p>
        </w:tc>
      </w:tr>
      <w:tr w:rsidR="00F925DD" w14:paraId="5556D694" w14:textId="77777777">
        <w:tc>
          <w:tcPr>
            <w:tcW w:w="0" w:type="auto"/>
            <w:shd w:val="clear" w:color="auto" w:fill="CCEEFF"/>
            <w:tcMar>
              <w:top w:w="40" w:type="dxa"/>
              <w:left w:w="240" w:type="dxa"/>
              <w:bottom w:w="40" w:type="dxa"/>
              <w:right w:w="40" w:type="dxa"/>
            </w:tcMar>
            <w:vAlign w:val="center"/>
          </w:tcPr>
          <w:p w14:paraId="5556D684" w14:textId="77777777" w:rsidR="00F925DD" w:rsidRDefault="00E705D7">
            <w:pPr>
              <w:textAlignment w:val="center"/>
              <w:rPr>
                <w:rFonts w:ascii="Times New Roman" w:hAnsi="Times New Roman"/>
                <w:sz w:val="14"/>
                <w:szCs w:val="14"/>
              </w:rPr>
            </w:pPr>
            <w:r>
              <w:rPr>
                <w:rFonts w:ascii="Arial" w:eastAsia="宋体" w:hAnsi="Arial" w:cs="Arial"/>
                <w:sz w:val="14"/>
                <w:szCs w:val="14"/>
              </w:rPr>
              <w:t>Ma</w:t>
            </w:r>
            <w:r>
              <w:rPr>
                <w:rFonts w:ascii="Arial" w:eastAsia="宋体" w:hAnsi="Arial" w:cs="Arial"/>
                <w:sz w:val="14"/>
                <w:szCs w:val="14"/>
              </w:rPr>
              <w:t>y 15, 2017</w:t>
            </w:r>
          </w:p>
        </w:tc>
        <w:tc>
          <w:tcPr>
            <w:tcW w:w="0" w:type="auto"/>
            <w:shd w:val="clear" w:color="auto" w:fill="CCEEFF"/>
            <w:tcMar>
              <w:top w:w="40" w:type="dxa"/>
              <w:left w:w="40" w:type="dxa"/>
              <w:bottom w:w="40" w:type="dxa"/>
              <w:right w:w="40" w:type="dxa"/>
            </w:tcMar>
            <w:vAlign w:val="bottom"/>
          </w:tcPr>
          <w:p w14:paraId="5556D6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240" w:type="dxa"/>
              <w:bottom w:w="40" w:type="dxa"/>
              <w:right w:w="40" w:type="dxa"/>
            </w:tcMar>
            <w:vAlign w:val="center"/>
          </w:tcPr>
          <w:p w14:paraId="5556D686" w14:textId="77777777" w:rsidR="00F925DD" w:rsidRDefault="00E705D7">
            <w:pPr>
              <w:textAlignment w:val="center"/>
              <w:rPr>
                <w:rFonts w:ascii="Times New Roman" w:hAnsi="Times New Roman"/>
                <w:sz w:val="14"/>
                <w:szCs w:val="14"/>
              </w:rPr>
            </w:pPr>
            <w:r>
              <w:rPr>
                <w:rFonts w:ascii="Arial" w:eastAsia="宋体" w:hAnsi="Arial" w:cs="Arial"/>
                <w:sz w:val="14"/>
                <w:szCs w:val="14"/>
              </w:rPr>
              <w:t>May 15, 2023</w:t>
            </w:r>
          </w:p>
        </w:tc>
        <w:tc>
          <w:tcPr>
            <w:tcW w:w="0" w:type="auto"/>
            <w:shd w:val="clear" w:color="auto" w:fill="CCEEFF"/>
            <w:tcMar>
              <w:top w:w="40" w:type="dxa"/>
              <w:left w:w="40" w:type="dxa"/>
              <w:bottom w:w="40" w:type="dxa"/>
              <w:right w:w="40" w:type="dxa"/>
            </w:tcMar>
            <w:vAlign w:val="bottom"/>
          </w:tcPr>
          <w:p w14:paraId="5556D6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688"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2.653</w:t>
            </w:r>
          </w:p>
        </w:tc>
        <w:tc>
          <w:tcPr>
            <w:tcW w:w="0" w:type="auto"/>
            <w:shd w:val="clear" w:color="auto" w:fill="CCEEFF"/>
            <w:tcMar>
              <w:top w:w="40" w:type="dxa"/>
              <w:bottom w:w="40" w:type="dxa"/>
              <w:right w:w="40" w:type="dxa"/>
            </w:tcMar>
            <w:vAlign w:val="center"/>
          </w:tcPr>
          <w:p w14:paraId="5556D689"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6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8B"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Fixed-to-floating rate senior notes</w:t>
            </w:r>
          </w:p>
        </w:tc>
        <w:tc>
          <w:tcPr>
            <w:tcW w:w="0" w:type="auto"/>
            <w:shd w:val="clear" w:color="auto" w:fill="CCEEFF"/>
            <w:tcMar>
              <w:top w:w="40" w:type="dxa"/>
              <w:left w:w="40" w:type="dxa"/>
              <w:bottom w:w="40" w:type="dxa"/>
              <w:right w:w="40" w:type="dxa"/>
            </w:tcMar>
            <w:vAlign w:val="bottom"/>
          </w:tcPr>
          <w:p w14:paraId="5556D6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8D" w14:textId="77777777" w:rsidR="00F925DD" w:rsidRDefault="00E705D7">
            <w:pPr>
              <w:textAlignment w:val="center"/>
              <w:rPr>
                <w:rFonts w:ascii="Times New Roman" w:hAnsi="Times New Roman"/>
                <w:sz w:val="14"/>
                <w:szCs w:val="14"/>
              </w:rPr>
            </w:pPr>
            <w:r>
              <w:rPr>
                <w:rFonts w:ascii="Arial" w:eastAsia="宋体" w:hAnsi="Arial" w:cs="Arial"/>
                <w:sz w:val="14"/>
                <w:szCs w:val="14"/>
              </w:rPr>
              <w:t>5/15; 11/15</w:t>
            </w:r>
            <w:r>
              <w:rPr>
                <w:rFonts w:ascii="Arial" w:eastAsia="宋体" w:hAnsi="Arial" w:cs="Arial"/>
                <w:sz w:val="10"/>
                <w:szCs w:val="10"/>
              </w:rPr>
              <w:t>(1)</w:t>
            </w:r>
          </w:p>
        </w:tc>
        <w:tc>
          <w:tcPr>
            <w:tcW w:w="0" w:type="auto"/>
            <w:shd w:val="clear" w:color="auto" w:fill="CCEEFF"/>
            <w:tcMar>
              <w:top w:w="40" w:type="dxa"/>
              <w:left w:w="40" w:type="dxa"/>
              <w:bottom w:w="40" w:type="dxa"/>
              <w:right w:w="40" w:type="dxa"/>
            </w:tcMar>
            <w:vAlign w:val="bottom"/>
          </w:tcPr>
          <w:p w14:paraId="5556D6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8F"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753</w:t>
            </w:r>
          </w:p>
        </w:tc>
        <w:tc>
          <w:tcPr>
            <w:tcW w:w="0" w:type="auto"/>
            <w:shd w:val="clear" w:color="auto" w:fill="CCEEFF"/>
            <w:vAlign w:val="bottom"/>
          </w:tcPr>
          <w:p w14:paraId="5556D69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6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92"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734</w:t>
            </w:r>
          </w:p>
        </w:tc>
        <w:tc>
          <w:tcPr>
            <w:tcW w:w="0" w:type="auto"/>
            <w:shd w:val="clear" w:color="auto" w:fill="CCEEFF"/>
            <w:vAlign w:val="bottom"/>
          </w:tcPr>
          <w:p w14:paraId="5556D693" w14:textId="77777777" w:rsidR="00F925DD" w:rsidRDefault="00F925DD">
            <w:pPr>
              <w:textAlignment w:val="bottom"/>
              <w:rPr>
                <w:rFonts w:ascii="Times New Roman" w:hAnsi="Times New Roman"/>
                <w:sz w:val="20"/>
                <w:szCs w:val="20"/>
              </w:rPr>
            </w:pPr>
          </w:p>
        </w:tc>
      </w:tr>
      <w:tr w:rsidR="00F925DD" w14:paraId="5556D6A5" w14:textId="77777777">
        <w:tc>
          <w:tcPr>
            <w:tcW w:w="0" w:type="auto"/>
            <w:shd w:val="clear" w:color="auto" w:fill="auto"/>
            <w:tcMar>
              <w:top w:w="40" w:type="dxa"/>
              <w:left w:w="240" w:type="dxa"/>
              <w:bottom w:w="40" w:type="dxa"/>
              <w:right w:w="40" w:type="dxa"/>
            </w:tcMar>
            <w:vAlign w:val="center"/>
          </w:tcPr>
          <w:p w14:paraId="5556D695" w14:textId="77777777" w:rsidR="00F925DD" w:rsidRDefault="00E705D7">
            <w:pPr>
              <w:textAlignment w:val="center"/>
              <w:rPr>
                <w:rFonts w:ascii="Times New Roman" w:hAnsi="Times New Roman"/>
                <w:sz w:val="14"/>
                <w:szCs w:val="14"/>
              </w:rPr>
            </w:pPr>
            <w:r>
              <w:rPr>
                <w:rFonts w:ascii="Arial" w:eastAsia="宋体" w:hAnsi="Arial" w:cs="Arial"/>
                <w:sz w:val="14"/>
                <w:szCs w:val="14"/>
              </w:rPr>
              <w:t>Ma</w:t>
            </w:r>
            <w:r>
              <w:rPr>
                <w:rFonts w:ascii="Arial" w:eastAsia="宋体" w:hAnsi="Arial" w:cs="Arial"/>
                <w:sz w:val="14"/>
                <w:szCs w:val="14"/>
              </w:rPr>
              <w:t>rch 7, 2011</w:t>
            </w:r>
          </w:p>
        </w:tc>
        <w:tc>
          <w:tcPr>
            <w:tcW w:w="0" w:type="auto"/>
            <w:shd w:val="clear" w:color="auto" w:fill="auto"/>
            <w:tcMar>
              <w:top w:w="40" w:type="dxa"/>
              <w:left w:w="40" w:type="dxa"/>
              <w:bottom w:w="40" w:type="dxa"/>
              <w:right w:w="40" w:type="dxa"/>
            </w:tcMar>
            <w:vAlign w:val="bottom"/>
          </w:tcPr>
          <w:p w14:paraId="5556D6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240" w:type="dxa"/>
              <w:bottom w:w="40" w:type="dxa"/>
              <w:right w:w="40" w:type="dxa"/>
            </w:tcMar>
            <w:vAlign w:val="center"/>
          </w:tcPr>
          <w:p w14:paraId="5556D697" w14:textId="77777777" w:rsidR="00F925DD" w:rsidRDefault="00E705D7">
            <w:pPr>
              <w:textAlignment w:val="center"/>
              <w:rPr>
                <w:rFonts w:ascii="Times New Roman" w:hAnsi="Times New Roman"/>
                <w:sz w:val="14"/>
                <w:szCs w:val="14"/>
              </w:rPr>
            </w:pPr>
            <w:r>
              <w:rPr>
                <w:rFonts w:ascii="Arial" w:eastAsia="宋体" w:hAnsi="Arial" w:cs="Arial"/>
                <w:sz w:val="14"/>
                <w:szCs w:val="14"/>
              </w:rPr>
              <w:t>March 7, 2021</w:t>
            </w:r>
          </w:p>
        </w:tc>
        <w:tc>
          <w:tcPr>
            <w:tcW w:w="0" w:type="auto"/>
            <w:shd w:val="clear" w:color="auto" w:fill="auto"/>
            <w:tcMar>
              <w:top w:w="40" w:type="dxa"/>
              <w:left w:w="40" w:type="dxa"/>
              <w:bottom w:w="40" w:type="dxa"/>
              <w:right w:w="40" w:type="dxa"/>
            </w:tcMar>
            <w:vAlign w:val="bottom"/>
          </w:tcPr>
          <w:p w14:paraId="5556D6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D699"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4.375</w:t>
            </w:r>
          </w:p>
        </w:tc>
        <w:tc>
          <w:tcPr>
            <w:tcW w:w="0" w:type="auto"/>
            <w:shd w:val="clear" w:color="auto" w:fill="auto"/>
            <w:tcMar>
              <w:top w:w="40" w:type="dxa"/>
              <w:bottom w:w="40" w:type="dxa"/>
              <w:right w:w="40" w:type="dxa"/>
            </w:tcMar>
            <w:vAlign w:val="center"/>
          </w:tcPr>
          <w:p w14:paraId="5556D69A"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6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9C"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Senior notes</w:t>
            </w:r>
          </w:p>
        </w:tc>
        <w:tc>
          <w:tcPr>
            <w:tcW w:w="0" w:type="auto"/>
            <w:shd w:val="clear" w:color="auto" w:fill="auto"/>
            <w:tcMar>
              <w:top w:w="40" w:type="dxa"/>
              <w:left w:w="40" w:type="dxa"/>
              <w:bottom w:w="40" w:type="dxa"/>
              <w:right w:w="40" w:type="dxa"/>
            </w:tcMar>
            <w:vAlign w:val="bottom"/>
          </w:tcPr>
          <w:p w14:paraId="5556D6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9E" w14:textId="77777777" w:rsidR="00F925DD" w:rsidRDefault="00E705D7">
            <w:pPr>
              <w:textAlignment w:val="center"/>
              <w:rPr>
                <w:rFonts w:ascii="Times New Roman" w:hAnsi="Times New Roman"/>
                <w:sz w:val="14"/>
                <w:szCs w:val="14"/>
              </w:rPr>
            </w:pPr>
            <w:r>
              <w:rPr>
                <w:rFonts w:ascii="Arial" w:eastAsia="宋体" w:hAnsi="Arial" w:cs="Arial"/>
                <w:sz w:val="14"/>
                <w:szCs w:val="14"/>
              </w:rPr>
              <w:t>3/7; 9/7</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bottom"/>
          </w:tcPr>
          <w:p w14:paraId="5556D6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A0"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748</w:t>
            </w:r>
          </w:p>
        </w:tc>
        <w:tc>
          <w:tcPr>
            <w:tcW w:w="0" w:type="auto"/>
            <w:shd w:val="clear" w:color="auto" w:fill="auto"/>
            <w:vAlign w:val="bottom"/>
          </w:tcPr>
          <w:p w14:paraId="5556D6A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6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A3"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731</w:t>
            </w:r>
          </w:p>
        </w:tc>
        <w:tc>
          <w:tcPr>
            <w:tcW w:w="0" w:type="auto"/>
            <w:shd w:val="clear" w:color="auto" w:fill="auto"/>
            <w:vAlign w:val="bottom"/>
          </w:tcPr>
          <w:p w14:paraId="5556D6A4" w14:textId="77777777" w:rsidR="00F925DD" w:rsidRDefault="00F925DD">
            <w:pPr>
              <w:textAlignment w:val="bottom"/>
              <w:rPr>
                <w:rFonts w:ascii="Times New Roman" w:hAnsi="Times New Roman"/>
                <w:sz w:val="20"/>
                <w:szCs w:val="20"/>
              </w:rPr>
            </w:pPr>
          </w:p>
        </w:tc>
      </w:tr>
      <w:tr w:rsidR="00F925DD" w14:paraId="5556D6B6" w14:textId="77777777">
        <w:tc>
          <w:tcPr>
            <w:tcW w:w="0" w:type="auto"/>
            <w:shd w:val="clear" w:color="auto" w:fill="CCEEFF"/>
            <w:tcMar>
              <w:top w:w="40" w:type="dxa"/>
              <w:left w:w="240" w:type="dxa"/>
              <w:bottom w:w="40" w:type="dxa"/>
              <w:right w:w="40" w:type="dxa"/>
            </w:tcMar>
            <w:vAlign w:val="center"/>
          </w:tcPr>
          <w:p w14:paraId="5556D6A6" w14:textId="77777777" w:rsidR="00F925DD" w:rsidRDefault="00E705D7">
            <w:pPr>
              <w:textAlignment w:val="center"/>
              <w:rPr>
                <w:rFonts w:ascii="Times New Roman" w:hAnsi="Times New Roman"/>
                <w:sz w:val="14"/>
                <w:szCs w:val="14"/>
              </w:rPr>
            </w:pPr>
            <w:r>
              <w:rPr>
                <w:rFonts w:ascii="Arial" w:eastAsia="宋体" w:hAnsi="Arial" w:cs="Arial"/>
                <w:sz w:val="14"/>
                <w:szCs w:val="14"/>
              </w:rPr>
              <w:t>Ma</w:t>
            </w:r>
            <w:r>
              <w:rPr>
                <w:rFonts w:ascii="Arial" w:eastAsia="宋体" w:hAnsi="Arial" w:cs="Arial"/>
                <w:sz w:val="14"/>
                <w:szCs w:val="14"/>
              </w:rPr>
              <w:t>y 19, 2016</w:t>
            </w:r>
          </w:p>
        </w:tc>
        <w:tc>
          <w:tcPr>
            <w:tcW w:w="0" w:type="auto"/>
            <w:shd w:val="clear" w:color="auto" w:fill="CCEEFF"/>
            <w:tcMar>
              <w:top w:w="40" w:type="dxa"/>
              <w:left w:w="40" w:type="dxa"/>
              <w:bottom w:w="40" w:type="dxa"/>
              <w:right w:w="40" w:type="dxa"/>
            </w:tcMar>
            <w:vAlign w:val="bottom"/>
          </w:tcPr>
          <w:p w14:paraId="5556D6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240" w:type="dxa"/>
              <w:bottom w:w="40" w:type="dxa"/>
              <w:right w:w="40" w:type="dxa"/>
            </w:tcMar>
            <w:vAlign w:val="center"/>
          </w:tcPr>
          <w:p w14:paraId="5556D6A8" w14:textId="77777777" w:rsidR="00F925DD" w:rsidRDefault="00E705D7">
            <w:pPr>
              <w:textAlignment w:val="center"/>
              <w:rPr>
                <w:rFonts w:ascii="Times New Roman" w:hAnsi="Times New Roman"/>
                <w:sz w:val="14"/>
                <w:szCs w:val="14"/>
              </w:rPr>
            </w:pPr>
            <w:r>
              <w:rPr>
                <w:rFonts w:ascii="Arial" w:eastAsia="宋体" w:hAnsi="Arial" w:cs="Arial"/>
                <w:sz w:val="14"/>
                <w:szCs w:val="14"/>
              </w:rPr>
              <w:t>May 19, 2021</w:t>
            </w:r>
          </w:p>
        </w:tc>
        <w:tc>
          <w:tcPr>
            <w:tcW w:w="0" w:type="auto"/>
            <w:shd w:val="clear" w:color="auto" w:fill="CCEEFF"/>
            <w:tcMar>
              <w:top w:w="40" w:type="dxa"/>
              <w:left w:w="40" w:type="dxa"/>
              <w:bottom w:w="40" w:type="dxa"/>
              <w:right w:w="40" w:type="dxa"/>
            </w:tcMar>
            <w:vAlign w:val="bottom"/>
          </w:tcPr>
          <w:p w14:paraId="5556D6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6AA"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1.95</w:t>
            </w:r>
          </w:p>
        </w:tc>
        <w:tc>
          <w:tcPr>
            <w:tcW w:w="0" w:type="auto"/>
            <w:shd w:val="clear" w:color="auto" w:fill="CCEEFF"/>
            <w:tcMar>
              <w:top w:w="40" w:type="dxa"/>
              <w:bottom w:w="40" w:type="dxa"/>
              <w:right w:w="40" w:type="dxa"/>
            </w:tcMar>
            <w:vAlign w:val="center"/>
          </w:tcPr>
          <w:p w14:paraId="5556D6AB"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6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AD"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Senior notes</w:t>
            </w:r>
          </w:p>
        </w:tc>
        <w:tc>
          <w:tcPr>
            <w:tcW w:w="0" w:type="auto"/>
            <w:shd w:val="clear" w:color="auto" w:fill="CCEEFF"/>
            <w:tcMar>
              <w:top w:w="40" w:type="dxa"/>
              <w:left w:w="40" w:type="dxa"/>
              <w:bottom w:w="40" w:type="dxa"/>
              <w:right w:w="40" w:type="dxa"/>
            </w:tcMar>
            <w:vAlign w:val="bottom"/>
          </w:tcPr>
          <w:p w14:paraId="5556D6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AF" w14:textId="77777777" w:rsidR="00F925DD" w:rsidRDefault="00E705D7">
            <w:pPr>
              <w:textAlignment w:val="center"/>
              <w:rPr>
                <w:rFonts w:ascii="Times New Roman" w:hAnsi="Times New Roman"/>
                <w:sz w:val="14"/>
                <w:szCs w:val="14"/>
              </w:rPr>
            </w:pPr>
            <w:r>
              <w:rPr>
                <w:rFonts w:ascii="Arial" w:eastAsia="宋体" w:hAnsi="Arial" w:cs="Arial"/>
                <w:sz w:val="14"/>
                <w:szCs w:val="14"/>
              </w:rPr>
              <w:t>5/19; 11/19</w:t>
            </w:r>
            <w:r>
              <w:rPr>
                <w:rFonts w:ascii="Arial" w:eastAsia="宋体" w:hAnsi="Arial" w:cs="Arial"/>
                <w:sz w:val="10"/>
                <w:szCs w:val="10"/>
              </w:rPr>
              <w:t>(1)</w:t>
            </w:r>
          </w:p>
        </w:tc>
        <w:tc>
          <w:tcPr>
            <w:tcW w:w="0" w:type="auto"/>
            <w:shd w:val="clear" w:color="auto" w:fill="CCEEFF"/>
            <w:tcMar>
              <w:top w:w="40" w:type="dxa"/>
              <w:left w:w="40" w:type="dxa"/>
              <w:bottom w:w="40" w:type="dxa"/>
              <w:right w:w="40" w:type="dxa"/>
            </w:tcMar>
            <w:vAlign w:val="bottom"/>
          </w:tcPr>
          <w:p w14:paraId="5556D6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B1"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744</w:t>
            </w:r>
          </w:p>
        </w:tc>
        <w:tc>
          <w:tcPr>
            <w:tcW w:w="0" w:type="auto"/>
            <w:shd w:val="clear" w:color="auto" w:fill="CCEEFF"/>
            <w:vAlign w:val="bottom"/>
          </w:tcPr>
          <w:p w14:paraId="5556D6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6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B4"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725</w:t>
            </w:r>
          </w:p>
        </w:tc>
        <w:tc>
          <w:tcPr>
            <w:tcW w:w="0" w:type="auto"/>
            <w:shd w:val="clear" w:color="auto" w:fill="CCEEFF"/>
            <w:vAlign w:val="bottom"/>
          </w:tcPr>
          <w:p w14:paraId="5556D6B5" w14:textId="77777777" w:rsidR="00F925DD" w:rsidRDefault="00F925DD">
            <w:pPr>
              <w:textAlignment w:val="bottom"/>
              <w:rPr>
                <w:rFonts w:ascii="Times New Roman" w:hAnsi="Times New Roman"/>
                <w:sz w:val="20"/>
                <w:szCs w:val="20"/>
              </w:rPr>
            </w:pPr>
          </w:p>
        </w:tc>
      </w:tr>
      <w:tr w:rsidR="00F925DD" w14:paraId="5556D6C7" w14:textId="77777777">
        <w:tc>
          <w:tcPr>
            <w:tcW w:w="0" w:type="auto"/>
            <w:shd w:val="clear" w:color="auto" w:fill="auto"/>
            <w:tcMar>
              <w:top w:w="40" w:type="dxa"/>
              <w:left w:w="240" w:type="dxa"/>
              <w:bottom w:w="40" w:type="dxa"/>
              <w:right w:w="40" w:type="dxa"/>
            </w:tcMar>
            <w:vAlign w:val="center"/>
          </w:tcPr>
          <w:p w14:paraId="5556D6B7" w14:textId="77777777" w:rsidR="00F925DD" w:rsidRDefault="00E705D7">
            <w:pPr>
              <w:textAlignment w:val="center"/>
              <w:rPr>
                <w:rFonts w:ascii="Times New Roman" w:hAnsi="Times New Roman"/>
                <w:sz w:val="14"/>
                <w:szCs w:val="14"/>
              </w:rPr>
            </w:pPr>
            <w:r>
              <w:rPr>
                <w:rFonts w:ascii="Arial" w:eastAsia="宋体" w:hAnsi="Arial" w:cs="Arial"/>
                <w:sz w:val="14"/>
                <w:szCs w:val="14"/>
              </w:rPr>
              <w:t>May 19, 2016</w:t>
            </w:r>
          </w:p>
        </w:tc>
        <w:tc>
          <w:tcPr>
            <w:tcW w:w="0" w:type="auto"/>
            <w:shd w:val="clear" w:color="auto" w:fill="auto"/>
            <w:tcMar>
              <w:top w:w="40" w:type="dxa"/>
              <w:left w:w="40" w:type="dxa"/>
              <w:bottom w:w="40" w:type="dxa"/>
              <w:right w:w="40" w:type="dxa"/>
            </w:tcMar>
            <w:vAlign w:val="bottom"/>
          </w:tcPr>
          <w:p w14:paraId="5556D6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240" w:type="dxa"/>
              <w:bottom w:w="40" w:type="dxa"/>
              <w:right w:w="40" w:type="dxa"/>
            </w:tcMar>
            <w:vAlign w:val="center"/>
          </w:tcPr>
          <w:p w14:paraId="5556D6B9" w14:textId="77777777" w:rsidR="00F925DD" w:rsidRDefault="00E705D7">
            <w:pPr>
              <w:textAlignment w:val="center"/>
              <w:rPr>
                <w:rFonts w:ascii="Times New Roman" w:hAnsi="Times New Roman"/>
                <w:sz w:val="14"/>
                <w:szCs w:val="14"/>
              </w:rPr>
            </w:pPr>
            <w:r>
              <w:rPr>
                <w:rFonts w:ascii="Arial" w:eastAsia="宋体" w:hAnsi="Arial" w:cs="Arial"/>
                <w:sz w:val="14"/>
                <w:szCs w:val="14"/>
              </w:rPr>
              <w:t>May 19, 2026</w:t>
            </w:r>
          </w:p>
        </w:tc>
        <w:tc>
          <w:tcPr>
            <w:tcW w:w="0" w:type="auto"/>
            <w:shd w:val="clear" w:color="auto" w:fill="auto"/>
            <w:tcMar>
              <w:top w:w="40" w:type="dxa"/>
              <w:left w:w="40" w:type="dxa"/>
              <w:bottom w:w="40" w:type="dxa"/>
              <w:right w:w="40" w:type="dxa"/>
            </w:tcMar>
            <w:vAlign w:val="bottom"/>
          </w:tcPr>
          <w:p w14:paraId="5556D6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D6BB"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2.65</w:t>
            </w:r>
          </w:p>
        </w:tc>
        <w:tc>
          <w:tcPr>
            <w:tcW w:w="0" w:type="auto"/>
            <w:shd w:val="clear" w:color="auto" w:fill="auto"/>
            <w:tcMar>
              <w:top w:w="40" w:type="dxa"/>
              <w:bottom w:w="40" w:type="dxa"/>
              <w:right w:w="40" w:type="dxa"/>
            </w:tcMar>
            <w:vAlign w:val="center"/>
          </w:tcPr>
          <w:p w14:paraId="5556D6BC"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6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BE"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Senior notes</w:t>
            </w:r>
          </w:p>
        </w:tc>
        <w:tc>
          <w:tcPr>
            <w:tcW w:w="0" w:type="auto"/>
            <w:shd w:val="clear" w:color="auto" w:fill="auto"/>
            <w:tcMar>
              <w:top w:w="40" w:type="dxa"/>
              <w:left w:w="40" w:type="dxa"/>
              <w:bottom w:w="40" w:type="dxa"/>
              <w:right w:w="40" w:type="dxa"/>
            </w:tcMar>
            <w:vAlign w:val="bottom"/>
          </w:tcPr>
          <w:p w14:paraId="5556D6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C0" w14:textId="77777777" w:rsidR="00F925DD" w:rsidRDefault="00E705D7">
            <w:pPr>
              <w:textAlignment w:val="center"/>
              <w:rPr>
                <w:rFonts w:ascii="Times New Roman" w:hAnsi="Times New Roman"/>
                <w:sz w:val="14"/>
                <w:szCs w:val="14"/>
              </w:rPr>
            </w:pPr>
            <w:r>
              <w:rPr>
                <w:rFonts w:ascii="Arial" w:eastAsia="宋体" w:hAnsi="Arial" w:cs="Arial"/>
                <w:sz w:val="14"/>
                <w:szCs w:val="14"/>
              </w:rPr>
              <w:t>5/19; 11/19</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bottom"/>
          </w:tcPr>
          <w:p w14:paraId="5556D6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C2"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741</w:t>
            </w:r>
          </w:p>
        </w:tc>
        <w:tc>
          <w:tcPr>
            <w:tcW w:w="0" w:type="auto"/>
            <w:shd w:val="clear" w:color="auto" w:fill="auto"/>
            <w:vAlign w:val="bottom"/>
          </w:tcPr>
          <w:p w14:paraId="5556D6C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6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C5"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698</w:t>
            </w:r>
          </w:p>
        </w:tc>
        <w:tc>
          <w:tcPr>
            <w:tcW w:w="0" w:type="auto"/>
            <w:shd w:val="clear" w:color="auto" w:fill="auto"/>
            <w:vAlign w:val="bottom"/>
          </w:tcPr>
          <w:p w14:paraId="5556D6C6" w14:textId="77777777" w:rsidR="00F925DD" w:rsidRDefault="00F925DD">
            <w:pPr>
              <w:textAlignment w:val="bottom"/>
              <w:rPr>
                <w:rFonts w:ascii="Times New Roman" w:hAnsi="Times New Roman"/>
                <w:sz w:val="20"/>
                <w:szCs w:val="20"/>
              </w:rPr>
            </w:pPr>
          </w:p>
        </w:tc>
      </w:tr>
      <w:tr w:rsidR="00F925DD" w14:paraId="5556D6D8" w14:textId="77777777">
        <w:tc>
          <w:tcPr>
            <w:tcW w:w="0" w:type="auto"/>
            <w:shd w:val="clear" w:color="auto" w:fill="CCEEFF"/>
            <w:tcMar>
              <w:top w:w="40" w:type="dxa"/>
              <w:left w:w="240" w:type="dxa"/>
              <w:bottom w:w="40" w:type="dxa"/>
              <w:right w:w="40" w:type="dxa"/>
            </w:tcMar>
            <w:vAlign w:val="center"/>
          </w:tcPr>
          <w:p w14:paraId="5556D6C8" w14:textId="77777777" w:rsidR="00F925DD" w:rsidRDefault="00E705D7">
            <w:pPr>
              <w:textAlignment w:val="center"/>
              <w:rPr>
                <w:rFonts w:ascii="Times New Roman" w:hAnsi="Times New Roman"/>
                <w:sz w:val="14"/>
                <w:szCs w:val="14"/>
              </w:rPr>
            </w:pPr>
            <w:r>
              <w:rPr>
                <w:rFonts w:ascii="Arial" w:eastAsia="宋体" w:hAnsi="Arial" w:cs="Arial"/>
                <w:sz w:val="14"/>
                <w:szCs w:val="14"/>
              </w:rPr>
              <w:t>December 3, 2018</w:t>
            </w:r>
          </w:p>
        </w:tc>
        <w:tc>
          <w:tcPr>
            <w:tcW w:w="0" w:type="auto"/>
            <w:shd w:val="clear" w:color="auto" w:fill="CCEEFF"/>
            <w:tcMar>
              <w:top w:w="40" w:type="dxa"/>
              <w:left w:w="40" w:type="dxa"/>
              <w:bottom w:w="40" w:type="dxa"/>
              <w:right w:w="40" w:type="dxa"/>
            </w:tcMar>
            <w:vAlign w:val="bottom"/>
          </w:tcPr>
          <w:p w14:paraId="5556D6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240" w:type="dxa"/>
              <w:bottom w:w="40" w:type="dxa"/>
              <w:right w:w="40" w:type="dxa"/>
            </w:tcMar>
            <w:vAlign w:val="center"/>
          </w:tcPr>
          <w:p w14:paraId="5556D6CA" w14:textId="77777777" w:rsidR="00F925DD" w:rsidRDefault="00E705D7">
            <w:pPr>
              <w:textAlignment w:val="center"/>
              <w:rPr>
                <w:rFonts w:ascii="Times New Roman" w:hAnsi="Times New Roman"/>
                <w:sz w:val="14"/>
                <w:szCs w:val="14"/>
              </w:rPr>
            </w:pPr>
            <w:r>
              <w:rPr>
                <w:rFonts w:ascii="Arial" w:eastAsia="宋体" w:hAnsi="Arial" w:cs="Arial"/>
                <w:sz w:val="14"/>
                <w:szCs w:val="14"/>
              </w:rPr>
              <w:t>December 3, 2029</w:t>
            </w:r>
          </w:p>
        </w:tc>
        <w:tc>
          <w:tcPr>
            <w:tcW w:w="0" w:type="auto"/>
            <w:shd w:val="clear" w:color="auto" w:fill="CCEEFF"/>
            <w:tcMar>
              <w:top w:w="40" w:type="dxa"/>
              <w:left w:w="40" w:type="dxa"/>
              <w:bottom w:w="40" w:type="dxa"/>
              <w:right w:w="40" w:type="dxa"/>
            </w:tcMar>
            <w:vAlign w:val="bottom"/>
          </w:tcPr>
          <w:p w14:paraId="5556D6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6CC"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4.141</w:t>
            </w:r>
          </w:p>
        </w:tc>
        <w:tc>
          <w:tcPr>
            <w:tcW w:w="0" w:type="auto"/>
            <w:shd w:val="clear" w:color="auto" w:fill="CCEEFF"/>
            <w:tcMar>
              <w:top w:w="40" w:type="dxa"/>
              <w:bottom w:w="40" w:type="dxa"/>
              <w:right w:w="40" w:type="dxa"/>
            </w:tcMar>
            <w:vAlign w:val="center"/>
          </w:tcPr>
          <w:p w14:paraId="5556D6CD"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6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CF"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Fixed-to-floating rate senior notes</w:t>
            </w:r>
          </w:p>
        </w:tc>
        <w:tc>
          <w:tcPr>
            <w:tcW w:w="0" w:type="auto"/>
            <w:shd w:val="clear" w:color="auto" w:fill="CCEEFF"/>
            <w:tcMar>
              <w:top w:w="40" w:type="dxa"/>
              <w:left w:w="40" w:type="dxa"/>
              <w:bottom w:w="40" w:type="dxa"/>
              <w:right w:w="40" w:type="dxa"/>
            </w:tcMar>
            <w:vAlign w:val="bottom"/>
          </w:tcPr>
          <w:p w14:paraId="5556D6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D1" w14:textId="77777777" w:rsidR="00F925DD" w:rsidRDefault="00E705D7">
            <w:pPr>
              <w:textAlignment w:val="center"/>
              <w:rPr>
                <w:rFonts w:ascii="Times New Roman" w:hAnsi="Times New Roman"/>
                <w:sz w:val="14"/>
                <w:szCs w:val="14"/>
              </w:rPr>
            </w:pPr>
            <w:r>
              <w:rPr>
                <w:rFonts w:ascii="Arial" w:eastAsia="宋体" w:hAnsi="Arial" w:cs="Arial"/>
                <w:sz w:val="14"/>
                <w:szCs w:val="14"/>
              </w:rPr>
              <w:t>6/3; 12/3</w:t>
            </w:r>
            <w:r>
              <w:rPr>
                <w:rFonts w:ascii="Arial" w:eastAsia="宋体" w:hAnsi="Arial" w:cs="Arial"/>
                <w:sz w:val="10"/>
                <w:szCs w:val="10"/>
              </w:rPr>
              <w:t>(1)</w:t>
            </w:r>
          </w:p>
        </w:tc>
        <w:tc>
          <w:tcPr>
            <w:tcW w:w="0" w:type="auto"/>
            <w:shd w:val="clear" w:color="auto" w:fill="CCEEFF"/>
            <w:tcMar>
              <w:top w:w="40" w:type="dxa"/>
              <w:left w:w="40" w:type="dxa"/>
              <w:bottom w:w="40" w:type="dxa"/>
              <w:right w:w="40" w:type="dxa"/>
            </w:tcMar>
            <w:vAlign w:val="bottom"/>
          </w:tcPr>
          <w:p w14:paraId="5556D6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D3"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546</w:t>
            </w:r>
          </w:p>
        </w:tc>
        <w:tc>
          <w:tcPr>
            <w:tcW w:w="0" w:type="auto"/>
            <w:shd w:val="clear" w:color="auto" w:fill="CCEEFF"/>
            <w:vAlign w:val="bottom"/>
          </w:tcPr>
          <w:p w14:paraId="5556D6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6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D6"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513</w:t>
            </w:r>
          </w:p>
        </w:tc>
        <w:tc>
          <w:tcPr>
            <w:tcW w:w="0" w:type="auto"/>
            <w:shd w:val="clear" w:color="auto" w:fill="CCEEFF"/>
            <w:vAlign w:val="bottom"/>
          </w:tcPr>
          <w:p w14:paraId="5556D6D7" w14:textId="77777777" w:rsidR="00F925DD" w:rsidRDefault="00F925DD">
            <w:pPr>
              <w:textAlignment w:val="bottom"/>
              <w:rPr>
                <w:rFonts w:ascii="Times New Roman" w:hAnsi="Times New Roman"/>
                <w:sz w:val="20"/>
                <w:szCs w:val="20"/>
              </w:rPr>
            </w:pPr>
          </w:p>
        </w:tc>
      </w:tr>
      <w:tr w:rsidR="00F925DD" w14:paraId="5556D6E9" w14:textId="77777777">
        <w:tc>
          <w:tcPr>
            <w:tcW w:w="0" w:type="auto"/>
            <w:shd w:val="clear" w:color="auto" w:fill="auto"/>
            <w:tcMar>
              <w:top w:w="40" w:type="dxa"/>
              <w:left w:w="240" w:type="dxa"/>
              <w:bottom w:w="40" w:type="dxa"/>
              <w:right w:w="40" w:type="dxa"/>
            </w:tcMar>
            <w:vAlign w:val="center"/>
          </w:tcPr>
          <w:p w14:paraId="5556D6D9" w14:textId="77777777" w:rsidR="00F925DD" w:rsidRDefault="00E705D7">
            <w:pPr>
              <w:textAlignment w:val="center"/>
              <w:rPr>
                <w:rFonts w:ascii="Times New Roman" w:hAnsi="Times New Roman"/>
                <w:sz w:val="14"/>
                <w:szCs w:val="14"/>
              </w:rPr>
            </w:pPr>
            <w:r>
              <w:rPr>
                <w:rFonts w:ascii="Arial" w:eastAsia="宋体" w:hAnsi="Arial" w:cs="Arial"/>
                <w:sz w:val="14"/>
                <w:szCs w:val="14"/>
              </w:rPr>
              <w:t>De</w:t>
            </w:r>
            <w:r>
              <w:rPr>
                <w:rFonts w:ascii="Arial" w:eastAsia="宋体" w:hAnsi="Arial" w:cs="Arial"/>
                <w:sz w:val="14"/>
                <w:szCs w:val="14"/>
              </w:rPr>
              <w:t>cember 3, 2018</w:t>
            </w:r>
          </w:p>
        </w:tc>
        <w:tc>
          <w:tcPr>
            <w:tcW w:w="0" w:type="auto"/>
            <w:shd w:val="clear" w:color="auto" w:fill="auto"/>
            <w:tcMar>
              <w:top w:w="40" w:type="dxa"/>
              <w:left w:w="40" w:type="dxa"/>
              <w:bottom w:w="40" w:type="dxa"/>
              <w:right w:w="40" w:type="dxa"/>
            </w:tcMar>
            <w:vAlign w:val="bottom"/>
          </w:tcPr>
          <w:p w14:paraId="5556D6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240" w:type="dxa"/>
              <w:bottom w:w="40" w:type="dxa"/>
              <w:right w:w="40" w:type="dxa"/>
            </w:tcMar>
            <w:vAlign w:val="center"/>
          </w:tcPr>
          <w:p w14:paraId="5556D6DB" w14:textId="77777777" w:rsidR="00F925DD" w:rsidRDefault="00E705D7">
            <w:pPr>
              <w:textAlignment w:val="center"/>
              <w:rPr>
                <w:rFonts w:ascii="Times New Roman" w:hAnsi="Times New Roman"/>
                <w:sz w:val="14"/>
                <w:szCs w:val="14"/>
              </w:rPr>
            </w:pPr>
            <w:r>
              <w:rPr>
                <w:rFonts w:ascii="Arial" w:eastAsia="宋体" w:hAnsi="Arial" w:cs="Arial"/>
                <w:sz w:val="14"/>
                <w:szCs w:val="14"/>
              </w:rPr>
              <w:t>December 3, 2024</w:t>
            </w:r>
          </w:p>
        </w:tc>
        <w:tc>
          <w:tcPr>
            <w:tcW w:w="0" w:type="auto"/>
            <w:shd w:val="clear" w:color="auto" w:fill="auto"/>
            <w:tcMar>
              <w:top w:w="40" w:type="dxa"/>
              <w:left w:w="40" w:type="dxa"/>
              <w:bottom w:w="40" w:type="dxa"/>
              <w:right w:w="40" w:type="dxa"/>
            </w:tcMar>
            <w:vAlign w:val="bottom"/>
          </w:tcPr>
          <w:p w14:paraId="5556D6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D6DD"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3.776</w:t>
            </w:r>
          </w:p>
        </w:tc>
        <w:tc>
          <w:tcPr>
            <w:tcW w:w="0" w:type="auto"/>
            <w:shd w:val="clear" w:color="auto" w:fill="auto"/>
            <w:tcMar>
              <w:top w:w="40" w:type="dxa"/>
              <w:bottom w:w="40" w:type="dxa"/>
              <w:right w:w="40" w:type="dxa"/>
            </w:tcMar>
            <w:vAlign w:val="center"/>
          </w:tcPr>
          <w:p w14:paraId="5556D6DE"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6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E0"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Fixed-to-floating rate senior notes</w:t>
            </w:r>
          </w:p>
        </w:tc>
        <w:tc>
          <w:tcPr>
            <w:tcW w:w="0" w:type="auto"/>
            <w:shd w:val="clear" w:color="auto" w:fill="auto"/>
            <w:tcMar>
              <w:top w:w="40" w:type="dxa"/>
              <w:left w:w="40" w:type="dxa"/>
              <w:bottom w:w="40" w:type="dxa"/>
              <w:right w:w="40" w:type="dxa"/>
            </w:tcMar>
            <w:vAlign w:val="bottom"/>
          </w:tcPr>
          <w:p w14:paraId="5556D6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6E2" w14:textId="77777777" w:rsidR="00F925DD" w:rsidRDefault="00E705D7">
            <w:pPr>
              <w:textAlignment w:val="center"/>
              <w:rPr>
                <w:rFonts w:ascii="Times New Roman" w:hAnsi="Times New Roman"/>
                <w:sz w:val="14"/>
                <w:szCs w:val="14"/>
              </w:rPr>
            </w:pPr>
            <w:r>
              <w:rPr>
                <w:rFonts w:ascii="Arial" w:eastAsia="宋体" w:hAnsi="Arial" w:cs="Arial"/>
                <w:sz w:val="14"/>
                <w:szCs w:val="14"/>
              </w:rPr>
              <w:t>6/3; 12/3</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bottom"/>
          </w:tcPr>
          <w:p w14:paraId="5556D6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E4"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522</w:t>
            </w:r>
          </w:p>
        </w:tc>
        <w:tc>
          <w:tcPr>
            <w:tcW w:w="0" w:type="auto"/>
            <w:shd w:val="clear" w:color="auto" w:fill="auto"/>
            <w:vAlign w:val="bottom"/>
          </w:tcPr>
          <w:p w14:paraId="5556D6E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6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6E7"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507</w:t>
            </w:r>
          </w:p>
        </w:tc>
        <w:tc>
          <w:tcPr>
            <w:tcW w:w="0" w:type="auto"/>
            <w:shd w:val="clear" w:color="auto" w:fill="auto"/>
            <w:vAlign w:val="bottom"/>
          </w:tcPr>
          <w:p w14:paraId="5556D6E8" w14:textId="77777777" w:rsidR="00F925DD" w:rsidRDefault="00F925DD">
            <w:pPr>
              <w:textAlignment w:val="bottom"/>
              <w:rPr>
                <w:rFonts w:ascii="Times New Roman" w:hAnsi="Times New Roman"/>
                <w:sz w:val="20"/>
                <w:szCs w:val="20"/>
              </w:rPr>
            </w:pPr>
          </w:p>
        </w:tc>
      </w:tr>
      <w:tr w:rsidR="00F925DD" w14:paraId="5556D6FA" w14:textId="77777777">
        <w:tc>
          <w:tcPr>
            <w:tcW w:w="0" w:type="auto"/>
            <w:shd w:val="clear" w:color="auto" w:fill="CCEEFF"/>
            <w:tcMar>
              <w:top w:w="40" w:type="dxa"/>
              <w:left w:w="240" w:type="dxa"/>
              <w:bottom w:w="40" w:type="dxa"/>
              <w:right w:w="40" w:type="dxa"/>
            </w:tcMar>
            <w:vAlign w:val="center"/>
          </w:tcPr>
          <w:p w14:paraId="5556D6EA" w14:textId="77777777" w:rsidR="00F925DD" w:rsidRDefault="00E705D7">
            <w:pPr>
              <w:textAlignment w:val="center"/>
              <w:rPr>
                <w:rFonts w:ascii="Times New Roman" w:hAnsi="Times New Roman"/>
                <w:sz w:val="14"/>
                <w:szCs w:val="14"/>
              </w:rPr>
            </w:pPr>
            <w:r>
              <w:rPr>
                <w:rFonts w:ascii="Arial" w:eastAsia="宋体" w:hAnsi="Arial" w:cs="Arial"/>
                <w:sz w:val="14"/>
                <w:szCs w:val="14"/>
              </w:rPr>
              <w:t>Au</w:t>
            </w:r>
            <w:r>
              <w:rPr>
                <w:rFonts w:ascii="Arial" w:eastAsia="宋体" w:hAnsi="Arial" w:cs="Arial"/>
                <w:sz w:val="14"/>
                <w:szCs w:val="14"/>
              </w:rPr>
              <w:t>gust 18, 2015</w:t>
            </w:r>
          </w:p>
        </w:tc>
        <w:tc>
          <w:tcPr>
            <w:tcW w:w="0" w:type="auto"/>
            <w:shd w:val="clear" w:color="auto" w:fill="CCEEFF"/>
            <w:tcMar>
              <w:top w:w="40" w:type="dxa"/>
              <w:left w:w="40" w:type="dxa"/>
              <w:bottom w:w="40" w:type="dxa"/>
              <w:right w:w="40" w:type="dxa"/>
            </w:tcMar>
            <w:vAlign w:val="bottom"/>
          </w:tcPr>
          <w:p w14:paraId="5556D6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240" w:type="dxa"/>
              <w:bottom w:w="40" w:type="dxa"/>
              <w:right w:w="40" w:type="dxa"/>
            </w:tcMar>
            <w:vAlign w:val="center"/>
          </w:tcPr>
          <w:p w14:paraId="5556D6EC" w14:textId="77777777" w:rsidR="00F925DD" w:rsidRDefault="00E705D7">
            <w:pPr>
              <w:textAlignment w:val="center"/>
              <w:rPr>
                <w:rFonts w:ascii="Times New Roman" w:hAnsi="Times New Roman"/>
                <w:sz w:val="14"/>
                <w:szCs w:val="14"/>
              </w:rPr>
            </w:pPr>
            <w:r>
              <w:rPr>
                <w:rFonts w:ascii="Arial" w:eastAsia="宋体" w:hAnsi="Arial" w:cs="Arial"/>
                <w:sz w:val="14"/>
                <w:szCs w:val="14"/>
              </w:rPr>
              <w:t>August 18, 2020</w:t>
            </w:r>
          </w:p>
        </w:tc>
        <w:tc>
          <w:tcPr>
            <w:tcW w:w="0" w:type="auto"/>
            <w:shd w:val="clear" w:color="auto" w:fill="CCEEFF"/>
            <w:tcMar>
              <w:top w:w="40" w:type="dxa"/>
              <w:left w:w="40" w:type="dxa"/>
              <w:bottom w:w="40" w:type="dxa"/>
              <w:right w:w="40" w:type="dxa"/>
            </w:tcMar>
            <w:vAlign w:val="bottom"/>
          </w:tcPr>
          <w:p w14:paraId="5556D6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6EE"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Floating-rate</w:t>
            </w:r>
          </w:p>
        </w:tc>
        <w:tc>
          <w:tcPr>
            <w:tcW w:w="0" w:type="auto"/>
            <w:shd w:val="clear" w:color="auto" w:fill="CCEEFF"/>
            <w:vAlign w:val="bottom"/>
          </w:tcPr>
          <w:p w14:paraId="5556D6E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6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F1"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Senior notes</w:t>
            </w:r>
          </w:p>
        </w:tc>
        <w:tc>
          <w:tcPr>
            <w:tcW w:w="0" w:type="auto"/>
            <w:shd w:val="clear" w:color="auto" w:fill="CCEEFF"/>
            <w:tcMar>
              <w:top w:w="40" w:type="dxa"/>
              <w:left w:w="40" w:type="dxa"/>
              <w:bottom w:w="40" w:type="dxa"/>
              <w:right w:w="40" w:type="dxa"/>
            </w:tcMar>
            <w:vAlign w:val="bottom"/>
          </w:tcPr>
          <w:p w14:paraId="5556D6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6F3" w14:textId="77777777" w:rsidR="00F925DD" w:rsidRDefault="00E705D7">
            <w:pPr>
              <w:textAlignment w:val="center"/>
              <w:rPr>
                <w:rFonts w:ascii="Times New Roman" w:hAnsi="Times New Roman"/>
                <w:sz w:val="14"/>
                <w:szCs w:val="14"/>
              </w:rPr>
            </w:pPr>
            <w:r>
              <w:rPr>
                <w:rFonts w:ascii="Arial" w:eastAsia="宋体" w:hAnsi="Arial" w:cs="Arial"/>
                <w:sz w:val="14"/>
                <w:szCs w:val="14"/>
              </w:rPr>
              <w:t>2/18; 5/18; 8/18; 11/18</w:t>
            </w:r>
          </w:p>
        </w:tc>
        <w:tc>
          <w:tcPr>
            <w:tcW w:w="0" w:type="auto"/>
            <w:shd w:val="clear" w:color="auto" w:fill="CCEEFF"/>
            <w:tcMar>
              <w:top w:w="40" w:type="dxa"/>
              <w:left w:w="40" w:type="dxa"/>
              <w:bottom w:w="40" w:type="dxa"/>
              <w:right w:w="40" w:type="dxa"/>
            </w:tcMar>
            <w:vAlign w:val="bottom"/>
          </w:tcPr>
          <w:p w14:paraId="5556D6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F5"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500</w:t>
            </w:r>
          </w:p>
        </w:tc>
        <w:tc>
          <w:tcPr>
            <w:tcW w:w="0" w:type="auto"/>
            <w:shd w:val="clear" w:color="auto" w:fill="CCEEFF"/>
            <w:vAlign w:val="bottom"/>
          </w:tcPr>
          <w:p w14:paraId="5556D6F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6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6F8"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499</w:t>
            </w:r>
          </w:p>
        </w:tc>
        <w:tc>
          <w:tcPr>
            <w:tcW w:w="0" w:type="auto"/>
            <w:shd w:val="clear" w:color="auto" w:fill="CCEEFF"/>
            <w:vAlign w:val="bottom"/>
          </w:tcPr>
          <w:p w14:paraId="5556D6F9" w14:textId="77777777" w:rsidR="00F925DD" w:rsidRDefault="00F925DD">
            <w:pPr>
              <w:textAlignment w:val="bottom"/>
              <w:rPr>
                <w:rFonts w:ascii="Times New Roman" w:hAnsi="Times New Roman"/>
                <w:sz w:val="20"/>
                <w:szCs w:val="20"/>
              </w:rPr>
            </w:pPr>
          </w:p>
        </w:tc>
      </w:tr>
      <w:tr w:rsidR="00F925DD" w14:paraId="5556D70B" w14:textId="77777777">
        <w:tc>
          <w:tcPr>
            <w:tcW w:w="0" w:type="auto"/>
            <w:shd w:val="clear" w:color="auto" w:fill="auto"/>
            <w:tcMar>
              <w:top w:w="40" w:type="dxa"/>
              <w:left w:w="240" w:type="dxa"/>
              <w:bottom w:w="40" w:type="dxa"/>
              <w:right w:w="40" w:type="dxa"/>
            </w:tcMar>
            <w:vAlign w:val="center"/>
          </w:tcPr>
          <w:p w14:paraId="5556D6FB" w14:textId="77777777" w:rsidR="00F925DD" w:rsidRDefault="00E705D7">
            <w:pPr>
              <w:textAlignment w:val="center"/>
              <w:rPr>
                <w:rFonts w:ascii="Times New Roman" w:hAnsi="Times New Roman"/>
                <w:sz w:val="14"/>
                <w:szCs w:val="14"/>
              </w:rPr>
            </w:pPr>
            <w:r>
              <w:rPr>
                <w:rFonts w:ascii="Arial" w:eastAsia="宋体" w:hAnsi="Arial" w:cs="Arial"/>
                <w:sz w:val="14"/>
                <w:szCs w:val="14"/>
              </w:rPr>
              <w:t xml:space="preserve">April </w:t>
            </w:r>
            <w:r>
              <w:rPr>
                <w:rFonts w:ascii="Arial" w:eastAsia="宋体" w:hAnsi="Arial" w:cs="Arial"/>
                <w:sz w:val="14"/>
                <w:szCs w:val="14"/>
              </w:rPr>
              <w:t>30, 2007</w:t>
            </w:r>
          </w:p>
        </w:tc>
        <w:tc>
          <w:tcPr>
            <w:tcW w:w="0" w:type="auto"/>
            <w:shd w:val="clear" w:color="auto" w:fill="auto"/>
            <w:tcMar>
              <w:top w:w="40" w:type="dxa"/>
              <w:left w:w="40" w:type="dxa"/>
              <w:bottom w:w="40" w:type="dxa"/>
              <w:right w:w="40" w:type="dxa"/>
            </w:tcMar>
            <w:vAlign w:val="bottom"/>
          </w:tcPr>
          <w:p w14:paraId="5556D6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240" w:type="dxa"/>
              <w:bottom w:w="40" w:type="dxa"/>
              <w:right w:w="40" w:type="dxa"/>
            </w:tcMar>
            <w:vAlign w:val="center"/>
          </w:tcPr>
          <w:p w14:paraId="5556D6FD" w14:textId="77777777" w:rsidR="00F925DD" w:rsidRDefault="00E705D7">
            <w:pPr>
              <w:textAlignment w:val="center"/>
              <w:rPr>
                <w:rFonts w:ascii="Times New Roman" w:hAnsi="Times New Roman"/>
                <w:sz w:val="14"/>
                <w:szCs w:val="14"/>
              </w:rPr>
            </w:pPr>
            <w:r>
              <w:rPr>
                <w:rFonts w:ascii="Arial" w:eastAsia="宋体" w:hAnsi="Arial" w:cs="Arial"/>
                <w:sz w:val="14"/>
                <w:szCs w:val="14"/>
              </w:rPr>
              <w:t>June 15, 2047</w:t>
            </w:r>
          </w:p>
        </w:tc>
        <w:tc>
          <w:tcPr>
            <w:tcW w:w="0" w:type="auto"/>
            <w:shd w:val="clear" w:color="auto" w:fill="auto"/>
            <w:tcMar>
              <w:top w:w="40" w:type="dxa"/>
              <w:left w:w="40" w:type="dxa"/>
              <w:bottom w:w="40" w:type="dxa"/>
              <w:right w:w="40" w:type="dxa"/>
            </w:tcMar>
            <w:vAlign w:val="bottom"/>
          </w:tcPr>
          <w:p w14:paraId="5556D6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D6FF"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Floating-rate</w:t>
            </w:r>
          </w:p>
        </w:tc>
        <w:tc>
          <w:tcPr>
            <w:tcW w:w="0" w:type="auto"/>
            <w:shd w:val="clear" w:color="auto" w:fill="auto"/>
            <w:vAlign w:val="bottom"/>
          </w:tcPr>
          <w:p w14:paraId="5556D7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7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702"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Junior subordinated debentures</w:t>
            </w:r>
          </w:p>
        </w:tc>
        <w:tc>
          <w:tcPr>
            <w:tcW w:w="0" w:type="auto"/>
            <w:shd w:val="clear" w:color="auto" w:fill="auto"/>
            <w:tcMar>
              <w:top w:w="40" w:type="dxa"/>
              <w:left w:w="40" w:type="dxa"/>
              <w:bottom w:w="40" w:type="dxa"/>
              <w:right w:w="40" w:type="dxa"/>
            </w:tcMar>
            <w:vAlign w:val="bottom"/>
          </w:tcPr>
          <w:p w14:paraId="5556D7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704" w14:textId="77777777" w:rsidR="00F925DD" w:rsidRDefault="00E705D7">
            <w:pPr>
              <w:textAlignment w:val="center"/>
              <w:rPr>
                <w:rFonts w:ascii="Times New Roman" w:hAnsi="Times New Roman"/>
                <w:sz w:val="14"/>
                <w:szCs w:val="14"/>
              </w:rPr>
            </w:pPr>
            <w:r>
              <w:rPr>
                <w:rFonts w:ascii="Arial" w:eastAsia="宋体" w:hAnsi="Arial" w:cs="Arial"/>
                <w:sz w:val="14"/>
                <w:szCs w:val="14"/>
              </w:rPr>
              <w:t>3/15; 6/15; 9/15; 12/15</w:t>
            </w:r>
          </w:p>
        </w:tc>
        <w:tc>
          <w:tcPr>
            <w:tcW w:w="0" w:type="auto"/>
            <w:shd w:val="clear" w:color="auto" w:fill="auto"/>
            <w:tcMar>
              <w:top w:w="40" w:type="dxa"/>
              <w:left w:w="40" w:type="dxa"/>
              <w:bottom w:w="40" w:type="dxa"/>
              <w:right w:w="40" w:type="dxa"/>
            </w:tcMar>
            <w:vAlign w:val="bottom"/>
          </w:tcPr>
          <w:p w14:paraId="5556D7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706"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499</w:t>
            </w:r>
          </w:p>
        </w:tc>
        <w:tc>
          <w:tcPr>
            <w:tcW w:w="0" w:type="auto"/>
            <w:shd w:val="clear" w:color="auto" w:fill="auto"/>
            <w:vAlign w:val="bottom"/>
          </w:tcPr>
          <w:p w14:paraId="5556D7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7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709"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794</w:t>
            </w:r>
          </w:p>
        </w:tc>
        <w:tc>
          <w:tcPr>
            <w:tcW w:w="0" w:type="auto"/>
            <w:shd w:val="clear" w:color="auto" w:fill="auto"/>
            <w:vAlign w:val="bottom"/>
          </w:tcPr>
          <w:p w14:paraId="5556D70A" w14:textId="77777777" w:rsidR="00F925DD" w:rsidRDefault="00F925DD">
            <w:pPr>
              <w:textAlignment w:val="bottom"/>
              <w:rPr>
                <w:rFonts w:ascii="Times New Roman" w:hAnsi="Times New Roman"/>
                <w:sz w:val="20"/>
                <w:szCs w:val="20"/>
              </w:rPr>
            </w:pPr>
          </w:p>
        </w:tc>
      </w:tr>
      <w:tr w:rsidR="00F925DD" w14:paraId="5556D71C" w14:textId="77777777">
        <w:tc>
          <w:tcPr>
            <w:tcW w:w="0" w:type="auto"/>
            <w:shd w:val="clear" w:color="auto" w:fill="CCEEFF"/>
            <w:tcMar>
              <w:top w:w="40" w:type="dxa"/>
              <w:left w:w="240" w:type="dxa"/>
              <w:bottom w:w="40" w:type="dxa"/>
              <w:right w:w="40" w:type="dxa"/>
            </w:tcMar>
            <w:vAlign w:val="center"/>
          </w:tcPr>
          <w:p w14:paraId="5556D70C" w14:textId="77777777" w:rsidR="00F925DD" w:rsidRDefault="00E705D7">
            <w:pPr>
              <w:textAlignment w:val="center"/>
              <w:rPr>
                <w:rFonts w:ascii="Times New Roman" w:hAnsi="Times New Roman"/>
                <w:sz w:val="14"/>
                <w:szCs w:val="14"/>
              </w:rPr>
            </w:pPr>
            <w:r>
              <w:rPr>
                <w:rFonts w:ascii="Arial" w:eastAsia="宋体" w:hAnsi="Arial" w:cs="Arial"/>
                <w:sz w:val="14"/>
                <w:szCs w:val="14"/>
              </w:rPr>
              <w:t>November 1, 2019</w:t>
            </w:r>
          </w:p>
        </w:tc>
        <w:tc>
          <w:tcPr>
            <w:tcW w:w="0" w:type="auto"/>
            <w:shd w:val="clear" w:color="auto" w:fill="CCEEFF"/>
            <w:tcMar>
              <w:top w:w="40" w:type="dxa"/>
              <w:left w:w="40" w:type="dxa"/>
              <w:bottom w:w="40" w:type="dxa"/>
              <w:right w:w="40" w:type="dxa"/>
            </w:tcMar>
            <w:vAlign w:val="bottom"/>
          </w:tcPr>
          <w:p w14:paraId="5556D7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240" w:type="dxa"/>
              <w:bottom w:w="40" w:type="dxa"/>
              <w:right w:w="40" w:type="dxa"/>
            </w:tcMar>
            <w:vAlign w:val="center"/>
          </w:tcPr>
          <w:p w14:paraId="5556D70E" w14:textId="77777777" w:rsidR="00F925DD" w:rsidRDefault="00E705D7">
            <w:pPr>
              <w:textAlignment w:val="center"/>
              <w:rPr>
                <w:rFonts w:ascii="Times New Roman" w:hAnsi="Times New Roman"/>
                <w:sz w:val="14"/>
                <w:szCs w:val="14"/>
              </w:rPr>
            </w:pPr>
            <w:r>
              <w:rPr>
                <w:rFonts w:ascii="Arial" w:eastAsia="宋体" w:hAnsi="Arial" w:cs="Arial"/>
                <w:sz w:val="14"/>
                <w:szCs w:val="14"/>
              </w:rPr>
              <w:t>November 1, 2034</w:t>
            </w:r>
          </w:p>
        </w:tc>
        <w:tc>
          <w:tcPr>
            <w:tcW w:w="0" w:type="auto"/>
            <w:shd w:val="clear" w:color="auto" w:fill="CCEEFF"/>
            <w:tcMar>
              <w:top w:w="40" w:type="dxa"/>
              <w:left w:w="40" w:type="dxa"/>
              <w:bottom w:w="40" w:type="dxa"/>
              <w:right w:w="40" w:type="dxa"/>
            </w:tcMar>
            <w:vAlign w:val="bottom"/>
          </w:tcPr>
          <w:p w14:paraId="5556D7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710"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3.031</w:t>
            </w:r>
          </w:p>
        </w:tc>
        <w:tc>
          <w:tcPr>
            <w:tcW w:w="0" w:type="auto"/>
            <w:shd w:val="clear" w:color="auto" w:fill="CCEEFF"/>
            <w:tcMar>
              <w:top w:w="40" w:type="dxa"/>
              <w:bottom w:w="40" w:type="dxa"/>
              <w:right w:w="40" w:type="dxa"/>
            </w:tcMar>
            <w:vAlign w:val="center"/>
          </w:tcPr>
          <w:p w14:paraId="5556D711"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7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713"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Fixed-to-floating rate senior subordinated notes</w:t>
            </w:r>
          </w:p>
        </w:tc>
        <w:tc>
          <w:tcPr>
            <w:tcW w:w="0" w:type="auto"/>
            <w:shd w:val="clear" w:color="auto" w:fill="CCEEFF"/>
            <w:tcMar>
              <w:top w:w="40" w:type="dxa"/>
              <w:left w:w="40" w:type="dxa"/>
              <w:bottom w:w="40" w:type="dxa"/>
              <w:right w:w="40" w:type="dxa"/>
            </w:tcMar>
            <w:vAlign w:val="bottom"/>
          </w:tcPr>
          <w:p w14:paraId="5556D7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715" w14:textId="77777777" w:rsidR="00F925DD" w:rsidRDefault="00E705D7">
            <w:pPr>
              <w:textAlignment w:val="center"/>
              <w:rPr>
                <w:rFonts w:ascii="Times New Roman" w:hAnsi="Times New Roman"/>
                <w:sz w:val="14"/>
                <w:szCs w:val="14"/>
              </w:rPr>
            </w:pPr>
            <w:r>
              <w:rPr>
                <w:rFonts w:ascii="Arial" w:eastAsia="宋体" w:hAnsi="Arial" w:cs="Arial"/>
                <w:sz w:val="14"/>
                <w:szCs w:val="14"/>
              </w:rPr>
              <w:t>5/1; 11/1</w:t>
            </w:r>
            <w:r>
              <w:rPr>
                <w:rFonts w:ascii="Arial" w:eastAsia="宋体" w:hAnsi="Arial" w:cs="Arial"/>
                <w:sz w:val="10"/>
                <w:szCs w:val="10"/>
              </w:rPr>
              <w:t>(2)</w:t>
            </w:r>
          </w:p>
        </w:tc>
        <w:tc>
          <w:tcPr>
            <w:tcW w:w="0" w:type="auto"/>
            <w:shd w:val="clear" w:color="auto" w:fill="CCEEFF"/>
            <w:tcMar>
              <w:top w:w="40" w:type="dxa"/>
              <w:left w:w="40" w:type="dxa"/>
              <w:bottom w:w="40" w:type="dxa"/>
              <w:right w:w="40" w:type="dxa"/>
            </w:tcMar>
            <w:vAlign w:val="bottom"/>
          </w:tcPr>
          <w:p w14:paraId="5556D7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717"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492</w:t>
            </w:r>
          </w:p>
        </w:tc>
        <w:tc>
          <w:tcPr>
            <w:tcW w:w="0" w:type="auto"/>
            <w:shd w:val="clear" w:color="auto" w:fill="CCEEFF"/>
            <w:vAlign w:val="bottom"/>
          </w:tcPr>
          <w:p w14:paraId="5556D7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7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71A"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71B" w14:textId="77777777" w:rsidR="00F925DD" w:rsidRDefault="00F925DD">
            <w:pPr>
              <w:textAlignment w:val="bottom"/>
              <w:rPr>
                <w:rFonts w:ascii="Times New Roman" w:hAnsi="Times New Roman"/>
                <w:sz w:val="20"/>
                <w:szCs w:val="20"/>
              </w:rPr>
            </w:pPr>
          </w:p>
        </w:tc>
      </w:tr>
      <w:tr w:rsidR="00F925DD" w14:paraId="5556D72D" w14:textId="77777777">
        <w:tc>
          <w:tcPr>
            <w:tcW w:w="0" w:type="auto"/>
            <w:shd w:val="clear" w:color="auto" w:fill="auto"/>
            <w:tcMar>
              <w:top w:w="40" w:type="dxa"/>
              <w:left w:w="240" w:type="dxa"/>
              <w:bottom w:w="40" w:type="dxa"/>
              <w:right w:w="40" w:type="dxa"/>
            </w:tcMar>
            <w:vAlign w:val="center"/>
          </w:tcPr>
          <w:p w14:paraId="5556D71D" w14:textId="77777777" w:rsidR="00F925DD" w:rsidRDefault="00E705D7">
            <w:pPr>
              <w:textAlignment w:val="center"/>
              <w:rPr>
                <w:rFonts w:ascii="Times New Roman" w:hAnsi="Times New Roman"/>
                <w:sz w:val="14"/>
                <w:szCs w:val="14"/>
              </w:rPr>
            </w:pPr>
            <w:r>
              <w:rPr>
                <w:rFonts w:ascii="Arial" w:eastAsia="宋体" w:hAnsi="Arial" w:cs="Arial"/>
                <w:sz w:val="14"/>
                <w:szCs w:val="14"/>
              </w:rPr>
              <w:t>Ma</w:t>
            </w:r>
            <w:r>
              <w:rPr>
                <w:rFonts w:ascii="Arial" w:eastAsia="宋体" w:hAnsi="Arial" w:cs="Arial"/>
                <w:sz w:val="14"/>
                <w:szCs w:val="14"/>
              </w:rPr>
              <w:t>y 15, 1998</w:t>
            </w:r>
          </w:p>
        </w:tc>
        <w:tc>
          <w:tcPr>
            <w:tcW w:w="0" w:type="auto"/>
            <w:shd w:val="clear" w:color="auto" w:fill="auto"/>
            <w:tcMar>
              <w:top w:w="40" w:type="dxa"/>
              <w:left w:w="40" w:type="dxa"/>
              <w:bottom w:w="40" w:type="dxa"/>
              <w:right w:w="40" w:type="dxa"/>
            </w:tcMar>
            <w:vAlign w:val="bottom"/>
          </w:tcPr>
          <w:p w14:paraId="5556D7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240" w:type="dxa"/>
              <w:bottom w:w="40" w:type="dxa"/>
              <w:right w:w="40" w:type="dxa"/>
            </w:tcMar>
            <w:vAlign w:val="center"/>
          </w:tcPr>
          <w:p w14:paraId="5556D71F" w14:textId="77777777" w:rsidR="00F925DD" w:rsidRDefault="00E705D7">
            <w:pPr>
              <w:textAlignment w:val="center"/>
              <w:rPr>
                <w:rFonts w:ascii="Times New Roman" w:hAnsi="Times New Roman"/>
                <w:sz w:val="14"/>
                <w:szCs w:val="14"/>
              </w:rPr>
            </w:pPr>
            <w:r>
              <w:rPr>
                <w:rFonts w:ascii="Arial" w:eastAsia="宋体" w:hAnsi="Arial" w:cs="Arial"/>
                <w:sz w:val="14"/>
                <w:szCs w:val="14"/>
              </w:rPr>
              <w:t>May 15, 2028</w:t>
            </w:r>
          </w:p>
        </w:tc>
        <w:tc>
          <w:tcPr>
            <w:tcW w:w="0" w:type="auto"/>
            <w:shd w:val="clear" w:color="auto" w:fill="auto"/>
            <w:tcMar>
              <w:top w:w="40" w:type="dxa"/>
              <w:left w:w="40" w:type="dxa"/>
              <w:bottom w:w="40" w:type="dxa"/>
              <w:right w:w="40" w:type="dxa"/>
            </w:tcMar>
            <w:vAlign w:val="bottom"/>
          </w:tcPr>
          <w:p w14:paraId="5556D7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5556D721"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Floating-rate</w:t>
            </w:r>
          </w:p>
        </w:tc>
        <w:tc>
          <w:tcPr>
            <w:tcW w:w="0" w:type="auto"/>
            <w:shd w:val="clear" w:color="auto" w:fill="auto"/>
            <w:vAlign w:val="bottom"/>
          </w:tcPr>
          <w:p w14:paraId="5556D7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7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724"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Junior subordinated debentures</w:t>
            </w:r>
          </w:p>
        </w:tc>
        <w:tc>
          <w:tcPr>
            <w:tcW w:w="0" w:type="auto"/>
            <w:shd w:val="clear" w:color="auto" w:fill="auto"/>
            <w:tcMar>
              <w:top w:w="40" w:type="dxa"/>
              <w:left w:w="40" w:type="dxa"/>
              <w:bottom w:w="40" w:type="dxa"/>
              <w:right w:w="40" w:type="dxa"/>
            </w:tcMar>
            <w:vAlign w:val="bottom"/>
          </w:tcPr>
          <w:p w14:paraId="5556D7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D726" w14:textId="77777777" w:rsidR="00F925DD" w:rsidRDefault="00E705D7">
            <w:pPr>
              <w:textAlignment w:val="center"/>
              <w:rPr>
                <w:rFonts w:ascii="Times New Roman" w:hAnsi="Times New Roman"/>
                <w:sz w:val="14"/>
                <w:szCs w:val="14"/>
              </w:rPr>
            </w:pPr>
            <w:r>
              <w:rPr>
                <w:rFonts w:ascii="Arial" w:eastAsia="宋体" w:hAnsi="Arial" w:cs="Arial"/>
                <w:sz w:val="14"/>
                <w:szCs w:val="14"/>
              </w:rPr>
              <w:t>2/15; 5/15; 8/15; 11/15</w:t>
            </w:r>
          </w:p>
        </w:tc>
        <w:tc>
          <w:tcPr>
            <w:tcW w:w="0" w:type="auto"/>
            <w:shd w:val="clear" w:color="auto" w:fill="auto"/>
            <w:tcMar>
              <w:top w:w="40" w:type="dxa"/>
              <w:left w:w="40" w:type="dxa"/>
              <w:bottom w:w="40" w:type="dxa"/>
              <w:right w:w="40" w:type="dxa"/>
            </w:tcMar>
            <w:vAlign w:val="bottom"/>
          </w:tcPr>
          <w:p w14:paraId="5556D7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728"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100</w:t>
            </w:r>
          </w:p>
        </w:tc>
        <w:tc>
          <w:tcPr>
            <w:tcW w:w="0" w:type="auto"/>
            <w:shd w:val="clear" w:color="auto" w:fill="auto"/>
            <w:vAlign w:val="bottom"/>
          </w:tcPr>
          <w:p w14:paraId="5556D7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7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D72B"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150</w:t>
            </w:r>
          </w:p>
        </w:tc>
        <w:tc>
          <w:tcPr>
            <w:tcW w:w="0" w:type="auto"/>
            <w:shd w:val="clear" w:color="auto" w:fill="auto"/>
            <w:vAlign w:val="bottom"/>
          </w:tcPr>
          <w:p w14:paraId="5556D72C" w14:textId="77777777" w:rsidR="00F925DD" w:rsidRDefault="00F925DD">
            <w:pPr>
              <w:textAlignment w:val="bottom"/>
              <w:rPr>
                <w:rFonts w:ascii="Times New Roman" w:hAnsi="Times New Roman"/>
                <w:sz w:val="20"/>
                <w:szCs w:val="20"/>
              </w:rPr>
            </w:pPr>
          </w:p>
        </w:tc>
      </w:tr>
      <w:tr w:rsidR="00F925DD" w14:paraId="5556D73E" w14:textId="77777777">
        <w:tc>
          <w:tcPr>
            <w:tcW w:w="0" w:type="auto"/>
            <w:shd w:val="clear" w:color="auto" w:fill="CCEEFF"/>
            <w:tcMar>
              <w:top w:w="40" w:type="dxa"/>
              <w:left w:w="240" w:type="dxa"/>
              <w:bottom w:w="40" w:type="dxa"/>
              <w:right w:w="40" w:type="dxa"/>
            </w:tcMar>
            <w:vAlign w:val="center"/>
          </w:tcPr>
          <w:p w14:paraId="5556D72E" w14:textId="77777777" w:rsidR="00F925DD" w:rsidRDefault="00E705D7">
            <w:pPr>
              <w:textAlignment w:val="center"/>
              <w:rPr>
                <w:rFonts w:ascii="Times New Roman" w:hAnsi="Times New Roman"/>
                <w:sz w:val="14"/>
                <w:szCs w:val="14"/>
              </w:rPr>
            </w:pPr>
            <w:r>
              <w:rPr>
                <w:rFonts w:ascii="Arial" w:eastAsia="宋体" w:hAnsi="Arial" w:cs="Arial"/>
                <w:sz w:val="14"/>
                <w:szCs w:val="14"/>
              </w:rPr>
              <w:t>June 2</w:t>
            </w:r>
            <w:r>
              <w:rPr>
                <w:rFonts w:ascii="Arial" w:eastAsia="宋体" w:hAnsi="Arial" w:cs="Arial"/>
                <w:sz w:val="14"/>
                <w:szCs w:val="14"/>
              </w:rPr>
              <w:t>1, 1996</w:t>
            </w:r>
          </w:p>
        </w:tc>
        <w:tc>
          <w:tcPr>
            <w:tcW w:w="0" w:type="auto"/>
            <w:shd w:val="clear" w:color="auto" w:fill="CCEEFF"/>
            <w:tcMar>
              <w:top w:w="40" w:type="dxa"/>
              <w:left w:w="40" w:type="dxa"/>
              <w:bottom w:w="40" w:type="dxa"/>
              <w:right w:w="40" w:type="dxa"/>
            </w:tcMar>
            <w:vAlign w:val="bottom"/>
          </w:tcPr>
          <w:p w14:paraId="5556D7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240" w:type="dxa"/>
              <w:bottom w:w="40" w:type="dxa"/>
              <w:right w:w="40" w:type="dxa"/>
            </w:tcMar>
            <w:vAlign w:val="center"/>
          </w:tcPr>
          <w:p w14:paraId="5556D730" w14:textId="77777777" w:rsidR="00F925DD" w:rsidRDefault="00E705D7">
            <w:pPr>
              <w:textAlignment w:val="center"/>
              <w:rPr>
                <w:rFonts w:ascii="Times New Roman" w:hAnsi="Times New Roman"/>
                <w:sz w:val="14"/>
                <w:szCs w:val="14"/>
              </w:rPr>
            </w:pPr>
            <w:r>
              <w:rPr>
                <w:rFonts w:ascii="Arial" w:eastAsia="宋体" w:hAnsi="Arial" w:cs="Arial"/>
                <w:sz w:val="14"/>
                <w:szCs w:val="14"/>
              </w:rPr>
              <w:t>June 15, 2026</w:t>
            </w:r>
            <w:r>
              <w:rPr>
                <w:rFonts w:ascii="Arial" w:eastAsia="宋体" w:hAnsi="Arial" w:cs="Arial"/>
                <w:sz w:val="10"/>
                <w:szCs w:val="10"/>
              </w:rPr>
              <w:t>(3)</w:t>
            </w:r>
          </w:p>
        </w:tc>
        <w:tc>
          <w:tcPr>
            <w:tcW w:w="0" w:type="auto"/>
            <w:shd w:val="clear" w:color="auto" w:fill="CCEEFF"/>
            <w:tcMar>
              <w:top w:w="40" w:type="dxa"/>
              <w:left w:w="40" w:type="dxa"/>
              <w:bottom w:w="40" w:type="dxa"/>
              <w:right w:w="40" w:type="dxa"/>
            </w:tcMar>
            <w:vAlign w:val="bottom"/>
          </w:tcPr>
          <w:p w14:paraId="5556D7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D732"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7.35</w:t>
            </w:r>
          </w:p>
        </w:tc>
        <w:tc>
          <w:tcPr>
            <w:tcW w:w="0" w:type="auto"/>
            <w:shd w:val="clear" w:color="auto" w:fill="CCEEFF"/>
            <w:tcMar>
              <w:top w:w="40" w:type="dxa"/>
              <w:bottom w:w="40" w:type="dxa"/>
              <w:right w:w="40" w:type="dxa"/>
            </w:tcMar>
            <w:vAlign w:val="center"/>
          </w:tcPr>
          <w:p w14:paraId="5556D733"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7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735" w14:textId="77777777" w:rsidR="00F925DD" w:rsidRDefault="00E705D7">
            <w:pPr>
              <w:jc w:val="center"/>
              <w:textAlignment w:val="center"/>
              <w:rPr>
                <w:rFonts w:ascii="Times New Roman" w:hAnsi="Times New Roman"/>
                <w:sz w:val="14"/>
                <w:szCs w:val="14"/>
              </w:rPr>
            </w:pPr>
            <w:r>
              <w:rPr>
                <w:rFonts w:ascii="Arial" w:eastAsia="宋体" w:hAnsi="Arial" w:cs="Arial"/>
                <w:sz w:val="14"/>
                <w:szCs w:val="14"/>
              </w:rPr>
              <w:t>Senior notes</w:t>
            </w:r>
          </w:p>
        </w:tc>
        <w:tc>
          <w:tcPr>
            <w:tcW w:w="0" w:type="auto"/>
            <w:shd w:val="clear" w:color="auto" w:fill="CCEEFF"/>
            <w:tcMar>
              <w:top w:w="40" w:type="dxa"/>
              <w:left w:w="40" w:type="dxa"/>
              <w:bottom w:w="40" w:type="dxa"/>
              <w:right w:w="40" w:type="dxa"/>
            </w:tcMar>
            <w:vAlign w:val="bottom"/>
          </w:tcPr>
          <w:p w14:paraId="5556D7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D737" w14:textId="77777777" w:rsidR="00F925DD" w:rsidRDefault="00E705D7">
            <w:pPr>
              <w:textAlignment w:val="center"/>
              <w:rPr>
                <w:rFonts w:ascii="Times New Roman" w:hAnsi="Times New Roman"/>
                <w:sz w:val="14"/>
                <w:szCs w:val="14"/>
              </w:rPr>
            </w:pPr>
            <w:r>
              <w:rPr>
                <w:rFonts w:ascii="Arial" w:eastAsia="宋体" w:hAnsi="Arial" w:cs="Arial"/>
                <w:sz w:val="14"/>
                <w:szCs w:val="14"/>
              </w:rPr>
              <w:t>6/15; 12/15</w:t>
            </w:r>
          </w:p>
        </w:tc>
        <w:tc>
          <w:tcPr>
            <w:tcW w:w="0" w:type="auto"/>
            <w:shd w:val="clear" w:color="auto" w:fill="CCEEFF"/>
            <w:tcMar>
              <w:top w:w="40" w:type="dxa"/>
              <w:left w:w="40" w:type="dxa"/>
              <w:bottom w:w="40" w:type="dxa"/>
              <w:right w:w="40" w:type="dxa"/>
            </w:tcMar>
            <w:vAlign w:val="bottom"/>
          </w:tcPr>
          <w:p w14:paraId="5556D7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739"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150</w:t>
            </w:r>
          </w:p>
        </w:tc>
        <w:tc>
          <w:tcPr>
            <w:tcW w:w="0" w:type="auto"/>
            <w:shd w:val="clear" w:color="auto" w:fill="CCEEFF"/>
            <w:vAlign w:val="bottom"/>
          </w:tcPr>
          <w:p w14:paraId="5556D7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7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73C"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150</w:t>
            </w:r>
          </w:p>
        </w:tc>
        <w:tc>
          <w:tcPr>
            <w:tcW w:w="0" w:type="auto"/>
            <w:shd w:val="clear" w:color="auto" w:fill="CCEEFF"/>
            <w:vAlign w:val="bottom"/>
          </w:tcPr>
          <w:p w14:paraId="5556D73D" w14:textId="77777777" w:rsidR="00F925DD" w:rsidRDefault="00F925DD">
            <w:pPr>
              <w:textAlignment w:val="bottom"/>
              <w:rPr>
                <w:rFonts w:ascii="Times New Roman" w:hAnsi="Times New Roman"/>
                <w:sz w:val="20"/>
                <w:szCs w:val="20"/>
              </w:rPr>
            </w:pPr>
          </w:p>
        </w:tc>
      </w:tr>
      <w:tr w:rsidR="00F925DD" w14:paraId="5556D742" w14:textId="77777777">
        <w:tc>
          <w:tcPr>
            <w:tcW w:w="0" w:type="auto"/>
            <w:gridSpan w:val="14"/>
            <w:shd w:val="clear" w:color="auto" w:fill="auto"/>
            <w:tcMar>
              <w:top w:w="40" w:type="dxa"/>
              <w:left w:w="40" w:type="dxa"/>
              <w:bottom w:w="40" w:type="dxa"/>
              <w:right w:w="40" w:type="dxa"/>
            </w:tcMar>
            <w:vAlign w:val="center"/>
          </w:tcPr>
          <w:p w14:paraId="5556D73F"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Pa</w:t>
            </w:r>
            <w:r>
              <w:rPr>
                <w:rFonts w:ascii="Arial" w:eastAsia="宋体" w:hAnsi="Arial" w:cs="Arial"/>
                <w:b/>
                <w:bCs/>
                <w:sz w:val="14"/>
                <w:szCs w:val="14"/>
              </w:rPr>
              <w:t>rent Company</w:t>
            </w:r>
          </w:p>
        </w:tc>
        <w:tc>
          <w:tcPr>
            <w:tcW w:w="0" w:type="auto"/>
            <w:shd w:val="clear" w:color="auto" w:fill="auto"/>
            <w:tcMar>
              <w:top w:w="40" w:type="dxa"/>
              <w:left w:w="40" w:type="dxa"/>
              <w:bottom w:w="40" w:type="dxa"/>
              <w:right w:w="40" w:type="dxa"/>
            </w:tcMar>
            <w:vAlign w:val="bottom"/>
          </w:tcPr>
          <w:p w14:paraId="5556D7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7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74A" w14:textId="77777777">
        <w:tc>
          <w:tcPr>
            <w:tcW w:w="0" w:type="auto"/>
            <w:gridSpan w:val="10"/>
            <w:shd w:val="clear" w:color="auto" w:fill="CCEEFF"/>
            <w:tcMar>
              <w:top w:w="40" w:type="dxa"/>
              <w:left w:w="240" w:type="dxa"/>
              <w:bottom w:w="40" w:type="dxa"/>
              <w:right w:w="40" w:type="dxa"/>
            </w:tcMar>
            <w:vAlign w:val="center"/>
          </w:tcPr>
          <w:p w14:paraId="5556D743" w14:textId="77777777" w:rsidR="00F925DD" w:rsidRDefault="00E705D7">
            <w:pPr>
              <w:textAlignment w:val="center"/>
              <w:rPr>
                <w:rFonts w:ascii="Times New Roman" w:hAnsi="Times New Roman"/>
                <w:sz w:val="14"/>
                <w:szCs w:val="14"/>
              </w:rPr>
            </w:pPr>
            <w:r>
              <w:rPr>
                <w:rFonts w:ascii="Arial" w:eastAsia="宋体" w:hAnsi="Arial" w:cs="Arial"/>
                <w:sz w:val="14"/>
                <w:szCs w:val="14"/>
              </w:rPr>
              <w:t>Long-term finance leases</w:t>
            </w:r>
          </w:p>
        </w:tc>
        <w:tc>
          <w:tcPr>
            <w:tcW w:w="0" w:type="auto"/>
            <w:shd w:val="clear" w:color="auto" w:fill="CCEEFF"/>
            <w:tcMar>
              <w:top w:w="40" w:type="dxa"/>
              <w:left w:w="40" w:type="dxa"/>
              <w:bottom w:w="40" w:type="dxa"/>
              <w:right w:w="40" w:type="dxa"/>
            </w:tcMar>
            <w:vAlign w:val="bottom"/>
          </w:tcPr>
          <w:p w14:paraId="5556D7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745"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136</w:t>
            </w:r>
          </w:p>
        </w:tc>
        <w:tc>
          <w:tcPr>
            <w:tcW w:w="0" w:type="auto"/>
            <w:shd w:val="clear" w:color="auto" w:fill="CCEEFF"/>
            <w:vAlign w:val="bottom"/>
          </w:tcPr>
          <w:p w14:paraId="5556D74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7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D748"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190</w:t>
            </w:r>
          </w:p>
        </w:tc>
        <w:tc>
          <w:tcPr>
            <w:tcW w:w="0" w:type="auto"/>
            <w:shd w:val="clear" w:color="auto" w:fill="CCEEFF"/>
            <w:vAlign w:val="bottom"/>
          </w:tcPr>
          <w:p w14:paraId="5556D749" w14:textId="77777777" w:rsidR="00F925DD" w:rsidRDefault="00F925DD">
            <w:pPr>
              <w:textAlignment w:val="bottom"/>
              <w:rPr>
                <w:rFonts w:ascii="Times New Roman" w:hAnsi="Times New Roman"/>
                <w:sz w:val="20"/>
                <w:szCs w:val="20"/>
              </w:rPr>
            </w:pPr>
          </w:p>
        </w:tc>
      </w:tr>
      <w:tr w:rsidR="00F925DD" w14:paraId="5556D74E" w14:textId="77777777">
        <w:tc>
          <w:tcPr>
            <w:tcW w:w="0" w:type="auto"/>
            <w:gridSpan w:val="14"/>
            <w:shd w:val="clear" w:color="auto" w:fill="auto"/>
            <w:tcMar>
              <w:top w:w="40" w:type="dxa"/>
              <w:left w:w="40" w:type="dxa"/>
              <w:bottom w:w="40" w:type="dxa"/>
              <w:right w:w="40" w:type="dxa"/>
            </w:tcMar>
            <w:vAlign w:val="bottom"/>
          </w:tcPr>
          <w:p w14:paraId="5556D7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7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7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760" w14:textId="77777777">
        <w:tc>
          <w:tcPr>
            <w:tcW w:w="0" w:type="auto"/>
            <w:shd w:val="clear" w:color="auto" w:fill="CCEEFF"/>
            <w:tcMar>
              <w:top w:w="40" w:type="dxa"/>
              <w:left w:w="40" w:type="dxa"/>
              <w:bottom w:w="40" w:type="dxa"/>
              <w:right w:w="40" w:type="dxa"/>
            </w:tcMar>
            <w:vAlign w:val="center"/>
          </w:tcPr>
          <w:p w14:paraId="5556D74F" w14:textId="77777777" w:rsidR="00F925DD" w:rsidRDefault="00E705D7">
            <w:pPr>
              <w:textAlignment w:val="center"/>
              <w:rPr>
                <w:rFonts w:ascii="Times New Roman" w:hAnsi="Times New Roman"/>
                <w:sz w:val="14"/>
                <w:szCs w:val="14"/>
              </w:rPr>
            </w:pPr>
            <w:r>
              <w:rPr>
                <w:rFonts w:ascii="Arial" w:eastAsia="宋体" w:hAnsi="Arial" w:cs="Arial"/>
                <w:sz w:val="14"/>
                <w:szCs w:val="14"/>
              </w:rPr>
              <w:t>Total long-term debt</w:t>
            </w:r>
          </w:p>
        </w:tc>
        <w:tc>
          <w:tcPr>
            <w:tcW w:w="0" w:type="auto"/>
            <w:shd w:val="clear" w:color="auto" w:fill="CCEEFF"/>
            <w:tcMar>
              <w:top w:w="40" w:type="dxa"/>
              <w:left w:w="40" w:type="dxa"/>
              <w:bottom w:w="40" w:type="dxa"/>
              <w:right w:w="40" w:type="dxa"/>
            </w:tcMar>
            <w:vAlign w:val="bottom"/>
          </w:tcPr>
          <w:p w14:paraId="5556D7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7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7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D7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7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7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7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7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7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D759"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D75A"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12,509</w:t>
            </w:r>
          </w:p>
        </w:tc>
        <w:tc>
          <w:tcPr>
            <w:tcW w:w="0" w:type="auto"/>
            <w:tcBorders>
              <w:top w:val="single" w:sz="8" w:space="0" w:color="000000"/>
              <w:bottom w:val="double" w:sz="6" w:space="0" w:color="000000"/>
            </w:tcBorders>
            <w:shd w:val="clear" w:color="auto" w:fill="CCEEFF"/>
            <w:vAlign w:val="bottom"/>
          </w:tcPr>
          <w:p w14:paraId="5556D7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7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5556D75D" w14:textId="77777777" w:rsidR="00F925DD" w:rsidRDefault="00E705D7">
            <w:pPr>
              <w:textAlignment w:val="center"/>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5556D75E" w14:textId="77777777" w:rsidR="00F925DD" w:rsidRDefault="00E705D7">
            <w:pPr>
              <w:jc w:val="right"/>
              <w:textAlignment w:val="center"/>
              <w:rPr>
                <w:rFonts w:ascii="Times New Roman" w:hAnsi="Times New Roman"/>
                <w:sz w:val="14"/>
                <w:szCs w:val="14"/>
              </w:rPr>
            </w:pPr>
            <w:r>
              <w:rPr>
                <w:rFonts w:ascii="Arial" w:eastAsia="宋体" w:hAnsi="Arial" w:cs="Arial"/>
                <w:sz w:val="14"/>
                <w:szCs w:val="14"/>
              </w:rPr>
              <w:t>11,093</w:t>
            </w:r>
          </w:p>
        </w:tc>
        <w:tc>
          <w:tcPr>
            <w:tcW w:w="0" w:type="auto"/>
            <w:tcBorders>
              <w:top w:val="single" w:sz="8" w:space="0" w:color="000000"/>
              <w:bottom w:val="double" w:sz="6" w:space="0" w:color="000000"/>
            </w:tcBorders>
            <w:shd w:val="clear" w:color="auto" w:fill="CCEEFF"/>
            <w:vAlign w:val="bottom"/>
          </w:tcPr>
          <w:p w14:paraId="5556D75F" w14:textId="77777777" w:rsidR="00F925DD" w:rsidRDefault="00F925DD">
            <w:pPr>
              <w:textAlignment w:val="bottom"/>
              <w:rPr>
                <w:rFonts w:ascii="Times New Roman" w:hAnsi="Times New Roman"/>
                <w:sz w:val="20"/>
                <w:szCs w:val="20"/>
              </w:rPr>
            </w:pPr>
          </w:p>
        </w:tc>
      </w:tr>
    </w:tbl>
    <w:p w14:paraId="5556D761" w14:textId="77777777" w:rsidR="00F925DD" w:rsidRDefault="00F925DD">
      <w:pPr>
        <w:rPr>
          <w:vanish/>
        </w:rPr>
      </w:pPr>
    </w:p>
    <w:tbl>
      <w:tblPr>
        <w:tblW w:w="13660" w:type="dxa"/>
        <w:tblCellMar>
          <w:left w:w="0" w:type="dxa"/>
          <w:right w:w="0" w:type="dxa"/>
        </w:tblCellMar>
        <w:tblLook w:val="04A0" w:firstRow="1" w:lastRow="0" w:firstColumn="1" w:lastColumn="0" w:noHBand="0" w:noVBand="1"/>
      </w:tblPr>
      <w:tblGrid>
        <w:gridCol w:w="3840"/>
        <w:gridCol w:w="2660"/>
        <w:gridCol w:w="2660"/>
        <w:gridCol w:w="4500"/>
      </w:tblGrid>
      <w:tr w:rsidR="00F925DD" w14:paraId="5556D763" w14:textId="77777777">
        <w:tc>
          <w:tcPr>
            <w:tcW w:w="0" w:type="auto"/>
            <w:gridSpan w:val="4"/>
            <w:shd w:val="clear" w:color="auto" w:fill="auto"/>
            <w:vAlign w:val="center"/>
          </w:tcPr>
          <w:p w14:paraId="5556D762" w14:textId="77777777" w:rsidR="00F925DD" w:rsidRDefault="00F925DD">
            <w:pPr>
              <w:rPr>
                <w:rFonts w:ascii="Times New Roman" w:hAnsi="Times New Roman"/>
                <w:sz w:val="20"/>
                <w:szCs w:val="20"/>
              </w:rPr>
            </w:pPr>
          </w:p>
        </w:tc>
      </w:tr>
      <w:tr w:rsidR="00F925DD" w14:paraId="5556D768" w14:textId="77777777">
        <w:tc>
          <w:tcPr>
            <w:tcW w:w="3840" w:type="dxa"/>
            <w:shd w:val="clear" w:color="auto" w:fill="auto"/>
            <w:vAlign w:val="center"/>
          </w:tcPr>
          <w:p w14:paraId="5556D764" w14:textId="77777777" w:rsidR="00F925DD" w:rsidRDefault="00F925DD">
            <w:pPr>
              <w:rPr>
                <w:rFonts w:ascii="Times New Roman" w:hAnsi="Times New Roman"/>
                <w:sz w:val="20"/>
                <w:szCs w:val="20"/>
              </w:rPr>
            </w:pPr>
          </w:p>
        </w:tc>
        <w:tc>
          <w:tcPr>
            <w:tcW w:w="2660" w:type="dxa"/>
            <w:shd w:val="clear" w:color="auto" w:fill="auto"/>
            <w:vAlign w:val="center"/>
          </w:tcPr>
          <w:p w14:paraId="5556D765" w14:textId="77777777" w:rsidR="00F925DD" w:rsidRDefault="00F925DD">
            <w:pPr>
              <w:rPr>
                <w:rFonts w:ascii="Times New Roman" w:hAnsi="Times New Roman"/>
                <w:sz w:val="20"/>
                <w:szCs w:val="20"/>
              </w:rPr>
            </w:pPr>
          </w:p>
        </w:tc>
        <w:tc>
          <w:tcPr>
            <w:tcW w:w="2660" w:type="dxa"/>
            <w:shd w:val="clear" w:color="auto" w:fill="auto"/>
            <w:vAlign w:val="center"/>
          </w:tcPr>
          <w:p w14:paraId="5556D766" w14:textId="77777777" w:rsidR="00F925DD" w:rsidRDefault="00F925DD">
            <w:pPr>
              <w:rPr>
                <w:rFonts w:ascii="Times New Roman" w:hAnsi="Times New Roman"/>
                <w:sz w:val="20"/>
                <w:szCs w:val="20"/>
              </w:rPr>
            </w:pPr>
          </w:p>
        </w:tc>
        <w:tc>
          <w:tcPr>
            <w:tcW w:w="4500" w:type="dxa"/>
            <w:shd w:val="clear" w:color="auto" w:fill="auto"/>
            <w:vAlign w:val="center"/>
          </w:tcPr>
          <w:p w14:paraId="5556D767" w14:textId="77777777" w:rsidR="00F925DD" w:rsidRDefault="00F925DD">
            <w:pPr>
              <w:rPr>
                <w:rFonts w:ascii="Times New Roman" w:hAnsi="Times New Roman"/>
                <w:sz w:val="20"/>
                <w:szCs w:val="20"/>
              </w:rPr>
            </w:pPr>
          </w:p>
        </w:tc>
      </w:tr>
      <w:tr w:rsidR="00F925DD" w14:paraId="5556D76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7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7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7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7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76E"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925DD" w14:paraId="5556D771" w14:textId="77777777">
        <w:trPr>
          <w:tblCellSpacing w:w="0" w:type="dxa"/>
        </w:trPr>
        <w:tc>
          <w:tcPr>
            <w:tcW w:w="240" w:type="dxa"/>
            <w:shd w:val="clear" w:color="auto" w:fill="auto"/>
            <w:vAlign w:val="center"/>
          </w:tcPr>
          <w:p w14:paraId="5556D76F" w14:textId="77777777" w:rsidR="00F925DD" w:rsidRDefault="00F925DD">
            <w:pPr>
              <w:rPr>
                <w:rFonts w:ascii="Times New Roman" w:hAnsi="Times New Roman"/>
                <w:sz w:val="20"/>
                <w:szCs w:val="20"/>
              </w:rPr>
            </w:pPr>
          </w:p>
        </w:tc>
        <w:tc>
          <w:tcPr>
            <w:tcW w:w="0" w:type="auto"/>
            <w:shd w:val="clear" w:color="auto" w:fill="auto"/>
            <w:vAlign w:val="center"/>
          </w:tcPr>
          <w:p w14:paraId="5556D770" w14:textId="77777777" w:rsidR="00F925DD" w:rsidRDefault="00F925DD">
            <w:pPr>
              <w:rPr>
                <w:rFonts w:ascii="Times New Roman" w:hAnsi="Times New Roman"/>
                <w:sz w:val="20"/>
                <w:szCs w:val="20"/>
              </w:rPr>
            </w:pPr>
          </w:p>
        </w:tc>
      </w:tr>
      <w:tr w:rsidR="00F925DD" w14:paraId="5556D774" w14:textId="77777777">
        <w:trPr>
          <w:tblCellSpacing w:w="0" w:type="dxa"/>
        </w:trPr>
        <w:tc>
          <w:tcPr>
            <w:tcW w:w="0" w:type="auto"/>
            <w:shd w:val="clear" w:color="auto" w:fill="auto"/>
          </w:tcPr>
          <w:p w14:paraId="5556D772" w14:textId="77777777" w:rsidR="00F925DD" w:rsidRDefault="00E705D7">
            <w:pPr>
              <w:spacing w:line="288" w:lineRule="auto"/>
              <w:textAlignment w:val="top"/>
              <w:rPr>
                <w:rFonts w:ascii="Times New Roman" w:hAnsi="Times New Roman"/>
                <w:sz w:val="12"/>
                <w:szCs w:val="12"/>
              </w:rPr>
            </w:pPr>
            <w:r>
              <w:rPr>
                <w:rFonts w:ascii="Arial" w:eastAsia="宋体" w:hAnsi="Arial" w:cs="Arial"/>
                <w:sz w:val="8"/>
                <w:szCs w:val="8"/>
              </w:rPr>
              <w:t>(1)</w:t>
            </w:r>
            <w:r>
              <w:rPr>
                <w:rFonts w:ascii="Arial" w:eastAsia="宋体" w:hAnsi="Arial" w:cs="Arial"/>
                <w:sz w:val="12"/>
                <w:szCs w:val="12"/>
              </w:rPr>
              <w:t> </w:t>
            </w:r>
          </w:p>
        </w:tc>
        <w:tc>
          <w:tcPr>
            <w:tcW w:w="0" w:type="auto"/>
            <w:shd w:val="clear" w:color="auto" w:fill="auto"/>
          </w:tcPr>
          <w:p w14:paraId="5556D773" w14:textId="77777777" w:rsidR="00F925DD" w:rsidRDefault="00E705D7">
            <w:pPr>
              <w:spacing w:line="288" w:lineRule="auto"/>
              <w:jc w:val="both"/>
              <w:textAlignment w:val="top"/>
              <w:rPr>
                <w:rFonts w:ascii="Times New Roman" w:hAnsi="Times New Roman"/>
                <w:sz w:val="12"/>
                <w:szCs w:val="12"/>
              </w:rPr>
            </w:pPr>
            <w:r>
              <w:rPr>
                <w:rFonts w:ascii="Arial" w:eastAsia="宋体" w:hAnsi="Arial" w:cs="Arial"/>
                <w:sz w:val="12"/>
                <w:szCs w:val="12"/>
              </w:rPr>
              <w:t xml:space="preserve">We have entered into interest rate swap agreements, recorded as fair value hedges, to modify our </w:t>
            </w:r>
            <w:r>
              <w:rPr>
                <w:rFonts w:ascii="Arial" w:eastAsia="宋体" w:hAnsi="Arial" w:cs="Arial"/>
                <w:sz w:val="12"/>
                <w:szCs w:val="12"/>
              </w:rPr>
              <w:t>interest expense on these senior and subordinated notes from a fixed rate to a floating rate. As of both December 31, 2019 and 2018, the carrying value of long-term debt associated with these fair value hedges was $157 million. Refer to Note 10 for additio</w:t>
            </w:r>
            <w:r>
              <w:rPr>
                <w:rFonts w:ascii="Arial" w:eastAsia="宋体" w:hAnsi="Arial" w:cs="Arial"/>
                <w:sz w:val="12"/>
                <w:szCs w:val="12"/>
              </w:rPr>
              <w:t>nal information about fair value hedges.</w:t>
            </w:r>
          </w:p>
        </w:tc>
      </w:tr>
    </w:tbl>
    <w:p w14:paraId="5556D775"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6391"/>
      </w:tblGrid>
      <w:tr w:rsidR="00F925DD" w14:paraId="5556D778" w14:textId="77777777">
        <w:trPr>
          <w:tblCellSpacing w:w="0" w:type="dxa"/>
        </w:trPr>
        <w:tc>
          <w:tcPr>
            <w:tcW w:w="240" w:type="dxa"/>
            <w:shd w:val="clear" w:color="auto" w:fill="auto"/>
            <w:vAlign w:val="center"/>
          </w:tcPr>
          <w:p w14:paraId="5556D776" w14:textId="77777777" w:rsidR="00F925DD" w:rsidRDefault="00F925DD">
            <w:pPr>
              <w:rPr>
                <w:rFonts w:ascii="Times New Roman" w:hAnsi="Times New Roman"/>
                <w:sz w:val="20"/>
                <w:szCs w:val="20"/>
              </w:rPr>
            </w:pPr>
          </w:p>
        </w:tc>
        <w:tc>
          <w:tcPr>
            <w:tcW w:w="0" w:type="auto"/>
            <w:shd w:val="clear" w:color="auto" w:fill="auto"/>
            <w:vAlign w:val="center"/>
          </w:tcPr>
          <w:p w14:paraId="5556D777" w14:textId="77777777" w:rsidR="00F925DD" w:rsidRDefault="00F925DD">
            <w:pPr>
              <w:rPr>
                <w:rFonts w:ascii="Times New Roman" w:hAnsi="Times New Roman"/>
                <w:sz w:val="20"/>
                <w:szCs w:val="20"/>
              </w:rPr>
            </w:pPr>
          </w:p>
        </w:tc>
      </w:tr>
      <w:tr w:rsidR="00F925DD" w14:paraId="5556D77B" w14:textId="77777777">
        <w:trPr>
          <w:tblCellSpacing w:w="0" w:type="dxa"/>
        </w:trPr>
        <w:tc>
          <w:tcPr>
            <w:tcW w:w="0" w:type="auto"/>
            <w:shd w:val="clear" w:color="auto" w:fill="auto"/>
          </w:tcPr>
          <w:p w14:paraId="5556D779" w14:textId="77777777" w:rsidR="00F925DD" w:rsidRDefault="00E705D7">
            <w:pPr>
              <w:spacing w:line="288" w:lineRule="auto"/>
              <w:textAlignment w:val="top"/>
              <w:rPr>
                <w:rFonts w:ascii="Times New Roman" w:hAnsi="Times New Roman"/>
                <w:sz w:val="12"/>
                <w:szCs w:val="12"/>
              </w:rPr>
            </w:pPr>
            <w:r>
              <w:rPr>
                <w:rFonts w:ascii="Arial" w:eastAsia="宋体" w:hAnsi="Arial" w:cs="Arial"/>
                <w:sz w:val="8"/>
                <w:szCs w:val="8"/>
              </w:rPr>
              <w:t>(2)</w:t>
            </w:r>
            <w:r>
              <w:rPr>
                <w:rFonts w:ascii="Arial" w:eastAsia="宋体" w:hAnsi="Arial" w:cs="Arial"/>
                <w:sz w:val="12"/>
                <w:szCs w:val="12"/>
              </w:rPr>
              <w:t> </w:t>
            </w:r>
          </w:p>
        </w:tc>
        <w:tc>
          <w:tcPr>
            <w:tcW w:w="0" w:type="auto"/>
            <w:shd w:val="clear" w:color="auto" w:fill="auto"/>
          </w:tcPr>
          <w:p w14:paraId="5556D77A" w14:textId="77777777" w:rsidR="00F925DD" w:rsidRDefault="00E705D7">
            <w:pPr>
              <w:spacing w:line="288" w:lineRule="auto"/>
              <w:jc w:val="both"/>
              <w:textAlignment w:val="top"/>
              <w:rPr>
                <w:rFonts w:ascii="Times New Roman" w:hAnsi="Times New Roman"/>
                <w:sz w:val="12"/>
                <w:szCs w:val="12"/>
              </w:rPr>
            </w:pPr>
            <w:r>
              <w:rPr>
                <w:rFonts w:ascii="Arial" w:eastAsia="宋体" w:hAnsi="Arial" w:cs="Arial"/>
                <w:sz w:val="12"/>
                <w:szCs w:val="12"/>
              </w:rPr>
              <w:t>The subordinated notes qualify for inclusion in tier 2 regulatory capital under current federal regulatory capital guidelines.</w:t>
            </w:r>
          </w:p>
        </w:tc>
      </w:tr>
    </w:tbl>
    <w:p w14:paraId="5556D77C" w14:textId="77777777" w:rsidR="00F925DD" w:rsidRDefault="00F925DD">
      <w:pPr>
        <w:rPr>
          <w:vanish/>
        </w:rPr>
      </w:pPr>
    </w:p>
    <w:tbl>
      <w:tblPr>
        <w:tblW w:w="0" w:type="auto"/>
        <w:tblCellSpacing w:w="0" w:type="dxa"/>
        <w:tblCellMar>
          <w:left w:w="0" w:type="dxa"/>
          <w:bottom w:w="160" w:type="dxa"/>
          <w:right w:w="0" w:type="dxa"/>
        </w:tblCellMar>
        <w:tblLook w:val="04A0" w:firstRow="1" w:lastRow="0" w:firstColumn="1" w:lastColumn="0" w:noHBand="0" w:noVBand="1"/>
      </w:tblPr>
      <w:tblGrid>
        <w:gridCol w:w="240"/>
        <w:gridCol w:w="2575"/>
      </w:tblGrid>
      <w:tr w:rsidR="00F925DD" w14:paraId="5556D77F" w14:textId="77777777">
        <w:trPr>
          <w:tblCellSpacing w:w="0" w:type="dxa"/>
        </w:trPr>
        <w:tc>
          <w:tcPr>
            <w:tcW w:w="240" w:type="dxa"/>
            <w:shd w:val="clear" w:color="auto" w:fill="auto"/>
            <w:vAlign w:val="center"/>
          </w:tcPr>
          <w:p w14:paraId="5556D77D" w14:textId="77777777" w:rsidR="00F925DD" w:rsidRDefault="00F925DD">
            <w:pPr>
              <w:rPr>
                <w:rFonts w:ascii="Times New Roman" w:hAnsi="Times New Roman"/>
                <w:sz w:val="20"/>
                <w:szCs w:val="20"/>
              </w:rPr>
            </w:pPr>
          </w:p>
        </w:tc>
        <w:tc>
          <w:tcPr>
            <w:tcW w:w="0" w:type="auto"/>
            <w:shd w:val="clear" w:color="auto" w:fill="auto"/>
            <w:vAlign w:val="center"/>
          </w:tcPr>
          <w:p w14:paraId="5556D77E" w14:textId="77777777" w:rsidR="00F925DD" w:rsidRDefault="00F925DD">
            <w:pPr>
              <w:rPr>
                <w:rFonts w:ascii="Times New Roman" w:hAnsi="Times New Roman"/>
                <w:sz w:val="20"/>
                <w:szCs w:val="20"/>
              </w:rPr>
            </w:pPr>
          </w:p>
        </w:tc>
      </w:tr>
      <w:tr w:rsidR="00F925DD" w14:paraId="5556D782" w14:textId="77777777">
        <w:trPr>
          <w:tblCellSpacing w:w="0" w:type="dxa"/>
        </w:trPr>
        <w:tc>
          <w:tcPr>
            <w:tcW w:w="0" w:type="auto"/>
            <w:shd w:val="clear" w:color="auto" w:fill="auto"/>
          </w:tcPr>
          <w:p w14:paraId="5556D780" w14:textId="77777777" w:rsidR="00F925DD" w:rsidRDefault="00E705D7">
            <w:pPr>
              <w:spacing w:line="288" w:lineRule="auto"/>
              <w:textAlignment w:val="top"/>
              <w:rPr>
                <w:rFonts w:ascii="Times New Roman" w:hAnsi="Times New Roman"/>
                <w:sz w:val="12"/>
                <w:szCs w:val="12"/>
              </w:rPr>
            </w:pPr>
            <w:r>
              <w:rPr>
                <w:rFonts w:ascii="Arial" w:eastAsia="宋体" w:hAnsi="Arial" w:cs="Arial"/>
                <w:sz w:val="8"/>
                <w:szCs w:val="8"/>
              </w:rPr>
              <w:t>(3)</w:t>
            </w:r>
            <w:r>
              <w:rPr>
                <w:rFonts w:ascii="Arial" w:eastAsia="宋体" w:hAnsi="Arial" w:cs="Arial"/>
                <w:sz w:val="12"/>
                <w:szCs w:val="12"/>
              </w:rPr>
              <w:t> </w:t>
            </w:r>
          </w:p>
        </w:tc>
        <w:tc>
          <w:tcPr>
            <w:tcW w:w="0" w:type="auto"/>
            <w:shd w:val="clear" w:color="auto" w:fill="auto"/>
          </w:tcPr>
          <w:p w14:paraId="5556D781" w14:textId="77777777" w:rsidR="00F925DD" w:rsidRDefault="00E705D7">
            <w:pPr>
              <w:spacing w:line="288" w:lineRule="auto"/>
              <w:jc w:val="both"/>
              <w:textAlignment w:val="top"/>
              <w:rPr>
                <w:rFonts w:ascii="Times New Roman" w:hAnsi="Times New Roman"/>
                <w:sz w:val="12"/>
                <w:szCs w:val="12"/>
              </w:rPr>
            </w:pPr>
            <w:r>
              <w:rPr>
                <w:rFonts w:ascii="Arial" w:eastAsia="宋体" w:hAnsi="Arial" w:cs="Arial"/>
                <w:sz w:val="12"/>
                <w:szCs w:val="12"/>
              </w:rPr>
              <w:t>We may not redeem notes prior to their maturity.</w:t>
            </w:r>
          </w:p>
        </w:tc>
      </w:tr>
    </w:tbl>
    <w:p w14:paraId="5556D783" w14:textId="77777777" w:rsidR="00F925DD" w:rsidRDefault="00F925DD">
      <w:pPr>
        <w:rPr>
          <w:rFonts w:ascii="Times New Roman" w:hAnsi="Times New Roman"/>
          <w:sz w:val="20"/>
          <w:szCs w:val="20"/>
        </w:rPr>
      </w:pPr>
    </w:p>
    <w:p w14:paraId="5556D784"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w:t>
      </w:r>
      <w:r>
        <w:rPr>
          <w:rFonts w:ascii="Arial" w:eastAsia="宋体" w:hAnsi="Arial" w:cs="Arial"/>
          <w:sz w:val="18"/>
          <w:szCs w:val="18"/>
        </w:rPr>
        <w:t>Street Corporation | 146</w:t>
      </w:r>
    </w:p>
    <w:p w14:paraId="5556D785" w14:textId="77777777" w:rsidR="00F925DD" w:rsidRDefault="00F925DD">
      <w:pPr>
        <w:spacing w:line="288" w:lineRule="auto"/>
        <w:ind w:firstLine="600"/>
        <w:jc w:val="center"/>
        <w:rPr>
          <w:rFonts w:ascii="Times New Roman" w:hAnsi="Times New Roman"/>
          <w:sz w:val="18"/>
          <w:szCs w:val="18"/>
        </w:rPr>
      </w:pPr>
    </w:p>
    <w:p w14:paraId="5556D786" w14:textId="77777777" w:rsidR="00F925DD" w:rsidRDefault="00E705D7">
      <w:r>
        <w:rPr>
          <w:rFonts w:ascii="Times New Roman" w:hAnsi="Times New Roman"/>
          <w:sz w:val="18"/>
          <w:szCs w:val="18"/>
        </w:rPr>
        <w:pict w14:anchorId="555706CC">
          <v:rect id="_x0000_i1170" style="width:415.3pt;height:1.5pt" o:hralign="center" o:hrstd="t" o:hr="t" fillcolor="#a0a0a0" stroked="f"/>
        </w:pict>
      </w:r>
    </w:p>
    <w:p w14:paraId="5556D78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78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D789" w14:textId="77777777" w:rsidR="00F925DD" w:rsidRDefault="00F925DD">
      <w:pPr>
        <w:rPr>
          <w:rFonts w:ascii="Times New Roman" w:hAnsi="Times New Roman"/>
          <w:sz w:val="20"/>
          <w:szCs w:val="20"/>
        </w:rPr>
      </w:pPr>
    </w:p>
    <w:p w14:paraId="5556D78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the fourth quarter of 2019, we completed a cash tender offer for approximately $297 million of our $800 million aggregate principal amount of </w:t>
      </w:r>
      <w:r>
        <w:rPr>
          <w:rFonts w:ascii="Arial" w:eastAsia="宋体" w:hAnsi="Arial" w:cs="Arial"/>
          <w:sz w:val="20"/>
          <w:szCs w:val="20"/>
        </w:rPr>
        <w:t>outstanding floating rate junior subordinated debentures due 2047, resulting in a gain of approximately $44 million. Additionally, in the fourth quarter of 2019, we completed a redemption for approximately $50 million of our $150 million aggregate principa</w:t>
      </w:r>
      <w:r>
        <w:rPr>
          <w:rFonts w:ascii="Arial" w:eastAsia="宋体" w:hAnsi="Arial" w:cs="Arial"/>
          <w:sz w:val="20"/>
          <w:szCs w:val="20"/>
        </w:rPr>
        <w:t>l amount of outstanding floating rate junior subordinated debentures due 2028.</w:t>
      </w:r>
    </w:p>
    <w:p w14:paraId="5556D78B"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Termination of Replacement Capital Covenant</w:t>
      </w:r>
    </w:p>
    <w:p w14:paraId="5556D78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Prior to November 20, 2019, we were subject to a replacement capital covenant dated April 30, 2007 (the Original RCC), as amended by </w:t>
      </w:r>
      <w:r>
        <w:rPr>
          <w:rFonts w:ascii="Arial" w:eastAsia="宋体" w:hAnsi="Arial" w:cs="Arial"/>
          <w:sz w:val="20"/>
          <w:szCs w:val="20"/>
        </w:rPr>
        <w:t>the amendment to replacement capital covenant dated May 13, 2016 (the RCC Amendment and, together with the Original RCC, the Replacement Capital Covenant). Pursuant to the terms of the Replacement Capital Covenant, neither us nor any of our subsidiaries, i</w:t>
      </w:r>
      <w:r>
        <w:rPr>
          <w:rFonts w:ascii="Arial" w:eastAsia="宋体" w:hAnsi="Arial" w:cs="Arial"/>
          <w:sz w:val="20"/>
          <w:szCs w:val="20"/>
        </w:rPr>
        <w:t>ncluding State Street Bank, was permitted to repay, redeem or purchase any of the outstanding floating rate junior subordinated debentures due 2047 prior to June 1, 2047 unless certain conditions had been satisfied, except to the extent that (i) we obtaine</w:t>
      </w:r>
      <w:r>
        <w:rPr>
          <w:rFonts w:ascii="Arial" w:eastAsia="宋体" w:hAnsi="Arial" w:cs="Arial"/>
          <w:sz w:val="20"/>
          <w:szCs w:val="20"/>
        </w:rPr>
        <w:t>d the prior approval of the Federal Reserve, if such approval was then required, and (ii) we had received proceeds, up to specified percentages of the aggregate principal amount repaid or the applicable redemption or purchase price, from the sale or issuan</w:t>
      </w:r>
      <w:r>
        <w:rPr>
          <w:rFonts w:ascii="Arial" w:eastAsia="宋体" w:hAnsi="Arial" w:cs="Arial"/>
          <w:sz w:val="20"/>
          <w:szCs w:val="20"/>
        </w:rPr>
        <w:t>ce of qualifying securities with characteristics that are the same as, or more equity-like than, the applicable characteristics of the floating rate junior subordinated debentures due 2047 during the 180 days prior to the date of that repayment, redemption</w:t>
      </w:r>
      <w:r>
        <w:rPr>
          <w:rFonts w:ascii="Arial" w:eastAsia="宋体" w:hAnsi="Arial" w:cs="Arial"/>
          <w:sz w:val="20"/>
          <w:szCs w:val="20"/>
        </w:rPr>
        <w:t xml:space="preserve"> or purchase (which period was to be shortened under certain specified circumstances). The Replacement Capital Covenant was a covenant for the benefit of persons buying, holding or selling specified series of our unsecured long-term indebtedness or our dep</w:t>
      </w:r>
      <w:r>
        <w:rPr>
          <w:rFonts w:ascii="Arial" w:eastAsia="宋体" w:hAnsi="Arial" w:cs="Arial"/>
          <w:sz w:val="20"/>
          <w:szCs w:val="20"/>
        </w:rPr>
        <w:t>ository institution subsidiaries (the Covered Debt). The original Covered Debt under the Replacement Capital Covenant were the outstanding floating rate junior subordinated debentures due 2028.</w:t>
      </w:r>
    </w:p>
    <w:p w14:paraId="5556D78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Replacement Capital Covenant was terminated automatically </w:t>
      </w:r>
      <w:r>
        <w:rPr>
          <w:rFonts w:ascii="Arial" w:eastAsia="宋体" w:hAnsi="Arial" w:cs="Arial"/>
          <w:sz w:val="20"/>
          <w:szCs w:val="20"/>
        </w:rPr>
        <w:t>without further action on November 20, 2019, following the settlement of the partial redemption of approximately $50 million aggregate principal amount of floating rate junior subordinated debentures due 2028 and the redesignation of our 2.650% Senior Note</w:t>
      </w:r>
      <w:r>
        <w:rPr>
          <w:rFonts w:ascii="Arial" w:eastAsia="宋体" w:hAnsi="Arial" w:cs="Arial"/>
          <w:sz w:val="20"/>
          <w:szCs w:val="20"/>
        </w:rPr>
        <w:t>s due 2026 as Covered Debt for the purposes of the Replacement Capital Covenant, and purchases of the floating rate junior subordinated debentures due 2047 are permissible without issuing qualifying securities under the Replacement Capital Covenant. The Or</w:t>
      </w:r>
      <w:r>
        <w:rPr>
          <w:rFonts w:ascii="Arial" w:eastAsia="宋体" w:hAnsi="Arial" w:cs="Arial"/>
          <w:sz w:val="20"/>
          <w:szCs w:val="20"/>
        </w:rPr>
        <w:t>iginal RCC and the RCC Amendment were included as Exhibit 99.2 and Exhibit 99.3 to our Current Report on Form 8-K, which was filed on November 21, 2019.</w:t>
      </w:r>
    </w:p>
    <w:p w14:paraId="5556D78E"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D78F"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Parent Company</w:t>
      </w:r>
    </w:p>
    <w:p w14:paraId="5556D79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and 2018, long-term finance leases included $136 million and $</w:t>
      </w:r>
      <w:r>
        <w:rPr>
          <w:rFonts w:ascii="Arial" w:eastAsia="宋体" w:hAnsi="Arial" w:cs="Arial"/>
          <w:sz w:val="20"/>
          <w:szCs w:val="20"/>
        </w:rPr>
        <w:t>190 million, respectively, related to our One Lincoln Street headquarters building and related underground parking garage. Refer to Note 20 for additional information.</w:t>
      </w:r>
    </w:p>
    <w:p w14:paraId="5556D791"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10. Derivative Financial Instruments</w:t>
      </w:r>
    </w:p>
    <w:p w14:paraId="5556D79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derivative financial instruments to sup</w:t>
      </w:r>
      <w:r>
        <w:rPr>
          <w:rFonts w:ascii="Arial" w:eastAsia="宋体" w:hAnsi="Arial" w:cs="Arial"/>
          <w:sz w:val="20"/>
          <w:szCs w:val="20"/>
        </w:rPr>
        <w:t xml:space="preserve">port our clients' needs and to manage our interest rate and currency risks. These financial instruments consist of FX contracts such as forwards, futures and options contracts; interest rate contracts such as interest rate swaps (cross currency and single </w:t>
      </w:r>
      <w:r>
        <w:rPr>
          <w:rFonts w:ascii="Arial" w:eastAsia="宋体" w:hAnsi="Arial" w:cs="Arial"/>
          <w:sz w:val="20"/>
          <w:szCs w:val="20"/>
        </w:rPr>
        <w:t>currency) and futures; and other derivative contracts. Derivative instruments used for risk management purposes that are highly effective in offsetting the risk being hedged are generally designated as hedging instruments in hedge accounting relationships,</w:t>
      </w:r>
      <w:r>
        <w:rPr>
          <w:rFonts w:ascii="Arial" w:eastAsia="宋体" w:hAnsi="Arial" w:cs="Arial"/>
          <w:sz w:val="20"/>
          <w:szCs w:val="20"/>
        </w:rPr>
        <w:t xml:space="preserve"> while others are economic hedges and not designated in hedge accounting relationships. Derivatives in hedge accounting relationships are disclosed according to the type of hedge, such as, fair value, cash flow, or net investment. Derivatives designated as</w:t>
      </w:r>
      <w:r>
        <w:rPr>
          <w:rFonts w:ascii="Arial" w:eastAsia="宋体" w:hAnsi="Arial" w:cs="Arial"/>
          <w:sz w:val="20"/>
          <w:szCs w:val="20"/>
        </w:rPr>
        <w:t xml:space="preserve"> hedging instruments in hedge accounting relationships are carried at fair value with change in fair value recognized in the consolidated statement of income or OCI, as appropriate. Derivatives not designated in hedge accounting relationships include those</w:t>
      </w:r>
      <w:r>
        <w:rPr>
          <w:rFonts w:ascii="Arial" w:eastAsia="宋体" w:hAnsi="Arial" w:cs="Arial"/>
          <w:sz w:val="20"/>
          <w:szCs w:val="20"/>
        </w:rPr>
        <w:t xml:space="preserve"> derivatives entered into to support client needs and derivatives used to manage interest rate or foreign currency risk associated with certain assets and liabilities. Such derivatives are carried at fair value with changes in fair value recognized in the </w:t>
      </w:r>
      <w:r>
        <w:rPr>
          <w:rFonts w:ascii="Arial" w:eastAsia="宋体" w:hAnsi="Arial" w:cs="Arial"/>
          <w:sz w:val="20"/>
          <w:szCs w:val="20"/>
        </w:rPr>
        <w:t>consolidated statement of income.</w:t>
      </w:r>
    </w:p>
    <w:p w14:paraId="5556D793" w14:textId="77777777" w:rsidR="00F925DD" w:rsidRDefault="00E705D7">
      <w:pPr>
        <w:spacing w:line="288" w:lineRule="auto"/>
        <w:jc w:val="both"/>
        <w:rPr>
          <w:rFonts w:ascii="Times New Roman" w:hAnsi="Times New Roman"/>
          <w:sz w:val="20"/>
          <w:szCs w:val="20"/>
        </w:rPr>
      </w:pPr>
      <w:r>
        <w:rPr>
          <w:rFonts w:ascii="Arial" w:eastAsia="宋体" w:hAnsi="Arial" w:cs="Arial"/>
          <w:b/>
          <w:bCs/>
          <w:i/>
          <w:iCs/>
          <w:sz w:val="20"/>
          <w:szCs w:val="20"/>
        </w:rPr>
        <w:t>Derivatives Not Designated as Hedging Instruments</w:t>
      </w:r>
    </w:p>
    <w:p w14:paraId="5556D79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provide foreign exchange forward contracts and options in support of our client needs, and also act as a dealer in the currency markets. As part of our trading </w:t>
      </w:r>
      <w:r>
        <w:rPr>
          <w:rFonts w:ascii="Arial" w:eastAsia="宋体" w:hAnsi="Arial" w:cs="Arial"/>
          <w:sz w:val="20"/>
          <w:szCs w:val="20"/>
        </w:rPr>
        <w:t>activities, we assume positions in both the foreign exchange and interest rate markets by buying and selling cash instruments and using derivative financial instruments, including foreign exchange forward contracts, foreign exchange and interest rate optio</w:t>
      </w:r>
      <w:r>
        <w:rPr>
          <w:rFonts w:ascii="Arial" w:eastAsia="宋体" w:hAnsi="Arial" w:cs="Arial"/>
          <w:sz w:val="20"/>
          <w:szCs w:val="20"/>
        </w:rPr>
        <w:t>ns, interest rate forward contracts, and interest rate futures. The entire change in the fair value of our non-hedging derivatives utilized in our trading activities are recorded in foreign exchange trading services revenue, and the entire change in fair v</w:t>
      </w:r>
      <w:r>
        <w:rPr>
          <w:rFonts w:ascii="Arial" w:eastAsia="宋体" w:hAnsi="Arial" w:cs="Arial"/>
          <w:sz w:val="20"/>
          <w:szCs w:val="20"/>
        </w:rPr>
        <w:t>alue of our non-hedging derivatives utilized in our asset-and-liability management activities are recorded in net interest income.</w:t>
      </w:r>
    </w:p>
    <w:p w14:paraId="5556D79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enter into stable value wrap derivative contracts with unaffiliated stable value funds that allow a stable value fund to p</w:t>
      </w:r>
      <w:r>
        <w:rPr>
          <w:rFonts w:ascii="Arial" w:eastAsia="宋体" w:hAnsi="Arial" w:cs="Arial"/>
          <w:sz w:val="20"/>
          <w:szCs w:val="20"/>
        </w:rPr>
        <w:t xml:space="preserve">rovide book value coverage to </w:t>
      </w:r>
    </w:p>
    <w:p w14:paraId="5556D796" w14:textId="77777777" w:rsidR="00F925DD" w:rsidRDefault="00F925DD">
      <w:pPr>
        <w:rPr>
          <w:rFonts w:ascii="Times New Roman" w:hAnsi="Times New Roman"/>
          <w:sz w:val="20"/>
          <w:szCs w:val="20"/>
        </w:rPr>
      </w:pPr>
    </w:p>
    <w:p w14:paraId="5556D79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147</w:t>
      </w:r>
    </w:p>
    <w:p w14:paraId="5556D798" w14:textId="77777777" w:rsidR="00F925DD" w:rsidRDefault="00F925DD">
      <w:pPr>
        <w:spacing w:line="288" w:lineRule="auto"/>
        <w:ind w:firstLine="600"/>
        <w:jc w:val="center"/>
        <w:rPr>
          <w:rFonts w:ascii="Times New Roman" w:hAnsi="Times New Roman"/>
          <w:sz w:val="18"/>
          <w:szCs w:val="18"/>
        </w:rPr>
      </w:pPr>
    </w:p>
    <w:p w14:paraId="5556D799" w14:textId="77777777" w:rsidR="00F925DD" w:rsidRDefault="00E705D7">
      <w:r>
        <w:rPr>
          <w:rFonts w:ascii="Times New Roman" w:hAnsi="Times New Roman"/>
          <w:sz w:val="18"/>
          <w:szCs w:val="18"/>
        </w:rPr>
        <w:pict w14:anchorId="555706CD">
          <v:rect id="_x0000_i1171" style="width:415.3pt;height:1.5pt" o:hralign="center" o:hrstd="t" o:hr="t" fillcolor="#a0a0a0" stroked="f"/>
        </w:pict>
      </w:r>
    </w:p>
    <w:p w14:paraId="5556D79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79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D79C" w14:textId="77777777" w:rsidR="00F925DD" w:rsidRDefault="00F925DD">
      <w:pPr>
        <w:rPr>
          <w:rFonts w:ascii="Times New Roman" w:hAnsi="Times New Roman"/>
          <w:sz w:val="20"/>
          <w:szCs w:val="20"/>
        </w:rPr>
      </w:pPr>
    </w:p>
    <w:p w14:paraId="5556D79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its participants. These derivatives contracts qualify as guarantees as described in Note 12.</w:t>
      </w:r>
    </w:p>
    <w:p w14:paraId="5556D79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grant deferred cash </w:t>
      </w:r>
      <w:r>
        <w:rPr>
          <w:rFonts w:ascii="Arial" w:eastAsia="宋体" w:hAnsi="Arial" w:cs="Arial"/>
          <w:sz w:val="20"/>
          <w:szCs w:val="20"/>
        </w:rPr>
        <w:t>awards to certain of our employees as part of our employee incentive compensation plans. We account for these awards as derivative financial instruments, as the underlying referenced shares are not equity instruments of ours. The fair value of these deriva</w:t>
      </w:r>
      <w:r>
        <w:rPr>
          <w:rFonts w:ascii="Arial" w:eastAsia="宋体" w:hAnsi="Arial" w:cs="Arial"/>
          <w:sz w:val="20"/>
          <w:szCs w:val="20"/>
        </w:rPr>
        <w:t>tives is referenced to the value of units in State Street-sponsored investment funds or funds sponsored by other unrelated entities. We re-measure these derivatives to fair value quarterly, and record the change in value in compensation and employee benefi</w:t>
      </w:r>
      <w:r>
        <w:rPr>
          <w:rFonts w:ascii="Arial" w:eastAsia="宋体" w:hAnsi="Arial" w:cs="Arial"/>
          <w:sz w:val="20"/>
          <w:szCs w:val="20"/>
        </w:rPr>
        <w:t>ts expenses in our consolidated statement of income.</w:t>
      </w:r>
    </w:p>
    <w:p w14:paraId="5556D79F" w14:textId="77777777" w:rsidR="00F925DD" w:rsidRDefault="00E705D7">
      <w:pPr>
        <w:spacing w:line="288" w:lineRule="auto"/>
        <w:rPr>
          <w:rFonts w:ascii="Times New Roman" w:hAnsi="Times New Roman"/>
          <w:sz w:val="20"/>
          <w:szCs w:val="20"/>
        </w:rPr>
      </w:pPr>
      <w:r>
        <w:rPr>
          <w:rFonts w:ascii="Arial" w:eastAsia="宋体" w:hAnsi="Arial" w:cs="Arial"/>
          <w:b/>
          <w:bCs/>
          <w:i/>
          <w:iCs/>
          <w:sz w:val="20"/>
          <w:szCs w:val="20"/>
        </w:rPr>
        <w:t>Derivatives Designated as Hedging Instruments</w:t>
      </w:r>
    </w:p>
    <w:p w14:paraId="5556D7A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connection with our asset-and-liability management activities, we use derivative financial instruments to manage our interest rate risk and foreign curren</w:t>
      </w:r>
      <w:r>
        <w:rPr>
          <w:rFonts w:ascii="Arial" w:eastAsia="宋体" w:hAnsi="Arial" w:cs="Arial"/>
          <w:sz w:val="20"/>
          <w:szCs w:val="20"/>
        </w:rPr>
        <w:t>cy risk for certain assets and liabilities. At both the inception of the hedge and on an ongoing basis, we formally assess and document the effectiveness of a derivative designated in a hedging relationship and the likelihood that the derivative will be an</w:t>
      </w:r>
      <w:r>
        <w:rPr>
          <w:rFonts w:ascii="Arial" w:eastAsia="宋体" w:hAnsi="Arial" w:cs="Arial"/>
          <w:sz w:val="20"/>
          <w:szCs w:val="20"/>
        </w:rPr>
        <w:t xml:space="preserve"> effective hedge in future periods. We discontinue hedge accounting prospectively when we determine that the derivative is no longer highly effective in offsetting changes in fair value or cash flows of the underlying risk being hedged, the derivative expi</w:t>
      </w:r>
      <w:r>
        <w:rPr>
          <w:rFonts w:ascii="Arial" w:eastAsia="宋体" w:hAnsi="Arial" w:cs="Arial"/>
          <w:sz w:val="20"/>
          <w:szCs w:val="20"/>
        </w:rPr>
        <w:t>res, terminates or is sold, or management discontinues the hedge designation.</w:t>
      </w:r>
    </w:p>
    <w:p w14:paraId="5556D7A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risk management objective of a highly effective hedging strategy that qualifies for hedge accounting must be formally documented. The hedge documentation includes the derivat</w:t>
      </w:r>
      <w:r>
        <w:rPr>
          <w:rFonts w:ascii="Arial" w:eastAsia="宋体" w:hAnsi="Arial" w:cs="Arial"/>
          <w:sz w:val="20"/>
          <w:szCs w:val="20"/>
        </w:rPr>
        <w:t xml:space="preserve">ive hedging instrument, the asset or liability or forecasted transaction, type of risk being hedged and method for assessing hedge effectiveness of the derivative prospectively and retrospectively. We use quantitative methods including regression analysis </w:t>
      </w:r>
      <w:r>
        <w:rPr>
          <w:rFonts w:ascii="Arial" w:eastAsia="宋体" w:hAnsi="Arial" w:cs="Arial"/>
          <w:sz w:val="20"/>
          <w:szCs w:val="20"/>
        </w:rPr>
        <w:t>and cumulative dollar offset method, comparing the change in the fair value of the derivative to the change in fair value or the cash flows of the hedged item. We may also utilize qualitative methods such as matching critical terms and evaluation of any ch</w:t>
      </w:r>
      <w:r>
        <w:rPr>
          <w:rFonts w:ascii="Arial" w:eastAsia="宋体" w:hAnsi="Arial" w:cs="Arial"/>
          <w:sz w:val="20"/>
          <w:szCs w:val="20"/>
        </w:rPr>
        <w:t>anges in those critical terms. Effectiveness is assessed and documented quarterly and if determined that the derivative is not highly effective at hedging the designated risk hedge accounting is discontinued.</w:t>
      </w:r>
    </w:p>
    <w:p w14:paraId="5556D7A2" w14:textId="77777777" w:rsidR="00F925DD" w:rsidRDefault="00E705D7">
      <w:pPr>
        <w:spacing w:line="288" w:lineRule="auto"/>
        <w:rPr>
          <w:rFonts w:ascii="Times New Roman" w:hAnsi="Times New Roman"/>
          <w:sz w:val="20"/>
          <w:szCs w:val="20"/>
        </w:rPr>
      </w:pPr>
      <w:r>
        <w:rPr>
          <w:rFonts w:ascii="Arial" w:eastAsia="宋体" w:hAnsi="Arial" w:cs="Arial"/>
          <w:i/>
          <w:iCs/>
          <w:sz w:val="20"/>
          <w:szCs w:val="20"/>
        </w:rPr>
        <w:t>Fair Value Hedges</w:t>
      </w:r>
    </w:p>
    <w:p w14:paraId="5556D7A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Derivatives designated as fai</w:t>
      </w:r>
      <w:r>
        <w:rPr>
          <w:rFonts w:ascii="Arial" w:eastAsia="宋体" w:hAnsi="Arial" w:cs="Arial"/>
          <w:sz w:val="20"/>
          <w:szCs w:val="20"/>
        </w:rPr>
        <w:t>r value hedges are utilized to mitigate the risk of changes in the fair values of recognized assets and liabilities, including long-term debt, AFS securities, and foreign currency investment securities. We use interest rate or FX contracts in this manner t</w:t>
      </w:r>
      <w:r>
        <w:rPr>
          <w:rFonts w:ascii="Arial" w:eastAsia="宋体" w:hAnsi="Arial" w:cs="Arial"/>
          <w:sz w:val="20"/>
          <w:szCs w:val="20"/>
        </w:rPr>
        <w:t xml:space="preserve">o manage our exposure to changes in the fair value of hedged items caused by changes in interest rates or FX rates. </w:t>
      </w:r>
    </w:p>
    <w:p w14:paraId="5556D7A4"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D7A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Changes in the fair value of the derivative and changes in fair value of the hedged item due to changes in the hedged risk are recognized</w:t>
      </w:r>
      <w:r>
        <w:rPr>
          <w:rFonts w:ascii="Arial" w:eastAsia="宋体" w:hAnsi="Arial" w:cs="Arial"/>
          <w:sz w:val="20"/>
          <w:szCs w:val="20"/>
        </w:rPr>
        <w:t xml:space="preserve"> in earnings in the same line item. If a hedge is terminated, but the hedged item was not derecognized, all remaining adjustments to the carrying amount of the hedged item are amortized over a period that is consistent with the amortization of other discou</w:t>
      </w:r>
      <w:r>
        <w:rPr>
          <w:rFonts w:ascii="Arial" w:eastAsia="宋体" w:hAnsi="Arial" w:cs="Arial"/>
          <w:sz w:val="20"/>
          <w:szCs w:val="20"/>
        </w:rPr>
        <w:t>nts or premiums associated with the hedged item</w:t>
      </w:r>
      <w:r>
        <w:rPr>
          <w:rFonts w:ascii="Times New Roman" w:eastAsia="宋体" w:hAnsi="Times New Roman"/>
          <w:sz w:val="20"/>
          <w:szCs w:val="20"/>
        </w:rPr>
        <w:t xml:space="preserve">. </w:t>
      </w:r>
    </w:p>
    <w:p w14:paraId="5556D7A6"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Cash Flow Hedges</w:t>
      </w:r>
    </w:p>
    <w:p w14:paraId="5556D7A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Derivatives designated as cash flow hedges are utilized to offset the variability of cash flows of recognized assets or liabilities or forecasted transactions. We have entered into FX contr</w:t>
      </w:r>
      <w:r>
        <w:rPr>
          <w:rFonts w:ascii="Arial" w:eastAsia="宋体" w:hAnsi="Arial" w:cs="Arial"/>
          <w:sz w:val="20"/>
          <w:szCs w:val="20"/>
        </w:rPr>
        <w:t>acts to hedge the change in cash flows attributable to FX movements in foreign currency denominated investment securities. Additionally, we have entered into interest rate swap agreements to hedge the forecasted cash flows associated with LIBOR indexed flo</w:t>
      </w:r>
      <w:r>
        <w:rPr>
          <w:rFonts w:ascii="Arial" w:eastAsia="宋体" w:hAnsi="Arial" w:cs="Arial"/>
          <w:sz w:val="20"/>
          <w:szCs w:val="20"/>
        </w:rPr>
        <w:t>ating-rate loans. The interest rate swaps synthetically convert the loan interest receipts from a variable-rate to a fixed-rate, thereby mitigating the risk attributable to changes in the LIBOR benchmark rate.</w:t>
      </w:r>
    </w:p>
    <w:p w14:paraId="5556D7A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Changes in fair value of the derivatives desig</w:t>
      </w:r>
      <w:r>
        <w:rPr>
          <w:rFonts w:ascii="Arial" w:eastAsia="宋体" w:hAnsi="Arial" w:cs="Arial"/>
          <w:sz w:val="20"/>
          <w:szCs w:val="20"/>
        </w:rPr>
        <w:t>nated as cash flow hedges are initially recorded in AOCI and then reclassified into earnings in the same period or periods during which the hedged forecasted transaction affects earnings and are presented in the same income statement line item as the earni</w:t>
      </w:r>
      <w:r>
        <w:rPr>
          <w:rFonts w:ascii="Arial" w:eastAsia="宋体" w:hAnsi="Arial" w:cs="Arial"/>
          <w:sz w:val="20"/>
          <w:szCs w:val="20"/>
        </w:rPr>
        <w:t>ngs effect of the hedged item. If the hedge relationship is terminated, the change in fair value on the derivative recorded in AOCI is reclassified into earnings consistent with the timing of the hedged item. For hedge relationships that are discontinued b</w:t>
      </w:r>
      <w:r>
        <w:rPr>
          <w:rFonts w:ascii="Arial" w:eastAsia="宋体" w:hAnsi="Arial" w:cs="Arial"/>
          <w:sz w:val="20"/>
          <w:szCs w:val="20"/>
        </w:rPr>
        <w:t>ecause a forecasted transaction is not expected to occur according to the original hedge terms, any related derivative values recorded in AOCI are immediately recognized in earnings. As of December 31, 2019, the maximum maturity date of the underlying loan</w:t>
      </w:r>
      <w:r>
        <w:rPr>
          <w:rFonts w:ascii="Arial" w:eastAsia="宋体" w:hAnsi="Arial" w:cs="Arial"/>
          <w:sz w:val="20"/>
          <w:szCs w:val="20"/>
        </w:rPr>
        <w:t>s is approximately 4.7 years.</w:t>
      </w:r>
    </w:p>
    <w:p w14:paraId="5556D7A9"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Net Investment Hedges</w:t>
      </w:r>
    </w:p>
    <w:p w14:paraId="5556D7A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Derivatives categorized as net investment hedges are entered into to protect the net investment in our foreign operations against adverse changes in exchange rates. We use FX forward contracts to </w:t>
      </w:r>
      <w:r>
        <w:rPr>
          <w:rFonts w:ascii="Arial" w:eastAsia="宋体" w:hAnsi="Arial" w:cs="Arial"/>
          <w:sz w:val="20"/>
          <w:szCs w:val="20"/>
        </w:rPr>
        <w:t>convert the foreign currency risk to U.S. dollars to mitigate our exposure to fluctuations in FX rates. The changes in fair value of the FX forward contracts are recorded, net of taxes, in the foreign currency translation component of OCI.</w:t>
      </w:r>
    </w:p>
    <w:p w14:paraId="5556D7AB" w14:textId="77777777" w:rsidR="00F925DD" w:rsidRDefault="00F925DD">
      <w:pPr>
        <w:rPr>
          <w:rFonts w:ascii="Times New Roman" w:hAnsi="Times New Roman"/>
          <w:sz w:val="20"/>
          <w:szCs w:val="20"/>
        </w:rPr>
      </w:pPr>
    </w:p>
    <w:p w14:paraId="5556D7A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w:t>
      </w:r>
      <w:r>
        <w:rPr>
          <w:rFonts w:ascii="Arial" w:eastAsia="宋体" w:hAnsi="Arial" w:cs="Arial"/>
          <w:sz w:val="18"/>
          <w:szCs w:val="18"/>
        </w:rPr>
        <w:t>rporation | 148</w:t>
      </w:r>
    </w:p>
    <w:p w14:paraId="5556D7AD" w14:textId="77777777" w:rsidR="00F925DD" w:rsidRDefault="00F925DD">
      <w:pPr>
        <w:spacing w:line="288" w:lineRule="auto"/>
        <w:ind w:firstLine="600"/>
        <w:jc w:val="center"/>
        <w:rPr>
          <w:rFonts w:ascii="Times New Roman" w:hAnsi="Times New Roman"/>
          <w:sz w:val="18"/>
          <w:szCs w:val="18"/>
        </w:rPr>
      </w:pPr>
    </w:p>
    <w:p w14:paraId="5556D7AE" w14:textId="77777777" w:rsidR="00F925DD" w:rsidRDefault="00E705D7">
      <w:r>
        <w:rPr>
          <w:rFonts w:ascii="Times New Roman" w:hAnsi="Times New Roman"/>
          <w:sz w:val="18"/>
          <w:szCs w:val="18"/>
        </w:rPr>
        <w:pict w14:anchorId="555706CE">
          <v:rect id="_x0000_i1172" style="width:415.3pt;height:1.5pt" o:hralign="center" o:hrstd="t" o:hr="t" fillcolor="#a0a0a0" stroked="f"/>
        </w:pict>
      </w:r>
    </w:p>
    <w:p w14:paraId="5556D7A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7B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D7B1" w14:textId="77777777" w:rsidR="00F925DD" w:rsidRDefault="00F925DD">
      <w:pPr>
        <w:rPr>
          <w:rFonts w:ascii="Times New Roman" w:hAnsi="Times New Roman"/>
          <w:sz w:val="20"/>
          <w:szCs w:val="20"/>
        </w:rPr>
      </w:pPr>
    </w:p>
    <w:p w14:paraId="5556D7B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aggregate contractual, or notional, amounts of derivative financial instruments including those entered into for trading and asset-and-</w:t>
      </w:r>
      <w:r>
        <w:rPr>
          <w:rFonts w:ascii="Arial" w:eastAsia="宋体" w:hAnsi="Arial" w:cs="Arial"/>
          <w:sz w:val="20"/>
          <w:szCs w:val="20"/>
        </w:rPr>
        <w:t>liability management activities as of the dates indicated:</w:t>
      </w:r>
    </w:p>
    <w:tbl>
      <w:tblPr>
        <w:tblW w:w="5000" w:type="pct"/>
        <w:tblCellMar>
          <w:left w:w="0" w:type="dxa"/>
          <w:right w:w="0" w:type="dxa"/>
        </w:tblCellMar>
        <w:tblLook w:val="04A0" w:firstRow="1" w:lastRow="0" w:firstColumn="1" w:lastColumn="0" w:noHBand="0" w:noVBand="1"/>
      </w:tblPr>
      <w:tblGrid>
        <w:gridCol w:w="4874"/>
        <w:gridCol w:w="125"/>
        <w:gridCol w:w="1469"/>
        <w:gridCol w:w="57"/>
        <w:gridCol w:w="130"/>
        <w:gridCol w:w="125"/>
        <w:gridCol w:w="1469"/>
        <w:gridCol w:w="57"/>
      </w:tblGrid>
      <w:tr w:rsidR="00F925DD" w14:paraId="5556D7B4" w14:textId="77777777">
        <w:tc>
          <w:tcPr>
            <w:tcW w:w="0" w:type="auto"/>
            <w:gridSpan w:val="8"/>
            <w:shd w:val="clear" w:color="auto" w:fill="auto"/>
            <w:vAlign w:val="center"/>
          </w:tcPr>
          <w:p w14:paraId="5556D7B3" w14:textId="77777777" w:rsidR="00F925DD" w:rsidRDefault="00F925DD">
            <w:pPr>
              <w:rPr>
                <w:rFonts w:ascii="Times New Roman" w:hAnsi="Times New Roman"/>
                <w:sz w:val="20"/>
                <w:szCs w:val="20"/>
              </w:rPr>
            </w:pPr>
          </w:p>
        </w:tc>
      </w:tr>
      <w:tr w:rsidR="00F925DD" w14:paraId="5556D7BD" w14:textId="77777777">
        <w:tc>
          <w:tcPr>
            <w:tcW w:w="2950" w:type="pct"/>
            <w:shd w:val="clear" w:color="auto" w:fill="auto"/>
            <w:vAlign w:val="center"/>
          </w:tcPr>
          <w:p w14:paraId="5556D7B5" w14:textId="77777777" w:rsidR="00F925DD" w:rsidRDefault="00F925DD">
            <w:pPr>
              <w:rPr>
                <w:rFonts w:ascii="Times New Roman" w:hAnsi="Times New Roman"/>
                <w:sz w:val="20"/>
                <w:szCs w:val="20"/>
              </w:rPr>
            </w:pPr>
          </w:p>
        </w:tc>
        <w:tc>
          <w:tcPr>
            <w:tcW w:w="50" w:type="pct"/>
            <w:shd w:val="clear" w:color="auto" w:fill="auto"/>
            <w:vAlign w:val="center"/>
          </w:tcPr>
          <w:p w14:paraId="5556D7B6" w14:textId="77777777" w:rsidR="00F925DD" w:rsidRDefault="00F925DD">
            <w:pPr>
              <w:rPr>
                <w:rFonts w:ascii="Times New Roman" w:hAnsi="Times New Roman"/>
                <w:sz w:val="20"/>
                <w:szCs w:val="20"/>
              </w:rPr>
            </w:pPr>
          </w:p>
        </w:tc>
        <w:tc>
          <w:tcPr>
            <w:tcW w:w="900" w:type="pct"/>
            <w:shd w:val="clear" w:color="auto" w:fill="auto"/>
            <w:vAlign w:val="center"/>
          </w:tcPr>
          <w:p w14:paraId="5556D7B7" w14:textId="77777777" w:rsidR="00F925DD" w:rsidRDefault="00F925DD">
            <w:pPr>
              <w:rPr>
                <w:rFonts w:ascii="Times New Roman" w:hAnsi="Times New Roman"/>
                <w:sz w:val="20"/>
                <w:szCs w:val="20"/>
              </w:rPr>
            </w:pPr>
          </w:p>
        </w:tc>
        <w:tc>
          <w:tcPr>
            <w:tcW w:w="50" w:type="pct"/>
            <w:shd w:val="clear" w:color="auto" w:fill="auto"/>
            <w:vAlign w:val="center"/>
          </w:tcPr>
          <w:p w14:paraId="5556D7B8" w14:textId="77777777" w:rsidR="00F925DD" w:rsidRDefault="00F925DD">
            <w:pPr>
              <w:rPr>
                <w:rFonts w:ascii="Times New Roman" w:hAnsi="Times New Roman"/>
                <w:sz w:val="20"/>
                <w:szCs w:val="20"/>
              </w:rPr>
            </w:pPr>
          </w:p>
        </w:tc>
        <w:tc>
          <w:tcPr>
            <w:tcW w:w="50" w:type="pct"/>
            <w:shd w:val="clear" w:color="auto" w:fill="auto"/>
            <w:vAlign w:val="center"/>
          </w:tcPr>
          <w:p w14:paraId="5556D7B9" w14:textId="77777777" w:rsidR="00F925DD" w:rsidRDefault="00F925DD">
            <w:pPr>
              <w:rPr>
                <w:rFonts w:ascii="Times New Roman" w:hAnsi="Times New Roman"/>
                <w:sz w:val="20"/>
                <w:szCs w:val="20"/>
              </w:rPr>
            </w:pPr>
          </w:p>
        </w:tc>
        <w:tc>
          <w:tcPr>
            <w:tcW w:w="50" w:type="pct"/>
            <w:shd w:val="clear" w:color="auto" w:fill="auto"/>
            <w:vAlign w:val="center"/>
          </w:tcPr>
          <w:p w14:paraId="5556D7BA" w14:textId="77777777" w:rsidR="00F925DD" w:rsidRDefault="00F925DD">
            <w:pPr>
              <w:rPr>
                <w:rFonts w:ascii="Times New Roman" w:hAnsi="Times New Roman"/>
                <w:sz w:val="20"/>
                <w:szCs w:val="20"/>
              </w:rPr>
            </w:pPr>
          </w:p>
        </w:tc>
        <w:tc>
          <w:tcPr>
            <w:tcW w:w="900" w:type="pct"/>
            <w:shd w:val="clear" w:color="auto" w:fill="auto"/>
            <w:vAlign w:val="center"/>
          </w:tcPr>
          <w:p w14:paraId="5556D7BB" w14:textId="77777777" w:rsidR="00F925DD" w:rsidRDefault="00F925DD">
            <w:pPr>
              <w:rPr>
                <w:rFonts w:ascii="Times New Roman" w:hAnsi="Times New Roman"/>
                <w:sz w:val="20"/>
                <w:szCs w:val="20"/>
              </w:rPr>
            </w:pPr>
          </w:p>
        </w:tc>
        <w:tc>
          <w:tcPr>
            <w:tcW w:w="50" w:type="pct"/>
            <w:shd w:val="clear" w:color="auto" w:fill="auto"/>
            <w:vAlign w:val="center"/>
          </w:tcPr>
          <w:p w14:paraId="5556D7BC" w14:textId="77777777" w:rsidR="00F925DD" w:rsidRDefault="00F925DD">
            <w:pPr>
              <w:rPr>
                <w:rFonts w:ascii="Times New Roman" w:hAnsi="Times New Roman"/>
                <w:sz w:val="20"/>
                <w:szCs w:val="20"/>
              </w:rPr>
            </w:pPr>
          </w:p>
        </w:tc>
      </w:tr>
      <w:tr w:rsidR="00F925DD" w14:paraId="5556D7C2" w14:textId="77777777">
        <w:tc>
          <w:tcPr>
            <w:tcW w:w="0" w:type="auto"/>
            <w:shd w:val="clear" w:color="auto" w:fill="auto"/>
            <w:tcMar>
              <w:top w:w="40" w:type="dxa"/>
              <w:left w:w="40" w:type="dxa"/>
              <w:bottom w:w="40" w:type="dxa"/>
              <w:right w:w="40" w:type="dxa"/>
            </w:tcMar>
            <w:vAlign w:val="bottom"/>
          </w:tcPr>
          <w:p w14:paraId="5556D7B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7B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D7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7C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r>
      <w:tr w:rsidR="00F925DD" w14:paraId="5556D7C7" w14:textId="77777777">
        <w:tc>
          <w:tcPr>
            <w:tcW w:w="0" w:type="auto"/>
            <w:shd w:val="clear" w:color="auto" w:fill="auto"/>
            <w:tcMar>
              <w:top w:w="40" w:type="dxa"/>
              <w:left w:w="40" w:type="dxa"/>
              <w:bottom w:w="40" w:type="dxa"/>
              <w:right w:w="40" w:type="dxa"/>
            </w:tcMar>
            <w:vAlign w:val="bottom"/>
          </w:tcPr>
          <w:p w14:paraId="5556D7C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Derivatives not designated as hedging instruments:</w:t>
            </w:r>
          </w:p>
        </w:tc>
        <w:tc>
          <w:tcPr>
            <w:tcW w:w="0" w:type="auto"/>
            <w:gridSpan w:val="3"/>
            <w:shd w:val="clear" w:color="auto" w:fill="auto"/>
            <w:tcMar>
              <w:top w:w="40" w:type="dxa"/>
              <w:left w:w="40" w:type="dxa"/>
              <w:bottom w:w="40" w:type="dxa"/>
              <w:right w:w="40" w:type="dxa"/>
            </w:tcMar>
            <w:vAlign w:val="bottom"/>
          </w:tcPr>
          <w:p w14:paraId="5556D7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7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7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7CC" w14:textId="77777777">
        <w:tc>
          <w:tcPr>
            <w:tcW w:w="0" w:type="auto"/>
            <w:shd w:val="clear" w:color="auto" w:fill="auto"/>
            <w:tcMar>
              <w:top w:w="40" w:type="dxa"/>
              <w:left w:w="40" w:type="dxa"/>
              <w:bottom w:w="40" w:type="dxa"/>
              <w:right w:w="40" w:type="dxa"/>
            </w:tcMar>
            <w:vAlign w:val="bottom"/>
          </w:tcPr>
          <w:p w14:paraId="5556D7C8"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3"/>
            <w:shd w:val="clear" w:color="auto" w:fill="auto"/>
            <w:tcMar>
              <w:top w:w="40" w:type="dxa"/>
              <w:left w:w="40" w:type="dxa"/>
              <w:bottom w:w="40" w:type="dxa"/>
              <w:right w:w="40" w:type="dxa"/>
            </w:tcMar>
            <w:vAlign w:val="bottom"/>
          </w:tcPr>
          <w:p w14:paraId="5556D7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7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7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7D5" w14:textId="77777777">
        <w:tc>
          <w:tcPr>
            <w:tcW w:w="0" w:type="auto"/>
            <w:shd w:val="clear" w:color="auto" w:fill="CCEEFF"/>
            <w:tcMar>
              <w:top w:w="40" w:type="dxa"/>
              <w:left w:w="240" w:type="dxa"/>
              <w:bottom w:w="40" w:type="dxa"/>
              <w:right w:w="40" w:type="dxa"/>
            </w:tcMar>
            <w:vAlign w:val="bottom"/>
          </w:tcPr>
          <w:p w14:paraId="5556D7CD" w14:textId="77777777" w:rsidR="00F925DD" w:rsidRDefault="00E705D7">
            <w:pPr>
              <w:textAlignment w:val="bottom"/>
              <w:rPr>
                <w:rFonts w:ascii="Times New Roman" w:hAnsi="Times New Roman"/>
                <w:sz w:val="15"/>
                <w:szCs w:val="15"/>
              </w:rPr>
            </w:pPr>
            <w:r>
              <w:rPr>
                <w:rFonts w:ascii="Arial" w:eastAsia="宋体" w:hAnsi="Arial" w:cs="Arial"/>
                <w:sz w:val="15"/>
                <w:szCs w:val="15"/>
              </w:rPr>
              <w:t>Futures</w:t>
            </w:r>
          </w:p>
        </w:tc>
        <w:tc>
          <w:tcPr>
            <w:tcW w:w="0" w:type="auto"/>
            <w:shd w:val="clear" w:color="auto" w:fill="CCEEFF"/>
            <w:tcMar>
              <w:top w:w="40" w:type="dxa"/>
              <w:left w:w="40" w:type="dxa"/>
              <w:bottom w:w="40" w:type="dxa"/>
            </w:tcMar>
            <w:vAlign w:val="bottom"/>
          </w:tcPr>
          <w:p w14:paraId="5556D7C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7C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4,368</w:t>
            </w:r>
          </w:p>
        </w:tc>
        <w:tc>
          <w:tcPr>
            <w:tcW w:w="0" w:type="auto"/>
            <w:shd w:val="clear" w:color="auto" w:fill="CCEEFF"/>
            <w:vAlign w:val="bottom"/>
          </w:tcPr>
          <w:p w14:paraId="5556D7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7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7D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7D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2,348</w:t>
            </w:r>
          </w:p>
        </w:tc>
        <w:tc>
          <w:tcPr>
            <w:tcW w:w="0" w:type="auto"/>
            <w:shd w:val="clear" w:color="auto" w:fill="CCEEFF"/>
            <w:vAlign w:val="bottom"/>
          </w:tcPr>
          <w:p w14:paraId="5556D7D4" w14:textId="77777777" w:rsidR="00F925DD" w:rsidRDefault="00F925DD">
            <w:pPr>
              <w:textAlignment w:val="bottom"/>
              <w:rPr>
                <w:rFonts w:ascii="Times New Roman" w:hAnsi="Times New Roman"/>
                <w:sz w:val="20"/>
                <w:szCs w:val="20"/>
              </w:rPr>
            </w:pPr>
          </w:p>
        </w:tc>
      </w:tr>
      <w:tr w:rsidR="00F925DD" w14:paraId="5556D7DA" w14:textId="77777777">
        <w:tc>
          <w:tcPr>
            <w:tcW w:w="0" w:type="auto"/>
            <w:shd w:val="clear" w:color="auto" w:fill="auto"/>
            <w:tcMar>
              <w:top w:w="40" w:type="dxa"/>
              <w:left w:w="40" w:type="dxa"/>
              <w:bottom w:w="40" w:type="dxa"/>
              <w:right w:w="40" w:type="dxa"/>
            </w:tcMar>
            <w:vAlign w:val="bottom"/>
          </w:tcPr>
          <w:p w14:paraId="5556D7D6"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Foreign </w:t>
            </w:r>
            <w:r>
              <w:rPr>
                <w:rFonts w:ascii="Arial" w:eastAsia="宋体" w:hAnsi="Arial" w:cs="Arial"/>
                <w:sz w:val="15"/>
                <w:szCs w:val="15"/>
              </w:rPr>
              <w:t>exchange contracts:</w:t>
            </w:r>
          </w:p>
        </w:tc>
        <w:tc>
          <w:tcPr>
            <w:tcW w:w="0" w:type="auto"/>
            <w:gridSpan w:val="3"/>
            <w:shd w:val="clear" w:color="auto" w:fill="auto"/>
            <w:tcMar>
              <w:top w:w="40" w:type="dxa"/>
              <w:left w:w="40" w:type="dxa"/>
              <w:bottom w:w="40" w:type="dxa"/>
              <w:right w:w="40" w:type="dxa"/>
            </w:tcMar>
            <w:vAlign w:val="bottom"/>
          </w:tcPr>
          <w:p w14:paraId="5556D7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7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7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7E1" w14:textId="77777777">
        <w:tc>
          <w:tcPr>
            <w:tcW w:w="0" w:type="auto"/>
            <w:shd w:val="clear" w:color="auto" w:fill="CCEEFF"/>
            <w:tcMar>
              <w:top w:w="40" w:type="dxa"/>
              <w:left w:w="240" w:type="dxa"/>
              <w:bottom w:w="40" w:type="dxa"/>
              <w:right w:w="40" w:type="dxa"/>
            </w:tcMar>
            <w:vAlign w:val="bottom"/>
          </w:tcPr>
          <w:p w14:paraId="5556D7DB" w14:textId="77777777" w:rsidR="00F925DD" w:rsidRDefault="00E705D7">
            <w:pPr>
              <w:textAlignment w:val="bottom"/>
              <w:rPr>
                <w:rFonts w:ascii="Times New Roman" w:hAnsi="Times New Roman"/>
                <w:sz w:val="15"/>
                <w:szCs w:val="15"/>
              </w:rPr>
            </w:pPr>
            <w:r>
              <w:rPr>
                <w:rFonts w:ascii="Arial" w:eastAsia="宋体" w:hAnsi="Arial" w:cs="Arial"/>
                <w:sz w:val="15"/>
                <w:szCs w:val="15"/>
              </w:rPr>
              <w:t>Forward, swap and spot</w:t>
            </w:r>
          </w:p>
        </w:tc>
        <w:tc>
          <w:tcPr>
            <w:tcW w:w="0" w:type="auto"/>
            <w:gridSpan w:val="2"/>
            <w:shd w:val="clear" w:color="auto" w:fill="CCEEFF"/>
            <w:tcMar>
              <w:top w:w="40" w:type="dxa"/>
              <w:left w:w="40" w:type="dxa"/>
              <w:bottom w:w="40" w:type="dxa"/>
            </w:tcMar>
            <w:vAlign w:val="bottom"/>
          </w:tcPr>
          <w:p w14:paraId="5556D7D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2,378,808</w:t>
            </w:r>
          </w:p>
        </w:tc>
        <w:tc>
          <w:tcPr>
            <w:tcW w:w="0" w:type="auto"/>
            <w:shd w:val="clear" w:color="auto" w:fill="CCEEFF"/>
            <w:vAlign w:val="bottom"/>
          </w:tcPr>
          <w:p w14:paraId="5556D7D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7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7D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2,238,819</w:t>
            </w:r>
          </w:p>
        </w:tc>
        <w:tc>
          <w:tcPr>
            <w:tcW w:w="0" w:type="auto"/>
            <w:shd w:val="clear" w:color="auto" w:fill="CCEEFF"/>
            <w:vAlign w:val="bottom"/>
          </w:tcPr>
          <w:p w14:paraId="5556D7E0" w14:textId="77777777" w:rsidR="00F925DD" w:rsidRDefault="00F925DD">
            <w:pPr>
              <w:textAlignment w:val="bottom"/>
              <w:rPr>
                <w:rFonts w:ascii="Times New Roman" w:hAnsi="Times New Roman"/>
                <w:sz w:val="20"/>
                <w:szCs w:val="20"/>
              </w:rPr>
            </w:pPr>
          </w:p>
        </w:tc>
      </w:tr>
      <w:tr w:rsidR="00F925DD" w14:paraId="5556D7E8" w14:textId="77777777">
        <w:tc>
          <w:tcPr>
            <w:tcW w:w="0" w:type="auto"/>
            <w:shd w:val="clear" w:color="auto" w:fill="auto"/>
            <w:tcMar>
              <w:top w:w="40" w:type="dxa"/>
              <w:left w:w="240" w:type="dxa"/>
              <w:bottom w:w="40" w:type="dxa"/>
              <w:right w:w="40" w:type="dxa"/>
            </w:tcMar>
            <w:vAlign w:val="bottom"/>
          </w:tcPr>
          <w:p w14:paraId="5556D7E2" w14:textId="77777777" w:rsidR="00F925DD" w:rsidRDefault="00E705D7">
            <w:pPr>
              <w:textAlignment w:val="bottom"/>
              <w:rPr>
                <w:rFonts w:ascii="Times New Roman" w:hAnsi="Times New Roman"/>
                <w:sz w:val="15"/>
                <w:szCs w:val="15"/>
              </w:rPr>
            </w:pPr>
            <w:r>
              <w:rPr>
                <w:rFonts w:ascii="Arial" w:eastAsia="宋体" w:hAnsi="Arial" w:cs="Arial"/>
                <w:sz w:val="15"/>
                <w:szCs w:val="15"/>
              </w:rPr>
              <w:t>Options purchased</w:t>
            </w:r>
          </w:p>
        </w:tc>
        <w:tc>
          <w:tcPr>
            <w:tcW w:w="0" w:type="auto"/>
            <w:gridSpan w:val="2"/>
            <w:shd w:val="clear" w:color="auto" w:fill="auto"/>
            <w:tcMar>
              <w:top w:w="40" w:type="dxa"/>
              <w:left w:w="40" w:type="dxa"/>
              <w:bottom w:w="40" w:type="dxa"/>
            </w:tcMar>
            <w:vAlign w:val="bottom"/>
          </w:tcPr>
          <w:p w14:paraId="5556D7E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1,581</w:t>
            </w:r>
          </w:p>
        </w:tc>
        <w:tc>
          <w:tcPr>
            <w:tcW w:w="0" w:type="auto"/>
            <w:shd w:val="clear" w:color="auto" w:fill="auto"/>
            <w:vAlign w:val="bottom"/>
          </w:tcPr>
          <w:p w14:paraId="5556D7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7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7E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578</w:t>
            </w:r>
          </w:p>
        </w:tc>
        <w:tc>
          <w:tcPr>
            <w:tcW w:w="0" w:type="auto"/>
            <w:shd w:val="clear" w:color="auto" w:fill="auto"/>
            <w:vAlign w:val="bottom"/>
          </w:tcPr>
          <w:p w14:paraId="5556D7E7" w14:textId="77777777" w:rsidR="00F925DD" w:rsidRDefault="00F925DD">
            <w:pPr>
              <w:textAlignment w:val="bottom"/>
              <w:rPr>
                <w:rFonts w:ascii="Times New Roman" w:hAnsi="Times New Roman"/>
                <w:sz w:val="20"/>
                <w:szCs w:val="20"/>
              </w:rPr>
            </w:pPr>
          </w:p>
        </w:tc>
      </w:tr>
      <w:tr w:rsidR="00F925DD" w14:paraId="5556D7EF" w14:textId="77777777">
        <w:tc>
          <w:tcPr>
            <w:tcW w:w="0" w:type="auto"/>
            <w:shd w:val="clear" w:color="auto" w:fill="CCEEFF"/>
            <w:tcMar>
              <w:top w:w="40" w:type="dxa"/>
              <w:left w:w="240" w:type="dxa"/>
              <w:bottom w:w="40" w:type="dxa"/>
              <w:right w:w="40" w:type="dxa"/>
            </w:tcMar>
            <w:vAlign w:val="bottom"/>
          </w:tcPr>
          <w:p w14:paraId="5556D7E9" w14:textId="77777777" w:rsidR="00F925DD" w:rsidRDefault="00E705D7">
            <w:pPr>
              <w:textAlignment w:val="bottom"/>
              <w:rPr>
                <w:rFonts w:ascii="Times New Roman" w:hAnsi="Times New Roman"/>
                <w:sz w:val="15"/>
                <w:szCs w:val="15"/>
              </w:rPr>
            </w:pPr>
            <w:r>
              <w:rPr>
                <w:rFonts w:ascii="Arial" w:eastAsia="宋体" w:hAnsi="Arial" w:cs="Arial"/>
                <w:sz w:val="15"/>
                <w:szCs w:val="15"/>
              </w:rPr>
              <w:t>Options written</w:t>
            </w:r>
          </w:p>
        </w:tc>
        <w:tc>
          <w:tcPr>
            <w:tcW w:w="0" w:type="auto"/>
            <w:gridSpan w:val="2"/>
            <w:shd w:val="clear" w:color="auto" w:fill="CCEEFF"/>
            <w:tcMar>
              <w:top w:w="40" w:type="dxa"/>
              <w:left w:w="40" w:type="dxa"/>
              <w:bottom w:w="40" w:type="dxa"/>
            </w:tcMar>
            <w:vAlign w:val="bottom"/>
          </w:tcPr>
          <w:p w14:paraId="5556D7E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1,110</w:t>
            </w:r>
          </w:p>
        </w:tc>
        <w:tc>
          <w:tcPr>
            <w:tcW w:w="0" w:type="auto"/>
            <w:shd w:val="clear" w:color="auto" w:fill="CCEEFF"/>
            <w:vAlign w:val="bottom"/>
          </w:tcPr>
          <w:p w14:paraId="5556D7E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7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7E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576</w:t>
            </w:r>
          </w:p>
        </w:tc>
        <w:tc>
          <w:tcPr>
            <w:tcW w:w="0" w:type="auto"/>
            <w:shd w:val="clear" w:color="auto" w:fill="CCEEFF"/>
            <w:vAlign w:val="bottom"/>
          </w:tcPr>
          <w:p w14:paraId="5556D7EE" w14:textId="77777777" w:rsidR="00F925DD" w:rsidRDefault="00F925DD">
            <w:pPr>
              <w:textAlignment w:val="bottom"/>
              <w:rPr>
                <w:rFonts w:ascii="Times New Roman" w:hAnsi="Times New Roman"/>
                <w:sz w:val="20"/>
                <w:szCs w:val="20"/>
              </w:rPr>
            </w:pPr>
          </w:p>
        </w:tc>
      </w:tr>
      <w:tr w:rsidR="00F925DD" w14:paraId="5556D7F6" w14:textId="77777777">
        <w:tc>
          <w:tcPr>
            <w:tcW w:w="0" w:type="auto"/>
            <w:shd w:val="clear" w:color="auto" w:fill="auto"/>
            <w:tcMar>
              <w:top w:w="40" w:type="dxa"/>
              <w:left w:w="240" w:type="dxa"/>
              <w:bottom w:w="40" w:type="dxa"/>
              <w:right w:w="40" w:type="dxa"/>
            </w:tcMar>
            <w:vAlign w:val="bottom"/>
          </w:tcPr>
          <w:p w14:paraId="5556D7F0" w14:textId="77777777" w:rsidR="00F925DD" w:rsidRDefault="00E705D7">
            <w:pPr>
              <w:textAlignment w:val="bottom"/>
              <w:rPr>
                <w:rFonts w:ascii="Times New Roman" w:hAnsi="Times New Roman"/>
                <w:sz w:val="15"/>
                <w:szCs w:val="15"/>
              </w:rPr>
            </w:pPr>
            <w:r>
              <w:rPr>
                <w:rFonts w:ascii="Arial" w:eastAsia="宋体" w:hAnsi="Arial" w:cs="Arial"/>
                <w:sz w:val="15"/>
                <w:szCs w:val="15"/>
              </w:rPr>
              <w:t>Futures</w:t>
            </w:r>
          </w:p>
        </w:tc>
        <w:tc>
          <w:tcPr>
            <w:tcW w:w="0" w:type="auto"/>
            <w:gridSpan w:val="2"/>
            <w:shd w:val="clear" w:color="auto" w:fill="auto"/>
            <w:tcMar>
              <w:top w:w="40" w:type="dxa"/>
              <w:left w:w="40" w:type="dxa"/>
              <w:bottom w:w="40" w:type="dxa"/>
            </w:tcMar>
            <w:vAlign w:val="bottom"/>
          </w:tcPr>
          <w:p w14:paraId="5556D7F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1,040</w:t>
            </w:r>
          </w:p>
        </w:tc>
        <w:tc>
          <w:tcPr>
            <w:tcW w:w="0" w:type="auto"/>
            <w:shd w:val="clear" w:color="auto" w:fill="auto"/>
            <w:vAlign w:val="bottom"/>
          </w:tcPr>
          <w:p w14:paraId="5556D7F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7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7F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w:t>
            </w:r>
          </w:p>
        </w:tc>
        <w:tc>
          <w:tcPr>
            <w:tcW w:w="0" w:type="auto"/>
            <w:shd w:val="clear" w:color="auto" w:fill="auto"/>
            <w:vAlign w:val="bottom"/>
          </w:tcPr>
          <w:p w14:paraId="5556D7F5" w14:textId="77777777" w:rsidR="00F925DD" w:rsidRDefault="00F925DD">
            <w:pPr>
              <w:textAlignment w:val="bottom"/>
              <w:rPr>
                <w:rFonts w:ascii="Times New Roman" w:hAnsi="Times New Roman"/>
                <w:sz w:val="20"/>
                <w:szCs w:val="20"/>
              </w:rPr>
            </w:pPr>
          </w:p>
        </w:tc>
      </w:tr>
      <w:tr w:rsidR="00F925DD" w14:paraId="5556D7FB" w14:textId="77777777">
        <w:tc>
          <w:tcPr>
            <w:tcW w:w="0" w:type="auto"/>
            <w:shd w:val="clear" w:color="auto" w:fill="CCEEFF"/>
            <w:tcMar>
              <w:top w:w="40" w:type="dxa"/>
              <w:left w:w="40" w:type="dxa"/>
              <w:bottom w:w="40" w:type="dxa"/>
              <w:right w:w="40" w:type="dxa"/>
            </w:tcMar>
            <w:vAlign w:val="bottom"/>
          </w:tcPr>
          <w:p w14:paraId="5556D7F7" w14:textId="77777777" w:rsidR="00F925DD" w:rsidRDefault="00E705D7">
            <w:pPr>
              <w:textAlignment w:val="bottom"/>
              <w:rPr>
                <w:rFonts w:ascii="Times New Roman" w:hAnsi="Times New Roman"/>
                <w:sz w:val="15"/>
                <w:szCs w:val="15"/>
              </w:rPr>
            </w:pPr>
            <w:r>
              <w:rPr>
                <w:rFonts w:ascii="Arial" w:eastAsia="宋体" w:hAnsi="Arial" w:cs="Arial"/>
                <w:sz w:val="15"/>
                <w:szCs w:val="15"/>
              </w:rPr>
              <w:t>Other:</w:t>
            </w:r>
          </w:p>
        </w:tc>
        <w:tc>
          <w:tcPr>
            <w:tcW w:w="0" w:type="auto"/>
            <w:gridSpan w:val="3"/>
            <w:shd w:val="clear" w:color="auto" w:fill="CCEEFF"/>
            <w:tcMar>
              <w:top w:w="40" w:type="dxa"/>
              <w:left w:w="40" w:type="dxa"/>
              <w:bottom w:w="40" w:type="dxa"/>
              <w:right w:w="40" w:type="dxa"/>
            </w:tcMar>
            <w:vAlign w:val="bottom"/>
          </w:tcPr>
          <w:p w14:paraId="5556D7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7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7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802" w14:textId="77777777">
        <w:tc>
          <w:tcPr>
            <w:tcW w:w="0" w:type="auto"/>
            <w:shd w:val="clear" w:color="auto" w:fill="auto"/>
            <w:tcMar>
              <w:top w:w="40" w:type="dxa"/>
              <w:left w:w="240" w:type="dxa"/>
              <w:bottom w:w="40" w:type="dxa"/>
              <w:right w:w="40" w:type="dxa"/>
            </w:tcMar>
            <w:vAlign w:val="bottom"/>
          </w:tcPr>
          <w:p w14:paraId="5556D7FC" w14:textId="77777777" w:rsidR="00F925DD" w:rsidRDefault="00E705D7">
            <w:pPr>
              <w:textAlignment w:val="bottom"/>
              <w:rPr>
                <w:rFonts w:ascii="Times New Roman" w:hAnsi="Times New Roman"/>
                <w:sz w:val="15"/>
                <w:szCs w:val="15"/>
              </w:rPr>
            </w:pPr>
            <w:r>
              <w:rPr>
                <w:rFonts w:ascii="Arial" w:eastAsia="宋体" w:hAnsi="Arial" w:cs="Arial"/>
                <w:sz w:val="15"/>
                <w:szCs w:val="15"/>
              </w:rPr>
              <w:t>Stable value contracts(1)</w:t>
            </w:r>
          </w:p>
        </w:tc>
        <w:tc>
          <w:tcPr>
            <w:tcW w:w="0" w:type="auto"/>
            <w:gridSpan w:val="2"/>
            <w:shd w:val="clear" w:color="auto" w:fill="auto"/>
            <w:tcMar>
              <w:top w:w="40" w:type="dxa"/>
              <w:left w:w="40" w:type="dxa"/>
              <w:bottom w:w="40" w:type="dxa"/>
            </w:tcMar>
            <w:vAlign w:val="bottom"/>
          </w:tcPr>
          <w:p w14:paraId="5556D7F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26,895</w:t>
            </w:r>
          </w:p>
        </w:tc>
        <w:tc>
          <w:tcPr>
            <w:tcW w:w="0" w:type="auto"/>
            <w:shd w:val="clear" w:color="auto" w:fill="auto"/>
            <w:vAlign w:val="bottom"/>
          </w:tcPr>
          <w:p w14:paraId="5556D7F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7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80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26,634</w:t>
            </w:r>
          </w:p>
        </w:tc>
        <w:tc>
          <w:tcPr>
            <w:tcW w:w="0" w:type="auto"/>
            <w:shd w:val="clear" w:color="auto" w:fill="auto"/>
            <w:vAlign w:val="bottom"/>
          </w:tcPr>
          <w:p w14:paraId="5556D801" w14:textId="77777777" w:rsidR="00F925DD" w:rsidRDefault="00F925DD">
            <w:pPr>
              <w:textAlignment w:val="bottom"/>
              <w:rPr>
                <w:rFonts w:ascii="Times New Roman" w:hAnsi="Times New Roman"/>
                <w:sz w:val="20"/>
                <w:szCs w:val="20"/>
              </w:rPr>
            </w:pPr>
          </w:p>
        </w:tc>
      </w:tr>
      <w:tr w:rsidR="00F925DD" w14:paraId="5556D809" w14:textId="77777777">
        <w:tc>
          <w:tcPr>
            <w:tcW w:w="0" w:type="auto"/>
            <w:shd w:val="clear" w:color="auto" w:fill="CCEEFF"/>
            <w:tcMar>
              <w:top w:w="40" w:type="dxa"/>
              <w:left w:w="240" w:type="dxa"/>
              <w:bottom w:w="40" w:type="dxa"/>
              <w:right w:w="40" w:type="dxa"/>
            </w:tcMar>
            <w:vAlign w:val="bottom"/>
          </w:tcPr>
          <w:p w14:paraId="5556D803" w14:textId="77777777" w:rsidR="00F925DD" w:rsidRDefault="00E705D7">
            <w:pPr>
              <w:textAlignment w:val="bottom"/>
              <w:rPr>
                <w:rFonts w:ascii="Times New Roman" w:hAnsi="Times New Roman"/>
                <w:sz w:val="15"/>
                <w:szCs w:val="15"/>
              </w:rPr>
            </w:pPr>
            <w:r>
              <w:rPr>
                <w:rFonts w:ascii="Arial" w:eastAsia="宋体" w:hAnsi="Arial" w:cs="Arial"/>
                <w:sz w:val="15"/>
                <w:szCs w:val="15"/>
              </w:rPr>
              <w:t>Deferred value awards(2)</w:t>
            </w:r>
          </w:p>
        </w:tc>
        <w:tc>
          <w:tcPr>
            <w:tcW w:w="0" w:type="auto"/>
            <w:gridSpan w:val="2"/>
            <w:shd w:val="clear" w:color="auto" w:fill="CCEEFF"/>
            <w:tcMar>
              <w:top w:w="40" w:type="dxa"/>
              <w:left w:w="40" w:type="dxa"/>
              <w:bottom w:w="40" w:type="dxa"/>
            </w:tcMar>
            <w:vAlign w:val="bottom"/>
          </w:tcPr>
          <w:p w14:paraId="5556D80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389</w:t>
            </w:r>
          </w:p>
        </w:tc>
        <w:tc>
          <w:tcPr>
            <w:tcW w:w="0" w:type="auto"/>
            <w:shd w:val="clear" w:color="auto" w:fill="CCEEFF"/>
            <w:vAlign w:val="bottom"/>
          </w:tcPr>
          <w:p w14:paraId="5556D8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8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80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434</w:t>
            </w:r>
          </w:p>
        </w:tc>
        <w:tc>
          <w:tcPr>
            <w:tcW w:w="0" w:type="auto"/>
            <w:shd w:val="clear" w:color="auto" w:fill="CCEEFF"/>
            <w:vAlign w:val="bottom"/>
          </w:tcPr>
          <w:p w14:paraId="5556D808" w14:textId="77777777" w:rsidR="00F925DD" w:rsidRDefault="00F925DD">
            <w:pPr>
              <w:textAlignment w:val="bottom"/>
              <w:rPr>
                <w:rFonts w:ascii="Times New Roman" w:hAnsi="Times New Roman"/>
                <w:sz w:val="20"/>
                <w:szCs w:val="20"/>
              </w:rPr>
            </w:pPr>
          </w:p>
        </w:tc>
      </w:tr>
      <w:tr w:rsidR="00F925DD" w14:paraId="5556D80E" w14:textId="77777777">
        <w:tc>
          <w:tcPr>
            <w:tcW w:w="0" w:type="auto"/>
            <w:shd w:val="clear" w:color="auto" w:fill="auto"/>
            <w:tcMar>
              <w:top w:w="40" w:type="dxa"/>
              <w:left w:w="40" w:type="dxa"/>
              <w:bottom w:w="40" w:type="dxa"/>
              <w:right w:w="40" w:type="dxa"/>
            </w:tcMar>
            <w:vAlign w:val="bottom"/>
          </w:tcPr>
          <w:p w14:paraId="5556D80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Derivatives designated as hedging instruments:</w:t>
            </w:r>
          </w:p>
        </w:tc>
        <w:tc>
          <w:tcPr>
            <w:tcW w:w="0" w:type="auto"/>
            <w:gridSpan w:val="3"/>
            <w:shd w:val="clear" w:color="auto" w:fill="auto"/>
            <w:tcMar>
              <w:top w:w="40" w:type="dxa"/>
              <w:left w:w="40" w:type="dxa"/>
              <w:bottom w:w="40" w:type="dxa"/>
              <w:right w:w="40" w:type="dxa"/>
            </w:tcMar>
            <w:vAlign w:val="bottom"/>
          </w:tcPr>
          <w:p w14:paraId="5556D8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8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813" w14:textId="77777777">
        <w:tc>
          <w:tcPr>
            <w:tcW w:w="0" w:type="auto"/>
            <w:shd w:val="clear" w:color="auto" w:fill="CCEEFF"/>
            <w:tcMar>
              <w:top w:w="40" w:type="dxa"/>
              <w:left w:w="40" w:type="dxa"/>
              <w:bottom w:w="40" w:type="dxa"/>
              <w:right w:w="40" w:type="dxa"/>
            </w:tcMar>
            <w:vAlign w:val="bottom"/>
          </w:tcPr>
          <w:p w14:paraId="5556D80F"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3"/>
            <w:shd w:val="clear" w:color="auto" w:fill="CCEEFF"/>
            <w:tcMar>
              <w:top w:w="40" w:type="dxa"/>
              <w:left w:w="40" w:type="dxa"/>
              <w:bottom w:w="40" w:type="dxa"/>
              <w:right w:w="40" w:type="dxa"/>
            </w:tcMar>
            <w:vAlign w:val="bottom"/>
          </w:tcPr>
          <w:p w14:paraId="5556D8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8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8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81A" w14:textId="77777777">
        <w:tc>
          <w:tcPr>
            <w:tcW w:w="0" w:type="auto"/>
            <w:shd w:val="clear" w:color="auto" w:fill="auto"/>
            <w:tcMar>
              <w:top w:w="40" w:type="dxa"/>
              <w:left w:w="240" w:type="dxa"/>
              <w:bottom w:w="40" w:type="dxa"/>
              <w:right w:w="40" w:type="dxa"/>
            </w:tcMar>
            <w:vAlign w:val="bottom"/>
          </w:tcPr>
          <w:p w14:paraId="5556D814" w14:textId="77777777" w:rsidR="00F925DD" w:rsidRDefault="00E705D7">
            <w:pPr>
              <w:textAlignment w:val="bottom"/>
              <w:rPr>
                <w:rFonts w:ascii="Times New Roman" w:hAnsi="Times New Roman"/>
                <w:sz w:val="15"/>
                <w:szCs w:val="15"/>
              </w:rPr>
            </w:pPr>
            <w:r>
              <w:rPr>
                <w:rFonts w:ascii="Arial" w:eastAsia="宋体" w:hAnsi="Arial" w:cs="Arial"/>
                <w:sz w:val="15"/>
                <w:szCs w:val="15"/>
              </w:rPr>
              <w:t>Swap agreements</w:t>
            </w:r>
          </w:p>
        </w:tc>
        <w:tc>
          <w:tcPr>
            <w:tcW w:w="0" w:type="auto"/>
            <w:gridSpan w:val="2"/>
            <w:shd w:val="clear" w:color="auto" w:fill="auto"/>
            <w:tcMar>
              <w:top w:w="40" w:type="dxa"/>
              <w:left w:w="40" w:type="dxa"/>
              <w:bottom w:w="40" w:type="dxa"/>
            </w:tcMar>
            <w:vAlign w:val="bottom"/>
          </w:tcPr>
          <w:p w14:paraId="5556D81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15,196</w:t>
            </w:r>
          </w:p>
        </w:tc>
        <w:tc>
          <w:tcPr>
            <w:tcW w:w="0" w:type="auto"/>
            <w:shd w:val="clear" w:color="auto" w:fill="auto"/>
            <w:vAlign w:val="bottom"/>
          </w:tcPr>
          <w:p w14:paraId="5556D81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81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10,596</w:t>
            </w:r>
          </w:p>
        </w:tc>
        <w:tc>
          <w:tcPr>
            <w:tcW w:w="0" w:type="auto"/>
            <w:shd w:val="clear" w:color="auto" w:fill="auto"/>
            <w:vAlign w:val="bottom"/>
          </w:tcPr>
          <w:p w14:paraId="5556D819" w14:textId="77777777" w:rsidR="00F925DD" w:rsidRDefault="00F925DD">
            <w:pPr>
              <w:textAlignment w:val="bottom"/>
              <w:rPr>
                <w:rFonts w:ascii="Times New Roman" w:hAnsi="Times New Roman"/>
                <w:sz w:val="20"/>
                <w:szCs w:val="20"/>
              </w:rPr>
            </w:pPr>
          </w:p>
        </w:tc>
      </w:tr>
      <w:tr w:rsidR="00F925DD" w14:paraId="5556D81F" w14:textId="77777777">
        <w:tc>
          <w:tcPr>
            <w:tcW w:w="0" w:type="auto"/>
            <w:shd w:val="clear" w:color="auto" w:fill="CCEEFF"/>
            <w:tcMar>
              <w:top w:w="40" w:type="dxa"/>
              <w:left w:w="40" w:type="dxa"/>
              <w:bottom w:w="40" w:type="dxa"/>
              <w:right w:w="40" w:type="dxa"/>
            </w:tcMar>
            <w:vAlign w:val="bottom"/>
          </w:tcPr>
          <w:p w14:paraId="5556D81B"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gridSpan w:val="3"/>
            <w:shd w:val="clear" w:color="auto" w:fill="CCEEFF"/>
            <w:tcMar>
              <w:top w:w="40" w:type="dxa"/>
              <w:left w:w="40" w:type="dxa"/>
              <w:bottom w:w="40" w:type="dxa"/>
              <w:right w:w="40" w:type="dxa"/>
            </w:tcMar>
            <w:vAlign w:val="bottom"/>
          </w:tcPr>
          <w:p w14:paraId="5556D8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8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8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826" w14:textId="77777777">
        <w:tc>
          <w:tcPr>
            <w:tcW w:w="0" w:type="auto"/>
            <w:shd w:val="clear" w:color="auto" w:fill="auto"/>
            <w:tcMar>
              <w:top w:w="40" w:type="dxa"/>
              <w:left w:w="240" w:type="dxa"/>
              <w:bottom w:w="40" w:type="dxa"/>
              <w:right w:w="40" w:type="dxa"/>
            </w:tcMar>
            <w:vAlign w:val="bottom"/>
          </w:tcPr>
          <w:p w14:paraId="5556D820" w14:textId="77777777" w:rsidR="00F925DD" w:rsidRDefault="00E705D7">
            <w:pPr>
              <w:textAlignment w:val="bottom"/>
              <w:rPr>
                <w:rFonts w:ascii="Times New Roman" w:hAnsi="Times New Roman"/>
                <w:sz w:val="15"/>
                <w:szCs w:val="15"/>
              </w:rPr>
            </w:pPr>
            <w:r>
              <w:rPr>
                <w:rFonts w:ascii="Arial" w:eastAsia="宋体" w:hAnsi="Arial" w:cs="Arial"/>
                <w:sz w:val="15"/>
                <w:szCs w:val="15"/>
              </w:rPr>
              <w:t>Forward and swap</w:t>
            </w:r>
          </w:p>
        </w:tc>
        <w:tc>
          <w:tcPr>
            <w:tcW w:w="0" w:type="auto"/>
            <w:gridSpan w:val="2"/>
            <w:shd w:val="clear" w:color="auto" w:fill="auto"/>
            <w:tcMar>
              <w:top w:w="40" w:type="dxa"/>
              <w:left w:w="40" w:type="dxa"/>
              <w:bottom w:w="40" w:type="dxa"/>
            </w:tcMar>
            <w:vAlign w:val="bottom"/>
          </w:tcPr>
          <w:p w14:paraId="5556D82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3,176</w:t>
            </w:r>
          </w:p>
        </w:tc>
        <w:tc>
          <w:tcPr>
            <w:tcW w:w="0" w:type="auto"/>
            <w:shd w:val="clear" w:color="auto" w:fill="auto"/>
            <w:vAlign w:val="bottom"/>
          </w:tcPr>
          <w:p w14:paraId="5556D8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82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3,412</w:t>
            </w:r>
          </w:p>
        </w:tc>
        <w:tc>
          <w:tcPr>
            <w:tcW w:w="0" w:type="auto"/>
            <w:shd w:val="clear" w:color="auto" w:fill="auto"/>
            <w:vAlign w:val="bottom"/>
          </w:tcPr>
          <w:p w14:paraId="5556D825" w14:textId="77777777" w:rsidR="00F925DD" w:rsidRDefault="00F925DD">
            <w:pPr>
              <w:textAlignment w:val="bottom"/>
              <w:rPr>
                <w:rFonts w:ascii="Times New Roman" w:hAnsi="Times New Roman"/>
                <w:sz w:val="20"/>
                <w:szCs w:val="20"/>
              </w:rPr>
            </w:pPr>
          </w:p>
        </w:tc>
      </w:tr>
    </w:tbl>
    <w:p w14:paraId="5556D827"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D829" w14:textId="77777777">
        <w:tc>
          <w:tcPr>
            <w:tcW w:w="0" w:type="auto"/>
            <w:gridSpan w:val="2"/>
            <w:shd w:val="clear" w:color="auto" w:fill="auto"/>
            <w:vAlign w:val="center"/>
          </w:tcPr>
          <w:p w14:paraId="5556D828" w14:textId="77777777" w:rsidR="00F925DD" w:rsidRDefault="00F925DD">
            <w:pPr>
              <w:rPr>
                <w:rFonts w:ascii="Times New Roman" w:hAnsi="Times New Roman"/>
                <w:sz w:val="20"/>
                <w:szCs w:val="20"/>
              </w:rPr>
            </w:pPr>
          </w:p>
        </w:tc>
      </w:tr>
      <w:tr w:rsidR="00F925DD" w14:paraId="5556D82C" w14:textId="77777777">
        <w:tc>
          <w:tcPr>
            <w:tcW w:w="1400" w:type="pct"/>
            <w:shd w:val="clear" w:color="auto" w:fill="auto"/>
            <w:vAlign w:val="center"/>
          </w:tcPr>
          <w:p w14:paraId="5556D82A" w14:textId="77777777" w:rsidR="00F925DD" w:rsidRDefault="00F925DD">
            <w:pPr>
              <w:rPr>
                <w:rFonts w:ascii="Times New Roman" w:hAnsi="Times New Roman"/>
                <w:sz w:val="20"/>
                <w:szCs w:val="20"/>
              </w:rPr>
            </w:pPr>
          </w:p>
        </w:tc>
        <w:tc>
          <w:tcPr>
            <w:tcW w:w="3600" w:type="pct"/>
            <w:shd w:val="clear" w:color="auto" w:fill="auto"/>
            <w:vAlign w:val="center"/>
          </w:tcPr>
          <w:p w14:paraId="5556D82B" w14:textId="77777777" w:rsidR="00F925DD" w:rsidRDefault="00F925DD">
            <w:pPr>
              <w:rPr>
                <w:rFonts w:ascii="Times New Roman" w:hAnsi="Times New Roman"/>
                <w:sz w:val="20"/>
                <w:szCs w:val="20"/>
              </w:rPr>
            </w:pPr>
          </w:p>
        </w:tc>
      </w:tr>
      <w:tr w:rsidR="00F925DD" w14:paraId="5556D82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8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830"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The notional value of the stable value contracts represents our maximum exposure. However, exposure to various stable value contracts is generally contractually limited to substantially lower amounts than the notional values.</w:t>
      </w:r>
    </w:p>
    <w:p w14:paraId="5556D831"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Represents grants of defe</w:t>
      </w:r>
      <w:r>
        <w:rPr>
          <w:rFonts w:ascii="Arial" w:eastAsia="宋体" w:hAnsi="Arial" w:cs="Arial"/>
          <w:sz w:val="14"/>
          <w:szCs w:val="14"/>
        </w:rPr>
        <w:t>rred value awards to employees; refer to discussion in this note under "Derivatives Not Designated as Hedging Instruments."</w:t>
      </w:r>
    </w:p>
    <w:p w14:paraId="5556D83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Notional amounts are provided here as an indication of the volume of our derivative activity and serve as a reference to calculate t</w:t>
      </w:r>
      <w:r>
        <w:rPr>
          <w:rFonts w:ascii="Arial" w:eastAsia="宋体" w:hAnsi="Arial" w:cs="Arial"/>
          <w:sz w:val="20"/>
          <w:szCs w:val="20"/>
        </w:rPr>
        <w:t>he fair values of the derivative.</w:t>
      </w:r>
    </w:p>
    <w:p w14:paraId="5556D83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tables present the fair value of derivative financial instruments, excluding the impact of master netting agreements, recorded in our consolidated statement of condition as of the dates indicated. The </w:t>
      </w:r>
      <w:r>
        <w:rPr>
          <w:rFonts w:ascii="Arial" w:eastAsia="宋体" w:hAnsi="Arial" w:cs="Arial"/>
          <w:sz w:val="20"/>
          <w:szCs w:val="20"/>
        </w:rPr>
        <w:t>impact of master netting agreements is provided in Note 11.</w:t>
      </w:r>
    </w:p>
    <w:tbl>
      <w:tblPr>
        <w:tblW w:w="5000" w:type="pct"/>
        <w:tblCellMar>
          <w:left w:w="0" w:type="dxa"/>
          <w:right w:w="0" w:type="dxa"/>
        </w:tblCellMar>
        <w:tblLook w:val="04A0" w:firstRow="1" w:lastRow="0" w:firstColumn="1" w:lastColumn="0" w:noHBand="0" w:noVBand="1"/>
      </w:tblPr>
      <w:tblGrid>
        <w:gridCol w:w="3037"/>
        <w:gridCol w:w="125"/>
        <w:gridCol w:w="1044"/>
        <w:gridCol w:w="53"/>
        <w:gridCol w:w="130"/>
        <w:gridCol w:w="125"/>
        <w:gridCol w:w="1040"/>
        <w:gridCol w:w="53"/>
        <w:gridCol w:w="130"/>
        <w:gridCol w:w="125"/>
        <w:gridCol w:w="1041"/>
        <w:gridCol w:w="53"/>
        <w:gridCol w:w="130"/>
        <w:gridCol w:w="125"/>
        <w:gridCol w:w="1042"/>
        <w:gridCol w:w="53"/>
      </w:tblGrid>
      <w:tr w:rsidR="00F925DD" w14:paraId="5556D835" w14:textId="77777777">
        <w:tc>
          <w:tcPr>
            <w:tcW w:w="0" w:type="auto"/>
            <w:gridSpan w:val="16"/>
            <w:shd w:val="clear" w:color="auto" w:fill="auto"/>
            <w:vAlign w:val="center"/>
          </w:tcPr>
          <w:p w14:paraId="5556D834" w14:textId="77777777" w:rsidR="00F925DD" w:rsidRDefault="00F925DD">
            <w:pPr>
              <w:rPr>
                <w:rFonts w:ascii="Times New Roman" w:hAnsi="Times New Roman"/>
                <w:sz w:val="20"/>
                <w:szCs w:val="20"/>
              </w:rPr>
            </w:pPr>
          </w:p>
        </w:tc>
      </w:tr>
      <w:tr w:rsidR="00F925DD" w14:paraId="5556D846" w14:textId="77777777">
        <w:tc>
          <w:tcPr>
            <w:tcW w:w="1850" w:type="pct"/>
            <w:shd w:val="clear" w:color="auto" w:fill="auto"/>
            <w:vAlign w:val="center"/>
          </w:tcPr>
          <w:p w14:paraId="5556D836" w14:textId="77777777" w:rsidR="00F925DD" w:rsidRDefault="00F925DD">
            <w:pPr>
              <w:rPr>
                <w:rFonts w:ascii="Times New Roman" w:hAnsi="Times New Roman"/>
                <w:sz w:val="20"/>
                <w:szCs w:val="20"/>
              </w:rPr>
            </w:pPr>
          </w:p>
        </w:tc>
        <w:tc>
          <w:tcPr>
            <w:tcW w:w="50" w:type="pct"/>
            <w:shd w:val="clear" w:color="auto" w:fill="auto"/>
            <w:vAlign w:val="center"/>
          </w:tcPr>
          <w:p w14:paraId="5556D837" w14:textId="77777777" w:rsidR="00F925DD" w:rsidRDefault="00F925DD">
            <w:pPr>
              <w:rPr>
                <w:rFonts w:ascii="Times New Roman" w:hAnsi="Times New Roman"/>
                <w:sz w:val="20"/>
                <w:szCs w:val="20"/>
              </w:rPr>
            </w:pPr>
          </w:p>
        </w:tc>
        <w:tc>
          <w:tcPr>
            <w:tcW w:w="650" w:type="pct"/>
            <w:shd w:val="clear" w:color="auto" w:fill="auto"/>
            <w:vAlign w:val="center"/>
          </w:tcPr>
          <w:p w14:paraId="5556D838" w14:textId="77777777" w:rsidR="00F925DD" w:rsidRDefault="00F925DD">
            <w:pPr>
              <w:rPr>
                <w:rFonts w:ascii="Times New Roman" w:hAnsi="Times New Roman"/>
                <w:sz w:val="20"/>
                <w:szCs w:val="20"/>
              </w:rPr>
            </w:pPr>
          </w:p>
        </w:tc>
        <w:tc>
          <w:tcPr>
            <w:tcW w:w="50" w:type="pct"/>
            <w:shd w:val="clear" w:color="auto" w:fill="auto"/>
            <w:vAlign w:val="center"/>
          </w:tcPr>
          <w:p w14:paraId="5556D839" w14:textId="77777777" w:rsidR="00F925DD" w:rsidRDefault="00F925DD">
            <w:pPr>
              <w:rPr>
                <w:rFonts w:ascii="Times New Roman" w:hAnsi="Times New Roman"/>
                <w:sz w:val="20"/>
                <w:szCs w:val="20"/>
              </w:rPr>
            </w:pPr>
          </w:p>
        </w:tc>
        <w:tc>
          <w:tcPr>
            <w:tcW w:w="50" w:type="pct"/>
            <w:shd w:val="clear" w:color="auto" w:fill="auto"/>
            <w:vAlign w:val="center"/>
          </w:tcPr>
          <w:p w14:paraId="5556D83A" w14:textId="77777777" w:rsidR="00F925DD" w:rsidRDefault="00F925DD">
            <w:pPr>
              <w:rPr>
                <w:rFonts w:ascii="Times New Roman" w:hAnsi="Times New Roman"/>
                <w:sz w:val="20"/>
                <w:szCs w:val="20"/>
              </w:rPr>
            </w:pPr>
          </w:p>
        </w:tc>
        <w:tc>
          <w:tcPr>
            <w:tcW w:w="50" w:type="pct"/>
            <w:shd w:val="clear" w:color="auto" w:fill="auto"/>
            <w:vAlign w:val="center"/>
          </w:tcPr>
          <w:p w14:paraId="5556D83B" w14:textId="77777777" w:rsidR="00F925DD" w:rsidRDefault="00F925DD">
            <w:pPr>
              <w:rPr>
                <w:rFonts w:ascii="Times New Roman" w:hAnsi="Times New Roman"/>
                <w:sz w:val="20"/>
                <w:szCs w:val="20"/>
              </w:rPr>
            </w:pPr>
          </w:p>
        </w:tc>
        <w:tc>
          <w:tcPr>
            <w:tcW w:w="650" w:type="pct"/>
            <w:shd w:val="clear" w:color="auto" w:fill="auto"/>
            <w:vAlign w:val="center"/>
          </w:tcPr>
          <w:p w14:paraId="5556D83C" w14:textId="77777777" w:rsidR="00F925DD" w:rsidRDefault="00F925DD">
            <w:pPr>
              <w:rPr>
                <w:rFonts w:ascii="Times New Roman" w:hAnsi="Times New Roman"/>
                <w:sz w:val="20"/>
                <w:szCs w:val="20"/>
              </w:rPr>
            </w:pPr>
          </w:p>
        </w:tc>
        <w:tc>
          <w:tcPr>
            <w:tcW w:w="50" w:type="pct"/>
            <w:shd w:val="clear" w:color="auto" w:fill="auto"/>
            <w:vAlign w:val="center"/>
          </w:tcPr>
          <w:p w14:paraId="5556D83D" w14:textId="77777777" w:rsidR="00F925DD" w:rsidRDefault="00F925DD">
            <w:pPr>
              <w:rPr>
                <w:rFonts w:ascii="Times New Roman" w:hAnsi="Times New Roman"/>
                <w:sz w:val="20"/>
                <w:szCs w:val="20"/>
              </w:rPr>
            </w:pPr>
          </w:p>
        </w:tc>
        <w:tc>
          <w:tcPr>
            <w:tcW w:w="50" w:type="pct"/>
            <w:shd w:val="clear" w:color="auto" w:fill="auto"/>
            <w:vAlign w:val="center"/>
          </w:tcPr>
          <w:p w14:paraId="5556D83E" w14:textId="77777777" w:rsidR="00F925DD" w:rsidRDefault="00F925DD">
            <w:pPr>
              <w:rPr>
                <w:rFonts w:ascii="Times New Roman" w:hAnsi="Times New Roman"/>
                <w:sz w:val="20"/>
                <w:szCs w:val="20"/>
              </w:rPr>
            </w:pPr>
          </w:p>
        </w:tc>
        <w:tc>
          <w:tcPr>
            <w:tcW w:w="50" w:type="pct"/>
            <w:shd w:val="clear" w:color="auto" w:fill="auto"/>
            <w:vAlign w:val="center"/>
          </w:tcPr>
          <w:p w14:paraId="5556D83F" w14:textId="77777777" w:rsidR="00F925DD" w:rsidRDefault="00F925DD">
            <w:pPr>
              <w:rPr>
                <w:rFonts w:ascii="Times New Roman" w:hAnsi="Times New Roman"/>
                <w:sz w:val="20"/>
                <w:szCs w:val="20"/>
              </w:rPr>
            </w:pPr>
          </w:p>
        </w:tc>
        <w:tc>
          <w:tcPr>
            <w:tcW w:w="650" w:type="pct"/>
            <w:shd w:val="clear" w:color="auto" w:fill="auto"/>
            <w:vAlign w:val="center"/>
          </w:tcPr>
          <w:p w14:paraId="5556D840" w14:textId="77777777" w:rsidR="00F925DD" w:rsidRDefault="00F925DD">
            <w:pPr>
              <w:rPr>
                <w:rFonts w:ascii="Times New Roman" w:hAnsi="Times New Roman"/>
                <w:sz w:val="20"/>
                <w:szCs w:val="20"/>
              </w:rPr>
            </w:pPr>
          </w:p>
        </w:tc>
        <w:tc>
          <w:tcPr>
            <w:tcW w:w="50" w:type="pct"/>
            <w:shd w:val="clear" w:color="auto" w:fill="auto"/>
            <w:vAlign w:val="center"/>
          </w:tcPr>
          <w:p w14:paraId="5556D841" w14:textId="77777777" w:rsidR="00F925DD" w:rsidRDefault="00F925DD">
            <w:pPr>
              <w:rPr>
                <w:rFonts w:ascii="Times New Roman" w:hAnsi="Times New Roman"/>
                <w:sz w:val="20"/>
                <w:szCs w:val="20"/>
              </w:rPr>
            </w:pPr>
          </w:p>
        </w:tc>
        <w:tc>
          <w:tcPr>
            <w:tcW w:w="50" w:type="pct"/>
            <w:shd w:val="clear" w:color="auto" w:fill="auto"/>
            <w:vAlign w:val="center"/>
          </w:tcPr>
          <w:p w14:paraId="5556D842" w14:textId="77777777" w:rsidR="00F925DD" w:rsidRDefault="00F925DD">
            <w:pPr>
              <w:rPr>
                <w:rFonts w:ascii="Times New Roman" w:hAnsi="Times New Roman"/>
                <w:sz w:val="20"/>
                <w:szCs w:val="20"/>
              </w:rPr>
            </w:pPr>
          </w:p>
        </w:tc>
        <w:tc>
          <w:tcPr>
            <w:tcW w:w="50" w:type="pct"/>
            <w:shd w:val="clear" w:color="auto" w:fill="auto"/>
            <w:vAlign w:val="center"/>
          </w:tcPr>
          <w:p w14:paraId="5556D843" w14:textId="77777777" w:rsidR="00F925DD" w:rsidRDefault="00F925DD">
            <w:pPr>
              <w:rPr>
                <w:rFonts w:ascii="Times New Roman" w:hAnsi="Times New Roman"/>
                <w:sz w:val="20"/>
                <w:szCs w:val="20"/>
              </w:rPr>
            </w:pPr>
          </w:p>
        </w:tc>
        <w:tc>
          <w:tcPr>
            <w:tcW w:w="650" w:type="pct"/>
            <w:shd w:val="clear" w:color="auto" w:fill="auto"/>
            <w:vAlign w:val="center"/>
          </w:tcPr>
          <w:p w14:paraId="5556D844" w14:textId="77777777" w:rsidR="00F925DD" w:rsidRDefault="00F925DD">
            <w:pPr>
              <w:rPr>
                <w:rFonts w:ascii="Times New Roman" w:hAnsi="Times New Roman"/>
                <w:sz w:val="20"/>
                <w:szCs w:val="20"/>
              </w:rPr>
            </w:pPr>
          </w:p>
        </w:tc>
        <w:tc>
          <w:tcPr>
            <w:tcW w:w="50" w:type="pct"/>
            <w:shd w:val="clear" w:color="auto" w:fill="auto"/>
            <w:vAlign w:val="center"/>
          </w:tcPr>
          <w:p w14:paraId="5556D845" w14:textId="77777777" w:rsidR="00F925DD" w:rsidRDefault="00F925DD">
            <w:pPr>
              <w:rPr>
                <w:rFonts w:ascii="Times New Roman" w:hAnsi="Times New Roman"/>
                <w:sz w:val="20"/>
                <w:szCs w:val="20"/>
              </w:rPr>
            </w:pPr>
          </w:p>
        </w:tc>
      </w:tr>
      <w:tr w:rsidR="00F925DD" w14:paraId="5556D84B" w14:textId="77777777">
        <w:tc>
          <w:tcPr>
            <w:tcW w:w="0" w:type="auto"/>
            <w:shd w:val="clear" w:color="auto" w:fill="auto"/>
            <w:tcMar>
              <w:top w:w="40" w:type="dxa"/>
              <w:left w:w="40" w:type="dxa"/>
              <w:bottom w:w="40" w:type="dxa"/>
              <w:right w:w="40" w:type="dxa"/>
            </w:tcMar>
            <w:vAlign w:val="bottom"/>
          </w:tcPr>
          <w:p w14:paraId="5556D8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84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Derivative Assets(1)</w:t>
            </w:r>
          </w:p>
        </w:tc>
        <w:tc>
          <w:tcPr>
            <w:tcW w:w="0" w:type="auto"/>
            <w:shd w:val="clear" w:color="auto" w:fill="auto"/>
            <w:tcMar>
              <w:top w:w="40" w:type="dxa"/>
              <w:left w:w="40" w:type="dxa"/>
              <w:bottom w:w="40" w:type="dxa"/>
              <w:right w:w="40" w:type="dxa"/>
            </w:tcMar>
            <w:vAlign w:val="bottom"/>
          </w:tcPr>
          <w:p w14:paraId="5556D8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84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Derivative Liabilities(2)</w:t>
            </w:r>
          </w:p>
        </w:tc>
      </w:tr>
      <w:tr w:rsidR="00F925DD" w14:paraId="5556D854" w14:textId="77777777">
        <w:tc>
          <w:tcPr>
            <w:tcW w:w="0" w:type="auto"/>
            <w:shd w:val="clear" w:color="auto" w:fill="auto"/>
            <w:tcMar>
              <w:top w:w="40" w:type="dxa"/>
              <w:left w:w="40" w:type="dxa"/>
              <w:bottom w:w="40" w:type="dxa"/>
              <w:right w:w="40" w:type="dxa"/>
            </w:tcMar>
            <w:vAlign w:val="bottom"/>
          </w:tcPr>
          <w:p w14:paraId="5556D84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84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D8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84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c>
          <w:tcPr>
            <w:tcW w:w="0" w:type="auto"/>
            <w:shd w:val="clear" w:color="auto" w:fill="auto"/>
            <w:tcMar>
              <w:top w:w="40" w:type="dxa"/>
              <w:left w:w="40" w:type="dxa"/>
              <w:bottom w:w="40" w:type="dxa"/>
              <w:right w:w="40" w:type="dxa"/>
            </w:tcMar>
            <w:vAlign w:val="bottom"/>
          </w:tcPr>
          <w:p w14:paraId="5556D8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85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D8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85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r>
      <w:tr w:rsidR="00F925DD" w14:paraId="5556D85D" w14:textId="77777777">
        <w:tc>
          <w:tcPr>
            <w:tcW w:w="0" w:type="auto"/>
            <w:shd w:val="clear" w:color="auto" w:fill="auto"/>
            <w:tcMar>
              <w:top w:w="40" w:type="dxa"/>
              <w:left w:w="40" w:type="dxa"/>
              <w:bottom w:w="40" w:type="dxa"/>
              <w:right w:w="40" w:type="dxa"/>
            </w:tcMar>
            <w:vAlign w:val="bottom"/>
          </w:tcPr>
          <w:p w14:paraId="5556D85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 xml:space="preserve">Derivatives not </w:t>
            </w:r>
            <w:r>
              <w:rPr>
                <w:rFonts w:ascii="Arial" w:eastAsia="宋体" w:hAnsi="Arial" w:cs="Arial"/>
                <w:b/>
                <w:bCs/>
                <w:sz w:val="15"/>
                <w:szCs w:val="15"/>
              </w:rPr>
              <w:t>designated as hedging instruments:</w:t>
            </w:r>
          </w:p>
        </w:tc>
        <w:tc>
          <w:tcPr>
            <w:tcW w:w="0" w:type="auto"/>
            <w:gridSpan w:val="3"/>
            <w:shd w:val="clear" w:color="auto" w:fill="auto"/>
            <w:tcMar>
              <w:top w:w="40" w:type="dxa"/>
              <w:left w:w="40" w:type="dxa"/>
              <w:bottom w:w="40" w:type="dxa"/>
              <w:right w:w="40" w:type="dxa"/>
            </w:tcMar>
            <w:vAlign w:val="bottom"/>
          </w:tcPr>
          <w:p w14:paraId="5556D8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8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8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8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86E" w14:textId="77777777">
        <w:tc>
          <w:tcPr>
            <w:tcW w:w="0" w:type="auto"/>
            <w:shd w:val="clear" w:color="auto" w:fill="CCEEFF"/>
            <w:tcMar>
              <w:top w:w="40" w:type="dxa"/>
              <w:left w:w="40" w:type="dxa"/>
              <w:bottom w:w="40" w:type="dxa"/>
              <w:right w:w="40" w:type="dxa"/>
            </w:tcMar>
            <w:vAlign w:val="bottom"/>
          </w:tcPr>
          <w:p w14:paraId="5556D85E"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shd w:val="clear" w:color="auto" w:fill="CCEEFF"/>
            <w:tcMar>
              <w:top w:w="40" w:type="dxa"/>
              <w:left w:w="40" w:type="dxa"/>
              <w:bottom w:w="40" w:type="dxa"/>
            </w:tcMar>
            <w:vAlign w:val="bottom"/>
          </w:tcPr>
          <w:p w14:paraId="5556D85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86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15,140</w:t>
            </w:r>
          </w:p>
        </w:tc>
        <w:tc>
          <w:tcPr>
            <w:tcW w:w="0" w:type="auto"/>
            <w:shd w:val="clear" w:color="auto" w:fill="CCEEFF"/>
            <w:vAlign w:val="bottom"/>
          </w:tcPr>
          <w:p w14:paraId="5556D8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8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86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86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16,369</w:t>
            </w:r>
          </w:p>
        </w:tc>
        <w:tc>
          <w:tcPr>
            <w:tcW w:w="0" w:type="auto"/>
            <w:shd w:val="clear" w:color="auto" w:fill="CCEEFF"/>
            <w:vAlign w:val="bottom"/>
          </w:tcPr>
          <w:p w14:paraId="5556D86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8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86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86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15,054</w:t>
            </w:r>
          </w:p>
        </w:tc>
        <w:tc>
          <w:tcPr>
            <w:tcW w:w="0" w:type="auto"/>
            <w:shd w:val="clear" w:color="auto" w:fill="CCEEFF"/>
            <w:vAlign w:val="bottom"/>
          </w:tcPr>
          <w:p w14:paraId="5556D86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8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86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86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16,434</w:t>
            </w:r>
          </w:p>
        </w:tc>
        <w:tc>
          <w:tcPr>
            <w:tcW w:w="0" w:type="auto"/>
            <w:shd w:val="clear" w:color="auto" w:fill="CCEEFF"/>
            <w:vAlign w:val="bottom"/>
          </w:tcPr>
          <w:p w14:paraId="5556D86D" w14:textId="77777777" w:rsidR="00F925DD" w:rsidRDefault="00F925DD">
            <w:pPr>
              <w:textAlignment w:val="bottom"/>
              <w:rPr>
                <w:rFonts w:ascii="Times New Roman" w:hAnsi="Times New Roman"/>
                <w:sz w:val="20"/>
                <w:szCs w:val="20"/>
              </w:rPr>
            </w:pPr>
          </w:p>
        </w:tc>
      </w:tr>
      <w:tr w:rsidR="00F925DD" w14:paraId="5556D87B" w14:textId="77777777">
        <w:tc>
          <w:tcPr>
            <w:tcW w:w="0" w:type="auto"/>
            <w:shd w:val="clear" w:color="auto" w:fill="auto"/>
            <w:tcMar>
              <w:top w:w="40" w:type="dxa"/>
              <w:left w:w="40" w:type="dxa"/>
              <w:bottom w:w="40" w:type="dxa"/>
              <w:right w:w="40" w:type="dxa"/>
            </w:tcMar>
            <w:vAlign w:val="bottom"/>
          </w:tcPr>
          <w:p w14:paraId="5556D86F"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derivative contracts</w:t>
            </w:r>
          </w:p>
        </w:tc>
        <w:tc>
          <w:tcPr>
            <w:tcW w:w="0" w:type="auto"/>
            <w:gridSpan w:val="2"/>
            <w:shd w:val="clear" w:color="auto" w:fill="auto"/>
            <w:tcMar>
              <w:top w:w="40" w:type="dxa"/>
              <w:left w:w="40" w:type="dxa"/>
              <w:bottom w:w="40" w:type="dxa"/>
            </w:tcMar>
            <w:vAlign w:val="bottom"/>
          </w:tcPr>
          <w:p w14:paraId="5556D87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D87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87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D87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87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w:t>
            </w:r>
          </w:p>
        </w:tc>
        <w:tc>
          <w:tcPr>
            <w:tcW w:w="0" w:type="auto"/>
            <w:shd w:val="clear" w:color="auto" w:fill="auto"/>
            <w:vAlign w:val="bottom"/>
          </w:tcPr>
          <w:p w14:paraId="5556D87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87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214</w:t>
            </w:r>
          </w:p>
        </w:tc>
        <w:tc>
          <w:tcPr>
            <w:tcW w:w="0" w:type="auto"/>
            <w:shd w:val="clear" w:color="auto" w:fill="auto"/>
            <w:vAlign w:val="bottom"/>
          </w:tcPr>
          <w:p w14:paraId="5556D87A" w14:textId="77777777" w:rsidR="00F925DD" w:rsidRDefault="00F925DD">
            <w:pPr>
              <w:textAlignment w:val="bottom"/>
              <w:rPr>
                <w:rFonts w:ascii="Times New Roman" w:hAnsi="Times New Roman"/>
                <w:sz w:val="20"/>
                <w:szCs w:val="20"/>
              </w:rPr>
            </w:pPr>
          </w:p>
        </w:tc>
      </w:tr>
      <w:tr w:rsidR="00F925DD" w14:paraId="5556D88C" w14:textId="77777777">
        <w:tc>
          <w:tcPr>
            <w:tcW w:w="0" w:type="auto"/>
            <w:shd w:val="clear" w:color="auto" w:fill="CCEEFF"/>
            <w:tcMar>
              <w:top w:w="40" w:type="dxa"/>
              <w:left w:w="40" w:type="dxa"/>
              <w:bottom w:w="40" w:type="dxa"/>
              <w:right w:w="40" w:type="dxa"/>
            </w:tcMar>
            <w:vAlign w:val="bottom"/>
          </w:tcPr>
          <w:p w14:paraId="5556D87C"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87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87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15,140</w:t>
            </w:r>
          </w:p>
        </w:tc>
        <w:tc>
          <w:tcPr>
            <w:tcW w:w="0" w:type="auto"/>
            <w:tcBorders>
              <w:top w:val="single" w:sz="8" w:space="0" w:color="000000"/>
              <w:bottom w:val="double" w:sz="6" w:space="0" w:color="000000"/>
            </w:tcBorders>
            <w:shd w:val="clear" w:color="auto" w:fill="CCEEFF"/>
            <w:vAlign w:val="bottom"/>
          </w:tcPr>
          <w:p w14:paraId="5556D87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8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88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88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16,369</w:t>
            </w:r>
          </w:p>
        </w:tc>
        <w:tc>
          <w:tcPr>
            <w:tcW w:w="0" w:type="auto"/>
            <w:tcBorders>
              <w:top w:val="single" w:sz="8" w:space="0" w:color="000000"/>
              <w:bottom w:val="double" w:sz="6" w:space="0" w:color="000000"/>
            </w:tcBorders>
            <w:shd w:val="clear" w:color="auto" w:fill="CCEEFF"/>
            <w:vAlign w:val="bottom"/>
          </w:tcPr>
          <w:p w14:paraId="5556D88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8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88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88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15,236</w:t>
            </w:r>
          </w:p>
        </w:tc>
        <w:tc>
          <w:tcPr>
            <w:tcW w:w="0" w:type="auto"/>
            <w:tcBorders>
              <w:top w:val="single" w:sz="8" w:space="0" w:color="000000"/>
              <w:bottom w:val="double" w:sz="6" w:space="0" w:color="000000"/>
            </w:tcBorders>
            <w:shd w:val="clear" w:color="auto" w:fill="CCEEFF"/>
            <w:vAlign w:val="bottom"/>
          </w:tcPr>
          <w:p w14:paraId="5556D88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8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88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88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16,648</w:t>
            </w:r>
          </w:p>
        </w:tc>
        <w:tc>
          <w:tcPr>
            <w:tcW w:w="0" w:type="auto"/>
            <w:tcBorders>
              <w:top w:val="single" w:sz="8" w:space="0" w:color="000000"/>
              <w:bottom w:val="double" w:sz="6" w:space="0" w:color="000000"/>
            </w:tcBorders>
            <w:shd w:val="clear" w:color="auto" w:fill="CCEEFF"/>
            <w:vAlign w:val="bottom"/>
          </w:tcPr>
          <w:p w14:paraId="5556D88B" w14:textId="77777777" w:rsidR="00F925DD" w:rsidRDefault="00F925DD">
            <w:pPr>
              <w:textAlignment w:val="bottom"/>
              <w:rPr>
                <w:rFonts w:ascii="Times New Roman" w:hAnsi="Times New Roman"/>
                <w:sz w:val="20"/>
                <w:szCs w:val="20"/>
              </w:rPr>
            </w:pPr>
          </w:p>
        </w:tc>
      </w:tr>
      <w:tr w:rsidR="00F925DD" w14:paraId="5556D895" w14:textId="77777777">
        <w:tc>
          <w:tcPr>
            <w:tcW w:w="0" w:type="auto"/>
            <w:shd w:val="clear" w:color="auto" w:fill="auto"/>
            <w:tcMar>
              <w:top w:w="40" w:type="dxa"/>
              <w:left w:w="40" w:type="dxa"/>
              <w:bottom w:w="40" w:type="dxa"/>
              <w:right w:w="40" w:type="dxa"/>
            </w:tcMar>
            <w:vAlign w:val="bottom"/>
          </w:tcPr>
          <w:p w14:paraId="5556D8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8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8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8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8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89E" w14:textId="77777777">
        <w:tc>
          <w:tcPr>
            <w:tcW w:w="0" w:type="auto"/>
            <w:shd w:val="clear" w:color="auto" w:fill="CCEEFF"/>
            <w:tcMar>
              <w:top w:w="40" w:type="dxa"/>
              <w:left w:w="40" w:type="dxa"/>
              <w:bottom w:w="40" w:type="dxa"/>
              <w:right w:w="40" w:type="dxa"/>
            </w:tcMar>
            <w:vAlign w:val="bottom"/>
          </w:tcPr>
          <w:p w14:paraId="5556D89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Derivatives designated as hedging instruments:</w:t>
            </w:r>
          </w:p>
        </w:tc>
        <w:tc>
          <w:tcPr>
            <w:tcW w:w="0" w:type="auto"/>
            <w:gridSpan w:val="3"/>
            <w:shd w:val="clear" w:color="auto" w:fill="CCEEFF"/>
            <w:tcMar>
              <w:top w:w="40" w:type="dxa"/>
              <w:left w:w="40" w:type="dxa"/>
              <w:bottom w:w="40" w:type="dxa"/>
              <w:right w:w="40" w:type="dxa"/>
            </w:tcMar>
            <w:vAlign w:val="bottom"/>
          </w:tcPr>
          <w:p w14:paraId="5556D8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8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8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8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8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8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8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8AF" w14:textId="77777777">
        <w:tc>
          <w:tcPr>
            <w:tcW w:w="0" w:type="auto"/>
            <w:shd w:val="clear" w:color="auto" w:fill="auto"/>
            <w:tcMar>
              <w:top w:w="40" w:type="dxa"/>
              <w:left w:w="40" w:type="dxa"/>
              <w:bottom w:w="40" w:type="dxa"/>
              <w:right w:w="40" w:type="dxa"/>
            </w:tcMar>
            <w:vAlign w:val="bottom"/>
          </w:tcPr>
          <w:p w14:paraId="5556D89F"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shd w:val="clear" w:color="auto" w:fill="auto"/>
            <w:tcMar>
              <w:top w:w="40" w:type="dxa"/>
              <w:left w:w="40" w:type="dxa"/>
              <w:bottom w:w="40" w:type="dxa"/>
            </w:tcMar>
            <w:vAlign w:val="bottom"/>
          </w:tcPr>
          <w:p w14:paraId="5556D8A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bottom w:w="40" w:type="dxa"/>
            </w:tcMar>
            <w:vAlign w:val="bottom"/>
          </w:tcPr>
          <w:p w14:paraId="5556D8A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D8A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D8A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5556D8A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17</w:t>
            </w:r>
          </w:p>
        </w:tc>
        <w:tc>
          <w:tcPr>
            <w:tcW w:w="0" w:type="auto"/>
            <w:shd w:val="clear" w:color="auto" w:fill="auto"/>
            <w:vAlign w:val="bottom"/>
          </w:tcPr>
          <w:p w14:paraId="5556D8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D8A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bottom w:w="40" w:type="dxa"/>
            </w:tcMar>
            <w:vAlign w:val="bottom"/>
          </w:tcPr>
          <w:p w14:paraId="5556D8A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96</w:t>
            </w:r>
          </w:p>
        </w:tc>
        <w:tc>
          <w:tcPr>
            <w:tcW w:w="0" w:type="auto"/>
            <w:shd w:val="clear" w:color="auto" w:fill="auto"/>
            <w:vAlign w:val="bottom"/>
          </w:tcPr>
          <w:p w14:paraId="5556D8A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D8A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bottom w:w="40" w:type="dxa"/>
            </w:tcMar>
            <w:vAlign w:val="bottom"/>
          </w:tcPr>
          <w:p w14:paraId="5556D8A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88</w:t>
            </w:r>
          </w:p>
        </w:tc>
        <w:tc>
          <w:tcPr>
            <w:tcW w:w="0" w:type="auto"/>
            <w:shd w:val="clear" w:color="auto" w:fill="auto"/>
            <w:vAlign w:val="bottom"/>
          </w:tcPr>
          <w:p w14:paraId="5556D8AE" w14:textId="77777777" w:rsidR="00F925DD" w:rsidRDefault="00F925DD">
            <w:pPr>
              <w:textAlignment w:val="bottom"/>
              <w:rPr>
                <w:rFonts w:ascii="Times New Roman" w:hAnsi="Times New Roman"/>
                <w:sz w:val="20"/>
                <w:szCs w:val="20"/>
              </w:rPr>
            </w:pPr>
          </w:p>
        </w:tc>
      </w:tr>
      <w:tr w:rsidR="00F925DD" w14:paraId="5556D8BC" w14:textId="77777777">
        <w:tc>
          <w:tcPr>
            <w:tcW w:w="0" w:type="auto"/>
            <w:shd w:val="clear" w:color="auto" w:fill="CCEEFF"/>
            <w:tcMar>
              <w:top w:w="40" w:type="dxa"/>
              <w:left w:w="40" w:type="dxa"/>
              <w:bottom w:w="40" w:type="dxa"/>
              <w:right w:w="40" w:type="dxa"/>
            </w:tcMar>
            <w:vAlign w:val="bottom"/>
          </w:tcPr>
          <w:p w14:paraId="5556D8B0"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rate contracts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8B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tcBorders>
              <w:bottom w:val="single" w:sz="8" w:space="0" w:color="000000"/>
            </w:tcBorders>
            <w:shd w:val="clear" w:color="auto" w:fill="CCEEFF"/>
            <w:vAlign w:val="bottom"/>
          </w:tcPr>
          <w:p w14:paraId="5556D8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8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8B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w:t>
            </w:r>
          </w:p>
        </w:tc>
        <w:tc>
          <w:tcPr>
            <w:tcW w:w="0" w:type="auto"/>
            <w:shd w:val="clear" w:color="auto" w:fill="CCEEFF"/>
            <w:vAlign w:val="bottom"/>
          </w:tcPr>
          <w:p w14:paraId="5556D8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8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8B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49</w:t>
            </w:r>
          </w:p>
        </w:tc>
        <w:tc>
          <w:tcPr>
            <w:tcW w:w="0" w:type="auto"/>
            <w:tcBorders>
              <w:bottom w:val="single" w:sz="8" w:space="0" w:color="000000"/>
            </w:tcBorders>
            <w:shd w:val="clear" w:color="auto" w:fill="CCEEFF"/>
            <w:vAlign w:val="bottom"/>
          </w:tcPr>
          <w:p w14:paraId="5556D8B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8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8B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71</w:t>
            </w:r>
          </w:p>
        </w:tc>
        <w:tc>
          <w:tcPr>
            <w:tcW w:w="0" w:type="auto"/>
            <w:tcBorders>
              <w:bottom w:val="single" w:sz="8" w:space="0" w:color="000000"/>
            </w:tcBorders>
            <w:shd w:val="clear" w:color="auto" w:fill="CCEEFF"/>
            <w:vAlign w:val="bottom"/>
          </w:tcPr>
          <w:p w14:paraId="5556D8BB" w14:textId="77777777" w:rsidR="00F925DD" w:rsidRDefault="00F925DD">
            <w:pPr>
              <w:textAlignment w:val="bottom"/>
              <w:rPr>
                <w:rFonts w:ascii="Times New Roman" w:hAnsi="Times New Roman"/>
                <w:sz w:val="20"/>
                <w:szCs w:val="20"/>
              </w:rPr>
            </w:pPr>
          </w:p>
        </w:tc>
      </w:tr>
      <w:tr w:rsidR="00F925DD" w14:paraId="5556D8CD" w14:textId="77777777">
        <w:tc>
          <w:tcPr>
            <w:tcW w:w="0" w:type="auto"/>
            <w:shd w:val="clear" w:color="auto" w:fill="auto"/>
            <w:tcMar>
              <w:top w:w="40" w:type="dxa"/>
              <w:left w:w="40" w:type="dxa"/>
              <w:bottom w:w="40" w:type="dxa"/>
              <w:right w:w="40" w:type="dxa"/>
            </w:tcMar>
            <w:vAlign w:val="bottom"/>
          </w:tcPr>
          <w:p w14:paraId="5556D8BD"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8B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8B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tcBorders>
              <w:top w:val="single" w:sz="8" w:space="0" w:color="000000"/>
              <w:bottom w:val="double" w:sz="6" w:space="0" w:color="000000"/>
            </w:tcBorders>
            <w:shd w:val="clear" w:color="auto" w:fill="auto"/>
            <w:vAlign w:val="bottom"/>
          </w:tcPr>
          <w:p w14:paraId="5556D8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8C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8C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w:t>
            </w:r>
          </w:p>
        </w:tc>
        <w:tc>
          <w:tcPr>
            <w:tcW w:w="0" w:type="auto"/>
            <w:tcBorders>
              <w:top w:val="single" w:sz="8" w:space="0" w:color="000000"/>
              <w:bottom w:val="double" w:sz="6" w:space="0" w:color="000000"/>
            </w:tcBorders>
            <w:shd w:val="clear" w:color="auto" w:fill="auto"/>
            <w:vAlign w:val="bottom"/>
          </w:tcPr>
          <w:p w14:paraId="5556D8C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8C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8C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145</w:t>
            </w:r>
          </w:p>
        </w:tc>
        <w:tc>
          <w:tcPr>
            <w:tcW w:w="0" w:type="auto"/>
            <w:tcBorders>
              <w:top w:val="single" w:sz="8" w:space="0" w:color="000000"/>
              <w:bottom w:val="double" w:sz="6" w:space="0" w:color="000000"/>
            </w:tcBorders>
            <w:shd w:val="clear" w:color="auto" w:fill="auto"/>
            <w:vAlign w:val="bottom"/>
          </w:tcPr>
          <w:p w14:paraId="5556D8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8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8C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8C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159</w:t>
            </w:r>
          </w:p>
        </w:tc>
        <w:tc>
          <w:tcPr>
            <w:tcW w:w="0" w:type="auto"/>
            <w:tcBorders>
              <w:top w:val="single" w:sz="8" w:space="0" w:color="000000"/>
              <w:bottom w:val="double" w:sz="6" w:space="0" w:color="000000"/>
            </w:tcBorders>
            <w:shd w:val="clear" w:color="auto" w:fill="auto"/>
            <w:vAlign w:val="bottom"/>
          </w:tcPr>
          <w:p w14:paraId="5556D8CC" w14:textId="77777777" w:rsidR="00F925DD" w:rsidRDefault="00F925DD">
            <w:pPr>
              <w:textAlignment w:val="bottom"/>
              <w:rPr>
                <w:rFonts w:ascii="Times New Roman" w:hAnsi="Times New Roman"/>
                <w:sz w:val="20"/>
                <w:szCs w:val="20"/>
              </w:rPr>
            </w:pPr>
          </w:p>
        </w:tc>
      </w:tr>
    </w:tbl>
    <w:p w14:paraId="5556D8CE"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4070"/>
        <w:gridCol w:w="1910"/>
      </w:tblGrid>
      <w:tr w:rsidR="00F925DD" w14:paraId="5556D8D0" w14:textId="77777777">
        <w:tc>
          <w:tcPr>
            <w:tcW w:w="0" w:type="auto"/>
            <w:gridSpan w:val="3"/>
            <w:shd w:val="clear" w:color="auto" w:fill="auto"/>
            <w:vAlign w:val="center"/>
          </w:tcPr>
          <w:p w14:paraId="5556D8CF" w14:textId="77777777" w:rsidR="00F925DD" w:rsidRDefault="00F925DD">
            <w:pPr>
              <w:rPr>
                <w:rFonts w:ascii="Times New Roman" w:hAnsi="Times New Roman"/>
                <w:sz w:val="20"/>
                <w:szCs w:val="20"/>
              </w:rPr>
            </w:pPr>
          </w:p>
        </w:tc>
      </w:tr>
      <w:tr w:rsidR="00F925DD" w14:paraId="5556D8D4" w14:textId="77777777">
        <w:tc>
          <w:tcPr>
            <w:tcW w:w="1400" w:type="pct"/>
            <w:shd w:val="clear" w:color="auto" w:fill="auto"/>
            <w:vAlign w:val="center"/>
          </w:tcPr>
          <w:p w14:paraId="5556D8D1" w14:textId="77777777" w:rsidR="00F925DD" w:rsidRDefault="00F925DD">
            <w:pPr>
              <w:rPr>
                <w:rFonts w:ascii="Times New Roman" w:hAnsi="Times New Roman"/>
                <w:sz w:val="20"/>
                <w:szCs w:val="20"/>
              </w:rPr>
            </w:pPr>
          </w:p>
        </w:tc>
        <w:tc>
          <w:tcPr>
            <w:tcW w:w="2450" w:type="pct"/>
            <w:shd w:val="clear" w:color="auto" w:fill="auto"/>
            <w:vAlign w:val="center"/>
          </w:tcPr>
          <w:p w14:paraId="5556D8D2" w14:textId="77777777" w:rsidR="00F925DD" w:rsidRDefault="00F925DD">
            <w:pPr>
              <w:rPr>
                <w:rFonts w:ascii="Times New Roman" w:hAnsi="Times New Roman"/>
                <w:sz w:val="20"/>
                <w:szCs w:val="20"/>
              </w:rPr>
            </w:pPr>
          </w:p>
        </w:tc>
        <w:tc>
          <w:tcPr>
            <w:tcW w:w="1150" w:type="pct"/>
            <w:shd w:val="clear" w:color="auto" w:fill="auto"/>
            <w:vAlign w:val="center"/>
          </w:tcPr>
          <w:p w14:paraId="5556D8D3" w14:textId="77777777" w:rsidR="00F925DD" w:rsidRDefault="00F925DD">
            <w:pPr>
              <w:rPr>
                <w:rFonts w:ascii="Times New Roman" w:hAnsi="Times New Roman"/>
                <w:sz w:val="20"/>
                <w:szCs w:val="20"/>
              </w:rPr>
            </w:pPr>
          </w:p>
        </w:tc>
      </w:tr>
      <w:tr w:rsidR="00F925DD" w14:paraId="5556D8D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8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8D9"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Derivative assets are included within other assets in our consolidated statement of condition. </w:t>
      </w:r>
    </w:p>
    <w:p w14:paraId="5556D8DA"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Derivative liabilities are included within other liabilities in our consolidated statement of condition.</w:t>
      </w:r>
    </w:p>
    <w:p w14:paraId="5556D8DB" w14:textId="77777777" w:rsidR="00F925DD" w:rsidRDefault="00F925DD">
      <w:pPr>
        <w:spacing w:line="288" w:lineRule="auto"/>
        <w:jc w:val="both"/>
        <w:rPr>
          <w:rFonts w:ascii="Times New Roman" w:hAnsi="Times New Roman"/>
          <w:sz w:val="14"/>
          <w:szCs w:val="14"/>
        </w:rPr>
      </w:pPr>
    </w:p>
    <w:p w14:paraId="5556D8DC" w14:textId="77777777" w:rsidR="00F925DD" w:rsidRDefault="00F925DD">
      <w:pPr>
        <w:rPr>
          <w:rFonts w:ascii="Times New Roman" w:hAnsi="Times New Roman"/>
          <w:sz w:val="20"/>
          <w:szCs w:val="20"/>
        </w:rPr>
      </w:pPr>
    </w:p>
    <w:p w14:paraId="5556D8D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w:t>
      </w:r>
      <w:r>
        <w:rPr>
          <w:rFonts w:ascii="Arial" w:eastAsia="宋体" w:hAnsi="Arial" w:cs="Arial"/>
          <w:sz w:val="18"/>
          <w:szCs w:val="18"/>
        </w:rPr>
        <w:t>Street Corporation | 149</w:t>
      </w:r>
    </w:p>
    <w:p w14:paraId="5556D8DE" w14:textId="77777777" w:rsidR="00F925DD" w:rsidRDefault="00F925DD">
      <w:pPr>
        <w:spacing w:line="288" w:lineRule="auto"/>
        <w:ind w:firstLine="600"/>
        <w:jc w:val="center"/>
        <w:rPr>
          <w:rFonts w:ascii="Times New Roman" w:hAnsi="Times New Roman"/>
          <w:sz w:val="18"/>
          <w:szCs w:val="18"/>
        </w:rPr>
      </w:pPr>
    </w:p>
    <w:p w14:paraId="5556D8DF" w14:textId="77777777" w:rsidR="00F925DD" w:rsidRDefault="00E705D7">
      <w:r>
        <w:rPr>
          <w:rFonts w:ascii="Times New Roman" w:hAnsi="Times New Roman"/>
          <w:sz w:val="18"/>
          <w:szCs w:val="18"/>
        </w:rPr>
        <w:pict w14:anchorId="555706CF">
          <v:rect id="_x0000_i1173" style="width:415.3pt;height:1.5pt" o:hralign="center" o:hrstd="t" o:hr="t" fillcolor="#a0a0a0" stroked="f"/>
        </w:pict>
      </w:r>
    </w:p>
    <w:p w14:paraId="5556D8E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8E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D8E2" w14:textId="77777777" w:rsidR="00F925DD" w:rsidRDefault="00F925DD">
      <w:pPr>
        <w:rPr>
          <w:rFonts w:ascii="Times New Roman" w:hAnsi="Times New Roman"/>
          <w:sz w:val="20"/>
          <w:szCs w:val="20"/>
        </w:rPr>
      </w:pPr>
    </w:p>
    <w:p w14:paraId="5556D8E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the impact of our use of derivative financial instruments on our consolidated statement of income for the periods indicated:</w:t>
      </w:r>
    </w:p>
    <w:tbl>
      <w:tblPr>
        <w:tblW w:w="5000" w:type="pct"/>
        <w:tblCellMar>
          <w:left w:w="0" w:type="dxa"/>
          <w:right w:w="0" w:type="dxa"/>
        </w:tblCellMar>
        <w:tblLook w:val="04A0" w:firstRow="1" w:lastRow="0" w:firstColumn="1" w:lastColumn="0" w:noHBand="0" w:noVBand="1"/>
      </w:tblPr>
      <w:tblGrid>
        <w:gridCol w:w="2521"/>
        <w:gridCol w:w="2522"/>
        <w:gridCol w:w="129"/>
        <w:gridCol w:w="778"/>
        <w:gridCol w:w="94"/>
        <w:gridCol w:w="130"/>
        <w:gridCol w:w="129"/>
        <w:gridCol w:w="778"/>
        <w:gridCol w:w="94"/>
        <w:gridCol w:w="130"/>
        <w:gridCol w:w="129"/>
        <w:gridCol w:w="778"/>
        <w:gridCol w:w="94"/>
      </w:tblGrid>
      <w:tr w:rsidR="00F925DD" w14:paraId="5556D8E5" w14:textId="77777777">
        <w:tc>
          <w:tcPr>
            <w:tcW w:w="0" w:type="auto"/>
            <w:gridSpan w:val="13"/>
            <w:shd w:val="clear" w:color="auto" w:fill="auto"/>
            <w:vAlign w:val="center"/>
          </w:tcPr>
          <w:p w14:paraId="5556D8E4" w14:textId="77777777" w:rsidR="00F925DD" w:rsidRDefault="00F925DD">
            <w:pPr>
              <w:rPr>
                <w:rFonts w:ascii="Times New Roman" w:hAnsi="Times New Roman"/>
                <w:sz w:val="20"/>
                <w:szCs w:val="20"/>
              </w:rPr>
            </w:pPr>
          </w:p>
        </w:tc>
      </w:tr>
      <w:tr w:rsidR="00F925DD" w14:paraId="5556D8F3" w14:textId="77777777">
        <w:tc>
          <w:tcPr>
            <w:tcW w:w="1550" w:type="pct"/>
            <w:shd w:val="clear" w:color="auto" w:fill="auto"/>
            <w:vAlign w:val="center"/>
          </w:tcPr>
          <w:p w14:paraId="5556D8E6" w14:textId="77777777" w:rsidR="00F925DD" w:rsidRDefault="00F925DD">
            <w:pPr>
              <w:rPr>
                <w:rFonts w:ascii="Times New Roman" w:hAnsi="Times New Roman"/>
                <w:sz w:val="20"/>
                <w:szCs w:val="20"/>
              </w:rPr>
            </w:pPr>
          </w:p>
        </w:tc>
        <w:tc>
          <w:tcPr>
            <w:tcW w:w="1550" w:type="pct"/>
            <w:shd w:val="clear" w:color="auto" w:fill="auto"/>
            <w:vAlign w:val="center"/>
          </w:tcPr>
          <w:p w14:paraId="5556D8E7" w14:textId="77777777" w:rsidR="00F925DD" w:rsidRDefault="00F925DD">
            <w:pPr>
              <w:rPr>
                <w:rFonts w:ascii="Times New Roman" w:hAnsi="Times New Roman"/>
                <w:sz w:val="20"/>
                <w:szCs w:val="20"/>
              </w:rPr>
            </w:pPr>
          </w:p>
        </w:tc>
        <w:tc>
          <w:tcPr>
            <w:tcW w:w="50" w:type="pct"/>
            <w:shd w:val="clear" w:color="auto" w:fill="auto"/>
            <w:vAlign w:val="center"/>
          </w:tcPr>
          <w:p w14:paraId="5556D8E8" w14:textId="77777777" w:rsidR="00F925DD" w:rsidRDefault="00F925DD">
            <w:pPr>
              <w:rPr>
                <w:rFonts w:ascii="Times New Roman" w:hAnsi="Times New Roman"/>
                <w:sz w:val="20"/>
                <w:szCs w:val="20"/>
              </w:rPr>
            </w:pPr>
          </w:p>
        </w:tc>
        <w:tc>
          <w:tcPr>
            <w:tcW w:w="500" w:type="pct"/>
            <w:shd w:val="clear" w:color="auto" w:fill="auto"/>
            <w:vAlign w:val="center"/>
          </w:tcPr>
          <w:p w14:paraId="5556D8E9" w14:textId="77777777" w:rsidR="00F925DD" w:rsidRDefault="00F925DD">
            <w:pPr>
              <w:rPr>
                <w:rFonts w:ascii="Times New Roman" w:hAnsi="Times New Roman"/>
                <w:sz w:val="20"/>
                <w:szCs w:val="20"/>
              </w:rPr>
            </w:pPr>
          </w:p>
        </w:tc>
        <w:tc>
          <w:tcPr>
            <w:tcW w:w="50" w:type="pct"/>
            <w:shd w:val="clear" w:color="auto" w:fill="auto"/>
            <w:vAlign w:val="center"/>
          </w:tcPr>
          <w:p w14:paraId="5556D8EA" w14:textId="77777777" w:rsidR="00F925DD" w:rsidRDefault="00F925DD">
            <w:pPr>
              <w:rPr>
                <w:rFonts w:ascii="Times New Roman" w:hAnsi="Times New Roman"/>
                <w:sz w:val="20"/>
                <w:szCs w:val="20"/>
              </w:rPr>
            </w:pPr>
          </w:p>
        </w:tc>
        <w:tc>
          <w:tcPr>
            <w:tcW w:w="50" w:type="pct"/>
            <w:shd w:val="clear" w:color="auto" w:fill="auto"/>
            <w:vAlign w:val="center"/>
          </w:tcPr>
          <w:p w14:paraId="5556D8EB" w14:textId="77777777" w:rsidR="00F925DD" w:rsidRDefault="00F925DD">
            <w:pPr>
              <w:rPr>
                <w:rFonts w:ascii="Times New Roman" w:hAnsi="Times New Roman"/>
                <w:sz w:val="20"/>
                <w:szCs w:val="20"/>
              </w:rPr>
            </w:pPr>
          </w:p>
        </w:tc>
        <w:tc>
          <w:tcPr>
            <w:tcW w:w="50" w:type="pct"/>
            <w:shd w:val="clear" w:color="auto" w:fill="auto"/>
            <w:vAlign w:val="center"/>
          </w:tcPr>
          <w:p w14:paraId="5556D8EC" w14:textId="77777777" w:rsidR="00F925DD" w:rsidRDefault="00F925DD">
            <w:pPr>
              <w:rPr>
                <w:rFonts w:ascii="Times New Roman" w:hAnsi="Times New Roman"/>
                <w:sz w:val="20"/>
                <w:szCs w:val="20"/>
              </w:rPr>
            </w:pPr>
          </w:p>
        </w:tc>
        <w:tc>
          <w:tcPr>
            <w:tcW w:w="500" w:type="pct"/>
            <w:shd w:val="clear" w:color="auto" w:fill="auto"/>
            <w:vAlign w:val="center"/>
          </w:tcPr>
          <w:p w14:paraId="5556D8ED" w14:textId="77777777" w:rsidR="00F925DD" w:rsidRDefault="00F925DD">
            <w:pPr>
              <w:rPr>
                <w:rFonts w:ascii="Times New Roman" w:hAnsi="Times New Roman"/>
                <w:sz w:val="20"/>
                <w:szCs w:val="20"/>
              </w:rPr>
            </w:pPr>
          </w:p>
        </w:tc>
        <w:tc>
          <w:tcPr>
            <w:tcW w:w="50" w:type="pct"/>
            <w:shd w:val="clear" w:color="auto" w:fill="auto"/>
            <w:vAlign w:val="center"/>
          </w:tcPr>
          <w:p w14:paraId="5556D8EE" w14:textId="77777777" w:rsidR="00F925DD" w:rsidRDefault="00F925DD">
            <w:pPr>
              <w:rPr>
                <w:rFonts w:ascii="Times New Roman" w:hAnsi="Times New Roman"/>
                <w:sz w:val="20"/>
                <w:szCs w:val="20"/>
              </w:rPr>
            </w:pPr>
          </w:p>
        </w:tc>
        <w:tc>
          <w:tcPr>
            <w:tcW w:w="50" w:type="pct"/>
            <w:shd w:val="clear" w:color="auto" w:fill="auto"/>
            <w:vAlign w:val="center"/>
          </w:tcPr>
          <w:p w14:paraId="5556D8EF" w14:textId="77777777" w:rsidR="00F925DD" w:rsidRDefault="00F925DD">
            <w:pPr>
              <w:rPr>
                <w:rFonts w:ascii="Times New Roman" w:hAnsi="Times New Roman"/>
                <w:sz w:val="20"/>
                <w:szCs w:val="20"/>
              </w:rPr>
            </w:pPr>
          </w:p>
        </w:tc>
        <w:tc>
          <w:tcPr>
            <w:tcW w:w="50" w:type="pct"/>
            <w:shd w:val="clear" w:color="auto" w:fill="auto"/>
            <w:vAlign w:val="center"/>
          </w:tcPr>
          <w:p w14:paraId="5556D8F0" w14:textId="77777777" w:rsidR="00F925DD" w:rsidRDefault="00F925DD">
            <w:pPr>
              <w:rPr>
                <w:rFonts w:ascii="Times New Roman" w:hAnsi="Times New Roman"/>
                <w:sz w:val="20"/>
                <w:szCs w:val="20"/>
              </w:rPr>
            </w:pPr>
          </w:p>
        </w:tc>
        <w:tc>
          <w:tcPr>
            <w:tcW w:w="500" w:type="pct"/>
            <w:shd w:val="clear" w:color="auto" w:fill="auto"/>
            <w:vAlign w:val="center"/>
          </w:tcPr>
          <w:p w14:paraId="5556D8F1" w14:textId="77777777" w:rsidR="00F925DD" w:rsidRDefault="00F925DD">
            <w:pPr>
              <w:rPr>
                <w:rFonts w:ascii="Times New Roman" w:hAnsi="Times New Roman"/>
                <w:sz w:val="20"/>
                <w:szCs w:val="20"/>
              </w:rPr>
            </w:pPr>
          </w:p>
        </w:tc>
        <w:tc>
          <w:tcPr>
            <w:tcW w:w="50" w:type="pct"/>
            <w:shd w:val="clear" w:color="auto" w:fill="auto"/>
            <w:vAlign w:val="center"/>
          </w:tcPr>
          <w:p w14:paraId="5556D8F2" w14:textId="77777777" w:rsidR="00F925DD" w:rsidRDefault="00F925DD">
            <w:pPr>
              <w:rPr>
                <w:rFonts w:ascii="Times New Roman" w:hAnsi="Times New Roman"/>
                <w:sz w:val="20"/>
                <w:szCs w:val="20"/>
              </w:rPr>
            </w:pPr>
          </w:p>
        </w:tc>
      </w:tr>
      <w:tr w:rsidR="00F925DD" w14:paraId="5556D8F7" w14:textId="77777777">
        <w:tc>
          <w:tcPr>
            <w:tcW w:w="0" w:type="auto"/>
            <w:shd w:val="clear" w:color="auto" w:fill="auto"/>
            <w:tcMar>
              <w:top w:w="40" w:type="dxa"/>
              <w:left w:w="40" w:type="dxa"/>
              <w:bottom w:w="40" w:type="dxa"/>
              <w:right w:w="40" w:type="dxa"/>
            </w:tcMar>
            <w:vAlign w:val="bottom"/>
          </w:tcPr>
          <w:p w14:paraId="5556D8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D8F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Years Ended December 31,</w:t>
            </w:r>
          </w:p>
        </w:tc>
      </w:tr>
      <w:tr w:rsidR="00F925DD" w14:paraId="5556D8FF" w14:textId="77777777">
        <w:tc>
          <w:tcPr>
            <w:tcW w:w="0" w:type="auto"/>
            <w:shd w:val="clear" w:color="auto" w:fill="auto"/>
            <w:tcMar>
              <w:top w:w="40" w:type="dxa"/>
              <w:left w:w="40" w:type="dxa"/>
              <w:bottom w:w="40" w:type="dxa"/>
              <w:right w:w="40" w:type="dxa"/>
            </w:tcMar>
            <w:vAlign w:val="bottom"/>
          </w:tcPr>
          <w:p w14:paraId="5556D8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8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8FA"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D8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8FC"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5556D8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8FE"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r>
      <w:tr w:rsidR="00F925DD" w14:paraId="5556D905" w14:textId="77777777">
        <w:tc>
          <w:tcPr>
            <w:tcW w:w="0" w:type="auto"/>
            <w:shd w:val="clear" w:color="auto" w:fill="auto"/>
            <w:tcMar>
              <w:top w:w="40" w:type="dxa"/>
              <w:left w:w="40" w:type="dxa"/>
              <w:bottom w:w="40" w:type="dxa"/>
              <w:right w:w="40" w:type="dxa"/>
            </w:tcMar>
            <w:vAlign w:val="bottom"/>
          </w:tcPr>
          <w:p w14:paraId="5556D90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(In millions)</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D90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Location of Gain (Loss) on</w:t>
            </w:r>
          </w:p>
          <w:p w14:paraId="5556D902"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Derivative in Consolidated</w:t>
            </w:r>
          </w:p>
          <w:p w14:paraId="5556D903"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Statement of Income</w:t>
            </w:r>
          </w:p>
        </w:tc>
        <w:tc>
          <w:tcPr>
            <w:tcW w:w="0" w:type="auto"/>
            <w:gridSpan w:val="11"/>
            <w:tcBorders>
              <w:bottom w:val="single" w:sz="8" w:space="0" w:color="000000"/>
            </w:tcBorders>
            <w:shd w:val="clear" w:color="auto" w:fill="auto"/>
            <w:tcMar>
              <w:top w:w="40" w:type="dxa"/>
              <w:left w:w="40" w:type="dxa"/>
              <w:bottom w:w="40" w:type="dxa"/>
            </w:tcMar>
            <w:vAlign w:val="bottom"/>
          </w:tcPr>
          <w:p w14:paraId="5556D904"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Amount of Gain (Loss) on Derivative Recognized in Consolidated Statement of Income</w:t>
            </w:r>
          </w:p>
        </w:tc>
      </w:tr>
      <w:tr w:rsidR="00F925DD" w14:paraId="5556D90D" w14:textId="77777777">
        <w:tc>
          <w:tcPr>
            <w:tcW w:w="0" w:type="auto"/>
            <w:shd w:val="clear" w:color="auto" w:fill="auto"/>
            <w:tcMar>
              <w:top w:w="40" w:type="dxa"/>
              <w:left w:w="40" w:type="dxa"/>
              <w:bottom w:w="40" w:type="dxa"/>
              <w:right w:w="40" w:type="dxa"/>
            </w:tcMar>
            <w:vAlign w:val="bottom"/>
          </w:tcPr>
          <w:p w14:paraId="5556D906"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Derivatives not designated as hedging instruments:</w:t>
            </w:r>
          </w:p>
        </w:tc>
        <w:tc>
          <w:tcPr>
            <w:tcW w:w="0" w:type="auto"/>
            <w:shd w:val="clear" w:color="auto" w:fill="auto"/>
            <w:tcMar>
              <w:top w:w="40" w:type="dxa"/>
              <w:left w:w="40" w:type="dxa"/>
              <w:bottom w:w="40" w:type="dxa"/>
              <w:right w:w="40" w:type="dxa"/>
            </w:tcMar>
            <w:vAlign w:val="bottom"/>
          </w:tcPr>
          <w:p w14:paraId="5556D9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9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9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9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9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9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91B" w14:textId="77777777">
        <w:tc>
          <w:tcPr>
            <w:tcW w:w="0" w:type="auto"/>
            <w:shd w:val="clear" w:color="auto" w:fill="CCEEFF"/>
            <w:tcMar>
              <w:top w:w="40" w:type="dxa"/>
              <w:left w:w="40" w:type="dxa"/>
              <w:bottom w:w="40" w:type="dxa"/>
              <w:right w:w="40" w:type="dxa"/>
            </w:tcMar>
            <w:vAlign w:val="bottom"/>
          </w:tcPr>
          <w:p w14:paraId="5556D90E" w14:textId="77777777" w:rsidR="00F925DD" w:rsidRDefault="00E705D7">
            <w:pPr>
              <w:textAlignment w:val="bottom"/>
              <w:rPr>
                <w:rFonts w:ascii="Times New Roman" w:hAnsi="Times New Roman"/>
                <w:sz w:val="16"/>
                <w:szCs w:val="16"/>
              </w:rPr>
            </w:pPr>
            <w:r>
              <w:rPr>
                <w:rFonts w:ascii="Arial" w:eastAsia="宋体" w:hAnsi="Arial" w:cs="Arial"/>
                <w:sz w:val="16"/>
                <w:szCs w:val="16"/>
              </w:rPr>
              <w:t>Foreign exchange contracts</w:t>
            </w:r>
          </w:p>
        </w:tc>
        <w:tc>
          <w:tcPr>
            <w:tcW w:w="0" w:type="auto"/>
            <w:shd w:val="clear" w:color="auto" w:fill="CCEEFF"/>
            <w:tcMar>
              <w:top w:w="40" w:type="dxa"/>
              <w:left w:w="40" w:type="dxa"/>
              <w:bottom w:w="40" w:type="dxa"/>
              <w:right w:w="40" w:type="dxa"/>
            </w:tcMar>
            <w:vAlign w:val="bottom"/>
          </w:tcPr>
          <w:p w14:paraId="5556D90F" w14:textId="77777777" w:rsidR="00F925DD" w:rsidRDefault="00E705D7">
            <w:pPr>
              <w:textAlignment w:val="bottom"/>
              <w:rPr>
                <w:rFonts w:ascii="Times New Roman" w:hAnsi="Times New Roman"/>
                <w:sz w:val="16"/>
                <w:szCs w:val="16"/>
              </w:rPr>
            </w:pPr>
            <w:r>
              <w:rPr>
                <w:rFonts w:ascii="Arial" w:eastAsia="宋体" w:hAnsi="Arial" w:cs="Arial"/>
                <w:sz w:val="16"/>
                <w:szCs w:val="16"/>
              </w:rPr>
              <w:t>Foreign exchange trading services revenue</w:t>
            </w:r>
          </w:p>
        </w:tc>
        <w:tc>
          <w:tcPr>
            <w:tcW w:w="0" w:type="auto"/>
            <w:shd w:val="clear" w:color="auto" w:fill="CCEEFF"/>
            <w:tcMar>
              <w:top w:w="40" w:type="dxa"/>
              <w:left w:w="40" w:type="dxa"/>
              <w:bottom w:w="40" w:type="dxa"/>
            </w:tcMar>
            <w:vAlign w:val="bottom"/>
          </w:tcPr>
          <w:p w14:paraId="5556D91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D91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630</w:t>
            </w:r>
          </w:p>
        </w:tc>
        <w:tc>
          <w:tcPr>
            <w:tcW w:w="0" w:type="auto"/>
            <w:shd w:val="clear" w:color="auto" w:fill="CCEEFF"/>
            <w:vAlign w:val="bottom"/>
          </w:tcPr>
          <w:p w14:paraId="5556D9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91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D91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723</w:t>
            </w:r>
          </w:p>
        </w:tc>
        <w:tc>
          <w:tcPr>
            <w:tcW w:w="0" w:type="auto"/>
            <w:shd w:val="clear" w:color="auto" w:fill="CCEEFF"/>
            <w:vAlign w:val="bottom"/>
          </w:tcPr>
          <w:p w14:paraId="5556D9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91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D91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632</w:t>
            </w:r>
          </w:p>
        </w:tc>
        <w:tc>
          <w:tcPr>
            <w:tcW w:w="0" w:type="auto"/>
            <w:shd w:val="clear" w:color="auto" w:fill="CCEEFF"/>
            <w:vAlign w:val="bottom"/>
          </w:tcPr>
          <w:p w14:paraId="5556D91A" w14:textId="77777777" w:rsidR="00F925DD" w:rsidRDefault="00F925DD">
            <w:pPr>
              <w:textAlignment w:val="bottom"/>
              <w:rPr>
                <w:rFonts w:ascii="Times New Roman" w:hAnsi="Times New Roman"/>
                <w:sz w:val="20"/>
                <w:szCs w:val="20"/>
              </w:rPr>
            </w:pPr>
          </w:p>
        </w:tc>
      </w:tr>
      <w:tr w:rsidR="00F925DD" w14:paraId="5556D926" w14:textId="77777777">
        <w:tc>
          <w:tcPr>
            <w:tcW w:w="0" w:type="auto"/>
            <w:shd w:val="clear" w:color="auto" w:fill="auto"/>
            <w:tcMar>
              <w:top w:w="40" w:type="dxa"/>
              <w:left w:w="40" w:type="dxa"/>
              <w:bottom w:w="40" w:type="dxa"/>
              <w:right w:w="40" w:type="dxa"/>
            </w:tcMar>
            <w:vAlign w:val="bottom"/>
          </w:tcPr>
          <w:p w14:paraId="5556D91C" w14:textId="77777777" w:rsidR="00F925DD" w:rsidRDefault="00E705D7">
            <w:pPr>
              <w:textAlignment w:val="bottom"/>
              <w:rPr>
                <w:rFonts w:ascii="Times New Roman" w:hAnsi="Times New Roman"/>
                <w:sz w:val="16"/>
                <w:szCs w:val="16"/>
              </w:rPr>
            </w:pPr>
            <w:r>
              <w:rPr>
                <w:rFonts w:ascii="Arial" w:eastAsia="宋体" w:hAnsi="Arial" w:cs="Arial"/>
                <w:sz w:val="16"/>
                <w:szCs w:val="16"/>
              </w:rPr>
              <w:t>Foreign exchange contracts</w:t>
            </w:r>
          </w:p>
        </w:tc>
        <w:tc>
          <w:tcPr>
            <w:tcW w:w="0" w:type="auto"/>
            <w:shd w:val="clear" w:color="auto" w:fill="auto"/>
            <w:tcMar>
              <w:top w:w="40" w:type="dxa"/>
              <w:left w:w="40" w:type="dxa"/>
              <w:bottom w:w="40" w:type="dxa"/>
              <w:right w:w="40" w:type="dxa"/>
            </w:tcMar>
            <w:vAlign w:val="bottom"/>
          </w:tcPr>
          <w:p w14:paraId="5556D91D" w14:textId="77777777" w:rsidR="00F925DD" w:rsidRDefault="00E705D7">
            <w:pPr>
              <w:textAlignment w:val="bottom"/>
              <w:rPr>
                <w:rFonts w:ascii="Times New Roman" w:hAnsi="Times New Roman"/>
                <w:sz w:val="16"/>
                <w:szCs w:val="16"/>
              </w:rPr>
            </w:pPr>
            <w:r>
              <w:rPr>
                <w:rFonts w:ascii="Arial" w:eastAsia="宋体" w:hAnsi="Arial" w:cs="Arial"/>
                <w:sz w:val="16"/>
                <w:szCs w:val="16"/>
              </w:rPr>
              <w:t>Software and processing fees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D91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vAlign w:val="bottom"/>
          </w:tcPr>
          <w:p w14:paraId="5556D91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92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5556D9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92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w:t>
            </w:r>
          </w:p>
        </w:tc>
        <w:tc>
          <w:tcPr>
            <w:tcW w:w="0" w:type="auto"/>
            <w:shd w:val="clear" w:color="auto" w:fill="auto"/>
            <w:tcMar>
              <w:top w:w="40" w:type="dxa"/>
              <w:bottom w:w="40" w:type="dxa"/>
              <w:right w:w="40" w:type="dxa"/>
            </w:tcMar>
            <w:vAlign w:val="bottom"/>
          </w:tcPr>
          <w:p w14:paraId="5556D925"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D931" w14:textId="77777777">
        <w:tc>
          <w:tcPr>
            <w:tcW w:w="0" w:type="auto"/>
            <w:shd w:val="clear" w:color="auto" w:fill="CCEEFF"/>
            <w:tcMar>
              <w:top w:w="40" w:type="dxa"/>
              <w:left w:w="40" w:type="dxa"/>
              <w:bottom w:w="40" w:type="dxa"/>
              <w:right w:w="40" w:type="dxa"/>
            </w:tcMar>
            <w:vAlign w:val="bottom"/>
          </w:tcPr>
          <w:p w14:paraId="5556D927"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Foreign </w:t>
            </w:r>
            <w:r>
              <w:rPr>
                <w:rFonts w:ascii="Arial" w:eastAsia="宋体" w:hAnsi="Arial" w:cs="Arial"/>
                <w:sz w:val="16"/>
                <w:szCs w:val="16"/>
              </w:rPr>
              <w:t>exchange contracts</w:t>
            </w:r>
          </w:p>
        </w:tc>
        <w:tc>
          <w:tcPr>
            <w:tcW w:w="0" w:type="auto"/>
            <w:shd w:val="clear" w:color="auto" w:fill="CCEEFF"/>
            <w:tcMar>
              <w:top w:w="40" w:type="dxa"/>
              <w:left w:w="40" w:type="dxa"/>
              <w:bottom w:w="40" w:type="dxa"/>
              <w:right w:w="40" w:type="dxa"/>
            </w:tcMar>
            <w:vAlign w:val="bottom"/>
          </w:tcPr>
          <w:p w14:paraId="5556D928" w14:textId="77777777" w:rsidR="00F925DD" w:rsidRDefault="00E705D7">
            <w:pPr>
              <w:textAlignment w:val="bottom"/>
              <w:rPr>
                <w:rFonts w:ascii="Times New Roman" w:hAnsi="Times New Roman"/>
                <w:sz w:val="16"/>
                <w:szCs w:val="16"/>
              </w:rPr>
            </w:pPr>
            <w:r>
              <w:rPr>
                <w:rFonts w:ascii="Arial" w:eastAsia="宋体" w:hAnsi="Arial" w:cs="Arial"/>
                <w:sz w:val="16"/>
                <w:szCs w:val="16"/>
              </w:rPr>
              <w:t>Interest expense</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5556D92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(153</w:t>
            </w:r>
          </w:p>
        </w:tc>
        <w:tc>
          <w:tcPr>
            <w:tcW w:w="0" w:type="auto"/>
            <w:shd w:val="clear" w:color="auto" w:fill="CCEEFF"/>
            <w:tcMar>
              <w:top w:w="40" w:type="dxa"/>
              <w:bottom w:w="40" w:type="dxa"/>
              <w:right w:w="40" w:type="dxa"/>
            </w:tcMar>
            <w:vAlign w:val="bottom"/>
          </w:tcPr>
          <w:p w14:paraId="5556D92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D9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92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(41</w:t>
            </w:r>
          </w:p>
        </w:tc>
        <w:tc>
          <w:tcPr>
            <w:tcW w:w="0" w:type="auto"/>
            <w:shd w:val="clear" w:color="auto" w:fill="CCEEFF"/>
            <w:tcMar>
              <w:top w:w="40" w:type="dxa"/>
              <w:bottom w:w="40" w:type="dxa"/>
              <w:right w:w="40" w:type="dxa"/>
            </w:tcMar>
            <w:vAlign w:val="bottom"/>
          </w:tcPr>
          <w:p w14:paraId="5556D92D"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D9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92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D930" w14:textId="77777777" w:rsidR="00F925DD" w:rsidRDefault="00F925DD">
            <w:pPr>
              <w:textAlignment w:val="bottom"/>
              <w:rPr>
                <w:rFonts w:ascii="Times New Roman" w:hAnsi="Times New Roman"/>
                <w:sz w:val="20"/>
                <w:szCs w:val="20"/>
              </w:rPr>
            </w:pPr>
          </w:p>
        </w:tc>
      </w:tr>
      <w:tr w:rsidR="00F925DD" w14:paraId="5556D93C" w14:textId="77777777">
        <w:tc>
          <w:tcPr>
            <w:tcW w:w="0" w:type="auto"/>
            <w:shd w:val="clear" w:color="auto" w:fill="auto"/>
            <w:tcMar>
              <w:top w:w="40" w:type="dxa"/>
              <w:left w:w="40" w:type="dxa"/>
              <w:bottom w:w="40" w:type="dxa"/>
              <w:right w:w="40" w:type="dxa"/>
            </w:tcMar>
            <w:vAlign w:val="bottom"/>
          </w:tcPr>
          <w:p w14:paraId="5556D932" w14:textId="77777777" w:rsidR="00F925DD" w:rsidRDefault="00E705D7">
            <w:pPr>
              <w:textAlignment w:val="bottom"/>
              <w:rPr>
                <w:rFonts w:ascii="Times New Roman" w:hAnsi="Times New Roman"/>
                <w:sz w:val="16"/>
                <w:szCs w:val="16"/>
              </w:rPr>
            </w:pPr>
            <w:r>
              <w:rPr>
                <w:rFonts w:ascii="Arial" w:eastAsia="宋体" w:hAnsi="Arial" w:cs="Arial"/>
                <w:sz w:val="16"/>
                <w:szCs w:val="16"/>
              </w:rPr>
              <w:t>Interest rate contracts</w:t>
            </w:r>
          </w:p>
        </w:tc>
        <w:tc>
          <w:tcPr>
            <w:tcW w:w="0" w:type="auto"/>
            <w:shd w:val="clear" w:color="auto" w:fill="auto"/>
            <w:tcMar>
              <w:top w:w="40" w:type="dxa"/>
              <w:left w:w="40" w:type="dxa"/>
              <w:bottom w:w="40" w:type="dxa"/>
              <w:right w:w="40" w:type="dxa"/>
            </w:tcMar>
            <w:vAlign w:val="bottom"/>
          </w:tcPr>
          <w:p w14:paraId="5556D933" w14:textId="77777777" w:rsidR="00F925DD" w:rsidRDefault="00E705D7">
            <w:pPr>
              <w:textAlignment w:val="bottom"/>
              <w:rPr>
                <w:rFonts w:ascii="Times New Roman" w:hAnsi="Times New Roman"/>
                <w:sz w:val="16"/>
                <w:szCs w:val="16"/>
              </w:rPr>
            </w:pPr>
            <w:r>
              <w:rPr>
                <w:rFonts w:ascii="Arial" w:eastAsia="宋体" w:hAnsi="Arial" w:cs="Arial"/>
                <w:sz w:val="16"/>
                <w:szCs w:val="16"/>
              </w:rPr>
              <w:t>Foreign exchange trading services revenue</w:t>
            </w:r>
          </w:p>
        </w:tc>
        <w:tc>
          <w:tcPr>
            <w:tcW w:w="0" w:type="auto"/>
            <w:gridSpan w:val="2"/>
            <w:shd w:val="clear" w:color="auto" w:fill="auto"/>
            <w:tcMar>
              <w:top w:w="40" w:type="dxa"/>
              <w:left w:w="40" w:type="dxa"/>
              <w:bottom w:w="40" w:type="dxa"/>
            </w:tcMar>
            <w:vAlign w:val="bottom"/>
          </w:tcPr>
          <w:p w14:paraId="5556D93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w:t>
            </w:r>
          </w:p>
        </w:tc>
        <w:tc>
          <w:tcPr>
            <w:tcW w:w="0" w:type="auto"/>
            <w:shd w:val="clear" w:color="auto" w:fill="auto"/>
            <w:tcMar>
              <w:top w:w="40" w:type="dxa"/>
              <w:bottom w:w="40" w:type="dxa"/>
              <w:right w:w="40" w:type="dxa"/>
            </w:tcMar>
            <w:vAlign w:val="bottom"/>
          </w:tcPr>
          <w:p w14:paraId="5556D935"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D9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93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w:t>
            </w:r>
          </w:p>
        </w:tc>
        <w:tc>
          <w:tcPr>
            <w:tcW w:w="0" w:type="auto"/>
            <w:shd w:val="clear" w:color="auto" w:fill="auto"/>
            <w:tcMar>
              <w:top w:w="40" w:type="dxa"/>
              <w:bottom w:w="40" w:type="dxa"/>
              <w:right w:w="40" w:type="dxa"/>
            </w:tcMar>
            <w:vAlign w:val="bottom"/>
          </w:tcPr>
          <w:p w14:paraId="5556D93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D9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93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w:t>
            </w:r>
          </w:p>
        </w:tc>
        <w:tc>
          <w:tcPr>
            <w:tcW w:w="0" w:type="auto"/>
            <w:shd w:val="clear" w:color="auto" w:fill="auto"/>
            <w:vAlign w:val="bottom"/>
          </w:tcPr>
          <w:p w14:paraId="5556D93B" w14:textId="77777777" w:rsidR="00F925DD" w:rsidRDefault="00F925DD">
            <w:pPr>
              <w:textAlignment w:val="bottom"/>
              <w:rPr>
                <w:rFonts w:ascii="Times New Roman" w:hAnsi="Times New Roman"/>
                <w:sz w:val="20"/>
                <w:szCs w:val="20"/>
              </w:rPr>
            </w:pPr>
          </w:p>
        </w:tc>
      </w:tr>
      <w:tr w:rsidR="00F925DD" w14:paraId="5556D947" w14:textId="77777777">
        <w:tc>
          <w:tcPr>
            <w:tcW w:w="0" w:type="auto"/>
            <w:shd w:val="clear" w:color="auto" w:fill="CCEEFF"/>
            <w:tcMar>
              <w:top w:w="40" w:type="dxa"/>
              <w:left w:w="40" w:type="dxa"/>
              <w:bottom w:w="40" w:type="dxa"/>
              <w:right w:w="40" w:type="dxa"/>
            </w:tcMar>
            <w:vAlign w:val="bottom"/>
          </w:tcPr>
          <w:p w14:paraId="5556D93D" w14:textId="77777777" w:rsidR="00F925DD" w:rsidRDefault="00E705D7">
            <w:pPr>
              <w:textAlignment w:val="bottom"/>
              <w:rPr>
                <w:rFonts w:ascii="Times New Roman" w:hAnsi="Times New Roman"/>
                <w:sz w:val="16"/>
                <w:szCs w:val="16"/>
              </w:rPr>
            </w:pPr>
            <w:r>
              <w:rPr>
                <w:rFonts w:ascii="Arial" w:eastAsia="宋体" w:hAnsi="Arial" w:cs="Arial"/>
                <w:sz w:val="16"/>
                <w:szCs w:val="16"/>
              </w:rPr>
              <w:t>Interest rate contracts</w:t>
            </w:r>
          </w:p>
        </w:tc>
        <w:tc>
          <w:tcPr>
            <w:tcW w:w="0" w:type="auto"/>
            <w:shd w:val="clear" w:color="auto" w:fill="CCEEFF"/>
            <w:tcMar>
              <w:top w:w="40" w:type="dxa"/>
              <w:left w:w="40" w:type="dxa"/>
              <w:bottom w:w="40" w:type="dxa"/>
              <w:right w:w="40" w:type="dxa"/>
            </w:tcMar>
            <w:vAlign w:val="bottom"/>
          </w:tcPr>
          <w:p w14:paraId="5556D93E" w14:textId="77777777" w:rsidR="00F925DD" w:rsidRDefault="00E705D7">
            <w:pPr>
              <w:textAlignment w:val="bottom"/>
              <w:rPr>
                <w:rFonts w:ascii="Times New Roman" w:hAnsi="Times New Roman"/>
                <w:sz w:val="16"/>
                <w:szCs w:val="16"/>
              </w:rPr>
            </w:pPr>
            <w:r>
              <w:rPr>
                <w:rFonts w:ascii="Arial" w:eastAsia="宋体" w:hAnsi="Arial" w:cs="Arial"/>
                <w:sz w:val="16"/>
                <w:szCs w:val="16"/>
              </w:rPr>
              <w:t>Software and processing fees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5556D93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vAlign w:val="bottom"/>
          </w:tcPr>
          <w:p w14:paraId="5556D9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94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CCEEFF"/>
            <w:tcMar>
              <w:top w:w="40" w:type="dxa"/>
              <w:bottom w:w="40" w:type="dxa"/>
              <w:right w:w="40" w:type="dxa"/>
            </w:tcMar>
            <w:vAlign w:val="bottom"/>
          </w:tcPr>
          <w:p w14:paraId="5556D94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D9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94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D946" w14:textId="77777777" w:rsidR="00F925DD" w:rsidRDefault="00F925DD">
            <w:pPr>
              <w:textAlignment w:val="bottom"/>
              <w:rPr>
                <w:rFonts w:ascii="Times New Roman" w:hAnsi="Times New Roman"/>
                <w:sz w:val="20"/>
                <w:szCs w:val="20"/>
              </w:rPr>
            </w:pPr>
          </w:p>
        </w:tc>
      </w:tr>
      <w:tr w:rsidR="00F925DD" w14:paraId="5556D952" w14:textId="77777777">
        <w:tc>
          <w:tcPr>
            <w:tcW w:w="0" w:type="auto"/>
            <w:shd w:val="clear" w:color="auto" w:fill="auto"/>
            <w:tcMar>
              <w:top w:w="40" w:type="dxa"/>
              <w:left w:w="40" w:type="dxa"/>
              <w:bottom w:w="40" w:type="dxa"/>
              <w:right w:w="40" w:type="dxa"/>
            </w:tcMar>
            <w:vAlign w:val="bottom"/>
          </w:tcPr>
          <w:p w14:paraId="5556D948" w14:textId="77777777" w:rsidR="00F925DD" w:rsidRDefault="00E705D7">
            <w:pPr>
              <w:textAlignment w:val="bottom"/>
              <w:rPr>
                <w:rFonts w:ascii="Times New Roman" w:hAnsi="Times New Roman"/>
                <w:sz w:val="16"/>
                <w:szCs w:val="16"/>
              </w:rPr>
            </w:pPr>
            <w:r>
              <w:rPr>
                <w:rFonts w:ascii="Arial" w:eastAsia="宋体" w:hAnsi="Arial" w:cs="Arial"/>
                <w:sz w:val="16"/>
                <w:szCs w:val="16"/>
              </w:rPr>
              <w:t>Other derivative contracts</w:t>
            </w:r>
          </w:p>
        </w:tc>
        <w:tc>
          <w:tcPr>
            <w:tcW w:w="0" w:type="auto"/>
            <w:shd w:val="clear" w:color="auto" w:fill="auto"/>
            <w:tcMar>
              <w:top w:w="40" w:type="dxa"/>
              <w:left w:w="40" w:type="dxa"/>
              <w:bottom w:w="40" w:type="dxa"/>
              <w:right w:w="40" w:type="dxa"/>
            </w:tcMar>
            <w:vAlign w:val="bottom"/>
          </w:tcPr>
          <w:p w14:paraId="5556D949" w14:textId="77777777" w:rsidR="00F925DD" w:rsidRDefault="00E705D7">
            <w:pPr>
              <w:textAlignment w:val="bottom"/>
              <w:rPr>
                <w:rFonts w:ascii="Times New Roman" w:hAnsi="Times New Roman"/>
                <w:sz w:val="16"/>
                <w:szCs w:val="16"/>
              </w:rPr>
            </w:pPr>
            <w:r>
              <w:rPr>
                <w:rFonts w:ascii="Arial" w:eastAsia="宋体" w:hAnsi="Arial" w:cs="Arial"/>
                <w:sz w:val="16"/>
                <w:szCs w:val="16"/>
              </w:rPr>
              <w:t>Foreign exchange trading services revenue</w:t>
            </w:r>
          </w:p>
        </w:tc>
        <w:tc>
          <w:tcPr>
            <w:tcW w:w="0" w:type="auto"/>
            <w:gridSpan w:val="2"/>
            <w:shd w:val="clear" w:color="auto" w:fill="auto"/>
            <w:tcMar>
              <w:top w:w="40" w:type="dxa"/>
              <w:left w:w="40" w:type="dxa"/>
              <w:bottom w:w="40" w:type="dxa"/>
            </w:tcMar>
            <w:vAlign w:val="bottom"/>
          </w:tcPr>
          <w:p w14:paraId="5556D94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vAlign w:val="bottom"/>
          </w:tcPr>
          <w:p w14:paraId="5556D9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94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w:t>
            </w:r>
          </w:p>
        </w:tc>
        <w:tc>
          <w:tcPr>
            <w:tcW w:w="0" w:type="auto"/>
            <w:shd w:val="clear" w:color="auto" w:fill="auto"/>
            <w:vAlign w:val="bottom"/>
          </w:tcPr>
          <w:p w14:paraId="5556D9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95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5556D951" w14:textId="77777777" w:rsidR="00F925DD" w:rsidRDefault="00F925DD">
            <w:pPr>
              <w:textAlignment w:val="bottom"/>
              <w:rPr>
                <w:rFonts w:ascii="Times New Roman" w:hAnsi="Times New Roman"/>
                <w:sz w:val="20"/>
                <w:szCs w:val="20"/>
              </w:rPr>
            </w:pPr>
          </w:p>
        </w:tc>
      </w:tr>
      <w:tr w:rsidR="00F925DD" w14:paraId="5556D95D" w14:textId="77777777">
        <w:tc>
          <w:tcPr>
            <w:tcW w:w="0" w:type="auto"/>
            <w:shd w:val="clear" w:color="auto" w:fill="CCEEFF"/>
            <w:tcMar>
              <w:top w:w="40" w:type="dxa"/>
              <w:left w:w="40" w:type="dxa"/>
              <w:bottom w:w="40" w:type="dxa"/>
              <w:right w:w="40" w:type="dxa"/>
            </w:tcMar>
            <w:vAlign w:val="bottom"/>
          </w:tcPr>
          <w:p w14:paraId="5556D953" w14:textId="77777777" w:rsidR="00F925DD" w:rsidRDefault="00E705D7">
            <w:pPr>
              <w:textAlignment w:val="bottom"/>
              <w:rPr>
                <w:rFonts w:ascii="Times New Roman" w:hAnsi="Times New Roman"/>
                <w:sz w:val="16"/>
                <w:szCs w:val="16"/>
              </w:rPr>
            </w:pPr>
            <w:r>
              <w:rPr>
                <w:rFonts w:ascii="Arial" w:eastAsia="宋体" w:hAnsi="Arial" w:cs="Arial"/>
                <w:sz w:val="16"/>
                <w:szCs w:val="16"/>
              </w:rPr>
              <w:t>Other derivative contracts</w:t>
            </w:r>
          </w:p>
        </w:tc>
        <w:tc>
          <w:tcPr>
            <w:tcW w:w="0" w:type="auto"/>
            <w:shd w:val="clear" w:color="auto" w:fill="CCEEFF"/>
            <w:tcMar>
              <w:top w:w="40" w:type="dxa"/>
              <w:left w:w="40" w:type="dxa"/>
              <w:bottom w:w="40" w:type="dxa"/>
              <w:right w:w="40" w:type="dxa"/>
            </w:tcMar>
            <w:vAlign w:val="bottom"/>
          </w:tcPr>
          <w:p w14:paraId="5556D954" w14:textId="77777777" w:rsidR="00F925DD" w:rsidRDefault="00E705D7">
            <w:pPr>
              <w:textAlignment w:val="bottom"/>
              <w:rPr>
                <w:rFonts w:ascii="Times New Roman" w:hAnsi="Times New Roman"/>
                <w:sz w:val="16"/>
                <w:szCs w:val="16"/>
              </w:rPr>
            </w:pPr>
            <w:r>
              <w:rPr>
                <w:rFonts w:ascii="Arial" w:eastAsia="宋体" w:hAnsi="Arial" w:cs="Arial"/>
                <w:sz w:val="16"/>
                <w:szCs w:val="16"/>
              </w:rPr>
              <w:t>Compensation and employee benefits</w:t>
            </w:r>
          </w:p>
        </w:tc>
        <w:tc>
          <w:tcPr>
            <w:tcW w:w="0" w:type="auto"/>
            <w:gridSpan w:val="2"/>
            <w:shd w:val="clear" w:color="auto" w:fill="CCEEFF"/>
            <w:tcMar>
              <w:top w:w="40" w:type="dxa"/>
              <w:left w:w="40" w:type="dxa"/>
              <w:bottom w:w="40" w:type="dxa"/>
            </w:tcMar>
            <w:vAlign w:val="bottom"/>
          </w:tcPr>
          <w:p w14:paraId="5556D95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(205</w:t>
            </w:r>
          </w:p>
        </w:tc>
        <w:tc>
          <w:tcPr>
            <w:tcW w:w="0" w:type="auto"/>
            <w:shd w:val="clear" w:color="auto" w:fill="CCEEFF"/>
            <w:tcMar>
              <w:top w:w="40" w:type="dxa"/>
              <w:bottom w:w="40" w:type="dxa"/>
              <w:right w:w="40" w:type="dxa"/>
            </w:tcMar>
            <w:vAlign w:val="bottom"/>
          </w:tcPr>
          <w:p w14:paraId="5556D956"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D9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95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(171</w:t>
            </w:r>
          </w:p>
        </w:tc>
        <w:tc>
          <w:tcPr>
            <w:tcW w:w="0" w:type="auto"/>
            <w:shd w:val="clear" w:color="auto" w:fill="CCEEFF"/>
            <w:tcMar>
              <w:top w:w="40" w:type="dxa"/>
              <w:bottom w:w="40" w:type="dxa"/>
              <w:right w:w="40" w:type="dxa"/>
            </w:tcMar>
            <w:vAlign w:val="bottom"/>
          </w:tcPr>
          <w:p w14:paraId="5556D959"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D9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95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(143</w:t>
            </w:r>
          </w:p>
        </w:tc>
        <w:tc>
          <w:tcPr>
            <w:tcW w:w="0" w:type="auto"/>
            <w:shd w:val="clear" w:color="auto" w:fill="CCEEFF"/>
            <w:tcMar>
              <w:top w:w="40" w:type="dxa"/>
              <w:bottom w:w="40" w:type="dxa"/>
              <w:right w:w="40" w:type="dxa"/>
            </w:tcMar>
            <w:vAlign w:val="bottom"/>
          </w:tcPr>
          <w:p w14:paraId="5556D95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D96B" w14:textId="77777777">
        <w:tc>
          <w:tcPr>
            <w:tcW w:w="0" w:type="auto"/>
            <w:shd w:val="clear" w:color="auto" w:fill="auto"/>
            <w:tcMar>
              <w:top w:w="40" w:type="dxa"/>
              <w:left w:w="40" w:type="dxa"/>
              <w:bottom w:w="40" w:type="dxa"/>
              <w:right w:w="40" w:type="dxa"/>
            </w:tcMar>
            <w:vAlign w:val="bottom"/>
          </w:tcPr>
          <w:p w14:paraId="5556D95E" w14:textId="77777777" w:rsidR="00F925DD" w:rsidRDefault="00E705D7">
            <w:pPr>
              <w:textAlignment w:val="bottom"/>
              <w:rPr>
                <w:rFonts w:ascii="Times New Roman" w:hAnsi="Times New Roman"/>
                <w:sz w:val="16"/>
                <w:szCs w:val="16"/>
              </w:rPr>
            </w:pPr>
            <w:r>
              <w:rPr>
                <w:rFonts w:ascii="Arial" w:eastAsia="宋体" w:hAnsi="Arial" w:cs="Arial"/>
                <w:sz w:val="16"/>
                <w:szCs w:val="16"/>
              </w:rPr>
              <w:t>Total</w:t>
            </w:r>
          </w:p>
        </w:tc>
        <w:tc>
          <w:tcPr>
            <w:tcW w:w="0" w:type="auto"/>
            <w:shd w:val="clear" w:color="auto" w:fill="auto"/>
            <w:tcMar>
              <w:top w:w="40" w:type="dxa"/>
              <w:left w:w="40" w:type="dxa"/>
              <w:bottom w:w="40" w:type="dxa"/>
              <w:right w:w="40" w:type="dxa"/>
            </w:tcMar>
            <w:vAlign w:val="bottom"/>
          </w:tcPr>
          <w:p w14:paraId="5556D9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96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96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269</w:t>
            </w:r>
          </w:p>
        </w:tc>
        <w:tc>
          <w:tcPr>
            <w:tcW w:w="0" w:type="auto"/>
            <w:tcBorders>
              <w:top w:val="single" w:sz="8" w:space="0" w:color="000000"/>
              <w:bottom w:val="double" w:sz="6" w:space="0" w:color="000000"/>
            </w:tcBorders>
            <w:shd w:val="clear" w:color="auto" w:fill="auto"/>
            <w:vAlign w:val="bottom"/>
          </w:tcPr>
          <w:p w14:paraId="5556D96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96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96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509</w:t>
            </w:r>
          </w:p>
        </w:tc>
        <w:tc>
          <w:tcPr>
            <w:tcW w:w="0" w:type="auto"/>
            <w:tcBorders>
              <w:top w:val="single" w:sz="8" w:space="0" w:color="000000"/>
              <w:bottom w:val="double" w:sz="6" w:space="0" w:color="000000"/>
            </w:tcBorders>
            <w:shd w:val="clear" w:color="auto" w:fill="auto"/>
            <w:vAlign w:val="bottom"/>
          </w:tcPr>
          <w:p w14:paraId="5556D9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96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96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474</w:t>
            </w:r>
          </w:p>
        </w:tc>
        <w:tc>
          <w:tcPr>
            <w:tcW w:w="0" w:type="auto"/>
            <w:tcBorders>
              <w:top w:val="single" w:sz="8" w:space="0" w:color="000000"/>
              <w:bottom w:val="double" w:sz="6" w:space="0" w:color="000000"/>
            </w:tcBorders>
            <w:shd w:val="clear" w:color="auto" w:fill="auto"/>
            <w:vAlign w:val="bottom"/>
          </w:tcPr>
          <w:p w14:paraId="5556D96A" w14:textId="77777777" w:rsidR="00F925DD" w:rsidRDefault="00F925DD">
            <w:pPr>
              <w:textAlignment w:val="bottom"/>
              <w:rPr>
                <w:rFonts w:ascii="Times New Roman" w:hAnsi="Times New Roman"/>
                <w:sz w:val="20"/>
                <w:szCs w:val="20"/>
              </w:rPr>
            </w:pPr>
          </w:p>
        </w:tc>
      </w:tr>
      <w:tr w:rsidR="00F925DD" w14:paraId="5556D97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9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9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9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9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9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9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9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975" w14:textId="77777777">
        <w:tc>
          <w:tcPr>
            <w:tcW w:w="0" w:type="auto"/>
            <w:gridSpan w:val="13"/>
            <w:shd w:val="clear" w:color="auto" w:fill="auto"/>
            <w:tcMar>
              <w:top w:w="40" w:type="dxa"/>
              <w:left w:w="40" w:type="dxa"/>
              <w:bottom w:w="40" w:type="dxa"/>
              <w:right w:w="40" w:type="dxa"/>
            </w:tcMar>
            <w:vAlign w:val="bottom"/>
          </w:tcPr>
          <w:p w14:paraId="5556D974" w14:textId="77777777" w:rsidR="00F925DD" w:rsidRDefault="00E705D7">
            <w:pPr>
              <w:textAlignment w:val="bottom"/>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2018 includes approximately $15 million of swap costs </w:t>
            </w:r>
            <w:r>
              <w:rPr>
                <w:rFonts w:ascii="Arial" w:eastAsia="宋体" w:hAnsi="Arial" w:cs="Arial"/>
                <w:sz w:val="14"/>
                <w:szCs w:val="14"/>
              </w:rPr>
              <w:t>related to the first quarter of 2018 that were reclassified from software and processing fees to NII.</w:t>
            </w:r>
          </w:p>
        </w:tc>
      </w:tr>
    </w:tbl>
    <w:p w14:paraId="5556D976" w14:textId="77777777" w:rsidR="00F925DD" w:rsidRDefault="00F925DD">
      <w:pPr>
        <w:spacing w:line="288" w:lineRule="auto"/>
        <w:jc w:val="both"/>
        <w:rPr>
          <w:rFonts w:ascii="Times New Roman" w:hAnsi="Times New Roman"/>
          <w:sz w:val="20"/>
          <w:szCs w:val="20"/>
        </w:rPr>
      </w:pPr>
    </w:p>
    <w:p w14:paraId="5556D97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shows the carrying amount and associated cumulative basis adjustments related to the application of hedge accounting that is </w:t>
      </w:r>
      <w:r>
        <w:rPr>
          <w:rFonts w:ascii="Arial" w:eastAsia="宋体" w:hAnsi="Arial" w:cs="Arial"/>
          <w:sz w:val="20"/>
          <w:szCs w:val="20"/>
        </w:rPr>
        <w:t>included in the carrying amount of hedged assets and liabilities in fair value hedging relationships:</w:t>
      </w:r>
    </w:p>
    <w:tbl>
      <w:tblPr>
        <w:tblW w:w="5000" w:type="pct"/>
        <w:jc w:val="center"/>
        <w:tblCellMar>
          <w:left w:w="0" w:type="dxa"/>
          <w:right w:w="0" w:type="dxa"/>
        </w:tblCellMar>
        <w:tblLook w:val="04A0" w:firstRow="1" w:lastRow="0" w:firstColumn="1" w:lastColumn="0" w:noHBand="0" w:noVBand="1"/>
      </w:tblPr>
      <w:tblGrid>
        <w:gridCol w:w="2607"/>
        <w:gridCol w:w="130"/>
        <w:gridCol w:w="1112"/>
        <w:gridCol w:w="58"/>
        <w:gridCol w:w="130"/>
        <w:gridCol w:w="130"/>
        <w:gridCol w:w="1087"/>
        <w:gridCol w:w="95"/>
        <w:gridCol w:w="130"/>
        <w:gridCol w:w="130"/>
        <w:gridCol w:w="1113"/>
        <w:gridCol w:w="51"/>
        <w:gridCol w:w="130"/>
        <w:gridCol w:w="130"/>
        <w:gridCol w:w="1178"/>
        <w:gridCol w:w="95"/>
      </w:tblGrid>
      <w:tr w:rsidR="00F925DD" w14:paraId="5556D979" w14:textId="77777777">
        <w:trPr>
          <w:jc w:val="center"/>
        </w:trPr>
        <w:tc>
          <w:tcPr>
            <w:tcW w:w="0" w:type="auto"/>
            <w:gridSpan w:val="16"/>
            <w:shd w:val="clear" w:color="auto" w:fill="auto"/>
            <w:vAlign w:val="center"/>
          </w:tcPr>
          <w:p w14:paraId="5556D978" w14:textId="77777777" w:rsidR="00F925DD" w:rsidRDefault="00F925DD">
            <w:pPr>
              <w:rPr>
                <w:rFonts w:ascii="Times New Roman" w:hAnsi="Times New Roman"/>
                <w:sz w:val="20"/>
                <w:szCs w:val="20"/>
              </w:rPr>
            </w:pPr>
          </w:p>
        </w:tc>
      </w:tr>
      <w:tr w:rsidR="00F925DD" w14:paraId="5556D98A" w14:textId="77777777">
        <w:trPr>
          <w:jc w:val="center"/>
        </w:trPr>
        <w:tc>
          <w:tcPr>
            <w:tcW w:w="1600" w:type="pct"/>
            <w:shd w:val="clear" w:color="auto" w:fill="auto"/>
            <w:vAlign w:val="center"/>
          </w:tcPr>
          <w:p w14:paraId="5556D97A" w14:textId="77777777" w:rsidR="00F925DD" w:rsidRDefault="00F925DD">
            <w:pPr>
              <w:rPr>
                <w:rFonts w:ascii="Times New Roman" w:hAnsi="Times New Roman"/>
                <w:sz w:val="20"/>
                <w:szCs w:val="20"/>
              </w:rPr>
            </w:pPr>
          </w:p>
        </w:tc>
        <w:tc>
          <w:tcPr>
            <w:tcW w:w="50" w:type="pct"/>
            <w:shd w:val="clear" w:color="auto" w:fill="auto"/>
            <w:vAlign w:val="center"/>
          </w:tcPr>
          <w:p w14:paraId="5556D97B" w14:textId="77777777" w:rsidR="00F925DD" w:rsidRDefault="00F925DD">
            <w:pPr>
              <w:rPr>
                <w:rFonts w:ascii="Times New Roman" w:hAnsi="Times New Roman"/>
                <w:sz w:val="20"/>
                <w:szCs w:val="20"/>
              </w:rPr>
            </w:pPr>
          </w:p>
        </w:tc>
        <w:tc>
          <w:tcPr>
            <w:tcW w:w="700" w:type="pct"/>
            <w:shd w:val="clear" w:color="auto" w:fill="auto"/>
            <w:vAlign w:val="center"/>
          </w:tcPr>
          <w:p w14:paraId="5556D97C" w14:textId="77777777" w:rsidR="00F925DD" w:rsidRDefault="00F925DD">
            <w:pPr>
              <w:rPr>
                <w:rFonts w:ascii="Times New Roman" w:hAnsi="Times New Roman"/>
                <w:sz w:val="20"/>
                <w:szCs w:val="20"/>
              </w:rPr>
            </w:pPr>
          </w:p>
        </w:tc>
        <w:tc>
          <w:tcPr>
            <w:tcW w:w="50" w:type="pct"/>
            <w:shd w:val="clear" w:color="auto" w:fill="auto"/>
            <w:vAlign w:val="center"/>
          </w:tcPr>
          <w:p w14:paraId="5556D97D" w14:textId="77777777" w:rsidR="00F925DD" w:rsidRDefault="00F925DD">
            <w:pPr>
              <w:rPr>
                <w:rFonts w:ascii="Times New Roman" w:hAnsi="Times New Roman"/>
                <w:sz w:val="20"/>
                <w:szCs w:val="20"/>
              </w:rPr>
            </w:pPr>
          </w:p>
        </w:tc>
        <w:tc>
          <w:tcPr>
            <w:tcW w:w="50" w:type="pct"/>
            <w:shd w:val="clear" w:color="auto" w:fill="auto"/>
            <w:vAlign w:val="center"/>
          </w:tcPr>
          <w:p w14:paraId="5556D97E" w14:textId="77777777" w:rsidR="00F925DD" w:rsidRDefault="00F925DD">
            <w:pPr>
              <w:rPr>
                <w:rFonts w:ascii="Times New Roman" w:hAnsi="Times New Roman"/>
                <w:sz w:val="20"/>
                <w:szCs w:val="20"/>
              </w:rPr>
            </w:pPr>
          </w:p>
        </w:tc>
        <w:tc>
          <w:tcPr>
            <w:tcW w:w="50" w:type="pct"/>
            <w:shd w:val="clear" w:color="auto" w:fill="auto"/>
            <w:vAlign w:val="center"/>
          </w:tcPr>
          <w:p w14:paraId="5556D97F" w14:textId="77777777" w:rsidR="00F925DD" w:rsidRDefault="00F925DD">
            <w:pPr>
              <w:rPr>
                <w:rFonts w:ascii="Times New Roman" w:hAnsi="Times New Roman"/>
                <w:sz w:val="20"/>
                <w:szCs w:val="20"/>
              </w:rPr>
            </w:pPr>
          </w:p>
        </w:tc>
        <w:tc>
          <w:tcPr>
            <w:tcW w:w="700" w:type="pct"/>
            <w:shd w:val="clear" w:color="auto" w:fill="auto"/>
            <w:vAlign w:val="center"/>
          </w:tcPr>
          <w:p w14:paraId="5556D980" w14:textId="77777777" w:rsidR="00F925DD" w:rsidRDefault="00F925DD">
            <w:pPr>
              <w:rPr>
                <w:rFonts w:ascii="Times New Roman" w:hAnsi="Times New Roman"/>
                <w:sz w:val="20"/>
                <w:szCs w:val="20"/>
              </w:rPr>
            </w:pPr>
          </w:p>
        </w:tc>
        <w:tc>
          <w:tcPr>
            <w:tcW w:w="50" w:type="pct"/>
            <w:shd w:val="clear" w:color="auto" w:fill="auto"/>
            <w:vAlign w:val="center"/>
          </w:tcPr>
          <w:p w14:paraId="5556D981" w14:textId="77777777" w:rsidR="00F925DD" w:rsidRDefault="00F925DD">
            <w:pPr>
              <w:rPr>
                <w:rFonts w:ascii="Times New Roman" w:hAnsi="Times New Roman"/>
                <w:sz w:val="20"/>
                <w:szCs w:val="20"/>
              </w:rPr>
            </w:pPr>
          </w:p>
        </w:tc>
        <w:tc>
          <w:tcPr>
            <w:tcW w:w="50" w:type="pct"/>
            <w:shd w:val="clear" w:color="auto" w:fill="auto"/>
            <w:vAlign w:val="center"/>
          </w:tcPr>
          <w:p w14:paraId="5556D982" w14:textId="77777777" w:rsidR="00F925DD" w:rsidRDefault="00F925DD">
            <w:pPr>
              <w:rPr>
                <w:rFonts w:ascii="Times New Roman" w:hAnsi="Times New Roman"/>
                <w:sz w:val="20"/>
                <w:szCs w:val="20"/>
              </w:rPr>
            </w:pPr>
          </w:p>
        </w:tc>
        <w:tc>
          <w:tcPr>
            <w:tcW w:w="50" w:type="pct"/>
            <w:shd w:val="clear" w:color="auto" w:fill="auto"/>
            <w:vAlign w:val="center"/>
          </w:tcPr>
          <w:p w14:paraId="5556D983" w14:textId="77777777" w:rsidR="00F925DD" w:rsidRDefault="00F925DD">
            <w:pPr>
              <w:rPr>
                <w:rFonts w:ascii="Times New Roman" w:hAnsi="Times New Roman"/>
                <w:sz w:val="20"/>
                <w:szCs w:val="20"/>
              </w:rPr>
            </w:pPr>
          </w:p>
        </w:tc>
        <w:tc>
          <w:tcPr>
            <w:tcW w:w="700" w:type="pct"/>
            <w:shd w:val="clear" w:color="auto" w:fill="auto"/>
            <w:vAlign w:val="center"/>
          </w:tcPr>
          <w:p w14:paraId="5556D984" w14:textId="77777777" w:rsidR="00F925DD" w:rsidRDefault="00F925DD">
            <w:pPr>
              <w:rPr>
                <w:rFonts w:ascii="Times New Roman" w:hAnsi="Times New Roman"/>
                <w:sz w:val="20"/>
                <w:szCs w:val="20"/>
              </w:rPr>
            </w:pPr>
          </w:p>
        </w:tc>
        <w:tc>
          <w:tcPr>
            <w:tcW w:w="50" w:type="pct"/>
            <w:shd w:val="clear" w:color="auto" w:fill="auto"/>
            <w:vAlign w:val="center"/>
          </w:tcPr>
          <w:p w14:paraId="5556D985" w14:textId="77777777" w:rsidR="00F925DD" w:rsidRDefault="00F925DD">
            <w:pPr>
              <w:rPr>
                <w:rFonts w:ascii="Times New Roman" w:hAnsi="Times New Roman"/>
                <w:sz w:val="20"/>
                <w:szCs w:val="20"/>
              </w:rPr>
            </w:pPr>
          </w:p>
        </w:tc>
        <w:tc>
          <w:tcPr>
            <w:tcW w:w="50" w:type="pct"/>
            <w:shd w:val="clear" w:color="auto" w:fill="auto"/>
            <w:vAlign w:val="center"/>
          </w:tcPr>
          <w:p w14:paraId="5556D986" w14:textId="77777777" w:rsidR="00F925DD" w:rsidRDefault="00F925DD">
            <w:pPr>
              <w:rPr>
                <w:rFonts w:ascii="Times New Roman" w:hAnsi="Times New Roman"/>
                <w:sz w:val="20"/>
                <w:szCs w:val="20"/>
              </w:rPr>
            </w:pPr>
          </w:p>
        </w:tc>
        <w:tc>
          <w:tcPr>
            <w:tcW w:w="50" w:type="pct"/>
            <w:shd w:val="clear" w:color="auto" w:fill="auto"/>
            <w:vAlign w:val="center"/>
          </w:tcPr>
          <w:p w14:paraId="5556D987" w14:textId="77777777" w:rsidR="00F925DD" w:rsidRDefault="00F925DD">
            <w:pPr>
              <w:rPr>
                <w:rFonts w:ascii="Times New Roman" w:hAnsi="Times New Roman"/>
                <w:sz w:val="20"/>
                <w:szCs w:val="20"/>
              </w:rPr>
            </w:pPr>
          </w:p>
        </w:tc>
        <w:tc>
          <w:tcPr>
            <w:tcW w:w="750" w:type="pct"/>
            <w:shd w:val="clear" w:color="auto" w:fill="auto"/>
            <w:vAlign w:val="center"/>
          </w:tcPr>
          <w:p w14:paraId="5556D988" w14:textId="77777777" w:rsidR="00F925DD" w:rsidRDefault="00F925DD">
            <w:pPr>
              <w:rPr>
                <w:rFonts w:ascii="Times New Roman" w:hAnsi="Times New Roman"/>
                <w:sz w:val="20"/>
                <w:szCs w:val="20"/>
              </w:rPr>
            </w:pPr>
          </w:p>
        </w:tc>
        <w:tc>
          <w:tcPr>
            <w:tcW w:w="50" w:type="pct"/>
            <w:shd w:val="clear" w:color="auto" w:fill="auto"/>
            <w:vAlign w:val="center"/>
          </w:tcPr>
          <w:p w14:paraId="5556D989" w14:textId="77777777" w:rsidR="00F925DD" w:rsidRDefault="00F925DD">
            <w:pPr>
              <w:rPr>
                <w:rFonts w:ascii="Times New Roman" w:hAnsi="Times New Roman"/>
                <w:sz w:val="20"/>
                <w:szCs w:val="20"/>
              </w:rPr>
            </w:pPr>
          </w:p>
        </w:tc>
      </w:tr>
      <w:tr w:rsidR="00F925DD" w14:paraId="5556D98D" w14:textId="77777777">
        <w:trPr>
          <w:jc w:val="center"/>
        </w:trPr>
        <w:tc>
          <w:tcPr>
            <w:tcW w:w="0" w:type="auto"/>
            <w:shd w:val="clear" w:color="auto" w:fill="auto"/>
            <w:tcMar>
              <w:top w:w="40" w:type="dxa"/>
              <w:left w:w="40" w:type="dxa"/>
              <w:bottom w:w="40" w:type="dxa"/>
              <w:right w:w="40" w:type="dxa"/>
            </w:tcMar>
            <w:vAlign w:val="bottom"/>
          </w:tcPr>
          <w:p w14:paraId="5556D9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D98C"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December 31, 2019</w:t>
            </w:r>
          </w:p>
        </w:tc>
      </w:tr>
      <w:tr w:rsidR="00F925DD" w14:paraId="5556D992" w14:textId="77777777">
        <w:trPr>
          <w:jc w:val="center"/>
        </w:trPr>
        <w:tc>
          <w:tcPr>
            <w:tcW w:w="0" w:type="auto"/>
            <w:shd w:val="clear" w:color="auto" w:fill="auto"/>
            <w:tcMar>
              <w:top w:w="40" w:type="dxa"/>
              <w:left w:w="40" w:type="dxa"/>
              <w:bottom w:w="40" w:type="dxa"/>
              <w:right w:w="40" w:type="dxa"/>
            </w:tcMar>
            <w:vAlign w:val="bottom"/>
          </w:tcPr>
          <w:p w14:paraId="5556D9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98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Hedged Items Currently Designated</w:t>
            </w:r>
          </w:p>
        </w:tc>
        <w:tc>
          <w:tcPr>
            <w:tcW w:w="0" w:type="auto"/>
            <w:shd w:val="clear" w:color="auto" w:fill="auto"/>
            <w:tcMar>
              <w:top w:w="40" w:type="dxa"/>
              <w:left w:w="40" w:type="dxa"/>
              <w:bottom w:w="40" w:type="dxa"/>
              <w:right w:w="40" w:type="dxa"/>
            </w:tcMar>
            <w:vAlign w:val="bottom"/>
          </w:tcPr>
          <w:p w14:paraId="5556D9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99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Hedged Items No Longer Designated</w:t>
            </w:r>
            <w:r>
              <w:rPr>
                <w:rFonts w:ascii="Arial" w:eastAsia="宋体" w:hAnsi="Arial" w:cs="Arial"/>
                <w:b/>
                <w:bCs/>
                <w:sz w:val="10"/>
                <w:szCs w:val="10"/>
              </w:rPr>
              <w:t>(1)</w:t>
            </w:r>
          </w:p>
        </w:tc>
      </w:tr>
      <w:tr w:rsidR="00F925DD" w14:paraId="5556D99B" w14:textId="77777777">
        <w:trPr>
          <w:jc w:val="center"/>
        </w:trPr>
        <w:tc>
          <w:tcPr>
            <w:tcW w:w="0" w:type="auto"/>
            <w:shd w:val="clear" w:color="auto" w:fill="auto"/>
            <w:tcMar>
              <w:top w:w="40" w:type="dxa"/>
              <w:left w:w="40" w:type="dxa"/>
              <w:bottom w:w="40" w:type="dxa"/>
              <w:right w:w="40" w:type="dxa"/>
            </w:tcMar>
            <w:vAlign w:val="bottom"/>
          </w:tcPr>
          <w:p w14:paraId="5556D99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994"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 xml:space="preserve">Carrying Amount of </w:t>
            </w:r>
            <w:r>
              <w:rPr>
                <w:rFonts w:ascii="Arial" w:eastAsia="宋体" w:hAnsi="Arial" w:cs="Arial"/>
                <w:b/>
                <w:bCs/>
                <w:sz w:val="16"/>
                <w:szCs w:val="16"/>
              </w:rPr>
              <w:t>Assets and Liabilities</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5556D9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99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Cumulative Hedge Accounting Basis Adjustments</w:t>
            </w:r>
          </w:p>
        </w:tc>
        <w:tc>
          <w:tcPr>
            <w:tcW w:w="0" w:type="auto"/>
            <w:shd w:val="clear" w:color="auto" w:fill="auto"/>
            <w:tcMar>
              <w:top w:w="40" w:type="dxa"/>
              <w:left w:w="40" w:type="dxa"/>
              <w:bottom w:w="40" w:type="dxa"/>
              <w:right w:w="40" w:type="dxa"/>
            </w:tcMar>
            <w:vAlign w:val="bottom"/>
          </w:tcPr>
          <w:p w14:paraId="5556D9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99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Carrying Amount of Assets and Liabilities</w:t>
            </w:r>
          </w:p>
        </w:tc>
        <w:tc>
          <w:tcPr>
            <w:tcW w:w="0" w:type="auto"/>
            <w:shd w:val="clear" w:color="auto" w:fill="auto"/>
            <w:tcMar>
              <w:top w:w="40" w:type="dxa"/>
              <w:left w:w="40" w:type="dxa"/>
              <w:bottom w:w="40" w:type="dxa"/>
              <w:right w:w="40" w:type="dxa"/>
            </w:tcMar>
            <w:vAlign w:val="bottom"/>
          </w:tcPr>
          <w:p w14:paraId="5556D9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99A"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Cumulative Hedge Accounting Basis Adjustments</w:t>
            </w:r>
          </w:p>
        </w:tc>
      </w:tr>
      <w:tr w:rsidR="00F925DD" w14:paraId="5556D9AC" w14:textId="77777777">
        <w:trPr>
          <w:jc w:val="center"/>
        </w:trPr>
        <w:tc>
          <w:tcPr>
            <w:tcW w:w="0" w:type="auto"/>
            <w:shd w:val="clear" w:color="auto" w:fill="CCEEFF"/>
            <w:tcMar>
              <w:top w:w="40" w:type="dxa"/>
              <w:left w:w="40" w:type="dxa"/>
              <w:bottom w:w="40" w:type="dxa"/>
              <w:right w:w="40" w:type="dxa"/>
            </w:tcMar>
            <w:vAlign w:val="bottom"/>
          </w:tcPr>
          <w:p w14:paraId="5556D99C" w14:textId="77777777" w:rsidR="00F925DD" w:rsidRDefault="00E705D7">
            <w:pPr>
              <w:textAlignment w:val="bottom"/>
              <w:rPr>
                <w:rFonts w:ascii="Times New Roman" w:hAnsi="Times New Roman"/>
                <w:sz w:val="16"/>
                <w:szCs w:val="16"/>
              </w:rPr>
            </w:pPr>
            <w:r>
              <w:rPr>
                <w:rFonts w:ascii="Arial" w:eastAsia="宋体" w:hAnsi="Arial" w:cs="Arial"/>
                <w:sz w:val="16"/>
                <w:szCs w:val="16"/>
              </w:rPr>
              <w:t>Long-term debt</w:t>
            </w:r>
          </w:p>
        </w:tc>
        <w:tc>
          <w:tcPr>
            <w:tcW w:w="0" w:type="auto"/>
            <w:tcBorders>
              <w:top w:val="single" w:sz="8" w:space="0" w:color="000000"/>
            </w:tcBorders>
            <w:shd w:val="clear" w:color="auto" w:fill="CCEEFF"/>
            <w:tcMar>
              <w:top w:w="40" w:type="dxa"/>
              <w:left w:w="40" w:type="dxa"/>
              <w:bottom w:w="40" w:type="dxa"/>
            </w:tcMar>
            <w:vAlign w:val="bottom"/>
          </w:tcPr>
          <w:p w14:paraId="5556D99D"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D99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9,769</w:t>
            </w:r>
          </w:p>
        </w:tc>
        <w:tc>
          <w:tcPr>
            <w:tcW w:w="0" w:type="auto"/>
            <w:tcBorders>
              <w:top w:val="single" w:sz="8" w:space="0" w:color="000000"/>
            </w:tcBorders>
            <w:shd w:val="clear" w:color="auto" w:fill="CCEEFF"/>
            <w:vAlign w:val="bottom"/>
          </w:tcPr>
          <w:p w14:paraId="5556D9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9A1"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D9A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164</w:t>
            </w:r>
          </w:p>
        </w:tc>
        <w:tc>
          <w:tcPr>
            <w:tcW w:w="0" w:type="auto"/>
            <w:tcBorders>
              <w:top w:val="single" w:sz="8" w:space="0" w:color="000000"/>
            </w:tcBorders>
            <w:shd w:val="clear" w:color="auto" w:fill="CCEEFF"/>
            <w:vAlign w:val="bottom"/>
          </w:tcPr>
          <w:p w14:paraId="5556D9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9A5"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D9A6"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1,199</w:t>
            </w:r>
          </w:p>
        </w:tc>
        <w:tc>
          <w:tcPr>
            <w:tcW w:w="0" w:type="auto"/>
            <w:tcBorders>
              <w:top w:val="single" w:sz="8" w:space="0" w:color="000000"/>
            </w:tcBorders>
            <w:shd w:val="clear" w:color="auto" w:fill="CCEEFF"/>
            <w:vAlign w:val="bottom"/>
          </w:tcPr>
          <w:p w14:paraId="5556D9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9A9"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D9A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(8</w:t>
            </w:r>
          </w:p>
        </w:tc>
        <w:tc>
          <w:tcPr>
            <w:tcW w:w="0" w:type="auto"/>
            <w:tcBorders>
              <w:top w:val="single" w:sz="8" w:space="0" w:color="000000"/>
            </w:tcBorders>
            <w:shd w:val="clear" w:color="auto" w:fill="CCEEFF"/>
            <w:tcMar>
              <w:top w:w="40" w:type="dxa"/>
              <w:bottom w:w="40" w:type="dxa"/>
              <w:right w:w="40" w:type="dxa"/>
            </w:tcMar>
            <w:vAlign w:val="bottom"/>
          </w:tcPr>
          <w:p w14:paraId="5556D9A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r>
      <w:tr w:rsidR="00F925DD" w14:paraId="5556D9B9" w14:textId="77777777">
        <w:trPr>
          <w:jc w:val="center"/>
        </w:trPr>
        <w:tc>
          <w:tcPr>
            <w:tcW w:w="0" w:type="auto"/>
            <w:shd w:val="clear" w:color="auto" w:fill="auto"/>
            <w:tcMar>
              <w:top w:w="40" w:type="dxa"/>
              <w:left w:w="40" w:type="dxa"/>
              <w:bottom w:w="40" w:type="dxa"/>
              <w:right w:w="40" w:type="dxa"/>
            </w:tcMar>
            <w:vAlign w:val="bottom"/>
          </w:tcPr>
          <w:p w14:paraId="5556D9AD" w14:textId="77777777" w:rsidR="00F925DD" w:rsidRDefault="00E705D7">
            <w:pPr>
              <w:textAlignment w:val="bottom"/>
              <w:rPr>
                <w:rFonts w:ascii="Times New Roman" w:hAnsi="Times New Roman"/>
                <w:sz w:val="16"/>
                <w:szCs w:val="16"/>
              </w:rPr>
            </w:pPr>
            <w:r>
              <w:rPr>
                <w:rFonts w:ascii="Arial" w:eastAsia="宋体" w:hAnsi="Arial" w:cs="Arial"/>
                <w:sz w:val="16"/>
                <w:szCs w:val="16"/>
              </w:rPr>
              <w:t>Available</w:t>
            </w:r>
            <w:r>
              <w:rPr>
                <w:rFonts w:ascii="Arial" w:eastAsia="宋体" w:hAnsi="Arial" w:cs="Arial"/>
                <w:sz w:val="16"/>
                <w:szCs w:val="16"/>
              </w:rPr>
              <w:t>-for-sale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D9A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940</w:t>
            </w:r>
          </w:p>
        </w:tc>
        <w:tc>
          <w:tcPr>
            <w:tcW w:w="0" w:type="auto"/>
            <w:tcBorders>
              <w:bottom w:val="single" w:sz="8" w:space="0" w:color="000000"/>
            </w:tcBorders>
            <w:shd w:val="clear" w:color="auto" w:fill="auto"/>
            <w:vAlign w:val="bottom"/>
          </w:tcPr>
          <w:p w14:paraId="5556D9A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9B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49</w:t>
            </w:r>
          </w:p>
        </w:tc>
        <w:tc>
          <w:tcPr>
            <w:tcW w:w="0" w:type="auto"/>
            <w:tcBorders>
              <w:bottom w:val="single" w:sz="8" w:space="0" w:color="000000"/>
            </w:tcBorders>
            <w:shd w:val="clear" w:color="auto" w:fill="auto"/>
            <w:vAlign w:val="bottom"/>
          </w:tcPr>
          <w:p w14:paraId="5556D9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9B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single" w:sz="8" w:space="0" w:color="000000"/>
            </w:tcBorders>
            <w:shd w:val="clear" w:color="auto" w:fill="auto"/>
            <w:vAlign w:val="bottom"/>
          </w:tcPr>
          <w:p w14:paraId="5556D9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9B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single" w:sz="8" w:space="0" w:color="000000"/>
            </w:tcBorders>
            <w:shd w:val="clear" w:color="auto" w:fill="auto"/>
            <w:vAlign w:val="bottom"/>
          </w:tcPr>
          <w:p w14:paraId="5556D9B8" w14:textId="77777777" w:rsidR="00F925DD" w:rsidRDefault="00F925DD">
            <w:pPr>
              <w:textAlignment w:val="bottom"/>
              <w:rPr>
                <w:rFonts w:ascii="Times New Roman" w:hAnsi="Times New Roman"/>
                <w:sz w:val="20"/>
                <w:szCs w:val="20"/>
              </w:rPr>
            </w:pPr>
          </w:p>
        </w:tc>
      </w:tr>
      <w:tr w:rsidR="00F925DD" w14:paraId="5556D9CA" w14:textId="77777777">
        <w:trPr>
          <w:jc w:val="center"/>
        </w:trPr>
        <w:tc>
          <w:tcPr>
            <w:tcW w:w="0" w:type="auto"/>
            <w:shd w:val="clear" w:color="auto" w:fill="CCEEFF"/>
            <w:tcMar>
              <w:top w:w="40" w:type="dxa"/>
              <w:left w:w="40" w:type="dxa"/>
              <w:bottom w:w="40" w:type="dxa"/>
              <w:right w:w="40" w:type="dxa"/>
            </w:tcMar>
            <w:vAlign w:val="bottom"/>
          </w:tcPr>
          <w:p w14:paraId="5556D9BA" w14:textId="77777777" w:rsidR="00F925DD" w:rsidRDefault="00E705D7">
            <w:pPr>
              <w:textAlignment w:val="bottom"/>
              <w:rPr>
                <w:rFonts w:ascii="Times New Roman" w:hAnsi="Times New Roman"/>
                <w:sz w:val="16"/>
                <w:szCs w:val="16"/>
              </w:rPr>
            </w:pPr>
            <w:r>
              <w:rPr>
                <w:rFonts w:ascii="Arial" w:eastAsia="宋体" w:hAnsi="Arial" w:cs="Arial"/>
                <w:sz w:val="16"/>
                <w:szCs w:val="16"/>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9B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9B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10,709</w:t>
            </w:r>
          </w:p>
        </w:tc>
        <w:tc>
          <w:tcPr>
            <w:tcW w:w="0" w:type="auto"/>
            <w:tcBorders>
              <w:top w:val="single" w:sz="8" w:space="0" w:color="000000"/>
              <w:bottom w:val="double" w:sz="6" w:space="0" w:color="000000"/>
            </w:tcBorders>
            <w:shd w:val="clear" w:color="auto" w:fill="CCEEFF"/>
            <w:vAlign w:val="bottom"/>
          </w:tcPr>
          <w:p w14:paraId="5556D9B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9B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9C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213</w:t>
            </w:r>
          </w:p>
        </w:tc>
        <w:tc>
          <w:tcPr>
            <w:tcW w:w="0" w:type="auto"/>
            <w:tcBorders>
              <w:top w:val="single" w:sz="8" w:space="0" w:color="000000"/>
              <w:bottom w:val="double" w:sz="6" w:space="0" w:color="000000"/>
            </w:tcBorders>
            <w:shd w:val="clear" w:color="auto" w:fill="CCEEFF"/>
            <w:vAlign w:val="bottom"/>
          </w:tcPr>
          <w:p w14:paraId="5556D9C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9C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9C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1,199</w:t>
            </w:r>
          </w:p>
        </w:tc>
        <w:tc>
          <w:tcPr>
            <w:tcW w:w="0" w:type="auto"/>
            <w:tcBorders>
              <w:top w:val="single" w:sz="8" w:space="0" w:color="000000"/>
              <w:bottom w:val="double" w:sz="6" w:space="0" w:color="000000"/>
            </w:tcBorders>
            <w:shd w:val="clear" w:color="auto" w:fill="CCEEFF"/>
            <w:vAlign w:val="bottom"/>
          </w:tcPr>
          <w:p w14:paraId="5556D9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9C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9C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9C9"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r>
      <w:tr w:rsidR="00F925DD" w14:paraId="5556D9D3" w14:textId="77777777">
        <w:trPr>
          <w:jc w:val="center"/>
        </w:trPr>
        <w:tc>
          <w:tcPr>
            <w:tcW w:w="0" w:type="auto"/>
            <w:shd w:val="clear" w:color="auto" w:fill="auto"/>
            <w:tcMar>
              <w:top w:w="40" w:type="dxa"/>
              <w:left w:w="40" w:type="dxa"/>
              <w:bottom w:w="40" w:type="dxa"/>
              <w:right w:w="40" w:type="dxa"/>
            </w:tcMar>
            <w:vAlign w:val="bottom"/>
          </w:tcPr>
          <w:p w14:paraId="5556D9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9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9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9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9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9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9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9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9D6" w14:textId="77777777">
        <w:trPr>
          <w:jc w:val="center"/>
        </w:trPr>
        <w:tc>
          <w:tcPr>
            <w:tcW w:w="0" w:type="auto"/>
            <w:shd w:val="clear" w:color="auto" w:fill="auto"/>
            <w:tcMar>
              <w:top w:w="40" w:type="dxa"/>
              <w:left w:w="40" w:type="dxa"/>
              <w:bottom w:w="40" w:type="dxa"/>
              <w:right w:w="40" w:type="dxa"/>
            </w:tcMar>
            <w:vAlign w:val="bottom"/>
          </w:tcPr>
          <w:p w14:paraId="5556D9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D9D5"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December 31, 2018</w:t>
            </w:r>
          </w:p>
        </w:tc>
      </w:tr>
      <w:tr w:rsidR="00F925DD" w14:paraId="5556D9DB" w14:textId="77777777">
        <w:trPr>
          <w:jc w:val="center"/>
        </w:trPr>
        <w:tc>
          <w:tcPr>
            <w:tcW w:w="0" w:type="auto"/>
            <w:shd w:val="clear" w:color="auto" w:fill="auto"/>
            <w:tcMar>
              <w:top w:w="40" w:type="dxa"/>
              <w:left w:w="40" w:type="dxa"/>
              <w:bottom w:w="40" w:type="dxa"/>
              <w:right w:w="40" w:type="dxa"/>
            </w:tcMar>
            <w:vAlign w:val="bottom"/>
          </w:tcPr>
          <w:p w14:paraId="5556D9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9D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Hedged Items Currently Designated</w:t>
            </w:r>
          </w:p>
        </w:tc>
        <w:tc>
          <w:tcPr>
            <w:tcW w:w="0" w:type="auto"/>
            <w:shd w:val="clear" w:color="auto" w:fill="auto"/>
            <w:tcMar>
              <w:top w:w="40" w:type="dxa"/>
              <w:left w:w="40" w:type="dxa"/>
              <w:bottom w:w="40" w:type="dxa"/>
              <w:right w:w="40" w:type="dxa"/>
            </w:tcMar>
            <w:vAlign w:val="bottom"/>
          </w:tcPr>
          <w:p w14:paraId="5556D9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9DA"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Hedged Items No Longer Designated</w:t>
            </w:r>
            <w:r>
              <w:rPr>
                <w:rFonts w:ascii="Arial" w:eastAsia="宋体" w:hAnsi="Arial" w:cs="Arial"/>
                <w:b/>
                <w:bCs/>
                <w:sz w:val="10"/>
                <w:szCs w:val="10"/>
              </w:rPr>
              <w:t>(1)</w:t>
            </w:r>
          </w:p>
        </w:tc>
      </w:tr>
      <w:tr w:rsidR="00F925DD" w14:paraId="5556D9E4" w14:textId="77777777">
        <w:trPr>
          <w:jc w:val="center"/>
        </w:trPr>
        <w:tc>
          <w:tcPr>
            <w:tcW w:w="0" w:type="auto"/>
            <w:shd w:val="clear" w:color="auto" w:fill="auto"/>
            <w:tcMar>
              <w:top w:w="40" w:type="dxa"/>
              <w:left w:w="40" w:type="dxa"/>
              <w:bottom w:w="40" w:type="dxa"/>
              <w:right w:w="40" w:type="dxa"/>
            </w:tcMar>
            <w:vAlign w:val="bottom"/>
          </w:tcPr>
          <w:p w14:paraId="5556D9D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9D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Carrying Amount of Assets and Liabilities</w:t>
            </w:r>
            <w:r>
              <w:rPr>
                <w:rFonts w:ascii="Arial" w:eastAsia="宋体" w:hAnsi="Arial" w:cs="Arial"/>
                <w:b/>
                <w:bCs/>
                <w:sz w:val="10"/>
                <w:szCs w:val="10"/>
              </w:rPr>
              <w:t>(2)</w:t>
            </w:r>
          </w:p>
        </w:tc>
        <w:tc>
          <w:tcPr>
            <w:tcW w:w="0" w:type="auto"/>
            <w:shd w:val="clear" w:color="auto" w:fill="auto"/>
            <w:tcMar>
              <w:top w:w="40" w:type="dxa"/>
              <w:left w:w="40" w:type="dxa"/>
              <w:bottom w:w="40" w:type="dxa"/>
              <w:right w:w="40" w:type="dxa"/>
            </w:tcMar>
            <w:vAlign w:val="bottom"/>
          </w:tcPr>
          <w:p w14:paraId="5556D9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9D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Cumulative Hedge Accounting Basis Adjustments</w:t>
            </w:r>
          </w:p>
        </w:tc>
        <w:tc>
          <w:tcPr>
            <w:tcW w:w="0" w:type="auto"/>
            <w:shd w:val="clear" w:color="auto" w:fill="auto"/>
            <w:tcMar>
              <w:top w:w="40" w:type="dxa"/>
              <w:left w:w="40" w:type="dxa"/>
              <w:bottom w:w="40" w:type="dxa"/>
              <w:right w:w="40" w:type="dxa"/>
            </w:tcMar>
            <w:vAlign w:val="bottom"/>
          </w:tcPr>
          <w:p w14:paraId="5556D9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9E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Carrying Amount of Assets and Liabilities</w:t>
            </w:r>
          </w:p>
        </w:tc>
        <w:tc>
          <w:tcPr>
            <w:tcW w:w="0" w:type="auto"/>
            <w:shd w:val="clear" w:color="auto" w:fill="auto"/>
            <w:tcMar>
              <w:top w:w="40" w:type="dxa"/>
              <w:left w:w="40" w:type="dxa"/>
              <w:bottom w:w="40" w:type="dxa"/>
              <w:right w:w="40" w:type="dxa"/>
            </w:tcMar>
            <w:vAlign w:val="bottom"/>
          </w:tcPr>
          <w:p w14:paraId="5556D9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9E3"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Cumulative Hedge Accounting Basis Adjustments</w:t>
            </w:r>
          </w:p>
        </w:tc>
      </w:tr>
      <w:tr w:rsidR="00F925DD" w14:paraId="5556D9F5" w14:textId="77777777">
        <w:trPr>
          <w:jc w:val="center"/>
        </w:trPr>
        <w:tc>
          <w:tcPr>
            <w:tcW w:w="0" w:type="auto"/>
            <w:shd w:val="clear" w:color="auto" w:fill="CCEEFF"/>
            <w:tcMar>
              <w:top w:w="40" w:type="dxa"/>
              <w:left w:w="40" w:type="dxa"/>
              <w:bottom w:w="40" w:type="dxa"/>
              <w:right w:w="40" w:type="dxa"/>
            </w:tcMar>
            <w:vAlign w:val="bottom"/>
          </w:tcPr>
          <w:p w14:paraId="5556D9E5" w14:textId="77777777" w:rsidR="00F925DD" w:rsidRDefault="00E705D7">
            <w:pPr>
              <w:textAlignment w:val="bottom"/>
              <w:rPr>
                <w:rFonts w:ascii="Times New Roman" w:hAnsi="Times New Roman"/>
                <w:sz w:val="16"/>
                <w:szCs w:val="16"/>
              </w:rPr>
            </w:pPr>
            <w:r>
              <w:rPr>
                <w:rFonts w:ascii="Arial" w:eastAsia="宋体" w:hAnsi="Arial" w:cs="Arial"/>
                <w:sz w:val="16"/>
                <w:szCs w:val="16"/>
              </w:rPr>
              <w:t>Long-term debt</w:t>
            </w:r>
          </w:p>
        </w:tc>
        <w:tc>
          <w:tcPr>
            <w:tcW w:w="0" w:type="auto"/>
            <w:tcBorders>
              <w:top w:val="single" w:sz="8" w:space="0" w:color="000000"/>
            </w:tcBorders>
            <w:shd w:val="clear" w:color="auto" w:fill="CCEEFF"/>
            <w:tcMar>
              <w:top w:w="40" w:type="dxa"/>
              <w:left w:w="40" w:type="dxa"/>
              <w:bottom w:w="40" w:type="dxa"/>
            </w:tcMar>
            <w:vAlign w:val="bottom"/>
          </w:tcPr>
          <w:p w14:paraId="5556D9E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D9E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8,270</w:t>
            </w:r>
          </w:p>
        </w:tc>
        <w:tc>
          <w:tcPr>
            <w:tcW w:w="0" w:type="auto"/>
            <w:tcBorders>
              <w:top w:val="single" w:sz="8" w:space="0" w:color="000000"/>
            </w:tcBorders>
            <w:shd w:val="clear" w:color="auto" w:fill="CCEEFF"/>
            <w:vAlign w:val="bottom"/>
          </w:tcPr>
          <w:p w14:paraId="5556D9E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9E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D9E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(137</w:t>
            </w:r>
          </w:p>
        </w:tc>
        <w:tc>
          <w:tcPr>
            <w:tcW w:w="0" w:type="auto"/>
            <w:tcBorders>
              <w:top w:val="single" w:sz="8" w:space="0" w:color="000000"/>
            </w:tcBorders>
            <w:shd w:val="clear" w:color="auto" w:fill="CCEEFF"/>
            <w:tcMar>
              <w:top w:w="40" w:type="dxa"/>
              <w:bottom w:w="40" w:type="dxa"/>
              <w:right w:w="40" w:type="dxa"/>
            </w:tcMar>
            <w:vAlign w:val="bottom"/>
          </w:tcPr>
          <w:p w14:paraId="5556D9E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D9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9EE"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D9E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1,197</w:t>
            </w:r>
          </w:p>
        </w:tc>
        <w:tc>
          <w:tcPr>
            <w:tcW w:w="0" w:type="auto"/>
            <w:tcBorders>
              <w:top w:val="single" w:sz="8" w:space="0" w:color="000000"/>
            </w:tcBorders>
            <w:shd w:val="clear" w:color="auto" w:fill="CCEEFF"/>
            <w:vAlign w:val="bottom"/>
          </w:tcPr>
          <w:p w14:paraId="5556D9F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9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D9F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D9F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w:t>
            </w:r>
          </w:p>
        </w:tc>
        <w:tc>
          <w:tcPr>
            <w:tcW w:w="0" w:type="auto"/>
            <w:tcBorders>
              <w:top w:val="single" w:sz="8" w:space="0" w:color="000000"/>
            </w:tcBorders>
            <w:shd w:val="clear" w:color="auto" w:fill="CCEEFF"/>
            <w:tcMar>
              <w:top w:w="40" w:type="dxa"/>
              <w:bottom w:w="40" w:type="dxa"/>
              <w:right w:w="40" w:type="dxa"/>
            </w:tcMar>
            <w:vAlign w:val="bottom"/>
          </w:tcPr>
          <w:p w14:paraId="5556D9F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DA02" w14:textId="77777777">
        <w:trPr>
          <w:jc w:val="center"/>
        </w:trPr>
        <w:tc>
          <w:tcPr>
            <w:tcW w:w="0" w:type="auto"/>
            <w:shd w:val="clear" w:color="auto" w:fill="auto"/>
            <w:tcMar>
              <w:top w:w="40" w:type="dxa"/>
              <w:left w:w="40" w:type="dxa"/>
              <w:bottom w:w="40" w:type="dxa"/>
              <w:right w:w="40" w:type="dxa"/>
            </w:tcMar>
            <w:vAlign w:val="bottom"/>
          </w:tcPr>
          <w:p w14:paraId="5556D9F6" w14:textId="77777777" w:rsidR="00F925DD" w:rsidRDefault="00E705D7">
            <w:pPr>
              <w:textAlignment w:val="bottom"/>
              <w:rPr>
                <w:rFonts w:ascii="Times New Roman" w:hAnsi="Times New Roman"/>
                <w:sz w:val="16"/>
                <w:szCs w:val="16"/>
              </w:rPr>
            </w:pPr>
            <w:r>
              <w:rPr>
                <w:rFonts w:ascii="Arial" w:eastAsia="宋体" w:hAnsi="Arial" w:cs="Arial"/>
                <w:sz w:val="16"/>
                <w:szCs w:val="16"/>
              </w:rPr>
              <w:t>Avail</w:t>
            </w:r>
            <w:r>
              <w:rPr>
                <w:rFonts w:ascii="Arial" w:eastAsia="宋体" w:hAnsi="Arial" w:cs="Arial"/>
                <w:sz w:val="16"/>
                <w:szCs w:val="16"/>
              </w:rPr>
              <w:t>able-for-sale securities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D9F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1,496</w:t>
            </w:r>
          </w:p>
        </w:tc>
        <w:tc>
          <w:tcPr>
            <w:tcW w:w="0" w:type="auto"/>
            <w:tcBorders>
              <w:bottom w:val="single" w:sz="8" w:space="0" w:color="000000"/>
            </w:tcBorders>
            <w:shd w:val="clear" w:color="auto" w:fill="auto"/>
            <w:vAlign w:val="bottom"/>
          </w:tcPr>
          <w:p w14:paraId="5556D9F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9F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72</w:t>
            </w:r>
          </w:p>
        </w:tc>
        <w:tc>
          <w:tcPr>
            <w:tcW w:w="0" w:type="auto"/>
            <w:tcBorders>
              <w:bottom w:val="single" w:sz="8" w:space="0" w:color="000000"/>
            </w:tcBorders>
            <w:shd w:val="clear" w:color="auto" w:fill="auto"/>
            <w:vAlign w:val="bottom"/>
          </w:tcPr>
          <w:p w14:paraId="5556D9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9F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50</w:t>
            </w:r>
          </w:p>
        </w:tc>
        <w:tc>
          <w:tcPr>
            <w:tcW w:w="0" w:type="auto"/>
            <w:tcBorders>
              <w:bottom w:val="single" w:sz="8" w:space="0" w:color="000000"/>
            </w:tcBorders>
            <w:shd w:val="clear" w:color="auto" w:fill="auto"/>
            <w:vAlign w:val="bottom"/>
          </w:tcPr>
          <w:p w14:paraId="5556D9F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9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A0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w:t>
            </w:r>
          </w:p>
        </w:tc>
        <w:tc>
          <w:tcPr>
            <w:tcW w:w="0" w:type="auto"/>
            <w:tcBorders>
              <w:bottom w:val="single" w:sz="8" w:space="0" w:color="000000"/>
            </w:tcBorders>
            <w:shd w:val="clear" w:color="auto" w:fill="auto"/>
            <w:vAlign w:val="bottom"/>
          </w:tcPr>
          <w:p w14:paraId="5556DA01" w14:textId="77777777" w:rsidR="00F925DD" w:rsidRDefault="00F925DD">
            <w:pPr>
              <w:textAlignment w:val="bottom"/>
              <w:rPr>
                <w:rFonts w:ascii="Times New Roman" w:hAnsi="Times New Roman"/>
                <w:sz w:val="20"/>
                <w:szCs w:val="20"/>
              </w:rPr>
            </w:pPr>
          </w:p>
        </w:tc>
      </w:tr>
      <w:tr w:rsidR="00F925DD" w14:paraId="5556DA13" w14:textId="77777777">
        <w:trPr>
          <w:jc w:val="center"/>
        </w:trPr>
        <w:tc>
          <w:tcPr>
            <w:tcW w:w="0" w:type="auto"/>
            <w:shd w:val="clear" w:color="auto" w:fill="CCEEFF"/>
            <w:tcMar>
              <w:top w:w="40" w:type="dxa"/>
              <w:left w:w="40" w:type="dxa"/>
              <w:bottom w:w="40" w:type="dxa"/>
              <w:right w:w="40" w:type="dxa"/>
            </w:tcMar>
            <w:vAlign w:val="bottom"/>
          </w:tcPr>
          <w:p w14:paraId="5556DA03" w14:textId="77777777" w:rsidR="00F925DD" w:rsidRDefault="00E705D7">
            <w:pPr>
              <w:textAlignment w:val="bottom"/>
              <w:rPr>
                <w:rFonts w:ascii="Times New Roman" w:hAnsi="Times New Roman"/>
                <w:sz w:val="16"/>
                <w:szCs w:val="16"/>
              </w:rPr>
            </w:pPr>
            <w:r>
              <w:rPr>
                <w:rFonts w:ascii="Arial" w:eastAsia="宋体" w:hAnsi="Arial" w:cs="Arial"/>
                <w:sz w:val="16"/>
                <w:szCs w:val="16"/>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A0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A0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9,766</w:t>
            </w:r>
          </w:p>
        </w:tc>
        <w:tc>
          <w:tcPr>
            <w:tcW w:w="0" w:type="auto"/>
            <w:tcBorders>
              <w:top w:val="single" w:sz="8" w:space="0" w:color="000000"/>
              <w:bottom w:val="double" w:sz="6" w:space="0" w:color="000000"/>
            </w:tcBorders>
            <w:shd w:val="clear" w:color="auto" w:fill="CCEEFF"/>
            <w:vAlign w:val="bottom"/>
          </w:tcPr>
          <w:p w14:paraId="5556DA0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A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A0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A0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A0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DA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A0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A0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1,247</w:t>
            </w:r>
          </w:p>
        </w:tc>
        <w:tc>
          <w:tcPr>
            <w:tcW w:w="0" w:type="auto"/>
            <w:tcBorders>
              <w:top w:val="single" w:sz="8" w:space="0" w:color="000000"/>
              <w:bottom w:val="double" w:sz="6" w:space="0" w:color="000000"/>
            </w:tcBorders>
            <w:shd w:val="clear" w:color="auto" w:fill="CCEEFF"/>
            <w:vAlign w:val="bottom"/>
          </w:tcPr>
          <w:p w14:paraId="5556DA0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A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A10"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A1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A1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bl>
    <w:p w14:paraId="5556DA14" w14:textId="77777777" w:rsidR="00F925DD" w:rsidRDefault="00F925DD">
      <w:pPr>
        <w:rPr>
          <w:vanish/>
        </w:rPr>
      </w:pPr>
    </w:p>
    <w:tbl>
      <w:tblPr>
        <w:tblW w:w="13680" w:type="dxa"/>
        <w:tblCellMar>
          <w:left w:w="0" w:type="dxa"/>
          <w:right w:w="0" w:type="dxa"/>
        </w:tblCellMar>
        <w:tblLook w:val="04A0" w:firstRow="1" w:lastRow="0" w:firstColumn="1" w:lastColumn="0" w:noHBand="0" w:noVBand="1"/>
      </w:tblPr>
      <w:tblGrid>
        <w:gridCol w:w="3846"/>
        <w:gridCol w:w="2003"/>
        <w:gridCol w:w="2003"/>
        <w:gridCol w:w="3465"/>
        <w:gridCol w:w="2363"/>
      </w:tblGrid>
      <w:tr w:rsidR="00F925DD" w14:paraId="5556DA16" w14:textId="77777777">
        <w:tc>
          <w:tcPr>
            <w:tcW w:w="0" w:type="auto"/>
            <w:gridSpan w:val="5"/>
            <w:shd w:val="clear" w:color="auto" w:fill="auto"/>
            <w:vAlign w:val="center"/>
          </w:tcPr>
          <w:p w14:paraId="5556DA15" w14:textId="77777777" w:rsidR="00F925DD" w:rsidRDefault="00F925DD">
            <w:pPr>
              <w:rPr>
                <w:rFonts w:ascii="Times New Roman" w:hAnsi="Times New Roman"/>
                <w:sz w:val="20"/>
                <w:szCs w:val="20"/>
              </w:rPr>
            </w:pPr>
          </w:p>
        </w:tc>
      </w:tr>
      <w:tr w:rsidR="00F925DD" w14:paraId="5556DA1C" w14:textId="77777777">
        <w:tc>
          <w:tcPr>
            <w:tcW w:w="3840" w:type="dxa"/>
            <w:shd w:val="clear" w:color="auto" w:fill="auto"/>
            <w:vAlign w:val="center"/>
          </w:tcPr>
          <w:p w14:paraId="5556DA17" w14:textId="77777777" w:rsidR="00F925DD" w:rsidRDefault="00F925DD">
            <w:pPr>
              <w:rPr>
                <w:rFonts w:ascii="Times New Roman" w:hAnsi="Times New Roman"/>
                <w:sz w:val="20"/>
                <w:szCs w:val="20"/>
              </w:rPr>
            </w:pPr>
          </w:p>
        </w:tc>
        <w:tc>
          <w:tcPr>
            <w:tcW w:w="2000" w:type="dxa"/>
            <w:shd w:val="clear" w:color="auto" w:fill="auto"/>
            <w:vAlign w:val="center"/>
          </w:tcPr>
          <w:p w14:paraId="5556DA18" w14:textId="77777777" w:rsidR="00F925DD" w:rsidRDefault="00F925DD">
            <w:pPr>
              <w:rPr>
                <w:rFonts w:ascii="Times New Roman" w:hAnsi="Times New Roman"/>
                <w:sz w:val="20"/>
                <w:szCs w:val="20"/>
              </w:rPr>
            </w:pPr>
          </w:p>
        </w:tc>
        <w:tc>
          <w:tcPr>
            <w:tcW w:w="2000" w:type="dxa"/>
            <w:shd w:val="clear" w:color="auto" w:fill="auto"/>
            <w:vAlign w:val="center"/>
          </w:tcPr>
          <w:p w14:paraId="5556DA19" w14:textId="77777777" w:rsidR="00F925DD" w:rsidRDefault="00F925DD">
            <w:pPr>
              <w:rPr>
                <w:rFonts w:ascii="Times New Roman" w:hAnsi="Times New Roman"/>
                <w:sz w:val="20"/>
                <w:szCs w:val="20"/>
              </w:rPr>
            </w:pPr>
          </w:p>
        </w:tc>
        <w:tc>
          <w:tcPr>
            <w:tcW w:w="3460" w:type="dxa"/>
            <w:shd w:val="clear" w:color="auto" w:fill="auto"/>
            <w:vAlign w:val="center"/>
          </w:tcPr>
          <w:p w14:paraId="5556DA1A" w14:textId="77777777" w:rsidR="00F925DD" w:rsidRDefault="00F925DD">
            <w:pPr>
              <w:rPr>
                <w:rFonts w:ascii="Times New Roman" w:hAnsi="Times New Roman"/>
                <w:sz w:val="20"/>
                <w:szCs w:val="20"/>
              </w:rPr>
            </w:pPr>
          </w:p>
        </w:tc>
        <w:tc>
          <w:tcPr>
            <w:tcW w:w="2360" w:type="dxa"/>
            <w:shd w:val="clear" w:color="auto" w:fill="auto"/>
            <w:vAlign w:val="center"/>
          </w:tcPr>
          <w:p w14:paraId="5556DA1B" w14:textId="77777777" w:rsidR="00F925DD" w:rsidRDefault="00F925DD">
            <w:pPr>
              <w:rPr>
                <w:rFonts w:ascii="Times New Roman" w:hAnsi="Times New Roman"/>
                <w:sz w:val="20"/>
                <w:szCs w:val="20"/>
              </w:rPr>
            </w:pPr>
          </w:p>
        </w:tc>
      </w:tr>
      <w:tr w:rsidR="00F925DD" w14:paraId="5556DA2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A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A23"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Represents hedged items no longer designated in qualifying fair value hedging relationships for which an associated basis adjustment exists at the balance sheet date.</w:t>
      </w:r>
    </w:p>
    <w:p w14:paraId="5556DA24"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 xml:space="preserve">Does not include the carrying </w:t>
      </w:r>
      <w:r>
        <w:rPr>
          <w:rFonts w:ascii="Arial" w:eastAsia="宋体" w:hAnsi="Arial" w:cs="Arial"/>
          <w:sz w:val="14"/>
          <w:szCs w:val="14"/>
        </w:rPr>
        <w:t>amount of hedged items when only foreign currency risk is the designated hedged risk. The carrying amount excluded for investment securities was zero and $458 million for December 31, 2019 and December 31, 2018, respectively.</w:t>
      </w:r>
    </w:p>
    <w:p w14:paraId="5556DA25" w14:textId="77777777" w:rsidR="00F925DD" w:rsidRDefault="00F925DD">
      <w:pPr>
        <w:spacing w:line="288" w:lineRule="auto"/>
        <w:jc w:val="both"/>
        <w:rPr>
          <w:rFonts w:ascii="Times New Roman" w:hAnsi="Times New Roman"/>
          <w:sz w:val="14"/>
          <w:szCs w:val="14"/>
        </w:rPr>
      </w:pPr>
    </w:p>
    <w:p w14:paraId="5556DA2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and D</w:t>
      </w:r>
      <w:r>
        <w:rPr>
          <w:rFonts w:ascii="Arial" w:eastAsia="宋体" w:hAnsi="Arial" w:cs="Arial"/>
          <w:sz w:val="20"/>
          <w:szCs w:val="20"/>
        </w:rPr>
        <w:t>ecember 31, 2018, the total notional amount of the interest rate swaps of fair value hedges was $10.20 billion and $9.30 billion, respectively.</w:t>
      </w:r>
    </w:p>
    <w:p w14:paraId="5556DA27" w14:textId="77777777" w:rsidR="00F925DD" w:rsidRDefault="00F925DD">
      <w:pPr>
        <w:rPr>
          <w:rFonts w:ascii="Times New Roman" w:hAnsi="Times New Roman"/>
          <w:sz w:val="20"/>
          <w:szCs w:val="20"/>
        </w:rPr>
      </w:pPr>
    </w:p>
    <w:p w14:paraId="5556DA28"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150</w:t>
      </w:r>
    </w:p>
    <w:p w14:paraId="5556DA29" w14:textId="77777777" w:rsidR="00F925DD" w:rsidRDefault="00F925DD">
      <w:pPr>
        <w:spacing w:line="288" w:lineRule="auto"/>
        <w:ind w:firstLine="600"/>
        <w:jc w:val="center"/>
        <w:rPr>
          <w:rFonts w:ascii="Times New Roman" w:hAnsi="Times New Roman"/>
          <w:sz w:val="18"/>
          <w:szCs w:val="18"/>
        </w:rPr>
      </w:pPr>
    </w:p>
    <w:p w14:paraId="5556DA2A" w14:textId="77777777" w:rsidR="00F925DD" w:rsidRDefault="00E705D7">
      <w:r>
        <w:rPr>
          <w:rFonts w:ascii="Times New Roman" w:hAnsi="Times New Roman"/>
          <w:sz w:val="18"/>
          <w:szCs w:val="18"/>
        </w:rPr>
        <w:pict w14:anchorId="555706D0">
          <v:rect id="_x0000_i1174" style="width:415.3pt;height:1.5pt" o:hralign="center" o:hrstd="t" o:hr="t" fillcolor="#a0a0a0" stroked="f"/>
        </w:pict>
      </w:r>
    </w:p>
    <w:p w14:paraId="5556DA2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A2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DA2D" w14:textId="77777777" w:rsidR="00F925DD" w:rsidRDefault="00F925DD">
      <w:pPr>
        <w:rPr>
          <w:rFonts w:ascii="Times New Roman" w:hAnsi="Times New Roman"/>
          <w:sz w:val="20"/>
          <w:szCs w:val="20"/>
        </w:rPr>
      </w:pPr>
    </w:p>
    <w:p w14:paraId="5556DA2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w:t>
      </w:r>
      <w:r>
        <w:rPr>
          <w:rFonts w:ascii="Arial" w:eastAsia="宋体" w:hAnsi="Arial" w:cs="Arial"/>
          <w:sz w:val="20"/>
          <w:szCs w:val="20"/>
        </w:rPr>
        <w:t>owing tables present the impact of our use of derivative financial instruments on our consolidated statement of income for the periods indicated:</w:t>
      </w:r>
    </w:p>
    <w:tbl>
      <w:tblPr>
        <w:tblW w:w="5000" w:type="pct"/>
        <w:tblCellMar>
          <w:left w:w="0" w:type="dxa"/>
          <w:right w:w="0" w:type="dxa"/>
        </w:tblCellMar>
        <w:tblLook w:val="04A0" w:firstRow="1" w:lastRow="0" w:firstColumn="1" w:lastColumn="0" w:noHBand="0" w:noVBand="1"/>
      </w:tblPr>
      <w:tblGrid>
        <w:gridCol w:w="1066"/>
        <w:gridCol w:w="1067"/>
        <w:gridCol w:w="130"/>
        <w:gridCol w:w="118"/>
        <w:gridCol w:w="234"/>
        <w:gridCol w:w="87"/>
        <w:gridCol w:w="130"/>
        <w:gridCol w:w="118"/>
        <w:gridCol w:w="281"/>
        <w:gridCol w:w="87"/>
        <w:gridCol w:w="130"/>
        <w:gridCol w:w="118"/>
        <w:gridCol w:w="234"/>
        <w:gridCol w:w="87"/>
        <w:gridCol w:w="180"/>
        <w:gridCol w:w="6"/>
        <w:gridCol w:w="1162"/>
        <w:gridCol w:w="130"/>
        <w:gridCol w:w="1084"/>
        <w:gridCol w:w="130"/>
        <w:gridCol w:w="118"/>
        <w:gridCol w:w="281"/>
        <w:gridCol w:w="87"/>
        <w:gridCol w:w="180"/>
        <w:gridCol w:w="6"/>
        <w:gridCol w:w="118"/>
        <w:gridCol w:w="234"/>
        <w:gridCol w:w="87"/>
        <w:gridCol w:w="130"/>
        <w:gridCol w:w="118"/>
        <w:gridCol w:w="281"/>
        <w:gridCol w:w="87"/>
      </w:tblGrid>
      <w:tr w:rsidR="00F925DD" w14:paraId="5556DA30" w14:textId="77777777">
        <w:tc>
          <w:tcPr>
            <w:tcW w:w="0" w:type="auto"/>
            <w:gridSpan w:val="32"/>
            <w:shd w:val="clear" w:color="auto" w:fill="auto"/>
            <w:vAlign w:val="center"/>
          </w:tcPr>
          <w:p w14:paraId="5556DA2F" w14:textId="77777777" w:rsidR="00F925DD" w:rsidRDefault="00F925DD">
            <w:pPr>
              <w:rPr>
                <w:rFonts w:ascii="Times New Roman" w:hAnsi="Times New Roman"/>
                <w:sz w:val="20"/>
                <w:szCs w:val="20"/>
              </w:rPr>
            </w:pPr>
          </w:p>
        </w:tc>
      </w:tr>
      <w:tr w:rsidR="00F925DD" w14:paraId="5556DA51" w14:textId="77777777">
        <w:tc>
          <w:tcPr>
            <w:tcW w:w="750" w:type="pct"/>
            <w:shd w:val="clear" w:color="auto" w:fill="auto"/>
            <w:vAlign w:val="center"/>
          </w:tcPr>
          <w:p w14:paraId="5556DA31" w14:textId="77777777" w:rsidR="00F925DD" w:rsidRDefault="00F925DD">
            <w:pPr>
              <w:rPr>
                <w:rFonts w:ascii="Times New Roman" w:hAnsi="Times New Roman"/>
                <w:sz w:val="20"/>
                <w:szCs w:val="20"/>
              </w:rPr>
            </w:pPr>
          </w:p>
        </w:tc>
        <w:tc>
          <w:tcPr>
            <w:tcW w:w="750" w:type="pct"/>
            <w:shd w:val="clear" w:color="auto" w:fill="auto"/>
            <w:vAlign w:val="center"/>
          </w:tcPr>
          <w:p w14:paraId="5556DA32" w14:textId="77777777" w:rsidR="00F925DD" w:rsidRDefault="00F925DD">
            <w:pPr>
              <w:rPr>
                <w:rFonts w:ascii="Times New Roman" w:hAnsi="Times New Roman"/>
                <w:sz w:val="20"/>
                <w:szCs w:val="20"/>
              </w:rPr>
            </w:pPr>
          </w:p>
        </w:tc>
        <w:tc>
          <w:tcPr>
            <w:tcW w:w="50" w:type="pct"/>
            <w:shd w:val="clear" w:color="auto" w:fill="auto"/>
            <w:vAlign w:val="center"/>
          </w:tcPr>
          <w:p w14:paraId="5556DA33" w14:textId="77777777" w:rsidR="00F925DD" w:rsidRDefault="00F925DD">
            <w:pPr>
              <w:rPr>
                <w:rFonts w:ascii="Times New Roman" w:hAnsi="Times New Roman"/>
                <w:sz w:val="20"/>
                <w:szCs w:val="20"/>
              </w:rPr>
            </w:pPr>
          </w:p>
        </w:tc>
        <w:tc>
          <w:tcPr>
            <w:tcW w:w="50" w:type="pct"/>
            <w:shd w:val="clear" w:color="auto" w:fill="auto"/>
            <w:vAlign w:val="center"/>
          </w:tcPr>
          <w:p w14:paraId="5556DA34" w14:textId="77777777" w:rsidR="00F925DD" w:rsidRDefault="00F925DD">
            <w:pPr>
              <w:rPr>
                <w:rFonts w:ascii="Times New Roman" w:hAnsi="Times New Roman"/>
                <w:sz w:val="20"/>
                <w:szCs w:val="20"/>
              </w:rPr>
            </w:pPr>
          </w:p>
        </w:tc>
        <w:tc>
          <w:tcPr>
            <w:tcW w:w="200" w:type="pct"/>
            <w:shd w:val="clear" w:color="auto" w:fill="auto"/>
            <w:vAlign w:val="center"/>
          </w:tcPr>
          <w:p w14:paraId="5556DA35" w14:textId="77777777" w:rsidR="00F925DD" w:rsidRDefault="00F925DD">
            <w:pPr>
              <w:rPr>
                <w:rFonts w:ascii="Times New Roman" w:hAnsi="Times New Roman"/>
                <w:sz w:val="20"/>
                <w:szCs w:val="20"/>
              </w:rPr>
            </w:pPr>
          </w:p>
        </w:tc>
        <w:tc>
          <w:tcPr>
            <w:tcW w:w="50" w:type="pct"/>
            <w:shd w:val="clear" w:color="auto" w:fill="auto"/>
            <w:vAlign w:val="center"/>
          </w:tcPr>
          <w:p w14:paraId="5556DA36" w14:textId="77777777" w:rsidR="00F925DD" w:rsidRDefault="00F925DD">
            <w:pPr>
              <w:rPr>
                <w:rFonts w:ascii="Times New Roman" w:hAnsi="Times New Roman"/>
                <w:sz w:val="20"/>
                <w:szCs w:val="20"/>
              </w:rPr>
            </w:pPr>
          </w:p>
        </w:tc>
        <w:tc>
          <w:tcPr>
            <w:tcW w:w="50" w:type="pct"/>
            <w:shd w:val="clear" w:color="auto" w:fill="auto"/>
            <w:vAlign w:val="center"/>
          </w:tcPr>
          <w:p w14:paraId="5556DA37" w14:textId="77777777" w:rsidR="00F925DD" w:rsidRDefault="00F925DD">
            <w:pPr>
              <w:rPr>
                <w:rFonts w:ascii="Times New Roman" w:hAnsi="Times New Roman"/>
                <w:sz w:val="20"/>
                <w:szCs w:val="20"/>
              </w:rPr>
            </w:pPr>
          </w:p>
        </w:tc>
        <w:tc>
          <w:tcPr>
            <w:tcW w:w="50" w:type="pct"/>
            <w:shd w:val="clear" w:color="auto" w:fill="auto"/>
            <w:vAlign w:val="center"/>
          </w:tcPr>
          <w:p w14:paraId="5556DA38" w14:textId="77777777" w:rsidR="00F925DD" w:rsidRDefault="00F925DD">
            <w:pPr>
              <w:rPr>
                <w:rFonts w:ascii="Times New Roman" w:hAnsi="Times New Roman"/>
                <w:sz w:val="20"/>
                <w:szCs w:val="20"/>
              </w:rPr>
            </w:pPr>
          </w:p>
        </w:tc>
        <w:tc>
          <w:tcPr>
            <w:tcW w:w="200" w:type="pct"/>
            <w:shd w:val="clear" w:color="auto" w:fill="auto"/>
            <w:vAlign w:val="center"/>
          </w:tcPr>
          <w:p w14:paraId="5556DA39" w14:textId="77777777" w:rsidR="00F925DD" w:rsidRDefault="00F925DD">
            <w:pPr>
              <w:rPr>
                <w:rFonts w:ascii="Times New Roman" w:hAnsi="Times New Roman"/>
                <w:sz w:val="20"/>
                <w:szCs w:val="20"/>
              </w:rPr>
            </w:pPr>
          </w:p>
        </w:tc>
        <w:tc>
          <w:tcPr>
            <w:tcW w:w="50" w:type="pct"/>
            <w:shd w:val="clear" w:color="auto" w:fill="auto"/>
            <w:vAlign w:val="center"/>
          </w:tcPr>
          <w:p w14:paraId="5556DA3A" w14:textId="77777777" w:rsidR="00F925DD" w:rsidRDefault="00F925DD">
            <w:pPr>
              <w:rPr>
                <w:rFonts w:ascii="Times New Roman" w:hAnsi="Times New Roman"/>
                <w:sz w:val="20"/>
                <w:szCs w:val="20"/>
              </w:rPr>
            </w:pPr>
          </w:p>
        </w:tc>
        <w:tc>
          <w:tcPr>
            <w:tcW w:w="50" w:type="pct"/>
            <w:shd w:val="clear" w:color="auto" w:fill="auto"/>
            <w:vAlign w:val="center"/>
          </w:tcPr>
          <w:p w14:paraId="5556DA3B" w14:textId="77777777" w:rsidR="00F925DD" w:rsidRDefault="00F925DD">
            <w:pPr>
              <w:rPr>
                <w:rFonts w:ascii="Times New Roman" w:hAnsi="Times New Roman"/>
                <w:sz w:val="20"/>
                <w:szCs w:val="20"/>
              </w:rPr>
            </w:pPr>
          </w:p>
        </w:tc>
        <w:tc>
          <w:tcPr>
            <w:tcW w:w="50" w:type="pct"/>
            <w:shd w:val="clear" w:color="auto" w:fill="auto"/>
            <w:vAlign w:val="center"/>
          </w:tcPr>
          <w:p w14:paraId="5556DA3C" w14:textId="77777777" w:rsidR="00F925DD" w:rsidRDefault="00F925DD">
            <w:pPr>
              <w:rPr>
                <w:rFonts w:ascii="Times New Roman" w:hAnsi="Times New Roman"/>
                <w:sz w:val="20"/>
                <w:szCs w:val="20"/>
              </w:rPr>
            </w:pPr>
          </w:p>
        </w:tc>
        <w:tc>
          <w:tcPr>
            <w:tcW w:w="200" w:type="pct"/>
            <w:shd w:val="clear" w:color="auto" w:fill="auto"/>
            <w:vAlign w:val="center"/>
          </w:tcPr>
          <w:p w14:paraId="5556DA3D" w14:textId="77777777" w:rsidR="00F925DD" w:rsidRDefault="00F925DD">
            <w:pPr>
              <w:rPr>
                <w:rFonts w:ascii="Times New Roman" w:hAnsi="Times New Roman"/>
                <w:sz w:val="20"/>
                <w:szCs w:val="20"/>
              </w:rPr>
            </w:pPr>
          </w:p>
        </w:tc>
        <w:tc>
          <w:tcPr>
            <w:tcW w:w="50" w:type="pct"/>
            <w:shd w:val="clear" w:color="auto" w:fill="auto"/>
            <w:vAlign w:val="center"/>
          </w:tcPr>
          <w:p w14:paraId="5556DA3E" w14:textId="77777777" w:rsidR="00F925DD" w:rsidRDefault="00F925DD">
            <w:pPr>
              <w:rPr>
                <w:rFonts w:ascii="Times New Roman" w:hAnsi="Times New Roman"/>
                <w:sz w:val="20"/>
                <w:szCs w:val="20"/>
              </w:rPr>
            </w:pPr>
          </w:p>
        </w:tc>
        <w:tc>
          <w:tcPr>
            <w:tcW w:w="0" w:type="pct"/>
            <w:shd w:val="clear" w:color="auto" w:fill="auto"/>
            <w:vAlign w:val="center"/>
          </w:tcPr>
          <w:p w14:paraId="5556DA3F" w14:textId="77777777" w:rsidR="00F925DD" w:rsidRDefault="00F925DD">
            <w:pPr>
              <w:rPr>
                <w:rFonts w:ascii="Times New Roman" w:hAnsi="Times New Roman"/>
                <w:sz w:val="20"/>
                <w:szCs w:val="20"/>
              </w:rPr>
            </w:pPr>
          </w:p>
        </w:tc>
        <w:tc>
          <w:tcPr>
            <w:tcW w:w="50" w:type="pct"/>
            <w:shd w:val="clear" w:color="auto" w:fill="auto"/>
            <w:vAlign w:val="center"/>
          </w:tcPr>
          <w:p w14:paraId="5556DA40" w14:textId="77777777" w:rsidR="00F925DD" w:rsidRDefault="00F925DD">
            <w:pPr>
              <w:rPr>
                <w:rFonts w:ascii="Times New Roman" w:hAnsi="Times New Roman"/>
                <w:sz w:val="20"/>
                <w:szCs w:val="20"/>
              </w:rPr>
            </w:pPr>
          </w:p>
        </w:tc>
        <w:tc>
          <w:tcPr>
            <w:tcW w:w="550" w:type="pct"/>
            <w:shd w:val="clear" w:color="auto" w:fill="auto"/>
            <w:vAlign w:val="center"/>
          </w:tcPr>
          <w:p w14:paraId="5556DA41" w14:textId="77777777" w:rsidR="00F925DD" w:rsidRDefault="00F925DD">
            <w:pPr>
              <w:rPr>
                <w:rFonts w:ascii="Times New Roman" w:hAnsi="Times New Roman"/>
                <w:sz w:val="20"/>
                <w:szCs w:val="20"/>
              </w:rPr>
            </w:pPr>
          </w:p>
        </w:tc>
        <w:tc>
          <w:tcPr>
            <w:tcW w:w="50" w:type="pct"/>
            <w:shd w:val="clear" w:color="auto" w:fill="auto"/>
            <w:vAlign w:val="center"/>
          </w:tcPr>
          <w:p w14:paraId="5556DA42" w14:textId="77777777" w:rsidR="00F925DD" w:rsidRDefault="00F925DD">
            <w:pPr>
              <w:rPr>
                <w:rFonts w:ascii="Times New Roman" w:hAnsi="Times New Roman"/>
                <w:sz w:val="20"/>
                <w:szCs w:val="20"/>
              </w:rPr>
            </w:pPr>
          </w:p>
        </w:tc>
        <w:tc>
          <w:tcPr>
            <w:tcW w:w="750" w:type="pct"/>
            <w:shd w:val="clear" w:color="auto" w:fill="auto"/>
            <w:vAlign w:val="center"/>
          </w:tcPr>
          <w:p w14:paraId="5556DA43" w14:textId="77777777" w:rsidR="00F925DD" w:rsidRDefault="00F925DD">
            <w:pPr>
              <w:rPr>
                <w:rFonts w:ascii="Times New Roman" w:hAnsi="Times New Roman"/>
                <w:sz w:val="20"/>
                <w:szCs w:val="20"/>
              </w:rPr>
            </w:pPr>
          </w:p>
        </w:tc>
        <w:tc>
          <w:tcPr>
            <w:tcW w:w="50" w:type="pct"/>
            <w:shd w:val="clear" w:color="auto" w:fill="auto"/>
            <w:vAlign w:val="center"/>
          </w:tcPr>
          <w:p w14:paraId="5556DA44" w14:textId="77777777" w:rsidR="00F925DD" w:rsidRDefault="00F925DD">
            <w:pPr>
              <w:rPr>
                <w:rFonts w:ascii="Times New Roman" w:hAnsi="Times New Roman"/>
                <w:sz w:val="20"/>
                <w:szCs w:val="20"/>
              </w:rPr>
            </w:pPr>
          </w:p>
        </w:tc>
        <w:tc>
          <w:tcPr>
            <w:tcW w:w="50" w:type="pct"/>
            <w:shd w:val="clear" w:color="auto" w:fill="auto"/>
            <w:vAlign w:val="center"/>
          </w:tcPr>
          <w:p w14:paraId="5556DA45" w14:textId="77777777" w:rsidR="00F925DD" w:rsidRDefault="00F925DD">
            <w:pPr>
              <w:rPr>
                <w:rFonts w:ascii="Times New Roman" w:hAnsi="Times New Roman"/>
                <w:sz w:val="20"/>
                <w:szCs w:val="20"/>
              </w:rPr>
            </w:pPr>
          </w:p>
        </w:tc>
        <w:tc>
          <w:tcPr>
            <w:tcW w:w="200" w:type="pct"/>
            <w:shd w:val="clear" w:color="auto" w:fill="auto"/>
            <w:vAlign w:val="center"/>
          </w:tcPr>
          <w:p w14:paraId="5556DA46" w14:textId="77777777" w:rsidR="00F925DD" w:rsidRDefault="00F925DD">
            <w:pPr>
              <w:rPr>
                <w:rFonts w:ascii="Times New Roman" w:hAnsi="Times New Roman"/>
                <w:sz w:val="20"/>
                <w:szCs w:val="20"/>
              </w:rPr>
            </w:pPr>
          </w:p>
        </w:tc>
        <w:tc>
          <w:tcPr>
            <w:tcW w:w="50" w:type="pct"/>
            <w:shd w:val="clear" w:color="auto" w:fill="auto"/>
            <w:vAlign w:val="center"/>
          </w:tcPr>
          <w:p w14:paraId="5556DA47" w14:textId="77777777" w:rsidR="00F925DD" w:rsidRDefault="00F925DD">
            <w:pPr>
              <w:rPr>
                <w:rFonts w:ascii="Times New Roman" w:hAnsi="Times New Roman"/>
                <w:sz w:val="20"/>
                <w:szCs w:val="20"/>
              </w:rPr>
            </w:pPr>
          </w:p>
        </w:tc>
        <w:tc>
          <w:tcPr>
            <w:tcW w:w="0" w:type="pct"/>
            <w:shd w:val="clear" w:color="auto" w:fill="auto"/>
            <w:vAlign w:val="center"/>
          </w:tcPr>
          <w:p w14:paraId="5556DA48" w14:textId="77777777" w:rsidR="00F925DD" w:rsidRDefault="00F925DD">
            <w:pPr>
              <w:rPr>
                <w:rFonts w:ascii="Times New Roman" w:hAnsi="Times New Roman"/>
                <w:sz w:val="20"/>
                <w:szCs w:val="20"/>
              </w:rPr>
            </w:pPr>
          </w:p>
        </w:tc>
        <w:tc>
          <w:tcPr>
            <w:tcW w:w="50" w:type="pct"/>
            <w:shd w:val="clear" w:color="auto" w:fill="auto"/>
            <w:vAlign w:val="center"/>
          </w:tcPr>
          <w:p w14:paraId="5556DA49" w14:textId="77777777" w:rsidR="00F925DD" w:rsidRDefault="00F925DD">
            <w:pPr>
              <w:rPr>
                <w:rFonts w:ascii="Times New Roman" w:hAnsi="Times New Roman"/>
                <w:sz w:val="20"/>
                <w:szCs w:val="20"/>
              </w:rPr>
            </w:pPr>
          </w:p>
        </w:tc>
        <w:tc>
          <w:tcPr>
            <w:tcW w:w="50" w:type="pct"/>
            <w:shd w:val="clear" w:color="auto" w:fill="auto"/>
            <w:vAlign w:val="center"/>
          </w:tcPr>
          <w:p w14:paraId="5556DA4A" w14:textId="77777777" w:rsidR="00F925DD" w:rsidRDefault="00F925DD">
            <w:pPr>
              <w:rPr>
                <w:rFonts w:ascii="Times New Roman" w:hAnsi="Times New Roman"/>
                <w:sz w:val="20"/>
                <w:szCs w:val="20"/>
              </w:rPr>
            </w:pPr>
          </w:p>
        </w:tc>
        <w:tc>
          <w:tcPr>
            <w:tcW w:w="200" w:type="pct"/>
            <w:shd w:val="clear" w:color="auto" w:fill="auto"/>
            <w:vAlign w:val="center"/>
          </w:tcPr>
          <w:p w14:paraId="5556DA4B" w14:textId="77777777" w:rsidR="00F925DD" w:rsidRDefault="00F925DD">
            <w:pPr>
              <w:rPr>
                <w:rFonts w:ascii="Times New Roman" w:hAnsi="Times New Roman"/>
                <w:sz w:val="20"/>
                <w:szCs w:val="20"/>
              </w:rPr>
            </w:pPr>
          </w:p>
        </w:tc>
        <w:tc>
          <w:tcPr>
            <w:tcW w:w="50" w:type="pct"/>
            <w:shd w:val="clear" w:color="auto" w:fill="auto"/>
            <w:vAlign w:val="center"/>
          </w:tcPr>
          <w:p w14:paraId="5556DA4C" w14:textId="77777777" w:rsidR="00F925DD" w:rsidRDefault="00F925DD">
            <w:pPr>
              <w:rPr>
                <w:rFonts w:ascii="Times New Roman" w:hAnsi="Times New Roman"/>
                <w:sz w:val="20"/>
                <w:szCs w:val="20"/>
              </w:rPr>
            </w:pPr>
          </w:p>
        </w:tc>
        <w:tc>
          <w:tcPr>
            <w:tcW w:w="50" w:type="pct"/>
            <w:shd w:val="clear" w:color="auto" w:fill="auto"/>
            <w:vAlign w:val="center"/>
          </w:tcPr>
          <w:p w14:paraId="5556DA4D" w14:textId="77777777" w:rsidR="00F925DD" w:rsidRDefault="00F925DD">
            <w:pPr>
              <w:rPr>
                <w:rFonts w:ascii="Times New Roman" w:hAnsi="Times New Roman"/>
                <w:sz w:val="20"/>
                <w:szCs w:val="20"/>
              </w:rPr>
            </w:pPr>
          </w:p>
        </w:tc>
        <w:tc>
          <w:tcPr>
            <w:tcW w:w="50" w:type="pct"/>
            <w:shd w:val="clear" w:color="auto" w:fill="auto"/>
            <w:vAlign w:val="center"/>
          </w:tcPr>
          <w:p w14:paraId="5556DA4E" w14:textId="77777777" w:rsidR="00F925DD" w:rsidRDefault="00F925DD">
            <w:pPr>
              <w:rPr>
                <w:rFonts w:ascii="Times New Roman" w:hAnsi="Times New Roman"/>
                <w:sz w:val="20"/>
                <w:szCs w:val="20"/>
              </w:rPr>
            </w:pPr>
          </w:p>
        </w:tc>
        <w:tc>
          <w:tcPr>
            <w:tcW w:w="200" w:type="pct"/>
            <w:shd w:val="clear" w:color="auto" w:fill="auto"/>
            <w:vAlign w:val="center"/>
          </w:tcPr>
          <w:p w14:paraId="5556DA4F" w14:textId="77777777" w:rsidR="00F925DD" w:rsidRDefault="00F925DD">
            <w:pPr>
              <w:rPr>
                <w:rFonts w:ascii="Times New Roman" w:hAnsi="Times New Roman"/>
                <w:sz w:val="20"/>
                <w:szCs w:val="20"/>
              </w:rPr>
            </w:pPr>
          </w:p>
        </w:tc>
        <w:tc>
          <w:tcPr>
            <w:tcW w:w="50" w:type="pct"/>
            <w:shd w:val="clear" w:color="auto" w:fill="auto"/>
            <w:vAlign w:val="center"/>
          </w:tcPr>
          <w:p w14:paraId="5556DA50" w14:textId="77777777" w:rsidR="00F925DD" w:rsidRDefault="00F925DD">
            <w:pPr>
              <w:rPr>
                <w:rFonts w:ascii="Times New Roman" w:hAnsi="Times New Roman"/>
                <w:sz w:val="20"/>
                <w:szCs w:val="20"/>
              </w:rPr>
            </w:pPr>
          </w:p>
        </w:tc>
      </w:tr>
      <w:tr w:rsidR="00F925DD" w14:paraId="5556DA5C" w14:textId="77777777">
        <w:tc>
          <w:tcPr>
            <w:tcW w:w="0" w:type="auto"/>
            <w:shd w:val="clear" w:color="auto" w:fill="auto"/>
            <w:tcMar>
              <w:top w:w="40" w:type="dxa"/>
              <w:left w:w="40" w:type="dxa"/>
              <w:bottom w:w="40" w:type="dxa"/>
              <w:right w:w="40" w:type="dxa"/>
            </w:tcMar>
            <w:vAlign w:val="bottom"/>
          </w:tcPr>
          <w:p w14:paraId="5556DA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DA5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c>
          <w:tcPr>
            <w:tcW w:w="0" w:type="auto"/>
            <w:gridSpan w:val="2"/>
            <w:shd w:val="clear" w:color="auto" w:fill="auto"/>
            <w:tcMar>
              <w:top w:w="40" w:type="dxa"/>
              <w:left w:w="40" w:type="dxa"/>
              <w:bottom w:w="40" w:type="dxa"/>
              <w:right w:w="40" w:type="dxa"/>
            </w:tcMar>
            <w:vAlign w:val="bottom"/>
          </w:tcPr>
          <w:p w14:paraId="5556DA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2"/>
            <w:tcBorders>
              <w:bottom w:val="single" w:sz="8" w:space="0" w:color="000000"/>
            </w:tcBorders>
            <w:shd w:val="clear" w:color="auto" w:fill="auto"/>
            <w:tcMar>
              <w:top w:w="40" w:type="dxa"/>
              <w:left w:w="40" w:type="dxa"/>
              <w:bottom w:w="40" w:type="dxa"/>
            </w:tcMar>
            <w:vAlign w:val="bottom"/>
          </w:tcPr>
          <w:p w14:paraId="5556DA5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DA6F" w14:textId="77777777">
        <w:tc>
          <w:tcPr>
            <w:tcW w:w="0" w:type="auto"/>
            <w:shd w:val="clear" w:color="auto" w:fill="auto"/>
            <w:tcMar>
              <w:top w:w="40" w:type="dxa"/>
              <w:left w:w="40" w:type="dxa"/>
              <w:bottom w:w="40" w:type="dxa"/>
              <w:right w:w="40" w:type="dxa"/>
            </w:tcMar>
            <w:vAlign w:val="bottom"/>
          </w:tcPr>
          <w:p w14:paraId="5556DA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A6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DA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A6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DA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A6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c>
          <w:tcPr>
            <w:tcW w:w="0" w:type="auto"/>
            <w:gridSpan w:val="2"/>
            <w:shd w:val="clear" w:color="auto" w:fill="auto"/>
            <w:tcMar>
              <w:top w:w="40" w:type="dxa"/>
              <w:left w:w="40" w:type="dxa"/>
              <w:bottom w:w="40" w:type="dxa"/>
              <w:right w:w="40" w:type="dxa"/>
            </w:tcMar>
            <w:vAlign w:val="bottom"/>
          </w:tcPr>
          <w:p w14:paraId="5556DA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A6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gridSpan w:val="2"/>
            <w:shd w:val="clear" w:color="auto" w:fill="auto"/>
            <w:tcMar>
              <w:top w:w="40" w:type="dxa"/>
              <w:left w:w="40" w:type="dxa"/>
              <w:bottom w:w="40" w:type="dxa"/>
              <w:right w:w="40" w:type="dxa"/>
            </w:tcMar>
            <w:vAlign w:val="bottom"/>
          </w:tcPr>
          <w:p w14:paraId="5556DA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A6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DA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A6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DA7A" w14:textId="77777777">
        <w:tc>
          <w:tcPr>
            <w:tcW w:w="0" w:type="auto"/>
            <w:shd w:val="clear" w:color="auto" w:fill="auto"/>
            <w:tcMar>
              <w:top w:w="40" w:type="dxa"/>
              <w:left w:w="40" w:type="dxa"/>
              <w:bottom w:w="40" w:type="dxa"/>
              <w:right w:w="40" w:type="dxa"/>
            </w:tcMar>
            <w:vAlign w:val="bottom"/>
          </w:tcPr>
          <w:p w14:paraId="5556DA7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DA7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Location of Gain (Loss) on Derivative in Consolidated Statement of Income</w:t>
            </w:r>
          </w:p>
        </w:tc>
        <w:tc>
          <w:tcPr>
            <w:tcW w:w="0" w:type="auto"/>
            <w:shd w:val="clear" w:color="auto" w:fill="auto"/>
            <w:tcMar>
              <w:top w:w="40" w:type="dxa"/>
              <w:left w:w="40" w:type="dxa"/>
              <w:bottom w:w="40" w:type="dxa"/>
              <w:right w:w="40" w:type="dxa"/>
            </w:tcMar>
            <w:vAlign w:val="bottom"/>
          </w:tcPr>
          <w:p w14:paraId="5556DA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DA7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Amount of Gain</w:t>
            </w:r>
            <w:r>
              <w:rPr>
                <w:rFonts w:ascii="Arial" w:eastAsia="宋体" w:hAnsi="Arial" w:cs="Arial"/>
                <w:b/>
                <w:bCs/>
                <w:sz w:val="14"/>
                <w:szCs w:val="14"/>
              </w:rPr>
              <w:br/>
              <w:t>(Loss) on Derivative</w:t>
            </w:r>
            <w:r>
              <w:rPr>
                <w:rFonts w:ascii="Arial" w:eastAsia="宋体" w:hAnsi="Arial" w:cs="Arial"/>
                <w:b/>
                <w:bCs/>
                <w:sz w:val="14"/>
                <w:szCs w:val="14"/>
              </w:rPr>
              <w:br/>
              <w:t>Recognized in</w:t>
            </w:r>
            <w:r>
              <w:rPr>
                <w:rFonts w:ascii="Arial" w:eastAsia="宋体" w:hAnsi="Arial" w:cs="Arial"/>
                <w:b/>
                <w:bCs/>
                <w:sz w:val="14"/>
                <w:szCs w:val="14"/>
              </w:rPr>
              <w:br/>
              <w:t>Consolidated</w:t>
            </w:r>
            <w:r>
              <w:rPr>
                <w:rFonts w:ascii="Arial" w:eastAsia="宋体" w:hAnsi="Arial" w:cs="Arial"/>
                <w:b/>
                <w:bCs/>
                <w:sz w:val="14"/>
                <w:szCs w:val="14"/>
              </w:rPr>
              <w:br/>
              <w:t>Statement of Income</w:t>
            </w:r>
          </w:p>
        </w:tc>
        <w:tc>
          <w:tcPr>
            <w:tcW w:w="0" w:type="auto"/>
            <w:gridSpan w:val="2"/>
            <w:shd w:val="clear" w:color="auto" w:fill="auto"/>
            <w:tcMar>
              <w:top w:w="40" w:type="dxa"/>
              <w:left w:w="40" w:type="dxa"/>
              <w:bottom w:w="40" w:type="dxa"/>
              <w:right w:w="40" w:type="dxa"/>
            </w:tcMar>
            <w:vAlign w:val="bottom"/>
          </w:tcPr>
          <w:p w14:paraId="5556DA74" w14:textId="77777777" w:rsidR="00F925DD" w:rsidRDefault="00F925DD">
            <w:pPr>
              <w:textAlignment w:val="bottom"/>
              <w:rPr>
                <w:rFonts w:ascii="Times New Roman" w:hAnsi="Times New Roman"/>
                <w:sz w:val="20"/>
                <w:szCs w:val="20"/>
              </w:rPr>
            </w:pPr>
          </w:p>
        </w:tc>
        <w:tc>
          <w:tcPr>
            <w:tcW w:w="0" w:type="auto"/>
            <w:tcBorders>
              <w:bottom w:val="single" w:sz="8" w:space="0" w:color="000000"/>
            </w:tcBorders>
            <w:shd w:val="clear" w:color="auto" w:fill="auto"/>
            <w:tcMar>
              <w:top w:w="40" w:type="dxa"/>
              <w:left w:w="40" w:type="dxa"/>
              <w:bottom w:w="40" w:type="dxa"/>
              <w:right w:w="40" w:type="dxa"/>
            </w:tcMar>
            <w:vAlign w:val="bottom"/>
          </w:tcPr>
          <w:p w14:paraId="5556DA7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Hedged Item in Fair Value Hedging Relationship</w:t>
            </w:r>
          </w:p>
        </w:tc>
        <w:tc>
          <w:tcPr>
            <w:tcW w:w="0" w:type="auto"/>
            <w:shd w:val="clear" w:color="auto" w:fill="auto"/>
            <w:tcMar>
              <w:top w:w="40" w:type="dxa"/>
              <w:left w:w="40" w:type="dxa"/>
              <w:bottom w:w="40" w:type="dxa"/>
              <w:right w:w="40" w:type="dxa"/>
            </w:tcMar>
            <w:vAlign w:val="bottom"/>
          </w:tcPr>
          <w:p w14:paraId="5556DA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DA7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Location of Gain </w:t>
            </w:r>
            <w:r>
              <w:rPr>
                <w:rFonts w:ascii="Arial" w:eastAsia="宋体" w:hAnsi="Arial" w:cs="Arial"/>
                <w:b/>
                <w:bCs/>
                <w:sz w:val="14"/>
                <w:szCs w:val="14"/>
              </w:rPr>
              <w:t>(Loss) on Hedged Item in Consolidated Statement of Income</w:t>
            </w:r>
          </w:p>
        </w:tc>
        <w:tc>
          <w:tcPr>
            <w:tcW w:w="0" w:type="auto"/>
            <w:shd w:val="clear" w:color="auto" w:fill="auto"/>
            <w:tcMar>
              <w:top w:w="40" w:type="dxa"/>
              <w:left w:w="40" w:type="dxa"/>
              <w:bottom w:w="40" w:type="dxa"/>
              <w:right w:w="40" w:type="dxa"/>
            </w:tcMar>
            <w:vAlign w:val="bottom"/>
          </w:tcPr>
          <w:p w14:paraId="5556DA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2"/>
            <w:tcBorders>
              <w:top w:val="single" w:sz="8" w:space="0" w:color="000000"/>
              <w:bottom w:val="single" w:sz="8" w:space="0" w:color="000000"/>
            </w:tcBorders>
            <w:shd w:val="clear" w:color="auto" w:fill="auto"/>
            <w:tcMar>
              <w:top w:w="40" w:type="dxa"/>
              <w:left w:w="40" w:type="dxa"/>
              <w:bottom w:w="40" w:type="dxa"/>
            </w:tcMar>
            <w:vAlign w:val="bottom"/>
          </w:tcPr>
          <w:p w14:paraId="5556DA7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Amount of Gain</w:t>
            </w:r>
            <w:r>
              <w:rPr>
                <w:rFonts w:ascii="Arial" w:eastAsia="宋体" w:hAnsi="Arial" w:cs="Arial"/>
                <w:b/>
                <w:bCs/>
                <w:sz w:val="14"/>
                <w:szCs w:val="14"/>
              </w:rPr>
              <w:br/>
              <w:t>(Loss) on Hedged</w:t>
            </w:r>
            <w:r>
              <w:rPr>
                <w:rFonts w:ascii="Arial" w:eastAsia="宋体" w:hAnsi="Arial" w:cs="Arial"/>
                <w:b/>
                <w:bCs/>
                <w:sz w:val="14"/>
                <w:szCs w:val="14"/>
              </w:rPr>
              <w:br/>
              <w:t>Item Recognized in</w:t>
            </w:r>
            <w:r>
              <w:rPr>
                <w:rFonts w:ascii="Arial" w:eastAsia="宋体" w:hAnsi="Arial" w:cs="Arial"/>
                <w:b/>
                <w:bCs/>
                <w:sz w:val="14"/>
                <w:szCs w:val="14"/>
              </w:rPr>
              <w:br/>
              <w:t>Consolidated</w:t>
            </w:r>
            <w:r>
              <w:rPr>
                <w:rFonts w:ascii="Arial" w:eastAsia="宋体" w:hAnsi="Arial" w:cs="Arial"/>
                <w:b/>
                <w:bCs/>
                <w:sz w:val="14"/>
                <w:szCs w:val="14"/>
              </w:rPr>
              <w:br/>
              <w:t>Statement of Income</w:t>
            </w:r>
          </w:p>
        </w:tc>
      </w:tr>
      <w:tr w:rsidR="00F925DD" w14:paraId="5556DA7C" w14:textId="77777777">
        <w:tc>
          <w:tcPr>
            <w:tcW w:w="0" w:type="auto"/>
            <w:gridSpan w:val="32"/>
            <w:shd w:val="clear" w:color="auto" w:fill="auto"/>
            <w:tcMar>
              <w:top w:w="40" w:type="dxa"/>
              <w:left w:w="40" w:type="dxa"/>
              <w:bottom w:w="40" w:type="dxa"/>
              <w:right w:w="40" w:type="dxa"/>
            </w:tcMar>
            <w:vAlign w:val="bottom"/>
          </w:tcPr>
          <w:p w14:paraId="5556DA7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Derivatives designated as fair value hedges:</w:t>
            </w:r>
          </w:p>
        </w:tc>
      </w:tr>
      <w:tr w:rsidR="00F925DD" w14:paraId="5556DA9B" w14:textId="77777777">
        <w:tc>
          <w:tcPr>
            <w:tcW w:w="0" w:type="auto"/>
            <w:shd w:val="clear" w:color="auto" w:fill="CCEEFF"/>
            <w:tcMar>
              <w:top w:w="40" w:type="dxa"/>
              <w:left w:w="40" w:type="dxa"/>
              <w:bottom w:w="40" w:type="dxa"/>
              <w:right w:w="40" w:type="dxa"/>
            </w:tcMar>
            <w:vAlign w:val="bottom"/>
          </w:tcPr>
          <w:p w14:paraId="5556DA7D"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exchange contracts</w:t>
            </w:r>
          </w:p>
        </w:tc>
        <w:tc>
          <w:tcPr>
            <w:tcW w:w="0" w:type="auto"/>
            <w:shd w:val="clear" w:color="auto" w:fill="CCEEFF"/>
            <w:tcMar>
              <w:top w:w="40" w:type="dxa"/>
              <w:left w:w="40" w:type="dxa"/>
              <w:bottom w:w="40" w:type="dxa"/>
              <w:right w:w="40" w:type="dxa"/>
            </w:tcMar>
            <w:vAlign w:val="bottom"/>
          </w:tcPr>
          <w:p w14:paraId="5556DA7E" w14:textId="77777777" w:rsidR="00F925DD" w:rsidRDefault="00E705D7">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shd w:val="clear" w:color="auto" w:fill="CCEEFF"/>
            <w:tcMar>
              <w:top w:w="40" w:type="dxa"/>
              <w:left w:w="40" w:type="dxa"/>
              <w:bottom w:w="40" w:type="dxa"/>
              <w:right w:w="40" w:type="dxa"/>
            </w:tcMar>
            <w:vAlign w:val="bottom"/>
          </w:tcPr>
          <w:p w14:paraId="5556DA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A8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DA8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DA8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A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A8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A8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(74</w:t>
            </w:r>
          </w:p>
        </w:tc>
        <w:tc>
          <w:tcPr>
            <w:tcW w:w="0" w:type="auto"/>
            <w:shd w:val="clear" w:color="auto" w:fill="CCEEFF"/>
            <w:tcMar>
              <w:top w:w="40" w:type="dxa"/>
              <w:bottom w:w="40" w:type="dxa"/>
              <w:right w:w="40" w:type="dxa"/>
            </w:tcMar>
            <w:vAlign w:val="bottom"/>
          </w:tcPr>
          <w:p w14:paraId="5556DA8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A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A8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A8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w:t>
            </w:r>
          </w:p>
        </w:tc>
        <w:tc>
          <w:tcPr>
            <w:tcW w:w="0" w:type="auto"/>
            <w:shd w:val="clear" w:color="auto" w:fill="CCEEFF"/>
            <w:vAlign w:val="bottom"/>
          </w:tcPr>
          <w:p w14:paraId="5556DA8A"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DA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A8C" w14:textId="77777777" w:rsidR="00F925DD" w:rsidRDefault="00E705D7">
            <w:pPr>
              <w:textAlignment w:val="bottom"/>
              <w:rPr>
                <w:rFonts w:ascii="Times New Roman" w:hAnsi="Times New Roman"/>
                <w:sz w:val="14"/>
                <w:szCs w:val="14"/>
              </w:rPr>
            </w:pPr>
            <w:r>
              <w:rPr>
                <w:rFonts w:ascii="Arial" w:eastAsia="宋体" w:hAnsi="Arial" w:cs="Arial"/>
                <w:sz w:val="14"/>
                <w:szCs w:val="14"/>
              </w:rPr>
              <w:t>Investment securities</w:t>
            </w:r>
          </w:p>
        </w:tc>
        <w:tc>
          <w:tcPr>
            <w:tcW w:w="0" w:type="auto"/>
            <w:shd w:val="clear" w:color="auto" w:fill="CCEEFF"/>
            <w:tcMar>
              <w:top w:w="40" w:type="dxa"/>
              <w:left w:w="40" w:type="dxa"/>
              <w:bottom w:w="40" w:type="dxa"/>
              <w:right w:w="40" w:type="dxa"/>
            </w:tcMar>
            <w:vAlign w:val="bottom"/>
          </w:tcPr>
          <w:p w14:paraId="5556DA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A8E" w14:textId="77777777" w:rsidR="00F925DD" w:rsidRDefault="00E705D7">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shd w:val="clear" w:color="auto" w:fill="CCEEFF"/>
            <w:tcMar>
              <w:top w:w="40" w:type="dxa"/>
              <w:left w:w="40" w:type="dxa"/>
              <w:bottom w:w="40" w:type="dxa"/>
              <w:right w:w="40" w:type="dxa"/>
            </w:tcMar>
            <w:vAlign w:val="bottom"/>
          </w:tcPr>
          <w:p w14:paraId="5556DA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A9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DA9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DA92"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DA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A9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A9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74</w:t>
            </w:r>
          </w:p>
        </w:tc>
        <w:tc>
          <w:tcPr>
            <w:tcW w:w="0" w:type="auto"/>
            <w:shd w:val="clear" w:color="auto" w:fill="CCEEFF"/>
            <w:vAlign w:val="bottom"/>
          </w:tcPr>
          <w:p w14:paraId="5556DA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A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A9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A9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w:t>
            </w:r>
          </w:p>
        </w:tc>
        <w:tc>
          <w:tcPr>
            <w:tcW w:w="0" w:type="auto"/>
            <w:shd w:val="clear" w:color="auto" w:fill="CCEEFF"/>
            <w:tcMar>
              <w:top w:w="40" w:type="dxa"/>
              <w:bottom w:w="40" w:type="dxa"/>
              <w:right w:w="40" w:type="dxa"/>
            </w:tcMar>
            <w:vAlign w:val="bottom"/>
          </w:tcPr>
          <w:p w14:paraId="5556DA9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DAB5" w14:textId="77777777">
        <w:tc>
          <w:tcPr>
            <w:tcW w:w="0" w:type="auto"/>
            <w:shd w:val="clear" w:color="auto" w:fill="auto"/>
            <w:tcMar>
              <w:top w:w="40" w:type="dxa"/>
              <w:left w:w="40" w:type="dxa"/>
              <w:bottom w:w="40" w:type="dxa"/>
              <w:right w:w="40" w:type="dxa"/>
            </w:tcMar>
            <w:vAlign w:val="bottom"/>
          </w:tcPr>
          <w:p w14:paraId="5556DA9C"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exchange contracts</w:t>
            </w:r>
          </w:p>
        </w:tc>
        <w:tc>
          <w:tcPr>
            <w:tcW w:w="0" w:type="auto"/>
            <w:shd w:val="clear" w:color="auto" w:fill="auto"/>
            <w:tcMar>
              <w:top w:w="40" w:type="dxa"/>
              <w:left w:w="40" w:type="dxa"/>
              <w:bottom w:w="40" w:type="dxa"/>
              <w:right w:w="40" w:type="dxa"/>
            </w:tcMar>
            <w:vAlign w:val="bottom"/>
          </w:tcPr>
          <w:p w14:paraId="5556DA9D" w14:textId="77777777" w:rsidR="00F925DD" w:rsidRDefault="00E705D7">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shd w:val="clear" w:color="auto" w:fill="auto"/>
            <w:tcMar>
              <w:top w:w="40" w:type="dxa"/>
              <w:left w:w="40" w:type="dxa"/>
              <w:bottom w:w="40" w:type="dxa"/>
              <w:right w:w="40" w:type="dxa"/>
            </w:tcMar>
            <w:vAlign w:val="bottom"/>
          </w:tcPr>
          <w:p w14:paraId="5556DA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9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DA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A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A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(328</w:t>
            </w:r>
          </w:p>
        </w:tc>
        <w:tc>
          <w:tcPr>
            <w:tcW w:w="0" w:type="auto"/>
            <w:shd w:val="clear" w:color="auto" w:fill="auto"/>
            <w:tcMar>
              <w:top w:w="40" w:type="dxa"/>
              <w:bottom w:w="40" w:type="dxa"/>
              <w:right w:w="40" w:type="dxa"/>
            </w:tcMar>
            <w:vAlign w:val="bottom"/>
          </w:tcPr>
          <w:p w14:paraId="5556DAA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A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A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626</w:t>
            </w:r>
          </w:p>
        </w:tc>
        <w:tc>
          <w:tcPr>
            <w:tcW w:w="0" w:type="auto"/>
            <w:shd w:val="clear" w:color="auto" w:fill="auto"/>
            <w:vAlign w:val="bottom"/>
          </w:tcPr>
          <w:p w14:paraId="5556DA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5556DAA7"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DAA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AA9"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exchange deposit</w:t>
            </w:r>
          </w:p>
        </w:tc>
        <w:tc>
          <w:tcPr>
            <w:tcW w:w="0" w:type="auto"/>
            <w:shd w:val="clear" w:color="auto" w:fill="auto"/>
            <w:tcMar>
              <w:top w:w="40" w:type="dxa"/>
              <w:left w:w="40" w:type="dxa"/>
              <w:bottom w:w="40" w:type="dxa"/>
              <w:right w:w="40" w:type="dxa"/>
            </w:tcMar>
            <w:vAlign w:val="bottom"/>
          </w:tcPr>
          <w:p w14:paraId="5556DA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AB" w14:textId="77777777" w:rsidR="00F925DD" w:rsidRDefault="00E705D7">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shd w:val="clear" w:color="auto" w:fill="auto"/>
            <w:tcMar>
              <w:top w:w="40" w:type="dxa"/>
              <w:left w:w="40" w:type="dxa"/>
              <w:bottom w:w="40" w:type="dxa"/>
              <w:right w:w="40" w:type="dxa"/>
            </w:tcMar>
            <w:vAlign w:val="bottom"/>
          </w:tcPr>
          <w:p w14:paraId="5556DA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A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DAAE"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DA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B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328</w:t>
            </w:r>
          </w:p>
        </w:tc>
        <w:tc>
          <w:tcPr>
            <w:tcW w:w="0" w:type="auto"/>
            <w:shd w:val="clear" w:color="auto" w:fill="auto"/>
            <w:vAlign w:val="bottom"/>
          </w:tcPr>
          <w:p w14:paraId="5556DAB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A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B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(626</w:t>
            </w:r>
          </w:p>
        </w:tc>
        <w:tc>
          <w:tcPr>
            <w:tcW w:w="0" w:type="auto"/>
            <w:shd w:val="clear" w:color="auto" w:fill="auto"/>
            <w:tcMar>
              <w:top w:w="40" w:type="dxa"/>
              <w:bottom w:w="40" w:type="dxa"/>
              <w:right w:w="40" w:type="dxa"/>
            </w:tcMar>
            <w:vAlign w:val="bottom"/>
          </w:tcPr>
          <w:p w14:paraId="5556DAB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DACF" w14:textId="77777777">
        <w:tc>
          <w:tcPr>
            <w:tcW w:w="0" w:type="auto"/>
            <w:shd w:val="clear" w:color="auto" w:fill="CCEEFF"/>
            <w:tcMar>
              <w:top w:w="40" w:type="dxa"/>
              <w:left w:w="40" w:type="dxa"/>
              <w:bottom w:w="40" w:type="dxa"/>
              <w:right w:w="40" w:type="dxa"/>
            </w:tcMar>
            <w:vAlign w:val="bottom"/>
          </w:tcPr>
          <w:p w14:paraId="5556DAB6"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 rate contracts</w:t>
            </w:r>
          </w:p>
        </w:tc>
        <w:tc>
          <w:tcPr>
            <w:tcW w:w="0" w:type="auto"/>
            <w:shd w:val="clear" w:color="auto" w:fill="CCEEFF"/>
            <w:tcMar>
              <w:top w:w="40" w:type="dxa"/>
              <w:left w:w="40" w:type="dxa"/>
              <w:bottom w:w="40" w:type="dxa"/>
              <w:right w:w="40" w:type="dxa"/>
            </w:tcMar>
            <w:vAlign w:val="bottom"/>
          </w:tcPr>
          <w:p w14:paraId="5556DAB7"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shd w:val="clear" w:color="auto" w:fill="CCEEFF"/>
            <w:tcMar>
              <w:top w:w="40" w:type="dxa"/>
              <w:left w:w="40" w:type="dxa"/>
              <w:bottom w:w="40" w:type="dxa"/>
              <w:right w:w="40" w:type="dxa"/>
            </w:tcMar>
            <w:vAlign w:val="bottom"/>
          </w:tcPr>
          <w:p w14:paraId="5556DA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AB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CCEEFF"/>
            <w:tcMar>
              <w:top w:w="40" w:type="dxa"/>
              <w:bottom w:w="40" w:type="dxa"/>
              <w:right w:w="40" w:type="dxa"/>
            </w:tcMar>
            <w:vAlign w:val="bottom"/>
          </w:tcPr>
          <w:p w14:paraId="5556DAB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DA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AB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w:t>
            </w:r>
          </w:p>
        </w:tc>
        <w:tc>
          <w:tcPr>
            <w:tcW w:w="0" w:type="auto"/>
            <w:shd w:val="clear" w:color="auto" w:fill="CCEEFF"/>
            <w:vAlign w:val="bottom"/>
          </w:tcPr>
          <w:p w14:paraId="5556DAB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A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AB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AC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5556DAC1" w14:textId="77777777" w:rsidR="00F925DD" w:rsidRDefault="00F925DD">
            <w:pPr>
              <w:jc w:val="right"/>
              <w:textAlignment w:val="bottom"/>
              <w:rPr>
                <w:rFonts w:ascii="Times New Roman" w:hAnsi="Times New Roman"/>
                <w:sz w:val="14"/>
                <w:szCs w:val="14"/>
              </w:rPr>
            </w:pPr>
          </w:p>
        </w:tc>
        <w:tc>
          <w:tcPr>
            <w:tcW w:w="0" w:type="auto"/>
            <w:shd w:val="clear" w:color="auto" w:fill="CCEEFF"/>
            <w:vAlign w:val="bottom"/>
          </w:tcPr>
          <w:p w14:paraId="5556DAC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AC3" w14:textId="77777777" w:rsidR="00F925DD" w:rsidRDefault="00E705D7">
            <w:pPr>
              <w:textAlignment w:val="bottom"/>
              <w:rPr>
                <w:rFonts w:ascii="Times New Roman" w:hAnsi="Times New Roman"/>
                <w:sz w:val="14"/>
                <w:szCs w:val="14"/>
              </w:rPr>
            </w:pPr>
            <w:r>
              <w:rPr>
                <w:rFonts w:ascii="Arial" w:eastAsia="宋体" w:hAnsi="Arial" w:cs="Arial"/>
                <w:sz w:val="14"/>
                <w:szCs w:val="14"/>
              </w:rPr>
              <w:t>Available-for-sale securities</w:t>
            </w:r>
            <w:r>
              <w:rPr>
                <w:rFonts w:ascii="Arial" w:eastAsia="宋体" w:hAnsi="Arial" w:cs="Arial"/>
                <w:sz w:val="10"/>
                <w:szCs w:val="10"/>
              </w:rPr>
              <w:t>(1)</w:t>
            </w:r>
          </w:p>
        </w:tc>
        <w:tc>
          <w:tcPr>
            <w:tcW w:w="0" w:type="auto"/>
            <w:shd w:val="clear" w:color="auto" w:fill="CCEEFF"/>
            <w:tcMar>
              <w:top w:w="40" w:type="dxa"/>
              <w:left w:w="40" w:type="dxa"/>
              <w:bottom w:w="40" w:type="dxa"/>
              <w:right w:w="40" w:type="dxa"/>
            </w:tcMar>
            <w:vAlign w:val="bottom"/>
          </w:tcPr>
          <w:p w14:paraId="5556DA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AC5"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shd w:val="clear" w:color="auto" w:fill="CCEEFF"/>
            <w:tcMar>
              <w:top w:w="40" w:type="dxa"/>
              <w:left w:w="40" w:type="dxa"/>
              <w:bottom w:w="40" w:type="dxa"/>
              <w:right w:w="40" w:type="dxa"/>
            </w:tcMar>
            <w:vAlign w:val="bottom"/>
          </w:tcPr>
          <w:p w14:paraId="5556DA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AC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vAlign w:val="bottom"/>
          </w:tcPr>
          <w:p w14:paraId="5556DAC8"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DA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AC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w:t>
            </w:r>
          </w:p>
        </w:tc>
        <w:tc>
          <w:tcPr>
            <w:tcW w:w="0" w:type="auto"/>
            <w:shd w:val="clear" w:color="auto" w:fill="CCEEFF"/>
            <w:tcMar>
              <w:top w:w="40" w:type="dxa"/>
              <w:bottom w:w="40" w:type="dxa"/>
              <w:right w:w="40" w:type="dxa"/>
            </w:tcMar>
            <w:vAlign w:val="bottom"/>
          </w:tcPr>
          <w:p w14:paraId="5556DAC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A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AC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ACE" w14:textId="77777777" w:rsidR="00F925DD" w:rsidRDefault="00F925DD">
            <w:pPr>
              <w:textAlignment w:val="bottom"/>
              <w:rPr>
                <w:rFonts w:ascii="Times New Roman" w:hAnsi="Times New Roman"/>
                <w:sz w:val="20"/>
                <w:szCs w:val="20"/>
              </w:rPr>
            </w:pPr>
          </w:p>
        </w:tc>
      </w:tr>
      <w:tr w:rsidR="00F925DD" w14:paraId="5556DAE9" w14:textId="77777777">
        <w:tc>
          <w:tcPr>
            <w:tcW w:w="0" w:type="auto"/>
            <w:shd w:val="clear" w:color="auto" w:fill="auto"/>
            <w:tcMar>
              <w:top w:w="40" w:type="dxa"/>
              <w:left w:w="40" w:type="dxa"/>
              <w:bottom w:w="40" w:type="dxa"/>
              <w:right w:w="40" w:type="dxa"/>
            </w:tcMar>
            <w:vAlign w:val="bottom"/>
          </w:tcPr>
          <w:p w14:paraId="5556DAD0"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 rate contracts</w:t>
            </w:r>
          </w:p>
        </w:tc>
        <w:tc>
          <w:tcPr>
            <w:tcW w:w="0" w:type="auto"/>
            <w:shd w:val="clear" w:color="auto" w:fill="auto"/>
            <w:tcMar>
              <w:top w:w="40" w:type="dxa"/>
              <w:left w:w="40" w:type="dxa"/>
              <w:bottom w:w="40" w:type="dxa"/>
              <w:right w:w="40" w:type="dxa"/>
            </w:tcMar>
            <w:vAlign w:val="bottom"/>
          </w:tcPr>
          <w:p w14:paraId="5556DAD1"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shd w:val="clear" w:color="auto" w:fill="auto"/>
            <w:tcMar>
              <w:top w:w="40" w:type="dxa"/>
              <w:left w:w="40" w:type="dxa"/>
              <w:bottom w:w="40" w:type="dxa"/>
              <w:right w:w="40" w:type="dxa"/>
            </w:tcMar>
            <w:vAlign w:val="bottom"/>
          </w:tcPr>
          <w:p w14:paraId="5556DA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D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266</w:t>
            </w:r>
          </w:p>
        </w:tc>
        <w:tc>
          <w:tcPr>
            <w:tcW w:w="0" w:type="auto"/>
            <w:shd w:val="clear" w:color="auto" w:fill="auto"/>
            <w:vAlign w:val="bottom"/>
          </w:tcPr>
          <w:p w14:paraId="5556DAD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A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D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(58</w:t>
            </w:r>
          </w:p>
        </w:tc>
        <w:tc>
          <w:tcPr>
            <w:tcW w:w="0" w:type="auto"/>
            <w:shd w:val="clear" w:color="auto" w:fill="auto"/>
            <w:tcMar>
              <w:top w:w="40" w:type="dxa"/>
              <w:bottom w:w="40" w:type="dxa"/>
              <w:right w:w="40" w:type="dxa"/>
            </w:tcMar>
            <w:vAlign w:val="bottom"/>
          </w:tcPr>
          <w:p w14:paraId="5556DAD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A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D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DAD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5556DADB" w14:textId="77777777" w:rsidR="00F925DD" w:rsidRDefault="00F925DD">
            <w:pPr>
              <w:jc w:val="right"/>
              <w:textAlignment w:val="bottom"/>
              <w:rPr>
                <w:rFonts w:ascii="Times New Roman" w:hAnsi="Times New Roman"/>
                <w:sz w:val="14"/>
                <w:szCs w:val="14"/>
              </w:rPr>
            </w:pPr>
          </w:p>
        </w:tc>
        <w:tc>
          <w:tcPr>
            <w:tcW w:w="0" w:type="auto"/>
            <w:shd w:val="clear" w:color="auto" w:fill="auto"/>
            <w:vAlign w:val="bottom"/>
          </w:tcPr>
          <w:p w14:paraId="5556DAD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ADD" w14:textId="77777777" w:rsidR="00F925DD" w:rsidRDefault="00E705D7">
            <w:pPr>
              <w:textAlignment w:val="bottom"/>
              <w:rPr>
                <w:rFonts w:ascii="Times New Roman" w:hAnsi="Times New Roman"/>
                <w:sz w:val="14"/>
                <w:szCs w:val="14"/>
              </w:rPr>
            </w:pPr>
            <w:r>
              <w:rPr>
                <w:rFonts w:ascii="Arial" w:eastAsia="宋体" w:hAnsi="Arial" w:cs="Arial"/>
                <w:sz w:val="14"/>
                <w:szCs w:val="14"/>
              </w:rPr>
              <w:t>Long-term debt</w:t>
            </w:r>
          </w:p>
        </w:tc>
        <w:tc>
          <w:tcPr>
            <w:tcW w:w="0" w:type="auto"/>
            <w:shd w:val="clear" w:color="auto" w:fill="auto"/>
            <w:tcMar>
              <w:top w:w="40" w:type="dxa"/>
              <w:left w:w="40" w:type="dxa"/>
              <w:bottom w:w="40" w:type="dxa"/>
              <w:right w:w="40" w:type="dxa"/>
            </w:tcMar>
            <w:vAlign w:val="bottom"/>
          </w:tcPr>
          <w:p w14:paraId="5556DA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ADF"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shd w:val="clear" w:color="auto" w:fill="auto"/>
            <w:tcMar>
              <w:top w:w="40" w:type="dxa"/>
              <w:left w:w="40" w:type="dxa"/>
              <w:bottom w:w="40" w:type="dxa"/>
              <w:right w:w="40" w:type="dxa"/>
            </w:tcMar>
            <w:vAlign w:val="bottom"/>
          </w:tcPr>
          <w:p w14:paraId="5556DA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E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(255</w:t>
            </w:r>
          </w:p>
        </w:tc>
        <w:tc>
          <w:tcPr>
            <w:tcW w:w="0" w:type="auto"/>
            <w:shd w:val="clear" w:color="auto" w:fill="auto"/>
            <w:tcMar>
              <w:top w:w="40" w:type="dxa"/>
              <w:bottom w:w="40" w:type="dxa"/>
              <w:right w:w="40" w:type="dxa"/>
            </w:tcMar>
            <w:vAlign w:val="bottom"/>
          </w:tcPr>
          <w:p w14:paraId="5556DAE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gridSpan w:val="2"/>
            <w:shd w:val="clear" w:color="auto" w:fill="auto"/>
            <w:tcMar>
              <w:top w:w="40" w:type="dxa"/>
              <w:left w:w="40" w:type="dxa"/>
              <w:bottom w:w="40" w:type="dxa"/>
              <w:right w:w="40" w:type="dxa"/>
            </w:tcMar>
            <w:vAlign w:val="bottom"/>
          </w:tcPr>
          <w:p w14:paraId="5556DA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E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49</w:t>
            </w:r>
          </w:p>
        </w:tc>
        <w:tc>
          <w:tcPr>
            <w:tcW w:w="0" w:type="auto"/>
            <w:shd w:val="clear" w:color="auto" w:fill="auto"/>
            <w:vAlign w:val="bottom"/>
          </w:tcPr>
          <w:p w14:paraId="5556DAE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A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AE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DAE8" w14:textId="77777777" w:rsidR="00F925DD" w:rsidRDefault="00F925DD">
            <w:pPr>
              <w:textAlignment w:val="bottom"/>
              <w:rPr>
                <w:rFonts w:ascii="Times New Roman" w:hAnsi="Times New Roman"/>
                <w:sz w:val="20"/>
                <w:szCs w:val="20"/>
              </w:rPr>
            </w:pPr>
          </w:p>
        </w:tc>
      </w:tr>
      <w:tr w:rsidR="00F925DD" w14:paraId="5556DB04" w14:textId="77777777">
        <w:tc>
          <w:tcPr>
            <w:tcW w:w="0" w:type="auto"/>
            <w:shd w:val="clear" w:color="auto" w:fill="CCEEFF"/>
            <w:tcMar>
              <w:top w:w="40" w:type="dxa"/>
              <w:left w:w="40" w:type="dxa"/>
              <w:bottom w:w="40" w:type="dxa"/>
              <w:right w:w="40" w:type="dxa"/>
            </w:tcMar>
            <w:vAlign w:val="bottom"/>
          </w:tcPr>
          <w:p w14:paraId="5556DAEA"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 rate contracts</w:t>
            </w:r>
          </w:p>
        </w:tc>
        <w:tc>
          <w:tcPr>
            <w:tcW w:w="0" w:type="auto"/>
            <w:shd w:val="clear" w:color="auto" w:fill="CCEEFF"/>
            <w:tcMar>
              <w:top w:w="40" w:type="dxa"/>
              <w:left w:w="40" w:type="dxa"/>
              <w:bottom w:w="40" w:type="dxa"/>
              <w:right w:w="40" w:type="dxa"/>
            </w:tcMar>
            <w:vAlign w:val="bottom"/>
          </w:tcPr>
          <w:p w14:paraId="5556DAEB" w14:textId="77777777" w:rsidR="00F925DD" w:rsidRDefault="00E705D7">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shd w:val="clear" w:color="auto" w:fill="CCEEFF"/>
            <w:tcMar>
              <w:top w:w="40" w:type="dxa"/>
              <w:left w:w="40" w:type="dxa"/>
              <w:bottom w:w="40" w:type="dxa"/>
              <w:right w:w="40" w:type="dxa"/>
            </w:tcMar>
            <w:vAlign w:val="bottom"/>
          </w:tcPr>
          <w:p w14:paraId="5556DA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AE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DAE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A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AF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A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A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AF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w:t>
            </w:r>
          </w:p>
        </w:tc>
        <w:tc>
          <w:tcPr>
            <w:tcW w:w="0" w:type="auto"/>
            <w:shd w:val="clear" w:color="auto" w:fill="CCEEFF"/>
            <w:vAlign w:val="bottom"/>
          </w:tcPr>
          <w:p w14:paraId="5556DA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5556DAF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AF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AF7" w14:textId="77777777" w:rsidR="00F925DD" w:rsidRDefault="00E705D7">
            <w:pPr>
              <w:textAlignment w:val="bottom"/>
              <w:rPr>
                <w:rFonts w:ascii="Times New Roman" w:hAnsi="Times New Roman"/>
                <w:sz w:val="14"/>
                <w:szCs w:val="14"/>
              </w:rPr>
            </w:pPr>
            <w:r>
              <w:rPr>
                <w:rFonts w:ascii="Arial" w:eastAsia="宋体" w:hAnsi="Arial" w:cs="Arial"/>
                <w:sz w:val="14"/>
                <w:szCs w:val="14"/>
              </w:rPr>
              <w:t>Available-for-sale securities</w:t>
            </w:r>
            <w:r>
              <w:rPr>
                <w:rFonts w:ascii="Arial" w:eastAsia="宋体" w:hAnsi="Arial" w:cs="Arial"/>
                <w:sz w:val="10"/>
                <w:szCs w:val="10"/>
              </w:rPr>
              <w:t>(1)</w:t>
            </w:r>
          </w:p>
        </w:tc>
        <w:tc>
          <w:tcPr>
            <w:tcW w:w="0" w:type="auto"/>
            <w:shd w:val="clear" w:color="auto" w:fill="CCEEFF"/>
            <w:tcMar>
              <w:top w:w="40" w:type="dxa"/>
              <w:left w:w="40" w:type="dxa"/>
              <w:bottom w:w="40" w:type="dxa"/>
              <w:right w:w="40" w:type="dxa"/>
            </w:tcMar>
            <w:vAlign w:val="bottom"/>
          </w:tcPr>
          <w:p w14:paraId="5556DA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AF9" w14:textId="77777777" w:rsidR="00F925DD" w:rsidRDefault="00E705D7">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shd w:val="clear" w:color="auto" w:fill="CCEEFF"/>
            <w:tcMar>
              <w:top w:w="40" w:type="dxa"/>
              <w:left w:w="40" w:type="dxa"/>
              <w:bottom w:w="40" w:type="dxa"/>
              <w:right w:w="40" w:type="dxa"/>
            </w:tcMar>
            <w:vAlign w:val="bottom"/>
          </w:tcPr>
          <w:p w14:paraId="5556DA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AF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DAF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5556DAF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AFE"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5556DAF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B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B0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w:t>
            </w:r>
          </w:p>
        </w:tc>
        <w:tc>
          <w:tcPr>
            <w:tcW w:w="0" w:type="auto"/>
            <w:shd w:val="clear" w:color="auto" w:fill="CCEEFF"/>
            <w:tcMar>
              <w:top w:w="40" w:type="dxa"/>
              <w:bottom w:w="40" w:type="dxa"/>
              <w:right w:w="40" w:type="dxa"/>
            </w:tcMar>
            <w:vAlign w:val="bottom"/>
          </w:tcPr>
          <w:p w14:paraId="5556DB0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DB1F" w14:textId="77777777">
        <w:tc>
          <w:tcPr>
            <w:tcW w:w="0" w:type="auto"/>
            <w:shd w:val="clear" w:color="auto" w:fill="auto"/>
            <w:tcMar>
              <w:top w:w="40" w:type="dxa"/>
              <w:left w:w="40" w:type="dxa"/>
              <w:bottom w:w="40" w:type="dxa"/>
              <w:right w:w="40" w:type="dxa"/>
            </w:tcMar>
            <w:vAlign w:val="bottom"/>
          </w:tcPr>
          <w:p w14:paraId="5556DB05"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 rate contracts</w:t>
            </w:r>
          </w:p>
        </w:tc>
        <w:tc>
          <w:tcPr>
            <w:tcW w:w="0" w:type="auto"/>
            <w:shd w:val="clear" w:color="auto" w:fill="auto"/>
            <w:tcMar>
              <w:top w:w="40" w:type="dxa"/>
              <w:left w:w="40" w:type="dxa"/>
              <w:bottom w:w="40" w:type="dxa"/>
              <w:right w:w="40" w:type="dxa"/>
            </w:tcMar>
            <w:vAlign w:val="bottom"/>
          </w:tcPr>
          <w:p w14:paraId="5556DB06" w14:textId="77777777" w:rsidR="00F925DD" w:rsidRDefault="00E705D7">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shd w:val="clear" w:color="auto" w:fill="auto"/>
            <w:tcMar>
              <w:top w:w="40" w:type="dxa"/>
              <w:left w:w="40" w:type="dxa"/>
              <w:bottom w:w="40" w:type="dxa"/>
              <w:right w:w="40" w:type="dxa"/>
            </w:tcMar>
            <w:vAlign w:val="bottom"/>
          </w:tcPr>
          <w:p w14:paraId="5556DB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B0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5556DB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B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B0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5556DB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B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B0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w:t>
            </w:r>
          </w:p>
        </w:tc>
        <w:tc>
          <w:tcPr>
            <w:tcW w:w="0" w:type="auto"/>
            <w:tcBorders>
              <w:bottom w:val="single" w:sz="8" w:space="0" w:color="000000"/>
            </w:tcBorders>
            <w:shd w:val="clear" w:color="auto" w:fill="auto"/>
            <w:tcMar>
              <w:top w:w="40" w:type="dxa"/>
              <w:bottom w:w="40" w:type="dxa"/>
              <w:right w:w="40" w:type="dxa"/>
            </w:tcMar>
            <w:vAlign w:val="bottom"/>
          </w:tcPr>
          <w:p w14:paraId="5556DB0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tcMar>
            <w:vAlign w:val="bottom"/>
          </w:tcPr>
          <w:p w14:paraId="5556DB1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DB1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B12" w14:textId="77777777" w:rsidR="00F925DD" w:rsidRDefault="00E705D7">
            <w:pPr>
              <w:textAlignment w:val="bottom"/>
              <w:rPr>
                <w:rFonts w:ascii="Times New Roman" w:hAnsi="Times New Roman"/>
                <w:sz w:val="14"/>
                <w:szCs w:val="14"/>
              </w:rPr>
            </w:pPr>
            <w:r>
              <w:rPr>
                <w:rFonts w:ascii="Arial" w:eastAsia="宋体" w:hAnsi="Arial" w:cs="Arial"/>
                <w:sz w:val="14"/>
                <w:szCs w:val="14"/>
              </w:rPr>
              <w:t>Long-term debt</w:t>
            </w:r>
          </w:p>
        </w:tc>
        <w:tc>
          <w:tcPr>
            <w:tcW w:w="0" w:type="auto"/>
            <w:shd w:val="clear" w:color="auto" w:fill="auto"/>
            <w:tcMar>
              <w:top w:w="40" w:type="dxa"/>
              <w:left w:w="40" w:type="dxa"/>
              <w:bottom w:w="40" w:type="dxa"/>
              <w:right w:w="40" w:type="dxa"/>
            </w:tcMar>
            <w:vAlign w:val="bottom"/>
          </w:tcPr>
          <w:p w14:paraId="5556DB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14" w14:textId="77777777" w:rsidR="00F925DD" w:rsidRDefault="00E705D7">
            <w:pPr>
              <w:textAlignment w:val="bottom"/>
              <w:rPr>
                <w:rFonts w:ascii="Times New Roman" w:hAnsi="Times New Roman"/>
                <w:sz w:val="14"/>
                <w:szCs w:val="14"/>
              </w:rPr>
            </w:pPr>
            <w:r>
              <w:rPr>
                <w:rFonts w:ascii="Arial" w:eastAsia="宋体" w:hAnsi="Arial" w:cs="Arial"/>
                <w:sz w:val="14"/>
                <w:szCs w:val="14"/>
              </w:rPr>
              <w:t>Software and processing fees</w:t>
            </w:r>
          </w:p>
        </w:tc>
        <w:tc>
          <w:tcPr>
            <w:tcW w:w="0" w:type="auto"/>
            <w:shd w:val="clear" w:color="auto" w:fill="auto"/>
            <w:tcMar>
              <w:top w:w="40" w:type="dxa"/>
              <w:left w:w="40" w:type="dxa"/>
              <w:bottom w:w="40" w:type="dxa"/>
              <w:right w:w="40" w:type="dxa"/>
            </w:tcMar>
            <w:vAlign w:val="bottom"/>
          </w:tcPr>
          <w:p w14:paraId="5556DB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B1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DB1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5556DB1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DB19" w14:textId="77777777" w:rsidR="00F925DD" w:rsidRDefault="00F925DD">
            <w:pPr>
              <w:textAlignment w:val="bottom"/>
              <w:rPr>
                <w:rFonts w:ascii="Times New Roman" w:hAnsi="Times New Roman"/>
                <w:sz w:val="20"/>
                <w:szCs w:val="20"/>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DB1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5556DB1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B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B1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w:t>
            </w:r>
          </w:p>
        </w:tc>
        <w:tc>
          <w:tcPr>
            <w:tcW w:w="0" w:type="auto"/>
            <w:tcBorders>
              <w:bottom w:val="single" w:sz="8" w:space="0" w:color="000000"/>
            </w:tcBorders>
            <w:shd w:val="clear" w:color="auto" w:fill="auto"/>
            <w:vAlign w:val="bottom"/>
          </w:tcPr>
          <w:p w14:paraId="5556DB1E" w14:textId="77777777" w:rsidR="00F925DD" w:rsidRDefault="00F925DD">
            <w:pPr>
              <w:textAlignment w:val="bottom"/>
              <w:rPr>
                <w:rFonts w:ascii="Times New Roman" w:hAnsi="Times New Roman"/>
                <w:sz w:val="20"/>
                <w:szCs w:val="20"/>
              </w:rPr>
            </w:pPr>
          </w:p>
        </w:tc>
      </w:tr>
      <w:tr w:rsidR="00F925DD" w14:paraId="5556DB3F" w14:textId="77777777">
        <w:tc>
          <w:tcPr>
            <w:tcW w:w="0" w:type="auto"/>
            <w:shd w:val="clear" w:color="auto" w:fill="CCEEFF"/>
            <w:tcMar>
              <w:top w:w="40" w:type="dxa"/>
              <w:left w:w="40" w:type="dxa"/>
              <w:bottom w:w="40" w:type="dxa"/>
              <w:right w:w="40" w:type="dxa"/>
            </w:tcMar>
            <w:vAlign w:val="bottom"/>
          </w:tcPr>
          <w:p w14:paraId="5556DB20"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shd w:val="clear" w:color="auto" w:fill="CCEEFF"/>
            <w:tcMar>
              <w:top w:w="40" w:type="dxa"/>
              <w:left w:w="40" w:type="dxa"/>
              <w:bottom w:w="40" w:type="dxa"/>
              <w:right w:w="40" w:type="dxa"/>
            </w:tcMar>
            <w:vAlign w:val="bottom"/>
          </w:tcPr>
          <w:p w14:paraId="5556DB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B2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B2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262</w:t>
            </w:r>
          </w:p>
        </w:tc>
        <w:tc>
          <w:tcPr>
            <w:tcW w:w="0" w:type="auto"/>
            <w:tcBorders>
              <w:top w:val="single" w:sz="8" w:space="0" w:color="000000"/>
              <w:bottom w:val="double" w:sz="6" w:space="0" w:color="000000"/>
            </w:tcBorders>
            <w:shd w:val="clear" w:color="auto" w:fill="CCEEFF"/>
            <w:vAlign w:val="bottom"/>
          </w:tcPr>
          <w:p w14:paraId="5556DB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26"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B2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B2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B2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B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B2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B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645</w:t>
            </w:r>
          </w:p>
        </w:tc>
        <w:tc>
          <w:tcPr>
            <w:tcW w:w="0" w:type="auto"/>
            <w:tcBorders>
              <w:top w:val="single" w:sz="8" w:space="0" w:color="000000"/>
              <w:bottom w:val="double" w:sz="6" w:space="0" w:color="000000"/>
            </w:tcBorders>
            <w:shd w:val="clear" w:color="auto" w:fill="CCEEFF"/>
            <w:vAlign w:val="bottom"/>
          </w:tcPr>
          <w:p w14:paraId="5556DB2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DB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B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B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B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B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B3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B3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B3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tcMar>
            <w:vAlign w:val="bottom"/>
          </w:tcPr>
          <w:p w14:paraId="5556DB36" w14:textId="77777777" w:rsidR="00F925DD" w:rsidRDefault="00F925DD">
            <w:pPr>
              <w:jc w:val="right"/>
              <w:textAlignment w:val="bottom"/>
              <w:rPr>
                <w:rFonts w:ascii="Times New Roman" w:hAnsi="Times New Roman"/>
                <w:sz w:val="14"/>
                <w:szCs w:val="14"/>
              </w:rPr>
            </w:pPr>
          </w:p>
        </w:tc>
        <w:tc>
          <w:tcPr>
            <w:tcW w:w="0" w:type="auto"/>
            <w:shd w:val="clear" w:color="auto" w:fill="CCEEFF"/>
            <w:vAlign w:val="bottom"/>
          </w:tcPr>
          <w:p w14:paraId="5556DB37" w14:textId="77777777" w:rsidR="00F925DD" w:rsidRDefault="00F925DD">
            <w:pPr>
              <w:textAlignment w:val="bottom"/>
              <w:rPr>
                <w:rFonts w:ascii="Times New Roman" w:hAnsi="Times New Roman"/>
                <w:sz w:val="20"/>
                <w:szCs w:val="20"/>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B3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B3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419</w:t>
            </w:r>
          </w:p>
        </w:tc>
        <w:tc>
          <w:tcPr>
            <w:tcW w:w="0" w:type="auto"/>
            <w:tcBorders>
              <w:top w:val="single" w:sz="8" w:space="0" w:color="000000"/>
              <w:bottom w:val="double" w:sz="6" w:space="0" w:color="000000"/>
            </w:tcBorders>
            <w:shd w:val="clear" w:color="auto" w:fill="CCEEFF"/>
            <w:vAlign w:val="bottom"/>
          </w:tcPr>
          <w:p w14:paraId="5556DB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3B" w14:textId="77777777" w:rsidR="00F925DD" w:rsidRDefault="00F925DD">
            <w:pPr>
              <w:textAlignment w:val="bottom"/>
              <w:rPr>
                <w:rFonts w:ascii="Times New Roman" w:hAnsi="Times New Roman"/>
                <w:sz w:val="14"/>
                <w:szCs w:val="14"/>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B3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B3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(642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B3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bl>
    <w:p w14:paraId="5556DB40" w14:textId="77777777" w:rsidR="00F925DD" w:rsidRDefault="00F925DD">
      <w:pPr>
        <w:rPr>
          <w:vanish/>
        </w:rPr>
      </w:pPr>
    </w:p>
    <w:tbl>
      <w:tblPr>
        <w:tblW w:w="13680" w:type="dxa"/>
        <w:tblCellMar>
          <w:left w:w="0" w:type="dxa"/>
          <w:right w:w="0" w:type="dxa"/>
        </w:tblCellMar>
        <w:tblLook w:val="04A0" w:firstRow="1" w:lastRow="0" w:firstColumn="1" w:lastColumn="0" w:noHBand="0" w:noVBand="1"/>
      </w:tblPr>
      <w:tblGrid>
        <w:gridCol w:w="3846"/>
        <w:gridCol w:w="2023"/>
        <w:gridCol w:w="2003"/>
        <w:gridCol w:w="3445"/>
        <w:gridCol w:w="2363"/>
      </w:tblGrid>
      <w:tr w:rsidR="00F925DD" w14:paraId="5556DB42" w14:textId="77777777">
        <w:tc>
          <w:tcPr>
            <w:tcW w:w="0" w:type="auto"/>
            <w:gridSpan w:val="5"/>
            <w:shd w:val="clear" w:color="auto" w:fill="auto"/>
            <w:vAlign w:val="center"/>
          </w:tcPr>
          <w:p w14:paraId="5556DB41" w14:textId="77777777" w:rsidR="00F925DD" w:rsidRDefault="00F925DD">
            <w:pPr>
              <w:rPr>
                <w:rFonts w:ascii="Times New Roman" w:hAnsi="Times New Roman"/>
                <w:sz w:val="20"/>
                <w:szCs w:val="20"/>
              </w:rPr>
            </w:pPr>
          </w:p>
        </w:tc>
      </w:tr>
      <w:tr w:rsidR="00F925DD" w14:paraId="5556DB48" w14:textId="77777777">
        <w:tc>
          <w:tcPr>
            <w:tcW w:w="3840" w:type="dxa"/>
            <w:shd w:val="clear" w:color="auto" w:fill="auto"/>
            <w:vAlign w:val="center"/>
          </w:tcPr>
          <w:p w14:paraId="5556DB43" w14:textId="77777777" w:rsidR="00F925DD" w:rsidRDefault="00F925DD">
            <w:pPr>
              <w:rPr>
                <w:rFonts w:ascii="Times New Roman" w:hAnsi="Times New Roman"/>
                <w:sz w:val="20"/>
                <w:szCs w:val="20"/>
              </w:rPr>
            </w:pPr>
          </w:p>
        </w:tc>
        <w:tc>
          <w:tcPr>
            <w:tcW w:w="2020" w:type="dxa"/>
            <w:shd w:val="clear" w:color="auto" w:fill="auto"/>
            <w:vAlign w:val="center"/>
          </w:tcPr>
          <w:p w14:paraId="5556DB44" w14:textId="77777777" w:rsidR="00F925DD" w:rsidRDefault="00F925DD">
            <w:pPr>
              <w:rPr>
                <w:rFonts w:ascii="Times New Roman" w:hAnsi="Times New Roman"/>
                <w:sz w:val="20"/>
                <w:szCs w:val="20"/>
              </w:rPr>
            </w:pPr>
          </w:p>
        </w:tc>
        <w:tc>
          <w:tcPr>
            <w:tcW w:w="2000" w:type="dxa"/>
            <w:shd w:val="clear" w:color="auto" w:fill="auto"/>
            <w:vAlign w:val="center"/>
          </w:tcPr>
          <w:p w14:paraId="5556DB45" w14:textId="77777777" w:rsidR="00F925DD" w:rsidRDefault="00F925DD">
            <w:pPr>
              <w:rPr>
                <w:rFonts w:ascii="Times New Roman" w:hAnsi="Times New Roman"/>
                <w:sz w:val="20"/>
                <w:szCs w:val="20"/>
              </w:rPr>
            </w:pPr>
          </w:p>
        </w:tc>
        <w:tc>
          <w:tcPr>
            <w:tcW w:w="3440" w:type="dxa"/>
            <w:shd w:val="clear" w:color="auto" w:fill="auto"/>
            <w:vAlign w:val="center"/>
          </w:tcPr>
          <w:p w14:paraId="5556DB46" w14:textId="77777777" w:rsidR="00F925DD" w:rsidRDefault="00F925DD">
            <w:pPr>
              <w:rPr>
                <w:rFonts w:ascii="Times New Roman" w:hAnsi="Times New Roman"/>
                <w:sz w:val="20"/>
                <w:szCs w:val="20"/>
              </w:rPr>
            </w:pPr>
          </w:p>
        </w:tc>
        <w:tc>
          <w:tcPr>
            <w:tcW w:w="2360" w:type="dxa"/>
            <w:shd w:val="clear" w:color="auto" w:fill="auto"/>
            <w:vAlign w:val="center"/>
          </w:tcPr>
          <w:p w14:paraId="5556DB47" w14:textId="77777777" w:rsidR="00F925DD" w:rsidRDefault="00F925DD">
            <w:pPr>
              <w:rPr>
                <w:rFonts w:ascii="Times New Roman" w:hAnsi="Times New Roman"/>
                <w:sz w:val="20"/>
                <w:szCs w:val="20"/>
              </w:rPr>
            </w:pPr>
          </w:p>
        </w:tc>
      </w:tr>
      <w:tr w:rsidR="00F925DD" w14:paraId="5556DB4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B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B4F"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In 2019, 2018 and 2017, $18 </w:t>
      </w:r>
      <w:r>
        <w:rPr>
          <w:rFonts w:ascii="Arial" w:eastAsia="宋体" w:hAnsi="Arial" w:cs="Arial"/>
          <w:sz w:val="14"/>
          <w:szCs w:val="14"/>
        </w:rPr>
        <w:t>million, $24 million and $22 million, respectively, of net unrealized gains on AFS investment securities designated in fair value hedges were recognized in OCI.</w:t>
      </w:r>
    </w:p>
    <w:tbl>
      <w:tblPr>
        <w:tblW w:w="5000" w:type="pct"/>
        <w:tblCellMar>
          <w:left w:w="0" w:type="dxa"/>
          <w:right w:w="0" w:type="dxa"/>
        </w:tblCellMar>
        <w:tblLook w:val="04A0" w:firstRow="1" w:lastRow="0" w:firstColumn="1" w:lastColumn="0" w:noHBand="0" w:noVBand="1"/>
      </w:tblPr>
      <w:tblGrid>
        <w:gridCol w:w="1609"/>
        <w:gridCol w:w="119"/>
        <w:gridCol w:w="529"/>
        <w:gridCol w:w="43"/>
        <w:gridCol w:w="130"/>
        <w:gridCol w:w="118"/>
        <w:gridCol w:w="518"/>
        <w:gridCol w:w="87"/>
        <w:gridCol w:w="130"/>
        <w:gridCol w:w="118"/>
        <w:gridCol w:w="529"/>
        <w:gridCol w:w="87"/>
        <w:gridCol w:w="130"/>
        <w:gridCol w:w="1360"/>
        <w:gridCol w:w="130"/>
        <w:gridCol w:w="118"/>
        <w:gridCol w:w="612"/>
        <w:gridCol w:w="87"/>
        <w:gridCol w:w="130"/>
        <w:gridCol w:w="119"/>
        <w:gridCol w:w="613"/>
        <w:gridCol w:w="88"/>
        <w:gridCol w:w="130"/>
        <w:gridCol w:w="119"/>
        <w:gridCol w:w="614"/>
        <w:gridCol w:w="39"/>
      </w:tblGrid>
      <w:tr w:rsidR="00F925DD" w14:paraId="5556DB51" w14:textId="77777777">
        <w:tc>
          <w:tcPr>
            <w:tcW w:w="0" w:type="auto"/>
            <w:gridSpan w:val="26"/>
            <w:shd w:val="clear" w:color="auto" w:fill="auto"/>
            <w:vAlign w:val="center"/>
          </w:tcPr>
          <w:p w14:paraId="5556DB50" w14:textId="77777777" w:rsidR="00F925DD" w:rsidRDefault="00F925DD">
            <w:pPr>
              <w:rPr>
                <w:rFonts w:ascii="Times New Roman" w:hAnsi="Times New Roman"/>
                <w:sz w:val="20"/>
                <w:szCs w:val="20"/>
              </w:rPr>
            </w:pPr>
          </w:p>
        </w:tc>
      </w:tr>
      <w:tr w:rsidR="00F925DD" w14:paraId="5556DB6C" w14:textId="77777777">
        <w:tc>
          <w:tcPr>
            <w:tcW w:w="1000" w:type="pct"/>
            <w:shd w:val="clear" w:color="auto" w:fill="auto"/>
            <w:vAlign w:val="center"/>
          </w:tcPr>
          <w:p w14:paraId="5556DB52" w14:textId="77777777" w:rsidR="00F925DD" w:rsidRDefault="00F925DD">
            <w:pPr>
              <w:rPr>
                <w:rFonts w:ascii="Times New Roman" w:hAnsi="Times New Roman"/>
                <w:sz w:val="20"/>
                <w:szCs w:val="20"/>
              </w:rPr>
            </w:pPr>
          </w:p>
        </w:tc>
        <w:tc>
          <w:tcPr>
            <w:tcW w:w="50" w:type="pct"/>
            <w:shd w:val="clear" w:color="auto" w:fill="auto"/>
            <w:vAlign w:val="center"/>
          </w:tcPr>
          <w:p w14:paraId="5556DB53" w14:textId="77777777" w:rsidR="00F925DD" w:rsidRDefault="00F925DD">
            <w:pPr>
              <w:rPr>
                <w:rFonts w:ascii="Times New Roman" w:hAnsi="Times New Roman"/>
                <w:sz w:val="20"/>
                <w:szCs w:val="20"/>
              </w:rPr>
            </w:pPr>
          </w:p>
        </w:tc>
        <w:tc>
          <w:tcPr>
            <w:tcW w:w="350" w:type="pct"/>
            <w:shd w:val="clear" w:color="auto" w:fill="auto"/>
            <w:vAlign w:val="center"/>
          </w:tcPr>
          <w:p w14:paraId="5556DB54" w14:textId="77777777" w:rsidR="00F925DD" w:rsidRDefault="00F925DD">
            <w:pPr>
              <w:rPr>
                <w:rFonts w:ascii="Times New Roman" w:hAnsi="Times New Roman"/>
                <w:sz w:val="20"/>
                <w:szCs w:val="20"/>
              </w:rPr>
            </w:pPr>
          </w:p>
        </w:tc>
        <w:tc>
          <w:tcPr>
            <w:tcW w:w="50" w:type="pct"/>
            <w:shd w:val="clear" w:color="auto" w:fill="auto"/>
            <w:vAlign w:val="center"/>
          </w:tcPr>
          <w:p w14:paraId="5556DB55" w14:textId="77777777" w:rsidR="00F925DD" w:rsidRDefault="00F925DD">
            <w:pPr>
              <w:rPr>
                <w:rFonts w:ascii="Times New Roman" w:hAnsi="Times New Roman"/>
                <w:sz w:val="20"/>
                <w:szCs w:val="20"/>
              </w:rPr>
            </w:pPr>
          </w:p>
        </w:tc>
        <w:tc>
          <w:tcPr>
            <w:tcW w:w="50" w:type="pct"/>
            <w:shd w:val="clear" w:color="auto" w:fill="auto"/>
            <w:vAlign w:val="center"/>
          </w:tcPr>
          <w:p w14:paraId="5556DB56" w14:textId="77777777" w:rsidR="00F925DD" w:rsidRDefault="00F925DD">
            <w:pPr>
              <w:rPr>
                <w:rFonts w:ascii="Times New Roman" w:hAnsi="Times New Roman"/>
                <w:sz w:val="20"/>
                <w:szCs w:val="20"/>
              </w:rPr>
            </w:pPr>
          </w:p>
        </w:tc>
        <w:tc>
          <w:tcPr>
            <w:tcW w:w="50" w:type="pct"/>
            <w:shd w:val="clear" w:color="auto" w:fill="auto"/>
            <w:vAlign w:val="center"/>
          </w:tcPr>
          <w:p w14:paraId="5556DB57" w14:textId="77777777" w:rsidR="00F925DD" w:rsidRDefault="00F925DD">
            <w:pPr>
              <w:rPr>
                <w:rFonts w:ascii="Times New Roman" w:hAnsi="Times New Roman"/>
                <w:sz w:val="20"/>
                <w:szCs w:val="20"/>
              </w:rPr>
            </w:pPr>
          </w:p>
        </w:tc>
        <w:tc>
          <w:tcPr>
            <w:tcW w:w="350" w:type="pct"/>
            <w:shd w:val="clear" w:color="auto" w:fill="auto"/>
            <w:vAlign w:val="center"/>
          </w:tcPr>
          <w:p w14:paraId="5556DB58" w14:textId="77777777" w:rsidR="00F925DD" w:rsidRDefault="00F925DD">
            <w:pPr>
              <w:rPr>
                <w:rFonts w:ascii="Times New Roman" w:hAnsi="Times New Roman"/>
                <w:sz w:val="20"/>
                <w:szCs w:val="20"/>
              </w:rPr>
            </w:pPr>
          </w:p>
        </w:tc>
        <w:tc>
          <w:tcPr>
            <w:tcW w:w="50" w:type="pct"/>
            <w:shd w:val="clear" w:color="auto" w:fill="auto"/>
            <w:vAlign w:val="center"/>
          </w:tcPr>
          <w:p w14:paraId="5556DB59" w14:textId="77777777" w:rsidR="00F925DD" w:rsidRDefault="00F925DD">
            <w:pPr>
              <w:rPr>
                <w:rFonts w:ascii="Times New Roman" w:hAnsi="Times New Roman"/>
                <w:sz w:val="20"/>
                <w:szCs w:val="20"/>
              </w:rPr>
            </w:pPr>
          </w:p>
        </w:tc>
        <w:tc>
          <w:tcPr>
            <w:tcW w:w="50" w:type="pct"/>
            <w:shd w:val="clear" w:color="auto" w:fill="auto"/>
            <w:vAlign w:val="center"/>
          </w:tcPr>
          <w:p w14:paraId="5556DB5A" w14:textId="77777777" w:rsidR="00F925DD" w:rsidRDefault="00F925DD">
            <w:pPr>
              <w:rPr>
                <w:rFonts w:ascii="Times New Roman" w:hAnsi="Times New Roman"/>
                <w:sz w:val="20"/>
                <w:szCs w:val="20"/>
              </w:rPr>
            </w:pPr>
          </w:p>
        </w:tc>
        <w:tc>
          <w:tcPr>
            <w:tcW w:w="50" w:type="pct"/>
            <w:shd w:val="clear" w:color="auto" w:fill="auto"/>
            <w:vAlign w:val="center"/>
          </w:tcPr>
          <w:p w14:paraId="5556DB5B" w14:textId="77777777" w:rsidR="00F925DD" w:rsidRDefault="00F925DD">
            <w:pPr>
              <w:rPr>
                <w:rFonts w:ascii="Times New Roman" w:hAnsi="Times New Roman"/>
                <w:sz w:val="20"/>
                <w:szCs w:val="20"/>
              </w:rPr>
            </w:pPr>
          </w:p>
        </w:tc>
        <w:tc>
          <w:tcPr>
            <w:tcW w:w="350" w:type="pct"/>
            <w:shd w:val="clear" w:color="auto" w:fill="auto"/>
            <w:vAlign w:val="center"/>
          </w:tcPr>
          <w:p w14:paraId="5556DB5C" w14:textId="77777777" w:rsidR="00F925DD" w:rsidRDefault="00F925DD">
            <w:pPr>
              <w:rPr>
                <w:rFonts w:ascii="Times New Roman" w:hAnsi="Times New Roman"/>
                <w:sz w:val="20"/>
                <w:szCs w:val="20"/>
              </w:rPr>
            </w:pPr>
          </w:p>
        </w:tc>
        <w:tc>
          <w:tcPr>
            <w:tcW w:w="50" w:type="pct"/>
            <w:shd w:val="clear" w:color="auto" w:fill="auto"/>
            <w:vAlign w:val="center"/>
          </w:tcPr>
          <w:p w14:paraId="5556DB5D" w14:textId="77777777" w:rsidR="00F925DD" w:rsidRDefault="00F925DD">
            <w:pPr>
              <w:rPr>
                <w:rFonts w:ascii="Times New Roman" w:hAnsi="Times New Roman"/>
                <w:sz w:val="20"/>
                <w:szCs w:val="20"/>
              </w:rPr>
            </w:pPr>
          </w:p>
        </w:tc>
        <w:tc>
          <w:tcPr>
            <w:tcW w:w="50" w:type="pct"/>
            <w:shd w:val="clear" w:color="auto" w:fill="auto"/>
            <w:vAlign w:val="center"/>
          </w:tcPr>
          <w:p w14:paraId="5556DB5E" w14:textId="77777777" w:rsidR="00F925DD" w:rsidRDefault="00F925DD">
            <w:pPr>
              <w:rPr>
                <w:rFonts w:ascii="Times New Roman" w:hAnsi="Times New Roman"/>
                <w:sz w:val="20"/>
                <w:szCs w:val="20"/>
              </w:rPr>
            </w:pPr>
          </w:p>
        </w:tc>
        <w:tc>
          <w:tcPr>
            <w:tcW w:w="850" w:type="pct"/>
            <w:shd w:val="clear" w:color="auto" w:fill="auto"/>
            <w:vAlign w:val="center"/>
          </w:tcPr>
          <w:p w14:paraId="5556DB5F" w14:textId="77777777" w:rsidR="00F925DD" w:rsidRDefault="00F925DD">
            <w:pPr>
              <w:rPr>
                <w:rFonts w:ascii="Times New Roman" w:hAnsi="Times New Roman"/>
                <w:sz w:val="20"/>
                <w:szCs w:val="20"/>
              </w:rPr>
            </w:pPr>
          </w:p>
        </w:tc>
        <w:tc>
          <w:tcPr>
            <w:tcW w:w="50" w:type="pct"/>
            <w:shd w:val="clear" w:color="auto" w:fill="auto"/>
            <w:vAlign w:val="center"/>
          </w:tcPr>
          <w:p w14:paraId="5556DB60" w14:textId="77777777" w:rsidR="00F925DD" w:rsidRDefault="00F925DD">
            <w:pPr>
              <w:rPr>
                <w:rFonts w:ascii="Times New Roman" w:hAnsi="Times New Roman"/>
                <w:sz w:val="20"/>
                <w:szCs w:val="20"/>
              </w:rPr>
            </w:pPr>
          </w:p>
        </w:tc>
        <w:tc>
          <w:tcPr>
            <w:tcW w:w="50" w:type="pct"/>
            <w:shd w:val="clear" w:color="auto" w:fill="auto"/>
            <w:vAlign w:val="center"/>
          </w:tcPr>
          <w:p w14:paraId="5556DB61" w14:textId="77777777" w:rsidR="00F925DD" w:rsidRDefault="00F925DD">
            <w:pPr>
              <w:rPr>
                <w:rFonts w:ascii="Times New Roman" w:hAnsi="Times New Roman"/>
                <w:sz w:val="20"/>
                <w:szCs w:val="20"/>
              </w:rPr>
            </w:pPr>
          </w:p>
        </w:tc>
        <w:tc>
          <w:tcPr>
            <w:tcW w:w="400" w:type="pct"/>
            <w:shd w:val="clear" w:color="auto" w:fill="auto"/>
            <w:vAlign w:val="center"/>
          </w:tcPr>
          <w:p w14:paraId="5556DB62" w14:textId="77777777" w:rsidR="00F925DD" w:rsidRDefault="00F925DD">
            <w:pPr>
              <w:rPr>
                <w:rFonts w:ascii="Times New Roman" w:hAnsi="Times New Roman"/>
                <w:sz w:val="20"/>
                <w:szCs w:val="20"/>
              </w:rPr>
            </w:pPr>
          </w:p>
        </w:tc>
        <w:tc>
          <w:tcPr>
            <w:tcW w:w="50" w:type="pct"/>
            <w:shd w:val="clear" w:color="auto" w:fill="auto"/>
            <w:vAlign w:val="center"/>
          </w:tcPr>
          <w:p w14:paraId="5556DB63" w14:textId="77777777" w:rsidR="00F925DD" w:rsidRDefault="00F925DD">
            <w:pPr>
              <w:rPr>
                <w:rFonts w:ascii="Times New Roman" w:hAnsi="Times New Roman"/>
                <w:sz w:val="20"/>
                <w:szCs w:val="20"/>
              </w:rPr>
            </w:pPr>
          </w:p>
        </w:tc>
        <w:tc>
          <w:tcPr>
            <w:tcW w:w="50" w:type="pct"/>
            <w:shd w:val="clear" w:color="auto" w:fill="auto"/>
            <w:vAlign w:val="center"/>
          </w:tcPr>
          <w:p w14:paraId="5556DB64" w14:textId="77777777" w:rsidR="00F925DD" w:rsidRDefault="00F925DD">
            <w:pPr>
              <w:rPr>
                <w:rFonts w:ascii="Times New Roman" w:hAnsi="Times New Roman"/>
                <w:sz w:val="20"/>
                <w:szCs w:val="20"/>
              </w:rPr>
            </w:pPr>
          </w:p>
        </w:tc>
        <w:tc>
          <w:tcPr>
            <w:tcW w:w="50" w:type="pct"/>
            <w:shd w:val="clear" w:color="auto" w:fill="auto"/>
            <w:vAlign w:val="center"/>
          </w:tcPr>
          <w:p w14:paraId="5556DB65" w14:textId="77777777" w:rsidR="00F925DD" w:rsidRDefault="00F925DD">
            <w:pPr>
              <w:rPr>
                <w:rFonts w:ascii="Times New Roman" w:hAnsi="Times New Roman"/>
                <w:sz w:val="20"/>
                <w:szCs w:val="20"/>
              </w:rPr>
            </w:pPr>
          </w:p>
        </w:tc>
        <w:tc>
          <w:tcPr>
            <w:tcW w:w="400" w:type="pct"/>
            <w:shd w:val="clear" w:color="auto" w:fill="auto"/>
            <w:vAlign w:val="center"/>
          </w:tcPr>
          <w:p w14:paraId="5556DB66" w14:textId="77777777" w:rsidR="00F925DD" w:rsidRDefault="00F925DD">
            <w:pPr>
              <w:rPr>
                <w:rFonts w:ascii="Times New Roman" w:hAnsi="Times New Roman"/>
                <w:sz w:val="20"/>
                <w:szCs w:val="20"/>
              </w:rPr>
            </w:pPr>
          </w:p>
        </w:tc>
        <w:tc>
          <w:tcPr>
            <w:tcW w:w="50" w:type="pct"/>
            <w:shd w:val="clear" w:color="auto" w:fill="auto"/>
            <w:vAlign w:val="center"/>
          </w:tcPr>
          <w:p w14:paraId="5556DB67" w14:textId="77777777" w:rsidR="00F925DD" w:rsidRDefault="00F925DD">
            <w:pPr>
              <w:rPr>
                <w:rFonts w:ascii="Times New Roman" w:hAnsi="Times New Roman"/>
                <w:sz w:val="20"/>
                <w:szCs w:val="20"/>
              </w:rPr>
            </w:pPr>
          </w:p>
        </w:tc>
        <w:tc>
          <w:tcPr>
            <w:tcW w:w="50" w:type="pct"/>
            <w:shd w:val="clear" w:color="auto" w:fill="auto"/>
            <w:vAlign w:val="center"/>
          </w:tcPr>
          <w:p w14:paraId="5556DB68" w14:textId="77777777" w:rsidR="00F925DD" w:rsidRDefault="00F925DD">
            <w:pPr>
              <w:rPr>
                <w:rFonts w:ascii="Times New Roman" w:hAnsi="Times New Roman"/>
                <w:sz w:val="20"/>
                <w:szCs w:val="20"/>
              </w:rPr>
            </w:pPr>
          </w:p>
        </w:tc>
        <w:tc>
          <w:tcPr>
            <w:tcW w:w="50" w:type="pct"/>
            <w:shd w:val="clear" w:color="auto" w:fill="auto"/>
            <w:vAlign w:val="center"/>
          </w:tcPr>
          <w:p w14:paraId="5556DB69" w14:textId="77777777" w:rsidR="00F925DD" w:rsidRDefault="00F925DD">
            <w:pPr>
              <w:rPr>
                <w:rFonts w:ascii="Times New Roman" w:hAnsi="Times New Roman"/>
                <w:sz w:val="20"/>
                <w:szCs w:val="20"/>
              </w:rPr>
            </w:pPr>
          </w:p>
        </w:tc>
        <w:tc>
          <w:tcPr>
            <w:tcW w:w="400" w:type="pct"/>
            <w:shd w:val="clear" w:color="auto" w:fill="auto"/>
            <w:vAlign w:val="center"/>
          </w:tcPr>
          <w:p w14:paraId="5556DB6A" w14:textId="77777777" w:rsidR="00F925DD" w:rsidRDefault="00F925DD">
            <w:pPr>
              <w:rPr>
                <w:rFonts w:ascii="Times New Roman" w:hAnsi="Times New Roman"/>
                <w:sz w:val="20"/>
                <w:szCs w:val="20"/>
              </w:rPr>
            </w:pPr>
          </w:p>
        </w:tc>
        <w:tc>
          <w:tcPr>
            <w:tcW w:w="50" w:type="pct"/>
            <w:shd w:val="clear" w:color="auto" w:fill="auto"/>
            <w:vAlign w:val="center"/>
          </w:tcPr>
          <w:p w14:paraId="5556DB6B" w14:textId="77777777" w:rsidR="00F925DD" w:rsidRDefault="00F925DD">
            <w:pPr>
              <w:rPr>
                <w:rFonts w:ascii="Times New Roman" w:hAnsi="Times New Roman"/>
                <w:sz w:val="20"/>
                <w:szCs w:val="20"/>
              </w:rPr>
            </w:pPr>
          </w:p>
        </w:tc>
      </w:tr>
      <w:tr w:rsidR="00F925DD" w14:paraId="5556DB73" w14:textId="77777777">
        <w:tc>
          <w:tcPr>
            <w:tcW w:w="0" w:type="auto"/>
            <w:shd w:val="clear" w:color="auto" w:fill="auto"/>
            <w:tcMar>
              <w:top w:w="40" w:type="dxa"/>
              <w:left w:w="40" w:type="dxa"/>
              <w:bottom w:w="40" w:type="dxa"/>
              <w:right w:w="40" w:type="dxa"/>
            </w:tcMar>
            <w:vAlign w:val="bottom"/>
          </w:tcPr>
          <w:p w14:paraId="5556DB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DB6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c>
          <w:tcPr>
            <w:tcW w:w="0" w:type="auto"/>
            <w:shd w:val="clear" w:color="auto" w:fill="auto"/>
            <w:tcMar>
              <w:top w:w="40" w:type="dxa"/>
              <w:left w:w="40" w:type="dxa"/>
              <w:bottom w:w="40" w:type="dxa"/>
              <w:right w:w="40" w:type="dxa"/>
            </w:tcMar>
            <w:vAlign w:val="bottom"/>
          </w:tcPr>
          <w:p w14:paraId="5556DB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DB7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DB82" w14:textId="77777777">
        <w:tc>
          <w:tcPr>
            <w:tcW w:w="0" w:type="auto"/>
            <w:shd w:val="clear" w:color="auto" w:fill="auto"/>
            <w:tcMar>
              <w:top w:w="40" w:type="dxa"/>
              <w:left w:w="40" w:type="dxa"/>
              <w:bottom w:w="40" w:type="dxa"/>
              <w:right w:w="40" w:type="dxa"/>
            </w:tcMar>
            <w:vAlign w:val="bottom"/>
          </w:tcPr>
          <w:p w14:paraId="5556DB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B7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DB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B7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DB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B7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c>
          <w:tcPr>
            <w:tcW w:w="0" w:type="auto"/>
            <w:shd w:val="clear" w:color="auto" w:fill="auto"/>
            <w:tcMar>
              <w:top w:w="40" w:type="dxa"/>
              <w:left w:w="40" w:type="dxa"/>
              <w:bottom w:w="40" w:type="dxa"/>
              <w:right w:w="40" w:type="dxa"/>
            </w:tcMar>
            <w:vAlign w:val="bottom"/>
          </w:tcPr>
          <w:p w14:paraId="5556DB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tcBorders>
              <w:bottom w:val="single" w:sz="8" w:space="0" w:color="000000"/>
            </w:tcBorders>
            <w:shd w:val="clear" w:color="auto" w:fill="auto"/>
            <w:tcMar>
              <w:top w:w="40" w:type="dxa"/>
              <w:left w:w="40" w:type="dxa"/>
              <w:bottom w:w="40" w:type="dxa"/>
              <w:right w:w="40" w:type="dxa"/>
            </w:tcMar>
            <w:vAlign w:val="bottom"/>
          </w:tcPr>
          <w:p w14:paraId="5556DB7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Location of Gain or (Loss) Reclassified from Accumulated Other Comprehensive Income into Income</w:t>
            </w:r>
          </w:p>
        </w:tc>
        <w:tc>
          <w:tcPr>
            <w:tcW w:w="0" w:type="auto"/>
            <w:shd w:val="clear" w:color="auto" w:fill="auto"/>
            <w:tcMar>
              <w:top w:w="40" w:type="dxa"/>
              <w:left w:w="40" w:type="dxa"/>
              <w:bottom w:w="40" w:type="dxa"/>
              <w:right w:w="40" w:type="dxa"/>
            </w:tcMar>
            <w:vAlign w:val="bottom"/>
          </w:tcPr>
          <w:p w14:paraId="5556DB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B7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DB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B7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DB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B8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DB89" w14:textId="77777777">
        <w:tc>
          <w:tcPr>
            <w:tcW w:w="0" w:type="auto"/>
            <w:shd w:val="clear" w:color="auto" w:fill="auto"/>
            <w:tcMar>
              <w:top w:w="40" w:type="dxa"/>
              <w:left w:w="40" w:type="dxa"/>
              <w:bottom w:w="40" w:type="dxa"/>
              <w:right w:w="40" w:type="dxa"/>
            </w:tcMar>
            <w:vAlign w:val="bottom"/>
          </w:tcPr>
          <w:p w14:paraId="5556DB8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11"/>
            <w:tcBorders>
              <w:bottom w:val="single" w:sz="8" w:space="0" w:color="000000"/>
            </w:tcBorders>
            <w:shd w:val="clear" w:color="auto" w:fill="auto"/>
            <w:tcMar>
              <w:top w:w="40" w:type="dxa"/>
              <w:left w:w="40" w:type="dxa"/>
              <w:bottom w:w="40" w:type="dxa"/>
            </w:tcMar>
            <w:vAlign w:val="bottom"/>
          </w:tcPr>
          <w:p w14:paraId="5556DB8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Amount of Gain or (Loss) Recognized in Other Comprehensive Income on Derivative</w:t>
            </w:r>
          </w:p>
        </w:tc>
        <w:tc>
          <w:tcPr>
            <w:tcW w:w="0" w:type="auto"/>
            <w:shd w:val="clear" w:color="auto" w:fill="auto"/>
            <w:tcMar>
              <w:top w:w="40" w:type="dxa"/>
              <w:left w:w="40" w:type="dxa"/>
              <w:bottom w:w="40" w:type="dxa"/>
              <w:right w:w="40" w:type="dxa"/>
            </w:tcMar>
            <w:vAlign w:val="bottom"/>
          </w:tcPr>
          <w:p w14:paraId="5556DB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tcBorders>
              <w:bottom w:val="single" w:sz="8" w:space="0" w:color="000000"/>
            </w:tcBorders>
            <w:shd w:val="clear" w:color="auto" w:fill="auto"/>
            <w:tcMar>
              <w:top w:w="40" w:type="dxa"/>
              <w:left w:w="40" w:type="dxa"/>
              <w:bottom w:w="40" w:type="dxa"/>
              <w:right w:w="40" w:type="dxa"/>
            </w:tcMar>
            <w:vAlign w:val="bottom"/>
          </w:tcPr>
          <w:p w14:paraId="5556DB86"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B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DB8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Amount of Gain or (Loss) Reclassified from Accumulated Other Comprehensive Income into Income</w:t>
            </w:r>
          </w:p>
        </w:tc>
      </w:tr>
      <w:tr w:rsidR="00F925DD" w14:paraId="5556DB8D" w14:textId="77777777">
        <w:tc>
          <w:tcPr>
            <w:tcW w:w="0" w:type="auto"/>
            <w:gridSpan w:val="22"/>
            <w:shd w:val="clear" w:color="auto" w:fill="auto"/>
            <w:tcMar>
              <w:top w:w="40" w:type="dxa"/>
              <w:left w:w="40" w:type="dxa"/>
              <w:bottom w:w="40" w:type="dxa"/>
              <w:right w:w="40" w:type="dxa"/>
            </w:tcMar>
            <w:vAlign w:val="bottom"/>
          </w:tcPr>
          <w:p w14:paraId="5556DB8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Derivatives designated as cash flow hedges:</w:t>
            </w:r>
          </w:p>
        </w:tc>
        <w:tc>
          <w:tcPr>
            <w:tcW w:w="0" w:type="auto"/>
            <w:shd w:val="clear" w:color="auto" w:fill="auto"/>
            <w:tcMar>
              <w:top w:w="40" w:type="dxa"/>
              <w:left w:w="40" w:type="dxa"/>
              <w:bottom w:w="40" w:type="dxa"/>
              <w:right w:w="40" w:type="dxa"/>
            </w:tcMar>
            <w:vAlign w:val="bottom"/>
          </w:tcPr>
          <w:p w14:paraId="5556DB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B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BA8" w14:textId="77777777">
        <w:tc>
          <w:tcPr>
            <w:tcW w:w="0" w:type="auto"/>
            <w:shd w:val="clear" w:color="auto" w:fill="CCEEFF"/>
            <w:tcMar>
              <w:top w:w="40" w:type="dxa"/>
              <w:left w:w="40" w:type="dxa"/>
              <w:bottom w:w="40" w:type="dxa"/>
              <w:right w:w="40" w:type="dxa"/>
            </w:tcMar>
            <w:vAlign w:val="bottom"/>
          </w:tcPr>
          <w:p w14:paraId="5556DB8E"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 rate contracts</w:t>
            </w:r>
          </w:p>
        </w:tc>
        <w:tc>
          <w:tcPr>
            <w:tcW w:w="0" w:type="auto"/>
            <w:shd w:val="clear" w:color="auto" w:fill="CCEEFF"/>
            <w:tcMar>
              <w:top w:w="40" w:type="dxa"/>
              <w:left w:w="40" w:type="dxa"/>
              <w:bottom w:w="40" w:type="dxa"/>
            </w:tcMar>
            <w:vAlign w:val="bottom"/>
          </w:tcPr>
          <w:p w14:paraId="5556DB8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DB9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w:t>
            </w:r>
          </w:p>
        </w:tc>
        <w:tc>
          <w:tcPr>
            <w:tcW w:w="0" w:type="auto"/>
            <w:shd w:val="clear" w:color="auto" w:fill="CCEEFF"/>
            <w:vAlign w:val="bottom"/>
          </w:tcPr>
          <w:p w14:paraId="5556DB9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B9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B9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w:t>
            </w:r>
          </w:p>
        </w:tc>
        <w:tc>
          <w:tcPr>
            <w:tcW w:w="0" w:type="auto"/>
            <w:shd w:val="clear" w:color="auto" w:fill="CCEEFF"/>
            <w:tcMar>
              <w:top w:w="40" w:type="dxa"/>
              <w:bottom w:w="40" w:type="dxa"/>
              <w:right w:w="40" w:type="dxa"/>
            </w:tcMar>
            <w:vAlign w:val="bottom"/>
          </w:tcPr>
          <w:p w14:paraId="5556DB9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B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B9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B9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w:t>
            </w:r>
          </w:p>
        </w:tc>
        <w:tc>
          <w:tcPr>
            <w:tcW w:w="0" w:type="auto"/>
            <w:shd w:val="clear" w:color="auto" w:fill="CCEEFF"/>
            <w:tcMar>
              <w:top w:w="40" w:type="dxa"/>
              <w:bottom w:w="40" w:type="dxa"/>
              <w:right w:w="40" w:type="dxa"/>
            </w:tcMar>
            <w:vAlign w:val="bottom"/>
          </w:tcPr>
          <w:p w14:paraId="5556DB9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B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B9B"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shd w:val="clear" w:color="auto" w:fill="CCEEFF"/>
            <w:tcMar>
              <w:top w:w="40" w:type="dxa"/>
              <w:left w:w="40" w:type="dxa"/>
              <w:bottom w:w="40" w:type="dxa"/>
              <w:right w:w="40" w:type="dxa"/>
            </w:tcMar>
            <w:vAlign w:val="bottom"/>
          </w:tcPr>
          <w:p w14:paraId="5556DB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B9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DB9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w:t>
            </w:r>
          </w:p>
        </w:tc>
        <w:tc>
          <w:tcPr>
            <w:tcW w:w="0" w:type="auto"/>
            <w:shd w:val="clear" w:color="auto" w:fill="CCEEFF"/>
            <w:tcMar>
              <w:top w:w="40" w:type="dxa"/>
              <w:bottom w:w="40" w:type="dxa"/>
              <w:right w:w="40" w:type="dxa"/>
            </w:tcMar>
            <w:vAlign w:val="bottom"/>
          </w:tcPr>
          <w:p w14:paraId="5556DB9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DB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BA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BA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tcMar>
              <w:top w:w="40" w:type="dxa"/>
              <w:bottom w:w="40" w:type="dxa"/>
              <w:right w:w="40" w:type="dxa"/>
            </w:tcMar>
            <w:vAlign w:val="bottom"/>
          </w:tcPr>
          <w:p w14:paraId="5556DBA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B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BA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BA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vAlign w:val="bottom"/>
          </w:tcPr>
          <w:p w14:paraId="5556DBA7" w14:textId="77777777" w:rsidR="00F925DD" w:rsidRDefault="00F925DD">
            <w:pPr>
              <w:textAlignment w:val="bottom"/>
              <w:rPr>
                <w:rFonts w:ascii="Times New Roman" w:hAnsi="Times New Roman"/>
                <w:sz w:val="20"/>
                <w:szCs w:val="20"/>
              </w:rPr>
            </w:pPr>
          </w:p>
        </w:tc>
      </w:tr>
      <w:tr w:rsidR="00F925DD" w14:paraId="5556DBBD" w14:textId="77777777">
        <w:tc>
          <w:tcPr>
            <w:tcW w:w="0" w:type="auto"/>
            <w:shd w:val="clear" w:color="auto" w:fill="auto"/>
            <w:tcMar>
              <w:top w:w="40" w:type="dxa"/>
              <w:left w:w="40" w:type="dxa"/>
              <w:bottom w:w="40" w:type="dxa"/>
              <w:right w:w="40" w:type="dxa"/>
            </w:tcMar>
            <w:vAlign w:val="bottom"/>
          </w:tcPr>
          <w:p w14:paraId="5556DBA9"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exchange contracts</w:t>
            </w:r>
          </w:p>
        </w:tc>
        <w:tc>
          <w:tcPr>
            <w:tcW w:w="0" w:type="auto"/>
            <w:gridSpan w:val="2"/>
            <w:tcBorders>
              <w:bottom w:val="single" w:sz="8" w:space="0" w:color="000000"/>
            </w:tcBorders>
            <w:shd w:val="clear" w:color="auto" w:fill="auto"/>
            <w:tcMar>
              <w:top w:w="40" w:type="dxa"/>
              <w:left w:w="40" w:type="dxa"/>
              <w:bottom w:w="40" w:type="dxa"/>
            </w:tcMar>
            <w:vAlign w:val="bottom"/>
          </w:tcPr>
          <w:p w14:paraId="5556DBA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w:t>
            </w:r>
          </w:p>
        </w:tc>
        <w:tc>
          <w:tcPr>
            <w:tcW w:w="0" w:type="auto"/>
            <w:tcBorders>
              <w:bottom w:val="single" w:sz="8" w:space="0" w:color="000000"/>
            </w:tcBorders>
            <w:shd w:val="clear" w:color="auto" w:fill="auto"/>
            <w:vAlign w:val="bottom"/>
          </w:tcPr>
          <w:p w14:paraId="5556DBA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B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BA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w:t>
            </w:r>
          </w:p>
        </w:tc>
        <w:tc>
          <w:tcPr>
            <w:tcW w:w="0" w:type="auto"/>
            <w:tcBorders>
              <w:bottom w:val="single" w:sz="8" w:space="0" w:color="000000"/>
            </w:tcBorders>
            <w:shd w:val="clear" w:color="auto" w:fill="auto"/>
            <w:tcMar>
              <w:top w:w="40" w:type="dxa"/>
              <w:bottom w:w="40" w:type="dxa"/>
              <w:right w:w="40" w:type="dxa"/>
            </w:tcMar>
            <w:vAlign w:val="bottom"/>
          </w:tcPr>
          <w:p w14:paraId="5556DBA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B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BB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(104</w:t>
            </w:r>
          </w:p>
        </w:tc>
        <w:tc>
          <w:tcPr>
            <w:tcW w:w="0" w:type="auto"/>
            <w:tcBorders>
              <w:bottom w:val="single" w:sz="8" w:space="0" w:color="000000"/>
            </w:tcBorders>
            <w:shd w:val="clear" w:color="auto" w:fill="auto"/>
            <w:tcMar>
              <w:top w:w="40" w:type="dxa"/>
              <w:bottom w:w="40" w:type="dxa"/>
              <w:right w:w="40" w:type="dxa"/>
            </w:tcMar>
            <w:vAlign w:val="bottom"/>
          </w:tcPr>
          <w:p w14:paraId="5556DBB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B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B3"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shd w:val="clear" w:color="auto" w:fill="auto"/>
            <w:tcMar>
              <w:top w:w="40" w:type="dxa"/>
              <w:left w:w="40" w:type="dxa"/>
              <w:bottom w:w="40" w:type="dxa"/>
              <w:right w:w="40" w:type="dxa"/>
            </w:tcMar>
            <w:vAlign w:val="bottom"/>
          </w:tcPr>
          <w:p w14:paraId="5556DB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BB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27</w:t>
            </w:r>
          </w:p>
        </w:tc>
        <w:tc>
          <w:tcPr>
            <w:tcW w:w="0" w:type="auto"/>
            <w:tcBorders>
              <w:bottom w:val="single" w:sz="8" w:space="0" w:color="000000"/>
            </w:tcBorders>
            <w:shd w:val="clear" w:color="auto" w:fill="auto"/>
            <w:vAlign w:val="bottom"/>
          </w:tcPr>
          <w:p w14:paraId="5556DBB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B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BB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w:t>
            </w:r>
          </w:p>
        </w:tc>
        <w:tc>
          <w:tcPr>
            <w:tcW w:w="0" w:type="auto"/>
            <w:tcBorders>
              <w:bottom w:val="single" w:sz="8" w:space="0" w:color="000000"/>
            </w:tcBorders>
            <w:shd w:val="clear" w:color="auto" w:fill="auto"/>
            <w:vAlign w:val="bottom"/>
          </w:tcPr>
          <w:p w14:paraId="5556DB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B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BB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w:t>
            </w:r>
          </w:p>
        </w:tc>
        <w:tc>
          <w:tcPr>
            <w:tcW w:w="0" w:type="auto"/>
            <w:shd w:val="clear" w:color="auto" w:fill="auto"/>
            <w:vAlign w:val="bottom"/>
          </w:tcPr>
          <w:p w14:paraId="5556DBBC" w14:textId="77777777" w:rsidR="00F925DD" w:rsidRDefault="00F925DD">
            <w:pPr>
              <w:textAlignment w:val="bottom"/>
              <w:rPr>
                <w:rFonts w:ascii="Times New Roman" w:hAnsi="Times New Roman"/>
                <w:sz w:val="20"/>
                <w:szCs w:val="20"/>
              </w:rPr>
            </w:pPr>
          </w:p>
        </w:tc>
      </w:tr>
      <w:tr w:rsidR="00F925DD" w14:paraId="5556DBD8" w14:textId="77777777">
        <w:tc>
          <w:tcPr>
            <w:tcW w:w="0" w:type="auto"/>
            <w:shd w:val="clear" w:color="auto" w:fill="CCEEFF"/>
            <w:tcMar>
              <w:top w:w="40" w:type="dxa"/>
              <w:left w:w="40" w:type="dxa"/>
              <w:bottom w:w="40" w:type="dxa"/>
              <w:right w:w="40" w:type="dxa"/>
            </w:tcMar>
            <w:vAlign w:val="bottom"/>
          </w:tcPr>
          <w:p w14:paraId="5556DBBE"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derivatives designated as cash flow hedges</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556DBB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556DBC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51</w:t>
            </w:r>
          </w:p>
        </w:tc>
        <w:tc>
          <w:tcPr>
            <w:tcW w:w="0" w:type="auto"/>
            <w:tcBorders>
              <w:top w:val="single" w:sz="8" w:space="0" w:color="000000"/>
              <w:bottom w:val="single" w:sz="8" w:space="0" w:color="000000"/>
            </w:tcBorders>
            <w:shd w:val="clear" w:color="auto" w:fill="CCEEFF"/>
            <w:vAlign w:val="bottom"/>
          </w:tcPr>
          <w:p w14:paraId="5556DBC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556DBC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556DBC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556DBC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B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556DBC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556DBC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556DBC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B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B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B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556DBC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556DBC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tcBorders>
              <w:top w:val="single" w:sz="8" w:space="0" w:color="000000"/>
              <w:bottom w:val="single" w:sz="8" w:space="0" w:color="000000"/>
            </w:tcBorders>
            <w:shd w:val="clear" w:color="auto" w:fill="CCEEFF"/>
            <w:vAlign w:val="bottom"/>
          </w:tcPr>
          <w:p w14:paraId="5556DBC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556DBD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556DBD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w:t>
            </w:r>
          </w:p>
        </w:tc>
        <w:tc>
          <w:tcPr>
            <w:tcW w:w="0" w:type="auto"/>
            <w:tcBorders>
              <w:top w:val="single" w:sz="8" w:space="0" w:color="000000"/>
              <w:bottom w:val="single" w:sz="8" w:space="0" w:color="000000"/>
            </w:tcBorders>
            <w:shd w:val="clear" w:color="auto" w:fill="CCEEFF"/>
            <w:vAlign w:val="bottom"/>
          </w:tcPr>
          <w:p w14:paraId="5556DBD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5556DBD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5556DBD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w:t>
            </w:r>
          </w:p>
        </w:tc>
        <w:tc>
          <w:tcPr>
            <w:tcW w:w="0" w:type="auto"/>
            <w:tcBorders>
              <w:top w:val="single" w:sz="8" w:space="0" w:color="000000"/>
              <w:bottom w:val="single" w:sz="8" w:space="0" w:color="000000"/>
            </w:tcBorders>
            <w:shd w:val="clear" w:color="auto" w:fill="CCEEFF"/>
            <w:vAlign w:val="bottom"/>
          </w:tcPr>
          <w:p w14:paraId="5556DBD7" w14:textId="77777777" w:rsidR="00F925DD" w:rsidRDefault="00F925DD">
            <w:pPr>
              <w:textAlignment w:val="bottom"/>
              <w:rPr>
                <w:rFonts w:ascii="Times New Roman" w:hAnsi="Times New Roman"/>
                <w:sz w:val="20"/>
                <w:szCs w:val="20"/>
              </w:rPr>
            </w:pPr>
          </w:p>
        </w:tc>
      </w:tr>
      <w:tr w:rsidR="00F925DD" w14:paraId="5556DBE7" w14:textId="77777777">
        <w:tc>
          <w:tcPr>
            <w:tcW w:w="0" w:type="auto"/>
            <w:shd w:val="clear" w:color="auto" w:fill="auto"/>
            <w:tcMar>
              <w:top w:w="40" w:type="dxa"/>
              <w:left w:w="40" w:type="dxa"/>
              <w:bottom w:w="40" w:type="dxa"/>
              <w:right w:w="40" w:type="dxa"/>
            </w:tcMar>
            <w:vAlign w:val="bottom"/>
          </w:tcPr>
          <w:p w14:paraId="5556DB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B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B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B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B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B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B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B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BEB" w14:textId="77777777">
        <w:tc>
          <w:tcPr>
            <w:tcW w:w="0" w:type="auto"/>
            <w:gridSpan w:val="22"/>
            <w:shd w:val="clear" w:color="auto" w:fill="auto"/>
            <w:tcMar>
              <w:top w:w="40" w:type="dxa"/>
              <w:left w:w="40" w:type="dxa"/>
              <w:bottom w:w="40" w:type="dxa"/>
              <w:right w:w="40" w:type="dxa"/>
            </w:tcMar>
            <w:vAlign w:val="bottom"/>
          </w:tcPr>
          <w:p w14:paraId="5556DBE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Derivatives designated as net investment hedges:</w:t>
            </w:r>
          </w:p>
        </w:tc>
        <w:tc>
          <w:tcPr>
            <w:tcW w:w="0" w:type="auto"/>
            <w:shd w:val="clear" w:color="auto" w:fill="auto"/>
            <w:tcMar>
              <w:top w:w="40" w:type="dxa"/>
              <w:left w:w="40" w:type="dxa"/>
              <w:bottom w:w="40" w:type="dxa"/>
              <w:right w:w="40" w:type="dxa"/>
            </w:tcMar>
            <w:vAlign w:val="bottom"/>
          </w:tcPr>
          <w:p w14:paraId="5556DB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B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C06" w14:textId="77777777">
        <w:tc>
          <w:tcPr>
            <w:tcW w:w="0" w:type="auto"/>
            <w:shd w:val="clear" w:color="auto" w:fill="CCEEFF"/>
            <w:tcMar>
              <w:top w:w="40" w:type="dxa"/>
              <w:left w:w="40" w:type="dxa"/>
              <w:bottom w:w="40" w:type="dxa"/>
              <w:right w:w="40" w:type="dxa"/>
            </w:tcMar>
            <w:vAlign w:val="bottom"/>
          </w:tcPr>
          <w:p w14:paraId="5556DBEC"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exchange contracts</w:t>
            </w:r>
          </w:p>
        </w:tc>
        <w:tc>
          <w:tcPr>
            <w:tcW w:w="0" w:type="auto"/>
            <w:tcBorders>
              <w:bottom w:val="single" w:sz="8" w:space="0" w:color="000000"/>
            </w:tcBorders>
            <w:shd w:val="clear" w:color="auto" w:fill="CCEEFF"/>
            <w:tcMar>
              <w:top w:w="40" w:type="dxa"/>
              <w:left w:w="40" w:type="dxa"/>
              <w:bottom w:w="40" w:type="dxa"/>
            </w:tcMar>
            <w:vAlign w:val="bottom"/>
          </w:tcPr>
          <w:p w14:paraId="5556DBE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5556DBE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w:t>
            </w:r>
          </w:p>
        </w:tc>
        <w:tc>
          <w:tcPr>
            <w:tcW w:w="0" w:type="auto"/>
            <w:tcBorders>
              <w:bottom w:val="single" w:sz="8" w:space="0" w:color="000000"/>
            </w:tcBorders>
            <w:shd w:val="clear" w:color="auto" w:fill="CCEEFF"/>
            <w:vAlign w:val="bottom"/>
          </w:tcPr>
          <w:p w14:paraId="5556DBE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556DBF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tcMar>
              <w:top w:w="40" w:type="dxa"/>
              <w:bottom w:w="40" w:type="dxa"/>
            </w:tcMar>
            <w:vAlign w:val="bottom"/>
          </w:tcPr>
          <w:p w14:paraId="5556DBF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81</w:t>
            </w:r>
          </w:p>
        </w:tc>
        <w:tc>
          <w:tcPr>
            <w:tcW w:w="0" w:type="auto"/>
            <w:tcBorders>
              <w:bottom w:val="single" w:sz="8" w:space="0" w:color="000000"/>
            </w:tcBorders>
            <w:shd w:val="clear" w:color="auto" w:fill="CCEEFF"/>
            <w:vAlign w:val="bottom"/>
          </w:tcPr>
          <w:p w14:paraId="5556DBF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BF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BF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(160</w:t>
            </w:r>
          </w:p>
        </w:tc>
        <w:tc>
          <w:tcPr>
            <w:tcW w:w="0" w:type="auto"/>
            <w:shd w:val="clear" w:color="auto" w:fill="CCEEFF"/>
            <w:tcMar>
              <w:top w:w="40" w:type="dxa"/>
              <w:bottom w:w="40" w:type="dxa"/>
              <w:right w:w="40" w:type="dxa"/>
            </w:tcMar>
            <w:vAlign w:val="bottom"/>
          </w:tcPr>
          <w:p w14:paraId="5556DBF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B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BF9" w14:textId="77777777" w:rsidR="00F925DD" w:rsidRDefault="00E705D7">
            <w:pPr>
              <w:textAlignment w:val="bottom"/>
              <w:rPr>
                <w:rFonts w:ascii="Times New Roman" w:hAnsi="Times New Roman"/>
                <w:sz w:val="14"/>
                <w:szCs w:val="14"/>
              </w:rPr>
            </w:pPr>
            <w:r>
              <w:rPr>
                <w:rFonts w:ascii="Arial" w:eastAsia="宋体" w:hAnsi="Arial" w:cs="Arial"/>
                <w:sz w:val="14"/>
                <w:szCs w:val="14"/>
              </w:rPr>
              <w:t>Gains (Losses) related to investment securities, net</w:t>
            </w:r>
          </w:p>
        </w:tc>
        <w:tc>
          <w:tcPr>
            <w:tcW w:w="0" w:type="auto"/>
            <w:shd w:val="clear" w:color="auto" w:fill="CCEEFF"/>
            <w:tcMar>
              <w:top w:w="40" w:type="dxa"/>
              <w:left w:w="40" w:type="dxa"/>
              <w:bottom w:w="40" w:type="dxa"/>
              <w:right w:w="40" w:type="dxa"/>
            </w:tcMar>
            <w:vAlign w:val="bottom"/>
          </w:tcPr>
          <w:p w14:paraId="5556DB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556DBF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tcMar>
              <w:top w:w="40" w:type="dxa"/>
              <w:bottom w:w="40" w:type="dxa"/>
            </w:tcMar>
            <w:vAlign w:val="bottom"/>
          </w:tcPr>
          <w:p w14:paraId="5556DBF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DB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B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5556DBF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tcMar>
              <w:top w:w="40" w:type="dxa"/>
              <w:bottom w:w="40" w:type="dxa"/>
            </w:tcMar>
            <w:vAlign w:val="bottom"/>
          </w:tcPr>
          <w:p w14:paraId="5556DC0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5556DC0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C0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C0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C05" w14:textId="77777777" w:rsidR="00F925DD" w:rsidRDefault="00F925DD">
            <w:pPr>
              <w:textAlignment w:val="bottom"/>
              <w:rPr>
                <w:rFonts w:ascii="Times New Roman" w:hAnsi="Times New Roman"/>
                <w:sz w:val="20"/>
                <w:szCs w:val="20"/>
              </w:rPr>
            </w:pPr>
          </w:p>
        </w:tc>
      </w:tr>
      <w:tr w:rsidR="00F925DD" w14:paraId="5556DC1B" w14:textId="77777777">
        <w:tc>
          <w:tcPr>
            <w:tcW w:w="0" w:type="auto"/>
            <w:shd w:val="clear" w:color="auto" w:fill="auto"/>
            <w:tcMar>
              <w:top w:w="40" w:type="dxa"/>
              <w:left w:w="40" w:type="dxa"/>
              <w:bottom w:w="40" w:type="dxa"/>
              <w:right w:w="40" w:type="dxa"/>
            </w:tcMar>
            <w:vAlign w:val="bottom"/>
          </w:tcPr>
          <w:p w14:paraId="5556DC07"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derivatives designated as net investment hedges</w:t>
            </w:r>
          </w:p>
        </w:tc>
        <w:tc>
          <w:tcPr>
            <w:tcW w:w="0" w:type="auto"/>
            <w:gridSpan w:val="2"/>
            <w:shd w:val="clear" w:color="auto" w:fill="auto"/>
            <w:tcMar>
              <w:top w:w="40" w:type="dxa"/>
              <w:left w:w="40" w:type="dxa"/>
              <w:bottom w:w="40" w:type="dxa"/>
            </w:tcMar>
            <w:vAlign w:val="bottom"/>
          </w:tcPr>
          <w:p w14:paraId="5556DC0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w:t>
            </w:r>
          </w:p>
        </w:tc>
        <w:tc>
          <w:tcPr>
            <w:tcW w:w="0" w:type="auto"/>
            <w:shd w:val="clear" w:color="auto" w:fill="auto"/>
            <w:vAlign w:val="bottom"/>
          </w:tcPr>
          <w:p w14:paraId="5556DC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C0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81</w:t>
            </w:r>
          </w:p>
        </w:tc>
        <w:tc>
          <w:tcPr>
            <w:tcW w:w="0" w:type="auto"/>
            <w:shd w:val="clear" w:color="auto" w:fill="auto"/>
            <w:vAlign w:val="bottom"/>
          </w:tcPr>
          <w:p w14:paraId="5556DC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bottom"/>
          </w:tcPr>
          <w:p w14:paraId="5556DC0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DC0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C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C1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DC1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C1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5556DC1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DC1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single" w:sz="8" w:space="0" w:color="000000"/>
            </w:tcBorders>
            <w:shd w:val="clear" w:color="auto" w:fill="auto"/>
            <w:vAlign w:val="bottom"/>
          </w:tcPr>
          <w:p w14:paraId="5556DC1A" w14:textId="77777777" w:rsidR="00F925DD" w:rsidRDefault="00F925DD">
            <w:pPr>
              <w:textAlignment w:val="bottom"/>
              <w:rPr>
                <w:rFonts w:ascii="Times New Roman" w:hAnsi="Times New Roman"/>
                <w:sz w:val="20"/>
                <w:szCs w:val="20"/>
              </w:rPr>
            </w:pPr>
          </w:p>
        </w:tc>
      </w:tr>
      <w:tr w:rsidR="00F925DD" w14:paraId="5556DC2A" w14:textId="77777777">
        <w:tc>
          <w:tcPr>
            <w:tcW w:w="0" w:type="auto"/>
            <w:shd w:val="clear" w:color="auto" w:fill="auto"/>
            <w:tcMar>
              <w:top w:w="40" w:type="dxa"/>
              <w:left w:w="40" w:type="dxa"/>
              <w:bottom w:w="40" w:type="dxa"/>
              <w:right w:w="40" w:type="dxa"/>
            </w:tcMar>
            <w:vAlign w:val="bottom"/>
          </w:tcPr>
          <w:p w14:paraId="5556DC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DC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DC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C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DC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C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C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C45" w14:textId="77777777">
        <w:tc>
          <w:tcPr>
            <w:tcW w:w="0" w:type="auto"/>
            <w:shd w:val="clear" w:color="auto" w:fill="CCEEFF"/>
            <w:tcMar>
              <w:top w:w="40" w:type="dxa"/>
              <w:left w:w="40" w:type="dxa"/>
              <w:bottom w:w="40" w:type="dxa"/>
              <w:right w:w="40" w:type="dxa"/>
            </w:tcMar>
            <w:vAlign w:val="bottom"/>
          </w:tcPr>
          <w:p w14:paraId="5556DC2B"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bottom w:val="double" w:sz="6" w:space="0" w:color="000000"/>
            </w:tcBorders>
            <w:shd w:val="clear" w:color="auto" w:fill="CCEEFF"/>
            <w:tcMar>
              <w:top w:w="40" w:type="dxa"/>
              <w:left w:w="40" w:type="dxa"/>
              <w:bottom w:w="40" w:type="dxa"/>
            </w:tcMar>
            <w:vAlign w:val="bottom"/>
          </w:tcPr>
          <w:p w14:paraId="5556DC2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DC2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81</w:t>
            </w:r>
          </w:p>
        </w:tc>
        <w:tc>
          <w:tcPr>
            <w:tcW w:w="0" w:type="auto"/>
            <w:tcBorders>
              <w:bottom w:val="double" w:sz="6" w:space="0" w:color="000000"/>
            </w:tcBorders>
            <w:shd w:val="clear" w:color="auto" w:fill="CCEEFF"/>
            <w:vAlign w:val="bottom"/>
          </w:tcPr>
          <w:p w14:paraId="5556DC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DC3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DC3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57</w:t>
            </w:r>
          </w:p>
        </w:tc>
        <w:tc>
          <w:tcPr>
            <w:tcW w:w="0" w:type="auto"/>
            <w:tcBorders>
              <w:bottom w:val="double" w:sz="6" w:space="0" w:color="000000"/>
            </w:tcBorders>
            <w:shd w:val="clear" w:color="auto" w:fill="CCEEFF"/>
            <w:vAlign w:val="bottom"/>
          </w:tcPr>
          <w:p w14:paraId="5556DC3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DC3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DC3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(278</w:t>
            </w:r>
          </w:p>
        </w:tc>
        <w:tc>
          <w:tcPr>
            <w:tcW w:w="0" w:type="auto"/>
            <w:tcBorders>
              <w:bottom w:val="double" w:sz="6" w:space="0" w:color="000000"/>
            </w:tcBorders>
            <w:shd w:val="clear" w:color="auto" w:fill="CCEEFF"/>
            <w:tcMar>
              <w:top w:w="40" w:type="dxa"/>
              <w:bottom w:w="40" w:type="dxa"/>
              <w:right w:w="40" w:type="dxa"/>
            </w:tcMar>
            <w:vAlign w:val="bottom"/>
          </w:tcPr>
          <w:p w14:paraId="5556DC3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C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C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C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DC3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DC3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tcBorders>
              <w:bottom w:val="double" w:sz="6" w:space="0" w:color="000000"/>
            </w:tcBorders>
            <w:shd w:val="clear" w:color="auto" w:fill="CCEEFF"/>
            <w:vAlign w:val="bottom"/>
          </w:tcPr>
          <w:p w14:paraId="5556DC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DC3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DC3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w:t>
            </w:r>
          </w:p>
        </w:tc>
        <w:tc>
          <w:tcPr>
            <w:tcW w:w="0" w:type="auto"/>
            <w:tcBorders>
              <w:bottom w:val="double" w:sz="6" w:space="0" w:color="000000"/>
            </w:tcBorders>
            <w:shd w:val="clear" w:color="auto" w:fill="CCEEFF"/>
            <w:vAlign w:val="bottom"/>
          </w:tcPr>
          <w:p w14:paraId="5556DC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DC4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DC4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w:t>
            </w:r>
          </w:p>
        </w:tc>
        <w:tc>
          <w:tcPr>
            <w:tcW w:w="0" w:type="auto"/>
            <w:tcBorders>
              <w:bottom w:val="double" w:sz="6" w:space="0" w:color="000000"/>
            </w:tcBorders>
            <w:shd w:val="clear" w:color="auto" w:fill="CCEEFF"/>
            <w:vAlign w:val="bottom"/>
          </w:tcPr>
          <w:p w14:paraId="5556DC44" w14:textId="77777777" w:rsidR="00F925DD" w:rsidRDefault="00F925DD">
            <w:pPr>
              <w:textAlignment w:val="bottom"/>
              <w:rPr>
                <w:rFonts w:ascii="Times New Roman" w:hAnsi="Times New Roman"/>
                <w:sz w:val="20"/>
                <w:szCs w:val="20"/>
              </w:rPr>
            </w:pPr>
          </w:p>
        </w:tc>
      </w:tr>
    </w:tbl>
    <w:p w14:paraId="5556DC46" w14:textId="77777777" w:rsidR="00F925DD" w:rsidRDefault="00F925DD">
      <w:pPr>
        <w:spacing w:line="288" w:lineRule="auto"/>
        <w:jc w:val="both"/>
        <w:rPr>
          <w:rFonts w:ascii="Times New Roman" w:hAnsi="Times New Roman"/>
          <w:sz w:val="20"/>
          <w:szCs w:val="20"/>
        </w:rPr>
      </w:pPr>
    </w:p>
    <w:p w14:paraId="5556DC47" w14:textId="77777777" w:rsidR="00F925DD" w:rsidRDefault="00E705D7">
      <w:pPr>
        <w:spacing w:line="288" w:lineRule="auto"/>
        <w:jc w:val="both"/>
        <w:rPr>
          <w:rFonts w:ascii="Times New Roman" w:hAnsi="Times New Roman"/>
          <w:sz w:val="20"/>
          <w:szCs w:val="20"/>
        </w:rPr>
      </w:pPr>
      <w:r>
        <w:rPr>
          <w:rFonts w:ascii="Arial" w:eastAsia="宋体" w:hAnsi="Arial" w:cs="Arial"/>
          <w:b/>
          <w:bCs/>
          <w:i/>
          <w:iCs/>
          <w:sz w:val="20"/>
          <w:szCs w:val="20"/>
        </w:rPr>
        <w:t>Derivatives Netting and Credit Contingencies</w:t>
      </w:r>
    </w:p>
    <w:p w14:paraId="5556DC48"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Netting</w:t>
      </w:r>
    </w:p>
    <w:p w14:paraId="5556DC4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Derivatives receivable and payable as well as cash collateral from the same </w:t>
      </w:r>
      <w:r>
        <w:rPr>
          <w:rFonts w:ascii="Arial" w:eastAsia="宋体" w:hAnsi="Arial" w:cs="Arial"/>
          <w:sz w:val="20"/>
          <w:szCs w:val="20"/>
        </w:rPr>
        <w:t>counterparty are netted in the consolidated statement of condition for those counterparties with whom we have legally binding master netting agreements in place. In addition to cash collateral received and transferred presented on a net basis, we also rece</w:t>
      </w:r>
      <w:r>
        <w:rPr>
          <w:rFonts w:ascii="Arial" w:eastAsia="宋体" w:hAnsi="Arial" w:cs="Arial"/>
          <w:sz w:val="20"/>
          <w:szCs w:val="20"/>
        </w:rPr>
        <w:t>ive and transfer collateral in the form of securities, which mitigate credit risk but are not eligible for netting. Additional information on netting is provided in Note 11.</w:t>
      </w:r>
    </w:p>
    <w:p w14:paraId="5556DC4A"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 xml:space="preserve">Credit Contingencies </w:t>
      </w:r>
    </w:p>
    <w:p w14:paraId="5556DC4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Certain of our derivatives are subject to master </w:t>
      </w:r>
      <w:r>
        <w:rPr>
          <w:rFonts w:ascii="Arial" w:eastAsia="宋体" w:hAnsi="Arial" w:cs="Arial"/>
          <w:sz w:val="20"/>
          <w:szCs w:val="20"/>
        </w:rPr>
        <w:t>netting agreements with our derivative counterparties containing credit risk-related contingent features, which requires us to maintain an investment grade credit rating with the various credit rating agencies. If our rating falls below investment grade, w</w:t>
      </w:r>
      <w:r>
        <w:rPr>
          <w:rFonts w:ascii="Arial" w:eastAsia="宋体" w:hAnsi="Arial" w:cs="Arial"/>
          <w:sz w:val="20"/>
          <w:szCs w:val="20"/>
        </w:rPr>
        <w:t>e would be in violation of the provisions, and counterparties to the derivatives could request immediate payment or demand full overnight collateralization on derivatives instruments in net liability positions. The aggregate fair value of all derivatives w</w:t>
      </w:r>
      <w:r>
        <w:rPr>
          <w:rFonts w:ascii="Arial" w:eastAsia="宋体" w:hAnsi="Arial" w:cs="Arial"/>
          <w:sz w:val="20"/>
          <w:szCs w:val="20"/>
        </w:rPr>
        <w:t>ith credit contingent features and in a liability position as of December 31, 2019 totaled approximately $2.03 billion, against which we provided $0.71 billion of collateral in the normal course of business. If our credit related contingent features underl</w:t>
      </w:r>
      <w:r>
        <w:rPr>
          <w:rFonts w:ascii="Arial" w:eastAsia="宋体" w:hAnsi="Arial" w:cs="Arial"/>
          <w:sz w:val="20"/>
          <w:szCs w:val="20"/>
        </w:rPr>
        <w:t>ying these agreements were triggered as of December 31, 2019, the maximum additional collateral we would be required to post to our counterparties is approximately $1.32 billion.</w:t>
      </w:r>
    </w:p>
    <w:p w14:paraId="5556DC4C" w14:textId="77777777" w:rsidR="00F925DD" w:rsidRDefault="00F925DD">
      <w:pPr>
        <w:rPr>
          <w:rFonts w:ascii="Times New Roman" w:hAnsi="Times New Roman"/>
          <w:sz w:val="20"/>
          <w:szCs w:val="20"/>
        </w:rPr>
      </w:pPr>
    </w:p>
    <w:p w14:paraId="5556DC4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151</w:t>
      </w:r>
    </w:p>
    <w:p w14:paraId="5556DC4E" w14:textId="77777777" w:rsidR="00F925DD" w:rsidRDefault="00F925DD">
      <w:pPr>
        <w:spacing w:line="288" w:lineRule="auto"/>
        <w:ind w:firstLine="600"/>
        <w:jc w:val="center"/>
        <w:rPr>
          <w:rFonts w:ascii="Times New Roman" w:hAnsi="Times New Roman"/>
          <w:sz w:val="18"/>
          <w:szCs w:val="18"/>
        </w:rPr>
      </w:pPr>
    </w:p>
    <w:p w14:paraId="5556DC4F" w14:textId="77777777" w:rsidR="00F925DD" w:rsidRDefault="00E705D7">
      <w:r>
        <w:rPr>
          <w:rFonts w:ascii="Times New Roman" w:hAnsi="Times New Roman"/>
          <w:sz w:val="18"/>
          <w:szCs w:val="18"/>
        </w:rPr>
        <w:pict w14:anchorId="555706D1">
          <v:rect id="_x0000_i1175" style="width:415.3pt;height:1.5pt" o:hralign="center" o:hrstd="t" o:hr="t" fillcolor="#a0a0a0" stroked="f"/>
        </w:pict>
      </w:r>
    </w:p>
    <w:p w14:paraId="5556DC5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C5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w:t>
      </w:r>
      <w:r>
        <w:rPr>
          <w:rFonts w:ascii="Arial" w:eastAsia="宋体" w:hAnsi="Arial" w:cs="Arial"/>
          <w:b/>
          <w:bCs/>
          <w:sz w:val="20"/>
          <w:szCs w:val="20"/>
        </w:rPr>
        <w:t>ATED FINANCIAL STATEMENTS</w:t>
      </w:r>
    </w:p>
    <w:p w14:paraId="5556DC52" w14:textId="77777777" w:rsidR="00F925DD" w:rsidRDefault="00F925DD">
      <w:pPr>
        <w:rPr>
          <w:rFonts w:ascii="Times New Roman" w:hAnsi="Times New Roman"/>
          <w:sz w:val="20"/>
          <w:szCs w:val="20"/>
        </w:rPr>
      </w:pPr>
    </w:p>
    <w:p w14:paraId="5556DC53"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 xml:space="preserve">Note 11. Offsetting Arrangements </w:t>
      </w:r>
    </w:p>
    <w:p w14:paraId="5556DC5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Certain of our transactions are subject to master netting agreements that allow us to net receivables and payables by contract and settlement type. For those legally enforceable contracts, we net</w:t>
      </w:r>
      <w:r>
        <w:rPr>
          <w:rFonts w:ascii="Arial" w:eastAsia="宋体" w:hAnsi="Arial" w:cs="Arial"/>
          <w:sz w:val="20"/>
          <w:szCs w:val="20"/>
        </w:rPr>
        <w:t xml:space="preserve"> receivables and payables with the same counterparty on our statement of condition.</w:t>
      </w:r>
    </w:p>
    <w:p w14:paraId="5556DC5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addition to netting receivables and payables with our derivatives counterparty where a legal and enforceable netting arrangement exist, we also net related cash collater</w:t>
      </w:r>
      <w:r>
        <w:rPr>
          <w:rFonts w:ascii="Arial" w:eastAsia="宋体" w:hAnsi="Arial" w:cs="Arial"/>
          <w:sz w:val="20"/>
          <w:szCs w:val="20"/>
        </w:rPr>
        <w:t>al received and transferred up to the fair value exposure amount.</w:t>
      </w:r>
    </w:p>
    <w:p w14:paraId="5556DC5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With respect to our securities financing arrangements, we net balances outstanding on our consolidated statement of condition for those transactions that met the netting requirements and wer</w:t>
      </w:r>
      <w:r>
        <w:rPr>
          <w:rFonts w:ascii="Arial" w:eastAsia="宋体" w:hAnsi="Arial" w:cs="Arial"/>
          <w:sz w:val="20"/>
          <w:szCs w:val="20"/>
        </w:rPr>
        <w:t>e transacted under a legally enforceable netting arrangement with the counterparty.</w:t>
      </w:r>
    </w:p>
    <w:p w14:paraId="5556DC5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Securities received as collateral under securities financing or derivatives transactions can be transferred as collateral in many instances. The securities received as proc</w:t>
      </w:r>
      <w:r>
        <w:rPr>
          <w:rFonts w:ascii="Arial" w:eastAsia="宋体" w:hAnsi="Arial" w:cs="Arial"/>
          <w:sz w:val="20"/>
          <w:szCs w:val="20"/>
        </w:rPr>
        <w:t>eeds under secured lending transactions are recorded at a value that approximates fair value in other assets in our consolidated statement of condition with a related liability to return the collateral, if we have the right to transfer or re-pledge the col</w:t>
      </w:r>
      <w:r>
        <w:rPr>
          <w:rFonts w:ascii="Arial" w:eastAsia="宋体" w:hAnsi="Arial" w:cs="Arial"/>
          <w:sz w:val="20"/>
          <w:szCs w:val="20"/>
        </w:rPr>
        <w:t>lateral.</w:t>
      </w:r>
    </w:p>
    <w:p w14:paraId="5556DC5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and December 31, 2018, the value of securities received as collateral from third parties where we are permitted to transfer or re-pledge the securities totaled $10.09 billion and $11.69 billion, respectively, and the fair v</w:t>
      </w:r>
      <w:r>
        <w:rPr>
          <w:rFonts w:ascii="Arial" w:eastAsia="宋体" w:hAnsi="Arial" w:cs="Arial"/>
          <w:sz w:val="20"/>
          <w:szCs w:val="20"/>
        </w:rPr>
        <w:t xml:space="preserve">alue of the portion that had been transferred or re-pledged as of the same dates was $5.72 billion and $5.31 million, respectively. </w:t>
      </w:r>
    </w:p>
    <w:p w14:paraId="5556DC5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tables present information about the offsetting of assets related to derivative contracts and secured financi</w:t>
      </w:r>
      <w:r>
        <w:rPr>
          <w:rFonts w:ascii="Arial" w:eastAsia="宋体" w:hAnsi="Arial" w:cs="Arial"/>
          <w:sz w:val="20"/>
          <w:szCs w:val="20"/>
        </w:rPr>
        <w:t>ng transactions, as of the dates indicated:</w:t>
      </w:r>
    </w:p>
    <w:tbl>
      <w:tblPr>
        <w:tblW w:w="5000" w:type="pct"/>
        <w:tblCellMar>
          <w:left w:w="0" w:type="dxa"/>
          <w:right w:w="0" w:type="dxa"/>
        </w:tblCellMar>
        <w:tblLook w:val="04A0" w:firstRow="1" w:lastRow="0" w:firstColumn="1" w:lastColumn="0" w:noHBand="0" w:noVBand="1"/>
      </w:tblPr>
      <w:tblGrid>
        <w:gridCol w:w="2264"/>
        <w:gridCol w:w="125"/>
        <w:gridCol w:w="852"/>
        <w:gridCol w:w="72"/>
        <w:gridCol w:w="130"/>
        <w:gridCol w:w="125"/>
        <w:gridCol w:w="886"/>
        <w:gridCol w:w="90"/>
        <w:gridCol w:w="130"/>
        <w:gridCol w:w="125"/>
        <w:gridCol w:w="1102"/>
        <w:gridCol w:w="90"/>
        <w:gridCol w:w="130"/>
        <w:gridCol w:w="125"/>
        <w:gridCol w:w="936"/>
        <w:gridCol w:w="91"/>
        <w:gridCol w:w="130"/>
        <w:gridCol w:w="125"/>
        <w:gridCol w:w="687"/>
        <w:gridCol w:w="91"/>
      </w:tblGrid>
      <w:tr w:rsidR="00F925DD" w14:paraId="5556DC5B" w14:textId="77777777">
        <w:tc>
          <w:tcPr>
            <w:tcW w:w="0" w:type="auto"/>
            <w:gridSpan w:val="20"/>
            <w:shd w:val="clear" w:color="auto" w:fill="auto"/>
            <w:vAlign w:val="center"/>
          </w:tcPr>
          <w:p w14:paraId="5556DC5A" w14:textId="77777777" w:rsidR="00F925DD" w:rsidRDefault="00F925DD">
            <w:pPr>
              <w:rPr>
                <w:rFonts w:ascii="Times New Roman" w:hAnsi="Times New Roman"/>
                <w:sz w:val="20"/>
                <w:szCs w:val="20"/>
              </w:rPr>
            </w:pPr>
          </w:p>
        </w:tc>
      </w:tr>
      <w:tr w:rsidR="00F925DD" w14:paraId="5556DC70" w14:textId="77777777">
        <w:tc>
          <w:tcPr>
            <w:tcW w:w="1400" w:type="pct"/>
            <w:shd w:val="clear" w:color="auto" w:fill="auto"/>
            <w:vAlign w:val="center"/>
          </w:tcPr>
          <w:p w14:paraId="5556DC5C" w14:textId="77777777" w:rsidR="00F925DD" w:rsidRDefault="00F925DD">
            <w:pPr>
              <w:rPr>
                <w:rFonts w:ascii="Times New Roman" w:hAnsi="Times New Roman"/>
                <w:sz w:val="20"/>
                <w:szCs w:val="20"/>
              </w:rPr>
            </w:pPr>
          </w:p>
        </w:tc>
        <w:tc>
          <w:tcPr>
            <w:tcW w:w="50" w:type="pct"/>
            <w:shd w:val="clear" w:color="auto" w:fill="auto"/>
            <w:vAlign w:val="center"/>
          </w:tcPr>
          <w:p w14:paraId="5556DC5D" w14:textId="77777777" w:rsidR="00F925DD" w:rsidRDefault="00F925DD">
            <w:pPr>
              <w:rPr>
                <w:rFonts w:ascii="Times New Roman" w:hAnsi="Times New Roman"/>
                <w:sz w:val="20"/>
                <w:szCs w:val="20"/>
              </w:rPr>
            </w:pPr>
          </w:p>
        </w:tc>
        <w:tc>
          <w:tcPr>
            <w:tcW w:w="550" w:type="pct"/>
            <w:shd w:val="clear" w:color="auto" w:fill="auto"/>
            <w:vAlign w:val="center"/>
          </w:tcPr>
          <w:p w14:paraId="5556DC5E" w14:textId="77777777" w:rsidR="00F925DD" w:rsidRDefault="00F925DD">
            <w:pPr>
              <w:rPr>
                <w:rFonts w:ascii="Times New Roman" w:hAnsi="Times New Roman"/>
                <w:sz w:val="20"/>
                <w:szCs w:val="20"/>
              </w:rPr>
            </w:pPr>
          </w:p>
        </w:tc>
        <w:tc>
          <w:tcPr>
            <w:tcW w:w="50" w:type="pct"/>
            <w:shd w:val="clear" w:color="auto" w:fill="auto"/>
            <w:vAlign w:val="center"/>
          </w:tcPr>
          <w:p w14:paraId="5556DC5F" w14:textId="77777777" w:rsidR="00F925DD" w:rsidRDefault="00F925DD">
            <w:pPr>
              <w:rPr>
                <w:rFonts w:ascii="Times New Roman" w:hAnsi="Times New Roman"/>
                <w:sz w:val="20"/>
                <w:szCs w:val="20"/>
              </w:rPr>
            </w:pPr>
          </w:p>
        </w:tc>
        <w:tc>
          <w:tcPr>
            <w:tcW w:w="50" w:type="pct"/>
            <w:shd w:val="clear" w:color="auto" w:fill="auto"/>
            <w:vAlign w:val="center"/>
          </w:tcPr>
          <w:p w14:paraId="5556DC60" w14:textId="77777777" w:rsidR="00F925DD" w:rsidRDefault="00F925DD">
            <w:pPr>
              <w:rPr>
                <w:rFonts w:ascii="Times New Roman" w:hAnsi="Times New Roman"/>
                <w:sz w:val="20"/>
                <w:szCs w:val="20"/>
              </w:rPr>
            </w:pPr>
          </w:p>
        </w:tc>
        <w:tc>
          <w:tcPr>
            <w:tcW w:w="50" w:type="pct"/>
            <w:shd w:val="clear" w:color="auto" w:fill="auto"/>
            <w:vAlign w:val="center"/>
          </w:tcPr>
          <w:p w14:paraId="5556DC61" w14:textId="77777777" w:rsidR="00F925DD" w:rsidRDefault="00F925DD">
            <w:pPr>
              <w:rPr>
                <w:rFonts w:ascii="Times New Roman" w:hAnsi="Times New Roman"/>
                <w:sz w:val="20"/>
                <w:szCs w:val="20"/>
              </w:rPr>
            </w:pPr>
          </w:p>
        </w:tc>
        <w:tc>
          <w:tcPr>
            <w:tcW w:w="600" w:type="pct"/>
            <w:shd w:val="clear" w:color="auto" w:fill="auto"/>
            <w:vAlign w:val="center"/>
          </w:tcPr>
          <w:p w14:paraId="5556DC62" w14:textId="77777777" w:rsidR="00F925DD" w:rsidRDefault="00F925DD">
            <w:pPr>
              <w:rPr>
                <w:rFonts w:ascii="Times New Roman" w:hAnsi="Times New Roman"/>
                <w:sz w:val="20"/>
                <w:szCs w:val="20"/>
              </w:rPr>
            </w:pPr>
          </w:p>
        </w:tc>
        <w:tc>
          <w:tcPr>
            <w:tcW w:w="50" w:type="pct"/>
            <w:shd w:val="clear" w:color="auto" w:fill="auto"/>
            <w:vAlign w:val="center"/>
          </w:tcPr>
          <w:p w14:paraId="5556DC63" w14:textId="77777777" w:rsidR="00F925DD" w:rsidRDefault="00F925DD">
            <w:pPr>
              <w:rPr>
                <w:rFonts w:ascii="Times New Roman" w:hAnsi="Times New Roman"/>
                <w:sz w:val="20"/>
                <w:szCs w:val="20"/>
              </w:rPr>
            </w:pPr>
          </w:p>
        </w:tc>
        <w:tc>
          <w:tcPr>
            <w:tcW w:w="50" w:type="pct"/>
            <w:shd w:val="clear" w:color="auto" w:fill="auto"/>
            <w:vAlign w:val="center"/>
          </w:tcPr>
          <w:p w14:paraId="5556DC64" w14:textId="77777777" w:rsidR="00F925DD" w:rsidRDefault="00F925DD">
            <w:pPr>
              <w:rPr>
                <w:rFonts w:ascii="Times New Roman" w:hAnsi="Times New Roman"/>
                <w:sz w:val="20"/>
                <w:szCs w:val="20"/>
              </w:rPr>
            </w:pPr>
          </w:p>
        </w:tc>
        <w:tc>
          <w:tcPr>
            <w:tcW w:w="50" w:type="pct"/>
            <w:shd w:val="clear" w:color="auto" w:fill="auto"/>
            <w:vAlign w:val="center"/>
          </w:tcPr>
          <w:p w14:paraId="5556DC65" w14:textId="77777777" w:rsidR="00F925DD" w:rsidRDefault="00F925DD">
            <w:pPr>
              <w:rPr>
                <w:rFonts w:ascii="Times New Roman" w:hAnsi="Times New Roman"/>
                <w:sz w:val="20"/>
                <w:szCs w:val="20"/>
              </w:rPr>
            </w:pPr>
          </w:p>
        </w:tc>
        <w:tc>
          <w:tcPr>
            <w:tcW w:w="700" w:type="pct"/>
            <w:shd w:val="clear" w:color="auto" w:fill="auto"/>
            <w:vAlign w:val="center"/>
          </w:tcPr>
          <w:p w14:paraId="5556DC66" w14:textId="77777777" w:rsidR="00F925DD" w:rsidRDefault="00F925DD">
            <w:pPr>
              <w:rPr>
                <w:rFonts w:ascii="Times New Roman" w:hAnsi="Times New Roman"/>
                <w:sz w:val="20"/>
                <w:szCs w:val="20"/>
              </w:rPr>
            </w:pPr>
          </w:p>
        </w:tc>
        <w:tc>
          <w:tcPr>
            <w:tcW w:w="50" w:type="pct"/>
            <w:shd w:val="clear" w:color="auto" w:fill="auto"/>
            <w:vAlign w:val="center"/>
          </w:tcPr>
          <w:p w14:paraId="5556DC67" w14:textId="77777777" w:rsidR="00F925DD" w:rsidRDefault="00F925DD">
            <w:pPr>
              <w:rPr>
                <w:rFonts w:ascii="Times New Roman" w:hAnsi="Times New Roman"/>
                <w:sz w:val="20"/>
                <w:szCs w:val="20"/>
              </w:rPr>
            </w:pPr>
          </w:p>
        </w:tc>
        <w:tc>
          <w:tcPr>
            <w:tcW w:w="50" w:type="pct"/>
            <w:shd w:val="clear" w:color="auto" w:fill="auto"/>
            <w:vAlign w:val="center"/>
          </w:tcPr>
          <w:p w14:paraId="5556DC68" w14:textId="77777777" w:rsidR="00F925DD" w:rsidRDefault="00F925DD">
            <w:pPr>
              <w:rPr>
                <w:rFonts w:ascii="Times New Roman" w:hAnsi="Times New Roman"/>
                <w:sz w:val="20"/>
                <w:szCs w:val="20"/>
              </w:rPr>
            </w:pPr>
          </w:p>
        </w:tc>
        <w:tc>
          <w:tcPr>
            <w:tcW w:w="50" w:type="pct"/>
            <w:shd w:val="clear" w:color="auto" w:fill="auto"/>
            <w:vAlign w:val="center"/>
          </w:tcPr>
          <w:p w14:paraId="5556DC69" w14:textId="77777777" w:rsidR="00F925DD" w:rsidRDefault="00F925DD">
            <w:pPr>
              <w:rPr>
                <w:rFonts w:ascii="Times New Roman" w:hAnsi="Times New Roman"/>
                <w:sz w:val="20"/>
                <w:szCs w:val="20"/>
              </w:rPr>
            </w:pPr>
          </w:p>
        </w:tc>
        <w:tc>
          <w:tcPr>
            <w:tcW w:w="600" w:type="pct"/>
            <w:shd w:val="clear" w:color="auto" w:fill="auto"/>
            <w:vAlign w:val="center"/>
          </w:tcPr>
          <w:p w14:paraId="5556DC6A" w14:textId="77777777" w:rsidR="00F925DD" w:rsidRDefault="00F925DD">
            <w:pPr>
              <w:rPr>
                <w:rFonts w:ascii="Times New Roman" w:hAnsi="Times New Roman"/>
                <w:sz w:val="20"/>
                <w:szCs w:val="20"/>
              </w:rPr>
            </w:pPr>
          </w:p>
        </w:tc>
        <w:tc>
          <w:tcPr>
            <w:tcW w:w="50" w:type="pct"/>
            <w:shd w:val="clear" w:color="auto" w:fill="auto"/>
            <w:vAlign w:val="center"/>
          </w:tcPr>
          <w:p w14:paraId="5556DC6B" w14:textId="77777777" w:rsidR="00F925DD" w:rsidRDefault="00F925DD">
            <w:pPr>
              <w:rPr>
                <w:rFonts w:ascii="Times New Roman" w:hAnsi="Times New Roman"/>
                <w:sz w:val="20"/>
                <w:szCs w:val="20"/>
              </w:rPr>
            </w:pPr>
          </w:p>
        </w:tc>
        <w:tc>
          <w:tcPr>
            <w:tcW w:w="50" w:type="pct"/>
            <w:shd w:val="clear" w:color="auto" w:fill="auto"/>
            <w:vAlign w:val="center"/>
          </w:tcPr>
          <w:p w14:paraId="5556DC6C" w14:textId="77777777" w:rsidR="00F925DD" w:rsidRDefault="00F925DD">
            <w:pPr>
              <w:rPr>
                <w:rFonts w:ascii="Times New Roman" w:hAnsi="Times New Roman"/>
                <w:sz w:val="20"/>
                <w:szCs w:val="20"/>
              </w:rPr>
            </w:pPr>
          </w:p>
        </w:tc>
        <w:tc>
          <w:tcPr>
            <w:tcW w:w="50" w:type="pct"/>
            <w:shd w:val="clear" w:color="auto" w:fill="auto"/>
            <w:vAlign w:val="center"/>
          </w:tcPr>
          <w:p w14:paraId="5556DC6D" w14:textId="77777777" w:rsidR="00F925DD" w:rsidRDefault="00F925DD">
            <w:pPr>
              <w:rPr>
                <w:rFonts w:ascii="Times New Roman" w:hAnsi="Times New Roman"/>
                <w:sz w:val="20"/>
                <w:szCs w:val="20"/>
              </w:rPr>
            </w:pPr>
          </w:p>
        </w:tc>
        <w:tc>
          <w:tcPr>
            <w:tcW w:w="450" w:type="pct"/>
            <w:shd w:val="clear" w:color="auto" w:fill="auto"/>
            <w:vAlign w:val="center"/>
          </w:tcPr>
          <w:p w14:paraId="5556DC6E" w14:textId="77777777" w:rsidR="00F925DD" w:rsidRDefault="00F925DD">
            <w:pPr>
              <w:rPr>
                <w:rFonts w:ascii="Times New Roman" w:hAnsi="Times New Roman"/>
                <w:sz w:val="20"/>
                <w:szCs w:val="20"/>
              </w:rPr>
            </w:pPr>
          </w:p>
        </w:tc>
        <w:tc>
          <w:tcPr>
            <w:tcW w:w="50" w:type="pct"/>
            <w:shd w:val="clear" w:color="auto" w:fill="auto"/>
            <w:vAlign w:val="center"/>
          </w:tcPr>
          <w:p w14:paraId="5556DC6F" w14:textId="77777777" w:rsidR="00F925DD" w:rsidRDefault="00F925DD">
            <w:pPr>
              <w:rPr>
                <w:rFonts w:ascii="Times New Roman" w:hAnsi="Times New Roman"/>
                <w:sz w:val="20"/>
                <w:szCs w:val="20"/>
              </w:rPr>
            </w:pPr>
          </w:p>
        </w:tc>
      </w:tr>
      <w:tr w:rsidR="00F925DD" w14:paraId="5556DC73" w14:textId="77777777">
        <w:tc>
          <w:tcPr>
            <w:tcW w:w="0" w:type="auto"/>
            <w:shd w:val="clear" w:color="auto" w:fill="auto"/>
            <w:tcMar>
              <w:top w:w="40" w:type="dxa"/>
              <w:left w:w="40" w:type="dxa"/>
              <w:bottom w:w="40" w:type="dxa"/>
              <w:right w:w="40" w:type="dxa"/>
            </w:tcMar>
            <w:vAlign w:val="bottom"/>
          </w:tcPr>
          <w:p w14:paraId="5556DC7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Assets:</w:t>
            </w:r>
          </w:p>
        </w:tc>
        <w:tc>
          <w:tcPr>
            <w:tcW w:w="0" w:type="auto"/>
            <w:gridSpan w:val="19"/>
            <w:tcBorders>
              <w:bottom w:val="single" w:sz="8" w:space="0" w:color="000000"/>
            </w:tcBorders>
            <w:shd w:val="clear" w:color="auto" w:fill="auto"/>
            <w:tcMar>
              <w:top w:w="40" w:type="dxa"/>
              <w:left w:w="40" w:type="dxa"/>
              <w:bottom w:w="40" w:type="dxa"/>
            </w:tcMar>
            <w:vAlign w:val="bottom"/>
          </w:tcPr>
          <w:p w14:paraId="5556DC7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r>
      <w:tr w:rsidR="00F925DD" w14:paraId="5556DC7D" w14:textId="77777777">
        <w:tc>
          <w:tcPr>
            <w:tcW w:w="0" w:type="auto"/>
            <w:shd w:val="clear" w:color="auto" w:fill="auto"/>
            <w:tcMar>
              <w:top w:w="40" w:type="dxa"/>
              <w:left w:w="40" w:type="dxa"/>
              <w:bottom w:w="40" w:type="dxa"/>
              <w:right w:w="40" w:type="dxa"/>
            </w:tcMar>
            <w:vAlign w:val="bottom"/>
          </w:tcPr>
          <w:p w14:paraId="5556DC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C7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Gross Amounts of Recognized </w:t>
            </w:r>
          </w:p>
          <w:p w14:paraId="5556DC7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Assets(1)(2)</w:t>
            </w:r>
          </w:p>
        </w:tc>
        <w:tc>
          <w:tcPr>
            <w:tcW w:w="0" w:type="auto"/>
            <w:shd w:val="clear" w:color="auto" w:fill="auto"/>
            <w:tcMar>
              <w:top w:w="40" w:type="dxa"/>
              <w:left w:w="40" w:type="dxa"/>
              <w:bottom w:w="40" w:type="dxa"/>
              <w:right w:w="40" w:type="dxa"/>
            </w:tcMar>
            <w:vAlign w:val="bottom"/>
          </w:tcPr>
          <w:p w14:paraId="5556DC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C7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 Amounts Offset in Statement of Condition(3)</w:t>
            </w:r>
          </w:p>
        </w:tc>
        <w:tc>
          <w:tcPr>
            <w:tcW w:w="0" w:type="auto"/>
            <w:shd w:val="clear" w:color="auto" w:fill="auto"/>
            <w:tcMar>
              <w:top w:w="40" w:type="dxa"/>
              <w:left w:w="40" w:type="dxa"/>
              <w:bottom w:w="40" w:type="dxa"/>
              <w:right w:w="40" w:type="dxa"/>
            </w:tcMar>
            <w:vAlign w:val="bottom"/>
          </w:tcPr>
          <w:p w14:paraId="5556DC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C7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Net Amounts of Assets Presented in Statement of </w:t>
            </w:r>
            <w:r>
              <w:rPr>
                <w:rFonts w:ascii="Arial" w:eastAsia="宋体" w:hAnsi="Arial" w:cs="Arial"/>
                <w:b/>
                <w:bCs/>
                <w:sz w:val="15"/>
                <w:szCs w:val="15"/>
              </w:rPr>
              <w:t>Condition</w:t>
            </w:r>
          </w:p>
        </w:tc>
        <w:tc>
          <w:tcPr>
            <w:tcW w:w="0" w:type="auto"/>
            <w:shd w:val="clear" w:color="auto" w:fill="auto"/>
            <w:tcMar>
              <w:top w:w="40" w:type="dxa"/>
              <w:left w:w="40" w:type="dxa"/>
              <w:bottom w:w="40" w:type="dxa"/>
              <w:right w:w="40" w:type="dxa"/>
            </w:tcMar>
            <w:vAlign w:val="bottom"/>
          </w:tcPr>
          <w:p w14:paraId="5556DC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C7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 Amounts Not Offset in Statement of Condition</w:t>
            </w:r>
          </w:p>
        </w:tc>
      </w:tr>
      <w:tr w:rsidR="00F925DD" w14:paraId="5556DC88" w14:textId="77777777">
        <w:tc>
          <w:tcPr>
            <w:tcW w:w="0" w:type="auto"/>
            <w:shd w:val="clear" w:color="auto" w:fill="auto"/>
            <w:tcMar>
              <w:top w:w="40" w:type="dxa"/>
              <w:left w:w="40" w:type="dxa"/>
              <w:bottom w:w="40" w:type="dxa"/>
              <w:right w:w="40" w:type="dxa"/>
            </w:tcMar>
            <w:vAlign w:val="bottom"/>
          </w:tcPr>
          <w:p w14:paraId="5556DC7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C7F"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C81"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C83"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C8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Cash and Securities Received(4)</w:t>
            </w:r>
          </w:p>
        </w:tc>
        <w:tc>
          <w:tcPr>
            <w:tcW w:w="0" w:type="auto"/>
            <w:tcBorders>
              <w:top w:val="single" w:sz="8" w:space="0" w:color="000000"/>
            </w:tcBorders>
            <w:shd w:val="clear" w:color="auto" w:fill="auto"/>
            <w:tcMar>
              <w:top w:w="40" w:type="dxa"/>
              <w:left w:w="40" w:type="dxa"/>
              <w:bottom w:w="40" w:type="dxa"/>
              <w:right w:w="40" w:type="dxa"/>
            </w:tcMar>
            <w:vAlign w:val="bottom"/>
          </w:tcPr>
          <w:p w14:paraId="5556DC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C8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Net Amount(5)</w:t>
            </w:r>
          </w:p>
        </w:tc>
      </w:tr>
      <w:tr w:rsidR="00F925DD" w14:paraId="5556DC90" w14:textId="77777777">
        <w:tc>
          <w:tcPr>
            <w:tcW w:w="0" w:type="auto"/>
            <w:gridSpan w:val="8"/>
            <w:shd w:val="clear" w:color="auto" w:fill="auto"/>
            <w:tcMar>
              <w:top w:w="40" w:type="dxa"/>
              <w:left w:w="40" w:type="dxa"/>
              <w:bottom w:w="40" w:type="dxa"/>
              <w:right w:w="40" w:type="dxa"/>
            </w:tcMar>
            <w:vAlign w:val="bottom"/>
          </w:tcPr>
          <w:p w14:paraId="5556DC8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Derivatives:</w:t>
            </w:r>
          </w:p>
        </w:tc>
        <w:tc>
          <w:tcPr>
            <w:tcW w:w="0" w:type="auto"/>
            <w:shd w:val="clear" w:color="auto" w:fill="auto"/>
            <w:tcMar>
              <w:top w:w="40" w:type="dxa"/>
              <w:left w:w="40" w:type="dxa"/>
              <w:bottom w:w="40" w:type="dxa"/>
              <w:right w:w="40" w:type="dxa"/>
            </w:tcMar>
            <w:vAlign w:val="bottom"/>
          </w:tcPr>
          <w:p w14:paraId="5556DC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C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C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C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C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CA5" w14:textId="77777777">
        <w:tc>
          <w:tcPr>
            <w:tcW w:w="0" w:type="auto"/>
            <w:shd w:val="clear" w:color="auto" w:fill="CCEEFF"/>
            <w:tcMar>
              <w:top w:w="40" w:type="dxa"/>
              <w:left w:w="40" w:type="dxa"/>
              <w:bottom w:w="40" w:type="dxa"/>
              <w:right w:w="40" w:type="dxa"/>
            </w:tcMar>
            <w:vAlign w:val="bottom"/>
          </w:tcPr>
          <w:p w14:paraId="5556DC91"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shd w:val="clear" w:color="auto" w:fill="CCEEFF"/>
            <w:tcMar>
              <w:top w:w="40" w:type="dxa"/>
              <w:left w:w="40" w:type="dxa"/>
              <w:bottom w:w="40" w:type="dxa"/>
            </w:tcMar>
            <w:vAlign w:val="bottom"/>
          </w:tcPr>
          <w:p w14:paraId="5556DC9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C9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15,140</w:t>
            </w:r>
          </w:p>
        </w:tc>
        <w:tc>
          <w:tcPr>
            <w:tcW w:w="0" w:type="auto"/>
            <w:shd w:val="clear" w:color="auto" w:fill="CCEEFF"/>
            <w:vAlign w:val="bottom"/>
          </w:tcPr>
          <w:p w14:paraId="5556DC9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C9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C9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(8,081</w:t>
            </w:r>
          </w:p>
        </w:tc>
        <w:tc>
          <w:tcPr>
            <w:tcW w:w="0" w:type="auto"/>
            <w:shd w:val="clear" w:color="auto" w:fill="CCEEFF"/>
            <w:tcMar>
              <w:top w:w="40" w:type="dxa"/>
              <w:bottom w:w="40" w:type="dxa"/>
              <w:right w:w="40" w:type="dxa"/>
            </w:tcMar>
            <w:vAlign w:val="bottom"/>
          </w:tcPr>
          <w:p w14:paraId="5556DC9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C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C9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C9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7,059</w:t>
            </w:r>
          </w:p>
        </w:tc>
        <w:tc>
          <w:tcPr>
            <w:tcW w:w="0" w:type="auto"/>
            <w:shd w:val="clear" w:color="auto" w:fill="CCEEFF"/>
            <w:vAlign w:val="bottom"/>
          </w:tcPr>
          <w:p w14:paraId="5556DC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C9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C9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DC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CA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CA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7,059</w:t>
            </w:r>
          </w:p>
        </w:tc>
        <w:tc>
          <w:tcPr>
            <w:tcW w:w="0" w:type="auto"/>
            <w:shd w:val="clear" w:color="auto" w:fill="CCEEFF"/>
            <w:vAlign w:val="bottom"/>
          </w:tcPr>
          <w:p w14:paraId="5556DCA4" w14:textId="77777777" w:rsidR="00F925DD" w:rsidRDefault="00F925DD">
            <w:pPr>
              <w:textAlignment w:val="bottom"/>
              <w:rPr>
                <w:rFonts w:ascii="Times New Roman" w:hAnsi="Times New Roman"/>
                <w:sz w:val="20"/>
                <w:szCs w:val="20"/>
              </w:rPr>
            </w:pPr>
          </w:p>
        </w:tc>
      </w:tr>
      <w:tr w:rsidR="00F925DD" w14:paraId="5556DCB5" w14:textId="77777777">
        <w:tc>
          <w:tcPr>
            <w:tcW w:w="0" w:type="auto"/>
            <w:shd w:val="clear" w:color="auto" w:fill="auto"/>
            <w:tcMar>
              <w:top w:w="40" w:type="dxa"/>
              <w:left w:w="40" w:type="dxa"/>
              <w:bottom w:w="40" w:type="dxa"/>
              <w:right w:w="40" w:type="dxa"/>
            </w:tcMar>
            <w:vAlign w:val="bottom"/>
          </w:tcPr>
          <w:p w14:paraId="5556DCA6"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rate contracts(6)</w:t>
            </w:r>
          </w:p>
        </w:tc>
        <w:tc>
          <w:tcPr>
            <w:tcW w:w="0" w:type="auto"/>
            <w:gridSpan w:val="2"/>
            <w:shd w:val="clear" w:color="auto" w:fill="auto"/>
            <w:tcMar>
              <w:top w:w="40" w:type="dxa"/>
              <w:left w:w="40" w:type="dxa"/>
              <w:bottom w:w="40" w:type="dxa"/>
            </w:tcMar>
            <w:vAlign w:val="bottom"/>
          </w:tcPr>
          <w:p w14:paraId="5556DCA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w:t>
            </w:r>
          </w:p>
        </w:tc>
        <w:tc>
          <w:tcPr>
            <w:tcW w:w="0" w:type="auto"/>
            <w:shd w:val="clear" w:color="auto" w:fill="auto"/>
            <w:vAlign w:val="bottom"/>
          </w:tcPr>
          <w:p w14:paraId="5556DCA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CA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auto"/>
            <w:tcMar>
              <w:top w:w="40" w:type="dxa"/>
              <w:bottom w:w="40" w:type="dxa"/>
              <w:right w:w="40" w:type="dxa"/>
            </w:tcMar>
            <w:vAlign w:val="bottom"/>
          </w:tcPr>
          <w:p w14:paraId="5556DCA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C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CA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auto"/>
            <w:vAlign w:val="bottom"/>
          </w:tcPr>
          <w:p w14:paraId="5556DCA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CB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DCB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CB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auto"/>
            <w:vAlign w:val="bottom"/>
          </w:tcPr>
          <w:p w14:paraId="5556DCB4" w14:textId="77777777" w:rsidR="00F925DD" w:rsidRDefault="00F925DD">
            <w:pPr>
              <w:textAlignment w:val="bottom"/>
              <w:rPr>
                <w:rFonts w:ascii="Times New Roman" w:hAnsi="Times New Roman"/>
                <w:sz w:val="20"/>
                <w:szCs w:val="20"/>
              </w:rPr>
            </w:pPr>
          </w:p>
        </w:tc>
      </w:tr>
      <w:tr w:rsidR="00F925DD" w14:paraId="5556DCC5" w14:textId="77777777">
        <w:tc>
          <w:tcPr>
            <w:tcW w:w="0" w:type="auto"/>
            <w:shd w:val="clear" w:color="auto" w:fill="CCEEFF"/>
            <w:tcMar>
              <w:top w:w="40" w:type="dxa"/>
              <w:left w:w="40" w:type="dxa"/>
              <w:bottom w:w="40" w:type="dxa"/>
              <w:right w:w="40" w:type="dxa"/>
            </w:tcMar>
            <w:vAlign w:val="bottom"/>
          </w:tcPr>
          <w:p w14:paraId="5556DCB6" w14:textId="77777777" w:rsidR="00F925DD" w:rsidRDefault="00E705D7">
            <w:pPr>
              <w:textAlignment w:val="bottom"/>
              <w:rPr>
                <w:rFonts w:ascii="Times New Roman" w:hAnsi="Times New Roman"/>
                <w:sz w:val="15"/>
                <w:szCs w:val="15"/>
              </w:rPr>
            </w:pPr>
            <w:r>
              <w:rPr>
                <w:rFonts w:ascii="Arial" w:eastAsia="宋体" w:hAnsi="Arial" w:cs="Arial"/>
                <w:sz w:val="15"/>
                <w:szCs w:val="15"/>
              </w:rPr>
              <w:t>Cash collateral and securities netting</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CB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NA</w:t>
            </w:r>
          </w:p>
        </w:tc>
        <w:tc>
          <w:tcPr>
            <w:tcW w:w="0" w:type="auto"/>
            <w:tcBorders>
              <w:bottom w:val="single" w:sz="8" w:space="0" w:color="000000"/>
            </w:tcBorders>
            <w:shd w:val="clear" w:color="auto" w:fill="CCEEFF"/>
            <w:vAlign w:val="bottom"/>
          </w:tcPr>
          <w:p w14:paraId="5556DCB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CB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(2,310</w:t>
            </w:r>
          </w:p>
        </w:tc>
        <w:tc>
          <w:tcPr>
            <w:tcW w:w="0" w:type="auto"/>
            <w:tcBorders>
              <w:bottom w:val="single" w:sz="8" w:space="0" w:color="000000"/>
            </w:tcBorders>
            <w:shd w:val="clear" w:color="auto" w:fill="CCEEFF"/>
            <w:tcMar>
              <w:top w:w="40" w:type="dxa"/>
              <w:bottom w:w="40" w:type="dxa"/>
              <w:right w:w="40" w:type="dxa"/>
            </w:tcMar>
            <w:vAlign w:val="bottom"/>
          </w:tcPr>
          <w:p w14:paraId="5556DCB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C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CB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(2,310</w:t>
            </w:r>
          </w:p>
        </w:tc>
        <w:tc>
          <w:tcPr>
            <w:tcW w:w="0" w:type="auto"/>
            <w:shd w:val="clear" w:color="auto" w:fill="CCEEFF"/>
            <w:tcMar>
              <w:top w:w="40" w:type="dxa"/>
              <w:bottom w:w="40" w:type="dxa"/>
              <w:right w:w="40" w:type="dxa"/>
            </w:tcMar>
            <w:vAlign w:val="bottom"/>
          </w:tcPr>
          <w:p w14:paraId="5556DCB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C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CC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(685</w:t>
            </w:r>
          </w:p>
        </w:tc>
        <w:tc>
          <w:tcPr>
            <w:tcW w:w="0" w:type="auto"/>
            <w:tcBorders>
              <w:bottom w:val="single" w:sz="8" w:space="0" w:color="000000"/>
            </w:tcBorders>
            <w:shd w:val="clear" w:color="auto" w:fill="CCEEFF"/>
            <w:tcMar>
              <w:top w:w="40" w:type="dxa"/>
              <w:bottom w:w="40" w:type="dxa"/>
              <w:right w:w="40" w:type="dxa"/>
            </w:tcMar>
            <w:vAlign w:val="bottom"/>
          </w:tcPr>
          <w:p w14:paraId="5556DCC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C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CC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(2,995</w:t>
            </w:r>
          </w:p>
        </w:tc>
        <w:tc>
          <w:tcPr>
            <w:tcW w:w="0" w:type="auto"/>
            <w:shd w:val="clear" w:color="auto" w:fill="CCEEFF"/>
            <w:tcMar>
              <w:top w:w="40" w:type="dxa"/>
              <w:bottom w:w="40" w:type="dxa"/>
              <w:right w:w="40" w:type="dxa"/>
            </w:tcMar>
            <w:vAlign w:val="bottom"/>
          </w:tcPr>
          <w:p w14:paraId="5556DCC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DCD5" w14:textId="77777777">
        <w:tc>
          <w:tcPr>
            <w:tcW w:w="0" w:type="auto"/>
            <w:shd w:val="clear" w:color="auto" w:fill="auto"/>
            <w:tcMar>
              <w:top w:w="40" w:type="dxa"/>
              <w:left w:w="40" w:type="dxa"/>
              <w:bottom w:w="40" w:type="dxa"/>
              <w:right w:w="40" w:type="dxa"/>
            </w:tcMar>
            <w:vAlign w:val="bottom"/>
          </w:tcPr>
          <w:p w14:paraId="5556DCC6"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derivatives</w:t>
            </w:r>
          </w:p>
        </w:tc>
        <w:tc>
          <w:tcPr>
            <w:tcW w:w="0" w:type="auto"/>
            <w:gridSpan w:val="2"/>
            <w:tcBorders>
              <w:top w:val="single" w:sz="8" w:space="0" w:color="000000"/>
            </w:tcBorders>
            <w:shd w:val="clear" w:color="auto" w:fill="auto"/>
            <w:tcMar>
              <w:top w:w="40" w:type="dxa"/>
              <w:left w:w="40" w:type="dxa"/>
              <w:bottom w:w="40" w:type="dxa"/>
            </w:tcMar>
            <w:vAlign w:val="bottom"/>
          </w:tcPr>
          <w:p w14:paraId="5556DCC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15,148</w:t>
            </w:r>
          </w:p>
        </w:tc>
        <w:tc>
          <w:tcPr>
            <w:tcW w:w="0" w:type="auto"/>
            <w:tcBorders>
              <w:top w:val="single" w:sz="8" w:space="0" w:color="000000"/>
            </w:tcBorders>
            <w:shd w:val="clear" w:color="auto" w:fill="auto"/>
            <w:vAlign w:val="bottom"/>
          </w:tcPr>
          <w:p w14:paraId="5556DC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DCC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(10,395</w:t>
            </w:r>
          </w:p>
        </w:tc>
        <w:tc>
          <w:tcPr>
            <w:tcW w:w="0" w:type="auto"/>
            <w:tcBorders>
              <w:top w:val="single" w:sz="8" w:space="0" w:color="000000"/>
            </w:tcBorders>
            <w:shd w:val="clear" w:color="auto" w:fill="auto"/>
            <w:tcMar>
              <w:top w:w="40" w:type="dxa"/>
              <w:bottom w:w="40" w:type="dxa"/>
              <w:right w:w="40" w:type="dxa"/>
            </w:tcMar>
            <w:vAlign w:val="bottom"/>
          </w:tcPr>
          <w:p w14:paraId="5556DCC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C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DCC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4,753</w:t>
            </w:r>
          </w:p>
        </w:tc>
        <w:tc>
          <w:tcPr>
            <w:tcW w:w="0" w:type="auto"/>
            <w:tcBorders>
              <w:top w:val="single" w:sz="8" w:space="0" w:color="000000"/>
            </w:tcBorders>
            <w:shd w:val="clear" w:color="auto" w:fill="auto"/>
            <w:vAlign w:val="bottom"/>
          </w:tcPr>
          <w:p w14:paraId="5556DC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DCD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(685</w:t>
            </w:r>
          </w:p>
        </w:tc>
        <w:tc>
          <w:tcPr>
            <w:tcW w:w="0" w:type="auto"/>
            <w:tcBorders>
              <w:top w:val="single" w:sz="8" w:space="0" w:color="000000"/>
            </w:tcBorders>
            <w:shd w:val="clear" w:color="auto" w:fill="auto"/>
            <w:tcMar>
              <w:top w:w="40" w:type="dxa"/>
              <w:bottom w:w="40" w:type="dxa"/>
              <w:right w:w="40" w:type="dxa"/>
            </w:tcMar>
            <w:vAlign w:val="bottom"/>
          </w:tcPr>
          <w:p w14:paraId="5556DCD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C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DCD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4,068</w:t>
            </w:r>
          </w:p>
        </w:tc>
        <w:tc>
          <w:tcPr>
            <w:tcW w:w="0" w:type="auto"/>
            <w:tcBorders>
              <w:top w:val="single" w:sz="8" w:space="0" w:color="000000"/>
            </w:tcBorders>
            <w:shd w:val="clear" w:color="auto" w:fill="auto"/>
            <w:vAlign w:val="bottom"/>
          </w:tcPr>
          <w:p w14:paraId="5556DCD4" w14:textId="77777777" w:rsidR="00F925DD" w:rsidRDefault="00F925DD">
            <w:pPr>
              <w:textAlignment w:val="bottom"/>
              <w:rPr>
                <w:rFonts w:ascii="Times New Roman" w:hAnsi="Times New Roman"/>
                <w:sz w:val="20"/>
                <w:szCs w:val="20"/>
              </w:rPr>
            </w:pPr>
          </w:p>
        </w:tc>
      </w:tr>
      <w:tr w:rsidR="00F925DD" w14:paraId="5556DCE0" w14:textId="77777777">
        <w:tc>
          <w:tcPr>
            <w:tcW w:w="0" w:type="auto"/>
            <w:shd w:val="clear" w:color="auto" w:fill="CCEEFF"/>
            <w:tcMar>
              <w:top w:w="40" w:type="dxa"/>
              <w:left w:w="40" w:type="dxa"/>
              <w:bottom w:w="40" w:type="dxa"/>
              <w:right w:w="40" w:type="dxa"/>
            </w:tcMar>
            <w:vAlign w:val="bottom"/>
          </w:tcPr>
          <w:p w14:paraId="5556DCD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Other financial instruments:</w:t>
            </w:r>
          </w:p>
        </w:tc>
        <w:tc>
          <w:tcPr>
            <w:tcW w:w="0" w:type="auto"/>
            <w:gridSpan w:val="3"/>
            <w:shd w:val="clear" w:color="auto" w:fill="CCEEFF"/>
            <w:tcMar>
              <w:top w:w="40" w:type="dxa"/>
              <w:left w:w="40" w:type="dxa"/>
              <w:bottom w:w="40" w:type="dxa"/>
              <w:right w:w="40" w:type="dxa"/>
            </w:tcMar>
            <w:vAlign w:val="bottom"/>
          </w:tcPr>
          <w:p w14:paraId="5556DC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C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C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C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C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C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C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C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C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CF0" w14:textId="77777777">
        <w:tc>
          <w:tcPr>
            <w:tcW w:w="0" w:type="auto"/>
            <w:shd w:val="clear" w:color="auto" w:fill="auto"/>
            <w:tcMar>
              <w:top w:w="40" w:type="dxa"/>
              <w:left w:w="40" w:type="dxa"/>
              <w:bottom w:w="40" w:type="dxa"/>
              <w:right w:w="40" w:type="dxa"/>
            </w:tcMar>
            <w:vAlign w:val="bottom"/>
          </w:tcPr>
          <w:p w14:paraId="5556DCE1" w14:textId="77777777" w:rsidR="00F925DD" w:rsidRDefault="00E705D7">
            <w:pPr>
              <w:textAlignment w:val="bottom"/>
              <w:rPr>
                <w:rFonts w:ascii="Times New Roman" w:hAnsi="Times New Roman"/>
                <w:sz w:val="15"/>
                <w:szCs w:val="15"/>
              </w:rPr>
            </w:pPr>
            <w:r>
              <w:rPr>
                <w:rFonts w:ascii="Arial" w:eastAsia="宋体" w:hAnsi="Arial" w:cs="Arial"/>
                <w:sz w:val="15"/>
                <w:szCs w:val="15"/>
              </w:rPr>
              <w:t>Resale agreements and securities borrowing(7)(8)</w:t>
            </w:r>
          </w:p>
        </w:tc>
        <w:tc>
          <w:tcPr>
            <w:tcW w:w="0" w:type="auto"/>
            <w:gridSpan w:val="2"/>
            <w:shd w:val="clear" w:color="auto" w:fill="auto"/>
            <w:tcMar>
              <w:top w:w="40" w:type="dxa"/>
              <w:left w:w="40" w:type="dxa"/>
              <w:bottom w:w="40" w:type="dxa"/>
            </w:tcMar>
            <w:vAlign w:val="bottom"/>
          </w:tcPr>
          <w:p w14:paraId="5556DCE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179,989</w:t>
            </w:r>
          </w:p>
        </w:tc>
        <w:tc>
          <w:tcPr>
            <w:tcW w:w="0" w:type="auto"/>
            <w:shd w:val="clear" w:color="auto" w:fill="auto"/>
            <w:vAlign w:val="bottom"/>
          </w:tcPr>
          <w:p w14:paraId="5556DCE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CE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(159,978</w:t>
            </w:r>
          </w:p>
        </w:tc>
        <w:tc>
          <w:tcPr>
            <w:tcW w:w="0" w:type="auto"/>
            <w:tcBorders>
              <w:bottom w:val="single" w:sz="8" w:space="0" w:color="000000"/>
            </w:tcBorders>
            <w:shd w:val="clear" w:color="auto" w:fill="auto"/>
            <w:tcMar>
              <w:top w:w="40" w:type="dxa"/>
              <w:bottom w:w="40" w:type="dxa"/>
              <w:right w:w="40" w:type="dxa"/>
            </w:tcMar>
            <w:vAlign w:val="bottom"/>
          </w:tcPr>
          <w:p w14:paraId="5556DCE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C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CE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20,011</w:t>
            </w:r>
          </w:p>
        </w:tc>
        <w:tc>
          <w:tcPr>
            <w:tcW w:w="0" w:type="auto"/>
            <w:tcBorders>
              <w:bottom w:val="single" w:sz="8" w:space="0" w:color="000000"/>
            </w:tcBorders>
            <w:shd w:val="clear" w:color="auto" w:fill="auto"/>
            <w:vAlign w:val="bottom"/>
          </w:tcPr>
          <w:p w14:paraId="5556DCE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C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CE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(19,572</w:t>
            </w:r>
          </w:p>
        </w:tc>
        <w:tc>
          <w:tcPr>
            <w:tcW w:w="0" w:type="auto"/>
            <w:tcBorders>
              <w:bottom w:val="single" w:sz="8" w:space="0" w:color="000000"/>
            </w:tcBorders>
            <w:shd w:val="clear" w:color="auto" w:fill="auto"/>
            <w:tcMar>
              <w:top w:w="40" w:type="dxa"/>
              <w:bottom w:w="40" w:type="dxa"/>
              <w:right w:w="40" w:type="dxa"/>
            </w:tcMar>
            <w:vAlign w:val="bottom"/>
          </w:tcPr>
          <w:p w14:paraId="5556DCE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C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CE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439</w:t>
            </w:r>
          </w:p>
        </w:tc>
        <w:tc>
          <w:tcPr>
            <w:tcW w:w="0" w:type="auto"/>
            <w:shd w:val="clear" w:color="auto" w:fill="auto"/>
            <w:vAlign w:val="bottom"/>
          </w:tcPr>
          <w:p w14:paraId="5556DCEF" w14:textId="77777777" w:rsidR="00F925DD" w:rsidRDefault="00F925DD">
            <w:pPr>
              <w:textAlignment w:val="bottom"/>
              <w:rPr>
                <w:rFonts w:ascii="Times New Roman" w:hAnsi="Times New Roman"/>
                <w:sz w:val="20"/>
                <w:szCs w:val="20"/>
              </w:rPr>
            </w:pPr>
          </w:p>
        </w:tc>
      </w:tr>
      <w:tr w:rsidR="00F925DD" w14:paraId="5556DD05" w14:textId="77777777">
        <w:tc>
          <w:tcPr>
            <w:tcW w:w="0" w:type="auto"/>
            <w:shd w:val="clear" w:color="auto" w:fill="CCEEFF"/>
            <w:tcMar>
              <w:top w:w="40" w:type="dxa"/>
              <w:left w:w="40" w:type="dxa"/>
              <w:bottom w:w="40" w:type="dxa"/>
              <w:right w:w="40" w:type="dxa"/>
            </w:tcMar>
            <w:vAlign w:val="bottom"/>
          </w:tcPr>
          <w:p w14:paraId="5556DCF1"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CF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CF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195,137</w:t>
            </w:r>
          </w:p>
        </w:tc>
        <w:tc>
          <w:tcPr>
            <w:tcW w:w="0" w:type="auto"/>
            <w:tcBorders>
              <w:top w:val="single" w:sz="8" w:space="0" w:color="000000"/>
              <w:bottom w:val="double" w:sz="6" w:space="0" w:color="000000"/>
            </w:tcBorders>
            <w:shd w:val="clear" w:color="auto" w:fill="CCEEFF"/>
            <w:vAlign w:val="bottom"/>
          </w:tcPr>
          <w:p w14:paraId="5556DC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CF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CF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(170,373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CF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C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CF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CF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24,764</w:t>
            </w:r>
          </w:p>
        </w:tc>
        <w:tc>
          <w:tcPr>
            <w:tcW w:w="0" w:type="auto"/>
            <w:tcBorders>
              <w:top w:val="single" w:sz="8" w:space="0" w:color="000000"/>
              <w:bottom w:val="double" w:sz="6" w:space="0" w:color="000000"/>
            </w:tcBorders>
            <w:shd w:val="clear" w:color="auto" w:fill="CCEEFF"/>
            <w:vAlign w:val="bottom"/>
          </w:tcPr>
          <w:p w14:paraId="5556DCF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C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CF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CF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(20,257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D0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D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D0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D0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4,507</w:t>
            </w:r>
          </w:p>
        </w:tc>
        <w:tc>
          <w:tcPr>
            <w:tcW w:w="0" w:type="auto"/>
            <w:tcBorders>
              <w:top w:val="single" w:sz="8" w:space="0" w:color="000000"/>
              <w:bottom w:val="double" w:sz="6" w:space="0" w:color="000000"/>
            </w:tcBorders>
            <w:shd w:val="clear" w:color="auto" w:fill="CCEEFF"/>
            <w:vAlign w:val="bottom"/>
          </w:tcPr>
          <w:p w14:paraId="5556DD04" w14:textId="77777777" w:rsidR="00F925DD" w:rsidRDefault="00F925DD">
            <w:pPr>
              <w:textAlignment w:val="bottom"/>
              <w:rPr>
                <w:rFonts w:ascii="Times New Roman" w:hAnsi="Times New Roman"/>
                <w:sz w:val="20"/>
                <w:szCs w:val="20"/>
              </w:rPr>
            </w:pPr>
          </w:p>
        </w:tc>
      </w:tr>
    </w:tbl>
    <w:p w14:paraId="5556DD06" w14:textId="77777777" w:rsidR="00F925DD" w:rsidRDefault="00F925DD">
      <w:pPr>
        <w:spacing w:line="288" w:lineRule="auto"/>
        <w:jc w:val="both"/>
        <w:rPr>
          <w:rFonts w:ascii="Times New Roman" w:hAnsi="Times New Roman"/>
          <w:sz w:val="20"/>
          <w:szCs w:val="20"/>
        </w:rPr>
      </w:pPr>
    </w:p>
    <w:p w14:paraId="5556DD07" w14:textId="77777777" w:rsidR="00F925DD" w:rsidRDefault="00F925DD">
      <w:pPr>
        <w:rPr>
          <w:rFonts w:ascii="Times New Roman" w:hAnsi="Times New Roman"/>
          <w:sz w:val="20"/>
          <w:szCs w:val="20"/>
        </w:rPr>
      </w:pPr>
    </w:p>
    <w:p w14:paraId="5556DD08"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152</w:t>
      </w:r>
    </w:p>
    <w:p w14:paraId="5556DD09" w14:textId="77777777" w:rsidR="00F925DD" w:rsidRDefault="00F925DD">
      <w:pPr>
        <w:spacing w:line="288" w:lineRule="auto"/>
        <w:ind w:firstLine="600"/>
        <w:jc w:val="center"/>
        <w:rPr>
          <w:rFonts w:ascii="Times New Roman" w:hAnsi="Times New Roman"/>
          <w:sz w:val="18"/>
          <w:szCs w:val="18"/>
        </w:rPr>
      </w:pPr>
    </w:p>
    <w:p w14:paraId="5556DD0A" w14:textId="77777777" w:rsidR="00F925DD" w:rsidRDefault="00E705D7">
      <w:r>
        <w:rPr>
          <w:rFonts w:ascii="Times New Roman" w:hAnsi="Times New Roman"/>
          <w:sz w:val="18"/>
          <w:szCs w:val="18"/>
        </w:rPr>
        <w:pict w14:anchorId="555706D2">
          <v:rect id="_x0000_i1176" style="width:415.3pt;height:1.5pt" o:hralign="center" o:hrstd="t" o:hr="t" fillcolor="#a0a0a0" stroked="f"/>
        </w:pict>
      </w:r>
    </w:p>
    <w:p w14:paraId="5556DD0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D0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DD0D" w14:textId="77777777" w:rsidR="00F925DD" w:rsidRDefault="00F925DD">
      <w:pPr>
        <w:rPr>
          <w:rFonts w:ascii="Times New Roman" w:hAnsi="Times New Roman"/>
          <w:sz w:val="20"/>
          <w:szCs w:val="20"/>
        </w:rPr>
      </w:pPr>
    </w:p>
    <w:p w14:paraId="5556DD0E" w14:textId="77777777" w:rsidR="00F925DD" w:rsidRDefault="00F925DD">
      <w:pPr>
        <w:spacing w:line="288" w:lineRule="auto"/>
        <w:ind w:firstLine="600"/>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264"/>
        <w:gridCol w:w="125"/>
        <w:gridCol w:w="852"/>
        <w:gridCol w:w="72"/>
        <w:gridCol w:w="130"/>
        <w:gridCol w:w="125"/>
        <w:gridCol w:w="886"/>
        <w:gridCol w:w="90"/>
        <w:gridCol w:w="130"/>
        <w:gridCol w:w="125"/>
        <w:gridCol w:w="1102"/>
        <w:gridCol w:w="90"/>
        <w:gridCol w:w="130"/>
        <w:gridCol w:w="125"/>
        <w:gridCol w:w="936"/>
        <w:gridCol w:w="91"/>
        <w:gridCol w:w="130"/>
        <w:gridCol w:w="125"/>
        <w:gridCol w:w="687"/>
        <w:gridCol w:w="91"/>
      </w:tblGrid>
      <w:tr w:rsidR="00F925DD" w14:paraId="5556DD10" w14:textId="77777777">
        <w:tc>
          <w:tcPr>
            <w:tcW w:w="0" w:type="auto"/>
            <w:gridSpan w:val="20"/>
            <w:shd w:val="clear" w:color="auto" w:fill="auto"/>
            <w:vAlign w:val="center"/>
          </w:tcPr>
          <w:p w14:paraId="5556DD0F" w14:textId="77777777" w:rsidR="00F925DD" w:rsidRDefault="00F925DD">
            <w:pPr>
              <w:rPr>
                <w:rFonts w:ascii="Times New Roman" w:hAnsi="Times New Roman"/>
                <w:sz w:val="20"/>
                <w:szCs w:val="20"/>
              </w:rPr>
            </w:pPr>
          </w:p>
        </w:tc>
      </w:tr>
      <w:tr w:rsidR="00F925DD" w14:paraId="5556DD25" w14:textId="77777777">
        <w:tc>
          <w:tcPr>
            <w:tcW w:w="1400" w:type="pct"/>
            <w:shd w:val="clear" w:color="auto" w:fill="auto"/>
            <w:vAlign w:val="center"/>
          </w:tcPr>
          <w:p w14:paraId="5556DD11" w14:textId="77777777" w:rsidR="00F925DD" w:rsidRDefault="00F925DD">
            <w:pPr>
              <w:rPr>
                <w:rFonts w:ascii="Times New Roman" w:hAnsi="Times New Roman"/>
                <w:sz w:val="20"/>
                <w:szCs w:val="20"/>
              </w:rPr>
            </w:pPr>
          </w:p>
        </w:tc>
        <w:tc>
          <w:tcPr>
            <w:tcW w:w="50" w:type="pct"/>
            <w:shd w:val="clear" w:color="auto" w:fill="auto"/>
            <w:vAlign w:val="center"/>
          </w:tcPr>
          <w:p w14:paraId="5556DD12" w14:textId="77777777" w:rsidR="00F925DD" w:rsidRDefault="00F925DD">
            <w:pPr>
              <w:rPr>
                <w:rFonts w:ascii="Times New Roman" w:hAnsi="Times New Roman"/>
                <w:sz w:val="20"/>
                <w:szCs w:val="20"/>
              </w:rPr>
            </w:pPr>
          </w:p>
        </w:tc>
        <w:tc>
          <w:tcPr>
            <w:tcW w:w="550" w:type="pct"/>
            <w:shd w:val="clear" w:color="auto" w:fill="auto"/>
            <w:vAlign w:val="center"/>
          </w:tcPr>
          <w:p w14:paraId="5556DD13" w14:textId="77777777" w:rsidR="00F925DD" w:rsidRDefault="00F925DD">
            <w:pPr>
              <w:rPr>
                <w:rFonts w:ascii="Times New Roman" w:hAnsi="Times New Roman"/>
                <w:sz w:val="20"/>
                <w:szCs w:val="20"/>
              </w:rPr>
            </w:pPr>
          </w:p>
        </w:tc>
        <w:tc>
          <w:tcPr>
            <w:tcW w:w="50" w:type="pct"/>
            <w:shd w:val="clear" w:color="auto" w:fill="auto"/>
            <w:vAlign w:val="center"/>
          </w:tcPr>
          <w:p w14:paraId="5556DD14" w14:textId="77777777" w:rsidR="00F925DD" w:rsidRDefault="00F925DD">
            <w:pPr>
              <w:rPr>
                <w:rFonts w:ascii="Times New Roman" w:hAnsi="Times New Roman"/>
                <w:sz w:val="20"/>
                <w:szCs w:val="20"/>
              </w:rPr>
            </w:pPr>
          </w:p>
        </w:tc>
        <w:tc>
          <w:tcPr>
            <w:tcW w:w="50" w:type="pct"/>
            <w:shd w:val="clear" w:color="auto" w:fill="auto"/>
            <w:vAlign w:val="center"/>
          </w:tcPr>
          <w:p w14:paraId="5556DD15" w14:textId="77777777" w:rsidR="00F925DD" w:rsidRDefault="00F925DD">
            <w:pPr>
              <w:rPr>
                <w:rFonts w:ascii="Times New Roman" w:hAnsi="Times New Roman"/>
                <w:sz w:val="20"/>
                <w:szCs w:val="20"/>
              </w:rPr>
            </w:pPr>
          </w:p>
        </w:tc>
        <w:tc>
          <w:tcPr>
            <w:tcW w:w="50" w:type="pct"/>
            <w:shd w:val="clear" w:color="auto" w:fill="auto"/>
            <w:vAlign w:val="center"/>
          </w:tcPr>
          <w:p w14:paraId="5556DD16" w14:textId="77777777" w:rsidR="00F925DD" w:rsidRDefault="00F925DD">
            <w:pPr>
              <w:rPr>
                <w:rFonts w:ascii="Times New Roman" w:hAnsi="Times New Roman"/>
                <w:sz w:val="20"/>
                <w:szCs w:val="20"/>
              </w:rPr>
            </w:pPr>
          </w:p>
        </w:tc>
        <w:tc>
          <w:tcPr>
            <w:tcW w:w="600" w:type="pct"/>
            <w:shd w:val="clear" w:color="auto" w:fill="auto"/>
            <w:vAlign w:val="center"/>
          </w:tcPr>
          <w:p w14:paraId="5556DD17" w14:textId="77777777" w:rsidR="00F925DD" w:rsidRDefault="00F925DD">
            <w:pPr>
              <w:rPr>
                <w:rFonts w:ascii="Times New Roman" w:hAnsi="Times New Roman"/>
                <w:sz w:val="20"/>
                <w:szCs w:val="20"/>
              </w:rPr>
            </w:pPr>
          </w:p>
        </w:tc>
        <w:tc>
          <w:tcPr>
            <w:tcW w:w="50" w:type="pct"/>
            <w:shd w:val="clear" w:color="auto" w:fill="auto"/>
            <w:vAlign w:val="center"/>
          </w:tcPr>
          <w:p w14:paraId="5556DD18" w14:textId="77777777" w:rsidR="00F925DD" w:rsidRDefault="00F925DD">
            <w:pPr>
              <w:rPr>
                <w:rFonts w:ascii="Times New Roman" w:hAnsi="Times New Roman"/>
                <w:sz w:val="20"/>
                <w:szCs w:val="20"/>
              </w:rPr>
            </w:pPr>
          </w:p>
        </w:tc>
        <w:tc>
          <w:tcPr>
            <w:tcW w:w="50" w:type="pct"/>
            <w:shd w:val="clear" w:color="auto" w:fill="auto"/>
            <w:vAlign w:val="center"/>
          </w:tcPr>
          <w:p w14:paraId="5556DD19" w14:textId="77777777" w:rsidR="00F925DD" w:rsidRDefault="00F925DD">
            <w:pPr>
              <w:rPr>
                <w:rFonts w:ascii="Times New Roman" w:hAnsi="Times New Roman"/>
                <w:sz w:val="20"/>
                <w:szCs w:val="20"/>
              </w:rPr>
            </w:pPr>
          </w:p>
        </w:tc>
        <w:tc>
          <w:tcPr>
            <w:tcW w:w="50" w:type="pct"/>
            <w:shd w:val="clear" w:color="auto" w:fill="auto"/>
            <w:vAlign w:val="center"/>
          </w:tcPr>
          <w:p w14:paraId="5556DD1A" w14:textId="77777777" w:rsidR="00F925DD" w:rsidRDefault="00F925DD">
            <w:pPr>
              <w:rPr>
                <w:rFonts w:ascii="Times New Roman" w:hAnsi="Times New Roman"/>
                <w:sz w:val="20"/>
                <w:szCs w:val="20"/>
              </w:rPr>
            </w:pPr>
          </w:p>
        </w:tc>
        <w:tc>
          <w:tcPr>
            <w:tcW w:w="700" w:type="pct"/>
            <w:shd w:val="clear" w:color="auto" w:fill="auto"/>
            <w:vAlign w:val="center"/>
          </w:tcPr>
          <w:p w14:paraId="5556DD1B" w14:textId="77777777" w:rsidR="00F925DD" w:rsidRDefault="00F925DD">
            <w:pPr>
              <w:rPr>
                <w:rFonts w:ascii="Times New Roman" w:hAnsi="Times New Roman"/>
                <w:sz w:val="20"/>
                <w:szCs w:val="20"/>
              </w:rPr>
            </w:pPr>
          </w:p>
        </w:tc>
        <w:tc>
          <w:tcPr>
            <w:tcW w:w="50" w:type="pct"/>
            <w:shd w:val="clear" w:color="auto" w:fill="auto"/>
            <w:vAlign w:val="center"/>
          </w:tcPr>
          <w:p w14:paraId="5556DD1C" w14:textId="77777777" w:rsidR="00F925DD" w:rsidRDefault="00F925DD">
            <w:pPr>
              <w:rPr>
                <w:rFonts w:ascii="Times New Roman" w:hAnsi="Times New Roman"/>
                <w:sz w:val="20"/>
                <w:szCs w:val="20"/>
              </w:rPr>
            </w:pPr>
          </w:p>
        </w:tc>
        <w:tc>
          <w:tcPr>
            <w:tcW w:w="50" w:type="pct"/>
            <w:shd w:val="clear" w:color="auto" w:fill="auto"/>
            <w:vAlign w:val="center"/>
          </w:tcPr>
          <w:p w14:paraId="5556DD1D" w14:textId="77777777" w:rsidR="00F925DD" w:rsidRDefault="00F925DD">
            <w:pPr>
              <w:rPr>
                <w:rFonts w:ascii="Times New Roman" w:hAnsi="Times New Roman"/>
                <w:sz w:val="20"/>
                <w:szCs w:val="20"/>
              </w:rPr>
            </w:pPr>
          </w:p>
        </w:tc>
        <w:tc>
          <w:tcPr>
            <w:tcW w:w="50" w:type="pct"/>
            <w:shd w:val="clear" w:color="auto" w:fill="auto"/>
            <w:vAlign w:val="center"/>
          </w:tcPr>
          <w:p w14:paraId="5556DD1E" w14:textId="77777777" w:rsidR="00F925DD" w:rsidRDefault="00F925DD">
            <w:pPr>
              <w:rPr>
                <w:rFonts w:ascii="Times New Roman" w:hAnsi="Times New Roman"/>
                <w:sz w:val="20"/>
                <w:szCs w:val="20"/>
              </w:rPr>
            </w:pPr>
          </w:p>
        </w:tc>
        <w:tc>
          <w:tcPr>
            <w:tcW w:w="600" w:type="pct"/>
            <w:shd w:val="clear" w:color="auto" w:fill="auto"/>
            <w:vAlign w:val="center"/>
          </w:tcPr>
          <w:p w14:paraId="5556DD1F" w14:textId="77777777" w:rsidR="00F925DD" w:rsidRDefault="00F925DD">
            <w:pPr>
              <w:rPr>
                <w:rFonts w:ascii="Times New Roman" w:hAnsi="Times New Roman"/>
                <w:sz w:val="20"/>
                <w:szCs w:val="20"/>
              </w:rPr>
            </w:pPr>
          </w:p>
        </w:tc>
        <w:tc>
          <w:tcPr>
            <w:tcW w:w="50" w:type="pct"/>
            <w:shd w:val="clear" w:color="auto" w:fill="auto"/>
            <w:vAlign w:val="center"/>
          </w:tcPr>
          <w:p w14:paraId="5556DD20" w14:textId="77777777" w:rsidR="00F925DD" w:rsidRDefault="00F925DD">
            <w:pPr>
              <w:rPr>
                <w:rFonts w:ascii="Times New Roman" w:hAnsi="Times New Roman"/>
                <w:sz w:val="20"/>
                <w:szCs w:val="20"/>
              </w:rPr>
            </w:pPr>
          </w:p>
        </w:tc>
        <w:tc>
          <w:tcPr>
            <w:tcW w:w="50" w:type="pct"/>
            <w:shd w:val="clear" w:color="auto" w:fill="auto"/>
            <w:vAlign w:val="center"/>
          </w:tcPr>
          <w:p w14:paraId="5556DD21" w14:textId="77777777" w:rsidR="00F925DD" w:rsidRDefault="00F925DD">
            <w:pPr>
              <w:rPr>
                <w:rFonts w:ascii="Times New Roman" w:hAnsi="Times New Roman"/>
                <w:sz w:val="20"/>
                <w:szCs w:val="20"/>
              </w:rPr>
            </w:pPr>
          </w:p>
        </w:tc>
        <w:tc>
          <w:tcPr>
            <w:tcW w:w="50" w:type="pct"/>
            <w:shd w:val="clear" w:color="auto" w:fill="auto"/>
            <w:vAlign w:val="center"/>
          </w:tcPr>
          <w:p w14:paraId="5556DD22" w14:textId="77777777" w:rsidR="00F925DD" w:rsidRDefault="00F925DD">
            <w:pPr>
              <w:rPr>
                <w:rFonts w:ascii="Times New Roman" w:hAnsi="Times New Roman"/>
                <w:sz w:val="20"/>
                <w:szCs w:val="20"/>
              </w:rPr>
            </w:pPr>
          </w:p>
        </w:tc>
        <w:tc>
          <w:tcPr>
            <w:tcW w:w="450" w:type="pct"/>
            <w:shd w:val="clear" w:color="auto" w:fill="auto"/>
            <w:vAlign w:val="center"/>
          </w:tcPr>
          <w:p w14:paraId="5556DD23" w14:textId="77777777" w:rsidR="00F925DD" w:rsidRDefault="00F925DD">
            <w:pPr>
              <w:rPr>
                <w:rFonts w:ascii="Times New Roman" w:hAnsi="Times New Roman"/>
                <w:sz w:val="20"/>
                <w:szCs w:val="20"/>
              </w:rPr>
            </w:pPr>
          </w:p>
        </w:tc>
        <w:tc>
          <w:tcPr>
            <w:tcW w:w="50" w:type="pct"/>
            <w:shd w:val="clear" w:color="auto" w:fill="auto"/>
            <w:vAlign w:val="center"/>
          </w:tcPr>
          <w:p w14:paraId="5556DD24" w14:textId="77777777" w:rsidR="00F925DD" w:rsidRDefault="00F925DD">
            <w:pPr>
              <w:rPr>
                <w:rFonts w:ascii="Times New Roman" w:hAnsi="Times New Roman"/>
                <w:sz w:val="20"/>
                <w:szCs w:val="20"/>
              </w:rPr>
            </w:pPr>
          </w:p>
        </w:tc>
      </w:tr>
      <w:tr w:rsidR="00F925DD" w14:paraId="5556DD28" w14:textId="77777777">
        <w:tc>
          <w:tcPr>
            <w:tcW w:w="0" w:type="auto"/>
            <w:shd w:val="clear" w:color="auto" w:fill="auto"/>
            <w:tcMar>
              <w:top w:w="40" w:type="dxa"/>
              <w:left w:w="40" w:type="dxa"/>
              <w:bottom w:w="40" w:type="dxa"/>
              <w:right w:w="40" w:type="dxa"/>
            </w:tcMar>
            <w:vAlign w:val="bottom"/>
          </w:tcPr>
          <w:p w14:paraId="5556DD2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Assets:</w:t>
            </w:r>
          </w:p>
        </w:tc>
        <w:tc>
          <w:tcPr>
            <w:tcW w:w="0" w:type="auto"/>
            <w:gridSpan w:val="19"/>
            <w:tcBorders>
              <w:bottom w:val="single" w:sz="8" w:space="0" w:color="000000"/>
            </w:tcBorders>
            <w:shd w:val="clear" w:color="auto" w:fill="auto"/>
            <w:tcMar>
              <w:top w:w="40" w:type="dxa"/>
              <w:left w:w="40" w:type="dxa"/>
              <w:bottom w:w="40" w:type="dxa"/>
            </w:tcMar>
            <w:vAlign w:val="bottom"/>
          </w:tcPr>
          <w:p w14:paraId="5556DD2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r>
      <w:tr w:rsidR="00F925DD" w14:paraId="5556DD32" w14:textId="77777777">
        <w:tc>
          <w:tcPr>
            <w:tcW w:w="0" w:type="auto"/>
            <w:shd w:val="clear" w:color="auto" w:fill="auto"/>
            <w:tcMar>
              <w:top w:w="40" w:type="dxa"/>
              <w:left w:w="40" w:type="dxa"/>
              <w:bottom w:w="40" w:type="dxa"/>
              <w:right w:w="40" w:type="dxa"/>
            </w:tcMar>
            <w:vAlign w:val="bottom"/>
          </w:tcPr>
          <w:p w14:paraId="5556DD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D2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Gross Amounts of Recognized </w:t>
            </w:r>
          </w:p>
          <w:p w14:paraId="5556DD2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Assets(1)(2)</w:t>
            </w:r>
          </w:p>
        </w:tc>
        <w:tc>
          <w:tcPr>
            <w:tcW w:w="0" w:type="auto"/>
            <w:shd w:val="clear" w:color="auto" w:fill="auto"/>
            <w:tcMar>
              <w:top w:w="40" w:type="dxa"/>
              <w:left w:w="40" w:type="dxa"/>
              <w:bottom w:w="40" w:type="dxa"/>
              <w:right w:w="40" w:type="dxa"/>
            </w:tcMar>
            <w:vAlign w:val="bottom"/>
          </w:tcPr>
          <w:p w14:paraId="5556DD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D2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 Amounts Offset in Statement of Condition(3)</w:t>
            </w:r>
          </w:p>
        </w:tc>
        <w:tc>
          <w:tcPr>
            <w:tcW w:w="0" w:type="auto"/>
            <w:shd w:val="clear" w:color="auto" w:fill="auto"/>
            <w:tcMar>
              <w:top w:w="40" w:type="dxa"/>
              <w:left w:w="40" w:type="dxa"/>
              <w:bottom w:w="40" w:type="dxa"/>
              <w:right w:w="40" w:type="dxa"/>
            </w:tcMar>
            <w:vAlign w:val="bottom"/>
          </w:tcPr>
          <w:p w14:paraId="5556DD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D2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Net Amounts of Assets Presented in Statement of Condition</w:t>
            </w:r>
          </w:p>
        </w:tc>
        <w:tc>
          <w:tcPr>
            <w:tcW w:w="0" w:type="auto"/>
            <w:shd w:val="clear" w:color="auto" w:fill="auto"/>
            <w:tcMar>
              <w:top w:w="40" w:type="dxa"/>
              <w:left w:w="40" w:type="dxa"/>
              <w:bottom w:w="40" w:type="dxa"/>
              <w:right w:w="40" w:type="dxa"/>
            </w:tcMar>
            <w:vAlign w:val="bottom"/>
          </w:tcPr>
          <w:p w14:paraId="5556DD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D3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 Amounts Not Offset in Statement of Condition</w:t>
            </w:r>
          </w:p>
        </w:tc>
      </w:tr>
      <w:tr w:rsidR="00F925DD" w14:paraId="5556DD3D" w14:textId="77777777">
        <w:tc>
          <w:tcPr>
            <w:tcW w:w="0" w:type="auto"/>
            <w:shd w:val="clear" w:color="auto" w:fill="auto"/>
            <w:tcMar>
              <w:top w:w="40" w:type="dxa"/>
              <w:left w:w="40" w:type="dxa"/>
              <w:bottom w:w="40" w:type="dxa"/>
              <w:right w:w="40" w:type="dxa"/>
            </w:tcMar>
            <w:vAlign w:val="bottom"/>
          </w:tcPr>
          <w:p w14:paraId="5556DD3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D34"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D36"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D38"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D3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Cash and </w:t>
            </w:r>
            <w:r>
              <w:rPr>
                <w:rFonts w:ascii="Arial" w:eastAsia="宋体" w:hAnsi="Arial" w:cs="Arial"/>
                <w:b/>
                <w:bCs/>
                <w:sz w:val="15"/>
                <w:szCs w:val="15"/>
              </w:rPr>
              <w:t>Securities Received(4)</w:t>
            </w:r>
          </w:p>
        </w:tc>
        <w:tc>
          <w:tcPr>
            <w:tcW w:w="0" w:type="auto"/>
            <w:tcBorders>
              <w:top w:val="single" w:sz="8" w:space="0" w:color="000000"/>
            </w:tcBorders>
            <w:shd w:val="clear" w:color="auto" w:fill="auto"/>
            <w:tcMar>
              <w:top w:w="40" w:type="dxa"/>
              <w:left w:w="40" w:type="dxa"/>
              <w:bottom w:w="40" w:type="dxa"/>
              <w:right w:w="40" w:type="dxa"/>
            </w:tcMar>
            <w:vAlign w:val="bottom"/>
          </w:tcPr>
          <w:p w14:paraId="5556DD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D3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Net Amount(5)</w:t>
            </w:r>
          </w:p>
        </w:tc>
      </w:tr>
      <w:tr w:rsidR="00F925DD" w14:paraId="5556DD48" w14:textId="77777777">
        <w:tc>
          <w:tcPr>
            <w:tcW w:w="0" w:type="auto"/>
            <w:shd w:val="clear" w:color="auto" w:fill="auto"/>
            <w:tcMar>
              <w:top w:w="40" w:type="dxa"/>
              <w:left w:w="40" w:type="dxa"/>
              <w:bottom w:w="40" w:type="dxa"/>
              <w:right w:w="40" w:type="dxa"/>
            </w:tcMar>
            <w:vAlign w:val="bottom"/>
          </w:tcPr>
          <w:p w14:paraId="5556DD3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Derivatives:</w:t>
            </w:r>
          </w:p>
        </w:tc>
        <w:tc>
          <w:tcPr>
            <w:tcW w:w="0" w:type="auto"/>
            <w:gridSpan w:val="3"/>
            <w:shd w:val="clear" w:color="auto" w:fill="auto"/>
            <w:tcMar>
              <w:top w:w="40" w:type="dxa"/>
              <w:left w:w="40" w:type="dxa"/>
              <w:bottom w:w="40" w:type="dxa"/>
              <w:right w:w="40" w:type="dxa"/>
            </w:tcMar>
            <w:vAlign w:val="bottom"/>
          </w:tcPr>
          <w:p w14:paraId="5556DD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D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D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D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D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D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D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D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D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D5D" w14:textId="77777777">
        <w:tc>
          <w:tcPr>
            <w:tcW w:w="0" w:type="auto"/>
            <w:shd w:val="clear" w:color="auto" w:fill="CCEEFF"/>
            <w:tcMar>
              <w:top w:w="40" w:type="dxa"/>
              <w:left w:w="40" w:type="dxa"/>
              <w:bottom w:w="40" w:type="dxa"/>
              <w:right w:w="40" w:type="dxa"/>
            </w:tcMar>
            <w:vAlign w:val="bottom"/>
          </w:tcPr>
          <w:p w14:paraId="5556DD49"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shd w:val="clear" w:color="auto" w:fill="CCEEFF"/>
            <w:tcMar>
              <w:top w:w="40" w:type="dxa"/>
              <w:left w:w="40" w:type="dxa"/>
              <w:bottom w:w="40" w:type="dxa"/>
            </w:tcMar>
            <w:vAlign w:val="bottom"/>
          </w:tcPr>
          <w:p w14:paraId="5556DD4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D4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16,386</w:t>
            </w:r>
          </w:p>
        </w:tc>
        <w:tc>
          <w:tcPr>
            <w:tcW w:w="0" w:type="auto"/>
            <w:shd w:val="clear" w:color="auto" w:fill="CCEEFF"/>
            <w:vAlign w:val="bottom"/>
          </w:tcPr>
          <w:p w14:paraId="5556DD4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D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D4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D4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(10,223</w:t>
            </w:r>
          </w:p>
        </w:tc>
        <w:tc>
          <w:tcPr>
            <w:tcW w:w="0" w:type="auto"/>
            <w:shd w:val="clear" w:color="auto" w:fill="CCEEFF"/>
            <w:tcMar>
              <w:top w:w="40" w:type="dxa"/>
              <w:bottom w:w="40" w:type="dxa"/>
              <w:right w:w="40" w:type="dxa"/>
            </w:tcMar>
            <w:vAlign w:val="bottom"/>
          </w:tcPr>
          <w:p w14:paraId="5556DD5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D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D5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D5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6,163</w:t>
            </w:r>
          </w:p>
        </w:tc>
        <w:tc>
          <w:tcPr>
            <w:tcW w:w="0" w:type="auto"/>
            <w:shd w:val="clear" w:color="auto" w:fill="CCEEFF"/>
            <w:vAlign w:val="bottom"/>
          </w:tcPr>
          <w:p w14:paraId="5556DD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D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D5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D5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DD5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D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D5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D5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6,163</w:t>
            </w:r>
          </w:p>
        </w:tc>
        <w:tc>
          <w:tcPr>
            <w:tcW w:w="0" w:type="auto"/>
            <w:shd w:val="clear" w:color="auto" w:fill="CCEEFF"/>
            <w:vAlign w:val="bottom"/>
          </w:tcPr>
          <w:p w14:paraId="5556DD5C" w14:textId="77777777" w:rsidR="00F925DD" w:rsidRDefault="00F925DD">
            <w:pPr>
              <w:textAlignment w:val="bottom"/>
              <w:rPr>
                <w:rFonts w:ascii="Times New Roman" w:hAnsi="Times New Roman"/>
                <w:sz w:val="20"/>
                <w:szCs w:val="20"/>
              </w:rPr>
            </w:pPr>
          </w:p>
        </w:tc>
      </w:tr>
      <w:tr w:rsidR="00F925DD" w14:paraId="5556DD6D" w14:textId="77777777">
        <w:tc>
          <w:tcPr>
            <w:tcW w:w="0" w:type="auto"/>
            <w:shd w:val="clear" w:color="auto" w:fill="auto"/>
            <w:tcMar>
              <w:top w:w="40" w:type="dxa"/>
              <w:left w:w="40" w:type="dxa"/>
              <w:bottom w:w="40" w:type="dxa"/>
              <w:right w:w="40" w:type="dxa"/>
            </w:tcMar>
            <w:vAlign w:val="bottom"/>
          </w:tcPr>
          <w:p w14:paraId="5556DD5E"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rate contracts(6)</w:t>
            </w:r>
          </w:p>
        </w:tc>
        <w:tc>
          <w:tcPr>
            <w:tcW w:w="0" w:type="auto"/>
            <w:gridSpan w:val="2"/>
            <w:shd w:val="clear" w:color="auto" w:fill="auto"/>
            <w:tcMar>
              <w:top w:w="40" w:type="dxa"/>
              <w:left w:w="40" w:type="dxa"/>
              <w:bottom w:w="40" w:type="dxa"/>
            </w:tcMar>
            <w:vAlign w:val="bottom"/>
          </w:tcPr>
          <w:p w14:paraId="5556DD5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w:t>
            </w:r>
          </w:p>
        </w:tc>
        <w:tc>
          <w:tcPr>
            <w:tcW w:w="0" w:type="auto"/>
            <w:shd w:val="clear" w:color="auto" w:fill="auto"/>
            <w:vAlign w:val="bottom"/>
          </w:tcPr>
          <w:p w14:paraId="5556DD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6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DD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6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w:t>
            </w:r>
          </w:p>
        </w:tc>
        <w:tc>
          <w:tcPr>
            <w:tcW w:w="0" w:type="auto"/>
            <w:shd w:val="clear" w:color="auto" w:fill="auto"/>
            <w:vAlign w:val="bottom"/>
          </w:tcPr>
          <w:p w14:paraId="5556DD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6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DD6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6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w:t>
            </w:r>
          </w:p>
        </w:tc>
        <w:tc>
          <w:tcPr>
            <w:tcW w:w="0" w:type="auto"/>
            <w:shd w:val="clear" w:color="auto" w:fill="auto"/>
            <w:vAlign w:val="bottom"/>
          </w:tcPr>
          <w:p w14:paraId="5556DD6C" w14:textId="77777777" w:rsidR="00F925DD" w:rsidRDefault="00F925DD">
            <w:pPr>
              <w:textAlignment w:val="bottom"/>
              <w:rPr>
                <w:rFonts w:ascii="Times New Roman" w:hAnsi="Times New Roman"/>
                <w:sz w:val="20"/>
                <w:szCs w:val="20"/>
              </w:rPr>
            </w:pPr>
          </w:p>
        </w:tc>
      </w:tr>
      <w:tr w:rsidR="00F925DD" w14:paraId="5556DD7D" w14:textId="77777777">
        <w:tc>
          <w:tcPr>
            <w:tcW w:w="0" w:type="auto"/>
            <w:shd w:val="clear" w:color="auto" w:fill="CCEEFF"/>
            <w:tcMar>
              <w:top w:w="40" w:type="dxa"/>
              <w:left w:w="40" w:type="dxa"/>
              <w:bottom w:w="40" w:type="dxa"/>
              <w:right w:w="40" w:type="dxa"/>
            </w:tcMar>
            <w:vAlign w:val="bottom"/>
          </w:tcPr>
          <w:p w14:paraId="5556DD6E" w14:textId="77777777" w:rsidR="00F925DD" w:rsidRDefault="00E705D7">
            <w:pPr>
              <w:textAlignment w:val="bottom"/>
              <w:rPr>
                <w:rFonts w:ascii="Times New Roman" w:hAnsi="Times New Roman"/>
                <w:sz w:val="15"/>
                <w:szCs w:val="15"/>
              </w:rPr>
            </w:pPr>
            <w:r>
              <w:rPr>
                <w:rFonts w:ascii="Arial" w:eastAsia="宋体" w:hAnsi="Arial" w:cs="Arial"/>
                <w:sz w:val="15"/>
                <w:szCs w:val="15"/>
              </w:rPr>
              <w:t>Cash collateral and securities netting</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D6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NA</w:t>
            </w:r>
          </w:p>
        </w:tc>
        <w:tc>
          <w:tcPr>
            <w:tcW w:w="0" w:type="auto"/>
            <w:tcBorders>
              <w:bottom w:val="single" w:sz="8" w:space="0" w:color="000000"/>
            </w:tcBorders>
            <w:shd w:val="clear" w:color="auto" w:fill="CCEEFF"/>
            <w:vAlign w:val="bottom"/>
          </w:tcPr>
          <w:p w14:paraId="5556DD7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D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D7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(987</w:t>
            </w:r>
          </w:p>
        </w:tc>
        <w:tc>
          <w:tcPr>
            <w:tcW w:w="0" w:type="auto"/>
            <w:tcBorders>
              <w:bottom w:val="single" w:sz="8" w:space="0" w:color="000000"/>
            </w:tcBorders>
            <w:shd w:val="clear" w:color="auto" w:fill="CCEEFF"/>
            <w:tcMar>
              <w:top w:w="40" w:type="dxa"/>
              <w:bottom w:w="40" w:type="dxa"/>
              <w:right w:w="40" w:type="dxa"/>
            </w:tcMar>
            <w:vAlign w:val="bottom"/>
          </w:tcPr>
          <w:p w14:paraId="5556DD7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D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D7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(987</w:t>
            </w:r>
          </w:p>
        </w:tc>
        <w:tc>
          <w:tcPr>
            <w:tcW w:w="0" w:type="auto"/>
            <w:tcBorders>
              <w:bottom w:val="single" w:sz="8" w:space="0" w:color="000000"/>
            </w:tcBorders>
            <w:shd w:val="clear" w:color="auto" w:fill="CCEEFF"/>
            <w:tcMar>
              <w:top w:w="40" w:type="dxa"/>
              <w:bottom w:w="40" w:type="dxa"/>
              <w:right w:w="40" w:type="dxa"/>
            </w:tcMar>
            <w:vAlign w:val="bottom"/>
          </w:tcPr>
          <w:p w14:paraId="5556DD7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D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D7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(220</w:t>
            </w:r>
          </w:p>
        </w:tc>
        <w:tc>
          <w:tcPr>
            <w:tcW w:w="0" w:type="auto"/>
            <w:shd w:val="clear" w:color="auto" w:fill="CCEEFF"/>
            <w:tcMar>
              <w:top w:w="40" w:type="dxa"/>
              <w:bottom w:w="40" w:type="dxa"/>
              <w:right w:w="40" w:type="dxa"/>
            </w:tcMar>
            <w:vAlign w:val="bottom"/>
          </w:tcPr>
          <w:p w14:paraId="5556DD7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D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D7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(1,207</w:t>
            </w:r>
          </w:p>
        </w:tc>
        <w:tc>
          <w:tcPr>
            <w:tcW w:w="0" w:type="auto"/>
            <w:tcBorders>
              <w:bottom w:val="single" w:sz="8" w:space="0" w:color="000000"/>
            </w:tcBorders>
            <w:shd w:val="clear" w:color="auto" w:fill="CCEEFF"/>
            <w:tcMar>
              <w:top w:w="40" w:type="dxa"/>
              <w:bottom w:w="40" w:type="dxa"/>
              <w:right w:w="40" w:type="dxa"/>
            </w:tcMar>
            <w:vAlign w:val="bottom"/>
          </w:tcPr>
          <w:p w14:paraId="5556DD7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DD8D" w14:textId="77777777">
        <w:tc>
          <w:tcPr>
            <w:tcW w:w="0" w:type="auto"/>
            <w:shd w:val="clear" w:color="auto" w:fill="auto"/>
            <w:tcMar>
              <w:top w:w="40" w:type="dxa"/>
              <w:left w:w="40" w:type="dxa"/>
              <w:bottom w:w="40" w:type="dxa"/>
              <w:right w:w="40" w:type="dxa"/>
            </w:tcMar>
            <w:vAlign w:val="bottom"/>
          </w:tcPr>
          <w:p w14:paraId="5556DD7E"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derivatives</w:t>
            </w:r>
          </w:p>
        </w:tc>
        <w:tc>
          <w:tcPr>
            <w:tcW w:w="0" w:type="auto"/>
            <w:gridSpan w:val="2"/>
            <w:shd w:val="clear" w:color="auto" w:fill="auto"/>
            <w:tcMar>
              <w:top w:w="40" w:type="dxa"/>
              <w:left w:w="40" w:type="dxa"/>
              <w:bottom w:w="40" w:type="dxa"/>
            </w:tcMar>
            <w:vAlign w:val="bottom"/>
          </w:tcPr>
          <w:p w14:paraId="5556DD7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16,399</w:t>
            </w:r>
          </w:p>
        </w:tc>
        <w:tc>
          <w:tcPr>
            <w:tcW w:w="0" w:type="auto"/>
            <w:shd w:val="clear" w:color="auto" w:fill="auto"/>
            <w:vAlign w:val="bottom"/>
          </w:tcPr>
          <w:p w14:paraId="5556DD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8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(11,210</w:t>
            </w:r>
          </w:p>
        </w:tc>
        <w:tc>
          <w:tcPr>
            <w:tcW w:w="0" w:type="auto"/>
            <w:shd w:val="clear" w:color="auto" w:fill="auto"/>
            <w:tcMar>
              <w:top w:w="40" w:type="dxa"/>
              <w:bottom w:w="40" w:type="dxa"/>
              <w:right w:w="40" w:type="dxa"/>
            </w:tcMar>
            <w:vAlign w:val="bottom"/>
          </w:tcPr>
          <w:p w14:paraId="5556DD8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DD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8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5,189</w:t>
            </w:r>
          </w:p>
        </w:tc>
        <w:tc>
          <w:tcPr>
            <w:tcW w:w="0" w:type="auto"/>
            <w:shd w:val="clear" w:color="auto" w:fill="auto"/>
            <w:vAlign w:val="bottom"/>
          </w:tcPr>
          <w:p w14:paraId="5556DD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DD8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(220</w:t>
            </w:r>
          </w:p>
        </w:tc>
        <w:tc>
          <w:tcPr>
            <w:tcW w:w="0" w:type="auto"/>
            <w:tcBorders>
              <w:top w:val="single" w:sz="8" w:space="0" w:color="000000"/>
            </w:tcBorders>
            <w:shd w:val="clear" w:color="auto" w:fill="auto"/>
            <w:tcMar>
              <w:top w:w="40" w:type="dxa"/>
              <w:bottom w:w="40" w:type="dxa"/>
              <w:right w:w="40" w:type="dxa"/>
            </w:tcMar>
            <w:vAlign w:val="bottom"/>
          </w:tcPr>
          <w:p w14:paraId="5556DD8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DD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8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4,969</w:t>
            </w:r>
          </w:p>
        </w:tc>
        <w:tc>
          <w:tcPr>
            <w:tcW w:w="0" w:type="auto"/>
            <w:shd w:val="clear" w:color="auto" w:fill="auto"/>
            <w:vAlign w:val="bottom"/>
          </w:tcPr>
          <w:p w14:paraId="5556DD8C" w14:textId="77777777" w:rsidR="00F925DD" w:rsidRDefault="00F925DD">
            <w:pPr>
              <w:textAlignment w:val="bottom"/>
              <w:rPr>
                <w:rFonts w:ascii="Times New Roman" w:hAnsi="Times New Roman"/>
                <w:sz w:val="20"/>
                <w:szCs w:val="20"/>
              </w:rPr>
            </w:pPr>
          </w:p>
        </w:tc>
      </w:tr>
      <w:tr w:rsidR="00F925DD" w14:paraId="5556DD98" w14:textId="77777777">
        <w:tc>
          <w:tcPr>
            <w:tcW w:w="0" w:type="auto"/>
            <w:shd w:val="clear" w:color="auto" w:fill="CCEEFF"/>
            <w:tcMar>
              <w:top w:w="40" w:type="dxa"/>
              <w:left w:w="40" w:type="dxa"/>
              <w:bottom w:w="40" w:type="dxa"/>
              <w:right w:w="40" w:type="dxa"/>
            </w:tcMar>
            <w:vAlign w:val="bottom"/>
          </w:tcPr>
          <w:p w14:paraId="5556DD8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Other financial instruments:</w:t>
            </w:r>
          </w:p>
        </w:tc>
        <w:tc>
          <w:tcPr>
            <w:tcW w:w="0" w:type="auto"/>
            <w:gridSpan w:val="3"/>
            <w:shd w:val="clear" w:color="auto" w:fill="CCEEFF"/>
            <w:tcMar>
              <w:top w:w="40" w:type="dxa"/>
              <w:left w:w="40" w:type="dxa"/>
              <w:bottom w:w="40" w:type="dxa"/>
              <w:right w:w="40" w:type="dxa"/>
            </w:tcMar>
            <w:vAlign w:val="bottom"/>
          </w:tcPr>
          <w:p w14:paraId="5556DD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D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D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D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D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D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D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D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D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DA8" w14:textId="77777777">
        <w:tc>
          <w:tcPr>
            <w:tcW w:w="0" w:type="auto"/>
            <w:shd w:val="clear" w:color="auto" w:fill="auto"/>
            <w:tcMar>
              <w:top w:w="40" w:type="dxa"/>
              <w:left w:w="40" w:type="dxa"/>
              <w:bottom w:w="40" w:type="dxa"/>
              <w:right w:w="40" w:type="dxa"/>
            </w:tcMar>
            <w:vAlign w:val="bottom"/>
          </w:tcPr>
          <w:p w14:paraId="5556DD99" w14:textId="77777777" w:rsidR="00F925DD" w:rsidRDefault="00E705D7">
            <w:pPr>
              <w:textAlignment w:val="bottom"/>
              <w:rPr>
                <w:rFonts w:ascii="Times New Roman" w:hAnsi="Times New Roman"/>
                <w:sz w:val="15"/>
                <w:szCs w:val="15"/>
              </w:rPr>
            </w:pPr>
            <w:r>
              <w:rPr>
                <w:rFonts w:ascii="Arial" w:eastAsia="宋体" w:hAnsi="Arial" w:cs="Arial"/>
                <w:sz w:val="15"/>
                <w:szCs w:val="15"/>
              </w:rPr>
              <w:t>Resale agreements and securities borrowing(7)(8)</w:t>
            </w:r>
          </w:p>
        </w:tc>
        <w:tc>
          <w:tcPr>
            <w:tcW w:w="0" w:type="auto"/>
            <w:gridSpan w:val="2"/>
            <w:shd w:val="clear" w:color="auto" w:fill="auto"/>
            <w:tcMar>
              <w:top w:w="40" w:type="dxa"/>
              <w:left w:w="40" w:type="dxa"/>
              <w:bottom w:w="40" w:type="dxa"/>
            </w:tcMar>
            <w:vAlign w:val="bottom"/>
          </w:tcPr>
          <w:p w14:paraId="5556DD9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116,143</w:t>
            </w:r>
          </w:p>
        </w:tc>
        <w:tc>
          <w:tcPr>
            <w:tcW w:w="0" w:type="auto"/>
            <w:shd w:val="clear" w:color="auto" w:fill="auto"/>
            <w:vAlign w:val="bottom"/>
          </w:tcPr>
          <w:p w14:paraId="5556DD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9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(91,889</w:t>
            </w:r>
          </w:p>
        </w:tc>
        <w:tc>
          <w:tcPr>
            <w:tcW w:w="0" w:type="auto"/>
            <w:shd w:val="clear" w:color="auto" w:fill="auto"/>
            <w:tcMar>
              <w:top w:w="40" w:type="dxa"/>
              <w:bottom w:w="40" w:type="dxa"/>
              <w:right w:w="40" w:type="dxa"/>
            </w:tcMar>
            <w:vAlign w:val="bottom"/>
          </w:tcPr>
          <w:p w14:paraId="5556DD9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DD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A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24,254</w:t>
            </w:r>
          </w:p>
        </w:tc>
        <w:tc>
          <w:tcPr>
            <w:tcW w:w="0" w:type="auto"/>
            <w:shd w:val="clear" w:color="auto" w:fill="auto"/>
            <w:vAlign w:val="bottom"/>
          </w:tcPr>
          <w:p w14:paraId="5556DDA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A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(22,872</w:t>
            </w:r>
          </w:p>
        </w:tc>
        <w:tc>
          <w:tcPr>
            <w:tcW w:w="0" w:type="auto"/>
            <w:shd w:val="clear" w:color="auto" w:fill="auto"/>
            <w:tcMar>
              <w:top w:w="40" w:type="dxa"/>
              <w:bottom w:w="40" w:type="dxa"/>
              <w:right w:w="40" w:type="dxa"/>
            </w:tcMar>
            <w:vAlign w:val="bottom"/>
          </w:tcPr>
          <w:p w14:paraId="5556DDA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DD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DA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1,382</w:t>
            </w:r>
          </w:p>
        </w:tc>
        <w:tc>
          <w:tcPr>
            <w:tcW w:w="0" w:type="auto"/>
            <w:shd w:val="clear" w:color="auto" w:fill="auto"/>
            <w:vAlign w:val="bottom"/>
          </w:tcPr>
          <w:p w14:paraId="5556DDA7" w14:textId="77777777" w:rsidR="00F925DD" w:rsidRDefault="00F925DD">
            <w:pPr>
              <w:textAlignment w:val="bottom"/>
              <w:rPr>
                <w:rFonts w:ascii="Times New Roman" w:hAnsi="Times New Roman"/>
                <w:sz w:val="20"/>
                <w:szCs w:val="20"/>
              </w:rPr>
            </w:pPr>
          </w:p>
        </w:tc>
      </w:tr>
      <w:tr w:rsidR="00F925DD" w14:paraId="5556DDBD" w14:textId="77777777">
        <w:tc>
          <w:tcPr>
            <w:tcW w:w="0" w:type="auto"/>
            <w:shd w:val="clear" w:color="auto" w:fill="CCEEFF"/>
            <w:tcMar>
              <w:top w:w="40" w:type="dxa"/>
              <w:left w:w="40" w:type="dxa"/>
              <w:bottom w:w="40" w:type="dxa"/>
              <w:right w:w="40" w:type="dxa"/>
            </w:tcMar>
            <w:vAlign w:val="bottom"/>
          </w:tcPr>
          <w:p w14:paraId="5556DDA9"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DA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DA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132,542</w:t>
            </w:r>
          </w:p>
        </w:tc>
        <w:tc>
          <w:tcPr>
            <w:tcW w:w="0" w:type="auto"/>
            <w:tcBorders>
              <w:top w:val="single" w:sz="8" w:space="0" w:color="000000"/>
              <w:bottom w:val="double" w:sz="6" w:space="0" w:color="000000"/>
            </w:tcBorders>
            <w:shd w:val="clear" w:color="auto" w:fill="CCEEFF"/>
            <w:vAlign w:val="bottom"/>
          </w:tcPr>
          <w:p w14:paraId="5556DDA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D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DA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DA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(103,099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DB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D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DB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DB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29,443</w:t>
            </w:r>
          </w:p>
        </w:tc>
        <w:tc>
          <w:tcPr>
            <w:tcW w:w="0" w:type="auto"/>
            <w:tcBorders>
              <w:top w:val="single" w:sz="8" w:space="0" w:color="000000"/>
              <w:bottom w:val="double" w:sz="6" w:space="0" w:color="000000"/>
            </w:tcBorders>
            <w:shd w:val="clear" w:color="auto" w:fill="CCEEFF"/>
            <w:vAlign w:val="bottom"/>
          </w:tcPr>
          <w:p w14:paraId="5556DDB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D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DB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DB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(23,092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DDB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DD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DDB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DDB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6,351</w:t>
            </w:r>
          </w:p>
        </w:tc>
        <w:tc>
          <w:tcPr>
            <w:tcW w:w="0" w:type="auto"/>
            <w:tcBorders>
              <w:top w:val="single" w:sz="8" w:space="0" w:color="000000"/>
              <w:bottom w:val="double" w:sz="6" w:space="0" w:color="000000"/>
            </w:tcBorders>
            <w:shd w:val="clear" w:color="auto" w:fill="CCEEFF"/>
            <w:vAlign w:val="bottom"/>
          </w:tcPr>
          <w:p w14:paraId="5556DDBC" w14:textId="77777777" w:rsidR="00F925DD" w:rsidRDefault="00F925DD">
            <w:pPr>
              <w:textAlignment w:val="bottom"/>
              <w:rPr>
                <w:rFonts w:ascii="Times New Roman" w:hAnsi="Times New Roman"/>
                <w:sz w:val="20"/>
                <w:szCs w:val="20"/>
              </w:rPr>
            </w:pPr>
          </w:p>
        </w:tc>
      </w:tr>
    </w:tbl>
    <w:p w14:paraId="5556DDBE"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09"/>
        <w:gridCol w:w="1827"/>
        <w:gridCol w:w="1578"/>
        <w:gridCol w:w="1578"/>
        <w:gridCol w:w="914"/>
      </w:tblGrid>
      <w:tr w:rsidR="00F925DD" w14:paraId="5556DDC0" w14:textId="77777777">
        <w:tc>
          <w:tcPr>
            <w:tcW w:w="0" w:type="auto"/>
            <w:gridSpan w:val="5"/>
            <w:shd w:val="clear" w:color="auto" w:fill="auto"/>
            <w:vAlign w:val="center"/>
          </w:tcPr>
          <w:p w14:paraId="5556DDBF" w14:textId="77777777" w:rsidR="00F925DD" w:rsidRDefault="00F925DD">
            <w:pPr>
              <w:rPr>
                <w:rFonts w:ascii="Times New Roman" w:hAnsi="Times New Roman"/>
                <w:sz w:val="20"/>
                <w:szCs w:val="20"/>
              </w:rPr>
            </w:pPr>
          </w:p>
        </w:tc>
      </w:tr>
      <w:tr w:rsidR="00F925DD" w14:paraId="5556DDC6" w14:textId="77777777">
        <w:tc>
          <w:tcPr>
            <w:tcW w:w="1450" w:type="pct"/>
            <w:shd w:val="clear" w:color="auto" w:fill="auto"/>
            <w:vAlign w:val="center"/>
          </w:tcPr>
          <w:p w14:paraId="5556DDC1" w14:textId="77777777" w:rsidR="00F925DD" w:rsidRDefault="00F925DD">
            <w:pPr>
              <w:rPr>
                <w:rFonts w:ascii="Times New Roman" w:hAnsi="Times New Roman"/>
                <w:sz w:val="20"/>
                <w:szCs w:val="20"/>
              </w:rPr>
            </w:pPr>
          </w:p>
        </w:tc>
        <w:tc>
          <w:tcPr>
            <w:tcW w:w="1100" w:type="pct"/>
            <w:shd w:val="clear" w:color="auto" w:fill="auto"/>
            <w:vAlign w:val="center"/>
          </w:tcPr>
          <w:p w14:paraId="5556DDC2" w14:textId="77777777" w:rsidR="00F925DD" w:rsidRDefault="00F925DD">
            <w:pPr>
              <w:rPr>
                <w:rFonts w:ascii="Times New Roman" w:hAnsi="Times New Roman"/>
                <w:sz w:val="20"/>
                <w:szCs w:val="20"/>
              </w:rPr>
            </w:pPr>
          </w:p>
        </w:tc>
        <w:tc>
          <w:tcPr>
            <w:tcW w:w="950" w:type="pct"/>
            <w:shd w:val="clear" w:color="auto" w:fill="auto"/>
            <w:vAlign w:val="center"/>
          </w:tcPr>
          <w:p w14:paraId="5556DDC3" w14:textId="77777777" w:rsidR="00F925DD" w:rsidRDefault="00F925DD">
            <w:pPr>
              <w:rPr>
                <w:rFonts w:ascii="Times New Roman" w:hAnsi="Times New Roman"/>
                <w:sz w:val="20"/>
                <w:szCs w:val="20"/>
              </w:rPr>
            </w:pPr>
          </w:p>
        </w:tc>
        <w:tc>
          <w:tcPr>
            <w:tcW w:w="950" w:type="pct"/>
            <w:shd w:val="clear" w:color="auto" w:fill="auto"/>
            <w:vAlign w:val="center"/>
          </w:tcPr>
          <w:p w14:paraId="5556DDC4" w14:textId="77777777" w:rsidR="00F925DD" w:rsidRDefault="00F925DD">
            <w:pPr>
              <w:rPr>
                <w:rFonts w:ascii="Times New Roman" w:hAnsi="Times New Roman"/>
                <w:sz w:val="20"/>
                <w:szCs w:val="20"/>
              </w:rPr>
            </w:pPr>
          </w:p>
        </w:tc>
        <w:tc>
          <w:tcPr>
            <w:tcW w:w="550" w:type="pct"/>
            <w:shd w:val="clear" w:color="auto" w:fill="auto"/>
            <w:vAlign w:val="center"/>
          </w:tcPr>
          <w:p w14:paraId="5556DDC5" w14:textId="77777777" w:rsidR="00F925DD" w:rsidRDefault="00F925DD">
            <w:pPr>
              <w:rPr>
                <w:rFonts w:ascii="Times New Roman" w:hAnsi="Times New Roman"/>
                <w:sz w:val="20"/>
                <w:szCs w:val="20"/>
              </w:rPr>
            </w:pPr>
          </w:p>
        </w:tc>
      </w:tr>
      <w:tr w:rsidR="00F925DD" w14:paraId="5556DDC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D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D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D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D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D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DCD"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Amounts include all transactions regardless of whether or not they are subject to an enforceable netting arrangement.</w:t>
      </w:r>
    </w:p>
    <w:p w14:paraId="5556DDCE"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 xml:space="preserve">Refer to Note 1 and </w:t>
      </w:r>
      <w:r>
        <w:rPr>
          <w:rFonts w:ascii="Arial" w:eastAsia="宋体" w:hAnsi="Arial" w:cs="Arial"/>
          <w:sz w:val="14"/>
          <w:szCs w:val="14"/>
        </w:rPr>
        <w:t>Note 2 for additional information about the measurement basis of derivative instruments.</w:t>
      </w:r>
    </w:p>
    <w:p w14:paraId="5556DDCF"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(3) </w:t>
      </w:r>
      <w:r>
        <w:rPr>
          <w:rFonts w:ascii="Arial" w:eastAsia="宋体" w:hAnsi="Arial" w:cs="Arial"/>
          <w:sz w:val="14"/>
          <w:szCs w:val="14"/>
        </w:rPr>
        <w:t>Amounts subject to netting arrangements which have been determined to be legally enforceable and eligible for netting in the consolidated statement of condition.</w:t>
      </w:r>
    </w:p>
    <w:p w14:paraId="5556DDD0"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w:t>
      </w:r>
      <w:r>
        <w:rPr>
          <w:rFonts w:ascii="Arial" w:eastAsia="宋体" w:hAnsi="Arial" w:cs="Arial"/>
          <w:sz w:val="10"/>
          <w:szCs w:val="10"/>
        </w:rPr>
        <w:t>4)</w:t>
      </w:r>
      <w:r>
        <w:rPr>
          <w:rFonts w:ascii="Arial" w:eastAsia="宋体" w:hAnsi="Arial" w:cs="Arial"/>
          <w:sz w:val="14"/>
          <w:szCs w:val="14"/>
        </w:rPr>
        <w:t xml:space="preserve"> Includes securities in connection with our securities borrowing transactions.</w:t>
      </w:r>
    </w:p>
    <w:p w14:paraId="5556DDD1"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(5) </w:t>
      </w:r>
      <w:r>
        <w:rPr>
          <w:rFonts w:ascii="Arial" w:eastAsia="宋体" w:hAnsi="Arial" w:cs="Arial"/>
          <w:sz w:val="14"/>
          <w:szCs w:val="14"/>
        </w:rPr>
        <w:t>Includes amounts secured by collateral not determined to be subject to enforceable netting arrangements.</w:t>
      </w:r>
    </w:p>
    <w:p w14:paraId="5556DDD2"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(6)</w:t>
      </w:r>
      <w:r>
        <w:rPr>
          <w:rFonts w:ascii="Arial" w:eastAsia="宋体" w:hAnsi="Arial" w:cs="Arial"/>
          <w:sz w:val="14"/>
          <w:szCs w:val="14"/>
        </w:rPr>
        <w:t xml:space="preserve"> Variation margin payments presented as settlements rather than</w:t>
      </w:r>
      <w:r>
        <w:rPr>
          <w:rFonts w:ascii="Arial" w:eastAsia="宋体" w:hAnsi="Arial" w:cs="Arial"/>
          <w:sz w:val="14"/>
          <w:szCs w:val="14"/>
        </w:rPr>
        <w:t xml:space="preserve"> collateral.</w:t>
      </w:r>
    </w:p>
    <w:p w14:paraId="5556DDD3"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(7) </w:t>
      </w:r>
      <w:r>
        <w:rPr>
          <w:rFonts w:ascii="Arial" w:eastAsia="宋体" w:hAnsi="Arial" w:cs="Arial"/>
          <w:sz w:val="14"/>
          <w:szCs w:val="14"/>
        </w:rPr>
        <w:t>Included in the $20.01 billion as of December 31, 2019 were $1.49 billion of resale agreements and $18.52 billion of collateral provided related to securities borrowing. Included in the $24.25 billion as of December 31, 2018 were $4.68 bil</w:t>
      </w:r>
      <w:r>
        <w:rPr>
          <w:rFonts w:ascii="Arial" w:eastAsia="宋体" w:hAnsi="Arial" w:cs="Arial"/>
          <w:sz w:val="14"/>
          <w:szCs w:val="14"/>
        </w:rPr>
        <w:t>lion of resale agreements and $19.58 billion of collateral provided related to securities borrowing. Resale agreements and collateral provided related to securities borrowing were recorded in securities purchased under resale agreements and other assets, r</w:t>
      </w:r>
      <w:r>
        <w:rPr>
          <w:rFonts w:ascii="Arial" w:eastAsia="宋体" w:hAnsi="Arial" w:cs="Arial"/>
          <w:sz w:val="14"/>
          <w:szCs w:val="14"/>
        </w:rPr>
        <w:t>espectively, in our consolidated statement of condition. Refer to Note 12 for additional information with respect to principal securities finance transactions.</w:t>
      </w:r>
    </w:p>
    <w:p w14:paraId="5556DDD4"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(8) </w:t>
      </w:r>
      <w:r>
        <w:rPr>
          <w:rFonts w:ascii="Arial" w:eastAsia="宋体" w:hAnsi="Arial" w:cs="Arial"/>
          <w:sz w:val="14"/>
          <w:szCs w:val="14"/>
        </w:rPr>
        <w:t>Offsetting of resale agreements primarily relates to our involvement in FICC, where we settl</w:t>
      </w:r>
      <w:r>
        <w:rPr>
          <w:rFonts w:ascii="Arial" w:eastAsia="宋体" w:hAnsi="Arial" w:cs="Arial"/>
          <w:sz w:val="14"/>
          <w:szCs w:val="14"/>
        </w:rPr>
        <w:t>e transactions on a net basis for payment and delivery through the Fedwire system.</w:t>
      </w:r>
    </w:p>
    <w:p w14:paraId="5556DDD5"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NA</w:t>
      </w:r>
      <w:r>
        <w:rPr>
          <w:rFonts w:ascii="Arial" w:eastAsia="宋体" w:hAnsi="Arial" w:cs="Arial"/>
          <w:sz w:val="14"/>
          <w:szCs w:val="14"/>
        </w:rPr>
        <w:t xml:space="preserve"> Not applicable</w:t>
      </w:r>
    </w:p>
    <w:p w14:paraId="5556DDD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tables present information about the offsetting of liabilities related to derivative contracts and secured financing transactions, as of the </w:t>
      </w:r>
      <w:r>
        <w:rPr>
          <w:rFonts w:ascii="Arial" w:eastAsia="宋体" w:hAnsi="Arial" w:cs="Arial"/>
          <w:sz w:val="20"/>
          <w:szCs w:val="20"/>
        </w:rPr>
        <w:t>dates indicated:</w:t>
      </w:r>
    </w:p>
    <w:tbl>
      <w:tblPr>
        <w:tblW w:w="5000" w:type="pct"/>
        <w:tblCellMar>
          <w:left w:w="0" w:type="dxa"/>
          <w:right w:w="0" w:type="dxa"/>
        </w:tblCellMar>
        <w:tblLook w:val="04A0" w:firstRow="1" w:lastRow="0" w:firstColumn="1" w:lastColumn="0" w:noHBand="0" w:noVBand="1"/>
      </w:tblPr>
      <w:tblGrid>
        <w:gridCol w:w="1931"/>
        <w:gridCol w:w="125"/>
        <w:gridCol w:w="976"/>
        <w:gridCol w:w="81"/>
        <w:gridCol w:w="130"/>
        <w:gridCol w:w="125"/>
        <w:gridCol w:w="1003"/>
        <w:gridCol w:w="90"/>
        <w:gridCol w:w="130"/>
        <w:gridCol w:w="125"/>
        <w:gridCol w:w="1185"/>
        <w:gridCol w:w="90"/>
        <w:gridCol w:w="130"/>
        <w:gridCol w:w="125"/>
        <w:gridCol w:w="936"/>
        <w:gridCol w:w="91"/>
        <w:gridCol w:w="130"/>
        <w:gridCol w:w="125"/>
        <w:gridCol w:w="687"/>
        <w:gridCol w:w="91"/>
      </w:tblGrid>
      <w:tr w:rsidR="00F925DD" w14:paraId="5556DDD8" w14:textId="77777777">
        <w:tc>
          <w:tcPr>
            <w:tcW w:w="0" w:type="auto"/>
            <w:gridSpan w:val="20"/>
            <w:shd w:val="clear" w:color="auto" w:fill="auto"/>
            <w:vAlign w:val="center"/>
          </w:tcPr>
          <w:p w14:paraId="5556DDD7" w14:textId="77777777" w:rsidR="00F925DD" w:rsidRDefault="00F925DD">
            <w:pPr>
              <w:rPr>
                <w:rFonts w:ascii="Times New Roman" w:hAnsi="Times New Roman"/>
                <w:sz w:val="20"/>
                <w:szCs w:val="20"/>
              </w:rPr>
            </w:pPr>
          </w:p>
        </w:tc>
      </w:tr>
      <w:tr w:rsidR="00F925DD" w14:paraId="5556DDED" w14:textId="77777777">
        <w:tc>
          <w:tcPr>
            <w:tcW w:w="1200" w:type="pct"/>
            <w:shd w:val="clear" w:color="auto" w:fill="auto"/>
            <w:vAlign w:val="center"/>
          </w:tcPr>
          <w:p w14:paraId="5556DDD9" w14:textId="77777777" w:rsidR="00F925DD" w:rsidRDefault="00F925DD">
            <w:pPr>
              <w:rPr>
                <w:rFonts w:ascii="Times New Roman" w:hAnsi="Times New Roman"/>
                <w:sz w:val="20"/>
                <w:szCs w:val="20"/>
              </w:rPr>
            </w:pPr>
          </w:p>
        </w:tc>
        <w:tc>
          <w:tcPr>
            <w:tcW w:w="50" w:type="pct"/>
            <w:shd w:val="clear" w:color="auto" w:fill="auto"/>
            <w:vAlign w:val="center"/>
          </w:tcPr>
          <w:p w14:paraId="5556DDDA" w14:textId="77777777" w:rsidR="00F925DD" w:rsidRDefault="00F925DD">
            <w:pPr>
              <w:rPr>
                <w:rFonts w:ascii="Times New Roman" w:hAnsi="Times New Roman"/>
                <w:sz w:val="20"/>
                <w:szCs w:val="20"/>
              </w:rPr>
            </w:pPr>
          </w:p>
        </w:tc>
        <w:tc>
          <w:tcPr>
            <w:tcW w:w="600" w:type="pct"/>
            <w:shd w:val="clear" w:color="auto" w:fill="auto"/>
            <w:vAlign w:val="center"/>
          </w:tcPr>
          <w:p w14:paraId="5556DDDB" w14:textId="77777777" w:rsidR="00F925DD" w:rsidRDefault="00F925DD">
            <w:pPr>
              <w:rPr>
                <w:rFonts w:ascii="Times New Roman" w:hAnsi="Times New Roman"/>
                <w:sz w:val="20"/>
                <w:szCs w:val="20"/>
              </w:rPr>
            </w:pPr>
          </w:p>
        </w:tc>
        <w:tc>
          <w:tcPr>
            <w:tcW w:w="50" w:type="pct"/>
            <w:shd w:val="clear" w:color="auto" w:fill="auto"/>
            <w:vAlign w:val="center"/>
          </w:tcPr>
          <w:p w14:paraId="5556DDDC" w14:textId="77777777" w:rsidR="00F925DD" w:rsidRDefault="00F925DD">
            <w:pPr>
              <w:rPr>
                <w:rFonts w:ascii="Times New Roman" w:hAnsi="Times New Roman"/>
                <w:sz w:val="20"/>
                <w:szCs w:val="20"/>
              </w:rPr>
            </w:pPr>
          </w:p>
        </w:tc>
        <w:tc>
          <w:tcPr>
            <w:tcW w:w="50" w:type="pct"/>
            <w:shd w:val="clear" w:color="auto" w:fill="auto"/>
            <w:vAlign w:val="center"/>
          </w:tcPr>
          <w:p w14:paraId="5556DDDD" w14:textId="77777777" w:rsidR="00F925DD" w:rsidRDefault="00F925DD">
            <w:pPr>
              <w:rPr>
                <w:rFonts w:ascii="Times New Roman" w:hAnsi="Times New Roman"/>
                <w:sz w:val="20"/>
                <w:szCs w:val="20"/>
              </w:rPr>
            </w:pPr>
          </w:p>
        </w:tc>
        <w:tc>
          <w:tcPr>
            <w:tcW w:w="50" w:type="pct"/>
            <w:shd w:val="clear" w:color="auto" w:fill="auto"/>
            <w:vAlign w:val="center"/>
          </w:tcPr>
          <w:p w14:paraId="5556DDDE" w14:textId="77777777" w:rsidR="00F925DD" w:rsidRDefault="00F925DD">
            <w:pPr>
              <w:rPr>
                <w:rFonts w:ascii="Times New Roman" w:hAnsi="Times New Roman"/>
                <w:sz w:val="20"/>
                <w:szCs w:val="20"/>
              </w:rPr>
            </w:pPr>
          </w:p>
        </w:tc>
        <w:tc>
          <w:tcPr>
            <w:tcW w:w="700" w:type="pct"/>
            <w:shd w:val="clear" w:color="auto" w:fill="auto"/>
            <w:vAlign w:val="center"/>
          </w:tcPr>
          <w:p w14:paraId="5556DDDF" w14:textId="77777777" w:rsidR="00F925DD" w:rsidRDefault="00F925DD">
            <w:pPr>
              <w:rPr>
                <w:rFonts w:ascii="Times New Roman" w:hAnsi="Times New Roman"/>
                <w:sz w:val="20"/>
                <w:szCs w:val="20"/>
              </w:rPr>
            </w:pPr>
          </w:p>
        </w:tc>
        <w:tc>
          <w:tcPr>
            <w:tcW w:w="50" w:type="pct"/>
            <w:shd w:val="clear" w:color="auto" w:fill="auto"/>
            <w:vAlign w:val="center"/>
          </w:tcPr>
          <w:p w14:paraId="5556DDE0" w14:textId="77777777" w:rsidR="00F925DD" w:rsidRDefault="00F925DD">
            <w:pPr>
              <w:rPr>
                <w:rFonts w:ascii="Times New Roman" w:hAnsi="Times New Roman"/>
                <w:sz w:val="20"/>
                <w:szCs w:val="20"/>
              </w:rPr>
            </w:pPr>
          </w:p>
        </w:tc>
        <w:tc>
          <w:tcPr>
            <w:tcW w:w="50" w:type="pct"/>
            <w:shd w:val="clear" w:color="auto" w:fill="auto"/>
            <w:vAlign w:val="center"/>
          </w:tcPr>
          <w:p w14:paraId="5556DDE1" w14:textId="77777777" w:rsidR="00F925DD" w:rsidRDefault="00F925DD">
            <w:pPr>
              <w:rPr>
                <w:rFonts w:ascii="Times New Roman" w:hAnsi="Times New Roman"/>
                <w:sz w:val="20"/>
                <w:szCs w:val="20"/>
              </w:rPr>
            </w:pPr>
          </w:p>
        </w:tc>
        <w:tc>
          <w:tcPr>
            <w:tcW w:w="50" w:type="pct"/>
            <w:shd w:val="clear" w:color="auto" w:fill="auto"/>
            <w:vAlign w:val="center"/>
          </w:tcPr>
          <w:p w14:paraId="5556DDE2" w14:textId="77777777" w:rsidR="00F925DD" w:rsidRDefault="00F925DD">
            <w:pPr>
              <w:rPr>
                <w:rFonts w:ascii="Times New Roman" w:hAnsi="Times New Roman"/>
                <w:sz w:val="20"/>
                <w:szCs w:val="20"/>
              </w:rPr>
            </w:pPr>
          </w:p>
        </w:tc>
        <w:tc>
          <w:tcPr>
            <w:tcW w:w="750" w:type="pct"/>
            <w:shd w:val="clear" w:color="auto" w:fill="auto"/>
            <w:vAlign w:val="center"/>
          </w:tcPr>
          <w:p w14:paraId="5556DDE3" w14:textId="77777777" w:rsidR="00F925DD" w:rsidRDefault="00F925DD">
            <w:pPr>
              <w:rPr>
                <w:rFonts w:ascii="Times New Roman" w:hAnsi="Times New Roman"/>
                <w:sz w:val="20"/>
                <w:szCs w:val="20"/>
              </w:rPr>
            </w:pPr>
          </w:p>
        </w:tc>
        <w:tc>
          <w:tcPr>
            <w:tcW w:w="50" w:type="pct"/>
            <w:shd w:val="clear" w:color="auto" w:fill="auto"/>
            <w:vAlign w:val="center"/>
          </w:tcPr>
          <w:p w14:paraId="5556DDE4" w14:textId="77777777" w:rsidR="00F925DD" w:rsidRDefault="00F925DD">
            <w:pPr>
              <w:rPr>
                <w:rFonts w:ascii="Times New Roman" w:hAnsi="Times New Roman"/>
                <w:sz w:val="20"/>
                <w:szCs w:val="20"/>
              </w:rPr>
            </w:pPr>
          </w:p>
        </w:tc>
        <w:tc>
          <w:tcPr>
            <w:tcW w:w="50" w:type="pct"/>
            <w:shd w:val="clear" w:color="auto" w:fill="auto"/>
            <w:vAlign w:val="center"/>
          </w:tcPr>
          <w:p w14:paraId="5556DDE5" w14:textId="77777777" w:rsidR="00F925DD" w:rsidRDefault="00F925DD">
            <w:pPr>
              <w:rPr>
                <w:rFonts w:ascii="Times New Roman" w:hAnsi="Times New Roman"/>
                <w:sz w:val="20"/>
                <w:szCs w:val="20"/>
              </w:rPr>
            </w:pPr>
          </w:p>
        </w:tc>
        <w:tc>
          <w:tcPr>
            <w:tcW w:w="50" w:type="pct"/>
            <w:shd w:val="clear" w:color="auto" w:fill="auto"/>
            <w:vAlign w:val="center"/>
          </w:tcPr>
          <w:p w14:paraId="5556DDE6" w14:textId="77777777" w:rsidR="00F925DD" w:rsidRDefault="00F925DD">
            <w:pPr>
              <w:rPr>
                <w:rFonts w:ascii="Times New Roman" w:hAnsi="Times New Roman"/>
                <w:sz w:val="20"/>
                <w:szCs w:val="20"/>
              </w:rPr>
            </w:pPr>
          </w:p>
        </w:tc>
        <w:tc>
          <w:tcPr>
            <w:tcW w:w="600" w:type="pct"/>
            <w:shd w:val="clear" w:color="auto" w:fill="auto"/>
            <w:vAlign w:val="center"/>
          </w:tcPr>
          <w:p w14:paraId="5556DDE7" w14:textId="77777777" w:rsidR="00F925DD" w:rsidRDefault="00F925DD">
            <w:pPr>
              <w:rPr>
                <w:rFonts w:ascii="Times New Roman" w:hAnsi="Times New Roman"/>
                <w:sz w:val="20"/>
                <w:szCs w:val="20"/>
              </w:rPr>
            </w:pPr>
          </w:p>
        </w:tc>
        <w:tc>
          <w:tcPr>
            <w:tcW w:w="50" w:type="pct"/>
            <w:shd w:val="clear" w:color="auto" w:fill="auto"/>
            <w:vAlign w:val="center"/>
          </w:tcPr>
          <w:p w14:paraId="5556DDE8" w14:textId="77777777" w:rsidR="00F925DD" w:rsidRDefault="00F925DD">
            <w:pPr>
              <w:rPr>
                <w:rFonts w:ascii="Times New Roman" w:hAnsi="Times New Roman"/>
                <w:sz w:val="20"/>
                <w:szCs w:val="20"/>
              </w:rPr>
            </w:pPr>
          </w:p>
        </w:tc>
        <w:tc>
          <w:tcPr>
            <w:tcW w:w="50" w:type="pct"/>
            <w:shd w:val="clear" w:color="auto" w:fill="auto"/>
            <w:vAlign w:val="center"/>
          </w:tcPr>
          <w:p w14:paraId="5556DDE9" w14:textId="77777777" w:rsidR="00F925DD" w:rsidRDefault="00F925DD">
            <w:pPr>
              <w:rPr>
                <w:rFonts w:ascii="Times New Roman" w:hAnsi="Times New Roman"/>
                <w:sz w:val="20"/>
                <w:szCs w:val="20"/>
              </w:rPr>
            </w:pPr>
          </w:p>
        </w:tc>
        <w:tc>
          <w:tcPr>
            <w:tcW w:w="50" w:type="pct"/>
            <w:shd w:val="clear" w:color="auto" w:fill="auto"/>
            <w:vAlign w:val="center"/>
          </w:tcPr>
          <w:p w14:paraId="5556DDEA" w14:textId="77777777" w:rsidR="00F925DD" w:rsidRDefault="00F925DD">
            <w:pPr>
              <w:rPr>
                <w:rFonts w:ascii="Times New Roman" w:hAnsi="Times New Roman"/>
                <w:sz w:val="20"/>
                <w:szCs w:val="20"/>
              </w:rPr>
            </w:pPr>
          </w:p>
        </w:tc>
        <w:tc>
          <w:tcPr>
            <w:tcW w:w="450" w:type="pct"/>
            <w:shd w:val="clear" w:color="auto" w:fill="auto"/>
            <w:vAlign w:val="center"/>
          </w:tcPr>
          <w:p w14:paraId="5556DDEB" w14:textId="77777777" w:rsidR="00F925DD" w:rsidRDefault="00F925DD">
            <w:pPr>
              <w:rPr>
                <w:rFonts w:ascii="Times New Roman" w:hAnsi="Times New Roman"/>
                <w:sz w:val="20"/>
                <w:szCs w:val="20"/>
              </w:rPr>
            </w:pPr>
          </w:p>
        </w:tc>
        <w:tc>
          <w:tcPr>
            <w:tcW w:w="50" w:type="pct"/>
            <w:shd w:val="clear" w:color="auto" w:fill="auto"/>
            <w:vAlign w:val="center"/>
          </w:tcPr>
          <w:p w14:paraId="5556DDEC" w14:textId="77777777" w:rsidR="00F925DD" w:rsidRDefault="00F925DD">
            <w:pPr>
              <w:rPr>
                <w:rFonts w:ascii="Times New Roman" w:hAnsi="Times New Roman"/>
                <w:sz w:val="20"/>
                <w:szCs w:val="20"/>
              </w:rPr>
            </w:pPr>
          </w:p>
        </w:tc>
      </w:tr>
      <w:tr w:rsidR="00F925DD" w14:paraId="5556DDF0" w14:textId="77777777">
        <w:tc>
          <w:tcPr>
            <w:tcW w:w="0" w:type="auto"/>
            <w:shd w:val="clear" w:color="auto" w:fill="auto"/>
            <w:tcMar>
              <w:top w:w="40" w:type="dxa"/>
              <w:left w:w="40" w:type="dxa"/>
              <w:bottom w:w="40" w:type="dxa"/>
              <w:right w:w="40" w:type="dxa"/>
            </w:tcMar>
            <w:vAlign w:val="bottom"/>
          </w:tcPr>
          <w:p w14:paraId="5556DDE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Liabilities:</w:t>
            </w:r>
          </w:p>
        </w:tc>
        <w:tc>
          <w:tcPr>
            <w:tcW w:w="0" w:type="auto"/>
            <w:gridSpan w:val="19"/>
            <w:tcBorders>
              <w:bottom w:val="single" w:sz="8" w:space="0" w:color="000000"/>
            </w:tcBorders>
            <w:shd w:val="clear" w:color="auto" w:fill="auto"/>
            <w:tcMar>
              <w:top w:w="40" w:type="dxa"/>
              <w:left w:w="40" w:type="dxa"/>
              <w:bottom w:w="40" w:type="dxa"/>
            </w:tcMar>
            <w:vAlign w:val="bottom"/>
          </w:tcPr>
          <w:p w14:paraId="5556DDE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r>
      <w:tr w:rsidR="00F925DD" w14:paraId="5556DDF9" w14:textId="77777777">
        <w:tc>
          <w:tcPr>
            <w:tcW w:w="0" w:type="auto"/>
            <w:shd w:val="clear" w:color="auto" w:fill="auto"/>
            <w:tcMar>
              <w:top w:w="40" w:type="dxa"/>
              <w:left w:w="40" w:type="dxa"/>
              <w:bottom w:w="40" w:type="dxa"/>
              <w:right w:w="40" w:type="dxa"/>
            </w:tcMar>
            <w:vAlign w:val="bottom"/>
          </w:tcPr>
          <w:p w14:paraId="5556DD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DF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 Amounts of Recognized Liabilities(1)(2)</w:t>
            </w:r>
          </w:p>
        </w:tc>
        <w:tc>
          <w:tcPr>
            <w:tcW w:w="0" w:type="auto"/>
            <w:shd w:val="clear" w:color="auto" w:fill="auto"/>
            <w:tcMar>
              <w:top w:w="40" w:type="dxa"/>
              <w:left w:w="40" w:type="dxa"/>
              <w:bottom w:w="40" w:type="dxa"/>
              <w:right w:w="40" w:type="dxa"/>
            </w:tcMar>
            <w:vAlign w:val="bottom"/>
          </w:tcPr>
          <w:p w14:paraId="5556DD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DF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Gross Amounts Offset in Statement of Condition(3)</w:t>
            </w:r>
          </w:p>
        </w:tc>
        <w:tc>
          <w:tcPr>
            <w:tcW w:w="0" w:type="auto"/>
            <w:shd w:val="clear" w:color="auto" w:fill="auto"/>
            <w:tcMar>
              <w:top w:w="40" w:type="dxa"/>
              <w:left w:w="40" w:type="dxa"/>
              <w:bottom w:w="40" w:type="dxa"/>
              <w:right w:w="40" w:type="dxa"/>
            </w:tcMar>
            <w:vAlign w:val="bottom"/>
          </w:tcPr>
          <w:p w14:paraId="5556DD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DF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Net Amounts of Liabilities Presented in Statement of Condition</w:t>
            </w:r>
          </w:p>
        </w:tc>
        <w:tc>
          <w:tcPr>
            <w:tcW w:w="0" w:type="auto"/>
            <w:shd w:val="clear" w:color="auto" w:fill="auto"/>
            <w:tcMar>
              <w:top w:w="40" w:type="dxa"/>
              <w:left w:w="40" w:type="dxa"/>
              <w:bottom w:w="40" w:type="dxa"/>
              <w:right w:w="40" w:type="dxa"/>
            </w:tcMar>
            <w:vAlign w:val="bottom"/>
          </w:tcPr>
          <w:p w14:paraId="5556DD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DF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Gross </w:t>
            </w:r>
            <w:r>
              <w:rPr>
                <w:rFonts w:ascii="Arial" w:eastAsia="宋体" w:hAnsi="Arial" w:cs="Arial"/>
                <w:b/>
                <w:bCs/>
                <w:sz w:val="15"/>
                <w:szCs w:val="15"/>
              </w:rPr>
              <w:t>Amounts Not Offset in Statement of Condition</w:t>
            </w:r>
          </w:p>
        </w:tc>
      </w:tr>
      <w:tr w:rsidR="00F925DD" w14:paraId="5556DE04" w14:textId="77777777">
        <w:tc>
          <w:tcPr>
            <w:tcW w:w="0" w:type="auto"/>
            <w:shd w:val="clear" w:color="auto" w:fill="auto"/>
            <w:tcMar>
              <w:top w:w="40" w:type="dxa"/>
              <w:left w:w="40" w:type="dxa"/>
              <w:bottom w:w="40" w:type="dxa"/>
              <w:right w:w="40" w:type="dxa"/>
            </w:tcMar>
            <w:vAlign w:val="bottom"/>
          </w:tcPr>
          <w:p w14:paraId="5556DDF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DFB"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DFD"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D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DFF"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E0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Cash and Securities Received(4)</w:t>
            </w:r>
          </w:p>
        </w:tc>
        <w:tc>
          <w:tcPr>
            <w:tcW w:w="0" w:type="auto"/>
            <w:tcBorders>
              <w:top w:val="single" w:sz="8" w:space="0" w:color="000000"/>
            </w:tcBorders>
            <w:shd w:val="clear" w:color="auto" w:fill="auto"/>
            <w:tcMar>
              <w:top w:w="40" w:type="dxa"/>
              <w:left w:w="40" w:type="dxa"/>
              <w:bottom w:w="40" w:type="dxa"/>
              <w:right w:w="40" w:type="dxa"/>
            </w:tcMar>
            <w:vAlign w:val="bottom"/>
          </w:tcPr>
          <w:p w14:paraId="5556DE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E0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Net Amount(5)</w:t>
            </w:r>
          </w:p>
        </w:tc>
      </w:tr>
      <w:tr w:rsidR="00F925DD" w14:paraId="5556DE0C" w14:textId="77777777">
        <w:tc>
          <w:tcPr>
            <w:tcW w:w="0" w:type="auto"/>
            <w:gridSpan w:val="8"/>
            <w:shd w:val="clear" w:color="auto" w:fill="auto"/>
            <w:tcMar>
              <w:top w:w="40" w:type="dxa"/>
              <w:left w:w="40" w:type="dxa"/>
              <w:bottom w:w="40" w:type="dxa"/>
              <w:right w:w="40" w:type="dxa"/>
            </w:tcMar>
            <w:vAlign w:val="bottom"/>
          </w:tcPr>
          <w:p w14:paraId="5556DE0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Derivatives:</w:t>
            </w:r>
          </w:p>
        </w:tc>
        <w:tc>
          <w:tcPr>
            <w:tcW w:w="0" w:type="auto"/>
            <w:shd w:val="clear" w:color="auto" w:fill="auto"/>
            <w:tcMar>
              <w:top w:w="40" w:type="dxa"/>
              <w:left w:w="40" w:type="dxa"/>
              <w:bottom w:w="40" w:type="dxa"/>
              <w:right w:w="40" w:type="dxa"/>
            </w:tcMar>
            <w:vAlign w:val="bottom"/>
          </w:tcPr>
          <w:p w14:paraId="5556DE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E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E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E21" w14:textId="77777777">
        <w:tc>
          <w:tcPr>
            <w:tcW w:w="0" w:type="auto"/>
            <w:shd w:val="clear" w:color="auto" w:fill="CCEEFF"/>
            <w:tcMar>
              <w:top w:w="40" w:type="dxa"/>
              <w:left w:w="40" w:type="dxa"/>
              <w:bottom w:w="40" w:type="dxa"/>
              <w:right w:w="40" w:type="dxa"/>
            </w:tcMar>
            <w:vAlign w:val="bottom"/>
          </w:tcPr>
          <w:p w14:paraId="5556DE0D"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contracts</w:t>
            </w:r>
          </w:p>
        </w:tc>
        <w:tc>
          <w:tcPr>
            <w:tcW w:w="0" w:type="auto"/>
            <w:shd w:val="clear" w:color="auto" w:fill="CCEEFF"/>
            <w:tcMar>
              <w:top w:w="40" w:type="dxa"/>
              <w:left w:w="40" w:type="dxa"/>
              <w:bottom w:w="40" w:type="dxa"/>
            </w:tcMar>
            <w:vAlign w:val="bottom"/>
          </w:tcPr>
          <w:p w14:paraId="5556DE0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E0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15,150</w:t>
            </w:r>
          </w:p>
        </w:tc>
        <w:tc>
          <w:tcPr>
            <w:tcW w:w="0" w:type="auto"/>
            <w:shd w:val="clear" w:color="auto" w:fill="CCEEFF"/>
            <w:vAlign w:val="bottom"/>
          </w:tcPr>
          <w:p w14:paraId="5556DE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E1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E1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(8,081</w:t>
            </w:r>
          </w:p>
        </w:tc>
        <w:tc>
          <w:tcPr>
            <w:tcW w:w="0" w:type="auto"/>
            <w:shd w:val="clear" w:color="auto" w:fill="CCEEFF"/>
            <w:tcMar>
              <w:top w:w="40" w:type="dxa"/>
              <w:bottom w:w="40" w:type="dxa"/>
              <w:right w:w="40" w:type="dxa"/>
            </w:tcMar>
            <w:vAlign w:val="bottom"/>
          </w:tcPr>
          <w:p w14:paraId="5556DE1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E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E1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E1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7,069</w:t>
            </w:r>
          </w:p>
        </w:tc>
        <w:tc>
          <w:tcPr>
            <w:tcW w:w="0" w:type="auto"/>
            <w:shd w:val="clear" w:color="auto" w:fill="CCEEFF"/>
            <w:vAlign w:val="bottom"/>
          </w:tcPr>
          <w:p w14:paraId="5556DE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E1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E1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DE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E1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E1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7,069</w:t>
            </w:r>
          </w:p>
        </w:tc>
        <w:tc>
          <w:tcPr>
            <w:tcW w:w="0" w:type="auto"/>
            <w:shd w:val="clear" w:color="auto" w:fill="CCEEFF"/>
            <w:vAlign w:val="bottom"/>
          </w:tcPr>
          <w:p w14:paraId="5556DE20" w14:textId="77777777" w:rsidR="00F925DD" w:rsidRDefault="00F925DD">
            <w:pPr>
              <w:textAlignment w:val="bottom"/>
              <w:rPr>
                <w:rFonts w:ascii="Times New Roman" w:hAnsi="Times New Roman"/>
                <w:sz w:val="20"/>
                <w:szCs w:val="20"/>
              </w:rPr>
            </w:pPr>
          </w:p>
        </w:tc>
      </w:tr>
      <w:tr w:rsidR="00F925DD" w14:paraId="5556DE31" w14:textId="77777777">
        <w:tc>
          <w:tcPr>
            <w:tcW w:w="0" w:type="auto"/>
            <w:shd w:val="clear" w:color="auto" w:fill="auto"/>
            <w:tcMar>
              <w:top w:w="40" w:type="dxa"/>
              <w:left w:w="40" w:type="dxa"/>
              <w:bottom w:w="40" w:type="dxa"/>
              <w:right w:w="40" w:type="dxa"/>
            </w:tcMar>
            <w:vAlign w:val="bottom"/>
          </w:tcPr>
          <w:p w14:paraId="5556DE22" w14:textId="77777777" w:rsidR="00F925DD" w:rsidRDefault="00E705D7">
            <w:pPr>
              <w:textAlignment w:val="bottom"/>
              <w:rPr>
                <w:rFonts w:ascii="Times New Roman" w:hAnsi="Times New Roman"/>
                <w:sz w:val="15"/>
                <w:szCs w:val="15"/>
              </w:rPr>
            </w:pPr>
            <w:r>
              <w:rPr>
                <w:rFonts w:ascii="Arial" w:eastAsia="宋体" w:hAnsi="Arial" w:cs="Arial"/>
                <w:sz w:val="15"/>
                <w:szCs w:val="15"/>
              </w:rPr>
              <w:t>Interest rate contracts(6)</w:t>
            </w:r>
          </w:p>
        </w:tc>
        <w:tc>
          <w:tcPr>
            <w:tcW w:w="0" w:type="auto"/>
            <w:gridSpan w:val="2"/>
            <w:shd w:val="clear" w:color="auto" w:fill="auto"/>
            <w:tcMar>
              <w:top w:w="40" w:type="dxa"/>
              <w:left w:w="40" w:type="dxa"/>
              <w:bottom w:w="40" w:type="dxa"/>
            </w:tcMar>
            <w:vAlign w:val="bottom"/>
          </w:tcPr>
          <w:p w14:paraId="5556DE2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49</w:t>
            </w:r>
          </w:p>
        </w:tc>
        <w:tc>
          <w:tcPr>
            <w:tcW w:w="0" w:type="auto"/>
            <w:shd w:val="clear" w:color="auto" w:fill="auto"/>
            <w:vAlign w:val="bottom"/>
          </w:tcPr>
          <w:p w14:paraId="5556DE2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E2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w:t>
            </w:r>
          </w:p>
        </w:tc>
        <w:tc>
          <w:tcPr>
            <w:tcW w:w="0" w:type="auto"/>
            <w:shd w:val="clear" w:color="auto" w:fill="auto"/>
            <w:tcMar>
              <w:top w:w="40" w:type="dxa"/>
              <w:bottom w:w="40" w:type="dxa"/>
              <w:right w:w="40" w:type="dxa"/>
            </w:tcMar>
            <w:vAlign w:val="bottom"/>
          </w:tcPr>
          <w:p w14:paraId="5556DE2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E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E2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45</w:t>
            </w:r>
          </w:p>
        </w:tc>
        <w:tc>
          <w:tcPr>
            <w:tcW w:w="0" w:type="auto"/>
            <w:shd w:val="clear" w:color="auto" w:fill="auto"/>
            <w:vAlign w:val="bottom"/>
          </w:tcPr>
          <w:p w14:paraId="5556DE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E2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DE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E2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45</w:t>
            </w:r>
          </w:p>
        </w:tc>
        <w:tc>
          <w:tcPr>
            <w:tcW w:w="0" w:type="auto"/>
            <w:shd w:val="clear" w:color="auto" w:fill="auto"/>
            <w:vAlign w:val="bottom"/>
          </w:tcPr>
          <w:p w14:paraId="5556DE30" w14:textId="77777777" w:rsidR="00F925DD" w:rsidRDefault="00F925DD">
            <w:pPr>
              <w:textAlignment w:val="bottom"/>
              <w:rPr>
                <w:rFonts w:ascii="Times New Roman" w:hAnsi="Times New Roman"/>
                <w:sz w:val="20"/>
                <w:szCs w:val="20"/>
              </w:rPr>
            </w:pPr>
          </w:p>
        </w:tc>
      </w:tr>
      <w:tr w:rsidR="00F925DD" w14:paraId="5556DE41" w14:textId="77777777">
        <w:tc>
          <w:tcPr>
            <w:tcW w:w="0" w:type="auto"/>
            <w:shd w:val="clear" w:color="auto" w:fill="CCEEFF"/>
            <w:tcMar>
              <w:top w:w="40" w:type="dxa"/>
              <w:left w:w="40" w:type="dxa"/>
              <w:bottom w:w="40" w:type="dxa"/>
              <w:right w:w="40" w:type="dxa"/>
            </w:tcMar>
            <w:vAlign w:val="bottom"/>
          </w:tcPr>
          <w:p w14:paraId="5556DE32" w14:textId="77777777" w:rsidR="00F925DD" w:rsidRDefault="00E705D7">
            <w:pPr>
              <w:textAlignment w:val="bottom"/>
              <w:rPr>
                <w:rFonts w:ascii="Times New Roman" w:hAnsi="Times New Roman"/>
                <w:sz w:val="15"/>
                <w:szCs w:val="15"/>
              </w:rPr>
            </w:pPr>
            <w:r>
              <w:rPr>
                <w:rFonts w:ascii="Arial" w:eastAsia="宋体" w:hAnsi="Arial" w:cs="Arial"/>
                <w:sz w:val="15"/>
                <w:szCs w:val="15"/>
              </w:rPr>
              <w:t>Other derivative contracts</w:t>
            </w:r>
          </w:p>
        </w:tc>
        <w:tc>
          <w:tcPr>
            <w:tcW w:w="0" w:type="auto"/>
            <w:gridSpan w:val="2"/>
            <w:shd w:val="clear" w:color="auto" w:fill="CCEEFF"/>
            <w:tcMar>
              <w:top w:w="40" w:type="dxa"/>
              <w:left w:w="40" w:type="dxa"/>
              <w:bottom w:w="40" w:type="dxa"/>
            </w:tcMar>
            <w:vAlign w:val="bottom"/>
          </w:tcPr>
          <w:p w14:paraId="5556DE3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w:t>
            </w:r>
          </w:p>
        </w:tc>
        <w:tc>
          <w:tcPr>
            <w:tcW w:w="0" w:type="auto"/>
            <w:shd w:val="clear" w:color="auto" w:fill="CCEEFF"/>
            <w:vAlign w:val="bottom"/>
          </w:tcPr>
          <w:p w14:paraId="5556DE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E3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DE3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E3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w:t>
            </w:r>
          </w:p>
        </w:tc>
        <w:tc>
          <w:tcPr>
            <w:tcW w:w="0" w:type="auto"/>
            <w:shd w:val="clear" w:color="auto" w:fill="CCEEFF"/>
            <w:vAlign w:val="bottom"/>
          </w:tcPr>
          <w:p w14:paraId="5556DE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E3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DE3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E3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182</w:t>
            </w:r>
          </w:p>
        </w:tc>
        <w:tc>
          <w:tcPr>
            <w:tcW w:w="0" w:type="auto"/>
            <w:shd w:val="clear" w:color="auto" w:fill="CCEEFF"/>
            <w:vAlign w:val="bottom"/>
          </w:tcPr>
          <w:p w14:paraId="5556DE40" w14:textId="77777777" w:rsidR="00F925DD" w:rsidRDefault="00F925DD">
            <w:pPr>
              <w:textAlignment w:val="bottom"/>
              <w:rPr>
                <w:rFonts w:ascii="Times New Roman" w:hAnsi="Times New Roman"/>
                <w:sz w:val="20"/>
                <w:szCs w:val="20"/>
              </w:rPr>
            </w:pPr>
          </w:p>
        </w:tc>
      </w:tr>
      <w:tr w:rsidR="00F925DD" w14:paraId="5556DE51" w14:textId="77777777">
        <w:tc>
          <w:tcPr>
            <w:tcW w:w="0" w:type="auto"/>
            <w:shd w:val="clear" w:color="auto" w:fill="auto"/>
            <w:tcMar>
              <w:top w:w="40" w:type="dxa"/>
              <w:left w:w="40" w:type="dxa"/>
              <w:bottom w:w="40" w:type="dxa"/>
              <w:right w:w="40" w:type="dxa"/>
            </w:tcMar>
            <w:vAlign w:val="bottom"/>
          </w:tcPr>
          <w:p w14:paraId="5556DE42" w14:textId="77777777" w:rsidR="00F925DD" w:rsidRDefault="00E705D7">
            <w:pPr>
              <w:textAlignment w:val="bottom"/>
              <w:rPr>
                <w:rFonts w:ascii="Times New Roman" w:hAnsi="Times New Roman"/>
                <w:sz w:val="15"/>
                <w:szCs w:val="15"/>
              </w:rPr>
            </w:pPr>
            <w:r>
              <w:rPr>
                <w:rFonts w:ascii="Arial" w:eastAsia="宋体" w:hAnsi="Arial" w:cs="Arial"/>
                <w:sz w:val="15"/>
                <w:szCs w:val="15"/>
              </w:rPr>
              <w:t>Cash collateral and securities netting</w:t>
            </w:r>
          </w:p>
        </w:tc>
        <w:tc>
          <w:tcPr>
            <w:tcW w:w="0" w:type="auto"/>
            <w:gridSpan w:val="2"/>
            <w:tcBorders>
              <w:bottom w:val="single" w:sz="8" w:space="0" w:color="000000"/>
            </w:tcBorders>
            <w:shd w:val="clear" w:color="auto" w:fill="auto"/>
            <w:tcMar>
              <w:top w:w="40" w:type="dxa"/>
              <w:left w:w="40" w:type="dxa"/>
              <w:bottom w:w="40" w:type="dxa"/>
            </w:tcMar>
            <w:vAlign w:val="bottom"/>
          </w:tcPr>
          <w:p w14:paraId="5556DE4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NA</w:t>
            </w:r>
          </w:p>
        </w:tc>
        <w:tc>
          <w:tcPr>
            <w:tcW w:w="0" w:type="auto"/>
            <w:tcBorders>
              <w:bottom w:val="single" w:sz="8" w:space="0" w:color="000000"/>
            </w:tcBorders>
            <w:shd w:val="clear" w:color="auto" w:fill="auto"/>
            <w:vAlign w:val="bottom"/>
          </w:tcPr>
          <w:p w14:paraId="5556DE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E4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(837</w:t>
            </w:r>
          </w:p>
        </w:tc>
        <w:tc>
          <w:tcPr>
            <w:tcW w:w="0" w:type="auto"/>
            <w:tcBorders>
              <w:bottom w:val="single" w:sz="8" w:space="0" w:color="000000"/>
            </w:tcBorders>
            <w:shd w:val="clear" w:color="auto" w:fill="auto"/>
            <w:tcMar>
              <w:top w:w="40" w:type="dxa"/>
              <w:bottom w:w="40" w:type="dxa"/>
              <w:right w:w="40" w:type="dxa"/>
            </w:tcMar>
            <w:vAlign w:val="bottom"/>
          </w:tcPr>
          <w:p w14:paraId="5556DE4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E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E4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(837</w:t>
            </w:r>
          </w:p>
        </w:tc>
        <w:tc>
          <w:tcPr>
            <w:tcW w:w="0" w:type="auto"/>
            <w:shd w:val="clear" w:color="auto" w:fill="auto"/>
            <w:tcMar>
              <w:top w:w="40" w:type="dxa"/>
              <w:bottom w:w="40" w:type="dxa"/>
              <w:right w:w="40" w:type="dxa"/>
            </w:tcMar>
            <w:vAlign w:val="bottom"/>
          </w:tcPr>
          <w:p w14:paraId="5556DE4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E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E4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(557</w:t>
            </w:r>
          </w:p>
        </w:tc>
        <w:tc>
          <w:tcPr>
            <w:tcW w:w="0" w:type="auto"/>
            <w:tcBorders>
              <w:bottom w:val="single" w:sz="8" w:space="0" w:color="000000"/>
            </w:tcBorders>
            <w:shd w:val="clear" w:color="auto" w:fill="auto"/>
            <w:tcMar>
              <w:top w:w="40" w:type="dxa"/>
              <w:bottom w:w="40" w:type="dxa"/>
              <w:right w:w="40" w:type="dxa"/>
            </w:tcMar>
            <w:vAlign w:val="bottom"/>
          </w:tcPr>
          <w:p w14:paraId="5556DE4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E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E4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(1,394</w:t>
            </w:r>
          </w:p>
        </w:tc>
        <w:tc>
          <w:tcPr>
            <w:tcW w:w="0" w:type="auto"/>
            <w:shd w:val="clear" w:color="auto" w:fill="auto"/>
            <w:tcMar>
              <w:top w:w="40" w:type="dxa"/>
              <w:bottom w:w="40" w:type="dxa"/>
              <w:right w:w="40" w:type="dxa"/>
            </w:tcMar>
            <w:vAlign w:val="bottom"/>
          </w:tcPr>
          <w:p w14:paraId="5556DE5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r>
      <w:tr w:rsidR="00F925DD" w14:paraId="5556DE61" w14:textId="77777777">
        <w:tc>
          <w:tcPr>
            <w:tcW w:w="0" w:type="auto"/>
            <w:shd w:val="clear" w:color="auto" w:fill="CCEEFF"/>
            <w:tcMar>
              <w:top w:w="40" w:type="dxa"/>
              <w:left w:w="40" w:type="dxa"/>
              <w:bottom w:w="40" w:type="dxa"/>
              <w:right w:w="40" w:type="dxa"/>
            </w:tcMar>
            <w:vAlign w:val="bottom"/>
          </w:tcPr>
          <w:p w14:paraId="5556DE52"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derivatives</w:t>
            </w:r>
          </w:p>
        </w:tc>
        <w:tc>
          <w:tcPr>
            <w:tcW w:w="0" w:type="auto"/>
            <w:gridSpan w:val="2"/>
            <w:tcBorders>
              <w:top w:val="single" w:sz="8" w:space="0" w:color="000000"/>
            </w:tcBorders>
            <w:shd w:val="clear" w:color="auto" w:fill="CCEEFF"/>
            <w:tcMar>
              <w:top w:w="40" w:type="dxa"/>
              <w:left w:w="40" w:type="dxa"/>
              <w:bottom w:w="40" w:type="dxa"/>
            </w:tcMar>
            <w:vAlign w:val="bottom"/>
          </w:tcPr>
          <w:p w14:paraId="5556DE5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15,381</w:t>
            </w:r>
          </w:p>
        </w:tc>
        <w:tc>
          <w:tcPr>
            <w:tcW w:w="0" w:type="auto"/>
            <w:tcBorders>
              <w:top w:val="single" w:sz="8" w:space="0" w:color="000000"/>
            </w:tcBorders>
            <w:shd w:val="clear" w:color="auto" w:fill="CCEEFF"/>
            <w:vAlign w:val="bottom"/>
          </w:tcPr>
          <w:p w14:paraId="5556DE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DE5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(8,922</w:t>
            </w:r>
          </w:p>
        </w:tc>
        <w:tc>
          <w:tcPr>
            <w:tcW w:w="0" w:type="auto"/>
            <w:tcBorders>
              <w:top w:val="single" w:sz="8" w:space="0" w:color="000000"/>
            </w:tcBorders>
            <w:shd w:val="clear" w:color="auto" w:fill="CCEEFF"/>
            <w:tcMar>
              <w:top w:w="40" w:type="dxa"/>
              <w:bottom w:w="40" w:type="dxa"/>
              <w:right w:w="40" w:type="dxa"/>
            </w:tcMar>
            <w:vAlign w:val="bottom"/>
          </w:tcPr>
          <w:p w14:paraId="5556DE57"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E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DE5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6,459</w:t>
            </w:r>
          </w:p>
        </w:tc>
        <w:tc>
          <w:tcPr>
            <w:tcW w:w="0" w:type="auto"/>
            <w:tcBorders>
              <w:top w:val="single" w:sz="8" w:space="0" w:color="000000"/>
            </w:tcBorders>
            <w:shd w:val="clear" w:color="auto" w:fill="CCEEFF"/>
            <w:vAlign w:val="bottom"/>
          </w:tcPr>
          <w:p w14:paraId="5556DE5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DE5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(557</w:t>
            </w:r>
          </w:p>
        </w:tc>
        <w:tc>
          <w:tcPr>
            <w:tcW w:w="0" w:type="auto"/>
            <w:tcBorders>
              <w:top w:val="single" w:sz="8" w:space="0" w:color="000000"/>
            </w:tcBorders>
            <w:shd w:val="clear" w:color="auto" w:fill="CCEEFF"/>
            <w:tcMar>
              <w:top w:w="40" w:type="dxa"/>
              <w:bottom w:w="40" w:type="dxa"/>
              <w:right w:w="40" w:type="dxa"/>
            </w:tcMar>
            <w:vAlign w:val="bottom"/>
          </w:tcPr>
          <w:p w14:paraId="5556DE5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E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DE5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5,902</w:t>
            </w:r>
          </w:p>
        </w:tc>
        <w:tc>
          <w:tcPr>
            <w:tcW w:w="0" w:type="auto"/>
            <w:tcBorders>
              <w:top w:val="single" w:sz="8" w:space="0" w:color="000000"/>
            </w:tcBorders>
            <w:shd w:val="clear" w:color="auto" w:fill="CCEEFF"/>
            <w:vAlign w:val="bottom"/>
          </w:tcPr>
          <w:p w14:paraId="5556DE60" w14:textId="77777777" w:rsidR="00F925DD" w:rsidRDefault="00F925DD">
            <w:pPr>
              <w:textAlignment w:val="bottom"/>
              <w:rPr>
                <w:rFonts w:ascii="Times New Roman" w:hAnsi="Times New Roman"/>
                <w:sz w:val="20"/>
                <w:szCs w:val="20"/>
              </w:rPr>
            </w:pPr>
          </w:p>
        </w:tc>
      </w:tr>
      <w:tr w:rsidR="00F925DD" w14:paraId="5556DE6C" w14:textId="77777777">
        <w:tc>
          <w:tcPr>
            <w:tcW w:w="0" w:type="auto"/>
            <w:shd w:val="clear" w:color="auto" w:fill="auto"/>
            <w:tcMar>
              <w:top w:w="40" w:type="dxa"/>
              <w:left w:w="40" w:type="dxa"/>
              <w:bottom w:w="40" w:type="dxa"/>
              <w:right w:w="40" w:type="dxa"/>
            </w:tcMar>
            <w:vAlign w:val="bottom"/>
          </w:tcPr>
          <w:p w14:paraId="5556DE6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Other financial instruments:</w:t>
            </w:r>
          </w:p>
        </w:tc>
        <w:tc>
          <w:tcPr>
            <w:tcW w:w="0" w:type="auto"/>
            <w:gridSpan w:val="3"/>
            <w:shd w:val="clear" w:color="auto" w:fill="auto"/>
            <w:tcMar>
              <w:top w:w="40" w:type="dxa"/>
              <w:left w:w="40" w:type="dxa"/>
              <w:bottom w:w="40" w:type="dxa"/>
              <w:right w:w="40" w:type="dxa"/>
            </w:tcMar>
            <w:vAlign w:val="bottom"/>
          </w:tcPr>
          <w:p w14:paraId="5556DE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E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E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E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E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E7C" w14:textId="77777777">
        <w:tc>
          <w:tcPr>
            <w:tcW w:w="0" w:type="auto"/>
            <w:shd w:val="clear" w:color="auto" w:fill="CCEEFF"/>
            <w:tcMar>
              <w:top w:w="40" w:type="dxa"/>
              <w:left w:w="40" w:type="dxa"/>
              <w:bottom w:w="40" w:type="dxa"/>
              <w:right w:w="40" w:type="dxa"/>
            </w:tcMar>
            <w:vAlign w:val="bottom"/>
          </w:tcPr>
          <w:p w14:paraId="5556DE6D" w14:textId="77777777" w:rsidR="00F925DD" w:rsidRDefault="00E705D7">
            <w:pPr>
              <w:textAlignment w:val="bottom"/>
              <w:rPr>
                <w:rFonts w:ascii="Times New Roman" w:hAnsi="Times New Roman"/>
                <w:sz w:val="15"/>
                <w:szCs w:val="15"/>
              </w:rPr>
            </w:pPr>
            <w:r>
              <w:rPr>
                <w:rFonts w:ascii="Arial" w:eastAsia="宋体" w:hAnsi="Arial" w:cs="Arial"/>
                <w:sz w:val="15"/>
                <w:szCs w:val="15"/>
              </w:rPr>
              <w:t>Repurchase agreements and securities lending(7)(8)</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E6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171,853</w:t>
            </w:r>
          </w:p>
        </w:tc>
        <w:tc>
          <w:tcPr>
            <w:tcW w:w="0" w:type="auto"/>
            <w:tcBorders>
              <w:bottom w:val="single" w:sz="8" w:space="0" w:color="000000"/>
            </w:tcBorders>
            <w:shd w:val="clear" w:color="auto" w:fill="CCEEFF"/>
            <w:vAlign w:val="bottom"/>
          </w:tcPr>
          <w:p w14:paraId="5556DE6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E7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(159,977</w:t>
            </w:r>
          </w:p>
        </w:tc>
        <w:tc>
          <w:tcPr>
            <w:tcW w:w="0" w:type="auto"/>
            <w:tcBorders>
              <w:bottom w:val="single" w:sz="8" w:space="0" w:color="000000"/>
            </w:tcBorders>
            <w:shd w:val="clear" w:color="auto" w:fill="CCEEFF"/>
            <w:tcMar>
              <w:top w:w="40" w:type="dxa"/>
              <w:bottom w:w="40" w:type="dxa"/>
              <w:right w:w="40" w:type="dxa"/>
            </w:tcMar>
            <w:vAlign w:val="bottom"/>
          </w:tcPr>
          <w:p w14:paraId="5556DE7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E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E7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11,876</w:t>
            </w:r>
          </w:p>
        </w:tc>
        <w:tc>
          <w:tcPr>
            <w:tcW w:w="0" w:type="auto"/>
            <w:tcBorders>
              <w:bottom w:val="single" w:sz="8" w:space="0" w:color="000000"/>
            </w:tcBorders>
            <w:shd w:val="clear" w:color="auto" w:fill="CCEEFF"/>
            <w:vAlign w:val="bottom"/>
          </w:tcPr>
          <w:p w14:paraId="5556DE7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E7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(10,793</w:t>
            </w:r>
          </w:p>
        </w:tc>
        <w:tc>
          <w:tcPr>
            <w:tcW w:w="0" w:type="auto"/>
            <w:tcBorders>
              <w:bottom w:val="single" w:sz="8" w:space="0" w:color="000000"/>
            </w:tcBorders>
            <w:shd w:val="clear" w:color="auto" w:fill="CCEEFF"/>
            <w:tcMar>
              <w:top w:w="40" w:type="dxa"/>
              <w:bottom w:w="40" w:type="dxa"/>
              <w:right w:w="40" w:type="dxa"/>
            </w:tcMar>
            <w:vAlign w:val="bottom"/>
          </w:tcPr>
          <w:p w14:paraId="5556DE7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DE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E7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1,083</w:t>
            </w:r>
          </w:p>
        </w:tc>
        <w:tc>
          <w:tcPr>
            <w:tcW w:w="0" w:type="auto"/>
            <w:tcBorders>
              <w:bottom w:val="single" w:sz="8" w:space="0" w:color="000000"/>
            </w:tcBorders>
            <w:shd w:val="clear" w:color="auto" w:fill="CCEEFF"/>
            <w:vAlign w:val="bottom"/>
          </w:tcPr>
          <w:p w14:paraId="5556DE7B" w14:textId="77777777" w:rsidR="00F925DD" w:rsidRDefault="00F925DD">
            <w:pPr>
              <w:textAlignment w:val="bottom"/>
              <w:rPr>
                <w:rFonts w:ascii="Times New Roman" w:hAnsi="Times New Roman"/>
                <w:sz w:val="20"/>
                <w:szCs w:val="20"/>
              </w:rPr>
            </w:pPr>
          </w:p>
        </w:tc>
      </w:tr>
      <w:tr w:rsidR="00F925DD" w14:paraId="5556DE91" w14:textId="77777777">
        <w:tc>
          <w:tcPr>
            <w:tcW w:w="0" w:type="auto"/>
            <w:shd w:val="clear" w:color="auto" w:fill="auto"/>
            <w:tcMar>
              <w:top w:w="40" w:type="dxa"/>
              <w:left w:w="40" w:type="dxa"/>
              <w:bottom w:w="40" w:type="dxa"/>
              <w:right w:w="40" w:type="dxa"/>
            </w:tcMar>
            <w:vAlign w:val="bottom"/>
          </w:tcPr>
          <w:p w14:paraId="5556DE7D"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derivatives and other financial instruments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E7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E7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187,234</w:t>
            </w:r>
          </w:p>
        </w:tc>
        <w:tc>
          <w:tcPr>
            <w:tcW w:w="0" w:type="auto"/>
            <w:tcBorders>
              <w:top w:val="single" w:sz="8" w:space="0" w:color="000000"/>
              <w:bottom w:val="double" w:sz="6" w:space="0" w:color="000000"/>
            </w:tcBorders>
            <w:shd w:val="clear" w:color="auto" w:fill="auto"/>
            <w:vAlign w:val="bottom"/>
          </w:tcPr>
          <w:p w14:paraId="5556DE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E8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E8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(168,899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DE8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E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E8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E8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18,335</w:t>
            </w:r>
          </w:p>
        </w:tc>
        <w:tc>
          <w:tcPr>
            <w:tcW w:w="0" w:type="auto"/>
            <w:tcBorders>
              <w:top w:val="single" w:sz="8" w:space="0" w:color="000000"/>
              <w:bottom w:val="double" w:sz="6" w:space="0" w:color="000000"/>
            </w:tcBorders>
            <w:shd w:val="clear" w:color="auto" w:fill="auto"/>
            <w:vAlign w:val="bottom"/>
          </w:tcPr>
          <w:p w14:paraId="5556DE8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E8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E8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(11,350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DE8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DE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E8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E8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6,985</w:t>
            </w:r>
          </w:p>
        </w:tc>
        <w:tc>
          <w:tcPr>
            <w:tcW w:w="0" w:type="auto"/>
            <w:tcBorders>
              <w:top w:val="single" w:sz="8" w:space="0" w:color="000000"/>
              <w:bottom w:val="double" w:sz="6" w:space="0" w:color="000000"/>
            </w:tcBorders>
            <w:shd w:val="clear" w:color="auto" w:fill="auto"/>
            <w:vAlign w:val="bottom"/>
          </w:tcPr>
          <w:p w14:paraId="5556DE90" w14:textId="77777777" w:rsidR="00F925DD" w:rsidRDefault="00F925DD">
            <w:pPr>
              <w:textAlignment w:val="bottom"/>
              <w:rPr>
                <w:rFonts w:ascii="Times New Roman" w:hAnsi="Times New Roman"/>
                <w:sz w:val="20"/>
                <w:szCs w:val="20"/>
              </w:rPr>
            </w:pPr>
          </w:p>
        </w:tc>
      </w:tr>
    </w:tbl>
    <w:p w14:paraId="5556DE92" w14:textId="77777777" w:rsidR="00F925DD" w:rsidRDefault="00F925DD">
      <w:pPr>
        <w:spacing w:line="288" w:lineRule="auto"/>
        <w:jc w:val="both"/>
        <w:rPr>
          <w:rFonts w:ascii="Times New Roman" w:hAnsi="Times New Roman"/>
          <w:sz w:val="20"/>
          <w:szCs w:val="20"/>
        </w:rPr>
      </w:pPr>
    </w:p>
    <w:p w14:paraId="5556DE93" w14:textId="77777777" w:rsidR="00F925DD" w:rsidRDefault="00F925DD">
      <w:pPr>
        <w:rPr>
          <w:rFonts w:ascii="Times New Roman" w:hAnsi="Times New Roman"/>
          <w:sz w:val="20"/>
          <w:szCs w:val="20"/>
        </w:rPr>
      </w:pPr>
    </w:p>
    <w:p w14:paraId="5556DE94"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153</w:t>
      </w:r>
    </w:p>
    <w:p w14:paraId="5556DE95" w14:textId="77777777" w:rsidR="00F925DD" w:rsidRDefault="00F925DD">
      <w:pPr>
        <w:spacing w:line="288" w:lineRule="auto"/>
        <w:ind w:firstLine="600"/>
        <w:jc w:val="center"/>
        <w:rPr>
          <w:rFonts w:ascii="Times New Roman" w:hAnsi="Times New Roman"/>
          <w:sz w:val="18"/>
          <w:szCs w:val="18"/>
        </w:rPr>
      </w:pPr>
    </w:p>
    <w:p w14:paraId="5556DE96" w14:textId="77777777" w:rsidR="00F925DD" w:rsidRDefault="00E705D7">
      <w:r>
        <w:rPr>
          <w:rFonts w:ascii="Times New Roman" w:hAnsi="Times New Roman"/>
          <w:sz w:val="18"/>
          <w:szCs w:val="18"/>
        </w:rPr>
        <w:pict w14:anchorId="555706D3">
          <v:rect id="_x0000_i1177" style="width:415.3pt;height:1.5pt" o:hralign="center" o:hrstd="t" o:hr="t" fillcolor="#a0a0a0" stroked="f"/>
        </w:pict>
      </w:r>
    </w:p>
    <w:p w14:paraId="5556DE9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DE9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DE99"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1937"/>
        <w:gridCol w:w="119"/>
        <w:gridCol w:w="942"/>
        <w:gridCol w:w="69"/>
        <w:gridCol w:w="130"/>
        <w:gridCol w:w="119"/>
        <w:gridCol w:w="1067"/>
        <w:gridCol w:w="87"/>
        <w:gridCol w:w="130"/>
        <w:gridCol w:w="119"/>
        <w:gridCol w:w="1191"/>
        <w:gridCol w:w="87"/>
        <w:gridCol w:w="130"/>
        <w:gridCol w:w="119"/>
        <w:gridCol w:w="942"/>
        <w:gridCol w:w="88"/>
        <w:gridCol w:w="130"/>
        <w:gridCol w:w="119"/>
        <w:gridCol w:w="693"/>
        <w:gridCol w:w="88"/>
      </w:tblGrid>
      <w:tr w:rsidR="00F925DD" w14:paraId="5556DE9B" w14:textId="77777777">
        <w:tc>
          <w:tcPr>
            <w:tcW w:w="0" w:type="auto"/>
            <w:gridSpan w:val="20"/>
            <w:shd w:val="clear" w:color="auto" w:fill="auto"/>
            <w:vAlign w:val="center"/>
          </w:tcPr>
          <w:p w14:paraId="5556DE9A" w14:textId="77777777" w:rsidR="00F925DD" w:rsidRDefault="00F925DD">
            <w:pPr>
              <w:rPr>
                <w:rFonts w:ascii="Times New Roman" w:hAnsi="Times New Roman"/>
                <w:sz w:val="20"/>
                <w:szCs w:val="20"/>
              </w:rPr>
            </w:pPr>
          </w:p>
        </w:tc>
      </w:tr>
      <w:tr w:rsidR="00F925DD" w14:paraId="5556DEB0" w14:textId="77777777">
        <w:tc>
          <w:tcPr>
            <w:tcW w:w="1200" w:type="pct"/>
            <w:shd w:val="clear" w:color="auto" w:fill="auto"/>
            <w:vAlign w:val="center"/>
          </w:tcPr>
          <w:p w14:paraId="5556DE9C" w14:textId="77777777" w:rsidR="00F925DD" w:rsidRDefault="00F925DD">
            <w:pPr>
              <w:rPr>
                <w:rFonts w:ascii="Times New Roman" w:hAnsi="Times New Roman"/>
                <w:sz w:val="20"/>
                <w:szCs w:val="20"/>
              </w:rPr>
            </w:pPr>
          </w:p>
        </w:tc>
        <w:tc>
          <w:tcPr>
            <w:tcW w:w="50" w:type="pct"/>
            <w:shd w:val="clear" w:color="auto" w:fill="auto"/>
            <w:vAlign w:val="center"/>
          </w:tcPr>
          <w:p w14:paraId="5556DE9D" w14:textId="77777777" w:rsidR="00F925DD" w:rsidRDefault="00F925DD">
            <w:pPr>
              <w:rPr>
                <w:rFonts w:ascii="Times New Roman" w:hAnsi="Times New Roman"/>
                <w:sz w:val="20"/>
                <w:szCs w:val="20"/>
              </w:rPr>
            </w:pPr>
          </w:p>
        </w:tc>
        <w:tc>
          <w:tcPr>
            <w:tcW w:w="600" w:type="pct"/>
            <w:shd w:val="clear" w:color="auto" w:fill="auto"/>
            <w:vAlign w:val="center"/>
          </w:tcPr>
          <w:p w14:paraId="5556DE9E" w14:textId="77777777" w:rsidR="00F925DD" w:rsidRDefault="00F925DD">
            <w:pPr>
              <w:rPr>
                <w:rFonts w:ascii="Times New Roman" w:hAnsi="Times New Roman"/>
                <w:sz w:val="20"/>
                <w:szCs w:val="20"/>
              </w:rPr>
            </w:pPr>
          </w:p>
        </w:tc>
        <w:tc>
          <w:tcPr>
            <w:tcW w:w="50" w:type="pct"/>
            <w:shd w:val="clear" w:color="auto" w:fill="auto"/>
            <w:vAlign w:val="center"/>
          </w:tcPr>
          <w:p w14:paraId="5556DE9F" w14:textId="77777777" w:rsidR="00F925DD" w:rsidRDefault="00F925DD">
            <w:pPr>
              <w:rPr>
                <w:rFonts w:ascii="Times New Roman" w:hAnsi="Times New Roman"/>
                <w:sz w:val="20"/>
                <w:szCs w:val="20"/>
              </w:rPr>
            </w:pPr>
          </w:p>
        </w:tc>
        <w:tc>
          <w:tcPr>
            <w:tcW w:w="50" w:type="pct"/>
            <w:shd w:val="clear" w:color="auto" w:fill="auto"/>
            <w:vAlign w:val="center"/>
          </w:tcPr>
          <w:p w14:paraId="5556DEA0" w14:textId="77777777" w:rsidR="00F925DD" w:rsidRDefault="00F925DD">
            <w:pPr>
              <w:rPr>
                <w:rFonts w:ascii="Times New Roman" w:hAnsi="Times New Roman"/>
                <w:sz w:val="20"/>
                <w:szCs w:val="20"/>
              </w:rPr>
            </w:pPr>
          </w:p>
        </w:tc>
        <w:tc>
          <w:tcPr>
            <w:tcW w:w="50" w:type="pct"/>
            <w:shd w:val="clear" w:color="auto" w:fill="auto"/>
            <w:vAlign w:val="center"/>
          </w:tcPr>
          <w:p w14:paraId="5556DEA1" w14:textId="77777777" w:rsidR="00F925DD" w:rsidRDefault="00F925DD">
            <w:pPr>
              <w:rPr>
                <w:rFonts w:ascii="Times New Roman" w:hAnsi="Times New Roman"/>
                <w:sz w:val="20"/>
                <w:szCs w:val="20"/>
              </w:rPr>
            </w:pPr>
          </w:p>
        </w:tc>
        <w:tc>
          <w:tcPr>
            <w:tcW w:w="700" w:type="pct"/>
            <w:shd w:val="clear" w:color="auto" w:fill="auto"/>
            <w:vAlign w:val="center"/>
          </w:tcPr>
          <w:p w14:paraId="5556DEA2" w14:textId="77777777" w:rsidR="00F925DD" w:rsidRDefault="00F925DD">
            <w:pPr>
              <w:rPr>
                <w:rFonts w:ascii="Times New Roman" w:hAnsi="Times New Roman"/>
                <w:sz w:val="20"/>
                <w:szCs w:val="20"/>
              </w:rPr>
            </w:pPr>
          </w:p>
        </w:tc>
        <w:tc>
          <w:tcPr>
            <w:tcW w:w="50" w:type="pct"/>
            <w:shd w:val="clear" w:color="auto" w:fill="auto"/>
            <w:vAlign w:val="center"/>
          </w:tcPr>
          <w:p w14:paraId="5556DEA3" w14:textId="77777777" w:rsidR="00F925DD" w:rsidRDefault="00F925DD">
            <w:pPr>
              <w:rPr>
                <w:rFonts w:ascii="Times New Roman" w:hAnsi="Times New Roman"/>
                <w:sz w:val="20"/>
                <w:szCs w:val="20"/>
              </w:rPr>
            </w:pPr>
          </w:p>
        </w:tc>
        <w:tc>
          <w:tcPr>
            <w:tcW w:w="50" w:type="pct"/>
            <w:shd w:val="clear" w:color="auto" w:fill="auto"/>
            <w:vAlign w:val="center"/>
          </w:tcPr>
          <w:p w14:paraId="5556DEA4" w14:textId="77777777" w:rsidR="00F925DD" w:rsidRDefault="00F925DD">
            <w:pPr>
              <w:rPr>
                <w:rFonts w:ascii="Times New Roman" w:hAnsi="Times New Roman"/>
                <w:sz w:val="20"/>
                <w:szCs w:val="20"/>
              </w:rPr>
            </w:pPr>
          </w:p>
        </w:tc>
        <w:tc>
          <w:tcPr>
            <w:tcW w:w="50" w:type="pct"/>
            <w:shd w:val="clear" w:color="auto" w:fill="auto"/>
            <w:vAlign w:val="center"/>
          </w:tcPr>
          <w:p w14:paraId="5556DEA5" w14:textId="77777777" w:rsidR="00F925DD" w:rsidRDefault="00F925DD">
            <w:pPr>
              <w:rPr>
                <w:rFonts w:ascii="Times New Roman" w:hAnsi="Times New Roman"/>
                <w:sz w:val="20"/>
                <w:szCs w:val="20"/>
              </w:rPr>
            </w:pPr>
          </w:p>
        </w:tc>
        <w:tc>
          <w:tcPr>
            <w:tcW w:w="750" w:type="pct"/>
            <w:shd w:val="clear" w:color="auto" w:fill="auto"/>
            <w:vAlign w:val="center"/>
          </w:tcPr>
          <w:p w14:paraId="5556DEA6" w14:textId="77777777" w:rsidR="00F925DD" w:rsidRDefault="00F925DD">
            <w:pPr>
              <w:rPr>
                <w:rFonts w:ascii="Times New Roman" w:hAnsi="Times New Roman"/>
                <w:sz w:val="20"/>
                <w:szCs w:val="20"/>
              </w:rPr>
            </w:pPr>
          </w:p>
        </w:tc>
        <w:tc>
          <w:tcPr>
            <w:tcW w:w="50" w:type="pct"/>
            <w:shd w:val="clear" w:color="auto" w:fill="auto"/>
            <w:vAlign w:val="center"/>
          </w:tcPr>
          <w:p w14:paraId="5556DEA7" w14:textId="77777777" w:rsidR="00F925DD" w:rsidRDefault="00F925DD">
            <w:pPr>
              <w:rPr>
                <w:rFonts w:ascii="Times New Roman" w:hAnsi="Times New Roman"/>
                <w:sz w:val="20"/>
                <w:szCs w:val="20"/>
              </w:rPr>
            </w:pPr>
          </w:p>
        </w:tc>
        <w:tc>
          <w:tcPr>
            <w:tcW w:w="50" w:type="pct"/>
            <w:shd w:val="clear" w:color="auto" w:fill="auto"/>
            <w:vAlign w:val="center"/>
          </w:tcPr>
          <w:p w14:paraId="5556DEA8" w14:textId="77777777" w:rsidR="00F925DD" w:rsidRDefault="00F925DD">
            <w:pPr>
              <w:rPr>
                <w:rFonts w:ascii="Times New Roman" w:hAnsi="Times New Roman"/>
                <w:sz w:val="20"/>
                <w:szCs w:val="20"/>
              </w:rPr>
            </w:pPr>
          </w:p>
        </w:tc>
        <w:tc>
          <w:tcPr>
            <w:tcW w:w="50" w:type="pct"/>
            <w:shd w:val="clear" w:color="auto" w:fill="auto"/>
            <w:vAlign w:val="center"/>
          </w:tcPr>
          <w:p w14:paraId="5556DEA9" w14:textId="77777777" w:rsidR="00F925DD" w:rsidRDefault="00F925DD">
            <w:pPr>
              <w:rPr>
                <w:rFonts w:ascii="Times New Roman" w:hAnsi="Times New Roman"/>
                <w:sz w:val="20"/>
                <w:szCs w:val="20"/>
              </w:rPr>
            </w:pPr>
          </w:p>
        </w:tc>
        <w:tc>
          <w:tcPr>
            <w:tcW w:w="600" w:type="pct"/>
            <w:shd w:val="clear" w:color="auto" w:fill="auto"/>
            <w:vAlign w:val="center"/>
          </w:tcPr>
          <w:p w14:paraId="5556DEAA" w14:textId="77777777" w:rsidR="00F925DD" w:rsidRDefault="00F925DD">
            <w:pPr>
              <w:rPr>
                <w:rFonts w:ascii="Times New Roman" w:hAnsi="Times New Roman"/>
                <w:sz w:val="20"/>
                <w:szCs w:val="20"/>
              </w:rPr>
            </w:pPr>
          </w:p>
        </w:tc>
        <w:tc>
          <w:tcPr>
            <w:tcW w:w="50" w:type="pct"/>
            <w:shd w:val="clear" w:color="auto" w:fill="auto"/>
            <w:vAlign w:val="center"/>
          </w:tcPr>
          <w:p w14:paraId="5556DEAB" w14:textId="77777777" w:rsidR="00F925DD" w:rsidRDefault="00F925DD">
            <w:pPr>
              <w:rPr>
                <w:rFonts w:ascii="Times New Roman" w:hAnsi="Times New Roman"/>
                <w:sz w:val="20"/>
                <w:szCs w:val="20"/>
              </w:rPr>
            </w:pPr>
          </w:p>
        </w:tc>
        <w:tc>
          <w:tcPr>
            <w:tcW w:w="50" w:type="pct"/>
            <w:shd w:val="clear" w:color="auto" w:fill="auto"/>
            <w:vAlign w:val="center"/>
          </w:tcPr>
          <w:p w14:paraId="5556DEAC" w14:textId="77777777" w:rsidR="00F925DD" w:rsidRDefault="00F925DD">
            <w:pPr>
              <w:rPr>
                <w:rFonts w:ascii="Times New Roman" w:hAnsi="Times New Roman"/>
                <w:sz w:val="20"/>
                <w:szCs w:val="20"/>
              </w:rPr>
            </w:pPr>
          </w:p>
        </w:tc>
        <w:tc>
          <w:tcPr>
            <w:tcW w:w="50" w:type="pct"/>
            <w:shd w:val="clear" w:color="auto" w:fill="auto"/>
            <w:vAlign w:val="center"/>
          </w:tcPr>
          <w:p w14:paraId="5556DEAD" w14:textId="77777777" w:rsidR="00F925DD" w:rsidRDefault="00F925DD">
            <w:pPr>
              <w:rPr>
                <w:rFonts w:ascii="Times New Roman" w:hAnsi="Times New Roman"/>
                <w:sz w:val="20"/>
                <w:szCs w:val="20"/>
              </w:rPr>
            </w:pPr>
          </w:p>
        </w:tc>
        <w:tc>
          <w:tcPr>
            <w:tcW w:w="450" w:type="pct"/>
            <w:shd w:val="clear" w:color="auto" w:fill="auto"/>
            <w:vAlign w:val="center"/>
          </w:tcPr>
          <w:p w14:paraId="5556DEAE" w14:textId="77777777" w:rsidR="00F925DD" w:rsidRDefault="00F925DD">
            <w:pPr>
              <w:rPr>
                <w:rFonts w:ascii="Times New Roman" w:hAnsi="Times New Roman"/>
                <w:sz w:val="20"/>
                <w:szCs w:val="20"/>
              </w:rPr>
            </w:pPr>
          </w:p>
        </w:tc>
        <w:tc>
          <w:tcPr>
            <w:tcW w:w="50" w:type="pct"/>
            <w:shd w:val="clear" w:color="auto" w:fill="auto"/>
            <w:vAlign w:val="center"/>
          </w:tcPr>
          <w:p w14:paraId="5556DEAF" w14:textId="77777777" w:rsidR="00F925DD" w:rsidRDefault="00F925DD">
            <w:pPr>
              <w:rPr>
                <w:rFonts w:ascii="Times New Roman" w:hAnsi="Times New Roman"/>
                <w:sz w:val="20"/>
                <w:szCs w:val="20"/>
              </w:rPr>
            </w:pPr>
          </w:p>
        </w:tc>
      </w:tr>
      <w:tr w:rsidR="00F925DD" w14:paraId="5556DEB3" w14:textId="77777777">
        <w:tc>
          <w:tcPr>
            <w:tcW w:w="0" w:type="auto"/>
            <w:shd w:val="clear" w:color="auto" w:fill="auto"/>
            <w:tcMar>
              <w:top w:w="40" w:type="dxa"/>
              <w:left w:w="40" w:type="dxa"/>
              <w:bottom w:w="40" w:type="dxa"/>
              <w:right w:w="40" w:type="dxa"/>
            </w:tcMar>
            <w:vAlign w:val="bottom"/>
          </w:tcPr>
          <w:p w14:paraId="5556DEB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Liabilities:</w:t>
            </w:r>
          </w:p>
        </w:tc>
        <w:tc>
          <w:tcPr>
            <w:tcW w:w="0" w:type="auto"/>
            <w:gridSpan w:val="19"/>
            <w:tcBorders>
              <w:bottom w:val="single" w:sz="8" w:space="0" w:color="000000"/>
            </w:tcBorders>
            <w:shd w:val="clear" w:color="auto" w:fill="auto"/>
            <w:tcMar>
              <w:top w:w="40" w:type="dxa"/>
              <w:left w:w="40" w:type="dxa"/>
              <w:bottom w:w="40" w:type="dxa"/>
            </w:tcMar>
            <w:vAlign w:val="bottom"/>
          </w:tcPr>
          <w:p w14:paraId="5556DEB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2018</w:t>
            </w:r>
          </w:p>
        </w:tc>
      </w:tr>
      <w:tr w:rsidR="00F925DD" w14:paraId="5556DEBC" w14:textId="77777777">
        <w:tc>
          <w:tcPr>
            <w:tcW w:w="0" w:type="auto"/>
            <w:shd w:val="clear" w:color="auto" w:fill="auto"/>
            <w:tcMar>
              <w:top w:w="40" w:type="dxa"/>
              <w:left w:w="40" w:type="dxa"/>
              <w:bottom w:w="40" w:type="dxa"/>
              <w:right w:w="40" w:type="dxa"/>
            </w:tcMar>
            <w:vAlign w:val="bottom"/>
          </w:tcPr>
          <w:p w14:paraId="5556DE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EB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Gross Amounts of Recognized Liabilities</w:t>
            </w:r>
            <w:r>
              <w:rPr>
                <w:rFonts w:ascii="Arial" w:eastAsia="宋体" w:hAnsi="Arial" w:cs="Arial"/>
                <w:b/>
                <w:bCs/>
                <w:sz w:val="10"/>
                <w:szCs w:val="10"/>
              </w:rPr>
              <w:t>(1)(2)</w:t>
            </w:r>
          </w:p>
        </w:tc>
        <w:tc>
          <w:tcPr>
            <w:tcW w:w="0" w:type="auto"/>
            <w:shd w:val="clear" w:color="auto" w:fill="auto"/>
            <w:tcMar>
              <w:top w:w="40" w:type="dxa"/>
              <w:left w:w="40" w:type="dxa"/>
              <w:bottom w:w="40" w:type="dxa"/>
              <w:right w:w="40" w:type="dxa"/>
            </w:tcMar>
            <w:vAlign w:val="bottom"/>
          </w:tcPr>
          <w:p w14:paraId="5556DE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EB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Gross Amounts Offset in Statement of Condition</w:t>
            </w:r>
            <w:r>
              <w:rPr>
                <w:rFonts w:ascii="Arial" w:eastAsia="宋体" w:hAnsi="Arial" w:cs="Arial"/>
                <w:b/>
                <w:bCs/>
                <w:sz w:val="10"/>
                <w:szCs w:val="10"/>
              </w:rPr>
              <w:t>(3)</w:t>
            </w:r>
          </w:p>
        </w:tc>
        <w:tc>
          <w:tcPr>
            <w:tcW w:w="0" w:type="auto"/>
            <w:shd w:val="clear" w:color="auto" w:fill="auto"/>
            <w:tcMar>
              <w:top w:w="40" w:type="dxa"/>
              <w:left w:w="40" w:type="dxa"/>
              <w:bottom w:w="40" w:type="dxa"/>
              <w:right w:w="40" w:type="dxa"/>
            </w:tcMar>
            <w:vAlign w:val="bottom"/>
          </w:tcPr>
          <w:p w14:paraId="5556DE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5556DEB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Net Amounts of Liabilities Presented in Statement of Condition</w:t>
            </w:r>
          </w:p>
        </w:tc>
        <w:tc>
          <w:tcPr>
            <w:tcW w:w="0" w:type="auto"/>
            <w:shd w:val="clear" w:color="auto" w:fill="auto"/>
            <w:tcMar>
              <w:top w:w="40" w:type="dxa"/>
              <w:left w:w="40" w:type="dxa"/>
              <w:bottom w:w="40" w:type="dxa"/>
              <w:right w:w="40" w:type="dxa"/>
            </w:tcMar>
            <w:vAlign w:val="bottom"/>
          </w:tcPr>
          <w:p w14:paraId="5556DE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DEB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Gross Amounts Not Offset in Statement of Condition</w:t>
            </w:r>
          </w:p>
        </w:tc>
      </w:tr>
      <w:tr w:rsidR="00F925DD" w14:paraId="5556DEC7" w14:textId="77777777">
        <w:tc>
          <w:tcPr>
            <w:tcW w:w="0" w:type="auto"/>
            <w:shd w:val="clear" w:color="auto" w:fill="auto"/>
            <w:tcMar>
              <w:top w:w="40" w:type="dxa"/>
              <w:left w:w="40" w:type="dxa"/>
              <w:bottom w:w="40" w:type="dxa"/>
              <w:right w:w="40" w:type="dxa"/>
            </w:tcMar>
            <w:vAlign w:val="bottom"/>
          </w:tcPr>
          <w:p w14:paraId="5556DEB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EBE"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EC0"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5556DEC2" w14:textId="77777777" w:rsidR="00F925DD" w:rsidRDefault="00F925D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EC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Cash and Securities Received</w:t>
            </w:r>
            <w:r>
              <w:rPr>
                <w:rFonts w:ascii="Arial" w:eastAsia="宋体" w:hAnsi="Arial" w:cs="Arial"/>
                <w:b/>
                <w:bCs/>
                <w:sz w:val="10"/>
                <w:szCs w:val="10"/>
              </w:rPr>
              <w:t>(4)</w:t>
            </w:r>
          </w:p>
        </w:tc>
        <w:tc>
          <w:tcPr>
            <w:tcW w:w="0" w:type="auto"/>
            <w:tcBorders>
              <w:top w:val="single" w:sz="8" w:space="0" w:color="000000"/>
            </w:tcBorders>
            <w:shd w:val="clear" w:color="auto" w:fill="auto"/>
            <w:tcMar>
              <w:top w:w="40" w:type="dxa"/>
              <w:left w:w="40" w:type="dxa"/>
              <w:bottom w:w="40" w:type="dxa"/>
              <w:right w:w="40" w:type="dxa"/>
            </w:tcMar>
            <w:vAlign w:val="bottom"/>
          </w:tcPr>
          <w:p w14:paraId="5556DE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DEC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Net Amount</w:t>
            </w:r>
            <w:r>
              <w:rPr>
                <w:rFonts w:ascii="Arial" w:eastAsia="宋体" w:hAnsi="Arial" w:cs="Arial"/>
                <w:b/>
                <w:bCs/>
                <w:sz w:val="10"/>
                <w:szCs w:val="10"/>
              </w:rPr>
              <w:t>(5)</w:t>
            </w:r>
          </w:p>
        </w:tc>
      </w:tr>
      <w:tr w:rsidR="00F925DD" w14:paraId="5556DED2" w14:textId="77777777">
        <w:tc>
          <w:tcPr>
            <w:tcW w:w="0" w:type="auto"/>
            <w:shd w:val="clear" w:color="auto" w:fill="auto"/>
            <w:tcMar>
              <w:top w:w="40" w:type="dxa"/>
              <w:left w:w="40" w:type="dxa"/>
              <w:bottom w:w="40" w:type="dxa"/>
              <w:right w:w="40" w:type="dxa"/>
            </w:tcMar>
            <w:vAlign w:val="bottom"/>
          </w:tcPr>
          <w:p w14:paraId="5556DEC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Derivatives:</w:t>
            </w:r>
          </w:p>
        </w:tc>
        <w:tc>
          <w:tcPr>
            <w:tcW w:w="0" w:type="auto"/>
            <w:gridSpan w:val="3"/>
            <w:shd w:val="clear" w:color="auto" w:fill="auto"/>
            <w:tcMar>
              <w:top w:w="40" w:type="dxa"/>
              <w:left w:w="40" w:type="dxa"/>
              <w:bottom w:w="40" w:type="dxa"/>
              <w:right w:w="40" w:type="dxa"/>
            </w:tcMar>
            <w:vAlign w:val="bottom"/>
          </w:tcPr>
          <w:p w14:paraId="5556DE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E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E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E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E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E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EE7" w14:textId="77777777">
        <w:tc>
          <w:tcPr>
            <w:tcW w:w="0" w:type="auto"/>
            <w:shd w:val="clear" w:color="auto" w:fill="CCEEFF"/>
            <w:tcMar>
              <w:top w:w="40" w:type="dxa"/>
              <w:left w:w="40" w:type="dxa"/>
              <w:bottom w:w="40" w:type="dxa"/>
              <w:right w:w="40" w:type="dxa"/>
            </w:tcMar>
            <w:vAlign w:val="bottom"/>
          </w:tcPr>
          <w:p w14:paraId="5556DED3"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exchange contracts</w:t>
            </w:r>
          </w:p>
        </w:tc>
        <w:tc>
          <w:tcPr>
            <w:tcW w:w="0" w:type="auto"/>
            <w:shd w:val="clear" w:color="auto" w:fill="CCEEFF"/>
            <w:tcMar>
              <w:top w:w="40" w:type="dxa"/>
              <w:left w:w="40" w:type="dxa"/>
              <w:bottom w:w="40" w:type="dxa"/>
            </w:tcMar>
            <w:vAlign w:val="bottom"/>
          </w:tcPr>
          <w:p w14:paraId="5556DED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ED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16,522</w:t>
            </w:r>
          </w:p>
        </w:tc>
        <w:tc>
          <w:tcPr>
            <w:tcW w:w="0" w:type="auto"/>
            <w:shd w:val="clear" w:color="auto" w:fill="CCEEFF"/>
            <w:vAlign w:val="bottom"/>
          </w:tcPr>
          <w:p w14:paraId="5556DE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ED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ED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(10,223</w:t>
            </w:r>
          </w:p>
        </w:tc>
        <w:tc>
          <w:tcPr>
            <w:tcW w:w="0" w:type="auto"/>
            <w:shd w:val="clear" w:color="auto" w:fill="CCEEFF"/>
            <w:tcMar>
              <w:top w:w="40" w:type="dxa"/>
              <w:bottom w:w="40" w:type="dxa"/>
              <w:right w:w="40" w:type="dxa"/>
            </w:tcMar>
            <w:vAlign w:val="bottom"/>
          </w:tcPr>
          <w:p w14:paraId="5556DED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E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ED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ED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6,299</w:t>
            </w:r>
          </w:p>
        </w:tc>
        <w:tc>
          <w:tcPr>
            <w:tcW w:w="0" w:type="auto"/>
            <w:shd w:val="clear" w:color="auto" w:fill="CCEEFF"/>
            <w:vAlign w:val="bottom"/>
          </w:tcPr>
          <w:p w14:paraId="5556DE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EE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EE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E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EE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DEE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6,299</w:t>
            </w:r>
          </w:p>
        </w:tc>
        <w:tc>
          <w:tcPr>
            <w:tcW w:w="0" w:type="auto"/>
            <w:shd w:val="clear" w:color="auto" w:fill="CCEEFF"/>
            <w:vAlign w:val="bottom"/>
          </w:tcPr>
          <w:p w14:paraId="5556DEE6" w14:textId="77777777" w:rsidR="00F925DD" w:rsidRDefault="00F925DD">
            <w:pPr>
              <w:textAlignment w:val="bottom"/>
              <w:rPr>
                <w:rFonts w:ascii="Times New Roman" w:hAnsi="Times New Roman"/>
                <w:sz w:val="20"/>
                <w:szCs w:val="20"/>
              </w:rPr>
            </w:pPr>
          </w:p>
        </w:tc>
      </w:tr>
      <w:tr w:rsidR="00F925DD" w14:paraId="5556DEF7" w14:textId="77777777">
        <w:tc>
          <w:tcPr>
            <w:tcW w:w="0" w:type="auto"/>
            <w:shd w:val="clear" w:color="auto" w:fill="auto"/>
            <w:tcMar>
              <w:top w:w="40" w:type="dxa"/>
              <w:left w:w="40" w:type="dxa"/>
              <w:bottom w:w="40" w:type="dxa"/>
              <w:right w:w="40" w:type="dxa"/>
            </w:tcMar>
            <w:vAlign w:val="bottom"/>
          </w:tcPr>
          <w:p w14:paraId="5556DEE8"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 rate contracts</w:t>
            </w:r>
            <w:r>
              <w:rPr>
                <w:rFonts w:ascii="Arial" w:eastAsia="宋体" w:hAnsi="Arial" w:cs="Arial"/>
                <w:sz w:val="10"/>
                <w:szCs w:val="10"/>
              </w:rPr>
              <w:t>(6)</w:t>
            </w:r>
          </w:p>
        </w:tc>
        <w:tc>
          <w:tcPr>
            <w:tcW w:w="0" w:type="auto"/>
            <w:gridSpan w:val="2"/>
            <w:shd w:val="clear" w:color="auto" w:fill="auto"/>
            <w:tcMar>
              <w:top w:w="40" w:type="dxa"/>
              <w:left w:w="40" w:type="dxa"/>
              <w:bottom w:w="40" w:type="dxa"/>
            </w:tcMar>
            <w:vAlign w:val="bottom"/>
          </w:tcPr>
          <w:p w14:paraId="5556DEE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71</w:t>
            </w:r>
          </w:p>
        </w:tc>
        <w:tc>
          <w:tcPr>
            <w:tcW w:w="0" w:type="auto"/>
            <w:shd w:val="clear" w:color="auto" w:fill="auto"/>
            <w:vAlign w:val="bottom"/>
          </w:tcPr>
          <w:p w14:paraId="5556DEE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EE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DEE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EE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71</w:t>
            </w:r>
          </w:p>
        </w:tc>
        <w:tc>
          <w:tcPr>
            <w:tcW w:w="0" w:type="auto"/>
            <w:shd w:val="clear" w:color="auto" w:fill="auto"/>
            <w:vAlign w:val="bottom"/>
          </w:tcPr>
          <w:p w14:paraId="5556DEF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EF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DEF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E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DEF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71</w:t>
            </w:r>
          </w:p>
        </w:tc>
        <w:tc>
          <w:tcPr>
            <w:tcW w:w="0" w:type="auto"/>
            <w:shd w:val="clear" w:color="auto" w:fill="auto"/>
            <w:vAlign w:val="bottom"/>
          </w:tcPr>
          <w:p w14:paraId="5556DEF6" w14:textId="77777777" w:rsidR="00F925DD" w:rsidRDefault="00F925DD">
            <w:pPr>
              <w:textAlignment w:val="bottom"/>
              <w:rPr>
                <w:rFonts w:ascii="Times New Roman" w:hAnsi="Times New Roman"/>
                <w:sz w:val="20"/>
                <w:szCs w:val="20"/>
              </w:rPr>
            </w:pPr>
          </w:p>
        </w:tc>
      </w:tr>
      <w:tr w:rsidR="00F925DD" w14:paraId="5556DF07" w14:textId="77777777">
        <w:tc>
          <w:tcPr>
            <w:tcW w:w="0" w:type="auto"/>
            <w:shd w:val="clear" w:color="auto" w:fill="CCEEFF"/>
            <w:tcMar>
              <w:top w:w="40" w:type="dxa"/>
              <w:left w:w="40" w:type="dxa"/>
              <w:bottom w:w="40" w:type="dxa"/>
              <w:right w:w="40" w:type="dxa"/>
            </w:tcMar>
            <w:vAlign w:val="bottom"/>
          </w:tcPr>
          <w:p w14:paraId="5556DEF8"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derivative contracts</w:t>
            </w:r>
          </w:p>
        </w:tc>
        <w:tc>
          <w:tcPr>
            <w:tcW w:w="0" w:type="auto"/>
            <w:gridSpan w:val="2"/>
            <w:shd w:val="clear" w:color="auto" w:fill="CCEEFF"/>
            <w:tcMar>
              <w:top w:w="40" w:type="dxa"/>
              <w:left w:w="40" w:type="dxa"/>
              <w:bottom w:w="40" w:type="dxa"/>
            </w:tcMar>
            <w:vAlign w:val="bottom"/>
          </w:tcPr>
          <w:p w14:paraId="5556DEF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214</w:t>
            </w:r>
          </w:p>
        </w:tc>
        <w:tc>
          <w:tcPr>
            <w:tcW w:w="0" w:type="auto"/>
            <w:shd w:val="clear" w:color="auto" w:fill="CCEEFF"/>
            <w:vAlign w:val="bottom"/>
          </w:tcPr>
          <w:p w14:paraId="5556DEF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EF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E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E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EF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214</w:t>
            </w:r>
          </w:p>
        </w:tc>
        <w:tc>
          <w:tcPr>
            <w:tcW w:w="0" w:type="auto"/>
            <w:shd w:val="clear" w:color="auto" w:fill="CCEEFF"/>
            <w:vAlign w:val="bottom"/>
          </w:tcPr>
          <w:p w14:paraId="5556DF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F0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DF0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F0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214</w:t>
            </w:r>
          </w:p>
        </w:tc>
        <w:tc>
          <w:tcPr>
            <w:tcW w:w="0" w:type="auto"/>
            <w:shd w:val="clear" w:color="auto" w:fill="CCEEFF"/>
            <w:vAlign w:val="bottom"/>
          </w:tcPr>
          <w:p w14:paraId="5556DF06" w14:textId="77777777" w:rsidR="00F925DD" w:rsidRDefault="00F925DD">
            <w:pPr>
              <w:textAlignment w:val="bottom"/>
              <w:rPr>
                <w:rFonts w:ascii="Times New Roman" w:hAnsi="Times New Roman"/>
                <w:sz w:val="20"/>
                <w:szCs w:val="20"/>
              </w:rPr>
            </w:pPr>
          </w:p>
        </w:tc>
      </w:tr>
      <w:tr w:rsidR="00F925DD" w14:paraId="5556DF17" w14:textId="77777777">
        <w:tc>
          <w:tcPr>
            <w:tcW w:w="0" w:type="auto"/>
            <w:shd w:val="clear" w:color="auto" w:fill="auto"/>
            <w:tcMar>
              <w:top w:w="40" w:type="dxa"/>
              <w:left w:w="40" w:type="dxa"/>
              <w:bottom w:w="40" w:type="dxa"/>
              <w:right w:w="40" w:type="dxa"/>
            </w:tcMar>
            <w:vAlign w:val="bottom"/>
          </w:tcPr>
          <w:p w14:paraId="5556DF08" w14:textId="77777777" w:rsidR="00F925DD" w:rsidRDefault="00E705D7">
            <w:pPr>
              <w:textAlignment w:val="bottom"/>
              <w:rPr>
                <w:rFonts w:ascii="Times New Roman" w:hAnsi="Times New Roman"/>
                <w:sz w:val="14"/>
                <w:szCs w:val="14"/>
              </w:rPr>
            </w:pPr>
            <w:r>
              <w:rPr>
                <w:rFonts w:ascii="Arial" w:eastAsia="宋体" w:hAnsi="Arial" w:cs="Arial"/>
                <w:sz w:val="14"/>
                <w:szCs w:val="14"/>
              </w:rPr>
              <w:t>Cash collateral and securities netting</w:t>
            </w:r>
          </w:p>
        </w:tc>
        <w:tc>
          <w:tcPr>
            <w:tcW w:w="0" w:type="auto"/>
            <w:gridSpan w:val="2"/>
            <w:tcBorders>
              <w:bottom w:val="single" w:sz="8" w:space="0" w:color="000000"/>
            </w:tcBorders>
            <w:shd w:val="clear" w:color="auto" w:fill="auto"/>
            <w:tcMar>
              <w:top w:w="40" w:type="dxa"/>
              <w:left w:w="40" w:type="dxa"/>
              <w:bottom w:w="40" w:type="dxa"/>
            </w:tcMar>
            <w:vAlign w:val="bottom"/>
          </w:tcPr>
          <w:p w14:paraId="5556DF0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NA</w:t>
            </w:r>
          </w:p>
        </w:tc>
        <w:tc>
          <w:tcPr>
            <w:tcW w:w="0" w:type="auto"/>
            <w:tcBorders>
              <w:bottom w:val="single" w:sz="8" w:space="0" w:color="000000"/>
            </w:tcBorders>
            <w:shd w:val="clear" w:color="auto" w:fill="auto"/>
            <w:vAlign w:val="bottom"/>
          </w:tcPr>
          <w:p w14:paraId="5556DF0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F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F0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(1,341</w:t>
            </w:r>
          </w:p>
        </w:tc>
        <w:tc>
          <w:tcPr>
            <w:tcW w:w="0" w:type="auto"/>
            <w:tcBorders>
              <w:bottom w:val="single" w:sz="8" w:space="0" w:color="000000"/>
            </w:tcBorders>
            <w:shd w:val="clear" w:color="auto" w:fill="auto"/>
            <w:tcMar>
              <w:top w:w="40" w:type="dxa"/>
              <w:bottom w:w="40" w:type="dxa"/>
              <w:right w:w="40" w:type="dxa"/>
            </w:tcMar>
            <w:vAlign w:val="bottom"/>
          </w:tcPr>
          <w:p w14:paraId="5556DF0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F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F0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(1,341</w:t>
            </w:r>
          </w:p>
        </w:tc>
        <w:tc>
          <w:tcPr>
            <w:tcW w:w="0" w:type="auto"/>
            <w:tcBorders>
              <w:bottom w:val="single" w:sz="8" w:space="0" w:color="000000"/>
            </w:tcBorders>
            <w:shd w:val="clear" w:color="auto" w:fill="auto"/>
            <w:tcMar>
              <w:top w:w="40" w:type="dxa"/>
              <w:bottom w:w="40" w:type="dxa"/>
              <w:right w:w="40" w:type="dxa"/>
            </w:tcMar>
            <w:vAlign w:val="bottom"/>
          </w:tcPr>
          <w:p w14:paraId="5556DF1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F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F1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(215</w:t>
            </w:r>
          </w:p>
        </w:tc>
        <w:tc>
          <w:tcPr>
            <w:tcW w:w="0" w:type="auto"/>
            <w:tcBorders>
              <w:bottom w:val="single" w:sz="8" w:space="0" w:color="000000"/>
            </w:tcBorders>
            <w:shd w:val="clear" w:color="auto" w:fill="auto"/>
            <w:tcMar>
              <w:top w:w="40" w:type="dxa"/>
              <w:bottom w:w="40" w:type="dxa"/>
              <w:right w:w="40" w:type="dxa"/>
            </w:tcMar>
            <w:vAlign w:val="bottom"/>
          </w:tcPr>
          <w:p w14:paraId="5556DF1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F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DF1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(1,556</w:t>
            </w:r>
          </w:p>
        </w:tc>
        <w:tc>
          <w:tcPr>
            <w:tcW w:w="0" w:type="auto"/>
            <w:tcBorders>
              <w:bottom w:val="single" w:sz="8" w:space="0" w:color="000000"/>
            </w:tcBorders>
            <w:shd w:val="clear" w:color="auto" w:fill="auto"/>
            <w:tcMar>
              <w:top w:w="40" w:type="dxa"/>
              <w:bottom w:w="40" w:type="dxa"/>
              <w:right w:w="40" w:type="dxa"/>
            </w:tcMar>
            <w:vAlign w:val="bottom"/>
          </w:tcPr>
          <w:p w14:paraId="5556DF1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DF27" w14:textId="77777777">
        <w:tc>
          <w:tcPr>
            <w:tcW w:w="0" w:type="auto"/>
            <w:shd w:val="clear" w:color="auto" w:fill="CCEEFF"/>
            <w:tcMar>
              <w:top w:w="40" w:type="dxa"/>
              <w:left w:w="40" w:type="dxa"/>
              <w:bottom w:w="40" w:type="dxa"/>
              <w:right w:w="40" w:type="dxa"/>
            </w:tcMar>
            <w:vAlign w:val="bottom"/>
          </w:tcPr>
          <w:p w14:paraId="5556DF18"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r>
              <w:rPr>
                <w:rFonts w:ascii="Arial" w:eastAsia="宋体" w:hAnsi="Arial" w:cs="Arial"/>
                <w:sz w:val="14"/>
                <w:szCs w:val="14"/>
              </w:rPr>
              <w:t xml:space="preserve"> derivatives</w:t>
            </w:r>
          </w:p>
        </w:tc>
        <w:tc>
          <w:tcPr>
            <w:tcW w:w="0" w:type="auto"/>
            <w:gridSpan w:val="2"/>
            <w:shd w:val="clear" w:color="auto" w:fill="CCEEFF"/>
            <w:tcMar>
              <w:top w:w="40" w:type="dxa"/>
              <w:left w:w="40" w:type="dxa"/>
              <w:bottom w:w="40" w:type="dxa"/>
            </w:tcMar>
            <w:vAlign w:val="bottom"/>
          </w:tcPr>
          <w:p w14:paraId="5556DF1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16,807</w:t>
            </w:r>
          </w:p>
        </w:tc>
        <w:tc>
          <w:tcPr>
            <w:tcW w:w="0" w:type="auto"/>
            <w:shd w:val="clear" w:color="auto" w:fill="CCEEFF"/>
            <w:vAlign w:val="bottom"/>
          </w:tcPr>
          <w:p w14:paraId="5556DF1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F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(11,564</w:t>
            </w:r>
          </w:p>
        </w:tc>
        <w:tc>
          <w:tcPr>
            <w:tcW w:w="0" w:type="auto"/>
            <w:shd w:val="clear" w:color="auto" w:fill="CCEEFF"/>
            <w:tcMar>
              <w:top w:w="40" w:type="dxa"/>
              <w:bottom w:w="40" w:type="dxa"/>
              <w:right w:w="40" w:type="dxa"/>
            </w:tcMar>
            <w:vAlign w:val="bottom"/>
          </w:tcPr>
          <w:p w14:paraId="5556DF1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F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F1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5,243</w:t>
            </w:r>
          </w:p>
        </w:tc>
        <w:tc>
          <w:tcPr>
            <w:tcW w:w="0" w:type="auto"/>
            <w:shd w:val="clear" w:color="auto" w:fill="CCEEFF"/>
            <w:vAlign w:val="bottom"/>
          </w:tcPr>
          <w:p w14:paraId="5556DF2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DF2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(215</w:t>
            </w:r>
          </w:p>
        </w:tc>
        <w:tc>
          <w:tcPr>
            <w:tcW w:w="0" w:type="auto"/>
            <w:tcBorders>
              <w:top w:val="single" w:sz="8" w:space="0" w:color="000000"/>
            </w:tcBorders>
            <w:shd w:val="clear" w:color="auto" w:fill="CCEEFF"/>
            <w:tcMar>
              <w:top w:w="40" w:type="dxa"/>
              <w:bottom w:w="40" w:type="dxa"/>
              <w:right w:w="40" w:type="dxa"/>
            </w:tcMar>
            <w:vAlign w:val="bottom"/>
          </w:tcPr>
          <w:p w14:paraId="5556DF2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F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F2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5,028</w:t>
            </w:r>
          </w:p>
        </w:tc>
        <w:tc>
          <w:tcPr>
            <w:tcW w:w="0" w:type="auto"/>
            <w:shd w:val="clear" w:color="auto" w:fill="CCEEFF"/>
            <w:vAlign w:val="bottom"/>
          </w:tcPr>
          <w:p w14:paraId="5556DF26" w14:textId="77777777" w:rsidR="00F925DD" w:rsidRDefault="00F925DD">
            <w:pPr>
              <w:textAlignment w:val="bottom"/>
              <w:rPr>
                <w:rFonts w:ascii="Times New Roman" w:hAnsi="Times New Roman"/>
                <w:sz w:val="20"/>
                <w:szCs w:val="20"/>
              </w:rPr>
            </w:pPr>
          </w:p>
        </w:tc>
      </w:tr>
      <w:tr w:rsidR="00F925DD" w14:paraId="5556DF32" w14:textId="77777777">
        <w:tc>
          <w:tcPr>
            <w:tcW w:w="0" w:type="auto"/>
            <w:shd w:val="clear" w:color="auto" w:fill="auto"/>
            <w:tcMar>
              <w:top w:w="40" w:type="dxa"/>
              <w:left w:w="40" w:type="dxa"/>
              <w:bottom w:w="40" w:type="dxa"/>
              <w:right w:w="40" w:type="dxa"/>
            </w:tcMar>
            <w:vAlign w:val="bottom"/>
          </w:tcPr>
          <w:p w14:paraId="5556DF2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Other financial instruments:</w:t>
            </w:r>
          </w:p>
        </w:tc>
        <w:tc>
          <w:tcPr>
            <w:tcW w:w="0" w:type="auto"/>
            <w:gridSpan w:val="3"/>
            <w:shd w:val="clear" w:color="auto" w:fill="auto"/>
            <w:tcMar>
              <w:top w:w="40" w:type="dxa"/>
              <w:left w:w="40" w:type="dxa"/>
              <w:bottom w:w="40" w:type="dxa"/>
              <w:right w:w="40" w:type="dxa"/>
            </w:tcMar>
            <w:vAlign w:val="bottom"/>
          </w:tcPr>
          <w:p w14:paraId="5556DF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DF42" w14:textId="77777777">
        <w:tc>
          <w:tcPr>
            <w:tcW w:w="0" w:type="auto"/>
            <w:shd w:val="clear" w:color="auto" w:fill="CCEEFF"/>
            <w:tcMar>
              <w:top w:w="40" w:type="dxa"/>
              <w:left w:w="40" w:type="dxa"/>
              <w:bottom w:w="40" w:type="dxa"/>
              <w:right w:w="40" w:type="dxa"/>
            </w:tcMar>
            <w:vAlign w:val="bottom"/>
          </w:tcPr>
          <w:p w14:paraId="5556DF33" w14:textId="77777777" w:rsidR="00F925DD" w:rsidRDefault="00E705D7">
            <w:pPr>
              <w:textAlignment w:val="bottom"/>
              <w:rPr>
                <w:rFonts w:ascii="Times New Roman" w:hAnsi="Times New Roman"/>
                <w:sz w:val="14"/>
                <w:szCs w:val="14"/>
              </w:rPr>
            </w:pPr>
            <w:r>
              <w:rPr>
                <w:rFonts w:ascii="Arial" w:eastAsia="宋体" w:hAnsi="Arial" w:cs="Arial"/>
                <w:sz w:val="14"/>
                <w:szCs w:val="14"/>
              </w:rPr>
              <w:t>Repurchase agreements and securities lending</w:t>
            </w:r>
            <w:r>
              <w:rPr>
                <w:rFonts w:ascii="Arial" w:eastAsia="宋体" w:hAnsi="Arial" w:cs="Arial"/>
                <w:sz w:val="10"/>
                <w:szCs w:val="10"/>
              </w:rPr>
              <w:t>(7)(8)</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F3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104,494</w:t>
            </w:r>
          </w:p>
        </w:tc>
        <w:tc>
          <w:tcPr>
            <w:tcW w:w="0" w:type="auto"/>
            <w:tcBorders>
              <w:bottom w:val="single" w:sz="8" w:space="0" w:color="000000"/>
            </w:tcBorders>
            <w:shd w:val="clear" w:color="auto" w:fill="CCEEFF"/>
            <w:vAlign w:val="bottom"/>
          </w:tcPr>
          <w:p w14:paraId="5556DF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DF3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(91,889</w:t>
            </w:r>
          </w:p>
        </w:tc>
        <w:tc>
          <w:tcPr>
            <w:tcW w:w="0" w:type="auto"/>
            <w:tcBorders>
              <w:bottom w:val="single" w:sz="8" w:space="0" w:color="000000"/>
            </w:tcBorders>
            <w:shd w:val="clear" w:color="auto" w:fill="CCEEFF"/>
            <w:tcMar>
              <w:top w:w="40" w:type="dxa"/>
              <w:bottom w:w="40" w:type="dxa"/>
              <w:right w:w="40" w:type="dxa"/>
            </w:tcMar>
            <w:vAlign w:val="bottom"/>
          </w:tcPr>
          <w:p w14:paraId="5556DF3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F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F3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12,605</w:t>
            </w:r>
          </w:p>
        </w:tc>
        <w:tc>
          <w:tcPr>
            <w:tcW w:w="0" w:type="auto"/>
            <w:shd w:val="clear" w:color="auto" w:fill="CCEEFF"/>
            <w:vAlign w:val="bottom"/>
          </w:tcPr>
          <w:p w14:paraId="5556DF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F3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(11,543</w:t>
            </w:r>
          </w:p>
        </w:tc>
        <w:tc>
          <w:tcPr>
            <w:tcW w:w="0" w:type="auto"/>
            <w:shd w:val="clear" w:color="auto" w:fill="CCEEFF"/>
            <w:tcMar>
              <w:top w:w="40" w:type="dxa"/>
              <w:bottom w:w="40" w:type="dxa"/>
              <w:right w:w="40" w:type="dxa"/>
            </w:tcMar>
            <w:vAlign w:val="bottom"/>
          </w:tcPr>
          <w:p w14:paraId="5556DF3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DF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DF4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1,062</w:t>
            </w:r>
          </w:p>
        </w:tc>
        <w:tc>
          <w:tcPr>
            <w:tcW w:w="0" w:type="auto"/>
            <w:shd w:val="clear" w:color="auto" w:fill="CCEEFF"/>
            <w:vAlign w:val="bottom"/>
          </w:tcPr>
          <w:p w14:paraId="5556DF41" w14:textId="77777777" w:rsidR="00F925DD" w:rsidRDefault="00F925DD">
            <w:pPr>
              <w:textAlignment w:val="bottom"/>
              <w:rPr>
                <w:rFonts w:ascii="Times New Roman" w:hAnsi="Times New Roman"/>
                <w:sz w:val="20"/>
                <w:szCs w:val="20"/>
              </w:rPr>
            </w:pPr>
          </w:p>
        </w:tc>
      </w:tr>
      <w:tr w:rsidR="00F925DD" w14:paraId="5556DF57" w14:textId="77777777">
        <w:tc>
          <w:tcPr>
            <w:tcW w:w="0" w:type="auto"/>
            <w:shd w:val="clear" w:color="auto" w:fill="auto"/>
            <w:tcMar>
              <w:top w:w="40" w:type="dxa"/>
              <w:left w:w="40" w:type="dxa"/>
              <w:bottom w:w="40" w:type="dxa"/>
              <w:right w:w="40" w:type="dxa"/>
            </w:tcMar>
            <w:vAlign w:val="bottom"/>
          </w:tcPr>
          <w:p w14:paraId="5556DF43"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Total derivatives and other </w:t>
            </w:r>
            <w:r>
              <w:rPr>
                <w:rFonts w:ascii="Arial" w:eastAsia="宋体" w:hAnsi="Arial" w:cs="Arial"/>
                <w:sz w:val="14"/>
                <w:szCs w:val="14"/>
              </w:rPr>
              <w:t>financial instruments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F4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F4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121,301</w:t>
            </w:r>
          </w:p>
        </w:tc>
        <w:tc>
          <w:tcPr>
            <w:tcW w:w="0" w:type="auto"/>
            <w:tcBorders>
              <w:top w:val="single" w:sz="8" w:space="0" w:color="000000"/>
              <w:bottom w:val="double" w:sz="6" w:space="0" w:color="000000"/>
            </w:tcBorders>
            <w:shd w:val="clear" w:color="auto" w:fill="auto"/>
            <w:vAlign w:val="bottom"/>
          </w:tcPr>
          <w:p w14:paraId="5556DF4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F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F4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F4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(103,453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DF4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F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F4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F4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17,848</w:t>
            </w:r>
          </w:p>
        </w:tc>
        <w:tc>
          <w:tcPr>
            <w:tcW w:w="0" w:type="auto"/>
            <w:tcBorders>
              <w:top w:val="single" w:sz="8" w:space="0" w:color="000000"/>
              <w:bottom w:val="double" w:sz="6" w:space="0" w:color="000000"/>
            </w:tcBorders>
            <w:shd w:val="clear" w:color="auto" w:fill="auto"/>
            <w:vAlign w:val="bottom"/>
          </w:tcPr>
          <w:p w14:paraId="5556DF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F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F5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F5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(11,758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DF5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DF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DF5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DF5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6,090</w:t>
            </w:r>
          </w:p>
        </w:tc>
        <w:tc>
          <w:tcPr>
            <w:tcW w:w="0" w:type="auto"/>
            <w:tcBorders>
              <w:top w:val="single" w:sz="8" w:space="0" w:color="000000"/>
              <w:bottom w:val="double" w:sz="6" w:space="0" w:color="000000"/>
            </w:tcBorders>
            <w:shd w:val="clear" w:color="auto" w:fill="auto"/>
            <w:vAlign w:val="bottom"/>
          </w:tcPr>
          <w:p w14:paraId="5556DF56" w14:textId="77777777" w:rsidR="00F925DD" w:rsidRDefault="00F925DD">
            <w:pPr>
              <w:textAlignment w:val="bottom"/>
              <w:rPr>
                <w:rFonts w:ascii="Times New Roman" w:hAnsi="Times New Roman"/>
                <w:sz w:val="20"/>
                <w:szCs w:val="20"/>
              </w:rPr>
            </w:pPr>
          </w:p>
        </w:tc>
      </w:tr>
    </w:tbl>
    <w:p w14:paraId="5556DF58"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09"/>
        <w:gridCol w:w="1827"/>
        <w:gridCol w:w="1578"/>
        <w:gridCol w:w="1578"/>
        <w:gridCol w:w="914"/>
      </w:tblGrid>
      <w:tr w:rsidR="00F925DD" w14:paraId="5556DF5A" w14:textId="77777777">
        <w:tc>
          <w:tcPr>
            <w:tcW w:w="0" w:type="auto"/>
            <w:gridSpan w:val="5"/>
            <w:shd w:val="clear" w:color="auto" w:fill="auto"/>
            <w:vAlign w:val="center"/>
          </w:tcPr>
          <w:p w14:paraId="5556DF59" w14:textId="77777777" w:rsidR="00F925DD" w:rsidRDefault="00F925DD">
            <w:pPr>
              <w:rPr>
                <w:rFonts w:ascii="Times New Roman" w:hAnsi="Times New Roman"/>
                <w:sz w:val="20"/>
                <w:szCs w:val="20"/>
              </w:rPr>
            </w:pPr>
          </w:p>
        </w:tc>
      </w:tr>
      <w:tr w:rsidR="00F925DD" w14:paraId="5556DF60" w14:textId="77777777">
        <w:tc>
          <w:tcPr>
            <w:tcW w:w="1450" w:type="pct"/>
            <w:shd w:val="clear" w:color="auto" w:fill="auto"/>
            <w:vAlign w:val="center"/>
          </w:tcPr>
          <w:p w14:paraId="5556DF5B" w14:textId="77777777" w:rsidR="00F925DD" w:rsidRDefault="00F925DD">
            <w:pPr>
              <w:rPr>
                <w:rFonts w:ascii="Times New Roman" w:hAnsi="Times New Roman"/>
                <w:sz w:val="20"/>
                <w:szCs w:val="20"/>
              </w:rPr>
            </w:pPr>
          </w:p>
        </w:tc>
        <w:tc>
          <w:tcPr>
            <w:tcW w:w="1100" w:type="pct"/>
            <w:shd w:val="clear" w:color="auto" w:fill="auto"/>
            <w:vAlign w:val="center"/>
          </w:tcPr>
          <w:p w14:paraId="5556DF5C" w14:textId="77777777" w:rsidR="00F925DD" w:rsidRDefault="00F925DD">
            <w:pPr>
              <w:rPr>
                <w:rFonts w:ascii="Times New Roman" w:hAnsi="Times New Roman"/>
                <w:sz w:val="20"/>
                <w:szCs w:val="20"/>
              </w:rPr>
            </w:pPr>
          </w:p>
        </w:tc>
        <w:tc>
          <w:tcPr>
            <w:tcW w:w="950" w:type="pct"/>
            <w:shd w:val="clear" w:color="auto" w:fill="auto"/>
            <w:vAlign w:val="center"/>
          </w:tcPr>
          <w:p w14:paraId="5556DF5D" w14:textId="77777777" w:rsidR="00F925DD" w:rsidRDefault="00F925DD">
            <w:pPr>
              <w:rPr>
                <w:rFonts w:ascii="Times New Roman" w:hAnsi="Times New Roman"/>
                <w:sz w:val="20"/>
                <w:szCs w:val="20"/>
              </w:rPr>
            </w:pPr>
          </w:p>
        </w:tc>
        <w:tc>
          <w:tcPr>
            <w:tcW w:w="950" w:type="pct"/>
            <w:shd w:val="clear" w:color="auto" w:fill="auto"/>
            <w:vAlign w:val="center"/>
          </w:tcPr>
          <w:p w14:paraId="5556DF5E" w14:textId="77777777" w:rsidR="00F925DD" w:rsidRDefault="00F925DD">
            <w:pPr>
              <w:rPr>
                <w:rFonts w:ascii="Times New Roman" w:hAnsi="Times New Roman"/>
                <w:sz w:val="20"/>
                <w:szCs w:val="20"/>
              </w:rPr>
            </w:pPr>
          </w:p>
        </w:tc>
        <w:tc>
          <w:tcPr>
            <w:tcW w:w="550" w:type="pct"/>
            <w:shd w:val="clear" w:color="auto" w:fill="auto"/>
            <w:vAlign w:val="center"/>
          </w:tcPr>
          <w:p w14:paraId="5556DF5F" w14:textId="77777777" w:rsidR="00F925DD" w:rsidRDefault="00F925DD">
            <w:pPr>
              <w:rPr>
                <w:rFonts w:ascii="Times New Roman" w:hAnsi="Times New Roman"/>
                <w:sz w:val="20"/>
                <w:szCs w:val="20"/>
              </w:rPr>
            </w:pPr>
          </w:p>
        </w:tc>
      </w:tr>
      <w:tr w:rsidR="00F925DD" w14:paraId="5556DF6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DF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DF67"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Amounts include all transactions regardless of whether or not they are subject to an enforceable netting arrangement.</w:t>
      </w:r>
    </w:p>
    <w:p w14:paraId="5556DF68"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 xml:space="preserve">Refer to Note 1 and </w:t>
      </w:r>
      <w:r>
        <w:rPr>
          <w:rFonts w:ascii="Arial" w:eastAsia="宋体" w:hAnsi="Arial" w:cs="Arial"/>
          <w:sz w:val="14"/>
          <w:szCs w:val="14"/>
        </w:rPr>
        <w:t>Note 2 for additional information about the measurement basis of derivative instruments.</w:t>
      </w:r>
    </w:p>
    <w:p w14:paraId="5556DF69"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(3) </w:t>
      </w:r>
      <w:r>
        <w:rPr>
          <w:rFonts w:ascii="Arial" w:eastAsia="宋体" w:hAnsi="Arial" w:cs="Arial"/>
          <w:sz w:val="14"/>
          <w:szCs w:val="14"/>
        </w:rPr>
        <w:t>Amounts subject to netting arrangements which have been determined to be legally enforceable and eligible for netting in the consolidated statement of condition.</w:t>
      </w:r>
    </w:p>
    <w:p w14:paraId="5556DF6A"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w:t>
      </w:r>
      <w:r>
        <w:rPr>
          <w:rFonts w:ascii="Arial" w:eastAsia="宋体" w:hAnsi="Arial" w:cs="Arial"/>
          <w:sz w:val="10"/>
          <w:szCs w:val="10"/>
        </w:rPr>
        <w:t xml:space="preserve">4) </w:t>
      </w:r>
      <w:r>
        <w:rPr>
          <w:rFonts w:ascii="Arial" w:eastAsia="宋体" w:hAnsi="Arial" w:cs="Arial"/>
          <w:sz w:val="14"/>
          <w:szCs w:val="14"/>
        </w:rPr>
        <w:t>Includes securities provided in connection with our securities lending transactions.</w:t>
      </w:r>
    </w:p>
    <w:p w14:paraId="5556DF6B"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(5) </w:t>
      </w:r>
      <w:r>
        <w:rPr>
          <w:rFonts w:ascii="Arial" w:eastAsia="宋体" w:hAnsi="Arial" w:cs="Arial"/>
          <w:sz w:val="14"/>
          <w:szCs w:val="14"/>
        </w:rPr>
        <w:t>Includes amounts secured by collateral not determined to be subject to enforceable netting arrangements.</w:t>
      </w:r>
    </w:p>
    <w:p w14:paraId="5556DF6C"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(6) </w:t>
      </w:r>
      <w:r>
        <w:rPr>
          <w:rFonts w:ascii="Arial" w:eastAsia="宋体" w:hAnsi="Arial" w:cs="Arial"/>
          <w:sz w:val="14"/>
          <w:szCs w:val="14"/>
        </w:rPr>
        <w:t>Variation margin payments presented as settlements rath</w:t>
      </w:r>
      <w:r>
        <w:rPr>
          <w:rFonts w:ascii="Arial" w:eastAsia="宋体" w:hAnsi="Arial" w:cs="Arial"/>
          <w:sz w:val="14"/>
          <w:szCs w:val="14"/>
        </w:rPr>
        <w:t>er than collateral.</w:t>
      </w:r>
    </w:p>
    <w:p w14:paraId="5556DF6D"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(7) </w:t>
      </w:r>
      <w:r>
        <w:rPr>
          <w:rFonts w:ascii="Arial" w:eastAsia="宋体" w:hAnsi="Arial" w:cs="Arial"/>
          <w:sz w:val="14"/>
          <w:szCs w:val="14"/>
        </w:rPr>
        <w:t>Included in the $11.88 billion as of December 31, 2019 were $1.10 billion of repurchase agreements and $10.77 billion of collateral received related to securities lending transactions. Included in the $12.60 billion as of December 3</w:t>
      </w:r>
      <w:r>
        <w:rPr>
          <w:rFonts w:ascii="Arial" w:eastAsia="宋体" w:hAnsi="Arial" w:cs="Arial"/>
          <w:sz w:val="14"/>
          <w:szCs w:val="14"/>
        </w:rPr>
        <w:t>1, 2018 were $1.08 billion of repurchase agreements and $11.52 billion of collateral received related to securities lending transactions. Repurchase agreements and collateral received related to securities lending were recorded in securities sold under rep</w:t>
      </w:r>
      <w:r>
        <w:rPr>
          <w:rFonts w:ascii="Arial" w:eastAsia="宋体" w:hAnsi="Arial" w:cs="Arial"/>
          <w:sz w:val="14"/>
          <w:szCs w:val="14"/>
        </w:rPr>
        <w:t>urchase agreements and accrued expenses and other liabilities, respectively, in our consolidated statement of condition. Refer to Note 12 for additional information with respect to principal securities finance transactions.</w:t>
      </w:r>
    </w:p>
    <w:p w14:paraId="5556DF6E"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(8)</w:t>
      </w:r>
      <w:r>
        <w:rPr>
          <w:rFonts w:ascii="Arial" w:eastAsia="宋体" w:hAnsi="Arial" w:cs="Arial"/>
          <w:sz w:val="14"/>
          <w:szCs w:val="14"/>
        </w:rPr>
        <w:t xml:space="preserve"> Offsetting of repurchase agr</w:t>
      </w:r>
      <w:r>
        <w:rPr>
          <w:rFonts w:ascii="Arial" w:eastAsia="宋体" w:hAnsi="Arial" w:cs="Arial"/>
          <w:sz w:val="14"/>
          <w:szCs w:val="14"/>
        </w:rPr>
        <w:t>eements primarily relates to our involvement in FICC, where we settle transactions on a net basis for payment and delivery through the Fedwire system.</w:t>
      </w:r>
    </w:p>
    <w:p w14:paraId="5556DF6F"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NA </w:t>
      </w:r>
      <w:r>
        <w:rPr>
          <w:rFonts w:ascii="Arial" w:eastAsia="宋体" w:hAnsi="Arial" w:cs="Arial"/>
          <w:sz w:val="14"/>
          <w:szCs w:val="14"/>
        </w:rPr>
        <w:t>Not applicable</w:t>
      </w:r>
    </w:p>
    <w:p w14:paraId="5556DF7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securities transferred under resale and repurchase agreements typically are U.S. Treasury, agency and agency MBS. In our principal securities borrowing and lending arrangements, the securities transferred are predominantly equity securities and some co</w:t>
      </w:r>
      <w:r>
        <w:rPr>
          <w:rFonts w:ascii="Arial" w:eastAsia="宋体" w:hAnsi="Arial" w:cs="Arial"/>
          <w:sz w:val="20"/>
          <w:szCs w:val="20"/>
        </w:rPr>
        <w:t>rporate debt securities. The fair value of the securities transferred may increase in value to an amount greater than the amount received under our repurchase and securities lending arrangements, which exposes us to counterparty risk. We require the review</w:t>
      </w:r>
      <w:r>
        <w:rPr>
          <w:rFonts w:ascii="Arial" w:eastAsia="宋体" w:hAnsi="Arial" w:cs="Arial"/>
          <w:sz w:val="20"/>
          <w:szCs w:val="20"/>
        </w:rPr>
        <w:t xml:space="preserve"> of the price of the underlying securities in relation to the carrying value of the repurchase agreements and securities lending arrangements on a daily basis and when appropriate, adjust the cash or security to be obtained or returned to counterparties th</w:t>
      </w:r>
      <w:r>
        <w:rPr>
          <w:rFonts w:ascii="Arial" w:eastAsia="宋体" w:hAnsi="Arial" w:cs="Arial"/>
          <w:sz w:val="20"/>
          <w:szCs w:val="20"/>
        </w:rPr>
        <w:t xml:space="preserve">at is reflective of the required collateral levels. </w:t>
      </w:r>
    </w:p>
    <w:p w14:paraId="5556DF7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summarizes our repurchase agreements and securities lending transactions by category of collateral pledged and remaining maturity of these agreements as of the periods indicated:</w:t>
      </w:r>
    </w:p>
    <w:tbl>
      <w:tblPr>
        <w:tblW w:w="5000" w:type="pct"/>
        <w:tblCellMar>
          <w:left w:w="0" w:type="dxa"/>
          <w:right w:w="0" w:type="dxa"/>
        </w:tblCellMar>
        <w:tblLook w:val="04A0" w:firstRow="1" w:lastRow="0" w:firstColumn="1" w:lastColumn="0" w:noHBand="0" w:noVBand="1"/>
      </w:tblPr>
      <w:tblGrid>
        <w:gridCol w:w="1674"/>
        <w:gridCol w:w="125"/>
        <w:gridCol w:w="761"/>
        <w:gridCol w:w="76"/>
        <w:gridCol w:w="130"/>
        <w:gridCol w:w="125"/>
        <w:gridCol w:w="379"/>
        <w:gridCol w:w="54"/>
        <w:gridCol w:w="130"/>
        <w:gridCol w:w="125"/>
        <w:gridCol w:w="484"/>
        <w:gridCol w:w="68"/>
        <w:gridCol w:w="130"/>
        <w:gridCol w:w="124"/>
        <w:gridCol w:w="543"/>
        <w:gridCol w:w="6"/>
        <w:gridCol w:w="130"/>
        <w:gridCol w:w="125"/>
        <w:gridCol w:w="761"/>
        <w:gridCol w:w="76"/>
        <w:gridCol w:w="130"/>
        <w:gridCol w:w="125"/>
        <w:gridCol w:w="376"/>
        <w:gridCol w:w="54"/>
        <w:gridCol w:w="130"/>
        <w:gridCol w:w="125"/>
        <w:gridCol w:w="461"/>
        <w:gridCol w:w="76"/>
        <w:gridCol w:w="130"/>
        <w:gridCol w:w="124"/>
        <w:gridCol w:w="543"/>
        <w:gridCol w:w="6"/>
      </w:tblGrid>
      <w:tr w:rsidR="00F925DD" w14:paraId="5556DF73" w14:textId="77777777">
        <w:tc>
          <w:tcPr>
            <w:tcW w:w="0" w:type="auto"/>
            <w:gridSpan w:val="32"/>
            <w:shd w:val="clear" w:color="auto" w:fill="auto"/>
            <w:vAlign w:val="center"/>
          </w:tcPr>
          <w:p w14:paraId="5556DF72" w14:textId="77777777" w:rsidR="00F925DD" w:rsidRDefault="00F925DD">
            <w:pPr>
              <w:rPr>
                <w:rFonts w:ascii="Times New Roman" w:hAnsi="Times New Roman"/>
                <w:sz w:val="20"/>
                <w:szCs w:val="20"/>
              </w:rPr>
            </w:pPr>
          </w:p>
        </w:tc>
      </w:tr>
      <w:tr w:rsidR="00F925DD" w14:paraId="5556DF94" w14:textId="77777777">
        <w:tc>
          <w:tcPr>
            <w:tcW w:w="1050" w:type="pct"/>
            <w:shd w:val="clear" w:color="auto" w:fill="auto"/>
            <w:vAlign w:val="center"/>
          </w:tcPr>
          <w:p w14:paraId="5556DF74" w14:textId="77777777" w:rsidR="00F925DD" w:rsidRDefault="00F925DD">
            <w:pPr>
              <w:rPr>
                <w:rFonts w:ascii="Times New Roman" w:hAnsi="Times New Roman"/>
                <w:sz w:val="20"/>
                <w:szCs w:val="20"/>
              </w:rPr>
            </w:pPr>
          </w:p>
        </w:tc>
        <w:tc>
          <w:tcPr>
            <w:tcW w:w="50" w:type="pct"/>
            <w:shd w:val="clear" w:color="auto" w:fill="auto"/>
            <w:vAlign w:val="center"/>
          </w:tcPr>
          <w:p w14:paraId="5556DF75" w14:textId="77777777" w:rsidR="00F925DD" w:rsidRDefault="00F925DD">
            <w:pPr>
              <w:rPr>
                <w:rFonts w:ascii="Times New Roman" w:hAnsi="Times New Roman"/>
                <w:sz w:val="20"/>
                <w:szCs w:val="20"/>
              </w:rPr>
            </w:pPr>
          </w:p>
        </w:tc>
        <w:tc>
          <w:tcPr>
            <w:tcW w:w="500" w:type="pct"/>
            <w:shd w:val="clear" w:color="auto" w:fill="auto"/>
            <w:vAlign w:val="center"/>
          </w:tcPr>
          <w:p w14:paraId="5556DF76" w14:textId="77777777" w:rsidR="00F925DD" w:rsidRDefault="00F925DD">
            <w:pPr>
              <w:rPr>
                <w:rFonts w:ascii="Times New Roman" w:hAnsi="Times New Roman"/>
                <w:sz w:val="20"/>
                <w:szCs w:val="20"/>
              </w:rPr>
            </w:pPr>
          </w:p>
        </w:tc>
        <w:tc>
          <w:tcPr>
            <w:tcW w:w="50" w:type="pct"/>
            <w:shd w:val="clear" w:color="auto" w:fill="auto"/>
            <w:vAlign w:val="center"/>
          </w:tcPr>
          <w:p w14:paraId="5556DF77" w14:textId="77777777" w:rsidR="00F925DD" w:rsidRDefault="00F925DD">
            <w:pPr>
              <w:rPr>
                <w:rFonts w:ascii="Times New Roman" w:hAnsi="Times New Roman"/>
                <w:sz w:val="20"/>
                <w:szCs w:val="20"/>
              </w:rPr>
            </w:pPr>
          </w:p>
        </w:tc>
        <w:tc>
          <w:tcPr>
            <w:tcW w:w="50" w:type="pct"/>
            <w:shd w:val="clear" w:color="auto" w:fill="auto"/>
            <w:vAlign w:val="center"/>
          </w:tcPr>
          <w:p w14:paraId="5556DF78" w14:textId="77777777" w:rsidR="00F925DD" w:rsidRDefault="00F925DD">
            <w:pPr>
              <w:rPr>
                <w:rFonts w:ascii="Times New Roman" w:hAnsi="Times New Roman"/>
                <w:sz w:val="20"/>
                <w:szCs w:val="20"/>
              </w:rPr>
            </w:pPr>
          </w:p>
        </w:tc>
        <w:tc>
          <w:tcPr>
            <w:tcW w:w="50" w:type="pct"/>
            <w:shd w:val="clear" w:color="auto" w:fill="auto"/>
            <w:vAlign w:val="center"/>
          </w:tcPr>
          <w:p w14:paraId="5556DF79" w14:textId="77777777" w:rsidR="00F925DD" w:rsidRDefault="00F925DD">
            <w:pPr>
              <w:rPr>
                <w:rFonts w:ascii="Times New Roman" w:hAnsi="Times New Roman"/>
                <w:sz w:val="20"/>
                <w:szCs w:val="20"/>
              </w:rPr>
            </w:pPr>
          </w:p>
        </w:tc>
        <w:tc>
          <w:tcPr>
            <w:tcW w:w="300" w:type="pct"/>
            <w:shd w:val="clear" w:color="auto" w:fill="auto"/>
            <w:vAlign w:val="center"/>
          </w:tcPr>
          <w:p w14:paraId="5556DF7A" w14:textId="77777777" w:rsidR="00F925DD" w:rsidRDefault="00F925DD">
            <w:pPr>
              <w:rPr>
                <w:rFonts w:ascii="Times New Roman" w:hAnsi="Times New Roman"/>
                <w:sz w:val="20"/>
                <w:szCs w:val="20"/>
              </w:rPr>
            </w:pPr>
          </w:p>
        </w:tc>
        <w:tc>
          <w:tcPr>
            <w:tcW w:w="50" w:type="pct"/>
            <w:shd w:val="clear" w:color="auto" w:fill="auto"/>
            <w:vAlign w:val="center"/>
          </w:tcPr>
          <w:p w14:paraId="5556DF7B" w14:textId="77777777" w:rsidR="00F925DD" w:rsidRDefault="00F925DD">
            <w:pPr>
              <w:rPr>
                <w:rFonts w:ascii="Times New Roman" w:hAnsi="Times New Roman"/>
                <w:sz w:val="20"/>
                <w:szCs w:val="20"/>
              </w:rPr>
            </w:pPr>
          </w:p>
        </w:tc>
        <w:tc>
          <w:tcPr>
            <w:tcW w:w="50" w:type="pct"/>
            <w:shd w:val="clear" w:color="auto" w:fill="auto"/>
            <w:vAlign w:val="center"/>
          </w:tcPr>
          <w:p w14:paraId="5556DF7C" w14:textId="77777777" w:rsidR="00F925DD" w:rsidRDefault="00F925DD">
            <w:pPr>
              <w:rPr>
                <w:rFonts w:ascii="Times New Roman" w:hAnsi="Times New Roman"/>
                <w:sz w:val="20"/>
                <w:szCs w:val="20"/>
              </w:rPr>
            </w:pPr>
          </w:p>
        </w:tc>
        <w:tc>
          <w:tcPr>
            <w:tcW w:w="50" w:type="pct"/>
            <w:shd w:val="clear" w:color="auto" w:fill="auto"/>
            <w:vAlign w:val="center"/>
          </w:tcPr>
          <w:p w14:paraId="5556DF7D" w14:textId="77777777" w:rsidR="00F925DD" w:rsidRDefault="00F925DD">
            <w:pPr>
              <w:rPr>
                <w:rFonts w:ascii="Times New Roman" w:hAnsi="Times New Roman"/>
                <w:sz w:val="20"/>
                <w:szCs w:val="20"/>
              </w:rPr>
            </w:pPr>
          </w:p>
        </w:tc>
        <w:tc>
          <w:tcPr>
            <w:tcW w:w="350" w:type="pct"/>
            <w:shd w:val="clear" w:color="auto" w:fill="auto"/>
            <w:vAlign w:val="center"/>
          </w:tcPr>
          <w:p w14:paraId="5556DF7E" w14:textId="77777777" w:rsidR="00F925DD" w:rsidRDefault="00F925DD">
            <w:pPr>
              <w:rPr>
                <w:rFonts w:ascii="Times New Roman" w:hAnsi="Times New Roman"/>
                <w:sz w:val="20"/>
                <w:szCs w:val="20"/>
              </w:rPr>
            </w:pPr>
          </w:p>
        </w:tc>
        <w:tc>
          <w:tcPr>
            <w:tcW w:w="50" w:type="pct"/>
            <w:shd w:val="clear" w:color="auto" w:fill="auto"/>
            <w:vAlign w:val="center"/>
          </w:tcPr>
          <w:p w14:paraId="5556DF7F" w14:textId="77777777" w:rsidR="00F925DD" w:rsidRDefault="00F925DD">
            <w:pPr>
              <w:rPr>
                <w:rFonts w:ascii="Times New Roman" w:hAnsi="Times New Roman"/>
                <w:sz w:val="20"/>
                <w:szCs w:val="20"/>
              </w:rPr>
            </w:pPr>
          </w:p>
        </w:tc>
        <w:tc>
          <w:tcPr>
            <w:tcW w:w="50" w:type="pct"/>
            <w:shd w:val="clear" w:color="auto" w:fill="auto"/>
            <w:vAlign w:val="center"/>
          </w:tcPr>
          <w:p w14:paraId="5556DF80" w14:textId="77777777" w:rsidR="00F925DD" w:rsidRDefault="00F925DD">
            <w:pPr>
              <w:rPr>
                <w:rFonts w:ascii="Times New Roman" w:hAnsi="Times New Roman"/>
                <w:sz w:val="20"/>
                <w:szCs w:val="20"/>
              </w:rPr>
            </w:pPr>
          </w:p>
        </w:tc>
        <w:tc>
          <w:tcPr>
            <w:tcW w:w="50" w:type="pct"/>
            <w:shd w:val="clear" w:color="auto" w:fill="auto"/>
            <w:vAlign w:val="center"/>
          </w:tcPr>
          <w:p w14:paraId="5556DF81" w14:textId="77777777" w:rsidR="00F925DD" w:rsidRDefault="00F925DD">
            <w:pPr>
              <w:rPr>
                <w:rFonts w:ascii="Times New Roman" w:hAnsi="Times New Roman"/>
                <w:sz w:val="20"/>
                <w:szCs w:val="20"/>
              </w:rPr>
            </w:pPr>
          </w:p>
        </w:tc>
        <w:tc>
          <w:tcPr>
            <w:tcW w:w="300" w:type="pct"/>
            <w:shd w:val="clear" w:color="auto" w:fill="auto"/>
            <w:vAlign w:val="center"/>
          </w:tcPr>
          <w:p w14:paraId="5556DF82" w14:textId="77777777" w:rsidR="00F925DD" w:rsidRDefault="00F925DD">
            <w:pPr>
              <w:rPr>
                <w:rFonts w:ascii="Times New Roman" w:hAnsi="Times New Roman"/>
                <w:sz w:val="20"/>
                <w:szCs w:val="20"/>
              </w:rPr>
            </w:pPr>
          </w:p>
        </w:tc>
        <w:tc>
          <w:tcPr>
            <w:tcW w:w="50" w:type="pct"/>
            <w:shd w:val="clear" w:color="auto" w:fill="auto"/>
            <w:vAlign w:val="center"/>
          </w:tcPr>
          <w:p w14:paraId="5556DF83" w14:textId="77777777" w:rsidR="00F925DD" w:rsidRDefault="00F925DD">
            <w:pPr>
              <w:rPr>
                <w:rFonts w:ascii="Times New Roman" w:hAnsi="Times New Roman"/>
                <w:sz w:val="20"/>
                <w:szCs w:val="20"/>
              </w:rPr>
            </w:pPr>
          </w:p>
        </w:tc>
        <w:tc>
          <w:tcPr>
            <w:tcW w:w="50" w:type="pct"/>
            <w:shd w:val="clear" w:color="auto" w:fill="auto"/>
            <w:vAlign w:val="center"/>
          </w:tcPr>
          <w:p w14:paraId="5556DF84" w14:textId="77777777" w:rsidR="00F925DD" w:rsidRDefault="00F925DD">
            <w:pPr>
              <w:rPr>
                <w:rFonts w:ascii="Times New Roman" w:hAnsi="Times New Roman"/>
                <w:sz w:val="20"/>
                <w:szCs w:val="20"/>
              </w:rPr>
            </w:pPr>
          </w:p>
        </w:tc>
        <w:tc>
          <w:tcPr>
            <w:tcW w:w="50" w:type="pct"/>
            <w:shd w:val="clear" w:color="auto" w:fill="auto"/>
            <w:vAlign w:val="center"/>
          </w:tcPr>
          <w:p w14:paraId="5556DF85" w14:textId="77777777" w:rsidR="00F925DD" w:rsidRDefault="00F925DD">
            <w:pPr>
              <w:rPr>
                <w:rFonts w:ascii="Times New Roman" w:hAnsi="Times New Roman"/>
                <w:sz w:val="20"/>
                <w:szCs w:val="20"/>
              </w:rPr>
            </w:pPr>
          </w:p>
        </w:tc>
        <w:tc>
          <w:tcPr>
            <w:tcW w:w="500" w:type="pct"/>
            <w:shd w:val="clear" w:color="auto" w:fill="auto"/>
            <w:vAlign w:val="center"/>
          </w:tcPr>
          <w:p w14:paraId="5556DF86" w14:textId="77777777" w:rsidR="00F925DD" w:rsidRDefault="00F925DD">
            <w:pPr>
              <w:rPr>
                <w:rFonts w:ascii="Times New Roman" w:hAnsi="Times New Roman"/>
                <w:sz w:val="20"/>
                <w:szCs w:val="20"/>
              </w:rPr>
            </w:pPr>
          </w:p>
        </w:tc>
        <w:tc>
          <w:tcPr>
            <w:tcW w:w="50" w:type="pct"/>
            <w:shd w:val="clear" w:color="auto" w:fill="auto"/>
            <w:vAlign w:val="center"/>
          </w:tcPr>
          <w:p w14:paraId="5556DF87" w14:textId="77777777" w:rsidR="00F925DD" w:rsidRDefault="00F925DD">
            <w:pPr>
              <w:rPr>
                <w:rFonts w:ascii="Times New Roman" w:hAnsi="Times New Roman"/>
                <w:sz w:val="20"/>
                <w:szCs w:val="20"/>
              </w:rPr>
            </w:pPr>
          </w:p>
        </w:tc>
        <w:tc>
          <w:tcPr>
            <w:tcW w:w="50" w:type="pct"/>
            <w:shd w:val="clear" w:color="auto" w:fill="auto"/>
            <w:vAlign w:val="center"/>
          </w:tcPr>
          <w:p w14:paraId="5556DF88" w14:textId="77777777" w:rsidR="00F925DD" w:rsidRDefault="00F925DD">
            <w:pPr>
              <w:rPr>
                <w:rFonts w:ascii="Times New Roman" w:hAnsi="Times New Roman"/>
                <w:sz w:val="20"/>
                <w:szCs w:val="20"/>
              </w:rPr>
            </w:pPr>
          </w:p>
        </w:tc>
        <w:tc>
          <w:tcPr>
            <w:tcW w:w="50" w:type="pct"/>
            <w:shd w:val="clear" w:color="auto" w:fill="auto"/>
            <w:vAlign w:val="center"/>
          </w:tcPr>
          <w:p w14:paraId="5556DF89" w14:textId="77777777" w:rsidR="00F925DD" w:rsidRDefault="00F925DD">
            <w:pPr>
              <w:rPr>
                <w:rFonts w:ascii="Times New Roman" w:hAnsi="Times New Roman"/>
                <w:sz w:val="20"/>
                <w:szCs w:val="20"/>
              </w:rPr>
            </w:pPr>
          </w:p>
        </w:tc>
        <w:tc>
          <w:tcPr>
            <w:tcW w:w="300" w:type="pct"/>
            <w:shd w:val="clear" w:color="auto" w:fill="auto"/>
            <w:vAlign w:val="center"/>
          </w:tcPr>
          <w:p w14:paraId="5556DF8A" w14:textId="77777777" w:rsidR="00F925DD" w:rsidRDefault="00F925DD">
            <w:pPr>
              <w:rPr>
                <w:rFonts w:ascii="Times New Roman" w:hAnsi="Times New Roman"/>
                <w:sz w:val="20"/>
                <w:szCs w:val="20"/>
              </w:rPr>
            </w:pPr>
          </w:p>
        </w:tc>
        <w:tc>
          <w:tcPr>
            <w:tcW w:w="50" w:type="pct"/>
            <w:shd w:val="clear" w:color="auto" w:fill="auto"/>
            <w:vAlign w:val="center"/>
          </w:tcPr>
          <w:p w14:paraId="5556DF8B" w14:textId="77777777" w:rsidR="00F925DD" w:rsidRDefault="00F925DD">
            <w:pPr>
              <w:rPr>
                <w:rFonts w:ascii="Times New Roman" w:hAnsi="Times New Roman"/>
                <w:sz w:val="20"/>
                <w:szCs w:val="20"/>
              </w:rPr>
            </w:pPr>
          </w:p>
        </w:tc>
        <w:tc>
          <w:tcPr>
            <w:tcW w:w="50" w:type="pct"/>
            <w:shd w:val="clear" w:color="auto" w:fill="auto"/>
            <w:vAlign w:val="center"/>
          </w:tcPr>
          <w:p w14:paraId="5556DF8C" w14:textId="77777777" w:rsidR="00F925DD" w:rsidRDefault="00F925DD">
            <w:pPr>
              <w:rPr>
                <w:rFonts w:ascii="Times New Roman" w:hAnsi="Times New Roman"/>
                <w:sz w:val="20"/>
                <w:szCs w:val="20"/>
              </w:rPr>
            </w:pPr>
          </w:p>
        </w:tc>
        <w:tc>
          <w:tcPr>
            <w:tcW w:w="50" w:type="pct"/>
            <w:shd w:val="clear" w:color="auto" w:fill="auto"/>
            <w:vAlign w:val="center"/>
          </w:tcPr>
          <w:p w14:paraId="5556DF8D" w14:textId="77777777" w:rsidR="00F925DD" w:rsidRDefault="00F925DD">
            <w:pPr>
              <w:rPr>
                <w:rFonts w:ascii="Times New Roman" w:hAnsi="Times New Roman"/>
                <w:sz w:val="20"/>
                <w:szCs w:val="20"/>
              </w:rPr>
            </w:pPr>
          </w:p>
        </w:tc>
        <w:tc>
          <w:tcPr>
            <w:tcW w:w="300" w:type="pct"/>
            <w:shd w:val="clear" w:color="auto" w:fill="auto"/>
            <w:vAlign w:val="center"/>
          </w:tcPr>
          <w:p w14:paraId="5556DF8E" w14:textId="77777777" w:rsidR="00F925DD" w:rsidRDefault="00F925DD">
            <w:pPr>
              <w:rPr>
                <w:rFonts w:ascii="Times New Roman" w:hAnsi="Times New Roman"/>
                <w:sz w:val="20"/>
                <w:szCs w:val="20"/>
              </w:rPr>
            </w:pPr>
          </w:p>
        </w:tc>
        <w:tc>
          <w:tcPr>
            <w:tcW w:w="50" w:type="pct"/>
            <w:shd w:val="clear" w:color="auto" w:fill="auto"/>
            <w:vAlign w:val="center"/>
          </w:tcPr>
          <w:p w14:paraId="5556DF8F" w14:textId="77777777" w:rsidR="00F925DD" w:rsidRDefault="00F925DD">
            <w:pPr>
              <w:rPr>
                <w:rFonts w:ascii="Times New Roman" w:hAnsi="Times New Roman"/>
                <w:sz w:val="20"/>
                <w:szCs w:val="20"/>
              </w:rPr>
            </w:pPr>
          </w:p>
        </w:tc>
        <w:tc>
          <w:tcPr>
            <w:tcW w:w="50" w:type="pct"/>
            <w:shd w:val="clear" w:color="auto" w:fill="auto"/>
            <w:vAlign w:val="center"/>
          </w:tcPr>
          <w:p w14:paraId="5556DF90" w14:textId="77777777" w:rsidR="00F925DD" w:rsidRDefault="00F925DD">
            <w:pPr>
              <w:rPr>
                <w:rFonts w:ascii="Times New Roman" w:hAnsi="Times New Roman"/>
                <w:sz w:val="20"/>
                <w:szCs w:val="20"/>
              </w:rPr>
            </w:pPr>
          </w:p>
        </w:tc>
        <w:tc>
          <w:tcPr>
            <w:tcW w:w="50" w:type="pct"/>
            <w:shd w:val="clear" w:color="auto" w:fill="auto"/>
            <w:vAlign w:val="center"/>
          </w:tcPr>
          <w:p w14:paraId="5556DF91" w14:textId="77777777" w:rsidR="00F925DD" w:rsidRDefault="00F925DD">
            <w:pPr>
              <w:rPr>
                <w:rFonts w:ascii="Times New Roman" w:hAnsi="Times New Roman"/>
                <w:sz w:val="20"/>
                <w:szCs w:val="20"/>
              </w:rPr>
            </w:pPr>
          </w:p>
        </w:tc>
        <w:tc>
          <w:tcPr>
            <w:tcW w:w="250" w:type="pct"/>
            <w:shd w:val="clear" w:color="auto" w:fill="auto"/>
            <w:vAlign w:val="center"/>
          </w:tcPr>
          <w:p w14:paraId="5556DF92" w14:textId="77777777" w:rsidR="00F925DD" w:rsidRDefault="00F925DD">
            <w:pPr>
              <w:rPr>
                <w:rFonts w:ascii="Times New Roman" w:hAnsi="Times New Roman"/>
                <w:sz w:val="20"/>
                <w:szCs w:val="20"/>
              </w:rPr>
            </w:pPr>
          </w:p>
        </w:tc>
        <w:tc>
          <w:tcPr>
            <w:tcW w:w="50" w:type="pct"/>
            <w:shd w:val="clear" w:color="auto" w:fill="auto"/>
            <w:vAlign w:val="center"/>
          </w:tcPr>
          <w:p w14:paraId="5556DF93" w14:textId="77777777" w:rsidR="00F925DD" w:rsidRDefault="00F925DD">
            <w:pPr>
              <w:rPr>
                <w:rFonts w:ascii="Times New Roman" w:hAnsi="Times New Roman"/>
                <w:sz w:val="20"/>
                <w:szCs w:val="20"/>
              </w:rPr>
            </w:pPr>
          </w:p>
        </w:tc>
      </w:tr>
      <w:tr w:rsidR="00F925DD" w14:paraId="5556DF99" w14:textId="77777777">
        <w:tc>
          <w:tcPr>
            <w:tcW w:w="0" w:type="auto"/>
            <w:shd w:val="clear" w:color="auto" w:fill="auto"/>
            <w:tcMar>
              <w:top w:w="40" w:type="dxa"/>
              <w:left w:w="40" w:type="dxa"/>
              <w:bottom w:w="40" w:type="dxa"/>
              <w:right w:w="40" w:type="dxa"/>
            </w:tcMar>
            <w:vAlign w:val="bottom"/>
          </w:tcPr>
          <w:p w14:paraId="5556DF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DF9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 of December 31, 2019</w:t>
            </w:r>
          </w:p>
        </w:tc>
        <w:tc>
          <w:tcPr>
            <w:tcW w:w="0" w:type="auto"/>
            <w:shd w:val="clear" w:color="auto" w:fill="auto"/>
            <w:tcMar>
              <w:top w:w="40" w:type="dxa"/>
              <w:left w:w="40" w:type="dxa"/>
              <w:bottom w:w="40" w:type="dxa"/>
              <w:right w:w="40" w:type="dxa"/>
            </w:tcMar>
            <w:vAlign w:val="bottom"/>
          </w:tcPr>
          <w:p w14:paraId="5556DF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DF9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As of December 31, 2018</w:t>
            </w:r>
          </w:p>
        </w:tc>
      </w:tr>
      <w:tr w:rsidR="00F925DD" w14:paraId="5556DFAA" w14:textId="77777777">
        <w:tc>
          <w:tcPr>
            <w:tcW w:w="0" w:type="auto"/>
            <w:shd w:val="clear" w:color="auto" w:fill="auto"/>
            <w:tcMar>
              <w:top w:w="40" w:type="dxa"/>
              <w:left w:w="40" w:type="dxa"/>
              <w:bottom w:w="40" w:type="dxa"/>
              <w:right w:w="40" w:type="dxa"/>
            </w:tcMar>
            <w:vAlign w:val="bottom"/>
          </w:tcPr>
          <w:p w14:paraId="5556DF9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F9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Overnight and Continuous</w:t>
            </w:r>
          </w:p>
        </w:tc>
        <w:tc>
          <w:tcPr>
            <w:tcW w:w="0" w:type="auto"/>
            <w:shd w:val="clear" w:color="auto" w:fill="auto"/>
            <w:tcMar>
              <w:top w:w="40" w:type="dxa"/>
              <w:left w:w="40" w:type="dxa"/>
              <w:bottom w:w="40" w:type="dxa"/>
              <w:right w:w="40" w:type="dxa"/>
            </w:tcMar>
            <w:vAlign w:val="bottom"/>
          </w:tcPr>
          <w:p w14:paraId="5556DF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F9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Up to 30 Days</w:t>
            </w:r>
          </w:p>
        </w:tc>
        <w:tc>
          <w:tcPr>
            <w:tcW w:w="0" w:type="auto"/>
            <w:shd w:val="clear" w:color="auto" w:fill="auto"/>
            <w:tcMar>
              <w:top w:w="40" w:type="dxa"/>
              <w:left w:w="40" w:type="dxa"/>
              <w:bottom w:w="40" w:type="dxa"/>
              <w:right w:w="40" w:type="dxa"/>
            </w:tcMar>
            <w:vAlign w:val="bottom"/>
          </w:tcPr>
          <w:p w14:paraId="5556DF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F9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Greater than 90 Days</w:t>
            </w:r>
          </w:p>
        </w:tc>
        <w:tc>
          <w:tcPr>
            <w:tcW w:w="0" w:type="auto"/>
            <w:shd w:val="clear" w:color="auto" w:fill="auto"/>
            <w:tcMar>
              <w:top w:w="40" w:type="dxa"/>
              <w:left w:w="40" w:type="dxa"/>
              <w:bottom w:w="40" w:type="dxa"/>
              <w:right w:w="40" w:type="dxa"/>
            </w:tcMar>
            <w:vAlign w:val="bottom"/>
          </w:tcPr>
          <w:p w14:paraId="5556DF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FA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c>
          <w:tcPr>
            <w:tcW w:w="0" w:type="auto"/>
            <w:shd w:val="clear" w:color="auto" w:fill="auto"/>
            <w:tcMar>
              <w:top w:w="40" w:type="dxa"/>
              <w:left w:w="40" w:type="dxa"/>
              <w:bottom w:w="40" w:type="dxa"/>
              <w:right w:w="40" w:type="dxa"/>
            </w:tcMar>
            <w:vAlign w:val="bottom"/>
          </w:tcPr>
          <w:p w14:paraId="5556DF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FA3"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Overnight and Continuous</w:t>
            </w:r>
          </w:p>
        </w:tc>
        <w:tc>
          <w:tcPr>
            <w:tcW w:w="0" w:type="auto"/>
            <w:shd w:val="clear" w:color="auto" w:fill="auto"/>
            <w:tcMar>
              <w:top w:w="40" w:type="dxa"/>
              <w:left w:w="40" w:type="dxa"/>
              <w:bottom w:w="40" w:type="dxa"/>
              <w:right w:w="40" w:type="dxa"/>
            </w:tcMar>
            <w:vAlign w:val="bottom"/>
          </w:tcPr>
          <w:p w14:paraId="5556DF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FA5"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Up to 30 Days</w:t>
            </w:r>
          </w:p>
        </w:tc>
        <w:tc>
          <w:tcPr>
            <w:tcW w:w="0" w:type="auto"/>
            <w:shd w:val="clear" w:color="auto" w:fill="auto"/>
            <w:tcMar>
              <w:top w:w="40" w:type="dxa"/>
              <w:left w:w="40" w:type="dxa"/>
              <w:bottom w:w="40" w:type="dxa"/>
              <w:right w:w="40" w:type="dxa"/>
            </w:tcMar>
            <w:vAlign w:val="bottom"/>
          </w:tcPr>
          <w:p w14:paraId="5556DF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FA7"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Greater than 90 Days</w:t>
            </w:r>
          </w:p>
        </w:tc>
        <w:tc>
          <w:tcPr>
            <w:tcW w:w="0" w:type="auto"/>
            <w:shd w:val="clear" w:color="auto" w:fill="auto"/>
            <w:tcMar>
              <w:top w:w="40" w:type="dxa"/>
              <w:left w:w="40" w:type="dxa"/>
              <w:bottom w:w="40" w:type="dxa"/>
              <w:right w:w="40" w:type="dxa"/>
            </w:tcMar>
            <w:vAlign w:val="bottom"/>
          </w:tcPr>
          <w:p w14:paraId="5556DF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DFA9"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r>
      <w:tr w:rsidR="00F925DD" w14:paraId="5556DFBB" w14:textId="77777777">
        <w:tc>
          <w:tcPr>
            <w:tcW w:w="0" w:type="auto"/>
            <w:shd w:val="clear" w:color="auto" w:fill="auto"/>
            <w:tcMar>
              <w:top w:w="40" w:type="dxa"/>
              <w:left w:w="40" w:type="dxa"/>
              <w:bottom w:w="40" w:type="dxa"/>
              <w:right w:w="40" w:type="dxa"/>
            </w:tcMar>
            <w:vAlign w:val="bottom"/>
          </w:tcPr>
          <w:p w14:paraId="5556DFA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Repurchase agreements:</w:t>
            </w:r>
          </w:p>
        </w:tc>
        <w:tc>
          <w:tcPr>
            <w:tcW w:w="0" w:type="auto"/>
            <w:gridSpan w:val="3"/>
            <w:shd w:val="clear" w:color="auto" w:fill="auto"/>
            <w:tcMar>
              <w:top w:w="40" w:type="dxa"/>
              <w:left w:w="40" w:type="dxa"/>
              <w:bottom w:w="40" w:type="dxa"/>
              <w:right w:w="40" w:type="dxa"/>
            </w:tcMar>
            <w:vAlign w:val="bottom"/>
          </w:tcPr>
          <w:p w14:paraId="5556DF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DF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DF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DFDC" w14:textId="77777777">
        <w:tc>
          <w:tcPr>
            <w:tcW w:w="0" w:type="auto"/>
            <w:shd w:val="clear" w:color="auto" w:fill="CCEEFF"/>
            <w:tcMar>
              <w:top w:w="40" w:type="dxa"/>
              <w:left w:w="40" w:type="dxa"/>
              <w:bottom w:w="40" w:type="dxa"/>
              <w:right w:w="40" w:type="dxa"/>
            </w:tcMar>
            <w:vAlign w:val="bottom"/>
          </w:tcPr>
          <w:p w14:paraId="5556DFBC" w14:textId="77777777" w:rsidR="00F925DD" w:rsidRDefault="00E705D7">
            <w:pPr>
              <w:textAlignment w:val="bottom"/>
              <w:rPr>
                <w:rFonts w:ascii="Times New Roman" w:hAnsi="Times New Roman"/>
                <w:sz w:val="15"/>
                <w:szCs w:val="15"/>
              </w:rPr>
            </w:pPr>
            <w:r>
              <w:rPr>
                <w:rFonts w:ascii="Arial" w:eastAsia="宋体" w:hAnsi="Arial" w:cs="Arial"/>
                <w:sz w:val="15"/>
                <w:szCs w:val="15"/>
              </w:rPr>
              <w:t>U.S. Treasury and agency securities</w:t>
            </w:r>
          </w:p>
        </w:tc>
        <w:tc>
          <w:tcPr>
            <w:tcW w:w="0" w:type="auto"/>
            <w:tcBorders>
              <w:bottom w:val="single" w:sz="8" w:space="0" w:color="000000"/>
            </w:tcBorders>
            <w:shd w:val="clear" w:color="auto" w:fill="CCEEFF"/>
            <w:tcMar>
              <w:top w:w="40" w:type="dxa"/>
              <w:left w:w="40" w:type="dxa"/>
              <w:bottom w:w="40" w:type="dxa"/>
            </w:tcMar>
            <w:vAlign w:val="bottom"/>
          </w:tcPr>
          <w:p w14:paraId="5556DFB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tcMar>
              <w:top w:w="40" w:type="dxa"/>
              <w:bottom w:w="40" w:type="dxa"/>
            </w:tcMar>
            <w:vAlign w:val="bottom"/>
          </w:tcPr>
          <w:p w14:paraId="5556DFB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156,465</w:t>
            </w:r>
          </w:p>
        </w:tc>
        <w:tc>
          <w:tcPr>
            <w:tcW w:w="0" w:type="auto"/>
            <w:tcBorders>
              <w:bottom w:val="single" w:sz="8" w:space="0" w:color="000000"/>
            </w:tcBorders>
            <w:shd w:val="clear" w:color="auto" w:fill="CCEEFF"/>
            <w:vAlign w:val="bottom"/>
          </w:tcPr>
          <w:p w14:paraId="5556DF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FC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FC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DFC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FC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FC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DF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FC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DFC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156,465</w:t>
            </w:r>
          </w:p>
        </w:tc>
        <w:tc>
          <w:tcPr>
            <w:tcW w:w="0" w:type="auto"/>
            <w:shd w:val="clear" w:color="auto" w:fill="CCEEFF"/>
            <w:vAlign w:val="bottom"/>
          </w:tcPr>
          <w:p w14:paraId="5556DFC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FC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FC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88,904</w:t>
            </w:r>
          </w:p>
        </w:tc>
        <w:tc>
          <w:tcPr>
            <w:tcW w:w="0" w:type="auto"/>
            <w:shd w:val="clear" w:color="auto" w:fill="CCEEFF"/>
            <w:vAlign w:val="bottom"/>
          </w:tcPr>
          <w:p w14:paraId="5556DFC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FD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FD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DFD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FD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FD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DFD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DF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DFD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DFD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88,904</w:t>
            </w:r>
          </w:p>
        </w:tc>
        <w:tc>
          <w:tcPr>
            <w:tcW w:w="0" w:type="auto"/>
            <w:shd w:val="clear" w:color="auto" w:fill="CCEEFF"/>
            <w:vAlign w:val="bottom"/>
          </w:tcPr>
          <w:p w14:paraId="5556DFDB" w14:textId="77777777" w:rsidR="00F925DD" w:rsidRDefault="00F925DD">
            <w:pPr>
              <w:textAlignment w:val="bottom"/>
              <w:rPr>
                <w:rFonts w:ascii="Times New Roman" w:hAnsi="Times New Roman"/>
                <w:sz w:val="20"/>
                <w:szCs w:val="20"/>
              </w:rPr>
            </w:pPr>
          </w:p>
        </w:tc>
      </w:tr>
      <w:tr w:rsidR="00F925DD" w14:paraId="5556DFF5" w14:textId="77777777">
        <w:tc>
          <w:tcPr>
            <w:tcW w:w="0" w:type="auto"/>
            <w:shd w:val="clear" w:color="auto" w:fill="auto"/>
            <w:tcMar>
              <w:top w:w="40" w:type="dxa"/>
              <w:left w:w="40" w:type="dxa"/>
              <w:bottom w:w="40" w:type="dxa"/>
              <w:right w:w="40" w:type="dxa"/>
            </w:tcMar>
            <w:vAlign w:val="bottom"/>
          </w:tcPr>
          <w:p w14:paraId="5556DFDD"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DFD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156,465</w:t>
            </w:r>
          </w:p>
        </w:tc>
        <w:tc>
          <w:tcPr>
            <w:tcW w:w="0" w:type="auto"/>
            <w:tcBorders>
              <w:top w:val="single" w:sz="8" w:space="0" w:color="000000"/>
              <w:bottom w:val="single" w:sz="8" w:space="0" w:color="000000"/>
            </w:tcBorders>
            <w:shd w:val="clear" w:color="auto" w:fill="auto"/>
            <w:vAlign w:val="bottom"/>
          </w:tcPr>
          <w:p w14:paraId="5556DFD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F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DFE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auto"/>
            <w:vAlign w:val="bottom"/>
          </w:tcPr>
          <w:p w14:paraId="5556DFE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F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DFE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single" w:sz="8" w:space="0" w:color="000000"/>
            </w:tcBorders>
            <w:shd w:val="clear" w:color="auto" w:fill="auto"/>
            <w:vAlign w:val="bottom"/>
          </w:tcPr>
          <w:p w14:paraId="5556DFE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F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DFE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156,465</w:t>
            </w:r>
          </w:p>
        </w:tc>
        <w:tc>
          <w:tcPr>
            <w:tcW w:w="0" w:type="auto"/>
            <w:tcBorders>
              <w:top w:val="single" w:sz="8" w:space="0" w:color="000000"/>
              <w:bottom w:val="single" w:sz="8" w:space="0" w:color="000000"/>
            </w:tcBorders>
            <w:shd w:val="clear" w:color="auto" w:fill="auto"/>
            <w:vAlign w:val="bottom"/>
          </w:tcPr>
          <w:p w14:paraId="5556DFE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F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DFE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88,904</w:t>
            </w:r>
          </w:p>
        </w:tc>
        <w:tc>
          <w:tcPr>
            <w:tcW w:w="0" w:type="auto"/>
            <w:tcBorders>
              <w:top w:val="single" w:sz="8" w:space="0" w:color="000000"/>
              <w:bottom w:val="single" w:sz="8" w:space="0" w:color="000000"/>
            </w:tcBorders>
            <w:shd w:val="clear" w:color="auto" w:fill="auto"/>
            <w:vAlign w:val="bottom"/>
          </w:tcPr>
          <w:p w14:paraId="5556DFE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F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DFE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auto"/>
            <w:vAlign w:val="bottom"/>
          </w:tcPr>
          <w:p w14:paraId="5556DF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F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DFF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single" w:sz="8" w:space="0" w:color="000000"/>
            </w:tcBorders>
            <w:shd w:val="clear" w:color="auto" w:fill="auto"/>
            <w:vAlign w:val="bottom"/>
          </w:tcPr>
          <w:p w14:paraId="5556DF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DF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DFF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88,904</w:t>
            </w:r>
          </w:p>
        </w:tc>
        <w:tc>
          <w:tcPr>
            <w:tcW w:w="0" w:type="auto"/>
            <w:tcBorders>
              <w:top w:val="single" w:sz="8" w:space="0" w:color="000000"/>
              <w:bottom w:val="single" w:sz="8" w:space="0" w:color="000000"/>
            </w:tcBorders>
            <w:shd w:val="clear" w:color="auto" w:fill="auto"/>
            <w:vAlign w:val="bottom"/>
          </w:tcPr>
          <w:p w14:paraId="5556DFF4" w14:textId="77777777" w:rsidR="00F925DD" w:rsidRDefault="00F925DD">
            <w:pPr>
              <w:textAlignment w:val="bottom"/>
              <w:rPr>
                <w:rFonts w:ascii="Times New Roman" w:hAnsi="Times New Roman"/>
                <w:sz w:val="20"/>
                <w:szCs w:val="20"/>
              </w:rPr>
            </w:pPr>
          </w:p>
        </w:tc>
      </w:tr>
      <w:tr w:rsidR="00F925DD" w14:paraId="5556E006" w14:textId="77777777">
        <w:tc>
          <w:tcPr>
            <w:tcW w:w="0" w:type="auto"/>
            <w:shd w:val="clear" w:color="auto" w:fill="CCEEFF"/>
            <w:tcMar>
              <w:top w:w="40" w:type="dxa"/>
              <w:left w:w="40" w:type="dxa"/>
              <w:bottom w:w="40" w:type="dxa"/>
              <w:right w:w="40" w:type="dxa"/>
            </w:tcMar>
            <w:vAlign w:val="bottom"/>
          </w:tcPr>
          <w:p w14:paraId="5556DFF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Securities lending transactions:</w:t>
            </w:r>
          </w:p>
        </w:tc>
        <w:tc>
          <w:tcPr>
            <w:tcW w:w="0" w:type="auto"/>
            <w:gridSpan w:val="3"/>
            <w:shd w:val="clear" w:color="auto" w:fill="CCEEFF"/>
            <w:tcMar>
              <w:top w:w="40" w:type="dxa"/>
              <w:left w:w="40" w:type="dxa"/>
              <w:bottom w:w="40" w:type="dxa"/>
              <w:right w:w="40" w:type="dxa"/>
            </w:tcMar>
            <w:vAlign w:val="bottom"/>
          </w:tcPr>
          <w:p w14:paraId="5556DF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F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F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F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F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F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F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DF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DF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0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0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0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0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0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0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01F" w14:textId="77777777">
        <w:tc>
          <w:tcPr>
            <w:tcW w:w="0" w:type="auto"/>
            <w:shd w:val="clear" w:color="auto" w:fill="auto"/>
            <w:tcMar>
              <w:top w:w="40" w:type="dxa"/>
              <w:left w:w="40" w:type="dxa"/>
              <w:bottom w:w="40" w:type="dxa"/>
              <w:right w:w="40" w:type="dxa"/>
            </w:tcMar>
            <w:vAlign w:val="bottom"/>
          </w:tcPr>
          <w:p w14:paraId="5556E007" w14:textId="77777777" w:rsidR="00F925DD" w:rsidRDefault="00E705D7">
            <w:pPr>
              <w:textAlignment w:val="bottom"/>
              <w:rPr>
                <w:rFonts w:ascii="Times New Roman" w:hAnsi="Times New Roman"/>
                <w:sz w:val="15"/>
                <w:szCs w:val="15"/>
              </w:rPr>
            </w:pPr>
            <w:r>
              <w:rPr>
                <w:rFonts w:ascii="Arial" w:eastAsia="宋体" w:hAnsi="Arial" w:cs="Arial"/>
                <w:sz w:val="15"/>
                <w:szCs w:val="15"/>
              </w:rPr>
              <w:t>US Treasury and agency securities</w:t>
            </w:r>
          </w:p>
        </w:tc>
        <w:tc>
          <w:tcPr>
            <w:tcW w:w="0" w:type="auto"/>
            <w:gridSpan w:val="2"/>
            <w:shd w:val="clear" w:color="auto" w:fill="auto"/>
            <w:tcMar>
              <w:top w:w="40" w:type="dxa"/>
              <w:left w:w="40" w:type="dxa"/>
              <w:bottom w:w="40" w:type="dxa"/>
            </w:tcMar>
            <w:vAlign w:val="bottom"/>
          </w:tcPr>
          <w:p w14:paraId="5556E00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w:t>
            </w:r>
          </w:p>
        </w:tc>
        <w:tc>
          <w:tcPr>
            <w:tcW w:w="0" w:type="auto"/>
            <w:shd w:val="clear" w:color="auto" w:fill="auto"/>
            <w:vAlign w:val="bottom"/>
          </w:tcPr>
          <w:p w14:paraId="5556E0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0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E0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0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E0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1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w:t>
            </w:r>
          </w:p>
        </w:tc>
        <w:tc>
          <w:tcPr>
            <w:tcW w:w="0" w:type="auto"/>
            <w:shd w:val="clear" w:color="auto" w:fill="auto"/>
            <w:vAlign w:val="bottom"/>
          </w:tcPr>
          <w:p w14:paraId="5556E0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1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249</w:t>
            </w:r>
          </w:p>
        </w:tc>
        <w:tc>
          <w:tcPr>
            <w:tcW w:w="0" w:type="auto"/>
            <w:shd w:val="clear" w:color="auto" w:fill="auto"/>
            <w:vAlign w:val="bottom"/>
          </w:tcPr>
          <w:p w14:paraId="5556E01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1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E01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1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E01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1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249</w:t>
            </w:r>
          </w:p>
        </w:tc>
        <w:tc>
          <w:tcPr>
            <w:tcW w:w="0" w:type="auto"/>
            <w:shd w:val="clear" w:color="auto" w:fill="auto"/>
            <w:vAlign w:val="bottom"/>
          </w:tcPr>
          <w:p w14:paraId="5556E01E" w14:textId="77777777" w:rsidR="00F925DD" w:rsidRDefault="00F925DD">
            <w:pPr>
              <w:textAlignment w:val="bottom"/>
              <w:rPr>
                <w:rFonts w:ascii="Times New Roman" w:hAnsi="Times New Roman"/>
                <w:sz w:val="20"/>
                <w:szCs w:val="20"/>
              </w:rPr>
            </w:pPr>
          </w:p>
        </w:tc>
      </w:tr>
      <w:tr w:rsidR="00F925DD" w14:paraId="5556E038" w14:textId="77777777">
        <w:tc>
          <w:tcPr>
            <w:tcW w:w="0" w:type="auto"/>
            <w:shd w:val="clear" w:color="auto" w:fill="CCEEFF"/>
            <w:tcMar>
              <w:top w:w="40" w:type="dxa"/>
              <w:left w:w="40" w:type="dxa"/>
              <w:bottom w:w="40" w:type="dxa"/>
              <w:right w:w="40" w:type="dxa"/>
            </w:tcMar>
            <w:vAlign w:val="bottom"/>
          </w:tcPr>
          <w:p w14:paraId="5556E020" w14:textId="77777777" w:rsidR="00F925DD" w:rsidRDefault="00E705D7">
            <w:pPr>
              <w:textAlignment w:val="bottom"/>
              <w:rPr>
                <w:rFonts w:ascii="Times New Roman" w:hAnsi="Times New Roman"/>
                <w:sz w:val="15"/>
                <w:szCs w:val="15"/>
              </w:rPr>
            </w:pPr>
            <w:r>
              <w:rPr>
                <w:rFonts w:ascii="Arial" w:eastAsia="宋体" w:hAnsi="Arial" w:cs="Arial"/>
                <w:sz w:val="15"/>
                <w:szCs w:val="15"/>
              </w:rPr>
              <w:t>Corporate debt securities</w:t>
            </w:r>
          </w:p>
        </w:tc>
        <w:tc>
          <w:tcPr>
            <w:tcW w:w="0" w:type="auto"/>
            <w:gridSpan w:val="2"/>
            <w:shd w:val="clear" w:color="auto" w:fill="CCEEFF"/>
            <w:tcMar>
              <w:top w:w="40" w:type="dxa"/>
              <w:left w:w="40" w:type="dxa"/>
              <w:bottom w:w="40" w:type="dxa"/>
            </w:tcMar>
            <w:vAlign w:val="bottom"/>
          </w:tcPr>
          <w:p w14:paraId="5556E02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354</w:t>
            </w:r>
          </w:p>
        </w:tc>
        <w:tc>
          <w:tcPr>
            <w:tcW w:w="0" w:type="auto"/>
            <w:shd w:val="clear" w:color="auto" w:fill="CCEEFF"/>
            <w:vAlign w:val="bottom"/>
          </w:tcPr>
          <w:p w14:paraId="5556E02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2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E0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2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E02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2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354</w:t>
            </w:r>
          </w:p>
        </w:tc>
        <w:tc>
          <w:tcPr>
            <w:tcW w:w="0" w:type="auto"/>
            <w:shd w:val="clear" w:color="auto" w:fill="CCEEFF"/>
            <w:vAlign w:val="bottom"/>
          </w:tcPr>
          <w:p w14:paraId="5556E0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2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278</w:t>
            </w:r>
          </w:p>
        </w:tc>
        <w:tc>
          <w:tcPr>
            <w:tcW w:w="0" w:type="auto"/>
            <w:shd w:val="clear" w:color="auto" w:fill="CCEEFF"/>
            <w:vAlign w:val="bottom"/>
          </w:tcPr>
          <w:p w14:paraId="5556E0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3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E03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3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E0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3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278</w:t>
            </w:r>
          </w:p>
        </w:tc>
        <w:tc>
          <w:tcPr>
            <w:tcW w:w="0" w:type="auto"/>
            <w:shd w:val="clear" w:color="auto" w:fill="CCEEFF"/>
            <w:vAlign w:val="bottom"/>
          </w:tcPr>
          <w:p w14:paraId="5556E037" w14:textId="77777777" w:rsidR="00F925DD" w:rsidRDefault="00F925DD">
            <w:pPr>
              <w:textAlignment w:val="bottom"/>
              <w:rPr>
                <w:rFonts w:ascii="Times New Roman" w:hAnsi="Times New Roman"/>
                <w:sz w:val="20"/>
                <w:szCs w:val="20"/>
              </w:rPr>
            </w:pPr>
          </w:p>
        </w:tc>
      </w:tr>
      <w:tr w:rsidR="00F925DD" w14:paraId="5556E051" w14:textId="77777777">
        <w:tc>
          <w:tcPr>
            <w:tcW w:w="0" w:type="auto"/>
            <w:shd w:val="clear" w:color="auto" w:fill="auto"/>
            <w:tcMar>
              <w:top w:w="40" w:type="dxa"/>
              <w:left w:w="40" w:type="dxa"/>
              <w:bottom w:w="40" w:type="dxa"/>
              <w:right w:w="40" w:type="dxa"/>
            </w:tcMar>
            <w:vAlign w:val="bottom"/>
          </w:tcPr>
          <w:p w14:paraId="5556E039" w14:textId="77777777" w:rsidR="00F925DD" w:rsidRDefault="00E705D7">
            <w:pPr>
              <w:textAlignment w:val="bottom"/>
              <w:rPr>
                <w:rFonts w:ascii="Times New Roman" w:hAnsi="Times New Roman"/>
                <w:sz w:val="15"/>
                <w:szCs w:val="15"/>
              </w:rPr>
            </w:pPr>
            <w:r>
              <w:rPr>
                <w:rFonts w:ascii="Arial" w:eastAsia="宋体" w:hAnsi="Arial" w:cs="Arial"/>
                <w:sz w:val="15"/>
                <w:szCs w:val="15"/>
              </w:rPr>
              <w:t>Equity securities</w:t>
            </w:r>
          </w:p>
        </w:tc>
        <w:tc>
          <w:tcPr>
            <w:tcW w:w="0" w:type="auto"/>
            <w:gridSpan w:val="2"/>
            <w:shd w:val="clear" w:color="auto" w:fill="auto"/>
            <w:tcMar>
              <w:top w:w="40" w:type="dxa"/>
              <w:left w:w="40" w:type="dxa"/>
              <w:bottom w:w="40" w:type="dxa"/>
            </w:tcMar>
            <w:vAlign w:val="bottom"/>
          </w:tcPr>
          <w:p w14:paraId="5556E03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7,389</w:t>
            </w:r>
          </w:p>
        </w:tc>
        <w:tc>
          <w:tcPr>
            <w:tcW w:w="0" w:type="auto"/>
            <w:shd w:val="clear" w:color="auto" w:fill="auto"/>
            <w:vAlign w:val="bottom"/>
          </w:tcPr>
          <w:p w14:paraId="5556E03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3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E03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4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130</w:t>
            </w:r>
          </w:p>
        </w:tc>
        <w:tc>
          <w:tcPr>
            <w:tcW w:w="0" w:type="auto"/>
            <w:shd w:val="clear" w:color="auto" w:fill="auto"/>
            <w:vAlign w:val="bottom"/>
          </w:tcPr>
          <w:p w14:paraId="5556E0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4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7,519</w:t>
            </w:r>
          </w:p>
        </w:tc>
        <w:tc>
          <w:tcPr>
            <w:tcW w:w="0" w:type="auto"/>
            <w:shd w:val="clear" w:color="auto" w:fill="auto"/>
            <w:vAlign w:val="bottom"/>
          </w:tcPr>
          <w:p w14:paraId="5556E0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4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6,426</w:t>
            </w:r>
          </w:p>
        </w:tc>
        <w:tc>
          <w:tcPr>
            <w:tcW w:w="0" w:type="auto"/>
            <w:shd w:val="clear" w:color="auto" w:fill="auto"/>
            <w:vAlign w:val="bottom"/>
          </w:tcPr>
          <w:p w14:paraId="5556E04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4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137</w:t>
            </w:r>
          </w:p>
        </w:tc>
        <w:tc>
          <w:tcPr>
            <w:tcW w:w="0" w:type="auto"/>
            <w:shd w:val="clear" w:color="auto" w:fill="auto"/>
            <w:vAlign w:val="bottom"/>
          </w:tcPr>
          <w:p w14:paraId="5556E0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4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E04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4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6,563</w:t>
            </w:r>
          </w:p>
        </w:tc>
        <w:tc>
          <w:tcPr>
            <w:tcW w:w="0" w:type="auto"/>
            <w:shd w:val="clear" w:color="auto" w:fill="auto"/>
            <w:vAlign w:val="bottom"/>
          </w:tcPr>
          <w:p w14:paraId="5556E050" w14:textId="77777777" w:rsidR="00F925DD" w:rsidRDefault="00F925DD">
            <w:pPr>
              <w:textAlignment w:val="bottom"/>
              <w:rPr>
                <w:rFonts w:ascii="Times New Roman" w:hAnsi="Times New Roman"/>
                <w:sz w:val="20"/>
                <w:szCs w:val="20"/>
              </w:rPr>
            </w:pPr>
          </w:p>
        </w:tc>
      </w:tr>
      <w:tr w:rsidR="00F925DD" w14:paraId="5556E06A" w14:textId="77777777">
        <w:tc>
          <w:tcPr>
            <w:tcW w:w="0" w:type="auto"/>
            <w:shd w:val="clear" w:color="auto" w:fill="CCEEFF"/>
            <w:tcMar>
              <w:top w:w="40" w:type="dxa"/>
              <w:left w:w="40" w:type="dxa"/>
              <w:bottom w:w="40" w:type="dxa"/>
              <w:right w:w="40" w:type="dxa"/>
            </w:tcMar>
            <w:vAlign w:val="bottom"/>
          </w:tcPr>
          <w:p w14:paraId="5556E052" w14:textId="77777777" w:rsidR="00F925DD" w:rsidRDefault="00E705D7">
            <w:pPr>
              <w:textAlignment w:val="bottom"/>
              <w:rPr>
                <w:rFonts w:ascii="Times New Roman" w:hAnsi="Times New Roman"/>
                <w:sz w:val="15"/>
                <w:szCs w:val="15"/>
              </w:rPr>
            </w:pPr>
            <w:r>
              <w:rPr>
                <w:rFonts w:ascii="Arial" w:eastAsia="宋体" w:hAnsi="Arial" w:cs="Arial"/>
                <w:sz w:val="15"/>
                <w:szCs w:val="15"/>
              </w:rPr>
              <w:t>Other(1)</w:t>
            </w:r>
          </w:p>
        </w:tc>
        <w:tc>
          <w:tcPr>
            <w:tcW w:w="0" w:type="auto"/>
            <w:gridSpan w:val="2"/>
            <w:shd w:val="clear" w:color="auto" w:fill="CCEEFF"/>
            <w:tcMar>
              <w:top w:w="40" w:type="dxa"/>
              <w:left w:w="40" w:type="dxa"/>
              <w:bottom w:w="40" w:type="dxa"/>
            </w:tcMar>
            <w:vAlign w:val="bottom"/>
          </w:tcPr>
          <w:p w14:paraId="5556E05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7,500</w:t>
            </w:r>
          </w:p>
        </w:tc>
        <w:tc>
          <w:tcPr>
            <w:tcW w:w="0" w:type="auto"/>
            <w:shd w:val="clear" w:color="auto" w:fill="CCEEFF"/>
            <w:vAlign w:val="bottom"/>
          </w:tcPr>
          <w:p w14:paraId="5556E0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5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E05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5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E05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5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7,500</w:t>
            </w:r>
          </w:p>
        </w:tc>
        <w:tc>
          <w:tcPr>
            <w:tcW w:w="0" w:type="auto"/>
            <w:shd w:val="clear" w:color="auto" w:fill="CCEEFF"/>
            <w:vAlign w:val="bottom"/>
          </w:tcPr>
          <w:p w14:paraId="5556E05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5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8,500</w:t>
            </w:r>
          </w:p>
        </w:tc>
        <w:tc>
          <w:tcPr>
            <w:tcW w:w="0" w:type="auto"/>
            <w:shd w:val="clear" w:color="auto" w:fill="CCEEFF"/>
            <w:vAlign w:val="bottom"/>
          </w:tcPr>
          <w:p w14:paraId="5556E06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6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E06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6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E06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06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8,500</w:t>
            </w:r>
          </w:p>
        </w:tc>
        <w:tc>
          <w:tcPr>
            <w:tcW w:w="0" w:type="auto"/>
            <w:shd w:val="clear" w:color="auto" w:fill="CCEEFF"/>
            <w:vAlign w:val="bottom"/>
          </w:tcPr>
          <w:p w14:paraId="5556E069" w14:textId="77777777" w:rsidR="00F925DD" w:rsidRDefault="00F925DD">
            <w:pPr>
              <w:textAlignment w:val="bottom"/>
              <w:rPr>
                <w:rFonts w:ascii="Times New Roman" w:hAnsi="Times New Roman"/>
                <w:sz w:val="20"/>
                <w:szCs w:val="20"/>
              </w:rPr>
            </w:pPr>
          </w:p>
        </w:tc>
      </w:tr>
      <w:tr w:rsidR="00F925DD" w14:paraId="5556E083" w14:textId="77777777">
        <w:tc>
          <w:tcPr>
            <w:tcW w:w="0" w:type="auto"/>
            <w:shd w:val="clear" w:color="auto" w:fill="auto"/>
            <w:tcMar>
              <w:top w:w="40" w:type="dxa"/>
              <w:left w:w="40" w:type="dxa"/>
              <w:bottom w:w="40" w:type="dxa"/>
              <w:right w:w="40" w:type="dxa"/>
            </w:tcMar>
            <w:vAlign w:val="bottom"/>
          </w:tcPr>
          <w:p w14:paraId="5556E06B" w14:textId="77777777" w:rsidR="00F925DD" w:rsidRDefault="00E705D7">
            <w:pPr>
              <w:textAlignment w:val="bottom"/>
              <w:rPr>
                <w:rFonts w:ascii="Times New Roman" w:hAnsi="Times New Roman"/>
                <w:sz w:val="15"/>
                <w:szCs w:val="15"/>
              </w:rPr>
            </w:pPr>
            <w:r>
              <w:rPr>
                <w:rFonts w:ascii="Arial" w:eastAsia="宋体" w:hAnsi="Arial" w:cs="Arial"/>
                <w:sz w:val="15"/>
                <w:szCs w:val="15"/>
              </w:rPr>
              <w:t>Total</w:t>
            </w:r>
          </w:p>
        </w:tc>
        <w:tc>
          <w:tcPr>
            <w:tcW w:w="0" w:type="auto"/>
            <w:gridSpan w:val="2"/>
            <w:tcBorders>
              <w:top w:val="single" w:sz="8" w:space="0" w:color="000000"/>
            </w:tcBorders>
            <w:shd w:val="clear" w:color="auto" w:fill="auto"/>
            <w:tcMar>
              <w:top w:w="40" w:type="dxa"/>
              <w:left w:w="40" w:type="dxa"/>
              <w:bottom w:w="40" w:type="dxa"/>
            </w:tcMar>
            <w:vAlign w:val="bottom"/>
          </w:tcPr>
          <w:p w14:paraId="5556E06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15,258</w:t>
            </w:r>
          </w:p>
        </w:tc>
        <w:tc>
          <w:tcPr>
            <w:tcW w:w="0" w:type="auto"/>
            <w:tcBorders>
              <w:top w:val="single" w:sz="8" w:space="0" w:color="000000"/>
            </w:tcBorders>
            <w:shd w:val="clear" w:color="auto" w:fill="auto"/>
            <w:vAlign w:val="bottom"/>
          </w:tcPr>
          <w:p w14:paraId="5556E06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06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auto"/>
            <w:vAlign w:val="bottom"/>
          </w:tcPr>
          <w:p w14:paraId="5556E07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07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130</w:t>
            </w:r>
          </w:p>
        </w:tc>
        <w:tc>
          <w:tcPr>
            <w:tcW w:w="0" w:type="auto"/>
            <w:tcBorders>
              <w:top w:val="single" w:sz="8" w:space="0" w:color="000000"/>
            </w:tcBorders>
            <w:shd w:val="clear" w:color="auto" w:fill="auto"/>
            <w:vAlign w:val="bottom"/>
          </w:tcPr>
          <w:p w14:paraId="5556E07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07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15,388</w:t>
            </w:r>
          </w:p>
        </w:tc>
        <w:tc>
          <w:tcPr>
            <w:tcW w:w="0" w:type="auto"/>
            <w:tcBorders>
              <w:top w:val="single" w:sz="8" w:space="0" w:color="000000"/>
            </w:tcBorders>
            <w:shd w:val="clear" w:color="auto" w:fill="auto"/>
            <w:vAlign w:val="bottom"/>
          </w:tcPr>
          <w:p w14:paraId="5556E07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07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15,453</w:t>
            </w:r>
          </w:p>
        </w:tc>
        <w:tc>
          <w:tcPr>
            <w:tcW w:w="0" w:type="auto"/>
            <w:tcBorders>
              <w:top w:val="single" w:sz="8" w:space="0" w:color="000000"/>
            </w:tcBorders>
            <w:shd w:val="clear" w:color="auto" w:fill="auto"/>
            <w:vAlign w:val="bottom"/>
          </w:tcPr>
          <w:p w14:paraId="5556E07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07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137</w:t>
            </w:r>
          </w:p>
        </w:tc>
        <w:tc>
          <w:tcPr>
            <w:tcW w:w="0" w:type="auto"/>
            <w:tcBorders>
              <w:top w:val="single" w:sz="8" w:space="0" w:color="000000"/>
            </w:tcBorders>
            <w:shd w:val="clear" w:color="auto" w:fill="auto"/>
            <w:vAlign w:val="bottom"/>
          </w:tcPr>
          <w:p w14:paraId="5556E07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07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vAlign w:val="bottom"/>
          </w:tcPr>
          <w:p w14:paraId="5556E07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08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15,590</w:t>
            </w:r>
          </w:p>
        </w:tc>
        <w:tc>
          <w:tcPr>
            <w:tcW w:w="0" w:type="auto"/>
            <w:tcBorders>
              <w:top w:val="single" w:sz="8" w:space="0" w:color="000000"/>
            </w:tcBorders>
            <w:shd w:val="clear" w:color="auto" w:fill="auto"/>
            <w:vAlign w:val="bottom"/>
          </w:tcPr>
          <w:p w14:paraId="5556E082" w14:textId="77777777" w:rsidR="00F925DD" w:rsidRDefault="00F925DD">
            <w:pPr>
              <w:textAlignment w:val="bottom"/>
              <w:rPr>
                <w:rFonts w:ascii="Times New Roman" w:hAnsi="Times New Roman"/>
                <w:sz w:val="20"/>
                <w:szCs w:val="20"/>
              </w:rPr>
            </w:pPr>
          </w:p>
        </w:tc>
      </w:tr>
      <w:tr w:rsidR="00E705D7" w14:paraId="5556E0A4" w14:textId="77777777">
        <w:tc>
          <w:tcPr>
            <w:tcW w:w="0" w:type="auto"/>
            <w:shd w:val="clear" w:color="auto" w:fill="CCEEFF"/>
            <w:tcMar>
              <w:top w:w="40" w:type="dxa"/>
              <w:left w:w="40" w:type="dxa"/>
              <w:bottom w:w="40" w:type="dxa"/>
              <w:right w:w="40" w:type="dxa"/>
            </w:tcMar>
            <w:vAlign w:val="bottom"/>
          </w:tcPr>
          <w:p w14:paraId="5556E08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Gross amount of recognized liabilities for repurchase agreements and securities lending</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08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08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171,723</w:t>
            </w:r>
          </w:p>
        </w:tc>
        <w:tc>
          <w:tcPr>
            <w:tcW w:w="0" w:type="auto"/>
            <w:tcBorders>
              <w:top w:val="single" w:sz="8" w:space="0" w:color="000000"/>
              <w:bottom w:val="double" w:sz="6" w:space="0" w:color="000000"/>
            </w:tcBorders>
            <w:shd w:val="clear" w:color="auto" w:fill="CCEEFF"/>
            <w:vAlign w:val="bottom"/>
          </w:tcPr>
          <w:p w14:paraId="5556E08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08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08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vAlign w:val="bottom"/>
          </w:tcPr>
          <w:p w14:paraId="5556E0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08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08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130</w:t>
            </w:r>
          </w:p>
        </w:tc>
        <w:tc>
          <w:tcPr>
            <w:tcW w:w="0" w:type="auto"/>
            <w:tcBorders>
              <w:top w:val="single" w:sz="8" w:space="0" w:color="000000"/>
              <w:bottom w:val="double" w:sz="6" w:space="0" w:color="000000"/>
            </w:tcBorders>
            <w:shd w:val="clear" w:color="auto" w:fill="CCEEFF"/>
            <w:vAlign w:val="bottom"/>
          </w:tcPr>
          <w:p w14:paraId="5556E08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09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09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171,853</w:t>
            </w:r>
          </w:p>
        </w:tc>
        <w:tc>
          <w:tcPr>
            <w:tcW w:w="0" w:type="auto"/>
            <w:tcBorders>
              <w:top w:val="single" w:sz="8" w:space="0" w:color="000000"/>
              <w:bottom w:val="double" w:sz="6" w:space="0" w:color="000000"/>
            </w:tcBorders>
            <w:shd w:val="clear" w:color="auto" w:fill="CCEEFF"/>
            <w:vAlign w:val="bottom"/>
          </w:tcPr>
          <w:p w14:paraId="5556E09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09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09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104,357</w:t>
            </w:r>
          </w:p>
        </w:tc>
        <w:tc>
          <w:tcPr>
            <w:tcW w:w="0" w:type="auto"/>
            <w:tcBorders>
              <w:top w:val="single" w:sz="8" w:space="0" w:color="000000"/>
              <w:bottom w:val="double" w:sz="6" w:space="0" w:color="000000"/>
            </w:tcBorders>
            <w:shd w:val="clear" w:color="auto" w:fill="CCEEFF"/>
            <w:vAlign w:val="bottom"/>
          </w:tcPr>
          <w:p w14:paraId="5556E09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09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09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137</w:t>
            </w:r>
          </w:p>
        </w:tc>
        <w:tc>
          <w:tcPr>
            <w:tcW w:w="0" w:type="auto"/>
            <w:tcBorders>
              <w:top w:val="single" w:sz="8" w:space="0" w:color="000000"/>
              <w:bottom w:val="double" w:sz="6" w:space="0" w:color="000000"/>
            </w:tcBorders>
            <w:shd w:val="clear" w:color="auto" w:fill="CCEEFF"/>
            <w:vAlign w:val="bottom"/>
          </w:tcPr>
          <w:p w14:paraId="5556E09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09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09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vAlign w:val="bottom"/>
          </w:tcPr>
          <w:p w14:paraId="5556E0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0A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0A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104,494</w:t>
            </w:r>
          </w:p>
        </w:tc>
        <w:tc>
          <w:tcPr>
            <w:tcW w:w="0" w:type="auto"/>
            <w:tcBorders>
              <w:top w:val="single" w:sz="8" w:space="0" w:color="000000"/>
              <w:bottom w:val="double" w:sz="6" w:space="0" w:color="000000"/>
            </w:tcBorders>
            <w:shd w:val="clear" w:color="auto" w:fill="CCEEFF"/>
            <w:vAlign w:val="bottom"/>
          </w:tcPr>
          <w:p w14:paraId="5556E0A3" w14:textId="77777777" w:rsidR="00F925DD" w:rsidRDefault="00F925DD">
            <w:pPr>
              <w:textAlignment w:val="bottom"/>
              <w:rPr>
                <w:rFonts w:ascii="Times New Roman" w:hAnsi="Times New Roman"/>
                <w:sz w:val="20"/>
                <w:szCs w:val="20"/>
              </w:rPr>
            </w:pPr>
          </w:p>
        </w:tc>
      </w:tr>
    </w:tbl>
    <w:p w14:paraId="5556E0A5"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09"/>
        <w:gridCol w:w="1827"/>
        <w:gridCol w:w="1578"/>
        <w:gridCol w:w="1578"/>
        <w:gridCol w:w="914"/>
      </w:tblGrid>
      <w:tr w:rsidR="00F925DD" w14:paraId="5556E0A7" w14:textId="77777777">
        <w:tc>
          <w:tcPr>
            <w:tcW w:w="0" w:type="auto"/>
            <w:gridSpan w:val="5"/>
            <w:shd w:val="clear" w:color="auto" w:fill="auto"/>
            <w:vAlign w:val="center"/>
          </w:tcPr>
          <w:p w14:paraId="5556E0A6" w14:textId="77777777" w:rsidR="00F925DD" w:rsidRDefault="00F925DD">
            <w:pPr>
              <w:rPr>
                <w:rFonts w:ascii="Times New Roman" w:hAnsi="Times New Roman"/>
                <w:sz w:val="20"/>
                <w:szCs w:val="20"/>
              </w:rPr>
            </w:pPr>
          </w:p>
        </w:tc>
      </w:tr>
      <w:tr w:rsidR="00F925DD" w14:paraId="5556E0AD" w14:textId="77777777">
        <w:tc>
          <w:tcPr>
            <w:tcW w:w="1450" w:type="pct"/>
            <w:shd w:val="clear" w:color="auto" w:fill="auto"/>
            <w:vAlign w:val="center"/>
          </w:tcPr>
          <w:p w14:paraId="5556E0A8" w14:textId="77777777" w:rsidR="00F925DD" w:rsidRDefault="00F925DD">
            <w:pPr>
              <w:rPr>
                <w:rFonts w:ascii="Times New Roman" w:hAnsi="Times New Roman"/>
                <w:sz w:val="20"/>
                <w:szCs w:val="20"/>
              </w:rPr>
            </w:pPr>
          </w:p>
        </w:tc>
        <w:tc>
          <w:tcPr>
            <w:tcW w:w="1100" w:type="pct"/>
            <w:shd w:val="clear" w:color="auto" w:fill="auto"/>
            <w:vAlign w:val="center"/>
          </w:tcPr>
          <w:p w14:paraId="5556E0A9" w14:textId="77777777" w:rsidR="00F925DD" w:rsidRDefault="00F925DD">
            <w:pPr>
              <w:rPr>
                <w:rFonts w:ascii="Times New Roman" w:hAnsi="Times New Roman"/>
                <w:sz w:val="20"/>
                <w:szCs w:val="20"/>
              </w:rPr>
            </w:pPr>
          </w:p>
        </w:tc>
        <w:tc>
          <w:tcPr>
            <w:tcW w:w="950" w:type="pct"/>
            <w:shd w:val="clear" w:color="auto" w:fill="auto"/>
            <w:vAlign w:val="center"/>
          </w:tcPr>
          <w:p w14:paraId="5556E0AA" w14:textId="77777777" w:rsidR="00F925DD" w:rsidRDefault="00F925DD">
            <w:pPr>
              <w:rPr>
                <w:rFonts w:ascii="Times New Roman" w:hAnsi="Times New Roman"/>
                <w:sz w:val="20"/>
                <w:szCs w:val="20"/>
              </w:rPr>
            </w:pPr>
          </w:p>
        </w:tc>
        <w:tc>
          <w:tcPr>
            <w:tcW w:w="950" w:type="pct"/>
            <w:shd w:val="clear" w:color="auto" w:fill="auto"/>
            <w:vAlign w:val="center"/>
          </w:tcPr>
          <w:p w14:paraId="5556E0AB" w14:textId="77777777" w:rsidR="00F925DD" w:rsidRDefault="00F925DD">
            <w:pPr>
              <w:rPr>
                <w:rFonts w:ascii="Times New Roman" w:hAnsi="Times New Roman"/>
                <w:sz w:val="20"/>
                <w:szCs w:val="20"/>
              </w:rPr>
            </w:pPr>
          </w:p>
        </w:tc>
        <w:tc>
          <w:tcPr>
            <w:tcW w:w="550" w:type="pct"/>
            <w:shd w:val="clear" w:color="auto" w:fill="auto"/>
            <w:vAlign w:val="center"/>
          </w:tcPr>
          <w:p w14:paraId="5556E0AC" w14:textId="77777777" w:rsidR="00F925DD" w:rsidRDefault="00F925DD">
            <w:pPr>
              <w:rPr>
                <w:rFonts w:ascii="Times New Roman" w:hAnsi="Times New Roman"/>
                <w:sz w:val="20"/>
                <w:szCs w:val="20"/>
              </w:rPr>
            </w:pPr>
          </w:p>
        </w:tc>
      </w:tr>
      <w:tr w:rsidR="00F925DD" w14:paraId="5556E0B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E0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0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0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0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0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E0B4"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Represents a security interest in underlying client assets related to our enhanced custody business, which assets clients have allowed us to transfer and re-pledge.</w:t>
      </w:r>
    </w:p>
    <w:p w14:paraId="5556E0B5" w14:textId="77777777" w:rsidR="00F925DD" w:rsidRDefault="00F925DD">
      <w:pPr>
        <w:rPr>
          <w:rFonts w:ascii="Times New Roman" w:hAnsi="Times New Roman"/>
          <w:sz w:val="20"/>
          <w:szCs w:val="20"/>
        </w:rPr>
      </w:pPr>
    </w:p>
    <w:p w14:paraId="5556E0B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154</w:t>
      </w:r>
    </w:p>
    <w:p w14:paraId="5556E0B7" w14:textId="77777777" w:rsidR="00F925DD" w:rsidRDefault="00F925DD">
      <w:pPr>
        <w:spacing w:line="288" w:lineRule="auto"/>
        <w:ind w:firstLine="600"/>
        <w:jc w:val="center"/>
        <w:rPr>
          <w:rFonts w:ascii="Times New Roman" w:hAnsi="Times New Roman"/>
          <w:sz w:val="18"/>
          <w:szCs w:val="18"/>
        </w:rPr>
      </w:pPr>
    </w:p>
    <w:p w14:paraId="5556E0B8" w14:textId="77777777" w:rsidR="00F925DD" w:rsidRDefault="00E705D7">
      <w:r>
        <w:rPr>
          <w:rFonts w:ascii="Times New Roman" w:hAnsi="Times New Roman"/>
          <w:sz w:val="18"/>
          <w:szCs w:val="18"/>
        </w:rPr>
        <w:pict w14:anchorId="555706D4">
          <v:rect id="_x0000_i1178" style="width:415.3pt;height:1.5pt" o:hralign="center" o:hrstd="t" o:hr="t" fillcolor="#a0a0a0" stroked="f"/>
        </w:pict>
      </w:r>
    </w:p>
    <w:p w14:paraId="5556E0B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0B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w:t>
      </w:r>
      <w:r>
        <w:rPr>
          <w:rFonts w:ascii="Arial" w:eastAsia="宋体" w:hAnsi="Arial" w:cs="Arial"/>
          <w:b/>
          <w:bCs/>
          <w:sz w:val="20"/>
          <w:szCs w:val="20"/>
        </w:rPr>
        <w:t>L STATEMENTS</w:t>
      </w:r>
    </w:p>
    <w:p w14:paraId="5556E0BB" w14:textId="77777777" w:rsidR="00F925DD" w:rsidRDefault="00F925DD">
      <w:pPr>
        <w:rPr>
          <w:rFonts w:ascii="Times New Roman" w:hAnsi="Times New Roman"/>
          <w:sz w:val="20"/>
          <w:szCs w:val="20"/>
        </w:rPr>
      </w:pPr>
    </w:p>
    <w:p w14:paraId="5556E0BC" w14:textId="77777777" w:rsidR="00F925DD" w:rsidRDefault="00E705D7">
      <w:pPr>
        <w:spacing w:line="417" w:lineRule="auto"/>
        <w:jc w:val="both"/>
        <w:rPr>
          <w:rFonts w:ascii="Times New Roman" w:hAnsi="Times New Roman"/>
          <w:sz w:val="20"/>
          <w:szCs w:val="20"/>
        </w:rPr>
      </w:pPr>
      <w:r>
        <w:rPr>
          <w:rFonts w:ascii="Arial" w:eastAsia="宋体" w:hAnsi="Arial" w:cs="Arial"/>
          <w:b/>
          <w:bCs/>
          <w:sz w:val="20"/>
          <w:szCs w:val="20"/>
        </w:rPr>
        <w:t>Note 12.    Commitments and Guarantees</w:t>
      </w:r>
    </w:p>
    <w:p w14:paraId="5556E0B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aggregate gross contractual amounts of our off-balance sheet commitments and off-balance sheet guarantees as of the dates indicated:</w:t>
      </w:r>
    </w:p>
    <w:tbl>
      <w:tblPr>
        <w:tblW w:w="5000" w:type="pct"/>
        <w:tblCellMar>
          <w:left w:w="0" w:type="dxa"/>
          <w:right w:w="0" w:type="dxa"/>
        </w:tblCellMar>
        <w:tblLook w:val="04A0" w:firstRow="1" w:lastRow="0" w:firstColumn="1" w:lastColumn="0" w:noHBand="0" w:noVBand="1"/>
      </w:tblPr>
      <w:tblGrid>
        <w:gridCol w:w="3807"/>
        <w:gridCol w:w="124"/>
        <w:gridCol w:w="1979"/>
        <w:gridCol w:w="69"/>
        <w:gridCol w:w="153"/>
        <w:gridCol w:w="124"/>
        <w:gridCol w:w="1980"/>
        <w:gridCol w:w="70"/>
      </w:tblGrid>
      <w:tr w:rsidR="00F925DD" w14:paraId="5556E0BF" w14:textId="77777777">
        <w:tc>
          <w:tcPr>
            <w:tcW w:w="0" w:type="auto"/>
            <w:gridSpan w:val="8"/>
            <w:shd w:val="clear" w:color="auto" w:fill="auto"/>
            <w:vAlign w:val="center"/>
          </w:tcPr>
          <w:p w14:paraId="5556E0BE" w14:textId="77777777" w:rsidR="00F925DD" w:rsidRDefault="00F925DD">
            <w:pPr>
              <w:rPr>
                <w:rFonts w:ascii="Times New Roman" w:hAnsi="Times New Roman"/>
                <w:sz w:val="20"/>
                <w:szCs w:val="20"/>
              </w:rPr>
            </w:pPr>
          </w:p>
        </w:tc>
      </w:tr>
      <w:tr w:rsidR="00F925DD" w14:paraId="5556E0C8" w14:textId="77777777">
        <w:tc>
          <w:tcPr>
            <w:tcW w:w="2300" w:type="pct"/>
            <w:shd w:val="clear" w:color="auto" w:fill="auto"/>
            <w:vAlign w:val="center"/>
          </w:tcPr>
          <w:p w14:paraId="5556E0C0" w14:textId="77777777" w:rsidR="00F925DD" w:rsidRDefault="00F925DD">
            <w:pPr>
              <w:rPr>
                <w:rFonts w:ascii="Times New Roman" w:hAnsi="Times New Roman"/>
                <w:sz w:val="20"/>
                <w:szCs w:val="20"/>
              </w:rPr>
            </w:pPr>
          </w:p>
        </w:tc>
        <w:tc>
          <w:tcPr>
            <w:tcW w:w="50" w:type="pct"/>
            <w:shd w:val="clear" w:color="auto" w:fill="auto"/>
            <w:vAlign w:val="center"/>
          </w:tcPr>
          <w:p w14:paraId="5556E0C1" w14:textId="77777777" w:rsidR="00F925DD" w:rsidRDefault="00F925DD">
            <w:pPr>
              <w:rPr>
                <w:rFonts w:ascii="Times New Roman" w:hAnsi="Times New Roman"/>
                <w:sz w:val="20"/>
                <w:szCs w:val="20"/>
              </w:rPr>
            </w:pPr>
          </w:p>
        </w:tc>
        <w:tc>
          <w:tcPr>
            <w:tcW w:w="1200" w:type="pct"/>
            <w:shd w:val="clear" w:color="auto" w:fill="auto"/>
            <w:vAlign w:val="center"/>
          </w:tcPr>
          <w:p w14:paraId="5556E0C2" w14:textId="77777777" w:rsidR="00F925DD" w:rsidRDefault="00F925DD">
            <w:pPr>
              <w:rPr>
                <w:rFonts w:ascii="Times New Roman" w:hAnsi="Times New Roman"/>
                <w:sz w:val="20"/>
                <w:szCs w:val="20"/>
              </w:rPr>
            </w:pPr>
          </w:p>
        </w:tc>
        <w:tc>
          <w:tcPr>
            <w:tcW w:w="50" w:type="pct"/>
            <w:shd w:val="clear" w:color="auto" w:fill="auto"/>
            <w:vAlign w:val="center"/>
          </w:tcPr>
          <w:p w14:paraId="5556E0C3" w14:textId="77777777" w:rsidR="00F925DD" w:rsidRDefault="00F925DD">
            <w:pPr>
              <w:rPr>
                <w:rFonts w:ascii="Times New Roman" w:hAnsi="Times New Roman"/>
                <w:sz w:val="20"/>
                <w:szCs w:val="20"/>
              </w:rPr>
            </w:pPr>
          </w:p>
        </w:tc>
        <w:tc>
          <w:tcPr>
            <w:tcW w:w="100" w:type="pct"/>
            <w:shd w:val="clear" w:color="auto" w:fill="auto"/>
            <w:vAlign w:val="center"/>
          </w:tcPr>
          <w:p w14:paraId="5556E0C4" w14:textId="77777777" w:rsidR="00F925DD" w:rsidRDefault="00F925DD">
            <w:pPr>
              <w:rPr>
                <w:rFonts w:ascii="Times New Roman" w:hAnsi="Times New Roman"/>
                <w:sz w:val="20"/>
                <w:szCs w:val="20"/>
              </w:rPr>
            </w:pPr>
          </w:p>
        </w:tc>
        <w:tc>
          <w:tcPr>
            <w:tcW w:w="50" w:type="pct"/>
            <w:shd w:val="clear" w:color="auto" w:fill="auto"/>
            <w:vAlign w:val="center"/>
          </w:tcPr>
          <w:p w14:paraId="5556E0C5" w14:textId="77777777" w:rsidR="00F925DD" w:rsidRDefault="00F925DD">
            <w:pPr>
              <w:rPr>
                <w:rFonts w:ascii="Times New Roman" w:hAnsi="Times New Roman"/>
                <w:sz w:val="20"/>
                <w:szCs w:val="20"/>
              </w:rPr>
            </w:pPr>
          </w:p>
        </w:tc>
        <w:tc>
          <w:tcPr>
            <w:tcW w:w="1200" w:type="pct"/>
            <w:shd w:val="clear" w:color="auto" w:fill="auto"/>
            <w:vAlign w:val="center"/>
          </w:tcPr>
          <w:p w14:paraId="5556E0C6" w14:textId="77777777" w:rsidR="00F925DD" w:rsidRDefault="00F925DD">
            <w:pPr>
              <w:rPr>
                <w:rFonts w:ascii="Times New Roman" w:hAnsi="Times New Roman"/>
                <w:sz w:val="20"/>
                <w:szCs w:val="20"/>
              </w:rPr>
            </w:pPr>
          </w:p>
        </w:tc>
        <w:tc>
          <w:tcPr>
            <w:tcW w:w="50" w:type="pct"/>
            <w:shd w:val="clear" w:color="auto" w:fill="auto"/>
            <w:vAlign w:val="center"/>
          </w:tcPr>
          <w:p w14:paraId="5556E0C7" w14:textId="77777777" w:rsidR="00F925DD" w:rsidRDefault="00F925DD">
            <w:pPr>
              <w:rPr>
                <w:rFonts w:ascii="Times New Roman" w:hAnsi="Times New Roman"/>
                <w:sz w:val="20"/>
                <w:szCs w:val="20"/>
              </w:rPr>
            </w:pPr>
          </w:p>
        </w:tc>
      </w:tr>
      <w:tr w:rsidR="00F925DD" w14:paraId="5556E0CD" w14:textId="77777777">
        <w:tc>
          <w:tcPr>
            <w:tcW w:w="0" w:type="auto"/>
            <w:shd w:val="clear" w:color="auto" w:fill="auto"/>
            <w:tcMar>
              <w:top w:w="40" w:type="dxa"/>
              <w:left w:w="40" w:type="dxa"/>
              <w:bottom w:w="40" w:type="dxa"/>
              <w:right w:w="40" w:type="dxa"/>
            </w:tcMar>
            <w:vAlign w:val="bottom"/>
          </w:tcPr>
          <w:p w14:paraId="5556E0C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shd w:val="clear" w:color="auto" w:fill="auto"/>
            <w:tcMar>
              <w:top w:w="40" w:type="dxa"/>
              <w:left w:w="40" w:type="dxa"/>
              <w:bottom w:w="40" w:type="dxa"/>
              <w:right w:w="40" w:type="dxa"/>
            </w:tcMar>
            <w:vAlign w:val="bottom"/>
          </w:tcPr>
          <w:p w14:paraId="5556E0C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E0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0C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2018</w:t>
            </w:r>
          </w:p>
        </w:tc>
      </w:tr>
      <w:tr w:rsidR="00F925DD" w14:paraId="5556E0D2" w14:textId="77777777">
        <w:tc>
          <w:tcPr>
            <w:tcW w:w="0" w:type="auto"/>
            <w:shd w:val="clear" w:color="auto" w:fill="auto"/>
            <w:tcMar>
              <w:top w:w="40" w:type="dxa"/>
              <w:left w:w="40" w:type="dxa"/>
              <w:bottom w:w="40" w:type="dxa"/>
              <w:right w:w="40" w:type="dxa"/>
            </w:tcMar>
            <w:vAlign w:val="bottom"/>
          </w:tcPr>
          <w:p w14:paraId="5556E0C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Commitments:</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E0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0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E0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0DB" w14:textId="77777777">
        <w:tc>
          <w:tcPr>
            <w:tcW w:w="0" w:type="auto"/>
            <w:shd w:val="clear" w:color="auto" w:fill="CCEEFF"/>
            <w:tcMar>
              <w:top w:w="40" w:type="dxa"/>
              <w:left w:w="40" w:type="dxa"/>
              <w:bottom w:w="40" w:type="dxa"/>
              <w:right w:w="40" w:type="dxa"/>
            </w:tcMar>
            <w:vAlign w:val="bottom"/>
          </w:tcPr>
          <w:p w14:paraId="5556E0D3" w14:textId="77777777" w:rsidR="00F925DD" w:rsidRDefault="00E705D7">
            <w:pPr>
              <w:textAlignment w:val="bottom"/>
              <w:rPr>
                <w:rFonts w:ascii="Times New Roman" w:hAnsi="Times New Roman"/>
                <w:sz w:val="15"/>
                <w:szCs w:val="15"/>
              </w:rPr>
            </w:pPr>
            <w:r>
              <w:rPr>
                <w:rFonts w:ascii="Arial" w:eastAsia="宋体" w:hAnsi="Arial" w:cs="Arial"/>
                <w:sz w:val="15"/>
                <w:szCs w:val="15"/>
              </w:rPr>
              <w:t>Unfunded credit facilities</w:t>
            </w:r>
          </w:p>
        </w:tc>
        <w:tc>
          <w:tcPr>
            <w:tcW w:w="0" w:type="auto"/>
            <w:shd w:val="clear" w:color="auto" w:fill="CCEEFF"/>
            <w:tcMar>
              <w:top w:w="40" w:type="dxa"/>
              <w:left w:w="40" w:type="dxa"/>
              <w:bottom w:w="40" w:type="dxa"/>
            </w:tcMar>
            <w:vAlign w:val="bottom"/>
          </w:tcPr>
          <w:p w14:paraId="5556E0D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E0D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29,697</w:t>
            </w:r>
          </w:p>
        </w:tc>
        <w:tc>
          <w:tcPr>
            <w:tcW w:w="0" w:type="auto"/>
            <w:shd w:val="clear" w:color="auto" w:fill="CCEEFF"/>
            <w:vAlign w:val="bottom"/>
          </w:tcPr>
          <w:p w14:paraId="5556E0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0D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E0D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28,951</w:t>
            </w:r>
          </w:p>
        </w:tc>
        <w:tc>
          <w:tcPr>
            <w:tcW w:w="0" w:type="auto"/>
            <w:shd w:val="clear" w:color="auto" w:fill="CCEEFF"/>
            <w:vAlign w:val="bottom"/>
          </w:tcPr>
          <w:p w14:paraId="5556E0DA" w14:textId="77777777" w:rsidR="00F925DD" w:rsidRDefault="00F925DD">
            <w:pPr>
              <w:textAlignment w:val="bottom"/>
              <w:rPr>
                <w:rFonts w:ascii="Times New Roman" w:hAnsi="Times New Roman"/>
                <w:sz w:val="20"/>
                <w:szCs w:val="20"/>
              </w:rPr>
            </w:pPr>
          </w:p>
        </w:tc>
      </w:tr>
      <w:tr w:rsidR="00F925DD" w14:paraId="5556E0E0" w14:textId="77777777">
        <w:tc>
          <w:tcPr>
            <w:tcW w:w="0" w:type="auto"/>
            <w:shd w:val="clear" w:color="auto" w:fill="auto"/>
            <w:tcMar>
              <w:top w:w="40" w:type="dxa"/>
              <w:left w:w="40" w:type="dxa"/>
              <w:bottom w:w="40" w:type="dxa"/>
              <w:right w:w="40" w:type="dxa"/>
            </w:tcMar>
            <w:vAlign w:val="bottom"/>
          </w:tcPr>
          <w:p w14:paraId="5556E0D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Guarantees</w:t>
            </w:r>
            <w:r>
              <w:rPr>
                <w:rFonts w:ascii="Arial" w:eastAsia="宋体" w:hAnsi="Arial" w:cs="Arial"/>
                <w:sz w:val="10"/>
                <w:szCs w:val="10"/>
              </w:rPr>
              <w:t>(1)</w:t>
            </w:r>
            <w:r>
              <w:rPr>
                <w:rFonts w:ascii="Arial" w:eastAsia="宋体" w:hAnsi="Arial" w:cs="Arial"/>
                <w:b/>
                <w:bCs/>
                <w:sz w:val="15"/>
                <w:szCs w:val="15"/>
              </w:rPr>
              <w:t>:</w:t>
            </w:r>
          </w:p>
        </w:tc>
        <w:tc>
          <w:tcPr>
            <w:tcW w:w="0" w:type="auto"/>
            <w:gridSpan w:val="3"/>
            <w:shd w:val="clear" w:color="auto" w:fill="auto"/>
            <w:tcMar>
              <w:top w:w="40" w:type="dxa"/>
              <w:left w:w="40" w:type="dxa"/>
              <w:bottom w:w="40" w:type="dxa"/>
              <w:right w:w="40" w:type="dxa"/>
            </w:tcMar>
            <w:vAlign w:val="bottom"/>
          </w:tcPr>
          <w:p w14:paraId="5556E0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0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0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0E9" w14:textId="77777777">
        <w:tc>
          <w:tcPr>
            <w:tcW w:w="0" w:type="auto"/>
            <w:shd w:val="clear" w:color="auto" w:fill="CCEEFF"/>
            <w:tcMar>
              <w:top w:w="40" w:type="dxa"/>
              <w:left w:w="40" w:type="dxa"/>
              <w:bottom w:w="40" w:type="dxa"/>
              <w:right w:w="40" w:type="dxa"/>
            </w:tcMar>
            <w:vAlign w:val="bottom"/>
          </w:tcPr>
          <w:p w14:paraId="5556E0E1" w14:textId="77777777" w:rsidR="00F925DD" w:rsidRDefault="00E705D7">
            <w:pPr>
              <w:textAlignment w:val="bottom"/>
              <w:rPr>
                <w:rFonts w:ascii="Times New Roman" w:hAnsi="Times New Roman"/>
                <w:sz w:val="15"/>
                <w:szCs w:val="15"/>
              </w:rPr>
            </w:pPr>
            <w:r>
              <w:rPr>
                <w:rFonts w:ascii="Arial" w:eastAsia="宋体" w:hAnsi="Arial" w:cs="Arial"/>
                <w:sz w:val="15"/>
                <w:szCs w:val="15"/>
              </w:rPr>
              <w:t>Indemnified securities financing</w:t>
            </w:r>
          </w:p>
        </w:tc>
        <w:tc>
          <w:tcPr>
            <w:tcW w:w="0" w:type="auto"/>
            <w:shd w:val="clear" w:color="auto" w:fill="CCEEFF"/>
            <w:tcMar>
              <w:top w:w="40" w:type="dxa"/>
              <w:left w:w="40" w:type="dxa"/>
              <w:bottom w:w="40" w:type="dxa"/>
            </w:tcMar>
            <w:vAlign w:val="bottom"/>
          </w:tcPr>
          <w:p w14:paraId="5556E0E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E0E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367,901</w:t>
            </w:r>
          </w:p>
        </w:tc>
        <w:tc>
          <w:tcPr>
            <w:tcW w:w="0" w:type="auto"/>
            <w:shd w:val="clear" w:color="auto" w:fill="CCEEFF"/>
            <w:vAlign w:val="bottom"/>
          </w:tcPr>
          <w:p w14:paraId="5556E0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0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0E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E0E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342,337</w:t>
            </w:r>
          </w:p>
        </w:tc>
        <w:tc>
          <w:tcPr>
            <w:tcW w:w="0" w:type="auto"/>
            <w:shd w:val="clear" w:color="auto" w:fill="CCEEFF"/>
            <w:vAlign w:val="bottom"/>
          </w:tcPr>
          <w:p w14:paraId="5556E0E8" w14:textId="77777777" w:rsidR="00F925DD" w:rsidRDefault="00F925DD">
            <w:pPr>
              <w:textAlignment w:val="bottom"/>
              <w:rPr>
                <w:rFonts w:ascii="Times New Roman" w:hAnsi="Times New Roman"/>
                <w:sz w:val="20"/>
                <w:szCs w:val="20"/>
              </w:rPr>
            </w:pPr>
          </w:p>
        </w:tc>
      </w:tr>
      <w:tr w:rsidR="00F925DD" w14:paraId="5556E0F0" w14:textId="77777777">
        <w:tc>
          <w:tcPr>
            <w:tcW w:w="0" w:type="auto"/>
            <w:shd w:val="clear" w:color="auto" w:fill="auto"/>
            <w:tcMar>
              <w:top w:w="40" w:type="dxa"/>
              <w:left w:w="40" w:type="dxa"/>
              <w:bottom w:w="40" w:type="dxa"/>
              <w:right w:w="40" w:type="dxa"/>
            </w:tcMar>
            <w:vAlign w:val="bottom"/>
          </w:tcPr>
          <w:p w14:paraId="5556E0EA" w14:textId="77777777" w:rsidR="00F925DD" w:rsidRDefault="00E705D7">
            <w:pPr>
              <w:textAlignment w:val="bottom"/>
              <w:rPr>
                <w:rFonts w:ascii="Times New Roman" w:hAnsi="Times New Roman"/>
                <w:sz w:val="15"/>
                <w:szCs w:val="15"/>
              </w:rPr>
            </w:pPr>
            <w:r>
              <w:rPr>
                <w:rFonts w:ascii="Arial" w:eastAsia="宋体" w:hAnsi="Arial" w:cs="Arial"/>
                <w:sz w:val="15"/>
                <w:szCs w:val="15"/>
              </w:rPr>
              <w:t>Standby letters of credit</w:t>
            </w:r>
          </w:p>
        </w:tc>
        <w:tc>
          <w:tcPr>
            <w:tcW w:w="0" w:type="auto"/>
            <w:gridSpan w:val="2"/>
            <w:shd w:val="clear" w:color="auto" w:fill="auto"/>
            <w:tcMar>
              <w:top w:w="40" w:type="dxa"/>
              <w:left w:w="40" w:type="dxa"/>
              <w:bottom w:w="40" w:type="dxa"/>
            </w:tcMar>
            <w:vAlign w:val="bottom"/>
          </w:tcPr>
          <w:p w14:paraId="5556E0E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3,324</w:t>
            </w:r>
          </w:p>
        </w:tc>
        <w:tc>
          <w:tcPr>
            <w:tcW w:w="0" w:type="auto"/>
            <w:shd w:val="clear" w:color="auto" w:fill="auto"/>
            <w:vAlign w:val="bottom"/>
          </w:tcPr>
          <w:p w14:paraId="5556E0E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0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0E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2,985</w:t>
            </w:r>
          </w:p>
        </w:tc>
        <w:tc>
          <w:tcPr>
            <w:tcW w:w="0" w:type="auto"/>
            <w:shd w:val="clear" w:color="auto" w:fill="auto"/>
            <w:vAlign w:val="bottom"/>
          </w:tcPr>
          <w:p w14:paraId="5556E0EF" w14:textId="77777777" w:rsidR="00F925DD" w:rsidRDefault="00F925DD">
            <w:pPr>
              <w:textAlignment w:val="bottom"/>
              <w:rPr>
                <w:rFonts w:ascii="Times New Roman" w:hAnsi="Times New Roman"/>
                <w:sz w:val="20"/>
                <w:szCs w:val="20"/>
              </w:rPr>
            </w:pPr>
          </w:p>
        </w:tc>
      </w:tr>
    </w:tbl>
    <w:p w14:paraId="5556E0F1"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3821"/>
        <w:gridCol w:w="4485"/>
      </w:tblGrid>
      <w:tr w:rsidR="00F925DD" w14:paraId="5556E0F3" w14:textId="77777777">
        <w:tc>
          <w:tcPr>
            <w:tcW w:w="0" w:type="auto"/>
            <w:gridSpan w:val="2"/>
            <w:shd w:val="clear" w:color="auto" w:fill="auto"/>
            <w:vAlign w:val="center"/>
          </w:tcPr>
          <w:p w14:paraId="5556E0F2" w14:textId="77777777" w:rsidR="00F925DD" w:rsidRDefault="00F925DD">
            <w:pPr>
              <w:rPr>
                <w:rFonts w:ascii="Times New Roman" w:hAnsi="Times New Roman"/>
                <w:sz w:val="20"/>
                <w:szCs w:val="20"/>
              </w:rPr>
            </w:pPr>
          </w:p>
        </w:tc>
      </w:tr>
      <w:tr w:rsidR="00F925DD" w14:paraId="5556E0F6" w14:textId="77777777">
        <w:tc>
          <w:tcPr>
            <w:tcW w:w="2300" w:type="pct"/>
            <w:shd w:val="clear" w:color="auto" w:fill="auto"/>
            <w:vAlign w:val="center"/>
          </w:tcPr>
          <w:p w14:paraId="5556E0F4" w14:textId="77777777" w:rsidR="00F925DD" w:rsidRDefault="00F925DD">
            <w:pPr>
              <w:rPr>
                <w:rFonts w:ascii="Times New Roman" w:hAnsi="Times New Roman"/>
                <w:sz w:val="20"/>
                <w:szCs w:val="20"/>
              </w:rPr>
            </w:pPr>
          </w:p>
        </w:tc>
        <w:tc>
          <w:tcPr>
            <w:tcW w:w="2700" w:type="pct"/>
            <w:shd w:val="clear" w:color="auto" w:fill="auto"/>
            <w:vAlign w:val="center"/>
          </w:tcPr>
          <w:p w14:paraId="5556E0F5" w14:textId="77777777" w:rsidR="00F925DD" w:rsidRDefault="00F925DD">
            <w:pPr>
              <w:rPr>
                <w:rFonts w:ascii="Times New Roman" w:hAnsi="Times New Roman"/>
                <w:sz w:val="20"/>
                <w:szCs w:val="20"/>
              </w:rPr>
            </w:pPr>
          </w:p>
        </w:tc>
      </w:tr>
      <w:tr w:rsidR="00F925DD" w14:paraId="5556E0F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E0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0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E0FA"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The </w:t>
      </w:r>
      <w:r>
        <w:rPr>
          <w:rFonts w:ascii="Arial" w:eastAsia="宋体" w:hAnsi="Arial" w:cs="Arial"/>
          <w:sz w:val="14"/>
          <w:szCs w:val="14"/>
        </w:rPr>
        <w:t>potential losses associated with these guarantees equal the gross contractual amounts and do not consider the value of any collateral or reflect any participations to independent third parties.</w:t>
      </w:r>
    </w:p>
    <w:p w14:paraId="5556E0FB"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Unfunded Credit Facilities</w:t>
      </w:r>
    </w:p>
    <w:p w14:paraId="5556E0F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Unfunded credit </w:t>
      </w:r>
      <w:r>
        <w:rPr>
          <w:rFonts w:ascii="Arial" w:eastAsia="宋体" w:hAnsi="Arial" w:cs="Arial"/>
          <w:sz w:val="20"/>
          <w:szCs w:val="20"/>
        </w:rPr>
        <w:t>facilities consist of liquidity facilities for our fund and municipal lending clients and undrawn lines of credit related to senior secured bank loans.</w:t>
      </w:r>
    </w:p>
    <w:p w14:paraId="5556E0F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approximately 73% of our unfunded commitments to extend credit expire within on</w:t>
      </w:r>
      <w:r>
        <w:rPr>
          <w:rFonts w:ascii="Arial" w:eastAsia="宋体" w:hAnsi="Arial" w:cs="Arial"/>
          <w:sz w:val="20"/>
          <w:szCs w:val="20"/>
        </w:rPr>
        <w:t>e year. Since many of these commitments are expected to expire or renew without being drawn upon, the gross contractual amounts do not necessarily represent our future cash requirements.</w:t>
      </w:r>
    </w:p>
    <w:p w14:paraId="5556E0FE"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Indemnified Securities Financing</w:t>
      </w:r>
    </w:p>
    <w:p w14:paraId="5556E0F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On behalf of our clients, we lend th</w:t>
      </w:r>
      <w:r>
        <w:rPr>
          <w:rFonts w:ascii="Arial" w:eastAsia="宋体" w:hAnsi="Arial" w:cs="Arial"/>
          <w:sz w:val="20"/>
          <w:szCs w:val="20"/>
        </w:rPr>
        <w:t>eir securities, as agent, to brokers and other institutions. In most circumstances, we indemnify our clients for the fair market value of those securities against a failure of the borrower to return such securities. We require the borrowers to maintain col</w:t>
      </w:r>
      <w:r>
        <w:rPr>
          <w:rFonts w:ascii="Arial" w:eastAsia="宋体" w:hAnsi="Arial" w:cs="Arial"/>
          <w:sz w:val="20"/>
          <w:szCs w:val="20"/>
        </w:rPr>
        <w:t>lateral in an amount in excess of 100% of the fair market value of the securities borrowed. Securities on loan and the collateral are revalued daily to determine if additional collateral is necessary or if excess collateral is required to be returned to th</w:t>
      </w:r>
      <w:r>
        <w:rPr>
          <w:rFonts w:ascii="Arial" w:eastAsia="宋体" w:hAnsi="Arial" w:cs="Arial"/>
          <w:sz w:val="20"/>
          <w:szCs w:val="20"/>
        </w:rPr>
        <w:t>e borrower. Collateral received in connection with our securities lending services is held by us as agent and is not recorded in our consolidated statement of condition.</w:t>
      </w:r>
    </w:p>
    <w:p w14:paraId="5556E10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cash collateral held by us as agent is invested on behalf of our clients. In certa</w:t>
      </w:r>
      <w:r>
        <w:rPr>
          <w:rFonts w:ascii="Arial" w:eastAsia="宋体" w:hAnsi="Arial" w:cs="Arial"/>
          <w:sz w:val="20"/>
          <w:szCs w:val="20"/>
        </w:rPr>
        <w:t>in cases, the cash collateral is invested in third-party repurchase agreements, for which we indemnify the client against the loss of the principal invested. We require the counterparty to the indemnified repurchase agreement to provide collateral in an am</w:t>
      </w:r>
      <w:r>
        <w:rPr>
          <w:rFonts w:ascii="Arial" w:eastAsia="宋体" w:hAnsi="Arial" w:cs="Arial"/>
          <w:sz w:val="20"/>
          <w:szCs w:val="20"/>
        </w:rPr>
        <w:t>ount in excess of 100% of the amount of the repurchase agreement. In our role as agent, the indemnified repurchase agreements and the related collateral held by us are not recorded in our consolidated statement of condition.</w:t>
      </w:r>
    </w:p>
    <w:p w14:paraId="5556E101"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E10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w:t>
      </w:r>
      <w:r>
        <w:rPr>
          <w:rFonts w:ascii="Arial" w:eastAsia="宋体" w:hAnsi="Arial" w:cs="Arial"/>
          <w:sz w:val="20"/>
          <w:szCs w:val="20"/>
        </w:rPr>
        <w:t>summarizes the aggregate fair values of indemnified securities financing and related collateral, as well as collateral invested in indemnified repurchase agreements, as of the dates indicated:</w:t>
      </w:r>
    </w:p>
    <w:tbl>
      <w:tblPr>
        <w:tblW w:w="4990" w:type="pct"/>
        <w:tblCellMar>
          <w:left w:w="0" w:type="dxa"/>
          <w:right w:w="0" w:type="dxa"/>
        </w:tblCellMar>
        <w:tblLook w:val="04A0" w:firstRow="1" w:lastRow="0" w:firstColumn="1" w:lastColumn="0" w:noHBand="0" w:noVBand="1"/>
      </w:tblPr>
      <w:tblGrid>
        <w:gridCol w:w="3965"/>
        <w:gridCol w:w="125"/>
        <w:gridCol w:w="1892"/>
        <w:gridCol w:w="69"/>
        <w:gridCol w:w="152"/>
        <w:gridCol w:w="125"/>
        <w:gridCol w:w="1892"/>
        <w:gridCol w:w="69"/>
      </w:tblGrid>
      <w:tr w:rsidR="00F925DD" w14:paraId="5556E104" w14:textId="77777777">
        <w:tc>
          <w:tcPr>
            <w:tcW w:w="0" w:type="auto"/>
            <w:gridSpan w:val="8"/>
            <w:shd w:val="clear" w:color="auto" w:fill="auto"/>
            <w:vAlign w:val="center"/>
          </w:tcPr>
          <w:p w14:paraId="5556E103" w14:textId="77777777" w:rsidR="00F925DD" w:rsidRDefault="00F925DD">
            <w:pPr>
              <w:rPr>
                <w:rFonts w:ascii="Times New Roman" w:hAnsi="Times New Roman"/>
                <w:sz w:val="20"/>
                <w:szCs w:val="20"/>
              </w:rPr>
            </w:pPr>
          </w:p>
        </w:tc>
      </w:tr>
      <w:tr w:rsidR="00F925DD" w14:paraId="5556E10D" w14:textId="77777777">
        <w:tc>
          <w:tcPr>
            <w:tcW w:w="2400" w:type="pct"/>
            <w:shd w:val="clear" w:color="auto" w:fill="auto"/>
            <w:vAlign w:val="center"/>
          </w:tcPr>
          <w:p w14:paraId="5556E105" w14:textId="77777777" w:rsidR="00F925DD" w:rsidRDefault="00F925DD">
            <w:pPr>
              <w:rPr>
                <w:rFonts w:ascii="Times New Roman" w:hAnsi="Times New Roman"/>
                <w:sz w:val="20"/>
                <w:szCs w:val="20"/>
              </w:rPr>
            </w:pPr>
          </w:p>
        </w:tc>
        <w:tc>
          <w:tcPr>
            <w:tcW w:w="50" w:type="pct"/>
            <w:shd w:val="clear" w:color="auto" w:fill="auto"/>
            <w:vAlign w:val="center"/>
          </w:tcPr>
          <w:p w14:paraId="5556E106" w14:textId="77777777" w:rsidR="00F925DD" w:rsidRDefault="00F925DD">
            <w:pPr>
              <w:rPr>
                <w:rFonts w:ascii="Times New Roman" w:hAnsi="Times New Roman"/>
                <w:sz w:val="20"/>
                <w:szCs w:val="20"/>
              </w:rPr>
            </w:pPr>
          </w:p>
        </w:tc>
        <w:tc>
          <w:tcPr>
            <w:tcW w:w="1150" w:type="pct"/>
            <w:shd w:val="clear" w:color="auto" w:fill="auto"/>
            <w:vAlign w:val="center"/>
          </w:tcPr>
          <w:p w14:paraId="5556E107" w14:textId="77777777" w:rsidR="00F925DD" w:rsidRDefault="00F925DD">
            <w:pPr>
              <w:rPr>
                <w:rFonts w:ascii="Times New Roman" w:hAnsi="Times New Roman"/>
                <w:sz w:val="20"/>
                <w:szCs w:val="20"/>
              </w:rPr>
            </w:pPr>
          </w:p>
        </w:tc>
        <w:tc>
          <w:tcPr>
            <w:tcW w:w="50" w:type="pct"/>
            <w:shd w:val="clear" w:color="auto" w:fill="auto"/>
            <w:vAlign w:val="center"/>
          </w:tcPr>
          <w:p w14:paraId="5556E108" w14:textId="77777777" w:rsidR="00F925DD" w:rsidRDefault="00F925DD">
            <w:pPr>
              <w:rPr>
                <w:rFonts w:ascii="Times New Roman" w:hAnsi="Times New Roman"/>
                <w:sz w:val="20"/>
                <w:szCs w:val="20"/>
              </w:rPr>
            </w:pPr>
          </w:p>
        </w:tc>
        <w:tc>
          <w:tcPr>
            <w:tcW w:w="100" w:type="pct"/>
            <w:shd w:val="clear" w:color="auto" w:fill="auto"/>
            <w:vAlign w:val="center"/>
          </w:tcPr>
          <w:p w14:paraId="5556E109" w14:textId="77777777" w:rsidR="00F925DD" w:rsidRDefault="00F925DD">
            <w:pPr>
              <w:rPr>
                <w:rFonts w:ascii="Times New Roman" w:hAnsi="Times New Roman"/>
                <w:sz w:val="20"/>
                <w:szCs w:val="20"/>
              </w:rPr>
            </w:pPr>
          </w:p>
        </w:tc>
        <w:tc>
          <w:tcPr>
            <w:tcW w:w="50" w:type="pct"/>
            <w:shd w:val="clear" w:color="auto" w:fill="auto"/>
            <w:vAlign w:val="center"/>
          </w:tcPr>
          <w:p w14:paraId="5556E10A" w14:textId="77777777" w:rsidR="00F925DD" w:rsidRDefault="00F925DD">
            <w:pPr>
              <w:rPr>
                <w:rFonts w:ascii="Times New Roman" w:hAnsi="Times New Roman"/>
                <w:sz w:val="20"/>
                <w:szCs w:val="20"/>
              </w:rPr>
            </w:pPr>
          </w:p>
        </w:tc>
        <w:tc>
          <w:tcPr>
            <w:tcW w:w="1150" w:type="pct"/>
            <w:shd w:val="clear" w:color="auto" w:fill="auto"/>
            <w:vAlign w:val="center"/>
          </w:tcPr>
          <w:p w14:paraId="5556E10B" w14:textId="77777777" w:rsidR="00F925DD" w:rsidRDefault="00F925DD">
            <w:pPr>
              <w:rPr>
                <w:rFonts w:ascii="Times New Roman" w:hAnsi="Times New Roman"/>
                <w:sz w:val="20"/>
                <w:szCs w:val="20"/>
              </w:rPr>
            </w:pPr>
          </w:p>
        </w:tc>
        <w:tc>
          <w:tcPr>
            <w:tcW w:w="50" w:type="pct"/>
            <w:shd w:val="clear" w:color="auto" w:fill="auto"/>
            <w:vAlign w:val="center"/>
          </w:tcPr>
          <w:p w14:paraId="5556E10C" w14:textId="77777777" w:rsidR="00F925DD" w:rsidRDefault="00F925DD">
            <w:pPr>
              <w:rPr>
                <w:rFonts w:ascii="Times New Roman" w:hAnsi="Times New Roman"/>
                <w:sz w:val="20"/>
                <w:szCs w:val="20"/>
              </w:rPr>
            </w:pPr>
          </w:p>
        </w:tc>
      </w:tr>
      <w:tr w:rsidR="00F925DD" w14:paraId="5556E112" w14:textId="77777777">
        <w:tc>
          <w:tcPr>
            <w:tcW w:w="0" w:type="auto"/>
            <w:shd w:val="clear" w:color="auto" w:fill="auto"/>
            <w:tcMar>
              <w:top w:w="40" w:type="dxa"/>
              <w:left w:w="40" w:type="dxa"/>
              <w:bottom w:w="40" w:type="dxa"/>
              <w:right w:w="40" w:type="dxa"/>
            </w:tcMar>
            <w:vAlign w:val="bottom"/>
          </w:tcPr>
          <w:p w14:paraId="5556E10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10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December 31, 2019</w:t>
            </w:r>
          </w:p>
        </w:tc>
        <w:tc>
          <w:tcPr>
            <w:tcW w:w="0" w:type="auto"/>
            <w:shd w:val="clear" w:color="auto" w:fill="auto"/>
            <w:tcMar>
              <w:top w:w="40" w:type="dxa"/>
              <w:left w:w="40" w:type="dxa"/>
              <w:bottom w:w="40" w:type="dxa"/>
              <w:right w:w="40" w:type="dxa"/>
            </w:tcMar>
            <w:vAlign w:val="bottom"/>
          </w:tcPr>
          <w:p w14:paraId="5556E1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11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December 31, </w:t>
            </w:r>
            <w:r>
              <w:rPr>
                <w:rFonts w:ascii="Arial" w:eastAsia="宋体" w:hAnsi="Arial" w:cs="Arial"/>
                <w:b/>
                <w:bCs/>
                <w:sz w:val="15"/>
                <w:szCs w:val="15"/>
              </w:rPr>
              <w:t>2018</w:t>
            </w:r>
          </w:p>
        </w:tc>
      </w:tr>
      <w:tr w:rsidR="00F925DD" w14:paraId="5556E11B" w14:textId="77777777">
        <w:tc>
          <w:tcPr>
            <w:tcW w:w="0" w:type="auto"/>
            <w:shd w:val="clear" w:color="auto" w:fill="CCEEFF"/>
            <w:tcMar>
              <w:top w:w="40" w:type="dxa"/>
              <w:left w:w="40" w:type="dxa"/>
              <w:bottom w:w="40" w:type="dxa"/>
              <w:right w:w="40" w:type="dxa"/>
            </w:tcMar>
            <w:vAlign w:val="bottom"/>
          </w:tcPr>
          <w:p w14:paraId="5556E113" w14:textId="77777777" w:rsidR="00F925DD" w:rsidRDefault="00E705D7">
            <w:pPr>
              <w:textAlignment w:val="bottom"/>
              <w:rPr>
                <w:rFonts w:ascii="Times New Roman" w:hAnsi="Times New Roman"/>
                <w:sz w:val="15"/>
                <w:szCs w:val="15"/>
              </w:rPr>
            </w:pPr>
            <w:r>
              <w:rPr>
                <w:rFonts w:ascii="Arial" w:eastAsia="宋体" w:hAnsi="Arial" w:cs="Arial"/>
                <w:sz w:val="15"/>
                <w:szCs w:val="15"/>
              </w:rPr>
              <w:t>Fair value of indemnified securities financing</w:t>
            </w:r>
          </w:p>
        </w:tc>
        <w:tc>
          <w:tcPr>
            <w:tcW w:w="0" w:type="auto"/>
            <w:tcBorders>
              <w:top w:val="single" w:sz="8" w:space="0" w:color="000000"/>
            </w:tcBorders>
            <w:shd w:val="clear" w:color="auto" w:fill="CCEEFF"/>
            <w:tcMar>
              <w:top w:w="40" w:type="dxa"/>
              <w:left w:w="40" w:type="dxa"/>
              <w:bottom w:w="40" w:type="dxa"/>
            </w:tcMar>
            <w:vAlign w:val="bottom"/>
          </w:tcPr>
          <w:p w14:paraId="5556E11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E11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367,901</w:t>
            </w:r>
          </w:p>
        </w:tc>
        <w:tc>
          <w:tcPr>
            <w:tcW w:w="0" w:type="auto"/>
            <w:tcBorders>
              <w:top w:val="single" w:sz="8" w:space="0" w:color="000000"/>
            </w:tcBorders>
            <w:shd w:val="clear" w:color="auto" w:fill="CCEEFF"/>
            <w:vAlign w:val="bottom"/>
          </w:tcPr>
          <w:p w14:paraId="5556E1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1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11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E11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342,337</w:t>
            </w:r>
          </w:p>
        </w:tc>
        <w:tc>
          <w:tcPr>
            <w:tcW w:w="0" w:type="auto"/>
            <w:shd w:val="clear" w:color="auto" w:fill="CCEEFF"/>
            <w:vAlign w:val="bottom"/>
          </w:tcPr>
          <w:p w14:paraId="5556E11A" w14:textId="77777777" w:rsidR="00F925DD" w:rsidRDefault="00F925DD">
            <w:pPr>
              <w:textAlignment w:val="bottom"/>
              <w:rPr>
                <w:rFonts w:ascii="Times New Roman" w:hAnsi="Times New Roman"/>
                <w:sz w:val="20"/>
                <w:szCs w:val="20"/>
              </w:rPr>
            </w:pPr>
          </w:p>
        </w:tc>
      </w:tr>
      <w:tr w:rsidR="00F925DD" w14:paraId="5556E122" w14:textId="77777777">
        <w:tc>
          <w:tcPr>
            <w:tcW w:w="0" w:type="auto"/>
            <w:shd w:val="clear" w:color="auto" w:fill="auto"/>
            <w:tcMar>
              <w:top w:w="40" w:type="dxa"/>
              <w:left w:w="40" w:type="dxa"/>
              <w:bottom w:w="40" w:type="dxa"/>
              <w:right w:w="40" w:type="dxa"/>
            </w:tcMar>
            <w:vAlign w:val="bottom"/>
          </w:tcPr>
          <w:p w14:paraId="5556E11C" w14:textId="77777777" w:rsidR="00F925DD" w:rsidRDefault="00E705D7">
            <w:pPr>
              <w:textAlignment w:val="bottom"/>
              <w:rPr>
                <w:rFonts w:ascii="Times New Roman" w:hAnsi="Times New Roman"/>
                <w:sz w:val="15"/>
                <w:szCs w:val="15"/>
              </w:rPr>
            </w:pPr>
            <w:r>
              <w:rPr>
                <w:rFonts w:ascii="Arial" w:eastAsia="宋体" w:hAnsi="Arial" w:cs="Arial"/>
                <w:sz w:val="15"/>
                <w:szCs w:val="15"/>
              </w:rPr>
              <w:t>Fair value of cash and securities held by us, as agent, as collateral for indemnified securities financing</w:t>
            </w:r>
          </w:p>
        </w:tc>
        <w:tc>
          <w:tcPr>
            <w:tcW w:w="0" w:type="auto"/>
            <w:gridSpan w:val="2"/>
            <w:shd w:val="clear" w:color="auto" w:fill="auto"/>
            <w:tcMar>
              <w:top w:w="40" w:type="dxa"/>
              <w:left w:w="40" w:type="dxa"/>
              <w:bottom w:w="40" w:type="dxa"/>
            </w:tcMar>
            <w:vAlign w:val="bottom"/>
          </w:tcPr>
          <w:p w14:paraId="5556E11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385,428</w:t>
            </w:r>
          </w:p>
        </w:tc>
        <w:tc>
          <w:tcPr>
            <w:tcW w:w="0" w:type="auto"/>
            <w:shd w:val="clear" w:color="auto" w:fill="auto"/>
            <w:vAlign w:val="bottom"/>
          </w:tcPr>
          <w:p w14:paraId="5556E11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1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12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357,893</w:t>
            </w:r>
          </w:p>
        </w:tc>
        <w:tc>
          <w:tcPr>
            <w:tcW w:w="0" w:type="auto"/>
            <w:shd w:val="clear" w:color="auto" w:fill="auto"/>
            <w:vAlign w:val="bottom"/>
          </w:tcPr>
          <w:p w14:paraId="5556E121" w14:textId="77777777" w:rsidR="00F925DD" w:rsidRDefault="00F925DD">
            <w:pPr>
              <w:textAlignment w:val="bottom"/>
              <w:rPr>
                <w:rFonts w:ascii="Times New Roman" w:hAnsi="Times New Roman"/>
                <w:sz w:val="20"/>
                <w:szCs w:val="20"/>
              </w:rPr>
            </w:pPr>
          </w:p>
        </w:tc>
      </w:tr>
      <w:tr w:rsidR="00F925DD" w14:paraId="5556E129" w14:textId="77777777">
        <w:tc>
          <w:tcPr>
            <w:tcW w:w="0" w:type="auto"/>
            <w:shd w:val="clear" w:color="auto" w:fill="CCEEFF"/>
            <w:tcMar>
              <w:top w:w="40" w:type="dxa"/>
              <w:left w:w="40" w:type="dxa"/>
              <w:bottom w:w="40" w:type="dxa"/>
              <w:right w:w="40" w:type="dxa"/>
            </w:tcMar>
            <w:vAlign w:val="bottom"/>
          </w:tcPr>
          <w:p w14:paraId="5556E123"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Fair value of collateral for </w:t>
            </w:r>
            <w:r>
              <w:rPr>
                <w:rFonts w:ascii="Arial" w:eastAsia="宋体" w:hAnsi="Arial" w:cs="Arial"/>
                <w:sz w:val="15"/>
                <w:szCs w:val="15"/>
              </w:rPr>
              <w:t>indemnified securities financing invested in indemnified repurchase agreements</w:t>
            </w:r>
          </w:p>
        </w:tc>
        <w:tc>
          <w:tcPr>
            <w:tcW w:w="0" w:type="auto"/>
            <w:gridSpan w:val="2"/>
            <w:shd w:val="clear" w:color="auto" w:fill="CCEEFF"/>
            <w:tcMar>
              <w:top w:w="40" w:type="dxa"/>
              <w:left w:w="40" w:type="dxa"/>
              <w:bottom w:w="40" w:type="dxa"/>
            </w:tcMar>
            <w:vAlign w:val="bottom"/>
          </w:tcPr>
          <w:p w14:paraId="5556E12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45,658</w:t>
            </w:r>
          </w:p>
        </w:tc>
        <w:tc>
          <w:tcPr>
            <w:tcW w:w="0" w:type="auto"/>
            <w:shd w:val="clear" w:color="auto" w:fill="CCEEFF"/>
            <w:vAlign w:val="bottom"/>
          </w:tcPr>
          <w:p w14:paraId="5556E1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1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12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42,610</w:t>
            </w:r>
          </w:p>
        </w:tc>
        <w:tc>
          <w:tcPr>
            <w:tcW w:w="0" w:type="auto"/>
            <w:shd w:val="clear" w:color="auto" w:fill="CCEEFF"/>
            <w:vAlign w:val="bottom"/>
          </w:tcPr>
          <w:p w14:paraId="5556E128" w14:textId="77777777" w:rsidR="00F925DD" w:rsidRDefault="00F925DD">
            <w:pPr>
              <w:textAlignment w:val="bottom"/>
              <w:rPr>
                <w:rFonts w:ascii="Times New Roman" w:hAnsi="Times New Roman"/>
                <w:sz w:val="20"/>
                <w:szCs w:val="20"/>
              </w:rPr>
            </w:pPr>
          </w:p>
        </w:tc>
      </w:tr>
      <w:tr w:rsidR="00F925DD" w14:paraId="5556E130" w14:textId="77777777">
        <w:tc>
          <w:tcPr>
            <w:tcW w:w="0" w:type="auto"/>
            <w:shd w:val="clear" w:color="auto" w:fill="auto"/>
            <w:tcMar>
              <w:top w:w="40" w:type="dxa"/>
              <w:left w:w="40" w:type="dxa"/>
              <w:bottom w:w="40" w:type="dxa"/>
              <w:right w:w="40" w:type="dxa"/>
            </w:tcMar>
            <w:vAlign w:val="bottom"/>
          </w:tcPr>
          <w:p w14:paraId="5556E12A" w14:textId="77777777" w:rsidR="00F925DD" w:rsidRDefault="00E705D7">
            <w:pPr>
              <w:textAlignment w:val="bottom"/>
              <w:rPr>
                <w:rFonts w:ascii="Times New Roman" w:hAnsi="Times New Roman"/>
                <w:sz w:val="15"/>
                <w:szCs w:val="15"/>
              </w:rPr>
            </w:pPr>
            <w:r>
              <w:rPr>
                <w:rFonts w:ascii="Arial" w:eastAsia="宋体" w:hAnsi="Arial" w:cs="Arial"/>
                <w:sz w:val="15"/>
                <w:szCs w:val="15"/>
              </w:rPr>
              <w:t>Fair value of cash and securities held by us or our agents as collateral for investments in indemnified repurchase agreements</w:t>
            </w:r>
          </w:p>
        </w:tc>
        <w:tc>
          <w:tcPr>
            <w:tcW w:w="0" w:type="auto"/>
            <w:gridSpan w:val="2"/>
            <w:shd w:val="clear" w:color="auto" w:fill="auto"/>
            <w:tcMar>
              <w:top w:w="40" w:type="dxa"/>
              <w:left w:w="40" w:type="dxa"/>
              <w:bottom w:w="40" w:type="dxa"/>
            </w:tcMar>
            <w:vAlign w:val="bottom"/>
          </w:tcPr>
          <w:p w14:paraId="5556E12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48,887</w:t>
            </w:r>
          </w:p>
        </w:tc>
        <w:tc>
          <w:tcPr>
            <w:tcW w:w="0" w:type="auto"/>
            <w:shd w:val="clear" w:color="auto" w:fill="auto"/>
            <w:vAlign w:val="bottom"/>
          </w:tcPr>
          <w:p w14:paraId="5556E12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1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12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45,064</w:t>
            </w:r>
          </w:p>
        </w:tc>
        <w:tc>
          <w:tcPr>
            <w:tcW w:w="0" w:type="auto"/>
            <w:shd w:val="clear" w:color="auto" w:fill="auto"/>
            <w:vAlign w:val="bottom"/>
          </w:tcPr>
          <w:p w14:paraId="5556E12F" w14:textId="77777777" w:rsidR="00F925DD" w:rsidRDefault="00F925DD">
            <w:pPr>
              <w:textAlignment w:val="bottom"/>
              <w:rPr>
                <w:rFonts w:ascii="Times New Roman" w:hAnsi="Times New Roman"/>
                <w:sz w:val="20"/>
                <w:szCs w:val="20"/>
              </w:rPr>
            </w:pPr>
          </w:p>
        </w:tc>
      </w:tr>
    </w:tbl>
    <w:p w14:paraId="5556E131" w14:textId="77777777" w:rsidR="00F925DD" w:rsidRDefault="00F925DD">
      <w:pPr>
        <w:spacing w:line="288" w:lineRule="auto"/>
        <w:jc w:val="both"/>
        <w:rPr>
          <w:rFonts w:ascii="Times New Roman" w:hAnsi="Times New Roman"/>
          <w:sz w:val="20"/>
          <w:szCs w:val="20"/>
        </w:rPr>
      </w:pPr>
    </w:p>
    <w:p w14:paraId="5556E13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w:t>
      </w:r>
      <w:r>
        <w:rPr>
          <w:rFonts w:ascii="Arial" w:eastAsia="宋体" w:hAnsi="Arial" w:cs="Arial"/>
          <w:sz w:val="20"/>
          <w:szCs w:val="20"/>
        </w:rPr>
        <w:t>certain cases, we participate in securities finance transactions as a principal. As a principal, we borrow securities from the lending client and then lend such securities to the subsequent borrower, either our client or a broker/dealer. Our right to recei</w:t>
      </w:r>
      <w:r>
        <w:rPr>
          <w:rFonts w:ascii="Arial" w:eastAsia="宋体" w:hAnsi="Arial" w:cs="Arial"/>
          <w:sz w:val="20"/>
          <w:szCs w:val="20"/>
        </w:rPr>
        <w:t>ve and obligation to return collateral in connection with our securities lending transactions are recorded in other assets and other liabilities, respectively, in our consolidated statement of condition. As of December 31, 2019 and December 31, 2018, we ha</w:t>
      </w:r>
      <w:r>
        <w:rPr>
          <w:rFonts w:ascii="Arial" w:eastAsia="宋体" w:hAnsi="Arial" w:cs="Arial"/>
          <w:sz w:val="20"/>
          <w:szCs w:val="20"/>
        </w:rPr>
        <w:t>d approximately $18.52 billion and $19.58 billion, respectively, of collateral provided and approximately $10.77 billion and $11.52 billion, respectively, of collateral received from clients in connection with our participation in principal securities fina</w:t>
      </w:r>
      <w:r>
        <w:rPr>
          <w:rFonts w:ascii="Arial" w:eastAsia="宋体" w:hAnsi="Arial" w:cs="Arial"/>
          <w:sz w:val="20"/>
          <w:szCs w:val="20"/>
        </w:rPr>
        <w:t>nce transactions.</w:t>
      </w:r>
    </w:p>
    <w:p w14:paraId="5556E133"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Stable Value Protection</w:t>
      </w:r>
    </w:p>
    <w:p w14:paraId="5556E13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Stable value funds wrapped by us are high quality diversified portfolios of short intermediate duration fixed-income investments. Stable value contracts are derivative contracts that also qualify as guarantees. The</w:t>
      </w:r>
      <w:r>
        <w:rPr>
          <w:rFonts w:ascii="Arial" w:eastAsia="宋体" w:hAnsi="Arial" w:cs="Arial"/>
          <w:sz w:val="20"/>
          <w:szCs w:val="20"/>
        </w:rPr>
        <w:t xml:space="preserve"> notional amount under non-hedging derivatives, provided in Note 10, generally represents our maximum exposure under these derivatives contracts. However, exposure to various stable value contracts is contractually limited to substantially lower amounts th</w:t>
      </w:r>
      <w:r>
        <w:rPr>
          <w:rFonts w:ascii="Arial" w:eastAsia="宋体" w:hAnsi="Arial" w:cs="Arial"/>
          <w:sz w:val="20"/>
          <w:szCs w:val="20"/>
        </w:rPr>
        <w:t>an the notional values, which represent the total assets of the stable value funds.</w:t>
      </w:r>
    </w:p>
    <w:p w14:paraId="5556E135"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Standby Letters of Credit</w:t>
      </w:r>
    </w:p>
    <w:p w14:paraId="5556E13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Standby letters of credit provide credit enhancement to our municipal clients to support the issuance of capital markets financing.</w:t>
      </w:r>
    </w:p>
    <w:p w14:paraId="5556E137" w14:textId="77777777" w:rsidR="00F925DD" w:rsidRDefault="00F925DD">
      <w:pPr>
        <w:spacing w:line="288" w:lineRule="auto"/>
        <w:jc w:val="both"/>
        <w:rPr>
          <w:rFonts w:ascii="Times New Roman" w:hAnsi="Times New Roman"/>
          <w:sz w:val="20"/>
          <w:szCs w:val="20"/>
        </w:rPr>
      </w:pPr>
    </w:p>
    <w:p w14:paraId="5556E138" w14:textId="77777777" w:rsidR="00F925DD" w:rsidRDefault="00F925DD">
      <w:pPr>
        <w:rPr>
          <w:rFonts w:ascii="Times New Roman" w:hAnsi="Times New Roman"/>
          <w:sz w:val="20"/>
          <w:szCs w:val="20"/>
        </w:rPr>
      </w:pPr>
    </w:p>
    <w:p w14:paraId="5556E139"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w:t>
      </w:r>
      <w:r>
        <w:rPr>
          <w:rFonts w:ascii="Arial" w:eastAsia="宋体" w:hAnsi="Arial" w:cs="Arial"/>
          <w:sz w:val="18"/>
          <w:szCs w:val="18"/>
        </w:rPr>
        <w:t xml:space="preserve"> Corporation | 155</w:t>
      </w:r>
    </w:p>
    <w:p w14:paraId="5556E13A" w14:textId="77777777" w:rsidR="00F925DD" w:rsidRDefault="00F925DD">
      <w:pPr>
        <w:spacing w:line="288" w:lineRule="auto"/>
        <w:ind w:firstLine="600"/>
        <w:jc w:val="center"/>
        <w:rPr>
          <w:rFonts w:ascii="Times New Roman" w:hAnsi="Times New Roman"/>
          <w:sz w:val="18"/>
          <w:szCs w:val="18"/>
        </w:rPr>
      </w:pPr>
    </w:p>
    <w:p w14:paraId="5556E13B" w14:textId="77777777" w:rsidR="00F925DD" w:rsidRDefault="00E705D7">
      <w:r>
        <w:rPr>
          <w:rFonts w:ascii="Times New Roman" w:hAnsi="Times New Roman"/>
          <w:sz w:val="18"/>
          <w:szCs w:val="18"/>
        </w:rPr>
        <w:pict w14:anchorId="555706D5">
          <v:rect id="_x0000_i1179" style="width:415.3pt;height:1.5pt" o:hralign="center" o:hrstd="t" o:hr="t" fillcolor="#a0a0a0" stroked="f"/>
        </w:pict>
      </w:r>
    </w:p>
    <w:p w14:paraId="5556E13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13D"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13E" w14:textId="77777777" w:rsidR="00F925DD" w:rsidRDefault="00F925DD">
      <w:pPr>
        <w:rPr>
          <w:rFonts w:ascii="Times New Roman" w:hAnsi="Times New Roman"/>
          <w:sz w:val="20"/>
          <w:szCs w:val="20"/>
        </w:rPr>
      </w:pPr>
    </w:p>
    <w:p w14:paraId="5556E13F"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Note 13.    Contingencies</w:t>
      </w:r>
    </w:p>
    <w:p w14:paraId="5556E140"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Legal and Regulatory Matters</w:t>
      </w:r>
    </w:p>
    <w:p w14:paraId="5556E14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ordinary course of business, we and our subsidiaries are involved in disputes, litigation, and governmental or regulatory inquiries and investigations, both pending and threatened. These matters, if resolved adversely against us or settled, may resu</w:t>
      </w:r>
      <w:r>
        <w:rPr>
          <w:rFonts w:ascii="Arial" w:eastAsia="宋体" w:hAnsi="Arial" w:cs="Arial"/>
          <w:sz w:val="20"/>
          <w:szCs w:val="20"/>
        </w:rPr>
        <w:t xml:space="preserve">lt in monetary awards or payments, fines and penalties or require changes in our business practices. The resolution or settlement of these matters is inherently difficult to predict. Based on our assessment of these pending matters, we do not believe that </w:t>
      </w:r>
      <w:r>
        <w:rPr>
          <w:rFonts w:ascii="Arial" w:eastAsia="宋体" w:hAnsi="Arial" w:cs="Arial"/>
          <w:sz w:val="20"/>
          <w:szCs w:val="20"/>
        </w:rPr>
        <w:t>the amount of any judgment, settlement or other action arising from any pending matter is likely to have a material adverse effect on our consolidated financial condition. However, an adverse outcome or development in certain of the matters described below</w:t>
      </w:r>
      <w:r>
        <w:rPr>
          <w:rFonts w:ascii="Arial" w:eastAsia="宋体" w:hAnsi="Arial" w:cs="Arial"/>
          <w:sz w:val="20"/>
          <w:szCs w:val="20"/>
        </w:rPr>
        <w:t xml:space="preserve"> could have a material adverse effect on our consolidated results of operations for the period in which such matter is resolved, or an accrual is determined to be required, on our consolidated financial condition, or on our reputation. </w:t>
      </w:r>
    </w:p>
    <w:p w14:paraId="5556E14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evaluate our nee</w:t>
      </w:r>
      <w:r>
        <w:rPr>
          <w:rFonts w:ascii="Arial" w:eastAsia="宋体" w:hAnsi="Arial" w:cs="Arial"/>
          <w:sz w:val="20"/>
          <w:szCs w:val="20"/>
        </w:rPr>
        <w:t>ds for accruals of loss contingencies related to legal and regulatory proceedings on a case-by-case basis. When we have a liability that we deem probable, and we deem the amount of such liability can be reasonably estimated as of the date of our consolidat</w:t>
      </w:r>
      <w:r>
        <w:rPr>
          <w:rFonts w:ascii="Arial" w:eastAsia="宋体" w:hAnsi="Arial" w:cs="Arial"/>
          <w:sz w:val="20"/>
          <w:szCs w:val="20"/>
        </w:rPr>
        <w:t xml:space="preserve">ed financial statements, we accrue our estimate of the amount of loss. We also consider a loss probable and establish an accrual when we make, or intend to make, an offer of settlement. Once established, an accrual is subject to subsequent adjustment as a </w:t>
      </w:r>
      <w:r>
        <w:rPr>
          <w:rFonts w:ascii="Arial" w:eastAsia="宋体" w:hAnsi="Arial" w:cs="Arial"/>
          <w:sz w:val="20"/>
          <w:szCs w:val="20"/>
        </w:rPr>
        <w:t>result of additional information. The resolution of legal and regulatory proceedings and the amount of reasonably estimable loss (or range thereof) are inherently difficult to predict, especially in the early stages of proceedings. Even if a loss is probab</w:t>
      </w:r>
      <w:r>
        <w:rPr>
          <w:rFonts w:ascii="Arial" w:eastAsia="宋体" w:hAnsi="Arial" w:cs="Arial"/>
          <w:sz w:val="20"/>
          <w:szCs w:val="20"/>
        </w:rPr>
        <w:t>le, an amount (or range) of loss might not be reasonably estimated until the later stages of the proceeding due to many factors such as the presence of complex or novel legal theories, the discretion of governmental authorities in seeking sanctions or nego</w:t>
      </w:r>
      <w:r>
        <w:rPr>
          <w:rFonts w:ascii="Arial" w:eastAsia="宋体" w:hAnsi="Arial" w:cs="Arial"/>
          <w:sz w:val="20"/>
          <w:szCs w:val="20"/>
        </w:rPr>
        <w:t xml:space="preserve">tiating resolutions in civil and criminal matters, the pace and timing of discovery and other assessments of facts and the procedural posture of the matter (collectively, "factors influencing reasonable estimates"). </w:t>
      </w:r>
    </w:p>
    <w:p w14:paraId="5556E14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December 31, 2019, our aggregate </w:t>
      </w:r>
      <w:r>
        <w:rPr>
          <w:rFonts w:ascii="Arial" w:eastAsia="宋体" w:hAnsi="Arial" w:cs="Arial"/>
          <w:sz w:val="20"/>
          <w:szCs w:val="20"/>
        </w:rPr>
        <w:t>accruals for loss contingencies for legal, regulatory and related matters totaled approximately $146 million, including potential fines by government agencies and civil litigation with respect to the matters specifically discussed below. To the extent that</w:t>
      </w:r>
      <w:r>
        <w:rPr>
          <w:rFonts w:ascii="Arial" w:eastAsia="宋体" w:hAnsi="Arial" w:cs="Arial"/>
          <w:sz w:val="20"/>
          <w:szCs w:val="20"/>
        </w:rPr>
        <w:t xml:space="preserve"> we have established accruals in our consolidated statement of condition for probable loss contingencies, such accruals may not be sufficient to cover our ultimate financial exposure associated with any settlements or judgments. Any such ultimate financial</w:t>
      </w:r>
      <w:r>
        <w:rPr>
          <w:rFonts w:ascii="Arial" w:eastAsia="宋体" w:hAnsi="Arial" w:cs="Arial"/>
          <w:sz w:val="20"/>
          <w:szCs w:val="20"/>
        </w:rPr>
        <w:t xml:space="preserve"> exposure, or proceedings to which we </w:t>
      </w:r>
    </w:p>
    <w:p w14:paraId="5556E144"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E145"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may become subject in the future, could have a material adverse effect on our businesses, on our future consolidated financial statements or on our reputation. </w:t>
      </w:r>
    </w:p>
    <w:p w14:paraId="5556E14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for those matters for which w</w:t>
      </w:r>
      <w:r>
        <w:rPr>
          <w:rFonts w:ascii="Arial" w:eastAsia="宋体" w:hAnsi="Arial" w:cs="Arial"/>
          <w:sz w:val="20"/>
          <w:szCs w:val="20"/>
        </w:rPr>
        <w:t>e have accrued probable loss contingencies (including the Invoicing Matter described below) and for other matters for which loss is reasonably possible (but not probable) in future periods, and for which we are able to estimate a range of reasonably possib</w:t>
      </w:r>
      <w:r>
        <w:rPr>
          <w:rFonts w:ascii="Arial" w:eastAsia="宋体" w:hAnsi="Arial" w:cs="Arial"/>
          <w:sz w:val="20"/>
          <w:szCs w:val="20"/>
        </w:rPr>
        <w:t>le loss, our estimate of the aggregate reasonably possible loss (in excess of any accrued amounts) ranges up to approximately $50 million. Our estimate with respect to the aggregate reasonably possible loss is based upon currently available information and</w:t>
      </w:r>
      <w:r>
        <w:rPr>
          <w:rFonts w:ascii="Arial" w:eastAsia="宋体" w:hAnsi="Arial" w:cs="Arial"/>
          <w:sz w:val="20"/>
          <w:szCs w:val="20"/>
        </w:rPr>
        <w:t xml:space="preserve"> is subject to significant judgment and a variety of assumptions and known and unknown uncertainties, which may change quickly and significantly from time to time, particularly if and as we engage with applicable governmental agencies or plaintiffs in conn</w:t>
      </w:r>
      <w:r>
        <w:rPr>
          <w:rFonts w:ascii="Arial" w:eastAsia="宋体" w:hAnsi="Arial" w:cs="Arial"/>
          <w:sz w:val="20"/>
          <w:szCs w:val="20"/>
        </w:rPr>
        <w:t>ection with a proceeding. Also, the matters underlying the reasonably possible loss will change from time to time. As a result, actual results may vary significantly from the current estimate.</w:t>
      </w:r>
    </w:p>
    <w:p w14:paraId="5556E14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certain pending matters, it is not currently feasible to rea</w:t>
      </w:r>
      <w:r>
        <w:rPr>
          <w:rFonts w:ascii="Arial" w:eastAsia="宋体" w:hAnsi="Arial" w:cs="Arial"/>
          <w:sz w:val="20"/>
          <w:szCs w:val="20"/>
        </w:rPr>
        <w:t>sonably estimate the amount or a range of reasonably possible loss, and such losses, which may be significant, are not included in the estimate of reasonably possible loss discussed above. This is due to, among other factors, the factors influencing reason</w:t>
      </w:r>
      <w:r>
        <w:rPr>
          <w:rFonts w:ascii="Arial" w:eastAsia="宋体" w:hAnsi="Arial" w:cs="Arial"/>
          <w:sz w:val="20"/>
          <w:szCs w:val="20"/>
        </w:rPr>
        <w:t>able estimates described above. An adverse outcome in one or more of the matters for which we have not estimated the amount or a range of reasonably possible loss, individually or in the aggregate, could have a material adverse effect on our businesses, on</w:t>
      </w:r>
      <w:r>
        <w:rPr>
          <w:rFonts w:ascii="Arial" w:eastAsia="宋体" w:hAnsi="Arial" w:cs="Arial"/>
          <w:sz w:val="20"/>
          <w:szCs w:val="20"/>
        </w:rPr>
        <w:t xml:space="preserve"> our future consolidated financial statements or on our reputation. Given that our actual losses from any legal or regulatory proceeding for which we have provided an estimate of the reasonably possible loss could significantly exceed such estimate, and gi</w:t>
      </w:r>
      <w:r>
        <w:rPr>
          <w:rFonts w:ascii="Arial" w:eastAsia="宋体" w:hAnsi="Arial" w:cs="Arial"/>
          <w:sz w:val="20"/>
          <w:szCs w:val="20"/>
        </w:rPr>
        <w:t>ven that we cannot estimate reasonably possible loss for all legal and regulatory proceedings as to which we may be subject now or in the future, no conclusion as to our ultimate exposure from current pending or potential legal or regulatory proceedings sh</w:t>
      </w:r>
      <w:r>
        <w:rPr>
          <w:rFonts w:ascii="Arial" w:eastAsia="宋体" w:hAnsi="Arial" w:cs="Arial"/>
          <w:sz w:val="20"/>
          <w:szCs w:val="20"/>
        </w:rPr>
        <w:t xml:space="preserve">ould be drawn from the current estimate of reasonably possible loss. </w:t>
      </w:r>
    </w:p>
    <w:p w14:paraId="5556E14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discussion provides information with respect to significant legal, governmental and regulatory matters. </w:t>
      </w:r>
    </w:p>
    <w:p w14:paraId="5556E149"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Invoicing Matter</w:t>
      </w:r>
    </w:p>
    <w:p w14:paraId="5556E14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2015, we determined that we had incorrectly inv</w:t>
      </w:r>
      <w:r>
        <w:rPr>
          <w:rFonts w:ascii="Arial" w:eastAsia="宋体" w:hAnsi="Arial" w:cs="Arial"/>
          <w:sz w:val="20"/>
          <w:szCs w:val="20"/>
        </w:rPr>
        <w:t>oiced clients for certain expenses. We have reimbursed most of our affected customers for those expenses, and we have implemented enhancements to our billing processes. In connection with our enhancements to our billing processes, we continue to review his</w:t>
      </w:r>
      <w:r>
        <w:rPr>
          <w:rFonts w:ascii="Arial" w:eastAsia="宋体" w:hAnsi="Arial" w:cs="Arial"/>
          <w:sz w:val="20"/>
          <w:szCs w:val="20"/>
        </w:rPr>
        <w:t xml:space="preserve">torical billing practices and may from time to time identify additional remediation. In 2017, we </w:t>
      </w:r>
    </w:p>
    <w:p w14:paraId="5556E14B" w14:textId="77777777" w:rsidR="00F925DD" w:rsidRDefault="00F925DD">
      <w:pPr>
        <w:rPr>
          <w:rFonts w:ascii="Times New Roman" w:hAnsi="Times New Roman"/>
          <w:sz w:val="20"/>
          <w:szCs w:val="20"/>
        </w:rPr>
      </w:pPr>
    </w:p>
    <w:p w14:paraId="5556E14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156</w:t>
      </w:r>
    </w:p>
    <w:p w14:paraId="5556E14D" w14:textId="77777777" w:rsidR="00F925DD" w:rsidRDefault="00F925DD">
      <w:pPr>
        <w:spacing w:line="288" w:lineRule="auto"/>
        <w:ind w:firstLine="600"/>
        <w:jc w:val="center"/>
        <w:rPr>
          <w:rFonts w:ascii="Times New Roman" w:hAnsi="Times New Roman"/>
          <w:sz w:val="18"/>
          <w:szCs w:val="18"/>
        </w:rPr>
      </w:pPr>
    </w:p>
    <w:p w14:paraId="5556E14E" w14:textId="77777777" w:rsidR="00F925DD" w:rsidRDefault="00E705D7">
      <w:r>
        <w:rPr>
          <w:rFonts w:ascii="Times New Roman" w:hAnsi="Times New Roman"/>
          <w:sz w:val="18"/>
          <w:szCs w:val="18"/>
        </w:rPr>
        <w:pict w14:anchorId="555706D6">
          <v:rect id="_x0000_i1180" style="width:415.3pt;height:1.5pt" o:hralign="center" o:hrstd="t" o:hr="t" fillcolor="#a0a0a0" stroked="f"/>
        </w:pict>
      </w:r>
    </w:p>
    <w:p w14:paraId="5556E14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15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151" w14:textId="77777777" w:rsidR="00F925DD" w:rsidRDefault="00F925DD">
      <w:pPr>
        <w:rPr>
          <w:rFonts w:ascii="Times New Roman" w:hAnsi="Times New Roman"/>
          <w:sz w:val="20"/>
          <w:szCs w:val="20"/>
        </w:rPr>
      </w:pPr>
    </w:p>
    <w:p w14:paraId="5556E15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identified an additional area of incorrect </w:t>
      </w:r>
      <w:r>
        <w:rPr>
          <w:rFonts w:ascii="Arial" w:eastAsia="宋体" w:hAnsi="Arial" w:cs="Arial"/>
          <w:sz w:val="20"/>
          <w:szCs w:val="20"/>
        </w:rPr>
        <w:t xml:space="preserve">expense billing associated with mailing services in our retirement services business. We currently expect the cumulative total of our payments to customers for these invoicing errors, including the error in the retirement services business, to be at least </w:t>
      </w:r>
      <w:r>
        <w:rPr>
          <w:rFonts w:ascii="Arial" w:eastAsia="宋体" w:hAnsi="Arial" w:cs="Arial"/>
          <w:sz w:val="20"/>
          <w:szCs w:val="20"/>
        </w:rPr>
        <w:t>$380 million, all of which has been paid or is accrued. However, we may identify additional remediation costs.</w:t>
      </w:r>
    </w:p>
    <w:p w14:paraId="5556E15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March 2017, a purported class action was commenced against us alleging that our invoicing practices violated duties owed to retirement plan customers under the Employee Retirement Income Security Act. In addition, we have received a purported class acti</w:t>
      </w:r>
      <w:r>
        <w:rPr>
          <w:rFonts w:ascii="Arial" w:eastAsia="宋体" w:hAnsi="Arial" w:cs="Arial"/>
          <w:sz w:val="20"/>
          <w:szCs w:val="20"/>
        </w:rPr>
        <w:t>on demand letter alleging that our invoicing practices were unfair and deceptive under Massachusetts law. A class of customers, or particular customers, may assert that we have not paid to them all amounts incorrectly invoiced, and may seek double or trebl</w:t>
      </w:r>
      <w:r>
        <w:rPr>
          <w:rFonts w:ascii="Arial" w:eastAsia="宋体" w:hAnsi="Arial" w:cs="Arial"/>
          <w:sz w:val="20"/>
          <w:szCs w:val="20"/>
        </w:rPr>
        <w:t xml:space="preserve">e damages under Massachusetts law. </w:t>
      </w:r>
    </w:p>
    <w:p w14:paraId="5556E15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are also cooperating with investigations by governmental and regulatory authorities on these matters, including the civil and criminal divisions of the DOJ and the DOL, which reviews could result in significant fines </w:t>
      </w:r>
      <w:r>
        <w:rPr>
          <w:rFonts w:ascii="Arial" w:eastAsia="宋体" w:hAnsi="Arial" w:cs="Arial"/>
          <w:sz w:val="20"/>
          <w:szCs w:val="20"/>
        </w:rPr>
        <w:t>or other sanctions, civil and criminal, against us. In June 2019, we reached an agreement with the SEC to settle its claims that we violated the recordkeeping provisions of Section 34(b) of the Investment Company Act of 1940 and caused violations of Sectio</w:t>
      </w:r>
      <w:r>
        <w:rPr>
          <w:rFonts w:ascii="Arial" w:eastAsia="宋体" w:hAnsi="Arial" w:cs="Arial"/>
          <w:sz w:val="20"/>
          <w:szCs w:val="20"/>
        </w:rPr>
        <w:t xml:space="preserve">n 31(a) of the Investment Company Act and Rules 31a-1(a) and 31a-1(b) thereunder in connection with our overcharges of customers which are registered investment companies. In reaching this settlement, we neither admitted nor denied the claims contained in </w:t>
      </w:r>
      <w:r>
        <w:rPr>
          <w:rFonts w:ascii="Arial" w:eastAsia="宋体" w:hAnsi="Arial" w:cs="Arial"/>
          <w:sz w:val="20"/>
          <w:szCs w:val="20"/>
        </w:rPr>
        <w:t>the SEC’s order, and agreed to pay a civil monetary penalty of $40 million. Also in June 2019, we reached an agreement with the Massachusetts Attorney General’s office to resolve its claims related to this matter. In reaching this settlement, we neither ad</w:t>
      </w:r>
      <w:r>
        <w:rPr>
          <w:rFonts w:ascii="Arial" w:eastAsia="宋体" w:hAnsi="Arial" w:cs="Arial"/>
          <w:sz w:val="20"/>
          <w:szCs w:val="20"/>
        </w:rPr>
        <w:t>mitted nor denied the claims in the order, and agreed to pay a civil monetary penalty of $5.5 million. The costs associated with these settlements were within our related previously established accruals for loss contingencies. The SEC and Massachusetts Att</w:t>
      </w:r>
      <w:r>
        <w:rPr>
          <w:rFonts w:ascii="Arial" w:eastAsia="宋体" w:hAnsi="Arial" w:cs="Arial"/>
          <w:sz w:val="20"/>
          <w:szCs w:val="20"/>
        </w:rPr>
        <w:t xml:space="preserve">orney General’s office settlements both recognize that the payment of $48.8 million in disgorgement and interest is satisfied by our direct reimbursements of our customers. </w:t>
      </w:r>
    </w:p>
    <w:p w14:paraId="5556E15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late January 2020, the DOJ outlined a framework for a possible resolution of th</w:t>
      </w:r>
      <w:r>
        <w:rPr>
          <w:rFonts w:ascii="Arial" w:eastAsia="宋体" w:hAnsi="Arial" w:cs="Arial"/>
          <w:sz w:val="20"/>
          <w:szCs w:val="20"/>
        </w:rPr>
        <w:t>eir review. We intend to attempt to negotiate a settlement of this matter with the DOJ. We expect that any settlement with the DOJ will include both financial and non-financial provisions. Separately, we have inquired of the DOL as to the status of their r</w:t>
      </w:r>
      <w:r>
        <w:rPr>
          <w:rFonts w:ascii="Arial" w:eastAsia="宋体" w:hAnsi="Arial" w:cs="Arial"/>
          <w:sz w:val="20"/>
          <w:szCs w:val="20"/>
        </w:rPr>
        <w:t xml:space="preserve">eview. There can be no assurance that any settlement with the DOJ or DOL will be reached on financial or other terms acceptable to us or at all. The aggregate amount of penalties that may potentially be imposed upon us in connection with the resolution </w:t>
      </w:r>
    </w:p>
    <w:p w14:paraId="5556E156"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E15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of all outstanding investigations into our historical billing practices is not currently known. We have increased our legal accrual with respect to the pending government investigations and civil litigation with respect to this matter. However, our ultimat</w:t>
      </w:r>
      <w:r>
        <w:rPr>
          <w:rFonts w:ascii="Arial" w:eastAsia="宋体" w:hAnsi="Arial" w:cs="Arial"/>
          <w:sz w:val="20"/>
          <w:szCs w:val="20"/>
        </w:rPr>
        <w:t>e liability with respect to this matter might be significantly in excess of our current accrual. Government authorities have significant discretion in criminal and civil matters as to the fines and other penalties they may seek to impose. Any resolution of</w:t>
      </w:r>
      <w:r>
        <w:rPr>
          <w:rFonts w:ascii="Arial" w:eastAsia="宋体" w:hAnsi="Arial" w:cs="Arial"/>
          <w:sz w:val="20"/>
          <w:szCs w:val="20"/>
        </w:rPr>
        <w:t xml:space="preserve"> the DOJ and DOL claims may involve penalties that could be a significant percentage, or a multiple of, all or a portion of the overcharge. The severity of such fines or penalties could take into account factors such as the amount or duration of our incorr</w:t>
      </w:r>
      <w:r>
        <w:rPr>
          <w:rFonts w:ascii="Arial" w:eastAsia="宋体" w:hAnsi="Arial" w:cs="Arial"/>
          <w:sz w:val="20"/>
          <w:szCs w:val="20"/>
        </w:rPr>
        <w:t>ect invoicing and the government’s or regulators’ assessment of the conduct of our employees, as well as prior conduct such as that which resulted in our January 2017 deferred prosecution agreement and settlement of civil claims regarding our indirect FX b</w:t>
      </w:r>
      <w:r>
        <w:rPr>
          <w:rFonts w:ascii="Arial" w:eastAsia="宋体" w:hAnsi="Arial" w:cs="Arial"/>
          <w:sz w:val="20"/>
          <w:szCs w:val="20"/>
        </w:rPr>
        <w:t xml:space="preserve">usiness. </w:t>
      </w:r>
    </w:p>
    <w:p w14:paraId="5556E15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outcome of any of these proceedings and, in particular, any criminal sanction could materially adversely affect our results of operations and could have significant collateral consequences for our business and reputation. </w:t>
      </w:r>
    </w:p>
    <w:p w14:paraId="5556E159"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Federal Reserve/Mas</w:t>
      </w:r>
      <w:r>
        <w:rPr>
          <w:rFonts w:ascii="Arial" w:eastAsia="宋体" w:hAnsi="Arial" w:cs="Arial"/>
          <w:i/>
          <w:iCs/>
          <w:sz w:val="20"/>
          <w:szCs w:val="20"/>
        </w:rPr>
        <w:t>sachusetts Division of Banks Written Agreement</w:t>
      </w:r>
    </w:p>
    <w:p w14:paraId="5556E15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On June 1, 2015, we entered into a written agreement with the Federal Reserve and the Massachusetts Division of Banks relating to deficiencies identified in our compliance programs with the requirements of the</w:t>
      </w:r>
      <w:r>
        <w:rPr>
          <w:rFonts w:ascii="Arial" w:eastAsia="宋体" w:hAnsi="Arial" w:cs="Arial"/>
          <w:sz w:val="20"/>
          <w:szCs w:val="20"/>
        </w:rPr>
        <w:t xml:space="preserve"> Bank Secrecy Act, Anti-Money Laundering regulations and U.S. economic sanctions regulations promulgated by the Office of Foreign Assets Control. As part of this enforcement action, we have been required to, among other things, implement improvements to ou</w:t>
      </w:r>
      <w:r>
        <w:rPr>
          <w:rFonts w:ascii="Arial" w:eastAsia="宋体" w:hAnsi="Arial" w:cs="Arial"/>
          <w:sz w:val="20"/>
          <w:szCs w:val="20"/>
        </w:rPr>
        <w:t>r compliance programs. If we fail to comply with the terms of the written agreement, we may become subject to fines and other regulatory sanctions, which may have a material adverse effect on us.</w:t>
      </w:r>
    </w:p>
    <w:p w14:paraId="5556E15B"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Shareholder Litigation</w:t>
      </w:r>
    </w:p>
    <w:p w14:paraId="5556E15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 shareholder of ours has filed a der</w:t>
      </w:r>
      <w:r>
        <w:rPr>
          <w:rFonts w:ascii="Arial" w:eastAsia="宋体" w:hAnsi="Arial" w:cs="Arial"/>
          <w:sz w:val="20"/>
          <w:szCs w:val="20"/>
        </w:rPr>
        <w:t>ivative complaint against the Company’s past and present officers and directors to recover alleged losses incurred by the Company relating to the invoicing matter and to the Ohio public retirement plans matter.</w:t>
      </w:r>
    </w:p>
    <w:p w14:paraId="5556E15D"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Income Taxes</w:t>
      </w:r>
    </w:p>
    <w:p w14:paraId="5556E15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determining our provision for</w:t>
      </w:r>
      <w:r>
        <w:rPr>
          <w:rFonts w:ascii="Arial" w:eastAsia="宋体" w:hAnsi="Arial" w:cs="Arial"/>
          <w:sz w:val="20"/>
          <w:szCs w:val="20"/>
        </w:rPr>
        <w:t xml:space="preserve"> income taxes, we make certain judgments and interpretations with respect to tax laws in jurisdictions in which we have business operations. Because of the complex nature of these laws, in the normal course of our business, we are subject to challenges fro</w:t>
      </w:r>
      <w:r>
        <w:rPr>
          <w:rFonts w:ascii="Arial" w:eastAsia="宋体" w:hAnsi="Arial" w:cs="Arial"/>
          <w:sz w:val="20"/>
          <w:szCs w:val="20"/>
        </w:rPr>
        <w:t xml:space="preserve">m U.S. and non-U.S. income tax authorities regarding the amount of income taxes due. These challenges may result in adjustments to the timing or amount of taxable income or deductions </w:t>
      </w:r>
    </w:p>
    <w:p w14:paraId="5556E15F" w14:textId="77777777" w:rsidR="00F925DD" w:rsidRDefault="00F925DD">
      <w:pPr>
        <w:rPr>
          <w:rFonts w:ascii="Times New Roman" w:hAnsi="Times New Roman"/>
          <w:sz w:val="20"/>
          <w:szCs w:val="20"/>
        </w:rPr>
      </w:pPr>
    </w:p>
    <w:p w14:paraId="5556E160"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157</w:t>
      </w:r>
    </w:p>
    <w:p w14:paraId="5556E161" w14:textId="77777777" w:rsidR="00F925DD" w:rsidRDefault="00F925DD">
      <w:pPr>
        <w:spacing w:line="288" w:lineRule="auto"/>
        <w:ind w:firstLine="600"/>
        <w:jc w:val="center"/>
        <w:rPr>
          <w:rFonts w:ascii="Times New Roman" w:hAnsi="Times New Roman"/>
          <w:sz w:val="18"/>
          <w:szCs w:val="18"/>
        </w:rPr>
      </w:pPr>
    </w:p>
    <w:p w14:paraId="5556E162" w14:textId="77777777" w:rsidR="00F925DD" w:rsidRDefault="00E705D7">
      <w:r>
        <w:rPr>
          <w:rFonts w:ascii="Times New Roman" w:hAnsi="Times New Roman"/>
          <w:sz w:val="18"/>
          <w:szCs w:val="18"/>
        </w:rPr>
        <w:pict w14:anchorId="555706D7">
          <v:rect id="_x0000_i1181" style="width:415.3pt;height:1.5pt" o:hralign="center" o:hrstd="t" o:hr="t" fillcolor="#a0a0a0" stroked="f"/>
        </w:pict>
      </w:r>
    </w:p>
    <w:p w14:paraId="5556E16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164"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w:t>
      </w:r>
      <w:r>
        <w:rPr>
          <w:rFonts w:ascii="Arial" w:eastAsia="宋体" w:hAnsi="Arial" w:cs="Arial"/>
          <w:b/>
          <w:bCs/>
          <w:sz w:val="20"/>
          <w:szCs w:val="20"/>
        </w:rPr>
        <w:t>NSOLIDATED FINANCIAL STATEMENTS</w:t>
      </w:r>
    </w:p>
    <w:p w14:paraId="5556E165" w14:textId="77777777" w:rsidR="00F925DD" w:rsidRDefault="00F925DD">
      <w:pPr>
        <w:rPr>
          <w:rFonts w:ascii="Times New Roman" w:hAnsi="Times New Roman"/>
          <w:sz w:val="20"/>
          <w:szCs w:val="20"/>
        </w:rPr>
      </w:pPr>
    </w:p>
    <w:p w14:paraId="5556E166"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or the allocation of taxable income among tax jurisdictions. We recognize a tax benefit when it is more likely than not that our position will result in a tax deduction or credit. Unrecognized tax benefits of approximately </w:t>
      </w:r>
      <w:r>
        <w:rPr>
          <w:rFonts w:ascii="Arial" w:eastAsia="宋体" w:hAnsi="Arial" w:cs="Arial"/>
          <w:sz w:val="20"/>
          <w:szCs w:val="20"/>
        </w:rPr>
        <w:t xml:space="preserve">$149 million as of December 31, 2019 increased from $108 million as of December 31, 2018. </w:t>
      </w:r>
    </w:p>
    <w:p w14:paraId="5556E16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are presently under audit by a number of tax authorities, and the Internal Revenue Service is currently reviewing our U.S. income tax returns for the tax </w:t>
      </w:r>
      <w:r>
        <w:rPr>
          <w:rFonts w:ascii="Arial" w:eastAsia="宋体" w:hAnsi="Arial" w:cs="Arial"/>
          <w:sz w:val="20"/>
          <w:szCs w:val="20"/>
        </w:rPr>
        <w:t>years 2017 and 2018. The earliest tax year open to examination in jurisdictions where we have material operations is 2012. Management believes that we have sufficiently accrued liabilities as of December 31, 2019 for potential tax exposures.</w:t>
      </w:r>
    </w:p>
    <w:p w14:paraId="5556E168"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Note 14.    Va</w:t>
      </w:r>
      <w:r>
        <w:rPr>
          <w:rFonts w:ascii="Arial" w:eastAsia="宋体" w:hAnsi="Arial" w:cs="Arial"/>
          <w:b/>
          <w:bCs/>
          <w:sz w:val="20"/>
          <w:szCs w:val="20"/>
        </w:rPr>
        <w:t>riable Interest Entities</w:t>
      </w:r>
    </w:p>
    <w:p w14:paraId="5556E16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are involved, in the normal course of our business, with various types of special purpose entities, some of which meet the definition of VIEs. When evaluating a VIE for consolidation, we must determine whether or not we have a v</w:t>
      </w:r>
      <w:r>
        <w:rPr>
          <w:rFonts w:ascii="Arial" w:eastAsia="宋体" w:hAnsi="Arial" w:cs="Arial"/>
          <w:sz w:val="20"/>
          <w:szCs w:val="20"/>
        </w:rPr>
        <w:t>ariable interest in the entity. Variable interests are investments or other interests that absorb portions of an entity’s expected losses or receive portions of the entity’s expected returns. If it is determined that we do not have a variable interest in t</w:t>
      </w:r>
      <w:r>
        <w:rPr>
          <w:rFonts w:ascii="Arial" w:eastAsia="宋体" w:hAnsi="Arial" w:cs="Arial"/>
          <w:sz w:val="20"/>
          <w:szCs w:val="20"/>
        </w:rPr>
        <w:t>he VIE, no further analysis is required and we do not consolidate the VIE. If we hold a variable interest in a VIE, we are required by U.S. GAAP to consolidate that VIE when we have a controlling financial interest in the VIE and therefore are deemed to be</w:t>
      </w:r>
      <w:r>
        <w:rPr>
          <w:rFonts w:ascii="Arial" w:eastAsia="宋体" w:hAnsi="Arial" w:cs="Arial"/>
          <w:sz w:val="20"/>
          <w:szCs w:val="20"/>
        </w:rPr>
        <w:t xml:space="preserve"> the primary beneficiary. We are determined to have a controlling financial interest in a VIE when it has both the power to direct the activities of the VIE that most significantly impact the VIE’s economic performance and the obligation to absorb losses o</w:t>
      </w:r>
      <w:r>
        <w:rPr>
          <w:rFonts w:ascii="Arial" w:eastAsia="宋体" w:hAnsi="Arial" w:cs="Arial"/>
          <w:sz w:val="20"/>
          <w:szCs w:val="20"/>
        </w:rPr>
        <w:t>r the right to receive benefits of the VIE that could potentially be significant to that VIE. This determination is evaluated periodically as facts and circumstances change.</w:t>
      </w:r>
    </w:p>
    <w:p w14:paraId="5556E16A"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Asset-Backed Investment Securities</w:t>
      </w:r>
    </w:p>
    <w:p w14:paraId="5556E16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invest in various forms of ABS, which we </w:t>
      </w:r>
      <w:r>
        <w:rPr>
          <w:rFonts w:ascii="Arial" w:eastAsia="宋体" w:hAnsi="Arial" w:cs="Arial"/>
          <w:sz w:val="20"/>
          <w:szCs w:val="20"/>
        </w:rPr>
        <w:t>carry in our investment securities portfolio. These ABS meet the U.S. GAAP definition of asset securitization entities, which are considered to be VIEs. We are not considered to be the primary beneficiary of these VIEs since we do not have control over the</w:t>
      </w:r>
      <w:r>
        <w:rPr>
          <w:rFonts w:ascii="Arial" w:eastAsia="宋体" w:hAnsi="Arial" w:cs="Arial"/>
          <w:sz w:val="20"/>
          <w:szCs w:val="20"/>
        </w:rPr>
        <w:t>ir activities. Additional information about our ABS is provided in Note 3.</w:t>
      </w:r>
    </w:p>
    <w:p w14:paraId="5556E16C"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Tax-Exempt Investment Program</w:t>
      </w:r>
    </w:p>
    <w:p w14:paraId="5556E16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normal course of our business, we structure and sell certificated interests in pools of tax-exempt investment grade assets, principally to our m</w:t>
      </w:r>
      <w:r>
        <w:rPr>
          <w:rFonts w:ascii="Arial" w:eastAsia="宋体" w:hAnsi="Arial" w:cs="Arial"/>
          <w:sz w:val="20"/>
          <w:szCs w:val="20"/>
        </w:rPr>
        <w:t xml:space="preserve">utual fund clients. We structure these pools as partnership trusts, and the assets and liabilities of the trusts are recorded in our consolidated statement of condition as AFS </w:t>
      </w:r>
    </w:p>
    <w:p w14:paraId="5556E16E"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E16F"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investment securities and other short-term borrowings. As of December 31, 201</w:t>
      </w:r>
      <w:r>
        <w:rPr>
          <w:rFonts w:ascii="Arial" w:eastAsia="宋体" w:hAnsi="Arial" w:cs="Arial"/>
          <w:sz w:val="20"/>
          <w:szCs w:val="20"/>
        </w:rPr>
        <w:t>9 and December 31, 2018, we carried AFS investment securities, composed of securities related to state and political subdivisions, with a fair value of $0.94 billion and $1.05 billion, respectively, and other short-term borrowings of $0.82 billion and $0.9</w:t>
      </w:r>
      <w:r>
        <w:rPr>
          <w:rFonts w:ascii="Arial" w:eastAsia="宋体" w:hAnsi="Arial" w:cs="Arial"/>
          <w:sz w:val="20"/>
          <w:szCs w:val="20"/>
        </w:rPr>
        <w:t>3 billion, respectively, in our consolidated statement of condition in connection with these trusts. The interest income and interest expense generated by the investments and certificated interests, respectively, are recorded as components of NII when earn</w:t>
      </w:r>
      <w:r>
        <w:rPr>
          <w:rFonts w:ascii="Arial" w:eastAsia="宋体" w:hAnsi="Arial" w:cs="Arial"/>
          <w:sz w:val="20"/>
          <w:szCs w:val="20"/>
        </w:rPr>
        <w:t>ed or incurred.</w:t>
      </w:r>
    </w:p>
    <w:p w14:paraId="5556E17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transfer assets to the trusts from our investment securities portfolio at adjusted book value, and the trusts finance the acquisition of these assets by selling certificated interests issued by the trust to third-party investors and to u</w:t>
      </w:r>
      <w:r>
        <w:rPr>
          <w:rFonts w:ascii="Arial" w:eastAsia="宋体" w:hAnsi="Arial" w:cs="Arial"/>
          <w:sz w:val="20"/>
          <w:szCs w:val="20"/>
        </w:rPr>
        <w:t>s as residual holder. These transfers do not meet the de-recognition criteria defined by U.S. GAAP, and therefore, the assets continue to be recorded in our consolidated financial statements. The trusts had a weighted-average life of approximately 3.0 year</w:t>
      </w:r>
      <w:r>
        <w:rPr>
          <w:rFonts w:ascii="Arial" w:eastAsia="宋体" w:hAnsi="Arial" w:cs="Arial"/>
          <w:sz w:val="20"/>
          <w:szCs w:val="20"/>
        </w:rPr>
        <w:t>s as of December 31, 2019, compared to approximately 3.6 years as of December 31, 2018.</w:t>
      </w:r>
    </w:p>
    <w:p w14:paraId="5556E17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Under separate legal agreements, we provide liquidity facilities to these trusts and, with respect to certain securities, letters of credit. As of December 31, 2019, ou</w:t>
      </w:r>
      <w:r>
        <w:rPr>
          <w:rFonts w:ascii="Arial" w:eastAsia="宋体" w:hAnsi="Arial" w:cs="Arial"/>
          <w:sz w:val="20"/>
          <w:szCs w:val="20"/>
        </w:rPr>
        <w:t xml:space="preserve">r commitments to the trusts under these liquidity facilities and/or letters of credit totaled $823 million, and neither of the liquidity facilities nor letters of credit were utilized. In the event that our obligations under these liquidity facilities are </w:t>
      </w:r>
      <w:r>
        <w:rPr>
          <w:rFonts w:ascii="Arial" w:eastAsia="宋体" w:hAnsi="Arial" w:cs="Arial"/>
          <w:sz w:val="20"/>
          <w:szCs w:val="20"/>
        </w:rPr>
        <w:t>triggered, no material impact to our consolidated results of operations or financial condition is expected to occur, because the securities are already recorded at fair value in our consolidated statement of condition. In addition, neither creditors or thi</w:t>
      </w:r>
      <w:r>
        <w:rPr>
          <w:rFonts w:ascii="Arial" w:eastAsia="宋体" w:hAnsi="Arial" w:cs="Arial"/>
          <w:sz w:val="20"/>
          <w:szCs w:val="20"/>
        </w:rPr>
        <w:t>rd-party investors in the trusts have any recourse to our general credit other than through the liquidity facilities and letters of credit noted above.</w:t>
      </w:r>
    </w:p>
    <w:p w14:paraId="5556E17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Interests in Investment Funds</w:t>
      </w:r>
    </w:p>
    <w:p w14:paraId="5556E173" w14:textId="77777777" w:rsidR="00F925DD" w:rsidRDefault="00E705D7">
      <w:pPr>
        <w:spacing w:line="288" w:lineRule="auto"/>
        <w:ind w:firstLine="600"/>
        <w:jc w:val="both"/>
        <w:rPr>
          <w:rFonts w:ascii="Times New Roman" w:hAnsi="Times New Roman"/>
          <w:sz w:val="22"/>
          <w:szCs w:val="22"/>
        </w:rPr>
      </w:pPr>
      <w:r>
        <w:rPr>
          <w:rFonts w:ascii="Arial" w:eastAsia="宋体" w:hAnsi="Arial" w:cs="Arial"/>
          <w:sz w:val="20"/>
          <w:szCs w:val="20"/>
        </w:rPr>
        <w:t>In the normal course of business, we manage various types of investment fu</w:t>
      </w:r>
      <w:r>
        <w:rPr>
          <w:rFonts w:ascii="Arial" w:eastAsia="宋体" w:hAnsi="Arial" w:cs="Arial"/>
          <w:sz w:val="20"/>
          <w:szCs w:val="20"/>
        </w:rPr>
        <w:t>nds through State Street Global Advisors in which</w:t>
      </w:r>
      <w:r>
        <w:rPr>
          <w:rFonts w:ascii="Times New Roman" w:eastAsia="宋体" w:hAnsi="Times New Roman"/>
          <w:sz w:val="22"/>
          <w:szCs w:val="22"/>
        </w:rPr>
        <w:t xml:space="preserve"> </w:t>
      </w:r>
      <w:r>
        <w:rPr>
          <w:rFonts w:ascii="Arial" w:eastAsia="宋体" w:hAnsi="Arial" w:cs="Arial"/>
          <w:sz w:val="20"/>
          <w:szCs w:val="20"/>
        </w:rPr>
        <w:t>our clients are investors, including State Street Global Advisors commingled investment vehicles and other similar investment structures. The majority of our AUM are contained within such funds. The service</w:t>
      </w:r>
      <w:r>
        <w:rPr>
          <w:rFonts w:ascii="Arial" w:eastAsia="宋体" w:hAnsi="Arial" w:cs="Arial"/>
          <w:sz w:val="20"/>
          <w:szCs w:val="20"/>
        </w:rPr>
        <w:t xml:space="preserve">s we provide to these funds generate management fee revenue. From time to time, we may invest cash in the funds in order for the funds to establish a performance history for newly-launched strategies, referred to as seed capital, or for other purposes. </w:t>
      </w:r>
    </w:p>
    <w:p w14:paraId="5556E174" w14:textId="77777777" w:rsidR="00F925DD" w:rsidRDefault="00F925DD">
      <w:pPr>
        <w:rPr>
          <w:rFonts w:ascii="Times New Roman" w:hAnsi="Times New Roman"/>
          <w:sz w:val="20"/>
          <w:szCs w:val="20"/>
        </w:rPr>
      </w:pPr>
    </w:p>
    <w:p w14:paraId="5556E175"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w:t>
      </w:r>
      <w:r>
        <w:rPr>
          <w:rFonts w:ascii="Arial" w:eastAsia="宋体" w:hAnsi="Arial" w:cs="Arial"/>
          <w:sz w:val="18"/>
          <w:szCs w:val="18"/>
        </w:rPr>
        <w:t>tate Street Corporation | 158</w:t>
      </w:r>
    </w:p>
    <w:p w14:paraId="5556E176" w14:textId="77777777" w:rsidR="00F925DD" w:rsidRDefault="00F925DD">
      <w:pPr>
        <w:spacing w:line="288" w:lineRule="auto"/>
        <w:ind w:firstLine="600"/>
        <w:jc w:val="center"/>
        <w:rPr>
          <w:rFonts w:ascii="Times New Roman" w:hAnsi="Times New Roman"/>
          <w:sz w:val="18"/>
          <w:szCs w:val="18"/>
        </w:rPr>
      </w:pPr>
    </w:p>
    <w:p w14:paraId="5556E177" w14:textId="77777777" w:rsidR="00F925DD" w:rsidRDefault="00E705D7">
      <w:r>
        <w:rPr>
          <w:rFonts w:ascii="Times New Roman" w:hAnsi="Times New Roman"/>
          <w:sz w:val="18"/>
          <w:szCs w:val="18"/>
        </w:rPr>
        <w:pict w14:anchorId="555706D8">
          <v:rect id="_x0000_i1182" style="width:415.3pt;height:1.5pt" o:hralign="center" o:hrstd="t" o:hr="t" fillcolor="#a0a0a0" stroked="f"/>
        </w:pict>
      </w:r>
    </w:p>
    <w:p w14:paraId="5556E17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17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17A" w14:textId="77777777" w:rsidR="00F925DD" w:rsidRDefault="00F925DD">
      <w:pPr>
        <w:rPr>
          <w:rFonts w:ascii="Times New Roman" w:hAnsi="Times New Roman"/>
          <w:sz w:val="20"/>
          <w:szCs w:val="20"/>
        </w:rPr>
      </w:pPr>
    </w:p>
    <w:p w14:paraId="5556E17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With respect to our interests in funds that meet the definition of a VIE, a primary beneficiary assessment is performed to determine if we have a controlling financial interest. As part of our assessment, we consider all the facts and circumstances regardi</w:t>
      </w:r>
      <w:r>
        <w:rPr>
          <w:rFonts w:ascii="Arial" w:eastAsia="宋体" w:hAnsi="Arial" w:cs="Arial"/>
          <w:sz w:val="20"/>
          <w:szCs w:val="20"/>
        </w:rPr>
        <w:t>ng the terms and characteristics of the variable interest(s), the design and characteristics of the fund and the other involvements of the enterprise with the fund. Upon consolidation of certain funds, we retain the specialized investment company accountin</w:t>
      </w:r>
      <w:r>
        <w:rPr>
          <w:rFonts w:ascii="Arial" w:eastAsia="宋体" w:hAnsi="Arial" w:cs="Arial"/>
          <w:sz w:val="20"/>
          <w:szCs w:val="20"/>
        </w:rPr>
        <w:t xml:space="preserve">g rules followed by the underlying funds. </w:t>
      </w:r>
    </w:p>
    <w:p w14:paraId="5556E17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All of the underlying investments held by such consolidated funds are carried at fair value, with corresponding changes in the investments’ fair values reflected in foreign exchange trading services revenue in our</w:t>
      </w:r>
      <w:r>
        <w:rPr>
          <w:rFonts w:ascii="Arial" w:eastAsia="宋体" w:hAnsi="Arial" w:cs="Arial"/>
          <w:sz w:val="20"/>
          <w:szCs w:val="20"/>
        </w:rPr>
        <w:t xml:space="preserve"> consolidated statement of income. When we no longer control these funds due to a reduced ownership interest or other reasons, the funds are de-consolidated and accounted for under another accounting method if we continue to maintain investments in the fun</w:t>
      </w:r>
      <w:r>
        <w:rPr>
          <w:rFonts w:ascii="Arial" w:eastAsia="宋体" w:hAnsi="Arial" w:cs="Arial"/>
          <w:sz w:val="20"/>
          <w:szCs w:val="20"/>
        </w:rPr>
        <w:t xml:space="preserve">ds. </w:t>
      </w:r>
    </w:p>
    <w:p w14:paraId="5556E17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the aggregate assets and liabilities of our consolidated sponsored investment funds totaled $21 million and $5 million, respectively. As of December 31, 2019, our maximum total exposure associated with the consolidated sponsor</w:t>
      </w:r>
      <w:r>
        <w:rPr>
          <w:rFonts w:ascii="Arial" w:eastAsia="宋体" w:hAnsi="Arial" w:cs="Arial"/>
          <w:sz w:val="20"/>
          <w:szCs w:val="20"/>
        </w:rPr>
        <w:t xml:space="preserve">ed investment funds totaled $15 million and represented the value of our economic ownership interest in the funds. As of December 31, 2018, we did not have any consolidated sponsored investment funds. </w:t>
      </w:r>
    </w:p>
    <w:p w14:paraId="5556E17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conclusion to consolidate a fund may vary from per</w:t>
      </w:r>
      <w:r>
        <w:rPr>
          <w:rFonts w:ascii="Arial" w:eastAsia="宋体" w:hAnsi="Arial" w:cs="Arial"/>
          <w:sz w:val="20"/>
          <w:szCs w:val="20"/>
        </w:rPr>
        <w:t>iod to period, most commonly as a result of fluctuation in our ownership interest as a result of changes in the number of fund shares held by either us or by third parties. Given that the funds follow specialized investment company accounting rules which p</w:t>
      </w:r>
      <w:r>
        <w:rPr>
          <w:rFonts w:ascii="Arial" w:eastAsia="宋体" w:hAnsi="Arial" w:cs="Arial"/>
          <w:sz w:val="20"/>
          <w:szCs w:val="20"/>
        </w:rPr>
        <w:t xml:space="preserve">rescribe fair value, a de-consolidation generally would not result in gains or losses for us. </w:t>
      </w:r>
    </w:p>
    <w:p w14:paraId="5556E17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net assets of any consolidated fund are solely available to settle the liabilities of the fund and to settle any investors’ ownership redemption requests, in</w:t>
      </w:r>
      <w:r>
        <w:rPr>
          <w:rFonts w:ascii="Arial" w:eastAsia="宋体" w:hAnsi="Arial" w:cs="Arial"/>
          <w:sz w:val="20"/>
          <w:szCs w:val="20"/>
        </w:rPr>
        <w:t>cluding any seed capital invested in the fund by us. We are not contractually required to provide financial or any other support to any of our funds. In addition, neither creditors nor equity investors in the funds have any recourse to our general credit.</w:t>
      </w:r>
    </w:p>
    <w:p w14:paraId="5556E18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and December 31, 2018, we managed certain funds, considered VIEs, in which we held a variable interest but for which we were not deemed to be the primary beneficiary. Our potential maximum loss exposure related to these unconsolidat</w:t>
      </w:r>
      <w:r>
        <w:rPr>
          <w:rFonts w:ascii="Arial" w:eastAsia="宋体" w:hAnsi="Arial" w:cs="Arial"/>
          <w:sz w:val="20"/>
          <w:szCs w:val="20"/>
        </w:rPr>
        <w:t>ed funds totaled approximately $41 million and $70 million as of December 31, 2019 and December 31, 2018, respectively, and represented the carrying value of our investments, which are recorded in either AFS investment securities or other assets in our con</w:t>
      </w:r>
      <w:r>
        <w:rPr>
          <w:rFonts w:ascii="Arial" w:eastAsia="宋体" w:hAnsi="Arial" w:cs="Arial"/>
          <w:sz w:val="20"/>
          <w:szCs w:val="20"/>
        </w:rPr>
        <w:t>solidated statement of condition. The amount of loss we may recognize during any period is limited to the carrying amount of our investments in the unconsolidated funds.</w:t>
      </w:r>
    </w:p>
    <w:p w14:paraId="5556E181"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Note 15.    Shareholders' Equity</w:t>
      </w:r>
    </w:p>
    <w:p w14:paraId="5556E182"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 xml:space="preserve">Preferred Stock </w:t>
      </w:r>
    </w:p>
    <w:p w14:paraId="5556E183" w14:textId="77777777" w:rsidR="00F925DD" w:rsidRDefault="00E705D7">
      <w:pPr>
        <w:spacing w:line="288" w:lineRule="auto"/>
        <w:ind w:firstLine="960"/>
        <w:jc w:val="both"/>
        <w:rPr>
          <w:rFonts w:ascii="Times New Roman" w:hAnsi="Times New Roman"/>
          <w:sz w:val="20"/>
          <w:szCs w:val="20"/>
        </w:rPr>
      </w:pPr>
      <w:r>
        <w:rPr>
          <w:rFonts w:ascii="Arial" w:eastAsia="宋体" w:hAnsi="Arial" w:cs="Arial"/>
          <w:sz w:val="20"/>
          <w:szCs w:val="20"/>
        </w:rPr>
        <w:t xml:space="preserve">The following table </w:t>
      </w:r>
      <w:r>
        <w:rPr>
          <w:rFonts w:ascii="Arial" w:eastAsia="宋体" w:hAnsi="Arial" w:cs="Arial"/>
          <w:sz w:val="20"/>
          <w:szCs w:val="20"/>
        </w:rPr>
        <w:t>summarizes selected terms of each of the series of the preferred stock issued and outstanding as of December 31, 2019:</w:t>
      </w:r>
    </w:p>
    <w:tbl>
      <w:tblPr>
        <w:tblW w:w="5000" w:type="pct"/>
        <w:tblCellMar>
          <w:left w:w="0" w:type="dxa"/>
          <w:right w:w="0" w:type="dxa"/>
        </w:tblCellMar>
        <w:tblLook w:val="04A0" w:firstRow="1" w:lastRow="0" w:firstColumn="1" w:lastColumn="0" w:noHBand="0" w:noVBand="1"/>
      </w:tblPr>
      <w:tblGrid>
        <w:gridCol w:w="611"/>
        <w:gridCol w:w="664"/>
        <w:gridCol w:w="129"/>
        <w:gridCol w:w="698"/>
        <w:gridCol w:w="130"/>
        <w:gridCol w:w="699"/>
        <w:gridCol w:w="130"/>
        <w:gridCol w:w="108"/>
        <w:gridCol w:w="544"/>
        <w:gridCol w:w="90"/>
        <w:gridCol w:w="130"/>
        <w:gridCol w:w="108"/>
        <w:gridCol w:w="544"/>
        <w:gridCol w:w="90"/>
        <w:gridCol w:w="130"/>
        <w:gridCol w:w="724"/>
        <w:gridCol w:w="130"/>
        <w:gridCol w:w="838"/>
        <w:gridCol w:w="130"/>
        <w:gridCol w:w="108"/>
        <w:gridCol w:w="494"/>
        <w:gridCol w:w="82"/>
        <w:gridCol w:w="130"/>
        <w:gridCol w:w="865"/>
      </w:tblGrid>
      <w:tr w:rsidR="00F925DD" w14:paraId="5556E185" w14:textId="77777777">
        <w:tc>
          <w:tcPr>
            <w:tcW w:w="0" w:type="auto"/>
            <w:gridSpan w:val="24"/>
            <w:shd w:val="clear" w:color="auto" w:fill="auto"/>
            <w:vAlign w:val="center"/>
          </w:tcPr>
          <w:p w14:paraId="5556E184" w14:textId="77777777" w:rsidR="00F925DD" w:rsidRDefault="00F925DD">
            <w:pPr>
              <w:rPr>
                <w:rFonts w:ascii="Times New Roman" w:hAnsi="Times New Roman"/>
                <w:sz w:val="20"/>
                <w:szCs w:val="20"/>
              </w:rPr>
            </w:pPr>
          </w:p>
        </w:tc>
      </w:tr>
      <w:tr w:rsidR="00F925DD" w14:paraId="5556E19E" w14:textId="77777777">
        <w:tc>
          <w:tcPr>
            <w:tcW w:w="250" w:type="pct"/>
            <w:shd w:val="clear" w:color="auto" w:fill="auto"/>
            <w:vAlign w:val="center"/>
          </w:tcPr>
          <w:p w14:paraId="5556E186" w14:textId="77777777" w:rsidR="00F925DD" w:rsidRDefault="00F925DD">
            <w:pPr>
              <w:rPr>
                <w:rFonts w:ascii="Times New Roman" w:hAnsi="Times New Roman"/>
                <w:sz w:val="20"/>
                <w:szCs w:val="20"/>
              </w:rPr>
            </w:pPr>
          </w:p>
        </w:tc>
        <w:tc>
          <w:tcPr>
            <w:tcW w:w="500" w:type="pct"/>
            <w:shd w:val="clear" w:color="auto" w:fill="auto"/>
            <w:vAlign w:val="center"/>
          </w:tcPr>
          <w:p w14:paraId="5556E187" w14:textId="77777777" w:rsidR="00F925DD" w:rsidRDefault="00F925DD">
            <w:pPr>
              <w:rPr>
                <w:rFonts w:ascii="Times New Roman" w:hAnsi="Times New Roman"/>
                <w:sz w:val="20"/>
                <w:szCs w:val="20"/>
              </w:rPr>
            </w:pPr>
          </w:p>
        </w:tc>
        <w:tc>
          <w:tcPr>
            <w:tcW w:w="50" w:type="pct"/>
            <w:shd w:val="clear" w:color="auto" w:fill="auto"/>
            <w:vAlign w:val="center"/>
          </w:tcPr>
          <w:p w14:paraId="5556E188" w14:textId="77777777" w:rsidR="00F925DD" w:rsidRDefault="00F925DD">
            <w:pPr>
              <w:rPr>
                <w:rFonts w:ascii="Times New Roman" w:hAnsi="Times New Roman"/>
                <w:sz w:val="20"/>
                <w:szCs w:val="20"/>
              </w:rPr>
            </w:pPr>
          </w:p>
        </w:tc>
        <w:tc>
          <w:tcPr>
            <w:tcW w:w="400" w:type="pct"/>
            <w:shd w:val="clear" w:color="auto" w:fill="auto"/>
            <w:vAlign w:val="center"/>
          </w:tcPr>
          <w:p w14:paraId="5556E189" w14:textId="77777777" w:rsidR="00F925DD" w:rsidRDefault="00F925DD">
            <w:pPr>
              <w:rPr>
                <w:rFonts w:ascii="Times New Roman" w:hAnsi="Times New Roman"/>
                <w:sz w:val="20"/>
                <w:szCs w:val="20"/>
              </w:rPr>
            </w:pPr>
          </w:p>
        </w:tc>
        <w:tc>
          <w:tcPr>
            <w:tcW w:w="50" w:type="pct"/>
            <w:shd w:val="clear" w:color="auto" w:fill="auto"/>
            <w:vAlign w:val="center"/>
          </w:tcPr>
          <w:p w14:paraId="5556E18A" w14:textId="77777777" w:rsidR="00F925DD" w:rsidRDefault="00F925DD">
            <w:pPr>
              <w:rPr>
                <w:rFonts w:ascii="Times New Roman" w:hAnsi="Times New Roman"/>
                <w:sz w:val="20"/>
                <w:szCs w:val="20"/>
              </w:rPr>
            </w:pPr>
          </w:p>
        </w:tc>
        <w:tc>
          <w:tcPr>
            <w:tcW w:w="400" w:type="pct"/>
            <w:shd w:val="clear" w:color="auto" w:fill="auto"/>
            <w:vAlign w:val="center"/>
          </w:tcPr>
          <w:p w14:paraId="5556E18B" w14:textId="77777777" w:rsidR="00F925DD" w:rsidRDefault="00F925DD">
            <w:pPr>
              <w:rPr>
                <w:rFonts w:ascii="Times New Roman" w:hAnsi="Times New Roman"/>
                <w:sz w:val="20"/>
                <w:szCs w:val="20"/>
              </w:rPr>
            </w:pPr>
          </w:p>
        </w:tc>
        <w:tc>
          <w:tcPr>
            <w:tcW w:w="50" w:type="pct"/>
            <w:shd w:val="clear" w:color="auto" w:fill="auto"/>
            <w:vAlign w:val="center"/>
          </w:tcPr>
          <w:p w14:paraId="5556E18C" w14:textId="77777777" w:rsidR="00F925DD" w:rsidRDefault="00F925DD">
            <w:pPr>
              <w:rPr>
                <w:rFonts w:ascii="Times New Roman" w:hAnsi="Times New Roman"/>
                <w:sz w:val="20"/>
                <w:szCs w:val="20"/>
              </w:rPr>
            </w:pPr>
          </w:p>
        </w:tc>
        <w:tc>
          <w:tcPr>
            <w:tcW w:w="50" w:type="pct"/>
            <w:shd w:val="clear" w:color="auto" w:fill="auto"/>
            <w:vAlign w:val="center"/>
          </w:tcPr>
          <w:p w14:paraId="5556E18D" w14:textId="77777777" w:rsidR="00F925DD" w:rsidRDefault="00F925DD">
            <w:pPr>
              <w:rPr>
                <w:rFonts w:ascii="Times New Roman" w:hAnsi="Times New Roman"/>
                <w:sz w:val="20"/>
                <w:szCs w:val="20"/>
              </w:rPr>
            </w:pPr>
          </w:p>
        </w:tc>
        <w:tc>
          <w:tcPr>
            <w:tcW w:w="300" w:type="pct"/>
            <w:shd w:val="clear" w:color="auto" w:fill="auto"/>
            <w:vAlign w:val="center"/>
          </w:tcPr>
          <w:p w14:paraId="5556E18E" w14:textId="77777777" w:rsidR="00F925DD" w:rsidRDefault="00F925DD">
            <w:pPr>
              <w:rPr>
                <w:rFonts w:ascii="Times New Roman" w:hAnsi="Times New Roman"/>
                <w:sz w:val="20"/>
                <w:szCs w:val="20"/>
              </w:rPr>
            </w:pPr>
          </w:p>
        </w:tc>
        <w:tc>
          <w:tcPr>
            <w:tcW w:w="50" w:type="pct"/>
            <w:shd w:val="clear" w:color="auto" w:fill="auto"/>
            <w:vAlign w:val="center"/>
          </w:tcPr>
          <w:p w14:paraId="5556E18F" w14:textId="77777777" w:rsidR="00F925DD" w:rsidRDefault="00F925DD">
            <w:pPr>
              <w:rPr>
                <w:rFonts w:ascii="Times New Roman" w:hAnsi="Times New Roman"/>
                <w:sz w:val="20"/>
                <w:szCs w:val="20"/>
              </w:rPr>
            </w:pPr>
          </w:p>
        </w:tc>
        <w:tc>
          <w:tcPr>
            <w:tcW w:w="50" w:type="pct"/>
            <w:shd w:val="clear" w:color="auto" w:fill="auto"/>
            <w:vAlign w:val="center"/>
          </w:tcPr>
          <w:p w14:paraId="5556E190" w14:textId="77777777" w:rsidR="00F925DD" w:rsidRDefault="00F925DD">
            <w:pPr>
              <w:rPr>
                <w:rFonts w:ascii="Times New Roman" w:hAnsi="Times New Roman"/>
                <w:sz w:val="20"/>
                <w:szCs w:val="20"/>
              </w:rPr>
            </w:pPr>
          </w:p>
        </w:tc>
        <w:tc>
          <w:tcPr>
            <w:tcW w:w="50" w:type="pct"/>
            <w:shd w:val="clear" w:color="auto" w:fill="auto"/>
            <w:vAlign w:val="center"/>
          </w:tcPr>
          <w:p w14:paraId="5556E191" w14:textId="77777777" w:rsidR="00F925DD" w:rsidRDefault="00F925DD">
            <w:pPr>
              <w:rPr>
                <w:rFonts w:ascii="Times New Roman" w:hAnsi="Times New Roman"/>
                <w:sz w:val="20"/>
                <w:szCs w:val="20"/>
              </w:rPr>
            </w:pPr>
          </w:p>
        </w:tc>
        <w:tc>
          <w:tcPr>
            <w:tcW w:w="300" w:type="pct"/>
            <w:shd w:val="clear" w:color="auto" w:fill="auto"/>
            <w:vAlign w:val="center"/>
          </w:tcPr>
          <w:p w14:paraId="5556E192" w14:textId="77777777" w:rsidR="00F925DD" w:rsidRDefault="00F925DD">
            <w:pPr>
              <w:rPr>
                <w:rFonts w:ascii="Times New Roman" w:hAnsi="Times New Roman"/>
                <w:sz w:val="20"/>
                <w:szCs w:val="20"/>
              </w:rPr>
            </w:pPr>
          </w:p>
        </w:tc>
        <w:tc>
          <w:tcPr>
            <w:tcW w:w="50" w:type="pct"/>
            <w:shd w:val="clear" w:color="auto" w:fill="auto"/>
            <w:vAlign w:val="center"/>
          </w:tcPr>
          <w:p w14:paraId="5556E193" w14:textId="77777777" w:rsidR="00F925DD" w:rsidRDefault="00F925DD">
            <w:pPr>
              <w:rPr>
                <w:rFonts w:ascii="Times New Roman" w:hAnsi="Times New Roman"/>
                <w:sz w:val="20"/>
                <w:szCs w:val="20"/>
              </w:rPr>
            </w:pPr>
          </w:p>
        </w:tc>
        <w:tc>
          <w:tcPr>
            <w:tcW w:w="50" w:type="pct"/>
            <w:shd w:val="clear" w:color="auto" w:fill="auto"/>
            <w:vAlign w:val="center"/>
          </w:tcPr>
          <w:p w14:paraId="5556E194" w14:textId="77777777" w:rsidR="00F925DD" w:rsidRDefault="00F925DD">
            <w:pPr>
              <w:rPr>
                <w:rFonts w:ascii="Times New Roman" w:hAnsi="Times New Roman"/>
                <w:sz w:val="20"/>
                <w:szCs w:val="20"/>
              </w:rPr>
            </w:pPr>
          </w:p>
        </w:tc>
        <w:tc>
          <w:tcPr>
            <w:tcW w:w="850" w:type="pct"/>
            <w:shd w:val="clear" w:color="auto" w:fill="auto"/>
            <w:vAlign w:val="center"/>
          </w:tcPr>
          <w:p w14:paraId="5556E195" w14:textId="77777777" w:rsidR="00F925DD" w:rsidRDefault="00F925DD">
            <w:pPr>
              <w:rPr>
                <w:rFonts w:ascii="Times New Roman" w:hAnsi="Times New Roman"/>
                <w:sz w:val="20"/>
                <w:szCs w:val="20"/>
              </w:rPr>
            </w:pPr>
          </w:p>
        </w:tc>
        <w:tc>
          <w:tcPr>
            <w:tcW w:w="50" w:type="pct"/>
            <w:shd w:val="clear" w:color="auto" w:fill="auto"/>
            <w:vAlign w:val="center"/>
          </w:tcPr>
          <w:p w14:paraId="5556E196" w14:textId="77777777" w:rsidR="00F925DD" w:rsidRDefault="00F925DD">
            <w:pPr>
              <w:rPr>
                <w:rFonts w:ascii="Times New Roman" w:hAnsi="Times New Roman"/>
                <w:sz w:val="20"/>
                <w:szCs w:val="20"/>
              </w:rPr>
            </w:pPr>
          </w:p>
        </w:tc>
        <w:tc>
          <w:tcPr>
            <w:tcW w:w="400" w:type="pct"/>
            <w:shd w:val="clear" w:color="auto" w:fill="auto"/>
            <w:vAlign w:val="center"/>
          </w:tcPr>
          <w:p w14:paraId="5556E197" w14:textId="77777777" w:rsidR="00F925DD" w:rsidRDefault="00F925DD">
            <w:pPr>
              <w:rPr>
                <w:rFonts w:ascii="Times New Roman" w:hAnsi="Times New Roman"/>
                <w:sz w:val="20"/>
                <w:szCs w:val="20"/>
              </w:rPr>
            </w:pPr>
          </w:p>
        </w:tc>
        <w:tc>
          <w:tcPr>
            <w:tcW w:w="50" w:type="pct"/>
            <w:shd w:val="clear" w:color="auto" w:fill="auto"/>
            <w:vAlign w:val="center"/>
          </w:tcPr>
          <w:p w14:paraId="5556E198" w14:textId="77777777" w:rsidR="00F925DD" w:rsidRDefault="00F925DD">
            <w:pPr>
              <w:rPr>
                <w:rFonts w:ascii="Times New Roman" w:hAnsi="Times New Roman"/>
                <w:sz w:val="20"/>
                <w:szCs w:val="20"/>
              </w:rPr>
            </w:pPr>
          </w:p>
        </w:tc>
        <w:tc>
          <w:tcPr>
            <w:tcW w:w="50" w:type="pct"/>
            <w:shd w:val="clear" w:color="auto" w:fill="auto"/>
            <w:vAlign w:val="center"/>
          </w:tcPr>
          <w:p w14:paraId="5556E199" w14:textId="77777777" w:rsidR="00F925DD" w:rsidRDefault="00F925DD">
            <w:pPr>
              <w:rPr>
                <w:rFonts w:ascii="Times New Roman" w:hAnsi="Times New Roman"/>
                <w:sz w:val="20"/>
                <w:szCs w:val="20"/>
              </w:rPr>
            </w:pPr>
          </w:p>
        </w:tc>
        <w:tc>
          <w:tcPr>
            <w:tcW w:w="300" w:type="pct"/>
            <w:shd w:val="clear" w:color="auto" w:fill="auto"/>
            <w:vAlign w:val="center"/>
          </w:tcPr>
          <w:p w14:paraId="5556E19A" w14:textId="77777777" w:rsidR="00F925DD" w:rsidRDefault="00F925DD">
            <w:pPr>
              <w:rPr>
                <w:rFonts w:ascii="Times New Roman" w:hAnsi="Times New Roman"/>
                <w:sz w:val="20"/>
                <w:szCs w:val="20"/>
              </w:rPr>
            </w:pPr>
          </w:p>
        </w:tc>
        <w:tc>
          <w:tcPr>
            <w:tcW w:w="50" w:type="pct"/>
            <w:shd w:val="clear" w:color="auto" w:fill="auto"/>
            <w:vAlign w:val="center"/>
          </w:tcPr>
          <w:p w14:paraId="5556E19B" w14:textId="77777777" w:rsidR="00F925DD" w:rsidRDefault="00F925DD">
            <w:pPr>
              <w:rPr>
                <w:rFonts w:ascii="Times New Roman" w:hAnsi="Times New Roman"/>
                <w:sz w:val="20"/>
                <w:szCs w:val="20"/>
              </w:rPr>
            </w:pPr>
          </w:p>
        </w:tc>
        <w:tc>
          <w:tcPr>
            <w:tcW w:w="50" w:type="pct"/>
            <w:shd w:val="clear" w:color="auto" w:fill="auto"/>
            <w:vAlign w:val="center"/>
          </w:tcPr>
          <w:p w14:paraId="5556E19C" w14:textId="77777777" w:rsidR="00F925DD" w:rsidRDefault="00F925DD">
            <w:pPr>
              <w:rPr>
                <w:rFonts w:ascii="Times New Roman" w:hAnsi="Times New Roman"/>
                <w:sz w:val="20"/>
                <w:szCs w:val="20"/>
              </w:rPr>
            </w:pPr>
          </w:p>
        </w:tc>
        <w:tc>
          <w:tcPr>
            <w:tcW w:w="600" w:type="pct"/>
            <w:shd w:val="clear" w:color="auto" w:fill="auto"/>
            <w:vAlign w:val="center"/>
          </w:tcPr>
          <w:p w14:paraId="5556E19D" w14:textId="77777777" w:rsidR="00F925DD" w:rsidRDefault="00F925DD">
            <w:pPr>
              <w:rPr>
                <w:rFonts w:ascii="Times New Roman" w:hAnsi="Times New Roman"/>
                <w:sz w:val="20"/>
                <w:szCs w:val="20"/>
              </w:rPr>
            </w:pPr>
          </w:p>
        </w:tc>
      </w:tr>
      <w:tr w:rsidR="00F925DD" w14:paraId="5556E1B1" w14:textId="77777777">
        <w:tc>
          <w:tcPr>
            <w:tcW w:w="0" w:type="auto"/>
            <w:shd w:val="clear" w:color="auto" w:fill="auto"/>
            <w:tcMar>
              <w:top w:w="40" w:type="dxa"/>
              <w:left w:w="40" w:type="dxa"/>
              <w:bottom w:w="40" w:type="dxa"/>
              <w:right w:w="40" w:type="dxa"/>
            </w:tcMar>
            <w:vAlign w:val="bottom"/>
          </w:tcPr>
          <w:p w14:paraId="5556E19F"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Preferred Stock</w:t>
            </w:r>
            <w:r>
              <w:rPr>
                <w:rFonts w:ascii="Arial" w:eastAsia="宋体" w:hAnsi="Arial" w:cs="Arial"/>
                <w:b/>
                <w:bCs/>
                <w:sz w:val="8"/>
                <w:szCs w:val="8"/>
              </w:rPr>
              <w:t>(2)</w:t>
            </w:r>
            <w:r>
              <w:rPr>
                <w:rFonts w:ascii="Arial" w:eastAsia="宋体" w:hAnsi="Arial" w:cs="Arial"/>
                <w:b/>
                <w:bCs/>
                <w:sz w:val="12"/>
                <w:szCs w:val="12"/>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E1A0"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Issuance Date</w:t>
            </w:r>
          </w:p>
        </w:tc>
        <w:tc>
          <w:tcPr>
            <w:tcW w:w="0" w:type="auto"/>
            <w:shd w:val="clear" w:color="auto" w:fill="auto"/>
            <w:tcMar>
              <w:top w:w="40" w:type="dxa"/>
              <w:left w:w="40" w:type="dxa"/>
              <w:bottom w:w="40" w:type="dxa"/>
              <w:right w:w="40" w:type="dxa"/>
            </w:tcMar>
            <w:vAlign w:val="bottom"/>
          </w:tcPr>
          <w:p w14:paraId="5556E1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E1A2"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Depositary Shares Issued</w:t>
            </w:r>
          </w:p>
        </w:tc>
        <w:tc>
          <w:tcPr>
            <w:tcW w:w="0" w:type="auto"/>
            <w:shd w:val="clear" w:color="auto" w:fill="auto"/>
            <w:tcMar>
              <w:top w:w="40" w:type="dxa"/>
              <w:left w:w="40" w:type="dxa"/>
              <w:bottom w:w="40" w:type="dxa"/>
              <w:right w:w="40" w:type="dxa"/>
            </w:tcMar>
            <w:vAlign w:val="bottom"/>
          </w:tcPr>
          <w:p w14:paraId="5556E1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E1A4"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Ownership Interest Per Depositary Share</w:t>
            </w:r>
          </w:p>
        </w:tc>
        <w:tc>
          <w:tcPr>
            <w:tcW w:w="0" w:type="auto"/>
            <w:shd w:val="clear" w:color="auto" w:fill="auto"/>
            <w:tcMar>
              <w:top w:w="40" w:type="dxa"/>
              <w:left w:w="40" w:type="dxa"/>
              <w:bottom w:w="40" w:type="dxa"/>
              <w:right w:w="40" w:type="dxa"/>
            </w:tcMar>
            <w:vAlign w:val="bottom"/>
          </w:tcPr>
          <w:p w14:paraId="5556E1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1A6"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Liquidation Preference Per Share</w:t>
            </w:r>
          </w:p>
        </w:tc>
        <w:tc>
          <w:tcPr>
            <w:tcW w:w="0" w:type="auto"/>
            <w:shd w:val="clear" w:color="auto" w:fill="auto"/>
            <w:tcMar>
              <w:top w:w="40" w:type="dxa"/>
              <w:left w:w="40" w:type="dxa"/>
              <w:bottom w:w="40" w:type="dxa"/>
              <w:right w:w="40" w:type="dxa"/>
            </w:tcMar>
            <w:vAlign w:val="bottom"/>
          </w:tcPr>
          <w:p w14:paraId="5556E1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1A8"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Liquidation Preference Per Depositary Share</w:t>
            </w:r>
          </w:p>
        </w:tc>
        <w:tc>
          <w:tcPr>
            <w:tcW w:w="0" w:type="auto"/>
            <w:shd w:val="clear" w:color="auto" w:fill="auto"/>
            <w:tcMar>
              <w:top w:w="40" w:type="dxa"/>
              <w:left w:w="40" w:type="dxa"/>
              <w:bottom w:w="40" w:type="dxa"/>
              <w:right w:w="40" w:type="dxa"/>
            </w:tcMar>
            <w:vAlign w:val="bottom"/>
          </w:tcPr>
          <w:p w14:paraId="5556E1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E1AA"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Per Annum Dividend Rate</w:t>
            </w:r>
          </w:p>
        </w:tc>
        <w:tc>
          <w:tcPr>
            <w:tcW w:w="0" w:type="auto"/>
            <w:shd w:val="clear" w:color="auto" w:fill="auto"/>
            <w:tcMar>
              <w:top w:w="40" w:type="dxa"/>
              <w:left w:w="40" w:type="dxa"/>
              <w:bottom w:w="40" w:type="dxa"/>
              <w:right w:w="40" w:type="dxa"/>
            </w:tcMar>
            <w:vAlign w:val="bottom"/>
          </w:tcPr>
          <w:p w14:paraId="5556E1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E1AC"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Dividend Payment Frequency</w:t>
            </w:r>
          </w:p>
        </w:tc>
        <w:tc>
          <w:tcPr>
            <w:tcW w:w="0" w:type="auto"/>
            <w:shd w:val="clear" w:color="auto" w:fill="auto"/>
            <w:tcMar>
              <w:top w:w="40" w:type="dxa"/>
              <w:left w:w="40" w:type="dxa"/>
              <w:bottom w:w="40" w:type="dxa"/>
              <w:right w:w="40" w:type="dxa"/>
            </w:tcMar>
            <w:vAlign w:val="bottom"/>
          </w:tcPr>
          <w:p w14:paraId="5556E1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1AE"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 xml:space="preserve">Carrying Value as of December 31, 2019 </w:t>
            </w:r>
            <w:r>
              <w:rPr>
                <w:rFonts w:ascii="Arial" w:eastAsia="宋体" w:hAnsi="Arial" w:cs="Arial"/>
                <w:b/>
                <w:bCs/>
                <w:sz w:val="12"/>
                <w:szCs w:val="12"/>
              </w:rPr>
              <w:br/>
              <w:t>(In millions)</w:t>
            </w:r>
          </w:p>
        </w:tc>
        <w:tc>
          <w:tcPr>
            <w:tcW w:w="0" w:type="auto"/>
            <w:shd w:val="clear" w:color="auto" w:fill="auto"/>
            <w:tcMar>
              <w:top w:w="40" w:type="dxa"/>
              <w:left w:w="40" w:type="dxa"/>
              <w:bottom w:w="40" w:type="dxa"/>
              <w:right w:w="40" w:type="dxa"/>
            </w:tcMar>
            <w:vAlign w:val="bottom"/>
          </w:tcPr>
          <w:p w14:paraId="5556E1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E1B0"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Redemption Date</w:t>
            </w:r>
            <w:r>
              <w:rPr>
                <w:rFonts w:ascii="Arial" w:eastAsia="宋体" w:hAnsi="Arial" w:cs="Arial"/>
                <w:b/>
                <w:bCs/>
                <w:sz w:val="8"/>
                <w:szCs w:val="8"/>
              </w:rPr>
              <w:t>(1)</w:t>
            </w:r>
          </w:p>
        </w:tc>
      </w:tr>
      <w:tr w:rsidR="00F925DD" w14:paraId="5556E1CA" w14:textId="77777777">
        <w:tc>
          <w:tcPr>
            <w:tcW w:w="0" w:type="auto"/>
            <w:shd w:val="clear" w:color="auto" w:fill="CCEEFF"/>
            <w:tcMar>
              <w:top w:w="40" w:type="dxa"/>
              <w:left w:w="40" w:type="dxa"/>
              <w:bottom w:w="40" w:type="dxa"/>
              <w:right w:w="40" w:type="dxa"/>
            </w:tcMar>
            <w:vAlign w:val="center"/>
          </w:tcPr>
          <w:p w14:paraId="5556E1B2" w14:textId="77777777" w:rsidR="00F925DD" w:rsidRDefault="00E705D7">
            <w:pPr>
              <w:textAlignment w:val="center"/>
              <w:rPr>
                <w:rFonts w:ascii="Times New Roman" w:hAnsi="Times New Roman"/>
                <w:sz w:val="12"/>
                <w:szCs w:val="12"/>
              </w:rPr>
            </w:pPr>
            <w:r>
              <w:rPr>
                <w:rFonts w:ascii="Arial" w:eastAsia="宋体" w:hAnsi="Arial" w:cs="Arial"/>
                <w:sz w:val="12"/>
                <w:szCs w:val="12"/>
              </w:rPr>
              <w:t>Series C</w:t>
            </w:r>
          </w:p>
        </w:tc>
        <w:tc>
          <w:tcPr>
            <w:tcW w:w="0" w:type="auto"/>
            <w:shd w:val="clear" w:color="auto" w:fill="CCEEFF"/>
            <w:tcMar>
              <w:top w:w="40" w:type="dxa"/>
              <w:left w:w="40" w:type="dxa"/>
              <w:bottom w:w="40" w:type="dxa"/>
              <w:right w:w="40" w:type="dxa"/>
            </w:tcMar>
            <w:vAlign w:val="center"/>
          </w:tcPr>
          <w:p w14:paraId="5556E1B3" w14:textId="77777777" w:rsidR="00F925DD" w:rsidRDefault="00E705D7">
            <w:pPr>
              <w:textAlignment w:val="center"/>
              <w:rPr>
                <w:rFonts w:ascii="Times New Roman" w:hAnsi="Times New Roman"/>
                <w:sz w:val="12"/>
                <w:szCs w:val="12"/>
              </w:rPr>
            </w:pPr>
            <w:r>
              <w:rPr>
                <w:rFonts w:ascii="Arial" w:eastAsia="宋体" w:hAnsi="Arial" w:cs="Arial"/>
                <w:sz w:val="12"/>
                <w:szCs w:val="12"/>
              </w:rPr>
              <w:t>August 2012</w:t>
            </w:r>
          </w:p>
        </w:tc>
        <w:tc>
          <w:tcPr>
            <w:tcW w:w="0" w:type="auto"/>
            <w:shd w:val="clear" w:color="auto" w:fill="CCEEFF"/>
            <w:tcMar>
              <w:top w:w="40" w:type="dxa"/>
              <w:left w:w="40" w:type="dxa"/>
              <w:bottom w:w="40" w:type="dxa"/>
              <w:right w:w="40" w:type="dxa"/>
            </w:tcMar>
            <w:vAlign w:val="bottom"/>
          </w:tcPr>
          <w:p w14:paraId="5556E1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1B5" w14:textId="77777777" w:rsidR="00F925DD" w:rsidRDefault="00E705D7">
            <w:pPr>
              <w:textAlignment w:val="center"/>
              <w:rPr>
                <w:rFonts w:ascii="Times New Roman" w:hAnsi="Times New Roman"/>
                <w:sz w:val="12"/>
                <w:szCs w:val="12"/>
              </w:rPr>
            </w:pPr>
            <w:r>
              <w:rPr>
                <w:rFonts w:ascii="Arial" w:eastAsia="宋体" w:hAnsi="Arial" w:cs="Arial"/>
                <w:sz w:val="12"/>
                <w:szCs w:val="12"/>
              </w:rPr>
              <w:t>20,000,000</w:t>
            </w:r>
          </w:p>
        </w:tc>
        <w:tc>
          <w:tcPr>
            <w:tcW w:w="0" w:type="auto"/>
            <w:shd w:val="clear" w:color="auto" w:fill="CCEEFF"/>
            <w:tcMar>
              <w:top w:w="40" w:type="dxa"/>
              <w:left w:w="40" w:type="dxa"/>
              <w:bottom w:w="40" w:type="dxa"/>
              <w:right w:w="40" w:type="dxa"/>
            </w:tcMar>
            <w:vAlign w:val="bottom"/>
          </w:tcPr>
          <w:p w14:paraId="5556E1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1B7" w14:textId="77777777" w:rsidR="00F925DD" w:rsidRDefault="00E705D7">
            <w:pPr>
              <w:textAlignment w:val="center"/>
              <w:rPr>
                <w:rFonts w:ascii="Times New Roman" w:hAnsi="Times New Roman"/>
                <w:sz w:val="12"/>
                <w:szCs w:val="12"/>
              </w:rPr>
            </w:pPr>
            <w:r>
              <w:rPr>
                <w:rFonts w:ascii="Arial" w:eastAsia="宋体" w:hAnsi="Arial" w:cs="Arial"/>
                <w:sz w:val="12"/>
                <w:szCs w:val="12"/>
              </w:rPr>
              <w:t>1/4,000th</w:t>
            </w:r>
          </w:p>
        </w:tc>
        <w:tc>
          <w:tcPr>
            <w:tcW w:w="0" w:type="auto"/>
            <w:shd w:val="clear" w:color="auto" w:fill="CCEEFF"/>
            <w:tcMar>
              <w:top w:w="40" w:type="dxa"/>
              <w:left w:w="40" w:type="dxa"/>
              <w:bottom w:w="40" w:type="dxa"/>
              <w:right w:w="40" w:type="dxa"/>
            </w:tcMar>
            <w:vAlign w:val="bottom"/>
          </w:tcPr>
          <w:p w14:paraId="5556E1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E1B9"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E1BA"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CCEEFF"/>
            <w:vAlign w:val="bottom"/>
          </w:tcPr>
          <w:p w14:paraId="5556E1B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1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E1BD"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E1B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25</w:t>
            </w:r>
          </w:p>
        </w:tc>
        <w:tc>
          <w:tcPr>
            <w:tcW w:w="0" w:type="auto"/>
            <w:shd w:val="clear" w:color="auto" w:fill="CCEEFF"/>
            <w:vAlign w:val="bottom"/>
          </w:tcPr>
          <w:p w14:paraId="5556E1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1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1C1" w14:textId="77777777" w:rsidR="00F925DD" w:rsidRDefault="00E705D7">
            <w:pPr>
              <w:textAlignment w:val="center"/>
              <w:rPr>
                <w:rFonts w:ascii="Times New Roman" w:hAnsi="Times New Roman"/>
                <w:sz w:val="12"/>
                <w:szCs w:val="12"/>
              </w:rPr>
            </w:pPr>
            <w:r>
              <w:rPr>
                <w:rFonts w:ascii="Arial" w:eastAsia="宋体" w:hAnsi="Arial" w:cs="Arial"/>
                <w:sz w:val="12"/>
                <w:szCs w:val="12"/>
              </w:rPr>
              <w:t>5.25%</w:t>
            </w:r>
          </w:p>
        </w:tc>
        <w:tc>
          <w:tcPr>
            <w:tcW w:w="0" w:type="auto"/>
            <w:shd w:val="clear" w:color="auto" w:fill="CCEEFF"/>
            <w:tcMar>
              <w:top w:w="40" w:type="dxa"/>
              <w:left w:w="40" w:type="dxa"/>
              <w:bottom w:w="40" w:type="dxa"/>
              <w:right w:w="40" w:type="dxa"/>
            </w:tcMar>
            <w:vAlign w:val="bottom"/>
          </w:tcPr>
          <w:p w14:paraId="5556E1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1C3" w14:textId="77777777" w:rsidR="00F925DD" w:rsidRDefault="00E705D7">
            <w:pPr>
              <w:textAlignment w:val="center"/>
              <w:rPr>
                <w:rFonts w:ascii="Times New Roman" w:hAnsi="Times New Roman"/>
                <w:sz w:val="12"/>
                <w:szCs w:val="12"/>
              </w:rPr>
            </w:pPr>
            <w:r>
              <w:rPr>
                <w:rFonts w:ascii="Arial" w:eastAsia="宋体" w:hAnsi="Arial" w:cs="Arial"/>
                <w:sz w:val="12"/>
                <w:szCs w:val="12"/>
              </w:rPr>
              <w:t>Quarterly</w:t>
            </w:r>
          </w:p>
        </w:tc>
        <w:tc>
          <w:tcPr>
            <w:tcW w:w="0" w:type="auto"/>
            <w:shd w:val="clear" w:color="auto" w:fill="CCEEFF"/>
            <w:tcMar>
              <w:top w:w="40" w:type="dxa"/>
              <w:left w:w="40" w:type="dxa"/>
              <w:bottom w:w="40" w:type="dxa"/>
              <w:right w:w="40" w:type="dxa"/>
            </w:tcMar>
            <w:vAlign w:val="bottom"/>
          </w:tcPr>
          <w:p w14:paraId="5556E1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5556E1C5" w14:textId="77777777" w:rsidR="00F925DD" w:rsidRDefault="00E705D7">
            <w:pPr>
              <w:textAlignment w:val="center"/>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center"/>
          </w:tcPr>
          <w:p w14:paraId="5556E1C6"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491</w:t>
            </w:r>
          </w:p>
        </w:tc>
        <w:tc>
          <w:tcPr>
            <w:tcW w:w="0" w:type="auto"/>
            <w:shd w:val="clear" w:color="auto" w:fill="CCEEFF"/>
            <w:vAlign w:val="bottom"/>
          </w:tcPr>
          <w:p w14:paraId="5556E1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1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1C9" w14:textId="77777777" w:rsidR="00F925DD" w:rsidRDefault="00E705D7">
            <w:pPr>
              <w:textAlignment w:val="center"/>
              <w:rPr>
                <w:rFonts w:ascii="Times New Roman" w:hAnsi="Times New Roman"/>
                <w:sz w:val="12"/>
                <w:szCs w:val="12"/>
              </w:rPr>
            </w:pPr>
            <w:r>
              <w:rPr>
                <w:rFonts w:ascii="Arial" w:eastAsia="宋体" w:hAnsi="Arial" w:cs="Arial"/>
                <w:sz w:val="12"/>
                <w:szCs w:val="12"/>
              </w:rPr>
              <w:t>September 15, 2017</w:t>
            </w:r>
          </w:p>
        </w:tc>
      </w:tr>
      <w:tr w:rsidR="00F925DD" w14:paraId="5556E1E0" w14:textId="77777777">
        <w:tc>
          <w:tcPr>
            <w:tcW w:w="0" w:type="auto"/>
            <w:shd w:val="clear" w:color="auto" w:fill="auto"/>
            <w:tcMar>
              <w:top w:w="40" w:type="dxa"/>
              <w:left w:w="40" w:type="dxa"/>
              <w:bottom w:w="40" w:type="dxa"/>
              <w:right w:w="40" w:type="dxa"/>
            </w:tcMar>
            <w:vAlign w:val="center"/>
          </w:tcPr>
          <w:p w14:paraId="5556E1CB" w14:textId="77777777" w:rsidR="00F925DD" w:rsidRDefault="00E705D7">
            <w:pPr>
              <w:textAlignment w:val="center"/>
              <w:rPr>
                <w:rFonts w:ascii="Times New Roman" w:hAnsi="Times New Roman"/>
                <w:sz w:val="12"/>
                <w:szCs w:val="12"/>
              </w:rPr>
            </w:pPr>
            <w:r>
              <w:rPr>
                <w:rFonts w:ascii="Arial" w:eastAsia="宋体" w:hAnsi="Arial" w:cs="Arial"/>
                <w:sz w:val="12"/>
                <w:szCs w:val="12"/>
              </w:rPr>
              <w:t>Series D</w:t>
            </w:r>
          </w:p>
        </w:tc>
        <w:tc>
          <w:tcPr>
            <w:tcW w:w="0" w:type="auto"/>
            <w:shd w:val="clear" w:color="auto" w:fill="auto"/>
            <w:tcMar>
              <w:top w:w="40" w:type="dxa"/>
              <w:left w:w="40" w:type="dxa"/>
              <w:bottom w:w="40" w:type="dxa"/>
              <w:right w:w="40" w:type="dxa"/>
            </w:tcMar>
            <w:vAlign w:val="center"/>
          </w:tcPr>
          <w:p w14:paraId="5556E1CC" w14:textId="77777777" w:rsidR="00F925DD" w:rsidRDefault="00E705D7">
            <w:pPr>
              <w:textAlignment w:val="center"/>
              <w:rPr>
                <w:rFonts w:ascii="Times New Roman" w:hAnsi="Times New Roman"/>
                <w:sz w:val="12"/>
                <w:szCs w:val="12"/>
              </w:rPr>
            </w:pPr>
            <w:r>
              <w:rPr>
                <w:rFonts w:ascii="Arial" w:eastAsia="宋体" w:hAnsi="Arial" w:cs="Arial"/>
                <w:sz w:val="12"/>
                <w:szCs w:val="12"/>
              </w:rPr>
              <w:t>February 2014</w:t>
            </w:r>
          </w:p>
        </w:tc>
        <w:tc>
          <w:tcPr>
            <w:tcW w:w="0" w:type="auto"/>
            <w:shd w:val="clear" w:color="auto" w:fill="auto"/>
            <w:tcMar>
              <w:top w:w="40" w:type="dxa"/>
              <w:left w:w="40" w:type="dxa"/>
              <w:bottom w:w="40" w:type="dxa"/>
              <w:right w:w="40" w:type="dxa"/>
            </w:tcMar>
            <w:vAlign w:val="bottom"/>
          </w:tcPr>
          <w:p w14:paraId="5556E1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1CE" w14:textId="77777777" w:rsidR="00F925DD" w:rsidRDefault="00E705D7">
            <w:pPr>
              <w:textAlignment w:val="center"/>
              <w:rPr>
                <w:rFonts w:ascii="Times New Roman" w:hAnsi="Times New Roman"/>
                <w:sz w:val="12"/>
                <w:szCs w:val="12"/>
              </w:rPr>
            </w:pPr>
            <w:r>
              <w:rPr>
                <w:rFonts w:ascii="Arial" w:eastAsia="宋体" w:hAnsi="Arial" w:cs="Arial"/>
                <w:sz w:val="12"/>
                <w:szCs w:val="12"/>
              </w:rPr>
              <w:t>30,000,000</w:t>
            </w:r>
          </w:p>
        </w:tc>
        <w:tc>
          <w:tcPr>
            <w:tcW w:w="0" w:type="auto"/>
            <w:shd w:val="clear" w:color="auto" w:fill="auto"/>
            <w:tcMar>
              <w:top w:w="40" w:type="dxa"/>
              <w:left w:w="40" w:type="dxa"/>
              <w:bottom w:w="40" w:type="dxa"/>
              <w:right w:w="40" w:type="dxa"/>
            </w:tcMar>
            <w:vAlign w:val="bottom"/>
          </w:tcPr>
          <w:p w14:paraId="5556E1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1D0" w14:textId="77777777" w:rsidR="00F925DD" w:rsidRDefault="00E705D7">
            <w:pPr>
              <w:textAlignment w:val="center"/>
              <w:rPr>
                <w:rFonts w:ascii="Times New Roman" w:hAnsi="Times New Roman"/>
                <w:sz w:val="12"/>
                <w:szCs w:val="12"/>
              </w:rPr>
            </w:pPr>
            <w:r>
              <w:rPr>
                <w:rFonts w:ascii="Arial" w:eastAsia="宋体" w:hAnsi="Arial" w:cs="Arial"/>
                <w:sz w:val="12"/>
                <w:szCs w:val="12"/>
              </w:rPr>
              <w:t>1/4,000th</w:t>
            </w:r>
          </w:p>
        </w:tc>
        <w:tc>
          <w:tcPr>
            <w:tcW w:w="0" w:type="auto"/>
            <w:shd w:val="clear" w:color="auto" w:fill="auto"/>
            <w:tcMar>
              <w:top w:w="40" w:type="dxa"/>
              <w:left w:w="40" w:type="dxa"/>
              <w:bottom w:w="40" w:type="dxa"/>
              <w:right w:w="40" w:type="dxa"/>
            </w:tcMar>
            <w:vAlign w:val="bottom"/>
          </w:tcPr>
          <w:p w14:paraId="5556E1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E1D2"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auto"/>
            <w:vAlign w:val="bottom"/>
          </w:tcPr>
          <w:p w14:paraId="5556E1D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1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E1D5"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25</w:t>
            </w:r>
          </w:p>
        </w:tc>
        <w:tc>
          <w:tcPr>
            <w:tcW w:w="0" w:type="auto"/>
            <w:shd w:val="clear" w:color="auto" w:fill="auto"/>
            <w:vAlign w:val="bottom"/>
          </w:tcPr>
          <w:p w14:paraId="5556E1D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1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1D8" w14:textId="77777777" w:rsidR="00F925DD" w:rsidRDefault="00E705D7">
            <w:pPr>
              <w:textAlignment w:val="center"/>
              <w:rPr>
                <w:rFonts w:ascii="Times New Roman" w:hAnsi="Times New Roman"/>
                <w:sz w:val="12"/>
                <w:szCs w:val="12"/>
              </w:rPr>
            </w:pPr>
            <w:r>
              <w:rPr>
                <w:rFonts w:ascii="Arial" w:eastAsia="宋体" w:hAnsi="Arial" w:cs="Arial"/>
                <w:sz w:val="12"/>
                <w:szCs w:val="12"/>
              </w:rPr>
              <w:t>5.90% to but excluding March 15, 2024, then a floating rate equal to the three-month LIBOR plus 3.108%</w:t>
            </w:r>
          </w:p>
        </w:tc>
        <w:tc>
          <w:tcPr>
            <w:tcW w:w="0" w:type="auto"/>
            <w:shd w:val="clear" w:color="auto" w:fill="auto"/>
            <w:tcMar>
              <w:top w:w="40" w:type="dxa"/>
              <w:left w:w="40" w:type="dxa"/>
              <w:bottom w:w="40" w:type="dxa"/>
              <w:right w:w="40" w:type="dxa"/>
            </w:tcMar>
            <w:vAlign w:val="bottom"/>
          </w:tcPr>
          <w:p w14:paraId="5556E1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1DA" w14:textId="77777777" w:rsidR="00F925DD" w:rsidRDefault="00E705D7">
            <w:pPr>
              <w:textAlignment w:val="center"/>
              <w:rPr>
                <w:rFonts w:ascii="Times New Roman" w:hAnsi="Times New Roman"/>
                <w:sz w:val="12"/>
                <w:szCs w:val="12"/>
              </w:rPr>
            </w:pPr>
            <w:r>
              <w:rPr>
                <w:rFonts w:ascii="Arial" w:eastAsia="宋体" w:hAnsi="Arial" w:cs="Arial"/>
                <w:sz w:val="12"/>
                <w:szCs w:val="12"/>
              </w:rPr>
              <w:t>Quarterly</w:t>
            </w:r>
          </w:p>
        </w:tc>
        <w:tc>
          <w:tcPr>
            <w:tcW w:w="0" w:type="auto"/>
            <w:shd w:val="clear" w:color="auto" w:fill="auto"/>
            <w:tcMar>
              <w:top w:w="40" w:type="dxa"/>
              <w:left w:w="40" w:type="dxa"/>
              <w:bottom w:w="40" w:type="dxa"/>
              <w:right w:w="40" w:type="dxa"/>
            </w:tcMar>
            <w:vAlign w:val="bottom"/>
          </w:tcPr>
          <w:p w14:paraId="5556E1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E1DC"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742</w:t>
            </w:r>
          </w:p>
        </w:tc>
        <w:tc>
          <w:tcPr>
            <w:tcW w:w="0" w:type="auto"/>
            <w:shd w:val="clear" w:color="auto" w:fill="auto"/>
            <w:vAlign w:val="bottom"/>
          </w:tcPr>
          <w:p w14:paraId="5556E1D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1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1DF" w14:textId="77777777" w:rsidR="00F925DD" w:rsidRDefault="00E705D7">
            <w:pPr>
              <w:textAlignment w:val="center"/>
              <w:rPr>
                <w:rFonts w:ascii="Times New Roman" w:hAnsi="Times New Roman"/>
                <w:sz w:val="12"/>
                <w:szCs w:val="12"/>
              </w:rPr>
            </w:pPr>
            <w:r>
              <w:rPr>
                <w:rFonts w:ascii="Arial" w:eastAsia="宋体" w:hAnsi="Arial" w:cs="Arial"/>
                <w:sz w:val="12"/>
                <w:szCs w:val="12"/>
              </w:rPr>
              <w:t>March 15, 2024</w:t>
            </w:r>
          </w:p>
        </w:tc>
      </w:tr>
      <w:tr w:rsidR="00F925DD" w14:paraId="5556E1F6" w14:textId="77777777">
        <w:tc>
          <w:tcPr>
            <w:tcW w:w="0" w:type="auto"/>
            <w:shd w:val="clear" w:color="auto" w:fill="CCEEFF"/>
            <w:tcMar>
              <w:top w:w="40" w:type="dxa"/>
              <w:left w:w="40" w:type="dxa"/>
              <w:bottom w:w="40" w:type="dxa"/>
              <w:right w:w="40" w:type="dxa"/>
            </w:tcMar>
            <w:vAlign w:val="center"/>
          </w:tcPr>
          <w:p w14:paraId="5556E1E1" w14:textId="77777777" w:rsidR="00F925DD" w:rsidRDefault="00E705D7">
            <w:pPr>
              <w:textAlignment w:val="center"/>
              <w:rPr>
                <w:rFonts w:ascii="Times New Roman" w:hAnsi="Times New Roman"/>
                <w:sz w:val="12"/>
                <w:szCs w:val="12"/>
              </w:rPr>
            </w:pPr>
            <w:r>
              <w:rPr>
                <w:rFonts w:ascii="Arial" w:eastAsia="宋体" w:hAnsi="Arial" w:cs="Arial"/>
                <w:sz w:val="12"/>
                <w:szCs w:val="12"/>
              </w:rPr>
              <w:t>Series F</w:t>
            </w:r>
          </w:p>
        </w:tc>
        <w:tc>
          <w:tcPr>
            <w:tcW w:w="0" w:type="auto"/>
            <w:shd w:val="clear" w:color="auto" w:fill="CCEEFF"/>
            <w:tcMar>
              <w:top w:w="40" w:type="dxa"/>
              <w:left w:w="40" w:type="dxa"/>
              <w:bottom w:w="40" w:type="dxa"/>
              <w:right w:w="40" w:type="dxa"/>
            </w:tcMar>
            <w:vAlign w:val="center"/>
          </w:tcPr>
          <w:p w14:paraId="5556E1E2" w14:textId="77777777" w:rsidR="00F925DD" w:rsidRDefault="00E705D7">
            <w:pPr>
              <w:textAlignment w:val="center"/>
              <w:rPr>
                <w:rFonts w:ascii="Times New Roman" w:hAnsi="Times New Roman"/>
                <w:sz w:val="12"/>
                <w:szCs w:val="12"/>
              </w:rPr>
            </w:pPr>
            <w:r>
              <w:rPr>
                <w:rFonts w:ascii="Arial" w:eastAsia="宋体" w:hAnsi="Arial" w:cs="Arial"/>
                <w:sz w:val="12"/>
                <w:szCs w:val="12"/>
              </w:rPr>
              <w:t>May 2015</w:t>
            </w:r>
          </w:p>
        </w:tc>
        <w:tc>
          <w:tcPr>
            <w:tcW w:w="0" w:type="auto"/>
            <w:shd w:val="clear" w:color="auto" w:fill="CCEEFF"/>
            <w:tcMar>
              <w:top w:w="40" w:type="dxa"/>
              <w:left w:w="40" w:type="dxa"/>
              <w:bottom w:w="40" w:type="dxa"/>
              <w:right w:w="40" w:type="dxa"/>
            </w:tcMar>
            <w:vAlign w:val="bottom"/>
          </w:tcPr>
          <w:p w14:paraId="5556E1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1E4" w14:textId="77777777" w:rsidR="00F925DD" w:rsidRDefault="00E705D7">
            <w:pPr>
              <w:textAlignment w:val="center"/>
              <w:rPr>
                <w:rFonts w:ascii="Times New Roman" w:hAnsi="Times New Roman"/>
                <w:sz w:val="12"/>
                <w:szCs w:val="12"/>
              </w:rPr>
            </w:pPr>
            <w:r>
              <w:rPr>
                <w:rFonts w:ascii="Arial" w:eastAsia="宋体" w:hAnsi="Arial" w:cs="Arial"/>
                <w:sz w:val="12"/>
                <w:szCs w:val="12"/>
              </w:rPr>
              <w:t>750,000</w:t>
            </w:r>
          </w:p>
        </w:tc>
        <w:tc>
          <w:tcPr>
            <w:tcW w:w="0" w:type="auto"/>
            <w:shd w:val="clear" w:color="auto" w:fill="CCEEFF"/>
            <w:tcMar>
              <w:top w:w="40" w:type="dxa"/>
              <w:left w:w="40" w:type="dxa"/>
              <w:bottom w:w="40" w:type="dxa"/>
              <w:right w:w="40" w:type="dxa"/>
            </w:tcMar>
            <w:vAlign w:val="bottom"/>
          </w:tcPr>
          <w:p w14:paraId="5556E1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1E6" w14:textId="77777777" w:rsidR="00F925DD" w:rsidRDefault="00E705D7">
            <w:pPr>
              <w:textAlignment w:val="center"/>
              <w:rPr>
                <w:rFonts w:ascii="Times New Roman" w:hAnsi="Times New Roman"/>
                <w:sz w:val="12"/>
                <w:szCs w:val="12"/>
              </w:rPr>
            </w:pPr>
            <w:r>
              <w:rPr>
                <w:rFonts w:ascii="Arial" w:eastAsia="宋体" w:hAnsi="Arial" w:cs="Arial"/>
                <w:sz w:val="12"/>
                <w:szCs w:val="12"/>
              </w:rPr>
              <w:t>1/100th</w:t>
            </w:r>
          </w:p>
        </w:tc>
        <w:tc>
          <w:tcPr>
            <w:tcW w:w="0" w:type="auto"/>
            <w:shd w:val="clear" w:color="auto" w:fill="CCEEFF"/>
            <w:tcMar>
              <w:top w:w="40" w:type="dxa"/>
              <w:left w:w="40" w:type="dxa"/>
              <w:bottom w:w="40" w:type="dxa"/>
              <w:right w:w="40" w:type="dxa"/>
            </w:tcMar>
            <w:vAlign w:val="bottom"/>
          </w:tcPr>
          <w:p w14:paraId="5556E1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E1E8"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CCEEFF"/>
            <w:vAlign w:val="bottom"/>
          </w:tcPr>
          <w:p w14:paraId="5556E1E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1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E1EB"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1,000</w:t>
            </w:r>
          </w:p>
        </w:tc>
        <w:tc>
          <w:tcPr>
            <w:tcW w:w="0" w:type="auto"/>
            <w:shd w:val="clear" w:color="auto" w:fill="CCEEFF"/>
            <w:vAlign w:val="bottom"/>
          </w:tcPr>
          <w:p w14:paraId="5556E1E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1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1EE" w14:textId="77777777" w:rsidR="00F925DD" w:rsidRDefault="00E705D7">
            <w:pPr>
              <w:textAlignment w:val="center"/>
              <w:rPr>
                <w:rFonts w:ascii="Times New Roman" w:hAnsi="Times New Roman"/>
                <w:sz w:val="12"/>
                <w:szCs w:val="12"/>
              </w:rPr>
            </w:pPr>
            <w:r>
              <w:rPr>
                <w:rFonts w:ascii="Arial" w:eastAsia="宋体" w:hAnsi="Arial" w:cs="Arial"/>
                <w:sz w:val="12"/>
                <w:szCs w:val="12"/>
              </w:rPr>
              <w:t>5.25% to but excluding September 15, 2020, then a floating rate equal to the three-month LIBOR plus 3.597%</w:t>
            </w:r>
          </w:p>
        </w:tc>
        <w:tc>
          <w:tcPr>
            <w:tcW w:w="0" w:type="auto"/>
            <w:shd w:val="clear" w:color="auto" w:fill="CCEEFF"/>
            <w:tcMar>
              <w:top w:w="40" w:type="dxa"/>
              <w:left w:w="40" w:type="dxa"/>
              <w:bottom w:w="40" w:type="dxa"/>
              <w:right w:w="40" w:type="dxa"/>
            </w:tcMar>
            <w:vAlign w:val="bottom"/>
          </w:tcPr>
          <w:p w14:paraId="5556E1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1F0" w14:textId="77777777" w:rsidR="00F925DD" w:rsidRDefault="00E705D7">
            <w:pPr>
              <w:textAlignment w:val="center"/>
              <w:rPr>
                <w:rFonts w:ascii="Times New Roman" w:hAnsi="Times New Roman"/>
                <w:sz w:val="12"/>
                <w:szCs w:val="12"/>
              </w:rPr>
            </w:pPr>
            <w:r>
              <w:rPr>
                <w:rFonts w:ascii="Arial" w:eastAsia="宋体" w:hAnsi="Arial" w:cs="Arial"/>
                <w:sz w:val="12"/>
                <w:szCs w:val="12"/>
              </w:rPr>
              <w:t>Semi-annually</w:t>
            </w:r>
          </w:p>
        </w:tc>
        <w:tc>
          <w:tcPr>
            <w:tcW w:w="0" w:type="auto"/>
            <w:shd w:val="clear" w:color="auto" w:fill="CCEEFF"/>
            <w:tcMar>
              <w:top w:w="40" w:type="dxa"/>
              <w:left w:w="40" w:type="dxa"/>
              <w:bottom w:w="40" w:type="dxa"/>
              <w:right w:w="40" w:type="dxa"/>
            </w:tcMar>
            <w:vAlign w:val="bottom"/>
          </w:tcPr>
          <w:p w14:paraId="5556E1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E1F2"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742</w:t>
            </w:r>
          </w:p>
        </w:tc>
        <w:tc>
          <w:tcPr>
            <w:tcW w:w="0" w:type="auto"/>
            <w:shd w:val="clear" w:color="auto" w:fill="CCEEFF"/>
            <w:vAlign w:val="bottom"/>
          </w:tcPr>
          <w:p w14:paraId="5556E1F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1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1F5" w14:textId="77777777" w:rsidR="00F925DD" w:rsidRDefault="00E705D7">
            <w:pPr>
              <w:textAlignment w:val="center"/>
              <w:rPr>
                <w:rFonts w:ascii="Times New Roman" w:hAnsi="Times New Roman"/>
                <w:sz w:val="12"/>
                <w:szCs w:val="12"/>
              </w:rPr>
            </w:pPr>
            <w:r>
              <w:rPr>
                <w:rFonts w:ascii="Arial" w:eastAsia="宋体" w:hAnsi="Arial" w:cs="Arial"/>
                <w:sz w:val="12"/>
                <w:szCs w:val="12"/>
              </w:rPr>
              <w:t>September 15, 2020</w:t>
            </w:r>
          </w:p>
        </w:tc>
      </w:tr>
      <w:tr w:rsidR="00F925DD" w14:paraId="5556E20C" w14:textId="77777777">
        <w:tc>
          <w:tcPr>
            <w:tcW w:w="0" w:type="auto"/>
            <w:shd w:val="clear" w:color="auto" w:fill="auto"/>
            <w:tcMar>
              <w:top w:w="40" w:type="dxa"/>
              <w:left w:w="40" w:type="dxa"/>
              <w:bottom w:w="40" w:type="dxa"/>
              <w:right w:w="40" w:type="dxa"/>
            </w:tcMar>
            <w:vAlign w:val="center"/>
          </w:tcPr>
          <w:p w14:paraId="5556E1F7" w14:textId="77777777" w:rsidR="00F925DD" w:rsidRDefault="00E705D7">
            <w:pPr>
              <w:textAlignment w:val="center"/>
              <w:rPr>
                <w:rFonts w:ascii="Times New Roman" w:hAnsi="Times New Roman"/>
                <w:sz w:val="12"/>
                <w:szCs w:val="12"/>
              </w:rPr>
            </w:pPr>
            <w:r>
              <w:rPr>
                <w:rFonts w:ascii="Arial" w:eastAsia="宋体" w:hAnsi="Arial" w:cs="Arial"/>
                <w:sz w:val="12"/>
                <w:szCs w:val="12"/>
              </w:rPr>
              <w:t>Series G</w:t>
            </w:r>
          </w:p>
        </w:tc>
        <w:tc>
          <w:tcPr>
            <w:tcW w:w="0" w:type="auto"/>
            <w:shd w:val="clear" w:color="auto" w:fill="auto"/>
            <w:tcMar>
              <w:top w:w="40" w:type="dxa"/>
              <w:left w:w="40" w:type="dxa"/>
              <w:bottom w:w="40" w:type="dxa"/>
              <w:right w:w="40" w:type="dxa"/>
            </w:tcMar>
            <w:vAlign w:val="center"/>
          </w:tcPr>
          <w:p w14:paraId="5556E1F8" w14:textId="77777777" w:rsidR="00F925DD" w:rsidRDefault="00E705D7">
            <w:pPr>
              <w:textAlignment w:val="center"/>
              <w:rPr>
                <w:rFonts w:ascii="Times New Roman" w:hAnsi="Times New Roman"/>
                <w:sz w:val="12"/>
                <w:szCs w:val="12"/>
              </w:rPr>
            </w:pPr>
            <w:r>
              <w:rPr>
                <w:rFonts w:ascii="Arial" w:eastAsia="宋体" w:hAnsi="Arial" w:cs="Arial"/>
                <w:sz w:val="12"/>
                <w:szCs w:val="12"/>
              </w:rPr>
              <w:t>April 2016</w:t>
            </w:r>
          </w:p>
        </w:tc>
        <w:tc>
          <w:tcPr>
            <w:tcW w:w="0" w:type="auto"/>
            <w:shd w:val="clear" w:color="auto" w:fill="auto"/>
            <w:tcMar>
              <w:top w:w="40" w:type="dxa"/>
              <w:left w:w="40" w:type="dxa"/>
              <w:bottom w:w="40" w:type="dxa"/>
              <w:right w:w="40" w:type="dxa"/>
            </w:tcMar>
            <w:vAlign w:val="bottom"/>
          </w:tcPr>
          <w:p w14:paraId="5556E1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1FA" w14:textId="77777777" w:rsidR="00F925DD" w:rsidRDefault="00E705D7">
            <w:pPr>
              <w:textAlignment w:val="center"/>
              <w:rPr>
                <w:rFonts w:ascii="Times New Roman" w:hAnsi="Times New Roman"/>
                <w:sz w:val="12"/>
                <w:szCs w:val="12"/>
              </w:rPr>
            </w:pPr>
            <w:r>
              <w:rPr>
                <w:rFonts w:ascii="Arial" w:eastAsia="宋体" w:hAnsi="Arial" w:cs="Arial"/>
                <w:sz w:val="12"/>
                <w:szCs w:val="12"/>
              </w:rPr>
              <w:t>20,000,000</w:t>
            </w:r>
          </w:p>
        </w:tc>
        <w:tc>
          <w:tcPr>
            <w:tcW w:w="0" w:type="auto"/>
            <w:shd w:val="clear" w:color="auto" w:fill="auto"/>
            <w:tcMar>
              <w:top w:w="40" w:type="dxa"/>
              <w:left w:w="40" w:type="dxa"/>
              <w:bottom w:w="40" w:type="dxa"/>
              <w:right w:w="40" w:type="dxa"/>
            </w:tcMar>
            <w:vAlign w:val="bottom"/>
          </w:tcPr>
          <w:p w14:paraId="5556E1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1FC" w14:textId="77777777" w:rsidR="00F925DD" w:rsidRDefault="00E705D7">
            <w:pPr>
              <w:textAlignment w:val="center"/>
              <w:rPr>
                <w:rFonts w:ascii="Times New Roman" w:hAnsi="Times New Roman"/>
                <w:sz w:val="12"/>
                <w:szCs w:val="12"/>
              </w:rPr>
            </w:pPr>
            <w:r>
              <w:rPr>
                <w:rFonts w:ascii="Arial" w:eastAsia="宋体" w:hAnsi="Arial" w:cs="Arial"/>
                <w:sz w:val="12"/>
                <w:szCs w:val="12"/>
              </w:rPr>
              <w:t>1/4,000th</w:t>
            </w:r>
          </w:p>
        </w:tc>
        <w:tc>
          <w:tcPr>
            <w:tcW w:w="0" w:type="auto"/>
            <w:shd w:val="clear" w:color="auto" w:fill="auto"/>
            <w:tcMar>
              <w:top w:w="40" w:type="dxa"/>
              <w:left w:w="40" w:type="dxa"/>
              <w:bottom w:w="40" w:type="dxa"/>
              <w:right w:w="40" w:type="dxa"/>
            </w:tcMar>
            <w:vAlign w:val="bottom"/>
          </w:tcPr>
          <w:p w14:paraId="5556E1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E1F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auto"/>
            <w:vAlign w:val="bottom"/>
          </w:tcPr>
          <w:p w14:paraId="5556E1F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E201"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25</w:t>
            </w:r>
          </w:p>
        </w:tc>
        <w:tc>
          <w:tcPr>
            <w:tcW w:w="0" w:type="auto"/>
            <w:shd w:val="clear" w:color="auto" w:fill="auto"/>
            <w:vAlign w:val="bottom"/>
          </w:tcPr>
          <w:p w14:paraId="5556E20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204" w14:textId="77777777" w:rsidR="00F925DD" w:rsidRDefault="00E705D7">
            <w:pPr>
              <w:textAlignment w:val="center"/>
              <w:rPr>
                <w:rFonts w:ascii="Times New Roman" w:hAnsi="Times New Roman"/>
                <w:sz w:val="12"/>
                <w:szCs w:val="12"/>
              </w:rPr>
            </w:pPr>
            <w:r>
              <w:rPr>
                <w:rFonts w:ascii="Arial" w:eastAsia="宋体" w:hAnsi="Arial" w:cs="Arial"/>
                <w:sz w:val="12"/>
                <w:szCs w:val="12"/>
              </w:rPr>
              <w:t>5.35% to but excluding March 15, 2026, then a floating rate equal to the three-month LIBOR plus 3.709%</w:t>
            </w:r>
          </w:p>
        </w:tc>
        <w:tc>
          <w:tcPr>
            <w:tcW w:w="0" w:type="auto"/>
            <w:shd w:val="clear" w:color="auto" w:fill="auto"/>
            <w:tcMar>
              <w:top w:w="40" w:type="dxa"/>
              <w:left w:w="40" w:type="dxa"/>
              <w:bottom w:w="40" w:type="dxa"/>
              <w:right w:w="40" w:type="dxa"/>
            </w:tcMar>
            <w:vAlign w:val="bottom"/>
          </w:tcPr>
          <w:p w14:paraId="5556E2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206" w14:textId="77777777" w:rsidR="00F925DD" w:rsidRDefault="00E705D7">
            <w:pPr>
              <w:textAlignment w:val="center"/>
              <w:rPr>
                <w:rFonts w:ascii="Times New Roman" w:hAnsi="Times New Roman"/>
                <w:sz w:val="12"/>
                <w:szCs w:val="12"/>
              </w:rPr>
            </w:pPr>
            <w:r>
              <w:rPr>
                <w:rFonts w:ascii="Arial" w:eastAsia="宋体" w:hAnsi="Arial" w:cs="Arial"/>
                <w:sz w:val="12"/>
                <w:szCs w:val="12"/>
              </w:rPr>
              <w:t>Quarterly</w:t>
            </w:r>
          </w:p>
        </w:tc>
        <w:tc>
          <w:tcPr>
            <w:tcW w:w="0" w:type="auto"/>
            <w:shd w:val="clear" w:color="auto" w:fill="auto"/>
            <w:tcMar>
              <w:top w:w="40" w:type="dxa"/>
              <w:left w:w="40" w:type="dxa"/>
              <w:bottom w:w="40" w:type="dxa"/>
              <w:right w:w="40" w:type="dxa"/>
            </w:tcMar>
            <w:vAlign w:val="bottom"/>
          </w:tcPr>
          <w:p w14:paraId="5556E2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E208"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493</w:t>
            </w:r>
          </w:p>
        </w:tc>
        <w:tc>
          <w:tcPr>
            <w:tcW w:w="0" w:type="auto"/>
            <w:shd w:val="clear" w:color="auto" w:fill="auto"/>
            <w:vAlign w:val="bottom"/>
          </w:tcPr>
          <w:p w14:paraId="5556E2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20B" w14:textId="77777777" w:rsidR="00F925DD" w:rsidRDefault="00E705D7">
            <w:pPr>
              <w:textAlignment w:val="center"/>
              <w:rPr>
                <w:rFonts w:ascii="Times New Roman" w:hAnsi="Times New Roman"/>
                <w:sz w:val="12"/>
                <w:szCs w:val="12"/>
              </w:rPr>
            </w:pPr>
            <w:r>
              <w:rPr>
                <w:rFonts w:ascii="Arial" w:eastAsia="宋体" w:hAnsi="Arial" w:cs="Arial"/>
                <w:sz w:val="12"/>
                <w:szCs w:val="12"/>
              </w:rPr>
              <w:t>March 15, 2026</w:t>
            </w:r>
          </w:p>
        </w:tc>
      </w:tr>
      <w:tr w:rsidR="00F925DD" w14:paraId="5556E222" w14:textId="77777777">
        <w:tc>
          <w:tcPr>
            <w:tcW w:w="0" w:type="auto"/>
            <w:shd w:val="clear" w:color="auto" w:fill="CCEEFF"/>
            <w:tcMar>
              <w:top w:w="40" w:type="dxa"/>
              <w:left w:w="40" w:type="dxa"/>
              <w:bottom w:w="40" w:type="dxa"/>
              <w:right w:w="40" w:type="dxa"/>
            </w:tcMar>
            <w:vAlign w:val="center"/>
          </w:tcPr>
          <w:p w14:paraId="5556E20D" w14:textId="77777777" w:rsidR="00F925DD" w:rsidRDefault="00E705D7">
            <w:pPr>
              <w:textAlignment w:val="center"/>
              <w:rPr>
                <w:rFonts w:ascii="Times New Roman" w:hAnsi="Times New Roman"/>
                <w:sz w:val="12"/>
                <w:szCs w:val="12"/>
              </w:rPr>
            </w:pPr>
            <w:r>
              <w:rPr>
                <w:rFonts w:ascii="Arial" w:eastAsia="宋体" w:hAnsi="Arial" w:cs="Arial"/>
                <w:sz w:val="12"/>
                <w:szCs w:val="12"/>
              </w:rPr>
              <w:t>Series H</w:t>
            </w:r>
          </w:p>
        </w:tc>
        <w:tc>
          <w:tcPr>
            <w:tcW w:w="0" w:type="auto"/>
            <w:shd w:val="clear" w:color="auto" w:fill="CCEEFF"/>
            <w:tcMar>
              <w:top w:w="40" w:type="dxa"/>
              <w:left w:w="40" w:type="dxa"/>
              <w:bottom w:w="40" w:type="dxa"/>
              <w:right w:w="40" w:type="dxa"/>
            </w:tcMar>
            <w:vAlign w:val="center"/>
          </w:tcPr>
          <w:p w14:paraId="5556E20E" w14:textId="77777777" w:rsidR="00F925DD" w:rsidRDefault="00E705D7">
            <w:pPr>
              <w:textAlignment w:val="center"/>
              <w:rPr>
                <w:rFonts w:ascii="Times New Roman" w:hAnsi="Times New Roman"/>
                <w:sz w:val="12"/>
                <w:szCs w:val="12"/>
              </w:rPr>
            </w:pPr>
            <w:r>
              <w:rPr>
                <w:rFonts w:ascii="Arial" w:eastAsia="宋体" w:hAnsi="Arial" w:cs="Arial"/>
                <w:sz w:val="12"/>
                <w:szCs w:val="12"/>
              </w:rPr>
              <w:t>September 2018</w:t>
            </w:r>
          </w:p>
        </w:tc>
        <w:tc>
          <w:tcPr>
            <w:tcW w:w="0" w:type="auto"/>
            <w:shd w:val="clear" w:color="auto" w:fill="CCEEFF"/>
            <w:tcMar>
              <w:top w:w="40" w:type="dxa"/>
              <w:left w:w="40" w:type="dxa"/>
              <w:bottom w:w="40" w:type="dxa"/>
              <w:right w:w="40" w:type="dxa"/>
            </w:tcMar>
            <w:vAlign w:val="bottom"/>
          </w:tcPr>
          <w:p w14:paraId="5556E2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210" w14:textId="77777777" w:rsidR="00F925DD" w:rsidRDefault="00E705D7">
            <w:pPr>
              <w:textAlignment w:val="center"/>
              <w:rPr>
                <w:rFonts w:ascii="Times New Roman" w:hAnsi="Times New Roman"/>
                <w:sz w:val="12"/>
                <w:szCs w:val="12"/>
              </w:rPr>
            </w:pPr>
            <w:r>
              <w:rPr>
                <w:rFonts w:ascii="Arial" w:eastAsia="宋体" w:hAnsi="Arial" w:cs="Arial"/>
                <w:sz w:val="12"/>
                <w:szCs w:val="12"/>
              </w:rPr>
              <w:t>500,000</w:t>
            </w:r>
          </w:p>
        </w:tc>
        <w:tc>
          <w:tcPr>
            <w:tcW w:w="0" w:type="auto"/>
            <w:shd w:val="clear" w:color="auto" w:fill="CCEEFF"/>
            <w:tcMar>
              <w:top w:w="40" w:type="dxa"/>
              <w:left w:w="40" w:type="dxa"/>
              <w:bottom w:w="40" w:type="dxa"/>
              <w:right w:w="40" w:type="dxa"/>
            </w:tcMar>
            <w:vAlign w:val="bottom"/>
          </w:tcPr>
          <w:p w14:paraId="5556E2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212" w14:textId="77777777" w:rsidR="00F925DD" w:rsidRDefault="00E705D7">
            <w:pPr>
              <w:textAlignment w:val="center"/>
              <w:rPr>
                <w:rFonts w:ascii="Times New Roman" w:hAnsi="Times New Roman"/>
                <w:sz w:val="12"/>
                <w:szCs w:val="12"/>
              </w:rPr>
            </w:pPr>
            <w:r>
              <w:rPr>
                <w:rFonts w:ascii="Arial" w:eastAsia="宋体" w:hAnsi="Arial" w:cs="Arial"/>
                <w:sz w:val="12"/>
                <w:szCs w:val="12"/>
              </w:rPr>
              <w:t>1/100th</w:t>
            </w:r>
          </w:p>
        </w:tc>
        <w:tc>
          <w:tcPr>
            <w:tcW w:w="0" w:type="auto"/>
            <w:shd w:val="clear" w:color="auto" w:fill="CCEEFF"/>
            <w:tcMar>
              <w:top w:w="40" w:type="dxa"/>
              <w:left w:w="40" w:type="dxa"/>
              <w:bottom w:w="40" w:type="dxa"/>
              <w:right w:w="40" w:type="dxa"/>
            </w:tcMar>
            <w:vAlign w:val="bottom"/>
          </w:tcPr>
          <w:p w14:paraId="5556E2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E214"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100,000</w:t>
            </w:r>
          </w:p>
        </w:tc>
        <w:tc>
          <w:tcPr>
            <w:tcW w:w="0" w:type="auto"/>
            <w:shd w:val="clear" w:color="auto" w:fill="CCEEFF"/>
            <w:vAlign w:val="bottom"/>
          </w:tcPr>
          <w:p w14:paraId="5556E21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E217"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1,000</w:t>
            </w:r>
          </w:p>
        </w:tc>
        <w:tc>
          <w:tcPr>
            <w:tcW w:w="0" w:type="auto"/>
            <w:shd w:val="clear" w:color="auto" w:fill="CCEEFF"/>
            <w:vAlign w:val="bottom"/>
          </w:tcPr>
          <w:p w14:paraId="5556E2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21A" w14:textId="77777777" w:rsidR="00F925DD" w:rsidRDefault="00E705D7">
            <w:pPr>
              <w:textAlignment w:val="center"/>
              <w:rPr>
                <w:rFonts w:ascii="Times New Roman" w:hAnsi="Times New Roman"/>
                <w:sz w:val="12"/>
                <w:szCs w:val="12"/>
              </w:rPr>
            </w:pPr>
            <w:r>
              <w:rPr>
                <w:rFonts w:ascii="Arial" w:eastAsia="宋体" w:hAnsi="Arial" w:cs="Arial"/>
                <w:sz w:val="12"/>
                <w:szCs w:val="12"/>
              </w:rPr>
              <w:t>5.625% to but excluding December 15, 2023, then a floating rate equal to the three-month LIBOR plus 2.539%</w:t>
            </w:r>
          </w:p>
        </w:tc>
        <w:tc>
          <w:tcPr>
            <w:tcW w:w="0" w:type="auto"/>
            <w:shd w:val="clear" w:color="auto" w:fill="CCEEFF"/>
            <w:tcMar>
              <w:top w:w="40" w:type="dxa"/>
              <w:left w:w="40" w:type="dxa"/>
              <w:bottom w:w="40" w:type="dxa"/>
              <w:right w:w="40" w:type="dxa"/>
            </w:tcMar>
            <w:vAlign w:val="bottom"/>
          </w:tcPr>
          <w:p w14:paraId="5556E2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21C" w14:textId="77777777" w:rsidR="00F925DD" w:rsidRDefault="00E705D7">
            <w:pPr>
              <w:textAlignment w:val="center"/>
              <w:rPr>
                <w:rFonts w:ascii="Times New Roman" w:hAnsi="Times New Roman"/>
                <w:sz w:val="12"/>
                <w:szCs w:val="12"/>
              </w:rPr>
            </w:pPr>
            <w:r>
              <w:rPr>
                <w:rFonts w:ascii="Arial" w:eastAsia="宋体" w:hAnsi="Arial" w:cs="Arial"/>
                <w:sz w:val="12"/>
                <w:szCs w:val="12"/>
              </w:rPr>
              <w:t>Semi-annually</w:t>
            </w:r>
          </w:p>
        </w:tc>
        <w:tc>
          <w:tcPr>
            <w:tcW w:w="0" w:type="auto"/>
            <w:shd w:val="clear" w:color="auto" w:fill="CCEEFF"/>
            <w:tcMar>
              <w:top w:w="40" w:type="dxa"/>
              <w:left w:w="40" w:type="dxa"/>
              <w:bottom w:w="40" w:type="dxa"/>
              <w:right w:w="40" w:type="dxa"/>
            </w:tcMar>
            <w:vAlign w:val="bottom"/>
          </w:tcPr>
          <w:p w14:paraId="5556E2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E21E" w14:textId="77777777" w:rsidR="00F925DD" w:rsidRDefault="00E705D7">
            <w:pPr>
              <w:jc w:val="right"/>
              <w:textAlignment w:val="center"/>
              <w:rPr>
                <w:rFonts w:ascii="Times New Roman" w:hAnsi="Times New Roman"/>
                <w:sz w:val="12"/>
                <w:szCs w:val="12"/>
              </w:rPr>
            </w:pPr>
            <w:r>
              <w:rPr>
                <w:rFonts w:ascii="Arial" w:eastAsia="宋体" w:hAnsi="Arial" w:cs="Arial"/>
                <w:sz w:val="12"/>
                <w:szCs w:val="12"/>
              </w:rPr>
              <w:t>494</w:t>
            </w:r>
          </w:p>
        </w:tc>
        <w:tc>
          <w:tcPr>
            <w:tcW w:w="0" w:type="auto"/>
            <w:shd w:val="clear" w:color="auto" w:fill="CCEEFF"/>
            <w:vAlign w:val="bottom"/>
          </w:tcPr>
          <w:p w14:paraId="5556E21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221" w14:textId="77777777" w:rsidR="00F925DD" w:rsidRDefault="00E705D7">
            <w:pPr>
              <w:textAlignment w:val="center"/>
              <w:rPr>
                <w:rFonts w:ascii="Times New Roman" w:hAnsi="Times New Roman"/>
                <w:sz w:val="12"/>
                <w:szCs w:val="12"/>
              </w:rPr>
            </w:pPr>
            <w:r>
              <w:rPr>
                <w:rFonts w:ascii="Arial" w:eastAsia="宋体" w:hAnsi="Arial" w:cs="Arial"/>
                <w:sz w:val="12"/>
                <w:szCs w:val="12"/>
              </w:rPr>
              <w:t>December 15, 2023</w:t>
            </w:r>
          </w:p>
        </w:tc>
      </w:tr>
    </w:tbl>
    <w:p w14:paraId="5556E223" w14:textId="77777777" w:rsidR="00F925DD" w:rsidRDefault="00F925DD">
      <w:pPr>
        <w:rPr>
          <w:vanish/>
        </w:rPr>
      </w:pPr>
    </w:p>
    <w:tbl>
      <w:tblPr>
        <w:tblW w:w="5000" w:type="pct"/>
        <w:jc w:val="center"/>
        <w:tblCellMar>
          <w:left w:w="0" w:type="dxa"/>
          <w:right w:w="0" w:type="dxa"/>
        </w:tblCellMar>
        <w:tblLook w:val="04A0" w:firstRow="1" w:lastRow="0" w:firstColumn="1" w:lastColumn="0" w:noHBand="0" w:noVBand="1"/>
      </w:tblPr>
      <w:tblGrid>
        <w:gridCol w:w="2409"/>
        <w:gridCol w:w="1578"/>
        <w:gridCol w:w="1578"/>
        <w:gridCol w:w="2741"/>
      </w:tblGrid>
      <w:tr w:rsidR="00F925DD" w14:paraId="5556E225" w14:textId="77777777">
        <w:trPr>
          <w:jc w:val="center"/>
        </w:trPr>
        <w:tc>
          <w:tcPr>
            <w:tcW w:w="0" w:type="auto"/>
            <w:gridSpan w:val="4"/>
            <w:shd w:val="clear" w:color="auto" w:fill="auto"/>
            <w:vAlign w:val="center"/>
          </w:tcPr>
          <w:p w14:paraId="5556E224" w14:textId="77777777" w:rsidR="00F925DD" w:rsidRDefault="00F925DD">
            <w:pPr>
              <w:rPr>
                <w:rFonts w:ascii="Times New Roman" w:hAnsi="Times New Roman"/>
                <w:sz w:val="20"/>
                <w:szCs w:val="20"/>
              </w:rPr>
            </w:pPr>
          </w:p>
        </w:tc>
      </w:tr>
      <w:tr w:rsidR="00F925DD" w14:paraId="5556E22A" w14:textId="77777777">
        <w:trPr>
          <w:jc w:val="center"/>
        </w:trPr>
        <w:tc>
          <w:tcPr>
            <w:tcW w:w="1450" w:type="pct"/>
            <w:shd w:val="clear" w:color="auto" w:fill="auto"/>
            <w:vAlign w:val="center"/>
          </w:tcPr>
          <w:p w14:paraId="5556E226" w14:textId="77777777" w:rsidR="00F925DD" w:rsidRDefault="00F925DD">
            <w:pPr>
              <w:rPr>
                <w:rFonts w:ascii="Times New Roman" w:hAnsi="Times New Roman"/>
                <w:sz w:val="20"/>
                <w:szCs w:val="20"/>
              </w:rPr>
            </w:pPr>
          </w:p>
        </w:tc>
        <w:tc>
          <w:tcPr>
            <w:tcW w:w="950" w:type="pct"/>
            <w:shd w:val="clear" w:color="auto" w:fill="auto"/>
            <w:vAlign w:val="center"/>
          </w:tcPr>
          <w:p w14:paraId="5556E227" w14:textId="77777777" w:rsidR="00F925DD" w:rsidRDefault="00F925DD">
            <w:pPr>
              <w:rPr>
                <w:rFonts w:ascii="Times New Roman" w:hAnsi="Times New Roman"/>
                <w:sz w:val="20"/>
                <w:szCs w:val="20"/>
              </w:rPr>
            </w:pPr>
          </w:p>
        </w:tc>
        <w:tc>
          <w:tcPr>
            <w:tcW w:w="950" w:type="pct"/>
            <w:shd w:val="clear" w:color="auto" w:fill="auto"/>
            <w:vAlign w:val="center"/>
          </w:tcPr>
          <w:p w14:paraId="5556E228" w14:textId="77777777" w:rsidR="00F925DD" w:rsidRDefault="00F925DD">
            <w:pPr>
              <w:rPr>
                <w:rFonts w:ascii="Times New Roman" w:hAnsi="Times New Roman"/>
                <w:sz w:val="20"/>
                <w:szCs w:val="20"/>
              </w:rPr>
            </w:pPr>
          </w:p>
        </w:tc>
        <w:tc>
          <w:tcPr>
            <w:tcW w:w="1650" w:type="pct"/>
            <w:shd w:val="clear" w:color="auto" w:fill="auto"/>
            <w:vAlign w:val="center"/>
          </w:tcPr>
          <w:p w14:paraId="5556E229" w14:textId="77777777" w:rsidR="00F925DD" w:rsidRDefault="00F925DD">
            <w:pPr>
              <w:rPr>
                <w:rFonts w:ascii="Times New Roman" w:hAnsi="Times New Roman"/>
                <w:sz w:val="20"/>
                <w:szCs w:val="20"/>
              </w:rPr>
            </w:pPr>
          </w:p>
        </w:tc>
      </w:tr>
      <w:tr w:rsidR="00F925DD" w14:paraId="5556E22F"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5556E2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2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2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2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E230"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 xml:space="preserve">On the redemption date, or any dividend payment date thereafter, the preferred stock and corresponding depositary shares may be redeemed by us, in whole or in part, at the liquidation price per share and </w:t>
      </w:r>
      <w:r>
        <w:rPr>
          <w:rFonts w:ascii="Arial" w:eastAsia="宋体" w:hAnsi="Arial" w:cs="Arial"/>
          <w:sz w:val="12"/>
          <w:szCs w:val="12"/>
        </w:rPr>
        <w:t>liquidation price per depositary share plus any declared and unpaid dividends, without accumulation of any undeclared dividends.</w:t>
      </w:r>
    </w:p>
    <w:p w14:paraId="5556E231"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The preferred stock and corresponding depositary shares may be redeemed at our option in whole, but not in part, prior to t</w:t>
      </w:r>
      <w:r>
        <w:rPr>
          <w:rFonts w:ascii="Arial" w:eastAsia="宋体" w:hAnsi="Arial" w:cs="Arial"/>
          <w:sz w:val="12"/>
          <w:szCs w:val="12"/>
        </w:rPr>
        <w:t>he redemption date upon the occurrence of a regulatory capital treatment event, as defined in the certificate of designation, at a redemption price equal to the liquidation price per share and liquidation price per depositary share plus any declared and un</w:t>
      </w:r>
      <w:r>
        <w:rPr>
          <w:rFonts w:ascii="Arial" w:eastAsia="宋体" w:hAnsi="Arial" w:cs="Arial"/>
          <w:sz w:val="12"/>
          <w:szCs w:val="12"/>
        </w:rPr>
        <w:t>paid dividends, without accumulation of any undeclared dividends.</w:t>
      </w:r>
    </w:p>
    <w:p w14:paraId="5556E232" w14:textId="77777777" w:rsidR="00F925DD" w:rsidRDefault="00F925DD">
      <w:pPr>
        <w:rPr>
          <w:rFonts w:ascii="Times New Roman" w:hAnsi="Times New Roman"/>
          <w:sz w:val="20"/>
          <w:szCs w:val="20"/>
        </w:rPr>
      </w:pPr>
    </w:p>
    <w:p w14:paraId="5556E23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159</w:t>
      </w:r>
    </w:p>
    <w:p w14:paraId="5556E234" w14:textId="77777777" w:rsidR="00F925DD" w:rsidRDefault="00F925DD">
      <w:pPr>
        <w:spacing w:line="288" w:lineRule="auto"/>
        <w:ind w:firstLine="600"/>
        <w:jc w:val="center"/>
        <w:rPr>
          <w:rFonts w:ascii="Times New Roman" w:hAnsi="Times New Roman"/>
          <w:sz w:val="18"/>
          <w:szCs w:val="18"/>
        </w:rPr>
      </w:pPr>
    </w:p>
    <w:p w14:paraId="5556E235" w14:textId="77777777" w:rsidR="00F925DD" w:rsidRDefault="00E705D7">
      <w:r>
        <w:rPr>
          <w:rFonts w:ascii="Times New Roman" w:hAnsi="Times New Roman"/>
          <w:sz w:val="18"/>
          <w:szCs w:val="18"/>
        </w:rPr>
        <w:pict w14:anchorId="555706D9">
          <v:rect id="_x0000_i1183" style="width:415.3pt;height:1.5pt" o:hralign="center" o:hrstd="t" o:hr="t" fillcolor="#a0a0a0" stroked="f"/>
        </w:pict>
      </w:r>
    </w:p>
    <w:p w14:paraId="5556E23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23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238" w14:textId="77777777" w:rsidR="00F925DD" w:rsidRDefault="00F925DD">
      <w:pPr>
        <w:rPr>
          <w:rFonts w:ascii="Times New Roman" w:hAnsi="Times New Roman"/>
          <w:sz w:val="20"/>
          <w:szCs w:val="20"/>
        </w:rPr>
      </w:pPr>
    </w:p>
    <w:p w14:paraId="5556E23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redeemed all outstanding Series E non-cumulative perpetual preferred stock as of De</w:t>
      </w:r>
      <w:r>
        <w:rPr>
          <w:rFonts w:ascii="Arial" w:eastAsia="宋体" w:hAnsi="Arial" w:cs="Arial"/>
          <w:sz w:val="20"/>
          <w:szCs w:val="20"/>
        </w:rPr>
        <w:t>cember 15, 2019 at a redemption price of $750 million ($100,000 per share equivalent to $25.00 per depositary share) plus accrued and unpaid dividends. The difference of $22 million between the redemption value and the net carrying value resulted in an EPS</w:t>
      </w:r>
      <w:r>
        <w:rPr>
          <w:rFonts w:ascii="Arial" w:eastAsia="宋体" w:hAnsi="Arial" w:cs="Arial"/>
          <w:sz w:val="20"/>
          <w:szCs w:val="20"/>
        </w:rPr>
        <w:t xml:space="preserve"> impact of approximately ($0.06) per share in 2019.</w:t>
      </w:r>
    </w:p>
    <w:p w14:paraId="5556E23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On February 12, 2020, we announced that we will redeem all 5,000 of our outstanding shares of our non-cumulative perpetual preferred stock, Series C, for cash at a redemption price of $100,000 per share (equivalent to $25.00 per depositary share) plus all </w:t>
      </w:r>
      <w:r>
        <w:rPr>
          <w:rFonts w:ascii="Arial" w:eastAsia="宋体" w:hAnsi="Arial" w:cs="Arial"/>
          <w:sz w:val="20"/>
          <w:szCs w:val="20"/>
        </w:rPr>
        <w:t xml:space="preserve">declared and unpaid dividends. The redemption price will be payable on March 16, 2020, and this redemption will be reflected in our first quarter 2020 results of operations. </w:t>
      </w:r>
    </w:p>
    <w:p w14:paraId="5556E23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dividends declared for each of the series of pre</w:t>
      </w:r>
      <w:r>
        <w:rPr>
          <w:rFonts w:ascii="Arial" w:eastAsia="宋体" w:hAnsi="Arial" w:cs="Arial"/>
          <w:sz w:val="20"/>
          <w:szCs w:val="20"/>
        </w:rPr>
        <w:t>ferred stock issued and outstanding for the periods indicated:</w:t>
      </w:r>
    </w:p>
    <w:tbl>
      <w:tblPr>
        <w:tblW w:w="5000" w:type="pct"/>
        <w:tblCellMar>
          <w:left w:w="0" w:type="dxa"/>
          <w:right w:w="0" w:type="dxa"/>
        </w:tblCellMar>
        <w:tblLook w:val="04A0" w:firstRow="1" w:lastRow="0" w:firstColumn="1" w:lastColumn="0" w:noHBand="0" w:noVBand="1"/>
      </w:tblPr>
      <w:tblGrid>
        <w:gridCol w:w="1872"/>
        <w:gridCol w:w="125"/>
        <w:gridCol w:w="793"/>
        <w:gridCol w:w="66"/>
        <w:gridCol w:w="130"/>
        <w:gridCol w:w="125"/>
        <w:gridCol w:w="772"/>
        <w:gridCol w:w="71"/>
        <w:gridCol w:w="130"/>
        <w:gridCol w:w="125"/>
        <w:gridCol w:w="767"/>
        <w:gridCol w:w="45"/>
        <w:gridCol w:w="130"/>
        <w:gridCol w:w="125"/>
        <w:gridCol w:w="794"/>
        <w:gridCol w:w="66"/>
        <w:gridCol w:w="130"/>
        <w:gridCol w:w="125"/>
        <w:gridCol w:w="774"/>
        <w:gridCol w:w="71"/>
        <w:gridCol w:w="130"/>
        <w:gridCol w:w="125"/>
        <w:gridCol w:w="769"/>
        <w:gridCol w:w="46"/>
      </w:tblGrid>
      <w:tr w:rsidR="00F925DD" w14:paraId="5556E23D" w14:textId="77777777">
        <w:tc>
          <w:tcPr>
            <w:tcW w:w="0" w:type="auto"/>
            <w:gridSpan w:val="24"/>
            <w:shd w:val="clear" w:color="auto" w:fill="auto"/>
            <w:vAlign w:val="center"/>
          </w:tcPr>
          <w:p w14:paraId="5556E23C" w14:textId="77777777" w:rsidR="00F925DD" w:rsidRDefault="00F925DD">
            <w:pPr>
              <w:rPr>
                <w:rFonts w:ascii="Times New Roman" w:hAnsi="Times New Roman"/>
                <w:sz w:val="20"/>
                <w:szCs w:val="20"/>
              </w:rPr>
            </w:pPr>
          </w:p>
        </w:tc>
      </w:tr>
      <w:tr w:rsidR="00F925DD" w14:paraId="5556E256" w14:textId="77777777">
        <w:tc>
          <w:tcPr>
            <w:tcW w:w="1150" w:type="pct"/>
            <w:shd w:val="clear" w:color="auto" w:fill="auto"/>
            <w:vAlign w:val="center"/>
          </w:tcPr>
          <w:p w14:paraId="5556E23E" w14:textId="77777777" w:rsidR="00F925DD" w:rsidRDefault="00F925DD">
            <w:pPr>
              <w:rPr>
                <w:rFonts w:ascii="Times New Roman" w:hAnsi="Times New Roman"/>
                <w:sz w:val="20"/>
                <w:szCs w:val="20"/>
              </w:rPr>
            </w:pPr>
          </w:p>
        </w:tc>
        <w:tc>
          <w:tcPr>
            <w:tcW w:w="50" w:type="pct"/>
            <w:shd w:val="clear" w:color="auto" w:fill="auto"/>
            <w:vAlign w:val="center"/>
          </w:tcPr>
          <w:p w14:paraId="5556E23F" w14:textId="77777777" w:rsidR="00F925DD" w:rsidRDefault="00F925DD">
            <w:pPr>
              <w:rPr>
                <w:rFonts w:ascii="Times New Roman" w:hAnsi="Times New Roman"/>
                <w:sz w:val="20"/>
                <w:szCs w:val="20"/>
              </w:rPr>
            </w:pPr>
          </w:p>
        </w:tc>
        <w:tc>
          <w:tcPr>
            <w:tcW w:w="500" w:type="pct"/>
            <w:shd w:val="clear" w:color="auto" w:fill="auto"/>
            <w:vAlign w:val="center"/>
          </w:tcPr>
          <w:p w14:paraId="5556E240" w14:textId="77777777" w:rsidR="00F925DD" w:rsidRDefault="00F925DD">
            <w:pPr>
              <w:rPr>
                <w:rFonts w:ascii="Times New Roman" w:hAnsi="Times New Roman"/>
                <w:sz w:val="20"/>
                <w:szCs w:val="20"/>
              </w:rPr>
            </w:pPr>
          </w:p>
        </w:tc>
        <w:tc>
          <w:tcPr>
            <w:tcW w:w="50" w:type="pct"/>
            <w:shd w:val="clear" w:color="auto" w:fill="auto"/>
            <w:vAlign w:val="center"/>
          </w:tcPr>
          <w:p w14:paraId="5556E241" w14:textId="77777777" w:rsidR="00F925DD" w:rsidRDefault="00F925DD">
            <w:pPr>
              <w:rPr>
                <w:rFonts w:ascii="Times New Roman" w:hAnsi="Times New Roman"/>
                <w:sz w:val="20"/>
                <w:szCs w:val="20"/>
              </w:rPr>
            </w:pPr>
          </w:p>
        </w:tc>
        <w:tc>
          <w:tcPr>
            <w:tcW w:w="50" w:type="pct"/>
            <w:shd w:val="clear" w:color="auto" w:fill="auto"/>
            <w:vAlign w:val="center"/>
          </w:tcPr>
          <w:p w14:paraId="5556E242" w14:textId="77777777" w:rsidR="00F925DD" w:rsidRDefault="00F925DD">
            <w:pPr>
              <w:rPr>
                <w:rFonts w:ascii="Times New Roman" w:hAnsi="Times New Roman"/>
                <w:sz w:val="20"/>
                <w:szCs w:val="20"/>
              </w:rPr>
            </w:pPr>
          </w:p>
        </w:tc>
        <w:tc>
          <w:tcPr>
            <w:tcW w:w="50" w:type="pct"/>
            <w:shd w:val="clear" w:color="auto" w:fill="auto"/>
            <w:vAlign w:val="center"/>
          </w:tcPr>
          <w:p w14:paraId="5556E243" w14:textId="77777777" w:rsidR="00F925DD" w:rsidRDefault="00F925DD">
            <w:pPr>
              <w:rPr>
                <w:rFonts w:ascii="Times New Roman" w:hAnsi="Times New Roman"/>
                <w:sz w:val="20"/>
                <w:szCs w:val="20"/>
              </w:rPr>
            </w:pPr>
          </w:p>
        </w:tc>
        <w:tc>
          <w:tcPr>
            <w:tcW w:w="500" w:type="pct"/>
            <w:shd w:val="clear" w:color="auto" w:fill="auto"/>
            <w:vAlign w:val="center"/>
          </w:tcPr>
          <w:p w14:paraId="5556E244" w14:textId="77777777" w:rsidR="00F925DD" w:rsidRDefault="00F925DD">
            <w:pPr>
              <w:rPr>
                <w:rFonts w:ascii="Times New Roman" w:hAnsi="Times New Roman"/>
                <w:sz w:val="20"/>
                <w:szCs w:val="20"/>
              </w:rPr>
            </w:pPr>
          </w:p>
        </w:tc>
        <w:tc>
          <w:tcPr>
            <w:tcW w:w="50" w:type="pct"/>
            <w:shd w:val="clear" w:color="auto" w:fill="auto"/>
            <w:vAlign w:val="center"/>
          </w:tcPr>
          <w:p w14:paraId="5556E245" w14:textId="77777777" w:rsidR="00F925DD" w:rsidRDefault="00F925DD">
            <w:pPr>
              <w:rPr>
                <w:rFonts w:ascii="Times New Roman" w:hAnsi="Times New Roman"/>
                <w:sz w:val="20"/>
                <w:szCs w:val="20"/>
              </w:rPr>
            </w:pPr>
          </w:p>
        </w:tc>
        <w:tc>
          <w:tcPr>
            <w:tcW w:w="50" w:type="pct"/>
            <w:shd w:val="clear" w:color="auto" w:fill="auto"/>
            <w:vAlign w:val="center"/>
          </w:tcPr>
          <w:p w14:paraId="5556E246" w14:textId="77777777" w:rsidR="00F925DD" w:rsidRDefault="00F925DD">
            <w:pPr>
              <w:rPr>
                <w:rFonts w:ascii="Times New Roman" w:hAnsi="Times New Roman"/>
                <w:sz w:val="20"/>
                <w:szCs w:val="20"/>
              </w:rPr>
            </w:pPr>
          </w:p>
        </w:tc>
        <w:tc>
          <w:tcPr>
            <w:tcW w:w="50" w:type="pct"/>
            <w:shd w:val="clear" w:color="auto" w:fill="auto"/>
            <w:vAlign w:val="center"/>
          </w:tcPr>
          <w:p w14:paraId="5556E247" w14:textId="77777777" w:rsidR="00F925DD" w:rsidRDefault="00F925DD">
            <w:pPr>
              <w:rPr>
                <w:rFonts w:ascii="Times New Roman" w:hAnsi="Times New Roman"/>
                <w:sz w:val="20"/>
                <w:szCs w:val="20"/>
              </w:rPr>
            </w:pPr>
          </w:p>
        </w:tc>
        <w:tc>
          <w:tcPr>
            <w:tcW w:w="500" w:type="pct"/>
            <w:shd w:val="clear" w:color="auto" w:fill="auto"/>
            <w:vAlign w:val="center"/>
          </w:tcPr>
          <w:p w14:paraId="5556E248" w14:textId="77777777" w:rsidR="00F925DD" w:rsidRDefault="00F925DD">
            <w:pPr>
              <w:rPr>
                <w:rFonts w:ascii="Times New Roman" w:hAnsi="Times New Roman"/>
                <w:sz w:val="20"/>
                <w:szCs w:val="20"/>
              </w:rPr>
            </w:pPr>
          </w:p>
        </w:tc>
        <w:tc>
          <w:tcPr>
            <w:tcW w:w="50" w:type="pct"/>
            <w:shd w:val="clear" w:color="auto" w:fill="auto"/>
            <w:vAlign w:val="center"/>
          </w:tcPr>
          <w:p w14:paraId="5556E249" w14:textId="77777777" w:rsidR="00F925DD" w:rsidRDefault="00F925DD">
            <w:pPr>
              <w:rPr>
                <w:rFonts w:ascii="Times New Roman" w:hAnsi="Times New Roman"/>
                <w:sz w:val="20"/>
                <w:szCs w:val="20"/>
              </w:rPr>
            </w:pPr>
          </w:p>
        </w:tc>
        <w:tc>
          <w:tcPr>
            <w:tcW w:w="50" w:type="pct"/>
            <w:shd w:val="clear" w:color="auto" w:fill="auto"/>
            <w:vAlign w:val="center"/>
          </w:tcPr>
          <w:p w14:paraId="5556E24A" w14:textId="77777777" w:rsidR="00F925DD" w:rsidRDefault="00F925DD">
            <w:pPr>
              <w:rPr>
                <w:rFonts w:ascii="Times New Roman" w:hAnsi="Times New Roman"/>
                <w:sz w:val="20"/>
                <w:szCs w:val="20"/>
              </w:rPr>
            </w:pPr>
          </w:p>
        </w:tc>
        <w:tc>
          <w:tcPr>
            <w:tcW w:w="50" w:type="pct"/>
            <w:shd w:val="clear" w:color="auto" w:fill="auto"/>
            <w:vAlign w:val="center"/>
          </w:tcPr>
          <w:p w14:paraId="5556E24B" w14:textId="77777777" w:rsidR="00F925DD" w:rsidRDefault="00F925DD">
            <w:pPr>
              <w:rPr>
                <w:rFonts w:ascii="Times New Roman" w:hAnsi="Times New Roman"/>
                <w:sz w:val="20"/>
                <w:szCs w:val="20"/>
              </w:rPr>
            </w:pPr>
          </w:p>
        </w:tc>
        <w:tc>
          <w:tcPr>
            <w:tcW w:w="500" w:type="pct"/>
            <w:shd w:val="clear" w:color="auto" w:fill="auto"/>
            <w:vAlign w:val="center"/>
          </w:tcPr>
          <w:p w14:paraId="5556E24C" w14:textId="77777777" w:rsidR="00F925DD" w:rsidRDefault="00F925DD">
            <w:pPr>
              <w:rPr>
                <w:rFonts w:ascii="Times New Roman" w:hAnsi="Times New Roman"/>
                <w:sz w:val="20"/>
                <w:szCs w:val="20"/>
              </w:rPr>
            </w:pPr>
          </w:p>
        </w:tc>
        <w:tc>
          <w:tcPr>
            <w:tcW w:w="50" w:type="pct"/>
            <w:shd w:val="clear" w:color="auto" w:fill="auto"/>
            <w:vAlign w:val="center"/>
          </w:tcPr>
          <w:p w14:paraId="5556E24D" w14:textId="77777777" w:rsidR="00F925DD" w:rsidRDefault="00F925DD">
            <w:pPr>
              <w:rPr>
                <w:rFonts w:ascii="Times New Roman" w:hAnsi="Times New Roman"/>
                <w:sz w:val="20"/>
                <w:szCs w:val="20"/>
              </w:rPr>
            </w:pPr>
          </w:p>
        </w:tc>
        <w:tc>
          <w:tcPr>
            <w:tcW w:w="50" w:type="pct"/>
            <w:shd w:val="clear" w:color="auto" w:fill="auto"/>
            <w:vAlign w:val="center"/>
          </w:tcPr>
          <w:p w14:paraId="5556E24E" w14:textId="77777777" w:rsidR="00F925DD" w:rsidRDefault="00F925DD">
            <w:pPr>
              <w:rPr>
                <w:rFonts w:ascii="Times New Roman" w:hAnsi="Times New Roman"/>
                <w:sz w:val="20"/>
                <w:szCs w:val="20"/>
              </w:rPr>
            </w:pPr>
          </w:p>
        </w:tc>
        <w:tc>
          <w:tcPr>
            <w:tcW w:w="50" w:type="pct"/>
            <w:shd w:val="clear" w:color="auto" w:fill="auto"/>
            <w:vAlign w:val="center"/>
          </w:tcPr>
          <w:p w14:paraId="5556E24F" w14:textId="77777777" w:rsidR="00F925DD" w:rsidRDefault="00F925DD">
            <w:pPr>
              <w:rPr>
                <w:rFonts w:ascii="Times New Roman" w:hAnsi="Times New Roman"/>
                <w:sz w:val="20"/>
                <w:szCs w:val="20"/>
              </w:rPr>
            </w:pPr>
          </w:p>
        </w:tc>
        <w:tc>
          <w:tcPr>
            <w:tcW w:w="500" w:type="pct"/>
            <w:shd w:val="clear" w:color="auto" w:fill="auto"/>
            <w:vAlign w:val="center"/>
          </w:tcPr>
          <w:p w14:paraId="5556E250" w14:textId="77777777" w:rsidR="00F925DD" w:rsidRDefault="00F925DD">
            <w:pPr>
              <w:rPr>
                <w:rFonts w:ascii="Times New Roman" w:hAnsi="Times New Roman"/>
                <w:sz w:val="20"/>
                <w:szCs w:val="20"/>
              </w:rPr>
            </w:pPr>
          </w:p>
        </w:tc>
        <w:tc>
          <w:tcPr>
            <w:tcW w:w="50" w:type="pct"/>
            <w:shd w:val="clear" w:color="auto" w:fill="auto"/>
            <w:vAlign w:val="center"/>
          </w:tcPr>
          <w:p w14:paraId="5556E251" w14:textId="77777777" w:rsidR="00F925DD" w:rsidRDefault="00F925DD">
            <w:pPr>
              <w:rPr>
                <w:rFonts w:ascii="Times New Roman" w:hAnsi="Times New Roman"/>
                <w:sz w:val="20"/>
                <w:szCs w:val="20"/>
              </w:rPr>
            </w:pPr>
          </w:p>
        </w:tc>
        <w:tc>
          <w:tcPr>
            <w:tcW w:w="50" w:type="pct"/>
            <w:shd w:val="clear" w:color="auto" w:fill="auto"/>
            <w:vAlign w:val="center"/>
          </w:tcPr>
          <w:p w14:paraId="5556E252" w14:textId="77777777" w:rsidR="00F925DD" w:rsidRDefault="00F925DD">
            <w:pPr>
              <w:rPr>
                <w:rFonts w:ascii="Times New Roman" w:hAnsi="Times New Roman"/>
                <w:sz w:val="20"/>
                <w:szCs w:val="20"/>
              </w:rPr>
            </w:pPr>
          </w:p>
        </w:tc>
        <w:tc>
          <w:tcPr>
            <w:tcW w:w="50" w:type="pct"/>
            <w:shd w:val="clear" w:color="auto" w:fill="auto"/>
            <w:vAlign w:val="center"/>
          </w:tcPr>
          <w:p w14:paraId="5556E253" w14:textId="77777777" w:rsidR="00F925DD" w:rsidRDefault="00F925DD">
            <w:pPr>
              <w:rPr>
                <w:rFonts w:ascii="Times New Roman" w:hAnsi="Times New Roman"/>
                <w:sz w:val="20"/>
                <w:szCs w:val="20"/>
              </w:rPr>
            </w:pPr>
          </w:p>
        </w:tc>
        <w:tc>
          <w:tcPr>
            <w:tcW w:w="500" w:type="pct"/>
            <w:shd w:val="clear" w:color="auto" w:fill="auto"/>
            <w:vAlign w:val="center"/>
          </w:tcPr>
          <w:p w14:paraId="5556E254" w14:textId="77777777" w:rsidR="00F925DD" w:rsidRDefault="00F925DD">
            <w:pPr>
              <w:rPr>
                <w:rFonts w:ascii="Times New Roman" w:hAnsi="Times New Roman"/>
                <w:sz w:val="20"/>
                <w:szCs w:val="20"/>
              </w:rPr>
            </w:pPr>
          </w:p>
        </w:tc>
        <w:tc>
          <w:tcPr>
            <w:tcW w:w="50" w:type="pct"/>
            <w:shd w:val="clear" w:color="auto" w:fill="auto"/>
            <w:vAlign w:val="center"/>
          </w:tcPr>
          <w:p w14:paraId="5556E255" w14:textId="77777777" w:rsidR="00F925DD" w:rsidRDefault="00F925DD">
            <w:pPr>
              <w:rPr>
                <w:rFonts w:ascii="Times New Roman" w:hAnsi="Times New Roman"/>
                <w:sz w:val="20"/>
                <w:szCs w:val="20"/>
              </w:rPr>
            </w:pPr>
          </w:p>
        </w:tc>
      </w:tr>
      <w:tr w:rsidR="00F925DD" w14:paraId="5556E259" w14:textId="77777777">
        <w:tc>
          <w:tcPr>
            <w:tcW w:w="0" w:type="auto"/>
            <w:shd w:val="clear" w:color="auto" w:fill="auto"/>
            <w:tcMar>
              <w:top w:w="40" w:type="dxa"/>
              <w:left w:w="40" w:type="dxa"/>
              <w:bottom w:w="40" w:type="dxa"/>
              <w:right w:w="40" w:type="dxa"/>
            </w:tcMar>
            <w:vAlign w:val="bottom"/>
          </w:tcPr>
          <w:p w14:paraId="5556E2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5556E25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Years Ended December 31,</w:t>
            </w:r>
          </w:p>
        </w:tc>
      </w:tr>
      <w:tr w:rsidR="00F925DD" w14:paraId="5556E25E" w14:textId="77777777">
        <w:tc>
          <w:tcPr>
            <w:tcW w:w="0" w:type="auto"/>
            <w:shd w:val="clear" w:color="auto" w:fill="auto"/>
            <w:tcMar>
              <w:top w:w="40" w:type="dxa"/>
              <w:left w:w="40" w:type="dxa"/>
              <w:bottom w:w="40" w:type="dxa"/>
              <w:right w:w="40" w:type="dxa"/>
            </w:tcMar>
            <w:vAlign w:val="bottom"/>
          </w:tcPr>
          <w:p w14:paraId="5556E2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E25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shd w:val="clear" w:color="auto" w:fill="auto"/>
            <w:tcMar>
              <w:top w:w="40" w:type="dxa"/>
              <w:left w:w="40" w:type="dxa"/>
              <w:bottom w:w="40" w:type="dxa"/>
              <w:right w:w="40" w:type="dxa"/>
            </w:tcMar>
            <w:vAlign w:val="bottom"/>
          </w:tcPr>
          <w:p w14:paraId="5556E2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E25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2018</w:t>
            </w:r>
          </w:p>
        </w:tc>
      </w:tr>
      <w:tr w:rsidR="00F925DD" w14:paraId="5556E26B" w14:textId="77777777">
        <w:tc>
          <w:tcPr>
            <w:tcW w:w="0" w:type="auto"/>
            <w:shd w:val="clear" w:color="auto" w:fill="auto"/>
            <w:tcMar>
              <w:top w:w="40" w:type="dxa"/>
              <w:left w:w="40" w:type="dxa"/>
              <w:bottom w:w="40" w:type="dxa"/>
              <w:right w:w="40" w:type="dxa"/>
            </w:tcMar>
            <w:vAlign w:val="bottom"/>
          </w:tcPr>
          <w:p w14:paraId="5556E25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(Dollars in millions, except per share amounts)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26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2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26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Dividends Declared per Depositary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2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26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c>
          <w:tcPr>
            <w:tcW w:w="0" w:type="auto"/>
            <w:shd w:val="clear" w:color="auto" w:fill="auto"/>
            <w:tcMar>
              <w:top w:w="40" w:type="dxa"/>
              <w:left w:w="40" w:type="dxa"/>
              <w:bottom w:w="40" w:type="dxa"/>
              <w:right w:w="40" w:type="dxa"/>
            </w:tcMar>
            <w:vAlign w:val="bottom"/>
          </w:tcPr>
          <w:p w14:paraId="5556E2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26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2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26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 xml:space="preserve">Dividends Declared per </w:t>
            </w:r>
            <w:r>
              <w:rPr>
                <w:rFonts w:ascii="Arial" w:eastAsia="宋体" w:hAnsi="Arial" w:cs="Arial"/>
                <w:b/>
                <w:bCs/>
                <w:sz w:val="15"/>
                <w:szCs w:val="15"/>
              </w:rPr>
              <w:t>Depositary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2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26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r>
      <w:tr w:rsidR="00F925DD" w14:paraId="5556E278" w14:textId="77777777">
        <w:tc>
          <w:tcPr>
            <w:tcW w:w="0" w:type="auto"/>
            <w:shd w:val="clear" w:color="auto" w:fill="auto"/>
            <w:tcMar>
              <w:top w:w="40" w:type="dxa"/>
              <w:left w:w="40" w:type="dxa"/>
              <w:bottom w:w="40" w:type="dxa"/>
              <w:right w:w="40" w:type="dxa"/>
            </w:tcMar>
            <w:vAlign w:val="bottom"/>
          </w:tcPr>
          <w:p w14:paraId="5556E26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Preferred Stock:</w:t>
            </w:r>
          </w:p>
        </w:tc>
        <w:tc>
          <w:tcPr>
            <w:tcW w:w="0" w:type="auto"/>
            <w:gridSpan w:val="3"/>
            <w:shd w:val="clear" w:color="auto" w:fill="auto"/>
            <w:tcMar>
              <w:top w:w="40" w:type="dxa"/>
              <w:left w:w="40" w:type="dxa"/>
              <w:bottom w:w="40" w:type="dxa"/>
              <w:right w:w="40" w:type="dxa"/>
            </w:tcMar>
            <w:vAlign w:val="bottom"/>
          </w:tcPr>
          <w:p w14:paraId="5556E2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2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2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2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2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2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2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2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2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2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2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291" w14:textId="77777777">
        <w:tc>
          <w:tcPr>
            <w:tcW w:w="0" w:type="auto"/>
            <w:shd w:val="clear" w:color="auto" w:fill="CCEEFF"/>
            <w:tcMar>
              <w:top w:w="40" w:type="dxa"/>
              <w:left w:w="40" w:type="dxa"/>
              <w:bottom w:w="40" w:type="dxa"/>
              <w:right w:w="40" w:type="dxa"/>
            </w:tcMar>
            <w:vAlign w:val="bottom"/>
          </w:tcPr>
          <w:p w14:paraId="5556E279" w14:textId="77777777" w:rsidR="00F925DD" w:rsidRDefault="00E705D7">
            <w:pPr>
              <w:textAlignment w:val="bottom"/>
              <w:rPr>
                <w:rFonts w:ascii="Times New Roman" w:hAnsi="Times New Roman"/>
                <w:sz w:val="15"/>
                <w:szCs w:val="15"/>
              </w:rPr>
            </w:pPr>
            <w:r>
              <w:rPr>
                <w:rFonts w:ascii="Arial" w:eastAsia="宋体" w:hAnsi="Arial" w:cs="Arial"/>
                <w:sz w:val="15"/>
                <w:szCs w:val="15"/>
              </w:rPr>
              <w:t>Series C</w:t>
            </w:r>
          </w:p>
        </w:tc>
        <w:tc>
          <w:tcPr>
            <w:tcW w:w="0" w:type="auto"/>
            <w:shd w:val="clear" w:color="auto" w:fill="CCEEFF"/>
            <w:tcMar>
              <w:top w:w="40" w:type="dxa"/>
              <w:left w:w="40" w:type="dxa"/>
              <w:bottom w:w="40" w:type="dxa"/>
            </w:tcMar>
            <w:vAlign w:val="bottom"/>
          </w:tcPr>
          <w:p w14:paraId="5556E27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E27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5,250</w:t>
            </w:r>
          </w:p>
        </w:tc>
        <w:tc>
          <w:tcPr>
            <w:tcW w:w="0" w:type="auto"/>
            <w:shd w:val="clear" w:color="auto" w:fill="CCEEFF"/>
            <w:vAlign w:val="bottom"/>
          </w:tcPr>
          <w:p w14:paraId="5556E27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27E"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E27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1.32</w:t>
            </w:r>
          </w:p>
        </w:tc>
        <w:tc>
          <w:tcPr>
            <w:tcW w:w="0" w:type="auto"/>
            <w:shd w:val="clear" w:color="auto" w:fill="CCEEFF"/>
            <w:vAlign w:val="bottom"/>
          </w:tcPr>
          <w:p w14:paraId="5556E28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28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E28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w:t>
            </w:r>
          </w:p>
        </w:tc>
        <w:tc>
          <w:tcPr>
            <w:tcW w:w="0" w:type="auto"/>
            <w:shd w:val="clear" w:color="auto" w:fill="CCEEFF"/>
            <w:vAlign w:val="bottom"/>
          </w:tcPr>
          <w:p w14:paraId="5556E28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286"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E28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5,250</w:t>
            </w:r>
          </w:p>
        </w:tc>
        <w:tc>
          <w:tcPr>
            <w:tcW w:w="0" w:type="auto"/>
            <w:shd w:val="clear" w:color="auto" w:fill="CCEEFF"/>
            <w:vAlign w:val="bottom"/>
          </w:tcPr>
          <w:p w14:paraId="5556E2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28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E28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1.32</w:t>
            </w:r>
          </w:p>
        </w:tc>
        <w:tc>
          <w:tcPr>
            <w:tcW w:w="0" w:type="auto"/>
            <w:shd w:val="clear" w:color="auto" w:fill="CCEEFF"/>
            <w:vAlign w:val="bottom"/>
          </w:tcPr>
          <w:p w14:paraId="5556E2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28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E28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shd w:val="clear" w:color="auto" w:fill="CCEEFF"/>
            <w:vAlign w:val="bottom"/>
          </w:tcPr>
          <w:p w14:paraId="5556E290" w14:textId="77777777" w:rsidR="00F925DD" w:rsidRDefault="00F925DD">
            <w:pPr>
              <w:textAlignment w:val="bottom"/>
              <w:rPr>
                <w:rFonts w:ascii="Times New Roman" w:hAnsi="Times New Roman"/>
                <w:sz w:val="20"/>
                <w:szCs w:val="20"/>
              </w:rPr>
            </w:pPr>
          </w:p>
        </w:tc>
      </w:tr>
      <w:tr w:rsidR="00F925DD" w14:paraId="5556E2A4" w14:textId="77777777">
        <w:tc>
          <w:tcPr>
            <w:tcW w:w="0" w:type="auto"/>
            <w:shd w:val="clear" w:color="auto" w:fill="auto"/>
            <w:tcMar>
              <w:top w:w="40" w:type="dxa"/>
              <w:left w:w="40" w:type="dxa"/>
              <w:bottom w:w="40" w:type="dxa"/>
              <w:right w:w="40" w:type="dxa"/>
            </w:tcMar>
            <w:vAlign w:val="bottom"/>
          </w:tcPr>
          <w:p w14:paraId="5556E292" w14:textId="77777777" w:rsidR="00F925DD" w:rsidRDefault="00E705D7">
            <w:pPr>
              <w:textAlignment w:val="bottom"/>
              <w:rPr>
                <w:rFonts w:ascii="Times New Roman" w:hAnsi="Times New Roman"/>
                <w:sz w:val="15"/>
                <w:szCs w:val="15"/>
              </w:rPr>
            </w:pPr>
            <w:r>
              <w:rPr>
                <w:rFonts w:ascii="Arial" w:eastAsia="宋体" w:hAnsi="Arial" w:cs="Arial"/>
                <w:sz w:val="15"/>
                <w:szCs w:val="15"/>
              </w:rPr>
              <w:t>Series D</w:t>
            </w:r>
          </w:p>
        </w:tc>
        <w:tc>
          <w:tcPr>
            <w:tcW w:w="0" w:type="auto"/>
            <w:gridSpan w:val="2"/>
            <w:shd w:val="clear" w:color="auto" w:fill="auto"/>
            <w:tcMar>
              <w:top w:w="40" w:type="dxa"/>
              <w:left w:w="40" w:type="dxa"/>
              <w:bottom w:w="40" w:type="dxa"/>
            </w:tcMar>
            <w:vAlign w:val="bottom"/>
          </w:tcPr>
          <w:p w14:paraId="5556E29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5,900</w:t>
            </w:r>
          </w:p>
        </w:tc>
        <w:tc>
          <w:tcPr>
            <w:tcW w:w="0" w:type="auto"/>
            <w:shd w:val="clear" w:color="auto" w:fill="auto"/>
            <w:vAlign w:val="bottom"/>
          </w:tcPr>
          <w:p w14:paraId="5556E29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9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1.48</w:t>
            </w:r>
          </w:p>
        </w:tc>
        <w:tc>
          <w:tcPr>
            <w:tcW w:w="0" w:type="auto"/>
            <w:shd w:val="clear" w:color="auto" w:fill="auto"/>
            <w:vAlign w:val="bottom"/>
          </w:tcPr>
          <w:p w14:paraId="5556E29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9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44</w:t>
            </w:r>
          </w:p>
        </w:tc>
        <w:tc>
          <w:tcPr>
            <w:tcW w:w="0" w:type="auto"/>
            <w:shd w:val="clear" w:color="auto" w:fill="auto"/>
            <w:vAlign w:val="bottom"/>
          </w:tcPr>
          <w:p w14:paraId="5556E29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9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5,900</w:t>
            </w:r>
          </w:p>
        </w:tc>
        <w:tc>
          <w:tcPr>
            <w:tcW w:w="0" w:type="auto"/>
            <w:shd w:val="clear" w:color="auto" w:fill="auto"/>
            <w:vAlign w:val="bottom"/>
          </w:tcPr>
          <w:p w14:paraId="5556E29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9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1.48</w:t>
            </w:r>
          </w:p>
        </w:tc>
        <w:tc>
          <w:tcPr>
            <w:tcW w:w="0" w:type="auto"/>
            <w:shd w:val="clear" w:color="auto" w:fill="auto"/>
            <w:vAlign w:val="bottom"/>
          </w:tcPr>
          <w:p w14:paraId="5556E2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A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44</w:t>
            </w:r>
          </w:p>
        </w:tc>
        <w:tc>
          <w:tcPr>
            <w:tcW w:w="0" w:type="auto"/>
            <w:shd w:val="clear" w:color="auto" w:fill="auto"/>
            <w:vAlign w:val="bottom"/>
          </w:tcPr>
          <w:p w14:paraId="5556E2A3" w14:textId="77777777" w:rsidR="00F925DD" w:rsidRDefault="00F925DD">
            <w:pPr>
              <w:textAlignment w:val="bottom"/>
              <w:rPr>
                <w:rFonts w:ascii="Times New Roman" w:hAnsi="Times New Roman"/>
                <w:sz w:val="20"/>
                <w:szCs w:val="20"/>
              </w:rPr>
            </w:pPr>
          </w:p>
        </w:tc>
      </w:tr>
      <w:tr w:rsidR="00F925DD" w14:paraId="5556E2B7" w14:textId="77777777">
        <w:tc>
          <w:tcPr>
            <w:tcW w:w="0" w:type="auto"/>
            <w:shd w:val="clear" w:color="auto" w:fill="CCEEFF"/>
            <w:tcMar>
              <w:top w:w="40" w:type="dxa"/>
              <w:left w:w="40" w:type="dxa"/>
              <w:bottom w:w="40" w:type="dxa"/>
              <w:right w:w="40" w:type="dxa"/>
            </w:tcMar>
            <w:vAlign w:val="bottom"/>
          </w:tcPr>
          <w:p w14:paraId="5556E2A5" w14:textId="77777777" w:rsidR="00F925DD" w:rsidRDefault="00E705D7">
            <w:pPr>
              <w:textAlignment w:val="bottom"/>
              <w:rPr>
                <w:rFonts w:ascii="Times New Roman" w:hAnsi="Times New Roman"/>
                <w:sz w:val="15"/>
                <w:szCs w:val="15"/>
              </w:rPr>
            </w:pPr>
            <w:r>
              <w:rPr>
                <w:rFonts w:ascii="Arial" w:eastAsia="宋体" w:hAnsi="Arial" w:cs="Arial"/>
                <w:sz w:val="15"/>
                <w:szCs w:val="15"/>
              </w:rPr>
              <w:t>Series E</w:t>
            </w:r>
          </w:p>
        </w:tc>
        <w:tc>
          <w:tcPr>
            <w:tcW w:w="0" w:type="auto"/>
            <w:gridSpan w:val="2"/>
            <w:shd w:val="clear" w:color="auto" w:fill="CCEEFF"/>
            <w:tcMar>
              <w:top w:w="40" w:type="dxa"/>
              <w:left w:w="40" w:type="dxa"/>
              <w:bottom w:w="40" w:type="dxa"/>
            </w:tcMar>
            <w:vAlign w:val="bottom"/>
          </w:tcPr>
          <w:p w14:paraId="5556E2A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6,000</w:t>
            </w:r>
          </w:p>
        </w:tc>
        <w:tc>
          <w:tcPr>
            <w:tcW w:w="0" w:type="auto"/>
            <w:shd w:val="clear" w:color="auto" w:fill="CCEEFF"/>
            <w:vAlign w:val="bottom"/>
          </w:tcPr>
          <w:p w14:paraId="5556E2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2A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1.52</w:t>
            </w:r>
          </w:p>
        </w:tc>
        <w:tc>
          <w:tcPr>
            <w:tcW w:w="0" w:type="auto"/>
            <w:shd w:val="clear" w:color="auto" w:fill="CCEEFF"/>
            <w:vAlign w:val="bottom"/>
          </w:tcPr>
          <w:p w14:paraId="5556E2A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2A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45</w:t>
            </w:r>
          </w:p>
        </w:tc>
        <w:tc>
          <w:tcPr>
            <w:tcW w:w="0" w:type="auto"/>
            <w:shd w:val="clear" w:color="auto" w:fill="CCEEFF"/>
            <w:vAlign w:val="bottom"/>
          </w:tcPr>
          <w:p w14:paraId="5556E2A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2A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6,000</w:t>
            </w:r>
          </w:p>
        </w:tc>
        <w:tc>
          <w:tcPr>
            <w:tcW w:w="0" w:type="auto"/>
            <w:shd w:val="clear" w:color="auto" w:fill="CCEEFF"/>
            <w:vAlign w:val="bottom"/>
          </w:tcPr>
          <w:p w14:paraId="5556E2B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2B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1.52</w:t>
            </w:r>
          </w:p>
        </w:tc>
        <w:tc>
          <w:tcPr>
            <w:tcW w:w="0" w:type="auto"/>
            <w:shd w:val="clear" w:color="auto" w:fill="CCEEFF"/>
            <w:vAlign w:val="bottom"/>
          </w:tcPr>
          <w:p w14:paraId="5556E2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2B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45</w:t>
            </w:r>
          </w:p>
        </w:tc>
        <w:tc>
          <w:tcPr>
            <w:tcW w:w="0" w:type="auto"/>
            <w:shd w:val="clear" w:color="auto" w:fill="CCEEFF"/>
            <w:vAlign w:val="bottom"/>
          </w:tcPr>
          <w:p w14:paraId="5556E2B6" w14:textId="77777777" w:rsidR="00F925DD" w:rsidRDefault="00F925DD">
            <w:pPr>
              <w:textAlignment w:val="bottom"/>
              <w:rPr>
                <w:rFonts w:ascii="Times New Roman" w:hAnsi="Times New Roman"/>
                <w:sz w:val="20"/>
                <w:szCs w:val="20"/>
              </w:rPr>
            </w:pPr>
          </w:p>
        </w:tc>
      </w:tr>
      <w:tr w:rsidR="00F925DD" w14:paraId="5556E2CA" w14:textId="77777777">
        <w:tc>
          <w:tcPr>
            <w:tcW w:w="0" w:type="auto"/>
            <w:shd w:val="clear" w:color="auto" w:fill="auto"/>
            <w:tcMar>
              <w:top w:w="40" w:type="dxa"/>
              <w:left w:w="40" w:type="dxa"/>
              <w:bottom w:w="40" w:type="dxa"/>
              <w:right w:w="40" w:type="dxa"/>
            </w:tcMar>
            <w:vAlign w:val="bottom"/>
          </w:tcPr>
          <w:p w14:paraId="5556E2B8" w14:textId="77777777" w:rsidR="00F925DD" w:rsidRDefault="00E705D7">
            <w:pPr>
              <w:textAlignment w:val="bottom"/>
              <w:rPr>
                <w:rFonts w:ascii="Times New Roman" w:hAnsi="Times New Roman"/>
                <w:sz w:val="15"/>
                <w:szCs w:val="15"/>
              </w:rPr>
            </w:pPr>
            <w:r>
              <w:rPr>
                <w:rFonts w:ascii="Arial" w:eastAsia="宋体" w:hAnsi="Arial" w:cs="Arial"/>
                <w:sz w:val="15"/>
                <w:szCs w:val="15"/>
              </w:rPr>
              <w:t>Series F</w:t>
            </w:r>
          </w:p>
        </w:tc>
        <w:tc>
          <w:tcPr>
            <w:tcW w:w="0" w:type="auto"/>
            <w:gridSpan w:val="2"/>
            <w:shd w:val="clear" w:color="auto" w:fill="auto"/>
            <w:tcMar>
              <w:top w:w="40" w:type="dxa"/>
              <w:left w:w="40" w:type="dxa"/>
              <w:bottom w:w="40" w:type="dxa"/>
            </w:tcMar>
            <w:vAlign w:val="bottom"/>
          </w:tcPr>
          <w:p w14:paraId="5556E2B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5,250</w:t>
            </w:r>
          </w:p>
        </w:tc>
        <w:tc>
          <w:tcPr>
            <w:tcW w:w="0" w:type="auto"/>
            <w:shd w:val="clear" w:color="auto" w:fill="auto"/>
            <w:vAlign w:val="bottom"/>
          </w:tcPr>
          <w:p w14:paraId="5556E2B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B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52.50</w:t>
            </w:r>
          </w:p>
        </w:tc>
        <w:tc>
          <w:tcPr>
            <w:tcW w:w="0" w:type="auto"/>
            <w:shd w:val="clear" w:color="auto" w:fill="auto"/>
            <w:vAlign w:val="bottom"/>
          </w:tcPr>
          <w:p w14:paraId="5556E2B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B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40</w:t>
            </w:r>
          </w:p>
        </w:tc>
        <w:tc>
          <w:tcPr>
            <w:tcW w:w="0" w:type="auto"/>
            <w:shd w:val="clear" w:color="auto" w:fill="auto"/>
            <w:vAlign w:val="bottom"/>
          </w:tcPr>
          <w:p w14:paraId="5556E2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C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5,250</w:t>
            </w:r>
          </w:p>
        </w:tc>
        <w:tc>
          <w:tcPr>
            <w:tcW w:w="0" w:type="auto"/>
            <w:shd w:val="clear" w:color="auto" w:fill="auto"/>
            <w:vAlign w:val="bottom"/>
          </w:tcPr>
          <w:p w14:paraId="5556E2C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C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52.50</w:t>
            </w:r>
          </w:p>
        </w:tc>
        <w:tc>
          <w:tcPr>
            <w:tcW w:w="0" w:type="auto"/>
            <w:shd w:val="clear" w:color="auto" w:fill="auto"/>
            <w:vAlign w:val="bottom"/>
          </w:tcPr>
          <w:p w14:paraId="5556E2C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C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40</w:t>
            </w:r>
          </w:p>
        </w:tc>
        <w:tc>
          <w:tcPr>
            <w:tcW w:w="0" w:type="auto"/>
            <w:shd w:val="clear" w:color="auto" w:fill="auto"/>
            <w:vAlign w:val="bottom"/>
          </w:tcPr>
          <w:p w14:paraId="5556E2C9" w14:textId="77777777" w:rsidR="00F925DD" w:rsidRDefault="00F925DD">
            <w:pPr>
              <w:textAlignment w:val="bottom"/>
              <w:rPr>
                <w:rFonts w:ascii="Times New Roman" w:hAnsi="Times New Roman"/>
                <w:sz w:val="20"/>
                <w:szCs w:val="20"/>
              </w:rPr>
            </w:pPr>
          </w:p>
        </w:tc>
      </w:tr>
      <w:tr w:rsidR="00F925DD" w14:paraId="5556E2DD" w14:textId="77777777">
        <w:tc>
          <w:tcPr>
            <w:tcW w:w="0" w:type="auto"/>
            <w:shd w:val="clear" w:color="auto" w:fill="CCEEFF"/>
            <w:tcMar>
              <w:top w:w="40" w:type="dxa"/>
              <w:left w:w="40" w:type="dxa"/>
              <w:bottom w:w="40" w:type="dxa"/>
              <w:right w:w="40" w:type="dxa"/>
            </w:tcMar>
            <w:vAlign w:val="bottom"/>
          </w:tcPr>
          <w:p w14:paraId="5556E2CB" w14:textId="77777777" w:rsidR="00F925DD" w:rsidRDefault="00E705D7">
            <w:pPr>
              <w:textAlignment w:val="bottom"/>
              <w:rPr>
                <w:rFonts w:ascii="Times New Roman" w:hAnsi="Times New Roman"/>
                <w:sz w:val="15"/>
                <w:szCs w:val="15"/>
              </w:rPr>
            </w:pPr>
            <w:r>
              <w:rPr>
                <w:rFonts w:ascii="Arial" w:eastAsia="宋体" w:hAnsi="Arial" w:cs="Arial"/>
                <w:sz w:val="15"/>
                <w:szCs w:val="15"/>
              </w:rPr>
              <w:t>Series G</w:t>
            </w:r>
          </w:p>
        </w:tc>
        <w:tc>
          <w:tcPr>
            <w:tcW w:w="0" w:type="auto"/>
            <w:gridSpan w:val="2"/>
            <w:shd w:val="clear" w:color="auto" w:fill="CCEEFF"/>
            <w:tcMar>
              <w:top w:w="40" w:type="dxa"/>
              <w:left w:w="40" w:type="dxa"/>
              <w:bottom w:w="40" w:type="dxa"/>
            </w:tcMar>
            <w:vAlign w:val="bottom"/>
          </w:tcPr>
          <w:p w14:paraId="5556E2C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5,352</w:t>
            </w:r>
          </w:p>
        </w:tc>
        <w:tc>
          <w:tcPr>
            <w:tcW w:w="0" w:type="auto"/>
            <w:shd w:val="clear" w:color="auto" w:fill="CCEEFF"/>
            <w:vAlign w:val="bottom"/>
          </w:tcPr>
          <w:p w14:paraId="5556E2C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2C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1.32</w:t>
            </w:r>
          </w:p>
        </w:tc>
        <w:tc>
          <w:tcPr>
            <w:tcW w:w="0" w:type="auto"/>
            <w:shd w:val="clear" w:color="auto" w:fill="CCEEFF"/>
            <w:vAlign w:val="bottom"/>
          </w:tcPr>
          <w:p w14:paraId="5556E2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2D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w:t>
            </w:r>
          </w:p>
        </w:tc>
        <w:tc>
          <w:tcPr>
            <w:tcW w:w="0" w:type="auto"/>
            <w:shd w:val="clear" w:color="auto" w:fill="CCEEFF"/>
            <w:vAlign w:val="bottom"/>
          </w:tcPr>
          <w:p w14:paraId="5556E2D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2D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5,352</w:t>
            </w:r>
          </w:p>
        </w:tc>
        <w:tc>
          <w:tcPr>
            <w:tcW w:w="0" w:type="auto"/>
            <w:shd w:val="clear" w:color="auto" w:fill="CCEEFF"/>
            <w:vAlign w:val="bottom"/>
          </w:tcPr>
          <w:p w14:paraId="5556E2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2D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1.32</w:t>
            </w:r>
          </w:p>
        </w:tc>
        <w:tc>
          <w:tcPr>
            <w:tcW w:w="0" w:type="auto"/>
            <w:shd w:val="clear" w:color="auto" w:fill="CCEEFF"/>
            <w:vAlign w:val="bottom"/>
          </w:tcPr>
          <w:p w14:paraId="5556E2D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2D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27</w:t>
            </w:r>
          </w:p>
        </w:tc>
        <w:tc>
          <w:tcPr>
            <w:tcW w:w="0" w:type="auto"/>
            <w:shd w:val="clear" w:color="auto" w:fill="CCEEFF"/>
            <w:vAlign w:val="bottom"/>
          </w:tcPr>
          <w:p w14:paraId="5556E2DC" w14:textId="77777777" w:rsidR="00F925DD" w:rsidRDefault="00F925DD">
            <w:pPr>
              <w:textAlignment w:val="bottom"/>
              <w:rPr>
                <w:rFonts w:ascii="Times New Roman" w:hAnsi="Times New Roman"/>
                <w:sz w:val="20"/>
                <w:szCs w:val="20"/>
              </w:rPr>
            </w:pPr>
          </w:p>
        </w:tc>
      </w:tr>
      <w:tr w:rsidR="00F925DD" w14:paraId="5556E2F0" w14:textId="77777777">
        <w:tc>
          <w:tcPr>
            <w:tcW w:w="0" w:type="auto"/>
            <w:shd w:val="clear" w:color="auto" w:fill="auto"/>
            <w:tcMar>
              <w:top w:w="40" w:type="dxa"/>
              <w:left w:w="40" w:type="dxa"/>
              <w:bottom w:w="40" w:type="dxa"/>
              <w:right w:w="40" w:type="dxa"/>
            </w:tcMar>
            <w:vAlign w:val="bottom"/>
          </w:tcPr>
          <w:p w14:paraId="5556E2DE" w14:textId="77777777" w:rsidR="00F925DD" w:rsidRDefault="00E705D7">
            <w:pPr>
              <w:textAlignment w:val="bottom"/>
              <w:rPr>
                <w:rFonts w:ascii="Times New Roman" w:hAnsi="Times New Roman"/>
                <w:sz w:val="15"/>
                <w:szCs w:val="15"/>
              </w:rPr>
            </w:pPr>
            <w:r>
              <w:rPr>
                <w:rFonts w:ascii="Arial" w:eastAsia="宋体" w:hAnsi="Arial" w:cs="Arial"/>
                <w:sz w:val="15"/>
                <w:szCs w:val="15"/>
              </w:rPr>
              <w:t>Series H</w:t>
            </w:r>
          </w:p>
        </w:tc>
        <w:tc>
          <w:tcPr>
            <w:tcW w:w="0" w:type="auto"/>
            <w:gridSpan w:val="2"/>
            <w:shd w:val="clear" w:color="auto" w:fill="auto"/>
            <w:tcMar>
              <w:top w:w="40" w:type="dxa"/>
              <w:left w:w="40" w:type="dxa"/>
              <w:bottom w:w="40" w:type="dxa"/>
            </w:tcMar>
            <w:vAlign w:val="bottom"/>
          </w:tcPr>
          <w:p w14:paraId="5556E2D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5,625</w:t>
            </w:r>
          </w:p>
        </w:tc>
        <w:tc>
          <w:tcPr>
            <w:tcW w:w="0" w:type="auto"/>
            <w:shd w:val="clear" w:color="auto" w:fill="auto"/>
            <w:vAlign w:val="bottom"/>
          </w:tcPr>
          <w:p w14:paraId="5556E2E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E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56.25</w:t>
            </w:r>
          </w:p>
        </w:tc>
        <w:tc>
          <w:tcPr>
            <w:tcW w:w="0" w:type="auto"/>
            <w:shd w:val="clear" w:color="auto" w:fill="auto"/>
            <w:vAlign w:val="bottom"/>
          </w:tcPr>
          <w:p w14:paraId="5556E2E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2E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28</w:t>
            </w:r>
          </w:p>
        </w:tc>
        <w:tc>
          <w:tcPr>
            <w:tcW w:w="0" w:type="auto"/>
            <w:tcBorders>
              <w:bottom w:val="single" w:sz="8" w:space="0" w:color="000000"/>
            </w:tcBorders>
            <w:shd w:val="clear" w:color="auto" w:fill="auto"/>
            <w:vAlign w:val="bottom"/>
          </w:tcPr>
          <w:p w14:paraId="5556E2E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E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1,219</w:t>
            </w:r>
          </w:p>
        </w:tc>
        <w:tc>
          <w:tcPr>
            <w:tcW w:w="0" w:type="auto"/>
            <w:shd w:val="clear" w:color="auto" w:fill="auto"/>
            <w:vAlign w:val="bottom"/>
          </w:tcPr>
          <w:p w14:paraId="5556E2E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E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12.18</w:t>
            </w:r>
          </w:p>
        </w:tc>
        <w:tc>
          <w:tcPr>
            <w:tcW w:w="0" w:type="auto"/>
            <w:shd w:val="clear" w:color="auto" w:fill="auto"/>
            <w:vAlign w:val="bottom"/>
          </w:tcPr>
          <w:p w14:paraId="5556E2E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2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2E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shd w:val="clear" w:color="auto" w:fill="auto"/>
            <w:vAlign w:val="bottom"/>
          </w:tcPr>
          <w:p w14:paraId="5556E2EF" w14:textId="77777777" w:rsidR="00F925DD" w:rsidRDefault="00F925DD">
            <w:pPr>
              <w:textAlignment w:val="bottom"/>
              <w:rPr>
                <w:rFonts w:ascii="Times New Roman" w:hAnsi="Times New Roman"/>
                <w:sz w:val="20"/>
                <w:szCs w:val="20"/>
              </w:rPr>
            </w:pPr>
          </w:p>
        </w:tc>
      </w:tr>
      <w:tr w:rsidR="00F925DD" w14:paraId="5556E301" w14:textId="77777777">
        <w:tc>
          <w:tcPr>
            <w:tcW w:w="0" w:type="auto"/>
            <w:shd w:val="clear" w:color="auto" w:fill="CCEEFF"/>
            <w:tcMar>
              <w:top w:w="40" w:type="dxa"/>
              <w:left w:w="40" w:type="dxa"/>
              <w:bottom w:w="40" w:type="dxa"/>
              <w:right w:w="40" w:type="dxa"/>
            </w:tcMar>
            <w:vAlign w:val="bottom"/>
          </w:tcPr>
          <w:p w14:paraId="5556E2F1" w14:textId="77777777" w:rsidR="00F925DD" w:rsidRDefault="00E705D7">
            <w:pPr>
              <w:textAlignment w:val="bottom"/>
              <w:rPr>
                <w:rFonts w:ascii="Times New Roman" w:hAnsi="Times New Roman"/>
                <w:sz w:val="15"/>
                <w:szCs w:val="15"/>
              </w:rPr>
            </w:pPr>
            <w:r>
              <w:rPr>
                <w:rFonts w:ascii="Arial" w:eastAsia="宋体" w:hAnsi="Arial" w:cs="Arial"/>
                <w:sz w:val="15"/>
                <w:szCs w:val="15"/>
                <w:shd w:val="clear" w:color="auto" w:fill="CCEEFF"/>
              </w:rPr>
              <w:t>Total</w:t>
            </w:r>
          </w:p>
        </w:tc>
        <w:tc>
          <w:tcPr>
            <w:tcW w:w="0" w:type="auto"/>
            <w:gridSpan w:val="3"/>
            <w:shd w:val="clear" w:color="auto" w:fill="CCEEFF"/>
            <w:tcMar>
              <w:top w:w="40" w:type="dxa"/>
              <w:left w:w="40" w:type="dxa"/>
              <w:bottom w:w="40" w:type="dxa"/>
              <w:right w:w="40" w:type="dxa"/>
            </w:tcMar>
            <w:vAlign w:val="bottom"/>
          </w:tcPr>
          <w:p w14:paraId="5556E2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2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2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2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2F6"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2F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210</w:t>
            </w:r>
          </w:p>
        </w:tc>
        <w:tc>
          <w:tcPr>
            <w:tcW w:w="0" w:type="auto"/>
            <w:tcBorders>
              <w:top w:val="single" w:sz="8" w:space="0" w:color="000000"/>
              <w:bottom w:val="double" w:sz="6" w:space="0" w:color="000000"/>
            </w:tcBorders>
            <w:shd w:val="clear" w:color="auto" w:fill="CCEEFF"/>
            <w:vAlign w:val="bottom"/>
          </w:tcPr>
          <w:p w14:paraId="5556E2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2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2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2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2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2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2F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2F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188</w:t>
            </w:r>
          </w:p>
        </w:tc>
        <w:tc>
          <w:tcPr>
            <w:tcW w:w="0" w:type="auto"/>
            <w:tcBorders>
              <w:top w:val="single" w:sz="8" w:space="0" w:color="000000"/>
              <w:bottom w:val="double" w:sz="6" w:space="0" w:color="000000"/>
            </w:tcBorders>
            <w:shd w:val="clear" w:color="auto" w:fill="CCEEFF"/>
            <w:vAlign w:val="bottom"/>
          </w:tcPr>
          <w:p w14:paraId="5556E300" w14:textId="77777777" w:rsidR="00F925DD" w:rsidRDefault="00F925DD">
            <w:pPr>
              <w:textAlignment w:val="bottom"/>
              <w:rPr>
                <w:rFonts w:ascii="Times New Roman" w:hAnsi="Times New Roman"/>
                <w:sz w:val="20"/>
                <w:szCs w:val="20"/>
              </w:rPr>
            </w:pPr>
          </w:p>
        </w:tc>
      </w:tr>
    </w:tbl>
    <w:p w14:paraId="5556E302" w14:textId="77777777" w:rsidR="00F925DD" w:rsidRDefault="00F925DD">
      <w:pPr>
        <w:spacing w:line="288" w:lineRule="auto"/>
        <w:jc w:val="both"/>
        <w:rPr>
          <w:rFonts w:ascii="Times New Roman" w:hAnsi="Times New Roman"/>
          <w:sz w:val="20"/>
          <w:szCs w:val="20"/>
        </w:rPr>
      </w:pPr>
    </w:p>
    <w:p w14:paraId="5556E30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February 2020, we declared dividends on our series D, F and G preferred stock of approximately $1,475, $2,625 and $1,338, </w:t>
      </w:r>
      <w:r>
        <w:rPr>
          <w:rFonts w:ascii="Arial" w:eastAsia="宋体" w:hAnsi="Arial" w:cs="Arial"/>
          <w:sz w:val="20"/>
          <w:szCs w:val="20"/>
        </w:rPr>
        <w:t>respectively, per share, or approximately $0.37, $26.25 and $0.33, respectively, per depositary share. These dividends total approximately $11 million, $20 million and $7 million on our series D, F and G preferred stock, respectively, which will be paid in</w:t>
      </w:r>
      <w:r>
        <w:rPr>
          <w:rFonts w:ascii="Arial" w:eastAsia="宋体" w:hAnsi="Arial" w:cs="Arial"/>
          <w:sz w:val="20"/>
          <w:szCs w:val="20"/>
        </w:rPr>
        <w:t xml:space="preserve"> March 2020. We also announced dividends on our series C preferred stock of approximately $1,313, per share, or approximately $0.33 per depositary share, totaling approximately $6 million, which will be paid in March 2020.</w:t>
      </w:r>
    </w:p>
    <w:p w14:paraId="5556E304"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Common Stock</w:t>
      </w:r>
    </w:p>
    <w:p w14:paraId="5556E30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June 2019, our Bo</w:t>
      </w:r>
      <w:r>
        <w:rPr>
          <w:rFonts w:ascii="Arial" w:eastAsia="宋体" w:hAnsi="Arial" w:cs="Arial"/>
          <w:sz w:val="20"/>
          <w:szCs w:val="20"/>
        </w:rPr>
        <w:t>ard approved a common stock purchase program authorizing the purchase of up to $2.0 billion of our common stock from July 1, 2019 through June 30, 2020 (the 2019 Program). We repurchased $500 million of our common stock in each of the third and fourth quar</w:t>
      </w:r>
      <w:r>
        <w:rPr>
          <w:rFonts w:ascii="Arial" w:eastAsia="宋体" w:hAnsi="Arial" w:cs="Arial"/>
          <w:sz w:val="20"/>
          <w:szCs w:val="20"/>
        </w:rPr>
        <w:t>ters of 2019 under the 2019 Program.</w:t>
      </w:r>
    </w:p>
    <w:p w14:paraId="5556E30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June 2018, our Board approved a common stock purchase program authorizing the purchase of up to $1.2 billion of our common stock through June 30, 2019 (the 2018 Program). We repurchased $300 million of our common sto</w:t>
      </w:r>
      <w:r>
        <w:rPr>
          <w:rFonts w:ascii="Arial" w:eastAsia="宋体" w:hAnsi="Arial" w:cs="Arial"/>
          <w:sz w:val="20"/>
          <w:szCs w:val="20"/>
        </w:rPr>
        <w:t>ck in each of the first and second quarters of 2019 under the 2018 Program.</w:t>
      </w:r>
    </w:p>
    <w:p w14:paraId="5556E30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table below presents the activity under our common stock purchase program during the year ended December 31, 2019:</w:t>
      </w:r>
    </w:p>
    <w:tbl>
      <w:tblPr>
        <w:tblW w:w="5000" w:type="pct"/>
        <w:tblCellMar>
          <w:left w:w="0" w:type="dxa"/>
          <w:right w:w="0" w:type="dxa"/>
        </w:tblCellMar>
        <w:tblLook w:val="04A0" w:firstRow="1" w:lastRow="0" w:firstColumn="1" w:lastColumn="0" w:noHBand="0" w:noVBand="1"/>
      </w:tblPr>
      <w:tblGrid>
        <w:gridCol w:w="1886"/>
        <w:gridCol w:w="1969"/>
        <w:gridCol w:w="59"/>
        <w:gridCol w:w="130"/>
        <w:gridCol w:w="119"/>
        <w:gridCol w:w="1887"/>
        <w:gridCol w:w="60"/>
        <w:gridCol w:w="130"/>
        <w:gridCol w:w="119"/>
        <w:gridCol w:w="1887"/>
        <w:gridCol w:w="60"/>
      </w:tblGrid>
      <w:tr w:rsidR="00F925DD" w14:paraId="5556E309" w14:textId="77777777">
        <w:tc>
          <w:tcPr>
            <w:tcW w:w="0" w:type="auto"/>
            <w:gridSpan w:val="11"/>
            <w:shd w:val="clear" w:color="auto" w:fill="auto"/>
            <w:vAlign w:val="center"/>
          </w:tcPr>
          <w:p w14:paraId="5556E308" w14:textId="77777777" w:rsidR="00F925DD" w:rsidRDefault="00F925DD">
            <w:pPr>
              <w:rPr>
                <w:rFonts w:ascii="Times New Roman" w:hAnsi="Times New Roman"/>
                <w:sz w:val="20"/>
                <w:szCs w:val="20"/>
              </w:rPr>
            </w:pPr>
          </w:p>
        </w:tc>
      </w:tr>
      <w:tr w:rsidR="00F925DD" w14:paraId="5556E315" w14:textId="77777777">
        <w:tc>
          <w:tcPr>
            <w:tcW w:w="1150" w:type="pct"/>
            <w:shd w:val="clear" w:color="auto" w:fill="auto"/>
            <w:vAlign w:val="center"/>
          </w:tcPr>
          <w:p w14:paraId="5556E30A" w14:textId="77777777" w:rsidR="00F925DD" w:rsidRDefault="00F925DD">
            <w:pPr>
              <w:rPr>
                <w:rFonts w:ascii="Times New Roman" w:hAnsi="Times New Roman"/>
                <w:sz w:val="20"/>
                <w:szCs w:val="20"/>
              </w:rPr>
            </w:pPr>
          </w:p>
        </w:tc>
        <w:tc>
          <w:tcPr>
            <w:tcW w:w="1200" w:type="pct"/>
            <w:shd w:val="clear" w:color="auto" w:fill="auto"/>
            <w:vAlign w:val="center"/>
          </w:tcPr>
          <w:p w14:paraId="5556E30B" w14:textId="77777777" w:rsidR="00F925DD" w:rsidRDefault="00F925DD">
            <w:pPr>
              <w:rPr>
                <w:rFonts w:ascii="Times New Roman" w:hAnsi="Times New Roman"/>
                <w:sz w:val="20"/>
                <w:szCs w:val="20"/>
              </w:rPr>
            </w:pPr>
          </w:p>
        </w:tc>
        <w:tc>
          <w:tcPr>
            <w:tcW w:w="50" w:type="pct"/>
            <w:shd w:val="clear" w:color="auto" w:fill="auto"/>
            <w:vAlign w:val="center"/>
          </w:tcPr>
          <w:p w14:paraId="5556E30C" w14:textId="77777777" w:rsidR="00F925DD" w:rsidRDefault="00F925DD">
            <w:pPr>
              <w:rPr>
                <w:rFonts w:ascii="Times New Roman" w:hAnsi="Times New Roman"/>
                <w:sz w:val="20"/>
                <w:szCs w:val="20"/>
              </w:rPr>
            </w:pPr>
          </w:p>
        </w:tc>
        <w:tc>
          <w:tcPr>
            <w:tcW w:w="50" w:type="pct"/>
            <w:shd w:val="clear" w:color="auto" w:fill="auto"/>
            <w:vAlign w:val="center"/>
          </w:tcPr>
          <w:p w14:paraId="5556E30D" w14:textId="77777777" w:rsidR="00F925DD" w:rsidRDefault="00F925DD">
            <w:pPr>
              <w:rPr>
                <w:rFonts w:ascii="Times New Roman" w:hAnsi="Times New Roman"/>
                <w:sz w:val="20"/>
                <w:szCs w:val="20"/>
              </w:rPr>
            </w:pPr>
          </w:p>
        </w:tc>
        <w:tc>
          <w:tcPr>
            <w:tcW w:w="50" w:type="pct"/>
            <w:shd w:val="clear" w:color="auto" w:fill="auto"/>
            <w:vAlign w:val="center"/>
          </w:tcPr>
          <w:p w14:paraId="5556E30E" w14:textId="77777777" w:rsidR="00F925DD" w:rsidRDefault="00F925DD">
            <w:pPr>
              <w:rPr>
                <w:rFonts w:ascii="Times New Roman" w:hAnsi="Times New Roman"/>
                <w:sz w:val="20"/>
                <w:szCs w:val="20"/>
              </w:rPr>
            </w:pPr>
          </w:p>
        </w:tc>
        <w:tc>
          <w:tcPr>
            <w:tcW w:w="1150" w:type="pct"/>
            <w:shd w:val="clear" w:color="auto" w:fill="auto"/>
            <w:vAlign w:val="center"/>
          </w:tcPr>
          <w:p w14:paraId="5556E30F" w14:textId="77777777" w:rsidR="00F925DD" w:rsidRDefault="00F925DD">
            <w:pPr>
              <w:rPr>
                <w:rFonts w:ascii="Times New Roman" w:hAnsi="Times New Roman"/>
                <w:sz w:val="20"/>
                <w:szCs w:val="20"/>
              </w:rPr>
            </w:pPr>
          </w:p>
        </w:tc>
        <w:tc>
          <w:tcPr>
            <w:tcW w:w="50" w:type="pct"/>
            <w:shd w:val="clear" w:color="auto" w:fill="auto"/>
            <w:vAlign w:val="center"/>
          </w:tcPr>
          <w:p w14:paraId="5556E310" w14:textId="77777777" w:rsidR="00F925DD" w:rsidRDefault="00F925DD">
            <w:pPr>
              <w:rPr>
                <w:rFonts w:ascii="Times New Roman" w:hAnsi="Times New Roman"/>
                <w:sz w:val="20"/>
                <w:szCs w:val="20"/>
              </w:rPr>
            </w:pPr>
          </w:p>
        </w:tc>
        <w:tc>
          <w:tcPr>
            <w:tcW w:w="50" w:type="pct"/>
            <w:shd w:val="clear" w:color="auto" w:fill="auto"/>
            <w:vAlign w:val="center"/>
          </w:tcPr>
          <w:p w14:paraId="5556E311" w14:textId="77777777" w:rsidR="00F925DD" w:rsidRDefault="00F925DD">
            <w:pPr>
              <w:rPr>
                <w:rFonts w:ascii="Times New Roman" w:hAnsi="Times New Roman"/>
                <w:sz w:val="20"/>
                <w:szCs w:val="20"/>
              </w:rPr>
            </w:pPr>
          </w:p>
        </w:tc>
        <w:tc>
          <w:tcPr>
            <w:tcW w:w="50" w:type="pct"/>
            <w:shd w:val="clear" w:color="auto" w:fill="auto"/>
            <w:vAlign w:val="center"/>
          </w:tcPr>
          <w:p w14:paraId="5556E312" w14:textId="77777777" w:rsidR="00F925DD" w:rsidRDefault="00F925DD">
            <w:pPr>
              <w:rPr>
                <w:rFonts w:ascii="Times New Roman" w:hAnsi="Times New Roman"/>
                <w:sz w:val="20"/>
                <w:szCs w:val="20"/>
              </w:rPr>
            </w:pPr>
          </w:p>
        </w:tc>
        <w:tc>
          <w:tcPr>
            <w:tcW w:w="1150" w:type="pct"/>
            <w:shd w:val="clear" w:color="auto" w:fill="auto"/>
            <w:vAlign w:val="center"/>
          </w:tcPr>
          <w:p w14:paraId="5556E313" w14:textId="77777777" w:rsidR="00F925DD" w:rsidRDefault="00F925DD">
            <w:pPr>
              <w:rPr>
                <w:rFonts w:ascii="Times New Roman" w:hAnsi="Times New Roman"/>
                <w:sz w:val="20"/>
                <w:szCs w:val="20"/>
              </w:rPr>
            </w:pPr>
          </w:p>
        </w:tc>
        <w:tc>
          <w:tcPr>
            <w:tcW w:w="50" w:type="pct"/>
            <w:shd w:val="clear" w:color="auto" w:fill="auto"/>
            <w:vAlign w:val="center"/>
          </w:tcPr>
          <w:p w14:paraId="5556E314" w14:textId="77777777" w:rsidR="00F925DD" w:rsidRDefault="00F925DD">
            <w:pPr>
              <w:rPr>
                <w:rFonts w:ascii="Times New Roman" w:hAnsi="Times New Roman"/>
                <w:sz w:val="20"/>
                <w:szCs w:val="20"/>
              </w:rPr>
            </w:pPr>
          </w:p>
        </w:tc>
      </w:tr>
      <w:tr w:rsidR="00F925DD" w14:paraId="5556E318" w14:textId="77777777">
        <w:tc>
          <w:tcPr>
            <w:tcW w:w="0" w:type="auto"/>
            <w:shd w:val="clear" w:color="auto" w:fill="auto"/>
            <w:tcMar>
              <w:top w:w="40" w:type="dxa"/>
              <w:left w:w="40" w:type="dxa"/>
              <w:bottom w:w="40" w:type="dxa"/>
              <w:right w:w="40" w:type="dxa"/>
            </w:tcMar>
            <w:vAlign w:val="bottom"/>
          </w:tcPr>
          <w:p w14:paraId="5556E3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5556E31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 Ended December 31, 2019</w:t>
            </w:r>
          </w:p>
        </w:tc>
      </w:tr>
      <w:tr w:rsidR="00F925DD" w14:paraId="5556E31F" w14:textId="77777777">
        <w:tc>
          <w:tcPr>
            <w:tcW w:w="0" w:type="auto"/>
            <w:shd w:val="clear" w:color="auto" w:fill="auto"/>
            <w:tcMar>
              <w:top w:w="40" w:type="dxa"/>
              <w:left w:w="40" w:type="dxa"/>
              <w:bottom w:w="40" w:type="dxa"/>
              <w:right w:w="40" w:type="dxa"/>
            </w:tcMar>
            <w:vAlign w:val="bottom"/>
          </w:tcPr>
          <w:p w14:paraId="5556E3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31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Shares Acquired </w:t>
            </w:r>
            <w:r>
              <w:rPr>
                <w:rFonts w:ascii="Arial" w:eastAsia="宋体" w:hAnsi="Arial" w:cs="Arial"/>
                <w:b/>
                <w:bCs/>
                <w:sz w:val="14"/>
                <w:szCs w:val="14"/>
              </w:rPr>
              <w:br/>
              <w:t>(In millions)</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3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31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Average Cost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3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31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Total Acquired </w:t>
            </w:r>
            <w:r>
              <w:rPr>
                <w:rFonts w:ascii="Arial" w:eastAsia="宋体" w:hAnsi="Arial" w:cs="Arial"/>
                <w:b/>
                <w:bCs/>
                <w:sz w:val="14"/>
                <w:szCs w:val="14"/>
              </w:rPr>
              <w:br/>
              <w:t>(In millions)</w:t>
            </w:r>
          </w:p>
        </w:tc>
      </w:tr>
      <w:tr w:rsidR="00F925DD" w14:paraId="5556E32B" w14:textId="77777777">
        <w:tc>
          <w:tcPr>
            <w:tcW w:w="0" w:type="auto"/>
            <w:shd w:val="clear" w:color="auto" w:fill="CCEEFF"/>
            <w:tcMar>
              <w:top w:w="40" w:type="dxa"/>
              <w:left w:w="40" w:type="dxa"/>
              <w:bottom w:w="40" w:type="dxa"/>
              <w:right w:w="40" w:type="dxa"/>
            </w:tcMar>
            <w:vAlign w:val="bottom"/>
          </w:tcPr>
          <w:p w14:paraId="5556E320" w14:textId="77777777" w:rsidR="00F925DD" w:rsidRDefault="00E705D7">
            <w:pPr>
              <w:textAlignment w:val="bottom"/>
              <w:rPr>
                <w:rFonts w:ascii="Times New Roman" w:hAnsi="Times New Roman"/>
                <w:sz w:val="14"/>
                <w:szCs w:val="14"/>
              </w:rPr>
            </w:pPr>
            <w:r>
              <w:rPr>
                <w:rFonts w:ascii="Arial" w:eastAsia="宋体" w:hAnsi="Arial" w:cs="Arial"/>
                <w:sz w:val="14"/>
                <w:szCs w:val="14"/>
              </w:rPr>
              <w:t>2018 Program</w:t>
            </w:r>
          </w:p>
        </w:tc>
        <w:tc>
          <w:tcPr>
            <w:tcW w:w="0" w:type="auto"/>
            <w:tcBorders>
              <w:top w:val="single" w:sz="8" w:space="0" w:color="000000"/>
            </w:tcBorders>
            <w:shd w:val="clear" w:color="auto" w:fill="CCEEFF"/>
            <w:tcMar>
              <w:top w:w="40" w:type="dxa"/>
              <w:left w:w="40" w:type="dxa"/>
              <w:bottom w:w="40" w:type="dxa"/>
            </w:tcMar>
            <w:vAlign w:val="bottom"/>
          </w:tcPr>
          <w:p w14:paraId="5556E32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8.8</w:t>
            </w:r>
          </w:p>
        </w:tc>
        <w:tc>
          <w:tcPr>
            <w:tcW w:w="0" w:type="auto"/>
            <w:tcBorders>
              <w:top w:val="single" w:sz="8" w:space="0" w:color="000000"/>
            </w:tcBorders>
            <w:shd w:val="clear" w:color="auto" w:fill="CCEEFF"/>
            <w:vAlign w:val="bottom"/>
          </w:tcPr>
          <w:p w14:paraId="5556E32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3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32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E32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67.97</w:t>
            </w:r>
          </w:p>
        </w:tc>
        <w:tc>
          <w:tcPr>
            <w:tcW w:w="0" w:type="auto"/>
            <w:tcBorders>
              <w:top w:val="single" w:sz="8" w:space="0" w:color="000000"/>
            </w:tcBorders>
            <w:shd w:val="clear" w:color="auto" w:fill="CCEEFF"/>
            <w:vAlign w:val="bottom"/>
          </w:tcPr>
          <w:p w14:paraId="5556E32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3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32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E32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600</w:t>
            </w:r>
          </w:p>
        </w:tc>
        <w:tc>
          <w:tcPr>
            <w:tcW w:w="0" w:type="auto"/>
            <w:tcBorders>
              <w:top w:val="single" w:sz="8" w:space="0" w:color="000000"/>
            </w:tcBorders>
            <w:shd w:val="clear" w:color="auto" w:fill="CCEEFF"/>
            <w:vAlign w:val="bottom"/>
          </w:tcPr>
          <w:p w14:paraId="5556E32A" w14:textId="77777777" w:rsidR="00F925DD" w:rsidRDefault="00F925DD">
            <w:pPr>
              <w:textAlignment w:val="bottom"/>
              <w:rPr>
                <w:rFonts w:ascii="Times New Roman" w:hAnsi="Times New Roman"/>
                <w:sz w:val="20"/>
                <w:szCs w:val="20"/>
              </w:rPr>
            </w:pPr>
          </w:p>
        </w:tc>
      </w:tr>
      <w:tr w:rsidR="00F925DD" w14:paraId="5556E335" w14:textId="77777777">
        <w:tc>
          <w:tcPr>
            <w:tcW w:w="0" w:type="auto"/>
            <w:shd w:val="clear" w:color="auto" w:fill="auto"/>
            <w:tcMar>
              <w:top w:w="40" w:type="dxa"/>
              <w:left w:w="40" w:type="dxa"/>
              <w:bottom w:w="40" w:type="dxa"/>
              <w:right w:w="40" w:type="dxa"/>
            </w:tcMar>
            <w:vAlign w:val="bottom"/>
          </w:tcPr>
          <w:p w14:paraId="5556E32C" w14:textId="77777777" w:rsidR="00F925DD" w:rsidRDefault="00E705D7">
            <w:pPr>
              <w:textAlignment w:val="bottom"/>
              <w:rPr>
                <w:rFonts w:ascii="Times New Roman" w:hAnsi="Times New Roman"/>
                <w:sz w:val="14"/>
                <w:szCs w:val="14"/>
              </w:rPr>
            </w:pPr>
            <w:r>
              <w:rPr>
                <w:rFonts w:ascii="Arial" w:eastAsia="宋体" w:hAnsi="Arial" w:cs="Arial"/>
                <w:sz w:val="14"/>
                <w:szCs w:val="14"/>
              </w:rPr>
              <w:t>2019 Program</w:t>
            </w:r>
          </w:p>
        </w:tc>
        <w:tc>
          <w:tcPr>
            <w:tcW w:w="0" w:type="auto"/>
            <w:shd w:val="clear" w:color="auto" w:fill="auto"/>
            <w:tcMar>
              <w:top w:w="40" w:type="dxa"/>
              <w:left w:w="40" w:type="dxa"/>
              <w:bottom w:w="40" w:type="dxa"/>
            </w:tcMar>
            <w:vAlign w:val="bottom"/>
          </w:tcPr>
          <w:p w14:paraId="5556E32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16.1</w:t>
            </w:r>
          </w:p>
        </w:tc>
        <w:tc>
          <w:tcPr>
            <w:tcW w:w="0" w:type="auto"/>
            <w:shd w:val="clear" w:color="auto" w:fill="auto"/>
            <w:vAlign w:val="bottom"/>
          </w:tcPr>
          <w:p w14:paraId="5556E3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3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33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62.28</w:t>
            </w:r>
          </w:p>
        </w:tc>
        <w:tc>
          <w:tcPr>
            <w:tcW w:w="0" w:type="auto"/>
            <w:shd w:val="clear" w:color="auto" w:fill="auto"/>
            <w:vAlign w:val="bottom"/>
          </w:tcPr>
          <w:p w14:paraId="5556E3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3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33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1,000</w:t>
            </w:r>
          </w:p>
        </w:tc>
        <w:tc>
          <w:tcPr>
            <w:tcW w:w="0" w:type="auto"/>
            <w:shd w:val="clear" w:color="auto" w:fill="auto"/>
            <w:vAlign w:val="bottom"/>
          </w:tcPr>
          <w:p w14:paraId="5556E334" w14:textId="77777777" w:rsidR="00F925DD" w:rsidRDefault="00F925DD">
            <w:pPr>
              <w:textAlignment w:val="bottom"/>
              <w:rPr>
                <w:rFonts w:ascii="Times New Roman" w:hAnsi="Times New Roman"/>
                <w:sz w:val="20"/>
                <w:szCs w:val="20"/>
              </w:rPr>
            </w:pPr>
          </w:p>
        </w:tc>
      </w:tr>
      <w:tr w:rsidR="00F925DD" w14:paraId="5556E340" w14:textId="77777777">
        <w:tc>
          <w:tcPr>
            <w:tcW w:w="0" w:type="auto"/>
            <w:shd w:val="clear" w:color="auto" w:fill="CCEEFF"/>
            <w:tcMar>
              <w:top w:w="40" w:type="dxa"/>
              <w:left w:w="40" w:type="dxa"/>
              <w:bottom w:w="40" w:type="dxa"/>
              <w:right w:w="40" w:type="dxa"/>
            </w:tcMar>
            <w:vAlign w:val="bottom"/>
          </w:tcPr>
          <w:p w14:paraId="5556E336"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33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24.9</w:t>
            </w:r>
          </w:p>
        </w:tc>
        <w:tc>
          <w:tcPr>
            <w:tcW w:w="0" w:type="auto"/>
            <w:tcBorders>
              <w:top w:val="single" w:sz="8" w:space="0" w:color="000000"/>
              <w:bottom w:val="double" w:sz="6" w:space="0" w:color="000000"/>
            </w:tcBorders>
            <w:shd w:val="clear" w:color="auto" w:fill="CCEEFF"/>
            <w:vAlign w:val="bottom"/>
          </w:tcPr>
          <w:p w14:paraId="5556E3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3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33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64.30</w:t>
            </w:r>
          </w:p>
        </w:tc>
        <w:tc>
          <w:tcPr>
            <w:tcW w:w="0" w:type="auto"/>
            <w:shd w:val="clear" w:color="auto" w:fill="CCEEFF"/>
            <w:vAlign w:val="bottom"/>
          </w:tcPr>
          <w:p w14:paraId="5556E3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3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33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33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1,600</w:t>
            </w:r>
          </w:p>
        </w:tc>
        <w:tc>
          <w:tcPr>
            <w:tcW w:w="0" w:type="auto"/>
            <w:tcBorders>
              <w:top w:val="single" w:sz="8" w:space="0" w:color="000000"/>
              <w:bottom w:val="double" w:sz="6" w:space="0" w:color="000000"/>
            </w:tcBorders>
            <w:shd w:val="clear" w:color="auto" w:fill="CCEEFF"/>
            <w:vAlign w:val="bottom"/>
          </w:tcPr>
          <w:p w14:paraId="5556E33F" w14:textId="77777777" w:rsidR="00F925DD" w:rsidRDefault="00F925DD">
            <w:pPr>
              <w:textAlignment w:val="bottom"/>
              <w:rPr>
                <w:rFonts w:ascii="Times New Roman" w:hAnsi="Times New Roman"/>
                <w:sz w:val="20"/>
                <w:szCs w:val="20"/>
              </w:rPr>
            </w:pPr>
          </w:p>
        </w:tc>
      </w:tr>
    </w:tbl>
    <w:p w14:paraId="5556E341" w14:textId="77777777" w:rsidR="00F925DD" w:rsidRDefault="00F925DD">
      <w:pPr>
        <w:spacing w:line="288" w:lineRule="auto"/>
        <w:rPr>
          <w:rFonts w:ascii="Times New Roman" w:hAnsi="Times New Roman"/>
          <w:sz w:val="20"/>
          <w:szCs w:val="20"/>
        </w:rPr>
      </w:pPr>
    </w:p>
    <w:p w14:paraId="5556E342" w14:textId="77777777" w:rsidR="00F925DD" w:rsidRDefault="00E705D7">
      <w:pPr>
        <w:spacing w:line="288" w:lineRule="auto"/>
        <w:rPr>
          <w:rFonts w:ascii="Times New Roman" w:hAnsi="Times New Roman"/>
          <w:sz w:val="20"/>
          <w:szCs w:val="20"/>
        </w:rPr>
      </w:pPr>
      <w:r>
        <w:rPr>
          <w:rFonts w:ascii="Arial" w:eastAsia="宋体" w:hAnsi="Arial" w:cs="Arial"/>
          <w:sz w:val="20"/>
          <w:szCs w:val="20"/>
        </w:rPr>
        <w:t xml:space="preserve">The table below presents the dividends declared on </w:t>
      </w:r>
      <w:r>
        <w:rPr>
          <w:rFonts w:ascii="Arial" w:eastAsia="宋体" w:hAnsi="Arial" w:cs="Arial"/>
          <w:sz w:val="20"/>
          <w:szCs w:val="20"/>
        </w:rPr>
        <w:t>common stock for the periods indicated:</w:t>
      </w:r>
    </w:p>
    <w:tbl>
      <w:tblPr>
        <w:tblW w:w="5000" w:type="pct"/>
        <w:tblCellMar>
          <w:left w:w="0" w:type="dxa"/>
          <w:right w:w="0" w:type="dxa"/>
        </w:tblCellMar>
        <w:tblLook w:val="04A0" w:firstRow="1" w:lastRow="0" w:firstColumn="1" w:lastColumn="0" w:noHBand="0" w:noVBand="1"/>
      </w:tblPr>
      <w:tblGrid>
        <w:gridCol w:w="1712"/>
        <w:gridCol w:w="119"/>
        <w:gridCol w:w="1380"/>
        <w:gridCol w:w="51"/>
        <w:gridCol w:w="130"/>
        <w:gridCol w:w="119"/>
        <w:gridCol w:w="1380"/>
        <w:gridCol w:w="51"/>
        <w:gridCol w:w="130"/>
        <w:gridCol w:w="119"/>
        <w:gridCol w:w="1381"/>
        <w:gridCol w:w="52"/>
        <w:gridCol w:w="130"/>
        <w:gridCol w:w="119"/>
        <w:gridCol w:w="1381"/>
        <w:gridCol w:w="52"/>
      </w:tblGrid>
      <w:tr w:rsidR="00F925DD" w14:paraId="5556E344" w14:textId="77777777">
        <w:tc>
          <w:tcPr>
            <w:tcW w:w="0" w:type="auto"/>
            <w:gridSpan w:val="16"/>
            <w:shd w:val="clear" w:color="auto" w:fill="auto"/>
            <w:vAlign w:val="center"/>
          </w:tcPr>
          <w:p w14:paraId="5556E343" w14:textId="77777777" w:rsidR="00F925DD" w:rsidRDefault="00F925DD">
            <w:pPr>
              <w:rPr>
                <w:rFonts w:ascii="Times New Roman" w:hAnsi="Times New Roman"/>
                <w:sz w:val="20"/>
                <w:szCs w:val="20"/>
              </w:rPr>
            </w:pPr>
          </w:p>
        </w:tc>
      </w:tr>
      <w:tr w:rsidR="00F925DD" w14:paraId="5556E355" w14:textId="77777777">
        <w:tc>
          <w:tcPr>
            <w:tcW w:w="1050" w:type="pct"/>
            <w:shd w:val="clear" w:color="auto" w:fill="auto"/>
            <w:vAlign w:val="center"/>
          </w:tcPr>
          <w:p w14:paraId="5556E345" w14:textId="77777777" w:rsidR="00F925DD" w:rsidRDefault="00F925DD">
            <w:pPr>
              <w:rPr>
                <w:rFonts w:ascii="Times New Roman" w:hAnsi="Times New Roman"/>
                <w:sz w:val="20"/>
                <w:szCs w:val="20"/>
              </w:rPr>
            </w:pPr>
          </w:p>
        </w:tc>
        <w:tc>
          <w:tcPr>
            <w:tcW w:w="50" w:type="pct"/>
            <w:shd w:val="clear" w:color="auto" w:fill="auto"/>
            <w:vAlign w:val="center"/>
          </w:tcPr>
          <w:p w14:paraId="5556E346" w14:textId="77777777" w:rsidR="00F925DD" w:rsidRDefault="00F925DD">
            <w:pPr>
              <w:rPr>
                <w:rFonts w:ascii="Times New Roman" w:hAnsi="Times New Roman"/>
                <w:sz w:val="20"/>
                <w:szCs w:val="20"/>
              </w:rPr>
            </w:pPr>
          </w:p>
        </w:tc>
        <w:tc>
          <w:tcPr>
            <w:tcW w:w="850" w:type="pct"/>
            <w:shd w:val="clear" w:color="auto" w:fill="auto"/>
            <w:vAlign w:val="center"/>
          </w:tcPr>
          <w:p w14:paraId="5556E347" w14:textId="77777777" w:rsidR="00F925DD" w:rsidRDefault="00F925DD">
            <w:pPr>
              <w:rPr>
                <w:rFonts w:ascii="Times New Roman" w:hAnsi="Times New Roman"/>
                <w:sz w:val="20"/>
                <w:szCs w:val="20"/>
              </w:rPr>
            </w:pPr>
          </w:p>
        </w:tc>
        <w:tc>
          <w:tcPr>
            <w:tcW w:w="50" w:type="pct"/>
            <w:shd w:val="clear" w:color="auto" w:fill="auto"/>
            <w:vAlign w:val="center"/>
          </w:tcPr>
          <w:p w14:paraId="5556E348" w14:textId="77777777" w:rsidR="00F925DD" w:rsidRDefault="00F925DD">
            <w:pPr>
              <w:rPr>
                <w:rFonts w:ascii="Times New Roman" w:hAnsi="Times New Roman"/>
                <w:sz w:val="20"/>
                <w:szCs w:val="20"/>
              </w:rPr>
            </w:pPr>
          </w:p>
        </w:tc>
        <w:tc>
          <w:tcPr>
            <w:tcW w:w="50" w:type="pct"/>
            <w:shd w:val="clear" w:color="auto" w:fill="auto"/>
            <w:vAlign w:val="center"/>
          </w:tcPr>
          <w:p w14:paraId="5556E349" w14:textId="77777777" w:rsidR="00F925DD" w:rsidRDefault="00F925DD">
            <w:pPr>
              <w:rPr>
                <w:rFonts w:ascii="Times New Roman" w:hAnsi="Times New Roman"/>
                <w:sz w:val="20"/>
                <w:szCs w:val="20"/>
              </w:rPr>
            </w:pPr>
          </w:p>
        </w:tc>
        <w:tc>
          <w:tcPr>
            <w:tcW w:w="50" w:type="pct"/>
            <w:shd w:val="clear" w:color="auto" w:fill="auto"/>
            <w:vAlign w:val="center"/>
          </w:tcPr>
          <w:p w14:paraId="5556E34A" w14:textId="77777777" w:rsidR="00F925DD" w:rsidRDefault="00F925DD">
            <w:pPr>
              <w:rPr>
                <w:rFonts w:ascii="Times New Roman" w:hAnsi="Times New Roman"/>
                <w:sz w:val="20"/>
                <w:szCs w:val="20"/>
              </w:rPr>
            </w:pPr>
          </w:p>
        </w:tc>
        <w:tc>
          <w:tcPr>
            <w:tcW w:w="850" w:type="pct"/>
            <w:shd w:val="clear" w:color="auto" w:fill="auto"/>
            <w:vAlign w:val="center"/>
          </w:tcPr>
          <w:p w14:paraId="5556E34B" w14:textId="77777777" w:rsidR="00F925DD" w:rsidRDefault="00F925DD">
            <w:pPr>
              <w:rPr>
                <w:rFonts w:ascii="Times New Roman" w:hAnsi="Times New Roman"/>
                <w:sz w:val="20"/>
                <w:szCs w:val="20"/>
              </w:rPr>
            </w:pPr>
          </w:p>
        </w:tc>
        <w:tc>
          <w:tcPr>
            <w:tcW w:w="50" w:type="pct"/>
            <w:shd w:val="clear" w:color="auto" w:fill="auto"/>
            <w:vAlign w:val="center"/>
          </w:tcPr>
          <w:p w14:paraId="5556E34C" w14:textId="77777777" w:rsidR="00F925DD" w:rsidRDefault="00F925DD">
            <w:pPr>
              <w:rPr>
                <w:rFonts w:ascii="Times New Roman" w:hAnsi="Times New Roman"/>
                <w:sz w:val="20"/>
                <w:szCs w:val="20"/>
              </w:rPr>
            </w:pPr>
          </w:p>
        </w:tc>
        <w:tc>
          <w:tcPr>
            <w:tcW w:w="50" w:type="pct"/>
            <w:shd w:val="clear" w:color="auto" w:fill="auto"/>
            <w:vAlign w:val="center"/>
          </w:tcPr>
          <w:p w14:paraId="5556E34D" w14:textId="77777777" w:rsidR="00F925DD" w:rsidRDefault="00F925DD">
            <w:pPr>
              <w:rPr>
                <w:rFonts w:ascii="Times New Roman" w:hAnsi="Times New Roman"/>
                <w:sz w:val="20"/>
                <w:szCs w:val="20"/>
              </w:rPr>
            </w:pPr>
          </w:p>
        </w:tc>
        <w:tc>
          <w:tcPr>
            <w:tcW w:w="50" w:type="pct"/>
            <w:shd w:val="clear" w:color="auto" w:fill="auto"/>
            <w:vAlign w:val="center"/>
          </w:tcPr>
          <w:p w14:paraId="5556E34E" w14:textId="77777777" w:rsidR="00F925DD" w:rsidRDefault="00F925DD">
            <w:pPr>
              <w:rPr>
                <w:rFonts w:ascii="Times New Roman" w:hAnsi="Times New Roman"/>
                <w:sz w:val="20"/>
                <w:szCs w:val="20"/>
              </w:rPr>
            </w:pPr>
          </w:p>
        </w:tc>
        <w:tc>
          <w:tcPr>
            <w:tcW w:w="850" w:type="pct"/>
            <w:shd w:val="clear" w:color="auto" w:fill="auto"/>
            <w:vAlign w:val="center"/>
          </w:tcPr>
          <w:p w14:paraId="5556E34F" w14:textId="77777777" w:rsidR="00F925DD" w:rsidRDefault="00F925DD">
            <w:pPr>
              <w:rPr>
                <w:rFonts w:ascii="Times New Roman" w:hAnsi="Times New Roman"/>
                <w:sz w:val="20"/>
                <w:szCs w:val="20"/>
              </w:rPr>
            </w:pPr>
          </w:p>
        </w:tc>
        <w:tc>
          <w:tcPr>
            <w:tcW w:w="50" w:type="pct"/>
            <w:shd w:val="clear" w:color="auto" w:fill="auto"/>
            <w:vAlign w:val="center"/>
          </w:tcPr>
          <w:p w14:paraId="5556E350" w14:textId="77777777" w:rsidR="00F925DD" w:rsidRDefault="00F925DD">
            <w:pPr>
              <w:rPr>
                <w:rFonts w:ascii="Times New Roman" w:hAnsi="Times New Roman"/>
                <w:sz w:val="20"/>
                <w:szCs w:val="20"/>
              </w:rPr>
            </w:pPr>
          </w:p>
        </w:tc>
        <w:tc>
          <w:tcPr>
            <w:tcW w:w="50" w:type="pct"/>
            <w:shd w:val="clear" w:color="auto" w:fill="auto"/>
            <w:vAlign w:val="center"/>
          </w:tcPr>
          <w:p w14:paraId="5556E351" w14:textId="77777777" w:rsidR="00F925DD" w:rsidRDefault="00F925DD">
            <w:pPr>
              <w:rPr>
                <w:rFonts w:ascii="Times New Roman" w:hAnsi="Times New Roman"/>
                <w:sz w:val="20"/>
                <w:szCs w:val="20"/>
              </w:rPr>
            </w:pPr>
          </w:p>
        </w:tc>
        <w:tc>
          <w:tcPr>
            <w:tcW w:w="50" w:type="pct"/>
            <w:shd w:val="clear" w:color="auto" w:fill="auto"/>
            <w:vAlign w:val="center"/>
          </w:tcPr>
          <w:p w14:paraId="5556E352" w14:textId="77777777" w:rsidR="00F925DD" w:rsidRDefault="00F925DD">
            <w:pPr>
              <w:rPr>
                <w:rFonts w:ascii="Times New Roman" w:hAnsi="Times New Roman"/>
                <w:sz w:val="20"/>
                <w:szCs w:val="20"/>
              </w:rPr>
            </w:pPr>
          </w:p>
        </w:tc>
        <w:tc>
          <w:tcPr>
            <w:tcW w:w="850" w:type="pct"/>
            <w:shd w:val="clear" w:color="auto" w:fill="auto"/>
            <w:vAlign w:val="center"/>
          </w:tcPr>
          <w:p w14:paraId="5556E353" w14:textId="77777777" w:rsidR="00F925DD" w:rsidRDefault="00F925DD">
            <w:pPr>
              <w:rPr>
                <w:rFonts w:ascii="Times New Roman" w:hAnsi="Times New Roman"/>
                <w:sz w:val="20"/>
                <w:szCs w:val="20"/>
              </w:rPr>
            </w:pPr>
          </w:p>
        </w:tc>
        <w:tc>
          <w:tcPr>
            <w:tcW w:w="50" w:type="pct"/>
            <w:shd w:val="clear" w:color="auto" w:fill="auto"/>
            <w:vAlign w:val="center"/>
          </w:tcPr>
          <w:p w14:paraId="5556E354" w14:textId="77777777" w:rsidR="00F925DD" w:rsidRDefault="00F925DD">
            <w:pPr>
              <w:rPr>
                <w:rFonts w:ascii="Times New Roman" w:hAnsi="Times New Roman"/>
                <w:sz w:val="20"/>
                <w:szCs w:val="20"/>
              </w:rPr>
            </w:pPr>
          </w:p>
        </w:tc>
      </w:tr>
      <w:tr w:rsidR="00F925DD" w14:paraId="5556E358" w14:textId="77777777">
        <w:tc>
          <w:tcPr>
            <w:tcW w:w="0" w:type="auto"/>
            <w:shd w:val="clear" w:color="auto" w:fill="auto"/>
            <w:tcMar>
              <w:top w:w="40" w:type="dxa"/>
              <w:left w:w="40" w:type="dxa"/>
              <w:bottom w:w="40" w:type="dxa"/>
              <w:right w:w="40" w:type="dxa"/>
            </w:tcMar>
            <w:vAlign w:val="bottom"/>
          </w:tcPr>
          <w:p w14:paraId="5556E3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5556E35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E35D" w14:textId="77777777">
        <w:tc>
          <w:tcPr>
            <w:tcW w:w="0" w:type="auto"/>
            <w:shd w:val="clear" w:color="auto" w:fill="auto"/>
            <w:tcMar>
              <w:top w:w="40" w:type="dxa"/>
              <w:left w:w="40" w:type="dxa"/>
              <w:bottom w:w="40" w:type="dxa"/>
              <w:right w:w="40" w:type="dxa"/>
            </w:tcMar>
            <w:vAlign w:val="bottom"/>
          </w:tcPr>
          <w:p w14:paraId="5556E3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556E35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3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556E35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r>
      <w:tr w:rsidR="00F925DD" w14:paraId="5556E368" w14:textId="77777777">
        <w:tc>
          <w:tcPr>
            <w:tcW w:w="0" w:type="auto"/>
            <w:shd w:val="clear" w:color="auto" w:fill="auto"/>
            <w:tcMar>
              <w:top w:w="40" w:type="dxa"/>
              <w:left w:w="40" w:type="dxa"/>
              <w:bottom w:w="40" w:type="dxa"/>
              <w:right w:w="40" w:type="dxa"/>
            </w:tcMar>
            <w:vAlign w:val="bottom"/>
          </w:tcPr>
          <w:p w14:paraId="5556E3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35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3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36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Total </w:t>
            </w:r>
          </w:p>
          <w:p w14:paraId="5556E36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 millions)</w:t>
            </w:r>
          </w:p>
        </w:tc>
        <w:tc>
          <w:tcPr>
            <w:tcW w:w="0" w:type="auto"/>
            <w:shd w:val="clear" w:color="auto" w:fill="auto"/>
            <w:tcMar>
              <w:top w:w="40" w:type="dxa"/>
              <w:left w:w="40" w:type="dxa"/>
              <w:bottom w:w="40" w:type="dxa"/>
              <w:right w:w="40" w:type="dxa"/>
            </w:tcMar>
            <w:vAlign w:val="bottom"/>
          </w:tcPr>
          <w:p w14:paraId="5556E3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36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Dividends Declared per Share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3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36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Total </w:t>
            </w:r>
          </w:p>
          <w:p w14:paraId="5556E36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 millions)</w:t>
            </w:r>
          </w:p>
        </w:tc>
      </w:tr>
      <w:tr w:rsidR="00F925DD" w14:paraId="5556E379" w14:textId="77777777">
        <w:tc>
          <w:tcPr>
            <w:tcW w:w="0" w:type="auto"/>
            <w:shd w:val="clear" w:color="auto" w:fill="CCEEFF"/>
            <w:tcMar>
              <w:top w:w="40" w:type="dxa"/>
              <w:left w:w="40" w:type="dxa"/>
              <w:bottom w:w="40" w:type="dxa"/>
              <w:right w:w="40" w:type="dxa"/>
            </w:tcMar>
            <w:vAlign w:val="bottom"/>
          </w:tcPr>
          <w:p w14:paraId="5556E369" w14:textId="77777777" w:rsidR="00F925DD" w:rsidRDefault="00E705D7">
            <w:pPr>
              <w:textAlignment w:val="bottom"/>
              <w:rPr>
                <w:rFonts w:ascii="Times New Roman" w:hAnsi="Times New Roman"/>
                <w:sz w:val="14"/>
                <w:szCs w:val="14"/>
              </w:rPr>
            </w:pPr>
            <w:r>
              <w:rPr>
                <w:rFonts w:ascii="Arial" w:eastAsia="宋体" w:hAnsi="Arial" w:cs="Arial"/>
                <w:sz w:val="14"/>
                <w:szCs w:val="14"/>
              </w:rPr>
              <w:t>Common Stock</w:t>
            </w:r>
          </w:p>
        </w:tc>
        <w:tc>
          <w:tcPr>
            <w:tcW w:w="0" w:type="auto"/>
            <w:tcBorders>
              <w:top w:val="single" w:sz="8" w:space="0" w:color="000000"/>
            </w:tcBorders>
            <w:shd w:val="clear" w:color="auto" w:fill="CCEEFF"/>
            <w:tcMar>
              <w:top w:w="40" w:type="dxa"/>
              <w:left w:w="40" w:type="dxa"/>
              <w:bottom w:w="40" w:type="dxa"/>
            </w:tcMar>
            <w:vAlign w:val="bottom"/>
          </w:tcPr>
          <w:p w14:paraId="5556E36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E36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1.98</w:t>
            </w:r>
          </w:p>
        </w:tc>
        <w:tc>
          <w:tcPr>
            <w:tcW w:w="0" w:type="auto"/>
            <w:tcBorders>
              <w:top w:val="single" w:sz="8" w:space="0" w:color="000000"/>
            </w:tcBorders>
            <w:shd w:val="clear" w:color="auto" w:fill="CCEEFF"/>
            <w:vAlign w:val="bottom"/>
          </w:tcPr>
          <w:p w14:paraId="5556E36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3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36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E36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728</w:t>
            </w:r>
          </w:p>
        </w:tc>
        <w:tc>
          <w:tcPr>
            <w:tcW w:w="0" w:type="auto"/>
            <w:tcBorders>
              <w:top w:val="single" w:sz="8" w:space="0" w:color="000000"/>
            </w:tcBorders>
            <w:shd w:val="clear" w:color="auto" w:fill="CCEEFF"/>
            <w:vAlign w:val="bottom"/>
          </w:tcPr>
          <w:p w14:paraId="5556E37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3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37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E37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1.78</w:t>
            </w:r>
          </w:p>
        </w:tc>
        <w:tc>
          <w:tcPr>
            <w:tcW w:w="0" w:type="auto"/>
            <w:tcBorders>
              <w:top w:val="single" w:sz="8" w:space="0" w:color="000000"/>
            </w:tcBorders>
            <w:shd w:val="clear" w:color="auto" w:fill="CCEEFF"/>
            <w:vAlign w:val="bottom"/>
          </w:tcPr>
          <w:p w14:paraId="5556E37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3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37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E37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665</w:t>
            </w:r>
          </w:p>
        </w:tc>
        <w:tc>
          <w:tcPr>
            <w:tcW w:w="0" w:type="auto"/>
            <w:tcBorders>
              <w:top w:val="single" w:sz="8" w:space="0" w:color="000000"/>
            </w:tcBorders>
            <w:shd w:val="clear" w:color="auto" w:fill="CCEEFF"/>
            <w:vAlign w:val="bottom"/>
          </w:tcPr>
          <w:p w14:paraId="5556E378" w14:textId="77777777" w:rsidR="00F925DD" w:rsidRDefault="00F925DD">
            <w:pPr>
              <w:textAlignment w:val="bottom"/>
              <w:rPr>
                <w:rFonts w:ascii="Times New Roman" w:hAnsi="Times New Roman"/>
                <w:sz w:val="20"/>
                <w:szCs w:val="20"/>
              </w:rPr>
            </w:pPr>
          </w:p>
        </w:tc>
      </w:tr>
    </w:tbl>
    <w:p w14:paraId="5556E37A" w14:textId="77777777" w:rsidR="00F925DD" w:rsidRDefault="00F925DD"/>
    <w:p w14:paraId="5556E37B" w14:textId="77777777" w:rsidR="00F925DD" w:rsidRDefault="00F925DD">
      <w:pPr>
        <w:rPr>
          <w:rFonts w:ascii="Times New Roman" w:hAnsi="Times New Roman"/>
          <w:sz w:val="20"/>
          <w:szCs w:val="20"/>
        </w:rPr>
      </w:pPr>
    </w:p>
    <w:p w14:paraId="5556E37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160</w:t>
      </w:r>
    </w:p>
    <w:p w14:paraId="5556E37D" w14:textId="77777777" w:rsidR="00F925DD" w:rsidRDefault="00F925DD">
      <w:pPr>
        <w:spacing w:line="288" w:lineRule="auto"/>
        <w:ind w:firstLine="600"/>
        <w:jc w:val="center"/>
        <w:rPr>
          <w:rFonts w:ascii="Times New Roman" w:hAnsi="Times New Roman"/>
          <w:sz w:val="18"/>
          <w:szCs w:val="18"/>
        </w:rPr>
      </w:pPr>
    </w:p>
    <w:p w14:paraId="5556E37E" w14:textId="77777777" w:rsidR="00F925DD" w:rsidRDefault="00E705D7">
      <w:r>
        <w:rPr>
          <w:rFonts w:ascii="Times New Roman" w:hAnsi="Times New Roman"/>
          <w:sz w:val="18"/>
          <w:szCs w:val="18"/>
        </w:rPr>
        <w:pict w14:anchorId="555706DA">
          <v:rect id="_x0000_i1184" style="width:415.3pt;height:1.5pt" o:hralign="center" o:hrstd="t" o:hr="t" fillcolor="#a0a0a0" stroked="f"/>
        </w:pict>
      </w:r>
    </w:p>
    <w:p w14:paraId="5556E37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38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381" w14:textId="77777777" w:rsidR="00F925DD" w:rsidRDefault="00F925DD">
      <w:pPr>
        <w:rPr>
          <w:rFonts w:ascii="Times New Roman" w:hAnsi="Times New Roman"/>
          <w:sz w:val="20"/>
          <w:szCs w:val="20"/>
        </w:rPr>
      </w:pPr>
    </w:p>
    <w:p w14:paraId="5556E382" w14:textId="77777777" w:rsidR="00F925DD" w:rsidRDefault="00E705D7">
      <w:pPr>
        <w:spacing w:line="288" w:lineRule="auto"/>
        <w:rPr>
          <w:rFonts w:ascii="Times New Roman" w:hAnsi="Times New Roman"/>
          <w:sz w:val="20"/>
          <w:szCs w:val="20"/>
        </w:rPr>
      </w:pPr>
      <w:r>
        <w:rPr>
          <w:rFonts w:ascii="Arial" w:eastAsia="宋体" w:hAnsi="Arial" w:cs="Arial"/>
          <w:b/>
          <w:bCs/>
          <w:i/>
          <w:iCs/>
          <w:color w:val="000000"/>
          <w:sz w:val="20"/>
          <w:szCs w:val="20"/>
        </w:rPr>
        <w:t>Accumulated Other Comprehensive Income (Loss)</w:t>
      </w:r>
    </w:p>
    <w:p w14:paraId="5556E383" w14:textId="77777777" w:rsidR="00F925DD" w:rsidRDefault="00E705D7">
      <w:pPr>
        <w:spacing w:line="288" w:lineRule="auto"/>
        <w:ind w:firstLine="600"/>
        <w:rPr>
          <w:rFonts w:ascii="Times New Roman" w:hAnsi="Times New Roman"/>
          <w:sz w:val="20"/>
          <w:szCs w:val="20"/>
        </w:rPr>
      </w:pPr>
      <w:r>
        <w:rPr>
          <w:rFonts w:ascii="Arial" w:eastAsia="宋体" w:hAnsi="Arial" w:cs="Arial"/>
          <w:sz w:val="20"/>
          <w:szCs w:val="20"/>
        </w:rPr>
        <w:t>The following table presents the after-tax components of AOCI as of the dates indicated:</w:t>
      </w:r>
    </w:p>
    <w:tbl>
      <w:tblPr>
        <w:tblW w:w="5000" w:type="pct"/>
        <w:tblCellMar>
          <w:left w:w="0" w:type="dxa"/>
          <w:right w:w="0" w:type="dxa"/>
        </w:tblCellMar>
        <w:tblLook w:val="04A0" w:firstRow="1" w:lastRow="0" w:firstColumn="1" w:lastColumn="0" w:noHBand="0" w:noVBand="1"/>
      </w:tblPr>
      <w:tblGrid>
        <w:gridCol w:w="5429"/>
        <w:gridCol w:w="119"/>
        <w:gridCol w:w="611"/>
        <w:gridCol w:w="87"/>
        <w:gridCol w:w="130"/>
        <w:gridCol w:w="118"/>
        <w:gridCol w:w="611"/>
        <w:gridCol w:w="87"/>
        <w:gridCol w:w="130"/>
        <w:gridCol w:w="118"/>
        <w:gridCol w:w="779"/>
        <w:gridCol w:w="87"/>
      </w:tblGrid>
      <w:tr w:rsidR="00F925DD" w14:paraId="5556E385" w14:textId="77777777">
        <w:tc>
          <w:tcPr>
            <w:tcW w:w="0" w:type="auto"/>
            <w:gridSpan w:val="12"/>
            <w:shd w:val="clear" w:color="auto" w:fill="auto"/>
            <w:vAlign w:val="center"/>
          </w:tcPr>
          <w:p w14:paraId="5556E384" w14:textId="77777777" w:rsidR="00F925DD" w:rsidRDefault="00F925DD">
            <w:pPr>
              <w:rPr>
                <w:rFonts w:ascii="Times New Roman" w:hAnsi="Times New Roman"/>
                <w:sz w:val="20"/>
                <w:szCs w:val="20"/>
              </w:rPr>
            </w:pPr>
          </w:p>
        </w:tc>
      </w:tr>
      <w:tr w:rsidR="00F925DD" w14:paraId="5556E392" w14:textId="77777777">
        <w:tc>
          <w:tcPr>
            <w:tcW w:w="3300" w:type="pct"/>
            <w:shd w:val="clear" w:color="auto" w:fill="auto"/>
            <w:vAlign w:val="center"/>
          </w:tcPr>
          <w:p w14:paraId="5556E386" w14:textId="77777777" w:rsidR="00F925DD" w:rsidRDefault="00F925DD">
            <w:pPr>
              <w:rPr>
                <w:rFonts w:ascii="Times New Roman" w:hAnsi="Times New Roman"/>
                <w:sz w:val="20"/>
                <w:szCs w:val="20"/>
              </w:rPr>
            </w:pPr>
          </w:p>
        </w:tc>
        <w:tc>
          <w:tcPr>
            <w:tcW w:w="50" w:type="pct"/>
            <w:shd w:val="clear" w:color="auto" w:fill="auto"/>
            <w:vAlign w:val="center"/>
          </w:tcPr>
          <w:p w14:paraId="5556E387" w14:textId="77777777" w:rsidR="00F925DD" w:rsidRDefault="00F925DD">
            <w:pPr>
              <w:rPr>
                <w:rFonts w:ascii="Times New Roman" w:hAnsi="Times New Roman"/>
                <w:sz w:val="20"/>
                <w:szCs w:val="20"/>
              </w:rPr>
            </w:pPr>
          </w:p>
        </w:tc>
        <w:tc>
          <w:tcPr>
            <w:tcW w:w="400" w:type="pct"/>
            <w:shd w:val="clear" w:color="auto" w:fill="auto"/>
            <w:vAlign w:val="center"/>
          </w:tcPr>
          <w:p w14:paraId="5556E388" w14:textId="77777777" w:rsidR="00F925DD" w:rsidRDefault="00F925DD">
            <w:pPr>
              <w:rPr>
                <w:rFonts w:ascii="Times New Roman" w:hAnsi="Times New Roman"/>
                <w:sz w:val="20"/>
                <w:szCs w:val="20"/>
              </w:rPr>
            </w:pPr>
          </w:p>
        </w:tc>
        <w:tc>
          <w:tcPr>
            <w:tcW w:w="50" w:type="pct"/>
            <w:shd w:val="clear" w:color="auto" w:fill="auto"/>
            <w:vAlign w:val="center"/>
          </w:tcPr>
          <w:p w14:paraId="5556E389" w14:textId="77777777" w:rsidR="00F925DD" w:rsidRDefault="00F925DD">
            <w:pPr>
              <w:rPr>
                <w:rFonts w:ascii="Times New Roman" w:hAnsi="Times New Roman"/>
                <w:sz w:val="20"/>
                <w:szCs w:val="20"/>
              </w:rPr>
            </w:pPr>
          </w:p>
        </w:tc>
        <w:tc>
          <w:tcPr>
            <w:tcW w:w="50" w:type="pct"/>
            <w:shd w:val="clear" w:color="auto" w:fill="auto"/>
            <w:vAlign w:val="center"/>
          </w:tcPr>
          <w:p w14:paraId="5556E38A" w14:textId="77777777" w:rsidR="00F925DD" w:rsidRDefault="00F925DD">
            <w:pPr>
              <w:rPr>
                <w:rFonts w:ascii="Times New Roman" w:hAnsi="Times New Roman"/>
                <w:sz w:val="20"/>
                <w:szCs w:val="20"/>
              </w:rPr>
            </w:pPr>
          </w:p>
        </w:tc>
        <w:tc>
          <w:tcPr>
            <w:tcW w:w="50" w:type="pct"/>
            <w:shd w:val="clear" w:color="auto" w:fill="auto"/>
            <w:vAlign w:val="center"/>
          </w:tcPr>
          <w:p w14:paraId="5556E38B" w14:textId="77777777" w:rsidR="00F925DD" w:rsidRDefault="00F925DD">
            <w:pPr>
              <w:rPr>
                <w:rFonts w:ascii="Times New Roman" w:hAnsi="Times New Roman"/>
                <w:sz w:val="20"/>
                <w:szCs w:val="20"/>
              </w:rPr>
            </w:pPr>
          </w:p>
        </w:tc>
        <w:tc>
          <w:tcPr>
            <w:tcW w:w="400" w:type="pct"/>
            <w:shd w:val="clear" w:color="auto" w:fill="auto"/>
            <w:vAlign w:val="center"/>
          </w:tcPr>
          <w:p w14:paraId="5556E38C" w14:textId="77777777" w:rsidR="00F925DD" w:rsidRDefault="00F925DD">
            <w:pPr>
              <w:rPr>
                <w:rFonts w:ascii="Times New Roman" w:hAnsi="Times New Roman"/>
                <w:sz w:val="20"/>
                <w:szCs w:val="20"/>
              </w:rPr>
            </w:pPr>
          </w:p>
        </w:tc>
        <w:tc>
          <w:tcPr>
            <w:tcW w:w="50" w:type="pct"/>
            <w:shd w:val="clear" w:color="auto" w:fill="auto"/>
            <w:vAlign w:val="center"/>
          </w:tcPr>
          <w:p w14:paraId="5556E38D" w14:textId="77777777" w:rsidR="00F925DD" w:rsidRDefault="00F925DD">
            <w:pPr>
              <w:rPr>
                <w:rFonts w:ascii="Times New Roman" w:hAnsi="Times New Roman"/>
                <w:sz w:val="20"/>
                <w:szCs w:val="20"/>
              </w:rPr>
            </w:pPr>
          </w:p>
        </w:tc>
        <w:tc>
          <w:tcPr>
            <w:tcW w:w="50" w:type="pct"/>
            <w:shd w:val="clear" w:color="auto" w:fill="auto"/>
            <w:vAlign w:val="center"/>
          </w:tcPr>
          <w:p w14:paraId="5556E38E" w14:textId="77777777" w:rsidR="00F925DD" w:rsidRDefault="00F925DD">
            <w:pPr>
              <w:rPr>
                <w:rFonts w:ascii="Times New Roman" w:hAnsi="Times New Roman"/>
                <w:sz w:val="20"/>
                <w:szCs w:val="20"/>
              </w:rPr>
            </w:pPr>
          </w:p>
        </w:tc>
        <w:tc>
          <w:tcPr>
            <w:tcW w:w="50" w:type="pct"/>
            <w:shd w:val="clear" w:color="auto" w:fill="auto"/>
            <w:vAlign w:val="center"/>
          </w:tcPr>
          <w:p w14:paraId="5556E38F" w14:textId="77777777" w:rsidR="00F925DD" w:rsidRDefault="00F925DD">
            <w:pPr>
              <w:rPr>
                <w:rFonts w:ascii="Times New Roman" w:hAnsi="Times New Roman"/>
                <w:sz w:val="20"/>
                <w:szCs w:val="20"/>
              </w:rPr>
            </w:pPr>
          </w:p>
        </w:tc>
        <w:tc>
          <w:tcPr>
            <w:tcW w:w="500" w:type="pct"/>
            <w:shd w:val="clear" w:color="auto" w:fill="auto"/>
            <w:vAlign w:val="center"/>
          </w:tcPr>
          <w:p w14:paraId="5556E390" w14:textId="77777777" w:rsidR="00F925DD" w:rsidRDefault="00F925DD">
            <w:pPr>
              <w:rPr>
                <w:rFonts w:ascii="Times New Roman" w:hAnsi="Times New Roman"/>
                <w:sz w:val="20"/>
                <w:szCs w:val="20"/>
              </w:rPr>
            </w:pPr>
          </w:p>
        </w:tc>
        <w:tc>
          <w:tcPr>
            <w:tcW w:w="50" w:type="pct"/>
            <w:shd w:val="clear" w:color="auto" w:fill="auto"/>
            <w:vAlign w:val="center"/>
          </w:tcPr>
          <w:p w14:paraId="5556E391" w14:textId="77777777" w:rsidR="00F925DD" w:rsidRDefault="00F925DD">
            <w:pPr>
              <w:rPr>
                <w:rFonts w:ascii="Times New Roman" w:hAnsi="Times New Roman"/>
                <w:sz w:val="20"/>
                <w:szCs w:val="20"/>
              </w:rPr>
            </w:pPr>
          </w:p>
        </w:tc>
      </w:tr>
      <w:tr w:rsidR="00F925DD" w14:paraId="5556E395" w14:textId="77777777">
        <w:tc>
          <w:tcPr>
            <w:tcW w:w="0" w:type="auto"/>
            <w:shd w:val="clear" w:color="auto" w:fill="auto"/>
            <w:tcMar>
              <w:top w:w="40" w:type="dxa"/>
              <w:left w:w="40" w:type="dxa"/>
              <w:bottom w:w="40" w:type="dxa"/>
              <w:right w:w="40" w:type="dxa"/>
            </w:tcMar>
            <w:vAlign w:val="bottom"/>
          </w:tcPr>
          <w:p w14:paraId="5556E3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E39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E39C" w14:textId="77777777">
        <w:tc>
          <w:tcPr>
            <w:tcW w:w="0" w:type="auto"/>
            <w:shd w:val="clear" w:color="auto" w:fill="auto"/>
            <w:tcMar>
              <w:top w:w="40" w:type="dxa"/>
              <w:left w:w="40" w:type="dxa"/>
              <w:bottom w:w="40" w:type="dxa"/>
              <w:right w:w="40" w:type="dxa"/>
            </w:tcMar>
            <w:vAlign w:val="bottom"/>
          </w:tcPr>
          <w:p w14:paraId="5556E39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39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E3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39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E3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39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E3A9" w14:textId="77777777">
        <w:tc>
          <w:tcPr>
            <w:tcW w:w="0" w:type="auto"/>
            <w:shd w:val="clear" w:color="auto" w:fill="CCEEFF"/>
            <w:tcMar>
              <w:top w:w="40" w:type="dxa"/>
              <w:left w:w="40" w:type="dxa"/>
              <w:bottom w:w="40" w:type="dxa"/>
              <w:right w:w="40" w:type="dxa"/>
            </w:tcMar>
            <w:vAlign w:val="bottom"/>
          </w:tcPr>
          <w:p w14:paraId="5556E39D" w14:textId="77777777" w:rsidR="00F925DD" w:rsidRDefault="00E705D7">
            <w:pPr>
              <w:textAlignment w:val="bottom"/>
              <w:rPr>
                <w:rFonts w:ascii="Times New Roman" w:hAnsi="Times New Roman"/>
                <w:sz w:val="14"/>
                <w:szCs w:val="14"/>
              </w:rPr>
            </w:pPr>
            <w:r>
              <w:rPr>
                <w:rFonts w:ascii="Arial" w:eastAsia="宋体" w:hAnsi="Arial" w:cs="Arial"/>
                <w:sz w:val="14"/>
                <w:szCs w:val="14"/>
              </w:rPr>
              <w:t>Net unrealized (losses) on cash flow hedges</w:t>
            </w:r>
          </w:p>
        </w:tc>
        <w:tc>
          <w:tcPr>
            <w:tcW w:w="0" w:type="auto"/>
            <w:tcBorders>
              <w:top w:val="single" w:sz="8" w:space="0" w:color="000000"/>
            </w:tcBorders>
            <w:shd w:val="clear" w:color="auto" w:fill="CCEEFF"/>
            <w:tcMar>
              <w:top w:w="40" w:type="dxa"/>
              <w:left w:w="40" w:type="dxa"/>
              <w:bottom w:w="40" w:type="dxa"/>
            </w:tcMar>
            <w:vAlign w:val="bottom"/>
          </w:tcPr>
          <w:p w14:paraId="5556E39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E39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(70</w:t>
            </w:r>
          </w:p>
        </w:tc>
        <w:tc>
          <w:tcPr>
            <w:tcW w:w="0" w:type="auto"/>
            <w:tcBorders>
              <w:top w:val="single" w:sz="8" w:space="0" w:color="000000"/>
            </w:tcBorders>
            <w:shd w:val="clear" w:color="auto" w:fill="CCEEFF"/>
            <w:tcMar>
              <w:top w:w="40" w:type="dxa"/>
              <w:bottom w:w="40" w:type="dxa"/>
              <w:right w:w="40" w:type="dxa"/>
            </w:tcMar>
            <w:vAlign w:val="bottom"/>
          </w:tcPr>
          <w:p w14:paraId="5556E3A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3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3A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E3A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(89</w:t>
            </w:r>
          </w:p>
        </w:tc>
        <w:tc>
          <w:tcPr>
            <w:tcW w:w="0" w:type="auto"/>
            <w:tcBorders>
              <w:top w:val="single" w:sz="8" w:space="0" w:color="000000"/>
            </w:tcBorders>
            <w:shd w:val="clear" w:color="auto" w:fill="CCEEFF"/>
            <w:tcMar>
              <w:top w:w="40" w:type="dxa"/>
              <w:bottom w:w="40" w:type="dxa"/>
              <w:right w:w="40" w:type="dxa"/>
            </w:tcMar>
            <w:vAlign w:val="bottom"/>
          </w:tcPr>
          <w:p w14:paraId="5556E3A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3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3A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E3A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(56</w:t>
            </w:r>
          </w:p>
        </w:tc>
        <w:tc>
          <w:tcPr>
            <w:tcW w:w="0" w:type="auto"/>
            <w:tcBorders>
              <w:top w:val="single" w:sz="8" w:space="0" w:color="000000"/>
            </w:tcBorders>
            <w:shd w:val="clear" w:color="auto" w:fill="CCEEFF"/>
            <w:tcMar>
              <w:top w:w="40" w:type="dxa"/>
              <w:bottom w:w="40" w:type="dxa"/>
              <w:right w:w="40" w:type="dxa"/>
            </w:tcMar>
            <w:vAlign w:val="bottom"/>
          </w:tcPr>
          <w:p w14:paraId="5556E3A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3B3" w14:textId="77777777">
        <w:tc>
          <w:tcPr>
            <w:tcW w:w="0" w:type="auto"/>
            <w:shd w:val="clear" w:color="auto" w:fill="auto"/>
            <w:tcMar>
              <w:top w:w="40" w:type="dxa"/>
              <w:left w:w="240" w:type="dxa"/>
              <w:bottom w:w="40" w:type="dxa"/>
              <w:right w:w="40" w:type="dxa"/>
            </w:tcMar>
            <w:vAlign w:val="bottom"/>
          </w:tcPr>
          <w:p w14:paraId="5556E3AA" w14:textId="77777777" w:rsidR="00F925DD" w:rsidRDefault="00E705D7">
            <w:pPr>
              <w:textAlignment w:val="bottom"/>
              <w:rPr>
                <w:rFonts w:ascii="Times New Roman" w:hAnsi="Times New Roman"/>
                <w:sz w:val="14"/>
                <w:szCs w:val="14"/>
              </w:rPr>
            </w:pPr>
            <w:r>
              <w:rPr>
                <w:rFonts w:ascii="Arial" w:eastAsia="宋体" w:hAnsi="Arial" w:cs="Arial"/>
                <w:sz w:val="14"/>
                <w:szCs w:val="14"/>
              </w:rPr>
              <w:t>Net unrealized gains (losses) on available-for-sale securities portfolio</w:t>
            </w:r>
          </w:p>
        </w:tc>
        <w:tc>
          <w:tcPr>
            <w:tcW w:w="0" w:type="auto"/>
            <w:gridSpan w:val="2"/>
            <w:shd w:val="clear" w:color="auto" w:fill="auto"/>
            <w:tcMar>
              <w:top w:w="40" w:type="dxa"/>
              <w:left w:w="40" w:type="dxa"/>
              <w:bottom w:w="40" w:type="dxa"/>
            </w:tcMar>
            <w:vAlign w:val="bottom"/>
          </w:tcPr>
          <w:p w14:paraId="5556E3A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426</w:t>
            </w:r>
          </w:p>
        </w:tc>
        <w:tc>
          <w:tcPr>
            <w:tcW w:w="0" w:type="auto"/>
            <w:shd w:val="clear" w:color="auto" w:fill="auto"/>
            <w:vAlign w:val="bottom"/>
          </w:tcPr>
          <w:p w14:paraId="5556E3A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3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3A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(193</w:t>
            </w:r>
          </w:p>
        </w:tc>
        <w:tc>
          <w:tcPr>
            <w:tcW w:w="0" w:type="auto"/>
            <w:shd w:val="clear" w:color="auto" w:fill="auto"/>
            <w:tcMar>
              <w:top w:w="40" w:type="dxa"/>
              <w:bottom w:w="40" w:type="dxa"/>
              <w:right w:w="40" w:type="dxa"/>
            </w:tcMar>
            <w:vAlign w:val="bottom"/>
          </w:tcPr>
          <w:p w14:paraId="5556E3A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3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3B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148</w:t>
            </w:r>
          </w:p>
        </w:tc>
        <w:tc>
          <w:tcPr>
            <w:tcW w:w="0" w:type="auto"/>
            <w:shd w:val="clear" w:color="auto" w:fill="auto"/>
            <w:vAlign w:val="bottom"/>
          </w:tcPr>
          <w:p w14:paraId="5556E3B2" w14:textId="77777777" w:rsidR="00F925DD" w:rsidRDefault="00F925DD">
            <w:pPr>
              <w:textAlignment w:val="bottom"/>
              <w:rPr>
                <w:rFonts w:ascii="Times New Roman" w:hAnsi="Times New Roman"/>
                <w:sz w:val="20"/>
                <w:szCs w:val="20"/>
              </w:rPr>
            </w:pPr>
          </w:p>
        </w:tc>
      </w:tr>
      <w:tr w:rsidR="00F925DD" w14:paraId="5556E3BD" w14:textId="77777777">
        <w:tc>
          <w:tcPr>
            <w:tcW w:w="0" w:type="auto"/>
            <w:shd w:val="clear" w:color="auto" w:fill="CCEEFF"/>
            <w:tcMar>
              <w:top w:w="40" w:type="dxa"/>
              <w:left w:w="240" w:type="dxa"/>
              <w:bottom w:w="40" w:type="dxa"/>
              <w:right w:w="40" w:type="dxa"/>
            </w:tcMar>
            <w:vAlign w:val="bottom"/>
          </w:tcPr>
          <w:p w14:paraId="5556E3B4"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w:t>
            </w:r>
            <w:r>
              <w:rPr>
                <w:rFonts w:ascii="Arial" w:eastAsia="宋体" w:hAnsi="Arial" w:cs="Arial"/>
                <w:sz w:val="14"/>
                <w:szCs w:val="14"/>
              </w:rPr>
              <w:t>unrealized gains related to reclassified available-for-sale securities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3B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tcBorders>
              <w:bottom w:val="single" w:sz="8" w:space="0" w:color="000000"/>
            </w:tcBorders>
            <w:shd w:val="clear" w:color="auto" w:fill="CCEEFF"/>
            <w:vAlign w:val="bottom"/>
          </w:tcPr>
          <w:p w14:paraId="5556E3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3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3B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58</w:t>
            </w:r>
          </w:p>
        </w:tc>
        <w:tc>
          <w:tcPr>
            <w:tcW w:w="0" w:type="auto"/>
            <w:tcBorders>
              <w:bottom w:val="single" w:sz="8" w:space="0" w:color="000000"/>
            </w:tcBorders>
            <w:shd w:val="clear" w:color="auto" w:fill="CCEEFF"/>
            <w:vAlign w:val="bottom"/>
          </w:tcPr>
          <w:p w14:paraId="5556E3B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3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3B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w:t>
            </w:r>
          </w:p>
        </w:tc>
        <w:tc>
          <w:tcPr>
            <w:tcW w:w="0" w:type="auto"/>
            <w:shd w:val="clear" w:color="auto" w:fill="CCEEFF"/>
            <w:vAlign w:val="bottom"/>
          </w:tcPr>
          <w:p w14:paraId="5556E3BC" w14:textId="77777777" w:rsidR="00F925DD" w:rsidRDefault="00F925DD">
            <w:pPr>
              <w:textAlignment w:val="bottom"/>
              <w:rPr>
                <w:rFonts w:ascii="Times New Roman" w:hAnsi="Times New Roman"/>
                <w:sz w:val="20"/>
                <w:szCs w:val="20"/>
              </w:rPr>
            </w:pPr>
          </w:p>
        </w:tc>
      </w:tr>
      <w:tr w:rsidR="00F925DD" w14:paraId="5556E3C7" w14:textId="77777777">
        <w:tc>
          <w:tcPr>
            <w:tcW w:w="0" w:type="auto"/>
            <w:shd w:val="clear" w:color="auto" w:fill="auto"/>
            <w:tcMar>
              <w:top w:w="40" w:type="dxa"/>
              <w:left w:w="40" w:type="dxa"/>
              <w:bottom w:w="40" w:type="dxa"/>
              <w:right w:w="40" w:type="dxa"/>
            </w:tcMar>
            <w:vAlign w:val="bottom"/>
          </w:tcPr>
          <w:p w14:paraId="5556E3BE" w14:textId="77777777" w:rsidR="00F925DD" w:rsidRDefault="00E705D7">
            <w:pPr>
              <w:textAlignment w:val="bottom"/>
              <w:rPr>
                <w:rFonts w:ascii="Times New Roman" w:hAnsi="Times New Roman"/>
                <w:sz w:val="14"/>
                <w:szCs w:val="14"/>
              </w:rPr>
            </w:pPr>
            <w:r>
              <w:rPr>
                <w:rFonts w:ascii="Arial" w:eastAsia="宋体" w:hAnsi="Arial" w:cs="Arial"/>
                <w:sz w:val="14"/>
                <w:szCs w:val="14"/>
              </w:rPr>
              <w:t>Net unrealized gains (losses) on available-for-sale securities</w:t>
            </w:r>
          </w:p>
        </w:tc>
        <w:tc>
          <w:tcPr>
            <w:tcW w:w="0" w:type="auto"/>
            <w:gridSpan w:val="2"/>
            <w:shd w:val="clear" w:color="auto" w:fill="auto"/>
            <w:tcMar>
              <w:top w:w="40" w:type="dxa"/>
              <w:left w:w="40" w:type="dxa"/>
              <w:bottom w:w="40" w:type="dxa"/>
            </w:tcMar>
            <w:vAlign w:val="bottom"/>
          </w:tcPr>
          <w:p w14:paraId="5556E3B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445</w:t>
            </w:r>
          </w:p>
        </w:tc>
        <w:tc>
          <w:tcPr>
            <w:tcW w:w="0" w:type="auto"/>
            <w:shd w:val="clear" w:color="auto" w:fill="auto"/>
            <w:vAlign w:val="bottom"/>
          </w:tcPr>
          <w:p w14:paraId="5556E3C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3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3C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(135</w:t>
            </w:r>
          </w:p>
        </w:tc>
        <w:tc>
          <w:tcPr>
            <w:tcW w:w="0" w:type="auto"/>
            <w:tcBorders>
              <w:top w:val="single" w:sz="8" w:space="0" w:color="000000"/>
            </w:tcBorders>
            <w:shd w:val="clear" w:color="auto" w:fill="auto"/>
            <w:tcMar>
              <w:top w:w="40" w:type="dxa"/>
              <w:bottom w:w="40" w:type="dxa"/>
              <w:right w:w="40" w:type="dxa"/>
            </w:tcMar>
            <w:vAlign w:val="bottom"/>
          </w:tcPr>
          <w:p w14:paraId="5556E3C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3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3C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167</w:t>
            </w:r>
          </w:p>
        </w:tc>
        <w:tc>
          <w:tcPr>
            <w:tcW w:w="0" w:type="auto"/>
            <w:tcBorders>
              <w:top w:val="single" w:sz="8" w:space="0" w:color="000000"/>
            </w:tcBorders>
            <w:shd w:val="clear" w:color="auto" w:fill="auto"/>
            <w:vAlign w:val="bottom"/>
          </w:tcPr>
          <w:p w14:paraId="5556E3C6" w14:textId="77777777" w:rsidR="00F925DD" w:rsidRDefault="00F925DD">
            <w:pPr>
              <w:textAlignment w:val="bottom"/>
              <w:rPr>
                <w:rFonts w:ascii="Times New Roman" w:hAnsi="Times New Roman"/>
                <w:sz w:val="20"/>
                <w:szCs w:val="20"/>
              </w:rPr>
            </w:pPr>
          </w:p>
        </w:tc>
      </w:tr>
      <w:tr w:rsidR="00F925DD" w14:paraId="5556E3D1" w14:textId="77777777">
        <w:tc>
          <w:tcPr>
            <w:tcW w:w="0" w:type="auto"/>
            <w:shd w:val="clear" w:color="auto" w:fill="CCEEFF"/>
            <w:tcMar>
              <w:top w:w="40" w:type="dxa"/>
              <w:left w:w="40" w:type="dxa"/>
              <w:bottom w:w="40" w:type="dxa"/>
              <w:right w:w="40" w:type="dxa"/>
            </w:tcMar>
            <w:vAlign w:val="bottom"/>
          </w:tcPr>
          <w:p w14:paraId="5556E3C8"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unrealized (losses) on available-for-sale securities designated in fair </w:t>
            </w:r>
            <w:r>
              <w:rPr>
                <w:rFonts w:ascii="Arial" w:eastAsia="宋体" w:hAnsi="Arial" w:cs="Arial"/>
                <w:sz w:val="14"/>
                <w:szCs w:val="14"/>
              </w:rPr>
              <w:t>value hedges</w:t>
            </w:r>
          </w:p>
        </w:tc>
        <w:tc>
          <w:tcPr>
            <w:tcW w:w="0" w:type="auto"/>
            <w:gridSpan w:val="2"/>
            <w:shd w:val="clear" w:color="auto" w:fill="CCEEFF"/>
            <w:tcMar>
              <w:top w:w="40" w:type="dxa"/>
              <w:left w:w="40" w:type="dxa"/>
              <w:bottom w:w="40" w:type="dxa"/>
            </w:tcMar>
            <w:vAlign w:val="bottom"/>
          </w:tcPr>
          <w:p w14:paraId="5556E3C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w:t>
            </w:r>
          </w:p>
        </w:tc>
        <w:tc>
          <w:tcPr>
            <w:tcW w:w="0" w:type="auto"/>
            <w:shd w:val="clear" w:color="auto" w:fill="CCEEFF"/>
            <w:tcMar>
              <w:top w:w="40" w:type="dxa"/>
              <w:bottom w:w="40" w:type="dxa"/>
              <w:right w:w="40" w:type="dxa"/>
            </w:tcMar>
            <w:vAlign w:val="bottom"/>
          </w:tcPr>
          <w:p w14:paraId="5556E3C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3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3C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(40</w:t>
            </w:r>
          </w:p>
        </w:tc>
        <w:tc>
          <w:tcPr>
            <w:tcW w:w="0" w:type="auto"/>
            <w:shd w:val="clear" w:color="auto" w:fill="CCEEFF"/>
            <w:tcMar>
              <w:top w:w="40" w:type="dxa"/>
              <w:bottom w:w="40" w:type="dxa"/>
              <w:right w:w="40" w:type="dxa"/>
            </w:tcMar>
            <w:vAlign w:val="bottom"/>
          </w:tcPr>
          <w:p w14:paraId="5556E3C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3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3C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(64</w:t>
            </w:r>
          </w:p>
        </w:tc>
        <w:tc>
          <w:tcPr>
            <w:tcW w:w="0" w:type="auto"/>
            <w:shd w:val="clear" w:color="auto" w:fill="CCEEFF"/>
            <w:tcMar>
              <w:top w:w="40" w:type="dxa"/>
              <w:bottom w:w="40" w:type="dxa"/>
              <w:right w:w="40" w:type="dxa"/>
            </w:tcMar>
            <w:vAlign w:val="bottom"/>
          </w:tcPr>
          <w:p w14:paraId="5556E3D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3DB" w14:textId="77777777">
        <w:tc>
          <w:tcPr>
            <w:tcW w:w="0" w:type="auto"/>
            <w:shd w:val="clear" w:color="auto" w:fill="auto"/>
            <w:tcMar>
              <w:top w:w="40" w:type="dxa"/>
              <w:left w:w="40" w:type="dxa"/>
              <w:bottom w:w="40" w:type="dxa"/>
              <w:right w:w="40" w:type="dxa"/>
            </w:tcMar>
            <w:vAlign w:val="bottom"/>
          </w:tcPr>
          <w:p w14:paraId="5556E3D2" w14:textId="77777777" w:rsidR="00F925DD" w:rsidRDefault="00E705D7">
            <w:pPr>
              <w:textAlignment w:val="bottom"/>
              <w:rPr>
                <w:rFonts w:ascii="Times New Roman" w:hAnsi="Times New Roman"/>
                <w:sz w:val="14"/>
                <w:szCs w:val="14"/>
              </w:rPr>
            </w:pPr>
            <w:r>
              <w:rPr>
                <w:rFonts w:ascii="Arial" w:eastAsia="宋体" w:hAnsi="Arial" w:cs="Arial"/>
                <w:sz w:val="14"/>
                <w:szCs w:val="14"/>
              </w:rPr>
              <w:t>Net unrealized gains on hedges of net investments in non-U.S. subsidiaries</w:t>
            </w:r>
          </w:p>
        </w:tc>
        <w:tc>
          <w:tcPr>
            <w:tcW w:w="0" w:type="auto"/>
            <w:gridSpan w:val="2"/>
            <w:shd w:val="clear" w:color="auto" w:fill="auto"/>
            <w:tcMar>
              <w:top w:w="40" w:type="dxa"/>
              <w:left w:w="40" w:type="dxa"/>
              <w:bottom w:w="40" w:type="dxa"/>
            </w:tcMar>
            <w:vAlign w:val="bottom"/>
          </w:tcPr>
          <w:p w14:paraId="5556E3D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46</w:t>
            </w:r>
          </w:p>
        </w:tc>
        <w:tc>
          <w:tcPr>
            <w:tcW w:w="0" w:type="auto"/>
            <w:shd w:val="clear" w:color="auto" w:fill="auto"/>
            <w:vAlign w:val="bottom"/>
          </w:tcPr>
          <w:p w14:paraId="5556E3D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3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3D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w:t>
            </w:r>
          </w:p>
        </w:tc>
        <w:tc>
          <w:tcPr>
            <w:tcW w:w="0" w:type="auto"/>
            <w:shd w:val="clear" w:color="auto" w:fill="auto"/>
            <w:vAlign w:val="bottom"/>
          </w:tcPr>
          <w:p w14:paraId="5556E3D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3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3D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(65</w:t>
            </w:r>
          </w:p>
        </w:tc>
        <w:tc>
          <w:tcPr>
            <w:tcW w:w="0" w:type="auto"/>
            <w:shd w:val="clear" w:color="auto" w:fill="auto"/>
            <w:tcMar>
              <w:top w:w="40" w:type="dxa"/>
              <w:bottom w:w="40" w:type="dxa"/>
              <w:right w:w="40" w:type="dxa"/>
            </w:tcMar>
            <w:vAlign w:val="bottom"/>
          </w:tcPr>
          <w:p w14:paraId="5556E3D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3E5" w14:textId="77777777">
        <w:tc>
          <w:tcPr>
            <w:tcW w:w="0" w:type="auto"/>
            <w:shd w:val="clear" w:color="auto" w:fill="CCEEFF"/>
            <w:tcMar>
              <w:top w:w="40" w:type="dxa"/>
              <w:left w:w="40" w:type="dxa"/>
              <w:bottom w:w="40" w:type="dxa"/>
              <w:right w:w="40" w:type="dxa"/>
            </w:tcMar>
            <w:vAlign w:val="bottom"/>
          </w:tcPr>
          <w:p w14:paraId="5556E3DC" w14:textId="77777777" w:rsidR="00F925DD" w:rsidRDefault="00E705D7">
            <w:pPr>
              <w:textAlignment w:val="bottom"/>
              <w:rPr>
                <w:rFonts w:ascii="Times New Roman" w:hAnsi="Times New Roman"/>
                <w:sz w:val="14"/>
                <w:szCs w:val="14"/>
              </w:rPr>
            </w:pPr>
            <w:r>
              <w:rPr>
                <w:rFonts w:ascii="Arial" w:eastAsia="宋体" w:hAnsi="Arial" w:cs="Arial"/>
                <w:sz w:val="14"/>
                <w:szCs w:val="14"/>
              </w:rPr>
              <w:t>Other-than-temporary impairment on held-to-maturity securities related to factors other than credit</w:t>
            </w:r>
          </w:p>
        </w:tc>
        <w:tc>
          <w:tcPr>
            <w:tcW w:w="0" w:type="auto"/>
            <w:gridSpan w:val="2"/>
            <w:shd w:val="clear" w:color="auto" w:fill="CCEEFF"/>
            <w:tcMar>
              <w:top w:w="40" w:type="dxa"/>
              <w:left w:w="40" w:type="dxa"/>
              <w:bottom w:w="40" w:type="dxa"/>
            </w:tcMar>
            <w:vAlign w:val="bottom"/>
          </w:tcPr>
          <w:p w14:paraId="5556E3D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tcMar>
              <w:top w:w="40" w:type="dxa"/>
              <w:bottom w:w="40" w:type="dxa"/>
              <w:right w:w="40" w:type="dxa"/>
            </w:tcMar>
            <w:vAlign w:val="bottom"/>
          </w:tcPr>
          <w:p w14:paraId="5556E3D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3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3E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5556E3E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3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3E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CCEEFF"/>
            <w:tcMar>
              <w:top w:w="40" w:type="dxa"/>
              <w:bottom w:w="40" w:type="dxa"/>
              <w:right w:w="40" w:type="dxa"/>
            </w:tcMar>
            <w:vAlign w:val="bottom"/>
          </w:tcPr>
          <w:p w14:paraId="5556E3E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3EF" w14:textId="77777777">
        <w:tc>
          <w:tcPr>
            <w:tcW w:w="0" w:type="auto"/>
            <w:shd w:val="clear" w:color="auto" w:fill="auto"/>
            <w:tcMar>
              <w:top w:w="40" w:type="dxa"/>
              <w:left w:w="40" w:type="dxa"/>
              <w:bottom w:w="40" w:type="dxa"/>
              <w:right w:w="40" w:type="dxa"/>
            </w:tcMar>
            <w:vAlign w:val="bottom"/>
          </w:tcPr>
          <w:p w14:paraId="5556E3E6"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w:t>
            </w:r>
            <w:r>
              <w:rPr>
                <w:rFonts w:ascii="Arial" w:eastAsia="宋体" w:hAnsi="Arial" w:cs="Arial"/>
                <w:sz w:val="14"/>
                <w:szCs w:val="14"/>
              </w:rPr>
              <w:t>unrealized (losses) on retirement plans</w:t>
            </w:r>
          </w:p>
        </w:tc>
        <w:tc>
          <w:tcPr>
            <w:tcW w:w="0" w:type="auto"/>
            <w:gridSpan w:val="2"/>
            <w:shd w:val="clear" w:color="auto" w:fill="auto"/>
            <w:tcMar>
              <w:top w:w="40" w:type="dxa"/>
              <w:left w:w="40" w:type="dxa"/>
              <w:bottom w:w="40" w:type="dxa"/>
            </w:tcMar>
            <w:vAlign w:val="bottom"/>
          </w:tcPr>
          <w:p w14:paraId="5556E3E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(187</w:t>
            </w:r>
          </w:p>
        </w:tc>
        <w:tc>
          <w:tcPr>
            <w:tcW w:w="0" w:type="auto"/>
            <w:shd w:val="clear" w:color="auto" w:fill="auto"/>
            <w:tcMar>
              <w:top w:w="40" w:type="dxa"/>
              <w:bottom w:w="40" w:type="dxa"/>
              <w:right w:w="40" w:type="dxa"/>
            </w:tcMar>
            <w:vAlign w:val="bottom"/>
          </w:tcPr>
          <w:p w14:paraId="5556E3E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3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3E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(143</w:t>
            </w:r>
          </w:p>
        </w:tc>
        <w:tc>
          <w:tcPr>
            <w:tcW w:w="0" w:type="auto"/>
            <w:shd w:val="clear" w:color="auto" w:fill="auto"/>
            <w:tcMar>
              <w:top w:w="40" w:type="dxa"/>
              <w:bottom w:w="40" w:type="dxa"/>
              <w:right w:w="40" w:type="dxa"/>
            </w:tcMar>
            <w:vAlign w:val="bottom"/>
          </w:tcPr>
          <w:p w14:paraId="5556E3E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3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3E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(170</w:t>
            </w:r>
          </w:p>
        </w:tc>
        <w:tc>
          <w:tcPr>
            <w:tcW w:w="0" w:type="auto"/>
            <w:shd w:val="clear" w:color="auto" w:fill="auto"/>
            <w:tcMar>
              <w:top w:w="40" w:type="dxa"/>
              <w:bottom w:w="40" w:type="dxa"/>
              <w:right w:w="40" w:type="dxa"/>
            </w:tcMar>
            <w:vAlign w:val="bottom"/>
          </w:tcPr>
          <w:p w14:paraId="5556E3E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3F9" w14:textId="77777777">
        <w:tc>
          <w:tcPr>
            <w:tcW w:w="0" w:type="auto"/>
            <w:shd w:val="clear" w:color="auto" w:fill="CCEEFF"/>
            <w:tcMar>
              <w:top w:w="40" w:type="dxa"/>
              <w:left w:w="40" w:type="dxa"/>
              <w:bottom w:w="40" w:type="dxa"/>
              <w:right w:w="40" w:type="dxa"/>
            </w:tcMar>
            <w:vAlign w:val="bottom"/>
          </w:tcPr>
          <w:p w14:paraId="5556E3F0"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currency translation</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3F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(1,072</w:t>
            </w:r>
          </w:p>
        </w:tc>
        <w:tc>
          <w:tcPr>
            <w:tcW w:w="0" w:type="auto"/>
            <w:tcBorders>
              <w:bottom w:val="single" w:sz="8" w:space="0" w:color="000000"/>
            </w:tcBorders>
            <w:shd w:val="clear" w:color="auto" w:fill="CCEEFF"/>
            <w:tcMar>
              <w:top w:w="40" w:type="dxa"/>
              <w:bottom w:w="40" w:type="dxa"/>
              <w:right w:w="40" w:type="dxa"/>
            </w:tcMar>
            <w:vAlign w:val="bottom"/>
          </w:tcPr>
          <w:p w14:paraId="5556E3F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3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3F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(963</w:t>
            </w:r>
          </w:p>
        </w:tc>
        <w:tc>
          <w:tcPr>
            <w:tcW w:w="0" w:type="auto"/>
            <w:tcBorders>
              <w:bottom w:val="single" w:sz="8" w:space="0" w:color="000000"/>
            </w:tcBorders>
            <w:shd w:val="clear" w:color="auto" w:fill="CCEEFF"/>
            <w:tcMar>
              <w:top w:w="40" w:type="dxa"/>
              <w:bottom w:w="40" w:type="dxa"/>
              <w:right w:w="40" w:type="dxa"/>
            </w:tcMar>
            <w:vAlign w:val="bottom"/>
          </w:tcPr>
          <w:p w14:paraId="5556E3F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3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3F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(815</w:t>
            </w:r>
          </w:p>
        </w:tc>
        <w:tc>
          <w:tcPr>
            <w:tcW w:w="0" w:type="auto"/>
            <w:shd w:val="clear" w:color="auto" w:fill="CCEEFF"/>
            <w:tcMar>
              <w:top w:w="40" w:type="dxa"/>
              <w:bottom w:w="40" w:type="dxa"/>
              <w:right w:w="40" w:type="dxa"/>
            </w:tcMar>
            <w:vAlign w:val="bottom"/>
          </w:tcPr>
          <w:p w14:paraId="5556E3F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406" w14:textId="77777777">
        <w:tc>
          <w:tcPr>
            <w:tcW w:w="0" w:type="auto"/>
            <w:shd w:val="clear" w:color="auto" w:fill="auto"/>
            <w:tcMar>
              <w:top w:w="40" w:type="dxa"/>
              <w:left w:w="40" w:type="dxa"/>
              <w:bottom w:w="40" w:type="dxa"/>
              <w:right w:w="40" w:type="dxa"/>
            </w:tcMar>
            <w:vAlign w:val="bottom"/>
          </w:tcPr>
          <w:p w14:paraId="5556E3FA" w14:textId="77777777" w:rsidR="00F925DD" w:rsidRDefault="00E705D7">
            <w:pPr>
              <w:textAlignment w:val="bottom"/>
              <w:rPr>
                <w:rFonts w:ascii="Times New Roman" w:hAnsi="Times New Roman"/>
                <w:sz w:val="14"/>
                <w:szCs w:val="14"/>
              </w:rPr>
            </w:pPr>
            <w:r>
              <w:rPr>
                <w:rFonts w:ascii="Arial" w:eastAsia="宋体" w:hAnsi="Arial" w:cs="Arial"/>
                <w:sz w:val="14"/>
                <w:szCs w:val="14"/>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3F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3F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(876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E3F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3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3F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40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(1,356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E40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40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40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(1,009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E40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bl>
    <w:p w14:paraId="5556E407" w14:textId="77777777" w:rsidR="00F925DD" w:rsidRDefault="00F925DD">
      <w:pPr>
        <w:spacing w:line="288" w:lineRule="auto"/>
        <w:rPr>
          <w:rFonts w:ascii="Times New Roman" w:hAnsi="Times New Roman"/>
          <w:sz w:val="20"/>
          <w:szCs w:val="20"/>
        </w:rPr>
      </w:pPr>
    </w:p>
    <w:p w14:paraId="5556E408" w14:textId="77777777" w:rsidR="00F925DD" w:rsidRDefault="00E705D7">
      <w:pPr>
        <w:spacing w:line="288" w:lineRule="auto"/>
        <w:ind w:firstLine="600"/>
        <w:rPr>
          <w:rFonts w:ascii="Times New Roman" w:hAnsi="Times New Roman"/>
          <w:sz w:val="20"/>
          <w:szCs w:val="20"/>
        </w:rPr>
      </w:pPr>
      <w:r>
        <w:rPr>
          <w:rFonts w:ascii="Arial" w:eastAsia="宋体" w:hAnsi="Arial" w:cs="Arial"/>
          <w:sz w:val="20"/>
          <w:szCs w:val="20"/>
        </w:rPr>
        <w:t xml:space="preserve">The following table presents changes in AOCI by component, net of related taxes, for </w:t>
      </w:r>
      <w:r>
        <w:rPr>
          <w:rFonts w:ascii="Arial" w:eastAsia="宋体" w:hAnsi="Arial" w:cs="Arial"/>
          <w:sz w:val="20"/>
          <w:szCs w:val="20"/>
        </w:rPr>
        <w:t>the periods indicated:</w:t>
      </w:r>
    </w:p>
    <w:tbl>
      <w:tblPr>
        <w:tblW w:w="5000" w:type="pct"/>
        <w:tblCellMar>
          <w:left w:w="0" w:type="dxa"/>
          <w:right w:w="0" w:type="dxa"/>
        </w:tblCellMar>
        <w:tblLook w:val="04A0" w:firstRow="1" w:lastRow="0" w:firstColumn="1" w:lastColumn="0" w:noHBand="0" w:noVBand="1"/>
      </w:tblPr>
      <w:tblGrid>
        <w:gridCol w:w="1002"/>
        <w:gridCol w:w="116"/>
        <w:gridCol w:w="571"/>
        <w:gridCol w:w="84"/>
        <w:gridCol w:w="127"/>
        <w:gridCol w:w="116"/>
        <w:gridCol w:w="964"/>
        <w:gridCol w:w="109"/>
        <w:gridCol w:w="127"/>
        <w:gridCol w:w="116"/>
        <w:gridCol w:w="708"/>
        <w:gridCol w:w="84"/>
        <w:gridCol w:w="127"/>
        <w:gridCol w:w="172"/>
        <w:gridCol w:w="1163"/>
        <w:gridCol w:w="169"/>
        <w:gridCol w:w="127"/>
        <w:gridCol w:w="116"/>
        <w:gridCol w:w="588"/>
        <w:gridCol w:w="87"/>
        <w:gridCol w:w="127"/>
        <w:gridCol w:w="116"/>
        <w:gridCol w:w="606"/>
        <w:gridCol w:w="88"/>
        <w:gridCol w:w="127"/>
        <w:gridCol w:w="115"/>
        <w:gridCol w:w="370"/>
        <w:gridCol w:w="84"/>
      </w:tblGrid>
      <w:tr w:rsidR="00F925DD" w14:paraId="5556E40A" w14:textId="77777777">
        <w:tc>
          <w:tcPr>
            <w:tcW w:w="0" w:type="auto"/>
            <w:gridSpan w:val="28"/>
            <w:shd w:val="clear" w:color="auto" w:fill="auto"/>
            <w:vAlign w:val="center"/>
          </w:tcPr>
          <w:p w14:paraId="5556E409" w14:textId="77777777" w:rsidR="00F925DD" w:rsidRDefault="00F925DD">
            <w:pPr>
              <w:rPr>
                <w:rFonts w:ascii="Times New Roman" w:hAnsi="Times New Roman"/>
                <w:sz w:val="20"/>
                <w:szCs w:val="20"/>
              </w:rPr>
            </w:pPr>
          </w:p>
        </w:tc>
      </w:tr>
      <w:tr w:rsidR="00F925DD" w14:paraId="5556E427" w14:textId="77777777">
        <w:tc>
          <w:tcPr>
            <w:tcW w:w="1350" w:type="pct"/>
            <w:shd w:val="clear" w:color="auto" w:fill="auto"/>
            <w:vAlign w:val="center"/>
          </w:tcPr>
          <w:p w14:paraId="5556E40B" w14:textId="77777777" w:rsidR="00F925DD" w:rsidRDefault="00F925DD">
            <w:pPr>
              <w:rPr>
                <w:rFonts w:ascii="Times New Roman" w:hAnsi="Times New Roman"/>
                <w:sz w:val="20"/>
                <w:szCs w:val="20"/>
              </w:rPr>
            </w:pPr>
          </w:p>
        </w:tc>
        <w:tc>
          <w:tcPr>
            <w:tcW w:w="50" w:type="pct"/>
            <w:shd w:val="clear" w:color="auto" w:fill="auto"/>
            <w:vAlign w:val="center"/>
          </w:tcPr>
          <w:p w14:paraId="5556E40C" w14:textId="77777777" w:rsidR="00F925DD" w:rsidRDefault="00F925DD">
            <w:pPr>
              <w:rPr>
                <w:rFonts w:ascii="Times New Roman" w:hAnsi="Times New Roman"/>
                <w:sz w:val="20"/>
                <w:szCs w:val="20"/>
              </w:rPr>
            </w:pPr>
          </w:p>
        </w:tc>
        <w:tc>
          <w:tcPr>
            <w:tcW w:w="350" w:type="pct"/>
            <w:shd w:val="clear" w:color="auto" w:fill="auto"/>
            <w:vAlign w:val="center"/>
          </w:tcPr>
          <w:p w14:paraId="5556E40D" w14:textId="77777777" w:rsidR="00F925DD" w:rsidRDefault="00F925DD">
            <w:pPr>
              <w:rPr>
                <w:rFonts w:ascii="Times New Roman" w:hAnsi="Times New Roman"/>
                <w:sz w:val="20"/>
                <w:szCs w:val="20"/>
              </w:rPr>
            </w:pPr>
          </w:p>
        </w:tc>
        <w:tc>
          <w:tcPr>
            <w:tcW w:w="50" w:type="pct"/>
            <w:shd w:val="clear" w:color="auto" w:fill="auto"/>
            <w:vAlign w:val="center"/>
          </w:tcPr>
          <w:p w14:paraId="5556E40E" w14:textId="77777777" w:rsidR="00F925DD" w:rsidRDefault="00F925DD">
            <w:pPr>
              <w:rPr>
                <w:rFonts w:ascii="Times New Roman" w:hAnsi="Times New Roman"/>
                <w:sz w:val="20"/>
                <w:szCs w:val="20"/>
              </w:rPr>
            </w:pPr>
          </w:p>
        </w:tc>
        <w:tc>
          <w:tcPr>
            <w:tcW w:w="50" w:type="pct"/>
            <w:shd w:val="clear" w:color="auto" w:fill="auto"/>
            <w:vAlign w:val="center"/>
          </w:tcPr>
          <w:p w14:paraId="5556E40F" w14:textId="77777777" w:rsidR="00F925DD" w:rsidRDefault="00F925DD">
            <w:pPr>
              <w:rPr>
                <w:rFonts w:ascii="Times New Roman" w:hAnsi="Times New Roman"/>
                <w:sz w:val="20"/>
                <w:szCs w:val="20"/>
              </w:rPr>
            </w:pPr>
          </w:p>
        </w:tc>
        <w:tc>
          <w:tcPr>
            <w:tcW w:w="50" w:type="pct"/>
            <w:shd w:val="clear" w:color="auto" w:fill="auto"/>
            <w:vAlign w:val="center"/>
          </w:tcPr>
          <w:p w14:paraId="5556E410" w14:textId="77777777" w:rsidR="00F925DD" w:rsidRDefault="00F925DD">
            <w:pPr>
              <w:rPr>
                <w:rFonts w:ascii="Times New Roman" w:hAnsi="Times New Roman"/>
                <w:sz w:val="20"/>
                <w:szCs w:val="20"/>
              </w:rPr>
            </w:pPr>
          </w:p>
        </w:tc>
        <w:tc>
          <w:tcPr>
            <w:tcW w:w="450" w:type="pct"/>
            <w:shd w:val="clear" w:color="auto" w:fill="auto"/>
            <w:vAlign w:val="center"/>
          </w:tcPr>
          <w:p w14:paraId="5556E411" w14:textId="77777777" w:rsidR="00F925DD" w:rsidRDefault="00F925DD">
            <w:pPr>
              <w:rPr>
                <w:rFonts w:ascii="Times New Roman" w:hAnsi="Times New Roman"/>
                <w:sz w:val="20"/>
                <w:szCs w:val="20"/>
              </w:rPr>
            </w:pPr>
          </w:p>
        </w:tc>
        <w:tc>
          <w:tcPr>
            <w:tcW w:w="50" w:type="pct"/>
            <w:shd w:val="clear" w:color="auto" w:fill="auto"/>
            <w:vAlign w:val="center"/>
          </w:tcPr>
          <w:p w14:paraId="5556E412" w14:textId="77777777" w:rsidR="00F925DD" w:rsidRDefault="00F925DD">
            <w:pPr>
              <w:rPr>
                <w:rFonts w:ascii="Times New Roman" w:hAnsi="Times New Roman"/>
                <w:sz w:val="20"/>
                <w:szCs w:val="20"/>
              </w:rPr>
            </w:pPr>
          </w:p>
        </w:tc>
        <w:tc>
          <w:tcPr>
            <w:tcW w:w="50" w:type="pct"/>
            <w:shd w:val="clear" w:color="auto" w:fill="auto"/>
            <w:vAlign w:val="center"/>
          </w:tcPr>
          <w:p w14:paraId="5556E413" w14:textId="77777777" w:rsidR="00F925DD" w:rsidRDefault="00F925DD">
            <w:pPr>
              <w:rPr>
                <w:rFonts w:ascii="Times New Roman" w:hAnsi="Times New Roman"/>
                <w:sz w:val="20"/>
                <w:szCs w:val="20"/>
              </w:rPr>
            </w:pPr>
          </w:p>
        </w:tc>
        <w:tc>
          <w:tcPr>
            <w:tcW w:w="50" w:type="pct"/>
            <w:shd w:val="clear" w:color="auto" w:fill="auto"/>
            <w:vAlign w:val="center"/>
          </w:tcPr>
          <w:p w14:paraId="5556E414" w14:textId="77777777" w:rsidR="00F925DD" w:rsidRDefault="00F925DD">
            <w:pPr>
              <w:rPr>
                <w:rFonts w:ascii="Times New Roman" w:hAnsi="Times New Roman"/>
                <w:sz w:val="20"/>
                <w:szCs w:val="20"/>
              </w:rPr>
            </w:pPr>
          </w:p>
        </w:tc>
        <w:tc>
          <w:tcPr>
            <w:tcW w:w="500" w:type="pct"/>
            <w:shd w:val="clear" w:color="auto" w:fill="auto"/>
            <w:vAlign w:val="center"/>
          </w:tcPr>
          <w:p w14:paraId="5556E415" w14:textId="77777777" w:rsidR="00F925DD" w:rsidRDefault="00F925DD">
            <w:pPr>
              <w:rPr>
                <w:rFonts w:ascii="Times New Roman" w:hAnsi="Times New Roman"/>
                <w:sz w:val="20"/>
                <w:szCs w:val="20"/>
              </w:rPr>
            </w:pPr>
          </w:p>
        </w:tc>
        <w:tc>
          <w:tcPr>
            <w:tcW w:w="50" w:type="pct"/>
            <w:shd w:val="clear" w:color="auto" w:fill="auto"/>
            <w:vAlign w:val="center"/>
          </w:tcPr>
          <w:p w14:paraId="5556E416" w14:textId="77777777" w:rsidR="00F925DD" w:rsidRDefault="00F925DD">
            <w:pPr>
              <w:rPr>
                <w:rFonts w:ascii="Times New Roman" w:hAnsi="Times New Roman"/>
                <w:sz w:val="20"/>
                <w:szCs w:val="20"/>
              </w:rPr>
            </w:pPr>
          </w:p>
        </w:tc>
        <w:tc>
          <w:tcPr>
            <w:tcW w:w="50" w:type="pct"/>
            <w:shd w:val="clear" w:color="auto" w:fill="auto"/>
            <w:vAlign w:val="center"/>
          </w:tcPr>
          <w:p w14:paraId="5556E417" w14:textId="77777777" w:rsidR="00F925DD" w:rsidRDefault="00F925DD">
            <w:pPr>
              <w:rPr>
                <w:rFonts w:ascii="Times New Roman" w:hAnsi="Times New Roman"/>
                <w:sz w:val="20"/>
                <w:szCs w:val="20"/>
              </w:rPr>
            </w:pPr>
          </w:p>
        </w:tc>
        <w:tc>
          <w:tcPr>
            <w:tcW w:w="50" w:type="pct"/>
            <w:shd w:val="clear" w:color="auto" w:fill="auto"/>
            <w:vAlign w:val="center"/>
          </w:tcPr>
          <w:p w14:paraId="5556E418" w14:textId="77777777" w:rsidR="00F925DD" w:rsidRDefault="00F925DD">
            <w:pPr>
              <w:rPr>
                <w:rFonts w:ascii="Times New Roman" w:hAnsi="Times New Roman"/>
                <w:sz w:val="20"/>
                <w:szCs w:val="20"/>
              </w:rPr>
            </w:pPr>
          </w:p>
        </w:tc>
        <w:tc>
          <w:tcPr>
            <w:tcW w:w="350" w:type="pct"/>
            <w:shd w:val="clear" w:color="auto" w:fill="auto"/>
            <w:vAlign w:val="center"/>
          </w:tcPr>
          <w:p w14:paraId="5556E419" w14:textId="77777777" w:rsidR="00F925DD" w:rsidRDefault="00F925DD">
            <w:pPr>
              <w:rPr>
                <w:rFonts w:ascii="Times New Roman" w:hAnsi="Times New Roman"/>
                <w:sz w:val="20"/>
                <w:szCs w:val="20"/>
              </w:rPr>
            </w:pPr>
          </w:p>
        </w:tc>
        <w:tc>
          <w:tcPr>
            <w:tcW w:w="50" w:type="pct"/>
            <w:shd w:val="clear" w:color="auto" w:fill="auto"/>
            <w:vAlign w:val="center"/>
          </w:tcPr>
          <w:p w14:paraId="5556E41A" w14:textId="77777777" w:rsidR="00F925DD" w:rsidRDefault="00F925DD">
            <w:pPr>
              <w:rPr>
                <w:rFonts w:ascii="Times New Roman" w:hAnsi="Times New Roman"/>
                <w:sz w:val="20"/>
                <w:szCs w:val="20"/>
              </w:rPr>
            </w:pPr>
          </w:p>
        </w:tc>
        <w:tc>
          <w:tcPr>
            <w:tcW w:w="50" w:type="pct"/>
            <w:shd w:val="clear" w:color="auto" w:fill="auto"/>
            <w:vAlign w:val="center"/>
          </w:tcPr>
          <w:p w14:paraId="5556E41B" w14:textId="77777777" w:rsidR="00F925DD" w:rsidRDefault="00F925DD">
            <w:pPr>
              <w:rPr>
                <w:rFonts w:ascii="Times New Roman" w:hAnsi="Times New Roman"/>
                <w:sz w:val="20"/>
                <w:szCs w:val="20"/>
              </w:rPr>
            </w:pPr>
          </w:p>
        </w:tc>
        <w:tc>
          <w:tcPr>
            <w:tcW w:w="50" w:type="pct"/>
            <w:shd w:val="clear" w:color="auto" w:fill="auto"/>
            <w:vAlign w:val="center"/>
          </w:tcPr>
          <w:p w14:paraId="5556E41C" w14:textId="77777777" w:rsidR="00F925DD" w:rsidRDefault="00F925DD">
            <w:pPr>
              <w:rPr>
                <w:rFonts w:ascii="Times New Roman" w:hAnsi="Times New Roman"/>
                <w:sz w:val="20"/>
                <w:szCs w:val="20"/>
              </w:rPr>
            </w:pPr>
          </w:p>
        </w:tc>
        <w:tc>
          <w:tcPr>
            <w:tcW w:w="350" w:type="pct"/>
            <w:shd w:val="clear" w:color="auto" w:fill="auto"/>
            <w:vAlign w:val="center"/>
          </w:tcPr>
          <w:p w14:paraId="5556E41D" w14:textId="77777777" w:rsidR="00F925DD" w:rsidRDefault="00F925DD">
            <w:pPr>
              <w:rPr>
                <w:rFonts w:ascii="Times New Roman" w:hAnsi="Times New Roman"/>
                <w:sz w:val="20"/>
                <w:szCs w:val="20"/>
              </w:rPr>
            </w:pPr>
          </w:p>
        </w:tc>
        <w:tc>
          <w:tcPr>
            <w:tcW w:w="50" w:type="pct"/>
            <w:shd w:val="clear" w:color="auto" w:fill="auto"/>
            <w:vAlign w:val="center"/>
          </w:tcPr>
          <w:p w14:paraId="5556E41E" w14:textId="77777777" w:rsidR="00F925DD" w:rsidRDefault="00F925DD">
            <w:pPr>
              <w:rPr>
                <w:rFonts w:ascii="Times New Roman" w:hAnsi="Times New Roman"/>
                <w:sz w:val="20"/>
                <w:szCs w:val="20"/>
              </w:rPr>
            </w:pPr>
          </w:p>
        </w:tc>
        <w:tc>
          <w:tcPr>
            <w:tcW w:w="50" w:type="pct"/>
            <w:shd w:val="clear" w:color="auto" w:fill="auto"/>
            <w:vAlign w:val="center"/>
          </w:tcPr>
          <w:p w14:paraId="5556E41F" w14:textId="77777777" w:rsidR="00F925DD" w:rsidRDefault="00F925DD">
            <w:pPr>
              <w:rPr>
                <w:rFonts w:ascii="Times New Roman" w:hAnsi="Times New Roman"/>
                <w:sz w:val="20"/>
                <w:szCs w:val="20"/>
              </w:rPr>
            </w:pPr>
          </w:p>
        </w:tc>
        <w:tc>
          <w:tcPr>
            <w:tcW w:w="50" w:type="pct"/>
            <w:shd w:val="clear" w:color="auto" w:fill="auto"/>
            <w:vAlign w:val="center"/>
          </w:tcPr>
          <w:p w14:paraId="5556E420" w14:textId="77777777" w:rsidR="00F925DD" w:rsidRDefault="00F925DD">
            <w:pPr>
              <w:rPr>
                <w:rFonts w:ascii="Times New Roman" w:hAnsi="Times New Roman"/>
                <w:sz w:val="20"/>
                <w:szCs w:val="20"/>
              </w:rPr>
            </w:pPr>
          </w:p>
        </w:tc>
        <w:tc>
          <w:tcPr>
            <w:tcW w:w="350" w:type="pct"/>
            <w:shd w:val="clear" w:color="auto" w:fill="auto"/>
            <w:vAlign w:val="center"/>
          </w:tcPr>
          <w:p w14:paraId="5556E421" w14:textId="77777777" w:rsidR="00F925DD" w:rsidRDefault="00F925DD">
            <w:pPr>
              <w:rPr>
                <w:rFonts w:ascii="Times New Roman" w:hAnsi="Times New Roman"/>
                <w:sz w:val="20"/>
                <w:szCs w:val="20"/>
              </w:rPr>
            </w:pPr>
          </w:p>
        </w:tc>
        <w:tc>
          <w:tcPr>
            <w:tcW w:w="50" w:type="pct"/>
            <w:shd w:val="clear" w:color="auto" w:fill="auto"/>
            <w:vAlign w:val="center"/>
          </w:tcPr>
          <w:p w14:paraId="5556E422" w14:textId="77777777" w:rsidR="00F925DD" w:rsidRDefault="00F925DD">
            <w:pPr>
              <w:rPr>
                <w:rFonts w:ascii="Times New Roman" w:hAnsi="Times New Roman"/>
                <w:sz w:val="20"/>
                <w:szCs w:val="20"/>
              </w:rPr>
            </w:pPr>
          </w:p>
        </w:tc>
        <w:tc>
          <w:tcPr>
            <w:tcW w:w="50" w:type="pct"/>
            <w:shd w:val="clear" w:color="auto" w:fill="auto"/>
            <w:vAlign w:val="center"/>
          </w:tcPr>
          <w:p w14:paraId="5556E423" w14:textId="77777777" w:rsidR="00F925DD" w:rsidRDefault="00F925DD">
            <w:pPr>
              <w:rPr>
                <w:rFonts w:ascii="Times New Roman" w:hAnsi="Times New Roman"/>
                <w:sz w:val="20"/>
                <w:szCs w:val="20"/>
              </w:rPr>
            </w:pPr>
          </w:p>
        </w:tc>
        <w:tc>
          <w:tcPr>
            <w:tcW w:w="50" w:type="pct"/>
            <w:shd w:val="clear" w:color="auto" w:fill="auto"/>
            <w:vAlign w:val="center"/>
          </w:tcPr>
          <w:p w14:paraId="5556E424" w14:textId="77777777" w:rsidR="00F925DD" w:rsidRDefault="00F925DD">
            <w:pPr>
              <w:rPr>
                <w:rFonts w:ascii="Times New Roman" w:hAnsi="Times New Roman"/>
                <w:sz w:val="20"/>
                <w:szCs w:val="20"/>
              </w:rPr>
            </w:pPr>
          </w:p>
        </w:tc>
        <w:tc>
          <w:tcPr>
            <w:tcW w:w="300" w:type="pct"/>
            <w:shd w:val="clear" w:color="auto" w:fill="auto"/>
            <w:vAlign w:val="center"/>
          </w:tcPr>
          <w:p w14:paraId="5556E425" w14:textId="77777777" w:rsidR="00F925DD" w:rsidRDefault="00F925DD">
            <w:pPr>
              <w:rPr>
                <w:rFonts w:ascii="Times New Roman" w:hAnsi="Times New Roman"/>
                <w:sz w:val="20"/>
                <w:szCs w:val="20"/>
              </w:rPr>
            </w:pPr>
          </w:p>
        </w:tc>
        <w:tc>
          <w:tcPr>
            <w:tcW w:w="50" w:type="pct"/>
            <w:shd w:val="clear" w:color="auto" w:fill="auto"/>
            <w:vAlign w:val="center"/>
          </w:tcPr>
          <w:p w14:paraId="5556E426" w14:textId="77777777" w:rsidR="00F925DD" w:rsidRDefault="00F925DD">
            <w:pPr>
              <w:rPr>
                <w:rFonts w:ascii="Times New Roman" w:hAnsi="Times New Roman"/>
                <w:sz w:val="20"/>
                <w:szCs w:val="20"/>
              </w:rPr>
            </w:pPr>
          </w:p>
        </w:tc>
      </w:tr>
      <w:tr w:rsidR="00F925DD" w14:paraId="5556E436" w14:textId="77777777">
        <w:tc>
          <w:tcPr>
            <w:tcW w:w="0" w:type="auto"/>
            <w:shd w:val="clear" w:color="auto" w:fill="auto"/>
            <w:tcMar>
              <w:top w:w="40" w:type="dxa"/>
              <w:left w:w="40" w:type="dxa"/>
              <w:bottom w:w="40" w:type="dxa"/>
              <w:right w:w="40" w:type="dxa"/>
            </w:tcMar>
            <w:vAlign w:val="bottom"/>
          </w:tcPr>
          <w:p w14:paraId="5556E42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42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Net Unrealized Gains (Losses) on Cash Flow Hedges</w:t>
            </w:r>
          </w:p>
        </w:tc>
        <w:tc>
          <w:tcPr>
            <w:tcW w:w="0" w:type="auto"/>
            <w:shd w:val="clear" w:color="auto" w:fill="auto"/>
            <w:tcMar>
              <w:top w:w="40" w:type="dxa"/>
              <w:left w:w="40" w:type="dxa"/>
              <w:bottom w:w="40" w:type="dxa"/>
              <w:right w:w="40" w:type="dxa"/>
            </w:tcMar>
            <w:vAlign w:val="bottom"/>
          </w:tcPr>
          <w:p w14:paraId="5556E4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42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Net Unrealized Gains (Losses) on Available-for-Sale Securities</w:t>
            </w:r>
          </w:p>
        </w:tc>
        <w:tc>
          <w:tcPr>
            <w:tcW w:w="0" w:type="auto"/>
            <w:shd w:val="clear" w:color="auto" w:fill="auto"/>
            <w:tcMar>
              <w:top w:w="40" w:type="dxa"/>
              <w:left w:w="40" w:type="dxa"/>
              <w:bottom w:w="40" w:type="dxa"/>
              <w:right w:w="40" w:type="dxa"/>
            </w:tcMar>
            <w:vAlign w:val="bottom"/>
          </w:tcPr>
          <w:p w14:paraId="5556E4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42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Net Unrealized Gains (Losses) on Hedges of Net </w:t>
            </w:r>
            <w:r>
              <w:rPr>
                <w:rFonts w:ascii="Arial" w:eastAsia="宋体" w:hAnsi="Arial" w:cs="Arial"/>
                <w:b/>
                <w:bCs/>
                <w:sz w:val="14"/>
                <w:szCs w:val="14"/>
              </w:rPr>
              <w:t>Investments in Non-U.S. Subsidiaries</w:t>
            </w:r>
          </w:p>
        </w:tc>
        <w:tc>
          <w:tcPr>
            <w:tcW w:w="0" w:type="auto"/>
            <w:shd w:val="clear" w:color="auto" w:fill="auto"/>
            <w:tcMar>
              <w:top w:w="40" w:type="dxa"/>
              <w:left w:w="40" w:type="dxa"/>
              <w:bottom w:w="40" w:type="dxa"/>
              <w:right w:w="40" w:type="dxa"/>
            </w:tcMar>
            <w:vAlign w:val="bottom"/>
          </w:tcPr>
          <w:p w14:paraId="5556E4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42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Other-Than-Temporary Impairment on Held-to-Maturity Securities</w:t>
            </w:r>
          </w:p>
        </w:tc>
        <w:tc>
          <w:tcPr>
            <w:tcW w:w="0" w:type="auto"/>
            <w:shd w:val="clear" w:color="auto" w:fill="auto"/>
            <w:tcMar>
              <w:top w:w="40" w:type="dxa"/>
              <w:left w:w="40" w:type="dxa"/>
              <w:bottom w:w="40" w:type="dxa"/>
              <w:right w:w="40" w:type="dxa"/>
            </w:tcMar>
            <w:vAlign w:val="bottom"/>
          </w:tcPr>
          <w:p w14:paraId="5556E4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43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Net Unrealized Losses on Retirement Plans</w:t>
            </w:r>
          </w:p>
        </w:tc>
        <w:tc>
          <w:tcPr>
            <w:tcW w:w="0" w:type="auto"/>
            <w:shd w:val="clear" w:color="auto" w:fill="auto"/>
            <w:tcMar>
              <w:top w:w="40" w:type="dxa"/>
              <w:left w:w="40" w:type="dxa"/>
              <w:bottom w:w="40" w:type="dxa"/>
              <w:right w:w="40" w:type="dxa"/>
            </w:tcMar>
            <w:vAlign w:val="bottom"/>
          </w:tcPr>
          <w:p w14:paraId="5556E4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43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Foreign Currency Translation</w:t>
            </w:r>
          </w:p>
        </w:tc>
        <w:tc>
          <w:tcPr>
            <w:tcW w:w="0" w:type="auto"/>
            <w:shd w:val="clear" w:color="auto" w:fill="auto"/>
            <w:tcMar>
              <w:top w:w="40" w:type="dxa"/>
              <w:left w:w="40" w:type="dxa"/>
              <w:bottom w:w="40" w:type="dxa"/>
              <w:right w:w="40" w:type="dxa"/>
            </w:tcMar>
            <w:vAlign w:val="bottom"/>
          </w:tcPr>
          <w:p w14:paraId="5556E4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43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r>
      <w:tr w:rsidR="00F925DD" w14:paraId="5556E453" w14:textId="77777777">
        <w:tc>
          <w:tcPr>
            <w:tcW w:w="0" w:type="auto"/>
            <w:shd w:val="clear" w:color="auto" w:fill="auto"/>
            <w:tcMar>
              <w:top w:w="40" w:type="dxa"/>
              <w:left w:w="40" w:type="dxa"/>
              <w:bottom w:w="40" w:type="dxa"/>
              <w:right w:w="40" w:type="dxa"/>
            </w:tcMar>
            <w:vAlign w:val="bottom"/>
          </w:tcPr>
          <w:p w14:paraId="5556E43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Balance as of December 31, 2017</w:t>
            </w:r>
          </w:p>
        </w:tc>
        <w:tc>
          <w:tcPr>
            <w:tcW w:w="0" w:type="auto"/>
            <w:tcBorders>
              <w:top w:val="single" w:sz="8" w:space="0" w:color="000000"/>
            </w:tcBorders>
            <w:shd w:val="clear" w:color="auto" w:fill="auto"/>
            <w:tcMar>
              <w:top w:w="40" w:type="dxa"/>
              <w:left w:w="40" w:type="dxa"/>
              <w:bottom w:w="40" w:type="dxa"/>
            </w:tcMar>
            <w:vAlign w:val="bottom"/>
          </w:tcPr>
          <w:p w14:paraId="5556E43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3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(56</w:t>
            </w:r>
          </w:p>
        </w:tc>
        <w:tc>
          <w:tcPr>
            <w:tcW w:w="0" w:type="auto"/>
            <w:tcBorders>
              <w:top w:val="single" w:sz="8" w:space="0" w:color="000000"/>
            </w:tcBorders>
            <w:shd w:val="clear" w:color="auto" w:fill="auto"/>
            <w:tcMar>
              <w:top w:w="40" w:type="dxa"/>
              <w:bottom w:w="40" w:type="dxa"/>
              <w:right w:w="40" w:type="dxa"/>
            </w:tcMar>
            <w:vAlign w:val="bottom"/>
          </w:tcPr>
          <w:p w14:paraId="5556E43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3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3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103</w:t>
            </w:r>
          </w:p>
        </w:tc>
        <w:tc>
          <w:tcPr>
            <w:tcW w:w="0" w:type="auto"/>
            <w:tcBorders>
              <w:top w:val="single" w:sz="8" w:space="0" w:color="000000"/>
            </w:tcBorders>
            <w:shd w:val="clear" w:color="auto" w:fill="auto"/>
            <w:vAlign w:val="bottom"/>
          </w:tcPr>
          <w:p w14:paraId="5556E43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4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4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(65</w:t>
            </w:r>
          </w:p>
        </w:tc>
        <w:tc>
          <w:tcPr>
            <w:tcW w:w="0" w:type="auto"/>
            <w:tcBorders>
              <w:top w:val="single" w:sz="8" w:space="0" w:color="000000"/>
            </w:tcBorders>
            <w:shd w:val="clear" w:color="auto" w:fill="auto"/>
            <w:tcMar>
              <w:top w:w="40" w:type="dxa"/>
              <w:bottom w:w="40" w:type="dxa"/>
              <w:right w:w="40" w:type="dxa"/>
            </w:tcMar>
            <w:vAlign w:val="bottom"/>
          </w:tcPr>
          <w:p w14:paraId="5556E44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4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4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tcBorders>
              <w:top w:val="single" w:sz="8" w:space="0" w:color="000000"/>
            </w:tcBorders>
            <w:shd w:val="clear" w:color="auto" w:fill="auto"/>
            <w:tcMar>
              <w:top w:w="40" w:type="dxa"/>
              <w:bottom w:w="40" w:type="dxa"/>
              <w:right w:w="40" w:type="dxa"/>
            </w:tcMar>
            <w:vAlign w:val="bottom"/>
          </w:tcPr>
          <w:p w14:paraId="5556E44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4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4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(170</w:t>
            </w:r>
          </w:p>
        </w:tc>
        <w:tc>
          <w:tcPr>
            <w:tcW w:w="0" w:type="auto"/>
            <w:tcBorders>
              <w:top w:val="single" w:sz="8" w:space="0" w:color="000000"/>
            </w:tcBorders>
            <w:shd w:val="clear" w:color="auto" w:fill="auto"/>
            <w:tcMar>
              <w:top w:w="40" w:type="dxa"/>
              <w:bottom w:w="40" w:type="dxa"/>
              <w:right w:w="40" w:type="dxa"/>
            </w:tcMar>
            <w:vAlign w:val="bottom"/>
          </w:tcPr>
          <w:p w14:paraId="5556E44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4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4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(815</w:t>
            </w:r>
          </w:p>
        </w:tc>
        <w:tc>
          <w:tcPr>
            <w:tcW w:w="0" w:type="auto"/>
            <w:tcBorders>
              <w:top w:val="single" w:sz="8" w:space="0" w:color="000000"/>
            </w:tcBorders>
            <w:shd w:val="clear" w:color="auto" w:fill="auto"/>
            <w:tcMar>
              <w:top w:w="40" w:type="dxa"/>
              <w:bottom w:w="40" w:type="dxa"/>
              <w:right w:w="40" w:type="dxa"/>
            </w:tcMar>
            <w:vAlign w:val="bottom"/>
          </w:tcPr>
          <w:p w14:paraId="5556E44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5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5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(1,009</w:t>
            </w:r>
          </w:p>
        </w:tc>
        <w:tc>
          <w:tcPr>
            <w:tcW w:w="0" w:type="auto"/>
            <w:tcBorders>
              <w:top w:val="single" w:sz="8" w:space="0" w:color="000000"/>
            </w:tcBorders>
            <w:shd w:val="clear" w:color="auto" w:fill="auto"/>
            <w:tcMar>
              <w:top w:w="40" w:type="dxa"/>
              <w:bottom w:w="40" w:type="dxa"/>
              <w:right w:w="40" w:type="dxa"/>
            </w:tcMar>
            <w:vAlign w:val="bottom"/>
          </w:tcPr>
          <w:p w14:paraId="5556E45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469" w14:textId="77777777">
        <w:tc>
          <w:tcPr>
            <w:tcW w:w="0" w:type="auto"/>
            <w:shd w:val="clear" w:color="auto" w:fill="CCEEFF"/>
            <w:tcMar>
              <w:top w:w="40" w:type="dxa"/>
              <w:left w:w="40" w:type="dxa"/>
              <w:bottom w:w="40" w:type="dxa"/>
              <w:right w:w="40" w:type="dxa"/>
            </w:tcMar>
            <w:vAlign w:val="bottom"/>
          </w:tcPr>
          <w:p w14:paraId="5556E454"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comprehensive income (loss) before reclassifications</w:t>
            </w:r>
          </w:p>
        </w:tc>
        <w:tc>
          <w:tcPr>
            <w:tcW w:w="0" w:type="auto"/>
            <w:gridSpan w:val="2"/>
            <w:shd w:val="clear" w:color="auto" w:fill="CCEEFF"/>
            <w:tcMar>
              <w:top w:w="40" w:type="dxa"/>
              <w:left w:w="40" w:type="dxa"/>
              <w:bottom w:w="40" w:type="dxa"/>
            </w:tcMar>
            <w:vAlign w:val="bottom"/>
          </w:tcPr>
          <w:p w14:paraId="5556E45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(52</w:t>
            </w:r>
          </w:p>
        </w:tc>
        <w:tc>
          <w:tcPr>
            <w:tcW w:w="0" w:type="auto"/>
            <w:shd w:val="clear" w:color="auto" w:fill="CCEEFF"/>
            <w:tcMar>
              <w:top w:w="40" w:type="dxa"/>
              <w:bottom w:w="40" w:type="dxa"/>
              <w:right w:w="40" w:type="dxa"/>
            </w:tcMar>
            <w:vAlign w:val="bottom"/>
          </w:tcPr>
          <w:p w14:paraId="5556E45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4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5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(285</w:t>
            </w:r>
          </w:p>
        </w:tc>
        <w:tc>
          <w:tcPr>
            <w:tcW w:w="0" w:type="auto"/>
            <w:shd w:val="clear" w:color="auto" w:fill="CCEEFF"/>
            <w:tcMar>
              <w:top w:w="40" w:type="dxa"/>
              <w:bottom w:w="40" w:type="dxa"/>
              <w:right w:w="40" w:type="dxa"/>
            </w:tcMar>
            <w:vAlign w:val="bottom"/>
          </w:tcPr>
          <w:p w14:paraId="5556E45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4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5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81</w:t>
            </w:r>
          </w:p>
        </w:tc>
        <w:tc>
          <w:tcPr>
            <w:tcW w:w="0" w:type="auto"/>
            <w:shd w:val="clear" w:color="auto" w:fill="CCEEFF"/>
            <w:vAlign w:val="bottom"/>
          </w:tcPr>
          <w:p w14:paraId="5556E45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5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CCEEFF"/>
            <w:vAlign w:val="bottom"/>
          </w:tcPr>
          <w:p w14:paraId="5556E45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6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E46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6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(148</w:t>
            </w:r>
          </w:p>
        </w:tc>
        <w:tc>
          <w:tcPr>
            <w:tcW w:w="0" w:type="auto"/>
            <w:shd w:val="clear" w:color="auto" w:fill="CCEEFF"/>
            <w:tcMar>
              <w:top w:w="40" w:type="dxa"/>
              <w:bottom w:w="40" w:type="dxa"/>
              <w:right w:w="40" w:type="dxa"/>
            </w:tcMar>
            <w:vAlign w:val="bottom"/>
          </w:tcPr>
          <w:p w14:paraId="5556E46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4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6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(398</w:t>
            </w:r>
          </w:p>
        </w:tc>
        <w:tc>
          <w:tcPr>
            <w:tcW w:w="0" w:type="auto"/>
            <w:shd w:val="clear" w:color="auto" w:fill="CCEEFF"/>
            <w:tcMar>
              <w:top w:w="40" w:type="dxa"/>
              <w:bottom w:w="40" w:type="dxa"/>
              <w:right w:w="40" w:type="dxa"/>
            </w:tcMar>
            <w:vAlign w:val="bottom"/>
          </w:tcPr>
          <w:p w14:paraId="5556E46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47F" w14:textId="77777777">
        <w:tc>
          <w:tcPr>
            <w:tcW w:w="0" w:type="auto"/>
            <w:shd w:val="clear" w:color="auto" w:fill="auto"/>
            <w:tcMar>
              <w:top w:w="40" w:type="dxa"/>
              <w:left w:w="40" w:type="dxa"/>
              <w:bottom w:w="40" w:type="dxa"/>
              <w:right w:w="40" w:type="dxa"/>
            </w:tcMar>
            <w:vAlign w:val="bottom"/>
          </w:tcPr>
          <w:p w14:paraId="5556E46A" w14:textId="77777777" w:rsidR="00F925DD" w:rsidRDefault="00E705D7">
            <w:pPr>
              <w:textAlignment w:val="bottom"/>
              <w:rPr>
                <w:rFonts w:ascii="Times New Roman" w:hAnsi="Times New Roman"/>
                <w:sz w:val="14"/>
                <w:szCs w:val="14"/>
              </w:rPr>
            </w:pPr>
            <w:r>
              <w:rPr>
                <w:rFonts w:ascii="Arial" w:eastAsia="宋体" w:hAnsi="Arial" w:cs="Arial"/>
                <w:sz w:val="14"/>
                <w:szCs w:val="14"/>
              </w:rPr>
              <w:t>Amounts reclassified into (out of) earnings</w:t>
            </w:r>
          </w:p>
        </w:tc>
        <w:tc>
          <w:tcPr>
            <w:tcW w:w="0" w:type="auto"/>
            <w:gridSpan w:val="2"/>
            <w:tcBorders>
              <w:bottom w:val="single" w:sz="8" w:space="0" w:color="000000"/>
            </w:tcBorders>
            <w:shd w:val="clear" w:color="auto" w:fill="auto"/>
            <w:tcMar>
              <w:top w:w="40" w:type="dxa"/>
              <w:left w:w="40" w:type="dxa"/>
              <w:bottom w:w="40" w:type="dxa"/>
            </w:tcMar>
            <w:vAlign w:val="bottom"/>
          </w:tcPr>
          <w:p w14:paraId="5556E46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w:t>
            </w:r>
          </w:p>
        </w:tc>
        <w:tc>
          <w:tcPr>
            <w:tcW w:w="0" w:type="auto"/>
            <w:tcBorders>
              <w:bottom w:val="single" w:sz="8" w:space="0" w:color="000000"/>
            </w:tcBorders>
            <w:shd w:val="clear" w:color="auto" w:fill="auto"/>
            <w:vAlign w:val="bottom"/>
          </w:tcPr>
          <w:p w14:paraId="5556E46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46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tcBorders>
              <w:bottom w:val="single" w:sz="8" w:space="0" w:color="000000"/>
            </w:tcBorders>
            <w:shd w:val="clear" w:color="auto" w:fill="auto"/>
            <w:vAlign w:val="bottom"/>
          </w:tcPr>
          <w:p w14:paraId="5556E46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47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5556E47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47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bottom w:val="single" w:sz="8" w:space="0" w:color="000000"/>
            </w:tcBorders>
            <w:shd w:val="clear" w:color="auto" w:fill="auto"/>
            <w:tcMar>
              <w:top w:w="40" w:type="dxa"/>
              <w:bottom w:w="40" w:type="dxa"/>
              <w:right w:w="40" w:type="dxa"/>
            </w:tcMar>
            <w:vAlign w:val="bottom"/>
          </w:tcPr>
          <w:p w14:paraId="5556E47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47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w:t>
            </w:r>
          </w:p>
        </w:tc>
        <w:tc>
          <w:tcPr>
            <w:tcW w:w="0" w:type="auto"/>
            <w:tcBorders>
              <w:bottom w:val="single" w:sz="8" w:space="0" w:color="000000"/>
            </w:tcBorders>
            <w:shd w:val="clear" w:color="auto" w:fill="auto"/>
            <w:vAlign w:val="bottom"/>
          </w:tcPr>
          <w:p w14:paraId="5556E47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47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auto"/>
            <w:vAlign w:val="bottom"/>
          </w:tcPr>
          <w:p w14:paraId="5556E47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47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51</w:t>
            </w:r>
          </w:p>
        </w:tc>
        <w:tc>
          <w:tcPr>
            <w:tcW w:w="0" w:type="auto"/>
            <w:tcBorders>
              <w:bottom w:val="single" w:sz="8" w:space="0" w:color="000000"/>
            </w:tcBorders>
            <w:shd w:val="clear" w:color="auto" w:fill="auto"/>
            <w:vAlign w:val="bottom"/>
          </w:tcPr>
          <w:p w14:paraId="5556E47E" w14:textId="77777777" w:rsidR="00F925DD" w:rsidRDefault="00F925DD">
            <w:pPr>
              <w:textAlignment w:val="bottom"/>
              <w:rPr>
                <w:rFonts w:ascii="Times New Roman" w:hAnsi="Times New Roman"/>
                <w:sz w:val="20"/>
                <w:szCs w:val="20"/>
              </w:rPr>
            </w:pPr>
          </w:p>
        </w:tc>
      </w:tr>
      <w:tr w:rsidR="00F925DD" w14:paraId="5556E495" w14:textId="77777777">
        <w:tc>
          <w:tcPr>
            <w:tcW w:w="0" w:type="auto"/>
            <w:shd w:val="clear" w:color="auto" w:fill="CCEEFF"/>
            <w:tcMar>
              <w:top w:w="40" w:type="dxa"/>
              <w:left w:w="40" w:type="dxa"/>
              <w:bottom w:w="40" w:type="dxa"/>
              <w:right w:w="40" w:type="dxa"/>
            </w:tcMar>
            <w:vAlign w:val="bottom"/>
          </w:tcPr>
          <w:p w14:paraId="5556E480"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comprehensive income (loss)</w:t>
            </w:r>
          </w:p>
        </w:tc>
        <w:tc>
          <w:tcPr>
            <w:tcW w:w="0" w:type="auto"/>
            <w:gridSpan w:val="2"/>
            <w:shd w:val="clear" w:color="auto" w:fill="CCEEFF"/>
            <w:tcMar>
              <w:top w:w="40" w:type="dxa"/>
              <w:left w:w="40" w:type="dxa"/>
              <w:bottom w:w="40" w:type="dxa"/>
            </w:tcMar>
            <w:vAlign w:val="bottom"/>
          </w:tcPr>
          <w:p w14:paraId="5556E48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w:t>
            </w:r>
          </w:p>
        </w:tc>
        <w:tc>
          <w:tcPr>
            <w:tcW w:w="0" w:type="auto"/>
            <w:shd w:val="clear" w:color="auto" w:fill="CCEEFF"/>
            <w:tcMar>
              <w:top w:w="40" w:type="dxa"/>
              <w:bottom w:w="40" w:type="dxa"/>
              <w:right w:w="40" w:type="dxa"/>
            </w:tcMar>
            <w:vAlign w:val="bottom"/>
          </w:tcPr>
          <w:p w14:paraId="5556E48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4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8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(278</w:t>
            </w:r>
          </w:p>
        </w:tc>
        <w:tc>
          <w:tcPr>
            <w:tcW w:w="0" w:type="auto"/>
            <w:shd w:val="clear" w:color="auto" w:fill="CCEEFF"/>
            <w:tcMar>
              <w:top w:w="40" w:type="dxa"/>
              <w:bottom w:w="40" w:type="dxa"/>
              <w:right w:w="40" w:type="dxa"/>
            </w:tcMar>
            <w:vAlign w:val="bottom"/>
          </w:tcPr>
          <w:p w14:paraId="5556E48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4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8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81</w:t>
            </w:r>
          </w:p>
        </w:tc>
        <w:tc>
          <w:tcPr>
            <w:tcW w:w="0" w:type="auto"/>
            <w:shd w:val="clear" w:color="auto" w:fill="CCEEFF"/>
            <w:vAlign w:val="bottom"/>
          </w:tcPr>
          <w:p w14:paraId="5556E4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8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CCEEFF"/>
            <w:vAlign w:val="bottom"/>
          </w:tcPr>
          <w:p w14:paraId="5556E4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8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w:t>
            </w:r>
          </w:p>
        </w:tc>
        <w:tc>
          <w:tcPr>
            <w:tcW w:w="0" w:type="auto"/>
            <w:shd w:val="clear" w:color="auto" w:fill="CCEEFF"/>
            <w:vAlign w:val="bottom"/>
          </w:tcPr>
          <w:p w14:paraId="5556E4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9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(148</w:t>
            </w:r>
          </w:p>
        </w:tc>
        <w:tc>
          <w:tcPr>
            <w:tcW w:w="0" w:type="auto"/>
            <w:shd w:val="clear" w:color="auto" w:fill="CCEEFF"/>
            <w:tcMar>
              <w:top w:w="40" w:type="dxa"/>
              <w:bottom w:w="40" w:type="dxa"/>
              <w:right w:w="40" w:type="dxa"/>
            </w:tcMar>
            <w:vAlign w:val="bottom"/>
          </w:tcPr>
          <w:p w14:paraId="5556E49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4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9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(347</w:t>
            </w:r>
          </w:p>
        </w:tc>
        <w:tc>
          <w:tcPr>
            <w:tcW w:w="0" w:type="auto"/>
            <w:shd w:val="clear" w:color="auto" w:fill="CCEEFF"/>
            <w:tcMar>
              <w:top w:w="40" w:type="dxa"/>
              <w:bottom w:w="40" w:type="dxa"/>
              <w:right w:w="40" w:type="dxa"/>
            </w:tcMar>
            <w:vAlign w:val="bottom"/>
          </w:tcPr>
          <w:p w14:paraId="5556E49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4B2" w14:textId="77777777">
        <w:tc>
          <w:tcPr>
            <w:tcW w:w="0" w:type="auto"/>
            <w:shd w:val="clear" w:color="auto" w:fill="auto"/>
            <w:tcMar>
              <w:top w:w="40" w:type="dxa"/>
              <w:left w:w="40" w:type="dxa"/>
              <w:bottom w:w="40" w:type="dxa"/>
              <w:right w:w="40" w:type="dxa"/>
            </w:tcMar>
            <w:vAlign w:val="bottom"/>
          </w:tcPr>
          <w:p w14:paraId="5556E49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Balance as of December 31, 2018</w:t>
            </w:r>
          </w:p>
        </w:tc>
        <w:tc>
          <w:tcPr>
            <w:tcW w:w="0" w:type="auto"/>
            <w:tcBorders>
              <w:top w:val="single" w:sz="8" w:space="0" w:color="000000"/>
            </w:tcBorders>
            <w:shd w:val="clear" w:color="auto" w:fill="auto"/>
            <w:tcMar>
              <w:top w:w="40" w:type="dxa"/>
              <w:left w:w="40" w:type="dxa"/>
              <w:bottom w:w="40" w:type="dxa"/>
            </w:tcMar>
            <w:vAlign w:val="bottom"/>
          </w:tcPr>
          <w:p w14:paraId="5556E49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9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(89</w:t>
            </w:r>
          </w:p>
        </w:tc>
        <w:tc>
          <w:tcPr>
            <w:tcW w:w="0" w:type="auto"/>
            <w:tcBorders>
              <w:top w:val="single" w:sz="8" w:space="0" w:color="000000"/>
            </w:tcBorders>
            <w:shd w:val="clear" w:color="auto" w:fill="auto"/>
            <w:tcMar>
              <w:top w:w="40" w:type="dxa"/>
              <w:bottom w:w="40" w:type="dxa"/>
              <w:right w:w="40" w:type="dxa"/>
            </w:tcMar>
            <w:vAlign w:val="bottom"/>
          </w:tcPr>
          <w:p w14:paraId="5556E49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9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9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(175</w:t>
            </w:r>
          </w:p>
        </w:tc>
        <w:tc>
          <w:tcPr>
            <w:tcW w:w="0" w:type="auto"/>
            <w:tcBorders>
              <w:top w:val="single" w:sz="8" w:space="0" w:color="000000"/>
            </w:tcBorders>
            <w:shd w:val="clear" w:color="auto" w:fill="auto"/>
            <w:tcMar>
              <w:top w:w="40" w:type="dxa"/>
              <w:bottom w:w="40" w:type="dxa"/>
              <w:right w:w="40" w:type="dxa"/>
            </w:tcMar>
            <w:vAlign w:val="bottom"/>
          </w:tcPr>
          <w:p w14:paraId="5556E49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9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A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w:t>
            </w:r>
          </w:p>
        </w:tc>
        <w:tc>
          <w:tcPr>
            <w:tcW w:w="0" w:type="auto"/>
            <w:tcBorders>
              <w:top w:val="single" w:sz="8" w:space="0" w:color="000000"/>
            </w:tcBorders>
            <w:shd w:val="clear" w:color="auto" w:fill="auto"/>
            <w:vAlign w:val="bottom"/>
          </w:tcPr>
          <w:p w14:paraId="5556E4A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A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A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tcBorders>
            <w:shd w:val="clear" w:color="auto" w:fill="auto"/>
            <w:tcMar>
              <w:top w:w="40" w:type="dxa"/>
              <w:bottom w:w="40" w:type="dxa"/>
              <w:right w:w="40" w:type="dxa"/>
            </w:tcMar>
            <w:vAlign w:val="bottom"/>
          </w:tcPr>
          <w:p w14:paraId="5556E4A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A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A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(143</w:t>
            </w:r>
          </w:p>
        </w:tc>
        <w:tc>
          <w:tcPr>
            <w:tcW w:w="0" w:type="auto"/>
            <w:tcBorders>
              <w:top w:val="single" w:sz="8" w:space="0" w:color="000000"/>
            </w:tcBorders>
            <w:shd w:val="clear" w:color="auto" w:fill="auto"/>
            <w:tcMar>
              <w:top w:w="40" w:type="dxa"/>
              <w:bottom w:w="40" w:type="dxa"/>
              <w:right w:w="40" w:type="dxa"/>
            </w:tcMar>
            <w:vAlign w:val="bottom"/>
          </w:tcPr>
          <w:p w14:paraId="5556E4A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A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A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(963</w:t>
            </w:r>
          </w:p>
        </w:tc>
        <w:tc>
          <w:tcPr>
            <w:tcW w:w="0" w:type="auto"/>
            <w:tcBorders>
              <w:top w:val="single" w:sz="8" w:space="0" w:color="000000"/>
            </w:tcBorders>
            <w:shd w:val="clear" w:color="auto" w:fill="auto"/>
            <w:tcMar>
              <w:top w:w="40" w:type="dxa"/>
              <w:bottom w:w="40" w:type="dxa"/>
              <w:right w:w="40" w:type="dxa"/>
            </w:tcMar>
            <w:vAlign w:val="bottom"/>
          </w:tcPr>
          <w:p w14:paraId="5556E4A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4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5556E4A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tcMar>
              <w:top w:w="40" w:type="dxa"/>
              <w:bottom w:w="40" w:type="dxa"/>
            </w:tcMar>
            <w:vAlign w:val="bottom"/>
          </w:tcPr>
          <w:p w14:paraId="5556E4B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(1,356</w:t>
            </w:r>
          </w:p>
        </w:tc>
        <w:tc>
          <w:tcPr>
            <w:tcW w:w="0" w:type="auto"/>
            <w:tcBorders>
              <w:top w:val="single" w:sz="8" w:space="0" w:color="000000"/>
            </w:tcBorders>
            <w:shd w:val="clear" w:color="auto" w:fill="auto"/>
            <w:tcMar>
              <w:top w:w="40" w:type="dxa"/>
              <w:bottom w:w="40" w:type="dxa"/>
              <w:right w:w="40" w:type="dxa"/>
            </w:tcMar>
            <w:vAlign w:val="bottom"/>
          </w:tcPr>
          <w:p w14:paraId="5556E4B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4C8" w14:textId="77777777">
        <w:tc>
          <w:tcPr>
            <w:tcW w:w="0" w:type="auto"/>
            <w:shd w:val="clear" w:color="auto" w:fill="CCEEFF"/>
            <w:tcMar>
              <w:top w:w="40" w:type="dxa"/>
              <w:left w:w="40" w:type="dxa"/>
              <w:bottom w:w="40" w:type="dxa"/>
              <w:right w:w="40" w:type="dxa"/>
            </w:tcMar>
            <w:vAlign w:val="bottom"/>
          </w:tcPr>
          <w:p w14:paraId="5556E4B3"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comprehensive income (loss) before reclassifications</w:t>
            </w:r>
          </w:p>
        </w:tc>
        <w:tc>
          <w:tcPr>
            <w:tcW w:w="0" w:type="auto"/>
            <w:gridSpan w:val="2"/>
            <w:shd w:val="clear" w:color="auto" w:fill="CCEEFF"/>
            <w:tcMar>
              <w:top w:w="40" w:type="dxa"/>
              <w:left w:w="40" w:type="dxa"/>
              <w:bottom w:w="40" w:type="dxa"/>
            </w:tcMar>
            <w:vAlign w:val="bottom"/>
          </w:tcPr>
          <w:p w14:paraId="5556E4B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w:t>
            </w:r>
          </w:p>
        </w:tc>
        <w:tc>
          <w:tcPr>
            <w:tcW w:w="0" w:type="auto"/>
            <w:shd w:val="clear" w:color="auto" w:fill="CCEEFF"/>
            <w:vAlign w:val="bottom"/>
          </w:tcPr>
          <w:p w14:paraId="5556E4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B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563</w:t>
            </w:r>
          </w:p>
        </w:tc>
        <w:tc>
          <w:tcPr>
            <w:tcW w:w="0" w:type="auto"/>
            <w:shd w:val="clear" w:color="auto" w:fill="CCEEFF"/>
            <w:vAlign w:val="bottom"/>
          </w:tcPr>
          <w:p w14:paraId="5556E4B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B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w:t>
            </w:r>
          </w:p>
        </w:tc>
        <w:tc>
          <w:tcPr>
            <w:tcW w:w="0" w:type="auto"/>
            <w:shd w:val="clear" w:color="auto" w:fill="CCEEFF"/>
            <w:vAlign w:val="bottom"/>
          </w:tcPr>
          <w:p w14:paraId="5556E4B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B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vAlign w:val="bottom"/>
          </w:tcPr>
          <w:p w14:paraId="5556E4B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C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E4C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C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(42</w:t>
            </w:r>
          </w:p>
        </w:tc>
        <w:tc>
          <w:tcPr>
            <w:tcW w:w="0" w:type="auto"/>
            <w:shd w:val="clear" w:color="auto" w:fill="CCEEFF"/>
            <w:tcMar>
              <w:top w:w="40" w:type="dxa"/>
              <w:bottom w:w="40" w:type="dxa"/>
              <w:right w:w="40" w:type="dxa"/>
            </w:tcMar>
            <w:vAlign w:val="bottom"/>
          </w:tcPr>
          <w:p w14:paraId="5556E4C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4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4C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569</w:t>
            </w:r>
          </w:p>
        </w:tc>
        <w:tc>
          <w:tcPr>
            <w:tcW w:w="0" w:type="auto"/>
            <w:shd w:val="clear" w:color="auto" w:fill="CCEEFF"/>
            <w:vAlign w:val="bottom"/>
          </w:tcPr>
          <w:p w14:paraId="5556E4C7" w14:textId="77777777" w:rsidR="00F925DD" w:rsidRDefault="00F925DD">
            <w:pPr>
              <w:textAlignment w:val="bottom"/>
              <w:rPr>
                <w:rFonts w:ascii="Times New Roman" w:hAnsi="Times New Roman"/>
                <w:sz w:val="20"/>
                <w:szCs w:val="20"/>
              </w:rPr>
            </w:pPr>
          </w:p>
        </w:tc>
      </w:tr>
      <w:tr w:rsidR="00F925DD" w14:paraId="5556E4DE" w14:textId="77777777">
        <w:tc>
          <w:tcPr>
            <w:tcW w:w="0" w:type="auto"/>
            <w:shd w:val="clear" w:color="auto" w:fill="auto"/>
            <w:tcMar>
              <w:top w:w="40" w:type="dxa"/>
              <w:left w:w="40" w:type="dxa"/>
              <w:bottom w:w="40" w:type="dxa"/>
              <w:right w:w="40" w:type="dxa"/>
            </w:tcMar>
            <w:vAlign w:val="bottom"/>
          </w:tcPr>
          <w:p w14:paraId="5556E4C9" w14:textId="77777777" w:rsidR="00F925DD" w:rsidRDefault="00E705D7">
            <w:pPr>
              <w:textAlignment w:val="bottom"/>
              <w:rPr>
                <w:rFonts w:ascii="Times New Roman" w:hAnsi="Times New Roman"/>
                <w:sz w:val="14"/>
                <w:szCs w:val="14"/>
              </w:rPr>
            </w:pPr>
            <w:r>
              <w:rPr>
                <w:rFonts w:ascii="Arial" w:eastAsia="宋体" w:hAnsi="Arial" w:cs="Arial"/>
                <w:sz w:val="14"/>
                <w:szCs w:val="14"/>
              </w:rPr>
              <w:t>Reclassification of certain tax effects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E4C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w:t>
            </w:r>
          </w:p>
        </w:tc>
        <w:tc>
          <w:tcPr>
            <w:tcW w:w="0" w:type="auto"/>
            <w:shd w:val="clear" w:color="auto" w:fill="auto"/>
            <w:tcMar>
              <w:top w:w="40" w:type="dxa"/>
              <w:bottom w:w="40" w:type="dxa"/>
              <w:right w:w="40" w:type="dxa"/>
            </w:tcMar>
            <w:vAlign w:val="bottom"/>
          </w:tcPr>
          <w:p w14:paraId="5556E4C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4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4C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w:t>
            </w:r>
          </w:p>
        </w:tc>
        <w:tc>
          <w:tcPr>
            <w:tcW w:w="0" w:type="auto"/>
            <w:shd w:val="clear" w:color="auto" w:fill="auto"/>
            <w:vAlign w:val="bottom"/>
          </w:tcPr>
          <w:p w14:paraId="5556E4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4D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auto"/>
            <w:tcMar>
              <w:top w:w="40" w:type="dxa"/>
              <w:bottom w:w="40" w:type="dxa"/>
              <w:right w:w="40" w:type="dxa"/>
            </w:tcMar>
            <w:vAlign w:val="bottom"/>
          </w:tcPr>
          <w:p w14:paraId="5556E4D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4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4D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tcMar>
              <w:top w:w="40" w:type="dxa"/>
              <w:bottom w:w="40" w:type="dxa"/>
              <w:right w:w="40" w:type="dxa"/>
            </w:tcMar>
            <w:vAlign w:val="bottom"/>
          </w:tcPr>
          <w:p w14:paraId="5556E4D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4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4D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(28</w:t>
            </w:r>
          </w:p>
        </w:tc>
        <w:tc>
          <w:tcPr>
            <w:tcW w:w="0" w:type="auto"/>
            <w:shd w:val="clear" w:color="auto" w:fill="auto"/>
            <w:tcMar>
              <w:top w:w="40" w:type="dxa"/>
              <w:bottom w:w="40" w:type="dxa"/>
              <w:right w:w="40" w:type="dxa"/>
            </w:tcMar>
            <w:vAlign w:val="bottom"/>
          </w:tcPr>
          <w:p w14:paraId="5556E4D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4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4D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(67</w:t>
            </w:r>
          </w:p>
        </w:tc>
        <w:tc>
          <w:tcPr>
            <w:tcW w:w="0" w:type="auto"/>
            <w:shd w:val="clear" w:color="auto" w:fill="auto"/>
            <w:tcMar>
              <w:top w:w="40" w:type="dxa"/>
              <w:bottom w:w="40" w:type="dxa"/>
              <w:right w:w="40" w:type="dxa"/>
            </w:tcMar>
            <w:vAlign w:val="bottom"/>
          </w:tcPr>
          <w:p w14:paraId="5556E4D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4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4D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(84</w:t>
            </w:r>
          </w:p>
        </w:tc>
        <w:tc>
          <w:tcPr>
            <w:tcW w:w="0" w:type="auto"/>
            <w:shd w:val="clear" w:color="auto" w:fill="auto"/>
            <w:tcMar>
              <w:top w:w="40" w:type="dxa"/>
              <w:bottom w:w="40" w:type="dxa"/>
              <w:right w:w="40" w:type="dxa"/>
            </w:tcMar>
            <w:vAlign w:val="bottom"/>
          </w:tcPr>
          <w:p w14:paraId="5556E4D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E4F4" w14:textId="77777777">
        <w:tc>
          <w:tcPr>
            <w:tcW w:w="0" w:type="auto"/>
            <w:shd w:val="clear" w:color="auto" w:fill="CCEEFF"/>
            <w:tcMar>
              <w:top w:w="40" w:type="dxa"/>
              <w:left w:w="40" w:type="dxa"/>
              <w:bottom w:w="40" w:type="dxa"/>
              <w:right w:w="40" w:type="dxa"/>
            </w:tcMar>
            <w:vAlign w:val="bottom"/>
          </w:tcPr>
          <w:p w14:paraId="5556E4DF" w14:textId="77777777" w:rsidR="00F925DD" w:rsidRDefault="00E705D7">
            <w:pPr>
              <w:textAlignment w:val="bottom"/>
              <w:rPr>
                <w:rFonts w:ascii="Times New Roman" w:hAnsi="Times New Roman"/>
                <w:sz w:val="14"/>
                <w:szCs w:val="14"/>
              </w:rPr>
            </w:pPr>
            <w:r>
              <w:rPr>
                <w:rFonts w:ascii="Arial" w:eastAsia="宋体" w:hAnsi="Arial" w:cs="Arial"/>
                <w:sz w:val="14"/>
                <w:szCs w:val="14"/>
              </w:rPr>
              <w:t>Amounts reclassified into (out of) earnings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4E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tcBorders>
              <w:bottom w:val="single" w:sz="8" w:space="0" w:color="000000"/>
            </w:tcBorders>
            <w:shd w:val="clear" w:color="auto" w:fill="CCEEFF"/>
            <w:vAlign w:val="bottom"/>
          </w:tcPr>
          <w:p w14:paraId="5556E4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4E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E4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4E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E4E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4E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bottom w:val="single" w:sz="8" w:space="0" w:color="000000"/>
            </w:tcBorders>
            <w:shd w:val="clear" w:color="auto" w:fill="CCEEFF"/>
            <w:tcMar>
              <w:top w:w="40" w:type="dxa"/>
              <w:bottom w:w="40" w:type="dxa"/>
              <w:right w:w="40" w:type="dxa"/>
            </w:tcMar>
            <w:vAlign w:val="bottom"/>
          </w:tcPr>
          <w:p w14:paraId="5556E4E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4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4E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tcBorders>
              <w:bottom w:val="single" w:sz="8" w:space="0" w:color="000000"/>
            </w:tcBorders>
            <w:shd w:val="clear" w:color="auto" w:fill="CCEEFF"/>
            <w:tcMar>
              <w:top w:w="40" w:type="dxa"/>
              <w:bottom w:w="40" w:type="dxa"/>
              <w:right w:w="40" w:type="dxa"/>
            </w:tcMar>
            <w:vAlign w:val="bottom"/>
          </w:tcPr>
          <w:p w14:paraId="5556E4E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4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4E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E4F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4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4F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tcBorders>
              <w:bottom w:val="single" w:sz="8" w:space="0" w:color="000000"/>
            </w:tcBorders>
            <w:shd w:val="clear" w:color="auto" w:fill="CCEEFF"/>
            <w:tcMar>
              <w:top w:w="40" w:type="dxa"/>
              <w:bottom w:w="40" w:type="dxa"/>
              <w:right w:w="40" w:type="dxa"/>
            </w:tcMar>
            <w:vAlign w:val="bottom"/>
          </w:tcPr>
          <w:p w14:paraId="5556E4F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E50A" w14:textId="77777777">
        <w:tc>
          <w:tcPr>
            <w:tcW w:w="0" w:type="auto"/>
            <w:shd w:val="clear" w:color="auto" w:fill="auto"/>
            <w:tcMar>
              <w:top w:w="40" w:type="dxa"/>
              <w:left w:w="40" w:type="dxa"/>
              <w:bottom w:w="40" w:type="dxa"/>
              <w:right w:w="40" w:type="dxa"/>
            </w:tcMar>
            <w:vAlign w:val="bottom"/>
          </w:tcPr>
          <w:p w14:paraId="5556E4F5"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comprehensive income (loss)</w:t>
            </w:r>
          </w:p>
        </w:tc>
        <w:tc>
          <w:tcPr>
            <w:tcW w:w="0" w:type="auto"/>
            <w:gridSpan w:val="2"/>
            <w:tcBorders>
              <w:top w:val="single" w:sz="8" w:space="0" w:color="000000"/>
            </w:tcBorders>
            <w:shd w:val="clear" w:color="auto" w:fill="auto"/>
            <w:tcMar>
              <w:top w:w="40" w:type="dxa"/>
              <w:left w:w="40" w:type="dxa"/>
              <w:bottom w:w="40" w:type="dxa"/>
            </w:tcMar>
            <w:vAlign w:val="bottom"/>
          </w:tcPr>
          <w:p w14:paraId="5556E4F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tcBorders>
              <w:top w:val="single" w:sz="8" w:space="0" w:color="000000"/>
            </w:tcBorders>
            <w:shd w:val="clear" w:color="auto" w:fill="auto"/>
            <w:vAlign w:val="bottom"/>
          </w:tcPr>
          <w:p w14:paraId="5556E4F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E4F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584</w:t>
            </w:r>
          </w:p>
        </w:tc>
        <w:tc>
          <w:tcPr>
            <w:tcW w:w="0" w:type="auto"/>
            <w:tcBorders>
              <w:top w:val="single" w:sz="8" w:space="0" w:color="000000"/>
              <w:bottom w:val="single" w:sz="8" w:space="0" w:color="000000"/>
            </w:tcBorders>
            <w:shd w:val="clear" w:color="auto" w:fill="auto"/>
            <w:vAlign w:val="bottom"/>
          </w:tcPr>
          <w:p w14:paraId="5556E4F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E4F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w:t>
            </w:r>
          </w:p>
        </w:tc>
        <w:tc>
          <w:tcPr>
            <w:tcW w:w="0" w:type="auto"/>
            <w:tcBorders>
              <w:top w:val="single" w:sz="8" w:space="0" w:color="000000"/>
              <w:bottom w:val="single" w:sz="8" w:space="0" w:color="000000"/>
            </w:tcBorders>
            <w:shd w:val="clear" w:color="auto" w:fill="auto"/>
            <w:vAlign w:val="bottom"/>
          </w:tcPr>
          <w:p w14:paraId="5556E4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4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E4F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single" w:sz="8" w:space="0" w:color="000000"/>
            </w:tcBorders>
            <w:shd w:val="clear" w:color="auto" w:fill="auto"/>
            <w:vAlign w:val="bottom"/>
          </w:tcPr>
          <w:p w14:paraId="5556E5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5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E50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556E50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5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E50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(109</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5556E50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5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E50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480</w:t>
            </w:r>
          </w:p>
        </w:tc>
        <w:tc>
          <w:tcPr>
            <w:tcW w:w="0" w:type="auto"/>
            <w:tcBorders>
              <w:top w:val="single" w:sz="8" w:space="0" w:color="000000"/>
              <w:bottom w:val="single" w:sz="8" w:space="0" w:color="000000"/>
            </w:tcBorders>
            <w:shd w:val="clear" w:color="auto" w:fill="auto"/>
            <w:vAlign w:val="bottom"/>
          </w:tcPr>
          <w:p w14:paraId="5556E509" w14:textId="77777777" w:rsidR="00F925DD" w:rsidRDefault="00F925DD">
            <w:pPr>
              <w:textAlignment w:val="bottom"/>
              <w:rPr>
                <w:rFonts w:ascii="Times New Roman" w:hAnsi="Times New Roman"/>
                <w:sz w:val="20"/>
                <w:szCs w:val="20"/>
              </w:rPr>
            </w:pPr>
          </w:p>
        </w:tc>
      </w:tr>
      <w:tr w:rsidR="00F925DD" w14:paraId="5556E527" w14:textId="77777777">
        <w:tc>
          <w:tcPr>
            <w:tcW w:w="0" w:type="auto"/>
            <w:shd w:val="clear" w:color="auto" w:fill="CCEEFF"/>
            <w:tcMar>
              <w:top w:w="40" w:type="dxa"/>
              <w:left w:w="40" w:type="dxa"/>
              <w:bottom w:w="40" w:type="dxa"/>
              <w:right w:w="40" w:type="dxa"/>
            </w:tcMar>
            <w:vAlign w:val="bottom"/>
          </w:tcPr>
          <w:p w14:paraId="5556E50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Balance as of December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50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50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E50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5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51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51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409</w:t>
            </w:r>
          </w:p>
        </w:tc>
        <w:tc>
          <w:tcPr>
            <w:tcW w:w="0" w:type="auto"/>
            <w:tcBorders>
              <w:top w:val="single" w:sz="8" w:space="0" w:color="000000"/>
              <w:bottom w:val="double" w:sz="6" w:space="0" w:color="000000"/>
            </w:tcBorders>
            <w:shd w:val="clear" w:color="auto" w:fill="CCEEFF"/>
            <w:vAlign w:val="bottom"/>
          </w:tcPr>
          <w:p w14:paraId="5556E5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5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51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51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46</w:t>
            </w:r>
          </w:p>
        </w:tc>
        <w:tc>
          <w:tcPr>
            <w:tcW w:w="0" w:type="auto"/>
            <w:tcBorders>
              <w:top w:val="single" w:sz="8" w:space="0" w:color="000000"/>
              <w:bottom w:val="double" w:sz="6" w:space="0" w:color="000000"/>
            </w:tcBorders>
            <w:shd w:val="clear" w:color="auto" w:fill="CCEEFF"/>
            <w:vAlign w:val="bottom"/>
          </w:tcPr>
          <w:p w14:paraId="5556E5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5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51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51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E51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5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51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51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E51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5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52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52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(1,072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E52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5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52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52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(876</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E52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bl>
    <w:p w14:paraId="5556E528"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92"/>
        <w:gridCol w:w="1080"/>
        <w:gridCol w:w="1578"/>
        <w:gridCol w:w="1578"/>
        <w:gridCol w:w="1578"/>
      </w:tblGrid>
      <w:tr w:rsidR="00F925DD" w14:paraId="5556E52A" w14:textId="77777777">
        <w:tc>
          <w:tcPr>
            <w:tcW w:w="0" w:type="auto"/>
            <w:gridSpan w:val="5"/>
            <w:shd w:val="clear" w:color="auto" w:fill="auto"/>
            <w:vAlign w:val="center"/>
          </w:tcPr>
          <w:p w14:paraId="5556E529" w14:textId="77777777" w:rsidR="00F925DD" w:rsidRDefault="00F925DD">
            <w:pPr>
              <w:rPr>
                <w:rFonts w:ascii="Times New Roman" w:hAnsi="Times New Roman"/>
                <w:sz w:val="20"/>
                <w:szCs w:val="20"/>
              </w:rPr>
            </w:pPr>
          </w:p>
        </w:tc>
      </w:tr>
      <w:tr w:rsidR="00F925DD" w14:paraId="5556E530" w14:textId="77777777">
        <w:tc>
          <w:tcPr>
            <w:tcW w:w="1500" w:type="pct"/>
            <w:shd w:val="clear" w:color="auto" w:fill="auto"/>
            <w:vAlign w:val="center"/>
          </w:tcPr>
          <w:p w14:paraId="5556E52B" w14:textId="77777777" w:rsidR="00F925DD" w:rsidRDefault="00F925DD">
            <w:pPr>
              <w:rPr>
                <w:rFonts w:ascii="Times New Roman" w:hAnsi="Times New Roman"/>
                <w:sz w:val="20"/>
                <w:szCs w:val="20"/>
              </w:rPr>
            </w:pPr>
          </w:p>
        </w:tc>
        <w:tc>
          <w:tcPr>
            <w:tcW w:w="650" w:type="pct"/>
            <w:shd w:val="clear" w:color="auto" w:fill="auto"/>
            <w:vAlign w:val="center"/>
          </w:tcPr>
          <w:p w14:paraId="5556E52C" w14:textId="77777777" w:rsidR="00F925DD" w:rsidRDefault="00F925DD">
            <w:pPr>
              <w:rPr>
                <w:rFonts w:ascii="Times New Roman" w:hAnsi="Times New Roman"/>
                <w:sz w:val="20"/>
                <w:szCs w:val="20"/>
              </w:rPr>
            </w:pPr>
          </w:p>
        </w:tc>
        <w:tc>
          <w:tcPr>
            <w:tcW w:w="950" w:type="pct"/>
            <w:shd w:val="clear" w:color="auto" w:fill="auto"/>
            <w:vAlign w:val="center"/>
          </w:tcPr>
          <w:p w14:paraId="5556E52D" w14:textId="77777777" w:rsidR="00F925DD" w:rsidRDefault="00F925DD">
            <w:pPr>
              <w:rPr>
                <w:rFonts w:ascii="Times New Roman" w:hAnsi="Times New Roman"/>
                <w:sz w:val="20"/>
                <w:szCs w:val="20"/>
              </w:rPr>
            </w:pPr>
          </w:p>
        </w:tc>
        <w:tc>
          <w:tcPr>
            <w:tcW w:w="950" w:type="pct"/>
            <w:shd w:val="clear" w:color="auto" w:fill="auto"/>
            <w:vAlign w:val="center"/>
          </w:tcPr>
          <w:p w14:paraId="5556E52E" w14:textId="77777777" w:rsidR="00F925DD" w:rsidRDefault="00F925DD">
            <w:pPr>
              <w:rPr>
                <w:rFonts w:ascii="Times New Roman" w:hAnsi="Times New Roman"/>
                <w:sz w:val="20"/>
                <w:szCs w:val="20"/>
              </w:rPr>
            </w:pPr>
          </w:p>
        </w:tc>
        <w:tc>
          <w:tcPr>
            <w:tcW w:w="950" w:type="pct"/>
            <w:shd w:val="clear" w:color="auto" w:fill="auto"/>
            <w:vAlign w:val="center"/>
          </w:tcPr>
          <w:p w14:paraId="5556E52F" w14:textId="77777777" w:rsidR="00F925DD" w:rsidRDefault="00F925DD">
            <w:pPr>
              <w:rPr>
                <w:rFonts w:ascii="Times New Roman" w:hAnsi="Times New Roman"/>
                <w:sz w:val="20"/>
                <w:szCs w:val="20"/>
              </w:rPr>
            </w:pPr>
          </w:p>
        </w:tc>
      </w:tr>
      <w:tr w:rsidR="00F925DD" w14:paraId="5556E536"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E5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E537" w14:textId="77777777" w:rsidR="00F925DD" w:rsidRDefault="00F925DD">
      <w:pPr>
        <w:spacing w:line="288" w:lineRule="auto"/>
        <w:rPr>
          <w:rFonts w:ascii="Times New Roman" w:hAnsi="Times New Roman"/>
          <w:sz w:val="20"/>
          <w:szCs w:val="20"/>
        </w:rPr>
      </w:pPr>
    </w:p>
    <w:p w14:paraId="5556E538" w14:textId="77777777" w:rsidR="00F925DD" w:rsidRDefault="00E705D7">
      <w:pPr>
        <w:spacing w:line="288" w:lineRule="auto"/>
        <w:rPr>
          <w:rFonts w:ascii="Times New Roman" w:hAnsi="Times New Roman"/>
          <w:sz w:val="14"/>
          <w:szCs w:val="14"/>
        </w:rPr>
      </w:pPr>
      <w:r>
        <w:rPr>
          <w:rFonts w:ascii="Arial" w:eastAsia="宋体" w:hAnsi="Arial" w:cs="Arial"/>
          <w:sz w:val="10"/>
          <w:szCs w:val="10"/>
          <w:shd w:val="clear" w:color="auto" w:fill="FFFFFF"/>
        </w:rPr>
        <w:t xml:space="preserve">(1) </w:t>
      </w:r>
      <w:r>
        <w:rPr>
          <w:rFonts w:ascii="Arial" w:eastAsia="宋体" w:hAnsi="Arial" w:cs="Arial"/>
          <w:sz w:val="14"/>
          <w:szCs w:val="14"/>
          <w:shd w:val="clear" w:color="auto" w:fill="FFFFFF"/>
        </w:rPr>
        <w:t>Represents the reclassification from accumulated other comprehensive income into retained earnings as a result of our adoption of ASU 2018-02 - Reclassification of Certain Tax Effects from Accumulated Other Comprehensive Income in the first quarter of 2019</w:t>
      </w:r>
      <w:r>
        <w:rPr>
          <w:rFonts w:ascii="Arial" w:eastAsia="宋体" w:hAnsi="Arial" w:cs="Arial"/>
          <w:sz w:val="14"/>
          <w:szCs w:val="14"/>
          <w:shd w:val="clear" w:color="auto" w:fill="FFFFFF"/>
        </w:rPr>
        <w:t>.</w:t>
      </w:r>
    </w:p>
    <w:p w14:paraId="5556E539" w14:textId="77777777" w:rsidR="00F925DD" w:rsidRDefault="00E705D7">
      <w:pPr>
        <w:spacing w:line="288" w:lineRule="auto"/>
        <w:ind w:firstLine="600"/>
        <w:rPr>
          <w:rFonts w:ascii="Times New Roman" w:hAnsi="Times New Roman"/>
          <w:sz w:val="20"/>
          <w:szCs w:val="20"/>
        </w:rPr>
      </w:pPr>
      <w:r>
        <w:rPr>
          <w:rFonts w:ascii="Arial" w:eastAsia="宋体" w:hAnsi="Arial" w:cs="Arial"/>
          <w:sz w:val="20"/>
          <w:szCs w:val="20"/>
        </w:rPr>
        <w:t>The following table presents after-tax reclassifications into earnings for the periods indicated:</w:t>
      </w:r>
    </w:p>
    <w:tbl>
      <w:tblPr>
        <w:tblW w:w="5000" w:type="pct"/>
        <w:tblCellMar>
          <w:left w:w="0" w:type="dxa"/>
          <w:right w:w="0" w:type="dxa"/>
        </w:tblCellMar>
        <w:tblLook w:val="04A0" w:firstRow="1" w:lastRow="0" w:firstColumn="1" w:lastColumn="0" w:noHBand="0" w:noVBand="1"/>
      </w:tblPr>
      <w:tblGrid>
        <w:gridCol w:w="4025"/>
        <w:gridCol w:w="119"/>
        <w:gridCol w:w="704"/>
        <w:gridCol w:w="88"/>
        <w:gridCol w:w="130"/>
        <w:gridCol w:w="119"/>
        <w:gridCol w:w="704"/>
        <w:gridCol w:w="88"/>
        <w:gridCol w:w="130"/>
        <w:gridCol w:w="2199"/>
      </w:tblGrid>
      <w:tr w:rsidR="00F925DD" w14:paraId="5556E53B" w14:textId="77777777">
        <w:tc>
          <w:tcPr>
            <w:tcW w:w="0" w:type="auto"/>
            <w:gridSpan w:val="10"/>
            <w:shd w:val="clear" w:color="auto" w:fill="auto"/>
            <w:vAlign w:val="center"/>
          </w:tcPr>
          <w:p w14:paraId="5556E53A" w14:textId="77777777" w:rsidR="00F925DD" w:rsidRDefault="00F925DD">
            <w:pPr>
              <w:rPr>
                <w:rFonts w:ascii="Times New Roman" w:hAnsi="Times New Roman"/>
                <w:sz w:val="20"/>
                <w:szCs w:val="20"/>
              </w:rPr>
            </w:pPr>
          </w:p>
        </w:tc>
      </w:tr>
      <w:tr w:rsidR="00F925DD" w14:paraId="5556E546" w14:textId="77777777">
        <w:tc>
          <w:tcPr>
            <w:tcW w:w="2450" w:type="pct"/>
            <w:shd w:val="clear" w:color="auto" w:fill="auto"/>
            <w:vAlign w:val="center"/>
          </w:tcPr>
          <w:p w14:paraId="5556E53C" w14:textId="77777777" w:rsidR="00F925DD" w:rsidRDefault="00F925DD">
            <w:pPr>
              <w:rPr>
                <w:rFonts w:ascii="Times New Roman" w:hAnsi="Times New Roman"/>
                <w:sz w:val="20"/>
                <w:szCs w:val="20"/>
              </w:rPr>
            </w:pPr>
          </w:p>
        </w:tc>
        <w:tc>
          <w:tcPr>
            <w:tcW w:w="50" w:type="pct"/>
            <w:shd w:val="clear" w:color="auto" w:fill="auto"/>
            <w:vAlign w:val="center"/>
          </w:tcPr>
          <w:p w14:paraId="5556E53D" w14:textId="77777777" w:rsidR="00F925DD" w:rsidRDefault="00F925DD">
            <w:pPr>
              <w:rPr>
                <w:rFonts w:ascii="Times New Roman" w:hAnsi="Times New Roman"/>
                <w:sz w:val="20"/>
                <w:szCs w:val="20"/>
              </w:rPr>
            </w:pPr>
          </w:p>
        </w:tc>
        <w:tc>
          <w:tcPr>
            <w:tcW w:w="450" w:type="pct"/>
            <w:shd w:val="clear" w:color="auto" w:fill="auto"/>
            <w:vAlign w:val="center"/>
          </w:tcPr>
          <w:p w14:paraId="5556E53E" w14:textId="77777777" w:rsidR="00F925DD" w:rsidRDefault="00F925DD">
            <w:pPr>
              <w:rPr>
                <w:rFonts w:ascii="Times New Roman" w:hAnsi="Times New Roman"/>
                <w:sz w:val="20"/>
                <w:szCs w:val="20"/>
              </w:rPr>
            </w:pPr>
          </w:p>
        </w:tc>
        <w:tc>
          <w:tcPr>
            <w:tcW w:w="50" w:type="pct"/>
            <w:shd w:val="clear" w:color="auto" w:fill="auto"/>
            <w:vAlign w:val="center"/>
          </w:tcPr>
          <w:p w14:paraId="5556E53F" w14:textId="77777777" w:rsidR="00F925DD" w:rsidRDefault="00F925DD">
            <w:pPr>
              <w:rPr>
                <w:rFonts w:ascii="Times New Roman" w:hAnsi="Times New Roman"/>
                <w:sz w:val="20"/>
                <w:szCs w:val="20"/>
              </w:rPr>
            </w:pPr>
          </w:p>
        </w:tc>
        <w:tc>
          <w:tcPr>
            <w:tcW w:w="50" w:type="pct"/>
            <w:shd w:val="clear" w:color="auto" w:fill="auto"/>
            <w:vAlign w:val="center"/>
          </w:tcPr>
          <w:p w14:paraId="5556E540" w14:textId="77777777" w:rsidR="00F925DD" w:rsidRDefault="00F925DD">
            <w:pPr>
              <w:rPr>
                <w:rFonts w:ascii="Times New Roman" w:hAnsi="Times New Roman"/>
                <w:sz w:val="20"/>
                <w:szCs w:val="20"/>
              </w:rPr>
            </w:pPr>
          </w:p>
        </w:tc>
        <w:tc>
          <w:tcPr>
            <w:tcW w:w="50" w:type="pct"/>
            <w:shd w:val="clear" w:color="auto" w:fill="auto"/>
            <w:vAlign w:val="center"/>
          </w:tcPr>
          <w:p w14:paraId="5556E541" w14:textId="77777777" w:rsidR="00F925DD" w:rsidRDefault="00F925DD">
            <w:pPr>
              <w:rPr>
                <w:rFonts w:ascii="Times New Roman" w:hAnsi="Times New Roman"/>
                <w:sz w:val="20"/>
                <w:szCs w:val="20"/>
              </w:rPr>
            </w:pPr>
          </w:p>
        </w:tc>
        <w:tc>
          <w:tcPr>
            <w:tcW w:w="450" w:type="pct"/>
            <w:shd w:val="clear" w:color="auto" w:fill="auto"/>
            <w:vAlign w:val="center"/>
          </w:tcPr>
          <w:p w14:paraId="5556E542" w14:textId="77777777" w:rsidR="00F925DD" w:rsidRDefault="00F925DD">
            <w:pPr>
              <w:rPr>
                <w:rFonts w:ascii="Times New Roman" w:hAnsi="Times New Roman"/>
                <w:sz w:val="20"/>
                <w:szCs w:val="20"/>
              </w:rPr>
            </w:pPr>
          </w:p>
        </w:tc>
        <w:tc>
          <w:tcPr>
            <w:tcW w:w="50" w:type="pct"/>
            <w:shd w:val="clear" w:color="auto" w:fill="auto"/>
            <w:vAlign w:val="center"/>
          </w:tcPr>
          <w:p w14:paraId="5556E543" w14:textId="77777777" w:rsidR="00F925DD" w:rsidRDefault="00F925DD">
            <w:pPr>
              <w:rPr>
                <w:rFonts w:ascii="Times New Roman" w:hAnsi="Times New Roman"/>
                <w:sz w:val="20"/>
                <w:szCs w:val="20"/>
              </w:rPr>
            </w:pPr>
          </w:p>
        </w:tc>
        <w:tc>
          <w:tcPr>
            <w:tcW w:w="50" w:type="pct"/>
            <w:shd w:val="clear" w:color="auto" w:fill="auto"/>
            <w:vAlign w:val="center"/>
          </w:tcPr>
          <w:p w14:paraId="5556E544" w14:textId="77777777" w:rsidR="00F925DD" w:rsidRDefault="00F925DD">
            <w:pPr>
              <w:rPr>
                <w:rFonts w:ascii="Times New Roman" w:hAnsi="Times New Roman"/>
                <w:sz w:val="20"/>
                <w:szCs w:val="20"/>
              </w:rPr>
            </w:pPr>
          </w:p>
        </w:tc>
        <w:tc>
          <w:tcPr>
            <w:tcW w:w="1350" w:type="pct"/>
            <w:shd w:val="clear" w:color="auto" w:fill="auto"/>
            <w:vAlign w:val="center"/>
          </w:tcPr>
          <w:p w14:paraId="5556E545" w14:textId="77777777" w:rsidR="00F925DD" w:rsidRDefault="00F925DD">
            <w:pPr>
              <w:rPr>
                <w:rFonts w:ascii="Times New Roman" w:hAnsi="Times New Roman"/>
                <w:sz w:val="20"/>
                <w:szCs w:val="20"/>
              </w:rPr>
            </w:pPr>
          </w:p>
        </w:tc>
      </w:tr>
      <w:tr w:rsidR="00F925DD" w14:paraId="5556E54B" w14:textId="77777777">
        <w:tc>
          <w:tcPr>
            <w:tcW w:w="0" w:type="auto"/>
            <w:shd w:val="clear" w:color="auto" w:fill="auto"/>
            <w:tcMar>
              <w:top w:w="40" w:type="dxa"/>
              <w:left w:w="40" w:type="dxa"/>
              <w:bottom w:w="40" w:type="dxa"/>
              <w:right w:w="40" w:type="dxa"/>
            </w:tcMar>
            <w:vAlign w:val="bottom"/>
          </w:tcPr>
          <w:p w14:paraId="5556E5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E54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c>
          <w:tcPr>
            <w:tcW w:w="0" w:type="auto"/>
            <w:shd w:val="clear" w:color="auto" w:fill="auto"/>
            <w:tcMar>
              <w:top w:w="40" w:type="dxa"/>
              <w:left w:w="40" w:type="dxa"/>
              <w:bottom w:w="40" w:type="dxa"/>
              <w:right w:w="40" w:type="dxa"/>
            </w:tcMar>
            <w:vAlign w:val="bottom"/>
          </w:tcPr>
          <w:p w14:paraId="5556E5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552" w14:textId="77777777">
        <w:tc>
          <w:tcPr>
            <w:tcW w:w="0" w:type="auto"/>
            <w:shd w:val="clear" w:color="auto" w:fill="auto"/>
            <w:tcMar>
              <w:top w:w="40" w:type="dxa"/>
              <w:left w:w="40" w:type="dxa"/>
              <w:bottom w:w="40" w:type="dxa"/>
              <w:right w:w="40" w:type="dxa"/>
            </w:tcMar>
            <w:vAlign w:val="bottom"/>
          </w:tcPr>
          <w:p w14:paraId="5556E5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54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E5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54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E5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557" w14:textId="77777777">
        <w:tc>
          <w:tcPr>
            <w:tcW w:w="0" w:type="auto"/>
            <w:shd w:val="clear" w:color="auto" w:fill="auto"/>
            <w:tcMar>
              <w:top w:w="40" w:type="dxa"/>
              <w:left w:w="40" w:type="dxa"/>
              <w:bottom w:w="40" w:type="dxa"/>
              <w:right w:w="40" w:type="dxa"/>
            </w:tcMar>
            <w:vAlign w:val="bottom"/>
          </w:tcPr>
          <w:p w14:paraId="5556E55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7"/>
            <w:tcBorders>
              <w:top w:val="single" w:sz="8" w:space="0" w:color="000000"/>
              <w:bottom w:val="single" w:sz="8" w:space="0" w:color="000000"/>
            </w:tcBorders>
            <w:shd w:val="clear" w:color="auto" w:fill="auto"/>
            <w:tcMar>
              <w:top w:w="40" w:type="dxa"/>
              <w:left w:w="40" w:type="dxa"/>
              <w:bottom w:w="40" w:type="dxa"/>
            </w:tcMar>
            <w:vAlign w:val="bottom"/>
          </w:tcPr>
          <w:p w14:paraId="5556E55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Amounts Reclassified into</w:t>
            </w:r>
            <w:r>
              <w:rPr>
                <w:rFonts w:ascii="Arial" w:eastAsia="宋体" w:hAnsi="Arial" w:cs="Arial"/>
                <w:b/>
                <w:bCs/>
                <w:sz w:val="14"/>
                <w:szCs w:val="14"/>
              </w:rPr>
              <w:br/>
              <w:t>(out of) Earnings</w:t>
            </w:r>
          </w:p>
        </w:tc>
        <w:tc>
          <w:tcPr>
            <w:tcW w:w="0" w:type="auto"/>
            <w:shd w:val="clear" w:color="auto" w:fill="auto"/>
            <w:tcMar>
              <w:top w:w="40" w:type="dxa"/>
              <w:left w:w="40" w:type="dxa"/>
              <w:bottom w:w="40" w:type="dxa"/>
              <w:right w:w="40" w:type="dxa"/>
            </w:tcMar>
            <w:vAlign w:val="bottom"/>
          </w:tcPr>
          <w:p w14:paraId="5556E5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E55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Affected Line Item in </w:t>
            </w:r>
            <w:r>
              <w:rPr>
                <w:rFonts w:ascii="Arial" w:eastAsia="宋体" w:hAnsi="Arial" w:cs="Arial"/>
                <w:b/>
                <w:bCs/>
                <w:sz w:val="14"/>
                <w:szCs w:val="14"/>
              </w:rPr>
              <w:t>Consolidated Statement of Income</w:t>
            </w:r>
          </w:p>
        </w:tc>
      </w:tr>
      <w:tr w:rsidR="00F925DD" w14:paraId="5556E55E" w14:textId="77777777">
        <w:tc>
          <w:tcPr>
            <w:tcW w:w="0" w:type="auto"/>
            <w:shd w:val="clear" w:color="auto" w:fill="auto"/>
            <w:tcMar>
              <w:top w:w="40" w:type="dxa"/>
              <w:left w:w="40" w:type="dxa"/>
              <w:bottom w:w="40" w:type="dxa"/>
              <w:right w:w="40" w:type="dxa"/>
            </w:tcMar>
            <w:vAlign w:val="bottom"/>
          </w:tcPr>
          <w:p w14:paraId="5556E55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Available-for-sale securities:</w:t>
            </w:r>
          </w:p>
        </w:tc>
        <w:tc>
          <w:tcPr>
            <w:tcW w:w="0" w:type="auto"/>
            <w:gridSpan w:val="3"/>
            <w:shd w:val="clear" w:color="auto" w:fill="auto"/>
            <w:tcMar>
              <w:top w:w="40" w:type="dxa"/>
              <w:left w:w="40" w:type="dxa"/>
              <w:bottom w:w="40" w:type="dxa"/>
              <w:right w:w="40" w:type="dxa"/>
            </w:tcMar>
            <w:vAlign w:val="bottom"/>
          </w:tcPr>
          <w:p w14:paraId="5556E5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5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569" w14:textId="77777777">
        <w:tc>
          <w:tcPr>
            <w:tcW w:w="0" w:type="auto"/>
            <w:shd w:val="clear" w:color="auto" w:fill="CCEEFF"/>
            <w:tcMar>
              <w:top w:w="40" w:type="dxa"/>
              <w:left w:w="40" w:type="dxa"/>
              <w:bottom w:w="40" w:type="dxa"/>
              <w:right w:w="40" w:type="dxa"/>
            </w:tcMar>
            <w:vAlign w:val="bottom"/>
          </w:tcPr>
          <w:p w14:paraId="5556E55F" w14:textId="77777777" w:rsidR="00F925DD" w:rsidRDefault="00E705D7">
            <w:pPr>
              <w:textAlignment w:val="bottom"/>
              <w:rPr>
                <w:rFonts w:ascii="Times New Roman" w:hAnsi="Times New Roman"/>
                <w:sz w:val="14"/>
                <w:szCs w:val="14"/>
              </w:rPr>
            </w:pPr>
            <w:r>
              <w:rPr>
                <w:rFonts w:ascii="Arial" w:eastAsia="宋体" w:hAnsi="Arial" w:cs="Arial"/>
                <w:sz w:val="14"/>
                <w:szCs w:val="14"/>
              </w:rPr>
              <w:t>Net realized gains (losses) from sales of available-for-sale securities, net of related taxes of zero and ($2), respectively</w:t>
            </w:r>
          </w:p>
        </w:tc>
        <w:tc>
          <w:tcPr>
            <w:tcW w:w="0" w:type="auto"/>
            <w:shd w:val="clear" w:color="auto" w:fill="CCEEFF"/>
            <w:tcMar>
              <w:top w:w="40" w:type="dxa"/>
              <w:left w:w="40" w:type="dxa"/>
              <w:bottom w:w="40" w:type="dxa"/>
            </w:tcMar>
            <w:vAlign w:val="bottom"/>
          </w:tcPr>
          <w:p w14:paraId="5556E56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E56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E56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5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56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E56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vAlign w:val="bottom"/>
          </w:tcPr>
          <w:p w14:paraId="5556E56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5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568"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gains (losses) from sales of </w:t>
            </w:r>
            <w:r>
              <w:rPr>
                <w:rFonts w:ascii="Arial" w:eastAsia="宋体" w:hAnsi="Arial" w:cs="Arial"/>
                <w:sz w:val="14"/>
                <w:szCs w:val="14"/>
              </w:rPr>
              <w:t>available-for-sale securities</w:t>
            </w:r>
          </w:p>
        </w:tc>
      </w:tr>
      <w:tr w:rsidR="00F925DD" w14:paraId="5556E570" w14:textId="77777777">
        <w:tc>
          <w:tcPr>
            <w:tcW w:w="0" w:type="auto"/>
            <w:shd w:val="clear" w:color="auto" w:fill="auto"/>
            <w:tcMar>
              <w:top w:w="40" w:type="dxa"/>
              <w:left w:w="40" w:type="dxa"/>
              <w:bottom w:w="40" w:type="dxa"/>
              <w:right w:w="40" w:type="dxa"/>
            </w:tcMar>
            <w:vAlign w:val="bottom"/>
          </w:tcPr>
          <w:p w14:paraId="5556E56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Held-to-maturity securities:</w:t>
            </w:r>
          </w:p>
        </w:tc>
        <w:tc>
          <w:tcPr>
            <w:tcW w:w="0" w:type="auto"/>
            <w:gridSpan w:val="3"/>
            <w:shd w:val="clear" w:color="auto" w:fill="auto"/>
            <w:tcMar>
              <w:top w:w="40" w:type="dxa"/>
              <w:left w:w="40" w:type="dxa"/>
              <w:bottom w:w="40" w:type="dxa"/>
              <w:right w:w="40" w:type="dxa"/>
            </w:tcMar>
            <w:vAlign w:val="bottom"/>
          </w:tcPr>
          <w:p w14:paraId="5556E5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5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579" w14:textId="77777777">
        <w:tc>
          <w:tcPr>
            <w:tcW w:w="0" w:type="auto"/>
            <w:shd w:val="clear" w:color="auto" w:fill="CCEEFF"/>
            <w:tcMar>
              <w:top w:w="40" w:type="dxa"/>
              <w:left w:w="40" w:type="dxa"/>
              <w:bottom w:w="40" w:type="dxa"/>
              <w:right w:w="40" w:type="dxa"/>
            </w:tcMar>
            <w:vAlign w:val="bottom"/>
          </w:tcPr>
          <w:p w14:paraId="5556E571" w14:textId="77777777" w:rsidR="00F925DD" w:rsidRDefault="00E705D7">
            <w:pPr>
              <w:textAlignment w:val="bottom"/>
              <w:rPr>
                <w:rFonts w:ascii="Times New Roman" w:hAnsi="Times New Roman"/>
                <w:sz w:val="14"/>
                <w:szCs w:val="14"/>
              </w:rPr>
            </w:pPr>
            <w:r>
              <w:rPr>
                <w:rFonts w:ascii="Arial" w:eastAsia="宋体" w:hAnsi="Arial" w:cs="Arial"/>
                <w:sz w:val="14"/>
                <w:szCs w:val="14"/>
              </w:rPr>
              <w:t>Other-than-temporary impairment on held-to-maturity securities related to factors other than credit, net of related taxes of zero and $1, respectively</w:t>
            </w:r>
          </w:p>
        </w:tc>
        <w:tc>
          <w:tcPr>
            <w:tcW w:w="0" w:type="auto"/>
            <w:gridSpan w:val="2"/>
            <w:shd w:val="clear" w:color="auto" w:fill="CCEEFF"/>
            <w:tcMar>
              <w:top w:w="40" w:type="dxa"/>
              <w:left w:w="40" w:type="dxa"/>
              <w:bottom w:w="40" w:type="dxa"/>
            </w:tcMar>
            <w:vAlign w:val="bottom"/>
          </w:tcPr>
          <w:p w14:paraId="5556E57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CCEEFF"/>
            <w:tcMar>
              <w:top w:w="40" w:type="dxa"/>
              <w:bottom w:w="40" w:type="dxa"/>
              <w:right w:w="40" w:type="dxa"/>
            </w:tcMar>
            <w:vAlign w:val="bottom"/>
          </w:tcPr>
          <w:p w14:paraId="5556E57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5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57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5556E57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5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578"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Losses </w:t>
            </w:r>
            <w:r>
              <w:rPr>
                <w:rFonts w:ascii="Arial" w:eastAsia="宋体" w:hAnsi="Arial" w:cs="Arial"/>
                <w:sz w:val="14"/>
                <w:szCs w:val="14"/>
              </w:rPr>
              <w:t>reclassified (from) to other comprehensive income</w:t>
            </w:r>
          </w:p>
        </w:tc>
      </w:tr>
      <w:tr w:rsidR="00F925DD" w14:paraId="5556E580" w14:textId="77777777">
        <w:tc>
          <w:tcPr>
            <w:tcW w:w="0" w:type="auto"/>
            <w:shd w:val="clear" w:color="auto" w:fill="auto"/>
            <w:tcMar>
              <w:top w:w="40" w:type="dxa"/>
              <w:left w:w="40" w:type="dxa"/>
              <w:bottom w:w="40" w:type="dxa"/>
              <w:right w:w="40" w:type="dxa"/>
            </w:tcMar>
            <w:vAlign w:val="bottom"/>
          </w:tcPr>
          <w:p w14:paraId="5556E57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Cash flow hedges:</w:t>
            </w:r>
          </w:p>
        </w:tc>
        <w:tc>
          <w:tcPr>
            <w:tcW w:w="0" w:type="auto"/>
            <w:gridSpan w:val="3"/>
            <w:shd w:val="clear" w:color="auto" w:fill="auto"/>
            <w:tcMar>
              <w:top w:w="40" w:type="dxa"/>
              <w:left w:w="40" w:type="dxa"/>
              <w:bottom w:w="40" w:type="dxa"/>
              <w:right w:w="40" w:type="dxa"/>
            </w:tcMar>
            <w:vAlign w:val="bottom"/>
          </w:tcPr>
          <w:p w14:paraId="5556E5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5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589" w14:textId="77777777">
        <w:tc>
          <w:tcPr>
            <w:tcW w:w="0" w:type="auto"/>
            <w:shd w:val="clear" w:color="auto" w:fill="CCEEFF"/>
            <w:tcMar>
              <w:top w:w="40" w:type="dxa"/>
              <w:left w:w="40" w:type="dxa"/>
              <w:bottom w:w="40" w:type="dxa"/>
              <w:right w:w="40" w:type="dxa"/>
            </w:tcMar>
            <w:vAlign w:val="bottom"/>
          </w:tcPr>
          <w:p w14:paraId="5556E581" w14:textId="77777777" w:rsidR="00F925DD" w:rsidRDefault="00E705D7">
            <w:pPr>
              <w:textAlignment w:val="bottom"/>
              <w:rPr>
                <w:rFonts w:ascii="Times New Roman" w:hAnsi="Times New Roman"/>
                <w:sz w:val="14"/>
                <w:szCs w:val="14"/>
              </w:rPr>
            </w:pPr>
            <w:r>
              <w:rPr>
                <w:rFonts w:ascii="Arial" w:eastAsia="宋体" w:hAnsi="Arial" w:cs="Arial"/>
                <w:sz w:val="14"/>
                <w:szCs w:val="14"/>
              </w:rPr>
              <w:t>Gain reclassified from accumulated other comprehensive income into Income, net of related taxes of $5 and $7</w:t>
            </w:r>
          </w:p>
        </w:tc>
        <w:tc>
          <w:tcPr>
            <w:tcW w:w="0" w:type="auto"/>
            <w:gridSpan w:val="2"/>
            <w:shd w:val="clear" w:color="auto" w:fill="CCEEFF"/>
            <w:tcMar>
              <w:top w:w="40" w:type="dxa"/>
              <w:left w:w="40" w:type="dxa"/>
              <w:bottom w:w="40" w:type="dxa"/>
            </w:tcMar>
            <w:vAlign w:val="bottom"/>
          </w:tcPr>
          <w:p w14:paraId="5556E58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shd w:val="clear" w:color="auto" w:fill="CCEEFF"/>
            <w:vAlign w:val="bottom"/>
          </w:tcPr>
          <w:p w14:paraId="5556E58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5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58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w:t>
            </w:r>
          </w:p>
        </w:tc>
        <w:tc>
          <w:tcPr>
            <w:tcW w:w="0" w:type="auto"/>
            <w:shd w:val="clear" w:color="auto" w:fill="CCEEFF"/>
            <w:vAlign w:val="bottom"/>
          </w:tcPr>
          <w:p w14:paraId="5556E58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5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588"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Net interest income reclassified from other </w:t>
            </w:r>
            <w:r>
              <w:rPr>
                <w:rFonts w:ascii="Arial" w:eastAsia="宋体" w:hAnsi="Arial" w:cs="Arial"/>
                <w:sz w:val="14"/>
                <w:szCs w:val="14"/>
              </w:rPr>
              <w:t>comprehensive income</w:t>
            </w:r>
          </w:p>
        </w:tc>
      </w:tr>
      <w:tr w:rsidR="00F925DD" w14:paraId="5556E590" w14:textId="77777777">
        <w:tc>
          <w:tcPr>
            <w:tcW w:w="0" w:type="auto"/>
            <w:shd w:val="clear" w:color="auto" w:fill="auto"/>
            <w:tcMar>
              <w:top w:w="40" w:type="dxa"/>
              <w:left w:w="40" w:type="dxa"/>
              <w:bottom w:w="40" w:type="dxa"/>
              <w:right w:w="40" w:type="dxa"/>
            </w:tcMar>
            <w:vAlign w:val="bottom"/>
          </w:tcPr>
          <w:p w14:paraId="5556E58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Retirement plans:</w:t>
            </w:r>
          </w:p>
        </w:tc>
        <w:tc>
          <w:tcPr>
            <w:tcW w:w="0" w:type="auto"/>
            <w:gridSpan w:val="3"/>
            <w:shd w:val="clear" w:color="auto" w:fill="auto"/>
            <w:tcMar>
              <w:top w:w="40" w:type="dxa"/>
              <w:left w:w="40" w:type="dxa"/>
              <w:bottom w:w="40" w:type="dxa"/>
              <w:right w:w="40" w:type="dxa"/>
            </w:tcMar>
            <w:vAlign w:val="bottom"/>
          </w:tcPr>
          <w:p w14:paraId="5556E5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5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599" w14:textId="77777777">
        <w:tc>
          <w:tcPr>
            <w:tcW w:w="0" w:type="auto"/>
            <w:shd w:val="clear" w:color="auto" w:fill="CCEEFF"/>
            <w:tcMar>
              <w:top w:w="40" w:type="dxa"/>
              <w:left w:w="40" w:type="dxa"/>
              <w:bottom w:w="40" w:type="dxa"/>
              <w:right w:w="40" w:type="dxa"/>
            </w:tcMar>
            <w:vAlign w:val="bottom"/>
          </w:tcPr>
          <w:p w14:paraId="5556E591" w14:textId="77777777" w:rsidR="00F925DD" w:rsidRDefault="00E705D7">
            <w:pPr>
              <w:textAlignment w:val="bottom"/>
              <w:rPr>
                <w:rFonts w:ascii="Times New Roman" w:hAnsi="Times New Roman"/>
                <w:sz w:val="14"/>
                <w:szCs w:val="14"/>
              </w:rPr>
            </w:pPr>
            <w:r>
              <w:rPr>
                <w:rFonts w:ascii="Arial" w:eastAsia="宋体" w:hAnsi="Arial" w:cs="Arial"/>
                <w:sz w:val="14"/>
                <w:szCs w:val="14"/>
              </w:rPr>
              <w:t>Amortization of actuarial losses, net of related taxes of ($8) and $8, respectively</w:t>
            </w:r>
          </w:p>
        </w:tc>
        <w:tc>
          <w:tcPr>
            <w:tcW w:w="0" w:type="auto"/>
            <w:gridSpan w:val="2"/>
            <w:shd w:val="clear" w:color="auto" w:fill="CCEEFF"/>
            <w:tcMar>
              <w:top w:w="40" w:type="dxa"/>
              <w:left w:w="40" w:type="dxa"/>
              <w:bottom w:w="40" w:type="dxa"/>
            </w:tcMar>
            <w:vAlign w:val="bottom"/>
          </w:tcPr>
          <w:p w14:paraId="5556E59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shd w:val="clear" w:color="auto" w:fill="CCEEFF"/>
            <w:tcMar>
              <w:top w:w="40" w:type="dxa"/>
              <w:bottom w:w="40" w:type="dxa"/>
              <w:right w:w="40" w:type="dxa"/>
            </w:tcMar>
            <w:vAlign w:val="bottom"/>
          </w:tcPr>
          <w:p w14:paraId="5556E59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5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59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w:t>
            </w:r>
          </w:p>
        </w:tc>
        <w:tc>
          <w:tcPr>
            <w:tcW w:w="0" w:type="auto"/>
            <w:shd w:val="clear" w:color="auto" w:fill="CCEEFF"/>
            <w:vAlign w:val="bottom"/>
          </w:tcPr>
          <w:p w14:paraId="5556E5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5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598" w14:textId="77777777" w:rsidR="00F925DD" w:rsidRDefault="00E705D7">
            <w:pPr>
              <w:textAlignment w:val="bottom"/>
              <w:rPr>
                <w:rFonts w:ascii="Times New Roman" w:hAnsi="Times New Roman"/>
                <w:sz w:val="14"/>
                <w:szCs w:val="14"/>
              </w:rPr>
            </w:pPr>
            <w:r>
              <w:rPr>
                <w:rFonts w:ascii="Arial" w:eastAsia="宋体" w:hAnsi="Arial" w:cs="Arial"/>
                <w:sz w:val="14"/>
                <w:szCs w:val="14"/>
              </w:rPr>
              <w:t>Compensation and employee benefits expenses</w:t>
            </w:r>
          </w:p>
        </w:tc>
      </w:tr>
      <w:tr w:rsidR="00F925DD" w14:paraId="5556E5A4" w14:textId="77777777">
        <w:tc>
          <w:tcPr>
            <w:tcW w:w="0" w:type="auto"/>
            <w:shd w:val="clear" w:color="auto" w:fill="auto"/>
            <w:tcMar>
              <w:top w:w="40" w:type="dxa"/>
              <w:left w:w="40" w:type="dxa"/>
              <w:bottom w:w="40" w:type="dxa"/>
              <w:right w:w="40" w:type="dxa"/>
            </w:tcMar>
            <w:vAlign w:val="bottom"/>
          </w:tcPr>
          <w:p w14:paraId="5556E59A"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Total reclassifications (into) out of Accumulated other </w:t>
            </w:r>
            <w:r>
              <w:rPr>
                <w:rFonts w:ascii="Arial" w:eastAsia="宋体" w:hAnsi="Arial" w:cs="Arial"/>
                <w:sz w:val="14"/>
                <w:szCs w:val="14"/>
              </w:rPr>
              <w:t>comprehensive loss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59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59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E59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5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59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5A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51</w:t>
            </w:r>
          </w:p>
        </w:tc>
        <w:tc>
          <w:tcPr>
            <w:tcW w:w="0" w:type="auto"/>
            <w:tcBorders>
              <w:top w:val="single" w:sz="8" w:space="0" w:color="000000"/>
              <w:bottom w:val="double" w:sz="6" w:space="0" w:color="000000"/>
            </w:tcBorders>
            <w:shd w:val="clear" w:color="auto" w:fill="auto"/>
            <w:vAlign w:val="bottom"/>
          </w:tcPr>
          <w:p w14:paraId="5556E5A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5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E5A5" w14:textId="77777777" w:rsidR="00F925DD" w:rsidRDefault="00F925DD">
      <w:pPr>
        <w:spacing w:line="288" w:lineRule="auto"/>
        <w:rPr>
          <w:rFonts w:ascii="Times New Roman" w:hAnsi="Times New Roman"/>
          <w:sz w:val="20"/>
          <w:szCs w:val="20"/>
        </w:rPr>
      </w:pPr>
    </w:p>
    <w:p w14:paraId="5556E5A6" w14:textId="77777777" w:rsidR="00F925DD" w:rsidRDefault="00F925DD">
      <w:pPr>
        <w:rPr>
          <w:rFonts w:ascii="Times New Roman" w:hAnsi="Times New Roman"/>
          <w:sz w:val="20"/>
          <w:szCs w:val="20"/>
        </w:rPr>
      </w:pPr>
    </w:p>
    <w:p w14:paraId="5556E5A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161</w:t>
      </w:r>
    </w:p>
    <w:p w14:paraId="5556E5A8" w14:textId="77777777" w:rsidR="00F925DD" w:rsidRDefault="00F925DD">
      <w:pPr>
        <w:spacing w:line="288" w:lineRule="auto"/>
        <w:ind w:firstLine="600"/>
        <w:jc w:val="center"/>
        <w:rPr>
          <w:rFonts w:ascii="Times New Roman" w:hAnsi="Times New Roman"/>
          <w:sz w:val="18"/>
          <w:szCs w:val="18"/>
        </w:rPr>
      </w:pPr>
    </w:p>
    <w:p w14:paraId="5556E5A9" w14:textId="77777777" w:rsidR="00F925DD" w:rsidRDefault="00E705D7">
      <w:r>
        <w:rPr>
          <w:rFonts w:ascii="Times New Roman" w:hAnsi="Times New Roman"/>
          <w:sz w:val="18"/>
          <w:szCs w:val="18"/>
        </w:rPr>
        <w:pict w14:anchorId="555706DB">
          <v:rect id="_x0000_i1185" style="width:415.3pt;height:1.5pt" o:hralign="center" o:hrstd="t" o:hr="t" fillcolor="#a0a0a0" stroked="f"/>
        </w:pict>
      </w:r>
    </w:p>
    <w:p w14:paraId="5556E5A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5A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5AC" w14:textId="77777777" w:rsidR="00F925DD" w:rsidRDefault="00F925DD">
      <w:pPr>
        <w:rPr>
          <w:rFonts w:ascii="Times New Roman" w:hAnsi="Times New Roman"/>
          <w:sz w:val="20"/>
          <w:szCs w:val="20"/>
        </w:rPr>
      </w:pPr>
    </w:p>
    <w:p w14:paraId="5556E5AD"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16.    Regulatory Capital</w:t>
      </w:r>
    </w:p>
    <w:p w14:paraId="5556E5A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are subject to various regulatory capital requirements </w:t>
      </w:r>
      <w:r>
        <w:rPr>
          <w:rFonts w:ascii="Arial" w:eastAsia="宋体" w:hAnsi="Arial" w:cs="Arial"/>
          <w:sz w:val="20"/>
          <w:szCs w:val="20"/>
        </w:rPr>
        <w:t xml:space="preserve">administered by federal banking agencies. Failure to meet minimum regulatory capital requirements can initiate certain mandatory and discretionary actions by regulators that, if undertaken, could have a direct material effect on our consolidated financial </w:t>
      </w:r>
      <w:r>
        <w:rPr>
          <w:rFonts w:ascii="Arial" w:eastAsia="宋体" w:hAnsi="Arial" w:cs="Arial"/>
          <w:sz w:val="20"/>
          <w:szCs w:val="20"/>
        </w:rPr>
        <w:t>condition. Under current regulatory capital adequacy guidelines, we must meet specified capital requirements that involve quantitative measures of our consolidated assets, liabilities and off-balance sheet exposures calculated in conformity with regulatory</w:t>
      </w:r>
      <w:r>
        <w:rPr>
          <w:rFonts w:ascii="Arial" w:eastAsia="宋体" w:hAnsi="Arial" w:cs="Arial"/>
          <w:sz w:val="20"/>
          <w:szCs w:val="20"/>
        </w:rPr>
        <w:t xml:space="preserve"> accounting practices. Our capital components and their classifications are subject to qualitative judgments by regulators about components, risk weightings and other factors.</w:t>
      </w:r>
    </w:p>
    <w:p w14:paraId="5556E5A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required by the Dodd-Frank Act, we and State Street Bank, as advanced approac</w:t>
      </w:r>
      <w:r>
        <w:rPr>
          <w:rFonts w:ascii="Arial" w:eastAsia="宋体" w:hAnsi="Arial" w:cs="Arial"/>
          <w:sz w:val="20"/>
          <w:szCs w:val="20"/>
        </w:rPr>
        <w:t>hes banking organizations, are subject to a permanent "capital floor" in the calculation and assessment of regulatory capital adequacy by U.S. banking regulators. Beginning on January 1, 2015, we were required to calculate our risk- based capital ratios us</w:t>
      </w:r>
      <w:r>
        <w:rPr>
          <w:rFonts w:ascii="Arial" w:eastAsia="宋体" w:hAnsi="Arial" w:cs="Arial"/>
          <w:sz w:val="20"/>
          <w:szCs w:val="20"/>
        </w:rPr>
        <w:t>ing both the advanced approaches and the standardized approach. As a result, from January 1, 2015 going forward, our risk-based capital ratios for regulatory assessment purposes are the lower of each ratio calculated under the standardized approach and the</w:t>
      </w:r>
      <w:r>
        <w:rPr>
          <w:rFonts w:ascii="Arial" w:eastAsia="宋体" w:hAnsi="Arial" w:cs="Arial"/>
          <w:sz w:val="20"/>
          <w:szCs w:val="20"/>
        </w:rPr>
        <w:t xml:space="preserve"> advanced approaches.</w:t>
      </w:r>
    </w:p>
    <w:p w14:paraId="5556E5B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methods for the calculation of our and State Street Bank's risk-based capital ratios have changed as the provisions of the Basel III rule related to the numerator (capital) and denominator (RWA) were phased in, and as we calculate</w:t>
      </w:r>
      <w:r>
        <w:rPr>
          <w:rFonts w:ascii="Arial" w:eastAsia="宋体" w:hAnsi="Arial" w:cs="Arial"/>
          <w:sz w:val="20"/>
          <w:szCs w:val="20"/>
        </w:rPr>
        <w:t>d our RWA using the advanced approaches. These ongoing methodological changes have resulted in differences in our reported capital ratios from one reporting period to the next that are independent of applicable changes to our capital base, our asset compos</w:t>
      </w:r>
      <w:r>
        <w:rPr>
          <w:rFonts w:ascii="Arial" w:eastAsia="宋体" w:hAnsi="Arial" w:cs="Arial"/>
          <w:sz w:val="20"/>
          <w:szCs w:val="20"/>
        </w:rPr>
        <w:t>ition, our off-balance sheet exposures or our risk profile.</w:t>
      </w:r>
    </w:p>
    <w:p w14:paraId="5556E5B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we and State Street Bank exceeded all regulatory capital adequacy requirements to which we were subject. As of December 31, 2019, State Street Bank was categorized as “wel</w:t>
      </w:r>
      <w:r>
        <w:rPr>
          <w:rFonts w:ascii="Arial" w:eastAsia="宋体" w:hAnsi="Arial" w:cs="Arial"/>
          <w:sz w:val="20"/>
          <w:szCs w:val="20"/>
        </w:rPr>
        <w:t>l capitalized” under the applicable regulatory capital adequacy framework, and exceeded all “well capitalized” ratio guidelines to which it was subject. Management believes that no conditions or events have occurred since December 31, 2019 that have change</w:t>
      </w:r>
      <w:r>
        <w:rPr>
          <w:rFonts w:ascii="Arial" w:eastAsia="宋体" w:hAnsi="Arial" w:cs="Arial"/>
          <w:sz w:val="20"/>
          <w:szCs w:val="20"/>
        </w:rPr>
        <w:t>d the capital categorization of State Street Bank.</w:t>
      </w:r>
    </w:p>
    <w:p w14:paraId="5556E5B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regulatory capital structure, total RWA, related regulatory capital ratios and the minimum required regulatory capital ratios for us and State Street Bank as of the dates i</w:t>
      </w:r>
      <w:r>
        <w:rPr>
          <w:rFonts w:ascii="Arial" w:eastAsia="宋体" w:hAnsi="Arial" w:cs="Arial"/>
          <w:sz w:val="20"/>
          <w:szCs w:val="20"/>
        </w:rPr>
        <w:t>ndicated. As a result of changes in the methodologies used to calculate our regulatory capital ratios from period to period as the provisions of the Basel III rule were phased in, the ratios presented in the table for each period-end are not directly compa</w:t>
      </w:r>
      <w:r>
        <w:rPr>
          <w:rFonts w:ascii="Arial" w:eastAsia="宋体" w:hAnsi="Arial" w:cs="Arial"/>
          <w:sz w:val="20"/>
          <w:szCs w:val="20"/>
        </w:rPr>
        <w:t>rable. Refer to the footnotes following the table.</w:t>
      </w:r>
    </w:p>
    <w:p w14:paraId="5556E5B3" w14:textId="77777777" w:rsidR="00F925DD" w:rsidRDefault="00F925DD">
      <w:pPr>
        <w:spacing w:line="288" w:lineRule="auto"/>
        <w:ind w:firstLine="600"/>
        <w:jc w:val="both"/>
        <w:rPr>
          <w:rFonts w:ascii="Times New Roman" w:hAnsi="Times New Roman"/>
          <w:sz w:val="20"/>
          <w:szCs w:val="20"/>
        </w:rPr>
      </w:pPr>
    </w:p>
    <w:p w14:paraId="5556E5B4" w14:textId="77777777" w:rsidR="00F925DD" w:rsidRDefault="00F925DD">
      <w:pPr>
        <w:rPr>
          <w:rFonts w:ascii="Times New Roman" w:hAnsi="Times New Roman"/>
          <w:sz w:val="20"/>
          <w:szCs w:val="20"/>
        </w:rPr>
      </w:pPr>
    </w:p>
    <w:p w14:paraId="5556E5B5"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162</w:t>
      </w:r>
    </w:p>
    <w:p w14:paraId="5556E5B6" w14:textId="77777777" w:rsidR="00F925DD" w:rsidRDefault="00F925DD">
      <w:pPr>
        <w:spacing w:line="288" w:lineRule="auto"/>
        <w:ind w:firstLine="600"/>
        <w:jc w:val="center"/>
        <w:rPr>
          <w:rFonts w:ascii="Times New Roman" w:hAnsi="Times New Roman"/>
          <w:sz w:val="18"/>
          <w:szCs w:val="18"/>
        </w:rPr>
      </w:pPr>
    </w:p>
    <w:p w14:paraId="5556E5B7" w14:textId="77777777" w:rsidR="00F925DD" w:rsidRDefault="00E705D7">
      <w:r>
        <w:rPr>
          <w:rFonts w:ascii="Times New Roman" w:hAnsi="Times New Roman"/>
          <w:sz w:val="18"/>
          <w:szCs w:val="18"/>
        </w:rPr>
        <w:pict w14:anchorId="555706DC">
          <v:rect id="_x0000_i1186" style="width:415.3pt;height:1.5pt" o:hralign="center" o:hrstd="t" o:hr="t" fillcolor="#a0a0a0" stroked="f"/>
        </w:pict>
      </w:r>
    </w:p>
    <w:p w14:paraId="5556E5B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5B9"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5BA"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542"/>
        <w:gridCol w:w="605"/>
        <w:gridCol w:w="126"/>
        <w:gridCol w:w="605"/>
        <w:gridCol w:w="126"/>
        <w:gridCol w:w="102"/>
        <w:gridCol w:w="446"/>
        <w:gridCol w:w="126"/>
        <w:gridCol w:w="120"/>
        <w:gridCol w:w="102"/>
        <w:gridCol w:w="480"/>
        <w:gridCol w:w="126"/>
        <w:gridCol w:w="120"/>
        <w:gridCol w:w="102"/>
        <w:gridCol w:w="430"/>
        <w:gridCol w:w="126"/>
        <w:gridCol w:w="120"/>
        <w:gridCol w:w="102"/>
        <w:gridCol w:w="463"/>
        <w:gridCol w:w="126"/>
        <w:gridCol w:w="120"/>
        <w:gridCol w:w="102"/>
        <w:gridCol w:w="446"/>
        <w:gridCol w:w="126"/>
        <w:gridCol w:w="120"/>
        <w:gridCol w:w="102"/>
        <w:gridCol w:w="480"/>
        <w:gridCol w:w="126"/>
        <w:gridCol w:w="120"/>
        <w:gridCol w:w="102"/>
        <w:gridCol w:w="430"/>
        <w:gridCol w:w="126"/>
        <w:gridCol w:w="120"/>
        <w:gridCol w:w="102"/>
        <w:gridCol w:w="463"/>
        <w:gridCol w:w="126"/>
      </w:tblGrid>
      <w:tr w:rsidR="00F925DD" w14:paraId="5556E5BC" w14:textId="77777777">
        <w:tc>
          <w:tcPr>
            <w:tcW w:w="0" w:type="auto"/>
            <w:gridSpan w:val="36"/>
            <w:shd w:val="clear" w:color="auto" w:fill="auto"/>
            <w:vAlign w:val="center"/>
          </w:tcPr>
          <w:p w14:paraId="5556E5BB" w14:textId="77777777" w:rsidR="00F925DD" w:rsidRDefault="00F925DD">
            <w:pPr>
              <w:rPr>
                <w:rFonts w:ascii="Times New Roman" w:hAnsi="Times New Roman"/>
                <w:sz w:val="20"/>
                <w:szCs w:val="20"/>
              </w:rPr>
            </w:pPr>
          </w:p>
        </w:tc>
      </w:tr>
      <w:tr w:rsidR="00F925DD" w14:paraId="5556E5E1" w14:textId="77777777">
        <w:tc>
          <w:tcPr>
            <w:tcW w:w="350" w:type="pct"/>
            <w:shd w:val="clear" w:color="auto" w:fill="auto"/>
            <w:vAlign w:val="center"/>
          </w:tcPr>
          <w:p w14:paraId="5556E5BD" w14:textId="77777777" w:rsidR="00F925DD" w:rsidRDefault="00F925DD">
            <w:pPr>
              <w:rPr>
                <w:rFonts w:ascii="Times New Roman" w:hAnsi="Times New Roman"/>
                <w:sz w:val="20"/>
                <w:szCs w:val="20"/>
              </w:rPr>
            </w:pPr>
          </w:p>
        </w:tc>
        <w:tc>
          <w:tcPr>
            <w:tcW w:w="400" w:type="pct"/>
            <w:shd w:val="clear" w:color="auto" w:fill="auto"/>
            <w:vAlign w:val="center"/>
          </w:tcPr>
          <w:p w14:paraId="5556E5BE" w14:textId="77777777" w:rsidR="00F925DD" w:rsidRDefault="00F925DD">
            <w:pPr>
              <w:rPr>
                <w:rFonts w:ascii="Times New Roman" w:hAnsi="Times New Roman"/>
                <w:sz w:val="20"/>
                <w:szCs w:val="20"/>
              </w:rPr>
            </w:pPr>
          </w:p>
        </w:tc>
        <w:tc>
          <w:tcPr>
            <w:tcW w:w="50" w:type="pct"/>
            <w:shd w:val="clear" w:color="auto" w:fill="auto"/>
            <w:vAlign w:val="center"/>
          </w:tcPr>
          <w:p w14:paraId="5556E5BF" w14:textId="77777777" w:rsidR="00F925DD" w:rsidRDefault="00F925DD">
            <w:pPr>
              <w:rPr>
                <w:rFonts w:ascii="Times New Roman" w:hAnsi="Times New Roman"/>
                <w:sz w:val="20"/>
                <w:szCs w:val="20"/>
              </w:rPr>
            </w:pPr>
          </w:p>
        </w:tc>
        <w:tc>
          <w:tcPr>
            <w:tcW w:w="400" w:type="pct"/>
            <w:shd w:val="clear" w:color="auto" w:fill="auto"/>
            <w:vAlign w:val="center"/>
          </w:tcPr>
          <w:p w14:paraId="5556E5C0" w14:textId="77777777" w:rsidR="00F925DD" w:rsidRDefault="00F925DD">
            <w:pPr>
              <w:rPr>
                <w:rFonts w:ascii="Times New Roman" w:hAnsi="Times New Roman"/>
                <w:sz w:val="20"/>
                <w:szCs w:val="20"/>
              </w:rPr>
            </w:pPr>
          </w:p>
        </w:tc>
        <w:tc>
          <w:tcPr>
            <w:tcW w:w="50" w:type="pct"/>
            <w:shd w:val="clear" w:color="auto" w:fill="auto"/>
            <w:vAlign w:val="center"/>
          </w:tcPr>
          <w:p w14:paraId="5556E5C1" w14:textId="77777777" w:rsidR="00F925DD" w:rsidRDefault="00F925DD">
            <w:pPr>
              <w:rPr>
                <w:rFonts w:ascii="Times New Roman" w:hAnsi="Times New Roman"/>
                <w:sz w:val="20"/>
                <w:szCs w:val="20"/>
              </w:rPr>
            </w:pPr>
          </w:p>
        </w:tc>
        <w:tc>
          <w:tcPr>
            <w:tcW w:w="50" w:type="pct"/>
            <w:shd w:val="clear" w:color="auto" w:fill="auto"/>
            <w:vAlign w:val="center"/>
          </w:tcPr>
          <w:p w14:paraId="5556E5C2" w14:textId="77777777" w:rsidR="00F925DD" w:rsidRDefault="00F925DD">
            <w:pPr>
              <w:rPr>
                <w:rFonts w:ascii="Times New Roman" w:hAnsi="Times New Roman"/>
                <w:sz w:val="20"/>
                <w:szCs w:val="20"/>
              </w:rPr>
            </w:pPr>
          </w:p>
        </w:tc>
        <w:tc>
          <w:tcPr>
            <w:tcW w:w="350" w:type="pct"/>
            <w:shd w:val="clear" w:color="auto" w:fill="auto"/>
            <w:vAlign w:val="center"/>
          </w:tcPr>
          <w:p w14:paraId="5556E5C3" w14:textId="77777777" w:rsidR="00F925DD" w:rsidRDefault="00F925DD">
            <w:pPr>
              <w:rPr>
                <w:rFonts w:ascii="Times New Roman" w:hAnsi="Times New Roman"/>
                <w:sz w:val="20"/>
                <w:szCs w:val="20"/>
              </w:rPr>
            </w:pPr>
          </w:p>
        </w:tc>
        <w:tc>
          <w:tcPr>
            <w:tcW w:w="50" w:type="pct"/>
            <w:shd w:val="clear" w:color="auto" w:fill="auto"/>
            <w:vAlign w:val="center"/>
          </w:tcPr>
          <w:p w14:paraId="5556E5C4" w14:textId="77777777" w:rsidR="00F925DD" w:rsidRDefault="00F925DD">
            <w:pPr>
              <w:rPr>
                <w:rFonts w:ascii="Times New Roman" w:hAnsi="Times New Roman"/>
                <w:sz w:val="20"/>
                <w:szCs w:val="20"/>
              </w:rPr>
            </w:pPr>
          </w:p>
        </w:tc>
        <w:tc>
          <w:tcPr>
            <w:tcW w:w="50" w:type="pct"/>
            <w:shd w:val="clear" w:color="auto" w:fill="auto"/>
            <w:vAlign w:val="center"/>
          </w:tcPr>
          <w:p w14:paraId="5556E5C5" w14:textId="77777777" w:rsidR="00F925DD" w:rsidRDefault="00F925DD">
            <w:pPr>
              <w:rPr>
                <w:rFonts w:ascii="Times New Roman" w:hAnsi="Times New Roman"/>
                <w:sz w:val="20"/>
                <w:szCs w:val="20"/>
              </w:rPr>
            </w:pPr>
          </w:p>
        </w:tc>
        <w:tc>
          <w:tcPr>
            <w:tcW w:w="50" w:type="pct"/>
            <w:shd w:val="clear" w:color="auto" w:fill="auto"/>
            <w:vAlign w:val="center"/>
          </w:tcPr>
          <w:p w14:paraId="5556E5C6" w14:textId="77777777" w:rsidR="00F925DD" w:rsidRDefault="00F925DD">
            <w:pPr>
              <w:rPr>
                <w:rFonts w:ascii="Times New Roman" w:hAnsi="Times New Roman"/>
                <w:sz w:val="20"/>
                <w:szCs w:val="20"/>
              </w:rPr>
            </w:pPr>
          </w:p>
        </w:tc>
        <w:tc>
          <w:tcPr>
            <w:tcW w:w="350" w:type="pct"/>
            <w:shd w:val="clear" w:color="auto" w:fill="auto"/>
            <w:vAlign w:val="center"/>
          </w:tcPr>
          <w:p w14:paraId="5556E5C7" w14:textId="77777777" w:rsidR="00F925DD" w:rsidRDefault="00F925DD">
            <w:pPr>
              <w:rPr>
                <w:rFonts w:ascii="Times New Roman" w:hAnsi="Times New Roman"/>
                <w:sz w:val="20"/>
                <w:szCs w:val="20"/>
              </w:rPr>
            </w:pPr>
          </w:p>
        </w:tc>
        <w:tc>
          <w:tcPr>
            <w:tcW w:w="50" w:type="pct"/>
            <w:shd w:val="clear" w:color="auto" w:fill="auto"/>
            <w:vAlign w:val="center"/>
          </w:tcPr>
          <w:p w14:paraId="5556E5C8" w14:textId="77777777" w:rsidR="00F925DD" w:rsidRDefault="00F925DD">
            <w:pPr>
              <w:rPr>
                <w:rFonts w:ascii="Times New Roman" w:hAnsi="Times New Roman"/>
                <w:sz w:val="20"/>
                <w:szCs w:val="20"/>
              </w:rPr>
            </w:pPr>
          </w:p>
        </w:tc>
        <w:tc>
          <w:tcPr>
            <w:tcW w:w="50" w:type="pct"/>
            <w:shd w:val="clear" w:color="auto" w:fill="auto"/>
            <w:vAlign w:val="center"/>
          </w:tcPr>
          <w:p w14:paraId="5556E5C9" w14:textId="77777777" w:rsidR="00F925DD" w:rsidRDefault="00F925DD">
            <w:pPr>
              <w:rPr>
                <w:rFonts w:ascii="Times New Roman" w:hAnsi="Times New Roman"/>
                <w:sz w:val="20"/>
                <w:szCs w:val="20"/>
              </w:rPr>
            </w:pPr>
          </w:p>
        </w:tc>
        <w:tc>
          <w:tcPr>
            <w:tcW w:w="50" w:type="pct"/>
            <w:shd w:val="clear" w:color="auto" w:fill="auto"/>
            <w:vAlign w:val="center"/>
          </w:tcPr>
          <w:p w14:paraId="5556E5CA" w14:textId="77777777" w:rsidR="00F925DD" w:rsidRDefault="00F925DD">
            <w:pPr>
              <w:rPr>
                <w:rFonts w:ascii="Times New Roman" w:hAnsi="Times New Roman"/>
                <w:sz w:val="20"/>
                <w:szCs w:val="20"/>
              </w:rPr>
            </w:pPr>
          </w:p>
        </w:tc>
        <w:tc>
          <w:tcPr>
            <w:tcW w:w="300" w:type="pct"/>
            <w:shd w:val="clear" w:color="auto" w:fill="auto"/>
            <w:vAlign w:val="center"/>
          </w:tcPr>
          <w:p w14:paraId="5556E5CB" w14:textId="77777777" w:rsidR="00F925DD" w:rsidRDefault="00F925DD">
            <w:pPr>
              <w:rPr>
                <w:rFonts w:ascii="Times New Roman" w:hAnsi="Times New Roman"/>
                <w:sz w:val="20"/>
                <w:szCs w:val="20"/>
              </w:rPr>
            </w:pPr>
          </w:p>
        </w:tc>
        <w:tc>
          <w:tcPr>
            <w:tcW w:w="50" w:type="pct"/>
            <w:shd w:val="clear" w:color="auto" w:fill="auto"/>
            <w:vAlign w:val="center"/>
          </w:tcPr>
          <w:p w14:paraId="5556E5CC" w14:textId="77777777" w:rsidR="00F925DD" w:rsidRDefault="00F925DD">
            <w:pPr>
              <w:rPr>
                <w:rFonts w:ascii="Times New Roman" w:hAnsi="Times New Roman"/>
                <w:sz w:val="20"/>
                <w:szCs w:val="20"/>
              </w:rPr>
            </w:pPr>
          </w:p>
        </w:tc>
        <w:tc>
          <w:tcPr>
            <w:tcW w:w="50" w:type="pct"/>
            <w:shd w:val="clear" w:color="auto" w:fill="auto"/>
            <w:vAlign w:val="center"/>
          </w:tcPr>
          <w:p w14:paraId="5556E5CD" w14:textId="77777777" w:rsidR="00F925DD" w:rsidRDefault="00F925DD">
            <w:pPr>
              <w:rPr>
                <w:rFonts w:ascii="Times New Roman" w:hAnsi="Times New Roman"/>
                <w:sz w:val="20"/>
                <w:szCs w:val="20"/>
              </w:rPr>
            </w:pPr>
          </w:p>
        </w:tc>
        <w:tc>
          <w:tcPr>
            <w:tcW w:w="50" w:type="pct"/>
            <w:shd w:val="clear" w:color="auto" w:fill="auto"/>
            <w:vAlign w:val="center"/>
          </w:tcPr>
          <w:p w14:paraId="5556E5CE" w14:textId="77777777" w:rsidR="00F925DD" w:rsidRDefault="00F925DD">
            <w:pPr>
              <w:rPr>
                <w:rFonts w:ascii="Times New Roman" w:hAnsi="Times New Roman"/>
                <w:sz w:val="20"/>
                <w:szCs w:val="20"/>
              </w:rPr>
            </w:pPr>
          </w:p>
        </w:tc>
        <w:tc>
          <w:tcPr>
            <w:tcW w:w="300" w:type="pct"/>
            <w:shd w:val="clear" w:color="auto" w:fill="auto"/>
            <w:vAlign w:val="center"/>
          </w:tcPr>
          <w:p w14:paraId="5556E5CF" w14:textId="77777777" w:rsidR="00F925DD" w:rsidRDefault="00F925DD">
            <w:pPr>
              <w:rPr>
                <w:rFonts w:ascii="Times New Roman" w:hAnsi="Times New Roman"/>
                <w:sz w:val="20"/>
                <w:szCs w:val="20"/>
              </w:rPr>
            </w:pPr>
          </w:p>
        </w:tc>
        <w:tc>
          <w:tcPr>
            <w:tcW w:w="50" w:type="pct"/>
            <w:shd w:val="clear" w:color="auto" w:fill="auto"/>
            <w:vAlign w:val="center"/>
          </w:tcPr>
          <w:p w14:paraId="5556E5D0" w14:textId="77777777" w:rsidR="00F925DD" w:rsidRDefault="00F925DD">
            <w:pPr>
              <w:rPr>
                <w:rFonts w:ascii="Times New Roman" w:hAnsi="Times New Roman"/>
                <w:sz w:val="20"/>
                <w:szCs w:val="20"/>
              </w:rPr>
            </w:pPr>
          </w:p>
        </w:tc>
        <w:tc>
          <w:tcPr>
            <w:tcW w:w="50" w:type="pct"/>
            <w:shd w:val="clear" w:color="auto" w:fill="auto"/>
            <w:vAlign w:val="center"/>
          </w:tcPr>
          <w:p w14:paraId="5556E5D1" w14:textId="77777777" w:rsidR="00F925DD" w:rsidRDefault="00F925DD">
            <w:pPr>
              <w:rPr>
                <w:rFonts w:ascii="Times New Roman" w:hAnsi="Times New Roman"/>
                <w:sz w:val="20"/>
                <w:szCs w:val="20"/>
              </w:rPr>
            </w:pPr>
          </w:p>
        </w:tc>
        <w:tc>
          <w:tcPr>
            <w:tcW w:w="50" w:type="pct"/>
            <w:shd w:val="clear" w:color="auto" w:fill="auto"/>
            <w:vAlign w:val="center"/>
          </w:tcPr>
          <w:p w14:paraId="5556E5D2" w14:textId="77777777" w:rsidR="00F925DD" w:rsidRDefault="00F925DD">
            <w:pPr>
              <w:rPr>
                <w:rFonts w:ascii="Times New Roman" w:hAnsi="Times New Roman"/>
                <w:sz w:val="20"/>
                <w:szCs w:val="20"/>
              </w:rPr>
            </w:pPr>
          </w:p>
        </w:tc>
        <w:tc>
          <w:tcPr>
            <w:tcW w:w="350" w:type="pct"/>
            <w:shd w:val="clear" w:color="auto" w:fill="auto"/>
            <w:vAlign w:val="center"/>
          </w:tcPr>
          <w:p w14:paraId="5556E5D3" w14:textId="77777777" w:rsidR="00F925DD" w:rsidRDefault="00F925DD">
            <w:pPr>
              <w:rPr>
                <w:rFonts w:ascii="Times New Roman" w:hAnsi="Times New Roman"/>
                <w:sz w:val="20"/>
                <w:szCs w:val="20"/>
              </w:rPr>
            </w:pPr>
          </w:p>
        </w:tc>
        <w:tc>
          <w:tcPr>
            <w:tcW w:w="50" w:type="pct"/>
            <w:shd w:val="clear" w:color="auto" w:fill="auto"/>
            <w:vAlign w:val="center"/>
          </w:tcPr>
          <w:p w14:paraId="5556E5D4" w14:textId="77777777" w:rsidR="00F925DD" w:rsidRDefault="00F925DD">
            <w:pPr>
              <w:rPr>
                <w:rFonts w:ascii="Times New Roman" w:hAnsi="Times New Roman"/>
                <w:sz w:val="20"/>
                <w:szCs w:val="20"/>
              </w:rPr>
            </w:pPr>
          </w:p>
        </w:tc>
        <w:tc>
          <w:tcPr>
            <w:tcW w:w="50" w:type="pct"/>
            <w:shd w:val="clear" w:color="auto" w:fill="auto"/>
            <w:vAlign w:val="center"/>
          </w:tcPr>
          <w:p w14:paraId="5556E5D5" w14:textId="77777777" w:rsidR="00F925DD" w:rsidRDefault="00F925DD">
            <w:pPr>
              <w:rPr>
                <w:rFonts w:ascii="Times New Roman" w:hAnsi="Times New Roman"/>
                <w:sz w:val="20"/>
                <w:szCs w:val="20"/>
              </w:rPr>
            </w:pPr>
          </w:p>
        </w:tc>
        <w:tc>
          <w:tcPr>
            <w:tcW w:w="50" w:type="pct"/>
            <w:shd w:val="clear" w:color="auto" w:fill="auto"/>
            <w:vAlign w:val="center"/>
          </w:tcPr>
          <w:p w14:paraId="5556E5D6" w14:textId="77777777" w:rsidR="00F925DD" w:rsidRDefault="00F925DD">
            <w:pPr>
              <w:rPr>
                <w:rFonts w:ascii="Times New Roman" w:hAnsi="Times New Roman"/>
                <w:sz w:val="20"/>
                <w:szCs w:val="20"/>
              </w:rPr>
            </w:pPr>
          </w:p>
        </w:tc>
        <w:tc>
          <w:tcPr>
            <w:tcW w:w="350" w:type="pct"/>
            <w:shd w:val="clear" w:color="auto" w:fill="auto"/>
            <w:vAlign w:val="center"/>
          </w:tcPr>
          <w:p w14:paraId="5556E5D7" w14:textId="77777777" w:rsidR="00F925DD" w:rsidRDefault="00F925DD">
            <w:pPr>
              <w:rPr>
                <w:rFonts w:ascii="Times New Roman" w:hAnsi="Times New Roman"/>
                <w:sz w:val="20"/>
                <w:szCs w:val="20"/>
              </w:rPr>
            </w:pPr>
          </w:p>
        </w:tc>
        <w:tc>
          <w:tcPr>
            <w:tcW w:w="50" w:type="pct"/>
            <w:shd w:val="clear" w:color="auto" w:fill="auto"/>
            <w:vAlign w:val="center"/>
          </w:tcPr>
          <w:p w14:paraId="5556E5D8" w14:textId="77777777" w:rsidR="00F925DD" w:rsidRDefault="00F925DD">
            <w:pPr>
              <w:rPr>
                <w:rFonts w:ascii="Times New Roman" w:hAnsi="Times New Roman"/>
                <w:sz w:val="20"/>
                <w:szCs w:val="20"/>
              </w:rPr>
            </w:pPr>
          </w:p>
        </w:tc>
        <w:tc>
          <w:tcPr>
            <w:tcW w:w="50" w:type="pct"/>
            <w:shd w:val="clear" w:color="auto" w:fill="auto"/>
            <w:vAlign w:val="center"/>
          </w:tcPr>
          <w:p w14:paraId="5556E5D9" w14:textId="77777777" w:rsidR="00F925DD" w:rsidRDefault="00F925DD">
            <w:pPr>
              <w:rPr>
                <w:rFonts w:ascii="Times New Roman" w:hAnsi="Times New Roman"/>
                <w:sz w:val="20"/>
                <w:szCs w:val="20"/>
              </w:rPr>
            </w:pPr>
          </w:p>
        </w:tc>
        <w:tc>
          <w:tcPr>
            <w:tcW w:w="50" w:type="pct"/>
            <w:shd w:val="clear" w:color="auto" w:fill="auto"/>
            <w:vAlign w:val="center"/>
          </w:tcPr>
          <w:p w14:paraId="5556E5DA" w14:textId="77777777" w:rsidR="00F925DD" w:rsidRDefault="00F925DD">
            <w:pPr>
              <w:rPr>
                <w:rFonts w:ascii="Times New Roman" w:hAnsi="Times New Roman"/>
                <w:sz w:val="20"/>
                <w:szCs w:val="20"/>
              </w:rPr>
            </w:pPr>
          </w:p>
        </w:tc>
        <w:tc>
          <w:tcPr>
            <w:tcW w:w="300" w:type="pct"/>
            <w:shd w:val="clear" w:color="auto" w:fill="auto"/>
            <w:vAlign w:val="center"/>
          </w:tcPr>
          <w:p w14:paraId="5556E5DB" w14:textId="77777777" w:rsidR="00F925DD" w:rsidRDefault="00F925DD">
            <w:pPr>
              <w:rPr>
                <w:rFonts w:ascii="Times New Roman" w:hAnsi="Times New Roman"/>
                <w:sz w:val="20"/>
                <w:szCs w:val="20"/>
              </w:rPr>
            </w:pPr>
          </w:p>
        </w:tc>
        <w:tc>
          <w:tcPr>
            <w:tcW w:w="50" w:type="pct"/>
            <w:shd w:val="clear" w:color="auto" w:fill="auto"/>
            <w:vAlign w:val="center"/>
          </w:tcPr>
          <w:p w14:paraId="5556E5DC" w14:textId="77777777" w:rsidR="00F925DD" w:rsidRDefault="00F925DD">
            <w:pPr>
              <w:rPr>
                <w:rFonts w:ascii="Times New Roman" w:hAnsi="Times New Roman"/>
                <w:sz w:val="20"/>
                <w:szCs w:val="20"/>
              </w:rPr>
            </w:pPr>
          </w:p>
        </w:tc>
        <w:tc>
          <w:tcPr>
            <w:tcW w:w="50" w:type="pct"/>
            <w:shd w:val="clear" w:color="auto" w:fill="auto"/>
            <w:vAlign w:val="center"/>
          </w:tcPr>
          <w:p w14:paraId="5556E5DD" w14:textId="77777777" w:rsidR="00F925DD" w:rsidRDefault="00F925DD">
            <w:pPr>
              <w:rPr>
                <w:rFonts w:ascii="Times New Roman" w:hAnsi="Times New Roman"/>
                <w:sz w:val="20"/>
                <w:szCs w:val="20"/>
              </w:rPr>
            </w:pPr>
          </w:p>
        </w:tc>
        <w:tc>
          <w:tcPr>
            <w:tcW w:w="50" w:type="pct"/>
            <w:shd w:val="clear" w:color="auto" w:fill="auto"/>
            <w:vAlign w:val="center"/>
          </w:tcPr>
          <w:p w14:paraId="5556E5DE" w14:textId="77777777" w:rsidR="00F925DD" w:rsidRDefault="00F925DD">
            <w:pPr>
              <w:rPr>
                <w:rFonts w:ascii="Times New Roman" w:hAnsi="Times New Roman"/>
                <w:sz w:val="20"/>
                <w:szCs w:val="20"/>
              </w:rPr>
            </w:pPr>
          </w:p>
        </w:tc>
        <w:tc>
          <w:tcPr>
            <w:tcW w:w="300" w:type="pct"/>
            <w:shd w:val="clear" w:color="auto" w:fill="auto"/>
            <w:vAlign w:val="center"/>
          </w:tcPr>
          <w:p w14:paraId="5556E5DF" w14:textId="77777777" w:rsidR="00F925DD" w:rsidRDefault="00F925DD">
            <w:pPr>
              <w:rPr>
                <w:rFonts w:ascii="Times New Roman" w:hAnsi="Times New Roman"/>
                <w:sz w:val="20"/>
                <w:szCs w:val="20"/>
              </w:rPr>
            </w:pPr>
          </w:p>
        </w:tc>
        <w:tc>
          <w:tcPr>
            <w:tcW w:w="50" w:type="pct"/>
            <w:shd w:val="clear" w:color="auto" w:fill="auto"/>
            <w:vAlign w:val="center"/>
          </w:tcPr>
          <w:p w14:paraId="5556E5E0" w14:textId="77777777" w:rsidR="00F925DD" w:rsidRDefault="00F925DD">
            <w:pPr>
              <w:rPr>
                <w:rFonts w:ascii="Times New Roman" w:hAnsi="Times New Roman"/>
                <w:sz w:val="20"/>
                <w:szCs w:val="20"/>
              </w:rPr>
            </w:pPr>
          </w:p>
        </w:tc>
      </w:tr>
      <w:tr w:rsidR="00F925DD" w14:paraId="5556E5E6" w14:textId="77777777">
        <w:tc>
          <w:tcPr>
            <w:tcW w:w="0" w:type="auto"/>
            <w:gridSpan w:val="5"/>
            <w:shd w:val="clear" w:color="auto" w:fill="auto"/>
            <w:tcMar>
              <w:top w:w="40" w:type="dxa"/>
              <w:left w:w="40" w:type="dxa"/>
              <w:bottom w:w="40" w:type="dxa"/>
              <w:right w:w="40" w:type="dxa"/>
            </w:tcMar>
            <w:vAlign w:val="bottom"/>
          </w:tcPr>
          <w:p w14:paraId="5556E5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E5E3"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State Street Corporation</w:t>
            </w:r>
          </w:p>
        </w:tc>
        <w:tc>
          <w:tcPr>
            <w:tcW w:w="0" w:type="auto"/>
            <w:shd w:val="clear" w:color="auto" w:fill="auto"/>
            <w:tcMar>
              <w:top w:w="40" w:type="dxa"/>
              <w:left w:w="40" w:type="dxa"/>
              <w:bottom w:w="40" w:type="dxa"/>
              <w:right w:w="40" w:type="dxa"/>
            </w:tcMar>
            <w:vAlign w:val="bottom"/>
          </w:tcPr>
          <w:p w14:paraId="5556E5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5556E5E5" w14:textId="77777777" w:rsidR="00F925DD" w:rsidRDefault="00E705D7">
            <w:pPr>
              <w:jc w:val="center"/>
              <w:textAlignment w:val="bottom"/>
              <w:rPr>
                <w:rFonts w:ascii="Times New Roman" w:hAnsi="Times New Roman"/>
                <w:sz w:val="12"/>
                <w:szCs w:val="12"/>
              </w:rPr>
            </w:pPr>
            <w:r>
              <w:rPr>
                <w:rFonts w:ascii="Arial" w:eastAsia="宋体" w:hAnsi="Arial" w:cs="Arial"/>
                <w:b/>
                <w:bCs/>
                <w:sz w:val="12"/>
                <w:szCs w:val="12"/>
              </w:rPr>
              <w:t>State Street Bank</w:t>
            </w:r>
          </w:p>
        </w:tc>
      </w:tr>
      <w:tr w:rsidR="00F925DD" w14:paraId="5556E5F7" w14:textId="77777777">
        <w:tc>
          <w:tcPr>
            <w:tcW w:w="0" w:type="auto"/>
            <w:gridSpan w:val="5"/>
            <w:shd w:val="clear" w:color="auto" w:fill="auto"/>
            <w:tcMar>
              <w:top w:w="40" w:type="dxa"/>
              <w:left w:w="40" w:type="dxa"/>
              <w:bottom w:w="40" w:type="dxa"/>
              <w:right w:w="40" w:type="dxa"/>
            </w:tcMar>
            <w:vAlign w:val="bottom"/>
          </w:tcPr>
          <w:p w14:paraId="5556E5E7" w14:textId="77777777" w:rsidR="00F925DD" w:rsidRDefault="00E705D7">
            <w:pPr>
              <w:textAlignment w:val="bottom"/>
              <w:rPr>
                <w:rFonts w:ascii="Times New Roman" w:hAnsi="Times New Roman"/>
                <w:sz w:val="11"/>
                <w:szCs w:val="11"/>
              </w:rPr>
            </w:pPr>
            <w:r>
              <w:rPr>
                <w:rFonts w:ascii="Arial" w:eastAsia="宋体" w:hAnsi="Arial" w:cs="Arial"/>
                <w:b/>
                <w:bCs/>
                <w:sz w:val="11"/>
                <w:szCs w:val="11"/>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5E8"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 xml:space="preserve">Basel III Advanced Approaches </w:t>
            </w:r>
            <w:r>
              <w:rPr>
                <w:rFonts w:ascii="Arial" w:eastAsia="宋体" w:hAnsi="Arial" w:cs="Arial"/>
                <w:b/>
                <w:bCs/>
                <w:sz w:val="11"/>
                <w:szCs w:val="11"/>
              </w:rPr>
              <w:t>December 31, 2019(1) </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5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5EA"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Standardized Approach December 31, 2019(1)</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5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5EC"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2018(1)</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5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5EE"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Standardized Approach December 31, 2018(1)</w:t>
            </w:r>
          </w:p>
        </w:tc>
        <w:tc>
          <w:tcPr>
            <w:tcW w:w="0" w:type="auto"/>
            <w:shd w:val="clear" w:color="auto" w:fill="auto"/>
            <w:tcMar>
              <w:top w:w="40" w:type="dxa"/>
              <w:left w:w="40" w:type="dxa"/>
              <w:bottom w:w="40" w:type="dxa"/>
              <w:right w:w="40" w:type="dxa"/>
            </w:tcMar>
            <w:vAlign w:val="bottom"/>
          </w:tcPr>
          <w:p w14:paraId="5556E5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5F0"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2019(1) </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5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5F2"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 xml:space="preserve">Basel III </w:t>
            </w:r>
            <w:r>
              <w:rPr>
                <w:rFonts w:ascii="Arial" w:eastAsia="宋体" w:hAnsi="Arial" w:cs="Arial"/>
                <w:b/>
                <w:bCs/>
                <w:sz w:val="11"/>
                <w:szCs w:val="11"/>
              </w:rPr>
              <w:t>Standardized Approach December 31, 2019(1)</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5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5F4"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Advanced Approaches December 31, 2018(1)</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5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5F6" w14:textId="77777777" w:rsidR="00F925DD" w:rsidRDefault="00E705D7">
            <w:pPr>
              <w:jc w:val="center"/>
              <w:textAlignment w:val="bottom"/>
              <w:rPr>
                <w:rFonts w:ascii="Times New Roman" w:hAnsi="Times New Roman"/>
                <w:sz w:val="11"/>
                <w:szCs w:val="11"/>
              </w:rPr>
            </w:pPr>
            <w:r>
              <w:rPr>
                <w:rFonts w:ascii="Arial" w:eastAsia="宋体" w:hAnsi="Arial" w:cs="Arial"/>
                <w:b/>
                <w:bCs/>
                <w:sz w:val="11"/>
                <w:szCs w:val="11"/>
              </w:rPr>
              <w:t>Basel III Standardized Approach December 31, 2018(1)</w:t>
            </w:r>
          </w:p>
        </w:tc>
      </w:tr>
      <w:tr w:rsidR="00F925DD" w14:paraId="5556E608" w14:textId="77777777">
        <w:tc>
          <w:tcPr>
            <w:tcW w:w="0" w:type="auto"/>
            <w:gridSpan w:val="5"/>
            <w:shd w:val="clear" w:color="auto" w:fill="auto"/>
            <w:tcMar>
              <w:top w:w="40" w:type="dxa"/>
              <w:left w:w="40" w:type="dxa"/>
              <w:bottom w:w="40" w:type="dxa"/>
              <w:right w:w="40" w:type="dxa"/>
            </w:tcMar>
            <w:vAlign w:val="bottom"/>
          </w:tcPr>
          <w:p w14:paraId="5556E5F8"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Common shareholders' equity:</w:t>
            </w:r>
          </w:p>
        </w:tc>
        <w:tc>
          <w:tcPr>
            <w:tcW w:w="0" w:type="auto"/>
            <w:gridSpan w:val="3"/>
            <w:shd w:val="clear" w:color="auto" w:fill="auto"/>
            <w:tcMar>
              <w:top w:w="40" w:type="dxa"/>
              <w:left w:w="40" w:type="dxa"/>
              <w:bottom w:w="40" w:type="dxa"/>
              <w:right w:w="40" w:type="dxa"/>
            </w:tcMar>
            <w:vAlign w:val="bottom"/>
          </w:tcPr>
          <w:p w14:paraId="5556E5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5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5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5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5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E629" w14:textId="77777777">
        <w:tc>
          <w:tcPr>
            <w:tcW w:w="0" w:type="auto"/>
            <w:gridSpan w:val="5"/>
            <w:shd w:val="clear" w:color="auto" w:fill="CCEEFF"/>
            <w:tcMar>
              <w:top w:w="40" w:type="dxa"/>
              <w:left w:w="400" w:type="dxa"/>
              <w:bottom w:w="40" w:type="dxa"/>
              <w:right w:w="40" w:type="dxa"/>
            </w:tcMar>
            <w:vAlign w:val="bottom"/>
          </w:tcPr>
          <w:p w14:paraId="5556E609" w14:textId="77777777" w:rsidR="00F925DD" w:rsidRDefault="00E705D7">
            <w:pPr>
              <w:textAlignment w:val="bottom"/>
              <w:rPr>
                <w:rFonts w:ascii="Times New Roman" w:hAnsi="Times New Roman"/>
                <w:sz w:val="12"/>
                <w:szCs w:val="12"/>
              </w:rPr>
            </w:pPr>
            <w:r>
              <w:rPr>
                <w:rFonts w:ascii="Arial" w:eastAsia="宋体" w:hAnsi="Arial" w:cs="Arial"/>
                <w:sz w:val="12"/>
                <w:szCs w:val="12"/>
              </w:rPr>
              <w:t>Common stock and related surplus</w:t>
            </w:r>
          </w:p>
        </w:tc>
        <w:tc>
          <w:tcPr>
            <w:tcW w:w="0" w:type="auto"/>
            <w:shd w:val="clear" w:color="auto" w:fill="CCEEFF"/>
            <w:tcMar>
              <w:top w:w="40" w:type="dxa"/>
              <w:left w:w="40" w:type="dxa"/>
              <w:bottom w:w="40" w:type="dxa"/>
            </w:tcMar>
            <w:vAlign w:val="bottom"/>
          </w:tcPr>
          <w:p w14:paraId="5556E60A"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5556E60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10,636</w:t>
            </w:r>
          </w:p>
        </w:tc>
        <w:tc>
          <w:tcPr>
            <w:tcW w:w="0" w:type="auto"/>
            <w:shd w:val="clear" w:color="auto" w:fill="CCEEFF"/>
            <w:vAlign w:val="bottom"/>
          </w:tcPr>
          <w:p w14:paraId="5556E60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60E"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5556E60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10,636</w:t>
            </w:r>
          </w:p>
        </w:tc>
        <w:tc>
          <w:tcPr>
            <w:tcW w:w="0" w:type="auto"/>
            <w:shd w:val="clear" w:color="auto" w:fill="CCEEFF"/>
            <w:vAlign w:val="bottom"/>
          </w:tcPr>
          <w:p w14:paraId="5556E6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612"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5556E61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10,565</w:t>
            </w:r>
          </w:p>
        </w:tc>
        <w:tc>
          <w:tcPr>
            <w:tcW w:w="0" w:type="auto"/>
            <w:shd w:val="clear" w:color="auto" w:fill="CCEEFF"/>
            <w:vAlign w:val="bottom"/>
          </w:tcPr>
          <w:p w14:paraId="5556E61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616"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5556E61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10,565</w:t>
            </w:r>
          </w:p>
        </w:tc>
        <w:tc>
          <w:tcPr>
            <w:tcW w:w="0" w:type="auto"/>
            <w:shd w:val="clear" w:color="auto" w:fill="CCEEFF"/>
            <w:vAlign w:val="bottom"/>
          </w:tcPr>
          <w:p w14:paraId="5556E6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61A"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5556E61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12,893</w:t>
            </w:r>
          </w:p>
        </w:tc>
        <w:tc>
          <w:tcPr>
            <w:tcW w:w="0" w:type="auto"/>
            <w:shd w:val="clear" w:color="auto" w:fill="CCEEFF"/>
            <w:vAlign w:val="bottom"/>
          </w:tcPr>
          <w:p w14:paraId="5556E6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61E"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bottom w:w="40" w:type="dxa"/>
            </w:tcMar>
            <w:vAlign w:val="bottom"/>
          </w:tcPr>
          <w:p w14:paraId="5556E61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12,893</w:t>
            </w:r>
          </w:p>
        </w:tc>
        <w:tc>
          <w:tcPr>
            <w:tcW w:w="0" w:type="auto"/>
            <w:shd w:val="clear" w:color="auto" w:fill="CCEEFF"/>
            <w:vAlign w:val="bottom"/>
          </w:tcPr>
          <w:p w14:paraId="5556E62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622"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5556E62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12,894</w:t>
            </w:r>
          </w:p>
        </w:tc>
        <w:tc>
          <w:tcPr>
            <w:tcW w:w="0" w:type="auto"/>
            <w:shd w:val="clear" w:color="auto" w:fill="CCEEFF"/>
            <w:vAlign w:val="bottom"/>
          </w:tcPr>
          <w:p w14:paraId="5556E62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626"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bottom w:w="40" w:type="dxa"/>
            </w:tcMar>
            <w:vAlign w:val="bottom"/>
          </w:tcPr>
          <w:p w14:paraId="5556E62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12,894</w:t>
            </w:r>
          </w:p>
        </w:tc>
        <w:tc>
          <w:tcPr>
            <w:tcW w:w="0" w:type="auto"/>
            <w:shd w:val="clear" w:color="auto" w:fill="CCEEFF"/>
            <w:vAlign w:val="bottom"/>
          </w:tcPr>
          <w:p w14:paraId="5556E628" w14:textId="77777777" w:rsidR="00F925DD" w:rsidRDefault="00F925DD">
            <w:pPr>
              <w:textAlignment w:val="bottom"/>
              <w:rPr>
                <w:rFonts w:ascii="Times New Roman" w:hAnsi="Times New Roman"/>
                <w:sz w:val="20"/>
                <w:szCs w:val="20"/>
              </w:rPr>
            </w:pPr>
          </w:p>
        </w:tc>
      </w:tr>
      <w:tr w:rsidR="00F925DD" w14:paraId="5556E642" w14:textId="77777777">
        <w:tc>
          <w:tcPr>
            <w:tcW w:w="0" w:type="auto"/>
            <w:gridSpan w:val="5"/>
            <w:shd w:val="clear" w:color="auto" w:fill="auto"/>
            <w:tcMar>
              <w:top w:w="40" w:type="dxa"/>
              <w:left w:w="400" w:type="dxa"/>
              <w:bottom w:w="40" w:type="dxa"/>
              <w:right w:w="40" w:type="dxa"/>
            </w:tcMar>
            <w:vAlign w:val="bottom"/>
          </w:tcPr>
          <w:p w14:paraId="5556E62A" w14:textId="77777777" w:rsidR="00F925DD" w:rsidRDefault="00E705D7">
            <w:pPr>
              <w:textAlignment w:val="bottom"/>
              <w:rPr>
                <w:rFonts w:ascii="Times New Roman" w:hAnsi="Times New Roman"/>
                <w:sz w:val="12"/>
                <w:szCs w:val="12"/>
              </w:rPr>
            </w:pPr>
            <w:r>
              <w:rPr>
                <w:rFonts w:ascii="Arial" w:eastAsia="宋体" w:hAnsi="Arial" w:cs="Arial"/>
                <w:sz w:val="12"/>
                <w:szCs w:val="12"/>
              </w:rPr>
              <w:t>Retained earnings</w:t>
            </w:r>
          </w:p>
        </w:tc>
        <w:tc>
          <w:tcPr>
            <w:tcW w:w="0" w:type="auto"/>
            <w:gridSpan w:val="2"/>
            <w:shd w:val="clear" w:color="auto" w:fill="auto"/>
            <w:tcMar>
              <w:top w:w="40" w:type="dxa"/>
              <w:left w:w="40" w:type="dxa"/>
              <w:bottom w:w="40" w:type="dxa"/>
            </w:tcMar>
            <w:vAlign w:val="bottom"/>
          </w:tcPr>
          <w:p w14:paraId="5556E62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21,918</w:t>
            </w:r>
          </w:p>
        </w:tc>
        <w:tc>
          <w:tcPr>
            <w:tcW w:w="0" w:type="auto"/>
            <w:shd w:val="clear" w:color="auto" w:fill="auto"/>
            <w:vAlign w:val="bottom"/>
          </w:tcPr>
          <w:p w14:paraId="5556E62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2E"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21,918</w:t>
            </w:r>
          </w:p>
        </w:tc>
        <w:tc>
          <w:tcPr>
            <w:tcW w:w="0" w:type="auto"/>
            <w:shd w:val="clear" w:color="auto" w:fill="auto"/>
            <w:vAlign w:val="bottom"/>
          </w:tcPr>
          <w:p w14:paraId="5556E62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3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20,606</w:t>
            </w:r>
          </w:p>
        </w:tc>
        <w:tc>
          <w:tcPr>
            <w:tcW w:w="0" w:type="auto"/>
            <w:shd w:val="clear" w:color="auto" w:fill="auto"/>
            <w:vAlign w:val="bottom"/>
          </w:tcPr>
          <w:p w14:paraId="5556E63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34"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20,606</w:t>
            </w:r>
          </w:p>
        </w:tc>
        <w:tc>
          <w:tcPr>
            <w:tcW w:w="0" w:type="auto"/>
            <w:shd w:val="clear" w:color="auto" w:fill="auto"/>
            <w:vAlign w:val="bottom"/>
          </w:tcPr>
          <w:p w14:paraId="5556E63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37"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13,218</w:t>
            </w:r>
          </w:p>
        </w:tc>
        <w:tc>
          <w:tcPr>
            <w:tcW w:w="0" w:type="auto"/>
            <w:shd w:val="clear" w:color="auto" w:fill="auto"/>
            <w:vAlign w:val="bottom"/>
          </w:tcPr>
          <w:p w14:paraId="5556E63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3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13,218</w:t>
            </w:r>
          </w:p>
        </w:tc>
        <w:tc>
          <w:tcPr>
            <w:tcW w:w="0" w:type="auto"/>
            <w:shd w:val="clear" w:color="auto" w:fill="auto"/>
            <w:vAlign w:val="bottom"/>
          </w:tcPr>
          <w:p w14:paraId="5556E63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3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14,261</w:t>
            </w:r>
          </w:p>
        </w:tc>
        <w:tc>
          <w:tcPr>
            <w:tcW w:w="0" w:type="auto"/>
            <w:shd w:val="clear" w:color="auto" w:fill="auto"/>
            <w:vAlign w:val="bottom"/>
          </w:tcPr>
          <w:p w14:paraId="5556E63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40"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14,261</w:t>
            </w:r>
          </w:p>
        </w:tc>
        <w:tc>
          <w:tcPr>
            <w:tcW w:w="0" w:type="auto"/>
            <w:shd w:val="clear" w:color="auto" w:fill="auto"/>
            <w:vAlign w:val="bottom"/>
          </w:tcPr>
          <w:p w14:paraId="5556E641" w14:textId="77777777" w:rsidR="00F925DD" w:rsidRDefault="00F925DD">
            <w:pPr>
              <w:textAlignment w:val="bottom"/>
              <w:rPr>
                <w:rFonts w:ascii="Times New Roman" w:hAnsi="Times New Roman"/>
                <w:sz w:val="20"/>
                <w:szCs w:val="20"/>
              </w:rPr>
            </w:pPr>
          </w:p>
        </w:tc>
      </w:tr>
      <w:tr w:rsidR="00F925DD" w14:paraId="5556E65B" w14:textId="77777777">
        <w:tc>
          <w:tcPr>
            <w:tcW w:w="0" w:type="auto"/>
            <w:gridSpan w:val="5"/>
            <w:shd w:val="clear" w:color="auto" w:fill="CCEEFF"/>
            <w:tcMar>
              <w:top w:w="40" w:type="dxa"/>
              <w:left w:w="400" w:type="dxa"/>
              <w:bottom w:w="40" w:type="dxa"/>
              <w:right w:w="40" w:type="dxa"/>
            </w:tcMar>
            <w:vAlign w:val="bottom"/>
          </w:tcPr>
          <w:p w14:paraId="5556E643" w14:textId="77777777" w:rsidR="00F925DD" w:rsidRDefault="00E705D7">
            <w:pPr>
              <w:textAlignment w:val="bottom"/>
              <w:rPr>
                <w:rFonts w:ascii="Times New Roman" w:hAnsi="Times New Roman"/>
                <w:sz w:val="12"/>
                <w:szCs w:val="12"/>
              </w:rPr>
            </w:pPr>
            <w:r>
              <w:rPr>
                <w:rFonts w:ascii="Arial" w:eastAsia="宋体" w:hAnsi="Arial" w:cs="Arial"/>
                <w:sz w:val="12"/>
                <w:szCs w:val="12"/>
              </w:rPr>
              <w:t>Accumulated other comprehensive income (loss)</w:t>
            </w:r>
          </w:p>
        </w:tc>
        <w:tc>
          <w:tcPr>
            <w:tcW w:w="0" w:type="auto"/>
            <w:gridSpan w:val="2"/>
            <w:shd w:val="clear" w:color="auto" w:fill="CCEEFF"/>
            <w:tcMar>
              <w:top w:w="40" w:type="dxa"/>
              <w:left w:w="40" w:type="dxa"/>
              <w:bottom w:w="40" w:type="dxa"/>
            </w:tcMar>
            <w:vAlign w:val="bottom"/>
          </w:tcPr>
          <w:p w14:paraId="5556E64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(870</w:t>
            </w:r>
          </w:p>
        </w:tc>
        <w:tc>
          <w:tcPr>
            <w:tcW w:w="0" w:type="auto"/>
            <w:shd w:val="clear" w:color="auto" w:fill="CCEEFF"/>
            <w:tcMar>
              <w:top w:w="40" w:type="dxa"/>
              <w:bottom w:w="40" w:type="dxa"/>
              <w:right w:w="40" w:type="dxa"/>
            </w:tcMar>
            <w:vAlign w:val="bottom"/>
          </w:tcPr>
          <w:p w14:paraId="5556E645"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6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47"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(870</w:t>
            </w:r>
          </w:p>
        </w:tc>
        <w:tc>
          <w:tcPr>
            <w:tcW w:w="0" w:type="auto"/>
            <w:shd w:val="clear" w:color="auto" w:fill="CCEEFF"/>
            <w:tcMar>
              <w:top w:w="40" w:type="dxa"/>
              <w:bottom w:w="40" w:type="dxa"/>
              <w:right w:w="40" w:type="dxa"/>
            </w:tcMar>
            <w:vAlign w:val="bottom"/>
          </w:tcPr>
          <w:p w14:paraId="5556E648"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6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4A"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(1,332</w:t>
            </w:r>
          </w:p>
        </w:tc>
        <w:tc>
          <w:tcPr>
            <w:tcW w:w="0" w:type="auto"/>
            <w:shd w:val="clear" w:color="auto" w:fill="CCEEFF"/>
            <w:tcMar>
              <w:top w:w="40" w:type="dxa"/>
              <w:bottom w:w="40" w:type="dxa"/>
              <w:right w:w="40" w:type="dxa"/>
            </w:tcMar>
            <w:vAlign w:val="bottom"/>
          </w:tcPr>
          <w:p w14:paraId="5556E64B"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E6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4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(1,332</w:t>
            </w:r>
          </w:p>
        </w:tc>
        <w:tc>
          <w:tcPr>
            <w:tcW w:w="0" w:type="auto"/>
            <w:shd w:val="clear" w:color="auto" w:fill="CCEEFF"/>
            <w:tcMar>
              <w:top w:w="40" w:type="dxa"/>
              <w:bottom w:w="40" w:type="dxa"/>
              <w:right w:w="40" w:type="dxa"/>
            </w:tcMar>
            <w:vAlign w:val="bottom"/>
          </w:tcPr>
          <w:p w14:paraId="5556E64E"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E6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5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(654</w:t>
            </w:r>
          </w:p>
        </w:tc>
        <w:tc>
          <w:tcPr>
            <w:tcW w:w="0" w:type="auto"/>
            <w:shd w:val="clear" w:color="auto" w:fill="CCEEFF"/>
            <w:tcMar>
              <w:top w:w="40" w:type="dxa"/>
              <w:bottom w:w="40" w:type="dxa"/>
              <w:right w:w="40" w:type="dxa"/>
            </w:tcMar>
            <w:vAlign w:val="bottom"/>
          </w:tcPr>
          <w:p w14:paraId="5556E651"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6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53"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(654</w:t>
            </w:r>
          </w:p>
        </w:tc>
        <w:tc>
          <w:tcPr>
            <w:tcW w:w="0" w:type="auto"/>
            <w:shd w:val="clear" w:color="auto" w:fill="CCEEFF"/>
            <w:tcMar>
              <w:top w:w="40" w:type="dxa"/>
              <w:bottom w:w="40" w:type="dxa"/>
              <w:right w:w="40" w:type="dxa"/>
            </w:tcMar>
            <w:vAlign w:val="bottom"/>
          </w:tcPr>
          <w:p w14:paraId="5556E65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6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5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(1,112</w:t>
            </w:r>
          </w:p>
        </w:tc>
        <w:tc>
          <w:tcPr>
            <w:tcW w:w="0" w:type="auto"/>
            <w:shd w:val="clear" w:color="auto" w:fill="CCEEFF"/>
            <w:tcMar>
              <w:top w:w="40" w:type="dxa"/>
              <w:bottom w:w="40" w:type="dxa"/>
              <w:right w:w="40" w:type="dxa"/>
            </w:tcMar>
            <w:vAlign w:val="bottom"/>
          </w:tcPr>
          <w:p w14:paraId="5556E657"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E6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59"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(1,112</w:t>
            </w:r>
          </w:p>
        </w:tc>
        <w:tc>
          <w:tcPr>
            <w:tcW w:w="0" w:type="auto"/>
            <w:shd w:val="clear" w:color="auto" w:fill="CCEEFF"/>
            <w:tcMar>
              <w:top w:w="40" w:type="dxa"/>
              <w:bottom w:w="40" w:type="dxa"/>
              <w:right w:w="40" w:type="dxa"/>
            </w:tcMar>
            <w:vAlign w:val="bottom"/>
          </w:tcPr>
          <w:p w14:paraId="5556E65A"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r>
      <w:tr w:rsidR="00F925DD" w14:paraId="5556E674" w14:textId="77777777">
        <w:tc>
          <w:tcPr>
            <w:tcW w:w="0" w:type="auto"/>
            <w:gridSpan w:val="5"/>
            <w:shd w:val="clear" w:color="auto" w:fill="auto"/>
            <w:tcMar>
              <w:top w:w="40" w:type="dxa"/>
              <w:left w:w="400" w:type="dxa"/>
              <w:bottom w:w="40" w:type="dxa"/>
              <w:right w:w="40" w:type="dxa"/>
            </w:tcMar>
            <w:vAlign w:val="bottom"/>
          </w:tcPr>
          <w:p w14:paraId="5556E65C" w14:textId="77777777" w:rsidR="00F925DD" w:rsidRDefault="00E705D7">
            <w:pPr>
              <w:textAlignment w:val="bottom"/>
              <w:rPr>
                <w:rFonts w:ascii="Times New Roman" w:hAnsi="Times New Roman"/>
                <w:sz w:val="12"/>
                <w:szCs w:val="12"/>
              </w:rPr>
            </w:pPr>
            <w:r>
              <w:rPr>
                <w:rFonts w:ascii="Arial" w:eastAsia="宋体" w:hAnsi="Arial" w:cs="Arial"/>
                <w:sz w:val="12"/>
                <w:szCs w:val="12"/>
              </w:rPr>
              <w:t>Treasury stock, at cost</w:t>
            </w:r>
          </w:p>
        </w:tc>
        <w:tc>
          <w:tcPr>
            <w:tcW w:w="0" w:type="auto"/>
            <w:gridSpan w:val="2"/>
            <w:tcBorders>
              <w:bottom w:val="single" w:sz="8" w:space="0" w:color="000000"/>
            </w:tcBorders>
            <w:shd w:val="clear" w:color="auto" w:fill="auto"/>
            <w:tcMar>
              <w:top w:w="40" w:type="dxa"/>
              <w:left w:w="40" w:type="dxa"/>
              <w:bottom w:w="40" w:type="dxa"/>
            </w:tcMar>
            <w:vAlign w:val="bottom"/>
          </w:tcPr>
          <w:p w14:paraId="5556E65D"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(10,209</w:t>
            </w:r>
          </w:p>
        </w:tc>
        <w:tc>
          <w:tcPr>
            <w:tcW w:w="0" w:type="auto"/>
            <w:tcBorders>
              <w:bottom w:val="single" w:sz="8" w:space="0" w:color="000000"/>
            </w:tcBorders>
            <w:shd w:val="clear" w:color="auto" w:fill="auto"/>
            <w:tcMar>
              <w:top w:w="40" w:type="dxa"/>
              <w:bottom w:w="40" w:type="dxa"/>
              <w:right w:w="40" w:type="dxa"/>
            </w:tcMar>
            <w:vAlign w:val="bottom"/>
          </w:tcPr>
          <w:p w14:paraId="5556E65E"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E6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6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(10,209</w:t>
            </w:r>
          </w:p>
        </w:tc>
        <w:tc>
          <w:tcPr>
            <w:tcW w:w="0" w:type="auto"/>
            <w:tcBorders>
              <w:bottom w:val="single" w:sz="8" w:space="0" w:color="000000"/>
            </w:tcBorders>
            <w:shd w:val="clear" w:color="auto" w:fill="auto"/>
            <w:tcMar>
              <w:top w:w="40" w:type="dxa"/>
              <w:bottom w:w="40" w:type="dxa"/>
              <w:right w:w="40" w:type="dxa"/>
            </w:tcMar>
            <w:vAlign w:val="bottom"/>
          </w:tcPr>
          <w:p w14:paraId="5556E661"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E6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6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(8,715</w:t>
            </w:r>
          </w:p>
        </w:tc>
        <w:tc>
          <w:tcPr>
            <w:tcW w:w="0" w:type="auto"/>
            <w:tcBorders>
              <w:bottom w:val="single" w:sz="8" w:space="0" w:color="000000"/>
            </w:tcBorders>
            <w:shd w:val="clear" w:color="auto" w:fill="auto"/>
            <w:tcMar>
              <w:top w:w="40" w:type="dxa"/>
              <w:bottom w:w="40" w:type="dxa"/>
              <w:right w:w="40" w:type="dxa"/>
            </w:tcMar>
            <w:vAlign w:val="bottom"/>
          </w:tcPr>
          <w:p w14:paraId="5556E664"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E6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6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(8,715</w:t>
            </w:r>
          </w:p>
        </w:tc>
        <w:tc>
          <w:tcPr>
            <w:tcW w:w="0" w:type="auto"/>
            <w:tcBorders>
              <w:bottom w:val="single" w:sz="8" w:space="0" w:color="000000"/>
            </w:tcBorders>
            <w:shd w:val="clear" w:color="auto" w:fill="auto"/>
            <w:tcMar>
              <w:top w:w="40" w:type="dxa"/>
              <w:bottom w:w="40" w:type="dxa"/>
              <w:right w:w="40" w:type="dxa"/>
            </w:tcMar>
            <w:vAlign w:val="bottom"/>
          </w:tcPr>
          <w:p w14:paraId="5556E667"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E6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6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auto"/>
            <w:vAlign w:val="bottom"/>
          </w:tcPr>
          <w:p w14:paraId="5556E66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6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single" w:sz="8" w:space="0" w:color="000000"/>
            </w:tcBorders>
            <w:shd w:val="clear" w:color="auto" w:fill="auto"/>
            <w:vAlign w:val="bottom"/>
          </w:tcPr>
          <w:p w14:paraId="5556E66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6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auto"/>
            <w:vAlign w:val="bottom"/>
          </w:tcPr>
          <w:p w14:paraId="5556E67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7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w:t>
            </w:r>
          </w:p>
        </w:tc>
        <w:tc>
          <w:tcPr>
            <w:tcW w:w="0" w:type="auto"/>
            <w:tcBorders>
              <w:bottom w:val="single" w:sz="8" w:space="0" w:color="000000"/>
            </w:tcBorders>
            <w:shd w:val="clear" w:color="auto" w:fill="auto"/>
            <w:vAlign w:val="bottom"/>
          </w:tcPr>
          <w:p w14:paraId="5556E673" w14:textId="77777777" w:rsidR="00F925DD" w:rsidRDefault="00F925DD">
            <w:pPr>
              <w:textAlignment w:val="bottom"/>
              <w:rPr>
                <w:rFonts w:ascii="Times New Roman" w:hAnsi="Times New Roman"/>
                <w:sz w:val="20"/>
                <w:szCs w:val="20"/>
              </w:rPr>
            </w:pPr>
          </w:p>
        </w:tc>
      </w:tr>
      <w:tr w:rsidR="00F925DD" w14:paraId="5556E68D" w14:textId="77777777">
        <w:tc>
          <w:tcPr>
            <w:tcW w:w="0" w:type="auto"/>
            <w:gridSpan w:val="5"/>
            <w:shd w:val="clear" w:color="auto" w:fill="CCEEFF"/>
            <w:tcMar>
              <w:top w:w="40" w:type="dxa"/>
              <w:left w:w="240" w:type="dxa"/>
              <w:bottom w:w="40" w:type="dxa"/>
              <w:right w:w="40" w:type="dxa"/>
            </w:tcMar>
            <w:vAlign w:val="bottom"/>
          </w:tcPr>
          <w:p w14:paraId="5556E675"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Total</w:t>
            </w:r>
          </w:p>
        </w:tc>
        <w:tc>
          <w:tcPr>
            <w:tcW w:w="0" w:type="auto"/>
            <w:gridSpan w:val="2"/>
            <w:tcBorders>
              <w:top w:val="single" w:sz="8" w:space="0" w:color="000000"/>
            </w:tcBorders>
            <w:shd w:val="clear" w:color="auto" w:fill="CCEEFF"/>
            <w:tcMar>
              <w:top w:w="40" w:type="dxa"/>
              <w:left w:w="40" w:type="dxa"/>
              <w:bottom w:w="40" w:type="dxa"/>
            </w:tcMar>
            <w:vAlign w:val="bottom"/>
          </w:tcPr>
          <w:p w14:paraId="5556E67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21,475</w:t>
            </w:r>
          </w:p>
        </w:tc>
        <w:tc>
          <w:tcPr>
            <w:tcW w:w="0" w:type="auto"/>
            <w:tcBorders>
              <w:top w:val="single" w:sz="8" w:space="0" w:color="000000"/>
            </w:tcBorders>
            <w:shd w:val="clear" w:color="auto" w:fill="CCEEFF"/>
            <w:vAlign w:val="bottom"/>
          </w:tcPr>
          <w:p w14:paraId="5556E6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78" w14:textId="77777777" w:rsidR="00F925DD" w:rsidRDefault="00F925DD">
            <w:pPr>
              <w:textAlignment w:val="bottom"/>
              <w:rPr>
                <w:rFonts w:ascii="Times New Roman" w:hAnsi="Times New Roman"/>
                <w:sz w:val="12"/>
                <w:szCs w:val="12"/>
              </w:rPr>
            </w:pPr>
          </w:p>
        </w:tc>
        <w:tc>
          <w:tcPr>
            <w:tcW w:w="0" w:type="auto"/>
            <w:gridSpan w:val="2"/>
            <w:tcBorders>
              <w:top w:val="single" w:sz="8" w:space="0" w:color="000000"/>
            </w:tcBorders>
            <w:shd w:val="clear" w:color="auto" w:fill="CCEEFF"/>
            <w:tcMar>
              <w:top w:w="40" w:type="dxa"/>
              <w:left w:w="40" w:type="dxa"/>
              <w:bottom w:w="40" w:type="dxa"/>
            </w:tcMar>
            <w:vAlign w:val="bottom"/>
          </w:tcPr>
          <w:p w14:paraId="5556E67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21,475</w:t>
            </w:r>
          </w:p>
        </w:tc>
        <w:tc>
          <w:tcPr>
            <w:tcW w:w="0" w:type="auto"/>
            <w:tcBorders>
              <w:top w:val="single" w:sz="8" w:space="0" w:color="000000"/>
            </w:tcBorders>
            <w:shd w:val="clear" w:color="auto" w:fill="CCEEFF"/>
            <w:vAlign w:val="bottom"/>
          </w:tcPr>
          <w:p w14:paraId="5556E67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E67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21,124</w:t>
            </w:r>
          </w:p>
        </w:tc>
        <w:tc>
          <w:tcPr>
            <w:tcW w:w="0" w:type="auto"/>
            <w:tcBorders>
              <w:top w:val="single" w:sz="8" w:space="0" w:color="000000"/>
            </w:tcBorders>
            <w:shd w:val="clear" w:color="auto" w:fill="CCEEFF"/>
            <w:vAlign w:val="bottom"/>
          </w:tcPr>
          <w:p w14:paraId="5556E67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E67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21,124</w:t>
            </w:r>
          </w:p>
        </w:tc>
        <w:tc>
          <w:tcPr>
            <w:tcW w:w="0" w:type="auto"/>
            <w:tcBorders>
              <w:top w:val="single" w:sz="8" w:space="0" w:color="000000"/>
            </w:tcBorders>
            <w:shd w:val="clear" w:color="auto" w:fill="CCEEFF"/>
            <w:vAlign w:val="bottom"/>
          </w:tcPr>
          <w:p w14:paraId="5556E68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E682"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25,457</w:t>
            </w:r>
          </w:p>
        </w:tc>
        <w:tc>
          <w:tcPr>
            <w:tcW w:w="0" w:type="auto"/>
            <w:tcBorders>
              <w:top w:val="single" w:sz="8" w:space="0" w:color="000000"/>
            </w:tcBorders>
            <w:shd w:val="clear" w:color="auto" w:fill="CCEEFF"/>
            <w:vAlign w:val="bottom"/>
          </w:tcPr>
          <w:p w14:paraId="5556E68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E68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25,457</w:t>
            </w:r>
          </w:p>
        </w:tc>
        <w:tc>
          <w:tcPr>
            <w:tcW w:w="0" w:type="auto"/>
            <w:tcBorders>
              <w:top w:val="single" w:sz="8" w:space="0" w:color="000000"/>
            </w:tcBorders>
            <w:shd w:val="clear" w:color="auto" w:fill="CCEEFF"/>
            <w:vAlign w:val="bottom"/>
          </w:tcPr>
          <w:p w14:paraId="5556E68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E68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26,043</w:t>
            </w:r>
          </w:p>
        </w:tc>
        <w:tc>
          <w:tcPr>
            <w:tcW w:w="0" w:type="auto"/>
            <w:tcBorders>
              <w:top w:val="single" w:sz="8" w:space="0" w:color="000000"/>
            </w:tcBorders>
            <w:shd w:val="clear" w:color="auto" w:fill="CCEEFF"/>
            <w:vAlign w:val="bottom"/>
          </w:tcPr>
          <w:p w14:paraId="5556E6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E68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26,043</w:t>
            </w:r>
          </w:p>
        </w:tc>
        <w:tc>
          <w:tcPr>
            <w:tcW w:w="0" w:type="auto"/>
            <w:tcBorders>
              <w:top w:val="single" w:sz="8" w:space="0" w:color="000000"/>
            </w:tcBorders>
            <w:shd w:val="clear" w:color="auto" w:fill="CCEEFF"/>
            <w:vAlign w:val="bottom"/>
          </w:tcPr>
          <w:p w14:paraId="5556E68C" w14:textId="77777777" w:rsidR="00F925DD" w:rsidRDefault="00F925DD">
            <w:pPr>
              <w:textAlignment w:val="bottom"/>
              <w:rPr>
                <w:rFonts w:ascii="Times New Roman" w:hAnsi="Times New Roman"/>
                <w:sz w:val="20"/>
                <w:szCs w:val="20"/>
              </w:rPr>
            </w:pPr>
          </w:p>
        </w:tc>
      </w:tr>
      <w:tr w:rsidR="00F925DD" w14:paraId="5556E69E" w14:textId="77777777">
        <w:tc>
          <w:tcPr>
            <w:tcW w:w="0" w:type="auto"/>
            <w:gridSpan w:val="5"/>
            <w:shd w:val="clear" w:color="auto" w:fill="auto"/>
            <w:tcMar>
              <w:top w:w="40" w:type="dxa"/>
              <w:left w:w="240" w:type="dxa"/>
              <w:bottom w:w="40" w:type="dxa"/>
              <w:right w:w="40" w:type="dxa"/>
            </w:tcMar>
            <w:vAlign w:val="bottom"/>
          </w:tcPr>
          <w:p w14:paraId="5556E68E" w14:textId="77777777" w:rsidR="00F925DD" w:rsidRDefault="00E705D7">
            <w:pPr>
              <w:textAlignment w:val="bottom"/>
              <w:rPr>
                <w:rFonts w:ascii="Times New Roman" w:hAnsi="Times New Roman"/>
                <w:sz w:val="12"/>
                <w:szCs w:val="12"/>
              </w:rPr>
            </w:pPr>
            <w:r>
              <w:rPr>
                <w:rFonts w:ascii="Arial" w:eastAsia="宋体" w:hAnsi="Arial" w:cs="Arial"/>
                <w:sz w:val="12"/>
                <w:szCs w:val="12"/>
              </w:rPr>
              <w:t>Regulatory capital adjustments:</w:t>
            </w:r>
          </w:p>
        </w:tc>
        <w:tc>
          <w:tcPr>
            <w:tcW w:w="0" w:type="auto"/>
            <w:gridSpan w:val="3"/>
            <w:shd w:val="clear" w:color="auto" w:fill="auto"/>
            <w:tcMar>
              <w:top w:w="40" w:type="dxa"/>
              <w:left w:w="40" w:type="dxa"/>
              <w:bottom w:w="40" w:type="dxa"/>
              <w:right w:w="40" w:type="dxa"/>
            </w:tcMar>
            <w:vAlign w:val="bottom"/>
          </w:tcPr>
          <w:p w14:paraId="5556E6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6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6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6B7" w14:textId="77777777">
        <w:tc>
          <w:tcPr>
            <w:tcW w:w="0" w:type="auto"/>
            <w:gridSpan w:val="5"/>
            <w:shd w:val="clear" w:color="auto" w:fill="CCEEFF"/>
            <w:tcMar>
              <w:top w:w="40" w:type="dxa"/>
              <w:left w:w="400" w:type="dxa"/>
              <w:bottom w:w="40" w:type="dxa"/>
              <w:right w:w="40" w:type="dxa"/>
            </w:tcMar>
            <w:vAlign w:val="bottom"/>
          </w:tcPr>
          <w:p w14:paraId="5556E69F" w14:textId="77777777" w:rsidR="00F925DD" w:rsidRDefault="00E705D7">
            <w:pPr>
              <w:textAlignment w:val="bottom"/>
              <w:rPr>
                <w:rFonts w:ascii="Times New Roman" w:hAnsi="Times New Roman"/>
                <w:sz w:val="12"/>
                <w:szCs w:val="12"/>
              </w:rPr>
            </w:pPr>
            <w:r>
              <w:rPr>
                <w:rFonts w:ascii="Arial" w:eastAsia="宋体" w:hAnsi="Arial" w:cs="Arial"/>
                <w:sz w:val="12"/>
                <w:szCs w:val="12"/>
              </w:rPr>
              <w:t xml:space="preserve">Goodwill and other intangible assets, net of associated deferred tax </w:t>
            </w:r>
            <w:r>
              <w:rPr>
                <w:rFonts w:ascii="Arial" w:eastAsia="宋体" w:hAnsi="Arial" w:cs="Arial"/>
                <w:sz w:val="12"/>
                <w:szCs w:val="12"/>
              </w:rPr>
              <w:t>liabilities</w:t>
            </w:r>
          </w:p>
        </w:tc>
        <w:tc>
          <w:tcPr>
            <w:tcW w:w="0" w:type="auto"/>
            <w:gridSpan w:val="2"/>
            <w:shd w:val="clear" w:color="auto" w:fill="CCEEFF"/>
            <w:tcMar>
              <w:top w:w="40" w:type="dxa"/>
              <w:left w:w="40" w:type="dxa"/>
              <w:bottom w:w="40" w:type="dxa"/>
            </w:tcMar>
            <w:vAlign w:val="bottom"/>
          </w:tcPr>
          <w:p w14:paraId="5556E6A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(9,112</w:t>
            </w:r>
          </w:p>
        </w:tc>
        <w:tc>
          <w:tcPr>
            <w:tcW w:w="0" w:type="auto"/>
            <w:shd w:val="clear" w:color="auto" w:fill="CCEEFF"/>
            <w:tcMar>
              <w:top w:w="40" w:type="dxa"/>
              <w:bottom w:w="40" w:type="dxa"/>
              <w:right w:w="40" w:type="dxa"/>
            </w:tcMar>
            <w:vAlign w:val="bottom"/>
          </w:tcPr>
          <w:p w14:paraId="5556E6A1"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6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A3"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(9,112</w:t>
            </w:r>
          </w:p>
        </w:tc>
        <w:tc>
          <w:tcPr>
            <w:tcW w:w="0" w:type="auto"/>
            <w:shd w:val="clear" w:color="auto" w:fill="CCEEFF"/>
            <w:tcMar>
              <w:top w:w="40" w:type="dxa"/>
              <w:bottom w:w="40" w:type="dxa"/>
              <w:right w:w="40" w:type="dxa"/>
            </w:tcMar>
            <w:vAlign w:val="bottom"/>
          </w:tcPr>
          <w:p w14:paraId="5556E6A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6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A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(9,350</w:t>
            </w:r>
          </w:p>
        </w:tc>
        <w:tc>
          <w:tcPr>
            <w:tcW w:w="0" w:type="auto"/>
            <w:shd w:val="clear" w:color="auto" w:fill="CCEEFF"/>
            <w:tcMar>
              <w:top w:w="40" w:type="dxa"/>
              <w:bottom w:w="40" w:type="dxa"/>
              <w:right w:w="40" w:type="dxa"/>
            </w:tcMar>
            <w:vAlign w:val="bottom"/>
          </w:tcPr>
          <w:p w14:paraId="5556E6A7"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E6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A9"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(9,350</w:t>
            </w:r>
          </w:p>
        </w:tc>
        <w:tc>
          <w:tcPr>
            <w:tcW w:w="0" w:type="auto"/>
            <w:shd w:val="clear" w:color="auto" w:fill="CCEEFF"/>
            <w:tcMar>
              <w:top w:w="40" w:type="dxa"/>
              <w:bottom w:w="40" w:type="dxa"/>
              <w:right w:w="40" w:type="dxa"/>
            </w:tcMar>
            <w:vAlign w:val="bottom"/>
          </w:tcPr>
          <w:p w14:paraId="5556E6AA"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E6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A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(8,839</w:t>
            </w:r>
          </w:p>
        </w:tc>
        <w:tc>
          <w:tcPr>
            <w:tcW w:w="0" w:type="auto"/>
            <w:shd w:val="clear" w:color="auto" w:fill="CCEEFF"/>
            <w:tcMar>
              <w:top w:w="40" w:type="dxa"/>
              <w:bottom w:w="40" w:type="dxa"/>
              <w:right w:w="40" w:type="dxa"/>
            </w:tcMar>
            <w:vAlign w:val="bottom"/>
          </w:tcPr>
          <w:p w14:paraId="5556E6AD"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6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A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(8,839</w:t>
            </w:r>
          </w:p>
        </w:tc>
        <w:tc>
          <w:tcPr>
            <w:tcW w:w="0" w:type="auto"/>
            <w:shd w:val="clear" w:color="auto" w:fill="CCEEFF"/>
            <w:tcMar>
              <w:top w:w="40" w:type="dxa"/>
              <w:bottom w:w="40" w:type="dxa"/>
              <w:right w:w="40" w:type="dxa"/>
            </w:tcMar>
            <w:vAlign w:val="bottom"/>
          </w:tcPr>
          <w:p w14:paraId="5556E6B0"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6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B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(9,073</w:t>
            </w:r>
          </w:p>
        </w:tc>
        <w:tc>
          <w:tcPr>
            <w:tcW w:w="0" w:type="auto"/>
            <w:shd w:val="clear" w:color="auto" w:fill="CCEEFF"/>
            <w:tcMar>
              <w:top w:w="40" w:type="dxa"/>
              <w:bottom w:w="40" w:type="dxa"/>
              <w:right w:w="40" w:type="dxa"/>
            </w:tcMar>
            <w:vAlign w:val="bottom"/>
          </w:tcPr>
          <w:p w14:paraId="5556E6B3"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E6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6B5"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(9,073</w:t>
            </w:r>
          </w:p>
        </w:tc>
        <w:tc>
          <w:tcPr>
            <w:tcW w:w="0" w:type="auto"/>
            <w:shd w:val="clear" w:color="auto" w:fill="CCEEFF"/>
            <w:tcMar>
              <w:top w:w="40" w:type="dxa"/>
              <w:bottom w:w="40" w:type="dxa"/>
              <w:right w:w="40" w:type="dxa"/>
            </w:tcMar>
            <w:vAlign w:val="bottom"/>
          </w:tcPr>
          <w:p w14:paraId="5556E6B6"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r>
      <w:tr w:rsidR="00F925DD" w14:paraId="5556E6D0" w14:textId="77777777">
        <w:tc>
          <w:tcPr>
            <w:tcW w:w="0" w:type="auto"/>
            <w:gridSpan w:val="5"/>
            <w:shd w:val="clear" w:color="auto" w:fill="auto"/>
            <w:tcMar>
              <w:top w:w="40" w:type="dxa"/>
              <w:left w:w="400" w:type="dxa"/>
              <w:bottom w:w="40" w:type="dxa"/>
              <w:right w:w="40" w:type="dxa"/>
            </w:tcMar>
            <w:vAlign w:val="bottom"/>
          </w:tcPr>
          <w:p w14:paraId="5556E6B8" w14:textId="77777777" w:rsidR="00F925DD" w:rsidRDefault="00E705D7">
            <w:pPr>
              <w:textAlignment w:val="bottom"/>
              <w:rPr>
                <w:rFonts w:ascii="Times New Roman" w:hAnsi="Times New Roman"/>
                <w:sz w:val="12"/>
                <w:szCs w:val="12"/>
              </w:rPr>
            </w:pPr>
            <w:r>
              <w:rPr>
                <w:rFonts w:ascii="Arial" w:eastAsia="宋体" w:hAnsi="Arial" w:cs="Arial"/>
                <w:sz w:val="12"/>
                <w:szCs w:val="12"/>
              </w:rPr>
              <w:t>Other adjustments</w:t>
            </w:r>
          </w:p>
        </w:tc>
        <w:tc>
          <w:tcPr>
            <w:tcW w:w="0" w:type="auto"/>
            <w:gridSpan w:val="2"/>
            <w:tcBorders>
              <w:bottom w:val="single" w:sz="8" w:space="0" w:color="000000"/>
            </w:tcBorders>
            <w:shd w:val="clear" w:color="auto" w:fill="auto"/>
            <w:tcMar>
              <w:top w:w="40" w:type="dxa"/>
              <w:left w:w="40" w:type="dxa"/>
              <w:bottom w:w="40" w:type="dxa"/>
            </w:tcMar>
            <w:vAlign w:val="bottom"/>
          </w:tcPr>
          <w:p w14:paraId="5556E6B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(150</w:t>
            </w:r>
          </w:p>
        </w:tc>
        <w:tc>
          <w:tcPr>
            <w:tcW w:w="0" w:type="auto"/>
            <w:tcBorders>
              <w:bottom w:val="single" w:sz="8" w:space="0" w:color="000000"/>
            </w:tcBorders>
            <w:shd w:val="clear" w:color="auto" w:fill="auto"/>
            <w:tcMar>
              <w:top w:w="40" w:type="dxa"/>
              <w:bottom w:w="40" w:type="dxa"/>
              <w:right w:w="40" w:type="dxa"/>
            </w:tcMar>
            <w:vAlign w:val="bottom"/>
          </w:tcPr>
          <w:p w14:paraId="5556E6BA"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E6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B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(150</w:t>
            </w:r>
          </w:p>
        </w:tc>
        <w:tc>
          <w:tcPr>
            <w:tcW w:w="0" w:type="auto"/>
            <w:tcBorders>
              <w:bottom w:val="single" w:sz="8" w:space="0" w:color="000000"/>
            </w:tcBorders>
            <w:shd w:val="clear" w:color="auto" w:fill="auto"/>
            <w:tcMar>
              <w:top w:w="40" w:type="dxa"/>
              <w:bottom w:w="40" w:type="dxa"/>
              <w:right w:w="40" w:type="dxa"/>
            </w:tcMar>
            <w:vAlign w:val="bottom"/>
          </w:tcPr>
          <w:p w14:paraId="5556E6BD"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E6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B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(194</w:t>
            </w:r>
          </w:p>
        </w:tc>
        <w:tc>
          <w:tcPr>
            <w:tcW w:w="0" w:type="auto"/>
            <w:tcBorders>
              <w:bottom w:val="single" w:sz="8" w:space="0" w:color="000000"/>
            </w:tcBorders>
            <w:shd w:val="clear" w:color="auto" w:fill="auto"/>
            <w:tcMar>
              <w:top w:w="40" w:type="dxa"/>
              <w:bottom w:w="40" w:type="dxa"/>
              <w:right w:w="40" w:type="dxa"/>
            </w:tcMar>
            <w:vAlign w:val="bottom"/>
          </w:tcPr>
          <w:p w14:paraId="5556E6C0"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E6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C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(194</w:t>
            </w:r>
          </w:p>
        </w:tc>
        <w:tc>
          <w:tcPr>
            <w:tcW w:w="0" w:type="auto"/>
            <w:tcBorders>
              <w:bottom w:val="single" w:sz="8" w:space="0" w:color="000000"/>
            </w:tcBorders>
            <w:shd w:val="clear" w:color="auto" w:fill="auto"/>
            <w:tcMar>
              <w:top w:w="40" w:type="dxa"/>
              <w:bottom w:w="40" w:type="dxa"/>
              <w:right w:w="40" w:type="dxa"/>
            </w:tcMar>
            <w:vAlign w:val="bottom"/>
          </w:tcPr>
          <w:p w14:paraId="5556E6C3"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E6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C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w:t>
            </w:r>
          </w:p>
        </w:tc>
        <w:tc>
          <w:tcPr>
            <w:tcW w:w="0" w:type="auto"/>
            <w:tcBorders>
              <w:bottom w:val="single" w:sz="8" w:space="0" w:color="000000"/>
            </w:tcBorders>
            <w:shd w:val="clear" w:color="auto" w:fill="auto"/>
            <w:tcMar>
              <w:top w:w="40" w:type="dxa"/>
              <w:bottom w:w="40" w:type="dxa"/>
              <w:right w:w="40" w:type="dxa"/>
            </w:tcMar>
            <w:vAlign w:val="bottom"/>
          </w:tcPr>
          <w:p w14:paraId="5556E6C6"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E6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C8"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w:t>
            </w:r>
          </w:p>
        </w:tc>
        <w:tc>
          <w:tcPr>
            <w:tcW w:w="0" w:type="auto"/>
            <w:tcBorders>
              <w:bottom w:val="single" w:sz="8" w:space="0" w:color="000000"/>
            </w:tcBorders>
            <w:shd w:val="clear" w:color="auto" w:fill="auto"/>
            <w:tcMar>
              <w:top w:w="40" w:type="dxa"/>
              <w:bottom w:w="40" w:type="dxa"/>
              <w:right w:w="40" w:type="dxa"/>
            </w:tcMar>
            <w:vAlign w:val="bottom"/>
          </w:tcPr>
          <w:p w14:paraId="5556E6C9"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left w:w="40" w:type="dxa"/>
              <w:bottom w:w="40" w:type="dxa"/>
              <w:right w:w="40" w:type="dxa"/>
            </w:tcMar>
            <w:vAlign w:val="bottom"/>
          </w:tcPr>
          <w:p w14:paraId="5556E6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C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(29</w:t>
            </w:r>
          </w:p>
        </w:tc>
        <w:tc>
          <w:tcPr>
            <w:tcW w:w="0" w:type="auto"/>
            <w:tcBorders>
              <w:bottom w:val="single" w:sz="8" w:space="0" w:color="000000"/>
            </w:tcBorders>
            <w:shd w:val="clear" w:color="auto" w:fill="auto"/>
            <w:tcMar>
              <w:top w:w="40" w:type="dxa"/>
              <w:bottom w:w="40" w:type="dxa"/>
              <w:right w:w="40" w:type="dxa"/>
            </w:tcMar>
            <w:vAlign w:val="bottom"/>
          </w:tcPr>
          <w:p w14:paraId="5556E6CC"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left w:w="40" w:type="dxa"/>
              <w:bottom w:w="40" w:type="dxa"/>
              <w:right w:w="40" w:type="dxa"/>
            </w:tcMar>
            <w:vAlign w:val="bottom"/>
          </w:tcPr>
          <w:p w14:paraId="5556E6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6C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(29</w:t>
            </w:r>
          </w:p>
        </w:tc>
        <w:tc>
          <w:tcPr>
            <w:tcW w:w="0" w:type="auto"/>
            <w:tcBorders>
              <w:bottom w:val="single" w:sz="8" w:space="0" w:color="000000"/>
            </w:tcBorders>
            <w:shd w:val="clear" w:color="auto" w:fill="auto"/>
            <w:tcMar>
              <w:top w:w="40" w:type="dxa"/>
              <w:bottom w:w="40" w:type="dxa"/>
              <w:right w:w="40" w:type="dxa"/>
            </w:tcMar>
            <w:vAlign w:val="bottom"/>
          </w:tcPr>
          <w:p w14:paraId="5556E6CF"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r>
      <w:tr w:rsidR="00F925DD" w14:paraId="5556E6E9" w14:textId="77777777">
        <w:tc>
          <w:tcPr>
            <w:tcW w:w="0" w:type="auto"/>
            <w:gridSpan w:val="5"/>
            <w:shd w:val="clear" w:color="auto" w:fill="CCEEFF"/>
            <w:tcMar>
              <w:top w:w="40" w:type="dxa"/>
              <w:left w:w="40" w:type="dxa"/>
              <w:bottom w:w="40" w:type="dxa"/>
              <w:right w:w="40" w:type="dxa"/>
            </w:tcMar>
            <w:vAlign w:val="bottom"/>
          </w:tcPr>
          <w:p w14:paraId="5556E6D1"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Common equity tier 1 capital</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6D2"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12,213</w:t>
            </w:r>
          </w:p>
        </w:tc>
        <w:tc>
          <w:tcPr>
            <w:tcW w:w="0" w:type="auto"/>
            <w:tcBorders>
              <w:top w:val="single" w:sz="8" w:space="0" w:color="000000"/>
              <w:bottom w:val="single" w:sz="8" w:space="0" w:color="000000"/>
            </w:tcBorders>
            <w:shd w:val="clear" w:color="auto" w:fill="CCEEFF"/>
            <w:vAlign w:val="bottom"/>
          </w:tcPr>
          <w:p w14:paraId="5556E6D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6D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12,213</w:t>
            </w:r>
          </w:p>
        </w:tc>
        <w:tc>
          <w:tcPr>
            <w:tcW w:w="0" w:type="auto"/>
            <w:tcBorders>
              <w:top w:val="single" w:sz="8" w:space="0" w:color="000000"/>
              <w:bottom w:val="single" w:sz="8" w:space="0" w:color="000000"/>
            </w:tcBorders>
            <w:shd w:val="clear" w:color="auto" w:fill="CCEEFF"/>
            <w:vAlign w:val="bottom"/>
          </w:tcPr>
          <w:p w14:paraId="5556E6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6D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11,580</w:t>
            </w:r>
          </w:p>
        </w:tc>
        <w:tc>
          <w:tcPr>
            <w:tcW w:w="0" w:type="auto"/>
            <w:tcBorders>
              <w:bottom w:val="single" w:sz="8" w:space="0" w:color="000000"/>
            </w:tcBorders>
            <w:shd w:val="clear" w:color="auto" w:fill="CCEEFF"/>
            <w:vAlign w:val="bottom"/>
          </w:tcPr>
          <w:p w14:paraId="5556E6D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6D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11,580</w:t>
            </w:r>
          </w:p>
        </w:tc>
        <w:tc>
          <w:tcPr>
            <w:tcW w:w="0" w:type="auto"/>
            <w:tcBorders>
              <w:top w:val="single" w:sz="8" w:space="0" w:color="000000"/>
              <w:bottom w:val="single" w:sz="8" w:space="0" w:color="000000"/>
            </w:tcBorders>
            <w:shd w:val="clear" w:color="auto" w:fill="CCEEFF"/>
            <w:vAlign w:val="bottom"/>
          </w:tcPr>
          <w:p w14:paraId="5556E6D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6DE"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16,617</w:t>
            </w:r>
          </w:p>
        </w:tc>
        <w:tc>
          <w:tcPr>
            <w:tcW w:w="0" w:type="auto"/>
            <w:tcBorders>
              <w:bottom w:val="single" w:sz="8" w:space="0" w:color="000000"/>
            </w:tcBorders>
            <w:shd w:val="clear" w:color="auto" w:fill="CCEEFF"/>
            <w:vAlign w:val="bottom"/>
          </w:tcPr>
          <w:p w14:paraId="5556E6D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6E1"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16,617</w:t>
            </w:r>
          </w:p>
        </w:tc>
        <w:tc>
          <w:tcPr>
            <w:tcW w:w="0" w:type="auto"/>
            <w:tcBorders>
              <w:top w:val="single" w:sz="8" w:space="0" w:color="000000"/>
              <w:bottom w:val="single" w:sz="8" w:space="0" w:color="000000"/>
            </w:tcBorders>
            <w:shd w:val="clear" w:color="auto" w:fill="CCEEFF"/>
            <w:vAlign w:val="bottom"/>
          </w:tcPr>
          <w:p w14:paraId="5556E6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6E4"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16,941</w:t>
            </w:r>
          </w:p>
        </w:tc>
        <w:tc>
          <w:tcPr>
            <w:tcW w:w="0" w:type="auto"/>
            <w:tcBorders>
              <w:top w:val="single" w:sz="8" w:space="0" w:color="000000"/>
              <w:bottom w:val="single" w:sz="8" w:space="0" w:color="000000"/>
            </w:tcBorders>
            <w:shd w:val="clear" w:color="auto" w:fill="CCEEFF"/>
            <w:vAlign w:val="bottom"/>
          </w:tcPr>
          <w:p w14:paraId="5556E6E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6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6E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16,941</w:t>
            </w:r>
          </w:p>
        </w:tc>
        <w:tc>
          <w:tcPr>
            <w:tcW w:w="0" w:type="auto"/>
            <w:tcBorders>
              <w:top w:val="single" w:sz="8" w:space="0" w:color="000000"/>
              <w:bottom w:val="single" w:sz="8" w:space="0" w:color="000000"/>
            </w:tcBorders>
            <w:shd w:val="clear" w:color="auto" w:fill="CCEEFF"/>
            <w:vAlign w:val="bottom"/>
          </w:tcPr>
          <w:p w14:paraId="5556E6E8" w14:textId="77777777" w:rsidR="00F925DD" w:rsidRDefault="00F925DD">
            <w:pPr>
              <w:textAlignment w:val="bottom"/>
              <w:rPr>
                <w:rFonts w:ascii="Times New Roman" w:hAnsi="Times New Roman"/>
                <w:sz w:val="20"/>
                <w:szCs w:val="20"/>
              </w:rPr>
            </w:pPr>
          </w:p>
        </w:tc>
      </w:tr>
      <w:tr w:rsidR="00F925DD" w14:paraId="5556E702" w14:textId="77777777">
        <w:tc>
          <w:tcPr>
            <w:tcW w:w="0" w:type="auto"/>
            <w:gridSpan w:val="5"/>
            <w:shd w:val="clear" w:color="auto" w:fill="auto"/>
            <w:tcMar>
              <w:top w:w="40" w:type="dxa"/>
              <w:left w:w="400" w:type="dxa"/>
              <w:bottom w:w="40" w:type="dxa"/>
              <w:right w:w="40" w:type="dxa"/>
            </w:tcMar>
            <w:vAlign w:val="bottom"/>
          </w:tcPr>
          <w:p w14:paraId="5556E6EA" w14:textId="77777777" w:rsidR="00F925DD" w:rsidRDefault="00E705D7">
            <w:pPr>
              <w:textAlignment w:val="bottom"/>
              <w:rPr>
                <w:rFonts w:ascii="Times New Roman" w:hAnsi="Times New Roman"/>
                <w:sz w:val="12"/>
                <w:szCs w:val="12"/>
              </w:rPr>
            </w:pPr>
            <w:r>
              <w:rPr>
                <w:rFonts w:ascii="Arial" w:eastAsia="宋体" w:hAnsi="Arial" w:cs="Arial"/>
                <w:sz w:val="12"/>
                <w:szCs w:val="12"/>
              </w:rPr>
              <w:t>Preferred stock</w:t>
            </w:r>
          </w:p>
        </w:tc>
        <w:tc>
          <w:tcPr>
            <w:tcW w:w="0" w:type="auto"/>
            <w:gridSpan w:val="2"/>
            <w:tcBorders>
              <w:top w:val="single" w:sz="8" w:space="0" w:color="000000"/>
            </w:tcBorders>
            <w:shd w:val="clear" w:color="auto" w:fill="auto"/>
            <w:tcMar>
              <w:top w:w="40" w:type="dxa"/>
              <w:left w:w="40" w:type="dxa"/>
              <w:bottom w:w="40" w:type="dxa"/>
            </w:tcMar>
            <w:vAlign w:val="bottom"/>
          </w:tcPr>
          <w:p w14:paraId="5556E6E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2,962</w:t>
            </w:r>
          </w:p>
        </w:tc>
        <w:tc>
          <w:tcPr>
            <w:tcW w:w="0" w:type="auto"/>
            <w:tcBorders>
              <w:top w:val="single" w:sz="8" w:space="0" w:color="000000"/>
            </w:tcBorders>
            <w:shd w:val="clear" w:color="auto" w:fill="auto"/>
            <w:vAlign w:val="bottom"/>
          </w:tcPr>
          <w:p w14:paraId="5556E6E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6EE"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2,962</w:t>
            </w:r>
          </w:p>
        </w:tc>
        <w:tc>
          <w:tcPr>
            <w:tcW w:w="0" w:type="auto"/>
            <w:tcBorders>
              <w:top w:val="single" w:sz="8" w:space="0" w:color="000000"/>
            </w:tcBorders>
            <w:shd w:val="clear" w:color="auto" w:fill="auto"/>
            <w:vAlign w:val="bottom"/>
          </w:tcPr>
          <w:p w14:paraId="5556E6E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F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3,690</w:t>
            </w:r>
          </w:p>
        </w:tc>
        <w:tc>
          <w:tcPr>
            <w:tcW w:w="0" w:type="auto"/>
            <w:shd w:val="clear" w:color="auto" w:fill="auto"/>
            <w:vAlign w:val="bottom"/>
          </w:tcPr>
          <w:p w14:paraId="5556E6F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F4"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3,690</w:t>
            </w:r>
          </w:p>
        </w:tc>
        <w:tc>
          <w:tcPr>
            <w:tcW w:w="0" w:type="auto"/>
            <w:shd w:val="clear" w:color="auto" w:fill="auto"/>
            <w:vAlign w:val="bottom"/>
          </w:tcPr>
          <w:p w14:paraId="5556E6F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F7"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E6F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F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vAlign w:val="bottom"/>
          </w:tcPr>
          <w:p w14:paraId="5556E6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6F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E6F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6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700"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vAlign w:val="bottom"/>
          </w:tcPr>
          <w:p w14:paraId="5556E701" w14:textId="77777777" w:rsidR="00F925DD" w:rsidRDefault="00F925DD">
            <w:pPr>
              <w:textAlignment w:val="bottom"/>
              <w:rPr>
                <w:rFonts w:ascii="Times New Roman" w:hAnsi="Times New Roman"/>
                <w:sz w:val="20"/>
                <w:szCs w:val="20"/>
              </w:rPr>
            </w:pPr>
          </w:p>
        </w:tc>
      </w:tr>
      <w:tr w:rsidR="00F925DD" w14:paraId="5556E71B" w14:textId="77777777">
        <w:tc>
          <w:tcPr>
            <w:tcW w:w="0" w:type="auto"/>
            <w:gridSpan w:val="5"/>
            <w:shd w:val="clear" w:color="auto" w:fill="CCEEFF"/>
            <w:tcMar>
              <w:top w:w="40" w:type="dxa"/>
              <w:left w:w="40" w:type="dxa"/>
              <w:bottom w:w="40" w:type="dxa"/>
              <w:right w:w="40" w:type="dxa"/>
            </w:tcMar>
            <w:vAlign w:val="bottom"/>
          </w:tcPr>
          <w:p w14:paraId="5556E703"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Tier 1 capital</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70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15,175</w:t>
            </w:r>
          </w:p>
        </w:tc>
        <w:tc>
          <w:tcPr>
            <w:tcW w:w="0" w:type="auto"/>
            <w:tcBorders>
              <w:top w:val="single" w:sz="8" w:space="0" w:color="000000"/>
              <w:bottom w:val="single" w:sz="8" w:space="0" w:color="000000"/>
            </w:tcBorders>
            <w:shd w:val="clear" w:color="auto" w:fill="CCEEFF"/>
            <w:vAlign w:val="bottom"/>
          </w:tcPr>
          <w:p w14:paraId="5556E7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707"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15,175</w:t>
            </w:r>
          </w:p>
        </w:tc>
        <w:tc>
          <w:tcPr>
            <w:tcW w:w="0" w:type="auto"/>
            <w:tcBorders>
              <w:top w:val="single" w:sz="8" w:space="0" w:color="000000"/>
              <w:bottom w:val="single" w:sz="8" w:space="0" w:color="000000"/>
            </w:tcBorders>
            <w:shd w:val="clear" w:color="auto" w:fill="CCEEFF"/>
            <w:vAlign w:val="bottom"/>
          </w:tcPr>
          <w:p w14:paraId="5556E70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70A"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15,270</w:t>
            </w:r>
          </w:p>
        </w:tc>
        <w:tc>
          <w:tcPr>
            <w:tcW w:w="0" w:type="auto"/>
            <w:tcBorders>
              <w:top w:val="single" w:sz="8" w:space="0" w:color="000000"/>
              <w:bottom w:val="single" w:sz="8" w:space="0" w:color="000000"/>
            </w:tcBorders>
            <w:shd w:val="clear" w:color="auto" w:fill="CCEEFF"/>
            <w:vAlign w:val="bottom"/>
          </w:tcPr>
          <w:p w14:paraId="5556E70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70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15,270</w:t>
            </w:r>
          </w:p>
        </w:tc>
        <w:tc>
          <w:tcPr>
            <w:tcW w:w="0" w:type="auto"/>
            <w:tcBorders>
              <w:top w:val="single" w:sz="8" w:space="0" w:color="000000"/>
              <w:bottom w:val="single" w:sz="8" w:space="0" w:color="000000"/>
            </w:tcBorders>
            <w:shd w:val="clear" w:color="auto" w:fill="CCEEFF"/>
            <w:vAlign w:val="bottom"/>
          </w:tcPr>
          <w:p w14:paraId="5556E70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71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16,617</w:t>
            </w:r>
          </w:p>
        </w:tc>
        <w:tc>
          <w:tcPr>
            <w:tcW w:w="0" w:type="auto"/>
            <w:tcBorders>
              <w:top w:val="single" w:sz="8" w:space="0" w:color="000000"/>
              <w:bottom w:val="single" w:sz="8" w:space="0" w:color="000000"/>
            </w:tcBorders>
            <w:shd w:val="clear" w:color="auto" w:fill="CCEEFF"/>
            <w:vAlign w:val="bottom"/>
          </w:tcPr>
          <w:p w14:paraId="5556E71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713"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16,617</w:t>
            </w:r>
          </w:p>
        </w:tc>
        <w:tc>
          <w:tcPr>
            <w:tcW w:w="0" w:type="auto"/>
            <w:tcBorders>
              <w:top w:val="single" w:sz="8" w:space="0" w:color="000000"/>
              <w:bottom w:val="single" w:sz="8" w:space="0" w:color="000000"/>
            </w:tcBorders>
            <w:shd w:val="clear" w:color="auto" w:fill="CCEEFF"/>
            <w:vAlign w:val="bottom"/>
          </w:tcPr>
          <w:p w14:paraId="5556E71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71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16,941</w:t>
            </w:r>
          </w:p>
        </w:tc>
        <w:tc>
          <w:tcPr>
            <w:tcW w:w="0" w:type="auto"/>
            <w:tcBorders>
              <w:top w:val="single" w:sz="8" w:space="0" w:color="000000"/>
              <w:bottom w:val="single" w:sz="8" w:space="0" w:color="000000"/>
            </w:tcBorders>
            <w:shd w:val="clear" w:color="auto" w:fill="CCEEFF"/>
            <w:vAlign w:val="bottom"/>
          </w:tcPr>
          <w:p w14:paraId="5556E71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719"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16,941</w:t>
            </w:r>
          </w:p>
        </w:tc>
        <w:tc>
          <w:tcPr>
            <w:tcW w:w="0" w:type="auto"/>
            <w:tcBorders>
              <w:top w:val="single" w:sz="8" w:space="0" w:color="000000"/>
              <w:bottom w:val="single" w:sz="8" w:space="0" w:color="000000"/>
            </w:tcBorders>
            <w:shd w:val="clear" w:color="auto" w:fill="CCEEFF"/>
            <w:vAlign w:val="bottom"/>
          </w:tcPr>
          <w:p w14:paraId="5556E71A" w14:textId="77777777" w:rsidR="00F925DD" w:rsidRDefault="00F925DD">
            <w:pPr>
              <w:textAlignment w:val="bottom"/>
              <w:rPr>
                <w:rFonts w:ascii="Times New Roman" w:hAnsi="Times New Roman"/>
                <w:sz w:val="20"/>
                <w:szCs w:val="20"/>
              </w:rPr>
            </w:pPr>
          </w:p>
        </w:tc>
      </w:tr>
      <w:tr w:rsidR="00F925DD" w14:paraId="5556E734" w14:textId="77777777">
        <w:tc>
          <w:tcPr>
            <w:tcW w:w="0" w:type="auto"/>
            <w:gridSpan w:val="5"/>
            <w:shd w:val="clear" w:color="auto" w:fill="auto"/>
            <w:tcMar>
              <w:top w:w="40" w:type="dxa"/>
              <w:left w:w="400" w:type="dxa"/>
              <w:bottom w:w="40" w:type="dxa"/>
              <w:right w:w="40" w:type="dxa"/>
            </w:tcMar>
            <w:vAlign w:val="bottom"/>
          </w:tcPr>
          <w:p w14:paraId="5556E71C" w14:textId="77777777" w:rsidR="00F925DD" w:rsidRDefault="00E705D7">
            <w:pPr>
              <w:textAlignment w:val="bottom"/>
              <w:rPr>
                <w:rFonts w:ascii="Times New Roman" w:hAnsi="Times New Roman"/>
                <w:sz w:val="12"/>
                <w:szCs w:val="12"/>
              </w:rPr>
            </w:pPr>
            <w:r>
              <w:rPr>
                <w:rFonts w:ascii="Arial" w:eastAsia="宋体" w:hAnsi="Arial" w:cs="Arial"/>
                <w:sz w:val="12"/>
                <w:szCs w:val="12"/>
              </w:rPr>
              <w:t>Qualifying subordinated long-term debt</w:t>
            </w:r>
          </w:p>
        </w:tc>
        <w:tc>
          <w:tcPr>
            <w:tcW w:w="0" w:type="auto"/>
            <w:gridSpan w:val="2"/>
            <w:tcBorders>
              <w:top w:val="single" w:sz="8" w:space="0" w:color="000000"/>
            </w:tcBorders>
            <w:shd w:val="clear" w:color="auto" w:fill="auto"/>
            <w:tcMar>
              <w:top w:w="40" w:type="dxa"/>
              <w:left w:w="40" w:type="dxa"/>
              <w:bottom w:w="40" w:type="dxa"/>
            </w:tcMar>
            <w:vAlign w:val="bottom"/>
          </w:tcPr>
          <w:p w14:paraId="5556E71D"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1,095</w:t>
            </w:r>
          </w:p>
        </w:tc>
        <w:tc>
          <w:tcPr>
            <w:tcW w:w="0" w:type="auto"/>
            <w:tcBorders>
              <w:top w:val="single" w:sz="8" w:space="0" w:color="000000"/>
            </w:tcBorders>
            <w:shd w:val="clear" w:color="auto" w:fill="auto"/>
            <w:vAlign w:val="bottom"/>
          </w:tcPr>
          <w:p w14:paraId="5556E71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72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1,095</w:t>
            </w:r>
          </w:p>
        </w:tc>
        <w:tc>
          <w:tcPr>
            <w:tcW w:w="0" w:type="auto"/>
            <w:tcBorders>
              <w:top w:val="single" w:sz="8" w:space="0" w:color="000000"/>
            </w:tcBorders>
            <w:shd w:val="clear" w:color="auto" w:fill="auto"/>
            <w:vAlign w:val="bottom"/>
          </w:tcPr>
          <w:p w14:paraId="5556E72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72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778</w:t>
            </w:r>
          </w:p>
        </w:tc>
        <w:tc>
          <w:tcPr>
            <w:tcW w:w="0" w:type="auto"/>
            <w:tcBorders>
              <w:top w:val="single" w:sz="8" w:space="0" w:color="000000"/>
            </w:tcBorders>
            <w:shd w:val="clear" w:color="auto" w:fill="auto"/>
            <w:vAlign w:val="bottom"/>
          </w:tcPr>
          <w:p w14:paraId="5556E72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72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778</w:t>
            </w:r>
          </w:p>
        </w:tc>
        <w:tc>
          <w:tcPr>
            <w:tcW w:w="0" w:type="auto"/>
            <w:tcBorders>
              <w:top w:val="single" w:sz="8" w:space="0" w:color="000000"/>
            </w:tcBorders>
            <w:shd w:val="clear" w:color="auto" w:fill="auto"/>
            <w:vAlign w:val="bottom"/>
          </w:tcPr>
          <w:p w14:paraId="5556E72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72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1,099</w:t>
            </w:r>
          </w:p>
        </w:tc>
        <w:tc>
          <w:tcPr>
            <w:tcW w:w="0" w:type="auto"/>
            <w:tcBorders>
              <w:top w:val="single" w:sz="8" w:space="0" w:color="000000"/>
            </w:tcBorders>
            <w:shd w:val="clear" w:color="auto" w:fill="auto"/>
            <w:vAlign w:val="bottom"/>
          </w:tcPr>
          <w:p w14:paraId="5556E7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72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1,099</w:t>
            </w:r>
          </w:p>
        </w:tc>
        <w:tc>
          <w:tcPr>
            <w:tcW w:w="0" w:type="auto"/>
            <w:tcBorders>
              <w:top w:val="single" w:sz="8" w:space="0" w:color="000000"/>
            </w:tcBorders>
            <w:shd w:val="clear" w:color="auto" w:fill="auto"/>
            <w:vAlign w:val="bottom"/>
          </w:tcPr>
          <w:p w14:paraId="5556E7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72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776</w:t>
            </w:r>
          </w:p>
        </w:tc>
        <w:tc>
          <w:tcPr>
            <w:tcW w:w="0" w:type="auto"/>
            <w:tcBorders>
              <w:top w:val="single" w:sz="8" w:space="0" w:color="000000"/>
            </w:tcBorders>
            <w:shd w:val="clear" w:color="auto" w:fill="auto"/>
            <w:vAlign w:val="bottom"/>
          </w:tcPr>
          <w:p w14:paraId="5556E73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73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776</w:t>
            </w:r>
          </w:p>
        </w:tc>
        <w:tc>
          <w:tcPr>
            <w:tcW w:w="0" w:type="auto"/>
            <w:tcBorders>
              <w:top w:val="single" w:sz="8" w:space="0" w:color="000000"/>
            </w:tcBorders>
            <w:shd w:val="clear" w:color="auto" w:fill="auto"/>
            <w:vAlign w:val="bottom"/>
          </w:tcPr>
          <w:p w14:paraId="5556E733" w14:textId="77777777" w:rsidR="00F925DD" w:rsidRDefault="00F925DD">
            <w:pPr>
              <w:textAlignment w:val="bottom"/>
              <w:rPr>
                <w:rFonts w:ascii="Times New Roman" w:hAnsi="Times New Roman"/>
                <w:sz w:val="20"/>
                <w:szCs w:val="20"/>
              </w:rPr>
            </w:pPr>
          </w:p>
        </w:tc>
      </w:tr>
      <w:tr w:rsidR="00F925DD" w14:paraId="5556E74D" w14:textId="77777777">
        <w:tc>
          <w:tcPr>
            <w:tcW w:w="0" w:type="auto"/>
            <w:gridSpan w:val="5"/>
            <w:shd w:val="clear" w:color="auto" w:fill="CCEEFF"/>
            <w:tcMar>
              <w:top w:w="40" w:type="dxa"/>
              <w:left w:w="400" w:type="dxa"/>
              <w:bottom w:w="40" w:type="dxa"/>
              <w:right w:w="40" w:type="dxa"/>
            </w:tcMar>
            <w:vAlign w:val="bottom"/>
          </w:tcPr>
          <w:p w14:paraId="5556E735" w14:textId="77777777" w:rsidR="00F925DD" w:rsidRDefault="00E705D7">
            <w:pPr>
              <w:textAlignment w:val="bottom"/>
              <w:rPr>
                <w:rFonts w:ascii="Times New Roman" w:hAnsi="Times New Roman"/>
                <w:sz w:val="12"/>
                <w:szCs w:val="12"/>
              </w:rPr>
            </w:pPr>
            <w:r>
              <w:rPr>
                <w:rFonts w:ascii="Arial" w:eastAsia="宋体" w:hAnsi="Arial" w:cs="Arial"/>
                <w:sz w:val="12"/>
                <w:szCs w:val="12"/>
              </w:rPr>
              <w:t>Allowance for loan losses and other</w:t>
            </w:r>
          </w:p>
        </w:tc>
        <w:tc>
          <w:tcPr>
            <w:tcW w:w="0" w:type="auto"/>
            <w:gridSpan w:val="2"/>
            <w:shd w:val="clear" w:color="auto" w:fill="CCEEFF"/>
            <w:tcMar>
              <w:top w:w="40" w:type="dxa"/>
              <w:left w:w="40" w:type="dxa"/>
              <w:bottom w:w="40" w:type="dxa"/>
            </w:tcMar>
            <w:vAlign w:val="bottom"/>
          </w:tcPr>
          <w:p w14:paraId="5556E73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5</w:t>
            </w:r>
          </w:p>
        </w:tc>
        <w:tc>
          <w:tcPr>
            <w:tcW w:w="0" w:type="auto"/>
            <w:shd w:val="clear" w:color="auto" w:fill="CCEEFF"/>
            <w:vAlign w:val="bottom"/>
          </w:tcPr>
          <w:p w14:paraId="5556E73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3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90</w:t>
            </w:r>
          </w:p>
        </w:tc>
        <w:tc>
          <w:tcPr>
            <w:tcW w:w="0" w:type="auto"/>
            <w:shd w:val="clear" w:color="auto" w:fill="CCEEFF"/>
            <w:vAlign w:val="bottom"/>
          </w:tcPr>
          <w:p w14:paraId="5556E7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3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14</w:t>
            </w:r>
          </w:p>
        </w:tc>
        <w:tc>
          <w:tcPr>
            <w:tcW w:w="0" w:type="auto"/>
            <w:shd w:val="clear" w:color="auto" w:fill="CCEEFF"/>
            <w:vAlign w:val="bottom"/>
          </w:tcPr>
          <w:p w14:paraId="5556E73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3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83</w:t>
            </w:r>
          </w:p>
        </w:tc>
        <w:tc>
          <w:tcPr>
            <w:tcW w:w="0" w:type="auto"/>
            <w:shd w:val="clear" w:color="auto" w:fill="CCEEFF"/>
            <w:vAlign w:val="bottom"/>
          </w:tcPr>
          <w:p w14:paraId="5556E7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42"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3</w:t>
            </w:r>
          </w:p>
        </w:tc>
        <w:tc>
          <w:tcPr>
            <w:tcW w:w="0" w:type="auto"/>
            <w:shd w:val="clear" w:color="auto" w:fill="CCEEFF"/>
            <w:vAlign w:val="bottom"/>
          </w:tcPr>
          <w:p w14:paraId="5556E74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4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90</w:t>
            </w:r>
          </w:p>
        </w:tc>
        <w:tc>
          <w:tcPr>
            <w:tcW w:w="0" w:type="auto"/>
            <w:shd w:val="clear" w:color="auto" w:fill="CCEEFF"/>
            <w:vAlign w:val="bottom"/>
          </w:tcPr>
          <w:p w14:paraId="5556E74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4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w:t>
            </w:r>
          </w:p>
        </w:tc>
        <w:tc>
          <w:tcPr>
            <w:tcW w:w="0" w:type="auto"/>
            <w:shd w:val="clear" w:color="auto" w:fill="CCEEFF"/>
            <w:vAlign w:val="bottom"/>
          </w:tcPr>
          <w:p w14:paraId="5556E74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4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83</w:t>
            </w:r>
          </w:p>
        </w:tc>
        <w:tc>
          <w:tcPr>
            <w:tcW w:w="0" w:type="auto"/>
            <w:shd w:val="clear" w:color="auto" w:fill="CCEEFF"/>
            <w:vAlign w:val="bottom"/>
          </w:tcPr>
          <w:p w14:paraId="5556E74C" w14:textId="77777777" w:rsidR="00F925DD" w:rsidRDefault="00F925DD">
            <w:pPr>
              <w:textAlignment w:val="bottom"/>
              <w:rPr>
                <w:rFonts w:ascii="Times New Roman" w:hAnsi="Times New Roman"/>
                <w:sz w:val="20"/>
                <w:szCs w:val="20"/>
              </w:rPr>
            </w:pPr>
          </w:p>
        </w:tc>
      </w:tr>
      <w:tr w:rsidR="00F925DD" w14:paraId="5556E76E" w14:textId="77777777">
        <w:tc>
          <w:tcPr>
            <w:tcW w:w="0" w:type="auto"/>
            <w:gridSpan w:val="5"/>
            <w:shd w:val="clear" w:color="auto" w:fill="auto"/>
            <w:tcMar>
              <w:top w:w="40" w:type="dxa"/>
              <w:left w:w="40" w:type="dxa"/>
              <w:bottom w:w="40" w:type="dxa"/>
              <w:right w:w="40" w:type="dxa"/>
            </w:tcMar>
            <w:vAlign w:val="bottom"/>
          </w:tcPr>
          <w:p w14:paraId="5556E74E"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Total capital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74F"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75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16,275</w:t>
            </w:r>
          </w:p>
        </w:tc>
        <w:tc>
          <w:tcPr>
            <w:tcW w:w="0" w:type="auto"/>
            <w:tcBorders>
              <w:top w:val="single" w:sz="8" w:space="0" w:color="000000"/>
              <w:bottom w:val="double" w:sz="6" w:space="0" w:color="000000"/>
            </w:tcBorders>
            <w:shd w:val="clear" w:color="auto" w:fill="auto"/>
            <w:vAlign w:val="bottom"/>
          </w:tcPr>
          <w:p w14:paraId="5556E7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52" w14:textId="77777777" w:rsidR="00F925DD" w:rsidRDefault="00F925DD">
            <w:pPr>
              <w:textAlignment w:val="bottom"/>
              <w:rPr>
                <w:rFonts w:ascii="Times New Roman" w:hAnsi="Times New Roman"/>
                <w:sz w:val="12"/>
                <w:szCs w:val="12"/>
              </w:rPr>
            </w:pP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753"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75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16,360</w:t>
            </w:r>
          </w:p>
        </w:tc>
        <w:tc>
          <w:tcPr>
            <w:tcW w:w="0" w:type="auto"/>
            <w:tcBorders>
              <w:top w:val="single" w:sz="8" w:space="0" w:color="000000"/>
              <w:bottom w:val="double" w:sz="6" w:space="0" w:color="000000"/>
            </w:tcBorders>
            <w:shd w:val="clear" w:color="auto" w:fill="auto"/>
            <w:vAlign w:val="bottom"/>
          </w:tcPr>
          <w:p w14:paraId="5556E75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757"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75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16,062</w:t>
            </w:r>
          </w:p>
        </w:tc>
        <w:tc>
          <w:tcPr>
            <w:tcW w:w="0" w:type="auto"/>
            <w:tcBorders>
              <w:top w:val="single" w:sz="8" w:space="0" w:color="000000"/>
              <w:bottom w:val="double" w:sz="6" w:space="0" w:color="000000"/>
            </w:tcBorders>
            <w:shd w:val="clear" w:color="auto" w:fill="auto"/>
            <w:vAlign w:val="bottom"/>
          </w:tcPr>
          <w:p w14:paraId="5556E75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75B"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75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16,131</w:t>
            </w:r>
          </w:p>
        </w:tc>
        <w:tc>
          <w:tcPr>
            <w:tcW w:w="0" w:type="auto"/>
            <w:tcBorders>
              <w:top w:val="single" w:sz="8" w:space="0" w:color="000000"/>
              <w:bottom w:val="double" w:sz="6" w:space="0" w:color="000000"/>
            </w:tcBorders>
            <w:shd w:val="clear" w:color="auto" w:fill="auto"/>
            <w:vAlign w:val="bottom"/>
          </w:tcPr>
          <w:p w14:paraId="5556E75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75F"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76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17,719</w:t>
            </w:r>
          </w:p>
        </w:tc>
        <w:tc>
          <w:tcPr>
            <w:tcW w:w="0" w:type="auto"/>
            <w:tcBorders>
              <w:top w:val="single" w:sz="8" w:space="0" w:color="000000"/>
              <w:bottom w:val="double" w:sz="6" w:space="0" w:color="000000"/>
            </w:tcBorders>
            <w:shd w:val="clear" w:color="auto" w:fill="auto"/>
            <w:vAlign w:val="bottom"/>
          </w:tcPr>
          <w:p w14:paraId="5556E76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763"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764"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17,806</w:t>
            </w:r>
          </w:p>
        </w:tc>
        <w:tc>
          <w:tcPr>
            <w:tcW w:w="0" w:type="auto"/>
            <w:tcBorders>
              <w:top w:val="single" w:sz="8" w:space="0" w:color="000000"/>
              <w:bottom w:val="double" w:sz="6" w:space="0" w:color="000000"/>
            </w:tcBorders>
            <w:shd w:val="clear" w:color="auto" w:fill="auto"/>
            <w:vAlign w:val="bottom"/>
          </w:tcPr>
          <w:p w14:paraId="5556E76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767"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76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17,728</w:t>
            </w:r>
          </w:p>
        </w:tc>
        <w:tc>
          <w:tcPr>
            <w:tcW w:w="0" w:type="auto"/>
            <w:tcBorders>
              <w:top w:val="single" w:sz="8" w:space="0" w:color="000000"/>
              <w:bottom w:val="double" w:sz="6" w:space="0" w:color="000000"/>
            </w:tcBorders>
            <w:shd w:val="clear" w:color="auto" w:fill="auto"/>
            <w:vAlign w:val="bottom"/>
          </w:tcPr>
          <w:p w14:paraId="5556E76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76B"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76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17,800</w:t>
            </w:r>
          </w:p>
        </w:tc>
        <w:tc>
          <w:tcPr>
            <w:tcW w:w="0" w:type="auto"/>
            <w:tcBorders>
              <w:top w:val="single" w:sz="8" w:space="0" w:color="000000"/>
              <w:bottom w:val="double" w:sz="6" w:space="0" w:color="000000"/>
            </w:tcBorders>
            <w:shd w:val="clear" w:color="auto" w:fill="auto"/>
            <w:vAlign w:val="bottom"/>
          </w:tcPr>
          <w:p w14:paraId="5556E76D" w14:textId="77777777" w:rsidR="00F925DD" w:rsidRDefault="00F925DD">
            <w:pPr>
              <w:textAlignment w:val="bottom"/>
              <w:rPr>
                <w:rFonts w:ascii="Times New Roman" w:hAnsi="Times New Roman"/>
                <w:sz w:val="20"/>
                <w:szCs w:val="20"/>
              </w:rPr>
            </w:pPr>
          </w:p>
        </w:tc>
      </w:tr>
      <w:tr w:rsidR="00F925DD" w14:paraId="5556E77F" w14:textId="77777777">
        <w:tc>
          <w:tcPr>
            <w:tcW w:w="0" w:type="auto"/>
            <w:gridSpan w:val="5"/>
            <w:shd w:val="clear" w:color="auto" w:fill="CCEEFF"/>
            <w:tcMar>
              <w:top w:w="40" w:type="dxa"/>
              <w:left w:w="40" w:type="dxa"/>
              <w:bottom w:w="40" w:type="dxa"/>
              <w:right w:w="40" w:type="dxa"/>
            </w:tcMar>
            <w:vAlign w:val="bottom"/>
          </w:tcPr>
          <w:p w14:paraId="5556E76F"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w:t>
            </w:r>
            <w:r>
              <w:rPr>
                <w:rFonts w:ascii="Arial" w:eastAsia="宋体" w:hAnsi="Arial" w:cs="Arial"/>
                <w:b/>
                <w:bCs/>
                <w:sz w:val="12"/>
                <w:szCs w:val="12"/>
              </w:rPr>
              <w:t>Risk-weighted assets:</w:t>
            </w:r>
          </w:p>
        </w:tc>
        <w:tc>
          <w:tcPr>
            <w:tcW w:w="0" w:type="auto"/>
            <w:gridSpan w:val="3"/>
            <w:shd w:val="clear" w:color="auto" w:fill="CCEEFF"/>
            <w:tcMar>
              <w:top w:w="40" w:type="dxa"/>
              <w:left w:w="40" w:type="dxa"/>
              <w:bottom w:w="40" w:type="dxa"/>
              <w:right w:w="40" w:type="dxa"/>
            </w:tcMar>
            <w:vAlign w:val="bottom"/>
          </w:tcPr>
          <w:p w14:paraId="5556E7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7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7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7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7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7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7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7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7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7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7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7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7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7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7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7A0" w14:textId="77777777">
        <w:tc>
          <w:tcPr>
            <w:tcW w:w="0" w:type="auto"/>
            <w:gridSpan w:val="5"/>
            <w:shd w:val="clear" w:color="auto" w:fill="auto"/>
            <w:tcMar>
              <w:top w:w="40" w:type="dxa"/>
              <w:left w:w="240" w:type="dxa"/>
              <w:bottom w:w="40" w:type="dxa"/>
              <w:right w:w="40" w:type="dxa"/>
            </w:tcMar>
            <w:vAlign w:val="bottom"/>
          </w:tcPr>
          <w:p w14:paraId="5556E780" w14:textId="77777777" w:rsidR="00F925DD" w:rsidRDefault="00E705D7">
            <w:pPr>
              <w:textAlignment w:val="bottom"/>
              <w:rPr>
                <w:rFonts w:ascii="Times New Roman" w:hAnsi="Times New Roman"/>
                <w:sz w:val="12"/>
                <w:szCs w:val="12"/>
              </w:rPr>
            </w:pPr>
            <w:r>
              <w:rPr>
                <w:rFonts w:ascii="Arial" w:eastAsia="宋体" w:hAnsi="Arial" w:cs="Arial"/>
                <w:sz w:val="12"/>
                <w:szCs w:val="12"/>
              </w:rPr>
              <w:t>Credit risk</w:t>
            </w:r>
            <w:r>
              <w:rPr>
                <w:rFonts w:ascii="Arial" w:eastAsia="宋体" w:hAnsi="Arial" w:cs="Arial"/>
                <w:sz w:val="8"/>
                <w:szCs w:val="8"/>
              </w:rPr>
              <w:t>(2)</w:t>
            </w:r>
          </w:p>
        </w:tc>
        <w:tc>
          <w:tcPr>
            <w:tcW w:w="0" w:type="auto"/>
            <w:shd w:val="clear" w:color="auto" w:fill="auto"/>
            <w:tcMar>
              <w:top w:w="40" w:type="dxa"/>
              <w:left w:w="40" w:type="dxa"/>
              <w:bottom w:w="40" w:type="dxa"/>
            </w:tcMar>
            <w:vAlign w:val="bottom"/>
          </w:tcPr>
          <w:p w14:paraId="5556E781"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5556E782"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54,763</w:t>
            </w:r>
          </w:p>
        </w:tc>
        <w:tc>
          <w:tcPr>
            <w:tcW w:w="0" w:type="auto"/>
            <w:shd w:val="clear" w:color="auto" w:fill="auto"/>
            <w:vAlign w:val="bottom"/>
          </w:tcPr>
          <w:p w14:paraId="5556E78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785"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5556E78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102,367</w:t>
            </w:r>
          </w:p>
        </w:tc>
        <w:tc>
          <w:tcPr>
            <w:tcW w:w="0" w:type="auto"/>
            <w:shd w:val="clear" w:color="auto" w:fill="auto"/>
            <w:vAlign w:val="bottom"/>
          </w:tcPr>
          <w:p w14:paraId="5556E78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789"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5556E78A"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47,738</w:t>
            </w:r>
          </w:p>
        </w:tc>
        <w:tc>
          <w:tcPr>
            <w:tcW w:w="0" w:type="auto"/>
            <w:shd w:val="clear" w:color="auto" w:fill="auto"/>
            <w:vAlign w:val="bottom"/>
          </w:tcPr>
          <w:p w14:paraId="5556E78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78D"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5556E78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97,303</w:t>
            </w:r>
          </w:p>
        </w:tc>
        <w:tc>
          <w:tcPr>
            <w:tcW w:w="0" w:type="auto"/>
            <w:shd w:val="clear" w:color="auto" w:fill="auto"/>
            <w:vAlign w:val="bottom"/>
          </w:tcPr>
          <w:p w14:paraId="5556E78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791"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5556E792"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51,610</w:t>
            </w:r>
          </w:p>
        </w:tc>
        <w:tc>
          <w:tcPr>
            <w:tcW w:w="0" w:type="auto"/>
            <w:shd w:val="clear" w:color="auto" w:fill="auto"/>
            <w:vAlign w:val="bottom"/>
          </w:tcPr>
          <w:p w14:paraId="5556E79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795"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auto"/>
            <w:tcMar>
              <w:top w:w="40" w:type="dxa"/>
              <w:bottom w:w="40" w:type="dxa"/>
            </w:tcMar>
            <w:vAlign w:val="bottom"/>
          </w:tcPr>
          <w:p w14:paraId="5556E79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98,979</w:t>
            </w:r>
          </w:p>
        </w:tc>
        <w:tc>
          <w:tcPr>
            <w:tcW w:w="0" w:type="auto"/>
            <w:shd w:val="clear" w:color="auto" w:fill="auto"/>
            <w:vAlign w:val="bottom"/>
          </w:tcPr>
          <w:p w14:paraId="5556E79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799"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5556E79A"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45,565</w:t>
            </w:r>
          </w:p>
        </w:tc>
        <w:tc>
          <w:tcPr>
            <w:tcW w:w="0" w:type="auto"/>
            <w:shd w:val="clear" w:color="auto" w:fill="auto"/>
            <w:vAlign w:val="bottom"/>
          </w:tcPr>
          <w:p w14:paraId="5556E7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79D"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auto"/>
            <w:tcMar>
              <w:top w:w="40" w:type="dxa"/>
              <w:bottom w:w="40" w:type="dxa"/>
            </w:tcMar>
            <w:vAlign w:val="bottom"/>
          </w:tcPr>
          <w:p w14:paraId="5556E79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94,776</w:t>
            </w:r>
          </w:p>
        </w:tc>
        <w:tc>
          <w:tcPr>
            <w:tcW w:w="0" w:type="auto"/>
            <w:shd w:val="clear" w:color="auto" w:fill="auto"/>
            <w:vAlign w:val="bottom"/>
          </w:tcPr>
          <w:p w14:paraId="5556E79F" w14:textId="77777777" w:rsidR="00F925DD" w:rsidRDefault="00F925DD">
            <w:pPr>
              <w:textAlignment w:val="bottom"/>
              <w:rPr>
                <w:rFonts w:ascii="Times New Roman" w:hAnsi="Times New Roman"/>
                <w:sz w:val="20"/>
                <w:szCs w:val="20"/>
              </w:rPr>
            </w:pPr>
          </w:p>
        </w:tc>
      </w:tr>
      <w:tr w:rsidR="00F925DD" w14:paraId="5556E7B9" w14:textId="77777777">
        <w:tc>
          <w:tcPr>
            <w:tcW w:w="0" w:type="auto"/>
            <w:gridSpan w:val="5"/>
            <w:shd w:val="clear" w:color="auto" w:fill="CCEEFF"/>
            <w:tcMar>
              <w:top w:w="40" w:type="dxa"/>
              <w:left w:w="240" w:type="dxa"/>
              <w:bottom w:w="40" w:type="dxa"/>
              <w:right w:w="40" w:type="dxa"/>
            </w:tcMar>
            <w:vAlign w:val="bottom"/>
          </w:tcPr>
          <w:p w14:paraId="5556E7A1" w14:textId="77777777" w:rsidR="00F925DD" w:rsidRDefault="00E705D7">
            <w:pPr>
              <w:textAlignment w:val="bottom"/>
              <w:rPr>
                <w:rFonts w:ascii="Times New Roman" w:hAnsi="Times New Roman"/>
                <w:sz w:val="12"/>
                <w:szCs w:val="12"/>
              </w:rPr>
            </w:pPr>
            <w:r>
              <w:rPr>
                <w:rFonts w:ascii="Arial" w:eastAsia="宋体" w:hAnsi="Arial" w:cs="Arial"/>
                <w:sz w:val="12"/>
                <w:szCs w:val="12"/>
              </w:rPr>
              <w:t>Operational risk</w:t>
            </w:r>
            <w:r>
              <w:rPr>
                <w:rFonts w:ascii="Arial" w:eastAsia="宋体" w:hAnsi="Arial" w:cs="Arial"/>
                <w:sz w:val="8"/>
                <w:szCs w:val="8"/>
              </w:rPr>
              <w:t>(3)</w:t>
            </w:r>
          </w:p>
        </w:tc>
        <w:tc>
          <w:tcPr>
            <w:tcW w:w="0" w:type="auto"/>
            <w:gridSpan w:val="2"/>
            <w:shd w:val="clear" w:color="auto" w:fill="CCEEFF"/>
            <w:tcMar>
              <w:top w:w="40" w:type="dxa"/>
              <w:left w:w="40" w:type="dxa"/>
              <w:bottom w:w="40" w:type="dxa"/>
            </w:tcMar>
            <w:vAlign w:val="bottom"/>
          </w:tcPr>
          <w:p w14:paraId="5556E7A2"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47,963</w:t>
            </w:r>
          </w:p>
        </w:tc>
        <w:tc>
          <w:tcPr>
            <w:tcW w:w="0" w:type="auto"/>
            <w:shd w:val="clear" w:color="auto" w:fill="CCEEFF"/>
            <w:vAlign w:val="bottom"/>
          </w:tcPr>
          <w:p w14:paraId="5556E7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A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 NA</w:t>
            </w:r>
          </w:p>
        </w:tc>
        <w:tc>
          <w:tcPr>
            <w:tcW w:w="0" w:type="auto"/>
            <w:shd w:val="clear" w:color="auto" w:fill="CCEEFF"/>
            <w:vAlign w:val="bottom"/>
          </w:tcPr>
          <w:p w14:paraId="5556E7A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A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46,060</w:t>
            </w:r>
          </w:p>
        </w:tc>
        <w:tc>
          <w:tcPr>
            <w:tcW w:w="0" w:type="auto"/>
            <w:shd w:val="clear" w:color="auto" w:fill="CCEEFF"/>
            <w:vAlign w:val="bottom"/>
          </w:tcPr>
          <w:p w14:paraId="5556E7A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A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NA</w:t>
            </w:r>
          </w:p>
        </w:tc>
        <w:tc>
          <w:tcPr>
            <w:tcW w:w="0" w:type="auto"/>
            <w:shd w:val="clear" w:color="auto" w:fill="CCEEFF"/>
            <w:vAlign w:val="bottom"/>
          </w:tcPr>
          <w:p w14:paraId="5556E7A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AE"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44,138</w:t>
            </w:r>
          </w:p>
        </w:tc>
        <w:tc>
          <w:tcPr>
            <w:tcW w:w="0" w:type="auto"/>
            <w:shd w:val="clear" w:color="auto" w:fill="CCEEFF"/>
            <w:vAlign w:val="bottom"/>
          </w:tcPr>
          <w:p w14:paraId="5556E7A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B1"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NA</w:t>
            </w:r>
          </w:p>
        </w:tc>
        <w:tc>
          <w:tcPr>
            <w:tcW w:w="0" w:type="auto"/>
            <w:shd w:val="clear" w:color="auto" w:fill="CCEEFF"/>
            <w:vAlign w:val="bottom"/>
          </w:tcPr>
          <w:p w14:paraId="5556E7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B4"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44,494</w:t>
            </w:r>
          </w:p>
        </w:tc>
        <w:tc>
          <w:tcPr>
            <w:tcW w:w="0" w:type="auto"/>
            <w:shd w:val="clear" w:color="auto" w:fill="CCEEFF"/>
            <w:vAlign w:val="bottom"/>
          </w:tcPr>
          <w:p w14:paraId="5556E7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7B7"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NA</w:t>
            </w:r>
          </w:p>
        </w:tc>
        <w:tc>
          <w:tcPr>
            <w:tcW w:w="0" w:type="auto"/>
            <w:shd w:val="clear" w:color="auto" w:fill="CCEEFF"/>
            <w:vAlign w:val="bottom"/>
          </w:tcPr>
          <w:p w14:paraId="5556E7B8" w14:textId="77777777" w:rsidR="00F925DD" w:rsidRDefault="00F925DD">
            <w:pPr>
              <w:textAlignment w:val="bottom"/>
              <w:rPr>
                <w:rFonts w:ascii="Times New Roman" w:hAnsi="Times New Roman"/>
                <w:sz w:val="20"/>
                <w:szCs w:val="20"/>
              </w:rPr>
            </w:pPr>
          </w:p>
        </w:tc>
      </w:tr>
      <w:tr w:rsidR="00F925DD" w14:paraId="5556E7D2" w14:textId="77777777">
        <w:tc>
          <w:tcPr>
            <w:tcW w:w="0" w:type="auto"/>
            <w:gridSpan w:val="5"/>
            <w:shd w:val="clear" w:color="auto" w:fill="auto"/>
            <w:tcMar>
              <w:top w:w="40" w:type="dxa"/>
              <w:left w:w="240" w:type="dxa"/>
              <w:bottom w:w="40" w:type="dxa"/>
              <w:right w:w="40" w:type="dxa"/>
            </w:tcMar>
            <w:vAlign w:val="bottom"/>
          </w:tcPr>
          <w:p w14:paraId="5556E7BA" w14:textId="77777777" w:rsidR="00F925DD" w:rsidRDefault="00E705D7">
            <w:pPr>
              <w:textAlignment w:val="bottom"/>
              <w:rPr>
                <w:rFonts w:ascii="Times New Roman" w:hAnsi="Times New Roman"/>
                <w:sz w:val="12"/>
                <w:szCs w:val="12"/>
              </w:rPr>
            </w:pPr>
            <w:r>
              <w:rPr>
                <w:rFonts w:ascii="Arial" w:eastAsia="宋体" w:hAnsi="Arial" w:cs="Arial"/>
                <w:sz w:val="12"/>
                <w:szCs w:val="12"/>
              </w:rPr>
              <w:t>Market risk</w:t>
            </w:r>
          </w:p>
        </w:tc>
        <w:tc>
          <w:tcPr>
            <w:tcW w:w="0" w:type="auto"/>
            <w:gridSpan w:val="2"/>
            <w:tcBorders>
              <w:bottom w:val="single" w:sz="8" w:space="0" w:color="000000"/>
            </w:tcBorders>
            <w:shd w:val="clear" w:color="auto" w:fill="auto"/>
            <w:tcMar>
              <w:top w:w="40" w:type="dxa"/>
              <w:left w:w="40" w:type="dxa"/>
              <w:bottom w:w="40" w:type="dxa"/>
            </w:tcMar>
            <w:vAlign w:val="bottom"/>
          </w:tcPr>
          <w:p w14:paraId="5556E7BB"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1,638</w:t>
            </w:r>
          </w:p>
        </w:tc>
        <w:tc>
          <w:tcPr>
            <w:tcW w:w="0" w:type="auto"/>
            <w:tcBorders>
              <w:bottom w:val="single" w:sz="8" w:space="0" w:color="000000"/>
            </w:tcBorders>
            <w:shd w:val="clear" w:color="auto" w:fill="auto"/>
            <w:vAlign w:val="bottom"/>
          </w:tcPr>
          <w:p w14:paraId="5556E7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7BE"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1,638</w:t>
            </w:r>
          </w:p>
        </w:tc>
        <w:tc>
          <w:tcPr>
            <w:tcW w:w="0" w:type="auto"/>
            <w:tcBorders>
              <w:bottom w:val="single" w:sz="8" w:space="0" w:color="000000"/>
            </w:tcBorders>
            <w:shd w:val="clear" w:color="auto" w:fill="auto"/>
            <w:vAlign w:val="bottom"/>
          </w:tcPr>
          <w:p w14:paraId="5556E7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7C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1,517</w:t>
            </w:r>
          </w:p>
        </w:tc>
        <w:tc>
          <w:tcPr>
            <w:tcW w:w="0" w:type="auto"/>
            <w:tcBorders>
              <w:bottom w:val="single" w:sz="8" w:space="0" w:color="000000"/>
            </w:tcBorders>
            <w:shd w:val="clear" w:color="auto" w:fill="auto"/>
            <w:vAlign w:val="bottom"/>
          </w:tcPr>
          <w:p w14:paraId="5556E7C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7C4"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1,517</w:t>
            </w:r>
          </w:p>
        </w:tc>
        <w:tc>
          <w:tcPr>
            <w:tcW w:w="0" w:type="auto"/>
            <w:tcBorders>
              <w:bottom w:val="single" w:sz="8" w:space="0" w:color="000000"/>
            </w:tcBorders>
            <w:shd w:val="clear" w:color="auto" w:fill="auto"/>
            <w:vAlign w:val="bottom"/>
          </w:tcPr>
          <w:p w14:paraId="5556E7C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7C7"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1,638</w:t>
            </w:r>
          </w:p>
        </w:tc>
        <w:tc>
          <w:tcPr>
            <w:tcW w:w="0" w:type="auto"/>
            <w:tcBorders>
              <w:bottom w:val="single" w:sz="8" w:space="0" w:color="000000"/>
            </w:tcBorders>
            <w:shd w:val="clear" w:color="auto" w:fill="auto"/>
            <w:vAlign w:val="bottom"/>
          </w:tcPr>
          <w:p w14:paraId="5556E7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7C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1,638</w:t>
            </w:r>
          </w:p>
        </w:tc>
        <w:tc>
          <w:tcPr>
            <w:tcW w:w="0" w:type="auto"/>
            <w:tcBorders>
              <w:bottom w:val="single" w:sz="8" w:space="0" w:color="000000"/>
            </w:tcBorders>
            <w:shd w:val="clear" w:color="auto" w:fill="auto"/>
            <w:vAlign w:val="bottom"/>
          </w:tcPr>
          <w:p w14:paraId="5556E7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7C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1,517</w:t>
            </w:r>
          </w:p>
        </w:tc>
        <w:tc>
          <w:tcPr>
            <w:tcW w:w="0" w:type="auto"/>
            <w:tcBorders>
              <w:bottom w:val="single" w:sz="8" w:space="0" w:color="000000"/>
            </w:tcBorders>
            <w:shd w:val="clear" w:color="auto" w:fill="auto"/>
            <w:vAlign w:val="bottom"/>
          </w:tcPr>
          <w:p w14:paraId="5556E7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7D0"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1,517</w:t>
            </w:r>
          </w:p>
        </w:tc>
        <w:tc>
          <w:tcPr>
            <w:tcW w:w="0" w:type="auto"/>
            <w:tcBorders>
              <w:bottom w:val="single" w:sz="8" w:space="0" w:color="000000"/>
            </w:tcBorders>
            <w:shd w:val="clear" w:color="auto" w:fill="auto"/>
            <w:vAlign w:val="bottom"/>
          </w:tcPr>
          <w:p w14:paraId="5556E7D1" w14:textId="77777777" w:rsidR="00F925DD" w:rsidRDefault="00F925DD">
            <w:pPr>
              <w:textAlignment w:val="bottom"/>
              <w:rPr>
                <w:rFonts w:ascii="Times New Roman" w:hAnsi="Times New Roman"/>
                <w:sz w:val="20"/>
                <w:szCs w:val="20"/>
              </w:rPr>
            </w:pPr>
          </w:p>
        </w:tc>
      </w:tr>
      <w:tr w:rsidR="00E705D7" w14:paraId="5556E7F3" w14:textId="77777777">
        <w:tc>
          <w:tcPr>
            <w:tcW w:w="0" w:type="auto"/>
            <w:gridSpan w:val="5"/>
            <w:shd w:val="clear" w:color="auto" w:fill="CCEEFF"/>
            <w:tcMar>
              <w:top w:w="40" w:type="dxa"/>
              <w:left w:w="40" w:type="dxa"/>
              <w:bottom w:w="40" w:type="dxa"/>
              <w:right w:w="40" w:type="dxa"/>
            </w:tcMar>
            <w:vAlign w:val="bottom"/>
          </w:tcPr>
          <w:p w14:paraId="5556E7D3"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Total risk-weighted assets</w:t>
            </w:r>
          </w:p>
        </w:tc>
        <w:tc>
          <w:tcPr>
            <w:tcW w:w="0" w:type="auto"/>
            <w:tcBorders>
              <w:bottom w:val="double" w:sz="6" w:space="0" w:color="000000"/>
            </w:tcBorders>
            <w:shd w:val="clear" w:color="auto" w:fill="CCEEFF"/>
            <w:tcMar>
              <w:top w:w="40" w:type="dxa"/>
              <w:left w:w="40" w:type="dxa"/>
              <w:bottom w:w="40" w:type="dxa"/>
            </w:tcMar>
            <w:vAlign w:val="bottom"/>
          </w:tcPr>
          <w:p w14:paraId="5556E7D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5556E7D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104,364</w:t>
            </w:r>
          </w:p>
        </w:tc>
        <w:tc>
          <w:tcPr>
            <w:tcW w:w="0" w:type="auto"/>
            <w:tcBorders>
              <w:bottom w:val="double" w:sz="6" w:space="0" w:color="000000"/>
            </w:tcBorders>
            <w:shd w:val="clear" w:color="auto" w:fill="CCEEFF"/>
            <w:vAlign w:val="bottom"/>
          </w:tcPr>
          <w:p w14:paraId="5556E7D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E7D8"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5556E7D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104,005</w:t>
            </w:r>
          </w:p>
        </w:tc>
        <w:tc>
          <w:tcPr>
            <w:tcW w:w="0" w:type="auto"/>
            <w:tcBorders>
              <w:bottom w:val="double" w:sz="6" w:space="0" w:color="000000"/>
            </w:tcBorders>
            <w:shd w:val="clear" w:color="auto" w:fill="CCEEFF"/>
            <w:vAlign w:val="bottom"/>
          </w:tcPr>
          <w:p w14:paraId="5556E7D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E7DC"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5556E7D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95,315</w:t>
            </w:r>
          </w:p>
        </w:tc>
        <w:tc>
          <w:tcPr>
            <w:tcW w:w="0" w:type="auto"/>
            <w:tcBorders>
              <w:bottom w:val="double" w:sz="6" w:space="0" w:color="000000"/>
            </w:tcBorders>
            <w:shd w:val="clear" w:color="auto" w:fill="CCEEFF"/>
            <w:vAlign w:val="bottom"/>
          </w:tcPr>
          <w:p w14:paraId="5556E7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E7E0"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5556E7E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98,820</w:t>
            </w:r>
          </w:p>
        </w:tc>
        <w:tc>
          <w:tcPr>
            <w:tcW w:w="0" w:type="auto"/>
            <w:tcBorders>
              <w:bottom w:val="double" w:sz="6" w:space="0" w:color="000000"/>
            </w:tcBorders>
            <w:shd w:val="clear" w:color="auto" w:fill="CCEEFF"/>
            <w:vAlign w:val="bottom"/>
          </w:tcPr>
          <w:p w14:paraId="5556E7E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E7E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5556E7E5"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97,386</w:t>
            </w:r>
          </w:p>
        </w:tc>
        <w:tc>
          <w:tcPr>
            <w:tcW w:w="0" w:type="auto"/>
            <w:tcBorders>
              <w:bottom w:val="double" w:sz="6" w:space="0" w:color="000000"/>
            </w:tcBorders>
            <w:shd w:val="clear" w:color="auto" w:fill="CCEEFF"/>
            <w:vAlign w:val="bottom"/>
          </w:tcPr>
          <w:p w14:paraId="5556E7E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E7E8"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bottom w:val="double" w:sz="6" w:space="0" w:color="000000"/>
            </w:tcBorders>
            <w:shd w:val="clear" w:color="auto" w:fill="CCEEFF"/>
            <w:tcMar>
              <w:top w:w="40" w:type="dxa"/>
              <w:bottom w:w="40" w:type="dxa"/>
            </w:tcMar>
            <w:vAlign w:val="bottom"/>
          </w:tcPr>
          <w:p w14:paraId="5556E7E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100,617</w:t>
            </w:r>
          </w:p>
        </w:tc>
        <w:tc>
          <w:tcPr>
            <w:tcW w:w="0" w:type="auto"/>
            <w:tcBorders>
              <w:bottom w:val="double" w:sz="6" w:space="0" w:color="000000"/>
            </w:tcBorders>
            <w:shd w:val="clear" w:color="auto" w:fill="CCEEFF"/>
            <w:vAlign w:val="bottom"/>
          </w:tcPr>
          <w:p w14:paraId="5556E7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E7EC"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5556E7ED"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91,576</w:t>
            </w:r>
          </w:p>
        </w:tc>
        <w:tc>
          <w:tcPr>
            <w:tcW w:w="0" w:type="auto"/>
            <w:tcBorders>
              <w:bottom w:val="double" w:sz="6" w:space="0" w:color="000000"/>
            </w:tcBorders>
            <w:shd w:val="clear" w:color="auto" w:fill="CCEEFF"/>
            <w:vAlign w:val="bottom"/>
          </w:tcPr>
          <w:p w14:paraId="5556E7E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7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E7F0"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bottom w:val="double" w:sz="6" w:space="0" w:color="000000"/>
            </w:tcBorders>
            <w:shd w:val="clear" w:color="auto" w:fill="CCEEFF"/>
            <w:tcMar>
              <w:top w:w="40" w:type="dxa"/>
              <w:bottom w:w="40" w:type="dxa"/>
            </w:tcMar>
            <w:vAlign w:val="bottom"/>
          </w:tcPr>
          <w:p w14:paraId="5556E7F1"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96,293</w:t>
            </w:r>
          </w:p>
        </w:tc>
        <w:tc>
          <w:tcPr>
            <w:tcW w:w="0" w:type="auto"/>
            <w:tcBorders>
              <w:bottom w:val="double" w:sz="6" w:space="0" w:color="000000"/>
            </w:tcBorders>
            <w:shd w:val="clear" w:color="auto" w:fill="CCEEFF"/>
            <w:vAlign w:val="bottom"/>
          </w:tcPr>
          <w:p w14:paraId="5556E7F2" w14:textId="77777777" w:rsidR="00F925DD" w:rsidRDefault="00F925DD">
            <w:pPr>
              <w:textAlignment w:val="bottom"/>
              <w:rPr>
                <w:rFonts w:ascii="Times New Roman" w:hAnsi="Times New Roman"/>
                <w:sz w:val="20"/>
                <w:szCs w:val="20"/>
              </w:rPr>
            </w:pPr>
          </w:p>
        </w:tc>
      </w:tr>
      <w:tr w:rsidR="00F925DD" w14:paraId="5556E814" w14:textId="77777777">
        <w:tc>
          <w:tcPr>
            <w:tcW w:w="0" w:type="auto"/>
            <w:gridSpan w:val="5"/>
            <w:shd w:val="clear" w:color="auto" w:fill="auto"/>
            <w:tcMar>
              <w:top w:w="40" w:type="dxa"/>
              <w:left w:w="40" w:type="dxa"/>
              <w:bottom w:w="40" w:type="dxa"/>
              <w:right w:w="40" w:type="dxa"/>
            </w:tcMar>
            <w:vAlign w:val="bottom"/>
          </w:tcPr>
          <w:p w14:paraId="5556E7F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Adjusted quarterly average assets</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E7F5"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E7F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219,624</w:t>
            </w:r>
          </w:p>
        </w:tc>
        <w:tc>
          <w:tcPr>
            <w:tcW w:w="0" w:type="auto"/>
            <w:tcBorders>
              <w:top w:val="double" w:sz="6" w:space="0" w:color="000000"/>
              <w:bottom w:val="double" w:sz="6" w:space="0" w:color="000000"/>
            </w:tcBorders>
            <w:shd w:val="clear" w:color="auto" w:fill="auto"/>
            <w:vAlign w:val="bottom"/>
          </w:tcPr>
          <w:p w14:paraId="5556E7F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E7F9"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E7F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219,624</w:t>
            </w:r>
          </w:p>
        </w:tc>
        <w:tc>
          <w:tcPr>
            <w:tcW w:w="0" w:type="auto"/>
            <w:tcBorders>
              <w:top w:val="double" w:sz="6" w:space="0" w:color="000000"/>
              <w:bottom w:val="double" w:sz="6" w:space="0" w:color="000000"/>
            </w:tcBorders>
            <w:shd w:val="clear" w:color="auto" w:fill="auto"/>
            <w:vAlign w:val="bottom"/>
          </w:tcPr>
          <w:p w14:paraId="5556E7F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7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E7FD"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E7F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211,924</w:t>
            </w:r>
          </w:p>
        </w:tc>
        <w:tc>
          <w:tcPr>
            <w:tcW w:w="0" w:type="auto"/>
            <w:tcBorders>
              <w:top w:val="double" w:sz="6" w:space="0" w:color="000000"/>
              <w:bottom w:val="double" w:sz="6" w:space="0" w:color="000000"/>
            </w:tcBorders>
            <w:shd w:val="clear" w:color="auto" w:fill="auto"/>
            <w:vAlign w:val="bottom"/>
          </w:tcPr>
          <w:p w14:paraId="5556E7F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E801"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E80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211,924</w:t>
            </w:r>
          </w:p>
        </w:tc>
        <w:tc>
          <w:tcPr>
            <w:tcW w:w="0" w:type="auto"/>
            <w:tcBorders>
              <w:top w:val="double" w:sz="6" w:space="0" w:color="000000"/>
              <w:bottom w:val="double" w:sz="6" w:space="0" w:color="000000"/>
            </w:tcBorders>
            <w:shd w:val="clear" w:color="auto" w:fill="auto"/>
            <w:vAlign w:val="bottom"/>
          </w:tcPr>
          <w:p w14:paraId="5556E80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E805"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E80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216,397</w:t>
            </w:r>
          </w:p>
        </w:tc>
        <w:tc>
          <w:tcPr>
            <w:tcW w:w="0" w:type="auto"/>
            <w:tcBorders>
              <w:top w:val="double" w:sz="6" w:space="0" w:color="000000"/>
              <w:bottom w:val="double" w:sz="6" w:space="0" w:color="000000"/>
            </w:tcBorders>
            <w:shd w:val="clear" w:color="auto" w:fill="auto"/>
            <w:vAlign w:val="bottom"/>
          </w:tcPr>
          <w:p w14:paraId="5556E8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E809"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E80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216,397</w:t>
            </w:r>
          </w:p>
        </w:tc>
        <w:tc>
          <w:tcPr>
            <w:tcW w:w="0" w:type="auto"/>
            <w:tcBorders>
              <w:top w:val="double" w:sz="6" w:space="0" w:color="000000"/>
              <w:bottom w:val="double" w:sz="6" w:space="0" w:color="000000"/>
            </w:tcBorders>
            <w:shd w:val="clear" w:color="auto" w:fill="auto"/>
            <w:vAlign w:val="bottom"/>
          </w:tcPr>
          <w:p w14:paraId="5556E80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E80D"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E80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209,413</w:t>
            </w:r>
          </w:p>
        </w:tc>
        <w:tc>
          <w:tcPr>
            <w:tcW w:w="0" w:type="auto"/>
            <w:tcBorders>
              <w:top w:val="double" w:sz="6" w:space="0" w:color="000000"/>
              <w:bottom w:val="double" w:sz="6" w:space="0" w:color="000000"/>
            </w:tcBorders>
            <w:shd w:val="clear" w:color="auto" w:fill="auto"/>
            <w:vAlign w:val="bottom"/>
          </w:tcPr>
          <w:p w14:paraId="5556E8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auto"/>
            <w:tcMar>
              <w:top w:w="40" w:type="dxa"/>
              <w:left w:w="40" w:type="dxa"/>
              <w:bottom w:w="40" w:type="dxa"/>
            </w:tcMar>
            <w:vAlign w:val="bottom"/>
          </w:tcPr>
          <w:p w14:paraId="5556E811"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tcBorders>
              <w:top w:val="double" w:sz="6" w:space="0" w:color="000000"/>
              <w:bottom w:val="double" w:sz="6" w:space="0" w:color="000000"/>
            </w:tcBorders>
            <w:shd w:val="clear" w:color="auto" w:fill="auto"/>
            <w:tcMar>
              <w:top w:w="40" w:type="dxa"/>
              <w:bottom w:w="40" w:type="dxa"/>
            </w:tcMar>
            <w:vAlign w:val="bottom"/>
          </w:tcPr>
          <w:p w14:paraId="5556E81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209,413</w:t>
            </w:r>
          </w:p>
        </w:tc>
        <w:tc>
          <w:tcPr>
            <w:tcW w:w="0" w:type="auto"/>
            <w:tcBorders>
              <w:top w:val="double" w:sz="6" w:space="0" w:color="000000"/>
              <w:bottom w:val="double" w:sz="6" w:space="0" w:color="000000"/>
            </w:tcBorders>
            <w:shd w:val="clear" w:color="auto" w:fill="auto"/>
            <w:vAlign w:val="bottom"/>
          </w:tcPr>
          <w:p w14:paraId="5556E813" w14:textId="77777777" w:rsidR="00F925DD" w:rsidRDefault="00F925DD">
            <w:pPr>
              <w:textAlignment w:val="bottom"/>
              <w:rPr>
                <w:rFonts w:ascii="Times New Roman" w:hAnsi="Times New Roman"/>
                <w:sz w:val="20"/>
                <w:szCs w:val="20"/>
              </w:rPr>
            </w:pPr>
          </w:p>
        </w:tc>
      </w:tr>
      <w:tr w:rsidR="00F925DD" w14:paraId="5556E827" w14:textId="77777777">
        <w:tc>
          <w:tcPr>
            <w:tcW w:w="0" w:type="auto"/>
            <w:shd w:val="clear" w:color="auto" w:fill="auto"/>
            <w:tcMar>
              <w:top w:w="40" w:type="dxa"/>
              <w:left w:w="40" w:type="dxa"/>
              <w:bottom w:w="40" w:type="dxa"/>
              <w:right w:w="40" w:type="dxa"/>
            </w:tcMar>
            <w:vAlign w:val="bottom"/>
          </w:tcPr>
          <w:p w14:paraId="5556E8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E8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E8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83A" w14:textId="77777777">
        <w:tc>
          <w:tcPr>
            <w:tcW w:w="0" w:type="auto"/>
            <w:shd w:val="clear" w:color="auto" w:fill="auto"/>
            <w:tcMar>
              <w:top w:w="40" w:type="dxa"/>
              <w:left w:w="40" w:type="dxa"/>
              <w:bottom w:w="40" w:type="dxa"/>
              <w:right w:w="40" w:type="dxa"/>
            </w:tcMar>
            <w:vAlign w:val="bottom"/>
          </w:tcPr>
          <w:p w14:paraId="5556E828"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 xml:space="preserve">Capital </w:t>
            </w:r>
            <w:r>
              <w:rPr>
                <w:rFonts w:ascii="Arial" w:eastAsia="宋体" w:hAnsi="Arial" w:cs="Arial"/>
                <w:b/>
                <w:bCs/>
                <w:sz w:val="12"/>
                <w:szCs w:val="12"/>
              </w:rPr>
              <w:t>Ratios:</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E829" w14:textId="77777777" w:rsidR="00F925DD" w:rsidRDefault="00E705D7">
            <w:pPr>
              <w:jc w:val="center"/>
              <w:textAlignment w:val="bottom"/>
              <w:rPr>
                <w:rFonts w:ascii="Times New Roman" w:hAnsi="Times New Roman"/>
                <w:sz w:val="12"/>
                <w:szCs w:val="12"/>
              </w:rPr>
            </w:pPr>
            <w:r>
              <w:rPr>
                <w:rFonts w:ascii="Arial" w:eastAsia="宋体" w:hAnsi="Arial" w:cs="Arial"/>
                <w:sz w:val="12"/>
                <w:szCs w:val="12"/>
              </w:rPr>
              <w:t>2019 Minimum Requirements Including Capital Conservation Buffer and G-SIB Surcharge</w:t>
            </w:r>
            <w:r>
              <w:rPr>
                <w:rFonts w:ascii="Arial" w:eastAsia="宋体" w:hAnsi="Arial" w:cs="Arial"/>
                <w:sz w:val="8"/>
                <w:szCs w:val="8"/>
              </w:rPr>
              <w:t>(4)</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E82A" w14:textId="77777777" w:rsidR="00F925DD" w:rsidRDefault="00E705D7">
            <w:pPr>
              <w:jc w:val="center"/>
              <w:textAlignment w:val="bottom"/>
              <w:rPr>
                <w:rFonts w:ascii="Times New Roman" w:hAnsi="Times New Roman"/>
                <w:sz w:val="12"/>
                <w:szCs w:val="12"/>
              </w:rPr>
            </w:pPr>
            <w:r>
              <w:rPr>
                <w:rFonts w:ascii="Arial" w:eastAsia="宋体" w:hAnsi="Arial" w:cs="Arial"/>
                <w:sz w:val="12"/>
                <w:szCs w:val="12"/>
              </w:rPr>
              <w:t>2018 Minimum Requirements Including Capital Conservation Buffer and G-SIB Surcharge</w:t>
            </w:r>
            <w:r>
              <w:rPr>
                <w:rFonts w:ascii="Arial" w:eastAsia="宋体" w:hAnsi="Arial" w:cs="Arial"/>
                <w:sz w:val="8"/>
                <w:szCs w:val="8"/>
              </w:rPr>
              <w:t>(5)</w:t>
            </w:r>
          </w:p>
        </w:tc>
        <w:tc>
          <w:tcPr>
            <w:tcW w:w="0" w:type="auto"/>
            <w:gridSpan w:val="3"/>
            <w:shd w:val="clear" w:color="auto" w:fill="auto"/>
            <w:tcMar>
              <w:top w:w="40" w:type="dxa"/>
              <w:left w:w="40" w:type="dxa"/>
              <w:bottom w:w="40" w:type="dxa"/>
              <w:right w:w="40" w:type="dxa"/>
            </w:tcMar>
            <w:vAlign w:val="bottom"/>
          </w:tcPr>
          <w:p w14:paraId="5556E8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E857" w14:textId="77777777">
        <w:tc>
          <w:tcPr>
            <w:tcW w:w="0" w:type="auto"/>
            <w:shd w:val="clear" w:color="auto" w:fill="CCEEFF"/>
            <w:tcMar>
              <w:top w:w="40" w:type="dxa"/>
              <w:left w:w="40" w:type="dxa"/>
              <w:bottom w:w="40" w:type="dxa"/>
              <w:right w:w="40" w:type="dxa"/>
            </w:tcMar>
            <w:vAlign w:val="bottom"/>
          </w:tcPr>
          <w:p w14:paraId="5556E83B" w14:textId="77777777" w:rsidR="00F925DD" w:rsidRDefault="00E705D7">
            <w:pPr>
              <w:textAlignment w:val="bottom"/>
              <w:rPr>
                <w:rFonts w:ascii="Times New Roman" w:hAnsi="Times New Roman"/>
                <w:sz w:val="12"/>
                <w:szCs w:val="12"/>
              </w:rPr>
            </w:pPr>
            <w:r>
              <w:rPr>
                <w:rFonts w:ascii="Arial" w:eastAsia="宋体" w:hAnsi="Arial" w:cs="Arial"/>
                <w:sz w:val="12"/>
                <w:szCs w:val="12"/>
              </w:rPr>
              <w:t>Common equity tier 1 capital</w:t>
            </w:r>
          </w:p>
        </w:tc>
        <w:tc>
          <w:tcPr>
            <w:tcW w:w="0" w:type="auto"/>
            <w:tcBorders>
              <w:top w:val="single" w:sz="8" w:space="0" w:color="000000"/>
            </w:tcBorders>
            <w:shd w:val="clear" w:color="auto" w:fill="CCEEFF"/>
            <w:tcMar>
              <w:top w:w="40" w:type="dxa"/>
              <w:left w:w="40" w:type="dxa"/>
              <w:bottom w:w="40" w:type="dxa"/>
            </w:tcMar>
            <w:vAlign w:val="bottom"/>
          </w:tcPr>
          <w:p w14:paraId="5556E83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8.5</w:t>
            </w:r>
          </w:p>
        </w:tc>
        <w:tc>
          <w:tcPr>
            <w:tcW w:w="0" w:type="auto"/>
            <w:tcBorders>
              <w:top w:val="single" w:sz="8" w:space="0" w:color="000000"/>
            </w:tcBorders>
            <w:shd w:val="clear" w:color="auto" w:fill="CCEEFF"/>
            <w:tcMar>
              <w:top w:w="40" w:type="dxa"/>
              <w:bottom w:w="40" w:type="dxa"/>
              <w:right w:w="40" w:type="dxa"/>
            </w:tcMar>
            <w:vAlign w:val="bottom"/>
          </w:tcPr>
          <w:p w14:paraId="5556E83D"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tcMar>
            <w:vAlign w:val="bottom"/>
          </w:tcPr>
          <w:p w14:paraId="5556E83E"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7.5</w:t>
            </w:r>
          </w:p>
        </w:tc>
        <w:tc>
          <w:tcPr>
            <w:tcW w:w="0" w:type="auto"/>
            <w:shd w:val="clear" w:color="auto" w:fill="CCEEFF"/>
            <w:tcMar>
              <w:top w:w="40" w:type="dxa"/>
              <w:bottom w:w="40" w:type="dxa"/>
              <w:right w:w="40" w:type="dxa"/>
            </w:tcMar>
            <w:vAlign w:val="bottom"/>
          </w:tcPr>
          <w:p w14:paraId="5556E83F"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gridSpan w:val="2"/>
            <w:shd w:val="clear" w:color="auto" w:fill="CCEEFF"/>
            <w:tcMar>
              <w:top w:w="40" w:type="dxa"/>
              <w:left w:w="40" w:type="dxa"/>
              <w:bottom w:w="40" w:type="dxa"/>
            </w:tcMar>
            <w:vAlign w:val="bottom"/>
          </w:tcPr>
          <w:p w14:paraId="5556E84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11.7</w:t>
            </w:r>
          </w:p>
        </w:tc>
        <w:tc>
          <w:tcPr>
            <w:tcW w:w="0" w:type="auto"/>
            <w:shd w:val="clear" w:color="auto" w:fill="CCEEFF"/>
            <w:tcMar>
              <w:top w:w="40" w:type="dxa"/>
              <w:bottom w:w="40" w:type="dxa"/>
              <w:right w:w="40" w:type="dxa"/>
            </w:tcMar>
            <w:vAlign w:val="bottom"/>
          </w:tcPr>
          <w:p w14:paraId="5556E841"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8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43"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11.7</w:t>
            </w:r>
          </w:p>
        </w:tc>
        <w:tc>
          <w:tcPr>
            <w:tcW w:w="0" w:type="auto"/>
            <w:shd w:val="clear" w:color="auto" w:fill="CCEEFF"/>
            <w:tcMar>
              <w:top w:w="40" w:type="dxa"/>
              <w:bottom w:w="40" w:type="dxa"/>
              <w:right w:w="40" w:type="dxa"/>
            </w:tcMar>
            <w:vAlign w:val="bottom"/>
          </w:tcPr>
          <w:p w14:paraId="5556E844"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8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4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12.1</w:t>
            </w:r>
          </w:p>
        </w:tc>
        <w:tc>
          <w:tcPr>
            <w:tcW w:w="0" w:type="auto"/>
            <w:shd w:val="clear" w:color="auto" w:fill="CCEEFF"/>
            <w:tcMar>
              <w:top w:w="40" w:type="dxa"/>
              <w:bottom w:w="40" w:type="dxa"/>
              <w:right w:w="40" w:type="dxa"/>
            </w:tcMar>
            <w:vAlign w:val="bottom"/>
          </w:tcPr>
          <w:p w14:paraId="5556E847"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E8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49"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11.7</w:t>
            </w:r>
          </w:p>
        </w:tc>
        <w:tc>
          <w:tcPr>
            <w:tcW w:w="0" w:type="auto"/>
            <w:shd w:val="clear" w:color="auto" w:fill="CCEEFF"/>
            <w:tcMar>
              <w:top w:w="40" w:type="dxa"/>
              <w:bottom w:w="40" w:type="dxa"/>
              <w:right w:w="40" w:type="dxa"/>
            </w:tcMar>
            <w:vAlign w:val="bottom"/>
          </w:tcPr>
          <w:p w14:paraId="5556E84A"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E8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4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17.1</w:t>
            </w:r>
          </w:p>
        </w:tc>
        <w:tc>
          <w:tcPr>
            <w:tcW w:w="0" w:type="auto"/>
            <w:shd w:val="clear" w:color="auto" w:fill="CCEEFF"/>
            <w:tcMar>
              <w:top w:w="40" w:type="dxa"/>
              <w:bottom w:w="40" w:type="dxa"/>
              <w:right w:w="40" w:type="dxa"/>
            </w:tcMar>
            <w:vAlign w:val="bottom"/>
          </w:tcPr>
          <w:p w14:paraId="5556E84D"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8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4F"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16.5</w:t>
            </w:r>
          </w:p>
        </w:tc>
        <w:tc>
          <w:tcPr>
            <w:tcW w:w="0" w:type="auto"/>
            <w:shd w:val="clear" w:color="auto" w:fill="CCEEFF"/>
            <w:tcMar>
              <w:top w:w="40" w:type="dxa"/>
              <w:bottom w:w="40" w:type="dxa"/>
              <w:right w:w="40" w:type="dxa"/>
            </w:tcMar>
            <w:vAlign w:val="bottom"/>
          </w:tcPr>
          <w:p w14:paraId="5556E850" w14:textId="77777777" w:rsidR="00F925DD" w:rsidRDefault="00E705D7">
            <w:pPr>
              <w:textAlignment w:val="bottom"/>
              <w:rPr>
                <w:rFonts w:ascii="Times New Roman" w:hAnsi="Times New Roman"/>
                <w:sz w:val="12"/>
                <w:szCs w:val="12"/>
              </w:rPr>
            </w:pPr>
            <w:r>
              <w:rPr>
                <w:rFonts w:ascii="Arial" w:eastAsia="宋体" w:hAnsi="Arial" w:cs="Arial"/>
                <w:b/>
                <w:bCs/>
                <w:sz w:val="12"/>
                <w:szCs w:val="12"/>
              </w:rPr>
              <w:t>%</w:t>
            </w:r>
          </w:p>
        </w:tc>
        <w:tc>
          <w:tcPr>
            <w:tcW w:w="0" w:type="auto"/>
            <w:shd w:val="clear" w:color="auto" w:fill="CCEEFF"/>
            <w:tcMar>
              <w:top w:w="40" w:type="dxa"/>
              <w:left w:w="40" w:type="dxa"/>
              <w:bottom w:w="40" w:type="dxa"/>
              <w:right w:w="40" w:type="dxa"/>
            </w:tcMar>
            <w:vAlign w:val="bottom"/>
          </w:tcPr>
          <w:p w14:paraId="5556E8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5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18.5</w:t>
            </w:r>
          </w:p>
        </w:tc>
        <w:tc>
          <w:tcPr>
            <w:tcW w:w="0" w:type="auto"/>
            <w:shd w:val="clear" w:color="auto" w:fill="CCEEFF"/>
            <w:tcMar>
              <w:top w:w="40" w:type="dxa"/>
              <w:bottom w:w="40" w:type="dxa"/>
              <w:right w:w="40" w:type="dxa"/>
            </w:tcMar>
            <w:vAlign w:val="bottom"/>
          </w:tcPr>
          <w:p w14:paraId="5556E853"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c>
          <w:tcPr>
            <w:tcW w:w="0" w:type="auto"/>
            <w:shd w:val="clear" w:color="auto" w:fill="CCEEFF"/>
            <w:tcMar>
              <w:top w:w="40" w:type="dxa"/>
              <w:left w:w="40" w:type="dxa"/>
              <w:bottom w:w="40" w:type="dxa"/>
              <w:right w:w="40" w:type="dxa"/>
            </w:tcMar>
            <w:vAlign w:val="bottom"/>
          </w:tcPr>
          <w:p w14:paraId="5556E8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55"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17.6</w:t>
            </w:r>
          </w:p>
        </w:tc>
        <w:tc>
          <w:tcPr>
            <w:tcW w:w="0" w:type="auto"/>
            <w:shd w:val="clear" w:color="auto" w:fill="CCEEFF"/>
            <w:tcMar>
              <w:top w:w="40" w:type="dxa"/>
              <w:bottom w:w="40" w:type="dxa"/>
              <w:right w:w="40" w:type="dxa"/>
            </w:tcMar>
            <w:vAlign w:val="bottom"/>
          </w:tcPr>
          <w:p w14:paraId="5556E856" w14:textId="77777777" w:rsidR="00F925DD" w:rsidRDefault="00E705D7">
            <w:pPr>
              <w:textAlignment w:val="bottom"/>
              <w:rPr>
                <w:rFonts w:ascii="Times New Roman" w:hAnsi="Times New Roman"/>
                <w:sz w:val="12"/>
                <w:szCs w:val="12"/>
              </w:rPr>
            </w:pPr>
            <w:r>
              <w:rPr>
                <w:rFonts w:ascii="Arial" w:eastAsia="宋体" w:hAnsi="Arial" w:cs="Arial"/>
                <w:sz w:val="12"/>
                <w:szCs w:val="12"/>
              </w:rPr>
              <w:t>%</w:t>
            </w:r>
          </w:p>
        </w:tc>
      </w:tr>
      <w:tr w:rsidR="00F925DD" w14:paraId="5556E874" w14:textId="77777777">
        <w:tc>
          <w:tcPr>
            <w:tcW w:w="0" w:type="auto"/>
            <w:shd w:val="clear" w:color="auto" w:fill="auto"/>
            <w:tcMar>
              <w:top w:w="40" w:type="dxa"/>
              <w:left w:w="40" w:type="dxa"/>
              <w:bottom w:w="40" w:type="dxa"/>
              <w:right w:w="40" w:type="dxa"/>
            </w:tcMar>
            <w:vAlign w:val="bottom"/>
          </w:tcPr>
          <w:p w14:paraId="5556E858" w14:textId="77777777" w:rsidR="00F925DD" w:rsidRDefault="00E705D7">
            <w:pPr>
              <w:textAlignment w:val="bottom"/>
              <w:rPr>
                <w:rFonts w:ascii="Times New Roman" w:hAnsi="Times New Roman"/>
                <w:sz w:val="12"/>
                <w:szCs w:val="12"/>
              </w:rPr>
            </w:pPr>
            <w:r>
              <w:rPr>
                <w:rFonts w:ascii="Arial" w:eastAsia="宋体" w:hAnsi="Arial" w:cs="Arial"/>
                <w:sz w:val="12"/>
                <w:szCs w:val="12"/>
              </w:rPr>
              <w:t>Tier 1 capital</w:t>
            </w:r>
          </w:p>
        </w:tc>
        <w:tc>
          <w:tcPr>
            <w:tcW w:w="0" w:type="auto"/>
            <w:shd w:val="clear" w:color="auto" w:fill="auto"/>
            <w:tcMar>
              <w:top w:w="40" w:type="dxa"/>
              <w:left w:w="40" w:type="dxa"/>
              <w:bottom w:w="40" w:type="dxa"/>
            </w:tcMar>
            <w:vAlign w:val="bottom"/>
          </w:tcPr>
          <w:p w14:paraId="5556E85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10.0</w:t>
            </w:r>
          </w:p>
        </w:tc>
        <w:tc>
          <w:tcPr>
            <w:tcW w:w="0" w:type="auto"/>
            <w:shd w:val="clear" w:color="auto" w:fill="auto"/>
            <w:vAlign w:val="bottom"/>
          </w:tcPr>
          <w:p w14:paraId="5556E85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5556E85B"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9.0</w:t>
            </w:r>
          </w:p>
        </w:tc>
        <w:tc>
          <w:tcPr>
            <w:tcW w:w="0" w:type="auto"/>
            <w:shd w:val="clear" w:color="auto" w:fill="auto"/>
            <w:vAlign w:val="bottom"/>
          </w:tcPr>
          <w:p w14:paraId="5556E85C"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5556E85D"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14.5</w:t>
            </w:r>
          </w:p>
        </w:tc>
        <w:tc>
          <w:tcPr>
            <w:tcW w:w="0" w:type="auto"/>
            <w:shd w:val="clear" w:color="auto" w:fill="auto"/>
            <w:vAlign w:val="bottom"/>
          </w:tcPr>
          <w:p w14:paraId="5556E85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860"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14.6</w:t>
            </w:r>
          </w:p>
        </w:tc>
        <w:tc>
          <w:tcPr>
            <w:tcW w:w="0" w:type="auto"/>
            <w:shd w:val="clear" w:color="auto" w:fill="auto"/>
            <w:vAlign w:val="bottom"/>
          </w:tcPr>
          <w:p w14:paraId="5556E86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86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16.0</w:t>
            </w:r>
          </w:p>
        </w:tc>
        <w:tc>
          <w:tcPr>
            <w:tcW w:w="0" w:type="auto"/>
            <w:shd w:val="clear" w:color="auto" w:fill="auto"/>
            <w:vAlign w:val="bottom"/>
          </w:tcPr>
          <w:p w14:paraId="5556E86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866"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15.5</w:t>
            </w:r>
          </w:p>
        </w:tc>
        <w:tc>
          <w:tcPr>
            <w:tcW w:w="0" w:type="auto"/>
            <w:shd w:val="clear" w:color="auto" w:fill="auto"/>
            <w:vAlign w:val="bottom"/>
          </w:tcPr>
          <w:p w14:paraId="5556E86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86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17.1</w:t>
            </w:r>
          </w:p>
        </w:tc>
        <w:tc>
          <w:tcPr>
            <w:tcW w:w="0" w:type="auto"/>
            <w:shd w:val="clear" w:color="auto" w:fill="auto"/>
            <w:vAlign w:val="bottom"/>
          </w:tcPr>
          <w:p w14:paraId="5556E86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86C"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16.5</w:t>
            </w:r>
          </w:p>
        </w:tc>
        <w:tc>
          <w:tcPr>
            <w:tcW w:w="0" w:type="auto"/>
            <w:shd w:val="clear" w:color="auto" w:fill="auto"/>
            <w:vAlign w:val="bottom"/>
          </w:tcPr>
          <w:p w14:paraId="5556E86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86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18.5</w:t>
            </w:r>
          </w:p>
        </w:tc>
        <w:tc>
          <w:tcPr>
            <w:tcW w:w="0" w:type="auto"/>
            <w:shd w:val="clear" w:color="auto" w:fill="auto"/>
            <w:vAlign w:val="bottom"/>
          </w:tcPr>
          <w:p w14:paraId="5556E87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872"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17.6</w:t>
            </w:r>
          </w:p>
        </w:tc>
        <w:tc>
          <w:tcPr>
            <w:tcW w:w="0" w:type="auto"/>
            <w:shd w:val="clear" w:color="auto" w:fill="auto"/>
            <w:vAlign w:val="bottom"/>
          </w:tcPr>
          <w:p w14:paraId="5556E873" w14:textId="77777777" w:rsidR="00F925DD" w:rsidRDefault="00F925DD">
            <w:pPr>
              <w:textAlignment w:val="bottom"/>
              <w:rPr>
                <w:rFonts w:ascii="Times New Roman" w:hAnsi="Times New Roman"/>
                <w:sz w:val="20"/>
                <w:szCs w:val="20"/>
              </w:rPr>
            </w:pPr>
          </w:p>
        </w:tc>
      </w:tr>
      <w:tr w:rsidR="00E705D7" w14:paraId="5556E891" w14:textId="77777777">
        <w:tc>
          <w:tcPr>
            <w:tcW w:w="0" w:type="auto"/>
            <w:shd w:val="clear" w:color="auto" w:fill="CCEEFF"/>
            <w:tcMar>
              <w:top w:w="40" w:type="dxa"/>
              <w:left w:w="40" w:type="dxa"/>
              <w:bottom w:w="40" w:type="dxa"/>
              <w:right w:w="40" w:type="dxa"/>
            </w:tcMar>
            <w:vAlign w:val="bottom"/>
          </w:tcPr>
          <w:p w14:paraId="5556E875" w14:textId="77777777" w:rsidR="00F925DD" w:rsidRDefault="00E705D7">
            <w:pPr>
              <w:textAlignment w:val="bottom"/>
              <w:rPr>
                <w:rFonts w:ascii="Times New Roman" w:hAnsi="Times New Roman"/>
                <w:sz w:val="12"/>
                <w:szCs w:val="12"/>
              </w:rPr>
            </w:pPr>
            <w:r>
              <w:rPr>
                <w:rFonts w:ascii="Arial" w:eastAsia="宋体" w:hAnsi="Arial" w:cs="Arial"/>
                <w:sz w:val="12"/>
                <w:szCs w:val="12"/>
              </w:rPr>
              <w:t>Total capital</w:t>
            </w:r>
          </w:p>
        </w:tc>
        <w:tc>
          <w:tcPr>
            <w:tcW w:w="0" w:type="auto"/>
            <w:shd w:val="clear" w:color="auto" w:fill="CCEEFF"/>
            <w:tcMar>
              <w:top w:w="40" w:type="dxa"/>
              <w:left w:w="40" w:type="dxa"/>
              <w:bottom w:w="40" w:type="dxa"/>
            </w:tcMar>
            <w:vAlign w:val="bottom"/>
          </w:tcPr>
          <w:p w14:paraId="5556E87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12.0</w:t>
            </w:r>
          </w:p>
        </w:tc>
        <w:tc>
          <w:tcPr>
            <w:tcW w:w="0" w:type="auto"/>
            <w:shd w:val="clear" w:color="auto" w:fill="CCEEFF"/>
            <w:vAlign w:val="bottom"/>
          </w:tcPr>
          <w:p w14:paraId="5556E8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5556E878"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11.0</w:t>
            </w:r>
          </w:p>
        </w:tc>
        <w:tc>
          <w:tcPr>
            <w:tcW w:w="0" w:type="auto"/>
            <w:shd w:val="clear" w:color="auto" w:fill="CCEEFF"/>
            <w:vAlign w:val="bottom"/>
          </w:tcPr>
          <w:p w14:paraId="5556E879"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bottom"/>
          </w:tcPr>
          <w:p w14:paraId="5556E87A"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15.6</w:t>
            </w:r>
          </w:p>
        </w:tc>
        <w:tc>
          <w:tcPr>
            <w:tcW w:w="0" w:type="auto"/>
            <w:shd w:val="clear" w:color="auto" w:fill="CCEEFF"/>
            <w:vAlign w:val="bottom"/>
          </w:tcPr>
          <w:p w14:paraId="5556E8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7D"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15.7</w:t>
            </w:r>
          </w:p>
        </w:tc>
        <w:tc>
          <w:tcPr>
            <w:tcW w:w="0" w:type="auto"/>
            <w:shd w:val="clear" w:color="auto" w:fill="CCEEFF"/>
            <w:vAlign w:val="bottom"/>
          </w:tcPr>
          <w:p w14:paraId="5556E87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80"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16.9</w:t>
            </w:r>
          </w:p>
        </w:tc>
        <w:tc>
          <w:tcPr>
            <w:tcW w:w="0" w:type="auto"/>
            <w:shd w:val="clear" w:color="auto" w:fill="CCEEFF"/>
            <w:vAlign w:val="bottom"/>
          </w:tcPr>
          <w:p w14:paraId="5556E88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83"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16.3</w:t>
            </w:r>
          </w:p>
        </w:tc>
        <w:tc>
          <w:tcPr>
            <w:tcW w:w="0" w:type="auto"/>
            <w:shd w:val="clear" w:color="auto" w:fill="CCEEFF"/>
            <w:vAlign w:val="bottom"/>
          </w:tcPr>
          <w:p w14:paraId="5556E88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86"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18.2</w:t>
            </w:r>
          </w:p>
        </w:tc>
        <w:tc>
          <w:tcPr>
            <w:tcW w:w="0" w:type="auto"/>
            <w:shd w:val="clear" w:color="auto" w:fill="CCEEFF"/>
            <w:vAlign w:val="bottom"/>
          </w:tcPr>
          <w:p w14:paraId="5556E88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89" w14:textId="77777777" w:rsidR="00F925DD" w:rsidRDefault="00E705D7">
            <w:pPr>
              <w:jc w:val="right"/>
              <w:textAlignment w:val="bottom"/>
              <w:rPr>
                <w:rFonts w:ascii="Times New Roman" w:hAnsi="Times New Roman"/>
                <w:sz w:val="12"/>
                <w:szCs w:val="12"/>
              </w:rPr>
            </w:pPr>
            <w:r>
              <w:rPr>
                <w:rFonts w:ascii="Arial" w:eastAsia="宋体" w:hAnsi="Arial" w:cs="Arial"/>
                <w:b/>
                <w:bCs/>
                <w:sz w:val="12"/>
                <w:szCs w:val="12"/>
              </w:rPr>
              <w:t>17.7</w:t>
            </w:r>
          </w:p>
        </w:tc>
        <w:tc>
          <w:tcPr>
            <w:tcW w:w="0" w:type="auto"/>
            <w:shd w:val="clear" w:color="auto" w:fill="CCEEFF"/>
            <w:vAlign w:val="bottom"/>
          </w:tcPr>
          <w:p w14:paraId="5556E88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8C"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19.4</w:t>
            </w:r>
          </w:p>
        </w:tc>
        <w:tc>
          <w:tcPr>
            <w:tcW w:w="0" w:type="auto"/>
            <w:shd w:val="clear" w:color="auto" w:fill="CCEEFF"/>
            <w:vAlign w:val="bottom"/>
          </w:tcPr>
          <w:p w14:paraId="5556E88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8F" w14:textId="77777777" w:rsidR="00F925DD" w:rsidRDefault="00E705D7">
            <w:pPr>
              <w:jc w:val="right"/>
              <w:textAlignment w:val="bottom"/>
              <w:rPr>
                <w:rFonts w:ascii="Times New Roman" w:hAnsi="Times New Roman"/>
                <w:sz w:val="12"/>
                <w:szCs w:val="12"/>
              </w:rPr>
            </w:pPr>
            <w:r>
              <w:rPr>
                <w:rFonts w:ascii="Arial" w:eastAsia="宋体" w:hAnsi="Arial" w:cs="Arial"/>
                <w:sz w:val="12"/>
                <w:szCs w:val="12"/>
              </w:rPr>
              <w:t>18.5</w:t>
            </w:r>
          </w:p>
        </w:tc>
        <w:tc>
          <w:tcPr>
            <w:tcW w:w="0" w:type="auto"/>
            <w:shd w:val="clear" w:color="auto" w:fill="CCEEFF"/>
            <w:vAlign w:val="bottom"/>
          </w:tcPr>
          <w:p w14:paraId="5556E890" w14:textId="77777777" w:rsidR="00F925DD" w:rsidRDefault="00F925DD">
            <w:pPr>
              <w:textAlignment w:val="bottom"/>
              <w:rPr>
                <w:rFonts w:ascii="Times New Roman" w:hAnsi="Times New Roman"/>
                <w:sz w:val="20"/>
                <w:szCs w:val="20"/>
              </w:rPr>
            </w:pPr>
          </w:p>
        </w:tc>
      </w:tr>
    </w:tbl>
    <w:p w14:paraId="5556E892"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5980"/>
      </w:tblGrid>
      <w:tr w:rsidR="00F925DD" w14:paraId="5556E894" w14:textId="77777777">
        <w:tc>
          <w:tcPr>
            <w:tcW w:w="0" w:type="auto"/>
            <w:gridSpan w:val="2"/>
            <w:shd w:val="clear" w:color="auto" w:fill="auto"/>
            <w:vAlign w:val="center"/>
          </w:tcPr>
          <w:p w14:paraId="5556E893" w14:textId="77777777" w:rsidR="00F925DD" w:rsidRDefault="00F925DD">
            <w:pPr>
              <w:rPr>
                <w:rFonts w:ascii="Times New Roman" w:hAnsi="Times New Roman"/>
                <w:sz w:val="20"/>
                <w:szCs w:val="20"/>
              </w:rPr>
            </w:pPr>
          </w:p>
        </w:tc>
      </w:tr>
      <w:tr w:rsidR="00F925DD" w14:paraId="5556E897" w14:textId="77777777">
        <w:tc>
          <w:tcPr>
            <w:tcW w:w="1400" w:type="pct"/>
            <w:shd w:val="clear" w:color="auto" w:fill="auto"/>
            <w:vAlign w:val="center"/>
          </w:tcPr>
          <w:p w14:paraId="5556E895" w14:textId="77777777" w:rsidR="00F925DD" w:rsidRDefault="00F925DD">
            <w:pPr>
              <w:rPr>
                <w:rFonts w:ascii="Times New Roman" w:hAnsi="Times New Roman"/>
                <w:sz w:val="20"/>
                <w:szCs w:val="20"/>
              </w:rPr>
            </w:pPr>
          </w:p>
        </w:tc>
        <w:tc>
          <w:tcPr>
            <w:tcW w:w="3600" w:type="pct"/>
            <w:shd w:val="clear" w:color="auto" w:fill="auto"/>
            <w:vAlign w:val="center"/>
          </w:tcPr>
          <w:p w14:paraId="5556E896" w14:textId="77777777" w:rsidR="00F925DD" w:rsidRDefault="00F925DD">
            <w:pPr>
              <w:rPr>
                <w:rFonts w:ascii="Times New Roman" w:hAnsi="Times New Roman"/>
                <w:sz w:val="20"/>
                <w:szCs w:val="20"/>
              </w:rPr>
            </w:pPr>
          </w:p>
        </w:tc>
      </w:tr>
      <w:tr w:rsidR="00F925DD" w14:paraId="5556E89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E8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E89B" w14:textId="77777777" w:rsidR="00F925DD" w:rsidRDefault="00F925DD">
      <w:pPr>
        <w:spacing w:line="288" w:lineRule="auto"/>
        <w:jc w:val="both"/>
        <w:rPr>
          <w:rFonts w:ascii="Times New Roman" w:hAnsi="Times New Roman"/>
          <w:sz w:val="20"/>
          <w:szCs w:val="20"/>
        </w:rPr>
      </w:pPr>
    </w:p>
    <w:p w14:paraId="5556E89C"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(1) Other adjustments within CET1 primarily include the overfunded portion of the firm’s defined benefit pension plan obligation net of associated </w:t>
      </w:r>
      <w:r>
        <w:rPr>
          <w:rFonts w:ascii="Arial" w:eastAsia="宋体" w:hAnsi="Arial" w:cs="Arial"/>
          <w:sz w:val="13"/>
          <w:szCs w:val="13"/>
        </w:rPr>
        <w:t>deferred tax liabilities, disallowed deferred tax assets, and other required credit risk based deductions.</w:t>
      </w:r>
    </w:p>
    <w:p w14:paraId="5556E89D"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(2) Includes a CVA which reflects the risk of potential fair value adjustments for credit risk reflected in our valuation of OTC derivative contracts</w:t>
      </w:r>
      <w:r>
        <w:rPr>
          <w:rFonts w:ascii="Arial" w:eastAsia="宋体" w:hAnsi="Arial" w:cs="Arial"/>
          <w:sz w:val="13"/>
          <w:szCs w:val="13"/>
        </w:rPr>
        <w:t>. We used a simple CVA approach in conformity with the Basel III advanced approaches.</w:t>
      </w:r>
    </w:p>
    <w:p w14:paraId="5556E89E"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(3)  Under the current advanced approaches rules and regulatory guidance concerning operational risk models, RWA attributable to operational risk can vary substantially f</w:t>
      </w:r>
      <w:r>
        <w:rPr>
          <w:rFonts w:ascii="Arial" w:eastAsia="宋体" w:hAnsi="Arial" w:cs="Arial"/>
          <w:sz w:val="13"/>
          <w:szCs w:val="13"/>
        </w:rPr>
        <w:t>rom period-to-period, without direct correlation to the effects of a particular loss event on our results of operations and financial condition and impacting dates and periods that may differ from the dates and periods as of and during which the loss event</w:t>
      </w:r>
      <w:r>
        <w:rPr>
          <w:rFonts w:ascii="Arial" w:eastAsia="宋体" w:hAnsi="Arial" w:cs="Arial"/>
          <w:sz w:val="13"/>
          <w:szCs w:val="13"/>
        </w:rPr>
        <w:t xml:space="preserve"> is reflected in our financial statements, with the timing and categorization dependent on the processes for model updates and, if applicable, model revalidation and regulatory review and related supervisory processes. An individual loss event can have a s</w:t>
      </w:r>
      <w:r>
        <w:rPr>
          <w:rFonts w:ascii="Arial" w:eastAsia="宋体" w:hAnsi="Arial" w:cs="Arial"/>
          <w:sz w:val="13"/>
          <w:szCs w:val="13"/>
        </w:rPr>
        <w:t>ignificant effect on the output of our operational RWA under the advanced approaches depending on the severity of the loss event and its categorization among the seven Basel-defined UOMs.</w:t>
      </w:r>
    </w:p>
    <w:p w14:paraId="5556E89F"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(4) Minimum requirements were phased in with full implementation beg</w:t>
      </w:r>
      <w:r>
        <w:rPr>
          <w:rFonts w:ascii="Arial" w:eastAsia="宋体" w:hAnsi="Arial" w:cs="Arial"/>
          <w:sz w:val="13"/>
          <w:szCs w:val="13"/>
        </w:rPr>
        <w:t>inning on January 1, 2019; minimum requirements listed are as of December 31, 2019.</w:t>
      </w:r>
    </w:p>
    <w:p w14:paraId="5556E8A0"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 xml:space="preserve">(5) Minimum requirements were phased in with full implementation beginning on January 1, 2019; minimum requirements listed are as of December 31, 2018. </w:t>
      </w:r>
    </w:p>
    <w:p w14:paraId="5556E8A1" w14:textId="77777777" w:rsidR="00F925DD" w:rsidRDefault="00E705D7">
      <w:pPr>
        <w:spacing w:line="288" w:lineRule="auto"/>
        <w:jc w:val="both"/>
        <w:rPr>
          <w:rFonts w:ascii="Times New Roman" w:hAnsi="Times New Roman"/>
          <w:sz w:val="13"/>
          <w:szCs w:val="13"/>
        </w:rPr>
      </w:pPr>
      <w:r>
        <w:rPr>
          <w:rFonts w:ascii="Arial" w:eastAsia="宋体" w:hAnsi="Arial" w:cs="Arial"/>
          <w:sz w:val="13"/>
          <w:szCs w:val="13"/>
        </w:rPr>
        <w:t>NA Not applicable</w:t>
      </w:r>
    </w:p>
    <w:p w14:paraId="5556E8A2" w14:textId="77777777" w:rsidR="00F925DD" w:rsidRDefault="00F925DD">
      <w:pPr>
        <w:rPr>
          <w:rFonts w:ascii="Times New Roman" w:hAnsi="Times New Roman"/>
          <w:sz w:val="20"/>
          <w:szCs w:val="20"/>
        </w:rPr>
      </w:pPr>
    </w:p>
    <w:p w14:paraId="5556E8A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163</w:t>
      </w:r>
    </w:p>
    <w:p w14:paraId="5556E8A4" w14:textId="77777777" w:rsidR="00F925DD" w:rsidRDefault="00F925DD">
      <w:pPr>
        <w:spacing w:line="288" w:lineRule="auto"/>
        <w:ind w:firstLine="600"/>
        <w:jc w:val="center"/>
        <w:rPr>
          <w:rFonts w:ascii="Times New Roman" w:hAnsi="Times New Roman"/>
          <w:sz w:val="18"/>
          <w:szCs w:val="18"/>
        </w:rPr>
      </w:pPr>
    </w:p>
    <w:p w14:paraId="5556E8A5" w14:textId="77777777" w:rsidR="00F925DD" w:rsidRDefault="00E705D7">
      <w:r>
        <w:rPr>
          <w:rFonts w:ascii="Times New Roman" w:hAnsi="Times New Roman"/>
          <w:sz w:val="18"/>
          <w:szCs w:val="18"/>
        </w:rPr>
        <w:pict w14:anchorId="555706DD">
          <v:rect id="_x0000_i1187" style="width:415.3pt;height:1.5pt" o:hralign="center" o:hrstd="t" o:hr="t" fillcolor="#a0a0a0" stroked="f"/>
        </w:pict>
      </w:r>
    </w:p>
    <w:p w14:paraId="5556E8A6"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8A7"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8A8" w14:textId="77777777" w:rsidR="00F925DD" w:rsidRDefault="00F925DD">
      <w:pPr>
        <w:rPr>
          <w:rFonts w:ascii="Times New Roman" w:hAnsi="Times New Roman"/>
          <w:sz w:val="20"/>
          <w:szCs w:val="20"/>
        </w:rPr>
      </w:pPr>
    </w:p>
    <w:p w14:paraId="5556E8A9"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17.    Net Interest Income</w:t>
      </w:r>
    </w:p>
    <w:p w14:paraId="5556E8A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components of interest income and interest expense, and related NII, for the periods ind</w:t>
      </w:r>
      <w:r>
        <w:rPr>
          <w:rFonts w:ascii="Arial" w:eastAsia="宋体" w:hAnsi="Arial" w:cs="Arial"/>
          <w:sz w:val="20"/>
          <w:szCs w:val="20"/>
        </w:rPr>
        <w:t>icated:</w:t>
      </w:r>
    </w:p>
    <w:tbl>
      <w:tblPr>
        <w:tblW w:w="5000" w:type="pct"/>
        <w:tblCellMar>
          <w:left w:w="0" w:type="dxa"/>
          <w:right w:w="0" w:type="dxa"/>
        </w:tblCellMar>
        <w:tblLook w:val="04A0" w:firstRow="1" w:lastRow="0" w:firstColumn="1" w:lastColumn="0" w:noHBand="0" w:noVBand="1"/>
      </w:tblPr>
      <w:tblGrid>
        <w:gridCol w:w="4226"/>
        <w:gridCol w:w="113"/>
        <w:gridCol w:w="1070"/>
        <w:gridCol w:w="73"/>
        <w:gridCol w:w="156"/>
        <w:gridCol w:w="113"/>
        <w:gridCol w:w="1070"/>
        <w:gridCol w:w="73"/>
        <w:gridCol w:w="156"/>
        <w:gridCol w:w="113"/>
        <w:gridCol w:w="1070"/>
        <w:gridCol w:w="73"/>
      </w:tblGrid>
      <w:tr w:rsidR="00F925DD" w14:paraId="5556E8AC" w14:textId="77777777">
        <w:tc>
          <w:tcPr>
            <w:tcW w:w="0" w:type="auto"/>
            <w:gridSpan w:val="12"/>
            <w:shd w:val="clear" w:color="auto" w:fill="auto"/>
            <w:vAlign w:val="center"/>
          </w:tcPr>
          <w:p w14:paraId="5556E8AB" w14:textId="77777777" w:rsidR="00F925DD" w:rsidRDefault="00F925DD">
            <w:pPr>
              <w:rPr>
                <w:rFonts w:ascii="Times New Roman" w:hAnsi="Times New Roman"/>
                <w:sz w:val="20"/>
                <w:szCs w:val="20"/>
              </w:rPr>
            </w:pPr>
          </w:p>
        </w:tc>
      </w:tr>
      <w:tr w:rsidR="00F925DD" w14:paraId="5556E8B9" w14:textId="77777777">
        <w:tc>
          <w:tcPr>
            <w:tcW w:w="2550" w:type="pct"/>
            <w:shd w:val="clear" w:color="auto" w:fill="auto"/>
            <w:vAlign w:val="center"/>
          </w:tcPr>
          <w:p w14:paraId="5556E8AD" w14:textId="77777777" w:rsidR="00F925DD" w:rsidRDefault="00F925DD">
            <w:pPr>
              <w:rPr>
                <w:rFonts w:ascii="Times New Roman" w:hAnsi="Times New Roman"/>
                <w:sz w:val="20"/>
                <w:szCs w:val="20"/>
              </w:rPr>
            </w:pPr>
          </w:p>
        </w:tc>
        <w:tc>
          <w:tcPr>
            <w:tcW w:w="50" w:type="pct"/>
            <w:shd w:val="clear" w:color="auto" w:fill="auto"/>
            <w:vAlign w:val="center"/>
          </w:tcPr>
          <w:p w14:paraId="5556E8AE" w14:textId="77777777" w:rsidR="00F925DD" w:rsidRDefault="00F925DD">
            <w:pPr>
              <w:rPr>
                <w:rFonts w:ascii="Times New Roman" w:hAnsi="Times New Roman"/>
                <w:sz w:val="20"/>
                <w:szCs w:val="20"/>
              </w:rPr>
            </w:pPr>
          </w:p>
        </w:tc>
        <w:tc>
          <w:tcPr>
            <w:tcW w:w="650" w:type="pct"/>
            <w:shd w:val="clear" w:color="auto" w:fill="auto"/>
            <w:vAlign w:val="center"/>
          </w:tcPr>
          <w:p w14:paraId="5556E8AF" w14:textId="77777777" w:rsidR="00F925DD" w:rsidRDefault="00F925DD">
            <w:pPr>
              <w:rPr>
                <w:rFonts w:ascii="Times New Roman" w:hAnsi="Times New Roman"/>
                <w:sz w:val="20"/>
                <w:szCs w:val="20"/>
              </w:rPr>
            </w:pPr>
          </w:p>
        </w:tc>
        <w:tc>
          <w:tcPr>
            <w:tcW w:w="50" w:type="pct"/>
            <w:shd w:val="clear" w:color="auto" w:fill="auto"/>
            <w:vAlign w:val="center"/>
          </w:tcPr>
          <w:p w14:paraId="5556E8B0" w14:textId="77777777" w:rsidR="00F925DD" w:rsidRDefault="00F925DD">
            <w:pPr>
              <w:rPr>
                <w:rFonts w:ascii="Times New Roman" w:hAnsi="Times New Roman"/>
                <w:sz w:val="20"/>
                <w:szCs w:val="20"/>
              </w:rPr>
            </w:pPr>
          </w:p>
        </w:tc>
        <w:tc>
          <w:tcPr>
            <w:tcW w:w="100" w:type="pct"/>
            <w:shd w:val="clear" w:color="auto" w:fill="auto"/>
            <w:vAlign w:val="center"/>
          </w:tcPr>
          <w:p w14:paraId="5556E8B1" w14:textId="77777777" w:rsidR="00F925DD" w:rsidRDefault="00F925DD">
            <w:pPr>
              <w:rPr>
                <w:rFonts w:ascii="Times New Roman" w:hAnsi="Times New Roman"/>
                <w:sz w:val="20"/>
                <w:szCs w:val="20"/>
              </w:rPr>
            </w:pPr>
          </w:p>
        </w:tc>
        <w:tc>
          <w:tcPr>
            <w:tcW w:w="50" w:type="pct"/>
            <w:shd w:val="clear" w:color="auto" w:fill="auto"/>
            <w:vAlign w:val="center"/>
          </w:tcPr>
          <w:p w14:paraId="5556E8B2" w14:textId="77777777" w:rsidR="00F925DD" w:rsidRDefault="00F925DD">
            <w:pPr>
              <w:rPr>
                <w:rFonts w:ascii="Times New Roman" w:hAnsi="Times New Roman"/>
                <w:sz w:val="20"/>
                <w:szCs w:val="20"/>
              </w:rPr>
            </w:pPr>
          </w:p>
        </w:tc>
        <w:tc>
          <w:tcPr>
            <w:tcW w:w="650" w:type="pct"/>
            <w:shd w:val="clear" w:color="auto" w:fill="auto"/>
            <w:vAlign w:val="center"/>
          </w:tcPr>
          <w:p w14:paraId="5556E8B3" w14:textId="77777777" w:rsidR="00F925DD" w:rsidRDefault="00F925DD">
            <w:pPr>
              <w:rPr>
                <w:rFonts w:ascii="Times New Roman" w:hAnsi="Times New Roman"/>
                <w:sz w:val="20"/>
                <w:szCs w:val="20"/>
              </w:rPr>
            </w:pPr>
          </w:p>
        </w:tc>
        <w:tc>
          <w:tcPr>
            <w:tcW w:w="50" w:type="pct"/>
            <w:shd w:val="clear" w:color="auto" w:fill="auto"/>
            <w:vAlign w:val="center"/>
          </w:tcPr>
          <w:p w14:paraId="5556E8B4" w14:textId="77777777" w:rsidR="00F925DD" w:rsidRDefault="00F925DD">
            <w:pPr>
              <w:rPr>
                <w:rFonts w:ascii="Times New Roman" w:hAnsi="Times New Roman"/>
                <w:sz w:val="20"/>
                <w:szCs w:val="20"/>
              </w:rPr>
            </w:pPr>
          </w:p>
        </w:tc>
        <w:tc>
          <w:tcPr>
            <w:tcW w:w="100" w:type="pct"/>
            <w:shd w:val="clear" w:color="auto" w:fill="auto"/>
            <w:vAlign w:val="center"/>
          </w:tcPr>
          <w:p w14:paraId="5556E8B5" w14:textId="77777777" w:rsidR="00F925DD" w:rsidRDefault="00F925DD">
            <w:pPr>
              <w:rPr>
                <w:rFonts w:ascii="Times New Roman" w:hAnsi="Times New Roman"/>
                <w:sz w:val="20"/>
                <w:szCs w:val="20"/>
              </w:rPr>
            </w:pPr>
          </w:p>
        </w:tc>
        <w:tc>
          <w:tcPr>
            <w:tcW w:w="50" w:type="pct"/>
            <w:shd w:val="clear" w:color="auto" w:fill="auto"/>
            <w:vAlign w:val="center"/>
          </w:tcPr>
          <w:p w14:paraId="5556E8B6" w14:textId="77777777" w:rsidR="00F925DD" w:rsidRDefault="00F925DD">
            <w:pPr>
              <w:rPr>
                <w:rFonts w:ascii="Times New Roman" w:hAnsi="Times New Roman"/>
                <w:sz w:val="20"/>
                <w:szCs w:val="20"/>
              </w:rPr>
            </w:pPr>
          </w:p>
        </w:tc>
        <w:tc>
          <w:tcPr>
            <w:tcW w:w="650" w:type="pct"/>
            <w:shd w:val="clear" w:color="auto" w:fill="auto"/>
            <w:vAlign w:val="center"/>
          </w:tcPr>
          <w:p w14:paraId="5556E8B7" w14:textId="77777777" w:rsidR="00F925DD" w:rsidRDefault="00F925DD">
            <w:pPr>
              <w:rPr>
                <w:rFonts w:ascii="Times New Roman" w:hAnsi="Times New Roman"/>
                <w:sz w:val="20"/>
                <w:szCs w:val="20"/>
              </w:rPr>
            </w:pPr>
          </w:p>
        </w:tc>
        <w:tc>
          <w:tcPr>
            <w:tcW w:w="50" w:type="pct"/>
            <w:shd w:val="clear" w:color="auto" w:fill="auto"/>
            <w:vAlign w:val="center"/>
          </w:tcPr>
          <w:p w14:paraId="5556E8B8" w14:textId="77777777" w:rsidR="00F925DD" w:rsidRDefault="00F925DD">
            <w:pPr>
              <w:rPr>
                <w:rFonts w:ascii="Times New Roman" w:hAnsi="Times New Roman"/>
                <w:sz w:val="20"/>
                <w:szCs w:val="20"/>
              </w:rPr>
            </w:pPr>
          </w:p>
        </w:tc>
      </w:tr>
      <w:tr w:rsidR="00F925DD" w14:paraId="5556E8BC" w14:textId="77777777">
        <w:tc>
          <w:tcPr>
            <w:tcW w:w="0" w:type="auto"/>
            <w:shd w:val="clear" w:color="auto" w:fill="auto"/>
            <w:tcMar>
              <w:top w:w="40" w:type="dxa"/>
              <w:left w:w="40" w:type="dxa"/>
              <w:bottom w:w="40" w:type="dxa"/>
              <w:right w:w="40" w:type="dxa"/>
            </w:tcMar>
            <w:vAlign w:val="bottom"/>
          </w:tcPr>
          <w:p w14:paraId="5556E8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E8BB"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Years Ended December 31,</w:t>
            </w:r>
          </w:p>
        </w:tc>
      </w:tr>
      <w:tr w:rsidR="00F925DD" w14:paraId="5556E8C3" w14:textId="77777777">
        <w:tc>
          <w:tcPr>
            <w:tcW w:w="0" w:type="auto"/>
            <w:shd w:val="clear" w:color="auto" w:fill="auto"/>
            <w:tcMar>
              <w:top w:w="40" w:type="dxa"/>
              <w:left w:w="40" w:type="dxa"/>
              <w:bottom w:w="40" w:type="dxa"/>
              <w:right w:w="40" w:type="dxa"/>
            </w:tcMar>
            <w:vAlign w:val="bottom"/>
          </w:tcPr>
          <w:p w14:paraId="5556E8BD"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8BE"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8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8C0"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8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8C2"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2017</w:t>
            </w:r>
          </w:p>
        </w:tc>
      </w:tr>
      <w:tr w:rsidR="00F925DD" w14:paraId="5556E8CA" w14:textId="77777777">
        <w:tc>
          <w:tcPr>
            <w:tcW w:w="0" w:type="auto"/>
            <w:shd w:val="clear" w:color="auto" w:fill="auto"/>
            <w:tcMar>
              <w:top w:w="40" w:type="dxa"/>
              <w:left w:w="40" w:type="dxa"/>
              <w:bottom w:w="40" w:type="dxa"/>
              <w:right w:w="40" w:type="dxa"/>
            </w:tcMar>
            <w:vAlign w:val="bottom"/>
          </w:tcPr>
          <w:p w14:paraId="5556E8C4"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Interest income:</w:t>
            </w:r>
          </w:p>
        </w:tc>
        <w:tc>
          <w:tcPr>
            <w:tcW w:w="0" w:type="auto"/>
            <w:gridSpan w:val="3"/>
            <w:shd w:val="clear" w:color="auto" w:fill="auto"/>
            <w:tcMar>
              <w:top w:w="40" w:type="dxa"/>
              <w:left w:w="40" w:type="dxa"/>
              <w:bottom w:w="40" w:type="dxa"/>
              <w:right w:w="40" w:type="dxa"/>
            </w:tcMar>
            <w:vAlign w:val="bottom"/>
          </w:tcPr>
          <w:p w14:paraId="5556E8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8D7" w14:textId="77777777">
        <w:tc>
          <w:tcPr>
            <w:tcW w:w="0" w:type="auto"/>
            <w:shd w:val="clear" w:color="auto" w:fill="CCEEFF"/>
            <w:tcMar>
              <w:top w:w="40" w:type="dxa"/>
              <w:left w:w="40" w:type="dxa"/>
              <w:bottom w:w="40" w:type="dxa"/>
              <w:right w:w="40" w:type="dxa"/>
            </w:tcMar>
            <w:vAlign w:val="bottom"/>
          </w:tcPr>
          <w:p w14:paraId="5556E8CB" w14:textId="77777777" w:rsidR="00F925DD" w:rsidRDefault="00E705D7">
            <w:pPr>
              <w:textAlignment w:val="bottom"/>
              <w:rPr>
                <w:rFonts w:ascii="Times New Roman" w:hAnsi="Times New Roman"/>
                <w:sz w:val="13"/>
                <w:szCs w:val="13"/>
              </w:rPr>
            </w:pPr>
            <w:r>
              <w:rPr>
                <w:rFonts w:ascii="Arial" w:eastAsia="宋体" w:hAnsi="Arial" w:cs="Arial"/>
                <w:sz w:val="13"/>
                <w:szCs w:val="13"/>
              </w:rPr>
              <w:t>Interest-bearing deposits with banks</w:t>
            </w:r>
          </w:p>
        </w:tc>
        <w:tc>
          <w:tcPr>
            <w:tcW w:w="0" w:type="auto"/>
            <w:shd w:val="clear" w:color="auto" w:fill="CCEEFF"/>
            <w:tcMar>
              <w:top w:w="40" w:type="dxa"/>
              <w:left w:w="40" w:type="dxa"/>
              <w:bottom w:w="40" w:type="dxa"/>
            </w:tcMar>
            <w:vAlign w:val="bottom"/>
          </w:tcPr>
          <w:p w14:paraId="5556E8CC"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bottom w:w="40" w:type="dxa"/>
            </w:tcMar>
            <w:vAlign w:val="bottom"/>
          </w:tcPr>
          <w:p w14:paraId="5556E8CD"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416</w:t>
            </w:r>
          </w:p>
        </w:tc>
        <w:tc>
          <w:tcPr>
            <w:tcW w:w="0" w:type="auto"/>
            <w:shd w:val="clear" w:color="auto" w:fill="CCEEFF"/>
            <w:vAlign w:val="bottom"/>
          </w:tcPr>
          <w:p w14:paraId="5556E8C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8D0"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5556E8D1"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387</w:t>
            </w:r>
          </w:p>
        </w:tc>
        <w:tc>
          <w:tcPr>
            <w:tcW w:w="0" w:type="auto"/>
            <w:shd w:val="clear" w:color="auto" w:fill="CCEEFF"/>
            <w:vAlign w:val="bottom"/>
          </w:tcPr>
          <w:p w14:paraId="5556E8D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8D4"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5556E8D5"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180</w:t>
            </w:r>
          </w:p>
        </w:tc>
        <w:tc>
          <w:tcPr>
            <w:tcW w:w="0" w:type="auto"/>
            <w:shd w:val="clear" w:color="auto" w:fill="CCEEFF"/>
            <w:vAlign w:val="bottom"/>
          </w:tcPr>
          <w:p w14:paraId="5556E8D6" w14:textId="77777777" w:rsidR="00F925DD" w:rsidRDefault="00F925DD">
            <w:pPr>
              <w:textAlignment w:val="bottom"/>
              <w:rPr>
                <w:rFonts w:ascii="Times New Roman" w:hAnsi="Times New Roman"/>
                <w:sz w:val="20"/>
                <w:szCs w:val="20"/>
              </w:rPr>
            </w:pPr>
          </w:p>
        </w:tc>
      </w:tr>
      <w:tr w:rsidR="00F925DD" w14:paraId="5556E8DE" w14:textId="77777777">
        <w:tc>
          <w:tcPr>
            <w:tcW w:w="0" w:type="auto"/>
            <w:shd w:val="clear" w:color="auto" w:fill="auto"/>
            <w:tcMar>
              <w:top w:w="40" w:type="dxa"/>
              <w:left w:w="40" w:type="dxa"/>
              <w:bottom w:w="40" w:type="dxa"/>
              <w:right w:w="40" w:type="dxa"/>
            </w:tcMar>
            <w:vAlign w:val="bottom"/>
          </w:tcPr>
          <w:p w14:paraId="5556E8D8" w14:textId="77777777" w:rsidR="00F925DD" w:rsidRDefault="00E705D7">
            <w:pPr>
              <w:textAlignment w:val="bottom"/>
              <w:rPr>
                <w:rFonts w:ascii="Times New Roman" w:hAnsi="Times New Roman"/>
                <w:sz w:val="13"/>
                <w:szCs w:val="13"/>
              </w:rPr>
            </w:pPr>
            <w:r>
              <w:rPr>
                <w:rFonts w:ascii="Arial" w:eastAsia="宋体" w:hAnsi="Arial" w:cs="Arial"/>
                <w:sz w:val="13"/>
                <w:szCs w:val="13"/>
              </w:rPr>
              <w:t>Investment securities:</w:t>
            </w:r>
          </w:p>
        </w:tc>
        <w:tc>
          <w:tcPr>
            <w:tcW w:w="0" w:type="auto"/>
            <w:gridSpan w:val="3"/>
            <w:shd w:val="clear" w:color="auto" w:fill="auto"/>
            <w:tcMar>
              <w:top w:w="40" w:type="dxa"/>
              <w:left w:w="40" w:type="dxa"/>
              <w:bottom w:w="40" w:type="dxa"/>
              <w:right w:w="40" w:type="dxa"/>
            </w:tcMar>
            <w:vAlign w:val="bottom"/>
          </w:tcPr>
          <w:p w14:paraId="5556E8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8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8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8E8" w14:textId="77777777">
        <w:tc>
          <w:tcPr>
            <w:tcW w:w="0" w:type="auto"/>
            <w:shd w:val="clear" w:color="auto" w:fill="CCEEFF"/>
            <w:tcMar>
              <w:top w:w="40" w:type="dxa"/>
              <w:left w:w="240" w:type="dxa"/>
              <w:bottom w:w="40" w:type="dxa"/>
              <w:right w:w="40" w:type="dxa"/>
            </w:tcMar>
            <w:vAlign w:val="bottom"/>
          </w:tcPr>
          <w:p w14:paraId="5556E8DF" w14:textId="77777777" w:rsidR="00F925DD" w:rsidRDefault="00E705D7">
            <w:pPr>
              <w:textAlignment w:val="bottom"/>
              <w:rPr>
                <w:rFonts w:ascii="Times New Roman" w:hAnsi="Times New Roman"/>
                <w:sz w:val="13"/>
                <w:szCs w:val="13"/>
              </w:rPr>
            </w:pPr>
            <w:r>
              <w:rPr>
                <w:rFonts w:ascii="Arial" w:eastAsia="宋体" w:hAnsi="Arial" w:cs="Arial"/>
                <w:sz w:val="13"/>
                <w:szCs w:val="13"/>
              </w:rPr>
              <w:t>U.S. Treasury and federal agencies</w:t>
            </w:r>
          </w:p>
        </w:tc>
        <w:tc>
          <w:tcPr>
            <w:tcW w:w="0" w:type="auto"/>
            <w:gridSpan w:val="2"/>
            <w:shd w:val="clear" w:color="auto" w:fill="CCEEFF"/>
            <w:tcMar>
              <w:top w:w="40" w:type="dxa"/>
              <w:left w:w="40" w:type="dxa"/>
              <w:bottom w:w="40" w:type="dxa"/>
            </w:tcMar>
            <w:vAlign w:val="bottom"/>
          </w:tcPr>
          <w:p w14:paraId="5556E8E0"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1,443</w:t>
            </w:r>
          </w:p>
        </w:tc>
        <w:tc>
          <w:tcPr>
            <w:tcW w:w="0" w:type="auto"/>
            <w:shd w:val="clear" w:color="auto" w:fill="CCEEFF"/>
            <w:vAlign w:val="bottom"/>
          </w:tcPr>
          <w:p w14:paraId="5556E8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E3"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1,178</w:t>
            </w:r>
          </w:p>
        </w:tc>
        <w:tc>
          <w:tcPr>
            <w:tcW w:w="0" w:type="auto"/>
            <w:shd w:val="clear" w:color="auto" w:fill="CCEEFF"/>
            <w:vAlign w:val="bottom"/>
          </w:tcPr>
          <w:p w14:paraId="5556E8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E6"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854</w:t>
            </w:r>
          </w:p>
        </w:tc>
        <w:tc>
          <w:tcPr>
            <w:tcW w:w="0" w:type="auto"/>
            <w:shd w:val="clear" w:color="auto" w:fill="CCEEFF"/>
            <w:vAlign w:val="bottom"/>
          </w:tcPr>
          <w:p w14:paraId="5556E8E7" w14:textId="77777777" w:rsidR="00F925DD" w:rsidRDefault="00F925DD">
            <w:pPr>
              <w:textAlignment w:val="bottom"/>
              <w:rPr>
                <w:rFonts w:ascii="Times New Roman" w:hAnsi="Times New Roman"/>
                <w:sz w:val="20"/>
                <w:szCs w:val="20"/>
              </w:rPr>
            </w:pPr>
          </w:p>
        </w:tc>
      </w:tr>
      <w:tr w:rsidR="00F925DD" w14:paraId="5556E8F2" w14:textId="77777777">
        <w:tc>
          <w:tcPr>
            <w:tcW w:w="0" w:type="auto"/>
            <w:shd w:val="clear" w:color="auto" w:fill="auto"/>
            <w:tcMar>
              <w:top w:w="40" w:type="dxa"/>
              <w:left w:w="240" w:type="dxa"/>
              <w:bottom w:w="40" w:type="dxa"/>
              <w:right w:w="40" w:type="dxa"/>
            </w:tcMar>
            <w:vAlign w:val="bottom"/>
          </w:tcPr>
          <w:p w14:paraId="5556E8E9" w14:textId="77777777" w:rsidR="00F925DD" w:rsidRDefault="00E705D7">
            <w:pPr>
              <w:textAlignment w:val="bottom"/>
              <w:rPr>
                <w:rFonts w:ascii="Times New Roman" w:hAnsi="Times New Roman"/>
                <w:sz w:val="13"/>
                <w:szCs w:val="13"/>
              </w:rPr>
            </w:pPr>
            <w:r>
              <w:rPr>
                <w:rFonts w:ascii="Arial" w:eastAsia="宋体" w:hAnsi="Arial" w:cs="Arial"/>
                <w:sz w:val="13"/>
                <w:szCs w:val="13"/>
              </w:rPr>
              <w:t>State and political subdivisions</w:t>
            </w:r>
          </w:p>
        </w:tc>
        <w:tc>
          <w:tcPr>
            <w:tcW w:w="0" w:type="auto"/>
            <w:gridSpan w:val="2"/>
            <w:shd w:val="clear" w:color="auto" w:fill="auto"/>
            <w:tcMar>
              <w:top w:w="40" w:type="dxa"/>
              <w:left w:w="40" w:type="dxa"/>
              <w:bottom w:w="40" w:type="dxa"/>
            </w:tcMar>
            <w:vAlign w:val="bottom"/>
          </w:tcPr>
          <w:p w14:paraId="5556E8EA"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49</w:t>
            </w:r>
          </w:p>
        </w:tc>
        <w:tc>
          <w:tcPr>
            <w:tcW w:w="0" w:type="auto"/>
            <w:shd w:val="clear" w:color="auto" w:fill="auto"/>
            <w:vAlign w:val="bottom"/>
          </w:tcPr>
          <w:p w14:paraId="5556E8E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8ED"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143</w:t>
            </w:r>
          </w:p>
        </w:tc>
        <w:tc>
          <w:tcPr>
            <w:tcW w:w="0" w:type="auto"/>
            <w:shd w:val="clear" w:color="auto" w:fill="auto"/>
            <w:vAlign w:val="bottom"/>
          </w:tcPr>
          <w:p w14:paraId="5556E8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8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8F0"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226</w:t>
            </w:r>
          </w:p>
        </w:tc>
        <w:tc>
          <w:tcPr>
            <w:tcW w:w="0" w:type="auto"/>
            <w:shd w:val="clear" w:color="auto" w:fill="auto"/>
            <w:vAlign w:val="bottom"/>
          </w:tcPr>
          <w:p w14:paraId="5556E8F1" w14:textId="77777777" w:rsidR="00F925DD" w:rsidRDefault="00F925DD">
            <w:pPr>
              <w:textAlignment w:val="bottom"/>
              <w:rPr>
                <w:rFonts w:ascii="Times New Roman" w:hAnsi="Times New Roman"/>
                <w:sz w:val="20"/>
                <w:szCs w:val="20"/>
              </w:rPr>
            </w:pPr>
          </w:p>
        </w:tc>
      </w:tr>
      <w:tr w:rsidR="00F925DD" w14:paraId="5556E8FC" w14:textId="77777777">
        <w:tc>
          <w:tcPr>
            <w:tcW w:w="0" w:type="auto"/>
            <w:shd w:val="clear" w:color="auto" w:fill="CCEEFF"/>
            <w:tcMar>
              <w:top w:w="40" w:type="dxa"/>
              <w:left w:w="240" w:type="dxa"/>
              <w:bottom w:w="40" w:type="dxa"/>
              <w:right w:w="40" w:type="dxa"/>
            </w:tcMar>
            <w:vAlign w:val="bottom"/>
          </w:tcPr>
          <w:p w14:paraId="5556E8F3" w14:textId="77777777" w:rsidR="00F925DD" w:rsidRDefault="00E705D7">
            <w:pPr>
              <w:textAlignment w:val="bottom"/>
              <w:rPr>
                <w:rFonts w:ascii="Times New Roman" w:hAnsi="Times New Roman"/>
                <w:sz w:val="13"/>
                <w:szCs w:val="13"/>
              </w:rPr>
            </w:pPr>
            <w:r>
              <w:rPr>
                <w:rFonts w:ascii="Arial" w:eastAsia="宋体" w:hAnsi="Arial" w:cs="Arial"/>
                <w:sz w:val="13"/>
                <w:szCs w:val="13"/>
              </w:rPr>
              <w:t>Other investments</w:t>
            </w:r>
          </w:p>
        </w:tc>
        <w:tc>
          <w:tcPr>
            <w:tcW w:w="0" w:type="auto"/>
            <w:gridSpan w:val="2"/>
            <w:shd w:val="clear" w:color="auto" w:fill="CCEEFF"/>
            <w:tcMar>
              <w:top w:w="40" w:type="dxa"/>
              <w:left w:w="40" w:type="dxa"/>
              <w:bottom w:w="40" w:type="dxa"/>
            </w:tcMar>
            <w:vAlign w:val="bottom"/>
          </w:tcPr>
          <w:p w14:paraId="5556E8F4"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505</w:t>
            </w:r>
          </w:p>
        </w:tc>
        <w:tc>
          <w:tcPr>
            <w:tcW w:w="0" w:type="auto"/>
            <w:shd w:val="clear" w:color="auto" w:fill="CCEEFF"/>
            <w:vAlign w:val="bottom"/>
          </w:tcPr>
          <w:p w14:paraId="5556E8F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F7"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560</w:t>
            </w:r>
          </w:p>
        </w:tc>
        <w:tc>
          <w:tcPr>
            <w:tcW w:w="0" w:type="auto"/>
            <w:shd w:val="clear" w:color="auto" w:fill="CCEEFF"/>
            <w:vAlign w:val="bottom"/>
          </w:tcPr>
          <w:p w14:paraId="5556E8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8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8FA"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658</w:t>
            </w:r>
          </w:p>
        </w:tc>
        <w:tc>
          <w:tcPr>
            <w:tcW w:w="0" w:type="auto"/>
            <w:shd w:val="clear" w:color="auto" w:fill="CCEEFF"/>
            <w:vAlign w:val="bottom"/>
          </w:tcPr>
          <w:p w14:paraId="5556E8FB" w14:textId="77777777" w:rsidR="00F925DD" w:rsidRDefault="00F925DD">
            <w:pPr>
              <w:textAlignment w:val="bottom"/>
              <w:rPr>
                <w:rFonts w:ascii="Times New Roman" w:hAnsi="Times New Roman"/>
                <w:sz w:val="20"/>
                <w:szCs w:val="20"/>
              </w:rPr>
            </w:pPr>
          </w:p>
        </w:tc>
      </w:tr>
      <w:tr w:rsidR="00F925DD" w14:paraId="5556E906" w14:textId="77777777">
        <w:tc>
          <w:tcPr>
            <w:tcW w:w="0" w:type="auto"/>
            <w:shd w:val="clear" w:color="auto" w:fill="auto"/>
            <w:tcMar>
              <w:top w:w="40" w:type="dxa"/>
              <w:left w:w="40" w:type="dxa"/>
              <w:bottom w:w="40" w:type="dxa"/>
              <w:right w:w="40" w:type="dxa"/>
            </w:tcMar>
            <w:vAlign w:val="bottom"/>
          </w:tcPr>
          <w:p w14:paraId="5556E8FD" w14:textId="77777777" w:rsidR="00F925DD" w:rsidRDefault="00E705D7">
            <w:pPr>
              <w:textAlignment w:val="bottom"/>
              <w:rPr>
                <w:rFonts w:ascii="Times New Roman" w:hAnsi="Times New Roman"/>
                <w:sz w:val="13"/>
                <w:szCs w:val="13"/>
              </w:rPr>
            </w:pPr>
            <w:r>
              <w:rPr>
                <w:rFonts w:ascii="Arial" w:eastAsia="宋体" w:hAnsi="Arial" w:cs="Arial"/>
                <w:sz w:val="13"/>
                <w:szCs w:val="13"/>
              </w:rPr>
              <w:t>Securities purchased under resale agreements</w:t>
            </w:r>
          </w:p>
        </w:tc>
        <w:tc>
          <w:tcPr>
            <w:tcW w:w="0" w:type="auto"/>
            <w:gridSpan w:val="2"/>
            <w:shd w:val="clear" w:color="auto" w:fill="auto"/>
            <w:tcMar>
              <w:top w:w="40" w:type="dxa"/>
              <w:left w:w="40" w:type="dxa"/>
              <w:bottom w:w="40" w:type="dxa"/>
            </w:tcMar>
            <w:vAlign w:val="bottom"/>
          </w:tcPr>
          <w:p w14:paraId="5556E8FE"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364</w:t>
            </w:r>
          </w:p>
        </w:tc>
        <w:tc>
          <w:tcPr>
            <w:tcW w:w="0" w:type="auto"/>
            <w:shd w:val="clear" w:color="auto" w:fill="auto"/>
            <w:vAlign w:val="bottom"/>
          </w:tcPr>
          <w:p w14:paraId="5556E8F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901"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335</w:t>
            </w:r>
          </w:p>
        </w:tc>
        <w:tc>
          <w:tcPr>
            <w:tcW w:w="0" w:type="auto"/>
            <w:shd w:val="clear" w:color="auto" w:fill="auto"/>
            <w:vAlign w:val="bottom"/>
          </w:tcPr>
          <w:p w14:paraId="5556E90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904"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264</w:t>
            </w:r>
          </w:p>
        </w:tc>
        <w:tc>
          <w:tcPr>
            <w:tcW w:w="0" w:type="auto"/>
            <w:shd w:val="clear" w:color="auto" w:fill="auto"/>
            <w:vAlign w:val="bottom"/>
          </w:tcPr>
          <w:p w14:paraId="5556E905" w14:textId="77777777" w:rsidR="00F925DD" w:rsidRDefault="00F925DD">
            <w:pPr>
              <w:textAlignment w:val="bottom"/>
              <w:rPr>
                <w:rFonts w:ascii="Times New Roman" w:hAnsi="Times New Roman"/>
                <w:sz w:val="20"/>
                <w:szCs w:val="20"/>
              </w:rPr>
            </w:pPr>
          </w:p>
        </w:tc>
      </w:tr>
      <w:tr w:rsidR="00F925DD" w14:paraId="5556E910" w14:textId="77777777">
        <w:tc>
          <w:tcPr>
            <w:tcW w:w="0" w:type="auto"/>
            <w:shd w:val="clear" w:color="auto" w:fill="CCEEFF"/>
            <w:tcMar>
              <w:top w:w="40" w:type="dxa"/>
              <w:left w:w="40" w:type="dxa"/>
              <w:bottom w:w="40" w:type="dxa"/>
              <w:right w:w="40" w:type="dxa"/>
            </w:tcMar>
            <w:vAlign w:val="bottom"/>
          </w:tcPr>
          <w:p w14:paraId="5556E907" w14:textId="77777777" w:rsidR="00F925DD" w:rsidRDefault="00E705D7">
            <w:pPr>
              <w:textAlignment w:val="bottom"/>
              <w:rPr>
                <w:rFonts w:ascii="Times New Roman" w:hAnsi="Times New Roman"/>
                <w:sz w:val="13"/>
                <w:szCs w:val="13"/>
              </w:rPr>
            </w:pPr>
            <w:r>
              <w:rPr>
                <w:rFonts w:ascii="Arial" w:eastAsia="宋体" w:hAnsi="Arial" w:cs="Arial"/>
                <w:sz w:val="13"/>
                <w:szCs w:val="13"/>
              </w:rPr>
              <w:t>Loans and leases</w:t>
            </w:r>
          </w:p>
        </w:tc>
        <w:tc>
          <w:tcPr>
            <w:tcW w:w="0" w:type="auto"/>
            <w:gridSpan w:val="2"/>
            <w:shd w:val="clear" w:color="auto" w:fill="CCEEFF"/>
            <w:tcMar>
              <w:top w:w="40" w:type="dxa"/>
              <w:left w:w="40" w:type="dxa"/>
              <w:bottom w:w="40" w:type="dxa"/>
            </w:tcMar>
            <w:vAlign w:val="bottom"/>
          </w:tcPr>
          <w:p w14:paraId="5556E908"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769</w:t>
            </w:r>
          </w:p>
        </w:tc>
        <w:tc>
          <w:tcPr>
            <w:tcW w:w="0" w:type="auto"/>
            <w:shd w:val="clear" w:color="auto" w:fill="CCEEFF"/>
            <w:vAlign w:val="bottom"/>
          </w:tcPr>
          <w:p w14:paraId="5556E90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90B"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687</w:t>
            </w:r>
          </w:p>
        </w:tc>
        <w:tc>
          <w:tcPr>
            <w:tcW w:w="0" w:type="auto"/>
            <w:shd w:val="clear" w:color="auto" w:fill="CCEEFF"/>
            <w:vAlign w:val="bottom"/>
          </w:tcPr>
          <w:p w14:paraId="5556E90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90E"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504</w:t>
            </w:r>
          </w:p>
        </w:tc>
        <w:tc>
          <w:tcPr>
            <w:tcW w:w="0" w:type="auto"/>
            <w:shd w:val="clear" w:color="auto" w:fill="CCEEFF"/>
            <w:vAlign w:val="bottom"/>
          </w:tcPr>
          <w:p w14:paraId="5556E90F" w14:textId="77777777" w:rsidR="00F925DD" w:rsidRDefault="00F925DD">
            <w:pPr>
              <w:textAlignment w:val="bottom"/>
              <w:rPr>
                <w:rFonts w:ascii="Times New Roman" w:hAnsi="Times New Roman"/>
                <w:sz w:val="20"/>
                <w:szCs w:val="20"/>
              </w:rPr>
            </w:pPr>
          </w:p>
        </w:tc>
      </w:tr>
      <w:tr w:rsidR="00F925DD" w14:paraId="5556E91A" w14:textId="77777777">
        <w:tc>
          <w:tcPr>
            <w:tcW w:w="0" w:type="auto"/>
            <w:shd w:val="clear" w:color="auto" w:fill="auto"/>
            <w:tcMar>
              <w:top w:w="40" w:type="dxa"/>
              <w:left w:w="40" w:type="dxa"/>
              <w:bottom w:w="40" w:type="dxa"/>
              <w:right w:w="40" w:type="dxa"/>
            </w:tcMar>
            <w:vAlign w:val="bottom"/>
          </w:tcPr>
          <w:p w14:paraId="5556E911" w14:textId="77777777" w:rsidR="00F925DD" w:rsidRDefault="00E705D7">
            <w:pPr>
              <w:textAlignment w:val="bottom"/>
              <w:rPr>
                <w:rFonts w:ascii="Times New Roman" w:hAnsi="Times New Roman"/>
                <w:sz w:val="13"/>
                <w:szCs w:val="13"/>
              </w:rPr>
            </w:pPr>
            <w:r>
              <w:rPr>
                <w:rFonts w:ascii="Arial" w:eastAsia="宋体" w:hAnsi="Arial" w:cs="Arial"/>
                <w:sz w:val="13"/>
                <w:szCs w:val="13"/>
              </w:rPr>
              <w:t>Other interest-earning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5556E912"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395</w:t>
            </w:r>
          </w:p>
        </w:tc>
        <w:tc>
          <w:tcPr>
            <w:tcW w:w="0" w:type="auto"/>
            <w:tcBorders>
              <w:bottom w:val="single" w:sz="8" w:space="0" w:color="000000"/>
            </w:tcBorders>
            <w:shd w:val="clear" w:color="auto" w:fill="auto"/>
            <w:vAlign w:val="bottom"/>
          </w:tcPr>
          <w:p w14:paraId="5556E91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915"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372</w:t>
            </w:r>
          </w:p>
        </w:tc>
        <w:tc>
          <w:tcPr>
            <w:tcW w:w="0" w:type="auto"/>
            <w:tcBorders>
              <w:bottom w:val="single" w:sz="8" w:space="0" w:color="000000"/>
            </w:tcBorders>
            <w:shd w:val="clear" w:color="auto" w:fill="auto"/>
            <w:vAlign w:val="bottom"/>
          </w:tcPr>
          <w:p w14:paraId="5556E91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918"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222</w:t>
            </w:r>
          </w:p>
        </w:tc>
        <w:tc>
          <w:tcPr>
            <w:tcW w:w="0" w:type="auto"/>
            <w:tcBorders>
              <w:bottom w:val="single" w:sz="8" w:space="0" w:color="000000"/>
            </w:tcBorders>
            <w:shd w:val="clear" w:color="auto" w:fill="auto"/>
            <w:vAlign w:val="bottom"/>
          </w:tcPr>
          <w:p w14:paraId="5556E919" w14:textId="77777777" w:rsidR="00F925DD" w:rsidRDefault="00F925DD">
            <w:pPr>
              <w:textAlignment w:val="bottom"/>
              <w:rPr>
                <w:rFonts w:ascii="Times New Roman" w:hAnsi="Times New Roman"/>
                <w:sz w:val="20"/>
                <w:szCs w:val="20"/>
              </w:rPr>
            </w:pPr>
          </w:p>
        </w:tc>
      </w:tr>
      <w:tr w:rsidR="00F925DD" w14:paraId="5556E924" w14:textId="77777777">
        <w:tc>
          <w:tcPr>
            <w:tcW w:w="0" w:type="auto"/>
            <w:shd w:val="clear" w:color="auto" w:fill="CCEEFF"/>
            <w:tcMar>
              <w:top w:w="40" w:type="dxa"/>
              <w:left w:w="40" w:type="dxa"/>
              <w:bottom w:w="40" w:type="dxa"/>
              <w:right w:w="40" w:type="dxa"/>
            </w:tcMar>
            <w:vAlign w:val="bottom"/>
          </w:tcPr>
          <w:p w14:paraId="5556E91B" w14:textId="77777777" w:rsidR="00F925DD" w:rsidRDefault="00E705D7">
            <w:pPr>
              <w:textAlignment w:val="bottom"/>
              <w:rPr>
                <w:rFonts w:ascii="Times New Roman" w:hAnsi="Times New Roman"/>
                <w:sz w:val="13"/>
                <w:szCs w:val="13"/>
              </w:rPr>
            </w:pPr>
            <w:r>
              <w:rPr>
                <w:rFonts w:ascii="Arial" w:eastAsia="宋体" w:hAnsi="Arial" w:cs="Arial"/>
                <w:sz w:val="13"/>
                <w:szCs w:val="13"/>
              </w:rPr>
              <w:t>Total interest income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91C"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3,941</w:t>
            </w:r>
          </w:p>
        </w:tc>
        <w:tc>
          <w:tcPr>
            <w:tcW w:w="0" w:type="auto"/>
            <w:tcBorders>
              <w:bottom w:val="single" w:sz="8" w:space="0" w:color="000000"/>
            </w:tcBorders>
            <w:shd w:val="clear" w:color="auto" w:fill="CCEEFF"/>
            <w:vAlign w:val="bottom"/>
          </w:tcPr>
          <w:p w14:paraId="5556E91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91F"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3,662</w:t>
            </w:r>
          </w:p>
        </w:tc>
        <w:tc>
          <w:tcPr>
            <w:tcW w:w="0" w:type="auto"/>
            <w:tcBorders>
              <w:bottom w:val="single" w:sz="8" w:space="0" w:color="000000"/>
            </w:tcBorders>
            <w:shd w:val="clear" w:color="auto" w:fill="CCEEFF"/>
            <w:vAlign w:val="bottom"/>
          </w:tcPr>
          <w:p w14:paraId="5556E92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922"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2,908</w:t>
            </w:r>
          </w:p>
        </w:tc>
        <w:tc>
          <w:tcPr>
            <w:tcW w:w="0" w:type="auto"/>
            <w:tcBorders>
              <w:top w:val="single" w:sz="8" w:space="0" w:color="000000"/>
              <w:bottom w:val="single" w:sz="8" w:space="0" w:color="000000"/>
            </w:tcBorders>
            <w:shd w:val="clear" w:color="auto" w:fill="CCEEFF"/>
            <w:vAlign w:val="bottom"/>
          </w:tcPr>
          <w:p w14:paraId="5556E923" w14:textId="77777777" w:rsidR="00F925DD" w:rsidRDefault="00F925DD">
            <w:pPr>
              <w:textAlignment w:val="bottom"/>
              <w:rPr>
                <w:rFonts w:ascii="Times New Roman" w:hAnsi="Times New Roman"/>
                <w:sz w:val="20"/>
                <w:szCs w:val="20"/>
              </w:rPr>
            </w:pPr>
          </w:p>
        </w:tc>
      </w:tr>
      <w:tr w:rsidR="00F925DD" w14:paraId="5556E92B" w14:textId="77777777">
        <w:tc>
          <w:tcPr>
            <w:tcW w:w="0" w:type="auto"/>
            <w:shd w:val="clear" w:color="auto" w:fill="auto"/>
            <w:tcMar>
              <w:top w:w="40" w:type="dxa"/>
              <w:left w:w="40" w:type="dxa"/>
              <w:bottom w:w="40" w:type="dxa"/>
              <w:right w:w="40" w:type="dxa"/>
            </w:tcMar>
            <w:vAlign w:val="bottom"/>
          </w:tcPr>
          <w:p w14:paraId="5556E925"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Interest expense:</w:t>
            </w:r>
          </w:p>
        </w:tc>
        <w:tc>
          <w:tcPr>
            <w:tcW w:w="0" w:type="auto"/>
            <w:gridSpan w:val="3"/>
            <w:shd w:val="clear" w:color="auto" w:fill="auto"/>
            <w:tcMar>
              <w:top w:w="40" w:type="dxa"/>
              <w:left w:w="40" w:type="dxa"/>
              <w:bottom w:w="40" w:type="dxa"/>
              <w:right w:w="40" w:type="dxa"/>
            </w:tcMar>
            <w:vAlign w:val="bottom"/>
          </w:tcPr>
          <w:p w14:paraId="5556E9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9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9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9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9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935" w14:textId="77777777">
        <w:tc>
          <w:tcPr>
            <w:tcW w:w="0" w:type="auto"/>
            <w:shd w:val="clear" w:color="auto" w:fill="CCEEFF"/>
            <w:tcMar>
              <w:top w:w="40" w:type="dxa"/>
              <w:left w:w="40" w:type="dxa"/>
              <w:bottom w:w="40" w:type="dxa"/>
              <w:right w:w="40" w:type="dxa"/>
            </w:tcMar>
            <w:vAlign w:val="bottom"/>
          </w:tcPr>
          <w:p w14:paraId="5556E92C" w14:textId="77777777" w:rsidR="00F925DD" w:rsidRDefault="00E705D7">
            <w:pPr>
              <w:textAlignment w:val="bottom"/>
              <w:rPr>
                <w:rFonts w:ascii="Times New Roman" w:hAnsi="Times New Roman"/>
                <w:sz w:val="13"/>
                <w:szCs w:val="13"/>
              </w:rPr>
            </w:pPr>
            <w:r>
              <w:rPr>
                <w:rFonts w:ascii="Arial" w:eastAsia="宋体" w:hAnsi="Arial" w:cs="Arial"/>
                <w:sz w:val="13"/>
                <w:szCs w:val="13"/>
              </w:rPr>
              <w:t>Interest-bearing deposits</w:t>
            </w:r>
          </w:p>
        </w:tc>
        <w:tc>
          <w:tcPr>
            <w:tcW w:w="0" w:type="auto"/>
            <w:gridSpan w:val="2"/>
            <w:shd w:val="clear" w:color="auto" w:fill="CCEEFF"/>
            <w:tcMar>
              <w:top w:w="40" w:type="dxa"/>
              <w:left w:w="40" w:type="dxa"/>
              <w:bottom w:w="40" w:type="dxa"/>
            </w:tcMar>
            <w:vAlign w:val="bottom"/>
          </w:tcPr>
          <w:p w14:paraId="5556E92D"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663</w:t>
            </w:r>
          </w:p>
        </w:tc>
        <w:tc>
          <w:tcPr>
            <w:tcW w:w="0" w:type="auto"/>
            <w:shd w:val="clear" w:color="auto" w:fill="CCEEFF"/>
            <w:vAlign w:val="bottom"/>
          </w:tcPr>
          <w:p w14:paraId="5556E9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930"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363</w:t>
            </w:r>
          </w:p>
        </w:tc>
        <w:tc>
          <w:tcPr>
            <w:tcW w:w="0" w:type="auto"/>
            <w:shd w:val="clear" w:color="auto" w:fill="CCEEFF"/>
            <w:vAlign w:val="bottom"/>
          </w:tcPr>
          <w:p w14:paraId="5556E93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933"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163</w:t>
            </w:r>
          </w:p>
        </w:tc>
        <w:tc>
          <w:tcPr>
            <w:tcW w:w="0" w:type="auto"/>
            <w:shd w:val="clear" w:color="auto" w:fill="CCEEFF"/>
            <w:vAlign w:val="bottom"/>
          </w:tcPr>
          <w:p w14:paraId="5556E934" w14:textId="77777777" w:rsidR="00F925DD" w:rsidRDefault="00F925DD">
            <w:pPr>
              <w:textAlignment w:val="bottom"/>
              <w:rPr>
                <w:rFonts w:ascii="Times New Roman" w:hAnsi="Times New Roman"/>
                <w:sz w:val="20"/>
                <w:szCs w:val="20"/>
              </w:rPr>
            </w:pPr>
          </w:p>
        </w:tc>
      </w:tr>
      <w:tr w:rsidR="00F925DD" w14:paraId="5556E93F" w14:textId="77777777">
        <w:tc>
          <w:tcPr>
            <w:tcW w:w="0" w:type="auto"/>
            <w:shd w:val="clear" w:color="auto" w:fill="auto"/>
            <w:tcMar>
              <w:top w:w="40" w:type="dxa"/>
              <w:left w:w="40" w:type="dxa"/>
              <w:bottom w:w="40" w:type="dxa"/>
              <w:right w:w="40" w:type="dxa"/>
            </w:tcMar>
            <w:vAlign w:val="bottom"/>
          </w:tcPr>
          <w:p w14:paraId="5556E936" w14:textId="77777777" w:rsidR="00F925DD" w:rsidRDefault="00E705D7">
            <w:pPr>
              <w:textAlignment w:val="bottom"/>
              <w:rPr>
                <w:rFonts w:ascii="Times New Roman" w:hAnsi="Times New Roman"/>
                <w:sz w:val="13"/>
                <w:szCs w:val="13"/>
              </w:rPr>
            </w:pPr>
            <w:r>
              <w:rPr>
                <w:rFonts w:ascii="Arial" w:eastAsia="宋体" w:hAnsi="Arial" w:cs="Arial"/>
                <w:sz w:val="13"/>
                <w:szCs w:val="13"/>
              </w:rPr>
              <w:t>Securities sold under repurchase agreements</w:t>
            </w:r>
          </w:p>
        </w:tc>
        <w:tc>
          <w:tcPr>
            <w:tcW w:w="0" w:type="auto"/>
            <w:gridSpan w:val="2"/>
            <w:shd w:val="clear" w:color="auto" w:fill="auto"/>
            <w:tcMar>
              <w:top w:w="40" w:type="dxa"/>
              <w:left w:w="40" w:type="dxa"/>
              <w:bottom w:w="40" w:type="dxa"/>
            </w:tcMar>
            <w:vAlign w:val="bottom"/>
          </w:tcPr>
          <w:p w14:paraId="5556E937"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31</w:t>
            </w:r>
          </w:p>
        </w:tc>
        <w:tc>
          <w:tcPr>
            <w:tcW w:w="0" w:type="auto"/>
            <w:shd w:val="clear" w:color="auto" w:fill="auto"/>
            <w:vAlign w:val="bottom"/>
          </w:tcPr>
          <w:p w14:paraId="5556E93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93A"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13</w:t>
            </w:r>
          </w:p>
        </w:tc>
        <w:tc>
          <w:tcPr>
            <w:tcW w:w="0" w:type="auto"/>
            <w:shd w:val="clear" w:color="auto" w:fill="auto"/>
            <w:vAlign w:val="bottom"/>
          </w:tcPr>
          <w:p w14:paraId="5556E93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93D"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w:t>
            </w:r>
          </w:p>
        </w:tc>
        <w:tc>
          <w:tcPr>
            <w:tcW w:w="0" w:type="auto"/>
            <w:shd w:val="clear" w:color="auto" w:fill="auto"/>
            <w:vAlign w:val="bottom"/>
          </w:tcPr>
          <w:p w14:paraId="5556E93E" w14:textId="77777777" w:rsidR="00F925DD" w:rsidRDefault="00F925DD">
            <w:pPr>
              <w:textAlignment w:val="bottom"/>
              <w:rPr>
                <w:rFonts w:ascii="Times New Roman" w:hAnsi="Times New Roman"/>
                <w:sz w:val="20"/>
                <w:szCs w:val="20"/>
              </w:rPr>
            </w:pPr>
          </w:p>
        </w:tc>
      </w:tr>
      <w:tr w:rsidR="00F925DD" w14:paraId="5556E949" w14:textId="77777777">
        <w:tc>
          <w:tcPr>
            <w:tcW w:w="0" w:type="auto"/>
            <w:shd w:val="clear" w:color="auto" w:fill="CCEEFF"/>
            <w:tcMar>
              <w:top w:w="40" w:type="dxa"/>
              <w:left w:w="40" w:type="dxa"/>
              <w:bottom w:w="40" w:type="dxa"/>
              <w:right w:w="40" w:type="dxa"/>
            </w:tcMar>
            <w:vAlign w:val="bottom"/>
          </w:tcPr>
          <w:p w14:paraId="5556E940" w14:textId="77777777" w:rsidR="00F925DD" w:rsidRDefault="00E705D7">
            <w:pPr>
              <w:textAlignment w:val="bottom"/>
              <w:rPr>
                <w:rFonts w:ascii="Times New Roman" w:hAnsi="Times New Roman"/>
                <w:sz w:val="13"/>
                <w:szCs w:val="13"/>
              </w:rPr>
            </w:pPr>
            <w:r>
              <w:rPr>
                <w:rFonts w:ascii="Arial" w:eastAsia="宋体" w:hAnsi="Arial" w:cs="Arial"/>
                <w:sz w:val="13"/>
                <w:szCs w:val="13"/>
              </w:rPr>
              <w:t>Other short-term borrowings</w:t>
            </w:r>
          </w:p>
        </w:tc>
        <w:tc>
          <w:tcPr>
            <w:tcW w:w="0" w:type="auto"/>
            <w:gridSpan w:val="2"/>
            <w:shd w:val="clear" w:color="auto" w:fill="CCEEFF"/>
            <w:tcMar>
              <w:top w:w="40" w:type="dxa"/>
              <w:left w:w="40" w:type="dxa"/>
              <w:bottom w:w="40" w:type="dxa"/>
            </w:tcMar>
            <w:vAlign w:val="bottom"/>
          </w:tcPr>
          <w:p w14:paraId="5556E941"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21</w:t>
            </w:r>
          </w:p>
        </w:tc>
        <w:tc>
          <w:tcPr>
            <w:tcW w:w="0" w:type="auto"/>
            <w:shd w:val="clear" w:color="auto" w:fill="CCEEFF"/>
            <w:vAlign w:val="bottom"/>
          </w:tcPr>
          <w:p w14:paraId="5556E9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944"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17</w:t>
            </w:r>
          </w:p>
        </w:tc>
        <w:tc>
          <w:tcPr>
            <w:tcW w:w="0" w:type="auto"/>
            <w:shd w:val="clear" w:color="auto" w:fill="CCEEFF"/>
            <w:vAlign w:val="bottom"/>
          </w:tcPr>
          <w:p w14:paraId="5556E94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947"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10</w:t>
            </w:r>
          </w:p>
        </w:tc>
        <w:tc>
          <w:tcPr>
            <w:tcW w:w="0" w:type="auto"/>
            <w:shd w:val="clear" w:color="auto" w:fill="CCEEFF"/>
            <w:vAlign w:val="bottom"/>
          </w:tcPr>
          <w:p w14:paraId="5556E948" w14:textId="77777777" w:rsidR="00F925DD" w:rsidRDefault="00F925DD">
            <w:pPr>
              <w:textAlignment w:val="bottom"/>
              <w:rPr>
                <w:rFonts w:ascii="Times New Roman" w:hAnsi="Times New Roman"/>
                <w:sz w:val="20"/>
                <w:szCs w:val="20"/>
              </w:rPr>
            </w:pPr>
          </w:p>
        </w:tc>
      </w:tr>
      <w:tr w:rsidR="00F925DD" w14:paraId="5556E953" w14:textId="77777777">
        <w:tc>
          <w:tcPr>
            <w:tcW w:w="0" w:type="auto"/>
            <w:shd w:val="clear" w:color="auto" w:fill="auto"/>
            <w:tcMar>
              <w:top w:w="40" w:type="dxa"/>
              <w:left w:w="40" w:type="dxa"/>
              <w:bottom w:w="40" w:type="dxa"/>
              <w:right w:w="40" w:type="dxa"/>
            </w:tcMar>
            <w:vAlign w:val="bottom"/>
          </w:tcPr>
          <w:p w14:paraId="5556E94A" w14:textId="77777777" w:rsidR="00F925DD" w:rsidRDefault="00E705D7">
            <w:pPr>
              <w:textAlignment w:val="bottom"/>
              <w:rPr>
                <w:rFonts w:ascii="Times New Roman" w:hAnsi="Times New Roman"/>
                <w:sz w:val="13"/>
                <w:szCs w:val="13"/>
              </w:rPr>
            </w:pPr>
            <w:r>
              <w:rPr>
                <w:rFonts w:ascii="Arial" w:eastAsia="宋体" w:hAnsi="Arial" w:cs="Arial"/>
                <w:sz w:val="13"/>
                <w:szCs w:val="13"/>
              </w:rPr>
              <w:t>Long-term debt</w:t>
            </w:r>
          </w:p>
        </w:tc>
        <w:tc>
          <w:tcPr>
            <w:tcW w:w="0" w:type="auto"/>
            <w:gridSpan w:val="2"/>
            <w:shd w:val="clear" w:color="auto" w:fill="auto"/>
            <w:tcMar>
              <w:top w:w="40" w:type="dxa"/>
              <w:left w:w="40" w:type="dxa"/>
              <w:bottom w:w="40" w:type="dxa"/>
            </w:tcMar>
            <w:vAlign w:val="bottom"/>
          </w:tcPr>
          <w:p w14:paraId="5556E94B"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414</w:t>
            </w:r>
          </w:p>
        </w:tc>
        <w:tc>
          <w:tcPr>
            <w:tcW w:w="0" w:type="auto"/>
            <w:shd w:val="clear" w:color="auto" w:fill="auto"/>
            <w:vAlign w:val="bottom"/>
          </w:tcPr>
          <w:p w14:paraId="5556E94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94E"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389</w:t>
            </w:r>
          </w:p>
        </w:tc>
        <w:tc>
          <w:tcPr>
            <w:tcW w:w="0" w:type="auto"/>
            <w:shd w:val="clear" w:color="auto" w:fill="auto"/>
            <w:vAlign w:val="bottom"/>
          </w:tcPr>
          <w:p w14:paraId="5556E94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951"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308</w:t>
            </w:r>
          </w:p>
        </w:tc>
        <w:tc>
          <w:tcPr>
            <w:tcW w:w="0" w:type="auto"/>
            <w:shd w:val="clear" w:color="auto" w:fill="auto"/>
            <w:vAlign w:val="bottom"/>
          </w:tcPr>
          <w:p w14:paraId="5556E952" w14:textId="77777777" w:rsidR="00F925DD" w:rsidRDefault="00F925DD">
            <w:pPr>
              <w:textAlignment w:val="bottom"/>
              <w:rPr>
                <w:rFonts w:ascii="Times New Roman" w:hAnsi="Times New Roman"/>
                <w:sz w:val="20"/>
                <w:szCs w:val="20"/>
              </w:rPr>
            </w:pPr>
          </w:p>
        </w:tc>
      </w:tr>
      <w:tr w:rsidR="00F925DD" w14:paraId="5556E95D" w14:textId="77777777">
        <w:tc>
          <w:tcPr>
            <w:tcW w:w="0" w:type="auto"/>
            <w:shd w:val="clear" w:color="auto" w:fill="CCEEFF"/>
            <w:tcMar>
              <w:top w:w="40" w:type="dxa"/>
              <w:left w:w="40" w:type="dxa"/>
              <w:bottom w:w="40" w:type="dxa"/>
              <w:right w:w="40" w:type="dxa"/>
            </w:tcMar>
            <w:vAlign w:val="bottom"/>
          </w:tcPr>
          <w:p w14:paraId="5556E954" w14:textId="77777777" w:rsidR="00F925DD" w:rsidRDefault="00E705D7">
            <w:pPr>
              <w:textAlignment w:val="bottom"/>
              <w:rPr>
                <w:rFonts w:ascii="Times New Roman" w:hAnsi="Times New Roman"/>
                <w:sz w:val="13"/>
                <w:szCs w:val="13"/>
              </w:rPr>
            </w:pPr>
            <w:r>
              <w:rPr>
                <w:rFonts w:ascii="Arial" w:eastAsia="宋体" w:hAnsi="Arial" w:cs="Arial"/>
                <w:sz w:val="13"/>
                <w:szCs w:val="13"/>
              </w:rPr>
              <w:t>Other interest-bearing 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955"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246</w:t>
            </w:r>
          </w:p>
        </w:tc>
        <w:tc>
          <w:tcPr>
            <w:tcW w:w="0" w:type="auto"/>
            <w:tcBorders>
              <w:bottom w:val="single" w:sz="8" w:space="0" w:color="000000"/>
            </w:tcBorders>
            <w:shd w:val="clear" w:color="auto" w:fill="CCEEFF"/>
            <w:vAlign w:val="bottom"/>
          </w:tcPr>
          <w:p w14:paraId="5556E95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958"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209</w:t>
            </w:r>
          </w:p>
        </w:tc>
        <w:tc>
          <w:tcPr>
            <w:tcW w:w="0" w:type="auto"/>
            <w:tcBorders>
              <w:bottom w:val="single" w:sz="8" w:space="0" w:color="000000"/>
            </w:tcBorders>
            <w:shd w:val="clear" w:color="auto" w:fill="CCEEFF"/>
            <w:vAlign w:val="bottom"/>
          </w:tcPr>
          <w:p w14:paraId="5556E95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95B"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121</w:t>
            </w:r>
          </w:p>
        </w:tc>
        <w:tc>
          <w:tcPr>
            <w:tcW w:w="0" w:type="auto"/>
            <w:tcBorders>
              <w:bottom w:val="single" w:sz="8" w:space="0" w:color="000000"/>
            </w:tcBorders>
            <w:shd w:val="clear" w:color="auto" w:fill="CCEEFF"/>
            <w:vAlign w:val="bottom"/>
          </w:tcPr>
          <w:p w14:paraId="5556E95C" w14:textId="77777777" w:rsidR="00F925DD" w:rsidRDefault="00F925DD">
            <w:pPr>
              <w:textAlignment w:val="bottom"/>
              <w:rPr>
                <w:rFonts w:ascii="Times New Roman" w:hAnsi="Times New Roman"/>
                <w:sz w:val="20"/>
                <w:szCs w:val="20"/>
              </w:rPr>
            </w:pPr>
          </w:p>
        </w:tc>
      </w:tr>
      <w:tr w:rsidR="00F925DD" w14:paraId="5556E967" w14:textId="77777777">
        <w:tc>
          <w:tcPr>
            <w:tcW w:w="0" w:type="auto"/>
            <w:shd w:val="clear" w:color="auto" w:fill="auto"/>
            <w:tcMar>
              <w:top w:w="40" w:type="dxa"/>
              <w:left w:w="40" w:type="dxa"/>
              <w:bottom w:w="40" w:type="dxa"/>
              <w:right w:w="40" w:type="dxa"/>
            </w:tcMar>
            <w:vAlign w:val="bottom"/>
          </w:tcPr>
          <w:p w14:paraId="5556E95E" w14:textId="77777777" w:rsidR="00F925DD" w:rsidRDefault="00E705D7">
            <w:pPr>
              <w:textAlignment w:val="bottom"/>
              <w:rPr>
                <w:rFonts w:ascii="Times New Roman" w:hAnsi="Times New Roman"/>
                <w:sz w:val="13"/>
                <w:szCs w:val="13"/>
              </w:rPr>
            </w:pPr>
            <w:r>
              <w:rPr>
                <w:rFonts w:ascii="Arial" w:eastAsia="宋体" w:hAnsi="Arial" w:cs="Arial"/>
                <w:sz w:val="13"/>
                <w:szCs w:val="13"/>
              </w:rPr>
              <w:t>Total interest expense</w:t>
            </w:r>
          </w:p>
        </w:tc>
        <w:tc>
          <w:tcPr>
            <w:tcW w:w="0" w:type="auto"/>
            <w:gridSpan w:val="2"/>
            <w:tcBorders>
              <w:bottom w:val="single" w:sz="8" w:space="0" w:color="000000"/>
            </w:tcBorders>
            <w:shd w:val="clear" w:color="auto" w:fill="auto"/>
            <w:tcMar>
              <w:top w:w="40" w:type="dxa"/>
              <w:left w:w="40" w:type="dxa"/>
              <w:bottom w:w="40" w:type="dxa"/>
            </w:tcMar>
            <w:vAlign w:val="bottom"/>
          </w:tcPr>
          <w:p w14:paraId="5556E95F"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1,375</w:t>
            </w:r>
          </w:p>
        </w:tc>
        <w:tc>
          <w:tcPr>
            <w:tcW w:w="0" w:type="auto"/>
            <w:tcBorders>
              <w:bottom w:val="single" w:sz="8" w:space="0" w:color="000000"/>
            </w:tcBorders>
            <w:shd w:val="clear" w:color="auto" w:fill="auto"/>
            <w:vAlign w:val="bottom"/>
          </w:tcPr>
          <w:p w14:paraId="5556E9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61" w14:textId="77777777" w:rsidR="00F925DD" w:rsidRDefault="00F925DD">
            <w:pPr>
              <w:jc w:val="right"/>
              <w:textAlignment w:val="bottom"/>
              <w:rPr>
                <w:rFonts w:ascii="Times New Roman" w:hAnsi="Times New Roman"/>
                <w:sz w:val="13"/>
                <w:szCs w:val="13"/>
              </w:rPr>
            </w:pPr>
          </w:p>
        </w:tc>
        <w:tc>
          <w:tcPr>
            <w:tcW w:w="0" w:type="auto"/>
            <w:gridSpan w:val="2"/>
            <w:tcBorders>
              <w:bottom w:val="single" w:sz="8" w:space="0" w:color="000000"/>
            </w:tcBorders>
            <w:shd w:val="clear" w:color="auto" w:fill="auto"/>
            <w:tcMar>
              <w:top w:w="40" w:type="dxa"/>
              <w:left w:w="40" w:type="dxa"/>
              <w:bottom w:w="40" w:type="dxa"/>
            </w:tcMar>
            <w:vAlign w:val="bottom"/>
          </w:tcPr>
          <w:p w14:paraId="5556E962"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991</w:t>
            </w:r>
          </w:p>
        </w:tc>
        <w:tc>
          <w:tcPr>
            <w:tcW w:w="0" w:type="auto"/>
            <w:tcBorders>
              <w:bottom w:val="single" w:sz="8" w:space="0" w:color="000000"/>
            </w:tcBorders>
            <w:shd w:val="clear" w:color="auto" w:fill="auto"/>
            <w:vAlign w:val="bottom"/>
          </w:tcPr>
          <w:p w14:paraId="5556E9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E965"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604</w:t>
            </w:r>
          </w:p>
        </w:tc>
        <w:tc>
          <w:tcPr>
            <w:tcW w:w="0" w:type="auto"/>
            <w:tcBorders>
              <w:top w:val="single" w:sz="8" w:space="0" w:color="000000"/>
              <w:bottom w:val="single" w:sz="8" w:space="0" w:color="000000"/>
            </w:tcBorders>
            <w:shd w:val="clear" w:color="auto" w:fill="auto"/>
            <w:vAlign w:val="bottom"/>
          </w:tcPr>
          <w:p w14:paraId="5556E966" w14:textId="77777777" w:rsidR="00F925DD" w:rsidRDefault="00F925DD">
            <w:pPr>
              <w:textAlignment w:val="bottom"/>
              <w:rPr>
                <w:rFonts w:ascii="Times New Roman" w:hAnsi="Times New Roman"/>
                <w:sz w:val="20"/>
                <w:szCs w:val="20"/>
              </w:rPr>
            </w:pPr>
          </w:p>
        </w:tc>
      </w:tr>
      <w:tr w:rsidR="00F925DD" w14:paraId="5556E974" w14:textId="77777777">
        <w:tc>
          <w:tcPr>
            <w:tcW w:w="0" w:type="auto"/>
            <w:shd w:val="clear" w:color="auto" w:fill="CCEEFF"/>
            <w:tcMar>
              <w:top w:w="40" w:type="dxa"/>
              <w:left w:w="40" w:type="dxa"/>
              <w:bottom w:w="40" w:type="dxa"/>
              <w:right w:w="40" w:type="dxa"/>
            </w:tcMar>
            <w:vAlign w:val="bottom"/>
          </w:tcPr>
          <w:p w14:paraId="5556E968"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Net interest income</w:t>
            </w:r>
          </w:p>
        </w:tc>
        <w:tc>
          <w:tcPr>
            <w:tcW w:w="0" w:type="auto"/>
            <w:tcBorders>
              <w:bottom w:val="double" w:sz="6" w:space="0" w:color="000000"/>
            </w:tcBorders>
            <w:shd w:val="clear" w:color="auto" w:fill="CCEEFF"/>
            <w:tcMar>
              <w:top w:w="40" w:type="dxa"/>
              <w:left w:w="40" w:type="dxa"/>
              <w:bottom w:w="40" w:type="dxa"/>
            </w:tcMar>
            <w:vAlign w:val="bottom"/>
          </w:tcPr>
          <w:p w14:paraId="5556E969"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bottom w:val="double" w:sz="6" w:space="0" w:color="000000"/>
            </w:tcBorders>
            <w:shd w:val="clear" w:color="auto" w:fill="CCEEFF"/>
            <w:tcMar>
              <w:top w:w="40" w:type="dxa"/>
              <w:bottom w:w="40" w:type="dxa"/>
            </w:tcMar>
            <w:vAlign w:val="bottom"/>
          </w:tcPr>
          <w:p w14:paraId="5556E96A"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2,566</w:t>
            </w:r>
          </w:p>
        </w:tc>
        <w:tc>
          <w:tcPr>
            <w:tcW w:w="0" w:type="auto"/>
            <w:tcBorders>
              <w:bottom w:val="double" w:sz="6" w:space="0" w:color="000000"/>
            </w:tcBorders>
            <w:shd w:val="clear" w:color="auto" w:fill="CCEEFF"/>
            <w:vAlign w:val="bottom"/>
          </w:tcPr>
          <w:p w14:paraId="5556E96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6C" w14:textId="77777777" w:rsidR="00F925DD" w:rsidRDefault="00F925DD">
            <w:pPr>
              <w:jc w:val="right"/>
              <w:textAlignment w:val="bottom"/>
              <w:rPr>
                <w:rFonts w:ascii="Times New Roman" w:hAnsi="Times New Roman"/>
                <w:sz w:val="13"/>
                <w:szCs w:val="13"/>
              </w:rPr>
            </w:pPr>
          </w:p>
        </w:tc>
        <w:tc>
          <w:tcPr>
            <w:tcW w:w="0" w:type="auto"/>
            <w:tcBorders>
              <w:bottom w:val="double" w:sz="6" w:space="0" w:color="000000"/>
            </w:tcBorders>
            <w:shd w:val="clear" w:color="auto" w:fill="CCEEFF"/>
            <w:tcMar>
              <w:top w:w="40" w:type="dxa"/>
              <w:left w:w="40" w:type="dxa"/>
              <w:bottom w:w="40" w:type="dxa"/>
            </w:tcMar>
            <w:vAlign w:val="bottom"/>
          </w:tcPr>
          <w:p w14:paraId="5556E96D"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tcBorders>
              <w:bottom w:val="double" w:sz="6" w:space="0" w:color="000000"/>
            </w:tcBorders>
            <w:shd w:val="clear" w:color="auto" w:fill="CCEEFF"/>
            <w:tcMar>
              <w:top w:w="40" w:type="dxa"/>
              <w:bottom w:w="40" w:type="dxa"/>
            </w:tcMar>
            <w:vAlign w:val="bottom"/>
          </w:tcPr>
          <w:p w14:paraId="5556E96E"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2,671</w:t>
            </w:r>
          </w:p>
        </w:tc>
        <w:tc>
          <w:tcPr>
            <w:tcW w:w="0" w:type="auto"/>
            <w:tcBorders>
              <w:bottom w:val="double" w:sz="6" w:space="0" w:color="000000"/>
            </w:tcBorders>
            <w:shd w:val="clear" w:color="auto" w:fill="CCEEFF"/>
            <w:vAlign w:val="bottom"/>
          </w:tcPr>
          <w:p w14:paraId="5556E96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971"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972"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2,304</w:t>
            </w:r>
          </w:p>
        </w:tc>
        <w:tc>
          <w:tcPr>
            <w:tcW w:w="0" w:type="auto"/>
            <w:tcBorders>
              <w:top w:val="single" w:sz="8" w:space="0" w:color="000000"/>
              <w:bottom w:val="double" w:sz="6" w:space="0" w:color="000000"/>
            </w:tcBorders>
            <w:shd w:val="clear" w:color="auto" w:fill="CCEEFF"/>
            <w:vAlign w:val="bottom"/>
          </w:tcPr>
          <w:p w14:paraId="5556E973" w14:textId="77777777" w:rsidR="00F925DD" w:rsidRDefault="00F925DD">
            <w:pPr>
              <w:textAlignment w:val="bottom"/>
              <w:rPr>
                <w:rFonts w:ascii="Times New Roman" w:hAnsi="Times New Roman"/>
                <w:sz w:val="20"/>
                <w:szCs w:val="20"/>
              </w:rPr>
            </w:pPr>
          </w:p>
        </w:tc>
      </w:tr>
    </w:tbl>
    <w:p w14:paraId="5556E975" w14:textId="77777777" w:rsidR="00F925DD" w:rsidRDefault="00F925DD">
      <w:pPr>
        <w:spacing w:line="288" w:lineRule="auto"/>
        <w:jc w:val="both"/>
        <w:rPr>
          <w:rFonts w:ascii="Times New Roman" w:hAnsi="Times New Roman"/>
          <w:sz w:val="20"/>
          <w:szCs w:val="20"/>
        </w:rPr>
      </w:pPr>
    </w:p>
    <w:p w14:paraId="5556E976"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Note 18. Equity-Based Compensation</w:t>
      </w:r>
    </w:p>
    <w:p w14:paraId="5556E97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record compensation expense for equity-based awards, such as deferred stock and performance awards, based on the closing price of our common stock on the date of grant, adjusted if appropriate, based on the eligibility of the award to receive dividends.</w:t>
      </w:r>
      <w:r>
        <w:rPr>
          <w:rFonts w:ascii="Arial" w:eastAsia="宋体" w:hAnsi="Arial" w:cs="Arial"/>
          <w:sz w:val="20"/>
          <w:szCs w:val="20"/>
        </w:rPr>
        <w:t xml:space="preserve"> </w:t>
      </w:r>
    </w:p>
    <w:p w14:paraId="5556E97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Compensation expense related to equity-based awards with service-only conditions and terms that provide for a graded vesting schedule is recognized on a straight-line basis over the required service period for the entire award. Compensation expense relat</w:t>
      </w:r>
      <w:r>
        <w:rPr>
          <w:rFonts w:ascii="Arial" w:eastAsia="宋体" w:hAnsi="Arial" w:cs="Arial"/>
          <w:sz w:val="20"/>
          <w:szCs w:val="20"/>
        </w:rPr>
        <w:t>ed to equity-based awards with performance conditions and terms that provide for a graded vesting schedule is recognized over the requisite service period for each separately vesting tranche of the award, and is based on the probable outcome of the perform</w:t>
      </w:r>
      <w:r>
        <w:rPr>
          <w:rFonts w:ascii="Arial" w:eastAsia="宋体" w:hAnsi="Arial" w:cs="Arial"/>
          <w:sz w:val="20"/>
          <w:szCs w:val="20"/>
        </w:rPr>
        <w:t>ance conditions at each reporting date. Compensation expense is adjusted for assumptions with respect to the estimated amount of awards that will be forfeited prior to vesting, and for employees who have met certain retirement eligibility criteria. Compens</w:t>
      </w:r>
      <w:r>
        <w:rPr>
          <w:rFonts w:ascii="Arial" w:eastAsia="宋体" w:hAnsi="Arial" w:cs="Arial"/>
          <w:sz w:val="20"/>
          <w:szCs w:val="20"/>
        </w:rPr>
        <w:t xml:space="preserve">ation expense for common stock awards granted to employees meeting early retirement eligibility criteria is fully expensed on the grant date. </w:t>
      </w:r>
    </w:p>
    <w:p w14:paraId="5556E97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Dividend equivalents for certain equity-based awards are paid on stock units on a current basis prior to vesting </w:t>
      </w:r>
      <w:r>
        <w:rPr>
          <w:rFonts w:ascii="Arial" w:eastAsia="宋体" w:hAnsi="Arial" w:cs="Arial"/>
          <w:sz w:val="20"/>
          <w:szCs w:val="20"/>
        </w:rPr>
        <w:t>and distribution.</w:t>
      </w:r>
    </w:p>
    <w:p w14:paraId="5556E97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2017 Stock Incentive Plan, or 2017 Plan, was approved by shareholders in May 2017 for issuance of stock and stock based awards. Awards may be made </w:t>
      </w:r>
    </w:p>
    <w:p w14:paraId="5556E97B"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E97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under the 2017 Plan for (i) up to 8.3 million shares of common stock plus (ii) up to</w:t>
      </w:r>
      <w:r>
        <w:rPr>
          <w:rFonts w:ascii="Arial" w:eastAsia="宋体" w:hAnsi="Arial" w:cs="Arial"/>
          <w:sz w:val="20"/>
          <w:szCs w:val="20"/>
        </w:rPr>
        <w:t xml:space="preserve"> an additional 28.5 million shares that were available to be issued under the 2006 Equity Incentive Plan, or 2006 Plan, or may become available for issuance under the 2006 Plan due to expiration, termination, cancellation, forfeiture or repurchase of award</w:t>
      </w:r>
      <w:r>
        <w:rPr>
          <w:rFonts w:ascii="Arial" w:eastAsia="宋体" w:hAnsi="Arial" w:cs="Arial"/>
          <w:sz w:val="20"/>
          <w:szCs w:val="20"/>
        </w:rPr>
        <w:t xml:space="preserve">s granted under the 2006 Plan. As of December 31, 2019, a total of 19.7 million shares from the 2006 Plan have been added to and may be issued from the 2017 Plan. </w:t>
      </w:r>
    </w:p>
    <w:p w14:paraId="5556E97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cumulative total number of shares that was awarded under th</w:t>
      </w:r>
      <w:r>
        <w:rPr>
          <w:rFonts w:ascii="Arial" w:eastAsia="宋体" w:hAnsi="Arial" w:cs="Arial"/>
          <w:sz w:val="20"/>
          <w:szCs w:val="20"/>
        </w:rPr>
        <w:t>e 2017 Plan and the 2006 Plan for the periods indicated:</w:t>
      </w:r>
    </w:p>
    <w:tbl>
      <w:tblPr>
        <w:tblW w:w="4990" w:type="pct"/>
        <w:jc w:val="center"/>
        <w:tblCellMar>
          <w:left w:w="0" w:type="dxa"/>
          <w:right w:w="0" w:type="dxa"/>
        </w:tblCellMar>
        <w:tblLook w:val="04A0" w:firstRow="1" w:lastRow="0" w:firstColumn="1" w:lastColumn="0" w:noHBand="0" w:noVBand="1"/>
      </w:tblPr>
      <w:tblGrid>
        <w:gridCol w:w="4228"/>
        <w:gridCol w:w="1160"/>
        <w:gridCol w:w="83"/>
        <w:gridCol w:w="166"/>
        <w:gridCol w:w="1160"/>
        <w:gridCol w:w="83"/>
        <w:gridCol w:w="166"/>
        <w:gridCol w:w="1160"/>
        <w:gridCol w:w="83"/>
      </w:tblGrid>
      <w:tr w:rsidR="00F925DD" w14:paraId="5556E97F" w14:textId="77777777">
        <w:trPr>
          <w:jc w:val="center"/>
        </w:trPr>
        <w:tc>
          <w:tcPr>
            <w:tcW w:w="0" w:type="auto"/>
            <w:gridSpan w:val="9"/>
            <w:shd w:val="clear" w:color="auto" w:fill="auto"/>
            <w:vAlign w:val="center"/>
          </w:tcPr>
          <w:p w14:paraId="5556E97E" w14:textId="77777777" w:rsidR="00F925DD" w:rsidRDefault="00F925DD">
            <w:pPr>
              <w:rPr>
                <w:rFonts w:ascii="Times New Roman" w:hAnsi="Times New Roman"/>
                <w:sz w:val="20"/>
                <w:szCs w:val="20"/>
              </w:rPr>
            </w:pPr>
          </w:p>
        </w:tc>
      </w:tr>
      <w:tr w:rsidR="00F925DD" w14:paraId="5556E989" w14:textId="77777777">
        <w:trPr>
          <w:jc w:val="center"/>
        </w:trPr>
        <w:tc>
          <w:tcPr>
            <w:tcW w:w="2550" w:type="pct"/>
            <w:shd w:val="clear" w:color="auto" w:fill="auto"/>
            <w:vAlign w:val="center"/>
          </w:tcPr>
          <w:p w14:paraId="5556E980" w14:textId="77777777" w:rsidR="00F925DD" w:rsidRDefault="00F925DD">
            <w:pPr>
              <w:rPr>
                <w:rFonts w:ascii="Times New Roman" w:hAnsi="Times New Roman"/>
                <w:sz w:val="20"/>
                <w:szCs w:val="20"/>
              </w:rPr>
            </w:pPr>
          </w:p>
        </w:tc>
        <w:tc>
          <w:tcPr>
            <w:tcW w:w="700" w:type="pct"/>
            <w:shd w:val="clear" w:color="auto" w:fill="auto"/>
            <w:vAlign w:val="center"/>
          </w:tcPr>
          <w:p w14:paraId="5556E981" w14:textId="77777777" w:rsidR="00F925DD" w:rsidRDefault="00F925DD">
            <w:pPr>
              <w:rPr>
                <w:rFonts w:ascii="Times New Roman" w:hAnsi="Times New Roman"/>
                <w:sz w:val="20"/>
                <w:szCs w:val="20"/>
              </w:rPr>
            </w:pPr>
          </w:p>
        </w:tc>
        <w:tc>
          <w:tcPr>
            <w:tcW w:w="50" w:type="pct"/>
            <w:shd w:val="clear" w:color="auto" w:fill="auto"/>
            <w:vAlign w:val="center"/>
          </w:tcPr>
          <w:p w14:paraId="5556E982" w14:textId="77777777" w:rsidR="00F925DD" w:rsidRDefault="00F925DD">
            <w:pPr>
              <w:rPr>
                <w:rFonts w:ascii="Times New Roman" w:hAnsi="Times New Roman"/>
                <w:sz w:val="20"/>
                <w:szCs w:val="20"/>
              </w:rPr>
            </w:pPr>
          </w:p>
        </w:tc>
        <w:tc>
          <w:tcPr>
            <w:tcW w:w="100" w:type="pct"/>
            <w:shd w:val="clear" w:color="auto" w:fill="auto"/>
            <w:vAlign w:val="center"/>
          </w:tcPr>
          <w:p w14:paraId="5556E983" w14:textId="77777777" w:rsidR="00F925DD" w:rsidRDefault="00F925DD">
            <w:pPr>
              <w:rPr>
                <w:rFonts w:ascii="Times New Roman" w:hAnsi="Times New Roman"/>
                <w:sz w:val="20"/>
                <w:szCs w:val="20"/>
              </w:rPr>
            </w:pPr>
          </w:p>
        </w:tc>
        <w:tc>
          <w:tcPr>
            <w:tcW w:w="700" w:type="pct"/>
            <w:shd w:val="clear" w:color="auto" w:fill="auto"/>
            <w:vAlign w:val="center"/>
          </w:tcPr>
          <w:p w14:paraId="5556E984" w14:textId="77777777" w:rsidR="00F925DD" w:rsidRDefault="00F925DD">
            <w:pPr>
              <w:rPr>
                <w:rFonts w:ascii="Times New Roman" w:hAnsi="Times New Roman"/>
                <w:sz w:val="20"/>
                <w:szCs w:val="20"/>
              </w:rPr>
            </w:pPr>
          </w:p>
        </w:tc>
        <w:tc>
          <w:tcPr>
            <w:tcW w:w="50" w:type="pct"/>
            <w:shd w:val="clear" w:color="auto" w:fill="auto"/>
            <w:vAlign w:val="center"/>
          </w:tcPr>
          <w:p w14:paraId="5556E985" w14:textId="77777777" w:rsidR="00F925DD" w:rsidRDefault="00F925DD">
            <w:pPr>
              <w:rPr>
                <w:rFonts w:ascii="Times New Roman" w:hAnsi="Times New Roman"/>
                <w:sz w:val="20"/>
                <w:szCs w:val="20"/>
              </w:rPr>
            </w:pPr>
          </w:p>
        </w:tc>
        <w:tc>
          <w:tcPr>
            <w:tcW w:w="100" w:type="pct"/>
            <w:shd w:val="clear" w:color="auto" w:fill="auto"/>
            <w:vAlign w:val="center"/>
          </w:tcPr>
          <w:p w14:paraId="5556E986" w14:textId="77777777" w:rsidR="00F925DD" w:rsidRDefault="00F925DD">
            <w:pPr>
              <w:rPr>
                <w:rFonts w:ascii="Times New Roman" w:hAnsi="Times New Roman"/>
                <w:sz w:val="20"/>
                <w:szCs w:val="20"/>
              </w:rPr>
            </w:pPr>
          </w:p>
        </w:tc>
        <w:tc>
          <w:tcPr>
            <w:tcW w:w="700" w:type="pct"/>
            <w:shd w:val="clear" w:color="auto" w:fill="auto"/>
            <w:vAlign w:val="center"/>
          </w:tcPr>
          <w:p w14:paraId="5556E987" w14:textId="77777777" w:rsidR="00F925DD" w:rsidRDefault="00F925DD">
            <w:pPr>
              <w:rPr>
                <w:rFonts w:ascii="Times New Roman" w:hAnsi="Times New Roman"/>
                <w:sz w:val="20"/>
                <w:szCs w:val="20"/>
              </w:rPr>
            </w:pPr>
          </w:p>
        </w:tc>
        <w:tc>
          <w:tcPr>
            <w:tcW w:w="50" w:type="pct"/>
            <w:shd w:val="clear" w:color="auto" w:fill="auto"/>
            <w:vAlign w:val="center"/>
          </w:tcPr>
          <w:p w14:paraId="5556E988" w14:textId="77777777" w:rsidR="00F925DD" w:rsidRDefault="00F925DD">
            <w:pPr>
              <w:rPr>
                <w:rFonts w:ascii="Times New Roman" w:hAnsi="Times New Roman"/>
                <w:sz w:val="20"/>
                <w:szCs w:val="20"/>
              </w:rPr>
            </w:pPr>
          </w:p>
        </w:tc>
      </w:tr>
      <w:tr w:rsidR="00F925DD" w14:paraId="5556E98C" w14:textId="77777777">
        <w:trPr>
          <w:jc w:val="center"/>
        </w:trPr>
        <w:tc>
          <w:tcPr>
            <w:tcW w:w="0" w:type="auto"/>
            <w:shd w:val="clear" w:color="auto" w:fill="auto"/>
            <w:tcMar>
              <w:top w:w="40" w:type="dxa"/>
              <w:left w:w="40" w:type="dxa"/>
              <w:bottom w:w="40" w:type="dxa"/>
              <w:right w:w="40" w:type="dxa"/>
            </w:tcMar>
            <w:vAlign w:val="bottom"/>
          </w:tcPr>
          <w:p w14:paraId="5556E9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556E98B"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As of December 31,</w:t>
            </w:r>
          </w:p>
        </w:tc>
      </w:tr>
      <w:tr w:rsidR="00F925DD" w14:paraId="5556E993" w14:textId="77777777">
        <w:trPr>
          <w:jc w:val="center"/>
        </w:trPr>
        <w:tc>
          <w:tcPr>
            <w:tcW w:w="0" w:type="auto"/>
            <w:shd w:val="clear" w:color="auto" w:fill="auto"/>
            <w:tcMar>
              <w:top w:w="40" w:type="dxa"/>
              <w:left w:w="40" w:type="dxa"/>
              <w:bottom w:w="40" w:type="dxa"/>
              <w:right w:w="40" w:type="dxa"/>
            </w:tcMar>
            <w:vAlign w:val="bottom"/>
          </w:tcPr>
          <w:p w14:paraId="5556E98D"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(In millions)</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98E"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9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990"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9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992"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2017</w:t>
            </w:r>
          </w:p>
        </w:tc>
      </w:tr>
      <w:tr w:rsidR="00F925DD" w14:paraId="5556E99D" w14:textId="77777777">
        <w:trPr>
          <w:jc w:val="center"/>
        </w:trPr>
        <w:tc>
          <w:tcPr>
            <w:tcW w:w="0" w:type="auto"/>
            <w:shd w:val="clear" w:color="auto" w:fill="CCEEFF"/>
            <w:tcMar>
              <w:top w:w="40" w:type="dxa"/>
              <w:left w:w="40" w:type="dxa"/>
              <w:bottom w:w="40" w:type="dxa"/>
              <w:right w:w="40" w:type="dxa"/>
            </w:tcMar>
            <w:vAlign w:val="bottom"/>
          </w:tcPr>
          <w:p w14:paraId="5556E994" w14:textId="77777777" w:rsidR="00F925DD" w:rsidRDefault="00E705D7">
            <w:pPr>
              <w:textAlignment w:val="bottom"/>
              <w:rPr>
                <w:rFonts w:ascii="Times New Roman" w:hAnsi="Times New Roman"/>
                <w:sz w:val="13"/>
                <w:szCs w:val="13"/>
              </w:rPr>
            </w:pPr>
            <w:r>
              <w:rPr>
                <w:rFonts w:ascii="Arial" w:eastAsia="宋体" w:hAnsi="Arial" w:cs="Arial"/>
                <w:sz w:val="13"/>
                <w:szCs w:val="13"/>
              </w:rPr>
              <w:t>Total number of shares awarded under the 2006 Plan</w:t>
            </w:r>
          </w:p>
        </w:tc>
        <w:tc>
          <w:tcPr>
            <w:tcW w:w="0" w:type="auto"/>
            <w:shd w:val="clear" w:color="auto" w:fill="CCEEFF"/>
            <w:tcMar>
              <w:top w:w="40" w:type="dxa"/>
              <w:left w:w="40" w:type="dxa"/>
              <w:bottom w:w="40" w:type="dxa"/>
            </w:tcMar>
            <w:vAlign w:val="bottom"/>
          </w:tcPr>
          <w:p w14:paraId="5556E995"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68.9</w:t>
            </w:r>
          </w:p>
        </w:tc>
        <w:tc>
          <w:tcPr>
            <w:tcW w:w="0" w:type="auto"/>
            <w:shd w:val="clear" w:color="auto" w:fill="CCEEFF"/>
            <w:vAlign w:val="bottom"/>
          </w:tcPr>
          <w:p w14:paraId="5556E9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998"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68.9</w:t>
            </w:r>
          </w:p>
        </w:tc>
        <w:tc>
          <w:tcPr>
            <w:tcW w:w="0" w:type="auto"/>
            <w:shd w:val="clear" w:color="auto" w:fill="CCEEFF"/>
            <w:vAlign w:val="bottom"/>
          </w:tcPr>
          <w:p w14:paraId="5556E9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99B"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68.9</w:t>
            </w:r>
          </w:p>
        </w:tc>
        <w:tc>
          <w:tcPr>
            <w:tcW w:w="0" w:type="auto"/>
            <w:shd w:val="clear" w:color="auto" w:fill="CCEEFF"/>
            <w:vAlign w:val="bottom"/>
          </w:tcPr>
          <w:p w14:paraId="5556E99C" w14:textId="77777777" w:rsidR="00F925DD" w:rsidRDefault="00F925DD">
            <w:pPr>
              <w:textAlignment w:val="bottom"/>
              <w:rPr>
                <w:rFonts w:ascii="Times New Roman" w:hAnsi="Times New Roman"/>
                <w:sz w:val="20"/>
                <w:szCs w:val="20"/>
              </w:rPr>
            </w:pPr>
          </w:p>
        </w:tc>
      </w:tr>
      <w:tr w:rsidR="00F925DD" w14:paraId="5556E9A7" w14:textId="77777777">
        <w:trPr>
          <w:jc w:val="center"/>
        </w:trPr>
        <w:tc>
          <w:tcPr>
            <w:tcW w:w="0" w:type="auto"/>
            <w:shd w:val="clear" w:color="auto" w:fill="auto"/>
            <w:tcMar>
              <w:top w:w="40" w:type="dxa"/>
              <w:left w:w="40" w:type="dxa"/>
              <w:bottom w:w="40" w:type="dxa"/>
              <w:right w:w="40" w:type="dxa"/>
            </w:tcMar>
            <w:vAlign w:val="bottom"/>
          </w:tcPr>
          <w:p w14:paraId="5556E99E" w14:textId="77777777" w:rsidR="00F925DD" w:rsidRDefault="00E705D7">
            <w:pPr>
              <w:textAlignment w:val="bottom"/>
              <w:rPr>
                <w:rFonts w:ascii="Times New Roman" w:hAnsi="Times New Roman"/>
                <w:sz w:val="13"/>
                <w:szCs w:val="13"/>
              </w:rPr>
            </w:pPr>
            <w:r>
              <w:rPr>
                <w:rFonts w:ascii="Arial" w:eastAsia="宋体" w:hAnsi="Arial" w:cs="Arial"/>
                <w:sz w:val="13"/>
                <w:szCs w:val="13"/>
              </w:rPr>
              <w:t>Total number of shares awarded under the 2017 Plan</w:t>
            </w:r>
          </w:p>
        </w:tc>
        <w:tc>
          <w:tcPr>
            <w:tcW w:w="0" w:type="auto"/>
            <w:shd w:val="clear" w:color="auto" w:fill="auto"/>
            <w:tcMar>
              <w:top w:w="40" w:type="dxa"/>
              <w:left w:w="40" w:type="dxa"/>
              <w:bottom w:w="40" w:type="dxa"/>
            </w:tcMar>
            <w:vAlign w:val="bottom"/>
          </w:tcPr>
          <w:p w14:paraId="5556E99F"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7.6</w:t>
            </w:r>
          </w:p>
        </w:tc>
        <w:tc>
          <w:tcPr>
            <w:tcW w:w="0" w:type="auto"/>
            <w:shd w:val="clear" w:color="auto" w:fill="auto"/>
            <w:vAlign w:val="bottom"/>
          </w:tcPr>
          <w:p w14:paraId="5556E9A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9A2"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3.9</w:t>
            </w:r>
          </w:p>
        </w:tc>
        <w:tc>
          <w:tcPr>
            <w:tcW w:w="0" w:type="auto"/>
            <w:shd w:val="clear" w:color="auto" w:fill="auto"/>
            <w:vAlign w:val="bottom"/>
          </w:tcPr>
          <w:p w14:paraId="5556E9A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9A5"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0.4</w:t>
            </w:r>
          </w:p>
        </w:tc>
        <w:tc>
          <w:tcPr>
            <w:tcW w:w="0" w:type="auto"/>
            <w:shd w:val="clear" w:color="auto" w:fill="auto"/>
            <w:vAlign w:val="bottom"/>
          </w:tcPr>
          <w:p w14:paraId="5556E9A6" w14:textId="77777777" w:rsidR="00F925DD" w:rsidRDefault="00F925DD">
            <w:pPr>
              <w:textAlignment w:val="bottom"/>
              <w:rPr>
                <w:rFonts w:ascii="Times New Roman" w:hAnsi="Times New Roman"/>
                <w:sz w:val="20"/>
                <w:szCs w:val="20"/>
              </w:rPr>
            </w:pPr>
          </w:p>
        </w:tc>
      </w:tr>
    </w:tbl>
    <w:p w14:paraId="5556E9A8" w14:textId="77777777" w:rsidR="00F925DD" w:rsidRDefault="00F925DD">
      <w:pPr>
        <w:spacing w:line="288" w:lineRule="auto"/>
        <w:jc w:val="center"/>
        <w:rPr>
          <w:rFonts w:ascii="Times New Roman" w:hAnsi="Times New Roman"/>
          <w:sz w:val="20"/>
          <w:szCs w:val="20"/>
        </w:rPr>
      </w:pPr>
    </w:p>
    <w:p w14:paraId="5556E9A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2017 Plan allows for shares withheld in payment of the exercise price of an award or in satisfaction of tax withholding requirements, shares forfeited due to employee termination, shares expired under option awards, or shares not </w:t>
      </w:r>
      <w:r>
        <w:rPr>
          <w:rFonts w:ascii="Arial" w:eastAsia="宋体" w:hAnsi="Arial" w:cs="Arial"/>
          <w:sz w:val="20"/>
          <w:szCs w:val="20"/>
        </w:rPr>
        <w:t>delivered when performance conditions have not been met, to be added back to the pool of shares available for issuance under the 2017 Plan. From inception to December 31, 2019, fewer than 1 million shares had been awarded under the 2017 Plan but not delive</w:t>
      </w:r>
      <w:r>
        <w:rPr>
          <w:rFonts w:ascii="Arial" w:eastAsia="宋体" w:hAnsi="Arial" w:cs="Arial"/>
          <w:sz w:val="20"/>
          <w:szCs w:val="20"/>
        </w:rPr>
        <w:t>red, and have become available for re-issue. As of December 31, 2019, a total of 21.3 million shares were available for future issuance under the 2017 Plan.</w:t>
      </w:r>
    </w:p>
    <w:p w14:paraId="5556E9A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deferred stock awards granted under the Plans, no common stock is issued at the time of grant a</w:t>
      </w:r>
      <w:r>
        <w:rPr>
          <w:rFonts w:ascii="Arial" w:eastAsia="宋体" w:hAnsi="Arial" w:cs="Arial"/>
          <w:sz w:val="20"/>
          <w:szCs w:val="20"/>
        </w:rPr>
        <w:t>nd the award does not possess dividend and voting rights. Generally, these grants vest over one to four years. Performance awards granted are earned over a performance period based on the achievement of defined goals, generally over three years. Payment fo</w:t>
      </w:r>
      <w:r>
        <w:rPr>
          <w:rFonts w:ascii="Arial" w:eastAsia="宋体" w:hAnsi="Arial" w:cs="Arial"/>
          <w:sz w:val="20"/>
          <w:szCs w:val="20"/>
        </w:rPr>
        <w:t>r performance awards is made in shares of our common stock equal to its fair market value per share, based on the performance of certain financial ratios, after the conclusion of each performance period.</w:t>
      </w:r>
    </w:p>
    <w:p w14:paraId="5556E9A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Beginning with 2012, malus-based forfeiture provisio</w:t>
      </w:r>
      <w:r>
        <w:rPr>
          <w:rFonts w:ascii="Arial" w:eastAsia="宋体" w:hAnsi="Arial" w:cs="Arial"/>
          <w:sz w:val="20"/>
          <w:szCs w:val="20"/>
        </w:rPr>
        <w:t>ns were included in deferred stock awards granted to employees identified as “material risk-takers,” as defined by management. These malus-based forfeiture provisions provide for the reduction or cancellation of unvested deferred compensation, such as defe</w:t>
      </w:r>
      <w:r>
        <w:rPr>
          <w:rFonts w:ascii="Arial" w:eastAsia="宋体" w:hAnsi="Arial" w:cs="Arial"/>
          <w:sz w:val="20"/>
          <w:szCs w:val="20"/>
        </w:rPr>
        <w:t xml:space="preserve">rred stock awards and performance based awards, if it is determined that a material risk-taker made risk-based decisions that exposed us to inappropriate risks that resulted in a material unexpected loss at the business-unit, line-of-business or corporate </w:t>
      </w:r>
      <w:r>
        <w:rPr>
          <w:rFonts w:ascii="Arial" w:eastAsia="宋体" w:hAnsi="Arial" w:cs="Arial"/>
          <w:sz w:val="20"/>
          <w:szCs w:val="20"/>
        </w:rPr>
        <w:t xml:space="preserve">level. In addition, awards granted to certain of our senior executives, as well as awards granted to </w:t>
      </w:r>
    </w:p>
    <w:p w14:paraId="5556E9AC" w14:textId="77777777" w:rsidR="00F925DD" w:rsidRDefault="00F925DD">
      <w:pPr>
        <w:rPr>
          <w:rFonts w:ascii="Times New Roman" w:hAnsi="Times New Roman"/>
          <w:sz w:val="20"/>
          <w:szCs w:val="20"/>
        </w:rPr>
      </w:pPr>
    </w:p>
    <w:p w14:paraId="5556E9A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164</w:t>
      </w:r>
    </w:p>
    <w:p w14:paraId="5556E9AE" w14:textId="77777777" w:rsidR="00F925DD" w:rsidRDefault="00F925DD">
      <w:pPr>
        <w:spacing w:line="288" w:lineRule="auto"/>
        <w:ind w:firstLine="600"/>
        <w:jc w:val="center"/>
        <w:rPr>
          <w:rFonts w:ascii="Times New Roman" w:hAnsi="Times New Roman"/>
          <w:sz w:val="18"/>
          <w:szCs w:val="18"/>
        </w:rPr>
      </w:pPr>
    </w:p>
    <w:p w14:paraId="5556E9AF" w14:textId="77777777" w:rsidR="00F925DD" w:rsidRDefault="00E705D7">
      <w:r>
        <w:rPr>
          <w:rFonts w:ascii="Times New Roman" w:hAnsi="Times New Roman"/>
          <w:sz w:val="18"/>
          <w:szCs w:val="18"/>
        </w:rPr>
        <w:pict w14:anchorId="555706DE">
          <v:rect id="_x0000_i1188" style="width:415.3pt;height:1.5pt" o:hralign="center" o:hrstd="t" o:hr="t" fillcolor="#a0a0a0" stroked="f"/>
        </w:pict>
      </w:r>
    </w:p>
    <w:p w14:paraId="5556E9B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9B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9B2" w14:textId="77777777" w:rsidR="00F925DD" w:rsidRDefault="00F925DD">
      <w:pPr>
        <w:rPr>
          <w:rFonts w:ascii="Times New Roman" w:hAnsi="Times New Roman"/>
          <w:sz w:val="20"/>
          <w:szCs w:val="20"/>
        </w:rPr>
      </w:pPr>
    </w:p>
    <w:p w14:paraId="5556E9B3"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individuals in certain </w:t>
      </w:r>
      <w:r>
        <w:rPr>
          <w:rFonts w:ascii="Arial" w:eastAsia="宋体" w:hAnsi="Arial" w:cs="Arial"/>
          <w:sz w:val="20"/>
          <w:szCs w:val="20"/>
        </w:rPr>
        <w:t>jurisdictions, may be subject to recoupment after vesting (if applicable) and delivery to the individual in specified circumstances generally relating to fraud or willful misconduct by the individual that results in material harm to us or a material financ</w:t>
      </w:r>
      <w:r>
        <w:rPr>
          <w:rFonts w:ascii="Arial" w:eastAsia="宋体" w:hAnsi="Arial" w:cs="Arial"/>
          <w:sz w:val="20"/>
          <w:szCs w:val="20"/>
        </w:rPr>
        <w:t>ial restatement.</w:t>
      </w:r>
    </w:p>
    <w:p w14:paraId="5556E9B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Compensation expense related to deferred stock awards and performance awards, which we record as a component of compensation and employee benefits expense in our consolidated statement of income, was $235 million, $262 million and $243 mil</w:t>
      </w:r>
      <w:r>
        <w:rPr>
          <w:rFonts w:ascii="Arial" w:eastAsia="宋体" w:hAnsi="Arial" w:cs="Arial"/>
          <w:sz w:val="20"/>
          <w:szCs w:val="20"/>
        </w:rPr>
        <w:t>lion for the years ended December 31, 2019, 2018 and 2017, respectively. Such expense for 2019, 2018 and 2017 excluded a release of $4 million, an expense of $45 million and $15 million, respectively, associated with acceleration of expense in connection w</w:t>
      </w:r>
      <w:r>
        <w:rPr>
          <w:rFonts w:ascii="Arial" w:eastAsia="宋体" w:hAnsi="Arial" w:cs="Arial"/>
          <w:sz w:val="20"/>
          <w:szCs w:val="20"/>
        </w:rPr>
        <w:t xml:space="preserve">ith targeted staff reductions. This expense was included in the severance-related portion of the associated restructuring or repositioning charges recorded in each respective year. </w:t>
      </w:r>
    </w:p>
    <w:p w14:paraId="5556E9B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the year ended December 31, 2019, no stock appreciation rights were ex</w:t>
      </w:r>
      <w:r>
        <w:rPr>
          <w:rFonts w:ascii="Arial" w:eastAsia="宋体" w:hAnsi="Arial" w:cs="Arial"/>
          <w:sz w:val="20"/>
          <w:szCs w:val="20"/>
        </w:rPr>
        <w:t>ercised. The total intrinsic value of stock appreciation rights exercised during the years ended December 31, 2018 and 2017 was $0 million and $5 million, respectively. As of December 31, 2019, there was no unrecognized compensation cost related to stock a</w:t>
      </w:r>
      <w:r>
        <w:rPr>
          <w:rFonts w:ascii="Arial" w:eastAsia="宋体" w:hAnsi="Arial" w:cs="Arial"/>
          <w:sz w:val="20"/>
          <w:szCs w:val="20"/>
        </w:rPr>
        <w:t xml:space="preserve">ppreciation rights. </w:t>
      </w:r>
    </w:p>
    <w:tbl>
      <w:tblPr>
        <w:tblW w:w="5000" w:type="pct"/>
        <w:tblCellMar>
          <w:left w:w="0" w:type="dxa"/>
          <w:right w:w="0" w:type="dxa"/>
        </w:tblCellMar>
        <w:tblLook w:val="04A0" w:firstRow="1" w:lastRow="0" w:firstColumn="1" w:lastColumn="0" w:noHBand="0" w:noVBand="1"/>
      </w:tblPr>
      <w:tblGrid>
        <w:gridCol w:w="2816"/>
        <w:gridCol w:w="2567"/>
        <w:gridCol w:w="87"/>
        <w:gridCol w:w="158"/>
        <w:gridCol w:w="119"/>
        <w:gridCol w:w="2484"/>
        <w:gridCol w:w="75"/>
      </w:tblGrid>
      <w:tr w:rsidR="00F925DD" w14:paraId="5556E9B7" w14:textId="77777777">
        <w:tc>
          <w:tcPr>
            <w:tcW w:w="0" w:type="auto"/>
            <w:gridSpan w:val="7"/>
            <w:shd w:val="clear" w:color="auto" w:fill="auto"/>
            <w:vAlign w:val="center"/>
          </w:tcPr>
          <w:p w14:paraId="5556E9B6" w14:textId="77777777" w:rsidR="00F925DD" w:rsidRDefault="00F925DD">
            <w:pPr>
              <w:rPr>
                <w:rFonts w:ascii="Times New Roman" w:hAnsi="Times New Roman"/>
                <w:sz w:val="20"/>
                <w:szCs w:val="20"/>
              </w:rPr>
            </w:pPr>
          </w:p>
        </w:tc>
      </w:tr>
      <w:tr w:rsidR="00F925DD" w14:paraId="5556E9BF" w14:textId="77777777">
        <w:tc>
          <w:tcPr>
            <w:tcW w:w="1700" w:type="pct"/>
            <w:shd w:val="clear" w:color="auto" w:fill="auto"/>
            <w:vAlign w:val="center"/>
          </w:tcPr>
          <w:p w14:paraId="5556E9B8" w14:textId="77777777" w:rsidR="00F925DD" w:rsidRDefault="00F925DD">
            <w:pPr>
              <w:rPr>
                <w:rFonts w:ascii="Times New Roman" w:hAnsi="Times New Roman"/>
                <w:sz w:val="20"/>
                <w:szCs w:val="20"/>
              </w:rPr>
            </w:pPr>
          </w:p>
        </w:tc>
        <w:tc>
          <w:tcPr>
            <w:tcW w:w="1550" w:type="pct"/>
            <w:shd w:val="clear" w:color="auto" w:fill="auto"/>
            <w:vAlign w:val="center"/>
          </w:tcPr>
          <w:p w14:paraId="5556E9B9" w14:textId="77777777" w:rsidR="00F925DD" w:rsidRDefault="00F925DD">
            <w:pPr>
              <w:rPr>
                <w:rFonts w:ascii="Times New Roman" w:hAnsi="Times New Roman"/>
                <w:sz w:val="20"/>
                <w:szCs w:val="20"/>
              </w:rPr>
            </w:pPr>
          </w:p>
        </w:tc>
        <w:tc>
          <w:tcPr>
            <w:tcW w:w="50" w:type="pct"/>
            <w:shd w:val="clear" w:color="auto" w:fill="auto"/>
            <w:vAlign w:val="center"/>
          </w:tcPr>
          <w:p w14:paraId="5556E9BA" w14:textId="77777777" w:rsidR="00F925DD" w:rsidRDefault="00F925DD">
            <w:pPr>
              <w:rPr>
                <w:rFonts w:ascii="Times New Roman" w:hAnsi="Times New Roman"/>
                <w:sz w:val="20"/>
                <w:szCs w:val="20"/>
              </w:rPr>
            </w:pPr>
          </w:p>
        </w:tc>
        <w:tc>
          <w:tcPr>
            <w:tcW w:w="100" w:type="pct"/>
            <w:shd w:val="clear" w:color="auto" w:fill="auto"/>
            <w:vAlign w:val="center"/>
          </w:tcPr>
          <w:p w14:paraId="5556E9BB" w14:textId="77777777" w:rsidR="00F925DD" w:rsidRDefault="00F925DD">
            <w:pPr>
              <w:rPr>
                <w:rFonts w:ascii="Times New Roman" w:hAnsi="Times New Roman"/>
                <w:sz w:val="20"/>
                <w:szCs w:val="20"/>
              </w:rPr>
            </w:pPr>
          </w:p>
        </w:tc>
        <w:tc>
          <w:tcPr>
            <w:tcW w:w="50" w:type="pct"/>
            <w:shd w:val="clear" w:color="auto" w:fill="auto"/>
            <w:vAlign w:val="center"/>
          </w:tcPr>
          <w:p w14:paraId="5556E9BC" w14:textId="77777777" w:rsidR="00F925DD" w:rsidRDefault="00F925DD">
            <w:pPr>
              <w:rPr>
                <w:rFonts w:ascii="Times New Roman" w:hAnsi="Times New Roman"/>
                <w:sz w:val="20"/>
                <w:szCs w:val="20"/>
              </w:rPr>
            </w:pPr>
          </w:p>
        </w:tc>
        <w:tc>
          <w:tcPr>
            <w:tcW w:w="1500" w:type="pct"/>
            <w:shd w:val="clear" w:color="auto" w:fill="auto"/>
            <w:vAlign w:val="center"/>
          </w:tcPr>
          <w:p w14:paraId="5556E9BD" w14:textId="77777777" w:rsidR="00F925DD" w:rsidRDefault="00F925DD">
            <w:pPr>
              <w:rPr>
                <w:rFonts w:ascii="Times New Roman" w:hAnsi="Times New Roman"/>
                <w:sz w:val="20"/>
                <w:szCs w:val="20"/>
              </w:rPr>
            </w:pPr>
          </w:p>
        </w:tc>
        <w:tc>
          <w:tcPr>
            <w:tcW w:w="50" w:type="pct"/>
            <w:shd w:val="clear" w:color="auto" w:fill="auto"/>
            <w:vAlign w:val="center"/>
          </w:tcPr>
          <w:p w14:paraId="5556E9BE" w14:textId="77777777" w:rsidR="00F925DD" w:rsidRDefault="00F925DD">
            <w:pPr>
              <w:rPr>
                <w:rFonts w:ascii="Times New Roman" w:hAnsi="Times New Roman"/>
                <w:sz w:val="20"/>
                <w:szCs w:val="20"/>
              </w:rPr>
            </w:pPr>
          </w:p>
        </w:tc>
      </w:tr>
      <w:tr w:rsidR="00F925DD" w14:paraId="5556E9C7" w14:textId="77777777">
        <w:tc>
          <w:tcPr>
            <w:tcW w:w="0" w:type="auto"/>
            <w:shd w:val="clear" w:color="auto" w:fill="auto"/>
            <w:tcMar>
              <w:top w:w="40" w:type="dxa"/>
              <w:left w:w="40" w:type="dxa"/>
              <w:bottom w:w="40" w:type="dxa"/>
              <w:right w:w="40" w:type="dxa"/>
            </w:tcMar>
            <w:vAlign w:val="bottom"/>
          </w:tcPr>
          <w:p w14:paraId="5556E9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E9C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Shares</w:t>
            </w:r>
          </w:p>
          <w:p w14:paraId="5556E9C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 thousands)</w:t>
            </w:r>
          </w:p>
        </w:tc>
        <w:tc>
          <w:tcPr>
            <w:tcW w:w="0" w:type="auto"/>
            <w:shd w:val="clear" w:color="auto" w:fill="auto"/>
            <w:tcMar>
              <w:top w:w="40" w:type="dxa"/>
              <w:left w:w="40" w:type="dxa"/>
              <w:bottom w:w="40" w:type="dxa"/>
              <w:right w:w="40" w:type="dxa"/>
            </w:tcMar>
            <w:vAlign w:val="bottom"/>
          </w:tcPr>
          <w:p w14:paraId="5556E9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9C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Weighted-Average</w:t>
            </w:r>
          </w:p>
          <w:p w14:paraId="5556E9C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Grant Date Fair</w:t>
            </w:r>
          </w:p>
          <w:p w14:paraId="5556E9C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Value</w:t>
            </w:r>
          </w:p>
        </w:tc>
      </w:tr>
      <w:tr w:rsidR="00F925DD" w14:paraId="5556E9C9" w14:textId="77777777">
        <w:tc>
          <w:tcPr>
            <w:tcW w:w="0" w:type="auto"/>
            <w:gridSpan w:val="7"/>
            <w:shd w:val="clear" w:color="auto" w:fill="auto"/>
            <w:tcMar>
              <w:top w:w="40" w:type="dxa"/>
              <w:left w:w="40" w:type="dxa"/>
              <w:bottom w:w="40" w:type="dxa"/>
              <w:right w:w="40" w:type="dxa"/>
            </w:tcMar>
            <w:vAlign w:val="bottom"/>
          </w:tcPr>
          <w:p w14:paraId="5556E9C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Deferred Stock Awards:</w:t>
            </w:r>
          </w:p>
        </w:tc>
      </w:tr>
      <w:tr w:rsidR="00F925DD" w14:paraId="5556E9D1" w14:textId="77777777">
        <w:tc>
          <w:tcPr>
            <w:tcW w:w="0" w:type="auto"/>
            <w:shd w:val="clear" w:color="auto" w:fill="CCEEFF"/>
            <w:tcMar>
              <w:top w:w="40" w:type="dxa"/>
              <w:left w:w="40" w:type="dxa"/>
              <w:bottom w:w="40" w:type="dxa"/>
              <w:right w:w="40" w:type="dxa"/>
            </w:tcMar>
            <w:vAlign w:val="bottom"/>
          </w:tcPr>
          <w:p w14:paraId="5556E9C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Outstanding as of December 31, 2017</w:t>
            </w:r>
          </w:p>
        </w:tc>
        <w:tc>
          <w:tcPr>
            <w:tcW w:w="0" w:type="auto"/>
            <w:shd w:val="clear" w:color="auto" w:fill="CCEEFF"/>
            <w:tcMar>
              <w:top w:w="40" w:type="dxa"/>
              <w:left w:w="40" w:type="dxa"/>
              <w:bottom w:w="40" w:type="dxa"/>
            </w:tcMar>
            <w:vAlign w:val="bottom"/>
          </w:tcPr>
          <w:p w14:paraId="5556E9C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6,848</w:t>
            </w:r>
          </w:p>
        </w:tc>
        <w:tc>
          <w:tcPr>
            <w:tcW w:w="0" w:type="auto"/>
            <w:shd w:val="clear" w:color="auto" w:fill="CCEEFF"/>
            <w:vAlign w:val="bottom"/>
          </w:tcPr>
          <w:p w14:paraId="5556E9C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9C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E9C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65.44</w:t>
            </w:r>
          </w:p>
        </w:tc>
        <w:tc>
          <w:tcPr>
            <w:tcW w:w="0" w:type="auto"/>
            <w:shd w:val="clear" w:color="auto" w:fill="CCEEFF"/>
            <w:vAlign w:val="bottom"/>
          </w:tcPr>
          <w:p w14:paraId="5556E9D0" w14:textId="77777777" w:rsidR="00F925DD" w:rsidRDefault="00F925DD">
            <w:pPr>
              <w:textAlignment w:val="bottom"/>
              <w:rPr>
                <w:rFonts w:ascii="Times New Roman" w:hAnsi="Times New Roman"/>
                <w:sz w:val="20"/>
                <w:szCs w:val="20"/>
              </w:rPr>
            </w:pPr>
          </w:p>
        </w:tc>
      </w:tr>
      <w:tr w:rsidR="00F925DD" w14:paraId="5556E9D8" w14:textId="77777777">
        <w:tc>
          <w:tcPr>
            <w:tcW w:w="0" w:type="auto"/>
            <w:shd w:val="clear" w:color="auto" w:fill="auto"/>
            <w:tcMar>
              <w:top w:w="40" w:type="dxa"/>
              <w:left w:w="40" w:type="dxa"/>
              <w:bottom w:w="40" w:type="dxa"/>
              <w:right w:w="40" w:type="dxa"/>
            </w:tcMar>
            <w:vAlign w:val="bottom"/>
          </w:tcPr>
          <w:p w14:paraId="5556E9D2" w14:textId="77777777" w:rsidR="00F925DD" w:rsidRDefault="00E705D7">
            <w:pPr>
              <w:textAlignment w:val="bottom"/>
              <w:rPr>
                <w:rFonts w:ascii="Times New Roman" w:hAnsi="Times New Roman"/>
                <w:sz w:val="14"/>
                <w:szCs w:val="14"/>
              </w:rPr>
            </w:pPr>
            <w:r>
              <w:rPr>
                <w:rFonts w:ascii="Arial" w:eastAsia="宋体" w:hAnsi="Arial" w:cs="Arial"/>
                <w:sz w:val="14"/>
                <w:szCs w:val="14"/>
              </w:rPr>
              <w:t>Granted</w:t>
            </w:r>
          </w:p>
        </w:tc>
        <w:tc>
          <w:tcPr>
            <w:tcW w:w="0" w:type="auto"/>
            <w:shd w:val="clear" w:color="auto" w:fill="auto"/>
            <w:tcMar>
              <w:top w:w="40" w:type="dxa"/>
              <w:left w:w="40" w:type="dxa"/>
              <w:bottom w:w="40" w:type="dxa"/>
            </w:tcMar>
            <w:vAlign w:val="bottom"/>
          </w:tcPr>
          <w:p w14:paraId="5556E9D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2,500</w:t>
            </w:r>
          </w:p>
        </w:tc>
        <w:tc>
          <w:tcPr>
            <w:tcW w:w="0" w:type="auto"/>
            <w:shd w:val="clear" w:color="auto" w:fill="auto"/>
            <w:vAlign w:val="bottom"/>
          </w:tcPr>
          <w:p w14:paraId="5556E9D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9D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101.25</w:t>
            </w:r>
          </w:p>
        </w:tc>
        <w:tc>
          <w:tcPr>
            <w:tcW w:w="0" w:type="auto"/>
            <w:shd w:val="clear" w:color="auto" w:fill="auto"/>
            <w:vAlign w:val="bottom"/>
          </w:tcPr>
          <w:p w14:paraId="5556E9D7" w14:textId="77777777" w:rsidR="00F925DD" w:rsidRDefault="00F925DD">
            <w:pPr>
              <w:textAlignment w:val="bottom"/>
              <w:rPr>
                <w:rFonts w:ascii="Times New Roman" w:hAnsi="Times New Roman"/>
                <w:sz w:val="20"/>
                <w:szCs w:val="20"/>
              </w:rPr>
            </w:pPr>
          </w:p>
        </w:tc>
      </w:tr>
      <w:tr w:rsidR="00F925DD" w14:paraId="5556E9DF" w14:textId="77777777">
        <w:tc>
          <w:tcPr>
            <w:tcW w:w="0" w:type="auto"/>
            <w:shd w:val="clear" w:color="auto" w:fill="CCEEFF"/>
            <w:tcMar>
              <w:top w:w="40" w:type="dxa"/>
              <w:left w:w="40" w:type="dxa"/>
              <w:bottom w:w="40" w:type="dxa"/>
              <w:right w:w="40" w:type="dxa"/>
            </w:tcMar>
            <w:vAlign w:val="bottom"/>
          </w:tcPr>
          <w:p w14:paraId="5556E9D9" w14:textId="77777777" w:rsidR="00F925DD" w:rsidRDefault="00E705D7">
            <w:pPr>
              <w:textAlignment w:val="bottom"/>
              <w:rPr>
                <w:rFonts w:ascii="Times New Roman" w:hAnsi="Times New Roman"/>
                <w:sz w:val="14"/>
                <w:szCs w:val="14"/>
              </w:rPr>
            </w:pPr>
            <w:r>
              <w:rPr>
                <w:rFonts w:ascii="Arial" w:eastAsia="宋体" w:hAnsi="Arial" w:cs="Arial"/>
                <w:sz w:val="14"/>
                <w:szCs w:val="14"/>
              </w:rPr>
              <w:t>Vested</w:t>
            </w:r>
          </w:p>
        </w:tc>
        <w:tc>
          <w:tcPr>
            <w:tcW w:w="0" w:type="auto"/>
            <w:shd w:val="clear" w:color="auto" w:fill="CCEEFF"/>
            <w:tcMar>
              <w:top w:w="40" w:type="dxa"/>
              <w:left w:w="40" w:type="dxa"/>
              <w:bottom w:w="40" w:type="dxa"/>
            </w:tcMar>
            <w:vAlign w:val="bottom"/>
          </w:tcPr>
          <w:p w14:paraId="5556E9D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(3,235</w:t>
            </w:r>
          </w:p>
        </w:tc>
        <w:tc>
          <w:tcPr>
            <w:tcW w:w="0" w:type="auto"/>
            <w:shd w:val="clear" w:color="auto" w:fill="CCEEFF"/>
            <w:tcMar>
              <w:top w:w="40" w:type="dxa"/>
              <w:bottom w:w="40" w:type="dxa"/>
              <w:right w:w="40" w:type="dxa"/>
            </w:tcMar>
            <w:vAlign w:val="bottom"/>
          </w:tcPr>
          <w:p w14:paraId="5556E9D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9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9D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70.98</w:t>
            </w:r>
          </w:p>
        </w:tc>
        <w:tc>
          <w:tcPr>
            <w:tcW w:w="0" w:type="auto"/>
            <w:shd w:val="clear" w:color="auto" w:fill="CCEEFF"/>
            <w:vAlign w:val="bottom"/>
          </w:tcPr>
          <w:p w14:paraId="5556E9DE" w14:textId="77777777" w:rsidR="00F925DD" w:rsidRDefault="00F925DD">
            <w:pPr>
              <w:textAlignment w:val="bottom"/>
              <w:rPr>
                <w:rFonts w:ascii="Times New Roman" w:hAnsi="Times New Roman"/>
                <w:sz w:val="20"/>
                <w:szCs w:val="20"/>
              </w:rPr>
            </w:pPr>
          </w:p>
        </w:tc>
      </w:tr>
      <w:tr w:rsidR="00F925DD" w14:paraId="5556E9E6" w14:textId="77777777">
        <w:tc>
          <w:tcPr>
            <w:tcW w:w="0" w:type="auto"/>
            <w:shd w:val="clear" w:color="auto" w:fill="auto"/>
            <w:tcMar>
              <w:top w:w="40" w:type="dxa"/>
              <w:left w:w="40" w:type="dxa"/>
              <w:bottom w:w="40" w:type="dxa"/>
              <w:right w:w="40" w:type="dxa"/>
            </w:tcMar>
            <w:vAlign w:val="bottom"/>
          </w:tcPr>
          <w:p w14:paraId="5556E9E0" w14:textId="77777777" w:rsidR="00F925DD" w:rsidRDefault="00E705D7">
            <w:pPr>
              <w:textAlignment w:val="bottom"/>
              <w:rPr>
                <w:rFonts w:ascii="Times New Roman" w:hAnsi="Times New Roman"/>
                <w:sz w:val="14"/>
                <w:szCs w:val="14"/>
              </w:rPr>
            </w:pPr>
            <w:r>
              <w:rPr>
                <w:rFonts w:ascii="Arial" w:eastAsia="宋体" w:hAnsi="Arial" w:cs="Arial"/>
                <w:sz w:val="14"/>
                <w:szCs w:val="14"/>
              </w:rPr>
              <w:t>Forfeited</w:t>
            </w:r>
          </w:p>
        </w:tc>
        <w:tc>
          <w:tcPr>
            <w:tcW w:w="0" w:type="auto"/>
            <w:tcBorders>
              <w:bottom w:val="single" w:sz="8" w:space="0" w:color="000000"/>
            </w:tcBorders>
            <w:shd w:val="clear" w:color="auto" w:fill="auto"/>
            <w:tcMar>
              <w:top w:w="40" w:type="dxa"/>
              <w:left w:w="40" w:type="dxa"/>
              <w:bottom w:w="40" w:type="dxa"/>
            </w:tcMar>
            <w:vAlign w:val="bottom"/>
          </w:tcPr>
          <w:p w14:paraId="5556E9E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(138</w:t>
            </w:r>
          </w:p>
        </w:tc>
        <w:tc>
          <w:tcPr>
            <w:tcW w:w="0" w:type="auto"/>
            <w:tcBorders>
              <w:bottom w:val="single" w:sz="8" w:space="0" w:color="000000"/>
            </w:tcBorders>
            <w:shd w:val="clear" w:color="auto" w:fill="auto"/>
            <w:tcMar>
              <w:top w:w="40" w:type="dxa"/>
              <w:bottom w:w="40" w:type="dxa"/>
              <w:right w:w="40" w:type="dxa"/>
            </w:tcMar>
            <w:vAlign w:val="bottom"/>
          </w:tcPr>
          <w:p w14:paraId="5556E9E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9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9E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80.60</w:t>
            </w:r>
          </w:p>
        </w:tc>
        <w:tc>
          <w:tcPr>
            <w:tcW w:w="0" w:type="auto"/>
            <w:shd w:val="clear" w:color="auto" w:fill="auto"/>
            <w:vAlign w:val="bottom"/>
          </w:tcPr>
          <w:p w14:paraId="5556E9E5" w14:textId="77777777" w:rsidR="00F925DD" w:rsidRDefault="00F925DD">
            <w:pPr>
              <w:textAlignment w:val="bottom"/>
              <w:rPr>
                <w:rFonts w:ascii="Times New Roman" w:hAnsi="Times New Roman"/>
                <w:sz w:val="20"/>
                <w:szCs w:val="20"/>
              </w:rPr>
            </w:pPr>
          </w:p>
        </w:tc>
      </w:tr>
      <w:tr w:rsidR="00F925DD" w14:paraId="5556E9ED" w14:textId="77777777">
        <w:tc>
          <w:tcPr>
            <w:tcW w:w="0" w:type="auto"/>
            <w:shd w:val="clear" w:color="auto" w:fill="CCEEFF"/>
            <w:tcMar>
              <w:top w:w="40" w:type="dxa"/>
              <w:left w:w="40" w:type="dxa"/>
              <w:bottom w:w="40" w:type="dxa"/>
              <w:right w:w="40" w:type="dxa"/>
            </w:tcMar>
            <w:vAlign w:val="bottom"/>
          </w:tcPr>
          <w:p w14:paraId="5556E9E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Outstanding as of December 31, 2018</w:t>
            </w:r>
          </w:p>
        </w:tc>
        <w:tc>
          <w:tcPr>
            <w:tcW w:w="0" w:type="auto"/>
            <w:tcBorders>
              <w:top w:val="single" w:sz="8" w:space="0" w:color="000000"/>
            </w:tcBorders>
            <w:shd w:val="clear" w:color="auto" w:fill="CCEEFF"/>
            <w:tcMar>
              <w:top w:w="40" w:type="dxa"/>
              <w:left w:w="40" w:type="dxa"/>
              <w:bottom w:w="40" w:type="dxa"/>
            </w:tcMar>
            <w:vAlign w:val="bottom"/>
          </w:tcPr>
          <w:p w14:paraId="5556E9E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5,975</w:t>
            </w:r>
          </w:p>
        </w:tc>
        <w:tc>
          <w:tcPr>
            <w:tcW w:w="0" w:type="auto"/>
            <w:tcBorders>
              <w:top w:val="single" w:sz="8" w:space="0" w:color="000000"/>
            </w:tcBorders>
            <w:shd w:val="clear" w:color="auto" w:fill="CCEEFF"/>
            <w:vAlign w:val="bottom"/>
          </w:tcPr>
          <w:p w14:paraId="5556E9E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9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9E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77.07</w:t>
            </w:r>
          </w:p>
        </w:tc>
        <w:tc>
          <w:tcPr>
            <w:tcW w:w="0" w:type="auto"/>
            <w:shd w:val="clear" w:color="auto" w:fill="CCEEFF"/>
            <w:vAlign w:val="bottom"/>
          </w:tcPr>
          <w:p w14:paraId="5556E9EC" w14:textId="77777777" w:rsidR="00F925DD" w:rsidRDefault="00F925DD">
            <w:pPr>
              <w:textAlignment w:val="bottom"/>
              <w:rPr>
                <w:rFonts w:ascii="Times New Roman" w:hAnsi="Times New Roman"/>
                <w:sz w:val="20"/>
                <w:szCs w:val="20"/>
              </w:rPr>
            </w:pPr>
          </w:p>
        </w:tc>
      </w:tr>
      <w:tr w:rsidR="00F925DD" w14:paraId="5556E9F4" w14:textId="77777777">
        <w:tc>
          <w:tcPr>
            <w:tcW w:w="0" w:type="auto"/>
            <w:shd w:val="clear" w:color="auto" w:fill="auto"/>
            <w:tcMar>
              <w:top w:w="40" w:type="dxa"/>
              <w:left w:w="40" w:type="dxa"/>
              <w:bottom w:w="40" w:type="dxa"/>
              <w:right w:w="40" w:type="dxa"/>
            </w:tcMar>
            <w:vAlign w:val="bottom"/>
          </w:tcPr>
          <w:p w14:paraId="5556E9EE" w14:textId="77777777" w:rsidR="00F925DD" w:rsidRDefault="00E705D7">
            <w:pPr>
              <w:textAlignment w:val="bottom"/>
              <w:rPr>
                <w:rFonts w:ascii="Times New Roman" w:hAnsi="Times New Roman"/>
                <w:sz w:val="14"/>
                <w:szCs w:val="14"/>
              </w:rPr>
            </w:pPr>
            <w:r>
              <w:rPr>
                <w:rFonts w:ascii="Arial" w:eastAsia="宋体" w:hAnsi="Arial" w:cs="Arial"/>
                <w:sz w:val="14"/>
                <w:szCs w:val="14"/>
              </w:rPr>
              <w:t>Granted</w:t>
            </w:r>
          </w:p>
        </w:tc>
        <w:tc>
          <w:tcPr>
            <w:tcW w:w="0" w:type="auto"/>
            <w:shd w:val="clear" w:color="auto" w:fill="auto"/>
            <w:tcMar>
              <w:top w:w="40" w:type="dxa"/>
              <w:left w:w="40" w:type="dxa"/>
              <w:bottom w:w="40" w:type="dxa"/>
            </w:tcMar>
            <w:vAlign w:val="bottom"/>
          </w:tcPr>
          <w:p w14:paraId="5556E9E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3,168</w:t>
            </w:r>
          </w:p>
        </w:tc>
        <w:tc>
          <w:tcPr>
            <w:tcW w:w="0" w:type="auto"/>
            <w:shd w:val="clear" w:color="auto" w:fill="auto"/>
            <w:vAlign w:val="bottom"/>
          </w:tcPr>
          <w:p w14:paraId="5556E9F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9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9F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66.68</w:t>
            </w:r>
          </w:p>
        </w:tc>
        <w:tc>
          <w:tcPr>
            <w:tcW w:w="0" w:type="auto"/>
            <w:shd w:val="clear" w:color="auto" w:fill="auto"/>
            <w:vAlign w:val="bottom"/>
          </w:tcPr>
          <w:p w14:paraId="5556E9F3" w14:textId="77777777" w:rsidR="00F925DD" w:rsidRDefault="00F925DD">
            <w:pPr>
              <w:textAlignment w:val="bottom"/>
              <w:rPr>
                <w:rFonts w:ascii="Times New Roman" w:hAnsi="Times New Roman"/>
                <w:sz w:val="20"/>
                <w:szCs w:val="20"/>
              </w:rPr>
            </w:pPr>
          </w:p>
        </w:tc>
      </w:tr>
      <w:tr w:rsidR="00F925DD" w14:paraId="5556E9FB" w14:textId="77777777">
        <w:tc>
          <w:tcPr>
            <w:tcW w:w="0" w:type="auto"/>
            <w:shd w:val="clear" w:color="auto" w:fill="CCEEFF"/>
            <w:tcMar>
              <w:top w:w="40" w:type="dxa"/>
              <w:left w:w="40" w:type="dxa"/>
              <w:bottom w:w="40" w:type="dxa"/>
              <w:right w:w="40" w:type="dxa"/>
            </w:tcMar>
            <w:vAlign w:val="bottom"/>
          </w:tcPr>
          <w:p w14:paraId="5556E9F5" w14:textId="77777777" w:rsidR="00F925DD" w:rsidRDefault="00E705D7">
            <w:pPr>
              <w:textAlignment w:val="bottom"/>
              <w:rPr>
                <w:rFonts w:ascii="Times New Roman" w:hAnsi="Times New Roman"/>
                <w:sz w:val="14"/>
                <w:szCs w:val="14"/>
              </w:rPr>
            </w:pPr>
            <w:r>
              <w:rPr>
                <w:rFonts w:ascii="Arial" w:eastAsia="宋体" w:hAnsi="Arial" w:cs="Arial"/>
                <w:sz w:val="14"/>
                <w:szCs w:val="14"/>
              </w:rPr>
              <w:t>Vested</w:t>
            </w:r>
          </w:p>
        </w:tc>
        <w:tc>
          <w:tcPr>
            <w:tcW w:w="0" w:type="auto"/>
            <w:shd w:val="clear" w:color="auto" w:fill="CCEEFF"/>
            <w:tcMar>
              <w:top w:w="40" w:type="dxa"/>
              <w:left w:w="40" w:type="dxa"/>
              <w:bottom w:w="40" w:type="dxa"/>
            </w:tcMar>
            <w:vAlign w:val="bottom"/>
          </w:tcPr>
          <w:p w14:paraId="5556E9F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(3,089</w:t>
            </w:r>
          </w:p>
        </w:tc>
        <w:tc>
          <w:tcPr>
            <w:tcW w:w="0" w:type="auto"/>
            <w:shd w:val="clear" w:color="auto" w:fill="CCEEFF"/>
            <w:tcMar>
              <w:top w:w="40" w:type="dxa"/>
              <w:bottom w:w="40" w:type="dxa"/>
              <w:right w:w="40" w:type="dxa"/>
            </w:tcMar>
            <w:vAlign w:val="bottom"/>
          </w:tcPr>
          <w:p w14:paraId="5556E9F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9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9F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71.20</w:t>
            </w:r>
          </w:p>
        </w:tc>
        <w:tc>
          <w:tcPr>
            <w:tcW w:w="0" w:type="auto"/>
            <w:shd w:val="clear" w:color="auto" w:fill="CCEEFF"/>
            <w:vAlign w:val="bottom"/>
          </w:tcPr>
          <w:p w14:paraId="5556E9FA" w14:textId="77777777" w:rsidR="00F925DD" w:rsidRDefault="00F925DD">
            <w:pPr>
              <w:textAlignment w:val="bottom"/>
              <w:rPr>
                <w:rFonts w:ascii="Times New Roman" w:hAnsi="Times New Roman"/>
                <w:sz w:val="20"/>
                <w:szCs w:val="20"/>
              </w:rPr>
            </w:pPr>
          </w:p>
        </w:tc>
      </w:tr>
      <w:tr w:rsidR="00F925DD" w14:paraId="5556EA02" w14:textId="77777777">
        <w:tc>
          <w:tcPr>
            <w:tcW w:w="0" w:type="auto"/>
            <w:shd w:val="clear" w:color="auto" w:fill="auto"/>
            <w:tcMar>
              <w:top w:w="40" w:type="dxa"/>
              <w:left w:w="40" w:type="dxa"/>
              <w:bottom w:w="40" w:type="dxa"/>
              <w:right w:w="40" w:type="dxa"/>
            </w:tcMar>
            <w:vAlign w:val="bottom"/>
          </w:tcPr>
          <w:p w14:paraId="5556E9FC" w14:textId="77777777" w:rsidR="00F925DD" w:rsidRDefault="00E705D7">
            <w:pPr>
              <w:textAlignment w:val="bottom"/>
              <w:rPr>
                <w:rFonts w:ascii="Times New Roman" w:hAnsi="Times New Roman"/>
                <w:sz w:val="14"/>
                <w:szCs w:val="14"/>
              </w:rPr>
            </w:pPr>
            <w:r>
              <w:rPr>
                <w:rFonts w:ascii="Arial" w:eastAsia="宋体" w:hAnsi="Arial" w:cs="Arial"/>
                <w:sz w:val="14"/>
                <w:szCs w:val="14"/>
              </w:rPr>
              <w:t>Forfeited</w:t>
            </w:r>
          </w:p>
        </w:tc>
        <w:tc>
          <w:tcPr>
            <w:tcW w:w="0" w:type="auto"/>
            <w:tcBorders>
              <w:bottom w:val="single" w:sz="8" w:space="0" w:color="000000"/>
            </w:tcBorders>
            <w:shd w:val="clear" w:color="auto" w:fill="auto"/>
            <w:tcMar>
              <w:top w:w="40" w:type="dxa"/>
              <w:left w:w="40" w:type="dxa"/>
              <w:bottom w:w="40" w:type="dxa"/>
            </w:tcMar>
            <w:vAlign w:val="bottom"/>
          </w:tcPr>
          <w:p w14:paraId="5556E9F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(220</w:t>
            </w:r>
          </w:p>
        </w:tc>
        <w:tc>
          <w:tcPr>
            <w:tcW w:w="0" w:type="auto"/>
            <w:tcBorders>
              <w:bottom w:val="single" w:sz="8" w:space="0" w:color="000000"/>
            </w:tcBorders>
            <w:shd w:val="clear" w:color="auto" w:fill="auto"/>
            <w:tcMar>
              <w:top w:w="40" w:type="dxa"/>
              <w:bottom w:w="40" w:type="dxa"/>
              <w:right w:w="40" w:type="dxa"/>
            </w:tcMar>
            <w:vAlign w:val="bottom"/>
          </w:tcPr>
          <w:p w14:paraId="5556E9F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9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A0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75.85</w:t>
            </w:r>
          </w:p>
        </w:tc>
        <w:tc>
          <w:tcPr>
            <w:tcW w:w="0" w:type="auto"/>
            <w:shd w:val="clear" w:color="auto" w:fill="auto"/>
            <w:vAlign w:val="bottom"/>
          </w:tcPr>
          <w:p w14:paraId="5556EA01" w14:textId="77777777" w:rsidR="00F925DD" w:rsidRDefault="00F925DD">
            <w:pPr>
              <w:textAlignment w:val="bottom"/>
              <w:rPr>
                <w:rFonts w:ascii="Times New Roman" w:hAnsi="Times New Roman"/>
                <w:sz w:val="20"/>
                <w:szCs w:val="20"/>
              </w:rPr>
            </w:pPr>
          </w:p>
        </w:tc>
      </w:tr>
      <w:tr w:rsidR="00F925DD" w14:paraId="5556EA09" w14:textId="77777777">
        <w:tc>
          <w:tcPr>
            <w:tcW w:w="0" w:type="auto"/>
            <w:shd w:val="clear" w:color="auto" w:fill="CCEEFF"/>
            <w:tcMar>
              <w:top w:w="40" w:type="dxa"/>
              <w:left w:w="40" w:type="dxa"/>
              <w:bottom w:w="40" w:type="dxa"/>
              <w:right w:w="40" w:type="dxa"/>
            </w:tcMar>
            <w:vAlign w:val="bottom"/>
          </w:tcPr>
          <w:p w14:paraId="5556EA0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Outstanding as of December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A0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5,834</w:t>
            </w:r>
          </w:p>
        </w:tc>
        <w:tc>
          <w:tcPr>
            <w:tcW w:w="0" w:type="auto"/>
            <w:tcBorders>
              <w:top w:val="single" w:sz="8" w:space="0" w:color="000000"/>
              <w:bottom w:val="double" w:sz="6" w:space="0" w:color="000000"/>
            </w:tcBorders>
            <w:shd w:val="clear" w:color="auto" w:fill="CCEEFF"/>
            <w:vAlign w:val="bottom"/>
          </w:tcPr>
          <w:p w14:paraId="5556EA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A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A0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74.33</w:t>
            </w:r>
          </w:p>
        </w:tc>
        <w:tc>
          <w:tcPr>
            <w:tcW w:w="0" w:type="auto"/>
            <w:shd w:val="clear" w:color="auto" w:fill="CCEEFF"/>
            <w:vAlign w:val="bottom"/>
          </w:tcPr>
          <w:p w14:paraId="5556EA08" w14:textId="77777777" w:rsidR="00F925DD" w:rsidRDefault="00F925DD">
            <w:pPr>
              <w:textAlignment w:val="bottom"/>
              <w:rPr>
                <w:rFonts w:ascii="Times New Roman" w:hAnsi="Times New Roman"/>
                <w:sz w:val="20"/>
                <w:szCs w:val="20"/>
              </w:rPr>
            </w:pPr>
          </w:p>
        </w:tc>
      </w:tr>
    </w:tbl>
    <w:p w14:paraId="5556EA0A" w14:textId="77777777" w:rsidR="00F925DD" w:rsidRDefault="00F925DD">
      <w:pPr>
        <w:spacing w:line="288" w:lineRule="auto"/>
        <w:rPr>
          <w:rFonts w:ascii="Times New Roman" w:hAnsi="Times New Roman"/>
          <w:sz w:val="20"/>
          <w:szCs w:val="20"/>
        </w:rPr>
      </w:pPr>
    </w:p>
    <w:p w14:paraId="5556EA0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total fair value of deferred stock awards vested for the </w:t>
      </w:r>
      <w:r>
        <w:rPr>
          <w:rFonts w:ascii="Arial" w:eastAsia="宋体" w:hAnsi="Arial" w:cs="Arial"/>
          <w:sz w:val="20"/>
          <w:szCs w:val="20"/>
        </w:rPr>
        <w:t xml:space="preserve">years ended December 31, 2019, 2018 and 2017, based on the weighted average grant date fair value in each respective year, was $220 million, $230 million and $232 million, respectively. As of December 31, 2019, total unrecognized compensation cost related </w:t>
      </w:r>
      <w:r>
        <w:rPr>
          <w:rFonts w:ascii="Arial" w:eastAsia="宋体" w:hAnsi="Arial" w:cs="Arial"/>
          <w:sz w:val="20"/>
          <w:szCs w:val="20"/>
        </w:rPr>
        <w:t>to deferred stock awards, net of estimated forfeitures, was $212 million, which is expected to be recognized over a weighted-average period of 2.4 years.</w:t>
      </w:r>
    </w:p>
    <w:p w14:paraId="5556EA0C" w14:textId="77777777" w:rsidR="00F925DD" w:rsidRDefault="00E705D7">
      <w:pPr>
        <w:rPr>
          <w:rFonts w:ascii="Times New Roman" w:hAnsi="Times New Roman"/>
          <w:sz w:val="20"/>
          <w:szCs w:val="20"/>
        </w:rPr>
      </w:pPr>
      <w:r>
        <w:rPr>
          <w:rFonts w:ascii="Times New Roman" w:eastAsia="宋体" w:hAnsi="Times New Roman"/>
          <w:sz w:val="20"/>
          <w:szCs w:val="20"/>
        </w:rPr>
        <w:t> </w:t>
      </w:r>
    </w:p>
    <w:tbl>
      <w:tblPr>
        <w:tblW w:w="4990" w:type="pct"/>
        <w:tblCellMar>
          <w:left w:w="0" w:type="dxa"/>
          <w:right w:w="0" w:type="dxa"/>
        </w:tblCellMar>
        <w:tblLook w:val="04A0" w:firstRow="1" w:lastRow="0" w:firstColumn="1" w:lastColumn="0" w:noHBand="0" w:noVBand="1"/>
      </w:tblPr>
      <w:tblGrid>
        <w:gridCol w:w="2644"/>
        <w:gridCol w:w="2644"/>
        <w:gridCol w:w="87"/>
        <w:gridCol w:w="158"/>
        <w:gridCol w:w="119"/>
        <w:gridCol w:w="2562"/>
        <w:gridCol w:w="75"/>
      </w:tblGrid>
      <w:tr w:rsidR="00F925DD" w14:paraId="5556EA0E" w14:textId="77777777">
        <w:tc>
          <w:tcPr>
            <w:tcW w:w="0" w:type="auto"/>
            <w:gridSpan w:val="7"/>
            <w:shd w:val="clear" w:color="auto" w:fill="auto"/>
            <w:vAlign w:val="center"/>
          </w:tcPr>
          <w:p w14:paraId="5556EA0D" w14:textId="77777777" w:rsidR="00F925DD" w:rsidRDefault="00F925DD">
            <w:pPr>
              <w:rPr>
                <w:rFonts w:ascii="Times New Roman" w:hAnsi="Times New Roman"/>
                <w:sz w:val="20"/>
                <w:szCs w:val="20"/>
              </w:rPr>
            </w:pPr>
          </w:p>
        </w:tc>
      </w:tr>
      <w:tr w:rsidR="00F925DD" w14:paraId="5556EA16" w14:textId="77777777">
        <w:tc>
          <w:tcPr>
            <w:tcW w:w="1600" w:type="pct"/>
            <w:shd w:val="clear" w:color="auto" w:fill="auto"/>
            <w:vAlign w:val="center"/>
          </w:tcPr>
          <w:p w14:paraId="5556EA0F" w14:textId="77777777" w:rsidR="00F925DD" w:rsidRDefault="00F925DD">
            <w:pPr>
              <w:rPr>
                <w:rFonts w:ascii="Times New Roman" w:hAnsi="Times New Roman"/>
                <w:sz w:val="20"/>
                <w:szCs w:val="20"/>
              </w:rPr>
            </w:pPr>
          </w:p>
        </w:tc>
        <w:tc>
          <w:tcPr>
            <w:tcW w:w="1600" w:type="pct"/>
            <w:shd w:val="clear" w:color="auto" w:fill="auto"/>
            <w:vAlign w:val="center"/>
          </w:tcPr>
          <w:p w14:paraId="5556EA10" w14:textId="77777777" w:rsidR="00F925DD" w:rsidRDefault="00F925DD">
            <w:pPr>
              <w:rPr>
                <w:rFonts w:ascii="Times New Roman" w:hAnsi="Times New Roman"/>
                <w:sz w:val="20"/>
                <w:szCs w:val="20"/>
              </w:rPr>
            </w:pPr>
          </w:p>
        </w:tc>
        <w:tc>
          <w:tcPr>
            <w:tcW w:w="50" w:type="pct"/>
            <w:shd w:val="clear" w:color="auto" w:fill="auto"/>
            <w:vAlign w:val="center"/>
          </w:tcPr>
          <w:p w14:paraId="5556EA11" w14:textId="77777777" w:rsidR="00F925DD" w:rsidRDefault="00F925DD">
            <w:pPr>
              <w:rPr>
                <w:rFonts w:ascii="Times New Roman" w:hAnsi="Times New Roman"/>
                <w:sz w:val="20"/>
                <w:szCs w:val="20"/>
              </w:rPr>
            </w:pPr>
          </w:p>
        </w:tc>
        <w:tc>
          <w:tcPr>
            <w:tcW w:w="100" w:type="pct"/>
            <w:shd w:val="clear" w:color="auto" w:fill="auto"/>
            <w:vAlign w:val="center"/>
          </w:tcPr>
          <w:p w14:paraId="5556EA12" w14:textId="77777777" w:rsidR="00F925DD" w:rsidRDefault="00F925DD">
            <w:pPr>
              <w:rPr>
                <w:rFonts w:ascii="Times New Roman" w:hAnsi="Times New Roman"/>
                <w:sz w:val="20"/>
                <w:szCs w:val="20"/>
              </w:rPr>
            </w:pPr>
          </w:p>
        </w:tc>
        <w:tc>
          <w:tcPr>
            <w:tcW w:w="50" w:type="pct"/>
            <w:shd w:val="clear" w:color="auto" w:fill="auto"/>
            <w:vAlign w:val="center"/>
          </w:tcPr>
          <w:p w14:paraId="5556EA13" w14:textId="77777777" w:rsidR="00F925DD" w:rsidRDefault="00F925DD">
            <w:pPr>
              <w:rPr>
                <w:rFonts w:ascii="Times New Roman" w:hAnsi="Times New Roman"/>
                <w:sz w:val="20"/>
                <w:szCs w:val="20"/>
              </w:rPr>
            </w:pPr>
          </w:p>
        </w:tc>
        <w:tc>
          <w:tcPr>
            <w:tcW w:w="1550" w:type="pct"/>
            <w:shd w:val="clear" w:color="auto" w:fill="auto"/>
            <w:vAlign w:val="center"/>
          </w:tcPr>
          <w:p w14:paraId="5556EA14" w14:textId="77777777" w:rsidR="00F925DD" w:rsidRDefault="00F925DD">
            <w:pPr>
              <w:rPr>
                <w:rFonts w:ascii="Times New Roman" w:hAnsi="Times New Roman"/>
                <w:sz w:val="20"/>
                <w:szCs w:val="20"/>
              </w:rPr>
            </w:pPr>
          </w:p>
        </w:tc>
        <w:tc>
          <w:tcPr>
            <w:tcW w:w="50" w:type="pct"/>
            <w:shd w:val="clear" w:color="auto" w:fill="auto"/>
            <w:vAlign w:val="center"/>
          </w:tcPr>
          <w:p w14:paraId="5556EA15" w14:textId="77777777" w:rsidR="00F925DD" w:rsidRDefault="00F925DD">
            <w:pPr>
              <w:rPr>
                <w:rFonts w:ascii="Times New Roman" w:hAnsi="Times New Roman"/>
                <w:sz w:val="20"/>
                <w:szCs w:val="20"/>
              </w:rPr>
            </w:pPr>
          </w:p>
        </w:tc>
      </w:tr>
      <w:tr w:rsidR="00F925DD" w14:paraId="5556EA1D" w14:textId="77777777">
        <w:tc>
          <w:tcPr>
            <w:tcW w:w="0" w:type="auto"/>
            <w:shd w:val="clear" w:color="auto" w:fill="auto"/>
            <w:tcMar>
              <w:top w:w="40" w:type="dxa"/>
              <w:left w:w="40" w:type="dxa"/>
              <w:bottom w:w="40" w:type="dxa"/>
              <w:right w:w="40" w:type="dxa"/>
            </w:tcMar>
            <w:vAlign w:val="bottom"/>
          </w:tcPr>
          <w:p w14:paraId="5556EA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EA1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Shares</w:t>
            </w:r>
          </w:p>
          <w:p w14:paraId="5556EA1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 thousands)</w:t>
            </w:r>
          </w:p>
        </w:tc>
        <w:tc>
          <w:tcPr>
            <w:tcW w:w="0" w:type="auto"/>
            <w:shd w:val="clear" w:color="auto" w:fill="auto"/>
            <w:tcMar>
              <w:top w:w="40" w:type="dxa"/>
              <w:left w:w="40" w:type="dxa"/>
              <w:bottom w:w="40" w:type="dxa"/>
              <w:right w:w="40" w:type="dxa"/>
            </w:tcMar>
            <w:vAlign w:val="bottom"/>
          </w:tcPr>
          <w:p w14:paraId="5556EA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A1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Weighted-Average</w:t>
            </w:r>
          </w:p>
          <w:p w14:paraId="5556EA1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Grant Date Fair Value</w:t>
            </w:r>
          </w:p>
        </w:tc>
      </w:tr>
      <w:tr w:rsidR="00F925DD" w14:paraId="5556EA1F" w14:textId="77777777">
        <w:tc>
          <w:tcPr>
            <w:tcW w:w="0" w:type="auto"/>
            <w:gridSpan w:val="7"/>
            <w:shd w:val="clear" w:color="auto" w:fill="auto"/>
            <w:tcMar>
              <w:top w:w="40" w:type="dxa"/>
              <w:left w:w="40" w:type="dxa"/>
              <w:bottom w:w="40" w:type="dxa"/>
              <w:right w:w="40" w:type="dxa"/>
            </w:tcMar>
            <w:vAlign w:val="bottom"/>
          </w:tcPr>
          <w:p w14:paraId="5556EA1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 xml:space="preserve">Performance </w:t>
            </w:r>
            <w:r>
              <w:rPr>
                <w:rFonts w:ascii="Arial" w:eastAsia="宋体" w:hAnsi="Arial" w:cs="Arial"/>
                <w:b/>
                <w:bCs/>
                <w:sz w:val="14"/>
                <w:szCs w:val="14"/>
              </w:rPr>
              <w:t>Awards:</w:t>
            </w:r>
          </w:p>
        </w:tc>
      </w:tr>
      <w:tr w:rsidR="00F925DD" w14:paraId="5556EA27" w14:textId="77777777">
        <w:tc>
          <w:tcPr>
            <w:tcW w:w="0" w:type="auto"/>
            <w:shd w:val="clear" w:color="auto" w:fill="CCEEFF"/>
            <w:tcMar>
              <w:top w:w="40" w:type="dxa"/>
              <w:left w:w="40" w:type="dxa"/>
              <w:bottom w:w="40" w:type="dxa"/>
              <w:right w:w="40" w:type="dxa"/>
            </w:tcMar>
            <w:vAlign w:val="bottom"/>
          </w:tcPr>
          <w:p w14:paraId="5556EA2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Outstanding as of December 31, 2017</w:t>
            </w:r>
          </w:p>
        </w:tc>
        <w:tc>
          <w:tcPr>
            <w:tcW w:w="0" w:type="auto"/>
            <w:shd w:val="clear" w:color="auto" w:fill="CCEEFF"/>
            <w:tcMar>
              <w:top w:w="40" w:type="dxa"/>
              <w:left w:w="40" w:type="dxa"/>
              <w:bottom w:w="40" w:type="dxa"/>
            </w:tcMar>
            <w:vAlign w:val="bottom"/>
          </w:tcPr>
          <w:p w14:paraId="5556EA2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1,548</w:t>
            </w:r>
          </w:p>
        </w:tc>
        <w:tc>
          <w:tcPr>
            <w:tcW w:w="0" w:type="auto"/>
            <w:shd w:val="clear" w:color="auto" w:fill="CCEEFF"/>
            <w:vAlign w:val="bottom"/>
          </w:tcPr>
          <w:p w14:paraId="5556EA2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A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A2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EA2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66.09</w:t>
            </w:r>
          </w:p>
        </w:tc>
        <w:tc>
          <w:tcPr>
            <w:tcW w:w="0" w:type="auto"/>
            <w:shd w:val="clear" w:color="auto" w:fill="CCEEFF"/>
            <w:vAlign w:val="bottom"/>
          </w:tcPr>
          <w:p w14:paraId="5556EA26" w14:textId="77777777" w:rsidR="00F925DD" w:rsidRDefault="00F925DD">
            <w:pPr>
              <w:textAlignment w:val="bottom"/>
              <w:rPr>
                <w:rFonts w:ascii="Times New Roman" w:hAnsi="Times New Roman"/>
                <w:sz w:val="20"/>
                <w:szCs w:val="20"/>
              </w:rPr>
            </w:pPr>
          </w:p>
        </w:tc>
      </w:tr>
      <w:tr w:rsidR="00F925DD" w14:paraId="5556EA2E" w14:textId="77777777">
        <w:tc>
          <w:tcPr>
            <w:tcW w:w="0" w:type="auto"/>
            <w:shd w:val="clear" w:color="auto" w:fill="auto"/>
            <w:tcMar>
              <w:top w:w="40" w:type="dxa"/>
              <w:left w:w="40" w:type="dxa"/>
              <w:bottom w:w="40" w:type="dxa"/>
              <w:right w:w="40" w:type="dxa"/>
            </w:tcMar>
            <w:vAlign w:val="bottom"/>
          </w:tcPr>
          <w:p w14:paraId="5556EA28" w14:textId="77777777" w:rsidR="00F925DD" w:rsidRDefault="00E705D7">
            <w:pPr>
              <w:textAlignment w:val="bottom"/>
              <w:rPr>
                <w:rFonts w:ascii="Times New Roman" w:hAnsi="Times New Roman"/>
                <w:sz w:val="14"/>
                <w:szCs w:val="14"/>
              </w:rPr>
            </w:pPr>
            <w:r>
              <w:rPr>
                <w:rFonts w:ascii="Arial" w:eastAsia="宋体" w:hAnsi="Arial" w:cs="Arial"/>
                <w:sz w:val="14"/>
                <w:szCs w:val="14"/>
              </w:rPr>
              <w:t>Granted</w:t>
            </w:r>
          </w:p>
        </w:tc>
        <w:tc>
          <w:tcPr>
            <w:tcW w:w="0" w:type="auto"/>
            <w:shd w:val="clear" w:color="auto" w:fill="auto"/>
            <w:tcMar>
              <w:top w:w="40" w:type="dxa"/>
              <w:left w:w="40" w:type="dxa"/>
              <w:bottom w:w="40" w:type="dxa"/>
            </w:tcMar>
            <w:vAlign w:val="bottom"/>
          </w:tcPr>
          <w:p w14:paraId="5556EA2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1,067</w:t>
            </w:r>
          </w:p>
        </w:tc>
        <w:tc>
          <w:tcPr>
            <w:tcW w:w="0" w:type="auto"/>
            <w:shd w:val="clear" w:color="auto" w:fill="auto"/>
            <w:vAlign w:val="bottom"/>
          </w:tcPr>
          <w:p w14:paraId="5556EA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A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A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74.68</w:t>
            </w:r>
          </w:p>
        </w:tc>
        <w:tc>
          <w:tcPr>
            <w:tcW w:w="0" w:type="auto"/>
            <w:shd w:val="clear" w:color="auto" w:fill="auto"/>
            <w:vAlign w:val="bottom"/>
          </w:tcPr>
          <w:p w14:paraId="5556EA2D" w14:textId="77777777" w:rsidR="00F925DD" w:rsidRDefault="00F925DD">
            <w:pPr>
              <w:textAlignment w:val="bottom"/>
              <w:rPr>
                <w:rFonts w:ascii="Times New Roman" w:hAnsi="Times New Roman"/>
                <w:sz w:val="20"/>
                <w:szCs w:val="20"/>
              </w:rPr>
            </w:pPr>
          </w:p>
        </w:tc>
      </w:tr>
      <w:tr w:rsidR="00F925DD" w14:paraId="5556EA35" w14:textId="77777777">
        <w:tc>
          <w:tcPr>
            <w:tcW w:w="0" w:type="auto"/>
            <w:shd w:val="clear" w:color="auto" w:fill="CCEEFF"/>
            <w:tcMar>
              <w:top w:w="40" w:type="dxa"/>
              <w:left w:w="40" w:type="dxa"/>
              <w:bottom w:w="40" w:type="dxa"/>
              <w:right w:w="40" w:type="dxa"/>
            </w:tcMar>
            <w:vAlign w:val="bottom"/>
          </w:tcPr>
          <w:p w14:paraId="5556EA2F" w14:textId="77777777" w:rsidR="00F925DD" w:rsidRDefault="00E705D7">
            <w:pPr>
              <w:textAlignment w:val="bottom"/>
              <w:rPr>
                <w:rFonts w:ascii="Times New Roman" w:hAnsi="Times New Roman"/>
                <w:sz w:val="14"/>
                <w:szCs w:val="14"/>
              </w:rPr>
            </w:pPr>
            <w:r>
              <w:rPr>
                <w:rFonts w:ascii="Arial" w:eastAsia="宋体" w:hAnsi="Arial" w:cs="Arial"/>
                <w:sz w:val="14"/>
                <w:szCs w:val="14"/>
              </w:rPr>
              <w:t>Forfeited</w:t>
            </w:r>
          </w:p>
        </w:tc>
        <w:tc>
          <w:tcPr>
            <w:tcW w:w="0" w:type="auto"/>
            <w:shd w:val="clear" w:color="auto" w:fill="CCEEFF"/>
            <w:tcMar>
              <w:top w:w="40" w:type="dxa"/>
              <w:left w:w="40" w:type="dxa"/>
              <w:bottom w:w="40" w:type="dxa"/>
            </w:tcMar>
            <w:vAlign w:val="bottom"/>
          </w:tcPr>
          <w:p w14:paraId="5556EA3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CCEEFF"/>
            <w:tcMar>
              <w:top w:w="40" w:type="dxa"/>
              <w:bottom w:w="40" w:type="dxa"/>
              <w:right w:w="40" w:type="dxa"/>
            </w:tcMar>
            <w:vAlign w:val="bottom"/>
          </w:tcPr>
          <w:p w14:paraId="5556EA3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A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A3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101.26</w:t>
            </w:r>
          </w:p>
        </w:tc>
        <w:tc>
          <w:tcPr>
            <w:tcW w:w="0" w:type="auto"/>
            <w:shd w:val="clear" w:color="auto" w:fill="CCEEFF"/>
            <w:vAlign w:val="bottom"/>
          </w:tcPr>
          <w:p w14:paraId="5556EA34" w14:textId="77777777" w:rsidR="00F925DD" w:rsidRDefault="00F925DD">
            <w:pPr>
              <w:textAlignment w:val="bottom"/>
              <w:rPr>
                <w:rFonts w:ascii="Times New Roman" w:hAnsi="Times New Roman"/>
                <w:sz w:val="20"/>
                <w:szCs w:val="20"/>
              </w:rPr>
            </w:pPr>
          </w:p>
        </w:tc>
      </w:tr>
      <w:tr w:rsidR="00F925DD" w14:paraId="5556EA3C" w14:textId="77777777">
        <w:tc>
          <w:tcPr>
            <w:tcW w:w="0" w:type="auto"/>
            <w:shd w:val="clear" w:color="auto" w:fill="auto"/>
            <w:tcMar>
              <w:top w:w="40" w:type="dxa"/>
              <w:left w:w="40" w:type="dxa"/>
              <w:bottom w:w="40" w:type="dxa"/>
              <w:right w:w="40" w:type="dxa"/>
            </w:tcMar>
            <w:vAlign w:val="bottom"/>
          </w:tcPr>
          <w:p w14:paraId="5556EA36" w14:textId="77777777" w:rsidR="00F925DD" w:rsidRDefault="00E705D7">
            <w:pPr>
              <w:textAlignment w:val="bottom"/>
              <w:rPr>
                <w:rFonts w:ascii="Times New Roman" w:hAnsi="Times New Roman"/>
                <w:sz w:val="14"/>
                <w:szCs w:val="14"/>
              </w:rPr>
            </w:pPr>
            <w:r>
              <w:rPr>
                <w:rFonts w:ascii="Arial" w:eastAsia="宋体" w:hAnsi="Arial" w:cs="Arial"/>
                <w:sz w:val="14"/>
                <w:szCs w:val="14"/>
              </w:rPr>
              <w:t>Paid out</w:t>
            </w:r>
          </w:p>
        </w:tc>
        <w:tc>
          <w:tcPr>
            <w:tcW w:w="0" w:type="auto"/>
            <w:shd w:val="clear" w:color="auto" w:fill="auto"/>
            <w:tcMar>
              <w:top w:w="40" w:type="dxa"/>
              <w:left w:w="40" w:type="dxa"/>
              <w:bottom w:w="40" w:type="dxa"/>
            </w:tcMar>
            <w:vAlign w:val="bottom"/>
          </w:tcPr>
          <w:p w14:paraId="5556EA3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(457</w:t>
            </w:r>
          </w:p>
        </w:tc>
        <w:tc>
          <w:tcPr>
            <w:tcW w:w="0" w:type="auto"/>
            <w:shd w:val="clear" w:color="auto" w:fill="auto"/>
            <w:tcMar>
              <w:top w:w="40" w:type="dxa"/>
              <w:bottom w:w="40" w:type="dxa"/>
              <w:right w:w="40" w:type="dxa"/>
            </w:tcMar>
            <w:vAlign w:val="bottom"/>
          </w:tcPr>
          <w:p w14:paraId="5556EA3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A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A3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70.58</w:t>
            </w:r>
          </w:p>
        </w:tc>
        <w:tc>
          <w:tcPr>
            <w:tcW w:w="0" w:type="auto"/>
            <w:shd w:val="clear" w:color="auto" w:fill="auto"/>
            <w:vAlign w:val="bottom"/>
          </w:tcPr>
          <w:p w14:paraId="5556EA3B" w14:textId="77777777" w:rsidR="00F925DD" w:rsidRDefault="00F925DD">
            <w:pPr>
              <w:textAlignment w:val="bottom"/>
              <w:rPr>
                <w:rFonts w:ascii="Times New Roman" w:hAnsi="Times New Roman"/>
                <w:sz w:val="20"/>
                <w:szCs w:val="20"/>
              </w:rPr>
            </w:pPr>
          </w:p>
        </w:tc>
      </w:tr>
      <w:tr w:rsidR="00F925DD" w14:paraId="5556EA43" w14:textId="77777777">
        <w:tc>
          <w:tcPr>
            <w:tcW w:w="0" w:type="auto"/>
            <w:shd w:val="clear" w:color="auto" w:fill="CCEEFF"/>
            <w:tcMar>
              <w:top w:w="40" w:type="dxa"/>
              <w:left w:w="40" w:type="dxa"/>
              <w:bottom w:w="40" w:type="dxa"/>
              <w:right w:w="40" w:type="dxa"/>
            </w:tcMar>
            <w:vAlign w:val="bottom"/>
          </w:tcPr>
          <w:p w14:paraId="5556EA3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Outstanding as of December 31, 2018</w:t>
            </w:r>
          </w:p>
        </w:tc>
        <w:tc>
          <w:tcPr>
            <w:tcW w:w="0" w:type="auto"/>
            <w:tcBorders>
              <w:top w:val="single" w:sz="8" w:space="0" w:color="000000"/>
            </w:tcBorders>
            <w:shd w:val="clear" w:color="auto" w:fill="CCEEFF"/>
            <w:tcMar>
              <w:top w:w="40" w:type="dxa"/>
              <w:left w:w="40" w:type="dxa"/>
              <w:bottom w:w="40" w:type="dxa"/>
            </w:tcMar>
            <w:vAlign w:val="bottom"/>
          </w:tcPr>
          <w:p w14:paraId="5556EA3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2,157</w:t>
            </w:r>
          </w:p>
        </w:tc>
        <w:tc>
          <w:tcPr>
            <w:tcW w:w="0" w:type="auto"/>
            <w:tcBorders>
              <w:top w:val="single" w:sz="8" w:space="0" w:color="000000"/>
            </w:tcBorders>
            <w:shd w:val="clear" w:color="auto" w:fill="CCEEFF"/>
            <w:vAlign w:val="bottom"/>
          </w:tcPr>
          <w:p w14:paraId="5556EA3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A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A4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69.36</w:t>
            </w:r>
          </w:p>
        </w:tc>
        <w:tc>
          <w:tcPr>
            <w:tcW w:w="0" w:type="auto"/>
            <w:shd w:val="clear" w:color="auto" w:fill="CCEEFF"/>
            <w:vAlign w:val="bottom"/>
          </w:tcPr>
          <w:p w14:paraId="5556EA42" w14:textId="77777777" w:rsidR="00F925DD" w:rsidRDefault="00F925DD">
            <w:pPr>
              <w:textAlignment w:val="bottom"/>
              <w:rPr>
                <w:rFonts w:ascii="Times New Roman" w:hAnsi="Times New Roman"/>
                <w:sz w:val="20"/>
                <w:szCs w:val="20"/>
              </w:rPr>
            </w:pPr>
          </w:p>
        </w:tc>
      </w:tr>
      <w:tr w:rsidR="00F925DD" w14:paraId="5556EA4A" w14:textId="77777777">
        <w:tc>
          <w:tcPr>
            <w:tcW w:w="0" w:type="auto"/>
            <w:shd w:val="clear" w:color="auto" w:fill="auto"/>
            <w:tcMar>
              <w:top w:w="40" w:type="dxa"/>
              <w:left w:w="40" w:type="dxa"/>
              <w:bottom w:w="40" w:type="dxa"/>
              <w:right w:w="40" w:type="dxa"/>
            </w:tcMar>
            <w:vAlign w:val="bottom"/>
          </w:tcPr>
          <w:p w14:paraId="5556EA44" w14:textId="77777777" w:rsidR="00F925DD" w:rsidRDefault="00E705D7">
            <w:pPr>
              <w:textAlignment w:val="bottom"/>
              <w:rPr>
                <w:rFonts w:ascii="Times New Roman" w:hAnsi="Times New Roman"/>
                <w:sz w:val="14"/>
                <w:szCs w:val="14"/>
              </w:rPr>
            </w:pPr>
            <w:r>
              <w:rPr>
                <w:rFonts w:ascii="Arial" w:eastAsia="宋体" w:hAnsi="Arial" w:cs="Arial"/>
                <w:sz w:val="14"/>
                <w:szCs w:val="14"/>
              </w:rPr>
              <w:t>Granted</w:t>
            </w:r>
          </w:p>
        </w:tc>
        <w:tc>
          <w:tcPr>
            <w:tcW w:w="0" w:type="auto"/>
            <w:shd w:val="clear" w:color="auto" w:fill="auto"/>
            <w:tcMar>
              <w:top w:w="40" w:type="dxa"/>
              <w:left w:w="40" w:type="dxa"/>
              <w:bottom w:w="40" w:type="dxa"/>
            </w:tcMar>
            <w:vAlign w:val="bottom"/>
          </w:tcPr>
          <w:p w14:paraId="5556EA4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510</w:t>
            </w:r>
          </w:p>
        </w:tc>
        <w:tc>
          <w:tcPr>
            <w:tcW w:w="0" w:type="auto"/>
            <w:shd w:val="clear" w:color="auto" w:fill="auto"/>
            <w:vAlign w:val="bottom"/>
          </w:tcPr>
          <w:p w14:paraId="5556EA4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A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A4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66.04</w:t>
            </w:r>
          </w:p>
        </w:tc>
        <w:tc>
          <w:tcPr>
            <w:tcW w:w="0" w:type="auto"/>
            <w:shd w:val="clear" w:color="auto" w:fill="auto"/>
            <w:vAlign w:val="bottom"/>
          </w:tcPr>
          <w:p w14:paraId="5556EA49" w14:textId="77777777" w:rsidR="00F925DD" w:rsidRDefault="00F925DD">
            <w:pPr>
              <w:textAlignment w:val="bottom"/>
              <w:rPr>
                <w:rFonts w:ascii="Times New Roman" w:hAnsi="Times New Roman"/>
                <w:sz w:val="20"/>
                <w:szCs w:val="20"/>
              </w:rPr>
            </w:pPr>
          </w:p>
        </w:tc>
      </w:tr>
      <w:tr w:rsidR="00F925DD" w14:paraId="5556EA51" w14:textId="77777777">
        <w:tc>
          <w:tcPr>
            <w:tcW w:w="0" w:type="auto"/>
            <w:shd w:val="clear" w:color="auto" w:fill="CCEEFF"/>
            <w:tcMar>
              <w:top w:w="40" w:type="dxa"/>
              <w:left w:w="40" w:type="dxa"/>
              <w:bottom w:w="40" w:type="dxa"/>
              <w:right w:w="40" w:type="dxa"/>
            </w:tcMar>
            <w:vAlign w:val="bottom"/>
          </w:tcPr>
          <w:p w14:paraId="5556EA4B" w14:textId="77777777" w:rsidR="00F925DD" w:rsidRDefault="00E705D7">
            <w:pPr>
              <w:textAlignment w:val="bottom"/>
              <w:rPr>
                <w:rFonts w:ascii="Times New Roman" w:hAnsi="Times New Roman"/>
                <w:sz w:val="14"/>
                <w:szCs w:val="14"/>
              </w:rPr>
            </w:pPr>
            <w:r>
              <w:rPr>
                <w:rFonts w:ascii="Arial" w:eastAsia="宋体" w:hAnsi="Arial" w:cs="Arial"/>
                <w:sz w:val="14"/>
                <w:szCs w:val="14"/>
              </w:rPr>
              <w:t>Forfeited</w:t>
            </w:r>
          </w:p>
        </w:tc>
        <w:tc>
          <w:tcPr>
            <w:tcW w:w="0" w:type="auto"/>
            <w:shd w:val="clear" w:color="auto" w:fill="CCEEFF"/>
            <w:tcMar>
              <w:top w:w="40" w:type="dxa"/>
              <w:left w:w="40" w:type="dxa"/>
              <w:bottom w:w="40" w:type="dxa"/>
            </w:tcMar>
            <w:vAlign w:val="bottom"/>
          </w:tcPr>
          <w:p w14:paraId="5556EA4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(96</w:t>
            </w:r>
          </w:p>
        </w:tc>
        <w:tc>
          <w:tcPr>
            <w:tcW w:w="0" w:type="auto"/>
            <w:shd w:val="clear" w:color="auto" w:fill="CCEEFF"/>
            <w:tcMar>
              <w:top w:w="40" w:type="dxa"/>
              <w:bottom w:w="40" w:type="dxa"/>
              <w:right w:w="40" w:type="dxa"/>
            </w:tcMar>
            <w:vAlign w:val="bottom"/>
          </w:tcPr>
          <w:p w14:paraId="5556EA4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A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A4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74.82</w:t>
            </w:r>
          </w:p>
        </w:tc>
        <w:tc>
          <w:tcPr>
            <w:tcW w:w="0" w:type="auto"/>
            <w:shd w:val="clear" w:color="auto" w:fill="CCEEFF"/>
            <w:vAlign w:val="bottom"/>
          </w:tcPr>
          <w:p w14:paraId="5556EA50" w14:textId="77777777" w:rsidR="00F925DD" w:rsidRDefault="00F925DD">
            <w:pPr>
              <w:textAlignment w:val="bottom"/>
              <w:rPr>
                <w:rFonts w:ascii="Times New Roman" w:hAnsi="Times New Roman"/>
                <w:sz w:val="20"/>
                <w:szCs w:val="20"/>
              </w:rPr>
            </w:pPr>
          </w:p>
        </w:tc>
      </w:tr>
      <w:tr w:rsidR="00F925DD" w14:paraId="5556EA58" w14:textId="77777777">
        <w:tc>
          <w:tcPr>
            <w:tcW w:w="0" w:type="auto"/>
            <w:shd w:val="clear" w:color="auto" w:fill="auto"/>
            <w:tcMar>
              <w:top w:w="40" w:type="dxa"/>
              <w:left w:w="40" w:type="dxa"/>
              <w:bottom w:w="40" w:type="dxa"/>
              <w:right w:w="40" w:type="dxa"/>
            </w:tcMar>
            <w:vAlign w:val="bottom"/>
          </w:tcPr>
          <w:p w14:paraId="5556EA52" w14:textId="77777777" w:rsidR="00F925DD" w:rsidRDefault="00E705D7">
            <w:pPr>
              <w:textAlignment w:val="bottom"/>
              <w:rPr>
                <w:rFonts w:ascii="Times New Roman" w:hAnsi="Times New Roman"/>
                <w:sz w:val="14"/>
                <w:szCs w:val="14"/>
              </w:rPr>
            </w:pPr>
            <w:r>
              <w:rPr>
                <w:rFonts w:ascii="Arial" w:eastAsia="宋体" w:hAnsi="Arial" w:cs="Arial"/>
                <w:sz w:val="14"/>
                <w:szCs w:val="14"/>
              </w:rPr>
              <w:t>Paid out</w:t>
            </w:r>
          </w:p>
        </w:tc>
        <w:tc>
          <w:tcPr>
            <w:tcW w:w="0" w:type="auto"/>
            <w:shd w:val="clear" w:color="auto" w:fill="auto"/>
            <w:tcMar>
              <w:top w:w="40" w:type="dxa"/>
              <w:left w:w="40" w:type="dxa"/>
              <w:bottom w:w="40" w:type="dxa"/>
            </w:tcMar>
            <w:vAlign w:val="bottom"/>
          </w:tcPr>
          <w:p w14:paraId="5556EA5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(432</w:t>
            </w:r>
          </w:p>
        </w:tc>
        <w:tc>
          <w:tcPr>
            <w:tcW w:w="0" w:type="auto"/>
            <w:shd w:val="clear" w:color="auto" w:fill="auto"/>
            <w:tcMar>
              <w:top w:w="40" w:type="dxa"/>
              <w:bottom w:w="40" w:type="dxa"/>
              <w:right w:w="40" w:type="dxa"/>
            </w:tcMar>
            <w:vAlign w:val="bottom"/>
          </w:tcPr>
          <w:p w14:paraId="5556EA5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A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A5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51.01</w:t>
            </w:r>
          </w:p>
        </w:tc>
        <w:tc>
          <w:tcPr>
            <w:tcW w:w="0" w:type="auto"/>
            <w:shd w:val="clear" w:color="auto" w:fill="auto"/>
            <w:vAlign w:val="bottom"/>
          </w:tcPr>
          <w:p w14:paraId="5556EA57" w14:textId="77777777" w:rsidR="00F925DD" w:rsidRDefault="00F925DD">
            <w:pPr>
              <w:textAlignment w:val="bottom"/>
              <w:rPr>
                <w:rFonts w:ascii="Times New Roman" w:hAnsi="Times New Roman"/>
                <w:sz w:val="20"/>
                <w:szCs w:val="20"/>
              </w:rPr>
            </w:pPr>
          </w:p>
        </w:tc>
      </w:tr>
      <w:tr w:rsidR="00F925DD" w14:paraId="5556EA5F" w14:textId="77777777">
        <w:tc>
          <w:tcPr>
            <w:tcW w:w="0" w:type="auto"/>
            <w:shd w:val="clear" w:color="auto" w:fill="CCEEFF"/>
            <w:tcMar>
              <w:top w:w="40" w:type="dxa"/>
              <w:left w:w="40" w:type="dxa"/>
              <w:bottom w:w="40" w:type="dxa"/>
              <w:right w:w="40" w:type="dxa"/>
            </w:tcMar>
            <w:vAlign w:val="bottom"/>
          </w:tcPr>
          <w:p w14:paraId="5556EA5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Outstanding as of December 31, 2019</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A5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2,139</w:t>
            </w:r>
          </w:p>
        </w:tc>
        <w:tc>
          <w:tcPr>
            <w:tcW w:w="0" w:type="auto"/>
            <w:tcBorders>
              <w:top w:val="single" w:sz="8" w:space="0" w:color="000000"/>
              <w:bottom w:val="double" w:sz="6" w:space="0" w:color="000000"/>
            </w:tcBorders>
            <w:shd w:val="clear" w:color="auto" w:fill="CCEEFF"/>
            <w:vAlign w:val="bottom"/>
          </w:tcPr>
          <w:p w14:paraId="5556EA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A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A5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71.82</w:t>
            </w:r>
          </w:p>
        </w:tc>
        <w:tc>
          <w:tcPr>
            <w:tcW w:w="0" w:type="auto"/>
            <w:shd w:val="clear" w:color="auto" w:fill="CCEEFF"/>
            <w:vAlign w:val="bottom"/>
          </w:tcPr>
          <w:p w14:paraId="5556EA5E" w14:textId="77777777" w:rsidR="00F925DD" w:rsidRDefault="00F925DD">
            <w:pPr>
              <w:textAlignment w:val="bottom"/>
              <w:rPr>
                <w:rFonts w:ascii="Times New Roman" w:hAnsi="Times New Roman"/>
                <w:sz w:val="20"/>
                <w:szCs w:val="20"/>
              </w:rPr>
            </w:pPr>
          </w:p>
        </w:tc>
      </w:tr>
    </w:tbl>
    <w:p w14:paraId="5556EA60" w14:textId="77777777" w:rsidR="00F925DD" w:rsidRDefault="00F925DD">
      <w:pPr>
        <w:spacing w:line="288" w:lineRule="auto"/>
        <w:rPr>
          <w:rFonts w:ascii="Times New Roman" w:hAnsi="Times New Roman"/>
          <w:sz w:val="20"/>
          <w:szCs w:val="20"/>
        </w:rPr>
      </w:pPr>
    </w:p>
    <w:p w14:paraId="5556EA6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total fair value of performance awards vested for the years ended December 31, 2019, 2018 and 2017, based on the weighted average grant date fair value in each respective year, </w:t>
      </w:r>
      <w:r>
        <w:rPr>
          <w:rFonts w:ascii="Arial" w:eastAsia="宋体" w:hAnsi="Arial" w:cs="Arial"/>
          <w:sz w:val="20"/>
          <w:szCs w:val="20"/>
        </w:rPr>
        <w:t>was $22 million, $32 million and $14 million, respectively. As of December 31, 2019, total unrecognized compensation cost related to performance awards, net of estimated forfeitures, was $39 million, which is expected to be recognized over a weighted-avera</w:t>
      </w:r>
      <w:r>
        <w:rPr>
          <w:rFonts w:ascii="Arial" w:eastAsia="宋体" w:hAnsi="Arial" w:cs="Arial"/>
          <w:sz w:val="20"/>
          <w:szCs w:val="20"/>
        </w:rPr>
        <w:t>ge period of 1.9 years.</w:t>
      </w:r>
    </w:p>
    <w:p w14:paraId="5556EA6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utilize either treasury shares or authorized but unissued shares to satisfy the issuance of common stock under our equity incentive plans. We do not have a specific policy concerning purchases of our common stock to satisfy stock</w:t>
      </w:r>
      <w:r>
        <w:rPr>
          <w:rFonts w:ascii="Arial" w:eastAsia="宋体" w:hAnsi="Arial" w:cs="Arial"/>
          <w:sz w:val="20"/>
          <w:szCs w:val="20"/>
        </w:rPr>
        <w:t xml:space="preserve"> issuances. We have a general policy concerning purchases of our common stock to meet issuances under our employee benefit plans, including other corporate purposes. Various factors determine the amount and timing of our purchases of our common stock, incl</w:t>
      </w:r>
      <w:r>
        <w:rPr>
          <w:rFonts w:ascii="Arial" w:eastAsia="宋体" w:hAnsi="Arial" w:cs="Arial"/>
          <w:sz w:val="20"/>
          <w:szCs w:val="20"/>
        </w:rPr>
        <w:t>uding regulatory reviews and approvals or non-objections, our regulatory capital requirements, the number of shares we expect to issue under employee benefit plans, market conditions (including the trading price of our common stock), and legal consideratio</w:t>
      </w:r>
      <w:r>
        <w:rPr>
          <w:rFonts w:ascii="Arial" w:eastAsia="宋体" w:hAnsi="Arial" w:cs="Arial"/>
          <w:sz w:val="20"/>
          <w:szCs w:val="20"/>
        </w:rPr>
        <w:t>ns. These factors can change at any time, and the number of shares of common stock we will purchase or when we will purchase them cannot be assured. Additional information on our common stock purchase program is provided in Note 15.</w:t>
      </w:r>
    </w:p>
    <w:p w14:paraId="5556EA63"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19.     Employee B</w:t>
      </w:r>
      <w:r>
        <w:rPr>
          <w:rFonts w:ascii="Arial" w:eastAsia="宋体" w:hAnsi="Arial" w:cs="Arial"/>
          <w:b/>
          <w:bCs/>
          <w:sz w:val="20"/>
          <w:szCs w:val="20"/>
        </w:rPr>
        <w:t>enefits</w:t>
      </w:r>
    </w:p>
    <w:p w14:paraId="5556EA64"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Defined Benefit Pension and Other Post-Retirement Benefit Plans</w:t>
      </w:r>
    </w:p>
    <w:p w14:paraId="5556EA6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State Street Bank and certain of its U.S. subsidiaries participate in a non-contributory, tax-qualified defined benefit pension plan. The U.S. defined benefit pension plan was frozen as of December 31, 2007 and no new employees were eligible to participate</w:t>
      </w:r>
      <w:r>
        <w:rPr>
          <w:rFonts w:ascii="Arial" w:eastAsia="宋体" w:hAnsi="Arial" w:cs="Arial"/>
          <w:sz w:val="20"/>
          <w:szCs w:val="20"/>
        </w:rPr>
        <w:t xml:space="preserve"> after that date. We have agreed to contribute sufficient amounts as necessary to meet the benefits paid to plan participants and to fund the plan’s service cost, plus interest. U.S. employee account balances earn annual interest credits until the employee</w:t>
      </w:r>
      <w:r>
        <w:rPr>
          <w:rFonts w:ascii="Arial" w:eastAsia="宋体" w:hAnsi="Arial" w:cs="Arial"/>
          <w:sz w:val="20"/>
          <w:szCs w:val="20"/>
        </w:rPr>
        <w:t xml:space="preserve"> begins receiving benefits. Non-U.S. employees participate in local defined benefit plans which are funded as required in </w:t>
      </w:r>
    </w:p>
    <w:p w14:paraId="5556EA66" w14:textId="77777777" w:rsidR="00F925DD" w:rsidRDefault="00F925DD">
      <w:pPr>
        <w:rPr>
          <w:rFonts w:ascii="Times New Roman" w:hAnsi="Times New Roman"/>
          <w:sz w:val="20"/>
          <w:szCs w:val="20"/>
        </w:rPr>
      </w:pPr>
    </w:p>
    <w:p w14:paraId="5556EA6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165</w:t>
      </w:r>
    </w:p>
    <w:p w14:paraId="5556EA68" w14:textId="77777777" w:rsidR="00F925DD" w:rsidRDefault="00F925DD">
      <w:pPr>
        <w:spacing w:line="288" w:lineRule="auto"/>
        <w:ind w:firstLine="600"/>
        <w:jc w:val="center"/>
        <w:rPr>
          <w:rFonts w:ascii="Times New Roman" w:hAnsi="Times New Roman"/>
          <w:sz w:val="18"/>
          <w:szCs w:val="18"/>
        </w:rPr>
      </w:pPr>
    </w:p>
    <w:p w14:paraId="5556EA69" w14:textId="77777777" w:rsidR="00F925DD" w:rsidRDefault="00E705D7">
      <w:r>
        <w:rPr>
          <w:rFonts w:ascii="Times New Roman" w:hAnsi="Times New Roman"/>
          <w:sz w:val="18"/>
          <w:szCs w:val="18"/>
        </w:rPr>
        <w:pict w14:anchorId="555706DF">
          <v:rect id="_x0000_i1189" style="width:415.3pt;height:1.5pt" o:hralign="center" o:hrstd="t" o:hr="t" fillcolor="#a0a0a0" stroked="f"/>
        </w:pict>
      </w:r>
    </w:p>
    <w:p w14:paraId="5556EA6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A6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A6C" w14:textId="77777777" w:rsidR="00F925DD" w:rsidRDefault="00F925DD">
      <w:pPr>
        <w:rPr>
          <w:rFonts w:ascii="Times New Roman" w:hAnsi="Times New Roman"/>
          <w:sz w:val="20"/>
          <w:szCs w:val="20"/>
        </w:rPr>
      </w:pPr>
    </w:p>
    <w:p w14:paraId="5556EA6D"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each local </w:t>
      </w:r>
      <w:r>
        <w:rPr>
          <w:rFonts w:ascii="Arial" w:eastAsia="宋体" w:hAnsi="Arial" w:cs="Arial"/>
          <w:sz w:val="20"/>
          <w:szCs w:val="20"/>
        </w:rPr>
        <w:t>jurisdiction. In addition to the defined benefit pension plans, we have non-qualified unfunded SERPs that provide certain officers with defined pension benefits in excess of allowable qualified plan limits. State Street Bank and certain of its U.S. subsidi</w:t>
      </w:r>
      <w:r>
        <w:rPr>
          <w:rFonts w:ascii="Arial" w:eastAsia="宋体" w:hAnsi="Arial" w:cs="Arial"/>
          <w:sz w:val="20"/>
          <w:szCs w:val="20"/>
        </w:rPr>
        <w:t>aries also participate in a post-retirement plan that provides health care benefits for certain retired employees. The total expense for these tax-qualified and non-qualified plans was $8 million, $11 million and $15 million in 2019, 2018 and 2017, respect</w:t>
      </w:r>
      <w:r>
        <w:rPr>
          <w:rFonts w:ascii="Arial" w:eastAsia="宋体" w:hAnsi="Arial" w:cs="Arial"/>
          <w:sz w:val="20"/>
          <w:szCs w:val="20"/>
        </w:rPr>
        <w:t>ively.</w:t>
      </w:r>
    </w:p>
    <w:p w14:paraId="5556EA6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recognize the funded status of our defined benefit pension plans and other post-retirement benefit plans, measured as the difference between the fair value of the plan assets and the projected benefit obligation, in the consolidated statement of </w:t>
      </w:r>
      <w:r>
        <w:rPr>
          <w:rFonts w:ascii="Arial" w:eastAsia="宋体" w:hAnsi="Arial" w:cs="Arial"/>
          <w:sz w:val="20"/>
          <w:szCs w:val="20"/>
        </w:rPr>
        <w:t>position. The assets held by the defined benefit pension plans are largely made up of common, collective funds that are liquid and invest principally in U.S. equities and high-quality fixed-income investments. The majority of these assets fall within Level</w:t>
      </w:r>
      <w:r>
        <w:rPr>
          <w:rFonts w:ascii="Arial" w:eastAsia="宋体" w:hAnsi="Arial" w:cs="Arial"/>
          <w:sz w:val="20"/>
          <w:szCs w:val="20"/>
        </w:rPr>
        <w:t xml:space="preserve"> 2 of the fair value hierarchy. The benefit obligations associated with our primary U.S. and non-U.S. defined benefit plans, non-qualified unfunded supplemental retirement plans and post-retirement plans were $1.37 billion, $88 million and $10 million, res</w:t>
      </w:r>
      <w:r>
        <w:rPr>
          <w:rFonts w:ascii="Arial" w:eastAsia="宋体" w:hAnsi="Arial" w:cs="Arial"/>
          <w:sz w:val="20"/>
          <w:szCs w:val="20"/>
        </w:rPr>
        <w:t>pectively, as of December 31, 2019 and $1.21 billion, $110 million and $12 million, respectively, as of December 31, 2018. As the primary defined benefit plans are frozen, the benefit obligation will only vary over time as a result of changes in market int</w:t>
      </w:r>
      <w:r>
        <w:rPr>
          <w:rFonts w:ascii="Arial" w:eastAsia="宋体" w:hAnsi="Arial" w:cs="Arial"/>
          <w:sz w:val="20"/>
          <w:szCs w:val="20"/>
        </w:rPr>
        <w:t>erest rates, the life expectancy of the plan participants and payments made from the plans. The primary U.S. and non-U.S. defined benefit pension plans were overfunded by $10 million and underfunded by $1 million as of December 31, 2019 and 2018, respectiv</w:t>
      </w:r>
      <w:r>
        <w:rPr>
          <w:rFonts w:ascii="Arial" w:eastAsia="宋体" w:hAnsi="Arial" w:cs="Arial"/>
          <w:sz w:val="20"/>
          <w:szCs w:val="20"/>
        </w:rPr>
        <w:t>ely. The non-qualified supplemental retirement plans were underfunded by $88 million and $110 million as of December 31, 2019 and 2018, respectively. The other post-retirement benefit plans were underfunded by $10 million and $12 million as of December 31,</w:t>
      </w:r>
      <w:r>
        <w:rPr>
          <w:rFonts w:ascii="Arial" w:eastAsia="宋体" w:hAnsi="Arial" w:cs="Arial"/>
          <w:sz w:val="20"/>
          <w:szCs w:val="20"/>
        </w:rPr>
        <w:t xml:space="preserve"> 2019 and 2018, respectively. The underfunded status is included in other liabilities.</w:t>
      </w:r>
    </w:p>
    <w:p w14:paraId="5556EA6F"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Defined Contribution Retirement Plans</w:t>
      </w:r>
    </w:p>
    <w:p w14:paraId="5556EA7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contribute to employer-sponsored U.S. and non-U.S. defined contribution plans. Our contribution to these plans was $167 million,</w:t>
      </w:r>
      <w:r>
        <w:rPr>
          <w:rFonts w:ascii="Arial" w:eastAsia="宋体" w:hAnsi="Arial" w:cs="Arial"/>
          <w:sz w:val="20"/>
          <w:szCs w:val="20"/>
        </w:rPr>
        <w:t xml:space="preserve"> $170 million and $146 million in 2019, 2018 and 2017, respectively.</w:t>
      </w:r>
    </w:p>
    <w:p w14:paraId="5556EA71"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20. Occupancy Expense and Information Systems and Communications Expense</w:t>
      </w:r>
    </w:p>
    <w:p w14:paraId="5556EA7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Upon adoption of Topic 842 on January 1, 2019, we recognized right-of-use assets of approximately $0.91 billi</w:t>
      </w:r>
      <w:r>
        <w:rPr>
          <w:rFonts w:ascii="Arial" w:eastAsia="宋体" w:hAnsi="Arial" w:cs="Arial"/>
          <w:sz w:val="20"/>
          <w:szCs w:val="20"/>
        </w:rPr>
        <w:t xml:space="preserve">on and lease liabilities of approximately $1.06 billion. </w:t>
      </w:r>
    </w:p>
    <w:p w14:paraId="5556EA7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Occupancy expense and information systems and communications expense include depreciation of buildings, leasehold improvements, computer hardware and software, equipment, furniture and </w:t>
      </w:r>
    </w:p>
    <w:p w14:paraId="5556EA74"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EA75"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fixtures, </w:t>
      </w:r>
      <w:r>
        <w:rPr>
          <w:rFonts w:ascii="Arial" w:eastAsia="宋体" w:hAnsi="Arial" w:cs="Arial"/>
          <w:sz w:val="20"/>
          <w:szCs w:val="20"/>
        </w:rPr>
        <w:t>and amortization of lease right-of-use assets. Total depreciation and amortization expense in 2019, 2018 and 2017 was $842 million, $599 million and $526 million, respectively.</w:t>
      </w:r>
    </w:p>
    <w:p w14:paraId="5556EA7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our incremental borrowing rate to determine the present value of the lea</w:t>
      </w:r>
      <w:r>
        <w:rPr>
          <w:rFonts w:ascii="Arial" w:eastAsia="宋体" w:hAnsi="Arial" w:cs="Arial"/>
          <w:sz w:val="20"/>
          <w:szCs w:val="20"/>
        </w:rPr>
        <w:t>se payments for finance and operating leases described below. Additionally, we do not separate nonlease components such as real estate taxes and common area maintenance from base lease payments.</w:t>
      </w:r>
    </w:p>
    <w:p w14:paraId="5556EA7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and 2018, an aggregate net book value</w:t>
      </w:r>
      <w:r>
        <w:rPr>
          <w:rFonts w:ascii="Arial" w:eastAsia="宋体" w:hAnsi="Arial" w:cs="Arial"/>
          <w:sz w:val="20"/>
          <w:szCs w:val="20"/>
        </w:rPr>
        <w:t xml:space="preserve"> of $78 million and $102 million, respectively, for the finance lease related to our One Lincoln Street Boston headquarters was recorded in premises and equipment, with the related liability of $136 million and $190 million, respectively, recorded in long-</w:t>
      </w:r>
      <w:r>
        <w:rPr>
          <w:rFonts w:ascii="Arial" w:eastAsia="宋体" w:hAnsi="Arial" w:cs="Arial"/>
          <w:sz w:val="20"/>
          <w:szCs w:val="20"/>
        </w:rPr>
        <w:t>term debt, in our consolidated statement of condition.</w:t>
      </w:r>
    </w:p>
    <w:p w14:paraId="5556EA7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Finance lease right-of-use asset amortization is recorded in occupancy expense on a straight-line basis in our consolidated statement of income over the respective lease term. As of December 31, 2019, </w:t>
      </w:r>
      <w:r>
        <w:rPr>
          <w:rFonts w:ascii="Arial" w:eastAsia="宋体" w:hAnsi="Arial" w:cs="Arial"/>
          <w:sz w:val="20"/>
          <w:szCs w:val="20"/>
        </w:rPr>
        <w:t>accumulated amortization of the finance lease right-of-use asset was $56 million. Lease payments are recorded as a reduction of the liability, with a portion recorded as imputed interest expense. In 2019 and 2018, interest expense related to the finance le</w:t>
      </w:r>
      <w:r>
        <w:rPr>
          <w:rFonts w:ascii="Arial" w:eastAsia="宋体" w:hAnsi="Arial" w:cs="Arial"/>
          <w:sz w:val="20"/>
          <w:szCs w:val="20"/>
        </w:rPr>
        <w:t xml:space="preserve">ase obligation reflected in NII was $11 million and $17 million, respectively. </w:t>
      </w:r>
    </w:p>
    <w:p w14:paraId="5556EA7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an aggregate net book value of $858 million for the operating lease right-of-use assets is recorded in other assets, with the related lease liability o</w:t>
      </w:r>
      <w:r>
        <w:rPr>
          <w:rFonts w:ascii="Arial" w:eastAsia="宋体" w:hAnsi="Arial" w:cs="Arial"/>
          <w:sz w:val="20"/>
          <w:szCs w:val="20"/>
        </w:rPr>
        <w:t>f $1,020 million recorded in accrued expenses and other liabilities in our consolidated statement of condition.</w:t>
      </w:r>
    </w:p>
    <w:p w14:paraId="5556EA7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have entered into non-cancellable operating leases for premises and equipment. Nearly all of these leases include renewal options, and only t</w:t>
      </w:r>
      <w:r>
        <w:rPr>
          <w:rFonts w:ascii="Arial" w:eastAsia="宋体" w:hAnsi="Arial" w:cs="Arial"/>
          <w:sz w:val="20"/>
          <w:szCs w:val="20"/>
        </w:rPr>
        <w:t>hose reasonably certain of being exercised are included in the term of the lease. Costs for operating leases are recorded on a straight-line basis which includes both interest expense and right-of-use asset amortization. Operating lease costs for office sp</w:t>
      </w:r>
      <w:r>
        <w:rPr>
          <w:rFonts w:ascii="Arial" w:eastAsia="宋体" w:hAnsi="Arial" w:cs="Arial"/>
          <w:sz w:val="20"/>
          <w:szCs w:val="20"/>
        </w:rPr>
        <w:t>ace are recorded in occupancy expense. Costs related to operating leases for equipment are recorded in information systems and communications expense.</w:t>
      </w:r>
    </w:p>
    <w:p w14:paraId="5556EA7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As of December 31, 2019, we have additional operating leases, primarily for office space, that have not y</w:t>
      </w:r>
      <w:r>
        <w:rPr>
          <w:rFonts w:ascii="Arial" w:eastAsia="宋体" w:hAnsi="Arial" w:cs="Arial"/>
          <w:sz w:val="20"/>
          <w:szCs w:val="20"/>
        </w:rPr>
        <w:t>et commenced of approximately $484 million of undiscounted future minimum lease payments. These leases will commence between fiscal year 2020 and fiscal year 2023 with lease terms of 10 to 15 years. The majority of these future payments relate to the new B</w:t>
      </w:r>
      <w:r>
        <w:rPr>
          <w:rFonts w:ascii="Arial" w:eastAsia="宋体" w:hAnsi="Arial" w:cs="Arial"/>
          <w:sz w:val="20"/>
          <w:szCs w:val="20"/>
        </w:rPr>
        <w:t>oston headquarters lease executed in the first quarter of 2019, replacing the One Lincoln Street Boston property.</w:t>
      </w:r>
    </w:p>
    <w:p w14:paraId="5556EA7C" w14:textId="77777777" w:rsidR="00F925DD" w:rsidRDefault="00F925DD">
      <w:pPr>
        <w:rPr>
          <w:rFonts w:ascii="Times New Roman" w:hAnsi="Times New Roman"/>
          <w:sz w:val="20"/>
          <w:szCs w:val="20"/>
        </w:rPr>
      </w:pPr>
    </w:p>
    <w:p w14:paraId="5556EA7D"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166</w:t>
      </w:r>
    </w:p>
    <w:p w14:paraId="5556EA7E" w14:textId="77777777" w:rsidR="00F925DD" w:rsidRDefault="00F925DD">
      <w:pPr>
        <w:spacing w:line="288" w:lineRule="auto"/>
        <w:ind w:firstLine="600"/>
        <w:jc w:val="center"/>
        <w:rPr>
          <w:rFonts w:ascii="Times New Roman" w:hAnsi="Times New Roman"/>
          <w:sz w:val="18"/>
          <w:szCs w:val="18"/>
        </w:rPr>
      </w:pPr>
    </w:p>
    <w:p w14:paraId="5556EA7F" w14:textId="77777777" w:rsidR="00F925DD" w:rsidRDefault="00E705D7">
      <w:r>
        <w:rPr>
          <w:rFonts w:ascii="Times New Roman" w:hAnsi="Times New Roman"/>
          <w:sz w:val="18"/>
          <w:szCs w:val="18"/>
        </w:rPr>
        <w:pict w14:anchorId="555706E0">
          <v:rect id="_x0000_i1190" style="width:415.3pt;height:1.5pt" o:hralign="center" o:hrstd="t" o:hr="t" fillcolor="#a0a0a0" stroked="f"/>
        </w:pict>
      </w:r>
    </w:p>
    <w:p w14:paraId="5556EA80"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A81"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A82" w14:textId="77777777" w:rsidR="00F925DD" w:rsidRDefault="00F925DD">
      <w:pPr>
        <w:rPr>
          <w:rFonts w:ascii="Times New Roman" w:hAnsi="Times New Roman"/>
          <w:sz w:val="20"/>
          <w:szCs w:val="20"/>
        </w:rPr>
      </w:pPr>
    </w:p>
    <w:p w14:paraId="5556EA8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None of our leases contain </w:t>
      </w:r>
      <w:r>
        <w:rPr>
          <w:rFonts w:ascii="Arial" w:eastAsia="宋体" w:hAnsi="Arial" w:cs="Arial"/>
          <w:sz w:val="20"/>
          <w:szCs w:val="20"/>
        </w:rPr>
        <w:t>residual value guarantees.</w:t>
      </w:r>
    </w:p>
    <w:p w14:paraId="5556EA8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lease costs, sublease rental income, cash flows and new leases arising from lease transactions for 2019:</w:t>
      </w:r>
    </w:p>
    <w:tbl>
      <w:tblPr>
        <w:tblW w:w="5000" w:type="pct"/>
        <w:tblCellMar>
          <w:left w:w="0" w:type="dxa"/>
          <w:right w:w="0" w:type="dxa"/>
        </w:tblCellMar>
        <w:tblLook w:val="04A0" w:firstRow="1" w:lastRow="0" w:firstColumn="1" w:lastColumn="0" w:noHBand="0" w:noVBand="1"/>
      </w:tblPr>
      <w:tblGrid>
        <w:gridCol w:w="4714"/>
        <w:gridCol w:w="119"/>
        <w:gridCol w:w="3386"/>
        <w:gridCol w:w="87"/>
      </w:tblGrid>
      <w:tr w:rsidR="00F925DD" w14:paraId="5556EA86" w14:textId="77777777">
        <w:tc>
          <w:tcPr>
            <w:tcW w:w="0" w:type="auto"/>
            <w:gridSpan w:val="4"/>
            <w:shd w:val="clear" w:color="auto" w:fill="auto"/>
            <w:vAlign w:val="center"/>
          </w:tcPr>
          <w:p w14:paraId="5556EA85" w14:textId="77777777" w:rsidR="00F925DD" w:rsidRDefault="00F925DD">
            <w:pPr>
              <w:rPr>
                <w:rFonts w:ascii="Times New Roman" w:hAnsi="Times New Roman"/>
                <w:sz w:val="20"/>
                <w:szCs w:val="20"/>
              </w:rPr>
            </w:pPr>
          </w:p>
        </w:tc>
      </w:tr>
      <w:tr w:rsidR="00F925DD" w14:paraId="5556EA8B" w14:textId="77777777">
        <w:tc>
          <w:tcPr>
            <w:tcW w:w="2849" w:type="pct"/>
            <w:shd w:val="clear" w:color="auto" w:fill="auto"/>
            <w:vAlign w:val="center"/>
          </w:tcPr>
          <w:p w14:paraId="5556EA87" w14:textId="77777777" w:rsidR="00F925DD" w:rsidRDefault="00F925DD">
            <w:pPr>
              <w:rPr>
                <w:rFonts w:ascii="Times New Roman" w:hAnsi="Times New Roman"/>
                <w:sz w:val="20"/>
                <w:szCs w:val="20"/>
              </w:rPr>
            </w:pPr>
          </w:p>
        </w:tc>
        <w:tc>
          <w:tcPr>
            <w:tcW w:w="50" w:type="pct"/>
            <w:shd w:val="clear" w:color="auto" w:fill="auto"/>
            <w:vAlign w:val="center"/>
          </w:tcPr>
          <w:p w14:paraId="5556EA88" w14:textId="77777777" w:rsidR="00F925DD" w:rsidRDefault="00F925DD">
            <w:pPr>
              <w:rPr>
                <w:rFonts w:ascii="Times New Roman" w:hAnsi="Times New Roman"/>
                <w:sz w:val="20"/>
                <w:szCs w:val="20"/>
              </w:rPr>
            </w:pPr>
          </w:p>
        </w:tc>
        <w:tc>
          <w:tcPr>
            <w:tcW w:w="2050" w:type="pct"/>
            <w:shd w:val="clear" w:color="auto" w:fill="auto"/>
            <w:vAlign w:val="center"/>
          </w:tcPr>
          <w:p w14:paraId="5556EA89" w14:textId="77777777" w:rsidR="00F925DD" w:rsidRDefault="00F925DD">
            <w:pPr>
              <w:rPr>
                <w:rFonts w:ascii="Times New Roman" w:hAnsi="Times New Roman"/>
                <w:sz w:val="20"/>
                <w:szCs w:val="20"/>
              </w:rPr>
            </w:pPr>
          </w:p>
        </w:tc>
        <w:tc>
          <w:tcPr>
            <w:tcW w:w="50" w:type="pct"/>
            <w:shd w:val="clear" w:color="auto" w:fill="auto"/>
            <w:vAlign w:val="center"/>
          </w:tcPr>
          <w:p w14:paraId="5556EA8A" w14:textId="77777777" w:rsidR="00F925DD" w:rsidRDefault="00F925DD">
            <w:pPr>
              <w:rPr>
                <w:rFonts w:ascii="Times New Roman" w:hAnsi="Times New Roman"/>
                <w:sz w:val="20"/>
                <w:szCs w:val="20"/>
              </w:rPr>
            </w:pPr>
          </w:p>
        </w:tc>
      </w:tr>
      <w:tr w:rsidR="00F925DD" w14:paraId="5556EA8E" w14:textId="77777777">
        <w:tc>
          <w:tcPr>
            <w:tcW w:w="0" w:type="auto"/>
            <w:shd w:val="clear" w:color="auto" w:fill="auto"/>
            <w:tcMar>
              <w:top w:w="40" w:type="dxa"/>
              <w:left w:w="40" w:type="dxa"/>
              <w:bottom w:w="40" w:type="dxa"/>
              <w:right w:w="40" w:type="dxa"/>
            </w:tcMar>
            <w:vAlign w:val="bottom"/>
          </w:tcPr>
          <w:p w14:paraId="5556EA8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A8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 End December 31, 2019</w:t>
            </w:r>
          </w:p>
        </w:tc>
      </w:tr>
      <w:tr w:rsidR="00F925DD" w14:paraId="5556EA91" w14:textId="77777777">
        <w:tc>
          <w:tcPr>
            <w:tcW w:w="0" w:type="auto"/>
            <w:shd w:val="clear" w:color="auto" w:fill="auto"/>
            <w:tcMar>
              <w:top w:w="40" w:type="dxa"/>
              <w:left w:w="40" w:type="dxa"/>
              <w:bottom w:w="40" w:type="dxa"/>
              <w:right w:w="40" w:type="dxa"/>
            </w:tcMar>
            <w:vAlign w:val="bottom"/>
          </w:tcPr>
          <w:p w14:paraId="5556EA8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Finance lease:</w:t>
            </w:r>
          </w:p>
        </w:tc>
        <w:tc>
          <w:tcPr>
            <w:tcW w:w="0" w:type="auto"/>
            <w:gridSpan w:val="3"/>
            <w:shd w:val="clear" w:color="auto" w:fill="auto"/>
            <w:tcMar>
              <w:top w:w="40" w:type="dxa"/>
              <w:left w:w="40" w:type="dxa"/>
              <w:bottom w:w="40" w:type="dxa"/>
              <w:right w:w="40" w:type="dxa"/>
            </w:tcMar>
            <w:vAlign w:val="bottom"/>
          </w:tcPr>
          <w:p w14:paraId="5556EA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A96" w14:textId="77777777">
        <w:tc>
          <w:tcPr>
            <w:tcW w:w="0" w:type="auto"/>
            <w:shd w:val="clear" w:color="auto" w:fill="CCEEFF"/>
            <w:tcMar>
              <w:top w:w="40" w:type="dxa"/>
              <w:left w:w="240" w:type="dxa"/>
              <w:bottom w:w="40" w:type="dxa"/>
              <w:right w:w="40" w:type="dxa"/>
            </w:tcMar>
            <w:vAlign w:val="bottom"/>
          </w:tcPr>
          <w:p w14:paraId="5556EA92"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Amortization of </w:t>
            </w:r>
            <w:r>
              <w:rPr>
                <w:rFonts w:ascii="Arial" w:eastAsia="宋体" w:hAnsi="Arial" w:cs="Arial"/>
                <w:sz w:val="14"/>
                <w:szCs w:val="14"/>
              </w:rPr>
              <w:t>right-of-use assets</w:t>
            </w:r>
          </w:p>
        </w:tc>
        <w:tc>
          <w:tcPr>
            <w:tcW w:w="0" w:type="auto"/>
            <w:shd w:val="clear" w:color="auto" w:fill="CCEEFF"/>
            <w:tcMar>
              <w:top w:w="40" w:type="dxa"/>
              <w:left w:w="40" w:type="dxa"/>
              <w:bottom w:w="40" w:type="dxa"/>
            </w:tcMar>
            <w:vAlign w:val="bottom"/>
          </w:tcPr>
          <w:p w14:paraId="5556EA9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EA9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w:t>
            </w:r>
          </w:p>
        </w:tc>
        <w:tc>
          <w:tcPr>
            <w:tcW w:w="0" w:type="auto"/>
            <w:shd w:val="clear" w:color="auto" w:fill="CCEEFF"/>
            <w:vAlign w:val="bottom"/>
          </w:tcPr>
          <w:p w14:paraId="5556EA95" w14:textId="77777777" w:rsidR="00F925DD" w:rsidRDefault="00F925DD">
            <w:pPr>
              <w:textAlignment w:val="bottom"/>
              <w:rPr>
                <w:rFonts w:ascii="Times New Roman" w:hAnsi="Times New Roman"/>
                <w:sz w:val="20"/>
                <w:szCs w:val="20"/>
              </w:rPr>
            </w:pPr>
          </w:p>
        </w:tc>
      </w:tr>
      <w:tr w:rsidR="00F925DD" w14:paraId="5556EA9A" w14:textId="77777777">
        <w:tc>
          <w:tcPr>
            <w:tcW w:w="0" w:type="auto"/>
            <w:shd w:val="clear" w:color="auto" w:fill="auto"/>
            <w:tcMar>
              <w:top w:w="40" w:type="dxa"/>
              <w:left w:w="240" w:type="dxa"/>
              <w:bottom w:w="40" w:type="dxa"/>
              <w:right w:w="40" w:type="dxa"/>
            </w:tcMar>
            <w:vAlign w:val="bottom"/>
          </w:tcPr>
          <w:p w14:paraId="5556EA97"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 on lease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EA9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tcBorders>
              <w:bottom w:val="single" w:sz="8" w:space="0" w:color="000000"/>
            </w:tcBorders>
            <w:shd w:val="clear" w:color="auto" w:fill="auto"/>
            <w:vAlign w:val="bottom"/>
          </w:tcPr>
          <w:p w14:paraId="5556EA99" w14:textId="77777777" w:rsidR="00F925DD" w:rsidRDefault="00F925DD">
            <w:pPr>
              <w:textAlignment w:val="bottom"/>
              <w:rPr>
                <w:rFonts w:ascii="Times New Roman" w:hAnsi="Times New Roman"/>
                <w:sz w:val="20"/>
                <w:szCs w:val="20"/>
              </w:rPr>
            </w:pPr>
          </w:p>
        </w:tc>
      </w:tr>
      <w:tr w:rsidR="00F925DD" w14:paraId="5556EA9E" w14:textId="77777777">
        <w:tc>
          <w:tcPr>
            <w:tcW w:w="0" w:type="auto"/>
            <w:shd w:val="clear" w:color="auto" w:fill="CCEEFF"/>
            <w:tcMar>
              <w:top w:w="40" w:type="dxa"/>
              <w:left w:w="40" w:type="dxa"/>
              <w:bottom w:w="40" w:type="dxa"/>
              <w:right w:w="40" w:type="dxa"/>
            </w:tcMar>
            <w:vAlign w:val="bottom"/>
          </w:tcPr>
          <w:p w14:paraId="5556EA9B"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finance lease expense</w:t>
            </w:r>
          </w:p>
        </w:tc>
        <w:tc>
          <w:tcPr>
            <w:tcW w:w="0" w:type="auto"/>
            <w:gridSpan w:val="2"/>
            <w:shd w:val="clear" w:color="auto" w:fill="CCEEFF"/>
            <w:tcMar>
              <w:top w:w="40" w:type="dxa"/>
              <w:left w:w="40" w:type="dxa"/>
              <w:bottom w:w="40" w:type="dxa"/>
            </w:tcMar>
            <w:vAlign w:val="bottom"/>
          </w:tcPr>
          <w:p w14:paraId="5556EA9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w:t>
            </w:r>
          </w:p>
        </w:tc>
        <w:tc>
          <w:tcPr>
            <w:tcW w:w="0" w:type="auto"/>
            <w:shd w:val="clear" w:color="auto" w:fill="CCEEFF"/>
            <w:vAlign w:val="bottom"/>
          </w:tcPr>
          <w:p w14:paraId="5556EA9D" w14:textId="77777777" w:rsidR="00F925DD" w:rsidRDefault="00F925DD">
            <w:pPr>
              <w:textAlignment w:val="bottom"/>
              <w:rPr>
                <w:rFonts w:ascii="Times New Roman" w:hAnsi="Times New Roman"/>
                <w:sz w:val="20"/>
                <w:szCs w:val="20"/>
              </w:rPr>
            </w:pPr>
          </w:p>
        </w:tc>
      </w:tr>
      <w:tr w:rsidR="00F925DD" w14:paraId="5556EAA2" w14:textId="77777777">
        <w:tc>
          <w:tcPr>
            <w:tcW w:w="0" w:type="auto"/>
            <w:shd w:val="clear" w:color="auto" w:fill="auto"/>
            <w:tcMar>
              <w:top w:w="40" w:type="dxa"/>
              <w:left w:w="240" w:type="dxa"/>
              <w:bottom w:w="40" w:type="dxa"/>
              <w:right w:w="40" w:type="dxa"/>
            </w:tcMar>
            <w:vAlign w:val="bottom"/>
          </w:tcPr>
          <w:p w14:paraId="5556EA9F"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Sublease income </w:t>
            </w:r>
          </w:p>
        </w:tc>
        <w:tc>
          <w:tcPr>
            <w:tcW w:w="0" w:type="auto"/>
            <w:gridSpan w:val="2"/>
            <w:tcBorders>
              <w:bottom w:val="single" w:sz="8" w:space="0" w:color="000000"/>
            </w:tcBorders>
            <w:shd w:val="clear" w:color="auto" w:fill="auto"/>
            <w:tcMar>
              <w:top w:w="40" w:type="dxa"/>
              <w:left w:w="40" w:type="dxa"/>
              <w:bottom w:w="40" w:type="dxa"/>
            </w:tcMar>
            <w:vAlign w:val="bottom"/>
          </w:tcPr>
          <w:p w14:paraId="5556EAA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tcBorders>
              <w:bottom w:val="single" w:sz="8" w:space="0" w:color="000000"/>
            </w:tcBorders>
            <w:shd w:val="clear" w:color="auto" w:fill="auto"/>
            <w:tcMar>
              <w:top w:w="40" w:type="dxa"/>
              <w:bottom w:w="40" w:type="dxa"/>
              <w:right w:w="40" w:type="dxa"/>
            </w:tcMar>
            <w:vAlign w:val="bottom"/>
          </w:tcPr>
          <w:p w14:paraId="5556EAA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EAA6" w14:textId="77777777">
        <w:tc>
          <w:tcPr>
            <w:tcW w:w="0" w:type="auto"/>
            <w:shd w:val="clear" w:color="auto" w:fill="CCEEFF"/>
            <w:tcMar>
              <w:top w:w="40" w:type="dxa"/>
              <w:left w:w="40" w:type="dxa"/>
              <w:bottom w:w="40" w:type="dxa"/>
              <w:right w:w="40" w:type="dxa"/>
            </w:tcMar>
            <w:vAlign w:val="bottom"/>
          </w:tcPr>
          <w:p w14:paraId="5556EAA3" w14:textId="77777777" w:rsidR="00F925DD" w:rsidRDefault="00E705D7">
            <w:pPr>
              <w:textAlignment w:val="bottom"/>
              <w:rPr>
                <w:rFonts w:ascii="Times New Roman" w:hAnsi="Times New Roman"/>
                <w:sz w:val="14"/>
                <w:szCs w:val="14"/>
              </w:rPr>
            </w:pPr>
            <w:r>
              <w:rPr>
                <w:rFonts w:ascii="Arial" w:eastAsia="宋体" w:hAnsi="Arial" w:cs="Arial"/>
                <w:sz w:val="14"/>
                <w:szCs w:val="14"/>
              </w:rPr>
              <w:t>Net finance lease expense</w:t>
            </w:r>
          </w:p>
        </w:tc>
        <w:tc>
          <w:tcPr>
            <w:tcW w:w="0" w:type="auto"/>
            <w:gridSpan w:val="2"/>
            <w:shd w:val="clear" w:color="auto" w:fill="CCEEFF"/>
            <w:tcMar>
              <w:top w:w="40" w:type="dxa"/>
              <w:left w:w="40" w:type="dxa"/>
              <w:bottom w:w="40" w:type="dxa"/>
            </w:tcMar>
            <w:vAlign w:val="bottom"/>
          </w:tcPr>
          <w:p w14:paraId="5556EAA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w:t>
            </w:r>
          </w:p>
        </w:tc>
        <w:tc>
          <w:tcPr>
            <w:tcW w:w="0" w:type="auto"/>
            <w:shd w:val="clear" w:color="auto" w:fill="CCEEFF"/>
            <w:vAlign w:val="bottom"/>
          </w:tcPr>
          <w:p w14:paraId="5556EAA5" w14:textId="77777777" w:rsidR="00F925DD" w:rsidRDefault="00F925DD">
            <w:pPr>
              <w:textAlignment w:val="bottom"/>
              <w:rPr>
                <w:rFonts w:ascii="Times New Roman" w:hAnsi="Times New Roman"/>
                <w:sz w:val="20"/>
                <w:szCs w:val="20"/>
              </w:rPr>
            </w:pPr>
          </w:p>
        </w:tc>
      </w:tr>
      <w:tr w:rsidR="00F925DD" w14:paraId="5556EAA9" w14:textId="77777777">
        <w:tc>
          <w:tcPr>
            <w:tcW w:w="0" w:type="auto"/>
            <w:shd w:val="clear" w:color="auto" w:fill="auto"/>
            <w:tcMar>
              <w:top w:w="40" w:type="dxa"/>
              <w:left w:w="40" w:type="dxa"/>
              <w:bottom w:w="40" w:type="dxa"/>
              <w:right w:w="40" w:type="dxa"/>
            </w:tcMar>
            <w:vAlign w:val="bottom"/>
          </w:tcPr>
          <w:p w14:paraId="5556EAA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Operating lease:</w:t>
            </w:r>
          </w:p>
        </w:tc>
        <w:tc>
          <w:tcPr>
            <w:tcW w:w="0" w:type="auto"/>
            <w:gridSpan w:val="3"/>
            <w:shd w:val="clear" w:color="auto" w:fill="auto"/>
            <w:tcMar>
              <w:top w:w="40" w:type="dxa"/>
              <w:left w:w="40" w:type="dxa"/>
              <w:bottom w:w="40" w:type="dxa"/>
              <w:right w:w="40" w:type="dxa"/>
            </w:tcMar>
            <w:vAlign w:val="bottom"/>
          </w:tcPr>
          <w:p w14:paraId="5556EA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AAD" w14:textId="77777777">
        <w:tc>
          <w:tcPr>
            <w:tcW w:w="0" w:type="auto"/>
            <w:shd w:val="clear" w:color="auto" w:fill="CCEEFF"/>
            <w:tcMar>
              <w:top w:w="40" w:type="dxa"/>
              <w:left w:w="240" w:type="dxa"/>
              <w:bottom w:w="40" w:type="dxa"/>
              <w:right w:w="40" w:type="dxa"/>
            </w:tcMar>
            <w:vAlign w:val="bottom"/>
          </w:tcPr>
          <w:p w14:paraId="5556EAAA" w14:textId="77777777" w:rsidR="00F925DD" w:rsidRDefault="00E705D7">
            <w:pPr>
              <w:textAlignment w:val="bottom"/>
              <w:rPr>
                <w:rFonts w:ascii="Times New Roman" w:hAnsi="Times New Roman"/>
                <w:sz w:val="14"/>
                <w:szCs w:val="14"/>
              </w:rPr>
            </w:pPr>
            <w:r>
              <w:rPr>
                <w:rFonts w:ascii="Arial" w:eastAsia="宋体" w:hAnsi="Arial" w:cs="Arial"/>
                <w:sz w:val="14"/>
                <w:szCs w:val="14"/>
              </w:rPr>
              <w:t>Operating lease expense</w:t>
            </w:r>
          </w:p>
        </w:tc>
        <w:tc>
          <w:tcPr>
            <w:tcW w:w="0" w:type="auto"/>
            <w:gridSpan w:val="2"/>
            <w:shd w:val="clear" w:color="auto" w:fill="CCEEFF"/>
            <w:tcMar>
              <w:top w:w="40" w:type="dxa"/>
              <w:left w:w="40" w:type="dxa"/>
              <w:bottom w:w="40" w:type="dxa"/>
            </w:tcMar>
            <w:vAlign w:val="bottom"/>
          </w:tcPr>
          <w:p w14:paraId="5556EAA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179</w:t>
            </w:r>
          </w:p>
        </w:tc>
        <w:tc>
          <w:tcPr>
            <w:tcW w:w="0" w:type="auto"/>
            <w:shd w:val="clear" w:color="auto" w:fill="CCEEFF"/>
            <w:vAlign w:val="bottom"/>
          </w:tcPr>
          <w:p w14:paraId="5556EAAC" w14:textId="77777777" w:rsidR="00F925DD" w:rsidRDefault="00F925DD">
            <w:pPr>
              <w:textAlignment w:val="bottom"/>
              <w:rPr>
                <w:rFonts w:ascii="Times New Roman" w:hAnsi="Times New Roman"/>
                <w:sz w:val="20"/>
                <w:szCs w:val="20"/>
              </w:rPr>
            </w:pPr>
          </w:p>
        </w:tc>
      </w:tr>
      <w:tr w:rsidR="00F925DD" w14:paraId="5556EAB1" w14:textId="77777777">
        <w:tc>
          <w:tcPr>
            <w:tcW w:w="0" w:type="auto"/>
            <w:shd w:val="clear" w:color="auto" w:fill="auto"/>
            <w:tcMar>
              <w:top w:w="40" w:type="dxa"/>
              <w:left w:w="240" w:type="dxa"/>
              <w:bottom w:w="40" w:type="dxa"/>
              <w:right w:w="40" w:type="dxa"/>
            </w:tcMar>
            <w:vAlign w:val="bottom"/>
          </w:tcPr>
          <w:p w14:paraId="5556EAAE"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Sublease income </w:t>
            </w:r>
          </w:p>
        </w:tc>
        <w:tc>
          <w:tcPr>
            <w:tcW w:w="0" w:type="auto"/>
            <w:gridSpan w:val="2"/>
            <w:tcBorders>
              <w:bottom w:val="single" w:sz="8" w:space="0" w:color="000000"/>
            </w:tcBorders>
            <w:shd w:val="clear" w:color="auto" w:fill="auto"/>
            <w:tcMar>
              <w:top w:w="40" w:type="dxa"/>
              <w:left w:w="40" w:type="dxa"/>
              <w:bottom w:w="40" w:type="dxa"/>
            </w:tcMar>
            <w:vAlign w:val="bottom"/>
          </w:tcPr>
          <w:p w14:paraId="5556EAA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w:t>
            </w:r>
          </w:p>
        </w:tc>
        <w:tc>
          <w:tcPr>
            <w:tcW w:w="0" w:type="auto"/>
            <w:tcBorders>
              <w:bottom w:val="single" w:sz="8" w:space="0" w:color="000000"/>
            </w:tcBorders>
            <w:shd w:val="clear" w:color="auto" w:fill="auto"/>
            <w:tcMar>
              <w:top w:w="40" w:type="dxa"/>
              <w:bottom w:w="40" w:type="dxa"/>
              <w:right w:w="40" w:type="dxa"/>
            </w:tcMar>
            <w:vAlign w:val="bottom"/>
          </w:tcPr>
          <w:p w14:paraId="5556EAB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EAB5" w14:textId="77777777">
        <w:tc>
          <w:tcPr>
            <w:tcW w:w="0" w:type="auto"/>
            <w:shd w:val="clear" w:color="auto" w:fill="CCEEFF"/>
            <w:tcMar>
              <w:top w:w="40" w:type="dxa"/>
              <w:left w:w="40" w:type="dxa"/>
              <w:bottom w:w="40" w:type="dxa"/>
              <w:right w:w="40" w:type="dxa"/>
            </w:tcMar>
            <w:vAlign w:val="bottom"/>
          </w:tcPr>
          <w:p w14:paraId="5556EAB2" w14:textId="77777777" w:rsidR="00F925DD" w:rsidRDefault="00E705D7">
            <w:pPr>
              <w:textAlignment w:val="bottom"/>
              <w:rPr>
                <w:rFonts w:ascii="Times New Roman" w:hAnsi="Times New Roman"/>
                <w:sz w:val="14"/>
                <w:szCs w:val="14"/>
              </w:rPr>
            </w:pPr>
            <w:r>
              <w:rPr>
                <w:rFonts w:ascii="Arial" w:eastAsia="宋体" w:hAnsi="Arial" w:cs="Arial"/>
                <w:sz w:val="14"/>
                <w:szCs w:val="14"/>
              </w:rPr>
              <w:t>Net operating lease expense</w:t>
            </w:r>
          </w:p>
        </w:tc>
        <w:tc>
          <w:tcPr>
            <w:tcW w:w="0" w:type="auto"/>
            <w:gridSpan w:val="2"/>
            <w:shd w:val="clear" w:color="auto" w:fill="CCEEFF"/>
            <w:tcMar>
              <w:top w:w="40" w:type="dxa"/>
              <w:left w:w="40" w:type="dxa"/>
              <w:bottom w:w="40" w:type="dxa"/>
            </w:tcMar>
            <w:vAlign w:val="bottom"/>
          </w:tcPr>
          <w:p w14:paraId="5556EAB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173</w:t>
            </w:r>
          </w:p>
        </w:tc>
        <w:tc>
          <w:tcPr>
            <w:tcW w:w="0" w:type="auto"/>
            <w:shd w:val="clear" w:color="auto" w:fill="CCEEFF"/>
            <w:vAlign w:val="bottom"/>
          </w:tcPr>
          <w:p w14:paraId="5556EAB4" w14:textId="77777777" w:rsidR="00F925DD" w:rsidRDefault="00F925DD">
            <w:pPr>
              <w:textAlignment w:val="bottom"/>
              <w:rPr>
                <w:rFonts w:ascii="Times New Roman" w:hAnsi="Times New Roman"/>
                <w:sz w:val="20"/>
                <w:szCs w:val="20"/>
              </w:rPr>
            </w:pPr>
          </w:p>
        </w:tc>
      </w:tr>
      <w:tr w:rsidR="00F925DD" w14:paraId="5556EABA" w14:textId="77777777">
        <w:tc>
          <w:tcPr>
            <w:tcW w:w="0" w:type="auto"/>
            <w:shd w:val="clear" w:color="auto" w:fill="auto"/>
            <w:tcMar>
              <w:top w:w="40" w:type="dxa"/>
              <w:left w:w="40" w:type="dxa"/>
              <w:bottom w:w="40" w:type="dxa"/>
              <w:right w:w="40" w:type="dxa"/>
            </w:tcMar>
            <w:vAlign w:val="bottom"/>
          </w:tcPr>
          <w:p w14:paraId="5556EAB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Net lease expense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AB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AB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196</w:t>
            </w:r>
          </w:p>
        </w:tc>
        <w:tc>
          <w:tcPr>
            <w:tcW w:w="0" w:type="auto"/>
            <w:tcBorders>
              <w:top w:val="single" w:sz="8" w:space="0" w:color="000000"/>
              <w:bottom w:val="double" w:sz="6" w:space="0" w:color="000000"/>
            </w:tcBorders>
            <w:shd w:val="clear" w:color="auto" w:fill="auto"/>
            <w:vAlign w:val="bottom"/>
          </w:tcPr>
          <w:p w14:paraId="5556EAB9" w14:textId="77777777" w:rsidR="00F925DD" w:rsidRDefault="00F925DD">
            <w:pPr>
              <w:textAlignment w:val="bottom"/>
              <w:rPr>
                <w:rFonts w:ascii="Times New Roman" w:hAnsi="Times New Roman"/>
                <w:sz w:val="20"/>
                <w:szCs w:val="20"/>
              </w:rPr>
            </w:pPr>
          </w:p>
        </w:tc>
      </w:tr>
      <w:tr w:rsidR="00F925DD" w14:paraId="5556EABD" w14:textId="77777777">
        <w:tc>
          <w:tcPr>
            <w:tcW w:w="0" w:type="auto"/>
            <w:shd w:val="clear" w:color="auto" w:fill="auto"/>
            <w:tcMar>
              <w:top w:w="40" w:type="dxa"/>
              <w:left w:w="40" w:type="dxa"/>
              <w:bottom w:w="40" w:type="dxa"/>
              <w:right w:w="40" w:type="dxa"/>
            </w:tcMar>
            <w:vAlign w:val="bottom"/>
          </w:tcPr>
          <w:p w14:paraId="5556EA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A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AC0" w14:textId="77777777">
        <w:tc>
          <w:tcPr>
            <w:tcW w:w="0" w:type="auto"/>
            <w:shd w:val="clear" w:color="auto" w:fill="auto"/>
            <w:tcMar>
              <w:top w:w="40" w:type="dxa"/>
              <w:left w:w="40" w:type="dxa"/>
              <w:bottom w:w="40" w:type="dxa"/>
              <w:right w:w="40" w:type="dxa"/>
            </w:tcMar>
          </w:tcPr>
          <w:p w14:paraId="5556EABE" w14:textId="77777777" w:rsidR="00F925DD" w:rsidRDefault="00E705D7">
            <w:pPr>
              <w:textAlignment w:val="top"/>
              <w:rPr>
                <w:rFonts w:ascii="Times New Roman" w:hAnsi="Times New Roman"/>
                <w:sz w:val="14"/>
                <w:szCs w:val="14"/>
              </w:rPr>
            </w:pPr>
            <w:r>
              <w:rPr>
                <w:rFonts w:ascii="Arial" w:eastAsia="宋体" w:hAnsi="Arial" w:cs="Arial"/>
                <w:b/>
                <w:bCs/>
                <w:sz w:val="14"/>
                <w:szCs w:val="14"/>
              </w:rPr>
              <w:t>Cash paid for amounts included in the measurement of lease liabilities:</w:t>
            </w:r>
          </w:p>
        </w:tc>
        <w:tc>
          <w:tcPr>
            <w:tcW w:w="0" w:type="auto"/>
            <w:gridSpan w:val="3"/>
            <w:shd w:val="clear" w:color="auto" w:fill="auto"/>
            <w:tcMar>
              <w:top w:w="40" w:type="dxa"/>
              <w:left w:w="40" w:type="dxa"/>
              <w:bottom w:w="40" w:type="dxa"/>
              <w:right w:w="40" w:type="dxa"/>
            </w:tcMar>
            <w:vAlign w:val="bottom"/>
          </w:tcPr>
          <w:p w14:paraId="5556EA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AC5" w14:textId="77777777">
        <w:tc>
          <w:tcPr>
            <w:tcW w:w="0" w:type="auto"/>
            <w:shd w:val="clear" w:color="auto" w:fill="CCEEFF"/>
            <w:tcMar>
              <w:top w:w="40" w:type="dxa"/>
              <w:left w:w="240" w:type="dxa"/>
              <w:bottom w:w="40" w:type="dxa"/>
              <w:right w:w="40" w:type="dxa"/>
            </w:tcMar>
            <w:vAlign w:val="bottom"/>
          </w:tcPr>
          <w:p w14:paraId="5556EAC1" w14:textId="77777777" w:rsidR="00F925DD" w:rsidRDefault="00E705D7">
            <w:pPr>
              <w:textAlignment w:val="bottom"/>
              <w:rPr>
                <w:rFonts w:ascii="Times New Roman" w:hAnsi="Times New Roman"/>
                <w:sz w:val="14"/>
                <w:szCs w:val="14"/>
              </w:rPr>
            </w:pPr>
            <w:r>
              <w:rPr>
                <w:rFonts w:ascii="Arial" w:eastAsia="宋体" w:hAnsi="Arial" w:cs="Arial"/>
                <w:sz w:val="14"/>
                <w:szCs w:val="14"/>
              </w:rPr>
              <w:t>Operating cash flows from finance leases</w:t>
            </w:r>
          </w:p>
        </w:tc>
        <w:tc>
          <w:tcPr>
            <w:tcW w:w="0" w:type="auto"/>
            <w:shd w:val="clear" w:color="auto" w:fill="CCEEFF"/>
            <w:tcMar>
              <w:top w:w="40" w:type="dxa"/>
              <w:left w:w="40" w:type="dxa"/>
              <w:bottom w:w="40" w:type="dxa"/>
            </w:tcMar>
            <w:vAlign w:val="bottom"/>
          </w:tcPr>
          <w:p w14:paraId="5556EAC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EAC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shd w:val="clear" w:color="auto" w:fill="CCEEFF"/>
            <w:vAlign w:val="bottom"/>
          </w:tcPr>
          <w:p w14:paraId="5556EAC4" w14:textId="77777777" w:rsidR="00F925DD" w:rsidRDefault="00F925DD">
            <w:pPr>
              <w:textAlignment w:val="bottom"/>
              <w:rPr>
                <w:rFonts w:ascii="Times New Roman" w:hAnsi="Times New Roman"/>
                <w:sz w:val="20"/>
                <w:szCs w:val="20"/>
              </w:rPr>
            </w:pPr>
          </w:p>
        </w:tc>
      </w:tr>
      <w:tr w:rsidR="00F925DD" w14:paraId="5556EAC9" w14:textId="77777777">
        <w:tc>
          <w:tcPr>
            <w:tcW w:w="0" w:type="auto"/>
            <w:shd w:val="clear" w:color="auto" w:fill="auto"/>
            <w:tcMar>
              <w:top w:w="40" w:type="dxa"/>
              <w:left w:w="240" w:type="dxa"/>
              <w:bottom w:w="40" w:type="dxa"/>
              <w:right w:w="40" w:type="dxa"/>
            </w:tcMar>
            <w:vAlign w:val="bottom"/>
          </w:tcPr>
          <w:p w14:paraId="5556EAC6" w14:textId="77777777" w:rsidR="00F925DD" w:rsidRDefault="00E705D7">
            <w:pPr>
              <w:textAlignment w:val="bottom"/>
              <w:rPr>
                <w:rFonts w:ascii="Times New Roman" w:hAnsi="Times New Roman"/>
                <w:sz w:val="14"/>
                <w:szCs w:val="14"/>
              </w:rPr>
            </w:pPr>
            <w:r>
              <w:rPr>
                <w:rFonts w:ascii="Arial" w:eastAsia="宋体" w:hAnsi="Arial" w:cs="Arial"/>
                <w:sz w:val="14"/>
                <w:szCs w:val="14"/>
              </w:rPr>
              <w:t>Operating cash flows from operating leases</w:t>
            </w:r>
          </w:p>
        </w:tc>
        <w:tc>
          <w:tcPr>
            <w:tcW w:w="0" w:type="auto"/>
            <w:gridSpan w:val="2"/>
            <w:shd w:val="clear" w:color="auto" w:fill="auto"/>
            <w:tcMar>
              <w:top w:w="40" w:type="dxa"/>
              <w:left w:w="40" w:type="dxa"/>
              <w:bottom w:w="40" w:type="dxa"/>
            </w:tcMar>
            <w:vAlign w:val="bottom"/>
          </w:tcPr>
          <w:p w14:paraId="5556EAC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201</w:t>
            </w:r>
          </w:p>
        </w:tc>
        <w:tc>
          <w:tcPr>
            <w:tcW w:w="0" w:type="auto"/>
            <w:shd w:val="clear" w:color="auto" w:fill="auto"/>
            <w:vAlign w:val="bottom"/>
          </w:tcPr>
          <w:p w14:paraId="5556EAC8" w14:textId="77777777" w:rsidR="00F925DD" w:rsidRDefault="00F925DD">
            <w:pPr>
              <w:textAlignment w:val="bottom"/>
              <w:rPr>
                <w:rFonts w:ascii="Times New Roman" w:hAnsi="Times New Roman"/>
                <w:sz w:val="20"/>
                <w:szCs w:val="20"/>
              </w:rPr>
            </w:pPr>
          </w:p>
        </w:tc>
      </w:tr>
      <w:tr w:rsidR="00F925DD" w14:paraId="5556EACD" w14:textId="77777777">
        <w:tc>
          <w:tcPr>
            <w:tcW w:w="0" w:type="auto"/>
            <w:shd w:val="clear" w:color="auto" w:fill="CCEEFF"/>
            <w:tcMar>
              <w:top w:w="40" w:type="dxa"/>
              <w:left w:w="240" w:type="dxa"/>
              <w:bottom w:w="40" w:type="dxa"/>
              <w:right w:w="40" w:type="dxa"/>
            </w:tcMar>
            <w:vAlign w:val="bottom"/>
          </w:tcPr>
          <w:p w14:paraId="5556EACA" w14:textId="77777777" w:rsidR="00F925DD" w:rsidRDefault="00E705D7">
            <w:pPr>
              <w:textAlignment w:val="bottom"/>
              <w:rPr>
                <w:rFonts w:ascii="Times New Roman" w:hAnsi="Times New Roman"/>
                <w:sz w:val="14"/>
                <w:szCs w:val="14"/>
              </w:rPr>
            </w:pPr>
            <w:r>
              <w:rPr>
                <w:rFonts w:ascii="Arial" w:eastAsia="宋体" w:hAnsi="Arial" w:cs="Arial"/>
                <w:sz w:val="14"/>
                <w:szCs w:val="14"/>
              </w:rPr>
              <w:t>Financing cash flows from finance leases</w:t>
            </w:r>
          </w:p>
        </w:tc>
        <w:tc>
          <w:tcPr>
            <w:tcW w:w="0" w:type="auto"/>
            <w:gridSpan w:val="2"/>
            <w:shd w:val="clear" w:color="auto" w:fill="CCEEFF"/>
            <w:tcMar>
              <w:top w:w="40" w:type="dxa"/>
              <w:left w:w="40" w:type="dxa"/>
              <w:bottom w:w="40" w:type="dxa"/>
            </w:tcMar>
            <w:vAlign w:val="bottom"/>
          </w:tcPr>
          <w:p w14:paraId="5556EAC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54</w:t>
            </w:r>
          </w:p>
        </w:tc>
        <w:tc>
          <w:tcPr>
            <w:tcW w:w="0" w:type="auto"/>
            <w:shd w:val="clear" w:color="auto" w:fill="CCEEFF"/>
            <w:vAlign w:val="bottom"/>
          </w:tcPr>
          <w:p w14:paraId="5556EACC" w14:textId="77777777" w:rsidR="00F925DD" w:rsidRDefault="00F925DD">
            <w:pPr>
              <w:textAlignment w:val="bottom"/>
              <w:rPr>
                <w:rFonts w:ascii="Times New Roman" w:hAnsi="Times New Roman"/>
                <w:sz w:val="20"/>
                <w:szCs w:val="20"/>
              </w:rPr>
            </w:pPr>
          </w:p>
        </w:tc>
      </w:tr>
      <w:tr w:rsidR="00F925DD" w14:paraId="5556EAD0" w14:textId="77777777">
        <w:tc>
          <w:tcPr>
            <w:tcW w:w="0" w:type="auto"/>
            <w:shd w:val="clear" w:color="auto" w:fill="auto"/>
            <w:tcMar>
              <w:top w:w="40" w:type="dxa"/>
              <w:left w:w="40" w:type="dxa"/>
              <w:bottom w:w="40" w:type="dxa"/>
              <w:right w:w="40" w:type="dxa"/>
            </w:tcMar>
            <w:vAlign w:val="bottom"/>
          </w:tcPr>
          <w:p w14:paraId="5556EAC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Right-of-use assets obtained in exchange for new lease obligations:</w:t>
            </w:r>
          </w:p>
        </w:tc>
        <w:tc>
          <w:tcPr>
            <w:tcW w:w="0" w:type="auto"/>
            <w:gridSpan w:val="3"/>
            <w:shd w:val="clear" w:color="auto" w:fill="auto"/>
            <w:tcMar>
              <w:top w:w="40" w:type="dxa"/>
              <w:left w:w="40" w:type="dxa"/>
              <w:bottom w:w="40" w:type="dxa"/>
              <w:right w:w="40" w:type="dxa"/>
            </w:tcMar>
            <w:vAlign w:val="bottom"/>
          </w:tcPr>
          <w:p w14:paraId="5556EA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AD5" w14:textId="77777777">
        <w:tc>
          <w:tcPr>
            <w:tcW w:w="0" w:type="auto"/>
            <w:shd w:val="clear" w:color="auto" w:fill="CCEEFF"/>
            <w:tcMar>
              <w:top w:w="40" w:type="dxa"/>
              <w:left w:w="240" w:type="dxa"/>
              <w:bottom w:w="40" w:type="dxa"/>
              <w:right w:w="40" w:type="dxa"/>
            </w:tcMar>
            <w:vAlign w:val="bottom"/>
          </w:tcPr>
          <w:p w14:paraId="5556EAD1" w14:textId="77777777" w:rsidR="00F925DD" w:rsidRDefault="00E705D7">
            <w:pPr>
              <w:textAlignment w:val="bottom"/>
              <w:rPr>
                <w:rFonts w:ascii="Times New Roman" w:hAnsi="Times New Roman"/>
                <w:sz w:val="14"/>
                <w:szCs w:val="14"/>
              </w:rPr>
            </w:pPr>
            <w:r>
              <w:rPr>
                <w:rFonts w:ascii="Arial" w:eastAsia="宋体" w:hAnsi="Arial" w:cs="Arial"/>
                <w:sz w:val="14"/>
                <w:szCs w:val="14"/>
              </w:rPr>
              <w:t>Operating leases</w:t>
            </w:r>
          </w:p>
        </w:tc>
        <w:tc>
          <w:tcPr>
            <w:tcW w:w="0" w:type="auto"/>
            <w:shd w:val="clear" w:color="auto" w:fill="CCEEFF"/>
            <w:tcMar>
              <w:top w:w="40" w:type="dxa"/>
              <w:left w:w="40" w:type="dxa"/>
              <w:bottom w:w="40" w:type="dxa"/>
            </w:tcMar>
            <w:vAlign w:val="bottom"/>
          </w:tcPr>
          <w:p w14:paraId="5556EAD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EAD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120</w:t>
            </w:r>
          </w:p>
        </w:tc>
        <w:tc>
          <w:tcPr>
            <w:tcW w:w="0" w:type="auto"/>
            <w:shd w:val="clear" w:color="auto" w:fill="CCEEFF"/>
            <w:vAlign w:val="bottom"/>
          </w:tcPr>
          <w:p w14:paraId="5556EAD4" w14:textId="77777777" w:rsidR="00F925DD" w:rsidRDefault="00F925DD">
            <w:pPr>
              <w:textAlignment w:val="bottom"/>
              <w:rPr>
                <w:rFonts w:ascii="Times New Roman" w:hAnsi="Times New Roman"/>
                <w:sz w:val="20"/>
                <w:szCs w:val="20"/>
              </w:rPr>
            </w:pPr>
          </w:p>
        </w:tc>
      </w:tr>
      <w:tr w:rsidR="00F925DD" w14:paraId="5556EAD9" w14:textId="77777777">
        <w:tc>
          <w:tcPr>
            <w:tcW w:w="0" w:type="auto"/>
            <w:shd w:val="clear" w:color="auto" w:fill="auto"/>
            <w:tcMar>
              <w:top w:w="40" w:type="dxa"/>
              <w:left w:w="240" w:type="dxa"/>
              <w:bottom w:w="40" w:type="dxa"/>
              <w:right w:w="40" w:type="dxa"/>
            </w:tcMar>
            <w:vAlign w:val="bottom"/>
          </w:tcPr>
          <w:p w14:paraId="5556EAD6" w14:textId="77777777" w:rsidR="00F925DD" w:rsidRDefault="00E705D7">
            <w:pPr>
              <w:textAlignment w:val="bottom"/>
              <w:rPr>
                <w:rFonts w:ascii="Times New Roman" w:hAnsi="Times New Roman"/>
                <w:sz w:val="14"/>
                <w:szCs w:val="14"/>
              </w:rPr>
            </w:pPr>
            <w:r>
              <w:rPr>
                <w:rFonts w:ascii="Arial" w:eastAsia="宋体" w:hAnsi="Arial" w:cs="Arial"/>
                <w:sz w:val="14"/>
                <w:szCs w:val="14"/>
              </w:rPr>
              <w:t>Finance leases</w:t>
            </w:r>
          </w:p>
        </w:tc>
        <w:tc>
          <w:tcPr>
            <w:tcW w:w="0" w:type="auto"/>
            <w:gridSpan w:val="2"/>
            <w:shd w:val="clear" w:color="auto" w:fill="auto"/>
            <w:tcMar>
              <w:top w:w="40" w:type="dxa"/>
              <w:left w:w="40" w:type="dxa"/>
              <w:bottom w:w="40" w:type="dxa"/>
            </w:tcMar>
            <w:vAlign w:val="bottom"/>
          </w:tcPr>
          <w:p w14:paraId="5556EAD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EAD8" w14:textId="77777777" w:rsidR="00F925DD" w:rsidRDefault="00F925DD">
            <w:pPr>
              <w:textAlignment w:val="bottom"/>
              <w:rPr>
                <w:rFonts w:ascii="Times New Roman" w:hAnsi="Times New Roman"/>
                <w:sz w:val="20"/>
                <w:szCs w:val="20"/>
              </w:rPr>
            </w:pPr>
          </w:p>
        </w:tc>
      </w:tr>
    </w:tbl>
    <w:p w14:paraId="5556EADA" w14:textId="77777777" w:rsidR="00F925DD" w:rsidRDefault="00F925DD">
      <w:pPr>
        <w:spacing w:line="288" w:lineRule="auto"/>
        <w:rPr>
          <w:rFonts w:ascii="Times New Roman" w:hAnsi="Times New Roman"/>
          <w:sz w:val="20"/>
          <w:szCs w:val="20"/>
        </w:rPr>
      </w:pPr>
    </w:p>
    <w:p w14:paraId="5556EAD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future minimum lease payments under non-cancellable leases as of December 31, 2019:</w:t>
      </w:r>
    </w:p>
    <w:tbl>
      <w:tblPr>
        <w:tblW w:w="4990" w:type="pct"/>
        <w:tblCellMar>
          <w:left w:w="0" w:type="dxa"/>
          <w:right w:w="0" w:type="dxa"/>
        </w:tblCellMar>
        <w:tblLook w:val="04A0" w:firstRow="1" w:lastRow="0" w:firstColumn="1" w:lastColumn="0" w:noHBand="0" w:noVBand="1"/>
      </w:tblPr>
      <w:tblGrid>
        <w:gridCol w:w="3130"/>
        <w:gridCol w:w="119"/>
        <w:gridCol w:w="1472"/>
        <w:gridCol w:w="87"/>
        <w:gridCol w:w="146"/>
        <w:gridCol w:w="119"/>
        <w:gridCol w:w="1389"/>
        <w:gridCol w:w="87"/>
        <w:gridCol w:w="146"/>
        <w:gridCol w:w="118"/>
        <w:gridCol w:w="1389"/>
        <w:gridCol w:w="87"/>
      </w:tblGrid>
      <w:tr w:rsidR="00F925DD" w14:paraId="5556EADD" w14:textId="77777777">
        <w:tc>
          <w:tcPr>
            <w:tcW w:w="0" w:type="auto"/>
            <w:gridSpan w:val="12"/>
            <w:shd w:val="clear" w:color="auto" w:fill="auto"/>
            <w:vAlign w:val="center"/>
          </w:tcPr>
          <w:p w14:paraId="5556EADC" w14:textId="77777777" w:rsidR="00F925DD" w:rsidRDefault="00F925DD">
            <w:pPr>
              <w:rPr>
                <w:rFonts w:ascii="Times New Roman" w:hAnsi="Times New Roman"/>
                <w:sz w:val="20"/>
                <w:szCs w:val="20"/>
              </w:rPr>
            </w:pPr>
          </w:p>
        </w:tc>
      </w:tr>
      <w:tr w:rsidR="00F925DD" w14:paraId="5556EAEA" w14:textId="77777777">
        <w:tc>
          <w:tcPr>
            <w:tcW w:w="1900" w:type="pct"/>
            <w:shd w:val="clear" w:color="auto" w:fill="auto"/>
            <w:vAlign w:val="center"/>
          </w:tcPr>
          <w:p w14:paraId="5556EADE" w14:textId="77777777" w:rsidR="00F925DD" w:rsidRDefault="00F925DD">
            <w:pPr>
              <w:rPr>
                <w:rFonts w:ascii="Times New Roman" w:hAnsi="Times New Roman"/>
                <w:sz w:val="20"/>
                <w:szCs w:val="20"/>
              </w:rPr>
            </w:pPr>
          </w:p>
        </w:tc>
        <w:tc>
          <w:tcPr>
            <w:tcW w:w="50" w:type="pct"/>
            <w:shd w:val="clear" w:color="auto" w:fill="auto"/>
            <w:vAlign w:val="center"/>
          </w:tcPr>
          <w:p w14:paraId="5556EADF" w14:textId="77777777" w:rsidR="00F925DD" w:rsidRDefault="00F925DD">
            <w:pPr>
              <w:rPr>
                <w:rFonts w:ascii="Times New Roman" w:hAnsi="Times New Roman"/>
                <w:sz w:val="20"/>
                <w:szCs w:val="20"/>
              </w:rPr>
            </w:pPr>
          </w:p>
        </w:tc>
        <w:tc>
          <w:tcPr>
            <w:tcW w:w="900" w:type="pct"/>
            <w:shd w:val="clear" w:color="auto" w:fill="auto"/>
            <w:vAlign w:val="center"/>
          </w:tcPr>
          <w:p w14:paraId="5556EAE0" w14:textId="77777777" w:rsidR="00F925DD" w:rsidRDefault="00F925DD">
            <w:pPr>
              <w:rPr>
                <w:rFonts w:ascii="Times New Roman" w:hAnsi="Times New Roman"/>
                <w:sz w:val="20"/>
                <w:szCs w:val="20"/>
              </w:rPr>
            </w:pPr>
          </w:p>
        </w:tc>
        <w:tc>
          <w:tcPr>
            <w:tcW w:w="50" w:type="pct"/>
            <w:shd w:val="clear" w:color="auto" w:fill="auto"/>
            <w:vAlign w:val="center"/>
          </w:tcPr>
          <w:p w14:paraId="5556EAE1" w14:textId="77777777" w:rsidR="00F925DD" w:rsidRDefault="00F925DD">
            <w:pPr>
              <w:rPr>
                <w:rFonts w:ascii="Times New Roman" w:hAnsi="Times New Roman"/>
                <w:sz w:val="20"/>
                <w:szCs w:val="20"/>
              </w:rPr>
            </w:pPr>
          </w:p>
        </w:tc>
        <w:tc>
          <w:tcPr>
            <w:tcW w:w="100" w:type="pct"/>
            <w:shd w:val="clear" w:color="auto" w:fill="auto"/>
            <w:vAlign w:val="center"/>
          </w:tcPr>
          <w:p w14:paraId="5556EAE2" w14:textId="77777777" w:rsidR="00F925DD" w:rsidRDefault="00F925DD">
            <w:pPr>
              <w:rPr>
                <w:rFonts w:ascii="Times New Roman" w:hAnsi="Times New Roman"/>
                <w:sz w:val="20"/>
                <w:szCs w:val="20"/>
              </w:rPr>
            </w:pPr>
          </w:p>
        </w:tc>
        <w:tc>
          <w:tcPr>
            <w:tcW w:w="50" w:type="pct"/>
            <w:shd w:val="clear" w:color="auto" w:fill="auto"/>
            <w:vAlign w:val="center"/>
          </w:tcPr>
          <w:p w14:paraId="5556EAE3" w14:textId="77777777" w:rsidR="00F925DD" w:rsidRDefault="00F925DD">
            <w:pPr>
              <w:rPr>
                <w:rFonts w:ascii="Times New Roman" w:hAnsi="Times New Roman"/>
                <w:sz w:val="20"/>
                <w:szCs w:val="20"/>
              </w:rPr>
            </w:pPr>
          </w:p>
        </w:tc>
        <w:tc>
          <w:tcPr>
            <w:tcW w:w="850" w:type="pct"/>
            <w:shd w:val="clear" w:color="auto" w:fill="auto"/>
            <w:vAlign w:val="center"/>
          </w:tcPr>
          <w:p w14:paraId="5556EAE4" w14:textId="77777777" w:rsidR="00F925DD" w:rsidRDefault="00F925DD">
            <w:pPr>
              <w:rPr>
                <w:rFonts w:ascii="Times New Roman" w:hAnsi="Times New Roman"/>
                <w:sz w:val="20"/>
                <w:szCs w:val="20"/>
              </w:rPr>
            </w:pPr>
          </w:p>
        </w:tc>
        <w:tc>
          <w:tcPr>
            <w:tcW w:w="50" w:type="pct"/>
            <w:shd w:val="clear" w:color="auto" w:fill="auto"/>
            <w:vAlign w:val="center"/>
          </w:tcPr>
          <w:p w14:paraId="5556EAE5" w14:textId="77777777" w:rsidR="00F925DD" w:rsidRDefault="00F925DD">
            <w:pPr>
              <w:rPr>
                <w:rFonts w:ascii="Times New Roman" w:hAnsi="Times New Roman"/>
                <w:sz w:val="20"/>
                <w:szCs w:val="20"/>
              </w:rPr>
            </w:pPr>
          </w:p>
        </w:tc>
        <w:tc>
          <w:tcPr>
            <w:tcW w:w="100" w:type="pct"/>
            <w:shd w:val="clear" w:color="auto" w:fill="auto"/>
            <w:vAlign w:val="center"/>
          </w:tcPr>
          <w:p w14:paraId="5556EAE6" w14:textId="77777777" w:rsidR="00F925DD" w:rsidRDefault="00F925DD">
            <w:pPr>
              <w:rPr>
                <w:rFonts w:ascii="Times New Roman" w:hAnsi="Times New Roman"/>
                <w:sz w:val="20"/>
                <w:szCs w:val="20"/>
              </w:rPr>
            </w:pPr>
          </w:p>
        </w:tc>
        <w:tc>
          <w:tcPr>
            <w:tcW w:w="50" w:type="pct"/>
            <w:shd w:val="clear" w:color="auto" w:fill="auto"/>
            <w:vAlign w:val="center"/>
          </w:tcPr>
          <w:p w14:paraId="5556EAE7" w14:textId="77777777" w:rsidR="00F925DD" w:rsidRDefault="00F925DD">
            <w:pPr>
              <w:rPr>
                <w:rFonts w:ascii="Times New Roman" w:hAnsi="Times New Roman"/>
                <w:sz w:val="20"/>
                <w:szCs w:val="20"/>
              </w:rPr>
            </w:pPr>
          </w:p>
        </w:tc>
        <w:tc>
          <w:tcPr>
            <w:tcW w:w="850" w:type="pct"/>
            <w:shd w:val="clear" w:color="auto" w:fill="auto"/>
            <w:vAlign w:val="center"/>
          </w:tcPr>
          <w:p w14:paraId="5556EAE8" w14:textId="77777777" w:rsidR="00F925DD" w:rsidRDefault="00F925DD">
            <w:pPr>
              <w:rPr>
                <w:rFonts w:ascii="Times New Roman" w:hAnsi="Times New Roman"/>
                <w:sz w:val="20"/>
                <w:szCs w:val="20"/>
              </w:rPr>
            </w:pPr>
          </w:p>
        </w:tc>
        <w:tc>
          <w:tcPr>
            <w:tcW w:w="50" w:type="pct"/>
            <w:shd w:val="clear" w:color="auto" w:fill="auto"/>
            <w:vAlign w:val="center"/>
          </w:tcPr>
          <w:p w14:paraId="5556EAE9" w14:textId="77777777" w:rsidR="00F925DD" w:rsidRDefault="00F925DD">
            <w:pPr>
              <w:rPr>
                <w:rFonts w:ascii="Times New Roman" w:hAnsi="Times New Roman"/>
                <w:sz w:val="20"/>
                <w:szCs w:val="20"/>
              </w:rPr>
            </w:pPr>
          </w:p>
        </w:tc>
      </w:tr>
      <w:tr w:rsidR="00F925DD" w14:paraId="5556EAF1" w14:textId="77777777">
        <w:tc>
          <w:tcPr>
            <w:tcW w:w="0" w:type="auto"/>
            <w:shd w:val="clear" w:color="auto" w:fill="auto"/>
            <w:tcMar>
              <w:top w:w="40" w:type="dxa"/>
              <w:left w:w="40" w:type="dxa"/>
              <w:bottom w:w="40" w:type="dxa"/>
              <w:right w:w="40" w:type="dxa"/>
            </w:tcMar>
            <w:vAlign w:val="bottom"/>
          </w:tcPr>
          <w:p w14:paraId="5556EAE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 xml:space="preserve">(In </w:t>
            </w:r>
            <w:r>
              <w:rPr>
                <w:rFonts w:ascii="Arial" w:eastAsia="宋体" w:hAnsi="Arial" w:cs="Arial"/>
                <w:b/>
                <w:bCs/>
                <w:sz w:val="14"/>
                <w:szCs w:val="14"/>
              </w:rPr>
              <w:t>millions)</w:t>
            </w:r>
          </w:p>
        </w:tc>
        <w:tc>
          <w:tcPr>
            <w:tcW w:w="0" w:type="auto"/>
            <w:gridSpan w:val="3"/>
            <w:shd w:val="clear" w:color="auto" w:fill="auto"/>
            <w:tcMar>
              <w:top w:w="40" w:type="dxa"/>
              <w:left w:w="40" w:type="dxa"/>
              <w:bottom w:w="40" w:type="dxa"/>
              <w:right w:w="40" w:type="dxa"/>
            </w:tcMar>
            <w:vAlign w:val="bottom"/>
          </w:tcPr>
          <w:p w14:paraId="5556EAE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Operating Leases</w:t>
            </w:r>
          </w:p>
        </w:tc>
        <w:tc>
          <w:tcPr>
            <w:tcW w:w="0" w:type="auto"/>
            <w:shd w:val="clear" w:color="auto" w:fill="auto"/>
            <w:tcMar>
              <w:top w:w="40" w:type="dxa"/>
              <w:left w:w="40" w:type="dxa"/>
              <w:bottom w:w="40" w:type="dxa"/>
              <w:right w:w="40" w:type="dxa"/>
            </w:tcMar>
            <w:vAlign w:val="bottom"/>
          </w:tcPr>
          <w:p w14:paraId="5556EA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AE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Finance Leases</w:t>
            </w:r>
          </w:p>
        </w:tc>
        <w:tc>
          <w:tcPr>
            <w:tcW w:w="0" w:type="auto"/>
            <w:shd w:val="clear" w:color="auto" w:fill="auto"/>
            <w:tcMar>
              <w:top w:w="40" w:type="dxa"/>
              <w:left w:w="40" w:type="dxa"/>
              <w:bottom w:w="40" w:type="dxa"/>
              <w:right w:w="40" w:type="dxa"/>
            </w:tcMar>
            <w:vAlign w:val="bottom"/>
          </w:tcPr>
          <w:p w14:paraId="5556EA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AF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r>
      <w:tr w:rsidR="00F925DD" w14:paraId="5556EAFE" w14:textId="77777777">
        <w:tc>
          <w:tcPr>
            <w:tcW w:w="0" w:type="auto"/>
            <w:shd w:val="clear" w:color="auto" w:fill="CCEEFF"/>
            <w:tcMar>
              <w:top w:w="40" w:type="dxa"/>
              <w:left w:w="40" w:type="dxa"/>
              <w:bottom w:w="40" w:type="dxa"/>
              <w:right w:w="40" w:type="dxa"/>
            </w:tcMar>
            <w:vAlign w:val="bottom"/>
          </w:tcPr>
          <w:p w14:paraId="5556EAF2" w14:textId="77777777" w:rsidR="00F925DD" w:rsidRDefault="00E705D7">
            <w:pPr>
              <w:textAlignment w:val="bottom"/>
              <w:rPr>
                <w:rFonts w:ascii="Times New Roman" w:hAnsi="Times New Roman"/>
                <w:sz w:val="14"/>
                <w:szCs w:val="14"/>
              </w:rPr>
            </w:pPr>
            <w:r>
              <w:rPr>
                <w:rFonts w:ascii="Arial" w:eastAsia="宋体" w:hAnsi="Arial" w:cs="Arial"/>
                <w:sz w:val="14"/>
                <w:szCs w:val="14"/>
              </w:rPr>
              <w:t>2020</w:t>
            </w:r>
          </w:p>
        </w:tc>
        <w:tc>
          <w:tcPr>
            <w:tcW w:w="0" w:type="auto"/>
            <w:shd w:val="clear" w:color="auto" w:fill="CCEEFF"/>
            <w:tcMar>
              <w:top w:w="40" w:type="dxa"/>
              <w:left w:w="40" w:type="dxa"/>
              <w:bottom w:w="40" w:type="dxa"/>
            </w:tcMar>
            <w:vAlign w:val="bottom"/>
          </w:tcPr>
          <w:p w14:paraId="5556EAF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EAF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183</w:t>
            </w:r>
          </w:p>
        </w:tc>
        <w:tc>
          <w:tcPr>
            <w:tcW w:w="0" w:type="auto"/>
            <w:shd w:val="clear" w:color="auto" w:fill="CCEEFF"/>
            <w:vAlign w:val="bottom"/>
          </w:tcPr>
          <w:p w14:paraId="5556EAF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A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AF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EAF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w:t>
            </w:r>
          </w:p>
        </w:tc>
        <w:tc>
          <w:tcPr>
            <w:tcW w:w="0" w:type="auto"/>
            <w:shd w:val="clear" w:color="auto" w:fill="CCEEFF"/>
            <w:vAlign w:val="bottom"/>
          </w:tcPr>
          <w:p w14:paraId="5556EAF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A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AF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EAF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224</w:t>
            </w:r>
          </w:p>
        </w:tc>
        <w:tc>
          <w:tcPr>
            <w:tcW w:w="0" w:type="auto"/>
            <w:shd w:val="clear" w:color="auto" w:fill="CCEEFF"/>
            <w:vAlign w:val="bottom"/>
          </w:tcPr>
          <w:p w14:paraId="5556EAFD" w14:textId="77777777" w:rsidR="00F925DD" w:rsidRDefault="00F925DD">
            <w:pPr>
              <w:textAlignment w:val="bottom"/>
              <w:rPr>
                <w:rFonts w:ascii="Times New Roman" w:hAnsi="Times New Roman"/>
                <w:sz w:val="20"/>
                <w:szCs w:val="20"/>
              </w:rPr>
            </w:pPr>
          </w:p>
        </w:tc>
      </w:tr>
      <w:tr w:rsidR="00F925DD" w14:paraId="5556EB08" w14:textId="77777777">
        <w:tc>
          <w:tcPr>
            <w:tcW w:w="0" w:type="auto"/>
            <w:shd w:val="clear" w:color="auto" w:fill="auto"/>
            <w:tcMar>
              <w:top w:w="40" w:type="dxa"/>
              <w:left w:w="40" w:type="dxa"/>
              <w:bottom w:w="40" w:type="dxa"/>
              <w:right w:w="40" w:type="dxa"/>
            </w:tcMar>
            <w:vAlign w:val="bottom"/>
          </w:tcPr>
          <w:p w14:paraId="5556EAFF" w14:textId="77777777" w:rsidR="00F925DD" w:rsidRDefault="00E705D7">
            <w:pPr>
              <w:textAlignment w:val="bottom"/>
              <w:rPr>
                <w:rFonts w:ascii="Times New Roman" w:hAnsi="Times New Roman"/>
                <w:sz w:val="14"/>
                <w:szCs w:val="14"/>
              </w:rPr>
            </w:pPr>
            <w:r>
              <w:rPr>
                <w:rFonts w:ascii="Arial" w:eastAsia="宋体" w:hAnsi="Arial" w:cs="Arial"/>
                <w:sz w:val="14"/>
                <w:szCs w:val="14"/>
              </w:rPr>
              <w:t>2021</w:t>
            </w:r>
          </w:p>
        </w:tc>
        <w:tc>
          <w:tcPr>
            <w:tcW w:w="0" w:type="auto"/>
            <w:gridSpan w:val="2"/>
            <w:shd w:val="clear" w:color="auto" w:fill="auto"/>
            <w:tcMar>
              <w:top w:w="40" w:type="dxa"/>
              <w:left w:w="40" w:type="dxa"/>
              <w:bottom w:w="40" w:type="dxa"/>
            </w:tcMar>
            <w:vAlign w:val="bottom"/>
          </w:tcPr>
          <w:p w14:paraId="5556EB0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180</w:t>
            </w:r>
          </w:p>
        </w:tc>
        <w:tc>
          <w:tcPr>
            <w:tcW w:w="0" w:type="auto"/>
            <w:shd w:val="clear" w:color="auto" w:fill="auto"/>
            <w:vAlign w:val="bottom"/>
          </w:tcPr>
          <w:p w14:paraId="5556EB0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B0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w:t>
            </w:r>
          </w:p>
        </w:tc>
        <w:tc>
          <w:tcPr>
            <w:tcW w:w="0" w:type="auto"/>
            <w:shd w:val="clear" w:color="auto" w:fill="auto"/>
            <w:vAlign w:val="bottom"/>
          </w:tcPr>
          <w:p w14:paraId="5556EB0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B0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221</w:t>
            </w:r>
          </w:p>
        </w:tc>
        <w:tc>
          <w:tcPr>
            <w:tcW w:w="0" w:type="auto"/>
            <w:shd w:val="clear" w:color="auto" w:fill="auto"/>
            <w:vAlign w:val="bottom"/>
          </w:tcPr>
          <w:p w14:paraId="5556EB07" w14:textId="77777777" w:rsidR="00F925DD" w:rsidRDefault="00F925DD">
            <w:pPr>
              <w:textAlignment w:val="bottom"/>
              <w:rPr>
                <w:rFonts w:ascii="Times New Roman" w:hAnsi="Times New Roman"/>
                <w:sz w:val="20"/>
                <w:szCs w:val="20"/>
              </w:rPr>
            </w:pPr>
          </w:p>
        </w:tc>
      </w:tr>
      <w:tr w:rsidR="00F925DD" w14:paraId="5556EB12" w14:textId="77777777">
        <w:tc>
          <w:tcPr>
            <w:tcW w:w="0" w:type="auto"/>
            <w:shd w:val="clear" w:color="auto" w:fill="CCEEFF"/>
            <w:tcMar>
              <w:top w:w="40" w:type="dxa"/>
              <w:left w:w="40" w:type="dxa"/>
              <w:bottom w:w="40" w:type="dxa"/>
              <w:right w:w="40" w:type="dxa"/>
            </w:tcMar>
            <w:vAlign w:val="bottom"/>
          </w:tcPr>
          <w:p w14:paraId="5556EB09" w14:textId="77777777" w:rsidR="00F925DD" w:rsidRDefault="00E705D7">
            <w:pPr>
              <w:textAlignment w:val="bottom"/>
              <w:rPr>
                <w:rFonts w:ascii="Times New Roman" w:hAnsi="Times New Roman"/>
                <w:sz w:val="14"/>
                <w:szCs w:val="14"/>
              </w:rPr>
            </w:pPr>
            <w:r>
              <w:rPr>
                <w:rFonts w:ascii="Arial" w:eastAsia="宋体" w:hAnsi="Arial" w:cs="Arial"/>
                <w:sz w:val="14"/>
                <w:szCs w:val="14"/>
              </w:rPr>
              <w:t>2022</w:t>
            </w:r>
          </w:p>
        </w:tc>
        <w:tc>
          <w:tcPr>
            <w:tcW w:w="0" w:type="auto"/>
            <w:gridSpan w:val="2"/>
            <w:shd w:val="clear" w:color="auto" w:fill="CCEEFF"/>
            <w:tcMar>
              <w:top w:w="40" w:type="dxa"/>
              <w:left w:w="40" w:type="dxa"/>
              <w:bottom w:w="40" w:type="dxa"/>
            </w:tcMar>
            <w:vAlign w:val="bottom"/>
          </w:tcPr>
          <w:p w14:paraId="5556EB0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164</w:t>
            </w:r>
          </w:p>
        </w:tc>
        <w:tc>
          <w:tcPr>
            <w:tcW w:w="0" w:type="auto"/>
            <w:shd w:val="clear" w:color="auto" w:fill="CCEEFF"/>
            <w:vAlign w:val="bottom"/>
          </w:tcPr>
          <w:p w14:paraId="5556EB0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0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w:t>
            </w:r>
          </w:p>
        </w:tc>
        <w:tc>
          <w:tcPr>
            <w:tcW w:w="0" w:type="auto"/>
            <w:shd w:val="clear" w:color="auto" w:fill="CCEEFF"/>
            <w:vAlign w:val="bottom"/>
          </w:tcPr>
          <w:p w14:paraId="5556EB0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1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205</w:t>
            </w:r>
          </w:p>
        </w:tc>
        <w:tc>
          <w:tcPr>
            <w:tcW w:w="0" w:type="auto"/>
            <w:shd w:val="clear" w:color="auto" w:fill="CCEEFF"/>
            <w:vAlign w:val="bottom"/>
          </w:tcPr>
          <w:p w14:paraId="5556EB11" w14:textId="77777777" w:rsidR="00F925DD" w:rsidRDefault="00F925DD">
            <w:pPr>
              <w:textAlignment w:val="bottom"/>
              <w:rPr>
                <w:rFonts w:ascii="Times New Roman" w:hAnsi="Times New Roman"/>
                <w:sz w:val="20"/>
                <w:szCs w:val="20"/>
              </w:rPr>
            </w:pPr>
          </w:p>
        </w:tc>
      </w:tr>
      <w:tr w:rsidR="00F925DD" w14:paraId="5556EB1C" w14:textId="77777777">
        <w:tc>
          <w:tcPr>
            <w:tcW w:w="0" w:type="auto"/>
            <w:shd w:val="clear" w:color="auto" w:fill="auto"/>
            <w:tcMar>
              <w:top w:w="40" w:type="dxa"/>
              <w:left w:w="40" w:type="dxa"/>
              <w:bottom w:w="40" w:type="dxa"/>
              <w:right w:w="40" w:type="dxa"/>
            </w:tcMar>
            <w:vAlign w:val="bottom"/>
          </w:tcPr>
          <w:p w14:paraId="5556EB13" w14:textId="77777777" w:rsidR="00F925DD" w:rsidRDefault="00E705D7">
            <w:pPr>
              <w:textAlignment w:val="bottom"/>
              <w:rPr>
                <w:rFonts w:ascii="Times New Roman" w:hAnsi="Times New Roman"/>
                <w:sz w:val="14"/>
                <w:szCs w:val="14"/>
              </w:rPr>
            </w:pPr>
            <w:r>
              <w:rPr>
                <w:rFonts w:ascii="Arial" w:eastAsia="宋体" w:hAnsi="Arial" w:cs="Arial"/>
                <w:sz w:val="14"/>
                <w:szCs w:val="14"/>
              </w:rPr>
              <w:t>2023</w:t>
            </w:r>
          </w:p>
        </w:tc>
        <w:tc>
          <w:tcPr>
            <w:tcW w:w="0" w:type="auto"/>
            <w:gridSpan w:val="2"/>
            <w:shd w:val="clear" w:color="auto" w:fill="auto"/>
            <w:tcMar>
              <w:top w:w="40" w:type="dxa"/>
              <w:left w:w="40" w:type="dxa"/>
              <w:bottom w:w="40" w:type="dxa"/>
            </w:tcMar>
            <w:vAlign w:val="bottom"/>
          </w:tcPr>
          <w:p w14:paraId="5556EB1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143</w:t>
            </w:r>
          </w:p>
        </w:tc>
        <w:tc>
          <w:tcPr>
            <w:tcW w:w="0" w:type="auto"/>
            <w:shd w:val="clear" w:color="auto" w:fill="auto"/>
            <w:vAlign w:val="bottom"/>
          </w:tcPr>
          <w:p w14:paraId="5556EB1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B1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w:t>
            </w:r>
          </w:p>
        </w:tc>
        <w:tc>
          <w:tcPr>
            <w:tcW w:w="0" w:type="auto"/>
            <w:shd w:val="clear" w:color="auto" w:fill="auto"/>
            <w:vAlign w:val="bottom"/>
          </w:tcPr>
          <w:p w14:paraId="5556EB1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B1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174</w:t>
            </w:r>
          </w:p>
        </w:tc>
        <w:tc>
          <w:tcPr>
            <w:tcW w:w="0" w:type="auto"/>
            <w:shd w:val="clear" w:color="auto" w:fill="auto"/>
            <w:vAlign w:val="bottom"/>
          </w:tcPr>
          <w:p w14:paraId="5556EB1B" w14:textId="77777777" w:rsidR="00F925DD" w:rsidRDefault="00F925DD">
            <w:pPr>
              <w:textAlignment w:val="bottom"/>
              <w:rPr>
                <w:rFonts w:ascii="Times New Roman" w:hAnsi="Times New Roman"/>
                <w:sz w:val="20"/>
                <w:szCs w:val="20"/>
              </w:rPr>
            </w:pPr>
          </w:p>
        </w:tc>
      </w:tr>
      <w:tr w:rsidR="00F925DD" w14:paraId="5556EB26" w14:textId="77777777">
        <w:tc>
          <w:tcPr>
            <w:tcW w:w="0" w:type="auto"/>
            <w:shd w:val="clear" w:color="auto" w:fill="CCEEFF"/>
            <w:tcMar>
              <w:top w:w="40" w:type="dxa"/>
              <w:left w:w="40" w:type="dxa"/>
              <w:bottom w:w="40" w:type="dxa"/>
              <w:right w:w="40" w:type="dxa"/>
            </w:tcMar>
            <w:vAlign w:val="bottom"/>
          </w:tcPr>
          <w:p w14:paraId="5556EB1D" w14:textId="77777777" w:rsidR="00F925DD" w:rsidRDefault="00E705D7">
            <w:pPr>
              <w:textAlignment w:val="bottom"/>
              <w:rPr>
                <w:rFonts w:ascii="Times New Roman" w:hAnsi="Times New Roman"/>
                <w:sz w:val="14"/>
                <w:szCs w:val="14"/>
              </w:rPr>
            </w:pPr>
            <w:r>
              <w:rPr>
                <w:rFonts w:ascii="Arial" w:eastAsia="宋体" w:hAnsi="Arial" w:cs="Arial"/>
                <w:sz w:val="14"/>
                <w:szCs w:val="14"/>
              </w:rPr>
              <w:t>2024</w:t>
            </w:r>
          </w:p>
        </w:tc>
        <w:tc>
          <w:tcPr>
            <w:tcW w:w="0" w:type="auto"/>
            <w:gridSpan w:val="2"/>
            <w:shd w:val="clear" w:color="auto" w:fill="CCEEFF"/>
            <w:tcMar>
              <w:top w:w="40" w:type="dxa"/>
              <w:left w:w="40" w:type="dxa"/>
              <w:bottom w:w="40" w:type="dxa"/>
            </w:tcMar>
            <w:vAlign w:val="bottom"/>
          </w:tcPr>
          <w:p w14:paraId="5556EB1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108</w:t>
            </w:r>
          </w:p>
        </w:tc>
        <w:tc>
          <w:tcPr>
            <w:tcW w:w="0" w:type="auto"/>
            <w:shd w:val="clear" w:color="auto" w:fill="CCEEFF"/>
            <w:vAlign w:val="bottom"/>
          </w:tcPr>
          <w:p w14:paraId="5556EB1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2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EB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2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108</w:t>
            </w:r>
          </w:p>
        </w:tc>
        <w:tc>
          <w:tcPr>
            <w:tcW w:w="0" w:type="auto"/>
            <w:shd w:val="clear" w:color="auto" w:fill="CCEEFF"/>
            <w:vAlign w:val="bottom"/>
          </w:tcPr>
          <w:p w14:paraId="5556EB25" w14:textId="77777777" w:rsidR="00F925DD" w:rsidRDefault="00F925DD">
            <w:pPr>
              <w:textAlignment w:val="bottom"/>
              <w:rPr>
                <w:rFonts w:ascii="Times New Roman" w:hAnsi="Times New Roman"/>
                <w:sz w:val="20"/>
                <w:szCs w:val="20"/>
              </w:rPr>
            </w:pPr>
          </w:p>
        </w:tc>
      </w:tr>
      <w:tr w:rsidR="00F925DD" w14:paraId="5556EB30" w14:textId="77777777">
        <w:tc>
          <w:tcPr>
            <w:tcW w:w="0" w:type="auto"/>
            <w:shd w:val="clear" w:color="auto" w:fill="auto"/>
            <w:tcMar>
              <w:top w:w="40" w:type="dxa"/>
              <w:left w:w="40" w:type="dxa"/>
              <w:bottom w:w="40" w:type="dxa"/>
              <w:right w:w="40" w:type="dxa"/>
            </w:tcMar>
            <w:vAlign w:val="bottom"/>
          </w:tcPr>
          <w:p w14:paraId="5556EB27" w14:textId="77777777" w:rsidR="00F925DD" w:rsidRDefault="00E705D7">
            <w:pPr>
              <w:textAlignment w:val="bottom"/>
              <w:rPr>
                <w:rFonts w:ascii="Times New Roman" w:hAnsi="Times New Roman"/>
                <w:sz w:val="14"/>
                <w:szCs w:val="14"/>
              </w:rPr>
            </w:pPr>
            <w:r>
              <w:rPr>
                <w:rFonts w:ascii="Arial" w:eastAsia="宋体" w:hAnsi="Arial" w:cs="Arial"/>
                <w:sz w:val="14"/>
                <w:szCs w:val="14"/>
              </w:rPr>
              <w:t>Thereafter</w:t>
            </w:r>
          </w:p>
        </w:tc>
        <w:tc>
          <w:tcPr>
            <w:tcW w:w="0" w:type="auto"/>
            <w:gridSpan w:val="2"/>
            <w:tcBorders>
              <w:bottom w:val="single" w:sz="8" w:space="0" w:color="000000"/>
            </w:tcBorders>
            <w:shd w:val="clear" w:color="auto" w:fill="auto"/>
            <w:tcMar>
              <w:top w:w="40" w:type="dxa"/>
              <w:left w:w="40" w:type="dxa"/>
              <w:bottom w:w="40" w:type="dxa"/>
            </w:tcMar>
            <w:vAlign w:val="bottom"/>
          </w:tcPr>
          <w:p w14:paraId="5556EB2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356</w:t>
            </w:r>
          </w:p>
        </w:tc>
        <w:tc>
          <w:tcPr>
            <w:tcW w:w="0" w:type="auto"/>
            <w:tcBorders>
              <w:bottom w:val="single" w:sz="8" w:space="0" w:color="000000"/>
            </w:tcBorders>
            <w:shd w:val="clear" w:color="auto" w:fill="auto"/>
            <w:vAlign w:val="bottom"/>
          </w:tcPr>
          <w:p w14:paraId="5556EB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B2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auto"/>
            <w:vAlign w:val="bottom"/>
          </w:tcPr>
          <w:p w14:paraId="5556EB2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B2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356</w:t>
            </w:r>
          </w:p>
        </w:tc>
        <w:tc>
          <w:tcPr>
            <w:tcW w:w="0" w:type="auto"/>
            <w:tcBorders>
              <w:bottom w:val="single" w:sz="8" w:space="0" w:color="000000"/>
            </w:tcBorders>
            <w:shd w:val="clear" w:color="auto" w:fill="auto"/>
            <w:vAlign w:val="bottom"/>
          </w:tcPr>
          <w:p w14:paraId="5556EB2F" w14:textId="77777777" w:rsidR="00F925DD" w:rsidRDefault="00F925DD">
            <w:pPr>
              <w:textAlignment w:val="bottom"/>
              <w:rPr>
                <w:rFonts w:ascii="Times New Roman" w:hAnsi="Times New Roman"/>
                <w:sz w:val="20"/>
                <w:szCs w:val="20"/>
              </w:rPr>
            </w:pPr>
          </w:p>
        </w:tc>
      </w:tr>
      <w:tr w:rsidR="00F925DD" w14:paraId="5556EB3A" w14:textId="77777777">
        <w:tc>
          <w:tcPr>
            <w:tcW w:w="0" w:type="auto"/>
            <w:shd w:val="clear" w:color="auto" w:fill="CCEEFF"/>
            <w:tcMar>
              <w:top w:w="40" w:type="dxa"/>
              <w:left w:w="40" w:type="dxa"/>
              <w:bottom w:w="40" w:type="dxa"/>
              <w:right w:w="40" w:type="dxa"/>
            </w:tcMar>
            <w:vAlign w:val="bottom"/>
          </w:tcPr>
          <w:p w14:paraId="5556EB31"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future minimum lease payments</w:t>
            </w:r>
          </w:p>
        </w:tc>
        <w:tc>
          <w:tcPr>
            <w:tcW w:w="0" w:type="auto"/>
            <w:gridSpan w:val="2"/>
            <w:shd w:val="clear" w:color="auto" w:fill="CCEEFF"/>
            <w:tcMar>
              <w:top w:w="40" w:type="dxa"/>
              <w:left w:w="40" w:type="dxa"/>
              <w:bottom w:w="40" w:type="dxa"/>
            </w:tcMar>
            <w:vAlign w:val="bottom"/>
          </w:tcPr>
          <w:p w14:paraId="5556EB3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1,134</w:t>
            </w:r>
          </w:p>
        </w:tc>
        <w:tc>
          <w:tcPr>
            <w:tcW w:w="0" w:type="auto"/>
            <w:shd w:val="clear" w:color="auto" w:fill="CCEEFF"/>
            <w:vAlign w:val="bottom"/>
          </w:tcPr>
          <w:p w14:paraId="5556EB3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3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154</w:t>
            </w:r>
          </w:p>
        </w:tc>
        <w:tc>
          <w:tcPr>
            <w:tcW w:w="0" w:type="auto"/>
            <w:shd w:val="clear" w:color="auto" w:fill="CCEEFF"/>
            <w:vAlign w:val="bottom"/>
          </w:tcPr>
          <w:p w14:paraId="5556EB3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3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1,288</w:t>
            </w:r>
          </w:p>
        </w:tc>
        <w:tc>
          <w:tcPr>
            <w:tcW w:w="0" w:type="auto"/>
            <w:shd w:val="clear" w:color="auto" w:fill="CCEEFF"/>
            <w:vAlign w:val="bottom"/>
          </w:tcPr>
          <w:p w14:paraId="5556EB39" w14:textId="77777777" w:rsidR="00F925DD" w:rsidRDefault="00F925DD">
            <w:pPr>
              <w:textAlignment w:val="bottom"/>
              <w:rPr>
                <w:rFonts w:ascii="Times New Roman" w:hAnsi="Times New Roman"/>
                <w:sz w:val="20"/>
                <w:szCs w:val="20"/>
              </w:rPr>
            </w:pPr>
          </w:p>
        </w:tc>
      </w:tr>
      <w:tr w:rsidR="00F925DD" w14:paraId="5556EB44" w14:textId="77777777">
        <w:tc>
          <w:tcPr>
            <w:tcW w:w="0" w:type="auto"/>
            <w:shd w:val="clear" w:color="auto" w:fill="auto"/>
            <w:tcMar>
              <w:top w:w="40" w:type="dxa"/>
              <w:left w:w="40" w:type="dxa"/>
              <w:bottom w:w="40" w:type="dxa"/>
              <w:right w:w="40" w:type="dxa"/>
            </w:tcMar>
            <w:vAlign w:val="bottom"/>
          </w:tcPr>
          <w:p w14:paraId="5556EB3B" w14:textId="77777777" w:rsidR="00F925DD" w:rsidRDefault="00E705D7">
            <w:pPr>
              <w:textAlignment w:val="bottom"/>
              <w:rPr>
                <w:rFonts w:ascii="Times New Roman" w:hAnsi="Times New Roman"/>
                <w:sz w:val="14"/>
                <w:szCs w:val="14"/>
              </w:rPr>
            </w:pPr>
            <w:r>
              <w:rPr>
                <w:rFonts w:ascii="Arial" w:eastAsia="宋体" w:hAnsi="Arial" w:cs="Arial"/>
                <w:sz w:val="14"/>
                <w:szCs w:val="14"/>
              </w:rPr>
              <w:t>Less imputed interest</w:t>
            </w:r>
          </w:p>
        </w:tc>
        <w:tc>
          <w:tcPr>
            <w:tcW w:w="0" w:type="auto"/>
            <w:gridSpan w:val="2"/>
            <w:tcBorders>
              <w:bottom w:val="single" w:sz="8" w:space="0" w:color="000000"/>
            </w:tcBorders>
            <w:shd w:val="clear" w:color="auto" w:fill="auto"/>
            <w:tcMar>
              <w:top w:w="40" w:type="dxa"/>
              <w:left w:w="40" w:type="dxa"/>
              <w:bottom w:w="40" w:type="dxa"/>
            </w:tcMar>
            <w:vAlign w:val="bottom"/>
          </w:tcPr>
          <w:p w14:paraId="5556EB3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(114</w:t>
            </w:r>
          </w:p>
        </w:tc>
        <w:tc>
          <w:tcPr>
            <w:tcW w:w="0" w:type="auto"/>
            <w:tcBorders>
              <w:bottom w:val="single" w:sz="8" w:space="0" w:color="000000"/>
            </w:tcBorders>
            <w:shd w:val="clear" w:color="auto" w:fill="auto"/>
            <w:tcMar>
              <w:top w:w="40" w:type="dxa"/>
              <w:bottom w:w="40" w:type="dxa"/>
              <w:right w:w="40" w:type="dxa"/>
            </w:tcMar>
            <w:vAlign w:val="bottom"/>
          </w:tcPr>
          <w:p w14:paraId="5556EB3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B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B3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w:t>
            </w:r>
          </w:p>
        </w:tc>
        <w:tc>
          <w:tcPr>
            <w:tcW w:w="0" w:type="auto"/>
            <w:tcBorders>
              <w:bottom w:val="single" w:sz="8" w:space="0" w:color="000000"/>
            </w:tcBorders>
            <w:shd w:val="clear" w:color="auto" w:fill="auto"/>
            <w:tcMar>
              <w:top w:w="40" w:type="dxa"/>
              <w:bottom w:w="40" w:type="dxa"/>
              <w:right w:w="40" w:type="dxa"/>
            </w:tcMar>
            <w:vAlign w:val="bottom"/>
          </w:tcPr>
          <w:p w14:paraId="5556EB4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B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B4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(132</w:t>
            </w:r>
          </w:p>
        </w:tc>
        <w:tc>
          <w:tcPr>
            <w:tcW w:w="0" w:type="auto"/>
            <w:tcBorders>
              <w:bottom w:val="single" w:sz="8" w:space="0" w:color="000000"/>
            </w:tcBorders>
            <w:shd w:val="clear" w:color="auto" w:fill="auto"/>
            <w:tcMar>
              <w:top w:w="40" w:type="dxa"/>
              <w:bottom w:w="40" w:type="dxa"/>
              <w:right w:w="40" w:type="dxa"/>
            </w:tcMar>
            <w:vAlign w:val="bottom"/>
          </w:tcPr>
          <w:p w14:paraId="5556EB4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EB51" w14:textId="77777777">
        <w:tc>
          <w:tcPr>
            <w:tcW w:w="0" w:type="auto"/>
            <w:shd w:val="clear" w:color="auto" w:fill="CCEEFF"/>
            <w:tcMar>
              <w:top w:w="40" w:type="dxa"/>
              <w:left w:w="40" w:type="dxa"/>
              <w:bottom w:w="40" w:type="dxa"/>
              <w:right w:w="40" w:type="dxa"/>
            </w:tcMar>
            <w:vAlign w:val="bottom"/>
          </w:tcPr>
          <w:p w14:paraId="5556EB45" w14:textId="77777777" w:rsidR="00F925DD" w:rsidRDefault="00E705D7">
            <w:pPr>
              <w:textAlignment w:val="bottom"/>
              <w:rPr>
                <w:rFonts w:ascii="Times New Roman" w:hAnsi="Times New Roman"/>
                <w:sz w:val="14"/>
                <w:szCs w:val="14"/>
              </w:rPr>
            </w:pPr>
            <w:r>
              <w:rPr>
                <w:rFonts w:ascii="Arial" w:eastAsia="宋体" w:hAnsi="Arial" w:cs="Arial"/>
                <w:sz w:val="14"/>
                <w:szCs w:val="14"/>
              </w:rPr>
              <w:t>     Total</w:t>
            </w:r>
          </w:p>
        </w:tc>
        <w:tc>
          <w:tcPr>
            <w:tcW w:w="0" w:type="auto"/>
            <w:tcBorders>
              <w:bottom w:val="double" w:sz="6" w:space="0" w:color="000000"/>
            </w:tcBorders>
            <w:shd w:val="clear" w:color="auto" w:fill="CCEEFF"/>
            <w:tcMar>
              <w:top w:w="40" w:type="dxa"/>
              <w:left w:w="40" w:type="dxa"/>
              <w:bottom w:w="40" w:type="dxa"/>
            </w:tcMar>
            <w:vAlign w:val="bottom"/>
          </w:tcPr>
          <w:p w14:paraId="5556EB4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EB4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1,020</w:t>
            </w:r>
          </w:p>
        </w:tc>
        <w:tc>
          <w:tcPr>
            <w:tcW w:w="0" w:type="auto"/>
            <w:tcBorders>
              <w:bottom w:val="double" w:sz="6" w:space="0" w:color="000000"/>
            </w:tcBorders>
            <w:shd w:val="clear" w:color="auto" w:fill="CCEEFF"/>
            <w:vAlign w:val="bottom"/>
          </w:tcPr>
          <w:p w14:paraId="5556EB4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EB4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EB4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136</w:t>
            </w:r>
          </w:p>
        </w:tc>
        <w:tc>
          <w:tcPr>
            <w:tcW w:w="0" w:type="auto"/>
            <w:tcBorders>
              <w:bottom w:val="double" w:sz="6" w:space="0" w:color="000000"/>
            </w:tcBorders>
            <w:shd w:val="clear" w:color="auto" w:fill="CCEEFF"/>
            <w:vAlign w:val="bottom"/>
          </w:tcPr>
          <w:p w14:paraId="5556EB4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EB4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EB4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1,156</w:t>
            </w:r>
          </w:p>
        </w:tc>
        <w:tc>
          <w:tcPr>
            <w:tcW w:w="0" w:type="auto"/>
            <w:tcBorders>
              <w:bottom w:val="double" w:sz="6" w:space="0" w:color="000000"/>
            </w:tcBorders>
            <w:shd w:val="clear" w:color="auto" w:fill="CCEEFF"/>
            <w:vAlign w:val="bottom"/>
          </w:tcPr>
          <w:p w14:paraId="5556EB50" w14:textId="77777777" w:rsidR="00F925DD" w:rsidRDefault="00F925DD">
            <w:pPr>
              <w:textAlignment w:val="bottom"/>
              <w:rPr>
                <w:rFonts w:ascii="Times New Roman" w:hAnsi="Times New Roman"/>
                <w:sz w:val="20"/>
                <w:szCs w:val="20"/>
              </w:rPr>
            </w:pPr>
          </w:p>
        </w:tc>
      </w:tr>
    </w:tbl>
    <w:p w14:paraId="5556EB52" w14:textId="77777777" w:rsidR="00F925DD" w:rsidRDefault="00F925DD">
      <w:pPr>
        <w:spacing w:line="288" w:lineRule="auto"/>
        <w:jc w:val="both"/>
        <w:rPr>
          <w:rFonts w:ascii="Times New Roman" w:hAnsi="Times New Roman"/>
          <w:sz w:val="20"/>
          <w:szCs w:val="20"/>
        </w:rPr>
      </w:pPr>
    </w:p>
    <w:p w14:paraId="5556EB5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details related to remaining lease terms and discount rate as of December 31, 2019:</w:t>
      </w:r>
    </w:p>
    <w:tbl>
      <w:tblPr>
        <w:tblW w:w="4990" w:type="pct"/>
        <w:jc w:val="center"/>
        <w:tblCellMar>
          <w:left w:w="0" w:type="dxa"/>
          <w:right w:w="0" w:type="dxa"/>
        </w:tblCellMar>
        <w:tblLook w:val="04A0" w:firstRow="1" w:lastRow="0" w:firstColumn="1" w:lastColumn="0" w:noHBand="0" w:noVBand="1"/>
      </w:tblPr>
      <w:tblGrid>
        <w:gridCol w:w="5993"/>
        <w:gridCol w:w="1931"/>
        <w:gridCol w:w="365"/>
      </w:tblGrid>
      <w:tr w:rsidR="00F925DD" w14:paraId="5556EB55" w14:textId="77777777">
        <w:trPr>
          <w:jc w:val="center"/>
        </w:trPr>
        <w:tc>
          <w:tcPr>
            <w:tcW w:w="0" w:type="auto"/>
            <w:gridSpan w:val="3"/>
            <w:shd w:val="clear" w:color="auto" w:fill="auto"/>
            <w:vAlign w:val="center"/>
          </w:tcPr>
          <w:p w14:paraId="5556EB54" w14:textId="77777777" w:rsidR="00F925DD" w:rsidRDefault="00F925DD">
            <w:pPr>
              <w:rPr>
                <w:rFonts w:ascii="Times New Roman" w:hAnsi="Times New Roman"/>
                <w:sz w:val="20"/>
                <w:szCs w:val="20"/>
              </w:rPr>
            </w:pPr>
          </w:p>
        </w:tc>
      </w:tr>
      <w:tr w:rsidR="00F925DD" w14:paraId="5556EB59" w14:textId="77777777">
        <w:trPr>
          <w:jc w:val="center"/>
        </w:trPr>
        <w:tc>
          <w:tcPr>
            <w:tcW w:w="3700" w:type="pct"/>
            <w:shd w:val="clear" w:color="auto" w:fill="auto"/>
            <w:vAlign w:val="center"/>
          </w:tcPr>
          <w:p w14:paraId="5556EB56" w14:textId="77777777" w:rsidR="00F925DD" w:rsidRDefault="00F925DD">
            <w:pPr>
              <w:rPr>
                <w:rFonts w:ascii="Times New Roman" w:hAnsi="Times New Roman"/>
                <w:sz w:val="20"/>
                <w:szCs w:val="20"/>
              </w:rPr>
            </w:pPr>
          </w:p>
        </w:tc>
        <w:tc>
          <w:tcPr>
            <w:tcW w:w="1250" w:type="pct"/>
            <w:shd w:val="clear" w:color="auto" w:fill="auto"/>
            <w:vAlign w:val="center"/>
          </w:tcPr>
          <w:p w14:paraId="5556EB57" w14:textId="77777777" w:rsidR="00F925DD" w:rsidRDefault="00F925DD">
            <w:pPr>
              <w:rPr>
                <w:rFonts w:ascii="Times New Roman" w:hAnsi="Times New Roman"/>
                <w:sz w:val="20"/>
                <w:szCs w:val="20"/>
              </w:rPr>
            </w:pPr>
          </w:p>
        </w:tc>
        <w:tc>
          <w:tcPr>
            <w:tcW w:w="50" w:type="pct"/>
            <w:shd w:val="clear" w:color="auto" w:fill="auto"/>
            <w:vAlign w:val="center"/>
          </w:tcPr>
          <w:p w14:paraId="5556EB58" w14:textId="77777777" w:rsidR="00F925DD" w:rsidRDefault="00F925DD">
            <w:pPr>
              <w:rPr>
                <w:rFonts w:ascii="Times New Roman" w:hAnsi="Times New Roman"/>
                <w:sz w:val="20"/>
                <w:szCs w:val="20"/>
              </w:rPr>
            </w:pPr>
          </w:p>
        </w:tc>
      </w:tr>
      <w:tr w:rsidR="00F925DD" w14:paraId="5556EB5C" w14:textId="77777777">
        <w:trPr>
          <w:jc w:val="center"/>
        </w:trPr>
        <w:tc>
          <w:tcPr>
            <w:tcW w:w="0" w:type="auto"/>
            <w:shd w:val="clear" w:color="auto" w:fill="auto"/>
            <w:tcMar>
              <w:top w:w="40" w:type="dxa"/>
              <w:left w:w="40" w:type="dxa"/>
              <w:bottom w:w="40" w:type="dxa"/>
              <w:right w:w="40" w:type="dxa"/>
            </w:tcMar>
            <w:vAlign w:val="bottom"/>
          </w:tcPr>
          <w:p w14:paraId="5556EB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EB5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 2019</w:t>
            </w:r>
          </w:p>
        </w:tc>
      </w:tr>
      <w:tr w:rsidR="00F925DD" w14:paraId="5556EB5F" w14:textId="77777777">
        <w:trPr>
          <w:jc w:val="center"/>
        </w:trPr>
        <w:tc>
          <w:tcPr>
            <w:tcW w:w="0" w:type="auto"/>
            <w:shd w:val="clear" w:color="auto" w:fill="auto"/>
            <w:tcMar>
              <w:top w:w="40" w:type="dxa"/>
              <w:left w:w="40" w:type="dxa"/>
              <w:bottom w:w="40" w:type="dxa"/>
              <w:right w:w="40" w:type="dxa"/>
            </w:tcMar>
            <w:vAlign w:val="bottom"/>
          </w:tcPr>
          <w:p w14:paraId="5556EB5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Weighted-average remaining lease term (in years):</w:t>
            </w:r>
          </w:p>
        </w:tc>
        <w:tc>
          <w:tcPr>
            <w:tcW w:w="0" w:type="auto"/>
            <w:gridSpan w:val="2"/>
            <w:shd w:val="clear" w:color="auto" w:fill="auto"/>
            <w:tcMar>
              <w:top w:w="40" w:type="dxa"/>
              <w:left w:w="40" w:type="dxa"/>
              <w:bottom w:w="40" w:type="dxa"/>
              <w:right w:w="40" w:type="dxa"/>
            </w:tcMar>
            <w:vAlign w:val="bottom"/>
          </w:tcPr>
          <w:p w14:paraId="5556EB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B63" w14:textId="77777777">
        <w:trPr>
          <w:jc w:val="center"/>
        </w:trPr>
        <w:tc>
          <w:tcPr>
            <w:tcW w:w="0" w:type="auto"/>
            <w:shd w:val="clear" w:color="auto" w:fill="CCEEFF"/>
            <w:tcMar>
              <w:top w:w="40" w:type="dxa"/>
              <w:left w:w="40" w:type="dxa"/>
              <w:bottom w:w="40" w:type="dxa"/>
              <w:right w:w="40" w:type="dxa"/>
            </w:tcMar>
            <w:vAlign w:val="bottom"/>
          </w:tcPr>
          <w:p w14:paraId="5556EB60" w14:textId="77777777" w:rsidR="00F925DD" w:rsidRDefault="00E705D7">
            <w:pPr>
              <w:textAlignment w:val="bottom"/>
              <w:rPr>
                <w:rFonts w:ascii="Times New Roman" w:hAnsi="Times New Roman"/>
                <w:sz w:val="14"/>
                <w:szCs w:val="14"/>
              </w:rPr>
            </w:pPr>
            <w:r>
              <w:rPr>
                <w:rFonts w:ascii="Arial" w:eastAsia="宋体" w:hAnsi="Arial" w:cs="Arial"/>
                <w:sz w:val="14"/>
                <w:szCs w:val="14"/>
              </w:rPr>
              <w:t>     Finance leases</w:t>
            </w:r>
          </w:p>
        </w:tc>
        <w:tc>
          <w:tcPr>
            <w:tcW w:w="0" w:type="auto"/>
            <w:shd w:val="clear" w:color="auto" w:fill="CCEEFF"/>
            <w:tcMar>
              <w:top w:w="40" w:type="dxa"/>
              <w:left w:w="40" w:type="dxa"/>
              <w:bottom w:w="40" w:type="dxa"/>
            </w:tcMar>
            <w:vAlign w:val="bottom"/>
          </w:tcPr>
          <w:p w14:paraId="5556EB6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3.8</w:t>
            </w:r>
          </w:p>
        </w:tc>
        <w:tc>
          <w:tcPr>
            <w:tcW w:w="0" w:type="auto"/>
            <w:shd w:val="clear" w:color="auto" w:fill="CCEEFF"/>
            <w:vAlign w:val="bottom"/>
          </w:tcPr>
          <w:p w14:paraId="5556EB62" w14:textId="77777777" w:rsidR="00F925DD" w:rsidRDefault="00F925DD">
            <w:pPr>
              <w:textAlignment w:val="bottom"/>
              <w:rPr>
                <w:rFonts w:ascii="Times New Roman" w:hAnsi="Times New Roman"/>
                <w:sz w:val="20"/>
                <w:szCs w:val="20"/>
              </w:rPr>
            </w:pPr>
          </w:p>
        </w:tc>
      </w:tr>
      <w:tr w:rsidR="00F925DD" w14:paraId="5556EB67" w14:textId="77777777">
        <w:trPr>
          <w:jc w:val="center"/>
        </w:trPr>
        <w:tc>
          <w:tcPr>
            <w:tcW w:w="0" w:type="auto"/>
            <w:shd w:val="clear" w:color="auto" w:fill="auto"/>
            <w:tcMar>
              <w:top w:w="40" w:type="dxa"/>
              <w:left w:w="40" w:type="dxa"/>
              <w:bottom w:w="40" w:type="dxa"/>
              <w:right w:w="40" w:type="dxa"/>
            </w:tcMar>
            <w:vAlign w:val="bottom"/>
          </w:tcPr>
          <w:p w14:paraId="5556EB64" w14:textId="77777777" w:rsidR="00F925DD" w:rsidRDefault="00E705D7">
            <w:pPr>
              <w:textAlignment w:val="bottom"/>
              <w:rPr>
                <w:rFonts w:ascii="Times New Roman" w:hAnsi="Times New Roman"/>
                <w:sz w:val="14"/>
                <w:szCs w:val="14"/>
              </w:rPr>
            </w:pPr>
            <w:r>
              <w:rPr>
                <w:rFonts w:ascii="Arial" w:eastAsia="宋体" w:hAnsi="Arial" w:cs="Arial"/>
                <w:sz w:val="14"/>
                <w:szCs w:val="14"/>
              </w:rPr>
              <w:t>     Operating leases</w:t>
            </w:r>
          </w:p>
        </w:tc>
        <w:tc>
          <w:tcPr>
            <w:tcW w:w="0" w:type="auto"/>
            <w:shd w:val="clear" w:color="auto" w:fill="auto"/>
            <w:tcMar>
              <w:top w:w="40" w:type="dxa"/>
              <w:left w:w="40" w:type="dxa"/>
              <w:bottom w:w="40" w:type="dxa"/>
            </w:tcMar>
            <w:vAlign w:val="bottom"/>
          </w:tcPr>
          <w:p w14:paraId="5556EB6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7.6</w:t>
            </w:r>
          </w:p>
        </w:tc>
        <w:tc>
          <w:tcPr>
            <w:tcW w:w="0" w:type="auto"/>
            <w:shd w:val="clear" w:color="auto" w:fill="auto"/>
            <w:vAlign w:val="bottom"/>
          </w:tcPr>
          <w:p w14:paraId="5556EB66" w14:textId="77777777" w:rsidR="00F925DD" w:rsidRDefault="00F925DD">
            <w:pPr>
              <w:textAlignment w:val="bottom"/>
              <w:rPr>
                <w:rFonts w:ascii="Times New Roman" w:hAnsi="Times New Roman"/>
                <w:sz w:val="20"/>
                <w:szCs w:val="20"/>
              </w:rPr>
            </w:pPr>
          </w:p>
        </w:tc>
      </w:tr>
      <w:tr w:rsidR="00F925DD" w14:paraId="5556EB69" w14:textId="77777777">
        <w:trPr>
          <w:jc w:val="center"/>
        </w:trPr>
        <w:tc>
          <w:tcPr>
            <w:tcW w:w="0" w:type="auto"/>
            <w:gridSpan w:val="3"/>
            <w:shd w:val="clear" w:color="auto" w:fill="CCEEFF"/>
            <w:tcMar>
              <w:top w:w="40" w:type="dxa"/>
              <w:left w:w="40" w:type="dxa"/>
              <w:bottom w:w="40" w:type="dxa"/>
              <w:right w:w="40" w:type="dxa"/>
            </w:tcMar>
            <w:vAlign w:val="bottom"/>
          </w:tcPr>
          <w:p w14:paraId="5556EB6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Weighted-average discount rate:</w:t>
            </w:r>
          </w:p>
        </w:tc>
      </w:tr>
      <w:tr w:rsidR="00F925DD" w14:paraId="5556EB6D" w14:textId="77777777">
        <w:trPr>
          <w:jc w:val="center"/>
        </w:trPr>
        <w:tc>
          <w:tcPr>
            <w:tcW w:w="0" w:type="auto"/>
            <w:shd w:val="clear" w:color="auto" w:fill="auto"/>
            <w:tcMar>
              <w:top w:w="40" w:type="dxa"/>
              <w:left w:w="40" w:type="dxa"/>
              <w:bottom w:w="40" w:type="dxa"/>
              <w:right w:w="40" w:type="dxa"/>
            </w:tcMar>
            <w:vAlign w:val="bottom"/>
          </w:tcPr>
          <w:p w14:paraId="5556EB6A" w14:textId="77777777" w:rsidR="00F925DD" w:rsidRDefault="00E705D7">
            <w:pPr>
              <w:textAlignment w:val="bottom"/>
              <w:rPr>
                <w:rFonts w:ascii="Times New Roman" w:hAnsi="Times New Roman"/>
                <w:sz w:val="14"/>
                <w:szCs w:val="14"/>
              </w:rPr>
            </w:pPr>
            <w:r>
              <w:rPr>
                <w:rFonts w:ascii="Arial" w:eastAsia="宋体" w:hAnsi="Arial" w:cs="Arial"/>
                <w:sz w:val="14"/>
                <w:szCs w:val="14"/>
              </w:rPr>
              <w:t>     Finance leases</w:t>
            </w:r>
          </w:p>
        </w:tc>
        <w:tc>
          <w:tcPr>
            <w:tcW w:w="0" w:type="auto"/>
            <w:shd w:val="clear" w:color="auto" w:fill="auto"/>
            <w:tcMar>
              <w:top w:w="40" w:type="dxa"/>
              <w:left w:w="40" w:type="dxa"/>
              <w:bottom w:w="40" w:type="dxa"/>
            </w:tcMar>
            <w:vAlign w:val="bottom"/>
          </w:tcPr>
          <w:p w14:paraId="5556EB6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shd w:val="clear" w:color="auto" w:fill="auto"/>
            <w:tcMar>
              <w:top w:w="40" w:type="dxa"/>
              <w:bottom w:w="40" w:type="dxa"/>
              <w:right w:w="240" w:type="dxa"/>
            </w:tcMar>
            <w:vAlign w:val="bottom"/>
          </w:tcPr>
          <w:p w14:paraId="5556EB6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EB71" w14:textId="77777777">
        <w:trPr>
          <w:jc w:val="center"/>
        </w:trPr>
        <w:tc>
          <w:tcPr>
            <w:tcW w:w="0" w:type="auto"/>
            <w:shd w:val="clear" w:color="auto" w:fill="CCEEFF"/>
            <w:tcMar>
              <w:top w:w="40" w:type="dxa"/>
              <w:left w:w="40" w:type="dxa"/>
              <w:bottom w:w="40" w:type="dxa"/>
              <w:right w:w="40" w:type="dxa"/>
            </w:tcMar>
            <w:vAlign w:val="bottom"/>
          </w:tcPr>
          <w:p w14:paraId="5556EB6E" w14:textId="77777777" w:rsidR="00F925DD" w:rsidRDefault="00E705D7">
            <w:pPr>
              <w:textAlignment w:val="bottom"/>
              <w:rPr>
                <w:rFonts w:ascii="Times New Roman" w:hAnsi="Times New Roman"/>
                <w:sz w:val="14"/>
                <w:szCs w:val="14"/>
              </w:rPr>
            </w:pPr>
            <w:r>
              <w:rPr>
                <w:rFonts w:ascii="Arial" w:eastAsia="宋体" w:hAnsi="Arial" w:cs="Arial"/>
                <w:sz w:val="14"/>
                <w:szCs w:val="14"/>
              </w:rPr>
              <w:t>     Operating leases</w:t>
            </w:r>
          </w:p>
        </w:tc>
        <w:tc>
          <w:tcPr>
            <w:tcW w:w="0" w:type="auto"/>
            <w:shd w:val="clear" w:color="auto" w:fill="CCEEFF"/>
            <w:tcMar>
              <w:top w:w="40" w:type="dxa"/>
              <w:left w:w="40" w:type="dxa"/>
              <w:bottom w:w="40" w:type="dxa"/>
            </w:tcMar>
            <w:vAlign w:val="bottom"/>
          </w:tcPr>
          <w:p w14:paraId="5556EB6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CCEEFF"/>
            <w:tcMar>
              <w:top w:w="40" w:type="dxa"/>
              <w:bottom w:w="40" w:type="dxa"/>
              <w:right w:w="240" w:type="dxa"/>
            </w:tcMar>
            <w:vAlign w:val="bottom"/>
          </w:tcPr>
          <w:p w14:paraId="5556EB7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bl>
    <w:p w14:paraId="5556EB72" w14:textId="77777777" w:rsidR="00F925DD" w:rsidRDefault="00F925DD">
      <w:pPr>
        <w:spacing w:line="288" w:lineRule="auto"/>
        <w:jc w:val="center"/>
        <w:rPr>
          <w:rFonts w:ascii="Times New Roman" w:hAnsi="Times New Roman"/>
          <w:sz w:val="20"/>
          <w:szCs w:val="20"/>
        </w:rPr>
      </w:pPr>
    </w:p>
    <w:p w14:paraId="5556EB73"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EB74"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21.    Expenses</w:t>
      </w:r>
    </w:p>
    <w:p w14:paraId="5556EB75" w14:textId="77777777" w:rsidR="00F925DD" w:rsidRDefault="00E705D7">
      <w:pPr>
        <w:spacing w:line="288" w:lineRule="auto"/>
        <w:rPr>
          <w:rFonts w:ascii="Times New Roman" w:hAnsi="Times New Roman"/>
          <w:sz w:val="20"/>
          <w:szCs w:val="20"/>
        </w:rPr>
      </w:pPr>
      <w:r>
        <w:rPr>
          <w:rFonts w:ascii="Arial" w:eastAsia="宋体" w:hAnsi="Arial" w:cs="Arial"/>
          <w:sz w:val="20"/>
          <w:szCs w:val="20"/>
        </w:rPr>
        <w:t xml:space="preserve">The following table presents the components of other expenses for the periods indicated: </w:t>
      </w:r>
    </w:p>
    <w:tbl>
      <w:tblPr>
        <w:tblW w:w="5000" w:type="pct"/>
        <w:tblCellMar>
          <w:left w:w="0" w:type="dxa"/>
          <w:right w:w="0" w:type="dxa"/>
        </w:tblCellMar>
        <w:tblLook w:val="04A0" w:firstRow="1" w:lastRow="0" w:firstColumn="1" w:lastColumn="0" w:noHBand="0" w:noVBand="1"/>
      </w:tblPr>
      <w:tblGrid>
        <w:gridCol w:w="3975"/>
        <w:gridCol w:w="118"/>
        <w:gridCol w:w="1151"/>
        <w:gridCol w:w="71"/>
        <w:gridCol w:w="154"/>
        <w:gridCol w:w="118"/>
        <w:gridCol w:w="1151"/>
        <w:gridCol w:w="71"/>
        <w:gridCol w:w="154"/>
        <w:gridCol w:w="119"/>
        <w:gridCol w:w="1152"/>
        <w:gridCol w:w="72"/>
      </w:tblGrid>
      <w:tr w:rsidR="00F925DD" w14:paraId="5556EB77" w14:textId="77777777">
        <w:tc>
          <w:tcPr>
            <w:tcW w:w="0" w:type="auto"/>
            <w:gridSpan w:val="12"/>
            <w:shd w:val="clear" w:color="auto" w:fill="auto"/>
            <w:vAlign w:val="center"/>
          </w:tcPr>
          <w:p w14:paraId="5556EB76" w14:textId="77777777" w:rsidR="00F925DD" w:rsidRDefault="00F925DD">
            <w:pPr>
              <w:rPr>
                <w:rFonts w:ascii="Times New Roman" w:hAnsi="Times New Roman"/>
                <w:sz w:val="20"/>
                <w:szCs w:val="20"/>
              </w:rPr>
            </w:pPr>
          </w:p>
        </w:tc>
      </w:tr>
      <w:tr w:rsidR="00F925DD" w14:paraId="5556EB84" w14:textId="77777777">
        <w:tc>
          <w:tcPr>
            <w:tcW w:w="2400" w:type="pct"/>
            <w:shd w:val="clear" w:color="auto" w:fill="auto"/>
            <w:vAlign w:val="center"/>
          </w:tcPr>
          <w:p w14:paraId="5556EB78" w14:textId="77777777" w:rsidR="00F925DD" w:rsidRDefault="00F925DD">
            <w:pPr>
              <w:rPr>
                <w:rFonts w:ascii="Times New Roman" w:hAnsi="Times New Roman"/>
                <w:sz w:val="20"/>
                <w:szCs w:val="20"/>
              </w:rPr>
            </w:pPr>
          </w:p>
        </w:tc>
        <w:tc>
          <w:tcPr>
            <w:tcW w:w="50" w:type="pct"/>
            <w:shd w:val="clear" w:color="auto" w:fill="auto"/>
            <w:vAlign w:val="center"/>
          </w:tcPr>
          <w:p w14:paraId="5556EB79" w14:textId="77777777" w:rsidR="00F925DD" w:rsidRDefault="00F925DD">
            <w:pPr>
              <w:rPr>
                <w:rFonts w:ascii="Times New Roman" w:hAnsi="Times New Roman"/>
                <w:sz w:val="20"/>
                <w:szCs w:val="20"/>
              </w:rPr>
            </w:pPr>
          </w:p>
        </w:tc>
        <w:tc>
          <w:tcPr>
            <w:tcW w:w="700" w:type="pct"/>
            <w:shd w:val="clear" w:color="auto" w:fill="auto"/>
            <w:vAlign w:val="center"/>
          </w:tcPr>
          <w:p w14:paraId="5556EB7A" w14:textId="77777777" w:rsidR="00F925DD" w:rsidRDefault="00F925DD">
            <w:pPr>
              <w:rPr>
                <w:rFonts w:ascii="Times New Roman" w:hAnsi="Times New Roman"/>
                <w:sz w:val="20"/>
                <w:szCs w:val="20"/>
              </w:rPr>
            </w:pPr>
          </w:p>
        </w:tc>
        <w:tc>
          <w:tcPr>
            <w:tcW w:w="50" w:type="pct"/>
            <w:shd w:val="clear" w:color="auto" w:fill="auto"/>
            <w:vAlign w:val="center"/>
          </w:tcPr>
          <w:p w14:paraId="5556EB7B" w14:textId="77777777" w:rsidR="00F925DD" w:rsidRDefault="00F925DD">
            <w:pPr>
              <w:rPr>
                <w:rFonts w:ascii="Times New Roman" w:hAnsi="Times New Roman"/>
                <w:sz w:val="20"/>
                <w:szCs w:val="20"/>
              </w:rPr>
            </w:pPr>
          </w:p>
        </w:tc>
        <w:tc>
          <w:tcPr>
            <w:tcW w:w="100" w:type="pct"/>
            <w:shd w:val="clear" w:color="auto" w:fill="auto"/>
            <w:vAlign w:val="center"/>
          </w:tcPr>
          <w:p w14:paraId="5556EB7C" w14:textId="77777777" w:rsidR="00F925DD" w:rsidRDefault="00F925DD">
            <w:pPr>
              <w:rPr>
                <w:rFonts w:ascii="Times New Roman" w:hAnsi="Times New Roman"/>
                <w:sz w:val="20"/>
                <w:szCs w:val="20"/>
              </w:rPr>
            </w:pPr>
          </w:p>
        </w:tc>
        <w:tc>
          <w:tcPr>
            <w:tcW w:w="50" w:type="pct"/>
            <w:shd w:val="clear" w:color="auto" w:fill="auto"/>
            <w:vAlign w:val="center"/>
          </w:tcPr>
          <w:p w14:paraId="5556EB7D" w14:textId="77777777" w:rsidR="00F925DD" w:rsidRDefault="00F925DD">
            <w:pPr>
              <w:rPr>
                <w:rFonts w:ascii="Times New Roman" w:hAnsi="Times New Roman"/>
                <w:sz w:val="20"/>
                <w:szCs w:val="20"/>
              </w:rPr>
            </w:pPr>
          </w:p>
        </w:tc>
        <w:tc>
          <w:tcPr>
            <w:tcW w:w="700" w:type="pct"/>
            <w:shd w:val="clear" w:color="auto" w:fill="auto"/>
            <w:vAlign w:val="center"/>
          </w:tcPr>
          <w:p w14:paraId="5556EB7E" w14:textId="77777777" w:rsidR="00F925DD" w:rsidRDefault="00F925DD">
            <w:pPr>
              <w:rPr>
                <w:rFonts w:ascii="Times New Roman" w:hAnsi="Times New Roman"/>
                <w:sz w:val="20"/>
                <w:szCs w:val="20"/>
              </w:rPr>
            </w:pPr>
          </w:p>
        </w:tc>
        <w:tc>
          <w:tcPr>
            <w:tcW w:w="50" w:type="pct"/>
            <w:shd w:val="clear" w:color="auto" w:fill="auto"/>
            <w:vAlign w:val="center"/>
          </w:tcPr>
          <w:p w14:paraId="5556EB7F" w14:textId="77777777" w:rsidR="00F925DD" w:rsidRDefault="00F925DD">
            <w:pPr>
              <w:rPr>
                <w:rFonts w:ascii="Times New Roman" w:hAnsi="Times New Roman"/>
                <w:sz w:val="20"/>
                <w:szCs w:val="20"/>
              </w:rPr>
            </w:pPr>
          </w:p>
        </w:tc>
        <w:tc>
          <w:tcPr>
            <w:tcW w:w="100" w:type="pct"/>
            <w:shd w:val="clear" w:color="auto" w:fill="auto"/>
            <w:vAlign w:val="center"/>
          </w:tcPr>
          <w:p w14:paraId="5556EB80" w14:textId="77777777" w:rsidR="00F925DD" w:rsidRDefault="00F925DD">
            <w:pPr>
              <w:rPr>
                <w:rFonts w:ascii="Times New Roman" w:hAnsi="Times New Roman"/>
                <w:sz w:val="20"/>
                <w:szCs w:val="20"/>
              </w:rPr>
            </w:pPr>
          </w:p>
        </w:tc>
        <w:tc>
          <w:tcPr>
            <w:tcW w:w="50" w:type="pct"/>
            <w:shd w:val="clear" w:color="auto" w:fill="auto"/>
            <w:vAlign w:val="center"/>
          </w:tcPr>
          <w:p w14:paraId="5556EB81" w14:textId="77777777" w:rsidR="00F925DD" w:rsidRDefault="00F925DD">
            <w:pPr>
              <w:rPr>
                <w:rFonts w:ascii="Times New Roman" w:hAnsi="Times New Roman"/>
                <w:sz w:val="20"/>
                <w:szCs w:val="20"/>
              </w:rPr>
            </w:pPr>
          </w:p>
        </w:tc>
        <w:tc>
          <w:tcPr>
            <w:tcW w:w="700" w:type="pct"/>
            <w:shd w:val="clear" w:color="auto" w:fill="auto"/>
            <w:vAlign w:val="center"/>
          </w:tcPr>
          <w:p w14:paraId="5556EB82" w14:textId="77777777" w:rsidR="00F925DD" w:rsidRDefault="00F925DD">
            <w:pPr>
              <w:rPr>
                <w:rFonts w:ascii="Times New Roman" w:hAnsi="Times New Roman"/>
                <w:sz w:val="20"/>
                <w:szCs w:val="20"/>
              </w:rPr>
            </w:pPr>
          </w:p>
        </w:tc>
        <w:tc>
          <w:tcPr>
            <w:tcW w:w="50" w:type="pct"/>
            <w:shd w:val="clear" w:color="auto" w:fill="auto"/>
            <w:vAlign w:val="center"/>
          </w:tcPr>
          <w:p w14:paraId="5556EB83" w14:textId="77777777" w:rsidR="00F925DD" w:rsidRDefault="00F925DD">
            <w:pPr>
              <w:rPr>
                <w:rFonts w:ascii="Times New Roman" w:hAnsi="Times New Roman"/>
                <w:sz w:val="20"/>
                <w:szCs w:val="20"/>
              </w:rPr>
            </w:pPr>
          </w:p>
        </w:tc>
      </w:tr>
      <w:tr w:rsidR="00F925DD" w14:paraId="5556EB87" w14:textId="77777777">
        <w:tc>
          <w:tcPr>
            <w:tcW w:w="0" w:type="auto"/>
            <w:shd w:val="clear" w:color="auto" w:fill="auto"/>
            <w:tcMar>
              <w:top w:w="40" w:type="dxa"/>
              <w:left w:w="40" w:type="dxa"/>
              <w:bottom w:w="40" w:type="dxa"/>
              <w:right w:w="40" w:type="dxa"/>
            </w:tcMar>
            <w:vAlign w:val="bottom"/>
          </w:tcPr>
          <w:p w14:paraId="5556EB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EB8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EB8E" w14:textId="77777777">
        <w:tc>
          <w:tcPr>
            <w:tcW w:w="0" w:type="auto"/>
            <w:shd w:val="clear" w:color="auto" w:fill="auto"/>
            <w:tcMar>
              <w:top w:w="40" w:type="dxa"/>
              <w:left w:w="40" w:type="dxa"/>
              <w:bottom w:w="40" w:type="dxa"/>
              <w:right w:w="40" w:type="dxa"/>
            </w:tcMar>
            <w:vAlign w:val="bottom"/>
          </w:tcPr>
          <w:p w14:paraId="5556EB8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B8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EB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B8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EB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B8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EB9B" w14:textId="77777777">
        <w:tc>
          <w:tcPr>
            <w:tcW w:w="0" w:type="auto"/>
            <w:shd w:val="clear" w:color="auto" w:fill="CCEEFF"/>
            <w:tcMar>
              <w:top w:w="40" w:type="dxa"/>
              <w:left w:w="40" w:type="dxa"/>
              <w:bottom w:w="40" w:type="dxa"/>
              <w:right w:w="40" w:type="dxa"/>
            </w:tcMar>
            <w:vAlign w:val="bottom"/>
          </w:tcPr>
          <w:p w14:paraId="5556EB8F" w14:textId="77777777" w:rsidR="00F925DD" w:rsidRDefault="00E705D7">
            <w:pPr>
              <w:textAlignment w:val="bottom"/>
              <w:rPr>
                <w:rFonts w:ascii="Times New Roman" w:hAnsi="Times New Roman"/>
                <w:sz w:val="14"/>
                <w:szCs w:val="14"/>
              </w:rPr>
            </w:pPr>
            <w:r>
              <w:rPr>
                <w:rFonts w:ascii="Arial" w:eastAsia="宋体" w:hAnsi="Arial" w:cs="Arial"/>
                <w:sz w:val="14"/>
                <w:szCs w:val="14"/>
              </w:rPr>
              <w:t>Professional services</w:t>
            </w:r>
          </w:p>
        </w:tc>
        <w:tc>
          <w:tcPr>
            <w:tcW w:w="0" w:type="auto"/>
            <w:tcBorders>
              <w:top w:val="single" w:sz="8" w:space="0" w:color="000000"/>
            </w:tcBorders>
            <w:shd w:val="clear" w:color="auto" w:fill="CCEEFF"/>
            <w:tcMar>
              <w:top w:w="40" w:type="dxa"/>
              <w:left w:w="40" w:type="dxa"/>
              <w:bottom w:w="40" w:type="dxa"/>
            </w:tcMar>
            <w:vAlign w:val="bottom"/>
          </w:tcPr>
          <w:p w14:paraId="5556EB9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EB9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321</w:t>
            </w:r>
          </w:p>
        </w:tc>
        <w:tc>
          <w:tcPr>
            <w:tcW w:w="0" w:type="auto"/>
            <w:tcBorders>
              <w:top w:val="single" w:sz="8" w:space="0" w:color="000000"/>
            </w:tcBorders>
            <w:shd w:val="clear" w:color="auto" w:fill="CCEEFF"/>
            <w:vAlign w:val="bottom"/>
          </w:tcPr>
          <w:p w14:paraId="5556EB9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B9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EB9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357</w:t>
            </w:r>
          </w:p>
        </w:tc>
        <w:tc>
          <w:tcPr>
            <w:tcW w:w="0" w:type="auto"/>
            <w:shd w:val="clear" w:color="auto" w:fill="CCEEFF"/>
            <w:vAlign w:val="bottom"/>
          </w:tcPr>
          <w:p w14:paraId="5556EB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B9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EB9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340</w:t>
            </w:r>
          </w:p>
        </w:tc>
        <w:tc>
          <w:tcPr>
            <w:tcW w:w="0" w:type="auto"/>
            <w:shd w:val="clear" w:color="auto" w:fill="CCEEFF"/>
            <w:vAlign w:val="bottom"/>
          </w:tcPr>
          <w:p w14:paraId="5556EB9A" w14:textId="77777777" w:rsidR="00F925DD" w:rsidRDefault="00F925DD">
            <w:pPr>
              <w:textAlignment w:val="bottom"/>
              <w:rPr>
                <w:rFonts w:ascii="Times New Roman" w:hAnsi="Times New Roman"/>
                <w:sz w:val="20"/>
                <w:szCs w:val="20"/>
              </w:rPr>
            </w:pPr>
          </w:p>
        </w:tc>
      </w:tr>
      <w:tr w:rsidR="00F925DD" w14:paraId="5556EBA5" w14:textId="77777777">
        <w:tc>
          <w:tcPr>
            <w:tcW w:w="0" w:type="auto"/>
            <w:shd w:val="clear" w:color="auto" w:fill="auto"/>
            <w:tcMar>
              <w:top w:w="40" w:type="dxa"/>
              <w:left w:w="40" w:type="dxa"/>
              <w:bottom w:w="40" w:type="dxa"/>
              <w:right w:w="40" w:type="dxa"/>
            </w:tcMar>
            <w:vAlign w:val="bottom"/>
          </w:tcPr>
          <w:p w14:paraId="5556EB9C"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Sales advertising public </w:t>
            </w:r>
            <w:r>
              <w:rPr>
                <w:rFonts w:ascii="Arial" w:eastAsia="宋体" w:hAnsi="Arial" w:cs="Arial"/>
                <w:sz w:val="14"/>
                <w:szCs w:val="14"/>
              </w:rPr>
              <w:t>relations</w:t>
            </w:r>
          </w:p>
        </w:tc>
        <w:tc>
          <w:tcPr>
            <w:tcW w:w="0" w:type="auto"/>
            <w:gridSpan w:val="2"/>
            <w:shd w:val="clear" w:color="auto" w:fill="auto"/>
            <w:tcMar>
              <w:top w:w="40" w:type="dxa"/>
              <w:left w:w="40" w:type="dxa"/>
              <w:bottom w:w="40" w:type="dxa"/>
            </w:tcMar>
            <w:vAlign w:val="bottom"/>
          </w:tcPr>
          <w:p w14:paraId="5556EB9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114</w:t>
            </w:r>
          </w:p>
        </w:tc>
        <w:tc>
          <w:tcPr>
            <w:tcW w:w="0" w:type="auto"/>
            <w:shd w:val="clear" w:color="auto" w:fill="auto"/>
            <w:vAlign w:val="bottom"/>
          </w:tcPr>
          <w:p w14:paraId="5556EB9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9F"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EBA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115</w:t>
            </w:r>
          </w:p>
        </w:tc>
        <w:tc>
          <w:tcPr>
            <w:tcW w:w="0" w:type="auto"/>
            <w:shd w:val="clear" w:color="auto" w:fill="auto"/>
            <w:vAlign w:val="bottom"/>
          </w:tcPr>
          <w:p w14:paraId="5556EBA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A2"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EBA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67</w:t>
            </w:r>
          </w:p>
        </w:tc>
        <w:tc>
          <w:tcPr>
            <w:tcW w:w="0" w:type="auto"/>
            <w:shd w:val="clear" w:color="auto" w:fill="auto"/>
            <w:vAlign w:val="bottom"/>
          </w:tcPr>
          <w:p w14:paraId="5556EBA4" w14:textId="77777777" w:rsidR="00F925DD" w:rsidRDefault="00F925DD">
            <w:pPr>
              <w:textAlignment w:val="bottom"/>
              <w:rPr>
                <w:rFonts w:ascii="Times New Roman" w:hAnsi="Times New Roman"/>
                <w:sz w:val="20"/>
                <w:szCs w:val="20"/>
              </w:rPr>
            </w:pPr>
          </w:p>
        </w:tc>
      </w:tr>
      <w:tr w:rsidR="00F925DD" w14:paraId="5556EBAF" w14:textId="77777777">
        <w:tc>
          <w:tcPr>
            <w:tcW w:w="0" w:type="auto"/>
            <w:shd w:val="clear" w:color="auto" w:fill="CCEEFF"/>
            <w:tcMar>
              <w:top w:w="40" w:type="dxa"/>
              <w:left w:w="40" w:type="dxa"/>
              <w:bottom w:w="40" w:type="dxa"/>
              <w:right w:w="40" w:type="dxa"/>
            </w:tcMar>
            <w:vAlign w:val="bottom"/>
          </w:tcPr>
          <w:p w14:paraId="5556EBA6"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processing</w:t>
            </w:r>
          </w:p>
        </w:tc>
        <w:tc>
          <w:tcPr>
            <w:tcW w:w="0" w:type="auto"/>
            <w:gridSpan w:val="2"/>
            <w:shd w:val="clear" w:color="auto" w:fill="CCEEFF"/>
            <w:tcMar>
              <w:top w:w="40" w:type="dxa"/>
              <w:left w:w="40" w:type="dxa"/>
              <w:bottom w:w="40" w:type="dxa"/>
            </w:tcMar>
            <w:vAlign w:val="bottom"/>
          </w:tcPr>
          <w:p w14:paraId="5556EBA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75</w:t>
            </w:r>
          </w:p>
        </w:tc>
        <w:tc>
          <w:tcPr>
            <w:tcW w:w="0" w:type="auto"/>
            <w:shd w:val="clear" w:color="auto" w:fill="CCEEFF"/>
            <w:vAlign w:val="bottom"/>
          </w:tcPr>
          <w:p w14:paraId="5556EB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A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52</w:t>
            </w:r>
          </w:p>
        </w:tc>
        <w:tc>
          <w:tcPr>
            <w:tcW w:w="0" w:type="auto"/>
            <w:shd w:val="clear" w:color="auto" w:fill="CCEEFF"/>
            <w:vAlign w:val="bottom"/>
          </w:tcPr>
          <w:p w14:paraId="5556EB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A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CCEEFF"/>
            <w:vAlign w:val="bottom"/>
          </w:tcPr>
          <w:p w14:paraId="5556EBAE" w14:textId="77777777" w:rsidR="00F925DD" w:rsidRDefault="00F925DD">
            <w:pPr>
              <w:textAlignment w:val="bottom"/>
              <w:rPr>
                <w:rFonts w:ascii="Times New Roman" w:hAnsi="Times New Roman"/>
                <w:sz w:val="20"/>
                <w:szCs w:val="20"/>
              </w:rPr>
            </w:pPr>
          </w:p>
        </w:tc>
      </w:tr>
      <w:tr w:rsidR="00F925DD" w14:paraId="5556EBB9" w14:textId="77777777">
        <w:tc>
          <w:tcPr>
            <w:tcW w:w="0" w:type="auto"/>
            <w:shd w:val="clear" w:color="auto" w:fill="auto"/>
            <w:tcMar>
              <w:top w:w="40" w:type="dxa"/>
              <w:left w:w="40" w:type="dxa"/>
              <w:bottom w:w="40" w:type="dxa"/>
              <w:right w:w="40" w:type="dxa"/>
            </w:tcMar>
            <w:vAlign w:val="bottom"/>
          </w:tcPr>
          <w:p w14:paraId="5556EBB0" w14:textId="77777777" w:rsidR="00F925DD" w:rsidRDefault="00E705D7">
            <w:pPr>
              <w:textAlignment w:val="bottom"/>
              <w:rPr>
                <w:rFonts w:ascii="Times New Roman" w:hAnsi="Times New Roman"/>
                <w:sz w:val="14"/>
                <w:szCs w:val="14"/>
              </w:rPr>
            </w:pPr>
            <w:r>
              <w:rPr>
                <w:rFonts w:ascii="Arial" w:eastAsia="宋体" w:hAnsi="Arial" w:cs="Arial"/>
                <w:sz w:val="14"/>
                <w:szCs w:val="14"/>
              </w:rPr>
              <w:t>Regulatory fees and assessments</w:t>
            </w:r>
          </w:p>
        </w:tc>
        <w:tc>
          <w:tcPr>
            <w:tcW w:w="0" w:type="auto"/>
            <w:gridSpan w:val="2"/>
            <w:shd w:val="clear" w:color="auto" w:fill="auto"/>
            <w:tcMar>
              <w:top w:w="40" w:type="dxa"/>
              <w:left w:w="40" w:type="dxa"/>
              <w:bottom w:w="40" w:type="dxa"/>
            </w:tcMar>
            <w:vAlign w:val="bottom"/>
          </w:tcPr>
          <w:p w14:paraId="5556EBB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73</w:t>
            </w:r>
          </w:p>
        </w:tc>
        <w:tc>
          <w:tcPr>
            <w:tcW w:w="0" w:type="auto"/>
            <w:shd w:val="clear" w:color="auto" w:fill="auto"/>
            <w:vAlign w:val="bottom"/>
          </w:tcPr>
          <w:p w14:paraId="5556EB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BB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91</w:t>
            </w:r>
          </w:p>
        </w:tc>
        <w:tc>
          <w:tcPr>
            <w:tcW w:w="0" w:type="auto"/>
            <w:shd w:val="clear" w:color="auto" w:fill="auto"/>
            <w:vAlign w:val="bottom"/>
          </w:tcPr>
          <w:p w14:paraId="5556EB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BB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w:t>
            </w:r>
          </w:p>
        </w:tc>
        <w:tc>
          <w:tcPr>
            <w:tcW w:w="0" w:type="auto"/>
            <w:shd w:val="clear" w:color="auto" w:fill="auto"/>
            <w:vAlign w:val="bottom"/>
          </w:tcPr>
          <w:p w14:paraId="5556EBB8" w14:textId="77777777" w:rsidR="00F925DD" w:rsidRDefault="00F925DD">
            <w:pPr>
              <w:textAlignment w:val="bottom"/>
              <w:rPr>
                <w:rFonts w:ascii="Times New Roman" w:hAnsi="Times New Roman"/>
                <w:sz w:val="20"/>
                <w:szCs w:val="20"/>
              </w:rPr>
            </w:pPr>
          </w:p>
        </w:tc>
      </w:tr>
      <w:tr w:rsidR="00F925DD" w14:paraId="5556EBC3" w14:textId="77777777">
        <w:tc>
          <w:tcPr>
            <w:tcW w:w="0" w:type="auto"/>
            <w:shd w:val="clear" w:color="auto" w:fill="CCEEFF"/>
            <w:tcMar>
              <w:top w:w="40" w:type="dxa"/>
              <w:left w:w="40" w:type="dxa"/>
              <w:bottom w:w="40" w:type="dxa"/>
              <w:right w:w="40" w:type="dxa"/>
            </w:tcMar>
            <w:vAlign w:val="bottom"/>
          </w:tcPr>
          <w:p w14:paraId="5556EBBA" w14:textId="77777777" w:rsidR="00F925DD" w:rsidRDefault="00E705D7">
            <w:pPr>
              <w:textAlignment w:val="bottom"/>
              <w:rPr>
                <w:rFonts w:ascii="Times New Roman" w:hAnsi="Times New Roman"/>
                <w:sz w:val="14"/>
                <w:szCs w:val="14"/>
              </w:rPr>
            </w:pPr>
            <w:r>
              <w:rPr>
                <w:rFonts w:ascii="Arial" w:eastAsia="宋体" w:hAnsi="Arial" w:cs="Arial"/>
                <w:sz w:val="14"/>
                <w:szCs w:val="14"/>
              </w:rPr>
              <w:t>Bank operations</w:t>
            </w:r>
          </w:p>
        </w:tc>
        <w:tc>
          <w:tcPr>
            <w:tcW w:w="0" w:type="auto"/>
            <w:gridSpan w:val="2"/>
            <w:shd w:val="clear" w:color="auto" w:fill="CCEEFF"/>
            <w:tcMar>
              <w:top w:w="40" w:type="dxa"/>
              <w:left w:w="40" w:type="dxa"/>
              <w:bottom w:w="40" w:type="dxa"/>
            </w:tcMar>
            <w:vAlign w:val="bottom"/>
          </w:tcPr>
          <w:p w14:paraId="5556EBB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w:t>
            </w:r>
          </w:p>
        </w:tc>
        <w:tc>
          <w:tcPr>
            <w:tcW w:w="0" w:type="auto"/>
            <w:shd w:val="clear" w:color="auto" w:fill="CCEEFF"/>
            <w:vAlign w:val="bottom"/>
          </w:tcPr>
          <w:p w14:paraId="5556EBB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B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70</w:t>
            </w:r>
          </w:p>
        </w:tc>
        <w:tc>
          <w:tcPr>
            <w:tcW w:w="0" w:type="auto"/>
            <w:shd w:val="clear" w:color="auto" w:fill="CCEEFF"/>
            <w:vAlign w:val="bottom"/>
          </w:tcPr>
          <w:p w14:paraId="5556EB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C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80</w:t>
            </w:r>
          </w:p>
        </w:tc>
        <w:tc>
          <w:tcPr>
            <w:tcW w:w="0" w:type="auto"/>
            <w:shd w:val="clear" w:color="auto" w:fill="CCEEFF"/>
            <w:vAlign w:val="bottom"/>
          </w:tcPr>
          <w:p w14:paraId="5556EBC2" w14:textId="77777777" w:rsidR="00F925DD" w:rsidRDefault="00F925DD">
            <w:pPr>
              <w:textAlignment w:val="bottom"/>
              <w:rPr>
                <w:rFonts w:ascii="Times New Roman" w:hAnsi="Times New Roman"/>
                <w:sz w:val="20"/>
                <w:szCs w:val="20"/>
              </w:rPr>
            </w:pPr>
          </w:p>
        </w:tc>
      </w:tr>
      <w:tr w:rsidR="00F925DD" w14:paraId="5556EBCD" w14:textId="77777777">
        <w:tc>
          <w:tcPr>
            <w:tcW w:w="0" w:type="auto"/>
            <w:shd w:val="clear" w:color="auto" w:fill="auto"/>
            <w:tcMar>
              <w:top w:w="40" w:type="dxa"/>
              <w:left w:w="40" w:type="dxa"/>
              <w:bottom w:w="40" w:type="dxa"/>
              <w:right w:w="40" w:type="dxa"/>
            </w:tcMar>
            <w:vAlign w:val="bottom"/>
          </w:tcPr>
          <w:p w14:paraId="5556EBC4" w14:textId="77777777" w:rsidR="00F925DD" w:rsidRDefault="00E705D7">
            <w:pPr>
              <w:textAlignment w:val="bottom"/>
              <w:rPr>
                <w:rFonts w:ascii="Times New Roman" w:hAnsi="Times New Roman"/>
                <w:sz w:val="14"/>
                <w:szCs w:val="14"/>
              </w:rPr>
            </w:pPr>
            <w:r>
              <w:rPr>
                <w:rFonts w:ascii="Arial" w:eastAsia="宋体" w:hAnsi="Arial" w:cs="Arial"/>
                <w:sz w:val="14"/>
                <w:szCs w:val="14"/>
              </w:rPr>
              <w:t>Donations</w:t>
            </w:r>
          </w:p>
        </w:tc>
        <w:tc>
          <w:tcPr>
            <w:tcW w:w="0" w:type="auto"/>
            <w:gridSpan w:val="2"/>
            <w:shd w:val="clear" w:color="auto" w:fill="auto"/>
            <w:tcMar>
              <w:top w:w="40" w:type="dxa"/>
              <w:left w:w="40" w:type="dxa"/>
              <w:bottom w:w="40" w:type="dxa"/>
            </w:tcMar>
            <w:vAlign w:val="bottom"/>
          </w:tcPr>
          <w:p w14:paraId="5556EBC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51</w:t>
            </w:r>
          </w:p>
        </w:tc>
        <w:tc>
          <w:tcPr>
            <w:tcW w:w="0" w:type="auto"/>
            <w:shd w:val="clear" w:color="auto" w:fill="auto"/>
            <w:vAlign w:val="bottom"/>
          </w:tcPr>
          <w:p w14:paraId="5556EBC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BC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w:t>
            </w:r>
          </w:p>
        </w:tc>
        <w:tc>
          <w:tcPr>
            <w:tcW w:w="0" w:type="auto"/>
            <w:shd w:val="clear" w:color="auto" w:fill="auto"/>
            <w:vAlign w:val="bottom"/>
          </w:tcPr>
          <w:p w14:paraId="5556EBC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BC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w:t>
            </w:r>
          </w:p>
        </w:tc>
        <w:tc>
          <w:tcPr>
            <w:tcW w:w="0" w:type="auto"/>
            <w:shd w:val="clear" w:color="auto" w:fill="auto"/>
            <w:vAlign w:val="bottom"/>
          </w:tcPr>
          <w:p w14:paraId="5556EBCC" w14:textId="77777777" w:rsidR="00F925DD" w:rsidRDefault="00F925DD">
            <w:pPr>
              <w:textAlignment w:val="bottom"/>
              <w:rPr>
                <w:rFonts w:ascii="Times New Roman" w:hAnsi="Times New Roman"/>
                <w:sz w:val="20"/>
                <w:szCs w:val="20"/>
              </w:rPr>
            </w:pPr>
          </w:p>
        </w:tc>
      </w:tr>
      <w:tr w:rsidR="00F925DD" w14:paraId="5556EBD7" w14:textId="77777777">
        <w:tc>
          <w:tcPr>
            <w:tcW w:w="0" w:type="auto"/>
            <w:shd w:val="clear" w:color="auto" w:fill="CCEEFF"/>
            <w:tcMar>
              <w:top w:w="40" w:type="dxa"/>
              <w:left w:w="40" w:type="dxa"/>
              <w:bottom w:w="40" w:type="dxa"/>
              <w:right w:w="40" w:type="dxa"/>
            </w:tcMar>
            <w:vAlign w:val="bottom"/>
          </w:tcPr>
          <w:p w14:paraId="5556EBCE" w14:textId="77777777" w:rsidR="00F925DD" w:rsidRDefault="00E705D7">
            <w:pPr>
              <w:textAlignment w:val="bottom"/>
              <w:rPr>
                <w:rFonts w:ascii="Times New Roman" w:hAnsi="Times New Roman"/>
                <w:sz w:val="14"/>
                <w:szCs w:val="14"/>
              </w:rPr>
            </w:pPr>
            <w:r>
              <w:rPr>
                <w:rFonts w:ascii="Arial" w:eastAsia="宋体" w:hAnsi="Arial" w:cs="Arial"/>
                <w:sz w:val="14"/>
                <w:szCs w:val="14"/>
              </w:rPr>
              <w:t>Insurance</w:t>
            </w:r>
          </w:p>
        </w:tc>
        <w:tc>
          <w:tcPr>
            <w:tcW w:w="0" w:type="auto"/>
            <w:gridSpan w:val="2"/>
            <w:shd w:val="clear" w:color="auto" w:fill="CCEEFF"/>
            <w:tcMar>
              <w:top w:w="40" w:type="dxa"/>
              <w:left w:w="40" w:type="dxa"/>
              <w:bottom w:w="40" w:type="dxa"/>
            </w:tcMar>
            <w:vAlign w:val="bottom"/>
          </w:tcPr>
          <w:p w14:paraId="5556EBC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shd w:val="clear" w:color="auto" w:fill="CCEEFF"/>
            <w:vAlign w:val="bottom"/>
          </w:tcPr>
          <w:p w14:paraId="5556EB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D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w:t>
            </w:r>
          </w:p>
        </w:tc>
        <w:tc>
          <w:tcPr>
            <w:tcW w:w="0" w:type="auto"/>
            <w:shd w:val="clear" w:color="auto" w:fill="CCEEFF"/>
            <w:vAlign w:val="bottom"/>
          </w:tcPr>
          <w:p w14:paraId="5556EBD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BD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w:t>
            </w:r>
          </w:p>
        </w:tc>
        <w:tc>
          <w:tcPr>
            <w:tcW w:w="0" w:type="auto"/>
            <w:shd w:val="clear" w:color="auto" w:fill="CCEEFF"/>
            <w:vAlign w:val="bottom"/>
          </w:tcPr>
          <w:p w14:paraId="5556EBD6" w14:textId="77777777" w:rsidR="00F925DD" w:rsidRDefault="00F925DD">
            <w:pPr>
              <w:textAlignment w:val="bottom"/>
              <w:rPr>
                <w:rFonts w:ascii="Times New Roman" w:hAnsi="Times New Roman"/>
                <w:sz w:val="20"/>
                <w:szCs w:val="20"/>
              </w:rPr>
            </w:pPr>
          </w:p>
        </w:tc>
      </w:tr>
      <w:tr w:rsidR="00F925DD" w14:paraId="5556EBE1" w14:textId="77777777">
        <w:tc>
          <w:tcPr>
            <w:tcW w:w="0" w:type="auto"/>
            <w:shd w:val="clear" w:color="auto" w:fill="auto"/>
            <w:tcMar>
              <w:top w:w="40" w:type="dxa"/>
              <w:left w:w="40" w:type="dxa"/>
              <w:bottom w:w="40" w:type="dxa"/>
              <w:right w:w="40" w:type="dxa"/>
            </w:tcMar>
            <w:vAlign w:val="bottom"/>
          </w:tcPr>
          <w:p w14:paraId="5556EBD8"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5556EBD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566</w:t>
            </w:r>
          </w:p>
        </w:tc>
        <w:tc>
          <w:tcPr>
            <w:tcW w:w="0" w:type="auto"/>
            <w:tcBorders>
              <w:bottom w:val="single" w:sz="8" w:space="0" w:color="000000"/>
            </w:tcBorders>
            <w:shd w:val="clear" w:color="auto" w:fill="auto"/>
            <w:vAlign w:val="bottom"/>
          </w:tcPr>
          <w:p w14:paraId="5556EBD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BD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461</w:t>
            </w:r>
          </w:p>
        </w:tc>
        <w:tc>
          <w:tcPr>
            <w:tcW w:w="0" w:type="auto"/>
            <w:shd w:val="clear" w:color="auto" w:fill="auto"/>
            <w:vAlign w:val="bottom"/>
          </w:tcPr>
          <w:p w14:paraId="5556EBD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B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BD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287</w:t>
            </w:r>
          </w:p>
        </w:tc>
        <w:tc>
          <w:tcPr>
            <w:tcW w:w="0" w:type="auto"/>
            <w:shd w:val="clear" w:color="auto" w:fill="auto"/>
            <w:vAlign w:val="bottom"/>
          </w:tcPr>
          <w:p w14:paraId="5556EBE0" w14:textId="77777777" w:rsidR="00F925DD" w:rsidRDefault="00F925DD">
            <w:pPr>
              <w:textAlignment w:val="bottom"/>
              <w:rPr>
                <w:rFonts w:ascii="Times New Roman" w:hAnsi="Times New Roman"/>
                <w:sz w:val="20"/>
                <w:szCs w:val="20"/>
              </w:rPr>
            </w:pPr>
          </w:p>
        </w:tc>
      </w:tr>
      <w:tr w:rsidR="00F925DD" w14:paraId="5556EBEE" w14:textId="77777777">
        <w:tc>
          <w:tcPr>
            <w:tcW w:w="0" w:type="auto"/>
            <w:shd w:val="clear" w:color="auto" w:fill="CCEEFF"/>
            <w:tcMar>
              <w:top w:w="40" w:type="dxa"/>
              <w:left w:w="40" w:type="dxa"/>
              <w:bottom w:w="40" w:type="dxa"/>
              <w:right w:w="40" w:type="dxa"/>
            </w:tcMar>
            <w:vAlign w:val="bottom"/>
          </w:tcPr>
          <w:p w14:paraId="5556EBE2"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Total other </w:t>
            </w:r>
            <w:r>
              <w:rPr>
                <w:rFonts w:ascii="Arial" w:eastAsia="宋体" w:hAnsi="Arial" w:cs="Arial"/>
                <w:sz w:val="14"/>
                <w:szCs w:val="14"/>
              </w:rPr>
              <w:t>expenses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BE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BE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1,262</w:t>
            </w:r>
          </w:p>
        </w:tc>
        <w:tc>
          <w:tcPr>
            <w:tcW w:w="0" w:type="auto"/>
            <w:tcBorders>
              <w:top w:val="single" w:sz="8" w:space="0" w:color="000000"/>
              <w:bottom w:val="double" w:sz="6" w:space="0" w:color="000000"/>
            </w:tcBorders>
            <w:shd w:val="clear" w:color="auto" w:fill="CCEEFF"/>
            <w:vAlign w:val="bottom"/>
          </w:tcPr>
          <w:p w14:paraId="5556EBE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BE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BE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1,176</w:t>
            </w:r>
          </w:p>
        </w:tc>
        <w:tc>
          <w:tcPr>
            <w:tcW w:w="0" w:type="auto"/>
            <w:tcBorders>
              <w:top w:val="single" w:sz="8" w:space="0" w:color="000000"/>
              <w:bottom w:val="double" w:sz="6" w:space="0" w:color="000000"/>
            </w:tcBorders>
            <w:shd w:val="clear" w:color="auto" w:fill="CCEEFF"/>
            <w:vAlign w:val="bottom"/>
          </w:tcPr>
          <w:p w14:paraId="5556EBE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B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BE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BE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929</w:t>
            </w:r>
          </w:p>
        </w:tc>
        <w:tc>
          <w:tcPr>
            <w:tcW w:w="0" w:type="auto"/>
            <w:tcBorders>
              <w:top w:val="single" w:sz="8" w:space="0" w:color="000000"/>
              <w:bottom w:val="double" w:sz="6" w:space="0" w:color="000000"/>
            </w:tcBorders>
            <w:shd w:val="clear" w:color="auto" w:fill="CCEEFF"/>
            <w:vAlign w:val="bottom"/>
          </w:tcPr>
          <w:p w14:paraId="5556EBED" w14:textId="77777777" w:rsidR="00F925DD" w:rsidRDefault="00F925DD">
            <w:pPr>
              <w:textAlignment w:val="bottom"/>
              <w:rPr>
                <w:rFonts w:ascii="Times New Roman" w:hAnsi="Times New Roman"/>
                <w:sz w:val="20"/>
                <w:szCs w:val="20"/>
              </w:rPr>
            </w:pPr>
          </w:p>
        </w:tc>
      </w:tr>
    </w:tbl>
    <w:p w14:paraId="5556EBEF" w14:textId="77777777" w:rsidR="00F925DD" w:rsidRDefault="00F925DD"/>
    <w:p w14:paraId="5556EBF0"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Acquisition Costs</w:t>
      </w:r>
    </w:p>
    <w:p w14:paraId="5556EBF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We recorded $79 million of acquisition costs in 2019, primarily related to our acquisition of CRD. In 2018, we recorded approximately $31 million of acquisition costs related to our </w:t>
      </w:r>
      <w:r>
        <w:rPr>
          <w:rFonts w:ascii="Arial" w:eastAsia="宋体" w:hAnsi="Arial" w:cs="Arial"/>
          <w:sz w:val="20"/>
          <w:szCs w:val="20"/>
        </w:rPr>
        <w:t xml:space="preserve">acquisition of CRD and in 2017 we recorded approximately $21 million of acquisition costs primarily related to our acquisition of the GEAM business. As we integrate CRD into our business, we expect to incur approximately $200 million of acquisition costs, </w:t>
      </w:r>
      <w:r>
        <w:rPr>
          <w:rFonts w:ascii="Arial" w:eastAsia="宋体" w:hAnsi="Arial" w:cs="Arial"/>
          <w:sz w:val="20"/>
          <w:szCs w:val="20"/>
        </w:rPr>
        <w:t>including merger and integration costs, through 2021.</w:t>
      </w:r>
    </w:p>
    <w:p w14:paraId="5556EBF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Restructuring and Repositioning Charges</w:t>
      </w:r>
    </w:p>
    <w:p w14:paraId="5556EBF3" w14:textId="77777777" w:rsidR="00F925DD" w:rsidRDefault="00E705D7">
      <w:pPr>
        <w:spacing w:line="288" w:lineRule="auto"/>
        <w:jc w:val="both"/>
        <w:rPr>
          <w:rFonts w:ascii="Times New Roman" w:hAnsi="Times New Roman"/>
          <w:sz w:val="20"/>
          <w:szCs w:val="20"/>
        </w:rPr>
      </w:pPr>
      <w:r>
        <w:rPr>
          <w:rFonts w:ascii="Arial" w:eastAsia="宋体" w:hAnsi="Arial" w:cs="Arial"/>
          <w:i/>
          <w:iCs/>
          <w:sz w:val="20"/>
          <w:szCs w:val="20"/>
        </w:rPr>
        <w:t>Repositioning Charges</w:t>
      </w:r>
    </w:p>
    <w:p w14:paraId="5556EBF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2019, we recorded $110 million of repositioning charges, including $98 million of compensation and employee benefits expenses and $12 mil</w:t>
      </w:r>
      <w:r>
        <w:rPr>
          <w:rFonts w:ascii="Arial" w:eastAsia="宋体" w:hAnsi="Arial" w:cs="Arial"/>
          <w:sz w:val="20"/>
          <w:szCs w:val="20"/>
        </w:rPr>
        <w:t>lion of occupancy costs, to further drive process automation, information technology optimizations and organization rationalization in 2020.</w:t>
      </w:r>
    </w:p>
    <w:p w14:paraId="5556EBF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In late 2018, we initiated an expense program to accelerate efforts to become a higher-performing organization and </w:t>
      </w:r>
      <w:r>
        <w:rPr>
          <w:rFonts w:ascii="Arial" w:eastAsia="宋体" w:hAnsi="Arial" w:cs="Arial"/>
          <w:sz w:val="20"/>
          <w:szCs w:val="20"/>
        </w:rPr>
        <w:t xml:space="preserve">help navigate challenging market and industry conditions. Total repositioning charges were $300 million in 2018, including $259 million of compensation and employee benefits expenses and $41 million of occupancy costs. </w:t>
      </w:r>
    </w:p>
    <w:p w14:paraId="5556EBF6" w14:textId="77777777" w:rsidR="00F925DD" w:rsidRDefault="00F925DD">
      <w:pPr>
        <w:rPr>
          <w:rFonts w:ascii="Times New Roman" w:hAnsi="Times New Roman"/>
          <w:sz w:val="20"/>
          <w:szCs w:val="20"/>
        </w:rPr>
      </w:pPr>
    </w:p>
    <w:p w14:paraId="5556EBF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167</w:t>
      </w:r>
    </w:p>
    <w:p w14:paraId="5556EBF8" w14:textId="77777777" w:rsidR="00F925DD" w:rsidRDefault="00F925DD">
      <w:pPr>
        <w:spacing w:line="288" w:lineRule="auto"/>
        <w:ind w:firstLine="600"/>
        <w:jc w:val="center"/>
        <w:rPr>
          <w:rFonts w:ascii="Times New Roman" w:hAnsi="Times New Roman"/>
          <w:sz w:val="18"/>
          <w:szCs w:val="18"/>
        </w:rPr>
      </w:pPr>
    </w:p>
    <w:p w14:paraId="5556EBF9" w14:textId="77777777" w:rsidR="00F925DD" w:rsidRDefault="00E705D7">
      <w:r>
        <w:rPr>
          <w:rFonts w:ascii="Times New Roman" w:hAnsi="Times New Roman"/>
          <w:sz w:val="18"/>
          <w:szCs w:val="18"/>
        </w:rPr>
        <w:pict w14:anchorId="555706E1">
          <v:rect id="_x0000_i1191" style="width:415.3pt;height:1.5pt" o:hralign="center" o:hrstd="t" o:hr="t" fillcolor="#a0a0a0" stroked="f"/>
        </w:pict>
      </w:r>
    </w:p>
    <w:p w14:paraId="5556EBF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BF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BFC" w14:textId="77777777" w:rsidR="00F925DD" w:rsidRDefault="00F925DD">
      <w:pPr>
        <w:rPr>
          <w:rFonts w:ascii="Times New Roman" w:hAnsi="Times New Roman"/>
          <w:sz w:val="20"/>
          <w:szCs w:val="20"/>
        </w:rPr>
      </w:pPr>
    </w:p>
    <w:p w14:paraId="5556EBF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aggregate activity for repositioning charges and activity related to previous Beacon restructuring charges for the periods indicated:</w:t>
      </w:r>
    </w:p>
    <w:tbl>
      <w:tblPr>
        <w:tblW w:w="5000" w:type="pct"/>
        <w:tblCellMar>
          <w:left w:w="0" w:type="dxa"/>
          <w:right w:w="0" w:type="dxa"/>
        </w:tblCellMar>
        <w:tblLook w:val="04A0" w:firstRow="1" w:lastRow="0" w:firstColumn="1" w:lastColumn="0" w:noHBand="0" w:noVBand="1"/>
      </w:tblPr>
      <w:tblGrid>
        <w:gridCol w:w="2472"/>
        <w:gridCol w:w="119"/>
        <w:gridCol w:w="1143"/>
        <w:gridCol w:w="87"/>
        <w:gridCol w:w="146"/>
        <w:gridCol w:w="119"/>
        <w:gridCol w:w="1143"/>
        <w:gridCol w:w="87"/>
        <w:gridCol w:w="146"/>
        <w:gridCol w:w="119"/>
        <w:gridCol w:w="1143"/>
        <w:gridCol w:w="87"/>
        <w:gridCol w:w="146"/>
        <w:gridCol w:w="118"/>
        <w:gridCol w:w="1144"/>
        <w:gridCol w:w="87"/>
      </w:tblGrid>
      <w:tr w:rsidR="00F925DD" w14:paraId="5556EBFF" w14:textId="77777777">
        <w:tc>
          <w:tcPr>
            <w:tcW w:w="0" w:type="auto"/>
            <w:gridSpan w:val="16"/>
            <w:shd w:val="clear" w:color="auto" w:fill="auto"/>
            <w:vAlign w:val="center"/>
          </w:tcPr>
          <w:p w14:paraId="5556EBFE" w14:textId="77777777" w:rsidR="00F925DD" w:rsidRDefault="00F925DD">
            <w:pPr>
              <w:rPr>
                <w:rFonts w:ascii="Times New Roman" w:hAnsi="Times New Roman"/>
                <w:sz w:val="20"/>
                <w:szCs w:val="20"/>
              </w:rPr>
            </w:pPr>
          </w:p>
        </w:tc>
      </w:tr>
      <w:tr w:rsidR="00F925DD" w14:paraId="5556EC10" w14:textId="77777777">
        <w:tc>
          <w:tcPr>
            <w:tcW w:w="1500" w:type="pct"/>
            <w:shd w:val="clear" w:color="auto" w:fill="auto"/>
            <w:vAlign w:val="center"/>
          </w:tcPr>
          <w:p w14:paraId="5556EC00" w14:textId="77777777" w:rsidR="00F925DD" w:rsidRDefault="00F925DD">
            <w:pPr>
              <w:rPr>
                <w:rFonts w:ascii="Times New Roman" w:hAnsi="Times New Roman"/>
                <w:sz w:val="20"/>
                <w:szCs w:val="20"/>
              </w:rPr>
            </w:pPr>
          </w:p>
        </w:tc>
        <w:tc>
          <w:tcPr>
            <w:tcW w:w="50" w:type="pct"/>
            <w:shd w:val="clear" w:color="auto" w:fill="auto"/>
            <w:vAlign w:val="center"/>
          </w:tcPr>
          <w:p w14:paraId="5556EC01" w14:textId="77777777" w:rsidR="00F925DD" w:rsidRDefault="00F925DD">
            <w:pPr>
              <w:rPr>
                <w:rFonts w:ascii="Times New Roman" w:hAnsi="Times New Roman"/>
                <w:sz w:val="20"/>
                <w:szCs w:val="20"/>
              </w:rPr>
            </w:pPr>
          </w:p>
        </w:tc>
        <w:tc>
          <w:tcPr>
            <w:tcW w:w="700" w:type="pct"/>
            <w:shd w:val="clear" w:color="auto" w:fill="auto"/>
            <w:vAlign w:val="center"/>
          </w:tcPr>
          <w:p w14:paraId="5556EC02" w14:textId="77777777" w:rsidR="00F925DD" w:rsidRDefault="00F925DD">
            <w:pPr>
              <w:rPr>
                <w:rFonts w:ascii="Times New Roman" w:hAnsi="Times New Roman"/>
                <w:sz w:val="20"/>
                <w:szCs w:val="20"/>
              </w:rPr>
            </w:pPr>
          </w:p>
        </w:tc>
        <w:tc>
          <w:tcPr>
            <w:tcW w:w="50" w:type="pct"/>
            <w:shd w:val="clear" w:color="auto" w:fill="auto"/>
            <w:vAlign w:val="center"/>
          </w:tcPr>
          <w:p w14:paraId="5556EC03" w14:textId="77777777" w:rsidR="00F925DD" w:rsidRDefault="00F925DD">
            <w:pPr>
              <w:rPr>
                <w:rFonts w:ascii="Times New Roman" w:hAnsi="Times New Roman"/>
                <w:sz w:val="20"/>
                <w:szCs w:val="20"/>
              </w:rPr>
            </w:pPr>
          </w:p>
        </w:tc>
        <w:tc>
          <w:tcPr>
            <w:tcW w:w="100" w:type="pct"/>
            <w:shd w:val="clear" w:color="auto" w:fill="auto"/>
            <w:vAlign w:val="center"/>
          </w:tcPr>
          <w:p w14:paraId="5556EC04" w14:textId="77777777" w:rsidR="00F925DD" w:rsidRDefault="00F925DD">
            <w:pPr>
              <w:rPr>
                <w:rFonts w:ascii="Times New Roman" w:hAnsi="Times New Roman"/>
                <w:sz w:val="20"/>
                <w:szCs w:val="20"/>
              </w:rPr>
            </w:pPr>
          </w:p>
        </w:tc>
        <w:tc>
          <w:tcPr>
            <w:tcW w:w="50" w:type="pct"/>
            <w:shd w:val="clear" w:color="auto" w:fill="auto"/>
            <w:vAlign w:val="center"/>
          </w:tcPr>
          <w:p w14:paraId="5556EC05" w14:textId="77777777" w:rsidR="00F925DD" w:rsidRDefault="00F925DD">
            <w:pPr>
              <w:rPr>
                <w:rFonts w:ascii="Times New Roman" w:hAnsi="Times New Roman"/>
                <w:sz w:val="20"/>
                <w:szCs w:val="20"/>
              </w:rPr>
            </w:pPr>
          </w:p>
        </w:tc>
        <w:tc>
          <w:tcPr>
            <w:tcW w:w="700" w:type="pct"/>
            <w:shd w:val="clear" w:color="auto" w:fill="auto"/>
            <w:vAlign w:val="center"/>
          </w:tcPr>
          <w:p w14:paraId="5556EC06" w14:textId="77777777" w:rsidR="00F925DD" w:rsidRDefault="00F925DD">
            <w:pPr>
              <w:rPr>
                <w:rFonts w:ascii="Times New Roman" w:hAnsi="Times New Roman"/>
                <w:sz w:val="20"/>
                <w:szCs w:val="20"/>
              </w:rPr>
            </w:pPr>
          </w:p>
        </w:tc>
        <w:tc>
          <w:tcPr>
            <w:tcW w:w="50" w:type="pct"/>
            <w:shd w:val="clear" w:color="auto" w:fill="auto"/>
            <w:vAlign w:val="center"/>
          </w:tcPr>
          <w:p w14:paraId="5556EC07" w14:textId="77777777" w:rsidR="00F925DD" w:rsidRDefault="00F925DD">
            <w:pPr>
              <w:rPr>
                <w:rFonts w:ascii="Times New Roman" w:hAnsi="Times New Roman"/>
                <w:sz w:val="20"/>
                <w:szCs w:val="20"/>
              </w:rPr>
            </w:pPr>
          </w:p>
        </w:tc>
        <w:tc>
          <w:tcPr>
            <w:tcW w:w="100" w:type="pct"/>
            <w:shd w:val="clear" w:color="auto" w:fill="auto"/>
            <w:vAlign w:val="center"/>
          </w:tcPr>
          <w:p w14:paraId="5556EC08" w14:textId="77777777" w:rsidR="00F925DD" w:rsidRDefault="00F925DD">
            <w:pPr>
              <w:rPr>
                <w:rFonts w:ascii="Times New Roman" w:hAnsi="Times New Roman"/>
                <w:sz w:val="20"/>
                <w:szCs w:val="20"/>
              </w:rPr>
            </w:pPr>
          </w:p>
        </w:tc>
        <w:tc>
          <w:tcPr>
            <w:tcW w:w="50" w:type="pct"/>
            <w:shd w:val="clear" w:color="auto" w:fill="auto"/>
            <w:vAlign w:val="center"/>
          </w:tcPr>
          <w:p w14:paraId="5556EC09" w14:textId="77777777" w:rsidR="00F925DD" w:rsidRDefault="00F925DD">
            <w:pPr>
              <w:rPr>
                <w:rFonts w:ascii="Times New Roman" w:hAnsi="Times New Roman"/>
                <w:sz w:val="20"/>
                <w:szCs w:val="20"/>
              </w:rPr>
            </w:pPr>
          </w:p>
        </w:tc>
        <w:tc>
          <w:tcPr>
            <w:tcW w:w="700" w:type="pct"/>
            <w:shd w:val="clear" w:color="auto" w:fill="auto"/>
            <w:vAlign w:val="center"/>
          </w:tcPr>
          <w:p w14:paraId="5556EC0A" w14:textId="77777777" w:rsidR="00F925DD" w:rsidRDefault="00F925DD">
            <w:pPr>
              <w:rPr>
                <w:rFonts w:ascii="Times New Roman" w:hAnsi="Times New Roman"/>
                <w:sz w:val="20"/>
                <w:szCs w:val="20"/>
              </w:rPr>
            </w:pPr>
          </w:p>
        </w:tc>
        <w:tc>
          <w:tcPr>
            <w:tcW w:w="50" w:type="pct"/>
            <w:shd w:val="clear" w:color="auto" w:fill="auto"/>
            <w:vAlign w:val="center"/>
          </w:tcPr>
          <w:p w14:paraId="5556EC0B" w14:textId="77777777" w:rsidR="00F925DD" w:rsidRDefault="00F925DD">
            <w:pPr>
              <w:rPr>
                <w:rFonts w:ascii="Times New Roman" w:hAnsi="Times New Roman"/>
                <w:sz w:val="20"/>
                <w:szCs w:val="20"/>
              </w:rPr>
            </w:pPr>
          </w:p>
        </w:tc>
        <w:tc>
          <w:tcPr>
            <w:tcW w:w="100" w:type="pct"/>
            <w:shd w:val="clear" w:color="auto" w:fill="auto"/>
            <w:vAlign w:val="center"/>
          </w:tcPr>
          <w:p w14:paraId="5556EC0C" w14:textId="77777777" w:rsidR="00F925DD" w:rsidRDefault="00F925DD">
            <w:pPr>
              <w:rPr>
                <w:rFonts w:ascii="Times New Roman" w:hAnsi="Times New Roman"/>
                <w:sz w:val="20"/>
                <w:szCs w:val="20"/>
              </w:rPr>
            </w:pPr>
          </w:p>
        </w:tc>
        <w:tc>
          <w:tcPr>
            <w:tcW w:w="50" w:type="pct"/>
            <w:shd w:val="clear" w:color="auto" w:fill="auto"/>
            <w:vAlign w:val="center"/>
          </w:tcPr>
          <w:p w14:paraId="5556EC0D" w14:textId="77777777" w:rsidR="00F925DD" w:rsidRDefault="00F925DD">
            <w:pPr>
              <w:rPr>
                <w:rFonts w:ascii="Times New Roman" w:hAnsi="Times New Roman"/>
                <w:sz w:val="20"/>
                <w:szCs w:val="20"/>
              </w:rPr>
            </w:pPr>
          </w:p>
        </w:tc>
        <w:tc>
          <w:tcPr>
            <w:tcW w:w="700" w:type="pct"/>
            <w:shd w:val="clear" w:color="auto" w:fill="auto"/>
            <w:vAlign w:val="center"/>
          </w:tcPr>
          <w:p w14:paraId="5556EC0E" w14:textId="77777777" w:rsidR="00F925DD" w:rsidRDefault="00F925DD">
            <w:pPr>
              <w:rPr>
                <w:rFonts w:ascii="Times New Roman" w:hAnsi="Times New Roman"/>
                <w:sz w:val="20"/>
                <w:szCs w:val="20"/>
              </w:rPr>
            </w:pPr>
          </w:p>
        </w:tc>
        <w:tc>
          <w:tcPr>
            <w:tcW w:w="50" w:type="pct"/>
            <w:shd w:val="clear" w:color="auto" w:fill="auto"/>
            <w:vAlign w:val="center"/>
          </w:tcPr>
          <w:p w14:paraId="5556EC0F" w14:textId="77777777" w:rsidR="00F925DD" w:rsidRDefault="00F925DD">
            <w:pPr>
              <w:rPr>
                <w:rFonts w:ascii="Times New Roman" w:hAnsi="Times New Roman"/>
                <w:sz w:val="20"/>
                <w:szCs w:val="20"/>
              </w:rPr>
            </w:pPr>
          </w:p>
        </w:tc>
      </w:tr>
      <w:tr w:rsidR="00F925DD" w14:paraId="5556EC19" w14:textId="77777777">
        <w:tc>
          <w:tcPr>
            <w:tcW w:w="0" w:type="auto"/>
            <w:shd w:val="clear" w:color="auto" w:fill="auto"/>
            <w:tcMar>
              <w:top w:w="40" w:type="dxa"/>
              <w:left w:w="40" w:type="dxa"/>
              <w:bottom w:w="40" w:type="dxa"/>
              <w:right w:w="40" w:type="dxa"/>
            </w:tcMar>
            <w:vAlign w:val="bottom"/>
          </w:tcPr>
          <w:p w14:paraId="5556EC1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C1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Employee</w:t>
            </w:r>
            <w:r>
              <w:rPr>
                <w:rFonts w:ascii="Arial" w:eastAsia="宋体" w:hAnsi="Arial" w:cs="Arial"/>
                <w:b/>
                <w:bCs/>
                <w:sz w:val="14"/>
                <w:szCs w:val="14"/>
              </w:rPr>
              <w:br/>
              <w:t>Related Costs</w:t>
            </w:r>
          </w:p>
        </w:tc>
        <w:tc>
          <w:tcPr>
            <w:tcW w:w="0" w:type="auto"/>
            <w:shd w:val="clear" w:color="auto" w:fill="auto"/>
            <w:tcMar>
              <w:top w:w="40" w:type="dxa"/>
              <w:left w:w="40" w:type="dxa"/>
              <w:bottom w:w="40" w:type="dxa"/>
              <w:right w:w="40" w:type="dxa"/>
            </w:tcMar>
            <w:vAlign w:val="bottom"/>
          </w:tcPr>
          <w:p w14:paraId="5556EC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C1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Real Estate</w:t>
            </w:r>
            <w:r>
              <w:rPr>
                <w:rFonts w:ascii="Arial" w:eastAsia="宋体" w:hAnsi="Arial" w:cs="Arial"/>
                <w:b/>
                <w:bCs/>
                <w:sz w:val="14"/>
                <w:szCs w:val="14"/>
              </w:rPr>
              <w:br/>
              <w:t>Actions</w:t>
            </w:r>
          </w:p>
        </w:tc>
        <w:tc>
          <w:tcPr>
            <w:tcW w:w="0" w:type="auto"/>
            <w:shd w:val="clear" w:color="auto" w:fill="auto"/>
            <w:tcMar>
              <w:top w:w="40" w:type="dxa"/>
              <w:left w:w="40" w:type="dxa"/>
              <w:bottom w:w="40" w:type="dxa"/>
              <w:right w:w="40" w:type="dxa"/>
            </w:tcMar>
            <w:vAlign w:val="bottom"/>
          </w:tcPr>
          <w:p w14:paraId="5556EC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C1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Asset and Other Write-offs</w:t>
            </w:r>
          </w:p>
        </w:tc>
        <w:tc>
          <w:tcPr>
            <w:tcW w:w="0" w:type="auto"/>
            <w:shd w:val="clear" w:color="auto" w:fill="auto"/>
            <w:tcMar>
              <w:top w:w="40" w:type="dxa"/>
              <w:left w:w="40" w:type="dxa"/>
              <w:bottom w:w="40" w:type="dxa"/>
              <w:right w:w="40" w:type="dxa"/>
            </w:tcMar>
            <w:vAlign w:val="bottom"/>
          </w:tcPr>
          <w:p w14:paraId="5556EC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C1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r>
      <w:tr w:rsidR="00F925DD" w14:paraId="5556EC2A" w14:textId="77777777">
        <w:tc>
          <w:tcPr>
            <w:tcW w:w="0" w:type="auto"/>
            <w:shd w:val="clear" w:color="auto" w:fill="CCEEFF"/>
            <w:tcMar>
              <w:top w:w="40" w:type="dxa"/>
              <w:left w:w="40" w:type="dxa"/>
              <w:bottom w:w="40" w:type="dxa"/>
              <w:right w:w="40" w:type="dxa"/>
            </w:tcMar>
            <w:vAlign w:val="bottom"/>
          </w:tcPr>
          <w:p w14:paraId="5556EC1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Accrual Balance at December 31, 2016</w:t>
            </w:r>
          </w:p>
        </w:tc>
        <w:tc>
          <w:tcPr>
            <w:tcW w:w="0" w:type="auto"/>
            <w:tcBorders>
              <w:top w:val="single" w:sz="8" w:space="0" w:color="000000"/>
            </w:tcBorders>
            <w:shd w:val="clear" w:color="auto" w:fill="CCEEFF"/>
            <w:tcMar>
              <w:top w:w="40" w:type="dxa"/>
              <w:left w:w="40" w:type="dxa"/>
              <w:bottom w:w="40" w:type="dxa"/>
            </w:tcMar>
            <w:vAlign w:val="bottom"/>
          </w:tcPr>
          <w:p w14:paraId="5556EC1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EC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w:t>
            </w:r>
          </w:p>
        </w:tc>
        <w:tc>
          <w:tcPr>
            <w:tcW w:w="0" w:type="auto"/>
            <w:tcBorders>
              <w:top w:val="single" w:sz="8" w:space="0" w:color="000000"/>
            </w:tcBorders>
            <w:shd w:val="clear" w:color="auto" w:fill="CCEEFF"/>
            <w:vAlign w:val="bottom"/>
          </w:tcPr>
          <w:p w14:paraId="5556EC1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C1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EC2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w:t>
            </w:r>
          </w:p>
        </w:tc>
        <w:tc>
          <w:tcPr>
            <w:tcW w:w="0" w:type="auto"/>
            <w:tcBorders>
              <w:top w:val="single" w:sz="8" w:space="0" w:color="000000"/>
            </w:tcBorders>
            <w:shd w:val="clear" w:color="auto" w:fill="CCEEFF"/>
            <w:vAlign w:val="bottom"/>
          </w:tcPr>
          <w:p w14:paraId="5556EC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C2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EC2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tcBorders>
            <w:shd w:val="clear" w:color="auto" w:fill="CCEEFF"/>
            <w:vAlign w:val="bottom"/>
          </w:tcPr>
          <w:p w14:paraId="5556EC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C2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EC2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56</w:t>
            </w:r>
          </w:p>
        </w:tc>
        <w:tc>
          <w:tcPr>
            <w:tcW w:w="0" w:type="auto"/>
            <w:tcBorders>
              <w:top w:val="single" w:sz="8" w:space="0" w:color="000000"/>
            </w:tcBorders>
            <w:shd w:val="clear" w:color="auto" w:fill="CCEEFF"/>
            <w:vAlign w:val="bottom"/>
          </w:tcPr>
          <w:p w14:paraId="5556EC29" w14:textId="77777777" w:rsidR="00F925DD" w:rsidRDefault="00F925DD">
            <w:pPr>
              <w:textAlignment w:val="bottom"/>
              <w:rPr>
                <w:rFonts w:ascii="Times New Roman" w:hAnsi="Times New Roman"/>
                <w:sz w:val="20"/>
                <w:szCs w:val="20"/>
              </w:rPr>
            </w:pPr>
          </w:p>
        </w:tc>
      </w:tr>
      <w:tr w:rsidR="00F925DD" w14:paraId="5556EC37" w14:textId="77777777">
        <w:tc>
          <w:tcPr>
            <w:tcW w:w="0" w:type="auto"/>
            <w:shd w:val="clear" w:color="auto" w:fill="auto"/>
            <w:tcMar>
              <w:top w:w="40" w:type="dxa"/>
              <w:left w:w="40" w:type="dxa"/>
              <w:bottom w:w="40" w:type="dxa"/>
              <w:right w:w="40" w:type="dxa"/>
            </w:tcMar>
            <w:vAlign w:val="bottom"/>
          </w:tcPr>
          <w:p w14:paraId="5556EC2B" w14:textId="77777777" w:rsidR="00F925DD" w:rsidRDefault="00E705D7">
            <w:pPr>
              <w:textAlignment w:val="bottom"/>
              <w:rPr>
                <w:rFonts w:ascii="Times New Roman" w:hAnsi="Times New Roman"/>
                <w:sz w:val="14"/>
                <w:szCs w:val="14"/>
              </w:rPr>
            </w:pPr>
            <w:r>
              <w:rPr>
                <w:rFonts w:ascii="Arial" w:eastAsia="宋体" w:hAnsi="Arial" w:cs="Arial"/>
                <w:sz w:val="14"/>
                <w:szCs w:val="14"/>
              </w:rPr>
              <w:t>Accruals for Beacon</w:t>
            </w:r>
          </w:p>
        </w:tc>
        <w:tc>
          <w:tcPr>
            <w:tcW w:w="0" w:type="auto"/>
            <w:gridSpan w:val="2"/>
            <w:shd w:val="clear" w:color="auto" w:fill="auto"/>
            <w:tcMar>
              <w:top w:w="40" w:type="dxa"/>
              <w:left w:w="40" w:type="dxa"/>
              <w:bottom w:w="40" w:type="dxa"/>
            </w:tcMar>
            <w:vAlign w:val="bottom"/>
          </w:tcPr>
          <w:p w14:paraId="5556EC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186</w:t>
            </w:r>
          </w:p>
        </w:tc>
        <w:tc>
          <w:tcPr>
            <w:tcW w:w="0" w:type="auto"/>
            <w:shd w:val="clear" w:color="auto" w:fill="auto"/>
            <w:vAlign w:val="bottom"/>
          </w:tcPr>
          <w:p w14:paraId="5556EC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2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w:t>
            </w:r>
          </w:p>
        </w:tc>
        <w:tc>
          <w:tcPr>
            <w:tcW w:w="0" w:type="auto"/>
            <w:shd w:val="clear" w:color="auto" w:fill="auto"/>
            <w:vAlign w:val="bottom"/>
          </w:tcPr>
          <w:p w14:paraId="5556EC3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3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w:t>
            </w:r>
          </w:p>
        </w:tc>
        <w:tc>
          <w:tcPr>
            <w:tcW w:w="0" w:type="auto"/>
            <w:shd w:val="clear" w:color="auto" w:fill="auto"/>
            <w:vAlign w:val="bottom"/>
          </w:tcPr>
          <w:p w14:paraId="5556EC3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3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245</w:t>
            </w:r>
          </w:p>
        </w:tc>
        <w:tc>
          <w:tcPr>
            <w:tcW w:w="0" w:type="auto"/>
            <w:shd w:val="clear" w:color="auto" w:fill="auto"/>
            <w:vAlign w:val="bottom"/>
          </w:tcPr>
          <w:p w14:paraId="5556EC36" w14:textId="77777777" w:rsidR="00F925DD" w:rsidRDefault="00F925DD">
            <w:pPr>
              <w:textAlignment w:val="bottom"/>
              <w:rPr>
                <w:rFonts w:ascii="Times New Roman" w:hAnsi="Times New Roman"/>
                <w:sz w:val="20"/>
                <w:szCs w:val="20"/>
              </w:rPr>
            </w:pPr>
          </w:p>
        </w:tc>
      </w:tr>
      <w:tr w:rsidR="00F925DD" w14:paraId="5556EC44" w14:textId="77777777">
        <w:tc>
          <w:tcPr>
            <w:tcW w:w="0" w:type="auto"/>
            <w:shd w:val="clear" w:color="auto" w:fill="CCEEFF"/>
            <w:tcMar>
              <w:top w:w="40" w:type="dxa"/>
              <w:left w:w="40" w:type="dxa"/>
              <w:bottom w:w="40" w:type="dxa"/>
              <w:right w:w="40" w:type="dxa"/>
            </w:tcMar>
            <w:vAlign w:val="bottom"/>
          </w:tcPr>
          <w:p w14:paraId="5556EC38" w14:textId="77777777" w:rsidR="00F925DD" w:rsidRDefault="00E705D7">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shd w:val="clear" w:color="auto" w:fill="CCEEFF"/>
            <w:tcMar>
              <w:top w:w="40" w:type="dxa"/>
              <w:left w:w="40" w:type="dxa"/>
              <w:bottom w:w="40" w:type="dxa"/>
            </w:tcMar>
            <w:vAlign w:val="bottom"/>
          </w:tcPr>
          <w:p w14:paraId="5556EC3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(57</w:t>
            </w:r>
          </w:p>
        </w:tc>
        <w:tc>
          <w:tcPr>
            <w:tcW w:w="0" w:type="auto"/>
            <w:shd w:val="clear" w:color="auto" w:fill="CCEEFF"/>
            <w:tcMar>
              <w:top w:w="40" w:type="dxa"/>
              <w:bottom w:w="40" w:type="dxa"/>
              <w:right w:w="40" w:type="dxa"/>
            </w:tcMar>
            <w:vAlign w:val="bottom"/>
          </w:tcPr>
          <w:p w14:paraId="5556EC3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C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3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w:t>
            </w:r>
          </w:p>
        </w:tc>
        <w:tc>
          <w:tcPr>
            <w:tcW w:w="0" w:type="auto"/>
            <w:shd w:val="clear" w:color="auto" w:fill="CCEEFF"/>
            <w:tcMar>
              <w:top w:w="40" w:type="dxa"/>
              <w:bottom w:w="40" w:type="dxa"/>
              <w:right w:w="40" w:type="dxa"/>
            </w:tcMar>
            <w:vAlign w:val="bottom"/>
          </w:tcPr>
          <w:p w14:paraId="5556EC3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C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3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w:t>
            </w:r>
          </w:p>
        </w:tc>
        <w:tc>
          <w:tcPr>
            <w:tcW w:w="0" w:type="auto"/>
            <w:shd w:val="clear" w:color="auto" w:fill="CCEEFF"/>
            <w:tcMar>
              <w:top w:w="40" w:type="dxa"/>
              <w:bottom w:w="40" w:type="dxa"/>
              <w:right w:w="40" w:type="dxa"/>
            </w:tcMar>
            <w:vAlign w:val="bottom"/>
          </w:tcPr>
          <w:p w14:paraId="5556EC4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C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4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(100</w:t>
            </w:r>
          </w:p>
        </w:tc>
        <w:tc>
          <w:tcPr>
            <w:tcW w:w="0" w:type="auto"/>
            <w:shd w:val="clear" w:color="auto" w:fill="CCEEFF"/>
            <w:tcMar>
              <w:top w:w="40" w:type="dxa"/>
              <w:bottom w:w="40" w:type="dxa"/>
              <w:right w:w="40" w:type="dxa"/>
            </w:tcMar>
            <w:vAlign w:val="bottom"/>
          </w:tcPr>
          <w:p w14:paraId="5556EC4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C51" w14:textId="77777777">
        <w:tc>
          <w:tcPr>
            <w:tcW w:w="0" w:type="auto"/>
            <w:shd w:val="clear" w:color="auto" w:fill="auto"/>
            <w:tcMar>
              <w:top w:w="40" w:type="dxa"/>
              <w:left w:w="40" w:type="dxa"/>
              <w:bottom w:w="40" w:type="dxa"/>
              <w:right w:w="40" w:type="dxa"/>
            </w:tcMar>
            <w:vAlign w:val="bottom"/>
          </w:tcPr>
          <w:p w14:paraId="5556EC4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Accrual Balance at December 31, 2017</w:t>
            </w:r>
          </w:p>
        </w:tc>
        <w:tc>
          <w:tcPr>
            <w:tcW w:w="0" w:type="auto"/>
            <w:gridSpan w:val="2"/>
            <w:tcBorders>
              <w:top w:val="single" w:sz="8" w:space="0" w:color="000000"/>
            </w:tcBorders>
            <w:shd w:val="clear" w:color="auto" w:fill="auto"/>
            <w:tcMar>
              <w:top w:w="40" w:type="dxa"/>
              <w:left w:w="40" w:type="dxa"/>
              <w:bottom w:w="40" w:type="dxa"/>
            </w:tcMar>
            <w:vAlign w:val="bottom"/>
          </w:tcPr>
          <w:p w14:paraId="5556EC4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166</w:t>
            </w:r>
          </w:p>
        </w:tc>
        <w:tc>
          <w:tcPr>
            <w:tcW w:w="0" w:type="auto"/>
            <w:tcBorders>
              <w:top w:val="single" w:sz="8" w:space="0" w:color="000000"/>
            </w:tcBorders>
            <w:shd w:val="clear" w:color="auto" w:fill="auto"/>
            <w:vAlign w:val="bottom"/>
          </w:tcPr>
          <w:p w14:paraId="5556EC4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C4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w:t>
            </w:r>
          </w:p>
        </w:tc>
        <w:tc>
          <w:tcPr>
            <w:tcW w:w="0" w:type="auto"/>
            <w:tcBorders>
              <w:top w:val="single" w:sz="8" w:space="0" w:color="000000"/>
            </w:tcBorders>
            <w:shd w:val="clear" w:color="auto" w:fill="auto"/>
            <w:vAlign w:val="bottom"/>
          </w:tcPr>
          <w:p w14:paraId="5556EC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C4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w:t>
            </w:r>
          </w:p>
        </w:tc>
        <w:tc>
          <w:tcPr>
            <w:tcW w:w="0" w:type="auto"/>
            <w:tcBorders>
              <w:top w:val="single" w:sz="8" w:space="0" w:color="000000"/>
            </w:tcBorders>
            <w:shd w:val="clear" w:color="auto" w:fill="auto"/>
            <w:vAlign w:val="bottom"/>
          </w:tcPr>
          <w:p w14:paraId="5556EC4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C4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201</w:t>
            </w:r>
          </w:p>
        </w:tc>
        <w:tc>
          <w:tcPr>
            <w:tcW w:w="0" w:type="auto"/>
            <w:tcBorders>
              <w:top w:val="single" w:sz="8" w:space="0" w:color="000000"/>
            </w:tcBorders>
            <w:shd w:val="clear" w:color="auto" w:fill="auto"/>
            <w:vAlign w:val="bottom"/>
          </w:tcPr>
          <w:p w14:paraId="5556EC50" w14:textId="77777777" w:rsidR="00F925DD" w:rsidRDefault="00F925DD">
            <w:pPr>
              <w:textAlignment w:val="bottom"/>
              <w:rPr>
                <w:rFonts w:ascii="Times New Roman" w:hAnsi="Times New Roman"/>
                <w:sz w:val="20"/>
                <w:szCs w:val="20"/>
              </w:rPr>
            </w:pPr>
          </w:p>
        </w:tc>
      </w:tr>
      <w:tr w:rsidR="00F925DD" w14:paraId="5556EC5E" w14:textId="77777777">
        <w:tc>
          <w:tcPr>
            <w:tcW w:w="0" w:type="auto"/>
            <w:shd w:val="clear" w:color="auto" w:fill="CCEEFF"/>
            <w:tcMar>
              <w:top w:w="40" w:type="dxa"/>
              <w:left w:w="40" w:type="dxa"/>
              <w:bottom w:w="40" w:type="dxa"/>
              <w:right w:w="40" w:type="dxa"/>
            </w:tcMar>
            <w:vAlign w:val="bottom"/>
          </w:tcPr>
          <w:p w14:paraId="5556EC52" w14:textId="77777777" w:rsidR="00F925DD" w:rsidRDefault="00E705D7">
            <w:pPr>
              <w:textAlignment w:val="bottom"/>
              <w:rPr>
                <w:rFonts w:ascii="Times New Roman" w:hAnsi="Times New Roman"/>
                <w:sz w:val="14"/>
                <w:szCs w:val="14"/>
              </w:rPr>
            </w:pPr>
            <w:r>
              <w:rPr>
                <w:rFonts w:ascii="Arial" w:eastAsia="宋体" w:hAnsi="Arial" w:cs="Arial"/>
                <w:sz w:val="14"/>
                <w:szCs w:val="14"/>
              </w:rPr>
              <w:t>Accruals for Beacon</w:t>
            </w:r>
          </w:p>
        </w:tc>
        <w:tc>
          <w:tcPr>
            <w:tcW w:w="0" w:type="auto"/>
            <w:gridSpan w:val="2"/>
            <w:shd w:val="clear" w:color="auto" w:fill="CCEEFF"/>
            <w:tcMar>
              <w:top w:w="40" w:type="dxa"/>
              <w:left w:w="40" w:type="dxa"/>
              <w:bottom w:w="40" w:type="dxa"/>
            </w:tcMar>
            <w:vAlign w:val="bottom"/>
          </w:tcPr>
          <w:p w14:paraId="5556EC5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tcMar>
              <w:top w:w="40" w:type="dxa"/>
              <w:bottom w:w="40" w:type="dxa"/>
              <w:right w:w="40" w:type="dxa"/>
            </w:tcMar>
            <w:vAlign w:val="bottom"/>
          </w:tcPr>
          <w:p w14:paraId="5556EC5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C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5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EC5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5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EC5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5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tcMar>
              <w:top w:w="40" w:type="dxa"/>
              <w:bottom w:w="40" w:type="dxa"/>
              <w:right w:w="40" w:type="dxa"/>
            </w:tcMar>
            <w:vAlign w:val="bottom"/>
          </w:tcPr>
          <w:p w14:paraId="5556EC5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C6B" w14:textId="77777777">
        <w:tc>
          <w:tcPr>
            <w:tcW w:w="0" w:type="auto"/>
            <w:shd w:val="clear" w:color="auto" w:fill="auto"/>
            <w:tcMar>
              <w:top w:w="40" w:type="dxa"/>
              <w:left w:w="40" w:type="dxa"/>
              <w:bottom w:w="40" w:type="dxa"/>
              <w:right w:w="40" w:type="dxa"/>
            </w:tcMar>
            <w:vAlign w:val="bottom"/>
          </w:tcPr>
          <w:p w14:paraId="5556EC5F" w14:textId="77777777" w:rsidR="00F925DD" w:rsidRDefault="00E705D7">
            <w:pPr>
              <w:textAlignment w:val="bottom"/>
              <w:rPr>
                <w:rFonts w:ascii="Times New Roman" w:hAnsi="Times New Roman"/>
                <w:sz w:val="14"/>
                <w:szCs w:val="14"/>
              </w:rPr>
            </w:pPr>
            <w:r>
              <w:rPr>
                <w:rFonts w:ascii="Arial" w:eastAsia="宋体" w:hAnsi="Arial" w:cs="Arial"/>
                <w:sz w:val="14"/>
                <w:szCs w:val="14"/>
              </w:rPr>
              <w:t>Accruals for Repositioning Charges</w:t>
            </w:r>
          </w:p>
        </w:tc>
        <w:tc>
          <w:tcPr>
            <w:tcW w:w="0" w:type="auto"/>
            <w:gridSpan w:val="2"/>
            <w:shd w:val="clear" w:color="auto" w:fill="auto"/>
            <w:tcMar>
              <w:top w:w="40" w:type="dxa"/>
              <w:left w:w="40" w:type="dxa"/>
              <w:bottom w:w="40" w:type="dxa"/>
            </w:tcMar>
            <w:vAlign w:val="bottom"/>
          </w:tcPr>
          <w:p w14:paraId="5556EC6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259</w:t>
            </w:r>
          </w:p>
        </w:tc>
        <w:tc>
          <w:tcPr>
            <w:tcW w:w="0" w:type="auto"/>
            <w:shd w:val="clear" w:color="auto" w:fill="auto"/>
            <w:vAlign w:val="bottom"/>
          </w:tcPr>
          <w:p w14:paraId="5556EC6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6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41</w:t>
            </w:r>
          </w:p>
        </w:tc>
        <w:tc>
          <w:tcPr>
            <w:tcW w:w="0" w:type="auto"/>
            <w:shd w:val="clear" w:color="auto" w:fill="auto"/>
            <w:vAlign w:val="bottom"/>
          </w:tcPr>
          <w:p w14:paraId="5556EC6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EC6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6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300</w:t>
            </w:r>
          </w:p>
        </w:tc>
        <w:tc>
          <w:tcPr>
            <w:tcW w:w="0" w:type="auto"/>
            <w:shd w:val="clear" w:color="auto" w:fill="auto"/>
            <w:vAlign w:val="bottom"/>
          </w:tcPr>
          <w:p w14:paraId="5556EC6A" w14:textId="77777777" w:rsidR="00F925DD" w:rsidRDefault="00F925DD">
            <w:pPr>
              <w:textAlignment w:val="bottom"/>
              <w:rPr>
                <w:rFonts w:ascii="Times New Roman" w:hAnsi="Times New Roman"/>
                <w:sz w:val="20"/>
                <w:szCs w:val="20"/>
              </w:rPr>
            </w:pPr>
          </w:p>
        </w:tc>
      </w:tr>
      <w:tr w:rsidR="00F925DD" w14:paraId="5556EC78" w14:textId="77777777">
        <w:tc>
          <w:tcPr>
            <w:tcW w:w="0" w:type="auto"/>
            <w:shd w:val="clear" w:color="auto" w:fill="CCEEFF"/>
            <w:tcMar>
              <w:top w:w="40" w:type="dxa"/>
              <w:left w:w="40" w:type="dxa"/>
              <w:bottom w:w="40" w:type="dxa"/>
              <w:right w:w="40" w:type="dxa"/>
            </w:tcMar>
            <w:vAlign w:val="bottom"/>
          </w:tcPr>
          <w:p w14:paraId="5556EC6C" w14:textId="77777777" w:rsidR="00F925DD" w:rsidRDefault="00E705D7">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shd w:val="clear" w:color="auto" w:fill="CCEEFF"/>
            <w:tcMar>
              <w:top w:w="40" w:type="dxa"/>
              <w:left w:w="40" w:type="dxa"/>
              <w:bottom w:w="40" w:type="dxa"/>
            </w:tcMar>
            <w:vAlign w:val="bottom"/>
          </w:tcPr>
          <w:p w14:paraId="5556EC6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(115</w:t>
            </w:r>
          </w:p>
        </w:tc>
        <w:tc>
          <w:tcPr>
            <w:tcW w:w="0" w:type="auto"/>
            <w:shd w:val="clear" w:color="auto" w:fill="CCEEFF"/>
            <w:tcMar>
              <w:top w:w="40" w:type="dxa"/>
              <w:bottom w:w="40" w:type="dxa"/>
              <w:right w:w="40" w:type="dxa"/>
            </w:tcMar>
            <w:vAlign w:val="bottom"/>
          </w:tcPr>
          <w:p w14:paraId="5556EC6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C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7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w:t>
            </w:r>
          </w:p>
        </w:tc>
        <w:tc>
          <w:tcPr>
            <w:tcW w:w="0" w:type="auto"/>
            <w:shd w:val="clear" w:color="auto" w:fill="CCEEFF"/>
            <w:tcMar>
              <w:top w:w="40" w:type="dxa"/>
              <w:bottom w:w="40" w:type="dxa"/>
              <w:right w:w="40" w:type="dxa"/>
            </w:tcMar>
            <w:vAlign w:val="bottom"/>
          </w:tcPr>
          <w:p w14:paraId="5556EC7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C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7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tcMar>
              <w:top w:w="40" w:type="dxa"/>
              <w:bottom w:w="40" w:type="dxa"/>
              <w:right w:w="40" w:type="dxa"/>
            </w:tcMar>
            <w:vAlign w:val="bottom"/>
          </w:tcPr>
          <w:p w14:paraId="5556EC7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C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7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(153</w:t>
            </w:r>
          </w:p>
        </w:tc>
        <w:tc>
          <w:tcPr>
            <w:tcW w:w="0" w:type="auto"/>
            <w:shd w:val="clear" w:color="auto" w:fill="CCEEFF"/>
            <w:tcMar>
              <w:top w:w="40" w:type="dxa"/>
              <w:bottom w:w="40" w:type="dxa"/>
              <w:right w:w="40" w:type="dxa"/>
            </w:tcMar>
            <w:vAlign w:val="bottom"/>
          </w:tcPr>
          <w:p w14:paraId="5556EC7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C85" w14:textId="77777777">
        <w:tc>
          <w:tcPr>
            <w:tcW w:w="0" w:type="auto"/>
            <w:shd w:val="clear" w:color="auto" w:fill="auto"/>
            <w:tcMar>
              <w:top w:w="40" w:type="dxa"/>
              <w:left w:w="40" w:type="dxa"/>
              <w:bottom w:w="40" w:type="dxa"/>
              <w:right w:w="40" w:type="dxa"/>
            </w:tcMar>
            <w:vAlign w:val="bottom"/>
          </w:tcPr>
          <w:p w14:paraId="5556EC7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Accrual Balance at December 31, 2018</w:t>
            </w:r>
          </w:p>
        </w:tc>
        <w:tc>
          <w:tcPr>
            <w:tcW w:w="0" w:type="auto"/>
            <w:gridSpan w:val="2"/>
            <w:tcBorders>
              <w:top w:val="single" w:sz="8" w:space="0" w:color="000000"/>
            </w:tcBorders>
            <w:shd w:val="clear" w:color="auto" w:fill="auto"/>
            <w:tcMar>
              <w:top w:w="40" w:type="dxa"/>
              <w:left w:w="40" w:type="dxa"/>
              <w:bottom w:w="40" w:type="dxa"/>
            </w:tcMar>
            <w:vAlign w:val="bottom"/>
          </w:tcPr>
          <w:p w14:paraId="5556EC7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303</w:t>
            </w:r>
          </w:p>
        </w:tc>
        <w:tc>
          <w:tcPr>
            <w:tcW w:w="0" w:type="auto"/>
            <w:tcBorders>
              <w:top w:val="single" w:sz="8" w:space="0" w:color="000000"/>
            </w:tcBorders>
            <w:shd w:val="clear" w:color="auto" w:fill="auto"/>
            <w:vAlign w:val="bottom"/>
          </w:tcPr>
          <w:p w14:paraId="5556EC7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C7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w:t>
            </w:r>
          </w:p>
        </w:tc>
        <w:tc>
          <w:tcPr>
            <w:tcW w:w="0" w:type="auto"/>
            <w:tcBorders>
              <w:top w:val="single" w:sz="8" w:space="0" w:color="000000"/>
            </w:tcBorders>
            <w:shd w:val="clear" w:color="auto" w:fill="auto"/>
            <w:vAlign w:val="bottom"/>
          </w:tcPr>
          <w:p w14:paraId="5556EC7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C8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tcBorders>
            <w:shd w:val="clear" w:color="auto" w:fill="auto"/>
            <w:vAlign w:val="bottom"/>
          </w:tcPr>
          <w:p w14:paraId="5556EC8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C8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341</w:t>
            </w:r>
          </w:p>
        </w:tc>
        <w:tc>
          <w:tcPr>
            <w:tcW w:w="0" w:type="auto"/>
            <w:tcBorders>
              <w:top w:val="single" w:sz="8" w:space="0" w:color="000000"/>
            </w:tcBorders>
            <w:shd w:val="clear" w:color="auto" w:fill="auto"/>
            <w:vAlign w:val="bottom"/>
          </w:tcPr>
          <w:p w14:paraId="5556EC84" w14:textId="77777777" w:rsidR="00F925DD" w:rsidRDefault="00F925DD">
            <w:pPr>
              <w:textAlignment w:val="bottom"/>
              <w:rPr>
                <w:rFonts w:ascii="Times New Roman" w:hAnsi="Times New Roman"/>
                <w:sz w:val="20"/>
                <w:szCs w:val="20"/>
              </w:rPr>
            </w:pPr>
          </w:p>
        </w:tc>
      </w:tr>
      <w:tr w:rsidR="00F925DD" w14:paraId="5556EC92" w14:textId="77777777">
        <w:tc>
          <w:tcPr>
            <w:tcW w:w="0" w:type="auto"/>
            <w:shd w:val="clear" w:color="auto" w:fill="CCEEFF"/>
            <w:tcMar>
              <w:top w:w="40" w:type="dxa"/>
              <w:left w:w="40" w:type="dxa"/>
              <w:bottom w:w="40" w:type="dxa"/>
              <w:right w:w="40" w:type="dxa"/>
            </w:tcMar>
            <w:vAlign w:val="bottom"/>
          </w:tcPr>
          <w:p w14:paraId="5556EC86" w14:textId="77777777" w:rsidR="00F925DD" w:rsidRDefault="00E705D7">
            <w:pPr>
              <w:textAlignment w:val="bottom"/>
              <w:rPr>
                <w:rFonts w:ascii="Times New Roman" w:hAnsi="Times New Roman"/>
                <w:sz w:val="14"/>
                <w:szCs w:val="14"/>
              </w:rPr>
            </w:pPr>
            <w:r>
              <w:rPr>
                <w:rFonts w:ascii="Arial" w:eastAsia="宋体" w:hAnsi="Arial" w:cs="Arial"/>
                <w:sz w:val="14"/>
                <w:szCs w:val="14"/>
              </w:rPr>
              <w:t>Accruals for Beacon</w:t>
            </w:r>
          </w:p>
        </w:tc>
        <w:tc>
          <w:tcPr>
            <w:tcW w:w="0" w:type="auto"/>
            <w:gridSpan w:val="2"/>
            <w:shd w:val="clear" w:color="auto" w:fill="CCEEFF"/>
            <w:tcMar>
              <w:top w:w="40" w:type="dxa"/>
              <w:left w:w="40" w:type="dxa"/>
              <w:bottom w:w="40" w:type="dxa"/>
            </w:tcMar>
            <w:vAlign w:val="bottom"/>
          </w:tcPr>
          <w:p w14:paraId="5556EC8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tcMar>
              <w:top w:w="40" w:type="dxa"/>
              <w:bottom w:w="40" w:type="dxa"/>
              <w:right w:w="40" w:type="dxa"/>
            </w:tcMar>
            <w:vAlign w:val="bottom"/>
          </w:tcPr>
          <w:p w14:paraId="5556EC8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C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8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EC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8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EC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C9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tcMar>
              <w:top w:w="40" w:type="dxa"/>
              <w:bottom w:w="40" w:type="dxa"/>
              <w:right w:w="40" w:type="dxa"/>
            </w:tcMar>
            <w:vAlign w:val="bottom"/>
          </w:tcPr>
          <w:p w14:paraId="5556EC9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EC9F" w14:textId="77777777">
        <w:tc>
          <w:tcPr>
            <w:tcW w:w="0" w:type="auto"/>
            <w:shd w:val="clear" w:color="auto" w:fill="auto"/>
            <w:tcMar>
              <w:top w:w="40" w:type="dxa"/>
              <w:left w:w="40" w:type="dxa"/>
              <w:bottom w:w="40" w:type="dxa"/>
              <w:right w:w="40" w:type="dxa"/>
            </w:tcMar>
            <w:vAlign w:val="bottom"/>
          </w:tcPr>
          <w:p w14:paraId="5556EC93" w14:textId="77777777" w:rsidR="00F925DD" w:rsidRDefault="00E705D7">
            <w:pPr>
              <w:textAlignment w:val="bottom"/>
              <w:rPr>
                <w:rFonts w:ascii="Times New Roman" w:hAnsi="Times New Roman"/>
                <w:sz w:val="14"/>
                <w:szCs w:val="14"/>
              </w:rPr>
            </w:pPr>
            <w:r>
              <w:rPr>
                <w:rFonts w:ascii="Arial" w:eastAsia="宋体" w:hAnsi="Arial" w:cs="Arial"/>
                <w:sz w:val="14"/>
                <w:szCs w:val="14"/>
              </w:rPr>
              <w:t>Accruals for Repositioning Charges</w:t>
            </w:r>
          </w:p>
        </w:tc>
        <w:tc>
          <w:tcPr>
            <w:tcW w:w="0" w:type="auto"/>
            <w:gridSpan w:val="2"/>
            <w:shd w:val="clear" w:color="auto" w:fill="auto"/>
            <w:tcMar>
              <w:top w:w="40" w:type="dxa"/>
              <w:left w:w="40" w:type="dxa"/>
              <w:bottom w:w="40" w:type="dxa"/>
            </w:tcMar>
            <w:vAlign w:val="bottom"/>
          </w:tcPr>
          <w:p w14:paraId="5556EC9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98</w:t>
            </w:r>
          </w:p>
        </w:tc>
        <w:tc>
          <w:tcPr>
            <w:tcW w:w="0" w:type="auto"/>
            <w:shd w:val="clear" w:color="auto" w:fill="auto"/>
            <w:vAlign w:val="bottom"/>
          </w:tcPr>
          <w:p w14:paraId="5556EC9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9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w:t>
            </w:r>
          </w:p>
        </w:tc>
        <w:tc>
          <w:tcPr>
            <w:tcW w:w="0" w:type="auto"/>
            <w:shd w:val="clear" w:color="auto" w:fill="auto"/>
            <w:vAlign w:val="bottom"/>
          </w:tcPr>
          <w:p w14:paraId="5556EC9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9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EC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9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110</w:t>
            </w:r>
          </w:p>
        </w:tc>
        <w:tc>
          <w:tcPr>
            <w:tcW w:w="0" w:type="auto"/>
            <w:shd w:val="clear" w:color="auto" w:fill="auto"/>
            <w:vAlign w:val="bottom"/>
          </w:tcPr>
          <w:p w14:paraId="5556EC9E" w14:textId="77777777" w:rsidR="00F925DD" w:rsidRDefault="00F925DD">
            <w:pPr>
              <w:textAlignment w:val="bottom"/>
              <w:rPr>
                <w:rFonts w:ascii="Times New Roman" w:hAnsi="Times New Roman"/>
                <w:sz w:val="20"/>
                <w:szCs w:val="20"/>
              </w:rPr>
            </w:pPr>
          </w:p>
        </w:tc>
      </w:tr>
      <w:tr w:rsidR="00F925DD" w14:paraId="5556ECAC" w14:textId="77777777">
        <w:tc>
          <w:tcPr>
            <w:tcW w:w="0" w:type="auto"/>
            <w:shd w:val="clear" w:color="auto" w:fill="CCEEFF"/>
            <w:tcMar>
              <w:top w:w="40" w:type="dxa"/>
              <w:left w:w="40" w:type="dxa"/>
              <w:bottom w:w="40" w:type="dxa"/>
              <w:right w:w="40" w:type="dxa"/>
            </w:tcMar>
            <w:vAlign w:val="bottom"/>
          </w:tcPr>
          <w:p w14:paraId="5556ECA0" w14:textId="77777777" w:rsidR="00F925DD" w:rsidRDefault="00E705D7">
            <w:pPr>
              <w:textAlignment w:val="bottom"/>
              <w:rPr>
                <w:rFonts w:ascii="Times New Roman" w:hAnsi="Times New Roman"/>
                <w:sz w:val="14"/>
                <w:szCs w:val="14"/>
              </w:rPr>
            </w:pPr>
            <w:r>
              <w:rPr>
                <w:rFonts w:ascii="Arial" w:eastAsia="宋体" w:hAnsi="Arial" w:cs="Arial"/>
                <w:sz w:val="14"/>
                <w:szCs w:val="14"/>
              </w:rPr>
              <w:t>Payments and Other Adjustments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CA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(209</w:t>
            </w:r>
          </w:p>
        </w:tc>
        <w:tc>
          <w:tcPr>
            <w:tcW w:w="0" w:type="auto"/>
            <w:tcBorders>
              <w:bottom w:val="single" w:sz="8" w:space="0" w:color="000000"/>
            </w:tcBorders>
            <w:shd w:val="clear" w:color="auto" w:fill="CCEEFF"/>
            <w:tcMar>
              <w:top w:w="40" w:type="dxa"/>
              <w:bottom w:w="40" w:type="dxa"/>
              <w:right w:w="40" w:type="dxa"/>
            </w:tcMar>
            <w:vAlign w:val="bottom"/>
          </w:tcPr>
          <w:p w14:paraId="5556ECA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C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CA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(42</w:t>
            </w:r>
          </w:p>
        </w:tc>
        <w:tc>
          <w:tcPr>
            <w:tcW w:w="0" w:type="auto"/>
            <w:tcBorders>
              <w:bottom w:val="single" w:sz="8" w:space="0" w:color="000000"/>
            </w:tcBorders>
            <w:shd w:val="clear" w:color="auto" w:fill="CCEEFF"/>
            <w:tcMar>
              <w:top w:w="40" w:type="dxa"/>
              <w:bottom w:w="40" w:type="dxa"/>
              <w:right w:w="40" w:type="dxa"/>
            </w:tcMar>
            <w:vAlign w:val="bottom"/>
          </w:tcPr>
          <w:p w14:paraId="5556ECA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C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CA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EC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CA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(251</w:t>
            </w:r>
          </w:p>
        </w:tc>
        <w:tc>
          <w:tcPr>
            <w:tcW w:w="0" w:type="auto"/>
            <w:tcBorders>
              <w:bottom w:val="single" w:sz="8" w:space="0" w:color="000000"/>
            </w:tcBorders>
            <w:shd w:val="clear" w:color="auto" w:fill="CCEEFF"/>
            <w:tcMar>
              <w:top w:w="40" w:type="dxa"/>
              <w:bottom w:w="40" w:type="dxa"/>
              <w:right w:w="40" w:type="dxa"/>
            </w:tcMar>
            <w:vAlign w:val="bottom"/>
          </w:tcPr>
          <w:p w14:paraId="5556ECA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r>
      <w:tr w:rsidR="00F925DD" w14:paraId="5556ECBD" w14:textId="77777777">
        <w:tc>
          <w:tcPr>
            <w:tcW w:w="0" w:type="auto"/>
            <w:shd w:val="clear" w:color="auto" w:fill="auto"/>
            <w:tcMar>
              <w:top w:w="40" w:type="dxa"/>
              <w:left w:w="40" w:type="dxa"/>
              <w:bottom w:w="40" w:type="dxa"/>
              <w:right w:w="40" w:type="dxa"/>
            </w:tcMar>
            <w:vAlign w:val="bottom"/>
          </w:tcPr>
          <w:p w14:paraId="5556ECA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 xml:space="preserve">Accrual Balance at </w:t>
            </w:r>
            <w:r>
              <w:rPr>
                <w:rFonts w:ascii="Arial" w:eastAsia="宋体" w:hAnsi="Arial" w:cs="Arial"/>
                <w:b/>
                <w:bCs/>
                <w:sz w:val="14"/>
                <w:szCs w:val="14"/>
              </w:rPr>
              <w:t>December 31,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CA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CA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190</w:t>
            </w:r>
          </w:p>
        </w:tc>
        <w:tc>
          <w:tcPr>
            <w:tcW w:w="0" w:type="auto"/>
            <w:tcBorders>
              <w:top w:val="single" w:sz="8" w:space="0" w:color="000000"/>
              <w:bottom w:val="double" w:sz="6" w:space="0" w:color="000000"/>
            </w:tcBorders>
            <w:shd w:val="clear" w:color="auto" w:fill="auto"/>
            <w:vAlign w:val="bottom"/>
          </w:tcPr>
          <w:p w14:paraId="5556ECB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CB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CB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w:t>
            </w:r>
          </w:p>
        </w:tc>
        <w:tc>
          <w:tcPr>
            <w:tcW w:w="0" w:type="auto"/>
            <w:tcBorders>
              <w:top w:val="single" w:sz="8" w:space="0" w:color="000000"/>
              <w:bottom w:val="double" w:sz="6" w:space="0" w:color="000000"/>
            </w:tcBorders>
            <w:shd w:val="clear" w:color="auto" w:fill="auto"/>
            <w:vAlign w:val="bottom"/>
          </w:tcPr>
          <w:p w14:paraId="5556ECB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CB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CB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top w:val="single" w:sz="8" w:space="0" w:color="000000"/>
              <w:bottom w:val="double" w:sz="6" w:space="0" w:color="000000"/>
            </w:tcBorders>
            <w:shd w:val="clear" w:color="auto" w:fill="auto"/>
            <w:vAlign w:val="bottom"/>
          </w:tcPr>
          <w:p w14:paraId="5556EC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CB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CB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198</w:t>
            </w:r>
          </w:p>
        </w:tc>
        <w:tc>
          <w:tcPr>
            <w:tcW w:w="0" w:type="auto"/>
            <w:tcBorders>
              <w:top w:val="single" w:sz="8" w:space="0" w:color="000000"/>
              <w:bottom w:val="double" w:sz="6" w:space="0" w:color="000000"/>
            </w:tcBorders>
            <w:shd w:val="clear" w:color="auto" w:fill="auto"/>
            <w:vAlign w:val="bottom"/>
          </w:tcPr>
          <w:p w14:paraId="5556ECBC" w14:textId="77777777" w:rsidR="00F925DD" w:rsidRDefault="00F925DD">
            <w:pPr>
              <w:textAlignment w:val="bottom"/>
              <w:rPr>
                <w:rFonts w:ascii="Times New Roman" w:hAnsi="Times New Roman"/>
                <w:sz w:val="20"/>
                <w:szCs w:val="20"/>
              </w:rPr>
            </w:pPr>
          </w:p>
        </w:tc>
      </w:tr>
    </w:tbl>
    <w:p w14:paraId="5556ECBE" w14:textId="77777777" w:rsidR="00F925DD" w:rsidRDefault="00F925DD">
      <w:pPr>
        <w:spacing w:line="288" w:lineRule="auto"/>
        <w:rPr>
          <w:rFonts w:ascii="Times New Roman" w:hAnsi="Times New Roman"/>
          <w:sz w:val="20"/>
          <w:szCs w:val="20"/>
        </w:rPr>
      </w:pPr>
    </w:p>
    <w:p w14:paraId="5556ECBF"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22.     Income Taxes</w:t>
      </w:r>
    </w:p>
    <w:p w14:paraId="5556ECC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use an asset-and-liability approach to account for income taxes. Our objective is to recognize the amount of taxes payable or refundable for the current year through charges or credits to the current tax provisi</w:t>
      </w:r>
      <w:r>
        <w:rPr>
          <w:rFonts w:ascii="Arial" w:eastAsia="宋体" w:hAnsi="Arial" w:cs="Arial"/>
          <w:sz w:val="20"/>
          <w:szCs w:val="20"/>
        </w:rPr>
        <w:t>on, and to recognize deferred tax assets and liabilities for future tax consequences of temporary differences between amounts reported in our consolidated financial statements and their respective tax bases. The measurement of tax assets and liabilities is</w:t>
      </w:r>
      <w:r>
        <w:rPr>
          <w:rFonts w:ascii="Arial" w:eastAsia="宋体" w:hAnsi="Arial" w:cs="Arial"/>
          <w:sz w:val="20"/>
          <w:szCs w:val="20"/>
        </w:rPr>
        <w:t xml:space="preserve"> based on enacted tax laws and applicable tax rates. The effects of a tax position on our consolidated financial statements are recognized when we believe it is more likely than not that the position will be sustained. A valuation allowance is established </w:t>
      </w:r>
      <w:r>
        <w:rPr>
          <w:rFonts w:ascii="Arial" w:eastAsia="宋体" w:hAnsi="Arial" w:cs="Arial"/>
          <w:sz w:val="20"/>
          <w:szCs w:val="20"/>
        </w:rPr>
        <w:t>if it is considered more likely than not that all or a portion of the deferred tax assets will not be realized. Deferred tax assets and liabilities recorded in our consolidated statement of condition are netted within the same tax jurisdiction.</w:t>
      </w:r>
    </w:p>
    <w:p w14:paraId="5556ECC1"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ECC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t>
      </w:r>
      <w:r>
        <w:rPr>
          <w:rFonts w:ascii="Arial" w:eastAsia="宋体" w:hAnsi="Arial" w:cs="Arial"/>
          <w:sz w:val="20"/>
          <w:szCs w:val="20"/>
        </w:rPr>
        <w:t>wing table presents the components of income tax expense (benefit) for the periods indicated:</w:t>
      </w:r>
      <w:r>
        <w:rPr>
          <w:rFonts w:ascii="Arial" w:eastAsia="宋体" w:hAnsi="Arial" w:cs="Arial"/>
          <w:sz w:val="18"/>
          <w:szCs w:val="18"/>
        </w:rPr>
        <w:t> </w:t>
      </w:r>
    </w:p>
    <w:tbl>
      <w:tblPr>
        <w:tblW w:w="4990" w:type="pct"/>
        <w:tblCellMar>
          <w:left w:w="0" w:type="dxa"/>
          <w:right w:w="0" w:type="dxa"/>
        </w:tblCellMar>
        <w:tblLook w:val="04A0" w:firstRow="1" w:lastRow="0" w:firstColumn="1" w:lastColumn="0" w:noHBand="0" w:noVBand="1"/>
      </w:tblPr>
      <w:tblGrid>
        <w:gridCol w:w="3793"/>
        <w:gridCol w:w="118"/>
        <w:gridCol w:w="1223"/>
        <w:gridCol w:w="87"/>
        <w:gridCol w:w="146"/>
        <w:gridCol w:w="118"/>
        <w:gridCol w:w="1224"/>
        <w:gridCol w:w="87"/>
        <w:gridCol w:w="147"/>
        <w:gridCol w:w="118"/>
        <w:gridCol w:w="1141"/>
        <w:gridCol w:w="87"/>
      </w:tblGrid>
      <w:tr w:rsidR="00F925DD" w14:paraId="5556ECC4" w14:textId="77777777">
        <w:tc>
          <w:tcPr>
            <w:tcW w:w="0" w:type="auto"/>
            <w:gridSpan w:val="12"/>
            <w:shd w:val="clear" w:color="auto" w:fill="auto"/>
            <w:vAlign w:val="center"/>
          </w:tcPr>
          <w:p w14:paraId="5556ECC3" w14:textId="77777777" w:rsidR="00F925DD" w:rsidRDefault="00F925DD">
            <w:pPr>
              <w:rPr>
                <w:rFonts w:ascii="Times New Roman" w:hAnsi="Times New Roman"/>
                <w:sz w:val="20"/>
                <w:szCs w:val="20"/>
              </w:rPr>
            </w:pPr>
          </w:p>
        </w:tc>
      </w:tr>
      <w:tr w:rsidR="00F925DD" w14:paraId="5556ECD1" w14:textId="77777777">
        <w:tc>
          <w:tcPr>
            <w:tcW w:w="2300" w:type="pct"/>
            <w:shd w:val="clear" w:color="auto" w:fill="auto"/>
            <w:vAlign w:val="center"/>
          </w:tcPr>
          <w:p w14:paraId="5556ECC5" w14:textId="77777777" w:rsidR="00F925DD" w:rsidRDefault="00F925DD">
            <w:pPr>
              <w:rPr>
                <w:rFonts w:ascii="Times New Roman" w:hAnsi="Times New Roman"/>
                <w:sz w:val="20"/>
                <w:szCs w:val="20"/>
              </w:rPr>
            </w:pPr>
          </w:p>
        </w:tc>
        <w:tc>
          <w:tcPr>
            <w:tcW w:w="50" w:type="pct"/>
            <w:shd w:val="clear" w:color="auto" w:fill="auto"/>
            <w:vAlign w:val="center"/>
          </w:tcPr>
          <w:p w14:paraId="5556ECC6" w14:textId="77777777" w:rsidR="00F925DD" w:rsidRDefault="00F925DD">
            <w:pPr>
              <w:rPr>
                <w:rFonts w:ascii="Times New Roman" w:hAnsi="Times New Roman"/>
                <w:sz w:val="20"/>
                <w:szCs w:val="20"/>
              </w:rPr>
            </w:pPr>
          </w:p>
        </w:tc>
        <w:tc>
          <w:tcPr>
            <w:tcW w:w="750" w:type="pct"/>
            <w:shd w:val="clear" w:color="auto" w:fill="auto"/>
            <w:vAlign w:val="center"/>
          </w:tcPr>
          <w:p w14:paraId="5556ECC7" w14:textId="77777777" w:rsidR="00F925DD" w:rsidRDefault="00F925DD">
            <w:pPr>
              <w:rPr>
                <w:rFonts w:ascii="Times New Roman" w:hAnsi="Times New Roman"/>
                <w:sz w:val="20"/>
                <w:szCs w:val="20"/>
              </w:rPr>
            </w:pPr>
          </w:p>
        </w:tc>
        <w:tc>
          <w:tcPr>
            <w:tcW w:w="50" w:type="pct"/>
            <w:shd w:val="clear" w:color="auto" w:fill="auto"/>
            <w:vAlign w:val="center"/>
          </w:tcPr>
          <w:p w14:paraId="5556ECC8" w14:textId="77777777" w:rsidR="00F925DD" w:rsidRDefault="00F925DD">
            <w:pPr>
              <w:rPr>
                <w:rFonts w:ascii="Times New Roman" w:hAnsi="Times New Roman"/>
                <w:sz w:val="20"/>
                <w:szCs w:val="20"/>
              </w:rPr>
            </w:pPr>
          </w:p>
        </w:tc>
        <w:tc>
          <w:tcPr>
            <w:tcW w:w="100" w:type="pct"/>
            <w:shd w:val="clear" w:color="auto" w:fill="auto"/>
            <w:vAlign w:val="center"/>
          </w:tcPr>
          <w:p w14:paraId="5556ECC9" w14:textId="77777777" w:rsidR="00F925DD" w:rsidRDefault="00F925DD">
            <w:pPr>
              <w:rPr>
                <w:rFonts w:ascii="Times New Roman" w:hAnsi="Times New Roman"/>
                <w:sz w:val="20"/>
                <w:szCs w:val="20"/>
              </w:rPr>
            </w:pPr>
          </w:p>
        </w:tc>
        <w:tc>
          <w:tcPr>
            <w:tcW w:w="50" w:type="pct"/>
            <w:shd w:val="clear" w:color="auto" w:fill="auto"/>
            <w:vAlign w:val="center"/>
          </w:tcPr>
          <w:p w14:paraId="5556ECCA" w14:textId="77777777" w:rsidR="00F925DD" w:rsidRDefault="00F925DD">
            <w:pPr>
              <w:rPr>
                <w:rFonts w:ascii="Times New Roman" w:hAnsi="Times New Roman"/>
                <w:sz w:val="20"/>
                <w:szCs w:val="20"/>
              </w:rPr>
            </w:pPr>
          </w:p>
        </w:tc>
        <w:tc>
          <w:tcPr>
            <w:tcW w:w="750" w:type="pct"/>
            <w:shd w:val="clear" w:color="auto" w:fill="auto"/>
            <w:vAlign w:val="center"/>
          </w:tcPr>
          <w:p w14:paraId="5556ECCB" w14:textId="77777777" w:rsidR="00F925DD" w:rsidRDefault="00F925DD">
            <w:pPr>
              <w:rPr>
                <w:rFonts w:ascii="Times New Roman" w:hAnsi="Times New Roman"/>
                <w:sz w:val="20"/>
                <w:szCs w:val="20"/>
              </w:rPr>
            </w:pPr>
          </w:p>
        </w:tc>
        <w:tc>
          <w:tcPr>
            <w:tcW w:w="50" w:type="pct"/>
            <w:shd w:val="clear" w:color="auto" w:fill="auto"/>
            <w:vAlign w:val="center"/>
          </w:tcPr>
          <w:p w14:paraId="5556ECCC" w14:textId="77777777" w:rsidR="00F925DD" w:rsidRDefault="00F925DD">
            <w:pPr>
              <w:rPr>
                <w:rFonts w:ascii="Times New Roman" w:hAnsi="Times New Roman"/>
                <w:sz w:val="20"/>
                <w:szCs w:val="20"/>
              </w:rPr>
            </w:pPr>
          </w:p>
        </w:tc>
        <w:tc>
          <w:tcPr>
            <w:tcW w:w="100" w:type="pct"/>
            <w:shd w:val="clear" w:color="auto" w:fill="auto"/>
            <w:vAlign w:val="center"/>
          </w:tcPr>
          <w:p w14:paraId="5556ECCD" w14:textId="77777777" w:rsidR="00F925DD" w:rsidRDefault="00F925DD">
            <w:pPr>
              <w:rPr>
                <w:rFonts w:ascii="Times New Roman" w:hAnsi="Times New Roman"/>
                <w:sz w:val="20"/>
                <w:szCs w:val="20"/>
              </w:rPr>
            </w:pPr>
          </w:p>
        </w:tc>
        <w:tc>
          <w:tcPr>
            <w:tcW w:w="50" w:type="pct"/>
            <w:shd w:val="clear" w:color="auto" w:fill="auto"/>
            <w:vAlign w:val="center"/>
          </w:tcPr>
          <w:p w14:paraId="5556ECCE" w14:textId="77777777" w:rsidR="00F925DD" w:rsidRDefault="00F925DD">
            <w:pPr>
              <w:rPr>
                <w:rFonts w:ascii="Times New Roman" w:hAnsi="Times New Roman"/>
                <w:sz w:val="20"/>
                <w:szCs w:val="20"/>
              </w:rPr>
            </w:pPr>
          </w:p>
        </w:tc>
        <w:tc>
          <w:tcPr>
            <w:tcW w:w="700" w:type="pct"/>
            <w:shd w:val="clear" w:color="auto" w:fill="auto"/>
            <w:vAlign w:val="center"/>
          </w:tcPr>
          <w:p w14:paraId="5556ECCF" w14:textId="77777777" w:rsidR="00F925DD" w:rsidRDefault="00F925DD">
            <w:pPr>
              <w:rPr>
                <w:rFonts w:ascii="Times New Roman" w:hAnsi="Times New Roman"/>
                <w:sz w:val="20"/>
                <w:szCs w:val="20"/>
              </w:rPr>
            </w:pPr>
          </w:p>
        </w:tc>
        <w:tc>
          <w:tcPr>
            <w:tcW w:w="50" w:type="pct"/>
            <w:shd w:val="clear" w:color="auto" w:fill="auto"/>
            <w:vAlign w:val="center"/>
          </w:tcPr>
          <w:p w14:paraId="5556ECD0" w14:textId="77777777" w:rsidR="00F925DD" w:rsidRDefault="00F925DD">
            <w:pPr>
              <w:rPr>
                <w:rFonts w:ascii="Times New Roman" w:hAnsi="Times New Roman"/>
                <w:sz w:val="20"/>
                <w:szCs w:val="20"/>
              </w:rPr>
            </w:pPr>
          </w:p>
        </w:tc>
      </w:tr>
      <w:tr w:rsidR="00F925DD" w14:paraId="5556ECD4" w14:textId="77777777">
        <w:tc>
          <w:tcPr>
            <w:tcW w:w="0" w:type="auto"/>
            <w:shd w:val="clear" w:color="auto" w:fill="auto"/>
            <w:tcMar>
              <w:top w:w="40" w:type="dxa"/>
              <w:left w:w="40" w:type="dxa"/>
              <w:bottom w:w="40" w:type="dxa"/>
              <w:right w:w="40" w:type="dxa"/>
            </w:tcMar>
            <w:vAlign w:val="bottom"/>
          </w:tcPr>
          <w:p w14:paraId="5556EC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ECD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Years Ended December 31,</w:t>
            </w:r>
          </w:p>
        </w:tc>
      </w:tr>
      <w:tr w:rsidR="00F925DD" w14:paraId="5556ECDB" w14:textId="77777777">
        <w:tc>
          <w:tcPr>
            <w:tcW w:w="0" w:type="auto"/>
            <w:shd w:val="clear" w:color="auto" w:fill="auto"/>
            <w:tcMar>
              <w:top w:w="40" w:type="dxa"/>
              <w:left w:w="40" w:type="dxa"/>
              <w:bottom w:w="40" w:type="dxa"/>
              <w:right w:w="40" w:type="dxa"/>
            </w:tcMar>
            <w:vAlign w:val="bottom"/>
          </w:tcPr>
          <w:p w14:paraId="5556ECD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CD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ECD7" w14:textId="77777777" w:rsidR="00F925DD" w:rsidRDefault="00F925DD">
            <w:pP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CD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ECD9" w14:textId="77777777" w:rsidR="00F925DD" w:rsidRDefault="00F925DD">
            <w:pPr>
              <w:jc w:val="center"/>
              <w:textAlignment w:val="bottom"/>
              <w:rPr>
                <w:rFonts w:ascii="Times New Roman" w:hAnsi="Times New Roman"/>
                <w:sz w:val="14"/>
                <w:szCs w:val="14"/>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CD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ECE2" w14:textId="77777777">
        <w:tc>
          <w:tcPr>
            <w:tcW w:w="0" w:type="auto"/>
            <w:shd w:val="clear" w:color="auto" w:fill="auto"/>
            <w:tcMar>
              <w:top w:w="40" w:type="dxa"/>
              <w:left w:w="40" w:type="dxa"/>
              <w:bottom w:w="40" w:type="dxa"/>
              <w:right w:w="40" w:type="dxa"/>
            </w:tcMar>
            <w:vAlign w:val="bottom"/>
          </w:tcPr>
          <w:p w14:paraId="5556ECD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Current:</w:t>
            </w:r>
          </w:p>
        </w:tc>
        <w:tc>
          <w:tcPr>
            <w:tcW w:w="0" w:type="auto"/>
            <w:gridSpan w:val="3"/>
            <w:shd w:val="clear" w:color="auto" w:fill="auto"/>
            <w:tcMar>
              <w:top w:w="40" w:type="dxa"/>
              <w:left w:w="40" w:type="dxa"/>
              <w:bottom w:w="40" w:type="dxa"/>
              <w:right w:w="40" w:type="dxa"/>
            </w:tcMar>
            <w:vAlign w:val="bottom"/>
          </w:tcPr>
          <w:p w14:paraId="5556EC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C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C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C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C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CEF" w14:textId="77777777">
        <w:tc>
          <w:tcPr>
            <w:tcW w:w="0" w:type="auto"/>
            <w:shd w:val="clear" w:color="auto" w:fill="CCEEFF"/>
            <w:tcMar>
              <w:top w:w="40" w:type="dxa"/>
              <w:left w:w="40" w:type="dxa"/>
              <w:bottom w:w="40" w:type="dxa"/>
              <w:right w:w="40" w:type="dxa"/>
            </w:tcMar>
            <w:vAlign w:val="bottom"/>
          </w:tcPr>
          <w:p w14:paraId="5556ECE3" w14:textId="77777777" w:rsidR="00F925DD" w:rsidRDefault="00E705D7">
            <w:pPr>
              <w:textAlignment w:val="bottom"/>
              <w:rPr>
                <w:rFonts w:ascii="Times New Roman" w:hAnsi="Times New Roman"/>
                <w:sz w:val="14"/>
                <w:szCs w:val="14"/>
              </w:rPr>
            </w:pPr>
            <w:r>
              <w:rPr>
                <w:rFonts w:ascii="Arial" w:eastAsia="宋体" w:hAnsi="Arial" w:cs="Arial"/>
                <w:sz w:val="14"/>
                <w:szCs w:val="14"/>
              </w:rPr>
              <w:t>Federal</w:t>
            </w:r>
          </w:p>
        </w:tc>
        <w:tc>
          <w:tcPr>
            <w:tcW w:w="0" w:type="auto"/>
            <w:shd w:val="clear" w:color="auto" w:fill="CCEEFF"/>
            <w:tcMar>
              <w:top w:w="40" w:type="dxa"/>
              <w:left w:w="40" w:type="dxa"/>
              <w:bottom w:w="40" w:type="dxa"/>
            </w:tcMar>
            <w:vAlign w:val="bottom"/>
          </w:tcPr>
          <w:p w14:paraId="5556ECE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ECE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157</w:t>
            </w:r>
          </w:p>
        </w:tc>
        <w:tc>
          <w:tcPr>
            <w:tcW w:w="0" w:type="auto"/>
            <w:shd w:val="clear" w:color="auto" w:fill="CCEEFF"/>
            <w:vAlign w:val="bottom"/>
          </w:tcPr>
          <w:p w14:paraId="5556ECE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CE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ECE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122</w:t>
            </w:r>
          </w:p>
        </w:tc>
        <w:tc>
          <w:tcPr>
            <w:tcW w:w="0" w:type="auto"/>
            <w:shd w:val="clear" w:color="auto" w:fill="CCEEFF"/>
            <w:vAlign w:val="bottom"/>
          </w:tcPr>
          <w:p w14:paraId="5556EC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CE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ECE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343</w:t>
            </w:r>
          </w:p>
        </w:tc>
        <w:tc>
          <w:tcPr>
            <w:tcW w:w="0" w:type="auto"/>
            <w:shd w:val="clear" w:color="auto" w:fill="CCEEFF"/>
            <w:vAlign w:val="bottom"/>
          </w:tcPr>
          <w:p w14:paraId="5556ECEE" w14:textId="77777777" w:rsidR="00F925DD" w:rsidRDefault="00F925DD">
            <w:pPr>
              <w:textAlignment w:val="bottom"/>
              <w:rPr>
                <w:rFonts w:ascii="Times New Roman" w:hAnsi="Times New Roman"/>
                <w:sz w:val="20"/>
                <w:szCs w:val="20"/>
              </w:rPr>
            </w:pPr>
          </w:p>
        </w:tc>
      </w:tr>
      <w:tr w:rsidR="00F925DD" w14:paraId="5556ECF9" w14:textId="77777777">
        <w:tc>
          <w:tcPr>
            <w:tcW w:w="0" w:type="auto"/>
            <w:shd w:val="clear" w:color="auto" w:fill="auto"/>
            <w:tcMar>
              <w:top w:w="40" w:type="dxa"/>
              <w:left w:w="40" w:type="dxa"/>
              <w:bottom w:w="40" w:type="dxa"/>
              <w:right w:w="40" w:type="dxa"/>
            </w:tcMar>
            <w:vAlign w:val="bottom"/>
          </w:tcPr>
          <w:p w14:paraId="5556ECF0" w14:textId="77777777" w:rsidR="00F925DD" w:rsidRDefault="00E705D7">
            <w:pPr>
              <w:textAlignment w:val="bottom"/>
              <w:rPr>
                <w:rFonts w:ascii="Times New Roman" w:hAnsi="Times New Roman"/>
                <w:sz w:val="14"/>
                <w:szCs w:val="14"/>
              </w:rPr>
            </w:pPr>
            <w:r>
              <w:rPr>
                <w:rFonts w:ascii="Arial" w:eastAsia="宋体" w:hAnsi="Arial" w:cs="Arial"/>
                <w:sz w:val="14"/>
                <w:szCs w:val="14"/>
              </w:rPr>
              <w:t>State</w:t>
            </w:r>
          </w:p>
        </w:tc>
        <w:tc>
          <w:tcPr>
            <w:tcW w:w="0" w:type="auto"/>
            <w:gridSpan w:val="2"/>
            <w:shd w:val="clear" w:color="auto" w:fill="auto"/>
            <w:tcMar>
              <w:top w:w="40" w:type="dxa"/>
              <w:left w:w="40" w:type="dxa"/>
              <w:bottom w:w="40" w:type="dxa"/>
            </w:tcMar>
            <w:vAlign w:val="bottom"/>
          </w:tcPr>
          <w:p w14:paraId="5556ECF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86</w:t>
            </w:r>
          </w:p>
        </w:tc>
        <w:tc>
          <w:tcPr>
            <w:tcW w:w="0" w:type="auto"/>
            <w:shd w:val="clear" w:color="auto" w:fill="auto"/>
            <w:vAlign w:val="bottom"/>
          </w:tcPr>
          <w:p w14:paraId="5556ECF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F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148</w:t>
            </w:r>
          </w:p>
        </w:tc>
        <w:tc>
          <w:tcPr>
            <w:tcW w:w="0" w:type="auto"/>
            <w:shd w:val="clear" w:color="auto" w:fill="auto"/>
            <w:vAlign w:val="bottom"/>
          </w:tcPr>
          <w:p w14:paraId="5556ECF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C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CF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w:t>
            </w:r>
          </w:p>
        </w:tc>
        <w:tc>
          <w:tcPr>
            <w:tcW w:w="0" w:type="auto"/>
            <w:shd w:val="clear" w:color="auto" w:fill="auto"/>
            <w:vAlign w:val="bottom"/>
          </w:tcPr>
          <w:p w14:paraId="5556ECF8" w14:textId="77777777" w:rsidR="00F925DD" w:rsidRDefault="00F925DD">
            <w:pPr>
              <w:textAlignment w:val="bottom"/>
              <w:rPr>
                <w:rFonts w:ascii="Times New Roman" w:hAnsi="Times New Roman"/>
                <w:sz w:val="20"/>
                <w:szCs w:val="20"/>
              </w:rPr>
            </w:pPr>
          </w:p>
        </w:tc>
      </w:tr>
      <w:tr w:rsidR="00F925DD" w14:paraId="5556ED03" w14:textId="77777777">
        <w:tc>
          <w:tcPr>
            <w:tcW w:w="0" w:type="auto"/>
            <w:shd w:val="clear" w:color="auto" w:fill="CCEEFF"/>
            <w:tcMar>
              <w:top w:w="40" w:type="dxa"/>
              <w:left w:w="40" w:type="dxa"/>
              <w:bottom w:w="40" w:type="dxa"/>
              <w:right w:w="40" w:type="dxa"/>
            </w:tcMar>
            <w:vAlign w:val="bottom"/>
          </w:tcPr>
          <w:p w14:paraId="5556ECFA" w14:textId="77777777" w:rsidR="00F925DD" w:rsidRDefault="00E705D7">
            <w:pPr>
              <w:textAlignment w:val="bottom"/>
              <w:rPr>
                <w:rFonts w:ascii="Times New Roman" w:hAnsi="Times New Roman"/>
                <w:sz w:val="14"/>
                <w:szCs w:val="14"/>
              </w:rPr>
            </w:pPr>
            <w:r>
              <w:rPr>
                <w:rFonts w:ascii="Arial" w:eastAsia="宋体" w:hAnsi="Arial" w:cs="Arial"/>
                <w:sz w:val="14"/>
                <w:szCs w:val="14"/>
              </w:rPr>
              <w:t>Non-U.S.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CF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357</w:t>
            </w:r>
          </w:p>
        </w:tc>
        <w:tc>
          <w:tcPr>
            <w:tcW w:w="0" w:type="auto"/>
            <w:tcBorders>
              <w:bottom w:val="single" w:sz="8" w:space="0" w:color="000000"/>
            </w:tcBorders>
            <w:shd w:val="clear" w:color="auto" w:fill="CCEEFF"/>
            <w:vAlign w:val="bottom"/>
          </w:tcPr>
          <w:p w14:paraId="5556ECF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C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CF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374</w:t>
            </w:r>
          </w:p>
        </w:tc>
        <w:tc>
          <w:tcPr>
            <w:tcW w:w="0" w:type="auto"/>
            <w:tcBorders>
              <w:bottom w:val="single" w:sz="8" w:space="0" w:color="000000"/>
            </w:tcBorders>
            <w:shd w:val="clear" w:color="auto" w:fill="CCEEFF"/>
            <w:vAlign w:val="bottom"/>
          </w:tcPr>
          <w:p w14:paraId="5556ECF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D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D0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380</w:t>
            </w:r>
          </w:p>
        </w:tc>
        <w:tc>
          <w:tcPr>
            <w:tcW w:w="0" w:type="auto"/>
            <w:tcBorders>
              <w:bottom w:val="single" w:sz="8" w:space="0" w:color="000000"/>
            </w:tcBorders>
            <w:shd w:val="clear" w:color="auto" w:fill="CCEEFF"/>
            <w:vAlign w:val="bottom"/>
          </w:tcPr>
          <w:p w14:paraId="5556ED02" w14:textId="77777777" w:rsidR="00F925DD" w:rsidRDefault="00F925DD">
            <w:pPr>
              <w:textAlignment w:val="bottom"/>
              <w:rPr>
                <w:rFonts w:ascii="Times New Roman" w:hAnsi="Times New Roman"/>
                <w:sz w:val="20"/>
                <w:szCs w:val="20"/>
              </w:rPr>
            </w:pPr>
          </w:p>
        </w:tc>
      </w:tr>
      <w:tr w:rsidR="00F925DD" w14:paraId="5556ED0D" w14:textId="77777777">
        <w:tc>
          <w:tcPr>
            <w:tcW w:w="0" w:type="auto"/>
            <w:shd w:val="clear" w:color="auto" w:fill="auto"/>
            <w:tcMar>
              <w:top w:w="40" w:type="dxa"/>
              <w:left w:w="240" w:type="dxa"/>
              <w:bottom w:w="40" w:type="dxa"/>
              <w:right w:w="40" w:type="dxa"/>
            </w:tcMar>
            <w:vAlign w:val="bottom"/>
          </w:tcPr>
          <w:p w14:paraId="5556ED04"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current expense</w:t>
            </w:r>
          </w:p>
        </w:tc>
        <w:tc>
          <w:tcPr>
            <w:tcW w:w="0" w:type="auto"/>
            <w:gridSpan w:val="2"/>
            <w:shd w:val="clear" w:color="auto" w:fill="auto"/>
            <w:tcMar>
              <w:top w:w="40" w:type="dxa"/>
              <w:left w:w="40" w:type="dxa"/>
              <w:bottom w:w="40" w:type="dxa"/>
            </w:tcMar>
            <w:vAlign w:val="bottom"/>
          </w:tcPr>
          <w:p w14:paraId="5556ED0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600</w:t>
            </w:r>
          </w:p>
        </w:tc>
        <w:tc>
          <w:tcPr>
            <w:tcW w:w="0" w:type="auto"/>
            <w:shd w:val="clear" w:color="auto" w:fill="auto"/>
            <w:vAlign w:val="bottom"/>
          </w:tcPr>
          <w:p w14:paraId="5556ED0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D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ED0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644</w:t>
            </w:r>
          </w:p>
        </w:tc>
        <w:tc>
          <w:tcPr>
            <w:tcW w:w="0" w:type="auto"/>
            <w:tcBorders>
              <w:top w:val="single" w:sz="8" w:space="0" w:color="000000"/>
            </w:tcBorders>
            <w:shd w:val="clear" w:color="auto" w:fill="auto"/>
            <w:vAlign w:val="bottom"/>
          </w:tcPr>
          <w:p w14:paraId="5556ED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D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D0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747</w:t>
            </w:r>
          </w:p>
        </w:tc>
        <w:tc>
          <w:tcPr>
            <w:tcW w:w="0" w:type="auto"/>
            <w:shd w:val="clear" w:color="auto" w:fill="auto"/>
            <w:vAlign w:val="bottom"/>
          </w:tcPr>
          <w:p w14:paraId="5556ED0C" w14:textId="77777777" w:rsidR="00F925DD" w:rsidRDefault="00F925DD">
            <w:pPr>
              <w:textAlignment w:val="bottom"/>
              <w:rPr>
                <w:rFonts w:ascii="Times New Roman" w:hAnsi="Times New Roman"/>
                <w:sz w:val="20"/>
                <w:szCs w:val="20"/>
              </w:rPr>
            </w:pPr>
          </w:p>
        </w:tc>
      </w:tr>
      <w:tr w:rsidR="00F925DD" w14:paraId="5556ED14" w14:textId="77777777">
        <w:tc>
          <w:tcPr>
            <w:tcW w:w="0" w:type="auto"/>
            <w:shd w:val="clear" w:color="auto" w:fill="CCEEFF"/>
            <w:tcMar>
              <w:top w:w="40" w:type="dxa"/>
              <w:left w:w="40" w:type="dxa"/>
              <w:bottom w:w="40" w:type="dxa"/>
              <w:right w:w="40" w:type="dxa"/>
            </w:tcMar>
            <w:vAlign w:val="bottom"/>
          </w:tcPr>
          <w:p w14:paraId="5556ED0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Deferred:</w:t>
            </w:r>
          </w:p>
        </w:tc>
        <w:tc>
          <w:tcPr>
            <w:tcW w:w="0" w:type="auto"/>
            <w:gridSpan w:val="3"/>
            <w:shd w:val="clear" w:color="auto" w:fill="CCEEFF"/>
            <w:tcMar>
              <w:top w:w="40" w:type="dxa"/>
              <w:left w:w="40" w:type="dxa"/>
              <w:bottom w:w="40" w:type="dxa"/>
              <w:right w:w="40" w:type="dxa"/>
            </w:tcMar>
            <w:vAlign w:val="bottom"/>
          </w:tcPr>
          <w:p w14:paraId="5556ED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D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D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D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D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D1E" w14:textId="77777777">
        <w:tc>
          <w:tcPr>
            <w:tcW w:w="0" w:type="auto"/>
            <w:shd w:val="clear" w:color="auto" w:fill="auto"/>
            <w:tcMar>
              <w:top w:w="40" w:type="dxa"/>
              <w:left w:w="40" w:type="dxa"/>
              <w:bottom w:w="40" w:type="dxa"/>
              <w:right w:w="40" w:type="dxa"/>
            </w:tcMar>
            <w:vAlign w:val="bottom"/>
          </w:tcPr>
          <w:p w14:paraId="5556ED15" w14:textId="77777777" w:rsidR="00F925DD" w:rsidRDefault="00E705D7">
            <w:pPr>
              <w:textAlignment w:val="bottom"/>
              <w:rPr>
                <w:rFonts w:ascii="Times New Roman" w:hAnsi="Times New Roman"/>
                <w:sz w:val="14"/>
                <w:szCs w:val="14"/>
              </w:rPr>
            </w:pPr>
            <w:r>
              <w:rPr>
                <w:rFonts w:ascii="Arial" w:eastAsia="宋体" w:hAnsi="Arial" w:cs="Arial"/>
                <w:sz w:val="14"/>
                <w:szCs w:val="14"/>
              </w:rPr>
              <w:t>Federal</w:t>
            </w:r>
          </w:p>
        </w:tc>
        <w:tc>
          <w:tcPr>
            <w:tcW w:w="0" w:type="auto"/>
            <w:gridSpan w:val="2"/>
            <w:shd w:val="clear" w:color="auto" w:fill="auto"/>
            <w:tcMar>
              <w:top w:w="40" w:type="dxa"/>
              <w:left w:w="40" w:type="dxa"/>
              <w:bottom w:w="40" w:type="dxa"/>
            </w:tcMar>
            <w:vAlign w:val="bottom"/>
          </w:tcPr>
          <w:p w14:paraId="5556ED1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w:t>
            </w:r>
          </w:p>
        </w:tc>
        <w:tc>
          <w:tcPr>
            <w:tcW w:w="0" w:type="auto"/>
            <w:shd w:val="clear" w:color="auto" w:fill="auto"/>
            <w:tcMar>
              <w:top w:w="40" w:type="dxa"/>
              <w:bottom w:w="40" w:type="dxa"/>
              <w:right w:w="40" w:type="dxa"/>
            </w:tcMar>
            <w:vAlign w:val="bottom"/>
          </w:tcPr>
          <w:p w14:paraId="5556ED1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D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D1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(128</w:t>
            </w:r>
          </w:p>
        </w:tc>
        <w:tc>
          <w:tcPr>
            <w:tcW w:w="0" w:type="auto"/>
            <w:shd w:val="clear" w:color="auto" w:fill="auto"/>
            <w:tcMar>
              <w:top w:w="40" w:type="dxa"/>
              <w:bottom w:w="40" w:type="dxa"/>
              <w:right w:w="40" w:type="dxa"/>
            </w:tcMar>
            <w:vAlign w:val="bottom"/>
          </w:tcPr>
          <w:p w14:paraId="5556ED1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D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D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45</w:t>
            </w:r>
          </w:p>
        </w:tc>
        <w:tc>
          <w:tcPr>
            <w:tcW w:w="0" w:type="auto"/>
            <w:shd w:val="clear" w:color="auto" w:fill="auto"/>
            <w:vAlign w:val="bottom"/>
          </w:tcPr>
          <w:p w14:paraId="5556ED1D" w14:textId="77777777" w:rsidR="00F925DD" w:rsidRDefault="00F925DD">
            <w:pPr>
              <w:textAlignment w:val="bottom"/>
              <w:rPr>
                <w:rFonts w:ascii="Times New Roman" w:hAnsi="Times New Roman"/>
                <w:sz w:val="20"/>
                <w:szCs w:val="20"/>
              </w:rPr>
            </w:pPr>
          </w:p>
        </w:tc>
      </w:tr>
      <w:tr w:rsidR="00F925DD" w14:paraId="5556ED28" w14:textId="77777777">
        <w:tc>
          <w:tcPr>
            <w:tcW w:w="0" w:type="auto"/>
            <w:shd w:val="clear" w:color="auto" w:fill="CCEEFF"/>
            <w:tcMar>
              <w:top w:w="40" w:type="dxa"/>
              <w:left w:w="40" w:type="dxa"/>
              <w:bottom w:w="40" w:type="dxa"/>
              <w:right w:w="40" w:type="dxa"/>
            </w:tcMar>
            <w:vAlign w:val="bottom"/>
          </w:tcPr>
          <w:p w14:paraId="5556ED1F" w14:textId="77777777" w:rsidR="00F925DD" w:rsidRDefault="00E705D7">
            <w:pPr>
              <w:textAlignment w:val="bottom"/>
              <w:rPr>
                <w:rFonts w:ascii="Times New Roman" w:hAnsi="Times New Roman"/>
                <w:sz w:val="14"/>
                <w:szCs w:val="14"/>
              </w:rPr>
            </w:pPr>
            <w:r>
              <w:rPr>
                <w:rFonts w:ascii="Arial" w:eastAsia="宋体" w:hAnsi="Arial" w:cs="Arial"/>
                <w:sz w:val="14"/>
                <w:szCs w:val="14"/>
              </w:rPr>
              <w:t>State</w:t>
            </w:r>
          </w:p>
        </w:tc>
        <w:tc>
          <w:tcPr>
            <w:tcW w:w="0" w:type="auto"/>
            <w:gridSpan w:val="2"/>
            <w:shd w:val="clear" w:color="auto" w:fill="CCEEFF"/>
            <w:tcMar>
              <w:top w:w="40" w:type="dxa"/>
              <w:left w:w="40" w:type="dxa"/>
              <w:bottom w:w="40" w:type="dxa"/>
            </w:tcMar>
            <w:vAlign w:val="bottom"/>
          </w:tcPr>
          <w:p w14:paraId="5556ED2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w:t>
            </w:r>
          </w:p>
        </w:tc>
        <w:tc>
          <w:tcPr>
            <w:tcW w:w="0" w:type="auto"/>
            <w:shd w:val="clear" w:color="auto" w:fill="CCEEFF"/>
            <w:vAlign w:val="bottom"/>
          </w:tcPr>
          <w:p w14:paraId="5556ED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D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D2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w:t>
            </w:r>
          </w:p>
        </w:tc>
        <w:tc>
          <w:tcPr>
            <w:tcW w:w="0" w:type="auto"/>
            <w:shd w:val="clear" w:color="auto" w:fill="CCEEFF"/>
            <w:tcMar>
              <w:top w:w="40" w:type="dxa"/>
              <w:bottom w:w="40" w:type="dxa"/>
              <w:right w:w="40" w:type="dxa"/>
            </w:tcMar>
            <w:vAlign w:val="bottom"/>
          </w:tcPr>
          <w:p w14:paraId="5556ED2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D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D2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66</w:t>
            </w:r>
          </w:p>
        </w:tc>
        <w:tc>
          <w:tcPr>
            <w:tcW w:w="0" w:type="auto"/>
            <w:shd w:val="clear" w:color="auto" w:fill="CCEEFF"/>
            <w:vAlign w:val="bottom"/>
          </w:tcPr>
          <w:p w14:paraId="5556ED27" w14:textId="77777777" w:rsidR="00F925DD" w:rsidRDefault="00F925DD">
            <w:pPr>
              <w:textAlignment w:val="bottom"/>
              <w:rPr>
                <w:rFonts w:ascii="Times New Roman" w:hAnsi="Times New Roman"/>
                <w:sz w:val="20"/>
                <w:szCs w:val="20"/>
              </w:rPr>
            </w:pPr>
          </w:p>
        </w:tc>
      </w:tr>
      <w:tr w:rsidR="00F925DD" w14:paraId="5556ED32" w14:textId="77777777">
        <w:tc>
          <w:tcPr>
            <w:tcW w:w="0" w:type="auto"/>
            <w:shd w:val="clear" w:color="auto" w:fill="auto"/>
            <w:tcMar>
              <w:top w:w="40" w:type="dxa"/>
              <w:left w:w="40" w:type="dxa"/>
              <w:bottom w:w="40" w:type="dxa"/>
              <w:right w:w="40" w:type="dxa"/>
            </w:tcMar>
            <w:vAlign w:val="bottom"/>
          </w:tcPr>
          <w:p w14:paraId="5556ED29" w14:textId="77777777" w:rsidR="00F925DD" w:rsidRDefault="00E705D7">
            <w:pPr>
              <w:textAlignment w:val="bottom"/>
              <w:rPr>
                <w:rFonts w:ascii="Times New Roman" w:hAnsi="Times New Roman"/>
                <w:sz w:val="14"/>
                <w:szCs w:val="14"/>
              </w:rPr>
            </w:pPr>
            <w:r>
              <w:rPr>
                <w:rFonts w:ascii="Arial" w:eastAsia="宋体" w:hAnsi="Arial" w:cs="Arial"/>
                <w:sz w:val="14"/>
                <w:szCs w:val="14"/>
              </w:rPr>
              <w:t>Non-U.S.</w:t>
            </w:r>
          </w:p>
        </w:tc>
        <w:tc>
          <w:tcPr>
            <w:tcW w:w="0" w:type="auto"/>
            <w:gridSpan w:val="2"/>
            <w:tcBorders>
              <w:bottom w:val="single" w:sz="8" w:space="0" w:color="000000"/>
            </w:tcBorders>
            <w:shd w:val="clear" w:color="auto" w:fill="auto"/>
            <w:tcMar>
              <w:top w:w="40" w:type="dxa"/>
              <w:left w:w="40" w:type="dxa"/>
              <w:bottom w:w="40" w:type="dxa"/>
            </w:tcMar>
            <w:vAlign w:val="bottom"/>
          </w:tcPr>
          <w:p w14:paraId="5556ED2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(157</w:t>
            </w:r>
          </w:p>
        </w:tc>
        <w:tc>
          <w:tcPr>
            <w:tcW w:w="0" w:type="auto"/>
            <w:tcBorders>
              <w:bottom w:val="single" w:sz="8" w:space="0" w:color="000000"/>
            </w:tcBorders>
            <w:shd w:val="clear" w:color="auto" w:fill="auto"/>
            <w:tcMar>
              <w:top w:w="40" w:type="dxa"/>
              <w:bottom w:w="40" w:type="dxa"/>
              <w:right w:w="40" w:type="dxa"/>
            </w:tcMar>
            <w:vAlign w:val="bottom"/>
          </w:tcPr>
          <w:p w14:paraId="5556ED2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D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D2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w:t>
            </w:r>
          </w:p>
        </w:tc>
        <w:tc>
          <w:tcPr>
            <w:tcW w:w="0" w:type="auto"/>
            <w:tcBorders>
              <w:bottom w:val="single" w:sz="8" w:space="0" w:color="000000"/>
            </w:tcBorders>
            <w:shd w:val="clear" w:color="auto" w:fill="auto"/>
            <w:vAlign w:val="bottom"/>
          </w:tcPr>
          <w:p w14:paraId="5556ED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D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D3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w:t>
            </w:r>
          </w:p>
        </w:tc>
        <w:tc>
          <w:tcPr>
            <w:tcW w:w="0" w:type="auto"/>
            <w:tcBorders>
              <w:bottom w:val="single" w:sz="8" w:space="0" w:color="000000"/>
            </w:tcBorders>
            <w:shd w:val="clear" w:color="auto" w:fill="auto"/>
            <w:tcMar>
              <w:top w:w="40" w:type="dxa"/>
              <w:bottom w:w="40" w:type="dxa"/>
              <w:right w:w="40" w:type="dxa"/>
            </w:tcMar>
            <w:vAlign w:val="bottom"/>
          </w:tcPr>
          <w:p w14:paraId="5556ED3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D3C" w14:textId="77777777">
        <w:tc>
          <w:tcPr>
            <w:tcW w:w="0" w:type="auto"/>
            <w:shd w:val="clear" w:color="auto" w:fill="CCEEFF"/>
            <w:tcMar>
              <w:top w:w="40" w:type="dxa"/>
              <w:left w:w="40" w:type="dxa"/>
              <w:bottom w:w="40" w:type="dxa"/>
              <w:right w:w="40" w:type="dxa"/>
            </w:tcMar>
            <w:vAlign w:val="bottom"/>
          </w:tcPr>
          <w:p w14:paraId="5556ED33"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deferred expense (benefit)</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D3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(130</w:t>
            </w:r>
          </w:p>
        </w:tc>
        <w:tc>
          <w:tcPr>
            <w:tcW w:w="0" w:type="auto"/>
            <w:tcBorders>
              <w:bottom w:val="single" w:sz="8" w:space="0" w:color="000000"/>
            </w:tcBorders>
            <w:shd w:val="clear" w:color="auto" w:fill="CCEEFF"/>
            <w:tcMar>
              <w:top w:w="40" w:type="dxa"/>
              <w:bottom w:w="40" w:type="dxa"/>
              <w:right w:w="40" w:type="dxa"/>
            </w:tcMar>
            <w:vAlign w:val="bottom"/>
          </w:tcPr>
          <w:p w14:paraId="5556ED3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D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ED3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(136</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556ED3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D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D3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92</w:t>
            </w:r>
          </w:p>
        </w:tc>
        <w:tc>
          <w:tcPr>
            <w:tcW w:w="0" w:type="auto"/>
            <w:tcBorders>
              <w:bottom w:val="single" w:sz="8" w:space="0" w:color="000000"/>
            </w:tcBorders>
            <w:shd w:val="clear" w:color="auto" w:fill="CCEEFF"/>
            <w:vAlign w:val="bottom"/>
          </w:tcPr>
          <w:p w14:paraId="5556ED3B" w14:textId="77777777" w:rsidR="00F925DD" w:rsidRDefault="00F925DD">
            <w:pPr>
              <w:textAlignment w:val="bottom"/>
              <w:rPr>
                <w:rFonts w:ascii="Times New Roman" w:hAnsi="Times New Roman"/>
                <w:sz w:val="20"/>
                <w:szCs w:val="20"/>
              </w:rPr>
            </w:pPr>
          </w:p>
        </w:tc>
      </w:tr>
      <w:tr w:rsidR="00F925DD" w14:paraId="5556ED49" w14:textId="77777777">
        <w:tc>
          <w:tcPr>
            <w:tcW w:w="0" w:type="auto"/>
            <w:shd w:val="clear" w:color="auto" w:fill="auto"/>
            <w:tcMar>
              <w:top w:w="40" w:type="dxa"/>
              <w:left w:w="240" w:type="dxa"/>
              <w:bottom w:w="40" w:type="dxa"/>
              <w:right w:w="40" w:type="dxa"/>
            </w:tcMar>
            <w:vAlign w:val="bottom"/>
          </w:tcPr>
          <w:p w14:paraId="5556ED3D"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Total income tax </w:t>
            </w:r>
            <w:r>
              <w:rPr>
                <w:rFonts w:ascii="Arial" w:eastAsia="宋体" w:hAnsi="Arial" w:cs="Arial"/>
                <w:sz w:val="14"/>
                <w:szCs w:val="14"/>
              </w:rPr>
              <w:t>expense (benefit)</w:t>
            </w:r>
          </w:p>
        </w:tc>
        <w:tc>
          <w:tcPr>
            <w:tcW w:w="0" w:type="auto"/>
            <w:tcBorders>
              <w:bottom w:val="double" w:sz="6" w:space="0" w:color="000000"/>
            </w:tcBorders>
            <w:shd w:val="clear" w:color="auto" w:fill="auto"/>
            <w:tcMar>
              <w:top w:w="40" w:type="dxa"/>
              <w:left w:w="40" w:type="dxa"/>
              <w:bottom w:w="40" w:type="dxa"/>
            </w:tcMar>
            <w:vAlign w:val="bottom"/>
          </w:tcPr>
          <w:p w14:paraId="5556ED3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6ED3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470</w:t>
            </w:r>
          </w:p>
        </w:tc>
        <w:tc>
          <w:tcPr>
            <w:tcW w:w="0" w:type="auto"/>
            <w:tcBorders>
              <w:bottom w:val="double" w:sz="6" w:space="0" w:color="000000"/>
            </w:tcBorders>
            <w:shd w:val="clear" w:color="auto" w:fill="auto"/>
            <w:vAlign w:val="bottom"/>
          </w:tcPr>
          <w:p w14:paraId="5556ED4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D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D4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D4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508</w:t>
            </w:r>
          </w:p>
        </w:tc>
        <w:tc>
          <w:tcPr>
            <w:tcW w:w="0" w:type="auto"/>
            <w:tcBorders>
              <w:top w:val="single" w:sz="8" w:space="0" w:color="000000"/>
              <w:bottom w:val="double" w:sz="6" w:space="0" w:color="000000"/>
            </w:tcBorders>
            <w:shd w:val="clear" w:color="auto" w:fill="auto"/>
            <w:vAlign w:val="bottom"/>
          </w:tcPr>
          <w:p w14:paraId="5556ED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D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ED4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ED4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839</w:t>
            </w:r>
          </w:p>
        </w:tc>
        <w:tc>
          <w:tcPr>
            <w:tcW w:w="0" w:type="auto"/>
            <w:tcBorders>
              <w:bottom w:val="double" w:sz="6" w:space="0" w:color="000000"/>
            </w:tcBorders>
            <w:shd w:val="clear" w:color="auto" w:fill="auto"/>
            <w:vAlign w:val="bottom"/>
          </w:tcPr>
          <w:p w14:paraId="5556ED48" w14:textId="77777777" w:rsidR="00F925DD" w:rsidRDefault="00F925DD">
            <w:pPr>
              <w:textAlignment w:val="bottom"/>
              <w:rPr>
                <w:rFonts w:ascii="Times New Roman" w:hAnsi="Times New Roman"/>
                <w:sz w:val="20"/>
                <w:szCs w:val="20"/>
              </w:rPr>
            </w:pPr>
          </w:p>
        </w:tc>
      </w:tr>
    </w:tbl>
    <w:p w14:paraId="5556ED4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a reconciliation of the U.S. statutory income tax rate to our effective tax rate based on income before income tax expense for the periods indicated:</w:t>
      </w:r>
    </w:p>
    <w:tbl>
      <w:tblPr>
        <w:tblW w:w="4990" w:type="pct"/>
        <w:tblCellMar>
          <w:left w:w="0" w:type="dxa"/>
          <w:right w:w="0" w:type="dxa"/>
        </w:tblCellMar>
        <w:tblLook w:val="04A0" w:firstRow="1" w:lastRow="0" w:firstColumn="1" w:lastColumn="0" w:noHBand="0" w:noVBand="1"/>
      </w:tblPr>
      <w:tblGrid>
        <w:gridCol w:w="4415"/>
        <w:gridCol w:w="1017"/>
        <w:gridCol w:w="204"/>
        <w:gridCol w:w="130"/>
        <w:gridCol w:w="992"/>
        <w:gridCol w:w="204"/>
        <w:gridCol w:w="130"/>
        <w:gridCol w:w="993"/>
        <w:gridCol w:w="204"/>
      </w:tblGrid>
      <w:tr w:rsidR="00F925DD" w14:paraId="5556ED4C" w14:textId="77777777">
        <w:tc>
          <w:tcPr>
            <w:tcW w:w="0" w:type="auto"/>
            <w:gridSpan w:val="9"/>
            <w:shd w:val="clear" w:color="auto" w:fill="auto"/>
            <w:vAlign w:val="center"/>
          </w:tcPr>
          <w:p w14:paraId="5556ED4B" w14:textId="77777777" w:rsidR="00F925DD" w:rsidRDefault="00F925DD">
            <w:pPr>
              <w:rPr>
                <w:rFonts w:ascii="Times New Roman" w:hAnsi="Times New Roman"/>
                <w:sz w:val="20"/>
                <w:szCs w:val="20"/>
              </w:rPr>
            </w:pPr>
          </w:p>
        </w:tc>
      </w:tr>
      <w:tr w:rsidR="00F925DD" w14:paraId="5556ED56" w14:textId="77777777">
        <w:tc>
          <w:tcPr>
            <w:tcW w:w="2700" w:type="pct"/>
            <w:shd w:val="clear" w:color="auto" w:fill="auto"/>
            <w:vAlign w:val="center"/>
          </w:tcPr>
          <w:p w14:paraId="5556ED4D" w14:textId="77777777" w:rsidR="00F925DD" w:rsidRDefault="00F925DD">
            <w:pPr>
              <w:rPr>
                <w:rFonts w:ascii="Times New Roman" w:hAnsi="Times New Roman"/>
                <w:sz w:val="20"/>
                <w:szCs w:val="20"/>
              </w:rPr>
            </w:pPr>
          </w:p>
        </w:tc>
        <w:tc>
          <w:tcPr>
            <w:tcW w:w="650" w:type="pct"/>
            <w:shd w:val="clear" w:color="auto" w:fill="auto"/>
            <w:vAlign w:val="center"/>
          </w:tcPr>
          <w:p w14:paraId="5556ED4E" w14:textId="77777777" w:rsidR="00F925DD" w:rsidRDefault="00F925DD">
            <w:pPr>
              <w:rPr>
                <w:rFonts w:ascii="Times New Roman" w:hAnsi="Times New Roman"/>
                <w:sz w:val="20"/>
                <w:szCs w:val="20"/>
              </w:rPr>
            </w:pPr>
          </w:p>
        </w:tc>
        <w:tc>
          <w:tcPr>
            <w:tcW w:w="50" w:type="pct"/>
            <w:shd w:val="clear" w:color="auto" w:fill="auto"/>
            <w:vAlign w:val="center"/>
          </w:tcPr>
          <w:p w14:paraId="5556ED4F" w14:textId="77777777" w:rsidR="00F925DD" w:rsidRDefault="00F925DD">
            <w:pPr>
              <w:rPr>
                <w:rFonts w:ascii="Times New Roman" w:hAnsi="Times New Roman"/>
                <w:sz w:val="20"/>
                <w:szCs w:val="20"/>
              </w:rPr>
            </w:pPr>
          </w:p>
        </w:tc>
        <w:tc>
          <w:tcPr>
            <w:tcW w:w="100" w:type="pct"/>
            <w:shd w:val="clear" w:color="auto" w:fill="auto"/>
            <w:vAlign w:val="center"/>
          </w:tcPr>
          <w:p w14:paraId="5556ED50" w14:textId="77777777" w:rsidR="00F925DD" w:rsidRDefault="00F925DD">
            <w:pPr>
              <w:rPr>
                <w:rFonts w:ascii="Times New Roman" w:hAnsi="Times New Roman"/>
                <w:sz w:val="20"/>
                <w:szCs w:val="20"/>
              </w:rPr>
            </w:pPr>
          </w:p>
        </w:tc>
        <w:tc>
          <w:tcPr>
            <w:tcW w:w="650" w:type="pct"/>
            <w:shd w:val="clear" w:color="auto" w:fill="auto"/>
            <w:vAlign w:val="center"/>
          </w:tcPr>
          <w:p w14:paraId="5556ED51" w14:textId="77777777" w:rsidR="00F925DD" w:rsidRDefault="00F925DD">
            <w:pPr>
              <w:rPr>
                <w:rFonts w:ascii="Times New Roman" w:hAnsi="Times New Roman"/>
                <w:sz w:val="20"/>
                <w:szCs w:val="20"/>
              </w:rPr>
            </w:pPr>
          </w:p>
        </w:tc>
        <w:tc>
          <w:tcPr>
            <w:tcW w:w="50" w:type="pct"/>
            <w:shd w:val="clear" w:color="auto" w:fill="auto"/>
            <w:vAlign w:val="center"/>
          </w:tcPr>
          <w:p w14:paraId="5556ED52" w14:textId="77777777" w:rsidR="00F925DD" w:rsidRDefault="00F925DD">
            <w:pPr>
              <w:rPr>
                <w:rFonts w:ascii="Times New Roman" w:hAnsi="Times New Roman"/>
                <w:sz w:val="20"/>
                <w:szCs w:val="20"/>
              </w:rPr>
            </w:pPr>
          </w:p>
        </w:tc>
        <w:tc>
          <w:tcPr>
            <w:tcW w:w="100" w:type="pct"/>
            <w:shd w:val="clear" w:color="auto" w:fill="auto"/>
            <w:vAlign w:val="center"/>
          </w:tcPr>
          <w:p w14:paraId="5556ED53" w14:textId="77777777" w:rsidR="00F925DD" w:rsidRDefault="00F925DD">
            <w:pPr>
              <w:rPr>
                <w:rFonts w:ascii="Times New Roman" w:hAnsi="Times New Roman"/>
                <w:sz w:val="20"/>
                <w:szCs w:val="20"/>
              </w:rPr>
            </w:pPr>
          </w:p>
        </w:tc>
        <w:tc>
          <w:tcPr>
            <w:tcW w:w="650" w:type="pct"/>
            <w:shd w:val="clear" w:color="auto" w:fill="auto"/>
            <w:vAlign w:val="center"/>
          </w:tcPr>
          <w:p w14:paraId="5556ED54" w14:textId="77777777" w:rsidR="00F925DD" w:rsidRDefault="00F925DD">
            <w:pPr>
              <w:rPr>
                <w:rFonts w:ascii="Times New Roman" w:hAnsi="Times New Roman"/>
                <w:sz w:val="20"/>
                <w:szCs w:val="20"/>
              </w:rPr>
            </w:pPr>
          </w:p>
        </w:tc>
        <w:tc>
          <w:tcPr>
            <w:tcW w:w="50" w:type="pct"/>
            <w:shd w:val="clear" w:color="auto" w:fill="auto"/>
            <w:vAlign w:val="center"/>
          </w:tcPr>
          <w:p w14:paraId="5556ED55" w14:textId="77777777" w:rsidR="00F925DD" w:rsidRDefault="00F925DD">
            <w:pPr>
              <w:rPr>
                <w:rFonts w:ascii="Times New Roman" w:hAnsi="Times New Roman"/>
                <w:sz w:val="20"/>
                <w:szCs w:val="20"/>
              </w:rPr>
            </w:pPr>
          </w:p>
        </w:tc>
      </w:tr>
      <w:tr w:rsidR="00F925DD" w14:paraId="5556ED59" w14:textId="77777777">
        <w:tc>
          <w:tcPr>
            <w:tcW w:w="0" w:type="auto"/>
            <w:shd w:val="clear" w:color="auto" w:fill="auto"/>
            <w:tcMar>
              <w:top w:w="40" w:type="dxa"/>
              <w:left w:w="40" w:type="dxa"/>
              <w:bottom w:w="40" w:type="dxa"/>
              <w:right w:w="40" w:type="dxa"/>
            </w:tcMar>
            <w:vAlign w:val="bottom"/>
          </w:tcPr>
          <w:p w14:paraId="5556ED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5556ED5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 xml:space="preserve">Years Ended </w:t>
            </w:r>
            <w:r>
              <w:rPr>
                <w:rFonts w:ascii="Arial" w:eastAsia="宋体" w:hAnsi="Arial" w:cs="Arial"/>
                <w:b/>
                <w:bCs/>
                <w:sz w:val="14"/>
                <w:szCs w:val="14"/>
              </w:rPr>
              <w:t>December 31,</w:t>
            </w:r>
          </w:p>
        </w:tc>
      </w:tr>
      <w:tr w:rsidR="00F925DD" w14:paraId="5556ED60" w14:textId="77777777">
        <w:tc>
          <w:tcPr>
            <w:tcW w:w="0" w:type="auto"/>
            <w:shd w:val="clear" w:color="auto" w:fill="auto"/>
            <w:tcMar>
              <w:top w:w="40" w:type="dxa"/>
              <w:left w:w="40" w:type="dxa"/>
              <w:bottom w:w="40" w:type="dxa"/>
              <w:right w:w="40" w:type="dxa"/>
            </w:tcMar>
            <w:vAlign w:val="bottom"/>
          </w:tcPr>
          <w:p w14:paraId="5556ED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D5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ED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ED5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ED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ED5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ED6A" w14:textId="77777777">
        <w:tc>
          <w:tcPr>
            <w:tcW w:w="0" w:type="auto"/>
            <w:shd w:val="clear" w:color="auto" w:fill="CCEEFF"/>
            <w:tcMar>
              <w:top w:w="40" w:type="dxa"/>
              <w:left w:w="40" w:type="dxa"/>
              <w:bottom w:w="40" w:type="dxa"/>
              <w:right w:w="40" w:type="dxa"/>
            </w:tcMar>
            <w:vAlign w:val="bottom"/>
          </w:tcPr>
          <w:p w14:paraId="5556ED61" w14:textId="77777777" w:rsidR="00F925DD" w:rsidRDefault="00E705D7">
            <w:pPr>
              <w:textAlignment w:val="bottom"/>
              <w:rPr>
                <w:rFonts w:ascii="Times New Roman" w:hAnsi="Times New Roman"/>
                <w:sz w:val="14"/>
                <w:szCs w:val="14"/>
              </w:rPr>
            </w:pPr>
            <w:r>
              <w:rPr>
                <w:rFonts w:ascii="Arial" w:eastAsia="宋体" w:hAnsi="Arial" w:cs="Arial"/>
                <w:sz w:val="14"/>
                <w:szCs w:val="14"/>
              </w:rPr>
              <w:t>U.S. federal income tax rate</w:t>
            </w:r>
          </w:p>
        </w:tc>
        <w:tc>
          <w:tcPr>
            <w:tcW w:w="0" w:type="auto"/>
            <w:tcBorders>
              <w:top w:val="single" w:sz="8" w:space="0" w:color="000000"/>
            </w:tcBorders>
            <w:shd w:val="clear" w:color="auto" w:fill="CCEEFF"/>
            <w:tcMar>
              <w:top w:w="40" w:type="dxa"/>
              <w:left w:w="40" w:type="dxa"/>
              <w:bottom w:w="40" w:type="dxa"/>
            </w:tcMar>
            <w:vAlign w:val="bottom"/>
          </w:tcPr>
          <w:p w14:paraId="5556ED6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21.0</w:t>
            </w:r>
          </w:p>
        </w:tc>
        <w:tc>
          <w:tcPr>
            <w:tcW w:w="0" w:type="auto"/>
            <w:tcBorders>
              <w:top w:val="single" w:sz="8" w:space="0" w:color="000000"/>
            </w:tcBorders>
            <w:shd w:val="clear" w:color="auto" w:fill="CCEEFF"/>
            <w:tcMar>
              <w:top w:w="40" w:type="dxa"/>
              <w:bottom w:w="40" w:type="dxa"/>
              <w:right w:w="40" w:type="dxa"/>
            </w:tcMar>
            <w:vAlign w:val="bottom"/>
          </w:tcPr>
          <w:p w14:paraId="5556ED6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 %</w:t>
            </w:r>
          </w:p>
        </w:tc>
        <w:tc>
          <w:tcPr>
            <w:tcW w:w="0" w:type="auto"/>
            <w:shd w:val="clear" w:color="auto" w:fill="CCEEFF"/>
            <w:tcMar>
              <w:top w:w="40" w:type="dxa"/>
              <w:left w:w="40" w:type="dxa"/>
              <w:bottom w:w="40" w:type="dxa"/>
              <w:right w:w="40" w:type="dxa"/>
            </w:tcMar>
            <w:vAlign w:val="bottom"/>
          </w:tcPr>
          <w:p w14:paraId="5556ED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D6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21.0</w:t>
            </w:r>
          </w:p>
        </w:tc>
        <w:tc>
          <w:tcPr>
            <w:tcW w:w="0" w:type="auto"/>
            <w:tcBorders>
              <w:top w:val="single" w:sz="8" w:space="0" w:color="000000"/>
            </w:tcBorders>
            <w:shd w:val="clear" w:color="auto" w:fill="CCEEFF"/>
            <w:tcMar>
              <w:top w:w="40" w:type="dxa"/>
              <w:bottom w:w="40" w:type="dxa"/>
              <w:right w:w="40" w:type="dxa"/>
            </w:tcMar>
            <w:vAlign w:val="bottom"/>
          </w:tcPr>
          <w:p w14:paraId="5556ED66"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CCEEFF"/>
            <w:tcMar>
              <w:top w:w="40" w:type="dxa"/>
              <w:left w:w="40" w:type="dxa"/>
              <w:bottom w:w="40" w:type="dxa"/>
              <w:right w:w="40" w:type="dxa"/>
            </w:tcMar>
            <w:vAlign w:val="bottom"/>
          </w:tcPr>
          <w:p w14:paraId="5556ED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6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35.0</w:t>
            </w:r>
          </w:p>
        </w:tc>
        <w:tc>
          <w:tcPr>
            <w:tcW w:w="0" w:type="auto"/>
            <w:shd w:val="clear" w:color="auto" w:fill="CCEEFF"/>
            <w:tcMar>
              <w:top w:w="40" w:type="dxa"/>
              <w:bottom w:w="40" w:type="dxa"/>
              <w:right w:w="40" w:type="dxa"/>
            </w:tcMar>
            <w:vAlign w:val="bottom"/>
          </w:tcPr>
          <w:p w14:paraId="5556ED69"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r>
      <w:tr w:rsidR="00F925DD" w14:paraId="5556ED71" w14:textId="77777777">
        <w:tc>
          <w:tcPr>
            <w:tcW w:w="0" w:type="auto"/>
            <w:shd w:val="clear" w:color="auto" w:fill="auto"/>
            <w:tcMar>
              <w:top w:w="40" w:type="dxa"/>
              <w:left w:w="40" w:type="dxa"/>
              <w:bottom w:w="40" w:type="dxa"/>
              <w:right w:w="40" w:type="dxa"/>
            </w:tcMar>
            <w:vAlign w:val="bottom"/>
          </w:tcPr>
          <w:p w14:paraId="5556ED6B" w14:textId="77777777" w:rsidR="00F925DD" w:rsidRDefault="00E705D7">
            <w:pPr>
              <w:textAlignment w:val="bottom"/>
              <w:rPr>
                <w:rFonts w:ascii="Times New Roman" w:hAnsi="Times New Roman"/>
                <w:sz w:val="14"/>
                <w:szCs w:val="14"/>
              </w:rPr>
            </w:pPr>
            <w:r>
              <w:rPr>
                <w:rFonts w:ascii="Arial" w:eastAsia="宋体" w:hAnsi="Arial" w:cs="Arial"/>
                <w:sz w:val="14"/>
                <w:szCs w:val="14"/>
              </w:rPr>
              <w:t>Changes from statutory rate:</w:t>
            </w:r>
          </w:p>
        </w:tc>
        <w:tc>
          <w:tcPr>
            <w:tcW w:w="0" w:type="auto"/>
            <w:gridSpan w:val="2"/>
            <w:shd w:val="clear" w:color="auto" w:fill="auto"/>
            <w:tcMar>
              <w:top w:w="40" w:type="dxa"/>
              <w:left w:w="40" w:type="dxa"/>
              <w:bottom w:w="40" w:type="dxa"/>
              <w:right w:w="40" w:type="dxa"/>
            </w:tcMar>
            <w:vAlign w:val="bottom"/>
          </w:tcPr>
          <w:p w14:paraId="5556ED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D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ED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D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ED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D7B" w14:textId="77777777">
        <w:tc>
          <w:tcPr>
            <w:tcW w:w="0" w:type="auto"/>
            <w:shd w:val="clear" w:color="auto" w:fill="CCEEFF"/>
            <w:tcMar>
              <w:top w:w="40" w:type="dxa"/>
              <w:left w:w="40" w:type="dxa"/>
              <w:bottom w:w="40" w:type="dxa"/>
              <w:right w:w="40" w:type="dxa"/>
            </w:tcMar>
            <w:vAlign w:val="bottom"/>
          </w:tcPr>
          <w:p w14:paraId="5556ED72" w14:textId="77777777" w:rsidR="00F925DD" w:rsidRDefault="00E705D7">
            <w:pPr>
              <w:textAlignment w:val="bottom"/>
              <w:rPr>
                <w:rFonts w:ascii="Times New Roman" w:hAnsi="Times New Roman"/>
                <w:sz w:val="14"/>
                <w:szCs w:val="14"/>
              </w:rPr>
            </w:pPr>
            <w:r>
              <w:rPr>
                <w:rFonts w:ascii="Arial" w:eastAsia="宋体" w:hAnsi="Arial" w:cs="Arial"/>
                <w:sz w:val="14"/>
                <w:szCs w:val="14"/>
              </w:rPr>
              <w:t>State taxes, net of federal benefit</w:t>
            </w:r>
          </w:p>
        </w:tc>
        <w:tc>
          <w:tcPr>
            <w:tcW w:w="0" w:type="auto"/>
            <w:shd w:val="clear" w:color="auto" w:fill="CCEEFF"/>
            <w:tcMar>
              <w:top w:w="40" w:type="dxa"/>
              <w:left w:w="40" w:type="dxa"/>
              <w:bottom w:w="40" w:type="dxa"/>
            </w:tcMar>
            <w:vAlign w:val="bottom"/>
          </w:tcPr>
          <w:p w14:paraId="5556ED7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w:t>
            </w:r>
          </w:p>
        </w:tc>
        <w:tc>
          <w:tcPr>
            <w:tcW w:w="0" w:type="auto"/>
            <w:shd w:val="clear" w:color="auto" w:fill="CCEEFF"/>
            <w:vAlign w:val="bottom"/>
          </w:tcPr>
          <w:p w14:paraId="5556ED7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D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7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w:t>
            </w:r>
          </w:p>
        </w:tc>
        <w:tc>
          <w:tcPr>
            <w:tcW w:w="0" w:type="auto"/>
            <w:shd w:val="clear" w:color="auto" w:fill="CCEEFF"/>
            <w:vAlign w:val="bottom"/>
          </w:tcPr>
          <w:p w14:paraId="5556ED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D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7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w:t>
            </w:r>
          </w:p>
        </w:tc>
        <w:tc>
          <w:tcPr>
            <w:tcW w:w="0" w:type="auto"/>
            <w:shd w:val="clear" w:color="auto" w:fill="CCEEFF"/>
            <w:vAlign w:val="bottom"/>
          </w:tcPr>
          <w:p w14:paraId="5556ED7A" w14:textId="77777777" w:rsidR="00F925DD" w:rsidRDefault="00F925DD">
            <w:pPr>
              <w:textAlignment w:val="bottom"/>
              <w:rPr>
                <w:rFonts w:ascii="Times New Roman" w:hAnsi="Times New Roman"/>
                <w:sz w:val="20"/>
                <w:szCs w:val="20"/>
              </w:rPr>
            </w:pPr>
          </w:p>
        </w:tc>
      </w:tr>
      <w:tr w:rsidR="00F925DD" w14:paraId="5556ED85" w14:textId="77777777">
        <w:tc>
          <w:tcPr>
            <w:tcW w:w="0" w:type="auto"/>
            <w:shd w:val="clear" w:color="auto" w:fill="auto"/>
            <w:tcMar>
              <w:top w:w="40" w:type="dxa"/>
              <w:left w:w="40" w:type="dxa"/>
              <w:bottom w:w="40" w:type="dxa"/>
              <w:right w:w="40" w:type="dxa"/>
            </w:tcMar>
            <w:vAlign w:val="bottom"/>
          </w:tcPr>
          <w:p w14:paraId="5556ED7C" w14:textId="77777777" w:rsidR="00F925DD" w:rsidRDefault="00E705D7">
            <w:pPr>
              <w:textAlignment w:val="bottom"/>
              <w:rPr>
                <w:rFonts w:ascii="Times New Roman" w:hAnsi="Times New Roman"/>
                <w:sz w:val="14"/>
                <w:szCs w:val="14"/>
              </w:rPr>
            </w:pPr>
            <w:r>
              <w:rPr>
                <w:rFonts w:ascii="Arial" w:eastAsia="宋体" w:hAnsi="Arial" w:cs="Arial"/>
                <w:sz w:val="14"/>
                <w:szCs w:val="14"/>
              </w:rPr>
              <w:t>Tax-exempt income</w:t>
            </w:r>
          </w:p>
        </w:tc>
        <w:tc>
          <w:tcPr>
            <w:tcW w:w="0" w:type="auto"/>
            <w:shd w:val="clear" w:color="auto" w:fill="auto"/>
            <w:tcMar>
              <w:top w:w="40" w:type="dxa"/>
              <w:left w:w="40" w:type="dxa"/>
              <w:bottom w:w="40" w:type="dxa"/>
            </w:tcMar>
            <w:vAlign w:val="bottom"/>
          </w:tcPr>
          <w:p w14:paraId="5556ED7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w:t>
            </w:r>
          </w:p>
        </w:tc>
        <w:tc>
          <w:tcPr>
            <w:tcW w:w="0" w:type="auto"/>
            <w:shd w:val="clear" w:color="auto" w:fill="auto"/>
            <w:tcMar>
              <w:top w:w="40" w:type="dxa"/>
              <w:bottom w:w="40" w:type="dxa"/>
              <w:right w:w="40" w:type="dxa"/>
            </w:tcMar>
            <w:vAlign w:val="bottom"/>
          </w:tcPr>
          <w:p w14:paraId="5556ED7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D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D8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w:t>
            </w:r>
          </w:p>
        </w:tc>
        <w:tc>
          <w:tcPr>
            <w:tcW w:w="0" w:type="auto"/>
            <w:shd w:val="clear" w:color="auto" w:fill="auto"/>
            <w:tcMar>
              <w:top w:w="40" w:type="dxa"/>
              <w:bottom w:w="40" w:type="dxa"/>
              <w:right w:w="40" w:type="dxa"/>
            </w:tcMar>
            <w:vAlign w:val="bottom"/>
          </w:tcPr>
          <w:p w14:paraId="5556ED8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D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D8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(4.3</w:t>
            </w:r>
          </w:p>
        </w:tc>
        <w:tc>
          <w:tcPr>
            <w:tcW w:w="0" w:type="auto"/>
            <w:shd w:val="clear" w:color="auto" w:fill="auto"/>
            <w:tcMar>
              <w:top w:w="40" w:type="dxa"/>
              <w:bottom w:w="40" w:type="dxa"/>
              <w:right w:w="40" w:type="dxa"/>
            </w:tcMar>
            <w:vAlign w:val="bottom"/>
          </w:tcPr>
          <w:p w14:paraId="5556ED8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D8F" w14:textId="77777777">
        <w:tc>
          <w:tcPr>
            <w:tcW w:w="0" w:type="auto"/>
            <w:shd w:val="clear" w:color="auto" w:fill="CCEEFF"/>
            <w:tcMar>
              <w:top w:w="40" w:type="dxa"/>
              <w:left w:w="40" w:type="dxa"/>
              <w:bottom w:w="40" w:type="dxa"/>
              <w:right w:w="40" w:type="dxa"/>
            </w:tcMar>
            <w:vAlign w:val="bottom"/>
          </w:tcPr>
          <w:p w14:paraId="5556ED86"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Business tax </w:t>
            </w:r>
            <w:r>
              <w:rPr>
                <w:rFonts w:ascii="Arial" w:eastAsia="宋体" w:hAnsi="Arial" w:cs="Arial"/>
                <w:sz w:val="14"/>
                <w:szCs w:val="14"/>
              </w:rPr>
              <w:t>credits</w:t>
            </w:r>
            <w:r>
              <w:rPr>
                <w:rFonts w:ascii="Arial" w:eastAsia="宋体" w:hAnsi="Arial" w:cs="Arial"/>
                <w:sz w:val="10"/>
                <w:szCs w:val="10"/>
              </w:rPr>
              <w:t>(1)</w:t>
            </w:r>
          </w:p>
        </w:tc>
        <w:tc>
          <w:tcPr>
            <w:tcW w:w="0" w:type="auto"/>
            <w:shd w:val="clear" w:color="auto" w:fill="CCEEFF"/>
            <w:tcMar>
              <w:top w:w="40" w:type="dxa"/>
              <w:left w:w="40" w:type="dxa"/>
              <w:bottom w:w="40" w:type="dxa"/>
            </w:tcMar>
            <w:vAlign w:val="bottom"/>
          </w:tcPr>
          <w:p w14:paraId="5556ED8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(5.4</w:t>
            </w:r>
          </w:p>
        </w:tc>
        <w:tc>
          <w:tcPr>
            <w:tcW w:w="0" w:type="auto"/>
            <w:shd w:val="clear" w:color="auto" w:fill="CCEEFF"/>
            <w:tcMar>
              <w:top w:w="40" w:type="dxa"/>
              <w:bottom w:w="40" w:type="dxa"/>
              <w:right w:w="40" w:type="dxa"/>
            </w:tcMar>
            <w:vAlign w:val="bottom"/>
          </w:tcPr>
          <w:p w14:paraId="5556ED8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D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8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(4.1</w:t>
            </w:r>
          </w:p>
        </w:tc>
        <w:tc>
          <w:tcPr>
            <w:tcW w:w="0" w:type="auto"/>
            <w:shd w:val="clear" w:color="auto" w:fill="CCEEFF"/>
            <w:tcMar>
              <w:top w:w="40" w:type="dxa"/>
              <w:bottom w:w="40" w:type="dxa"/>
              <w:right w:w="40" w:type="dxa"/>
            </w:tcMar>
            <w:vAlign w:val="bottom"/>
          </w:tcPr>
          <w:p w14:paraId="5556ED8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D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8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w:t>
            </w:r>
          </w:p>
        </w:tc>
        <w:tc>
          <w:tcPr>
            <w:tcW w:w="0" w:type="auto"/>
            <w:shd w:val="clear" w:color="auto" w:fill="CCEEFF"/>
            <w:tcMar>
              <w:top w:w="40" w:type="dxa"/>
              <w:bottom w:w="40" w:type="dxa"/>
              <w:right w:w="40" w:type="dxa"/>
            </w:tcMar>
            <w:vAlign w:val="bottom"/>
          </w:tcPr>
          <w:p w14:paraId="5556ED8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D99" w14:textId="77777777">
        <w:tc>
          <w:tcPr>
            <w:tcW w:w="0" w:type="auto"/>
            <w:shd w:val="clear" w:color="auto" w:fill="auto"/>
            <w:tcMar>
              <w:top w:w="40" w:type="dxa"/>
              <w:left w:w="40" w:type="dxa"/>
              <w:bottom w:w="40" w:type="dxa"/>
              <w:right w:w="40" w:type="dxa"/>
            </w:tcMar>
            <w:vAlign w:val="bottom"/>
          </w:tcPr>
          <w:p w14:paraId="5556ED90"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tax differential</w:t>
            </w:r>
          </w:p>
        </w:tc>
        <w:tc>
          <w:tcPr>
            <w:tcW w:w="0" w:type="auto"/>
            <w:shd w:val="clear" w:color="auto" w:fill="auto"/>
            <w:tcMar>
              <w:top w:w="40" w:type="dxa"/>
              <w:left w:w="40" w:type="dxa"/>
              <w:bottom w:w="40" w:type="dxa"/>
            </w:tcMar>
            <w:vAlign w:val="bottom"/>
          </w:tcPr>
          <w:p w14:paraId="5556ED9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(0.1</w:t>
            </w:r>
          </w:p>
        </w:tc>
        <w:tc>
          <w:tcPr>
            <w:tcW w:w="0" w:type="auto"/>
            <w:shd w:val="clear" w:color="auto" w:fill="auto"/>
            <w:tcMar>
              <w:top w:w="40" w:type="dxa"/>
              <w:bottom w:w="40" w:type="dxa"/>
              <w:right w:w="40" w:type="dxa"/>
            </w:tcMar>
            <w:vAlign w:val="bottom"/>
          </w:tcPr>
          <w:p w14:paraId="5556ED9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D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D9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(0.6</w:t>
            </w:r>
          </w:p>
        </w:tc>
        <w:tc>
          <w:tcPr>
            <w:tcW w:w="0" w:type="auto"/>
            <w:shd w:val="clear" w:color="auto" w:fill="auto"/>
            <w:tcMar>
              <w:top w:w="40" w:type="dxa"/>
              <w:bottom w:w="40" w:type="dxa"/>
              <w:right w:w="40" w:type="dxa"/>
            </w:tcMar>
            <w:vAlign w:val="bottom"/>
          </w:tcPr>
          <w:p w14:paraId="5556ED9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D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D9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(7.2</w:t>
            </w:r>
          </w:p>
        </w:tc>
        <w:tc>
          <w:tcPr>
            <w:tcW w:w="0" w:type="auto"/>
            <w:shd w:val="clear" w:color="auto" w:fill="auto"/>
            <w:tcMar>
              <w:top w:w="40" w:type="dxa"/>
              <w:bottom w:w="40" w:type="dxa"/>
              <w:right w:w="40" w:type="dxa"/>
            </w:tcMar>
            <w:vAlign w:val="bottom"/>
          </w:tcPr>
          <w:p w14:paraId="5556ED9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DA3" w14:textId="77777777">
        <w:tc>
          <w:tcPr>
            <w:tcW w:w="0" w:type="auto"/>
            <w:shd w:val="clear" w:color="auto" w:fill="CCEEFF"/>
            <w:tcMar>
              <w:top w:w="40" w:type="dxa"/>
              <w:left w:w="40" w:type="dxa"/>
              <w:bottom w:w="40" w:type="dxa"/>
              <w:right w:w="40" w:type="dxa"/>
            </w:tcMar>
            <w:vAlign w:val="bottom"/>
          </w:tcPr>
          <w:p w14:paraId="5556ED9A"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legal entity restructuring</w:t>
            </w:r>
          </w:p>
        </w:tc>
        <w:tc>
          <w:tcPr>
            <w:tcW w:w="0" w:type="auto"/>
            <w:shd w:val="clear" w:color="auto" w:fill="CCEEFF"/>
            <w:tcMar>
              <w:top w:w="40" w:type="dxa"/>
              <w:left w:w="40" w:type="dxa"/>
              <w:bottom w:w="40" w:type="dxa"/>
            </w:tcMar>
            <w:vAlign w:val="bottom"/>
          </w:tcPr>
          <w:p w14:paraId="5556ED9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w:t>
            </w:r>
          </w:p>
        </w:tc>
        <w:tc>
          <w:tcPr>
            <w:tcW w:w="0" w:type="auto"/>
            <w:shd w:val="clear" w:color="auto" w:fill="CCEEFF"/>
            <w:tcMar>
              <w:top w:w="40" w:type="dxa"/>
              <w:bottom w:w="40" w:type="dxa"/>
              <w:right w:w="40" w:type="dxa"/>
            </w:tcMar>
            <w:vAlign w:val="bottom"/>
          </w:tcPr>
          <w:p w14:paraId="5556ED9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D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9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ED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D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A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EDA2" w14:textId="77777777" w:rsidR="00F925DD" w:rsidRDefault="00F925DD">
            <w:pPr>
              <w:textAlignment w:val="bottom"/>
              <w:rPr>
                <w:rFonts w:ascii="Times New Roman" w:hAnsi="Times New Roman"/>
                <w:sz w:val="20"/>
                <w:szCs w:val="20"/>
              </w:rPr>
            </w:pPr>
          </w:p>
        </w:tc>
      </w:tr>
      <w:tr w:rsidR="00F925DD" w14:paraId="5556EDAD" w14:textId="77777777">
        <w:tc>
          <w:tcPr>
            <w:tcW w:w="0" w:type="auto"/>
            <w:shd w:val="clear" w:color="auto" w:fill="auto"/>
            <w:tcMar>
              <w:top w:w="40" w:type="dxa"/>
              <w:left w:w="40" w:type="dxa"/>
              <w:bottom w:w="40" w:type="dxa"/>
              <w:right w:w="40" w:type="dxa"/>
            </w:tcMar>
            <w:vAlign w:val="bottom"/>
          </w:tcPr>
          <w:p w14:paraId="5556EDA4"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tax credit limitations</w:t>
            </w:r>
          </w:p>
        </w:tc>
        <w:tc>
          <w:tcPr>
            <w:tcW w:w="0" w:type="auto"/>
            <w:shd w:val="clear" w:color="auto" w:fill="auto"/>
            <w:tcMar>
              <w:top w:w="40" w:type="dxa"/>
              <w:left w:w="40" w:type="dxa"/>
              <w:bottom w:w="40" w:type="dxa"/>
            </w:tcMar>
            <w:vAlign w:val="bottom"/>
          </w:tcPr>
          <w:p w14:paraId="5556EDA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w:t>
            </w:r>
          </w:p>
        </w:tc>
        <w:tc>
          <w:tcPr>
            <w:tcW w:w="0" w:type="auto"/>
            <w:shd w:val="clear" w:color="auto" w:fill="auto"/>
            <w:vAlign w:val="bottom"/>
          </w:tcPr>
          <w:p w14:paraId="5556EDA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D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DA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0.2</w:t>
            </w:r>
          </w:p>
        </w:tc>
        <w:tc>
          <w:tcPr>
            <w:tcW w:w="0" w:type="auto"/>
            <w:shd w:val="clear" w:color="auto" w:fill="auto"/>
            <w:vAlign w:val="bottom"/>
          </w:tcPr>
          <w:p w14:paraId="5556EDA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D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DA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EDAC" w14:textId="77777777" w:rsidR="00F925DD" w:rsidRDefault="00F925DD">
            <w:pPr>
              <w:textAlignment w:val="bottom"/>
              <w:rPr>
                <w:rFonts w:ascii="Times New Roman" w:hAnsi="Times New Roman"/>
                <w:sz w:val="20"/>
                <w:szCs w:val="20"/>
              </w:rPr>
            </w:pPr>
          </w:p>
        </w:tc>
      </w:tr>
      <w:tr w:rsidR="00F925DD" w14:paraId="5556EDB7" w14:textId="77777777">
        <w:tc>
          <w:tcPr>
            <w:tcW w:w="0" w:type="auto"/>
            <w:shd w:val="clear" w:color="auto" w:fill="CCEEFF"/>
            <w:tcMar>
              <w:top w:w="40" w:type="dxa"/>
              <w:left w:w="40" w:type="dxa"/>
              <w:bottom w:w="40" w:type="dxa"/>
              <w:right w:w="40" w:type="dxa"/>
            </w:tcMar>
            <w:vAlign w:val="bottom"/>
          </w:tcPr>
          <w:p w14:paraId="5556EDAE" w14:textId="77777777" w:rsidR="00F925DD" w:rsidRDefault="00E705D7">
            <w:pPr>
              <w:textAlignment w:val="bottom"/>
              <w:rPr>
                <w:rFonts w:ascii="Times New Roman" w:hAnsi="Times New Roman"/>
                <w:sz w:val="14"/>
                <w:szCs w:val="14"/>
              </w:rPr>
            </w:pPr>
            <w:r>
              <w:rPr>
                <w:rFonts w:ascii="Arial" w:eastAsia="宋体" w:hAnsi="Arial" w:cs="Arial"/>
                <w:sz w:val="14"/>
                <w:szCs w:val="14"/>
              </w:rPr>
              <w:t>Transition tax</w:t>
            </w:r>
          </w:p>
        </w:tc>
        <w:tc>
          <w:tcPr>
            <w:tcW w:w="0" w:type="auto"/>
            <w:shd w:val="clear" w:color="auto" w:fill="CCEEFF"/>
            <w:tcMar>
              <w:top w:w="40" w:type="dxa"/>
              <w:left w:w="40" w:type="dxa"/>
              <w:bottom w:w="40" w:type="dxa"/>
            </w:tcMar>
            <w:vAlign w:val="bottom"/>
          </w:tcPr>
          <w:p w14:paraId="5556EDA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EDB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D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B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ED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D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B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15.2</w:t>
            </w:r>
          </w:p>
        </w:tc>
        <w:tc>
          <w:tcPr>
            <w:tcW w:w="0" w:type="auto"/>
            <w:shd w:val="clear" w:color="auto" w:fill="CCEEFF"/>
            <w:vAlign w:val="bottom"/>
          </w:tcPr>
          <w:p w14:paraId="5556EDB6" w14:textId="77777777" w:rsidR="00F925DD" w:rsidRDefault="00F925DD">
            <w:pPr>
              <w:textAlignment w:val="bottom"/>
              <w:rPr>
                <w:rFonts w:ascii="Times New Roman" w:hAnsi="Times New Roman"/>
                <w:sz w:val="20"/>
                <w:szCs w:val="20"/>
              </w:rPr>
            </w:pPr>
          </w:p>
        </w:tc>
      </w:tr>
      <w:tr w:rsidR="00F925DD" w14:paraId="5556EDC1" w14:textId="77777777">
        <w:tc>
          <w:tcPr>
            <w:tcW w:w="0" w:type="auto"/>
            <w:shd w:val="clear" w:color="auto" w:fill="auto"/>
            <w:tcMar>
              <w:top w:w="40" w:type="dxa"/>
              <w:left w:w="40" w:type="dxa"/>
              <w:bottom w:w="40" w:type="dxa"/>
              <w:right w:w="40" w:type="dxa"/>
            </w:tcMar>
            <w:vAlign w:val="bottom"/>
          </w:tcPr>
          <w:p w14:paraId="5556EDB8"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Deferred tax </w:t>
            </w:r>
            <w:r>
              <w:rPr>
                <w:rFonts w:ascii="Arial" w:eastAsia="宋体" w:hAnsi="Arial" w:cs="Arial"/>
                <w:sz w:val="14"/>
                <w:szCs w:val="14"/>
              </w:rPr>
              <w:t>revaluation</w:t>
            </w:r>
          </w:p>
        </w:tc>
        <w:tc>
          <w:tcPr>
            <w:tcW w:w="0" w:type="auto"/>
            <w:shd w:val="clear" w:color="auto" w:fill="auto"/>
            <w:tcMar>
              <w:top w:w="40" w:type="dxa"/>
              <w:left w:w="40" w:type="dxa"/>
              <w:bottom w:w="40" w:type="dxa"/>
            </w:tcMar>
            <w:vAlign w:val="bottom"/>
          </w:tcPr>
          <w:p w14:paraId="5556EDB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EDB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D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DB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auto"/>
            <w:tcMar>
              <w:top w:w="40" w:type="dxa"/>
              <w:bottom w:w="40" w:type="dxa"/>
              <w:right w:w="40" w:type="dxa"/>
            </w:tcMar>
            <w:vAlign w:val="bottom"/>
          </w:tcPr>
          <w:p w14:paraId="5556EDB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D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DB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(6.8</w:t>
            </w:r>
          </w:p>
        </w:tc>
        <w:tc>
          <w:tcPr>
            <w:tcW w:w="0" w:type="auto"/>
            <w:shd w:val="clear" w:color="auto" w:fill="auto"/>
            <w:tcMar>
              <w:top w:w="40" w:type="dxa"/>
              <w:bottom w:w="40" w:type="dxa"/>
              <w:right w:w="40" w:type="dxa"/>
            </w:tcMar>
            <w:vAlign w:val="bottom"/>
          </w:tcPr>
          <w:p w14:paraId="5556EDC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DCB" w14:textId="77777777">
        <w:tc>
          <w:tcPr>
            <w:tcW w:w="0" w:type="auto"/>
            <w:shd w:val="clear" w:color="auto" w:fill="CCEEFF"/>
            <w:tcMar>
              <w:top w:w="40" w:type="dxa"/>
              <w:left w:w="40" w:type="dxa"/>
              <w:bottom w:w="40" w:type="dxa"/>
              <w:right w:w="40" w:type="dxa"/>
            </w:tcMar>
            <w:vAlign w:val="bottom"/>
          </w:tcPr>
          <w:p w14:paraId="5556EDC2"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designated earnings</w:t>
            </w:r>
          </w:p>
        </w:tc>
        <w:tc>
          <w:tcPr>
            <w:tcW w:w="0" w:type="auto"/>
            <w:shd w:val="clear" w:color="auto" w:fill="CCEEFF"/>
            <w:tcMar>
              <w:top w:w="40" w:type="dxa"/>
              <w:left w:w="40" w:type="dxa"/>
              <w:bottom w:w="40" w:type="dxa"/>
            </w:tcMar>
            <w:vAlign w:val="bottom"/>
          </w:tcPr>
          <w:p w14:paraId="5556EDC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EDC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D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C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ED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D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C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(0.7</w:t>
            </w:r>
          </w:p>
        </w:tc>
        <w:tc>
          <w:tcPr>
            <w:tcW w:w="0" w:type="auto"/>
            <w:shd w:val="clear" w:color="auto" w:fill="CCEEFF"/>
            <w:tcMar>
              <w:top w:w="40" w:type="dxa"/>
              <w:bottom w:w="40" w:type="dxa"/>
              <w:right w:w="40" w:type="dxa"/>
            </w:tcMar>
            <w:vAlign w:val="bottom"/>
          </w:tcPr>
          <w:p w14:paraId="5556EDC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DD5" w14:textId="77777777">
        <w:tc>
          <w:tcPr>
            <w:tcW w:w="0" w:type="auto"/>
            <w:shd w:val="clear" w:color="auto" w:fill="auto"/>
            <w:tcMar>
              <w:top w:w="40" w:type="dxa"/>
              <w:left w:w="40" w:type="dxa"/>
              <w:bottom w:w="40" w:type="dxa"/>
              <w:right w:w="40" w:type="dxa"/>
            </w:tcMar>
            <w:vAlign w:val="bottom"/>
          </w:tcPr>
          <w:p w14:paraId="5556EDCC" w14:textId="77777777" w:rsidR="00F925DD" w:rsidRDefault="00E705D7">
            <w:pPr>
              <w:textAlignment w:val="bottom"/>
              <w:rPr>
                <w:rFonts w:ascii="Times New Roman" w:hAnsi="Times New Roman"/>
                <w:sz w:val="14"/>
                <w:szCs w:val="14"/>
              </w:rPr>
            </w:pPr>
            <w:r>
              <w:rPr>
                <w:rFonts w:ascii="Arial" w:eastAsia="宋体" w:hAnsi="Arial" w:cs="Arial"/>
                <w:sz w:val="14"/>
                <w:szCs w:val="14"/>
              </w:rPr>
              <w:t>Litigation expense</w:t>
            </w:r>
          </w:p>
        </w:tc>
        <w:tc>
          <w:tcPr>
            <w:tcW w:w="0" w:type="auto"/>
            <w:shd w:val="clear" w:color="auto" w:fill="auto"/>
            <w:tcMar>
              <w:top w:w="40" w:type="dxa"/>
              <w:left w:w="40" w:type="dxa"/>
              <w:bottom w:w="40" w:type="dxa"/>
            </w:tcMar>
            <w:vAlign w:val="bottom"/>
          </w:tcPr>
          <w:p w14:paraId="5556EDC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w:t>
            </w:r>
          </w:p>
        </w:tc>
        <w:tc>
          <w:tcPr>
            <w:tcW w:w="0" w:type="auto"/>
            <w:shd w:val="clear" w:color="auto" w:fill="auto"/>
            <w:vAlign w:val="bottom"/>
          </w:tcPr>
          <w:p w14:paraId="5556ED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D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DD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0.3</w:t>
            </w:r>
          </w:p>
        </w:tc>
        <w:tc>
          <w:tcPr>
            <w:tcW w:w="0" w:type="auto"/>
            <w:shd w:val="clear" w:color="auto" w:fill="auto"/>
            <w:vAlign w:val="bottom"/>
          </w:tcPr>
          <w:p w14:paraId="5556EDD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D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DD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EDD4" w14:textId="77777777" w:rsidR="00F925DD" w:rsidRDefault="00F925DD">
            <w:pPr>
              <w:textAlignment w:val="bottom"/>
              <w:rPr>
                <w:rFonts w:ascii="Times New Roman" w:hAnsi="Times New Roman"/>
                <w:sz w:val="20"/>
                <w:szCs w:val="20"/>
              </w:rPr>
            </w:pPr>
          </w:p>
        </w:tc>
      </w:tr>
      <w:tr w:rsidR="00F925DD" w14:paraId="5556EDDF" w14:textId="77777777">
        <w:tc>
          <w:tcPr>
            <w:tcW w:w="0" w:type="auto"/>
            <w:shd w:val="clear" w:color="auto" w:fill="CCEEFF"/>
            <w:tcMar>
              <w:top w:w="40" w:type="dxa"/>
              <w:left w:w="40" w:type="dxa"/>
              <w:bottom w:w="40" w:type="dxa"/>
              <w:right w:w="40" w:type="dxa"/>
            </w:tcMar>
            <w:vAlign w:val="bottom"/>
          </w:tcPr>
          <w:p w14:paraId="5556EDD6"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net</w:t>
            </w:r>
          </w:p>
        </w:tc>
        <w:tc>
          <w:tcPr>
            <w:tcW w:w="0" w:type="auto"/>
            <w:tcBorders>
              <w:bottom w:val="single" w:sz="8" w:space="0" w:color="000000"/>
            </w:tcBorders>
            <w:shd w:val="clear" w:color="auto" w:fill="CCEEFF"/>
            <w:tcMar>
              <w:top w:w="40" w:type="dxa"/>
              <w:left w:w="40" w:type="dxa"/>
              <w:bottom w:w="40" w:type="dxa"/>
            </w:tcMar>
            <w:vAlign w:val="bottom"/>
          </w:tcPr>
          <w:p w14:paraId="5556EDD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0.4</w:t>
            </w:r>
          </w:p>
        </w:tc>
        <w:tc>
          <w:tcPr>
            <w:tcW w:w="0" w:type="auto"/>
            <w:tcBorders>
              <w:bottom w:val="single" w:sz="8" w:space="0" w:color="000000"/>
            </w:tcBorders>
            <w:shd w:val="clear" w:color="auto" w:fill="CCEEFF"/>
            <w:vAlign w:val="bottom"/>
          </w:tcPr>
          <w:p w14:paraId="5556ED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D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D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(0.6</w:t>
            </w:r>
          </w:p>
        </w:tc>
        <w:tc>
          <w:tcPr>
            <w:tcW w:w="0" w:type="auto"/>
            <w:shd w:val="clear" w:color="auto" w:fill="CCEEFF"/>
            <w:tcMar>
              <w:top w:w="40" w:type="dxa"/>
              <w:bottom w:w="40" w:type="dxa"/>
              <w:right w:w="40" w:type="dxa"/>
            </w:tcMar>
            <w:vAlign w:val="bottom"/>
          </w:tcPr>
          <w:p w14:paraId="5556EDD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D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DD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w:t>
            </w:r>
          </w:p>
        </w:tc>
        <w:tc>
          <w:tcPr>
            <w:tcW w:w="0" w:type="auto"/>
            <w:shd w:val="clear" w:color="auto" w:fill="CCEEFF"/>
            <w:tcMar>
              <w:top w:w="40" w:type="dxa"/>
              <w:bottom w:w="40" w:type="dxa"/>
              <w:right w:w="40" w:type="dxa"/>
            </w:tcMar>
            <w:vAlign w:val="bottom"/>
          </w:tcPr>
          <w:p w14:paraId="5556EDD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DE9" w14:textId="77777777">
        <w:tc>
          <w:tcPr>
            <w:tcW w:w="0" w:type="auto"/>
            <w:shd w:val="clear" w:color="auto" w:fill="auto"/>
            <w:tcMar>
              <w:top w:w="40" w:type="dxa"/>
              <w:left w:w="40" w:type="dxa"/>
              <w:bottom w:w="40" w:type="dxa"/>
              <w:right w:w="40" w:type="dxa"/>
            </w:tcMar>
            <w:vAlign w:val="bottom"/>
          </w:tcPr>
          <w:p w14:paraId="5556EDE0" w14:textId="77777777" w:rsidR="00F925DD" w:rsidRDefault="00E705D7">
            <w:pPr>
              <w:textAlignment w:val="bottom"/>
              <w:rPr>
                <w:rFonts w:ascii="Times New Roman" w:hAnsi="Times New Roman"/>
                <w:sz w:val="14"/>
                <w:szCs w:val="14"/>
              </w:rPr>
            </w:pPr>
            <w:r>
              <w:rPr>
                <w:rFonts w:ascii="Arial" w:eastAsia="宋体" w:hAnsi="Arial" w:cs="Arial"/>
                <w:sz w:val="14"/>
                <w:szCs w:val="14"/>
              </w:rPr>
              <w:t>Effective tax rate</w:t>
            </w:r>
          </w:p>
        </w:tc>
        <w:tc>
          <w:tcPr>
            <w:tcW w:w="0" w:type="auto"/>
            <w:tcBorders>
              <w:bottom w:val="double" w:sz="6" w:space="0" w:color="000000"/>
            </w:tcBorders>
            <w:shd w:val="clear" w:color="auto" w:fill="auto"/>
            <w:tcMar>
              <w:top w:w="40" w:type="dxa"/>
              <w:left w:w="40" w:type="dxa"/>
              <w:bottom w:w="40" w:type="dxa"/>
            </w:tcMar>
            <w:vAlign w:val="bottom"/>
          </w:tcPr>
          <w:p w14:paraId="5556EDE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17.3</w:t>
            </w:r>
          </w:p>
        </w:tc>
        <w:tc>
          <w:tcPr>
            <w:tcW w:w="0" w:type="auto"/>
            <w:tcBorders>
              <w:bottom w:val="double" w:sz="6" w:space="0" w:color="000000"/>
            </w:tcBorders>
            <w:shd w:val="clear" w:color="auto" w:fill="auto"/>
            <w:tcMar>
              <w:top w:w="40" w:type="dxa"/>
              <w:bottom w:w="40" w:type="dxa"/>
              <w:right w:w="40" w:type="dxa"/>
            </w:tcMar>
            <w:vAlign w:val="bottom"/>
          </w:tcPr>
          <w:p w14:paraId="5556EDE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 %</w:t>
            </w:r>
          </w:p>
        </w:tc>
        <w:tc>
          <w:tcPr>
            <w:tcW w:w="0" w:type="auto"/>
            <w:shd w:val="clear" w:color="auto" w:fill="auto"/>
            <w:tcMar>
              <w:top w:w="40" w:type="dxa"/>
              <w:left w:w="40" w:type="dxa"/>
              <w:bottom w:w="40" w:type="dxa"/>
              <w:right w:w="40" w:type="dxa"/>
            </w:tcMar>
            <w:vAlign w:val="bottom"/>
          </w:tcPr>
          <w:p w14:paraId="5556ED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DE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16.3</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EDE5"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c>
          <w:tcPr>
            <w:tcW w:w="0" w:type="auto"/>
            <w:shd w:val="clear" w:color="auto" w:fill="auto"/>
            <w:tcMar>
              <w:top w:w="40" w:type="dxa"/>
              <w:left w:w="40" w:type="dxa"/>
              <w:bottom w:w="40" w:type="dxa"/>
              <w:right w:w="40" w:type="dxa"/>
            </w:tcMar>
            <w:vAlign w:val="bottom"/>
          </w:tcPr>
          <w:p w14:paraId="5556ED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DE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5556EDE8"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r>
    </w:tbl>
    <w:p w14:paraId="5556EDEA" w14:textId="77777777" w:rsidR="00F925DD" w:rsidRDefault="00F925DD">
      <w:pPr>
        <w:rPr>
          <w:vanish/>
        </w:rPr>
      </w:pPr>
    </w:p>
    <w:tbl>
      <w:tblPr>
        <w:tblW w:w="4990" w:type="pct"/>
        <w:tblCellMar>
          <w:left w:w="0" w:type="dxa"/>
          <w:right w:w="0" w:type="dxa"/>
        </w:tblCellMar>
        <w:tblLook w:val="04A0" w:firstRow="1" w:lastRow="0" w:firstColumn="1" w:lastColumn="0" w:noHBand="0" w:noVBand="1"/>
      </w:tblPr>
      <w:tblGrid>
        <w:gridCol w:w="4973"/>
        <w:gridCol w:w="3316"/>
      </w:tblGrid>
      <w:tr w:rsidR="00F925DD" w14:paraId="5556EDEC" w14:textId="77777777">
        <w:tc>
          <w:tcPr>
            <w:tcW w:w="0" w:type="auto"/>
            <w:gridSpan w:val="2"/>
            <w:shd w:val="clear" w:color="auto" w:fill="auto"/>
            <w:vAlign w:val="center"/>
          </w:tcPr>
          <w:p w14:paraId="5556EDEB" w14:textId="77777777" w:rsidR="00F925DD" w:rsidRDefault="00F925DD">
            <w:pPr>
              <w:rPr>
                <w:rFonts w:ascii="Times New Roman" w:hAnsi="Times New Roman"/>
                <w:sz w:val="20"/>
                <w:szCs w:val="20"/>
              </w:rPr>
            </w:pPr>
          </w:p>
        </w:tc>
      </w:tr>
      <w:tr w:rsidR="00F925DD" w14:paraId="5556EDEF" w14:textId="77777777">
        <w:tc>
          <w:tcPr>
            <w:tcW w:w="3000" w:type="pct"/>
            <w:shd w:val="clear" w:color="auto" w:fill="auto"/>
            <w:vAlign w:val="center"/>
          </w:tcPr>
          <w:p w14:paraId="5556EDED" w14:textId="77777777" w:rsidR="00F925DD" w:rsidRDefault="00F925DD">
            <w:pPr>
              <w:rPr>
                <w:rFonts w:ascii="Times New Roman" w:hAnsi="Times New Roman"/>
                <w:sz w:val="20"/>
                <w:szCs w:val="20"/>
              </w:rPr>
            </w:pPr>
          </w:p>
        </w:tc>
        <w:tc>
          <w:tcPr>
            <w:tcW w:w="2000" w:type="pct"/>
            <w:shd w:val="clear" w:color="auto" w:fill="auto"/>
            <w:vAlign w:val="center"/>
          </w:tcPr>
          <w:p w14:paraId="5556EDEE" w14:textId="77777777" w:rsidR="00F925DD" w:rsidRDefault="00F925DD">
            <w:pPr>
              <w:rPr>
                <w:rFonts w:ascii="Times New Roman" w:hAnsi="Times New Roman"/>
                <w:sz w:val="20"/>
                <w:szCs w:val="20"/>
              </w:rPr>
            </w:pPr>
          </w:p>
        </w:tc>
      </w:tr>
      <w:tr w:rsidR="00F925DD" w14:paraId="5556EDF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ED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D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EDF3"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xml:space="preserve"> Business tax credits include low-income housing, production and investment tax credits.</w:t>
      </w:r>
    </w:p>
    <w:p w14:paraId="5556EDF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2017 income tax expense included a net provisional estimate of $257 million attributable to the enactment of TCJA (H.R.1).</w:t>
      </w:r>
    </w:p>
    <w:p w14:paraId="5556EDF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As of December 31, 2018, the accounting for income tax effects of the TCJA was completed and the 2018 income tax expense included an additional deferred tax benefit of approximately $32 million. </w:t>
      </w:r>
    </w:p>
    <w:p w14:paraId="5556EDF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Beginning in 2018, the TCJA subjects a U.S. shareholder to c</w:t>
      </w:r>
      <w:r>
        <w:rPr>
          <w:rFonts w:ascii="Arial" w:eastAsia="宋体" w:hAnsi="Arial" w:cs="Arial"/>
          <w:sz w:val="20"/>
          <w:szCs w:val="20"/>
        </w:rPr>
        <w:t>urrent tax on GILTI earned by certain foreign subsidiaries. We have elected to recognize the resulting tax on GILTI as a period expense in the period the tax is incurred. As such, we have included an estimate of this liability in our estimated annual effec</w:t>
      </w:r>
      <w:r>
        <w:rPr>
          <w:rFonts w:ascii="Arial" w:eastAsia="宋体" w:hAnsi="Arial" w:cs="Arial"/>
          <w:sz w:val="20"/>
          <w:szCs w:val="20"/>
        </w:rPr>
        <w:t xml:space="preserve">tive tax rate. This adjustment increased our effective tax rate by 0.3% and 0.2% in 2019 and 2018, respectively, which is reflected in the prior reconciliation table under "Foreign Tax Credit Limitations". </w:t>
      </w:r>
    </w:p>
    <w:p w14:paraId="5556EDF7" w14:textId="77777777" w:rsidR="00F925DD" w:rsidRDefault="00F925DD">
      <w:pPr>
        <w:rPr>
          <w:rFonts w:ascii="Times New Roman" w:hAnsi="Times New Roman"/>
          <w:sz w:val="20"/>
          <w:szCs w:val="20"/>
        </w:rPr>
      </w:pPr>
    </w:p>
    <w:p w14:paraId="5556EDF8"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168</w:t>
      </w:r>
    </w:p>
    <w:p w14:paraId="5556EDF9" w14:textId="77777777" w:rsidR="00F925DD" w:rsidRDefault="00F925DD">
      <w:pPr>
        <w:spacing w:line="288" w:lineRule="auto"/>
        <w:ind w:firstLine="600"/>
        <w:jc w:val="center"/>
        <w:rPr>
          <w:rFonts w:ascii="Times New Roman" w:hAnsi="Times New Roman"/>
          <w:sz w:val="18"/>
          <w:szCs w:val="18"/>
        </w:rPr>
      </w:pPr>
    </w:p>
    <w:p w14:paraId="5556EDFA" w14:textId="77777777" w:rsidR="00F925DD" w:rsidRDefault="00E705D7">
      <w:r>
        <w:rPr>
          <w:rFonts w:ascii="Times New Roman" w:hAnsi="Times New Roman"/>
          <w:sz w:val="18"/>
          <w:szCs w:val="18"/>
        </w:rPr>
        <w:pict w14:anchorId="555706E2">
          <v:rect id="_x0000_i1192" style="width:415.3pt;height:1.5pt" o:hralign="center" o:hrstd="t" o:hr="t" fillcolor="#a0a0a0" stroked="f"/>
        </w:pict>
      </w:r>
    </w:p>
    <w:p w14:paraId="5556EDF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w:t>
      </w:r>
      <w:r>
        <w:rPr>
          <w:rFonts w:ascii="Arial" w:eastAsia="宋体" w:hAnsi="Arial" w:cs="Arial"/>
          <w:b/>
          <w:bCs/>
          <w:sz w:val="20"/>
          <w:szCs w:val="20"/>
        </w:rPr>
        <w:t>ORPORATION</w:t>
      </w:r>
    </w:p>
    <w:p w14:paraId="5556EDFC"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DFD" w14:textId="77777777" w:rsidR="00F925DD" w:rsidRDefault="00F925DD">
      <w:pPr>
        <w:rPr>
          <w:rFonts w:ascii="Times New Roman" w:hAnsi="Times New Roman"/>
          <w:sz w:val="20"/>
          <w:szCs w:val="20"/>
        </w:rPr>
      </w:pPr>
    </w:p>
    <w:p w14:paraId="5556EDF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Undistributed indefinitely reinvested earnings of certain foreign subsidiaries amounted to approximately $4.1 billion at December 31, 2019. As a result, no provision has been recorded for state and loc</w:t>
      </w:r>
      <w:r>
        <w:rPr>
          <w:rFonts w:ascii="Arial" w:eastAsia="宋体" w:hAnsi="Arial" w:cs="Arial"/>
          <w:sz w:val="20"/>
          <w:szCs w:val="20"/>
        </w:rPr>
        <w:t>al or foreign withholding income taxes. If a distribution were to occur, we would be subject to state, local and to foreign withholding tax. It is expected that any distribution will be exempt from federal income tax. Although the foreign withholding tax i</w:t>
      </w:r>
      <w:r>
        <w:rPr>
          <w:rFonts w:ascii="Arial" w:eastAsia="宋体" w:hAnsi="Arial" w:cs="Arial"/>
          <w:sz w:val="20"/>
          <w:szCs w:val="20"/>
        </w:rPr>
        <w:t>s generally creditable against U.S. federal income tax, certain credit utilization limitations may result in a net cost.</w:t>
      </w:r>
    </w:p>
    <w:p w14:paraId="5556EDF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significant components of our gross deferred tax assets and gross deferred tax liabilities as of the dates</w:t>
      </w:r>
      <w:r>
        <w:rPr>
          <w:rFonts w:ascii="Arial" w:eastAsia="宋体" w:hAnsi="Arial" w:cs="Arial"/>
          <w:sz w:val="20"/>
          <w:szCs w:val="20"/>
        </w:rPr>
        <w:t xml:space="preserve"> indicated: </w:t>
      </w:r>
    </w:p>
    <w:tbl>
      <w:tblPr>
        <w:tblW w:w="4990" w:type="pct"/>
        <w:tblCellMar>
          <w:left w:w="0" w:type="dxa"/>
          <w:right w:w="0" w:type="dxa"/>
        </w:tblCellMar>
        <w:tblLook w:val="04A0" w:firstRow="1" w:lastRow="0" w:firstColumn="1" w:lastColumn="0" w:noHBand="0" w:noVBand="1"/>
      </w:tblPr>
      <w:tblGrid>
        <w:gridCol w:w="4953"/>
        <w:gridCol w:w="118"/>
        <w:gridCol w:w="1389"/>
        <w:gridCol w:w="87"/>
        <w:gridCol w:w="147"/>
        <w:gridCol w:w="118"/>
        <w:gridCol w:w="1390"/>
        <w:gridCol w:w="87"/>
      </w:tblGrid>
      <w:tr w:rsidR="00F925DD" w14:paraId="5556EE01" w14:textId="77777777">
        <w:tc>
          <w:tcPr>
            <w:tcW w:w="0" w:type="auto"/>
            <w:gridSpan w:val="8"/>
            <w:shd w:val="clear" w:color="auto" w:fill="auto"/>
            <w:vAlign w:val="center"/>
          </w:tcPr>
          <w:p w14:paraId="5556EE00" w14:textId="77777777" w:rsidR="00F925DD" w:rsidRDefault="00F925DD">
            <w:pPr>
              <w:rPr>
                <w:rFonts w:ascii="Times New Roman" w:hAnsi="Times New Roman"/>
                <w:sz w:val="20"/>
                <w:szCs w:val="20"/>
              </w:rPr>
            </w:pPr>
          </w:p>
        </w:tc>
      </w:tr>
      <w:tr w:rsidR="00F925DD" w14:paraId="5556EE0A" w14:textId="77777777">
        <w:tc>
          <w:tcPr>
            <w:tcW w:w="3000" w:type="pct"/>
            <w:shd w:val="clear" w:color="auto" w:fill="auto"/>
            <w:vAlign w:val="center"/>
          </w:tcPr>
          <w:p w14:paraId="5556EE02" w14:textId="77777777" w:rsidR="00F925DD" w:rsidRDefault="00F925DD">
            <w:pPr>
              <w:rPr>
                <w:rFonts w:ascii="Times New Roman" w:hAnsi="Times New Roman"/>
                <w:sz w:val="20"/>
                <w:szCs w:val="20"/>
              </w:rPr>
            </w:pPr>
          </w:p>
        </w:tc>
        <w:tc>
          <w:tcPr>
            <w:tcW w:w="50" w:type="pct"/>
            <w:shd w:val="clear" w:color="auto" w:fill="auto"/>
            <w:vAlign w:val="center"/>
          </w:tcPr>
          <w:p w14:paraId="5556EE03" w14:textId="77777777" w:rsidR="00F925DD" w:rsidRDefault="00F925DD">
            <w:pPr>
              <w:rPr>
                <w:rFonts w:ascii="Times New Roman" w:hAnsi="Times New Roman"/>
                <w:sz w:val="20"/>
                <w:szCs w:val="20"/>
              </w:rPr>
            </w:pPr>
          </w:p>
        </w:tc>
        <w:tc>
          <w:tcPr>
            <w:tcW w:w="850" w:type="pct"/>
            <w:shd w:val="clear" w:color="auto" w:fill="auto"/>
            <w:vAlign w:val="center"/>
          </w:tcPr>
          <w:p w14:paraId="5556EE04" w14:textId="77777777" w:rsidR="00F925DD" w:rsidRDefault="00F925DD">
            <w:pPr>
              <w:rPr>
                <w:rFonts w:ascii="Times New Roman" w:hAnsi="Times New Roman"/>
                <w:sz w:val="20"/>
                <w:szCs w:val="20"/>
              </w:rPr>
            </w:pPr>
          </w:p>
        </w:tc>
        <w:tc>
          <w:tcPr>
            <w:tcW w:w="50" w:type="pct"/>
            <w:shd w:val="clear" w:color="auto" w:fill="auto"/>
            <w:vAlign w:val="center"/>
          </w:tcPr>
          <w:p w14:paraId="5556EE05" w14:textId="77777777" w:rsidR="00F925DD" w:rsidRDefault="00F925DD">
            <w:pPr>
              <w:rPr>
                <w:rFonts w:ascii="Times New Roman" w:hAnsi="Times New Roman"/>
                <w:sz w:val="20"/>
                <w:szCs w:val="20"/>
              </w:rPr>
            </w:pPr>
          </w:p>
        </w:tc>
        <w:tc>
          <w:tcPr>
            <w:tcW w:w="100" w:type="pct"/>
            <w:shd w:val="clear" w:color="auto" w:fill="auto"/>
            <w:vAlign w:val="center"/>
          </w:tcPr>
          <w:p w14:paraId="5556EE06" w14:textId="77777777" w:rsidR="00F925DD" w:rsidRDefault="00F925DD">
            <w:pPr>
              <w:rPr>
                <w:rFonts w:ascii="Times New Roman" w:hAnsi="Times New Roman"/>
                <w:sz w:val="20"/>
                <w:szCs w:val="20"/>
              </w:rPr>
            </w:pPr>
          </w:p>
        </w:tc>
        <w:tc>
          <w:tcPr>
            <w:tcW w:w="50" w:type="pct"/>
            <w:shd w:val="clear" w:color="auto" w:fill="auto"/>
            <w:vAlign w:val="center"/>
          </w:tcPr>
          <w:p w14:paraId="5556EE07" w14:textId="77777777" w:rsidR="00F925DD" w:rsidRDefault="00F925DD">
            <w:pPr>
              <w:rPr>
                <w:rFonts w:ascii="Times New Roman" w:hAnsi="Times New Roman"/>
                <w:sz w:val="20"/>
                <w:szCs w:val="20"/>
              </w:rPr>
            </w:pPr>
          </w:p>
        </w:tc>
        <w:tc>
          <w:tcPr>
            <w:tcW w:w="850" w:type="pct"/>
            <w:shd w:val="clear" w:color="auto" w:fill="auto"/>
            <w:vAlign w:val="center"/>
          </w:tcPr>
          <w:p w14:paraId="5556EE08" w14:textId="77777777" w:rsidR="00F925DD" w:rsidRDefault="00F925DD">
            <w:pPr>
              <w:rPr>
                <w:rFonts w:ascii="Times New Roman" w:hAnsi="Times New Roman"/>
                <w:sz w:val="20"/>
                <w:szCs w:val="20"/>
              </w:rPr>
            </w:pPr>
          </w:p>
        </w:tc>
        <w:tc>
          <w:tcPr>
            <w:tcW w:w="50" w:type="pct"/>
            <w:shd w:val="clear" w:color="auto" w:fill="auto"/>
            <w:vAlign w:val="center"/>
          </w:tcPr>
          <w:p w14:paraId="5556EE09" w14:textId="77777777" w:rsidR="00F925DD" w:rsidRDefault="00F925DD">
            <w:pPr>
              <w:rPr>
                <w:rFonts w:ascii="Times New Roman" w:hAnsi="Times New Roman"/>
                <w:sz w:val="20"/>
                <w:szCs w:val="20"/>
              </w:rPr>
            </w:pPr>
          </w:p>
        </w:tc>
      </w:tr>
      <w:tr w:rsidR="00F925DD" w14:paraId="5556EE0D" w14:textId="77777777">
        <w:tc>
          <w:tcPr>
            <w:tcW w:w="0" w:type="auto"/>
            <w:shd w:val="clear" w:color="auto" w:fill="auto"/>
            <w:tcMar>
              <w:top w:w="40" w:type="dxa"/>
              <w:left w:w="40" w:type="dxa"/>
              <w:bottom w:w="40" w:type="dxa"/>
              <w:right w:w="40" w:type="dxa"/>
            </w:tcMar>
            <w:vAlign w:val="bottom"/>
          </w:tcPr>
          <w:p w14:paraId="5556EE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EE0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w:t>
            </w:r>
          </w:p>
        </w:tc>
      </w:tr>
      <w:tr w:rsidR="00F925DD" w14:paraId="5556EE12" w14:textId="77777777">
        <w:tc>
          <w:tcPr>
            <w:tcW w:w="0" w:type="auto"/>
            <w:shd w:val="clear" w:color="auto" w:fill="auto"/>
            <w:tcMar>
              <w:top w:w="40" w:type="dxa"/>
              <w:left w:w="40" w:type="dxa"/>
              <w:bottom w:w="40" w:type="dxa"/>
              <w:right w:w="40" w:type="dxa"/>
            </w:tcMar>
            <w:vAlign w:val="bottom"/>
          </w:tcPr>
          <w:p w14:paraId="5556EE0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E0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EE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E1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r>
      <w:tr w:rsidR="00F925DD" w14:paraId="5556EE17" w14:textId="77777777">
        <w:tc>
          <w:tcPr>
            <w:tcW w:w="0" w:type="auto"/>
            <w:shd w:val="clear" w:color="auto" w:fill="auto"/>
            <w:tcMar>
              <w:top w:w="40" w:type="dxa"/>
              <w:left w:w="40" w:type="dxa"/>
              <w:bottom w:w="40" w:type="dxa"/>
              <w:right w:w="40" w:type="dxa"/>
            </w:tcMar>
            <w:vAlign w:val="bottom"/>
          </w:tcPr>
          <w:p w14:paraId="5556EE1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Deferred tax assets:</w:t>
            </w:r>
          </w:p>
        </w:tc>
        <w:tc>
          <w:tcPr>
            <w:tcW w:w="0" w:type="auto"/>
            <w:gridSpan w:val="3"/>
            <w:shd w:val="clear" w:color="auto" w:fill="auto"/>
            <w:tcMar>
              <w:top w:w="40" w:type="dxa"/>
              <w:left w:w="40" w:type="dxa"/>
              <w:bottom w:w="40" w:type="dxa"/>
              <w:right w:w="40" w:type="dxa"/>
            </w:tcMar>
            <w:vAlign w:val="bottom"/>
          </w:tcPr>
          <w:p w14:paraId="5556EE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E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E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E20" w14:textId="77777777">
        <w:tc>
          <w:tcPr>
            <w:tcW w:w="0" w:type="auto"/>
            <w:shd w:val="clear" w:color="auto" w:fill="CCEEFF"/>
            <w:tcMar>
              <w:top w:w="40" w:type="dxa"/>
              <w:left w:w="40" w:type="dxa"/>
              <w:bottom w:w="40" w:type="dxa"/>
              <w:right w:w="40" w:type="dxa"/>
            </w:tcMar>
            <w:vAlign w:val="bottom"/>
          </w:tcPr>
          <w:p w14:paraId="5556EE18"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amortizable assets</w:t>
            </w:r>
          </w:p>
        </w:tc>
        <w:tc>
          <w:tcPr>
            <w:tcW w:w="0" w:type="auto"/>
            <w:shd w:val="clear" w:color="auto" w:fill="CCEEFF"/>
            <w:tcMar>
              <w:top w:w="40" w:type="dxa"/>
              <w:left w:w="40" w:type="dxa"/>
              <w:bottom w:w="40" w:type="dxa"/>
            </w:tcMar>
            <w:vAlign w:val="bottom"/>
          </w:tcPr>
          <w:p w14:paraId="5556EE1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EE1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394</w:t>
            </w:r>
          </w:p>
        </w:tc>
        <w:tc>
          <w:tcPr>
            <w:tcW w:w="0" w:type="auto"/>
            <w:shd w:val="clear" w:color="auto" w:fill="CCEEFF"/>
            <w:vAlign w:val="bottom"/>
          </w:tcPr>
          <w:p w14:paraId="5556EE1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E1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EE1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49</w:t>
            </w:r>
          </w:p>
        </w:tc>
        <w:tc>
          <w:tcPr>
            <w:tcW w:w="0" w:type="auto"/>
            <w:shd w:val="clear" w:color="auto" w:fill="CCEEFF"/>
            <w:vAlign w:val="bottom"/>
          </w:tcPr>
          <w:p w14:paraId="5556EE1F" w14:textId="77777777" w:rsidR="00F925DD" w:rsidRDefault="00F925DD">
            <w:pPr>
              <w:textAlignment w:val="bottom"/>
              <w:rPr>
                <w:rFonts w:ascii="Times New Roman" w:hAnsi="Times New Roman"/>
                <w:sz w:val="20"/>
                <w:szCs w:val="20"/>
              </w:rPr>
            </w:pPr>
          </w:p>
        </w:tc>
      </w:tr>
      <w:tr w:rsidR="00F925DD" w14:paraId="5556EE27" w14:textId="77777777">
        <w:tc>
          <w:tcPr>
            <w:tcW w:w="0" w:type="auto"/>
            <w:shd w:val="clear" w:color="auto" w:fill="auto"/>
            <w:tcMar>
              <w:top w:w="40" w:type="dxa"/>
              <w:left w:w="40" w:type="dxa"/>
              <w:bottom w:w="40" w:type="dxa"/>
              <w:right w:w="40" w:type="dxa"/>
            </w:tcMar>
            <w:vAlign w:val="bottom"/>
          </w:tcPr>
          <w:p w14:paraId="5556EE21" w14:textId="77777777" w:rsidR="00F925DD" w:rsidRDefault="00E705D7">
            <w:pPr>
              <w:textAlignment w:val="bottom"/>
              <w:rPr>
                <w:rFonts w:ascii="Times New Roman" w:hAnsi="Times New Roman"/>
                <w:sz w:val="14"/>
                <w:szCs w:val="14"/>
              </w:rPr>
            </w:pPr>
            <w:r>
              <w:rPr>
                <w:rFonts w:ascii="Arial" w:eastAsia="宋体" w:hAnsi="Arial" w:cs="Arial"/>
                <w:sz w:val="14"/>
                <w:szCs w:val="14"/>
              </w:rPr>
              <w:t>Tax credit carryforwards</w:t>
            </w:r>
          </w:p>
        </w:tc>
        <w:tc>
          <w:tcPr>
            <w:tcW w:w="0" w:type="auto"/>
            <w:gridSpan w:val="2"/>
            <w:shd w:val="clear" w:color="auto" w:fill="auto"/>
            <w:tcMar>
              <w:top w:w="40" w:type="dxa"/>
              <w:left w:w="40" w:type="dxa"/>
              <w:bottom w:w="40" w:type="dxa"/>
            </w:tcMar>
            <w:vAlign w:val="bottom"/>
          </w:tcPr>
          <w:p w14:paraId="5556EE2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387</w:t>
            </w:r>
          </w:p>
        </w:tc>
        <w:tc>
          <w:tcPr>
            <w:tcW w:w="0" w:type="auto"/>
            <w:shd w:val="clear" w:color="auto" w:fill="auto"/>
            <w:vAlign w:val="bottom"/>
          </w:tcPr>
          <w:p w14:paraId="5556EE2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E2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274</w:t>
            </w:r>
          </w:p>
        </w:tc>
        <w:tc>
          <w:tcPr>
            <w:tcW w:w="0" w:type="auto"/>
            <w:shd w:val="clear" w:color="auto" w:fill="auto"/>
            <w:vAlign w:val="bottom"/>
          </w:tcPr>
          <w:p w14:paraId="5556EE26" w14:textId="77777777" w:rsidR="00F925DD" w:rsidRDefault="00F925DD">
            <w:pPr>
              <w:textAlignment w:val="bottom"/>
              <w:rPr>
                <w:rFonts w:ascii="Times New Roman" w:hAnsi="Times New Roman"/>
                <w:sz w:val="20"/>
                <w:szCs w:val="20"/>
              </w:rPr>
            </w:pPr>
          </w:p>
        </w:tc>
      </w:tr>
      <w:tr w:rsidR="00F925DD" w14:paraId="5556EE2E" w14:textId="77777777">
        <w:tc>
          <w:tcPr>
            <w:tcW w:w="0" w:type="auto"/>
            <w:shd w:val="clear" w:color="auto" w:fill="CCEEFF"/>
            <w:tcMar>
              <w:top w:w="40" w:type="dxa"/>
              <w:left w:w="40" w:type="dxa"/>
              <w:bottom w:w="40" w:type="dxa"/>
              <w:right w:w="40" w:type="dxa"/>
            </w:tcMar>
            <w:vAlign w:val="bottom"/>
          </w:tcPr>
          <w:p w14:paraId="5556EE28" w14:textId="77777777" w:rsidR="00F925DD" w:rsidRDefault="00E705D7">
            <w:pPr>
              <w:textAlignment w:val="bottom"/>
              <w:rPr>
                <w:rFonts w:ascii="Times New Roman" w:hAnsi="Times New Roman"/>
                <w:sz w:val="14"/>
                <w:szCs w:val="14"/>
              </w:rPr>
            </w:pPr>
            <w:r>
              <w:rPr>
                <w:rFonts w:ascii="Arial" w:eastAsia="宋体" w:hAnsi="Arial" w:cs="Arial"/>
                <w:sz w:val="14"/>
                <w:szCs w:val="14"/>
              </w:rPr>
              <w:t>Lease obligations</w:t>
            </w:r>
          </w:p>
        </w:tc>
        <w:tc>
          <w:tcPr>
            <w:tcW w:w="0" w:type="auto"/>
            <w:gridSpan w:val="2"/>
            <w:shd w:val="clear" w:color="auto" w:fill="CCEEFF"/>
            <w:tcMar>
              <w:top w:w="40" w:type="dxa"/>
              <w:left w:w="40" w:type="dxa"/>
              <w:bottom w:w="40" w:type="dxa"/>
            </w:tcMar>
            <w:vAlign w:val="bottom"/>
          </w:tcPr>
          <w:p w14:paraId="5556EE2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254</w:t>
            </w:r>
          </w:p>
        </w:tc>
        <w:tc>
          <w:tcPr>
            <w:tcW w:w="0" w:type="auto"/>
            <w:shd w:val="clear" w:color="auto" w:fill="CCEEFF"/>
            <w:vAlign w:val="bottom"/>
          </w:tcPr>
          <w:p w14:paraId="5556EE2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E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EE2D" w14:textId="77777777" w:rsidR="00F925DD" w:rsidRDefault="00F925DD">
            <w:pPr>
              <w:textAlignment w:val="bottom"/>
              <w:rPr>
                <w:rFonts w:ascii="Times New Roman" w:hAnsi="Times New Roman"/>
                <w:sz w:val="20"/>
                <w:szCs w:val="20"/>
              </w:rPr>
            </w:pPr>
          </w:p>
        </w:tc>
      </w:tr>
      <w:tr w:rsidR="00F925DD" w14:paraId="5556EE35" w14:textId="77777777">
        <w:tc>
          <w:tcPr>
            <w:tcW w:w="0" w:type="auto"/>
            <w:shd w:val="clear" w:color="auto" w:fill="auto"/>
            <w:tcMar>
              <w:top w:w="40" w:type="dxa"/>
              <w:left w:w="40" w:type="dxa"/>
              <w:bottom w:w="40" w:type="dxa"/>
              <w:right w:w="40" w:type="dxa"/>
            </w:tcMar>
            <w:vAlign w:val="bottom"/>
          </w:tcPr>
          <w:p w14:paraId="5556EE2F" w14:textId="77777777" w:rsidR="00F925DD" w:rsidRDefault="00E705D7">
            <w:pPr>
              <w:textAlignment w:val="bottom"/>
              <w:rPr>
                <w:rFonts w:ascii="Times New Roman" w:hAnsi="Times New Roman"/>
                <w:sz w:val="14"/>
                <w:szCs w:val="14"/>
              </w:rPr>
            </w:pPr>
            <w:r>
              <w:rPr>
                <w:rFonts w:ascii="Arial" w:eastAsia="宋体" w:hAnsi="Arial" w:cs="Arial"/>
                <w:sz w:val="14"/>
                <w:szCs w:val="14"/>
              </w:rPr>
              <w:t>Deferred compensation</w:t>
            </w:r>
          </w:p>
        </w:tc>
        <w:tc>
          <w:tcPr>
            <w:tcW w:w="0" w:type="auto"/>
            <w:gridSpan w:val="2"/>
            <w:shd w:val="clear" w:color="auto" w:fill="auto"/>
            <w:tcMar>
              <w:top w:w="40" w:type="dxa"/>
              <w:left w:w="40" w:type="dxa"/>
              <w:bottom w:w="40" w:type="dxa"/>
            </w:tcMar>
            <w:vAlign w:val="bottom"/>
          </w:tcPr>
          <w:p w14:paraId="5556EE3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120</w:t>
            </w:r>
          </w:p>
        </w:tc>
        <w:tc>
          <w:tcPr>
            <w:tcW w:w="0" w:type="auto"/>
            <w:shd w:val="clear" w:color="auto" w:fill="auto"/>
            <w:vAlign w:val="bottom"/>
          </w:tcPr>
          <w:p w14:paraId="5556EE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E3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134</w:t>
            </w:r>
          </w:p>
        </w:tc>
        <w:tc>
          <w:tcPr>
            <w:tcW w:w="0" w:type="auto"/>
            <w:shd w:val="clear" w:color="auto" w:fill="auto"/>
            <w:vAlign w:val="bottom"/>
          </w:tcPr>
          <w:p w14:paraId="5556EE34" w14:textId="77777777" w:rsidR="00F925DD" w:rsidRDefault="00F925DD">
            <w:pPr>
              <w:textAlignment w:val="bottom"/>
              <w:rPr>
                <w:rFonts w:ascii="Times New Roman" w:hAnsi="Times New Roman"/>
                <w:sz w:val="20"/>
                <w:szCs w:val="20"/>
              </w:rPr>
            </w:pPr>
          </w:p>
        </w:tc>
      </w:tr>
      <w:tr w:rsidR="00F925DD" w14:paraId="5556EE3C" w14:textId="77777777">
        <w:tc>
          <w:tcPr>
            <w:tcW w:w="0" w:type="auto"/>
            <w:shd w:val="clear" w:color="auto" w:fill="CCEEFF"/>
            <w:tcMar>
              <w:top w:w="40" w:type="dxa"/>
              <w:left w:w="40" w:type="dxa"/>
              <w:bottom w:w="40" w:type="dxa"/>
              <w:right w:w="40" w:type="dxa"/>
            </w:tcMar>
            <w:vAlign w:val="bottom"/>
          </w:tcPr>
          <w:p w14:paraId="5556EE36" w14:textId="77777777" w:rsidR="00F925DD" w:rsidRDefault="00E705D7">
            <w:pPr>
              <w:textAlignment w:val="bottom"/>
              <w:rPr>
                <w:rFonts w:ascii="Times New Roman" w:hAnsi="Times New Roman"/>
                <w:sz w:val="14"/>
                <w:szCs w:val="14"/>
              </w:rPr>
            </w:pPr>
            <w:r>
              <w:rPr>
                <w:rFonts w:ascii="Arial" w:eastAsia="宋体" w:hAnsi="Arial" w:cs="Arial"/>
                <w:sz w:val="14"/>
                <w:szCs w:val="14"/>
              </w:rPr>
              <w:t>Restructuring charges and other reserves</w:t>
            </w:r>
          </w:p>
        </w:tc>
        <w:tc>
          <w:tcPr>
            <w:tcW w:w="0" w:type="auto"/>
            <w:gridSpan w:val="2"/>
            <w:shd w:val="clear" w:color="auto" w:fill="CCEEFF"/>
            <w:tcMar>
              <w:top w:w="40" w:type="dxa"/>
              <w:left w:w="40" w:type="dxa"/>
              <w:bottom w:w="40" w:type="dxa"/>
            </w:tcMar>
            <w:vAlign w:val="bottom"/>
          </w:tcPr>
          <w:p w14:paraId="5556EE3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104</w:t>
            </w:r>
          </w:p>
        </w:tc>
        <w:tc>
          <w:tcPr>
            <w:tcW w:w="0" w:type="auto"/>
            <w:shd w:val="clear" w:color="auto" w:fill="CCEEFF"/>
            <w:vAlign w:val="bottom"/>
          </w:tcPr>
          <w:p w14:paraId="5556EE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E3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156</w:t>
            </w:r>
          </w:p>
        </w:tc>
        <w:tc>
          <w:tcPr>
            <w:tcW w:w="0" w:type="auto"/>
            <w:shd w:val="clear" w:color="auto" w:fill="CCEEFF"/>
            <w:vAlign w:val="bottom"/>
          </w:tcPr>
          <w:p w14:paraId="5556EE3B" w14:textId="77777777" w:rsidR="00F925DD" w:rsidRDefault="00F925DD">
            <w:pPr>
              <w:textAlignment w:val="bottom"/>
              <w:rPr>
                <w:rFonts w:ascii="Times New Roman" w:hAnsi="Times New Roman"/>
                <w:sz w:val="20"/>
                <w:szCs w:val="20"/>
              </w:rPr>
            </w:pPr>
          </w:p>
        </w:tc>
      </w:tr>
      <w:tr w:rsidR="00F925DD" w14:paraId="5556EE43" w14:textId="77777777">
        <w:tc>
          <w:tcPr>
            <w:tcW w:w="0" w:type="auto"/>
            <w:shd w:val="clear" w:color="auto" w:fill="auto"/>
            <w:tcMar>
              <w:top w:w="40" w:type="dxa"/>
              <w:left w:w="40" w:type="dxa"/>
              <w:bottom w:w="40" w:type="dxa"/>
              <w:right w:w="40" w:type="dxa"/>
            </w:tcMar>
            <w:vAlign w:val="bottom"/>
          </w:tcPr>
          <w:p w14:paraId="5556EE3D" w14:textId="77777777" w:rsidR="00F925DD" w:rsidRDefault="00E705D7">
            <w:pPr>
              <w:textAlignment w:val="bottom"/>
              <w:rPr>
                <w:rFonts w:ascii="Times New Roman" w:hAnsi="Times New Roman"/>
                <w:sz w:val="14"/>
                <w:szCs w:val="14"/>
              </w:rPr>
            </w:pPr>
            <w:r>
              <w:rPr>
                <w:rFonts w:ascii="Arial" w:eastAsia="宋体" w:hAnsi="Arial" w:cs="Arial"/>
                <w:sz w:val="14"/>
                <w:szCs w:val="14"/>
              </w:rPr>
              <w:t>NOL and other carryforwards</w:t>
            </w:r>
          </w:p>
        </w:tc>
        <w:tc>
          <w:tcPr>
            <w:tcW w:w="0" w:type="auto"/>
            <w:gridSpan w:val="2"/>
            <w:shd w:val="clear" w:color="auto" w:fill="auto"/>
            <w:tcMar>
              <w:top w:w="40" w:type="dxa"/>
              <w:left w:w="40" w:type="dxa"/>
              <w:bottom w:w="40" w:type="dxa"/>
            </w:tcMar>
            <w:vAlign w:val="bottom"/>
          </w:tcPr>
          <w:p w14:paraId="5556EE3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73</w:t>
            </w:r>
          </w:p>
        </w:tc>
        <w:tc>
          <w:tcPr>
            <w:tcW w:w="0" w:type="auto"/>
            <w:shd w:val="clear" w:color="auto" w:fill="auto"/>
            <w:vAlign w:val="bottom"/>
          </w:tcPr>
          <w:p w14:paraId="5556EE3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E4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104</w:t>
            </w:r>
          </w:p>
        </w:tc>
        <w:tc>
          <w:tcPr>
            <w:tcW w:w="0" w:type="auto"/>
            <w:shd w:val="clear" w:color="auto" w:fill="auto"/>
            <w:vAlign w:val="bottom"/>
          </w:tcPr>
          <w:p w14:paraId="5556EE42" w14:textId="77777777" w:rsidR="00F925DD" w:rsidRDefault="00F925DD">
            <w:pPr>
              <w:textAlignment w:val="bottom"/>
              <w:rPr>
                <w:rFonts w:ascii="Times New Roman" w:hAnsi="Times New Roman"/>
                <w:sz w:val="20"/>
                <w:szCs w:val="20"/>
              </w:rPr>
            </w:pPr>
          </w:p>
        </w:tc>
      </w:tr>
      <w:tr w:rsidR="00F925DD" w14:paraId="5556EE4A" w14:textId="77777777">
        <w:tc>
          <w:tcPr>
            <w:tcW w:w="0" w:type="auto"/>
            <w:shd w:val="clear" w:color="auto" w:fill="CCEEFF"/>
            <w:tcMar>
              <w:top w:w="40" w:type="dxa"/>
              <w:left w:w="40" w:type="dxa"/>
              <w:bottom w:w="40" w:type="dxa"/>
              <w:right w:w="40" w:type="dxa"/>
            </w:tcMar>
            <w:vAlign w:val="bottom"/>
          </w:tcPr>
          <w:p w14:paraId="5556EE44" w14:textId="77777777" w:rsidR="00F925DD" w:rsidRDefault="00E705D7">
            <w:pPr>
              <w:textAlignment w:val="bottom"/>
              <w:rPr>
                <w:rFonts w:ascii="Times New Roman" w:hAnsi="Times New Roman"/>
                <w:sz w:val="14"/>
                <w:szCs w:val="14"/>
              </w:rPr>
            </w:pPr>
            <w:r>
              <w:rPr>
                <w:rFonts w:ascii="Arial" w:eastAsia="宋体" w:hAnsi="Arial" w:cs="Arial"/>
                <w:sz w:val="14"/>
                <w:szCs w:val="14"/>
              </w:rPr>
              <w:t>Pension plan</w:t>
            </w:r>
          </w:p>
        </w:tc>
        <w:tc>
          <w:tcPr>
            <w:tcW w:w="0" w:type="auto"/>
            <w:gridSpan w:val="2"/>
            <w:shd w:val="clear" w:color="auto" w:fill="CCEEFF"/>
            <w:tcMar>
              <w:top w:w="40" w:type="dxa"/>
              <w:left w:w="40" w:type="dxa"/>
              <w:bottom w:w="40" w:type="dxa"/>
            </w:tcMar>
            <w:vAlign w:val="bottom"/>
          </w:tcPr>
          <w:p w14:paraId="5556EE4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66</w:t>
            </w:r>
          </w:p>
        </w:tc>
        <w:tc>
          <w:tcPr>
            <w:tcW w:w="0" w:type="auto"/>
            <w:shd w:val="clear" w:color="auto" w:fill="CCEEFF"/>
            <w:vAlign w:val="bottom"/>
          </w:tcPr>
          <w:p w14:paraId="5556EE4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E4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55</w:t>
            </w:r>
          </w:p>
        </w:tc>
        <w:tc>
          <w:tcPr>
            <w:tcW w:w="0" w:type="auto"/>
            <w:shd w:val="clear" w:color="auto" w:fill="CCEEFF"/>
            <w:vAlign w:val="bottom"/>
          </w:tcPr>
          <w:p w14:paraId="5556EE49" w14:textId="77777777" w:rsidR="00F925DD" w:rsidRDefault="00F925DD">
            <w:pPr>
              <w:textAlignment w:val="bottom"/>
              <w:rPr>
                <w:rFonts w:ascii="Times New Roman" w:hAnsi="Times New Roman"/>
                <w:sz w:val="20"/>
                <w:szCs w:val="20"/>
              </w:rPr>
            </w:pPr>
          </w:p>
        </w:tc>
      </w:tr>
      <w:tr w:rsidR="00F925DD" w14:paraId="5556EE51" w14:textId="77777777">
        <w:tc>
          <w:tcPr>
            <w:tcW w:w="0" w:type="auto"/>
            <w:shd w:val="clear" w:color="auto" w:fill="auto"/>
            <w:tcMar>
              <w:top w:w="40" w:type="dxa"/>
              <w:left w:w="40" w:type="dxa"/>
              <w:bottom w:w="40" w:type="dxa"/>
              <w:right w:w="40" w:type="dxa"/>
            </w:tcMar>
            <w:vAlign w:val="bottom"/>
          </w:tcPr>
          <w:p w14:paraId="5556EE4B" w14:textId="77777777" w:rsidR="00F925DD" w:rsidRDefault="00E705D7">
            <w:pPr>
              <w:textAlignment w:val="bottom"/>
              <w:rPr>
                <w:rFonts w:ascii="Times New Roman" w:hAnsi="Times New Roman"/>
                <w:sz w:val="14"/>
                <w:szCs w:val="14"/>
              </w:rPr>
            </w:pPr>
            <w:r>
              <w:rPr>
                <w:rFonts w:ascii="Arial" w:eastAsia="宋体" w:hAnsi="Arial" w:cs="Arial"/>
                <w:sz w:val="14"/>
                <w:szCs w:val="14"/>
              </w:rPr>
              <w:t>Foreign currency translation</w:t>
            </w:r>
          </w:p>
        </w:tc>
        <w:tc>
          <w:tcPr>
            <w:tcW w:w="0" w:type="auto"/>
            <w:gridSpan w:val="2"/>
            <w:shd w:val="clear" w:color="auto" w:fill="auto"/>
            <w:tcMar>
              <w:top w:w="40" w:type="dxa"/>
              <w:left w:w="40" w:type="dxa"/>
              <w:bottom w:w="40" w:type="dxa"/>
            </w:tcMar>
            <w:vAlign w:val="bottom"/>
          </w:tcPr>
          <w:p w14:paraId="5556EE4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57</w:t>
            </w:r>
          </w:p>
        </w:tc>
        <w:tc>
          <w:tcPr>
            <w:tcW w:w="0" w:type="auto"/>
            <w:shd w:val="clear" w:color="auto" w:fill="auto"/>
            <w:vAlign w:val="bottom"/>
          </w:tcPr>
          <w:p w14:paraId="5556EE4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E4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50</w:t>
            </w:r>
          </w:p>
        </w:tc>
        <w:tc>
          <w:tcPr>
            <w:tcW w:w="0" w:type="auto"/>
            <w:shd w:val="clear" w:color="auto" w:fill="auto"/>
            <w:vAlign w:val="bottom"/>
          </w:tcPr>
          <w:p w14:paraId="5556EE50" w14:textId="77777777" w:rsidR="00F925DD" w:rsidRDefault="00F925DD">
            <w:pPr>
              <w:textAlignment w:val="bottom"/>
              <w:rPr>
                <w:rFonts w:ascii="Times New Roman" w:hAnsi="Times New Roman"/>
                <w:sz w:val="20"/>
                <w:szCs w:val="20"/>
              </w:rPr>
            </w:pPr>
          </w:p>
        </w:tc>
      </w:tr>
      <w:tr w:rsidR="00F925DD" w14:paraId="5556EE58" w14:textId="77777777">
        <w:tc>
          <w:tcPr>
            <w:tcW w:w="0" w:type="auto"/>
            <w:shd w:val="clear" w:color="auto" w:fill="CCEEFF"/>
            <w:tcMar>
              <w:top w:w="40" w:type="dxa"/>
              <w:left w:w="40" w:type="dxa"/>
              <w:bottom w:w="40" w:type="dxa"/>
              <w:right w:w="40" w:type="dxa"/>
            </w:tcMar>
            <w:vAlign w:val="bottom"/>
          </w:tcPr>
          <w:p w14:paraId="5556EE52" w14:textId="77777777" w:rsidR="00F925DD" w:rsidRDefault="00E705D7">
            <w:pPr>
              <w:textAlignment w:val="bottom"/>
              <w:rPr>
                <w:rFonts w:ascii="Times New Roman" w:hAnsi="Times New Roman"/>
                <w:sz w:val="14"/>
                <w:szCs w:val="14"/>
              </w:rPr>
            </w:pPr>
            <w:r>
              <w:rPr>
                <w:rFonts w:ascii="Arial" w:eastAsia="宋体" w:hAnsi="Arial" w:cs="Arial"/>
                <w:sz w:val="14"/>
                <w:szCs w:val="14"/>
              </w:rPr>
              <w:t>Unrealized losses on investment securities, net</w:t>
            </w:r>
          </w:p>
        </w:tc>
        <w:tc>
          <w:tcPr>
            <w:tcW w:w="0" w:type="auto"/>
            <w:gridSpan w:val="2"/>
            <w:shd w:val="clear" w:color="auto" w:fill="CCEEFF"/>
            <w:tcMar>
              <w:top w:w="40" w:type="dxa"/>
              <w:left w:w="40" w:type="dxa"/>
              <w:bottom w:w="40" w:type="dxa"/>
            </w:tcMar>
            <w:vAlign w:val="bottom"/>
          </w:tcPr>
          <w:p w14:paraId="5556EE5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EE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E5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146</w:t>
            </w:r>
          </w:p>
        </w:tc>
        <w:tc>
          <w:tcPr>
            <w:tcW w:w="0" w:type="auto"/>
            <w:shd w:val="clear" w:color="auto" w:fill="CCEEFF"/>
            <w:vAlign w:val="bottom"/>
          </w:tcPr>
          <w:p w14:paraId="5556EE57" w14:textId="77777777" w:rsidR="00F925DD" w:rsidRDefault="00F925DD">
            <w:pPr>
              <w:textAlignment w:val="bottom"/>
              <w:rPr>
                <w:rFonts w:ascii="Times New Roman" w:hAnsi="Times New Roman"/>
                <w:sz w:val="20"/>
                <w:szCs w:val="20"/>
              </w:rPr>
            </w:pPr>
          </w:p>
        </w:tc>
      </w:tr>
      <w:tr w:rsidR="00F925DD" w14:paraId="5556EE5F" w14:textId="77777777">
        <w:tc>
          <w:tcPr>
            <w:tcW w:w="0" w:type="auto"/>
            <w:shd w:val="clear" w:color="auto" w:fill="auto"/>
            <w:tcMar>
              <w:top w:w="40" w:type="dxa"/>
              <w:left w:w="40" w:type="dxa"/>
              <w:bottom w:w="40" w:type="dxa"/>
              <w:right w:w="40" w:type="dxa"/>
            </w:tcMar>
            <w:vAlign w:val="bottom"/>
          </w:tcPr>
          <w:p w14:paraId="5556EE59"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deferred tax assets</w:t>
            </w:r>
            <w:r>
              <w:rPr>
                <w:rFonts w:ascii="Arial" w:eastAsia="宋体" w:hAnsi="Arial" w:cs="Arial"/>
                <w:sz w:val="10"/>
                <w:szCs w:val="10"/>
              </w:rPr>
              <w:t> </w:t>
            </w:r>
          </w:p>
        </w:tc>
        <w:tc>
          <w:tcPr>
            <w:tcW w:w="0" w:type="auto"/>
            <w:gridSpan w:val="2"/>
            <w:shd w:val="clear" w:color="auto" w:fill="auto"/>
            <w:tcMar>
              <w:top w:w="40" w:type="dxa"/>
              <w:left w:w="40" w:type="dxa"/>
              <w:bottom w:w="40" w:type="dxa"/>
            </w:tcMar>
            <w:vAlign w:val="bottom"/>
          </w:tcPr>
          <w:p w14:paraId="5556EE5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1,455</w:t>
            </w:r>
          </w:p>
        </w:tc>
        <w:tc>
          <w:tcPr>
            <w:tcW w:w="0" w:type="auto"/>
            <w:shd w:val="clear" w:color="auto" w:fill="auto"/>
            <w:vAlign w:val="bottom"/>
          </w:tcPr>
          <w:p w14:paraId="5556EE5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E5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968</w:t>
            </w:r>
          </w:p>
        </w:tc>
        <w:tc>
          <w:tcPr>
            <w:tcW w:w="0" w:type="auto"/>
            <w:shd w:val="clear" w:color="auto" w:fill="auto"/>
            <w:vAlign w:val="bottom"/>
          </w:tcPr>
          <w:p w14:paraId="5556EE5E" w14:textId="77777777" w:rsidR="00F925DD" w:rsidRDefault="00F925DD">
            <w:pPr>
              <w:textAlignment w:val="bottom"/>
              <w:rPr>
                <w:rFonts w:ascii="Times New Roman" w:hAnsi="Times New Roman"/>
                <w:sz w:val="20"/>
                <w:szCs w:val="20"/>
              </w:rPr>
            </w:pPr>
          </w:p>
        </w:tc>
      </w:tr>
      <w:tr w:rsidR="00F925DD" w14:paraId="5556EE66" w14:textId="77777777">
        <w:tc>
          <w:tcPr>
            <w:tcW w:w="0" w:type="auto"/>
            <w:shd w:val="clear" w:color="auto" w:fill="CCEEFF"/>
            <w:tcMar>
              <w:top w:w="40" w:type="dxa"/>
              <w:left w:w="40" w:type="dxa"/>
              <w:bottom w:w="40" w:type="dxa"/>
              <w:right w:w="40" w:type="dxa"/>
            </w:tcMar>
            <w:vAlign w:val="bottom"/>
          </w:tcPr>
          <w:p w14:paraId="5556EE60" w14:textId="77777777" w:rsidR="00F925DD" w:rsidRDefault="00E705D7">
            <w:pPr>
              <w:textAlignment w:val="bottom"/>
              <w:rPr>
                <w:rFonts w:ascii="Times New Roman" w:hAnsi="Times New Roman"/>
                <w:sz w:val="14"/>
                <w:szCs w:val="14"/>
              </w:rPr>
            </w:pPr>
            <w:r>
              <w:rPr>
                <w:rFonts w:ascii="Arial" w:eastAsia="宋体" w:hAnsi="Arial" w:cs="Arial"/>
                <w:sz w:val="14"/>
                <w:szCs w:val="14"/>
              </w:rPr>
              <w:t>Valuation allowance for deferred tax assets</w:t>
            </w:r>
          </w:p>
        </w:tc>
        <w:tc>
          <w:tcPr>
            <w:tcW w:w="0" w:type="auto"/>
            <w:gridSpan w:val="2"/>
            <w:shd w:val="clear" w:color="auto" w:fill="CCEEFF"/>
            <w:tcMar>
              <w:top w:w="40" w:type="dxa"/>
              <w:left w:w="40" w:type="dxa"/>
              <w:bottom w:w="40" w:type="dxa"/>
            </w:tcMar>
            <w:vAlign w:val="bottom"/>
          </w:tcPr>
          <w:p w14:paraId="5556EE6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(330</w:t>
            </w:r>
          </w:p>
        </w:tc>
        <w:tc>
          <w:tcPr>
            <w:tcW w:w="0" w:type="auto"/>
            <w:shd w:val="clear" w:color="auto" w:fill="CCEEFF"/>
            <w:tcMar>
              <w:top w:w="40" w:type="dxa"/>
              <w:bottom w:w="40" w:type="dxa"/>
              <w:right w:w="40" w:type="dxa"/>
            </w:tcMar>
            <w:vAlign w:val="bottom"/>
          </w:tcPr>
          <w:p w14:paraId="5556EE6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E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E6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(138</w:t>
            </w:r>
          </w:p>
        </w:tc>
        <w:tc>
          <w:tcPr>
            <w:tcW w:w="0" w:type="auto"/>
            <w:shd w:val="clear" w:color="auto" w:fill="CCEEFF"/>
            <w:tcMar>
              <w:top w:w="40" w:type="dxa"/>
              <w:bottom w:w="40" w:type="dxa"/>
              <w:right w:w="40" w:type="dxa"/>
            </w:tcMar>
            <w:vAlign w:val="bottom"/>
          </w:tcPr>
          <w:p w14:paraId="5556EE6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E6F" w14:textId="77777777">
        <w:tc>
          <w:tcPr>
            <w:tcW w:w="0" w:type="auto"/>
            <w:shd w:val="clear" w:color="auto" w:fill="auto"/>
            <w:tcMar>
              <w:top w:w="40" w:type="dxa"/>
              <w:left w:w="240" w:type="dxa"/>
              <w:bottom w:w="40" w:type="dxa"/>
              <w:right w:w="40" w:type="dxa"/>
            </w:tcMar>
            <w:vAlign w:val="bottom"/>
          </w:tcPr>
          <w:p w14:paraId="5556EE67" w14:textId="77777777" w:rsidR="00F925DD" w:rsidRDefault="00E705D7">
            <w:pPr>
              <w:textAlignment w:val="bottom"/>
              <w:rPr>
                <w:rFonts w:ascii="Times New Roman" w:hAnsi="Times New Roman"/>
                <w:sz w:val="14"/>
                <w:szCs w:val="14"/>
              </w:rPr>
            </w:pPr>
            <w:r>
              <w:rPr>
                <w:rFonts w:ascii="Arial" w:eastAsia="宋体" w:hAnsi="Arial" w:cs="Arial"/>
                <w:sz w:val="14"/>
                <w:szCs w:val="14"/>
              </w:rPr>
              <w:t>Deferred tax assets, net of valuation allowance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E6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E6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1,125</w:t>
            </w:r>
          </w:p>
        </w:tc>
        <w:tc>
          <w:tcPr>
            <w:tcW w:w="0" w:type="auto"/>
            <w:tcBorders>
              <w:top w:val="single" w:sz="8" w:space="0" w:color="000000"/>
              <w:bottom w:val="double" w:sz="6" w:space="0" w:color="000000"/>
            </w:tcBorders>
            <w:shd w:val="clear" w:color="auto" w:fill="auto"/>
            <w:vAlign w:val="bottom"/>
          </w:tcPr>
          <w:p w14:paraId="5556EE6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E6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E6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830</w:t>
            </w:r>
          </w:p>
        </w:tc>
        <w:tc>
          <w:tcPr>
            <w:tcW w:w="0" w:type="auto"/>
            <w:tcBorders>
              <w:top w:val="single" w:sz="8" w:space="0" w:color="000000"/>
              <w:bottom w:val="double" w:sz="6" w:space="0" w:color="000000"/>
            </w:tcBorders>
            <w:shd w:val="clear" w:color="auto" w:fill="auto"/>
            <w:vAlign w:val="bottom"/>
          </w:tcPr>
          <w:p w14:paraId="5556EE6E" w14:textId="77777777" w:rsidR="00F925DD" w:rsidRDefault="00F925DD">
            <w:pPr>
              <w:textAlignment w:val="bottom"/>
              <w:rPr>
                <w:rFonts w:ascii="Times New Roman" w:hAnsi="Times New Roman"/>
                <w:sz w:val="20"/>
                <w:szCs w:val="20"/>
              </w:rPr>
            </w:pPr>
          </w:p>
        </w:tc>
      </w:tr>
      <w:tr w:rsidR="00F925DD" w14:paraId="5556EE74" w14:textId="77777777">
        <w:tc>
          <w:tcPr>
            <w:tcW w:w="0" w:type="auto"/>
            <w:shd w:val="clear" w:color="auto" w:fill="CCEEFF"/>
            <w:tcMar>
              <w:top w:w="40" w:type="dxa"/>
              <w:left w:w="40" w:type="dxa"/>
              <w:bottom w:w="40" w:type="dxa"/>
              <w:right w:w="40" w:type="dxa"/>
            </w:tcMar>
            <w:vAlign w:val="bottom"/>
          </w:tcPr>
          <w:p w14:paraId="5556EE7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Deferred tax liabilities:</w:t>
            </w:r>
          </w:p>
        </w:tc>
        <w:tc>
          <w:tcPr>
            <w:tcW w:w="0" w:type="auto"/>
            <w:gridSpan w:val="3"/>
            <w:shd w:val="clear" w:color="auto" w:fill="CCEEFF"/>
            <w:tcMar>
              <w:top w:w="40" w:type="dxa"/>
              <w:left w:w="40" w:type="dxa"/>
              <w:bottom w:w="40" w:type="dxa"/>
              <w:right w:w="40" w:type="dxa"/>
            </w:tcMar>
            <w:vAlign w:val="bottom"/>
          </w:tcPr>
          <w:p w14:paraId="5556EE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E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E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E7D" w14:textId="77777777">
        <w:tc>
          <w:tcPr>
            <w:tcW w:w="0" w:type="auto"/>
            <w:shd w:val="clear" w:color="auto" w:fill="auto"/>
            <w:tcMar>
              <w:top w:w="40" w:type="dxa"/>
              <w:left w:w="40" w:type="dxa"/>
              <w:bottom w:w="40" w:type="dxa"/>
              <w:right w:w="40" w:type="dxa"/>
            </w:tcMar>
            <w:vAlign w:val="bottom"/>
          </w:tcPr>
          <w:p w14:paraId="5556EE75" w14:textId="77777777" w:rsidR="00F925DD" w:rsidRDefault="00E705D7">
            <w:pPr>
              <w:textAlignment w:val="bottom"/>
              <w:rPr>
                <w:rFonts w:ascii="Times New Roman" w:hAnsi="Times New Roman"/>
                <w:sz w:val="14"/>
                <w:szCs w:val="14"/>
              </w:rPr>
            </w:pPr>
            <w:r>
              <w:rPr>
                <w:rFonts w:ascii="Arial" w:eastAsia="宋体" w:hAnsi="Arial" w:cs="Arial"/>
                <w:sz w:val="14"/>
                <w:szCs w:val="14"/>
              </w:rPr>
              <w:t>Fixed and intangible assets</w:t>
            </w:r>
          </w:p>
        </w:tc>
        <w:tc>
          <w:tcPr>
            <w:tcW w:w="0" w:type="auto"/>
            <w:shd w:val="clear" w:color="auto" w:fill="auto"/>
            <w:tcMar>
              <w:top w:w="40" w:type="dxa"/>
              <w:left w:w="40" w:type="dxa"/>
              <w:bottom w:w="40" w:type="dxa"/>
            </w:tcMar>
            <w:vAlign w:val="bottom"/>
          </w:tcPr>
          <w:p w14:paraId="5556EE7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5556EE7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763</w:t>
            </w:r>
          </w:p>
        </w:tc>
        <w:tc>
          <w:tcPr>
            <w:tcW w:w="0" w:type="auto"/>
            <w:shd w:val="clear" w:color="auto" w:fill="auto"/>
            <w:vAlign w:val="bottom"/>
          </w:tcPr>
          <w:p w14:paraId="5556EE7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E7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6EE7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744</w:t>
            </w:r>
          </w:p>
        </w:tc>
        <w:tc>
          <w:tcPr>
            <w:tcW w:w="0" w:type="auto"/>
            <w:shd w:val="clear" w:color="auto" w:fill="auto"/>
            <w:vAlign w:val="bottom"/>
          </w:tcPr>
          <w:p w14:paraId="5556EE7C" w14:textId="77777777" w:rsidR="00F925DD" w:rsidRDefault="00F925DD">
            <w:pPr>
              <w:textAlignment w:val="bottom"/>
              <w:rPr>
                <w:rFonts w:ascii="Times New Roman" w:hAnsi="Times New Roman"/>
                <w:sz w:val="20"/>
                <w:szCs w:val="20"/>
              </w:rPr>
            </w:pPr>
          </w:p>
        </w:tc>
      </w:tr>
      <w:tr w:rsidR="00F925DD" w14:paraId="5556EE84" w14:textId="77777777">
        <w:tc>
          <w:tcPr>
            <w:tcW w:w="0" w:type="auto"/>
            <w:shd w:val="clear" w:color="auto" w:fill="CCEEFF"/>
            <w:tcMar>
              <w:top w:w="40" w:type="dxa"/>
              <w:left w:w="40" w:type="dxa"/>
              <w:bottom w:w="40" w:type="dxa"/>
              <w:right w:w="40" w:type="dxa"/>
            </w:tcMar>
            <w:vAlign w:val="bottom"/>
          </w:tcPr>
          <w:p w14:paraId="5556EE7E" w14:textId="77777777" w:rsidR="00F925DD" w:rsidRDefault="00E705D7">
            <w:pPr>
              <w:textAlignment w:val="bottom"/>
              <w:rPr>
                <w:rFonts w:ascii="Times New Roman" w:hAnsi="Times New Roman"/>
                <w:sz w:val="14"/>
                <w:szCs w:val="14"/>
              </w:rPr>
            </w:pPr>
            <w:r>
              <w:rPr>
                <w:rFonts w:ascii="Arial" w:eastAsia="宋体" w:hAnsi="Arial" w:cs="Arial"/>
                <w:sz w:val="14"/>
                <w:szCs w:val="14"/>
              </w:rPr>
              <w:t>Investment basis differences</w:t>
            </w:r>
          </w:p>
        </w:tc>
        <w:tc>
          <w:tcPr>
            <w:tcW w:w="0" w:type="auto"/>
            <w:gridSpan w:val="2"/>
            <w:shd w:val="clear" w:color="auto" w:fill="CCEEFF"/>
            <w:tcMar>
              <w:top w:w="40" w:type="dxa"/>
              <w:left w:w="40" w:type="dxa"/>
              <w:bottom w:w="40" w:type="dxa"/>
            </w:tcMar>
            <w:vAlign w:val="bottom"/>
          </w:tcPr>
          <w:p w14:paraId="5556EE7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258</w:t>
            </w:r>
          </w:p>
        </w:tc>
        <w:tc>
          <w:tcPr>
            <w:tcW w:w="0" w:type="auto"/>
            <w:shd w:val="clear" w:color="auto" w:fill="CCEEFF"/>
            <w:vAlign w:val="bottom"/>
          </w:tcPr>
          <w:p w14:paraId="5556EE8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E8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229</w:t>
            </w:r>
          </w:p>
        </w:tc>
        <w:tc>
          <w:tcPr>
            <w:tcW w:w="0" w:type="auto"/>
            <w:shd w:val="clear" w:color="auto" w:fill="CCEEFF"/>
            <w:vAlign w:val="bottom"/>
          </w:tcPr>
          <w:p w14:paraId="5556EE83" w14:textId="77777777" w:rsidR="00F925DD" w:rsidRDefault="00F925DD">
            <w:pPr>
              <w:textAlignment w:val="bottom"/>
              <w:rPr>
                <w:rFonts w:ascii="Times New Roman" w:hAnsi="Times New Roman"/>
                <w:sz w:val="20"/>
                <w:szCs w:val="20"/>
              </w:rPr>
            </w:pPr>
          </w:p>
        </w:tc>
      </w:tr>
      <w:tr w:rsidR="00F925DD" w14:paraId="5556EE8B" w14:textId="77777777">
        <w:tc>
          <w:tcPr>
            <w:tcW w:w="0" w:type="auto"/>
            <w:shd w:val="clear" w:color="auto" w:fill="auto"/>
            <w:tcMar>
              <w:top w:w="40" w:type="dxa"/>
              <w:left w:w="40" w:type="dxa"/>
              <w:bottom w:w="40" w:type="dxa"/>
              <w:right w:w="40" w:type="dxa"/>
            </w:tcMar>
            <w:vAlign w:val="bottom"/>
          </w:tcPr>
          <w:p w14:paraId="5556EE85" w14:textId="77777777" w:rsidR="00F925DD" w:rsidRDefault="00E705D7">
            <w:pPr>
              <w:textAlignment w:val="bottom"/>
              <w:rPr>
                <w:rFonts w:ascii="Times New Roman" w:hAnsi="Times New Roman"/>
                <w:sz w:val="14"/>
                <w:szCs w:val="14"/>
              </w:rPr>
            </w:pPr>
            <w:r>
              <w:rPr>
                <w:rFonts w:ascii="Arial" w:eastAsia="宋体" w:hAnsi="Arial" w:cs="Arial"/>
                <w:sz w:val="14"/>
                <w:szCs w:val="14"/>
              </w:rPr>
              <w:t>Right-of-use Assets</w:t>
            </w:r>
          </w:p>
        </w:tc>
        <w:tc>
          <w:tcPr>
            <w:tcW w:w="0" w:type="auto"/>
            <w:gridSpan w:val="2"/>
            <w:shd w:val="clear" w:color="auto" w:fill="auto"/>
            <w:tcMar>
              <w:top w:w="40" w:type="dxa"/>
              <w:left w:w="40" w:type="dxa"/>
              <w:bottom w:w="40" w:type="dxa"/>
            </w:tcMar>
            <w:vAlign w:val="bottom"/>
          </w:tcPr>
          <w:p w14:paraId="5556EE8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223</w:t>
            </w:r>
          </w:p>
        </w:tc>
        <w:tc>
          <w:tcPr>
            <w:tcW w:w="0" w:type="auto"/>
            <w:shd w:val="clear" w:color="auto" w:fill="auto"/>
            <w:vAlign w:val="bottom"/>
          </w:tcPr>
          <w:p w14:paraId="5556EE8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E8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EE8A" w14:textId="77777777" w:rsidR="00F925DD" w:rsidRDefault="00F925DD">
            <w:pPr>
              <w:textAlignment w:val="bottom"/>
              <w:rPr>
                <w:rFonts w:ascii="Times New Roman" w:hAnsi="Times New Roman"/>
                <w:sz w:val="20"/>
                <w:szCs w:val="20"/>
              </w:rPr>
            </w:pPr>
          </w:p>
        </w:tc>
      </w:tr>
      <w:tr w:rsidR="00F925DD" w14:paraId="5556EE92" w14:textId="77777777">
        <w:tc>
          <w:tcPr>
            <w:tcW w:w="0" w:type="auto"/>
            <w:shd w:val="clear" w:color="auto" w:fill="CCEEFF"/>
            <w:tcMar>
              <w:top w:w="40" w:type="dxa"/>
              <w:left w:w="40" w:type="dxa"/>
              <w:bottom w:w="40" w:type="dxa"/>
              <w:right w:w="40" w:type="dxa"/>
            </w:tcMar>
            <w:vAlign w:val="bottom"/>
          </w:tcPr>
          <w:p w14:paraId="5556EE8C" w14:textId="77777777" w:rsidR="00F925DD" w:rsidRDefault="00E705D7">
            <w:pPr>
              <w:textAlignment w:val="bottom"/>
              <w:rPr>
                <w:rFonts w:ascii="Times New Roman" w:hAnsi="Times New Roman"/>
                <w:sz w:val="14"/>
                <w:szCs w:val="14"/>
              </w:rPr>
            </w:pPr>
            <w:r>
              <w:rPr>
                <w:rFonts w:ascii="Arial" w:eastAsia="宋体" w:hAnsi="Arial" w:cs="Arial"/>
                <w:sz w:val="14"/>
                <w:szCs w:val="14"/>
              </w:rPr>
              <w:t>Unrealized gains on investment securities, net</w:t>
            </w:r>
          </w:p>
        </w:tc>
        <w:tc>
          <w:tcPr>
            <w:tcW w:w="0" w:type="auto"/>
            <w:gridSpan w:val="2"/>
            <w:shd w:val="clear" w:color="auto" w:fill="CCEEFF"/>
            <w:tcMar>
              <w:top w:w="40" w:type="dxa"/>
              <w:left w:w="40" w:type="dxa"/>
              <w:bottom w:w="40" w:type="dxa"/>
            </w:tcMar>
            <w:vAlign w:val="bottom"/>
          </w:tcPr>
          <w:p w14:paraId="5556EE8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86</w:t>
            </w:r>
          </w:p>
        </w:tc>
        <w:tc>
          <w:tcPr>
            <w:tcW w:w="0" w:type="auto"/>
            <w:shd w:val="clear" w:color="auto" w:fill="CCEEFF"/>
            <w:vAlign w:val="bottom"/>
          </w:tcPr>
          <w:p w14:paraId="5556EE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E9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EE91" w14:textId="77777777" w:rsidR="00F925DD" w:rsidRDefault="00F925DD">
            <w:pPr>
              <w:textAlignment w:val="bottom"/>
              <w:rPr>
                <w:rFonts w:ascii="Times New Roman" w:hAnsi="Times New Roman"/>
                <w:sz w:val="20"/>
                <w:szCs w:val="20"/>
              </w:rPr>
            </w:pPr>
          </w:p>
        </w:tc>
      </w:tr>
      <w:tr w:rsidR="00F925DD" w14:paraId="5556EE99" w14:textId="77777777">
        <w:tc>
          <w:tcPr>
            <w:tcW w:w="0" w:type="auto"/>
            <w:shd w:val="clear" w:color="auto" w:fill="auto"/>
            <w:tcMar>
              <w:top w:w="40" w:type="dxa"/>
              <w:left w:w="40" w:type="dxa"/>
              <w:bottom w:w="40" w:type="dxa"/>
              <w:right w:w="40" w:type="dxa"/>
            </w:tcMar>
            <w:vAlign w:val="bottom"/>
          </w:tcPr>
          <w:p w14:paraId="5556EE93" w14:textId="77777777" w:rsidR="00F925DD" w:rsidRDefault="00E705D7">
            <w:pPr>
              <w:textAlignment w:val="bottom"/>
              <w:rPr>
                <w:rFonts w:ascii="Times New Roman" w:hAnsi="Times New Roman"/>
                <w:sz w:val="14"/>
                <w:szCs w:val="14"/>
              </w:rPr>
            </w:pPr>
            <w:r>
              <w:rPr>
                <w:rFonts w:ascii="Arial" w:eastAsia="宋体" w:hAnsi="Arial" w:cs="Arial"/>
                <w:sz w:val="14"/>
                <w:szCs w:val="14"/>
              </w:rPr>
              <w:t>Other</w:t>
            </w:r>
          </w:p>
        </w:tc>
        <w:tc>
          <w:tcPr>
            <w:tcW w:w="0" w:type="auto"/>
            <w:gridSpan w:val="2"/>
            <w:shd w:val="clear" w:color="auto" w:fill="auto"/>
            <w:tcMar>
              <w:top w:w="40" w:type="dxa"/>
              <w:left w:w="40" w:type="dxa"/>
              <w:bottom w:w="40" w:type="dxa"/>
            </w:tcMar>
            <w:vAlign w:val="bottom"/>
          </w:tcPr>
          <w:p w14:paraId="5556EE9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w:t>
            </w:r>
          </w:p>
        </w:tc>
        <w:tc>
          <w:tcPr>
            <w:tcW w:w="0" w:type="auto"/>
            <w:shd w:val="clear" w:color="auto" w:fill="auto"/>
            <w:vAlign w:val="bottom"/>
          </w:tcPr>
          <w:p w14:paraId="5556EE9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E9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w:t>
            </w:r>
          </w:p>
        </w:tc>
        <w:tc>
          <w:tcPr>
            <w:tcW w:w="0" w:type="auto"/>
            <w:shd w:val="clear" w:color="auto" w:fill="auto"/>
            <w:vAlign w:val="bottom"/>
          </w:tcPr>
          <w:p w14:paraId="5556EE98" w14:textId="77777777" w:rsidR="00F925DD" w:rsidRDefault="00F925DD">
            <w:pPr>
              <w:textAlignment w:val="bottom"/>
              <w:rPr>
                <w:rFonts w:ascii="Times New Roman" w:hAnsi="Times New Roman"/>
                <w:sz w:val="20"/>
                <w:szCs w:val="20"/>
              </w:rPr>
            </w:pPr>
          </w:p>
        </w:tc>
      </w:tr>
      <w:tr w:rsidR="00F925DD" w14:paraId="5556EEA2" w14:textId="77777777">
        <w:tc>
          <w:tcPr>
            <w:tcW w:w="0" w:type="auto"/>
            <w:shd w:val="clear" w:color="auto" w:fill="CCEEFF"/>
            <w:tcMar>
              <w:top w:w="40" w:type="dxa"/>
              <w:left w:w="240" w:type="dxa"/>
              <w:bottom w:w="40" w:type="dxa"/>
              <w:right w:w="40" w:type="dxa"/>
            </w:tcMar>
            <w:vAlign w:val="bottom"/>
          </w:tcPr>
          <w:p w14:paraId="5556EE9A"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deferred tax liabilities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E9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E9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1,362</w:t>
            </w:r>
          </w:p>
        </w:tc>
        <w:tc>
          <w:tcPr>
            <w:tcW w:w="0" w:type="auto"/>
            <w:tcBorders>
              <w:top w:val="single" w:sz="8" w:space="0" w:color="000000"/>
              <w:bottom w:val="double" w:sz="6" w:space="0" w:color="000000"/>
            </w:tcBorders>
            <w:shd w:val="clear" w:color="auto" w:fill="CCEEFF"/>
            <w:vAlign w:val="bottom"/>
          </w:tcPr>
          <w:p w14:paraId="5556EE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E9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EA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984</w:t>
            </w:r>
          </w:p>
        </w:tc>
        <w:tc>
          <w:tcPr>
            <w:tcW w:w="0" w:type="auto"/>
            <w:tcBorders>
              <w:top w:val="single" w:sz="8" w:space="0" w:color="000000"/>
              <w:bottom w:val="double" w:sz="6" w:space="0" w:color="000000"/>
            </w:tcBorders>
            <w:shd w:val="clear" w:color="auto" w:fill="CCEEFF"/>
            <w:vAlign w:val="bottom"/>
          </w:tcPr>
          <w:p w14:paraId="5556EEA1" w14:textId="77777777" w:rsidR="00F925DD" w:rsidRDefault="00F925DD">
            <w:pPr>
              <w:textAlignment w:val="bottom"/>
              <w:rPr>
                <w:rFonts w:ascii="Times New Roman" w:hAnsi="Times New Roman"/>
                <w:sz w:val="20"/>
                <w:szCs w:val="20"/>
              </w:rPr>
            </w:pPr>
          </w:p>
        </w:tc>
      </w:tr>
    </w:tbl>
    <w:p w14:paraId="5556EEA3" w14:textId="77777777" w:rsidR="00F925DD" w:rsidRDefault="00F925DD"/>
    <w:p w14:paraId="5556EEA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table below summarizes the deferred tax assets and related valuation allowances recognized as of December 31, 2019: </w:t>
      </w:r>
    </w:p>
    <w:tbl>
      <w:tblPr>
        <w:tblW w:w="4990" w:type="pct"/>
        <w:tblCellMar>
          <w:left w:w="0" w:type="dxa"/>
          <w:right w:w="0" w:type="dxa"/>
        </w:tblCellMar>
        <w:tblLook w:val="04A0" w:firstRow="1" w:lastRow="0" w:firstColumn="1" w:lastColumn="0" w:noHBand="0" w:noVBand="1"/>
      </w:tblPr>
      <w:tblGrid>
        <w:gridCol w:w="2476"/>
        <w:gridCol w:w="119"/>
        <w:gridCol w:w="1232"/>
        <w:gridCol w:w="72"/>
        <w:gridCol w:w="155"/>
        <w:gridCol w:w="119"/>
        <w:gridCol w:w="1481"/>
        <w:gridCol w:w="87"/>
        <w:gridCol w:w="155"/>
        <w:gridCol w:w="2393"/>
      </w:tblGrid>
      <w:tr w:rsidR="00F925DD" w14:paraId="5556EEA6" w14:textId="77777777">
        <w:tc>
          <w:tcPr>
            <w:tcW w:w="0" w:type="auto"/>
            <w:gridSpan w:val="10"/>
            <w:shd w:val="clear" w:color="auto" w:fill="auto"/>
            <w:vAlign w:val="center"/>
          </w:tcPr>
          <w:p w14:paraId="5556EEA5" w14:textId="77777777" w:rsidR="00F925DD" w:rsidRDefault="00F925DD">
            <w:pPr>
              <w:rPr>
                <w:rFonts w:ascii="Times New Roman" w:hAnsi="Times New Roman"/>
                <w:sz w:val="20"/>
                <w:szCs w:val="20"/>
              </w:rPr>
            </w:pPr>
          </w:p>
        </w:tc>
      </w:tr>
      <w:tr w:rsidR="00F925DD" w14:paraId="5556EEB1" w14:textId="77777777">
        <w:tc>
          <w:tcPr>
            <w:tcW w:w="1500" w:type="pct"/>
            <w:shd w:val="clear" w:color="auto" w:fill="auto"/>
            <w:vAlign w:val="center"/>
          </w:tcPr>
          <w:p w14:paraId="5556EEA7" w14:textId="77777777" w:rsidR="00F925DD" w:rsidRDefault="00F925DD">
            <w:pPr>
              <w:rPr>
                <w:rFonts w:ascii="Times New Roman" w:hAnsi="Times New Roman"/>
                <w:sz w:val="20"/>
                <w:szCs w:val="20"/>
              </w:rPr>
            </w:pPr>
          </w:p>
        </w:tc>
        <w:tc>
          <w:tcPr>
            <w:tcW w:w="50" w:type="pct"/>
            <w:shd w:val="clear" w:color="auto" w:fill="auto"/>
            <w:vAlign w:val="center"/>
          </w:tcPr>
          <w:p w14:paraId="5556EEA8" w14:textId="77777777" w:rsidR="00F925DD" w:rsidRDefault="00F925DD">
            <w:pPr>
              <w:rPr>
                <w:rFonts w:ascii="Times New Roman" w:hAnsi="Times New Roman"/>
                <w:sz w:val="20"/>
                <w:szCs w:val="20"/>
              </w:rPr>
            </w:pPr>
          </w:p>
        </w:tc>
        <w:tc>
          <w:tcPr>
            <w:tcW w:w="750" w:type="pct"/>
            <w:shd w:val="clear" w:color="auto" w:fill="auto"/>
            <w:vAlign w:val="center"/>
          </w:tcPr>
          <w:p w14:paraId="5556EEA9" w14:textId="77777777" w:rsidR="00F925DD" w:rsidRDefault="00F925DD">
            <w:pPr>
              <w:rPr>
                <w:rFonts w:ascii="Times New Roman" w:hAnsi="Times New Roman"/>
                <w:sz w:val="20"/>
                <w:szCs w:val="20"/>
              </w:rPr>
            </w:pPr>
          </w:p>
        </w:tc>
        <w:tc>
          <w:tcPr>
            <w:tcW w:w="50" w:type="pct"/>
            <w:shd w:val="clear" w:color="auto" w:fill="auto"/>
            <w:vAlign w:val="center"/>
          </w:tcPr>
          <w:p w14:paraId="5556EEAA" w14:textId="77777777" w:rsidR="00F925DD" w:rsidRDefault="00F925DD">
            <w:pPr>
              <w:rPr>
                <w:rFonts w:ascii="Times New Roman" w:hAnsi="Times New Roman"/>
                <w:sz w:val="20"/>
                <w:szCs w:val="20"/>
              </w:rPr>
            </w:pPr>
          </w:p>
        </w:tc>
        <w:tc>
          <w:tcPr>
            <w:tcW w:w="100" w:type="pct"/>
            <w:shd w:val="clear" w:color="auto" w:fill="auto"/>
            <w:vAlign w:val="center"/>
          </w:tcPr>
          <w:p w14:paraId="5556EEAB" w14:textId="77777777" w:rsidR="00F925DD" w:rsidRDefault="00F925DD">
            <w:pPr>
              <w:rPr>
                <w:rFonts w:ascii="Times New Roman" w:hAnsi="Times New Roman"/>
                <w:sz w:val="20"/>
                <w:szCs w:val="20"/>
              </w:rPr>
            </w:pPr>
          </w:p>
        </w:tc>
        <w:tc>
          <w:tcPr>
            <w:tcW w:w="50" w:type="pct"/>
            <w:shd w:val="clear" w:color="auto" w:fill="auto"/>
            <w:vAlign w:val="center"/>
          </w:tcPr>
          <w:p w14:paraId="5556EEAC" w14:textId="77777777" w:rsidR="00F925DD" w:rsidRDefault="00F925DD">
            <w:pPr>
              <w:rPr>
                <w:rFonts w:ascii="Times New Roman" w:hAnsi="Times New Roman"/>
                <w:sz w:val="20"/>
                <w:szCs w:val="20"/>
              </w:rPr>
            </w:pPr>
          </w:p>
        </w:tc>
        <w:tc>
          <w:tcPr>
            <w:tcW w:w="900" w:type="pct"/>
            <w:shd w:val="clear" w:color="auto" w:fill="auto"/>
            <w:vAlign w:val="center"/>
          </w:tcPr>
          <w:p w14:paraId="5556EEAD" w14:textId="77777777" w:rsidR="00F925DD" w:rsidRDefault="00F925DD">
            <w:pPr>
              <w:rPr>
                <w:rFonts w:ascii="Times New Roman" w:hAnsi="Times New Roman"/>
                <w:sz w:val="20"/>
                <w:szCs w:val="20"/>
              </w:rPr>
            </w:pPr>
          </w:p>
        </w:tc>
        <w:tc>
          <w:tcPr>
            <w:tcW w:w="50" w:type="pct"/>
            <w:shd w:val="clear" w:color="auto" w:fill="auto"/>
            <w:vAlign w:val="center"/>
          </w:tcPr>
          <w:p w14:paraId="5556EEAE" w14:textId="77777777" w:rsidR="00F925DD" w:rsidRDefault="00F925DD">
            <w:pPr>
              <w:rPr>
                <w:rFonts w:ascii="Times New Roman" w:hAnsi="Times New Roman"/>
                <w:sz w:val="20"/>
                <w:szCs w:val="20"/>
              </w:rPr>
            </w:pPr>
          </w:p>
        </w:tc>
        <w:tc>
          <w:tcPr>
            <w:tcW w:w="100" w:type="pct"/>
            <w:shd w:val="clear" w:color="auto" w:fill="auto"/>
            <w:vAlign w:val="center"/>
          </w:tcPr>
          <w:p w14:paraId="5556EEAF" w14:textId="77777777" w:rsidR="00F925DD" w:rsidRDefault="00F925DD">
            <w:pPr>
              <w:rPr>
                <w:rFonts w:ascii="Times New Roman" w:hAnsi="Times New Roman"/>
                <w:sz w:val="20"/>
                <w:szCs w:val="20"/>
              </w:rPr>
            </w:pPr>
          </w:p>
        </w:tc>
        <w:tc>
          <w:tcPr>
            <w:tcW w:w="1450" w:type="pct"/>
            <w:shd w:val="clear" w:color="auto" w:fill="auto"/>
            <w:vAlign w:val="center"/>
          </w:tcPr>
          <w:p w14:paraId="5556EEB0" w14:textId="77777777" w:rsidR="00F925DD" w:rsidRDefault="00F925DD">
            <w:pPr>
              <w:rPr>
                <w:rFonts w:ascii="Times New Roman" w:hAnsi="Times New Roman"/>
                <w:sz w:val="20"/>
                <w:szCs w:val="20"/>
              </w:rPr>
            </w:pPr>
          </w:p>
        </w:tc>
      </w:tr>
      <w:tr w:rsidR="00F925DD" w14:paraId="5556EEB8" w14:textId="77777777">
        <w:tc>
          <w:tcPr>
            <w:tcW w:w="0" w:type="auto"/>
            <w:shd w:val="clear" w:color="auto" w:fill="auto"/>
            <w:tcMar>
              <w:top w:w="40" w:type="dxa"/>
              <w:left w:w="40" w:type="dxa"/>
              <w:bottom w:w="40" w:type="dxa"/>
              <w:right w:w="40" w:type="dxa"/>
            </w:tcMar>
            <w:vAlign w:val="bottom"/>
          </w:tcPr>
          <w:p w14:paraId="5556EEB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EB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Deferred Tax Asset</w:t>
            </w:r>
          </w:p>
        </w:tc>
        <w:tc>
          <w:tcPr>
            <w:tcW w:w="0" w:type="auto"/>
            <w:shd w:val="clear" w:color="auto" w:fill="auto"/>
            <w:tcMar>
              <w:top w:w="40" w:type="dxa"/>
              <w:left w:w="40" w:type="dxa"/>
              <w:bottom w:w="40" w:type="dxa"/>
              <w:right w:w="40" w:type="dxa"/>
            </w:tcMar>
            <w:vAlign w:val="bottom"/>
          </w:tcPr>
          <w:p w14:paraId="5556EE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EB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Valuation Allowance</w:t>
            </w:r>
          </w:p>
        </w:tc>
        <w:tc>
          <w:tcPr>
            <w:tcW w:w="0" w:type="auto"/>
            <w:shd w:val="clear" w:color="auto" w:fill="auto"/>
            <w:tcMar>
              <w:top w:w="40" w:type="dxa"/>
              <w:left w:w="40" w:type="dxa"/>
              <w:bottom w:w="40" w:type="dxa"/>
              <w:right w:w="40" w:type="dxa"/>
            </w:tcMar>
            <w:vAlign w:val="bottom"/>
          </w:tcPr>
          <w:p w14:paraId="5556EE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6EEB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Expiration</w:t>
            </w:r>
          </w:p>
        </w:tc>
      </w:tr>
      <w:tr w:rsidR="00F925DD" w14:paraId="5556EEC3" w14:textId="77777777">
        <w:tc>
          <w:tcPr>
            <w:tcW w:w="0" w:type="auto"/>
            <w:shd w:val="clear" w:color="auto" w:fill="CCEEFF"/>
            <w:tcMar>
              <w:top w:w="40" w:type="dxa"/>
              <w:left w:w="40" w:type="dxa"/>
              <w:bottom w:w="40" w:type="dxa"/>
              <w:right w:w="40" w:type="dxa"/>
            </w:tcMar>
            <w:vAlign w:val="center"/>
          </w:tcPr>
          <w:p w14:paraId="5556EEB9" w14:textId="77777777" w:rsidR="00F925DD" w:rsidRDefault="00E705D7">
            <w:pPr>
              <w:textAlignment w:val="center"/>
              <w:rPr>
                <w:rFonts w:ascii="Times New Roman" w:hAnsi="Times New Roman"/>
                <w:sz w:val="14"/>
                <w:szCs w:val="14"/>
              </w:rPr>
            </w:pPr>
            <w:r>
              <w:rPr>
                <w:rFonts w:ascii="Arial" w:eastAsia="宋体" w:hAnsi="Arial" w:cs="Arial"/>
                <w:sz w:val="14"/>
                <w:szCs w:val="14"/>
              </w:rPr>
              <w:t>Other amortizable assets</w:t>
            </w:r>
          </w:p>
        </w:tc>
        <w:tc>
          <w:tcPr>
            <w:tcW w:w="0" w:type="auto"/>
            <w:shd w:val="clear" w:color="auto" w:fill="CCEEFF"/>
            <w:tcMar>
              <w:top w:w="40" w:type="dxa"/>
              <w:left w:w="40" w:type="dxa"/>
              <w:bottom w:w="40" w:type="dxa"/>
            </w:tcMar>
            <w:vAlign w:val="center"/>
          </w:tcPr>
          <w:p w14:paraId="5556EEBA"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center"/>
          </w:tcPr>
          <w:p w14:paraId="5556EEBB"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394</w:t>
            </w:r>
          </w:p>
        </w:tc>
        <w:tc>
          <w:tcPr>
            <w:tcW w:w="0" w:type="auto"/>
            <w:shd w:val="clear" w:color="auto" w:fill="CCEEFF"/>
            <w:vAlign w:val="bottom"/>
          </w:tcPr>
          <w:p w14:paraId="5556EEB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5556EEBE"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center"/>
          </w:tcPr>
          <w:p w14:paraId="5556EEBF"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(243</w:t>
            </w:r>
          </w:p>
        </w:tc>
        <w:tc>
          <w:tcPr>
            <w:tcW w:w="0" w:type="auto"/>
            <w:tcBorders>
              <w:top w:val="single" w:sz="8" w:space="0" w:color="000000"/>
            </w:tcBorders>
            <w:shd w:val="clear" w:color="auto" w:fill="CCEEFF"/>
            <w:tcMar>
              <w:top w:w="40" w:type="dxa"/>
              <w:bottom w:w="40" w:type="dxa"/>
              <w:right w:w="40" w:type="dxa"/>
            </w:tcMar>
            <w:vAlign w:val="center"/>
          </w:tcPr>
          <w:p w14:paraId="5556EEC0"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E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EC2" w14:textId="77777777" w:rsidR="00F925DD" w:rsidRDefault="00E705D7">
            <w:pPr>
              <w:textAlignment w:val="center"/>
              <w:rPr>
                <w:rFonts w:ascii="Times New Roman" w:hAnsi="Times New Roman"/>
                <w:sz w:val="14"/>
                <w:szCs w:val="14"/>
              </w:rPr>
            </w:pPr>
            <w:r>
              <w:rPr>
                <w:rFonts w:ascii="Arial" w:eastAsia="宋体" w:hAnsi="Arial" w:cs="Arial"/>
                <w:sz w:val="14"/>
                <w:szCs w:val="14"/>
              </w:rPr>
              <w:t>__</w:t>
            </w:r>
          </w:p>
        </w:tc>
      </w:tr>
      <w:tr w:rsidR="00F925DD" w14:paraId="5556EECC" w14:textId="77777777">
        <w:tc>
          <w:tcPr>
            <w:tcW w:w="0" w:type="auto"/>
            <w:shd w:val="clear" w:color="auto" w:fill="auto"/>
            <w:tcMar>
              <w:top w:w="40" w:type="dxa"/>
              <w:left w:w="40" w:type="dxa"/>
              <w:bottom w:w="40" w:type="dxa"/>
              <w:right w:w="40" w:type="dxa"/>
            </w:tcMar>
            <w:vAlign w:val="center"/>
          </w:tcPr>
          <w:p w14:paraId="5556EEC4" w14:textId="77777777" w:rsidR="00F925DD" w:rsidRDefault="00E705D7">
            <w:pPr>
              <w:textAlignment w:val="center"/>
              <w:rPr>
                <w:rFonts w:ascii="Times New Roman" w:hAnsi="Times New Roman"/>
                <w:sz w:val="14"/>
                <w:szCs w:val="14"/>
              </w:rPr>
            </w:pPr>
            <w:r>
              <w:rPr>
                <w:rFonts w:ascii="Arial" w:eastAsia="宋体" w:hAnsi="Arial" w:cs="Arial"/>
                <w:sz w:val="14"/>
                <w:szCs w:val="14"/>
              </w:rPr>
              <w:t>Tax credits</w:t>
            </w:r>
          </w:p>
        </w:tc>
        <w:tc>
          <w:tcPr>
            <w:tcW w:w="0" w:type="auto"/>
            <w:gridSpan w:val="2"/>
            <w:shd w:val="clear" w:color="auto" w:fill="auto"/>
            <w:tcMar>
              <w:top w:w="40" w:type="dxa"/>
              <w:left w:w="40" w:type="dxa"/>
              <w:bottom w:w="40" w:type="dxa"/>
            </w:tcMar>
            <w:vAlign w:val="center"/>
          </w:tcPr>
          <w:p w14:paraId="5556EEC5"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387</w:t>
            </w:r>
          </w:p>
        </w:tc>
        <w:tc>
          <w:tcPr>
            <w:tcW w:w="0" w:type="auto"/>
            <w:shd w:val="clear" w:color="auto" w:fill="auto"/>
            <w:vAlign w:val="bottom"/>
          </w:tcPr>
          <w:p w14:paraId="5556EEC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EEC8"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(29</w:t>
            </w:r>
          </w:p>
        </w:tc>
        <w:tc>
          <w:tcPr>
            <w:tcW w:w="0" w:type="auto"/>
            <w:shd w:val="clear" w:color="auto" w:fill="auto"/>
            <w:tcMar>
              <w:top w:w="40" w:type="dxa"/>
              <w:bottom w:w="40" w:type="dxa"/>
              <w:right w:w="40" w:type="dxa"/>
            </w:tcMar>
            <w:vAlign w:val="center"/>
          </w:tcPr>
          <w:p w14:paraId="5556EEC9"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E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ECB" w14:textId="77777777" w:rsidR="00F925DD" w:rsidRDefault="00E705D7">
            <w:pPr>
              <w:textAlignment w:val="center"/>
              <w:rPr>
                <w:rFonts w:ascii="Times New Roman" w:hAnsi="Times New Roman"/>
                <w:sz w:val="14"/>
                <w:szCs w:val="14"/>
              </w:rPr>
            </w:pPr>
            <w:r>
              <w:rPr>
                <w:rFonts w:ascii="Arial" w:eastAsia="宋体" w:hAnsi="Arial" w:cs="Arial"/>
                <w:sz w:val="14"/>
                <w:szCs w:val="14"/>
              </w:rPr>
              <w:t>2029-2039</w:t>
            </w:r>
          </w:p>
        </w:tc>
      </w:tr>
      <w:tr w:rsidR="00F925DD" w14:paraId="5556EED5" w14:textId="77777777">
        <w:tc>
          <w:tcPr>
            <w:tcW w:w="0" w:type="auto"/>
            <w:shd w:val="clear" w:color="auto" w:fill="CCEEFF"/>
            <w:tcMar>
              <w:top w:w="40" w:type="dxa"/>
              <w:left w:w="40" w:type="dxa"/>
              <w:bottom w:w="40" w:type="dxa"/>
              <w:right w:w="40" w:type="dxa"/>
            </w:tcMar>
            <w:vAlign w:val="center"/>
          </w:tcPr>
          <w:p w14:paraId="5556EECD" w14:textId="77777777" w:rsidR="00F925DD" w:rsidRDefault="00E705D7">
            <w:pPr>
              <w:textAlignment w:val="center"/>
              <w:rPr>
                <w:rFonts w:ascii="Times New Roman" w:hAnsi="Times New Roman"/>
                <w:sz w:val="14"/>
                <w:szCs w:val="14"/>
              </w:rPr>
            </w:pPr>
            <w:r>
              <w:rPr>
                <w:rFonts w:ascii="Arial" w:eastAsia="宋体" w:hAnsi="Arial" w:cs="Arial"/>
                <w:sz w:val="14"/>
                <w:szCs w:val="14"/>
              </w:rPr>
              <w:t>NOLs - Non-U.S.</w:t>
            </w:r>
          </w:p>
        </w:tc>
        <w:tc>
          <w:tcPr>
            <w:tcW w:w="0" w:type="auto"/>
            <w:gridSpan w:val="2"/>
            <w:shd w:val="clear" w:color="auto" w:fill="CCEEFF"/>
            <w:tcMar>
              <w:top w:w="40" w:type="dxa"/>
              <w:left w:w="40" w:type="dxa"/>
              <w:bottom w:w="40" w:type="dxa"/>
            </w:tcMar>
            <w:vAlign w:val="center"/>
          </w:tcPr>
          <w:p w14:paraId="5556EECE"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33</w:t>
            </w:r>
          </w:p>
        </w:tc>
        <w:tc>
          <w:tcPr>
            <w:tcW w:w="0" w:type="auto"/>
            <w:shd w:val="clear" w:color="auto" w:fill="CCEEFF"/>
            <w:vAlign w:val="bottom"/>
          </w:tcPr>
          <w:p w14:paraId="5556EEC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EED1"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(18</w:t>
            </w:r>
          </w:p>
        </w:tc>
        <w:tc>
          <w:tcPr>
            <w:tcW w:w="0" w:type="auto"/>
            <w:shd w:val="clear" w:color="auto" w:fill="CCEEFF"/>
            <w:tcMar>
              <w:top w:w="40" w:type="dxa"/>
              <w:bottom w:w="40" w:type="dxa"/>
              <w:right w:w="40" w:type="dxa"/>
            </w:tcMar>
            <w:vAlign w:val="center"/>
          </w:tcPr>
          <w:p w14:paraId="5556EED2"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E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ED4" w14:textId="77777777" w:rsidR="00F925DD" w:rsidRDefault="00E705D7">
            <w:pPr>
              <w:textAlignment w:val="center"/>
              <w:rPr>
                <w:rFonts w:ascii="Times New Roman" w:hAnsi="Times New Roman"/>
                <w:sz w:val="14"/>
                <w:szCs w:val="14"/>
              </w:rPr>
            </w:pPr>
            <w:r>
              <w:rPr>
                <w:rFonts w:ascii="Arial" w:eastAsia="宋体" w:hAnsi="Arial" w:cs="Arial"/>
                <w:sz w:val="14"/>
                <w:szCs w:val="14"/>
              </w:rPr>
              <w:t>2020-2028, None</w:t>
            </w:r>
          </w:p>
        </w:tc>
      </w:tr>
      <w:tr w:rsidR="00F925DD" w14:paraId="5556EEDE" w14:textId="77777777">
        <w:tc>
          <w:tcPr>
            <w:tcW w:w="0" w:type="auto"/>
            <w:shd w:val="clear" w:color="auto" w:fill="auto"/>
            <w:tcMar>
              <w:top w:w="40" w:type="dxa"/>
              <w:left w:w="40" w:type="dxa"/>
              <w:bottom w:w="40" w:type="dxa"/>
              <w:right w:w="40" w:type="dxa"/>
            </w:tcMar>
            <w:vAlign w:val="center"/>
          </w:tcPr>
          <w:p w14:paraId="5556EED6" w14:textId="77777777" w:rsidR="00F925DD" w:rsidRDefault="00E705D7">
            <w:pPr>
              <w:textAlignment w:val="center"/>
              <w:rPr>
                <w:rFonts w:ascii="Times New Roman" w:hAnsi="Times New Roman"/>
                <w:sz w:val="14"/>
                <w:szCs w:val="14"/>
              </w:rPr>
            </w:pPr>
            <w:r>
              <w:rPr>
                <w:rFonts w:ascii="Arial" w:eastAsia="宋体" w:hAnsi="Arial" w:cs="Arial"/>
                <w:sz w:val="14"/>
                <w:szCs w:val="14"/>
              </w:rPr>
              <w:t>Other carryforwards</w:t>
            </w:r>
          </w:p>
        </w:tc>
        <w:tc>
          <w:tcPr>
            <w:tcW w:w="0" w:type="auto"/>
            <w:gridSpan w:val="2"/>
            <w:shd w:val="clear" w:color="auto" w:fill="auto"/>
            <w:tcMar>
              <w:top w:w="40" w:type="dxa"/>
              <w:left w:w="40" w:type="dxa"/>
              <w:bottom w:w="40" w:type="dxa"/>
            </w:tcMar>
            <w:vAlign w:val="center"/>
          </w:tcPr>
          <w:p w14:paraId="5556EED7"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27</w:t>
            </w:r>
          </w:p>
        </w:tc>
        <w:tc>
          <w:tcPr>
            <w:tcW w:w="0" w:type="auto"/>
            <w:shd w:val="clear" w:color="auto" w:fill="auto"/>
            <w:vAlign w:val="bottom"/>
          </w:tcPr>
          <w:p w14:paraId="5556EED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E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5556EEDA"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(27</w:t>
            </w:r>
          </w:p>
        </w:tc>
        <w:tc>
          <w:tcPr>
            <w:tcW w:w="0" w:type="auto"/>
            <w:shd w:val="clear" w:color="auto" w:fill="auto"/>
            <w:tcMar>
              <w:top w:w="40" w:type="dxa"/>
              <w:bottom w:w="40" w:type="dxa"/>
              <w:right w:w="40" w:type="dxa"/>
            </w:tcMar>
            <w:vAlign w:val="center"/>
          </w:tcPr>
          <w:p w14:paraId="5556EEDB"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E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6EEDD" w14:textId="77777777" w:rsidR="00F925DD" w:rsidRDefault="00E705D7">
            <w:pPr>
              <w:textAlignment w:val="center"/>
              <w:rPr>
                <w:rFonts w:ascii="Times New Roman" w:hAnsi="Times New Roman"/>
                <w:sz w:val="14"/>
                <w:szCs w:val="14"/>
              </w:rPr>
            </w:pPr>
            <w:r>
              <w:rPr>
                <w:rFonts w:ascii="Arial" w:eastAsia="宋体" w:hAnsi="Arial" w:cs="Arial"/>
                <w:sz w:val="14"/>
                <w:szCs w:val="14"/>
              </w:rPr>
              <w:t>None</w:t>
            </w:r>
          </w:p>
        </w:tc>
      </w:tr>
      <w:tr w:rsidR="00F925DD" w14:paraId="5556EEE7" w14:textId="77777777">
        <w:tc>
          <w:tcPr>
            <w:tcW w:w="0" w:type="auto"/>
            <w:shd w:val="clear" w:color="auto" w:fill="CCEEFF"/>
            <w:tcMar>
              <w:top w:w="40" w:type="dxa"/>
              <w:left w:w="40" w:type="dxa"/>
              <w:bottom w:w="40" w:type="dxa"/>
              <w:right w:w="40" w:type="dxa"/>
            </w:tcMar>
            <w:vAlign w:val="center"/>
          </w:tcPr>
          <w:p w14:paraId="5556EEDF" w14:textId="77777777" w:rsidR="00F925DD" w:rsidRDefault="00E705D7">
            <w:pPr>
              <w:textAlignment w:val="center"/>
              <w:rPr>
                <w:rFonts w:ascii="Times New Roman" w:hAnsi="Times New Roman"/>
                <w:sz w:val="14"/>
                <w:szCs w:val="14"/>
              </w:rPr>
            </w:pPr>
            <w:r>
              <w:rPr>
                <w:rFonts w:ascii="Arial" w:eastAsia="宋体" w:hAnsi="Arial" w:cs="Arial"/>
                <w:sz w:val="14"/>
                <w:szCs w:val="14"/>
              </w:rPr>
              <w:t>NOLs - State</w:t>
            </w:r>
          </w:p>
        </w:tc>
        <w:tc>
          <w:tcPr>
            <w:tcW w:w="0" w:type="auto"/>
            <w:gridSpan w:val="2"/>
            <w:shd w:val="clear" w:color="auto" w:fill="CCEEFF"/>
            <w:tcMar>
              <w:top w:w="40" w:type="dxa"/>
              <w:left w:w="40" w:type="dxa"/>
              <w:bottom w:w="40" w:type="dxa"/>
            </w:tcMar>
            <w:vAlign w:val="center"/>
          </w:tcPr>
          <w:p w14:paraId="5556EEE0"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13</w:t>
            </w:r>
          </w:p>
        </w:tc>
        <w:tc>
          <w:tcPr>
            <w:tcW w:w="0" w:type="auto"/>
            <w:shd w:val="clear" w:color="auto" w:fill="CCEEFF"/>
            <w:vAlign w:val="bottom"/>
          </w:tcPr>
          <w:p w14:paraId="5556EE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E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5556EEE3" w14:textId="77777777" w:rsidR="00F925DD" w:rsidRDefault="00E705D7">
            <w:pPr>
              <w:jc w:val="right"/>
              <w:textAlignment w:val="center"/>
              <w:rPr>
                <w:rFonts w:ascii="Times New Roman" w:hAnsi="Times New Roman"/>
                <w:sz w:val="14"/>
                <w:szCs w:val="14"/>
              </w:rPr>
            </w:pPr>
            <w:r>
              <w:rPr>
                <w:rFonts w:ascii="Arial" w:eastAsia="宋体" w:hAnsi="Arial" w:cs="Arial"/>
                <w:b/>
                <w:bCs/>
                <w:sz w:val="14"/>
                <w:szCs w:val="14"/>
              </w:rPr>
              <w:t>(13</w:t>
            </w:r>
          </w:p>
        </w:tc>
        <w:tc>
          <w:tcPr>
            <w:tcW w:w="0" w:type="auto"/>
            <w:shd w:val="clear" w:color="auto" w:fill="CCEEFF"/>
            <w:tcMar>
              <w:top w:w="40" w:type="dxa"/>
              <w:bottom w:w="40" w:type="dxa"/>
              <w:right w:w="40" w:type="dxa"/>
            </w:tcMar>
            <w:vAlign w:val="center"/>
          </w:tcPr>
          <w:p w14:paraId="5556EEE4" w14:textId="77777777" w:rsidR="00F925DD" w:rsidRDefault="00E705D7">
            <w:pPr>
              <w:textAlignment w:val="center"/>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E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center"/>
          </w:tcPr>
          <w:p w14:paraId="5556EEE6" w14:textId="77777777" w:rsidR="00F925DD" w:rsidRDefault="00E705D7">
            <w:pPr>
              <w:textAlignment w:val="center"/>
              <w:rPr>
                <w:rFonts w:ascii="Times New Roman" w:hAnsi="Times New Roman"/>
                <w:sz w:val="14"/>
                <w:szCs w:val="14"/>
              </w:rPr>
            </w:pPr>
            <w:r>
              <w:rPr>
                <w:rFonts w:ascii="Arial" w:eastAsia="宋体" w:hAnsi="Arial" w:cs="Arial"/>
                <w:sz w:val="14"/>
                <w:szCs w:val="14"/>
              </w:rPr>
              <w:t>2020-2039</w:t>
            </w:r>
          </w:p>
        </w:tc>
      </w:tr>
    </w:tbl>
    <w:p w14:paraId="5556EEE8" w14:textId="77777777" w:rsidR="00F925DD" w:rsidRDefault="00F925DD">
      <w:pPr>
        <w:spacing w:line="288" w:lineRule="auto"/>
        <w:jc w:val="both"/>
        <w:rPr>
          <w:rFonts w:ascii="Times New Roman" w:hAnsi="Times New Roman"/>
          <w:sz w:val="20"/>
          <w:szCs w:val="20"/>
        </w:rPr>
      </w:pPr>
    </w:p>
    <w:p w14:paraId="5556EEE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Management considers the valuation allowance adequate to reduce the total deferred tax assets to an aggregate amount that will more likely than not be realized. Management has determined that a valuation allowance is not required for the remaining deferred</w:t>
      </w:r>
      <w:r>
        <w:rPr>
          <w:rFonts w:ascii="Arial" w:eastAsia="宋体" w:hAnsi="Arial" w:cs="Arial"/>
          <w:sz w:val="20"/>
          <w:szCs w:val="20"/>
        </w:rPr>
        <w:t xml:space="preserve"> tax assets because it is more likely than not that there is </w:t>
      </w:r>
    </w:p>
    <w:p w14:paraId="5556EEEA"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EEEB"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sufficient taxable income of the appropriate nature within the carryforward periods to realize these assets. </w:t>
      </w:r>
    </w:p>
    <w:p w14:paraId="5556EEE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At December 31, 2019, 2018 and 2017, the gross unrecognized tax benefits, excludin</w:t>
      </w:r>
      <w:r>
        <w:rPr>
          <w:rFonts w:ascii="Arial" w:eastAsia="宋体" w:hAnsi="Arial" w:cs="Arial"/>
          <w:sz w:val="20"/>
          <w:szCs w:val="20"/>
        </w:rPr>
        <w:t>g interest, were $149 million, $108 million and $94 million, respectively. Of this, the amounts that would reduce the effective tax rate, if recognized, are $140 million, $100 million and $87 million, respectively. The reduction in the effective tax rate i</w:t>
      </w:r>
      <w:r>
        <w:rPr>
          <w:rFonts w:ascii="Arial" w:eastAsia="宋体" w:hAnsi="Arial" w:cs="Arial"/>
          <w:sz w:val="20"/>
          <w:szCs w:val="20"/>
        </w:rPr>
        <w:t xml:space="preserve">ncludes the federal benefit for unrecognized state tax benefits. </w:t>
      </w:r>
    </w:p>
    <w:p w14:paraId="5556EEE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 presents activity related to unrecognized tax benefits as of the dates indicated: </w:t>
      </w:r>
    </w:p>
    <w:tbl>
      <w:tblPr>
        <w:tblW w:w="4990" w:type="pct"/>
        <w:tblCellMar>
          <w:left w:w="0" w:type="dxa"/>
          <w:right w:w="0" w:type="dxa"/>
        </w:tblCellMar>
        <w:tblLook w:val="04A0" w:firstRow="1" w:lastRow="0" w:firstColumn="1" w:lastColumn="0" w:noHBand="0" w:noVBand="1"/>
      </w:tblPr>
      <w:tblGrid>
        <w:gridCol w:w="4207"/>
        <w:gridCol w:w="118"/>
        <w:gridCol w:w="1058"/>
        <w:gridCol w:w="87"/>
        <w:gridCol w:w="146"/>
        <w:gridCol w:w="118"/>
        <w:gridCol w:w="1058"/>
        <w:gridCol w:w="87"/>
        <w:gridCol w:w="146"/>
        <w:gridCol w:w="119"/>
        <w:gridCol w:w="1058"/>
        <w:gridCol w:w="87"/>
      </w:tblGrid>
      <w:tr w:rsidR="00F925DD" w14:paraId="5556EEEF" w14:textId="77777777">
        <w:tc>
          <w:tcPr>
            <w:tcW w:w="0" w:type="auto"/>
            <w:gridSpan w:val="12"/>
            <w:shd w:val="clear" w:color="auto" w:fill="auto"/>
            <w:vAlign w:val="center"/>
          </w:tcPr>
          <w:p w14:paraId="5556EEEE" w14:textId="77777777" w:rsidR="00F925DD" w:rsidRDefault="00F925DD">
            <w:pPr>
              <w:rPr>
                <w:rFonts w:ascii="Times New Roman" w:hAnsi="Times New Roman"/>
                <w:sz w:val="20"/>
                <w:szCs w:val="20"/>
              </w:rPr>
            </w:pPr>
          </w:p>
        </w:tc>
      </w:tr>
      <w:tr w:rsidR="00F925DD" w14:paraId="5556EEFC" w14:textId="77777777">
        <w:tc>
          <w:tcPr>
            <w:tcW w:w="2550" w:type="pct"/>
            <w:shd w:val="clear" w:color="auto" w:fill="auto"/>
            <w:vAlign w:val="center"/>
          </w:tcPr>
          <w:p w14:paraId="5556EEF0" w14:textId="77777777" w:rsidR="00F925DD" w:rsidRDefault="00F925DD">
            <w:pPr>
              <w:rPr>
                <w:rFonts w:ascii="Times New Roman" w:hAnsi="Times New Roman"/>
                <w:sz w:val="20"/>
                <w:szCs w:val="20"/>
              </w:rPr>
            </w:pPr>
          </w:p>
        </w:tc>
        <w:tc>
          <w:tcPr>
            <w:tcW w:w="50" w:type="pct"/>
            <w:shd w:val="clear" w:color="auto" w:fill="auto"/>
            <w:vAlign w:val="center"/>
          </w:tcPr>
          <w:p w14:paraId="5556EEF1" w14:textId="77777777" w:rsidR="00F925DD" w:rsidRDefault="00F925DD">
            <w:pPr>
              <w:rPr>
                <w:rFonts w:ascii="Times New Roman" w:hAnsi="Times New Roman"/>
                <w:sz w:val="20"/>
                <w:szCs w:val="20"/>
              </w:rPr>
            </w:pPr>
          </w:p>
        </w:tc>
        <w:tc>
          <w:tcPr>
            <w:tcW w:w="650" w:type="pct"/>
            <w:shd w:val="clear" w:color="auto" w:fill="auto"/>
            <w:vAlign w:val="center"/>
          </w:tcPr>
          <w:p w14:paraId="5556EEF2" w14:textId="77777777" w:rsidR="00F925DD" w:rsidRDefault="00F925DD">
            <w:pPr>
              <w:rPr>
                <w:rFonts w:ascii="Times New Roman" w:hAnsi="Times New Roman"/>
                <w:sz w:val="20"/>
                <w:szCs w:val="20"/>
              </w:rPr>
            </w:pPr>
          </w:p>
        </w:tc>
        <w:tc>
          <w:tcPr>
            <w:tcW w:w="50" w:type="pct"/>
            <w:shd w:val="clear" w:color="auto" w:fill="auto"/>
            <w:vAlign w:val="center"/>
          </w:tcPr>
          <w:p w14:paraId="5556EEF3" w14:textId="77777777" w:rsidR="00F925DD" w:rsidRDefault="00F925DD">
            <w:pPr>
              <w:rPr>
                <w:rFonts w:ascii="Times New Roman" w:hAnsi="Times New Roman"/>
                <w:sz w:val="20"/>
                <w:szCs w:val="20"/>
              </w:rPr>
            </w:pPr>
          </w:p>
        </w:tc>
        <w:tc>
          <w:tcPr>
            <w:tcW w:w="100" w:type="pct"/>
            <w:shd w:val="clear" w:color="auto" w:fill="auto"/>
            <w:vAlign w:val="center"/>
          </w:tcPr>
          <w:p w14:paraId="5556EEF4" w14:textId="77777777" w:rsidR="00F925DD" w:rsidRDefault="00F925DD">
            <w:pPr>
              <w:rPr>
                <w:rFonts w:ascii="Times New Roman" w:hAnsi="Times New Roman"/>
                <w:sz w:val="20"/>
                <w:szCs w:val="20"/>
              </w:rPr>
            </w:pPr>
          </w:p>
        </w:tc>
        <w:tc>
          <w:tcPr>
            <w:tcW w:w="50" w:type="pct"/>
            <w:shd w:val="clear" w:color="auto" w:fill="auto"/>
            <w:vAlign w:val="center"/>
          </w:tcPr>
          <w:p w14:paraId="5556EEF5" w14:textId="77777777" w:rsidR="00F925DD" w:rsidRDefault="00F925DD">
            <w:pPr>
              <w:rPr>
                <w:rFonts w:ascii="Times New Roman" w:hAnsi="Times New Roman"/>
                <w:sz w:val="20"/>
                <w:szCs w:val="20"/>
              </w:rPr>
            </w:pPr>
          </w:p>
        </w:tc>
        <w:tc>
          <w:tcPr>
            <w:tcW w:w="650" w:type="pct"/>
            <w:shd w:val="clear" w:color="auto" w:fill="auto"/>
            <w:vAlign w:val="center"/>
          </w:tcPr>
          <w:p w14:paraId="5556EEF6" w14:textId="77777777" w:rsidR="00F925DD" w:rsidRDefault="00F925DD">
            <w:pPr>
              <w:rPr>
                <w:rFonts w:ascii="Times New Roman" w:hAnsi="Times New Roman"/>
                <w:sz w:val="20"/>
                <w:szCs w:val="20"/>
              </w:rPr>
            </w:pPr>
          </w:p>
        </w:tc>
        <w:tc>
          <w:tcPr>
            <w:tcW w:w="50" w:type="pct"/>
            <w:shd w:val="clear" w:color="auto" w:fill="auto"/>
            <w:vAlign w:val="center"/>
          </w:tcPr>
          <w:p w14:paraId="5556EEF7" w14:textId="77777777" w:rsidR="00F925DD" w:rsidRDefault="00F925DD">
            <w:pPr>
              <w:rPr>
                <w:rFonts w:ascii="Times New Roman" w:hAnsi="Times New Roman"/>
                <w:sz w:val="20"/>
                <w:szCs w:val="20"/>
              </w:rPr>
            </w:pPr>
          </w:p>
        </w:tc>
        <w:tc>
          <w:tcPr>
            <w:tcW w:w="100" w:type="pct"/>
            <w:shd w:val="clear" w:color="auto" w:fill="auto"/>
            <w:vAlign w:val="center"/>
          </w:tcPr>
          <w:p w14:paraId="5556EEF8" w14:textId="77777777" w:rsidR="00F925DD" w:rsidRDefault="00F925DD">
            <w:pPr>
              <w:rPr>
                <w:rFonts w:ascii="Times New Roman" w:hAnsi="Times New Roman"/>
                <w:sz w:val="20"/>
                <w:szCs w:val="20"/>
              </w:rPr>
            </w:pPr>
          </w:p>
        </w:tc>
        <w:tc>
          <w:tcPr>
            <w:tcW w:w="50" w:type="pct"/>
            <w:shd w:val="clear" w:color="auto" w:fill="auto"/>
            <w:vAlign w:val="center"/>
          </w:tcPr>
          <w:p w14:paraId="5556EEF9" w14:textId="77777777" w:rsidR="00F925DD" w:rsidRDefault="00F925DD">
            <w:pPr>
              <w:rPr>
                <w:rFonts w:ascii="Times New Roman" w:hAnsi="Times New Roman"/>
                <w:sz w:val="20"/>
                <w:szCs w:val="20"/>
              </w:rPr>
            </w:pPr>
          </w:p>
        </w:tc>
        <w:tc>
          <w:tcPr>
            <w:tcW w:w="650" w:type="pct"/>
            <w:shd w:val="clear" w:color="auto" w:fill="auto"/>
            <w:vAlign w:val="center"/>
          </w:tcPr>
          <w:p w14:paraId="5556EEFA" w14:textId="77777777" w:rsidR="00F925DD" w:rsidRDefault="00F925DD">
            <w:pPr>
              <w:rPr>
                <w:rFonts w:ascii="Times New Roman" w:hAnsi="Times New Roman"/>
                <w:sz w:val="20"/>
                <w:szCs w:val="20"/>
              </w:rPr>
            </w:pPr>
          </w:p>
        </w:tc>
        <w:tc>
          <w:tcPr>
            <w:tcW w:w="50" w:type="pct"/>
            <w:shd w:val="clear" w:color="auto" w:fill="auto"/>
            <w:vAlign w:val="center"/>
          </w:tcPr>
          <w:p w14:paraId="5556EEFB" w14:textId="77777777" w:rsidR="00F925DD" w:rsidRDefault="00F925DD">
            <w:pPr>
              <w:rPr>
                <w:rFonts w:ascii="Times New Roman" w:hAnsi="Times New Roman"/>
                <w:sz w:val="20"/>
                <w:szCs w:val="20"/>
              </w:rPr>
            </w:pPr>
          </w:p>
        </w:tc>
      </w:tr>
      <w:tr w:rsidR="00F925DD" w14:paraId="5556EEFF" w14:textId="77777777">
        <w:tc>
          <w:tcPr>
            <w:tcW w:w="0" w:type="auto"/>
            <w:shd w:val="clear" w:color="auto" w:fill="auto"/>
            <w:tcMar>
              <w:top w:w="40" w:type="dxa"/>
              <w:left w:w="40" w:type="dxa"/>
              <w:bottom w:w="40" w:type="dxa"/>
              <w:right w:w="40" w:type="dxa"/>
            </w:tcMar>
            <w:vAlign w:val="bottom"/>
          </w:tcPr>
          <w:p w14:paraId="5556EE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EEF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December 31,</w:t>
            </w:r>
          </w:p>
        </w:tc>
      </w:tr>
      <w:tr w:rsidR="00F925DD" w14:paraId="5556EF06" w14:textId="77777777">
        <w:tc>
          <w:tcPr>
            <w:tcW w:w="0" w:type="auto"/>
            <w:shd w:val="clear" w:color="auto" w:fill="auto"/>
            <w:tcMar>
              <w:top w:w="40" w:type="dxa"/>
              <w:left w:w="40" w:type="dxa"/>
              <w:bottom w:w="40" w:type="dxa"/>
              <w:right w:w="40" w:type="dxa"/>
            </w:tcMar>
            <w:vAlign w:val="bottom"/>
          </w:tcPr>
          <w:p w14:paraId="5556EF0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F0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c>
          <w:tcPr>
            <w:tcW w:w="0" w:type="auto"/>
            <w:shd w:val="clear" w:color="auto" w:fill="auto"/>
            <w:tcMar>
              <w:top w:w="40" w:type="dxa"/>
              <w:left w:w="40" w:type="dxa"/>
              <w:bottom w:w="40" w:type="dxa"/>
              <w:right w:w="40" w:type="dxa"/>
            </w:tcMar>
            <w:vAlign w:val="bottom"/>
          </w:tcPr>
          <w:p w14:paraId="5556EF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EF0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c>
          <w:tcPr>
            <w:tcW w:w="0" w:type="auto"/>
            <w:shd w:val="clear" w:color="auto" w:fill="auto"/>
            <w:tcMar>
              <w:top w:w="40" w:type="dxa"/>
              <w:left w:w="40" w:type="dxa"/>
              <w:bottom w:w="40" w:type="dxa"/>
              <w:right w:w="40" w:type="dxa"/>
            </w:tcMar>
            <w:vAlign w:val="bottom"/>
          </w:tcPr>
          <w:p w14:paraId="5556EF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F0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2017</w:t>
            </w:r>
          </w:p>
        </w:tc>
      </w:tr>
      <w:tr w:rsidR="00F925DD" w14:paraId="5556EF13" w14:textId="77777777">
        <w:tc>
          <w:tcPr>
            <w:tcW w:w="0" w:type="auto"/>
            <w:shd w:val="clear" w:color="auto" w:fill="CCEEFF"/>
            <w:tcMar>
              <w:top w:w="40" w:type="dxa"/>
              <w:left w:w="40" w:type="dxa"/>
              <w:bottom w:w="40" w:type="dxa"/>
              <w:right w:w="40" w:type="dxa"/>
            </w:tcMar>
            <w:vAlign w:val="bottom"/>
          </w:tcPr>
          <w:p w14:paraId="5556EF07"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Beginning </w:t>
            </w:r>
            <w:r>
              <w:rPr>
                <w:rFonts w:ascii="Arial" w:eastAsia="宋体" w:hAnsi="Arial" w:cs="Arial"/>
                <w:sz w:val="14"/>
                <w:szCs w:val="14"/>
              </w:rPr>
              <w:t>balance</w:t>
            </w:r>
          </w:p>
        </w:tc>
        <w:tc>
          <w:tcPr>
            <w:tcW w:w="0" w:type="auto"/>
            <w:tcBorders>
              <w:top w:val="single" w:sz="8" w:space="0" w:color="000000"/>
            </w:tcBorders>
            <w:shd w:val="clear" w:color="auto" w:fill="CCEEFF"/>
            <w:tcMar>
              <w:top w:w="40" w:type="dxa"/>
              <w:left w:w="40" w:type="dxa"/>
              <w:bottom w:w="40" w:type="dxa"/>
            </w:tcMar>
            <w:vAlign w:val="bottom"/>
          </w:tcPr>
          <w:p w14:paraId="5556EF0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EF0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108</w:t>
            </w:r>
          </w:p>
        </w:tc>
        <w:tc>
          <w:tcPr>
            <w:tcW w:w="0" w:type="auto"/>
            <w:tcBorders>
              <w:top w:val="single" w:sz="8" w:space="0" w:color="000000"/>
            </w:tcBorders>
            <w:shd w:val="clear" w:color="auto" w:fill="CCEEFF"/>
            <w:vAlign w:val="bottom"/>
          </w:tcPr>
          <w:p w14:paraId="5556EF0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F0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EF0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94</w:t>
            </w:r>
          </w:p>
        </w:tc>
        <w:tc>
          <w:tcPr>
            <w:tcW w:w="0" w:type="auto"/>
            <w:tcBorders>
              <w:top w:val="single" w:sz="8" w:space="0" w:color="000000"/>
            </w:tcBorders>
            <w:shd w:val="clear" w:color="auto" w:fill="CCEEFF"/>
            <w:vAlign w:val="bottom"/>
          </w:tcPr>
          <w:p w14:paraId="5556EF0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F1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EF1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71</w:t>
            </w:r>
          </w:p>
        </w:tc>
        <w:tc>
          <w:tcPr>
            <w:tcW w:w="0" w:type="auto"/>
            <w:tcBorders>
              <w:top w:val="single" w:sz="8" w:space="0" w:color="000000"/>
            </w:tcBorders>
            <w:shd w:val="clear" w:color="auto" w:fill="CCEEFF"/>
            <w:vAlign w:val="bottom"/>
          </w:tcPr>
          <w:p w14:paraId="5556EF12" w14:textId="77777777" w:rsidR="00F925DD" w:rsidRDefault="00F925DD">
            <w:pPr>
              <w:textAlignment w:val="bottom"/>
              <w:rPr>
                <w:rFonts w:ascii="Times New Roman" w:hAnsi="Times New Roman"/>
                <w:sz w:val="20"/>
                <w:szCs w:val="20"/>
              </w:rPr>
            </w:pPr>
          </w:p>
        </w:tc>
      </w:tr>
      <w:tr w:rsidR="00F925DD" w14:paraId="5556EF1D" w14:textId="77777777">
        <w:tc>
          <w:tcPr>
            <w:tcW w:w="0" w:type="auto"/>
            <w:shd w:val="clear" w:color="auto" w:fill="auto"/>
            <w:tcMar>
              <w:top w:w="40" w:type="dxa"/>
              <w:left w:w="40" w:type="dxa"/>
              <w:bottom w:w="40" w:type="dxa"/>
              <w:right w:w="40" w:type="dxa"/>
            </w:tcMar>
            <w:vAlign w:val="bottom"/>
          </w:tcPr>
          <w:p w14:paraId="5556EF14" w14:textId="77777777" w:rsidR="00F925DD" w:rsidRDefault="00E705D7">
            <w:pPr>
              <w:textAlignment w:val="bottom"/>
              <w:rPr>
                <w:rFonts w:ascii="Times New Roman" w:hAnsi="Times New Roman"/>
                <w:sz w:val="14"/>
                <w:szCs w:val="14"/>
              </w:rPr>
            </w:pPr>
            <w:r>
              <w:rPr>
                <w:rFonts w:ascii="Arial" w:eastAsia="宋体" w:hAnsi="Arial" w:cs="Arial"/>
                <w:sz w:val="14"/>
                <w:szCs w:val="14"/>
              </w:rPr>
              <w:t>Decrease related to agreements with tax authorities</w:t>
            </w:r>
          </w:p>
        </w:tc>
        <w:tc>
          <w:tcPr>
            <w:tcW w:w="0" w:type="auto"/>
            <w:gridSpan w:val="2"/>
            <w:shd w:val="clear" w:color="auto" w:fill="auto"/>
            <w:tcMar>
              <w:top w:w="40" w:type="dxa"/>
              <w:left w:w="40" w:type="dxa"/>
              <w:bottom w:w="40" w:type="dxa"/>
            </w:tcMar>
            <w:vAlign w:val="bottom"/>
          </w:tcPr>
          <w:p w14:paraId="5556EF1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shd w:val="clear" w:color="auto" w:fill="auto"/>
            <w:tcMar>
              <w:top w:w="40" w:type="dxa"/>
              <w:bottom w:w="40" w:type="dxa"/>
              <w:right w:w="40" w:type="dxa"/>
            </w:tcMar>
            <w:vAlign w:val="bottom"/>
          </w:tcPr>
          <w:p w14:paraId="5556EF1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EF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F1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(40</w:t>
            </w:r>
          </w:p>
        </w:tc>
        <w:tc>
          <w:tcPr>
            <w:tcW w:w="0" w:type="auto"/>
            <w:shd w:val="clear" w:color="auto" w:fill="auto"/>
            <w:tcMar>
              <w:top w:w="40" w:type="dxa"/>
              <w:bottom w:w="40" w:type="dxa"/>
              <w:right w:w="40" w:type="dxa"/>
            </w:tcMar>
            <w:vAlign w:val="bottom"/>
          </w:tcPr>
          <w:p w14:paraId="5556EF1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EF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F1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w:t>
            </w:r>
          </w:p>
        </w:tc>
        <w:tc>
          <w:tcPr>
            <w:tcW w:w="0" w:type="auto"/>
            <w:shd w:val="clear" w:color="auto" w:fill="auto"/>
            <w:tcMar>
              <w:top w:w="40" w:type="dxa"/>
              <w:bottom w:w="40" w:type="dxa"/>
              <w:right w:w="40" w:type="dxa"/>
            </w:tcMar>
            <w:vAlign w:val="bottom"/>
          </w:tcPr>
          <w:p w14:paraId="5556EF1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EF27" w14:textId="77777777">
        <w:tc>
          <w:tcPr>
            <w:tcW w:w="0" w:type="auto"/>
            <w:shd w:val="clear" w:color="auto" w:fill="CCEEFF"/>
            <w:tcMar>
              <w:top w:w="40" w:type="dxa"/>
              <w:left w:w="40" w:type="dxa"/>
              <w:bottom w:w="40" w:type="dxa"/>
              <w:right w:w="40" w:type="dxa"/>
            </w:tcMar>
            <w:vAlign w:val="bottom"/>
          </w:tcPr>
          <w:p w14:paraId="5556EF1E" w14:textId="77777777" w:rsidR="00F925DD" w:rsidRDefault="00E705D7">
            <w:pPr>
              <w:textAlignment w:val="bottom"/>
              <w:rPr>
                <w:rFonts w:ascii="Times New Roman" w:hAnsi="Times New Roman"/>
                <w:sz w:val="14"/>
                <w:szCs w:val="14"/>
              </w:rPr>
            </w:pPr>
            <w:r>
              <w:rPr>
                <w:rFonts w:ascii="Arial" w:eastAsia="宋体" w:hAnsi="Arial" w:cs="Arial"/>
                <w:sz w:val="14"/>
                <w:szCs w:val="14"/>
              </w:rPr>
              <w:t>Increase related to tax positions taken during current year</w:t>
            </w:r>
          </w:p>
        </w:tc>
        <w:tc>
          <w:tcPr>
            <w:tcW w:w="0" w:type="auto"/>
            <w:gridSpan w:val="2"/>
            <w:shd w:val="clear" w:color="auto" w:fill="CCEEFF"/>
            <w:tcMar>
              <w:top w:w="40" w:type="dxa"/>
              <w:left w:w="40" w:type="dxa"/>
              <w:bottom w:w="40" w:type="dxa"/>
            </w:tcMar>
            <w:vAlign w:val="bottom"/>
          </w:tcPr>
          <w:p w14:paraId="5556EF1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w:t>
            </w:r>
          </w:p>
        </w:tc>
        <w:tc>
          <w:tcPr>
            <w:tcW w:w="0" w:type="auto"/>
            <w:shd w:val="clear" w:color="auto" w:fill="CCEEFF"/>
            <w:vAlign w:val="bottom"/>
          </w:tcPr>
          <w:p w14:paraId="5556EF2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F2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w:t>
            </w:r>
          </w:p>
        </w:tc>
        <w:tc>
          <w:tcPr>
            <w:tcW w:w="0" w:type="auto"/>
            <w:shd w:val="clear" w:color="auto" w:fill="CCEEFF"/>
            <w:vAlign w:val="bottom"/>
          </w:tcPr>
          <w:p w14:paraId="5556EF2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F2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w:t>
            </w:r>
          </w:p>
        </w:tc>
        <w:tc>
          <w:tcPr>
            <w:tcW w:w="0" w:type="auto"/>
            <w:shd w:val="clear" w:color="auto" w:fill="CCEEFF"/>
            <w:vAlign w:val="bottom"/>
          </w:tcPr>
          <w:p w14:paraId="5556EF26" w14:textId="77777777" w:rsidR="00F925DD" w:rsidRDefault="00F925DD">
            <w:pPr>
              <w:textAlignment w:val="bottom"/>
              <w:rPr>
                <w:rFonts w:ascii="Times New Roman" w:hAnsi="Times New Roman"/>
                <w:sz w:val="20"/>
                <w:szCs w:val="20"/>
              </w:rPr>
            </w:pPr>
          </w:p>
        </w:tc>
      </w:tr>
      <w:tr w:rsidR="00F925DD" w14:paraId="5556EF31" w14:textId="77777777">
        <w:tc>
          <w:tcPr>
            <w:tcW w:w="0" w:type="auto"/>
            <w:shd w:val="clear" w:color="auto" w:fill="auto"/>
            <w:tcMar>
              <w:top w:w="40" w:type="dxa"/>
              <w:left w:w="40" w:type="dxa"/>
              <w:bottom w:w="40" w:type="dxa"/>
              <w:right w:w="40" w:type="dxa"/>
            </w:tcMar>
            <w:vAlign w:val="bottom"/>
          </w:tcPr>
          <w:p w14:paraId="5556EF28" w14:textId="77777777" w:rsidR="00F925DD" w:rsidRDefault="00E705D7">
            <w:pPr>
              <w:textAlignment w:val="bottom"/>
              <w:rPr>
                <w:rFonts w:ascii="Times New Roman" w:hAnsi="Times New Roman"/>
                <w:sz w:val="14"/>
                <w:szCs w:val="14"/>
              </w:rPr>
            </w:pPr>
            <w:r>
              <w:rPr>
                <w:rFonts w:ascii="Arial" w:eastAsia="宋体" w:hAnsi="Arial" w:cs="Arial"/>
                <w:sz w:val="14"/>
                <w:szCs w:val="14"/>
              </w:rPr>
              <w:t>Increase related to tax positions taken during prior years</w:t>
            </w:r>
          </w:p>
        </w:tc>
        <w:tc>
          <w:tcPr>
            <w:tcW w:w="0" w:type="auto"/>
            <w:gridSpan w:val="2"/>
            <w:tcBorders>
              <w:bottom w:val="single" w:sz="8" w:space="0" w:color="000000"/>
            </w:tcBorders>
            <w:shd w:val="clear" w:color="auto" w:fill="auto"/>
            <w:tcMar>
              <w:top w:w="40" w:type="dxa"/>
              <w:left w:w="40" w:type="dxa"/>
              <w:bottom w:w="40" w:type="dxa"/>
            </w:tcMar>
            <w:vAlign w:val="bottom"/>
          </w:tcPr>
          <w:p w14:paraId="5556EF2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49</w:t>
            </w:r>
          </w:p>
        </w:tc>
        <w:tc>
          <w:tcPr>
            <w:tcW w:w="0" w:type="auto"/>
            <w:tcBorders>
              <w:bottom w:val="single" w:sz="8" w:space="0" w:color="000000"/>
            </w:tcBorders>
            <w:shd w:val="clear" w:color="auto" w:fill="auto"/>
            <w:vAlign w:val="bottom"/>
          </w:tcPr>
          <w:p w14:paraId="5556EF2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F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F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44</w:t>
            </w:r>
          </w:p>
        </w:tc>
        <w:tc>
          <w:tcPr>
            <w:tcW w:w="0" w:type="auto"/>
            <w:tcBorders>
              <w:bottom w:val="single" w:sz="8" w:space="0" w:color="000000"/>
            </w:tcBorders>
            <w:shd w:val="clear" w:color="auto" w:fill="auto"/>
            <w:vAlign w:val="bottom"/>
          </w:tcPr>
          <w:p w14:paraId="5556EF2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F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F2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w:t>
            </w:r>
          </w:p>
        </w:tc>
        <w:tc>
          <w:tcPr>
            <w:tcW w:w="0" w:type="auto"/>
            <w:tcBorders>
              <w:bottom w:val="single" w:sz="8" w:space="0" w:color="000000"/>
            </w:tcBorders>
            <w:shd w:val="clear" w:color="auto" w:fill="auto"/>
            <w:vAlign w:val="bottom"/>
          </w:tcPr>
          <w:p w14:paraId="5556EF30" w14:textId="77777777" w:rsidR="00F925DD" w:rsidRDefault="00F925DD">
            <w:pPr>
              <w:textAlignment w:val="bottom"/>
              <w:rPr>
                <w:rFonts w:ascii="Times New Roman" w:hAnsi="Times New Roman"/>
                <w:sz w:val="20"/>
                <w:szCs w:val="20"/>
              </w:rPr>
            </w:pPr>
          </w:p>
        </w:tc>
      </w:tr>
      <w:tr w:rsidR="00F925DD" w14:paraId="5556EF3B" w14:textId="77777777">
        <w:tc>
          <w:tcPr>
            <w:tcW w:w="0" w:type="auto"/>
            <w:shd w:val="clear" w:color="auto" w:fill="CCEEFF"/>
            <w:tcMar>
              <w:top w:w="40" w:type="dxa"/>
              <w:left w:w="40" w:type="dxa"/>
              <w:bottom w:w="40" w:type="dxa"/>
              <w:right w:w="40" w:type="dxa"/>
            </w:tcMar>
            <w:vAlign w:val="bottom"/>
          </w:tcPr>
          <w:p w14:paraId="5556EF32" w14:textId="77777777" w:rsidR="00F925DD" w:rsidRDefault="00E705D7">
            <w:pPr>
              <w:textAlignment w:val="bottom"/>
              <w:rPr>
                <w:rFonts w:ascii="Times New Roman" w:hAnsi="Times New Roman"/>
                <w:sz w:val="14"/>
                <w:szCs w:val="14"/>
              </w:rPr>
            </w:pPr>
            <w:r>
              <w:rPr>
                <w:rFonts w:ascii="Arial" w:eastAsia="宋体" w:hAnsi="Arial" w:cs="Arial"/>
                <w:sz w:val="14"/>
                <w:szCs w:val="14"/>
              </w:rPr>
              <w:t>Decreases related to a lapse of the applicable statute of limitations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F3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tcBorders>
              <w:bottom w:val="single" w:sz="8" w:space="0" w:color="000000"/>
            </w:tcBorders>
            <w:shd w:val="clear" w:color="auto" w:fill="CCEEFF"/>
            <w:tcMar>
              <w:top w:w="40" w:type="dxa"/>
              <w:bottom w:w="40" w:type="dxa"/>
              <w:right w:w="40" w:type="dxa"/>
            </w:tcMar>
            <w:vAlign w:val="bottom"/>
          </w:tcPr>
          <w:p w14:paraId="5556EF3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EF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F3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bottom w:val="single" w:sz="8" w:space="0" w:color="000000"/>
            </w:tcBorders>
            <w:shd w:val="clear" w:color="auto" w:fill="CCEEFF"/>
            <w:tcMar>
              <w:top w:w="40" w:type="dxa"/>
              <w:bottom w:w="40" w:type="dxa"/>
              <w:right w:w="40" w:type="dxa"/>
            </w:tcMar>
            <w:vAlign w:val="bottom"/>
          </w:tcPr>
          <w:p w14:paraId="5556EF3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EF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EF3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5556EF3A" w14:textId="77777777" w:rsidR="00F925DD" w:rsidRDefault="00F925DD">
            <w:pPr>
              <w:textAlignment w:val="bottom"/>
              <w:rPr>
                <w:rFonts w:ascii="Times New Roman" w:hAnsi="Times New Roman"/>
                <w:sz w:val="20"/>
                <w:szCs w:val="20"/>
              </w:rPr>
            </w:pPr>
          </w:p>
        </w:tc>
      </w:tr>
      <w:tr w:rsidR="00F925DD" w14:paraId="5556EF48" w14:textId="77777777">
        <w:tc>
          <w:tcPr>
            <w:tcW w:w="0" w:type="auto"/>
            <w:shd w:val="clear" w:color="auto" w:fill="auto"/>
            <w:tcMar>
              <w:top w:w="40" w:type="dxa"/>
              <w:left w:w="40" w:type="dxa"/>
              <w:bottom w:w="40" w:type="dxa"/>
              <w:right w:w="40" w:type="dxa"/>
            </w:tcMar>
            <w:vAlign w:val="bottom"/>
          </w:tcPr>
          <w:p w14:paraId="5556EF3C" w14:textId="77777777" w:rsidR="00F925DD" w:rsidRDefault="00E705D7">
            <w:pPr>
              <w:textAlignment w:val="bottom"/>
              <w:rPr>
                <w:rFonts w:ascii="Times New Roman" w:hAnsi="Times New Roman"/>
                <w:sz w:val="14"/>
                <w:szCs w:val="14"/>
              </w:rPr>
            </w:pPr>
            <w:r>
              <w:rPr>
                <w:rFonts w:ascii="Arial" w:eastAsia="宋体" w:hAnsi="Arial" w:cs="Arial"/>
                <w:sz w:val="14"/>
                <w:szCs w:val="14"/>
              </w:rPr>
              <w:t>Ending balance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F3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F3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149</w:t>
            </w:r>
          </w:p>
        </w:tc>
        <w:tc>
          <w:tcPr>
            <w:tcW w:w="0" w:type="auto"/>
            <w:tcBorders>
              <w:top w:val="single" w:sz="8" w:space="0" w:color="000000"/>
              <w:bottom w:val="double" w:sz="6" w:space="0" w:color="000000"/>
            </w:tcBorders>
            <w:shd w:val="clear" w:color="auto" w:fill="auto"/>
            <w:vAlign w:val="bottom"/>
          </w:tcPr>
          <w:p w14:paraId="5556EF3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F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F4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F4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108</w:t>
            </w:r>
          </w:p>
        </w:tc>
        <w:tc>
          <w:tcPr>
            <w:tcW w:w="0" w:type="auto"/>
            <w:tcBorders>
              <w:top w:val="single" w:sz="8" w:space="0" w:color="000000"/>
              <w:bottom w:val="double" w:sz="6" w:space="0" w:color="000000"/>
            </w:tcBorders>
            <w:shd w:val="clear" w:color="auto" w:fill="auto"/>
            <w:vAlign w:val="bottom"/>
          </w:tcPr>
          <w:p w14:paraId="5556EF4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F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5556EF4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5556EF4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94</w:t>
            </w:r>
          </w:p>
        </w:tc>
        <w:tc>
          <w:tcPr>
            <w:tcW w:w="0" w:type="auto"/>
            <w:tcBorders>
              <w:top w:val="single" w:sz="8" w:space="0" w:color="000000"/>
              <w:bottom w:val="double" w:sz="6" w:space="0" w:color="000000"/>
            </w:tcBorders>
            <w:shd w:val="clear" w:color="auto" w:fill="auto"/>
            <w:vAlign w:val="bottom"/>
          </w:tcPr>
          <w:p w14:paraId="5556EF47" w14:textId="77777777" w:rsidR="00F925DD" w:rsidRDefault="00F925DD">
            <w:pPr>
              <w:textAlignment w:val="bottom"/>
              <w:rPr>
                <w:rFonts w:ascii="Times New Roman" w:hAnsi="Times New Roman"/>
                <w:sz w:val="20"/>
                <w:szCs w:val="20"/>
              </w:rPr>
            </w:pPr>
          </w:p>
        </w:tc>
      </w:tr>
    </w:tbl>
    <w:p w14:paraId="5556EF49" w14:textId="77777777" w:rsidR="00F925DD" w:rsidRDefault="00F925DD">
      <w:pPr>
        <w:spacing w:line="288" w:lineRule="auto"/>
        <w:jc w:val="both"/>
        <w:rPr>
          <w:rFonts w:ascii="Times New Roman" w:hAnsi="Times New Roman"/>
          <w:sz w:val="20"/>
          <w:szCs w:val="20"/>
        </w:rPr>
      </w:pPr>
    </w:p>
    <w:p w14:paraId="5556EF4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It is reasonably possible that of the $149 million of unrecognized tax benefits as of December 31, 2019, up to $4 </w:t>
      </w:r>
      <w:r>
        <w:rPr>
          <w:rFonts w:ascii="Arial" w:eastAsia="宋体" w:hAnsi="Arial" w:cs="Arial"/>
          <w:sz w:val="20"/>
          <w:szCs w:val="20"/>
        </w:rPr>
        <w:t>million could decrease within the next 12 months due to the resolution of various audits. Management believes that we have sufficient accrued liabilities as of December 31, 2019 for tax exposures and related interest expense.</w:t>
      </w:r>
    </w:p>
    <w:p w14:paraId="5556EF4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Income tax expense included re</w:t>
      </w:r>
      <w:r>
        <w:rPr>
          <w:rFonts w:ascii="Arial" w:eastAsia="宋体" w:hAnsi="Arial" w:cs="Arial"/>
          <w:sz w:val="20"/>
          <w:szCs w:val="20"/>
        </w:rPr>
        <w:t>lated interest and penalties of approximately $5 million and $1 million in 2019 and 2018, respectively. Total accrued interest and penalties were approximately $10 million, $8 million and$8 million as of December 31, 2019, 2018 and 2017, respectively.</w:t>
      </w:r>
    </w:p>
    <w:p w14:paraId="5556EF4C"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Note</w:t>
      </w:r>
      <w:r>
        <w:rPr>
          <w:rFonts w:ascii="Arial" w:eastAsia="宋体" w:hAnsi="Arial" w:cs="Arial"/>
          <w:b/>
          <w:bCs/>
          <w:sz w:val="20"/>
          <w:szCs w:val="20"/>
        </w:rPr>
        <w:t xml:space="preserve"> 23. Earnings Per Common Share </w:t>
      </w:r>
    </w:p>
    <w:p w14:paraId="5556EF4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Basic EPS is calculated pursuant to the two-class method, by dividing net income available to common shareholders by the weighted-average common shares outstanding during the period. Diluted EPS is calculated pursuant to the two-class method, by dividing n</w:t>
      </w:r>
      <w:r>
        <w:rPr>
          <w:rFonts w:ascii="Arial" w:eastAsia="宋体" w:hAnsi="Arial" w:cs="Arial"/>
          <w:sz w:val="20"/>
          <w:szCs w:val="20"/>
        </w:rPr>
        <w:t>et income available to common shareholders by the total weighted-average number of common shares outstanding for the period plus the shares representing the dilutive effect of equity-based awards. The effect of equity-based awards is excluded from the calc</w:t>
      </w:r>
      <w:r>
        <w:rPr>
          <w:rFonts w:ascii="Arial" w:eastAsia="宋体" w:hAnsi="Arial" w:cs="Arial"/>
          <w:sz w:val="20"/>
          <w:szCs w:val="20"/>
        </w:rPr>
        <w:t xml:space="preserve">ulation of diluted EPS in periods in which their effect would be anti-dilutive. </w:t>
      </w:r>
    </w:p>
    <w:p w14:paraId="5556EF4E" w14:textId="77777777" w:rsidR="00F925DD" w:rsidRDefault="00F925DD">
      <w:pPr>
        <w:rPr>
          <w:rFonts w:ascii="Times New Roman" w:hAnsi="Times New Roman"/>
          <w:sz w:val="20"/>
          <w:szCs w:val="20"/>
        </w:rPr>
      </w:pPr>
    </w:p>
    <w:p w14:paraId="5556EF4F"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169</w:t>
      </w:r>
    </w:p>
    <w:p w14:paraId="5556EF50" w14:textId="77777777" w:rsidR="00F925DD" w:rsidRDefault="00F925DD">
      <w:pPr>
        <w:spacing w:line="288" w:lineRule="auto"/>
        <w:ind w:firstLine="600"/>
        <w:jc w:val="center"/>
        <w:rPr>
          <w:rFonts w:ascii="Times New Roman" w:hAnsi="Times New Roman"/>
          <w:sz w:val="18"/>
          <w:szCs w:val="18"/>
        </w:rPr>
      </w:pPr>
    </w:p>
    <w:p w14:paraId="5556EF51" w14:textId="77777777" w:rsidR="00F925DD" w:rsidRDefault="00E705D7">
      <w:r>
        <w:rPr>
          <w:rFonts w:ascii="Times New Roman" w:hAnsi="Times New Roman"/>
          <w:sz w:val="18"/>
          <w:szCs w:val="18"/>
        </w:rPr>
        <w:pict w14:anchorId="555706E3">
          <v:rect id="_x0000_i1193" style="width:415.3pt;height:1.5pt" o:hralign="center" o:hrstd="t" o:hr="t" fillcolor="#a0a0a0" stroked="f"/>
        </w:pict>
      </w:r>
    </w:p>
    <w:p w14:paraId="5556EF52"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EF5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EF54" w14:textId="77777777" w:rsidR="00F925DD" w:rsidRDefault="00F925DD">
      <w:pPr>
        <w:rPr>
          <w:rFonts w:ascii="Times New Roman" w:hAnsi="Times New Roman"/>
          <w:sz w:val="20"/>
          <w:szCs w:val="20"/>
        </w:rPr>
      </w:pPr>
    </w:p>
    <w:p w14:paraId="5556EF5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two-class method requires the allocation of undistributed net incom</w:t>
      </w:r>
      <w:r>
        <w:rPr>
          <w:rFonts w:ascii="Arial" w:eastAsia="宋体" w:hAnsi="Arial" w:cs="Arial"/>
          <w:sz w:val="20"/>
          <w:szCs w:val="20"/>
        </w:rPr>
        <w:t>e between common and participating shareholders. Net income available to common shareholders, presented separately in our consolidated statement of income, is the basis for the calculation of both basic and diluted EPS. Participating securities are compose</w:t>
      </w:r>
      <w:r>
        <w:rPr>
          <w:rFonts w:ascii="Arial" w:eastAsia="宋体" w:hAnsi="Arial" w:cs="Arial"/>
          <w:sz w:val="20"/>
          <w:szCs w:val="20"/>
        </w:rPr>
        <w:t>d of unvested and fully vested SERP shares and fully vested deferred director stock awards, which are equity-based awards that contain non-forfeitable rights to dividends, and are considered to participate with the common stock in undistributed earnings.</w:t>
      </w:r>
    </w:p>
    <w:p w14:paraId="5556EF5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w:t>
      </w:r>
      <w:r>
        <w:rPr>
          <w:rFonts w:ascii="Arial" w:eastAsia="宋体" w:hAnsi="Arial" w:cs="Arial"/>
          <w:sz w:val="20"/>
          <w:szCs w:val="20"/>
        </w:rPr>
        <w:t>he following table presents the computation of basic and diluted earnings per common share for the periods indicated:</w:t>
      </w:r>
    </w:p>
    <w:tbl>
      <w:tblPr>
        <w:tblW w:w="5000" w:type="pct"/>
        <w:tblCellMar>
          <w:left w:w="0" w:type="dxa"/>
          <w:right w:w="0" w:type="dxa"/>
        </w:tblCellMar>
        <w:tblLook w:val="04A0" w:firstRow="1" w:lastRow="0" w:firstColumn="1" w:lastColumn="0" w:noHBand="0" w:noVBand="1"/>
      </w:tblPr>
      <w:tblGrid>
        <w:gridCol w:w="3971"/>
        <w:gridCol w:w="113"/>
        <w:gridCol w:w="1147"/>
        <w:gridCol w:w="84"/>
        <w:gridCol w:w="150"/>
        <w:gridCol w:w="113"/>
        <w:gridCol w:w="1148"/>
        <w:gridCol w:w="84"/>
        <w:gridCol w:w="151"/>
        <w:gridCol w:w="113"/>
        <w:gridCol w:w="1148"/>
        <w:gridCol w:w="84"/>
      </w:tblGrid>
      <w:tr w:rsidR="00F925DD" w14:paraId="5556EF58" w14:textId="77777777">
        <w:tc>
          <w:tcPr>
            <w:tcW w:w="0" w:type="auto"/>
            <w:gridSpan w:val="12"/>
            <w:shd w:val="clear" w:color="auto" w:fill="auto"/>
            <w:vAlign w:val="center"/>
          </w:tcPr>
          <w:p w14:paraId="5556EF57" w14:textId="77777777" w:rsidR="00F925DD" w:rsidRDefault="00F925DD">
            <w:pPr>
              <w:rPr>
                <w:rFonts w:ascii="Times New Roman" w:hAnsi="Times New Roman"/>
                <w:sz w:val="20"/>
                <w:szCs w:val="20"/>
              </w:rPr>
            </w:pPr>
          </w:p>
        </w:tc>
      </w:tr>
      <w:tr w:rsidR="00F925DD" w14:paraId="5556EF65" w14:textId="77777777">
        <w:tc>
          <w:tcPr>
            <w:tcW w:w="2400" w:type="pct"/>
            <w:shd w:val="clear" w:color="auto" w:fill="auto"/>
            <w:vAlign w:val="center"/>
          </w:tcPr>
          <w:p w14:paraId="5556EF59" w14:textId="77777777" w:rsidR="00F925DD" w:rsidRDefault="00F925DD">
            <w:pPr>
              <w:rPr>
                <w:rFonts w:ascii="Times New Roman" w:hAnsi="Times New Roman"/>
                <w:sz w:val="20"/>
                <w:szCs w:val="20"/>
              </w:rPr>
            </w:pPr>
          </w:p>
        </w:tc>
        <w:tc>
          <w:tcPr>
            <w:tcW w:w="50" w:type="pct"/>
            <w:shd w:val="clear" w:color="auto" w:fill="auto"/>
            <w:vAlign w:val="center"/>
          </w:tcPr>
          <w:p w14:paraId="5556EF5A" w14:textId="77777777" w:rsidR="00F925DD" w:rsidRDefault="00F925DD">
            <w:pPr>
              <w:rPr>
                <w:rFonts w:ascii="Times New Roman" w:hAnsi="Times New Roman"/>
                <w:sz w:val="20"/>
                <w:szCs w:val="20"/>
              </w:rPr>
            </w:pPr>
          </w:p>
        </w:tc>
        <w:tc>
          <w:tcPr>
            <w:tcW w:w="700" w:type="pct"/>
            <w:shd w:val="clear" w:color="auto" w:fill="auto"/>
            <w:vAlign w:val="center"/>
          </w:tcPr>
          <w:p w14:paraId="5556EF5B" w14:textId="77777777" w:rsidR="00F925DD" w:rsidRDefault="00F925DD">
            <w:pPr>
              <w:rPr>
                <w:rFonts w:ascii="Times New Roman" w:hAnsi="Times New Roman"/>
                <w:sz w:val="20"/>
                <w:szCs w:val="20"/>
              </w:rPr>
            </w:pPr>
          </w:p>
        </w:tc>
        <w:tc>
          <w:tcPr>
            <w:tcW w:w="50" w:type="pct"/>
            <w:shd w:val="clear" w:color="auto" w:fill="auto"/>
            <w:vAlign w:val="center"/>
          </w:tcPr>
          <w:p w14:paraId="5556EF5C" w14:textId="77777777" w:rsidR="00F925DD" w:rsidRDefault="00F925DD">
            <w:pPr>
              <w:rPr>
                <w:rFonts w:ascii="Times New Roman" w:hAnsi="Times New Roman"/>
                <w:sz w:val="20"/>
                <w:szCs w:val="20"/>
              </w:rPr>
            </w:pPr>
          </w:p>
        </w:tc>
        <w:tc>
          <w:tcPr>
            <w:tcW w:w="100" w:type="pct"/>
            <w:shd w:val="clear" w:color="auto" w:fill="auto"/>
            <w:vAlign w:val="center"/>
          </w:tcPr>
          <w:p w14:paraId="5556EF5D" w14:textId="77777777" w:rsidR="00F925DD" w:rsidRDefault="00F925DD">
            <w:pPr>
              <w:rPr>
                <w:rFonts w:ascii="Times New Roman" w:hAnsi="Times New Roman"/>
                <w:sz w:val="20"/>
                <w:szCs w:val="20"/>
              </w:rPr>
            </w:pPr>
          </w:p>
        </w:tc>
        <w:tc>
          <w:tcPr>
            <w:tcW w:w="50" w:type="pct"/>
            <w:shd w:val="clear" w:color="auto" w:fill="auto"/>
            <w:vAlign w:val="center"/>
          </w:tcPr>
          <w:p w14:paraId="5556EF5E" w14:textId="77777777" w:rsidR="00F925DD" w:rsidRDefault="00F925DD">
            <w:pPr>
              <w:rPr>
                <w:rFonts w:ascii="Times New Roman" w:hAnsi="Times New Roman"/>
                <w:sz w:val="20"/>
                <w:szCs w:val="20"/>
              </w:rPr>
            </w:pPr>
          </w:p>
        </w:tc>
        <w:tc>
          <w:tcPr>
            <w:tcW w:w="700" w:type="pct"/>
            <w:shd w:val="clear" w:color="auto" w:fill="auto"/>
            <w:vAlign w:val="center"/>
          </w:tcPr>
          <w:p w14:paraId="5556EF5F" w14:textId="77777777" w:rsidR="00F925DD" w:rsidRDefault="00F925DD">
            <w:pPr>
              <w:rPr>
                <w:rFonts w:ascii="Times New Roman" w:hAnsi="Times New Roman"/>
                <w:sz w:val="20"/>
                <w:szCs w:val="20"/>
              </w:rPr>
            </w:pPr>
          </w:p>
        </w:tc>
        <w:tc>
          <w:tcPr>
            <w:tcW w:w="50" w:type="pct"/>
            <w:shd w:val="clear" w:color="auto" w:fill="auto"/>
            <w:vAlign w:val="center"/>
          </w:tcPr>
          <w:p w14:paraId="5556EF60" w14:textId="77777777" w:rsidR="00F925DD" w:rsidRDefault="00F925DD">
            <w:pPr>
              <w:rPr>
                <w:rFonts w:ascii="Times New Roman" w:hAnsi="Times New Roman"/>
                <w:sz w:val="20"/>
                <w:szCs w:val="20"/>
              </w:rPr>
            </w:pPr>
          </w:p>
        </w:tc>
        <w:tc>
          <w:tcPr>
            <w:tcW w:w="100" w:type="pct"/>
            <w:shd w:val="clear" w:color="auto" w:fill="auto"/>
            <w:vAlign w:val="center"/>
          </w:tcPr>
          <w:p w14:paraId="5556EF61" w14:textId="77777777" w:rsidR="00F925DD" w:rsidRDefault="00F925DD">
            <w:pPr>
              <w:rPr>
                <w:rFonts w:ascii="Times New Roman" w:hAnsi="Times New Roman"/>
                <w:sz w:val="20"/>
                <w:szCs w:val="20"/>
              </w:rPr>
            </w:pPr>
          </w:p>
        </w:tc>
        <w:tc>
          <w:tcPr>
            <w:tcW w:w="50" w:type="pct"/>
            <w:shd w:val="clear" w:color="auto" w:fill="auto"/>
            <w:vAlign w:val="center"/>
          </w:tcPr>
          <w:p w14:paraId="5556EF62" w14:textId="77777777" w:rsidR="00F925DD" w:rsidRDefault="00F925DD">
            <w:pPr>
              <w:rPr>
                <w:rFonts w:ascii="Times New Roman" w:hAnsi="Times New Roman"/>
                <w:sz w:val="20"/>
                <w:szCs w:val="20"/>
              </w:rPr>
            </w:pPr>
          </w:p>
        </w:tc>
        <w:tc>
          <w:tcPr>
            <w:tcW w:w="700" w:type="pct"/>
            <w:shd w:val="clear" w:color="auto" w:fill="auto"/>
            <w:vAlign w:val="center"/>
          </w:tcPr>
          <w:p w14:paraId="5556EF63" w14:textId="77777777" w:rsidR="00F925DD" w:rsidRDefault="00F925DD">
            <w:pPr>
              <w:rPr>
                <w:rFonts w:ascii="Times New Roman" w:hAnsi="Times New Roman"/>
                <w:sz w:val="20"/>
                <w:szCs w:val="20"/>
              </w:rPr>
            </w:pPr>
          </w:p>
        </w:tc>
        <w:tc>
          <w:tcPr>
            <w:tcW w:w="50" w:type="pct"/>
            <w:shd w:val="clear" w:color="auto" w:fill="auto"/>
            <w:vAlign w:val="center"/>
          </w:tcPr>
          <w:p w14:paraId="5556EF64" w14:textId="77777777" w:rsidR="00F925DD" w:rsidRDefault="00F925DD">
            <w:pPr>
              <w:rPr>
                <w:rFonts w:ascii="Times New Roman" w:hAnsi="Times New Roman"/>
                <w:sz w:val="20"/>
                <w:szCs w:val="20"/>
              </w:rPr>
            </w:pPr>
          </w:p>
        </w:tc>
      </w:tr>
      <w:tr w:rsidR="00F925DD" w14:paraId="5556EF68" w14:textId="77777777">
        <w:tc>
          <w:tcPr>
            <w:tcW w:w="0" w:type="auto"/>
            <w:shd w:val="clear" w:color="auto" w:fill="auto"/>
            <w:tcMar>
              <w:top w:w="40" w:type="dxa"/>
              <w:left w:w="40" w:type="dxa"/>
              <w:bottom w:w="40" w:type="dxa"/>
              <w:right w:w="40" w:type="dxa"/>
            </w:tcMar>
            <w:vAlign w:val="bottom"/>
          </w:tcPr>
          <w:p w14:paraId="5556EF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5556EF67"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Years Ended December 31,</w:t>
            </w:r>
          </w:p>
        </w:tc>
      </w:tr>
      <w:tr w:rsidR="00F925DD" w14:paraId="5556EF6F" w14:textId="77777777">
        <w:tc>
          <w:tcPr>
            <w:tcW w:w="0" w:type="auto"/>
            <w:shd w:val="clear" w:color="auto" w:fill="auto"/>
            <w:tcMar>
              <w:top w:w="40" w:type="dxa"/>
              <w:left w:w="40" w:type="dxa"/>
              <w:bottom w:w="40" w:type="dxa"/>
              <w:right w:w="40" w:type="dxa"/>
            </w:tcMar>
            <w:vAlign w:val="bottom"/>
          </w:tcPr>
          <w:p w14:paraId="5556EF69"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(Dollars in millions, except per share amounts)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F6A"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F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F6C"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EF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EF6E"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2017</w:t>
            </w:r>
          </w:p>
        </w:tc>
      </w:tr>
      <w:tr w:rsidR="00F925DD" w14:paraId="5556EF7C" w14:textId="77777777">
        <w:tc>
          <w:tcPr>
            <w:tcW w:w="0" w:type="auto"/>
            <w:shd w:val="clear" w:color="auto" w:fill="CCEEFF"/>
            <w:tcMar>
              <w:top w:w="40" w:type="dxa"/>
              <w:left w:w="40" w:type="dxa"/>
              <w:bottom w:w="40" w:type="dxa"/>
              <w:right w:w="40" w:type="dxa"/>
            </w:tcMar>
            <w:vAlign w:val="bottom"/>
          </w:tcPr>
          <w:p w14:paraId="5556EF70"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Net income</w:t>
            </w:r>
          </w:p>
        </w:tc>
        <w:tc>
          <w:tcPr>
            <w:tcW w:w="0" w:type="auto"/>
            <w:tcBorders>
              <w:top w:val="single" w:sz="8" w:space="0" w:color="000000"/>
            </w:tcBorders>
            <w:shd w:val="clear" w:color="auto" w:fill="CCEEFF"/>
            <w:tcMar>
              <w:top w:w="40" w:type="dxa"/>
              <w:left w:w="40" w:type="dxa"/>
              <w:bottom w:w="40" w:type="dxa"/>
            </w:tcMar>
            <w:vAlign w:val="bottom"/>
          </w:tcPr>
          <w:p w14:paraId="5556EF71"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tcBorders>
            <w:shd w:val="clear" w:color="auto" w:fill="CCEEFF"/>
            <w:tcMar>
              <w:top w:w="40" w:type="dxa"/>
              <w:bottom w:w="40" w:type="dxa"/>
            </w:tcMar>
            <w:vAlign w:val="bottom"/>
          </w:tcPr>
          <w:p w14:paraId="5556EF72"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2,242</w:t>
            </w:r>
          </w:p>
        </w:tc>
        <w:tc>
          <w:tcPr>
            <w:tcW w:w="0" w:type="auto"/>
            <w:tcBorders>
              <w:top w:val="single" w:sz="8" w:space="0" w:color="000000"/>
            </w:tcBorders>
            <w:shd w:val="clear" w:color="auto" w:fill="CCEEFF"/>
            <w:vAlign w:val="bottom"/>
          </w:tcPr>
          <w:p w14:paraId="5556EF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EF75"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bottom w:w="40" w:type="dxa"/>
            </w:tcMar>
            <w:vAlign w:val="bottom"/>
          </w:tcPr>
          <w:p w14:paraId="5556EF76"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2,593</w:t>
            </w:r>
          </w:p>
        </w:tc>
        <w:tc>
          <w:tcPr>
            <w:tcW w:w="0" w:type="auto"/>
            <w:shd w:val="clear" w:color="auto" w:fill="CCEEFF"/>
            <w:vAlign w:val="bottom"/>
          </w:tcPr>
          <w:p w14:paraId="5556EF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EF79"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tcBorders>
            <w:shd w:val="clear" w:color="auto" w:fill="CCEEFF"/>
            <w:tcMar>
              <w:top w:w="40" w:type="dxa"/>
              <w:bottom w:w="40" w:type="dxa"/>
            </w:tcMar>
            <w:vAlign w:val="bottom"/>
          </w:tcPr>
          <w:p w14:paraId="5556EF7A"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2,156</w:t>
            </w:r>
          </w:p>
        </w:tc>
        <w:tc>
          <w:tcPr>
            <w:tcW w:w="0" w:type="auto"/>
            <w:tcBorders>
              <w:top w:val="single" w:sz="8" w:space="0" w:color="000000"/>
            </w:tcBorders>
            <w:shd w:val="clear" w:color="auto" w:fill="CCEEFF"/>
            <w:vAlign w:val="bottom"/>
          </w:tcPr>
          <w:p w14:paraId="5556EF7B" w14:textId="77777777" w:rsidR="00F925DD" w:rsidRDefault="00F925DD">
            <w:pPr>
              <w:textAlignment w:val="bottom"/>
              <w:rPr>
                <w:rFonts w:ascii="Times New Roman" w:hAnsi="Times New Roman"/>
                <w:sz w:val="20"/>
                <w:szCs w:val="20"/>
              </w:rPr>
            </w:pPr>
          </w:p>
        </w:tc>
      </w:tr>
      <w:tr w:rsidR="00F925DD" w14:paraId="5556EF83" w14:textId="77777777">
        <w:tc>
          <w:tcPr>
            <w:tcW w:w="0" w:type="auto"/>
            <w:shd w:val="clear" w:color="auto" w:fill="auto"/>
            <w:tcMar>
              <w:top w:w="40" w:type="dxa"/>
              <w:left w:w="40" w:type="dxa"/>
              <w:bottom w:w="40" w:type="dxa"/>
              <w:right w:w="40" w:type="dxa"/>
            </w:tcMar>
            <w:vAlign w:val="bottom"/>
          </w:tcPr>
          <w:p w14:paraId="5556EF7D" w14:textId="77777777" w:rsidR="00F925DD" w:rsidRDefault="00E705D7">
            <w:pPr>
              <w:textAlignment w:val="bottom"/>
              <w:rPr>
                <w:rFonts w:ascii="Times New Roman" w:hAnsi="Times New Roman"/>
                <w:sz w:val="13"/>
                <w:szCs w:val="13"/>
              </w:rPr>
            </w:pPr>
            <w:r>
              <w:rPr>
                <w:rFonts w:ascii="Arial" w:eastAsia="宋体" w:hAnsi="Arial" w:cs="Arial"/>
                <w:sz w:val="13"/>
                <w:szCs w:val="13"/>
              </w:rPr>
              <w:t>Less:</w:t>
            </w:r>
          </w:p>
        </w:tc>
        <w:tc>
          <w:tcPr>
            <w:tcW w:w="0" w:type="auto"/>
            <w:gridSpan w:val="3"/>
            <w:shd w:val="clear" w:color="auto" w:fill="auto"/>
            <w:tcMar>
              <w:top w:w="40" w:type="dxa"/>
              <w:left w:w="40" w:type="dxa"/>
              <w:bottom w:w="40" w:type="dxa"/>
              <w:right w:w="40" w:type="dxa"/>
            </w:tcMar>
            <w:vAlign w:val="bottom"/>
          </w:tcPr>
          <w:p w14:paraId="5556EF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F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F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F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F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F8D" w14:textId="77777777">
        <w:tc>
          <w:tcPr>
            <w:tcW w:w="0" w:type="auto"/>
            <w:shd w:val="clear" w:color="auto" w:fill="CCEEFF"/>
            <w:tcMar>
              <w:top w:w="40" w:type="dxa"/>
              <w:left w:w="400" w:type="dxa"/>
              <w:bottom w:w="40" w:type="dxa"/>
              <w:right w:w="40" w:type="dxa"/>
            </w:tcMar>
            <w:vAlign w:val="bottom"/>
          </w:tcPr>
          <w:p w14:paraId="5556EF84" w14:textId="77777777" w:rsidR="00F925DD" w:rsidRDefault="00E705D7">
            <w:pPr>
              <w:textAlignment w:val="bottom"/>
              <w:rPr>
                <w:rFonts w:ascii="Times New Roman" w:hAnsi="Times New Roman"/>
                <w:sz w:val="13"/>
                <w:szCs w:val="13"/>
              </w:rPr>
            </w:pPr>
            <w:r>
              <w:rPr>
                <w:rFonts w:ascii="Arial" w:eastAsia="宋体" w:hAnsi="Arial" w:cs="Arial"/>
                <w:sz w:val="13"/>
                <w:szCs w:val="13"/>
              </w:rPr>
              <w:t xml:space="preserve">Preferred stock dividends </w:t>
            </w:r>
          </w:p>
        </w:tc>
        <w:tc>
          <w:tcPr>
            <w:tcW w:w="0" w:type="auto"/>
            <w:gridSpan w:val="2"/>
            <w:shd w:val="clear" w:color="auto" w:fill="CCEEFF"/>
            <w:tcMar>
              <w:top w:w="40" w:type="dxa"/>
              <w:left w:w="40" w:type="dxa"/>
              <w:bottom w:w="40" w:type="dxa"/>
            </w:tcMar>
            <w:vAlign w:val="bottom"/>
          </w:tcPr>
          <w:p w14:paraId="5556EF85"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(232</w:t>
            </w:r>
          </w:p>
        </w:tc>
        <w:tc>
          <w:tcPr>
            <w:tcW w:w="0" w:type="auto"/>
            <w:shd w:val="clear" w:color="auto" w:fill="CCEEFF"/>
            <w:tcMar>
              <w:top w:w="40" w:type="dxa"/>
              <w:bottom w:w="40" w:type="dxa"/>
              <w:right w:w="40" w:type="dxa"/>
            </w:tcMar>
            <w:vAlign w:val="bottom"/>
          </w:tcPr>
          <w:p w14:paraId="5556EF86"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CCEEFF"/>
            <w:tcMar>
              <w:top w:w="40" w:type="dxa"/>
              <w:left w:w="40" w:type="dxa"/>
              <w:bottom w:w="40" w:type="dxa"/>
              <w:right w:w="40" w:type="dxa"/>
            </w:tcMar>
            <w:vAlign w:val="bottom"/>
          </w:tcPr>
          <w:p w14:paraId="5556EF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F88"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(188</w:t>
            </w:r>
          </w:p>
        </w:tc>
        <w:tc>
          <w:tcPr>
            <w:tcW w:w="0" w:type="auto"/>
            <w:shd w:val="clear" w:color="auto" w:fill="CCEEFF"/>
            <w:tcMar>
              <w:top w:w="40" w:type="dxa"/>
              <w:bottom w:w="40" w:type="dxa"/>
              <w:right w:w="40" w:type="dxa"/>
            </w:tcMar>
            <w:vAlign w:val="bottom"/>
          </w:tcPr>
          <w:p w14:paraId="5556EF89"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CCEEFF"/>
            <w:tcMar>
              <w:top w:w="40" w:type="dxa"/>
              <w:left w:w="40" w:type="dxa"/>
              <w:bottom w:w="40" w:type="dxa"/>
              <w:right w:w="40" w:type="dxa"/>
            </w:tcMar>
            <w:vAlign w:val="bottom"/>
          </w:tcPr>
          <w:p w14:paraId="5556EF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F8B"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(182</w:t>
            </w:r>
          </w:p>
        </w:tc>
        <w:tc>
          <w:tcPr>
            <w:tcW w:w="0" w:type="auto"/>
            <w:shd w:val="clear" w:color="auto" w:fill="CCEEFF"/>
            <w:tcMar>
              <w:top w:w="40" w:type="dxa"/>
              <w:bottom w:w="40" w:type="dxa"/>
              <w:right w:w="40" w:type="dxa"/>
            </w:tcMar>
            <w:vAlign w:val="bottom"/>
          </w:tcPr>
          <w:p w14:paraId="5556EF8C"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r>
      <w:tr w:rsidR="00F925DD" w14:paraId="5556EF97" w14:textId="77777777">
        <w:tc>
          <w:tcPr>
            <w:tcW w:w="0" w:type="auto"/>
            <w:shd w:val="clear" w:color="auto" w:fill="auto"/>
            <w:tcMar>
              <w:top w:w="40" w:type="dxa"/>
              <w:left w:w="400" w:type="dxa"/>
              <w:bottom w:w="40" w:type="dxa"/>
              <w:right w:w="40" w:type="dxa"/>
            </w:tcMar>
            <w:vAlign w:val="bottom"/>
          </w:tcPr>
          <w:p w14:paraId="5556EF8E" w14:textId="77777777" w:rsidR="00F925DD" w:rsidRDefault="00E705D7">
            <w:pPr>
              <w:textAlignment w:val="bottom"/>
              <w:rPr>
                <w:rFonts w:ascii="Times New Roman" w:hAnsi="Times New Roman"/>
                <w:sz w:val="13"/>
                <w:szCs w:val="13"/>
              </w:rPr>
            </w:pPr>
            <w:r>
              <w:rPr>
                <w:rFonts w:ascii="Arial" w:eastAsia="宋体" w:hAnsi="Arial" w:cs="Arial"/>
                <w:sz w:val="13"/>
                <w:szCs w:val="13"/>
              </w:rPr>
              <w:t>Dividends and undistributed earnings allocated to participating securities(1)</w:t>
            </w:r>
          </w:p>
        </w:tc>
        <w:tc>
          <w:tcPr>
            <w:tcW w:w="0" w:type="auto"/>
            <w:gridSpan w:val="2"/>
            <w:shd w:val="clear" w:color="auto" w:fill="auto"/>
            <w:tcMar>
              <w:top w:w="40" w:type="dxa"/>
              <w:left w:w="40" w:type="dxa"/>
              <w:bottom w:w="40" w:type="dxa"/>
            </w:tcMar>
            <w:vAlign w:val="bottom"/>
          </w:tcPr>
          <w:p w14:paraId="5556EF8F"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(1</w:t>
            </w:r>
          </w:p>
        </w:tc>
        <w:tc>
          <w:tcPr>
            <w:tcW w:w="0" w:type="auto"/>
            <w:shd w:val="clear" w:color="auto" w:fill="auto"/>
            <w:tcMar>
              <w:top w:w="40" w:type="dxa"/>
              <w:bottom w:w="40" w:type="dxa"/>
              <w:right w:w="40" w:type="dxa"/>
            </w:tcMar>
            <w:vAlign w:val="bottom"/>
          </w:tcPr>
          <w:p w14:paraId="5556EF90"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left w:w="40" w:type="dxa"/>
              <w:bottom w:w="40" w:type="dxa"/>
              <w:right w:w="40" w:type="dxa"/>
            </w:tcMar>
            <w:vAlign w:val="bottom"/>
          </w:tcPr>
          <w:p w14:paraId="5556EF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EF92"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w:t>
            </w:r>
          </w:p>
        </w:tc>
        <w:tc>
          <w:tcPr>
            <w:tcW w:w="0" w:type="auto"/>
            <w:shd w:val="clear" w:color="auto" w:fill="auto"/>
            <w:tcMar>
              <w:top w:w="40" w:type="dxa"/>
              <w:bottom w:w="40" w:type="dxa"/>
              <w:right w:w="40" w:type="dxa"/>
            </w:tcMar>
            <w:vAlign w:val="bottom"/>
          </w:tcPr>
          <w:p w14:paraId="5556EF93"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left w:w="40" w:type="dxa"/>
              <w:bottom w:w="40" w:type="dxa"/>
              <w:right w:w="40" w:type="dxa"/>
            </w:tcMar>
            <w:vAlign w:val="bottom"/>
          </w:tcPr>
          <w:p w14:paraId="5556EF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F95"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w:t>
            </w:r>
          </w:p>
        </w:tc>
        <w:tc>
          <w:tcPr>
            <w:tcW w:w="0" w:type="auto"/>
            <w:tcBorders>
              <w:bottom w:val="single" w:sz="8" w:space="0" w:color="000000"/>
            </w:tcBorders>
            <w:shd w:val="clear" w:color="auto" w:fill="auto"/>
            <w:tcMar>
              <w:top w:w="40" w:type="dxa"/>
              <w:bottom w:w="40" w:type="dxa"/>
              <w:right w:w="40" w:type="dxa"/>
            </w:tcMar>
            <w:vAlign w:val="bottom"/>
          </w:tcPr>
          <w:p w14:paraId="5556EF96"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r>
      <w:tr w:rsidR="00F925DD" w14:paraId="5556EFA4" w14:textId="77777777">
        <w:tc>
          <w:tcPr>
            <w:tcW w:w="0" w:type="auto"/>
            <w:shd w:val="clear" w:color="auto" w:fill="CCEEFF"/>
            <w:tcMar>
              <w:top w:w="40" w:type="dxa"/>
              <w:left w:w="40" w:type="dxa"/>
              <w:bottom w:w="40" w:type="dxa"/>
              <w:right w:w="40" w:type="dxa"/>
            </w:tcMar>
            <w:vAlign w:val="bottom"/>
          </w:tcPr>
          <w:p w14:paraId="5556EF98" w14:textId="77777777" w:rsidR="00F925DD" w:rsidRDefault="00E705D7">
            <w:pPr>
              <w:textAlignment w:val="bottom"/>
              <w:rPr>
                <w:rFonts w:ascii="Times New Roman" w:hAnsi="Times New Roman"/>
                <w:sz w:val="13"/>
                <w:szCs w:val="13"/>
              </w:rPr>
            </w:pPr>
            <w:r>
              <w:rPr>
                <w:rFonts w:ascii="Arial" w:eastAsia="宋体" w:hAnsi="Arial" w:cs="Arial"/>
                <w:sz w:val="13"/>
                <w:szCs w:val="13"/>
              </w:rPr>
              <w:t>Net income available to common shareholders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F99"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F9A"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2,009</w:t>
            </w:r>
          </w:p>
        </w:tc>
        <w:tc>
          <w:tcPr>
            <w:tcW w:w="0" w:type="auto"/>
            <w:tcBorders>
              <w:top w:val="single" w:sz="8" w:space="0" w:color="000000"/>
              <w:bottom w:val="double" w:sz="6" w:space="0" w:color="000000"/>
            </w:tcBorders>
            <w:shd w:val="clear" w:color="auto" w:fill="CCEEFF"/>
            <w:vAlign w:val="bottom"/>
          </w:tcPr>
          <w:p w14:paraId="5556EF9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F9D"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F9E"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2,404</w:t>
            </w:r>
          </w:p>
        </w:tc>
        <w:tc>
          <w:tcPr>
            <w:tcW w:w="0" w:type="auto"/>
            <w:tcBorders>
              <w:top w:val="single" w:sz="8" w:space="0" w:color="000000"/>
              <w:bottom w:val="double" w:sz="6" w:space="0" w:color="000000"/>
            </w:tcBorders>
            <w:shd w:val="clear" w:color="auto" w:fill="CCEEFF"/>
            <w:vAlign w:val="bottom"/>
          </w:tcPr>
          <w:p w14:paraId="5556EF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EFA1"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EFA2"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1,972</w:t>
            </w:r>
          </w:p>
        </w:tc>
        <w:tc>
          <w:tcPr>
            <w:tcW w:w="0" w:type="auto"/>
            <w:tcBorders>
              <w:top w:val="single" w:sz="8" w:space="0" w:color="000000"/>
              <w:bottom w:val="double" w:sz="6" w:space="0" w:color="000000"/>
            </w:tcBorders>
            <w:shd w:val="clear" w:color="auto" w:fill="CCEEFF"/>
            <w:vAlign w:val="bottom"/>
          </w:tcPr>
          <w:p w14:paraId="5556EFA3" w14:textId="77777777" w:rsidR="00F925DD" w:rsidRDefault="00F925DD">
            <w:pPr>
              <w:textAlignment w:val="bottom"/>
              <w:rPr>
                <w:rFonts w:ascii="Times New Roman" w:hAnsi="Times New Roman"/>
                <w:sz w:val="20"/>
                <w:szCs w:val="20"/>
              </w:rPr>
            </w:pPr>
          </w:p>
        </w:tc>
      </w:tr>
      <w:tr w:rsidR="00F925DD" w14:paraId="5556EFAB" w14:textId="77777777">
        <w:tc>
          <w:tcPr>
            <w:tcW w:w="0" w:type="auto"/>
            <w:shd w:val="clear" w:color="auto" w:fill="auto"/>
            <w:tcMar>
              <w:top w:w="40" w:type="dxa"/>
              <w:left w:w="40" w:type="dxa"/>
              <w:bottom w:w="40" w:type="dxa"/>
              <w:right w:w="40" w:type="dxa"/>
            </w:tcMar>
            <w:vAlign w:val="bottom"/>
          </w:tcPr>
          <w:p w14:paraId="5556EFA5"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Average common shares outstanding (In thousands):</w:t>
            </w:r>
          </w:p>
        </w:tc>
        <w:tc>
          <w:tcPr>
            <w:tcW w:w="0" w:type="auto"/>
            <w:gridSpan w:val="3"/>
            <w:shd w:val="clear" w:color="auto" w:fill="auto"/>
            <w:tcMar>
              <w:top w:w="40" w:type="dxa"/>
              <w:left w:w="40" w:type="dxa"/>
              <w:bottom w:w="40" w:type="dxa"/>
              <w:right w:w="40" w:type="dxa"/>
            </w:tcMar>
            <w:vAlign w:val="bottom"/>
          </w:tcPr>
          <w:p w14:paraId="5556EF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F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F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F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EF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FB5" w14:textId="77777777">
        <w:tc>
          <w:tcPr>
            <w:tcW w:w="0" w:type="auto"/>
            <w:shd w:val="clear" w:color="auto" w:fill="CCEEFF"/>
            <w:tcMar>
              <w:top w:w="40" w:type="dxa"/>
              <w:left w:w="40" w:type="dxa"/>
              <w:bottom w:w="40" w:type="dxa"/>
              <w:right w:w="40" w:type="dxa"/>
            </w:tcMar>
            <w:vAlign w:val="bottom"/>
          </w:tcPr>
          <w:p w14:paraId="5556EFAC" w14:textId="77777777" w:rsidR="00F925DD" w:rsidRDefault="00E705D7">
            <w:pPr>
              <w:textAlignment w:val="bottom"/>
              <w:rPr>
                <w:rFonts w:ascii="Times New Roman" w:hAnsi="Times New Roman"/>
                <w:sz w:val="13"/>
                <w:szCs w:val="13"/>
              </w:rPr>
            </w:pPr>
            <w:r>
              <w:rPr>
                <w:rFonts w:ascii="Arial" w:eastAsia="宋体" w:hAnsi="Arial" w:cs="Arial"/>
                <w:sz w:val="13"/>
                <w:szCs w:val="13"/>
              </w:rPr>
              <w:t>Basic average common shares</w:t>
            </w:r>
          </w:p>
        </w:tc>
        <w:tc>
          <w:tcPr>
            <w:tcW w:w="0" w:type="auto"/>
            <w:gridSpan w:val="2"/>
            <w:shd w:val="clear" w:color="auto" w:fill="CCEEFF"/>
            <w:tcMar>
              <w:top w:w="40" w:type="dxa"/>
              <w:left w:w="40" w:type="dxa"/>
              <w:bottom w:w="40" w:type="dxa"/>
            </w:tcMar>
            <w:vAlign w:val="bottom"/>
          </w:tcPr>
          <w:p w14:paraId="5556EFAD"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369,911</w:t>
            </w:r>
          </w:p>
        </w:tc>
        <w:tc>
          <w:tcPr>
            <w:tcW w:w="0" w:type="auto"/>
            <w:shd w:val="clear" w:color="auto" w:fill="CCEEFF"/>
            <w:vAlign w:val="bottom"/>
          </w:tcPr>
          <w:p w14:paraId="5556EFA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FB0"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371,983</w:t>
            </w:r>
          </w:p>
        </w:tc>
        <w:tc>
          <w:tcPr>
            <w:tcW w:w="0" w:type="auto"/>
            <w:shd w:val="clear" w:color="auto" w:fill="CCEEFF"/>
            <w:vAlign w:val="bottom"/>
          </w:tcPr>
          <w:p w14:paraId="5556EFB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FB3"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374,793</w:t>
            </w:r>
          </w:p>
        </w:tc>
        <w:tc>
          <w:tcPr>
            <w:tcW w:w="0" w:type="auto"/>
            <w:shd w:val="clear" w:color="auto" w:fill="CCEEFF"/>
            <w:vAlign w:val="bottom"/>
          </w:tcPr>
          <w:p w14:paraId="5556EFB4" w14:textId="77777777" w:rsidR="00F925DD" w:rsidRDefault="00F925DD">
            <w:pPr>
              <w:textAlignment w:val="bottom"/>
              <w:rPr>
                <w:rFonts w:ascii="Times New Roman" w:hAnsi="Times New Roman"/>
                <w:sz w:val="20"/>
                <w:szCs w:val="20"/>
              </w:rPr>
            </w:pPr>
          </w:p>
        </w:tc>
      </w:tr>
      <w:tr w:rsidR="00F925DD" w14:paraId="5556EFBF" w14:textId="77777777">
        <w:tc>
          <w:tcPr>
            <w:tcW w:w="0" w:type="auto"/>
            <w:shd w:val="clear" w:color="auto" w:fill="auto"/>
            <w:tcMar>
              <w:top w:w="40" w:type="dxa"/>
              <w:left w:w="40" w:type="dxa"/>
              <w:bottom w:w="40" w:type="dxa"/>
              <w:right w:w="40" w:type="dxa"/>
            </w:tcMar>
            <w:vAlign w:val="bottom"/>
          </w:tcPr>
          <w:p w14:paraId="5556EFB6" w14:textId="77777777" w:rsidR="00F925DD" w:rsidRDefault="00E705D7">
            <w:pPr>
              <w:textAlignment w:val="bottom"/>
              <w:rPr>
                <w:rFonts w:ascii="Times New Roman" w:hAnsi="Times New Roman"/>
                <w:sz w:val="13"/>
                <w:szCs w:val="13"/>
              </w:rPr>
            </w:pPr>
            <w:r>
              <w:rPr>
                <w:rFonts w:ascii="Arial" w:eastAsia="宋体" w:hAnsi="Arial" w:cs="Arial"/>
                <w:sz w:val="13"/>
                <w:szCs w:val="13"/>
              </w:rPr>
              <w:t>Effect of dilutive securities: equity-based awards</w:t>
            </w:r>
          </w:p>
        </w:tc>
        <w:tc>
          <w:tcPr>
            <w:tcW w:w="0" w:type="auto"/>
            <w:gridSpan w:val="2"/>
            <w:tcBorders>
              <w:bottom w:val="single" w:sz="8" w:space="0" w:color="000000"/>
            </w:tcBorders>
            <w:shd w:val="clear" w:color="auto" w:fill="auto"/>
            <w:tcMar>
              <w:top w:w="40" w:type="dxa"/>
              <w:left w:w="40" w:type="dxa"/>
              <w:bottom w:w="40" w:type="dxa"/>
            </w:tcMar>
            <w:vAlign w:val="bottom"/>
          </w:tcPr>
          <w:p w14:paraId="5556EFB7"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3,755</w:t>
            </w:r>
          </w:p>
        </w:tc>
        <w:tc>
          <w:tcPr>
            <w:tcW w:w="0" w:type="auto"/>
            <w:tcBorders>
              <w:bottom w:val="single" w:sz="8" w:space="0" w:color="000000"/>
            </w:tcBorders>
            <w:shd w:val="clear" w:color="auto" w:fill="auto"/>
            <w:vAlign w:val="bottom"/>
          </w:tcPr>
          <w:p w14:paraId="5556EF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F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FBA"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4,493</w:t>
            </w:r>
          </w:p>
        </w:tc>
        <w:tc>
          <w:tcPr>
            <w:tcW w:w="0" w:type="auto"/>
            <w:tcBorders>
              <w:bottom w:val="single" w:sz="8" w:space="0" w:color="000000"/>
            </w:tcBorders>
            <w:shd w:val="clear" w:color="auto" w:fill="auto"/>
            <w:vAlign w:val="bottom"/>
          </w:tcPr>
          <w:p w14:paraId="5556EFB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F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EFBD"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5,420</w:t>
            </w:r>
          </w:p>
        </w:tc>
        <w:tc>
          <w:tcPr>
            <w:tcW w:w="0" w:type="auto"/>
            <w:tcBorders>
              <w:bottom w:val="single" w:sz="8" w:space="0" w:color="000000"/>
            </w:tcBorders>
            <w:shd w:val="clear" w:color="auto" w:fill="auto"/>
            <w:vAlign w:val="bottom"/>
          </w:tcPr>
          <w:p w14:paraId="5556EFBE" w14:textId="77777777" w:rsidR="00F925DD" w:rsidRDefault="00F925DD">
            <w:pPr>
              <w:textAlignment w:val="bottom"/>
              <w:rPr>
                <w:rFonts w:ascii="Times New Roman" w:hAnsi="Times New Roman"/>
                <w:sz w:val="20"/>
                <w:szCs w:val="20"/>
              </w:rPr>
            </w:pPr>
          </w:p>
        </w:tc>
      </w:tr>
      <w:tr w:rsidR="00F925DD" w14:paraId="5556EFC9" w14:textId="77777777">
        <w:tc>
          <w:tcPr>
            <w:tcW w:w="0" w:type="auto"/>
            <w:shd w:val="clear" w:color="auto" w:fill="CCEEFF"/>
            <w:tcMar>
              <w:top w:w="40" w:type="dxa"/>
              <w:left w:w="40" w:type="dxa"/>
              <w:bottom w:w="40" w:type="dxa"/>
              <w:right w:w="40" w:type="dxa"/>
            </w:tcMar>
            <w:vAlign w:val="bottom"/>
          </w:tcPr>
          <w:p w14:paraId="5556EFC0" w14:textId="77777777" w:rsidR="00F925DD" w:rsidRDefault="00E705D7">
            <w:pPr>
              <w:textAlignment w:val="bottom"/>
              <w:rPr>
                <w:rFonts w:ascii="Times New Roman" w:hAnsi="Times New Roman"/>
                <w:sz w:val="13"/>
                <w:szCs w:val="13"/>
              </w:rPr>
            </w:pPr>
            <w:r>
              <w:rPr>
                <w:rFonts w:ascii="Arial" w:eastAsia="宋体" w:hAnsi="Arial" w:cs="Arial"/>
                <w:sz w:val="13"/>
                <w:szCs w:val="13"/>
              </w:rPr>
              <w:t>Diluted average common shares</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5556EFC1"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373,666</w:t>
            </w:r>
          </w:p>
        </w:tc>
        <w:tc>
          <w:tcPr>
            <w:tcW w:w="0" w:type="auto"/>
            <w:tcBorders>
              <w:top w:val="single" w:sz="8" w:space="0" w:color="000000"/>
              <w:bottom w:val="double" w:sz="6" w:space="0" w:color="000000"/>
            </w:tcBorders>
            <w:shd w:val="clear" w:color="auto" w:fill="CCEEFF"/>
            <w:vAlign w:val="bottom"/>
          </w:tcPr>
          <w:p w14:paraId="5556EFC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5556EFC4"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376,476</w:t>
            </w:r>
          </w:p>
        </w:tc>
        <w:tc>
          <w:tcPr>
            <w:tcW w:w="0" w:type="auto"/>
            <w:tcBorders>
              <w:top w:val="single" w:sz="8" w:space="0" w:color="000000"/>
              <w:bottom w:val="double" w:sz="6" w:space="0" w:color="000000"/>
            </w:tcBorders>
            <w:shd w:val="clear" w:color="auto" w:fill="CCEEFF"/>
            <w:vAlign w:val="bottom"/>
          </w:tcPr>
          <w:p w14:paraId="5556EF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5556EFC7"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380,213</w:t>
            </w:r>
          </w:p>
        </w:tc>
        <w:tc>
          <w:tcPr>
            <w:tcW w:w="0" w:type="auto"/>
            <w:tcBorders>
              <w:top w:val="single" w:sz="8" w:space="0" w:color="000000"/>
              <w:bottom w:val="double" w:sz="6" w:space="0" w:color="000000"/>
            </w:tcBorders>
            <w:shd w:val="clear" w:color="auto" w:fill="CCEEFF"/>
            <w:vAlign w:val="bottom"/>
          </w:tcPr>
          <w:p w14:paraId="5556EFC8" w14:textId="77777777" w:rsidR="00F925DD" w:rsidRDefault="00F925DD">
            <w:pPr>
              <w:textAlignment w:val="bottom"/>
              <w:rPr>
                <w:rFonts w:ascii="Times New Roman" w:hAnsi="Times New Roman"/>
                <w:sz w:val="20"/>
                <w:szCs w:val="20"/>
              </w:rPr>
            </w:pPr>
          </w:p>
        </w:tc>
      </w:tr>
      <w:tr w:rsidR="00F925DD" w14:paraId="5556EFD3" w14:textId="77777777">
        <w:tc>
          <w:tcPr>
            <w:tcW w:w="0" w:type="auto"/>
            <w:shd w:val="clear" w:color="auto" w:fill="auto"/>
            <w:tcMar>
              <w:top w:w="40" w:type="dxa"/>
              <w:left w:w="40" w:type="dxa"/>
              <w:bottom w:w="40" w:type="dxa"/>
              <w:right w:w="40" w:type="dxa"/>
            </w:tcMar>
            <w:vAlign w:val="bottom"/>
          </w:tcPr>
          <w:p w14:paraId="5556EFCA" w14:textId="77777777" w:rsidR="00F925DD" w:rsidRDefault="00E705D7">
            <w:pPr>
              <w:textAlignment w:val="bottom"/>
              <w:rPr>
                <w:rFonts w:ascii="Times New Roman" w:hAnsi="Times New Roman"/>
                <w:sz w:val="13"/>
                <w:szCs w:val="13"/>
              </w:rPr>
            </w:pPr>
            <w:r>
              <w:rPr>
                <w:rFonts w:ascii="Arial" w:eastAsia="宋体" w:hAnsi="Arial" w:cs="Arial"/>
                <w:sz w:val="13"/>
                <w:szCs w:val="13"/>
              </w:rPr>
              <w:t>Anti-dilutive securities(2)</w:t>
            </w:r>
          </w:p>
        </w:tc>
        <w:tc>
          <w:tcPr>
            <w:tcW w:w="0" w:type="auto"/>
            <w:gridSpan w:val="2"/>
            <w:tcBorders>
              <w:top w:val="double" w:sz="6" w:space="0" w:color="000000"/>
            </w:tcBorders>
            <w:shd w:val="clear" w:color="auto" w:fill="auto"/>
            <w:tcMar>
              <w:top w:w="40" w:type="dxa"/>
              <w:left w:w="40" w:type="dxa"/>
              <w:bottom w:w="40" w:type="dxa"/>
            </w:tcMar>
            <w:vAlign w:val="bottom"/>
          </w:tcPr>
          <w:p w14:paraId="5556EFCB"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2,052</w:t>
            </w:r>
          </w:p>
        </w:tc>
        <w:tc>
          <w:tcPr>
            <w:tcW w:w="0" w:type="auto"/>
            <w:tcBorders>
              <w:top w:val="double" w:sz="6" w:space="0" w:color="000000"/>
            </w:tcBorders>
            <w:shd w:val="clear" w:color="auto" w:fill="auto"/>
            <w:vAlign w:val="bottom"/>
          </w:tcPr>
          <w:p w14:paraId="5556EFC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F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5556EFCE"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1,011</w:t>
            </w:r>
          </w:p>
        </w:tc>
        <w:tc>
          <w:tcPr>
            <w:tcW w:w="0" w:type="auto"/>
            <w:tcBorders>
              <w:top w:val="double" w:sz="6" w:space="0" w:color="000000"/>
            </w:tcBorders>
            <w:shd w:val="clear" w:color="auto" w:fill="auto"/>
            <w:vAlign w:val="bottom"/>
          </w:tcPr>
          <w:p w14:paraId="5556EFC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F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tcBorders>
            <w:shd w:val="clear" w:color="auto" w:fill="auto"/>
            <w:tcMar>
              <w:top w:w="40" w:type="dxa"/>
              <w:left w:w="40" w:type="dxa"/>
              <w:bottom w:w="40" w:type="dxa"/>
            </w:tcMar>
            <w:vAlign w:val="bottom"/>
          </w:tcPr>
          <w:p w14:paraId="5556EFD1"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188</w:t>
            </w:r>
          </w:p>
        </w:tc>
        <w:tc>
          <w:tcPr>
            <w:tcW w:w="0" w:type="auto"/>
            <w:tcBorders>
              <w:top w:val="double" w:sz="6" w:space="0" w:color="000000"/>
            </w:tcBorders>
            <w:shd w:val="clear" w:color="auto" w:fill="auto"/>
            <w:vAlign w:val="bottom"/>
          </w:tcPr>
          <w:p w14:paraId="5556EFD2" w14:textId="77777777" w:rsidR="00F925DD" w:rsidRDefault="00F925DD">
            <w:pPr>
              <w:textAlignment w:val="bottom"/>
              <w:rPr>
                <w:rFonts w:ascii="Times New Roman" w:hAnsi="Times New Roman"/>
                <w:sz w:val="20"/>
                <w:szCs w:val="20"/>
              </w:rPr>
            </w:pPr>
          </w:p>
        </w:tc>
      </w:tr>
      <w:tr w:rsidR="00F925DD" w14:paraId="5556EFDA" w14:textId="77777777">
        <w:tc>
          <w:tcPr>
            <w:tcW w:w="0" w:type="auto"/>
            <w:shd w:val="clear" w:color="auto" w:fill="CCEEFF"/>
            <w:tcMar>
              <w:top w:w="40" w:type="dxa"/>
              <w:left w:w="40" w:type="dxa"/>
              <w:bottom w:w="40" w:type="dxa"/>
              <w:right w:w="40" w:type="dxa"/>
            </w:tcMar>
            <w:vAlign w:val="bottom"/>
          </w:tcPr>
          <w:p w14:paraId="5556EFD4"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Earnings per common share:</w:t>
            </w:r>
          </w:p>
        </w:tc>
        <w:tc>
          <w:tcPr>
            <w:tcW w:w="0" w:type="auto"/>
            <w:gridSpan w:val="3"/>
            <w:shd w:val="clear" w:color="auto" w:fill="CCEEFF"/>
            <w:tcMar>
              <w:top w:w="40" w:type="dxa"/>
              <w:left w:w="40" w:type="dxa"/>
              <w:bottom w:w="40" w:type="dxa"/>
              <w:right w:w="40" w:type="dxa"/>
            </w:tcMar>
            <w:vAlign w:val="bottom"/>
          </w:tcPr>
          <w:p w14:paraId="5556EF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F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F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EF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EF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EFE7" w14:textId="77777777">
        <w:tc>
          <w:tcPr>
            <w:tcW w:w="0" w:type="auto"/>
            <w:shd w:val="clear" w:color="auto" w:fill="auto"/>
            <w:tcMar>
              <w:top w:w="40" w:type="dxa"/>
              <w:left w:w="40" w:type="dxa"/>
              <w:bottom w:w="40" w:type="dxa"/>
              <w:right w:w="40" w:type="dxa"/>
            </w:tcMar>
            <w:vAlign w:val="bottom"/>
          </w:tcPr>
          <w:p w14:paraId="5556EFDB" w14:textId="77777777" w:rsidR="00F925DD" w:rsidRDefault="00E705D7">
            <w:pPr>
              <w:textAlignment w:val="bottom"/>
              <w:rPr>
                <w:rFonts w:ascii="Times New Roman" w:hAnsi="Times New Roman"/>
                <w:sz w:val="13"/>
                <w:szCs w:val="13"/>
              </w:rPr>
            </w:pPr>
            <w:r>
              <w:rPr>
                <w:rFonts w:ascii="Arial" w:eastAsia="宋体" w:hAnsi="Arial" w:cs="Arial"/>
                <w:sz w:val="13"/>
                <w:szCs w:val="13"/>
              </w:rPr>
              <w:t>Basic</w:t>
            </w:r>
          </w:p>
        </w:tc>
        <w:tc>
          <w:tcPr>
            <w:tcW w:w="0" w:type="auto"/>
            <w:shd w:val="clear" w:color="auto" w:fill="auto"/>
            <w:tcMar>
              <w:top w:w="40" w:type="dxa"/>
              <w:left w:w="40" w:type="dxa"/>
              <w:bottom w:w="40" w:type="dxa"/>
            </w:tcMar>
            <w:vAlign w:val="bottom"/>
          </w:tcPr>
          <w:p w14:paraId="5556EFDC" w14:textId="77777777" w:rsidR="00F925DD" w:rsidRDefault="00E705D7">
            <w:pPr>
              <w:textAlignment w:val="bottom"/>
              <w:rPr>
                <w:rFonts w:ascii="Times New Roman" w:hAnsi="Times New Roman"/>
                <w:sz w:val="13"/>
                <w:szCs w:val="13"/>
              </w:rPr>
            </w:pPr>
            <w:r>
              <w:rPr>
                <w:rFonts w:ascii="Arial" w:eastAsia="宋体" w:hAnsi="Arial" w:cs="Arial"/>
                <w:b/>
                <w:bCs/>
                <w:sz w:val="13"/>
                <w:szCs w:val="13"/>
              </w:rPr>
              <w:t>$</w:t>
            </w:r>
          </w:p>
        </w:tc>
        <w:tc>
          <w:tcPr>
            <w:tcW w:w="0" w:type="auto"/>
            <w:shd w:val="clear" w:color="auto" w:fill="auto"/>
            <w:tcMar>
              <w:top w:w="40" w:type="dxa"/>
              <w:bottom w:w="40" w:type="dxa"/>
            </w:tcMar>
            <w:vAlign w:val="bottom"/>
          </w:tcPr>
          <w:p w14:paraId="5556EFDD"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5.43</w:t>
            </w:r>
          </w:p>
        </w:tc>
        <w:tc>
          <w:tcPr>
            <w:tcW w:w="0" w:type="auto"/>
            <w:shd w:val="clear" w:color="auto" w:fill="auto"/>
            <w:vAlign w:val="bottom"/>
          </w:tcPr>
          <w:p w14:paraId="5556EFD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F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FE0"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bottom w:w="40" w:type="dxa"/>
            </w:tcMar>
            <w:vAlign w:val="bottom"/>
          </w:tcPr>
          <w:p w14:paraId="5556EFE1"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6.46</w:t>
            </w:r>
          </w:p>
        </w:tc>
        <w:tc>
          <w:tcPr>
            <w:tcW w:w="0" w:type="auto"/>
            <w:shd w:val="clear" w:color="auto" w:fill="auto"/>
            <w:vAlign w:val="bottom"/>
          </w:tcPr>
          <w:p w14:paraId="5556EFE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EF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EFE4" w14:textId="77777777" w:rsidR="00F925DD" w:rsidRDefault="00E705D7">
            <w:pPr>
              <w:textAlignment w:val="bottom"/>
              <w:rPr>
                <w:rFonts w:ascii="Times New Roman" w:hAnsi="Times New Roman"/>
                <w:sz w:val="13"/>
                <w:szCs w:val="13"/>
              </w:rPr>
            </w:pPr>
            <w:r>
              <w:rPr>
                <w:rFonts w:ascii="Arial" w:eastAsia="宋体" w:hAnsi="Arial" w:cs="Arial"/>
                <w:sz w:val="13"/>
                <w:szCs w:val="13"/>
              </w:rPr>
              <w:t>$</w:t>
            </w:r>
          </w:p>
        </w:tc>
        <w:tc>
          <w:tcPr>
            <w:tcW w:w="0" w:type="auto"/>
            <w:shd w:val="clear" w:color="auto" w:fill="auto"/>
            <w:tcMar>
              <w:top w:w="40" w:type="dxa"/>
              <w:bottom w:w="40" w:type="dxa"/>
            </w:tcMar>
            <w:vAlign w:val="bottom"/>
          </w:tcPr>
          <w:p w14:paraId="5556EFE5"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5.26</w:t>
            </w:r>
          </w:p>
        </w:tc>
        <w:tc>
          <w:tcPr>
            <w:tcW w:w="0" w:type="auto"/>
            <w:shd w:val="clear" w:color="auto" w:fill="auto"/>
            <w:vAlign w:val="bottom"/>
          </w:tcPr>
          <w:p w14:paraId="5556EFE6" w14:textId="77777777" w:rsidR="00F925DD" w:rsidRDefault="00F925DD">
            <w:pPr>
              <w:textAlignment w:val="bottom"/>
              <w:rPr>
                <w:rFonts w:ascii="Times New Roman" w:hAnsi="Times New Roman"/>
                <w:sz w:val="20"/>
                <w:szCs w:val="20"/>
              </w:rPr>
            </w:pPr>
          </w:p>
        </w:tc>
      </w:tr>
      <w:tr w:rsidR="00F925DD" w14:paraId="5556EFF1" w14:textId="77777777">
        <w:tc>
          <w:tcPr>
            <w:tcW w:w="0" w:type="auto"/>
            <w:shd w:val="clear" w:color="auto" w:fill="CCEEFF"/>
            <w:tcMar>
              <w:top w:w="40" w:type="dxa"/>
              <w:left w:w="40" w:type="dxa"/>
              <w:bottom w:w="40" w:type="dxa"/>
              <w:right w:w="40" w:type="dxa"/>
            </w:tcMar>
            <w:vAlign w:val="bottom"/>
          </w:tcPr>
          <w:p w14:paraId="5556EFE8" w14:textId="77777777" w:rsidR="00F925DD" w:rsidRDefault="00E705D7">
            <w:pPr>
              <w:textAlignment w:val="bottom"/>
              <w:rPr>
                <w:rFonts w:ascii="Times New Roman" w:hAnsi="Times New Roman"/>
                <w:sz w:val="13"/>
                <w:szCs w:val="13"/>
              </w:rPr>
            </w:pPr>
            <w:r>
              <w:rPr>
                <w:rFonts w:ascii="Arial" w:eastAsia="宋体" w:hAnsi="Arial" w:cs="Arial"/>
                <w:sz w:val="13"/>
                <w:szCs w:val="13"/>
              </w:rPr>
              <w:t>Diluted(3)</w:t>
            </w:r>
          </w:p>
        </w:tc>
        <w:tc>
          <w:tcPr>
            <w:tcW w:w="0" w:type="auto"/>
            <w:gridSpan w:val="2"/>
            <w:shd w:val="clear" w:color="auto" w:fill="CCEEFF"/>
            <w:tcMar>
              <w:top w:w="40" w:type="dxa"/>
              <w:left w:w="40" w:type="dxa"/>
              <w:bottom w:w="40" w:type="dxa"/>
            </w:tcMar>
            <w:vAlign w:val="bottom"/>
          </w:tcPr>
          <w:p w14:paraId="5556EFE9" w14:textId="77777777" w:rsidR="00F925DD" w:rsidRDefault="00E705D7">
            <w:pPr>
              <w:jc w:val="right"/>
              <w:textAlignment w:val="bottom"/>
              <w:rPr>
                <w:rFonts w:ascii="Times New Roman" w:hAnsi="Times New Roman"/>
                <w:sz w:val="13"/>
                <w:szCs w:val="13"/>
              </w:rPr>
            </w:pPr>
            <w:r>
              <w:rPr>
                <w:rFonts w:ascii="Arial" w:eastAsia="宋体" w:hAnsi="Arial" w:cs="Arial"/>
                <w:b/>
                <w:bCs/>
                <w:sz w:val="13"/>
                <w:szCs w:val="13"/>
              </w:rPr>
              <w:t>5.38</w:t>
            </w:r>
          </w:p>
        </w:tc>
        <w:tc>
          <w:tcPr>
            <w:tcW w:w="0" w:type="auto"/>
            <w:shd w:val="clear" w:color="auto" w:fill="CCEEFF"/>
            <w:vAlign w:val="bottom"/>
          </w:tcPr>
          <w:p w14:paraId="5556EF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FEC"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6.39</w:t>
            </w:r>
          </w:p>
        </w:tc>
        <w:tc>
          <w:tcPr>
            <w:tcW w:w="0" w:type="auto"/>
            <w:shd w:val="clear" w:color="auto" w:fill="CCEEFF"/>
            <w:vAlign w:val="bottom"/>
          </w:tcPr>
          <w:p w14:paraId="5556EFE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EF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EFEF" w14:textId="77777777" w:rsidR="00F925DD" w:rsidRDefault="00E705D7">
            <w:pPr>
              <w:jc w:val="right"/>
              <w:textAlignment w:val="bottom"/>
              <w:rPr>
                <w:rFonts w:ascii="Times New Roman" w:hAnsi="Times New Roman"/>
                <w:sz w:val="13"/>
                <w:szCs w:val="13"/>
              </w:rPr>
            </w:pPr>
            <w:r>
              <w:rPr>
                <w:rFonts w:ascii="Arial" w:eastAsia="宋体" w:hAnsi="Arial" w:cs="Arial"/>
                <w:sz w:val="13"/>
                <w:szCs w:val="13"/>
              </w:rPr>
              <w:t>5.19</w:t>
            </w:r>
          </w:p>
        </w:tc>
        <w:tc>
          <w:tcPr>
            <w:tcW w:w="0" w:type="auto"/>
            <w:shd w:val="clear" w:color="auto" w:fill="CCEEFF"/>
            <w:vAlign w:val="bottom"/>
          </w:tcPr>
          <w:p w14:paraId="5556EFF0" w14:textId="77777777" w:rsidR="00F925DD" w:rsidRDefault="00F925DD">
            <w:pPr>
              <w:textAlignment w:val="bottom"/>
              <w:rPr>
                <w:rFonts w:ascii="Times New Roman" w:hAnsi="Times New Roman"/>
                <w:sz w:val="20"/>
                <w:szCs w:val="20"/>
              </w:rPr>
            </w:pPr>
          </w:p>
        </w:tc>
      </w:tr>
    </w:tbl>
    <w:p w14:paraId="5556EFF2"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4984"/>
        <w:gridCol w:w="3322"/>
      </w:tblGrid>
      <w:tr w:rsidR="00F925DD" w14:paraId="5556EFF4" w14:textId="77777777">
        <w:tc>
          <w:tcPr>
            <w:tcW w:w="0" w:type="auto"/>
            <w:gridSpan w:val="2"/>
            <w:shd w:val="clear" w:color="auto" w:fill="auto"/>
            <w:vAlign w:val="center"/>
          </w:tcPr>
          <w:p w14:paraId="5556EFF3" w14:textId="77777777" w:rsidR="00F925DD" w:rsidRDefault="00F925DD">
            <w:pPr>
              <w:rPr>
                <w:rFonts w:ascii="Times New Roman" w:hAnsi="Times New Roman"/>
                <w:sz w:val="20"/>
                <w:szCs w:val="20"/>
              </w:rPr>
            </w:pPr>
          </w:p>
        </w:tc>
      </w:tr>
      <w:tr w:rsidR="00F925DD" w14:paraId="5556EFF7" w14:textId="77777777">
        <w:tc>
          <w:tcPr>
            <w:tcW w:w="3000" w:type="pct"/>
            <w:shd w:val="clear" w:color="auto" w:fill="auto"/>
            <w:vAlign w:val="center"/>
          </w:tcPr>
          <w:p w14:paraId="5556EFF5" w14:textId="77777777" w:rsidR="00F925DD" w:rsidRDefault="00F925DD">
            <w:pPr>
              <w:rPr>
                <w:rFonts w:ascii="Times New Roman" w:hAnsi="Times New Roman"/>
                <w:sz w:val="20"/>
                <w:szCs w:val="20"/>
              </w:rPr>
            </w:pPr>
          </w:p>
        </w:tc>
        <w:tc>
          <w:tcPr>
            <w:tcW w:w="2000" w:type="pct"/>
            <w:shd w:val="clear" w:color="auto" w:fill="auto"/>
            <w:vAlign w:val="center"/>
          </w:tcPr>
          <w:p w14:paraId="5556EFF6" w14:textId="77777777" w:rsidR="00F925DD" w:rsidRDefault="00F925DD">
            <w:pPr>
              <w:rPr>
                <w:rFonts w:ascii="Times New Roman" w:hAnsi="Times New Roman"/>
                <w:sz w:val="20"/>
                <w:szCs w:val="20"/>
              </w:rPr>
            </w:pPr>
          </w:p>
        </w:tc>
      </w:tr>
      <w:tr w:rsidR="00F925DD" w14:paraId="5556EFF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EF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EF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EFFB" w14:textId="77777777" w:rsidR="00F925DD" w:rsidRDefault="00F925DD">
      <w:pPr>
        <w:spacing w:line="288" w:lineRule="auto"/>
        <w:rPr>
          <w:rFonts w:ascii="Times New Roman" w:hAnsi="Times New Roman"/>
          <w:sz w:val="20"/>
          <w:szCs w:val="20"/>
        </w:rPr>
      </w:pPr>
    </w:p>
    <w:p w14:paraId="5556EFFC"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(1) </w:t>
      </w:r>
      <w:r>
        <w:rPr>
          <w:rFonts w:ascii="Arial" w:eastAsia="宋体" w:hAnsi="Arial" w:cs="Arial"/>
          <w:sz w:val="12"/>
          <w:szCs w:val="12"/>
        </w:rPr>
        <w:t xml:space="preserve">Represents the portion of net income available to </w:t>
      </w:r>
      <w:r>
        <w:rPr>
          <w:rFonts w:ascii="Arial" w:eastAsia="宋体" w:hAnsi="Arial" w:cs="Arial"/>
          <w:sz w:val="12"/>
          <w:szCs w:val="12"/>
        </w:rPr>
        <w:t>common equity allocated to participating securities, composed of unvested and fully vested SERP (Supplemental executive retirement plans) shares and fully vested deferred director stock awards, which are equity-based awards that contain non-forfeitable rig</w:t>
      </w:r>
      <w:r>
        <w:rPr>
          <w:rFonts w:ascii="Arial" w:eastAsia="宋体" w:hAnsi="Arial" w:cs="Arial"/>
          <w:sz w:val="12"/>
          <w:szCs w:val="12"/>
        </w:rPr>
        <w:t>hts to dividends, and are considered to participate with the common stock in undistributed earnings.</w:t>
      </w:r>
    </w:p>
    <w:p w14:paraId="5556EFFD"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(2) </w:t>
      </w:r>
      <w:r>
        <w:rPr>
          <w:rFonts w:ascii="Arial" w:eastAsia="宋体" w:hAnsi="Arial" w:cs="Arial"/>
          <w:sz w:val="12"/>
          <w:szCs w:val="12"/>
        </w:rPr>
        <w:t>Represents equity-based awards outstanding but not included in the computation of diluted average common shares, because their effect was anti-dilutive</w:t>
      </w:r>
      <w:r>
        <w:rPr>
          <w:rFonts w:ascii="Arial" w:eastAsia="宋体" w:hAnsi="Arial" w:cs="Arial"/>
          <w:sz w:val="12"/>
          <w:szCs w:val="12"/>
        </w:rPr>
        <w:t>. Additional information about equity-based awards is provided in Note 18.</w:t>
      </w:r>
    </w:p>
    <w:p w14:paraId="5556EFFE" w14:textId="77777777" w:rsidR="00F925DD" w:rsidRDefault="00E705D7">
      <w:pPr>
        <w:spacing w:line="288" w:lineRule="auto"/>
        <w:jc w:val="both"/>
        <w:rPr>
          <w:rFonts w:ascii="Times New Roman" w:hAnsi="Times New Roman"/>
          <w:sz w:val="12"/>
          <w:szCs w:val="12"/>
        </w:rPr>
      </w:pPr>
      <w:r>
        <w:rPr>
          <w:rFonts w:ascii="Arial" w:eastAsia="宋体" w:hAnsi="Arial" w:cs="Arial"/>
          <w:sz w:val="8"/>
          <w:szCs w:val="8"/>
        </w:rPr>
        <w:t xml:space="preserve">(3) </w:t>
      </w:r>
      <w:r>
        <w:rPr>
          <w:rFonts w:ascii="Arial" w:eastAsia="宋体" w:hAnsi="Arial" w:cs="Arial"/>
          <w:sz w:val="12"/>
          <w:szCs w:val="12"/>
        </w:rPr>
        <w:t>Calculations reflect allocation of earnings to participating securities using the two-class method, as this computation is more dilutive than the treasury stock method.</w:t>
      </w:r>
    </w:p>
    <w:p w14:paraId="5556EFFF"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24.</w:t>
      </w:r>
      <w:r>
        <w:rPr>
          <w:rFonts w:ascii="Arial" w:eastAsia="宋体" w:hAnsi="Arial" w:cs="Arial"/>
          <w:b/>
          <w:bCs/>
          <w:sz w:val="20"/>
          <w:szCs w:val="20"/>
        </w:rPr>
        <w:t xml:space="preserve"> Line of Business Information</w:t>
      </w:r>
    </w:p>
    <w:p w14:paraId="5556F00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operations are organized into two lines of business: Investment Servicing and Investment Management, which are defined based on products and services provided. The results of operations for these lines of business are not </w:t>
      </w:r>
      <w:r>
        <w:rPr>
          <w:rFonts w:ascii="Arial" w:eastAsia="宋体" w:hAnsi="Arial" w:cs="Arial"/>
          <w:sz w:val="20"/>
          <w:szCs w:val="20"/>
        </w:rPr>
        <w:t xml:space="preserve">necessarily comparable with those of other companies, including companies in the financial services industry. </w:t>
      </w:r>
    </w:p>
    <w:p w14:paraId="5556F00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 xml:space="preserve">Investment Servicing, </w:t>
      </w:r>
      <w:r>
        <w:rPr>
          <w:rFonts w:ascii="Arial" w:eastAsia="宋体" w:hAnsi="Arial" w:cs="Arial"/>
          <w:sz w:val="20"/>
          <w:szCs w:val="20"/>
        </w:rPr>
        <w:t>through</w:t>
      </w:r>
      <w:r>
        <w:rPr>
          <w:rFonts w:ascii="Arial" w:eastAsia="宋体" w:hAnsi="Arial" w:cs="Arial"/>
          <w:i/>
          <w:iCs/>
          <w:sz w:val="20"/>
          <w:szCs w:val="20"/>
        </w:rPr>
        <w:t xml:space="preserve"> </w:t>
      </w:r>
      <w:r>
        <w:rPr>
          <w:rFonts w:ascii="Arial" w:eastAsia="宋体" w:hAnsi="Arial" w:cs="Arial"/>
          <w:sz w:val="20"/>
          <w:szCs w:val="20"/>
        </w:rPr>
        <w:t xml:space="preserve">State Street Global Services, State Street Global Markets, State Street Global Exchange and CRD, provides services </w:t>
      </w:r>
      <w:r>
        <w:rPr>
          <w:rFonts w:ascii="Arial" w:eastAsia="宋体" w:hAnsi="Arial" w:cs="Arial"/>
          <w:sz w:val="20"/>
          <w:szCs w:val="20"/>
        </w:rPr>
        <w:t xml:space="preserve">for U.S. mutual funds, collective investment funds and other investment pools, corporate and public retirement plans, insurance companies, foundations and </w:t>
      </w:r>
    </w:p>
    <w:p w14:paraId="5556F002" w14:textId="77777777" w:rsidR="00F925DD" w:rsidRDefault="00E705D7">
      <w:pPr>
        <w:rPr>
          <w:rFonts w:ascii="Times New Roman" w:hAnsi="Times New Roman"/>
          <w:sz w:val="20"/>
          <w:szCs w:val="20"/>
        </w:rPr>
      </w:pPr>
      <w:r>
        <w:rPr>
          <w:rFonts w:ascii="Times New Roman" w:eastAsia="宋体" w:hAnsi="Times New Roman"/>
          <w:sz w:val="20"/>
          <w:szCs w:val="20"/>
        </w:rPr>
        <w:t> </w:t>
      </w:r>
    </w:p>
    <w:p w14:paraId="5556F003"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endowments worldwide. Products include: custody; product and participant level accounting; daily p</w:t>
      </w:r>
      <w:r>
        <w:rPr>
          <w:rFonts w:ascii="Arial" w:eastAsia="宋体" w:hAnsi="Arial" w:cs="Arial"/>
          <w:sz w:val="20"/>
          <w:szCs w:val="20"/>
        </w:rPr>
        <w:t xml:space="preserve">ricing and administration; master trust and master custody; depotbank services (a fund oversight role created by non-U.S. regulation); record-keeping; cash management; foreign exchange, brokerage and other trading services; securities finance and enhanced </w:t>
      </w:r>
      <w:r>
        <w:rPr>
          <w:rFonts w:ascii="Arial" w:eastAsia="宋体" w:hAnsi="Arial" w:cs="Arial"/>
          <w:sz w:val="20"/>
          <w:szCs w:val="20"/>
        </w:rPr>
        <w:t>custody products; deposit and short-term investment facilities; loans and lease financing; investment manager and alternative investment manager operations outsourcing; performance, risk and compliance analytics; and financial data management to support in</w:t>
      </w:r>
      <w:r>
        <w:rPr>
          <w:rFonts w:ascii="Arial" w:eastAsia="宋体" w:hAnsi="Arial" w:cs="Arial"/>
          <w:sz w:val="20"/>
          <w:szCs w:val="20"/>
        </w:rPr>
        <w:t>stitutional investors. Our CRD business also falls within our Investment Servicing line of business and includes products and services, such as: portfolio modeling and construction; trade order management; investment risk and compliance; and wealth managem</w:t>
      </w:r>
      <w:r>
        <w:rPr>
          <w:rFonts w:ascii="Arial" w:eastAsia="宋体" w:hAnsi="Arial" w:cs="Arial"/>
          <w:sz w:val="20"/>
          <w:szCs w:val="20"/>
        </w:rPr>
        <w:t xml:space="preserve">ent solutions. </w:t>
      </w:r>
    </w:p>
    <w:p w14:paraId="5556F00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i/>
          <w:iCs/>
          <w:sz w:val="20"/>
          <w:szCs w:val="20"/>
        </w:rPr>
        <w:t>Investment Management</w:t>
      </w:r>
      <w:r>
        <w:rPr>
          <w:rFonts w:ascii="Arial" w:eastAsia="宋体" w:hAnsi="Arial" w:cs="Arial"/>
          <w:sz w:val="20"/>
          <w:szCs w:val="20"/>
        </w:rPr>
        <w:t>,</w:t>
      </w:r>
      <w:r>
        <w:rPr>
          <w:rFonts w:ascii="Arial" w:eastAsia="宋体" w:hAnsi="Arial" w:cs="Arial"/>
          <w:i/>
          <w:iCs/>
          <w:sz w:val="20"/>
          <w:szCs w:val="20"/>
        </w:rPr>
        <w:t xml:space="preserve"> </w:t>
      </w:r>
      <w:r>
        <w:rPr>
          <w:rFonts w:ascii="Arial" w:eastAsia="宋体" w:hAnsi="Arial" w:cs="Arial"/>
          <w:sz w:val="20"/>
          <w:szCs w:val="20"/>
        </w:rPr>
        <w:t>through State Street Global Advisors, provides a broad range of investment management strategies and products for our clients. Our investment management strategies and products span the risk/reward spectrum, including</w:t>
      </w:r>
      <w:r>
        <w:rPr>
          <w:rFonts w:ascii="Arial" w:eastAsia="宋体" w:hAnsi="Arial" w:cs="Arial"/>
          <w:sz w:val="20"/>
          <w:szCs w:val="20"/>
        </w:rPr>
        <w:t xml:space="preserve"> core and enhanced indexing, multi-asset strategies, active quantitative and fundamental active capabilities and alternative investment strategies. Our AUM is currently primarily weighted to indexed strategies. In addition, we provide a breadth of services</w:t>
      </w:r>
      <w:r>
        <w:rPr>
          <w:rFonts w:ascii="Arial" w:eastAsia="宋体" w:hAnsi="Arial" w:cs="Arial"/>
          <w:sz w:val="20"/>
          <w:szCs w:val="20"/>
        </w:rPr>
        <w:t xml:space="preserve"> and solutions, including environmental, social and governance investing, defined benefit and defined contribution and Global Fiduciary Solutions (formerly Outsourced Chief Investment Officer). State Street Global Advisors is also a provider of ETFs, inclu</w:t>
      </w:r>
      <w:r>
        <w:rPr>
          <w:rFonts w:ascii="Arial" w:eastAsia="宋体" w:hAnsi="Arial" w:cs="Arial"/>
          <w:sz w:val="20"/>
          <w:szCs w:val="20"/>
        </w:rPr>
        <w:t>ding the SPDR</w:t>
      </w:r>
      <w:r>
        <w:rPr>
          <w:rFonts w:ascii="Arial" w:eastAsia="宋体" w:hAnsi="Arial" w:cs="Arial"/>
          <w:sz w:val="12"/>
          <w:szCs w:val="12"/>
        </w:rPr>
        <w:t xml:space="preserve">® </w:t>
      </w:r>
      <w:r>
        <w:rPr>
          <w:rFonts w:ascii="Arial" w:eastAsia="宋体" w:hAnsi="Arial" w:cs="Arial"/>
          <w:sz w:val="20"/>
          <w:szCs w:val="20"/>
        </w:rPr>
        <w:t xml:space="preserve">ETF brand. While management fees are primarily determined by the values of AUM and the investment strategies employed, management fees reflect other factors as well, including the benchmarks specified in the respective management agreements </w:t>
      </w:r>
      <w:r>
        <w:rPr>
          <w:rFonts w:ascii="Arial" w:eastAsia="宋体" w:hAnsi="Arial" w:cs="Arial"/>
          <w:sz w:val="20"/>
          <w:szCs w:val="20"/>
        </w:rPr>
        <w:t>related to performance fees.</w:t>
      </w:r>
    </w:p>
    <w:p w14:paraId="5556F00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Our investment servicing strategy is to focus on total client relationships and the full integration of our products and services across our client base through cross-selling opportunities. In general, our clients will use a co</w:t>
      </w:r>
      <w:r>
        <w:rPr>
          <w:rFonts w:ascii="Arial" w:eastAsia="宋体" w:hAnsi="Arial" w:cs="Arial"/>
          <w:sz w:val="20"/>
          <w:szCs w:val="20"/>
        </w:rPr>
        <w:t>mbination of services, depending on their needs, rather than one product or service. For instance, a custody client may purchase securities finance and cash management services from different business units. Products and services that we provide to our cli</w:t>
      </w:r>
      <w:r>
        <w:rPr>
          <w:rFonts w:ascii="Arial" w:eastAsia="宋体" w:hAnsi="Arial" w:cs="Arial"/>
          <w:sz w:val="20"/>
          <w:szCs w:val="20"/>
        </w:rPr>
        <w:t>ents are parts of an integrated offering to these clients. We price our products and services on the basis of overall client relationships and other factors; as a result, revenue may not necessarily reflect the stand-alone market price of these products an</w:t>
      </w:r>
      <w:r>
        <w:rPr>
          <w:rFonts w:ascii="Arial" w:eastAsia="宋体" w:hAnsi="Arial" w:cs="Arial"/>
          <w:sz w:val="20"/>
          <w:szCs w:val="20"/>
        </w:rPr>
        <w:t>d services within the business lines in the same way it would for separate business entities.</w:t>
      </w:r>
    </w:p>
    <w:p w14:paraId="5556F006" w14:textId="77777777" w:rsidR="00F925DD" w:rsidRDefault="00F925DD">
      <w:pPr>
        <w:rPr>
          <w:rFonts w:ascii="Times New Roman" w:hAnsi="Times New Roman"/>
          <w:sz w:val="20"/>
          <w:szCs w:val="20"/>
        </w:rPr>
      </w:pPr>
    </w:p>
    <w:p w14:paraId="5556F00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170</w:t>
      </w:r>
    </w:p>
    <w:p w14:paraId="5556F008" w14:textId="77777777" w:rsidR="00F925DD" w:rsidRDefault="00F925DD">
      <w:pPr>
        <w:spacing w:line="288" w:lineRule="auto"/>
        <w:ind w:firstLine="600"/>
        <w:jc w:val="center"/>
        <w:rPr>
          <w:rFonts w:ascii="Times New Roman" w:hAnsi="Times New Roman"/>
          <w:sz w:val="18"/>
          <w:szCs w:val="18"/>
        </w:rPr>
      </w:pPr>
    </w:p>
    <w:p w14:paraId="5556F009" w14:textId="77777777" w:rsidR="00F925DD" w:rsidRDefault="00E705D7">
      <w:r>
        <w:rPr>
          <w:rFonts w:ascii="Times New Roman" w:hAnsi="Times New Roman"/>
          <w:sz w:val="18"/>
          <w:szCs w:val="18"/>
        </w:rPr>
        <w:pict w14:anchorId="555706E4">
          <v:rect id="_x0000_i1194" style="width:415.3pt;height:1.5pt" o:hralign="center" o:hrstd="t" o:hr="t" fillcolor="#a0a0a0" stroked="f"/>
        </w:pict>
      </w:r>
    </w:p>
    <w:p w14:paraId="5556F00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F00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F00C" w14:textId="77777777" w:rsidR="00F925DD" w:rsidRDefault="00F925DD">
      <w:pPr>
        <w:rPr>
          <w:rFonts w:ascii="Times New Roman" w:hAnsi="Times New Roman"/>
          <w:sz w:val="20"/>
          <w:szCs w:val="20"/>
        </w:rPr>
      </w:pPr>
    </w:p>
    <w:p w14:paraId="5556F00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Our servicing and management fee revenue from the </w:t>
      </w:r>
      <w:r>
        <w:rPr>
          <w:rFonts w:ascii="Arial" w:eastAsia="宋体" w:hAnsi="Arial" w:cs="Arial"/>
          <w:sz w:val="20"/>
          <w:szCs w:val="20"/>
        </w:rPr>
        <w:t>Investment Servicing and Investment Management business lines, including foreign exchange trading services and securities finance activities, represents approximately 70% to 80% of our consolidated total revenue. The remaining 20% to 30% is composed of sof</w:t>
      </w:r>
      <w:r>
        <w:rPr>
          <w:rFonts w:ascii="Arial" w:eastAsia="宋体" w:hAnsi="Arial" w:cs="Arial"/>
          <w:sz w:val="20"/>
          <w:szCs w:val="20"/>
        </w:rPr>
        <w:t>tware and processing fees, including CRD, as well as NII, which is largely generated by our investment of client deposits, short-term borrowings and long-term debt in a variety of assets, and net gains (losses) related to investment securities. These other</w:t>
      </w:r>
      <w:r>
        <w:rPr>
          <w:rFonts w:ascii="Arial" w:eastAsia="宋体" w:hAnsi="Arial" w:cs="Arial"/>
          <w:sz w:val="20"/>
          <w:szCs w:val="20"/>
        </w:rPr>
        <w:t xml:space="preserve"> revenue types are generally fully allocated to, or reside in, Investment Servicing and Investment Management.</w:t>
      </w:r>
    </w:p>
    <w:p w14:paraId="5556F00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Revenue and expenses are directly charged or allocated to our lines of business through management information systems. Assets and liabilities ar</w:t>
      </w:r>
      <w:r>
        <w:rPr>
          <w:rFonts w:ascii="Arial" w:eastAsia="宋体" w:hAnsi="Arial" w:cs="Arial"/>
          <w:sz w:val="20"/>
          <w:szCs w:val="20"/>
        </w:rPr>
        <w:t xml:space="preserve">e allocated according to policies that support management’s strategic and tactical goals. Capital is allocated based on the relative risks and capital requirements inherent in each business line, along with management judgment. Capital allocations may not </w:t>
      </w:r>
      <w:r>
        <w:rPr>
          <w:rFonts w:ascii="Arial" w:eastAsia="宋体" w:hAnsi="Arial" w:cs="Arial"/>
          <w:sz w:val="20"/>
          <w:szCs w:val="20"/>
        </w:rPr>
        <w:t>be representative of the capital that might be required if these lines of business were separate business entities.</w:t>
      </w:r>
    </w:p>
    <w:p w14:paraId="5556F00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is a summary of our line of business results for the periods indicated. </w:t>
      </w:r>
    </w:p>
    <w:p w14:paraId="5556F01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“Other” column for the year ended December 31, 20</w:t>
      </w:r>
      <w:r>
        <w:rPr>
          <w:rFonts w:ascii="Arial" w:eastAsia="宋体" w:hAnsi="Arial" w:cs="Arial"/>
          <w:sz w:val="20"/>
          <w:szCs w:val="20"/>
        </w:rPr>
        <w:t>19 included net costs of $359 million composed of the following:</w:t>
      </w:r>
    </w:p>
    <w:p w14:paraId="5556F011" w14:textId="77777777" w:rsidR="00F925DD" w:rsidRDefault="00E705D7">
      <w:pPr>
        <w:rPr>
          <w:rFonts w:ascii="Times New Roman" w:hAnsi="Times New Roman"/>
          <w:sz w:val="20"/>
          <w:szCs w:val="20"/>
        </w:rPr>
      </w:pPr>
      <w:r>
        <w:rPr>
          <w:rFonts w:ascii="Times New Roman" w:eastAsia="宋体" w:hAnsi="Times New Roman"/>
          <w:sz w:val="20"/>
          <w:szCs w:val="20"/>
        </w:rPr>
        <w:t> </w:t>
      </w:r>
    </w:p>
    <w:tbl>
      <w:tblPr>
        <w:tblW w:w="0" w:type="auto"/>
        <w:tblCellSpacing w:w="0" w:type="dxa"/>
        <w:tblCellMar>
          <w:left w:w="0" w:type="dxa"/>
          <w:right w:w="0" w:type="dxa"/>
        </w:tblCellMar>
        <w:tblLook w:val="04A0" w:firstRow="1" w:lastRow="0" w:firstColumn="1" w:lastColumn="0" w:noHBand="0" w:noVBand="1"/>
      </w:tblPr>
      <w:tblGrid>
        <w:gridCol w:w="960"/>
        <w:gridCol w:w="4681"/>
      </w:tblGrid>
      <w:tr w:rsidR="00F925DD" w14:paraId="5556F014" w14:textId="77777777">
        <w:trPr>
          <w:tblCellSpacing w:w="0" w:type="dxa"/>
        </w:trPr>
        <w:tc>
          <w:tcPr>
            <w:tcW w:w="960" w:type="dxa"/>
            <w:shd w:val="clear" w:color="auto" w:fill="auto"/>
            <w:vAlign w:val="center"/>
          </w:tcPr>
          <w:p w14:paraId="5556F012" w14:textId="77777777" w:rsidR="00F925DD" w:rsidRDefault="00F925DD">
            <w:pPr>
              <w:rPr>
                <w:rFonts w:ascii="Times New Roman" w:hAnsi="Times New Roman"/>
                <w:sz w:val="20"/>
                <w:szCs w:val="20"/>
              </w:rPr>
            </w:pPr>
          </w:p>
        </w:tc>
        <w:tc>
          <w:tcPr>
            <w:tcW w:w="0" w:type="auto"/>
            <w:shd w:val="clear" w:color="auto" w:fill="auto"/>
            <w:vAlign w:val="center"/>
          </w:tcPr>
          <w:p w14:paraId="5556F013" w14:textId="77777777" w:rsidR="00F925DD" w:rsidRDefault="00F925DD">
            <w:pPr>
              <w:rPr>
                <w:rFonts w:ascii="Times New Roman" w:hAnsi="Times New Roman"/>
                <w:sz w:val="20"/>
                <w:szCs w:val="20"/>
              </w:rPr>
            </w:pPr>
          </w:p>
        </w:tc>
      </w:tr>
      <w:tr w:rsidR="00F925DD" w14:paraId="5556F017" w14:textId="77777777">
        <w:trPr>
          <w:tblCellSpacing w:w="0" w:type="dxa"/>
        </w:trPr>
        <w:tc>
          <w:tcPr>
            <w:tcW w:w="0" w:type="auto"/>
            <w:shd w:val="clear" w:color="auto" w:fill="auto"/>
          </w:tcPr>
          <w:p w14:paraId="5556F015"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F016"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Net acquisition and restructuring costs of $77 million;</w:t>
            </w:r>
          </w:p>
        </w:tc>
      </w:tr>
    </w:tbl>
    <w:p w14:paraId="5556F01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059"/>
      </w:tblGrid>
      <w:tr w:rsidR="00F925DD" w14:paraId="5556F01B" w14:textId="77777777">
        <w:trPr>
          <w:tblCellSpacing w:w="0" w:type="dxa"/>
        </w:trPr>
        <w:tc>
          <w:tcPr>
            <w:tcW w:w="960" w:type="dxa"/>
            <w:shd w:val="clear" w:color="auto" w:fill="auto"/>
            <w:vAlign w:val="center"/>
          </w:tcPr>
          <w:p w14:paraId="5556F019" w14:textId="77777777" w:rsidR="00F925DD" w:rsidRDefault="00F925DD">
            <w:pPr>
              <w:rPr>
                <w:rFonts w:ascii="Times New Roman" w:hAnsi="Times New Roman"/>
                <w:sz w:val="20"/>
                <w:szCs w:val="20"/>
              </w:rPr>
            </w:pPr>
          </w:p>
        </w:tc>
        <w:tc>
          <w:tcPr>
            <w:tcW w:w="0" w:type="auto"/>
            <w:shd w:val="clear" w:color="auto" w:fill="auto"/>
            <w:vAlign w:val="center"/>
          </w:tcPr>
          <w:p w14:paraId="5556F01A" w14:textId="77777777" w:rsidR="00F925DD" w:rsidRDefault="00F925DD">
            <w:pPr>
              <w:rPr>
                <w:rFonts w:ascii="Times New Roman" w:hAnsi="Times New Roman"/>
                <w:sz w:val="20"/>
                <w:szCs w:val="20"/>
              </w:rPr>
            </w:pPr>
          </w:p>
        </w:tc>
      </w:tr>
      <w:tr w:rsidR="00F925DD" w14:paraId="5556F01E" w14:textId="77777777">
        <w:trPr>
          <w:tblCellSpacing w:w="0" w:type="dxa"/>
        </w:trPr>
        <w:tc>
          <w:tcPr>
            <w:tcW w:w="0" w:type="auto"/>
            <w:shd w:val="clear" w:color="auto" w:fill="auto"/>
          </w:tcPr>
          <w:p w14:paraId="5556F01C"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F01D"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Net repositioning charges of $110 million; and</w:t>
            </w:r>
          </w:p>
        </w:tc>
      </w:tr>
    </w:tbl>
    <w:p w14:paraId="5556F01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859"/>
      </w:tblGrid>
      <w:tr w:rsidR="00F925DD" w14:paraId="5556F022" w14:textId="77777777">
        <w:trPr>
          <w:tblCellSpacing w:w="0" w:type="dxa"/>
        </w:trPr>
        <w:tc>
          <w:tcPr>
            <w:tcW w:w="960" w:type="dxa"/>
            <w:shd w:val="clear" w:color="auto" w:fill="auto"/>
            <w:vAlign w:val="center"/>
          </w:tcPr>
          <w:p w14:paraId="5556F020" w14:textId="77777777" w:rsidR="00F925DD" w:rsidRDefault="00F925DD">
            <w:pPr>
              <w:rPr>
                <w:rFonts w:ascii="Times New Roman" w:hAnsi="Times New Roman"/>
                <w:sz w:val="20"/>
                <w:szCs w:val="20"/>
              </w:rPr>
            </w:pPr>
          </w:p>
        </w:tc>
        <w:tc>
          <w:tcPr>
            <w:tcW w:w="0" w:type="auto"/>
            <w:shd w:val="clear" w:color="auto" w:fill="auto"/>
            <w:vAlign w:val="center"/>
          </w:tcPr>
          <w:p w14:paraId="5556F021" w14:textId="77777777" w:rsidR="00F925DD" w:rsidRDefault="00F925DD">
            <w:pPr>
              <w:rPr>
                <w:rFonts w:ascii="Times New Roman" w:hAnsi="Times New Roman"/>
                <w:sz w:val="20"/>
                <w:szCs w:val="20"/>
              </w:rPr>
            </w:pPr>
          </w:p>
        </w:tc>
      </w:tr>
      <w:tr w:rsidR="00F925DD" w14:paraId="5556F025" w14:textId="77777777">
        <w:trPr>
          <w:tblCellSpacing w:w="0" w:type="dxa"/>
        </w:trPr>
        <w:tc>
          <w:tcPr>
            <w:tcW w:w="0" w:type="auto"/>
            <w:shd w:val="clear" w:color="auto" w:fill="auto"/>
          </w:tcPr>
          <w:p w14:paraId="5556F023"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F024"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Legal and related expenses of $172 million.</w:t>
            </w:r>
          </w:p>
        </w:tc>
      </w:tr>
    </w:tbl>
    <w:p w14:paraId="5556F02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“Other” </w:t>
      </w:r>
      <w:r>
        <w:rPr>
          <w:rFonts w:ascii="Arial" w:eastAsia="宋体" w:hAnsi="Arial" w:cs="Arial"/>
          <w:sz w:val="20"/>
          <w:szCs w:val="20"/>
        </w:rPr>
        <w:t>column for the year ended December 31, 2018 included net costs of $398 million composed of the following:</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F925DD" w14:paraId="5556F029" w14:textId="77777777">
        <w:trPr>
          <w:tblCellSpacing w:w="0" w:type="dxa"/>
        </w:trPr>
        <w:tc>
          <w:tcPr>
            <w:tcW w:w="960" w:type="dxa"/>
            <w:shd w:val="clear" w:color="auto" w:fill="auto"/>
            <w:vAlign w:val="center"/>
          </w:tcPr>
          <w:p w14:paraId="5556F027" w14:textId="77777777" w:rsidR="00F925DD" w:rsidRDefault="00F925DD">
            <w:pPr>
              <w:rPr>
                <w:rFonts w:ascii="Times New Roman" w:hAnsi="Times New Roman"/>
                <w:sz w:val="20"/>
                <w:szCs w:val="20"/>
              </w:rPr>
            </w:pPr>
          </w:p>
        </w:tc>
        <w:tc>
          <w:tcPr>
            <w:tcW w:w="0" w:type="auto"/>
            <w:shd w:val="clear" w:color="auto" w:fill="auto"/>
            <w:vAlign w:val="center"/>
          </w:tcPr>
          <w:p w14:paraId="5556F028" w14:textId="77777777" w:rsidR="00F925DD" w:rsidRDefault="00F925DD">
            <w:pPr>
              <w:rPr>
                <w:rFonts w:ascii="Times New Roman" w:hAnsi="Times New Roman"/>
                <w:sz w:val="20"/>
                <w:szCs w:val="20"/>
              </w:rPr>
            </w:pPr>
          </w:p>
        </w:tc>
      </w:tr>
      <w:tr w:rsidR="00F925DD" w14:paraId="5556F02C" w14:textId="77777777">
        <w:trPr>
          <w:tblCellSpacing w:w="0" w:type="dxa"/>
        </w:trPr>
        <w:tc>
          <w:tcPr>
            <w:tcW w:w="0" w:type="auto"/>
            <w:shd w:val="clear" w:color="auto" w:fill="auto"/>
          </w:tcPr>
          <w:p w14:paraId="5556F02A"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F02B"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Net repositioning charges related to organizational changes and management streamlining of $300 million;</w:t>
            </w:r>
          </w:p>
        </w:tc>
      </w:tr>
    </w:tbl>
    <w:p w14:paraId="5556F02D"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991"/>
      </w:tblGrid>
      <w:tr w:rsidR="00F925DD" w14:paraId="5556F030" w14:textId="77777777">
        <w:trPr>
          <w:tblCellSpacing w:w="0" w:type="dxa"/>
        </w:trPr>
        <w:tc>
          <w:tcPr>
            <w:tcW w:w="960" w:type="dxa"/>
            <w:shd w:val="clear" w:color="auto" w:fill="auto"/>
            <w:vAlign w:val="center"/>
          </w:tcPr>
          <w:p w14:paraId="5556F02E" w14:textId="77777777" w:rsidR="00F925DD" w:rsidRDefault="00F925DD">
            <w:pPr>
              <w:rPr>
                <w:rFonts w:ascii="Times New Roman" w:hAnsi="Times New Roman"/>
                <w:sz w:val="20"/>
                <w:szCs w:val="20"/>
              </w:rPr>
            </w:pPr>
          </w:p>
        </w:tc>
        <w:tc>
          <w:tcPr>
            <w:tcW w:w="0" w:type="auto"/>
            <w:shd w:val="clear" w:color="auto" w:fill="auto"/>
            <w:vAlign w:val="center"/>
          </w:tcPr>
          <w:p w14:paraId="5556F02F" w14:textId="77777777" w:rsidR="00F925DD" w:rsidRDefault="00F925DD">
            <w:pPr>
              <w:rPr>
                <w:rFonts w:ascii="Times New Roman" w:hAnsi="Times New Roman"/>
                <w:sz w:val="20"/>
                <w:szCs w:val="20"/>
              </w:rPr>
            </w:pPr>
          </w:p>
        </w:tc>
      </w:tr>
      <w:tr w:rsidR="00F925DD" w14:paraId="5556F033" w14:textId="77777777">
        <w:trPr>
          <w:tblCellSpacing w:w="0" w:type="dxa"/>
        </w:trPr>
        <w:tc>
          <w:tcPr>
            <w:tcW w:w="0" w:type="auto"/>
            <w:shd w:val="clear" w:color="auto" w:fill="auto"/>
          </w:tcPr>
          <w:p w14:paraId="5556F031"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F032"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 xml:space="preserve">Business exit costs of $24 </w:t>
            </w:r>
            <w:r>
              <w:rPr>
                <w:rFonts w:ascii="Arial" w:eastAsia="宋体" w:hAnsi="Arial" w:cs="Arial"/>
                <w:sz w:val="20"/>
                <w:szCs w:val="20"/>
              </w:rPr>
              <w:t>million;</w:t>
            </w:r>
          </w:p>
        </w:tc>
      </w:tr>
    </w:tbl>
    <w:p w14:paraId="5556F03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137"/>
      </w:tblGrid>
      <w:tr w:rsidR="00F925DD" w14:paraId="5556F037" w14:textId="77777777">
        <w:trPr>
          <w:tblCellSpacing w:w="0" w:type="dxa"/>
        </w:trPr>
        <w:tc>
          <w:tcPr>
            <w:tcW w:w="960" w:type="dxa"/>
            <w:shd w:val="clear" w:color="auto" w:fill="auto"/>
            <w:vAlign w:val="center"/>
          </w:tcPr>
          <w:p w14:paraId="5556F035" w14:textId="77777777" w:rsidR="00F925DD" w:rsidRDefault="00F925DD">
            <w:pPr>
              <w:rPr>
                <w:rFonts w:ascii="Times New Roman" w:hAnsi="Times New Roman"/>
                <w:sz w:val="20"/>
                <w:szCs w:val="20"/>
              </w:rPr>
            </w:pPr>
          </w:p>
        </w:tc>
        <w:tc>
          <w:tcPr>
            <w:tcW w:w="0" w:type="auto"/>
            <w:shd w:val="clear" w:color="auto" w:fill="auto"/>
            <w:vAlign w:val="center"/>
          </w:tcPr>
          <w:p w14:paraId="5556F036" w14:textId="77777777" w:rsidR="00F925DD" w:rsidRDefault="00F925DD">
            <w:pPr>
              <w:rPr>
                <w:rFonts w:ascii="Times New Roman" w:hAnsi="Times New Roman"/>
                <w:sz w:val="20"/>
                <w:szCs w:val="20"/>
              </w:rPr>
            </w:pPr>
          </w:p>
        </w:tc>
      </w:tr>
      <w:tr w:rsidR="00F925DD" w14:paraId="5556F03A" w14:textId="77777777">
        <w:trPr>
          <w:tblCellSpacing w:w="0" w:type="dxa"/>
        </w:trPr>
        <w:tc>
          <w:tcPr>
            <w:tcW w:w="0" w:type="auto"/>
            <w:shd w:val="clear" w:color="auto" w:fill="auto"/>
          </w:tcPr>
          <w:p w14:paraId="5556F038"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F039"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Legal and related expenses of $50 million; and</w:t>
            </w:r>
          </w:p>
        </w:tc>
      </w:tr>
    </w:tbl>
    <w:p w14:paraId="5556F03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681"/>
      </w:tblGrid>
      <w:tr w:rsidR="00F925DD" w14:paraId="5556F03E" w14:textId="77777777">
        <w:trPr>
          <w:tblCellSpacing w:w="0" w:type="dxa"/>
        </w:trPr>
        <w:tc>
          <w:tcPr>
            <w:tcW w:w="960" w:type="dxa"/>
            <w:shd w:val="clear" w:color="auto" w:fill="auto"/>
            <w:vAlign w:val="center"/>
          </w:tcPr>
          <w:p w14:paraId="5556F03C" w14:textId="77777777" w:rsidR="00F925DD" w:rsidRDefault="00F925DD">
            <w:pPr>
              <w:rPr>
                <w:rFonts w:ascii="Times New Roman" w:hAnsi="Times New Roman"/>
                <w:sz w:val="20"/>
                <w:szCs w:val="20"/>
              </w:rPr>
            </w:pPr>
          </w:p>
        </w:tc>
        <w:tc>
          <w:tcPr>
            <w:tcW w:w="0" w:type="auto"/>
            <w:shd w:val="clear" w:color="auto" w:fill="auto"/>
            <w:vAlign w:val="center"/>
          </w:tcPr>
          <w:p w14:paraId="5556F03D" w14:textId="77777777" w:rsidR="00F925DD" w:rsidRDefault="00F925DD">
            <w:pPr>
              <w:rPr>
                <w:rFonts w:ascii="Times New Roman" w:hAnsi="Times New Roman"/>
                <w:sz w:val="20"/>
                <w:szCs w:val="20"/>
              </w:rPr>
            </w:pPr>
          </w:p>
        </w:tc>
      </w:tr>
      <w:tr w:rsidR="00F925DD" w14:paraId="5556F041" w14:textId="77777777">
        <w:trPr>
          <w:tblCellSpacing w:w="0" w:type="dxa"/>
        </w:trPr>
        <w:tc>
          <w:tcPr>
            <w:tcW w:w="0" w:type="auto"/>
            <w:shd w:val="clear" w:color="auto" w:fill="auto"/>
          </w:tcPr>
          <w:p w14:paraId="5556F03F" w14:textId="77777777" w:rsidR="00F925DD" w:rsidRDefault="00E705D7">
            <w:pPr>
              <w:spacing w:line="288" w:lineRule="auto"/>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Pr>
          <w:p w14:paraId="5556F040" w14:textId="77777777" w:rsidR="00F925DD" w:rsidRDefault="00E705D7">
            <w:pPr>
              <w:spacing w:line="288" w:lineRule="auto"/>
              <w:jc w:val="both"/>
              <w:textAlignment w:val="top"/>
              <w:rPr>
                <w:rFonts w:ascii="Times New Roman" w:hAnsi="Times New Roman"/>
                <w:sz w:val="20"/>
                <w:szCs w:val="20"/>
              </w:rPr>
            </w:pPr>
            <w:r>
              <w:rPr>
                <w:rFonts w:ascii="Arial" w:eastAsia="宋体" w:hAnsi="Arial" w:cs="Arial"/>
                <w:sz w:val="20"/>
                <w:szCs w:val="20"/>
              </w:rPr>
              <w:t>Net acquisition and restructuring costs of $24 million.</w:t>
            </w:r>
          </w:p>
        </w:tc>
      </w:tr>
    </w:tbl>
    <w:p w14:paraId="5556F04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"Other" column for the year ended December 31, 2017 included net acquisition and restructuring costs of $266 million.</w:t>
      </w:r>
    </w:p>
    <w:p w14:paraId="5556F04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w:t>
      </w:r>
      <w:r>
        <w:rPr>
          <w:rFonts w:ascii="Arial" w:eastAsia="宋体" w:hAnsi="Arial" w:cs="Arial"/>
          <w:sz w:val="20"/>
          <w:szCs w:val="20"/>
        </w:rPr>
        <w:t>following is a summary of our line of business results for the periods indicated. The amounts in the “Other” columns were not allocated to our business lines. Prior reported results reflect reclassifications, for comparative purposes, related to management</w:t>
      </w:r>
      <w:r>
        <w:rPr>
          <w:rFonts w:ascii="Arial" w:eastAsia="宋体" w:hAnsi="Arial" w:cs="Arial"/>
          <w:sz w:val="20"/>
          <w:szCs w:val="20"/>
        </w:rPr>
        <w:t xml:space="preserve"> changes in methodologies associated with allocations of revenue and expenses to lines of business in 2019.</w:t>
      </w:r>
    </w:p>
    <w:tbl>
      <w:tblPr>
        <w:tblW w:w="5000" w:type="pct"/>
        <w:tblCellMar>
          <w:left w:w="0" w:type="dxa"/>
          <w:right w:w="0" w:type="dxa"/>
        </w:tblCellMar>
        <w:tblLook w:val="04A0" w:firstRow="1" w:lastRow="0" w:firstColumn="1" w:lastColumn="0" w:noHBand="0" w:noVBand="1"/>
      </w:tblPr>
      <w:tblGrid>
        <w:gridCol w:w="772"/>
        <w:gridCol w:w="114"/>
        <w:gridCol w:w="296"/>
        <w:gridCol w:w="145"/>
        <w:gridCol w:w="119"/>
        <w:gridCol w:w="114"/>
        <w:gridCol w:w="296"/>
        <w:gridCol w:w="145"/>
        <w:gridCol w:w="119"/>
        <w:gridCol w:w="115"/>
        <w:gridCol w:w="297"/>
        <w:gridCol w:w="146"/>
        <w:gridCol w:w="120"/>
        <w:gridCol w:w="116"/>
        <w:gridCol w:w="263"/>
        <w:gridCol w:w="146"/>
        <w:gridCol w:w="120"/>
        <w:gridCol w:w="116"/>
        <w:gridCol w:w="263"/>
        <w:gridCol w:w="146"/>
        <w:gridCol w:w="120"/>
        <w:gridCol w:w="116"/>
        <w:gridCol w:w="263"/>
        <w:gridCol w:w="146"/>
        <w:gridCol w:w="120"/>
        <w:gridCol w:w="115"/>
        <w:gridCol w:w="238"/>
        <w:gridCol w:w="80"/>
        <w:gridCol w:w="120"/>
        <w:gridCol w:w="115"/>
        <w:gridCol w:w="238"/>
        <w:gridCol w:w="80"/>
        <w:gridCol w:w="120"/>
        <w:gridCol w:w="115"/>
        <w:gridCol w:w="238"/>
        <w:gridCol w:w="80"/>
        <w:gridCol w:w="120"/>
        <w:gridCol w:w="115"/>
        <w:gridCol w:w="297"/>
        <w:gridCol w:w="146"/>
        <w:gridCol w:w="120"/>
        <w:gridCol w:w="115"/>
        <w:gridCol w:w="297"/>
        <w:gridCol w:w="146"/>
        <w:gridCol w:w="120"/>
        <w:gridCol w:w="115"/>
        <w:gridCol w:w="297"/>
        <w:gridCol w:w="146"/>
      </w:tblGrid>
      <w:tr w:rsidR="00F925DD" w14:paraId="5556F045" w14:textId="77777777">
        <w:tc>
          <w:tcPr>
            <w:tcW w:w="0" w:type="auto"/>
            <w:gridSpan w:val="48"/>
            <w:shd w:val="clear" w:color="auto" w:fill="auto"/>
            <w:vAlign w:val="center"/>
          </w:tcPr>
          <w:p w14:paraId="5556F044" w14:textId="77777777" w:rsidR="00F925DD" w:rsidRDefault="00F925DD">
            <w:pPr>
              <w:rPr>
                <w:rFonts w:ascii="Times New Roman" w:hAnsi="Times New Roman"/>
                <w:sz w:val="20"/>
                <w:szCs w:val="20"/>
              </w:rPr>
            </w:pPr>
          </w:p>
        </w:tc>
      </w:tr>
      <w:tr w:rsidR="00F925DD" w14:paraId="5556F076" w14:textId="77777777">
        <w:tc>
          <w:tcPr>
            <w:tcW w:w="550" w:type="pct"/>
            <w:shd w:val="clear" w:color="auto" w:fill="auto"/>
            <w:vAlign w:val="center"/>
          </w:tcPr>
          <w:p w14:paraId="5556F046" w14:textId="77777777" w:rsidR="00F925DD" w:rsidRDefault="00F925DD">
            <w:pPr>
              <w:rPr>
                <w:rFonts w:ascii="Times New Roman" w:hAnsi="Times New Roman"/>
                <w:sz w:val="20"/>
                <w:szCs w:val="20"/>
              </w:rPr>
            </w:pPr>
          </w:p>
        </w:tc>
        <w:tc>
          <w:tcPr>
            <w:tcW w:w="50" w:type="pct"/>
            <w:shd w:val="clear" w:color="auto" w:fill="auto"/>
            <w:vAlign w:val="center"/>
          </w:tcPr>
          <w:p w14:paraId="5556F047" w14:textId="77777777" w:rsidR="00F925DD" w:rsidRDefault="00F925DD">
            <w:pPr>
              <w:rPr>
                <w:rFonts w:ascii="Times New Roman" w:hAnsi="Times New Roman"/>
                <w:sz w:val="20"/>
                <w:szCs w:val="20"/>
              </w:rPr>
            </w:pPr>
          </w:p>
        </w:tc>
        <w:tc>
          <w:tcPr>
            <w:tcW w:w="250" w:type="pct"/>
            <w:shd w:val="clear" w:color="auto" w:fill="auto"/>
            <w:vAlign w:val="center"/>
          </w:tcPr>
          <w:p w14:paraId="5556F048" w14:textId="77777777" w:rsidR="00F925DD" w:rsidRDefault="00F925DD">
            <w:pPr>
              <w:rPr>
                <w:rFonts w:ascii="Times New Roman" w:hAnsi="Times New Roman"/>
                <w:sz w:val="20"/>
                <w:szCs w:val="20"/>
              </w:rPr>
            </w:pPr>
          </w:p>
        </w:tc>
        <w:tc>
          <w:tcPr>
            <w:tcW w:w="50" w:type="pct"/>
            <w:shd w:val="clear" w:color="auto" w:fill="auto"/>
            <w:vAlign w:val="center"/>
          </w:tcPr>
          <w:p w14:paraId="5556F049" w14:textId="77777777" w:rsidR="00F925DD" w:rsidRDefault="00F925DD">
            <w:pPr>
              <w:rPr>
                <w:rFonts w:ascii="Times New Roman" w:hAnsi="Times New Roman"/>
                <w:sz w:val="20"/>
                <w:szCs w:val="20"/>
              </w:rPr>
            </w:pPr>
          </w:p>
        </w:tc>
        <w:tc>
          <w:tcPr>
            <w:tcW w:w="50" w:type="pct"/>
            <w:shd w:val="clear" w:color="auto" w:fill="auto"/>
            <w:vAlign w:val="center"/>
          </w:tcPr>
          <w:p w14:paraId="5556F04A" w14:textId="77777777" w:rsidR="00F925DD" w:rsidRDefault="00F925DD">
            <w:pPr>
              <w:rPr>
                <w:rFonts w:ascii="Times New Roman" w:hAnsi="Times New Roman"/>
                <w:sz w:val="20"/>
                <w:szCs w:val="20"/>
              </w:rPr>
            </w:pPr>
          </w:p>
        </w:tc>
        <w:tc>
          <w:tcPr>
            <w:tcW w:w="50" w:type="pct"/>
            <w:shd w:val="clear" w:color="auto" w:fill="auto"/>
            <w:vAlign w:val="center"/>
          </w:tcPr>
          <w:p w14:paraId="5556F04B" w14:textId="77777777" w:rsidR="00F925DD" w:rsidRDefault="00F925DD">
            <w:pPr>
              <w:rPr>
                <w:rFonts w:ascii="Times New Roman" w:hAnsi="Times New Roman"/>
                <w:sz w:val="20"/>
                <w:szCs w:val="20"/>
              </w:rPr>
            </w:pPr>
          </w:p>
        </w:tc>
        <w:tc>
          <w:tcPr>
            <w:tcW w:w="250" w:type="pct"/>
            <w:shd w:val="clear" w:color="auto" w:fill="auto"/>
            <w:vAlign w:val="center"/>
          </w:tcPr>
          <w:p w14:paraId="5556F04C" w14:textId="77777777" w:rsidR="00F925DD" w:rsidRDefault="00F925DD">
            <w:pPr>
              <w:rPr>
                <w:rFonts w:ascii="Times New Roman" w:hAnsi="Times New Roman"/>
                <w:sz w:val="20"/>
                <w:szCs w:val="20"/>
              </w:rPr>
            </w:pPr>
          </w:p>
        </w:tc>
        <w:tc>
          <w:tcPr>
            <w:tcW w:w="50" w:type="pct"/>
            <w:shd w:val="clear" w:color="auto" w:fill="auto"/>
            <w:vAlign w:val="center"/>
          </w:tcPr>
          <w:p w14:paraId="5556F04D" w14:textId="77777777" w:rsidR="00F925DD" w:rsidRDefault="00F925DD">
            <w:pPr>
              <w:rPr>
                <w:rFonts w:ascii="Times New Roman" w:hAnsi="Times New Roman"/>
                <w:sz w:val="20"/>
                <w:szCs w:val="20"/>
              </w:rPr>
            </w:pPr>
          </w:p>
        </w:tc>
        <w:tc>
          <w:tcPr>
            <w:tcW w:w="50" w:type="pct"/>
            <w:shd w:val="clear" w:color="auto" w:fill="auto"/>
            <w:vAlign w:val="center"/>
          </w:tcPr>
          <w:p w14:paraId="5556F04E" w14:textId="77777777" w:rsidR="00F925DD" w:rsidRDefault="00F925DD">
            <w:pPr>
              <w:rPr>
                <w:rFonts w:ascii="Times New Roman" w:hAnsi="Times New Roman"/>
                <w:sz w:val="20"/>
                <w:szCs w:val="20"/>
              </w:rPr>
            </w:pPr>
          </w:p>
        </w:tc>
        <w:tc>
          <w:tcPr>
            <w:tcW w:w="50" w:type="pct"/>
            <w:shd w:val="clear" w:color="auto" w:fill="auto"/>
            <w:vAlign w:val="center"/>
          </w:tcPr>
          <w:p w14:paraId="5556F04F" w14:textId="77777777" w:rsidR="00F925DD" w:rsidRDefault="00F925DD">
            <w:pPr>
              <w:rPr>
                <w:rFonts w:ascii="Times New Roman" w:hAnsi="Times New Roman"/>
                <w:sz w:val="20"/>
                <w:szCs w:val="20"/>
              </w:rPr>
            </w:pPr>
          </w:p>
        </w:tc>
        <w:tc>
          <w:tcPr>
            <w:tcW w:w="250" w:type="pct"/>
            <w:shd w:val="clear" w:color="auto" w:fill="auto"/>
            <w:vAlign w:val="center"/>
          </w:tcPr>
          <w:p w14:paraId="5556F050" w14:textId="77777777" w:rsidR="00F925DD" w:rsidRDefault="00F925DD">
            <w:pPr>
              <w:rPr>
                <w:rFonts w:ascii="Times New Roman" w:hAnsi="Times New Roman"/>
                <w:sz w:val="20"/>
                <w:szCs w:val="20"/>
              </w:rPr>
            </w:pPr>
          </w:p>
        </w:tc>
        <w:tc>
          <w:tcPr>
            <w:tcW w:w="50" w:type="pct"/>
            <w:shd w:val="clear" w:color="auto" w:fill="auto"/>
            <w:vAlign w:val="center"/>
          </w:tcPr>
          <w:p w14:paraId="5556F051" w14:textId="77777777" w:rsidR="00F925DD" w:rsidRDefault="00F925DD">
            <w:pPr>
              <w:rPr>
                <w:rFonts w:ascii="Times New Roman" w:hAnsi="Times New Roman"/>
                <w:sz w:val="20"/>
                <w:szCs w:val="20"/>
              </w:rPr>
            </w:pPr>
          </w:p>
        </w:tc>
        <w:tc>
          <w:tcPr>
            <w:tcW w:w="50" w:type="pct"/>
            <w:shd w:val="clear" w:color="auto" w:fill="auto"/>
            <w:vAlign w:val="center"/>
          </w:tcPr>
          <w:p w14:paraId="5556F052" w14:textId="77777777" w:rsidR="00F925DD" w:rsidRDefault="00F925DD">
            <w:pPr>
              <w:rPr>
                <w:rFonts w:ascii="Times New Roman" w:hAnsi="Times New Roman"/>
                <w:sz w:val="20"/>
                <w:szCs w:val="20"/>
              </w:rPr>
            </w:pPr>
          </w:p>
        </w:tc>
        <w:tc>
          <w:tcPr>
            <w:tcW w:w="50" w:type="pct"/>
            <w:shd w:val="clear" w:color="auto" w:fill="auto"/>
            <w:vAlign w:val="center"/>
          </w:tcPr>
          <w:p w14:paraId="5556F053" w14:textId="77777777" w:rsidR="00F925DD" w:rsidRDefault="00F925DD">
            <w:pPr>
              <w:rPr>
                <w:rFonts w:ascii="Times New Roman" w:hAnsi="Times New Roman"/>
                <w:sz w:val="20"/>
                <w:szCs w:val="20"/>
              </w:rPr>
            </w:pPr>
          </w:p>
        </w:tc>
        <w:tc>
          <w:tcPr>
            <w:tcW w:w="200" w:type="pct"/>
            <w:shd w:val="clear" w:color="auto" w:fill="auto"/>
            <w:vAlign w:val="center"/>
          </w:tcPr>
          <w:p w14:paraId="5556F054" w14:textId="77777777" w:rsidR="00F925DD" w:rsidRDefault="00F925DD">
            <w:pPr>
              <w:rPr>
                <w:rFonts w:ascii="Times New Roman" w:hAnsi="Times New Roman"/>
                <w:sz w:val="20"/>
                <w:szCs w:val="20"/>
              </w:rPr>
            </w:pPr>
          </w:p>
        </w:tc>
        <w:tc>
          <w:tcPr>
            <w:tcW w:w="50" w:type="pct"/>
            <w:shd w:val="clear" w:color="auto" w:fill="auto"/>
            <w:vAlign w:val="center"/>
          </w:tcPr>
          <w:p w14:paraId="5556F055" w14:textId="77777777" w:rsidR="00F925DD" w:rsidRDefault="00F925DD">
            <w:pPr>
              <w:rPr>
                <w:rFonts w:ascii="Times New Roman" w:hAnsi="Times New Roman"/>
                <w:sz w:val="20"/>
                <w:szCs w:val="20"/>
              </w:rPr>
            </w:pPr>
          </w:p>
        </w:tc>
        <w:tc>
          <w:tcPr>
            <w:tcW w:w="50" w:type="pct"/>
            <w:shd w:val="clear" w:color="auto" w:fill="auto"/>
            <w:vAlign w:val="center"/>
          </w:tcPr>
          <w:p w14:paraId="5556F056" w14:textId="77777777" w:rsidR="00F925DD" w:rsidRDefault="00F925DD">
            <w:pPr>
              <w:rPr>
                <w:rFonts w:ascii="Times New Roman" w:hAnsi="Times New Roman"/>
                <w:sz w:val="20"/>
                <w:szCs w:val="20"/>
              </w:rPr>
            </w:pPr>
          </w:p>
        </w:tc>
        <w:tc>
          <w:tcPr>
            <w:tcW w:w="50" w:type="pct"/>
            <w:shd w:val="clear" w:color="auto" w:fill="auto"/>
            <w:vAlign w:val="center"/>
          </w:tcPr>
          <w:p w14:paraId="5556F057" w14:textId="77777777" w:rsidR="00F925DD" w:rsidRDefault="00F925DD">
            <w:pPr>
              <w:rPr>
                <w:rFonts w:ascii="Times New Roman" w:hAnsi="Times New Roman"/>
                <w:sz w:val="20"/>
                <w:szCs w:val="20"/>
              </w:rPr>
            </w:pPr>
          </w:p>
        </w:tc>
        <w:tc>
          <w:tcPr>
            <w:tcW w:w="200" w:type="pct"/>
            <w:shd w:val="clear" w:color="auto" w:fill="auto"/>
            <w:vAlign w:val="center"/>
          </w:tcPr>
          <w:p w14:paraId="5556F058" w14:textId="77777777" w:rsidR="00F925DD" w:rsidRDefault="00F925DD">
            <w:pPr>
              <w:rPr>
                <w:rFonts w:ascii="Times New Roman" w:hAnsi="Times New Roman"/>
                <w:sz w:val="20"/>
                <w:szCs w:val="20"/>
              </w:rPr>
            </w:pPr>
          </w:p>
        </w:tc>
        <w:tc>
          <w:tcPr>
            <w:tcW w:w="50" w:type="pct"/>
            <w:shd w:val="clear" w:color="auto" w:fill="auto"/>
            <w:vAlign w:val="center"/>
          </w:tcPr>
          <w:p w14:paraId="5556F059" w14:textId="77777777" w:rsidR="00F925DD" w:rsidRDefault="00F925DD">
            <w:pPr>
              <w:rPr>
                <w:rFonts w:ascii="Times New Roman" w:hAnsi="Times New Roman"/>
                <w:sz w:val="20"/>
                <w:szCs w:val="20"/>
              </w:rPr>
            </w:pPr>
          </w:p>
        </w:tc>
        <w:tc>
          <w:tcPr>
            <w:tcW w:w="50" w:type="pct"/>
            <w:shd w:val="clear" w:color="auto" w:fill="auto"/>
            <w:vAlign w:val="center"/>
          </w:tcPr>
          <w:p w14:paraId="5556F05A" w14:textId="77777777" w:rsidR="00F925DD" w:rsidRDefault="00F925DD">
            <w:pPr>
              <w:rPr>
                <w:rFonts w:ascii="Times New Roman" w:hAnsi="Times New Roman"/>
                <w:sz w:val="20"/>
                <w:szCs w:val="20"/>
              </w:rPr>
            </w:pPr>
          </w:p>
        </w:tc>
        <w:tc>
          <w:tcPr>
            <w:tcW w:w="50" w:type="pct"/>
            <w:shd w:val="clear" w:color="auto" w:fill="auto"/>
            <w:vAlign w:val="center"/>
          </w:tcPr>
          <w:p w14:paraId="5556F05B" w14:textId="77777777" w:rsidR="00F925DD" w:rsidRDefault="00F925DD">
            <w:pPr>
              <w:rPr>
                <w:rFonts w:ascii="Times New Roman" w:hAnsi="Times New Roman"/>
                <w:sz w:val="20"/>
                <w:szCs w:val="20"/>
              </w:rPr>
            </w:pPr>
          </w:p>
        </w:tc>
        <w:tc>
          <w:tcPr>
            <w:tcW w:w="200" w:type="pct"/>
            <w:shd w:val="clear" w:color="auto" w:fill="auto"/>
            <w:vAlign w:val="center"/>
          </w:tcPr>
          <w:p w14:paraId="5556F05C" w14:textId="77777777" w:rsidR="00F925DD" w:rsidRDefault="00F925DD">
            <w:pPr>
              <w:rPr>
                <w:rFonts w:ascii="Times New Roman" w:hAnsi="Times New Roman"/>
                <w:sz w:val="20"/>
                <w:szCs w:val="20"/>
              </w:rPr>
            </w:pPr>
          </w:p>
        </w:tc>
        <w:tc>
          <w:tcPr>
            <w:tcW w:w="50" w:type="pct"/>
            <w:shd w:val="clear" w:color="auto" w:fill="auto"/>
            <w:vAlign w:val="center"/>
          </w:tcPr>
          <w:p w14:paraId="5556F05D" w14:textId="77777777" w:rsidR="00F925DD" w:rsidRDefault="00F925DD">
            <w:pPr>
              <w:rPr>
                <w:rFonts w:ascii="Times New Roman" w:hAnsi="Times New Roman"/>
                <w:sz w:val="20"/>
                <w:szCs w:val="20"/>
              </w:rPr>
            </w:pPr>
          </w:p>
        </w:tc>
        <w:tc>
          <w:tcPr>
            <w:tcW w:w="50" w:type="pct"/>
            <w:shd w:val="clear" w:color="auto" w:fill="auto"/>
            <w:vAlign w:val="center"/>
          </w:tcPr>
          <w:p w14:paraId="5556F05E" w14:textId="77777777" w:rsidR="00F925DD" w:rsidRDefault="00F925DD">
            <w:pPr>
              <w:rPr>
                <w:rFonts w:ascii="Times New Roman" w:hAnsi="Times New Roman"/>
                <w:sz w:val="20"/>
                <w:szCs w:val="20"/>
              </w:rPr>
            </w:pPr>
          </w:p>
        </w:tc>
        <w:tc>
          <w:tcPr>
            <w:tcW w:w="50" w:type="pct"/>
            <w:shd w:val="clear" w:color="auto" w:fill="auto"/>
            <w:vAlign w:val="center"/>
          </w:tcPr>
          <w:p w14:paraId="5556F05F" w14:textId="77777777" w:rsidR="00F925DD" w:rsidRDefault="00F925DD">
            <w:pPr>
              <w:rPr>
                <w:rFonts w:ascii="Times New Roman" w:hAnsi="Times New Roman"/>
                <w:sz w:val="20"/>
                <w:szCs w:val="20"/>
              </w:rPr>
            </w:pPr>
          </w:p>
        </w:tc>
        <w:tc>
          <w:tcPr>
            <w:tcW w:w="200" w:type="pct"/>
            <w:shd w:val="clear" w:color="auto" w:fill="auto"/>
            <w:vAlign w:val="center"/>
          </w:tcPr>
          <w:p w14:paraId="5556F060" w14:textId="77777777" w:rsidR="00F925DD" w:rsidRDefault="00F925DD">
            <w:pPr>
              <w:rPr>
                <w:rFonts w:ascii="Times New Roman" w:hAnsi="Times New Roman"/>
                <w:sz w:val="20"/>
                <w:szCs w:val="20"/>
              </w:rPr>
            </w:pPr>
          </w:p>
        </w:tc>
        <w:tc>
          <w:tcPr>
            <w:tcW w:w="50" w:type="pct"/>
            <w:shd w:val="clear" w:color="auto" w:fill="auto"/>
            <w:vAlign w:val="center"/>
          </w:tcPr>
          <w:p w14:paraId="5556F061" w14:textId="77777777" w:rsidR="00F925DD" w:rsidRDefault="00F925DD">
            <w:pPr>
              <w:rPr>
                <w:rFonts w:ascii="Times New Roman" w:hAnsi="Times New Roman"/>
                <w:sz w:val="20"/>
                <w:szCs w:val="20"/>
              </w:rPr>
            </w:pPr>
          </w:p>
        </w:tc>
        <w:tc>
          <w:tcPr>
            <w:tcW w:w="50" w:type="pct"/>
            <w:shd w:val="clear" w:color="auto" w:fill="auto"/>
            <w:vAlign w:val="center"/>
          </w:tcPr>
          <w:p w14:paraId="5556F062" w14:textId="77777777" w:rsidR="00F925DD" w:rsidRDefault="00F925DD">
            <w:pPr>
              <w:rPr>
                <w:rFonts w:ascii="Times New Roman" w:hAnsi="Times New Roman"/>
                <w:sz w:val="20"/>
                <w:szCs w:val="20"/>
              </w:rPr>
            </w:pPr>
          </w:p>
        </w:tc>
        <w:tc>
          <w:tcPr>
            <w:tcW w:w="50" w:type="pct"/>
            <w:shd w:val="clear" w:color="auto" w:fill="auto"/>
            <w:vAlign w:val="center"/>
          </w:tcPr>
          <w:p w14:paraId="5556F063" w14:textId="77777777" w:rsidR="00F925DD" w:rsidRDefault="00F925DD">
            <w:pPr>
              <w:rPr>
                <w:rFonts w:ascii="Times New Roman" w:hAnsi="Times New Roman"/>
                <w:sz w:val="20"/>
                <w:szCs w:val="20"/>
              </w:rPr>
            </w:pPr>
          </w:p>
        </w:tc>
        <w:tc>
          <w:tcPr>
            <w:tcW w:w="200" w:type="pct"/>
            <w:shd w:val="clear" w:color="auto" w:fill="auto"/>
            <w:vAlign w:val="center"/>
          </w:tcPr>
          <w:p w14:paraId="5556F064" w14:textId="77777777" w:rsidR="00F925DD" w:rsidRDefault="00F925DD">
            <w:pPr>
              <w:rPr>
                <w:rFonts w:ascii="Times New Roman" w:hAnsi="Times New Roman"/>
                <w:sz w:val="20"/>
                <w:szCs w:val="20"/>
              </w:rPr>
            </w:pPr>
          </w:p>
        </w:tc>
        <w:tc>
          <w:tcPr>
            <w:tcW w:w="50" w:type="pct"/>
            <w:shd w:val="clear" w:color="auto" w:fill="auto"/>
            <w:vAlign w:val="center"/>
          </w:tcPr>
          <w:p w14:paraId="5556F065" w14:textId="77777777" w:rsidR="00F925DD" w:rsidRDefault="00F925DD">
            <w:pPr>
              <w:rPr>
                <w:rFonts w:ascii="Times New Roman" w:hAnsi="Times New Roman"/>
                <w:sz w:val="20"/>
                <w:szCs w:val="20"/>
              </w:rPr>
            </w:pPr>
          </w:p>
        </w:tc>
        <w:tc>
          <w:tcPr>
            <w:tcW w:w="50" w:type="pct"/>
            <w:shd w:val="clear" w:color="auto" w:fill="auto"/>
            <w:vAlign w:val="center"/>
          </w:tcPr>
          <w:p w14:paraId="5556F066" w14:textId="77777777" w:rsidR="00F925DD" w:rsidRDefault="00F925DD">
            <w:pPr>
              <w:rPr>
                <w:rFonts w:ascii="Times New Roman" w:hAnsi="Times New Roman"/>
                <w:sz w:val="20"/>
                <w:szCs w:val="20"/>
              </w:rPr>
            </w:pPr>
          </w:p>
        </w:tc>
        <w:tc>
          <w:tcPr>
            <w:tcW w:w="50" w:type="pct"/>
            <w:shd w:val="clear" w:color="auto" w:fill="auto"/>
            <w:vAlign w:val="center"/>
          </w:tcPr>
          <w:p w14:paraId="5556F067" w14:textId="77777777" w:rsidR="00F925DD" w:rsidRDefault="00F925DD">
            <w:pPr>
              <w:rPr>
                <w:rFonts w:ascii="Times New Roman" w:hAnsi="Times New Roman"/>
                <w:sz w:val="20"/>
                <w:szCs w:val="20"/>
              </w:rPr>
            </w:pPr>
          </w:p>
        </w:tc>
        <w:tc>
          <w:tcPr>
            <w:tcW w:w="200" w:type="pct"/>
            <w:shd w:val="clear" w:color="auto" w:fill="auto"/>
            <w:vAlign w:val="center"/>
          </w:tcPr>
          <w:p w14:paraId="5556F068" w14:textId="77777777" w:rsidR="00F925DD" w:rsidRDefault="00F925DD">
            <w:pPr>
              <w:rPr>
                <w:rFonts w:ascii="Times New Roman" w:hAnsi="Times New Roman"/>
                <w:sz w:val="20"/>
                <w:szCs w:val="20"/>
              </w:rPr>
            </w:pPr>
          </w:p>
        </w:tc>
        <w:tc>
          <w:tcPr>
            <w:tcW w:w="50" w:type="pct"/>
            <w:shd w:val="clear" w:color="auto" w:fill="auto"/>
            <w:vAlign w:val="center"/>
          </w:tcPr>
          <w:p w14:paraId="5556F069" w14:textId="77777777" w:rsidR="00F925DD" w:rsidRDefault="00F925DD">
            <w:pPr>
              <w:rPr>
                <w:rFonts w:ascii="Times New Roman" w:hAnsi="Times New Roman"/>
                <w:sz w:val="20"/>
                <w:szCs w:val="20"/>
              </w:rPr>
            </w:pPr>
          </w:p>
        </w:tc>
        <w:tc>
          <w:tcPr>
            <w:tcW w:w="50" w:type="pct"/>
            <w:shd w:val="clear" w:color="auto" w:fill="auto"/>
            <w:vAlign w:val="center"/>
          </w:tcPr>
          <w:p w14:paraId="5556F06A" w14:textId="77777777" w:rsidR="00F925DD" w:rsidRDefault="00F925DD">
            <w:pPr>
              <w:rPr>
                <w:rFonts w:ascii="Times New Roman" w:hAnsi="Times New Roman"/>
                <w:sz w:val="20"/>
                <w:szCs w:val="20"/>
              </w:rPr>
            </w:pPr>
          </w:p>
        </w:tc>
        <w:tc>
          <w:tcPr>
            <w:tcW w:w="50" w:type="pct"/>
            <w:shd w:val="clear" w:color="auto" w:fill="auto"/>
            <w:vAlign w:val="center"/>
          </w:tcPr>
          <w:p w14:paraId="5556F06B" w14:textId="77777777" w:rsidR="00F925DD" w:rsidRDefault="00F925DD">
            <w:pPr>
              <w:rPr>
                <w:rFonts w:ascii="Times New Roman" w:hAnsi="Times New Roman"/>
                <w:sz w:val="20"/>
                <w:szCs w:val="20"/>
              </w:rPr>
            </w:pPr>
          </w:p>
        </w:tc>
        <w:tc>
          <w:tcPr>
            <w:tcW w:w="250" w:type="pct"/>
            <w:shd w:val="clear" w:color="auto" w:fill="auto"/>
            <w:vAlign w:val="center"/>
          </w:tcPr>
          <w:p w14:paraId="5556F06C" w14:textId="77777777" w:rsidR="00F925DD" w:rsidRDefault="00F925DD">
            <w:pPr>
              <w:rPr>
                <w:rFonts w:ascii="Times New Roman" w:hAnsi="Times New Roman"/>
                <w:sz w:val="20"/>
                <w:szCs w:val="20"/>
              </w:rPr>
            </w:pPr>
          </w:p>
        </w:tc>
        <w:tc>
          <w:tcPr>
            <w:tcW w:w="50" w:type="pct"/>
            <w:shd w:val="clear" w:color="auto" w:fill="auto"/>
            <w:vAlign w:val="center"/>
          </w:tcPr>
          <w:p w14:paraId="5556F06D" w14:textId="77777777" w:rsidR="00F925DD" w:rsidRDefault="00F925DD">
            <w:pPr>
              <w:rPr>
                <w:rFonts w:ascii="Times New Roman" w:hAnsi="Times New Roman"/>
                <w:sz w:val="20"/>
                <w:szCs w:val="20"/>
              </w:rPr>
            </w:pPr>
          </w:p>
        </w:tc>
        <w:tc>
          <w:tcPr>
            <w:tcW w:w="50" w:type="pct"/>
            <w:shd w:val="clear" w:color="auto" w:fill="auto"/>
            <w:vAlign w:val="center"/>
          </w:tcPr>
          <w:p w14:paraId="5556F06E" w14:textId="77777777" w:rsidR="00F925DD" w:rsidRDefault="00F925DD">
            <w:pPr>
              <w:rPr>
                <w:rFonts w:ascii="Times New Roman" w:hAnsi="Times New Roman"/>
                <w:sz w:val="20"/>
                <w:szCs w:val="20"/>
              </w:rPr>
            </w:pPr>
          </w:p>
        </w:tc>
        <w:tc>
          <w:tcPr>
            <w:tcW w:w="50" w:type="pct"/>
            <w:shd w:val="clear" w:color="auto" w:fill="auto"/>
            <w:vAlign w:val="center"/>
          </w:tcPr>
          <w:p w14:paraId="5556F06F" w14:textId="77777777" w:rsidR="00F925DD" w:rsidRDefault="00F925DD">
            <w:pPr>
              <w:rPr>
                <w:rFonts w:ascii="Times New Roman" w:hAnsi="Times New Roman"/>
                <w:sz w:val="20"/>
                <w:szCs w:val="20"/>
              </w:rPr>
            </w:pPr>
          </w:p>
        </w:tc>
        <w:tc>
          <w:tcPr>
            <w:tcW w:w="250" w:type="pct"/>
            <w:shd w:val="clear" w:color="auto" w:fill="auto"/>
            <w:vAlign w:val="center"/>
          </w:tcPr>
          <w:p w14:paraId="5556F070" w14:textId="77777777" w:rsidR="00F925DD" w:rsidRDefault="00F925DD">
            <w:pPr>
              <w:rPr>
                <w:rFonts w:ascii="Times New Roman" w:hAnsi="Times New Roman"/>
                <w:sz w:val="20"/>
                <w:szCs w:val="20"/>
              </w:rPr>
            </w:pPr>
          </w:p>
        </w:tc>
        <w:tc>
          <w:tcPr>
            <w:tcW w:w="50" w:type="pct"/>
            <w:shd w:val="clear" w:color="auto" w:fill="auto"/>
            <w:vAlign w:val="center"/>
          </w:tcPr>
          <w:p w14:paraId="5556F071" w14:textId="77777777" w:rsidR="00F925DD" w:rsidRDefault="00F925DD">
            <w:pPr>
              <w:rPr>
                <w:rFonts w:ascii="Times New Roman" w:hAnsi="Times New Roman"/>
                <w:sz w:val="20"/>
                <w:szCs w:val="20"/>
              </w:rPr>
            </w:pPr>
          </w:p>
        </w:tc>
        <w:tc>
          <w:tcPr>
            <w:tcW w:w="50" w:type="pct"/>
            <w:shd w:val="clear" w:color="auto" w:fill="auto"/>
            <w:vAlign w:val="center"/>
          </w:tcPr>
          <w:p w14:paraId="5556F072" w14:textId="77777777" w:rsidR="00F925DD" w:rsidRDefault="00F925DD">
            <w:pPr>
              <w:rPr>
                <w:rFonts w:ascii="Times New Roman" w:hAnsi="Times New Roman"/>
                <w:sz w:val="20"/>
                <w:szCs w:val="20"/>
              </w:rPr>
            </w:pPr>
          </w:p>
        </w:tc>
        <w:tc>
          <w:tcPr>
            <w:tcW w:w="50" w:type="pct"/>
            <w:shd w:val="clear" w:color="auto" w:fill="auto"/>
            <w:vAlign w:val="center"/>
          </w:tcPr>
          <w:p w14:paraId="5556F073" w14:textId="77777777" w:rsidR="00F925DD" w:rsidRDefault="00F925DD">
            <w:pPr>
              <w:rPr>
                <w:rFonts w:ascii="Times New Roman" w:hAnsi="Times New Roman"/>
                <w:sz w:val="20"/>
                <w:szCs w:val="20"/>
              </w:rPr>
            </w:pPr>
          </w:p>
        </w:tc>
        <w:tc>
          <w:tcPr>
            <w:tcW w:w="250" w:type="pct"/>
            <w:shd w:val="clear" w:color="auto" w:fill="auto"/>
            <w:vAlign w:val="center"/>
          </w:tcPr>
          <w:p w14:paraId="5556F074" w14:textId="77777777" w:rsidR="00F925DD" w:rsidRDefault="00F925DD">
            <w:pPr>
              <w:rPr>
                <w:rFonts w:ascii="Times New Roman" w:hAnsi="Times New Roman"/>
                <w:sz w:val="20"/>
                <w:szCs w:val="20"/>
              </w:rPr>
            </w:pPr>
          </w:p>
        </w:tc>
        <w:tc>
          <w:tcPr>
            <w:tcW w:w="50" w:type="pct"/>
            <w:shd w:val="clear" w:color="auto" w:fill="auto"/>
            <w:vAlign w:val="center"/>
          </w:tcPr>
          <w:p w14:paraId="5556F075" w14:textId="77777777" w:rsidR="00F925DD" w:rsidRDefault="00F925DD">
            <w:pPr>
              <w:rPr>
                <w:rFonts w:ascii="Times New Roman" w:hAnsi="Times New Roman"/>
                <w:sz w:val="20"/>
                <w:szCs w:val="20"/>
              </w:rPr>
            </w:pPr>
          </w:p>
        </w:tc>
      </w:tr>
      <w:tr w:rsidR="00F925DD" w14:paraId="5556F079" w14:textId="77777777">
        <w:tc>
          <w:tcPr>
            <w:tcW w:w="0" w:type="auto"/>
            <w:shd w:val="clear" w:color="auto" w:fill="auto"/>
            <w:tcMar>
              <w:top w:w="40" w:type="dxa"/>
              <w:left w:w="40" w:type="dxa"/>
              <w:bottom w:w="40" w:type="dxa"/>
              <w:right w:w="40" w:type="dxa"/>
            </w:tcMar>
            <w:vAlign w:val="bottom"/>
          </w:tcPr>
          <w:p w14:paraId="5556F0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47"/>
            <w:tcBorders>
              <w:bottom w:val="single" w:sz="8" w:space="0" w:color="000000"/>
            </w:tcBorders>
            <w:shd w:val="clear" w:color="auto" w:fill="auto"/>
            <w:tcMar>
              <w:top w:w="40" w:type="dxa"/>
              <w:left w:w="40" w:type="dxa"/>
              <w:bottom w:w="40" w:type="dxa"/>
            </w:tcMar>
            <w:vAlign w:val="bottom"/>
          </w:tcPr>
          <w:p w14:paraId="5556F07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Years Ended December 31,</w:t>
            </w:r>
          </w:p>
        </w:tc>
      </w:tr>
      <w:tr w:rsidR="00F925DD" w14:paraId="5556F082" w14:textId="77777777">
        <w:tc>
          <w:tcPr>
            <w:tcW w:w="0" w:type="auto"/>
            <w:shd w:val="clear" w:color="auto" w:fill="auto"/>
            <w:tcMar>
              <w:top w:w="40" w:type="dxa"/>
              <w:left w:w="40" w:type="dxa"/>
              <w:bottom w:w="40" w:type="dxa"/>
              <w:right w:w="40" w:type="dxa"/>
            </w:tcMar>
            <w:vAlign w:val="bottom"/>
          </w:tcPr>
          <w:p w14:paraId="5556F0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F07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Investment</w:t>
            </w:r>
            <w:r>
              <w:rPr>
                <w:rFonts w:ascii="Arial" w:eastAsia="宋体" w:hAnsi="Arial" w:cs="Arial"/>
                <w:b/>
                <w:bCs/>
                <w:sz w:val="15"/>
                <w:szCs w:val="15"/>
              </w:rPr>
              <w:br/>
              <w:t>Servicing</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0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F07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Investment</w:t>
            </w:r>
            <w:r>
              <w:rPr>
                <w:rFonts w:ascii="Arial" w:eastAsia="宋体" w:hAnsi="Arial" w:cs="Arial"/>
                <w:b/>
                <w:bCs/>
                <w:sz w:val="15"/>
                <w:szCs w:val="15"/>
              </w:rPr>
              <w:br/>
              <w:t>Management</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0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F07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Other</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0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F08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Total</w:t>
            </w:r>
          </w:p>
        </w:tc>
      </w:tr>
      <w:tr w:rsidR="00F925DD" w14:paraId="5556F09B" w14:textId="77777777">
        <w:tc>
          <w:tcPr>
            <w:tcW w:w="0" w:type="auto"/>
            <w:shd w:val="clear" w:color="auto" w:fill="auto"/>
            <w:tcMar>
              <w:top w:w="40" w:type="dxa"/>
              <w:left w:w="40" w:type="dxa"/>
              <w:bottom w:w="40" w:type="dxa"/>
              <w:right w:w="40" w:type="dxa"/>
            </w:tcMar>
            <w:vAlign w:val="bottom"/>
          </w:tcPr>
          <w:p w14:paraId="5556F083"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08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shd w:val="clear" w:color="auto" w:fill="auto"/>
            <w:tcMar>
              <w:top w:w="40" w:type="dxa"/>
              <w:left w:w="40" w:type="dxa"/>
              <w:bottom w:w="40" w:type="dxa"/>
              <w:right w:w="40" w:type="dxa"/>
            </w:tcMar>
            <w:vAlign w:val="bottom"/>
          </w:tcPr>
          <w:p w14:paraId="5556F085" w14:textId="77777777" w:rsidR="00F925DD" w:rsidRDefault="00F925DD">
            <w:pPr>
              <w:jc w:val="center"/>
              <w:textAlignment w:val="bottom"/>
              <w:rPr>
                <w:rFonts w:ascii="Times New Roman" w:hAnsi="Times New Roman"/>
                <w:sz w:val="15"/>
                <w:szCs w:val="15"/>
              </w:rPr>
            </w:pPr>
          </w:p>
        </w:tc>
        <w:tc>
          <w:tcPr>
            <w:tcW w:w="0" w:type="auto"/>
            <w:gridSpan w:val="3"/>
            <w:shd w:val="clear" w:color="auto" w:fill="auto"/>
            <w:tcMar>
              <w:top w:w="40" w:type="dxa"/>
              <w:left w:w="40" w:type="dxa"/>
              <w:bottom w:w="40" w:type="dxa"/>
              <w:right w:w="40" w:type="dxa"/>
            </w:tcMar>
            <w:vAlign w:val="bottom"/>
          </w:tcPr>
          <w:p w14:paraId="5556F08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2018</w:t>
            </w:r>
          </w:p>
        </w:tc>
        <w:tc>
          <w:tcPr>
            <w:tcW w:w="0" w:type="auto"/>
            <w:shd w:val="clear" w:color="auto" w:fill="auto"/>
            <w:tcMar>
              <w:top w:w="40" w:type="dxa"/>
              <w:left w:w="40" w:type="dxa"/>
              <w:bottom w:w="40" w:type="dxa"/>
              <w:right w:w="40" w:type="dxa"/>
            </w:tcMar>
            <w:vAlign w:val="bottom"/>
          </w:tcPr>
          <w:p w14:paraId="5556F087" w14:textId="77777777" w:rsidR="00F925DD" w:rsidRDefault="00F925DD">
            <w:pPr>
              <w:jc w:val="center"/>
              <w:textAlignment w:val="bottom"/>
              <w:rPr>
                <w:rFonts w:ascii="Times New Roman" w:hAnsi="Times New Roman"/>
                <w:sz w:val="15"/>
                <w:szCs w:val="15"/>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08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2017</w:t>
            </w:r>
          </w:p>
        </w:tc>
        <w:tc>
          <w:tcPr>
            <w:tcW w:w="0" w:type="auto"/>
            <w:shd w:val="clear" w:color="auto" w:fill="auto"/>
            <w:tcMar>
              <w:top w:w="40" w:type="dxa"/>
              <w:left w:w="40" w:type="dxa"/>
              <w:bottom w:w="40" w:type="dxa"/>
              <w:right w:w="40" w:type="dxa"/>
            </w:tcMar>
            <w:vAlign w:val="bottom"/>
          </w:tcPr>
          <w:p w14:paraId="5556F0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08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0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08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0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08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2017</w:t>
            </w:r>
          </w:p>
        </w:tc>
        <w:tc>
          <w:tcPr>
            <w:tcW w:w="0" w:type="auto"/>
            <w:shd w:val="clear" w:color="auto" w:fill="auto"/>
            <w:tcMar>
              <w:top w:w="40" w:type="dxa"/>
              <w:left w:w="40" w:type="dxa"/>
              <w:bottom w:w="40" w:type="dxa"/>
              <w:right w:w="40" w:type="dxa"/>
            </w:tcMar>
            <w:vAlign w:val="bottom"/>
          </w:tcPr>
          <w:p w14:paraId="5556F0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09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0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09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0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094"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2017</w:t>
            </w:r>
          </w:p>
        </w:tc>
        <w:tc>
          <w:tcPr>
            <w:tcW w:w="0" w:type="auto"/>
            <w:shd w:val="clear" w:color="auto" w:fill="auto"/>
            <w:tcMar>
              <w:top w:w="40" w:type="dxa"/>
              <w:left w:w="40" w:type="dxa"/>
              <w:bottom w:w="40" w:type="dxa"/>
              <w:right w:w="40" w:type="dxa"/>
            </w:tcMar>
            <w:vAlign w:val="bottom"/>
          </w:tcPr>
          <w:p w14:paraId="5556F0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096"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0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098"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0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5556F09A"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2017</w:t>
            </w:r>
          </w:p>
        </w:tc>
      </w:tr>
      <w:tr w:rsidR="00E705D7" w14:paraId="5556F0CC" w14:textId="77777777">
        <w:tc>
          <w:tcPr>
            <w:tcW w:w="0" w:type="auto"/>
            <w:shd w:val="clear" w:color="auto" w:fill="CCEEFF"/>
            <w:tcMar>
              <w:top w:w="40" w:type="dxa"/>
              <w:left w:w="40" w:type="dxa"/>
              <w:bottom w:w="40" w:type="dxa"/>
              <w:right w:w="40" w:type="dxa"/>
            </w:tcMar>
            <w:vAlign w:val="bottom"/>
          </w:tcPr>
          <w:p w14:paraId="5556F09C" w14:textId="77777777" w:rsidR="00F925DD" w:rsidRDefault="00E705D7">
            <w:pPr>
              <w:textAlignment w:val="bottom"/>
              <w:rPr>
                <w:rFonts w:ascii="Times New Roman" w:hAnsi="Times New Roman"/>
                <w:sz w:val="15"/>
                <w:szCs w:val="15"/>
              </w:rPr>
            </w:pPr>
            <w:r>
              <w:rPr>
                <w:rFonts w:ascii="Arial" w:eastAsia="宋体" w:hAnsi="Arial" w:cs="Arial"/>
                <w:sz w:val="15"/>
                <w:szCs w:val="15"/>
              </w:rPr>
              <w:t>Servicing fees</w:t>
            </w:r>
          </w:p>
        </w:tc>
        <w:tc>
          <w:tcPr>
            <w:tcW w:w="0" w:type="auto"/>
            <w:tcBorders>
              <w:top w:val="single" w:sz="8" w:space="0" w:color="000000"/>
            </w:tcBorders>
            <w:shd w:val="clear" w:color="auto" w:fill="CCEEFF"/>
            <w:tcMar>
              <w:top w:w="40" w:type="dxa"/>
              <w:left w:w="40" w:type="dxa"/>
              <w:bottom w:w="40" w:type="dxa"/>
            </w:tcMar>
            <w:vAlign w:val="bottom"/>
          </w:tcPr>
          <w:p w14:paraId="5556F09D"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F09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5,074</w:t>
            </w:r>
          </w:p>
        </w:tc>
        <w:tc>
          <w:tcPr>
            <w:tcW w:w="0" w:type="auto"/>
            <w:tcBorders>
              <w:top w:val="single" w:sz="8" w:space="0" w:color="000000"/>
            </w:tcBorders>
            <w:shd w:val="clear" w:color="auto" w:fill="CCEEFF"/>
            <w:vAlign w:val="bottom"/>
          </w:tcPr>
          <w:p w14:paraId="5556F0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0A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F0A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5,429</w:t>
            </w:r>
          </w:p>
        </w:tc>
        <w:tc>
          <w:tcPr>
            <w:tcW w:w="0" w:type="auto"/>
            <w:tcBorders>
              <w:top w:val="single" w:sz="8" w:space="0" w:color="000000"/>
            </w:tcBorders>
            <w:shd w:val="clear" w:color="auto" w:fill="CCEEFF"/>
            <w:vAlign w:val="bottom"/>
          </w:tcPr>
          <w:p w14:paraId="5556F0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0A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F0A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5,365</w:t>
            </w:r>
          </w:p>
        </w:tc>
        <w:tc>
          <w:tcPr>
            <w:tcW w:w="0" w:type="auto"/>
            <w:shd w:val="clear" w:color="auto" w:fill="CCEEFF"/>
            <w:vAlign w:val="bottom"/>
          </w:tcPr>
          <w:p w14:paraId="5556F0A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0A9"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F0A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vAlign w:val="bottom"/>
          </w:tcPr>
          <w:p w14:paraId="5556F0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0A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F0A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vAlign w:val="bottom"/>
          </w:tcPr>
          <w:p w14:paraId="5556F0A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0B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F0B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F0B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0B5"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F0B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vAlign w:val="bottom"/>
          </w:tcPr>
          <w:p w14:paraId="5556F0B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0B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F0B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w:t>
            </w:r>
          </w:p>
        </w:tc>
        <w:tc>
          <w:tcPr>
            <w:tcW w:w="0" w:type="auto"/>
            <w:tcBorders>
              <w:top w:val="single" w:sz="8" w:space="0" w:color="000000"/>
            </w:tcBorders>
            <w:shd w:val="clear" w:color="auto" w:fill="CCEEFF"/>
            <w:tcMar>
              <w:top w:w="40" w:type="dxa"/>
              <w:bottom w:w="40" w:type="dxa"/>
              <w:right w:w="40" w:type="dxa"/>
            </w:tcMar>
            <w:vAlign w:val="bottom"/>
          </w:tcPr>
          <w:p w14:paraId="5556F0BB"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F0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0B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F0B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F0B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0C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top w:val="single" w:sz="8" w:space="0" w:color="000000"/>
            </w:tcBorders>
            <w:shd w:val="clear" w:color="auto" w:fill="CCEEFF"/>
            <w:tcMar>
              <w:top w:w="40" w:type="dxa"/>
              <w:bottom w:w="40" w:type="dxa"/>
            </w:tcMar>
            <w:vAlign w:val="bottom"/>
          </w:tcPr>
          <w:p w14:paraId="5556F0C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5,074</w:t>
            </w:r>
          </w:p>
        </w:tc>
        <w:tc>
          <w:tcPr>
            <w:tcW w:w="0" w:type="auto"/>
            <w:tcBorders>
              <w:top w:val="single" w:sz="8" w:space="0" w:color="000000"/>
            </w:tcBorders>
            <w:shd w:val="clear" w:color="auto" w:fill="CCEEFF"/>
            <w:vAlign w:val="bottom"/>
          </w:tcPr>
          <w:p w14:paraId="5556F0C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0C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F0C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5,421</w:t>
            </w:r>
          </w:p>
        </w:tc>
        <w:tc>
          <w:tcPr>
            <w:tcW w:w="0" w:type="auto"/>
            <w:shd w:val="clear" w:color="auto" w:fill="CCEEFF"/>
            <w:vAlign w:val="bottom"/>
          </w:tcPr>
          <w:p w14:paraId="5556F0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0C9"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tcMar>
              <w:top w:w="40" w:type="dxa"/>
              <w:bottom w:w="40" w:type="dxa"/>
            </w:tcMar>
            <w:vAlign w:val="bottom"/>
          </w:tcPr>
          <w:p w14:paraId="5556F0C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5,365</w:t>
            </w:r>
          </w:p>
        </w:tc>
        <w:tc>
          <w:tcPr>
            <w:tcW w:w="0" w:type="auto"/>
            <w:tcBorders>
              <w:top w:val="single" w:sz="8" w:space="0" w:color="000000"/>
            </w:tcBorders>
            <w:shd w:val="clear" w:color="auto" w:fill="CCEEFF"/>
            <w:vAlign w:val="bottom"/>
          </w:tcPr>
          <w:p w14:paraId="5556F0CB" w14:textId="77777777" w:rsidR="00F925DD" w:rsidRDefault="00F925DD">
            <w:pPr>
              <w:textAlignment w:val="bottom"/>
              <w:rPr>
                <w:rFonts w:ascii="Times New Roman" w:hAnsi="Times New Roman"/>
                <w:sz w:val="20"/>
                <w:szCs w:val="20"/>
              </w:rPr>
            </w:pPr>
          </w:p>
        </w:tc>
      </w:tr>
      <w:tr w:rsidR="00F925DD" w14:paraId="5556F0F1" w14:textId="77777777">
        <w:tc>
          <w:tcPr>
            <w:tcW w:w="0" w:type="auto"/>
            <w:shd w:val="clear" w:color="auto" w:fill="auto"/>
            <w:tcMar>
              <w:top w:w="40" w:type="dxa"/>
              <w:left w:w="40" w:type="dxa"/>
              <w:bottom w:w="40" w:type="dxa"/>
              <w:right w:w="40" w:type="dxa"/>
            </w:tcMar>
            <w:vAlign w:val="bottom"/>
          </w:tcPr>
          <w:p w14:paraId="5556F0CD" w14:textId="77777777" w:rsidR="00F925DD" w:rsidRDefault="00E705D7">
            <w:pPr>
              <w:textAlignment w:val="bottom"/>
              <w:rPr>
                <w:rFonts w:ascii="Times New Roman" w:hAnsi="Times New Roman"/>
                <w:sz w:val="15"/>
                <w:szCs w:val="15"/>
              </w:rPr>
            </w:pPr>
            <w:r>
              <w:rPr>
                <w:rFonts w:ascii="Arial" w:eastAsia="宋体" w:hAnsi="Arial" w:cs="Arial"/>
                <w:sz w:val="15"/>
                <w:szCs w:val="15"/>
              </w:rPr>
              <w:t>Management fees</w:t>
            </w:r>
          </w:p>
        </w:tc>
        <w:tc>
          <w:tcPr>
            <w:tcW w:w="0" w:type="auto"/>
            <w:gridSpan w:val="2"/>
            <w:shd w:val="clear" w:color="auto" w:fill="auto"/>
            <w:tcMar>
              <w:top w:w="40" w:type="dxa"/>
              <w:left w:w="40" w:type="dxa"/>
              <w:bottom w:w="40" w:type="dxa"/>
            </w:tcMar>
            <w:vAlign w:val="bottom"/>
          </w:tcPr>
          <w:p w14:paraId="5556F0C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F0C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D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0D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D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0D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D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1,771</w:t>
            </w:r>
          </w:p>
        </w:tc>
        <w:tc>
          <w:tcPr>
            <w:tcW w:w="0" w:type="auto"/>
            <w:shd w:val="clear" w:color="auto" w:fill="auto"/>
            <w:vAlign w:val="bottom"/>
          </w:tcPr>
          <w:p w14:paraId="5556F0D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D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1,851</w:t>
            </w:r>
          </w:p>
        </w:tc>
        <w:tc>
          <w:tcPr>
            <w:tcW w:w="0" w:type="auto"/>
            <w:shd w:val="clear" w:color="auto" w:fill="auto"/>
            <w:vAlign w:val="bottom"/>
          </w:tcPr>
          <w:p w14:paraId="5556F0D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D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1,616</w:t>
            </w:r>
          </w:p>
        </w:tc>
        <w:tc>
          <w:tcPr>
            <w:tcW w:w="0" w:type="auto"/>
            <w:shd w:val="clear" w:color="auto" w:fill="auto"/>
            <w:vAlign w:val="bottom"/>
          </w:tcPr>
          <w:p w14:paraId="5556F0D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E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F0E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E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0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E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0E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E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1,771</w:t>
            </w:r>
          </w:p>
        </w:tc>
        <w:tc>
          <w:tcPr>
            <w:tcW w:w="0" w:type="auto"/>
            <w:shd w:val="clear" w:color="auto" w:fill="auto"/>
            <w:vAlign w:val="bottom"/>
          </w:tcPr>
          <w:p w14:paraId="5556F0E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E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1,851</w:t>
            </w:r>
          </w:p>
        </w:tc>
        <w:tc>
          <w:tcPr>
            <w:tcW w:w="0" w:type="auto"/>
            <w:shd w:val="clear" w:color="auto" w:fill="auto"/>
            <w:vAlign w:val="bottom"/>
          </w:tcPr>
          <w:p w14:paraId="5556F0E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0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0E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1,616</w:t>
            </w:r>
          </w:p>
        </w:tc>
        <w:tc>
          <w:tcPr>
            <w:tcW w:w="0" w:type="auto"/>
            <w:shd w:val="clear" w:color="auto" w:fill="auto"/>
            <w:vAlign w:val="bottom"/>
          </w:tcPr>
          <w:p w14:paraId="5556F0F0" w14:textId="77777777" w:rsidR="00F925DD" w:rsidRDefault="00F925DD">
            <w:pPr>
              <w:textAlignment w:val="bottom"/>
              <w:rPr>
                <w:rFonts w:ascii="Times New Roman" w:hAnsi="Times New Roman"/>
                <w:sz w:val="20"/>
                <w:szCs w:val="20"/>
              </w:rPr>
            </w:pPr>
          </w:p>
        </w:tc>
      </w:tr>
      <w:tr w:rsidR="00E705D7" w14:paraId="5556F116" w14:textId="77777777">
        <w:tc>
          <w:tcPr>
            <w:tcW w:w="0" w:type="auto"/>
            <w:shd w:val="clear" w:color="auto" w:fill="CCEEFF"/>
            <w:tcMar>
              <w:top w:w="40" w:type="dxa"/>
              <w:left w:w="40" w:type="dxa"/>
              <w:bottom w:w="40" w:type="dxa"/>
              <w:right w:w="40" w:type="dxa"/>
            </w:tcMar>
            <w:vAlign w:val="bottom"/>
          </w:tcPr>
          <w:p w14:paraId="5556F0F2" w14:textId="77777777" w:rsidR="00F925DD" w:rsidRDefault="00E705D7">
            <w:pPr>
              <w:textAlignment w:val="bottom"/>
              <w:rPr>
                <w:rFonts w:ascii="Times New Roman" w:hAnsi="Times New Roman"/>
                <w:sz w:val="15"/>
                <w:szCs w:val="15"/>
              </w:rPr>
            </w:pPr>
            <w:r>
              <w:rPr>
                <w:rFonts w:ascii="Arial" w:eastAsia="宋体" w:hAnsi="Arial" w:cs="Arial"/>
                <w:sz w:val="15"/>
                <w:szCs w:val="15"/>
              </w:rPr>
              <w:t>Foreign exchange trading services</w:t>
            </w:r>
          </w:p>
        </w:tc>
        <w:tc>
          <w:tcPr>
            <w:tcW w:w="0" w:type="auto"/>
            <w:gridSpan w:val="2"/>
            <w:shd w:val="clear" w:color="auto" w:fill="CCEEFF"/>
            <w:tcMar>
              <w:top w:w="40" w:type="dxa"/>
              <w:left w:w="40" w:type="dxa"/>
              <w:bottom w:w="40" w:type="dxa"/>
            </w:tcMar>
            <w:vAlign w:val="bottom"/>
          </w:tcPr>
          <w:p w14:paraId="5556F0F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974</w:t>
            </w:r>
          </w:p>
        </w:tc>
        <w:tc>
          <w:tcPr>
            <w:tcW w:w="0" w:type="auto"/>
            <w:shd w:val="clear" w:color="auto" w:fill="CCEEFF"/>
            <w:vAlign w:val="bottom"/>
          </w:tcPr>
          <w:p w14:paraId="5556F0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0F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1,071</w:t>
            </w:r>
          </w:p>
        </w:tc>
        <w:tc>
          <w:tcPr>
            <w:tcW w:w="0" w:type="auto"/>
            <w:shd w:val="clear" w:color="auto" w:fill="CCEEFF"/>
            <w:vAlign w:val="bottom"/>
          </w:tcPr>
          <w:p w14:paraId="5556F0F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0F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999</w:t>
            </w:r>
          </w:p>
        </w:tc>
        <w:tc>
          <w:tcPr>
            <w:tcW w:w="0" w:type="auto"/>
            <w:shd w:val="clear" w:color="auto" w:fill="CCEEFF"/>
            <w:vAlign w:val="bottom"/>
          </w:tcPr>
          <w:p w14:paraId="5556F0F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0F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137</w:t>
            </w:r>
          </w:p>
        </w:tc>
        <w:tc>
          <w:tcPr>
            <w:tcW w:w="0" w:type="auto"/>
            <w:shd w:val="clear" w:color="auto" w:fill="CCEEFF"/>
            <w:vAlign w:val="bottom"/>
          </w:tcPr>
          <w:p w14:paraId="5556F0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0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0F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130</w:t>
            </w:r>
          </w:p>
        </w:tc>
        <w:tc>
          <w:tcPr>
            <w:tcW w:w="0" w:type="auto"/>
            <w:shd w:val="clear" w:color="auto" w:fill="CCEEFF"/>
            <w:vAlign w:val="bottom"/>
          </w:tcPr>
          <w:p w14:paraId="5556F1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0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72</w:t>
            </w:r>
          </w:p>
        </w:tc>
        <w:tc>
          <w:tcPr>
            <w:tcW w:w="0" w:type="auto"/>
            <w:shd w:val="clear" w:color="auto" w:fill="CCEEFF"/>
            <w:vAlign w:val="bottom"/>
          </w:tcPr>
          <w:p w14:paraId="5556F10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0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F10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0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F10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0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F10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0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1,111</w:t>
            </w:r>
          </w:p>
        </w:tc>
        <w:tc>
          <w:tcPr>
            <w:tcW w:w="0" w:type="auto"/>
            <w:shd w:val="clear" w:color="auto" w:fill="CCEEFF"/>
            <w:vAlign w:val="bottom"/>
          </w:tcPr>
          <w:p w14:paraId="5556F10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1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1,201</w:t>
            </w:r>
          </w:p>
        </w:tc>
        <w:tc>
          <w:tcPr>
            <w:tcW w:w="0" w:type="auto"/>
            <w:shd w:val="clear" w:color="auto" w:fill="CCEEFF"/>
            <w:vAlign w:val="bottom"/>
          </w:tcPr>
          <w:p w14:paraId="5556F1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1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1,071</w:t>
            </w:r>
          </w:p>
        </w:tc>
        <w:tc>
          <w:tcPr>
            <w:tcW w:w="0" w:type="auto"/>
            <w:shd w:val="clear" w:color="auto" w:fill="CCEEFF"/>
            <w:vAlign w:val="bottom"/>
          </w:tcPr>
          <w:p w14:paraId="5556F115" w14:textId="77777777" w:rsidR="00F925DD" w:rsidRDefault="00F925DD">
            <w:pPr>
              <w:textAlignment w:val="bottom"/>
              <w:rPr>
                <w:rFonts w:ascii="Times New Roman" w:hAnsi="Times New Roman"/>
                <w:sz w:val="20"/>
                <w:szCs w:val="20"/>
              </w:rPr>
            </w:pPr>
          </w:p>
        </w:tc>
      </w:tr>
      <w:tr w:rsidR="00F925DD" w14:paraId="5556F13B" w14:textId="77777777">
        <w:tc>
          <w:tcPr>
            <w:tcW w:w="0" w:type="auto"/>
            <w:shd w:val="clear" w:color="auto" w:fill="auto"/>
            <w:tcMar>
              <w:top w:w="40" w:type="dxa"/>
              <w:left w:w="40" w:type="dxa"/>
              <w:bottom w:w="40" w:type="dxa"/>
              <w:right w:w="40" w:type="dxa"/>
            </w:tcMar>
            <w:vAlign w:val="bottom"/>
          </w:tcPr>
          <w:p w14:paraId="5556F117" w14:textId="77777777" w:rsidR="00F925DD" w:rsidRDefault="00E705D7">
            <w:pPr>
              <w:textAlignment w:val="bottom"/>
              <w:rPr>
                <w:rFonts w:ascii="Times New Roman" w:hAnsi="Times New Roman"/>
                <w:sz w:val="15"/>
                <w:szCs w:val="15"/>
              </w:rPr>
            </w:pPr>
            <w:r>
              <w:rPr>
                <w:rFonts w:ascii="Arial" w:eastAsia="宋体" w:hAnsi="Arial" w:cs="Arial"/>
                <w:sz w:val="15"/>
                <w:szCs w:val="15"/>
              </w:rPr>
              <w:t>Securities finance</w:t>
            </w:r>
          </w:p>
        </w:tc>
        <w:tc>
          <w:tcPr>
            <w:tcW w:w="0" w:type="auto"/>
            <w:gridSpan w:val="2"/>
            <w:shd w:val="clear" w:color="auto" w:fill="auto"/>
            <w:tcMar>
              <w:top w:w="40" w:type="dxa"/>
              <w:left w:w="40" w:type="dxa"/>
              <w:bottom w:w="40" w:type="dxa"/>
            </w:tcMar>
            <w:vAlign w:val="bottom"/>
          </w:tcPr>
          <w:p w14:paraId="5556F11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462</w:t>
            </w:r>
          </w:p>
        </w:tc>
        <w:tc>
          <w:tcPr>
            <w:tcW w:w="0" w:type="auto"/>
            <w:shd w:val="clear" w:color="auto" w:fill="auto"/>
            <w:vAlign w:val="bottom"/>
          </w:tcPr>
          <w:p w14:paraId="5556F11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1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543</w:t>
            </w:r>
          </w:p>
        </w:tc>
        <w:tc>
          <w:tcPr>
            <w:tcW w:w="0" w:type="auto"/>
            <w:shd w:val="clear" w:color="auto" w:fill="auto"/>
            <w:vAlign w:val="bottom"/>
          </w:tcPr>
          <w:p w14:paraId="5556F11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1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606</w:t>
            </w:r>
          </w:p>
        </w:tc>
        <w:tc>
          <w:tcPr>
            <w:tcW w:w="0" w:type="auto"/>
            <w:shd w:val="clear" w:color="auto" w:fill="auto"/>
            <w:vAlign w:val="bottom"/>
          </w:tcPr>
          <w:p w14:paraId="5556F11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2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w:t>
            </w:r>
          </w:p>
        </w:tc>
        <w:tc>
          <w:tcPr>
            <w:tcW w:w="0" w:type="auto"/>
            <w:shd w:val="clear" w:color="auto" w:fill="auto"/>
            <w:vAlign w:val="bottom"/>
          </w:tcPr>
          <w:p w14:paraId="5556F1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2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12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2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12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2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F12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2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1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3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13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3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471</w:t>
            </w:r>
          </w:p>
        </w:tc>
        <w:tc>
          <w:tcPr>
            <w:tcW w:w="0" w:type="auto"/>
            <w:shd w:val="clear" w:color="auto" w:fill="auto"/>
            <w:vAlign w:val="bottom"/>
          </w:tcPr>
          <w:p w14:paraId="5556F13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3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543</w:t>
            </w:r>
          </w:p>
        </w:tc>
        <w:tc>
          <w:tcPr>
            <w:tcW w:w="0" w:type="auto"/>
            <w:shd w:val="clear" w:color="auto" w:fill="auto"/>
            <w:vAlign w:val="bottom"/>
          </w:tcPr>
          <w:p w14:paraId="5556F13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3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606</w:t>
            </w:r>
          </w:p>
        </w:tc>
        <w:tc>
          <w:tcPr>
            <w:tcW w:w="0" w:type="auto"/>
            <w:shd w:val="clear" w:color="auto" w:fill="auto"/>
            <w:vAlign w:val="bottom"/>
          </w:tcPr>
          <w:p w14:paraId="5556F13A" w14:textId="77777777" w:rsidR="00F925DD" w:rsidRDefault="00F925DD">
            <w:pPr>
              <w:textAlignment w:val="bottom"/>
              <w:rPr>
                <w:rFonts w:ascii="Times New Roman" w:hAnsi="Times New Roman"/>
                <w:sz w:val="20"/>
                <w:szCs w:val="20"/>
              </w:rPr>
            </w:pPr>
          </w:p>
        </w:tc>
      </w:tr>
      <w:tr w:rsidR="00E705D7" w14:paraId="5556F160" w14:textId="77777777">
        <w:tc>
          <w:tcPr>
            <w:tcW w:w="0" w:type="auto"/>
            <w:shd w:val="clear" w:color="auto" w:fill="CCEEFF"/>
            <w:tcMar>
              <w:top w:w="40" w:type="dxa"/>
              <w:left w:w="40" w:type="dxa"/>
              <w:bottom w:w="40" w:type="dxa"/>
              <w:right w:w="40" w:type="dxa"/>
            </w:tcMar>
            <w:vAlign w:val="bottom"/>
          </w:tcPr>
          <w:p w14:paraId="5556F13C" w14:textId="77777777" w:rsidR="00F925DD" w:rsidRDefault="00E705D7">
            <w:pPr>
              <w:textAlignment w:val="bottom"/>
              <w:rPr>
                <w:rFonts w:ascii="Times New Roman" w:hAnsi="Times New Roman"/>
                <w:sz w:val="15"/>
                <w:szCs w:val="15"/>
              </w:rPr>
            </w:pPr>
            <w:r>
              <w:rPr>
                <w:rFonts w:ascii="Arial" w:eastAsia="宋体" w:hAnsi="Arial" w:cs="Arial"/>
                <w:sz w:val="15"/>
                <w:szCs w:val="15"/>
              </w:rPr>
              <w:t>Software and processing fees(1)(2)</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3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691</w:t>
            </w:r>
          </w:p>
        </w:tc>
        <w:tc>
          <w:tcPr>
            <w:tcW w:w="0" w:type="auto"/>
            <w:tcBorders>
              <w:bottom w:val="single" w:sz="8" w:space="0" w:color="000000"/>
            </w:tcBorders>
            <w:shd w:val="clear" w:color="auto" w:fill="CCEEFF"/>
            <w:vAlign w:val="bottom"/>
          </w:tcPr>
          <w:p w14:paraId="5556F1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4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443</w:t>
            </w:r>
          </w:p>
        </w:tc>
        <w:tc>
          <w:tcPr>
            <w:tcW w:w="0" w:type="auto"/>
            <w:tcBorders>
              <w:bottom w:val="single" w:sz="8" w:space="0" w:color="000000"/>
            </w:tcBorders>
            <w:shd w:val="clear" w:color="auto" w:fill="CCEEFF"/>
            <w:vAlign w:val="bottom"/>
          </w:tcPr>
          <w:p w14:paraId="5556F14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4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336</w:t>
            </w:r>
          </w:p>
        </w:tc>
        <w:tc>
          <w:tcPr>
            <w:tcW w:w="0" w:type="auto"/>
            <w:tcBorders>
              <w:bottom w:val="single" w:sz="8" w:space="0" w:color="000000"/>
            </w:tcBorders>
            <w:shd w:val="clear" w:color="auto" w:fill="CCEEFF"/>
            <w:vAlign w:val="bottom"/>
          </w:tcPr>
          <w:p w14:paraId="5556F1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4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29</w:t>
            </w:r>
          </w:p>
        </w:tc>
        <w:tc>
          <w:tcPr>
            <w:tcW w:w="0" w:type="auto"/>
            <w:tcBorders>
              <w:bottom w:val="single" w:sz="8" w:space="0" w:color="000000"/>
            </w:tcBorders>
            <w:shd w:val="clear" w:color="auto" w:fill="CCEEFF"/>
            <w:vAlign w:val="bottom"/>
          </w:tcPr>
          <w:p w14:paraId="5556F14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4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tcBorders>
              <w:bottom w:val="single" w:sz="8" w:space="0" w:color="000000"/>
            </w:tcBorders>
            <w:shd w:val="clear" w:color="auto" w:fill="CCEEFF"/>
            <w:tcMar>
              <w:top w:w="40" w:type="dxa"/>
              <w:bottom w:w="40" w:type="dxa"/>
              <w:right w:w="40" w:type="dxa"/>
            </w:tcMar>
            <w:vAlign w:val="bottom"/>
          </w:tcPr>
          <w:p w14:paraId="5556F14A"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F1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4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w:t>
            </w:r>
          </w:p>
        </w:tc>
        <w:tc>
          <w:tcPr>
            <w:tcW w:w="0" w:type="auto"/>
            <w:tcBorders>
              <w:bottom w:val="single" w:sz="8" w:space="0" w:color="000000"/>
            </w:tcBorders>
            <w:shd w:val="clear" w:color="auto" w:fill="CCEEFF"/>
            <w:vAlign w:val="bottom"/>
          </w:tcPr>
          <w:p w14:paraId="5556F14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4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CCEEFF"/>
            <w:vAlign w:val="bottom"/>
          </w:tcPr>
          <w:p w14:paraId="5556F15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5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F1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5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CCEEFF"/>
            <w:vAlign w:val="bottom"/>
          </w:tcPr>
          <w:p w14:paraId="5556F15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5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720</w:t>
            </w:r>
          </w:p>
        </w:tc>
        <w:tc>
          <w:tcPr>
            <w:tcW w:w="0" w:type="auto"/>
            <w:tcBorders>
              <w:bottom w:val="single" w:sz="8" w:space="0" w:color="000000"/>
            </w:tcBorders>
            <w:shd w:val="clear" w:color="auto" w:fill="CCEEFF"/>
            <w:vAlign w:val="bottom"/>
          </w:tcPr>
          <w:p w14:paraId="5556F15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5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438</w:t>
            </w:r>
          </w:p>
        </w:tc>
        <w:tc>
          <w:tcPr>
            <w:tcW w:w="0" w:type="auto"/>
            <w:tcBorders>
              <w:bottom w:val="single" w:sz="8" w:space="0" w:color="000000"/>
            </w:tcBorders>
            <w:shd w:val="clear" w:color="auto" w:fill="CCEEFF"/>
            <w:vAlign w:val="bottom"/>
          </w:tcPr>
          <w:p w14:paraId="5556F15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15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343</w:t>
            </w:r>
          </w:p>
        </w:tc>
        <w:tc>
          <w:tcPr>
            <w:tcW w:w="0" w:type="auto"/>
            <w:tcBorders>
              <w:bottom w:val="single" w:sz="8" w:space="0" w:color="000000"/>
            </w:tcBorders>
            <w:shd w:val="clear" w:color="auto" w:fill="CCEEFF"/>
            <w:vAlign w:val="bottom"/>
          </w:tcPr>
          <w:p w14:paraId="5556F15F" w14:textId="77777777" w:rsidR="00F925DD" w:rsidRDefault="00F925DD">
            <w:pPr>
              <w:textAlignment w:val="bottom"/>
              <w:rPr>
                <w:rFonts w:ascii="Times New Roman" w:hAnsi="Times New Roman"/>
                <w:sz w:val="20"/>
                <w:szCs w:val="20"/>
              </w:rPr>
            </w:pPr>
          </w:p>
        </w:tc>
      </w:tr>
      <w:tr w:rsidR="00F925DD" w14:paraId="5556F185" w14:textId="77777777">
        <w:tc>
          <w:tcPr>
            <w:tcW w:w="0" w:type="auto"/>
            <w:shd w:val="clear" w:color="auto" w:fill="auto"/>
            <w:tcMar>
              <w:top w:w="40" w:type="dxa"/>
              <w:left w:w="40" w:type="dxa"/>
              <w:bottom w:w="40" w:type="dxa"/>
              <w:right w:w="40" w:type="dxa"/>
            </w:tcMar>
            <w:vAlign w:val="bottom"/>
          </w:tcPr>
          <w:p w14:paraId="5556F161"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fee revenue(1)</w:t>
            </w:r>
          </w:p>
        </w:tc>
        <w:tc>
          <w:tcPr>
            <w:tcW w:w="0" w:type="auto"/>
            <w:gridSpan w:val="2"/>
            <w:shd w:val="clear" w:color="auto" w:fill="auto"/>
            <w:tcMar>
              <w:top w:w="40" w:type="dxa"/>
              <w:left w:w="40" w:type="dxa"/>
              <w:bottom w:w="40" w:type="dxa"/>
            </w:tcMar>
            <w:vAlign w:val="bottom"/>
          </w:tcPr>
          <w:p w14:paraId="5556F16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7,201</w:t>
            </w:r>
          </w:p>
        </w:tc>
        <w:tc>
          <w:tcPr>
            <w:tcW w:w="0" w:type="auto"/>
            <w:shd w:val="clear" w:color="auto" w:fill="auto"/>
            <w:vAlign w:val="bottom"/>
          </w:tcPr>
          <w:p w14:paraId="5556F1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16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7,486</w:t>
            </w:r>
          </w:p>
        </w:tc>
        <w:tc>
          <w:tcPr>
            <w:tcW w:w="0" w:type="auto"/>
            <w:tcBorders>
              <w:top w:val="single" w:sz="8" w:space="0" w:color="000000"/>
            </w:tcBorders>
            <w:shd w:val="clear" w:color="auto" w:fill="auto"/>
            <w:vAlign w:val="bottom"/>
          </w:tcPr>
          <w:p w14:paraId="5556F1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6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7,306</w:t>
            </w:r>
          </w:p>
        </w:tc>
        <w:tc>
          <w:tcPr>
            <w:tcW w:w="0" w:type="auto"/>
            <w:shd w:val="clear" w:color="auto" w:fill="auto"/>
            <w:vAlign w:val="bottom"/>
          </w:tcPr>
          <w:p w14:paraId="5556F16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6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1,946</w:t>
            </w:r>
          </w:p>
        </w:tc>
        <w:tc>
          <w:tcPr>
            <w:tcW w:w="0" w:type="auto"/>
            <w:shd w:val="clear" w:color="auto" w:fill="auto"/>
            <w:vAlign w:val="bottom"/>
          </w:tcPr>
          <w:p w14:paraId="5556F16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6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1,976</w:t>
            </w:r>
          </w:p>
        </w:tc>
        <w:tc>
          <w:tcPr>
            <w:tcW w:w="0" w:type="auto"/>
            <w:shd w:val="clear" w:color="auto" w:fill="auto"/>
            <w:vAlign w:val="bottom"/>
          </w:tcPr>
          <w:p w14:paraId="5556F16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17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1,695</w:t>
            </w:r>
          </w:p>
        </w:tc>
        <w:tc>
          <w:tcPr>
            <w:tcW w:w="0" w:type="auto"/>
            <w:tcBorders>
              <w:top w:val="single" w:sz="8" w:space="0" w:color="000000"/>
            </w:tcBorders>
            <w:shd w:val="clear" w:color="auto" w:fill="auto"/>
            <w:vAlign w:val="bottom"/>
          </w:tcPr>
          <w:p w14:paraId="5556F17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7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F1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7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w:t>
            </w:r>
          </w:p>
        </w:tc>
        <w:tc>
          <w:tcPr>
            <w:tcW w:w="0" w:type="auto"/>
            <w:shd w:val="clear" w:color="auto" w:fill="auto"/>
            <w:tcMar>
              <w:top w:w="40" w:type="dxa"/>
              <w:bottom w:w="40" w:type="dxa"/>
              <w:right w:w="40" w:type="dxa"/>
            </w:tcMar>
            <w:vAlign w:val="bottom"/>
          </w:tcPr>
          <w:p w14:paraId="5556F17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F1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17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auto"/>
            <w:vAlign w:val="bottom"/>
          </w:tcPr>
          <w:p w14:paraId="5556F17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7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9,147</w:t>
            </w:r>
          </w:p>
        </w:tc>
        <w:tc>
          <w:tcPr>
            <w:tcW w:w="0" w:type="auto"/>
            <w:shd w:val="clear" w:color="auto" w:fill="auto"/>
            <w:vAlign w:val="bottom"/>
          </w:tcPr>
          <w:p w14:paraId="5556F17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8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9,454</w:t>
            </w:r>
          </w:p>
        </w:tc>
        <w:tc>
          <w:tcPr>
            <w:tcW w:w="0" w:type="auto"/>
            <w:shd w:val="clear" w:color="auto" w:fill="auto"/>
            <w:vAlign w:val="bottom"/>
          </w:tcPr>
          <w:p w14:paraId="5556F18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18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9,001</w:t>
            </w:r>
          </w:p>
        </w:tc>
        <w:tc>
          <w:tcPr>
            <w:tcW w:w="0" w:type="auto"/>
            <w:tcBorders>
              <w:top w:val="single" w:sz="8" w:space="0" w:color="000000"/>
            </w:tcBorders>
            <w:shd w:val="clear" w:color="auto" w:fill="auto"/>
            <w:vAlign w:val="bottom"/>
          </w:tcPr>
          <w:p w14:paraId="5556F184" w14:textId="77777777" w:rsidR="00F925DD" w:rsidRDefault="00F925DD">
            <w:pPr>
              <w:textAlignment w:val="bottom"/>
              <w:rPr>
                <w:rFonts w:ascii="Times New Roman" w:hAnsi="Times New Roman"/>
                <w:sz w:val="20"/>
                <w:szCs w:val="20"/>
              </w:rPr>
            </w:pPr>
          </w:p>
        </w:tc>
      </w:tr>
      <w:tr w:rsidR="00E705D7" w14:paraId="5556F1AA" w14:textId="77777777">
        <w:tc>
          <w:tcPr>
            <w:tcW w:w="0" w:type="auto"/>
            <w:shd w:val="clear" w:color="auto" w:fill="CCEEFF"/>
            <w:tcMar>
              <w:top w:w="40" w:type="dxa"/>
              <w:left w:w="40" w:type="dxa"/>
              <w:bottom w:w="40" w:type="dxa"/>
              <w:right w:w="40" w:type="dxa"/>
            </w:tcMar>
            <w:vAlign w:val="bottom"/>
          </w:tcPr>
          <w:p w14:paraId="5556F186" w14:textId="77777777" w:rsidR="00F925DD" w:rsidRDefault="00E705D7">
            <w:pPr>
              <w:textAlignment w:val="bottom"/>
              <w:rPr>
                <w:rFonts w:ascii="Times New Roman" w:hAnsi="Times New Roman"/>
                <w:sz w:val="15"/>
                <w:szCs w:val="15"/>
              </w:rPr>
            </w:pPr>
            <w:r>
              <w:rPr>
                <w:rFonts w:ascii="Arial" w:eastAsia="宋体" w:hAnsi="Arial" w:cs="Arial"/>
                <w:sz w:val="15"/>
                <w:szCs w:val="15"/>
              </w:rPr>
              <w:t>Net interest income</w:t>
            </w:r>
          </w:p>
        </w:tc>
        <w:tc>
          <w:tcPr>
            <w:tcW w:w="0" w:type="auto"/>
            <w:gridSpan w:val="2"/>
            <w:shd w:val="clear" w:color="auto" w:fill="CCEEFF"/>
            <w:tcMar>
              <w:top w:w="40" w:type="dxa"/>
              <w:left w:w="40" w:type="dxa"/>
              <w:bottom w:w="40" w:type="dxa"/>
            </w:tcMar>
            <w:vAlign w:val="bottom"/>
          </w:tcPr>
          <w:p w14:paraId="5556F18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2,590</w:t>
            </w:r>
          </w:p>
        </w:tc>
        <w:tc>
          <w:tcPr>
            <w:tcW w:w="0" w:type="auto"/>
            <w:shd w:val="clear" w:color="auto" w:fill="CCEEFF"/>
            <w:vAlign w:val="bottom"/>
          </w:tcPr>
          <w:p w14:paraId="5556F1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8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2,691</w:t>
            </w:r>
          </w:p>
        </w:tc>
        <w:tc>
          <w:tcPr>
            <w:tcW w:w="0" w:type="auto"/>
            <w:shd w:val="clear" w:color="auto" w:fill="CCEEFF"/>
            <w:vAlign w:val="bottom"/>
          </w:tcPr>
          <w:p w14:paraId="5556F1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8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2,309</w:t>
            </w:r>
          </w:p>
        </w:tc>
        <w:tc>
          <w:tcPr>
            <w:tcW w:w="0" w:type="auto"/>
            <w:shd w:val="clear" w:color="auto" w:fill="CCEEFF"/>
            <w:vAlign w:val="bottom"/>
          </w:tcPr>
          <w:p w14:paraId="5556F18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90"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w:t>
            </w:r>
            <w:r>
              <w:rPr>
                <w:rFonts w:ascii="Arial" w:eastAsia="宋体" w:hAnsi="Arial" w:cs="Arial"/>
                <w:b/>
                <w:bCs/>
                <w:sz w:val="15"/>
                <w:szCs w:val="15"/>
              </w:rPr>
              <w:t>4</w:t>
            </w:r>
          </w:p>
        </w:tc>
        <w:tc>
          <w:tcPr>
            <w:tcW w:w="0" w:type="auto"/>
            <w:shd w:val="clear" w:color="auto" w:fill="CCEEFF"/>
            <w:tcMar>
              <w:top w:w="40" w:type="dxa"/>
              <w:bottom w:w="40" w:type="dxa"/>
              <w:right w:w="40" w:type="dxa"/>
            </w:tcMar>
            <w:vAlign w:val="bottom"/>
          </w:tcPr>
          <w:p w14:paraId="5556F191"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F1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9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(20</w:t>
            </w:r>
          </w:p>
        </w:tc>
        <w:tc>
          <w:tcPr>
            <w:tcW w:w="0" w:type="auto"/>
            <w:shd w:val="clear" w:color="auto" w:fill="CCEEFF"/>
            <w:tcMar>
              <w:top w:w="40" w:type="dxa"/>
              <w:bottom w:w="40" w:type="dxa"/>
              <w:right w:w="40" w:type="dxa"/>
            </w:tcMar>
            <w:vAlign w:val="bottom"/>
          </w:tcPr>
          <w:p w14:paraId="5556F19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F1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9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w:t>
            </w:r>
          </w:p>
        </w:tc>
        <w:tc>
          <w:tcPr>
            <w:tcW w:w="0" w:type="auto"/>
            <w:shd w:val="clear" w:color="auto" w:fill="CCEEFF"/>
            <w:tcMar>
              <w:top w:w="40" w:type="dxa"/>
              <w:bottom w:w="40" w:type="dxa"/>
              <w:right w:w="40" w:type="dxa"/>
            </w:tcMar>
            <w:vAlign w:val="bottom"/>
          </w:tcPr>
          <w:p w14:paraId="5556F19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F1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9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F19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9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F1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9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vAlign w:val="bottom"/>
          </w:tcPr>
          <w:p w14:paraId="5556F1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A2"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2,566</w:t>
            </w:r>
          </w:p>
        </w:tc>
        <w:tc>
          <w:tcPr>
            <w:tcW w:w="0" w:type="auto"/>
            <w:shd w:val="clear" w:color="auto" w:fill="CCEEFF"/>
            <w:vAlign w:val="bottom"/>
          </w:tcPr>
          <w:p w14:paraId="5556F1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A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2,671</w:t>
            </w:r>
          </w:p>
        </w:tc>
        <w:tc>
          <w:tcPr>
            <w:tcW w:w="0" w:type="auto"/>
            <w:shd w:val="clear" w:color="auto" w:fill="CCEEFF"/>
            <w:vAlign w:val="bottom"/>
          </w:tcPr>
          <w:p w14:paraId="5556F1A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A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2,304</w:t>
            </w:r>
          </w:p>
        </w:tc>
        <w:tc>
          <w:tcPr>
            <w:tcW w:w="0" w:type="auto"/>
            <w:shd w:val="clear" w:color="auto" w:fill="CCEEFF"/>
            <w:vAlign w:val="bottom"/>
          </w:tcPr>
          <w:p w14:paraId="5556F1A9" w14:textId="77777777" w:rsidR="00F925DD" w:rsidRDefault="00F925DD">
            <w:pPr>
              <w:textAlignment w:val="bottom"/>
              <w:rPr>
                <w:rFonts w:ascii="Times New Roman" w:hAnsi="Times New Roman"/>
                <w:sz w:val="20"/>
                <w:szCs w:val="20"/>
              </w:rPr>
            </w:pPr>
          </w:p>
        </w:tc>
      </w:tr>
      <w:tr w:rsidR="00F925DD" w14:paraId="5556F1CF" w14:textId="77777777">
        <w:tc>
          <w:tcPr>
            <w:tcW w:w="0" w:type="auto"/>
            <w:shd w:val="clear" w:color="auto" w:fill="auto"/>
            <w:tcMar>
              <w:top w:w="40" w:type="dxa"/>
              <w:left w:w="40" w:type="dxa"/>
              <w:bottom w:w="40" w:type="dxa"/>
              <w:right w:w="40" w:type="dxa"/>
            </w:tcMar>
            <w:vAlign w:val="bottom"/>
          </w:tcPr>
          <w:p w14:paraId="5556F1AB" w14:textId="77777777" w:rsidR="00F925DD" w:rsidRDefault="00E705D7">
            <w:pPr>
              <w:textAlignment w:val="bottom"/>
              <w:rPr>
                <w:rFonts w:ascii="Times New Roman" w:hAnsi="Times New Roman"/>
                <w:sz w:val="15"/>
                <w:szCs w:val="15"/>
              </w:rPr>
            </w:pPr>
            <w:r>
              <w:rPr>
                <w:rFonts w:ascii="Arial" w:eastAsia="宋体" w:hAnsi="Arial" w:cs="Arial"/>
                <w:sz w:val="15"/>
                <w:szCs w:val="15"/>
              </w:rPr>
              <w:t>Total other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5556F1A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w:t>
            </w:r>
          </w:p>
        </w:tc>
        <w:tc>
          <w:tcPr>
            <w:tcW w:w="0" w:type="auto"/>
            <w:tcBorders>
              <w:bottom w:val="single" w:sz="8" w:space="0" w:color="000000"/>
            </w:tcBorders>
            <w:shd w:val="clear" w:color="auto" w:fill="auto"/>
            <w:vAlign w:val="bottom"/>
          </w:tcPr>
          <w:p w14:paraId="5556F1A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A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tcBorders>
              <w:bottom w:val="single" w:sz="8" w:space="0" w:color="000000"/>
            </w:tcBorders>
            <w:shd w:val="clear" w:color="auto" w:fill="auto"/>
            <w:vAlign w:val="bottom"/>
          </w:tcPr>
          <w:p w14:paraId="5556F1B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B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(39</w:t>
            </w:r>
          </w:p>
        </w:tc>
        <w:tc>
          <w:tcPr>
            <w:tcW w:w="0" w:type="auto"/>
            <w:tcBorders>
              <w:bottom w:val="single" w:sz="8" w:space="0" w:color="000000"/>
            </w:tcBorders>
            <w:shd w:val="clear" w:color="auto" w:fill="auto"/>
            <w:tcMar>
              <w:top w:w="40" w:type="dxa"/>
              <w:bottom w:w="40" w:type="dxa"/>
              <w:right w:w="40" w:type="dxa"/>
            </w:tcMar>
            <w:vAlign w:val="bottom"/>
          </w:tcPr>
          <w:p w14:paraId="5556F1B3"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F1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B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F1B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B8"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F1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B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F1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BE"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single" w:sz="8" w:space="0" w:color="000000"/>
            </w:tcBorders>
            <w:shd w:val="clear" w:color="auto" w:fill="auto"/>
            <w:vAlign w:val="bottom"/>
          </w:tcPr>
          <w:p w14:paraId="5556F1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C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F1C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C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bottom w:val="single" w:sz="8" w:space="0" w:color="000000"/>
            </w:tcBorders>
            <w:shd w:val="clear" w:color="auto" w:fill="auto"/>
            <w:vAlign w:val="bottom"/>
          </w:tcPr>
          <w:p w14:paraId="5556F1C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C7"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43</w:t>
            </w:r>
          </w:p>
        </w:tc>
        <w:tc>
          <w:tcPr>
            <w:tcW w:w="0" w:type="auto"/>
            <w:tcBorders>
              <w:bottom w:val="single" w:sz="8" w:space="0" w:color="000000"/>
            </w:tcBorders>
            <w:shd w:val="clear" w:color="auto" w:fill="auto"/>
            <w:vAlign w:val="bottom"/>
          </w:tcPr>
          <w:p w14:paraId="5556F1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C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w:t>
            </w:r>
          </w:p>
        </w:tc>
        <w:tc>
          <w:tcPr>
            <w:tcW w:w="0" w:type="auto"/>
            <w:tcBorders>
              <w:bottom w:val="single" w:sz="8" w:space="0" w:color="000000"/>
            </w:tcBorders>
            <w:shd w:val="clear" w:color="auto" w:fill="auto"/>
            <w:vAlign w:val="bottom"/>
          </w:tcPr>
          <w:p w14:paraId="5556F1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1C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(39</w:t>
            </w:r>
          </w:p>
        </w:tc>
        <w:tc>
          <w:tcPr>
            <w:tcW w:w="0" w:type="auto"/>
            <w:tcBorders>
              <w:bottom w:val="single" w:sz="8" w:space="0" w:color="000000"/>
            </w:tcBorders>
            <w:shd w:val="clear" w:color="auto" w:fill="auto"/>
            <w:tcMar>
              <w:top w:w="40" w:type="dxa"/>
              <w:bottom w:w="40" w:type="dxa"/>
              <w:right w:w="40" w:type="dxa"/>
            </w:tcMar>
            <w:vAlign w:val="bottom"/>
          </w:tcPr>
          <w:p w14:paraId="5556F1C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E705D7" w14:paraId="5556F1F4" w14:textId="77777777">
        <w:tc>
          <w:tcPr>
            <w:tcW w:w="0" w:type="auto"/>
            <w:shd w:val="clear" w:color="auto" w:fill="CCEEFF"/>
            <w:tcMar>
              <w:top w:w="40" w:type="dxa"/>
              <w:left w:w="40" w:type="dxa"/>
              <w:bottom w:w="40" w:type="dxa"/>
              <w:right w:w="40" w:type="dxa"/>
            </w:tcMar>
            <w:vAlign w:val="bottom"/>
          </w:tcPr>
          <w:p w14:paraId="5556F1D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Total revenue(1)</w:t>
            </w:r>
          </w:p>
        </w:tc>
        <w:tc>
          <w:tcPr>
            <w:tcW w:w="0" w:type="auto"/>
            <w:gridSpan w:val="2"/>
            <w:tcBorders>
              <w:top w:val="single" w:sz="8" w:space="0" w:color="000000"/>
            </w:tcBorders>
            <w:shd w:val="clear" w:color="auto" w:fill="CCEEFF"/>
            <w:tcMar>
              <w:top w:w="40" w:type="dxa"/>
              <w:left w:w="40" w:type="dxa"/>
              <w:bottom w:w="40" w:type="dxa"/>
            </w:tcMar>
            <w:vAlign w:val="bottom"/>
          </w:tcPr>
          <w:p w14:paraId="5556F1D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9,834</w:t>
            </w:r>
          </w:p>
        </w:tc>
        <w:tc>
          <w:tcPr>
            <w:tcW w:w="0" w:type="auto"/>
            <w:tcBorders>
              <w:top w:val="single" w:sz="8" w:space="0" w:color="000000"/>
            </w:tcBorders>
            <w:shd w:val="clear" w:color="auto" w:fill="CCEEFF"/>
            <w:vAlign w:val="bottom"/>
          </w:tcPr>
          <w:p w14:paraId="5556F1D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1D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10,183</w:t>
            </w:r>
          </w:p>
        </w:tc>
        <w:tc>
          <w:tcPr>
            <w:tcW w:w="0" w:type="auto"/>
            <w:tcBorders>
              <w:top w:val="single" w:sz="8" w:space="0" w:color="000000"/>
            </w:tcBorders>
            <w:shd w:val="clear" w:color="auto" w:fill="CCEEFF"/>
            <w:vAlign w:val="bottom"/>
          </w:tcPr>
          <w:p w14:paraId="5556F1D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1D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9,576</w:t>
            </w:r>
          </w:p>
        </w:tc>
        <w:tc>
          <w:tcPr>
            <w:tcW w:w="0" w:type="auto"/>
            <w:tcBorders>
              <w:top w:val="single" w:sz="8" w:space="0" w:color="000000"/>
            </w:tcBorders>
            <w:shd w:val="clear" w:color="auto" w:fill="CCEEFF"/>
            <w:vAlign w:val="bottom"/>
          </w:tcPr>
          <w:p w14:paraId="5556F1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1D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1,922</w:t>
            </w:r>
          </w:p>
        </w:tc>
        <w:tc>
          <w:tcPr>
            <w:tcW w:w="0" w:type="auto"/>
            <w:tcBorders>
              <w:top w:val="single" w:sz="8" w:space="0" w:color="000000"/>
            </w:tcBorders>
            <w:shd w:val="clear" w:color="auto" w:fill="CCEEFF"/>
            <w:vAlign w:val="bottom"/>
          </w:tcPr>
          <w:p w14:paraId="5556F1D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1D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1,956</w:t>
            </w:r>
          </w:p>
        </w:tc>
        <w:tc>
          <w:tcPr>
            <w:tcW w:w="0" w:type="auto"/>
            <w:tcBorders>
              <w:top w:val="single" w:sz="8" w:space="0" w:color="000000"/>
            </w:tcBorders>
            <w:shd w:val="clear" w:color="auto" w:fill="CCEEFF"/>
            <w:vAlign w:val="bottom"/>
          </w:tcPr>
          <w:p w14:paraId="5556F1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1E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1,690</w:t>
            </w:r>
          </w:p>
        </w:tc>
        <w:tc>
          <w:tcPr>
            <w:tcW w:w="0" w:type="auto"/>
            <w:tcBorders>
              <w:top w:val="single" w:sz="8" w:space="0" w:color="000000"/>
            </w:tcBorders>
            <w:shd w:val="clear" w:color="auto" w:fill="CCEEFF"/>
            <w:vAlign w:val="bottom"/>
          </w:tcPr>
          <w:p w14:paraId="5556F1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E3"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vAlign w:val="bottom"/>
          </w:tcPr>
          <w:p w14:paraId="5556F1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E6"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w:t>
            </w:r>
          </w:p>
        </w:tc>
        <w:tc>
          <w:tcPr>
            <w:tcW w:w="0" w:type="auto"/>
            <w:shd w:val="clear" w:color="auto" w:fill="CCEEFF"/>
            <w:tcMar>
              <w:top w:w="40" w:type="dxa"/>
              <w:bottom w:w="40" w:type="dxa"/>
              <w:right w:w="40" w:type="dxa"/>
            </w:tcMar>
            <w:vAlign w:val="bottom"/>
          </w:tcPr>
          <w:p w14:paraId="5556F1E7"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F1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1E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tcBorders>
              <w:top w:val="single" w:sz="8" w:space="0" w:color="000000"/>
            </w:tcBorders>
            <w:shd w:val="clear" w:color="auto" w:fill="CCEEFF"/>
            <w:vAlign w:val="bottom"/>
          </w:tcPr>
          <w:p w14:paraId="5556F1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1EC"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11,756</w:t>
            </w:r>
          </w:p>
        </w:tc>
        <w:tc>
          <w:tcPr>
            <w:tcW w:w="0" w:type="auto"/>
            <w:shd w:val="clear" w:color="auto" w:fill="CCEEFF"/>
            <w:vAlign w:val="bottom"/>
          </w:tcPr>
          <w:p w14:paraId="5556F1E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1E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12,131</w:t>
            </w:r>
          </w:p>
        </w:tc>
        <w:tc>
          <w:tcPr>
            <w:tcW w:w="0" w:type="auto"/>
            <w:tcBorders>
              <w:top w:val="single" w:sz="8" w:space="0" w:color="000000"/>
            </w:tcBorders>
            <w:shd w:val="clear" w:color="auto" w:fill="CCEEFF"/>
            <w:vAlign w:val="bottom"/>
          </w:tcPr>
          <w:p w14:paraId="5556F1F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1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1F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11,266</w:t>
            </w:r>
          </w:p>
        </w:tc>
        <w:tc>
          <w:tcPr>
            <w:tcW w:w="0" w:type="auto"/>
            <w:tcBorders>
              <w:top w:val="single" w:sz="8" w:space="0" w:color="000000"/>
            </w:tcBorders>
            <w:shd w:val="clear" w:color="auto" w:fill="CCEEFF"/>
            <w:vAlign w:val="bottom"/>
          </w:tcPr>
          <w:p w14:paraId="5556F1F3" w14:textId="77777777" w:rsidR="00F925DD" w:rsidRDefault="00F925DD">
            <w:pPr>
              <w:textAlignment w:val="bottom"/>
              <w:rPr>
                <w:rFonts w:ascii="Times New Roman" w:hAnsi="Times New Roman"/>
                <w:sz w:val="20"/>
                <w:szCs w:val="20"/>
              </w:rPr>
            </w:pPr>
          </w:p>
        </w:tc>
      </w:tr>
      <w:tr w:rsidR="00F925DD" w14:paraId="5556F219" w14:textId="77777777">
        <w:tc>
          <w:tcPr>
            <w:tcW w:w="0" w:type="auto"/>
            <w:shd w:val="clear" w:color="auto" w:fill="auto"/>
            <w:tcMar>
              <w:top w:w="40" w:type="dxa"/>
              <w:left w:w="40" w:type="dxa"/>
              <w:bottom w:w="40" w:type="dxa"/>
              <w:right w:w="40" w:type="dxa"/>
            </w:tcMar>
            <w:vAlign w:val="bottom"/>
          </w:tcPr>
          <w:p w14:paraId="5556F1F5" w14:textId="77777777" w:rsidR="00F925DD" w:rsidRDefault="00E705D7">
            <w:pPr>
              <w:textAlignment w:val="bottom"/>
              <w:rPr>
                <w:rFonts w:ascii="Times New Roman" w:hAnsi="Times New Roman"/>
                <w:sz w:val="15"/>
                <w:szCs w:val="15"/>
              </w:rPr>
            </w:pPr>
            <w:r>
              <w:rPr>
                <w:rFonts w:ascii="Arial" w:eastAsia="宋体" w:hAnsi="Arial" w:cs="Arial"/>
                <w:sz w:val="15"/>
                <w:szCs w:val="15"/>
              </w:rPr>
              <w:t xml:space="preserve">Provision for </w:t>
            </w:r>
            <w:r>
              <w:rPr>
                <w:rFonts w:ascii="Arial" w:eastAsia="宋体" w:hAnsi="Arial" w:cs="Arial"/>
                <w:sz w:val="15"/>
                <w:szCs w:val="15"/>
              </w:rPr>
              <w:t>loan losses</w:t>
            </w:r>
          </w:p>
        </w:tc>
        <w:tc>
          <w:tcPr>
            <w:tcW w:w="0" w:type="auto"/>
            <w:gridSpan w:val="2"/>
            <w:shd w:val="clear" w:color="auto" w:fill="auto"/>
            <w:tcMar>
              <w:top w:w="40" w:type="dxa"/>
              <w:left w:w="40" w:type="dxa"/>
              <w:bottom w:w="40" w:type="dxa"/>
            </w:tcMar>
            <w:vAlign w:val="bottom"/>
          </w:tcPr>
          <w:p w14:paraId="5556F1F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shd w:val="clear" w:color="auto" w:fill="auto"/>
            <w:vAlign w:val="bottom"/>
          </w:tcPr>
          <w:p w14:paraId="5556F1F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F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w:t>
            </w:r>
          </w:p>
        </w:tc>
        <w:tc>
          <w:tcPr>
            <w:tcW w:w="0" w:type="auto"/>
            <w:shd w:val="clear" w:color="auto" w:fill="auto"/>
            <w:vAlign w:val="bottom"/>
          </w:tcPr>
          <w:p w14:paraId="5556F1F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F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vAlign w:val="bottom"/>
          </w:tcPr>
          <w:p w14:paraId="5556F1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1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1FF"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F2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202"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20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20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20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208"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vAlign w:val="bottom"/>
          </w:tcPr>
          <w:p w14:paraId="5556F2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20B"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2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20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vAlign w:val="bottom"/>
          </w:tcPr>
          <w:p w14:paraId="5556F2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21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10</w:t>
            </w:r>
          </w:p>
        </w:tc>
        <w:tc>
          <w:tcPr>
            <w:tcW w:w="0" w:type="auto"/>
            <w:shd w:val="clear" w:color="auto" w:fill="auto"/>
            <w:vAlign w:val="bottom"/>
          </w:tcPr>
          <w:p w14:paraId="5556F2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21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w:t>
            </w:r>
          </w:p>
        </w:tc>
        <w:tc>
          <w:tcPr>
            <w:tcW w:w="0" w:type="auto"/>
            <w:shd w:val="clear" w:color="auto" w:fill="auto"/>
            <w:vAlign w:val="bottom"/>
          </w:tcPr>
          <w:p w14:paraId="5556F21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21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w:t>
            </w:r>
          </w:p>
        </w:tc>
        <w:tc>
          <w:tcPr>
            <w:tcW w:w="0" w:type="auto"/>
            <w:shd w:val="clear" w:color="auto" w:fill="auto"/>
            <w:vAlign w:val="bottom"/>
          </w:tcPr>
          <w:p w14:paraId="5556F218" w14:textId="77777777" w:rsidR="00F925DD" w:rsidRDefault="00F925DD">
            <w:pPr>
              <w:textAlignment w:val="bottom"/>
              <w:rPr>
                <w:rFonts w:ascii="Times New Roman" w:hAnsi="Times New Roman"/>
                <w:sz w:val="20"/>
                <w:szCs w:val="20"/>
              </w:rPr>
            </w:pPr>
          </w:p>
        </w:tc>
      </w:tr>
      <w:tr w:rsidR="00E705D7" w14:paraId="5556F23E" w14:textId="77777777">
        <w:tc>
          <w:tcPr>
            <w:tcW w:w="0" w:type="auto"/>
            <w:shd w:val="clear" w:color="auto" w:fill="CCEEFF"/>
            <w:tcMar>
              <w:top w:w="40" w:type="dxa"/>
              <w:left w:w="40" w:type="dxa"/>
              <w:bottom w:w="40" w:type="dxa"/>
              <w:right w:w="40" w:type="dxa"/>
            </w:tcMar>
            <w:vAlign w:val="bottom"/>
          </w:tcPr>
          <w:p w14:paraId="5556F21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Total expenses(1)</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1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7,140</w:t>
            </w:r>
          </w:p>
        </w:tc>
        <w:tc>
          <w:tcPr>
            <w:tcW w:w="0" w:type="auto"/>
            <w:tcBorders>
              <w:bottom w:val="single" w:sz="8" w:space="0" w:color="000000"/>
            </w:tcBorders>
            <w:shd w:val="clear" w:color="auto" w:fill="CCEEFF"/>
            <w:vAlign w:val="bottom"/>
          </w:tcPr>
          <w:p w14:paraId="5556F2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1E"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7,081</w:t>
            </w:r>
          </w:p>
        </w:tc>
        <w:tc>
          <w:tcPr>
            <w:tcW w:w="0" w:type="auto"/>
            <w:tcBorders>
              <w:bottom w:val="single" w:sz="8" w:space="0" w:color="000000"/>
            </w:tcBorders>
            <w:shd w:val="clear" w:color="auto" w:fill="CCEEFF"/>
            <w:vAlign w:val="bottom"/>
          </w:tcPr>
          <w:p w14:paraId="5556F21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2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6,717</w:t>
            </w:r>
          </w:p>
        </w:tc>
        <w:tc>
          <w:tcPr>
            <w:tcW w:w="0" w:type="auto"/>
            <w:tcBorders>
              <w:bottom w:val="single" w:sz="8" w:space="0" w:color="000000"/>
            </w:tcBorders>
            <w:shd w:val="clear" w:color="auto" w:fill="CCEEFF"/>
            <w:vAlign w:val="bottom"/>
          </w:tcPr>
          <w:p w14:paraId="5556F22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24"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1,535</w:t>
            </w:r>
          </w:p>
        </w:tc>
        <w:tc>
          <w:tcPr>
            <w:tcW w:w="0" w:type="auto"/>
            <w:tcBorders>
              <w:bottom w:val="single" w:sz="8" w:space="0" w:color="000000"/>
            </w:tcBorders>
            <w:shd w:val="clear" w:color="auto" w:fill="CCEEFF"/>
            <w:vAlign w:val="bottom"/>
          </w:tcPr>
          <w:p w14:paraId="5556F2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2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1,544</w:t>
            </w:r>
          </w:p>
        </w:tc>
        <w:tc>
          <w:tcPr>
            <w:tcW w:w="0" w:type="auto"/>
            <w:tcBorders>
              <w:bottom w:val="single" w:sz="8" w:space="0" w:color="000000"/>
            </w:tcBorders>
            <w:shd w:val="clear" w:color="auto" w:fill="CCEEFF"/>
            <w:vAlign w:val="bottom"/>
          </w:tcPr>
          <w:p w14:paraId="5556F22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2A"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1,286</w:t>
            </w:r>
          </w:p>
        </w:tc>
        <w:tc>
          <w:tcPr>
            <w:tcW w:w="0" w:type="auto"/>
            <w:tcBorders>
              <w:bottom w:val="single" w:sz="8" w:space="0" w:color="000000"/>
            </w:tcBorders>
            <w:shd w:val="clear" w:color="auto" w:fill="CCEEFF"/>
            <w:vAlign w:val="bottom"/>
          </w:tcPr>
          <w:p w14:paraId="5556F2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2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359</w:t>
            </w:r>
          </w:p>
        </w:tc>
        <w:tc>
          <w:tcPr>
            <w:tcW w:w="0" w:type="auto"/>
            <w:tcBorders>
              <w:bottom w:val="single" w:sz="8" w:space="0" w:color="000000"/>
            </w:tcBorders>
            <w:shd w:val="clear" w:color="auto" w:fill="CCEEFF"/>
            <w:vAlign w:val="bottom"/>
          </w:tcPr>
          <w:p w14:paraId="5556F2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3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390</w:t>
            </w:r>
          </w:p>
        </w:tc>
        <w:tc>
          <w:tcPr>
            <w:tcW w:w="0" w:type="auto"/>
            <w:tcBorders>
              <w:bottom w:val="single" w:sz="8" w:space="0" w:color="000000"/>
            </w:tcBorders>
            <w:shd w:val="clear" w:color="auto" w:fill="CCEEFF"/>
            <w:vAlign w:val="bottom"/>
          </w:tcPr>
          <w:p w14:paraId="5556F23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3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266</w:t>
            </w:r>
          </w:p>
        </w:tc>
        <w:tc>
          <w:tcPr>
            <w:tcW w:w="0" w:type="auto"/>
            <w:tcBorders>
              <w:bottom w:val="single" w:sz="8" w:space="0" w:color="000000"/>
            </w:tcBorders>
            <w:shd w:val="clear" w:color="auto" w:fill="CCEEFF"/>
            <w:vAlign w:val="bottom"/>
          </w:tcPr>
          <w:p w14:paraId="5556F2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36"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9,034</w:t>
            </w:r>
          </w:p>
        </w:tc>
        <w:tc>
          <w:tcPr>
            <w:tcW w:w="0" w:type="auto"/>
            <w:tcBorders>
              <w:bottom w:val="single" w:sz="8" w:space="0" w:color="000000"/>
            </w:tcBorders>
            <w:shd w:val="clear" w:color="auto" w:fill="CCEEFF"/>
            <w:vAlign w:val="bottom"/>
          </w:tcPr>
          <w:p w14:paraId="5556F23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3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9,015</w:t>
            </w:r>
          </w:p>
        </w:tc>
        <w:tc>
          <w:tcPr>
            <w:tcW w:w="0" w:type="auto"/>
            <w:tcBorders>
              <w:bottom w:val="single" w:sz="8" w:space="0" w:color="000000"/>
            </w:tcBorders>
            <w:shd w:val="clear" w:color="auto" w:fill="CCEEFF"/>
            <w:vAlign w:val="bottom"/>
          </w:tcPr>
          <w:p w14:paraId="5556F2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23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8,269</w:t>
            </w:r>
          </w:p>
        </w:tc>
        <w:tc>
          <w:tcPr>
            <w:tcW w:w="0" w:type="auto"/>
            <w:tcBorders>
              <w:bottom w:val="single" w:sz="8" w:space="0" w:color="000000"/>
            </w:tcBorders>
            <w:shd w:val="clear" w:color="auto" w:fill="CCEEFF"/>
            <w:vAlign w:val="bottom"/>
          </w:tcPr>
          <w:p w14:paraId="5556F23D" w14:textId="77777777" w:rsidR="00F925DD" w:rsidRDefault="00F925DD">
            <w:pPr>
              <w:textAlignment w:val="bottom"/>
              <w:rPr>
                <w:rFonts w:ascii="Times New Roman" w:hAnsi="Times New Roman"/>
                <w:sz w:val="20"/>
                <w:szCs w:val="20"/>
              </w:rPr>
            </w:pPr>
          </w:p>
        </w:tc>
      </w:tr>
      <w:tr w:rsidR="00F925DD" w14:paraId="5556F26F" w14:textId="77777777">
        <w:tc>
          <w:tcPr>
            <w:tcW w:w="0" w:type="auto"/>
            <w:shd w:val="clear" w:color="auto" w:fill="auto"/>
            <w:tcMar>
              <w:top w:w="40" w:type="dxa"/>
              <w:left w:w="40" w:type="dxa"/>
              <w:bottom w:w="40" w:type="dxa"/>
              <w:right w:w="40" w:type="dxa"/>
            </w:tcMar>
            <w:vAlign w:val="bottom"/>
          </w:tcPr>
          <w:p w14:paraId="5556F23F"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Income before income tax expense</w:t>
            </w:r>
          </w:p>
        </w:tc>
        <w:tc>
          <w:tcPr>
            <w:tcW w:w="0" w:type="auto"/>
            <w:tcBorders>
              <w:bottom w:val="double" w:sz="6" w:space="0" w:color="000000"/>
            </w:tcBorders>
            <w:shd w:val="clear" w:color="auto" w:fill="auto"/>
            <w:tcMar>
              <w:top w:w="40" w:type="dxa"/>
              <w:left w:w="40" w:type="dxa"/>
              <w:bottom w:w="40" w:type="dxa"/>
            </w:tcMar>
            <w:vAlign w:val="bottom"/>
          </w:tcPr>
          <w:p w14:paraId="5556F240"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auto"/>
            <w:tcMar>
              <w:top w:w="40" w:type="dxa"/>
              <w:bottom w:w="40" w:type="dxa"/>
            </w:tcMar>
            <w:vAlign w:val="bottom"/>
          </w:tcPr>
          <w:p w14:paraId="5556F24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2,684</w:t>
            </w:r>
          </w:p>
        </w:tc>
        <w:tc>
          <w:tcPr>
            <w:tcW w:w="0" w:type="auto"/>
            <w:tcBorders>
              <w:bottom w:val="double" w:sz="6" w:space="0" w:color="000000"/>
            </w:tcBorders>
            <w:shd w:val="clear" w:color="auto" w:fill="auto"/>
            <w:vAlign w:val="bottom"/>
          </w:tcPr>
          <w:p w14:paraId="5556F2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4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F24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3,087</w:t>
            </w:r>
          </w:p>
        </w:tc>
        <w:tc>
          <w:tcPr>
            <w:tcW w:w="0" w:type="auto"/>
            <w:tcBorders>
              <w:bottom w:val="double" w:sz="6" w:space="0" w:color="000000"/>
            </w:tcBorders>
            <w:shd w:val="clear" w:color="auto" w:fill="auto"/>
            <w:vAlign w:val="bottom"/>
          </w:tcPr>
          <w:p w14:paraId="5556F24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4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F24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2,857</w:t>
            </w:r>
          </w:p>
        </w:tc>
        <w:tc>
          <w:tcPr>
            <w:tcW w:w="0" w:type="auto"/>
            <w:tcBorders>
              <w:bottom w:val="double" w:sz="6" w:space="0" w:color="000000"/>
            </w:tcBorders>
            <w:shd w:val="clear" w:color="auto" w:fill="auto"/>
            <w:vAlign w:val="bottom"/>
          </w:tcPr>
          <w:p w14:paraId="5556F2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4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auto"/>
            <w:tcMar>
              <w:top w:w="40" w:type="dxa"/>
              <w:bottom w:w="40" w:type="dxa"/>
            </w:tcMar>
            <w:vAlign w:val="bottom"/>
          </w:tcPr>
          <w:p w14:paraId="5556F24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387</w:t>
            </w:r>
          </w:p>
        </w:tc>
        <w:tc>
          <w:tcPr>
            <w:tcW w:w="0" w:type="auto"/>
            <w:tcBorders>
              <w:bottom w:val="double" w:sz="6" w:space="0" w:color="000000"/>
            </w:tcBorders>
            <w:shd w:val="clear" w:color="auto" w:fill="auto"/>
            <w:vAlign w:val="bottom"/>
          </w:tcPr>
          <w:p w14:paraId="5556F2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5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F25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412</w:t>
            </w:r>
          </w:p>
        </w:tc>
        <w:tc>
          <w:tcPr>
            <w:tcW w:w="0" w:type="auto"/>
            <w:tcBorders>
              <w:bottom w:val="double" w:sz="6" w:space="0" w:color="000000"/>
            </w:tcBorders>
            <w:shd w:val="clear" w:color="auto" w:fill="auto"/>
            <w:vAlign w:val="bottom"/>
          </w:tcPr>
          <w:p w14:paraId="5556F25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5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F25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404</w:t>
            </w:r>
          </w:p>
        </w:tc>
        <w:tc>
          <w:tcPr>
            <w:tcW w:w="0" w:type="auto"/>
            <w:tcBorders>
              <w:bottom w:val="double" w:sz="6" w:space="0" w:color="000000"/>
            </w:tcBorders>
            <w:shd w:val="clear" w:color="auto" w:fill="auto"/>
            <w:vAlign w:val="bottom"/>
          </w:tcPr>
          <w:p w14:paraId="5556F2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5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auto"/>
            <w:tcMar>
              <w:top w:w="40" w:type="dxa"/>
              <w:bottom w:w="40" w:type="dxa"/>
            </w:tcMar>
            <w:vAlign w:val="bottom"/>
          </w:tcPr>
          <w:p w14:paraId="5556F25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(359</w:t>
            </w:r>
          </w:p>
        </w:tc>
        <w:tc>
          <w:tcPr>
            <w:tcW w:w="0" w:type="auto"/>
            <w:tcBorders>
              <w:bottom w:val="double" w:sz="6" w:space="0" w:color="000000"/>
            </w:tcBorders>
            <w:shd w:val="clear" w:color="auto" w:fill="auto"/>
            <w:tcMar>
              <w:top w:w="40" w:type="dxa"/>
              <w:bottom w:w="40" w:type="dxa"/>
              <w:right w:w="40" w:type="dxa"/>
            </w:tcMar>
            <w:vAlign w:val="bottom"/>
          </w:tcPr>
          <w:p w14:paraId="5556F25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auto"/>
            <w:tcMar>
              <w:top w:w="40" w:type="dxa"/>
              <w:left w:w="40" w:type="dxa"/>
              <w:bottom w:w="40" w:type="dxa"/>
              <w:right w:w="40" w:type="dxa"/>
            </w:tcMar>
            <w:vAlign w:val="bottom"/>
          </w:tcPr>
          <w:p w14:paraId="5556F2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5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F25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(398</w:t>
            </w:r>
          </w:p>
        </w:tc>
        <w:tc>
          <w:tcPr>
            <w:tcW w:w="0" w:type="auto"/>
            <w:tcBorders>
              <w:bottom w:val="double" w:sz="6" w:space="0" w:color="000000"/>
            </w:tcBorders>
            <w:shd w:val="clear" w:color="auto" w:fill="auto"/>
            <w:tcMar>
              <w:top w:w="40" w:type="dxa"/>
              <w:bottom w:w="40" w:type="dxa"/>
              <w:right w:w="40" w:type="dxa"/>
            </w:tcMar>
            <w:vAlign w:val="bottom"/>
          </w:tcPr>
          <w:p w14:paraId="5556F25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F2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6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F26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(266</w:t>
            </w:r>
          </w:p>
        </w:tc>
        <w:tc>
          <w:tcPr>
            <w:tcW w:w="0" w:type="auto"/>
            <w:tcBorders>
              <w:bottom w:val="double" w:sz="6" w:space="0" w:color="000000"/>
            </w:tcBorders>
            <w:shd w:val="clear" w:color="auto" w:fill="auto"/>
            <w:tcMar>
              <w:top w:w="40" w:type="dxa"/>
              <w:bottom w:w="40" w:type="dxa"/>
              <w:right w:w="40" w:type="dxa"/>
            </w:tcMar>
            <w:vAlign w:val="bottom"/>
          </w:tcPr>
          <w:p w14:paraId="5556F26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auto"/>
            <w:tcMar>
              <w:top w:w="40" w:type="dxa"/>
              <w:left w:w="40" w:type="dxa"/>
              <w:bottom w:w="40" w:type="dxa"/>
              <w:right w:w="40" w:type="dxa"/>
            </w:tcMar>
            <w:vAlign w:val="bottom"/>
          </w:tcPr>
          <w:p w14:paraId="5556F2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64"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tcBorders>
              <w:bottom w:val="double" w:sz="6" w:space="0" w:color="000000"/>
            </w:tcBorders>
            <w:shd w:val="clear" w:color="auto" w:fill="auto"/>
            <w:tcMar>
              <w:top w:w="40" w:type="dxa"/>
              <w:bottom w:w="40" w:type="dxa"/>
            </w:tcMar>
            <w:vAlign w:val="bottom"/>
          </w:tcPr>
          <w:p w14:paraId="5556F265"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2,712</w:t>
            </w:r>
          </w:p>
        </w:tc>
        <w:tc>
          <w:tcPr>
            <w:tcW w:w="0" w:type="auto"/>
            <w:tcBorders>
              <w:bottom w:val="double" w:sz="6" w:space="0" w:color="000000"/>
            </w:tcBorders>
            <w:shd w:val="clear" w:color="auto" w:fill="auto"/>
            <w:vAlign w:val="bottom"/>
          </w:tcPr>
          <w:p w14:paraId="5556F2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6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F269"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3,101</w:t>
            </w:r>
          </w:p>
        </w:tc>
        <w:tc>
          <w:tcPr>
            <w:tcW w:w="0" w:type="auto"/>
            <w:tcBorders>
              <w:bottom w:val="double" w:sz="6" w:space="0" w:color="000000"/>
            </w:tcBorders>
            <w:shd w:val="clear" w:color="auto" w:fill="auto"/>
            <w:vAlign w:val="bottom"/>
          </w:tcPr>
          <w:p w14:paraId="5556F26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2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26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tcBorders>
              <w:bottom w:val="double" w:sz="6" w:space="0" w:color="000000"/>
            </w:tcBorders>
            <w:shd w:val="clear" w:color="auto" w:fill="auto"/>
            <w:tcMar>
              <w:top w:w="40" w:type="dxa"/>
              <w:bottom w:w="40" w:type="dxa"/>
            </w:tcMar>
            <w:vAlign w:val="bottom"/>
          </w:tcPr>
          <w:p w14:paraId="5556F26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2,995</w:t>
            </w:r>
          </w:p>
        </w:tc>
        <w:tc>
          <w:tcPr>
            <w:tcW w:w="0" w:type="auto"/>
            <w:tcBorders>
              <w:bottom w:val="double" w:sz="6" w:space="0" w:color="000000"/>
            </w:tcBorders>
            <w:shd w:val="clear" w:color="auto" w:fill="auto"/>
            <w:vAlign w:val="bottom"/>
          </w:tcPr>
          <w:p w14:paraId="5556F26E" w14:textId="77777777" w:rsidR="00F925DD" w:rsidRDefault="00F925DD">
            <w:pPr>
              <w:textAlignment w:val="bottom"/>
              <w:rPr>
                <w:rFonts w:ascii="Times New Roman" w:hAnsi="Times New Roman"/>
                <w:sz w:val="20"/>
                <w:szCs w:val="20"/>
              </w:rPr>
            </w:pPr>
          </w:p>
        </w:tc>
      </w:tr>
      <w:tr w:rsidR="00E705D7" w14:paraId="5556F291" w14:textId="77777777">
        <w:tc>
          <w:tcPr>
            <w:tcW w:w="0" w:type="auto"/>
            <w:shd w:val="clear" w:color="auto" w:fill="CCEEFF"/>
            <w:tcMar>
              <w:top w:w="40" w:type="dxa"/>
              <w:left w:w="40" w:type="dxa"/>
              <w:bottom w:w="40" w:type="dxa"/>
              <w:right w:w="40" w:type="dxa"/>
            </w:tcMar>
            <w:vAlign w:val="bottom"/>
          </w:tcPr>
          <w:p w14:paraId="5556F270" w14:textId="77777777" w:rsidR="00F925DD" w:rsidRDefault="00E705D7">
            <w:pPr>
              <w:textAlignment w:val="bottom"/>
              <w:rPr>
                <w:rFonts w:ascii="Times New Roman" w:hAnsi="Times New Roman"/>
                <w:sz w:val="15"/>
                <w:szCs w:val="15"/>
              </w:rPr>
            </w:pPr>
            <w:r>
              <w:rPr>
                <w:rFonts w:ascii="Arial" w:eastAsia="宋体" w:hAnsi="Arial" w:cs="Arial"/>
                <w:sz w:val="15"/>
                <w:szCs w:val="15"/>
              </w:rPr>
              <w:t>Pre-tax margin</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5556F271"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27</w:t>
            </w:r>
          </w:p>
        </w:tc>
        <w:tc>
          <w:tcPr>
            <w:tcW w:w="0" w:type="auto"/>
            <w:tcBorders>
              <w:top w:val="double" w:sz="6" w:space="0" w:color="000000"/>
              <w:bottom w:val="double" w:sz="6" w:space="0" w:color="000000"/>
            </w:tcBorders>
            <w:shd w:val="clear" w:color="auto" w:fill="CCEEFF"/>
            <w:tcMar>
              <w:top w:w="40" w:type="dxa"/>
              <w:bottom w:w="40" w:type="dxa"/>
              <w:right w:w="40" w:type="dxa"/>
            </w:tcMar>
            <w:vAlign w:val="bottom"/>
          </w:tcPr>
          <w:p w14:paraId="5556F272"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F2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5556F274"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w:t>
            </w:r>
          </w:p>
        </w:tc>
        <w:tc>
          <w:tcPr>
            <w:tcW w:w="0" w:type="auto"/>
            <w:tcBorders>
              <w:top w:val="double" w:sz="6" w:space="0" w:color="000000"/>
              <w:bottom w:val="double" w:sz="6" w:space="0" w:color="000000"/>
            </w:tcBorders>
            <w:shd w:val="clear" w:color="auto" w:fill="CCEEFF"/>
            <w:tcMar>
              <w:top w:w="40" w:type="dxa"/>
              <w:bottom w:w="40" w:type="dxa"/>
              <w:right w:w="40" w:type="dxa"/>
            </w:tcMar>
            <w:vAlign w:val="bottom"/>
          </w:tcPr>
          <w:p w14:paraId="5556F275"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F2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5556F277"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30</w:t>
            </w:r>
          </w:p>
        </w:tc>
        <w:tc>
          <w:tcPr>
            <w:tcW w:w="0" w:type="auto"/>
            <w:tcBorders>
              <w:top w:val="double" w:sz="6" w:space="0" w:color="000000"/>
              <w:bottom w:val="double" w:sz="6" w:space="0" w:color="000000"/>
            </w:tcBorders>
            <w:shd w:val="clear" w:color="auto" w:fill="CCEEFF"/>
            <w:tcMar>
              <w:top w:w="40" w:type="dxa"/>
              <w:bottom w:w="40" w:type="dxa"/>
              <w:right w:w="40" w:type="dxa"/>
            </w:tcMar>
            <w:vAlign w:val="bottom"/>
          </w:tcPr>
          <w:p w14:paraId="5556F278"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F2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556F27A"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20</w:t>
            </w:r>
          </w:p>
        </w:tc>
        <w:tc>
          <w:tcPr>
            <w:tcW w:w="0" w:type="auto"/>
            <w:tcBorders>
              <w:bottom w:val="double" w:sz="6" w:space="0" w:color="000000"/>
            </w:tcBorders>
            <w:shd w:val="clear" w:color="auto" w:fill="CCEEFF"/>
            <w:tcMar>
              <w:top w:w="40" w:type="dxa"/>
              <w:bottom w:w="40" w:type="dxa"/>
              <w:right w:w="40" w:type="dxa"/>
            </w:tcMar>
            <w:vAlign w:val="bottom"/>
          </w:tcPr>
          <w:p w14:paraId="5556F27B"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F2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double" w:sz="6" w:space="0" w:color="000000"/>
              <w:bottom w:val="double" w:sz="6" w:space="0" w:color="000000"/>
            </w:tcBorders>
            <w:shd w:val="clear" w:color="auto" w:fill="CCEEFF"/>
            <w:tcMar>
              <w:top w:w="40" w:type="dxa"/>
              <w:left w:w="40" w:type="dxa"/>
              <w:bottom w:w="40" w:type="dxa"/>
            </w:tcMar>
            <w:vAlign w:val="bottom"/>
          </w:tcPr>
          <w:p w14:paraId="5556F27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w:t>
            </w:r>
          </w:p>
        </w:tc>
        <w:tc>
          <w:tcPr>
            <w:tcW w:w="0" w:type="auto"/>
            <w:tcBorders>
              <w:top w:val="double" w:sz="6" w:space="0" w:color="000000"/>
              <w:bottom w:val="double" w:sz="6" w:space="0" w:color="000000"/>
            </w:tcBorders>
            <w:shd w:val="clear" w:color="auto" w:fill="CCEEFF"/>
            <w:tcMar>
              <w:top w:w="40" w:type="dxa"/>
              <w:bottom w:w="40" w:type="dxa"/>
              <w:right w:w="40" w:type="dxa"/>
            </w:tcMar>
            <w:vAlign w:val="bottom"/>
          </w:tcPr>
          <w:p w14:paraId="5556F27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F2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556F280"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24</w:t>
            </w:r>
          </w:p>
        </w:tc>
        <w:tc>
          <w:tcPr>
            <w:tcW w:w="0" w:type="auto"/>
            <w:tcBorders>
              <w:bottom w:val="double" w:sz="6" w:space="0" w:color="000000"/>
            </w:tcBorders>
            <w:shd w:val="clear" w:color="auto" w:fill="CCEEFF"/>
            <w:tcMar>
              <w:top w:w="40" w:type="dxa"/>
              <w:bottom w:w="40" w:type="dxa"/>
              <w:right w:w="40" w:type="dxa"/>
            </w:tcMar>
            <w:vAlign w:val="bottom"/>
          </w:tcPr>
          <w:p w14:paraId="5556F281"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F2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2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2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2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2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2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2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556F28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23</w:t>
            </w:r>
          </w:p>
        </w:tc>
        <w:tc>
          <w:tcPr>
            <w:tcW w:w="0" w:type="auto"/>
            <w:tcBorders>
              <w:bottom w:val="double" w:sz="6" w:space="0" w:color="000000"/>
            </w:tcBorders>
            <w:shd w:val="clear" w:color="auto" w:fill="CCEEFF"/>
            <w:tcMar>
              <w:top w:w="40" w:type="dxa"/>
              <w:bottom w:w="40" w:type="dxa"/>
              <w:right w:w="40" w:type="dxa"/>
            </w:tcMar>
            <w:vAlign w:val="bottom"/>
          </w:tcPr>
          <w:p w14:paraId="5556F28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left w:w="40" w:type="dxa"/>
              <w:bottom w:w="40" w:type="dxa"/>
              <w:right w:w="40" w:type="dxa"/>
            </w:tcMar>
            <w:vAlign w:val="bottom"/>
          </w:tcPr>
          <w:p w14:paraId="5556F2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556F28C"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26</w:t>
            </w:r>
          </w:p>
        </w:tc>
        <w:tc>
          <w:tcPr>
            <w:tcW w:w="0" w:type="auto"/>
            <w:tcBorders>
              <w:bottom w:val="double" w:sz="6" w:space="0" w:color="000000"/>
            </w:tcBorders>
            <w:shd w:val="clear" w:color="auto" w:fill="CCEEFF"/>
            <w:tcMar>
              <w:top w:w="40" w:type="dxa"/>
              <w:bottom w:w="40" w:type="dxa"/>
              <w:right w:w="40" w:type="dxa"/>
            </w:tcMar>
            <w:vAlign w:val="bottom"/>
          </w:tcPr>
          <w:p w14:paraId="5556F28D"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left w:w="40" w:type="dxa"/>
              <w:bottom w:w="40" w:type="dxa"/>
              <w:right w:w="40" w:type="dxa"/>
            </w:tcMar>
            <w:vAlign w:val="bottom"/>
          </w:tcPr>
          <w:p w14:paraId="5556F2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CCEEFF"/>
            <w:tcMar>
              <w:top w:w="40" w:type="dxa"/>
              <w:left w:w="40" w:type="dxa"/>
              <w:bottom w:w="40" w:type="dxa"/>
            </w:tcMar>
            <w:vAlign w:val="bottom"/>
          </w:tcPr>
          <w:p w14:paraId="5556F28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27</w:t>
            </w:r>
          </w:p>
        </w:tc>
        <w:tc>
          <w:tcPr>
            <w:tcW w:w="0" w:type="auto"/>
            <w:tcBorders>
              <w:bottom w:val="double" w:sz="6" w:space="0" w:color="000000"/>
            </w:tcBorders>
            <w:shd w:val="clear" w:color="auto" w:fill="CCEEFF"/>
            <w:tcMar>
              <w:top w:w="40" w:type="dxa"/>
              <w:bottom w:w="40" w:type="dxa"/>
              <w:right w:w="40" w:type="dxa"/>
            </w:tcMar>
            <w:vAlign w:val="bottom"/>
          </w:tcPr>
          <w:p w14:paraId="5556F29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r>
      <w:tr w:rsidR="00F925DD" w14:paraId="5556F2AA" w14:textId="77777777">
        <w:tc>
          <w:tcPr>
            <w:tcW w:w="0" w:type="auto"/>
            <w:shd w:val="clear" w:color="auto" w:fill="auto"/>
            <w:tcMar>
              <w:top w:w="40" w:type="dxa"/>
              <w:left w:w="40" w:type="dxa"/>
              <w:bottom w:w="40" w:type="dxa"/>
              <w:right w:w="40" w:type="dxa"/>
            </w:tcMar>
            <w:vAlign w:val="bottom"/>
          </w:tcPr>
          <w:p w14:paraId="5556F2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5556F2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2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F2D5" w14:textId="77777777">
        <w:tc>
          <w:tcPr>
            <w:tcW w:w="0" w:type="auto"/>
            <w:shd w:val="clear" w:color="auto" w:fill="CCEEFF"/>
            <w:tcMar>
              <w:top w:w="40" w:type="dxa"/>
              <w:left w:w="40" w:type="dxa"/>
              <w:bottom w:w="40" w:type="dxa"/>
              <w:right w:w="40" w:type="dxa"/>
            </w:tcMar>
            <w:vAlign w:val="bottom"/>
          </w:tcPr>
          <w:p w14:paraId="5556F2AB" w14:textId="77777777" w:rsidR="00F925DD" w:rsidRDefault="00E705D7">
            <w:pPr>
              <w:textAlignment w:val="bottom"/>
              <w:rPr>
                <w:rFonts w:ascii="Times New Roman" w:hAnsi="Times New Roman"/>
                <w:sz w:val="15"/>
                <w:szCs w:val="15"/>
              </w:rPr>
            </w:pPr>
            <w:r>
              <w:rPr>
                <w:rFonts w:ascii="Arial" w:eastAsia="宋体" w:hAnsi="Arial" w:cs="Arial"/>
                <w:sz w:val="15"/>
                <w:szCs w:val="15"/>
              </w:rPr>
              <w:t>Average assets (in billions)</w:t>
            </w:r>
          </w:p>
        </w:tc>
        <w:tc>
          <w:tcPr>
            <w:tcW w:w="0" w:type="auto"/>
            <w:shd w:val="clear" w:color="auto" w:fill="CCEEFF"/>
            <w:tcMar>
              <w:top w:w="40" w:type="dxa"/>
              <w:left w:w="40" w:type="dxa"/>
              <w:bottom w:w="40" w:type="dxa"/>
            </w:tcMar>
            <w:vAlign w:val="bottom"/>
          </w:tcPr>
          <w:p w14:paraId="5556F2AC"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F2AD"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220.3</w:t>
            </w:r>
          </w:p>
        </w:tc>
        <w:tc>
          <w:tcPr>
            <w:tcW w:w="0" w:type="auto"/>
            <w:shd w:val="clear" w:color="auto" w:fill="CCEEFF"/>
            <w:vAlign w:val="bottom"/>
          </w:tcPr>
          <w:p w14:paraId="5556F2A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2B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F2B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220.2</w:t>
            </w:r>
          </w:p>
        </w:tc>
        <w:tc>
          <w:tcPr>
            <w:tcW w:w="0" w:type="auto"/>
            <w:shd w:val="clear" w:color="auto" w:fill="CCEEFF"/>
            <w:vAlign w:val="bottom"/>
          </w:tcPr>
          <w:p w14:paraId="5556F2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2B4"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F2B5"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214.0</w:t>
            </w:r>
          </w:p>
        </w:tc>
        <w:tc>
          <w:tcPr>
            <w:tcW w:w="0" w:type="auto"/>
            <w:shd w:val="clear" w:color="auto" w:fill="CCEEFF"/>
            <w:vAlign w:val="bottom"/>
          </w:tcPr>
          <w:p w14:paraId="5556F2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2B8"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F2B9"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3.0</w:t>
            </w:r>
          </w:p>
        </w:tc>
        <w:tc>
          <w:tcPr>
            <w:tcW w:w="0" w:type="auto"/>
            <w:shd w:val="clear" w:color="auto" w:fill="CCEEFF"/>
            <w:vAlign w:val="bottom"/>
          </w:tcPr>
          <w:p w14:paraId="5556F2B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2BC"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F2BD"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3.2</w:t>
            </w:r>
          </w:p>
        </w:tc>
        <w:tc>
          <w:tcPr>
            <w:tcW w:w="0" w:type="auto"/>
            <w:shd w:val="clear" w:color="auto" w:fill="CCEEFF"/>
            <w:vAlign w:val="bottom"/>
          </w:tcPr>
          <w:p w14:paraId="5556F2B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2C0"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F2C1"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5.4</w:t>
            </w:r>
          </w:p>
        </w:tc>
        <w:tc>
          <w:tcPr>
            <w:tcW w:w="0" w:type="auto"/>
            <w:shd w:val="clear" w:color="auto" w:fill="CCEEFF"/>
            <w:vAlign w:val="bottom"/>
          </w:tcPr>
          <w:p w14:paraId="5556F2C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2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2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2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2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2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2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2CA" w14:textId="77777777" w:rsidR="00F925DD" w:rsidRDefault="00E705D7">
            <w:pPr>
              <w:textAlignment w:val="bottom"/>
              <w:rPr>
                <w:rFonts w:ascii="Times New Roman" w:hAnsi="Times New Roman"/>
                <w:sz w:val="15"/>
                <w:szCs w:val="15"/>
              </w:rPr>
            </w:pPr>
            <w:r>
              <w:rPr>
                <w:rFonts w:ascii="Arial" w:eastAsia="宋体" w:hAnsi="Arial" w:cs="Arial"/>
                <w:b/>
                <w:bCs/>
                <w:sz w:val="15"/>
                <w:szCs w:val="15"/>
              </w:rPr>
              <w:t>$</w:t>
            </w:r>
          </w:p>
        </w:tc>
        <w:tc>
          <w:tcPr>
            <w:tcW w:w="0" w:type="auto"/>
            <w:shd w:val="clear" w:color="auto" w:fill="CCEEFF"/>
            <w:tcMar>
              <w:top w:w="40" w:type="dxa"/>
              <w:bottom w:w="40" w:type="dxa"/>
            </w:tcMar>
            <w:vAlign w:val="bottom"/>
          </w:tcPr>
          <w:p w14:paraId="5556F2CB" w14:textId="77777777" w:rsidR="00F925DD" w:rsidRDefault="00E705D7">
            <w:pPr>
              <w:jc w:val="right"/>
              <w:textAlignment w:val="bottom"/>
              <w:rPr>
                <w:rFonts w:ascii="Times New Roman" w:hAnsi="Times New Roman"/>
                <w:sz w:val="15"/>
                <w:szCs w:val="15"/>
              </w:rPr>
            </w:pPr>
            <w:r>
              <w:rPr>
                <w:rFonts w:ascii="Arial" w:eastAsia="宋体" w:hAnsi="Arial" w:cs="Arial"/>
                <w:b/>
                <w:bCs/>
                <w:sz w:val="15"/>
                <w:szCs w:val="15"/>
              </w:rPr>
              <w:t>223.3</w:t>
            </w:r>
          </w:p>
        </w:tc>
        <w:tc>
          <w:tcPr>
            <w:tcW w:w="0" w:type="auto"/>
            <w:shd w:val="clear" w:color="auto" w:fill="CCEEFF"/>
            <w:vAlign w:val="bottom"/>
          </w:tcPr>
          <w:p w14:paraId="5556F2C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2CE"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F2CF"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223.4</w:t>
            </w:r>
          </w:p>
        </w:tc>
        <w:tc>
          <w:tcPr>
            <w:tcW w:w="0" w:type="auto"/>
            <w:shd w:val="clear" w:color="auto" w:fill="CCEEFF"/>
            <w:vAlign w:val="bottom"/>
          </w:tcPr>
          <w:p w14:paraId="5556F2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2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2D2" w14:textId="77777777" w:rsidR="00F925DD" w:rsidRDefault="00E705D7">
            <w:pPr>
              <w:textAlignment w:val="bottom"/>
              <w:rPr>
                <w:rFonts w:ascii="Times New Roman" w:hAnsi="Times New Roman"/>
                <w:sz w:val="15"/>
                <w:szCs w:val="15"/>
              </w:rPr>
            </w:pPr>
            <w:r>
              <w:rPr>
                <w:rFonts w:ascii="Arial" w:eastAsia="宋体" w:hAnsi="Arial" w:cs="Arial"/>
                <w:sz w:val="15"/>
                <w:szCs w:val="15"/>
              </w:rPr>
              <w:t>$</w:t>
            </w:r>
          </w:p>
        </w:tc>
        <w:tc>
          <w:tcPr>
            <w:tcW w:w="0" w:type="auto"/>
            <w:shd w:val="clear" w:color="auto" w:fill="CCEEFF"/>
            <w:tcMar>
              <w:top w:w="40" w:type="dxa"/>
              <w:bottom w:w="40" w:type="dxa"/>
            </w:tcMar>
            <w:vAlign w:val="bottom"/>
          </w:tcPr>
          <w:p w14:paraId="5556F2D3" w14:textId="77777777" w:rsidR="00F925DD" w:rsidRDefault="00E705D7">
            <w:pPr>
              <w:jc w:val="right"/>
              <w:textAlignment w:val="bottom"/>
              <w:rPr>
                <w:rFonts w:ascii="Times New Roman" w:hAnsi="Times New Roman"/>
                <w:sz w:val="15"/>
                <w:szCs w:val="15"/>
              </w:rPr>
            </w:pPr>
            <w:r>
              <w:rPr>
                <w:rFonts w:ascii="Arial" w:eastAsia="宋体" w:hAnsi="Arial" w:cs="Arial"/>
                <w:sz w:val="15"/>
                <w:szCs w:val="15"/>
              </w:rPr>
              <w:t>219.4</w:t>
            </w:r>
          </w:p>
        </w:tc>
        <w:tc>
          <w:tcPr>
            <w:tcW w:w="0" w:type="auto"/>
            <w:shd w:val="clear" w:color="auto" w:fill="CCEEFF"/>
            <w:vAlign w:val="bottom"/>
          </w:tcPr>
          <w:p w14:paraId="5556F2D4" w14:textId="77777777" w:rsidR="00F925DD" w:rsidRDefault="00F925DD">
            <w:pPr>
              <w:textAlignment w:val="bottom"/>
              <w:rPr>
                <w:rFonts w:ascii="Times New Roman" w:hAnsi="Times New Roman"/>
                <w:sz w:val="20"/>
                <w:szCs w:val="20"/>
              </w:rPr>
            </w:pPr>
          </w:p>
        </w:tc>
      </w:tr>
    </w:tbl>
    <w:p w14:paraId="5556F2D6" w14:textId="77777777" w:rsidR="00F925DD" w:rsidRDefault="00F925DD">
      <w:pPr>
        <w:spacing w:line="288" w:lineRule="auto"/>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2409"/>
        <w:gridCol w:w="1578"/>
        <w:gridCol w:w="1578"/>
        <w:gridCol w:w="2741"/>
      </w:tblGrid>
      <w:tr w:rsidR="00F925DD" w14:paraId="5556F2D8" w14:textId="77777777">
        <w:tc>
          <w:tcPr>
            <w:tcW w:w="0" w:type="auto"/>
            <w:gridSpan w:val="4"/>
            <w:shd w:val="clear" w:color="auto" w:fill="auto"/>
            <w:vAlign w:val="center"/>
          </w:tcPr>
          <w:p w14:paraId="5556F2D7" w14:textId="77777777" w:rsidR="00F925DD" w:rsidRDefault="00F925DD">
            <w:pPr>
              <w:rPr>
                <w:rFonts w:ascii="Times New Roman" w:hAnsi="Times New Roman"/>
                <w:sz w:val="20"/>
                <w:szCs w:val="20"/>
              </w:rPr>
            </w:pPr>
          </w:p>
        </w:tc>
      </w:tr>
      <w:tr w:rsidR="00F925DD" w14:paraId="5556F2DD" w14:textId="77777777">
        <w:tc>
          <w:tcPr>
            <w:tcW w:w="1450" w:type="pct"/>
            <w:shd w:val="clear" w:color="auto" w:fill="auto"/>
            <w:vAlign w:val="center"/>
          </w:tcPr>
          <w:p w14:paraId="5556F2D9" w14:textId="77777777" w:rsidR="00F925DD" w:rsidRDefault="00F925DD">
            <w:pPr>
              <w:rPr>
                <w:rFonts w:ascii="Times New Roman" w:hAnsi="Times New Roman"/>
                <w:sz w:val="20"/>
                <w:szCs w:val="20"/>
              </w:rPr>
            </w:pPr>
          </w:p>
        </w:tc>
        <w:tc>
          <w:tcPr>
            <w:tcW w:w="950" w:type="pct"/>
            <w:shd w:val="clear" w:color="auto" w:fill="auto"/>
            <w:vAlign w:val="center"/>
          </w:tcPr>
          <w:p w14:paraId="5556F2DA" w14:textId="77777777" w:rsidR="00F925DD" w:rsidRDefault="00F925DD">
            <w:pPr>
              <w:rPr>
                <w:rFonts w:ascii="Times New Roman" w:hAnsi="Times New Roman"/>
                <w:sz w:val="20"/>
                <w:szCs w:val="20"/>
              </w:rPr>
            </w:pPr>
          </w:p>
        </w:tc>
        <w:tc>
          <w:tcPr>
            <w:tcW w:w="950" w:type="pct"/>
            <w:shd w:val="clear" w:color="auto" w:fill="auto"/>
            <w:vAlign w:val="center"/>
          </w:tcPr>
          <w:p w14:paraId="5556F2DB" w14:textId="77777777" w:rsidR="00F925DD" w:rsidRDefault="00F925DD">
            <w:pPr>
              <w:rPr>
                <w:rFonts w:ascii="Times New Roman" w:hAnsi="Times New Roman"/>
                <w:sz w:val="20"/>
                <w:szCs w:val="20"/>
              </w:rPr>
            </w:pPr>
          </w:p>
        </w:tc>
        <w:tc>
          <w:tcPr>
            <w:tcW w:w="1650" w:type="pct"/>
            <w:shd w:val="clear" w:color="auto" w:fill="auto"/>
            <w:vAlign w:val="center"/>
          </w:tcPr>
          <w:p w14:paraId="5556F2DC" w14:textId="77777777" w:rsidR="00F925DD" w:rsidRDefault="00F925DD">
            <w:pPr>
              <w:rPr>
                <w:rFonts w:ascii="Times New Roman" w:hAnsi="Times New Roman"/>
                <w:sz w:val="20"/>
                <w:szCs w:val="20"/>
              </w:rPr>
            </w:pPr>
          </w:p>
        </w:tc>
      </w:tr>
      <w:tr w:rsidR="00F925DD" w14:paraId="5556F2E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F2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2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F2E3"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Investment Servicing includes results from our acquisition of CRD on October 1, 2018.</w:t>
      </w:r>
    </w:p>
    <w:p w14:paraId="5556F2E4"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Investment Management includes other revenue items that are primarily driven by equity market movements.</w:t>
      </w:r>
    </w:p>
    <w:p w14:paraId="5556F2E5" w14:textId="77777777" w:rsidR="00F925DD" w:rsidRDefault="00F925DD">
      <w:pPr>
        <w:spacing w:line="288" w:lineRule="auto"/>
        <w:jc w:val="both"/>
        <w:rPr>
          <w:rFonts w:ascii="Times New Roman" w:hAnsi="Times New Roman"/>
          <w:sz w:val="14"/>
          <w:szCs w:val="14"/>
        </w:rPr>
      </w:pPr>
    </w:p>
    <w:p w14:paraId="5556F2E6" w14:textId="77777777" w:rsidR="00F925DD" w:rsidRDefault="00F925DD">
      <w:pPr>
        <w:rPr>
          <w:rFonts w:ascii="Times New Roman" w:hAnsi="Times New Roman"/>
          <w:sz w:val="20"/>
          <w:szCs w:val="20"/>
        </w:rPr>
      </w:pPr>
    </w:p>
    <w:p w14:paraId="5556F2E7"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171</w:t>
      </w:r>
    </w:p>
    <w:p w14:paraId="5556F2E8" w14:textId="77777777" w:rsidR="00F925DD" w:rsidRDefault="00F925DD">
      <w:pPr>
        <w:spacing w:line="288" w:lineRule="auto"/>
        <w:ind w:firstLine="600"/>
        <w:jc w:val="center"/>
        <w:rPr>
          <w:rFonts w:ascii="Times New Roman" w:hAnsi="Times New Roman"/>
          <w:sz w:val="18"/>
          <w:szCs w:val="18"/>
        </w:rPr>
      </w:pPr>
    </w:p>
    <w:p w14:paraId="5556F2E9" w14:textId="77777777" w:rsidR="00F925DD" w:rsidRDefault="00E705D7">
      <w:r>
        <w:rPr>
          <w:rFonts w:ascii="Times New Roman" w:hAnsi="Times New Roman"/>
          <w:sz w:val="18"/>
          <w:szCs w:val="18"/>
        </w:rPr>
        <w:pict w14:anchorId="555706E5">
          <v:rect id="_x0000_i1195" style="width:415.3pt;height:1.5pt" o:hralign="center" o:hrstd="t" o:hr="t" fillcolor="#a0a0a0" stroked="f"/>
        </w:pict>
      </w:r>
    </w:p>
    <w:p w14:paraId="5556F2E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STATE STREET </w:t>
      </w:r>
      <w:r>
        <w:rPr>
          <w:rFonts w:ascii="Arial" w:eastAsia="宋体" w:hAnsi="Arial" w:cs="Arial"/>
          <w:b/>
          <w:bCs/>
          <w:sz w:val="20"/>
          <w:szCs w:val="20"/>
        </w:rPr>
        <w:t>CORPORATION</w:t>
      </w:r>
    </w:p>
    <w:p w14:paraId="5556F2EB"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F2EC" w14:textId="77777777" w:rsidR="00F925DD" w:rsidRDefault="00F925DD">
      <w:pPr>
        <w:rPr>
          <w:rFonts w:ascii="Times New Roman" w:hAnsi="Times New Roman"/>
          <w:sz w:val="20"/>
          <w:szCs w:val="20"/>
        </w:rPr>
      </w:pPr>
    </w:p>
    <w:p w14:paraId="5556F2ED"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25.  Revenue from Contracts with Customers</w:t>
      </w:r>
    </w:p>
    <w:p w14:paraId="5556F2E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account for revenue from contracts with customers in accordance with Topic 606, which we adopted on January 1, 2018. The amount of revenue that we re</w:t>
      </w:r>
      <w:r>
        <w:rPr>
          <w:rFonts w:ascii="Arial" w:eastAsia="宋体" w:hAnsi="Arial" w:cs="Arial"/>
          <w:sz w:val="20"/>
          <w:szCs w:val="20"/>
        </w:rPr>
        <w:t>cognize is measured based on the consideration specified in contracts with our customers, and excludes taxes collected from customers subsequently remitted to governmental authorities. We recognize revenue when a performance obligation is satisfied over ti</w:t>
      </w:r>
      <w:r>
        <w:rPr>
          <w:rFonts w:ascii="Arial" w:eastAsia="宋体" w:hAnsi="Arial" w:cs="Arial"/>
          <w:sz w:val="20"/>
          <w:szCs w:val="20"/>
        </w:rPr>
        <w:t>me as the services are performed or at a point in time depending on the nature of the services provided as further discussed below. Revenue recognition guidance related to contracts with customers excludes our NII, revenue earned on security lending transa</w:t>
      </w:r>
      <w:r>
        <w:rPr>
          <w:rFonts w:ascii="Arial" w:eastAsia="宋体" w:hAnsi="Arial" w:cs="Arial"/>
          <w:sz w:val="20"/>
          <w:szCs w:val="20"/>
        </w:rPr>
        <w:t>ctions entered into as principal, realized gains/losses on securities, revenue earned on foreign exchange activity, loans and related fees, and gains/losses on hedging and derivatives, to which we apply other applicable U.S. GAAP guidance.</w:t>
      </w:r>
    </w:p>
    <w:p w14:paraId="5556F2E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 contracts wi</w:t>
      </w:r>
      <w:r>
        <w:rPr>
          <w:rFonts w:ascii="Arial" w:eastAsia="宋体" w:hAnsi="Arial" w:cs="Arial"/>
          <w:sz w:val="20"/>
          <w:szCs w:val="20"/>
        </w:rPr>
        <w:t>th multiple performance obligations, or contracts that have been combined, we allocate the contracts' transaction price to each performance obligation using our best estimate of the standalone selling price. Our contractual fees are negotiated on a custome</w:t>
      </w:r>
      <w:r>
        <w:rPr>
          <w:rFonts w:ascii="Arial" w:eastAsia="宋体" w:hAnsi="Arial" w:cs="Arial"/>
          <w:sz w:val="20"/>
          <w:szCs w:val="20"/>
        </w:rPr>
        <w:t>r by customer basis and are representative of standalone selling price utilized for allocating revenue when there are multiple performance obligations.</w:t>
      </w:r>
    </w:p>
    <w:p w14:paraId="5556F2F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Substantially all of our services are provided as a distinct series of daily performance obligations tha</w:t>
      </w:r>
      <w:r>
        <w:rPr>
          <w:rFonts w:ascii="Arial" w:eastAsia="宋体" w:hAnsi="Arial" w:cs="Arial"/>
          <w:sz w:val="20"/>
          <w:szCs w:val="20"/>
        </w:rPr>
        <w:t>t the customer simultaneously benefits from as they are performed. Payments may be made to third party service providers and the expense is recognized gross when we control those services as we are deemed the principal.</w:t>
      </w:r>
    </w:p>
    <w:p w14:paraId="5556F2F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Contract durations may vary from </w:t>
      </w:r>
      <w:r>
        <w:rPr>
          <w:rFonts w:ascii="Arial" w:eastAsia="宋体" w:hAnsi="Arial" w:cs="Arial"/>
          <w:sz w:val="20"/>
          <w:szCs w:val="20"/>
        </w:rPr>
        <w:t>short to long- term or may be open ended. Termination notice periods are in line with general market practice and typically do not include termination penalties. Therefore, for substantially all of our revenues, the duration of the contract and the enforce</w:t>
      </w:r>
      <w:r>
        <w:rPr>
          <w:rFonts w:ascii="Arial" w:eastAsia="宋体" w:hAnsi="Arial" w:cs="Arial"/>
          <w:sz w:val="20"/>
          <w:szCs w:val="20"/>
        </w:rPr>
        <w:t>able rights and obligations do not extend beyond the services that are performed daily or at the transaction level. In instances where we have substantive termination penalties, the duration of the contract may extend through the date of substantive termin</w:t>
      </w:r>
      <w:r>
        <w:rPr>
          <w:rFonts w:ascii="Arial" w:eastAsia="宋体" w:hAnsi="Arial" w:cs="Arial"/>
          <w:sz w:val="20"/>
          <w:szCs w:val="20"/>
        </w:rPr>
        <w:t>ation penalties.</w:t>
      </w:r>
    </w:p>
    <w:p w14:paraId="5556F2F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Investment Servicing</w:t>
      </w:r>
    </w:p>
    <w:p w14:paraId="5556F2F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Revenue from contracts with customers related to servicing fees is recognized over time as our customers benefit from the custody, administration, accounting, transfer agency and other related asset services as they ar</w:t>
      </w:r>
      <w:r>
        <w:rPr>
          <w:rFonts w:ascii="Arial" w:eastAsia="宋体" w:hAnsi="Arial" w:cs="Arial"/>
          <w:sz w:val="20"/>
          <w:szCs w:val="20"/>
        </w:rPr>
        <w:t xml:space="preserve">e performed. At contract inception, no revenue is estimated as the fees are dependent on assets under custody and/or administration and/or actual transactions which are susceptible to market factors outside of our control. Therefore, revenue is recognized </w:t>
      </w:r>
      <w:r>
        <w:rPr>
          <w:rFonts w:ascii="Arial" w:eastAsia="宋体" w:hAnsi="Arial" w:cs="Arial"/>
          <w:sz w:val="20"/>
          <w:szCs w:val="20"/>
        </w:rPr>
        <w:t>using a time-based output method as the customers benefit from the services over time and as the assets under custody or transactions are known or determinable during each reporting period based on contractual fee schedules. Payments made to third party se</w:t>
      </w:r>
      <w:r>
        <w:rPr>
          <w:rFonts w:ascii="Arial" w:eastAsia="宋体" w:hAnsi="Arial" w:cs="Arial"/>
          <w:sz w:val="20"/>
          <w:szCs w:val="20"/>
        </w:rPr>
        <w:t>rvice providers, such as sub-custodians, are generally recognized gross as we control those services and is deemed to be a principal in such arrangements.</w:t>
      </w:r>
    </w:p>
    <w:p w14:paraId="5556F2F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Foreign exchange trading services revenue includes revenue generated from providing access and use of</w:t>
      </w:r>
      <w:r>
        <w:rPr>
          <w:rFonts w:ascii="Arial" w:eastAsia="宋体" w:hAnsi="Arial" w:cs="Arial"/>
          <w:sz w:val="20"/>
          <w:szCs w:val="20"/>
        </w:rPr>
        <w:t xml:space="preserve"> electronic trading platforms and other trading, transition management and brokerage services. Electronic FX services are dependent on the volume of actual transactions initiated through our electronic exchange platforms. Revenue is recognized over time us</w:t>
      </w:r>
      <w:r>
        <w:rPr>
          <w:rFonts w:ascii="Arial" w:eastAsia="宋体" w:hAnsi="Arial" w:cs="Arial"/>
          <w:sz w:val="20"/>
          <w:szCs w:val="20"/>
        </w:rPr>
        <w:t>ing a time-based measure as access to, and use of, the electronic exchange platforms is made available to the customer and the activity is determinable. Revenue related to other trading, transition management and brokerage services is recognized when the c</w:t>
      </w:r>
      <w:r>
        <w:rPr>
          <w:rFonts w:ascii="Arial" w:eastAsia="宋体" w:hAnsi="Arial" w:cs="Arial"/>
          <w:sz w:val="20"/>
          <w:szCs w:val="20"/>
        </w:rPr>
        <w:t>ustomer obtains the benefit of such services which may be over time or at a point in time upon trade execution.</w:t>
      </w:r>
    </w:p>
    <w:p w14:paraId="5556F2F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Securities finance revenue is related to services for providing agency lending programs to State Street Global Advisors managed </w:t>
      </w:r>
      <w:r>
        <w:rPr>
          <w:rFonts w:ascii="Arial" w:eastAsia="宋体" w:hAnsi="Arial" w:cs="Arial"/>
          <w:sz w:val="20"/>
          <w:szCs w:val="20"/>
        </w:rPr>
        <w:t>investment funds and third- party investment managers and asset owners. This securities finance revenue is recognized over time using a time-based measure as our customers benefit from these lending services over time.</w:t>
      </w:r>
    </w:p>
    <w:p w14:paraId="5556F2F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Revenue related to the front office s</w:t>
      </w:r>
      <w:r>
        <w:rPr>
          <w:rFonts w:ascii="Arial" w:eastAsia="宋体" w:hAnsi="Arial" w:cs="Arial"/>
          <w:sz w:val="20"/>
          <w:szCs w:val="20"/>
        </w:rPr>
        <w:t>olutions provided by CRD is primarily driven by the sale of software to be installed on premise and Software as a Service (SaaS) arrangements, where the customer does not take possession of the software. Revenue for a sale of software to be installed on pr</w:t>
      </w:r>
      <w:r>
        <w:rPr>
          <w:rFonts w:ascii="Arial" w:eastAsia="宋体" w:hAnsi="Arial" w:cs="Arial"/>
          <w:sz w:val="20"/>
          <w:szCs w:val="20"/>
        </w:rPr>
        <w:t>emise is recognized at a point in time when the customer benefits from obtaining access to and use of the software license. Revenue for a SaaS related arrangement is recognized over time as services are provided.</w:t>
      </w:r>
    </w:p>
    <w:p w14:paraId="5556F2F7"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Investment Management</w:t>
      </w:r>
    </w:p>
    <w:p w14:paraId="5556F2F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Revenue from contract</w:t>
      </w:r>
      <w:r>
        <w:rPr>
          <w:rFonts w:ascii="Arial" w:eastAsia="宋体" w:hAnsi="Arial" w:cs="Arial"/>
          <w:sz w:val="20"/>
          <w:szCs w:val="20"/>
        </w:rPr>
        <w:t>s with customers related to investment management, investment research and investment advisory services provided through State Street Global Advisors is recognized over time as our customers benefit from the services as they are performed. Substantially al</w:t>
      </w:r>
      <w:r>
        <w:rPr>
          <w:rFonts w:ascii="Arial" w:eastAsia="宋体" w:hAnsi="Arial" w:cs="Arial"/>
          <w:sz w:val="20"/>
          <w:szCs w:val="20"/>
        </w:rPr>
        <w:t xml:space="preserve">l of our investment management fees are determined by the value of assets under management and the investment strategies employed. At contract inception, no revenue is estimated as the fees are dependent on assets under management which are susceptible to </w:t>
      </w:r>
      <w:r>
        <w:rPr>
          <w:rFonts w:ascii="Arial" w:eastAsia="宋体" w:hAnsi="Arial" w:cs="Arial"/>
          <w:sz w:val="20"/>
          <w:szCs w:val="20"/>
        </w:rPr>
        <w:t>market factors outside of our control.</w:t>
      </w:r>
    </w:p>
    <w:p w14:paraId="5556F2F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Therefore, substantially all of our Investment Management services revenue is recognized using a time-based output method as the customers benefit from the services over time and as the assets under management are kno</w:t>
      </w:r>
      <w:r>
        <w:rPr>
          <w:rFonts w:ascii="Arial" w:eastAsia="宋体" w:hAnsi="Arial" w:cs="Arial"/>
          <w:sz w:val="20"/>
          <w:szCs w:val="20"/>
        </w:rPr>
        <w:t xml:space="preserve">wn </w:t>
      </w:r>
    </w:p>
    <w:p w14:paraId="5556F2FA" w14:textId="77777777" w:rsidR="00F925DD" w:rsidRDefault="00F925DD">
      <w:pPr>
        <w:rPr>
          <w:rFonts w:ascii="Times New Roman" w:hAnsi="Times New Roman"/>
          <w:sz w:val="20"/>
          <w:szCs w:val="20"/>
        </w:rPr>
      </w:pPr>
    </w:p>
    <w:p w14:paraId="5556F2FB"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172</w:t>
      </w:r>
    </w:p>
    <w:p w14:paraId="5556F2FC" w14:textId="77777777" w:rsidR="00F925DD" w:rsidRDefault="00F925DD">
      <w:pPr>
        <w:spacing w:line="288" w:lineRule="auto"/>
        <w:ind w:firstLine="600"/>
        <w:jc w:val="center"/>
        <w:rPr>
          <w:rFonts w:ascii="Times New Roman" w:hAnsi="Times New Roman"/>
          <w:sz w:val="18"/>
          <w:szCs w:val="18"/>
        </w:rPr>
      </w:pPr>
    </w:p>
    <w:p w14:paraId="5556F2FD" w14:textId="77777777" w:rsidR="00F925DD" w:rsidRDefault="00E705D7">
      <w:r>
        <w:rPr>
          <w:rFonts w:ascii="Times New Roman" w:hAnsi="Times New Roman"/>
          <w:sz w:val="18"/>
          <w:szCs w:val="18"/>
        </w:rPr>
        <w:pict w14:anchorId="555706E6">
          <v:rect id="_x0000_i1196" style="width:415.3pt;height:1.5pt" o:hralign="center" o:hrstd="t" o:hr="t" fillcolor="#a0a0a0" stroked="f"/>
        </w:pict>
      </w:r>
    </w:p>
    <w:p w14:paraId="5556F2FE"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F2FF"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F300" w14:textId="77777777" w:rsidR="00F925DD" w:rsidRDefault="00F925DD">
      <w:pPr>
        <w:rPr>
          <w:rFonts w:ascii="Times New Roman" w:hAnsi="Times New Roman"/>
          <w:sz w:val="20"/>
          <w:szCs w:val="20"/>
        </w:rPr>
      </w:pPr>
    </w:p>
    <w:p w14:paraId="5556F301"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or determinable during each reporting period based on contractual fee schedules. Payments made to third party service providers, such as payments to</w:t>
      </w:r>
      <w:r>
        <w:rPr>
          <w:rFonts w:ascii="Arial" w:eastAsia="宋体" w:hAnsi="Arial" w:cs="Arial"/>
          <w:sz w:val="20"/>
          <w:szCs w:val="20"/>
        </w:rPr>
        <w:t xml:space="preserve"> others in unitary fee arrangements, are generally recognized on a gross basis when State Street Global Advisors controls those services and is deemed to be a principal in such transactions.</w:t>
      </w:r>
    </w:p>
    <w:p w14:paraId="5556F302" w14:textId="77777777" w:rsidR="00F925DD" w:rsidRDefault="00E705D7">
      <w:pPr>
        <w:spacing w:line="288" w:lineRule="auto"/>
        <w:jc w:val="both"/>
        <w:rPr>
          <w:rFonts w:ascii="Times New Roman" w:hAnsi="Times New Roman"/>
          <w:sz w:val="20"/>
          <w:szCs w:val="20"/>
        </w:rPr>
      </w:pPr>
      <w:r>
        <w:rPr>
          <w:rFonts w:ascii="Arial" w:eastAsia="宋体" w:hAnsi="Arial" w:cs="Arial"/>
          <w:b/>
          <w:bCs/>
          <w:i/>
          <w:iCs/>
          <w:color w:val="000000"/>
          <w:sz w:val="20"/>
          <w:szCs w:val="20"/>
        </w:rPr>
        <w:t>Revenue by category</w:t>
      </w:r>
    </w:p>
    <w:p w14:paraId="5556F30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 the following table, revenue is disaggrega</w:t>
      </w:r>
      <w:r>
        <w:rPr>
          <w:rFonts w:ascii="Arial" w:eastAsia="宋体" w:hAnsi="Arial" w:cs="Arial"/>
          <w:sz w:val="20"/>
          <w:szCs w:val="20"/>
        </w:rPr>
        <w:t>ted by our two lines of business and by revenue stream for which the nature, amount, timing and uncertainty of revenue and cash flows are affected by economic factors. The amounts in the "Other" columns were not allocated to our business lines.</w:t>
      </w:r>
    </w:p>
    <w:tbl>
      <w:tblPr>
        <w:tblW w:w="5000" w:type="pct"/>
        <w:tblCellMar>
          <w:left w:w="0" w:type="dxa"/>
          <w:right w:w="0" w:type="dxa"/>
        </w:tblCellMar>
        <w:tblLook w:val="04A0" w:firstRow="1" w:lastRow="0" w:firstColumn="1" w:lastColumn="0" w:noHBand="0" w:noVBand="1"/>
      </w:tblPr>
      <w:tblGrid>
        <w:gridCol w:w="1085"/>
        <w:gridCol w:w="119"/>
        <w:gridCol w:w="455"/>
        <w:gridCol w:w="77"/>
        <w:gridCol w:w="129"/>
        <w:gridCol w:w="118"/>
        <w:gridCol w:w="454"/>
        <w:gridCol w:w="76"/>
        <w:gridCol w:w="129"/>
        <w:gridCol w:w="117"/>
        <w:gridCol w:w="422"/>
        <w:gridCol w:w="6"/>
        <w:gridCol w:w="129"/>
        <w:gridCol w:w="118"/>
        <w:gridCol w:w="454"/>
        <w:gridCol w:w="76"/>
        <w:gridCol w:w="129"/>
        <w:gridCol w:w="118"/>
        <w:gridCol w:w="454"/>
        <w:gridCol w:w="86"/>
        <w:gridCol w:w="129"/>
        <w:gridCol w:w="117"/>
        <w:gridCol w:w="345"/>
        <w:gridCol w:w="86"/>
        <w:gridCol w:w="129"/>
        <w:gridCol w:w="118"/>
        <w:gridCol w:w="454"/>
        <w:gridCol w:w="86"/>
        <w:gridCol w:w="129"/>
        <w:gridCol w:w="118"/>
        <w:gridCol w:w="454"/>
        <w:gridCol w:w="76"/>
        <w:gridCol w:w="129"/>
        <w:gridCol w:w="118"/>
        <w:gridCol w:w="307"/>
        <w:gridCol w:w="86"/>
        <w:gridCol w:w="129"/>
        <w:gridCol w:w="117"/>
        <w:gridCol w:w="422"/>
        <w:gridCol w:w="6"/>
      </w:tblGrid>
      <w:tr w:rsidR="00F925DD" w14:paraId="5556F305" w14:textId="77777777">
        <w:tc>
          <w:tcPr>
            <w:tcW w:w="0" w:type="auto"/>
            <w:gridSpan w:val="40"/>
            <w:shd w:val="clear" w:color="auto" w:fill="auto"/>
            <w:vAlign w:val="center"/>
          </w:tcPr>
          <w:p w14:paraId="5556F304" w14:textId="77777777" w:rsidR="00F925DD" w:rsidRDefault="00F925DD">
            <w:pPr>
              <w:rPr>
                <w:rFonts w:ascii="Times New Roman" w:hAnsi="Times New Roman"/>
                <w:sz w:val="20"/>
                <w:szCs w:val="20"/>
              </w:rPr>
            </w:pPr>
          </w:p>
        </w:tc>
      </w:tr>
      <w:tr w:rsidR="00F925DD" w14:paraId="5556F32E" w14:textId="77777777">
        <w:tc>
          <w:tcPr>
            <w:tcW w:w="550" w:type="pct"/>
            <w:shd w:val="clear" w:color="auto" w:fill="auto"/>
            <w:vAlign w:val="center"/>
          </w:tcPr>
          <w:p w14:paraId="5556F306" w14:textId="77777777" w:rsidR="00F925DD" w:rsidRDefault="00F925DD">
            <w:pPr>
              <w:rPr>
                <w:rFonts w:ascii="Times New Roman" w:hAnsi="Times New Roman"/>
                <w:sz w:val="20"/>
                <w:szCs w:val="20"/>
              </w:rPr>
            </w:pPr>
          </w:p>
        </w:tc>
        <w:tc>
          <w:tcPr>
            <w:tcW w:w="50" w:type="pct"/>
            <w:shd w:val="clear" w:color="auto" w:fill="auto"/>
            <w:vAlign w:val="center"/>
          </w:tcPr>
          <w:p w14:paraId="5556F307" w14:textId="77777777" w:rsidR="00F925DD" w:rsidRDefault="00F925DD">
            <w:pPr>
              <w:rPr>
                <w:rFonts w:ascii="Times New Roman" w:hAnsi="Times New Roman"/>
                <w:sz w:val="20"/>
                <w:szCs w:val="20"/>
              </w:rPr>
            </w:pPr>
          </w:p>
        </w:tc>
        <w:tc>
          <w:tcPr>
            <w:tcW w:w="300" w:type="pct"/>
            <w:shd w:val="clear" w:color="auto" w:fill="auto"/>
            <w:vAlign w:val="center"/>
          </w:tcPr>
          <w:p w14:paraId="5556F308" w14:textId="77777777" w:rsidR="00F925DD" w:rsidRDefault="00F925DD">
            <w:pPr>
              <w:rPr>
                <w:rFonts w:ascii="Times New Roman" w:hAnsi="Times New Roman"/>
                <w:sz w:val="20"/>
                <w:szCs w:val="20"/>
              </w:rPr>
            </w:pPr>
          </w:p>
        </w:tc>
        <w:tc>
          <w:tcPr>
            <w:tcW w:w="50" w:type="pct"/>
            <w:shd w:val="clear" w:color="auto" w:fill="auto"/>
            <w:vAlign w:val="center"/>
          </w:tcPr>
          <w:p w14:paraId="5556F309" w14:textId="77777777" w:rsidR="00F925DD" w:rsidRDefault="00F925DD">
            <w:pPr>
              <w:rPr>
                <w:rFonts w:ascii="Times New Roman" w:hAnsi="Times New Roman"/>
                <w:sz w:val="20"/>
                <w:szCs w:val="20"/>
              </w:rPr>
            </w:pPr>
          </w:p>
        </w:tc>
        <w:tc>
          <w:tcPr>
            <w:tcW w:w="50" w:type="pct"/>
            <w:shd w:val="clear" w:color="auto" w:fill="auto"/>
            <w:vAlign w:val="center"/>
          </w:tcPr>
          <w:p w14:paraId="5556F30A" w14:textId="77777777" w:rsidR="00F925DD" w:rsidRDefault="00F925DD">
            <w:pPr>
              <w:rPr>
                <w:rFonts w:ascii="Times New Roman" w:hAnsi="Times New Roman"/>
                <w:sz w:val="20"/>
                <w:szCs w:val="20"/>
              </w:rPr>
            </w:pPr>
          </w:p>
        </w:tc>
        <w:tc>
          <w:tcPr>
            <w:tcW w:w="50" w:type="pct"/>
            <w:shd w:val="clear" w:color="auto" w:fill="auto"/>
            <w:vAlign w:val="center"/>
          </w:tcPr>
          <w:p w14:paraId="5556F30B" w14:textId="77777777" w:rsidR="00F925DD" w:rsidRDefault="00F925DD">
            <w:pPr>
              <w:rPr>
                <w:rFonts w:ascii="Times New Roman" w:hAnsi="Times New Roman"/>
                <w:sz w:val="20"/>
                <w:szCs w:val="20"/>
              </w:rPr>
            </w:pPr>
          </w:p>
        </w:tc>
        <w:tc>
          <w:tcPr>
            <w:tcW w:w="300" w:type="pct"/>
            <w:shd w:val="clear" w:color="auto" w:fill="auto"/>
            <w:vAlign w:val="center"/>
          </w:tcPr>
          <w:p w14:paraId="5556F30C" w14:textId="77777777" w:rsidR="00F925DD" w:rsidRDefault="00F925DD">
            <w:pPr>
              <w:rPr>
                <w:rFonts w:ascii="Times New Roman" w:hAnsi="Times New Roman"/>
                <w:sz w:val="20"/>
                <w:szCs w:val="20"/>
              </w:rPr>
            </w:pPr>
          </w:p>
        </w:tc>
        <w:tc>
          <w:tcPr>
            <w:tcW w:w="50" w:type="pct"/>
            <w:shd w:val="clear" w:color="auto" w:fill="auto"/>
            <w:vAlign w:val="center"/>
          </w:tcPr>
          <w:p w14:paraId="5556F30D" w14:textId="77777777" w:rsidR="00F925DD" w:rsidRDefault="00F925DD">
            <w:pPr>
              <w:rPr>
                <w:rFonts w:ascii="Times New Roman" w:hAnsi="Times New Roman"/>
                <w:sz w:val="20"/>
                <w:szCs w:val="20"/>
              </w:rPr>
            </w:pPr>
          </w:p>
        </w:tc>
        <w:tc>
          <w:tcPr>
            <w:tcW w:w="50" w:type="pct"/>
            <w:shd w:val="clear" w:color="auto" w:fill="auto"/>
            <w:vAlign w:val="center"/>
          </w:tcPr>
          <w:p w14:paraId="5556F30E" w14:textId="77777777" w:rsidR="00F925DD" w:rsidRDefault="00F925DD">
            <w:pPr>
              <w:rPr>
                <w:rFonts w:ascii="Times New Roman" w:hAnsi="Times New Roman"/>
                <w:sz w:val="20"/>
                <w:szCs w:val="20"/>
              </w:rPr>
            </w:pPr>
          </w:p>
        </w:tc>
        <w:tc>
          <w:tcPr>
            <w:tcW w:w="50" w:type="pct"/>
            <w:shd w:val="clear" w:color="auto" w:fill="auto"/>
            <w:vAlign w:val="center"/>
          </w:tcPr>
          <w:p w14:paraId="5556F30F" w14:textId="77777777" w:rsidR="00F925DD" w:rsidRDefault="00F925DD">
            <w:pPr>
              <w:rPr>
                <w:rFonts w:ascii="Times New Roman" w:hAnsi="Times New Roman"/>
                <w:sz w:val="20"/>
                <w:szCs w:val="20"/>
              </w:rPr>
            </w:pPr>
          </w:p>
        </w:tc>
        <w:tc>
          <w:tcPr>
            <w:tcW w:w="300" w:type="pct"/>
            <w:shd w:val="clear" w:color="auto" w:fill="auto"/>
            <w:vAlign w:val="center"/>
          </w:tcPr>
          <w:p w14:paraId="5556F310" w14:textId="77777777" w:rsidR="00F925DD" w:rsidRDefault="00F925DD">
            <w:pPr>
              <w:rPr>
                <w:rFonts w:ascii="Times New Roman" w:hAnsi="Times New Roman"/>
                <w:sz w:val="20"/>
                <w:szCs w:val="20"/>
              </w:rPr>
            </w:pPr>
          </w:p>
        </w:tc>
        <w:tc>
          <w:tcPr>
            <w:tcW w:w="50" w:type="pct"/>
            <w:shd w:val="clear" w:color="auto" w:fill="auto"/>
            <w:vAlign w:val="center"/>
          </w:tcPr>
          <w:p w14:paraId="5556F311" w14:textId="77777777" w:rsidR="00F925DD" w:rsidRDefault="00F925DD">
            <w:pPr>
              <w:rPr>
                <w:rFonts w:ascii="Times New Roman" w:hAnsi="Times New Roman"/>
                <w:sz w:val="20"/>
                <w:szCs w:val="20"/>
              </w:rPr>
            </w:pPr>
          </w:p>
        </w:tc>
        <w:tc>
          <w:tcPr>
            <w:tcW w:w="50" w:type="pct"/>
            <w:shd w:val="clear" w:color="auto" w:fill="auto"/>
            <w:vAlign w:val="center"/>
          </w:tcPr>
          <w:p w14:paraId="5556F312" w14:textId="77777777" w:rsidR="00F925DD" w:rsidRDefault="00F925DD">
            <w:pPr>
              <w:rPr>
                <w:rFonts w:ascii="Times New Roman" w:hAnsi="Times New Roman"/>
                <w:sz w:val="20"/>
                <w:szCs w:val="20"/>
              </w:rPr>
            </w:pPr>
          </w:p>
        </w:tc>
        <w:tc>
          <w:tcPr>
            <w:tcW w:w="50" w:type="pct"/>
            <w:shd w:val="clear" w:color="auto" w:fill="auto"/>
            <w:vAlign w:val="center"/>
          </w:tcPr>
          <w:p w14:paraId="5556F313" w14:textId="77777777" w:rsidR="00F925DD" w:rsidRDefault="00F925DD">
            <w:pPr>
              <w:rPr>
                <w:rFonts w:ascii="Times New Roman" w:hAnsi="Times New Roman"/>
                <w:sz w:val="20"/>
                <w:szCs w:val="20"/>
              </w:rPr>
            </w:pPr>
          </w:p>
        </w:tc>
        <w:tc>
          <w:tcPr>
            <w:tcW w:w="300" w:type="pct"/>
            <w:shd w:val="clear" w:color="auto" w:fill="auto"/>
            <w:vAlign w:val="center"/>
          </w:tcPr>
          <w:p w14:paraId="5556F314" w14:textId="77777777" w:rsidR="00F925DD" w:rsidRDefault="00F925DD">
            <w:pPr>
              <w:rPr>
                <w:rFonts w:ascii="Times New Roman" w:hAnsi="Times New Roman"/>
                <w:sz w:val="20"/>
                <w:szCs w:val="20"/>
              </w:rPr>
            </w:pPr>
          </w:p>
        </w:tc>
        <w:tc>
          <w:tcPr>
            <w:tcW w:w="50" w:type="pct"/>
            <w:shd w:val="clear" w:color="auto" w:fill="auto"/>
            <w:vAlign w:val="center"/>
          </w:tcPr>
          <w:p w14:paraId="5556F315" w14:textId="77777777" w:rsidR="00F925DD" w:rsidRDefault="00F925DD">
            <w:pPr>
              <w:rPr>
                <w:rFonts w:ascii="Times New Roman" w:hAnsi="Times New Roman"/>
                <w:sz w:val="20"/>
                <w:szCs w:val="20"/>
              </w:rPr>
            </w:pPr>
          </w:p>
        </w:tc>
        <w:tc>
          <w:tcPr>
            <w:tcW w:w="50" w:type="pct"/>
            <w:shd w:val="clear" w:color="auto" w:fill="auto"/>
            <w:vAlign w:val="center"/>
          </w:tcPr>
          <w:p w14:paraId="5556F316" w14:textId="77777777" w:rsidR="00F925DD" w:rsidRDefault="00F925DD">
            <w:pPr>
              <w:rPr>
                <w:rFonts w:ascii="Times New Roman" w:hAnsi="Times New Roman"/>
                <w:sz w:val="20"/>
                <w:szCs w:val="20"/>
              </w:rPr>
            </w:pPr>
          </w:p>
        </w:tc>
        <w:tc>
          <w:tcPr>
            <w:tcW w:w="50" w:type="pct"/>
            <w:shd w:val="clear" w:color="auto" w:fill="auto"/>
            <w:vAlign w:val="center"/>
          </w:tcPr>
          <w:p w14:paraId="5556F317" w14:textId="77777777" w:rsidR="00F925DD" w:rsidRDefault="00F925DD">
            <w:pPr>
              <w:rPr>
                <w:rFonts w:ascii="Times New Roman" w:hAnsi="Times New Roman"/>
                <w:sz w:val="20"/>
                <w:szCs w:val="20"/>
              </w:rPr>
            </w:pPr>
          </w:p>
        </w:tc>
        <w:tc>
          <w:tcPr>
            <w:tcW w:w="300" w:type="pct"/>
            <w:shd w:val="clear" w:color="auto" w:fill="auto"/>
            <w:vAlign w:val="center"/>
          </w:tcPr>
          <w:p w14:paraId="5556F318" w14:textId="77777777" w:rsidR="00F925DD" w:rsidRDefault="00F925DD">
            <w:pPr>
              <w:rPr>
                <w:rFonts w:ascii="Times New Roman" w:hAnsi="Times New Roman"/>
                <w:sz w:val="20"/>
                <w:szCs w:val="20"/>
              </w:rPr>
            </w:pPr>
          </w:p>
        </w:tc>
        <w:tc>
          <w:tcPr>
            <w:tcW w:w="50" w:type="pct"/>
            <w:shd w:val="clear" w:color="auto" w:fill="auto"/>
            <w:vAlign w:val="center"/>
          </w:tcPr>
          <w:p w14:paraId="5556F319" w14:textId="77777777" w:rsidR="00F925DD" w:rsidRDefault="00F925DD">
            <w:pPr>
              <w:rPr>
                <w:rFonts w:ascii="Times New Roman" w:hAnsi="Times New Roman"/>
                <w:sz w:val="20"/>
                <w:szCs w:val="20"/>
              </w:rPr>
            </w:pPr>
          </w:p>
        </w:tc>
        <w:tc>
          <w:tcPr>
            <w:tcW w:w="50" w:type="pct"/>
            <w:shd w:val="clear" w:color="auto" w:fill="auto"/>
            <w:vAlign w:val="center"/>
          </w:tcPr>
          <w:p w14:paraId="5556F31A" w14:textId="77777777" w:rsidR="00F925DD" w:rsidRDefault="00F925DD">
            <w:pPr>
              <w:rPr>
                <w:rFonts w:ascii="Times New Roman" w:hAnsi="Times New Roman"/>
                <w:sz w:val="20"/>
                <w:szCs w:val="20"/>
              </w:rPr>
            </w:pPr>
          </w:p>
        </w:tc>
        <w:tc>
          <w:tcPr>
            <w:tcW w:w="50" w:type="pct"/>
            <w:shd w:val="clear" w:color="auto" w:fill="auto"/>
            <w:vAlign w:val="center"/>
          </w:tcPr>
          <w:p w14:paraId="5556F31B" w14:textId="77777777" w:rsidR="00F925DD" w:rsidRDefault="00F925DD">
            <w:pPr>
              <w:rPr>
                <w:rFonts w:ascii="Times New Roman" w:hAnsi="Times New Roman"/>
                <w:sz w:val="20"/>
                <w:szCs w:val="20"/>
              </w:rPr>
            </w:pPr>
          </w:p>
        </w:tc>
        <w:tc>
          <w:tcPr>
            <w:tcW w:w="300" w:type="pct"/>
            <w:shd w:val="clear" w:color="auto" w:fill="auto"/>
            <w:vAlign w:val="center"/>
          </w:tcPr>
          <w:p w14:paraId="5556F31C" w14:textId="77777777" w:rsidR="00F925DD" w:rsidRDefault="00F925DD">
            <w:pPr>
              <w:rPr>
                <w:rFonts w:ascii="Times New Roman" w:hAnsi="Times New Roman"/>
                <w:sz w:val="20"/>
                <w:szCs w:val="20"/>
              </w:rPr>
            </w:pPr>
          </w:p>
        </w:tc>
        <w:tc>
          <w:tcPr>
            <w:tcW w:w="50" w:type="pct"/>
            <w:shd w:val="clear" w:color="auto" w:fill="auto"/>
            <w:vAlign w:val="center"/>
          </w:tcPr>
          <w:p w14:paraId="5556F31D" w14:textId="77777777" w:rsidR="00F925DD" w:rsidRDefault="00F925DD">
            <w:pPr>
              <w:rPr>
                <w:rFonts w:ascii="Times New Roman" w:hAnsi="Times New Roman"/>
                <w:sz w:val="20"/>
                <w:szCs w:val="20"/>
              </w:rPr>
            </w:pPr>
          </w:p>
        </w:tc>
        <w:tc>
          <w:tcPr>
            <w:tcW w:w="50" w:type="pct"/>
            <w:shd w:val="clear" w:color="auto" w:fill="auto"/>
            <w:vAlign w:val="center"/>
          </w:tcPr>
          <w:p w14:paraId="5556F31E" w14:textId="77777777" w:rsidR="00F925DD" w:rsidRDefault="00F925DD">
            <w:pPr>
              <w:rPr>
                <w:rFonts w:ascii="Times New Roman" w:hAnsi="Times New Roman"/>
                <w:sz w:val="20"/>
                <w:szCs w:val="20"/>
              </w:rPr>
            </w:pPr>
          </w:p>
        </w:tc>
        <w:tc>
          <w:tcPr>
            <w:tcW w:w="50" w:type="pct"/>
            <w:shd w:val="clear" w:color="auto" w:fill="auto"/>
            <w:vAlign w:val="center"/>
          </w:tcPr>
          <w:p w14:paraId="5556F31F" w14:textId="77777777" w:rsidR="00F925DD" w:rsidRDefault="00F925DD">
            <w:pPr>
              <w:rPr>
                <w:rFonts w:ascii="Times New Roman" w:hAnsi="Times New Roman"/>
                <w:sz w:val="20"/>
                <w:szCs w:val="20"/>
              </w:rPr>
            </w:pPr>
          </w:p>
        </w:tc>
        <w:tc>
          <w:tcPr>
            <w:tcW w:w="300" w:type="pct"/>
            <w:shd w:val="clear" w:color="auto" w:fill="auto"/>
            <w:vAlign w:val="center"/>
          </w:tcPr>
          <w:p w14:paraId="5556F320" w14:textId="77777777" w:rsidR="00F925DD" w:rsidRDefault="00F925DD">
            <w:pPr>
              <w:rPr>
                <w:rFonts w:ascii="Times New Roman" w:hAnsi="Times New Roman"/>
                <w:sz w:val="20"/>
                <w:szCs w:val="20"/>
              </w:rPr>
            </w:pPr>
          </w:p>
        </w:tc>
        <w:tc>
          <w:tcPr>
            <w:tcW w:w="50" w:type="pct"/>
            <w:shd w:val="clear" w:color="auto" w:fill="auto"/>
            <w:vAlign w:val="center"/>
          </w:tcPr>
          <w:p w14:paraId="5556F321" w14:textId="77777777" w:rsidR="00F925DD" w:rsidRDefault="00F925DD">
            <w:pPr>
              <w:rPr>
                <w:rFonts w:ascii="Times New Roman" w:hAnsi="Times New Roman"/>
                <w:sz w:val="20"/>
                <w:szCs w:val="20"/>
              </w:rPr>
            </w:pPr>
          </w:p>
        </w:tc>
        <w:tc>
          <w:tcPr>
            <w:tcW w:w="50" w:type="pct"/>
            <w:shd w:val="clear" w:color="auto" w:fill="auto"/>
            <w:vAlign w:val="center"/>
          </w:tcPr>
          <w:p w14:paraId="5556F322" w14:textId="77777777" w:rsidR="00F925DD" w:rsidRDefault="00F925DD">
            <w:pPr>
              <w:rPr>
                <w:rFonts w:ascii="Times New Roman" w:hAnsi="Times New Roman"/>
                <w:sz w:val="20"/>
                <w:szCs w:val="20"/>
              </w:rPr>
            </w:pPr>
          </w:p>
        </w:tc>
        <w:tc>
          <w:tcPr>
            <w:tcW w:w="50" w:type="pct"/>
            <w:shd w:val="clear" w:color="auto" w:fill="auto"/>
            <w:vAlign w:val="center"/>
          </w:tcPr>
          <w:p w14:paraId="5556F323" w14:textId="77777777" w:rsidR="00F925DD" w:rsidRDefault="00F925DD">
            <w:pPr>
              <w:rPr>
                <w:rFonts w:ascii="Times New Roman" w:hAnsi="Times New Roman"/>
                <w:sz w:val="20"/>
                <w:szCs w:val="20"/>
              </w:rPr>
            </w:pPr>
          </w:p>
        </w:tc>
        <w:tc>
          <w:tcPr>
            <w:tcW w:w="300" w:type="pct"/>
            <w:shd w:val="clear" w:color="auto" w:fill="auto"/>
            <w:vAlign w:val="center"/>
          </w:tcPr>
          <w:p w14:paraId="5556F324" w14:textId="77777777" w:rsidR="00F925DD" w:rsidRDefault="00F925DD">
            <w:pPr>
              <w:rPr>
                <w:rFonts w:ascii="Times New Roman" w:hAnsi="Times New Roman"/>
                <w:sz w:val="20"/>
                <w:szCs w:val="20"/>
              </w:rPr>
            </w:pPr>
          </w:p>
        </w:tc>
        <w:tc>
          <w:tcPr>
            <w:tcW w:w="50" w:type="pct"/>
            <w:shd w:val="clear" w:color="auto" w:fill="auto"/>
            <w:vAlign w:val="center"/>
          </w:tcPr>
          <w:p w14:paraId="5556F325" w14:textId="77777777" w:rsidR="00F925DD" w:rsidRDefault="00F925DD">
            <w:pPr>
              <w:rPr>
                <w:rFonts w:ascii="Times New Roman" w:hAnsi="Times New Roman"/>
                <w:sz w:val="20"/>
                <w:szCs w:val="20"/>
              </w:rPr>
            </w:pPr>
          </w:p>
        </w:tc>
        <w:tc>
          <w:tcPr>
            <w:tcW w:w="50" w:type="pct"/>
            <w:shd w:val="clear" w:color="auto" w:fill="auto"/>
            <w:vAlign w:val="center"/>
          </w:tcPr>
          <w:p w14:paraId="5556F326" w14:textId="77777777" w:rsidR="00F925DD" w:rsidRDefault="00F925DD">
            <w:pPr>
              <w:rPr>
                <w:rFonts w:ascii="Times New Roman" w:hAnsi="Times New Roman"/>
                <w:sz w:val="20"/>
                <w:szCs w:val="20"/>
              </w:rPr>
            </w:pPr>
          </w:p>
        </w:tc>
        <w:tc>
          <w:tcPr>
            <w:tcW w:w="50" w:type="pct"/>
            <w:shd w:val="clear" w:color="auto" w:fill="auto"/>
            <w:vAlign w:val="center"/>
          </w:tcPr>
          <w:p w14:paraId="5556F327" w14:textId="77777777" w:rsidR="00F925DD" w:rsidRDefault="00F925DD">
            <w:pPr>
              <w:rPr>
                <w:rFonts w:ascii="Times New Roman" w:hAnsi="Times New Roman"/>
                <w:sz w:val="20"/>
                <w:szCs w:val="20"/>
              </w:rPr>
            </w:pPr>
          </w:p>
        </w:tc>
        <w:tc>
          <w:tcPr>
            <w:tcW w:w="300" w:type="pct"/>
            <w:shd w:val="clear" w:color="auto" w:fill="auto"/>
            <w:vAlign w:val="center"/>
          </w:tcPr>
          <w:p w14:paraId="5556F328" w14:textId="77777777" w:rsidR="00F925DD" w:rsidRDefault="00F925DD">
            <w:pPr>
              <w:rPr>
                <w:rFonts w:ascii="Times New Roman" w:hAnsi="Times New Roman"/>
                <w:sz w:val="20"/>
                <w:szCs w:val="20"/>
              </w:rPr>
            </w:pPr>
          </w:p>
        </w:tc>
        <w:tc>
          <w:tcPr>
            <w:tcW w:w="50" w:type="pct"/>
            <w:shd w:val="clear" w:color="auto" w:fill="auto"/>
            <w:vAlign w:val="center"/>
          </w:tcPr>
          <w:p w14:paraId="5556F329" w14:textId="77777777" w:rsidR="00F925DD" w:rsidRDefault="00F925DD">
            <w:pPr>
              <w:rPr>
                <w:rFonts w:ascii="Times New Roman" w:hAnsi="Times New Roman"/>
                <w:sz w:val="20"/>
                <w:szCs w:val="20"/>
              </w:rPr>
            </w:pPr>
          </w:p>
        </w:tc>
        <w:tc>
          <w:tcPr>
            <w:tcW w:w="50" w:type="pct"/>
            <w:shd w:val="clear" w:color="auto" w:fill="auto"/>
            <w:vAlign w:val="center"/>
          </w:tcPr>
          <w:p w14:paraId="5556F32A" w14:textId="77777777" w:rsidR="00F925DD" w:rsidRDefault="00F925DD">
            <w:pPr>
              <w:rPr>
                <w:rFonts w:ascii="Times New Roman" w:hAnsi="Times New Roman"/>
                <w:sz w:val="20"/>
                <w:szCs w:val="20"/>
              </w:rPr>
            </w:pPr>
          </w:p>
        </w:tc>
        <w:tc>
          <w:tcPr>
            <w:tcW w:w="50" w:type="pct"/>
            <w:shd w:val="clear" w:color="auto" w:fill="auto"/>
            <w:vAlign w:val="center"/>
          </w:tcPr>
          <w:p w14:paraId="5556F32B" w14:textId="77777777" w:rsidR="00F925DD" w:rsidRDefault="00F925DD">
            <w:pPr>
              <w:rPr>
                <w:rFonts w:ascii="Times New Roman" w:hAnsi="Times New Roman"/>
                <w:sz w:val="20"/>
                <w:szCs w:val="20"/>
              </w:rPr>
            </w:pPr>
          </w:p>
        </w:tc>
        <w:tc>
          <w:tcPr>
            <w:tcW w:w="300" w:type="pct"/>
            <w:shd w:val="clear" w:color="auto" w:fill="auto"/>
            <w:vAlign w:val="center"/>
          </w:tcPr>
          <w:p w14:paraId="5556F32C" w14:textId="77777777" w:rsidR="00F925DD" w:rsidRDefault="00F925DD">
            <w:pPr>
              <w:rPr>
                <w:rFonts w:ascii="Times New Roman" w:hAnsi="Times New Roman"/>
                <w:sz w:val="20"/>
                <w:szCs w:val="20"/>
              </w:rPr>
            </w:pPr>
          </w:p>
        </w:tc>
        <w:tc>
          <w:tcPr>
            <w:tcW w:w="50" w:type="pct"/>
            <w:shd w:val="clear" w:color="auto" w:fill="auto"/>
            <w:vAlign w:val="center"/>
          </w:tcPr>
          <w:p w14:paraId="5556F32D" w14:textId="77777777" w:rsidR="00F925DD" w:rsidRDefault="00F925DD">
            <w:pPr>
              <w:rPr>
                <w:rFonts w:ascii="Times New Roman" w:hAnsi="Times New Roman"/>
                <w:sz w:val="20"/>
                <w:szCs w:val="20"/>
              </w:rPr>
            </w:pPr>
          </w:p>
        </w:tc>
      </w:tr>
      <w:tr w:rsidR="00F925DD" w14:paraId="5556F331" w14:textId="77777777">
        <w:tc>
          <w:tcPr>
            <w:tcW w:w="0" w:type="auto"/>
            <w:shd w:val="clear" w:color="auto" w:fill="auto"/>
            <w:tcMar>
              <w:top w:w="40" w:type="dxa"/>
              <w:left w:w="40" w:type="dxa"/>
              <w:bottom w:w="40" w:type="dxa"/>
              <w:right w:w="40" w:type="dxa"/>
            </w:tcMar>
            <w:vAlign w:val="bottom"/>
          </w:tcPr>
          <w:p w14:paraId="5556F3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9"/>
            <w:tcBorders>
              <w:bottom w:val="single" w:sz="8" w:space="0" w:color="000000"/>
            </w:tcBorders>
            <w:shd w:val="clear" w:color="auto" w:fill="auto"/>
            <w:tcMar>
              <w:top w:w="40" w:type="dxa"/>
              <w:left w:w="40" w:type="dxa"/>
              <w:bottom w:w="40" w:type="dxa"/>
            </w:tcMar>
            <w:vAlign w:val="bottom"/>
          </w:tcPr>
          <w:p w14:paraId="5556F33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 Ended December 31, 2019</w:t>
            </w:r>
          </w:p>
        </w:tc>
      </w:tr>
      <w:tr w:rsidR="00F925DD" w14:paraId="5556F33A" w14:textId="77777777">
        <w:tc>
          <w:tcPr>
            <w:tcW w:w="0" w:type="auto"/>
            <w:shd w:val="clear" w:color="auto" w:fill="auto"/>
            <w:tcMar>
              <w:top w:w="40" w:type="dxa"/>
              <w:left w:w="40" w:type="dxa"/>
              <w:bottom w:w="40" w:type="dxa"/>
              <w:right w:w="40" w:type="dxa"/>
            </w:tcMar>
            <w:vAlign w:val="bottom"/>
          </w:tcPr>
          <w:p w14:paraId="5556F3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F33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Investment Servicing</w:t>
            </w:r>
          </w:p>
        </w:tc>
        <w:tc>
          <w:tcPr>
            <w:tcW w:w="0" w:type="auto"/>
            <w:shd w:val="clear" w:color="auto" w:fill="auto"/>
            <w:tcMar>
              <w:top w:w="40" w:type="dxa"/>
              <w:left w:w="40" w:type="dxa"/>
              <w:bottom w:w="40" w:type="dxa"/>
              <w:right w:w="40" w:type="dxa"/>
            </w:tcMar>
            <w:vAlign w:val="bottom"/>
          </w:tcPr>
          <w:p w14:paraId="5556F3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F33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Investment Management</w:t>
            </w:r>
          </w:p>
        </w:tc>
        <w:tc>
          <w:tcPr>
            <w:tcW w:w="0" w:type="auto"/>
            <w:shd w:val="clear" w:color="auto" w:fill="auto"/>
            <w:tcMar>
              <w:top w:w="40" w:type="dxa"/>
              <w:left w:w="40" w:type="dxa"/>
              <w:bottom w:w="40" w:type="dxa"/>
              <w:right w:w="40" w:type="dxa"/>
            </w:tcMar>
            <w:vAlign w:val="bottom"/>
          </w:tcPr>
          <w:p w14:paraId="5556F3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F33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Other</w:t>
            </w:r>
          </w:p>
        </w:tc>
        <w:tc>
          <w:tcPr>
            <w:tcW w:w="0" w:type="auto"/>
            <w:shd w:val="clear" w:color="auto" w:fill="auto"/>
            <w:tcMar>
              <w:top w:w="40" w:type="dxa"/>
              <w:left w:w="40" w:type="dxa"/>
              <w:bottom w:w="40" w:type="dxa"/>
              <w:right w:w="40" w:type="dxa"/>
            </w:tcMar>
            <w:vAlign w:val="bottom"/>
          </w:tcPr>
          <w:p w14:paraId="5556F3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33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r>
      <w:tr w:rsidR="00F925DD" w14:paraId="5556F34F" w14:textId="77777777">
        <w:tc>
          <w:tcPr>
            <w:tcW w:w="0" w:type="auto"/>
            <w:shd w:val="clear" w:color="auto" w:fill="auto"/>
            <w:tcMar>
              <w:top w:w="40" w:type="dxa"/>
              <w:left w:w="40" w:type="dxa"/>
              <w:bottom w:w="40" w:type="dxa"/>
              <w:right w:w="40" w:type="dxa"/>
            </w:tcMar>
            <w:vAlign w:val="bottom"/>
          </w:tcPr>
          <w:p w14:paraId="5556F33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33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3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33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All other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3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34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5556F3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34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3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34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All other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3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34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5556F3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34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3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34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All other revenue</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3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34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5556F3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34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w:t>
            </w:r>
          </w:p>
        </w:tc>
      </w:tr>
      <w:tr w:rsidR="00E705D7" w14:paraId="5556F378" w14:textId="77777777">
        <w:tc>
          <w:tcPr>
            <w:tcW w:w="0" w:type="auto"/>
            <w:shd w:val="clear" w:color="auto" w:fill="CCEEFF"/>
            <w:tcMar>
              <w:top w:w="40" w:type="dxa"/>
              <w:left w:w="240" w:type="dxa"/>
              <w:bottom w:w="40" w:type="dxa"/>
              <w:right w:w="40" w:type="dxa"/>
            </w:tcMar>
            <w:vAlign w:val="bottom"/>
          </w:tcPr>
          <w:p w14:paraId="5556F350" w14:textId="77777777" w:rsidR="00F925DD" w:rsidRDefault="00E705D7">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5556F35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35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5,074</w:t>
            </w:r>
          </w:p>
        </w:tc>
        <w:tc>
          <w:tcPr>
            <w:tcW w:w="0" w:type="auto"/>
            <w:tcBorders>
              <w:top w:val="single" w:sz="8" w:space="0" w:color="000000"/>
            </w:tcBorders>
            <w:shd w:val="clear" w:color="auto" w:fill="CCEEFF"/>
            <w:vAlign w:val="bottom"/>
          </w:tcPr>
          <w:p w14:paraId="5556F35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35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35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5556F35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35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35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5,074</w:t>
            </w:r>
          </w:p>
        </w:tc>
        <w:tc>
          <w:tcPr>
            <w:tcW w:w="0" w:type="auto"/>
            <w:tcBorders>
              <w:top w:val="single" w:sz="8" w:space="0" w:color="000000"/>
            </w:tcBorders>
            <w:shd w:val="clear" w:color="auto" w:fill="CCEEFF"/>
            <w:vAlign w:val="bottom"/>
          </w:tcPr>
          <w:p w14:paraId="5556F3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35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35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5556F35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36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36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5556F36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36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36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5556F36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36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36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5556F36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36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36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5556F36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37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37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vAlign w:val="bottom"/>
          </w:tcPr>
          <w:p w14:paraId="5556F3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37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37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5,074</w:t>
            </w:r>
          </w:p>
        </w:tc>
        <w:tc>
          <w:tcPr>
            <w:tcW w:w="0" w:type="auto"/>
            <w:tcBorders>
              <w:top w:val="single" w:sz="8" w:space="0" w:color="000000"/>
            </w:tcBorders>
            <w:shd w:val="clear" w:color="auto" w:fill="CCEEFF"/>
            <w:vAlign w:val="bottom"/>
          </w:tcPr>
          <w:p w14:paraId="5556F377" w14:textId="77777777" w:rsidR="00F925DD" w:rsidRDefault="00F925DD">
            <w:pPr>
              <w:textAlignment w:val="bottom"/>
              <w:rPr>
                <w:rFonts w:ascii="Times New Roman" w:hAnsi="Times New Roman"/>
                <w:sz w:val="20"/>
                <w:szCs w:val="20"/>
              </w:rPr>
            </w:pPr>
          </w:p>
        </w:tc>
      </w:tr>
      <w:tr w:rsidR="00F925DD" w14:paraId="5556F397" w14:textId="77777777">
        <w:tc>
          <w:tcPr>
            <w:tcW w:w="0" w:type="auto"/>
            <w:shd w:val="clear" w:color="auto" w:fill="auto"/>
            <w:tcMar>
              <w:top w:w="40" w:type="dxa"/>
              <w:left w:w="240" w:type="dxa"/>
              <w:bottom w:w="40" w:type="dxa"/>
              <w:right w:w="40" w:type="dxa"/>
            </w:tcMar>
            <w:vAlign w:val="bottom"/>
          </w:tcPr>
          <w:p w14:paraId="5556F379" w14:textId="77777777" w:rsidR="00F925DD" w:rsidRDefault="00E705D7">
            <w:pPr>
              <w:textAlignment w:val="bottom"/>
              <w:rPr>
                <w:rFonts w:ascii="Times New Roman" w:hAnsi="Times New Roman"/>
                <w:sz w:val="14"/>
                <w:szCs w:val="14"/>
              </w:rPr>
            </w:pPr>
            <w:r>
              <w:rPr>
                <w:rFonts w:ascii="Arial" w:eastAsia="宋体" w:hAnsi="Arial" w:cs="Arial"/>
                <w:sz w:val="14"/>
                <w:szCs w:val="14"/>
              </w:rPr>
              <w:t>Management fees</w:t>
            </w:r>
          </w:p>
        </w:tc>
        <w:tc>
          <w:tcPr>
            <w:tcW w:w="0" w:type="auto"/>
            <w:gridSpan w:val="2"/>
            <w:shd w:val="clear" w:color="auto" w:fill="auto"/>
            <w:tcMar>
              <w:top w:w="40" w:type="dxa"/>
              <w:left w:w="40" w:type="dxa"/>
              <w:bottom w:w="40" w:type="dxa"/>
            </w:tcMar>
            <w:vAlign w:val="bottom"/>
          </w:tcPr>
          <w:p w14:paraId="5556F37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7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7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7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8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8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8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1,771</w:t>
            </w:r>
          </w:p>
        </w:tc>
        <w:tc>
          <w:tcPr>
            <w:tcW w:w="0" w:type="auto"/>
            <w:shd w:val="clear" w:color="auto" w:fill="auto"/>
            <w:vAlign w:val="bottom"/>
          </w:tcPr>
          <w:p w14:paraId="5556F38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8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8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8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1,771</w:t>
            </w:r>
          </w:p>
        </w:tc>
        <w:tc>
          <w:tcPr>
            <w:tcW w:w="0" w:type="auto"/>
            <w:shd w:val="clear" w:color="auto" w:fill="auto"/>
            <w:vAlign w:val="bottom"/>
          </w:tcPr>
          <w:p w14:paraId="5556F38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8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8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8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9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9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9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9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1,771</w:t>
            </w:r>
          </w:p>
        </w:tc>
        <w:tc>
          <w:tcPr>
            <w:tcW w:w="0" w:type="auto"/>
            <w:shd w:val="clear" w:color="auto" w:fill="auto"/>
            <w:vAlign w:val="bottom"/>
          </w:tcPr>
          <w:p w14:paraId="5556F396" w14:textId="77777777" w:rsidR="00F925DD" w:rsidRDefault="00F925DD">
            <w:pPr>
              <w:textAlignment w:val="bottom"/>
              <w:rPr>
                <w:rFonts w:ascii="Times New Roman" w:hAnsi="Times New Roman"/>
                <w:sz w:val="20"/>
                <w:szCs w:val="20"/>
              </w:rPr>
            </w:pPr>
          </w:p>
        </w:tc>
      </w:tr>
      <w:tr w:rsidR="00F925DD" w14:paraId="5556F3B6" w14:textId="77777777">
        <w:tc>
          <w:tcPr>
            <w:tcW w:w="0" w:type="auto"/>
            <w:shd w:val="clear" w:color="auto" w:fill="CCEEFF"/>
            <w:tcMar>
              <w:top w:w="40" w:type="dxa"/>
              <w:left w:w="240" w:type="dxa"/>
              <w:bottom w:w="40" w:type="dxa"/>
              <w:right w:w="40" w:type="dxa"/>
            </w:tcMar>
            <w:vAlign w:val="bottom"/>
          </w:tcPr>
          <w:p w14:paraId="5556F398"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Foreign exchange trading services </w:t>
            </w:r>
          </w:p>
        </w:tc>
        <w:tc>
          <w:tcPr>
            <w:tcW w:w="0" w:type="auto"/>
            <w:gridSpan w:val="2"/>
            <w:shd w:val="clear" w:color="auto" w:fill="CCEEFF"/>
            <w:tcMar>
              <w:top w:w="40" w:type="dxa"/>
              <w:left w:w="40" w:type="dxa"/>
              <w:bottom w:w="40" w:type="dxa"/>
            </w:tcMar>
            <w:vAlign w:val="bottom"/>
          </w:tcPr>
          <w:p w14:paraId="5556F39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346</w:t>
            </w:r>
          </w:p>
        </w:tc>
        <w:tc>
          <w:tcPr>
            <w:tcW w:w="0" w:type="auto"/>
            <w:shd w:val="clear" w:color="auto" w:fill="CCEEFF"/>
            <w:vAlign w:val="bottom"/>
          </w:tcPr>
          <w:p w14:paraId="5556F39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9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628</w:t>
            </w:r>
          </w:p>
        </w:tc>
        <w:tc>
          <w:tcPr>
            <w:tcW w:w="0" w:type="auto"/>
            <w:shd w:val="clear" w:color="auto" w:fill="CCEEFF"/>
            <w:vAlign w:val="bottom"/>
          </w:tcPr>
          <w:p w14:paraId="5556F39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9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974</w:t>
            </w:r>
          </w:p>
        </w:tc>
        <w:tc>
          <w:tcPr>
            <w:tcW w:w="0" w:type="auto"/>
            <w:shd w:val="clear" w:color="auto" w:fill="CCEEFF"/>
            <w:vAlign w:val="bottom"/>
          </w:tcPr>
          <w:p w14:paraId="5556F3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A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137</w:t>
            </w:r>
          </w:p>
        </w:tc>
        <w:tc>
          <w:tcPr>
            <w:tcW w:w="0" w:type="auto"/>
            <w:shd w:val="clear" w:color="auto" w:fill="CCEEFF"/>
            <w:vAlign w:val="bottom"/>
          </w:tcPr>
          <w:p w14:paraId="5556F3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A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3A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A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137</w:t>
            </w:r>
          </w:p>
        </w:tc>
        <w:tc>
          <w:tcPr>
            <w:tcW w:w="0" w:type="auto"/>
            <w:shd w:val="clear" w:color="auto" w:fill="CCEEFF"/>
            <w:vAlign w:val="bottom"/>
          </w:tcPr>
          <w:p w14:paraId="5556F3A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A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3A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A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3A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B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3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B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1,111</w:t>
            </w:r>
          </w:p>
        </w:tc>
        <w:tc>
          <w:tcPr>
            <w:tcW w:w="0" w:type="auto"/>
            <w:shd w:val="clear" w:color="auto" w:fill="CCEEFF"/>
            <w:vAlign w:val="bottom"/>
          </w:tcPr>
          <w:p w14:paraId="5556F3B5" w14:textId="77777777" w:rsidR="00F925DD" w:rsidRDefault="00F925DD">
            <w:pPr>
              <w:textAlignment w:val="bottom"/>
              <w:rPr>
                <w:rFonts w:ascii="Times New Roman" w:hAnsi="Times New Roman"/>
                <w:sz w:val="20"/>
                <w:szCs w:val="20"/>
              </w:rPr>
            </w:pPr>
          </w:p>
        </w:tc>
      </w:tr>
      <w:tr w:rsidR="00F925DD" w14:paraId="5556F3D5" w14:textId="77777777">
        <w:tc>
          <w:tcPr>
            <w:tcW w:w="0" w:type="auto"/>
            <w:shd w:val="clear" w:color="auto" w:fill="auto"/>
            <w:tcMar>
              <w:top w:w="40" w:type="dxa"/>
              <w:left w:w="240" w:type="dxa"/>
              <w:bottom w:w="40" w:type="dxa"/>
              <w:right w:w="40" w:type="dxa"/>
            </w:tcMar>
            <w:vAlign w:val="bottom"/>
          </w:tcPr>
          <w:p w14:paraId="5556F3B7"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auto"/>
            <w:tcMar>
              <w:top w:w="40" w:type="dxa"/>
              <w:left w:w="40" w:type="dxa"/>
              <w:bottom w:w="40" w:type="dxa"/>
            </w:tcMar>
            <w:vAlign w:val="bottom"/>
          </w:tcPr>
          <w:p w14:paraId="5556F3B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259</w:t>
            </w:r>
          </w:p>
        </w:tc>
        <w:tc>
          <w:tcPr>
            <w:tcW w:w="0" w:type="auto"/>
            <w:shd w:val="clear" w:color="auto" w:fill="auto"/>
            <w:vAlign w:val="bottom"/>
          </w:tcPr>
          <w:p w14:paraId="5556F3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B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203</w:t>
            </w:r>
          </w:p>
        </w:tc>
        <w:tc>
          <w:tcPr>
            <w:tcW w:w="0" w:type="auto"/>
            <w:shd w:val="clear" w:color="auto" w:fill="auto"/>
            <w:vAlign w:val="bottom"/>
          </w:tcPr>
          <w:p w14:paraId="5556F3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B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462</w:t>
            </w:r>
          </w:p>
        </w:tc>
        <w:tc>
          <w:tcPr>
            <w:tcW w:w="0" w:type="auto"/>
            <w:shd w:val="clear" w:color="auto" w:fill="auto"/>
            <w:vAlign w:val="bottom"/>
          </w:tcPr>
          <w:p w14:paraId="5556F3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C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C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C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shd w:val="clear" w:color="auto" w:fill="auto"/>
            <w:vAlign w:val="bottom"/>
          </w:tcPr>
          <w:p w14:paraId="5556F3C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C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w:t>
            </w:r>
          </w:p>
        </w:tc>
        <w:tc>
          <w:tcPr>
            <w:tcW w:w="0" w:type="auto"/>
            <w:shd w:val="clear" w:color="auto" w:fill="auto"/>
            <w:vAlign w:val="bottom"/>
          </w:tcPr>
          <w:p w14:paraId="5556F3C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C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C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C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C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D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3D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D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471</w:t>
            </w:r>
          </w:p>
        </w:tc>
        <w:tc>
          <w:tcPr>
            <w:tcW w:w="0" w:type="auto"/>
            <w:shd w:val="clear" w:color="auto" w:fill="auto"/>
            <w:vAlign w:val="bottom"/>
          </w:tcPr>
          <w:p w14:paraId="5556F3D4" w14:textId="77777777" w:rsidR="00F925DD" w:rsidRDefault="00F925DD">
            <w:pPr>
              <w:textAlignment w:val="bottom"/>
              <w:rPr>
                <w:rFonts w:ascii="Times New Roman" w:hAnsi="Times New Roman"/>
                <w:sz w:val="20"/>
                <w:szCs w:val="20"/>
              </w:rPr>
            </w:pPr>
          </w:p>
        </w:tc>
      </w:tr>
      <w:tr w:rsidR="00F925DD" w14:paraId="5556F3F4" w14:textId="77777777">
        <w:tc>
          <w:tcPr>
            <w:tcW w:w="0" w:type="auto"/>
            <w:shd w:val="clear" w:color="auto" w:fill="CCEEFF"/>
            <w:tcMar>
              <w:top w:w="40" w:type="dxa"/>
              <w:left w:w="240" w:type="dxa"/>
              <w:bottom w:w="40" w:type="dxa"/>
              <w:right w:w="40" w:type="dxa"/>
            </w:tcMar>
            <w:vAlign w:val="bottom"/>
          </w:tcPr>
          <w:p w14:paraId="5556F3D6"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Software and processing fees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3D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456</w:t>
            </w:r>
          </w:p>
        </w:tc>
        <w:tc>
          <w:tcPr>
            <w:tcW w:w="0" w:type="auto"/>
            <w:tcBorders>
              <w:bottom w:val="single" w:sz="8" w:space="0" w:color="000000"/>
            </w:tcBorders>
            <w:shd w:val="clear" w:color="auto" w:fill="CCEEFF"/>
            <w:vAlign w:val="bottom"/>
          </w:tcPr>
          <w:p w14:paraId="5556F3D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3D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235</w:t>
            </w:r>
          </w:p>
        </w:tc>
        <w:tc>
          <w:tcPr>
            <w:tcW w:w="0" w:type="auto"/>
            <w:tcBorders>
              <w:bottom w:val="single" w:sz="8" w:space="0" w:color="000000"/>
            </w:tcBorders>
            <w:shd w:val="clear" w:color="auto" w:fill="CCEEFF"/>
            <w:vAlign w:val="bottom"/>
          </w:tcPr>
          <w:p w14:paraId="5556F3D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3D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691</w:t>
            </w:r>
          </w:p>
        </w:tc>
        <w:tc>
          <w:tcPr>
            <w:tcW w:w="0" w:type="auto"/>
            <w:tcBorders>
              <w:bottom w:val="single" w:sz="8" w:space="0" w:color="000000"/>
            </w:tcBorders>
            <w:shd w:val="clear" w:color="auto" w:fill="CCEEFF"/>
            <w:vAlign w:val="bottom"/>
          </w:tcPr>
          <w:p w14:paraId="5556F3D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3E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F3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3E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w:t>
            </w:r>
          </w:p>
        </w:tc>
        <w:tc>
          <w:tcPr>
            <w:tcW w:w="0" w:type="auto"/>
            <w:tcBorders>
              <w:bottom w:val="single" w:sz="8" w:space="0" w:color="000000"/>
            </w:tcBorders>
            <w:shd w:val="clear" w:color="auto" w:fill="CCEEFF"/>
            <w:vAlign w:val="bottom"/>
          </w:tcPr>
          <w:p w14:paraId="5556F3E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3E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w:t>
            </w:r>
          </w:p>
        </w:tc>
        <w:tc>
          <w:tcPr>
            <w:tcW w:w="0" w:type="auto"/>
            <w:tcBorders>
              <w:bottom w:val="single" w:sz="8" w:space="0" w:color="000000"/>
            </w:tcBorders>
            <w:shd w:val="clear" w:color="auto" w:fill="CCEEFF"/>
            <w:vAlign w:val="bottom"/>
          </w:tcPr>
          <w:p w14:paraId="5556F3E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E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3E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3E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3E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3E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single" w:sz="8" w:space="0" w:color="000000"/>
            </w:tcBorders>
            <w:shd w:val="clear" w:color="auto" w:fill="CCEEFF"/>
            <w:vAlign w:val="bottom"/>
          </w:tcPr>
          <w:p w14:paraId="5556F3F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3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3F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720</w:t>
            </w:r>
          </w:p>
        </w:tc>
        <w:tc>
          <w:tcPr>
            <w:tcW w:w="0" w:type="auto"/>
            <w:tcBorders>
              <w:bottom w:val="single" w:sz="8" w:space="0" w:color="000000"/>
            </w:tcBorders>
            <w:shd w:val="clear" w:color="auto" w:fill="CCEEFF"/>
            <w:vAlign w:val="bottom"/>
          </w:tcPr>
          <w:p w14:paraId="5556F3F3" w14:textId="77777777" w:rsidR="00F925DD" w:rsidRDefault="00F925DD">
            <w:pPr>
              <w:textAlignment w:val="bottom"/>
              <w:rPr>
                <w:rFonts w:ascii="Times New Roman" w:hAnsi="Times New Roman"/>
                <w:sz w:val="20"/>
                <w:szCs w:val="20"/>
              </w:rPr>
            </w:pPr>
          </w:p>
        </w:tc>
      </w:tr>
      <w:tr w:rsidR="00F925DD" w14:paraId="5556F413" w14:textId="77777777">
        <w:tc>
          <w:tcPr>
            <w:tcW w:w="0" w:type="auto"/>
            <w:shd w:val="clear" w:color="auto" w:fill="auto"/>
            <w:tcMar>
              <w:top w:w="40" w:type="dxa"/>
              <w:left w:w="40" w:type="dxa"/>
              <w:bottom w:w="40" w:type="dxa"/>
              <w:right w:w="40" w:type="dxa"/>
            </w:tcMar>
            <w:vAlign w:val="bottom"/>
          </w:tcPr>
          <w:p w14:paraId="5556F3F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Total fee revenue</w:t>
            </w:r>
          </w:p>
        </w:tc>
        <w:tc>
          <w:tcPr>
            <w:tcW w:w="0" w:type="auto"/>
            <w:gridSpan w:val="2"/>
            <w:shd w:val="clear" w:color="auto" w:fill="auto"/>
            <w:tcMar>
              <w:top w:w="40" w:type="dxa"/>
              <w:left w:w="40" w:type="dxa"/>
              <w:bottom w:w="40" w:type="dxa"/>
            </w:tcMar>
            <w:vAlign w:val="bottom"/>
          </w:tcPr>
          <w:p w14:paraId="5556F3F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6,135</w:t>
            </w:r>
          </w:p>
        </w:tc>
        <w:tc>
          <w:tcPr>
            <w:tcW w:w="0" w:type="auto"/>
            <w:shd w:val="clear" w:color="auto" w:fill="auto"/>
            <w:vAlign w:val="bottom"/>
          </w:tcPr>
          <w:p w14:paraId="5556F3F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F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1,066</w:t>
            </w:r>
          </w:p>
        </w:tc>
        <w:tc>
          <w:tcPr>
            <w:tcW w:w="0" w:type="auto"/>
            <w:shd w:val="clear" w:color="auto" w:fill="auto"/>
            <w:vAlign w:val="bottom"/>
          </w:tcPr>
          <w:p w14:paraId="5556F3F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F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7,201</w:t>
            </w:r>
          </w:p>
        </w:tc>
        <w:tc>
          <w:tcPr>
            <w:tcW w:w="0" w:type="auto"/>
            <w:shd w:val="clear" w:color="auto" w:fill="auto"/>
            <w:vAlign w:val="bottom"/>
          </w:tcPr>
          <w:p w14:paraId="5556F3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3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3F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1,908</w:t>
            </w:r>
          </w:p>
        </w:tc>
        <w:tc>
          <w:tcPr>
            <w:tcW w:w="0" w:type="auto"/>
            <w:shd w:val="clear" w:color="auto" w:fill="auto"/>
            <w:vAlign w:val="bottom"/>
          </w:tcPr>
          <w:p w14:paraId="5556F40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0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38</w:t>
            </w:r>
          </w:p>
        </w:tc>
        <w:tc>
          <w:tcPr>
            <w:tcW w:w="0" w:type="auto"/>
            <w:shd w:val="clear" w:color="auto" w:fill="auto"/>
            <w:vAlign w:val="bottom"/>
          </w:tcPr>
          <w:p w14:paraId="5556F40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0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1,946</w:t>
            </w:r>
          </w:p>
        </w:tc>
        <w:tc>
          <w:tcPr>
            <w:tcW w:w="0" w:type="auto"/>
            <w:shd w:val="clear" w:color="auto" w:fill="auto"/>
            <w:vAlign w:val="bottom"/>
          </w:tcPr>
          <w:p w14:paraId="5556F40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40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5556F4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40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auto"/>
            <w:vAlign w:val="bottom"/>
          </w:tcPr>
          <w:p w14:paraId="5556F4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0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4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1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9,147</w:t>
            </w:r>
          </w:p>
        </w:tc>
        <w:tc>
          <w:tcPr>
            <w:tcW w:w="0" w:type="auto"/>
            <w:shd w:val="clear" w:color="auto" w:fill="auto"/>
            <w:vAlign w:val="bottom"/>
          </w:tcPr>
          <w:p w14:paraId="5556F412" w14:textId="77777777" w:rsidR="00F925DD" w:rsidRDefault="00F925DD">
            <w:pPr>
              <w:textAlignment w:val="bottom"/>
              <w:rPr>
                <w:rFonts w:ascii="Times New Roman" w:hAnsi="Times New Roman"/>
                <w:sz w:val="20"/>
                <w:szCs w:val="20"/>
              </w:rPr>
            </w:pPr>
          </w:p>
        </w:tc>
      </w:tr>
      <w:tr w:rsidR="00F925DD" w14:paraId="5556F432" w14:textId="77777777">
        <w:tc>
          <w:tcPr>
            <w:tcW w:w="0" w:type="auto"/>
            <w:shd w:val="clear" w:color="auto" w:fill="CCEEFF"/>
            <w:tcMar>
              <w:top w:w="40" w:type="dxa"/>
              <w:left w:w="240" w:type="dxa"/>
              <w:bottom w:w="40" w:type="dxa"/>
              <w:right w:w="40" w:type="dxa"/>
            </w:tcMar>
            <w:vAlign w:val="bottom"/>
          </w:tcPr>
          <w:p w14:paraId="5556F414"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shd w:val="clear" w:color="auto" w:fill="CCEEFF"/>
            <w:tcMar>
              <w:top w:w="40" w:type="dxa"/>
              <w:left w:w="40" w:type="dxa"/>
              <w:bottom w:w="40" w:type="dxa"/>
            </w:tcMar>
            <w:vAlign w:val="bottom"/>
          </w:tcPr>
          <w:p w14:paraId="5556F41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41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41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2,590</w:t>
            </w:r>
          </w:p>
        </w:tc>
        <w:tc>
          <w:tcPr>
            <w:tcW w:w="0" w:type="auto"/>
            <w:shd w:val="clear" w:color="auto" w:fill="CCEEFF"/>
            <w:vAlign w:val="bottom"/>
          </w:tcPr>
          <w:p w14:paraId="5556F41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41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2,590</w:t>
            </w:r>
          </w:p>
        </w:tc>
        <w:tc>
          <w:tcPr>
            <w:tcW w:w="0" w:type="auto"/>
            <w:shd w:val="clear" w:color="auto" w:fill="CCEEFF"/>
            <w:vAlign w:val="bottom"/>
          </w:tcPr>
          <w:p w14:paraId="5556F41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41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41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42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shd w:val="clear" w:color="auto" w:fill="CCEEFF"/>
            <w:tcMar>
              <w:top w:w="40" w:type="dxa"/>
              <w:bottom w:w="40" w:type="dxa"/>
              <w:right w:w="40" w:type="dxa"/>
            </w:tcMar>
            <w:vAlign w:val="bottom"/>
          </w:tcPr>
          <w:p w14:paraId="5556F42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4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42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shd w:val="clear" w:color="auto" w:fill="CCEEFF"/>
            <w:tcMar>
              <w:top w:w="40" w:type="dxa"/>
              <w:bottom w:w="40" w:type="dxa"/>
              <w:right w:w="40" w:type="dxa"/>
            </w:tcMar>
            <w:vAlign w:val="bottom"/>
          </w:tcPr>
          <w:p w14:paraId="5556F42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4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42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42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42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42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42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4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43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2,566</w:t>
            </w:r>
          </w:p>
        </w:tc>
        <w:tc>
          <w:tcPr>
            <w:tcW w:w="0" w:type="auto"/>
            <w:shd w:val="clear" w:color="auto" w:fill="CCEEFF"/>
            <w:vAlign w:val="bottom"/>
          </w:tcPr>
          <w:p w14:paraId="5556F431" w14:textId="77777777" w:rsidR="00F925DD" w:rsidRDefault="00F925DD">
            <w:pPr>
              <w:textAlignment w:val="bottom"/>
              <w:rPr>
                <w:rFonts w:ascii="Times New Roman" w:hAnsi="Times New Roman"/>
                <w:sz w:val="20"/>
                <w:szCs w:val="20"/>
              </w:rPr>
            </w:pPr>
          </w:p>
        </w:tc>
      </w:tr>
      <w:tr w:rsidR="00F925DD" w14:paraId="5556F451" w14:textId="77777777">
        <w:tc>
          <w:tcPr>
            <w:tcW w:w="0" w:type="auto"/>
            <w:shd w:val="clear" w:color="auto" w:fill="auto"/>
            <w:tcMar>
              <w:top w:w="40" w:type="dxa"/>
              <w:left w:w="240" w:type="dxa"/>
              <w:bottom w:w="40" w:type="dxa"/>
              <w:right w:w="40" w:type="dxa"/>
            </w:tcMar>
            <w:vAlign w:val="bottom"/>
          </w:tcPr>
          <w:p w14:paraId="5556F433"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other income</w:t>
            </w:r>
          </w:p>
        </w:tc>
        <w:tc>
          <w:tcPr>
            <w:tcW w:w="0" w:type="auto"/>
            <w:gridSpan w:val="2"/>
            <w:shd w:val="clear" w:color="auto" w:fill="auto"/>
            <w:tcMar>
              <w:top w:w="40" w:type="dxa"/>
              <w:left w:w="40" w:type="dxa"/>
              <w:bottom w:w="40" w:type="dxa"/>
            </w:tcMar>
            <w:vAlign w:val="bottom"/>
          </w:tcPr>
          <w:p w14:paraId="5556F43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43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3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w:t>
            </w:r>
          </w:p>
        </w:tc>
        <w:tc>
          <w:tcPr>
            <w:tcW w:w="0" w:type="auto"/>
            <w:shd w:val="clear" w:color="auto" w:fill="auto"/>
            <w:vAlign w:val="bottom"/>
          </w:tcPr>
          <w:p w14:paraId="5556F43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3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w:t>
            </w:r>
          </w:p>
        </w:tc>
        <w:tc>
          <w:tcPr>
            <w:tcW w:w="0" w:type="auto"/>
            <w:shd w:val="clear" w:color="auto" w:fill="auto"/>
            <w:vAlign w:val="bottom"/>
          </w:tcPr>
          <w:p w14:paraId="5556F43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3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43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4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4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4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4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4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44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4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4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4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44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44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43</w:t>
            </w:r>
          </w:p>
        </w:tc>
        <w:tc>
          <w:tcPr>
            <w:tcW w:w="0" w:type="auto"/>
            <w:tcBorders>
              <w:bottom w:val="single" w:sz="8" w:space="0" w:color="000000"/>
            </w:tcBorders>
            <w:shd w:val="clear" w:color="auto" w:fill="auto"/>
            <w:vAlign w:val="bottom"/>
          </w:tcPr>
          <w:p w14:paraId="5556F450" w14:textId="77777777" w:rsidR="00F925DD" w:rsidRDefault="00F925DD">
            <w:pPr>
              <w:textAlignment w:val="bottom"/>
              <w:rPr>
                <w:rFonts w:ascii="Times New Roman" w:hAnsi="Times New Roman"/>
                <w:sz w:val="20"/>
                <w:szCs w:val="20"/>
              </w:rPr>
            </w:pPr>
          </w:p>
        </w:tc>
      </w:tr>
      <w:tr w:rsidR="00E705D7" w14:paraId="5556F47A" w14:textId="77777777">
        <w:tc>
          <w:tcPr>
            <w:tcW w:w="0" w:type="auto"/>
            <w:shd w:val="clear" w:color="auto" w:fill="CCEEFF"/>
            <w:tcMar>
              <w:top w:w="40" w:type="dxa"/>
              <w:left w:w="40" w:type="dxa"/>
              <w:bottom w:w="40" w:type="dxa"/>
              <w:right w:w="40" w:type="dxa"/>
            </w:tcMar>
            <w:vAlign w:val="bottom"/>
          </w:tcPr>
          <w:p w14:paraId="5556F45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45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45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6,135</w:t>
            </w:r>
          </w:p>
        </w:tc>
        <w:tc>
          <w:tcPr>
            <w:tcW w:w="0" w:type="auto"/>
            <w:tcBorders>
              <w:top w:val="single" w:sz="8" w:space="0" w:color="000000"/>
              <w:bottom w:val="double" w:sz="6" w:space="0" w:color="000000"/>
            </w:tcBorders>
            <w:shd w:val="clear" w:color="auto" w:fill="CCEEFF"/>
            <w:vAlign w:val="bottom"/>
          </w:tcPr>
          <w:p w14:paraId="5556F45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45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45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3,699</w:t>
            </w:r>
          </w:p>
        </w:tc>
        <w:tc>
          <w:tcPr>
            <w:tcW w:w="0" w:type="auto"/>
            <w:tcBorders>
              <w:top w:val="single" w:sz="8" w:space="0" w:color="000000"/>
              <w:bottom w:val="double" w:sz="6" w:space="0" w:color="000000"/>
            </w:tcBorders>
            <w:shd w:val="clear" w:color="auto" w:fill="CCEEFF"/>
            <w:vAlign w:val="bottom"/>
          </w:tcPr>
          <w:p w14:paraId="5556F45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45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45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9,834</w:t>
            </w:r>
          </w:p>
        </w:tc>
        <w:tc>
          <w:tcPr>
            <w:tcW w:w="0" w:type="auto"/>
            <w:tcBorders>
              <w:top w:val="single" w:sz="8" w:space="0" w:color="000000"/>
              <w:bottom w:val="double" w:sz="6" w:space="0" w:color="000000"/>
            </w:tcBorders>
            <w:shd w:val="clear" w:color="auto" w:fill="CCEEFF"/>
            <w:vAlign w:val="bottom"/>
          </w:tcPr>
          <w:p w14:paraId="5556F45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45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46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1,908</w:t>
            </w:r>
          </w:p>
        </w:tc>
        <w:tc>
          <w:tcPr>
            <w:tcW w:w="0" w:type="auto"/>
            <w:tcBorders>
              <w:top w:val="single" w:sz="8" w:space="0" w:color="000000"/>
              <w:bottom w:val="double" w:sz="6" w:space="0" w:color="000000"/>
            </w:tcBorders>
            <w:shd w:val="clear" w:color="auto" w:fill="CCEEFF"/>
            <w:vAlign w:val="bottom"/>
          </w:tcPr>
          <w:p w14:paraId="5556F4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46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46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tcBorders>
              <w:top w:val="single" w:sz="8" w:space="0" w:color="000000"/>
              <w:bottom w:val="double" w:sz="6" w:space="0" w:color="000000"/>
            </w:tcBorders>
            <w:shd w:val="clear" w:color="auto" w:fill="CCEEFF"/>
            <w:vAlign w:val="bottom"/>
          </w:tcPr>
          <w:p w14:paraId="5556F46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46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46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1,922</w:t>
            </w:r>
          </w:p>
        </w:tc>
        <w:tc>
          <w:tcPr>
            <w:tcW w:w="0" w:type="auto"/>
            <w:tcBorders>
              <w:top w:val="single" w:sz="8" w:space="0" w:color="000000"/>
              <w:bottom w:val="double" w:sz="6" w:space="0" w:color="000000"/>
            </w:tcBorders>
            <w:shd w:val="clear" w:color="auto" w:fill="CCEEFF"/>
            <w:vAlign w:val="bottom"/>
          </w:tcPr>
          <w:p w14:paraId="5556F46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46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46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vAlign w:val="bottom"/>
          </w:tcPr>
          <w:p w14:paraId="5556F46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46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47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vAlign w:val="bottom"/>
          </w:tcPr>
          <w:p w14:paraId="5556F47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47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47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vAlign w:val="bottom"/>
          </w:tcPr>
          <w:p w14:paraId="5556F47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47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47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11,756</w:t>
            </w:r>
          </w:p>
        </w:tc>
        <w:tc>
          <w:tcPr>
            <w:tcW w:w="0" w:type="auto"/>
            <w:tcBorders>
              <w:top w:val="single" w:sz="8" w:space="0" w:color="000000"/>
              <w:bottom w:val="double" w:sz="6" w:space="0" w:color="000000"/>
            </w:tcBorders>
            <w:shd w:val="clear" w:color="auto" w:fill="CCEEFF"/>
            <w:vAlign w:val="bottom"/>
          </w:tcPr>
          <w:p w14:paraId="5556F479" w14:textId="77777777" w:rsidR="00F925DD" w:rsidRDefault="00F925DD">
            <w:pPr>
              <w:textAlignment w:val="bottom"/>
              <w:rPr>
                <w:rFonts w:ascii="Times New Roman" w:hAnsi="Times New Roman"/>
                <w:sz w:val="20"/>
                <w:szCs w:val="20"/>
              </w:rPr>
            </w:pPr>
          </w:p>
        </w:tc>
      </w:tr>
      <w:tr w:rsidR="00F925DD" w14:paraId="5556F48F" w14:textId="77777777">
        <w:tc>
          <w:tcPr>
            <w:tcW w:w="0" w:type="auto"/>
            <w:shd w:val="clear" w:color="auto" w:fill="auto"/>
            <w:tcMar>
              <w:top w:w="40" w:type="dxa"/>
              <w:left w:w="40" w:type="dxa"/>
              <w:bottom w:w="40" w:type="dxa"/>
              <w:right w:w="40" w:type="dxa"/>
            </w:tcMar>
            <w:vAlign w:val="bottom"/>
          </w:tcPr>
          <w:p w14:paraId="5556F4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4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4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4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4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4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4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4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4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4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4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4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4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4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4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4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4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4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4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4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492" w14:textId="77777777">
        <w:tc>
          <w:tcPr>
            <w:tcW w:w="0" w:type="auto"/>
            <w:shd w:val="clear" w:color="auto" w:fill="auto"/>
            <w:tcMar>
              <w:top w:w="40" w:type="dxa"/>
              <w:left w:w="40" w:type="dxa"/>
              <w:bottom w:w="40" w:type="dxa"/>
              <w:right w:w="40" w:type="dxa"/>
            </w:tcMar>
            <w:vAlign w:val="bottom"/>
          </w:tcPr>
          <w:p w14:paraId="5556F4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9"/>
            <w:tcBorders>
              <w:bottom w:val="single" w:sz="8" w:space="0" w:color="000000"/>
            </w:tcBorders>
            <w:shd w:val="clear" w:color="auto" w:fill="auto"/>
            <w:tcMar>
              <w:top w:w="40" w:type="dxa"/>
              <w:left w:w="40" w:type="dxa"/>
              <w:bottom w:w="40" w:type="dxa"/>
            </w:tcMar>
            <w:vAlign w:val="bottom"/>
          </w:tcPr>
          <w:p w14:paraId="5556F49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Year Ended December 31, 2018</w:t>
            </w:r>
          </w:p>
        </w:tc>
      </w:tr>
      <w:tr w:rsidR="00F925DD" w14:paraId="5556F49B" w14:textId="77777777">
        <w:tc>
          <w:tcPr>
            <w:tcW w:w="0" w:type="auto"/>
            <w:shd w:val="clear" w:color="auto" w:fill="auto"/>
            <w:tcMar>
              <w:top w:w="40" w:type="dxa"/>
              <w:left w:w="40" w:type="dxa"/>
              <w:bottom w:w="40" w:type="dxa"/>
              <w:right w:w="40" w:type="dxa"/>
            </w:tcMar>
            <w:vAlign w:val="bottom"/>
          </w:tcPr>
          <w:p w14:paraId="5556F4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F49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Investment Servicing</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4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F49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Investment Management</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4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bottom w:val="single" w:sz="8" w:space="0" w:color="000000"/>
            </w:tcBorders>
            <w:shd w:val="clear" w:color="auto" w:fill="auto"/>
            <w:tcMar>
              <w:top w:w="40" w:type="dxa"/>
              <w:left w:w="40" w:type="dxa"/>
              <w:bottom w:w="40" w:type="dxa"/>
            </w:tcMar>
            <w:vAlign w:val="bottom"/>
          </w:tcPr>
          <w:p w14:paraId="5556F49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Other</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4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49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r>
      <w:tr w:rsidR="00F925DD" w14:paraId="5556F4B0" w14:textId="77777777">
        <w:tc>
          <w:tcPr>
            <w:tcW w:w="0" w:type="auto"/>
            <w:shd w:val="clear" w:color="auto" w:fill="auto"/>
            <w:tcMar>
              <w:top w:w="40" w:type="dxa"/>
              <w:left w:w="40" w:type="dxa"/>
              <w:bottom w:w="40" w:type="dxa"/>
              <w:right w:w="40" w:type="dxa"/>
            </w:tcMar>
            <w:vAlign w:val="bottom"/>
          </w:tcPr>
          <w:p w14:paraId="5556F49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(Dollars 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49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shd w:val="clear" w:color="auto" w:fill="auto"/>
            <w:tcMar>
              <w:top w:w="40" w:type="dxa"/>
              <w:left w:w="40" w:type="dxa"/>
              <w:bottom w:w="40" w:type="dxa"/>
              <w:right w:w="40" w:type="dxa"/>
            </w:tcMar>
            <w:vAlign w:val="bottom"/>
          </w:tcPr>
          <w:p w14:paraId="5556F4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49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All other revenue</w:t>
            </w:r>
          </w:p>
        </w:tc>
        <w:tc>
          <w:tcPr>
            <w:tcW w:w="0" w:type="auto"/>
            <w:shd w:val="clear" w:color="auto" w:fill="auto"/>
            <w:tcMar>
              <w:top w:w="40" w:type="dxa"/>
              <w:left w:w="40" w:type="dxa"/>
              <w:bottom w:w="40" w:type="dxa"/>
              <w:right w:w="40" w:type="dxa"/>
            </w:tcMar>
            <w:vAlign w:val="bottom"/>
          </w:tcPr>
          <w:p w14:paraId="5556F4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4A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5556F4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4A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shd w:val="clear" w:color="auto" w:fill="auto"/>
            <w:tcMar>
              <w:top w:w="40" w:type="dxa"/>
              <w:left w:w="40" w:type="dxa"/>
              <w:bottom w:w="40" w:type="dxa"/>
              <w:right w:w="40" w:type="dxa"/>
            </w:tcMar>
            <w:vAlign w:val="bottom"/>
          </w:tcPr>
          <w:p w14:paraId="5556F4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4A5"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All other revenue</w:t>
            </w:r>
          </w:p>
        </w:tc>
        <w:tc>
          <w:tcPr>
            <w:tcW w:w="0" w:type="auto"/>
            <w:shd w:val="clear" w:color="auto" w:fill="auto"/>
            <w:tcMar>
              <w:top w:w="40" w:type="dxa"/>
              <w:left w:w="40" w:type="dxa"/>
              <w:bottom w:w="40" w:type="dxa"/>
              <w:right w:w="40" w:type="dxa"/>
            </w:tcMar>
            <w:vAlign w:val="bottom"/>
          </w:tcPr>
          <w:p w14:paraId="5556F4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4A7"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5556F4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4A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Topic 606 revenue</w:t>
            </w:r>
          </w:p>
        </w:tc>
        <w:tc>
          <w:tcPr>
            <w:tcW w:w="0" w:type="auto"/>
            <w:shd w:val="clear" w:color="auto" w:fill="auto"/>
            <w:tcMar>
              <w:top w:w="40" w:type="dxa"/>
              <w:left w:w="40" w:type="dxa"/>
              <w:bottom w:w="40" w:type="dxa"/>
              <w:right w:w="40" w:type="dxa"/>
            </w:tcMar>
            <w:vAlign w:val="bottom"/>
          </w:tcPr>
          <w:p w14:paraId="5556F4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4A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All other revenue</w:t>
            </w:r>
          </w:p>
        </w:tc>
        <w:tc>
          <w:tcPr>
            <w:tcW w:w="0" w:type="auto"/>
            <w:shd w:val="clear" w:color="auto" w:fill="auto"/>
            <w:tcMar>
              <w:top w:w="40" w:type="dxa"/>
              <w:left w:w="40" w:type="dxa"/>
              <w:bottom w:w="40" w:type="dxa"/>
              <w:right w:w="40" w:type="dxa"/>
            </w:tcMar>
            <w:vAlign w:val="bottom"/>
          </w:tcPr>
          <w:p w14:paraId="5556F4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4A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Total</w:t>
            </w:r>
          </w:p>
        </w:tc>
        <w:tc>
          <w:tcPr>
            <w:tcW w:w="0" w:type="auto"/>
            <w:shd w:val="clear" w:color="auto" w:fill="auto"/>
            <w:tcMar>
              <w:top w:w="40" w:type="dxa"/>
              <w:left w:w="40" w:type="dxa"/>
              <w:bottom w:w="40" w:type="dxa"/>
              <w:right w:w="40" w:type="dxa"/>
            </w:tcMar>
            <w:vAlign w:val="bottom"/>
          </w:tcPr>
          <w:p w14:paraId="5556F4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4A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w:t>
            </w:r>
          </w:p>
        </w:tc>
      </w:tr>
      <w:tr w:rsidR="00E705D7" w14:paraId="5556F4D9" w14:textId="77777777">
        <w:tc>
          <w:tcPr>
            <w:tcW w:w="0" w:type="auto"/>
            <w:shd w:val="clear" w:color="auto" w:fill="CCEEFF"/>
            <w:tcMar>
              <w:top w:w="40" w:type="dxa"/>
              <w:left w:w="240" w:type="dxa"/>
              <w:bottom w:w="40" w:type="dxa"/>
              <w:right w:w="40" w:type="dxa"/>
            </w:tcMar>
            <w:vAlign w:val="bottom"/>
          </w:tcPr>
          <w:p w14:paraId="5556F4B1" w14:textId="77777777" w:rsidR="00F925DD" w:rsidRDefault="00E705D7">
            <w:pPr>
              <w:textAlignment w:val="bottom"/>
              <w:rPr>
                <w:rFonts w:ascii="Times New Roman" w:hAnsi="Times New Roman"/>
                <w:sz w:val="14"/>
                <w:szCs w:val="14"/>
              </w:rPr>
            </w:pPr>
            <w:r>
              <w:rPr>
                <w:rFonts w:ascii="Arial" w:eastAsia="宋体" w:hAnsi="Arial" w:cs="Arial"/>
                <w:sz w:val="14"/>
                <w:szCs w:val="14"/>
              </w:rPr>
              <w:t>Servicing fees</w:t>
            </w:r>
          </w:p>
        </w:tc>
        <w:tc>
          <w:tcPr>
            <w:tcW w:w="0" w:type="auto"/>
            <w:tcBorders>
              <w:top w:val="single" w:sz="8" w:space="0" w:color="000000"/>
            </w:tcBorders>
            <w:shd w:val="clear" w:color="auto" w:fill="CCEEFF"/>
            <w:tcMar>
              <w:top w:w="40" w:type="dxa"/>
              <w:left w:w="40" w:type="dxa"/>
              <w:bottom w:w="40" w:type="dxa"/>
            </w:tcMar>
            <w:vAlign w:val="bottom"/>
          </w:tcPr>
          <w:p w14:paraId="5556F4B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4B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5,429</w:t>
            </w:r>
          </w:p>
        </w:tc>
        <w:tc>
          <w:tcPr>
            <w:tcW w:w="0" w:type="auto"/>
            <w:tcBorders>
              <w:top w:val="single" w:sz="8" w:space="0" w:color="000000"/>
            </w:tcBorders>
            <w:shd w:val="clear" w:color="auto" w:fill="CCEEFF"/>
            <w:vAlign w:val="bottom"/>
          </w:tcPr>
          <w:p w14:paraId="5556F4B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4B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4B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5556F4B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4B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4B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5,429</w:t>
            </w:r>
          </w:p>
        </w:tc>
        <w:tc>
          <w:tcPr>
            <w:tcW w:w="0" w:type="auto"/>
            <w:tcBorders>
              <w:top w:val="single" w:sz="8" w:space="0" w:color="000000"/>
            </w:tcBorders>
            <w:shd w:val="clear" w:color="auto" w:fill="CCEEFF"/>
            <w:vAlign w:val="bottom"/>
          </w:tcPr>
          <w:p w14:paraId="5556F4B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4B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4B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5556F4C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4C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4C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5556F4C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4C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4C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5556F4C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4C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4C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top w:val="single" w:sz="8" w:space="0" w:color="000000"/>
            </w:tcBorders>
            <w:shd w:val="clear" w:color="auto" w:fill="CCEEFF"/>
            <w:tcMar>
              <w:top w:w="40" w:type="dxa"/>
              <w:bottom w:w="40" w:type="dxa"/>
              <w:right w:w="40" w:type="dxa"/>
            </w:tcMar>
            <w:vAlign w:val="bottom"/>
          </w:tcPr>
          <w:p w14:paraId="5556F4C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4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4C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4C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vAlign w:val="bottom"/>
          </w:tcPr>
          <w:p w14:paraId="5556F4D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4D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4D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top w:val="single" w:sz="8" w:space="0" w:color="000000"/>
            </w:tcBorders>
            <w:shd w:val="clear" w:color="auto" w:fill="CCEEFF"/>
            <w:tcMar>
              <w:top w:w="40" w:type="dxa"/>
              <w:bottom w:w="40" w:type="dxa"/>
              <w:right w:w="40" w:type="dxa"/>
            </w:tcMar>
            <w:vAlign w:val="bottom"/>
          </w:tcPr>
          <w:p w14:paraId="5556F4D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4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4D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4D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5,421</w:t>
            </w:r>
          </w:p>
        </w:tc>
        <w:tc>
          <w:tcPr>
            <w:tcW w:w="0" w:type="auto"/>
            <w:tcBorders>
              <w:top w:val="single" w:sz="8" w:space="0" w:color="000000"/>
            </w:tcBorders>
            <w:shd w:val="clear" w:color="auto" w:fill="CCEEFF"/>
            <w:vAlign w:val="bottom"/>
          </w:tcPr>
          <w:p w14:paraId="5556F4D8" w14:textId="77777777" w:rsidR="00F925DD" w:rsidRDefault="00F925DD">
            <w:pPr>
              <w:textAlignment w:val="bottom"/>
              <w:rPr>
                <w:rFonts w:ascii="Times New Roman" w:hAnsi="Times New Roman"/>
                <w:sz w:val="20"/>
                <w:szCs w:val="20"/>
              </w:rPr>
            </w:pPr>
          </w:p>
        </w:tc>
      </w:tr>
      <w:tr w:rsidR="00F925DD" w14:paraId="5556F4F8" w14:textId="77777777">
        <w:tc>
          <w:tcPr>
            <w:tcW w:w="0" w:type="auto"/>
            <w:shd w:val="clear" w:color="auto" w:fill="auto"/>
            <w:tcMar>
              <w:top w:w="40" w:type="dxa"/>
              <w:left w:w="240" w:type="dxa"/>
              <w:bottom w:w="40" w:type="dxa"/>
              <w:right w:w="40" w:type="dxa"/>
            </w:tcMar>
            <w:vAlign w:val="bottom"/>
          </w:tcPr>
          <w:p w14:paraId="5556F4DA" w14:textId="77777777" w:rsidR="00F925DD" w:rsidRDefault="00E705D7">
            <w:pPr>
              <w:textAlignment w:val="bottom"/>
              <w:rPr>
                <w:rFonts w:ascii="Times New Roman" w:hAnsi="Times New Roman"/>
                <w:sz w:val="14"/>
                <w:szCs w:val="14"/>
              </w:rPr>
            </w:pPr>
            <w:r>
              <w:rPr>
                <w:rFonts w:ascii="Arial" w:eastAsia="宋体" w:hAnsi="Arial" w:cs="Arial"/>
                <w:sz w:val="14"/>
                <w:szCs w:val="14"/>
              </w:rPr>
              <w:t>Management fees</w:t>
            </w:r>
          </w:p>
        </w:tc>
        <w:tc>
          <w:tcPr>
            <w:tcW w:w="0" w:type="auto"/>
            <w:gridSpan w:val="2"/>
            <w:shd w:val="clear" w:color="auto" w:fill="auto"/>
            <w:tcMar>
              <w:top w:w="40" w:type="dxa"/>
              <w:left w:w="40" w:type="dxa"/>
              <w:bottom w:w="40" w:type="dxa"/>
            </w:tcMar>
            <w:vAlign w:val="bottom"/>
          </w:tcPr>
          <w:p w14:paraId="5556F4D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4D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D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4D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E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4E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E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1,851</w:t>
            </w:r>
          </w:p>
        </w:tc>
        <w:tc>
          <w:tcPr>
            <w:tcW w:w="0" w:type="auto"/>
            <w:shd w:val="clear" w:color="auto" w:fill="auto"/>
            <w:vAlign w:val="bottom"/>
          </w:tcPr>
          <w:p w14:paraId="5556F4E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E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4E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E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1,851</w:t>
            </w:r>
          </w:p>
        </w:tc>
        <w:tc>
          <w:tcPr>
            <w:tcW w:w="0" w:type="auto"/>
            <w:shd w:val="clear" w:color="auto" w:fill="auto"/>
            <w:vAlign w:val="bottom"/>
          </w:tcPr>
          <w:p w14:paraId="5556F4E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E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4E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F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4F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F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4F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4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4F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1,851</w:t>
            </w:r>
          </w:p>
        </w:tc>
        <w:tc>
          <w:tcPr>
            <w:tcW w:w="0" w:type="auto"/>
            <w:shd w:val="clear" w:color="auto" w:fill="auto"/>
            <w:vAlign w:val="bottom"/>
          </w:tcPr>
          <w:p w14:paraId="5556F4F7" w14:textId="77777777" w:rsidR="00F925DD" w:rsidRDefault="00F925DD">
            <w:pPr>
              <w:textAlignment w:val="bottom"/>
              <w:rPr>
                <w:rFonts w:ascii="Times New Roman" w:hAnsi="Times New Roman"/>
                <w:sz w:val="20"/>
                <w:szCs w:val="20"/>
              </w:rPr>
            </w:pPr>
          </w:p>
        </w:tc>
      </w:tr>
      <w:tr w:rsidR="00F925DD" w14:paraId="5556F517" w14:textId="77777777">
        <w:tc>
          <w:tcPr>
            <w:tcW w:w="0" w:type="auto"/>
            <w:shd w:val="clear" w:color="auto" w:fill="CCEEFF"/>
            <w:tcMar>
              <w:top w:w="40" w:type="dxa"/>
              <w:left w:w="240" w:type="dxa"/>
              <w:bottom w:w="40" w:type="dxa"/>
              <w:right w:w="40" w:type="dxa"/>
            </w:tcMar>
            <w:vAlign w:val="bottom"/>
          </w:tcPr>
          <w:p w14:paraId="5556F4F9"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Foreign exchange trading services </w:t>
            </w:r>
          </w:p>
        </w:tc>
        <w:tc>
          <w:tcPr>
            <w:tcW w:w="0" w:type="auto"/>
            <w:gridSpan w:val="2"/>
            <w:shd w:val="clear" w:color="auto" w:fill="CCEEFF"/>
            <w:tcMar>
              <w:top w:w="40" w:type="dxa"/>
              <w:left w:w="40" w:type="dxa"/>
              <w:bottom w:w="40" w:type="dxa"/>
            </w:tcMar>
            <w:vAlign w:val="bottom"/>
          </w:tcPr>
          <w:p w14:paraId="5556F4F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361</w:t>
            </w:r>
          </w:p>
        </w:tc>
        <w:tc>
          <w:tcPr>
            <w:tcW w:w="0" w:type="auto"/>
            <w:shd w:val="clear" w:color="auto" w:fill="CCEEFF"/>
            <w:vAlign w:val="bottom"/>
          </w:tcPr>
          <w:p w14:paraId="5556F4F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4F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710</w:t>
            </w:r>
          </w:p>
        </w:tc>
        <w:tc>
          <w:tcPr>
            <w:tcW w:w="0" w:type="auto"/>
            <w:shd w:val="clear" w:color="auto" w:fill="CCEEFF"/>
            <w:vAlign w:val="bottom"/>
          </w:tcPr>
          <w:p w14:paraId="5556F4F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4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0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1,071</w:t>
            </w:r>
          </w:p>
        </w:tc>
        <w:tc>
          <w:tcPr>
            <w:tcW w:w="0" w:type="auto"/>
            <w:shd w:val="clear" w:color="auto" w:fill="CCEEFF"/>
            <w:vAlign w:val="bottom"/>
          </w:tcPr>
          <w:p w14:paraId="5556F50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0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130</w:t>
            </w:r>
          </w:p>
        </w:tc>
        <w:tc>
          <w:tcPr>
            <w:tcW w:w="0" w:type="auto"/>
            <w:shd w:val="clear" w:color="auto" w:fill="CCEEFF"/>
            <w:vAlign w:val="bottom"/>
          </w:tcPr>
          <w:p w14:paraId="5556F50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0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0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0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130</w:t>
            </w:r>
          </w:p>
        </w:tc>
        <w:tc>
          <w:tcPr>
            <w:tcW w:w="0" w:type="auto"/>
            <w:shd w:val="clear" w:color="auto" w:fill="CCEEFF"/>
            <w:vAlign w:val="bottom"/>
          </w:tcPr>
          <w:p w14:paraId="5556F50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0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0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0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1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1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1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1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1,201</w:t>
            </w:r>
          </w:p>
        </w:tc>
        <w:tc>
          <w:tcPr>
            <w:tcW w:w="0" w:type="auto"/>
            <w:shd w:val="clear" w:color="auto" w:fill="CCEEFF"/>
            <w:vAlign w:val="bottom"/>
          </w:tcPr>
          <w:p w14:paraId="5556F516" w14:textId="77777777" w:rsidR="00F925DD" w:rsidRDefault="00F925DD">
            <w:pPr>
              <w:textAlignment w:val="bottom"/>
              <w:rPr>
                <w:rFonts w:ascii="Times New Roman" w:hAnsi="Times New Roman"/>
                <w:sz w:val="20"/>
                <w:szCs w:val="20"/>
              </w:rPr>
            </w:pPr>
          </w:p>
        </w:tc>
      </w:tr>
      <w:tr w:rsidR="00F925DD" w14:paraId="5556F536" w14:textId="77777777">
        <w:tc>
          <w:tcPr>
            <w:tcW w:w="0" w:type="auto"/>
            <w:shd w:val="clear" w:color="auto" w:fill="auto"/>
            <w:tcMar>
              <w:top w:w="40" w:type="dxa"/>
              <w:left w:w="240" w:type="dxa"/>
              <w:bottom w:w="40" w:type="dxa"/>
              <w:right w:w="40" w:type="dxa"/>
            </w:tcMar>
            <w:vAlign w:val="bottom"/>
          </w:tcPr>
          <w:p w14:paraId="5556F518"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finance</w:t>
            </w:r>
          </w:p>
        </w:tc>
        <w:tc>
          <w:tcPr>
            <w:tcW w:w="0" w:type="auto"/>
            <w:gridSpan w:val="2"/>
            <w:shd w:val="clear" w:color="auto" w:fill="auto"/>
            <w:tcMar>
              <w:top w:w="40" w:type="dxa"/>
              <w:left w:w="40" w:type="dxa"/>
              <w:bottom w:w="40" w:type="dxa"/>
            </w:tcMar>
            <w:vAlign w:val="bottom"/>
          </w:tcPr>
          <w:p w14:paraId="5556F51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308</w:t>
            </w:r>
          </w:p>
        </w:tc>
        <w:tc>
          <w:tcPr>
            <w:tcW w:w="0" w:type="auto"/>
            <w:shd w:val="clear" w:color="auto" w:fill="auto"/>
            <w:vAlign w:val="bottom"/>
          </w:tcPr>
          <w:p w14:paraId="5556F51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1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235</w:t>
            </w:r>
          </w:p>
        </w:tc>
        <w:tc>
          <w:tcPr>
            <w:tcW w:w="0" w:type="auto"/>
            <w:shd w:val="clear" w:color="auto" w:fill="auto"/>
            <w:vAlign w:val="bottom"/>
          </w:tcPr>
          <w:p w14:paraId="5556F51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1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543</w:t>
            </w:r>
          </w:p>
        </w:tc>
        <w:tc>
          <w:tcPr>
            <w:tcW w:w="0" w:type="auto"/>
            <w:shd w:val="clear" w:color="auto" w:fill="auto"/>
            <w:vAlign w:val="bottom"/>
          </w:tcPr>
          <w:p w14:paraId="5556F52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2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2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2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2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2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2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2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2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2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2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3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3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3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543</w:t>
            </w:r>
          </w:p>
        </w:tc>
        <w:tc>
          <w:tcPr>
            <w:tcW w:w="0" w:type="auto"/>
            <w:shd w:val="clear" w:color="auto" w:fill="auto"/>
            <w:vAlign w:val="bottom"/>
          </w:tcPr>
          <w:p w14:paraId="5556F535" w14:textId="77777777" w:rsidR="00F925DD" w:rsidRDefault="00F925DD">
            <w:pPr>
              <w:textAlignment w:val="bottom"/>
              <w:rPr>
                <w:rFonts w:ascii="Times New Roman" w:hAnsi="Times New Roman"/>
                <w:sz w:val="20"/>
                <w:szCs w:val="20"/>
              </w:rPr>
            </w:pPr>
          </w:p>
        </w:tc>
      </w:tr>
      <w:tr w:rsidR="00F925DD" w14:paraId="5556F555" w14:textId="77777777">
        <w:tc>
          <w:tcPr>
            <w:tcW w:w="0" w:type="auto"/>
            <w:shd w:val="clear" w:color="auto" w:fill="CCEEFF"/>
            <w:tcMar>
              <w:top w:w="40" w:type="dxa"/>
              <w:left w:w="240" w:type="dxa"/>
              <w:bottom w:w="40" w:type="dxa"/>
              <w:right w:w="40" w:type="dxa"/>
            </w:tcMar>
            <w:vAlign w:val="bottom"/>
          </w:tcPr>
          <w:p w14:paraId="5556F537" w14:textId="77777777" w:rsidR="00F925DD" w:rsidRDefault="00E705D7">
            <w:pPr>
              <w:textAlignment w:val="bottom"/>
              <w:rPr>
                <w:rFonts w:ascii="Times New Roman" w:hAnsi="Times New Roman"/>
                <w:sz w:val="14"/>
                <w:szCs w:val="14"/>
              </w:rPr>
            </w:pPr>
            <w:r>
              <w:rPr>
                <w:rFonts w:ascii="Arial" w:eastAsia="宋体" w:hAnsi="Arial" w:cs="Arial"/>
                <w:sz w:val="14"/>
                <w:szCs w:val="14"/>
                <w:shd w:val="clear" w:color="auto" w:fill="CCEEFF"/>
              </w:rPr>
              <w:t xml:space="preserve">Software and processing fees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53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209</w:t>
            </w:r>
          </w:p>
        </w:tc>
        <w:tc>
          <w:tcPr>
            <w:tcW w:w="0" w:type="auto"/>
            <w:tcBorders>
              <w:bottom w:val="single" w:sz="8" w:space="0" w:color="000000"/>
            </w:tcBorders>
            <w:shd w:val="clear" w:color="auto" w:fill="CCEEFF"/>
            <w:vAlign w:val="bottom"/>
          </w:tcPr>
          <w:p w14:paraId="5556F53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53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234</w:t>
            </w:r>
          </w:p>
        </w:tc>
        <w:tc>
          <w:tcPr>
            <w:tcW w:w="0" w:type="auto"/>
            <w:tcBorders>
              <w:bottom w:val="single" w:sz="8" w:space="0" w:color="000000"/>
            </w:tcBorders>
            <w:shd w:val="clear" w:color="auto" w:fill="CCEEFF"/>
            <w:vAlign w:val="bottom"/>
          </w:tcPr>
          <w:p w14:paraId="5556F53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53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443</w:t>
            </w:r>
          </w:p>
        </w:tc>
        <w:tc>
          <w:tcPr>
            <w:tcW w:w="0" w:type="auto"/>
            <w:tcBorders>
              <w:bottom w:val="single" w:sz="8" w:space="0" w:color="000000"/>
            </w:tcBorders>
            <w:shd w:val="clear" w:color="auto" w:fill="CCEEFF"/>
            <w:vAlign w:val="bottom"/>
          </w:tcPr>
          <w:p w14:paraId="5556F53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54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5556F5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54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tcBorders>
              <w:bottom w:val="single" w:sz="8" w:space="0" w:color="000000"/>
            </w:tcBorders>
            <w:shd w:val="clear" w:color="auto" w:fill="CCEEFF"/>
            <w:tcMar>
              <w:top w:w="40" w:type="dxa"/>
              <w:bottom w:w="40" w:type="dxa"/>
              <w:right w:w="40" w:type="dxa"/>
            </w:tcMar>
            <w:vAlign w:val="bottom"/>
          </w:tcPr>
          <w:p w14:paraId="5556F54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5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54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tcBorders>
              <w:bottom w:val="single" w:sz="8" w:space="0" w:color="000000"/>
            </w:tcBorders>
            <w:shd w:val="clear" w:color="auto" w:fill="CCEEFF"/>
            <w:tcMar>
              <w:top w:w="40" w:type="dxa"/>
              <w:bottom w:w="40" w:type="dxa"/>
              <w:right w:w="40" w:type="dxa"/>
            </w:tcMar>
            <w:vAlign w:val="bottom"/>
          </w:tcPr>
          <w:p w14:paraId="5556F54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5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4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4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4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4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55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bottom w:val="single" w:sz="8" w:space="0" w:color="000000"/>
            </w:tcBorders>
            <w:shd w:val="clear" w:color="auto" w:fill="CCEEFF"/>
            <w:vAlign w:val="bottom"/>
          </w:tcPr>
          <w:p w14:paraId="5556F55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55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438</w:t>
            </w:r>
          </w:p>
        </w:tc>
        <w:tc>
          <w:tcPr>
            <w:tcW w:w="0" w:type="auto"/>
            <w:tcBorders>
              <w:bottom w:val="single" w:sz="8" w:space="0" w:color="000000"/>
            </w:tcBorders>
            <w:shd w:val="clear" w:color="auto" w:fill="CCEEFF"/>
            <w:vAlign w:val="bottom"/>
          </w:tcPr>
          <w:p w14:paraId="5556F554" w14:textId="77777777" w:rsidR="00F925DD" w:rsidRDefault="00F925DD">
            <w:pPr>
              <w:textAlignment w:val="bottom"/>
              <w:rPr>
                <w:rFonts w:ascii="Times New Roman" w:hAnsi="Times New Roman"/>
                <w:sz w:val="20"/>
                <w:szCs w:val="20"/>
              </w:rPr>
            </w:pPr>
          </w:p>
        </w:tc>
      </w:tr>
      <w:tr w:rsidR="00F925DD" w14:paraId="5556F574" w14:textId="77777777">
        <w:tc>
          <w:tcPr>
            <w:tcW w:w="0" w:type="auto"/>
            <w:shd w:val="clear" w:color="auto" w:fill="auto"/>
            <w:tcMar>
              <w:top w:w="40" w:type="dxa"/>
              <w:left w:w="40" w:type="dxa"/>
              <w:bottom w:w="40" w:type="dxa"/>
              <w:right w:w="40" w:type="dxa"/>
            </w:tcMar>
            <w:vAlign w:val="bottom"/>
          </w:tcPr>
          <w:p w14:paraId="5556F55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Total fee revenue</w:t>
            </w:r>
          </w:p>
        </w:tc>
        <w:tc>
          <w:tcPr>
            <w:tcW w:w="0" w:type="auto"/>
            <w:gridSpan w:val="2"/>
            <w:shd w:val="clear" w:color="auto" w:fill="auto"/>
            <w:tcMar>
              <w:top w:w="40" w:type="dxa"/>
              <w:left w:w="40" w:type="dxa"/>
              <w:bottom w:w="40" w:type="dxa"/>
            </w:tcMar>
            <w:vAlign w:val="bottom"/>
          </w:tcPr>
          <w:p w14:paraId="5556F55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6,307</w:t>
            </w:r>
          </w:p>
        </w:tc>
        <w:tc>
          <w:tcPr>
            <w:tcW w:w="0" w:type="auto"/>
            <w:shd w:val="clear" w:color="auto" w:fill="auto"/>
            <w:vAlign w:val="bottom"/>
          </w:tcPr>
          <w:p w14:paraId="5556F55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5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1,179</w:t>
            </w:r>
          </w:p>
        </w:tc>
        <w:tc>
          <w:tcPr>
            <w:tcW w:w="0" w:type="auto"/>
            <w:shd w:val="clear" w:color="auto" w:fill="auto"/>
            <w:vAlign w:val="bottom"/>
          </w:tcPr>
          <w:p w14:paraId="5556F55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5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7,486</w:t>
            </w:r>
          </w:p>
        </w:tc>
        <w:tc>
          <w:tcPr>
            <w:tcW w:w="0" w:type="auto"/>
            <w:shd w:val="clear" w:color="auto" w:fill="auto"/>
            <w:vAlign w:val="bottom"/>
          </w:tcPr>
          <w:p w14:paraId="5556F55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6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1,981</w:t>
            </w:r>
          </w:p>
        </w:tc>
        <w:tc>
          <w:tcPr>
            <w:tcW w:w="0" w:type="auto"/>
            <w:shd w:val="clear" w:color="auto" w:fill="auto"/>
            <w:vAlign w:val="bottom"/>
          </w:tcPr>
          <w:p w14:paraId="5556F56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6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auto"/>
            <w:tcMar>
              <w:top w:w="40" w:type="dxa"/>
              <w:bottom w:w="40" w:type="dxa"/>
              <w:right w:w="40" w:type="dxa"/>
            </w:tcMar>
            <w:vAlign w:val="bottom"/>
          </w:tcPr>
          <w:p w14:paraId="5556F56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5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1,976</w:t>
            </w:r>
          </w:p>
        </w:tc>
        <w:tc>
          <w:tcPr>
            <w:tcW w:w="0" w:type="auto"/>
            <w:shd w:val="clear" w:color="auto" w:fill="auto"/>
            <w:vAlign w:val="bottom"/>
          </w:tcPr>
          <w:p w14:paraId="5556F56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56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top w:val="single" w:sz="8" w:space="0" w:color="000000"/>
            </w:tcBorders>
            <w:shd w:val="clear" w:color="auto" w:fill="auto"/>
            <w:tcMar>
              <w:top w:w="40" w:type="dxa"/>
              <w:bottom w:w="40" w:type="dxa"/>
              <w:right w:w="40" w:type="dxa"/>
            </w:tcMar>
            <w:vAlign w:val="bottom"/>
          </w:tcPr>
          <w:p w14:paraId="5556F56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5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56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auto"/>
            <w:vAlign w:val="bottom"/>
          </w:tcPr>
          <w:p w14:paraId="5556F56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6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shd w:val="clear" w:color="auto" w:fill="auto"/>
            <w:tcMar>
              <w:top w:w="40" w:type="dxa"/>
              <w:bottom w:w="40" w:type="dxa"/>
              <w:right w:w="40" w:type="dxa"/>
            </w:tcMar>
            <w:vAlign w:val="bottom"/>
          </w:tcPr>
          <w:p w14:paraId="5556F57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5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7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9,454</w:t>
            </w:r>
          </w:p>
        </w:tc>
        <w:tc>
          <w:tcPr>
            <w:tcW w:w="0" w:type="auto"/>
            <w:shd w:val="clear" w:color="auto" w:fill="auto"/>
            <w:vAlign w:val="bottom"/>
          </w:tcPr>
          <w:p w14:paraId="5556F573" w14:textId="77777777" w:rsidR="00F925DD" w:rsidRDefault="00F925DD">
            <w:pPr>
              <w:textAlignment w:val="bottom"/>
              <w:rPr>
                <w:rFonts w:ascii="Times New Roman" w:hAnsi="Times New Roman"/>
                <w:sz w:val="20"/>
                <w:szCs w:val="20"/>
              </w:rPr>
            </w:pPr>
          </w:p>
        </w:tc>
      </w:tr>
      <w:tr w:rsidR="00F925DD" w14:paraId="5556F593" w14:textId="77777777">
        <w:tc>
          <w:tcPr>
            <w:tcW w:w="0" w:type="auto"/>
            <w:shd w:val="clear" w:color="auto" w:fill="CCEEFF"/>
            <w:tcMar>
              <w:top w:w="40" w:type="dxa"/>
              <w:left w:w="240" w:type="dxa"/>
              <w:bottom w:w="40" w:type="dxa"/>
              <w:right w:w="40" w:type="dxa"/>
            </w:tcMar>
            <w:vAlign w:val="bottom"/>
          </w:tcPr>
          <w:p w14:paraId="5556F575" w14:textId="77777777" w:rsidR="00F925DD" w:rsidRDefault="00E705D7">
            <w:pPr>
              <w:textAlignment w:val="bottom"/>
              <w:rPr>
                <w:rFonts w:ascii="Times New Roman" w:hAnsi="Times New Roman"/>
                <w:sz w:val="14"/>
                <w:szCs w:val="14"/>
              </w:rPr>
            </w:pPr>
            <w:r>
              <w:rPr>
                <w:rFonts w:ascii="Arial" w:eastAsia="宋体" w:hAnsi="Arial" w:cs="Arial"/>
                <w:sz w:val="14"/>
                <w:szCs w:val="14"/>
                <w:shd w:val="clear" w:color="auto" w:fill="CCEEFF"/>
              </w:rPr>
              <w:t>Net interest income</w:t>
            </w:r>
          </w:p>
        </w:tc>
        <w:tc>
          <w:tcPr>
            <w:tcW w:w="0" w:type="auto"/>
            <w:gridSpan w:val="2"/>
            <w:shd w:val="clear" w:color="auto" w:fill="CCEEFF"/>
            <w:tcMar>
              <w:top w:w="40" w:type="dxa"/>
              <w:left w:w="40" w:type="dxa"/>
              <w:bottom w:w="40" w:type="dxa"/>
            </w:tcMar>
            <w:vAlign w:val="bottom"/>
          </w:tcPr>
          <w:p w14:paraId="5556F57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7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2,691</w:t>
            </w:r>
          </w:p>
        </w:tc>
        <w:tc>
          <w:tcPr>
            <w:tcW w:w="0" w:type="auto"/>
            <w:shd w:val="clear" w:color="auto" w:fill="CCEEFF"/>
            <w:vAlign w:val="bottom"/>
          </w:tcPr>
          <w:p w14:paraId="5556F57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7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2,691</w:t>
            </w:r>
          </w:p>
        </w:tc>
        <w:tc>
          <w:tcPr>
            <w:tcW w:w="0" w:type="auto"/>
            <w:shd w:val="clear" w:color="auto" w:fill="CCEEFF"/>
            <w:vAlign w:val="bottom"/>
          </w:tcPr>
          <w:p w14:paraId="5556F57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7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8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8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w:t>
            </w:r>
          </w:p>
        </w:tc>
        <w:tc>
          <w:tcPr>
            <w:tcW w:w="0" w:type="auto"/>
            <w:shd w:val="clear" w:color="auto" w:fill="CCEEFF"/>
            <w:tcMar>
              <w:top w:w="40" w:type="dxa"/>
              <w:bottom w:w="40" w:type="dxa"/>
              <w:right w:w="40" w:type="dxa"/>
            </w:tcMar>
            <w:vAlign w:val="bottom"/>
          </w:tcPr>
          <w:p w14:paraId="5556F58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5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8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w:t>
            </w:r>
          </w:p>
        </w:tc>
        <w:tc>
          <w:tcPr>
            <w:tcW w:w="0" w:type="auto"/>
            <w:shd w:val="clear" w:color="auto" w:fill="CCEEFF"/>
            <w:tcMar>
              <w:top w:w="40" w:type="dxa"/>
              <w:bottom w:w="40" w:type="dxa"/>
              <w:right w:w="40" w:type="dxa"/>
            </w:tcMar>
            <w:vAlign w:val="bottom"/>
          </w:tcPr>
          <w:p w14:paraId="5556F58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5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8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8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8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8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8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58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59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2,671</w:t>
            </w:r>
          </w:p>
        </w:tc>
        <w:tc>
          <w:tcPr>
            <w:tcW w:w="0" w:type="auto"/>
            <w:shd w:val="clear" w:color="auto" w:fill="CCEEFF"/>
            <w:vAlign w:val="bottom"/>
          </w:tcPr>
          <w:p w14:paraId="5556F592" w14:textId="77777777" w:rsidR="00F925DD" w:rsidRDefault="00F925DD">
            <w:pPr>
              <w:textAlignment w:val="bottom"/>
              <w:rPr>
                <w:rFonts w:ascii="Times New Roman" w:hAnsi="Times New Roman"/>
                <w:sz w:val="20"/>
                <w:szCs w:val="20"/>
              </w:rPr>
            </w:pPr>
          </w:p>
        </w:tc>
      </w:tr>
      <w:tr w:rsidR="00F925DD" w14:paraId="5556F5B2" w14:textId="77777777">
        <w:tc>
          <w:tcPr>
            <w:tcW w:w="0" w:type="auto"/>
            <w:shd w:val="clear" w:color="auto" w:fill="auto"/>
            <w:tcMar>
              <w:top w:w="40" w:type="dxa"/>
              <w:left w:w="240" w:type="dxa"/>
              <w:bottom w:w="40" w:type="dxa"/>
              <w:right w:w="40" w:type="dxa"/>
            </w:tcMar>
            <w:vAlign w:val="bottom"/>
          </w:tcPr>
          <w:p w14:paraId="5556F594"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other income</w:t>
            </w:r>
          </w:p>
        </w:tc>
        <w:tc>
          <w:tcPr>
            <w:tcW w:w="0" w:type="auto"/>
            <w:gridSpan w:val="2"/>
            <w:shd w:val="clear" w:color="auto" w:fill="auto"/>
            <w:tcMar>
              <w:top w:w="40" w:type="dxa"/>
              <w:left w:w="40" w:type="dxa"/>
              <w:bottom w:w="40" w:type="dxa"/>
            </w:tcMar>
            <w:vAlign w:val="bottom"/>
          </w:tcPr>
          <w:p w14:paraId="5556F59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9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9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auto"/>
            <w:vAlign w:val="bottom"/>
          </w:tcPr>
          <w:p w14:paraId="5556F59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9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shd w:val="clear" w:color="auto" w:fill="auto"/>
            <w:vAlign w:val="bottom"/>
          </w:tcPr>
          <w:p w14:paraId="5556F59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9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9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A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A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A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A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A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A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A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A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5A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5A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5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5B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w:t>
            </w:r>
          </w:p>
        </w:tc>
        <w:tc>
          <w:tcPr>
            <w:tcW w:w="0" w:type="auto"/>
            <w:tcBorders>
              <w:bottom w:val="single" w:sz="8" w:space="0" w:color="000000"/>
            </w:tcBorders>
            <w:shd w:val="clear" w:color="auto" w:fill="auto"/>
            <w:vAlign w:val="bottom"/>
          </w:tcPr>
          <w:p w14:paraId="5556F5B1" w14:textId="77777777" w:rsidR="00F925DD" w:rsidRDefault="00F925DD">
            <w:pPr>
              <w:textAlignment w:val="bottom"/>
              <w:rPr>
                <w:rFonts w:ascii="Times New Roman" w:hAnsi="Times New Roman"/>
                <w:sz w:val="20"/>
                <w:szCs w:val="20"/>
              </w:rPr>
            </w:pPr>
          </w:p>
        </w:tc>
      </w:tr>
      <w:tr w:rsidR="00E705D7" w14:paraId="5556F5DB" w14:textId="77777777">
        <w:tc>
          <w:tcPr>
            <w:tcW w:w="0" w:type="auto"/>
            <w:shd w:val="clear" w:color="auto" w:fill="CCEEFF"/>
            <w:tcMar>
              <w:top w:w="40" w:type="dxa"/>
              <w:left w:w="40" w:type="dxa"/>
              <w:bottom w:w="40" w:type="dxa"/>
              <w:right w:w="40" w:type="dxa"/>
            </w:tcMar>
            <w:vAlign w:val="bottom"/>
          </w:tcPr>
          <w:p w14:paraId="5556F5B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Total revenue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5B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5B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6,307</w:t>
            </w:r>
          </w:p>
        </w:tc>
        <w:tc>
          <w:tcPr>
            <w:tcW w:w="0" w:type="auto"/>
            <w:tcBorders>
              <w:top w:val="single" w:sz="8" w:space="0" w:color="000000"/>
              <w:bottom w:val="double" w:sz="6" w:space="0" w:color="000000"/>
            </w:tcBorders>
            <w:shd w:val="clear" w:color="auto" w:fill="CCEEFF"/>
            <w:vAlign w:val="bottom"/>
          </w:tcPr>
          <w:p w14:paraId="5556F5B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5B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5B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3,876</w:t>
            </w:r>
          </w:p>
        </w:tc>
        <w:tc>
          <w:tcPr>
            <w:tcW w:w="0" w:type="auto"/>
            <w:tcBorders>
              <w:top w:val="single" w:sz="8" w:space="0" w:color="000000"/>
              <w:bottom w:val="double" w:sz="6" w:space="0" w:color="000000"/>
            </w:tcBorders>
            <w:shd w:val="clear" w:color="auto" w:fill="CCEEFF"/>
            <w:vAlign w:val="bottom"/>
          </w:tcPr>
          <w:p w14:paraId="5556F5B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5B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5B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10,183</w:t>
            </w:r>
          </w:p>
        </w:tc>
        <w:tc>
          <w:tcPr>
            <w:tcW w:w="0" w:type="auto"/>
            <w:tcBorders>
              <w:top w:val="single" w:sz="8" w:space="0" w:color="000000"/>
              <w:bottom w:val="double" w:sz="6" w:space="0" w:color="000000"/>
            </w:tcBorders>
            <w:shd w:val="clear" w:color="auto" w:fill="CCEEFF"/>
            <w:vAlign w:val="bottom"/>
          </w:tcPr>
          <w:p w14:paraId="5556F5B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5C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5C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1,981</w:t>
            </w:r>
          </w:p>
        </w:tc>
        <w:tc>
          <w:tcPr>
            <w:tcW w:w="0" w:type="auto"/>
            <w:tcBorders>
              <w:top w:val="single" w:sz="8" w:space="0" w:color="000000"/>
              <w:bottom w:val="double" w:sz="6" w:space="0" w:color="000000"/>
            </w:tcBorders>
            <w:shd w:val="clear" w:color="auto" w:fill="CCEEFF"/>
            <w:vAlign w:val="bottom"/>
          </w:tcPr>
          <w:p w14:paraId="5556F5C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5C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5C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F5C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5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5C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5C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1,956</w:t>
            </w:r>
          </w:p>
        </w:tc>
        <w:tc>
          <w:tcPr>
            <w:tcW w:w="0" w:type="auto"/>
            <w:tcBorders>
              <w:top w:val="single" w:sz="8" w:space="0" w:color="000000"/>
              <w:bottom w:val="double" w:sz="6" w:space="0" w:color="000000"/>
            </w:tcBorders>
            <w:shd w:val="clear" w:color="auto" w:fill="CCEEFF"/>
            <w:vAlign w:val="bottom"/>
          </w:tcPr>
          <w:p w14:paraId="5556F5C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5C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5C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F5C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5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5D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5D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vAlign w:val="bottom"/>
          </w:tcPr>
          <w:p w14:paraId="5556F5D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5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5D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5D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5556F5D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5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5D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5D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12,131</w:t>
            </w:r>
          </w:p>
        </w:tc>
        <w:tc>
          <w:tcPr>
            <w:tcW w:w="0" w:type="auto"/>
            <w:tcBorders>
              <w:top w:val="single" w:sz="8" w:space="0" w:color="000000"/>
              <w:bottom w:val="double" w:sz="6" w:space="0" w:color="000000"/>
            </w:tcBorders>
            <w:shd w:val="clear" w:color="auto" w:fill="CCEEFF"/>
            <w:vAlign w:val="bottom"/>
          </w:tcPr>
          <w:p w14:paraId="5556F5DA" w14:textId="77777777" w:rsidR="00F925DD" w:rsidRDefault="00F925DD">
            <w:pPr>
              <w:textAlignment w:val="bottom"/>
              <w:rPr>
                <w:rFonts w:ascii="Times New Roman" w:hAnsi="Times New Roman"/>
                <w:sz w:val="20"/>
                <w:szCs w:val="20"/>
              </w:rPr>
            </w:pPr>
          </w:p>
        </w:tc>
      </w:tr>
    </w:tbl>
    <w:p w14:paraId="5556F5DC" w14:textId="77777777" w:rsidR="00F925DD" w:rsidRDefault="00F925DD">
      <w:pPr>
        <w:spacing w:line="288" w:lineRule="auto"/>
        <w:rPr>
          <w:rFonts w:ascii="Times New Roman" w:hAnsi="Times New Roman"/>
          <w:sz w:val="20"/>
          <w:szCs w:val="20"/>
        </w:rPr>
      </w:pPr>
    </w:p>
    <w:p w14:paraId="5556F5DD"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Contract balances and contract costs</w:t>
      </w:r>
    </w:p>
    <w:p w14:paraId="5556F5DE" w14:textId="77777777" w:rsidR="00F925DD" w:rsidRDefault="00E705D7">
      <w:pPr>
        <w:spacing w:line="288" w:lineRule="auto"/>
        <w:ind w:firstLine="600"/>
        <w:jc w:val="both"/>
        <w:rPr>
          <w:rFonts w:ascii="Times New Roman" w:hAnsi="Times New Roman"/>
          <w:sz w:val="22"/>
          <w:szCs w:val="22"/>
        </w:rPr>
      </w:pPr>
      <w:r>
        <w:rPr>
          <w:rFonts w:ascii="Arial" w:eastAsia="宋体" w:hAnsi="Arial" w:cs="Arial"/>
          <w:sz w:val="22"/>
          <w:szCs w:val="22"/>
        </w:rPr>
        <w:t>A</w:t>
      </w:r>
      <w:r>
        <w:rPr>
          <w:rFonts w:ascii="Arial" w:eastAsia="宋体" w:hAnsi="Arial" w:cs="Arial"/>
          <w:sz w:val="20"/>
          <w:szCs w:val="20"/>
        </w:rPr>
        <w:t>s of December 31, 2019 and December 31, 2018, net receivables of $2.77 billion and $2.</w:t>
      </w:r>
      <w:r>
        <w:rPr>
          <w:rFonts w:ascii="Arial" w:eastAsia="宋体" w:hAnsi="Arial" w:cs="Arial"/>
          <w:sz w:val="20"/>
          <w:szCs w:val="20"/>
        </w:rPr>
        <w:t xml:space="preserve">75 billion, respectively, are included in accrued interest and fees receivable, representing amounts billed or currently billable related to revenue from contracts with customers. As performance obligations are satisfied, we have an unconditional right to </w:t>
      </w:r>
      <w:r>
        <w:rPr>
          <w:rFonts w:ascii="Arial" w:eastAsia="宋体" w:hAnsi="Arial" w:cs="Arial"/>
          <w:sz w:val="20"/>
          <w:szCs w:val="20"/>
        </w:rPr>
        <w:t>payment and billing is generally performed monthly; therefore, we do not have significant contract assets or liabilities.</w:t>
      </w:r>
    </w:p>
    <w:p w14:paraId="5556F5D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No adjustments are made to the promised amount of consideration for the effects of a significant financing component as the period bet</w:t>
      </w:r>
      <w:r>
        <w:rPr>
          <w:rFonts w:ascii="Arial" w:eastAsia="宋体" w:hAnsi="Arial" w:cs="Arial"/>
          <w:sz w:val="20"/>
          <w:szCs w:val="20"/>
        </w:rPr>
        <w:t>ween when we transfer a promised service to a customer and when the customer pays for that service is expected to be one year or less.</w:t>
      </w:r>
    </w:p>
    <w:p w14:paraId="5556F5E0" w14:textId="77777777" w:rsidR="00F925DD" w:rsidRDefault="00F925DD">
      <w:pPr>
        <w:rPr>
          <w:rFonts w:ascii="Times New Roman" w:hAnsi="Times New Roman"/>
          <w:sz w:val="20"/>
          <w:szCs w:val="20"/>
        </w:rPr>
      </w:pPr>
    </w:p>
    <w:p w14:paraId="5556F5E1"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173</w:t>
      </w:r>
    </w:p>
    <w:p w14:paraId="5556F5E2" w14:textId="77777777" w:rsidR="00F925DD" w:rsidRDefault="00F925DD">
      <w:pPr>
        <w:spacing w:line="288" w:lineRule="auto"/>
        <w:ind w:firstLine="600"/>
        <w:jc w:val="center"/>
        <w:rPr>
          <w:rFonts w:ascii="Times New Roman" w:hAnsi="Times New Roman"/>
          <w:sz w:val="18"/>
          <w:szCs w:val="18"/>
        </w:rPr>
      </w:pPr>
    </w:p>
    <w:p w14:paraId="5556F5E3" w14:textId="77777777" w:rsidR="00F925DD" w:rsidRDefault="00E705D7">
      <w:r>
        <w:rPr>
          <w:rFonts w:ascii="Times New Roman" w:hAnsi="Times New Roman"/>
          <w:sz w:val="18"/>
          <w:szCs w:val="18"/>
        </w:rPr>
        <w:pict w14:anchorId="555706E7">
          <v:rect id="_x0000_i1197" style="width:415.3pt;height:1.5pt" o:hralign="center" o:hrstd="t" o:hr="t" fillcolor="#a0a0a0" stroked="f"/>
        </w:pict>
      </w:r>
    </w:p>
    <w:p w14:paraId="5556F5E4"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F5E5"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F5E6" w14:textId="77777777" w:rsidR="00F925DD" w:rsidRDefault="00F925DD">
      <w:pPr>
        <w:rPr>
          <w:rFonts w:ascii="Times New Roman" w:hAnsi="Times New Roman"/>
          <w:sz w:val="20"/>
          <w:szCs w:val="20"/>
        </w:rPr>
      </w:pPr>
    </w:p>
    <w:p w14:paraId="5556F5E7"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 xml:space="preserve">Note </w:t>
      </w:r>
      <w:r>
        <w:rPr>
          <w:rFonts w:ascii="Arial" w:eastAsia="宋体" w:hAnsi="Arial" w:cs="Arial"/>
          <w:b/>
          <w:bCs/>
          <w:sz w:val="20"/>
          <w:szCs w:val="20"/>
        </w:rPr>
        <w:t>26.    Non-U.S. Activities</w:t>
      </w:r>
    </w:p>
    <w:p w14:paraId="5556F5E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We define our non-U.S. activities as those revenue-producing business activities that arise from clients which are generally serviced or managed outside the U.S. Due to the integrated nature of our business, precise segregation o</w:t>
      </w:r>
      <w:r>
        <w:rPr>
          <w:rFonts w:ascii="Arial" w:eastAsia="宋体" w:hAnsi="Arial" w:cs="Arial"/>
          <w:sz w:val="20"/>
          <w:szCs w:val="20"/>
        </w:rPr>
        <w:t>f our U.S. and non-U.S. activities is not possible.</w:t>
      </w:r>
    </w:p>
    <w:p w14:paraId="5556F5E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Subjective estimates, assumptions and other judgments are applied to quantify the financial results and assets related to our non-U.S. activities, including our application of funds transfer pricing, our </w:t>
      </w:r>
      <w:r>
        <w:rPr>
          <w:rFonts w:ascii="Arial" w:eastAsia="宋体" w:hAnsi="Arial" w:cs="Arial"/>
          <w:sz w:val="20"/>
          <w:szCs w:val="20"/>
        </w:rPr>
        <w:t xml:space="preserve">asset and liability management policies and our allocation of certain indirect corporate expenses. Management periodically reviews and updates its processes for quantifying the financial results and assets related to our non-U.S. activities. </w:t>
      </w:r>
    </w:p>
    <w:p w14:paraId="5556F5E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w:t>
      </w:r>
      <w:r>
        <w:rPr>
          <w:rFonts w:ascii="Arial" w:eastAsia="宋体" w:hAnsi="Arial" w:cs="Arial"/>
          <w:sz w:val="20"/>
          <w:szCs w:val="20"/>
        </w:rPr>
        <w:t xml:space="preserve"> table presents our U.S. and non-U.S. financial results for the periods indicated:</w:t>
      </w:r>
    </w:p>
    <w:tbl>
      <w:tblPr>
        <w:tblW w:w="5000" w:type="pct"/>
        <w:tblCellMar>
          <w:left w:w="0" w:type="dxa"/>
          <w:right w:w="0" w:type="dxa"/>
        </w:tblCellMar>
        <w:tblLook w:val="04A0" w:firstRow="1" w:lastRow="0" w:firstColumn="1" w:lastColumn="0" w:noHBand="0" w:noVBand="1"/>
      </w:tblPr>
      <w:tblGrid>
        <w:gridCol w:w="1053"/>
        <w:gridCol w:w="130"/>
        <w:gridCol w:w="683"/>
        <w:gridCol w:w="97"/>
        <w:gridCol w:w="130"/>
        <w:gridCol w:w="129"/>
        <w:gridCol w:w="401"/>
        <w:gridCol w:w="6"/>
        <w:gridCol w:w="130"/>
        <w:gridCol w:w="129"/>
        <w:gridCol w:w="490"/>
        <w:gridCol w:w="6"/>
        <w:gridCol w:w="130"/>
        <w:gridCol w:w="130"/>
        <w:gridCol w:w="683"/>
        <w:gridCol w:w="97"/>
        <w:gridCol w:w="130"/>
        <w:gridCol w:w="129"/>
        <w:gridCol w:w="401"/>
        <w:gridCol w:w="6"/>
        <w:gridCol w:w="130"/>
        <w:gridCol w:w="129"/>
        <w:gridCol w:w="490"/>
        <w:gridCol w:w="6"/>
        <w:gridCol w:w="130"/>
        <w:gridCol w:w="130"/>
        <w:gridCol w:w="683"/>
        <w:gridCol w:w="97"/>
        <w:gridCol w:w="130"/>
        <w:gridCol w:w="129"/>
        <w:gridCol w:w="401"/>
        <w:gridCol w:w="6"/>
        <w:gridCol w:w="130"/>
        <w:gridCol w:w="129"/>
        <w:gridCol w:w="490"/>
        <w:gridCol w:w="6"/>
      </w:tblGrid>
      <w:tr w:rsidR="00F925DD" w14:paraId="5556F5EC" w14:textId="77777777">
        <w:tc>
          <w:tcPr>
            <w:tcW w:w="0" w:type="auto"/>
            <w:gridSpan w:val="36"/>
            <w:shd w:val="clear" w:color="auto" w:fill="auto"/>
            <w:vAlign w:val="center"/>
          </w:tcPr>
          <w:p w14:paraId="5556F5EB" w14:textId="77777777" w:rsidR="00F925DD" w:rsidRDefault="00F925DD">
            <w:pPr>
              <w:rPr>
                <w:rFonts w:ascii="Times New Roman" w:hAnsi="Times New Roman"/>
                <w:sz w:val="20"/>
                <w:szCs w:val="20"/>
              </w:rPr>
            </w:pPr>
          </w:p>
        </w:tc>
      </w:tr>
      <w:tr w:rsidR="00F925DD" w14:paraId="5556F611" w14:textId="77777777">
        <w:tc>
          <w:tcPr>
            <w:tcW w:w="850" w:type="pct"/>
            <w:shd w:val="clear" w:color="auto" w:fill="auto"/>
            <w:vAlign w:val="center"/>
          </w:tcPr>
          <w:p w14:paraId="5556F5ED" w14:textId="77777777" w:rsidR="00F925DD" w:rsidRDefault="00F925DD">
            <w:pPr>
              <w:rPr>
                <w:rFonts w:ascii="Times New Roman" w:hAnsi="Times New Roman"/>
                <w:sz w:val="20"/>
                <w:szCs w:val="20"/>
              </w:rPr>
            </w:pPr>
          </w:p>
        </w:tc>
        <w:tc>
          <w:tcPr>
            <w:tcW w:w="50" w:type="pct"/>
            <w:shd w:val="clear" w:color="auto" w:fill="auto"/>
            <w:vAlign w:val="center"/>
          </w:tcPr>
          <w:p w14:paraId="5556F5EE" w14:textId="77777777" w:rsidR="00F925DD" w:rsidRDefault="00F925DD">
            <w:pPr>
              <w:rPr>
                <w:rFonts w:ascii="Times New Roman" w:hAnsi="Times New Roman"/>
                <w:sz w:val="20"/>
                <w:szCs w:val="20"/>
              </w:rPr>
            </w:pPr>
          </w:p>
        </w:tc>
        <w:tc>
          <w:tcPr>
            <w:tcW w:w="350" w:type="pct"/>
            <w:shd w:val="clear" w:color="auto" w:fill="auto"/>
            <w:vAlign w:val="center"/>
          </w:tcPr>
          <w:p w14:paraId="5556F5EF" w14:textId="77777777" w:rsidR="00F925DD" w:rsidRDefault="00F925DD">
            <w:pPr>
              <w:rPr>
                <w:rFonts w:ascii="Times New Roman" w:hAnsi="Times New Roman"/>
                <w:sz w:val="20"/>
                <w:szCs w:val="20"/>
              </w:rPr>
            </w:pPr>
          </w:p>
        </w:tc>
        <w:tc>
          <w:tcPr>
            <w:tcW w:w="50" w:type="pct"/>
            <w:shd w:val="clear" w:color="auto" w:fill="auto"/>
            <w:vAlign w:val="center"/>
          </w:tcPr>
          <w:p w14:paraId="5556F5F0" w14:textId="77777777" w:rsidR="00F925DD" w:rsidRDefault="00F925DD">
            <w:pPr>
              <w:rPr>
                <w:rFonts w:ascii="Times New Roman" w:hAnsi="Times New Roman"/>
                <w:sz w:val="20"/>
                <w:szCs w:val="20"/>
              </w:rPr>
            </w:pPr>
          </w:p>
        </w:tc>
        <w:tc>
          <w:tcPr>
            <w:tcW w:w="50" w:type="pct"/>
            <w:shd w:val="clear" w:color="auto" w:fill="auto"/>
            <w:vAlign w:val="center"/>
          </w:tcPr>
          <w:p w14:paraId="5556F5F1" w14:textId="77777777" w:rsidR="00F925DD" w:rsidRDefault="00F925DD">
            <w:pPr>
              <w:rPr>
                <w:rFonts w:ascii="Times New Roman" w:hAnsi="Times New Roman"/>
                <w:sz w:val="20"/>
                <w:szCs w:val="20"/>
              </w:rPr>
            </w:pPr>
          </w:p>
        </w:tc>
        <w:tc>
          <w:tcPr>
            <w:tcW w:w="50" w:type="pct"/>
            <w:shd w:val="clear" w:color="auto" w:fill="auto"/>
            <w:vAlign w:val="center"/>
          </w:tcPr>
          <w:p w14:paraId="5556F5F2" w14:textId="77777777" w:rsidR="00F925DD" w:rsidRDefault="00F925DD">
            <w:pPr>
              <w:rPr>
                <w:rFonts w:ascii="Times New Roman" w:hAnsi="Times New Roman"/>
                <w:sz w:val="20"/>
                <w:szCs w:val="20"/>
              </w:rPr>
            </w:pPr>
          </w:p>
        </w:tc>
        <w:tc>
          <w:tcPr>
            <w:tcW w:w="300" w:type="pct"/>
            <w:shd w:val="clear" w:color="auto" w:fill="auto"/>
            <w:vAlign w:val="center"/>
          </w:tcPr>
          <w:p w14:paraId="5556F5F3" w14:textId="77777777" w:rsidR="00F925DD" w:rsidRDefault="00F925DD">
            <w:pPr>
              <w:rPr>
                <w:rFonts w:ascii="Times New Roman" w:hAnsi="Times New Roman"/>
                <w:sz w:val="20"/>
                <w:szCs w:val="20"/>
              </w:rPr>
            </w:pPr>
          </w:p>
        </w:tc>
        <w:tc>
          <w:tcPr>
            <w:tcW w:w="50" w:type="pct"/>
            <w:shd w:val="clear" w:color="auto" w:fill="auto"/>
            <w:vAlign w:val="center"/>
          </w:tcPr>
          <w:p w14:paraId="5556F5F4" w14:textId="77777777" w:rsidR="00F925DD" w:rsidRDefault="00F925DD">
            <w:pPr>
              <w:rPr>
                <w:rFonts w:ascii="Times New Roman" w:hAnsi="Times New Roman"/>
                <w:sz w:val="20"/>
                <w:szCs w:val="20"/>
              </w:rPr>
            </w:pPr>
          </w:p>
        </w:tc>
        <w:tc>
          <w:tcPr>
            <w:tcW w:w="50" w:type="pct"/>
            <w:shd w:val="clear" w:color="auto" w:fill="auto"/>
            <w:vAlign w:val="center"/>
          </w:tcPr>
          <w:p w14:paraId="5556F5F5" w14:textId="77777777" w:rsidR="00F925DD" w:rsidRDefault="00F925DD">
            <w:pPr>
              <w:rPr>
                <w:rFonts w:ascii="Times New Roman" w:hAnsi="Times New Roman"/>
                <w:sz w:val="20"/>
                <w:szCs w:val="20"/>
              </w:rPr>
            </w:pPr>
          </w:p>
        </w:tc>
        <w:tc>
          <w:tcPr>
            <w:tcW w:w="50" w:type="pct"/>
            <w:shd w:val="clear" w:color="auto" w:fill="auto"/>
            <w:vAlign w:val="center"/>
          </w:tcPr>
          <w:p w14:paraId="5556F5F6" w14:textId="77777777" w:rsidR="00F925DD" w:rsidRDefault="00F925DD">
            <w:pPr>
              <w:rPr>
                <w:rFonts w:ascii="Times New Roman" w:hAnsi="Times New Roman"/>
                <w:sz w:val="20"/>
                <w:szCs w:val="20"/>
              </w:rPr>
            </w:pPr>
          </w:p>
        </w:tc>
        <w:tc>
          <w:tcPr>
            <w:tcW w:w="300" w:type="pct"/>
            <w:shd w:val="clear" w:color="auto" w:fill="auto"/>
            <w:vAlign w:val="center"/>
          </w:tcPr>
          <w:p w14:paraId="5556F5F7" w14:textId="77777777" w:rsidR="00F925DD" w:rsidRDefault="00F925DD">
            <w:pPr>
              <w:rPr>
                <w:rFonts w:ascii="Times New Roman" w:hAnsi="Times New Roman"/>
                <w:sz w:val="20"/>
                <w:szCs w:val="20"/>
              </w:rPr>
            </w:pPr>
          </w:p>
        </w:tc>
        <w:tc>
          <w:tcPr>
            <w:tcW w:w="50" w:type="pct"/>
            <w:shd w:val="clear" w:color="auto" w:fill="auto"/>
            <w:vAlign w:val="center"/>
          </w:tcPr>
          <w:p w14:paraId="5556F5F8" w14:textId="77777777" w:rsidR="00F925DD" w:rsidRDefault="00F925DD">
            <w:pPr>
              <w:rPr>
                <w:rFonts w:ascii="Times New Roman" w:hAnsi="Times New Roman"/>
                <w:sz w:val="20"/>
                <w:szCs w:val="20"/>
              </w:rPr>
            </w:pPr>
          </w:p>
        </w:tc>
        <w:tc>
          <w:tcPr>
            <w:tcW w:w="50" w:type="pct"/>
            <w:shd w:val="clear" w:color="auto" w:fill="auto"/>
            <w:vAlign w:val="center"/>
          </w:tcPr>
          <w:p w14:paraId="5556F5F9" w14:textId="77777777" w:rsidR="00F925DD" w:rsidRDefault="00F925DD">
            <w:pPr>
              <w:rPr>
                <w:rFonts w:ascii="Times New Roman" w:hAnsi="Times New Roman"/>
                <w:sz w:val="20"/>
                <w:szCs w:val="20"/>
              </w:rPr>
            </w:pPr>
          </w:p>
        </w:tc>
        <w:tc>
          <w:tcPr>
            <w:tcW w:w="50" w:type="pct"/>
            <w:shd w:val="clear" w:color="auto" w:fill="auto"/>
            <w:vAlign w:val="center"/>
          </w:tcPr>
          <w:p w14:paraId="5556F5FA" w14:textId="77777777" w:rsidR="00F925DD" w:rsidRDefault="00F925DD">
            <w:pPr>
              <w:rPr>
                <w:rFonts w:ascii="Times New Roman" w:hAnsi="Times New Roman"/>
                <w:sz w:val="20"/>
                <w:szCs w:val="20"/>
              </w:rPr>
            </w:pPr>
          </w:p>
        </w:tc>
        <w:tc>
          <w:tcPr>
            <w:tcW w:w="350" w:type="pct"/>
            <w:shd w:val="clear" w:color="auto" w:fill="auto"/>
            <w:vAlign w:val="center"/>
          </w:tcPr>
          <w:p w14:paraId="5556F5FB" w14:textId="77777777" w:rsidR="00F925DD" w:rsidRDefault="00F925DD">
            <w:pPr>
              <w:rPr>
                <w:rFonts w:ascii="Times New Roman" w:hAnsi="Times New Roman"/>
                <w:sz w:val="20"/>
                <w:szCs w:val="20"/>
              </w:rPr>
            </w:pPr>
          </w:p>
        </w:tc>
        <w:tc>
          <w:tcPr>
            <w:tcW w:w="50" w:type="pct"/>
            <w:shd w:val="clear" w:color="auto" w:fill="auto"/>
            <w:vAlign w:val="center"/>
          </w:tcPr>
          <w:p w14:paraId="5556F5FC" w14:textId="77777777" w:rsidR="00F925DD" w:rsidRDefault="00F925DD">
            <w:pPr>
              <w:rPr>
                <w:rFonts w:ascii="Times New Roman" w:hAnsi="Times New Roman"/>
                <w:sz w:val="20"/>
                <w:szCs w:val="20"/>
              </w:rPr>
            </w:pPr>
          </w:p>
        </w:tc>
        <w:tc>
          <w:tcPr>
            <w:tcW w:w="50" w:type="pct"/>
            <w:shd w:val="clear" w:color="auto" w:fill="auto"/>
            <w:vAlign w:val="center"/>
          </w:tcPr>
          <w:p w14:paraId="5556F5FD" w14:textId="77777777" w:rsidR="00F925DD" w:rsidRDefault="00F925DD">
            <w:pPr>
              <w:rPr>
                <w:rFonts w:ascii="Times New Roman" w:hAnsi="Times New Roman"/>
                <w:sz w:val="20"/>
                <w:szCs w:val="20"/>
              </w:rPr>
            </w:pPr>
          </w:p>
        </w:tc>
        <w:tc>
          <w:tcPr>
            <w:tcW w:w="50" w:type="pct"/>
            <w:shd w:val="clear" w:color="auto" w:fill="auto"/>
            <w:vAlign w:val="center"/>
          </w:tcPr>
          <w:p w14:paraId="5556F5FE" w14:textId="77777777" w:rsidR="00F925DD" w:rsidRDefault="00F925DD">
            <w:pPr>
              <w:rPr>
                <w:rFonts w:ascii="Times New Roman" w:hAnsi="Times New Roman"/>
                <w:sz w:val="20"/>
                <w:szCs w:val="20"/>
              </w:rPr>
            </w:pPr>
          </w:p>
        </w:tc>
        <w:tc>
          <w:tcPr>
            <w:tcW w:w="300" w:type="pct"/>
            <w:shd w:val="clear" w:color="auto" w:fill="auto"/>
            <w:vAlign w:val="center"/>
          </w:tcPr>
          <w:p w14:paraId="5556F5FF" w14:textId="77777777" w:rsidR="00F925DD" w:rsidRDefault="00F925DD">
            <w:pPr>
              <w:rPr>
                <w:rFonts w:ascii="Times New Roman" w:hAnsi="Times New Roman"/>
                <w:sz w:val="20"/>
                <w:szCs w:val="20"/>
              </w:rPr>
            </w:pPr>
          </w:p>
        </w:tc>
        <w:tc>
          <w:tcPr>
            <w:tcW w:w="50" w:type="pct"/>
            <w:shd w:val="clear" w:color="auto" w:fill="auto"/>
            <w:vAlign w:val="center"/>
          </w:tcPr>
          <w:p w14:paraId="5556F600" w14:textId="77777777" w:rsidR="00F925DD" w:rsidRDefault="00F925DD">
            <w:pPr>
              <w:rPr>
                <w:rFonts w:ascii="Times New Roman" w:hAnsi="Times New Roman"/>
                <w:sz w:val="20"/>
                <w:szCs w:val="20"/>
              </w:rPr>
            </w:pPr>
          </w:p>
        </w:tc>
        <w:tc>
          <w:tcPr>
            <w:tcW w:w="50" w:type="pct"/>
            <w:shd w:val="clear" w:color="auto" w:fill="auto"/>
            <w:vAlign w:val="center"/>
          </w:tcPr>
          <w:p w14:paraId="5556F601" w14:textId="77777777" w:rsidR="00F925DD" w:rsidRDefault="00F925DD">
            <w:pPr>
              <w:rPr>
                <w:rFonts w:ascii="Times New Roman" w:hAnsi="Times New Roman"/>
                <w:sz w:val="20"/>
                <w:szCs w:val="20"/>
              </w:rPr>
            </w:pPr>
          </w:p>
        </w:tc>
        <w:tc>
          <w:tcPr>
            <w:tcW w:w="50" w:type="pct"/>
            <w:shd w:val="clear" w:color="auto" w:fill="auto"/>
            <w:vAlign w:val="center"/>
          </w:tcPr>
          <w:p w14:paraId="5556F602" w14:textId="77777777" w:rsidR="00F925DD" w:rsidRDefault="00F925DD">
            <w:pPr>
              <w:rPr>
                <w:rFonts w:ascii="Times New Roman" w:hAnsi="Times New Roman"/>
                <w:sz w:val="20"/>
                <w:szCs w:val="20"/>
              </w:rPr>
            </w:pPr>
          </w:p>
        </w:tc>
        <w:tc>
          <w:tcPr>
            <w:tcW w:w="300" w:type="pct"/>
            <w:shd w:val="clear" w:color="auto" w:fill="auto"/>
            <w:vAlign w:val="center"/>
          </w:tcPr>
          <w:p w14:paraId="5556F603" w14:textId="77777777" w:rsidR="00F925DD" w:rsidRDefault="00F925DD">
            <w:pPr>
              <w:rPr>
                <w:rFonts w:ascii="Times New Roman" w:hAnsi="Times New Roman"/>
                <w:sz w:val="20"/>
                <w:szCs w:val="20"/>
              </w:rPr>
            </w:pPr>
          </w:p>
        </w:tc>
        <w:tc>
          <w:tcPr>
            <w:tcW w:w="50" w:type="pct"/>
            <w:shd w:val="clear" w:color="auto" w:fill="auto"/>
            <w:vAlign w:val="center"/>
          </w:tcPr>
          <w:p w14:paraId="5556F604" w14:textId="77777777" w:rsidR="00F925DD" w:rsidRDefault="00F925DD">
            <w:pPr>
              <w:rPr>
                <w:rFonts w:ascii="Times New Roman" w:hAnsi="Times New Roman"/>
                <w:sz w:val="20"/>
                <w:szCs w:val="20"/>
              </w:rPr>
            </w:pPr>
          </w:p>
        </w:tc>
        <w:tc>
          <w:tcPr>
            <w:tcW w:w="50" w:type="pct"/>
            <w:shd w:val="clear" w:color="auto" w:fill="auto"/>
            <w:vAlign w:val="center"/>
          </w:tcPr>
          <w:p w14:paraId="5556F605" w14:textId="77777777" w:rsidR="00F925DD" w:rsidRDefault="00F925DD">
            <w:pPr>
              <w:rPr>
                <w:rFonts w:ascii="Times New Roman" w:hAnsi="Times New Roman"/>
                <w:sz w:val="20"/>
                <w:szCs w:val="20"/>
              </w:rPr>
            </w:pPr>
          </w:p>
        </w:tc>
        <w:tc>
          <w:tcPr>
            <w:tcW w:w="50" w:type="pct"/>
            <w:shd w:val="clear" w:color="auto" w:fill="auto"/>
            <w:vAlign w:val="center"/>
          </w:tcPr>
          <w:p w14:paraId="5556F606" w14:textId="77777777" w:rsidR="00F925DD" w:rsidRDefault="00F925DD">
            <w:pPr>
              <w:rPr>
                <w:rFonts w:ascii="Times New Roman" w:hAnsi="Times New Roman"/>
                <w:sz w:val="20"/>
                <w:szCs w:val="20"/>
              </w:rPr>
            </w:pPr>
          </w:p>
        </w:tc>
        <w:tc>
          <w:tcPr>
            <w:tcW w:w="350" w:type="pct"/>
            <w:shd w:val="clear" w:color="auto" w:fill="auto"/>
            <w:vAlign w:val="center"/>
          </w:tcPr>
          <w:p w14:paraId="5556F607" w14:textId="77777777" w:rsidR="00F925DD" w:rsidRDefault="00F925DD">
            <w:pPr>
              <w:rPr>
                <w:rFonts w:ascii="Times New Roman" w:hAnsi="Times New Roman"/>
                <w:sz w:val="20"/>
                <w:szCs w:val="20"/>
              </w:rPr>
            </w:pPr>
          </w:p>
        </w:tc>
        <w:tc>
          <w:tcPr>
            <w:tcW w:w="50" w:type="pct"/>
            <w:shd w:val="clear" w:color="auto" w:fill="auto"/>
            <w:vAlign w:val="center"/>
          </w:tcPr>
          <w:p w14:paraId="5556F608" w14:textId="77777777" w:rsidR="00F925DD" w:rsidRDefault="00F925DD">
            <w:pPr>
              <w:rPr>
                <w:rFonts w:ascii="Times New Roman" w:hAnsi="Times New Roman"/>
                <w:sz w:val="20"/>
                <w:szCs w:val="20"/>
              </w:rPr>
            </w:pPr>
          </w:p>
        </w:tc>
        <w:tc>
          <w:tcPr>
            <w:tcW w:w="50" w:type="pct"/>
            <w:shd w:val="clear" w:color="auto" w:fill="auto"/>
            <w:vAlign w:val="center"/>
          </w:tcPr>
          <w:p w14:paraId="5556F609" w14:textId="77777777" w:rsidR="00F925DD" w:rsidRDefault="00F925DD">
            <w:pPr>
              <w:rPr>
                <w:rFonts w:ascii="Times New Roman" w:hAnsi="Times New Roman"/>
                <w:sz w:val="20"/>
                <w:szCs w:val="20"/>
              </w:rPr>
            </w:pPr>
          </w:p>
        </w:tc>
        <w:tc>
          <w:tcPr>
            <w:tcW w:w="50" w:type="pct"/>
            <w:shd w:val="clear" w:color="auto" w:fill="auto"/>
            <w:vAlign w:val="center"/>
          </w:tcPr>
          <w:p w14:paraId="5556F60A" w14:textId="77777777" w:rsidR="00F925DD" w:rsidRDefault="00F925DD">
            <w:pPr>
              <w:rPr>
                <w:rFonts w:ascii="Times New Roman" w:hAnsi="Times New Roman"/>
                <w:sz w:val="20"/>
                <w:szCs w:val="20"/>
              </w:rPr>
            </w:pPr>
          </w:p>
        </w:tc>
        <w:tc>
          <w:tcPr>
            <w:tcW w:w="300" w:type="pct"/>
            <w:shd w:val="clear" w:color="auto" w:fill="auto"/>
            <w:vAlign w:val="center"/>
          </w:tcPr>
          <w:p w14:paraId="5556F60B" w14:textId="77777777" w:rsidR="00F925DD" w:rsidRDefault="00F925DD">
            <w:pPr>
              <w:rPr>
                <w:rFonts w:ascii="Times New Roman" w:hAnsi="Times New Roman"/>
                <w:sz w:val="20"/>
                <w:szCs w:val="20"/>
              </w:rPr>
            </w:pPr>
          </w:p>
        </w:tc>
        <w:tc>
          <w:tcPr>
            <w:tcW w:w="50" w:type="pct"/>
            <w:shd w:val="clear" w:color="auto" w:fill="auto"/>
            <w:vAlign w:val="center"/>
          </w:tcPr>
          <w:p w14:paraId="5556F60C" w14:textId="77777777" w:rsidR="00F925DD" w:rsidRDefault="00F925DD">
            <w:pPr>
              <w:rPr>
                <w:rFonts w:ascii="Times New Roman" w:hAnsi="Times New Roman"/>
                <w:sz w:val="20"/>
                <w:szCs w:val="20"/>
              </w:rPr>
            </w:pPr>
          </w:p>
        </w:tc>
        <w:tc>
          <w:tcPr>
            <w:tcW w:w="50" w:type="pct"/>
            <w:shd w:val="clear" w:color="auto" w:fill="auto"/>
            <w:vAlign w:val="center"/>
          </w:tcPr>
          <w:p w14:paraId="5556F60D" w14:textId="77777777" w:rsidR="00F925DD" w:rsidRDefault="00F925DD">
            <w:pPr>
              <w:rPr>
                <w:rFonts w:ascii="Times New Roman" w:hAnsi="Times New Roman"/>
                <w:sz w:val="20"/>
                <w:szCs w:val="20"/>
              </w:rPr>
            </w:pPr>
          </w:p>
        </w:tc>
        <w:tc>
          <w:tcPr>
            <w:tcW w:w="50" w:type="pct"/>
            <w:shd w:val="clear" w:color="auto" w:fill="auto"/>
            <w:vAlign w:val="center"/>
          </w:tcPr>
          <w:p w14:paraId="5556F60E" w14:textId="77777777" w:rsidR="00F925DD" w:rsidRDefault="00F925DD">
            <w:pPr>
              <w:rPr>
                <w:rFonts w:ascii="Times New Roman" w:hAnsi="Times New Roman"/>
                <w:sz w:val="20"/>
                <w:szCs w:val="20"/>
              </w:rPr>
            </w:pPr>
          </w:p>
        </w:tc>
        <w:tc>
          <w:tcPr>
            <w:tcW w:w="300" w:type="pct"/>
            <w:shd w:val="clear" w:color="auto" w:fill="auto"/>
            <w:vAlign w:val="center"/>
          </w:tcPr>
          <w:p w14:paraId="5556F60F" w14:textId="77777777" w:rsidR="00F925DD" w:rsidRDefault="00F925DD">
            <w:pPr>
              <w:rPr>
                <w:rFonts w:ascii="Times New Roman" w:hAnsi="Times New Roman"/>
                <w:sz w:val="20"/>
                <w:szCs w:val="20"/>
              </w:rPr>
            </w:pPr>
          </w:p>
        </w:tc>
        <w:tc>
          <w:tcPr>
            <w:tcW w:w="50" w:type="pct"/>
            <w:shd w:val="clear" w:color="auto" w:fill="auto"/>
            <w:vAlign w:val="center"/>
          </w:tcPr>
          <w:p w14:paraId="5556F610" w14:textId="77777777" w:rsidR="00F925DD" w:rsidRDefault="00F925DD">
            <w:pPr>
              <w:rPr>
                <w:rFonts w:ascii="Times New Roman" w:hAnsi="Times New Roman"/>
                <w:sz w:val="20"/>
                <w:szCs w:val="20"/>
              </w:rPr>
            </w:pPr>
          </w:p>
        </w:tc>
      </w:tr>
      <w:tr w:rsidR="00F925DD" w14:paraId="5556F614" w14:textId="77777777">
        <w:tc>
          <w:tcPr>
            <w:tcW w:w="0" w:type="auto"/>
            <w:shd w:val="clear" w:color="auto" w:fill="auto"/>
            <w:tcMar>
              <w:top w:w="40" w:type="dxa"/>
              <w:left w:w="40" w:type="dxa"/>
              <w:bottom w:w="40" w:type="dxa"/>
              <w:right w:w="40" w:type="dxa"/>
            </w:tcMar>
            <w:vAlign w:val="bottom"/>
          </w:tcPr>
          <w:p w14:paraId="5556F6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5"/>
            <w:tcBorders>
              <w:bottom w:val="single" w:sz="8" w:space="0" w:color="000000"/>
            </w:tcBorders>
            <w:shd w:val="clear" w:color="auto" w:fill="auto"/>
            <w:tcMar>
              <w:top w:w="40" w:type="dxa"/>
              <w:left w:w="40" w:type="dxa"/>
              <w:bottom w:w="40" w:type="dxa"/>
            </w:tcMar>
            <w:vAlign w:val="bottom"/>
          </w:tcPr>
          <w:p w14:paraId="5556F613"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Years Ended December 31,</w:t>
            </w:r>
          </w:p>
        </w:tc>
      </w:tr>
      <w:tr w:rsidR="00F925DD" w14:paraId="5556F61B" w14:textId="77777777">
        <w:tc>
          <w:tcPr>
            <w:tcW w:w="0" w:type="auto"/>
            <w:shd w:val="clear" w:color="auto" w:fill="auto"/>
            <w:tcMar>
              <w:top w:w="40" w:type="dxa"/>
              <w:left w:w="40" w:type="dxa"/>
              <w:bottom w:w="40" w:type="dxa"/>
              <w:right w:w="40" w:type="dxa"/>
            </w:tcMar>
            <w:vAlign w:val="bottom"/>
          </w:tcPr>
          <w:p w14:paraId="5556F6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F61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F6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F61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5556F6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F61A"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r>
      <w:tr w:rsidR="00F925DD" w14:paraId="5556F62E" w14:textId="77777777">
        <w:tc>
          <w:tcPr>
            <w:tcW w:w="0" w:type="auto"/>
            <w:shd w:val="clear" w:color="auto" w:fill="auto"/>
            <w:tcMar>
              <w:top w:w="40" w:type="dxa"/>
              <w:left w:w="40" w:type="dxa"/>
              <w:bottom w:w="40" w:type="dxa"/>
              <w:right w:w="40" w:type="dxa"/>
            </w:tcMar>
            <w:vAlign w:val="bottom"/>
          </w:tcPr>
          <w:p w14:paraId="5556F61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61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Non-U.S.</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F6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61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U.S.</w:t>
            </w:r>
          </w:p>
        </w:tc>
        <w:tc>
          <w:tcPr>
            <w:tcW w:w="0" w:type="auto"/>
            <w:shd w:val="clear" w:color="auto" w:fill="auto"/>
            <w:tcMar>
              <w:top w:w="40" w:type="dxa"/>
              <w:left w:w="40" w:type="dxa"/>
              <w:bottom w:w="40" w:type="dxa"/>
              <w:right w:w="40" w:type="dxa"/>
            </w:tcMar>
            <w:vAlign w:val="bottom"/>
          </w:tcPr>
          <w:p w14:paraId="5556F6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62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Total</w:t>
            </w:r>
          </w:p>
        </w:tc>
        <w:tc>
          <w:tcPr>
            <w:tcW w:w="0" w:type="auto"/>
            <w:shd w:val="clear" w:color="auto" w:fill="auto"/>
            <w:tcMar>
              <w:top w:w="40" w:type="dxa"/>
              <w:left w:w="40" w:type="dxa"/>
              <w:bottom w:w="40" w:type="dxa"/>
              <w:right w:w="40" w:type="dxa"/>
            </w:tcMar>
            <w:vAlign w:val="bottom"/>
          </w:tcPr>
          <w:p w14:paraId="5556F6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623"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Non-U.S.</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F6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625"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U.S.</w:t>
            </w:r>
          </w:p>
        </w:tc>
        <w:tc>
          <w:tcPr>
            <w:tcW w:w="0" w:type="auto"/>
            <w:shd w:val="clear" w:color="auto" w:fill="auto"/>
            <w:tcMar>
              <w:top w:w="40" w:type="dxa"/>
              <w:left w:w="40" w:type="dxa"/>
              <w:bottom w:w="40" w:type="dxa"/>
              <w:right w:w="40" w:type="dxa"/>
            </w:tcMar>
            <w:vAlign w:val="bottom"/>
          </w:tcPr>
          <w:p w14:paraId="5556F6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627"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Total</w:t>
            </w:r>
          </w:p>
        </w:tc>
        <w:tc>
          <w:tcPr>
            <w:tcW w:w="0" w:type="auto"/>
            <w:shd w:val="clear" w:color="auto" w:fill="auto"/>
            <w:tcMar>
              <w:top w:w="40" w:type="dxa"/>
              <w:left w:w="40" w:type="dxa"/>
              <w:bottom w:w="40" w:type="dxa"/>
              <w:right w:w="40" w:type="dxa"/>
            </w:tcMar>
            <w:vAlign w:val="bottom"/>
          </w:tcPr>
          <w:p w14:paraId="5556F6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629"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Non-U.S.</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F6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62B"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U.S.</w:t>
            </w:r>
          </w:p>
        </w:tc>
        <w:tc>
          <w:tcPr>
            <w:tcW w:w="0" w:type="auto"/>
            <w:shd w:val="clear" w:color="auto" w:fill="auto"/>
            <w:tcMar>
              <w:top w:w="40" w:type="dxa"/>
              <w:left w:w="40" w:type="dxa"/>
              <w:bottom w:w="40" w:type="dxa"/>
              <w:right w:w="40" w:type="dxa"/>
            </w:tcMar>
            <w:vAlign w:val="bottom"/>
          </w:tcPr>
          <w:p w14:paraId="5556F6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62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Total</w:t>
            </w:r>
          </w:p>
        </w:tc>
      </w:tr>
      <w:tr w:rsidR="00E705D7" w14:paraId="5556F653" w14:textId="77777777">
        <w:tc>
          <w:tcPr>
            <w:tcW w:w="0" w:type="auto"/>
            <w:shd w:val="clear" w:color="auto" w:fill="CCEEFF"/>
            <w:tcMar>
              <w:top w:w="40" w:type="dxa"/>
              <w:left w:w="40" w:type="dxa"/>
              <w:bottom w:w="40" w:type="dxa"/>
              <w:right w:w="40" w:type="dxa"/>
            </w:tcMar>
            <w:vAlign w:val="bottom"/>
          </w:tcPr>
          <w:p w14:paraId="5556F62F"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revenue</w:t>
            </w:r>
          </w:p>
        </w:tc>
        <w:tc>
          <w:tcPr>
            <w:tcW w:w="0" w:type="auto"/>
            <w:shd w:val="clear" w:color="auto" w:fill="CCEEFF"/>
            <w:tcMar>
              <w:top w:w="40" w:type="dxa"/>
              <w:left w:w="40" w:type="dxa"/>
              <w:bottom w:w="40" w:type="dxa"/>
            </w:tcMar>
            <w:vAlign w:val="bottom"/>
          </w:tcPr>
          <w:p w14:paraId="5556F63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F63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4,974</w:t>
            </w:r>
          </w:p>
        </w:tc>
        <w:tc>
          <w:tcPr>
            <w:tcW w:w="0" w:type="auto"/>
            <w:shd w:val="clear" w:color="auto" w:fill="CCEEFF"/>
            <w:vAlign w:val="bottom"/>
          </w:tcPr>
          <w:p w14:paraId="5556F63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634"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F63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6,782</w:t>
            </w:r>
          </w:p>
        </w:tc>
        <w:tc>
          <w:tcPr>
            <w:tcW w:w="0" w:type="auto"/>
            <w:shd w:val="clear" w:color="auto" w:fill="CCEEFF"/>
            <w:vAlign w:val="bottom"/>
          </w:tcPr>
          <w:p w14:paraId="5556F63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638"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F63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11,756</w:t>
            </w:r>
          </w:p>
        </w:tc>
        <w:tc>
          <w:tcPr>
            <w:tcW w:w="0" w:type="auto"/>
            <w:tcBorders>
              <w:top w:val="single" w:sz="8" w:space="0" w:color="000000"/>
            </w:tcBorders>
            <w:shd w:val="clear" w:color="auto" w:fill="CCEEFF"/>
            <w:vAlign w:val="bottom"/>
          </w:tcPr>
          <w:p w14:paraId="5556F6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63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F63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5,190</w:t>
            </w:r>
          </w:p>
        </w:tc>
        <w:tc>
          <w:tcPr>
            <w:tcW w:w="0" w:type="auto"/>
            <w:shd w:val="clear" w:color="auto" w:fill="CCEEFF"/>
            <w:vAlign w:val="bottom"/>
          </w:tcPr>
          <w:p w14:paraId="5556F6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640"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F64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6,941</w:t>
            </w:r>
          </w:p>
        </w:tc>
        <w:tc>
          <w:tcPr>
            <w:tcW w:w="0" w:type="auto"/>
            <w:shd w:val="clear" w:color="auto" w:fill="CCEEFF"/>
            <w:vAlign w:val="bottom"/>
          </w:tcPr>
          <w:p w14:paraId="5556F6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64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F64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12,131</w:t>
            </w:r>
          </w:p>
        </w:tc>
        <w:tc>
          <w:tcPr>
            <w:tcW w:w="0" w:type="auto"/>
            <w:tcBorders>
              <w:top w:val="single" w:sz="8" w:space="0" w:color="000000"/>
            </w:tcBorders>
            <w:shd w:val="clear" w:color="auto" w:fill="CCEEFF"/>
            <w:vAlign w:val="bottom"/>
          </w:tcPr>
          <w:p w14:paraId="5556F64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648"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F64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4,734</w:t>
            </w:r>
          </w:p>
        </w:tc>
        <w:tc>
          <w:tcPr>
            <w:tcW w:w="0" w:type="auto"/>
            <w:shd w:val="clear" w:color="auto" w:fill="CCEEFF"/>
            <w:vAlign w:val="bottom"/>
          </w:tcPr>
          <w:p w14:paraId="5556F64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64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F64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6,532</w:t>
            </w:r>
          </w:p>
        </w:tc>
        <w:tc>
          <w:tcPr>
            <w:tcW w:w="0" w:type="auto"/>
            <w:shd w:val="clear" w:color="auto" w:fill="CCEEFF"/>
            <w:vAlign w:val="bottom"/>
          </w:tcPr>
          <w:p w14:paraId="5556F64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650"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top w:val="single" w:sz="8" w:space="0" w:color="000000"/>
            </w:tcBorders>
            <w:shd w:val="clear" w:color="auto" w:fill="CCEEFF"/>
            <w:tcMar>
              <w:top w:w="40" w:type="dxa"/>
              <w:bottom w:w="40" w:type="dxa"/>
            </w:tcMar>
            <w:vAlign w:val="bottom"/>
          </w:tcPr>
          <w:p w14:paraId="5556F65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11,266</w:t>
            </w:r>
          </w:p>
        </w:tc>
        <w:tc>
          <w:tcPr>
            <w:tcW w:w="0" w:type="auto"/>
            <w:tcBorders>
              <w:top w:val="single" w:sz="8" w:space="0" w:color="000000"/>
            </w:tcBorders>
            <w:shd w:val="clear" w:color="auto" w:fill="CCEEFF"/>
            <w:vAlign w:val="bottom"/>
          </w:tcPr>
          <w:p w14:paraId="5556F652" w14:textId="77777777" w:rsidR="00F925DD" w:rsidRDefault="00F925DD">
            <w:pPr>
              <w:textAlignment w:val="bottom"/>
              <w:rPr>
                <w:rFonts w:ascii="Times New Roman" w:hAnsi="Times New Roman"/>
                <w:sz w:val="20"/>
                <w:szCs w:val="20"/>
              </w:rPr>
            </w:pPr>
          </w:p>
        </w:tc>
      </w:tr>
      <w:tr w:rsidR="00F925DD" w14:paraId="5556F66F" w14:textId="77777777">
        <w:tc>
          <w:tcPr>
            <w:tcW w:w="0" w:type="auto"/>
            <w:shd w:val="clear" w:color="auto" w:fill="auto"/>
            <w:tcMar>
              <w:top w:w="40" w:type="dxa"/>
              <w:left w:w="40" w:type="dxa"/>
              <w:bottom w:w="40" w:type="dxa"/>
              <w:right w:w="40" w:type="dxa"/>
            </w:tcMar>
            <w:vAlign w:val="bottom"/>
          </w:tcPr>
          <w:p w14:paraId="5556F654"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Income before income tax expense </w:t>
            </w:r>
          </w:p>
        </w:tc>
        <w:tc>
          <w:tcPr>
            <w:tcW w:w="0" w:type="auto"/>
            <w:gridSpan w:val="2"/>
            <w:shd w:val="clear" w:color="auto" w:fill="auto"/>
            <w:tcMar>
              <w:top w:w="40" w:type="dxa"/>
              <w:left w:w="40" w:type="dxa"/>
              <w:bottom w:w="40" w:type="dxa"/>
            </w:tcMar>
            <w:vAlign w:val="bottom"/>
          </w:tcPr>
          <w:p w14:paraId="5556F65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1,159</w:t>
            </w:r>
          </w:p>
        </w:tc>
        <w:tc>
          <w:tcPr>
            <w:tcW w:w="0" w:type="auto"/>
            <w:shd w:val="clear" w:color="auto" w:fill="auto"/>
            <w:vAlign w:val="bottom"/>
          </w:tcPr>
          <w:p w14:paraId="5556F6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65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1,553</w:t>
            </w:r>
          </w:p>
        </w:tc>
        <w:tc>
          <w:tcPr>
            <w:tcW w:w="0" w:type="auto"/>
            <w:shd w:val="clear" w:color="auto" w:fill="auto"/>
            <w:vAlign w:val="bottom"/>
          </w:tcPr>
          <w:p w14:paraId="5556F65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65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2,712</w:t>
            </w:r>
          </w:p>
        </w:tc>
        <w:tc>
          <w:tcPr>
            <w:tcW w:w="0" w:type="auto"/>
            <w:shd w:val="clear" w:color="auto" w:fill="auto"/>
            <w:vAlign w:val="bottom"/>
          </w:tcPr>
          <w:p w14:paraId="5556F65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65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1,294</w:t>
            </w:r>
          </w:p>
        </w:tc>
        <w:tc>
          <w:tcPr>
            <w:tcW w:w="0" w:type="auto"/>
            <w:shd w:val="clear" w:color="auto" w:fill="auto"/>
            <w:vAlign w:val="bottom"/>
          </w:tcPr>
          <w:p w14:paraId="5556F65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66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1,807</w:t>
            </w:r>
          </w:p>
        </w:tc>
        <w:tc>
          <w:tcPr>
            <w:tcW w:w="0" w:type="auto"/>
            <w:shd w:val="clear" w:color="auto" w:fill="auto"/>
            <w:vAlign w:val="bottom"/>
          </w:tcPr>
          <w:p w14:paraId="5556F66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66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3,101</w:t>
            </w:r>
          </w:p>
        </w:tc>
        <w:tc>
          <w:tcPr>
            <w:tcW w:w="0" w:type="auto"/>
            <w:shd w:val="clear" w:color="auto" w:fill="auto"/>
            <w:vAlign w:val="bottom"/>
          </w:tcPr>
          <w:p w14:paraId="5556F66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66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1,230</w:t>
            </w:r>
          </w:p>
        </w:tc>
        <w:tc>
          <w:tcPr>
            <w:tcW w:w="0" w:type="auto"/>
            <w:shd w:val="clear" w:color="auto" w:fill="auto"/>
            <w:vAlign w:val="bottom"/>
          </w:tcPr>
          <w:p w14:paraId="5556F66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66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1,765</w:t>
            </w:r>
          </w:p>
        </w:tc>
        <w:tc>
          <w:tcPr>
            <w:tcW w:w="0" w:type="auto"/>
            <w:shd w:val="clear" w:color="auto" w:fill="auto"/>
            <w:vAlign w:val="bottom"/>
          </w:tcPr>
          <w:p w14:paraId="5556F66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66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2,995</w:t>
            </w:r>
          </w:p>
        </w:tc>
        <w:tc>
          <w:tcPr>
            <w:tcW w:w="0" w:type="auto"/>
            <w:shd w:val="clear" w:color="auto" w:fill="auto"/>
            <w:vAlign w:val="bottom"/>
          </w:tcPr>
          <w:p w14:paraId="5556F66E" w14:textId="77777777" w:rsidR="00F925DD" w:rsidRDefault="00F925DD">
            <w:pPr>
              <w:textAlignment w:val="bottom"/>
              <w:rPr>
                <w:rFonts w:ascii="Times New Roman" w:hAnsi="Times New Roman"/>
                <w:sz w:val="20"/>
                <w:szCs w:val="20"/>
              </w:rPr>
            </w:pPr>
          </w:p>
        </w:tc>
      </w:tr>
    </w:tbl>
    <w:p w14:paraId="5556F670"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409"/>
        <w:gridCol w:w="4319"/>
        <w:gridCol w:w="1578"/>
      </w:tblGrid>
      <w:tr w:rsidR="00F925DD" w14:paraId="5556F672" w14:textId="77777777">
        <w:tc>
          <w:tcPr>
            <w:tcW w:w="0" w:type="auto"/>
            <w:gridSpan w:val="3"/>
            <w:shd w:val="clear" w:color="auto" w:fill="auto"/>
            <w:vAlign w:val="center"/>
          </w:tcPr>
          <w:p w14:paraId="5556F671" w14:textId="77777777" w:rsidR="00F925DD" w:rsidRDefault="00F925DD">
            <w:pPr>
              <w:rPr>
                <w:rFonts w:ascii="Times New Roman" w:hAnsi="Times New Roman"/>
                <w:sz w:val="20"/>
                <w:szCs w:val="20"/>
              </w:rPr>
            </w:pPr>
          </w:p>
        </w:tc>
      </w:tr>
      <w:tr w:rsidR="00F925DD" w14:paraId="5556F676" w14:textId="77777777">
        <w:tc>
          <w:tcPr>
            <w:tcW w:w="1450" w:type="pct"/>
            <w:shd w:val="clear" w:color="auto" w:fill="auto"/>
            <w:vAlign w:val="center"/>
          </w:tcPr>
          <w:p w14:paraId="5556F673" w14:textId="77777777" w:rsidR="00F925DD" w:rsidRDefault="00F925DD">
            <w:pPr>
              <w:rPr>
                <w:rFonts w:ascii="Times New Roman" w:hAnsi="Times New Roman"/>
                <w:sz w:val="20"/>
                <w:szCs w:val="20"/>
              </w:rPr>
            </w:pPr>
          </w:p>
        </w:tc>
        <w:tc>
          <w:tcPr>
            <w:tcW w:w="2600" w:type="pct"/>
            <w:shd w:val="clear" w:color="auto" w:fill="auto"/>
            <w:vAlign w:val="center"/>
          </w:tcPr>
          <w:p w14:paraId="5556F674" w14:textId="77777777" w:rsidR="00F925DD" w:rsidRDefault="00F925DD">
            <w:pPr>
              <w:rPr>
                <w:rFonts w:ascii="Times New Roman" w:hAnsi="Times New Roman"/>
                <w:sz w:val="20"/>
                <w:szCs w:val="20"/>
              </w:rPr>
            </w:pPr>
          </w:p>
        </w:tc>
        <w:tc>
          <w:tcPr>
            <w:tcW w:w="950" w:type="pct"/>
            <w:shd w:val="clear" w:color="auto" w:fill="auto"/>
            <w:vAlign w:val="center"/>
          </w:tcPr>
          <w:p w14:paraId="5556F675" w14:textId="77777777" w:rsidR="00F925DD" w:rsidRDefault="00F925DD">
            <w:pPr>
              <w:rPr>
                <w:rFonts w:ascii="Times New Roman" w:hAnsi="Times New Roman"/>
                <w:sz w:val="20"/>
                <w:szCs w:val="20"/>
              </w:rPr>
            </w:pPr>
          </w:p>
        </w:tc>
      </w:tr>
      <w:tr w:rsidR="00F925DD" w14:paraId="5556F67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F6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6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6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F67B"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Geographic mix is generally based on the domicile of the entity servicing the funds and is not necessarily representative of the underlying asset mix.</w:t>
      </w:r>
    </w:p>
    <w:p w14:paraId="5556F67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Non-U.S. assets were $83.28 billion and $81.69 billion as of December 31, 2019 and 2018, respectively.</w:t>
      </w:r>
    </w:p>
    <w:p w14:paraId="5556F67D"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27.     Parent Company Financial Statements</w:t>
      </w:r>
    </w:p>
    <w:p w14:paraId="5556F67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tables present the financial statements of the Parent Company without </w:t>
      </w:r>
      <w:r>
        <w:rPr>
          <w:rFonts w:ascii="Arial" w:eastAsia="宋体" w:hAnsi="Arial" w:cs="Arial"/>
          <w:sz w:val="20"/>
          <w:szCs w:val="20"/>
        </w:rPr>
        <w:t>consolidation of its banking and non-banking subsidiaries, as of and for the years indicated:</w:t>
      </w:r>
    </w:p>
    <w:p w14:paraId="5556F67F"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Statement of Income - Parent Company</w:t>
      </w:r>
    </w:p>
    <w:tbl>
      <w:tblPr>
        <w:tblW w:w="5000" w:type="pct"/>
        <w:tblCellMar>
          <w:left w:w="0" w:type="dxa"/>
          <w:right w:w="0" w:type="dxa"/>
        </w:tblCellMar>
        <w:tblLook w:val="04A0" w:firstRow="1" w:lastRow="0" w:firstColumn="1" w:lastColumn="0" w:noHBand="0" w:noVBand="1"/>
      </w:tblPr>
      <w:tblGrid>
        <w:gridCol w:w="4834"/>
        <w:gridCol w:w="129"/>
        <w:gridCol w:w="847"/>
        <w:gridCol w:w="94"/>
        <w:gridCol w:w="130"/>
        <w:gridCol w:w="129"/>
        <w:gridCol w:w="848"/>
        <w:gridCol w:w="94"/>
        <w:gridCol w:w="130"/>
        <w:gridCol w:w="129"/>
        <w:gridCol w:w="848"/>
        <w:gridCol w:w="94"/>
      </w:tblGrid>
      <w:tr w:rsidR="00F925DD" w14:paraId="5556F681" w14:textId="77777777">
        <w:tc>
          <w:tcPr>
            <w:tcW w:w="0" w:type="auto"/>
            <w:gridSpan w:val="12"/>
            <w:shd w:val="clear" w:color="auto" w:fill="auto"/>
            <w:vAlign w:val="center"/>
          </w:tcPr>
          <w:p w14:paraId="5556F680" w14:textId="77777777" w:rsidR="00F925DD" w:rsidRDefault="00F925DD">
            <w:pPr>
              <w:rPr>
                <w:rFonts w:ascii="Times New Roman" w:hAnsi="Times New Roman"/>
                <w:sz w:val="20"/>
                <w:szCs w:val="20"/>
              </w:rPr>
            </w:pPr>
          </w:p>
        </w:tc>
      </w:tr>
      <w:tr w:rsidR="00F925DD" w14:paraId="5556F68E" w14:textId="77777777">
        <w:tc>
          <w:tcPr>
            <w:tcW w:w="2950" w:type="pct"/>
            <w:shd w:val="clear" w:color="auto" w:fill="auto"/>
            <w:vAlign w:val="center"/>
          </w:tcPr>
          <w:p w14:paraId="5556F682" w14:textId="77777777" w:rsidR="00F925DD" w:rsidRDefault="00F925DD">
            <w:pPr>
              <w:rPr>
                <w:rFonts w:ascii="Times New Roman" w:hAnsi="Times New Roman"/>
                <w:sz w:val="20"/>
                <w:szCs w:val="20"/>
              </w:rPr>
            </w:pPr>
          </w:p>
        </w:tc>
        <w:tc>
          <w:tcPr>
            <w:tcW w:w="50" w:type="pct"/>
            <w:shd w:val="clear" w:color="auto" w:fill="auto"/>
            <w:vAlign w:val="center"/>
          </w:tcPr>
          <w:p w14:paraId="5556F683" w14:textId="77777777" w:rsidR="00F925DD" w:rsidRDefault="00F925DD">
            <w:pPr>
              <w:rPr>
                <w:rFonts w:ascii="Times New Roman" w:hAnsi="Times New Roman"/>
                <w:sz w:val="20"/>
                <w:szCs w:val="20"/>
              </w:rPr>
            </w:pPr>
          </w:p>
        </w:tc>
        <w:tc>
          <w:tcPr>
            <w:tcW w:w="550" w:type="pct"/>
            <w:shd w:val="clear" w:color="auto" w:fill="auto"/>
            <w:vAlign w:val="center"/>
          </w:tcPr>
          <w:p w14:paraId="5556F684" w14:textId="77777777" w:rsidR="00F925DD" w:rsidRDefault="00F925DD">
            <w:pPr>
              <w:rPr>
                <w:rFonts w:ascii="Times New Roman" w:hAnsi="Times New Roman"/>
                <w:sz w:val="20"/>
                <w:szCs w:val="20"/>
              </w:rPr>
            </w:pPr>
          </w:p>
        </w:tc>
        <w:tc>
          <w:tcPr>
            <w:tcW w:w="50" w:type="pct"/>
            <w:shd w:val="clear" w:color="auto" w:fill="auto"/>
            <w:vAlign w:val="center"/>
          </w:tcPr>
          <w:p w14:paraId="5556F685" w14:textId="77777777" w:rsidR="00F925DD" w:rsidRDefault="00F925DD">
            <w:pPr>
              <w:rPr>
                <w:rFonts w:ascii="Times New Roman" w:hAnsi="Times New Roman"/>
                <w:sz w:val="20"/>
                <w:szCs w:val="20"/>
              </w:rPr>
            </w:pPr>
          </w:p>
        </w:tc>
        <w:tc>
          <w:tcPr>
            <w:tcW w:w="50" w:type="pct"/>
            <w:shd w:val="clear" w:color="auto" w:fill="auto"/>
            <w:vAlign w:val="center"/>
          </w:tcPr>
          <w:p w14:paraId="5556F686" w14:textId="77777777" w:rsidR="00F925DD" w:rsidRDefault="00F925DD">
            <w:pPr>
              <w:rPr>
                <w:rFonts w:ascii="Times New Roman" w:hAnsi="Times New Roman"/>
                <w:sz w:val="20"/>
                <w:szCs w:val="20"/>
              </w:rPr>
            </w:pPr>
          </w:p>
        </w:tc>
        <w:tc>
          <w:tcPr>
            <w:tcW w:w="50" w:type="pct"/>
            <w:shd w:val="clear" w:color="auto" w:fill="auto"/>
            <w:vAlign w:val="center"/>
          </w:tcPr>
          <w:p w14:paraId="5556F687" w14:textId="77777777" w:rsidR="00F925DD" w:rsidRDefault="00F925DD">
            <w:pPr>
              <w:rPr>
                <w:rFonts w:ascii="Times New Roman" w:hAnsi="Times New Roman"/>
                <w:sz w:val="20"/>
                <w:szCs w:val="20"/>
              </w:rPr>
            </w:pPr>
          </w:p>
        </w:tc>
        <w:tc>
          <w:tcPr>
            <w:tcW w:w="550" w:type="pct"/>
            <w:shd w:val="clear" w:color="auto" w:fill="auto"/>
            <w:vAlign w:val="center"/>
          </w:tcPr>
          <w:p w14:paraId="5556F688" w14:textId="77777777" w:rsidR="00F925DD" w:rsidRDefault="00F925DD">
            <w:pPr>
              <w:rPr>
                <w:rFonts w:ascii="Times New Roman" w:hAnsi="Times New Roman"/>
                <w:sz w:val="20"/>
                <w:szCs w:val="20"/>
              </w:rPr>
            </w:pPr>
          </w:p>
        </w:tc>
        <w:tc>
          <w:tcPr>
            <w:tcW w:w="50" w:type="pct"/>
            <w:shd w:val="clear" w:color="auto" w:fill="auto"/>
            <w:vAlign w:val="center"/>
          </w:tcPr>
          <w:p w14:paraId="5556F689" w14:textId="77777777" w:rsidR="00F925DD" w:rsidRDefault="00F925DD">
            <w:pPr>
              <w:rPr>
                <w:rFonts w:ascii="Times New Roman" w:hAnsi="Times New Roman"/>
                <w:sz w:val="20"/>
                <w:szCs w:val="20"/>
              </w:rPr>
            </w:pPr>
          </w:p>
        </w:tc>
        <w:tc>
          <w:tcPr>
            <w:tcW w:w="50" w:type="pct"/>
            <w:shd w:val="clear" w:color="auto" w:fill="auto"/>
            <w:vAlign w:val="center"/>
          </w:tcPr>
          <w:p w14:paraId="5556F68A" w14:textId="77777777" w:rsidR="00F925DD" w:rsidRDefault="00F925DD">
            <w:pPr>
              <w:rPr>
                <w:rFonts w:ascii="Times New Roman" w:hAnsi="Times New Roman"/>
                <w:sz w:val="20"/>
                <w:szCs w:val="20"/>
              </w:rPr>
            </w:pPr>
          </w:p>
        </w:tc>
        <w:tc>
          <w:tcPr>
            <w:tcW w:w="50" w:type="pct"/>
            <w:shd w:val="clear" w:color="auto" w:fill="auto"/>
            <w:vAlign w:val="center"/>
          </w:tcPr>
          <w:p w14:paraId="5556F68B" w14:textId="77777777" w:rsidR="00F925DD" w:rsidRDefault="00F925DD">
            <w:pPr>
              <w:rPr>
                <w:rFonts w:ascii="Times New Roman" w:hAnsi="Times New Roman"/>
                <w:sz w:val="20"/>
                <w:szCs w:val="20"/>
              </w:rPr>
            </w:pPr>
          </w:p>
        </w:tc>
        <w:tc>
          <w:tcPr>
            <w:tcW w:w="550" w:type="pct"/>
            <w:shd w:val="clear" w:color="auto" w:fill="auto"/>
            <w:vAlign w:val="center"/>
          </w:tcPr>
          <w:p w14:paraId="5556F68C" w14:textId="77777777" w:rsidR="00F925DD" w:rsidRDefault="00F925DD">
            <w:pPr>
              <w:rPr>
                <w:rFonts w:ascii="Times New Roman" w:hAnsi="Times New Roman"/>
                <w:sz w:val="20"/>
                <w:szCs w:val="20"/>
              </w:rPr>
            </w:pPr>
          </w:p>
        </w:tc>
        <w:tc>
          <w:tcPr>
            <w:tcW w:w="50" w:type="pct"/>
            <w:shd w:val="clear" w:color="auto" w:fill="auto"/>
            <w:vAlign w:val="center"/>
          </w:tcPr>
          <w:p w14:paraId="5556F68D" w14:textId="77777777" w:rsidR="00F925DD" w:rsidRDefault="00F925DD">
            <w:pPr>
              <w:rPr>
                <w:rFonts w:ascii="Times New Roman" w:hAnsi="Times New Roman"/>
                <w:sz w:val="20"/>
                <w:szCs w:val="20"/>
              </w:rPr>
            </w:pPr>
          </w:p>
        </w:tc>
      </w:tr>
      <w:tr w:rsidR="00F925DD" w14:paraId="5556F691" w14:textId="77777777">
        <w:tc>
          <w:tcPr>
            <w:tcW w:w="0" w:type="auto"/>
            <w:shd w:val="clear" w:color="auto" w:fill="auto"/>
            <w:tcMar>
              <w:top w:w="40" w:type="dxa"/>
              <w:left w:w="40" w:type="dxa"/>
              <w:bottom w:w="40" w:type="dxa"/>
              <w:right w:w="40" w:type="dxa"/>
            </w:tcMar>
            <w:vAlign w:val="bottom"/>
          </w:tcPr>
          <w:p w14:paraId="5556F6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F690"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Years Ended December 31,</w:t>
            </w:r>
          </w:p>
        </w:tc>
      </w:tr>
      <w:tr w:rsidR="00F925DD" w14:paraId="5556F698" w14:textId="77777777">
        <w:tc>
          <w:tcPr>
            <w:tcW w:w="0" w:type="auto"/>
            <w:shd w:val="clear" w:color="auto" w:fill="auto"/>
            <w:tcMar>
              <w:top w:w="40" w:type="dxa"/>
              <w:left w:w="40" w:type="dxa"/>
              <w:bottom w:w="40" w:type="dxa"/>
              <w:right w:w="40" w:type="dxa"/>
            </w:tcMar>
            <w:vAlign w:val="bottom"/>
          </w:tcPr>
          <w:p w14:paraId="5556F69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693"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F6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695"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5556F6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697"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r>
      <w:tr w:rsidR="00F925DD" w14:paraId="5556F6A5" w14:textId="77777777">
        <w:tc>
          <w:tcPr>
            <w:tcW w:w="0" w:type="auto"/>
            <w:shd w:val="clear" w:color="auto" w:fill="CCEEFF"/>
            <w:tcMar>
              <w:top w:w="40" w:type="dxa"/>
              <w:left w:w="40" w:type="dxa"/>
              <w:bottom w:w="40" w:type="dxa"/>
              <w:right w:w="40" w:type="dxa"/>
            </w:tcMar>
            <w:vAlign w:val="bottom"/>
          </w:tcPr>
          <w:p w14:paraId="5556F699"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Cash dividends from consolidated banking </w:t>
            </w:r>
            <w:r>
              <w:rPr>
                <w:rFonts w:ascii="Arial" w:eastAsia="宋体" w:hAnsi="Arial" w:cs="Arial"/>
                <w:sz w:val="16"/>
                <w:szCs w:val="16"/>
              </w:rPr>
              <w:t>subsidiary</w:t>
            </w:r>
          </w:p>
        </w:tc>
        <w:tc>
          <w:tcPr>
            <w:tcW w:w="0" w:type="auto"/>
            <w:tcBorders>
              <w:top w:val="single" w:sz="8" w:space="0" w:color="000000"/>
            </w:tcBorders>
            <w:shd w:val="clear" w:color="auto" w:fill="CCEEFF"/>
            <w:tcMar>
              <w:top w:w="40" w:type="dxa"/>
              <w:left w:w="40" w:type="dxa"/>
              <w:bottom w:w="40" w:type="dxa"/>
            </w:tcMar>
            <w:vAlign w:val="bottom"/>
          </w:tcPr>
          <w:p w14:paraId="5556F69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F69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3,300</w:t>
            </w:r>
          </w:p>
        </w:tc>
        <w:tc>
          <w:tcPr>
            <w:tcW w:w="0" w:type="auto"/>
            <w:tcBorders>
              <w:top w:val="single" w:sz="8" w:space="0" w:color="000000"/>
            </w:tcBorders>
            <w:shd w:val="clear" w:color="auto" w:fill="CCEEFF"/>
            <w:vAlign w:val="bottom"/>
          </w:tcPr>
          <w:p w14:paraId="5556F6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69E"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F69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785</w:t>
            </w:r>
          </w:p>
        </w:tc>
        <w:tc>
          <w:tcPr>
            <w:tcW w:w="0" w:type="auto"/>
            <w:shd w:val="clear" w:color="auto" w:fill="CCEEFF"/>
            <w:vAlign w:val="bottom"/>
          </w:tcPr>
          <w:p w14:paraId="5556F6A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6A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F6A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2,224</w:t>
            </w:r>
          </w:p>
        </w:tc>
        <w:tc>
          <w:tcPr>
            <w:tcW w:w="0" w:type="auto"/>
            <w:shd w:val="clear" w:color="auto" w:fill="CCEEFF"/>
            <w:vAlign w:val="bottom"/>
          </w:tcPr>
          <w:p w14:paraId="5556F6A4" w14:textId="77777777" w:rsidR="00F925DD" w:rsidRDefault="00F925DD">
            <w:pPr>
              <w:textAlignment w:val="bottom"/>
              <w:rPr>
                <w:rFonts w:ascii="Times New Roman" w:hAnsi="Times New Roman"/>
                <w:sz w:val="20"/>
                <w:szCs w:val="20"/>
              </w:rPr>
            </w:pPr>
          </w:p>
        </w:tc>
      </w:tr>
      <w:tr w:rsidR="00F925DD" w14:paraId="5556F6AF" w14:textId="77777777">
        <w:tc>
          <w:tcPr>
            <w:tcW w:w="0" w:type="auto"/>
            <w:shd w:val="clear" w:color="auto" w:fill="auto"/>
            <w:tcMar>
              <w:top w:w="40" w:type="dxa"/>
              <w:left w:w="40" w:type="dxa"/>
              <w:bottom w:w="40" w:type="dxa"/>
              <w:right w:w="40" w:type="dxa"/>
            </w:tcMar>
            <w:vAlign w:val="bottom"/>
          </w:tcPr>
          <w:p w14:paraId="5556F6A6" w14:textId="77777777" w:rsidR="00F925DD" w:rsidRDefault="00E705D7">
            <w:pPr>
              <w:textAlignment w:val="bottom"/>
              <w:rPr>
                <w:rFonts w:ascii="Times New Roman" w:hAnsi="Times New Roman"/>
                <w:sz w:val="16"/>
                <w:szCs w:val="16"/>
              </w:rPr>
            </w:pPr>
            <w:r>
              <w:rPr>
                <w:rFonts w:ascii="Arial" w:eastAsia="宋体" w:hAnsi="Arial" w:cs="Arial"/>
                <w:sz w:val="16"/>
                <w:szCs w:val="16"/>
              </w:rPr>
              <w:t>Cash dividends from consolidated non-banking subsidiaries and unconsolidated entities</w:t>
            </w:r>
          </w:p>
        </w:tc>
        <w:tc>
          <w:tcPr>
            <w:tcW w:w="0" w:type="auto"/>
            <w:gridSpan w:val="2"/>
            <w:shd w:val="clear" w:color="auto" w:fill="auto"/>
            <w:tcMar>
              <w:top w:w="40" w:type="dxa"/>
              <w:left w:w="40" w:type="dxa"/>
              <w:bottom w:w="40" w:type="dxa"/>
            </w:tcMar>
            <w:vAlign w:val="bottom"/>
          </w:tcPr>
          <w:p w14:paraId="5556F6A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285</w:t>
            </w:r>
          </w:p>
        </w:tc>
        <w:tc>
          <w:tcPr>
            <w:tcW w:w="0" w:type="auto"/>
            <w:shd w:val="clear" w:color="auto" w:fill="auto"/>
            <w:vAlign w:val="bottom"/>
          </w:tcPr>
          <w:p w14:paraId="5556F6A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6A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41</w:t>
            </w:r>
          </w:p>
        </w:tc>
        <w:tc>
          <w:tcPr>
            <w:tcW w:w="0" w:type="auto"/>
            <w:shd w:val="clear" w:color="auto" w:fill="auto"/>
            <w:vAlign w:val="bottom"/>
          </w:tcPr>
          <w:p w14:paraId="5556F6A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6A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w:t>
            </w:r>
          </w:p>
        </w:tc>
        <w:tc>
          <w:tcPr>
            <w:tcW w:w="0" w:type="auto"/>
            <w:shd w:val="clear" w:color="auto" w:fill="auto"/>
            <w:vAlign w:val="bottom"/>
          </w:tcPr>
          <w:p w14:paraId="5556F6AE" w14:textId="77777777" w:rsidR="00F925DD" w:rsidRDefault="00F925DD">
            <w:pPr>
              <w:textAlignment w:val="bottom"/>
              <w:rPr>
                <w:rFonts w:ascii="Times New Roman" w:hAnsi="Times New Roman"/>
                <w:sz w:val="20"/>
                <w:szCs w:val="20"/>
              </w:rPr>
            </w:pPr>
          </w:p>
        </w:tc>
      </w:tr>
      <w:tr w:rsidR="00F925DD" w14:paraId="5556F6B9" w14:textId="77777777">
        <w:tc>
          <w:tcPr>
            <w:tcW w:w="0" w:type="auto"/>
            <w:shd w:val="clear" w:color="auto" w:fill="CCEEFF"/>
            <w:tcMar>
              <w:top w:w="40" w:type="dxa"/>
              <w:left w:w="40" w:type="dxa"/>
              <w:bottom w:w="40" w:type="dxa"/>
              <w:right w:w="40" w:type="dxa"/>
            </w:tcMar>
            <w:vAlign w:val="bottom"/>
          </w:tcPr>
          <w:p w14:paraId="5556F6B0" w14:textId="77777777" w:rsidR="00F925DD" w:rsidRDefault="00E705D7">
            <w:pPr>
              <w:textAlignment w:val="bottom"/>
              <w:rPr>
                <w:rFonts w:ascii="Times New Roman" w:hAnsi="Times New Roman"/>
                <w:sz w:val="16"/>
                <w:szCs w:val="16"/>
              </w:rPr>
            </w:pPr>
            <w:r>
              <w:rPr>
                <w:rFonts w:ascii="Arial" w:eastAsia="宋体" w:hAnsi="Arial" w:cs="Arial"/>
                <w:sz w:val="16"/>
                <w:szCs w:val="16"/>
              </w:rPr>
              <w:t>Other, net</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6B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149</w:t>
            </w:r>
          </w:p>
        </w:tc>
        <w:tc>
          <w:tcPr>
            <w:tcW w:w="0" w:type="auto"/>
            <w:tcBorders>
              <w:bottom w:val="single" w:sz="8" w:space="0" w:color="000000"/>
            </w:tcBorders>
            <w:shd w:val="clear" w:color="auto" w:fill="CCEEFF"/>
            <w:vAlign w:val="bottom"/>
          </w:tcPr>
          <w:p w14:paraId="5556F6B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6B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58</w:t>
            </w:r>
          </w:p>
        </w:tc>
        <w:tc>
          <w:tcPr>
            <w:tcW w:w="0" w:type="auto"/>
            <w:tcBorders>
              <w:bottom w:val="single" w:sz="8" w:space="0" w:color="000000"/>
            </w:tcBorders>
            <w:shd w:val="clear" w:color="auto" w:fill="CCEEFF"/>
            <w:vAlign w:val="bottom"/>
          </w:tcPr>
          <w:p w14:paraId="5556F6B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6B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127</w:t>
            </w:r>
          </w:p>
        </w:tc>
        <w:tc>
          <w:tcPr>
            <w:tcW w:w="0" w:type="auto"/>
            <w:tcBorders>
              <w:bottom w:val="single" w:sz="8" w:space="0" w:color="000000"/>
            </w:tcBorders>
            <w:shd w:val="clear" w:color="auto" w:fill="CCEEFF"/>
            <w:vAlign w:val="bottom"/>
          </w:tcPr>
          <w:p w14:paraId="5556F6B8" w14:textId="77777777" w:rsidR="00F925DD" w:rsidRDefault="00F925DD">
            <w:pPr>
              <w:textAlignment w:val="bottom"/>
              <w:rPr>
                <w:rFonts w:ascii="Times New Roman" w:hAnsi="Times New Roman"/>
                <w:sz w:val="20"/>
                <w:szCs w:val="20"/>
              </w:rPr>
            </w:pPr>
          </w:p>
        </w:tc>
      </w:tr>
      <w:tr w:rsidR="00F925DD" w14:paraId="5556F6C3" w14:textId="77777777">
        <w:tc>
          <w:tcPr>
            <w:tcW w:w="0" w:type="auto"/>
            <w:shd w:val="clear" w:color="auto" w:fill="auto"/>
            <w:tcMar>
              <w:top w:w="40" w:type="dxa"/>
              <w:left w:w="40" w:type="dxa"/>
              <w:bottom w:w="40" w:type="dxa"/>
              <w:right w:w="40" w:type="dxa"/>
            </w:tcMar>
            <w:vAlign w:val="bottom"/>
          </w:tcPr>
          <w:p w14:paraId="5556F6BA"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revenue</w:t>
            </w:r>
          </w:p>
        </w:tc>
        <w:tc>
          <w:tcPr>
            <w:tcW w:w="0" w:type="auto"/>
            <w:gridSpan w:val="2"/>
            <w:tcBorders>
              <w:top w:val="single" w:sz="8" w:space="0" w:color="000000"/>
            </w:tcBorders>
            <w:shd w:val="clear" w:color="auto" w:fill="auto"/>
            <w:tcMar>
              <w:top w:w="40" w:type="dxa"/>
              <w:left w:w="40" w:type="dxa"/>
              <w:bottom w:w="40" w:type="dxa"/>
            </w:tcMar>
            <w:vAlign w:val="bottom"/>
          </w:tcPr>
          <w:p w14:paraId="5556F6B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3,734</w:t>
            </w:r>
          </w:p>
        </w:tc>
        <w:tc>
          <w:tcPr>
            <w:tcW w:w="0" w:type="auto"/>
            <w:tcBorders>
              <w:top w:val="single" w:sz="8" w:space="0" w:color="000000"/>
            </w:tcBorders>
            <w:shd w:val="clear" w:color="auto" w:fill="auto"/>
            <w:vAlign w:val="bottom"/>
          </w:tcPr>
          <w:p w14:paraId="5556F6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6B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884</w:t>
            </w:r>
          </w:p>
        </w:tc>
        <w:tc>
          <w:tcPr>
            <w:tcW w:w="0" w:type="auto"/>
            <w:tcBorders>
              <w:top w:val="single" w:sz="8" w:space="0" w:color="000000"/>
            </w:tcBorders>
            <w:shd w:val="clear" w:color="auto" w:fill="auto"/>
            <w:vAlign w:val="bottom"/>
          </w:tcPr>
          <w:p w14:paraId="5556F6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6C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2,363</w:t>
            </w:r>
          </w:p>
        </w:tc>
        <w:tc>
          <w:tcPr>
            <w:tcW w:w="0" w:type="auto"/>
            <w:tcBorders>
              <w:top w:val="single" w:sz="8" w:space="0" w:color="000000"/>
            </w:tcBorders>
            <w:shd w:val="clear" w:color="auto" w:fill="auto"/>
            <w:vAlign w:val="bottom"/>
          </w:tcPr>
          <w:p w14:paraId="5556F6C2" w14:textId="77777777" w:rsidR="00F925DD" w:rsidRDefault="00F925DD">
            <w:pPr>
              <w:textAlignment w:val="bottom"/>
              <w:rPr>
                <w:rFonts w:ascii="Times New Roman" w:hAnsi="Times New Roman"/>
                <w:sz w:val="20"/>
                <w:szCs w:val="20"/>
              </w:rPr>
            </w:pPr>
          </w:p>
        </w:tc>
      </w:tr>
      <w:tr w:rsidR="00F925DD" w14:paraId="5556F6CD" w14:textId="77777777">
        <w:tc>
          <w:tcPr>
            <w:tcW w:w="0" w:type="auto"/>
            <w:shd w:val="clear" w:color="auto" w:fill="CCEEFF"/>
            <w:tcMar>
              <w:top w:w="40" w:type="dxa"/>
              <w:left w:w="40" w:type="dxa"/>
              <w:bottom w:w="40" w:type="dxa"/>
              <w:right w:w="40" w:type="dxa"/>
            </w:tcMar>
            <w:vAlign w:val="bottom"/>
          </w:tcPr>
          <w:p w14:paraId="5556F6C4" w14:textId="77777777" w:rsidR="00F925DD" w:rsidRDefault="00E705D7">
            <w:pPr>
              <w:textAlignment w:val="bottom"/>
              <w:rPr>
                <w:rFonts w:ascii="Times New Roman" w:hAnsi="Times New Roman"/>
                <w:sz w:val="16"/>
                <w:szCs w:val="16"/>
              </w:rPr>
            </w:pPr>
            <w:r>
              <w:rPr>
                <w:rFonts w:ascii="Arial" w:eastAsia="宋体" w:hAnsi="Arial" w:cs="Arial"/>
                <w:sz w:val="16"/>
                <w:szCs w:val="16"/>
              </w:rPr>
              <w:t>Interest expense</w:t>
            </w:r>
          </w:p>
        </w:tc>
        <w:tc>
          <w:tcPr>
            <w:tcW w:w="0" w:type="auto"/>
            <w:gridSpan w:val="2"/>
            <w:shd w:val="clear" w:color="auto" w:fill="CCEEFF"/>
            <w:tcMar>
              <w:top w:w="40" w:type="dxa"/>
              <w:left w:w="40" w:type="dxa"/>
              <w:bottom w:w="40" w:type="dxa"/>
            </w:tcMar>
            <w:vAlign w:val="bottom"/>
          </w:tcPr>
          <w:p w14:paraId="5556F6C5"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415</w:t>
            </w:r>
          </w:p>
        </w:tc>
        <w:tc>
          <w:tcPr>
            <w:tcW w:w="0" w:type="auto"/>
            <w:shd w:val="clear" w:color="auto" w:fill="CCEEFF"/>
            <w:vAlign w:val="bottom"/>
          </w:tcPr>
          <w:p w14:paraId="5556F6C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6C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381</w:t>
            </w:r>
          </w:p>
        </w:tc>
        <w:tc>
          <w:tcPr>
            <w:tcW w:w="0" w:type="auto"/>
            <w:shd w:val="clear" w:color="auto" w:fill="CCEEFF"/>
            <w:vAlign w:val="bottom"/>
          </w:tcPr>
          <w:p w14:paraId="5556F6C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6C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297</w:t>
            </w:r>
          </w:p>
        </w:tc>
        <w:tc>
          <w:tcPr>
            <w:tcW w:w="0" w:type="auto"/>
            <w:shd w:val="clear" w:color="auto" w:fill="CCEEFF"/>
            <w:vAlign w:val="bottom"/>
          </w:tcPr>
          <w:p w14:paraId="5556F6CC" w14:textId="77777777" w:rsidR="00F925DD" w:rsidRDefault="00F925DD">
            <w:pPr>
              <w:textAlignment w:val="bottom"/>
              <w:rPr>
                <w:rFonts w:ascii="Times New Roman" w:hAnsi="Times New Roman"/>
                <w:sz w:val="20"/>
                <w:szCs w:val="20"/>
              </w:rPr>
            </w:pPr>
          </w:p>
        </w:tc>
      </w:tr>
      <w:tr w:rsidR="00F925DD" w14:paraId="5556F6D7" w14:textId="77777777">
        <w:tc>
          <w:tcPr>
            <w:tcW w:w="0" w:type="auto"/>
            <w:shd w:val="clear" w:color="auto" w:fill="auto"/>
            <w:tcMar>
              <w:top w:w="40" w:type="dxa"/>
              <w:left w:w="40" w:type="dxa"/>
              <w:bottom w:w="40" w:type="dxa"/>
              <w:right w:w="40" w:type="dxa"/>
            </w:tcMar>
            <w:vAlign w:val="bottom"/>
          </w:tcPr>
          <w:p w14:paraId="5556F6CE" w14:textId="77777777" w:rsidR="00F925DD" w:rsidRDefault="00E705D7">
            <w:pPr>
              <w:textAlignment w:val="bottom"/>
              <w:rPr>
                <w:rFonts w:ascii="Times New Roman" w:hAnsi="Times New Roman"/>
                <w:sz w:val="16"/>
                <w:szCs w:val="16"/>
              </w:rPr>
            </w:pPr>
            <w:r>
              <w:rPr>
                <w:rFonts w:ascii="Arial" w:eastAsia="宋体" w:hAnsi="Arial" w:cs="Arial"/>
                <w:sz w:val="16"/>
                <w:szCs w:val="16"/>
              </w:rPr>
              <w:t>Other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5556F6C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108</w:t>
            </w:r>
          </w:p>
        </w:tc>
        <w:tc>
          <w:tcPr>
            <w:tcW w:w="0" w:type="auto"/>
            <w:tcBorders>
              <w:bottom w:val="single" w:sz="8" w:space="0" w:color="000000"/>
            </w:tcBorders>
            <w:shd w:val="clear" w:color="auto" w:fill="auto"/>
            <w:vAlign w:val="bottom"/>
          </w:tcPr>
          <w:p w14:paraId="5556F6D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6D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162</w:t>
            </w:r>
          </w:p>
        </w:tc>
        <w:tc>
          <w:tcPr>
            <w:tcW w:w="0" w:type="auto"/>
            <w:tcBorders>
              <w:bottom w:val="single" w:sz="8" w:space="0" w:color="000000"/>
            </w:tcBorders>
            <w:shd w:val="clear" w:color="auto" w:fill="auto"/>
            <w:vAlign w:val="bottom"/>
          </w:tcPr>
          <w:p w14:paraId="5556F6D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6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6D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94</w:t>
            </w:r>
          </w:p>
        </w:tc>
        <w:tc>
          <w:tcPr>
            <w:tcW w:w="0" w:type="auto"/>
            <w:tcBorders>
              <w:bottom w:val="single" w:sz="8" w:space="0" w:color="000000"/>
            </w:tcBorders>
            <w:shd w:val="clear" w:color="auto" w:fill="auto"/>
            <w:vAlign w:val="bottom"/>
          </w:tcPr>
          <w:p w14:paraId="5556F6D6" w14:textId="77777777" w:rsidR="00F925DD" w:rsidRDefault="00F925DD">
            <w:pPr>
              <w:textAlignment w:val="bottom"/>
              <w:rPr>
                <w:rFonts w:ascii="Times New Roman" w:hAnsi="Times New Roman"/>
                <w:sz w:val="20"/>
                <w:szCs w:val="20"/>
              </w:rPr>
            </w:pPr>
          </w:p>
        </w:tc>
      </w:tr>
      <w:tr w:rsidR="00F925DD" w14:paraId="5556F6E1" w14:textId="77777777">
        <w:tc>
          <w:tcPr>
            <w:tcW w:w="0" w:type="auto"/>
            <w:shd w:val="clear" w:color="auto" w:fill="CCEEFF"/>
            <w:tcMar>
              <w:top w:w="40" w:type="dxa"/>
              <w:left w:w="40" w:type="dxa"/>
              <w:bottom w:w="40" w:type="dxa"/>
              <w:right w:w="40" w:type="dxa"/>
            </w:tcMar>
            <w:vAlign w:val="bottom"/>
          </w:tcPr>
          <w:p w14:paraId="5556F6D8" w14:textId="77777777" w:rsidR="00F925DD" w:rsidRDefault="00E705D7">
            <w:pPr>
              <w:textAlignment w:val="bottom"/>
              <w:rPr>
                <w:rFonts w:ascii="Times New Roman" w:hAnsi="Times New Roman"/>
                <w:sz w:val="16"/>
                <w:szCs w:val="16"/>
              </w:rPr>
            </w:pPr>
            <w:r>
              <w:rPr>
                <w:rFonts w:ascii="Arial" w:eastAsia="宋体" w:hAnsi="Arial" w:cs="Arial"/>
                <w:sz w:val="16"/>
                <w:szCs w:val="16"/>
              </w:rPr>
              <w:t>Total expenses</w:t>
            </w:r>
          </w:p>
        </w:tc>
        <w:tc>
          <w:tcPr>
            <w:tcW w:w="0" w:type="auto"/>
            <w:gridSpan w:val="2"/>
            <w:shd w:val="clear" w:color="auto" w:fill="CCEEFF"/>
            <w:tcMar>
              <w:top w:w="40" w:type="dxa"/>
              <w:left w:w="40" w:type="dxa"/>
              <w:bottom w:w="40" w:type="dxa"/>
            </w:tcMar>
            <w:vAlign w:val="bottom"/>
          </w:tcPr>
          <w:p w14:paraId="5556F6D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523</w:t>
            </w:r>
          </w:p>
        </w:tc>
        <w:tc>
          <w:tcPr>
            <w:tcW w:w="0" w:type="auto"/>
            <w:shd w:val="clear" w:color="auto" w:fill="CCEEFF"/>
            <w:vAlign w:val="bottom"/>
          </w:tcPr>
          <w:p w14:paraId="5556F6D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6D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543</w:t>
            </w:r>
          </w:p>
        </w:tc>
        <w:tc>
          <w:tcPr>
            <w:tcW w:w="0" w:type="auto"/>
            <w:shd w:val="clear" w:color="auto" w:fill="CCEEFF"/>
            <w:vAlign w:val="bottom"/>
          </w:tcPr>
          <w:p w14:paraId="5556F6D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6D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391</w:t>
            </w:r>
          </w:p>
        </w:tc>
        <w:tc>
          <w:tcPr>
            <w:tcW w:w="0" w:type="auto"/>
            <w:shd w:val="clear" w:color="auto" w:fill="CCEEFF"/>
            <w:vAlign w:val="bottom"/>
          </w:tcPr>
          <w:p w14:paraId="5556F6E0" w14:textId="77777777" w:rsidR="00F925DD" w:rsidRDefault="00F925DD">
            <w:pPr>
              <w:textAlignment w:val="bottom"/>
              <w:rPr>
                <w:rFonts w:ascii="Times New Roman" w:hAnsi="Times New Roman"/>
                <w:sz w:val="20"/>
                <w:szCs w:val="20"/>
              </w:rPr>
            </w:pPr>
          </w:p>
        </w:tc>
      </w:tr>
      <w:tr w:rsidR="00F925DD" w14:paraId="5556F6EB" w14:textId="77777777">
        <w:tc>
          <w:tcPr>
            <w:tcW w:w="0" w:type="auto"/>
            <w:shd w:val="clear" w:color="auto" w:fill="auto"/>
            <w:tcMar>
              <w:top w:w="40" w:type="dxa"/>
              <w:left w:w="40" w:type="dxa"/>
              <w:bottom w:w="40" w:type="dxa"/>
              <w:right w:w="40" w:type="dxa"/>
            </w:tcMar>
            <w:vAlign w:val="bottom"/>
          </w:tcPr>
          <w:p w14:paraId="5556F6E2" w14:textId="77777777" w:rsidR="00F925DD" w:rsidRDefault="00E705D7">
            <w:pPr>
              <w:textAlignment w:val="bottom"/>
              <w:rPr>
                <w:rFonts w:ascii="Times New Roman" w:hAnsi="Times New Roman"/>
                <w:sz w:val="16"/>
                <w:szCs w:val="16"/>
              </w:rPr>
            </w:pPr>
            <w:r>
              <w:rPr>
                <w:rFonts w:ascii="Arial" w:eastAsia="宋体" w:hAnsi="Arial" w:cs="Arial"/>
                <w:sz w:val="16"/>
                <w:szCs w:val="16"/>
              </w:rPr>
              <w:t>Income tax (benefit)</w:t>
            </w:r>
          </w:p>
        </w:tc>
        <w:tc>
          <w:tcPr>
            <w:tcW w:w="0" w:type="auto"/>
            <w:gridSpan w:val="2"/>
            <w:tcBorders>
              <w:bottom w:val="single" w:sz="8" w:space="0" w:color="000000"/>
            </w:tcBorders>
            <w:shd w:val="clear" w:color="auto" w:fill="auto"/>
            <w:tcMar>
              <w:top w:w="40" w:type="dxa"/>
              <w:left w:w="40" w:type="dxa"/>
              <w:bottom w:w="40" w:type="dxa"/>
            </w:tcMar>
            <w:vAlign w:val="bottom"/>
          </w:tcPr>
          <w:p w14:paraId="5556F6E3"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(91</w:t>
            </w:r>
          </w:p>
        </w:tc>
        <w:tc>
          <w:tcPr>
            <w:tcW w:w="0" w:type="auto"/>
            <w:tcBorders>
              <w:bottom w:val="single" w:sz="8" w:space="0" w:color="000000"/>
            </w:tcBorders>
            <w:shd w:val="clear" w:color="auto" w:fill="auto"/>
            <w:tcMar>
              <w:top w:w="40" w:type="dxa"/>
              <w:bottom w:w="40" w:type="dxa"/>
              <w:right w:w="40" w:type="dxa"/>
            </w:tcMar>
            <w:vAlign w:val="bottom"/>
          </w:tcPr>
          <w:p w14:paraId="5556F6E4"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F6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6E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(127</w:t>
            </w:r>
          </w:p>
        </w:tc>
        <w:tc>
          <w:tcPr>
            <w:tcW w:w="0" w:type="auto"/>
            <w:tcBorders>
              <w:bottom w:val="single" w:sz="8" w:space="0" w:color="000000"/>
            </w:tcBorders>
            <w:shd w:val="clear" w:color="auto" w:fill="auto"/>
            <w:tcMar>
              <w:top w:w="40" w:type="dxa"/>
              <w:bottom w:w="40" w:type="dxa"/>
              <w:right w:w="40" w:type="dxa"/>
            </w:tcMar>
            <w:vAlign w:val="bottom"/>
          </w:tcPr>
          <w:p w14:paraId="5556F6E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F6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6E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(86</w:t>
            </w:r>
          </w:p>
        </w:tc>
        <w:tc>
          <w:tcPr>
            <w:tcW w:w="0" w:type="auto"/>
            <w:tcBorders>
              <w:bottom w:val="single" w:sz="8" w:space="0" w:color="000000"/>
            </w:tcBorders>
            <w:shd w:val="clear" w:color="auto" w:fill="auto"/>
            <w:tcMar>
              <w:top w:w="40" w:type="dxa"/>
              <w:bottom w:w="40" w:type="dxa"/>
              <w:right w:w="40" w:type="dxa"/>
            </w:tcMar>
            <w:vAlign w:val="bottom"/>
          </w:tcPr>
          <w:p w14:paraId="5556F6E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F6F5" w14:textId="77777777">
        <w:tc>
          <w:tcPr>
            <w:tcW w:w="0" w:type="auto"/>
            <w:shd w:val="clear" w:color="auto" w:fill="CCEEFF"/>
            <w:tcMar>
              <w:top w:w="40" w:type="dxa"/>
              <w:left w:w="40" w:type="dxa"/>
              <w:bottom w:w="40" w:type="dxa"/>
              <w:right w:w="40" w:type="dxa"/>
            </w:tcMar>
            <w:vAlign w:val="bottom"/>
          </w:tcPr>
          <w:p w14:paraId="5556F6EC" w14:textId="77777777" w:rsidR="00F925DD" w:rsidRDefault="00E705D7">
            <w:pPr>
              <w:textAlignment w:val="bottom"/>
              <w:rPr>
                <w:rFonts w:ascii="Times New Roman" w:hAnsi="Times New Roman"/>
                <w:sz w:val="16"/>
                <w:szCs w:val="16"/>
              </w:rPr>
            </w:pPr>
            <w:r>
              <w:rPr>
                <w:rFonts w:ascii="Arial" w:eastAsia="宋体" w:hAnsi="Arial" w:cs="Arial"/>
                <w:sz w:val="16"/>
                <w:szCs w:val="16"/>
              </w:rPr>
              <w:t>Income before equity in undistributed income of consolidated subsidiaries and unconsolidated entities</w:t>
            </w:r>
          </w:p>
        </w:tc>
        <w:tc>
          <w:tcPr>
            <w:tcW w:w="0" w:type="auto"/>
            <w:gridSpan w:val="2"/>
            <w:shd w:val="clear" w:color="auto" w:fill="CCEEFF"/>
            <w:tcMar>
              <w:top w:w="40" w:type="dxa"/>
              <w:left w:w="40" w:type="dxa"/>
              <w:bottom w:w="40" w:type="dxa"/>
            </w:tcMar>
            <w:vAlign w:val="bottom"/>
          </w:tcPr>
          <w:p w14:paraId="5556F6E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3,302</w:t>
            </w:r>
          </w:p>
        </w:tc>
        <w:tc>
          <w:tcPr>
            <w:tcW w:w="0" w:type="auto"/>
            <w:shd w:val="clear" w:color="auto" w:fill="CCEEFF"/>
            <w:vAlign w:val="bottom"/>
          </w:tcPr>
          <w:p w14:paraId="5556F6E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6F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468</w:t>
            </w:r>
          </w:p>
        </w:tc>
        <w:tc>
          <w:tcPr>
            <w:tcW w:w="0" w:type="auto"/>
            <w:shd w:val="clear" w:color="auto" w:fill="CCEEFF"/>
            <w:vAlign w:val="bottom"/>
          </w:tcPr>
          <w:p w14:paraId="5556F6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6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6F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2,058</w:t>
            </w:r>
          </w:p>
        </w:tc>
        <w:tc>
          <w:tcPr>
            <w:tcW w:w="0" w:type="auto"/>
            <w:shd w:val="clear" w:color="auto" w:fill="CCEEFF"/>
            <w:vAlign w:val="bottom"/>
          </w:tcPr>
          <w:p w14:paraId="5556F6F4" w14:textId="77777777" w:rsidR="00F925DD" w:rsidRDefault="00F925DD">
            <w:pPr>
              <w:textAlignment w:val="bottom"/>
              <w:rPr>
                <w:rFonts w:ascii="Times New Roman" w:hAnsi="Times New Roman"/>
                <w:sz w:val="20"/>
                <w:szCs w:val="20"/>
              </w:rPr>
            </w:pPr>
          </w:p>
        </w:tc>
      </w:tr>
      <w:tr w:rsidR="00F925DD" w14:paraId="5556F6FC" w14:textId="77777777">
        <w:tc>
          <w:tcPr>
            <w:tcW w:w="0" w:type="auto"/>
            <w:shd w:val="clear" w:color="auto" w:fill="auto"/>
            <w:tcMar>
              <w:top w:w="40" w:type="dxa"/>
              <w:left w:w="40" w:type="dxa"/>
              <w:bottom w:w="40" w:type="dxa"/>
              <w:right w:w="40" w:type="dxa"/>
            </w:tcMar>
            <w:vAlign w:val="bottom"/>
          </w:tcPr>
          <w:p w14:paraId="5556F6F6"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Equity in </w:t>
            </w:r>
            <w:r>
              <w:rPr>
                <w:rFonts w:ascii="Arial" w:eastAsia="宋体" w:hAnsi="Arial" w:cs="Arial"/>
                <w:sz w:val="16"/>
                <w:szCs w:val="16"/>
              </w:rPr>
              <w:t>undistributed income of consolidated subsidiaries and unconsolidated entities:</w:t>
            </w:r>
          </w:p>
        </w:tc>
        <w:tc>
          <w:tcPr>
            <w:tcW w:w="0" w:type="auto"/>
            <w:gridSpan w:val="3"/>
            <w:shd w:val="clear" w:color="auto" w:fill="auto"/>
            <w:tcMar>
              <w:top w:w="40" w:type="dxa"/>
              <w:left w:w="40" w:type="dxa"/>
              <w:bottom w:w="40" w:type="dxa"/>
              <w:right w:w="40" w:type="dxa"/>
            </w:tcMar>
            <w:vAlign w:val="bottom"/>
          </w:tcPr>
          <w:p w14:paraId="5556F6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6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6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6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6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706" w14:textId="77777777">
        <w:tc>
          <w:tcPr>
            <w:tcW w:w="0" w:type="auto"/>
            <w:shd w:val="clear" w:color="auto" w:fill="CCEEFF"/>
            <w:tcMar>
              <w:top w:w="40" w:type="dxa"/>
              <w:left w:w="560" w:type="dxa"/>
              <w:bottom w:w="40" w:type="dxa"/>
              <w:right w:w="40" w:type="dxa"/>
            </w:tcMar>
            <w:vAlign w:val="bottom"/>
          </w:tcPr>
          <w:p w14:paraId="5556F6FD" w14:textId="77777777" w:rsidR="00F925DD" w:rsidRDefault="00E705D7">
            <w:pPr>
              <w:textAlignment w:val="bottom"/>
              <w:rPr>
                <w:rFonts w:ascii="Times New Roman" w:hAnsi="Times New Roman"/>
                <w:sz w:val="16"/>
                <w:szCs w:val="16"/>
              </w:rPr>
            </w:pPr>
            <w:r>
              <w:rPr>
                <w:rFonts w:ascii="Arial" w:eastAsia="宋体" w:hAnsi="Arial" w:cs="Arial"/>
                <w:sz w:val="16"/>
                <w:szCs w:val="16"/>
              </w:rPr>
              <w:t>Consolidated banking subsidiary</w:t>
            </w:r>
          </w:p>
        </w:tc>
        <w:tc>
          <w:tcPr>
            <w:tcW w:w="0" w:type="auto"/>
            <w:gridSpan w:val="2"/>
            <w:shd w:val="clear" w:color="auto" w:fill="CCEEFF"/>
            <w:tcMar>
              <w:top w:w="40" w:type="dxa"/>
              <w:left w:w="40" w:type="dxa"/>
              <w:bottom w:w="40" w:type="dxa"/>
            </w:tcMar>
            <w:vAlign w:val="bottom"/>
          </w:tcPr>
          <w:p w14:paraId="5556F6F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(1,070</w:t>
            </w:r>
          </w:p>
        </w:tc>
        <w:tc>
          <w:tcPr>
            <w:tcW w:w="0" w:type="auto"/>
            <w:shd w:val="clear" w:color="auto" w:fill="CCEEFF"/>
            <w:tcMar>
              <w:top w:w="40" w:type="dxa"/>
              <w:bottom w:w="40" w:type="dxa"/>
              <w:right w:w="40" w:type="dxa"/>
            </w:tcMar>
            <w:vAlign w:val="bottom"/>
          </w:tcPr>
          <w:p w14:paraId="5556F6F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F7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70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1,944</w:t>
            </w:r>
          </w:p>
        </w:tc>
        <w:tc>
          <w:tcPr>
            <w:tcW w:w="0" w:type="auto"/>
            <w:shd w:val="clear" w:color="auto" w:fill="CCEEFF"/>
            <w:vAlign w:val="bottom"/>
          </w:tcPr>
          <w:p w14:paraId="5556F70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70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w:t>
            </w:r>
          </w:p>
        </w:tc>
        <w:tc>
          <w:tcPr>
            <w:tcW w:w="0" w:type="auto"/>
            <w:shd w:val="clear" w:color="auto" w:fill="CCEEFF"/>
            <w:tcMar>
              <w:top w:w="40" w:type="dxa"/>
              <w:bottom w:w="40" w:type="dxa"/>
              <w:right w:w="40" w:type="dxa"/>
            </w:tcMar>
            <w:vAlign w:val="bottom"/>
          </w:tcPr>
          <w:p w14:paraId="5556F705"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F710" w14:textId="77777777">
        <w:tc>
          <w:tcPr>
            <w:tcW w:w="0" w:type="auto"/>
            <w:shd w:val="clear" w:color="auto" w:fill="auto"/>
            <w:tcMar>
              <w:top w:w="40" w:type="dxa"/>
              <w:left w:w="560" w:type="dxa"/>
              <w:bottom w:w="40" w:type="dxa"/>
              <w:right w:w="40" w:type="dxa"/>
            </w:tcMar>
            <w:vAlign w:val="bottom"/>
          </w:tcPr>
          <w:p w14:paraId="5556F707" w14:textId="77777777" w:rsidR="00F925DD" w:rsidRDefault="00E705D7">
            <w:pPr>
              <w:textAlignment w:val="bottom"/>
              <w:rPr>
                <w:rFonts w:ascii="Times New Roman" w:hAnsi="Times New Roman"/>
                <w:sz w:val="16"/>
                <w:szCs w:val="16"/>
              </w:rPr>
            </w:pPr>
            <w:r>
              <w:rPr>
                <w:rFonts w:ascii="Arial" w:eastAsia="宋体" w:hAnsi="Arial" w:cs="Arial"/>
                <w:sz w:val="16"/>
                <w:szCs w:val="16"/>
              </w:rPr>
              <w:t>Consolidated non-banking subsidiaries and unconsolidated entities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F70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10</w:t>
            </w:r>
          </w:p>
        </w:tc>
        <w:tc>
          <w:tcPr>
            <w:tcW w:w="0" w:type="auto"/>
            <w:tcBorders>
              <w:bottom w:val="single" w:sz="8" w:space="0" w:color="000000"/>
            </w:tcBorders>
            <w:shd w:val="clear" w:color="auto" w:fill="auto"/>
            <w:vAlign w:val="bottom"/>
          </w:tcPr>
          <w:p w14:paraId="5556F70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70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181</w:t>
            </w:r>
          </w:p>
        </w:tc>
        <w:tc>
          <w:tcPr>
            <w:tcW w:w="0" w:type="auto"/>
            <w:tcBorders>
              <w:bottom w:val="single" w:sz="8" w:space="0" w:color="000000"/>
            </w:tcBorders>
            <w:shd w:val="clear" w:color="auto" w:fill="auto"/>
            <w:vAlign w:val="bottom"/>
          </w:tcPr>
          <w:p w14:paraId="5556F7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70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99</w:t>
            </w:r>
          </w:p>
        </w:tc>
        <w:tc>
          <w:tcPr>
            <w:tcW w:w="0" w:type="auto"/>
            <w:tcBorders>
              <w:bottom w:val="single" w:sz="8" w:space="0" w:color="000000"/>
            </w:tcBorders>
            <w:shd w:val="clear" w:color="auto" w:fill="auto"/>
            <w:vAlign w:val="bottom"/>
          </w:tcPr>
          <w:p w14:paraId="5556F70F" w14:textId="77777777" w:rsidR="00F925DD" w:rsidRDefault="00F925DD">
            <w:pPr>
              <w:textAlignment w:val="bottom"/>
              <w:rPr>
                <w:rFonts w:ascii="Times New Roman" w:hAnsi="Times New Roman"/>
                <w:sz w:val="20"/>
                <w:szCs w:val="20"/>
              </w:rPr>
            </w:pPr>
          </w:p>
        </w:tc>
      </w:tr>
      <w:tr w:rsidR="00F925DD" w14:paraId="5556F71D" w14:textId="77777777">
        <w:tc>
          <w:tcPr>
            <w:tcW w:w="0" w:type="auto"/>
            <w:shd w:val="clear" w:color="auto" w:fill="CCEEFF"/>
            <w:tcMar>
              <w:top w:w="40" w:type="dxa"/>
              <w:left w:w="40" w:type="dxa"/>
              <w:bottom w:w="40" w:type="dxa"/>
              <w:right w:w="40" w:type="dxa"/>
            </w:tcMar>
            <w:vAlign w:val="bottom"/>
          </w:tcPr>
          <w:p w14:paraId="5556F711"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income</w:t>
            </w:r>
          </w:p>
        </w:tc>
        <w:tc>
          <w:tcPr>
            <w:tcW w:w="0" w:type="auto"/>
            <w:tcBorders>
              <w:bottom w:val="double" w:sz="6" w:space="0" w:color="000000"/>
            </w:tcBorders>
            <w:shd w:val="clear" w:color="auto" w:fill="CCEEFF"/>
            <w:tcMar>
              <w:top w:w="40" w:type="dxa"/>
              <w:left w:w="40" w:type="dxa"/>
              <w:bottom w:w="40" w:type="dxa"/>
            </w:tcMar>
            <w:vAlign w:val="bottom"/>
          </w:tcPr>
          <w:p w14:paraId="5556F712"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double" w:sz="6" w:space="0" w:color="000000"/>
            </w:tcBorders>
            <w:shd w:val="clear" w:color="auto" w:fill="CCEEFF"/>
            <w:tcMar>
              <w:top w:w="40" w:type="dxa"/>
              <w:bottom w:w="40" w:type="dxa"/>
            </w:tcMar>
            <w:vAlign w:val="bottom"/>
          </w:tcPr>
          <w:p w14:paraId="5556F713"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2,242</w:t>
            </w:r>
          </w:p>
        </w:tc>
        <w:tc>
          <w:tcPr>
            <w:tcW w:w="0" w:type="auto"/>
            <w:tcBorders>
              <w:bottom w:val="double" w:sz="6" w:space="0" w:color="000000"/>
            </w:tcBorders>
            <w:shd w:val="clear" w:color="auto" w:fill="CCEEFF"/>
            <w:vAlign w:val="bottom"/>
          </w:tcPr>
          <w:p w14:paraId="5556F71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F71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CCEEFF"/>
            <w:tcMar>
              <w:top w:w="40" w:type="dxa"/>
              <w:bottom w:w="40" w:type="dxa"/>
            </w:tcMar>
            <w:vAlign w:val="bottom"/>
          </w:tcPr>
          <w:p w14:paraId="5556F71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2,593</w:t>
            </w:r>
          </w:p>
        </w:tc>
        <w:tc>
          <w:tcPr>
            <w:tcW w:w="0" w:type="auto"/>
            <w:tcBorders>
              <w:bottom w:val="double" w:sz="6" w:space="0" w:color="000000"/>
            </w:tcBorders>
            <w:shd w:val="clear" w:color="auto" w:fill="CCEEFF"/>
            <w:vAlign w:val="bottom"/>
          </w:tcPr>
          <w:p w14:paraId="5556F7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F71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CCEEFF"/>
            <w:tcMar>
              <w:top w:w="40" w:type="dxa"/>
              <w:bottom w:w="40" w:type="dxa"/>
            </w:tcMar>
            <w:vAlign w:val="bottom"/>
          </w:tcPr>
          <w:p w14:paraId="5556F71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2,156</w:t>
            </w:r>
          </w:p>
        </w:tc>
        <w:tc>
          <w:tcPr>
            <w:tcW w:w="0" w:type="auto"/>
            <w:tcBorders>
              <w:bottom w:val="double" w:sz="6" w:space="0" w:color="000000"/>
            </w:tcBorders>
            <w:shd w:val="clear" w:color="auto" w:fill="CCEEFF"/>
            <w:vAlign w:val="bottom"/>
          </w:tcPr>
          <w:p w14:paraId="5556F71C" w14:textId="77777777" w:rsidR="00F925DD" w:rsidRDefault="00F925DD">
            <w:pPr>
              <w:textAlignment w:val="bottom"/>
              <w:rPr>
                <w:rFonts w:ascii="Times New Roman" w:hAnsi="Times New Roman"/>
                <w:sz w:val="20"/>
                <w:szCs w:val="20"/>
              </w:rPr>
            </w:pPr>
          </w:p>
        </w:tc>
      </w:tr>
    </w:tbl>
    <w:p w14:paraId="5556F71E" w14:textId="77777777" w:rsidR="00F925DD" w:rsidRDefault="00F925DD">
      <w:pPr>
        <w:spacing w:line="288" w:lineRule="auto"/>
        <w:rPr>
          <w:rFonts w:ascii="Times New Roman" w:hAnsi="Times New Roman"/>
          <w:sz w:val="14"/>
          <w:szCs w:val="14"/>
        </w:rPr>
      </w:pPr>
    </w:p>
    <w:p w14:paraId="5556F71F" w14:textId="77777777" w:rsidR="00F925DD" w:rsidRDefault="00F925DD">
      <w:pPr>
        <w:rPr>
          <w:rFonts w:ascii="Times New Roman" w:hAnsi="Times New Roman"/>
          <w:sz w:val="20"/>
          <w:szCs w:val="20"/>
        </w:rPr>
      </w:pPr>
    </w:p>
    <w:p w14:paraId="5556F720"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174</w:t>
      </w:r>
    </w:p>
    <w:p w14:paraId="5556F721" w14:textId="77777777" w:rsidR="00F925DD" w:rsidRDefault="00F925DD">
      <w:pPr>
        <w:spacing w:line="288" w:lineRule="auto"/>
        <w:ind w:firstLine="600"/>
        <w:jc w:val="center"/>
        <w:rPr>
          <w:rFonts w:ascii="Times New Roman" w:hAnsi="Times New Roman"/>
          <w:sz w:val="18"/>
          <w:szCs w:val="18"/>
        </w:rPr>
      </w:pPr>
    </w:p>
    <w:p w14:paraId="5556F722" w14:textId="77777777" w:rsidR="00F925DD" w:rsidRDefault="00E705D7">
      <w:r>
        <w:rPr>
          <w:rFonts w:ascii="Times New Roman" w:hAnsi="Times New Roman"/>
          <w:sz w:val="18"/>
          <w:szCs w:val="18"/>
        </w:rPr>
        <w:pict w14:anchorId="555706E8">
          <v:rect id="_x0000_i1198" style="width:415.3pt;height:1.5pt" o:hralign="center" o:hrstd="t" o:hr="t" fillcolor="#a0a0a0" stroked="f"/>
        </w:pict>
      </w:r>
    </w:p>
    <w:p w14:paraId="5556F72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STATE STREET CORPORATION</w:t>
      </w:r>
    </w:p>
    <w:p w14:paraId="5556F724"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NOTES TO CONSOLIDATED FINANCIAL STATEMENTS</w:t>
      </w:r>
    </w:p>
    <w:p w14:paraId="5556F725" w14:textId="77777777" w:rsidR="00F925DD" w:rsidRDefault="00F925DD">
      <w:pPr>
        <w:rPr>
          <w:rFonts w:ascii="Times New Roman" w:hAnsi="Times New Roman"/>
          <w:sz w:val="20"/>
          <w:szCs w:val="20"/>
        </w:rPr>
      </w:pPr>
    </w:p>
    <w:p w14:paraId="5556F726"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Statement of Condition - Parent Company</w:t>
      </w:r>
    </w:p>
    <w:tbl>
      <w:tblPr>
        <w:tblW w:w="5000" w:type="pct"/>
        <w:tblCellMar>
          <w:left w:w="0" w:type="dxa"/>
          <w:right w:w="0" w:type="dxa"/>
        </w:tblCellMar>
        <w:tblLook w:val="04A0" w:firstRow="1" w:lastRow="0" w:firstColumn="1" w:lastColumn="0" w:noHBand="0" w:noVBand="1"/>
      </w:tblPr>
      <w:tblGrid>
        <w:gridCol w:w="6035"/>
        <w:gridCol w:w="129"/>
        <w:gridCol w:w="886"/>
        <w:gridCol w:w="55"/>
        <w:gridCol w:w="130"/>
        <w:gridCol w:w="129"/>
        <w:gridCol w:w="886"/>
        <w:gridCol w:w="56"/>
      </w:tblGrid>
      <w:tr w:rsidR="00F925DD" w14:paraId="5556F728" w14:textId="77777777">
        <w:tc>
          <w:tcPr>
            <w:tcW w:w="0" w:type="auto"/>
            <w:gridSpan w:val="8"/>
            <w:shd w:val="clear" w:color="auto" w:fill="auto"/>
            <w:vAlign w:val="center"/>
          </w:tcPr>
          <w:p w14:paraId="5556F727" w14:textId="77777777" w:rsidR="00F925DD" w:rsidRDefault="00F925DD">
            <w:pPr>
              <w:rPr>
                <w:rFonts w:ascii="Times New Roman" w:hAnsi="Times New Roman"/>
                <w:sz w:val="20"/>
                <w:szCs w:val="20"/>
              </w:rPr>
            </w:pPr>
          </w:p>
        </w:tc>
      </w:tr>
      <w:tr w:rsidR="00F925DD" w14:paraId="5556F731" w14:textId="77777777">
        <w:tc>
          <w:tcPr>
            <w:tcW w:w="3650" w:type="pct"/>
            <w:shd w:val="clear" w:color="auto" w:fill="auto"/>
            <w:vAlign w:val="center"/>
          </w:tcPr>
          <w:p w14:paraId="5556F729" w14:textId="77777777" w:rsidR="00F925DD" w:rsidRDefault="00F925DD">
            <w:pPr>
              <w:rPr>
                <w:rFonts w:ascii="Times New Roman" w:hAnsi="Times New Roman"/>
                <w:sz w:val="20"/>
                <w:szCs w:val="20"/>
              </w:rPr>
            </w:pPr>
          </w:p>
        </w:tc>
        <w:tc>
          <w:tcPr>
            <w:tcW w:w="50" w:type="pct"/>
            <w:shd w:val="clear" w:color="auto" w:fill="auto"/>
            <w:vAlign w:val="center"/>
          </w:tcPr>
          <w:p w14:paraId="5556F72A" w14:textId="77777777" w:rsidR="00F925DD" w:rsidRDefault="00F925DD">
            <w:pPr>
              <w:rPr>
                <w:rFonts w:ascii="Times New Roman" w:hAnsi="Times New Roman"/>
                <w:sz w:val="20"/>
                <w:szCs w:val="20"/>
              </w:rPr>
            </w:pPr>
          </w:p>
        </w:tc>
        <w:tc>
          <w:tcPr>
            <w:tcW w:w="550" w:type="pct"/>
            <w:shd w:val="clear" w:color="auto" w:fill="auto"/>
            <w:vAlign w:val="center"/>
          </w:tcPr>
          <w:p w14:paraId="5556F72B" w14:textId="77777777" w:rsidR="00F925DD" w:rsidRDefault="00F925DD">
            <w:pPr>
              <w:rPr>
                <w:rFonts w:ascii="Times New Roman" w:hAnsi="Times New Roman"/>
                <w:sz w:val="20"/>
                <w:szCs w:val="20"/>
              </w:rPr>
            </w:pPr>
          </w:p>
        </w:tc>
        <w:tc>
          <w:tcPr>
            <w:tcW w:w="50" w:type="pct"/>
            <w:shd w:val="clear" w:color="auto" w:fill="auto"/>
            <w:vAlign w:val="center"/>
          </w:tcPr>
          <w:p w14:paraId="5556F72C" w14:textId="77777777" w:rsidR="00F925DD" w:rsidRDefault="00F925DD">
            <w:pPr>
              <w:rPr>
                <w:rFonts w:ascii="Times New Roman" w:hAnsi="Times New Roman"/>
                <w:sz w:val="20"/>
                <w:szCs w:val="20"/>
              </w:rPr>
            </w:pPr>
          </w:p>
        </w:tc>
        <w:tc>
          <w:tcPr>
            <w:tcW w:w="50" w:type="pct"/>
            <w:shd w:val="clear" w:color="auto" w:fill="auto"/>
            <w:vAlign w:val="center"/>
          </w:tcPr>
          <w:p w14:paraId="5556F72D" w14:textId="77777777" w:rsidR="00F925DD" w:rsidRDefault="00F925DD">
            <w:pPr>
              <w:rPr>
                <w:rFonts w:ascii="Times New Roman" w:hAnsi="Times New Roman"/>
                <w:sz w:val="20"/>
                <w:szCs w:val="20"/>
              </w:rPr>
            </w:pPr>
          </w:p>
        </w:tc>
        <w:tc>
          <w:tcPr>
            <w:tcW w:w="50" w:type="pct"/>
            <w:shd w:val="clear" w:color="auto" w:fill="auto"/>
            <w:vAlign w:val="center"/>
          </w:tcPr>
          <w:p w14:paraId="5556F72E" w14:textId="77777777" w:rsidR="00F925DD" w:rsidRDefault="00F925DD">
            <w:pPr>
              <w:rPr>
                <w:rFonts w:ascii="Times New Roman" w:hAnsi="Times New Roman"/>
                <w:sz w:val="20"/>
                <w:szCs w:val="20"/>
              </w:rPr>
            </w:pPr>
          </w:p>
        </w:tc>
        <w:tc>
          <w:tcPr>
            <w:tcW w:w="550" w:type="pct"/>
            <w:shd w:val="clear" w:color="auto" w:fill="auto"/>
            <w:vAlign w:val="center"/>
          </w:tcPr>
          <w:p w14:paraId="5556F72F" w14:textId="77777777" w:rsidR="00F925DD" w:rsidRDefault="00F925DD">
            <w:pPr>
              <w:rPr>
                <w:rFonts w:ascii="Times New Roman" w:hAnsi="Times New Roman"/>
                <w:sz w:val="20"/>
                <w:szCs w:val="20"/>
              </w:rPr>
            </w:pPr>
          </w:p>
        </w:tc>
        <w:tc>
          <w:tcPr>
            <w:tcW w:w="50" w:type="pct"/>
            <w:shd w:val="clear" w:color="auto" w:fill="auto"/>
            <w:vAlign w:val="center"/>
          </w:tcPr>
          <w:p w14:paraId="5556F730" w14:textId="77777777" w:rsidR="00F925DD" w:rsidRDefault="00F925DD">
            <w:pPr>
              <w:rPr>
                <w:rFonts w:ascii="Times New Roman" w:hAnsi="Times New Roman"/>
                <w:sz w:val="20"/>
                <w:szCs w:val="20"/>
              </w:rPr>
            </w:pPr>
          </w:p>
        </w:tc>
      </w:tr>
      <w:tr w:rsidR="00F925DD" w14:paraId="5556F734" w14:textId="77777777">
        <w:tc>
          <w:tcPr>
            <w:tcW w:w="0" w:type="auto"/>
            <w:shd w:val="clear" w:color="auto" w:fill="auto"/>
            <w:tcMar>
              <w:top w:w="40" w:type="dxa"/>
              <w:left w:w="40" w:type="dxa"/>
              <w:bottom w:w="40" w:type="dxa"/>
              <w:right w:w="40" w:type="dxa"/>
            </w:tcMar>
            <w:vAlign w:val="bottom"/>
          </w:tcPr>
          <w:p w14:paraId="5556F7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5556F733"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As of December 31,</w:t>
            </w:r>
          </w:p>
        </w:tc>
      </w:tr>
      <w:tr w:rsidR="00F925DD" w14:paraId="5556F739" w14:textId="77777777">
        <w:tc>
          <w:tcPr>
            <w:tcW w:w="0" w:type="auto"/>
            <w:shd w:val="clear" w:color="auto" w:fill="auto"/>
            <w:tcMar>
              <w:top w:w="40" w:type="dxa"/>
              <w:left w:w="40" w:type="dxa"/>
              <w:bottom w:w="40" w:type="dxa"/>
              <w:right w:w="40" w:type="dxa"/>
            </w:tcMar>
            <w:vAlign w:val="bottom"/>
          </w:tcPr>
          <w:p w14:paraId="5556F735"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73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F7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73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r>
      <w:tr w:rsidR="00F925DD" w14:paraId="5556F73E" w14:textId="77777777">
        <w:tc>
          <w:tcPr>
            <w:tcW w:w="0" w:type="auto"/>
            <w:shd w:val="clear" w:color="auto" w:fill="auto"/>
            <w:tcMar>
              <w:top w:w="40" w:type="dxa"/>
              <w:left w:w="40" w:type="dxa"/>
              <w:bottom w:w="40" w:type="dxa"/>
              <w:right w:w="40" w:type="dxa"/>
            </w:tcMar>
            <w:vAlign w:val="bottom"/>
          </w:tcPr>
          <w:p w14:paraId="5556F73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Assets:</w:t>
            </w:r>
          </w:p>
        </w:tc>
        <w:tc>
          <w:tcPr>
            <w:tcW w:w="0" w:type="auto"/>
            <w:gridSpan w:val="3"/>
            <w:shd w:val="clear" w:color="auto" w:fill="auto"/>
            <w:tcMar>
              <w:top w:w="40" w:type="dxa"/>
              <w:left w:w="40" w:type="dxa"/>
              <w:bottom w:w="40" w:type="dxa"/>
              <w:right w:w="40" w:type="dxa"/>
            </w:tcMar>
            <w:vAlign w:val="bottom"/>
          </w:tcPr>
          <w:p w14:paraId="5556F7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7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7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747" w14:textId="77777777">
        <w:tc>
          <w:tcPr>
            <w:tcW w:w="0" w:type="auto"/>
            <w:shd w:val="clear" w:color="auto" w:fill="CCEEFF"/>
            <w:tcMar>
              <w:top w:w="40" w:type="dxa"/>
              <w:left w:w="40" w:type="dxa"/>
              <w:bottom w:w="40" w:type="dxa"/>
              <w:right w:w="40" w:type="dxa"/>
            </w:tcMar>
            <w:vAlign w:val="bottom"/>
          </w:tcPr>
          <w:p w14:paraId="5556F73F" w14:textId="77777777" w:rsidR="00F925DD" w:rsidRDefault="00E705D7">
            <w:pPr>
              <w:textAlignment w:val="bottom"/>
              <w:rPr>
                <w:rFonts w:ascii="Times New Roman" w:hAnsi="Times New Roman"/>
                <w:sz w:val="16"/>
                <w:szCs w:val="16"/>
              </w:rPr>
            </w:pPr>
            <w:r>
              <w:rPr>
                <w:rFonts w:ascii="Arial" w:eastAsia="宋体" w:hAnsi="Arial" w:cs="Arial"/>
                <w:sz w:val="16"/>
                <w:szCs w:val="16"/>
              </w:rPr>
              <w:t>Interest-bearing deposits with consolidated banking subsidiary</w:t>
            </w:r>
          </w:p>
        </w:tc>
        <w:tc>
          <w:tcPr>
            <w:tcW w:w="0" w:type="auto"/>
            <w:shd w:val="clear" w:color="auto" w:fill="CCEEFF"/>
            <w:tcMar>
              <w:top w:w="40" w:type="dxa"/>
              <w:left w:w="40" w:type="dxa"/>
              <w:bottom w:w="40" w:type="dxa"/>
            </w:tcMar>
            <w:vAlign w:val="bottom"/>
          </w:tcPr>
          <w:p w14:paraId="5556F740"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bottom w:w="40" w:type="dxa"/>
            </w:tcMar>
            <w:vAlign w:val="bottom"/>
          </w:tcPr>
          <w:p w14:paraId="5556F74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428</w:t>
            </w:r>
          </w:p>
        </w:tc>
        <w:tc>
          <w:tcPr>
            <w:tcW w:w="0" w:type="auto"/>
            <w:shd w:val="clear" w:color="auto" w:fill="CCEEFF"/>
            <w:vAlign w:val="bottom"/>
          </w:tcPr>
          <w:p w14:paraId="5556F74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74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F74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486</w:t>
            </w:r>
          </w:p>
        </w:tc>
        <w:tc>
          <w:tcPr>
            <w:tcW w:w="0" w:type="auto"/>
            <w:shd w:val="clear" w:color="auto" w:fill="CCEEFF"/>
            <w:vAlign w:val="bottom"/>
          </w:tcPr>
          <w:p w14:paraId="5556F746" w14:textId="77777777" w:rsidR="00F925DD" w:rsidRDefault="00F925DD">
            <w:pPr>
              <w:textAlignment w:val="bottom"/>
              <w:rPr>
                <w:rFonts w:ascii="Times New Roman" w:hAnsi="Times New Roman"/>
                <w:sz w:val="20"/>
                <w:szCs w:val="20"/>
              </w:rPr>
            </w:pPr>
          </w:p>
        </w:tc>
      </w:tr>
      <w:tr w:rsidR="00F925DD" w14:paraId="5556F74E" w14:textId="77777777">
        <w:tc>
          <w:tcPr>
            <w:tcW w:w="0" w:type="auto"/>
            <w:shd w:val="clear" w:color="auto" w:fill="auto"/>
            <w:tcMar>
              <w:top w:w="40" w:type="dxa"/>
              <w:left w:w="40" w:type="dxa"/>
              <w:bottom w:w="40" w:type="dxa"/>
              <w:right w:w="40" w:type="dxa"/>
            </w:tcMar>
            <w:vAlign w:val="bottom"/>
          </w:tcPr>
          <w:p w14:paraId="5556F748" w14:textId="77777777" w:rsidR="00F925DD" w:rsidRDefault="00E705D7">
            <w:pPr>
              <w:textAlignment w:val="bottom"/>
              <w:rPr>
                <w:rFonts w:ascii="Times New Roman" w:hAnsi="Times New Roman"/>
                <w:sz w:val="16"/>
                <w:szCs w:val="16"/>
              </w:rPr>
            </w:pPr>
            <w:r>
              <w:rPr>
                <w:rFonts w:ascii="Arial" w:eastAsia="宋体" w:hAnsi="Arial" w:cs="Arial"/>
                <w:sz w:val="16"/>
                <w:szCs w:val="16"/>
              </w:rPr>
              <w:t>Trading account assets</w:t>
            </w:r>
          </w:p>
        </w:tc>
        <w:tc>
          <w:tcPr>
            <w:tcW w:w="0" w:type="auto"/>
            <w:gridSpan w:val="2"/>
            <w:shd w:val="clear" w:color="auto" w:fill="auto"/>
            <w:tcMar>
              <w:top w:w="40" w:type="dxa"/>
              <w:left w:w="40" w:type="dxa"/>
              <w:bottom w:w="40" w:type="dxa"/>
            </w:tcMar>
            <w:vAlign w:val="bottom"/>
          </w:tcPr>
          <w:p w14:paraId="5556F74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393</w:t>
            </w:r>
          </w:p>
        </w:tc>
        <w:tc>
          <w:tcPr>
            <w:tcW w:w="0" w:type="auto"/>
            <w:shd w:val="clear" w:color="auto" w:fill="auto"/>
            <w:vAlign w:val="bottom"/>
          </w:tcPr>
          <w:p w14:paraId="5556F7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74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357</w:t>
            </w:r>
          </w:p>
        </w:tc>
        <w:tc>
          <w:tcPr>
            <w:tcW w:w="0" w:type="auto"/>
            <w:shd w:val="clear" w:color="auto" w:fill="auto"/>
            <w:vAlign w:val="bottom"/>
          </w:tcPr>
          <w:p w14:paraId="5556F74D" w14:textId="77777777" w:rsidR="00F925DD" w:rsidRDefault="00F925DD">
            <w:pPr>
              <w:textAlignment w:val="bottom"/>
              <w:rPr>
                <w:rFonts w:ascii="Times New Roman" w:hAnsi="Times New Roman"/>
                <w:sz w:val="20"/>
                <w:szCs w:val="20"/>
              </w:rPr>
            </w:pPr>
          </w:p>
        </w:tc>
      </w:tr>
      <w:tr w:rsidR="00F925DD" w14:paraId="5556F755" w14:textId="77777777">
        <w:tc>
          <w:tcPr>
            <w:tcW w:w="0" w:type="auto"/>
            <w:shd w:val="clear" w:color="auto" w:fill="CCEEFF"/>
            <w:tcMar>
              <w:top w:w="40" w:type="dxa"/>
              <w:left w:w="40" w:type="dxa"/>
              <w:bottom w:w="40" w:type="dxa"/>
              <w:right w:w="40" w:type="dxa"/>
            </w:tcMar>
            <w:vAlign w:val="bottom"/>
          </w:tcPr>
          <w:p w14:paraId="5556F74F" w14:textId="77777777" w:rsidR="00F925DD" w:rsidRDefault="00E705D7">
            <w:pPr>
              <w:textAlignment w:val="bottom"/>
              <w:rPr>
                <w:rFonts w:ascii="Times New Roman" w:hAnsi="Times New Roman"/>
                <w:sz w:val="16"/>
                <w:szCs w:val="16"/>
              </w:rPr>
            </w:pPr>
            <w:r>
              <w:rPr>
                <w:rFonts w:ascii="Arial" w:eastAsia="宋体" w:hAnsi="Arial" w:cs="Arial"/>
                <w:sz w:val="16"/>
                <w:szCs w:val="16"/>
              </w:rPr>
              <w:t>Investment securities available-for-sale</w:t>
            </w:r>
          </w:p>
        </w:tc>
        <w:tc>
          <w:tcPr>
            <w:tcW w:w="0" w:type="auto"/>
            <w:gridSpan w:val="2"/>
            <w:shd w:val="clear" w:color="auto" w:fill="CCEEFF"/>
            <w:tcMar>
              <w:top w:w="40" w:type="dxa"/>
              <w:left w:w="40" w:type="dxa"/>
              <w:bottom w:w="40" w:type="dxa"/>
            </w:tcMar>
            <w:vAlign w:val="bottom"/>
          </w:tcPr>
          <w:p w14:paraId="5556F75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250</w:t>
            </w:r>
          </w:p>
        </w:tc>
        <w:tc>
          <w:tcPr>
            <w:tcW w:w="0" w:type="auto"/>
            <w:shd w:val="clear" w:color="auto" w:fill="CCEEFF"/>
            <w:vAlign w:val="bottom"/>
          </w:tcPr>
          <w:p w14:paraId="5556F75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75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224</w:t>
            </w:r>
          </w:p>
        </w:tc>
        <w:tc>
          <w:tcPr>
            <w:tcW w:w="0" w:type="auto"/>
            <w:shd w:val="clear" w:color="auto" w:fill="CCEEFF"/>
            <w:vAlign w:val="bottom"/>
          </w:tcPr>
          <w:p w14:paraId="5556F754" w14:textId="77777777" w:rsidR="00F925DD" w:rsidRDefault="00F925DD">
            <w:pPr>
              <w:textAlignment w:val="bottom"/>
              <w:rPr>
                <w:rFonts w:ascii="Times New Roman" w:hAnsi="Times New Roman"/>
                <w:sz w:val="20"/>
                <w:szCs w:val="20"/>
              </w:rPr>
            </w:pPr>
          </w:p>
        </w:tc>
      </w:tr>
      <w:tr w:rsidR="00F925DD" w14:paraId="5556F75A" w14:textId="77777777">
        <w:tc>
          <w:tcPr>
            <w:tcW w:w="0" w:type="auto"/>
            <w:shd w:val="clear" w:color="auto" w:fill="auto"/>
            <w:tcMar>
              <w:top w:w="40" w:type="dxa"/>
              <w:left w:w="40" w:type="dxa"/>
              <w:bottom w:w="40" w:type="dxa"/>
              <w:right w:w="40" w:type="dxa"/>
            </w:tcMar>
            <w:vAlign w:val="bottom"/>
          </w:tcPr>
          <w:p w14:paraId="5556F756" w14:textId="77777777" w:rsidR="00F925DD" w:rsidRDefault="00E705D7">
            <w:pPr>
              <w:textAlignment w:val="bottom"/>
              <w:rPr>
                <w:rFonts w:ascii="Times New Roman" w:hAnsi="Times New Roman"/>
                <w:sz w:val="16"/>
                <w:szCs w:val="16"/>
              </w:rPr>
            </w:pPr>
            <w:r>
              <w:rPr>
                <w:rFonts w:ascii="Arial" w:eastAsia="宋体" w:hAnsi="Arial" w:cs="Arial"/>
                <w:sz w:val="16"/>
                <w:szCs w:val="16"/>
              </w:rPr>
              <w:t>Investments in subsidiaries:</w:t>
            </w:r>
          </w:p>
        </w:tc>
        <w:tc>
          <w:tcPr>
            <w:tcW w:w="0" w:type="auto"/>
            <w:gridSpan w:val="3"/>
            <w:shd w:val="clear" w:color="auto" w:fill="auto"/>
            <w:tcMar>
              <w:top w:w="40" w:type="dxa"/>
              <w:left w:w="40" w:type="dxa"/>
              <w:bottom w:w="40" w:type="dxa"/>
              <w:right w:w="40" w:type="dxa"/>
            </w:tcMar>
            <w:vAlign w:val="bottom"/>
          </w:tcPr>
          <w:p w14:paraId="5556F7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7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7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761" w14:textId="77777777">
        <w:tc>
          <w:tcPr>
            <w:tcW w:w="0" w:type="auto"/>
            <w:shd w:val="clear" w:color="auto" w:fill="CCEEFF"/>
            <w:tcMar>
              <w:top w:w="40" w:type="dxa"/>
              <w:left w:w="240" w:type="dxa"/>
              <w:bottom w:w="40" w:type="dxa"/>
              <w:right w:w="40" w:type="dxa"/>
            </w:tcMar>
            <w:vAlign w:val="bottom"/>
          </w:tcPr>
          <w:p w14:paraId="5556F75B" w14:textId="77777777" w:rsidR="00F925DD" w:rsidRDefault="00E705D7">
            <w:pPr>
              <w:textAlignment w:val="bottom"/>
              <w:rPr>
                <w:rFonts w:ascii="Times New Roman" w:hAnsi="Times New Roman"/>
                <w:sz w:val="16"/>
                <w:szCs w:val="16"/>
              </w:rPr>
            </w:pPr>
            <w:r>
              <w:rPr>
                <w:rFonts w:ascii="Arial" w:eastAsia="宋体" w:hAnsi="Arial" w:cs="Arial"/>
                <w:sz w:val="16"/>
                <w:szCs w:val="16"/>
              </w:rPr>
              <w:t>Consolidated banking subsidiary</w:t>
            </w:r>
          </w:p>
        </w:tc>
        <w:tc>
          <w:tcPr>
            <w:tcW w:w="0" w:type="auto"/>
            <w:gridSpan w:val="2"/>
            <w:shd w:val="clear" w:color="auto" w:fill="CCEEFF"/>
            <w:tcMar>
              <w:top w:w="40" w:type="dxa"/>
              <w:left w:w="40" w:type="dxa"/>
              <w:bottom w:w="40" w:type="dxa"/>
            </w:tcMar>
            <w:vAlign w:val="bottom"/>
          </w:tcPr>
          <w:p w14:paraId="5556F75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25,451</w:t>
            </w:r>
          </w:p>
        </w:tc>
        <w:tc>
          <w:tcPr>
            <w:tcW w:w="0" w:type="auto"/>
            <w:shd w:val="clear" w:color="auto" w:fill="CCEEFF"/>
            <w:vAlign w:val="bottom"/>
          </w:tcPr>
          <w:p w14:paraId="5556F75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75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25,966</w:t>
            </w:r>
          </w:p>
        </w:tc>
        <w:tc>
          <w:tcPr>
            <w:tcW w:w="0" w:type="auto"/>
            <w:shd w:val="clear" w:color="auto" w:fill="CCEEFF"/>
            <w:vAlign w:val="bottom"/>
          </w:tcPr>
          <w:p w14:paraId="5556F760" w14:textId="77777777" w:rsidR="00F925DD" w:rsidRDefault="00F925DD">
            <w:pPr>
              <w:textAlignment w:val="bottom"/>
              <w:rPr>
                <w:rFonts w:ascii="Times New Roman" w:hAnsi="Times New Roman"/>
                <w:sz w:val="20"/>
                <w:szCs w:val="20"/>
              </w:rPr>
            </w:pPr>
          </w:p>
        </w:tc>
      </w:tr>
      <w:tr w:rsidR="00F925DD" w14:paraId="5556F768" w14:textId="77777777">
        <w:tc>
          <w:tcPr>
            <w:tcW w:w="0" w:type="auto"/>
            <w:shd w:val="clear" w:color="auto" w:fill="auto"/>
            <w:tcMar>
              <w:top w:w="40" w:type="dxa"/>
              <w:left w:w="240" w:type="dxa"/>
              <w:bottom w:w="40" w:type="dxa"/>
              <w:right w:w="40" w:type="dxa"/>
            </w:tcMar>
            <w:vAlign w:val="bottom"/>
          </w:tcPr>
          <w:p w14:paraId="5556F762" w14:textId="77777777" w:rsidR="00F925DD" w:rsidRDefault="00E705D7">
            <w:pPr>
              <w:textAlignment w:val="bottom"/>
              <w:rPr>
                <w:rFonts w:ascii="Times New Roman" w:hAnsi="Times New Roman"/>
                <w:sz w:val="16"/>
                <w:szCs w:val="16"/>
              </w:rPr>
            </w:pPr>
            <w:r>
              <w:rPr>
                <w:rFonts w:ascii="Arial" w:eastAsia="宋体" w:hAnsi="Arial" w:cs="Arial"/>
                <w:sz w:val="16"/>
                <w:szCs w:val="16"/>
              </w:rPr>
              <w:t>Consolidated non-banking subsidiaries</w:t>
            </w:r>
          </w:p>
        </w:tc>
        <w:tc>
          <w:tcPr>
            <w:tcW w:w="0" w:type="auto"/>
            <w:gridSpan w:val="2"/>
            <w:shd w:val="clear" w:color="auto" w:fill="auto"/>
            <w:tcMar>
              <w:top w:w="40" w:type="dxa"/>
              <w:left w:w="40" w:type="dxa"/>
              <w:bottom w:w="40" w:type="dxa"/>
            </w:tcMar>
            <w:vAlign w:val="bottom"/>
          </w:tcPr>
          <w:p w14:paraId="5556F763"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7,240</w:t>
            </w:r>
          </w:p>
        </w:tc>
        <w:tc>
          <w:tcPr>
            <w:tcW w:w="0" w:type="auto"/>
            <w:shd w:val="clear" w:color="auto" w:fill="auto"/>
            <w:vAlign w:val="bottom"/>
          </w:tcPr>
          <w:p w14:paraId="5556F76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76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6,726</w:t>
            </w:r>
          </w:p>
        </w:tc>
        <w:tc>
          <w:tcPr>
            <w:tcW w:w="0" w:type="auto"/>
            <w:shd w:val="clear" w:color="auto" w:fill="auto"/>
            <w:vAlign w:val="bottom"/>
          </w:tcPr>
          <w:p w14:paraId="5556F767" w14:textId="77777777" w:rsidR="00F925DD" w:rsidRDefault="00F925DD">
            <w:pPr>
              <w:textAlignment w:val="bottom"/>
              <w:rPr>
                <w:rFonts w:ascii="Times New Roman" w:hAnsi="Times New Roman"/>
                <w:sz w:val="20"/>
                <w:szCs w:val="20"/>
              </w:rPr>
            </w:pPr>
          </w:p>
        </w:tc>
      </w:tr>
      <w:tr w:rsidR="00F925DD" w14:paraId="5556F76F" w14:textId="77777777">
        <w:tc>
          <w:tcPr>
            <w:tcW w:w="0" w:type="auto"/>
            <w:shd w:val="clear" w:color="auto" w:fill="CCEEFF"/>
            <w:tcMar>
              <w:top w:w="40" w:type="dxa"/>
              <w:left w:w="240" w:type="dxa"/>
              <w:bottom w:w="40" w:type="dxa"/>
              <w:right w:w="40" w:type="dxa"/>
            </w:tcMar>
            <w:vAlign w:val="bottom"/>
          </w:tcPr>
          <w:p w14:paraId="5556F769" w14:textId="77777777" w:rsidR="00F925DD" w:rsidRDefault="00E705D7">
            <w:pPr>
              <w:textAlignment w:val="bottom"/>
              <w:rPr>
                <w:rFonts w:ascii="Times New Roman" w:hAnsi="Times New Roman"/>
                <w:sz w:val="16"/>
                <w:szCs w:val="16"/>
              </w:rPr>
            </w:pPr>
            <w:r>
              <w:rPr>
                <w:rFonts w:ascii="Arial" w:eastAsia="宋体" w:hAnsi="Arial" w:cs="Arial"/>
                <w:sz w:val="16"/>
                <w:szCs w:val="16"/>
              </w:rPr>
              <w:t>Unconsolidated entities</w:t>
            </w:r>
          </w:p>
        </w:tc>
        <w:tc>
          <w:tcPr>
            <w:tcW w:w="0" w:type="auto"/>
            <w:gridSpan w:val="2"/>
            <w:shd w:val="clear" w:color="auto" w:fill="CCEEFF"/>
            <w:tcMar>
              <w:top w:w="40" w:type="dxa"/>
              <w:left w:w="40" w:type="dxa"/>
              <w:bottom w:w="40" w:type="dxa"/>
            </w:tcMar>
            <w:vAlign w:val="bottom"/>
          </w:tcPr>
          <w:p w14:paraId="5556F76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117</w:t>
            </w:r>
          </w:p>
        </w:tc>
        <w:tc>
          <w:tcPr>
            <w:tcW w:w="0" w:type="auto"/>
            <w:shd w:val="clear" w:color="auto" w:fill="CCEEFF"/>
            <w:vAlign w:val="bottom"/>
          </w:tcPr>
          <w:p w14:paraId="5556F76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76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106</w:t>
            </w:r>
          </w:p>
        </w:tc>
        <w:tc>
          <w:tcPr>
            <w:tcW w:w="0" w:type="auto"/>
            <w:shd w:val="clear" w:color="auto" w:fill="CCEEFF"/>
            <w:vAlign w:val="bottom"/>
          </w:tcPr>
          <w:p w14:paraId="5556F76E" w14:textId="77777777" w:rsidR="00F925DD" w:rsidRDefault="00F925DD">
            <w:pPr>
              <w:textAlignment w:val="bottom"/>
              <w:rPr>
                <w:rFonts w:ascii="Times New Roman" w:hAnsi="Times New Roman"/>
                <w:sz w:val="20"/>
                <w:szCs w:val="20"/>
              </w:rPr>
            </w:pPr>
          </w:p>
        </w:tc>
      </w:tr>
      <w:tr w:rsidR="00F925DD" w14:paraId="5556F774" w14:textId="77777777">
        <w:tc>
          <w:tcPr>
            <w:tcW w:w="0" w:type="auto"/>
            <w:shd w:val="clear" w:color="auto" w:fill="auto"/>
            <w:tcMar>
              <w:top w:w="40" w:type="dxa"/>
              <w:left w:w="40" w:type="dxa"/>
              <w:bottom w:w="40" w:type="dxa"/>
              <w:right w:w="40" w:type="dxa"/>
            </w:tcMar>
            <w:vAlign w:val="bottom"/>
          </w:tcPr>
          <w:p w14:paraId="5556F770" w14:textId="77777777" w:rsidR="00F925DD" w:rsidRDefault="00E705D7">
            <w:pPr>
              <w:textAlignment w:val="bottom"/>
              <w:rPr>
                <w:rFonts w:ascii="Times New Roman" w:hAnsi="Times New Roman"/>
                <w:sz w:val="16"/>
                <w:szCs w:val="16"/>
              </w:rPr>
            </w:pPr>
            <w:r>
              <w:rPr>
                <w:rFonts w:ascii="Arial" w:eastAsia="宋体" w:hAnsi="Arial" w:cs="Arial"/>
                <w:sz w:val="16"/>
                <w:szCs w:val="16"/>
              </w:rPr>
              <w:t>Notes and other receivables from:</w:t>
            </w:r>
          </w:p>
        </w:tc>
        <w:tc>
          <w:tcPr>
            <w:tcW w:w="0" w:type="auto"/>
            <w:gridSpan w:val="3"/>
            <w:shd w:val="clear" w:color="auto" w:fill="auto"/>
            <w:tcMar>
              <w:top w:w="40" w:type="dxa"/>
              <w:left w:w="40" w:type="dxa"/>
              <w:bottom w:w="40" w:type="dxa"/>
              <w:right w:w="40" w:type="dxa"/>
            </w:tcMar>
            <w:vAlign w:val="bottom"/>
          </w:tcPr>
          <w:p w14:paraId="5556F7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7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7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77B" w14:textId="77777777">
        <w:tc>
          <w:tcPr>
            <w:tcW w:w="0" w:type="auto"/>
            <w:shd w:val="clear" w:color="auto" w:fill="CCEEFF"/>
            <w:tcMar>
              <w:top w:w="40" w:type="dxa"/>
              <w:left w:w="240" w:type="dxa"/>
              <w:bottom w:w="40" w:type="dxa"/>
              <w:right w:w="40" w:type="dxa"/>
            </w:tcMar>
            <w:vAlign w:val="bottom"/>
          </w:tcPr>
          <w:p w14:paraId="5556F775" w14:textId="77777777" w:rsidR="00F925DD" w:rsidRDefault="00E705D7">
            <w:pPr>
              <w:textAlignment w:val="bottom"/>
              <w:rPr>
                <w:rFonts w:ascii="Times New Roman" w:hAnsi="Times New Roman"/>
                <w:sz w:val="16"/>
                <w:szCs w:val="16"/>
              </w:rPr>
            </w:pPr>
            <w:r>
              <w:rPr>
                <w:rFonts w:ascii="Arial" w:eastAsia="宋体" w:hAnsi="Arial" w:cs="Arial"/>
                <w:sz w:val="16"/>
                <w:szCs w:val="16"/>
              </w:rPr>
              <w:t>Consolidated banking subsidiary</w:t>
            </w:r>
          </w:p>
        </w:tc>
        <w:tc>
          <w:tcPr>
            <w:tcW w:w="0" w:type="auto"/>
            <w:gridSpan w:val="2"/>
            <w:shd w:val="clear" w:color="auto" w:fill="CCEEFF"/>
            <w:tcMar>
              <w:top w:w="40" w:type="dxa"/>
              <w:left w:w="40" w:type="dxa"/>
              <w:bottom w:w="40" w:type="dxa"/>
            </w:tcMar>
            <w:vAlign w:val="bottom"/>
          </w:tcPr>
          <w:p w14:paraId="5556F776"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vAlign w:val="bottom"/>
          </w:tcPr>
          <w:p w14:paraId="5556F77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77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64</w:t>
            </w:r>
          </w:p>
        </w:tc>
        <w:tc>
          <w:tcPr>
            <w:tcW w:w="0" w:type="auto"/>
            <w:shd w:val="clear" w:color="auto" w:fill="CCEEFF"/>
            <w:vAlign w:val="bottom"/>
          </w:tcPr>
          <w:p w14:paraId="5556F77A" w14:textId="77777777" w:rsidR="00F925DD" w:rsidRDefault="00F925DD">
            <w:pPr>
              <w:textAlignment w:val="bottom"/>
              <w:rPr>
                <w:rFonts w:ascii="Times New Roman" w:hAnsi="Times New Roman"/>
                <w:sz w:val="20"/>
                <w:szCs w:val="20"/>
              </w:rPr>
            </w:pPr>
          </w:p>
        </w:tc>
      </w:tr>
      <w:tr w:rsidR="00F925DD" w14:paraId="5556F782" w14:textId="77777777">
        <w:tc>
          <w:tcPr>
            <w:tcW w:w="0" w:type="auto"/>
            <w:shd w:val="clear" w:color="auto" w:fill="auto"/>
            <w:tcMar>
              <w:top w:w="40" w:type="dxa"/>
              <w:left w:w="240" w:type="dxa"/>
              <w:bottom w:w="40" w:type="dxa"/>
              <w:right w:w="40" w:type="dxa"/>
            </w:tcMar>
            <w:vAlign w:val="bottom"/>
          </w:tcPr>
          <w:p w14:paraId="5556F77C"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Consolidated non-banking subsidiaries and unconsolidated </w:t>
            </w:r>
            <w:r>
              <w:rPr>
                <w:rFonts w:ascii="Arial" w:eastAsia="宋体" w:hAnsi="Arial" w:cs="Arial"/>
                <w:sz w:val="16"/>
                <w:szCs w:val="16"/>
              </w:rPr>
              <w:t>entities</w:t>
            </w:r>
          </w:p>
        </w:tc>
        <w:tc>
          <w:tcPr>
            <w:tcW w:w="0" w:type="auto"/>
            <w:gridSpan w:val="2"/>
            <w:shd w:val="clear" w:color="auto" w:fill="auto"/>
            <w:tcMar>
              <w:top w:w="40" w:type="dxa"/>
              <w:left w:w="40" w:type="dxa"/>
              <w:bottom w:w="40" w:type="dxa"/>
            </w:tcMar>
            <w:vAlign w:val="bottom"/>
          </w:tcPr>
          <w:p w14:paraId="5556F77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3,361</w:t>
            </w:r>
          </w:p>
        </w:tc>
        <w:tc>
          <w:tcPr>
            <w:tcW w:w="0" w:type="auto"/>
            <w:shd w:val="clear" w:color="auto" w:fill="auto"/>
            <w:vAlign w:val="bottom"/>
          </w:tcPr>
          <w:p w14:paraId="5556F77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78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2,337</w:t>
            </w:r>
          </w:p>
        </w:tc>
        <w:tc>
          <w:tcPr>
            <w:tcW w:w="0" w:type="auto"/>
            <w:shd w:val="clear" w:color="auto" w:fill="auto"/>
            <w:vAlign w:val="bottom"/>
          </w:tcPr>
          <w:p w14:paraId="5556F781" w14:textId="77777777" w:rsidR="00F925DD" w:rsidRDefault="00F925DD">
            <w:pPr>
              <w:textAlignment w:val="bottom"/>
              <w:rPr>
                <w:rFonts w:ascii="Times New Roman" w:hAnsi="Times New Roman"/>
                <w:sz w:val="20"/>
                <w:szCs w:val="20"/>
              </w:rPr>
            </w:pPr>
          </w:p>
        </w:tc>
      </w:tr>
      <w:tr w:rsidR="00F925DD" w14:paraId="5556F789" w14:textId="77777777">
        <w:tc>
          <w:tcPr>
            <w:tcW w:w="0" w:type="auto"/>
            <w:shd w:val="clear" w:color="auto" w:fill="CCEEFF"/>
            <w:tcMar>
              <w:top w:w="40" w:type="dxa"/>
              <w:left w:w="40" w:type="dxa"/>
              <w:bottom w:w="40" w:type="dxa"/>
              <w:right w:w="40" w:type="dxa"/>
            </w:tcMar>
            <w:vAlign w:val="bottom"/>
          </w:tcPr>
          <w:p w14:paraId="5556F783" w14:textId="77777777" w:rsidR="00F925DD" w:rsidRDefault="00E705D7">
            <w:pPr>
              <w:textAlignment w:val="bottom"/>
              <w:rPr>
                <w:rFonts w:ascii="Times New Roman" w:hAnsi="Times New Roman"/>
                <w:sz w:val="16"/>
                <w:szCs w:val="16"/>
              </w:rPr>
            </w:pPr>
            <w:r>
              <w:rPr>
                <w:rFonts w:ascii="Arial" w:eastAsia="宋体" w:hAnsi="Arial" w:cs="Arial"/>
                <w:sz w:val="16"/>
                <w:szCs w:val="16"/>
              </w:rPr>
              <w:t>Other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78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270</w:t>
            </w:r>
          </w:p>
        </w:tc>
        <w:tc>
          <w:tcPr>
            <w:tcW w:w="0" w:type="auto"/>
            <w:tcBorders>
              <w:bottom w:val="single" w:sz="8" w:space="0" w:color="000000"/>
            </w:tcBorders>
            <w:shd w:val="clear" w:color="auto" w:fill="CCEEFF"/>
            <w:vAlign w:val="bottom"/>
          </w:tcPr>
          <w:p w14:paraId="5556F78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78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96</w:t>
            </w:r>
          </w:p>
        </w:tc>
        <w:tc>
          <w:tcPr>
            <w:tcW w:w="0" w:type="auto"/>
            <w:tcBorders>
              <w:bottom w:val="single" w:sz="8" w:space="0" w:color="000000"/>
            </w:tcBorders>
            <w:shd w:val="clear" w:color="auto" w:fill="CCEEFF"/>
            <w:vAlign w:val="bottom"/>
          </w:tcPr>
          <w:p w14:paraId="5556F788" w14:textId="77777777" w:rsidR="00F925DD" w:rsidRDefault="00F925DD">
            <w:pPr>
              <w:textAlignment w:val="bottom"/>
              <w:rPr>
                <w:rFonts w:ascii="Times New Roman" w:hAnsi="Times New Roman"/>
                <w:sz w:val="20"/>
                <w:szCs w:val="20"/>
              </w:rPr>
            </w:pPr>
          </w:p>
        </w:tc>
      </w:tr>
      <w:tr w:rsidR="00F925DD" w14:paraId="5556F792" w14:textId="77777777">
        <w:tc>
          <w:tcPr>
            <w:tcW w:w="0" w:type="auto"/>
            <w:shd w:val="clear" w:color="auto" w:fill="auto"/>
            <w:tcMar>
              <w:top w:w="40" w:type="dxa"/>
              <w:left w:w="40" w:type="dxa"/>
              <w:bottom w:w="40" w:type="dxa"/>
              <w:right w:w="40" w:type="dxa"/>
            </w:tcMar>
            <w:vAlign w:val="bottom"/>
          </w:tcPr>
          <w:p w14:paraId="5556F78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Total assets</w:t>
            </w:r>
          </w:p>
        </w:tc>
        <w:tc>
          <w:tcPr>
            <w:tcW w:w="0" w:type="auto"/>
            <w:tcBorders>
              <w:bottom w:val="double" w:sz="6" w:space="0" w:color="000000"/>
            </w:tcBorders>
            <w:shd w:val="clear" w:color="auto" w:fill="auto"/>
            <w:tcMar>
              <w:top w:w="40" w:type="dxa"/>
              <w:left w:w="40" w:type="dxa"/>
              <w:bottom w:w="40" w:type="dxa"/>
            </w:tcMar>
            <w:vAlign w:val="bottom"/>
          </w:tcPr>
          <w:p w14:paraId="5556F78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double" w:sz="6" w:space="0" w:color="000000"/>
            </w:tcBorders>
            <w:shd w:val="clear" w:color="auto" w:fill="auto"/>
            <w:tcMar>
              <w:top w:w="40" w:type="dxa"/>
              <w:bottom w:w="40" w:type="dxa"/>
            </w:tcMar>
            <w:vAlign w:val="bottom"/>
          </w:tcPr>
          <w:p w14:paraId="5556F78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37,510</w:t>
            </w:r>
          </w:p>
        </w:tc>
        <w:tc>
          <w:tcPr>
            <w:tcW w:w="0" w:type="auto"/>
            <w:tcBorders>
              <w:bottom w:val="double" w:sz="6" w:space="0" w:color="000000"/>
            </w:tcBorders>
            <w:shd w:val="clear" w:color="auto" w:fill="auto"/>
            <w:vAlign w:val="bottom"/>
          </w:tcPr>
          <w:p w14:paraId="5556F78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78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5556F79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36,362</w:t>
            </w:r>
          </w:p>
        </w:tc>
        <w:tc>
          <w:tcPr>
            <w:tcW w:w="0" w:type="auto"/>
            <w:tcBorders>
              <w:bottom w:val="double" w:sz="6" w:space="0" w:color="000000"/>
            </w:tcBorders>
            <w:shd w:val="clear" w:color="auto" w:fill="auto"/>
            <w:vAlign w:val="bottom"/>
          </w:tcPr>
          <w:p w14:paraId="5556F791" w14:textId="77777777" w:rsidR="00F925DD" w:rsidRDefault="00F925DD">
            <w:pPr>
              <w:textAlignment w:val="bottom"/>
              <w:rPr>
                <w:rFonts w:ascii="Times New Roman" w:hAnsi="Times New Roman"/>
                <w:sz w:val="20"/>
                <w:szCs w:val="20"/>
              </w:rPr>
            </w:pPr>
          </w:p>
        </w:tc>
      </w:tr>
      <w:tr w:rsidR="00F925DD" w14:paraId="5556F797" w14:textId="77777777">
        <w:tc>
          <w:tcPr>
            <w:tcW w:w="0" w:type="auto"/>
            <w:shd w:val="clear" w:color="auto" w:fill="CCEEFF"/>
            <w:tcMar>
              <w:top w:w="40" w:type="dxa"/>
              <w:left w:w="40" w:type="dxa"/>
              <w:bottom w:w="40" w:type="dxa"/>
              <w:right w:w="40" w:type="dxa"/>
            </w:tcMar>
            <w:vAlign w:val="bottom"/>
          </w:tcPr>
          <w:p w14:paraId="5556F79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Liabilities:</w:t>
            </w:r>
          </w:p>
        </w:tc>
        <w:tc>
          <w:tcPr>
            <w:tcW w:w="0" w:type="auto"/>
            <w:gridSpan w:val="3"/>
            <w:shd w:val="clear" w:color="auto" w:fill="CCEEFF"/>
            <w:tcMar>
              <w:top w:w="40" w:type="dxa"/>
              <w:left w:w="40" w:type="dxa"/>
              <w:bottom w:w="40" w:type="dxa"/>
              <w:right w:w="40" w:type="dxa"/>
            </w:tcMar>
            <w:vAlign w:val="bottom"/>
          </w:tcPr>
          <w:p w14:paraId="5556F7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7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7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7A0" w14:textId="77777777">
        <w:tc>
          <w:tcPr>
            <w:tcW w:w="0" w:type="auto"/>
            <w:shd w:val="clear" w:color="auto" w:fill="auto"/>
            <w:tcMar>
              <w:top w:w="40" w:type="dxa"/>
              <w:left w:w="40" w:type="dxa"/>
              <w:bottom w:w="40" w:type="dxa"/>
              <w:right w:w="40" w:type="dxa"/>
            </w:tcMar>
            <w:vAlign w:val="bottom"/>
          </w:tcPr>
          <w:p w14:paraId="5556F798" w14:textId="77777777" w:rsidR="00F925DD" w:rsidRDefault="00E705D7">
            <w:pPr>
              <w:textAlignment w:val="bottom"/>
              <w:rPr>
                <w:rFonts w:ascii="Times New Roman" w:hAnsi="Times New Roman"/>
                <w:sz w:val="16"/>
                <w:szCs w:val="16"/>
              </w:rPr>
            </w:pPr>
            <w:r>
              <w:rPr>
                <w:rFonts w:ascii="Arial" w:eastAsia="宋体" w:hAnsi="Arial" w:cs="Arial"/>
                <w:sz w:val="16"/>
                <w:szCs w:val="16"/>
              </w:rPr>
              <w:t>Accrued expenses and other liabilities</w:t>
            </w:r>
          </w:p>
        </w:tc>
        <w:tc>
          <w:tcPr>
            <w:tcW w:w="0" w:type="auto"/>
            <w:shd w:val="clear" w:color="auto" w:fill="auto"/>
            <w:tcMar>
              <w:top w:w="40" w:type="dxa"/>
              <w:left w:w="40" w:type="dxa"/>
              <w:bottom w:w="40" w:type="dxa"/>
            </w:tcMar>
            <w:vAlign w:val="bottom"/>
          </w:tcPr>
          <w:p w14:paraId="5556F799"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bottom w:w="40" w:type="dxa"/>
            </w:tcMar>
            <w:vAlign w:val="bottom"/>
          </w:tcPr>
          <w:p w14:paraId="5556F79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696</w:t>
            </w:r>
          </w:p>
        </w:tc>
        <w:tc>
          <w:tcPr>
            <w:tcW w:w="0" w:type="auto"/>
            <w:shd w:val="clear" w:color="auto" w:fill="auto"/>
            <w:vAlign w:val="bottom"/>
          </w:tcPr>
          <w:p w14:paraId="5556F7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79D"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bottom w:w="40" w:type="dxa"/>
            </w:tcMar>
            <w:vAlign w:val="bottom"/>
          </w:tcPr>
          <w:p w14:paraId="5556F79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685</w:t>
            </w:r>
          </w:p>
        </w:tc>
        <w:tc>
          <w:tcPr>
            <w:tcW w:w="0" w:type="auto"/>
            <w:shd w:val="clear" w:color="auto" w:fill="auto"/>
            <w:vAlign w:val="bottom"/>
          </w:tcPr>
          <w:p w14:paraId="5556F79F" w14:textId="77777777" w:rsidR="00F925DD" w:rsidRDefault="00F925DD">
            <w:pPr>
              <w:textAlignment w:val="bottom"/>
              <w:rPr>
                <w:rFonts w:ascii="Times New Roman" w:hAnsi="Times New Roman"/>
                <w:sz w:val="20"/>
                <w:szCs w:val="20"/>
              </w:rPr>
            </w:pPr>
          </w:p>
        </w:tc>
      </w:tr>
      <w:tr w:rsidR="00F925DD" w14:paraId="5556F7A7" w14:textId="77777777">
        <w:tc>
          <w:tcPr>
            <w:tcW w:w="0" w:type="auto"/>
            <w:shd w:val="clear" w:color="auto" w:fill="CCEEFF"/>
            <w:tcMar>
              <w:top w:w="40" w:type="dxa"/>
              <w:left w:w="40" w:type="dxa"/>
              <w:bottom w:w="40" w:type="dxa"/>
              <w:right w:w="40" w:type="dxa"/>
            </w:tcMar>
            <w:vAlign w:val="bottom"/>
          </w:tcPr>
          <w:p w14:paraId="5556F7A1" w14:textId="77777777" w:rsidR="00F925DD" w:rsidRDefault="00E705D7">
            <w:pPr>
              <w:textAlignment w:val="bottom"/>
              <w:rPr>
                <w:rFonts w:ascii="Times New Roman" w:hAnsi="Times New Roman"/>
                <w:sz w:val="16"/>
                <w:szCs w:val="16"/>
              </w:rPr>
            </w:pPr>
            <w:r>
              <w:rPr>
                <w:rFonts w:ascii="Arial" w:eastAsia="宋体" w:hAnsi="Arial" w:cs="Arial"/>
                <w:sz w:val="16"/>
                <w:szCs w:val="16"/>
              </w:rPr>
              <w:t>Long-term debt</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7A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12,383</w:t>
            </w:r>
          </w:p>
        </w:tc>
        <w:tc>
          <w:tcPr>
            <w:tcW w:w="0" w:type="auto"/>
            <w:tcBorders>
              <w:bottom w:val="single" w:sz="8" w:space="0" w:color="000000"/>
            </w:tcBorders>
            <w:shd w:val="clear" w:color="auto" w:fill="CCEEFF"/>
            <w:vAlign w:val="bottom"/>
          </w:tcPr>
          <w:p w14:paraId="5556F7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7A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10,940</w:t>
            </w:r>
          </w:p>
        </w:tc>
        <w:tc>
          <w:tcPr>
            <w:tcW w:w="0" w:type="auto"/>
            <w:tcBorders>
              <w:bottom w:val="single" w:sz="8" w:space="0" w:color="000000"/>
            </w:tcBorders>
            <w:shd w:val="clear" w:color="auto" w:fill="CCEEFF"/>
            <w:vAlign w:val="bottom"/>
          </w:tcPr>
          <w:p w14:paraId="5556F7A6" w14:textId="77777777" w:rsidR="00F925DD" w:rsidRDefault="00F925DD">
            <w:pPr>
              <w:textAlignment w:val="bottom"/>
              <w:rPr>
                <w:rFonts w:ascii="Times New Roman" w:hAnsi="Times New Roman"/>
                <w:sz w:val="20"/>
                <w:szCs w:val="20"/>
              </w:rPr>
            </w:pPr>
          </w:p>
        </w:tc>
      </w:tr>
      <w:tr w:rsidR="00F925DD" w14:paraId="5556F7AE" w14:textId="77777777">
        <w:tc>
          <w:tcPr>
            <w:tcW w:w="0" w:type="auto"/>
            <w:shd w:val="clear" w:color="auto" w:fill="auto"/>
            <w:tcMar>
              <w:top w:w="40" w:type="dxa"/>
              <w:left w:w="40" w:type="dxa"/>
              <w:bottom w:w="40" w:type="dxa"/>
              <w:right w:w="40" w:type="dxa"/>
            </w:tcMar>
            <w:vAlign w:val="bottom"/>
          </w:tcPr>
          <w:p w14:paraId="5556F7A8"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Total liabilities</w:t>
            </w:r>
          </w:p>
        </w:tc>
        <w:tc>
          <w:tcPr>
            <w:tcW w:w="0" w:type="auto"/>
            <w:gridSpan w:val="2"/>
            <w:shd w:val="clear" w:color="auto" w:fill="auto"/>
            <w:tcMar>
              <w:top w:w="40" w:type="dxa"/>
              <w:left w:w="40" w:type="dxa"/>
              <w:bottom w:w="40" w:type="dxa"/>
            </w:tcMar>
            <w:vAlign w:val="bottom"/>
          </w:tcPr>
          <w:p w14:paraId="5556F7A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13,079</w:t>
            </w:r>
          </w:p>
        </w:tc>
        <w:tc>
          <w:tcPr>
            <w:tcW w:w="0" w:type="auto"/>
            <w:shd w:val="clear" w:color="auto" w:fill="auto"/>
            <w:vAlign w:val="bottom"/>
          </w:tcPr>
          <w:p w14:paraId="5556F7A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7A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11,625</w:t>
            </w:r>
          </w:p>
        </w:tc>
        <w:tc>
          <w:tcPr>
            <w:tcW w:w="0" w:type="auto"/>
            <w:shd w:val="clear" w:color="auto" w:fill="auto"/>
            <w:vAlign w:val="bottom"/>
          </w:tcPr>
          <w:p w14:paraId="5556F7AD" w14:textId="77777777" w:rsidR="00F925DD" w:rsidRDefault="00F925DD">
            <w:pPr>
              <w:textAlignment w:val="bottom"/>
              <w:rPr>
                <w:rFonts w:ascii="Times New Roman" w:hAnsi="Times New Roman"/>
                <w:sz w:val="20"/>
                <w:szCs w:val="20"/>
              </w:rPr>
            </w:pPr>
          </w:p>
        </w:tc>
      </w:tr>
      <w:tr w:rsidR="00F925DD" w14:paraId="5556F7B5" w14:textId="77777777">
        <w:tc>
          <w:tcPr>
            <w:tcW w:w="0" w:type="auto"/>
            <w:shd w:val="clear" w:color="auto" w:fill="CCEEFF"/>
            <w:tcMar>
              <w:top w:w="40" w:type="dxa"/>
              <w:left w:w="40" w:type="dxa"/>
              <w:bottom w:w="40" w:type="dxa"/>
              <w:right w:w="40" w:type="dxa"/>
            </w:tcMar>
            <w:vAlign w:val="bottom"/>
          </w:tcPr>
          <w:p w14:paraId="5556F7A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Shareholders’ equity</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7B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24,431</w:t>
            </w:r>
          </w:p>
        </w:tc>
        <w:tc>
          <w:tcPr>
            <w:tcW w:w="0" w:type="auto"/>
            <w:tcBorders>
              <w:bottom w:val="single" w:sz="8" w:space="0" w:color="000000"/>
            </w:tcBorders>
            <w:shd w:val="clear" w:color="auto" w:fill="CCEEFF"/>
            <w:vAlign w:val="bottom"/>
          </w:tcPr>
          <w:p w14:paraId="5556F7B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7B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24,737</w:t>
            </w:r>
          </w:p>
        </w:tc>
        <w:tc>
          <w:tcPr>
            <w:tcW w:w="0" w:type="auto"/>
            <w:tcBorders>
              <w:bottom w:val="single" w:sz="8" w:space="0" w:color="000000"/>
            </w:tcBorders>
            <w:shd w:val="clear" w:color="auto" w:fill="CCEEFF"/>
            <w:vAlign w:val="bottom"/>
          </w:tcPr>
          <w:p w14:paraId="5556F7B4" w14:textId="77777777" w:rsidR="00F925DD" w:rsidRDefault="00F925DD">
            <w:pPr>
              <w:textAlignment w:val="bottom"/>
              <w:rPr>
                <w:rFonts w:ascii="Times New Roman" w:hAnsi="Times New Roman"/>
                <w:sz w:val="20"/>
                <w:szCs w:val="20"/>
              </w:rPr>
            </w:pPr>
          </w:p>
        </w:tc>
      </w:tr>
      <w:tr w:rsidR="00F925DD" w14:paraId="5556F7BE" w14:textId="77777777">
        <w:tc>
          <w:tcPr>
            <w:tcW w:w="0" w:type="auto"/>
            <w:shd w:val="clear" w:color="auto" w:fill="auto"/>
            <w:tcMar>
              <w:top w:w="40" w:type="dxa"/>
              <w:left w:w="40" w:type="dxa"/>
              <w:bottom w:w="40" w:type="dxa"/>
              <w:right w:w="40" w:type="dxa"/>
            </w:tcMar>
            <w:vAlign w:val="bottom"/>
          </w:tcPr>
          <w:p w14:paraId="5556F7B6"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Total liabilities and shareholders’ equity</w:t>
            </w:r>
          </w:p>
        </w:tc>
        <w:tc>
          <w:tcPr>
            <w:tcW w:w="0" w:type="auto"/>
            <w:tcBorders>
              <w:bottom w:val="double" w:sz="6" w:space="0" w:color="000000"/>
            </w:tcBorders>
            <w:shd w:val="clear" w:color="auto" w:fill="auto"/>
            <w:tcMar>
              <w:top w:w="40" w:type="dxa"/>
              <w:left w:w="40" w:type="dxa"/>
              <w:bottom w:w="40" w:type="dxa"/>
            </w:tcMar>
            <w:vAlign w:val="bottom"/>
          </w:tcPr>
          <w:p w14:paraId="5556F7B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double" w:sz="6" w:space="0" w:color="000000"/>
            </w:tcBorders>
            <w:shd w:val="clear" w:color="auto" w:fill="auto"/>
            <w:tcMar>
              <w:top w:w="40" w:type="dxa"/>
              <w:bottom w:w="40" w:type="dxa"/>
            </w:tcMar>
            <w:vAlign w:val="bottom"/>
          </w:tcPr>
          <w:p w14:paraId="5556F7B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37,510</w:t>
            </w:r>
          </w:p>
        </w:tc>
        <w:tc>
          <w:tcPr>
            <w:tcW w:w="0" w:type="auto"/>
            <w:tcBorders>
              <w:bottom w:val="double" w:sz="6" w:space="0" w:color="000000"/>
            </w:tcBorders>
            <w:shd w:val="clear" w:color="auto" w:fill="auto"/>
            <w:vAlign w:val="bottom"/>
          </w:tcPr>
          <w:p w14:paraId="5556F7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7BB"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5556F7B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36,362</w:t>
            </w:r>
          </w:p>
        </w:tc>
        <w:tc>
          <w:tcPr>
            <w:tcW w:w="0" w:type="auto"/>
            <w:tcBorders>
              <w:bottom w:val="double" w:sz="6" w:space="0" w:color="000000"/>
            </w:tcBorders>
            <w:shd w:val="clear" w:color="auto" w:fill="auto"/>
            <w:vAlign w:val="bottom"/>
          </w:tcPr>
          <w:p w14:paraId="5556F7BD" w14:textId="77777777" w:rsidR="00F925DD" w:rsidRDefault="00F925DD">
            <w:pPr>
              <w:textAlignment w:val="bottom"/>
              <w:rPr>
                <w:rFonts w:ascii="Times New Roman" w:hAnsi="Times New Roman"/>
                <w:sz w:val="20"/>
                <w:szCs w:val="20"/>
              </w:rPr>
            </w:pPr>
          </w:p>
        </w:tc>
      </w:tr>
    </w:tbl>
    <w:p w14:paraId="5556F7BF" w14:textId="77777777" w:rsidR="00F925DD" w:rsidRDefault="00F925DD">
      <w:pPr>
        <w:spacing w:line="288" w:lineRule="auto"/>
        <w:rPr>
          <w:rFonts w:ascii="Times New Roman" w:hAnsi="Times New Roman"/>
          <w:sz w:val="20"/>
          <w:szCs w:val="20"/>
        </w:rPr>
      </w:pPr>
    </w:p>
    <w:p w14:paraId="5556F7C0"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Statement of Cash Flows - Parent Company</w:t>
      </w:r>
    </w:p>
    <w:tbl>
      <w:tblPr>
        <w:tblW w:w="5000" w:type="pct"/>
        <w:tblCellMar>
          <w:left w:w="0" w:type="dxa"/>
          <w:right w:w="0" w:type="dxa"/>
        </w:tblCellMar>
        <w:tblLook w:val="04A0" w:firstRow="1" w:lastRow="0" w:firstColumn="1" w:lastColumn="0" w:noHBand="0" w:noVBand="1"/>
      </w:tblPr>
      <w:tblGrid>
        <w:gridCol w:w="4834"/>
        <w:gridCol w:w="129"/>
        <w:gridCol w:w="847"/>
        <w:gridCol w:w="94"/>
        <w:gridCol w:w="130"/>
        <w:gridCol w:w="129"/>
        <w:gridCol w:w="848"/>
        <w:gridCol w:w="94"/>
        <w:gridCol w:w="130"/>
        <w:gridCol w:w="129"/>
        <w:gridCol w:w="848"/>
        <w:gridCol w:w="94"/>
      </w:tblGrid>
      <w:tr w:rsidR="00F925DD" w14:paraId="5556F7C2" w14:textId="77777777">
        <w:tc>
          <w:tcPr>
            <w:tcW w:w="0" w:type="auto"/>
            <w:gridSpan w:val="12"/>
            <w:shd w:val="clear" w:color="auto" w:fill="auto"/>
            <w:vAlign w:val="center"/>
          </w:tcPr>
          <w:p w14:paraId="5556F7C1" w14:textId="77777777" w:rsidR="00F925DD" w:rsidRDefault="00F925DD">
            <w:pPr>
              <w:rPr>
                <w:rFonts w:ascii="Times New Roman" w:hAnsi="Times New Roman"/>
                <w:sz w:val="20"/>
                <w:szCs w:val="20"/>
              </w:rPr>
            </w:pPr>
          </w:p>
        </w:tc>
      </w:tr>
      <w:tr w:rsidR="00F925DD" w14:paraId="5556F7CF" w14:textId="77777777">
        <w:tc>
          <w:tcPr>
            <w:tcW w:w="2950" w:type="pct"/>
            <w:shd w:val="clear" w:color="auto" w:fill="auto"/>
            <w:vAlign w:val="center"/>
          </w:tcPr>
          <w:p w14:paraId="5556F7C3" w14:textId="77777777" w:rsidR="00F925DD" w:rsidRDefault="00F925DD">
            <w:pPr>
              <w:rPr>
                <w:rFonts w:ascii="Times New Roman" w:hAnsi="Times New Roman"/>
                <w:sz w:val="20"/>
                <w:szCs w:val="20"/>
              </w:rPr>
            </w:pPr>
          </w:p>
        </w:tc>
        <w:tc>
          <w:tcPr>
            <w:tcW w:w="50" w:type="pct"/>
            <w:shd w:val="clear" w:color="auto" w:fill="auto"/>
            <w:vAlign w:val="center"/>
          </w:tcPr>
          <w:p w14:paraId="5556F7C4" w14:textId="77777777" w:rsidR="00F925DD" w:rsidRDefault="00F925DD">
            <w:pPr>
              <w:rPr>
                <w:rFonts w:ascii="Times New Roman" w:hAnsi="Times New Roman"/>
                <w:sz w:val="20"/>
                <w:szCs w:val="20"/>
              </w:rPr>
            </w:pPr>
          </w:p>
        </w:tc>
        <w:tc>
          <w:tcPr>
            <w:tcW w:w="550" w:type="pct"/>
            <w:shd w:val="clear" w:color="auto" w:fill="auto"/>
            <w:vAlign w:val="center"/>
          </w:tcPr>
          <w:p w14:paraId="5556F7C5" w14:textId="77777777" w:rsidR="00F925DD" w:rsidRDefault="00F925DD">
            <w:pPr>
              <w:rPr>
                <w:rFonts w:ascii="Times New Roman" w:hAnsi="Times New Roman"/>
                <w:sz w:val="20"/>
                <w:szCs w:val="20"/>
              </w:rPr>
            </w:pPr>
          </w:p>
        </w:tc>
        <w:tc>
          <w:tcPr>
            <w:tcW w:w="50" w:type="pct"/>
            <w:shd w:val="clear" w:color="auto" w:fill="auto"/>
            <w:vAlign w:val="center"/>
          </w:tcPr>
          <w:p w14:paraId="5556F7C6" w14:textId="77777777" w:rsidR="00F925DD" w:rsidRDefault="00F925DD">
            <w:pPr>
              <w:rPr>
                <w:rFonts w:ascii="Times New Roman" w:hAnsi="Times New Roman"/>
                <w:sz w:val="20"/>
                <w:szCs w:val="20"/>
              </w:rPr>
            </w:pPr>
          </w:p>
        </w:tc>
        <w:tc>
          <w:tcPr>
            <w:tcW w:w="50" w:type="pct"/>
            <w:shd w:val="clear" w:color="auto" w:fill="auto"/>
            <w:vAlign w:val="center"/>
          </w:tcPr>
          <w:p w14:paraId="5556F7C7" w14:textId="77777777" w:rsidR="00F925DD" w:rsidRDefault="00F925DD">
            <w:pPr>
              <w:rPr>
                <w:rFonts w:ascii="Times New Roman" w:hAnsi="Times New Roman"/>
                <w:sz w:val="20"/>
                <w:szCs w:val="20"/>
              </w:rPr>
            </w:pPr>
          </w:p>
        </w:tc>
        <w:tc>
          <w:tcPr>
            <w:tcW w:w="50" w:type="pct"/>
            <w:shd w:val="clear" w:color="auto" w:fill="auto"/>
            <w:vAlign w:val="center"/>
          </w:tcPr>
          <w:p w14:paraId="5556F7C8" w14:textId="77777777" w:rsidR="00F925DD" w:rsidRDefault="00F925DD">
            <w:pPr>
              <w:rPr>
                <w:rFonts w:ascii="Times New Roman" w:hAnsi="Times New Roman"/>
                <w:sz w:val="20"/>
                <w:szCs w:val="20"/>
              </w:rPr>
            </w:pPr>
          </w:p>
        </w:tc>
        <w:tc>
          <w:tcPr>
            <w:tcW w:w="550" w:type="pct"/>
            <w:shd w:val="clear" w:color="auto" w:fill="auto"/>
            <w:vAlign w:val="center"/>
          </w:tcPr>
          <w:p w14:paraId="5556F7C9" w14:textId="77777777" w:rsidR="00F925DD" w:rsidRDefault="00F925DD">
            <w:pPr>
              <w:rPr>
                <w:rFonts w:ascii="Times New Roman" w:hAnsi="Times New Roman"/>
                <w:sz w:val="20"/>
                <w:szCs w:val="20"/>
              </w:rPr>
            </w:pPr>
          </w:p>
        </w:tc>
        <w:tc>
          <w:tcPr>
            <w:tcW w:w="50" w:type="pct"/>
            <w:shd w:val="clear" w:color="auto" w:fill="auto"/>
            <w:vAlign w:val="center"/>
          </w:tcPr>
          <w:p w14:paraId="5556F7CA" w14:textId="77777777" w:rsidR="00F925DD" w:rsidRDefault="00F925DD">
            <w:pPr>
              <w:rPr>
                <w:rFonts w:ascii="Times New Roman" w:hAnsi="Times New Roman"/>
                <w:sz w:val="20"/>
                <w:szCs w:val="20"/>
              </w:rPr>
            </w:pPr>
          </w:p>
        </w:tc>
        <w:tc>
          <w:tcPr>
            <w:tcW w:w="50" w:type="pct"/>
            <w:shd w:val="clear" w:color="auto" w:fill="auto"/>
            <w:vAlign w:val="center"/>
          </w:tcPr>
          <w:p w14:paraId="5556F7CB" w14:textId="77777777" w:rsidR="00F925DD" w:rsidRDefault="00F925DD">
            <w:pPr>
              <w:rPr>
                <w:rFonts w:ascii="Times New Roman" w:hAnsi="Times New Roman"/>
                <w:sz w:val="20"/>
                <w:szCs w:val="20"/>
              </w:rPr>
            </w:pPr>
          </w:p>
        </w:tc>
        <w:tc>
          <w:tcPr>
            <w:tcW w:w="50" w:type="pct"/>
            <w:shd w:val="clear" w:color="auto" w:fill="auto"/>
            <w:vAlign w:val="center"/>
          </w:tcPr>
          <w:p w14:paraId="5556F7CC" w14:textId="77777777" w:rsidR="00F925DD" w:rsidRDefault="00F925DD">
            <w:pPr>
              <w:rPr>
                <w:rFonts w:ascii="Times New Roman" w:hAnsi="Times New Roman"/>
                <w:sz w:val="20"/>
                <w:szCs w:val="20"/>
              </w:rPr>
            </w:pPr>
          </w:p>
        </w:tc>
        <w:tc>
          <w:tcPr>
            <w:tcW w:w="550" w:type="pct"/>
            <w:shd w:val="clear" w:color="auto" w:fill="auto"/>
            <w:vAlign w:val="center"/>
          </w:tcPr>
          <w:p w14:paraId="5556F7CD" w14:textId="77777777" w:rsidR="00F925DD" w:rsidRDefault="00F925DD">
            <w:pPr>
              <w:rPr>
                <w:rFonts w:ascii="Times New Roman" w:hAnsi="Times New Roman"/>
                <w:sz w:val="20"/>
                <w:szCs w:val="20"/>
              </w:rPr>
            </w:pPr>
          </w:p>
        </w:tc>
        <w:tc>
          <w:tcPr>
            <w:tcW w:w="50" w:type="pct"/>
            <w:shd w:val="clear" w:color="auto" w:fill="auto"/>
            <w:vAlign w:val="center"/>
          </w:tcPr>
          <w:p w14:paraId="5556F7CE" w14:textId="77777777" w:rsidR="00F925DD" w:rsidRDefault="00F925DD">
            <w:pPr>
              <w:rPr>
                <w:rFonts w:ascii="Times New Roman" w:hAnsi="Times New Roman"/>
                <w:sz w:val="20"/>
                <w:szCs w:val="20"/>
              </w:rPr>
            </w:pPr>
          </w:p>
        </w:tc>
      </w:tr>
      <w:tr w:rsidR="00F925DD" w14:paraId="5556F7D2" w14:textId="77777777">
        <w:tc>
          <w:tcPr>
            <w:tcW w:w="0" w:type="auto"/>
            <w:shd w:val="clear" w:color="auto" w:fill="auto"/>
            <w:tcMar>
              <w:top w:w="40" w:type="dxa"/>
              <w:left w:w="40" w:type="dxa"/>
              <w:bottom w:w="40" w:type="dxa"/>
              <w:right w:w="40" w:type="dxa"/>
            </w:tcMar>
            <w:vAlign w:val="bottom"/>
          </w:tcPr>
          <w:p w14:paraId="5556F7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F7D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Years Ended December 31,</w:t>
            </w:r>
          </w:p>
        </w:tc>
      </w:tr>
      <w:tr w:rsidR="00F925DD" w14:paraId="5556F7D9" w14:textId="77777777">
        <w:tc>
          <w:tcPr>
            <w:tcW w:w="0" w:type="auto"/>
            <w:shd w:val="clear" w:color="auto" w:fill="auto"/>
            <w:tcMar>
              <w:top w:w="40" w:type="dxa"/>
              <w:left w:w="40" w:type="dxa"/>
              <w:bottom w:w="40" w:type="dxa"/>
              <w:right w:w="40" w:type="dxa"/>
            </w:tcMar>
            <w:vAlign w:val="bottom"/>
          </w:tcPr>
          <w:p w14:paraId="5556F7D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7D4"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2019</w:t>
            </w:r>
          </w:p>
        </w:tc>
        <w:tc>
          <w:tcPr>
            <w:tcW w:w="0" w:type="auto"/>
            <w:shd w:val="clear" w:color="auto" w:fill="auto"/>
            <w:tcMar>
              <w:top w:w="40" w:type="dxa"/>
              <w:left w:w="40" w:type="dxa"/>
              <w:bottom w:w="40" w:type="dxa"/>
              <w:right w:w="40" w:type="dxa"/>
            </w:tcMar>
            <w:vAlign w:val="bottom"/>
          </w:tcPr>
          <w:p w14:paraId="5556F7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7D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2018</w:t>
            </w:r>
          </w:p>
        </w:tc>
        <w:tc>
          <w:tcPr>
            <w:tcW w:w="0" w:type="auto"/>
            <w:shd w:val="clear" w:color="auto" w:fill="auto"/>
            <w:tcMar>
              <w:top w:w="40" w:type="dxa"/>
              <w:left w:w="40" w:type="dxa"/>
              <w:bottom w:w="40" w:type="dxa"/>
              <w:right w:w="40" w:type="dxa"/>
            </w:tcMar>
            <w:vAlign w:val="bottom"/>
          </w:tcPr>
          <w:p w14:paraId="5556F7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5556F7D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2017</w:t>
            </w:r>
          </w:p>
        </w:tc>
      </w:tr>
      <w:tr w:rsidR="00F925DD" w14:paraId="5556F7E6" w14:textId="77777777">
        <w:tc>
          <w:tcPr>
            <w:tcW w:w="0" w:type="auto"/>
            <w:shd w:val="clear" w:color="auto" w:fill="CCEEFF"/>
            <w:tcMar>
              <w:top w:w="40" w:type="dxa"/>
              <w:left w:w="40" w:type="dxa"/>
              <w:bottom w:w="40" w:type="dxa"/>
              <w:right w:w="40" w:type="dxa"/>
            </w:tcMar>
            <w:vAlign w:val="bottom"/>
          </w:tcPr>
          <w:p w14:paraId="5556F7DA"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Net cash provided by </w:t>
            </w:r>
            <w:r>
              <w:rPr>
                <w:rFonts w:ascii="Arial" w:eastAsia="宋体" w:hAnsi="Arial" w:cs="Arial"/>
                <w:sz w:val="16"/>
                <w:szCs w:val="16"/>
              </w:rPr>
              <w:t>operating activities</w:t>
            </w:r>
          </w:p>
        </w:tc>
        <w:tc>
          <w:tcPr>
            <w:tcW w:w="0" w:type="auto"/>
            <w:tcBorders>
              <w:top w:val="single" w:sz="8" w:space="0" w:color="000000"/>
            </w:tcBorders>
            <w:shd w:val="clear" w:color="auto" w:fill="CCEEFF"/>
            <w:tcMar>
              <w:top w:w="40" w:type="dxa"/>
              <w:left w:w="40" w:type="dxa"/>
              <w:bottom w:w="40" w:type="dxa"/>
            </w:tcMar>
            <w:vAlign w:val="bottom"/>
          </w:tcPr>
          <w:p w14:paraId="5556F7D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top w:val="single" w:sz="8" w:space="0" w:color="000000"/>
            </w:tcBorders>
            <w:shd w:val="clear" w:color="auto" w:fill="CCEEFF"/>
            <w:tcMar>
              <w:top w:w="40" w:type="dxa"/>
              <w:bottom w:w="40" w:type="dxa"/>
            </w:tcMar>
            <w:vAlign w:val="bottom"/>
          </w:tcPr>
          <w:p w14:paraId="5556F7D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2,684</w:t>
            </w:r>
          </w:p>
        </w:tc>
        <w:tc>
          <w:tcPr>
            <w:tcW w:w="0" w:type="auto"/>
            <w:tcBorders>
              <w:top w:val="single" w:sz="8" w:space="0" w:color="000000"/>
            </w:tcBorders>
            <w:shd w:val="clear" w:color="auto" w:fill="CCEEFF"/>
            <w:vAlign w:val="bottom"/>
          </w:tcPr>
          <w:p w14:paraId="5556F7D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7D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F7E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2,250</w:t>
            </w:r>
          </w:p>
        </w:tc>
        <w:tc>
          <w:tcPr>
            <w:tcW w:w="0" w:type="auto"/>
            <w:shd w:val="clear" w:color="auto" w:fill="CCEEFF"/>
            <w:vAlign w:val="bottom"/>
          </w:tcPr>
          <w:p w14:paraId="5556F7E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7E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bottom w:w="40" w:type="dxa"/>
            </w:tcMar>
            <w:vAlign w:val="bottom"/>
          </w:tcPr>
          <w:p w14:paraId="5556F7E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2,047</w:t>
            </w:r>
          </w:p>
        </w:tc>
        <w:tc>
          <w:tcPr>
            <w:tcW w:w="0" w:type="auto"/>
            <w:shd w:val="clear" w:color="auto" w:fill="CCEEFF"/>
            <w:vAlign w:val="bottom"/>
          </w:tcPr>
          <w:p w14:paraId="5556F7E5" w14:textId="77777777" w:rsidR="00F925DD" w:rsidRDefault="00F925DD">
            <w:pPr>
              <w:textAlignment w:val="bottom"/>
              <w:rPr>
                <w:rFonts w:ascii="Times New Roman" w:hAnsi="Times New Roman"/>
                <w:sz w:val="20"/>
                <w:szCs w:val="20"/>
              </w:rPr>
            </w:pPr>
          </w:p>
        </w:tc>
      </w:tr>
      <w:tr w:rsidR="00F925DD" w14:paraId="5556F7ED" w14:textId="77777777">
        <w:tc>
          <w:tcPr>
            <w:tcW w:w="0" w:type="auto"/>
            <w:shd w:val="clear" w:color="auto" w:fill="auto"/>
            <w:tcMar>
              <w:top w:w="40" w:type="dxa"/>
              <w:left w:w="40" w:type="dxa"/>
              <w:bottom w:w="40" w:type="dxa"/>
              <w:right w:w="40" w:type="dxa"/>
            </w:tcMar>
            <w:vAlign w:val="bottom"/>
          </w:tcPr>
          <w:p w14:paraId="5556F7E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Investing Activities:</w:t>
            </w:r>
          </w:p>
        </w:tc>
        <w:tc>
          <w:tcPr>
            <w:tcW w:w="0" w:type="auto"/>
            <w:gridSpan w:val="3"/>
            <w:shd w:val="clear" w:color="auto" w:fill="auto"/>
            <w:tcMar>
              <w:top w:w="40" w:type="dxa"/>
              <w:left w:w="40" w:type="dxa"/>
              <w:bottom w:w="40" w:type="dxa"/>
              <w:right w:w="40" w:type="dxa"/>
            </w:tcMar>
            <w:vAlign w:val="bottom"/>
          </w:tcPr>
          <w:p w14:paraId="5556F7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7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7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7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7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7F7" w14:textId="77777777">
        <w:tc>
          <w:tcPr>
            <w:tcW w:w="0" w:type="auto"/>
            <w:shd w:val="clear" w:color="auto" w:fill="CCEEFF"/>
            <w:tcMar>
              <w:top w:w="40" w:type="dxa"/>
              <w:left w:w="40" w:type="dxa"/>
              <w:bottom w:w="40" w:type="dxa"/>
              <w:right w:w="40" w:type="dxa"/>
            </w:tcMar>
            <w:vAlign w:val="bottom"/>
          </w:tcPr>
          <w:p w14:paraId="5556F7EE" w14:textId="77777777" w:rsidR="00F925DD" w:rsidRDefault="00E705D7">
            <w:pPr>
              <w:textAlignment w:val="bottom"/>
              <w:rPr>
                <w:rFonts w:ascii="Times New Roman" w:hAnsi="Times New Roman"/>
                <w:sz w:val="16"/>
                <w:szCs w:val="16"/>
              </w:rPr>
            </w:pPr>
            <w:r>
              <w:rPr>
                <w:rFonts w:ascii="Arial" w:eastAsia="宋体" w:hAnsi="Arial" w:cs="Arial"/>
                <w:sz w:val="16"/>
                <w:szCs w:val="16"/>
              </w:rPr>
              <w:t>Net decrease (increase) in interest-bearing deposits with consolidated banking subsidiary</w:t>
            </w:r>
          </w:p>
        </w:tc>
        <w:tc>
          <w:tcPr>
            <w:tcW w:w="0" w:type="auto"/>
            <w:gridSpan w:val="2"/>
            <w:shd w:val="clear" w:color="auto" w:fill="CCEEFF"/>
            <w:tcMar>
              <w:top w:w="40" w:type="dxa"/>
              <w:left w:w="40" w:type="dxa"/>
              <w:bottom w:w="40" w:type="dxa"/>
            </w:tcMar>
            <w:vAlign w:val="bottom"/>
          </w:tcPr>
          <w:p w14:paraId="5556F7EF"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58</w:t>
            </w:r>
          </w:p>
        </w:tc>
        <w:tc>
          <w:tcPr>
            <w:tcW w:w="0" w:type="auto"/>
            <w:shd w:val="clear" w:color="auto" w:fill="CCEEFF"/>
            <w:vAlign w:val="bottom"/>
          </w:tcPr>
          <w:p w14:paraId="5556F7F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7F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46</w:t>
            </w:r>
          </w:p>
        </w:tc>
        <w:tc>
          <w:tcPr>
            <w:tcW w:w="0" w:type="auto"/>
            <w:shd w:val="clear" w:color="auto" w:fill="CCEEFF"/>
            <w:vAlign w:val="bottom"/>
          </w:tcPr>
          <w:p w14:paraId="5556F7F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7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7F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3,103</w:t>
            </w:r>
          </w:p>
        </w:tc>
        <w:tc>
          <w:tcPr>
            <w:tcW w:w="0" w:type="auto"/>
            <w:shd w:val="clear" w:color="auto" w:fill="CCEEFF"/>
            <w:vAlign w:val="bottom"/>
          </w:tcPr>
          <w:p w14:paraId="5556F7F6" w14:textId="77777777" w:rsidR="00F925DD" w:rsidRDefault="00F925DD">
            <w:pPr>
              <w:textAlignment w:val="bottom"/>
              <w:rPr>
                <w:rFonts w:ascii="Times New Roman" w:hAnsi="Times New Roman"/>
                <w:sz w:val="20"/>
                <w:szCs w:val="20"/>
              </w:rPr>
            </w:pPr>
          </w:p>
        </w:tc>
      </w:tr>
      <w:tr w:rsidR="00F925DD" w14:paraId="5556F801" w14:textId="77777777">
        <w:tc>
          <w:tcPr>
            <w:tcW w:w="0" w:type="auto"/>
            <w:shd w:val="clear" w:color="auto" w:fill="auto"/>
            <w:tcMar>
              <w:top w:w="40" w:type="dxa"/>
              <w:left w:w="40" w:type="dxa"/>
              <w:bottom w:w="40" w:type="dxa"/>
              <w:right w:w="40" w:type="dxa"/>
            </w:tcMar>
            <w:vAlign w:val="bottom"/>
          </w:tcPr>
          <w:p w14:paraId="5556F7F8"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Proceeds from sales and maturities of </w:t>
            </w:r>
            <w:r>
              <w:rPr>
                <w:rFonts w:ascii="Arial" w:eastAsia="宋体" w:hAnsi="Arial" w:cs="Arial"/>
                <w:sz w:val="16"/>
                <w:szCs w:val="16"/>
              </w:rPr>
              <w:t>available-for-sale securities</w:t>
            </w:r>
          </w:p>
        </w:tc>
        <w:tc>
          <w:tcPr>
            <w:tcW w:w="0" w:type="auto"/>
            <w:gridSpan w:val="2"/>
            <w:shd w:val="clear" w:color="auto" w:fill="auto"/>
            <w:tcMar>
              <w:top w:w="40" w:type="dxa"/>
              <w:left w:w="40" w:type="dxa"/>
              <w:bottom w:w="40" w:type="dxa"/>
            </w:tcMar>
            <w:vAlign w:val="bottom"/>
          </w:tcPr>
          <w:p w14:paraId="5556F7F9"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900</w:t>
            </w:r>
          </w:p>
        </w:tc>
        <w:tc>
          <w:tcPr>
            <w:tcW w:w="0" w:type="auto"/>
            <w:shd w:val="clear" w:color="auto" w:fill="auto"/>
            <w:vAlign w:val="bottom"/>
          </w:tcPr>
          <w:p w14:paraId="5556F7F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7F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5556F7F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7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7F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5556F800" w14:textId="77777777" w:rsidR="00F925DD" w:rsidRDefault="00F925DD">
            <w:pPr>
              <w:textAlignment w:val="bottom"/>
              <w:rPr>
                <w:rFonts w:ascii="Times New Roman" w:hAnsi="Times New Roman"/>
                <w:sz w:val="20"/>
                <w:szCs w:val="20"/>
              </w:rPr>
            </w:pPr>
          </w:p>
        </w:tc>
      </w:tr>
      <w:tr w:rsidR="00F925DD" w14:paraId="5556F80B" w14:textId="77777777">
        <w:tc>
          <w:tcPr>
            <w:tcW w:w="0" w:type="auto"/>
            <w:shd w:val="clear" w:color="auto" w:fill="CCEEFF"/>
            <w:tcMar>
              <w:top w:w="40" w:type="dxa"/>
              <w:left w:w="40" w:type="dxa"/>
              <w:bottom w:w="40" w:type="dxa"/>
              <w:right w:w="40" w:type="dxa"/>
            </w:tcMar>
            <w:vAlign w:val="bottom"/>
          </w:tcPr>
          <w:p w14:paraId="5556F802" w14:textId="77777777" w:rsidR="00F925DD" w:rsidRDefault="00E705D7">
            <w:pPr>
              <w:textAlignment w:val="bottom"/>
              <w:rPr>
                <w:rFonts w:ascii="Times New Roman" w:hAnsi="Times New Roman"/>
                <w:sz w:val="16"/>
                <w:szCs w:val="16"/>
              </w:rPr>
            </w:pPr>
            <w:r>
              <w:rPr>
                <w:rFonts w:ascii="Arial" w:eastAsia="宋体" w:hAnsi="Arial" w:cs="Arial"/>
                <w:sz w:val="16"/>
                <w:szCs w:val="16"/>
              </w:rPr>
              <w:t>Purchases of available-for-sale securities</w:t>
            </w:r>
          </w:p>
        </w:tc>
        <w:tc>
          <w:tcPr>
            <w:tcW w:w="0" w:type="auto"/>
            <w:gridSpan w:val="2"/>
            <w:shd w:val="clear" w:color="auto" w:fill="CCEEFF"/>
            <w:tcMar>
              <w:top w:w="40" w:type="dxa"/>
              <w:left w:w="40" w:type="dxa"/>
              <w:bottom w:w="40" w:type="dxa"/>
            </w:tcMar>
            <w:vAlign w:val="bottom"/>
          </w:tcPr>
          <w:p w14:paraId="5556F803"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(921</w:t>
            </w:r>
          </w:p>
        </w:tc>
        <w:tc>
          <w:tcPr>
            <w:tcW w:w="0" w:type="auto"/>
            <w:shd w:val="clear" w:color="auto" w:fill="CCEEFF"/>
            <w:tcMar>
              <w:top w:w="40" w:type="dxa"/>
              <w:bottom w:w="40" w:type="dxa"/>
              <w:right w:w="40" w:type="dxa"/>
            </w:tcMar>
            <w:vAlign w:val="bottom"/>
          </w:tcPr>
          <w:p w14:paraId="5556F804"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F8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0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(224</w:t>
            </w:r>
          </w:p>
        </w:tc>
        <w:tc>
          <w:tcPr>
            <w:tcW w:w="0" w:type="auto"/>
            <w:shd w:val="clear" w:color="auto" w:fill="CCEEFF"/>
            <w:tcMar>
              <w:top w:w="40" w:type="dxa"/>
              <w:bottom w:w="40" w:type="dxa"/>
              <w:right w:w="40" w:type="dxa"/>
            </w:tcMar>
            <w:vAlign w:val="bottom"/>
          </w:tcPr>
          <w:p w14:paraId="5556F807"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F8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0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F80A" w14:textId="77777777" w:rsidR="00F925DD" w:rsidRDefault="00F925DD">
            <w:pPr>
              <w:textAlignment w:val="bottom"/>
              <w:rPr>
                <w:rFonts w:ascii="Times New Roman" w:hAnsi="Times New Roman"/>
                <w:sz w:val="20"/>
                <w:szCs w:val="20"/>
              </w:rPr>
            </w:pPr>
          </w:p>
        </w:tc>
      </w:tr>
      <w:tr w:rsidR="00F925DD" w14:paraId="5556F815" w14:textId="77777777">
        <w:tc>
          <w:tcPr>
            <w:tcW w:w="0" w:type="auto"/>
            <w:shd w:val="clear" w:color="auto" w:fill="auto"/>
            <w:tcMar>
              <w:top w:w="40" w:type="dxa"/>
              <w:left w:w="40" w:type="dxa"/>
              <w:bottom w:w="40" w:type="dxa"/>
              <w:right w:w="40" w:type="dxa"/>
            </w:tcMar>
            <w:vAlign w:val="bottom"/>
          </w:tcPr>
          <w:p w14:paraId="5556F80C" w14:textId="77777777" w:rsidR="00F925DD" w:rsidRDefault="00E705D7">
            <w:pPr>
              <w:textAlignment w:val="bottom"/>
              <w:rPr>
                <w:rFonts w:ascii="Times New Roman" w:hAnsi="Times New Roman"/>
                <w:sz w:val="16"/>
                <w:szCs w:val="16"/>
              </w:rPr>
            </w:pPr>
            <w:r>
              <w:rPr>
                <w:rFonts w:ascii="Arial" w:eastAsia="宋体" w:hAnsi="Arial" w:cs="Arial"/>
                <w:sz w:val="16"/>
                <w:szCs w:val="16"/>
              </w:rPr>
              <w:t>Investments in consolidated banking and non-banking subsidiaries</w:t>
            </w:r>
          </w:p>
        </w:tc>
        <w:tc>
          <w:tcPr>
            <w:tcW w:w="0" w:type="auto"/>
            <w:gridSpan w:val="2"/>
            <w:shd w:val="clear" w:color="auto" w:fill="auto"/>
            <w:tcMar>
              <w:top w:w="40" w:type="dxa"/>
              <w:left w:w="40" w:type="dxa"/>
              <w:bottom w:w="40" w:type="dxa"/>
            </w:tcMar>
            <w:vAlign w:val="bottom"/>
          </w:tcPr>
          <w:p w14:paraId="5556F80D"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(6,165</w:t>
            </w:r>
          </w:p>
        </w:tc>
        <w:tc>
          <w:tcPr>
            <w:tcW w:w="0" w:type="auto"/>
            <w:shd w:val="clear" w:color="auto" w:fill="auto"/>
            <w:tcMar>
              <w:top w:w="40" w:type="dxa"/>
              <w:bottom w:w="40" w:type="dxa"/>
              <w:right w:w="40" w:type="dxa"/>
            </w:tcMar>
            <w:vAlign w:val="bottom"/>
          </w:tcPr>
          <w:p w14:paraId="5556F80E"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F8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81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(4,883</w:t>
            </w:r>
          </w:p>
        </w:tc>
        <w:tc>
          <w:tcPr>
            <w:tcW w:w="0" w:type="auto"/>
            <w:shd w:val="clear" w:color="auto" w:fill="auto"/>
            <w:tcMar>
              <w:top w:w="40" w:type="dxa"/>
              <w:bottom w:w="40" w:type="dxa"/>
              <w:right w:w="40" w:type="dxa"/>
            </w:tcMar>
            <w:vAlign w:val="bottom"/>
          </w:tcPr>
          <w:p w14:paraId="5556F811"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F8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81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(7,672</w:t>
            </w:r>
          </w:p>
        </w:tc>
        <w:tc>
          <w:tcPr>
            <w:tcW w:w="0" w:type="auto"/>
            <w:shd w:val="clear" w:color="auto" w:fill="auto"/>
            <w:tcMar>
              <w:top w:w="40" w:type="dxa"/>
              <w:bottom w:w="40" w:type="dxa"/>
              <w:right w:w="40" w:type="dxa"/>
            </w:tcMar>
            <w:vAlign w:val="bottom"/>
          </w:tcPr>
          <w:p w14:paraId="5556F814"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F81F" w14:textId="77777777">
        <w:tc>
          <w:tcPr>
            <w:tcW w:w="0" w:type="auto"/>
            <w:shd w:val="clear" w:color="auto" w:fill="CCEEFF"/>
            <w:tcMar>
              <w:top w:w="40" w:type="dxa"/>
              <w:left w:w="40" w:type="dxa"/>
              <w:bottom w:w="40" w:type="dxa"/>
              <w:right w:w="40" w:type="dxa"/>
            </w:tcMar>
            <w:vAlign w:val="bottom"/>
          </w:tcPr>
          <w:p w14:paraId="5556F816"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Sale or repayment of investment in </w:t>
            </w:r>
            <w:r>
              <w:rPr>
                <w:rFonts w:ascii="Arial" w:eastAsia="宋体" w:hAnsi="Arial" w:cs="Arial"/>
                <w:sz w:val="16"/>
                <w:szCs w:val="16"/>
              </w:rPr>
              <w:t>consolidated banking and non-banking subsidiaries</w:t>
            </w:r>
          </w:p>
        </w:tc>
        <w:tc>
          <w:tcPr>
            <w:tcW w:w="0" w:type="auto"/>
            <w:gridSpan w:val="2"/>
            <w:shd w:val="clear" w:color="auto" w:fill="CCEEFF"/>
            <w:tcMar>
              <w:top w:w="40" w:type="dxa"/>
              <w:left w:w="40" w:type="dxa"/>
              <w:bottom w:w="40" w:type="dxa"/>
            </w:tcMar>
            <w:vAlign w:val="bottom"/>
          </w:tcPr>
          <w:p w14:paraId="5556F817"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5,345</w:t>
            </w:r>
          </w:p>
        </w:tc>
        <w:tc>
          <w:tcPr>
            <w:tcW w:w="0" w:type="auto"/>
            <w:shd w:val="clear" w:color="auto" w:fill="CCEEFF"/>
            <w:vAlign w:val="bottom"/>
          </w:tcPr>
          <w:p w14:paraId="5556F81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8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1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2,472</w:t>
            </w:r>
          </w:p>
        </w:tc>
        <w:tc>
          <w:tcPr>
            <w:tcW w:w="0" w:type="auto"/>
            <w:shd w:val="clear" w:color="auto" w:fill="CCEEFF"/>
            <w:vAlign w:val="bottom"/>
          </w:tcPr>
          <w:p w14:paraId="5556F81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8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1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4,216</w:t>
            </w:r>
          </w:p>
        </w:tc>
        <w:tc>
          <w:tcPr>
            <w:tcW w:w="0" w:type="auto"/>
            <w:shd w:val="clear" w:color="auto" w:fill="CCEEFF"/>
            <w:vAlign w:val="bottom"/>
          </w:tcPr>
          <w:p w14:paraId="5556F81E" w14:textId="77777777" w:rsidR="00F925DD" w:rsidRDefault="00F925DD">
            <w:pPr>
              <w:textAlignment w:val="bottom"/>
              <w:rPr>
                <w:rFonts w:ascii="Times New Roman" w:hAnsi="Times New Roman"/>
                <w:sz w:val="20"/>
                <w:szCs w:val="20"/>
              </w:rPr>
            </w:pPr>
          </w:p>
        </w:tc>
      </w:tr>
      <w:tr w:rsidR="00F925DD" w14:paraId="5556F829" w14:textId="77777777">
        <w:tc>
          <w:tcPr>
            <w:tcW w:w="0" w:type="auto"/>
            <w:shd w:val="clear" w:color="auto" w:fill="auto"/>
            <w:tcMar>
              <w:top w:w="40" w:type="dxa"/>
              <w:left w:w="40" w:type="dxa"/>
              <w:bottom w:w="40" w:type="dxa"/>
              <w:right w:w="40" w:type="dxa"/>
            </w:tcMar>
            <w:vAlign w:val="bottom"/>
          </w:tcPr>
          <w:p w14:paraId="5556F820" w14:textId="77777777" w:rsidR="00F925DD" w:rsidRDefault="00E705D7">
            <w:pPr>
              <w:textAlignment w:val="bottom"/>
              <w:rPr>
                <w:rFonts w:ascii="Times New Roman" w:hAnsi="Times New Roman"/>
                <w:sz w:val="16"/>
                <w:szCs w:val="16"/>
              </w:rPr>
            </w:pPr>
            <w:r>
              <w:rPr>
                <w:rFonts w:ascii="Arial" w:eastAsia="宋体" w:hAnsi="Arial" w:cs="Arial"/>
                <w:sz w:val="16"/>
                <w:szCs w:val="16"/>
              </w:rPr>
              <w:t>Net increase in investments in unconsolidated affiliates</w:t>
            </w:r>
          </w:p>
        </w:tc>
        <w:tc>
          <w:tcPr>
            <w:tcW w:w="0" w:type="auto"/>
            <w:gridSpan w:val="2"/>
            <w:tcBorders>
              <w:bottom w:val="single" w:sz="8" w:space="0" w:color="000000"/>
            </w:tcBorders>
            <w:shd w:val="clear" w:color="auto" w:fill="auto"/>
            <w:tcMar>
              <w:top w:w="40" w:type="dxa"/>
              <w:left w:w="40" w:type="dxa"/>
              <w:bottom w:w="40" w:type="dxa"/>
            </w:tcMar>
            <w:vAlign w:val="bottom"/>
          </w:tcPr>
          <w:p w14:paraId="5556F821"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single" w:sz="8" w:space="0" w:color="000000"/>
            </w:tcBorders>
            <w:shd w:val="clear" w:color="auto" w:fill="auto"/>
            <w:vAlign w:val="bottom"/>
          </w:tcPr>
          <w:p w14:paraId="5556F8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8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82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auto"/>
            <w:vAlign w:val="bottom"/>
          </w:tcPr>
          <w:p w14:paraId="5556F82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8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82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172</w:t>
            </w:r>
          </w:p>
        </w:tc>
        <w:tc>
          <w:tcPr>
            <w:tcW w:w="0" w:type="auto"/>
            <w:tcBorders>
              <w:bottom w:val="single" w:sz="8" w:space="0" w:color="000000"/>
            </w:tcBorders>
            <w:shd w:val="clear" w:color="auto" w:fill="auto"/>
            <w:vAlign w:val="bottom"/>
          </w:tcPr>
          <w:p w14:paraId="5556F828" w14:textId="77777777" w:rsidR="00F925DD" w:rsidRDefault="00F925DD">
            <w:pPr>
              <w:textAlignment w:val="bottom"/>
              <w:rPr>
                <w:rFonts w:ascii="Times New Roman" w:hAnsi="Times New Roman"/>
                <w:sz w:val="20"/>
                <w:szCs w:val="20"/>
              </w:rPr>
            </w:pPr>
          </w:p>
        </w:tc>
      </w:tr>
      <w:tr w:rsidR="00F925DD" w14:paraId="5556F833" w14:textId="77777777">
        <w:tc>
          <w:tcPr>
            <w:tcW w:w="0" w:type="auto"/>
            <w:shd w:val="clear" w:color="auto" w:fill="CCEEFF"/>
            <w:tcMar>
              <w:top w:w="40" w:type="dxa"/>
              <w:left w:w="40" w:type="dxa"/>
              <w:bottom w:w="40" w:type="dxa"/>
              <w:right w:w="40" w:type="dxa"/>
            </w:tcMar>
            <w:vAlign w:val="bottom"/>
          </w:tcPr>
          <w:p w14:paraId="5556F82A" w14:textId="77777777" w:rsidR="00F925DD" w:rsidRDefault="00E705D7">
            <w:pPr>
              <w:textAlignment w:val="bottom"/>
              <w:rPr>
                <w:rFonts w:ascii="Times New Roman" w:hAnsi="Times New Roman"/>
                <w:sz w:val="16"/>
                <w:szCs w:val="16"/>
              </w:rPr>
            </w:pPr>
            <w:r>
              <w:rPr>
                <w:rFonts w:ascii="Arial" w:eastAsia="宋体" w:hAnsi="Arial" w:cs="Arial"/>
                <w:sz w:val="16"/>
                <w:szCs w:val="16"/>
              </w:rPr>
              <w:t>Net cash (used in) provided by investing activities</w:t>
            </w:r>
          </w:p>
        </w:tc>
        <w:tc>
          <w:tcPr>
            <w:tcW w:w="0" w:type="auto"/>
            <w:gridSpan w:val="2"/>
            <w:tcBorders>
              <w:top w:val="single" w:sz="8" w:space="0" w:color="000000"/>
            </w:tcBorders>
            <w:shd w:val="clear" w:color="auto" w:fill="CCEEFF"/>
            <w:tcMar>
              <w:top w:w="40" w:type="dxa"/>
              <w:left w:w="40" w:type="dxa"/>
              <w:bottom w:w="40" w:type="dxa"/>
            </w:tcMar>
            <w:vAlign w:val="bottom"/>
          </w:tcPr>
          <w:p w14:paraId="5556F82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(783</w:t>
            </w:r>
          </w:p>
        </w:tc>
        <w:tc>
          <w:tcPr>
            <w:tcW w:w="0" w:type="auto"/>
            <w:tcBorders>
              <w:top w:val="single" w:sz="8" w:space="0" w:color="000000"/>
            </w:tcBorders>
            <w:shd w:val="clear" w:color="auto" w:fill="CCEEFF"/>
            <w:tcMar>
              <w:top w:w="40" w:type="dxa"/>
              <w:bottom w:w="40" w:type="dxa"/>
              <w:right w:w="40" w:type="dxa"/>
            </w:tcMar>
            <w:vAlign w:val="bottom"/>
          </w:tcPr>
          <w:p w14:paraId="5556F82C"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F8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82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(2,589</w:t>
            </w:r>
          </w:p>
        </w:tc>
        <w:tc>
          <w:tcPr>
            <w:tcW w:w="0" w:type="auto"/>
            <w:tcBorders>
              <w:top w:val="single" w:sz="8" w:space="0" w:color="000000"/>
            </w:tcBorders>
            <w:shd w:val="clear" w:color="auto" w:fill="CCEEFF"/>
            <w:tcMar>
              <w:top w:w="40" w:type="dxa"/>
              <w:bottom w:w="40" w:type="dxa"/>
              <w:right w:w="40" w:type="dxa"/>
            </w:tcMar>
            <w:vAlign w:val="bottom"/>
          </w:tcPr>
          <w:p w14:paraId="5556F82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F8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83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(181</w:t>
            </w:r>
          </w:p>
        </w:tc>
        <w:tc>
          <w:tcPr>
            <w:tcW w:w="0" w:type="auto"/>
            <w:tcBorders>
              <w:top w:val="single" w:sz="8" w:space="0" w:color="000000"/>
            </w:tcBorders>
            <w:shd w:val="clear" w:color="auto" w:fill="CCEEFF"/>
            <w:tcMar>
              <w:top w:w="40" w:type="dxa"/>
              <w:bottom w:w="40" w:type="dxa"/>
              <w:right w:w="40" w:type="dxa"/>
            </w:tcMar>
            <w:vAlign w:val="bottom"/>
          </w:tcPr>
          <w:p w14:paraId="5556F83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F83A" w14:textId="77777777">
        <w:tc>
          <w:tcPr>
            <w:tcW w:w="0" w:type="auto"/>
            <w:shd w:val="clear" w:color="auto" w:fill="auto"/>
            <w:tcMar>
              <w:top w:w="40" w:type="dxa"/>
              <w:left w:w="40" w:type="dxa"/>
              <w:bottom w:w="40" w:type="dxa"/>
              <w:right w:w="40" w:type="dxa"/>
            </w:tcMar>
            <w:vAlign w:val="bottom"/>
          </w:tcPr>
          <w:p w14:paraId="5556F834"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 xml:space="preserve">Financing </w:t>
            </w:r>
            <w:r>
              <w:rPr>
                <w:rFonts w:ascii="Arial" w:eastAsia="宋体" w:hAnsi="Arial" w:cs="Arial"/>
                <w:b/>
                <w:bCs/>
                <w:sz w:val="16"/>
                <w:szCs w:val="16"/>
              </w:rPr>
              <w:t>Activities:</w:t>
            </w:r>
          </w:p>
        </w:tc>
        <w:tc>
          <w:tcPr>
            <w:tcW w:w="0" w:type="auto"/>
            <w:gridSpan w:val="3"/>
            <w:shd w:val="clear" w:color="auto" w:fill="auto"/>
            <w:tcMar>
              <w:top w:w="40" w:type="dxa"/>
              <w:left w:w="40" w:type="dxa"/>
              <w:bottom w:w="40" w:type="dxa"/>
              <w:right w:w="40" w:type="dxa"/>
            </w:tcMar>
            <w:vAlign w:val="bottom"/>
          </w:tcPr>
          <w:p w14:paraId="5556F8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8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8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8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8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844" w14:textId="77777777">
        <w:tc>
          <w:tcPr>
            <w:tcW w:w="0" w:type="auto"/>
            <w:shd w:val="clear" w:color="auto" w:fill="CCEEFF"/>
            <w:tcMar>
              <w:top w:w="40" w:type="dxa"/>
              <w:left w:w="40" w:type="dxa"/>
              <w:bottom w:w="40" w:type="dxa"/>
              <w:right w:w="40" w:type="dxa"/>
            </w:tcMar>
            <w:vAlign w:val="bottom"/>
          </w:tcPr>
          <w:p w14:paraId="5556F83B" w14:textId="77777777" w:rsidR="00F925DD" w:rsidRDefault="00E705D7">
            <w:pPr>
              <w:textAlignment w:val="bottom"/>
              <w:rPr>
                <w:rFonts w:ascii="Times New Roman" w:hAnsi="Times New Roman"/>
                <w:sz w:val="16"/>
                <w:szCs w:val="16"/>
              </w:rPr>
            </w:pPr>
            <w:r>
              <w:rPr>
                <w:rFonts w:ascii="Arial" w:eastAsia="宋体" w:hAnsi="Arial" w:cs="Arial"/>
                <w:sz w:val="16"/>
                <w:szCs w:val="16"/>
              </w:rPr>
              <w:t>Proceeds from issuance of long-term debt, net of issuance costs</w:t>
            </w:r>
          </w:p>
        </w:tc>
        <w:tc>
          <w:tcPr>
            <w:tcW w:w="0" w:type="auto"/>
            <w:gridSpan w:val="2"/>
            <w:shd w:val="clear" w:color="auto" w:fill="CCEEFF"/>
            <w:tcMar>
              <w:top w:w="40" w:type="dxa"/>
              <w:left w:w="40" w:type="dxa"/>
              <w:bottom w:w="40" w:type="dxa"/>
            </w:tcMar>
            <w:vAlign w:val="bottom"/>
          </w:tcPr>
          <w:p w14:paraId="5556F83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1,495</w:t>
            </w:r>
          </w:p>
        </w:tc>
        <w:tc>
          <w:tcPr>
            <w:tcW w:w="0" w:type="auto"/>
            <w:shd w:val="clear" w:color="auto" w:fill="CCEEFF"/>
            <w:vAlign w:val="bottom"/>
          </w:tcPr>
          <w:p w14:paraId="5556F83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8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3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996</w:t>
            </w:r>
          </w:p>
        </w:tc>
        <w:tc>
          <w:tcPr>
            <w:tcW w:w="0" w:type="auto"/>
            <w:shd w:val="clear" w:color="auto" w:fill="CCEEFF"/>
            <w:vAlign w:val="bottom"/>
          </w:tcPr>
          <w:p w14:paraId="5556F84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8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4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748</w:t>
            </w:r>
          </w:p>
        </w:tc>
        <w:tc>
          <w:tcPr>
            <w:tcW w:w="0" w:type="auto"/>
            <w:shd w:val="clear" w:color="auto" w:fill="CCEEFF"/>
            <w:vAlign w:val="bottom"/>
          </w:tcPr>
          <w:p w14:paraId="5556F843" w14:textId="77777777" w:rsidR="00F925DD" w:rsidRDefault="00F925DD">
            <w:pPr>
              <w:textAlignment w:val="bottom"/>
              <w:rPr>
                <w:rFonts w:ascii="Times New Roman" w:hAnsi="Times New Roman"/>
                <w:sz w:val="20"/>
                <w:szCs w:val="20"/>
              </w:rPr>
            </w:pPr>
          </w:p>
        </w:tc>
      </w:tr>
      <w:tr w:rsidR="00F925DD" w14:paraId="5556F84E" w14:textId="77777777">
        <w:tc>
          <w:tcPr>
            <w:tcW w:w="0" w:type="auto"/>
            <w:shd w:val="clear" w:color="auto" w:fill="auto"/>
            <w:tcMar>
              <w:top w:w="40" w:type="dxa"/>
              <w:left w:w="40" w:type="dxa"/>
              <w:bottom w:w="40" w:type="dxa"/>
              <w:right w:w="40" w:type="dxa"/>
            </w:tcMar>
            <w:vAlign w:val="bottom"/>
          </w:tcPr>
          <w:p w14:paraId="5556F845" w14:textId="77777777" w:rsidR="00F925DD" w:rsidRDefault="00E705D7">
            <w:pPr>
              <w:textAlignment w:val="bottom"/>
              <w:rPr>
                <w:rFonts w:ascii="Times New Roman" w:hAnsi="Times New Roman"/>
                <w:sz w:val="16"/>
                <w:szCs w:val="16"/>
              </w:rPr>
            </w:pPr>
            <w:r>
              <w:rPr>
                <w:rFonts w:ascii="Arial" w:eastAsia="宋体" w:hAnsi="Arial" w:cs="Arial"/>
                <w:sz w:val="16"/>
                <w:szCs w:val="16"/>
              </w:rPr>
              <w:t>Payments for long-term debt</w:t>
            </w:r>
          </w:p>
        </w:tc>
        <w:tc>
          <w:tcPr>
            <w:tcW w:w="0" w:type="auto"/>
            <w:gridSpan w:val="2"/>
            <w:shd w:val="clear" w:color="auto" w:fill="auto"/>
            <w:tcMar>
              <w:top w:w="40" w:type="dxa"/>
              <w:left w:w="40" w:type="dxa"/>
              <w:bottom w:w="40" w:type="dxa"/>
            </w:tcMar>
            <w:vAlign w:val="bottom"/>
          </w:tcPr>
          <w:p w14:paraId="5556F846"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(50</w:t>
            </w:r>
          </w:p>
        </w:tc>
        <w:tc>
          <w:tcPr>
            <w:tcW w:w="0" w:type="auto"/>
            <w:shd w:val="clear" w:color="auto" w:fill="auto"/>
            <w:tcMar>
              <w:top w:w="40" w:type="dxa"/>
              <w:bottom w:w="40" w:type="dxa"/>
              <w:right w:w="40" w:type="dxa"/>
            </w:tcMar>
            <w:vAlign w:val="bottom"/>
          </w:tcPr>
          <w:p w14:paraId="5556F847"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F8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84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(1,000</w:t>
            </w:r>
          </w:p>
        </w:tc>
        <w:tc>
          <w:tcPr>
            <w:tcW w:w="0" w:type="auto"/>
            <w:shd w:val="clear" w:color="auto" w:fill="auto"/>
            <w:tcMar>
              <w:top w:w="40" w:type="dxa"/>
              <w:bottom w:w="40" w:type="dxa"/>
              <w:right w:w="40" w:type="dxa"/>
            </w:tcMar>
            <w:vAlign w:val="bottom"/>
          </w:tcPr>
          <w:p w14:paraId="5556F84A"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F8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84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(450</w:t>
            </w:r>
          </w:p>
        </w:tc>
        <w:tc>
          <w:tcPr>
            <w:tcW w:w="0" w:type="auto"/>
            <w:shd w:val="clear" w:color="auto" w:fill="auto"/>
            <w:tcMar>
              <w:top w:w="40" w:type="dxa"/>
              <w:bottom w:w="40" w:type="dxa"/>
              <w:right w:w="40" w:type="dxa"/>
            </w:tcMar>
            <w:vAlign w:val="bottom"/>
          </w:tcPr>
          <w:p w14:paraId="5556F84D"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F858" w14:textId="77777777">
        <w:tc>
          <w:tcPr>
            <w:tcW w:w="0" w:type="auto"/>
            <w:shd w:val="clear" w:color="auto" w:fill="CCEEFF"/>
            <w:tcMar>
              <w:top w:w="40" w:type="dxa"/>
              <w:left w:w="40" w:type="dxa"/>
              <w:bottom w:w="40" w:type="dxa"/>
              <w:right w:w="40" w:type="dxa"/>
            </w:tcMar>
            <w:vAlign w:val="bottom"/>
          </w:tcPr>
          <w:p w14:paraId="5556F84F" w14:textId="77777777" w:rsidR="00F925DD" w:rsidRDefault="00E705D7">
            <w:pPr>
              <w:textAlignment w:val="bottom"/>
              <w:rPr>
                <w:rFonts w:ascii="Times New Roman" w:hAnsi="Times New Roman"/>
                <w:sz w:val="16"/>
                <w:szCs w:val="16"/>
              </w:rPr>
            </w:pPr>
            <w:r>
              <w:rPr>
                <w:rFonts w:ascii="Arial" w:eastAsia="宋体" w:hAnsi="Arial" w:cs="Arial"/>
                <w:sz w:val="16"/>
                <w:szCs w:val="16"/>
              </w:rPr>
              <w:t>Proceeds from issuance of preferred stock, net of issuance costs</w:t>
            </w:r>
          </w:p>
        </w:tc>
        <w:tc>
          <w:tcPr>
            <w:tcW w:w="0" w:type="auto"/>
            <w:gridSpan w:val="2"/>
            <w:shd w:val="clear" w:color="auto" w:fill="CCEEFF"/>
            <w:tcMar>
              <w:top w:w="40" w:type="dxa"/>
              <w:left w:w="40" w:type="dxa"/>
              <w:bottom w:w="40" w:type="dxa"/>
            </w:tcMar>
            <w:vAlign w:val="bottom"/>
          </w:tcPr>
          <w:p w14:paraId="5556F85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vAlign w:val="bottom"/>
          </w:tcPr>
          <w:p w14:paraId="5556F85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8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5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495</w:t>
            </w:r>
          </w:p>
        </w:tc>
        <w:tc>
          <w:tcPr>
            <w:tcW w:w="0" w:type="auto"/>
            <w:shd w:val="clear" w:color="auto" w:fill="CCEEFF"/>
            <w:vAlign w:val="bottom"/>
          </w:tcPr>
          <w:p w14:paraId="5556F85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8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5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F857" w14:textId="77777777" w:rsidR="00F925DD" w:rsidRDefault="00F925DD">
            <w:pPr>
              <w:textAlignment w:val="bottom"/>
              <w:rPr>
                <w:rFonts w:ascii="Times New Roman" w:hAnsi="Times New Roman"/>
                <w:sz w:val="20"/>
                <w:szCs w:val="20"/>
              </w:rPr>
            </w:pPr>
          </w:p>
        </w:tc>
      </w:tr>
      <w:tr w:rsidR="00F925DD" w14:paraId="5556F862" w14:textId="77777777">
        <w:tc>
          <w:tcPr>
            <w:tcW w:w="0" w:type="auto"/>
            <w:shd w:val="clear" w:color="auto" w:fill="auto"/>
            <w:tcMar>
              <w:top w:w="40" w:type="dxa"/>
              <w:left w:w="40" w:type="dxa"/>
              <w:bottom w:w="40" w:type="dxa"/>
              <w:right w:w="40" w:type="dxa"/>
            </w:tcMar>
            <w:vAlign w:val="bottom"/>
          </w:tcPr>
          <w:p w14:paraId="5556F859" w14:textId="77777777" w:rsidR="00F925DD" w:rsidRDefault="00E705D7">
            <w:pPr>
              <w:textAlignment w:val="bottom"/>
              <w:rPr>
                <w:rFonts w:ascii="Times New Roman" w:hAnsi="Times New Roman"/>
                <w:sz w:val="16"/>
                <w:szCs w:val="16"/>
              </w:rPr>
            </w:pPr>
            <w:r>
              <w:rPr>
                <w:rFonts w:ascii="Arial" w:eastAsia="宋体" w:hAnsi="Arial" w:cs="Arial"/>
                <w:sz w:val="16"/>
                <w:szCs w:val="16"/>
              </w:rPr>
              <w:t>Proceeds from issuance of common stock, net of issuance costs</w:t>
            </w:r>
          </w:p>
        </w:tc>
        <w:tc>
          <w:tcPr>
            <w:tcW w:w="0" w:type="auto"/>
            <w:gridSpan w:val="2"/>
            <w:shd w:val="clear" w:color="auto" w:fill="auto"/>
            <w:tcMar>
              <w:top w:w="40" w:type="dxa"/>
              <w:left w:w="40" w:type="dxa"/>
              <w:bottom w:w="40" w:type="dxa"/>
            </w:tcMar>
            <w:vAlign w:val="bottom"/>
          </w:tcPr>
          <w:p w14:paraId="5556F85A"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vAlign w:val="bottom"/>
          </w:tcPr>
          <w:p w14:paraId="5556F85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8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85D"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1,150</w:t>
            </w:r>
          </w:p>
        </w:tc>
        <w:tc>
          <w:tcPr>
            <w:tcW w:w="0" w:type="auto"/>
            <w:shd w:val="clear" w:color="auto" w:fill="auto"/>
            <w:vAlign w:val="bottom"/>
          </w:tcPr>
          <w:p w14:paraId="5556F85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8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860"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5556F861" w14:textId="77777777" w:rsidR="00F925DD" w:rsidRDefault="00F925DD">
            <w:pPr>
              <w:textAlignment w:val="bottom"/>
              <w:rPr>
                <w:rFonts w:ascii="Times New Roman" w:hAnsi="Times New Roman"/>
                <w:sz w:val="20"/>
                <w:szCs w:val="20"/>
              </w:rPr>
            </w:pPr>
          </w:p>
        </w:tc>
      </w:tr>
      <w:tr w:rsidR="00F925DD" w14:paraId="5556F86C" w14:textId="77777777">
        <w:tc>
          <w:tcPr>
            <w:tcW w:w="0" w:type="auto"/>
            <w:shd w:val="clear" w:color="auto" w:fill="CCEEFF"/>
            <w:tcMar>
              <w:top w:w="40" w:type="dxa"/>
              <w:left w:w="40" w:type="dxa"/>
              <w:bottom w:w="40" w:type="dxa"/>
              <w:right w:w="40" w:type="dxa"/>
            </w:tcMar>
            <w:vAlign w:val="bottom"/>
          </w:tcPr>
          <w:p w14:paraId="5556F863" w14:textId="77777777" w:rsidR="00F925DD" w:rsidRDefault="00E705D7">
            <w:pPr>
              <w:textAlignment w:val="bottom"/>
              <w:rPr>
                <w:rFonts w:ascii="Times New Roman" w:hAnsi="Times New Roman"/>
                <w:sz w:val="16"/>
                <w:szCs w:val="16"/>
              </w:rPr>
            </w:pPr>
            <w:r>
              <w:rPr>
                <w:rFonts w:ascii="Arial" w:eastAsia="宋体" w:hAnsi="Arial" w:cs="Arial"/>
                <w:sz w:val="16"/>
                <w:szCs w:val="16"/>
              </w:rPr>
              <w:t>Payments for redemption of preferred stock</w:t>
            </w:r>
          </w:p>
        </w:tc>
        <w:tc>
          <w:tcPr>
            <w:tcW w:w="0" w:type="auto"/>
            <w:gridSpan w:val="2"/>
            <w:shd w:val="clear" w:color="auto" w:fill="CCEEFF"/>
            <w:tcMar>
              <w:top w:w="40" w:type="dxa"/>
              <w:left w:w="40" w:type="dxa"/>
              <w:bottom w:w="40" w:type="dxa"/>
            </w:tcMar>
            <w:vAlign w:val="bottom"/>
          </w:tcPr>
          <w:p w14:paraId="5556F864"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(750</w:t>
            </w:r>
          </w:p>
        </w:tc>
        <w:tc>
          <w:tcPr>
            <w:tcW w:w="0" w:type="auto"/>
            <w:shd w:val="clear" w:color="auto" w:fill="CCEEFF"/>
            <w:tcMar>
              <w:top w:w="40" w:type="dxa"/>
              <w:bottom w:w="40" w:type="dxa"/>
              <w:right w:w="40" w:type="dxa"/>
            </w:tcMar>
            <w:vAlign w:val="bottom"/>
          </w:tcPr>
          <w:p w14:paraId="5556F865"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F8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67"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F86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8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6A"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vAlign w:val="bottom"/>
          </w:tcPr>
          <w:p w14:paraId="5556F86B" w14:textId="77777777" w:rsidR="00F925DD" w:rsidRDefault="00F925DD">
            <w:pPr>
              <w:textAlignment w:val="bottom"/>
              <w:rPr>
                <w:rFonts w:ascii="Times New Roman" w:hAnsi="Times New Roman"/>
                <w:sz w:val="20"/>
                <w:szCs w:val="20"/>
              </w:rPr>
            </w:pPr>
          </w:p>
        </w:tc>
      </w:tr>
      <w:tr w:rsidR="00F925DD" w14:paraId="5556F876" w14:textId="77777777">
        <w:tc>
          <w:tcPr>
            <w:tcW w:w="0" w:type="auto"/>
            <w:shd w:val="clear" w:color="auto" w:fill="auto"/>
            <w:tcMar>
              <w:top w:w="40" w:type="dxa"/>
              <w:left w:w="40" w:type="dxa"/>
              <w:bottom w:w="40" w:type="dxa"/>
              <w:right w:w="40" w:type="dxa"/>
            </w:tcMar>
            <w:vAlign w:val="bottom"/>
          </w:tcPr>
          <w:p w14:paraId="5556F86D" w14:textId="77777777" w:rsidR="00F925DD" w:rsidRDefault="00E705D7">
            <w:pPr>
              <w:textAlignment w:val="bottom"/>
              <w:rPr>
                <w:rFonts w:ascii="Times New Roman" w:hAnsi="Times New Roman"/>
                <w:sz w:val="16"/>
                <w:szCs w:val="16"/>
              </w:rPr>
            </w:pPr>
            <w:r>
              <w:rPr>
                <w:rFonts w:ascii="Arial" w:eastAsia="宋体" w:hAnsi="Arial" w:cs="Arial"/>
                <w:sz w:val="16"/>
                <w:szCs w:val="16"/>
              </w:rPr>
              <w:t>Repurchases of common stock</w:t>
            </w:r>
          </w:p>
        </w:tc>
        <w:tc>
          <w:tcPr>
            <w:tcW w:w="0" w:type="auto"/>
            <w:gridSpan w:val="2"/>
            <w:shd w:val="clear" w:color="auto" w:fill="auto"/>
            <w:tcMar>
              <w:top w:w="40" w:type="dxa"/>
              <w:left w:w="40" w:type="dxa"/>
              <w:bottom w:w="40" w:type="dxa"/>
            </w:tcMar>
            <w:vAlign w:val="bottom"/>
          </w:tcPr>
          <w:p w14:paraId="5556F86E"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(1,585</w:t>
            </w:r>
          </w:p>
        </w:tc>
        <w:tc>
          <w:tcPr>
            <w:tcW w:w="0" w:type="auto"/>
            <w:shd w:val="clear" w:color="auto" w:fill="auto"/>
            <w:tcMar>
              <w:top w:w="40" w:type="dxa"/>
              <w:bottom w:w="40" w:type="dxa"/>
              <w:right w:w="40" w:type="dxa"/>
            </w:tcMar>
            <w:vAlign w:val="bottom"/>
          </w:tcPr>
          <w:p w14:paraId="5556F86F"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F8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871"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(350</w:t>
            </w:r>
          </w:p>
        </w:tc>
        <w:tc>
          <w:tcPr>
            <w:tcW w:w="0" w:type="auto"/>
            <w:shd w:val="clear" w:color="auto" w:fill="auto"/>
            <w:tcMar>
              <w:top w:w="40" w:type="dxa"/>
              <w:bottom w:w="40" w:type="dxa"/>
              <w:right w:w="40" w:type="dxa"/>
            </w:tcMar>
            <w:vAlign w:val="bottom"/>
          </w:tcPr>
          <w:p w14:paraId="5556F87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F8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874"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(1,292</w:t>
            </w:r>
          </w:p>
        </w:tc>
        <w:tc>
          <w:tcPr>
            <w:tcW w:w="0" w:type="auto"/>
            <w:shd w:val="clear" w:color="auto" w:fill="auto"/>
            <w:tcMar>
              <w:top w:w="40" w:type="dxa"/>
              <w:bottom w:w="40" w:type="dxa"/>
              <w:right w:w="40" w:type="dxa"/>
            </w:tcMar>
            <w:vAlign w:val="bottom"/>
          </w:tcPr>
          <w:p w14:paraId="5556F875"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F880" w14:textId="77777777">
        <w:tc>
          <w:tcPr>
            <w:tcW w:w="0" w:type="auto"/>
            <w:shd w:val="clear" w:color="auto" w:fill="CCEEFF"/>
            <w:tcMar>
              <w:top w:w="40" w:type="dxa"/>
              <w:left w:w="40" w:type="dxa"/>
              <w:bottom w:w="40" w:type="dxa"/>
              <w:right w:w="40" w:type="dxa"/>
            </w:tcMar>
            <w:vAlign w:val="bottom"/>
          </w:tcPr>
          <w:p w14:paraId="5556F877" w14:textId="77777777" w:rsidR="00F925DD" w:rsidRDefault="00E705D7">
            <w:pPr>
              <w:textAlignment w:val="bottom"/>
              <w:rPr>
                <w:rFonts w:ascii="Times New Roman" w:hAnsi="Times New Roman"/>
                <w:sz w:val="16"/>
                <w:szCs w:val="16"/>
              </w:rPr>
            </w:pPr>
            <w:r>
              <w:rPr>
                <w:rFonts w:ascii="Arial" w:eastAsia="宋体" w:hAnsi="Arial" w:cs="Arial"/>
                <w:sz w:val="16"/>
                <w:szCs w:val="16"/>
              </w:rPr>
              <w:t xml:space="preserve">Repurchases of common stock for employee tax </w:t>
            </w:r>
            <w:r>
              <w:rPr>
                <w:rFonts w:ascii="Arial" w:eastAsia="宋体" w:hAnsi="Arial" w:cs="Arial"/>
                <w:sz w:val="16"/>
                <w:szCs w:val="16"/>
              </w:rPr>
              <w:t>withholding</w:t>
            </w:r>
          </w:p>
        </w:tc>
        <w:tc>
          <w:tcPr>
            <w:tcW w:w="0" w:type="auto"/>
            <w:gridSpan w:val="2"/>
            <w:shd w:val="clear" w:color="auto" w:fill="CCEEFF"/>
            <w:tcMar>
              <w:top w:w="40" w:type="dxa"/>
              <w:left w:w="40" w:type="dxa"/>
              <w:bottom w:w="40" w:type="dxa"/>
            </w:tcMar>
            <w:vAlign w:val="bottom"/>
          </w:tcPr>
          <w:p w14:paraId="5556F878"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(81</w:t>
            </w:r>
          </w:p>
        </w:tc>
        <w:tc>
          <w:tcPr>
            <w:tcW w:w="0" w:type="auto"/>
            <w:shd w:val="clear" w:color="auto" w:fill="CCEEFF"/>
            <w:tcMar>
              <w:top w:w="40" w:type="dxa"/>
              <w:bottom w:w="40" w:type="dxa"/>
              <w:right w:w="40" w:type="dxa"/>
            </w:tcMar>
            <w:vAlign w:val="bottom"/>
          </w:tcPr>
          <w:p w14:paraId="5556F879"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F8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7B"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(124</w:t>
            </w:r>
          </w:p>
        </w:tc>
        <w:tc>
          <w:tcPr>
            <w:tcW w:w="0" w:type="auto"/>
            <w:shd w:val="clear" w:color="auto" w:fill="CCEEFF"/>
            <w:tcMar>
              <w:top w:w="40" w:type="dxa"/>
              <w:bottom w:w="40" w:type="dxa"/>
              <w:right w:w="40" w:type="dxa"/>
            </w:tcMar>
            <w:vAlign w:val="bottom"/>
          </w:tcPr>
          <w:p w14:paraId="5556F87C"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CCEEFF"/>
            <w:tcMar>
              <w:top w:w="40" w:type="dxa"/>
              <w:left w:w="40" w:type="dxa"/>
              <w:bottom w:w="40" w:type="dxa"/>
              <w:right w:w="40" w:type="dxa"/>
            </w:tcMar>
            <w:vAlign w:val="bottom"/>
          </w:tcPr>
          <w:p w14:paraId="5556F8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7E"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(104</w:t>
            </w:r>
          </w:p>
        </w:tc>
        <w:tc>
          <w:tcPr>
            <w:tcW w:w="0" w:type="auto"/>
            <w:shd w:val="clear" w:color="auto" w:fill="CCEEFF"/>
            <w:tcMar>
              <w:top w:w="40" w:type="dxa"/>
              <w:bottom w:w="40" w:type="dxa"/>
              <w:right w:w="40" w:type="dxa"/>
            </w:tcMar>
            <w:vAlign w:val="bottom"/>
          </w:tcPr>
          <w:p w14:paraId="5556F87F"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F88A" w14:textId="77777777">
        <w:tc>
          <w:tcPr>
            <w:tcW w:w="0" w:type="auto"/>
            <w:shd w:val="clear" w:color="auto" w:fill="auto"/>
            <w:tcMar>
              <w:top w:w="40" w:type="dxa"/>
              <w:left w:w="40" w:type="dxa"/>
              <w:bottom w:w="40" w:type="dxa"/>
              <w:right w:w="40" w:type="dxa"/>
            </w:tcMar>
            <w:vAlign w:val="bottom"/>
          </w:tcPr>
          <w:p w14:paraId="5556F881" w14:textId="77777777" w:rsidR="00F925DD" w:rsidRDefault="00E705D7">
            <w:pPr>
              <w:textAlignment w:val="bottom"/>
              <w:rPr>
                <w:rFonts w:ascii="Times New Roman" w:hAnsi="Times New Roman"/>
                <w:sz w:val="16"/>
                <w:szCs w:val="16"/>
              </w:rPr>
            </w:pPr>
            <w:r>
              <w:rPr>
                <w:rFonts w:ascii="Arial" w:eastAsia="宋体" w:hAnsi="Arial" w:cs="Arial"/>
                <w:sz w:val="16"/>
                <w:szCs w:val="16"/>
              </w:rPr>
              <w:t>Payments for cash dividends</w:t>
            </w:r>
          </w:p>
        </w:tc>
        <w:tc>
          <w:tcPr>
            <w:tcW w:w="0" w:type="auto"/>
            <w:gridSpan w:val="2"/>
            <w:tcBorders>
              <w:bottom w:val="single" w:sz="8" w:space="0" w:color="000000"/>
            </w:tcBorders>
            <w:shd w:val="clear" w:color="auto" w:fill="auto"/>
            <w:tcMar>
              <w:top w:w="40" w:type="dxa"/>
              <w:left w:w="40" w:type="dxa"/>
              <w:bottom w:w="40" w:type="dxa"/>
            </w:tcMar>
            <w:vAlign w:val="bottom"/>
          </w:tcPr>
          <w:p w14:paraId="5556F882"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(930</w:t>
            </w:r>
          </w:p>
        </w:tc>
        <w:tc>
          <w:tcPr>
            <w:tcW w:w="0" w:type="auto"/>
            <w:tcBorders>
              <w:bottom w:val="single" w:sz="8" w:space="0" w:color="000000"/>
            </w:tcBorders>
            <w:shd w:val="clear" w:color="auto" w:fill="auto"/>
            <w:tcMar>
              <w:top w:w="40" w:type="dxa"/>
              <w:bottom w:w="40" w:type="dxa"/>
              <w:right w:w="40" w:type="dxa"/>
            </w:tcMar>
            <w:vAlign w:val="bottom"/>
          </w:tcPr>
          <w:p w14:paraId="5556F883"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tcMar>
              <w:top w:w="40" w:type="dxa"/>
              <w:left w:w="40" w:type="dxa"/>
              <w:bottom w:w="40" w:type="dxa"/>
              <w:right w:w="40" w:type="dxa"/>
            </w:tcMar>
            <w:vAlign w:val="bottom"/>
          </w:tcPr>
          <w:p w14:paraId="5556F8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885"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(828</w:t>
            </w:r>
          </w:p>
        </w:tc>
        <w:tc>
          <w:tcPr>
            <w:tcW w:w="0" w:type="auto"/>
            <w:tcBorders>
              <w:bottom w:val="single" w:sz="8" w:space="0" w:color="000000"/>
            </w:tcBorders>
            <w:shd w:val="clear" w:color="auto" w:fill="auto"/>
            <w:tcMar>
              <w:top w:w="40" w:type="dxa"/>
              <w:bottom w:w="40" w:type="dxa"/>
              <w:right w:w="40" w:type="dxa"/>
            </w:tcMar>
            <w:vAlign w:val="bottom"/>
          </w:tcPr>
          <w:p w14:paraId="5556F886"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tcMar>
              <w:top w:w="40" w:type="dxa"/>
              <w:left w:w="40" w:type="dxa"/>
              <w:bottom w:w="40" w:type="dxa"/>
              <w:right w:w="40" w:type="dxa"/>
            </w:tcMar>
            <w:vAlign w:val="bottom"/>
          </w:tcPr>
          <w:p w14:paraId="5556F8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888"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(768</w:t>
            </w:r>
          </w:p>
        </w:tc>
        <w:tc>
          <w:tcPr>
            <w:tcW w:w="0" w:type="auto"/>
            <w:tcBorders>
              <w:bottom w:val="single" w:sz="8" w:space="0" w:color="000000"/>
            </w:tcBorders>
            <w:shd w:val="clear" w:color="auto" w:fill="auto"/>
            <w:tcMar>
              <w:top w:w="40" w:type="dxa"/>
              <w:bottom w:w="40" w:type="dxa"/>
              <w:right w:w="40" w:type="dxa"/>
            </w:tcMar>
            <w:vAlign w:val="bottom"/>
          </w:tcPr>
          <w:p w14:paraId="5556F889"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F894" w14:textId="77777777">
        <w:tc>
          <w:tcPr>
            <w:tcW w:w="0" w:type="auto"/>
            <w:shd w:val="clear" w:color="auto" w:fill="CCEEFF"/>
            <w:tcMar>
              <w:top w:w="40" w:type="dxa"/>
              <w:left w:w="40" w:type="dxa"/>
              <w:bottom w:w="40" w:type="dxa"/>
              <w:right w:w="40" w:type="dxa"/>
            </w:tcMar>
            <w:vAlign w:val="bottom"/>
          </w:tcPr>
          <w:p w14:paraId="5556F88B" w14:textId="77777777" w:rsidR="00F925DD" w:rsidRDefault="00E705D7">
            <w:pPr>
              <w:textAlignment w:val="bottom"/>
              <w:rPr>
                <w:rFonts w:ascii="Times New Roman" w:hAnsi="Times New Roman"/>
                <w:sz w:val="16"/>
                <w:szCs w:val="16"/>
              </w:rPr>
            </w:pPr>
            <w:r>
              <w:rPr>
                <w:rFonts w:ascii="Arial" w:eastAsia="宋体" w:hAnsi="Arial" w:cs="Arial"/>
                <w:sz w:val="16"/>
                <w:szCs w:val="16"/>
              </w:rPr>
              <w:t>Net cash provided (used in) financing activities</w:t>
            </w:r>
          </w:p>
        </w:tc>
        <w:tc>
          <w:tcPr>
            <w:tcW w:w="0" w:type="auto"/>
            <w:gridSpan w:val="2"/>
            <w:shd w:val="clear" w:color="auto" w:fill="CCEEFF"/>
            <w:tcMar>
              <w:top w:w="40" w:type="dxa"/>
              <w:left w:w="40" w:type="dxa"/>
              <w:bottom w:w="40" w:type="dxa"/>
            </w:tcMar>
            <w:vAlign w:val="bottom"/>
          </w:tcPr>
          <w:p w14:paraId="5556F88C"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(1,901</w:t>
            </w:r>
          </w:p>
        </w:tc>
        <w:tc>
          <w:tcPr>
            <w:tcW w:w="0" w:type="auto"/>
            <w:shd w:val="clear" w:color="auto" w:fill="CCEEFF"/>
            <w:tcMar>
              <w:top w:w="40" w:type="dxa"/>
              <w:bottom w:w="40" w:type="dxa"/>
              <w:right w:w="40" w:type="dxa"/>
            </w:tcMar>
            <w:vAlign w:val="bottom"/>
          </w:tcPr>
          <w:p w14:paraId="5556F88D"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CCEEFF"/>
            <w:tcMar>
              <w:top w:w="40" w:type="dxa"/>
              <w:left w:w="40" w:type="dxa"/>
              <w:bottom w:w="40" w:type="dxa"/>
              <w:right w:w="40" w:type="dxa"/>
            </w:tcMar>
            <w:vAlign w:val="bottom"/>
          </w:tcPr>
          <w:p w14:paraId="5556F8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8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339</w:t>
            </w:r>
          </w:p>
        </w:tc>
        <w:tc>
          <w:tcPr>
            <w:tcW w:w="0" w:type="auto"/>
            <w:shd w:val="clear" w:color="auto" w:fill="CCEEFF"/>
            <w:vAlign w:val="bottom"/>
          </w:tcPr>
          <w:p w14:paraId="5556F89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8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892"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(1,866</w:t>
            </w:r>
          </w:p>
        </w:tc>
        <w:tc>
          <w:tcPr>
            <w:tcW w:w="0" w:type="auto"/>
            <w:shd w:val="clear" w:color="auto" w:fill="CCEEFF"/>
            <w:tcMar>
              <w:top w:w="40" w:type="dxa"/>
              <w:bottom w:w="40" w:type="dxa"/>
              <w:right w:w="40" w:type="dxa"/>
            </w:tcMar>
            <w:vAlign w:val="bottom"/>
          </w:tcPr>
          <w:p w14:paraId="5556F893"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r>
      <w:tr w:rsidR="00F925DD" w14:paraId="5556F89E" w14:textId="77777777">
        <w:tc>
          <w:tcPr>
            <w:tcW w:w="0" w:type="auto"/>
            <w:shd w:val="clear" w:color="auto" w:fill="auto"/>
            <w:tcMar>
              <w:top w:w="40" w:type="dxa"/>
              <w:left w:w="40" w:type="dxa"/>
              <w:bottom w:w="40" w:type="dxa"/>
              <w:right w:w="40" w:type="dxa"/>
            </w:tcMar>
            <w:vAlign w:val="bottom"/>
          </w:tcPr>
          <w:p w14:paraId="5556F895" w14:textId="77777777" w:rsidR="00F925DD" w:rsidRDefault="00E705D7">
            <w:pPr>
              <w:textAlignment w:val="bottom"/>
              <w:rPr>
                <w:rFonts w:ascii="Times New Roman" w:hAnsi="Times New Roman"/>
                <w:sz w:val="16"/>
                <w:szCs w:val="16"/>
              </w:rPr>
            </w:pPr>
            <w:r>
              <w:rPr>
                <w:rFonts w:ascii="Arial" w:eastAsia="宋体" w:hAnsi="Arial" w:cs="Arial"/>
                <w:sz w:val="16"/>
                <w:szCs w:val="16"/>
              </w:rPr>
              <w:t>Net change</w:t>
            </w:r>
          </w:p>
        </w:tc>
        <w:tc>
          <w:tcPr>
            <w:tcW w:w="0" w:type="auto"/>
            <w:gridSpan w:val="2"/>
            <w:shd w:val="clear" w:color="auto" w:fill="auto"/>
            <w:tcMar>
              <w:top w:w="40" w:type="dxa"/>
              <w:left w:w="40" w:type="dxa"/>
              <w:bottom w:w="40" w:type="dxa"/>
            </w:tcMar>
            <w:vAlign w:val="bottom"/>
          </w:tcPr>
          <w:p w14:paraId="5556F896"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shd w:val="clear" w:color="auto" w:fill="auto"/>
            <w:vAlign w:val="bottom"/>
          </w:tcPr>
          <w:p w14:paraId="5556F89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8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899"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5556F89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8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89C"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shd w:val="clear" w:color="auto" w:fill="auto"/>
            <w:vAlign w:val="bottom"/>
          </w:tcPr>
          <w:p w14:paraId="5556F89D" w14:textId="77777777" w:rsidR="00F925DD" w:rsidRDefault="00F925DD">
            <w:pPr>
              <w:textAlignment w:val="bottom"/>
              <w:rPr>
                <w:rFonts w:ascii="Times New Roman" w:hAnsi="Times New Roman"/>
                <w:sz w:val="20"/>
                <w:szCs w:val="20"/>
              </w:rPr>
            </w:pPr>
          </w:p>
        </w:tc>
      </w:tr>
      <w:tr w:rsidR="00F925DD" w14:paraId="5556F8A8" w14:textId="77777777">
        <w:tc>
          <w:tcPr>
            <w:tcW w:w="0" w:type="auto"/>
            <w:shd w:val="clear" w:color="auto" w:fill="CCEEFF"/>
            <w:tcMar>
              <w:top w:w="40" w:type="dxa"/>
              <w:left w:w="40" w:type="dxa"/>
              <w:bottom w:w="40" w:type="dxa"/>
              <w:right w:w="40" w:type="dxa"/>
            </w:tcMar>
            <w:vAlign w:val="bottom"/>
          </w:tcPr>
          <w:p w14:paraId="5556F89F" w14:textId="77777777" w:rsidR="00F925DD" w:rsidRDefault="00E705D7">
            <w:pPr>
              <w:textAlignment w:val="bottom"/>
              <w:rPr>
                <w:rFonts w:ascii="Times New Roman" w:hAnsi="Times New Roman"/>
                <w:sz w:val="16"/>
                <w:szCs w:val="16"/>
              </w:rPr>
            </w:pPr>
            <w:r>
              <w:rPr>
                <w:rFonts w:ascii="Arial" w:eastAsia="宋体" w:hAnsi="Arial" w:cs="Arial"/>
                <w:sz w:val="16"/>
                <w:szCs w:val="16"/>
              </w:rPr>
              <w:t>Cash and due from banks at beginning of year</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8A0"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single" w:sz="8" w:space="0" w:color="000000"/>
            </w:tcBorders>
            <w:shd w:val="clear" w:color="auto" w:fill="CCEEFF"/>
            <w:vAlign w:val="bottom"/>
          </w:tcPr>
          <w:p w14:paraId="5556F8A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8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8A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CCEEFF"/>
            <w:vAlign w:val="bottom"/>
          </w:tcPr>
          <w:p w14:paraId="5556F8A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8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8A6"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single" w:sz="8" w:space="0" w:color="000000"/>
            </w:tcBorders>
            <w:shd w:val="clear" w:color="auto" w:fill="CCEEFF"/>
            <w:vAlign w:val="bottom"/>
          </w:tcPr>
          <w:p w14:paraId="5556F8A7" w14:textId="77777777" w:rsidR="00F925DD" w:rsidRDefault="00F925DD">
            <w:pPr>
              <w:textAlignment w:val="bottom"/>
              <w:rPr>
                <w:rFonts w:ascii="Times New Roman" w:hAnsi="Times New Roman"/>
                <w:sz w:val="20"/>
                <w:szCs w:val="20"/>
              </w:rPr>
            </w:pPr>
          </w:p>
        </w:tc>
      </w:tr>
      <w:tr w:rsidR="00F925DD" w14:paraId="5556F8B5" w14:textId="77777777">
        <w:tc>
          <w:tcPr>
            <w:tcW w:w="0" w:type="auto"/>
            <w:shd w:val="clear" w:color="auto" w:fill="auto"/>
            <w:tcMar>
              <w:top w:w="40" w:type="dxa"/>
              <w:left w:w="40" w:type="dxa"/>
              <w:bottom w:w="40" w:type="dxa"/>
              <w:right w:w="40" w:type="dxa"/>
            </w:tcMar>
            <w:vAlign w:val="bottom"/>
          </w:tcPr>
          <w:p w14:paraId="5556F8A9" w14:textId="77777777" w:rsidR="00F925DD" w:rsidRDefault="00E705D7">
            <w:pPr>
              <w:textAlignment w:val="bottom"/>
              <w:rPr>
                <w:rFonts w:ascii="Times New Roman" w:hAnsi="Times New Roman"/>
                <w:sz w:val="16"/>
                <w:szCs w:val="16"/>
              </w:rPr>
            </w:pPr>
            <w:r>
              <w:rPr>
                <w:rFonts w:ascii="Arial" w:eastAsia="宋体" w:hAnsi="Arial" w:cs="Arial"/>
                <w:sz w:val="16"/>
                <w:szCs w:val="16"/>
              </w:rPr>
              <w:t>Cash and due from banks at end of year</w:t>
            </w:r>
          </w:p>
        </w:tc>
        <w:tc>
          <w:tcPr>
            <w:tcW w:w="0" w:type="auto"/>
            <w:tcBorders>
              <w:bottom w:val="double" w:sz="6" w:space="0" w:color="000000"/>
            </w:tcBorders>
            <w:shd w:val="clear" w:color="auto" w:fill="auto"/>
            <w:tcMar>
              <w:top w:w="40" w:type="dxa"/>
              <w:left w:w="40" w:type="dxa"/>
              <w:bottom w:w="40" w:type="dxa"/>
            </w:tcMar>
            <w:vAlign w:val="bottom"/>
          </w:tcPr>
          <w:p w14:paraId="5556F8AA"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double" w:sz="6" w:space="0" w:color="000000"/>
            </w:tcBorders>
            <w:shd w:val="clear" w:color="auto" w:fill="auto"/>
            <w:tcMar>
              <w:top w:w="40" w:type="dxa"/>
              <w:bottom w:w="40" w:type="dxa"/>
            </w:tcMar>
            <w:vAlign w:val="bottom"/>
          </w:tcPr>
          <w:p w14:paraId="5556F8AB" w14:textId="77777777" w:rsidR="00F925DD" w:rsidRDefault="00E705D7">
            <w:pPr>
              <w:jc w:val="right"/>
              <w:textAlignment w:val="bottom"/>
              <w:rPr>
                <w:rFonts w:ascii="Times New Roman" w:hAnsi="Times New Roman"/>
                <w:sz w:val="16"/>
                <w:szCs w:val="16"/>
              </w:rPr>
            </w:pPr>
            <w:r>
              <w:rPr>
                <w:rFonts w:ascii="Arial" w:eastAsia="宋体" w:hAnsi="Arial" w:cs="Arial"/>
                <w:b/>
                <w:bCs/>
                <w:sz w:val="16"/>
                <w:szCs w:val="16"/>
              </w:rPr>
              <w:t>—</w:t>
            </w:r>
          </w:p>
        </w:tc>
        <w:tc>
          <w:tcPr>
            <w:tcW w:w="0" w:type="auto"/>
            <w:tcBorders>
              <w:bottom w:val="double" w:sz="6" w:space="0" w:color="000000"/>
            </w:tcBorders>
            <w:shd w:val="clear" w:color="auto" w:fill="auto"/>
            <w:vAlign w:val="bottom"/>
          </w:tcPr>
          <w:p w14:paraId="5556F8A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8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8AE"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5556F8AF"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vAlign w:val="bottom"/>
          </w:tcPr>
          <w:p w14:paraId="5556F8B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8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8B2" w14:textId="77777777" w:rsidR="00F925DD" w:rsidRDefault="00E705D7">
            <w:pPr>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tcMar>
              <w:top w:w="40" w:type="dxa"/>
              <w:bottom w:w="40" w:type="dxa"/>
            </w:tcMar>
            <w:vAlign w:val="bottom"/>
          </w:tcPr>
          <w:p w14:paraId="5556F8B3" w14:textId="77777777" w:rsidR="00F925DD" w:rsidRDefault="00E705D7">
            <w:pPr>
              <w:jc w:val="right"/>
              <w:textAlignment w:val="bottom"/>
              <w:rPr>
                <w:rFonts w:ascii="Times New Roman" w:hAnsi="Times New Roman"/>
                <w:sz w:val="16"/>
                <w:szCs w:val="16"/>
              </w:rPr>
            </w:pPr>
            <w:r>
              <w:rPr>
                <w:rFonts w:ascii="Arial" w:eastAsia="宋体" w:hAnsi="Arial" w:cs="Arial"/>
                <w:sz w:val="16"/>
                <w:szCs w:val="16"/>
              </w:rPr>
              <w:t>—</w:t>
            </w:r>
          </w:p>
        </w:tc>
        <w:tc>
          <w:tcPr>
            <w:tcW w:w="0" w:type="auto"/>
            <w:tcBorders>
              <w:bottom w:val="double" w:sz="6" w:space="0" w:color="000000"/>
            </w:tcBorders>
            <w:shd w:val="clear" w:color="auto" w:fill="auto"/>
            <w:vAlign w:val="bottom"/>
          </w:tcPr>
          <w:p w14:paraId="5556F8B4" w14:textId="77777777" w:rsidR="00F925DD" w:rsidRDefault="00F925DD">
            <w:pPr>
              <w:textAlignment w:val="bottom"/>
              <w:rPr>
                <w:rFonts w:ascii="Times New Roman" w:hAnsi="Times New Roman"/>
                <w:sz w:val="20"/>
                <w:szCs w:val="20"/>
              </w:rPr>
            </w:pPr>
          </w:p>
        </w:tc>
      </w:tr>
    </w:tbl>
    <w:p w14:paraId="5556F8B6" w14:textId="77777777" w:rsidR="00F925DD" w:rsidRDefault="00F925DD">
      <w:pPr>
        <w:spacing w:line="288" w:lineRule="auto"/>
        <w:rPr>
          <w:rFonts w:ascii="Times New Roman" w:hAnsi="Times New Roman"/>
          <w:sz w:val="20"/>
          <w:szCs w:val="20"/>
        </w:rPr>
      </w:pPr>
    </w:p>
    <w:p w14:paraId="5556F8B7" w14:textId="77777777" w:rsidR="00F925DD" w:rsidRDefault="00F925DD">
      <w:pPr>
        <w:spacing w:line="288" w:lineRule="auto"/>
        <w:ind w:firstLine="600"/>
        <w:rPr>
          <w:rFonts w:ascii="Times New Roman" w:hAnsi="Times New Roman"/>
          <w:sz w:val="20"/>
          <w:szCs w:val="20"/>
        </w:rPr>
      </w:pPr>
    </w:p>
    <w:p w14:paraId="5556F8B8"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Note 28.    Subsequent Events</w:t>
      </w:r>
    </w:p>
    <w:p w14:paraId="5556F8B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On January 24, 2020, we issued $750 million aggregate principal amount of 2.400% Senior Notes due 2030 in a public offering.</w:t>
      </w:r>
    </w:p>
    <w:p w14:paraId="5556F8B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On February 12, 2020, we </w:t>
      </w:r>
      <w:r>
        <w:rPr>
          <w:rFonts w:ascii="Arial" w:eastAsia="宋体" w:hAnsi="Arial" w:cs="Arial"/>
          <w:sz w:val="20"/>
          <w:szCs w:val="20"/>
        </w:rPr>
        <w:t>announced that we will redeem all 5,000 of our outstanding shares of our non-cumulative perpetual preferred stock, Series C, for cash at a redemption price of $100,000 per share (equivalent to $25.00 per depositary share) plus all declared and unpaid divid</w:t>
      </w:r>
      <w:r>
        <w:rPr>
          <w:rFonts w:ascii="Arial" w:eastAsia="宋体" w:hAnsi="Arial" w:cs="Arial"/>
          <w:sz w:val="20"/>
          <w:szCs w:val="20"/>
        </w:rPr>
        <w:t>ends. The redemption price will be payable on March 16, 2020, and this redemption will be reflected in our first quarter 2020 results of operations.</w:t>
      </w:r>
    </w:p>
    <w:p w14:paraId="5556F8BB" w14:textId="77777777" w:rsidR="00F925DD" w:rsidRDefault="00F925DD">
      <w:pPr>
        <w:rPr>
          <w:rFonts w:ascii="Times New Roman" w:hAnsi="Times New Roman"/>
          <w:sz w:val="20"/>
          <w:szCs w:val="20"/>
        </w:rPr>
      </w:pPr>
    </w:p>
    <w:p w14:paraId="5556F8B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175</w:t>
      </w:r>
    </w:p>
    <w:p w14:paraId="5556F8BD" w14:textId="77777777" w:rsidR="00F925DD" w:rsidRDefault="00F925DD">
      <w:pPr>
        <w:spacing w:line="288" w:lineRule="auto"/>
        <w:ind w:firstLine="600"/>
        <w:jc w:val="center"/>
        <w:rPr>
          <w:rFonts w:ascii="Times New Roman" w:hAnsi="Times New Roman"/>
          <w:sz w:val="18"/>
          <w:szCs w:val="18"/>
        </w:rPr>
      </w:pPr>
    </w:p>
    <w:p w14:paraId="5556F8BE" w14:textId="77777777" w:rsidR="00F925DD" w:rsidRDefault="00E705D7">
      <w:r>
        <w:rPr>
          <w:rFonts w:ascii="Times New Roman" w:hAnsi="Times New Roman"/>
          <w:sz w:val="18"/>
          <w:szCs w:val="18"/>
        </w:rPr>
        <w:pict w14:anchorId="555706E9">
          <v:rect id="_x0000_i1199" style="width:415.3pt;height:1.5pt" o:hralign="center" o:hrstd="t" o:hr="t" fillcolor="#a0a0a0" stroked="f"/>
        </w:pict>
      </w:r>
    </w:p>
    <w:p w14:paraId="5556F8BF" w14:textId="77777777" w:rsidR="00F925DD" w:rsidRDefault="00F925DD">
      <w:pPr>
        <w:spacing w:line="288" w:lineRule="auto"/>
        <w:ind w:firstLine="600"/>
        <w:rPr>
          <w:rFonts w:ascii="Times New Roman" w:hAnsi="Times New Roman"/>
          <w:sz w:val="18"/>
          <w:szCs w:val="18"/>
        </w:rPr>
      </w:pPr>
    </w:p>
    <w:p w14:paraId="5556F8C0" w14:textId="77777777" w:rsidR="00F925DD" w:rsidRDefault="00F925DD">
      <w:pPr>
        <w:rPr>
          <w:rFonts w:ascii="Times New Roman" w:hAnsi="Times New Roman"/>
          <w:sz w:val="20"/>
          <w:szCs w:val="20"/>
        </w:rPr>
      </w:pPr>
    </w:p>
    <w:p w14:paraId="5556F8C1"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STATISTICAL DISCLOSURE BY BANK HOLDING COMPANIES</w:t>
      </w:r>
    </w:p>
    <w:p w14:paraId="5556F8C2" w14:textId="77777777" w:rsidR="00F925DD" w:rsidRDefault="00E705D7">
      <w:pPr>
        <w:spacing w:line="288" w:lineRule="auto"/>
        <w:jc w:val="both"/>
        <w:rPr>
          <w:rFonts w:ascii="Times New Roman" w:hAnsi="Times New Roman"/>
          <w:sz w:val="20"/>
          <w:szCs w:val="20"/>
        </w:rPr>
      </w:pPr>
      <w:r>
        <w:rPr>
          <w:rFonts w:ascii="Arial" w:eastAsia="宋体" w:hAnsi="Arial" w:cs="Arial"/>
          <w:b/>
          <w:bCs/>
          <w:color w:val="000000"/>
          <w:sz w:val="20"/>
          <w:szCs w:val="20"/>
        </w:rPr>
        <w:t>Distribution of Average Assets, Liabilities and Shareholders’ Equity; Interest Rates and Interest Differential (Unaudited)</w:t>
      </w:r>
    </w:p>
    <w:p w14:paraId="5556F8C3" w14:textId="77777777" w:rsidR="00F925DD" w:rsidRDefault="00E705D7">
      <w:pPr>
        <w:spacing w:line="288" w:lineRule="auto"/>
        <w:ind w:firstLine="960"/>
        <w:rPr>
          <w:rFonts w:ascii="Times New Roman" w:hAnsi="Times New Roman"/>
          <w:sz w:val="20"/>
          <w:szCs w:val="20"/>
        </w:rPr>
      </w:pPr>
      <w:r>
        <w:rPr>
          <w:rFonts w:ascii="Arial" w:eastAsia="宋体" w:hAnsi="Arial" w:cs="Arial"/>
          <w:sz w:val="20"/>
          <w:szCs w:val="20"/>
        </w:rPr>
        <w:t xml:space="preserve">The following table presents consolidated average statements of condition and NII for the years indicated: </w:t>
      </w:r>
    </w:p>
    <w:tbl>
      <w:tblPr>
        <w:tblW w:w="5000" w:type="pct"/>
        <w:tblCellMar>
          <w:left w:w="0" w:type="dxa"/>
          <w:right w:w="0" w:type="dxa"/>
        </w:tblCellMar>
        <w:tblLook w:val="04A0" w:firstRow="1" w:lastRow="0" w:firstColumn="1" w:lastColumn="0" w:noHBand="0" w:noVBand="1"/>
      </w:tblPr>
      <w:tblGrid>
        <w:gridCol w:w="1354"/>
        <w:gridCol w:w="117"/>
        <w:gridCol w:w="505"/>
        <w:gridCol w:w="6"/>
        <w:gridCol w:w="130"/>
        <w:gridCol w:w="119"/>
        <w:gridCol w:w="418"/>
        <w:gridCol w:w="83"/>
        <w:gridCol w:w="130"/>
        <w:gridCol w:w="542"/>
        <w:gridCol w:w="165"/>
        <w:gridCol w:w="130"/>
        <w:gridCol w:w="118"/>
        <w:gridCol w:w="506"/>
        <w:gridCol w:w="6"/>
        <w:gridCol w:w="130"/>
        <w:gridCol w:w="119"/>
        <w:gridCol w:w="418"/>
        <w:gridCol w:w="83"/>
        <w:gridCol w:w="130"/>
        <w:gridCol w:w="542"/>
        <w:gridCol w:w="165"/>
        <w:gridCol w:w="130"/>
        <w:gridCol w:w="118"/>
        <w:gridCol w:w="506"/>
        <w:gridCol w:w="6"/>
        <w:gridCol w:w="130"/>
        <w:gridCol w:w="119"/>
        <w:gridCol w:w="418"/>
        <w:gridCol w:w="87"/>
        <w:gridCol w:w="130"/>
        <w:gridCol w:w="542"/>
        <w:gridCol w:w="204"/>
      </w:tblGrid>
      <w:tr w:rsidR="00F925DD" w14:paraId="5556F8C5" w14:textId="77777777">
        <w:tc>
          <w:tcPr>
            <w:tcW w:w="0" w:type="auto"/>
            <w:gridSpan w:val="33"/>
            <w:shd w:val="clear" w:color="auto" w:fill="auto"/>
            <w:vAlign w:val="center"/>
          </w:tcPr>
          <w:p w14:paraId="5556F8C4" w14:textId="77777777" w:rsidR="00F925DD" w:rsidRDefault="00F925DD">
            <w:pPr>
              <w:rPr>
                <w:rFonts w:ascii="Times New Roman" w:hAnsi="Times New Roman"/>
                <w:sz w:val="20"/>
                <w:szCs w:val="20"/>
              </w:rPr>
            </w:pPr>
          </w:p>
        </w:tc>
      </w:tr>
      <w:tr w:rsidR="00F925DD" w14:paraId="5556F8E7" w14:textId="77777777">
        <w:tc>
          <w:tcPr>
            <w:tcW w:w="1300" w:type="pct"/>
            <w:shd w:val="clear" w:color="auto" w:fill="auto"/>
            <w:vAlign w:val="center"/>
          </w:tcPr>
          <w:p w14:paraId="5556F8C6" w14:textId="77777777" w:rsidR="00F925DD" w:rsidRDefault="00F925DD">
            <w:pPr>
              <w:rPr>
                <w:rFonts w:ascii="Times New Roman" w:hAnsi="Times New Roman"/>
                <w:sz w:val="20"/>
                <w:szCs w:val="20"/>
              </w:rPr>
            </w:pPr>
          </w:p>
        </w:tc>
        <w:tc>
          <w:tcPr>
            <w:tcW w:w="50" w:type="pct"/>
            <w:shd w:val="clear" w:color="auto" w:fill="auto"/>
            <w:vAlign w:val="center"/>
          </w:tcPr>
          <w:p w14:paraId="5556F8C7" w14:textId="77777777" w:rsidR="00F925DD" w:rsidRDefault="00F925DD">
            <w:pPr>
              <w:rPr>
                <w:rFonts w:ascii="Times New Roman" w:hAnsi="Times New Roman"/>
                <w:sz w:val="20"/>
                <w:szCs w:val="20"/>
              </w:rPr>
            </w:pPr>
          </w:p>
        </w:tc>
        <w:tc>
          <w:tcPr>
            <w:tcW w:w="300" w:type="pct"/>
            <w:shd w:val="clear" w:color="auto" w:fill="auto"/>
            <w:vAlign w:val="center"/>
          </w:tcPr>
          <w:p w14:paraId="5556F8C8" w14:textId="77777777" w:rsidR="00F925DD" w:rsidRDefault="00F925DD">
            <w:pPr>
              <w:rPr>
                <w:rFonts w:ascii="Times New Roman" w:hAnsi="Times New Roman"/>
                <w:sz w:val="20"/>
                <w:szCs w:val="20"/>
              </w:rPr>
            </w:pPr>
          </w:p>
        </w:tc>
        <w:tc>
          <w:tcPr>
            <w:tcW w:w="50" w:type="pct"/>
            <w:shd w:val="clear" w:color="auto" w:fill="auto"/>
            <w:vAlign w:val="center"/>
          </w:tcPr>
          <w:p w14:paraId="5556F8C9" w14:textId="77777777" w:rsidR="00F925DD" w:rsidRDefault="00F925DD">
            <w:pPr>
              <w:rPr>
                <w:rFonts w:ascii="Times New Roman" w:hAnsi="Times New Roman"/>
                <w:sz w:val="20"/>
                <w:szCs w:val="20"/>
              </w:rPr>
            </w:pPr>
          </w:p>
        </w:tc>
        <w:tc>
          <w:tcPr>
            <w:tcW w:w="50" w:type="pct"/>
            <w:shd w:val="clear" w:color="auto" w:fill="auto"/>
            <w:vAlign w:val="center"/>
          </w:tcPr>
          <w:p w14:paraId="5556F8CA" w14:textId="77777777" w:rsidR="00F925DD" w:rsidRDefault="00F925DD">
            <w:pPr>
              <w:rPr>
                <w:rFonts w:ascii="Times New Roman" w:hAnsi="Times New Roman"/>
                <w:sz w:val="20"/>
                <w:szCs w:val="20"/>
              </w:rPr>
            </w:pPr>
          </w:p>
        </w:tc>
        <w:tc>
          <w:tcPr>
            <w:tcW w:w="50" w:type="pct"/>
            <w:shd w:val="clear" w:color="auto" w:fill="auto"/>
            <w:vAlign w:val="center"/>
          </w:tcPr>
          <w:p w14:paraId="5556F8CB" w14:textId="77777777" w:rsidR="00F925DD" w:rsidRDefault="00F925DD">
            <w:pPr>
              <w:rPr>
                <w:rFonts w:ascii="Times New Roman" w:hAnsi="Times New Roman"/>
                <w:sz w:val="20"/>
                <w:szCs w:val="20"/>
              </w:rPr>
            </w:pPr>
          </w:p>
        </w:tc>
        <w:tc>
          <w:tcPr>
            <w:tcW w:w="250" w:type="pct"/>
            <w:shd w:val="clear" w:color="auto" w:fill="auto"/>
            <w:vAlign w:val="center"/>
          </w:tcPr>
          <w:p w14:paraId="5556F8CC" w14:textId="77777777" w:rsidR="00F925DD" w:rsidRDefault="00F925DD">
            <w:pPr>
              <w:rPr>
                <w:rFonts w:ascii="Times New Roman" w:hAnsi="Times New Roman"/>
                <w:sz w:val="20"/>
                <w:szCs w:val="20"/>
              </w:rPr>
            </w:pPr>
          </w:p>
        </w:tc>
        <w:tc>
          <w:tcPr>
            <w:tcW w:w="50" w:type="pct"/>
            <w:shd w:val="clear" w:color="auto" w:fill="auto"/>
            <w:vAlign w:val="center"/>
          </w:tcPr>
          <w:p w14:paraId="5556F8CD" w14:textId="77777777" w:rsidR="00F925DD" w:rsidRDefault="00F925DD">
            <w:pPr>
              <w:rPr>
                <w:rFonts w:ascii="Times New Roman" w:hAnsi="Times New Roman"/>
                <w:sz w:val="20"/>
                <w:szCs w:val="20"/>
              </w:rPr>
            </w:pPr>
          </w:p>
        </w:tc>
        <w:tc>
          <w:tcPr>
            <w:tcW w:w="50" w:type="pct"/>
            <w:shd w:val="clear" w:color="auto" w:fill="auto"/>
            <w:vAlign w:val="center"/>
          </w:tcPr>
          <w:p w14:paraId="5556F8CE" w14:textId="77777777" w:rsidR="00F925DD" w:rsidRDefault="00F925DD">
            <w:pPr>
              <w:rPr>
                <w:rFonts w:ascii="Times New Roman" w:hAnsi="Times New Roman"/>
                <w:sz w:val="20"/>
                <w:szCs w:val="20"/>
              </w:rPr>
            </w:pPr>
          </w:p>
        </w:tc>
        <w:tc>
          <w:tcPr>
            <w:tcW w:w="300" w:type="pct"/>
            <w:shd w:val="clear" w:color="auto" w:fill="auto"/>
            <w:vAlign w:val="center"/>
          </w:tcPr>
          <w:p w14:paraId="5556F8CF" w14:textId="77777777" w:rsidR="00F925DD" w:rsidRDefault="00F925DD">
            <w:pPr>
              <w:rPr>
                <w:rFonts w:ascii="Times New Roman" w:hAnsi="Times New Roman"/>
                <w:sz w:val="20"/>
                <w:szCs w:val="20"/>
              </w:rPr>
            </w:pPr>
          </w:p>
        </w:tc>
        <w:tc>
          <w:tcPr>
            <w:tcW w:w="50" w:type="pct"/>
            <w:shd w:val="clear" w:color="auto" w:fill="auto"/>
            <w:vAlign w:val="center"/>
          </w:tcPr>
          <w:p w14:paraId="5556F8D0" w14:textId="77777777" w:rsidR="00F925DD" w:rsidRDefault="00F925DD">
            <w:pPr>
              <w:rPr>
                <w:rFonts w:ascii="Times New Roman" w:hAnsi="Times New Roman"/>
                <w:sz w:val="20"/>
                <w:szCs w:val="20"/>
              </w:rPr>
            </w:pPr>
          </w:p>
        </w:tc>
        <w:tc>
          <w:tcPr>
            <w:tcW w:w="50" w:type="pct"/>
            <w:shd w:val="clear" w:color="auto" w:fill="auto"/>
            <w:vAlign w:val="center"/>
          </w:tcPr>
          <w:p w14:paraId="5556F8D1" w14:textId="77777777" w:rsidR="00F925DD" w:rsidRDefault="00F925DD">
            <w:pPr>
              <w:rPr>
                <w:rFonts w:ascii="Times New Roman" w:hAnsi="Times New Roman"/>
                <w:sz w:val="20"/>
                <w:szCs w:val="20"/>
              </w:rPr>
            </w:pPr>
          </w:p>
        </w:tc>
        <w:tc>
          <w:tcPr>
            <w:tcW w:w="50" w:type="pct"/>
            <w:shd w:val="clear" w:color="auto" w:fill="auto"/>
            <w:vAlign w:val="center"/>
          </w:tcPr>
          <w:p w14:paraId="5556F8D2" w14:textId="77777777" w:rsidR="00F925DD" w:rsidRDefault="00F925DD">
            <w:pPr>
              <w:rPr>
                <w:rFonts w:ascii="Times New Roman" w:hAnsi="Times New Roman"/>
                <w:sz w:val="20"/>
                <w:szCs w:val="20"/>
              </w:rPr>
            </w:pPr>
          </w:p>
        </w:tc>
        <w:tc>
          <w:tcPr>
            <w:tcW w:w="300" w:type="pct"/>
            <w:shd w:val="clear" w:color="auto" w:fill="auto"/>
            <w:vAlign w:val="center"/>
          </w:tcPr>
          <w:p w14:paraId="5556F8D3" w14:textId="77777777" w:rsidR="00F925DD" w:rsidRDefault="00F925DD">
            <w:pPr>
              <w:rPr>
                <w:rFonts w:ascii="Times New Roman" w:hAnsi="Times New Roman"/>
                <w:sz w:val="20"/>
                <w:szCs w:val="20"/>
              </w:rPr>
            </w:pPr>
          </w:p>
        </w:tc>
        <w:tc>
          <w:tcPr>
            <w:tcW w:w="50" w:type="pct"/>
            <w:shd w:val="clear" w:color="auto" w:fill="auto"/>
            <w:vAlign w:val="center"/>
          </w:tcPr>
          <w:p w14:paraId="5556F8D4" w14:textId="77777777" w:rsidR="00F925DD" w:rsidRDefault="00F925DD">
            <w:pPr>
              <w:rPr>
                <w:rFonts w:ascii="Times New Roman" w:hAnsi="Times New Roman"/>
                <w:sz w:val="20"/>
                <w:szCs w:val="20"/>
              </w:rPr>
            </w:pPr>
          </w:p>
        </w:tc>
        <w:tc>
          <w:tcPr>
            <w:tcW w:w="50" w:type="pct"/>
            <w:shd w:val="clear" w:color="auto" w:fill="auto"/>
            <w:vAlign w:val="center"/>
          </w:tcPr>
          <w:p w14:paraId="5556F8D5" w14:textId="77777777" w:rsidR="00F925DD" w:rsidRDefault="00F925DD">
            <w:pPr>
              <w:rPr>
                <w:rFonts w:ascii="Times New Roman" w:hAnsi="Times New Roman"/>
                <w:sz w:val="20"/>
                <w:szCs w:val="20"/>
              </w:rPr>
            </w:pPr>
          </w:p>
        </w:tc>
        <w:tc>
          <w:tcPr>
            <w:tcW w:w="50" w:type="pct"/>
            <w:shd w:val="clear" w:color="auto" w:fill="auto"/>
            <w:vAlign w:val="center"/>
          </w:tcPr>
          <w:p w14:paraId="5556F8D6" w14:textId="77777777" w:rsidR="00F925DD" w:rsidRDefault="00F925DD">
            <w:pPr>
              <w:rPr>
                <w:rFonts w:ascii="Times New Roman" w:hAnsi="Times New Roman"/>
                <w:sz w:val="20"/>
                <w:szCs w:val="20"/>
              </w:rPr>
            </w:pPr>
          </w:p>
        </w:tc>
        <w:tc>
          <w:tcPr>
            <w:tcW w:w="250" w:type="pct"/>
            <w:shd w:val="clear" w:color="auto" w:fill="auto"/>
            <w:vAlign w:val="center"/>
          </w:tcPr>
          <w:p w14:paraId="5556F8D7" w14:textId="77777777" w:rsidR="00F925DD" w:rsidRDefault="00F925DD">
            <w:pPr>
              <w:rPr>
                <w:rFonts w:ascii="Times New Roman" w:hAnsi="Times New Roman"/>
                <w:sz w:val="20"/>
                <w:szCs w:val="20"/>
              </w:rPr>
            </w:pPr>
          </w:p>
        </w:tc>
        <w:tc>
          <w:tcPr>
            <w:tcW w:w="50" w:type="pct"/>
            <w:shd w:val="clear" w:color="auto" w:fill="auto"/>
            <w:vAlign w:val="center"/>
          </w:tcPr>
          <w:p w14:paraId="5556F8D8" w14:textId="77777777" w:rsidR="00F925DD" w:rsidRDefault="00F925DD">
            <w:pPr>
              <w:rPr>
                <w:rFonts w:ascii="Times New Roman" w:hAnsi="Times New Roman"/>
                <w:sz w:val="20"/>
                <w:szCs w:val="20"/>
              </w:rPr>
            </w:pPr>
          </w:p>
        </w:tc>
        <w:tc>
          <w:tcPr>
            <w:tcW w:w="50" w:type="pct"/>
            <w:shd w:val="clear" w:color="auto" w:fill="auto"/>
            <w:vAlign w:val="center"/>
          </w:tcPr>
          <w:p w14:paraId="5556F8D9" w14:textId="77777777" w:rsidR="00F925DD" w:rsidRDefault="00F925DD">
            <w:pPr>
              <w:rPr>
                <w:rFonts w:ascii="Times New Roman" w:hAnsi="Times New Roman"/>
                <w:sz w:val="20"/>
                <w:szCs w:val="20"/>
              </w:rPr>
            </w:pPr>
          </w:p>
        </w:tc>
        <w:tc>
          <w:tcPr>
            <w:tcW w:w="300" w:type="pct"/>
            <w:shd w:val="clear" w:color="auto" w:fill="auto"/>
            <w:vAlign w:val="center"/>
          </w:tcPr>
          <w:p w14:paraId="5556F8DA" w14:textId="77777777" w:rsidR="00F925DD" w:rsidRDefault="00F925DD">
            <w:pPr>
              <w:rPr>
                <w:rFonts w:ascii="Times New Roman" w:hAnsi="Times New Roman"/>
                <w:sz w:val="20"/>
                <w:szCs w:val="20"/>
              </w:rPr>
            </w:pPr>
          </w:p>
        </w:tc>
        <w:tc>
          <w:tcPr>
            <w:tcW w:w="50" w:type="pct"/>
            <w:shd w:val="clear" w:color="auto" w:fill="auto"/>
            <w:vAlign w:val="center"/>
          </w:tcPr>
          <w:p w14:paraId="5556F8DB" w14:textId="77777777" w:rsidR="00F925DD" w:rsidRDefault="00F925DD">
            <w:pPr>
              <w:rPr>
                <w:rFonts w:ascii="Times New Roman" w:hAnsi="Times New Roman"/>
                <w:sz w:val="20"/>
                <w:szCs w:val="20"/>
              </w:rPr>
            </w:pPr>
          </w:p>
        </w:tc>
        <w:tc>
          <w:tcPr>
            <w:tcW w:w="50" w:type="pct"/>
            <w:shd w:val="clear" w:color="auto" w:fill="auto"/>
            <w:vAlign w:val="center"/>
          </w:tcPr>
          <w:p w14:paraId="5556F8DC" w14:textId="77777777" w:rsidR="00F925DD" w:rsidRDefault="00F925DD">
            <w:pPr>
              <w:rPr>
                <w:rFonts w:ascii="Times New Roman" w:hAnsi="Times New Roman"/>
                <w:sz w:val="20"/>
                <w:szCs w:val="20"/>
              </w:rPr>
            </w:pPr>
          </w:p>
        </w:tc>
        <w:tc>
          <w:tcPr>
            <w:tcW w:w="50" w:type="pct"/>
            <w:shd w:val="clear" w:color="auto" w:fill="auto"/>
            <w:vAlign w:val="center"/>
          </w:tcPr>
          <w:p w14:paraId="5556F8DD" w14:textId="77777777" w:rsidR="00F925DD" w:rsidRDefault="00F925DD">
            <w:pPr>
              <w:rPr>
                <w:rFonts w:ascii="Times New Roman" w:hAnsi="Times New Roman"/>
                <w:sz w:val="20"/>
                <w:szCs w:val="20"/>
              </w:rPr>
            </w:pPr>
          </w:p>
        </w:tc>
        <w:tc>
          <w:tcPr>
            <w:tcW w:w="300" w:type="pct"/>
            <w:shd w:val="clear" w:color="auto" w:fill="auto"/>
            <w:vAlign w:val="center"/>
          </w:tcPr>
          <w:p w14:paraId="5556F8DE" w14:textId="77777777" w:rsidR="00F925DD" w:rsidRDefault="00F925DD">
            <w:pPr>
              <w:rPr>
                <w:rFonts w:ascii="Times New Roman" w:hAnsi="Times New Roman"/>
                <w:sz w:val="20"/>
                <w:szCs w:val="20"/>
              </w:rPr>
            </w:pPr>
          </w:p>
        </w:tc>
        <w:tc>
          <w:tcPr>
            <w:tcW w:w="50" w:type="pct"/>
            <w:shd w:val="clear" w:color="auto" w:fill="auto"/>
            <w:vAlign w:val="center"/>
          </w:tcPr>
          <w:p w14:paraId="5556F8DF" w14:textId="77777777" w:rsidR="00F925DD" w:rsidRDefault="00F925DD">
            <w:pPr>
              <w:rPr>
                <w:rFonts w:ascii="Times New Roman" w:hAnsi="Times New Roman"/>
                <w:sz w:val="20"/>
                <w:szCs w:val="20"/>
              </w:rPr>
            </w:pPr>
          </w:p>
        </w:tc>
        <w:tc>
          <w:tcPr>
            <w:tcW w:w="50" w:type="pct"/>
            <w:shd w:val="clear" w:color="auto" w:fill="auto"/>
            <w:vAlign w:val="center"/>
          </w:tcPr>
          <w:p w14:paraId="5556F8E0" w14:textId="77777777" w:rsidR="00F925DD" w:rsidRDefault="00F925DD">
            <w:pPr>
              <w:rPr>
                <w:rFonts w:ascii="Times New Roman" w:hAnsi="Times New Roman"/>
                <w:sz w:val="20"/>
                <w:szCs w:val="20"/>
              </w:rPr>
            </w:pPr>
          </w:p>
        </w:tc>
        <w:tc>
          <w:tcPr>
            <w:tcW w:w="50" w:type="pct"/>
            <w:shd w:val="clear" w:color="auto" w:fill="auto"/>
            <w:vAlign w:val="center"/>
          </w:tcPr>
          <w:p w14:paraId="5556F8E1" w14:textId="77777777" w:rsidR="00F925DD" w:rsidRDefault="00F925DD">
            <w:pPr>
              <w:rPr>
                <w:rFonts w:ascii="Times New Roman" w:hAnsi="Times New Roman"/>
                <w:sz w:val="20"/>
                <w:szCs w:val="20"/>
              </w:rPr>
            </w:pPr>
          </w:p>
        </w:tc>
        <w:tc>
          <w:tcPr>
            <w:tcW w:w="250" w:type="pct"/>
            <w:shd w:val="clear" w:color="auto" w:fill="auto"/>
            <w:vAlign w:val="center"/>
          </w:tcPr>
          <w:p w14:paraId="5556F8E2" w14:textId="77777777" w:rsidR="00F925DD" w:rsidRDefault="00F925DD">
            <w:pPr>
              <w:rPr>
                <w:rFonts w:ascii="Times New Roman" w:hAnsi="Times New Roman"/>
                <w:sz w:val="20"/>
                <w:szCs w:val="20"/>
              </w:rPr>
            </w:pPr>
          </w:p>
        </w:tc>
        <w:tc>
          <w:tcPr>
            <w:tcW w:w="50" w:type="pct"/>
            <w:shd w:val="clear" w:color="auto" w:fill="auto"/>
            <w:vAlign w:val="center"/>
          </w:tcPr>
          <w:p w14:paraId="5556F8E3" w14:textId="77777777" w:rsidR="00F925DD" w:rsidRDefault="00F925DD">
            <w:pPr>
              <w:rPr>
                <w:rFonts w:ascii="Times New Roman" w:hAnsi="Times New Roman"/>
                <w:sz w:val="20"/>
                <w:szCs w:val="20"/>
              </w:rPr>
            </w:pPr>
          </w:p>
        </w:tc>
        <w:tc>
          <w:tcPr>
            <w:tcW w:w="50" w:type="pct"/>
            <w:shd w:val="clear" w:color="auto" w:fill="auto"/>
            <w:vAlign w:val="center"/>
          </w:tcPr>
          <w:p w14:paraId="5556F8E4" w14:textId="77777777" w:rsidR="00F925DD" w:rsidRDefault="00F925DD">
            <w:pPr>
              <w:rPr>
                <w:rFonts w:ascii="Times New Roman" w:hAnsi="Times New Roman"/>
                <w:sz w:val="20"/>
                <w:szCs w:val="20"/>
              </w:rPr>
            </w:pPr>
          </w:p>
        </w:tc>
        <w:tc>
          <w:tcPr>
            <w:tcW w:w="300" w:type="pct"/>
            <w:shd w:val="clear" w:color="auto" w:fill="auto"/>
            <w:vAlign w:val="center"/>
          </w:tcPr>
          <w:p w14:paraId="5556F8E5" w14:textId="77777777" w:rsidR="00F925DD" w:rsidRDefault="00F925DD">
            <w:pPr>
              <w:rPr>
                <w:rFonts w:ascii="Times New Roman" w:hAnsi="Times New Roman"/>
                <w:sz w:val="20"/>
                <w:szCs w:val="20"/>
              </w:rPr>
            </w:pPr>
          </w:p>
        </w:tc>
        <w:tc>
          <w:tcPr>
            <w:tcW w:w="50" w:type="pct"/>
            <w:shd w:val="clear" w:color="auto" w:fill="auto"/>
            <w:vAlign w:val="center"/>
          </w:tcPr>
          <w:p w14:paraId="5556F8E6" w14:textId="77777777" w:rsidR="00F925DD" w:rsidRDefault="00F925DD">
            <w:pPr>
              <w:rPr>
                <w:rFonts w:ascii="Times New Roman" w:hAnsi="Times New Roman"/>
                <w:sz w:val="20"/>
                <w:szCs w:val="20"/>
              </w:rPr>
            </w:pPr>
          </w:p>
        </w:tc>
      </w:tr>
      <w:tr w:rsidR="00F925DD" w14:paraId="5556F8EA" w14:textId="77777777">
        <w:tc>
          <w:tcPr>
            <w:tcW w:w="0" w:type="auto"/>
            <w:shd w:val="clear" w:color="auto" w:fill="auto"/>
            <w:tcMar>
              <w:top w:w="40" w:type="dxa"/>
              <w:left w:w="40" w:type="dxa"/>
              <w:bottom w:w="40" w:type="dxa"/>
              <w:right w:w="40" w:type="dxa"/>
            </w:tcMar>
            <w:vAlign w:val="bottom"/>
          </w:tcPr>
          <w:p w14:paraId="5556F8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2"/>
            <w:shd w:val="clear" w:color="auto" w:fill="auto"/>
            <w:tcMar>
              <w:top w:w="40" w:type="dxa"/>
              <w:left w:w="40" w:type="dxa"/>
              <w:bottom w:w="40" w:type="dxa"/>
            </w:tcMar>
            <w:vAlign w:val="bottom"/>
          </w:tcPr>
          <w:p w14:paraId="5556F8E9"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Years Ended December 31,</w:t>
            </w:r>
          </w:p>
        </w:tc>
      </w:tr>
      <w:tr w:rsidR="00F925DD" w14:paraId="5556F8F1" w14:textId="77777777">
        <w:tc>
          <w:tcPr>
            <w:tcW w:w="0" w:type="auto"/>
            <w:shd w:val="clear" w:color="auto" w:fill="auto"/>
            <w:tcMar>
              <w:top w:w="40" w:type="dxa"/>
              <w:left w:w="40" w:type="dxa"/>
              <w:bottom w:w="40" w:type="dxa"/>
              <w:right w:w="40" w:type="dxa"/>
            </w:tcMar>
            <w:vAlign w:val="bottom"/>
          </w:tcPr>
          <w:p w14:paraId="5556F8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bottom w:val="single" w:sz="8" w:space="0" w:color="000000"/>
            </w:tcBorders>
            <w:shd w:val="clear" w:color="auto" w:fill="auto"/>
            <w:tcMar>
              <w:top w:w="40" w:type="dxa"/>
              <w:left w:w="40" w:type="dxa"/>
              <w:bottom w:w="40" w:type="dxa"/>
            </w:tcMar>
            <w:vAlign w:val="bottom"/>
          </w:tcPr>
          <w:p w14:paraId="5556F8EC"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8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bottom w:val="single" w:sz="8" w:space="0" w:color="000000"/>
            </w:tcBorders>
            <w:shd w:val="clear" w:color="auto" w:fill="auto"/>
            <w:tcMar>
              <w:top w:w="40" w:type="dxa"/>
              <w:left w:w="40" w:type="dxa"/>
              <w:bottom w:w="40" w:type="dxa"/>
            </w:tcMar>
            <w:vAlign w:val="bottom"/>
          </w:tcPr>
          <w:p w14:paraId="5556F8EE"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5556F8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top w:val="single" w:sz="8" w:space="0" w:color="000000"/>
              <w:bottom w:val="single" w:sz="8" w:space="0" w:color="000000"/>
            </w:tcBorders>
            <w:shd w:val="clear" w:color="auto" w:fill="auto"/>
            <w:tcMar>
              <w:top w:w="40" w:type="dxa"/>
              <w:left w:w="40" w:type="dxa"/>
              <w:bottom w:w="40" w:type="dxa"/>
            </w:tcMar>
            <w:vAlign w:val="bottom"/>
          </w:tcPr>
          <w:p w14:paraId="5556F8F0" w14:textId="77777777" w:rsidR="00F925DD" w:rsidRDefault="00E705D7">
            <w:pPr>
              <w:jc w:val="center"/>
              <w:textAlignment w:val="bottom"/>
              <w:rPr>
                <w:rFonts w:ascii="Times New Roman" w:hAnsi="Times New Roman"/>
                <w:sz w:val="13"/>
                <w:szCs w:val="13"/>
              </w:rPr>
            </w:pPr>
            <w:r>
              <w:rPr>
                <w:rFonts w:ascii="Arial" w:eastAsia="宋体" w:hAnsi="Arial" w:cs="Arial"/>
                <w:b/>
                <w:bCs/>
                <w:sz w:val="13"/>
                <w:szCs w:val="13"/>
              </w:rPr>
              <w:t>2017</w:t>
            </w:r>
          </w:p>
        </w:tc>
      </w:tr>
      <w:tr w:rsidR="00F925DD" w14:paraId="5556F90A" w14:textId="77777777">
        <w:tc>
          <w:tcPr>
            <w:tcW w:w="0" w:type="auto"/>
            <w:shd w:val="clear" w:color="auto" w:fill="auto"/>
            <w:tcMar>
              <w:top w:w="40" w:type="dxa"/>
              <w:left w:w="40" w:type="dxa"/>
              <w:bottom w:w="40" w:type="dxa"/>
              <w:right w:w="40" w:type="dxa"/>
            </w:tcMar>
            <w:vAlign w:val="bottom"/>
          </w:tcPr>
          <w:p w14:paraId="5556F8F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(Dollars in millions; fully</w:t>
            </w:r>
            <w:r>
              <w:rPr>
                <w:rFonts w:ascii="Arial" w:eastAsia="宋体" w:hAnsi="Arial" w:cs="Arial"/>
                <w:b/>
                <w:bCs/>
                <w:sz w:val="14"/>
                <w:szCs w:val="14"/>
              </w:rPr>
              <w:br/>
              <w:t>taxable-equivalent basis)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8F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Average</w:t>
            </w:r>
          </w:p>
          <w:p w14:paraId="5556F8F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Balance</w:t>
            </w:r>
          </w:p>
        </w:tc>
        <w:tc>
          <w:tcPr>
            <w:tcW w:w="0" w:type="auto"/>
            <w:shd w:val="clear" w:color="auto" w:fill="auto"/>
            <w:tcMar>
              <w:top w:w="40" w:type="dxa"/>
              <w:left w:w="40" w:type="dxa"/>
              <w:bottom w:w="40" w:type="dxa"/>
              <w:right w:w="40" w:type="dxa"/>
            </w:tcMar>
            <w:vAlign w:val="bottom"/>
          </w:tcPr>
          <w:p w14:paraId="5556F8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8F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Interest</w:t>
            </w:r>
          </w:p>
        </w:tc>
        <w:tc>
          <w:tcPr>
            <w:tcW w:w="0" w:type="auto"/>
            <w:shd w:val="clear" w:color="auto" w:fill="auto"/>
            <w:tcMar>
              <w:top w:w="40" w:type="dxa"/>
              <w:left w:w="40" w:type="dxa"/>
              <w:bottom w:w="40" w:type="dxa"/>
              <w:right w:w="40" w:type="dxa"/>
            </w:tcMar>
            <w:vAlign w:val="bottom"/>
          </w:tcPr>
          <w:p w14:paraId="5556F8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F8F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Average</w:t>
            </w:r>
          </w:p>
          <w:p w14:paraId="5556F8F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Rate</w:t>
            </w:r>
          </w:p>
        </w:tc>
        <w:tc>
          <w:tcPr>
            <w:tcW w:w="0" w:type="auto"/>
            <w:shd w:val="clear" w:color="auto" w:fill="auto"/>
            <w:tcMar>
              <w:top w:w="40" w:type="dxa"/>
              <w:left w:w="40" w:type="dxa"/>
              <w:bottom w:w="40" w:type="dxa"/>
              <w:right w:w="40" w:type="dxa"/>
            </w:tcMar>
            <w:vAlign w:val="bottom"/>
          </w:tcPr>
          <w:p w14:paraId="5556F8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8F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Average</w:t>
            </w:r>
          </w:p>
          <w:p w14:paraId="5556F8F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Balance</w:t>
            </w:r>
          </w:p>
        </w:tc>
        <w:tc>
          <w:tcPr>
            <w:tcW w:w="0" w:type="auto"/>
            <w:shd w:val="clear" w:color="auto" w:fill="auto"/>
            <w:tcMar>
              <w:top w:w="40" w:type="dxa"/>
              <w:left w:w="40" w:type="dxa"/>
              <w:bottom w:w="40" w:type="dxa"/>
              <w:right w:w="40" w:type="dxa"/>
            </w:tcMar>
            <w:vAlign w:val="bottom"/>
          </w:tcPr>
          <w:p w14:paraId="5556F8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8F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Interest</w:t>
            </w:r>
          </w:p>
        </w:tc>
        <w:tc>
          <w:tcPr>
            <w:tcW w:w="0" w:type="auto"/>
            <w:shd w:val="clear" w:color="auto" w:fill="auto"/>
            <w:tcMar>
              <w:top w:w="40" w:type="dxa"/>
              <w:left w:w="40" w:type="dxa"/>
              <w:bottom w:w="40" w:type="dxa"/>
              <w:right w:w="40" w:type="dxa"/>
            </w:tcMar>
            <w:vAlign w:val="bottom"/>
          </w:tcPr>
          <w:p w14:paraId="5556F8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F90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Average</w:t>
            </w:r>
          </w:p>
          <w:p w14:paraId="5556F901"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Rate</w:t>
            </w:r>
          </w:p>
        </w:tc>
        <w:tc>
          <w:tcPr>
            <w:tcW w:w="0" w:type="auto"/>
            <w:shd w:val="clear" w:color="auto" w:fill="auto"/>
            <w:tcMar>
              <w:top w:w="40" w:type="dxa"/>
              <w:left w:w="40" w:type="dxa"/>
              <w:bottom w:w="40" w:type="dxa"/>
              <w:right w:w="40" w:type="dxa"/>
            </w:tcMar>
            <w:vAlign w:val="bottom"/>
          </w:tcPr>
          <w:p w14:paraId="5556F9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903"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Average</w:t>
            </w:r>
          </w:p>
          <w:p w14:paraId="5556F90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Balance</w:t>
            </w:r>
          </w:p>
        </w:tc>
        <w:tc>
          <w:tcPr>
            <w:tcW w:w="0" w:type="auto"/>
            <w:shd w:val="clear" w:color="auto" w:fill="auto"/>
            <w:tcMar>
              <w:top w:w="40" w:type="dxa"/>
              <w:left w:w="40" w:type="dxa"/>
              <w:bottom w:w="40" w:type="dxa"/>
              <w:right w:w="40" w:type="dxa"/>
            </w:tcMar>
            <w:vAlign w:val="bottom"/>
          </w:tcPr>
          <w:p w14:paraId="5556F9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90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Interest</w:t>
            </w:r>
          </w:p>
        </w:tc>
        <w:tc>
          <w:tcPr>
            <w:tcW w:w="0" w:type="auto"/>
            <w:shd w:val="clear" w:color="auto" w:fill="auto"/>
            <w:tcMar>
              <w:top w:w="40" w:type="dxa"/>
              <w:left w:w="40" w:type="dxa"/>
              <w:bottom w:w="40" w:type="dxa"/>
              <w:right w:w="40" w:type="dxa"/>
            </w:tcMar>
            <w:vAlign w:val="bottom"/>
          </w:tcPr>
          <w:p w14:paraId="5556F9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6F90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Average</w:t>
            </w:r>
          </w:p>
          <w:p w14:paraId="5556F90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Rate</w:t>
            </w:r>
          </w:p>
        </w:tc>
      </w:tr>
      <w:tr w:rsidR="00F925DD" w14:paraId="5556F91D" w14:textId="77777777">
        <w:tc>
          <w:tcPr>
            <w:tcW w:w="0" w:type="auto"/>
            <w:shd w:val="clear" w:color="auto" w:fill="auto"/>
            <w:tcMar>
              <w:top w:w="40" w:type="dxa"/>
              <w:left w:w="40" w:type="dxa"/>
              <w:bottom w:w="40" w:type="dxa"/>
              <w:right w:w="40" w:type="dxa"/>
            </w:tcMar>
            <w:vAlign w:val="bottom"/>
          </w:tcPr>
          <w:p w14:paraId="5556F90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Assets:</w:t>
            </w:r>
          </w:p>
        </w:tc>
        <w:tc>
          <w:tcPr>
            <w:tcW w:w="0" w:type="auto"/>
            <w:gridSpan w:val="3"/>
            <w:shd w:val="clear" w:color="auto" w:fill="auto"/>
            <w:tcMar>
              <w:top w:w="40" w:type="dxa"/>
              <w:left w:w="40" w:type="dxa"/>
              <w:bottom w:w="40" w:type="dxa"/>
              <w:right w:w="40" w:type="dxa"/>
            </w:tcMar>
            <w:vAlign w:val="bottom"/>
          </w:tcPr>
          <w:p w14:paraId="5556F9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9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9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9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9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9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9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9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9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9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9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9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9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9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9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9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9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F93F" w14:textId="77777777">
        <w:tc>
          <w:tcPr>
            <w:tcW w:w="0" w:type="auto"/>
            <w:shd w:val="clear" w:color="auto" w:fill="CCEEFF"/>
            <w:tcMar>
              <w:top w:w="40" w:type="dxa"/>
              <w:left w:w="40" w:type="dxa"/>
              <w:bottom w:w="40" w:type="dxa"/>
              <w:right w:w="40" w:type="dxa"/>
            </w:tcMar>
            <w:vAlign w:val="bottom"/>
          </w:tcPr>
          <w:p w14:paraId="5556F91E"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Interest-bearing deposits with U.S. banks</w:t>
            </w:r>
          </w:p>
        </w:tc>
        <w:tc>
          <w:tcPr>
            <w:tcW w:w="0" w:type="auto"/>
            <w:shd w:val="clear" w:color="auto" w:fill="CCEEFF"/>
            <w:tcMar>
              <w:top w:w="40" w:type="dxa"/>
              <w:left w:w="40" w:type="dxa"/>
              <w:bottom w:w="40" w:type="dxa"/>
            </w:tcMar>
            <w:vAlign w:val="bottom"/>
          </w:tcPr>
          <w:p w14:paraId="5556F91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F92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16,815</w:t>
            </w:r>
          </w:p>
        </w:tc>
        <w:tc>
          <w:tcPr>
            <w:tcW w:w="0" w:type="auto"/>
            <w:shd w:val="clear" w:color="auto" w:fill="CCEEFF"/>
            <w:vAlign w:val="bottom"/>
          </w:tcPr>
          <w:p w14:paraId="5556F9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2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F92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360</w:t>
            </w:r>
          </w:p>
        </w:tc>
        <w:tc>
          <w:tcPr>
            <w:tcW w:w="0" w:type="auto"/>
            <w:shd w:val="clear" w:color="auto" w:fill="CCEEFF"/>
            <w:vAlign w:val="bottom"/>
          </w:tcPr>
          <w:p w14:paraId="5556F9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2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2.14</w:t>
            </w:r>
          </w:p>
        </w:tc>
        <w:tc>
          <w:tcPr>
            <w:tcW w:w="0" w:type="auto"/>
            <w:shd w:val="clear" w:color="auto" w:fill="CCEEFF"/>
            <w:tcMar>
              <w:top w:w="40" w:type="dxa"/>
              <w:bottom w:w="40" w:type="dxa"/>
              <w:right w:w="40" w:type="dxa"/>
            </w:tcMar>
            <w:vAlign w:val="bottom"/>
          </w:tcPr>
          <w:p w14:paraId="5556F92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9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2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92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18,081</w:t>
            </w:r>
          </w:p>
        </w:tc>
        <w:tc>
          <w:tcPr>
            <w:tcW w:w="0" w:type="auto"/>
            <w:shd w:val="clear" w:color="auto" w:fill="CCEEFF"/>
            <w:vAlign w:val="bottom"/>
          </w:tcPr>
          <w:p w14:paraId="5556F92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2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92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345</w:t>
            </w:r>
          </w:p>
        </w:tc>
        <w:tc>
          <w:tcPr>
            <w:tcW w:w="0" w:type="auto"/>
            <w:shd w:val="clear" w:color="auto" w:fill="CCEEFF"/>
            <w:vAlign w:val="bottom"/>
          </w:tcPr>
          <w:p w14:paraId="5556F93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3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1.91</w:t>
            </w:r>
          </w:p>
        </w:tc>
        <w:tc>
          <w:tcPr>
            <w:tcW w:w="0" w:type="auto"/>
            <w:shd w:val="clear" w:color="auto" w:fill="CCEEFF"/>
            <w:tcMar>
              <w:top w:w="40" w:type="dxa"/>
              <w:bottom w:w="40" w:type="dxa"/>
              <w:right w:w="40" w:type="dxa"/>
            </w:tcMar>
            <w:vAlign w:val="bottom"/>
          </w:tcPr>
          <w:p w14:paraId="5556F93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9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3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93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16,790</w:t>
            </w:r>
          </w:p>
        </w:tc>
        <w:tc>
          <w:tcPr>
            <w:tcW w:w="0" w:type="auto"/>
            <w:shd w:val="clear" w:color="auto" w:fill="CCEEFF"/>
            <w:vAlign w:val="bottom"/>
          </w:tcPr>
          <w:p w14:paraId="5556F93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3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93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184</w:t>
            </w:r>
          </w:p>
        </w:tc>
        <w:tc>
          <w:tcPr>
            <w:tcW w:w="0" w:type="auto"/>
            <w:shd w:val="clear" w:color="auto" w:fill="CCEEFF"/>
            <w:vAlign w:val="bottom"/>
          </w:tcPr>
          <w:p w14:paraId="5556F9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3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1.10</w:t>
            </w:r>
          </w:p>
        </w:tc>
        <w:tc>
          <w:tcPr>
            <w:tcW w:w="0" w:type="auto"/>
            <w:shd w:val="clear" w:color="auto" w:fill="CCEEFF"/>
            <w:tcMar>
              <w:top w:w="40" w:type="dxa"/>
              <w:bottom w:w="40" w:type="dxa"/>
              <w:right w:w="40" w:type="dxa"/>
            </w:tcMar>
            <w:vAlign w:val="bottom"/>
          </w:tcPr>
          <w:p w14:paraId="5556F93E"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r>
      <w:tr w:rsidR="00F925DD" w14:paraId="5556F95B" w14:textId="77777777">
        <w:tc>
          <w:tcPr>
            <w:tcW w:w="0" w:type="auto"/>
            <w:shd w:val="clear" w:color="auto" w:fill="auto"/>
            <w:tcMar>
              <w:top w:w="40" w:type="dxa"/>
              <w:left w:w="40" w:type="dxa"/>
              <w:bottom w:w="40" w:type="dxa"/>
              <w:right w:w="40" w:type="dxa"/>
            </w:tcMar>
            <w:vAlign w:val="bottom"/>
          </w:tcPr>
          <w:p w14:paraId="5556F940"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Interest-bearing deposits with non-U.S. banks</w:t>
            </w:r>
          </w:p>
        </w:tc>
        <w:tc>
          <w:tcPr>
            <w:tcW w:w="0" w:type="auto"/>
            <w:gridSpan w:val="2"/>
            <w:shd w:val="clear" w:color="auto" w:fill="auto"/>
            <w:tcMar>
              <w:top w:w="40" w:type="dxa"/>
              <w:left w:w="40" w:type="dxa"/>
              <w:bottom w:w="40" w:type="dxa"/>
            </w:tcMar>
            <w:vAlign w:val="bottom"/>
          </w:tcPr>
          <w:p w14:paraId="5556F94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31,685</w:t>
            </w:r>
          </w:p>
        </w:tc>
        <w:tc>
          <w:tcPr>
            <w:tcW w:w="0" w:type="auto"/>
            <w:shd w:val="clear" w:color="auto" w:fill="auto"/>
            <w:vAlign w:val="bottom"/>
          </w:tcPr>
          <w:p w14:paraId="5556F9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4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56</w:t>
            </w:r>
          </w:p>
        </w:tc>
        <w:tc>
          <w:tcPr>
            <w:tcW w:w="0" w:type="auto"/>
            <w:shd w:val="clear" w:color="auto" w:fill="auto"/>
            <w:vAlign w:val="bottom"/>
          </w:tcPr>
          <w:p w14:paraId="5556F9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4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w:t>
            </w:r>
          </w:p>
        </w:tc>
        <w:tc>
          <w:tcPr>
            <w:tcW w:w="0" w:type="auto"/>
            <w:shd w:val="clear" w:color="auto" w:fill="auto"/>
            <w:vAlign w:val="bottom"/>
          </w:tcPr>
          <w:p w14:paraId="5556F9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4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36,247</w:t>
            </w:r>
          </w:p>
        </w:tc>
        <w:tc>
          <w:tcPr>
            <w:tcW w:w="0" w:type="auto"/>
            <w:shd w:val="clear" w:color="auto" w:fill="auto"/>
            <w:vAlign w:val="bottom"/>
          </w:tcPr>
          <w:p w14:paraId="5556F9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4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w:t>
            </w:r>
          </w:p>
        </w:tc>
        <w:tc>
          <w:tcPr>
            <w:tcW w:w="0" w:type="auto"/>
            <w:shd w:val="clear" w:color="auto" w:fill="auto"/>
            <w:vAlign w:val="bottom"/>
          </w:tcPr>
          <w:p w14:paraId="5556F9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5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w:t>
            </w:r>
          </w:p>
        </w:tc>
        <w:tc>
          <w:tcPr>
            <w:tcW w:w="0" w:type="auto"/>
            <w:shd w:val="clear" w:color="auto" w:fill="auto"/>
            <w:vAlign w:val="bottom"/>
          </w:tcPr>
          <w:p w14:paraId="5556F9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5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30,724</w:t>
            </w:r>
          </w:p>
        </w:tc>
        <w:tc>
          <w:tcPr>
            <w:tcW w:w="0" w:type="auto"/>
            <w:shd w:val="clear" w:color="auto" w:fill="auto"/>
            <w:vAlign w:val="bottom"/>
          </w:tcPr>
          <w:p w14:paraId="5556F95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5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w:t>
            </w:r>
          </w:p>
        </w:tc>
        <w:tc>
          <w:tcPr>
            <w:tcW w:w="0" w:type="auto"/>
            <w:shd w:val="clear" w:color="auto" w:fill="auto"/>
            <w:tcMar>
              <w:top w:w="40" w:type="dxa"/>
              <w:bottom w:w="40" w:type="dxa"/>
              <w:right w:w="40" w:type="dxa"/>
            </w:tcMar>
            <w:vAlign w:val="bottom"/>
          </w:tcPr>
          <w:p w14:paraId="5556F95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9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5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(.01</w:t>
            </w:r>
          </w:p>
        </w:tc>
        <w:tc>
          <w:tcPr>
            <w:tcW w:w="0" w:type="auto"/>
            <w:shd w:val="clear" w:color="auto" w:fill="auto"/>
            <w:tcMar>
              <w:top w:w="40" w:type="dxa"/>
              <w:bottom w:w="40" w:type="dxa"/>
              <w:right w:w="40" w:type="dxa"/>
            </w:tcMar>
            <w:vAlign w:val="bottom"/>
          </w:tcPr>
          <w:p w14:paraId="5556F95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E705D7" w14:paraId="5556F977" w14:textId="77777777">
        <w:tc>
          <w:tcPr>
            <w:tcW w:w="0" w:type="auto"/>
            <w:shd w:val="clear" w:color="auto" w:fill="CCEEFF"/>
            <w:tcMar>
              <w:top w:w="40" w:type="dxa"/>
              <w:left w:w="40" w:type="dxa"/>
              <w:bottom w:w="40" w:type="dxa"/>
              <w:right w:w="40" w:type="dxa"/>
            </w:tcMar>
            <w:vAlign w:val="bottom"/>
          </w:tcPr>
          <w:p w14:paraId="5556F95C"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purchased under resale agreements</w:t>
            </w:r>
          </w:p>
        </w:tc>
        <w:tc>
          <w:tcPr>
            <w:tcW w:w="0" w:type="auto"/>
            <w:gridSpan w:val="2"/>
            <w:shd w:val="clear" w:color="auto" w:fill="CCEEFF"/>
            <w:tcMar>
              <w:top w:w="40" w:type="dxa"/>
              <w:left w:w="40" w:type="dxa"/>
              <w:bottom w:w="40" w:type="dxa"/>
            </w:tcMar>
            <w:vAlign w:val="bottom"/>
          </w:tcPr>
          <w:p w14:paraId="5556F95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2,506</w:t>
            </w:r>
          </w:p>
        </w:tc>
        <w:tc>
          <w:tcPr>
            <w:tcW w:w="0" w:type="auto"/>
            <w:shd w:val="clear" w:color="auto" w:fill="CCEEFF"/>
            <w:vAlign w:val="bottom"/>
          </w:tcPr>
          <w:p w14:paraId="5556F9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6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364</w:t>
            </w:r>
          </w:p>
        </w:tc>
        <w:tc>
          <w:tcPr>
            <w:tcW w:w="0" w:type="auto"/>
            <w:shd w:val="clear" w:color="auto" w:fill="CCEEFF"/>
            <w:vAlign w:val="bottom"/>
          </w:tcPr>
          <w:p w14:paraId="5556F9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6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14.54</w:t>
            </w:r>
          </w:p>
        </w:tc>
        <w:tc>
          <w:tcPr>
            <w:tcW w:w="0" w:type="auto"/>
            <w:shd w:val="clear" w:color="auto" w:fill="CCEEFF"/>
            <w:vAlign w:val="bottom"/>
          </w:tcPr>
          <w:p w14:paraId="5556F9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2,901</w:t>
            </w:r>
          </w:p>
        </w:tc>
        <w:tc>
          <w:tcPr>
            <w:tcW w:w="0" w:type="auto"/>
            <w:shd w:val="clear" w:color="auto" w:fill="CCEEFF"/>
            <w:vAlign w:val="bottom"/>
          </w:tcPr>
          <w:p w14:paraId="5556F96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6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335</w:t>
            </w:r>
          </w:p>
        </w:tc>
        <w:tc>
          <w:tcPr>
            <w:tcW w:w="0" w:type="auto"/>
            <w:shd w:val="clear" w:color="auto" w:fill="CCEEFF"/>
            <w:vAlign w:val="bottom"/>
          </w:tcPr>
          <w:p w14:paraId="5556F96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6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11.55</w:t>
            </w:r>
          </w:p>
        </w:tc>
        <w:tc>
          <w:tcPr>
            <w:tcW w:w="0" w:type="auto"/>
            <w:shd w:val="clear" w:color="auto" w:fill="CCEEFF"/>
            <w:vAlign w:val="bottom"/>
          </w:tcPr>
          <w:p w14:paraId="5556F96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6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2,131</w:t>
            </w:r>
          </w:p>
        </w:tc>
        <w:tc>
          <w:tcPr>
            <w:tcW w:w="0" w:type="auto"/>
            <w:shd w:val="clear" w:color="auto" w:fill="CCEEFF"/>
            <w:vAlign w:val="bottom"/>
          </w:tcPr>
          <w:p w14:paraId="5556F97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7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264</w:t>
            </w:r>
          </w:p>
        </w:tc>
        <w:tc>
          <w:tcPr>
            <w:tcW w:w="0" w:type="auto"/>
            <w:shd w:val="clear" w:color="auto" w:fill="CCEEFF"/>
            <w:vAlign w:val="bottom"/>
          </w:tcPr>
          <w:p w14:paraId="5556F9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7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12.38</w:t>
            </w:r>
          </w:p>
        </w:tc>
        <w:tc>
          <w:tcPr>
            <w:tcW w:w="0" w:type="auto"/>
            <w:shd w:val="clear" w:color="auto" w:fill="CCEEFF"/>
            <w:vAlign w:val="bottom"/>
          </w:tcPr>
          <w:p w14:paraId="5556F976" w14:textId="77777777" w:rsidR="00F925DD" w:rsidRDefault="00F925DD">
            <w:pPr>
              <w:textAlignment w:val="bottom"/>
              <w:rPr>
                <w:rFonts w:ascii="Times New Roman" w:hAnsi="Times New Roman"/>
                <w:sz w:val="20"/>
                <w:szCs w:val="20"/>
              </w:rPr>
            </w:pPr>
          </w:p>
        </w:tc>
      </w:tr>
      <w:tr w:rsidR="00F925DD" w14:paraId="5556F993" w14:textId="77777777">
        <w:tc>
          <w:tcPr>
            <w:tcW w:w="0" w:type="auto"/>
            <w:shd w:val="clear" w:color="auto" w:fill="auto"/>
            <w:tcMar>
              <w:top w:w="40" w:type="dxa"/>
              <w:left w:w="40" w:type="dxa"/>
              <w:bottom w:w="40" w:type="dxa"/>
              <w:right w:w="40" w:type="dxa"/>
            </w:tcMar>
            <w:vAlign w:val="bottom"/>
          </w:tcPr>
          <w:p w14:paraId="5556F978" w14:textId="77777777" w:rsidR="00F925DD" w:rsidRDefault="00E705D7">
            <w:pPr>
              <w:textAlignment w:val="bottom"/>
              <w:rPr>
                <w:rFonts w:ascii="Times New Roman" w:hAnsi="Times New Roman"/>
                <w:sz w:val="14"/>
                <w:szCs w:val="14"/>
              </w:rPr>
            </w:pPr>
            <w:r>
              <w:rPr>
                <w:rFonts w:ascii="Arial" w:eastAsia="宋体" w:hAnsi="Arial" w:cs="Arial"/>
                <w:sz w:val="14"/>
                <w:szCs w:val="14"/>
              </w:rPr>
              <w:t>Trading account assets</w:t>
            </w:r>
          </w:p>
        </w:tc>
        <w:tc>
          <w:tcPr>
            <w:tcW w:w="0" w:type="auto"/>
            <w:gridSpan w:val="2"/>
            <w:shd w:val="clear" w:color="auto" w:fill="auto"/>
            <w:tcMar>
              <w:top w:w="40" w:type="dxa"/>
              <w:left w:w="40" w:type="dxa"/>
              <w:bottom w:w="40" w:type="dxa"/>
            </w:tcMar>
            <w:vAlign w:val="bottom"/>
          </w:tcPr>
          <w:p w14:paraId="5556F97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884</w:t>
            </w:r>
          </w:p>
        </w:tc>
        <w:tc>
          <w:tcPr>
            <w:tcW w:w="0" w:type="auto"/>
            <w:shd w:val="clear" w:color="auto" w:fill="auto"/>
            <w:vAlign w:val="bottom"/>
          </w:tcPr>
          <w:p w14:paraId="5556F9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7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vAlign w:val="bottom"/>
          </w:tcPr>
          <w:p w14:paraId="5556F9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7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shd w:val="clear" w:color="auto" w:fill="auto"/>
            <w:vAlign w:val="bottom"/>
          </w:tcPr>
          <w:p w14:paraId="5556F9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8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1,051</w:t>
            </w:r>
          </w:p>
        </w:tc>
        <w:tc>
          <w:tcPr>
            <w:tcW w:w="0" w:type="auto"/>
            <w:shd w:val="clear" w:color="auto" w:fill="auto"/>
            <w:vAlign w:val="bottom"/>
          </w:tcPr>
          <w:p w14:paraId="5556F98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8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9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8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9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8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1,011</w:t>
            </w:r>
          </w:p>
        </w:tc>
        <w:tc>
          <w:tcPr>
            <w:tcW w:w="0" w:type="auto"/>
            <w:shd w:val="clear" w:color="auto" w:fill="auto"/>
            <w:vAlign w:val="bottom"/>
          </w:tcPr>
          <w:p w14:paraId="5556F98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8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tcMar>
              <w:top w:w="40" w:type="dxa"/>
              <w:bottom w:w="40" w:type="dxa"/>
              <w:right w:w="40" w:type="dxa"/>
            </w:tcMar>
            <w:vAlign w:val="bottom"/>
          </w:tcPr>
          <w:p w14:paraId="5556F98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9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9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w:t>
            </w:r>
          </w:p>
        </w:tc>
        <w:tc>
          <w:tcPr>
            <w:tcW w:w="0" w:type="auto"/>
            <w:shd w:val="clear" w:color="auto" w:fill="auto"/>
            <w:tcMar>
              <w:top w:w="40" w:type="dxa"/>
              <w:bottom w:w="40" w:type="dxa"/>
              <w:right w:w="40" w:type="dxa"/>
            </w:tcMar>
            <w:vAlign w:val="bottom"/>
          </w:tcPr>
          <w:p w14:paraId="5556F99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F9A6" w14:textId="77777777">
        <w:tc>
          <w:tcPr>
            <w:tcW w:w="0" w:type="auto"/>
            <w:shd w:val="clear" w:color="auto" w:fill="CCEEFF"/>
            <w:tcMar>
              <w:top w:w="40" w:type="dxa"/>
              <w:left w:w="40" w:type="dxa"/>
              <w:bottom w:w="40" w:type="dxa"/>
              <w:right w:w="40" w:type="dxa"/>
            </w:tcMar>
            <w:vAlign w:val="bottom"/>
          </w:tcPr>
          <w:p w14:paraId="5556F994" w14:textId="77777777" w:rsidR="00F925DD" w:rsidRDefault="00E705D7">
            <w:pPr>
              <w:textAlignment w:val="bottom"/>
              <w:rPr>
                <w:rFonts w:ascii="Times New Roman" w:hAnsi="Times New Roman"/>
                <w:sz w:val="14"/>
                <w:szCs w:val="14"/>
              </w:rPr>
            </w:pPr>
            <w:r>
              <w:rPr>
                <w:rFonts w:ascii="Arial" w:eastAsia="宋体" w:hAnsi="Arial" w:cs="Arial"/>
                <w:sz w:val="14"/>
                <w:szCs w:val="14"/>
              </w:rPr>
              <w:t>Investment securities:</w:t>
            </w:r>
          </w:p>
        </w:tc>
        <w:tc>
          <w:tcPr>
            <w:tcW w:w="0" w:type="auto"/>
            <w:gridSpan w:val="3"/>
            <w:shd w:val="clear" w:color="auto" w:fill="CCEEFF"/>
            <w:tcMar>
              <w:top w:w="40" w:type="dxa"/>
              <w:left w:w="40" w:type="dxa"/>
              <w:bottom w:w="40" w:type="dxa"/>
              <w:right w:w="40" w:type="dxa"/>
            </w:tcMar>
            <w:vAlign w:val="bottom"/>
          </w:tcPr>
          <w:p w14:paraId="5556F9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9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9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9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9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9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9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9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9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9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9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9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9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9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9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9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9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9C2" w14:textId="77777777">
        <w:tc>
          <w:tcPr>
            <w:tcW w:w="0" w:type="auto"/>
            <w:shd w:val="clear" w:color="auto" w:fill="auto"/>
            <w:tcMar>
              <w:top w:w="40" w:type="dxa"/>
              <w:left w:w="240" w:type="dxa"/>
              <w:bottom w:w="40" w:type="dxa"/>
              <w:right w:w="40" w:type="dxa"/>
            </w:tcMar>
            <w:vAlign w:val="bottom"/>
          </w:tcPr>
          <w:p w14:paraId="5556F9A7" w14:textId="77777777" w:rsidR="00F925DD" w:rsidRDefault="00E705D7">
            <w:pPr>
              <w:textAlignment w:val="bottom"/>
              <w:rPr>
                <w:rFonts w:ascii="Times New Roman" w:hAnsi="Times New Roman"/>
                <w:sz w:val="14"/>
                <w:szCs w:val="14"/>
              </w:rPr>
            </w:pPr>
            <w:r>
              <w:rPr>
                <w:rFonts w:ascii="Arial" w:eastAsia="宋体" w:hAnsi="Arial" w:cs="Arial"/>
                <w:sz w:val="14"/>
                <w:szCs w:val="14"/>
              </w:rPr>
              <w:t>U.S. Treasury and federal agencies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F9A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56,639</w:t>
            </w:r>
          </w:p>
        </w:tc>
        <w:tc>
          <w:tcPr>
            <w:tcW w:w="0" w:type="auto"/>
            <w:shd w:val="clear" w:color="auto" w:fill="auto"/>
            <w:vAlign w:val="bottom"/>
          </w:tcPr>
          <w:p w14:paraId="5556F9A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A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1,443</w:t>
            </w:r>
          </w:p>
        </w:tc>
        <w:tc>
          <w:tcPr>
            <w:tcW w:w="0" w:type="auto"/>
            <w:shd w:val="clear" w:color="auto" w:fill="auto"/>
            <w:vAlign w:val="bottom"/>
          </w:tcPr>
          <w:p w14:paraId="5556F9A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A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2.55</w:t>
            </w:r>
          </w:p>
        </w:tc>
        <w:tc>
          <w:tcPr>
            <w:tcW w:w="0" w:type="auto"/>
            <w:shd w:val="clear" w:color="auto" w:fill="auto"/>
            <w:vAlign w:val="bottom"/>
          </w:tcPr>
          <w:p w14:paraId="5556F9A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B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48,449</w:t>
            </w:r>
          </w:p>
        </w:tc>
        <w:tc>
          <w:tcPr>
            <w:tcW w:w="0" w:type="auto"/>
            <w:shd w:val="clear" w:color="auto" w:fill="auto"/>
            <w:vAlign w:val="bottom"/>
          </w:tcPr>
          <w:p w14:paraId="5556F9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B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1,178</w:t>
            </w:r>
          </w:p>
        </w:tc>
        <w:tc>
          <w:tcPr>
            <w:tcW w:w="0" w:type="auto"/>
            <w:shd w:val="clear" w:color="auto" w:fill="auto"/>
            <w:vAlign w:val="bottom"/>
          </w:tcPr>
          <w:p w14:paraId="5556F9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B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2.43</w:t>
            </w:r>
          </w:p>
        </w:tc>
        <w:tc>
          <w:tcPr>
            <w:tcW w:w="0" w:type="auto"/>
            <w:shd w:val="clear" w:color="auto" w:fill="auto"/>
            <w:vAlign w:val="bottom"/>
          </w:tcPr>
          <w:p w14:paraId="5556F9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B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43,273</w:t>
            </w:r>
          </w:p>
        </w:tc>
        <w:tc>
          <w:tcPr>
            <w:tcW w:w="0" w:type="auto"/>
            <w:shd w:val="clear" w:color="auto" w:fill="auto"/>
            <w:vAlign w:val="bottom"/>
          </w:tcPr>
          <w:p w14:paraId="5556F9B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B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854</w:t>
            </w:r>
          </w:p>
        </w:tc>
        <w:tc>
          <w:tcPr>
            <w:tcW w:w="0" w:type="auto"/>
            <w:shd w:val="clear" w:color="auto" w:fill="auto"/>
            <w:vAlign w:val="bottom"/>
          </w:tcPr>
          <w:p w14:paraId="5556F9B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C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1.97</w:t>
            </w:r>
          </w:p>
        </w:tc>
        <w:tc>
          <w:tcPr>
            <w:tcW w:w="0" w:type="auto"/>
            <w:shd w:val="clear" w:color="auto" w:fill="auto"/>
            <w:vAlign w:val="bottom"/>
          </w:tcPr>
          <w:p w14:paraId="5556F9C1" w14:textId="77777777" w:rsidR="00F925DD" w:rsidRDefault="00F925DD">
            <w:pPr>
              <w:textAlignment w:val="bottom"/>
              <w:rPr>
                <w:rFonts w:ascii="Times New Roman" w:hAnsi="Times New Roman"/>
                <w:sz w:val="20"/>
                <w:szCs w:val="20"/>
              </w:rPr>
            </w:pPr>
          </w:p>
        </w:tc>
      </w:tr>
      <w:tr w:rsidR="00E705D7" w14:paraId="5556F9DE" w14:textId="77777777">
        <w:tc>
          <w:tcPr>
            <w:tcW w:w="0" w:type="auto"/>
            <w:shd w:val="clear" w:color="auto" w:fill="CCEEFF"/>
            <w:tcMar>
              <w:top w:w="40" w:type="dxa"/>
              <w:left w:w="40" w:type="dxa"/>
              <w:bottom w:w="40" w:type="dxa"/>
              <w:right w:w="40" w:type="dxa"/>
            </w:tcMar>
            <w:vAlign w:val="bottom"/>
          </w:tcPr>
          <w:p w14:paraId="5556F9C3" w14:textId="77777777" w:rsidR="00F925DD" w:rsidRDefault="00E705D7">
            <w:pPr>
              <w:textAlignment w:val="bottom"/>
              <w:rPr>
                <w:rFonts w:ascii="Times New Roman" w:hAnsi="Times New Roman"/>
                <w:sz w:val="14"/>
                <w:szCs w:val="14"/>
              </w:rPr>
            </w:pPr>
            <w:r>
              <w:rPr>
                <w:rFonts w:ascii="Arial" w:eastAsia="宋体" w:hAnsi="Arial" w:cs="Arial"/>
                <w:sz w:val="14"/>
                <w:szCs w:val="14"/>
              </w:rPr>
              <w:t> State and political subdivisions</w:t>
            </w:r>
            <w:r>
              <w:rPr>
                <w:rFonts w:ascii="Arial" w:eastAsia="宋体" w:hAnsi="Arial" w:cs="Arial"/>
                <w:sz w:val="10"/>
                <w:szCs w:val="10"/>
              </w:rPr>
              <w:t>(1)</w:t>
            </w:r>
          </w:p>
        </w:tc>
        <w:tc>
          <w:tcPr>
            <w:tcW w:w="0" w:type="auto"/>
            <w:gridSpan w:val="2"/>
            <w:shd w:val="clear" w:color="auto" w:fill="CCEEFF"/>
            <w:tcMar>
              <w:top w:w="40" w:type="dxa"/>
              <w:left w:w="40" w:type="dxa"/>
              <w:bottom w:w="40" w:type="dxa"/>
            </w:tcMar>
            <w:vAlign w:val="bottom"/>
          </w:tcPr>
          <w:p w14:paraId="5556F9C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1,869</w:t>
            </w:r>
          </w:p>
        </w:tc>
        <w:tc>
          <w:tcPr>
            <w:tcW w:w="0" w:type="auto"/>
            <w:shd w:val="clear" w:color="auto" w:fill="CCEEFF"/>
            <w:vAlign w:val="bottom"/>
          </w:tcPr>
          <w:p w14:paraId="5556F9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C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62</w:t>
            </w:r>
          </w:p>
        </w:tc>
        <w:tc>
          <w:tcPr>
            <w:tcW w:w="0" w:type="auto"/>
            <w:shd w:val="clear" w:color="auto" w:fill="CCEEFF"/>
            <w:vAlign w:val="bottom"/>
          </w:tcPr>
          <w:p w14:paraId="5556F9C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C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3.31</w:t>
            </w:r>
          </w:p>
        </w:tc>
        <w:tc>
          <w:tcPr>
            <w:tcW w:w="0" w:type="auto"/>
            <w:shd w:val="clear" w:color="auto" w:fill="CCEEFF"/>
            <w:vAlign w:val="bottom"/>
          </w:tcPr>
          <w:p w14:paraId="5556F9C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C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5,481</w:t>
            </w:r>
          </w:p>
        </w:tc>
        <w:tc>
          <w:tcPr>
            <w:tcW w:w="0" w:type="auto"/>
            <w:shd w:val="clear" w:color="auto" w:fill="CCEEFF"/>
            <w:vAlign w:val="bottom"/>
          </w:tcPr>
          <w:p w14:paraId="5556F9C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D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189</w:t>
            </w:r>
          </w:p>
        </w:tc>
        <w:tc>
          <w:tcPr>
            <w:tcW w:w="0" w:type="auto"/>
            <w:shd w:val="clear" w:color="auto" w:fill="CCEEFF"/>
            <w:vAlign w:val="bottom"/>
          </w:tcPr>
          <w:p w14:paraId="5556F9D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D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3.45</w:t>
            </w:r>
          </w:p>
        </w:tc>
        <w:tc>
          <w:tcPr>
            <w:tcW w:w="0" w:type="auto"/>
            <w:shd w:val="clear" w:color="auto" w:fill="CCEEFF"/>
            <w:vAlign w:val="bottom"/>
          </w:tcPr>
          <w:p w14:paraId="5556F9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D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9,928</w:t>
            </w:r>
          </w:p>
        </w:tc>
        <w:tc>
          <w:tcPr>
            <w:tcW w:w="0" w:type="auto"/>
            <w:shd w:val="clear" w:color="auto" w:fill="CCEEFF"/>
            <w:vAlign w:val="bottom"/>
          </w:tcPr>
          <w:p w14:paraId="5556F9D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D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378</w:t>
            </w:r>
          </w:p>
        </w:tc>
        <w:tc>
          <w:tcPr>
            <w:tcW w:w="0" w:type="auto"/>
            <w:shd w:val="clear" w:color="auto" w:fill="CCEEFF"/>
            <w:vAlign w:val="bottom"/>
          </w:tcPr>
          <w:p w14:paraId="5556F9D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9D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3.80</w:t>
            </w:r>
          </w:p>
        </w:tc>
        <w:tc>
          <w:tcPr>
            <w:tcW w:w="0" w:type="auto"/>
            <w:shd w:val="clear" w:color="auto" w:fill="CCEEFF"/>
            <w:vAlign w:val="bottom"/>
          </w:tcPr>
          <w:p w14:paraId="5556F9DD" w14:textId="77777777" w:rsidR="00F925DD" w:rsidRDefault="00F925DD">
            <w:pPr>
              <w:textAlignment w:val="bottom"/>
              <w:rPr>
                <w:rFonts w:ascii="Times New Roman" w:hAnsi="Times New Roman"/>
                <w:sz w:val="20"/>
                <w:szCs w:val="20"/>
              </w:rPr>
            </w:pPr>
          </w:p>
        </w:tc>
      </w:tr>
      <w:tr w:rsidR="00F925DD" w14:paraId="5556F9FA" w14:textId="77777777">
        <w:tc>
          <w:tcPr>
            <w:tcW w:w="0" w:type="auto"/>
            <w:shd w:val="clear" w:color="auto" w:fill="auto"/>
            <w:tcMar>
              <w:top w:w="40" w:type="dxa"/>
              <w:left w:w="240" w:type="dxa"/>
              <w:bottom w:w="40" w:type="dxa"/>
              <w:right w:w="40" w:type="dxa"/>
            </w:tcMar>
            <w:vAlign w:val="bottom"/>
          </w:tcPr>
          <w:p w14:paraId="5556F9DF"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investments</w:t>
            </w:r>
          </w:p>
        </w:tc>
        <w:tc>
          <w:tcPr>
            <w:tcW w:w="0" w:type="auto"/>
            <w:gridSpan w:val="2"/>
            <w:shd w:val="clear" w:color="auto" w:fill="auto"/>
            <w:tcMar>
              <w:top w:w="40" w:type="dxa"/>
              <w:left w:w="40" w:type="dxa"/>
              <w:bottom w:w="40" w:type="dxa"/>
            </w:tcMar>
            <w:vAlign w:val="bottom"/>
          </w:tcPr>
          <w:p w14:paraId="5556F9E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33,260</w:t>
            </w:r>
          </w:p>
        </w:tc>
        <w:tc>
          <w:tcPr>
            <w:tcW w:w="0" w:type="auto"/>
            <w:shd w:val="clear" w:color="auto" w:fill="auto"/>
            <w:vAlign w:val="bottom"/>
          </w:tcPr>
          <w:p w14:paraId="5556F9E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E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504</w:t>
            </w:r>
          </w:p>
        </w:tc>
        <w:tc>
          <w:tcPr>
            <w:tcW w:w="0" w:type="auto"/>
            <w:shd w:val="clear" w:color="auto" w:fill="auto"/>
            <w:vAlign w:val="bottom"/>
          </w:tcPr>
          <w:p w14:paraId="5556F9E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E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1.51</w:t>
            </w:r>
          </w:p>
        </w:tc>
        <w:tc>
          <w:tcPr>
            <w:tcW w:w="0" w:type="auto"/>
            <w:shd w:val="clear" w:color="auto" w:fill="auto"/>
            <w:vAlign w:val="bottom"/>
          </w:tcPr>
          <w:p w14:paraId="5556F9E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E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34,140</w:t>
            </w:r>
          </w:p>
        </w:tc>
        <w:tc>
          <w:tcPr>
            <w:tcW w:w="0" w:type="auto"/>
            <w:shd w:val="clear" w:color="auto" w:fill="auto"/>
            <w:vAlign w:val="bottom"/>
          </w:tcPr>
          <w:p w14:paraId="5556F9E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E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560</w:t>
            </w:r>
          </w:p>
        </w:tc>
        <w:tc>
          <w:tcPr>
            <w:tcW w:w="0" w:type="auto"/>
            <w:shd w:val="clear" w:color="auto" w:fill="auto"/>
            <w:vAlign w:val="bottom"/>
          </w:tcPr>
          <w:p w14:paraId="5556F9E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E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1.64</w:t>
            </w:r>
          </w:p>
        </w:tc>
        <w:tc>
          <w:tcPr>
            <w:tcW w:w="0" w:type="auto"/>
            <w:shd w:val="clear" w:color="auto" w:fill="auto"/>
            <w:vAlign w:val="bottom"/>
          </w:tcPr>
          <w:p w14:paraId="5556F9F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F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42,578</w:t>
            </w:r>
          </w:p>
        </w:tc>
        <w:tc>
          <w:tcPr>
            <w:tcW w:w="0" w:type="auto"/>
            <w:shd w:val="clear" w:color="auto" w:fill="auto"/>
            <w:vAlign w:val="bottom"/>
          </w:tcPr>
          <w:p w14:paraId="5556F9F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9F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659</w:t>
            </w:r>
          </w:p>
        </w:tc>
        <w:tc>
          <w:tcPr>
            <w:tcW w:w="0" w:type="auto"/>
            <w:shd w:val="clear" w:color="auto" w:fill="auto"/>
            <w:vAlign w:val="bottom"/>
          </w:tcPr>
          <w:p w14:paraId="5556F9F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9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9F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1.55</w:t>
            </w:r>
          </w:p>
        </w:tc>
        <w:tc>
          <w:tcPr>
            <w:tcW w:w="0" w:type="auto"/>
            <w:shd w:val="clear" w:color="auto" w:fill="auto"/>
            <w:vAlign w:val="bottom"/>
          </w:tcPr>
          <w:p w14:paraId="5556F9F9" w14:textId="77777777" w:rsidR="00F925DD" w:rsidRDefault="00F925DD">
            <w:pPr>
              <w:textAlignment w:val="bottom"/>
              <w:rPr>
                <w:rFonts w:ascii="Times New Roman" w:hAnsi="Times New Roman"/>
                <w:sz w:val="20"/>
                <w:szCs w:val="20"/>
              </w:rPr>
            </w:pPr>
          </w:p>
        </w:tc>
      </w:tr>
      <w:tr w:rsidR="00E705D7" w14:paraId="5556FA16" w14:textId="77777777">
        <w:tc>
          <w:tcPr>
            <w:tcW w:w="0" w:type="auto"/>
            <w:shd w:val="clear" w:color="auto" w:fill="CCEEFF"/>
            <w:tcMar>
              <w:top w:w="40" w:type="dxa"/>
              <w:left w:w="40" w:type="dxa"/>
              <w:bottom w:w="40" w:type="dxa"/>
              <w:right w:w="40" w:type="dxa"/>
            </w:tcMar>
            <w:vAlign w:val="bottom"/>
          </w:tcPr>
          <w:p w14:paraId="5556F9FB" w14:textId="77777777" w:rsidR="00F925DD" w:rsidRDefault="00E705D7">
            <w:pPr>
              <w:textAlignment w:val="bottom"/>
              <w:rPr>
                <w:rFonts w:ascii="Times New Roman" w:hAnsi="Times New Roman"/>
                <w:sz w:val="14"/>
                <w:szCs w:val="14"/>
              </w:rPr>
            </w:pPr>
            <w:r>
              <w:rPr>
                <w:rFonts w:ascii="Arial" w:eastAsia="宋体" w:hAnsi="Arial" w:cs="Arial"/>
                <w:sz w:val="14"/>
                <w:szCs w:val="14"/>
              </w:rPr>
              <w:t>Loans</w:t>
            </w:r>
          </w:p>
        </w:tc>
        <w:tc>
          <w:tcPr>
            <w:tcW w:w="0" w:type="auto"/>
            <w:gridSpan w:val="2"/>
            <w:shd w:val="clear" w:color="auto" w:fill="CCEEFF"/>
            <w:tcMar>
              <w:top w:w="40" w:type="dxa"/>
              <w:left w:w="40" w:type="dxa"/>
              <w:bottom w:w="40" w:type="dxa"/>
            </w:tcMar>
            <w:vAlign w:val="bottom"/>
          </w:tcPr>
          <w:p w14:paraId="5556F9F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24,073</w:t>
            </w:r>
          </w:p>
        </w:tc>
        <w:tc>
          <w:tcPr>
            <w:tcW w:w="0" w:type="auto"/>
            <w:shd w:val="clear" w:color="auto" w:fill="CCEEFF"/>
            <w:vAlign w:val="bottom"/>
          </w:tcPr>
          <w:p w14:paraId="5556F9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9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9F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775</w:t>
            </w:r>
          </w:p>
        </w:tc>
        <w:tc>
          <w:tcPr>
            <w:tcW w:w="0" w:type="auto"/>
            <w:shd w:val="clear" w:color="auto" w:fill="CCEEFF"/>
            <w:vAlign w:val="bottom"/>
          </w:tcPr>
          <w:p w14:paraId="5556FA0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0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3.22</w:t>
            </w:r>
          </w:p>
        </w:tc>
        <w:tc>
          <w:tcPr>
            <w:tcW w:w="0" w:type="auto"/>
            <w:shd w:val="clear" w:color="auto" w:fill="CCEEFF"/>
            <w:vAlign w:val="bottom"/>
          </w:tcPr>
          <w:p w14:paraId="5556FA0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A0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23,147</w:t>
            </w:r>
          </w:p>
        </w:tc>
        <w:tc>
          <w:tcPr>
            <w:tcW w:w="0" w:type="auto"/>
            <w:shd w:val="clear" w:color="auto" w:fill="CCEEFF"/>
            <w:vAlign w:val="bottom"/>
          </w:tcPr>
          <w:p w14:paraId="5556FA0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A0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687</w:t>
            </w:r>
          </w:p>
        </w:tc>
        <w:tc>
          <w:tcPr>
            <w:tcW w:w="0" w:type="auto"/>
            <w:shd w:val="clear" w:color="auto" w:fill="CCEEFF"/>
            <w:vAlign w:val="bottom"/>
          </w:tcPr>
          <w:p w14:paraId="5556FA0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0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2.97</w:t>
            </w:r>
          </w:p>
        </w:tc>
        <w:tc>
          <w:tcPr>
            <w:tcW w:w="0" w:type="auto"/>
            <w:shd w:val="clear" w:color="auto" w:fill="CCEEFF"/>
            <w:vAlign w:val="bottom"/>
          </w:tcPr>
          <w:p w14:paraId="5556FA0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A0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21,149</w:t>
            </w:r>
          </w:p>
        </w:tc>
        <w:tc>
          <w:tcPr>
            <w:tcW w:w="0" w:type="auto"/>
            <w:shd w:val="clear" w:color="auto" w:fill="CCEEFF"/>
            <w:vAlign w:val="bottom"/>
          </w:tcPr>
          <w:p w14:paraId="5556FA0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A1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498</w:t>
            </w:r>
          </w:p>
        </w:tc>
        <w:tc>
          <w:tcPr>
            <w:tcW w:w="0" w:type="auto"/>
            <w:shd w:val="clear" w:color="auto" w:fill="CCEEFF"/>
            <w:vAlign w:val="bottom"/>
          </w:tcPr>
          <w:p w14:paraId="5556FA1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1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2.36</w:t>
            </w:r>
          </w:p>
        </w:tc>
        <w:tc>
          <w:tcPr>
            <w:tcW w:w="0" w:type="auto"/>
            <w:shd w:val="clear" w:color="auto" w:fill="CCEEFF"/>
            <w:vAlign w:val="bottom"/>
          </w:tcPr>
          <w:p w14:paraId="5556FA15" w14:textId="77777777" w:rsidR="00F925DD" w:rsidRDefault="00F925DD">
            <w:pPr>
              <w:textAlignment w:val="bottom"/>
              <w:rPr>
                <w:rFonts w:ascii="Times New Roman" w:hAnsi="Times New Roman"/>
                <w:sz w:val="20"/>
                <w:szCs w:val="20"/>
              </w:rPr>
            </w:pPr>
          </w:p>
        </w:tc>
      </w:tr>
      <w:tr w:rsidR="00F925DD" w14:paraId="5556FA32" w14:textId="77777777">
        <w:tc>
          <w:tcPr>
            <w:tcW w:w="0" w:type="auto"/>
            <w:shd w:val="clear" w:color="auto" w:fill="auto"/>
            <w:tcMar>
              <w:top w:w="40" w:type="dxa"/>
              <w:left w:w="40" w:type="dxa"/>
              <w:bottom w:w="40" w:type="dxa"/>
              <w:right w:w="40" w:type="dxa"/>
            </w:tcMar>
            <w:vAlign w:val="bottom"/>
          </w:tcPr>
          <w:p w14:paraId="5556FA17" w14:textId="77777777" w:rsidR="00F925DD" w:rsidRDefault="00E705D7">
            <w:pPr>
              <w:textAlignment w:val="bottom"/>
              <w:rPr>
                <w:rFonts w:ascii="Times New Roman" w:hAnsi="Times New Roman"/>
                <w:sz w:val="14"/>
                <w:szCs w:val="14"/>
              </w:rPr>
            </w:pPr>
            <w:r>
              <w:rPr>
                <w:rFonts w:ascii="Arial" w:eastAsia="宋体" w:hAnsi="Arial" w:cs="Arial"/>
                <w:sz w:val="14"/>
                <w:szCs w:val="14"/>
              </w:rPr>
              <w:t>Lease financing</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FA1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A1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A1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A1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A1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A1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A2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426</w:t>
            </w:r>
          </w:p>
        </w:tc>
        <w:tc>
          <w:tcPr>
            <w:tcW w:w="0" w:type="auto"/>
            <w:shd w:val="clear" w:color="auto" w:fill="auto"/>
            <w:vAlign w:val="bottom"/>
          </w:tcPr>
          <w:p w14:paraId="5556FA2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A2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w:t>
            </w:r>
          </w:p>
        </w:tc>
        <w:tc>
          <w:tcPr>
            <w:tcW w:w="0" w:type="auto"/>
            <w:shd w:val="clear" w:color="auto" w:fill="auto"/>
            <w:vAlign w:val="bottom"/>
          </w:tcPr>
          <w:p w14:paraId="5556FA2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A2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2.53</w:t>
            </w:r>
          </w:p>
        </w:tc>
        <w:tc>
          <w:tcPr>
            <w:tcW w:w="0" w:type="auto"/>
            <w:shd w:val="clear" w:color="auto" w:fill="auto"/>
            <w:vAlign w:val="bottom"/>
          </w:tcPr>
          <w:p w14:paraId="5556FA2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A2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767</w:t>
            </w:r>
          </w:p>
        </w:tc>
        <w:tc>
          <w:tcPr>
            <w:tcW w:w="0" w:type="auto"/>
            <w:shd w:val="clear" w:color="auto" w:fill="auto"/>
            <w:vAlign w:val="bottom"/>
          </w:tcPr>
          <w:p w14:paraId="5556FA2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A2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w:t>
            </w:r>
          </w:p>
        </w:tc>
        <w:tc>
          <w:tcPr>
            <w:tcW w:w="0" w:type="auto"/>
            <w:shd w:val="clear" w:color="auto" w:fill="auto"/>
            <w:vAlign w:val="bottom"/>
          </w:tcPr>
          <w:p w14:paraId="5556FA2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A3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2.67</w:t>
            </w:r>
          </w:p>
        </w:tc>
        <w:tc>
          <w:tcPr>
            <w:tcW w:w="0" w:type="auto"/>
            <w:shd w:val="clear" w:color="auto" w:fill="auto"/>
            <w:vAlign w:val="bottom"/>
          </w:tcPr>
          <w:p w14:paraId="5556FA31" w14:textId="77777777" w:rsidR="00F925DD" w:rsidRDefault="00F925DD">
            <w:pPr>
              <w:textAlignment w:val="bottom"/>
              <w:rPr>
                <w:rFonts w:ascii="Times New Roman" w:hAnsi="Times New Roman"/>
                <w:sz w:val="20"/>
                <w:szCs w:val="20"/>
              </w:rPr>
            </w:pPr>
          </w:p>
        </w:tc>
      </w:tr>
      <w:tr w:rsidR="00E705D7" w14:paraId="5556FA4E" w14:textId="77777777">
        <w:tc>
          <w:tcPr>
            <w:tcW w:w="0" w:type="auto"/>
            <w:shd w:val="clear" w:color="auto" w:fill="CCEEFF"/>
            <w:tcMar>
              <w:top w:w="40" w:type="dxa"/>
              <w:left w:w="40" w:type="dxa"/>
              <w:bottom w:w="40" w:type="dxa"/>
              <w:right w:w="40" w:type="dxa"/>
            </w:tcMar>
            <w:vAlign w:val="bottom"/>
          </w:tcPr>
          <w:p w14:paraId="5556FA33"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interest-earning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A3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14,160</w:t>
            </w:r>
          </w:p>
        </w:tc>
        <w:tc>
          <w:tcPr>
            <w:tcW w:w="0" w:type="auto"/>
            <w:tcBorders>
              <w:bottom w:val="single" w:sz="8" w:space="0" w:color="000000"/>
            </w:tcBorders>
            <w:shd w:val="clear" w:color="auto" w:fill="CCEEFF"/>
            <w:vAlign w:val="bottom"/>
          </w:tcPr>
          <w:p w14:paraId="5556FA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A3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395</w:t>
            </w:r>
          </w:p>
        </w:tc>
        <w:tc>
          <w:tcPr>
            <w:tcW w:w="0" w:type="auto"/>
            <w:tcBorders>
              <w:bottom w:val="single" w:sz="8" w:space="0" w:color="000000"/>
            </w:tcBorders>
            <w:shd w:val="clear" w:color="auto" w:fill="CCEEFF"/>
            <w:vAlign w:val="bottom"/>
          </w:tcPr>
          <w:p w14:paraId="5556FA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3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2.79</w:t>
            </w:r>
          </w:p>
        </w:tc>
        <w:tc>
          <w:tcPr>
            <w:tcW w:w="0" w:type="auto"/>
            <w:shd w:val="clear" w:color="auto" w:fill="CCEEFF"/>
            <w:vAlign w:val="bottom"/>
          </w:tcPr>
          <w:p w14:paraId="5556FA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A3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15,714</w:t>
            </w:r>
          </w:p>
        </w:tc>
        <w:tc>
          <w:tcPr>
            <w:tcW w:w="0" w:type="auto"/>
            <w:tcBorders>
              <w:bottom w:val="single" w:sz="8" w:space="0" w:color="000000"/>
            </w:tcBorders>
            <w:shd w:val="clear" w:color="auto" w:fill="CCEEFF"/>
            <w:vAlign w:val="bottom"/>
          </w:tcPr>
          <w:p w14:paraId="5556FA3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A4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372</w:t>
            </w:r>
          </w:p>
        </w:tc>
        <w:tc>
          <w:tcPr>
            <w:tcW w:w="0" w:type="auto"/>
            <w:tcBorders>
              <w:bottom w:val="single" w:sz="8" w:space="0" w:color="000000"/>
            </w:tcBorders>
            <w:shd w:val="clear" w:color="auto" w:fill="CCEEFF"/>
            <w:vAlign w:val="bottom"/>
          </w:tcPr>
          <w:p w14:paraId="5556FA4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4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2.37</w:t>
            </w:r>
          </w:p>
        </w:tc>
        <w:tc>
          <w:tcPr>
            <w:tcW w:w="0" w:type="auto"/>
            <w:shd w:val="clear" w:color="auto" w:fill="CCEEFF"/>
            <w:vAlign w:val="bottom"/>
          </w:tcPr>
          <w:p w14:paraId="5556FA4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A4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22,884</w:t>
            </w:r>
          </w:p>
        </w:tc>
        <w:tc>
          <w:tcPr>
            <w:tcW w:w="0" w:type="auto"/>
            <w:tcBorders>
              <w:bottom w:val="single" w:sz="8" w:space="0" w:color="000000"/>
            </w:tcBorders>
            <w:shd w:val="clear" w:color="auto" w:fill="CCEEFF"/>
            <w:vAlign w:val="bottom"/>
          </w:tcPr>
          <w:p w14:paraId="5556FA4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A4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222</w:t>
            </w:r>
          </w:p>
        </w:tc>
        <w:tc>
          <w:tcPr>
            <w:tcW w:w="0" w:type="auto"/>
            <w:tcBorders>
              <w:bottom w:val="single" w:sz="8" w:space="0" w:color="000000"/>
            </w:tcBorders>
            <w:shd w:val="clear" w:color="auto" w:fill="CCEEFF"/>
            <w:vAlign w:val="bottom"/>
          </w:tcPr>
          <w:p w14:paraId="5556FA4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4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.97</w:t>
            </w:r>
          </w:p>
        </w:tc>
        <w:tc>
          <w:tcPr>
            <w:tcW w:w="0" w:type="auto"/>
            <w:shd w:val="clear" w:color="auto" w:fill="CCEEFF"/>
            <w:vAlign w:val="bottom"/>
          </w:tcPr>
          <w:p w14:paraId="5556FA4D" w14:textId="77777777" w:rsidR="00F925DD" w:rsidRDefault="00F925DD">
            <w:pPr>
              <w:textAlignment w:val="bottom"/>
              <w:rPr>
                <w:rFonts w:ascii="Times New Roman" w:hAnsi="Times New Roman"/>
                <w:sz w:val="20"/>
                <w:szCs w:val="20"/>
              </w:rPr>
            </w:pPr>
          </w:p>
        </w:tc>
      </w:tr>
      <w:tr w:rsidR="00F925DD" w14:paraId="5556FA6A" w14:textId="77777777">
        <w:tc>
          <w:tcPr>
            <w:tcW w:w="0" w:type="auto"/>
            <w:shd w:val="clear" w:color="auto" w:fill="auto"/>
            <w:tcMar>
              <w:top w:w="40" w:type="dxa"/>
              <w:left w:w="40" w:type="dxa"/>
              <w:bottom w:w="40" w:type="dxa"/>
              <w:right w:w="40" w:type="dxa"/>
            </w:tcMar>
            <w:vAlign w:val="bottom"/>
          </w:tcPr>
          <w:p w14:paraId="5556FA4F"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interest-earning assets</w:t>
            </w:r>
            <w:r>
              <w:rPr>
                <w:rFonts w:ascii="Arial" w:eastAsia="宋体" w:hAnsi="Arial" w:cs="Arial"/>
                <w:sz w:val="10"/>
                <w:szCs w:val="10"/>
              </w:rPr>
              <w:t>(1)</w:t>
            </w:r>
          </w:p>
        </w:tc>
        <w:tc>
          <w:tcPr>
            <w:tcW w:w="0" w:type="auto"/>
            <w:gridSpan w:val="2"/>
            <w:shd w:val="clear" w:color="auto" w:fill="auto"/>
            <w:tcMar>
              <w:top w:w="40" w:type="dxa"/>
              <w:left w:w="40" w:type="dxa"/>
              <w:bottom w:w="40" w:type="dxa"/>
            </w:tcMar>
            <w:vAlign w:val="bottom"/>
          </w:tcPr>
          <w:p w14:paraId="5556FA5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181,891</w:t>
            </w:r>
          </w:p>
        </w:tc>
        <w:tc>
          <w:tcPr>
            <w:tcW w:w="0" w:type="auto"/>
            <w:shd w:val="clear" w:color="auto" w:fill="auto"/>
            <w:vAlign w:val="bottom"/>
          </w:tcPr>
          <w:p w14:paraId="5556FA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A5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3,960</w:t>
            </w:r>
          </w:p>
        </w:tc>
        <w:tc>
          <w:tcPr>
            <w:tcW w:w="0" w:type="auto"/>
            <w:shd w:val="clear" w:color="auto" w:fill="auto"/>
            <w:vAlign w:val="bottom"/>
          </w:tcPr>
          <w:p w14:paraId="5556FA5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A5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2.18</w:t>
            </w:r>
          </w:p>
        </w:tc>
        <w:tc>
          <w:tcPr>
            <w:tcW w:w="0" w:type="auto"/>
            <w:shd w:val="clear" w:color="auto" w:fill="auto"/>
            <w:vAlign w:val="bottom"/>
          </w:tcPr>
          <w:p w14:paraId="5556FA5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A5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185,637</w:t>
            </w:r>
          </w:p>
        </w:tc>
        <w:tc>
          <w:tcPr>
            <w:tcW w:w="0" w:type="auto"/>
            <w:shd w:val="clear" w:color="auto" w:fill="auto"/>
            <w:vAlign w:val="bottom"/>
          </w:tcPr>
          <w:p w14:paraId="5556FA5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5B" w14:textId="77777777" w:rsidR="00F925DD" w:rsidRDefault="00F925DD">
            <w:pPr>
              <w:jc w:val="right"/>
              <w:textAlignment w:val="bottom"/>
              <w:rPr>
                <w:rFonts w:ascii="Times New Roman" w:hAnsi="Times New Roman"/>
                <w:sz w:val="14"/>
                <w:szCs w:val="14"/>
              </w:rPr>
            </w:pPr>
          </w:p>
        </w:tc>
        <w:tc>
          <w:tcPr>
            <w:tcW w:w="0" w:type="auto"/>
            <w:gridSpan w:val="2"/>
            <w:shd w:val="clear" w:color="auto" w:fill="auto"/>
            <w:tcMar>
              <w:top w:w="40" w:type="dxa"/>
              <w:left w:w="40" w:type="dxa"/>
              <w:bottom w:w="40" w:type="dxa"/>
            </w:tcMar>
            <w:vAlign w:val="bottom"/>
          </w:tcPr>
          <w:p w14:paraId="5556FA5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3,719</w:t>
            </w:r>
          </w:p>
        </w:tc>
        <w:tc>
          <w:tcPr>
            <w:tcW w:w="0" w:type="auto"/>
            <w:shd w:val="clear" w:color="auto" w:fill="auto"/>
            <w:vAlign w:val="bottom"/>
          </w:tcPr>
          <w:p w14:paraId="5556FA5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A5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2.00</w:t>
            </w:r>
          </w:p>
        </w:tc>
        <w:tc>
          <w:tcPr>
            <w:tcW w:w="0" w:type="auto"/>
            <w:shd w:val="clear" w:color="auto" w:fill="auto"/>
            <w:vAlign w:val="bottom"/>
          </w:tcPr>
          <w:p w14:paraId="5556FA6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A6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191,235</w:t>
            </w:r>
          </w:p>
        </w:tc>
        <w:tc>
          <w:tcPr>
            <w:tcW w:w="0" w:type="auto"/>
            <w:shd w:val="clear" w:color="auto" w:fill="auto"/>
            <w:vAlign w:val="bottom"/>
          </w:tcPr>
          <w:p w14:paraId="5556FA6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A6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3,075</w:t>
            </w:r>
          </w:p>
        </w:tc>
        <w:tc>
          <w:tcPr>
            <w:tcW w:w="0" w:type="auto"/>
            <w:shd w:val="clear" w:color="auto" w:fill="auto"/>
            <w:vAlign w:val="bottom"/>
          </w:tcPr>
          <w:p w14:paraId="5556FA6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A6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1.61</w:t>
            </w:r>
          </w:p>
        </w:tc>
        <w:tc>
          <w:tcPr>
            <w:tcW w:w="0" w:type="auto"/>
            <w:shd w:val="clear" w:color="auto" w:fill="auto"/>
            <w:vAlign w:val="bottom"/>
          </w:tcPr>
          <w:p w14:paraId="5556FA69" w14:textId="77777777" w:rsidR="00F925DD" w:rsidRDefault="00F925DD">
            <w:pPr>
              <w:textAlignment w:val="bottom"/>
              <w:rPr>
                <w:rFonts w:ascii="Times New Roman" w:hAnsi="Times New Roman"/>
                <w:sz w:val="20"/>
                <w:szCs w:val="20"/>
              </w:rPr>
            </w:pPr>
          </w:p>
        </w:tc>
      </w:tr>
      <w:tr w:rsidR="00F925DD" w14:paraId="5556FA80" w14:textId="77777777">
        <w:tc>
          <w:tcPr>
            <w:tcW w:w="0" w:type="auto"/>
            <w:shd w:val="clear" w:color="auto" w:fill="CCEEFF"/>
            <w:tcMar>
              <w:top w:w="40" w:type="dxa"/>
              <w:left w:w="40" w:type="dxa"/>
              <w:bottom w:w="40" w:type="dxa"/>
              <w:right w:w="40" w:type="dxa"/>
            </w:tcMar>
            <w:vAlign w:val="bottom"/>
          </w:tcPr>
          <w:p w14:paraId="5556FA6B" w14:textId="77777777" w:rsidR="00F925DD" w:rsidRDefault="00E705D7">
            <w:pPr>
              <w:textAlignment w:val="bottom"/>
              <w:rPr>
                <w:rFonts w:ascii="Times New Roman" w:hAnsi="Times New Roman"/>
                <w:sz w:val="14"/>
                <w:szCs w:val="14"/>
              </w:rPr>
            </w:pPr>
            <w:r>
              <w:rPr>
                <w:rFonts w:ascii="Arial" w:eastAsia="宋体" w:hAnsi="Arial" w:cs="Arial"/>
                <w:sz w:val="14"/>
                <w:szCs w:val="14"/>
              </w:rPr>
              <w:t>Cash and due from banks</w:t>
            </w:r>
          </w:p>
        </w:tc>
        <w:tc>
          <w:tcPr>
            <w:tcW w:w="0" w:type="auto"/>
            <w:gridSpan w:val="2"/>
            <w:shd w:val="clear" w:color="auto" w:fill="CCEEFF"/>
            <w:tcMar>
              <w:top w:w="40" w:type="dxa"/>
              <w:left w:w="40" w:type="dxa"/>
              <w:bottom w:w="40" w:type="dxa"/>
            </w:tcMar>
            <w:vAlign w:val="bottom"/>
          </w:tcPr>
          <w:p w14:paraId="5556FA6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3,390</w:t>
            </w:r>
          </w:p>
        </w:tc>
        <w:tc>
          <w:tcPr>
            <w:tcW w:w="0" w:type="auto"/>
            <w:shd w:val="clear" w:color="auto" w:fill="CCEEFF"/>
            <w:vAlign w:val="bottom"/>
          </w:tcPr>
          <w:p w14:paraId="5556FA6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A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A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A7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3,178</w:t>
            </w:r>
          </w:p>
        </w:tc>
        <w:tc>
          <w:tcPr>
            <w:tcW w:w="0" w:type="auto"/>
            <w:shd w:val="clear" w:color="auto" w:fill="CCEEFF"/>
            <w:vAlign w:val="bottom"/>
          </w:tcPr>
          <w:p w14:paraId="5556FA7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A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A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A7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3,097</w:t>
            </w:r>
          </w:p>
        </w:tc>
        <w:tc>
          <w:tcPr>
            <w:tcW w:w="0" w:type="auto"/>
            <w:shd w:val="clear" w:color="auto" w:fill="CCEEFF"/>
            <w:vAlign w:val="bottom"/>
          </w:tcPr>
          <w:p w14:paraId="5556FA7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A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A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A96" w14:textId="77777777">
        <w:tc>
          <w:tcPr>
            <w:tcW w:w="0" w:type="auto"/>
            <w:shd w:val="clear" w:color="auto" w:fill="auto"/>
            <w:tcMar>
              <w:top w:w="40" w:type="dxa"/>
              <w:left w:w="40" w:type="dxa"/>
              <w:bottom w:w="40" w:type="dxa"/>
              <w:right w:w="40" w:type="dxa"/>
            </w:tcMar>
            <w:vAlign w:val="bottom"/>
          </w:tcPr>
          <w:p w14:paraId="5556FA81"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5556FA8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38,053</w:t>
            </w:r>
          </w:p>
        </w:tc>
        <w:tc>
          <w:tcPr>
            <w:tcW w:w="0" w:type="auto"/>
            <w:tcBorders>
              <w:bottom w:val="single" w:sz="8" w:space="0" w:color="000000"/>
            </w:tcBorders>
            <w:shd w:val="clear" w:color="auto" w:fill="auto"/>
            <w:vAlign w:val="bottom"/>
          </w:tcPr>
          <w:p w14:paraId="5556FA8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A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A8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34,570</w:t>
            </w:r>
          </w:p>
        </w:tc>
        <w:tc>
          <w:tcPr>
            <w:tcW w:w="0" w:type="auto"/>
            <w:tcBorders>
              <w:bottom w:val="single" w:sz="8" w:space="0" w:color="000000"/>
            </w:tcBorders>
            <w:shd w:val="clear" w:color="auto" w:fill="auto"/>
            <w:vAlign w:val="bottom"/>
          </w:tcPr>
          <w:p w14:paraId="5556FA8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A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A9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25,118</w:t>
            </w:r>
          </w:p>
        </w:tc>
        <w:tc>
          <w:tcPr>
            <w:tcW w:w="0" w:type="auto"/>
            <w:tcBorders>
              <w:bottom w:val="single" w:sz="8" w:space="0" w:color="000000"/>
            </w:tcBorders>
            <w:shd w:val="clear" w:color="auto" w:fill="auto"/>
            <w:vAlign w:val="bottom"/>
          </w:tcPr>
          <w:p w14:paraId="5556FA9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A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A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AAF" w14:textId="77777777">
        <w:tc>
          <w:tcPr>
            <w:tcW w:w="0" w:type="auto"/>
            <w:shd w:val="clear" w:color="auto" w:fill="CCEEFF"/>
            <w:tcMar>
              <w:top w:w="40" w:type="dxa"/>
              <w:left w:w="40" w:type="dxa"/>
              <w:bottom w:w="40" w:type="dxa"/>
              <w:right w:w="40" w:type="dxa"/>
            </w:tcMar>
            <w:vAlign w:val="bottom"/>
          </w:tcPr>
          <w:p w14:paraId="5556FA97" w14:textId="77777777" w:rsidR="00F925DD" w:rsidRDefault="00E705D7">
            <w:pPr>
              <w:textAlignment w:val="bottom"/>
              <w:rPr>
                <w:rFonts w:ascii="Times New Roman" w:hAnsi="Times New Roman"/>
                <w:sz w:val="14"/>
                <w:szCs w:val="14"/>
              </w:rPr>
            </w:pPr>
            <w:r>
              <w:rPr>
                <w:rFonts w:ascii="Arial" w:eastAsia="宋体" w:hAnsi="Arial" w:cs="Arial"/>
                <w:sz w:val="14"/>
                <w:szCs w:val="14"/>
              </w:rPr>
              <w:t>To</w:t>
            </w:r>
            <w:r>
              <w:rPr>
                <w:rFonts w:ascii="Arial" w:eastAsia="宋体" w:hAnsi="Arial" w:cs="Arial"/>
                <w:sz w:val="14"/>
                <w:szCs w:val="14"/>
              </w:rPr>
              <w:t>tal assets</w:t>
            </w:r>
          </w:p>
        </w:tc>
        <w:tc>
          <w:tcPr>
            <w:tcW w:w="0" w:type="auto"/>
            <w:tcBorders>
              <w:bottom w:val="double" w:sz="6" w:space="0" w:color="000000"/>
            </w:tcBorders>
            <w:shd w:val="clear" w:color="auto" w:fill="CCEEFF"/>
            <w:tcMar>
              <w:top w:w="40" w:type="dxa"/>
              <w:left w:w="40" w:type="dxa"/>
              <w:bottom w:w="40" w:type="dxa"/>
            </w:tcMar>
            <w:vAlign w:val="bottom"/>
          </w:tcPr>
          <w:p w14:paraId="5556FA9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FA9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223,334</w:t>
            </w:r>
          </w:p>
        </w:tc>
        <w:tc>
          <w:tcPr>
            <w:tcW w:w="0" w:type="auto"/>
            <w:tcBorders>
              <w:bottom w:val="double" w:sz="6" w:space="0" w:color="000000"/>
            </w:tcBorders>
            <w:shd w:val="clear" w:color="auto" w:fill="CCEEFF"/>
            <w:vAlign w:val="bottom"/>
          </w:tcPr>
          <w:p w14:paraId="5556FA9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A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A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AA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AA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223,385</w:t>
            </w:r>
          </w:p>
        </w:tc>
        <w:tc>
          <w:tcPr>
            <w:tcW w:w="0" w:type="auto"/>
            <w:tcBorders>
              <w:top w:val="single" w:sz="8" w:space="0" w:color="000000"/>
              <w:bottom w:val="double" w:sz="6" w:space="0" w:color="000000"/>
            </w:tcBorders>
            <w:shd w:val="clear" w:color="auto" w:fill="CCEEFF"/>
            <w:vAlign w:val="bottom"/>
          </w:tcPr>
          <w:p w14:paraId="5556FAA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A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A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FAA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FAA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219,450</w:t>
            </w:r>
          </w:p>
        </w:tc>
        <w:tc>
          <w:tcPr>
            <w:tcW w:w="0" w:type="auto"/>
            <w:tcBorders>
              <w:bottom w:val="double" w:sz="6" w:space="0" w:color="000000"/>
            </w:tcBorders>
            <w:shd w:val="clear" w:color="auto" w:fill="CCEEFF"/>
            <w:vAlign w:val="bottom"/>
          </w:tcPr>
          <w:p w14:paraId="5556FAA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A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A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AC2" w14:textId="77777777">
        <w:tc>
          <w:tcPr>
            <w:tcW w:w="0" w:type="auto"/>
            <w:shd w:val="clear" w:color="auto" w:fill="auto"/>
            <w:tcMar>
              <w:top w:w="40" w:type="dxa"/>
              <w:left w:w="40" w:type="dxa"/>
              <w:bottom w:w="40" w:type="dxa"/>
              <w:right w:w="40" w:type="dxa"/>
            </w:tcMar>
            <w:vAlign w:val="bottom"/>
          </w:tcPr>
          <w:p w14:paraId="5556FA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A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A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A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AD2" w14:textId="77777777">
        <w:tc>
          <w:tcPr>
            <w:tcW w:w="0" w:type="auto"/>
            <w:gridSpan w:val="8"/>
            <w:shd w:val="clear" w:color="auto" w:fill="CCEEFF"/>
            <w:tcMar>
              <w:top w:w="40" w:type="dxa"/>
              <w:left w:w="40" w:type="dxa"/>
              <w:bottom w:w="40" w:type="dxa"/>
              <w:right w:w="40" w:type="dxa"/>
            </w:tcMar>
            <w:vAlign w:val="bottom"/>
          </w:tcPr>
          <w:p w14:paraId="5556FAC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Liabilities and shareholders’ equity:</w:t>
            </w:r>
          </w:p>
        </w:tc>
        <w:tc>
          <w:tcPr>
            <w:tcW w:w="0" w:type="auto"/>
            <w:shd w:val="clear" w:color="auto" w:fill="CCEEFF"/>
            <w:tcMar>
              <w:top w:w="40" w:type="dxa"/>
              <w:left w:w="40" w:type="dxa"/>
              <w:bottom w:w="40" w:type="dxa"/>
              <w:right w:w="40" w:type="dxa"/>
            </w:tcMar>
            <w:vAlign w:val="bottom"/>
          </w:tcPr>
          <w:p w14:paraId="5556FA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A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A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A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A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A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A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A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A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AE5" w14:textId="77777777">
        <w:tc>
          <w:tcPr>
            <w:tcW w:w="0" w:type="auto"/>
            <w:shd w:val="clear" w:color="auto" w:fill="auto"/>
            <w:tcMar>
              <w:top w:w="40" w:type="dxa"/>
              <w:left w:w="40" w:type="dxa"/>
              <w:bottom w:w="40" w:type="dxa"/>
              <w:right w:w="40" w:type="dxa"/>
            </w:tcMar>
            <w:vAlign w:val="bottom"/>
          </w:tcPr>
          <w:p w14:paraId="5556FAD3"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Interest-bearing deposits:</w:t>
            </w:r>
          </w:p>
        </w:tc>
        <w:tc>
          <w:tcPr>
            <w:tcW w:w="0" w:type="auto"/>
            <w:gridSpan w:val="3"/>
            <w:shd w:val="clear" w:color="auto" w:fill="auto"/>
            <w:tcMar>
              <w:top w:w="40" w:type="dxa"/>
              <w:left w:w="40" w:type="dxa"/>
              <w:bottom w:w="40" w:type="dxa"/>
              <w:right w:w="40" w:type="dxa"/>
            </w:tcMar>
            <w:vAlign w:val="bottom"/>
          </w:tcPr>
          <w:p w14:paraId="5556FA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A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A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A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A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A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E705D7" w14:paraId="5556FB07" w14:textId="77777777">
        <w:tc>
          <w:tcPr>
            <w:tcW w:w="0" w:type="auto"/>
            <w:shd w:val="clear" w:color="auto" w:fill="CCEEFF"/>
            <w:tcMar>
              <w:top w:w="40" w:type="dxa"/>
              <w:left w:w="240" w:type="dxa"/>
              <w:bottom w:w="40" w:type="dxa"/>
              <w:right w:w="40" w:type="dxa"/>
            </w:tcMar>
            <w:vAlign w:val="bottom"/>
          </w:tcPr>
          <w:p w14:paraId="5556FAE6" w14:textId="77777777" w:rsidR="00F925DD" w:rsidRDefault="00E705D7">
            <w:pPr>
              <w:textAlignment w:val="bottom"/>
              <w:rPr>
                <w:rFonts w:ascii="Times New Roman" w:hAnsi="Times New Roman"/>
                <w:sz w:val="14"/>
                <w:szCs w:val="14"/>
              </w:rPr>
            </w:pPr>
            <w:r>
              <w:rPr>
                <w:rFonts w:ascii="Arial" w:eastAsia="宋体" w:hAnsi="Arial" w:cs="Arial"/>
                <w:sz w:val="14"/>
                <w:szCs w:val="14"/>
              </w:rPr>
              <w:t>Time</w:t>
            </w:r>
          </w:p>
        </w:tc>
        <w:tc>
          <w:tcPr>
            <w:tcW w:w="0" w:type="auto"/>
            <w:shd w:val="clear" w:color="auto" w:fill="CCEEFF"/>
            <w:tcMar>
              <w:top w:w="40" w:type="dxa"/>
              <w:left w:w="40" w:type="dxa"/>
              <w:bottom w:w="40" w:type="dxa"/>
            </w:tcMar>
            <w:vAlign w:val="bottom"/>
          </w:tcPr>
          <w:p w14:paraId="5556FAE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FAE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20,443</w:t>
            </w:r>
          </w:p>
        </w:tc>
        <w:tc>
          <w:tcPr>
            <w:tcW w:w="0" w:type="auto"/>
            <w:shd w:val="clear" w:color="auto" w:fill="CCEEFF"/>
            <w:vAlign w:val="bottom"/>
          </w:tcPr>
          <w:p w14:paraId="5556FAE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E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FAE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222</w:t>
            </w:r>
          </w:p>
        </w:tc>
        <w:tc>
          <w:tcPr>
            <w:tcW w:w="0" w:type="auto"/>
            <w:shd w:val="clear" w:color="auto" w:fill="CCEEFF"/>
            <w:vAlign w:val="bottom"/>
          </w:tcPr>
          <w:p w14:paraId="5556FAE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E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1.08</w:t>
            </w:r>
          </w:p>
        </w:tc>
        <w:tc>
          <w:tcPr>
            <w:tcW w:w="0" w:type="auto"/>
            <w:shd w:val="clear" w:color="auto" w:fill="CCEEFF"/>
            <w:tcMar>
              <w:top w:w="40" w:type="dxa"/>
              <w:bottom w:w="40" w:type="dxa"/>
              <w:right w:w="40" w:type="dxa"/>
            </w:tcMar>
            <w:vAlign w:val="bottom"/>
          </w:tcPr>
          <w:p w14:paraId="5556FAF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A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F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AF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17,081</w:t>
            </w:r>
          </w:p>
        </w:tc>
        <w:tc>
          <w:tcPr>
            <w:tcW w:w="0" w:type="auto"/>
            <w:shd w:val="clear" w:color="auto" w:fill="CCEEFF"/>
            <w:vAlign w:val="bottom"/>
          </w:tcPr>
          <w:p w14:paraId="5556FA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F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AF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121</w:t>
            </w:r>
          </w:p>
        </w:tc>
        <w:tc>
          <w:tcPr>
            <w:tcW w:w="0" w:type="auto"/>
            <w:shd w:val="clear" w:color="auto" w:fill="CCEEFF"/>
            <w:vAlign w:val="bottom"/>
          </w:tcPr>
          <w:p w14:paraId="5556FAF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A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F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.71</w:t>
            </w:r>
          </w:p>
        </w:tc>
        <w:tc>
          <w:tcPr>
            <w:tcW w:w="0" w:type="auto"/>
            <w:shd w:val="clear" w:color="auto" w:fill="CCEEFF"/>
            <w:tcMar>
              <w:top w:w="40" w:type="dxa"/>
              <w:bottom w:w="40" w:type="dxa"/>
              <w:right w:w="40" w:type="dxa"/>
            </w:tcMar>
            <w:vAlign w:val="bottom"/>
          </w:tcPr>
          <w:p w14:paraId="5556FAF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A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AF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AF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12,020</w:t>
            </w:r>
          </w:p>
        </w:tc>
        <w:tc>
          <w:tcPr>
            <w:tcW w:w="0" w:type="auto"/>
            <w:shd w:val="clear" w:color="auto" w:fill="CCEEFF"/>
            <w:vAlign w:val="bottom"/>
          </w:tcPr>
          <w:p w14:paraId="5556FAF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0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B0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72</w:t>
            </w:r>
          </w:p>
        </w:tc>
        <w:tc>
          <w:tcPr>
            <w:tcW w:w="0" w:type="auto"/>
            <w:shd w:val="clear" w:color="auto" w:fill="CCEEFF"/>
            <w:vAlign w:val="bottom"/>
          </w:tcPr>
          <w:p w14:paraId="5556FB0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0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.61</w:t>
            </w:r>
          </w:p>
        </w:tc>
        <w:tc>
          <w:tcPr>
            <w:tcW w:w="0" w:type="auto"/>
            <w:shd w:val="clear" w:color="auto" w:fill="CCEEFF"/>
            <w:tcMar>
              <w:top w:w="40" w:type="dxa"/>
              <w:bottom w:w="40" w:type="dxa"/>
              <w:right w:w="40" w:type="dxa"/>
            </w:tcMar>
            <w:vAlign w:val="bottom"/>
          </w:tcPr>
          <w:p w14:paraId="5556FB06"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r>
      <w:tr w:rsidR="00F925DD" w14:paraId="5556FB23" w14:textId="77777777">
        <w:tc>
          <w:tcPr>
            <w:tcW w:w="0" w:type="auto"/>
            <w:shd w:val="clear" w:color="auto" w:fill="auto"/>
            <w:tcMar>
              <w:top w:w="40" w:type="dxa"/>
              <w:left w:w="240" w:type="dxa"/>
              <w:bottom w:w="40" w:type="dxa"/>
              <w:right w:w="40" w:type="dxa"/>
            </w:tcMar>
            <w:vAlign w:val="bottom"/>
          </w:tcPr>
          <w:p w14:paraId="5556FB08" w14:textId="77777777" w:rsidR="00F925DD" w:rsidRDefault="00E705D7">
            <w:pPr>
              <w:textAlignment w:val="bottom"/>
              <w:rPr>
                <w:rFonts w:ascii="Times New Roman" w:hAnsi="Times New Roman"/>
                <w:sz w:val="14"/>
                <w:szCs w:val="14"/>
              </w:rPr>
            </w:pPr>
            <w:r>
              <w:rPr>
                <w:rFonts w:ascii="Arial" w:eastAsia="宋体" w:hAnsi="Arial" w:cs="Arial"/>
                <w:sz w:val="14"/>
                <w:szCs w:val="14"/>
              </w:rPr>
              <w:t>Savings</w:t>
            </w:r>
          </w:p>
        </w:tc>
        <w:tc>
          <w:tcPr>
            <w:tcW w:w="0" w:type="auto"/>
            <w:gridSpan w:val="2"/>
            <w:shd w:val="clear" w:color="auto" w:fill="auto"/>
            <w:tcMar>
              <w:top w:w="40" w:type="dxa"/>
              <w:left w:w="40" w:type="dxa"/>
              <w:bottom w:w="40" w:type="dxa"/>
            </w:tcMar>
            <w:vAlign w:val="bottom"/>
          </w:tcPr>
          <w:p w14:paraId="5556FB0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47,104</w:t>
            </w:r>
          </w:p>
        </w:tc>
        <w:tc>
          <w:tcPr>
            <w:tcW w:w="0" w:type="auto"/>
            <w:shd w:val="clear" w:color="auto" w:fill="auto"/>
            <w:vAlign w:val="bottom"/>
          </w:tcPr>
          <w:p w14:paraId="5556FB0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0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317</w:t>
            </w:r>
          </w:p>
        </w:tc>
        <w:tc>
          <w:tcPr>
            <w:tcW w:w="0" w:type="auto"/>
            <w:shd w:val="clear" w:color="auto" w:fill="auto"/>
            <w:vAlign w:val="bottom"/>
          </w:tcPr>
          <w:p w14:paraId="5556FB0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0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.67</w:t>
            </w:r>
          </w:p>
        </w:tc>
        <w:tc>
          <w:tcPr>
            <w:tcW w:w="0" w:type="auto"/>
            <w:shd w:val="clear" w:color="auto" w:fill="auto"/>
            <w:vAlign w:val="bottom"/>
          </w:tcPr>
          <w:p w14:paraId="5556FB1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1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37,872</w:t>
            </w:r>
          </w:p>
        </w:tc>
        <w:tc>
          <w:tcPr>
            <w:tcW w:w="0" w:type="auto"/>
            <w:shd w:val="clear" w:color="auto" w:fill="auto"/>
            <w:vAlign w:val="bottom"/>
          </w:tcPr>
          <w:p w14:paraId="5556FB1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1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135</w:t>
            </w:r>
          </w:p>
        </w:tc>
        <w:tc>
          <w:tcPr>
            <w:tcW w:w="0" w:type="auto"/>
            <w:shd w:val="clear" w:color="auto" w:fill="auto"/>
            <w:vAlign w:val="bottom"/>
          </w:tcPr>
          <w:p w14:paraId="5556FB1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1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w:t>
            </w:r>
          </w:p>
        </w:tc>
        <w:tc>
          <w:tcPr>
            <w:tcW w:w="0" w:type="auto"/>
            <w:shd w:val="clear" w:color="auto" w:fill="auto"/>
            <w:vAlign w:val="bottom"/>
          </w:tcPr>
          <w:p w14:paraId="5556FB1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1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18,603</w:t>
            </w:r>
          </w:p>
        </w:tc>
        <w:tc>
          <w:tcPr>
            <w:tcW w:w="0" w:type="auto"/>
            <w:shd w:val="clear" w:color="auto" w:fill="auto"/>
            <w:vAlign w:val="bottom"/>
          </w:tcPr>
          <w:p w14:paraId="5556FB1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1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w:t>
            </w:r>
          </w:p>
        </w:tc>
        <w:tc>
          <w:tcPr>
            <w:tcW w:w="0" w:type="auto"/>
            <w:shd w:val="clear" w:color="auto" w:fill="auto"/>
            <w:vAlign w:val="bottom"/>
          </w:tcPr>
          <w:p w14:paraId="5556FB1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2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w:t>
            </w:r>
          </w:p>
        </w:tc>
        <w:tc>
          <w:tcPr>
            <w:tcW w:w="0" w:type="auto"/>
            <w:shd w:val="clear" w:color="auto" w:fill="auto"/>
            <w:vAlign w:val="bottom"/>
          </w:tcPr>
          <w:p w14:paraId="5556FB22" w14:textId="77777777" w:rsidR="00F925DD" w:rsidRDefault="00F925DD">
            <w:pPr>
              <w:textAlignment w:val="bottom"/>
              <w:rPr>
                <w:rFonts w:ascii="Times New Roman" w:hAnsi="Times New Roman"/>
                <w:sz w:val="20"/>
                <w:szCs w:val="20"/>
              </w:rPr>
            </w:pPr>
          </w:p>
        </w:tc>
      </w:tr>
      <w:tr w:rsidR="00E705D7" w14:paraId="5556FB3F" w14:textId="77777777">
        <w:tc>
          <w:tcPr>
            <w:tcW w:w="0" w:type="auto"/>
            <w:shd w:val="clear" w:color="auto" w:fill="CCEEFF"/>
            <w:tcMar>
              <w:top w:w="40" w:type="dxa"/>
              <w:left w:w="240" w:type="dxa"/>
              <w:bottom w:w="40" w:type="dxa"/>
              <w:right w:w="40" w:type="dxa"/>
            </w:tcMar>
            <w:vAlign w:val="bottom"/>
          </w:tcPr>
          <w:p w14:paraId="5556FB24" w14:textId="77777777" w:rsidR="00F925DD" w:rsidRDefault="00E705D7">
            <w:pPr>
              <w:textAlignment w:val="bottom"/>
              <w:rPr>
                <w:rFonts w:ascii="Times New Roman" w:hAnsi="Times New Roman"/>
                <w:sz w:val="14"/>
                <w:szCs w:val="14"/>
              </w:rPr>
            </w:pPr>
            <w:r>
              <w:rPr>
                <w:rFonts w:ascii="Arial" w:eastAsia="宋体" w:hAnsi="Arial" w:cs="Arial"/>
                <w:sz w:val="14"/>
                <w:szCs w:val="14"/>
              </w:rPr>
              <w:t>Non-U.S.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B2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61,301</w:t>
            </w:r>
          </w:p>
        </w:tc>
        <w:tc>
          <w:tcPr>
            <w:tcW w:w="0" w:type="auto"/>
            <w:tcBorders>
              <w:bottom w:val="single" w:sz="8" w:space="0" w:color="000000"/>
            </w:tcBorders>
            <w:shd w:val="clear" w:color="auto" w:fill="CCEEFF"/>
            <w:vAlign w:val="bottom"/>
          </w:tcPr>
          <w:p w14:paraId="5556FB2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B2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124</w:t>
            </w:r>
          </w:p>
        </w:tc>
        <w:tc>
          <w:tcPr>
            <w:tcW w:w="0" w:type="auto"/>
            <w:tcBorders>
              <w:bottom w:val="single" w:sz="8" w:space="0" w:color="000000"/>
            </w:tcBorders>
            <w:shd w:val="clear" w:color="auto" w:fill="CCEEFF"/>
            <w:vAlign w:val="bottom"/>
          </w:tcPr>
          <w:p w14:paraId="5556FB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2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.20</w:t>
            </w:r>
          </w:p>
        </w:tc>
        <w:tc>
          <w:tcPr>
            <w:tcW w:w="0" w:type="auto"/>
            <w:shd w:val="clear" w:color="auto" w:fill="CCEEFF"/>
            <w:vAlign w:val="bottom"/>
          </w:tcPr>
          <w:p w14:paraId="5556FB2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B2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70,623</w:t>
            </w:r>
          </w:p>
        </w:tc>
        <w:tc>
          <w:tcPr>
            <w:tcW w:w="0" w:type="auto"/>
            <w:tcBorders>
              <w:bottom w:val="single" w:sz="8" w:space="0" w:color="000000"/>
            </w:tcBorders>
            <w:shd w:val="clear" w:color="auto" w:fill="CCEEFF"/>
            <w:vAlign w:val="bottom"/>
          </w:tcPr>
          <w:p w14:paraId="5556FB2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B3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107</w:t>
            </w:r>
          </w:p>
        </w:tc>
        <w:tc>
          <w:tcPr>
            <w:tcW w:w="0" w:type="auto"/>
            <w:tcBorders>
              <w:bottom w:val="single" w:sz="8" w:space="0" w:color="000000"/>
            </w:tcBorders>
            <w:shd w:val="clear" w:color="auto" w:fill="CCEEFF"/>
            <w:vAlign w:val="bottom"/>
          </w:tcPr>
          <w:p w14:paraId="5556FB3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3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CCEEFF"/>
            <w:vAlign w:val="bottom"/>
          </w:tcPr>
          <w:p w14:paraId="5556FB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B3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91,937</w:t>
            </w:r>
          </w:p>
        </w:tc>
        <w:tc>
          <w:tcPr>
            <w:tcW w:w="0" w:type="auto"/>
            <w:tcBorders>
              <w:bottom w:val="single" w:sz="8" w:space="0" w:color="000000"/>
            </w:tcBorders>
            <w:shd w:val="clear" w:color="auto" w:fill="CCEEFF"/>
            <w:vAlign w:val="bottom"/>
          </w:tcPr>
          <w:p w14:paraId="5556FB3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B3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67</w:t>
            </w:r>
          </w:p>
        </w:tc>
        <w:tc>
          <w:tcPr>
            <w:tcW w:w="0" w:type="auto"/>
            <w:tcBorders>
              <w:bottom w:val="single" w:sz="8" w:space="0" w:color="000000"/>
            </w:tcBorders>
            <w:shd w:val="clear" w:color="auto" w:fill="CCEEFF"/>
            <w:vAlign w:val="bottom"/>
          </w:tcPr>
          <w:p w14:paraId="5556FB3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3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.07</w:t>
            </w:r>
          </w:p>
        </w:tc>
        <w:tc>
          <w:tcPr>
            <w:tcW w:w="0" w:type="auto"/>
            <w:shd w:val="clear" w:color="auto" w:fill="CCEEFF"/>
            <w:vAlign w:val="bottom"/>
          </w:tcPr>
          <w:p w14:paraId="5556FB3E" w14:textId="77777777" w:rsidR="00F925DD" w:rsidRDefault="00F925DD">
            <w:pPr>
              <w:textAlignment w:val="bottom"/>
              <w:rPr>
                <w:rFonts w:ascii="Times New Roman" w:hAnsi="Times New Roman"/>
                <w:sz w:val="20"/>
                <w:szCs w:val="20"/>
              </w:rPr>
            </w:pPr>
          </w:p>
        </w:tc>
      </w:tr>
      <w:tr w:rsidR="00F925DD" w14:paraId="5556FB5B" w14:textId="77777777">
        <w:tc>
          <w:tcPr>
            <w:tcW w:w="0" w:type="auto"/>
            <w:shd w:val="clear" w:color="auto" w:fill="auto"/>
            <w:tcMar>
              <w:top w:w="40" w:type="dxa"/>
              <w:left w:w="40" w:type="dxa"/>
              <w:bottom w:w="40" w:type="dxa"/>
              <w:right w:w="40" w:type="dxa"/>
            </w:tcMar>
            <w:vAlign w:val="bottom"/>
          </w:tcPr>
          <w:p w14:paraId="5556FB40"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interest-bearing deposits</w:t>
            </w:r>
          </w:p>
        </w:tc>
        <w:tc>
          <w:tcPr>
            <w:tcW w:w="0" w:type="auto"/>
            <w:gridSpan w:val="2"/>
            <w:shd w:val="clear" w:color="auto" w:fill="auto"/>
            <w:tcMar>
              <w:top w:w="40" w:type="dxa"/>
              <w:left w:w="40" w:type="dxa"/>
              <w:bottom w:w="40" w:type="dxa"/>
            </w:tcMar>
            <w:vAlign w:val="bottom"/>
          </w:tcPr>
          <w:p w14:paraId="5556FB4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128,848</w:t>
            </w:r>
          </w:p>
        </w:tc>
        <w:tc>
          <w:tcPr>
            <w:tcW w:w="0" w:type="auto"/>
            <w:shd w:val="clear" w:color="auto" w:fill="auto"/>
            <w:vAlign w:val="bottom"/>
          </w:tcPr>
          <w:p w14:paraId="5556FB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4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663</w:t>
            </w:r>
          </w:p>
        </w:tc>
        <w:tc>
          <w:tcPr>
            <w:tcW w:w="0" w:type="auto"/>
            <w:shd w:val="clear" w:color="auto" w:fill="auto"/>
            <w:vAlign w:val="bottom"/>
          </w:tcPr>
          <w:p w14:paraId="5556FB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4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.51</w:t>
            </w:r>
          </w:p>
        </w:tc>
        <w:tc>
          <w:tcPr>
            <w:tcW w:w="0" w:type="auto"/>
            <w:shd w:val="clear" w:color="auto" w:fill="auto"/>
            <w:vAlign w:val="bottom"/>
          </w:tcPr>
          <w:p w14:paraId="5556FB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4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125,576</w:t>
            </w:r>
          </w:p>
        </w:tc>
        <w:tc>
          <w:tcPr>
            <w:tcW w:w="0" w:type="auto"/>
            <w:shd w:val="clear" w:color="auto" w:fill="auto"/>
            <w:vAlign w:val="bottom"/>
          </w:tcPr>
          <w:p w14:paraId="5556FB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4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363</w:t>
            </w:r>
          </w:p>
        </w:tc>
        <w:tc>
          <w:tcPr>
            <w:tcW w:w="0" w:type="auto"/>
            <w:shd w:val="clear" w:color="auto" w:fill="auto"/>
            <w:vAlign w:val="bottom"/>
          </w:tcPr>
          <w:p w14:paraId="5556FB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5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.29</w:t>
            </w:r>
          </w:p>
        </w:tc>
        <w:tc>
          <w:tcPr>
            <w:tcW w:w="0" w:type="auto"/>
            <w:shd w:val="clear" w:color="auto" w:fill="auto"/>
            <w:vAlign w:val="bottom"/>
          </w:tcPr>
          <w:p w14:paraId="5556FB5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5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122,560</w:t>
            </w:r>
          </w:p>
        </w:tc>
        <w:tc>
          <w:tcPr>
            <w:tcW w:w="0" w:type="auto"/>
            <w:shd w:val="clear" w:color="auto" w:fill="auto"/>
            <w:vAlign w:val="bottom"/>
          </w:tcPr>
          <w:p w14:paraId="5556FB5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5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163</w:t>
            </w:r>
          </w:p>
        </w:tc>
        <w:tc>
          <w:tcPr>
            <w:tcW w:w="0" w:type="auto"/>
            <w:shd w:val="clear" w:color="auto" w:fill="auto"/>
            <w:vAlign w:val="bottom"/>
          </w:tcPr>
          <w:p w14:paraId="5556FB5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5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w:t>
            </w:r>
          </w:p>
        </w:tc>
        <w:tc>
          <w:tcPr>
            <w:tcW w:w="0" w:type="auto"/>
            <w:shd w:val="clear" w:color="auto" w:fill="auto"/>
            <w:vAlign w:val="bottom"/>
          </w:tcPr>
          <w:p w14:paraId="5556FB5A" w14:textId="77777777" w:rsidR="00F925DD" w:rsidRDefault="00F925DD">
            <w:pPr>
              <w:textAlignment w:val="bottom"/>
              <w:rPr>
                <w:rFonts w:ascii="Times New Roman" w:hAnsi="Times New Roman"/>
                <w:sz w:val="20"/>
                <w:szCs w:val="20"/>
              </w:rPr>
            </w:pPr>
          </w:p>
        </w:tc>
      </w:tr>
      <w:tr w:rsidR="00E705D7" w14:paraId="5556FB77" w14:textId="77777777">
        <w:tc>
          <w:tcPr>
            <w:tcW w:w="0" w:type="auto"/>
            <w:shd w:val="clear" w:color="auto" w:fill="CCEEFF"/>
            <w:tcMar>
              <w:top w:w="40" w:type="dxa"/>
              <w:left w:w="40" w:type="dxa"/>
              <w:bottom w:w="40" w:type="dxa"/>
              <w:right w:w="40" w:type="dxa"/>
            </w:tcMar>
            <w:vAlign w:val="bottom"/>
          </w:tcPr>
          <w:p w14:paraId="5556FB5C"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sold under repurchase agreements</w:t>
            </w:r>
          </w:p>
        </w:tc>
        <w:tc>
          <w:tcPr>
            <w:tcW w:w="0" w:type="auto"/>
            <w:gridSpan w:val="2"/>
            <w:shd w:val="clear" w:color="auto" w:fill="CCEEFF"/>
            <w:tcMar>
              <w:top w:w="40" w:type="dxa"/>
              <w:left w:w="40" w:type="dxa"/>
              <w:bottom w:w="40" w:type="dxa"/>
            </w:tcMar>
            <w:vAlign w:val="bottom"/>
          </w:tcPr>
          <w:p w14:paraId="5556FB5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1,616</w:t>
            </w:r>
          </w:p>
        </w:tc>
        <w:tc>
          <w:tcPr>
            <w:tcW w:w="0" w:type="auto"/>
            <w:shd w:val="clear" w:color="auto" w:fill="CCEEFF"/>
            <w:vAlign w:val="bottom"/>
          </w:tcPr>
          <w:p w14:paraId="5556FB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6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w:t>
            </w:r>
          </w:p>
        </w:tc>
        <w:tc>
          <w:tcPr>
            <w:tcW w:w="0" w:type="auto"/>
            <w:shd w:val="clear" w:color="auto" w:fill="CCEEFF"/>
            <w:vAlign w:val="bottom"/>
          </w:tcPr>
          <w:p w14:paraId="5556FB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6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1.90</w:t>
            </w:r>
          </w:p>
        </w:tc>
        <w:tc>
          <w:tcPr>
            <w:tcW w:w="0" w:type="auto"/>
            <w:shd w:val="clear" w:color="auto" w:fill="CCEEFF"/>
            <w:vAlign w:val="bottom"/>
          </w:tcPr>
          <w:p w14:paraId="5556FB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2,048</w:t>
            </w:r>
          </w:p>
        </w:tc>
        <w:tc>
          <w:tcPr>
            <w:tcW w:w="0" w:type="auto"/>
            <w:shd w:val="clear" w:color="auto" w:fill="CCEEFF"/>
            <w:vAlign w:val="bottom"/>
          </w:tcPr>
          <w:p w14:paraId="5556FB6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6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w:t>
            </w:r>
          </w:p>
        </w:tc>
        <w:tc>
          <w:tcPr>
            <w:tcW w:w="0" w:type="auto"/>
            <w:shd w:val="clear" w:color="auto" w:fill="CCEEFF"/>
            <w:vAlign w:val="bottom"/>
          </w:tcPr>
          <w:p w14:paraId="5556FB6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6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.62</w:t>
            </w:r>
          </w:p>
        </w:tc>
        <w:tc>
          <w:tcPr>
            <w:tcW w:w="0" w:type="auto"/>
            <w:shd w:val="clear" w:color="auto" w:fill="CCEEFF"/>
            <w:vAlign w:val="bottom"/>
          </w:tcPr>
          <w:p w14:paraId="5556FB6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6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3,683</w:t>
            </w:r>
          </w:p>
        </w:tc>
        <w:tc>
          <w:tcPr>
            <w:tcW w:w="0" w:type="auto"/>
            <w:shd w:val="clear" w:color="auto" w:fill="CCEEFF"/>
            <w:vAlign w:val="bottom"/>
          </w:tcPr>
          <w:p w14:paraId="5556FB7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7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vAlign w:val="bottom"/>
          </w:tcPr>
          <w:p w14:paraId="5556FB7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7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.05</w:t>
            </w:r>
          </w:p>
        </w:tc>
        <w:tc>
          <w:tcPr>
            <w:tcW w:w="0" w:type="auto"/>
            <w:shd w:val="clear" w:color="auto" w:fill="CCEEFF"/>
            <w:vAlign w:val="bottom"/>
          </w:tcPr>
          <w:p w14:paraId="5556FB76" w14:textId="77777777" w:rsidR="00F925DD" w:rsidRDefault="00F925DD">
            <w:pPr>
              <w:textAlignment w:val="bottom"/>
              <w:rPr>
                <w:rFonts w:ascii="Times New Roman" w:hAnsi="Times New Roman"/>
                <w:sz w:val="20"/>
                <w:szCs w:val="20"/>
              </w:rPr>
            </w:pPr>
          </w:p>
        </w:tc>
      </w:tr>
      <w:tr w:rsidR="00F925DD" w14:paraId="5556FB93" w14:textId="77777777">
        <w:tc>
          <w:tcPr>
            <w:tcW w:w="0" w:type="auto"/>
            <w:shd w:val="clear" w:color="auto" w:fill="auto"/>
            <w:tcMar>
              <w:top w:w="40" w:type="dxa"/>
              <w:left w:w="40" w:type="dxa"/>
              <w:bottom w:w="40" w:type="dxa"/>
              <w:right w:w="40" w:type="dxa"/>
            </w:tcMar>
            <w:vAlign w:val="bottom"/>
          </w:tcPr>
          <w:p w14:paraId="5556FB78"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short-term borrowings</w:t>
            </w:r>
          </w:p>
        </w:tc>
        <w:tc>
          <w:tcPr>
            <w:tcW w:w="0" w:type="auto"/>
            <w:gridSpan w:val="2"/>
            <w:shd w:val="clear" w:color="auto" w:fill="auto"/>
            <w:tcMar>
              <w:top w:w="40" w:type="dxa"/>
              <w:left w:w="40" w:type="dxa"/>
              <w:bottom w:w="40" w:type="dxa"/>
            </w:tcMar>
            <w:vAlign w:val="bottom"/>
          </w:tcPr>
          <w:p w14:paraId="5556FB7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1,524</w:t>
            </w:r>
          </w:p>
        </w:tc>
        <w:tc>
          <w:tcPr>
            <w:tcW w:w="0" w:type="auto"/>
            <w:shd w:val="clear" w:color="auto" w:fill="auto"/>
            <w:vAlign w:val="bottom"/>
          </w:tcPr>
          <w:p w14:paraId="5556FB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7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w:t>
            </w:r>
          </w:p>
        </w:tc>
        <w:tc>
          <w:tcPr>
            <w:tcW w:w="0" w:type="auto"/>
            <w:shd w:val="clear" w:color="auto" w:fill="auto"/>
            <w:vAlign w:val="bottom"/>
          </w:tcPr>
          <w:p w14:paraId="5556FB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7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1.37</w:t>
            </w:r>
          </w:p>
        </w:tc>
        <w:tc>
          <w:tcPr>
            <w:tcW w:w="0" w:type="auto"/>
            <w:shd w:val="clear" w:color="auto" w:fill="auto"/>
            <w:vAlign w:val="bottom"/>
          </w:tcPr>
          <w:p w14:paraId="5556FB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8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1,327</w:t>
            </w:r>
          </w:p>
        </w:tc>
        <w:tc>
          <w:tcPr>
            <w:tcW w:w="0" w:type="auto"/>
            <w:shd w:val="clear" w:color="auto" w:fill="auto"/>
            <w:vAlign w:val="bottom"/>
          </w:tcPr>
          <w:p w14:paraId="5556FB8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8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17</w:t>
            </w:r>
          </w:p>
        </w:tc>
        <w:tc>
          <w:tcPr>
            <w:tcW w:w="0" w:type="auto"/>
            <w:shd w:val="clear" w:color="auto" w:fill="auto"/>
            <w:vAlign w:val="bottom"/>
          </w:tcPr>
          <w:p w14:paraId="5556FB8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8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1.28</w:t>
            </w:r>
          </w:p>
        </w:tc>
        <w:tc>
          <w:tcPr>
            <w:tcW w:w="0" w:type="auto"/>
            <w:shd w:val="clear" w:color="auto" w:fill="auto"/>
            <w:vAlign w:val="bottom"/>
          </w:tcPr>
          <w:p w14:paraId="5556FB8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8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1,313</w:t>
            </w:r>
          </w:p>
        </w:tc>
        <w:tc>
          <w:tcPr>
            <w:tcW w:w="0" w:type="auto"/>
            <w:shd w:val="clear" w:color="auto" w:fill="auto"/>
            <w:vAlign w:val="bottom"/>
          </w:tcPr>
          <w:p w14:paraId="5556FB8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8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B8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auto"/>
            <w:vAlign w:val="bottom"/>
          </w:tcPr>
          <w:p w14:paraId="5556FB8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9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.80</w:t>
            </w:r>
          </w:p>
        </w:tc>
        <w:tc>
          <w:tcPr>
            <w:tcW w:w="0" w:type="auto"/>
            <w:shd w:val="clear" w:color="auto" w:fill="auto"/>
            <w:vAlign w:val="bottom"/>
          </w:tcPr>
          <w:p w14:paraId="5556FB92" w14:textId="77777777" w:rsidR="00F925DD" w:rsidRDefault="00F925DD">
            <w:pPr>
              <w:textAlignment w:val="bottom"/>
              <w:rPr>
                <w:rFonts w:ascii="Times New Roman" w:hAnsi="Times New Roman"/>
                <w:sz w:val="20"/>
                <w:szCs w:val="20"/>
              </w:rPr>
            </w:pPr>
          </w:p>
        </w:tc>
      </w:tr>
      <w:tr w:rsidR="00E705D7" w14:paraId="5556FBAF" w14:textId="77777777">
        <w:tc>
          <w:tcPr>
            <w:tcW w:w="0" w:type="auto"/>
            <w:shd w:val="clear" w:color="auto" w:fill="CCEEFF"/>
            <w:tcMar>
              <w:top w:w="40" w:type="dxa"/>
              <w:left w:w="40" w:type="dxa"/>
              <w:bottom w:w="40" w:type="dxa"/>
              <w:right w:w="40" w:type="dxa"/>
            </w:tcMar>
            <w:vAlign w:val="bottom"/>
          </w:tcPr>
          <w:p w14:paraId="5556FB94" w14:textId="77777777" w:rsidR="00F925DD" w:rsidRDefault="00E705D7">
            <w:pPr>
              <w:textAlignment w:val="bottom"/>
              <w:rPr>
                <w:rFonts w:ascii="Times New Roman" w:hAnsi="Times New Roman"/>
                <w:sz w:val="14"/>
                <w:szCs w:val="14"/>
              </w:rPr>
            </w:pPr>
            <w:r>
              <w:rPr>
                <w:rFonts w:ascii="Arial" w:eastAsia="宋体" w:hAnsi="Arial" w:cs="Arial"/>
                <w:sz w:val="14"/>
                <w:szCs w:val="14"/>
              </w:rPr>
              <w:t>Long-term debt</w:t>
            </w:r>
          </w:p>
        </w:tc>
        <w:tc>
          <w:tcPr>
            <w:tcW w:w="0" w:type="auto"/>
            <w:gridSpan w:val="2"/>
            <w:shd w:val="clear" w:color="auto" w:fill="CCEEFF"/>
            <w:tcMar>
              <w:top w:w="40" w:type="dxa"/>
              <w:left w:w="40" w:type="dxa"/>
              <w:bottom w:w="40" w:type="dxa"/>
            </w:tcMar>
            <w:vAlign w:val="bottom"/>
          </w:tcPr>
          <w:p w14:paraId="5556FB9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11,474</w:t>
            </w:r>
          </w:p>
        </w:tc>
        <w:tc>
          <w:tcPr>
            <w:tcW w:w="0" w:type="auto"/>
            <w:shd w:val="clear" w:color="auto" w:fill="CCEEFF"/>
            <w:vAlign w:val="bottom"/>
          </w:tcPr>
          <w:p w14:paraId="5556FB9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9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414</w:t>
            </w:r>
          </w:p>
        </w:tc>
        <w:tc>
          <w:tcPr>
            <w:tcW w:w="0" w:type="auto"/>
            <w:shd w:val="clear" w:color="auto" w:fill="CCEEFF"/>
            <w:vAlign w:val="bottom"/>
          </w:tcPr>
          <w:p w14:paraId="5556FB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9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3.61</w:t>
            </w:r>
          </w:p>
        </w:tc>
        <w:tc>
          <w:tcPr>
            <w:tcW w:w="0" w:type="auto"/>
            <w:shd w:val="clear" w:color="auto" w:fill="CCEEFF"/>
            <w:vAlign w:val="bottom"/>
          </w:tcPr>
          <w:p w14:paraId="5556FB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9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10,686</w:t>
            </w:r>
          </w:p>
        </w:tc>
        <w:tc>
          <w:tcPr>
            <w:tcW w:w="0" w:type="auto"/>
            <w:shd w:val="clear" w:color="auto" w:fill="CCEEFF"/>
            <w:vAlign w:val="bottom"/>
          </w:tcPr>
          <w:p w14:paraId="5556FB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A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389</w:t>
            </w:r>
          </w:p>
        </w:tc>
        <w:tc>
          <w:tcPr>
            <w:tcW w:w="0" w:type="auto"/>
            <w:shd w:val="clear" w:color="auto" w:fill="CCEEFF"/>
            <w:vAlign w:val="bottom"/>
          </w:tcPr>
          <w:p w14:paraId="5556FBA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A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3.64</w:t>
            </w:r>
          </w:p>
        </w:tc>
        <w:tc>
          <w:tcPr>
            <w:tcW w:w="0" w:type="auto"/>
            <w:shd w:val="clear" w:color="auto" w:fill="CCEEFF"/>
            <w:vAlign w:val="bottom"/>
          </w:tcPr>
          <w:p w14:paraId="5556FBA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A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11,595</w:t>
            </w:r>
          </w:p>
        </w:tc>
        <w:tc>
          <w:tcPr>
            <w:tcW w:w="0" w:type="auto"/>
            <w:shd w:val="clear" w:color="auto" w:fill="CCEEFF"/>
            <w:vAlign w:val="bottom"/>
          </w:tcPr>
          <w:p w14:paraId="5556FBA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A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308</w:t>
            </w:r>
          </w:p>
        </w:tc>
        <w:tc>
          <w:tcPr>
            <w:tcW w:w="0" w:type="auto"/>
            <w:shd w:val="clear" w:color="auto" w:fill="CCEEFF"/>
            <w:vAlign w:val="bottom"/>
          </w:tcPr>
          <w:p w14:paraId="5556FBA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A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2.66</w:t>
            </w:r>
          </w:p>
        </w:tc>
        <w:tc>
          <w:tcPr>
            <w:tcW w:w="0" w:type="auto"/>
            <w:shd w:val="clear" w:color="auto" w:fill="CCEEFF"/>
            <w:vAlign w:val="bottom"/>
          </w:tcPr>
          <w:p w14:paraId="5556FBAE" w14:textId="77777777" w:rsidR="00F925DD" w:rsidRDefault="00F925DD">
            <w:pPr>
              <w:textAlignment w:val="bottom"/>
              <w:rPr>
                <w:rFonts w:ascii="Times New Roman" w:hAnsi="Times New Roman"/>
                <w:sz w:val="20"/>
                <w:szCs w:val="20"/>
              </w:rPr>
            </w:pPr>
          </w:p>
        </w:tc>
      </w:tr>
      <w:tr w:rsidR="00F925DD" w14:paraId="5556FBCB" w14:textId="77777777">
        <w:tc>
          <w:tcPr>
            <w:tcW w:w="0" w:type="auto"/>
            <w:shd w:val="clear" w:color="auto" w:fill="auto"/>
            <w:tcMar>
              <w:top w:w="40" w:type="dxa"/>
              <w:left w:w="40" w:type="dxa"/>
              <w:bottom w:w="40" w:type="dxa"/>
              <w:right w:w="40" w:type="dxa"/>
            </w:tcMar>
            <w:vAlign w:val="bottom"/>
          </w:tcPr>
          <w:p w14:paraId="5556FBB0"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interest-bearing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5556FBB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4,103</w:t>
            </w:r>
          </w:p>
        </w:tc>
        <w:tc>
          <w:tcPr>
            <w:tcW w:w="0" w:type="auto"/>
            <w:tcBorders>
              <w:bottom w:val="single" w:sz="8" w:space="0" w:color="000000"/>
            </w:tcBorders>
            <w:shd w:val="clear" w:color="auto" w:fill="auto"/>
            <w:vAlign w:val="bottom"/>
          </w:tcPr>
          <w:p w14:paraId="5556FBB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BB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246</w:t>
            </w:r>
          </w:p>
        </w:tc>
        <w:tc>
          <w:tcPr>
            <w:tcW w:w="0" w:type="auto"/>
            <w:tcBorders>
              <w:bottom w:val="single" w:sz="8" w:space="0" w:color="000000"/>
            </w:tcBorders>
            <w:shd w:val="clear" w:color="auto" w:fill="auto"/>
            <w:vAlign w:val="bottom"/>
          </w:tcPr>
          <w:p w14:paraId="5556FBB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B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6.00</w:t>
            </w:r>
          </w:p>
        </w:tc>
        <w:tc>
          <w:tcPr>
            <w:tcW w:w="0" w:type="auto"/>
            <w:shd w:val="clear" w:color="auto" w:fill="auto"/>
            <w:vAlign w:val="bottom"/>
          </w:tcPr>
          <w:p w14:paraId="5556FB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BB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4,956</w:t>
            </w:r>
          </w:p>
        </w:tc>
        <w:tc>
          <w:tcPr>
            <w:tcW w:w="0" w:type="auto"/>
            <w:tcBorders>
              <w:bottom w:val="single" w:sz="8" w:space="0" w:color="000000"/>
            </w:tcBorders>
            <w:shd w:val="clear" w:color="auto" w:fill="auto"/>
            <w:vAlign w:val="bottom"/>
          </w:tcPr>
          <w:p w14:paraId="5556FBB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BB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209</w:t>
            </w:r>
          </w:p>
        </w:tc>
        <w:tc>
          <w:tcPr>
            <w:tcW w:w="0" w:type="auto"/>
            <w:tcBorders>
              <w:bottom w:val="single" w:sz="8" w:space="0" w:color="000000"/>
            </w:tcBorders>
            <w:shd w:val="clear" w:color="auto" w:fill="auto"/>
            <w:vAlign w:val="bottom"/>
          </w:tcPr>
          <w:p w14:paraId="5556FBB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C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4.20</w:t>
            </w:r>
          </w:p>
        </w:tc>
        <w:tc>
          <w:tcPr>
            <w:tcW w:w="0" w:type="auto"/>
            <w:shd w:val="clear" w:color="auto" w:fill="auto"/>
            <w:vAlign w:val="bottom"/>
          </w:tcPr>
          <w:p w14:paraId="5556FBC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BC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4,607</w:t>
            </w:r>
          </w:p>
        </w:tc>
        <w:tc>
          <w:tcPr>
            <w:tcW w:w="0" w:type="auto"/>
            <w:tcBorders>
              <w:bottom w:val="single" w:sz="8" w:space="0" w:color="000000"/>
            </w:tcBorders>
            <w:shd w:val="clear" w:color="auto" w:fill="auto"/>
            <w:vAlign w:val="bottom"/>
          </w:tcPr>
          <w:p w14:paraId="5556FBC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BC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121</w:t>
            </w:r>
          </w:p>
        </w:tc>
        <w:tc>
          <w:tcPr>
            <w:tcW w:w="0" w:type="auto"/>
            <w:tcBorders>
              <w:bottom w:val="single" w:sz="8" w:space="0" w:color="000000"/>
            </w:tcBorders>
            <w:shd w:val="clear" w:color="auto" w:fill="auto"/>
            <w:vAlign w:val="bottom"/>
          </w:tcPr>
          <w:p w14:paraId="5556FBC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B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BC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2.63</w:t>
            </w:r>
          </w:p>
        </w:tc>
        <w:tc>
          <w:tcPr>
            <w:tcW w:w="0" w:type="auto"/>
            <w:shd w:val="clear" w:color="auto" w:fill="auto"/>
            <w:vAlign w:val="bottom"/>
          </w:tcPr>
          <w:p w14:paraId="5556FBCA" w14:textId="77777777" w:rsidR="00F925DD" w:rsidRDefault="00F925DD">
            <w:pPr>
              <w:textAlignment w:val="bottom"/>
              <w:rPr>
                <w:rFonts w:ascii="Times New Roman" w:hAnsi="Times New Roman"/>
                <w:sz w:val="20"/>
                <w:szCs w:val="20"/>
              </w:rPr>
            </w:pPr>
          </w:p>
        </w:tc>
      </w:tr>
      <w:tr w:rsidR="00E705D7" w14:paraId="5556FBE7" w14:textId="77777777">
        <w:tc>
          <w:tcPr>
            <w:tcW w:w="0" w:type="auto"/>
            <w:shd w:val="clear" w:color="auto" w:fill="CCEEFF"/>
            <w:tcMar>
              <w:top w:w="40" w:type="dxa"/>
              <w:left w:w="40" w:type="dxa"/>
              <w:bottom w:w="40" w:type="dxa"/>
              <w:right w:w="40" w:type="dxa"/>
            </w:tcMar>
            <w:vAlign w:val="bottom"/>
          </w:tcPr>
          <w:p w14:paraId="5556FBCC"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interest-bearing liabilities</w:t>
            </w:r>
          </w:p>
        </w:tc>
        <w:tc>
          <w:tcPr>
            <w:tcW w:w="0" w:type="auto"/>
            <w:gridSpan w:val="2"/>
            <w:tcBorders>
              <w:top w:val="single" w:sz="8" w:space="0" w:color="000000"/>
            </w:tcBorders>
            <w:shd w:val="clear" w:color="auto" w:fill="CCEEFF"/>
            <w:tcMar>
              <w:top w:w="40" w:type="dxa"/>
              <w:left w:w="40" w:type="dxa"/>
              <w:bottom w:w="40" w:type="dxa"/>
            </w:tcMar>
            <w:vAlign w:val="bottom"/>
          </w:tcPr>
          <w:p w14:paraId="5556FBC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147,565</w:t>
            </w:r>
          </w:p>
        </w:tc>
        <w:tc>
          <w:tcPr>
            <w:tcW w:w="0" w:type="auto"/>
            <w:tcBorders>
              <w:top w:val="single" w:sz="8" w:space="0" w:color="000000"/>
            </w:tcBorders>
            <w:shd w:val="clear" w:color="auto" w:fill="CCEEFF"/>
            <w:vAlign w:val="bottom"/>
          </w:tcPr>
          <w:p w14:paraId="5556FBC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D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1,375</w:t>
            </w:r>
          </w:p>
        </w:tc>
        <w:tc>
          <w:tcPr>
            <w:tcW w:w="0" w:type="auto"/>
            <w:shd w:val="clear" w:color="auto" w:fill="CCEEFF"/>
            <w:vAlign w:val="bottom"/>
          </w:tcPr>
          <w:p w14:paraId="5556FBD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D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.93</w:t>
            </w:r>
          </w:p>
        </w:tc>
        <w:tc>
          <w:tcPr>
            <w:tcW w:w="0" w:type="auto"/>
            <w:shd w:val="clear" w:color="auto" w:fill="CCEEFF"/>
            <w:vAlign w:val="bottom"/>
          </w:tcPr>
          <w:p w14:paraId="5556FB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BD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144,593</w:t>
            </w:r>
          </w:p>
        </w:tc>
        <w:tc>
          <w:tcPr>
            <w:tcW w:w="0" w:type="auto"/>
            <w:tcBorders>
              <w:top w:val="single" w:sz="8" w:space="0" w:color="000000"/>
            </w:tcBorders>
            <w:shd w:val="clear" w:color="auto" w:fill="CCEEFF"/>
            <w:vAlign w:val="bottom"/>
          </w:tcPr>
          <w:p w14:paraId="5556FBD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D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991</w:t>
            </w:r>
          </w:p>
        </w:tc>
        <w:tc>
          <w:tcPr>
            <w:tcW w:w="0" w:type="auto"/>
            <w:shd w:val="clear" w:color="auto" w:fill="CCEEFF"/>
            <w:vAlign w:val="bottom"/>
          </w:tcPr>
          <w:p w14:paraId="5556FBD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D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.68</w:t>
            </w:r>
          </w:p>
        </w:tc>
        <w:tc>
          <w:tcPr>
            <w:tcW w:w="0" w:type="auto"/>
            <w:shd w:val="clear" w:color="auto" w:fill="CCEEFF"/>
            <w:vAlign w:val="bottom"/>
          </w:tcPr>
          <w:p w14:paraId="5556FBD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5556FBD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143,758</w:t>
            </w:r>
          </w:p>
        </w:tc>
        <w:tc>
          <w:tcPr>
            <w:tcW w:w="0" w:type="auto"/>
            <w:tcBorders>
              <w:top w:val="single" w:sz="8" w:space="0" w:color="000000"/>
            </w:tcBorders>
            <w:shd w:val="clear" w:color="auto" w:fill="CCEEFF"/>
            <w:vAlign w:val="bottom"/>
          </w:tcPr>
          <w:p w14:paraId="5556FBE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BE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604</w:t>
            </w:r>
          </w:p>
        </w:tc>
        <w:tc>
          <w:tcPr>
            <w:tcW w:w="0" w:type="auto"/>
            <w:shd w:val="clear" w:color="auto" w:fill="CCEEFF"/>
            <w:vAlign w:val="bottom"/>
          </w:tcPr>
          <w:p w14:paraId="5556FBE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BE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w:t>
            </w:r>
          </w:p>
        </w:tc>
        <w:tc>
          <w:tcPr>
            <w:tcW w:w="0" w:type="auto"/>
            <w:shd w:val="clear" w:color="auto" w:fill="CCEEFF"/>
            <w:vAlign w:val="bottom"/>
          </w:tcPr>
          <w:p w14:paraId="5556FBE6" w14:textId="77777777" w:rsidR="00F925DD" w:rsidRDefault="00F925DD">
            <w:pPr>
              <w:textAlignment w:val="bottom"/>
              <w:rPr>
                <w:rFonts w:ascii="Times New Roman" w:hAnsi="Times New Roman"/>
                <w:sz w:val="20"/>
                <w:szCs w:val="20"/>
              </w:rPr>
            </w:pPr>
          </w:p>
        </w:tc>
      </w:tr>
      <w:tr w:rsidR="00F925DD" w14:paraId="5556FBFA" w14:textId="77777777">
        <w:tc>
          <w:tcPr>
            <w:tcW w:w="0" w:type="auto"/>
            <w:shd w:val="clear" w:color="auto" w:fill="auto"/>
            <w:tcMar>
              <w:top w:w="40" w:type="dxa"/>
              <w:left w:w="40" w:type="dxa"/>
              <w:bottom w:w="40" w:type="dxa"/>
              <w:right w:w="40" w:type="dxa"/>
            </w:tcMar>
            <w:vAlign w:val="bottom"/>
          </w:tcPr>
          <w:p w14:paraId="5556FBE8" w14:textId="77777777" w:rsidR="00F925DD" w:rsidRDefault="00E705D7">
            <w:pPr>
              <w:textAlignment w:val="bottom"/>
              <w:rPr>
                <w:rFonts w:ascii="Times New Roman" w:hAnsi="Times New Roman"/>
                <w:sz w:val="14"/>
                <w:szCs w:val="14"/>
              </w:rPr>
            </w:pPr>
            <w:r>
              <w:rPr>
                <w:rFonts w:ascii="Arial" w:eastAsia="宋体" w:hAnsi="Arial" w:cs="Arial"/>
                <w:sz w:val="14"/>
                <w:szCs w:val="14"/>
              </w:rPr>
              <w:t>Non-interest-bearing deposits:</w:t>
            </w:r>
          </w:p>
        </w:tc>
        <w:tc>
          <w:tcPr>
            <w:tcW w:w="0" w:type="auto"/>
            <w:gridSpan w:val="3"/>
            <w:shd w:val="clear" w:color="auto" w:fill="auto"/>
            <w:tcMar>
              <w:top w:w="40" w:type="dxa"/>
              <w:left w:w="40" w:type="dxa"/>
              <w:bottom w:w="40" w:type="dxa"/>
              <w:right w:w="40" w:type="dxa"/>
            </w:tcMar>
            <w:vAlign w:val="bottom"/>
          </w:tcPr>
          <w:p w14:paraId="5556FB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B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B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BE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BE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B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B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B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B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B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B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B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B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B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B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B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B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C10" w14:textId="77777777">
        <w:tc>
          <w:tcPr>
            <w:tcW w:w="0" w:type="auto"/>
            <w:shd w:val="clear" w:color="auto" w:fill="CCEEFF"/>
            <w:tcMar>
              <w:top w:w="40" w:type="dxa"/>
              <w:left w:w="240" w:type="dxa"/>
              <w:bottom w:w="40" w:type="dxa"/>
              <w:right w:w="40" w:type="dxa"/>
            </w:tcMar>
            <w:vAlign w:val="bottom"/>
          </w:tcPr>
          <w:p w14:paraId="5556FBFB" w14:textId="77777777" w:rsidR="00F925DD" w:rsidRDefault="00E705D7">
            <w:pPr>
              <w:textAlignment w:val="bottom"/>
              <w:rPr>
                <w:rFonts w:ascii="Times New Roman" w:hAnsi="Times New Roman"/>
                <w:sz w:val="14"/>
                <w:szCs w:val="14"/>
              </w:rPr>
            </w:pPr>
            <w:r>
              <w:rPr>
                <w:rFonts w:ascii="Arial" w:eastAsia="宋体" w:hAnsi="Arial" w:cs="Arial"/>
                <w:sz w:val="14"/>
                <w:szCs w:val="14"/>
              </w:rPr>
              <w:t>Special time</w:t>
            </w:r>
          </w:p>
        </w:tc>
        <w:tc>
          <w:tcPr>
            <w:tcW w:w="0" w:type="auto"/>
            <w:gridSpan w:val="2"/>
            <w:shd w:val="clear" w:color="auto" w:fill="CCEEFF"/>
            <w:tcMar>
              <w:top w:w="40" w:type="dxa"/>
              <w:left w:w="40" w:type="dxa"/>
              <w:bottom w:w="40" w:type="dxa"/>
            </w:tcMar>
            <w:vAlign w:val="bottom"/>
          </w:tcPr>
          <w:p w14:paraId="5556FBF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15,338</w:t>
            </w:r>
          </w:p>
        </w:tc>
        <w:tc>
          <w:tcPr>
            <w:tcW w:w="0" w:type="auto"/>
            <w:shd w:val="clear" w:color="auto" w:fill="CCEEFF"/>
            <w:vAlign w:val="bottom"/>
          </w:tcPr>
          <w:p w14:paraId="5556FB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B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B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0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C0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19,187</w:t>
            </w:r>
          </w:p>
        </w:tc>
        <w:tc>
          <w:tcPr>
            <w:tcW w:w="0" w:type="auto"/>
            <w:shd w:val="clear" w:color="auto" w:fill="CCEEFF"/>
            <w:vAlign w:val="bottom"/>
          </w:tcPr>
          <w:p w14:paraId="5556FC0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C0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27,402</w:t>
            </w:r>
          </w:p>
        </w:tc>
        <w:tc>
          <w:tcPr>
            <w:tcW w:w="0" w:type="auto"/>
            <w:shd w:val="clear" w:color="auto" w:fill="CCEEFF"/>
            <w:vAlign w:val="bottom"/>
          </w:tcPr>
          <w:p w14:paraId="5556FC0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C26" w14:textId="77777777">
        <w:tc>
          <w:tcPr>
            <w:tcW w:w="0" w:type="auto"/>
            <w:shd w:val="clear" w:color="auto" w:fill="auto"/>
            <w:tcMar>
              <w:top w:w="40" w:type="dxa"/>
              <w:left w:w="240" w:type="dxa"/>
              <w:bottom w:w="40" w:type="dxa"/>
              <w:right w:w="40" w:type="dxa"/>
            </w:tcMar>
            <w:vAlign w:val="bottom"/>
          </w:tcPr>
          <w:p w14:paraId="5556FC11" w14:textId="77777777" w:rsidR="00F925DD" w:rsidRDefault="00E705D7">
            <w:pPr>
              <w:textAlignment w:val="bottom"/>
              <w:rPr>
                <w:rFonts w:ascii="Times New Roman" w:hAnsi="Times New Roman"/>
                <w:sz w:val="14"/>
                <w:szCs w:val="14"/>
              </w:rPr>
            </w:pPr>
            <w:r>
              <w:rPr>
                <w:rFonts w:ascii="Arial" w:eastAsia="宋体" w:hAnsi="Arial" w:cs="Arial"/>
                <w:sz w:val="14"/>
                <w:szCs w:val="14"/>
              </w:rPr>
              <w:t>Demand</w:t>
            </w:r>
          </w:p>
        </w:tc>
        <w:tc>
          <w:tcPr>
            <w:tcW w:w="0" w:type="auto"/>
            <w:gridSpan w:val="2"/>
            <w:shd w:val="clear" w:color="auto" w:fill="auto"/>
            <w:tcMar>
              <w:top w:w="40" w:type="dxa"/>
              <w:left w:w="40" w:type="dxa"/>
              <w:bottom w:w="40" w:type="dxa"/>
            </w:tcMar>
            <w:vAlign w:val="bottom"/>
          </w:tcPr>
          <w:p w14:paraId="5556FC1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13,552</w:t>
            </w:r>
          </w:p>
        </w:tc>
        <w:tc>
          <w:tcPr>
            <w:tcW w:w="0" w:type="auto"/>
            <w:shd w:val="clear" w:color="auto" w:fill="auto"/>
            <w:vAlign w:val="bottom"/>
          </w:tcPr>
          <w:p w14:paraId="5556FC1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C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C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C1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16,260</w:t>
            </w:r>
          </w:p>
        </w:tc>
        <w:tc>
          <w:tcPr>
            <w:tcW w:w="0" w:type="auto"/>
            <w:shd w:val="clear" w:color="auto" w:fill="auto"/>
            <w:vAlign w:val="bottom"/>
          </w:tcPr>
          <w:p w14:paraId="5556FC1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C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C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C2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13,556</w:t>
            </w:r>
          </w:p>
        </w:tc>
        <w:tc>
          <w:tcPr>
            <w:tcW w:w="0" w:type="auto"/>
            <w:shd w:val="clear" w:color="auto" w:fill="auto"/>
            <w:vAlign w:val="bottom"/>
          </w:tcPr>
          <w:p w14:paraId="5556FC2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C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C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C3C" w14:textId="77777777">
        <w:tc>
          <w:tcPr>
            <w:tcW w:w="0" w:type="auto"/>
            <w:shd w:val="clear" w:color="auto" w:fill="CCEEFF"/>
            <w:tcMar>
              <w:top w:w="40" w:type="dxa"/>
              <w:left w:w="240" w:type="dxa"/>
              <w:bottom w:w="40" w:type="dxa"/>
              <w:right w:w="40" w:type="dxa"/>
            </w:tcMar>
            <w:vAlign w:val="bottom"/>
          </w:tcPr>
          <w:p w14:paraId="5556FC27" w14:textId="77777777" w:rsidR="00F925DD" w:rsidRDefault="00E705D7">
            <w:pPr>
              <w:textAlignment w:val="bottom"/>
              <w:rPr>
                <w:rFonts w:ascii="Times New Roman" w:hAnsi="Times New Roman"/>
                <w:sz w:val="14"/>
                <w:szCs w:val="14"/>
              </w:rPr>
            </w:pPr>
            <w:r>
              <w:rPr>
                <w:rFonts w:ascii="Arial" w:eastAsia="宋体" w:hAnsi="Arial" w:cs="Arial"/>
                <w:sz w:val="14"/>
                <w:szCs w:val="14"/>
              </w:rPr>
              <w:t>Non-U.S.</w:t>
            </w:r>
            <w:r>
              <w:rPr>
                <w:rFonts w:ascii="Arial" w:eastAsia="宋体" w:hAnsi="Arial" w:cs="Arial"/>
                <w:sz w:val="10"/>
                <w:szCs w:val="10"/>
              </w:rPr>
              <w:t>(2)</w:t>
            </w:r>
          </w:p>
        </w:tc>
        <w:tc>
          <w:tcPr>
            <w:tcW w:w="0" w:type="auto"/>
            <w:gridSpan w:val="2"/>
            <w:shd w:val="clear" w:color="auto" w:fill="CCEEFF"/>
            <w:tcMar>
              <w:top w:w="40" w:type="dxa"/>
              <w:left w:w="40" w:type="dxa"/>
              <w:bottom w:w="40" w:type="dxa"/>
            </w:tcMar>
            <w:vAlign w:val="bottom"/>
          </w:tcPr>
          <w:p w14:paraId="5556FC2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524</w:t>
            </w:r>
          </w:p>
        </w:tc>
        <w:tc>
          <w:tcPr>
            <w:tcW w:w="0" w:type="auto"/>
            <w:shd w:val="clear" w:color="auto" w:fill="CCEEFF"/>
            <w:vAlign w:val="bottom"/>
          </w:tcPr>
          <w:p w14:paraId="5556FC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2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C2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385</w:t>
            </w:r>
          </w:p>
        </w:tc>
        <w:tc>
          <w:tcPr>
            <w:tcW w:w="0" w:type="auto"/>
            <w:shd w:val="clear" w:color="auto" w:fill="CCEEFF"/>
            <w:vAlign w:val="bottom"/>
          </w:tcPr>
          <w:p w14:paraId="5556FC3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C3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290</w:t>
            </w:r>
          </w:p>
        </w:tc>
        <w:tc>
          <w:tcPr>
            <w:tcW w:w="0" w:type="auto"/>
            <w:shd w:val="clear" w:color="auto" w:fill="CCEEFF"/>
            <w:vAlign w:val="bottom"/>
          </w:tcPr>
          <w:p w14:paraId="5556FC3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C52" w14:textId="77777777">
        <w:tc>
          <w:tcPr>
            <w:tcW w:w="0" w:type="auto"/>
            <w:shd w:val="clear" w:color="auto" w:fill="auto"/>
            <w:tcMar>
              <w:top w:w="40" w:type="dxa"/>
              <w:left w:w="40" w:type="dxa"/>
              <w:bottom w:w="40" w:type="dxa"/>
              <w:right w:w="40" w:type="dxa"/>
            </w:tcMar>
            <w:vAlign w:val="bottom"/>
          </w:tcPr>
          <w:p w14:paraId="5556FC3D"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liabilities</w:t>
            </w:r>
          </w:p>
        </w:tc>
        <w:tc>
          <w:tcPr>
            <w:tcW w:w="0" w:type="auto"/>
            <w:gridSpan w:val="2"/>
            <w:shd w:val="clear" w:color="auto" w:fill="auto"/>
            <w:tcMar>
              <w:top w:w="40" w:type="dxa"/>
              <w:left w:w="40" w:type="dxa"/>
              <w:bottom w:w="40" w:type="dxa"/>
            </w:tcMar>
            <w:vAlign w:val="bottom"/>
          </w:tcPr>
          <w:p w14:paraId="5556FC3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21,299</w:t>
            </w:r>
          </w:p>
        </w:tc>
        <w:tc>
          <w:tcPr>
            <w:tcW w:w="0" w:type="auto"/>
            <w:shd w:val="clear" w:color="auto" w:fill="auto"/>
            <w:vAlign w:val="bottom"/>
          </w:tcPr>
          <w:p w14:paraId="5556FC3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C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C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C4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19,804</w:t>
            </w:r>
          </w:p>
        </w:tc>
        <w:tc>
          <w:tcPr>
            <w:tcW w:w="0" w:type="auto"/>
            <w:shd w:val="clear" w:color="auto" w:fill="auto"/>
            <w:vAlign w:val="bottom"/>
          </w:tcPr>
          <w:p w14:paraId="5556FC4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C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C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C4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12,379</w:t>
            </w:r>
          </w:p>
        </w:tc>
        <w:tc>
          <w:tcPr>
            <w:tcW w:w="0" w:type="auto"/>
            <w:shd w:val="clear" w:color="auto" w:fill="auto"/>
            <w:vAlign w:val="bottom"/>
          </w:tcPr>
          <w:p w14:paraId="5556FC4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C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C5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C68" w14:textId="77777777">
        <w:tc>
          <w:tcPr>
            <w:tcW w:w="0" w:type="auto"/>
            <w:shd w:val="clear" w:color="auto" w:fill="CCEEFF"/>
            <w:tcMar>
              <w:top w:w="40" w:type="dxa"/>
              <w:left w:w="40" w:type="dxa"/>
              <w:bottom w:w="40" w:type="dxa"/>
              <w:right w:w="40" w:type="dxa"/>
            </w:tcMar>
            <w:vAlign w:val="bottom"/>
          </w:tcPr>
          <w:p w14:paraId="5556FC53" w14:textId="77777777" w:rsidR="00F925DD" w:rsidRDefault="00E705D7">
            <w:pPr>
              <w:textAlignment w:val="bottom"/>
              <w:rPr>
                <w:rFonts w:ascii="Times New Roman" w:hAnsi="Times New Roman"/>
                <w:sz w:val="14"/>
                <w:szCs w:val="14"/>
              </w:rPr>
            </w:pPr>
            <w:r>
              <w:rPr>
                <w:rFonts w:ascii="Arial" w:eastAsia="宋体" w:hAnsi="Arial" w:cs="Arial"/>
                <w:sz w:val="14"/>
                <w:szCs w:val="14"/>
              </w:rPr>
              <w:t>Shareholders’ equity</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C5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25,056</w:t>
            </w:r>
          </w:p>
        </w:tc>
        <w:tc>
          <w:tcPr>
            <w:tcW w:w="0" w:type="auto"/>
            <w:tcBorders>
              <w:bottom w:val="single" w:sz="8" w:space="0" w:color="000000"/>
            </w:tcBorders>
            <w:shd w:val="clear" w:color="auto" w:fill="CCEEFF"/>
            <w:vAlign w:val="bottom"/>
          </w:tcPr>
          <w:p w14:paraId="5556FC5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5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C5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23,156</w:t>
            </w:r>
          </w:p>
        </w:tc>
        <w:tc>
          <w:tcPr>
            <w:tcW w:w="0" w:type="auto"/>
            <w:tcBorders>
              <w:bottom w:val="single" w:sz="8" w:space="0" w:color="000000"/>
            </w:tcBorders>
            <w:shd w:val="clear" w:color="auto" w:fill="CCEEFF"/>
            <w:vAlign w:val="bottom"/>
          </w:tcPr>
          <w:p w14:paraId="5556FC5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C6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22,065</w:t>
            </w:r>
          </w:p>
        </w:tc>
        <w:tc>
          <w:tcPr>
            <w:tcW w:w="0" w:type="auto"/>
            <w:tcBorders>
              <w:bottom w:val="single" w:sz="8" w:space="0" w:color="000000"/>
            </w:tcBorders>
            <w:shd w:val="clear" w:color="auto" w:fill="CCEEFF"/>
            <w:vAlign w:val="bottom"/>
          </w:tcPr>
          <w:p w14:paraId="5556FC6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C81" w14:textId="77777777">
        <w:tc>
          <w:tcPr>
            <w:tcW w:w="0" w:type="auto"/>
            <w:shd w:val="clear" w:color="auto" w:fill="auto"/>
            <w:tcMar>
              <w:top w:w="40" w:type="dxa"/>
              <w:left w:w="40" w:type="dxa"/>
              <w:bottom w:w="40" w:type="dxa"/>
              <w:right w:w="40" w:type="dxa"/>
            </w:tcMar>
            <w:vAlign w:val="bottom"/>
          </w:tcPr>
          <w:p w14:paraId="5556FC69" w14:textId="77777777" w:rsidR="00F925DD" w:rsidRDefault="00E705D7">
            <w:pPr>
              <w:textAlignment w:val="bottom"/>
              <w:rPr>
                <w:rFonts w:ascii="Times New Roman" w:hAnsi="Times New Roman"/>
                <w:sz w:val="14"/>
                <w:szCs w:val="14"/>
              </w:rPr>
            </w:pPr>
            <w:r>
              <w:rPr>
                <w:rFonts w:ascii="Arial" w:eastAsia="宋体" w:hAnsi="Arial" w:cs="Arial"/>
                <w:sz w:val="14"/>
                <w:szCs w:val="14"/>
              </w:rPr>
              <w:t>To</w:t>
            </w:r>
            <w:r>
              <w:rPr>
                <w:rFonts w:ascii="Arial" w:eastAsia="宋体" w:hAnsi="Arial" w:cs="Arial"/>
                <w:sz w:val="14"/>
                <w:szCs w:val="14"/>
              </w:rPr>
              <w:t>tal liabilities and shareholders’ equity</w:t>
            </w:r>
          </w:p>
        </w:tc>
        <w:tc>
          <w:tcPr>
            <w:tcW w:w="0" w:type="auto"/>
            <w:tcBorders>
              <w:bottom w:val="double" w:sz="6" w:space="0" w:color="000000"/>
            </w:tcBorders>
            <w:shd w:val="clear" w:color="auto" w:fill="auto"/>
            <w:tcMar>
              <w:top w:w="40" w:type="dxa"/>
              <w:left w:w="40" w:type="dxa"/>
              <w:bottom w:w="40" w:type="dxa"/>
            </w:tcMar>
            <w:vAlign w:val="bottom"/>
          </w:tcPr>
          <w:p w14:paraId="5556FC6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6FC6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223,334</w:t>
            </w:r>
          </w:p>
        </w:tc>
        <w:tc>
          <w:tcPr>
            <w:tcW w:w="0" w:type="auto"/>
            <w:tcBorders>
              <w:bottom w:val="double" w:sz="6" w:space="0" w:color="000000"/>
            </w:tcBorders>
            <w:shd w:val="clear" w:color="auto" w:fill="auto"/>
            <w:vAlign w:val="bottom"/>
          </w:tcPr>
          <w:p w14:paraId="5556FC6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C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C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C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C7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FC7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223,385</w:t>
            </w:r>
          </w:p>
        </w:tc>
        <w:tc>
          <w:tcPr>
            <w:tcW w:w="0" w:type="auto"/>
            <w:tcBorders>
              <w:bottom w:val="double" w:sz="6" w:space="0" w:color="000000"/>
            </w:tcBorders>
            <w:shd w:val="clear" w:color="auto" w:fill="auto"/>
            <w:vAlign w:val="bottom"/>
          </w:tcPr>
          <w:p w14:paraId="5556FC7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C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C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6FC7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6FC7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219,450</w:t>
            </w:r>
          </w:p>
        </w:tc>
        <w:tc>
          <w:tcPr>
            <w:tcW w:w="0" w:type="auto"/>
            <w:tcBorders>
              <w:bottom w:val="double" w:sz="6" w:space="0" w:color="000000"/>
            </w:tcBorders>
            <w:shd w:val="clear" w:color="auto" w:fill="auto"/>
            <w:vAlign w:val="bottom"/>
          </w:tcPr>
          <w:p w14:paraId="5556FC7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C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6FC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C9A" w14:textId="77777777">
        <w:tc>
          <w:tcPr>
            <w:tcW w:w="0" w:type="auto"/>
            <w:shd w:val="clear" w:color="auto" w:fill="CCEEFF"/>
            <w:tcMar>
              <w:top w:w="40" w:type="dxa"/>
              <w:left w:w="40" w:type="dxa"/>
              <w:bottom w:w="40" w:type="dxa"/>
              <w:right w:w="40" w:type="dxa"/>
            </w:tcMar>
            <w:vAlign w:val="bottom"/>
          </w:tcPr>
          <w:p w14:paraId="5556FC82"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 fully taxable-equivalent basis</w:t>
            </w:r>
          </w:p>
        </w:tc>
        <w:tc>
          <w:tcPr>
            <w:tcW w:w="0" w:type="auto"/>
            <w:gridSpan w:val="3"/>
            <w:shd w:val="clear" w:color="auto" w:fill="CCEEFF"/>
            <w:tcMar>
              <w:top w:w="40" w:type="dxa"/>
              <w:left w:w="40" w:type="dxa"/>
              <w:bottom w:w="40" w:type="dxa"/>
              <w:right w:w="40" w:type="dxa"/>
            </w:tcMar>
            <w:vAlign w:val="bottom"/>
          </w:tcPr>
          <w:p w14:paraId="5556FC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C8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C8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2,585</w:t>
            </w:r>
          </w:p>
        </w:tc>
        <w:tc>
          <w:tcPr>
            <w:tcW w:w="0" w:type="auto"/>
            <w:tcBorders>
              <w:top w:val="single" w:sz="8" w:space="0" w:color="000000"/>
              <w:bottom w:val="double" w:sz="6" w:space="0" w:color="000000"/>
            </w:tcBorders>
            <w:shd w:val="clear" w:color="auto" w:fill="CCEEFF"/>
            <w:vAlign w:val="bottom"/>
          </w:tcPr>
          <w:p w14:paraId="5556FC8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C8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C8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2,728</w:t>
            </w:r>
          </w:p>
        </w:tc>
        <w:tc>
          <w:tcPr>
            <w:tcW w:w="0" w:type="auto"/>
            <w:tcBorders>
              <w:top w:val="single" w:sz="8" w:space="0" w:color="000000"/>
              <w:bottom w:val="double" w:sz="6" w:space="0" w:color="000000"/>
            </w:tcBorders>
            <w:shd w:val="clear" w:color="auto" w:fill="CCEEFF"/>
            <w:vAlign w:val="bottom"/>
          </w:tcPr>
          <w:p w14:paraId="5556FC8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9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6FC9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6FC9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2,471</w:t>
            </w:r>
          </w:p>
        </w:tc>
        <w:tc>
          <w:tcPr>
            <w:tcW w:w="0" w:type="auto"/>
            <w:tcBorders>
              <w:top w:val="single" w:sz="8" w:space="0" w:color="000000"/>
              <w:bottom w:val="double" w:sz="6" w:space="0" w:color="000000"/>
            </w:tcBorders>
            <w:shd w:val="clear" w:color="auto" w:fill="CCEEFF"/>
            <w:vAlign w:val="bottom"/>
          </w:tcPr>
          <w:p w14:paraId="5556FC9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6FC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CB0" w14:textId="77777777">
        <w:tc>
          <w:tcPr>
            <w:tcW w:w="0" w:type="auto"/>
            <w:shd w:val="clear" w:color="auto" w:fill="auto"/>
            <w:tcMar>
              <w:top w:w="40" w:type="dxa"/>
              <w:left w:w="40" w:type="dxa"/>
              <w:bottom w:w="40" w:type="dxa"/>
              <w:right w:w="40" w:type="dxa"/>
            </w:tcMar>
            <w:vAlign w:val="bottom"/>
          </w:tcPr>
          <w:p w14:paraId="5556FC9B" w14:textId="77777777" w:rsidR="00F925DD" w:rsidRDefault="00E705D7">
            <w:pPr>
              <w:textAlignment w:val="bottom"/>
              <w:rPr>
                <w:rFonts w:ascii="Times New Roman" w:hAnsi="Times New Roman"/>
                <w:sz w:val="14"/>
                <w:szCs w:val="14"/>
              </w:rPr>
            </w:pPr>
            <w:r>
              <w:rPr>
                <w:rFonts w:ascii="Arial" w:eastAsia="宋体" w:hAnsi="Arial" w:cs="Arial"/>
                <w:sz w:val="14"/>
                <w:szCs w:val="14"/>
              </w:rPr>
              <w:t>Excess of rate earned over rate paid</w:t>
            </w:r>
          </w:p>
        </w:tc>
        <w:tc>
          <w:tcPr>
            <w:tcW w:w="0" w:type="auto"/>
            <w:gridSpan w:val="3"/>
            <w:shd w:val="clear" w:color="auto" w:fill="auto"/>
            <w:tcMar>
              <w:top w:w="40" w:type="dxa"/>
              <w:left w:w="40" w:type="dxa"/>
              <w:bottom w:w="40" w:type="dxa"/>
              <w:right w:w="40" w:type="dxa"/>
            </w:tcMar>
            <w:vAlign w:val="bottom"/>
          </w:tcPr>
          <w:p w14:paraId="5556FC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5556FC9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CA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1.25</w:t>
            </w:r>
          </w:p>
        </w:tc>
        <w:tc>
          <w:tcPr>
            <w:tcW w:w="0" w:type="auto"/>
            <w:shd w:val="clear" w:color="auto" w:fill="auto"/>
            <w:tcMar>
              <w:top w:w="40" w:type="dxa"/>
              <w:bottom w:w="40" w:type="dxa"/>
              <w:right w:w="40" w:type="dxa"/>
            </w:tcMar>
            <w:vAlign w:val="bottom"/>
          </w:tcPr>
          <w:p w14:paraId="5556FCA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FC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CA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1.32</w:t>
            </w:r>
          </w:p>
        </w:tc>
        <w:tc>
          <w:tcPr>
            <w:tcW w:w="0" w:type="auto"/>
            <w:shd w:val="clear" w:color="auto" w:fill="auto"/>
            <w:tcMar>
              <w:top w:w="40" w:type="dxa"/>
              <w:bottom w:w="40" w:type="dxa"/>
              <w:right w:w="40" w:type="dxa"/>
            </w:tcMar>
            <w:vAlign w:val="bottom"/>
          </w:tcPr>
          <w:p w14:paraId="5556FCA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C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C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6FCA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1.19</w:t>
            </w:r>
          </w:p>
        </w:tc>
        <w:tc>
          <w:tcPr>
            <w:tcW w:w="0" w:type="auto"/>
            <w:shd w:val="clear" w:color="auto" w:fill="auto"/>
            <w:tcMar>
              <w:top w:w="40" w:type="dxa"/>
              <w:bottom w:w="40" w:type="dxa"/>
              <w:right w:w="40" w:type="dxa"/>
            </w:tcMar>
            <w:vAlign w:val="bottom"/>
          </w:tcPr>
          <w:p w14:paraId="5556FCAF" w14:textId="77777777" w:rsidR="00F925DD" w:rsidRDefault="00E705D7">
            <w:pPr>
              <w:textAlignment w:val="bottom"/>
              <w:rPr>
                <w:rFonts w:ascii="Times New Roman" w:hAnsi="Times New Roman"/>
                <w:sz w:val="14"/>
                <w:szCs w:val="14"/>
              </w:rPr>
            </w:pPr>
            <w:r>
              <w:rPr>
                <w:rFonts w:ascii="Arial" w:eastAsia="宋体" w:hAnsi="Arial" w:cs="Arial"/>
                <w:sz w:val="14"/>
                <w:szCs w:val="14"/>
              </w:rPr>
              <w:t> %</w:t>
            </w:r>
          </w:p>
        </w:tc>
      </w:tr>
      <w:tr w:rsidR="00F925DD" w14:paraId="5556FCC6" w14:textId="77777777">
        <w:tc>
          <w:tcPr>
            <w:tcW w:w="0" w:type="auto"/>
            <w:shd w:val="clear" w:color="auto" w:fill="CCEEFF"/>
            <w:tcMar>
              <w:top w:w="40" w:type="dxa"/>
              <w:left w:w="40" w:type="dxa"/>
              <w:bottom w:w="40" w:type="dxa"/>
              <w:right w:w="40" w:type="dxa"/>
            </w:tcMar>
            <w:vAlign w:val="bottom"/>
          </w:tcPr>
          <w:p w14:paraId="5556FCB1"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w:t>
            </w:r>
            <w:r>
              <w:rPr>
                <w:rFonts w:ascii="Arial" w:eastAsia="宋体" w:hAnsi="Arial" w:cs="Arial"/>
                <w:sz w:val="14"/>
                <w:szCs w:val="14"/>
              </w:rPr>
              <w:t>erest margin</w:t>
            </w:r>
            <w:r>
              <w:rPr>
                <w:rFonts w:ascii="Arial" w:eastAsia="宋体" w:hAnsi="Arial" w:cs="Arial"/>
                <w:sz w:val="10"/>
                <w:szCs w:val="10"/>
              </w:rPr>
              <w:t>(3)</w:t>
            </w:r>
          </w:p>
        </w:tc>
        <w:tc>
          <w:tcPr>
            <w:tcW w:w="0" w:type="auto"/>
            <w:gridSpan w:val="3"/>
            <w:shd w:val="clear" w:color="auto" w:fill="CCEEFF"/>
            <w:tcMar>
              <w:top w:w="40" w:type="dxa"/>
              <w:left w:w="40" w:type="dxa"/>
              <w:bottom w:w="40" w:type="dxa"/>
              <w:right w:w="40" w:type="dxa"/>
            </w:tcMar>
            <w:vAlign w:val="bottom"/>
          </w:tcPr>
          <w:p w14:paraId="5556FC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CB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1.42</w:t>
            </w:r>
          </w:p>
        </w:tc>
        <w:tc>
          <w:tcPr>
            <w:tcW w:w="0" w:type="auto"/>
            <w:shd w:val="clear" w:color="auto" w:fill="CCEEFF"/>
            <w:vAlign w:val="bottom"/>
          </w:tcPr>
          <w:p w14:paraId="5556FCB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CB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1.47</w:t>
            </w:r>
          </w:p>
        </w:tc>
        <w:tc>
          <w:tcPr>
            <w:tcW w:w="0" w:type="auto"/>
            <w:shd w:val="clear" w:color="auto" w:fill="CCEEFF"/>
            <w:vAlign w:val="bottom"/>
          </w:tcPr>
          <w:p w14:paraId="5556FCB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C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C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C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CC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1.29</w:t>
            </w:r>
          </w:p>
        </w:tc>
        <w:tc>
          <w:tcPr>
            <w:tcW w:w="0" w:type="auto"/>
            <w:shd w:val="clear" w:color="auto" w:fill="CCEEFF"/>
            <w:vAlign w:val="bottom"/>
          </w:tcPr>
          <w:p w14:paraId="5556FCC5" w14:textId="77777777" w:rsidR="00F925DD" w:rsidRDefault="00F925DD">
            <w:pPr>
              <w:textAlignment w:val="bottom"/>
              <w:rPr>
                <w:rFonts w:ascii="Times New Roman" w:hAnsi="Times New Roman"/>
                <w:sz w:val="20"/>
                <w:szCs w:val="20"/>
              </w:rPr>
            </w:pPr>
          </w:p>
        </w:tc>
      </w:tr>
    </w:tbl>
    <w:p w14:paraId="5556FCC7" w14:textId="77777777" w:rsidR="00F925DD" w:rsidRDefault="00F925DD">
      <w:pPr>
        <w:rPr>
          <w:vanish/>
        </w:rPr>
      </w:pPr>
    </w:p>
    <w:tbl>
      <w:tblPr>
        <w:tblW w:w="13660" w:type="dxa"/>
        <w:tblCellMar>
          <w:left w:w="0" w:type="dxa"/>
          <w:right w:w="0" w:type="dxa"/>
        </w:tblCellMar>
        <w:tblLook w:val="04A0" w:firstRow="1" w:lastRow="0" w:firstColumn="1" w:lastColumn="0" w:noHBand="0" w:noVBand="1"/>
      </w:tblPr>
      <w:tblGrid>
        <w:gridCol w:w="3840"/>
        <w:gridCol w:w="2660"/>
        <w:gridCol w:w="2660"/>
        <w:gridCol w:w="4500"/>
      </w:tblGrid>
      <w:tr w:rsidR="00F925DD" w14:paraId="5556FCC9" w14:textId="77777777">
        <w:tc>
          <w:tcPr>
            <w:tcW w:w="0" w:type="auto"/>
            <w:gridSpan w:val="4"/>
            <w:shd w:val="clear" w:color="auto" w:fill="auto"/>
            <w:vAlign w:val="center"/>
          </w:tcPr>
          <w:p w14:paraId="5556FCC8" w14:textId="77777777" w:rsidR="00F925DD" w:rsidRDefault="00F925DD">
            <w:pPr>
              <w:rPr>
                <w:rFonts w:ascii="Times New Roman" w:hAnsi="Times New Roman"/>
                <w:sz w:val="20"/>
                <w:szCs w:val="20"/>
              </w:rPr>
            </w:pPr>
          </w:p>
        </w:tc>
      </w:tr>
      <w:tr w:rsidR="00F925DD" w14:paraId="5556FCCE" w14:textId="77777777">
        <w:tc>
          <w:tcPr>
            <w:tcW w:w="3840" w:type="dxa"/>
            <w:shd w:val="clear" w:color="auto" w:fill="auto"/>
            <w:vAlign w:val="center"/>
          </w:tcPr>
          <w:p w14:paraId="5556FCCA" w14:textId="77777777" w:rsidR="00F925DD" w:rsidRDefault="00F925DD">
            <w:pPr>
              <w:rPr>
                <w:rFonts w:ascii="Times New Roman" w:hAnsi="Times New Roman"/>
                <w:sz w:val="20"/>
                <w:szCs w:val="20"/>
              </w:rPr>
            </w:pPr>
          </w:p>
        </w:tc>
        <w:tc>
          <w:tcPr>
            <w:tcW w:w="2660" w:type="dxa"/>
            <w:shd w:val="clear" w:color="auto" w:fill="auto"/>
            <w:vAlign w:val="center"/>
          </w:tcPr>
          <w:p w14:paraId="5556FCCB" w14:textId="77777777" w:rsidR="00F925DD" w:rsidRDefault="00F925DD">
            <w:pPr>
              <w:rPr>
                <w:rFonts w:ascii="Times New Roman" w:hAnsi="Times New Roman"/>
                <w:sz w:val="20"/>
                <w:szCs w:val="20"/>
              </w:rPr>
            </w:pPr>
          </w:p>
        </w:tc>
        <w:tc>
          <w:tcPr>
            <w:tcW w:w="2660" w:type="dxa"/>
            <w:shd w:val="clear" w:color="auto" w:fill="auto"/>
            <w:vAlign w:val="center"/>
          </w:tcPr>
          <w:p w14:paraId="5556FCCC" w14:textId="77777777" w:rsidR="00F925DD" w:rsidRDefault="00F925DD">
            <w:pPr>
              <w:rPr>
                <w:rFonts w:ascii="Times New Roman" w:hAnsi="Times New Roman"/>
                <w:sz w:val="20"/>
                <w:szCs w:val="20"/>
              </w:rPr>
            </w:pPr>
          </w:p>
        </w:tc>
        <w:tc>
          <w:tcPr>
            <w:tcW w:w="4500" w:type="dxa"/>
            <w:shd w:val="clear" w:color="auto" w:fill="auto"/>
            <w:vAlign w:val="center"/>
          </w:tcPr>
          <w:p w14:paraId="5556FCCD" w14:textId="77777777" w:rsidR="00F925DD" w:rsidRDefault="00F925DD">
            <w:pPr>
              <w:rPr>
                <w:rFonts w:ascii="Times New Roman" w:hAnsi="Times New Roman"/>
                <w:sz w:val="20"/>
                <w:szCs w:val="20"/>
              </w:rPr>
            </w:pPr>
          </w:p>
        </w:tc>
      </w:tr>
      <w:tr w:rsidR="00F925DD" w14:paraId="5556FCD3"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6FC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C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6FCD4"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925DD" w14:paraId="5556FCD7" w14:textId="77777777">
        <w:trPr>
          <w:tblCellSpacing w:w="0" w:type="dxa"/>
        </w:trPr>
        <w:tc>
          <w:tcPr>
            <w:tcW w:w="240" w:type="dxa"/>
            <w:shd w:val="clear" w:color="auto" w:fill="auto"/>
            <w:vAlign w:val="center"/>
          </w:tcPr>
          <w:p w14:paraId="5556FCD5" w14:textId="77777777" w:rsidR="00F925DD" w:rsidRDefault="00F925DD">
            <w:pPr>
              <w:rPr>
                <w:rFonts w:ascii="Times New Roman" w:hAnsi="Times New Roman"/>
                <w:sz w:val="20"/>
                <w:szCs w:val="20"/>
              </w:rPr>
            </w:pPr>
          </w:p>
        </w:tc>
        <w:tc>
          <w:tcPr>
            <w:tcW w:w="0" w:type="auto"/>
            <w:shd w:val="clear" w:color="auto" w:fill="auto"/>
            <w:vAlign w:val="center"/>
          </w:tcPr>
          <w:p w14:paraId="5556FCD6" w14:textId="77777777" w:rsidR="00F925DD" w:rsidRDefault="00F925DD">
            <w:pPr>
              <w:rPr>
                <w:rFonts w:ascii="Times New Roman" w:hAnsi="Times New Roman"/>
                <w:sz w:val="20"/>
                <w:szCs w:val="20"/>
              </w:rPr>
            </w:pPr>
          </w:p>
        </w:tc>
      </w:tr>
      <w:tr w:rsidR="00F925DD" w14:paraId="5556FCDA" w14:textId="77777777">
        <w:trPr>
          <w:tblCellSpacing w:w="0" w:type="dxa"/>
        </w:trPr>
        <w:tc>
          <w:tcPr>
            <w:tcW w:w="0" w:type="auto"/>
            <w:shd w:val="clear" w:color="auto" w:fill="auto"/>
          </w:tcPr>
          <w:p w14:paraId="5556FCD8" w14:textId="77777777" w:rsidR="00F925DD" w:rsidRDefault="00E705D7">
            <w:pPr>
              <w:spacing w:line="288" w:lineRule="auto"/>
              <w:textAlignment w:val="top"/>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w:t>
            </w:r>
          </w:p>
        </w:tc>
        <w:tc>
          <w:tcPr>
            <w:tcW w:w="0" w:type="auto"/>
            <w:shd w:val="clear" w:color="auto" w:fill="auto"/>
          </w:tcPr>
          <w:p w14:paraId="5556FCD9" w14:textId="77777777" w:rsidR="00F925DD" w:rsidRDefault="00E705D7">
            <w:pPr>
              <w:spacing w:line="288" w:lineRule="auto"/>
              <w:jc w:val="both"/>
              <w:textAlignment w:val="top"/>
              <w:rPr>
                <w:rFonts w:ascii="Times New Roman" w:hAnsi="Times New Roman"/>
                <w:sz w:val="14"/>
                <w:szCs w:val="14"/>
              </w:rPr>
            </w:pPr>
            <w:r>
              <w:rPr>
                <w:rFonts w:ascii="Arial" w:eastAsia="宋体" w:hAnsi="Arial" w:cs="Arial"/>
                <w:sz w:val="14"/>
                <w:szCs w:val="14"/>
              </w:rPr>
              <w:t xml:space="preserve">Fully taxable-equivalent revenue is a method of presentation in which the tax savings achieved by investing in tax-exempt investment securities and certain </w:t>
            </w:r>
            <w:r>
              <w:rPr>
                <w:rFonts w:ascii="Arial" w:eastAsia="宋体" w:hAnsi="Arial" w:cs="Arial"/>
                <w:sz w:val="14"/>
                <w:szCs w:val="14"/>
              </w:rPr>
              <w:t>leases are included in interest income with a corresponding charge to income tax expense. This method facilitates the comparison of the performance of these assets. The adjustments are computed using a federal income tax rate of 35% for the period ending i</w:t>
            </w:r>
            <w:r>
              <w:rPr>
                <w:rFonts w:ascii="Arial" w:eastAsia="宋体" w:hAnsi="Arial" w:cs="Arial"/>
                <w:sz w:val="14"/>
                <w:szCs w:val="14"/>
              </w:rPr>
              <w:t>n 2017, and a tax rate of 21% for periods ending in 2018 and 2019, adjusted for applicable state income taxes, net of the related federal tax benefit. The fully taxable-equivalent adjustments included in interest income presented above were $19 million, $5</w:t>
            </w:r>
            <w:r>
              <w:rPr>
                <w:rFonts w:ascii="Arial" w:eastAsia="宋体" w:hAnsi="Arial" w:cs="Arial"/>
                <w:sz w:val="14"/>
                <w:szCs w:val="14"/>
              </w:rPr>
              <w:t>7 million and $167 million for the years ended December 31, 2019, 2018 and 2017, respectively, and were substantially related to tax-exempt securities (state and political subdivisions).</w:t>
            </w:r>
          </w:p>
        </w:tc>
      </w:tr>
    </w:tbl>
    <w:p w14:paraId="5556FCDB"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925DD" w14:paraId="5556FCDE" w14:textId="77777777">
        <w:trPr>
          <w:tblCellSpacing w:w="0" w:type="dxa"/>
        </w:trPr>
        <w:tc>
          <w:tcPr>
            <w:tcW w:w="240" w:type="dxa"/>
            <w:shd w:val="clear" w:color="auto" w:fill="auto"/>
            <w:vAlign w:val="center"/>
          </w:tcPr>
          <w:p w14:paraId="5556FCDC" w14:textId="77777777" w:rsidR="00F925DD" w:rsidRDefault="00F925DD">
            <w:pPr>
              <w:rPr>
                <w:rFonts w:ascii="Times New Roman" w:hAnsi="Times New Roman"/>
                <w:sz w:val="20"/>
                <w:szCs w:val="20"/>
              </w:rPr>
            </w:pPr>
          </w:p>
        </w:tc>
        <w:tc>
          <w:tcPr>
            <w:tcW w:w="0" w:type="auto"/>
            <w:shd w:val="clear" w:color="auto" w:fill="auto"/>
            <w:vAlign w:val="center"/>
          </w:tcPr>
          <w:p w14:paraId="5556FCDD" w14:textId="77777777" w:rsidR="00F925DD" w:rsidRDefault="00F925DD">
            <w:pPr>
              <w:rPr>
                <w:rFonts w:ascii="Times New Roman" w:hAnsi="Times New Roman"/>
                <w:sz w:val="20"/>
                <w:szCs w:val="20"/>
              </w:rPr>
            </w:pPr>
          </w:p>
        </w:tc>
      </w:tr>
      <w:tr w:rsidR="00F925DD" w14:paraId="5556FCE1" w14:textId="77777777">
        <w:trPr>
          <w:tblCellSpacing w:w="0" w:type="dxa"/>
        </w:trPr>
        <w:tc>
          <w:tcPr>
            <w:tcW w:w="0" w:type="auto"/>
            <w:shd w:val="clear" w:color="auto" w:fill="auto"/>
          </w:tcPr>
          <w:p w14:paraId="5556FCDF" w14:textId="77777777" w:rsidR="00F925DD" w:rsidRDefault="00E705D7">
            <w:pPr>
              <w:spacing w:line="288" w:lineRule="auto"/>
              <w:textAlignment w:val="top"/>
              <w:rPr>
                <w:rFonts w:ascii="Times New Roman" w:hAnsi="Times New Roman"/>
                <w:sz w:val="14"/>
                <w:szCs w:val="14"/>
              </w:rPr>
            </w:pPr>
            <w:r>
              <w:rPr>
                <w:rFonts w:ascii="Arial" w:eastAsia="宋体" w:hAnsi="Arial" w:cs="Arial"/>
                <w:sz w:val="10"/>
                <w:szCs w:val="10"/>
              </w:rPr>
              <w:t>(2)</w:t>
            </w:r>
            <w:r>
              <w:rPr>
                <w:rFonts w:ascii="Arial" w:eastAsia="宋体" w:hAnsi="Arial" w:cs="Arial"/>
                <w:sz w:val="14"/>
                <w:szCs w:val="14"/>
              </w:rPr>
              <w:t> </w:t>
            </w:r>
          </w:p>
        </w:tc>
        <w:tc>
          <w:tcPr>
            <w:tcW w:w="0" w:type="auto"/>
            <w:shd w:val="clear" w:color="auto" w:fill="auto"/>
          </w:tcPr>
          <w:p w14:paraId="5556FCE0" w14:textId="77777777" w:rsidR="00F925DD" w:rsidRDefault="00E705D7">
            <w:pPr>
              <w:spacing w:line="288" w:lineRule="auto"/>
              <w:jc w:val="both"/>
              <w:textAlignment w:val="top"/>
              <w:rPr>
                <w:rFonts w:ascii="Times New Roman" w:hAnsi="Times New Roman"/>
                <w:sz w:val="14"/>
                <w:szCs w:val="14"/>
              </w:rPr>
            </w:pPr>
            <w:r>
              <w:rPr>
                <w:rFonts w:ascii="Arial" w:eastAsia="宋体" w:hAnsi="Arial" w:cs="Arial"/>
                <w:sz w:val="14"/>
                <w:szCs w:val="14"/>
              </w:rPr>
              <w:t xml:space="preserve">Non-U.S. non-interest-bearing deposits were $820 </w:t>
            </w:r>
            <w:r>
              <w:rPr>
                <w:rFonts w:ascii="Arial" w:eastAsia="宋体" w:hAnsi="Arial" w:cs="Arial"/>
                <w:sz w:val="14"/>
                <w:szCs w:val="14"/>
              </w:rPr>
              <w:t>million, $1,165 million and $762 million as of December 31, 2019, 2018 and 2017, respectively.</w:t>
            </w:r>
          </w:p>
        </w:tc>
      </w:tr>
    </w:tbl>
    <w:p w14:paraId="5556FCE2"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5977"/>
      </w:tblGrid>
      <w:tr w:rsidR="00F925DD" w14:paraId="5556FCE5" w14:textId="77777777">
        <w:trPr>
          <w:tblCellSpacing w:w="0" w:type="dxa"/>
        </w:trPr>
        <w:tc>
          <w:tcPr>
            <w:tcW w:w="240" w:type="dxa"/>
            <w:shd w:val="clear" w:color="auto" w:fill="auto"/>
            <w:vAlign w:val="center"/>
          </w:tcPr>
          <w:p w14:paraId="5556FCE3" w14:textId="77777777" w:rsidR="00F925DD" w:rsidRDefault="00F925DD">
            <w:pPr>
              <w:rPr>
                <w:rFonts w:ascii="Times New Roman" w:hAnsi="Times New Roman"/>
                <w:sz w:val="20"/>
                <w:szCs w:val="20"/>
              </w:rPr>
            </w:pPr>
          </w:p>
        </w:tc>
        <w:tc>
          <w:tcPr>
            <w:tcW w:w="0" w:type="auto"/>
            <w:shd w:val="clear" w:color="auto" w:fill="auto"/>
            <w:vAlign w:val="center"/>
          </w:tcPr>
          <w:p w14:paraId="5556FCE4" w14:textId="77777777" w:rsidR="00F925DD" w:rsidRDefault="00F925DD">
            <w:pPr>
              <w:rPr>
                <w:rFonts w:ascii="Times New Roman" w:hAnsi="Times New Roman"/>
                <w:sz w:val="20"/>
                <w:szCs w:val="20"/>
              </w:rPr>
            </w:pPr>
          </w:p>
        </w:tc>
      </w:tr>
      <w:tr w:rsidR="00F925DD" w14:paraId="5556FCE8" w14:textId="77777777">
        <w:trPr>
          <w:tblCellSpacing w:w="0" w:type="dxa"/>
        </w:trPr>
        <w:tc>
          <w:tcPr>
            <w:tcW w:w="0" w:type="auto"/>
            <w:shd w:val="clear" w:color="auto" w:fill="auto"/>
          </w:tcPr>
          <w:p w14:paraId="5556FCE6" w14:textId="77777777" w:rsidR="00F925DD" w:rsidRDefault="00E705D7">
            <w:pPr>
              <w:spacing w:line="288" w:lineRule="auto"/>
              <w:textAlignment w:val="top"/>
              <w:rPr>
                <w:rFonts w:ascii="Times New Roman" w:hAnsi="Times New Roman"/>
                <w:sz w:val="14"/>
                <w:szCs w:val="14"/>
              </w:rPr>
            </w:pPr>
            <w:r>
              <w:rPr>
                <w:rFonts w:ascii="Arial" w:eastAsia="宋体" w:hAnsi="Arial" w:cs="Arial"/>
                <w:sz w:val="10"/>
                <w:szCs w:val="10"/>
              </w:rPr>
              <w:t>(3)</w:t>
            </w:r>
            <w:r>
              <w:rPr>
                <w:rFonts w:ascii="Arial" w:eastAsia="宋体" w:hAnsi="Arial" w:cs="Arial"/>
                <w:sz w:val="14"/>
                <w:szCs w:val="14"/>
              </w:rPr>
              <w:t> </w:t>
            </w:r>
          </w:p>
        </w:tc>
        <w:tc>
          <w:tcPr>
            <w:tcW w:w="0" w:type="auto"/>
            <w:shd w:val="clear" w:color="auto" w:fill="auto"/>
          </w:tcPr>
          <w:p w14:paraId="5556FCE7" w14:textId="77777777" w:rsidR="00F925DD" w:rsidRDefault="00E705D7">
            <w:pPr>
              <w:spacing w:line="288" w:lineRule="auto"/>
              <w:jc w:val="both"/>
              <w:textAlignment w:val="top"/>
              <w:rPr>
                <w:rFonts w:ascii="Times New Roman" w:hAnsi="Times New Roman"/>
                <w:sz w:val="14"/>
                <w:szCs w:val="14"/>
              </w:rPr>
            </w:pPr>
            <w:r>
              <w:rPr>
                <w:rFonts w:ascii="Arial" w:eastAsia="宋体" w:hAnsi="Arial" w:cs="Arial"/>
                <w:sz w:val="14"/>
                <w:szCs w:val="14"/>
              </w:rPr>
              <w:t>NIM is calculated by dividing fully taxable-equivalent NII by average total interest-earning assets.</w:t>
            </w:r>
          </w:p>
        </w:tc>
      </w:tr>
    </w:tbl>
    <w:p w14:paraId="5556FCE9" w14:textId="77777777" w:rsidR="00F925DD" w:rsidRDefault="00F925DD">
      <w:pPr>
        <w:rPr>
          <w:rFonts w:ascii="Times New Roman" w:hAnsi="Times New Roman"/>
          <w:sz w:val="20"/>
          <w:szCs w:val="20"/>
        </w:rPr>
      </w:pPr>
    </w:p>
    <w:p w14:paraId="5556FCEA"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176</w:t>
      </w:r>
    </w:p>
    <w:p w14:paraId="5556FCEB" w14:textId="77777777" w:rsidR="00F925DD" w:rsidRDefault="00F925DD">
      <w:pPr>
        <w:spacing w:line="288" w:lineRule="auto"/>
        <w:ind w:firstLine="600"/>
        <w:jc w:val="center"/>
        <w:rPr>
          <w:rFonts w:ascii="Times New Roman" w:hAnsi="Times New Roman"/>
          <w:sz w:val="18"/>
          <w:szCs w:val="18"/>
        </w:rPr>
      </w:pPr>
    </w:p>
    <w:p w14:paraId="5556FCEC" w14:textId="77777777" w:rsidR="00F925DD" w:rsidRDefault="00E705D7">
      <w:r>
        <w:rPr>
          <w:rFonts w:ascii="Times New Roman" w:hAnsi="Times New Roman"/>
          <w:sz w:val="18"/>
          <w:szCs w:val="18"/>
        </w:rPr>
        <w:pict w14:anchorId="555706EA">
          <v:rect id="_x0000_i1200" style="width:415.3pt;height:1.5pt" o:hralign="center" o:hrstd="t" o:hr="t" fillcolor="#a0a0a0" stroked="f"/>
        </w:pict>
      </w:r>
    </w:p>
    <w:p w14:paraId="5556FCED" w14:textId="77777777" w:rsidR="00F925DD" w:rsidRDefault="00F925DD">
      <w:pPr>
        <w:spacing w:line="288" w:lineRule="auto"/>
        <w:ind w:firstLine="600"/>
        <w:rPr>
          <w:rFonts w:ascii="Times New Roman" w:hAnsi="Times New Roman"/>
          <w:sz w:val="18"/>
          <w:szCs w:val="18"/>
        </w:rPr>
      </w:pPr>
    </w:p>
    <w:p w14:paraId="5556FCEE" w14:textId="77777777" w:rsidR="00F925DD" w:rsidRDefault="00F925DD">
      <w:pPr>
        <w:rPr>
          <w:rFonts w:ascii="Times New Roman" w:hAnsi="Times New Roman"/>
          <w:sz w:val="20"/>
          <w:szCs w:val="20"/>
        </w:rPr>
      </w:pPr>
    </w:p>
    <w:p w14:paraId="5556FCEF"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STATISTICAL DISCLOSURE BY BANK HOLDING COMPANIES (CONTINUED)</w:t>
      </w:r>
    </w:p>
    <w:p w14:paraId="5556FCF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summarizes changes in fully taxable-equivalent interest income and interest expense due to changes in volume of interest-earning assets and interest-bearing liabilities, and d</w:t>
      </w:r>
      <w:r>
        <w:rPr>
          <w:rFonts w:ascii="Arial" w:eastAsia="宋体" w:hAnsi="Arial" w:cs="Arial"/>
          <w:sz w:val="20"/>
          <w:szCs w:val="20"/>
        </w:rPr>
        <w:t>ue to changes in interest rates. Changes attributed to both volumes and rates have been allocated based on the proportion of change in each category.</w:t>
      </w:r>
    </w:p>
    <w:tbl>
      <w:tblPr>
        <w:tblW w:w="5000" w:type="pct"/>
        <w:tblCellMar>
          <w:left w:w="0" w:type="dxa"/>
          <w:right w:w="0" w:type="dxa"/>
        </w:tblCellMar>
        <w:tblLook w:val="04A0" w:firstRow="1" w:lastRow="0" w:firstColumn="1" w:lastColumn="0" w:noHBand="0" w:noVBand="1"/>
      </w:tblPr>
      <w:tblGrid>
        <w:gridCol w:w="2186"/>
        <w:gridCol w:w="119"/>
        <w:gridCol w:w="620"/>
        <w:gridCol w:w="87"/>
        <w:gridCol w:w="130"/>
        <w:gridCol w:w="119"/>
        <w:gridCol w:w="620"/>
        <w:gridCol w:w="87"/>
        <w:gridCol w:w="130"/>
        <w:gridCol w:w="119"/>
        <w:gridCol w:w="868"/>
        <w:gridCol w:w="96"/>
        <w:gridCol w:w="130"/>
        <w:gridCol w:w="119"/>
        <w:gridCol w:w="620"/>
        <w:gridCol w:w="87"/>
        <w:gridCol w:w="130"/>
        <w:gridCol w:w="119"/>
        <w:gridCol w:w="620"/>
        <w:gridCol w:w="87"/>
        <w:gridCol w:w="130"/>
        <w:gridCol w:w="119"/>
        <w:gridCol w:w="868"/>
        <w:gridCol w:w="96"/>
      </w:tblGrid>
      <w:tr w:rsidR="00F925DD" w14:paraId="5556FCF2" w14:textId="77777777">
        <w:tc>
          <w:tcPr>
            <w:tcW w:w="0" w:type="auto"/>
            <w:gridSpan w:val="24"/>
            <w:shd w:val="clear" w:color="auto" w:fill="auto"/>
            <w:vAlign w:val="center"/>
          </w:tcPr>
          <w:p w14:paraId="5556FCF1" w14:textId="77777777" w:rsidR="00F925DD" w:rsidRDefault="00F925DD">
            <w:pPr>
              <w:rPr>
                <w:rFonts w:ascii="Times New Roman" w:hAnsi="Times New Roman"/>
                <w:sz w:val="20"/>
                <w:szCs w:val="20"/>
              </w:rPr>
            </w:pPr>
          </w:p>
        </w:tc>
      </w:tr>
      <w:tr w:rsidR="00F925DD" w14:paraId="5556FD0B" w14:textId="77777777">
        <w:tc>
          <w:tcPr>
            <w:tcW w:w="1450" w:type="pct"/>
            <w:shd w:val="clear" w:color="auto" w:fill="auto"/>
            <w:vAlign w:val="center"/>
          </w:tcPr>
          <w:p w14:paraId="5556FCF3" w14:textId="77777777" w:rsidR="00F925DD" w:rsidRDefault="00F925DD">
            <w:pPr>
              <w:rPr>
                <w:rFonts w:ascii="Times New Roman" w:hAnsi="Times New Roman"/>
                <w:sz w:val="20"/>
                <w:szCs w:val="20"/>
              </w:rPr>
            </w:pPr>
          </w:p>
        </w:tc>
        <w:tc>
          <w:tcPr>
            <w:tcW w:w="50" w:type="pct"/>
            <w:shd w:val="clear" w:color="auto" w:fill="auto"/>
            <w:vAlign w:val="center"/>
          </w:tcPr>
          <w:p w14:paraId="5556FCF4" w14:textId="77777777" w:rsidR="00F925DD" w:rsidRDefault="00F925DD">
            <w:pPr>
              <w:rPr>
                <w:rFonts w:ascii="Times New Roman" w:hAnsi="Times New Roman"/>
                <w:sz w:val="20"/>
                <w:szCs w:val="20"/>
              </w:rPr>
            </w:pPr>
          </w:p>
        </w:tc>
        <w:tc>
          <w:tcPr>
            <w:tcW w:w="450" w:type="pct"/>
            <w:shd w:val="clear" w:color="auto" w:fill="auto"/>
            <w:vAlign w:val="center"/>
          </w:tcPr>
          <w:p w14:paraId="5556FCF5" w14:textId="77777777" w:rsidR="00F925DD" w:rsidRDefault="00F925DD">
            <w:pPr>
              <w:rPr>
                <w:rFonts w:ascii="Times New Roman" w:hAnsi="Times New Roman"/>
                <w:sz w:val="20"/>
                <w:szCs w:val="20"/>
              </w:rPr>
            </w:pPr>
          </w:p>
        </w:tc>
        <w:tc>
          <w:tcPr>
            <w:tcW w:w="50" w:type="pct"/>
            <w:shd w:val="clear" w:color="auto" w:fill="auto"/>
            <w:vAlign w:val="center"/>
          </w:tcPr>
          <w:p w14:paraId="5556FCF6" w14:textId="77777777" w:rsidR="00F925DD" w:rsidRDefault="00F925DD">
            <w:pPr>
              <w:rPr>
                <w:rFonts w:ascii="Times New Roman" w:hAnsi="Times New Roman"/>
                <w:sz w:val="20"/>
                <w:szCs w:val="20"/>
              </w:rPr>
            </w:pPr>
          </w:p>
        </w:tc>
        <w:tc>
          <w:tcPr>
            <w:tcW w:w="50" w:type="pct"/>
            <w:shd w:val="clear" w:color="auto" w:fill="auto"/>
            <w:vAlign w:val="center"/>
          </w:tcPr>
          <w:p w14:paraId="5556FCF7" w14:textId="77777777" w:rsidR="00F925DD" w:rsidRDefault="00F925DD">
            <w:pPr>
              <w:rPr>
                <w:rFonts w:ascii="Times New Roman" w:hAnsi="Times New Roman"/>
                <w:sz w:val="20"/>
                <w:szCs w:val="20"/>
              </w:rPr>
            </w:pPr>
          </w:p>
        </w:tc>
        <w:tc>
          <w:tcPr>
            <w:tcW w:w="50" w:type="pct"/>
            <w:shd w:val="clear" w:color="auto" w:fill="auto"/>
            <w:vAlign w:val="center"/>
          </w:tcPr>
          <w:p w14:paraId="5556FCF8" w14:textId="77777777" w:rsidR="00F925DD" w:rsidRDefault="00F925DD">
            <w:pPr>
              <w:rPr>
                <w:rFonts w:ascii="Times New Roman" w:hAnsi="Times New Roman"/>
                <w:sz w:val="20"/>
                <w:szCs w:val="20"/>
              </w:rPr>
            </w:pPr>
          </w:p>
        </w:tc>
        <w:tc>
          <w:tcPr>
            <w:tcW w:w="450" w:type="pct"/>
            <w:shd w:val="clear" w:color="auto" w:fill="auto"/>
            <w:vAlign w:val="center"/>
          </w:tcPr>
          <w:p w14:paraId="5556FCF9" w14:textId="77777777" w:rsidR="00F925DD" w:rsidRDefault="00F925DD">
            <w:pPr>
              <w:rPr>
                <w:rFonts w:ascii="Times New Roman" w:hAnsi="Times New Roman"/>
                <w:sz w:val="20"/>
                <w:szCs w:val="20"/>
              </w:rPr>
            </w:pPr>
          </w:p>
        </w:tc>
        <w:tc>
          <w:tcPr>
            <w:tcW w:w="50" w:type="pct"/>
            <w:shd w:val="clear" w:color="auto" w:fill="auto"/>
            <w:vAlign w:val="center"/>
          </w:tcPr>
          <w:p w14:paraId="5556FCFA" w14:textId="77777777" w:rsidR="00F925DD" w:rsidRDefault="00F925DD">
            <w:pPr>
              <w:rPr>
                <w:rFonts w:ascii="Times New Roman" w:hAnsi="Times New Roman"/>
                <w:sz w:val="20"/>
                <w:szCs w:val="20"/>
              </w:rPr>
            </w:pPr>
          </w:p>
        </w:tc>
        <w:tc>
          <w:tcPr>
            <w:tcW w:w="50" w:type="pct"/>
            <w:shd w:val="clear" w:color="auto" w:fill="auto"/>
            <w:vAlign w:val="center"/>
          </w:tcPr>
          <w:p w14:paraId="5556FCFB" w14:textId="77777777" w:rsidR="00F925DD" w:rsidRDefault="00F925DD">
            <w:pPr>
              <w:rPr>
                <w:rFonts w:ascii="Times New Roman" w:hAnsi="Times New Roman"/>
                <w:sz w:val="20"/>
                <w:szCs w:val="20"/>
              </w:rPr>
            </w:pPr>
          </w:p>
        </w:tc>
        <w:tc>
          <w:tcPr>
            <w:tcW w:w="50" w:type="pct"/>
            <w:shd w:val="clear" w:color="auto" w:fill="auto"/>
            <w:vAlign w:val="center"/>
          </w:tcPr>
          <w:p w14:paraId="5556FCFC" w14:textId="77777777" w:rsidR="00F925DD" w:rsidRDefault="00F925DD">
            <w:pPr>
              <w:rPr>
                <w:rFonts w:ascii="Times New Roman" w:hAnsi="Times New Roman"/>
                <w:sz w:val="20"/>
                <w:szCs w:val="20"/>
              </w:rPr>
            </w:pPr>
          </w:p>
        </w:tc>
        <w:tc>
          <w:tcPr>
            <w:tcW w:w="450" w:type="pct"/>
            <w:shd w:val="clear" w:color="auto" w:fill="auto"/>
            <w:vAlign w:val="center"/>
          </w:tcPr>
          <w:p w14:paraId="5556FCFD" w14:textId="77777777" w:rsidR="00F925DD" w:rsidRDefault="00F925DD">
            <w:pPr>
              <w:rPr>
                <w:rFonts w:ascii="Times New Roman" w:hAnsi="Times New Roman"/>
                <w:sz w:val="20"/>
                <w:szCs w:val="20"/>
              </w:rPr>
            </w:pPr>
          </w:p>
        </w:tc>
        <w:tc>
          <w:tcPr>
            <w:tcW w:w="50" w:type="pct"/>
            <w:shd w:val="clear" w:color="auto" w:fill="auto"/>
            <w:vAlign w:val="center"/>
          </w:tcPr>
          <w:p w14:paraId="5556FCFE" w14:textId="77777777" w:rsidR="00F925DD" w:rsidRDefault="00F925DD">
            <w:pPr>
              <w:rPr>
                <w:rFonts w:ascii="Times New Roman" w:hAnsi="Times New Roman"/>
                <w:sz w:val="20"/>
                <w:szCs w:val="20"/>
              </w:rPr>
            </w:pPr>
          </w:p>
        </w:tc>
        <w:tc>
          <w:tcPr>
            <w:tcW w:w="50" w:type="pct"/>
            <w:shd w:val="clear" w:color="auto" w:fill="auto"/>
            <w:vAlign w:val="center"/>
          </w:tcPr>
          <w:p w14:paraId="5556FCFF" w14:textId="77777777" w:rsidR="00F925DD" w:rsidRDefault="00F925DD">
            <w:pPr>
              <w:rPr>
                <w:rFonts w:ascii="Times New Roman" w:hAnsi="Times New Roman"/>
                <w:sz w:val="20"/>
                <w:szCs w:val="20"/>
              </w:rPr>
            </w:pPr>
          </w:p>
        </w:tc>
        <w:tc>
          <w:tcPr>
            <w:tcW w:w="50" w:type="pct"/>
            <w:shd w:val="clear" w:color="auto" w:fill="auto"/>
            <w:vAlign w:val="center"/>
          </w:tcPr>
          <w:p w14:paraId="5556FD00" w14:textId="77777777" w:rsidR="00F925DD" w:rsidRDefault="00F925DD">
            <w:pPr>
              <w:rPr>
                <w:rFonts w:ascii="Times New Roman" w:hAnsi="Times New Roman"/>
                <w:sz w:val="20"/>
                <w:szCs w:val="20"/>
              </w:rPr>
            </w:pPr>
          </w:p>
        </w:tc>
        <w:tc>
          <w:tcPr>
            <w:tcW w:w="450" w:type="pct"/>
            <w:shd w:val="clear" w:color="auto" w:fill="auto"/>
            <w:vAlign w:val="center"/>
          </w:tcPr>
          <w:p w14:paraId="5556FD01" w14:textId="77777777" w:rsidR="00F925DD" w:rsidRDefault="00F925DD">
            <w:pPr>
              <w:rPr>
                <w:rFonts w:ascii="Times New Roman" w:hAnsi="Times New Roman"/>
                <w:sz w:val="20"/>
                <w:szCs w:val="20"/>
              </w:rPr>
            </w:pPr>
          </w:p>
        </w:tc>
        <w:tc>
          <w:tcPr>
            <w:tcW w:w="50" w:type="pct"/>
            <w:shd w:val="clear" w:color="auto" w:fill="auto"/>
            <w:vAlign w:val="center"/>
          </w:tcPr>
          <w:p w14:paraId="5556FD02" w14:textId="77777777" w:rsidR="00F925DD" w:rsidRDefault="00F925DD">
            <w:pPr>
              <w:rPr>
                <w:rFonts w:ascii="Times New Roman" w:hAnsi="Times New Roman"/>
                <w:sz w:val="20"/>
                <w:szCs w:val="20"/>
              </w:rPr>
            </w:pPr>
          </w:p>
        </w:tc>
        <w:tc>
          <w:tcPr>
            <w:tcW w:w="50" w:type="pct"/>
            <w:shd w:val="clear" w:color="auto" w:fill="auto"/>
            <w:vAlign w:val="center"/>
          </w:tcPr>
          <w:p w14:paraId="5556FD03" w14:textId="77777777" w:rsidR="00F925DD" w:rsidRDefault="00F925DD">
            <w:pPr>
              <w:rPr>
                <w:rFonts w:ascii="Times New Roman" w:hAnsi="Times New Roman"/>
                <w:sz w:val="20"/>
                <w:szCs w:val="20"/>
              </w:rPr>
            </w:pPr>
          </w:p>
        </w:tc>
        <w:tc>
          <w:tcPr>
            <w:tcW w:w="50" w:type="pct"/>
            <w:shd w:val="clear" w:color="auto" w:fill="auto"/>
            <w:vAlign w:val="center"/>
          </w:tcPr>
          <w:p w14:paraId="5556FD04" w14:textId="77777777" w:rsidR="00F925DD" w:rsidRDefault="00F925DD">
            <w:pPr>
              <w:rPr>
                <w:rFonts w:ascii="Times New Roman" w:hAnsi="Times New Roman"/>
                <w:sz w:val="20"/>
                <w:szCs w:val="20"/>
              </w:rPr>
            </w:pPr>
          </w:p>
        </w:tc>
        <w:tc>
          <w:tcPr>
            <w:tcW w:w="450" w:type="pct"/>
            <w:shd w:val="clear" w:color="auto" w:fill="auto"/>
            <w:vAlign w:val="center"/>
          </w:tcPr>
          <w:p w14:paraId="5556FD05" w14:textId="77777777" w:rsidR="00F925DD" w:rsidRDefault="00F925DD">
            <w:pPr>
              <w:rPr>
                <w:rFonts w:ascii="Times New Roman" w:hAnsi="Times New Roman"/>
                <w:sz w:val="20"/>
                <w:szCs w:val="20"/>
              </w:rPr>
            </w:pPr>
          </w:p>
        </w:tc>
        <w:tc>
          <w:tcPr>
            <w:tcW w:w="50" w:type="pct"/>
            <w:shd w:val="clear" w:color="auto" w:fill="auto"/>
            <w:vAlign w:val="center"/>
          </w:tcPr>
          <w:p w14:paraId="5556FD06" w14:textId="77777777" w:rsidR="00F925DD" w:rsidRDefault="00F925DD">
            <w:pPr>
              <w:rPr>
                <w:rFonts w:ascii="Times New Roman" w:hAnsi="Times New Roman"/>
                <w:sz w:val="20"/>
                <w:szCs w:val="20"/>
              </w:rPr>
            </w:pPr>
          </w:p>
        </w:tc>
        <w:tc>
          <w:tcPr>
            <w:tcW w:w="50" w:type="pct"/>
            <w:shd w:val="clear" w:color="auto" w:fill="auto"/>
            <w:vAlign w:val="center"/>
          </w:tcPr>
          <w:p w14:paraId="5556FD07" w14:textId="77777777" w:rsidR="00F925DD" w:rsidRDefault="00F925DD">
            <w:pPr>
              <w:rPr>
                <w:rFonts w:ascii="Times New Roman" w:hAnsi="Times New Roman"/>
                <w:sz w:val="20"/>
                <w:szCs w:val="20"/>
              </w:rPr>
            </w:pPr>
          </w:p>
        </w:tc>
        <w:tc>
          <w:tcPr>
            <w:tcW w:w="50" w:type="pct"/>
            <w:shd w:val="clear" w:color="auto" w:fill="auto"/>
            <w:vAlign w:val="center"/>
          </w:tcPr>
          <w:p w14:paraId="5556FD08" w14:textId="77777777" w:rsidR="00F925DD" w:rsidRDefault="00F925DD">
            <w:pPr>
              <w:rPr>
                <w:rFonts w:ascii="Times New Roman" w:hAnsi="Times New Roman"/>
                <w:sz w:val="20"/>
                <w:szCs w:val="20"/>
              </w:rPr>
            </w:pPr>
          </w:p>
        </w:tc>
        <w:tc>
          <w:tcPr>
            <w:tcW w:w="450" w:type="pct"/>
            <w:shd w:val="clear" w:color="auto" w:fill="auto"/>
            <w:vAlign w:val="center"/>
          </w:tcPr>
          <w:p w14:paraId="5556FD09" w14:textId="77777777" w:rsidR="00F925DD" w:rsidRDefault="00F925DD">
            <w:pPr>
              <w:rPr>
                <w:rFonts w:ascii="Times New Roman" w:hAnsi="Times New Roman"/>
                <w:sz w:val="20"/>
                <w:szCs w:val="20"/>
              </w:rPr>
            </w:pPr>
          </w:p>
        </w:tc>
        <w:tc>
          <w:tcPr>
            <w:tcW w:w="50" w:type="pct"/>
            <w:shd w:val="clear" w:color="auto" w:fill="auto"/>
            <w:vAlign w:val="center"/>
          </w:tcPr>
          <w:p w14:paraId="5556FD0A" w14:textId="77777777" w:rsidR="00F925DD" w:rsidRDefault="00F925DD">
            <w:pPr>
              <w:rPr>
                <w:rFonts w:ascii="Times New Roman" w:hAnsi="Times New Roman"/>
                <w:sz w:val="20"/>
                <w:szCs w:val="20"/>
              </w:rPr>
            </w:pPr>
          </w:p>
        </w:tc>
      </w:tr>
      <w:tr w:rsidR="00F925DD" w14:paraId="5556FD10" w14:textId="77777777">
        <w:tc>
          <w:tcPr>
            <w:tcW w:w="0" w:type="auto"/>
            <w:shd w:val="clear" w:color="auto" w:fill="auto"/>
            <w:tcMar>
              <w:top w:w="40" w:type="dxa"/>
              <w:left w:w="40" w:type="dxa"/>
              <w:bottom w:w="40" w:type="dxa"/>
              <w:right w:w="40" w:type="dxa"/>
            </w:tcMar>
            <w:vAlign w:val="bottom"/>
          </w:tcPr>
          <w:p w14:paraId="5556FD0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Years Ended December 31,</w:t>
            </w:r>
          </w:p>
        </w:tc>
        <w:tc>
          <w:tcPr>
            <w:tcW w:w="0" w:type="auto"/>
            <w:gridSpan w:val="11"/>
            <w:tcBorders>
              <w:bottom w:val="single" w:sz="8" w:space="0" w:color="000000"/>
            </w:tcBorders>
            <w:shd w:val="clear" w:color="auto" w:fill="auto"/>
            <w:tcMar>
              <w:top w:w="40" w:type="dxa"/>
              <w:left w:w="40" w:type="dxa"/>
              <w:bottom w:w="40" w:type="dxa"/>
            </w:tcMar>
            <w:vAlign w:val="bottom"/>
          </w:tcPr>
          <w:p w14:paraId="5556FD0D"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2019 Compared to 2018</w:t>
            </w:r>
          </w:p>
        </w:tc>
        <w:tc>
          <w:tcPr>
            <w:tcW w:w="0" w:type="auto"/>
            <w:shd w:val="clear" w:color="auto" w:fill="auto"/>
            <w:tcMar>
              <w:top w:w="40" w:type="dxa"/>
              <w:left w:w="40" w:type="dxa"/>
              <w:bottom w:w="40" w:type="dxa"/>
              <w:right w:w="40" w:type="dxa"/>
            </w:tcMar>
            <w:vAlign w:val="bottom"/>
          </w:tcPr>
          <w:p w14:paraId="5556FD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5556FD0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2018 Compared to 2017</w:t>
            </w:r>
          </w:p>
        </w:tc>
      </w:tr>
      <w:tr w:rsidR="00F925DD" w14:paraId="5556FD20" w14:textId="77777777">
        <w:tc>
          <w:tcPr>
            <w:tcW w:w="0" w:type="auto"/>
            <w:shd w:val="clear" w:color="auto" w:fill="auto"/>
            <w:tcMar>
              <w:top w:w="40" w:type="dxa"/>
              <w:left w:w="40" w:type="dxa"/>
              <w:bottom w:w="40" w:type="dxa"/>
              <w:right w:w="40" w:type="dxa"/>
            </w:tcMar>
            <w:vAlign w:val="bottom"/>
          </w:tcPr>
          <w:p w14:paraId="5556FD1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(Dollars in millions; fully</w:t>
            </w:r>
            <w:r>
              <w:rPr>
                <w:rFonts w:ascii="Arial" w:eastAsia="宋体" w:hAnsi="Arial" w:cs="Arial"/>
                <w:b/>
                <w:bCs/>
                <w:sz w:val="14"/>
                <w:szCs w:val="14"/>
              </w:rPr>
              <w:br/>
              <w:t>taxable-equivalent basis)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D1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Change in</w:t>
            </w:r>
            <w:r>
              <w:rPr>
                <w:rFonts w:ascii="Arial" w:eastAsia="宋体" w:hAnsi="Arial" w:cs="Arial"/>
                <w:b/>
                <w:bCs/>
                <w:sz w:val="14"/>
                <w:szCs w:val="14"/>
              </w:rPr>
              <w:br/>
              <w:t>Volume</w:t>
            </w:r>
          </w:p>
        </w:tc>
        <w:tc>
          <w:tcPr>
            <w:tcW w:w="0" w:type="auto"/>
            <w:shd w:val="clear" w:color="auto" w:fill="auto"/>
            <w:tcMar>
              <w:top w:w="40" w:type="dxa"/>
              <w:left w:w="40" w:type="dxa"/>
              <w:bottom w:w="40" w:type="dxa"/>
              <w:right w:w="40" w:type="dxa"/>
            </w:tcMar>
            <w:vAlign w:val="bottom"/>
          </w:tcPr>
          <w:p w14:paraId="5556FD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D1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Change in</w:t>
            </w:r>
            <w:r>
              <w:rPr>
                <w:rFonts w:ascii="Arial" w:eastAsia="宋体" w:hAnsi="Arial" w:cs="Arial"/>
                <w:b/>
                <w:bCs/>
                <w:sz w:val="14"/>
                <w:szCs w:val="14"/>
              </w:rPr>
              <w:br/>
              <w:t>Rate</w:t>
            </w:r>
          </w:p>
        </w:tc>
        <w:tc>
          <w:tcPr>
            <w:tcW w:w="0" w:type="auto"/>
            <w:shd w:val="clear" w:color="auto" w:fill="auto"/>
            <w:tcMar>
              <w:top w:w="40" w:type="dxa"/>
              <w:left w:w="40" w:type="dxa"/>
              <w:bottom w:w="40" w:type="dxa"/>
              <w:right w:w="40" w:type="dxa"/>
            </w:tcMar>
            <w:vAlign w:val="bottom"/>
          </w:tcPr>
          <w:p w14:paraId="5556FD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D1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Net (Decrease)</w:t>
            </w:r>
            <w:r>
              <w:rPr>
                <w:rFonts w:ascii="Arial" w:eastAsia="宋体" w:hAnsi="Arial" w:cs="Arial"/>
                <w:b/>
                <w:bCs/>
                <w:sz w:val="14"/>
                <w:szCs w:val="14"/>
              </w:rPr>
              <w:br/>
              <w:t>Increase</w:t>
            </w:r>
          </w:p>
        </w:tc>
        <w:tc>
          <w:tcPr>
            <w:tcW w:w="0" w:type="auto"/>
            <w:shd w:val="clear" w:color="auto" w:fill="auto"/>
            <w:tcMar>
              <w:top w:w="40" w:type="dxa"/>
              <w:left w:w="40" w:type="dxa"/>
              <w:bottom w:w="40" w:type="dxa"/>
              <w:right w:w="40" w:type="dxa"/>
            </w:tcMar>
            <w:vAlign w:val="bottom"/>
          </w:tcPr>
          <w:p w14:paraId="5556FD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D1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Change in</w:t>
            </w:r>
          </w:p>
          <w:p w14:paraId="5556FD19"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Volume</w:t>
            </w:r>
          </w:p>
        </w:tc>
        <w:tc>
          <w:tcPr>
            <w:tcW w:w="0" w:type="auto"/>
            <w:shd w:val="clear" w:color="auto" w:fill="auto"/>
            <w:tcMar>
              <w:top w:w="40" w:type="dxa"/>
              <w:left w:w="40" w:type="dxa"/>
              <w:bottom w:w="40" w:type="dxa"/>
              <w:right w:w="40" w:type="dxa"/>
            </w:tcMar>
            <w:vAlign w:val="bottom"/>
          </w:tcPr>
          <w:p w14:paraId="5556FD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D1B"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Change in</w:t>
            </w:r>
          </w:p>
          <w:p w14:paraId="5556FD1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Rate</w:t>
            </w:r>
          </w:p>
        </w:tc>
        <w:tc>
          <w:tcPr>
            <w:tcW w:w="0" w:type="auto"/>
            <w:shd w:val="clear" w:color="auto" w:fill="auto"/>
            <w:tcMar>
              <w:top w:w="40" w:type="dxa"/>
              <w:left w:w="40" w:type="dxa"/>
              <w:bottom w:w="40" w:type="dxa"/>
              <w:right w:w="40" w:type="dxa"/>
            </w:tcMar>
            <w:vAlign w:val="bottom"/>
          </w:tcPr>
          <w:p w14:paraId="5556FD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D1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Net (Decrease)</w:t>
            </w:r>
          </w:p>
          <w:p w14:paraId="5556FD1F"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Increase</w:t>
            </w:r>
          </w:p>
        </w:tc>
      </w:tr>
      <w:tr w:rsidR="00F925DD" w14:paraId="5556FD2D" w14:textId="77777777">
        <w:tc>
          <w:tcPr>
            <w:tcW w:w="0" w:type="auto"/>
            <w:shd w:val="clear" w:color="auto" w:fill="auto"/>
            <w:tcMar>
              <w:top w:w="40" w:type="dxa"/>
              <w:left w:w="40" w:type="dxa"/>
              <w:bottom w:w="40" w:type="dxa"/>
              <w:right w:w="40" w:type="dxa"/>
            </w:tcMar>
            <w:vAlign w:val="bottom"/>
          </w:tcPr>
          <w:p w14:paraId="5556FD2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Interest income related to:</w:t>
            </w:r>
          </w:p>
        </w:tc>
        <w:tc>
          <w:tcPr>
            <w:tcW w:w="0" w:type="auto"/>
            <w:gridSpan w:val="3"/>
            <w:shd w:val="clear" w:color="auto" w:fill="auto"/>
            <w:tcMar>
              <w:top w:w="40" w:type="dxa"/>
              <w:left w:w="40" w:type="dxa"/>
              <w:bottom w:w="40" w:type="dxa"/>
              <w:right w:w="40" w:type="dxa"/>
            </w:tcMar>
            <w:vAlign w:val="bottom"/>
          </w:tcPr>
          <w:p w14:paraId="5556FD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D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D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D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D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D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D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D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D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D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D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D46" w14:textId="77777777">
        <w:tc>
          <w:tcPr>
            <w:tcW w:w="0" w:type="auto"/>
            <w:shd w:val="clear" w:color="auto" w:fill="CCEEFF"/>
            <w:tcMar>
              <w:top w:w="40" w:type="dxa"/>
              <w:left w:w="40" w:type="dxa"/>
              <w:bottom w:w="40" w:type="dxa"/>
              <w:right w:w="40" w:type="dxa"/>
            </w:tcMar>
            <w:vAlign w:val="bottom"/>
          </w:tcPr>
          <w:p w14:paraId="5556FD2E"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Interest-bearing deposits with U.S. banks</w:t>
            </w:r>
          </w:p>
        </w:tc>
        <w:tc>
          <w:tcPr>
            <w:tcW w:w="0" w:type="auto"/>
            <w:shd w:val="clear" w:color="auto" w:fill="CCEEFF"/>
            <w:tcMar>
              <w:top w:w="40" w:type="dxa"/>
              <w:left w:w="40" w:type="dxa"/>
              <w:bottom w:w="40" w:type="dxa"/>
            </w:tcMar>
            <w:vAlign w:val="bottom"/>
          </w:tcPr>
          <w:p w14:paraId="5556FD2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FD3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shd w:val="clear" w:color="auto" w:fill="CCEEFF"/>
            <w:tcMar>
              <w:top w:w="40" w:type="dxa"/>
              <w:bottom w:w="40" w:type="dxa"/>
              <w:right w:w="40" w:type="dxa"/>
            </w:tcMar>
            <w:vAlign w:val="bottom"/>
          </w:tcPr>
          <w:p w14:paraId="5556FD3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D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D3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FD3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39</w:t>
            </w:r>
          </w:p>
        </w:tc>
        <w:tc>
          <w:tcPr>
            <w:tcW w:w="0" w:type="auto"/>
            <w:shd w:val="clear" w:color="auto" w:fill="CCEEFF"/>
            <w:vAlign w:val="bottom"/>
          </w:tcPr>
          <w:p w14:paraId="5556FD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D3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6FD3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15</w:t>
            </w:r>
          </w:p>
        </w:tc>
        <w:tc>
          <w:tcPr>
            <w:tcW w:w="0" w:type="auto"/>
            <w:shd w:val="clear" w:color="auto" w:fill="CCEEFF"/>
            <w:vAlign w:val="bottom"/>
          </w:tcPr>
          <w:p w14:paraId="5556FD3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D3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D3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w:t>
            </w:r>
          </w:p>
        </w:tc>
        <w:tc>
          <w:tcPr>
            <w:tcW w:w="0" w:type="auto"/>
            <w:shd w:val="clear" w:color="auto" w:fill="CCEEFF"/>
            <w:vAlign w:val="bottom"/>
          </w:tcPr>
          <w:p w14:paraId="5556FD3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D3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D4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147</w:t>
            </w:r>
          </w:p>
        </w:tc>
        <w:tc>
          <w:tcPr>
            <w:tcW w:w="0" w:type="auto"/>
            <w:shd w:val="clear" w:color="auto" w:fill="CCEEFF"/>
            <w:vAlign w:val="bottom"/>
          </w:tcPr>
          <w:p w14:paraId="5556FD4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6FD4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6FD4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161</w:t>
            </w:r>
          </w:p>
        </w:tc>
        <w:tc>
          <w:tcPr>
            <w:tcW w:w="0" w:type="auto"/>
            <w:shd w:val="clear" w:color="auto" w:fill="CCEEFF"/>
            <w:vAlign w:val="bottom"/>
          </w:tcPr>
          <w:p w14:paraId="5556FD45" w14:textId="77777777" w:rsidR="00F925DD" w:rsidRDefault="00F925DD">
            <w:pPr>
              <w:textAlignment w:val="bottom"/>
              <w:rPr>
                <w:rFonts w:ascii="Times New Roman" w:hAnsi="Times New Roman"/>
                <w:sz w:val="20"/>
                <w:szCs w:val="20"/>
              </w:rPr>
            </w:pPr>
          </w:p>
        </w:tc>
      </w:tr>
      <w:tr w:rsidR="00F925DD" w14:paraId="5556FD59" w14:textId="77777777">
        <w:tc>
          <w:tcPr>
            <w:tcW w:w="0" w:type="auto"/>
            <w:shd w:val="clear" w:color="auto" w:fill="auto"/>
            <w:tcMar>
              <w:top w:w="40" w:type="dxa"/>
              <w:left w:w="40" w:type="dxa"/>
              <w:bottom w:w="40" w:type="dxa"/>
              <w:right w:w="40" w:type="dxa"/>
            </w:tcMar>
            <w:vAlign w:val="bottom"/>
          </w:tcPr>
          <w:p w14:paraId="5556FD47"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Interest-bearing deposits with non-U.S. banks</w:t>
            </w:r>
          </w:p>
        </w:tc>
        <w:tc>
          <w:tcPr>
            <w:tcW w:w="0" w:type="auto"/>
            <w:gridSpan w:val="2"/>
            <w:shd w:val="clear" w:color="auto" w:fill="auto"/>
            <w:tcMar>
              <w:top w:w="40" w:type="dxa"/>
              <w:left w:w="40" w:type="dxa"/>
              <w:bottom w:w="40" w:type="dxa"/>
            </w:tcMar>
            <w:vAlign w:val="bottom"/>
          </w:tcPr>
          <w:p w14:paraId="5556FD4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w:t>
            </w:r>
          </w:p>
        </w:tc>
        <w:tc>
          <w:tcPr>
            <w:tcW w:w="0" w:type="auto"/>
            <w:shd w:val="clear" w:color="auto" w:fill="auto"/>
            <w:tcMar>
              <w:top w:w="40" w:type="dxa"/>
              <w:bottom w:w="40" w:type="dxa"/>
              <w:right w:w="40" w:type="dxa"/>
            </w:tcMar>
            <w:vAlign w:val="bottom"/>
          </w:tcPr>
          <w:p w14:paraId="5556FD4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FD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4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w:t>
            </w:r>
          </w:p>
        </w:tc>
        <w:tc>
          <w:tcPr>
            <w:tcW w:w="0" w:type="auto"/>
            <w:shd w:val="clear" w:color="auto" w:fill="auto"/>
            <w:vAlign w:val="bottom"/>
          </w:tcPr>
          <w:p w14:paraId="5556FD4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4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shd w:val="clear" w:color="auto" w:fill="auto"/>
            <w:vAlign w:val="bottom"/>
          </w:tcPr>
          <w:p w14:paraId="5556FD4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5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tcMar>
              <w:top w:w="40" w:type="dxa"/>
              <w:bottom w:w="40" w:type="dxa"/>
              <w:right w:w="40" w:type="dxa"/>
            </w:tcMar>
            <w:vAlign w:val="bottom"/>
          </w:tcPr>
          <w:p w14:paraId="5556FD5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D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5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47</w:t>
            </w:r>
          </w:p>
        </w:tc>
        <w:tc>
          <w:tcPr>
            <w:tcW w:w="0" w:type="auto"/>
            <w:shd w:val="clear" w:color="auto" w:fill="auto"/>
            <w:vAlign w:val="bottom"/>
          </w:tcPr>
          <w:p w14:paraId="5556FD5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5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46</w:t>
            </w:r>
          </w:p>
        </w:tc>
        <w:tc>
          <w:tcPr>
            <w:tcW w:w="0" w:type="auto"/>
            <w:shd w:val="clear" w:color="auto" w:fill="auto"/>
            <w:vAlign w:val="bottom"/>
          </w:tcPr>
          <w:p w14:paraId="5556FD58" w14:textId="77777777" w:rsidR="00F925DD" w:rsidRDefault="00F925DD">
            <w:pPr>
              <w:textAlignment w:val="bottom"/>
              <w:rPr>
                <w:rFonts w:ascii="Times New Roman" w:hAnsi="Times New Roman"/>
                <w:sz w:val="20"/>
                <w:szCs w:val="20"/>
              </w:rPr>
            </w:pPr>
          </w:p>
        </w:tc>
      </w:tr>
      <w:tr w:rsidR="00F925DD" w14:paraId="5556FD6C" w14:textId="77777777">
        <w:tc>
          <w:tcPr>
            <w:tcW w:w="0" w:type="auto"/>
            <w:shd w:val="clear" w:color="auto" w:fill="CCEEFF"/>
            <w:tcMar>
              <w:top w:w="40" w:type="dxa"/>
              <w:left w:w="40" w:type="dxa"/>
              <w:bottom w:w="40" w:type="dxa"/>
              <w:right w:w="40" w:type="dxa"/>
            </w:tcMar>
            <w:vAlign w:val="bottom"/>
          </w:tcPr>
          <w:p w14:paraId="5556FD5A" w14:textId="77777777" w:rsidR="00F925DD" w:rsidRDefault="00E705D7">
            <w:pPr>
              <w:textAlignment w:val="bottom"/>
              <w:rPr>
                <w:rFonts w:ascii="Times New Roman" w:hAnsi="Times New Roman"/>
                <w:sz w:val="14"/>
                <w:szCs w:val="14"/>
              </w:rPr>
            </w:pPr>
            <w:r>
              <w:rPr>
                <w:rFonts w:ascii="Arial" w:eastAsia="宋体" w:hAnsi="Arial" w:cs="Arial"/>
                <w:sz w:val="14"/>
                <w:szCs w:val="14"/>
              </w:rPr>
              <w:t>Securities purchased under resale agreements</w:t>
            </w:r>
          </w:p>
        </w:tc>
        <w:tc>
          <w:tcPr>
            <w:tcW w:w="0" w:type="auto"/>
            <w:gridSpan w:val="2"/>
            <w:shd w:val="clear" w:color="auto" w:fill="CCEEFF"/>
            <w:tcMar>
              <w:top w:w="40" w:type="dxa"/>
              <w:left w:w="40" w:type="dxa"/>
              <w:bottom w:w="40" w:type="dxa"/>
            </w:tcMar>
            <w:vAlign w:val="bottom"/>
          </w:tcPr>
          <w:p w14:paraId="5556FD5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(46</w:t>
            </w:r>
          </w:p>
        </w:tc>
        <w:tc>
          <w:tcPr>
            <w:tcW w:w="0" w:type="auto"/>
            <w:shd w:val="clear" w:color="auto" w:fill="CCEEFF"/>
            <w:tcMar>
              <w:top w:w="40" w:type="dxa"/>
              <w:bottom w:w="40" w:type="dxa"/>
              <w:right w:w="40" w:type="dxa"/>
            </w:tcMar>
            <w:vAlign w:val="bottom"/>
          </w:tcPr>
          <w:p w14:paraId="5556FD5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D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5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75</w:t>
            </w:r>
          </w:p>
        </w:tc>
        <w:tc>
          <w:tcPr>
            <w:tcW w:w="0" w:type="auto"/>
            <w:shd w:val="clear" w:color="auto" w:fill="CCEEFF"/>
            <w:vAlign w:val="bottom"/>
          </w:tcPr>
          <w:p w14:paraId="5556FD5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6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w:t>
            </w:r>
          </w:p>
        </w:tc>
        <w:tc>
          <w:tcPr>
            <w:tcW w:w="0" w:type="auto"/>
            <w:shd w:val="clear" w:color="auto" w:fill="CCEEFF"/>
            <w:vAlign w:val="bottom"/>
          </w:tcPr>
          <w:p w14:paraId="5556FD6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6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95</w:t>
            </w:r>
          </w:p>
        </w:tc>
        <w:tc>
          <w:tcPr>
            <w:tcW w:w="0" w:type="auto"/>
            <w:shd w:val="clear" w:color="auto" w:fill="CCEEFF"/>
            <w:vAlign w:val="bottom"/>
          </w:tcPr>
          <w:p w14:paraId="5556FD6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6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w:t>
            </w:r>
          </w:p>
        </w:tc>
        <w:tc>
          <w:tcPr>
            <w:tcW w:w="0" w:type="auto"/>
            <w:shd w:val="clear" w:color="auto" w:fill="CCEEFF"/>
            <w:tcMar>
              <w:top w:w="40" w:type="dxa"/>
              <w:bottom w:w="40" w:type="dxa"/>
              <w:right w:w="40" w:type="dxa"/>
            </w:tcMar>
            <w:vAlign w:val="bottom"/>
          </w:tcPr>
          <w:p w14:paraId="5556FD6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D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6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71</w:t>
            </w:r>
          </w:p>
        </w:tc>
        <w:tc>
          <w:tcPr>
            <w:tcW w:w="0" w:type="auto"/>
            <w:shd w:val="clear" w:color="auto" w:fill="CCEEFF"/>
            <w:vAlign w:val="bottom"/>
          </w:tcPr>
          <w:p w14:paraId="5556FD6B" w14:textId="77777777" w:rsidR="00F925DD" w:rsidRDefault="00F925DD">
            <w:pPr>
              <w:textAlignment w:val="bottom"/>
              <w:rPr>
                <w:rFonts w:ascii="Times New Roman" w:hAnsi="Times New Roman"/>
                <w:sz w:val="20"/>
                <w:szCs w:val="20"/>
              </w:rPr>
            </w:pPr>
          </w:p>
        </w:tc>
      </w:tr>
      <w:tr w:rsidR="00F925DD" w14:paraId="5556FD7F" w14:textId="77777777">
        <w:tc>
          <w:tcPr>
            <w:tcW w:w="0" w:type="auto"/>
            <w:shd w:val="clear" w:color="auto" w:fill="auto"/>
            <w:tcMar>
              <w:top w:w="40" w:type="dxa"/>
              <w:left w:w="40" w:type="dxa"/>
              <w:bottom w:w="40" w:type="dxa"/>
              <w:right w:w="40" w:type="dxa"/>
            </w:tcMar>
            <w:vAlign w:val="bottom"/>
          </w:tcPr>
          <w:p w14:paraId="5556FD6D" w14:textId="77777777" w:rsidR="00F925DD" w:rsidRDefault="00E705D7">
            <w:pPr>
              <w:textAlignment w:val="bottom"/>
              <w:rPr>
                <w:rFonts w:ascii="Times New Roman" w:hAnsi="Times New Roman"/>
                <w:sz w:val="14"/>
                <w:szCs w:val="14"/>
              </w:rPr>
            </w:pPr>
            <w:r>
              <w:rPr>
                <w:rFonts w:ascii="Arial" w:eastAsia="宋体" w:hAnsi="Arial" w:cs="Arial"/>
                <w:sz w:val="14"/>
                <w:szCs w:val="14"/>
              </w:rPr>
              <w:t>Trading account assets</w:t>
            </w:r>
          </w:p>
        </w:tc>
        <w:tc>
          <w:tcPr>
            <w:tcW w:w="0" w:type="auto"/>
            <w:gridSpan w:val="2"/>
            <w:shd w:val="clear" w:color="auto" w:fill="auto"/>
            <w:tcMar>
              <w:top w:w="40" w:type="dxa"/>
              <w:left w:w="40" w:type="dxa"/>
              <w:bottom w:w="40" w:type="dxa"/>
            </w:tcMar>
            <w:vAlign w:val="bottom"/>
          </w:tcPr>
          <w:p w14:paraId="5556FD6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D6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7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vAlign w:val="bottom"/>
          </w:tcPr>
          <w:p w14:paraId="5556FD7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7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auto"/>
            <w:vAlign w:val="bottom"/>
          </w:tcPr>
          <w:p w14:paraId="5556FD7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7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7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vAlign w:val="bottom"/>
          </w:tcPr>
          <w:p w14:paraId="5556FD7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7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vAlign w:val="bottom"/>
          </w:tcPr>
          <w:p w14:paraId="5556FD7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7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vAlign w:val="bottom"/>
          </w:tcPr>
          <w:p w14:paraId="5556FD7E" w14:textId="77777777" w:rsidR="00F925DD" w:rsidRDefault="00F925DD">
            <w:pPr>
              <w:textAlignment w:val="bottom"/>
              <w:rPr>
                <w:rFonts w:ascii="Times New Roman" w:hAnsi="Times New Roman"/>
                <w:sz w:val="20"/>
                <w:szCs w:val="20"/>
              </w:rPr>
            </w:pPr>
          </w:p>
        </w:tc>
      </w:tr>
      <w:tr w:rsidR="00F925DD" w14:paraId="5556FD8C" w14:textId="77777777">
        <w:tc>
          <w:tcPr>
            <w:tcW w:w="0" w:type="auto"/>
            <w:shd w:val="clear" w:color="auto" w:fill="CCEEFF"/>
            <w:tcMar>
              <w:top w:w="40" w:type="dxa"/>
              <w:left w:w="40" w:type="dxa"/>
              <w:bottom w:w="40" w:type="dxa"/>
              <w:right w:w="40" w:type="dxa"/>
            </w:tcMar>
            <w:vAlign w:val="bottom"/>
          </w:tcPr>
          <w:p w14:paraId="5556FD80" w14:textId="77777777" w:rsidR="00F925DD" w:rsidRDefault="00E705D7">
            <w:pPr>
              <w:textAlignment w:val="bottom"/>
              <w:rPr>
                <w:rFonts w:ascii="Times New Roman" w:hAnsi="Times New Roman"/>
                <w:sz w:val="14"/>
                <w:szCs w:val="14"/>
              </w:rPr>
            </w:pPr>
            <w:r>
              <w:rPr>
                <w:rFonts w:ascii="Arial" w:eastAsia="宋体" w:hAnsi="Arial" w:cs="Arial"/>
                <w:sz w:val="14"/>
                <w:szCs w:val="14"/>
              </w:rPr>
              <w:t>Investment securities:</w:t>
            </w:r>
          </w:p>
        </w:tc>
        <w:tc>
          <w:tcPr>
            <w:tcW w:w="0" w:type="auto"/>
            <w:gridSpan w:val="3"/>
            <w:shd w:val="clear" w:color="auto" w:fill="CCEEFF"/>
            <w:tcMar>
              <w:top w:w="40" w:type="dxa"/>
              <w:left w:w="40" w:type="dxa"/>
              <w:bottom w:w="40" w:type="dxa"/>
              <w:right w:w="40" w:type="dxa"/>
            </w:tcMar>
            <w:vAlign w:val="bottom"/>
          </w:tcPr>
          <w:p w14:paraId="5556FD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D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D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D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D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D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D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D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D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D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D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D9F" w14:textId="77777777">
        <w:tc>
          <w:tcPr>
            <w:tcW w:w="0" w:type="auto"/>
            <w:shd w:val="clear" w:color="auto" w:fill="auto"/>
            <w:tcMar>
              <w:top w:w="40" w:type="dxa"/>
              <w:left w:w="240" w:type="dxa"/>
              <w:bottom w:w="40" w:type="dxa"/>
              <w:right w:w="40" w:type="dxa"/>
            </w:tcMar>
            <w:vAlign w:val="bottom"/>
          </w:tcPr>
          <w:p w14:paraId="5556FD8D" w14:textId="77777777" w:rsidR="00F925DD" w:rsidRDefault="00E705D7">
            <w:pPr>
              <w:textAlignment w:val="bottom"/>
              <w:rPr>
                <w:rFonts w:ascii="Times New Roman" w:hAnsi="Times New Roman"/>
                <w:sz w:val="14"/>
                <w:szCs w:val="14"/>
              </w:rPr>
            </w:pPr>
            <w:r>
              <w:rPr>
                <w:rFonts w:ascii="Arial" w:eastAsia="宋体" w:hAnsi="Arial" w:cs="Arial"/>
                <w:sz w:val="14"/>
                <w:szCs w:val="14"/>
              </w:rPr>
              <w:t>U.S. Treasury and federal agencies</w:t>
            </w:r>
          </w:p>
        </w:tc>
        <w:tc>
          <w:tcPr>
            <w:tcW w:w="0" w:type="auto"/>
            <w:gridSpan w:val="2"/>
            <w:shd w:val="clear" w:color="auto" w:fill="auto"/>
            <w:tcMar>
              <w:top w:w="40" w:type="dxa"/>
              <w:left w:w="40" w:type="dxa"/>
              <w:bottom w:w="40" w:type="dxa"/>
            </w:tcMar>
            <w:vAlign w:val="bottom"/>
          </w:tcPr>
          <w:p w14:paraId="5556FD8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199</w:t>
            </w:r>
          </w:p>
        </w:tc>
        <w:tc>
          <w:tcPr>
            <w:tcW w:w="0" w:type="auto"/>
            <w:shd w:val="clear" w:color="auto" w:fill="auto"/>
            <w:vAlign w:val="bottom"/>
          </w:tcPr>
          <w:p w14:paraId="5556FD8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9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66</w:t>
            </w:r>
          </w:p>
        </w:tc>
        <w:tc>
          <w:tcPr>
            <w:tcW w:w="0" w:type="auto"/>
            <w:shd w:val="clear" w:color="auto" w:fill="auto"/>
            <w:vAlign w:val="bottom"/>
          </w:tcPr>
          <w:p w14:paraId="5556FD9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9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265</w:t>
            </w:r>
          </w:p>
        </w:tc>
        <w:tc>
          <w:tcPr>
            <w:tcW w:w="0" w:type="auto"/>
            <w:shd w:val="clear" w:color="auto" w:fill="auto"/>
            <w:vAlign w:val="bottom"/>
          </w:tcPr>
          <w:p w14:paraId="5556FD9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9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102</w:t>
            </w:r>
          </w:p>
        </w:tc>
        <w:tc>
          <w:tcPr>
            <w:tcW w:w="0" w:type="auto"/>
            <w:shd w:val="clear" w:color="auto" w:fill="auto"/>
            <w:vAlign w:val="bottom"/>
          </w:tcPr>
          <w:p w14:paraId="5556FD9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9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222</w:t>
            </w:r>
          </w:p>
        </w:tc>
        <w:tc>
          <w:tcPr>
            <w:tcW w:w="0" w:type="auto"/>
            <w:shd w:val="clear" w:color="auto" w:fill="auto"/>
            <w:vAlign w:val="bottom"/>
          </w:tcPr>
          <w:p w14:paraId="5556FD9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9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324</w:t>
            </w:r>
          </w:p>
        </w:tc>
        <w:tc>
          <w:tcPr>
            <w:tcW w:w="0" w:type="auto"/>
            <w:shd w:val="clear" w:color="auto" w:fill="auto"/>
            <w:vAlign w:val="bottom"/>
          </w:tcPr>
          <w:p w14:paraId="5556FD9E" w14:textId="77777777" w:rsidR="00F925DD" w:rsidRDefault="00F925DD">
            <w:pPr>
              <w:textAlignment w:val="bottom"/>
              <w:rPr>
                <w:rFonts w:ascii="Times New Roman" w:hAnsi="Times New Roman"/>
                <w:sz w:val="20"/>
                <w:szCs w:val="20"/>
              </w:rPr>
            </w:pPr>
          </w:p>
        </w:tc>
      </w:tr>
      <w:tr w:rsidR="00F925DD" w14:paraId="5556FDB2" w14:textId="77777777">
        <w:tc>
          <w:tcPr>
            <w:tcW w:w="0" w:type="auto"/>
            <w:shd w:val="clear" w:color="auto" w:fill="CCEEFF"/>
            <w:tcMar>
              <w:top w:w="40" w:type="dxa"/>
              <w:left w:w="240" w:type="dxa"/>
              <w:bottom w:w="40" w:type="dxa"/>
              <w:right w:w="40" w:type="dxa"/>
            </w:tcMar>
            <w:vAlign w:val="bottom"/>
          </w:tcPr>
          <w:p w14:paraId="5556FDA0" w14:textId="77777777" w:rsidR="00F925DD" w:rsidRDefault="00E705D7">
            <w:pPr>
              <w:textAlignment w:val="bottom"/>
              <w:rPr>
                <w:rFonts w:ascii="Times New Roman" w:hAnsi="Times New Roman"/>
                <w:sz w:val="14"/>
                <w:szCs w:val="14"/>
              </w:rPr>
            </w:pPr>
            <w:r>
              <w:rPr>
                <w:rFonts w:ascii="Arial" w:eastAsia="宋体" w:hAnsi="Arial" w:cs="Arial"/>
                <w:sz w:val="14"/>
                <w:szCs w:val="14"/>
              </w:rPr>
              <w:t>State and political subdivisions</w:t>
            </w:r>
          </w:p>
        </w:tc>
        <w:tc>
          <w:tcPr>
            <w:tcW w:w="0" w:type="auto"/>
            <w:gridSpan w:val="2"/>
            <w:shd w:val="clear" w:color="auto" w:fill="CCEEFF"/>
            <w:tcMar>
              <w:top w:w="40" w:type="dxa"/>
              <w:left w:w="40" w:type="dxa"/>
              <w:bottom w:w="40" w:type="dxa"/>
            </w:tcMar>
            <w:vAlign w:val="bottom"/>
          </w:tcPr>
          <w:p w14:paraId="5556FDA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(125</w:t>
            </w:r>
          </w:p>
        </w:tc>
        <w:tc>
          <w:tcPr>
            <w:tcW w:w="0" w:type="auto"/>
            <w:shd w:val="clear" w:color="auto" w:fill="CCEEFF"/>
            <w:tcMar>
              <w:top w:w="40" w:type="dxa"/>
              <w:bottom w:w="40" w:type="dxa"/>
              <w:right w:w="40" w:type="dxa"/>
            </w:tcMar>
            <w:vAlign w:val="bottom"/>
          </w:tcPr>
          <w:p w14:paraId="5556FDA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D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A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tcMar>
              <w:top w:w="40" w:type="dxa"/>
              <w:bottom w:w="40" w:type="dxa"/>
              <w:right w:w="40" w:type="dxa"/>
            </w:tcMar>
            <w:vAlign w:val="bottom"/>
          </w:tcPr>
          <w:p w14:paraId="5556FDA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D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A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(127</w:t>
            </w:r>
          </w:p>
        </w:tc>
        <w:tc>
          <w:tcPr>
            <w:tcW w:w="0" w:type="auto"/>
            <w:shd w:val="clear" w:color="auto" w:fill="CCEEFF"/>
            <w:tcMar>
              <w:top w:w="40" w:type="dxa"/>
              <w:bottom w:w="40" w:type="dxa"/>
              <w:right w:w="40" w:type="dxa"/>
            </w:tcMar>
            <w:vAlign w:val="bottom"/>
          </w:tcPr>
          <w:p w14:paraId="5556FDA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D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A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(169</w:t>
            </w:r>
          </w:p>
        </w:tc>
        <w:tc>
          <w:tcPr>
            <w:tcW w:w="0" w:type="auto"/>
            <w:shd w:val="clear" w:color="auto" w:fill="CCEEFF"/>
            <w:tcMar>
              <w:top w:w="40" w:type="dxa"/>
              <w:bottom w:w="40" w:type="dxa"/>
              <w:right w:w="40" w:type="dxa"/>
            </w:tcMar>
            <w:vAlign w:val="bottom"/>
          </w:tcPr>
          <w:p w14:paraId="5556FDA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D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A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w:t>
            </w:r>
          </w:p>
        </w:tc>
        <w:tc>
          <w:tcPr>
            <w:tcW w:w="0" w:type="auto"/>
            <w:shd w:val="clear" w:color="auto" w:fill="CCEEFF"/>
            <w:tcMar>
              <w:top w:w="40" w:type="dxa"/>
              <w:bottom w:w="40" w:type="dxa"/>
              <w:right w:w="40" w:type="dxa"/>
            </w:tcMar>
            <w:vAlign w:val="bottom"/>
          </w:tcPr>
          <w:p w14:paraId="5556FDA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D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B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(189</w:t>
            </w:r>
          </w:p>
        </w:tc>
        <w:tc>
          <w:tcPr>
            <w:tcW w:w="0" w:type="auto"/>
            <w:shd w:val="clear" w:color="auto" w:fill="CCEEFF"/>
            <w:tcMar>
              <w:top w:w="40" w:type="dxa"/>
              <w:bottom w:w="40" w:type="dxa"/>
              <w:right w:w="40" w:type="dxa"/>
            </w:tcMar>
            <w:vAlign w:val="bottom"/>
          </w:tcPr>
          <w:p w14:paraId="5556FDB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FDC5" w14:textId="77777777">
        <w:tc>
          <w:tcPr>
            <w:tcW w:w="0" w:type="auto"/>
            <w:shd w:val="clear" w:color="auto" w:fill="auto"/>
            <w:tcMar>
              <w:top w:w="40" w:type="dxa"/>
              <w:left w:w="240" w:type="dxa"/>
              <w:bottom w:w="40" w:type="dxa"/>
              <w:right w:w="40" w:type="dxa"/>
            </w:tcMar>
            <w:vAlign w:val="bottom"/>
          </w:tcPr>
          <w:p w14:paraId="5556FDB3"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investments</w:t>
            </w:r>
          </w:p>
        </w:tc>
        <w:tc>
          <w:tcPr>
            <w:tcW w:w="0" w:type="auto"/>
            <w:gridSpan w:val="2"/>
            <w:shd w:val="clear" w:color="auto" w:fill="auto"/>
            <w:tcMar>
              <w:top w:w="40" w:type="dxa"/>
              <w:left w:w="40" w:type="dxa"/>
              <w:bottom w:w="40" w:type="dxa"/>
            </w:tcMar>
            <w:vAlign w:val="bottom"/>
          </w:tcPr>
          <w:p w14:paraId="5556FDB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shd w:val="clear" w:color="auto" w:fill="auto"/>
            <w:tcMar>
              <w:top w:w="40" w:type="dxa"/>
              <w:bottom w:w="40" w:type="dxa"/>
              <w:right w:w="40" w:type="dxa"/>
            </w:tcMar>
            <w:vAlign w:val="bottom"/>
          </w:tcPr>
          <w:p w14:paraId="5556FDB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FD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B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(42</w:t>
            </w:r>
          </w:p>
        </w:tc>
        <w:tc>
          <w:tcPr>
            <w:tcW w:w="0" w:type="auto"/>
            <w:shd w:val="clear" w:color="auto" w:fill="auto"/>
            <w:tcMar>
              <w:top w:w="40" w:type="dxa"/>
              <w:bottom w:w="40" w:type="dxa"/>
              <w:right w:w="40" w:type="dxa"/>
            </w:tcMar>
            <w:vAlign w:val="bottom"/>
          </w:tcPr>
          <w:p w14:paraId="5556FDB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FD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B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(56</w:t>
            </w:r>
          </w:p>
        </w:tc>
        <w:tc>
          <w:tcPr>
            <w:tcW w:w="0" w:type="auto"/>
            <w:shd w:val="clear" w:color="auto" w:fill="auto"/>
            <w:tcMar>
              <w:top w:w="40" w:type="dxa"/>
              <w:bottom w:w="40" w:type="dxa"/>
              <w:right w:w="40" w:type="dxa"/>
            </w:tcMar>
            <w:vAlign w:val="bottom"/>
          </w:tcPr>
          <w:p w14:paraId="5556FDB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FD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B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(131</w:t>
            </w:r>
          </w:p>
        </w:tc>
        <w:tc>
          <w:tcPr>
            <w:tcW w:w="0" w:type="auto"/>
            <w:shd w:val="clear" w:color="auto" w:fill="auto"/>
            <w:tcMar>
              <w:top w:w="40" w:type="dxa"/>
              <w:bottom w:w="40" w:type="dxa"/>
              <w:right w:w="40" w:type="dxa"/>
            </w:tcMar>
            <w:vAlign w:val="bottom"/>
          </w:tcPr>
          <w:p w14:paraId="5556FDB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D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C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32</w:t>
            </w:r>
          </w:p>
        </w:tc>
        <w:tc>
          <w:tcPr>
            <w:tcW w:w="0" w:type="auto"/>
            <w:shd w:val="clear" w:color="auto" w:fill="auto"/>
            <w:vAlign w:val="bottom"/>
          </w:tcPr>
          <w:p w14:paraId="5556FDC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C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(99</w:t>
            </w:r>
          </w:p>
        </w:tc>
        <w:tc>
          <w:tcPr>
            <w:tcW w:w="0" w:type="auto"/>
            <w:shd w:val="clear" w:color="auto" w:fill="auto"/>
            <w:tcMar>
              <w:top w:w="40" w:type="dxa"/>
              <w:bottom w:w="40" w:type="dxa"/>
              <w:right w:w="40" w:type="dxa"/>
            </w:tcMar>
            <w:vAlign w:val="bottom"/>
          </w:tcPr>
          <w:p w14:paraId="5556FDC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FDD8" w14:textId="77777777">
        <w:tc>
          <w:tcPr>
            <w:tcW w:w="0" w:type="auto"/>
            <w:shd w:val="clear" w:color="auto" w:fill="CCEEFF"/>
            <w:tcMar>
              <w:top w:w="40" w:type="dxa"/>
              <w:left w:w="40" w:type="dxa"/>
              <w:bottom w:w="40" w:type="dxa"/>
              <w:right w:w="40" w:type="dxa"/>
            </w:tcMar>
            <w:vAlign w:val="bottom"/>
          </w:tcPr>
          <w:p w14:paraId="5556FDC6" w14:textId="77777777" w:rsidR="00F925DD" w:rsidRDefault="00E705D7">
            <w:pPr>
              <w:textAlignment w:val="bottom"/>
              <w:rPr>
                <w:rFonts w:ascii="Times New Roman" w:hAnsi="Times New Roman"/>
                <w:sz w:val="14"/>
                <w:szCs w:val="14"/>
              </w:rPr>
            </w:pPr>
            <w:r>
              <w:rPr>
                <w:rFonts w:ascii="Arial" w:eastAsia="宋体" w:hAnsi="Arial" w:cs="Arial"/>
                <w:sz w:val="14"/>
                <w:szCs w:val="14"/>
              </w:rPr>
              <w:t>Loans</w:t>
            </w:r>
          </w:p>
        </w:tc>
        <w:tc>
          <w:tcPr>
            <w:tcW w:w="0" w:type="auto"/>
            <w:gridSpan w:val="2"/>
            <w:shd w:val="clear" w:color="auto" w:fill="CCEEFF"/>
            <w:tcMar>
              <w:top w:w="40" w:type="dxa"/>
              <w:left w:w="40" w:type="dxa"/>
              <w:bottom w:w="40" w:type="dxa"/>
            </w:tcMar>
            <w:vAlign w:val="bottom"/>
          </w:tcPr>
          <w:p w14:paraId="5556FDC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27</w:t>
            </w:r>
          </w:p>
        </w:tc>
        <w:tc>
          <w:tcPr>
            <w:tcW w:w="0" w:type="auto"/>
            <w:shd w:val="clear" w:color="auto" w:fill="CCEEFF"/>
            <w:vAlign w:val="bottom"/>
          </w:tcPr>
          <w:p w14:paraId="5556FDC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C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w:t>
            </w:r>
          </w:p>
        </w:tc>
        <w:tc>
          <w:tcPr>
            <w:tcW w:w="0" w:type="auto"/>
            <w:shd w:val="clear" w:color="auto" w:fill="CCEEFF"/>
            <w:vAlign w:val="bottom"/>
          </w:tcPr>
          <w:p w14:paraId="5556FDC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C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88</w:t>
            </w:r>
          </w:p>
        </w:tc>
        <w:tc>
          <w:tcPr>
            <w:tcW w:w="0" w:type="auto"/>
            <w:shd w:val="clear" w:color="auto" w:fill="CCEEFF"/>
            <w:vAlign w:val="bottom"/>
          </w:tcPr>
          <w:p w14:paraId="5556FDC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D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47</w:t>
            </w:r>
          </w:p>
        </w:tc>
        <w:tc>
          <w:tcPr>
            <w:tcW w:w="0" w:type="auto"/>
            <w:shd w:val="clear" w:color="auto" w:fill="CCEEFF"/>
            <w:vAlign w:val="bottom"/>
          </w:tcPr>
          <w:p w14:paraId="5556FDD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D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142</w:t>
            </w:r>
          </w:p>
        </w:tc>
        <w:tc>
          <w:tcPr>
            <w:tcW w:w="0" w:type="auto"/>
            <w:shd w:val="clear" w:color="auto" w:fill="CCEEFF"/>
            <w:vAlign w:val="bottom"/>
          </w:tcPr>
          <w:p w14:paraId="5556FDD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DD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189</w:t>
            </w:r>
          </w:p>
        </w:tc>
        <w:tc>
          <w:tcPr>
            <w:tcW w:w="0" w:type="auto"/>
            <w:shd w:val="clear" w:color="auto" w:fill="CCEEFF"/>
            <w:vAlign w:val="bottom"/>
          </w:tcPr>
          <w:p w14:paraId="5556FDD7" w14:textId="77777777" w:rsidR="00F925DD" w:rsidRDefault="00F925DD">
            <w:pPr>
              <w:textAlignment w:val="bottom"/>
              <w:rPr>
                <w:rFonts w:ascii="Times New Roman" w:hAnsi="Times New Roman"/>
                <w:sz w:val="20"/>
                <w:szCs w:val="20"/>
              </w:rPr>
            </w:pPr>
          </w:p>
        </w:tc>
      </w:tr>
      <w:tr w:rsidR="00F925DD" w14:paraId="5556FDEB" w14:textId="77777777">
        <w:tc>
          <w:tcPr>
            <w:tcW w:w="0" w:type="auto"/>
            <w:shd w:val="clear" w:color="auto" w:fill="auto"/>
            <w:tcMar>
              <w:top w:w="40" w:type="dxa"/>
              <w:left w:w="40" w:type="dxa"/>
              <w:bottom w:w="40" w:type="dxa"/>
              <w:right w:w="40" w:type="dxa"/>
            </w:tcMar>
            <w:vAlign w:val="bottom"/>
          </w:tcPr>
          <w:p w14:paraId="5556FDD9" w14:textId="77777777" w:rsidR="00F925DD" w:rsidRDefault="00E705D7">
            <w:pPr>
              <w:textAlignment w:val="bottom"/>
              <w:rPr>
                <w:rFonts w:ascii="Times New Roman" w:hAnsi="Times New Roman"/>
                <w:sz w:val="14"/>
                <w:szCs w:val="14"/>
              </w:rPr>
            </w:pPr>
            <w:r>
              <w:rPr>
                <w:rFonts w:ascii="Arial" w:eastAsia="宋体" w:hAnsi="Arial" w:cs="Arial"/>
                <w:sz w:val="14"/>
                <w:szCs w:val="14"/>
              </w:rPr>
              <w:t>Lease financing</w:t>
            </w:r>
          </w:p>
        </w:tc>
        <w:tc>
          <w:tcPr>
            <w:tcW w:w="0" w:type="auto"/>
            <w:gridSpan w:val="2"/>
            <w:shd w:val="clear" w:color="auto" w:fill="auto"/>
            <w:tcMar>
              <w:top w:w="40" w:type="dxa"/>
              <w:left w:w="40" w:type="dxa"/>
              <w:bottom w:w="40" w:type="dxa"/>
            </w:tcMar>
            <w:vAlign w:val="bottom"/>
          </w:tcPr>
          <w:p w14:paraId="5556FDD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shd w:val="clear" w:color="auto" w:fill="auto"/>
            <w:tcMar>
              <w:top w:w="40" w:type="dxa"/>
              <w:bottom w:w="40" w:type="dxa"/>
              <w:right w:w="40" w:type="dxa"/>
            </w:tcMar>
            <w:vAlign w:val="bottom"/>
          </w:tcPr>
          <w:p w14:paraId="5556FDD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FD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D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vAlign w:val="bottom"/>
          </w:tcPr>
          <w:p w14:paraId="5556FDD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D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E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w:t>
            </w:r>
          </w:p>
        </w:tc>
        <w:tc>
          <w:tcPr>
            <w:tcW w:w="0" w:type="auto"/>
            <w:shd w:val="clear" w:color="auto" w:fill="auto"/>
            <w:tcMar>
              <w:top w:w="40" w:type="dxa"/>
              <w:bottom w:w="40" w:type="dxa"/>
              <w:right w:w="40" w:type="dxa"/>
            </w:tcMar>
            <w:vAlign w:val="bottom"/>
          </w:tcPr>
          <w:p w14:paraId="5556FDE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FD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E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shd w:val="clear" w:color="auto" w:fill="auto"/>
            <w:tcMar>
              <w:top w:w="40" w:type="dxa"/>
              <w:bottom w:w="40" w:type="dxa"/>
              <w:right w:w="40" w:type="dxa"/>
            </w:tcMar>
            <w:vAlign w:val="bottom"/>
          </w:tcPr>
          <w:p w14:paraId="5556FDE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D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E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tcMar>
              <w:top w:w="40" w:type="dxa"/>
              <w:bottom w:w="40" w:type="dxa"/>
              <w:right w:w="40" w:type="dxa"/>
            </w:tcMar>
            <w:vAlign w:val="bottom"/>
          </w:tcPr>
          <w:p w14:paraId="5556FDE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D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DE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w:t>
            </w:r>
          </w:p>
        </w:tc>
        <w:tc>
          <w:tcPr>
            <w:tcW w:w="0" w:type="auto"/>
            <w:shd w:val="clear" w:color="auto" w:fill="auto"/>
            <w:tcMar>
              <w:top w:w="40" w:type="dxa"/>
              <w:bottom w:w="40" w:type="dxa"/>
              <w:right w:w="40" w:type="dxa"/>
            </w:tcMar>
            <w:vAlign w:val="bottom"/>
          </w:tcPr>
          <w:p w14:paraId="5556FDE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FDFE" w14:textId="77777777">
        <w:tc>
          <w:tcPr>
            <w:tcW w:w="0" w:type="auto"/>
            <w:shd w:val="clear" w:color="auto" w:fill="CCEEFF"/>
            <w:tcMar>
              <w:top w:w="40" w:type="dxa"/>
              <w:left w:w="40" w:type="dxa"/>
              <w:bottom w:w="40" w:type="dxa"/>
              <w:right w:w="40" w:type="dxa"/>
            </w:tcMar>
            <w:vAlign w:val="bottom"/>
          </w:tcPr>
          <w:p w14:paraId="5556FDEC" w14:textId="77777777" w:rsidR="00F925DD" w:rsidRDefault="00E705D7">
            <w:pPr>
              <w:textAlignment w:val="bottom"/>
              <w:rPr>
                <w:rFonts w:ascii="Times New Roman" w:hAnsi="Times New Roman"/>
                <w:sz w:val="14"/>
                <w:szCs w:val="14"/>
              </w:rPr>
            </w:pPr>
            <w:r>
              <w:rPr>
                <w:rFonts w:ascii="Arial" w:eastAsia="宋体" w:hAnsi="Arial" w:cs="Arial"/>
                <w:sz w:val="14"/>
                <w:szCs w:val="14"/>
              </w:rPr>
              <w:t>Ot</w:t>
            </w:r>
            <w:r>
              <w:rPr>
                <w:rFonts w:ascii="Arial" w:eastAsia="宋体" w:hAnsi="Arial" w:cs="Arial"/>
                <w:sz w:val="14"/>
                <w:szCs w:val="14"/>
              </w:rPr>
              <w:t>her interest-earning assets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DE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w:t>
            </w:r>
          </w:p>
        </w:tc>
        <w:tc>
          <w:tcPr>
            <w:tcW w:w="0" w:type="auto"/>
            <w:tcBorders>
              <w:bottom w:val="single" w:sz="8" w:space="0" w:color="000000"/>
            </w:tcBorders>
            <w:shd w:val="clear" w:color="auto" w:fill="CCEEFF"/>
            <w:tcMar>
              <w:top w:w="40" w:type="dxa"/>
              <w:bottom w:w="40" w:type="dxa"/>
              <w:right w:w="40" w:type="dxa"/>
            </w:tcMar>
            <w:vAlign w:val="bottom"/>
          </w:tcPr>
          <w:p w14:paraId="5556FDE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D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DF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60</w:t>
            </w:r>
          </w:p>
        </w:tc>
        <w:tc>
          <w:tcPr>
            <w:tcW w:w="0" w:type="auto"/>
            <w:tcBorders>
              <w:bottom w:val="single" w:sz="8" w:space="0" w:color="000000"/>
            </w:tcBorders>
            <w:shd w:val="clear" w:color="auto" w:fill="CCEEFF"/>
            <w:vAlign w:val="bottom"/>
          </w:tcPr>
          <w:p w14:paraId="5556FD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DF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w:t>
            </w:r>
          </w:p>
        </w:tc>
        <w:tc>
          <w:tcPr>
            <w:tcW w:w="0" w:type="auto"/>
            <w:tcBorders>
              <w:bottom w:val="single" w:sz="8" w:space="0" w:color="000000"/>
            </w:tcBorders>
            <w:shd w:val="clear" w:color="auto" w:fill="CCEEFF"/>
            <w:vAlign w:val="bottom"/>
          </w:tcPr>
          <w:p w14:paraId="5556FDF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DF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(70</w:t>
            </w:r>
          </w:p>
        </w:tc>
        <w:tc>
          <w:tcPr>
            <w:tcW w:w="0" w:type="auto"/>
            <w:tcBorders>
              <w:bottom w:val="single" w:sz="8" w:space="0" w:color="000000"/>
            </w:tcBorders>
            <w:shd w:val="clear" w:color="auto" w:fill="CCEEFF"/>
            <w:tcMar>
              <w:top w:w="40" w:type="dxa"/>
              <w:bottom w:w="40" w:type="dxa"/>
              <w:right w:w="40" w:type="dxa"/>
            </w:tcMar>
            <w:vAlign w:val="bottom"/>
          </w:tcPr>
          <w:p w14:paraId="5556FDF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DF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DF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220</w:t>
            </w:r>
          </w:p>
        </w:tc>
        <w:tc>
          <w:tcPr>
            <w:tcW w:w="0" w:type="auto"/>
            <w:tcBorders>
              <w:bottom w:val="single" w:sz="8" w:space="0" w:color="000000"/>
            </w:tcBorders>
            <w:shd w:val="clear" w:color="auto" w:fill="CCEEFF"/>
            <w:vAlign w:val="bottom"/>
          </w:tcPr>
          <w:p w14:paraId="5556FDF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DF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DF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150</w:t>
            </w:r>
          </w:p>
        </w:tc>
        <w:tc>
          <w:tcPr>
            <w:tcW w:w="0" w:type="auto"/>
            <w:tcBorders>
              <w:bottom w:val="single" w:sz="8" w:space="0" w:color="000000"/>
            </w:tcBorders>
            <w:shd w:val="clear" w:color="auto" w:fill="CCEEFF"/>
            <w:vAlign w:val="bottom"/>
          </w:tcPr>
          <w:p w14:paraId="5556FDFD" w14:textId="77777777" w:rsidR="00F925DD" w:rsidRDefault="00F925DD">
            <w:pPr>
              <w:textAlignment w:val="bottom"/>
              <w:rPr>
                <w:rFonts w:ascii="Times New Roman" w:hAnsi="Times New Roman"/>
                <w:sz w:val="20"/>
                <w:szCs w:val="20"/>
              </w:rPr>
            </w:pPr>
          </w:p>
        </w:tc>
      </w:tr>
      <w:tr w:rsidR="00F925DD" w14:paraId="5556FE11" w14:textId="77777777">
        <w:tc>
          <w:tcPr>
            <w:tcW w:w="0" w:type="auto"/>
            <w:shd w:val="clear" w:color="auto" w:fill="auto"/>
            <w:tcMar>
              <w:top w:w="40" w:type="dxa"/>
              <w:left w:w="40" w:type="dxa"/>
              <w:bottom w:w="40" w:type="dxa"/>
              <w:right w:w="40" w:type="dxa"/>
            </w:tcMar>
            <w:vAlign w:val="bottom"/>
          </w:tcPr>
          <w:p w14:paraId="5556FDFF"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interest-earning assets</w:t>
            </w:r>
          </w:p>
        </w:tc>
        <w:tc>
          <w:tcPr>
            <w:tcW w:w="0" w:type="auto"/>
            <w:gridSpan w:val="2"/>
            <w:tcBorders>
              <w:top w:val="single" w:sz="8" w:space="0" w:color="000000"/>
            </w:tcBorders>
            <w:shd w:val="clear" w:color="auto" w:fill="auto"/>
            <w:tcMar>
              <w:top w:w="40" w:type="dxa"/>
              <w:left w:w="40" w:type="dxa"/>
              <w:bottom w:w="40" w:type="dxa"/>
            </w:tcMar>
            <w:vAlign w:val="bottom"/>
          </w:tcPr>
          <w:p w14:paraId="5556FE0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w:t>
            </w:r>
          </w:p>
        </w:tc>
        <w:tc>
          <w:tcPr>
            <w:tcW w:w="0" w:type="auto"/>
            <w:tcBorders>
              <w:top w:val="single" w:sz="8" w:space="0" w:color="000000"/>
            </w:tcBorders>
            <w:shd w:val="clear" w:color="auto" w:fill="auto"/>
            <w:tcMar>
              <w:top w:w="40" w:type="dxa"/>
              <w:bottom w:w="40" w:type="dxa"/>
              <w:right w:w="40" w:type="dxa"/>
            </w:tcMar>
            <w:vAlign w:val="bottom"/>
          </w:tcPr>
          <w:p w14:paraId="5556FE01"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FE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E0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277</w:t>
            </w:r>
          </w:p>
        </w:tc>
        <w:tc>
          <w:tcPr>
            <w:tcW w:w="0" w:type="auto"/>
            <w:tcBorders>
              <w:top w:val="single" w:sz="8" w:space="0" w:color="000000"/>
            </w:tcBorders>
            <w:shd w:val="clear" w:color="auto" w:fill="auto"/>
            <w:vAlign w:val="bottom"/>
          </w:tcPr>
          <w:p w14:paraId="5556FE0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0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5556FE0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241</w:t>
            </w:r>
          </w:p>
        </w:tc>
        <w:tc>
          <w:tcPr>
            <w:tcW w:w="0" w:type="auto"/>
            <w:tcBorders>
              <w:top w:val="single" w:sz="8" w:space="0" w:color="000000"/>
            </w:tcBorders>
            <w:shd w:val="clear" w:color="auto" w:fill="auto"/>
            <w:vAlign w:val="bottom"/>
          </w:tcPr>
          <w:p w14:paraId="5556FE0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0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(122</w:t>
            </w:r>
          </w:p>
        </w:tc>
        <w:tc>
          <w:tcPr>
            <w:tcW w:w="0" w:type="auto"/>
            <w:shd w:val="clear" w:color="auto" w:fill="auto"/>
            <w:tcMar>
              <w:top w:w="40" w:type="dxa"/>
              <w:bottom w:w="40" w:type="dxa"/>
              <w:right w:w="40" w:type="dxa"/>
            </w:tcMar>
            <w:vAlign w:val="bottom"/>
          </w:tcPr>
          <w:p w14:paraId="5556FE0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E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0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766</w:t>
            </w:r>
          </w:p>
        </w:tc>
        <w:tc>
          <w:tcPr>
            <w:tcW w:w="0" w:type="auto"/>
            <w:shd w:val="clear" w:color="auto" w:fill="auto"/>
            <w:vAlign w:val="bottom"/>
          </w:tcPr>
          <w:p w14:paraId="5556FE0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0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644</w:t>
            </w:r>
          </w:p>
        </w:tc>
        <w:tc>
          <w:tcPr>
            <w:tcW w:w="0" w:type="auto"/>
            <w:shd w:val="clear" w:color="auto" w:fill="auto"/>
            <w:vAlign w:val="bottom"/>
          </w:tcPr>
          <w:p w14:paraId="5556FE10" w14:textId="77777777" w:rsidR="00F925DD" w:rsidRDefault="00F925DD">
            <w:pPr>
              <w:textAlignment w:val="bottom"/>
              <w:rPr>
                <w:rFonts w:ascii="Times New Roman" w:hAnsi="Times New Roman"/>
                <w:sz w:val="20"/>
                <w:szCs w:val="20"/>
              </w:rPr>
            </w:pPr>
          </w:p>
        </w:tc>
      </w:tr>
      <w:tr w:rsidR="00F925DD" w14:paraId="5556FE1E" w14:textId="77777777">
        <w:tc>
          <w:tcPr>
            <w:tcW w:w="0" w:type="auto"/>
            <w:shd w:val="clear" w:color="auto" w:fill="CCEEFF"/>
            <w:tcMar>
              <w:top w:w="40" w:type="dxa"/>
              <w:left w:w="40" w:type="dxa"/>
              <w:bottom w:w="40" w:type="dxa"/>
              <w:right w:w="40" w:type="dxa"/>
            </w:tcMar>
            <w:vAlign w:val="bottom"/>
          </w:tcPr>
          <w:p w14:paraId="5556FE1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Interest expense related to:</w:t>
            </w:r>
          </w:p>
        </w:tc>
        <w:tc>
          <w:tcPr>
            <w:tcW w:w="0" w:type="auto"/>
            <w:gridSpan w:val="3"/>
            <w:shd w:val="clear" w:color="auto" w:fill="CCEEFF"/>
            <w:tcMar>
              <w:top w:w="40" w:type="dxa"/>
              <w:left w:w="40" w:type="dxa"/>
              <w:bottom w:w="40" w:type="dxa"/>
              <w:right w:w="40" w:type="dxa"/>
            </w:tcMar>
            <w:vAlign w:val="bottom"/>
          </w:tcPr>
          <w:p w14:paraId="5556FE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E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E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E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E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E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E1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E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E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6FE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6FE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E2B" w14:textId="77777777">
        <w:tc>
          <w:tcPr>
            <w:tcW w:w="0" w:type="auto"/>
            <w:shd w:val="clear" w:color="auto" w:fill="auto"/>
            <w:tcMar>
              <w:top w:w="40" w:type="dxa"/>
              <w:left w:w="40" w:type="dxa"/>
              <w:bottom w:w="40" w:type="dxa"/>
              <w:right w:w="40" w:type="dxa"/>
            </w:tcMar>
            <w:vAlign w:val="bottom"/>
          </w:tcPr>
          <w:p w14:paraId="5556FE1F" w14:textId="77777777" w:rsidR="00F925DD" w:rsidRDefault="00E705D7">
            <w:pPr>
              <w:textAlignment w:val="bottom"/>
              <w:rPr>
                <w:rFonts w:ascii="Times New Roman" w:hAnsi="Times New Roman"/>
                <w:sz w:val="14"/>
                <w:szCs w:val="14"/>
              </w:rPr>
            </w:pPr>
            <w:r>
              <w:rPr>
                <w:rFonts w:ascii="Arial" w:eastAsia="宋体" w:hAnsi="Arial" w:cs="Arial"/>
                <w:sz w:val="14"/>
                <w:szCs w:val="14"/>
              </w:rPr>
              <w:t>Deposits:</w:t>
            </w:r>
          </w:p>
        </w:tc>
        <w:tc>
          <w:tcPr>
            <w:tcW w:w="0" w:type="auto"/>
            <w:gridSpan w:val="3"/>
            <w:shd w:val="clear" w:color="auto" w:fill="auto"/>
            <w:tcMar>
              <w:top w:w="40" w:type="dxa"/>
              <w:left w:w="40" w:type="dxa"/>
              <w:bottom w:w="40" w:type="dxa"/>
              <w:right w:w="40" w:type="dxa"/>
            </w:tcMar>
            <w:vAlign w:val="bottom"/>
          </w:tcPr>
          <w:p w14:paraId="5556FE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E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E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E2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E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E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E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E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E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6FE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6FE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6FE3E" w14:textId="77777777">
        <w:tc>
          <w:tcPr>
            <w:tcW w:w="0" w:type="auto"/>
            <w:shd w:val="clear" w:color="auto" w:fill="CCEEFF"/>
            <w:tcMar>
              <w:top w:w="40" w:type="dxa"/>
              <w:left w:w="240" w:type="dxa"/>
              <w:bottom w:w="40" w:type="dxa"/>
              <w:right w:w="40" w:type="dxa"/>
            </w:tcMar>
            <w:vAlign w:val="bottom"/>
          </w:tcPr>
          <w:p w14:paraId="5556FE2C" w14:textId="77777777" w:rsidR="00F925DD" w:rsidRDefault="00E705D7">
            <w:pPr>
              <w:textAlignment w:val="bottom"/>
              <w:rPr>
                <w:rFonts w:ascii="Times New Roman" w:hAnsi="Times New Roman"/>
                <w:sz w:val="14"/>
                <w:szCs w:val="14"/>
              </w:rPr>
            </w:pPr>
            <w:r>
              <w:rPr>
                <w:rFonts w:ascii="Arial" w:eastAsia="宋体" w:hAnsi="Arial" w:cs="Arial"/>
                <w:sz w:val="14"/>
                <w:szCs w:val="14"/>
              </w:rPr>
              <w:t>Time</w:t>
            </w:r>
          </w:p>
        </w:tc>
        <w:tc>
          <w:tcPr>
            <w:tcW w:w="0" w:type="auto"/>
            <w:gridSpan w:val="2"/>
            <w:shd w:val="clear" w:color="auto" w:fill="CCEEFF"/>
            <w:tcMar>
              <w:top w:w="40" w:type="dxa"/>
              <w:left w:w="40" w:type="dxa"/>
              <w:bottom w:w="40" w:type="dxa"/>
            </w:tcMar>
            <w:vAlign w:val="bottom"/>
          </w:tcPr>
          <w:p w14:paraId="5556FE2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w:t>
            </w:r>
          </w:p>
        </w:tc>
        <w:tc>
          <w:tcPr>
            <w:tcW w:w="0" w:type="auto"/>
            <w:shd w:val="clear" w:color="auto" w:fill="CCEEFF"/>
            <w:vAlign w:val="bottom"/>
          </w:tcPr>
          <w:p w14:paraId="5556FE2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3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77</w:t>
            </w:r>
          </w:p>
        </w:tc>
        <w:tc>
          <w:tcPr>
            <w:tcW w:w="0" w:type="auto"/>
            <w:shd w:val="clear" w:color="auto" w:fill="CCEEFF"/>
            <w:vAlign w:val="bottom"/>
          </w:tcPr>
          <w:p w14:paraId="5556FE3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3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101</w:t>
            </w:r>
          </w:p>
        </w:tc>
        <w:tc>
          <w:tcPr>
            <w:tcW w:w="0" w:type="auto"/>
            <w:shd w:val="clear" w:color="auto" w:fill="CCEEFF"/>
            <w:vAlign w:val="bottom"/>
          </w:tcPr>
          <w:p w14:paraId="5556FE3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3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w:t>
            </w:r>
          </w:p>
        </w:tc>
        <w:tc>
          <w:tcPr>
            <w:tcW w:w="0" w:type="auto"/>
            <w:shd w:val="clear" w:color="auto" w:fill="CCEEFF"/>
            <w:vAlign w:val="bottom"/>
          </w:tcPr>
          <w:p w14:paraId="5556FE3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3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w:t>
            </w:r>
          </w:p>
        </w:tc>
        <w:tc>
          <w:tcPr>
            <w:tcW w:w="0" w:type="auto"/>
            <w:shd w:val="clear" w:color="auto" w:fill="CCEEFF"/>
            <w:vAlign w:val="bottom"/>
          </w:tcPr>
          <w:p w14:paraId="5556FE3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3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49</w:t>
            </w:r>
          </w:p>
        </w:tc>
        <w:tc>
          <w:tcPr>
            <w:tcW w:w="0" w:type="auto"/>
            <w:shd w:val="clear" w:color="auto" w:fill="CCEEFF"/>
            <w:vAlign w:val="bottom"/>
          </w:tcPr>
          <w:p w14:paraId="5556FE3D" w14:textId="77777777" w:rsidR="00F925DD" w:rsidRDefault="00F925DD">
            <w:pPr>
              <w:textAlignment w:val="bottom"/>
              <w:rPr>
                <w:rFonts w:ascii="Times New Roman" w:hAnsi="Times New Roman"/>
                <w:sz w:val="20"/>
                <w:szCs w:val="20"/>
              </w:rPr>
            </w:pPr>
          </w:p>
        </w:tc>
      </w:tr>
      <w:tr w:rsidR="00F925DD" w14:paraId="5556FE51" w14:textId="77777777">
        <w:tc>
          <w:tcPr>
            <w:tcW w:w="0" w:type="auto"/>
            <w:shd w:val="clear" w:color="auto" w:fill="auto"/>
            <w:tcMar>
              <w:top w:w="40" w:type="dxa"/>
              <w:left w:w="240" w:type="dxa"/>
              <w:bottom w:w="40" w:type="dxa"/>
              <w:right w:w="40" w:type="dxa"/>
            </w:tcMar>
            <w:vAlign w:val="bottom"/>
          </w:tcPr>
          <w:p w14:paraId="5556FE3F" w14:textId="77777777" w:rsidR="00F925DD" w:rsidRDefault="00E705D7">
            <w:pPr>
              <w:textAlignment w:val="bottom"/>
              <w:rPr>
                <w:rFonts w:ascii="Times New Roman" w:hAnsi="Times New Roman"/>
                <w:sz w:val="14"/>
                <w:szCs w:val="14"/>
              </w:rPr>
            </w:pPr>
            <w:r>
              <w:rPr>
                <w:rFonts w:ascii="Arial" w:eastAsia="宋体" w:hAnsi="Arial" w:cs="Arial"/>
                <w:sz w:val="14"/>
                <w:szCs w:val="14"/>
              </w:rPr>
              <w:t>Savings</w:t>
            </w:r>
          </w:p>
        </w:tc>
        <w:tc>
          <w:tcPr>
            <w:tcW w:w="0" w:type="auto"/>
            <w:gridSpan w:val="2"/>
            <w:shd w:val="clear" w:color="auto" w:fill="auto"/>
            <w:tcMar>
              <w:top w:w="40" w:type="dxa"/>
              <w:left w:w="40" w:type="dxa"/>
              <w:bottom w:w="40" w:type="dxa"/>
            </w:tcMar>
            <w:vAlign w:val="bottom"/>
          </w:tcPr>
          <w:p w14:paraId="5556FE4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33</w:t>
            </w:r>
          </w:p>
        </w:tc>
        <w:tc>
          <w:tcPr>
            <w:tcW w:w="0" w:type="auto"/>
            <w:shd w:val="clear" w:color="auto" w:fill="auto"/>
            <w:vAlign w:val="bottom"/>
          </w:tcPr>
          <w:p w14:paraId="5556FE4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4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149</w:t>
            </w:r>
          </w:p>
        </w:tc>
        <w:tc>
          <w:tcPr>
            <w:tcW w:w="0" w:type="auto"/>
            <w:shd w:val="clear" w:color="auto" w:fill="auto"/>
            <w:vAlign w:val="bottom"/>
          </w:tcPr>
          <w:p w14:paraId="5556FE4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4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182</w:t>
            </w:r>
          </w:p>
        </w:tc>
        <w:tc>
          <w:tcPr>
            <w:tcW w:w="0" w:type="auto"/>
            <w:shd w:val="clear" w:color="auto" w:fill="auto"/>
            <w:vAlign w:val="bottom"/>
          </w:tcPr>
          <w:p w14:paraId="5556FE4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4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w:t>
            </w:r>
          </w:p>
        </w:tc>
        <w:tc>
          <w:tcPr>
            <w:tcW w:w="0" w:type="auto"/>
            <w:shd w:val="clear" w:color="auto" w:fill="auto"/>
            <w:vAlign w:val="bottom"/>
          </w:tcPr>
          <w:p w14:paraId="5556FE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4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87</w:t>
            </w:r>
          </w:p>
        </w:tc>
        <w:tc>
          <w:tcPr>
            <w:tcW w:w="0" w:type="auto"/>
            <w:shd w:val="clear" w:color="auto" w:fill="auto"/>
            <w:vAlign w:val="bottom"/>
          </w:tcPr>
          <w:p w14:paraId="5556FE4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4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111</w:t>
            </w:r>
          </w:p>
        </w:tc>
        <w:tc>
          <w:tcPr>
            <w:tcW w:w="0" w:type="auto"/>
            <w:shd w:val="clear" w:color="auto" w:fill="auto"/>
            <w:vAlign w:val="bottom"/>
          </w:tcPr>
          <w:p w14:paraId="5556FE50" w14:textId="77777777" w:rsidR="00F925DD" w:rsidRDefault="00F925DD">
            <w:pPr>
              <w:textAlignment w:val="bottom"/>
              <w:rPr>
                <w:rFonts w:ascii="Times New Roman" w:hAnsi="Times New Roman"/>
                <w:sz w:val="20"/>
                <w:szCs w:val="20"/>
              </w:rPr>
            </w:pPr>
          </w:p>
        </w:tc>
      </w:tr>
      <w:tr w:rsidR="00F925DD" w14:paraId="5556FE64" w14:textId="77777777">
        <w:tc>
          <w:tcPr>
            <w:tcW w:w="0" w:type="auto"/>
            <w:shd w:val="clear" w:color="auto" w:fill="CCEEFF"/>
            <w:tcMar>
              <w:top w:w="40" w:type="dxa"/>
              <w:left w:w="240" w:type="dxa"/>
              <w:bottom w:w="40" w:type="dxa"/>
              <w:right w:w="40" w:type="dxa"/>
            </w:tcMar>
            <w:vAlign w:val="bottom"/>
          </w:tcPr>
          <w:p w14:paraId="5556FE52" w14:textId="77777777" w:rsidR="00F925DD" w:rsidRDefault="00E705D7">
            <w:pPr>
              <w:textAlignment w:val="bottom"/>
              <w:rPr>
                <w:rFonts w:ascii="Times New Roman" w:hAnsi="Times New Roman"/>
                <w:sz w:val="14"/>
                <w:szCs w:val="14"/>
              </w:rPr>
            </w:pPr>
            <w:r>
              <w:rPr>
                <w:rFonts w:ascii="Arial" w:eastAsia="宋体" w:hAnsi="Arial" w:cs="Arial"/>
                <w:sz w:val="14"/>
                <w:szCs w:val="14"/>
              </w:rPr>
              <w:t>Non-U.S.</w:t>
            </w:r>
          </w:p>
        </w:tc>
        <w:tc>
          <w:tcPr>
            <w:tcW w:w="0" w:type="auto"/>
            <w:gridSpan w:val="2"/>
            <w:shd w:val="clear" w:color="auto" w:fill="CCEEFF"/>
            <w:tcMar>
              <w:top w:w="40" w:type="dxa"/>
              <w:left w:w="40" w:type="dxa"/>
              <w:bottom w:w="40" w:type="dxa"/>
            </w:tcMar>
            <w:vAlign w:val="bottom"/>
          </w:tcPr>
          <w:p w14:paraId="5556FE5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w:t>
            </w:r>
          </w:p>
        </w:tc>
        <w:tc>
          <w:tcPr>
            <w:tcW w:w="0" w:type="auto"/>
            <w:shd w:val="clear" w:color="auto" w:fill="CCEEFF"/>
            <w:tcMar>
              <w:top w:w="40" w:type="dxa"/>
              <w:bottom w:w="40" w:type="dxa"/>
              <w:right w:w="40" w:type="dxa"/>
            </w:tcMar>
            <w:vAlign w:val="bottom"/>
          </w:tcPr>
          <w:p w14:paraId="5556FE5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E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5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31</w:t>
            </w:r>
          </w:p>
        </w:tc>
        <w:tc>
          <w:tcPr>
            <w:tcW w:w="0" w:type="auto"/>
            <w:shd w:val="clear" w:color="auto" w:fill="CCEEFF"/>
            <w:vAlign w:val="bottom"/>
          </w:tcPr>
          <w:p w14:paraId="5556FE5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5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5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17</w:t>
            </w:r>
          </w:p>
        </w:tc>
        <w:tc>
          <w:tcPr>
            <w:tcW w:w="0" w:type="auto"/>
            <w:shd w:val="clear" w:color="auto" w:fill="CCEEFF"/>
            <w:vAlign w:val="bottom"/>
          </w:tcPr>
          <w:p w14:paraId="5556FE5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5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5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w:t>
            </w:r>
          </w:p>
        </w:tc>
        <w:tc>
          <w:tcPr>
            <w:tcW w:w="0" w:type="auto"/>
            <w:shd w:val="clear" w:color="auto" w:fill="CCEEFF"/>
            <w:tcMar>
              <w:top w:w="40" w:type="dxa"/>
              <w:bottom w:w="40" w:type="dxa"/>
              <w:right w:w="40" w:type="dxa"/>
            </w:tcMar>
            <w:vAlign w:val="bottom"/>
          </w:tcPr>
          <w:p w14:paraId="5556FE5D"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E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5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55</w:t>
            </w:r>
          </w:p>
        </w:tc>
        <w:tc>
          <w:tcPr>
            <w:tcW w:w="0" w:type="auto"/>
            <w:shd w:val="clear" w:color="auto" w:fill="CCEEFF"/>
            <w:vAlign w:val="bottom"/>
          </w:tcPr>
          <w:p w14:paraId="5556FE6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6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40</w:t>
            </w:r>
          </w:p>
        </w:tc>
        <w:tc>
          <w:tcPr>
            <w:tcW w:w="0" w:type="auto"/>
            <w:shd w:val="clear" w:color="auto" w:fill="CCEEFF"/>
            <w:vAlign w:val="bottom"/>
          </w:tcPr>
          <w:p w14:paraId="5556FE63" w14:textId="77777777" w:rsidR="00F925DD" w:rsidRDefault="00F925DD">
            <w:pPr>
              <w:textAlignment w:val="bottom"/>
              <w:rPr>
                <w:rFonts w:ascii="Times New Roman" w:hAnsi="Times New Roman"/>
                <w:sz w:val="20"/>
                <w:szCs w:val="20"/>
              </w:rPr>
            </w:pPr>
          </w:p>
        </w:tc>
      </w:tr>
      <w:tr w:rsidR="00F925DD" w14:paraId="5556FE77" w14:textId="77777777">
        <w:tc>
          <w:tcPr>
            <w:tcW w:w="0" w:type="auto"/>
            <w:shd w:val="clear" w:color="auto" w:fill="auto"/>
            <w:tcMar>
              <w:top w:w="40" w:type="dxa"/>
              <w:left w:w="40" w:type="dxa"/>
              <w:bottom w:w="40" w:type="dxa"/>
              <w:right w:w="40" w:type="dxa"/>
            </w:tcMar>
            <w:vAlign w:val="bottom"/>
          </w:tcPr>
          <w:p w14:paraId="5556FE65" w14:textId="77777777" w:rsidR="00F925DD" w:rsidRDefault="00E705D7">
            <w:pPr>
              <w:textAlignment w:val="bottom"/>
              <w:rPr>
                <w:rFonts w:ascii="Times New Roman" w:hAnsi="Times New Roman"/>
                <w:sz w:val="14"/>
                <w:szCs w:val="14"/>
              </w:rPr>
            </w:pPr>
            <w:r>
              <w:rPr>
                <w:rFonts w:ascii="Arial" w:eastAsia="宋体" w:hAnsi="Arial" w:cs="Arial"/>
                <w:sz w:val="14"/>
                <w:szCs w:val="14"/>
              </w:rPr>
              <w:t xml:space="preserve">Securities sold under </w:t>
            </w:r>
            <w:r>
              <w:rPr>
                <w:rFonts w:ascii="Arial" w:eastAsia="宋体" w:hAnsi="Arial" w:cs="Arial"/>
                <w:sz w:val="14"/>
                <w:szCs w:val="14"/>
              </w:rPr>
              <w:t>repurchase agreements</w:t>
            </w:r>
          </w:p>
        </w:tc>
        <w:tc>
          <w:tcPr>
            <w:tcW w:w="0" w:type="auto"/>
            <w:gridSpan w:val="2"/>
            <w:shd w:val="clear" w:color="auto" w:fill="auto"/>
            <w:tcMar>
              <w:top w:w="40" w:type="dxa"/>
              <w:left w:w="40" w:type="dxa"/>
              <w:bottom w:w="40" w:type="dxa"/>
            </w:tcMar>
            <w:vAlign w:val="bottom"/>
          </w:tcPr>
          <w:p w14:paraId="5556FE6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auto"/>
            <w:tcMar>
              <w:top w:w="40" w:type="dxa"/>
              <w:bottom w:w="40" w:type="dxa"/>
              <w:right w:w="40" w:type="dxa"/>
            </w:tcMar>
            <w:vAlign w:val="bottom"/>
          </w:tcPr>
          <w:p w14:paraId="5556FE6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FE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6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w:t>
            </w:r>
          </w:p>
        </w:tc>
        <w:tc>
          <w:tcPr>
            <w:tcW w:w="0" w:type="auto"/>
            <w:shd w:val="clear" w:color="auto" w:fill="auto"/>
            <w:vAlign w:val="bottom"/>
          </w:tcPr>
          <w:p w14:paraId="5556FE6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6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18</w:t>
            </w:r>
          </w:p>
        </w:tc>
        <w:tc>
          <w:tcPr>
            <w:tcW w:w="0" w:type="auto"/>
            <w:shd w:val="clear" w:color="auto" w:fill="auto"/>
            <w:vAlign w:val="bottom"/>
          </w:tcPr>
          <w:p w14:paraId="5556FE6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6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shd w:val="clear" w:color="auto" w:fill="auto"/>
            <w:tcMar>
              <w:top w:w="40" w:type="dxa"/>
              <w:bottom w:w="40" w:type="dxa"/>
              <w:right w:w="40" w:type="dxa"/>
            </w:tcMar>
            <w:vAlign w:val="bottom"/>
          </w:tcPr>
          <w:p w14:paraId="5556FE7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E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7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w:t>
            </w:r>
          </w:p>
        </w:tc>
        <w:tc>
          <w:tcPr>
            <w:tcW w:w="0" w:type="auto"/>
            <w:shd w:val="clear" w:color="auto" w:fill="auto"/>
            <w:vAlign w:val="bottom"/>
          </w:tcPr>
          <w:p w14:paraId="5556FE7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7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11</w:t>
            </w:r>
          </w:p>
        </w:tc>
        <w:tc>
          <w:tcPr>
            <w:tcW w:w="0" w:type="auto"/>
            <w:shd w:val="clear" w:color="auto" w:fill="auto"/>
            <w:vAlign w:val="bottom"/>
          </w:tcPr>
          <w:p w14:paraId="5556FE76" w14:textId="77777777" w:rsidR="00F925DD" w:rsidRDefault="00F925DD">
            <w:pPr>
              <w:textAlignment w:val="bottom"/>
              <w:rPr>
                <w:rFonts w:ascii="Times New Roman" w:hAnsi="Times New Roman"/>
                <w:sz w:val="20"/>
                <w:szCs w:val="20"/>
              </w:rPr>
            </w:pPr>
          </w:p>
        </w:tc>
      </w:tr>
      <w:tr w:rsidR="00F925DD" w14:paraId="5556FE8A" w14:textId="77777777">
        <w:tc>
          <w:tcPr>
            <w:tcW w:w="0" w:type="auto"/>
            <w:shd w:val="clear" w:color="auto" w:fill="CCEEFF"/>
            <w:tcMar>
              <w:top w:w="40" w:type="dxa"/>
              <w:left w:w="40" w:type="dxa"/>
              <w:bottom w:w="40" w:type="dxa"/>
              <w:right w:w="40" w:type="dxa"/>
            </w:tcMar>
            <w:vAlign w:val="bottom"/>
          </w:tcPr>
          <w:p w14:paraId="5556FE78"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short-term borrowings</w:t>
            </w:r>
          </w:p>
        </w:tc>
        <w:tc>
          <w:tcPr>
            <w:tcW w:w="0" w:type="auto"/>
            <w:gridSpan w:val="2"/>
            <w:shd w:val="clear" w:color="auto" w:fill="CCEEFF"/>
            <w:tcMar>
              <w:top w:w="40" w:type="dxa"/>
              <w:left w:w="40" w:type="dxa"/>
              <w:bottom w:w="40" w:type="dxa"/>
            </w:tcMar>
            <w:vAlign w:val="bottom"/>
          </w:tcPr>
          <w:p w14:paraId="5556FE7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CCEEFF"/>
            <w:vAlign w:val="bottom"/>
          </w:tcPr>
          <w:p w14:paraId="5556FE7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7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CCEEFF"/>
            <w:vAlign w:val="bottom"/>
          </w:tcPr>
          <w:p w14:paraId="5556FE7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7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CCEEFF"/>
            <w:vAlign w:val="bottom"/>
          </w:tcPr>
          <w:p w14:paraId="5556FE80"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8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E8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8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vAlign w:val="bottom"/>
          </w:tcPr>
          <w:p w14:paraId="5556FE8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8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E8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w:t>
            </w:r>
          </w:p>
        </w:tc>
        <w:tc>
          <w:tcPr>
            <w:tcW w:w="0" w:type="auto"/>
            <w:shd w:val="clear" w:color="auto" w:fill="CCEEFF"/>
            <w:vAlign w:val="bottom"/>
          </w:tcPr>
          <w:p w14:paraId="5556FE89" w14:textId="77777777" w:rsidR="00F925DD" w:rsidRDefault="00F925DD">
            <w:pPr>
              <w:textAlignment w:val="bottom"/>
              <w:rPr>
                <w:rFonts w:ascii="Times New Roman" w:hAnsi="Times New Roman"/>
                <w:sz w:val="20"/>
                <w:szCs w:val="20"/>
              </w:rPr>
            </w:pPr>
          </w:p>
        </w:tc>
      </w:tr>
      <w:tr w:rsidR="00F925DD" w14:paraId="5556FE9D" w14:textId="77777777">
        <w:tc>
          <w:tcPr>
            <w:tcW w:w="0" w:type="auto"/>
            <w:shd w:val="clear" w:color="auto" w:fill="auto"/>
            <w:tcMar>
              <w:top w:w="40" w:type="dxa"/>
              <w:left w:w="40" w:type="dxa"/>
              <w:bottom w:w="40" w:type="dxa"/>
              <w:right w:w="40" w:type="dxa"/>
            </w:tcMar>
            <w:vAlign w:val="bottom"/>
          </w:tcPr>
          <w:p w14:paraId="5556FE8B" w14:textId="77777777" w:rsidR="00F925DD" w:rsidRDefault="00E705D7">
            <w:pPr>
              <w:textAlignment w:val="bottom"/>
              <w:rPr>
                <w:rFonts w:ascii="Times New Roman" w:hAnsi="Times New Roman"/>
                <w:sz w:val="14"/>
                <w:szCs w:val="14"/>
              </w:rPr>
            </w:pPr>
            <w:r>
              <w:rPr>
                <w:rFonts w:ascii="Arial" w:eastAsia="宋体" w:hAnsi="Arial" w:cs="Arial"/>
                <w:sz w:val="14"/>
                <w:szCs w:val="14"/>
              </w:rPr>
              <w:t>Long-term debt</w:t>
            </w:r>
          </w:p>
        </w:tc>
        <w:tc>
          <w:tcPr>
            <w:tcW w:w="0" w:type="auto"/>
            <w:gridSpan w:val="2"/>
            <w:shd w:val="clear" w:color="auto" w:fill="auto"/>
            <w:tcMar>
              <w:top w:w="40" w:type="dxa"/>
              <w:left w:w="40" w:type="dxa"/>
              <w:bottom w:w="40" w:type="dxa"/>
            </w:tcMar>
            <w:vAlign w:val="bottom"/>
          </w:tcPr>
          <w:p w14:paraId="5556FE8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w:t>
            </w:r>
          </w:p>
        </w:tc>
        <w:tc>
          <w:tcPr>
            <w:tcW w:w="0" w:type="auto"/>
            <w:shd w:val="clear" w:color="auto" w:fill="auto"/>
            <w:vAlign w:val="bottom"/>
          </w:tcPr>
          <w:p w14:paraId="5556FE8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8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auto"/>
            <w:tcMar>
              <w:top w:w="40" w:type="dxa"/>
              <w:bottom w:w="40" w:type="dxa"/>
              <w:right w:w="40" w:type="dxa"/>
            </w:tcMar>
            <w:vAlign w:val="bottom"/>
          </w:tcPr>
          <w:p w14:paraId="5556FE9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left w:w="40" w:type="dxa"/>
              <w:bottom w:w="40" w:type="dxa"/>
              <w:right w:w="40" w:type="dxa"/>
            </w:tcMar>
            <w:vAlign w:val="bottom"/>
          </w:tcPr>
          <w:p w14:paraId="5556FE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9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25</w:t>
            </w:r>
          </w:p>
        </w:tc>
        <w:tc>
          <w:tcPr>
            <w:tcW w:w="0" w:type="auto"/>
            <w:shd w:val="clear" w:color="auto" w:fill="auto"/>
            <w:vAlign w:val="bottom"/>
          </w:tcPr>
          <w:p w14:paraId="5556FE9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9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w:t>
            </w:r>
          </w:p>
        </w:tc>
        <w:tc>
          <w:tcPr>
            <w:tcW w:w="0" w:type="auto"/>
            <w:shd w:val="clear" w:color="auto" w:fill="auto"/>
            <w:tcMar>
              <w:top w:w="40" w:type="dxa"/>
              <w:bottom w:w="40" w:type="dxa"/>
              <w:right w:w="40" w:type="dxa"/>
            </w:tcMar>
            <w:vAlign w:val="bottom"/>
          </w:tcPr>
          <w:p w14:paraId="5556FE9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left w:w="40" w:type="dxa"/>
              <w:bottom w:w="40" w:type="dxa"/>
              <w:right w:w="40" w:type="dxa"/>
            </w:tcMar>
            <w:vAlign w:val="bottom"/>
          </w:tcPr>
          <w:p w14:paraId="5556FE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9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105</w:t>
            </w:r>
          </w:p>
        </w:tc>
        <w:tc>
          <w:tcPr>
            <w:tcW w:w="0" w:type="auto"/>
            <w:shd w:val="clear" w:color="auto" w:fill="auto"/>
            <w:vAlign w:val="bottom"/>
          </w:tcPr>
          <w:p w14:paraId="5556FE9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E9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81</w:t>
            </w:r>
          </w:p>
        </w:tc>
        <w:tc>
          <w:tcPr>
            <w:tcW w:w="0" w:type="auto"/>
            <w:shd w:val="clear" w:color="auto" w:fill="auto"/>
            <w:vAlign w:val="bottom"/>
          </w:tcPr>
          <w:p w14:paraId="5556FE9C" w14:textId="77777777" w:rsidR="00F925DD" w:rsidRDefault="00F925DD">
            <w:pPr>
              <w:textAlignment w:val="bottom"/>
              <w:rPr>
                <w:rFonts w:ascii="Times New Roman" w:hAnsi="Times New Roman"/>
                <w:sz w:val="20"/>
                <w:szCs w:val="20"/>
              </w:rPr>
            </w:pPr>
          </w:p>
        </w:tc>
      </w:tr>
      <w:tr w:rsidR="00F925DD" w14:paraId="5556FEB0" w14:textId="77777777">
        <w:tc>
          <w:tcPr>
            <w:tcW w:w="0" w:type="auto"/>
            <w:shd w:val="clear" w:color="auto" w:fill="CCEEFF"/>
            <w:tcMar>
              <w:top w:w="40" w:type="dxa"/>
              <w:left w:w="40" w:type="dxa"/>
              <w:bottom w:w="40" w:type="dxa"/>
              <w:right w:w="40" w:type="dxa"/>
            </w:tcMar>
            <w:vAlign w:val="bottom"/>
          </w:tcPr>
          <w:p w14:paraId="5556FE9E" w14:textId="77777777" w:rsidR="00F925DD" w:rsidRDefault="00E705D7">
            <w:pPr>
              <w:textAlignment w:val="bottom"/>
              <w:rPr>
                <w:rFonts w:ascii="Times New Roman" w:hAnsi="Times New Roman"/>
                <w:sz w:val="14"/>
                <w:szCs w:val="14"/>
              </w:rPr>
            </w:pPr>
            <w:r>
              <w:rPr>
                <w:rFonts w:ascii="Arial" w:eastAsia="宋体" w:hAnsi="Arial" w:cs="Arial"/>
                <w:sz w:val="14"/>
                <w:szCs w:val="14"/>
              </w:rPr>
              <w:t>Other interest-bearing liabilities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E9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w:t>
            </w:r>
          </w:p>
        </w:tc>
        <w:tc>
          <w:tcPr>
            <w:tcW w:w="0" w:type="auto"/>
            <w:tcBorders>
              <w:bottom w:val="single" w:sz="8" w:space="0" w:color="000000"/>
            </w:tcBorders>
            <w:shd w:val="clear" w:color="auto" w:fill="CCEEFF"/>
            <w:tcMar>
              <w:top w:w="40" w:type="dxa"/>
              <w:bottom w:w="40" w:type="dxa"/>
              <w:right w:w="40" w:type="dxa"/>
            </w:tcMar>
            <w:vAlign w:val="bottom"/>
          </w:tcPr>
          <w:p w14:paraId="5556FEA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EA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EA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73</w:t>
            </w:r>
          </w:p>
        </w:tc>
        <w:tc>
          <w:tcPr>
            <w:tcW w:w="0" w:type="auto"/>
            <w:tcBorders>
              <w:bottom w:val="single" w:sz="8" w:space="0" w:color="000000"/>
            </w:tcBorders>
            <w:shd w:val="clear" w:color="auto" w:fill="CCEEFF"/>
            <w:vAlign w:val="bottom"/>
          </w:tcPr>
          <w:p w14:paraId="5556FEA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EA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w:t>
            </w:r>
          </w:p>
        </w:tc>
        <w:tc>
          <w:tcPr>
            <w:tcW w:w="0" w:type="auto"/>
            <w:tcBorders>
              <w:bottom w:val="single" w:sz="8" w:space="0" w:color="000000"/>
            </w:tcBorders>
            <w:shd w:val="clear" w:color="auto" w:fill="CCEEFF"/>
            <w:vAlign w:val="bottom"/>
          </w:tcPr>
          <w:p w14:paraId="5556FEA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EA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tcBorders>
              <w:bottom w:val="single" w:sz="8" w:space="0" w:color="000000"/>
            </w:tcBorders>
            <w:shd w:val="clear" w:color="auto" w:fill="CCEEFF"/>
            <w:vAlign w:val="bottom"/>
          </w:tcPr>
          <w:p w14:paraId="5556FEA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EA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79</w:t>
            </w:r>
          </w:p>
        </w:tc>
        <w:tc>
          <w:tcPr>
            <w:tcW w:w="0" w:type="auto"/>
            <w:tcBorders>
              <w:bottom w:val="single" w:sz="8" w:space="0" w:color="000000"/>
            </w:tcBorders>
            <w:shd w:val="clear" w:color="auto" w:fill="CCEEFF"/>
            <w:vAlign w:val="bottom"/>
          </w:tcPr>
          <w:p w14:paraId="5556FEA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EA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88</w:t>
            </w:r>
          </w:p>
        </w:tc>
        <w:tc>
          <w:tcPr>
            <w:tcW w:w="0" w:type="auto"/>
            <w:tcBorders>
              <w:bottom w:val="single" w:sz="8" w:space="0" w:color="000000"/>
            </w:tcBorders>
            <w:shd w:val="clear" w:color="auto" w:fill="CCEEFF"/>
            <w:vAlign w:val="bottom"/>
          </w:tcPr>
          <w:p w14:paraId="5556FEAF" w14:textId="77777777" w:rsidR="00F925DD" w:rsidRDefault="00F925DD">
            <w:pPr>
              <w:textAlignment w:val="bottom"/>
              <w:rPr>
                <w:rFonts w:ascii="Times New Roman" w:hAnsi="Times New Roman"/>
                <w:sz w:val="20"/>
                <w:szCs w:val="20"/>
              </w:rPr>
            </w:pPr>
          </w:p>
        </w:tc>
      </w:tr>
      <w:tr w:rsidR="00F925DD" w14:paraId="5556FEC3" w14:textId="77777777">
        <w:tc>
          <w:tcPr>
            <w:tcW w:w="0" w:type="auto"/>
            <w:shd w:val="clear" w:color="auto" w:fill="auto"/>
            <w:tcMar>
              <w:top w:w="40" w:type="dxa"/>
              <w:left w:w="40" w:type="dxa"/>
              <w:bottom w:w="40" w:type="dxa"/>
              <w:right w:w="40" w:type="dxa"/>
            </w:tcMar>
            <w:vAlign w:val="bottom"/>
          </w:tcPr>
          <w:p w14:paraId="5556FEB1"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interest-bearing liabilities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FEB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w:t>
            </w:r>
          </w:p>
        </w:tc>
        <w:tc>
          <w:tcPr>
            <w:tcW w:w="0" w:type="auto"/>
            <w:tcBorders>
              <w:top w:val="single" w:sz="8" w:space="0" w:color="000000"/>
              <w:bottom w:val="single" w:sz="8" w:space="0" w:color="000000"/>
            </w:tcBorders>
            <w:shd w:val="clear" w:color="auto" w:fill="auto"/>
            <w:vAlign w:val="bottom"/>
          </w:tcPr>
          <w:p w14:paraId="5556FEB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5556FEB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348</w:t>
            </w:r>
          </w:p>
        </w:tc>
        <w:tc>
          <w:tcPr>
            <w:tcW w:w="0" w:type="auto"/>
            <w:tcBorders>
              <w:top w:val="single" w:sz="8" w:space="0" w:color="000000"/>
              <w:bottom w:val="single" w:sz="8" w:space="0" w:color="000000"/>
            </w:tcBorders>
            <w:shd w:val="clear" w:color="auto" w:fill="auto"/>
            <w:vAlign w:val="bottom"/>
          </w:tcPr>
          <w:p w14:paraId="5556FEB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EB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384</w:t>
            </w:r>
          </w:p>
        </w:tc>
        <w:tc>
          <w:tcPr>
            <w:tcW w:w="0" w:type="auto"/>
            <w:tcBorders>
              <w:bottom w:val="single" w:sz="8" w:space="0" w:color="000000"/>
            </w:tcBorders>
            <w:shd w:val="clear" w:color="auto" w:fill="auto"/>
            <w:vAlign w:val="bottom"/>
          </w:tcPr>
          <w:p w14:paraId="5556FEB9"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EB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w:t>
            </w:r>
          </w:p>
        </w:tc>
        <w:tc>
          <w:tcPr>
            <w:tcW w:w="0" w:type="auto"/>
            <w:tcBorders>
              <w:bottom w:val="single" w:sz="8" w:space="0" w:color="000000"/>
            </w:tcBorders>
            <w:shd w:val="clear" w:color="auto" w:fill="auto"/>
            <w:vAlign w:val="bottom"/>
          </w:tcPr>
          <w:p w14:paraId="5556FEB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EB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364</w:t>
            </w:r>
          </w:p>
        </w:tc>
        <w:tc>
          <w:tcPr>
            <w:tcW w:w="0" w:type="auto"/>
            <w:tcBorders>
              <w:bottom w:val="single" w:sz="8" w:space="0" w:color="000000"/>
            </w:tcBorders>
            <w:shd w:val="clear" w:color="auto" w:fill="auto"/>
            <w:vAlign w:val="bottom"/>
          </w:tcPr>
          <w:p w14:paraId="5556FEB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E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EC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387</w:t>
            </w:r>
          </w:p>
        </w:tc>
        <w:tc>
          <w:tcPr>
            <w:tcW w:w="0" w:type="auto"/>
            <w:tcBorders>
              <w:bottom w:val="single" w:sz="8" w:space="0" w:color="000000"/>
            </w:tcBorders>
            <w:shd w:val="clear" w:color="auto" w:fill="auto"/>
            <w:vAlign w:val="bottom"/>
          </w:tcPr>
          <w:p w14:paraId="5556FEC2" w14:textId="77777777" w:rsidR="00F925DD" w:rsidRDefault="00F925DD">
            <w:pPr>
              <w:textAlignment w:val="bottom"/>
              <w:rPr>
                <w:rFonts w:ascii="Times New Roman" w:hAnsi="Times New Roman"/>
                <w:sz w:val="20"/>
                <w:szCs w:val="20"/>
              </w:rPr>
            </w:pPr>
          </w:p>
        </w:tc>
      </w:tr>
      <w:tr w:rsidR="00F925DD" w14:paraId="5556FEDC" w14:textId="77777777">
        <w:tc>
          <w:tcPr>
            <w:tcW w:w="0" w:type="auto"/>
            <w:shd w:val="clear" w:color="auto" w:fill="CCEEFF"/>
            <w:tcMar>
              <w:top w:w="40" w:type="dxa"/>
              <w:left w:w="40" w:type="dxa"/>
              <w:bottom w:w="40" w:type="dxa"/>
              <w:right w:w="40" w:type="dxa"/>
            </w:tcMar>
            <w:vAlign w:val="bottom"/>
          </w:tcPr>
          <w:p w14:paraId="5556FEC4"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tcBorders>
              <w:bottom w:val="double" w:sz="6" w:space="0" w:color="000000"/>
            </w:tcBorders>
            <w:shd w:val="clear" w:color="auto" w:fill="CCEEFF"/>
            <w:tcMar>
              <w:top w:w="40" w:type="dxa"/>
              <w:left w:w="40" w:type="dxa"/>
              <w:bottom w:w="40" w:type="dxa"/>
            </w:tcMar>
            <w:vAlign w:val="bottom"/>
          </w:tcPr>
          <w:p w14:paraId="5556FEC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FEC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w:t>
            </w:r>
          </w:p>
        </w:tc>
        <w:tc>
          <w:tcPr>
            <w:tcW w:w="0" w:type="auto"/>
            <w:tcBorders>
              <w:bottom w:val="double" w:sz="6" w:space="0" w:color="000000"/>
            </w:tcBorders>
            <w:shd w:val="clear" w:color="auto" w:fill="CCEEFF"/>
            <w:tcMar>
              <w:top w:w="40" w:type="dxa"/>
              <w:bottom w:w="40" w:type="dxa"/>
              <w:right w:w="40" w:type="dxa"/>
            </w:tcMar>
            <w:vAlign w:val="bottom"/>
          </w:tcPr>
          <w:p w14:paraId="5556FEC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E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FEC9"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FEC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(71</w:t>
            </w:r>
          </w:p>
        </w:tc>
        <w:tc>
          <w:tcPr>
            <w:tcW w:w="0" w:type="auto"/>
            <w:tcBorders>
              <w:bottom w:val="double" w:sz="6" w:space="0" w:color="000000"/>
            </w:tcBorders>
            <w:shd w:val="clear" w:color="auto" w:fill="CCEEFF"/>
            <w:tcMar>
              <w:top w:w="40" w:type="dxa"/>
              <w:bottom w:w="40" w:type="dxa"/>
              <w:right w:w="40" w:type="dxa"/>
            </w:tcMar>
            <w:vAlign w:val="bottom"/>
          </w:tcPr>
          <w:p w14:paraId="5556FEC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E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FECD"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CCEEFF"/>
            <w:tcMar>
              <w:top w:w="40" w:type="dxa"/>
              <w:bottom w:w="40" w:type="dxa"/>
            </w:tcMar>
            <w:vAlign w:val="bottom"/>
          </w:tcPr>
          <w:p w14:paraId="5556FEC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(143</w:t>
            </w:r>
          </w:p>
        </w:tc>
        <w:tc>
          <w:tcPr>
            <w:tcW w:w="0" w:type="auto"/>
            <w:tcBorders>
              <w:bottom w:val="double" w:sz="6" w:space="0" w:color="000000"/>
            </w:tcBorders>
            <w:shd w:val="clear" w:color="auto" w:fill="CCEEFF"/>
            <w:tcMar>
              <w:top w:w="40" w:type="dxa"/>
              <w:bottom w:w="40" w:type="dxa"/>
              <w:right w:w="40" w:type="dxa"/>
            </w:tcMar>
            <w:vAlign w:val="bottom"/>
          </w:tcPr>
          <w:p w14:paraId="5556FEC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E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FED1"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FED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(145</w:t>
            </w:r>
          </w:p>
        </w:tc>
        <w:tc>
          <w:tcPr>
            <w:tcW w:w="0" w:type="auto"/>
            <w:tcBorders>
              <w:bottom w:val="double" w:sz="6" w:space="0" w:color="000000"/>
            </w:tcBorders>
            <w:shd w:val="clear" w:color="auto" w:fill="CCEEFF"/>
            <w:tcMar>
              <w:top w:w="40" w:type="dxa"/>
              <w:bottom w:w="40" w:type="dxa"/>
              <w:right w:w="40" w:type="dxa"/>
            </w:tcMar>
            <w:vAlign w:val="bottom"/>
          </w:tcPr>
          <w:p w14:paraId="5556FED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E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FED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FED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402</w:t>
            </w:r>
          </w:p>
        </w:tc>
        <w:tc>
          <w:tcPr>
            <w:tcW w:w="0" w:type="auto"/>
            <w:tcBorders>
              <w:bottom w:val="double" w:sz="6" w:space="0" w:color="000000"/>
            </w:tcBorders>
            <w:shd w:val="clear" w:color="auto" w:fill="CCEEFF"/>
            <w:vAlign w:val="bottom"/>
          </w:tcPr>
          <w:p w14:paraId="5556FED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E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6FED9"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CCEEFF"/>
            <w:tcMar>
              <w:top w:w="40" w:type="dxa"/>
              <w:bottom w:w="40" w:type="dxa"/>
            </w:tcMar>
            <w:vAlign w:val="bottom"/>
          </w:tcPr>
          <w:p w14:paraId="5556FED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257</w:t>
            </w:r>
          </w:p>
        </w:tc>
        <w:tc>
          <w:tcPr>
            <w:tcW w:w="0" w:type="auto"/>
            <w:tcBorders>
              <w:bottom w:val="double" w:sz="6" w:space="0" w:color="000000"/>
            </w:tcBorders>
            <w:shd w:val="clear" w:color="auto" w:fill="CCEEFF"/>
            <w:vAlign w:val="bottom"/>
          </w:tcPr>
          <w:p w14:paraId="5556FEDB" w14:textId="77777777" w:rsidR="00F925DD" w:rsidRDefault="00F925DD">
            <w:pPr>
              <w:textAlignment w:val="bottom"/>
              <w:rPr>
                <w:rFonts w:ascii="Times New Roman" w:hAnsi="Times New Roman"/>
                <w:sz w:val="20"/>
                <w:szCs w:val="20"/>
              </w:rPr>
            </w:pPr>
          </w:p>
        </w:tc>
      </w:tr>
    </w:tbl>
    <w:p w14:paraId="5556FEDD" w14:textId="77777777" w:rsidR="00F925DD" w:rsidRDefault="00F925DD">
      <w:pPr>
        <w:spacing w:line="288" w:lineRule="auto"/>
        <w:ind w:firstLine="600"/>
        <w:rPr>
          <w:rFonts w:ascii="Times New Roman" w:hAnsi="Times New Roman"/>
          <w:sz w:val="20"/>
          <w:szCs w:val="20"/>
        </w:rPr>
      </w:pPr>
    </w:p>
    <w:p w14:paraId="5556FEDE"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Quarterly Summarized Financial Information (Unaudited)</w:t>
      </w:r>
    </w:p>
    <w:tbl>
      <w:tblPr>
        <w:tblW w:w="5000" w:type="pct"/>
        <w:tblCellMar>
          <w:left w:w="0" w:type="dxa"/>
          <w:right w:w="0" w:type="dxa"/>
        </w:tblCellMar>
        <w:tblLook w:val="04A0" w:firstRow="1" w:lastRow="0" w:firstColumn="1" w:lastColumn="0" w:noHBand="0" w:noVBand="1"/>
      </w:tblPr>
      <w:tblGrid>
        <w:gridCol w:w="2197"/>
        <w:gridCol w:w="119"/>
        <w:gridCol w:w="468"/>
        <w:gridCol w:w="6"/>
        <w:gridCol w:w="180"/>
        <w:gridCol w:w="6"/>
        <w:gridCol w:w="119"/>
        <w:gridCol w:w="455"/>
        <w:gridCol w:w="6"/>
        <w:gridCol w:w="130"/>
        <w:gridCol w:w="119"/>
        <w:gridCol w:w="468"/>
        <w:gridCol w:w="6"/>
        <w:gridCol w:w="180"/>
        <w:gridCol w:w="6"/>
        <w:gridCol w:w="119"/>
        <w:gridCol w:w="455"/>
        <w:gridCol w:w="87"/>
        <w:gridCol w:w="130"/>
        <w:gridCol w:w="120"/>
        <w:gridCol w:w="468"/>
        <w:gridCol w:w="68"/>
        <w:gridCol w:w="130"/>
        <w:gridCol w:w="119"/>
        <w:gridCol w:w="468"/>
        <w:gridCol w:w="87"/>
        <w:gridCol w:w="130"/>
        <w:gridCol w:w="120"/>
        <w:gridCol w:w="468"/>
        <w:gridCol w:w="68"/>
        <w:gridCol w:w="130"/>
        <w:gridCol w:w="119"/>
        <w:gridCol w:w="468"/>
        <w:gridCol w:w="87"/>
      </w:tblGrid>
      <w:tr w:rsidR="00F925DD" w14:paraId="5556FEE0" w14:textId="77777777">
        <w:tc>
          <w:tcPr>
            <w:tcW w:w="0" w:type="auto"/>
            <w:gridSpan w:val="34"/>
            <w:shd w:val="clear" w:color="auto" w:fill="auto"/>
            <w:vAlign w:val="center"/>
          </w:tcPr>
          <w:p w14:paraId="5556FEDF" w14:textId="77777777" w:rsidR="00F925DD" w:rsidRDefault="00F925DD">
            <w:pPr>
              <w:rPr>
                <w:rFonts w:ascii="Times New Roman" w:hAnsi="Times New Roman"/>
                <w:sz w:val="20"/>
                <w:szCs w:val="20"/>
              </w:rPr>
            </w:pPr>
          </w:p>
        </w:tc>
      </w:tr>
      <w:tr w:rsidR="00F925DD" w14:paraId="5556FF03" w14:textId="77777777">
        <w:tc>
          <w:tcPr>
            <w:tcW w:w="1550" w:type="pct"/>
            <w:shd w:val="clear" w:color="auto" w:fill="auto"/>
            <w:vAlign w:val="center"/>
          </w:tcPr>
          <w:p w14:paraId="5556FEE1" w14:textId="77777777" w:rsidR="00F925DD" w:rsidRDefault="00F925DD">
            <w:pPr>
              <w:rPr>
                <w:rFonts w:ascii="Times New Roman" w:hAnsi="Times New Roman"/>
                <w:sz w:val="20"/>
                <w:szCs w:val="20"/>
              </w:rPr>
            </w:pPr>
          </w:p>
        </w:tc>
        <w:tc>
          <w:tcPr>
            <w:tcW w:w="50" w:type="pct"/>
            <w:shd w:val="clear" w:color="auto" w:fill="auto"/>
            <w:vAlign w:val="center"/>
          </w:tcPr>
          <w:p w14:paraId="5556FEE2" w14:textId="77777777" w:rsidR="00F925DD" w:rsidRDefault="00F925DD">
            <w:pPr>
              <w:rPr>
                <w:rFonts w:ascii="Times New Roman" w:hAnsi="Times New Roman"/>
                <w:sz w:val="20"/>
                <w:szCs w:val="20"/>
              </w:rPr>
            </w:pPr>
          </w:p>
        </w:tc>
        <w:tc>
          <w:tcPr>
            <w:tcW w:w="300" w:type="pct"/>
            <w:shd w:val="clear" w:color="auto" w:fill="auto"/>
            <w:vAlign w:val="center"/>
          </w:tcPr>
          <w:p w14:paraId="5556FEE3" w14:textId="77777777" w:rsidR="00F925DD" w:rsidRDefault="00F925DD">
            <w:pPr>
              <w:rPr>
                <w:rFonts w:ascii="Times New Roman" w:hAnsi="Times New Roman"/>
                <w:sz w:val="20"/>
                <w:szCs w:val="20"/>
              </w:rPr>
            </w:pPr>
          </w:p>
        </w:tc>
        <w:tc>
          <w:tcPr>
            <w:tcW w:w="50" w:type="pct"/>
            <w:shd w:val="clear" w:color="auto" w:fill="auto"/>
            <w:vAlign w:val="center"/>
          </w:tcPr>
          <w:p w14:paraId="5556FEE4" w14:textId="77777777" w:rsidR="00F925DD" w:rsidRDefault="00F925DD">
            <w:pPr>
              <w:rPr>
                <w:rFonts w:ascii="Times New Roman" w:hAnsi="Times New Roman"/>
                <w:sz w:val="20"/>
                <w:szCs w:val="20"/>
              </w:rPr>
            </w:pPr>
          </w:p>
        </w:tc>
        <w:tc>
          <w:tcPr>
            <w:tcW w:w="0" w:type="pct"/>
            <w:shd w:val="clear" w:color="auto" w:fill="auto"/>
            <w:vAlign w:val="center"/>
          </w:tcPr>
          <w:p w14:paraId="5556FEE5" w14:textId="77777777" w:rsidR="00F925DD" w:rsidRDefault="00F925DD">
            <w:pPr>
              <w:rPr>
                <w:rFonts w:ascii="Times New Roman" w:hAnsi="Times New Roman"/>
                <w:sz w:val="20"/>
                <w:szCs w:val="20"/>
              </w:rPr>
            </w:pPr>
          </w:p>
        </w:tc>
        <w:tc>
          <w:tcPr>
            <w:tcW w:w="50" w:type="pct"/>
            <w:shd w:val="clear" w:color="auto" w:fill="auto"/>
            <w:vAlign w:val="center"/>
          </w:tcPr>
          <w:p w14:paraId="5556FEE6" w14:textId="77777777" w:rsidR="00F925DD" w:rsidRDefault="00F925DD">
            <w:pPr>
              <w:rPr>
                <w:rFonts w:ascii="Times New Roman" w:hAnsi="Times New Roman"/>
                <w:sz w:val="20"/>
                <w:szCs w:val="20"/>
              </w:rPr>
            </w:pPr>
          </w:p>
        </w:tc>
        <w:tc>
          <w:tcPr>
            <w:tcW w:w="50" w:type="pct"/>
            <w:shd w:val="clear" w:color="auto" w:fill="auto"/>
            <w:vAlign w:val="center"/>
          </w:tcPr>
          <w:p w14:paraId="5556FEE7" w14:textId="77777777" w:rsidR="00F925DD" w:rsidRDefault="00F925DD">
            <w:pPr>
              <w:rPr>
                <w:rFonts w:ascii="Times New Roman" w:hAnsi="Times New Roman"/>
                <w:sz w:val="20"/>
                <w:szCs w:val="20"/>
              </w:rPr>
            </w:pPr>
          </w:p>
        </w:tc>
        <w:tc>
          <w:tcPr>
            <w:tcW w:w="250" w:type="pct"/>
            <w:shd w:val="clear" w:color="auto" w:fill="auto"/>
            <w:vAlign w:val="center"/>
          </w:tcPr>
          <w:p w14:paraId="5556FEE8" w14:textId="77777777" w:rsidR="00F925DD" w:rsidRDefault="00F925DD">
            <w:pPr>
              <w:rPr>
                <w:rFonts w:ascii="Times New Roman" w:hAnsi="Times New Roman"/>
                <w:sz w:val="20"/>
                <w:szCs w:val="20"/>
              </w:rPr>
            </w:pPr>
          </w:p>
        </w:tc>
        <w:tc>
          <w:tcPr>
            <w:tcW w:w="50" w:type="pct"/>
            <w:shd w:val="clear" w:color="auto" w:fill="auto"/>
            <w:vAlign w:val="center"/>
          </w:tcPr>
          <w:p w14:paraId="5556FEE9" w14:textId="77777777" w:rsidR="00F925DD" w:rsidRDefault="00F925DD">
            <w:pPr>
              <w:rPr>
                <w:rFonts w:ascii="Times New Roman" w:hAnsi="Times New Roman"/>
                <w:sz w:val="20"/>
                <w:szCs w:val="20"/>
              </w:rPr>
            </w:pPr>
          </w:p>
        </w:tc>
        <w:tc>
          <w:tcPr>
            <w:tcW w:w="50" w:type="pct"/>
            <w:shd w:val="clear" w:color="auto" w:fill="auto"/>
            <w:vAlign w:val="center"/>
          </w:tcPr>
          <w:p w14:paraId="5556FEEA" w14:textId="77777777" w:rsidR="00F925DD" w:rsidRDefault="00F925DD">
            <w:pPr>
              <w:rPr>
                <w:rFonts w:ascii="Times New Roman" w:hAnsi="Times New Roman"/>
                <w:sz w:val="20"/>
                <w:szCs w:val="20"/>
              </w:rPr>
            </w:pPr>
          </w:p>
        </w:tc>
        <w:tc>
          <w:tcPr>
            <w:tcW w:w="50" w:type="pct"/>
            <w:shd w:val="clear" w:color="auto" w:fill="auto"/>
            <w:vAlign w:val="center"/>
          </w:tcPr>
          <w:p w14:paraId="5556FEEB" w14:textId="77777777" w:rsidR="00F925DD" w:rsidRDefault="00F925DD">
            <w:pPr>
              <w:rPr>
                <w:rFonts w:ascii="Times New Roman" w:hAnsi="Times New Roman"/>
                <w:sz w:val="20"/>
                <w:szCs w:val="20"/>
              </w:rPr>
            </w:pPr>
          </w:p>
        </w:tc>
        <w:tc>
          <w:tcPr>
            <w:tcW w:w="300" w:type="pct"/>
            <w:shd w:val="clear" w:color="auto" w:fill="auto"/>
            <w:vAlign w:val="center"/>
          </w:tcPr>
          <w:p w14:paraId="5556FEEC" w14:textId="77777777" w:rsidR="00F925DD" w:rsidRDefault="00F925DD">
            <w:pPr>
              <w:rPr>
                <w:rFonts w:ascii="Times New Roman" w:hAnsi="Times New Roman"/>
                <w:sz w:val="20"/>
                <w:szCs w:val="20"/>
              </w:rPr>
            </w:pPr>
          </w:p>
        </w:tc>
        <w:tc>
          <w:tcPr>
            <w:tcW w:w="50" w:type="pct"/>
            <w:shd w:val="clear" w:color="auto" w:fill="auto"/>
            <w:vAlign w:val="center"/>
          </w:tcPr>
          <w:p w14:paraId="5556FEED" w14:textId="77777777" w:rsidR="00F925DD" w:rsidRDefault="00F925DD">
            <w:pPr>
              <w:rPr>
                <w:rFonts w:ascii="Times New Roman" w:hAnsi="Times New Roman"/>
                <w:sz w:val="20"/>
                <w:szCs w:val="20"/>
              </w:rPr>
            </w:pPr>
          </w:p>
        </w:tc>
        <w:tc>
          <w:tcPr>
            <w:tcW w:w="0" w:type="pct"/>
            <w:shd w:val="clear" w:color="auto" w:fill="auto"/>
            <w:vAlign w:val="center"/>
          </w:tcPr>
          <w:p w14:paraId="5556FEEE" w14:textId="77777777" w:rsidR="00F925DD" w:rsidRDefault="00F925DD">
            <w:pPr>
              <w:rPr>
                <w:rFonts w:ascii="Times New Roman" w:hAnsi="Times New Roman"/>
                <w:sz w:val="20"/>
                <w:szCs w:val="20"/>
              </w:rPr>
            </w:pPr>
          </w:p>
        </w:tc>
        <w:tc>
          <w:tcPr>
            <w:tcW w:w="50" w:type="pct"/>
            <w:shd w:val="clear" w:color="auto" w:fill="auto"/>
            <w:vAlign w:val="center"/>
          </w:tcPr>
          <w:p w14:paraId="5556FEEF" w14:textId="77777777" w:rsidR="00F925DD" w:rsidRDefault="00F925DD">
            <w:pPr>
              <w:rPr>
                <w:rFonts w:ascii="Times New Roman" w:hAnsi="Times New Roman"/>
                <w:sz w:val="20"/>
                <w:szCs w:val="20"/>
              </w:rPr>
            </w:pPr>
          </w:p>
        </w:tc>
        <w:tc>
          <w:tcPr>
            <w:tcW w:w="50" w:type="pct"/>
            <w:shd w:val="clear" w:color="auto" w:fill="auto"/>
            <w:vAlign w:val="center"/>
          </w:tcPr>
          <w:p w14:paraId="5556FEF0" w14:textId="77777777" w:rsidR="00F925DD" w:rsidRDefault="00F925DD">
            <w:pPr>
              <w:rPr>
                <w:rFonts w:ascii="Times New Roman" w:hAnsi="Times New Roman"/>
                <w:sz w:val="20"/>
                <w:szCs w:val="20"/>
              </w:rPr>
            </w:pPr>
          </w:p>
        </w:tc>
        <w:tc>
          <w:tcPr>
            <w:tcW w:w="250" w:type="pct"/>
            <w:shd w:val="clear" w:color="auto" w:fill="auto"/>
            <w:vAlign w:val="center"/>
          </w:tcPr>
          <w:p w14:paraId="5556FEF1" w14:textId="77777777" w:rsidR="00F925DD" w:rsidRDefault="00F925DD">
            <w:pPr>
              <w:rPr>
                <w:rFonts w:ascii="Times New Roman" w:hAnsi="Times New Roman"/>
                <w:sz w:val="20"/>
                <w:szCs w:val="20"/>
              </w:rPr>
            </w:pPr>
          </w:p>
        </w:tc>
        <w:tc>
          <w:tcPr>
            <w:tcW w:w="50" w:type="pct"/>
            <w:shd w:val="clear" w:color="auto" w:fill="auto"/>
            <w:vAlign w:val="center"/>
          </w:tcPr>
          <w:p w14:paraId="5556FEF2" w14:textId="77777777" w:rsidR="00F925DD" w:rsidRDefault="00F925DD">
            <w:pPr>
              <w:rPr>
                <w:rFonts w:ascii="Times New Roman" w:hAnsi="Times New Roman"/>
                <w:sz w:val="20"/>
                <w:szCs w:val="20"/>
              </w:rPr>
            </w:pPr>
          </w:p>
        </w:tc>
        <w:tc>
          <w:tcPr>
            <w:tcW w:w="50" w:type="pct"/>
            <w:shd w:val="clear" w:color="auto" w:fill="auto"/>
            <w:vAlign w:val="center"/>
          </w:tcPr>
          <w:p w14:paraId="5556FEF3" w14:textId="77777777" w:rsidR="00F925DD" w:rsidRDefault="00F925DD">
            <w:pPr>
              <w:rPr>
                <w:rFonts w:ascii="Times New Roman" w:hAnsi="Times New Roman"/>
                <w:sz w:val="20"/>
                <w:szCs w:val="20"/>
              </w:rPr>
            </w:pPr>
          </w:p>
        </w:tc>
        <w:tc>
          <w:tcPr>
            <w:tcW w:w="50" w:type="pct"/>
            <w:shd w:val="clear" w:color="auto" w:fill="auto"/>
            <w:vAlign w:val="center"/>
          </w:tcPr>
          <w:p w14:paraId="5556FEF4" w14:textId="77777777" w:rsidR="00F925DD" w:rsidRDefault="00F925DD">
            <w:pPr>
              <w:rPr>
                <w:rFonts w:ascii="Times New Roman" w:hAnsi="Times New Roman"/>
                <w:sz w:val="20"/>
                <w:szCs w:val="20"/>
              </w:rPr>
            </w:pPr>
          </w:p>
        </w:tc>
        <w:tc>
          <w:tcPr>
            <w:tcW w:w="300" w:type="pct"/>
            <w:shd w:val="clear" w:color="auto" w:fill="auto"/>
            <w:vAlign w:val="center"/>
          </w:tcPr>
          <w:p w14:paraId="5556FEF5" w14:textId="77777777" w:rsidR="00F925DD" w:rsidRDefault="00F925DD">
            <w:pPr>
              <w:rPr>
                <w:rFonts w:ascii="Times New Roman" w:hAnsi="Times New Roman"/>
                <w:sz w:val="20"/>
                <w:szCs w:val="20"/>
              </w:rPr>
            </w:pPr>
          </w:p>
        </w:tc>
        <w:tc>
          <w:tcPr>
            <w:tcW w:w="50" w:type="pct"/>
            <w:shd w:val="clear" w:color="auto" w:fill="auto"/>
            <w:vAlign w:val="center"/>
          </w:tcPr>
          <w:p w14:paraId="5556FEF6" w14:textId="77777777" w:rsidR="00F925DD" w:rsidRDefault="00F925DD">
            <w:pPr>
              <w:rPr>
                <w:rFonts w:ascii="Times New Roman" w:hAnsi="Times New Roman"/>
                <w:sz w:val="20"/>
                <w:szCs w:val="20"/>
              </w:rPr>
            </w:pPr>
          </w:p>
        </w:tc>
        <w:tc>
          <w:tcPr>
            <w:tcW w:w="50" w:type="pct"/>
            <w:shd w:val="clear" w:color="auto" w:fill="auto"/>
            <w:vAlign w:val="center"/>
          </w:tcPr>
          <w:p w14:paraId="5556FEF7" w14:textId="77777777" w:rsidR="00F925DD" w:rsidRDefault="00F925DD">
            <w:pPr>
              <w:rPr>
                <w:rFonts w:ascii="Times New Roman" w:hAnsi="Times New Roman"/>
                <w:sz w:val="20"/>
                <w:szCs w:val="20"/>
              </w:rPr>
            </w:pPr>
          </w:p>
        </w:tc>
        <w:tc>
          <w:tcPr>
            <w:tcW w:w="50" w:type="pct"/>
            <w:shd w:val="clear" w:color="auto" w:fill="auto"/>
            <w:vAlign w:val="center"/>
          </w:tcPr>
          <w:p w14:paraId="5556FEF8" w14:textId="77777777" w:rsidR="00F925DD" w:rsidRDefault="00F925DD">
            <w:pPr>
              <w:rPr>
                <w:rFonts w:ascii="Times New Roman" w:hAnsi="Times New Roman"/>
                <w:sz w:val="20"/>
                <w:szCs w:val="20"/>
              </w:rPr>
            </w:pPr>
          </w:p>
        </w:tc>
        <w:tc>
          <w:tcPr>
            <w:tcW w:w="300" w:type="pct"/>
            <w:shd w:val="clear" w:color="auto" w:fill="auto"/>
            <w:vAlign w:val="center"/>
          </w:tcPr>
          <w:p w14:paraId="5556FEF9" w14:textId="77777777" w:rsidR="00F925DD" w:rsidRDefault="00F925DD">
            <w:pPr>
              <w:rPr>
                <w:rFonts w:ascii="Times New Roman" w:hAnsi="Times New Roman"/>
                <w:sz w:val="20"/>
                <w:szCs w:val="20"/>
              </w:rPr>
            </w:pPr>
          </w:p>
        </w:tc>
        <w:tc>
          <w:tcPr>
            <w:tcW w:w="50" w:type="pct"/>
            <w:shd w:val="clear" w:color="auto" w:fill="auto"/>
            <w:vAlign w:val="center"/>
          </w:tcPr>
          <w:p w14:paraId="5556FEFA" w14:textId="77777777" w:rsidR="00F925DD" w:rsidRDefault="00F925DD">
            <w:pPr>
              <w:rPr>
                <w:rFonts w:ascii="Times New Roman" w:hAnsi="Times New Roman"/>
                <w:sz w:val="20"/>
                <w:szCs w:val="20"/>
              </w:rPr>
            </w:pPr>
          </w:p>
        </w:tc>
        <w:tc>
          <w:tcPr>
            <w:tcW w:w="50" w:type="pct"/>
            <w:shd w:val="clear" w:color="auto" w:fill="auto"/>
            <w:vAlign w:val="center"/>
          </w:tcPr>
          <w:p w14:paraId="5556FEFB" w14:textId="77777777" w:rsidR="00F925DD" w:rsidRDefault="00F925DD">
            <w:pPr>
              <w:rPr>
                <w:rFonts w:ascii="Times New Roman" w:hAnsi="Times New Roman"/>
                <w:sz w:val="20"/>
                <w:szCs w:val="20"/>
              </w:rPr>
            </w:pPr>
          </w:p>
        </w:tc>
        <w:tc>
          <w:tcPr>
            <w:tcW w:w="50" w:type="pct"/>
            <w:shd w:val="clear" w:color="auto" w:fill="auto"/>
            <w:vAlign w:val="center"/>
          </w:tcPr>
          <w:p w14:paraId="5556FEFC" w14:textId="77777777" w:rsidR="00F925DD" w:rsidRDefault="00F925DD">
            <w:pPr>
              <w:rPr>
                <w:rFonts w:ascii="Times New Roman" w:hAnsi="Times New Roman"/>
                <w:sz w:val="20"/>
                <w:szCs w:val="20"/>
              </w:rPr>
            </w:pPr>
          </w:p>
        </w:tc>
        <w:tc>
          <w:tcPr>
            <w:tcW w:w="300" w:type="pct"/>
            <w:shd w:val="clear" w:color="auto" w:fill="auto"/>
            <w:vAlign w:val="center"/>
          </w:tcPr>
          <w:p w14:paraId="5556FEFD" w14:textId="77777777" w:rsidR="00F925DD" w:rsidRDefault="00F925DD">
            <w:pPr>
              <w:rPr>
                <w:rFonts w:ascii="Times New Roman" w:hAnsi="Times New Roman"/>
                <w:sz w:val="20"/>
                <w:szCs w:val="20"/>
              </w:rPr>
            </w:pPr>
          </w:p>
        </w:tc>
        <w:tc>
          <w:tcPr>
            <w:tcW w:w="50" w:type="pct"/>
            <w:shd w:val="clear" w:color="auto" w:fill="auto"/>
            <w:vAlign w:val="center"/>
          </w:tcPr>
          <w:p w14:paraId="5556FEFE" w14:textId="77777777" w:rsidR="00F925DD" w:rsidRDefault="00F925DD">
            <w:pPr>
              <w:rPr>
                <w:rFonts w:ascii="Times New Roman" w:hAnsi="Times New Roman"/>
                <w:sz w:val="20"/>
                <w:szCs w:val="20"/>
              </w:rPr>
            </w:pPr>
          </w:p>
        </w:tc>
        <w:tc>
          <w:tcPr>
            <w:tcW w:w="50" w:type="pct"/>
            <w:shd w:val="clear" w:color="auto" w:fill="auto"/>
            <w:vAlign w:val="center"/>
          </w:tcPr>
          <w:p w14:paraId="5556FEFF" w14:textId="77777777" w:rsidR="00F925DD" w:rsidRDefault="00F925DD">
            <w:pPr>
              <w:rPr>
                <w:rFonts w:ascii="Times New Roman" w:hAnsi="Times New Roman"/>
                <w:sz w:val="20"/>
                <w:szCs w:val="20"/>
              </w:rPr>
            </w:pPr>
          </w:p>
        </w:tc>
        <w:tc>
          <w:tcPr>
            <w:tcW w:w="50" w:type="pct"/>
            <w:shd w:val="clear" w:color="auto" w:fill="auto"/>
            <w:vAlign w:val="center"/>
          </w:tcPr>
          <w:p w14:paraId="5556FF00" w14:textId="77777777" w:rsidR="00F925DD" w:rsidRDefault="00F925DD">
            <w:pPr>
              <w:rPr>
                <w:rFonts w:ascii="Times New Roman" w:hAnsi="Times New Roman"/>
                <w:sz w:val="20"/>
                <w:szCs w:val="20"/>
              </w:rPr>
            </w:pPr>
          </w:p>
        </w:tc>
        <w:tc>
          <w:tcPr>
            <w:tcW w:w="300" w:type="pct"/>
            <w:shd w:val="clear" w:color="auto" w:fill="auto"/>
            <w:vAlign w:val="center"/>
          </w:tcPr>
          <w:p w14:paraId="5556FF01" w14:textId="77777777" w:rsidR="00F925DD" w:rsidRDefault="00F925DD">
            <w:pPr>
              <w:rPr>
                <w:rFonts w:ascii="Times New Roman" w:hAnsi="Times New Roman"/>
                <w:sz w:val="20"/>
                <w:szCs w:val="20"/>
              </w:rPr>
            </w:pPr>
          </w:p>
        </w:tc>
        <w:tc>
          <w:tcPr>
            <w:tcW w:w="50" w:type="pct"/>
            <w:shd w:val="clear" w:color="auto" w:fill="auto"/>
            <w:vAlign w:val="center"/>
          </w:tcPr>
          <w:p w14:paraId="5556FF02" w14:textId="77777777" w:rsidR="00F925DD" w:rsidRDefault="00F925DD">
            <w:pPr>
              <w:rPr>
                <w:rFonts w:ascii="Times New Roman" w:hAnsi="Times New Roman"/>
                <w:sz w:val="20"/>
                <w:szCs w:val="20"/>
              </w:rPr>
            </w:pPr>
          </w:p>
        </w:tc>
      </w:tr>
      <w:tr w:rsidR="00F925DD" w14:paraId="5556FF15" w14:textId="77777777">
        <w:tc>
          <w:tcPr>
            <w:tcW w:w="0" w:type="auto"/>
            <w:shd w:val="clear" w:color="auto" w:fill="auto"/>
            <w:tcMar>
              <w:top w:w="40" w:type="dxa"/>
              <w:left w:w="40" w:type="dxa"/>
              <w:bottom w:w="40" w:type="dxa"/>
              <w:right w:w="40" w:type="dxa"/>
            </w:tcMar>
            <w:vAlign w:val="bottom"/>
          </w:tcPr>
          <w:p w14:paraId="5556FF0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(Dollars in millions,</w:t>
            </w:r>
          </w:p>
          <w:p w14:paraId="5556FF05"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except per share amounts; shares in thousands)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F06"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4Q19</w:t>
            </w:r>
          </w:p>
        </w:tc>
        <w:tc>
          <w:tcPr>
            <w:tcW w:w="0" w:type="auto"/>
            <w:gridSpan w:val="2"/>
            <w:shd w:val="clear" w:color="auto" w:fill="auto"/>
            <w:tcMar>
              <w:top w:w="40" w:type="dxa"/>
              <w:left w:w="40" w:type="dxa"/>
              <w:bottom w:w="40" w:type="dxa"/>
              <w:right w:w="40" w:type="dxa"/>
            </w:tcMar>
            <w:vAlign w:val="bottom"/>
          </w:tcPr>
          <w:p w14:paraId="5556FF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F08"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3Q19</w:t>
            </w:r>
          </w:p>
        </w:tc>
        <w:tc>
          <w:tcPr>
            <w:tcW w:w="0" w:type="auto"/>
            <w:shd w:val="clear" w:color="auto" w:fill="auto"/>
            <w:tcMar>
              <w:top w:w="40" w:type="dxa"/>
              <w:left w:w="40" w:type="dxa"/>
              <w:bottom w:w="40" w:type="dxa"/>
              <w:right w:w="40" w:type="dxa"/>
            </w:tcMar>
            <w:vAlign w:val="bottom"/>
          </w:tcPr>
          <w:p w14:paraId="5556FF0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F0A"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2Q19</w:t>
            </w:r>
          </w:p>
        </w:tc>
        <w:tc>
          <w:tcPr>
            <w:tcW w:w="0" w:type="auto"/>
            <w:gridSpan w:val="2"/>
            <w:shd w:val="clear" w:color="auto" w:fill="auto"/>
            <w:tcMar>
              <w:top w:w="40" w:type="dxa"/>
              <w:left w:w="40" w:type="dxa"/>
              <w:bottom w:w="40" w:type="dxa"/>
              <w:right w:w="40" w:type="dxa"/>
            </w:tcMar>
            <w:vAlign w:val="bottom"/>
          </w:tcPr>
          <w:p w14:paraId="5556FF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F0C"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1Q19</w:t>
            </w:r>
          </w:p>
        </w:tc>
        <w:tc>
          <w:tcPr>
            <w:tcW w:w="0" w:type="auto"/>
            <w:shd w:val="clear" w:color="auto" w:fill="auto"/>
            <w:tcMar>
              <w:top w:w="40" w:type="dxa"/>
              <w:left w:w="40" w:type="dxa"/>
              <w:bottom w:w="40" w:type="dxa"/>
              <w:right w:w="40" w:type="dxa"/>
            </w:tcMar>
            <w:vAlign w:val="bottom"/>
          </w:tcPr>
          <w:p w14:paraId="5556FF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F0E"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4Q18</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FF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F10"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3Q18</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FF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F12"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2Q18</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6FF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6FF14" w14:textId="77777777" w:rsidR="00F925DD" w:rsidRDefault="00E705D7">
            <w:pPr>
              <w:jc w:val="center"/>
              <w:textAlignment w:val="bottom"/>
              <w:rPr>
                <w:rFonts w:ascii="Times New Roman" w:hAnsi="Times New Roman"/>
                <w:sz w:val="14"/>
                <w:szCs w:val="14"/>
              </w:rPr>
            </w:pPr>
            <w:r>
              <w:rPr>
                <w:rFonts w:ascii="Arial" w:eastAsia="宋体" w:hAnsi="Arial" w:cs="Arial"/>
                <w:b/>
                <w:bCs/>
                <w:sz w:val="14"/>
                <w:szCs w:val="14"/>
              </w:rPr>
              <w:t>1Q18</w:t>
            </w:r>
            <w:r>
              <w:rPr>
                <w:rFonts w:ascii="Arial" w:eastAsia="宋体" w:hAnsi="Arial" w:cs="Arial"/>
                <w:b/>
                <w:bCs/>
                <w:sz w:val="10"/>
                <w:szCs w:val="10"/>
              </w:rPr>
              <w:t>(1)</w:t>
            </w:r>
          </w:p>
        </w:tc>
      </w:tr>
      <w:tr w:rsidR="00E705D7" w14:paraId="5556FF36" w14:textId="77777777">
        <w:tc>
          <w:tcPr>
            <w:tcW w:w="0" w:type="auto"/>
            <w:shd w:val="clear" w:color="auto" w:fill="CCEEFF"/>
            <w:tcMar>
              <w:top w:w="40" w:type="dxa"/>
              <w:left w:w="40" w:type="dxa"/>
              <w:bottom w:w="40" w:type="dxa"/>
              <w:right w:w="40" w:type="dxa"/>
            </w:tcMar>
            <w:vAlign w:val="bottom"/>
          </w:tcPr>
          <w:p w14:paraId="5556FF16"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fee revenue</w:t>
            </w:r>
          </w:p>
        </w:tc>
        <w:tc>
          <w:tcPr>
            <w:tcW w:w="0" w:type="auto"/>
            <w:tcBorders>
              <w:top w:val="single" w:sz="8" w:space="0" w:color="000000"/>
            </w:tcBorders>
            <w:shd w:val="clear" w:color="auto" w:fill="CCEEFF"/>
            <w:tcMar>
              <w:top w:w="40" w:type="dxa"/>
              <w:left w:w="40" w:type="dxa"/>
              <w:bottom w:w="40" w:type="dxa"/>
            </w:tcMar>
            <w:vAlign w:val="bottom"/>
          </w:tcPr>
          <w:p w14:paraId="5556FF1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F1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2,368</w:t>
            </w:r>
          </w:p>
        </w:tc>
        <w:tc>
          <w:tcPr>
            <w:tcW w:w="0" w:type="auto"/>
            <w:tcBorders>
              <w:top w:val="single" w:sz="8" w:space="0" w:color="000000"/>
            </w:tcBorders>
            <w:shd w:val="clear" w:color="auto" w:fill="CCEEFF"/>
            <w:vAlign w:val="bottom"/>
          </w:tcPr>
          <w:p w14:paraId="5556FF19"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FF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F1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F1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2,259</w:t>
            </w:r>
          </w:p>
        </w:tc>
        <w:tc>
          <w:tcPr>
            <w:tcW w:w="0" w:type="auto"/>
            <w:tcBorders>
              <w:top w:val="single" w:sz="8" w:space="0" w:color="000000"/>
            </w:tcBorders>
            <w:shd w:val="clear" w:color="auto" w:fill="CCEEFF"/>
            <w:vAlign w:val="bottom"/>
          </w:tcPr>
          <w:p w14:paraId="5556FF1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F1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F2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2,260</w:t>
            </w:r>
          </w:p>
        </w:tc>
        <w:tc>
          <w:tcPr>
            <w:tcW w:w="0" w:type="auto"/>
            <w:tcBorders>
              <w:top w:val="single" w:sz="8" w:space="0" w:color="000000"/>
            </w:tcBorders>
            <w:shd w:val="clear" w:color="auto" w:fill="CCEEFF"/>
            <w:vAlign w:val="bottom"/>
          </w:tcPr>
          <w:p w14:paraId="5556FF21"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FF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F2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tcBorders>
            <w:shd w:val="clear" w:color="auto" w:fill="CCEEFF"/>
            <w:tcMar>
              <w:top w:w="40" w:type="dxa"/>
              <w:bottom w:w="40" w:type="dxa"/>
            </w:tcMar>
            <w:vAlign w:val="bottom"/>
          </w:tcPr>
          <w:p w14:paraId="5556FF2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2,260</w:t>
            </w:r>
          </w:p>
        </w:tc>
        <w:tc>
          <w:tcPr>
            <w:tcW w:w="0" w:type="auto"/>
            <w:tcBorders>
              <w:top w:val="single" w:sz="8" w:space="0" w:color="000000"/>
            </w:tcBorders>
            <w:shd w:val="clear" w:color="auto" w:fill="CCEEFF"/>
            <w:vAlign w:val="bottom"/>
          </w:tcPr>
          <w:p w14:paraId="5556FF2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F2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F2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2,326</w:t>
            </w:r>
          </w:p>
        </w:tc>
        <w:tc>
          <w:tcPr>
            <w:tcW w:w="0" w:type="auto"/>
            <w:tcBorders>
              <w:top w:val="single" w:sz="8" w:space="0" w:color="000000"/>
            </w:tcBorders>
            <w:shd w:val="clear" w:color="auto" w:fill="CCEEFF"/>
            <w:vAlign w:val="bottom"/>
          </w:tcPr>
          <w:p w14:paraId="5556FF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F2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F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2,318</w:t>
            </w:r>
          </w:p>
        </w:tc>
        <w:tc>
          <w:tcPr>
            <w:tcW w:w="0" w:type="auto"/>
            <w:tcBorders>
              <w:top w:val="single" w:sz="8" w:space="0" w:color="000000"/>
            </w:tcBorders>
            <w:shd w:val="clear" w:color="auto" w:fill="CCEEFF"/>
            <w:vAlign w:val="bottom"/>
          </w:tcPr>
          <w:p w14:paraId="5556FF2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F2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F3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2,395</w:t>
            </w:r>
          </w:p>
        </w:tc>
        <w:tc>
          <w:tcPr>
            <w:tcW w:w="0" w:type="auto"/>
            <w:tcBorders>
              <w:top w:val="single" w:sz="8" w:space="0" w:color="000000"/>
            </w:tcBorders>
            <w:shd w:val="clear" w:color="auto" w:fill="CCEEFF"/>
            <w:vAlign w:val="bottom"/>
          </w:tcPr>
          <w:p w14:paraId="5556FF3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5556FF3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tcBorders>
            <w:shd w:val="clear" w:color="auto" w:fill="CCEEFF"/>
            <w:tcMar>
              <w:top w:w="40" w:type="dxa"/>
              <w:bottom w:w="40" w:type="dxa"/>
            </w:tcMar>
            <w:vAlign w:val="bottom"/>
          </w:tcPr>
          <w:p w14:paraId="5556FF3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2,415</w:t>
            </w:r>
          </w:p>
        </w:tc>
        <w:tc>
          <w:tcPr>
            <w:tcW w:w="0" w:type="auto"/>
            <w:tcBorders>
              <w:top w:val="single" w:sz="8" w:space="0" w:color="000000"/>
            </w:tcBorders>
            <w:shd w:val="clear" w:color="auto" w:fill="CCEEFF"/>
            <w:vAlign w:val="bottom"/>
          </w:tcPr>
          <w:p w14:paraId="5556FF35" w14:textId="77777777" w:rsidR="00F925DD" w:rsidRDefault="00F925DD">
            <w:pPr>
              <w:textAlignment w:val="bottom"/>
              <w:rPr>
                <w:rFonts w:ascii="Times New Roman" w:hAnsi="Times New Roman"/>
                <w:sz w:val="20"/>
                <w:szCs w:val="20"/>
              </w:rPr>
            </w:pPr>
          </w:p>
        </w:tc>
      </w:tr>
      <w:tr w:rsidR="00F925DD" w14:paraId="5556FF4F" w14:textId="77777777">
        <w:tc>
          <w:tcPr>
            <w:tcW w:w="0" w:type="auto"/>
            <w:shd w:val="clear" w:color="auto" w:fill="auto"/>
            <w:tcMar>
              <w:top w:w="40" w:type="dxa"/>
              <w:left w:w="40" w:type="dxa"/>
              <w:bottom w:w="40" w:type="dxa"/>
              <w:right w:w="40" w:type="dxa"/>
            </w:tcMar>
            <w:vAlign w:val="bottom"/>
          </w:tcPr>
          <w:p w14:paraId="5556FF37"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 income</w:t>
            </w:r>
          </w:p>
        </w:tc>
        <w:tc>
          <w:tcPr>
            <w:tcW w:w="0" w:type="auto"/>
            <w:gridSpan w:val="2"/>
            <w:shd w:val="clear" w:color="auto" w:fill="auto"/>
            <w:tcMar>
              <w:top w:w="40" w:type="dxa"/>
              <w:left w:w="40" w:type="dxa"/>
              <w:bottom w:w="40" w:type="dxa"/>
            </w:tcMar>
            <w:vAlign w:val="bottom"/>
          </w:tcPr>
          <w:p w14:paraId="5556FF3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906</w:t>
            </w:r>
          </w:p>
        </w:tc>
        <w:tc>
          <w:tcPr>
            <w:tcW w:w="0" w:type="auto"/>
            <w:shd w:val="clear" w:color="auto" w:fill="auto"/>
            <w:vAlign w:val="bottom"/>
          </w:tcPr>
          <w:p w14:paraId="5556FF39"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FF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3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1,001</w:t>
            </w:r>
          </w:p>
        </w:tc>
        <w:tc>
          <w:tcPr>
            <w:tcW w:w="0" w:type="auto"/>
            <w:shd w:val="clear" w:color="auto" w:fill="auto"/>
            <w:vAlign w:val="bottom"/>
          </w:tcPr>
          <w:p w14:paraId="5556FF3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3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1,007</w:t>
            </w:r>
          </w:p>
        </w:tc>
        <w:tc>
          <w:tcPr>
            <w:tcW w:w="0" w:type="auto"/>
            <w:shd w:val="clear" w:color="auto" w:fill="auto"/>
            <w:vAlign w:val="bottom"/>
          </w:tcPr>
          <w:p w14:paraId="5556FF3F"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FF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4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1,027</w:t>
            </w:r>
          </w:p>
        </w:tc>
        <w:tc>
          <w:tcPr>
            <w:tcW w:w="0" w:type="auto"/>
            <w:shd w:val="clear" w:color="auto" w:fill="auto"/>
            <w:vAlign w:val="bottom"/>
          </w:tcPr>
          <w:p w14:paraId="5556FF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4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982</w:t>
            </w:r>
          </w:p>
        </w:tc>
        <w:tc>
          <w:tcPr>
            <w:tcW w:w="0" w:type="auto"/>
            <w:shd w:val="clear" w:color="auto" w:fill="auto"/>
            <w:vAlign w:val="bottom"/>
          </w:tcPr>
          <w:p w14:paraId="5556FF4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4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916</w:t>
            </w:r>
          </w:p>
        </w:tc>
        <w:tc>
          <w:tcPr>
            <w:tcW w:w="0" w:type="auto"/>
            <w:shd w:val="clear" w:color="auto" w:fill="auto"/>
            <w:vAlign w:val="bottom"/>
          </w:tcPr>
          <w:p w14:paraId="5556FF4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4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4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907</w:t>
            </w:r>
          </w:p>
        </w:tc>
        <w:tc>
          <w:tcPr>
            <w:tcW w:w="0" w:type="auto"/>
            <w:shd w:val="clear" w:color="auto" w:fill="auto"/>
            <w:vAlign w:val="bottom"/>
          </w:tcPr>
          <w:p w14:paraId="5556FF4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4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857</w:t>
            </w:r>
          </w:p>
        </w:tc>
        <w:tc>
          <w:tcPr>
            <w:tcW w:w="0" w:type="auto"/>
            <w:shd w:val="clear" w:color="auto" w:fill="auto"/>
            <w:vAlign w:val="bottom"/>
          </w:tcPr>
          <w:p w14:paraId="5556FF4E" w14:textId="77777777" w:rsidR="00F925DD" w:rsidRDefault="00F925DD">
            <w:pPr>
              <w:textAlignment w:val="bottom"/>
              <w:rPr>
                <w:rFonts w:ascii="Times New Roman" w:hAnsi="Times New Roman"/>
                <w:sz w:val="20"/>
                <w:szCs w:val="20"/>
              </w:rPr>
            </w:pPr>
          </w:p>
        </w:tc>
      </w:tr>
      <w:tr w:rsidR="00F925DD" w14:paraId="5556FF68" w14:textId="77777777">
        <w:tc>
          <w:tcPr>
            <w:tcW w:w="0" w:type="auto"/>
            <w:shd w:val="clear" w:color="auto" w:fill="CCEEFF"/>
            <w:tcMar>
              <w:top w:w="40" w:type="dxa"/>
              <w:left w:w="40" w:type="dxa"/>
              <w:bottom w:w="40" w:type="dxa"/>
              <w:right w:w="40" w:type="dxa"/>
            </w:tcMar>
            <w:vAlign w:val="bottom"/>
          </w:tcPr>
          <w:p w14:paraId="5556FF50" w14:textId="77777777" w:rsidR="00F925DD" w:rsidRDefault="00E705D7">
            <w:pPr>
              <w:textAlignment w:val="bottom"/>
              <w:rPr>
                <w:rFonts w:ascii="Times New Roman" w:hAnsi="Times New Roman"/>
                <w:sz w:val="14"/>
                <w:szCs w:val="14"/>
              </w:rPr>
            </w:pPr>
            <w:r>
              <w:rPr>
                <w:rFonts w:ascii="Arial" w:eastAsia="宋体" w:hAnsi="Arial" w:cs="Arial"/>
                <w:sz w:val="14"/>
                <w:szCs w:val="14"/>
              </w:rPr>
              <w:t>Interest expense</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F5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270</w:t>
            </w:r>
          </w:p>
        </w:tc>
        <w:tc>
          <w:tcPr>
            <w:tcW w:w="0" w:type="auto"/>
            <w:tcBorders>
              <w:bottom w:val="single" w:sz="8" w:space="0" w:color="000000"/>
            </w:tcBorders>
            <w:shd w:val="clear" w:color="auto" w:fill="CCEEFF"/>
            <w:vAlign w:val="bottom"/>
          </w:tcPr>
          <w:p w14:paraId="5556FF52"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FF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F5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357</w:t>
            </w:r>
          </w:p>
        </w:tc>
        <w:tc>
          <w:tcPr>
            <w:tcW w:w="0" w:type="auto"/>
            <w:tcBorders>
              <w:bottom w:val="single" w:sz="8" w:space="0" w:color="000000"/>
            </w:tcBorders>
            <w:shd w:val="clear" w:color="auto" w:fill="CCEEFF"/>
            <w:vAlign w:val="bottom"/>
          </w:tcPr>
          <w:p w14:paraId="5556FF5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5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F5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394</w:t>
            </w:r>
          </w:p>
        </w:tc>
        <w:tc>
          <w:tcPr>
            <w:tcW w:w="0" w:type="auto"/>
            <w:tcBorders>
              <w:bottom w:val="single" w:sz="8" w:space="0" w:color="000000"/>
            </w:tcBorders>
            <w:shd w:val="clear" w:color="auto" w:fill="CCEEFF"/>
            <w:vAlign w:val="bottom"/>
          </w:tcPr>
          <w:p w14:paraId="5556FF58"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FF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F5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354</w:t>
            </w:r>
          </w:p>
        </w:tc>
        <w:tc>
          <w:tcPr>
            <w:tcW w:w="0" w:type="auto"/>
            <w:tcBorders>
              <w:bottom w:val="single" w:sz="8" w:space="0" w:color="000000"/>
            </w:tcBorders>
            <w:shd w:val="clear" w:color="auto" w:fill="CCEEFF"/>
            <w:vAlign w:val="bottom"/>
          </w:tcPr>
          <w:p w14:paraId="5556FF5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F5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285</w:t>
            </w:r>
          </w:p>
        </w:tc>
        <w:tc>
          <w:tcPr>
            <w:tcW w:w="0" w:type="auto"/>
            <w:tcBorders>
              <w:bottom w:val="single" w:sz="8" w:space="0" w:color="000000"/>
            </w:tcBorders>
            <w:shd w:val="clear" w:color="auto" w:fill="CCEEFF"/>
            <w:vAlign w:val="bottom"/>
          </w:tcPr>
          <w:p w14:paraId="5556FF5E"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F6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244</w:t>
            </w:r>
          </w:p>
        </w:tc>
        <w:tc>
          <w:tcPr>
            <w:tcW w:w="0" w:type="auto"/>
            <w:tcBorders>
              <w:bottom w:val="single" w:sz="8" w:space="0" w:color="000000"/>
            </w:tcBorders>
            <w:shd w:val="clear" w:color="auto" w:fill="CCEEFF"/>
            <w:vAlign w:val="bottom"/>
          </w:tcPr>
          <w:p w14:paraId="5556FF6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F6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248</w:t>
            </w:r>
          </w:p>
        </w:tc>
        <w:tc>
          <w:tcPr>
            <w:tcW w:w="0" w:type="auto"/>
            <w:tcBorders>
              <w:bottom w:val="single" w:sz="8" w:space="0" w:color="000000"/>
            </w:tcBorders>
            <w:shd w:val="clear" w:color="auto" w:fill="CCEEFF"/>
            <w:vAlign w:val="bottom"/>
          </w:tcPr>
          <w:p w14:paraId="5556FF6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5556FF6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214</w:t>
            </w:r>
          </w:p>
        </w:tc>
        <w:tc>
          <w:tcPr>
            <w:tcW w:w="0" w:type="auto"/>
            <w:tcBorders>
              <w:bottom w:val="single" w:sz="8" w:space="0" w:color="000000"/>
            </w:tcBorders>
            <w:shd w:val="clear" w:color="auto" w:fill="CCEEFF"/>
            <w:vAlign w:val="bottom"/>
          </w:tcPr>
          <w:p w14:paraId="5556FF67" w14:textId="77777777" w:rsidR="00F925DD" w:rsidRDefault="00F925DD">
            <w:pPr>
              <w:textAlignment w:val="bottom"/>
              <w:rPr>
                <w:rFonts w:ascii="Times New Roman" w:hAnsi="Times New Roman"/>
                <w:sz w:val="20"/>
                <w:szCs w:val="20"/>
              </w:rPr>
            </w:pPr>
          </w:p>
        </w:tc>
      </w:tr>
      <w:tr w:rsidR="00F925DD" w14:paraId="5556FF81" w14:textId="77777777">
        <w:tc>
          <w:tcPr>
            <w:tcW w:w="0" w:type="auto"/>
            <w:shd w:val="clear" w:color="auto" w:fill="auto"/>
            <w:tcMar>
              <w:top w:w="40" w:type="dxa"/>
              <w:left w:w="40" w:type="dxa"/>
              <w:bottom w:w="40" w:type="dxa"/>
              <w:right w:w="40" w:type="dxa"/>
            </w:tcMar>
            <w:vAlign w:val="bottom"/>
          </w:tcPr>
          <w:p w14:paraId="5556FF69"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interest income</w:t>
            </w:r>
          </w:p>
        </w:tc>
        <w:tc>
          <w:tcPr>
            <w:tcW w:w="0" w:type="auto"/>
            <w:gridSpan w:val="2"/>
            <w:tcBorders>
              <w:bottom w:val="single" w:sz="8" w:space="0" w:color="000000"/>
            </w:tcBorders>
            <w:shd w:val="clear" w:color="auto" w:fill="auto"/>
            <w:tcMar>
              <w:top w:w="40" w:type="dxa"/>
              <w:left w:w="40" w:type="dxa"/>
              <w:bottom w:w="40" w:type="dxa"/>
            </w:tcMar>
            <w:vAlign w:val="bottom"/>
          </w:tcPr>
          <w:p w14:paraId="5556FF6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636</w:t>
            </w:r>
          </w:p>
        </w:tc>
        <w:tc>
          <w:tcPr>
            <w:tcW w:w="0" w:type="auto"/>
            <w:tcBorders>
              <w:bottom w:val="single" w:sz="8" w:space="0" w:color="000000"/>
            </w:tcBorders>
            <w:shd w:val="clear" w:color="auto" w:fill="auto"/>
            <w:vAlign w:val="bottom"/>
          </w:tcPr>
          <w:p w14:paraId="5556FF6B"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FF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6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644</w:t>
            </w:r>
          </w:p>
        </w:tc>
        <w:tc>
          <w:tcPr>
            <w:tcW w:w="0" w:type="auto"/>
            <w:tcBorders>
              <w:bottom w:val="single" w:sz="8" w:space="0" w:color="000000"/>
            </w:tcBorders>
            <w:shd w:val="clear" w:color="auto" w:fill="auto"/>
            <w:vAlign w:val="bottom"/>
          </w:tcPr>
          <w:p w14:paraId="5556FF6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7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613</w:t>
            </w:r>
          </w:p>
        </w:tc>
        <w:tc>
          <w:tcPr>
            <w:tcW w:w="0" w:type="auto"/>
            <w:tcBorders>
              <w:bottom w:val="single" w:sz="8" w:space="0" w:color="000000"/>
            </w:tcBorders>
            <w:shd w:val="clear" w:color="auto" w:fill="auto"/>
            <w:vAlign w:val="bottom"/>
          </w:tcPr>
          <w:p w14:paraId="5556FF71"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FF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7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673</w:t>
            </w:r>
          </w:p>
        </w:tc>
        <w:tc>
          <w:tcPr>
            <w:tcW w:w="0" w:type="auto"/>
            <w:tcBorders>
              <w:bottom w:val="single" w:sz="8" w:space="0" w:color="000000"/>
            </w:tcBorders>
            <w:shd w:val="clear" w:color="auto" w:fill="auto"/>
            <w:vAlign w:val="bottom"/>
          </w:tcPr>
          <w:p w14:paraId="5556FF7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7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697</w:t>
            </w:r>
          </w:p>
        </w:tc>
        <w:tc>
          <w:tcPr>
            <w:tcW w:w="0" w:type="auto"/>
            <w:tcBorders>
              <w:bottom w:val="single" w:sz="8" w:space="0" w:color="000000"/>
            </w:tcBorders>
            <w:shd w:val="clear" w:color="auto" w:fill="auto"/>
            <w:vAlign w:val="bottom"/>
          </w:tcPr>
          <w:p w14:paraId="5556FF77"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7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672</w:t>
            </w:r>
          </w:p>
        </w:tc>
        <w:tc>
          <w:tcPr>
            <w:tcW w:w="0" w:type="auto"/>
            <w:tcBorders>
              <w:bottom w:val="single" w:sz="8" w:space="0" w:color="000000"/>
            </w:tcBorders>
            <w:shd w:val="clear" w:color="auto" w:fill="auto"/>
            <w:vAlign w:val="bottom"/>
          </w:tcPr>
          <w:p w14:paraId="5556FF7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7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7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659</w:t>
            </w:r>
          </w:p>
        </w:tc>
        <w:tc>
          <w:tcPr>
            <w:tcW w:w="0" w:type="auto"/>
            <w:tcBorders>
              <w:bottom w:val="single" w:sz="8" w:space="0" w:color="000000"/>
            </w:tcBorders>
            <w:shd w:val="clear" w:color="auto" w:fill="auto"/>
            <w:vAlign w:val="bottom"/>
          </w:tcPr>
          <w:p w14:paraId="5556FF7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7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643</w:t>
            </w:r>
          </w:p>
        </w:tc>
        <w:tc>
          <w:tcPr>
            <w:tcW w:w="0" w:type="auto"/>
            <w:tcBorders>
              <w:bottom w:val="single" w:sz="8" w:space="0" w:color="000000"/>
            </w:tcBorders>
            <w:shd w:val="clear" w:color="auto" w:fill="auto"/>
            <w:vAlign w:val="bottom"/>
          </w:tcPr>
          <w:p w14:paraId="5556FF80" w14:textId="77777777" w:rsidR="00F925DD" w:rsidRDefault="00F925DD">
            <w:pPr>
              <w:textAlignment w:val="bottom"/>
              <w:rPr>
                <w:rFonts w:ascii="Times New Roman" w:hAnsi="Times New Roman"/>
                <w:sz w:val="20"/>
                <w:szCs w:val="20"/>
              </w:rPr>
            </w:pPr>
          </w:p>
        </w:tc>
      </w:tr>
      <w:tr w:rsidR="00F925DD" w14:paraId="5556FF9C" w14:textId="77777777">
        <w:tc>
          <w:tcPr>
            <w:tcW w:w="0" w:type="auto"/>
            <w:shd w:val="clear" w:color="auto" w:fill="CCEEFF"/>
            <w:tcMar>
              <w:top w:w="40" w:type="dxa"/>
              <w:left w:w="40" w:type="dxa"/>
              <w:bottom w:w="40" w:type="dxa"/>
              <w:right w:w="40" w:type="dxa"/>
            </w:tcMar>
            <w:vAlign w:val="bottom"/>
          </w:tcPr>
          <w:p w14:paraId="5556FF82"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other income</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FF8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44</w:t>
            </w:r>
          </w:p>
        </w:tc>
        <w:tc>
          <w:tcPr>
            <w:tcW w:w="0" w:type="auto"/>
            <w:tcBorders>
              <w:top w:val="single" w:sz="8" w:space="0" w:color="000000"/>
              <w:bottom w:val="single" w:sz="8" w:space="0" w:color="000000"/>
            </w:tcBorders>
            <w:shd w:val="clear" w:color="auto" w:fill="CCEEFF"/>
            <w:vAlign w:val="bottom"/>
          </w:tcPr>
          <w:p w14:paraId="5556FF8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5556FF8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F86" w14:textId="77777777" w:rsidR="00F925DD" w:rsidRDefault="00F925D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FF8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single" w:sz="8" w:space="0" w:color="000000"/>
            </w:tcBorders>
            <w:shd w:val="clear" w:color="auto" w:fill="CCEEFF"/>
            <w:vAlign w:val="bottom"/>
          </w:tcPr>
          <w:p w14:paraId="5556FF8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FF8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single" w:sz="8" w:space="0" w:color="000000"/>
            </w:tcBorders>
            <w:shd w:val="clear" w:color="auto" w:fill="CCEEFF"/>
            <w:vAlign w:val="bottom"/>
          </w:tcPr>
          <w:p w14:paraId="5556FF8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5556FF8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vAlign w:val="bottom"/>
          </w:tcPr>
          <w:p w14:paraId="5556FF8D" w14:textId="77777777" w:rsidR="00F925DD" w:rsidRDefault="00F925DD">
            <w:pPr>
              <w:textAlignment w:val="bottom"/>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FF8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556FF8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left w:w="40" w:type="dxa"/>
              <w:bottom w:w="40" w:type="dxa"/>
              <w:right w:w="40" w:type="dxa"/>
            </w:tcMar>
            <w:vAlign w:val="bottom"/>
          </w:tcPr>
          <w:p w14:paraId="5556FF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FF9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single" w:sz="8" w:space="0" w:color="000000"/>
            </w:tcBorders>
            <w:shd w:val="clear" w:color="auto" w:fill="CCEEFF"/>
            <w:vAlign w:val="bottom"/>
          </w:tcPr>
          <w:p w14:paraId="5556FF9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FF9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556FF95"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left w:w="40" w:type="dxa"/>
              <w:bottom w:w="40" w:type="dxa"/>
              <w:right w:w="40" w:type="dxa"/>
            </w:tcMar>
            <w:vAlign w:val="bottom"/>
          </w:tcPr>
          <w:p w14:paraId="5556FF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FF9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w:t>
            </w:r>
          </w:p>
        </w:tc>
        <w:tc>
          <w:tcPr>
            <w:tcW w:w="0" w:type="auto"/>
            <w:tcBorders>
              <w:top w:val="single" w:sz="8" w:space="0" w:color="000000"/>
              <w:bottom w:val="single" w:sz="8" w:space="0" w:color="000000"/>
            </w:tcBorders>
            <w:shd w:val="clear" w:color="auto" w:fill="CCEEFF"/>
            <w:vAlign w:val="bottom"/>
          </w:tcPr>
          <w:p w14:paraId="5556FF98"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5556FF9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5556FF9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r>
      <w:tr w:rsidR="00F925DD" w14:paraId="5556FFB5" w14:textId="77777777">
        <w:tc>
          <w:tcPr>
            <w:tcW w:w="0" w:type="auto"/>
            <w:shd w:val="clear" w:color="auto" w:fill="auto"/>
            <w:tcMar>
              <w:top w:w="40" w:type="dxa"/>
              <w:left w:w="40" w:type="dxa"/>
              <w:bottom w:w="40" w:type="dxa"/>
              <w:right w:w="40" w:type="dxa"/>
            </w:tcMar>
            <w:vAlign w:val="bottom"/>
          </w:tcPr>
          <w:p w14:paraId="5556FF9D"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revenue</w:t>
            </w:r>
          </w:p>
        </w:tc>
        <w:tc>
          <w:tcPr>
            <w:tcW w:w="0" w:type="auto"/>
            <w:gridSpan w:val="2"/>
            <w:shd w:val="clear" w:color="auto" w:fill="auto"/>
            <w:tcMar>
              <w:top w:w="40" w:type="dxa"/>
              <w:left w:w="40" w:type="dxa"/>
              <w:bottom w:w="40" w:type="dxa"/>
            </w:tcMar>
            <w:vAlign w:val="bottom"/>
          </w:tcPr>
          <w:p w14:paraId="5556FF9E"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3,048</w:t>
            </w:r>
          </w:p>
        </w:tc>
        <w:tc>
          <w:tcPr>
            <w:tcW w:w="0" w:type="auto"/>
            <w:shd w:val="clear" w:color="auto" w:fill="auto"/>
            <w:vAlign w:val="bottom"/>
          </w:tcPr>
          <w:p w14:paraId="5556FF9F"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FF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A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2,903</w:t>
            </w:r>
          </w:p>
        </w:tc>
        <w:tc>
          <w:tcPr>
            <w:tcW w:w="0" w:type="auto"/>
            <w:shd w:val="clear" w:color="auto" w:fill="auto"/>
            <w:vAlign w:val="bottom"/>
          </w:tcPr>
          <w:p w14:paraId="5556FFA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A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2,873</w:t>
            </w:r>
          </w:p>
        </w:tc>
        <w:tc>
          <w:tcPr>
            <w:tcW w:w="0" w:type="auto"/>
            <w:shd w:val="clear" w:color="auto" w:fill="auto"/>
            <w:vAlign w:val="bottom"/>
          </w:tcPr>
          <w:p w14:paraId="5556FFA5"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FF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A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2,932</w:t>
            </w:r>
          </w:p>
        </w:tc>
        <w:tc>
          <w:tcPr>
            <w:tcW w:w="0" w:type="auto"/>
            <w:shd w:val="clear" w:color="auto" w:fill="auto"/>
            <w:vAlign w:val="bottom"/>
          </w:tcPr>
          <w:p w14:paraId="5556FFA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AA"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3,023</w:t>
            </w:r>
          </w:p>
        </w:tc>
        <w:tc>
          <w:tcPr>
            <w:tcW w:w="0" w:type="auto"/>
            <w:shd w:val="clear" w:color="auto" w:fill="auto"/>
            <w:vAlign w:val="bottom"/>
          </w:tcPr>
          <w:p w14:paraId="5556FFA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A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2,989</w:t>
            </w:r>
          </w:p>
        </w:tc>
        <w:tc>
          <w:tcPr>
            <w:tcW w:w="0" w:type="auto"/>
            <w:shd w:val="clear" w:color="auto" w:fill="auto"/>
            <w:vAlign w:val="bottom"/>
          </w:tcPr>
          <w:p w14:paraId="5556FFA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B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3,063</w:t>
            </w:r>
          </w:p>
        </w:tc>
        <w:tc>
          <w:tcPr>
            <w:tcW w:w="0" w:type="auto"/>
            <w:shd w:val="clear" w:color="auto" w:fill="auto"/>
            <w:vAlign w:val="bottom"/>
          </w:tcPr>
          <w:p w14:paraId="5556FFB1"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6FFB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3,056</w:t>
            </w:r>
          </w:p>
        </w:tc>
        <w:tc>
          <w:tcPr>
            <w:tcW w:w="0" w:type="auto"/>
            <w:shd w:val="clear" w:color="auto" w:fill="auto"/>
            <w:vAlign w:val="bottom"/>
          </w:tcPr>
          <w:p w14:paraId="5556FFB4" w14:textId="77777777" w:rsidR="00F925DD" w:rsidRDefault="00F925DD">
            <w:pPr>
              <w:textAlignment w:val="bottom"/>
              <w:rPr>
                <w:rFonts w:ascii="Times New Roman" w:hAnsi="Times New Roman"/>
                <w:sz w:val="20"/>
                <w:szCs w:val="20"/>
              </w:rPr>
            </w:pPr>
          </w:p>
        </w:tc>
      </w:tr>
      <w:tr w:rsidR="00F925DD" w14:paraId="5556FFCE" w14:textId="77777777">
        <w:tc>
          <w:tcPr>
            <w:tcW w:w="0" w:type="auto"/>
            <w:shd w:val="clear" w:color="auto" w:fill="CCEEFF"/>
            <w:tcMar>
              <w:top w:w="40" w:type="dxa"/>
              <w:left w:w="40" w:type="dxa"/>
              <w:bottom w:w="40" w:type="dxa"/>
              <w:right w:w="40" w:type="dxa"/>
            </w:tcMar>
            <w:vAlign w:val="bottom"/>
          </w:tcPr>
          <w:p w14:paraId="5556FFB6" w14:textId="77777777" w:rsidR="00F925DD" w:rsidRDefault="00E705D7">
            <w:pPr>
              <w:textAlignment w:val="bottom"/>
              <w:rPr>
                <w:rFonts w:ascii="Times New Roman" w:hAnsi="Times New Roman"/>
                <w:sz w:val="14"/>
                <w:szCs w:val="14"/>
              </w:rPr>
            </w:pPr>
            <w:r>
              <w:rPr>
                <w:rFonts w:ascii="Arial" w:eastAsia="宋体" w:hAnsi="Arial" w:cs="Arial"/>
                <w:sz w:val="14"/>
                <w:szCs w:val="14"/>
              </w:rPr>
              <w:t>Provision for loan losses</w:t>
            </w:r>
          </w:p>
        </w:tc>
        <w:tc>
          <w:tcPr>
            <w:tcW w:w="0" w:type="auto"/>
            <w:gridSpan w:val="2"/>
            <w:shd w:val="clear" w:color="auto" w:fill="CCEEFF"/>
            <w:tcMar>
              <w:top w:w="40" w:type="dxa"/>
              <w:left w:w="40" w:type="dxa"/>
              <w:bottom w:w="40" w:type="dxa"/>
            </w:tcMar>
            <w:vAlign w:val="bottom"/>
          </w:tcPr>
          <w:p w14:paraId="5556FFB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w:t>
            </w:r>
          </w:p>
        </w:tc>
        <w:tc>
          <w:tcPr>
            <w:tcW w:w="0" w:type="auto"/>
            <w:shd w:val="clear" w:color="auto" w:fill="CCEEFF"/>
            <w:vAlign w:val="bottom"/>
          </w:tcPr>
          <w:p w14:paraId="5556FFB8"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FF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BA"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w:t>
            </w:r>
          </w:p>
        </w:tc>
        <w:tc>
          <w:tcPr>
            <w:tcW w:w="0" w:type="auto"/>
            <w:shd w:val="clear" w:color="auto" w:fill="CCEEFF"/>
            <w:vAlign w:val="bottom"/>
          </w:tcPr>
          <w:p w14:paraId="5556FFBB"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B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w:t>
            </w:r>
          </w:p>
        </w:tc>
        <w:tc>
          <w:tcPr>
            <w:tcW w:w="0" w:type="auto"/>
            <w:shd w:val="clear" w:color="auto" w:fill="CCEEFF"/>
            <w:vAlign w:val="bottom"/>
          </w:tcPr>
          <w:p w14:paraId="5556FFBE"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FF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C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w:t>
            </w:r>
          </w:p>
        </w:tc>
        <w:tc>
          <w:tcPr>
            <w:tcW w:w="0" w:type="auto"/>
            <w:shd w:val="clear" w:color="auto" w:fill="CCEEFF"/>
            <w:vAlign w:val="bottom"/>
          </w:tcPr>
          <w:p w14:paraId="5556FFC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C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w:t>
            </w:r>
          </w:p>
        </w:tc>
        <w:tc>
          <w:tcPr>
            <w:tcW w:w="0" w:type="auto"/>
            <w:shd w:val="clear" w:color="auto" w:fill="CCEEFF"/>
            <w:vAlign w:val="bottom"/>
          </w:tcPr>
          <w:p w14:paraId="5556FFC4"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C6"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w:t>
            </w:r>
          </w:p>
        </w:tc>
        <w:tc>
          <w:tcPr>
            <w:tcW w:w="0" w:type="auto"/>
            <w:shd w:val="clear" w:color="auto" w:fill="CCEEFF"/>
            <w:vAlign w:val="bottom"/>
          </w:tcPr>
          <w:p w14:paraId="5556FFC7"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C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w:t>
            </w:r>
          </w:p>
        </w:tc>
        <w:tc>
          <w:tcPr>
            <w:tcW w:w="0" w:type="auto"/>
            <w:shd w:val="clear" w:color="auto" w:fill="CCEEFF"/>
            <w:vAlign w:val="bottom"/>
          </w:tcPr>
          <w:p w14:paraId="5556FFCA"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C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vAlign w:val="bottom"/>
          </w:tcPr>
          <w:p w14:paraId="5556FFCD" w14:textId="77777777" w:rsidR="00F925DD" w:rsidRDefault="00F925DD">
            <w:pPr>
              <w:textAlignment w:val="bottom"/>
              <w:rPr>
                <w:rFonts w:ascii="Times New Roman" w:hAnsi="Times New Roman"/>
                <w:sz w:val="20"/>
                <w:szCs w:val="20"/>
              </w:rPr>
            </w:pPr>
          </w:p>
        </w:tc>
      </w:tr>
      <w:tr w:rsidR="00F925DD" w14:paraId="5556FFE7" w14:textId="77777777">
        <w:tc>
          <w:tcPr>
            <w:tcW w:w="0" w:type="auto"/>
            <w:shd w:val="clear" w:color="auto" w:fill="auto"/>
            <w:tcMar>
              <w:top w:w="40" w:type="dxa"/>
              <w:left w:w="40" w:type="dxa"/>
              <w:bottom w:w="40" w:type="dxa"/>
              <w:right w:w="40" w:type="dxa"/>
            </w:tcMar>
            <w:vAlign w:val="bottom"/>
          </w:tcPr>
          <w:p w14:paraId="5556FFCF" w14:textId="77777777" w:rsidR="00F925DD" w:rsidRDefault="00E705D7">
            <w:pPr>
              <w:textAlignment w:val="bottom"/>
              <w:rPr>
                <w:rFonts w:ascii="Times New Roman" w:hAnsi="Times New Roman"/>
                <w:sz w:val="14"/>
                <w:szCs w:val="14"/>
              </w:rPr>
            </w:pPr>
            <w:r>
              <w:rPr>
                <w:rFonts w:ascii="Arial" w:eastAsia="宋体" w:hAnsi="Arial" w:cs="Arial"/>
                <w:sz w:val="14"/>
                <w:szCs w:val="14"/>
              </w:rPr>
              <w:t>Total expenses</w:t>
            </w:r>
          </w:p>
        </w:tc>
        <w:tc>
          <w:tcPr>
            <w:tcW w:w="0" w:type="auto"/>
            <w:gridSpan w:val="2"/>
            <w:tcBorders>
              <w:bottom w:val="single" w:sz="8" w:space="0" w:color="000000"/>
            </w:tcBorders>
            <w:shd w:val="clear" w:color="auto" w:fill="auto"/>
            <w:tcMar>
              <w:top w:w="40" w:type="dxa"/>
              <w:left w:w="40" w:type="dxa"/>
              <w:bottom w:w="40" w:type="dxa"/>
            </w:tcMar>
            <w:vAlign w:val="bottom"/>
          </w:tcPr>
          <w:p w14:paraId="5556FFD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2,407</w:t>
            </w:r>
          </w:p>
        </w:tc>
        <w:tc>
          <w:tcPr>
            <w:tcW w:w="0" w:type="auto"/>
            <w:tcBorders>
              <w:bottom w:val="single" w:sz="8" w:space="0" w:color="000000"/>
            </w:tcBorders>
            <w:shd w:val="clear" w:color="auto" w:fill="auto"/>
            <w:vAlign w:val="bottom"/>
          </w:tcPr>
          <w:p w14:paraId="5556FFD1"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FF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D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2,180</w:t>
            </w:r>
          </w:p>
        </w:tc>
        <w:tc>
          <w:tcPr>
            <w:tcW w:w="0" w:type="auto"/>
            <w:tcBorders>
              <w:bottom w:val="single" w:sz="8" w:space="0" w:color="000000"/>
            </w:tcBorders>
            <w:shd w:val="clear" w:color="auto" w:fill="auto"/>
            <w:vAlign w:val="bottom"/>
          </w:tcPr>
          <w:p w14:paraId="5556FFD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D6"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2,154</w:t>
            </w:r>
          </w:p>
        </w:tc>
        <w:tc>
          <w:tcPr>
            <w:tcW w:w="0" w:type="auto"/>
            <w:tcBorders>
              <w:bottom w:val="single" w:sz="8" w:space="0" w:color="000000"/>
            </w:tcBorders>
            <w:shd w:val="clear" w:color="auto" w:fill="auto"/>
            <w:vAlign w:val="bottom"/>
          </w:tcPr>
          <w:p w14:paraId="5556FFD7"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6FFD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D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2,293</w:t>
            </w:r>
          </w:p>
        </w:tc>
        <w:tc>
          <w:tcPr>
            <w:tcW w:w="0" w:type="auto"/>
            <w:tcBorders>
              <w:bottom w:val="single" w:sz="8" w:space="0" w:color="000000"/>
            </w:tcBorders>
            <w:shd w:val="clear" w:color="auto" w:fill="auto"/>
            <w:vAlign w:val="bottom"/>
          </w:tcPr>
          <w:p w14:paraId="5556FFD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D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2,486</w:t>
            </w:r>
          </w:p>
        </w:tc>
        <w:tc>
          <w:tcPr>
            <w:tcW w:w="0" w:type="auto"/>
            <w:tcBorders>
              <w:bottom w:val="single" w:sz="8" w:space="0" w:color="000000"/>
            </w:tcBorders>
            <w:shd w:val="clear" w:color="auto" w:fill="auto"/>
            <w:vAlign w:val="bottom"/>
          </w:tcPr>
          <w:p w14:paraId="5556FFDD"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D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2,091</w:t>
            </w:r>
          </w:p>
        </w:tc>
        <w:tc>
          <w:tcPr>
            <w:tcW w:w="0" w:type="auto"/>
            <w:tcBorders>
              <w:bottom w:val="single" w:sz="8" w:space="0" w:color="000000"/>
            </w:tcBorders>
            <w:shd w:val="clear" w:color="auto" w:fill="auto"/>
            <w:vAlign w:val="bottom"/>
          </w:tcPr>
          <w:p w14:paraId="5556FFE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E2"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2,170</w:t>
            </w:r>
          </w:p>
        </w:tc>
        <w:tc>
          <w:tcPr>
            <w:tcW w:w="0" w:type="auto"/>
            <w:tcBorders>
              <w:bottom w:val="single" w:sz="8" w:space="0" w:color="000000"/>
            </w:tcBorders>
            <w:shd w:val="clear" w:color="auto" w:fill="auto"/>
            <w:vAlign w:val="bottom"/>
          </w:tcPr>
          <w:p w14:paraId="5556FFE3"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6FF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5556FFE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2,268</w:t>
            </w:r>
          </w:p>
        </w:tc>
        <w:tc>
          <w:tcPr>
            <w:tcW w:w="0" w:type="auto"/>
            <w:tcBorders>
              <w:bottom w:val="single" w:sz="8" w:space="0" w:color="000000"/>
            </w:tcBorders>
            <w:shd w:val="clear" w:color="auto" w:fill="auto"/>
            <w:vAlign w:val="bottom"/>
          </w:tcPr>
          <w:p w14:paraId="5556FFE6" w14:textId="77777777" w:rsidR="00F925DD" w:rsidRDefault="00F925DD">
            <w:pPr>
              <w:textAlignment w:val="bottom"/>
              <w:rPr>
                <w:rFonts w:ascii="Times New Roman" w:hAnsi="Times New Roman"/>
                <w:sz w:val="20"/>
                <w:szCs w:val="20"/>
              </w:rPr>
            </w:pPr>
          </w:p>
        </w:tc>
      </w:tr>
      <w:tr w:rsidR="00F925DD" w14:paraId="55570000" w14:textId="77777777">
        <w:tc>
          <w:tcPr>
            <w:tcW w:w="0" w:type="auto"/>
            <w:shd w:val="clear" w:color="auto" w:fill="CCEEFF"/>
            <w:tcMar>
              <w:top w:w="40" w:type="dxa"/>
              <w:left w:w="40" w:type="dxa"/>
              <w:bottom w:w="40" w:type="dxa"/>
              <w:right w:w="40" w:type="dxa"/>
            </w:tcMar>
            <w:vAlign w:val="bottom"/>
          </w:tcPr>
          <w:p w14:paraId="5556FFE8" w14:textId="77777777" w:rsidR="00F925DD" w:rsidRDefault="00E705D7">
            <w:pPr>
              <w:textAlignment w:val="bottom"/>
              <w:rPr>
                <w:rFonts w:ascii="Times New Roman" w:hAnsi="Times New Roman"/>
                <w:sz w:val="14"/>
                <w:szCs w:val="14"/>
              </w:rPr>
            </w:pPr>
            <w:r>
              <w:rPr>
                <w:rFonts w:ascii="Arial" w:eastAsia="宋体" w:hAnsi="Arial" w:cs="Arial"/>
                <w:sz w:val="14"/>
                <w:szCs w:val="14"/>
              </w:rPr>
              <w:t>Income before income tax expense</w:t>
            </w:r>
          </w:p>
        </w:tc>
        <w:tc>
          <w:tcPr>
            <w:tcW w:w="0" w:type="auto"/>
            <w:gridSpan w:val="2"/>
            <w:shd w:val="clear" w:color="auto" w:fill="CCEEFF"/>
            <w:tcMar>
              <w:top w:w="40" w:type="dxa"/>
              <w:left w:w="40" w:type="dxa"/>
              <w:bottom w:w="40" w:type="dxa"/>
            </w:tcMar>
            <w:vAlign w:val="bottom"/>
          </w:tcPr>
          <w:p w14:paraId="5556FFE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638</w:t>
            </w:r>
          </w:p>
        </w:tc>
        <w:tc>
          <w:tcPr>
            <w:tcW w:w="0" w:type="auto"/>
            <w:shd w:val="clear" w:color="auto" w:fill="CCEEFF"/>
            <w:vAlign w:val="bottom"/>
          </w:tcPr>
          <w:p w14:paraId="5556FFEA"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FF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E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721</w:t>
            </w:r>
          </w:p>
        </w:tc>
        <w:tc>
          <w:tcPr>
            <w:tcW w:w="0" w:type="auto"/>
            <w:shd w:val="clear" w:color="auto" w:fill="CCEEFF"/>
            <w:vAlign w:val="bottom"/>
          </w:tcPr>
          <w:p w14:paraId="5556FFE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E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718</w:t>
            </w:r>
          </w:p>
        </w:tc>
        <w:tc>
          <w:tcPr>
            <w:tcW w:w="0" w:type="auto"/>
            <w:shd w:val="clear" w:color="auto" w:fill="CCEEFF"/>
            <w:vAlign w:val="bottom"/>
          </w:tcPr>
          <w:p w14:paraId="5556FFF0"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6FF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F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635</w:t>
            </w:r>
          </w:p>
        </w:tc>
        <w:tc>
          <w:tcPr>
            <w:tcW w:w="0" w:type="auto"/>
            <w:shd w:val="clear" w:color="auto" w:fill="CCEEFF"/>
            <w:vAlign w:val="bottom"/>
          </w:tcPr>
          <w:p w14:paraId="5556FFF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F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529</w:t>
            </w:r>
          </w:p>
        </w:tc>
        <w:tc>
          <w:tcPr>
            <w:tcW w:w="0" w:type="auto"/>
            <w:shd w:val="clear" w:color="auto" w:fill="CCEEFF"/>
            <w:vAlign w:val="bottom"/>
          </w:tcPr>
          <w:p w14:paraId="5556FFF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F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893</w:t>
            </w:r>
          </w:p>
        </w:tc>
        <w:tc>
          <w:tcPr>
            <w:tcW w:w="0" w:type="auto"/>
            <w:shd w:val="clear" w:color="auto" w:fill="CCEEFF"/>
            <w:vAlign w:val="bottom"/>
          </w:tcPr>
          <w:p w14:paraId="5556FFF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F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891</w:t>
            </w:r>
          </w:p>
        </w:tc>
        <w:tc>
          <w:tcPr>
            <w:tcW w:w="0" w:type="auto"/>
            <w:shd w:val="clear" w:color="auto" w:fill="CCEEFF"/>
            <w:vAlign w:val="bottom"/>
          </w:tcPr>
          <w:p w14:paraId="5556FFF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6FF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6FFF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788</w:t>
            </w:r>
          </w:p>
        </w:tc>
        <w:tc>
          <w:tcPr>
            <w:tcW w:w="0" w:type="auto"/>
            <w:shd w:val="clear" w:color="auto" w:fill="CCEEFF"/>
            <w:vAlign w:val="bottom"/>
          </w:tcPr>
          <w:p w14:paraId="5556FFFF" w14:textId="77777777" w:rsidR="00F925DD" w:rsidRDefault="00F925DD">
            <w:pPr>
              <w:textAlignment w:val="bottom"/>
              <w:rPr>
                <w:rFonts w:ascii="Times New Roman" w:hAnsi="Times New Roman"/>
                <w:sz w:val="20"/>
                <w:szCs w:val="20"/>
              </w:rPr>
            </w:pPr>
          </w:p>
        </w:tc>
      </w:tr>
      <w:tr w:rsidR="00F925DD" w14:paraId="55570019" w14:textId="77777777">
        <w:tc>
          <w:tcPr>
            <w:tcW w:w="0" w:type="auto"/>
            <w:shd w:val="clear" w:color="auto" w:fill="auto"/>
            <w:tcMar>
              <w:top w:w="40" w:type="dxa"/>
              <w:left w:w="40" w:type="dxa"/>
              <w:bottom w:w="40" w:type="dxa"/>
              <w:right w:w="40" w:type="dxa"/>
            </w:tcMar>
            <w:vAlign w:val="bottom"/>
          </w:tcPr>
          <w:p w14:paraId="55570001" w14:textId="77777777" w:rsidR="00F925DD" w:rsidRDefault="00E705D7">
            <w:pPr>
              <w:textAlignment w:val="bottom"/>
              <w:rPr>
                <w:rFonts w:ascii="Times New Roman" w:hAnsi="Times New Roman"/>
                <w:sz w:val="14"/>
                <w:szCs w:val="14"/>
              </w:rPr>
            </w:pPr>
            <w:r>
              <w:rPr>
                <w:rFonts w:ascii="Arial" w:eastAsia="宋体" w:hAnsi="Arial" w:cs="Arial"/>
                <w:sz w:val="14"/>
                <w:szCs w:val="14"/>
              </w:rPr>
              <w:t>Income tax expense (benefit)</w:t>
            </w:r>
          </w:p>
        </w:tc>
        <w:tc>
          <w:tcPr>
            <w:tcW w:w="0" w:type="auto"/>
            <w:gridSpan w:val="2"/>
            <w:shd w:val="clear" w:color="auto" w:fill="auto"/>
            <w:tcMar>
              <w:top w:w="40" w:type="dxa"/>
              <w:left w:w="40" w:type="dxa"/>
              <w:bottom w:w="40" w:type="dxa"/>
            </w:tcMar>
            <w:vAlign w:val="bottom"/>
          </w:tcPr>
          <w:p w14:paraId="5557000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74</w:t>
            </w:r>
          </w:p>
        </w:tc>
        <w:tc>
          <w:tcPr>
            <w:tcW w:w="0" w:type="auto"/>
            <w:shd w:val="clear" w:color="auto" w:fill="auto"/>
            <w:vAlign w:val="bottom"/>
          </w:tcPr>
          <w:p w14:paraId="5557000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700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0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138</w:t>
            </w:r>
          </w:p>
        </w:tc>
        <w:tc>
          <w:tcPr>
            <w:tcW w:w="0" w:type="auto"/>
            <w:shd w:val="clear" w:color="auto" w:fill="auto"/>
            <w:vAlign w:val="bottom"/>
          </w:tcPr>
          <w:p w14:paraId="5557000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0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0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131</w:t>
            </w:r>
          </w:p>
        </w:tc>
        <w:tc>
          <w:tcPr>
            <w:tcW w:w="0" w:type="auto"/>
            <w:shd w:val="clear" w:color="auto" w:fill="auto"/>
            <w:vAlign w:val="bottom"/>
          </w:tcPr>
          <w:p w14:paraId="55570009"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7000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0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127</w:t>
            </w:r>
          </w:p>
        </w:tc>
        <w:tc>
          <w:tcPr>
            <w:tcW w:w="0" w:type="auto"/>
            <w:shd w:val="clear" w:color="auto" w:fill="auto"/>
            <w:vAlign w:val="bottom"/>
          </w:tcPr>
          <w:p w14:paraId="5557000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0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92</w:t>
            </w:r>
          </w:p>
        </w:tc>
        <w:tc>
          <w:tcPr>
            <w:tcW w:w="0" w:type="auto"/>
            <w:shd w:val="clear" w:color="auto" w:fill="auto"/>
            <w:vAlign w:val="bottom"/>
          </w:tcPr>
          <w:p w14:paraId="5557000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1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129</w:t>
            </w:r>
          </w:p>
        </w:tc>
        <w:tc>
          <w:tcPr>
            <w:tcW w:w="0" w:type="auto"/>
            <w:shd w:val="clear" w:color="auto" w:fill="auto"/>
            <w:vAlign w:val="bottom"/>
          </w:tcPr>
          <w:p w14:paraId="5557001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1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158</w:t>
            </w:r>
          </w:p>
        </w:tc>
        <w:tc>
          <w:tcPr>
            <w:tcW w:w="0" w:type="auto"/>
            <w:shd w:val="clear" w:color="auto" w:fill="auto"/>
            <w:vAlign w:val="bottom"/>
          </w:tcPr>
          <w:p w14:paraId="5557001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1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129</w:t>
            </w:r>
          </w:p>
        </w:tc>
        <w:tc>
          <w:tcPr>
            <w:tcW w:w="0" w:type="auto"/>
            <w:shd w:val="clear" w:color="auto" w:fill="auto"/>
            <w:vAlign w:val="bottom"/>
          </w:tcPr>
          <w:p w14:paraId="55570018" w14:textId="77777777" w:rsidR="00F925DD" w:rsidRDefault="00F925DD">
            <w:pPr>
              <w:textAlignment w:val="bottom"/>
              <w:rPr>
                <w:rFonts w:ascii="Times New Roman" w:hAnsi="Times New Roman"/>
                <w:sz w:val="20"/>
                <w:szCs w:val="20"/>
              </w:rPr>
            </w:pPr>
          </w:p>
        </w:tc>
      </w:tr>
      <w:tr w:rsidR="00E705D7" w14:paraId="5557003A" w14:textId="77777777">
        <w:tc>
          <w:tcPr>
            <w:tcW w:w="0" w:type="auto"/>
            <w:shd w:val="clear" w:color="auto" w:fill="CCEEFF"/>
            <w:tcMar>
              <w:top w:w="40" w:type="dxa"/>
              <w:left w:w="40" w:type="dxa"/>
              <w:bottom w:w="40" w:type="dxa"/>
              <w:right w:w="40" w:type="dxa"/>
            </w:tcMar>
            <w:vAlign w:val="bottom"/>
          </w:tcPr>
          <w:p w14:paraId="5557001A" w14:textId="77777777" w:rsidR="00F925DD" w:rsidRDefault="00E705D7">
            <w:pPr>
              <w:textAlignment w:val="bottom"/>
              <w:rPr>
                <w:rFonts w:ascii="Times New Roman" w:hAnsi="Times New Roman"/>
                <w:sz w:val="14"/>
                <w:szCs w:val="14"/>
              </w:rPr>
            </w:pPr>
            <w:r>
              <w:rPr>
                <w:rFonts w:ascii="Arial" w:eastAsia="宋体" w:hAnsi="Arial" w:cs="Arial"/>
                <w:sz w:val="14"/>
                <w:szCs w:val="14"/>
              </w:rPr>
              <w:t>Net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7001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7001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564</w:t>
            </w:r>
          </w:p>
        </w:tc>
        <w:tc>
          <w:tcPr>
            <w:tcW w:w="0" w:type="auto"/>
            <w:tcBorders>
              <w:top w:val="single" w:sz="8" w:space="0" w:color="000000"/>
              <w:bottom w:val="double" w:sz="6" w:space="0" w:color="000000"/>
            </w:tcBorders>
            <w:shd w:val="clear" w:color="auto" w:fill="CCEEFF"/>
            <w:vAlign w:val="bottom"/>
          </w:tcPr>
          <w:p w14:paraId="5557001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700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7001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7002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583</w:t>
            </w:r>
          </w:p>
        </w:tc>
        <w:tc>
          <w:tcPr>
            <w:tcW w:w="0" w:type="auto"/>
            <w:tcBorders>
              <w:top w:val="single" w:sz="8" w:space="0" w:color="000000"/>
              <w:bottom w:val="double" w:sz="6" w:space="0" w:color="000000"/>
            </w:tcBorders>
            <w:shd w:val="clear" w:color="auto" w:fill="CCEEFF"/>
            <w:vAlign w:val="bottom"/>
          </w:tcPr>
          <w:p w14:paraId="5557002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7002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7002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587</w:t>
            </w:r>
          </w:p>
        </w:tc>
        <w:tc>
          <w:tcPr>
            <w:tcW w:w="0" w:type="auto"/>
            <w:tcBorders>
              <w:top w:val="single" w:sz="8" w:space="0" w:color="000000"/>
              <w:bottom w:val="double" w:sz="6" w:space="0" w:color="000000"/>
            </w:tcBorders>
            <w:shd w:val="clear" w:color="auto" w:fill="CCEEFF"/>
            <w:vAlign w:val="bottom"/>
          </w:tcPr>
          <w:p w14:paraId="55570025"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700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7002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7002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508</w:t>
            </w:r>
          </w:p>
        </w:tc>
        <w:tc>
          <w:tcPr>
            <w:tcW w:w="0" w:type="auto"/>
            <w:tcBorders>
              <w:top w:val="single" w:sz="8" w:space="0" w:color="000000"/>
              <w:bottom w:val="double" w:sz="6" w:space="0" w:color="000000"/>
            </w:tcBorders>
            <w:shd w:val="clear" w:color="auto" w:fill="CCEEFF"/>
            <w:vAlign w:val="bottom"/>
          </w:tcPr>
          <w:p w14:paraId="5557002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7002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7002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437</w:t>
            </w:r>
          </w:p>
        </w:tc>
        <w:tc>
          <w:tcPr>
            <w:tcW w:w="0" w:type="auto"/>
            <w:tcBorders>
              <w:top w:val="single" w:sz="8" w:space="0" w:color="000000"/>
              <w:bottom w:val="double" w:sz="6" w:space="0" w:color="000000"/>
            </w:tcBorders>
            <w:shd w:val="clear" w:color="auto" w:fill="CCEEFF"/>
            <w:vAlign w:val="bottom"/>
          </w:tcPr>
          <w:p w14:paraId="5557002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7002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7003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764</w:t>
            </w:r>
          </w:p>
        </w:tc>
        <w:tc>
          <w:tcPr>
            <w:tcW w:w="0" w:type="auto"/>
            <w:tcBorders>
              <w:top w:val="single" w:sz="8" w:space="0" w:color="000000"/>
              <w:bottom w:val="double" w:sz="6" w:space="0" w:color="000000"/>
            </w:tcBorders>
            <w:shd w:val="clear" w:color="auto" w:fill="CCEEFF"/>
            <w:vAlign w:val="bottom"/>
          </w:tcPr>
          <w:p w14:paraId="5557003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7003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7003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733</w:t>
            </w:r>
          </w:p>
        </w:tc>
        <w:tc>
          <w:tcPr>
            <w:tcW w:w="0" w:type="auto"/>
            <w:tcBorders>
              <w:top w:val="single" w:sz="8" w:space="0" w:color="000000"/>
              <w:bottom w:val="double" w:sz="6" w:space="0" w:color="000000"/>
            </w:tcBorders>
            <w:shd w:val="clear" w:color="auto" w:fill="CCEEFF"/>
            <w:vAlign w:val="bottom"/>
          </w:tcPr>
          <w:p w14:paraId="5557003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5557003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5557003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659</w:t>
            </w:r>
          </w:p>
        </w:tc>
        <w:tc>
          <w:tcPr>
            <w:tcW w:w="0" w:type="auto"/>
            <w:tcBorders>
              <w:top w:val="single" w:sz="8" w:space="0" w:color="000000"/>
              <w:bottom w:val="double" w:sz="6" w:space="0" w:color="000000"/>
            </w:tcBorders>
            <w:shd w:val="clear" w:color="auto" w:fill="CCEEFF"/>
            <w:vAlign w:val="bottom"/>
          </w:tcPr>
          <w:p w14:paraId="55570039" w14:textId="77777777" w:rsidR="00F925DD" w:rsidRDefault="00F925DD">
            <w:pPr>
              <w:textAlignment w:val="bottom"/>
              <w:rPr>
                <w:rFonts w:ascii="Times New Roman" w:hAnsi="Times New Roman"/>
                <w:sz w:val="20"/>
                <w:szCs w:val="20"/>
              </w:rPr>
            </w:pPr>
          </w:p>
        </w:tc>
      </w:tr>
      <w:tr w:rsidR="00F925DD" w14:paraId="5557005B" w14:textId="77777777">
        <w:tc>
          <w:tcPr>
            <w:tcW w:w="0" w:type="auto"/>
            <w:shd w:val="clear" w:color="auto" w:fill="auto"/>
            <w:tcMar>
              <w:top w:w="40" w:type="dxa"/>
              <w:left w:w="40" w:type="dxa"/>
              <w:bottom w:w="40" w:type="dxa"/>
              <w:right w:w="40" w:type="dxa"/>
            </w:tcMar>
            <w:vAlign w:val="bottom"/>
          </w:tcPr>
          <w:p w14:paraId="5557003B" w14:textId="77777777" w:rsidR="00F925DD" w:rsidRDefault="00E705D7">
            <w:pPr>
              <w:textAlignment w:val="bottom"/>
              <w:rPr>
                <w:rFonts w:ascii="Times New Roman" w:hAnsi="Times New Roman"/>
                <w:sz w:val="14"/>
                <w:szCs w:val="14"/>
              </w:rPr>
            </w:pPr>
            <w:r>
              <w:rPr>
                <w:rFonts w:ascii="Arial" w:eastAsia="宋体" w:hAnsi="Arial" w:cs="Arial"/>
                <w:sz w:val="14"/>
                <w:szCs w:val="14"/>
              </w:rPr>
              <w:t>N</w:t>
            </w:r>
            <w:r>
              <w:rPr>
                <w:rFonts w:ascii="Arial" w:eastAsia="宋体" w:hAnsi="Arial" w:cs="Arial"/>
                <w:sz w:val="14"/>
                <w:szCs w:val="14"/>
              </w:rPr>
              <w:t>et income available to common shareholders</w:t>
            </w:r>
          </w:p>
        </w:tc>
        <w:tc>
          <w:tcPr>
            <w:tcW w:w="0" w:type="auto"/>
            <w:tcBorders>
              <w:bottom w:val="double" w:sz="6" w:space="0" w:color="000000"/>
            </w:tcBorders>
            <w:shd w:val="clear" w:color="auto" w:fill="auto"/>
            <w:tcMar>
              <w:top w:w="40" w:type="dxa"/>
              <w:left w:w="40" w:type="dxa"/>
              <w:bottom w:w="40" w:type="dxa"/>
            </w:tcMar>
            <w:vAlign w:val="bottom"/>
          </w:tcPr>
          <w:p w14:paraId="5557003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7003D"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492</w:t>
            </w:r>
          </w:p>
        </w:tc>
        <w:tc>
          <w:tcPr>
            <w:tcW w:w="0" w:type="auto"/>
            <w:tcBorders>
              <w:bottom w:val="double" w:sz="6" w:space="0" w:color="000000"/>
            </w:tcBorders>
            <w:shd w:val="clear" w:color="auto" w:fill="auto"/>
            <w:vAlign w:val="bottom"/>
          </w:tcPr>
          <w:p w14:paraId="5557003E"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7003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70040"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70041"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528</w:t>
            </w:r>
          </w:p>
        </w:tc>
        <w:tc>
          <w:tcPr>
            <w:tcW w:w="0" w:type="auto"/>
            <w:tcBorders>
              <w:bottom w:val="double" w:sz="6" w:space="0" w:color="000000"/>
            </w:tcBorders>
            <w:shd w:val="clear" w:color="auto" w:fill="auto"/>
            <w:vAlign w:val="bottom"/>
          </w:tcPr>
          <w:p w14:paraId="5557004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70044"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7004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537</w:t>
            </w:r>
          </w:p>
        </w:tc>
        <w:tc>
          <w:tcPr>
            <w:tcW w:w="0" w:type="auto"/>
            <w:tcBorders>
              <w:bottom w:val="double" w:sz="6" w:space="0" w:color="000000"/>
            </w:tcBorders>
            <w:shd w:val="clear" w:color="auto" w:fill="auto"/>
            <w:vAlign w:val="bottom"/>
          </w:tcPr>
          <w:p w14:paraId="55570046"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700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70048"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tcBorders>
              <w:bottom w:val="double" w:sz="6" w:space="0" w:color="000000"/>
            </w:tcBorders>
            <w:shd w:val="clear" w:color="auto" w:fill="auto"/>
            <w:tcMar>
              <w:top w:w="40" w:type="dxa"/>
              <w:bottom w:w="40" w:type="dxa"/>
            </w:tcMar>
            <w:vAlign w:val="bottom"/>
          </w:tcPr>
          <w:p w14:paraId="5557004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452</w:t>
            </w:r>
          </w:p>
        </w:tc>
        <w:tc>
          <w:tcPr>
            <w:tcW w:w="0" w:type="auto"/>
            <w:tcBorders>
              <w:bottom w:val="double" w:sz="6" w:space="0" w:color="000000"/>
            </w:tcBorders>
            <w:shd w:val="clear" w:color="auto" w:fill="auto"/>
            <w:vAlign w:val="bottom"/>
          </w:tcPr>
          <w:p w14:paraId="5557004A"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4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7004C"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7004D"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396</w:t>
            </w:r>
          </w:p>
        </w:tc>
        <w:tc>
          <w:tcPr>
            <w:tcW w:w="0" w:type="auto"/>
            <w:tcBorders>
              <w:bottom w:val="double" w:sz="6" w:space="0" w:color="000000"/>
            </w:tcBorders>
            <w:shd w:val="clear" w:color="auto" w:fill="auto"/>
            <w:vAlign w:val="bottom"/>
          </w:tcPr>
          <w:p w14:paraId="5557004E"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70050"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7005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708</w:t>
            </w:r>
          </w:p>
        </w:tc>
        <w:tc>
          <w:tcPr>
            <w:tcW w:w="0" w:type="auto"/>
            <w:tcBorders>
              <w:bottom w:val="double" w:sz="6" w:space="0" w:color="000000"/>
            </w:tcBorders>
            <w:shd w:val="clear" w:color="auto" w:fill="auto"/>
            <w:vAlign w:val="bottom"/>
          </w:tcPr>
          <w:p w14:paraId="5557005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70054"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7005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697</w:t>
            </w:r>
          </w:p>
        </w:tc>
        <w:tc>
          <w:tcPr>
            <w:tcW w:w="0" w:type="auto"/>
            <w:tcBorders>
              <w:bottom w:val="double" w:sz="6" w:space="0" w:color="000000"/>
            </w:tcBorders>
            <w:shd w:val="clear" w:color="auto" w:fill="auto"/>
            <w:vAlign w:val="bottom"/>
          </w:tcPr>
          <w:p w14:paraId="5557005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55570058"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tcBorders>
              <w:bottom w:val="double" w:sz="6" w:space="0" w:color="000000"/>
            </w:tcBorders>
            <w:shd w:val="clear" w:color="auto" w:fill="auto"/>
            <w:tcMar>
              <w:top w:w="40" w:type="dxa"/>
              <w:bottom w:w="40" w:type="dxa"/>
            </w:tcMar>
            <w:vAlign w:val="bottom"/>
          </w:tcPr>
          <w:p w14:paraId="55570059"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603</w:t>
            </w:r>
          </w:p>
        </w:tc>
        <w:tc>
          <w:tcPr>
            <w:tcW w:w="0" w:type="auto"/>
            <w:tcBorders>
              <w:bottom w:val="double" w:sz="6" w:space="0" w:color="000000"/>
            </w:tcBorders>
            <w:shd w:val="clear" w:color="auto" w:fill="auto"/>
            <w:vAlign w:val="bottom"/>
          </w:tcPr>
          <w:p w14:paraId="5557005A" w14:textId="77777777" w:rsidR="00F925DD" w:rsidRDefault="00F925DD">
            <w:pPr>
              <w:textAlignment w:val="bottom"/>
              <w:rPr>
                <w:rFonts w:ascii="Times New Roman" w:hAnsi="Times New Roman"/>
                <w:sz w:val="20"/>
                <w:szCs w:val="20"/>
              </w:rPr>
            </w:pPr>
          </w:p>
        </w:tc>
      </w:tr>
      <w:tr w:rsidR="00F925DD" w14:paraId="5557006C" w14:textId="77777777">
        <w:tc>
          <w:tcPr>
            <w:tcW w:w="0" w:type="auto"/>
            <w:shd w:val="clear" w:color="auto" w:fill="CCEEFF"/>
            <w:tcMar>
              <w:top w:w="40" w:type="dxa"/>
              <w:left w:w="40" w:type="dxa"/>
              <w:bottom w:w="40" w:type="dxa"/>
              <w:right w:w="40" w:type="dxa"/>
            </w:tcMar>
            <w:vAlign w:val="bottom"/>
          </w:tcPr>
          <w:p w14:paraId="5557005C"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Earnings per common share</w:t>
            </w:r>
            <w:r>
              <w:rPr>
                <w:rFonts w:ascii="Arial" w:eastAsia="宋体" w:hAnsi="Arial" w:cs="Arial"/>
                <w:b/>
                <w:bCs/>
                <w:sz w:val="10"/>
                <w:szCs w:val="10"/>
              </w:rPr>
              <w:t>(2)</w:t>
            </w:r>
            <w:r>
              <w:rPr>
                <w:rFonts w:ascii="Arial" w:eastAsia="宋体" w:hAnsi="Arial" w:cs="Arial"/>
                <w:b/>
                <w:bCs/>
                <w:sz w:val="14"/>
                <w:szCs w:val="14"/>
              </w:rPr>
              <w:t xml:space="preserve">: </w:t>
            </w:r>
          </w:p>
        </w:tc>
        <w:tc>
          <w:tcPr>
            <w:tcW w:w="0" w:type="auto"/>
            <w:gridSpan w:val="3"/>
            <w:shd w:val="clear" w:color="auto" w:fill="CCEEFF"/>
            <w:tcMar>
              <w:top w:w="40" w:type="dxa"/>
              <w:left w:w="40" w:type="dxa"/>
              <w:bottom w:w="40" w:type="dxa"/>
              <w:right w:w="40" w:type="dxa"/>
            </w:tcMar>
            <w:vAlign w:val="bottom"/>
          </w:tcPr>
          <w:p w14:paraId="555700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700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700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7006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700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555700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700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700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700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700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700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700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700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5557006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555700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08D" w14:textId="77777777">
        <w:tc>
          <w:tcPr>
            <w:tcW w:w="0" w:type="auto"/>
            <w:shd w:val="clear" w:color="auto" w:fill="auto"/>
            <w:tcMar>
              <w:top w:w="40" w:type="dxa"/>
              <w:left w:w="40" w:type="dxa"/>
              <w:bottom w:w="40" w:type="dxa"/>
              <w:right w:w="40" w:type="dxa"/>
            </w:tcMar>
            <w:vAlign w:val="bottom"/>
          </w:tcPr>
          <w:p w14:paraId="5557006D" w14:textId="77777777" w:rsidR="00F925DD" w:rsidRDefault="00E705D7">
            <w:pPr>
              <w:textAlignment w:val="bottom"/>
              <w:rPr>
                <w:rFonts w:ascii="Times New Roman" w:hAnsi="Times New Roman"/>
                <w:sz w:val="14"/>
                <w:szCs w:val="14"/>
              </w:rPr>
            </w:pPr>
            <w:r>
              <w:rPr>
                <w:rFonts w:ascii="Arial" w:eastAsia="宋体" w:hAnsi="Arial" w:cs="Arial"/>
                <w:sz w:val="14"/>
                <w:szCs w:val="14"/>
              </w:rPr>
              <w:t>     Basic</w:t>
            </w:r>
          </w:p>
        </w:tc>
        <w:tc>
          <w:tcPr>
            <w:tcW w:w="0" w:type="auto"/>
            <w:shd w:val="clear" w:color="auto" w:fill="auto"/>
            <w:tcMar>
              <w:top w:w="40" w:type="dxa"/>
              <w:left w:w="40" w:type="dxa"/>
              <w:bottom w:w="40" w:type="dxa"/>
            </w:tcMar>
            <w:vAlign w:val="bottom"/>
          </w:tcPr>
          <w:p w14:paraId="5557006E"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5557006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1.36</w:t>
            </w:r>
          </w:p>
        </w:tc>
        <w:tc>
          <w:tcPr>
            <w:tcW w:w="0" w:type="auto"/>
            <w:shd w:val="clear" w:color="auto" w:fill="auto"/>
            <w:vAlign w:val="bottom"/>
          </w:tcPr>
          <w:p w14:paraId="55570070"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700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70072"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55570073"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1.44</w:t>
            </w:r>
          </w:p>
        </w:tc>
        <w:tc>
          <w:tcPr>
            <w:tcW w:w="0" w:type="auto"/>
            <w:shd w:val="clear" w:color="auto" w:fill="auto"/>
            <w:vAlign w:val="bottom"/>
          </w:tcPr>
          <w:p w14:paraId="5557007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70076"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55570077"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1.44</w:t>
            </w:r>
          </w:p>
        </w:tc>
        <w:tc>
          <w:tcPr>
            <w:tcW w:w="0" w:type="auto"/>
            <w:shd w:val="clear" w:color="auto" w:fill="auto"/>
            <w:vAlign w:val="bottom"/>
          </w:tcPr>
          <w:p w14:paraId="55570078"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700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7007A"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auto"/>
            <w:tcMar>
              <w:top w:w="40" w:type="dxa"/>
              <w:bottom w:w="40" w:type="dxa"/>
            </w:tcMar>
            <w:vAlign w:val="bottom"/>
          </w:tcPr>
          <w:p w14:paraId="5557007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1.20</w:t>
            </w:r>
          </w:p>
        </w:tc>
        <w:tc>
          <w:tcPr>
            <w:tcW w:w="0" w:type="auto"/>
            <w:shd w:val="clear" w:color="auto" w:fill="auto"/>
            <w:vAlign w:val="bottom"/>
          </w:tcPr>
          <w:p w14:paraId="5557007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7007E"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7007F"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1.04</w:t>
            </w:r>
          </w:p>
        </w:tc>
        <w:tc>
          <w:tcPr>
            <w:tcW w:w="0" w:type="auto"/>
            <w:shd w:val="clear" w:color="auto" w:fill="auto"/>
            <w:vAlign w:val="bottom"/>
          </w:tcPr>
          <w:p w14:paraId="55570080"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70082"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70083"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1.89</w:t>
            </w:r>
          </w:p>
        </w:tc>
        <w:tc>
          <w:tcPr>
            <w:tcW w:w="0" w:type="auto"/>
            <w:shd w:val="clear" w:color="auto" w:fill="auto"/>
            <w:vAlign w:val="bottom"/>
          </w:tcPr>
          <w:p w14:paraId="55570084"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70086"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7008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1.91</w:t>
            </w:r>
          </w:p>
        </w:tc>
        <w:tc>
          <w:tcPr>
            <w:tcW w:w="0" w:type="auto"/>
            <w:shd w:val="clear" w:color="auto" w:fill="auto"/>
            <w:vAlign w:val="bottom"/>
          </w:tcPr>
          <w:p w14:paraId="5557008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5557008A"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auto"/>
            <w:tcMar>
              <w:top w:w="40" w:type="dxa"/>
              <w:bottom w:w="40" w:type="dxa"/>
            </w:tcMar>
            <w:vAlign w:val="bottom"/>
          </w:tcPr>
          <w:p w14:paraId="5557008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1.64</w:t>
            </w:r>
          </w:p>
        </w:tc>
        <w:tc>
          <w:tcPr>
            <w:tcW w:w="0" w:type="auto"/>
            <w:shd w:val="clear" w:color="auto" w:fill="auto"/>
            <w:vAlign w:val="bottom"/>
          </w:tcPr>
          <w:p w14:paraId="5557008C" w14:textId="77777777" w:rsidR="00F925DD" w:rsidRDefault="00F925DD">
            <w:pPr>
              <w:textAlignment w:val="bottom"/>
              <w:rPr>
                <w:rFonts w:ascii="Times New Roman" w:hAnsi="Times New Roman"/>
                <w:sz w:val="20"/>
                <w:szCs w:val="20"/>
              </w:rPr>
            </w:pPr>
          </w:p>
        </w:tc>
      </w:tr>
      <w:tr w:rsidR="00F925DD" w14:paraId="555700A6" w14:textId="77777777">
        <w:tc>
          <w:tcPr>
            <w:tcW w:w="0" w:type="auto"/>
            <w:shd w:val="clear" w:color="auto" w:fill="CCEEFF"/>
            <w:tcMar>
              <w:top w:w="40" w:type="dxa"/>
              <w:left w:w="40" w:type="dxa"/>
              <w:bottom w:w="40" w:type="dxa"/>
              <w:right w:w="40" w:type="dxa"/>
            </w:tcMar>
            <w:vAlign w:val="bottom"/>
          </w:tcPr>
          <w:p w14:paraId="5557008E" w14:textId="77777777" w:rsidR="00F925DD" w:rsidRDefault="00E705D7">
            <w:pPr>
              <w:textAlignment w:val="bottom"/>
              <w:rPr>
                <w:rFonts w:ascii="Times New Roman" w:hAnsi="Times New Roman"/>
                <w:sz w:val="14"/>
                <w:szCs w:val="14"/>
              </w:rPr>
            </w:pPr>
            <w:r>
              <w:rPr>
                <w:rFonts w:ascii="Arial" w:eastAsia="宋体" w:hAnsi="Arial" w:cs="Arial"/>
                <w:sz w:val="14"/>
                <w:szCs w:val="14"/>
              </w:rPr>
              <w:t>     Diluted</w:t>
            </w:r>
          </w:p>
        </w:tc>
        <w:tc>
          <w:tcPr>
            <w:tcW w:w="0" w:type="auto"/>
            <w:gridSpan w:val="2"/>
            <w:shd w:val="clear" w:color="auto" w:fill="CCEEFF"/>
            <w:tcMar>
              <w:top w:w="40" w:type="dxa"/>
              <w:left w:w="40" w:type="dxa"/>
              <w:bottom w:w="40" w:type="dxa"/>
            </w:tcMar>
            <w:vAlign w:val="bottom"/>
          </w:tcPr>
          <w:p w14:paraId="5557008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1.35</w:t>
            </w:r>
          </w:p>
        </w:tc>
        <w:tc>
          <w:tcPr>
            <w:tcW w:w="0" w:type="auto"/>
            <w:shd w:val="clear" w:color="auto" w:fill="CCEEFF"/>
            <w:vAlign w:val="bottom"/>
          </w:tcPr>
          <w:p w14:paraId="55570090"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700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9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1.42</w:t>
            </w:r>
          </w:p>
        </w:tc>
        <w:tc>
          <w:tcPr>
            <w:tcW w:w="0" w:type="auto"/>
            <w:shd w:val="clear" w:color="auto" w:fill="CCEEFF"/>
            <w:vAlign w:val="bottom"/>
          </w:tcPr>
          <w:p w14:paraId="5557009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9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1.42</w:t>
            </w:r>
          </w:p>
        </w:tc>
        <w:tc>
          <w:tcPr>
            <w:tcW w:w="0" w:type="auto"/>
            <w:shd w:val="clear" w:color="auto" w:fill="CCEEFF"/>
            <w:vAlign w:val="bottom"/>
          </w:tcPr>
          <w:p w14:paraId="55570096"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700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9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1.18</w:t>
            </w:r>
          </w:p>
        </w:tc>
        <w:tc>
          <w:tcPr>
            <w:tcW w:w="0" w:type="auto"/>
            <w:shd w:val="clear" w:color="auto" w:fill="CCEEFF"/>
            <w:vAlign w:val="bottom"/>
          </w:tcPr>
          <w:p w14:paraId="5557009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9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1.03</w:t>
            </w:r>
          </w:p>
        </w:tc>
        <w:tc>
          <w:tcPr>
            <w:tcW w:w="0" w:type="auto"/>
            <w:shd w:val="clear" w:color="auto" w:fill="CCEEFF"/>
            <w:vAlign w:val="bottom"/>
          </w:tcPr>
          <w:p w14:paraId="5557009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9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1.87</w:t>
            </w:r>
          </w:p>
        </w:tc>
        <w:tc>
          <w:tcPr>
            <w:tcW w:w="0" w:type="auto"/>
            <w:shd w:val="clear" w:color="auto" w:fill="CCEEFF"/>
            <w:vAlign w:val="bottom"/>
          </w:tcPr>
          <w:p w14:paraId="5557009F"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A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1.88</w:t>
            </w:r>
          </w:p>
        </w:tc>
        <w:tc>
          <w:tcPr>
            <w:tcW w:w="0" w:type="auto"/>
            <w:shd w:val="clear" w:color="auto" w:fill="CCEEFF"/>
            <w:vAlign w:val="bottom"/>
          </w:tcPr>
          <w:p w14:paraId="555700A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A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1.62</w:t>
            </w:r>
          </w:p>
        </w:tc>
        <w:tc>
          <w:tcPr>
            <w:tcW w:w="0" w:type="auto"/>
            <w:shd w:val="clear" w:color="auto" w:fill="CCEEFF"/>
            <w:vAlign w:val="bottom"/>
          </w:tcPr>
          <w:p w14:paraId="555700A5" w14:textId="77777777" w:rsidR="00F925DD" w:rsidRDefault="00F925DD">
            <w:pPr>
              <w:textAlignment w:val="bottom"/>
              <w:rPr>
                <w:rFonts w:ascii="Times New Roman" w:hAnsi="Times New Roman"/>
                <w:sz w:val="20"/>
                <w:szCs w:val="20"/>
              </w:rPr>
            </w:pPr>
          </w:p>
        </w:tc>
      </w:tr>
      <w:tr w:rsidR="00F925DD" w14:paraId="555700B7" w14:textId="77777777">
        <w:tc>
          <w:tcPr>
            <w:tcW w:w="0" w:type="auto"/>
            <w:shd w:val="clear" w:color="auto" w:fill="auto"/>
            <w:tcMar>
              <w:top w:w="40" w:type="dxa"/>
              <w:left w:w="40" w:type="dxa"/>
              <w:bottom w:w="40" w:type="dxa"/>
              <w:right w:w="40" w:type="dxa"/>
            </w:tcMar>
            <w:vAlign w:val="bottom"/>
          </w:tcPr>
          <w:p w14:paraId="555700A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Average common shares outstanding:</w:t>
            </w:r>
          </w:p>
        </w:tc>
        <w:tc>
          <w:tcPr>
            <w:tcW w:w="0" w:type="auto"/>
            <w:gridSpan w:val="3"/>
            <w:shd w:val="clear" w:color="auto" w:fill="auto"/>
            <w:tcMar>
              <w:top w:w="40" w:type="dxa"/>
              <w:left w:w="40" w:type="dxa"/>
              <w:bottom w:w="40" w:type="dxa"/>
              <w:right w:w="40" w:type="dxa"/>
            </w:tcMar>
            <w:vAlign w:val="bottom"/>
          </w:tcPr>
          <w:p w14:paraId="555700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700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700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0A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700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700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700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0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700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0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700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0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700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0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700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0D0" w14:textId="77777777">
        <w:tc>
          <w:tcPr>
            <w:tcW w:w="0" w:type="auto"/>
            <w:shd w:val="clear" w:color="auto" w:fill="CCEEFF"/>
            <w:tcMar>
              <w:top w:w="40" w:type="dxa"/>
              <w:left w:w="40" w:type="dxa"/>
              <w:bottom w:w="40" w:type="dxa"/>
              <w:right w:w="40" w:type="dxa"/>
            </w:tcMar>
            <w:vAlign w:val="bottom"/>
          </w:tcPr>
          <w:p w14:paraId="555700B8" w14:textId="77777777" w:rsidR="00F925DD" w:rsidRDefault="00E705D7">
            <w:pPr>
              <w:textAlignment w:val="bottom"/>
              <w:rPr>
                <w:rFonts w:ascii="Times New Roman" w:hAnsi="Times New Roman"/>
                <w:sz w:val="14"/>
                <w:szCs w:val="14"/>
              </w:rPr>
            </w:pPr>
            <w:r>
              <w:rPr>
                <w:rFonts w:ascii="Arial" w:eastAsia="宋体" w:hAnsi="Arial" w:cs="Arial"/>
                <w:sz w:val="14"/>
                <w:szCs w:val="14"/>
              </w:rPr>
              <w:t>     Basic</w:t>
            </w:r>
          </w:p>
        </w:tc>
        <w:tc>
          <w:tcPr>
            <w:tcW w:w="0" w:type="auto"/>
            <w:gridSpan w:val="2"/>
            <w:shd w:val="clear" w:color="auto" w:fill="CCEEFF"/>
            <w:tcMar>
              <w:top w:w="40" w:type="dxa"/>
              <w:left w:w="40" w:type="dxa"/>
              <w:bottom w:w="40" w:type="dxa"/>
            </w:tcMar>
            <w:vAlign w:val="bottom"/>
          </w:tcPr>
          <w:p w14:paraId="555700B9"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361,439</w:t>
            </w:r>
          </w:p>
        </w:tc>
        <w:tc>
          <w:tcPr>
            <w:tcW w:w="0" w:type="auto"/>
            <w:shd w:val="clear" w:color="auto" w:fill="CCEEFF"/>
            <w:vAlign w:val="bottom"/>
          </w:tcPr>
          <w:p w14:paraId="555700BA"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700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B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366,732</w:t>
            </w:r>
          </w:p>
        </w:tc>
        <w:tc>
          <w:tcPr>
            <w:tcW w:w="0" w:type="auto"/>
            <w:shd w:val="clear" w:color="auto" w:fill="CCEEFF"/>
            <w:vAlign w:val="bottom"/>
          </w:tcPr>
          <w:p w14:paraId="555700B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BF"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373,773</w:t>
            </w:r>
          </w:p>
        </w:tc>
        <w:tc>
          <w:tcPr>
            <w:tcW w:w="0" w:type="auto"/>
            <w:shd w:val="clear" w:color="auto" w:fill="CCEEFF"/>
            <w:vAlign w:val="bottom"/>
          </w:tcPr>
          <w:p w14:paraId="555700C0"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700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C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377,915</w:t>
            </w:r>
          </w:p>
        </w:tc>
        <w:tc>
          <w:tcPr>
            <w:tcW w:w="0" w:type="auto"/>
            <w:shd w:val="clear" w:color="auto" w:fill="CCEEFF"/>
            <w:vAlign w:val="bottom"/>
          </w:tcPr>
          <w:p w14:paraId="555700C3"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C5"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379,741</w:t>
            </w:r>
          </w:p>
        </w:tc>
        <w:tc>
          <w:tcPr>
            <w:tcW w:w="0" w:type="auto"/>
            <w:shd w:val="clear" w:color="auto" w:fill="CCEEFF"/>
            <w:vAlign w:val="bottom"/>
          </w:tcPr>
          <w:p w14:paraId="555700C6"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C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374,963</w:t>
            </w:r>
          </w:p>
        </w:tc>
        <w:tc>
          <w:tcPr>
            <w:tcW w:w="0" w:type="auto"/>
            <w:shd w:val="clear" w:color="auto" w:fill="CCEEFF"/>
            <w:vAlign w:val="bottom"/>
          </w:tcPr>
          <w:p w14:paraId="555700C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CB"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365,619</w:t>
            </w:r>
          </w:p>
        </w:tc>
        <w:tc>
          <w:tcPr>
            <w:tcW w:w="0" w:type="auto"/>
            <w:shd w:val="clear" w:color="auto" w:fill="CCEEFF"/>
            <w:vAlign w:val="bottom"/>
          </w:tcPr>
          <w:p w14:paraId="555700CC"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0C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367,439</w:t>
            </w:r>
          </w:p>
        </w:tc>
        <w:tc>
          <w:tcPr>
            <w:tcW w:w="0" w:type="auto"/>
            <w:shd w:val="clear" w:color="auto" w:fill="CCEEFF"/>
            <w:vAlign w:val="bottom"/>
          </w:tcPr>
          <w:p w14:paraId="555700CF" w14:textId="77777777" w:rsidR="00F925DD" w:rsidRDefault="00F925DD">
            <w:pPr>
              <w:textAlignment w:val="bottom"/>
              <w:rPr>
                <w:rFonts w:ascii="Times New Roman" w:hAnsi="Times New Roman"/>
                <w:sz w:val="20"/>
                <w:szCs w:val="20"/>
              </w:rPr>
            </w:pPr>
          </w:p>
        </w:tc>
      </w:tr>
      <w:tr w:rsidR="00F925DD" w14:paraId="555700E9" w14:textId="77777777">
        <w:tc>
          <w:tcPr>
            <w:tcW w:w="0" w:type="auto"/>
            <w:shd w:val="clear" w:color="auto" w:fill="auto"/>
            <w:tcMar>
              <w:top w:w="40" w:type="dxa"/>
              <w:left w:w="40" w:type="dxa"/>
              <w:bottom w:w="40" w:type="dxa"/>
              <w:right w:w="40" w:type="dxa"/>
            </w:tcMar>
            <w:vAlign w:val="bottom"/>
          </w:tcPr>
          <w:p w14:paraId="555700D1" w14:textId="77777777" w:rsidR="00F925DD" w:rsidRDefault="00E705D7">
            <w:pPr>
              <w:textAlignment w:val="bottom"/>
              <w:rPr>
                <w:rFonts w:ascii="Times New Roman" w:hAnsi="Times New Roman"/>
                <w:sz w:val="14"/>
                <w:szCs w:val="14"/>
              </w:rPr>
            </w:pPr>
            <w:r>
              <w:rPr>
                <w:rFonts w:ascii="Arial" w:eastAsia="宋体" w:hAnsi="Arial" w:cs="Arial"/>
                <w:sz w:val="14"/>
                <w:szCs w:val="14"/>
              </w:rPr>
              <w:t>     Diluted</w:t>
            </w:r>
          </w:p>
        </w:tc>
        <w:tc>
          <w:tcPr>
            <w:tcW w:w="0" w:type="auto"/>
            <w:gridSpan w:val="2"/>
            <w:shd w:val="clear" w:color="auto" w:fill="auto"/>
            <w:tcMar>
              <w:top w:w="40" w:type="dxa"/>
              <w:left w:w="40" w:type="dxa"/>
              <w:bottom w:w="40" w:type="dxa"/>
            </w:tcMar>
            <w:vAlign w:val="bottom"/>
          </w:tcPr>
          <w:p w14:paraId="555700D2"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365,851</w:t>
            </w:r>
          </w:p>
        </w:tc>
        <w:tc>
          <w:tcPr>
            <w:tcW w:w="0" w:type="auto"/>
            <w:shd w:val="clear" w:color="auto" w:fill="auto"/>
            <w:vAlign w:val="bottom"/>
          </w:tcPr>
          <w:p w14:paraId="555700D3"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700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D5"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370,595</w:t>
            </w:r>
          </w:p>
        </w:tc>
        <w:tc>
          <w:tcPr>
            <w:tcW w:w="0" w:type="auto"/>
            <w:shd w:val="clear" w:color="auto" w:fill="auto"/>
            <w:vAlign w:val="bottom"/>
          </w:tcPr>
          <w:p w14:paraId="555700D6"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D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377,577</w:t>
            </w:r>
          </w:p>
        </w:tc>
        <w:tc>
          <w:tcPr>
            <w:tcW w:w="0" w:type="auto"/>
            <w:shd w:val="clear" w:color="auto" w:fill="auto"/>
            <w:vAlign w:val="bottom"/>
          </w:tcPr>
          <w:p w14:paraId="555700D9" w14:textId="77777777" w:rsidR="00F925DD" w:rsidRDefault="00F925D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right w:w="40" w:type="dxa"/>
            </w:tcMar>
            <w:vAlign w:val="bottom"/>
          </w:tcPr>
          <w:p w14:paraId="555700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DB"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381,703</w:t>
            </w:r>
          </w:p>
        </w:tc>
        <w:tc>
          <w:tcPr>
            <w:tcW w:w="0" w:type="auto"/>
            <w:shd w:val="clear" w:color="auto" w:fill="auto"/>
            <w:vAlign w:val="bottom"/>
          </w:tcPr>
          <w:p w14:paraId="555700DC"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D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DE"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383,651</w:t>
            </w:r>
          </w:p>
        </w:tc>
        <w:tc>
          <w:tcPr>
            <w:tcW w:w="0" w:type="auto"/>
            <w:shd w:val="clear" w:color="auto" w:fill="auto"/>
            <w:vAlign w:val="bottom"/>
          </w:tcPr>
          <w:p w14:paraId="555700DF"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E1"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379,383</w:t>
            </w:r>
          </w:p>
        </w:tc>
        <w:tc>
          <w:tcPr>
            <w:tcW w:w="0" w:type="auto"/>
            <w:shd w:val="clear" w:color="auto" w:fill="auto"/>
            <w:vAlign w:val="bottom"/>
          </w:tcPr>
          <w:p w14:paraId="555700E2"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E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E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370,410</w:t>
            </w:r>
          </w:p>
        </w:tc>
        <w:tc>
          <w:tcPr>
            <w:tcW w:w="0" w:type="auto"/>
            <w:shd w:val="clear" w:color="auto" w:fill="auto"/>
            <w:vAlign w:val="bottom"/>
          </w:tcPr>
          <w:p w14:paraId="555700E5"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0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555700E7"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372,619</w:t>
            </w:r>
          </w:p>
        </w:tc>
        <w:tc>
          <w:tcPr>
            <w:tcW w:w="0" w:type="auto"/>
            <w:shd w:val="clear" w:color="auto" w:fill="auto"/>
            <w:vAlign w:val="bottom"/>
          </w:tcPr>
          <w:p w14:paraId="555700E8" w14:textId="77777777" w:rsidR="00F925DD" w:rsidRDefault="00F925DD">
            <w:pPr>
              <w:textAlignment w:val="bottom"/>
              <w:rPr>
                <w:rFonts w:ascii="Times New Roman" w:hAnsi="Times New Roman"/>
                <w:sz w:val="20"/>
                <w:szCs w:val="20"/>
              </w:rPr>
            </w:pPr>
          </w:p>
        </w:tc>
      </w:tr>
      <w:tr w:rsidR="00E705D7" w14:paraId="5557010A" w14:textId="77777777">
        <w:tc>
          <w:tcPr>
            <w:tcW w:w="0" w:type="auto"/>
            <w:shd w:val="clear" w:color="auto" w:fill="CCEEFF"/>
            <w:tcMar>
              <w:top w:w="40" w:type="dxa"/>
              <w:left w:w="40" w:type="dxa"/>
              <w:bottom w:w="40" w:type="dxa"/>
              <w:right w:w="40" w:type="dxa"/>
            </w:tcMar>
            <w:vAlign w:val="bottom"/>
          </w:tcPr>
          <w:p w14:paraId="555700EA" w14:textId="77777777" w:rsidR="00F925DD" w:rsidRDefault="00E705D7">
            <w:pPr>
              <w:textAlignment w:val="bottom"/>
              <w:rPr>
                <w:rFonts w:ascii="Times New Roman" w:hAnsi="Times New Roman"/>
                <w:sz w:val="14"/>
                <w:szCs w:val="14"/>
              </w:rPr>
            </w:pPr>
            <w:r>
              <w:rPr>
                <w:rFonts w:ascii="Arial" w:eastAsia="宋体" w:hAnsi="Arial" w:cs="Arial"/>
                <w:sz w:val="14"/>
                <w:szCs w:val="14"/>
              </w:rPr>
              <w:t>     Dividends per common share</w:t>
            </w:r>
          </w:p>
        </w:tc>
        <w:tc>
          <w:tcPr>
            <w:tcW w:w="0" w:type="auto"/>
            <w:shd w:val="clear" w:color="auto" w:fill="CCEEFF"/>
            <w:tcMar>
              <w:top w:w="40" w:type="dxa"/>
              <w:left w:w="40" w:type="dxa"/>
              <w:bottom w:w="40" w:type="dxa"/>
            </w:tcMar>
            <w:vAlign w:val="bottom"/>
          </w:tcPr>
          <w:p w14:paraId="555700EB"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700EC"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.52</w:t>
            </w:r>
          </w:p>
        </w:tc>
        <w:tc>
          <w:tcPr>
            <w:tcW w:w="0" w:type="auto"/>
            <w:shd w:val="clear" w:color="auto" w:fill="CCEEFF"/>
            <w:vAlign w:val="bottom"/>
          </w:tcPr>
          <w:p w14:paraId="555700ED"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700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700EF"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700F0"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.52</w:t>
            </w:r>
          </w:p>
        </w:tc>
        <w:tc>
          <w:tcPr>
            <w:tcW w:w="0" w:type="auto"/>
            <w:shd w:val="clear" w:color="auto" w:fill="CCEEFF"/>
            <w:vAlign w:val="bottom"/>
          </w:tcPr>
          <w:p w14:paraId="555700F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700F3"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700F4"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.47</w:t>
            </w:r>
          </w:p>
        </w:tc>
        <w:tc>
          <w:tcPr>
            <w:tcW w:w="0" w:type="auto"/>
            <w:shd w:val="clear" w:color="auto" w:fill="CCEEFF"/>
            <w:vAlign w:val="bottom"/>
          </w:tcPr>
          <w:p w14:paraId="555700F5" w14:textId="77777777" w:rsidR="00F925DD" w:rsidRDefault="00F925DD">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right w:w="40" w:type="dxa"/>
            </w:tcMar>
            <w:vAlign w:val="bottom"/>
          </w:tcPr>
          <w:p w14:paraId="555700F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700F7" w14:textId="77777777" w:rsidR="00F925DD" w:rsidRDefault="00E705D7">
            <w:pPr>
              <w:textAlignment w:val="bottom"/>
              <w:rPr>
                <w:rFonts w:ascii="Times New Roman" w:hAnsi="Times New Roman"/>
                <w:sz w:val="14"/>
                <w:szCs w:val="14"/>
              </w:rPr>
            </w:pPr>
            <w:r>
              <w:rPr>
                <w:rFonts w:ascii="Arial" w:eastAsia="宋体" w:hAnsi="Arial" w:cs="Arial"/>
                <w:b/>
                <w:bCs/>
                <w:sz w:val="14"/>
                <w:szCs w:val="14"/>
              </w:rPr>
              <w:t>$</w:t>
            </w:r>
          </w:p>
        </w:tc>
        <w:tc>
          <w:tcPr>
            <w:tcW w:w="0" w:type="auto"/>
            <w:shd w:val="clear" w:color="auto" w:fill="CCEEFF"/>
            <w:tcMar>
              <w:top w:w="40" w:type="dxa"/>
              <w:bottom w:w="40" w:type="dxa"/>
            </w:tcMar>
            <w:vAlign w:val="bottom"/>
          </w:tcPr>
          <w:p w14:paraId="555700F8" w14:textId="77777777" w:rsidR="00F925DD" w:rsidRDefault="00E705D7">
            <w:pPr>
              <w:jc w:val="right"/>
              <w:textAlignment w:val="bottom"/>
              <w:rPr>
                <w:rFonts w:ascii="Times New Roman" w:hAnsi="Times New Roman"/>
                <w:sz w:val="14"/>
                <w:szCs w:val="14"/>
              </w:rPr>
            </w:pPr>
            <w:r>
              <w:rPr>
                <w:rFonts w:ascii="Arial" w:eastAsia="宋体" w:hAnsi="Arial" w:cs="Arial"/>
                <w:b/>
                <w:bCs/>
                <w:sz w:val="14"/>
                <w:szCs w:val="14"/>
              </w:rPr>
              <w:t>.47</w:t>
            </w:r>
          </w:p>
        </w:tc>
        <w:tc>
          <w:tcPr>
            <w:tcW w:w="0" w:type="auto"/>
            <w:shd w:val="clear" w:color="auto" w:fill="CCEEFF"/>
            <w:vAlign w:val="bottom"/>
          </w:tcPr>
          <w:p w14:paraId="555700F9"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F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700FB"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700FC"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.47</w:t>
            </w:r>
          </w:p>
        </w:tc>
        <w:tc>
          <w:tcPr>
            <w:tcW w:w="0" w:type="auto"/>
            <w:shd w:val="clear" w:color="auto" w:fill="CCEEFF"/>
            <w:vAlign w:val="bottom"/>
          </w:tcPr>
          <w:p w14:paraId="555700F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0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700FF"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70100"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.47</w:t>
            </w:r>
          </w:p>
        </w:tc>
        <w:tc>
          <w:tcPr>
            <w:tcW w:w="0" w:type="auto"/>
            <w:shd w:val="clear" w:color="auto" w:fill="CCEEFF"/>
            <w:vAlign w:val="bottom"/>
          </w:tcPr>
          <w:p w14:paraId="5557010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1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70103"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70104"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w:t>
            </w:r>
          </w:p>
        </w:tc>
        <w:tc>
          <w:tcPr>
            <w:tcW w:w="0" w:type="auto"/>
            <w:shd w:val="clear" w:color="auto" w:fill="CCEEFF"/>
            <w:vAlign w:val="bottom"/>
          </w:tcPr>
          <w:p w14:paraId="5557010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1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70107" w14:textId="77777777" w:rsidR="00F925DD" w:rsidRDefault="00E705D7">
            <w:pPr>
              <w:textAlignment w:val="bottom"/>
              <w:rPr>
                <w:rFonts w:ascii="Times New Roman" w:hAnsi="Times New Roman"/>
                <w:sz w:val="14"/>
                <w:szCs w:val="14"/>
              </w:rPr>
            </w:pPr>
            <w:r>
              <w:rPr>
                <w:rFonts w:ascii="Arial" w:eastAsia="宋体" w:hAnsi="Arial" w:cs="Arial"/>
                <w:sz w:val="14"/>
                <w:szCs w:val="14"/>
              </w:rPr>
              <w:t>$</w:t>
            </w:r>
          </w:p>
        </w:tc>
        <w:tc>
          <w:tcPr>
            <w:tcW w:w="0" w:type="auto"/>
            <w:shd w:val="clear" w:color="auto" w:fill="CCEEFF"/>
            <w:tcMar>
              <w:top w:w="40" w:type="dxa"/>
              <w:bottom w:w="40" w:type="dxa"/>
            </w:tcMar>
            <w:vAlign w:val="bottom"/>
          </w:tcPr>
          <w:p w14:paraId="55570108" w14:textId="77777777" w:rsidR="00F925DD" w:rsidRDefault="00E705D7">
            <w:pPr>
              <w:jc w:val="right"/>
              <w:textAlignment w:val="bottom"/>
              <w:rPr>
                <w:rFonts w:ascii="Times New Roman" w:hAnsi="Times New Roman"/>
                <w:sz w:val="14"/>
                <w:szCs w:val="14"/>
              </w:rPr>
            </w:pPr>
            <w:r>
              <w:rPr>
                <w:rFonts w:ascii="Arial" w:eastAsia="宋体" w:hAnsi="Arial" w:cs="Arial"/>
                <w:sz w:val="14"/>
                <w:szCs w:val="14"/>
              </w:rPr>
              <w:t>.42</w:t>
            </w:r>
          </w:p>
        </w:tc>
        <w:tc>
          <w:tcPr>
            <w:tcW w:w="0" w:type="auto"/>
            <w:shd w:val="clear" w:color="auto" w:fill="CCEEFF"/>
            <w:vAlign w:val="bottom"/>
          </w:tcPr>
          <w:p w14:paraId="55570109" w14:textId="77777777" w:rsidR="00F925DD" w:rsidRDefault="00F925DD">
            <w:pPr>
              <w:textAlignment w:val="bottom"/>
              <w:rPr>
                <w:rFonts w:ascii="Times New Roman" w:hAnsi="Times New Roman"/>
                <w:sz w:val="20"/>
                <w:szCs w:val="20"/>
              </w:rPr>
            </w:pPr>
          </w:p>
        </w:tc>
      </w:tr>
    </w:tbl>
    <w:p w14:paraId="5557010B" w14:textId="77777777" w:rsidR="00F925DD" w:rsidRDefault="00F925DD">
      <w:pPr>
        <w:rPr>
          <w:vanish/>
        </w:rPr>
      </w:pPr>
    </w:p>
    <w:tbl>
      <w:tblPr>
        <w:tblW w:w="13660" w:type="dxa"/>
        <w:tblCellMar>
          <w:left w:w="0" w:type="dxa"/>
          <w:right w:w="0" w:type="dxa"/>
        </w:tblCellMar>
        <w:tblLook w:val="04A0" w:firstRow="1" w:lastRow="0" w:firstColumn="1" w:lastColumn="0" w:noHBand="0" w:noVBand="1"/>
      </w:tblPr>
      <w:tblGrid>
        <w:gridCol w:w="3840"/>
        <w:gridCol w:w="2660"/>
        <w:gridCol w:w="2660"/>
        <w:gridCol w:w="4500"/>
      </w:tblGrid>
      <w:tr w:rsidR="00F925DD" w14:paraId="5557010D" w14:textId="77777777">
        <w:tc>
          <w:tcPr>
            <w:tcW w:w="0" w:type="auto"/>
            <w:gridSpan w:val="4"/>
            <w:shd w:val="clear" w:color="auto" w:fill="auto"/>
            <w:vAlign w:val="center"/>
          </w:tcPr>
          <w:p w14:paraId="5557010C" w14:textId="77777777" w:rsidR="00F925DD" w:rsidRDefault="00F925DD">
            <w:pPr>
              <w:rPr>
                <w:rFonts w:ascii="Times New Roman" w:hAnsi="Times New Roman"/>
                <w:sz w:val="20"/>
                <w:szCs w:val="20"/>
              </w:rPr>
            </w:pPr>
          </w:p>
        </w:tc>
      </w:tr>
      <w:tr w:rsidR="00F925DD" w14:paraId="55570112" w14:textId="77777777">
        <w:tc>
          <w:tcPr>
            <w:tcW w:w="3840" w:type="dxa"/>
            <w:shd w:val="clear" w:color="auto" w:fill="auto"/>
            <w:vAlign w:val="center"/>
          </w:tcPr>
          <w:p w14:paraId="5557010E" w14:textId="77777777" w:rsidR="00F925DD" w:rsidRDefault="00F925DD">
            <w:pPr>
              <w:rPr>
                <w:rFonts w:ascii="Times New Roman" w:hAnsi="Times New Roman"/>
                <w:sz w:val="20"/>
                <w:szCs w:val="20"/>
              </w:rPr>
            </w:pPr>
          </w:p>
        </w:tc>
        <w:tc>
          <w:tcPr>
            <w:tcW w:w="2660" w:type="dxa"/>
            <w:shd w:val="clear" w:color="auto" w:fill="auto"/>
            <w:vAlign w:val="center"/>
          </w:tcPr>
          <w:p w14:paraId="5557010F" w14:textId="77777777" w:rsidR="00F925DD" w:rsidRDefault="00F925DD">
            <w:pPr>
              <w:rPr>
                <w:rFonts w:ascii="Times New Roman" w:hAnsi="Times New Roman"/>
                <w:sz w:val="20"/>
                <w:szCs w:val="20"/>
              </w:rPr>
            </w:pPr>
          </w:p>
        </w:tc>
        <w:tc>
          <w:tcPr>
            <w:tcW w:w="2660" w:type="dxa"/>
            <w:shd w:val="clear" w:color="auto" w:fill="auto"/>
            <w:vAlign w:val="center"/>
          </w:tcPr>
          <w:p w14:paraId="55570110" w14:textId="77777777" w:rsidR="00F925DD" w:rsidRDefault="00F925DD">
            <w:pPr>
              <w:rPr>
                <w:rFonts w:ascii="Times New Roman" w:hAnsi="Times New Roman"/>
                <w:sz w:val="20"/>
                <w:szCs w:val="20"/>
              </w:rPr>
            </w:pPr>
          </w:p>
        </w:tc>
        <w:tc>
          <w:tcPr>
            <w:tcW w:w="4500" w:type="dxa"/>
            <w:shd w:val="clear" w:color="auto" w:fill="auto"/>
            <w:vAlign w:val="center"/>
          </w:tcPr>
          <w:p w14:paraId="55570111" w14:textId="77777777" w:rsidR="00F925DD" w:rsidRDefault="00F925DD">
            <w:pPr>
              <w:rPr>
                <w:rFonts w:ascii="Times New Roman" w:hAnsi="Times New Roman"/>
                <w:sz w:val="20"/>
                <w:szCs w:val="20"/>
              </w:rPr>
            </w:pPr>
          </w:p>
        </w:tc>
      </w:tr>
      <w:tr w:rsidR="00F925DD" w14:paraId="5557011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1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1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1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1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70118"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925DD" w14:paraId="5557011B" w14:textId="77777777">
        <w:trPr>
          <w:tblCellSpacing w:w="0" w:type="dxa"/>
        </w:trPr>
        <w:tc>
          <w:tcPr>
            <w:tcW w:w="240" w:type="dxa"/>
            <w:shd w:val="clear" w:color="auto" w:fill="auto"/>
            <w:vAlign w:val="center"/>
          </w:tcPr>
          <w:p w14:paraId="55570119" w14:textId="77777777" w:rsidR="00F925DD" w:rsidRDefault="00F925DD">
            <w:pPr>
              <w:rPr>
                <w:rFonts w:ascii="Times New Roman" w:hAnsi="Times New Roman"/>
                <w:sz w:val="20"/>
                <w:szCs w:val="20"/>
              </w:rPr>
            </w:pPr>
          </w:p>
        </w:tc>
        <w:tc>
          <w:tcPr>
            <w:tcW w:w="0" w:type="auto"/>
            <w:shd w:val="clear" w:color="auto" w:fill="auto"/>
            <w:vAlign w:val="center"/>
          </w:tcPr>
          <w:p w14:paraId="5557011A" w14:textId="77777777" w:rsidR="00F925DD" w:rsidRDefault="00F925DD">
            <w:pPr>
              <w:rPr>
                <w:rFonts w:ascii="Times New Roman" w:hAnsi="Times New Roman"/>
                <w:sz w:val="20"/>
                <w:szCs w:val="20"/>
              </w:rPr>
            </w:pPr>
          </w:p>
        </w:tc>
      </w:tr>
      <w:tr w:rsidR="00F925DD" w14:paraId="5557011E" w14:textId="77777777">
        <w:trPr>
          <w:tblCellSpacing w:w="0" w:type="dxa"/>
        </w:trPr>
        <w:tc>
          <w:tcPr>
            <w:tcW w:w="0" w:type="auto"/>
            <w:shd w:val="clear" w:color="auto" w:fill="auto"/>
          </w:tcPr>
          <w:p w14:paraId="5557011C" w14:textId="77777777" w:rsidR="00F925DD" w:rsidRDefault="00E705D7">
            <w:pPr>
              <w:spacing w:line="288" w:lineRule="auto"/>
              <w:textAlignment w:val="top"/>
              <w:rPr>
                <w:rFonts w:ascii="Times New Roman" w:hAnsi="Times New Roman"/>
                <w:sz w:val="14"/>
                <w:szCs w:val="14"/>
              </w:rPr>
            </w:pPr>
            <w:r>
              <w:rPr>
                <w:rFonts w:ascii="Arial" w:eastAsia="宋体" w:hAnsi="Arial" w:cs="Arial"/>
                <w:sz w:val="10"/>
                <w:szCs w:val="10"/>
              </w:rPr>
              <w:t>(1)</w:t>
            </w:r>
            <w:r>
              <w:rPr>
                <w:rFonts w:ascii="Arial" w:eastAsia="宋体" w:hAnsi="Arial" w:cs="Arial"/>
                <w:sz w:val="14"/>
                <w:szCs w:val="14"/>
              </w:rPr>
              <w:t> </w:t>
            </w:r>
          </w:p>
        </w:tc>
        <w:tc>
          <w:tcPr>
            <w:tcW w:w="0" w:type="auto"/>
            <w:shd w:val="clear" w:color="auto" w:fill="auto"/>
          </w:tcPr>
          <w:p w14:paraId="5557011D" w14:textId="77777777" w:rsidR="00F925DD" w:rsidRDefault="00E705D7">
            <w:pPr>
              <w:spacing w:line="288" w:lineRule="auto"/>
              <w:jc w:val="both"/>
              <w:textAlignment w:val="top"/>
              <w:rPr>
                <w:rFonts w:ascii="Times New Roman" w:hAnsi="Times New Roman"/>
                <w:sz w:val="14"/>
                <w:szCs w:val="14"/>
              </w:rPr>
            </w:pPr>
            <w:r>
              <w:rPr>
                <w:rFonts w:ascii="Arial" w:eastAsia="宋体" w:hAnsi="Arial" w:cs="Arial"/>
                <w:sz w:val="14"/>
                <w:szCs w:val="14"/>
              </w:rPr>
              <w:t xml:space="preserve">The amounts for 2018 were updated from previously reported amounts due to the </w:t>
            </w:r>
            <w:r>
              <w:rPr>
                <w:rFonts w:ascii="Arial" w:eastAsia="宋体" w:hAnsi="Arial" w:cs="Arial"/>
                <w:sz w:val="14"/>
                <w:szCs w:val="14"/>
              </w:rPr>
              <w:t>change in accounting method that we made during the first quarter of 2019. We voluntarily changed our accounting method under the FASB ASC 323, Investments - Equity Method and Joint Ventures, for investments in low income housing tax credit (LIHTC) from th</w:t>
            </w:r>
            <w:r>
              <w:rPr>
                <w:rFonts w:ascii="Arial" w:eastAsia="宋体" w:hAnsi="Arial" w:cs="Arial"/>
                <w:sz w:val="14"/>
                <w:szCs w:val="14"/>
              </w:rPr>
              <w:t>e equity method of accounting to the proportional amortization method of accounting. Additional information about the effect of the changes on the financial statement line items for prior periods is provided by Exhibit 99.2 to our Current Report on Form 8-</w:t>
            </w:r>
            <w:r>
              <w:rPr>
                <w:rFonts w:ascii="Arial" w:eastAsia="宋体" w:hAnsi="Arial" w:cs="Arial"/>
                <w:sz w:val="14"/>
                <w:szCs w:val="14"/>
              </w:rPr>
              <w:t>K filed with the SEC on May 2, 2019.</w:t>
            </w:r>
          </w:p>
        </w:tc>
      </w:tr>
    </w:tbl>
    <w:p w14:paraId="5557011F" w14:textId="77777777" w:rsidR="00F925DD" w:rsidRDefault="00F925DD">
      <w:pPr>
        <w:rPr>
          <w:vanish/>
        </w:rPr>
      </w:pPr>
    </w:p>
    <w:tbl>
      <w:tblPr>
        <w:tblW w:w="0" w:type="auto"/>
        <w:tblCellSpacing w:w="0" w:type="dxa"/>
        <w:tblCellMar>
          <w:left w:w="0" w:type="dxa"/>
          <w:right w:w="0" w:type="dxa"/>
        </w:tblCellMar>
        <w:tblLook w:val="04A0" w:firstRow="1" w:lastRow="0" w:firstColumn="1" w:lastColumn="0" w:noHBand="0" w:noVBand="1"/>
      </w:tblPr>
      <w:tblGrid>
        <w:gridCol w:w="240"/>
        <w:gridCol w:w="8066"/>
      </w:tblGrid>
      <w:tr w:rsidR="00F925DD" w14:paraId="55570122" w14:textId="77777777">
        <w:trPr>
          <w:tblCellSpacing w:w="0" w:type="dxa"/>
        </w:trPr>
        <w:tc>
          <w:tcPr>
            <w:tcW w:w="240" w:type="dxa"/>
            <w:shd w:val="clear" w:color="auto" w:fill="auto"/>
            <w:vAlign w:val="center"/>
          </w:tcPr>
          <w:p w14:paraId="55570120" w14:textId="77777777" w:rsidR="00F925DD" w:rsidRDefault="00F925DD">
            <w:pPr>
              <w:rPr>
                <w:rFonts w:ascii="Times New Roman" w:hAnsi="Times New Roman"/>
                <w:sz w:val="20"/>
                <w:szCs w:val="20"/>
              </w:rPr>
            </w:pPr>
          </w:p>
        </w:tc>
        <w:tc>
          <w:tcPr>
            <w:tcW w:w="0" w:type="auto"/>
            <w:shd w:val="clear" w:color="auto" w:fill="auto"/>
            <w:vAlign w:val="center"/>
          </w:tcPr>
          <w:p w14:paraId="55570121" w14:textId="77777777" w:rsidR="00F925DD" w:rsidRDefault="00F925DD">
            <w:pPr>
              <w:rPr>
                <w:rFonts w:ascii="Times New Roman" w:hAnsi="Times New Roman"/>
                <w:sz w:val="20"/>
                <w:szCs w:val="20"/>
              </w:rPr>
            </w:pPr>
          </w:p>
        </w:tc>
      </w:tr>
      <w:tr w:rsidR="00F925DD" w14:paraId="55570125" w14:textId="77777777">
        <w:trPr>
          <w:tblCellSpacing w:w="0" w:type="dxa"/>
        </w:trPr>
        <w:tc>
          <w:tcPr>
            <w:tcW w:w="0" w:type="auto"/>
            <w:shd w:val="clear" w:color="auto" w:fill="auto"/>
          </w:tcPr>
          <w:p w14:paraId="55570123" w14:textId="77777777" w:rsidR="00F925DD" w:rsidRDefault="00E705D7">
            <w:pPr>
              <w:spacing w:line="288" w:lineRule="auto"/>
              <w:textAlignment w:val="top"/>
              <w:rPr>
                <w:rFonts w:ascii="Times New Roman" w:hAnsi="Times New Roman"/>
                <w:sz w:val="14"/>
                <w:szCs w:val="14"/>
              </w:rPr>
            </w:pPr>
            <w:r>
              <w:rPr>
                <w:rFonts w:ascii="Arial" w:eastAsia="宋体" w:hAnsi="Arial" w:cs="Arial"/>
                <w:sz w:val="10"/>
                <w:szCs w:val="10"/>
              </w:rPr>
              <w:t>(2)</w:t>
            </w:r>
            <w:r>
              <w:rPr>
                <w:rFonts w:ascii="Arial" w:eastAsia="宋体" w:hAnsi="Arial" w:cs="Arial"/>
                <w:sz w:val="14"/>
                <w:szCs w:val="14"/>
              </w:rPr>
              <w:t> </w:t>
            </w:r>
          </w:p>
        </w:tc>
        <w:tc>
          <w:tcPr>
            <w:tcW w:w="0" w:type="auto"/>
            <w:shd w:val="clear" w:color="auto" w:fill="auto"/>
          </w:tcPr>
          <w:p w14:paraId="55570124" w14:textId="77777777" w:rsidR="00F925DD" w:rsidRDefault="00E705D7">
            <w:pPr>
              <w:spacing w:line="288" w:lineRule="auto"/>
              <w:jc w:val="both"/>
              <w:textAlignment w:val="top"/>
              <w:rPr>
                <w:rFonts w:ascii="Times New Roman" w:hAnsi="Times New Roman"/>
                <w:sz w:val="14"/>
                <w:szCs w:val="14"/>
              </w:rPr>
            </w:pPr>
            <w:r>
              <w:rPr>
                <w:rFonts w:ascii="Arial" w:eastAsia="宋体" w:hAnsi="Arial" w:cs="Arial"/>
                <w:sz w:val="14"/>
                <w:szCs w:val="14"/>
              </w:rPr>
              <w:t>Basic and diluted earnings per common share for full-year 2019 and basic earnings per common share for full-year 2018 do not equal the sum of the four quarters for the year.</w:t>
            </w:r>
          </w:p>
        </w:tc>
      </w:tr>
    </w:tbl>
    <w:p w14:paraId="55570126" w14:textId="77777777" w:rsidR="00F925DD" w:rsidRDefault="00F925DD">
      <w:pPr>
        <w:spacing w:line="288" w:lineRule="auto"/>
        <w:jc w:val="both"/>
        <w:rPr>
          <w:rFonts w:ascii="Times New Roman" w:hAnsi="Times New Roman"/>
          <w:sz w:val="14"/>
          <w:szCs w:val="14"/>
        </w:rPr>
      </w:pPr>
    </w:p>
    <w:p w14:paraId="55570127" w14:textId="77777777" w:rsidR="00F925DD" w:rsidRDefault="00F925DD">
      <w:pPr>
        <w:spacing w:line="288" w:lineRule="auto"/>
        <w:jc w:val="both"/>
        <w:rPr>
          <w:rFonts w:ascii="Times New Roman" w:hAnsi="Times New Roman"/>
          <w:sz w:val="14"/>
          <w:szCs w:val="14"/>
        </w:rPr>
      </w:pPr>
    </w:p>
    <w:p w14:paraId="55570128" w14:textId="77777777" w:rsidR="00F925DD" w:rsidRDefault="00F925DD">
      <w:pPr>
        <w:rPr>
          <w:rFonts w:ascii="Times New Roman" w:hAnsi="Times New Roman"/>
          <w:sz w:val="20"/>
          <w:szCs w:val="20"/>
        </w:rPr>
      </w:pPr>
    </w:p>
    <w:p w14:paraId="55570129"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 xml:space="preserve">State Street </w:t>
      </w:r>
      <w:r>
        <w:rPr>
          <w:rFonts w:ascii="Arial" w:eastAsia="宋体" w:hAnsi="Arial" w:cs="Arial"/>
          <w:sz w:val="18"/>
          <w:szCs w:val="18"/>
        </w:rPr>
        <w:t>Corporation | 177</w:t>
      </w:r>
    </w:p>
    <w:p w14:paraId="5557012A" w14:textId="77777777" w:rsidR="00F925DD" w:rsidRDefault="00F925DD">
      <w:pPr>
        <w:spacing w:line="288" w:lineRule="auto"/>
        <w:ind w:firstLine="600"/>
        <w:jc w:val="center"/>
        <w:rPr>
          <w:rFonts w:ascii="Times New Roman" w:hAnsi="Times New Roman"/>
          <w:sz w:val="18"/>
          <w:szCs w:val="18"/>
        </w:rPr>
      </w:pPr>
    </w:p>
    <w:p w14:paraId="5557012B" w14:textId="77777777" w:rsidR="00F925DD" w:rsidRDefault="00E705D7">
      <w:r>
        <w:rPr>
          <w:rFonts w:ascii="Times New Roman" w:hAnsi="Times New Roman"/>
          <w:sz w:val="18"/>
          <w:szCs w:val="18"/>
        </w:rPr>
        <w:pict w14:anchorId="555706EB">
          <v:rect id="_x0000_i1201" style="width:415.3pt;height:1.5pt" o:hralign="center" o:hrstd="t" o:hr="t" fillcolor="#a0a0a0" stroked="f"/>
        </w:pict>
      </w:r>
    </w:p>
    <w:p w14:paraId="5557012C" w14:textId="77777777" w:rsidR="00F925DD" w:rsidRDefault="00F925DD">
      <w:pPr>
        <w:spacing w:line="288" w:lineRule="auto"/>
        <w:ind w:firstLine="600"/>
        <w:rPr>
          <w:rFonts w:ascii="Times New Roman" w:hAnsi="Times New Roman"/>
          <w:sz w:val="18"/>
          <w:szCs w:val="18"/>
        </w:rPr>
      </w:pPr>
    </w:p>
    <w:p w14:paraId="5557012D" w14:textId="77777777" w:rsidR="00F925DD" w:rsidRDefault="00F925DD">
      <w:pPr>
        <w:spacing w:line="288" w:lineRule="auto"/>
        <w:ind w:firstLine="600"/>
        <w:jc w:val="center"/>
        <w:rPr>
          <w:rFonts w:ascii="Times New Roman" w:hAnsi="Times New Roman"/>
          <w:sz w:val="20"/>
          <w:szCs w:val="20"/>
        </w:rPr>
      </w:pPr>
    </w:p>
    <w:p w14:paraId="5557012E" w14:textId="77777777" w:rsidR="00F925DD" w:rsidRDefault="00F925D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914"/>
        <w:gridCol w:w="3239"/>
        <w:gridCol w:w="997"/>
        <w:gridCol w:w="3156"/>
      </w:tblGrid>
      <w:tr w:rsidR="00F925DD" w14:paraId="55570130" w14:textId="77777777">
        <w:tc>
          <w:tcPr>
            <w:tcW w:w="0" w:type="auto"/>
            <w:gridSpan w:val="4"/>
            <w:shd w:val="clear" w:color="auto" w:fill="auto"/>
            <w:vAlign w:val="center"/>
          </w:tcPr>
          <w:p w14:paraId="5557012F" w14:textId="77777777" w:rsidR="00F925DD" w:rsidRDefault="00F925DD">
            <w:pPr>
              <w:rPr>
                <w:rFonts w:ascii="Times New Roman" w:hAnsi="Times New Roman"/>
                <w:sz w:val="20"/>
                <w:szCs w:val="20"/>
              </w:rPr>
            </w:pPr>
          </w:p>
        </w:tc>
      </w:tr>
      <w:tr w:rsidR="00F925DD" w14:paraId="55570135" w14:textId="77777777">
        <w:tc>
          <w:tcPr>
            <w:tcW w:w="550" w:type="pct"/>
            <w:shd w:val="clear" w:color="auto" w:fill="auto"/>
            <w:vAlign w:val="center"/>
          </w:tcPr>
          <w:p w14:paraId="55570131" w14:textId="77777777" w:rsidR="00F925DD" w:rsidRDefault="00F925DD">
            <w:pPr>
              <w:rPr>
                <w:rFonts w:ascii="Times New Roman" w:hAnsi="Times New Roman"/>
                <w:sz w:val="20"/>
                <w:szCs w:val="20"/>
              </w:rPr>
            </w:pPr>
          </w:p>
        </w:tc>
        <w:tc>
          <w:tcPr>
            <w:tcW w:w="1950" w:type="pct"/>
            <w:shd w:val="clear" w:color="auto" w:fill="auto"/>
            <w:vAlign w:val="center"/>
          </w:tcPr>
          <w:p w14:paraId="55570132" w14:textId="77777777" w:rsidR="00F925DD" w:rsidRDefault="00F925DD">
            <w:pPr>
              <w:rPr>
                <w:rFonts w:ascii="Times New Roman" w:hAnsi="Times New Roman"/>
                <w:sz w:val="20"/>
                <w:szCs w:val="20"/>
              </w:rPr>
            </w:pPr>
          </w:p>
        </w:tc>
        <w:tc>
          <w:tcPr>
            <w:tcW w:w="600" w:type="pct"/>
            <w:shd w:val="clear" w:color="auto" w:fill="auto"/>
            <w:vAlign w:val="center"/>
          </w:tcPr>
          <w:p w14:paraId="55570133" w14:textId="77777777" w:rsidR="00F925DD" w:rsidRDefault="00F925DD">
            <w:pPr>
              <w:rPr>
                <w:rFonts w:ascii="Times New Roman" w:hAnsi="Times New Roman"/>
                <w:sz w:val="20"/>
                <w:szCs w:val="20"/>
              </w:rPr>
            </w:pPr>
          </w:p>
        </w:tc>
        <w:tc>
          <w:tcPr>
            <w:tcW w:w="1900" w:type="pct"/>
            <w:shd w:val="clear" w:color="auto" w:fill="auto"/>
            <w:vAlign w:val="center"/>
          </w:tcPr>
          <w:p w14:paraId="55570134" w14:textId="77777777" w:rsidR="00F925DD" w:rsidRDefault="00F925DD">
            <w:pPr>
              <w:rPr>
                <w:rFonts w:ascii="Times New Roman" w:hAnsi="Times New Roman"/>
                <w:sz w:val="20"/>
                <w:szCs w:val="20"/>
              </w:rPr>
            </w:pPr>
          </w:p>
        </w:tc>
      </w:tr>
      <w:tr w:rsidR="00F925DD" w14:paraId="55570137" w14:textId="77777777">
        <w:tc>
          <w:tcPr>
            <w:tcW w:w="0" w:type="auto"/>
            <w:gridSpan w:val="4"/>
            <w:tcBorders>
              <w:bottom w:val="single" w:sz="8" w:space="0" w:color="000000"/>
            </w:tcBorders>
            <w:shd w:val="clear" w:color="auto" w:fill="auto"/>
            <w:tcMar>
              <w:top w:w="40" w:type="dxa"/>
              <w:left w:w="40" w:type="dxa"/>
              <w:bottom w:w="40" w:type="dxa"/>
              <w:right w:w="40" w:type="dxa"/>
            </w:tcMar>
            <w:vAlign w:val="center"/>
          </w:tcPr>
          <w:p w14:paraId="55570136" w14:textId="77777777" w:rsidR="00F925DD" w:rsidRDefault="00E705D7">
            <w:pPr>
              <w:jc w:val="center"/>
              <w:textAlignment w:val="center"/>
              <w:rPr>
                <w:rFonts w:ascii="Times New Roman" w:hAnsi="Times New Roman"/>
                <w:sz w:val="20"/>
                <w:szCs w:val="20"/>
              </w:rPr>
            </w:pPr>
            <w:r>
              <w:rPr>
                <w:rFonts w:ascii="Arial" w:eastAsia="宋体" w:hAnsi="Arial" w:cs="Arial"/>
                <w:b/>
                <w:bCs/>
                <w:sz w:val="20"/>
                <w:szCs w:val="20"/>
              </w:rPr>
              <w:t>ACRONYMS</w:t>
            </w:r>
          </w:p>
        </w:tc>
      </w:tr>
      <w:tr w:rsidR="00F925DD" w14:paraId="5557013C" w14:textId="77777777">
        <w:tc>
          <w:tcPr>
            <w:tcW w:w="0" w:type="auto"/>
            <w:shd w:val="clear" w:color="auto" w:fill="auto"/>
            <w:tcMar>
              <w:top w:w="40" w:type="dxa"/>
              <w:left w:w="40" w:type="dxa"/>
              <w:bottom w:w="40" w:type="dxa"/>
              <w:right w:w="40" w:type="dxa"/>
            </w:tcMar>
            <w:vAlign w:val="bottom"/>
          </w:tcPr>
          <w:p w14:paraId="5557013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1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1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1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141" w14:textId="77777777">
        <w:tc>
          <w:tcPr>
            <w:tcW w:w="0" w:type="auto"/>
            <w:shd w:val="clear" w:color="auto" w:fill="auto"/>
            <w:tcMar>
              <w:top w:w="40" w:type="dxa"/>
              <w:left w:w="40" w:type="dxa"/>
              <w:bottom w:w="40" w:type="dxa"/>
              <w:right w:w="40" w:type="dxa"/>
            </w:tcMar>
            <w:vAlign w:val="center"/>
          </w:tcPr>
          <w:p w14:paraId="5557013D" w14:textId="77777777" w:rsidR="00F925DD" w:rsidRDefault="00E705D7">
            <w:pPr>
              <w:textAlignment w:val="center"/>
              <w:rPr>
                <w:rFonts w:ascii="Times New Roman" w:hAnsi="Times New Roman"/>
                <w:sz w:val="16"/>
                <w:szCs w:val="16"/>
              </w:rPr>
            </w:pPr>
            <w:r>
              <w:rPr>
                <w:rFonts w:ascii="Arial" w:eastAsia="宋体" w:hAnsi="Arial" w:cs="Arial"/>
                <w:sz w:val="16"/>
                <w:szCs w:val="16"/>
              </w:rPr>
              <w:t>ABS</w:t>
            </w:r>
          </w:p>
        </w:tc>
        <w:tc>
          <w:tcPr>
            <w:tcW w:w="0" w:type="auto"/>
            <w:shd w:val="clear" w:color="auto" w:fill="auto"/>
            <w:tcMar>
              <w:top w:w="40" w:type="dxa"/>
              <w:left w:w="40" w:type="dxa"/>
              <w:bottom w:w="40" w:type="dxa"/>
              <w:right w:w="40" w:type="dxa"/>
            </w:tcMar>
            <w:vAlign w:val="center"/>
          </w:tcPr>
          <w:p w14:paraId="5557013E" w14:textId="77777777" w:rsidR="00F925DD" w:rsidRDefault="00E705D7">
            <w:pPr>
              <w:textAlignment w:val="center"/>
              <w:rPr>
                <w:rFonts w:ascii="Times New Roman" w:hAnsi="Times New Roman"/>
                <w:sz w:val="16"/>
                <w:szCs w:val="16"/>
              </w:rPr>
            </w:pPr>
            <w:r>
              <w:rPr>
                <w:rFonts w:ascii="Arial" w:eastAsia="宋体" w:hAnsi="Arial" w:cs="Arial"/>
                <w:sz w:val="16"/>
                <w:szCs w:val="16"/>
              </w:rPr>
              <w:t>Asset-backed securities</w:t>
            </w:r>
          </w:p>
        </w:tc>
        <w:tc>
          <w:tcPr>
            <w:tcW w:w="0" w:type="auto"/>
            <w:shd w:val="clear" w:color="auto" w:fill="auto"/>
            <w:tcMar>
              <w:top w:w="40" w:type="dxa"/>
              <w:left w:w="40" w:type="dxa"/>
              <w:bottom w:w="40" w:type="dxa"/>
              <w:right w:w="40" w:type="dxa"/>
            </w:tcMar>
            <w:vAlign w:val="center"/>
          </w:tcPr>
          <w:p w14:paraId="5557013F" w14:textId="77777777" w:rsidR="00F925DD" w:rsidRDefault="00E705D7">
            <w:pPr>
              <w:textAlignment w:val="center"/>
              <w:rPr>
                <w:rFonts w:ascii="Times New Roman" w:hAnsi="Times New Roman"/>
                <w:sz w:val="16"/>
                <w:szCs w:val="16"/>
              </w:rPr>
            </w:pPr>
            <w:r>
              <w:rPr>
                <w:rFonts w:ascii="Arial" w:eastAsia="宋体" w:hAnsi="Arial" w:cs="Arial"/>
                <w:sz w:val="16"/>
                <w:szCs w:val="16"/>
              </w:rPr>
              <w:t>LCR</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55570140" w14:textId="77777777" w:rsidR="00F925DD" w:rsidRDefault="00E705D7">
            <w:pPr>
              <w:textAlignment w:val="center"/>
              <w:rPr>
                <w:rFonts w:ascii="Times New Roman" w:hAnsi="Times New Roman"/>
                <w:sz w:val="16"/>
                <w:szCs w:val="16"/>
              </w:rPr>
            </w:pPr>
            <w:r>
              <w:rPr>
                <w:rFonts w:ascii="Arial" w:eastAsia="宋体" w:hAnsi="Arial" w:cs="Arial"/>
                <w:sz w:val="16"/>
                <w:szCs w:val="16"/>
              </w:rPr>
              <w:t>Liquidity coverage ratio</w:t>
            </w:r>
          </w:p>
        </w:tc>
      </w:tr>
      <w:tr w:rsidR="00F925DD" w14:paraId="55570146" w14:textId="77777777">
        <w:tc>
          <w:tcPr>
            <w:tcW w:w="0" w:type="auto"/>
            <w:shd w:val="clear" w:color="auto" w:fill="auto"/>
            <w:tcMar>
              <w:top w:w="40" w:type="dxa"/>
              <w:left w:w="40" w:type="dxa"/>
              <w:bottom w:w="40" w:type="dxa"/>
              <w:right w:w="40" w:type="dxa"/>
            </w:tcMar>
            <w:vAlign w:val="center"/>
          </w:tcPr>
          <w:p w14:paraId="55570142" w14:textId="77777777" w:rsidR="00F925DD" w:rsidRDefault="00E705D7">
            <w:pPr>
              <w:textAlignment w:val="center"/>
              <w:rPr>
                <w:rFonts w:ascii="Times New Roman" w:hAnsi="Times New Roman"/>
                <w:sz w:val="16"/>
                <w:szCs w:val="16"/>
              </w:rPr>
            </w:pPr>
            <w:r>
              <w:rPr>
                <w:rFonts w:ascii="Arial" w:eastAsia="宋体" w:hAnsi="Arial" w:cs="Arial"/>
                <w:sz w:val="16"/>
                <w:szCs w:val="16"/>
              </w:rPr>
              <w:t>AFS</w:t>
            </w:r>
          </w:p>
        </w:tc>
        <w:tc>
          <w:tcPr>
            <w:tcW w:w="0" w:type="auto"/>
            <w:shd w:val="clear" w:color="auto" w:fill="auto"/>
            <w:tcMar>
              <w:top w:w="40" w:type="dxa"/>
              <w:left w:w="40" w:type="dxa"/>
              <w:bottom w:w="40" w:type="dxa"/>
              <w:right w:w="40" w:type="dxa"/>
            </w:tcMar>
            <w:vAlign w:val="center"/>
          </w:tcPr>
          <w:p w14:paraId="55570143" w14:textId="77777777" w:rsidR="00F925DD" w:rsidRDefault="00E705D7">
            <w:pPr>
              <w:textAlignment w:val="center"/>
              <w:rPr>
                <w:rFonts w:ascii="Times New Roman" w:hAnsi="Times New Roman"/>
                <w:sz w:val="16"/>
                <w:szCs w:val="16"/>
              </w:rPr>
            </w:pPr>
            <w:r>
              <w:rPr>
                <w:rFonts w:ascii="Arial" w:eastAsia="宋体" w:hAnsi="Arial" w:cs="Arial"/>
                <w:sz w:val="16"/>
                <w:szCs w:val="16"/>
              </w:rPr>
              <w:t>Available-for-sale</w:t>
            </w:r>
          </w:p>
        </w:tc>
        <w:tc>
          <w:tcPr>
            <w:tcW w:w="0" w:type="auto"/>
            <w:shd w:val="clear" w:color="auto" w:fill="auto"/>
            <w:tcMar>
              <w:top w:w="40" w:type="dxa"/>
              <w:left w:w="40" w:type="dxa"/>
              <w:bottom w:w="40" w:type="dxa"/>
              <w:right w:w="40" w:type="dxa"/>
            </w:tcMar>
            <w:vAlign w:val="center"/>
          </w:tcPr>
          <w:p w14:paraId="55570144" w14:textId="77777777" w:rsidR="00F925DD" w:rsidRDefault="00E705D7">
            <w:pPr>
              <w:textAlignment w:val="center"/>
              <w:rPr>
                <w:rFonts w:ascii="Times New Roman" w:hAnsi="Times New Roman"/>
                <w:sz w:val="16"/>
                <w:szCs w:val="16"/>
              </w:rPr>
            </w:pPr>
            <w:r>
              <w:rPr>
                <w:rFonts w:ascii="Arial" w:eastAsia="宋体" w:hAnsi="Arial" w:cs="Arial"/>
                <w:sz w:val="16"/>
                <w:szCs w:val="16"/>
              </w:rPr>
              <w:t>LIHTC</w:t>
            </w:r>
          </w:p>
        </w:tc>
        <w:tc>
          <w:tcPr>
            <w:tcW w:w="0" w:type="auto"/>
            <w:shd w:val="clear" w:color="auto" w:fill="auto"/>
            <w:tcMar>
              <w:top w:w="40" w:type="dxa"/>
              <w:left w:w="40" w:type="dxa"/>
              <w:bottom w:w="40" w:type="dxa"/>
              <w:right w:w="40" w:type="dxa"/>
            </w:tcMar>
            <w:vAlign w:val="center"/>
          </w:tcPr>
          <w:p w14:paraId="55570145" w14:textId="77777777" w:rsidR="00F925DD" w:rsidRDefault="00E705D7">
            <w:pPr>
              <w:textAlignment w:val="center"/>
              <w:rPr>
                <w:rFonts w:ascii="Times New Roman" w:hAnsi="Times New Roman"/>
                <w:sz w:val="16"/>
                <w:szCs w:val="16"/>
              </w:rPr>
            </w:pPr>
            <w:r>
              <w:rPr>
                <w:rFonts w:ascii="Arial" w:eastAsia="宋体" w:hAnsi="Arial" w:cs="Arial"/>
                <w:sz w:val="16"/>
                <w:szCs w:val="16"/>
              </w:rPr>
              <w:t>Low income housing tax credits</w:t>
            </w:r>
          </w:p>
        </w:tc>
      </w:tr>
      <w:tr w:rsidR="00F925DD" w14:paraId="5557014B" w14:textId="77777777">
        <w:tc>
          <w:tcPr>
            <w:tcW w:w="0" w:type="auto"/>
            <w:shd w:val="clear" w:color="auto" w:fill="auto"/>
            <w:tcMar>
              <w:top w:w="40" w:type="dxa"/>
              <w:left w:w="40" w:type="dxa"/>
              <w:bottom w:w="40" w:type="dxa"/>
              <w:right w:w="40" w:type="dxa"/>
            </w:tcMar>
            <w:vAlign w:val="center"/>
          </w:tcPr>
          <w:p w14:paraId="55570147" w14:textId="77777777" w:rsidR="00F925DD" w:rsidRDefault="00E705D7">
            <w:pPr>
              <w:textAlignment w:val="center"/>
              <w:rPr>
                <w:rFonts w:ascii="Times New Roman" w:hAnsi="Times New Roman"/>
                <w:sz w:val="16"/>
                <w:szCs w:val="16"/>
              </w:rPr>
            </w:pPr>
            <w:r>
              <w:rPr>
                <w:rFonts w:ascii="Arial" w:eastAsia="宋体" w:hAnsi="Arial" w:cs="Arial"/>
                <w:sz w:val="16"/>
                <w:szCs w:val="16"/>
              </w:rPr>
              <w:t>AML</w:t>
            </w:r>
          </w:p>
        </w:tc>
        <w:tc>
          <w:tcPr>
            <w:tcW w:w="0" w:type="auto"/>
            <w:shd w:val="clear" w:color="auto" w:fill="auto"/>
            <w:tcMar>
              <w:top w:w="40" w:type="dxa"/>
              <w:left w:w="40" w:type="dxa"/>
              <w:bottom w:w="40" w:type="dxa"/>
              <w:right w:w="40" w:type="dxa"/>
            </w:tcMar>
            <w:vAlign w:val="center"/>
          </w:tcPr>
          <w:p w14:paraId="55570148" w14:textId="77777777" w:rsidR="00F925DD" w:rsidRDefault="00E705D7">
            <w:pPr>
              <w:textAlignment w:val="center"/>
              <w:rPr>
                <w:rFonts w:ascii="Times New Roman" w:hAnsi="Times New Roman"/>
                <w:sz w:val="16"/>
                <w:szCs w:val="16"/>
              </w:rPr>
            </w:pPr>
            <w:r>
              <w:rPr>
                <w:rFonts w:ascii="Arial" w:eastAsia="宋体" w:hAnsi="Arial" w:cs="Arial"/>
                <w:sz w:val="16"/>
                <w:szCs w:val="16"/>
              </w:rPr>
              <w:t>Anti-money laundering</w:t>
            </w:r>
          </w:p>
        </w:tc>
        <w:tc>
          <w:tcPr>
            <w:tcW w:w="0" w:type="auto"/>
            <w:shd w:val="clear" w:color="auto" w:fill="auto"/>
            <w:tcMar>
              <w:top w:w="40" w:type="dxa"/>
              <w:left w:w="40" w:type="dxa"/>
              <w:bottom w:w="40" w:type="dxa"/>
              <w:right w:w="40" w:type="dxa"/>
            </w:tcMar>
            <w:vAlign w:val="center"/>
          </w:tcPr>
          <w:p w14:paraId="55570149" w14:textId="77777777" w:rsidR="00F925DD" w:rsidRDefault="00E705D7">
            <w:pPr>
              <w:textAlignment w:val="center"/>
              <w:rPr>
                <w:rFonts w:ascii="Times New Roman" w:hAnsi="Times New Roman"/>
                <w:sz w:val="16"/>
                <w:szCs w:val="16"/>
              </w:rPr>
            </w:pPr>
            <w:r>
              <w:rPr>
                <w:rFonts w:ascii="Arial" w:eastAsia="宋体" w:hAnsi="Arial" w:cs="Arial"/>
                <w:sz w:val="16"/>
                <w:szCs w:val="16"/>
              </w:rPr>
              <w:t>LDA model</w:t>
            </w:r>
          </w:p>
        </w:tc>
        <w:tc>
          <w:tcPr>
            <w:tcW w:w="0" w:type="auto"/>
            <w:shd w:val="clear" w:color="auto" w:fill="auto"/>
            <w:tcMar>
              <w:top w:w="40" w:type="dxa"/>
              <w:left w:w="40" w:type="dxa"/>
              <w:bottom w:w="40" w:type="dxa"/>
              <w:right w:w="40" w:type="dxa"/>
            </w:tcMar>
            <w:vAlign w:val="center"/>
          </w:tcPr>
          <w:p w14:paraId="5557014A" w14:textId="77777777" w:rsidR="00F925DD" w:rsidRDefault="00E705D7">
            <w:pPr>
              <w:textAlignment w:val="center"/>
              <w:rPr>
                <w:rFonts w:ascii="Times New Roman" w:hAnsi="Times New Roman"/>
                <w:sz w:val="16"/>
                <w:szCs w:val="16"/>
              </w:rPr>
            </w:pPr>
            <w:r>
              <w:rPr>
                <w:rFonts w:ascii="Arial" w:eastAsia="宋体" w:hAnsi="Arial" w:cs="Arial"/>
                <w:sz w:val="16"/>
                <w:szCs w:val="16"/>
              </w:rPr>
              <w:t>Loss distribution approach model</w:t>
            </w:r>
          </w:p>
        </w:tc>
      </w:tr>
      <w:tr w:rsidR="00F925DD" w14:paraId="55570150" w14:textId="77777777">
        <w:tc>
          <w:tcPr>
            <w:tcW w:w="0" w:type="auto"/>
            <w:shd w:val="clear" w:color="auto" w:fill="auto"/>
            <w:tcMar>
              <w:top w:w="40" w:type="dxa"/>
              <w:left w:w="40" w:type="dxa"/>
              <w:bottom w:w="40" w:type="dxa"/>
              <w:right w:w="40" w:type="dxa"/>
            </w:tcMar>
            <w:vAlign w:val="center"/>
          </w:tcPr>
          <w:p w14:paraId="5557014C" w14:textId="77777777" w:rsidR="00F925DD" w:rsidRDefault="00E705D7">
            <w:pPr>
              <w:textAlignment w:val="center"/>
              <w:rPr>
                <w:rFonts w:ascii="Times New Roman" w:hAnsi="Times New Roman"/>
                <w:sz w:val="16"/>
                <w:szCs w:val="16"/>
              </w:rPr>
            </w:pPr>
            <w:r>
              <w:rPr>
                <w:rFonts w:ascii="Arial" w:eastAsia="宋体" w:hAnsi="Arial" w:cs="Arial"/>
                <w:sz w:val="16"/>
                <w:szCs w:val="16"/>
              </w:rPr>
              <w:t>AOCI</w:t>
            </w:r>
          </w:p>
        </w:tc>
        <w:tc>
          <w:tcPr>
            <w:tcW w:w="0" w:type="auto"/>
            <w:shd w:val="clear" w:color="auto" w:fill="auto"/>
            <w:tcMar>
              <w:top w:w="40" w:type="dxa"/>
              <w:left w:w="40" w:type="dxa"/>
              <w:bottom w:w="40" w:type="dxa"/>
              <w:right w:w="40" w:type="dxa"/>
            </w:tcMar>
            <w:vAlign w:val="center"/>
          </w:tcPr>
          <w:p w14:paraId="5557014D" w14:textId="77777777" w:rsidR="00F925DD" w:rsidRDefault="00E705D7">
            <w:pPr>
              <w:textAlignment w:val="center"/>
              <w:rPr>
                <w:rFonts w:ascii="Times New Roman" w:hAnsi="Times New Roman"/>
                <w:sz w:val="16"/>
                <w:szCs w:val="16"/>
              </w:rPr>
            </w:pPr>
            <w:r>
              <w:rPr>
                <w:rFonts w:ascii="Arial" w:eastAsia="宋体" w:hAnsi="Arial" w:cs="Arial"/>
                <w:sz w:val="16"/>
                <w:szCs w:val="16"/>
              </w:rPr>
              <w:t>Accumulated other comprehensive income (loss)</w:t>
            </w:r>
          </w:p>
        </w:tc>
        <w:tc>
          <w:tcPr>
            <w:tcW w:w="0" w:type="auto"/>
            <w:shd w:val="clear" w:color="auto" w:fill="auto"/>
            <w:tcMar>
              <w:top w:w="40" w:type="dxa"/>
              <w:left w:w="40" w:type="dxa"/>
              <w:bottom w:w="40" w:type="dxa"/>
              <w:right w:w="40" w:type="dxa"/>
            </w:tcMar>
            <w:vAlign w:val="center"/>
          </w:tcPr>
          <w:p w14:paraId="5557014E" w14:textId="77777777" w:rsidR="00F925DD" w:rsidRDefault="00E705D7">
            <w:pPr>
              <w:textAlignment w:val="center"/>
              <w:rPr>
                <w:rFonts w:ascii="Times New Roman" w:hAnsi="Times New Roman"/>
                <w:sz w:val="16"/>
                <w:szCs w:val="16"/>
              </w:rPr>
            </w:pPr>
            <w:r>
              <w:rPr>
                <w:rFonts w:ascii="Arial" w:eastAsia="宋体" w:hAnsi="Arial" w:cs="Arial"/>
                <w:sz w:val="16"/>
                <w:szCs w:val="16"/>
              </w:rPr>
              <w:t>LIBOR</w:t>
            </w:r>
          </w:p>
        </w:tc>
        <w:tc>
          <w:tcPr>
            <w:tcW w:w="0" w:type="auto"/>
            <w:shd w:val="clear" w:color="auto" w:fill="auto"/>
            <w:tcMar>
              <w:top w:w="40" w:type="dxa"/>
              <w:left w:w="40" w:type="dxa"/>
              <w:bottom w:w="40" w:type="dxa"/>
              <w:right w:w="40" w:type="dxa"/>
            </w:tcMar>
            <w:vAlign w:val="center"/>
          </w:tcPr>
          <w:p w14:paraId="5557014F" w14:textId="77777777" w:rsidR="00F925DD" w:rsidRDefault="00E705D7">
            <w:pPr>
              <w:textAlignment w:val="center"/>
              <w:rPr>
                <w:rFonts w:ascii="Times New Roman" w:hAnsi="Times New Roman"/>
                <w:sz w:val="16"/>
                <w:szCs w:val="16"/>
              </w:rPr>
            </w:pPr>
            <w:r>
              <w:rPr>
                <w:rFonts w:ascii="Arial" w:eastAsia="宋体" w:hAnsi="Arial" w:cs="Arial"/>
                <w:sz w:val="16"/>
                <w:szCs w:val="16"/>
              </w:rPr>
              <w:t>London Interbank Offered Rate</w:t>
            </w:r>
          </w:p>
        </w:tc>
      </w:tr>
      <w:tr w:rsidR="00F925DD" w14:paraId="55570155" w14:textId="77777777">
        <w:tc>
          <w:tcPr>
            <w:tcW w:w="0" w:type="auto"/>
            <w:shd w:val="clear" w:color="auto" w:fill="auto"/>
            <w:tcMar>
              <w:top w:w="40" w:type="dxa"/>
              <w:left w:w="40" w:type="dxa"/>
              <w:bottom w:w="40" w:type="dxa"/>
              <w:right w:w="40" w:type="dxa"/>
            </w:tcMar>
            <w:vAlign w:val="center"/>
          </w:tcPr>
          <w:p w14:paraId="55570151" w14:textId="77777777" w:rsidR="00F925DD" w:rsidRDefault="00E705D7">
            <w:pPr>
              <w:textAlignment w:val="center"/>
              <w:rPr>
                <w:rFonts w:ascii="Times New Roman" w:hAnsi="Times New Roman"/>
                <w:sz w:val="16"/>
                <w:szCs w:val="16"/>
              </w:rPr>
            </w:pPr>
            <w:r>
              <w:rPr>
                <w:rFonts w:ascii="Arial" w:eastAsia="宋体" w:hAnsi="Arial" w:cs="Arial"/>
                <w:sz w:val="16"/>
                <w:szCs w:val="16"/>
              </w:rPr>
              <w:t>ASU</w:t>
            </w:r>
          </w:p>
        </w:tc>
        <w:tc>
          <w:tcPr>
            <w:tcW w:w="0" w:type="auto"/>
            <w:shd w:val="clear" w:color="auto" w:fill="auto"/>
            <w:tcMar>
              <w:top w:w="40" w:type="dxa"/>
              <w:left w:w="40" w:type="dxa"/>
              <w:bottom w:w="40" w:type="dxa"/>
              <w:right w:w="40" w:type="dxa"/>
            </w:tcMar>
            <w:vAlign w:val="center"/>
          </w:tcPr>
          <w:p w14:paraId="55570152" w14:textId="77777777" w:rsidR="00F925DD" w:rsidRDefault="00E705D7">
            <w:pPr>
              <w:textAlignment w:val="center"/>
              <w:rPr>
                <w:rFonts w:ascii="Times New Roman" w:hAnsi="Times New Roman"/>
                <w:sz w:val="16"/>
                <w:szCs w:val="16"/>
              </w:rPr>
            </w:pPr>
            <w:r>
              <w:rPr>
                <w:rFonts w:ascii="Arial" w:eastAsia="宋体" w:hAnsi="Arial" w:cs="Arial"/>
                <w:sz w:val="16"/>
                <w:szCs w:val="16"/>
              </w:rPr>
              <w:t>Accounting Standards Update</w:t>
            </w:r>
          </w:p>
        </w:tc>
        <w:tc>
          <w:tcPr>
            <w:tcW w:w="0" w:type="auto"/>
            <w:shd w:val="clear" w:color="auto" w:fill="auto"/>
            <w:tcMar>
              <w:top w:w="40" w:type="dxa"/>
              <w:left w:w="40" w:type="dxa"/>
              <w:bottom w:w="40" w:type="dxa"/>
              <w:right w:w="40" w:type="dxa"/>
            </w:tcMar>
            <w:vAlign w:val="center"/>
          </w:tcPr>
          <w:p w14:paraId="55570153" w14:textId="77777777" w:rsidR="00F925DD" w:rsidRDefault="00E705D7">
            <w:pPr>
              <w:textAlignment w:val="center"/>
              <w:rPr>
                <w:rFonts w:ascii="Times New Roman" w:hAnsi="Times New Roman"/>
                <w:sz w:val="16"/>
                <w:szCs w:val="16"/>
              </w:rPr>
            </w:pPr>
            <w:r>
              <w:rPr>
                <w:rFonts w:ascii="Arial" w:eastAsia="宋体" w:hAnsi="Arial" w:cs="Arial"/>
                <w:sz w:val="16"/>
                <w:szCs w:val="16"/>
              </w:rPr>
              <w:t>LTD</w:t>
            </w:r>
          </w:p>
        </w:tc>
        <w:tc>
          <w:tcPr>
            <w:tcW w:w="0" w:type="auto"/>
            <w:shd w:val="clear" w:color="auto" w:fill="auto"/>
            <w:tcMar>
              <w:top w:w="40" w:type="dxa"/>
              <w:left w:w="40" w:type="dxa"/>
              <w:bottom w:w="40" w:type="dxa"/>
              <w:right w:w="40" w:type="dxa"/>
            </w:tcMar>
            <w:vAlign w:val="center"/>
          </w:tcPr>
          <w:p w14:paraId="55570154" w14:textId="77777777" w:rsidR="00F925DD" w:rsidRDefault="00E705D7">
            <w:pPr>
              <w:textAlignment w:val="center"/>
              <w:rPr>
                <w:rFonts w:ascii="Times New Roman" w:hAnsi="Times New Roman"/>
                <w:sz w:val="16"/>
                <w:szCs w:val="16"/>
              </w:rPr>
            </w:pPr>
            <w:r>
              <w:rPr>
                <w:rFonts w:ascii="Arial" w:eastAsia="宋体" w:hAnsi="Arial" w:cs="Arial"/>
                <w:sz w:val="16"/>
                <w:szCs w:val="16"/>
              </w:rPr>
              <w:t>Long-term debt</w:t>
            </w:r>
          </w:p>
        </w:tc>
      </w:tr>
      <w:tr w:rsidR="00F925DD" w14:paraId="5557015A" w14:textId="77777777">
        <w:tc>
          <w:tcPr>
            <w:tcW w:w="0" w:type="auto"/>
            <w:shd w:val="clear" w:color="auto" w:fill="auto"/>
            <w:tcMar>
              <w:top w:w="40" w:type="dxa"/>
              <w:left w:w="40" w:type="dxa"/>
              <w:bottom w:w="40" w:type="dxa"/>
              <w:right w:w="40" w:type="dxa"/>
            </w:tcMar>
            <w:vAlign w:val="center"/>
          </w:tcPr>
          <w:p w14:paraId="55570156" w14:textId="77777777" w:rsidR="00F925DD" w:rsidRDefault="00E705D7">
            <w:pPr>
              <w:textAlignment w:val="center"/>
              <w:rPr>
                <w:rFonts w:ascii="Times New Roman" w:hAnsi="Times New Roman"/>
                <w:sz w:val="16"/>
                <w:szCs w:val="16"/>
              </w:rPr>
            </w:pPr>
            <w:r>
              <w:rPr>
                <w:rFonts w:ascii="Arial" w:eastAsia="宋体" w:hAnsi="Arial" w:cs="Arial"/>
                <w:sz w:val="16"/>
                <w:szCs w:val="16"/>
              </w:rPr>
              <w:t>AUC/A</w:t>
            </w:r>
          </w:p>
        </w:tc>
        <w:tc>
          <w:tcPr>
            <w:tcW w:w="0" w:type="auto"/>
            <w:shd w:val="clear" w:color="auto" w:fill="auto"/>
            <w:tcMar>
              <w:top w:w="40" w:type="dxa"/>
              <w:left w:w="40" w:type="dxa"/>
              <w:bottom w:w="40" w:type="dxa"/>
              <w:right w:w="40" w:type="dxa"/>
            </w:tcMar>
            <w:vAlign w:val="center"/>
          </w:tcPr>
          <w:p w14:paraId="55570157" w14:textId="77777777" w:rsidR="00F925DD" w:rsidRDefault="00E705D7">
            <w:pPr>
              <w:textAlignment w:val="center"/>
              <w:rPr>
                <w:rFonts w:ascii="Times New Roman" w:hAnsi="Times New Roman"/>
                <w:sz w:val="16"/>
                <w:szCs w:val="16"/>
              </w:rPr>
            </w:pPr>
            <w:r>
              <w:rPr>
                <w:rFonts w:ascii="Arial" w:eastAsia="宋体" w:hAnsi="Arial" w:cs="Arial"/>
                <w:sz w:val="16"/>
                <w:szCs w:val="16"/>
              </w:rPr>
              <w:t>Assets under custody and/or administration</w:t>
            </w:r>
          </w:p>
        </w:tc>
        <w:tc>
          <w:tcPr>
            <w:tcW w:w="0" w:type="auto"/>
            <w:shd w:val="clear" w:color="auto" w:fill="auto"/>
            <w:tcMar>
              <w:top w:w="40" w:type="dxa"/>
              <w:left w:w="40" w:type="dxa"/>
              <w:bottom w:w="40" w:type="dxa"/>
              <w:right w:w="40" w:type="dxa"/>
            </w:tcMar>
            <w:vAlign w:val="center"/>
          </w:tcPr>
          <w:p w14:paraId="55570158" w14:textId="77777777" w:rsidR="00F925DD" w:rsidRDefault="00E705D7">
            <w:pPr>
              <w:textAlignment w:val="center"/>
              <w:rPr>
                <w:rFonts w:ascii="Times New Roman" w:hAnsi="Times New Roman"/>
                <w:sz w:val="16"/>
                <w:szCs w:val="16"/>
              </w:rPr>
            </w:pPr>
            <w:r>
              <w:rPr>
                <w:rFonts w:ascii="Arial" w:eastAsia="宋体" w:hAnsi="Arial" w:cs="Arial"/>
                <w:sz w:val="16"/>
                <w:szCs w:val="16"/>
              </w:rPr>
              <w:t>MBS</w:t>
            </w:r>
          </w:p>
        </w:tc>
        <w:tc>
          <w:tcPr>
            <w:tcW w:w="0" w:type="auto"/>
            <w:shd w:val="clear" w:color="auto" w:fill="auto"/>
            <w:tcMar>
              <w:top w:w="40" w:type="dxa"/>
              <w:left w:w="40" w:type="dxa"/>
              <w:bottom w:w="40" w:type="dxa"/>
              <w:right w:w="40" w:type="dxa"/>
            </w:tcMar>
            <w:vAlign w:val="center"/>
          </w:tcPr>
          <w:p w14:paraId="55570159" w14:textId="77777777" w:rsidR="00F925DD" w:rsidRDefault="00E705D7">
            <w:pPr>
              <w:textAlignment w:val="center"/>
              <w:rPr>
                <w:rFonts w:ascii="Times New Roman" w:hAnsi="Times New Roman"/>
                <w:sz w:val="16"/>
                <w:szCs w:val="16"/>
              </w:rPr>
            </w:pPr>
            <w:r>
              <w:rPr>
                <w:rFonts w:ascii="Arial" w:eastAsia="宋体" w:hAnsi="Arial" w:cs="Arial"/>
                <w:sz w:val="16"/>
                <w:szCs w:val="16"/>
              </w:rPr>
              <w:t>Mortgage-backed securities</w:t>
            </w:r>
          </w:p>
        </w:tc>
      </w:tr>
      <w:tr w:rsidR="00F925DD" w14:paraId="5557015F" w14:textId="77777777">
        <w:tc>
          <w:tcPr>
            <w:tcW w:w="0" w:type="auto"/>
            <w:shd w:val="clear" w:color="auto" w:fill="auto"/>
            <w:tcMar>
              <w:top w:w="40" w:type="dxa"/>
              <w:left w:w="40" w:type="dxa"/>
              <w:bottom w:w="40" w:type="dxa"/>
              <w:right w:w="40" w:type="dxa"/>
            </w:tcMar>
            <w:vAlign w:val="center"/>
          </w:tcPr>
          <w:p w14:paraId="5557015B" w14:textId="77777777" w:rsidR="00F925DD" w:rsidRDefault="00E705D7">
            <w:pPr>
              <w:textAlignment w:val="center"/>
              <w:rPr>
                <w:rFonts w:ascii="Times New Roman" w:hAnsi="Times New Roman"/>
                <w:sz w:val="16"/>
                <w:szCs w:val="16"/>
              </w:rPr>
            </w:pPr>
            <w:r>
              <w:rPr>
                <w:rFonts w:ascii="Arial" w:eastAsia="宋体" w:hAnsi="Arial" w:cs="Arial"/>
                <w:sz w:val="16"/>
                <w:szCs w:val="16"/>
              </w:rPr>
              <w:t>AUM</w:t>
            </w:r>
          </w:p>
        </w:tc>
        <w:tc>
          <w:tcPr>
            <w:tcW w:w="0" w:type="auto"/>
            <w:shd w:val="clear" w:color="auto" w:fill="auto"/>
            <w:tcMar>
              <w:top w:w="40" w:type="dxa"/>
              <w:left w:w="40" w:type="dxa"/>
              <w:bottom w:w="40" w:type="dxa"/>
              <w:right w:w="40" w:type="dxa"/>
            </w:tcMar>
            <w:vAlign w:val="center"/>
          </w:tcPr>
          <w:p w14:paraId="5557015C" w14:textId="77777777" w:rsidR="00F925DD" w:rsidRDefault="00E705D7">
            <w:pPr>
              <w:textAlignment w:val="center"/>
              <w:rPr>
                <w:rFonts w:ascii="Times New Roman" w:hAnsi="Times New Roman"/>
                <w:sz w:val="16"/>
                <w:szCs w:val="16"/>
              </w:rPr>
            </w:pPr>
            <w:r>
              <w:rPr>
                <w:rFonts w:ascii="Arial" w:eastAsia="宋体" w:hAnsi="Arial" w:cs="Arial"/>
                <w:sz w:val="16"/>
                <w:szCs w:val="16"/>
              </w:rPr>
              <w:t>Assets under management</w:t>
            </w:r>
          </w:p>
        </w:tc>
        <w:tc>
          <w:tcPr>
            <w:tcW w:w="0" w:type="auto"/>
            <w:shd w:val="clear" w:color="auto" w:fill="auto"/>
            <w:tcMar>
              <w:top w:w="40" w:type="dxa"/>
              <w:left w:w="40" w:type="dxa"/>
              <w:bottom w:w="40" w:type="dxa"/>
              <w:right w:w="40" w:type="dxa"/>
            </w:tcMar>
            <w:vAlign w:val="center"/>
          </w:tcPr>
          <w:p w14:paraId="5557015D" w14:textId="77777777" w:rsidR="00F925DD" w:rsidRDefault="00E705D7">
            <w:pPr>
              <w:textAlignment w:val="center"/>
              <w:rPr>
                <w:rFonts w:ascii="Times New Roman" w:hAnsi="Times New Roman"/>
                <w:sz w:val="16"/>
                <w:szCs w:val="16"/>
              </w:rPr>
            </w:pPr>
            <w:r>
              <w:rPr>
                <w:rFonts w:ascii="Arial" w:eastAsia="宋体" w:hAnsi="Arial" w:cs="Arial"/>
                <w:sz w:val="16"/>
                <w:szCs w:val="16"/>
              </w:rPr>
              <w:t>MRAC</w:t>
            </w:r>
          </w:p>
        </w:tc>
        <w:tc>
          <w:tcPr>
            <w:tcW w:w="0" w:type="auto"/>
            <w:shd w:val="clear" w:color="auto" w:fill="auto"/>
            <w:tcMar>
              <w:top w:w="40" w:type="dxa"/>
              <w:left w:w="40" w:type="dxa"/>
              <w:bottom w:w="40" w:type="dxa"/>
              <w:right w:w="40" w:type="dxa"/>
            </w:tcMar>
            <w:vAlign w:val="center"/>
          </w:tcPr>
          <w:p w14:paraId="5557015E" w14:textId="77777777" w:rsidR="00F925DD" w:rsidRDefault="00E705D7">
            <w:pPr>
              <w:textAlignment w:val="center"/>
              <w:rPr>
                <w:rFonts w:ascii="Times New Roman" w:hAnsi="Times New Roman"/>
                <w:sz w:val="16"/>
                <w:szCs w:val="16"/>
              </w:rPr>
            </w:pPr>
            <w:r>
              <w:rPr>
                <w:rFonts w:ascii="Arial" w:eastAsia="宋体" w:hAnsi="Arial" w:cs="Arial"/>
                <w:sz w:val="16"/>
                <w:szCs w:val="16"/>
              </w:rPr>
              <w:t>Management Risk and Capital Committee</w:t>
            </w:r>
          </w:p>
        </w:tc>
      </w:tr>
      <w:tr w:rsidR="00F925DD" w14:paraId="55570164" w14:textId="77777777">
        <w:tc>
          <w:tcPr>
            <w:tcW w:w="0" w:type="auto"/>
            <w:shd w:val="clear" w:color="auto" w:fill="auto"/>
            <w:tcMar>
              <w:top w:w="40" w:type="dxa"/>
              <w:left w:w="40" w:type="dxa"/>
              <w:bottom w:w="40" w:type="dxa"/>
              <w:right w:w="40" w:type="dxa"/>
            </w:tcMar>
            <w:vAlign w:val="center"/>
          </w:tcPr>
          <w:p w14:paraId="55570160" w14:textId="77777777" w:rsidR="00F925DD" w:rsidRDefault="00E705D7">
            <w:pPr>
              <w:textAlignment w:val="center"/>
              <w:rPr>
                <w:rFonts w:ascii="Times New Roman" w:hAnsi="Times New Roman"/>
                <w:sz w:val="16"/>
                <w:szCs w:val="16"/>
              </w:rPr>
            </w:pPr>
            <w:r>
              <w:rPr>
                <w:rFonts w:ascii="Arial" w:eastAsia="宋体" w:hAnsi="Arial" w:cs="Arial"/>
                <w:sz w:val="16"/>
                <w:szCs w:val="16"/>
              </w:rPr>
              <w:t>BCRC</w:t>
            </w:r>
          </w:p>
        </w:tc>
        <w:tc>
          <w:tcPr>
            <w:tcW w:w="0" w:type="auto"/>
            <w:shd w:val="clear" w:color="auto" w:fill="auto"/>
            <w:tcMar>
              <w:top w:w="40" w:type="dxa"/>
              <w:left w:w="40" w:type="dxa"/>
              <w:bottom w:w="40" w:type="dxa"/>
              <w:right w:w="40" w:type="dxa"/>
            </w:tcMar>
            <w:vAlign w:val="center"/>
          </w:tcPr>
          <w:p w14:paraId="55570161" w14:textId="77777777" w:rsidR="00F925DD" w:rsidRDefault="00E705D7">
            <w:pPr>
              <w:textAlignment w:val="center"/>
              <w:rPr>
                <w:rFonts w:ascii="Times New Roman" w:hAnsi="Times New Roman"/>
                <w:sz w:val="16"/>
                <w:szCs w:val="16"/>
              </w:rPr>
            </w:pPr>
            <w:r>
              <w:rPr>
                <w:rFonts w:ascii="Arial" w:eastAsia="宋体" w:hAnsi="Arial" w:cs="Arial"/>
                <w:sz w:val="16"/>
                <w:szCs w:val="16"/>
              </w:rPr>
              <w:t>Business Conduct Risk Committee</w:t>
            </w:r>
          </w:p>
        </w:tc>
        <w:tc>
          <w:tcPr>
            <w:tcW w:w="0" w:type="auto"/>
            <w:shd w:val="clear" w:color="auto" w:fill="auto"/>
            <w:tcMar>
              <w:top w:w="40" w:type="dxa"/>
              <w:left w:w="40" w:type="dxa"/>
              <w:bottom w:w="40" w:type="dxa"/>
              <w:right w:w="40" w:type="dxa"/>
            </w:tcMar>
            <w:vAlign w:val="center"/>
          </w:tcPr>
          <w:p w14:paraId="55570162" w14:textId="77777777" w:rsidR="00F925DD" w:rsidRDefault="00E705D7">
            <w:pPr>
              <w:textAlignment w:val="center"/>
              <w:rPr>
                <w:rFonts w:ascii="Times New Roman" w:hAnsi="Times New Roman"/>
                <w:sz w:val="16"/>
                <w:szCs w:val="16"/>
              </w:rPr>
            </w:pPr>
            <w:r>
              <w:rPr>
                <w:rFonts w:ascii="Arial" w:eastAsia="宋体" w:hAnsi="Arial" w:cs="Arial"/>
                <w:sz w:val="16"/>
                <w:szCs w:val="16"/>
              </w:rPr>
              <w:t>MRC</w:t>
            </w:r>
          </w:p>
        </w:tc>
        <w:tc>
          <w:tcPr>
            <w:tcW w:w="0" w:type="auto"/>
            <w:shd w:val="clear" w:color="auto" w:fill="auto"/>
            <w:tcMar>
              <w:top w:w="40" w:type="dxa"/>
              <w:left w:w="40" w:type="dxa"/>
              <w:bottom w:w="40" w:type="dxa"/>
              <w:right w:w="40" w:type="dxa"/>
            </w:tcMar>
            <w:vAlign w:val="center"/>
          </w:tcPr>
          <w:p w14:paraId="55570163" w14:textId="77777777" w:rsidR="00F925DD" w:rsidRDefault="00E705D7">
            <w:pPr>
              <w:textAlignment w:val="center"/>
              <w:rPr>
                <w:rFonts w:ascii="Times New Roman" w:hAnsi="Times New Roman"/>
                <w:sz w:val="16"/>
                <w:szCs w:val="16"/>
              </w:rPr>
            </w:pPr>
            <w:r>
              <w:rPr>
                <w:rFonts w:ascii="Arial" w:eastAsia="宋体" w:hAnsi="Arial" w:cs="Arial"/>
                <w:sz w:val="16"/>
                <w:szCs w:val="16"/>
              </w:rPr>
              <w:t>Model Risk Committee</w:t>
            </w:r>
          </w:p>
        </w:tc>
      </w:tr>
      <w:tr w:rsidR="00F925DD" w14:paraId="55570169" w14:textId="77777777">
        <w:tc>
          <w:tcPr>
            <w:tcW w:w="0" w:type="auto"/>
            <w:shd w:val="clear" w:color="auto" w:fill="auto"/>
            <w:tcMar>
              <w:top w:w="40" w:type="dxa"/>
              <w:left w:w="40" w:type="dxa"/>
              <w:bottom w:w="40" w:type="dxa"/>
              <w:right w:w="40" w:type="dxa"/>
            </w:tcMar>
            <w:vAlign w:val="center"/>
          </w:tcPr>
          <w:p w14:paraId="55570165" w14:textId="77777777" w:rsidR="00F925DD" w:rsidRDefault="00E705D7">
            <w:pPr>
              <w:textAlignment w:val="center"/>
              <w:rPr>
                <w:rFonts w:ascii="Times New Roman" w:hAnsi="Times New Roman"/>
                <w:sz w:val="16"/>
                <w:szCs w:val="16"/>
              </w:rPr>
            </w:pPr>
            <w:r>
              <w:rPr>
                <w:rFonts w:ascii="Arial" w:eastAsia="宋体" w:hAnsi="Arial" w:cs="Arial"/>
                <w:sz w:val="16"/>
                <w:szCs w:val="16"/>
              </w:rPr>
              <w:t>bps</w:t>
            </w:r>
          </w:p>
        </w:tc>
        <w:tc>
          <w:tcPr>
            <w:tcW w:w="0" w:type="auto"/>
            <w:shd w:val="clear" w:color="auto" w:fill="auto"/>
            <w:tcMar>
              <w:top w:w="40" w:type="dxa"/>
              <w:left w:w="40" w:type="dxa"/>
              <w:bottom w:w="40" w:type="dxa"/>
              <w:right w:w="40" w:type="dxa"/>
            </w:tcMar>
            <w:vAlign w:val="center"/>
          </w:tcPr>
          <w:p w14:paraId="55570166" w14:textId="77777777" w:rsidR="00F925DD" w:rsidRDefault="00E705D7">
            <w:pPr>
              <w:textAlignment w:val="center"/>
              <w:rPr>
                <w:rFonts w:ascii="Times New Roman" w:hAnsi="Times New Roman"/>
                <w:sz w:val="16"/>
                <w:szCs w:val="16"/>
              </w:rPr>
            </w:pPr>
            <w:r>
              <w:rPr>
                <w:rFonts w:ascii="Arial" w:eastAsia="宋体" w:hAnsi="Arial" w:cs="Arial"/>
                <w:sz w:val="16"/>
                <w:szCs w:val="16"/>
              </w:rPr>
              <w:t>Basis points</w:t>
            </w:r>
          </w:p>
        </w:tc>
        <w:tc>
          <w:tcPr>
            <w:tcW w:w="0" w:type="auto"/>
            <w:shd w:val="clear" w:color="auto" w:fill="auto"/>
            <w:tcMar>
              <w:top w:w="40" w:type="dxa"/>
              <w:left w:w="40" w:type="dxa"/>
              <w:bottom w:w="40" w:type="dxa"/>
              <w:right w:w="40" w:type="dxa"/>
            </w:tcMar>
            <w:vAlign w:val="center"/>
          </w:tcPr>
          <w:p w14:paraId="55570167" w14:textId="77777777" w:rsidR="00F925DD" w:rsidRDefault="00E705D7">
            <w:pPr>
              <w:textAlignment w:val="center"/>
              <w:rPr>
                <w:rFonts w:ascii="Times New Roman" w:hAnsi="Times New Roman"/>
                <w:sz w:val="16"/>
                <w:szCs w:val="16"/>
              </w:rPr>
            </w:pPr>
            <w:r>
              <w:rPr>
                <w:rFonts w:ascii="Arial" w:eastAsia="宋体" w:hAnsi="Arial" w:cs="Arial"/>
                <w:sz w:val="16"/>
                <w:szCs w:val="16"/>
              </w:rPr>
              <w:t>MRM</w:t>
            </w:r>
          </w:p>
        </w:tc>
        <w:tc>
          <w:tcPr>
            <w:tcW w:w="0" w:type="auto"/>
            <w:shd w:val="clear" w:color="auto" w:fill="auto"/>
            <w:tcMar>
              <w:top w:w="40" w:type="dxa"/>
              <w:left w:w="40" w:type="dxa"/>
              <w:bottom w:w="40" w:type="dxa"/>
              <w:right w:w="40" w:type="dxa"/>
            </w:tcMar>
            <w:vAlign w:val="center"/>
          </w:tcPr>
          <w:p w14:paraId="55570168" w14:textId="77777777" w:rsidR="00F925DD" w:rsidRDefault="00E705D7">
            <w:pPr>
              <w:textAlignment w:val="center"/>
              <w:rPr>
                <w:rFonts w:ascii="Times New Roman" w:hAnsi="Times New Roman"/>
                <w:sz w:val="16"/>
                <w:szCs w:val="16"/>
              </w:rPr>
            </w:pPr>
            <w:r>
              <w:rPr>
                <w:rFonts w:ascii="Arial" w:eastAsia="宋体" w:hAnsi="Arial" w:cs="Arial"/>
                <w:sz w:val="16"/>
                <w:szCs w:val="16"/>
              </w:rPr>
              <w:t>Model Risk Management</w:t>
            </w:r>
          </w:p>
        </w:tc>
      </w:tr>
      <w:tr w:rsidR="00F925DD" w14:paraId="5557016E" w14:textId="77777777">
        <w:tc>
          <w:tcPr>
            <w:tcW w:w="0" w:type="auto"/>
            <w:shd w:val="clear" w:color="auto" w:fill="auto"/>
            <w:tcMar>
              <w:top w:w="40" w:type="dxa"/>
              <w:left w:w="40" w:type="dxa"/>
              <w:bottom w:w="40" w:type="dxa"/>
              <w:right w:w="40" w:type="dxa"/>
            </w:tcMar>
            <w:vAlign w:val="center"/>
          </w:tcPr>
          <w:p w14:paraId="5557016A" w14:textId="77777777" w:rsidR="00F925DD" w:rsidRDefault="00E705D7">
            <w:pPr>
              <w:textAlignment w:val="center"/>
              <w:rPr>
                <w:rFonts w:ascii="Times New Roman" w:hAnsi="Times New Roman"/>
                <w:sz w:val="16"/>
                <w:szCs w:val="16"/>
              </w:rPr>
            </w:pPr>
            <w:r>
              <w:rPr>
                <w:rFonts w:ascii="Arial" w:eastAsia="宋体" w:hAnsi="Arial" w:cs="Arial"/>
                <w:sz w:val="16"/>
                <w:szCs w:val="16"/>
              </w:rPr>
              <w:t>CAP</w:t>
            </w:r>
          </w:p>
        </w:tc>
        <w:tc>
          <w:tcPr>
            <w:tcW w:w="0" w:type="auto"/>
            <w:shd w:val="clear" w:color="auto" w:fill="auto"/>
            <w:tcMar>
              <w:top w:w="40" w:type="dxa"/>
              <w:left w:w="40" w:type="dxa"/>
              <w:bottom w:w="40" w:type="dxa"/>
              <w:right w:w="40" w:type="dxa"/>
            </w:tcMar>
            <w:vAlign w:val="center"/>
          </w:tcPr>
          <w:p w14:paraId="5557016B" w14:textId="77777777" w:rsidR="00F925DD" w:rsidRDefault="00E705D7">
            <w:pPr>
              <w:textAlignment w:val="center"/>
              <w:rPr>
                <w:rFonts w:ascii="Times New Roman" w:hAnsi="Times New Roman"/>
                <w:sz w:val="16"/>
                <w:szCs w:val="16"/>
              </w:rPr>
            </w:pPr>
            <w:r>
              <w:rPr>
                <w:rFonts w:ascii="Arial" w:eastAsia="宋体" w:hAnsi="Arial" w:cs="Arial"/>
                <w:sz w:val="16"/>
                <w:szCs w:val="16"/>
              </w:rPr>
              <w:t>Capital adequacy process</w:t>
            </w:r>
          </w:p>
        </w:tc>
        <w:tc>
          <w:tcPr>
            <w:tcW w:w="0" w:type="auto"/>
            <w:shd w:val="clear" w:color="auto" w:fill="auto"/>
            <w:tcMar>
              <w:top w:w="40" w:type="dxa"/>
              <w:left w:w="40" w:type="dxa"/>
              <w:bottom w:w="40" w:type="dxa"/>
              <w:right w:w="40" w:type="dxa"/>
            </w:tcMar>
            <w:vAlign w:val="center"/>
          </w:tcPr>
          <w:p w14:paraId="5557016C" w14:textId="77777777" w:rsidR="00F925DD" w:rsidRDefault="00E705D7">
            <w:pPr>
              <w:textAlignment w:val="center"/>
              <w:rPr>
                <w:rFonts w:ascii="Times New Roman" w:hAnsi="Times New Roman"/>
                <w:sz w:val="16"/>
                <w:szCs w:val="16"/>
              </w:rPr>
            </w:pPr>
            <w:r>
              <w:rPr>
                <w:rFonts w:ascii="Arial" w:eastAsia="宋体" w:hAnsi="Arial" w:cs="Arial"/>
                <w:sz w:val="16"/>
                <w:szCs w:val="16"/>
              </w:rPr>
              <w:t>MVG</w:t>
            </w:r>
          </w:p>
        </w:tc>
        <w:tc>
          <w:tcPr>
            <w:tcW w:w="0" w:type="auto"/>
            <w:shd w:val="clear" w:color="auto" w:fill="auto"/>
            <w:tcMar>
              <w:top w:w="40" w:type="dxa"/>
              <w:left w:w="40" w:type="dxa"/>
              <w:bottom w:w="40" w:type="dxa"/>
              <w:right w:w="40" w:type="dxa"/>
            </w:tcMar>
            <w:vAlign w:val="center"/>
          </w:tcPr>
          <w:p w14:paraId="5557016D" w14:textId="77777777" w:rsidR="00F925DD" w:rsidRDefault="00E705D7">
            <w:pPr>
              <w:textAlignment w:val="center"/>
              <w:rPr>
                <w:rFonts w:ascii="Times New Roman" w:hAnsi="Times New Roman"/>
                <w:sz w:val="16"/>
                <w:szCs w:val="16"/>
              </w:rPr>
            </w:pPr>
            <w:r>
              <w:rPr>
                <w:rFonts w:ascii="Arial" w:eastAsia="宋体" w:hAnsi="Arial" w:cs="Arial"/>
                <w:sz w:val="16"/>
                <w:szCs w:val="16"/>
              </w:rPr>
              <w:t>Model Validation Group</w:t>
            </w:r>
          </w:p>
        </w:tc>
      </w:tr>
      <w:tr w:rsidR="00F925DD" w14:paraId="55570173" w14:textId="77777777">
        <w:tc>
          <w:tcPr>
            <w:tcW w:w="0" w:type="auto"/>
            <w:shd w:val="clear" w:color="auto" w:fill="auto"/>
            <w:tcMar>
              <w:top w:w="40" w:type="dxa"/>
              <w:left w:w="40" w:type="dxa"/>
              <w:bottom w:w="40" w:type="dxa"/>
              <w:right w:w="40" w:type="dxa"/>
            </w:tcMar>
            <w:vAlign w:val="center"/>
          </w:tcPr>
          <w:p w14:paraId="5557016F" w14:textId="77777777" w:rsidR="00F925DD" w:rsidRDefault="00E705D7">
            <w:pPr>
              <w:textAlignment w:val="center"/>
              <w:rPr>
                <w:rFonts w:ascii="Times New Roman" w:hAnsi="Times New Roman"/>
                <w:sz w:val="16"/>
                <w:szCs w:val="16"/>
              </w:rPr>
            </w:pPr>
            <w:r>
              <w:rPr>
                <w:rFonts w:ascii="Arial" w:eastAsia="宋体" w:hAnsi="Arial" w:cs="Arial"/>
                <w:sz w:val="16"/>
                <w:szCs w:val="16"/>
              </w:rPr>
              <w:t>CCAR</w:t>
            </w:r>
          </w:p>
        </w:tc>
        <w:tc>
          <w:tcPr>
            <w:tcW w:w="0" w:type="auto"/>
            <w:shd w:val="clear" w:color="auto" w:fill="auto"/>
            <w:tcMar>
              <w:top w:w="40" w:type="dxa"/>
              <w:left w:w="40" w:type="dxa"/>
              <w:bottom w:w="40" w:type="dxa"/>
              <w:right w:w="40" w:type="dxa"/>
            </w:tcMar>
            <w:vAlign w:val="center"/>
          </w:tcPr>
          <w:p w14:paraId="55570170" w14:textId="77777777" w:rsidR="00F925DD" w:rsidRDefault="00E705D7">
            <w:pPr>
              <w:textAlignment w:val="center"/>
              <w:rPr>
                <w:rFonts w:ascii="Times New Roman" w:hAnsi="Times New Roman"/>
                <w:sz w:val="16"/>
                <w:szCs w:val="16"/>
              </w:rPr>
            </w:pPr>
            <w:r>
              <w:rPr>
                <w:rFonts w:ascii="Arial" w:eastAsia="宋体" w:hAnsi="Arial" w:cs="Arial"/>
                <w:sz w:val="16"/>
                <w:szCs w:val="16"/>
              </w:rPr>
              <w:t>Comprehensive Capital Analysis and Review</w:t>
            </w:r>
          </w:p>
        </w:tc>
        <w:tc>
          <w:tcPr>
            <w:tcW w:w="0" w:type="auto"/>
            <w:shd w:val="clear" w:color="auto" w:fill="auto"/>
            <w:tcMar>
              <w:top w:w="40" w:type="dxa"/>
              <w:left w:w="40" w:type="dxa"/>
              <w:bottom w:w="40" w:type="dxa"/>
              <w:right w:w="40" w:type="dxa"/>
            </w:tcMar>
            <w:vAlign w:val="center"/>
          </w:tcPr>
          <w:p w14:paraId="55570171" w14:textId="77777777" w:rsidR="00F925DD" w:rsidRDefault="00E705D7">
            <w:pPr>
              <w:textAlignment w:val="center"/>
              <w:rPr>
                <w:rFonts w:ascii="Times New Roman" w:hAnsi="Times New Roman"/>
                <w:sz w:val="16"/>
                <w:szCs w:val="16"/>
              </w:rPr>
            </w:pPr>
            <w:r>
              <w:rPr>
                <w:rFonts w:ascii="Arial" w:eastAsia="宋体" w:hAnsi="Arial" w:cs="Arial"/>
                <w:sz w:val="16"/>
                <w:szCs w:val="16"/>
              </w:rPr>
              <w:t>NII</w:t>
            </w:r>
          </w:p>
        </w:tc>
        <w:tc>
          <w:tcPr>
            <w:tcW w:w="0" w:type="auto"/>
            <w:shd w:val="clear" w:color="auto" w:fill="auto"/>
            <w:tcMar>
              <w:top w:w="40" w:type="dxa"/>
              <w:left w:w="40" w:type="dxa"/>
              <w:bottom w:w="40" w:type="dxa"/>
              <w:right w:w="40" w:type="dxa"/>
            </w:tcMar>
            <w:vAlign w:val="center"/>
          </w:tcPr>
          <w:p w14:paraId="55570172" w14:textId="77777777" w:rsidR="00F925DD" w:rsidRDefault="00E705D7">
            <w:pPr>
              <w:textAlignment w:val="center"/>
              <w:rPr>
                <w:rFonts w:ascii="Times New Roman" w:hAnsi="Times New Roman"/>
                <w:sz w:val="16"/>
                <w:szCs w:val="16"/>
              </w:rPr>
            </w:pPr>
            <w:r>
              <w:rPr>
                <w:rFonts w:ascii="Arial" w:eastAsia="宋体" w:hAnsi="Arial" w:cs="Arial"/>
                <w:sz w:val="16"/>
                <w:szCs w:val="16"/>
              </w:rPr>
              <w:t>Net interest income</w:t>
            </w:r>
          </w:p>
        </w:tc>
      </w:tr>
      <w:tr w:rsidR="00F925DD" w14:paraId="55570178" w14:textId="77777777">
        <w:tc>
          <w:tcPr>
            <w:tcW w:w="0" w:type="auto"/>
            <w:shd w:val="clear" w:color="auto" w:fill="auto"/>
            <w:tcMar>
              <w:top w:w="40" w:type="dxa"/>
              <w:left w:w="40" w:type="dxa"/>
              <w:bottom w:w="40" w:type="dxa"/>
              <w:right w:w="40" w:type="dxa"/>
            </w:tcMar>
            <w:vAlign w:val="center"/>
          </w:tcPr>
          <w:p w14:paraId="55570174" w14:textId="77777777" w:rsidR="00F925DD" w:rsidRDefault="00E705D7">
            <w:pPr>
              <w:textAlignment w:val="center"/>
              <w:rPr>
                <w:rFonts w:ascii="Times New Roman" w:hAnsi="Times New Roman"/>
                <w:sz w:val="16"/>
                <w:szCs w:val="16"/>
              </w:rPr>
            </w:pPr>
            <w:r>
              <w:rPr>
                <w:rFonts w:ascii="Arial" w:eastAsia="宋体" w:hAnsi="Arial" w:cs="Arial"/>
                <w:sz w:val="16"/>
                <w:szCs w:val="16"/>
              </w:rPr>
              <w:t>CRD</w:t>
            </w:r>
          </w:p>
        </w:tc>
        <w:tc>
          <w:tcPr>
            <w:tcW w:w="0" w:type="auto"/>
            <w:shd w:val="clear" w:color="auto" w:fill="auto"/>
            <w:tcMar>
              <w:top w:w="40" w:type="dxa"/>
              <w:left w:w="40" w:type="dxa"/>
              <w:bottom w:w="40" w:type="dxa"/>
              <w:right w:w="40" w:type="dxa"/>
            </w:tcMar>
            <w:vAlign w:val="center"/>
          </w:tcPr>
          <w:p w14:paraId="55570175" w14:textId="77777777" w:rsidR="00F925DD" w:rsidRDefault="00E705D7">
            <w:pPr>
              <w:textAlignment w:val="center"/>
              <w:rPr>
                <w:rFonts w:ascii="Times New Roman" w:hAnsi="Times New Roman"/>
                <w:sz w:val="16"/>
                <w:szCs w:val="16"/>
              </w:rPr>
            </w:pPr>
            <w:r>
              <w:rPr>
                <w:rFonts w:ascii="Arial" w:eastAsia="宋体" w:hAnsi="Arial" w:cs="Arial"/>
                <w:sz w:val="16"/>
                <w:szCs w:val="16"/>
              </w:rPr>
              <w:t>Charles River Development</w:t>
            </w:r>
          </w:p>
        </w:tc>
        <w:tc>
          <w:tcPr>
            <w:tcW w:w="0" w:type="auto"/>
            <w:shd w:val="clear" w:color="auto" w:fill="auto"/>
            <w:tcMar>
              <w:top w:w="40" w:type="dxa"/>
              <w:left w:w="40" w:type="dxa"/>
              <w:bottom w:w="40" w:type="dxa"/>
              <w:right w:w="40" w:type="dxa"/>
            </w:tcMar>
            <w:vAlign w:val="center"/>
          </w:tcPr>
          <w:p w14:paraId="55570176" w14:textId="77777777" w:rsidR="00F925DD" w:rsidRDefault="00E705D7">
            <w:pPr>
              <w:textAlignment w:val="center"/>
              <w:rPr>
                <w:rFonts w:ascii="Times New Roman" w:hAnsi="Times New Roman"/>
                <w:sz w:val="16"/>
                <w:szCs w:val="16"/>
              </w:rPr>
            </w:pPr>
            <w:r>
              <w:rPr>
                <w:rFonts w:ascii="Arial" w:eastAsia="宋体" w:hAnsi="Arial" w:cs="Arial"/>
                <w:sz w:val="16"/>
                <w:szCs w:val="16"/>
              </w:rPr>
              <w:t>NIM</w:t>
            </w:r>
          </w:p>
        </w:tc>
        <w:tc>
          <w:tcPr>
            <w:tcW w:w="0" w:type="auto"/>
            <w:shd w:val="clear" w:color="auto" w:fill="auto"/>
            <w:tcMar>
              <w:top w:w="40" w:type="dxa"/>
              <w:left w:w="40" w:type="dxa"/>
              <w:bottom w:w="40" w:type="dxa"/>
              <w:right w:w="40" w:type="dxa"/>
            </w:tcMar>
            <w:vAlign w:val="center"/>
          </w:tcPr>
          <w:p w14:paraId="55570177" w14:textId="77777777" w:rsidR="00F925DD" w:rsidRDefault="00E705D7">
            <w:pPr>
              <w:textAlignment w:val="center"/>
              <w:rPr>
                <w:rFonts w:ascii="Times New Roman" w:hAnsi="Times New Roman"/>
                <w:sz w:val="16"/>
                <w:szCs w:val="16"/>
              </w:rPr>
            </w:pPr>
            <w:r>
              <w:rPr>
                <w:rFonts w:ascii="Arial" w:eastAsia="宋体" w:hAnsi="Arial" w:cs="Arial"/>
                <w:sz w:val="16"/>
                <w:szCs w:val="16"/>
              </w:rPr>
              <w:t>Net interest margin</w:t>
            </w:r>
          </w:p>
        </w:tc>
      </w:tr>
      <w:tr w:rsidR="00F925DD" w14:paraId="5557017D" w14:textId="77777777">
        <w:tc>
          <w:tcPr>
            <w:tcW w:w="0" w:type="auto"/>
            <w:shd w:val="clear" w:color="auto" w:fill="auto"/>
            <w:tcMar>
              <w:top w:w="40" w:type="dxa"/>
              <w:left w:w="40" w:type="dxa"/>
              <w:bottom w:w="40" w:type="dxa"/>
              <w:right w:w="40" w:type="dxa"/>
            </w:tcMar>
            <w:vAlign w:val="center"/>
          </w:tcPr>
          <w:p w14:paraId="55570179" w14:textId="77777777" w:rsidR="00F925DD" w:rsidRDefault="00E705D7">
            <w:pPr>
              <w:textAlignment w:val="center"/>
              <w:rPr>
                <w:rFonts w:ascii="Times New Roman" w:hAnsi="Times New Roman"/>
                <w:sz w:val="16"/>
                <w:szCs w:val="16"/>
              </w:rPr>
            </w:pPr>
            <w:r>
              <w:rPr>
                <w:rFonts w:ascii="Arial" w:eastAsia="宋体" w:hAnsi="Arial" w:cs="Arial"/>
                <w:sz w:val="16"/>
                <w:szCs w:val="16"/>
              </w:rPr>
              <w:t>CET1</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5557017A" w14:textId="77777777" w:rsidR="00F925DD" w:rsidRDefault="00E705D7">
            <w:pPr>
              <w:textAlignment w:val="center"/>
              <w:rPr>
                <w:rFonts w:ascii="Times New Roman" w:hAnsi="Times New Roman"/>
                <w:sz w:val="16"/>
                <w:szCs w:val="16"/>
              </w:rPr>
            </w:pPr>
            <w:r>
              <w:rPr>
                <w:rFonts w:ascii="Arial" w:eastAsia="宋体" w:hAnsi="Arial" w:cs="Arial"/>
                <w:sz w:val="16"/>
                <w:szCs w:val="16"/>
              </w:rPr>
              <w:t>Common equity tier 1</w:t>
            </w:r>
          </w:p>
        </w:tc>
        <w:tc>
          <w:tcPr>
            <w:tcW w:w="0" w:type="auto"/>
            <w:shd w:val="clear" w:color="auto" w:fill="auto"/>
            <w:tcMar>
              <w:top w:w="40" w:type="dxa"/>
              <w:left w:w="40" w:type="dxa"/>
              <w:bottom w:w="40" w:type="dxa"/>
              <w:right w:w="40" w:type="dxa"/>
            </w:tcMar>
            <w:vAlign w:val="center"/>
          </w:tcPr>
          <w:p w14:paraId="5557017B" w14:textId="77777777" w:rsidR="00F925DD" w:rsidRDefault="00E705D7">
            <w:pPr>
              <w:textAlignment w:val="center"/>
              <w:rPr>
                <w:rFonts w:ascii="Times New Roman" w:hAnsi="Times New Roman"/>
                <w:sz w:val="16"/>
                <w:szCs w:val="16"/>
              </w:rPr>
            </w:pPr>
            <w:r>
              <w:rPr>
                <w:rFonts w:ascii="Arial" w:eastAsia="宋体" w:hAnsi="Arial" w:cs="Arial"/>
                <w:sz w:val="16"/>
                <w:szCs w:val="16"/>
              </w:rPr>
              <w:t>NOL</w:t>
            </w:r>
          </w:p>
        </w:tc>
        <w:tc>
          <w:tcPr>
            <w:tcW w:w="0" w:type="auto"/>
            <w:shd w:val="clear" w:color="auto" w:fill="auto"/>
            <w:tcMar>
              <w:top w:w="40" w:type="dxa"/>
              <w:left w:w="40" w:type="dxa"/>
              <w:bottom w:w="40" w:type="dxa"/>
              <w:right w:w="40" w:type="dxa"/>
            </w:tcMar>
            <w:vAlign w:val="center"/>
          </w:tcPr>
          <w:p w14:paraId="5557017C" w14:textId="77777777" w:rsidR="00F925DD" w:rsidRDefault="00E705D7">
            <w:pPr>
              <w:textAlignment w:val="center"/>
              <w:rPr>
                <w:rFonts w:ascii="Times New Roman" w:hAnsi="Times New Roman"/>
                <w:sz w:val="16"/>
                <w:szCs w:val="16"/>
              </w:rPr>
            </w:pPr>
            <w:r>
              <w:rPr>
                <w:rFonts w:ascii="Arial" w:eastAsia="宋体" w:hAnsi="Arial" w:cs="Arial"/>
                <w:sz w:val="16"/>
                <w:szCs w:val="16"/>
              </w:rPr>
              <w:t>Net Operating Loss</w:t>
            </w:r>
          </w:p>
        </w:tc>
      </w:tr>
      <w:tr w:rsidR="00F925DD" w14:paraId="55570182" w14:textId="77777777">
        <w:tc>
          <w:tcPr>
            <w:tcW w:w="0" w:type="auto"/>
            <w:shd w:val="clear" w:color="auto" w:fill="auto"/>
            <w:tcMar>
              <w:top w:w="40" w:type="dxa"/>
              <w:left w:w="40" w:type="dxa"/>
              <w:bottom w:w="40" w:type="dxa"/>
              <w:right w:w="40" w:type="dxa"/>
            </w:tcMar>
            <w:vAlign w:val="center"/>
          </w:tcPr>
          <w:p w14:paraId="5557017E" w14:textId="77777777" w:rsidR="00F925DD" w:rsidRDefault="00E705D7">
            <w:pPr>
              <w:textAlignment w:val="center"/>
              <w:rPr>
                <w:rFonts w:ascii="Times New Roman" w:hAnsi="Times New Roman"/>
                <w:sz w:val="16"/>
                <w:szCs w:val="16"/>
              </w:rPr>
            </w:pPr>
            <w:r>
              <w:rPr>
                <w:rFonts w:ascii="Arial" w:eastAsia="宋体" w:hAnsi="Arial" w:cs="Arial"/>
                <w:sz w:val="16"/>
                <w:szCs w:val="16"/>
              </w:rPr>
              <w:t>CFTC</w:t>
            </w:r>
          </w:p>
        </w:tc>
        <w:tc>
          <w:tcPr>
            <w:tcW w:w="0" w:type="auto"/>
            <w:shd w:val="clear" w:color="auto" w:fill="auto"/>
            <w:tcMar>
              <w:top w:w="40" w:type="dxa"/>
              <w:left w:w="40" w:type="dxa"/>
              <w:bottom w:w="40" w:type="dxa"/>
              <w:right w:w="40" w:type="dxa"/>
            </w:tcMar>
            <w:vAlign w:val="center"/>
          </w:tcPr>
          <w:p w14:paraId="5557017F" w14:textId="77777777" w:rsidR="00F925DD" w:rsidRDefault="00E705D7">
            <w:pPr>
              <w:textAlignment w:val="center"/>
              <w:rPr>
                <w:rFonts w:ascii="Times New Roman" w:hAnsi="Times New Roman"/>
                <w:sz w:val="16"/>
                <w:szCs w:val="16"/>
              </w:rPr>
            </w:pPr>
            <w:r>
              <w:rPr>
                <w:rFonts w:ascii="Arial" w:eastAsia="宋体" w:hAnsi="Arial" w:cs="Arial"/>
                <w:sz w:val="16"/>
                <w:szCs w:val="16"/>
              </w:rPr>
              <w:t>Commodity Futures Trading Commission</w:t>
            </w:r>
          </w:p>
        </w:tc>
        <w:tc>
          <w:tcPr>
            <w:tcW w:w="0" w:type="auto"/>
            <w:shd w:val="clear" w:color="auto" w:fill="auto"/>
            <w:tcMar>
              <w:top w:w="40" w:type="dxa"/>
              <w:left w:w="40" w:type="dxa"/>
              <w:bottom w:w="40" w:type="dxa"/>
              <w:right w:w="40" w:type="dxa"/>
            </w:tcMar>
            <w:vAlign w:val="center"/>
          </w:tcPr>
          <w:p w14:paraId="55570180" w14:textId="77777777" w:rsidR="00F925DD" w:rsidRDefault="00E705D7">
            <w:pPr>
              <w:textAlignment w:val="center"/>
              <w:rPr>
                <w:rFonts w:ascii="Times New Roman" w:hAnsi="Times New Roman"/>
                <w:sz w:val="16"/>
                <w:szCs w:val="16"/>
              </w:rPr>
            </w:pPr>
            <w:r>
              <w:rPr>
                <w:rFonts w:ascii="Arial" w:eastAsia="宋体" w:hAnsi="Arial" w:cs="Arial"/>
                <w:sz w:val="16"/>
                <w:szCs w:val="16"/>
              </w:rPr>
              <w:t>NSFR</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55570181" w14:textId="77777777" w:rsidR="00F925DD" w:rsidRDefault="00E705D7">
            <w:pPr>
              <w:textAlignment w:val="center"/>
              <w:rPr>
                <w:rFonts w:ascii="Times New Roman" w:hAnsi="Times New Roman"/>
                <w:sz w:val="16"/>
                <w:szCs w:val="16"/>
              </w:rPr>
            </w:pPr>
            <w:r>
              <w:rPr>
                <w:rFonts w:ascii="Arial" w:eastAsia="宋体" w:hAnsi="Arial" w:cs="Arial"/>
                <w:sz w:val="16"/>
                <w:szCs w:val="16"/>
              </w:rPr>
              <w:t>Net stable funding ratio</w:t>
            </w:r>
          </w:p>
        </w:tc>
      </w:tr>
      <w:tr w:rsidR="00F925DD" w14:paraId="55570187" w14:textId="77777777">
        <w:tc>
          <w:tcPr>
            <w:tcW w:w="0" w:type="auto"/>
            <w:shd w:val="clear" w:color="auto" w:fill="auto"/>
            <w:tcMar>
              <w:top w:w="40" w:type="dxa"/>
              <w:left w:w="40" w:type="dxa"/>
              <w:bottom w:w="40" w:type="dxa"/>
              <w:right w:w="40" w:type="dxa"/>
            </w:tcMar>
            <w:vAlign w:val="center"/>
          </w:tcPr>
          <w:p w14:paraId="55570183" w14:textId="77777777" w:rsidR="00F925DD" w:rsidRDefault="00E705D7">
            <w:pPr>
              <w:textAlignment w:val="center"/>
              <w:rPr>
                <w:rFonts w:ascii="Times New Roman" w:hAnsi="Times New Roman"/>
                <w:sz w:val="16"/>
                <w:szCs w:val="16"/>
              </w:rPr>
            </w:pPr>
            <w:r>
              <w:rPr>
                <w:rFonts w:ascii="Arial" w:eastAsia="宋体" w:hAnsi="Arial" w:cs="Arial"/>
                <w:sz w:val="16"/>
                <w:szCs w:val="16"/>
              </w:rPr>
              <w:t>CIS</w:t>
            </w:r>
          </w:p>
        </w:tc>
        <w:tc>
          <w:tcPr>
            <w:tcW w:w="0" w:type="auto"/>
            <w:shd w:val="clear" w:color="auto" w:fill="auto"/>
            <w:tcMar>
              <w:top w:w="40" w:type="dxa"/>
              <w:left w:w="40" w:type="dxa"/>
              <w:bottom w:w="40" w:type="dxa"/>
              <w:right w:w="40" w:type="dxa"/>
            </w:tcMar>
            <w:vAlign w:val="center"/>
          </w:tcPr>
          <w:p w14:paraId="55570184" w14:textId="77777777" w:rsidR="00F925DD" w:rsidRDefault="00E705D7">
            <w:pPr>
              <w:textAlignment w:val="center"/>
              <w:rPr>
                <w:rFonts w:ascii="Times New Roman" w:hAnsi="Times New Roman"/>
                <w:sz w:val="16"/>
                <w:szCs w:val="16"/>
              </w:rPr>
            </w:pPr>
            <w:r>
              <w:rPr>
                <w:rFonts w:ascii="Arial" w:eastAsia="宋体" w:hAnsi="Arial" w:cs="Arial"/>
                <w:sz w:val="16"/>
                <w:szCs w:val="16"/>
              </w:rPr>
              <w:t>Corporate Information Security</w:t>
            </w:r>
          </w:p>
        </w:tc>
        <w:tc>
          <w:tcPr>
            <w:tcW w:w="0" w:type="auto"/>
            <w:shd w:val="clear" w:color="auto" w:fill="auto"/>
            <w:tcMar>
              <w:top w:w="40" w:type="dxa"/>
              <w:left w:w="40" w:type="dxa"/>
              <w:bottom w:w="40" w:type="dxa"/>
              <w:right w:w="40" w:type="dxa"/>
            </w:tcMar>
            <w:vAlign w:val="center"/>
          </w:tcPr>
          <w:p w14:paraId="55570185" w14:textId="77777777" w:rsidR="00F925DD" w:rsidRDefault="00E705D7">
            <w:pPr>
              <w:textAlignment w:val="center"/>
              <w:rPr>
                <w:rFonts w:ascii="Times New Roman" w:hAnsi="Times New Roman"/>
                <w:sz w:val="16"/>
                <w:szCs w:val="16"/>
              </w:rPr>
            </w:pPr>
            <w:r>
              <w:rPr>
                <w:rFonts w:ascii="Arial" w:eastAsia="宋体" w:hAnsi="Arial" w:cs="Arial"/>
                <w:sz w:val="16"/>
                <w:szCs w:val="16"/>
              </w:rPr>
              <w:t>ORM</w:t>
            </w:r>
          </w:p>
        </w:tc>
        <w:tc>
          <w:tcPr>
            <w:tcW w:w="0" w:type="auto"/>
            <w:shd w:val="clear" w:color="auto" w:fill="auto"/>
            <w:tcMar>
              <w:top w:w="40" w:type="dxa"/>
              <w:left w:w="40" w:type="dxa"/>
              <w:bottom w:w="40" w:type="dxa"/>
              <w:right w:w="40" w:type="dxa"/>
            </w:tcMar>
            <w:vAlign w:val="center"/>
          </w:tcPr>
          <w:p w14:paraId="55570186" w14:textId="77777777" w:rsidR="00F925DD" w:rsidRDefault="00E705D7">
            <w:pPr>
              <w:textAlignment w:val="center"/>
              <w:rPr>
                <w:rFonts w:ascii="Times New Roman" w:hAnsi="Times New Roman"/>
                <w:sz w:val="16"/>
                <w:szCs w:val="16"/>
              </w:rPr>
            </w:pPr>
            <w:r>
              <w:rPr>
                <w:rFonts w:ascii="Arial" w:eastAsia="宋体" w:hAnsi="Arial" w:cs="Arial"/>
                <w:sz w:val="16"/>
                <w:szCs w:val="16"/>
              </w:rPr>
              <w:t>Operational risk management</w:t>
            </w:r>
          </w:p>
        </w:tc>
      </w:tr>
      <w:tr w:rsidR="00F925DD" w14:paraId="5557018C" w14:textId="77777777">
        <w:tc>
          <w:tcPr>
            <w:tcW w:w="0" w:type="auto"/>
            <w:shd w:val="clear" w:color="auto" w:fill="auto"/>
            <w:tcMar>
              <w:top w:w="40" w:type="dxa"/>
              <w:left w:w="40" w:type="dxa"/>
              <w:bottom w:w="40" w:type="dxa"/>
              <w:right w:w="40" w:type="dxa"/>
            </w:tcMar>
            <w:vAlign w:val="center"/>
          </w:tcPr>
          <w:p w14:paraId="55570188" w14:textId="77777777" w:rsidR="00F925DD" w:rsidRDefault="00E705D7">
            <w:pPr>
              <w:textAlignment w:val="center"/>
              <w:rPr>
                <w:rFonts w:ascii="Times New Roman" w:hAnsi="Times New Roman"/>
                <w:sz w:val="16"/>
                <w:szCs w:val="16"/>
              </w:rPr>
            </w:pPr>
            <w:r>
              <w:rPr>
                <w:rFonts w:ascii="Arial" w:eastAsia="宋体" w:hAnsi="Arial" w:cs="Arial"/>
                <w:sz w:val="16"/>
                <w:szCs w:val="16"/>
              </w:rPr>
              <w:t>COSO</w:t>
            </w:r>
          </w:p>
        </w:tc>
        <w:tc>
          <w:tcPr>
            <w:tcW w:w="0" w:type="auto"/>
            <w:shd w:val="clear" w:color="auto" w:fill="auto"/>
            <w:tcMar>
              <w:top w:w="40" w:type="dxa"/>
              <w:left w:w="40" w:type="dxa"/>
              <w:bottom w:w="40" w:type="dxa"/>
              <w:right w:w="40" w:type="dxa"/>
            </w:tcMar>
            <w:vAlign w:val="center"/>
          </w:tcPr>
          <w:p w14:paraId="55570189" w14:textId="77777777" w:rsidR="00F925DD" w:rsidRDefault="00E705D7">
            <w:pPr>
              <w:textAlignment w:val="center"/>
              <w:rPr>
                <w:rFonts w:ascii="Times New Roman" w:hAnsi="Times New Roman"/>
                <w:sz w:val="16"/>
                <w:szCs w:val="16"/>
              </w:rPr>
            </w:pPr>
            <w:r>
              <w:rPr>
                <w:rFonts w:ascii="Arial" w:eastAsia="宋体" w:hAnsi="Arial" w:cs="Arial"/>
                <w:sz w:val="16"/>
                <w:szCs w:val="16"/>
              </w:rPr>
              <w:t>Committee of Sponsoring Organizations of the Treadway Commission</w:t>
            </w:r>
          </w:p>
        </w:tc>
        <w:tc>
          <w:tcPr>
            <w:tcW w:w="0" w:type="auto"/>
            <w:shd w:val="clear" w:color="auto" w:fill="auto"/>
            <w:tcMar>
              <w:top w:w="40" w:type="dxa"/>
              <w:left w:w="40" w:type="dxa"/>
              <w:bottom w:w="40" w:type="dxa"/>
              <w:right w:w="40" w:type="dxa"/>
            </w:tcMar>
            <w:vAlign w:val="center"/>
          </w:tcPr>
          <w:p w14:paraId="5557018A" w14:textId="77777777" w:rsidR="00F925DD" w:rsidRDefault="00E705D7">
            <w:pPr>
              <w:textAlignment w:val="center"/>
              <w:rPr>
                <w:rFonts w:ascii="Times New Roman" w:hAnsi="Times New Roman"/>
                <w:sz w:val="16"/>
                <w:szCs w:val="16"/>
              </w:rPr>
            </w:pPr>
            <w:r>
              <w:rPr>
                <w:rFonts w:ascii="Arial" w:eastAsia="宋体" w:hAnsi="Arial" w:cs="Arial"/>
                <w:sz w:val="16"/>
                <w:szCs w:val="16"/>
              </w:rPr>
              <w:t>OTC</w:t>
            </w:r>
          </w:p>
        </w:tc>
        <w:tc>
          <w:tcPr>
            <w:tcW w:w="0" w:type="auto"/>
            <w:shd w:val="clear" w:color="auto" w:fill="auto"/>
            <w:tcMar>
              <w:top w:w="40" w:type="dxa"/>
              <w:left w:w="40" w:type="dxa"/>
              <w:bottom w:w="40" w:type="dxa"/>
              <w:right w:w="40" w:type="dxa"/>
            </w:tcMar>
            <w:vAlign w:val="center"/>
          </w:tcPr>
          <w:p w14:paraId="5557018B" w14:textId="77777777" w:rsidR="00F925DD" w:rsidRDefault="00E705D7">
            <w:pPr>
              <w:textAlignment w:val="center"/>
              <w:rPr>
                <w:rFonts w:ascii="Times New Roman" w:hAnsi="Times New Roman"/>
                <w:sz w:val="16"/>
                <w:szCs w:val="16"/>
              </w:rPr>
            </w:pPr>
            <w:r>
              <w:rPr>
                <w:rFonts w:ascii="Arial" w:eastAsia="宋体" w:hAnsi="Arial" w:cs="Arial"/>
                <w:sz w:val="16"/>
                <w:szCs w:val="16"/>
              </w:rPr>
              <w:t>Over-the-counter</w:t>
            </w:r>
          </w:p>
        </w:tc>
      </w:tr>
      <w:tr w:rsidR="00F925DD" w14:paraId="55570191" w14:textId="77777777">
        <w:tc>
          <w:tcPr>
            <w:tcW w:w="0" w:type="auto"/>
            <w:shd w:val="clear" w:color="auto" w:fill="auto"/>
            <w:tcMar>
              <w:top w:w="40" w:type="dxa"/>
              <w:left w:w="40" w:type="dxa"/>
              <w:bottom w:w="40" w:type="dxa"/>
              <w:right w:w="40" w:type="dxa"/>
            </w:tcMar>
            <w:vAlign w:val="center"/>
          </w:tcPr>
          <w:p w14:paraId="5557018D" w14:textId="77777777" w:rsidR="00F925DD" w:rsidRDefault="00E705D7">
            <w:pPr>
              <w:textAlignment w:val="center"/>
              <w:rPr>
                <w:rFonts w:ascii="Times New Roman" w:hAnsi="Times New Roman"/>
                <w:sz w:val="16"/>
                <w:szCs w:val="16"/>
              </w:rPr>
            </w:pPr>
            <w:r>
              <w:rPr>
                <w:rFonts w:ascii="Arial" w:eastAsia="宋体" w:hAnsi="Arial" w:cs="Arial"/>
                <w:sz w:val="16"/>
                <w:szCs w:val="16"/>
              </w:rPr>
              <w:t>CRO</w:t>
            </w:r>
          </w:p>
        </w:tc>
        <w:tc>
          <w:tcPr>
            <w:tcW w:w="0" w:type="auto"/>
            <w:shd w:val="clear" w:color="auto" w:fill="auto"/>
            <w:tcMar>
              <w:top w:w="40" w:type="dxa"/>
              <w:left w:w="40" w:type="dxa"/>
              <w:bottom w:w="40" w:type="dxa"/>
              <w:right w:w="40" w:type="dxa"/>
            </w:tcMar>
            <w:vAlign w:val="center"/>
          </w:tcPr>
          <w:p w14:paraId="5557018E" w14:textId="77777777" w:rsidR="00F925DD" w:rsidRDefault="00E705D7">
            <w:pPr>
              <w:textAlignment w:val="center"/>
              <w:rPr>
                <w:rFonts w:ascii="Times New Roman" w:hAnsi="Times New Roman"/>
                <w:sz w:val="16"/>
                <w:szCs w:val="16"/>
              </w:rPr>
            </w:pPr>
            <w:r>
              <w:rPr>
                <w:rFonts w:ascii="Arial" w:eastAsia="宋体" w:hAnsi="Arial" w:cs="Arial"/>
                <w:sz w:val="16"/>
                <w:szCs w:val="16"/>
              </w:rPr>
              <w:t>Chief Risk Officer</w:t>
            </w:r>
          </w:p>
        </w:tc>
        <w:tc>
          <w:tcPr>
            <w:tcW w:w="0" w:type="auto"/>
            <w:shd w:val="clear" w:color="auto" w:fill="auto"/>
            <w:tcMar>
              <w:top w:w="40" w:type="dxa"/>
              <w:left w:w="40" w:type="dxa"/>
              <w:bottom w:w="40" w:type="dxa"/>
              <w:right w:w="40" w:type="dxa"/>
            </w:tcMar>
            <w:vAlign w:val="center"/>
          </w:tcPr>
          <w:p w14:paraId="5557018F" w14:textId="77777777" w:rsidR="00F925DD" w:rsidRDefault="00E705D7">
            <w:pPr>
              <w:textAlignment w:val="center"/>
              <w:rPr>
                <w:rFonts w:ascii="Times New Roman" w:hAnsi="Times New Roman"/>
                <w:sz w:val="16"/>
                <w:szCs w:val="16"/>
              </w:rPr>
            </w:pPr>
            <w:r>
              <w:rPr>
                <w:rFonts w:ascii="Arial" w:eastAsia="宋体" w:hAnsi="Arial" w:cs="Arial"/>
                <w:sz w:val="16"/>
                <w:szCs w:val="16"/>
              </w:rPr>
              <w:t>OTTI</w:t>
            </w:r>
          </w:p>
        </w:tc>
        <w:tc>
          <w:tcPr>
            <w:tcW w:w="0" w:type="auto"/>
            <w:shd w:val="clear" w:color="auto" w:fill="auto"/>
            <w:tcMar>
              <w:top w:w="40" w:type="dxa"/>
              <w:left w:w="40" w:type="dxa"/>
              <w:bottom w:w="40" w:type="dxa"/>
              <w:right w:w="40" w:type="dxa"/>
            </w:tcMar>
            <w:vAlign w:val="center"/>
          </w:tcPr>
          <w:p w14:paraId="55570190" w14:textId="77777777" w:rsidR="00F925DD" w:rsidRDefault="00E705D7">
            <w:pPr>
              <w:textAlignment w:val="center"/>
              <w:rPr>
                <w:rFonts w:ascii="Times New Roman" w:hAnsi="Times New Roman"/>
                <w:sz w:val="16"/>
                <w:szCs w:val="16"/>
              </w:rPr>
            </w:pPr>
            <w:r>
              <w:rPr>
                <w:rFonts w:ascii="Arial" w:eastAsia="宋体" w:hAnsi="Arial" w:cs="Arial"/>
                <w:sz w:val="16"/>
                <w:szCs w:val="16"/>
              </w:rPr>
              <w:t>Other-than-temporary-impairment</w:t>
            </w:r>
          </w:p>
        </w:tc>
      </w:tr>
      <w:tr w:rsidR="00F925DD" w14:paraId="55570196" w14:textId="77777777">
        <w:tc>
          <w:tcPr>
            <w:tcW w:w="0" w:type="auto"/>
            <w:shd w:val="clear" w:color="auto" w:fill="auto"/>
            <w:tcMar>
              <w:top w:w="40" w:type="dxa"/>
              <w:left w:w="40" w:type="dxa"/>
              <w:bottom w:w="40" w:type="dxa"/>
              <w:right w:w="40" w:type="dxa"/>
            </w:tcMar>
            <w:vAlign w:val="center"/>
          </w:tcPr>
          <w:p w14:paraId="55570192" w14:textId="77777777" w:rsidR="00F925DD" w:rsidRDefault="00E705D7">
            <w:pPr>
              <w:textAlignment w:val="center"/>
              <w:rPr>
                <w:rFonts w:ascii="Times New Roman" w:hAnsi="Times New Roman"/>
                <w:sz w:val="16"/>
                <w:szCs w:val="16"/>
              </w:rPr>
            </w:pPr>
            <w:r>
              <w:rPr>
                <w:rFonts w:ascii="Arial" w:eastAsia="宋体" w:hAnsi="Arial" w:cs="Arial"/>
                <w:sz w:val="16"/>
                <w:szCs w:val="16"/>
              </w:rPr>
              <w:t>CRPC</w:t>
            </w:r>
          </w:p>
        </w:tc>
        <w:tc>
          <w:tcPr>
            <w:tcW w:w="0" w:type="auto"/>
            <w:shd w:val="clear" w:color="auto" w:fill="auto"/>
            <w:tcMar>
              <w:top w:w="40" w:type="dxa"/>
              <w:left w:w="40" w:type="dxa"/>
              <w:bottom w:w="40" w:type="dxa"/>
              <w:right w:w="40" w:type="dxa"/>
            </w:tcMar>
            <w:vAlign w:val="center"/>
          </w:tcPr>
          <w:p w14:paraId="55570193" w14:textId="77777777" w:rsidR="00F925DD" w:rsidRDefault="00E705D7">
            <w:pPr>
              <w:textAlignment w:val="center"/>
              <w:rPr>
                <w:rFonts w:ascii="Times New Roman" w:hAnsi="Times New Roman"/>
                <w:sz w:val="16"/>
                <w:szCs w:val="16"/>
              </w:rPr>
            </w:pPr>
            <w:r>
              <w:rPr>
                <w:rFonts w:ascii="Arial" w:eastAsia="宋体" w:hAnsi="Arial" w:cs="Arial"/>
                <w:sz w:val="16"/>
                <w:szCs w:val="16"/>
              </w:rPr>
              <w:t>Credit Risk &amp; Policy Committee</w:t>
            </w:r>
          </w:p>
        </w:tc>
        <w:tc>
          <w:tcPr>
            <w:tcW w:w="0" w:type="auto"/>
            <w:shd w:val="clear" w:color="auto" w:fill="auto"/>
            <w:tcMar>
              <w:top w:w="40" w:type="dxa"/>
              <w:left w:w="40" w:type="dxa"/>
              <w:bottom w:w="40" w:type="dxa"/>
              <w:right w:w="40" w:type="dxa"/>
            </w:tcMar>
            <w:vAlign w:val="center"/>
          </w:tcPr>
          <w:p w14:paraId="55570194" w14:textId="77777777" w:rsidR="00F925DD" w:rsidRDefault="00E705D7">
            <w:pPr>
              <w:textAlignment w:val="center"/>
              <w:rPr>
                <w:rFonts w:ascii="Times New Roman" w:hAnsi="Times New Roman"/>
                <w:sz w:val="16"/>
                <w:szCs w:val="16"/>
              </w:rPr>
            </w:pPr>
            <w:r>
              <w:rPr>
                <w:rFonts w:ascii="Arial" w:eastAsia="宋体" w:hAnsi="Arial" w:cs="Arial"/>
                <w:sz w:val="16"/>
                <w:szCs w:val="16"/>
              </w:rPr>
              <w:t>PCA</w:t>
            </w:r>
          </w:p>
        </w:tc>
        <w:tc>
          <w:tcPr>
            <w:tcW w:w="0" w:type="auto"/>
            <w:shd w:val="clear" w:color="auto" w:fill="auto"/>
            <w:tcMar>
              <w:top w:w="40" w:type="dxa"/>
              <w:left w:w="40" w:type="dxa"/>
              <w:bottom w:w="40" w:type="dxa"/>
              <w:right w:w="40" w:type="dxa"/>
            </w:tcMar>
            <w:vAlign w:val="center"/>
          </w:tcPr>
          <w:p w14:paraId="55570195" w14:textId="77777777" w:rsidR="00F925DD" w:rsidRDefault="00E705D7">
            <w:pPr>
              <w:textAlignment w:val="center"/>
              <w:rPr>
                <w:rFonts w:ascii="Times New Roman" w:hAnsi="Times New Roman"/>
                <w:sz w:val="16"/>
                <w:szCs w:val="16"/>
              </w:rPr>
            </w:pPr>
            <w:r>
              <w:rPr>
                <w:rFonts w:ascii="Arial" w:eastAsia="宋体" w:hAnsi="Arial" w:cs="Arial"/>
                <w:sz w:val="16"/>
                <w:szCs w:val="16"/>
              </w:rPr>
              <w:t>Prompt corrective action</w:t>
            </w:r>
          </w:p>
        </w:tc>
      </w:tr>
      <w:tr w:rsidR="00F925DD" w14:paraId="5557019B" w14:textId="77777777">
        <w:tc>
          <w:tcPr>
            <w:tcW w:w="0" w:type="auto"/>
            <w:shd w:val="clear" w:color="auto" w:fill="auto"/>
            <w:tcMar>
              <w:top w:w="40" w:type="dxa"/>
              <w:left w:w="40" w:type="dxa"/>
              <w:bottom w:w="40" w:type="dxa"/>
              <w:right w:w="40" w:type="dxa"/>
            </w:tcMar>
            <w:vAlign w:val="center"/>
          </w:tcPr>
          <w:p w14:paraId="55570197" w14:textId="77777777" w:rsidR="00F925DD" w:rsidRDefault="00E705D7">
            <w:pPr>
              <w:textAlignment w:val="center"/>
              <w:rPr>
                <w:rFonts w:ascii="Times New Roman" w:hAnsi="Times New Roman"/>
                <w:sz w:val="16"/>
                <w:szCs w:val="16"/>
              </w:rPr>
            </w:pPr>
            <w:r>
              <w:rPr>
                <w:rFonts w:ascii="Arial" w:eastAsia="宋体" w:hAnsi="Arial" w:cs="Arial"/>
                <w:sz w:val="16"/>
                <w:szCs w:val="16"/>
              </w:rPr>
              <w:t>CVA</w:t>
            </w:r>
          </w:p>
        </w:tc>
        <w:tc>
          <w:tcPr>
            <w:tcW w:w="0" w:type="auto"/>
            <w:shd w:val="clear" w:color="auto" w:fill="auto"/>
            <w:tcMar>
              <w:top w:w="40" w:type="dxa"/>
              <w:left w:w="40" w:type="dxa"/>
              <w:bottom w:w="40" w:type="dxa"/>
              <w:right w:w="40" w:type="dxa"/>
            </w:tcMar>
            <w:vAlign w:val="center"/>
          </w:tcPr>
          <w:p w14:paraId="55570198" w14:textId="77777777" w:rsidR="00F925DD" w:rsidRDefault="00E705D7">
            <w:pPr>
              <w:textAlignment w:val="center"/>
              <w:rPr>
                <w:rFonts w:ascii="Times New Roman" w:hAnsi="Times New Roman"/>
                <w:sz w:val="16"/>
                <w:szCs w:val="16"/>
              </w:rPr>
            </w:pPr>
            <w:r>
              <w:rPr>
                <w:rFonts w:ascii="Arial" w:eastAsia="宋体" w:hAnsi="Arial" w:cs="Arial"/>
                <w:sz w:val="16"/>
                <w:szCs w:val="16"/>
              </w:rPr>
              <w:t>Credit valuation adjustment</w:t>
            </w:r>
          </w:p>
        </w:tc>
        <w:tc>
          <w:tcPr>
            <w:tcW w:w="0" w:type="auto"/>
            <w:shd w:val="clear" w:color="auto" w:fill="auto"/>
            <w:tcMar>
              <w:top w:w="40" w:type="dxa"/>
              <w:left w:w="40" w:type="dxa"/>
              <w:bottom w:w="40" w:type="dxa"/>
              <w:right w:w="40" w:type="dxa"/>
            </w:tcMar>
            <w:vAlign w:val="center"/>
          </w:tcPr>
          <w:p w14:paraId="55570199" w14:textId="77777777" w:rsidR="00F925DD" w:rsidRDefault="00E705D7">
            <w:pPr>
              <w:textAlignment w:val="center"/>
              <w:rPr>
                <w:rFonts w:ascii="Times New Roman" w:hAnsi="Times New Roman"/>
                <w:sz w:val="16"/>
                <w:szCs w:val="16"/>
              </w:rPr>
            </w:pPr>
            <w:r>
              <w:rPr>
                <w:rFonts w:ascii="Arial" w:eastAsia="宋体" w:hAnsi="Arial" w:cs="Arial"/>
                <w:sz w:val="16"/>
                <w:szCs w:val="16"/>
              </w:rPr>
              <w:t>PCAOB</w:t>
            </w:r>
          </w:p>
        </w:tc>
        <w:tc>
          <w:tcPr>
            <w:tcW w:w="0" w:type="auto"/>
            <w:shd w:val="clear" w:color="auto" w:fill="auto"/>
            <w:tcMar>
              <w:top w:w="40" w:type="dxa"/>
              <w:left w:w="40" w:type="dxa"/>
              <w:bottom w:w="40" w:type="dxa"/>
              <w:right w:w="40" w:type="dxa"/>
            </w:tcMar>
            <w:vAlign w:val="center"/>
          </w:tcPr>
          <w:p w14:paraId="5557019A" w14:textId="77777777" w:rsidR="00F925DD" w:rsidRDefault="00E705D7">
            <w:pPr>
              <w:textAlignment w:val="center"/>
              <w:rPr>
                <w:rFonts w:ascii="Times New Roman" w:hAnsi="Times New Roman"/>
                <w:sz w:val="16"/>
                <w:szCs w:val="16"/>
              </w:rPr>
            </w:pPr>
            <w:r>
              <w:rPr>
                <w:rFonts w:ascii="Arial" w:eastAsia="宋体" w:hAnsi="Arial" w:cs="Arial"/>
                <w:sz w:val="16"/>
                <w:szCs w:val="16"/>
              </w:rPr>
              <w:t>Public Company Accounting Oversight Board</w:t>
            </w:r>
          </w:p>
        </w:tc>
      </w:tr>
      <w:tr w:rsidR="00F925DD" w14:paraId="555701A0" w14:textId="77777777">
        <w:tc>
          <w:tcPr>
            <w:tcW w:w="0" w:type="auto"/>
            <w:shd w:val="clear" w:color="auto" w:fill="auto"/>
            <w:tcMar>
              <w:top w:w="40" w:type="dxa"/>
              <w:left w:w="40" w:type="dxa"/>
              <w:bottom w:w="40" w:type="dxa"/>
              <w:right w:w="40" w:type="dxa"/>
            </w:tcMar>
            <w:vAlign w:val="center"/>
          </w:tcPr>
          <w:p w14:paraId="5557019C" w14:textId="77777777" w:rsidR="00F925DD" w:rsidRDefault="00E705D7">
            <w:pPr>
              <w:textAlignment w:val="center"/>
              <w:rPr>
                <w:rFonts w:ascii="Times New Roman" w:hAnsi="Times New Roman"/>
                <w:sz w:val="16"/>
                <w:szCs w:val="16"/>
              </w:rPr>
            </w:pPr>
            <w:r>
              <w:rPr>
                <w:rFonts w:ascii="Arial" w:eastAsia="宋体" w:hAnsi="Arial" w:cs="Arial"/>
                <w:sz w:val="16"/>
                <w:szCs w:val="16"/>
              </w:rPr>
              <w:t>DOJ</w:t>
            </w:r>
          </w:p>
        </w:tc>
        <w:tc>
          <w:tcPr>
            <w:tcW w:w="0" w:type="auto"/>
            <w:shd w:val="clear" w:color="auto" w:fill="auto"/>
            <w:tcMar>
              <w:top w:w="40" w:type="dxa"/>
              <w:left w:w="40" w:type="dxa"/>
              <w:bottom w:w="40" w:type="dxa"/>
              <w:right w:w="40" w:type="dxa"/>
            </w:tcMar>
            <w:vAlign w:val="center"/>
          </w:tcPr>
          <w:p w14:paraId="5557019D" w14:textId="77777777" w:rsidR="00F925DD" w:rsidRDefault="00E705D7">
            <w:pPr>
              <w:textAlignment w:val="center"/>
              <w:rPr>
                <w:rFonts w:ascii="Times New Roman" w:hAnsi="Times New Roman"/>
                <w:sz w:val="16"/>
                <w:szCs w:val="16"/>
              </w:rPr>
            </w:pPr>
            <w:r>
              <w:rPr>
                <w:rFonts w:ascii="Arial" w:eastAsia="宋体" w:hAnsi="Arial" w:cs="Arial"/>
                <w:sz w:val="16"/>
                <w:szCs w:val="16"/>
              </w:rPr>
              <w:t>Department of Justice</w:t>
            </w:r>
          </w:p>
        </w:tc>
        <w:tc>
          <w:tcPr>
            <w:tcW w:w="0" w:type="auto"/>
            <w:shd w:val="clear" w:color="auto" w:fill="auto"/>
            <w:tcMar>
              <w:top w:w="40" w:type="dxa"/>
              <w:left w:w="40" w:type="dxa"/>
              <w:bottom w:w="40" w:type="dxa"/>
              <w:right w:w="40" w:type="dxa"/>
            </w:tcMar>
            <w:vAlign w:val="center"/>
          </w:tcPr>
          <w:p w14:paraId="5557019E" w14:textId="77777777" w:rsidR="00F925DD" w:rsidRDefault="00E705D7">
            <w:pPr>
              <w:textAlignment w:val="center"/>
              <w:rPr>
                <w:rFonts w:ascii="Times New Roman" w:hAnsi="Times New Roman"/>
                <w:sz w:val="16"/>
                <w:szCs w:val="16"/>
              </w:rPr>
            </w:pPr>
            <w:r>
              <w:rPr>
                <w:rFonts w:ascii="Arial" w:eastAsia="宋体" w:hAnsi="Arial" w:cs="Arial"/>
                <w:sz w:val="16"/>
                <w:szCs w:val="16"/>
              </w:rPr>
              <w:t>PD</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5557019F" w14:textId="77777777" w:rsidR="00F925DD" w:rsidRDefault="00E705D7">
            <w:pPr>
              <w:textAlignment w:val="center"/>
              <w:rPr>
                <w:rFonts w:ascii="Times New Roman" w:hAnsi="Times New Roman"/>
                <w:sz w:val="16"/>
                <w:szCs w:val="16"/>
              </w:rPr>
            </w:pPr>
            <w:r>
              <w:rPr>
                <w:rFonts w:ascii="Arial" w:eastAsia="宋体" w:hAnsi="Arial" w:cs="Arial"/>
                <w:sz w:val="16"/>
                <w:szCs w:val="16"/>
              </w:rPr>
              <w:t>Probability-of-default</w:t>
            </w:r>
          </w:p>
        </w:tc>
      </w:tr>
      <w:tr w:rsidR="00F925DD" w14:paraId="555701A5" w14:textId="77777777">
        <w:tc>
          <w:tcPr>
            <w:tcW w:w="0" w:type="auto"/>
            <w:shd w:val="clear" w:color="auto" w:fill="auto"/>
            <w:tcMar>
              <w:top w:w="40" w:type="dxa"/>
              <w:left w:w="40" w:type="dxa"/>
              <w:bottom w:w="40" w:type="dxa"/>
              <w:right w:w="40" w:type="dxa"/>
            </w:tcMar>
            <w:vAlign w:val="center"/>
          </w:tcPr>
          <w:p w14:paraId="555701A1" w14:textId="77777777" w:rsidR="00F925DD" w:rsidRDefault="00E705D7">
            <w:pPr>
              <w:textAlignment w:val="center"/>
              <w:rPr>
                <w:rFonts w:ascii="Times New Roman" w:hAnsi="Times New Roman"/>
                <w:sz w:val="16"/>
                <w:szCs w:val="16"/>
              </w:rPr>
            </w:pPr>
            <w:r>
              <w:rPr>
                <w:rFonts w:ascii="Arial" w:eastAsia="宋体" w:hAnsi="Arial" w:cs="Arial"/>
                <w:sz w:val="16"/>
                <w:szCs w:val="16"/>
              </w:rPr>
              <w:t>DOL</w:t>
            </w:r>
          </w:p>
        </w:tc>
        <w:tc>
          <w:tcPr>
            <w:tcW w:w="0" w:type="auto"/>
            <w:shd w:val="clear" w:color="auto" w:fill="auto"/>
            <w:tcMar>
              <w:top w:w="40" w:type="dxa"/>
              <w:left w:w="40" w:type="dxa"/>
              <w:bottom w:w="40" w:type="dxa"/>
              <w:right w:w="40" w:type="dxa"/>
            </w:tcMar>
            <w:vAlign w:val="center"/>
          </w:tcPr>
          <w:p w14:paraId="555701A2" w14:textId="77777777" w:rsidR="00F925DD" w:rsidRDefault="00E705D7">
            <w:pPr>
              <w:textAlignment w:val="center"/>
              <w:rPr>
                <w:rFonts w:ascii="Times New Roman" w:hAnsi="Times New Roman"/>
                <w:sz w:val="16"/>
                <w:szCs w:val="16"/>
              </w:rPr>
            </w:pPr>
            <w:r>
              <w:rPr>
                <w:rFonts w:ascii="Arial" w:eastAsia="宋体" w:hAnsi="Arial" w:cs="Arial"/>
                <w:sz w:val="16"/>
                <w:szCs w:val="16"/>
              </w:rPr>
              <w:t>Department of Labor</w:t>
            </w:r>
          </w:p>
        </w:tc>
        <w:tc>
          <w:tcPr>
            <w:tcW w:w="0" w:type="auto"/>
            <w:shd w:val="clear" w:color="auto" w:fill="auto"/>
            <w:tcMar>
              <w:top w:w="40" w:type="dxa"/>
              <w:left w:w="40" w:type="dxa"/>
              <w:bottom w:w="40" w:type="dxa"/>
              <w:right w:w="40" w:type="dxa"/>
            </w:tcMar>
            <w:vAlign w:val="center"/>
          </w:tcPr>
          <w:p w14:paraId="555701A3" w14:textId="77777777" w:rsidR="00F925DD" w:rsidRDefault="00E705D7">
            <w:pPr>
              <w:textAlignment w:val="center"/>
              <w:rPr>
                <w:rFonts w:ascii="Times New Roman" w:hAnsi="Times New Roman"/>
                <w:sz w:val="16"/>
                <w:szCs w:val="16"/>
              </w:rPr>
            </w:pPr>
            <w:r>
              <w:rPr>
                <w:rFonts w:ascii="Arial" w:eastAsia="宋体" w:hAnsi="Arial" w:cs="Arial"/>
                <w:sz w:val="16"/>
                <w:szCs w:val="16"/>
              </w:rPr>
              <w:t>P&amp;L</w:t>
            </w:r>
          </w:p>
        </w:tc>
        <w:tc>
          <w:tcPr>
            <w:tcW w:w="0" w:type="auto"/>
            <w:shd w:val="clear" w:color="auto" w:fill="auto"/>
            <w:tcMar>
              <w:top w:w="40" w:type="dxa"/>
              <w:left w:w="40" w:type="dxa"/>
              <w:bottom w:w="40" w:type="dxa"/>
              <w:right w:w="40" w:type="dxa"/>
            </w:tcMar>
            <w:vAlign w:val="center"/>
          </w:tcPr>
          <w:p w14:paraId="555701A4" w14:textId="77777777" w:rsidR="00F925DD" w:rsidRDefault="00E705D7">
            <w:pPr>
              <w:textAlignment w:val="center"/>
              <w:rPr>
                <w:rFonts w:ascii="Times New Roman" w:hAnsi="Times New Roman"/>
                <w:sz w:val="16"/>
                <w:szCs w:val="16"/>
              </w:rPr>
            </w:pPr>
            <w:r>
              <w:rPr>
                <w:rFonts w:ascii="Arial" w:eastAsia="宋体" w:hAnsi="Arial" w:cs="Arial"/>
                <w:sz w:val="16"/>
                <w:szCs w:val="16"/>
              </w:rPr>
              <w:t>Profit-and-loss</w:t>
            </w:r>
          </w:p>
        </w:tc>
      </w:tr>
      <w:tr w:rsidR="00F925DD" w14:paraId="555701AA" w14:textId="77777777">
        <w:tc>
          <w:tcPr>
            <w:tcW w:w="0" w:type="auto"/>
            <w:shd w:val="clear" w:color="auto" w:fill="auto"/>
            <w:tcMar>
              <w:top w:w="40" w:type="dxa"/>
              <w:left w:w="40" w:type="dxa"/>
              <w:bottom w:w="40" w:type="dxa"/>
              <w:right w:w="40" w:type="dxa"/>
            </w:tcMar>
            <w:vAlign w:val="center"/>
          </w:tcPr>
          <w:p w14:paraId="555701A6" w14:textId="77777777" w:rsidR="00F925DD" w:rsidRDefault="00E705D7">
            <w:pPr>
              <w:textAlignment w:val="center"/>
              <w:rPr>
                <w:rFonts w:ascii="Times New Roman" w:hAnsi="Times New Roman"/>
                <w:sz w:val="16"/>
                <w:szCs w:val="16"/>
              </w:rPr>
            </w:pPr>
            <w:r>
              <w:rPr>
                <w:rFonts w:ascii="Arial" w:eastAsia="宋体" w:hAnsi="Arial" w:cs="Arial"/>
                <w:sz w:val="16"/>
                <w:szCs w:val="16"/>
              </w:rPr>
              <w:t>E&amp;A Committee</w:t>
            </w:r>
          </w:p>
        </w:tc>
        <w:tc>
          <w:tcPr>
            <w:tcW w:w="0" w:type="auto"/>
            <w:shd w:val="clear" w:color="auto" w:fill="auto"/>
            <w:tcMar>
              <w:top w:w="40" w:type="dxa"/>
              <w:left w:w="40" w:type="dxa"/>
              <w:bottom w:w="40" w:type="dxa"/>
              <w:right w:w="40" w:type="dxa"/>
            </w:tcMar>
            <w:vAlign w:val="center"/>
          </w:tcPr>
          <w:p w14:paraId="555701A7" w14:textId="77777777" w:rsidR="00F925DD" w:rsidRDefault="00E705D7">
            <w:pPr>
              <w:textAlignment w:val="center"/>
              <w:rPr>
                <w:rFonts w:ascii="Times New Roman" w:hAnsi="Times New Roman"/>
                <w:sz w:val="16"/>
                <w:szCs w:val="16"/>
              </w:rPr>
            </w:pPr>
            <w:r>
              <w:rPr>
                <w:rFonts w:ascii="Arial" w:eastAsia="宋体" w:hAnsi="Arial" w:cs="Arial"/>
                <w:sz w:val="16"/>
                <w:szCs w:val="16"/>
              </w:rPr>
              <w:t>Examining and Audit Committee</w:t>
            </w:r>
          </w:p>
        </w:tc>
        <w:tc>
          <w:tcPr>
            <w:tcW w:w="0" w:type="auto"/>
            <w:shd w:val="clear" w:color="auto" w:fill="auto"/>
            <w:tcMar>
              <w:top w:w="40" w:type="dxa"/>
              <w:left w:w="40" w:type="dxa"/>
              <w:bottom w:w="40" w:type="dxa"/>
              <w:right w:w="40" w:type="dxa"/>
            </w:tcMar>
            <w:vAlign w:val="center"/>
          </w:tcPr>
          <w:p w14:paraId="555701A8" w14:textId="77777777" w:rsidR="00F925DD" w:rsidRDefault="00E705D7">
            <w:pPr>
              <w:textAlignment w:val="center"/>
              <w:rPr>
                <w:rFonts w:ascii="Times New Roman" w:hAnsi="Times New Roman"/>
                <w:sz w:val="16"/>
                <w:szCs w:val="16"/>
              </w:rPr>
            </w:pPr>
            <w:r>
              <w:rPr>
                <w:rFonts w:ascii="Arial" w:eastAsia="宋体" w:hAnsi="Arial" w:cs="Arial"/>
                <w:sz w:val="16"/>
                <w:szCs w:val="16"/>
              </w:rPr>
              <w:t>RC</w:t>
            </w:r>
          </w:p>
        </w:tc>
        <w:tc>
          <w:tcPr>
            <w:tcW w:w="0" w:type="auto"/>
            <w:shd w:val="clear" w:color="auto" w:fill="auto"/>
            <w:tcMar>
              <w:top w:w="40" w:type="dxa"/>
              <w:left w:w="40" w:type="dxa"/>
              <w:bottom w:w="40" w:type="dxa"/>
              <w:right w:w="40" w:type="dxa"/>
            </w:tcMar>
            <w:vAlign w:val="center"/>
          </w:tcPr>
          <w:p w14:paraId="555701A9" w14:textId="77777777" w:rsidR="00F925DD" w:rsidRDefault="00E705D7">
            <w:pPr>
              <w:textAlignment w:val="center"/>
              <w:rPr>
                <w:rFonts w:ascii="Times New Roman" w:hAnsi="Times New Roman"/>
                <w:sz w:val="16"/>
                <w:szCs w:val="16"/>
              </w:rPr>
            </w:pPr>
            <w:r>
              <w:rPr>
                <w:rFonts w:ascii="Arial" w:eastAsia="宋体" w:hAnsi="Arial" w:cs="Arial"/>
                <w:sz w:val="16"/>
                <w:szCs w:val="16"/>
              </w:rPr>
              <w:t>Risk Committee</w:t>
            </w:r>
          </w:p>
        </w:tc>
      </w:tr>
      <w:tr w:rsidR="00F925DD" w14:paraId="555701AF" w14:textId="77777777">
        <w:tc>
          <w:tcPr>
            <w:tcW w:w="0" w:type="auto"/>
            <w:shd w:val="clear" w:color="auto" w:fill="auto"/>
            <w:tcMar>
              <w:top w:w="40" w:type="dxa"/>
              <w:left w:w="40" w:type="dxa"/>
              <w:bottom w:w="40" w:type="dxa"/>
              <w:right w:w="40" w:type="dxa"/>
            </w:tcMar>
            <w:vAlign w:val="center"/>
          </w:tcPr>
          <w:p w14:paraId="555701AB" w14:textId="77777777" w:rsidR="00F925DD" w:rsidRDefault="00E705D7">
            <w:pPr>
              <w:textAlignment w:val="center"/>
              <w:rPr>
                <w:rFonts w:ascii="Times New Roman" w:hAnsi="Times New Roman"/>
                <w:sz w:val="16"/>
                <w:szCs w:val="16"/>
              </w:rPr>
            </w:pPr>
            <w:r>
              <w:rPr>
                <w:rFonts w:ascii="Arial" w:eastAsia="宋体" w:hAnsi="Arial" w:cs="Arial"/>
                <w:sz w:val="16"/>
                <w:szCs w:val="16"/>
              </w:rPr>
              <w:t>ECB</w:t>
            </w:r>
          </w:p>
        </w:tc>
        <w:tc>
          <w:tcPr>
            <w:tcW w:w="0" w:type="auto"/>
            <w:shd w:val="clear" w:color="auto" w:fill="auto"/>
            <w:tcMar>
              <w:top w:w="40" w:type="dxa"/>
              <w:left w:w="40" w:type="dxa"/>
              <w:bottom w:w="40" w:type="dxa"/>
              <w:right w:w="40" w:type="dxa"/>
            </w:tcMar>
            <w:vAlign w:val="center"/>
          </w:tcPr>
          <w:p w14:paraId="555701AC" w14:textId="77777777" w:rsidR="00F925DD" w:rsidRDefault="00E705D7">
            <w:pPr>
              <w:textAlignment w:val="center"/>
              <w:rPr>
                <w:rFonts w:ascii="Times New Roman" w:hAnsi="Times New Roman"/>
                <w:sz w:val="16"/>
                <w:szCs w:val="16"/>
              </w:rPr>
            </w:pPr>
            <w:r>
              <w:rPr>
                <w:rFonts w:ascii="Arial" w:eastAsia="宋体" w:hAnsi="Arial" w:cs="Arial"/>
                <w:sz w:val="16"/>
                <w:szCs w:val="16"/>
              </w:rPr>
              <w:t>European Central Bank</w:t>
            </w:r>
          </w:p>
        </w:tc>
        <w:tc>
          <w:tcPr>
            <w:tcW w:w="0" w:type="auto"/>
            <w:shd w:val="clear" w:color="auto" w:fill="auto"/>
            <w:tcMar>
              <w:top w:w="40" w:type="dxa"/>
              <w:left w:w="40" w:type="dxa"/>
              <w:bottom w:w="40" w:type="dxa"/>
              <w:right w:w="40" w:type="dxa"/>
            </w:tcMar>
            <w:vAlign w:val="center"/>
          </w:tcPr>
          <w:p w14:paraId="555701AD" w14:textId="77777777" w:rsidR="00F925DD" w:rsidRDefault="00E705D7">
            <w:pPr>
              <w:textAlignment w:val="center"/>
              <w:rPr>
                <w:rFonts w:ascii="Times New Roman" w:hAnsi="Times New Roman"/>
                <w:sz w:val="16"/>
                <w:szCs w:val="16"/>
              </w:rPr>
            </w:pPr>
            <w:r>
              <w:rPr>
                <w:rFonts w:ascii="Arial" w:eastAsia="宋体" w:hAnsi="Arial" w:cs="Arial"/>
                <w:sz w:val="16"/>
                <w:szCs w:val="16"/>
              </w:rPr>
              <w:t>RWA</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555701AE" w14:textId="77777777" w:rsidR="00F925DD" w:rsidRDefault="00E705D7">
            <w:pPr>
              <w:textAlignment w:val="center"/>
              <w:rPr>
                <w:rFonts w:ascii="Times New Roman" w:hAnsi="Times New Roman"/>
                <w:sz w:val="16"/>
                <w:szCs w:val="16"/>
              </w:rPr>
            </w:pPr>
            <w:r>
              <w:rPr>
                <w:rFonts w:ascii="Arial" w:eastAsia="宋体" w:hAnsi="Arial" w:cs="Arial"/>
                <w:sz w:val="16"/>
                <w:szCs w:val="16"/>
              </w:rPr>
              <w:t>Risk-weighted asset</w:t>
            </w:r>
          </w:p>
        </w:tc>
      </w:tr>
      <w:tr w:rsidR="00F925DD" w14:paraId="555701B4" w14:textId="77777777">
        <w:tc>
          <w:tcPr>
            <w:tcW w:w="0" w:type="auto"/>
            <w:shd w:val="clear" w:color="auto" w:fill="auto"/>
            <w:tcMar>
              <w:top w:w="40" w:type="dxa"/>
              <w:left w:w="40" w:type="dxa"/>
              <w:bottom w:w="40" w:type="dxa"/>
              <w:right w:w="40" w:type="dxa"/>
            </w:tcMar>
            <w:vAlign w:val="center"/>
          </w:tcPr>
          <w:p w14:paraId="555701B0" w14:textId="77777777" w:rsidR="00F925DD" w:rsidRDefault="00E705D7">
            <w:pPr>
              <w:textAlignment w:val="center"/>
              <w:rPr>
                <w:rFonts w:ascii="Times New Roman" w:hAnsi="Times New Roman"/>
                <w:sz w:val="16"/>
                <w:szCs w:val="16"/>
              </w:rPr>
            </w:pPr>
            <w:r>
              <w:rPr>
                <w:rFonts w:ascii="Arial" w:eastAsia="宋体" w:hAnsi="Arial" w:cs="Arial"/>
                <w:sz w:val="16"/>
                <w:szCs w:val="16"/>
              </w:rPr>
              <w:t>EGRRCPA</w:t>
            </w:r>
          </w:p>
        </w:tc>
        <w:tc>
          <w:tcPr>
            <w:tcW w:w="0" w:type="auto"/>
            <w:shd w:val="clear" w:color="auto" w:fill="auto"/>
            <w:tcMar>
              <w:top w:w="40" w:type="dxa"/>
              <w:left w:w="40" w:type="dxa"/>
              <w:bottom w:w="40" w:type="dxa"/>
              <w:right w:w="40" w:type="dxa"/>
            </w:tcMar>
            <w:vAlign w:val="center"/>
          </w:tcPr>
          <w:p w14:paraId="555701B1" w14:textId="77777777" w:rsidR="00F925DD" w:rsidRDefault="00E705D7">
            <w:pPr>
              <w:textAlignment w:val="center"/>
              <w:rPr>
                <w:rFonts w:ascii="Times New Roman" w:hAnsi="Times New Roman"/>
                <w:sz w:val="16"/>
                <w:szCs w:val="16"/>
              </w:rPr>
            </w:pPr>
            <w:r>
              <w:rPr>
                <w:rFonts w:ascii="Arial" w:eastAsia="宋体" w:hAnsi="Arial" w:cs="Arial"/>
                <w:sz w:val="16"/>
                <w:szCs w:val="16"/>
              </w:rPr>
              <w:t>Economic Growth, Regulatory Relief, and Consumer Protection Act</w:t>
            </w:r>
          </w:p>
        </w:tc>
        <w:tc>
          <w:tcPr>
            <w:tcW w:w="0" w:type="auto"/>
            <w:shd w:val="clear" w:color="auto" w:fill="auto"/>
            <w:tcMar>
              <w:top w:w="40" w:type="dxa"/>
              <w:left w:w="40" w:type="dxa"/>
              <w:bottom w:w="40" w:type="dxa"/>
              <w:right w:w="40" w:type="dxa"/>
            </w:tcMar>
            <w:vAlign w:val="center"/>
          </w:tcPr>
          <w:p w14:paraId="555701B2" w14:textId="77777777" w:rsidR="00F925DD" w:rsidRDefault="00E705D7">
            <w:pPr>
              <w:textAlignment w:val="center"/>
              <w:rPr>
                <w:rFonts w:ascii="Times New Roman" w:hAnsi="Times New Roman"/>
                <w:sz w:val="16"/>
                <w:szCs w:val="16"/>
              </w:rPr>
            </w:pPr>
            <w:r>
              <w:rPr>
                <w:rFonts w:ascii="Arial" w:eastAsia="宋体" w:hAnsi="Arial" w:cs="Arial"/>
                <w:sz w:val="16"/>
                <w:szCs w:val="16"/>
              </w:rPr>
              <w:t>SCB</w:t>
            </w:r>
          </w:p>
        </w:tc>
        <w:tc>
          <w:tcPr>
            <w:tcW w:w="0" w:type="auto"/>
            <w:shd w:val="clear" w:color="auto" w:fill="auto"/>
            <w:tcMar>
              <w:top w:w="40" w:type="dxa"/>
              <w:left w:w="40" w:type="dxa"/>
              <w:bottom w:w="40" w:type="dxa"/>
              <w:right w:w="40" w:type="dxa"/>
            </w:tcMar>
            <w:vAlign w:val="center"/>
          </w:tcPr>
          <w:p w14:paraId="555701B3" w14:textId="77777777" w:rsidR="00F925DD" w:rsidRDefault="00E705D7">
            <w:pPr>
              <w:textAlignment w:val="center"/>
              <w:rPr>
                <w:rFonts w:ascii="Times New Roman" w:hAnsi="Times New Roman"/>
                <w:sz w:val="16"/>
                <w:szCs w:val="16"/>
              </w:rPr>
            </w:pPr>
            <w:r>
              <w:rPr>
                <w:rFonts w:ascii="Arial" w:eastAsia="宋体" w:hAnsi="Arial" w:cs="Arial"/>
                <w:sz w:val="16"/>
                <w:szCs w:val="16"/>
              </w:rPr>
              <w:t>Stress Capital Buffer</w:t>
            </w:r>
          </w:p>
        </w:tc>
      </w:tr>
      <w:tr w:rsidR="00F925DD" w14:paraId="555701B9" w14:textId="77777777">
        <w:tc>
          <w:tcPr>
            <w:tcW w:w="0" w:type="auto"/>
            <w:shd w:val="clear" w:color="auto" w:fill="auto"/>
            <w:tcMar>
              <w:top w:w="40" w:type="dxa"/>
              <w:left w:w="40" w:type="dxa"/>
              <w:bottom w:w="40" w:type="dxa"/>
              <w:right w:w="40" w:type="dxa"/>
            </w:tcMar>
            <w:vAlign w:val="center"/>
          </w:tcPr>
          <w:p w14:paraId="555701B5" w14:textId="77777777" w:rsidR="00F925DD" w:rsidRDefault="00E705D7">
            <w:pPr>
              <w:textAlignment w:val="center"/>
              <w:rPr>
                <w:rFonts w:ascii="Times New Roman" w:hAnsi="Times New Roman"/>
                <w:sz w:val="16"/>
                <w:szCs w:val="16"/>
              </w:rPr>
            </w:pPr>
            <w:r>
              <w:rPr>
                <w:rFonts w:ascii="Arial" w:eastAsia="宋体" w:hAnsi="Arial" w:cs="Arial"/>
                <w:sz w:val="16"/>
                <w:szCs w:val="16"/>
              </w:rPr>
              <w:t>EMEA</w:t>
            </w:r>
          </w:p>
        </w:tc>
        <w:tc>
          <w:tcPr>
            <w:tcW w:w="0" w:type="auto"/>
            <w:shd w:val="clear" w:color="auto" w:fill="auto"/>
            <w:tcMar>
              <w:top w:w="40" w:type="dxa"/>
              <w:left w:w="40" w:type="dxa"/>
              <w:bottom w:w="40" w:type="dxa"/>
              <w:right w:w="40" w:type="dxa"/>
            </w:tcMar>
            <w:vAlign w:val="center"/>
          </w:tcPr>
          <w:p w14:paraId="555701B6" w14:textId="77777777" w:rsidR="00F925DD" w:rsidRDefault="00E705D7">
            <w:pPr>
              <w:textAlignment w:val="center"/>
              <w:rPr>
                <w:rFonts w:ascii="Times New Roman" w:hAnsi="Times New Roman"/>
                <w:sz w:val="16"/>
                <w:szCs w:val="16"/>
              </w:rPr>
            </w:pPr>
            <w:r>
              <w:rPr>
                <w:rFonts w:ascii="Arial" w:eastAsia="宋体" w:hAnsi="Arial" w:cs="Arial"/>
                <w:sz w:val="16"/>
                <w:szCs w:val="16"/>
              </w:rPr>
              <w:t>Europe, Middle East, and Africa</w:t>
            </w:r>
          </w:p>
        </w:tc>
        <w:tc>
          <w:tcPr>
            <w:tcW w:w="0" w:type="auto"/>
            <w:shd w:val="clear" w:color="auto" w:fill="auto"/>
            <w:tcMar>
              <w:top w:w="40" w:type="dxa"/>
              <w:left w:w="40" w:type="dxa"/>
              <w:bottom w:w="40" w:type="dxa"/>
              <w:right w:w="40" w:type="dxa"/>
            </w:tcMar>
            <w:vAlign w:val="center"/>
          </w:tcPr>
          <w:p w14:paraId="555701B7" w14:textId="77777777" w:rsidR="00F925DD" w:rsidRDefault="00E705D7">
            <w:pPr>
              <w:textAlignment w:val="center"/>
              <w:rPr>
                <w:rFonts w:ascii="Times New Roman" w:hAnsi="Times New Roman"/>
                <w:sz w:val="16"/>
                <w:szCs w:val="16"/>
              </w:rPr>
            </w:pPr>
            <w:r>
              <w:rPr>
                <w:rFonts w:ascii="Arial" w:eastAsia="宋体" w:hAnsi="Arial" w:cs="Arial"/>
                <w:sz w:val="16"/>
                <w:szCs w:val="16"/>
              </w:rPr>
              <w:t>SEC</w:t>
            </w:r>
          </w:p>
        </w:tc>
        <w:tc>
          <w:tcPr>
            <w:tcW w:w="0" w:type="auto"/>
            <w:shd w:val="clear" w:color="auto" w:fill="auto"/>
            <w:tcMar>
              <w:top w:w="40" w:type="dxa"/>
              <w:left w:w="40" w:type="dxa"/>
              <w:bottom w:w="40" w:type="dxa"/>
              <w:right w:w="40" w:type="dxa"/>
            </w:tcMar>
            <w:vAlign w:val="center"/>
          </w:tcPr>
          <w:p w14:paraId="555701B8" w14:textId="77777777" w:rsidR="00F925DD" w:rsidRDefault="00E705D7">
            <w:pPr>
              <w:textAlignment w:val="center"/>
              <w:rPr>
                <w:rFonts w:ascii="Times New Roman" w:hAnsi="Times New Roman"/>
                <w:sz w:val="16"/>
                <w:szCs w:val="16"/>
              </w:rPr>
            </w:pPr>
            <w:r>
              <w:rPr>
                <w:rFonts w:ascii="Arial" w:eastAsia="宋体" w:hAnsi="Arial" w:cs="Arial"/>
                <w:sz w:val="16"/>
                <w:szCs w:val="16"/>
              </w:rPr>
              <w:t>Securities and Exchange Commission</w:t>
            </w:r>
          </w:p>
        </w:tc>
      </w:tr>
      <w:tr w:rsidR="00F925DD" w14:paraId="555701BE" w14:textId="77777777">
        <w:tc>
          <w:tcPr>
            <w:tcW w:w="0" w:type="auto"/>
            <w:shd w:val="clear" w:color="auto" w:fill="auto"/>
            <w:tcMar>
              <w:top w:w="40" w:type="dxa"/>
              <w:left w:w="40" w:type="dxa"/>
              <w:bottom w:w="40" w:type="dxa"/>
              <w:right w:w="40" w:type="dxa"/>
            </w:tcMar>
            <w:vAlign w:val="center"/>
          </w:tcPr>
          <w:p w14:paraId="555701BA" w14:textId="77777777" w:rsidR="00F925DD" w:rsidRDefault="00E705D7">
            <w:pPr>
              <w:textAlignment w:val="center"/>
              <w:rPr>
                <w:rFonts w:ascii="Times New Roman" w:hAnsi="Times New Roman"/>
                <w:sz w:val="16"/>
                <w:szCs w:val="16"/>
              </w:rPr>
            </w:pPr>
            <w:r>
              <w:rPr>
                <w:rFonts w:ascii="Arial" w:eastAsia="宋体" w:hAnsi="Arial" w:cs="Arial"/>
                <w:sz w:val="16"/>
                <w:szCs w:val="16"/>
              </w:rPr>
              <w:t>EPS</w:t>
            </w:r>
          </w:p>
        </w:tc>
        <w:tc>
          <w:tcPr>
            <w:tcW w:w="0" w:type="auto"/>
            <w:shd w:val="clear" w:color="auto" w:fill="auto"/>
            <w:tcMar>
              <w:top w:w="40" w:type="dxa"/>
              <w:left w:w="40" w:type="dxa"/>
              <w:bottom w:w="40" w:type="dxa"/>
              <w:right w:w="40" w:type="dxa"/>
            </w:tcMar>
            <w:vAlign w:val="center"/>
          </w:tcPr>
          <w:p w14:paraId="555701BB" w14:textId="77777777" w:rsidR="00F925DD" w:rsidRDefault="00E705D7">
            <w:pPr>
              <w:textAlignment w:val="center"/>
              <w:rPr>
                <w:rFonts w:ascii="Times New Roman" w:hAnsi="Times New Roman"/>
                <w:sz w:val="16"/>
                <w:szCs w:val="16"/>
              </w:rPr>
            </w:pPr>
            <w:r>
              <w:rPr>
                <w:rFonts w:ascii="Arial" w:eastAsia="宋体" w:hAnsi="Arial" w:cs="Arial"/>
                <w:sz w:val="16"/>
                <w:szCs w:val="16"/>
              </w:rPr>
              <w:t>Earnings per share</w:t>
            </w:r>
          </w:p>
        </w:tc>
        <w:tc>
          <w:tcPr>
            <w:tcW w:w="0" w:type="auto"/>
            <w:shd w:val="clear" w:color="auto" w:fill="auto"/>
            <w:tcMar>
              <w:top w:w="40" w:type="dxa"/>
              <w:left w:w="40" w:type="dxa"/>
              <w:bottom w:w="40" w:type="dxa"/>
              <w:right w:w="40" w:type="dxa"/>
            </w:tcMar>
            <w:vAlign w:val="center"/>
          </w:tcPr>
          <w:p w14:paraId="555701BC" w14:textId="77777777" w:rsidR="00F925DD" w:rsidRDefault="00E705D7">
            <w:pPr>
              <w:textAlignment w:val="center"/>
              <w:rPr>
                <w:rFonts w:ascii="Times New Roman" w:hAnsi="Times New Roman"/>
                <w:sz w:val="16"/>
                <w:szCs w:val="16"/>
              </w:rPr>
            </w:pPr>
            <w:r>
              <w:rPr>
                <w:rFonts w:ascii="Arial" w:eastAsia="宋体" w:hAnsi="Arial" w:cs="Arial"/>
                <w:sz w:val="16"/>
                <w:szCs w:val="16"/>
              </w:rPr>
              <w:t>SIFI</w:t>
            </w:r>
          </w:p>
        </w:tc>
        <w:tc>
          <w:tcPr>
            <w:tcW w:w="0" w:type="auto"/>
            <w:shd w:val="clear" w:color="auto" w:fill="auto"/>
            <w:tcMar>
              <w:top w:w="40" w:type="dxa"/>
              <w:left w:w="40" w:type="dxa"/>
              <w:bottom w:w="40" w:type="dxa"/>
              <w:right w:w="40" w:type="dxa"/>
            </w:tcMar>
            <w:vAlign w:val="center"/>
          </w:tcPr>
          <w:p w14:paraId="555701BD" w14:textId="77777777" w:rsidR="00F925DD" w:rsidRDefault="00E705D7">
            <w:pPr>
              <w:textAlignment w:val="center"/>
              <w:rPr>
                <w:rFonts w:ascii="Times New Roman" w:hAnsi="Times New Roman"/>
                <w:sz w:val="16"/>
                <w:szCs w:val="16"/>
              </w:rPr>
            </w:pPr>
            <w:r>
              <w:rPr>
                <w:rFonts w:ascii="Arial" w:eastAsia="宋体" w:hAnsi="Arial" w:cs="Arial"/>
                <w:sz w:val="16"/>
                <w:szCs w:val="16"/>
              </w:rPr>
              <w:t>Sy</w:t>
            </w:r>
            <w:r>
              <w:rPr>
                <w:rFonts w:ascii="Arial" w:eastAsia="宋体" w:hAnsi="Arial" w:cs="Arial"/>
                <w:sz w:val="16"/>
                <w:szCs w:val="16"/>
              </w:rPr>
              <w:t>stemically important financial institutions</w:t>
            </w:r>
          </w:p>
        </w:tc>
      </w:tr>
      <w:tr w:rsidR="00F925DD" w14:paraId="555701C3" w14:textId="77777777">
        <w:tc>
          <w:tcPr>
            <w:tcW w:w="0" w:type="auto"/>
            <w:shd w:val="clear" w:color="auto" w:fill="auto"/>
            <w:tcMar>
              <w:top w:w="40" w:type="dxa"/>
              <w:left w:w="40" w:type="dxa"/>
              <w:bottom w:w="40" w:type="dxa"/>
              <w:right w:w="40" w:type="dxa"/>
            </w:tcMar>
            <w:vAlign w:val="center"/>
          </w:tcPr>
          <w:p w14:paraId="555701BF" w14:textId="77777777" w:rsidR="00F925DD" w:rsidRDefault="00E705D7">
            <w:pPr>
              <w:textAlignment w:val="center"/>
              <w:rPr>
                <w:rFonts w:ascii="Times New Roman" w:hAnsi="Times New Roman"/>
                <w:sz w:val="16"/>
                <w:szCs w:val="16"/>
              </w:rPr>
            </w:pPr>
            <w:r>
              <w:rPr>
                <w:rFonts w:ascii="Arial" w:eastAsia="宋体" w:hAnsi="Arial" w:cs="Arial"/>
                <w:sz w:val="16"/>
                <w:szCs w:val="16"/>
              </w:rPr>
              <w:t>ERM</w:t>
            </w:r>
          </w:p>
        </w:tc>
        <w:tc>
          <w:tcPr>
            <w:tcW w:w="0" w:type="auto"/>
            <w:shd w:val="clear" w:color="auto" w:fill="auto"/>
            <w:tcMar>
              <w:top w:w="40" w:type="dxa"/>
              <w:left w:w="40" w:type="dxa"/>
              <w:bottom w:w="40" w:type="dxa"/>
              <w:right w:w="40" w:type="dxa"/>
            </w:tcMar>
            <w:vAlign w:val="center"/>
          </w:tcPr>
          <w:p w14:paraId="555701C0" w14:textId="77777777" w:rsidR="00F925DD" w:rsidRDefault="00E705D7">
            <w:pPr>
              <w:textAlignment w:val="center"/>
              <w:rPr>
                <w:rFonts w:ascii="Times New Roman" w:hAnsi="Times New Roman"/>
                <w:sz w:val="16"/>
                <w:szCs w:val="16"/>
              </w:rPr>
            </w:pPr>
            <w:r>
              <w:rPr>
                <w:rFonts w:ascii="Arial" w:eastAsia="宋体" w:hAnsi="Arial" w:cs="Arial"/>
                <w:sz w:val="16"/>
                <w:szCs w:val="16"/>
              </w:rPr>
              <w:t>Enterprise Risk Management</w:t>
            </w:r>
          </w:p>
        </w:tc>
        <w:tc>
          <w:tcPr>
            <w:tcW w:w="0" w:type="auto"/>
            <w:shd w:val="clear" w:color="auto" w:fill="auto"/>
            <w:tcMar>
              <w:top w:w="40" w:type="dxa"/>
              <w:left w:w="40" w:type="dxa"/>
              <w:bottom w:w="40" w:type="dxa"/>
              <w:right w:w="40" w:type="dxa"/>
            </w:tcMar>
            <w:vAlign w:val="center"/>
          </w:tcPr>
          <w:p w14:paraId="555701C1" w14:textId="77777777" w:rsidR="00F925DD" w:rsidRDefault="00E705D7">
            <w:pPr>
              <w:textAlignment w:val="center"/>
              <w:rPr>
                <w:rFonts w:ascii="Times New Roman" w:hAnsi="Times New Roman"/>
                <w:sz w:val="16"/>
                <w:szCs w:val="16"/>
              </w:rPr>
            </w:pPr>
            <w:r>
              <w:rPr>
                <w:rFonts w:ascii="Arial" w:eastAsia="宋体" w:hAnsi="Arial" w:cs="Arial"/>
                <w:sz w:val="16"/>
                <w:szCs w:val="16"/>
              </w:rPr>
              <w:t>SLB</w:t>
            </w:r>
          </w:p>
        </w:tc>
        <w:tc>
          <w:tcPr>
            <w:tcW w:w="0" w:type="auto"/>
            <w:shd w:val="clear" w:color="auto" w:fill="auto"/>
            <w:tcMar>
              <w:top w:w="40" w:type="dxa"/>
              <w:left w:w="40" w:type="dxa"/>
              <w:bottom w:w="40" w:type="dxa"/>
              <w:right w:w="40" w:type="dxa"/>
            </w:tcMar>
            <w:vAlign w:val="center"/>
          </w:tcPr>
          <w:p w14:paraId="555701C2" w14:textId="77777777" w:rsidR="00F925DD" w:rsidRDefault="00E705D7">
            <w:pPr>
              <w:textAlignment w:val="center"/>
              <w:rPr>
                <w:rFonts w:ascii="Times New Roman" w:hAnsi="Times New Roman"/>
                <w:sz w:val="16"/>
                <w:szCs w:val="16"/>
              </w:rPr>
            </w:pPr>
            <w:r>
              <w:rPr>
                <w:rFonts w:ascii="Arial" w:eastAsia="宋体" w:hAnsi="Arial" w:cs="Arial"/>
                <w:sz w:val="16"/>
                <w:szCs w:val="16"/>
              </w:rPr>
              <w:t>Stress Leverage Buffer</w:t>
            </w:r>
          </w:p>
        </w:tc>
      </w:tr>
      <w:tr w:rsidR="00F925DD" w14:paraId="555701C8" w14:textId="77777777">
        <w:tc>
          <w:tcPr>
            <w:tcW w:w="0" w:type="auto"/>
            <w:shd w:val="clear" w:color="auto" w:fill="auto"/>
            <w:tcMar>
              <w:top w:w="40" w:type="dxa"/>
              <w:left w:w="40" w:type="dxa"/>
              <w:bottom w:w="40" w:type="dxa"/>
              <w:right w:w="40" w:type="dxa"/>
            </w:tcMar>
            <w:vAlign w:val="center"/>
          </w:tcPr>
          <w:p w14:paraId="555701C4" w14:textId="77777777" w:rsidR="00F925DD" w:rsidRDefault="00E705D7">
            <w:pPr>
              <w:textAlignment w:val="center"/>
              <w:rPr>
                <w:rFonts w:ascii="Times New Roman" w:hAnsi="Times New Roman"/>
                <w:sz w:val="16"/>
                <w:szCs w:val="16"/>
              </w:rPr>
            </w:pPr>
            <w:r>
              <w:rPr>
                <w:rFonts w:ascii="Arial" w:eastAsia="宋体" w:hAnsi="Arial" w:cs="Arial"/>
                <w:sz w:val="16"/>
                <w:szCs w:val="16"/>
              </w:rPr>
              <w:t>eSLR</w:t>
            </w:r>
          </w:p>
        </w:tc>
        <w:tc>
          <w:tcPr>
            <w:tcW w:w="0" w:type="auto"/>
            <w:shd w:val="clear" w:color="auto" w:fill="auto"/>
            <w:tcMar>
              <w:top w:w="40" w:type="dxa"/>
              <w:left w:w="40" w:type="dxa"/>
              <w:bottom w:w="40" w:type="dxa"/>
              <w:right w:w="40" w:type="dxa"/>
            </w:tcMar>
            <w:vAlign w:val="center"/>
          </w:tcPr>
          <w:p w14:paraId="555701C5" w14:textId="77777777" w:rsidR="00F925DD" w:rsidRDefault="00E705D7">
            <w:pPr>
              <w:textAlignment w:val="center"/>
              <w:rPr>
                <w:rFonts w:ascii="Times New Roman" w:hAnsi="Times New Roman"/>
                <w:sz w:val="16"/>
                <w:szCs w:val="16"/>
              </w:rPr>
            </w:pPr>
            <w:r>
              <w:rPr>
                <w:rFonts w:ascii="Arial" w:eastAsia="宋体" w:hAnsi="Arial" w:cs="Arial"/>
                <w:sz w:val="16"/>
                <w:szCs w:val="16"/>
              </w:rPr>
              <w:t>Enhanced supplementary leverage ratio</w:t>
            </w:r>
          </w:p>
        </w:tc>
        <w:tc>
          <w:tcPr>
            <w:tcW w:w="0" w:type="auto"/>
            <w:shd w:val="clear" w:color="auto" w:fill="auto"/>
            <w:tcMar>
              <w:top w:w="40" w:type="dxa"/>
              <w:left w:w="40" w:type="dxa"/>
              <w:bottom w:w="40" w:type="dxa"/>
              <w:right w:w="40" w:type="dxa"/>
            </w:tcMar>
            <w:vAlign w:val="center"/>
          </w:tcPr>
          <w:p w14:paraId="555701C6" w14:textId="77777777" w:rsidR="00F925DD" w:rsidRDefault="00E705D7">
            <w:pPr>
              <w:textAlignment w:val="center"/>
              <w:rPr>
                <w:rFonts w:ascii="Times New Roman" w:hAnsi="Times New Roman"/>
                <w:sz w:val="16"/>
                <w:szCs w:val="16"/>
              </w:rPr>
            </w:pPr>
            <w:r>
              <w:rPr>
                <w:rFonts w:ascii="Arial" w:eastAsia="宋体" w:hAnsi="Arial" w:cs="Arial"/>
                <w:sz w:val="16"/>
                <w:szCs w:val="16"/>
              </w:rPr>
              <w:t>SLR</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555701C7" w14:textId="77777777" w:rsidR="00F925DD" w:rsidRDefault="00E705D7">
            <w:pPr>
              <w:textAlignment w:val="center"/>
              <w:rPr>
                <w:rFonts w:ascii="Times New Roman" w:hAnsi="Times New Roman"/>
                <w:sz w:val="16"/>
                <w:szCs w:val="16"/>
              </w:rPr>
            </w:pPr>
            <w:r>
              <w:rPr>
                <w:rFonts w:ascii="Arial" w:eastAsia="宋体" w:hAnsi="Arial" w:cs="Arial"/>
                <w:sz w:val="16"/>
                <w:szCs w:val="16"/>
              </w:rPr>
              <w:t>Supplementary leverage ratio</w:t>
            </w:r>
          </w:p>
        </w:tc>
      </w:tr>
      <w:tr w:rsidR="00F925DD" w14:paraId="555701CD" w14:textId="77777777">
        <w:tc>
          <w:tcPr>
            <w:tcW w:w="0" w:type="auto"/>
            <w:shd w:val="clear" w:color="auto" w:fill="auto"/>
            <w:tcMar>
              <w:top w:w="40" w:type="dxa"/>
              <w:left w:w="40" w:type="dxa"/>
              <w:bottom w:w="40" w:type="dxa"/>
              <w:right w:w="40" w:type="dxa"/>
            </w:tcMar>
            <w:vAlign w:val="center"/>
          </w:tcPr>
          <w:p w14:paraId="555701C9" w14:textId="77777777" w:rsidR="00F925DD" w:rsidRDefault="00E705D7">
            <w:pPr>
              <w:textAlignment w:val="center"/>
              <w:rPr>
                <w:rFonts w:ascii="Times New Roman" w:hAnsi="Times New Roman"/>
                <w:sz w:val="16"/>
                <w:szCs w:val="16"/>
              </w:rPr>
            </w:pPr>
            <w:r>
              <w:rPr>
                <w:rFonts w:ascii="Arial" w:eastAsia="宋体" w:hAnsi="Arial" w:cs="Arial"/>
                <w:sz w:val="16"/>
                <w:szCs w:val="16"/>
              </w:rPr>
              <w:t>ETF</w:t>
            </w:r>
          </w:p>
        </w:tc>
        <w:tc>
          <w:tcPr>
            <w:tcW w:w="0" w:type="auto"/>
            <w:shd w:val="clear" w:color="auto" w:fill="auto"/>
            <w:tcMar>
              <w:top w:w="40" w:type="dxa"/>
              <w:left w:w="40" w:type="dxa"/>
              <w:bottom w:w="40" w:type="dxa"/>
              <w:right w:w="40" w:type="dxa"/>
            </w:tcMar>
            <w:vAlign w:val="center"/>
          </w:tcPr>
          <w:p w14:paraId="555701CA" w14:textId="77777777" w:rsidR="00F925DD" w:rsidRDefault="00E705D7">
            <w:pPr>
              <w:textAlignment w:val="center"/>
              <w:rPr>
                <w:rFonts w:ascii="Times New Roman" w:hAnsi="Times New Roman"/>
                <w:sz w:val="16"/>
                <w:szCs w:val="16"/>
              </w:rPr>
            </w:pPr>
            <w:r>
              <w:rPr>
                <w:rFonts w:ascii="Arial" w:eastAsia="宋体" w:hAnsi="Arial" w:cs="Arial"/>
                <w:sz w:val="16"/>
                <w:szCs w:val="16"/>
              </w:rPr>
              <w:t>Exchange-Traded Fund</w:t>
            </w:r>
          </w:p>
        </w:tc>
        <w:tc>
          <w:tcPr>
            <w:tcW w:w="0" w:type="auto"/>
            <w:shd w:val="clear" w:color="auto" w:fill="auto"/>
            <w:tcMar>
              <w:top w:w="40" w:type="dxa"/>
              <w:left w:w="40" w:type="dxa"/>
              <w:bottom w:w="40" w:type="dxa"/>
              <w:right w:w="40" w:type="dxa"/>
            </w:tcMar>
            <w:vAlign w:val="center"/>
          </w:tcPr>
          <w:p w14:paraId="555701CB" w14:textId="77777777" w:rsidR="00F925DD" w:rsidRDefault="00E705D7">
            <w:pPr>
              <w:textAlignment w:val="center"/>
              <w:rPr>
                <w:rFonts w:ascii="Times New Roman" w:hAnsi="Times New Roman"/>
                <w:sz w:val="16"/>
                <w:szCs w:val="16"/>
              </w:rPr>
            </w:pPr>
            <w:r>
              <w:rPr>
                <w:rFonts w:ascii="Arial" w:eastAsia="宋体" w:hAnsi="Arial" w:cs="Arial"/>
                <w:sz w:val="16"/>
                <w:szCs w:val="16"/>
              </w:rPr>
              <w:t>SOX</w:t>
            </w:r>
          </w:p>
        </w:tc>
        <w:tc>
          <w:tcPr>
            <w:tcW w:w="0" w:type="auto"/>
            <w:shd w:val="clear" w:color="auto" w:fill="auto"/>
            <w:tcMar>
              <w:top w:w="40" w:type="dxa"/>
              <w:left w:w="40" w:type="dxa"/>
              <w:bottom w:w="40" w:type="dxa"/>
              <w:right w:w="40" w:type="dxa"/>
            </w:tcMar>
            <w:vAlign w:val="center"/>
          </w:tcPr>
          <w:p w14:paraId="555701CC" w14:textId="77777777" w:rsidR="00F925DD" w:rsidRDefault="00E705D7">
            <w:pPr>
              <w:textAlignment w:val="center"/>
              <w:rPr>
                <w:rFonts w:ascii="Times New Roman" w:hAnsi="Times New Roman"/>
                <w:sz w:val="16"/>
                <w:szCs w:val="16"/>
              </w:rPr>
            </w:pPr>
            <w:r>
              <w:rPr>
                <w:rFonts w:ascii="Arial" w:eastAsia="宋体" w:hAnsi="Arial" w:cs="Arial"/>
                <w:sz w:val="16"/>
                <w:szCs w:val="16"/>
              </w:rPr>
              <w:t>Sarbanes-Oxley Act of 2002</w:t>
            </w:r>
          </w:p>
        </w:tc>
      </w:tr>
      <w:tr w:rsidR="00F925DD" w14:paraId="555701D2" w14:textId="77777777">
        <w:tc>
          <w:tcPr>
            <w:tcW w:w="0" w:type="auto"/>
            <w:shd w:val="clear" w:color="auto" w:fill="auto"/>
            <w:tcMar>
              <w:top w:w="40" w:type="dxa"/>
              <w:left w:w="40" w:type="dxa"/>
              <w:bottom w:w="40" w:type="dxa"/>
              <w:right w:w="40" w:type="dxa"/>
            </w:tcMar>
            <w:vAlign w:val="center"/>
          </w:tcPr>
          <w:p w14:paraId="555701CE" w14:textId="77777777" w:rsidR="00F925DD" w:rsidRDefault="00E705D7">
            <w:pPr>
              <w:textAlignment w:val="center"/>
              <w:rPr>
                <w:rFonts w:ascii="Times New Roman" w:hAnsi="Times New Roman"/>
                <w:sz w:val="16"/>
                <w:szCs w:val="16"/>
              </w:rPr>
            </w:pPr>
            <w:r>
              <w:rPr>
                <w:rFonts w:ascii="Arial" w:eastAsia="宋体" w:hAnsi="Arial" w:cs="Arial"/>
                <w:sz w:val="16"/>
                <w:szCs w:val="16"/>
              </w:rPr>
              <w:t>EVE</w:t>
            </w:r>
          </w:p>
        </w:tc>
        <w:tc>
          <w:tcPr>
            <w:tcW w:w="0" w:type="auto"/>
            <w:shd w:val="clear" w:color="auto" w:fill="auto"/>
            <w:tcMar>
              <w:top w:w="40" w:type="dxa"/>
              <w:left w:w="40" w:type="dxa"/>
              <w:bottom w:w="40" w:type="dxa"/>
              <w:right w:w="40" w:type="dxa"/>
            </w:tcMar>
            <w:vAlign w:val="center"/>
          </w:tcPr>
          <w:p w14:paraId="555701CF" w14:textId="77777777" w:rsidR="00F925DD" w:rsidRDefault="00E705D7">
            <w:pPr>
              <w:textAlignment w:val="center"/>
              <w:rPr>
                <w:rFonts w:ascii="Times New Roman" w:hAnsi="Times New Roman"/>
                <w:sz w:val="16"/>
                <w:szCs w:val="16"/>
              </w:rPr>
            </w:pPr>
            <w:r>
              <w:rPr>
                <w:rFonts w:ascii="Arial" w:eastAsia="宋体" w:hAnsi="Arial" w:cs="Arial"/>
                <w:sz w:val="16"/>
                <w:szCs w:val="16"/>
              </w:rPr>
              <w:t>Economic value of equity</w:t>
            </w:r>
          </w:p>
        </w:tc>
        <w:tc>
          <w:tcPr>
            <w:tcW w:w="0" w:type="auto"/>
            <w:shd w:val="clear" w:color="auto" w:fill="auto"/>
            <w:tcMar>
              <w:top w:w="40" w:type="dxa"/>
              <w:left w:w="40" w:type="dxa"/>
              <w:bottom w:w="40" w:type="dxa"/>
              <w:right w:w="40" w:type="dxa"/>
            </w:tcMar>
            <w:vAlign w:val="center"/>
          </w:tcPr>
          <w:p w14:paraId="555701D0" w14:textId="77777777" w:rsidR="00F925DD" w:rsidRDefault="00E705D7">
            <w:pPr>
              <w:textAlignment w:val="center"/>
              <w:rPr>
                <w:rFonts w:ascii="Times New Roman" w:hAnsi="Times New Roman"/>
                <w:sz w:val="16"/>
                <w:szCs w:val="16"/>
              </w:rPr>
            </w:pPr>
            <w:r>
              <w:rPr>
                <w:rFonts w:ascii="Arial" w:eastAsia="宋体" w:hAnsi="Arial" w:cs="Arial"/>
                <w:sz w:val="16"/>
                <w:szCs w:val="16"/>
              </w:rPr>
              <w:t>SPDR</w:t>
            </w:r>
          </w:p>
        </w:tc>
        <w:tc>
          <w:tcPr>
            <w:tcW w:w="0" w:type="auto"/>
            <w:shd w:val="clear" w:color="auto" w:fill="auto"/>
            <w:tcMar>
              <w:top w:w="40" w:type="dxa"/>
              <w:left w:w="40" w:type="dxa"/>
              <w:bottom w:w="40" w:type="dxa"/>
              <w:right w:w="40" w:type="dxa"/>
            </w:tcMar>
            <w:vAlign w:val="center"/>
          </w:tcPr>
          <w:p w14:paraId="555701D1" w14:textId="77777777" w:rsidR="00F925DD" w:rsidRDefault="00E705D7">
            <w:pPr>
              <w:textAlignment w:val="center"/>
              <w:rPr>
                <w:rFonts w:ascii="Times New Roman" w:hAnsi="Times New Roman"/>
                <w:sz w:val="16"/>
                <w:szCs w:val="16"/>
              </w:rPr>
            </w:pPr>
            <w:r>
              <w:rPr>
                <w:rFonts w:ascii="Arial" w:eastAsia="宋体" w:hAnsi="Arial" w:cs="Arial"/>
                <w:sz w:val="16"/>
                <w:szCs w:val="16"/>
              </w:rPr>
              <w:t>Spider; Standard and Poor's depository receipt</w:t>
            </w:r>
          </w:p>
        </w:tc>
      </w:tr>
      <w:tr w:rsidR="00F925DD" w14:paraId="555701D7" w14:textId="77777777">
        <w:tc>
          <w:tcPr>
            <w:tcW w:w="0" w:type="auto"/>
            <w:shd w:val="clear" w:color="auto" w:fill="auto"/>
            <w:tcMar>
              <w:top w:w="40" w:type="dxa"/>
              <w:left w:w="40" w:type="dxa"/>
              <w:bottom w:w="40" w:type="dxa"/>
              <w:right w:w="40" w:type="dxa"/>
            </w:tcMar>
            <w:vAlign w:val="center"/>
          </w:tcPr>
          <w:p w14:paraId="555701D3" w14:textId="77777777" w:rsidR="00F925DD" w:rsidRDefault="00E705D7">
            <w:pPr>
              <w:textAlignment w:val="center"/>
              <w:rPr>
                <w:rFonts w:ascii="Times New Roman" w:hAnsi="Times New Roman"/>
                <w:sz w:val="16"/>
                <w:szCs w:val="16"/>
              </w:rPr>
            </w:pPr>
            <w:r>
              <w:rPr>
                <w:rFonts w:ascii="Arial" w:eastAsia="宋体" w:hAnsi="Arial" w:cs="Arial"/>
                <w:sz w:val="16"/>
                <w:szCs w:val="16"/>
              </w:rPr>
              <w:t>FDIC</w:t>
            </w:r>
          </w:p>
        </w:tc>
        <w:tc>
          <w:tcPr>
            <w:tcW w:w="0" w:type="auto"/>
            <w:shd w:val="clear" w:color="auto" w:fill="auto"/>
            <w:tcMar>
              <w:top w:w="40" w:type="dxa"/>
              <w:left w:w="40" w:type="dxa"/>
              <w:bottom w:w="40" w:type="dxa"/>
              <w:right w:w="40" w:type="dxa"/>
            </w:tcMar>
            <w:vAlign w:val="center"/>
          </w:tcPr>
          <w:p w14:paraId="555701D4" w14:textId="77777777" w:rsidR="00F925DD" w:rsidRDefault="00E705D7">
            <w:pPr>
              <w:textAlignment w:val="center"/>
              <w:rPr>
                <w:rFonts w:ascii="Times New Roman" w:hAnsi="Times New Roman"/>
                <w:sz w:val="16"/>
                <w:szCs w:val="16"/>
              </w:rPr>
            </w:pPr>
            <w:r>
              <w:rPr>
                <w:rFonts w:ascii="Arial" w:eastAsia="宋体" w:hAnsi="Arial" w:cs="Arial"/>
                <w:sz w:val="16"/>
                <w:szCs w:val="16"/>
              </w:rPr>
              <w:t>Federal Deposit Insurance Corporation</w:t>
            </w:r>
          </w:p>
        </w:tc>
        <w:tc>
          <w:tcPr>
            <w:tcW w:w="0" w:type="auto"/>
            <w:shd w:val="clear" w:color="auto" w:fill="auto"/>
            <w:tcMar>
              <w:top w:w="40" w:type="dxa"/>
              <w:left w:w="40" w:type="dxa"/>
              <w:bottom w:w="40" w:type="dxa"/>
              <w:right w:w="40" w:type="dxa"/>
            </w:tcMar>
            <w:vAlign w:val="center"/>
          </w:tcPr>
          <w:p w14:paraId="555701D5" w14:textId="77777777" w:rsidR="00F925DD" w:rsidRDefault="00E705D7">
            <w:pPr>
              <w:textAlignment w:val="center"/>
              <w:rPr>
                <w:rFonts w:ascii="Times New Roman" w:hAnsi="Times New Roman"/>
                <w:sz w:val="16"/>
                <w:szCs w:val="16"/>
              </w:rPr>
            </w:pPr>
            <w:r>
              <w:rPr>
                <w:rFonts w:ascii="Arial" w:eastAsia="宋体" w:hAnsi="Arial" w:cs="Arial"/>
                <w:sz w:val="16"/>
                <w:szCs w:val="16"/>
              </w:rPr>
              <w:t>SPOE Strategy</w:t>
            </w:r>
          </w:p>
        </w:tc>
        <w:tc>
          <w:tcPr>
            <w:tcW w:w="0" w:type="auto"/>
            <w:shd w:val="clear" w:color="auto" w:fill="auto"/>
            <w:tcMar>
              <w:top w:w="40" w:type="dxa"/>
              <w:left w:w="40" w:type="dxa"/>
              <w:bottom w:w="40" w:type="dxa"/>
              <w:right w:w="40" w:type="dxa"/>
            </w:tcMar>
            <w:vAlign w:val="center"/>
          </w:tcPr>
          <w:p w14:paraId="555701D6" w14:textId="77777777" w:rsidR="00F925DD" w:rsidRDefault="00E705D7">
            <w:pPr>
              <w:textAlignment w:val="center"/>
              <w:rPr>
                <w:rFonts w:ascii="Times New Roman" w:hAnsi="Times New Roman"/>
                <w:sz w:val="16"/>
                <w:szCs w:val="16"/>
              </w:rPr>
            </w:pPr>
            <w:r>
              <w:rPr>
                <w:rFonts w:ascii="Arial" w:eastAsia="宋体" w:hAnsi="Arial" w:cs="Arial"/>
                <w:sz w:val="16"/>
                <w:szCs w:val="16"/>
              </w:rPr>
              <w:t>Single Point of Entry Strategy</w:t>
            </w:r>
          </w:p>
        </w:tc>
      </w:tr>
      <w:tr w:rsidR="00F925DD" w14:paraId="555701DC" w14:textId="77777777">
        <w:tc>
          <w:tcPr>
            <w:tcW w:w="0" w:type="auto"/>
            <w:shd w:val="clear" w:color="auto" w:fill="auto"/>
            <w:tcMar>
              <w:top w:w="40" w:type="dxa"/>
              <w:left w:w="40" w:type="dxa"/>
              <w:bottom w:w="40" w:type="dxa"/>
              <w:right w:w="40" w:type="dxa"/>
            </w:tcMar>
            <w:vAlign w:val="center"/>
          </w:tcPr>
          <w:p w14:paraId="555701D8" w14:textId="77777777" w:rsidR="00F925DD" w:rsidRDefault="00E705D7">
            <w:pPr>
              <w:textAlignment w:val="center"/>
              <w:rPr>
                <w:rFonts w:ascii="Times New Roman" w:hAnsi="Times New Roman"/>
                <w:sz w:val="16"/>
                <w:szCs w:val="16"/>
              </w:rPr>
            </w:pPr>
            <w:r>
              <w:rPr>
                <w:rFonts w:ascii="Arial" w:eastAsia="宋体" w:hAnsi="Arial" w:cs="Arial"/>
                <w:sz w:val="16"/>
                <w:szCs w:val="16"/>
              </w:rPr>
              <w:t>FFELP</w:t>
            </w:r>
          </w:p>
        </w:tc>
        <w:tc>
          <w:tcPr>
            <w:tcW w:w="0" w:type="auto"/>
            <w:shd w:val="clear" w:color="auto" w:fill="auto"/>
            <w:tcMar>
              <w:top w:w="40" w:type="dxa"/>
              <w:left w:w="40" w:type="dxa"/>
              <w:bottom w:w="40" w:type="dxa"/>
              <w:right w:w="40" w:type="dxa"/>
            </w:tcMar>
            <w:vAlign w:val="center"/>
          </w:tcPr>
          <w:p w14:paraId="555701D9" w14:textId="77777777" w:rsidR="00F925DD" w:rsidRDefault="00E705D7">
            <w:pPr>
              <w:textAlignment w:val="center"/>
              <w:rPr>
                <w:rFonts w:ascii="Times New Roman" w:hAnsi="Times New Roman"/>
                <w:sz w:val="16"/>
                <w:szCs w:val="16"/>
              </w:rPr>
            </w:pPr>
            <w:r>
              <w:rPr>
                <w:rFonts w:ascii="Arial" w:eastAsia="宋体" w:hAnsi="Arial" w:cs="Arial"/>
                <w:sz w:val="16"/>
                <w:szCs w:val="16"/>
              </w:rPr>
              <w:t>Federal Family Education Loan Program</w:t>
            </w:r>
          </w:p>
        </w:tc>
        <w:tc>
          <w:tcPr>
            <w:tcW w:w="0" w:type="auto"/>
            <w:shd w:val="clear" w:color="auto" w:fill="auto"/>
            <w:tcMar>
              <w:top w:w="40" w:type="dxa"/>
              <w:left w:w="40" w:type="dxa"/>
              <w:bottom w:w="40" w:type="dxa"/>
              <w:right w:w="40" w:type="dxa"/>
            </w:tcMar>
            <w:vAlign w:val="center"/>
          </w:tcPr>
          <w:p w14:paraId="555701DA" w14:textId="77777777" w:rsidR="00F925DD" w:rsidRDefault="00E705D7">
            <w:pPr>
              <w:textAlignment w:val="center"/>
              <w:rPr>
                <w:rFonts w:ascii="Times New Roman" w:hAnsi="Times New Roman"/>
                <w:sz w:val="16"/>
                <w:szCs w:val="16"/>
              </w:rPr>
            </w:pPr>
            <w:r>
              <w:rPr>
                <w:rFonts w:ascii="Arial" w:eastAsia="宋体" w:hAnsi="Arial" w:cs="Arial"/>
                <w:sz w:val="16"/>
                <w:szCs w:val="16"/>
              </w:rPr>
              <w:t>SSIF</w:t>
            </w:r>
          </w:p>
        </w:tc>
        <w:tc>
          <w:tcPr>
            <w:tcW w:w="0" w:type="auto"/>
            <w:shd w:val="clear" w:color="auto" w:fill="auto"/>
            <w:tcMar>
              <w:top w:w="40" w:type="dxa"/>
              <w:left w:w="40" w:type="dxa"/>
              <w:bottom w:w="40" w:type="dxa"/>
              <w:right w:w="40" w:type="dxa"/>
            </w:tcMar>
            <w:vAlign w:val="center"/>
          </w:tcPr>
          <w:p w14:paraId="555701DB" w14:textId="77777777" w:rsidR="00F925DD" w:rsidRDefault="00E705D7">
            <w:pPr>
              <w:textAlignment w:val="center"/>
              <w:rPr>
                <w:rFonts w:ascii="Times New Roman" w:hAnsi="Times New Roman"/>
                <w:sz w:val="16"/>
                <w:szCs w:val="16"/>
              </w:rPr>
            </w:pPr>
            <w:r>
              <w:rPr>
                <w:rFonts w:ascii="Arial" w:eastAsia="宋体" w:hAnsi="Arial" w:cs="Arial"/>
                <w:sz w:val="16"/>
                <w:szCs w:val="16"/>
              </w:rPr>
              <w:t xml:space="preserve">State Street Intermediate </w:t>
            </w:r>
            <w:r>
              <w:rPr>
                <w:rFonts w:ascii="Arial" w:eastAsia="宋体" w:hAnsi="Arial" w:cs="Arial"/>
                <w:sz w:val="16"/>
                <w:szCs w:val="16"/>
              </w:rPr>
              <w:t>Funding, LLC</w:t>
            </w:r>
          </w:p>
        </w:tc>
      </w:tr>
      <w:tr w:rsidR="00F925DD" w14:paraId="555701E1" w14:textId="77777777">
        <w:tc>
          <w:tcPr>
            <w:tcW w:w="0" w:type="auto"/>
            <w:shd w:val="clear" w:color="auto" w:fill="auto"/>
            <w:tcMar>
              <w:top w:w="40" w:type="dxa"/>
              <w:left w:w="40" w:type="dxa"/>
              <w:bottom w:w="40" w:type="dxa"/>
              <w:right w:w="40" w:type="dxa"/>
            </w:tcMar>
            <w:vAlign w:val="center"/>
          </w:tcPr>
          <w:p w14:paraId="555701DD" w14:textId="77777777" w:rsidR="00F925DD" w:rsidRDefault="00E705D7">
            <w:pPr>
              <w:textAlignment w:val="center"/>
              <w:rPr>
                <w:rFonts w:ascii="Times New Roman" w:hAnsi="Times New Roman"/>
                <w:sz w:val="16"/>
                <w:szCs w:val="16"/>
              </w:rPr>
            </w:pPr>
            <w:r>
              <w:rPr>
                <w:rFonts w:ascii="Arial" w:eastAsia="宋体" w:hAnsi="Arial" w:cs="Arial"/>
                <w:sz w:val="16"/>
                <w:szCs w:val="16"/>
              </w:rPr>
              <w:t>FHLB</w:t>
            </w:r>
          </w:p>
        </w:tc>
        <w:tc>
          <w:tcPr>
            <w:tcW w:w="0" w:type="auto"/>
            <w:shd w:val="clear" w:color="auto" w:fill="auto"/>
            <w:tcMar>
              <w:top w:w="40" w:type="dxa"/>
              <w:left w:w="40" w:type="dxa"/>
              <w:bottom w:w="40" w:type="dxa"/>
              <w:right w:w="40" w:type="dxa"/>
            </w:tcMar>
            <w:vAlign w:val="center"/>
          </w:tcPr>
          <w:p w14:paraId="555701DE" w14:textId="77777777" w:rsidR="00F925DD" w:rsidRDefault="00E705D7">
            <w:pPr>
              <w:textAlignment w:val="center"/>
              <w:rPr>
                <w:rFonts w:ascii="Times New Roman" w:hAnsi="Times New Roman"/>
                <w:sz w:val="16"/>
                <w:szCs w:val="16"/>
              </w:rPr>
            </w:pPr>
            <w:r>
              <w:rPr>
                <w:rFonts w:ascii="Arial" w:eastAsia="宋体" w:hAnsi="Arial" w:cs="Arial"/>
                <w:sz w:val="16"/>
                <w:szCs w:val="16"/>
              </w:rPr>
              <w:t>Federal Home Loan Bank of Boston</w:t>
            </w:r>
          </w:p>
        </w:tc>
        <w:tc>
          <w:tcPr>
            <w:tcW w:w="0" w:type="auto"/>
            <w:shd w:val="clear" w:color="auto" w:fill="auto"/>
            <w:tcMar>
              <w:top w:w="40" w:type="dxa"/>
              <w:left w:w="40" w:type="dxa"/>
              <w:bottom w:w="40" w:type="dxa"/>
              <w:right w:w="40" w:type="dxa"/>
            </w:tcMar>
            <w:vAlign w:val="center"/>
          </w:tcPr>
          <w:p w14:paraId="555701DF" w14:textId="77777777" w:rsidR="00F925DD" w:rsidRDefault="00E705D7">
            <w:pPr>
              <w:textAlignment w:val="center"/>
              <w:rPr>
                <w:rFonts w:ascii="Times New Roman" w:hAnsi="Times New Roman"/>
                <w:sz w:val="16"/>
                <w:szCs w:val="16"/>
              </w:rPr>
            </w:pPr>
            <w:r>
              <w:rPr>
                <w:rFonts w:ascii="Arial" w:eastAsia="宋体" w:hAnsi="Arial" w:cs="Arial"/>
                <w:sz w:val="16"/>
                <w:szCs w:val="16"/>
              </w:rPr>
              <w:t>TCJA</w:t>
            </w:r>
          </w:p>
        </w:tc>
        <w:tc>
          <w:tcPr>
            <w:tcW w:w="0" w:type="auto"/>
            <w:shd w:val="clear" w:color="auto" w:fill="auto"/>
            <w:tcMar>
              <w:top w:w="40" w:type="dxa"/>
              <w:left w:w="40" w:type="dxa"/>
              <w:bottom w:w="40" w:type="dxa"/>
              <w:right w:w="40" w:type="dxa"/>
            </w:tcMar>
            <w:vAlign w:val="center"/>
          </w:tcPr>
          <w:p w14:paraId="555701E0" w14:textId="77777777" w:rsidR="00F925DD" w:rsidRDefault="00E705D7">
            <w:pPr>
              <w:textAlignment w:val="center"/>
              <w:rPr>
                <w:rFonts w:ascii="Times New Roman" w:hAnsi="Times New Roman"/>
                <w:sz w:val="16"/>
                <w:szCs w:val="16"/>
              </w:rPr>
            </w:pPr>
            <w:r>
              <w:rPr>
                <w:rFonts w:ascii="Arial" w:eastAsia="宋体" w:hAnsi="Arial" w:cs="Arial"/>
                <w:sz w:val="16"/>
                <w:szCs w:val="16"/>
              </w:rPr>
              <w:t>Tax Cuts and Jobs Act</w:t>
            </w:r>
          </w:p>
        </w:tc>
      </w:tr>
      <w:tr w:rsidR="00F925DD" w14:paraId="555701E6" w14:textId="77777777">
        <w:tc>
          <w:tcPr>
            <w:tcW w:w="0" w:type="auto"/>
            <w:shd w:val="clear" w:color="auto" w:fill="auto"/>
            <w:tcMar>
              <w:top w:w="40" w:type="dxa"/>
              <w:left w:w="40" w:type="dxa"/>
              <w:bottom w:w="40" w:type="dxa"/>
              <w:right w:w="40" w:type="dxa"/>
            </w:tcMar>
            <w:vAlign w:val="center"/>
          </w:tcPr>
          <w:p w14:paraId="555701E2" w14:textId="77777777" w:rsidR="00F925DD" w:rsidRDefault="00E705D7">
            <w:pPr>
              <w:textAlignment w:val="center"/>
              <w:rPr>
                <w:rFonts w:ascii="Times New Roman" w:hAnsi="Times New Roman"/>
                <w:sz w:val="16"/>
                <w:szCs w:val="16"/>
              </w:rPr>
            </w:pPr>
            <w:r>
              <w:rPr>
                <w:rFonts w:ascii="Arial" w:eastAsia="宋体" w:hAnsi="Arial" w:cs="Arial"/>
                <w:sz w:val="16"/>
                <w:szCs w:val="16"/>
              </w:rPr>
              <w:t>FICC</w:t>
            </w:r>
          </w:p>
        </w:tc>
        <w:tc>
          <w:tcPr>
            <w:tcW w:w="0" w:type="auto"/>
            <w:shd w:val="clear" w:color="auto" w:fill="auto"/>
            <w:tcMar>
              <w:top w:w="40" w:type="dxa"/>
              <w:left w:w="40" w:type="dxa"/>
              <w:bottom w:w="40" w:type="dxa"/>
              <w:right w:w="40" w:type="dxa"/>
            </w:tcMar>
            <w:vAlign w:val="center"/>
          </w:tcPr>
          <w:p w14:paraId="555701E3" w14:textId="77777777" w:rsidR="00F925DD" w:rsidRDefault="00E705D7">
            <w:pPr>
              <w:textAlignment w:val="center"/>
              <w:rPr>
                <w:rFonts w:ascii="Times New Roman" w:hAnsi="Times New Roman"/>
                <w:sz w:val="16"/>
                <w:szCs w:val="16"/>
              </w:rPr>
            </w:pPr>
            <w:r>
              <w:rPr>
                <w:rFonts w:ascii="Arial" w:eastAsia="宋体" w:hAnsi="Arial" w:cs="Arial"/>
                <w:sz w:val="16"/>
                <w:szCs w:val="16"/>
              </w:rPr>
              <w:t>Fixed Income Clearing Corporation</w:t>
            </w:r>
          </w:p>
        </w:tc>
        <w:tc>
          <w:tcPr>
            <w:tcW w:w="0" w:type="auto"/>
            <w:shd w:val="clear" w:color="auto" w:fill="auto"/>
            <w:tcMar>
              <w:top w:w="40" w:type="dxa"/>
              <w:left w:w="40" w:type="dxa"/>
              <w:bottom w:w="40" w:type="dxa"/>
              <w:right w:w="40" w:type="dxa"/>
            </w:tcMar>
            <w:vAlign w:val="center"/>
          </w:tcPr>
          <w:p w14:paraId="555701E4" w14:textId="77777777" w:rsidR="00F925DD" w:rsidRDefault="00E705D7">
            <w:pPr>
              <w:textAlignment w:val="center"/>
              <w:rPr>
                <w:rFonts w:ascii="Times New Roman" w:hAnsi="Times New Roman"/>
                <w:sz w:val="16"/>
                <w:szCs w:val="16"/>
              </w:rPr>
            </w:pPr>
            <w:r>
              <w:rPr>
                <w:rFonts w:ascii="Arial" w:eastAsia="宋体" w:hAnsi="Arial" w:cs="Arial"/>
                <w:sz w:val="16"/>
                <w:szCs w:val="16"/>
              </w:rPr>
              <w:t>TLAC</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555701E5" w14:textId="77777777" w:rsidR="00F925DD" w:rsidRDefault="00E705D7">
            <w:pPr>
              <w:textAlignment w:val="center"/>
              <w:rPr>
                <w:rFonts w:ascii="Times New Roman" w:hAnsi="Times New Roman"/>
                <w:sz w:val="16"/>
                <w:szCs w:val="16"/>
              </w:rPr>
            </w:pPr>
            <w:r>
              <w:rPr>
                <w:rFonts w:ascii="Arial" w:eastAsia="宋体" w:hAnsi="Arial" w:cs="Arial"/>
                <w:sz w:val="16"/>
                <w:szCs w:val="16"/>
              </w:rPr>
              <w:t>Total loss-absorbing capacity</w:t>
            </w:r>
          </w:p>
        </w:tc>
      </w:tr>
      <w:tr w:rsidR="00F925DD" w14:paraId="555701EB" w14:textId="77777777">
        <w:tc>
          <w:tcPr>
            <w:tcW w:w="0" w:type="auto"/>
            <w:shd w:val="clear" w:color="auto" w:fill="auto"/>
            <w:tcMar>
              <w:top w:w="40" w:type="dxa"/>
              <w:left w:w="40" w:type="dxa"/>
              <w:bottom w:w="40" w:type="dxa"/>
              <w:right w:w="40" w:type="dxa"/>
            </w:tcMar>
            <w:vAlign w:val="center"/>
          </w:tcPr>
          <w:p w14:paraId="555701E7" w14:textId="77777777" w:rsidR="00F925DD" w:rsidRDefault="00E705D7">
            <w:pPr>
              <w:textAlignment w:val="center"/>
              <w:rPr>
                <w:rFonts w:ascii="Times New Roman" w:hAnsi="Times New Roman"/>
                <w:sz w:val="16"/>
                <w:szCs w:val="16"/>
              </w:rPr>
            </w:pPr>
            <w:r>
              <w:rPr>
                <w:rFonts w:ascii="Arial" w:eastAsia="宋体" w:hAnsi="Arial" w:cs="Arial"/>
                <w:sz w:val="16"/>
                <w:szCs w:val="16"/>
              </w:rPr>
              <w:t>FTE</w:t>
            </w:r>
          </w:p>
        </w:tc>
        <w:tc>
          <w:tcPr>
            <w:tcW w:w="0" w:type="auto"/>
            <w:shd w:val="clear" w:color="auto" w:fill="auto"/>
            <w:tcMar>
              <w:top w:w="40" w:type="dxa"/>
              <w:left w:w="40" w:type="dxa"/>
              <w:bottom w:w="40" w:type="dxa"/>
              <w:right w:w="40" w:type="dxa"/>
            </w:tcMar>
            <w:vAlign w:val="center"/>
          </w:tcPr>
          <w:p w14:paraId="555701E8" w14:textId="77777777" w:rsidR="00F925DD" w:rsidRDefault="00E705D7">
            <w:pPr>
              <w:textAlignment w:val="center"/>
              <w:rPr>
                <w:rFonts w:ascii="Times New Roman" w:hAnsi="Times New Roman"/>
                <w:sz w:val="16"/>
                <w:szCs w:val="16"/>
              </w:rPr>
            </w:pPr>
            <w:r>
              <w:rPr>
                <w:rFonts w:ascii="Arial" w:eastAsia="宋体" w:hAnsi="Arial" w:cs="Arial"/>
                <w:sz w:val="16"/>
                <w:szCs w:val="16"/>
              </w:rPr>
              <w:t>Fully taxable-equivalent</w:t>
            </w:r>
          </w:p>
        </w:tc>
        <w:tc>
          <w:tcPr>
            <w:tcW w:w="0" w:type="auto"/>
            <w:shd w:val="clear" w:color="auto" w:fill="auto"/>
            <w:tcMar>
              <w:top w:w="40" w:type="dxa"/>
              <w:left w:w="40" w:type="dxa"/>
              <w:bottom w:w="40" w:type="dxa"/>
              <w:right w:w="40" w:type="dxa"/>
            </w:tcMar>
            <w:vAlign w:val="center"/>
          </w:tcPr>
          <w:p w14:paraId="555701E9" w14:textId="77777777" w:rsidR="00F925DD" w:rsidRDefault="00E705D7">
            <w:pPr>
              <w:textAlignment w:val="center"/>
              <w:rPr>
                <w:rFonts w:ascii="Times New Roman" w:hAnsi="Times New Roman"/>
                <w:sz w:val="16"/>
                <w:szCs w:val="16"/>
              </w:rPr>
            </w:pPr>
            <w:r>
              <w:rPr>
                <w:rFonts w:ascii="Arial" w:eastAsia="宋体" w:hAnsi="Arial" w:cs="Arial"/>
                <w:sz w:val="16"/>
                <w:szCs w:val="16"/>
              </w:rPr>
              <w:t>TMRC</w:t>
            </w:r>
          </w:p>
        </w:tc>
        <w:tc>
          <w:tcPr>
            <w:tcW w:w="0" w:type="auto"/>
            <w:shd w:val="clear" w:color="auto" w:fill="auto"/>
            <w:tcMar>
              <w:top w:w="40" w:type="dxa"/>
              <w:left w:w="40" w:type="dxa"/>
              <w:bottom w:w="40" w:type="dxa"/>
              <w:right w:w="40" w:type="dxa"/>
            </w:tcMar>
            <w:vAlign w:val="center"/>
          </w:tcPr>
          <w:p w14:paraId="555701EA" w14:textId="77777777" w:rsidR="00F925DD" w:rsidRDefault="00E705D7">
            <w:pPr>
              <w:textAlignment w:val="center"/>
              <w:rPr>
                <w:rFonts w:ascii="Times New Roman" w:hAnsi="Times New Roman"/>
                <w:sz w:val="16"/>
                <w:szCs w:val="16"/>
              </w:rPr>
            </w:pPr>
            <w:r>
              <w:rPr>
                <w:rFonts w:ascii="Arial" w:eastAsia="宋体" w:hAnsi="Arial" w:cs="Arial"/>
                <w:sz w:val="16"/>
                <w:szCs w:val="16"/>
              </w:rPr>
              <w:t>Trading and Markets Risk Committee</w:t>
            </w:r>
          </w:p>
        </w:tc>
      </w:tr>
      <w:tr w:rsidR="00F925DD" w14:paraId="555701F0" w14:textId="77777777">
        <w:tc>
          <w:tcPr>
            <w:tcW w:w="0" w:type="auto"/>
            <w:shd w:val="clear" w:color="auto" w:fill="auto"/>
            <w:tcMar>
              <w:top w:w="40" w:type="dxa"/>
              <w:left w:w="40" w:type="dxa"/>
              <w:bottom w:w="40" w:type="dxa"/>
              <w:right w:w="40" w:type="dxa"/>
            </w:tcMar>
            <w:vAlign w:val="center"/>
          </w:tcPr>
          <w:p w14:paraId="555701EC" w14:textId="77777777" w:rsidR="00F925DD" w:rsidRDefault="00E705D7">
            <w:pPr>
              <w:textAlignment w:val="center"/>
              <w:rPr>
                <w:rFonts w:ascii="Times New Roman" w:hAnsi="Times New Roman"/>
                <w:sz w:val="16"/>
                <w:szCs w:val="16"/>
              </w:rPr>
            </w:pPr>
            <w:r>
              <w:rPr>
                <w:rFonts w:ascii="Arial" w:eastAsia="宋体" w:hAnsi="Arial" w:cs="Arial"/>
                <w:sz w:val="16"/>
                <w:szCs w:val="16"/>
              </w:rPr>
              <w:t>FSOC</w:t>
            </w:r>
          </w:p>
        </w:tc>
        <w:tc>
          <w:tcPr>
            <w:tcW w:w="0" w:type="auto"/>
            <w:shd w:val="clear" w:color="auto" w:fill="auto"/>
            <w:tcMar>
              <w:top w:w="40" w:type="dxa"/>
              <w:left w:w="40" w:type="dxa"/>
              <w:bottom w:w="40" w:type="dxa"/>
              <w:right w:w="40" w:type="dxa"/>
            </w:tcMar>
            <w:vAlign w:val="center"/>
          </w:tcPr>
          <w:p w14:paraId="555701ED" w14:textId="77777777" w:rsidR="00F925DD" w:rsidRDefault="00E705D7">
            <w:pPr>
              <w:textAlignment w:val="center"/>
              <w:rPr>
                <w:rFonts w:ascii="Times New Roman" w:hAnsi="Times New Roman"/>
                <w:sz w:val="16"/>
                <w:szCs w:val="16"/>
              </w:rPr>
            </w:pPr>
            <w:r>
              <w:rPr>
                <w:rFonts w:ascii="Arial" w:eastAsia="宋体" w:hAnsi="Arial" w:cs="Arial"/>
                <w:sz w:val="16"/>
                <w:szCs w:val="16"/>
              </w:rPr>
              <w:t xml:space="preserve">Financial </w:t>
            </w:r>
            <w:r>
              <w:rPr>
                <w:rFonts w:ascii="Arial" w:eastAsia="宋体" w:hAnsi="Arial" w:cs="Arial"/>
                <w:sz w:val="16"/>
                <w:szCs w:val="16"/>
              </w:rPr>
              <w:t>Stability Oversight Council</w:t>
            </w:r>
          </w:p>
        </w:tc>
        <w:tc>
          <w:tcPr>
            <w:tcW w:w="0" w:type="auto"/>
            <w:shd w:val="clear" w:color="auto" w:fill="auto"/>
            <w:tcMar>
              <w:top w:w="40" w:type="dxa"/>
              <w:left w:w="40" w:type="dxa"/>
              <w:bottom w:w="40" w:type="dxa"/>
              <w:right w:w="40" w:type="dxa"/>
            </w:tcMar>
            <w:vAlign w:val="center"/>
          </w:tcPr>
          <w:p w14:paraId="555701EE" w14:textId="77777777" w:rsidR="00F925DD" w:rsidRDefault="00E705D7">
            <w:pPr>
              <w:textAlignment w:val="center"/>
              <w:rPr>
                <w:rFonts w:ascii="Times New Roman" w:hAnsi="Times New Roman"/>
                <w:sz w:val="16"/>
                <w:szCs w:val="16"/>
              </w:rPr>
            </w:pPr>
            <w:r>
              <w:rPr>
                <w:rFonts w:ascii="Arial" w:eastAsia="宋体" w:hAnsi="Arial" w:cs="Arial"/>
                <w:sz w:val="16"/>
                <w:szCs w:val="16"/>
              </w:rPr>
              <w:t>TOPS</w:t>
            </w:r>
          </w:p>
        </w:tc>
        <w:tc>
          <w:tcPr>
            <w:tcW w:w="0" w:type="auto"/>
            <w:shd w:val="clear" w:color="auto" w:fill="auto"/>
            <w:tcMar>
              <w:top w:w="40" w:type="dxa"/>
              <w:left w:w="40" w:type="dxa"/>
              <w:bottom w:w="40" w:type="dxa"/>
              <w:right w:w="40" w:type="dxa"/>
            </w:tcMar>
            <w:vAlign w:val="center"/>
          </w:tcPr>
          <w:p w14:paraId="555701EF" w14:textId="77777777" w:rsidR="00F925DD" w:rsidRDefault="00E705D7">
            <w:pPr>
              <w:textAlignment w:val="center"/>
              <w:rPr>
                <w:rFonts w:ascii="Times New Roman" w:hAnsi="Times New Roman"/>
                <w:sz w:val="16"/>
                <w:szCs w:val="16"/>
              </w:rPr>
            </w:pPr>
            <w:r>
              <w:rPr>
                <w:rFonts w:ascii="Arial" w:eastAsia="宋体" w:hAnsi="Arial" w:cs="Arial"/>
                <w:sz w:val="16"/>
                <w:szCs w:val="16"/>
              </w:rPr>
              <w:t>Technology and Operations Committee</w:t>
            </w:r>
          </w:p>
        </w:tc>
      </w:tr>
      <w:tr w:rsidR="00F925DD" w14:paraId="555701F5" w14:textId="77777777">
        <w:tc>
          <w:tcPr>
            <w:tcW w:w="0" w:type="auto"/>
            <w:shd w:val="clear" w:color="auto" w:fill="auto"/>
            <w:tcMar>
              <w:top w:w="40" w:type="dxa"/>
              <w:left w:w="40" w:type="dxa"/>
              <w:bottom w:w="40" w:type="dxa"/>
              <w:right w:w="40" w:type="dxa"/>
            </w:tcMar>
            <w:vAlign w:val="center"/>
          </w:tcPr>
          <w:p w14:paraId="555701F1" w14:textId="77777777" w:rsidR="00F925DD" w:rsidRDefault="00E705D7">
            <w:pPr>
              <w:textAlignment w:val="center"/>
              <w:rPr>
                <w:rFonts w:ascii="Times New Roman" w:hAnsi="Times New Roman"/>
                <w:sz w:val="16"/>
                <w:szCs w:val="16"/>
              </w:rPr>
            </w:pPr>
            <w:r>
              <w:rPr>
                <w:rFonts w:ascii="Arial" w:eastAsia="宋体" w:hAnsi="Arial" w:cs="Arial"/>
                <w:sz w:val="16"/>
                <w:szCs w:val="16"/>
              </w:rPr>
              <w:t>FX</w:t>
            </w:r>
          </w:p>
        </w:tc>
        <w:tc>
          <w:tcPr>
            <w:tcW w:w="0" w:type="auto"/>
            <w:shd w:val="clear" w:color="auto" w:fill="auto"/>
            <w:tcMar>
              <w:top w:w="40" w:type="dxa"/>
              <w:left w:w="40" w:type="dxa"/>
              <w:bottom w:w="40" w:type="dxa"/>
              <w:right w:w="40" w:type="dxa"/>
            </w:tcMar>
            <w:vAlign w:val="center"/>
          </w:tcPr>
          <w:p w14:paraId="555701F2" w14:textId="77777777" w:rsidR="00F925DD" w:rsidRDefault="00E705D7">
            <w:pPr>
              <w:textAlignment w:val="center"/>
              <w:rPr>
                <w:rFonts w:ascii="Times New Roman" w:hAnsi="Times New Roman"/>
                <w:sz w:val="16"/>
                <w:szCs w:val="16"/>
              </w:rPr>
            </w:pPr>
            <w:r>
              <w:rPr>
                <w:rFonts w:ascii="Arial" w:eastAsia="宋体" w:hAnsi="Arial" w:cs="Arial"/>
                <w:sz w:val="16"/>
                <w:szCs w:val="16"/>
              </w:rPr>
              <w:t>Foreign exchange</w:t>
            </w:r>
          </w:p>
        </w:tc>
        <w:tc>
          <w:tcPr>
            <w:tcW w:w="0" w:type="auto"/>
            <w:shd w:val="clear" w:color="auto" w:fill="auto"/>
            <w:tcMar>
              <w:top w:w="40" w:type="dxa"/>
              <w:left w:w="40" w:type="dxa"/>
              <w:bottom w:w="40" w:type="dxa"/>
              <w:right w:w="40" w:type="dxa"/>
            </w:tcMar>
            <w:vAlign w:val="center"/>
          </w:tcPr>
          <w:p w14:paraId="555701F3" w14:textId="77777777" w:rsidR="00F925DD" w:rsidRDefault="00E705D7">
            <w:pPr>
              <w:textAlignment w:val="center"/>
              <w:rPr>
                <w:rFonts w:ascii="Times New Roman" w:hAnsi="Times New Roman"/>
                <w:sz w:val="16"/>
                <w:szCs w:val="16"/>
              </w:rPr>
            </w:pPr>
            <w:r>
              <w:rPr>
                <w:rFonts w:ascii="Arial" w:eastAsia="宋体" w:hAnsi="Arial" w:cs="Arial"/>
                <w:sz w:val="16"/>
                <w:szCs w:val="16"/>
              </w:rPr>
              <w:t>TORC</w:t>
            </w:r>
          </w:p>
        </w:tc>
        <w:tc>
          <w:tcPr>
            <w:tcW w:w="0" w:type="auto"/>
            <w:shd w:val="clear" w:color="auto" w:fill="auto"/>
            <w:tcMar>
              <w:top w:w="40" w:type="dxa"/>
              <w:left w:w="40" w:type="dxa"/>
              <w:bottom w:w="40" w:type="dxa"/>
              <w:right w:w="40" w:type="dxa"/>
            </w:tcMar>
            <w:vAlign w:val="center"/>
          </w:tcPr>
          <w:p w14:paraId="555701F4" w14:textId="77777777" w:rsidR="00F925DD" w:rsidRDefault="00E705D7">
            <w:pPr>
              <w:textAlignment w:val="center"/>
              <w:rPr>
                <w:rFonts w:ascii="Times New Roman" w:hAnsi="Times New Roman"/>
                <w:sz w:val="16"/>
                <w:szCs w:val="16"/>
              </w:rPr>
            </w:pPr>
            <w:r>
              <w:rPr>
                <w:rFonts w:ascii="Arial" w:eastAsia="宋体" w:hAnsi="Arial" w:cs="Arial"/>
                <w:sz w:val="16"/>
                <w:szCs w:val="16"/>
              </w:rPr>
              <w:t>Technology and Operational Risk Committee</w:t>
            </w:r>
          </w:p>
        </w:tc>
      </w:tr>
      <w:tr w:rsidR="00F925DD" w14:paraId="555701FA" w14:textId="77777777">
        <w:tc>
          <w:tcPr>
            <w:tcW w:w="0" w:type="auto"/>
            <w:shd w:val="clear" w:color="auto" w:fill="auto"/>
            <w:tcMar>
              <w:top w:w="40" w:type="dxa"/>
              <w:left w:w="40" w:type="dxa"/>
              <w:bottom w:w="40" w:type="dxa"/>
              <w:right w:w="40" w:type="dxa"/>
            </w:tcMar>
            <w:vAlign w:val="center"/>
          </w:tcPr>
          <w:p w14:paraId="555701F6" w14:textId="77777777" w:rsidR="00F925DD" w:rsidRDefault="00E705D7">
            <w:pPr>
              <w:textAlignment w:val="center"/>
              <w:rPr>
                <w:rFonts w:ascii="Times New Roman" w:hAnsi="Times New Roman"/>
                <w:sz w:val="16"/>
                <w:szCs w:val="16"/>
              </w:rPr>
            </w:pPr>
            <w:r>
              <w:rPr>
                <w:rFonts w:ascii="Arial" w:eastAsia="宋体" w:hAnsi="Arial" w:cs="Arial"/>
                <w:sz w:val="16"/>
                <w:szCs w:val="16"/>
              </w:rPr>
              <w:t>GAAP</w:t>
            </w:r>
          </w:p>
        </w:tc>
        <w:tc>
          <w:tcPr>
            <w:tcW w:w="0" w:type="auto"/>
            <w:shd w:val="clear" w:color="auto" w:fill="auto"/>
            <w:tcMar>
              <w:top w:w="40" w:type="dxa"/>
              <w:left w:w="40" w:type="dxa"/>
              <w:bottom w:w="40" w:type="dxa"/>
              <w:right w:w="40" w:type="dxa"/>
            </w:tcMar>
            <w:vAlign w:val="center"/>
          </w:tcPr>
          <w:p w14:paraId="555701F7" w14:textId="77777777" w:rsidR="00F925DD" w:rsidRDefault="00E705D7">
            <w:pPr>
              <w:textAlignment w:val="center"/>
              <w:rPr>
                <w:rFonts w:ascii="Times New Roman" w:hAnsi="Times New Roman"/>
                <w:sz w:val="16"/>
                <w:szCs w:val="16"/>
              </w:rPr>
            </w:pPr>
            <w:r>
              <w:rPr>
                <w:rFonts w:ascii="Arial" w:eastAsia="宋体" w:hAnsi="Arial" w:cs="Arial"/>
                <w:sz w:val="16"/>
                <w:szCs w:val="16"/>
              </w:rPr>
              <w:t>Generally accepted accounting principles</w:t>
            </w:r>
          </w:p>
        </w:tc>
        <w:tc>
          <w:tcPr>
            <w:tcW w:w="0" w:type="auto"/>
            <w:shd w:val="clear" w:color="auto" w:fill="auto"/>
            <w:tcMar>
              <w:top w:w="40" w:type="dxa"/>
              <w:left w:w="40" w:type="dxa"/>
              <w:bottom w:w="40" w:type="dxa"/>
              <w:right w:w="40" w:type="dxa"/>
            </w:tcMar>
            <w:vAlign w:val="center"/>
          </w:tcPr>
          <w:p w14:paraId="555701F8" w14:textId="77777777" w:rsidR="00F925DD" w:rsidRDefault="00E705D7">
            <w:pPr>
              <w:textAlignment w:val="center"/>
              <w:rPr>
                <w:rFonts w:ascii="Times New Roman" w:hAnsi="Times New Roman"/>
                <w:sz w:val="16"/>
                <w:szCs w:val="16"/>
              </w:rPr>
            </w:pPr>
            <w:r>
              <w:rPr>
                <w:rFonts w:ascii="Arial" w:eastAsia="宋体" w:hAnsi="Arial" w:cs="Arial"/>
                <w:sz w:val="16"/>
                <w:szCs w:val="16"/>
              </w:rPr>
              <w:t>UCITS</w:t>
            </w:r>
          </w:p>
        </w:tc>
        <w:tc>
          <w:tcPr>
            <w:tcW w:w="0" w:type="auto"/>
            <w:shd w:val="clear" w:color="auto" w:fill="auto"/>
            <w:tcMar>
              <w:top w:w="40" w:type="dxa"/>
              <w:left w:w="40" w:type="dxa"/>
              <w:bottom w:w="40" w:type="dxa"/>
              <w:right w:w="40" w:type="dxa"/>
            </w:tcMar>
            <w:vAlign w:val="center"/>
          </w:tcPr>
          <w:p w14:paraId="555701F9" w14:textId="77777777" w:rsidR="00F925DD" w:rsidRDefault="00E705D7">
            <w:pPr>
              <w:textAlignment w:val="center"/>
              <w:rPr>
                <w:rFonts w:ascii="Times New Roman" w:hAnsi="Times New Roman"/>
                <w:sz w:val="16"/>
                <w:szCs w:val="16"/>
              </w:rPr>
            </w:pPr>
            <w:r>
              <w:rPr>
                <w:rFonts w:ascii="Arial" w:eastAsia="宋体" w:hAnsi="Arial" w:cs="Arial"/>
                <w:sz w:val="16"/>
                <w:szCs w:val="16"/>
              </w:rPr>
              <w:t>Undertakings for Collective Investments in Transferable Securities</w:t>
            </w:r>
          </w:p>
        </w:tc>
      </w:tr>
      <w:tr w:rsidR="00F925DD" w14:paraId="555701FF" w14:textId="77777777">
        <w:tc>
          <w:tcPr>
            <w:tcW w:w="0" w:type="auto"/>
            <w:shd w:val="clear" w:color="auto" w:fill="auto"/>
            <w:tcMar>
              <w:top w:w="40" w:type="dxa"/>
              <w:left w:w="40" w:type="dxa"/>
              <w:bottom w:w="40" w:type="dxa"/>
              <w:right w:w="40" w:type="dxa"/>
            </w:tcMar>
            <w:vAlign w:val="center"/>
          </w:tcPr>
          <w:p w14:paraId="555701FB" w14:textId="77777777" w:rsidR="00F925DD" w:rsidRDefault="00E705D7">
            <w:pPr>
              <w:textAlignment w:val="center"/>
              <w:rPr>
                <w:rFonts w:ascii="Times New Roman" w:hAnsi="Times New Roman"/>
                <w:sz w:val="16"/>
                <w:szCs w:val="16"/>
              </w:rPr>
            </w:pPr>
            <w:r>
              <w:rPr>
                <w:rFonts w:ascii="Arial" w:eastAsia="宋体" w:hAnsi="Arial" w:cs="Arial"/>
                <w:sz w:val="16"/>
                <w:szCs w:val="16"/>
              </w:rPr>
              <w:t>GCR</w:t>
            </w:r>
          </w:p>
        </w:tc>
        <w:tc>
          <w:tcPr>
            <w:tcW w:w="0" w:type="auto"/>
            <w:shd w:val="clear" w:color="auto" w:fill="auto"/>
            <w:tcMar>
              <w:top w:w="40" w:type="dxa"/>
              <w:left w:w="40" w:type="dxa"/>
              <w:bottom w:w="40" w:type="dxa"/>
              <w:right w:w="40" w:type="dxa"/>
            </w:tcMar>
            <w:vAlign w:val="center"/>
          </w:tcPr>
          <w:p w14:paraId="555701FC" w14:textId="77777777" w:rsidR="00F925DD" w:rsidRDefault="00E705D7">
            <w:pPr>
              <w:textAlignment w:val="center"/>
              <w:rPr>
                <w:rFonts w:ascii="Times New Roman" w:hAnsi="Times New Roman"/>
                <w:sz w:val="16"/>
                <w:szCs w:val="16"/>
              </w:rPr>
            </w:pPr>
            <w:r>
              <w:rPr>
                <w:rFonts w:ascii="Arial" w:eastAsia="宋体" w:hAnsi="Arial" w:cs="Arial"/>
                <w:sz w:val="16"/>
                <w:szCs w:val="16"/>
              </w:rPr>
              <w:t>Global credit review</w:t>
            </w:r>
          </w:p>
        </w:tc>
        <w:tc>
          <w:tcPr>
            <w:tcW w:w="0" w:type="auto"/>
            <w:shd w:val="clear" w:color="auto" w:fill="auto"/>
            <w:tcMar>
              <w:top w:w="40" w:type="dxa"/>
              <w:left w:w="40" w:type="dxa"/>
              <w:bottom w:w="40" w:type="dxa"/>
              <w:right w:w="40" w:type="dxa"/>
            </w:tcMar>
            <w:vAlign w:val="center"/>
          </w:tcPr>
          <w:p w14:paraId="555701FD" w14:textId="77777777" w:rsidR="00F925DD" w:rsidRDefault="00E705D7">
            <w:pPr>
              <w:textAlignment w:val="center"/>
              <w:rPr>
                <w:rFonts w:ascii="Times New Roman" w:hAnsi="Times New Roman"/>
                <w:sz w:val="16"/>
                <w:szCs w:val="16"/>
              </w:rPr>
            </w:pPr>
            <w:r>
              <w:rPr>
                <w:rFonts w:ascii="Arial" w:eastAsia="宋体" w:hAnsi="Arial" w:cs="Arial"/>
                <w:sz w:val="16"/>
                <w:szCs w:val="16"/>
              </w:rPr>
              <w:t>UOM</w:t>
            </w:r>
          </w:p>
        </w:tc>
        <w:tc>
          <w:tcPr>
            <w:tcW w:w="0" w:type="auto"/>
            <w:shd w:val="clear" w:color="auto" w:fill="auto"/>
            <w:tcMar>
              <w:top w:w="40" w:type="dxa"/>
              <w:left w:w="40" w:type="dxa"/>
              <w:bottom w:w="40" w:type="dxa"/>
              <w:right w:w="40" w:type="dxa"/>
            </w:tcMar>
            <w:vAlign w:val="center"/>
          </w:tcPr>
          <w:p w14:paraId="555701FE" w14:textId="77777777" w:rsidR="00F925DD" w:rsidRDefault="00E705D7">
            <w:pPr>
              <w:textAlignment w:val="center"/>
              <w:rPr>
                <w:rFonts w:ascii="Times New Roman" w:hAnsi="Times New Roman"/>
                <w:sz w:val="16"/>
                <w:szCs w:val="16"/>
              </w:rPr>
            </w:pPr>
            <w:r>
              <w:rPr>
                <w:rFonts w:ascii="Arial" w:eastAsia="宋体" w:hAnsi="Arial" w:cs="Arial"/>
                <w:sz w:val="16"/>
                <w:szCs w:val="16"/>
              </w:rPr>
              <w:t>Unit of measure</w:t>
            </w:r>
          </w:p>
        </w:tc>
      </w:tr>
      <w:tr w:rsidR="00F925DD" w14:paraId="55570204" w14:textId="77777777">
        <w:tc>
          <w:tcPr>
            <w:tcW w:w="0" w:type="auto"/>
            <w:shd w:val="clear" w:color="auto" w:fill="auto"/>
            <w:tcMar>
              <w:top w:w="40" w:type="dxa"/>
              <w:left w:w="40" w:type="dxa"/>
              <w:bottom w:w="40" w:type="dxa"/>
              <w:right w:w="40" w:type="dxa"/>
            </w:tcMar>
            <w:vAlign w:val="center"/>
          </w:tcPr>
          <w:p w14:paraId="55570200" w14:textId="77777777" w:rsidR="00F925DD" w:rsidRDefault="00E705D7">
            <w:pPr>
              <w:textAlignment w:val="center"/>
              <w:rPr>
                <w:rFonts w:ascii="Times New Roman" w:hAnsi="Times New Roman"/>
                <w:sz w:val="16"/>
                <w:szCs w:val="16"/>
              </w:rPr>
            </w:pPr>
            <w:r>
              <w:rPr>
                <w:rFonts w:ascii="Arial" w:eastAsia="宋体" w:hAnsi="Arial" w:cs="Arial"/>
                <w:sz w:val="16"/>
                <w:szCs w:val="16"/>
              </w:rPr>
              <w:t>G-SIB</w:t>
            </w:r>
          </w:p>
        </w:tc>
        <w:tc>
          <w:tcPr>
            <w:tcW w:w="0" w:type="auto"/>
            <w:shd w:val="clear" w:color="auto" w:fill="auto"/>
            <w:tcMar>
              <w:top w:w="40" w:type="dxa"/>
              <w:left w:w="40" w:type="dxa"/>
              <w:bottom w:w="40" w:type="dxa"/>
              <w:right w:w="40" w:type="dxa"/>
            </w:tcMar>
            <w:vAlign w:val="center"/>
          </w:tcPr>
          <w:p w14:paraId="55570201" w14:textId="77777777" w:rsidR="00F925DD" w:rsidRDefault="00E705D7">
            <w:pPr>
              <w:textAlignment w:val="center"/>
              <w:rPr>
                <w:rFonts w:ascii="Times New Roman" w:hAnsi="Times New Roman"/>
                <w:sz w:val="16"/>
                <w:szCs w:val="16"/>
              </w:rPr>
            </w:pPr>
            <w:r>
              <w:rPr>
                <w:rFonts w:ascii="Arial" w:eastAsia="宋体" w:hAnsi="Arial" w:cs="Arial"/>
                <w:sz w:val="16"/>
                <w:szCs w:val="16"/>
              </w:rPr>
              <w:t>Global systemically important bank</w:t>
            </w:r>
          </w:p>
        </w:tc>
        <w:tc>
          <w:tcPr>
            <w:tcW w:w="0" w:type="auto"/>
            <w:shd w:val="clear" w:color="auto" w:fill="auto"/>
            <w:tcMar>
              <w:top w:w="40" w:type="dxa"/>
              <w:left w:w="40" w:type="dxa"/>
              <w:bottom w:w="40" w:type="dxa"/>
              <w:right w:w="40" w:type="dxa"/>
            </w:tcMar>
            <w:vAlign w:val="center"/>
          </w:tcPr>
          <w:p w14:paraId="55570202" w14:textId="77777777" w:rsidR="00F925DD" w:rsidRDefault="00E705D7">
            <w:pPr>
              <w:textAlignment w:val="center"/>
              <w:rPr>
                <w:rFonts w:ascii="Times New Roman" w:hAnsi="Times New Roman"/>
                <w:sz w:val="16"/>
                <w:szCs w:val="16"/>
              </w:rPr>
            </w:pPr>
            <w:r>
              <w:rPr>
                <w:rFonts w:ascii="Arial" w:eastAsia="宋体" w:hAnsi="Arial" w:cs="Arial"/>
                <w:sz w:val="16"/>
                <w:szCs w:val="16"/>
              </w:rPr>
              <w:t>VaR</w:t>
            </w:r>
          </w:p>
        </w:tc>
        <w:tc>
          <w:tcPr>
            <w:tcW w:w="0" w:type="auto"/>
            <w:shd w:val="clear" w:color="auto" w:fill="auto"/>
            <w:tcMar>
              <w:top w:w="40" w:type="dxa"/>
              <w:left w:w="40" w:type="dxa"/>
              <w:bottom w:w="40" w:type="dxa"/>
              <w:right w:w="40" w:type="dxa"/>
            </w:tcMar>
            <w:vAlign w:val="center"/>
          </w:tcPr>
          <w:p w14:paraId="55570203" w14:textId="77777777" w:rsidR="00F925DD" w:rsidRDefault="00E705D7">
            <w:pPr>
              <w:textAlignment w:val="center"/>
              <w:rPr>
                <w:rFonts w:ascii="Times New Roman" w:hAnsi="Times New Roman"/>
                <w:sz w:val="16"/>
                <w:szCs w:val="16"/>
              </w:rPr>
            </w:pPr>
            <w:r>
              <w:rPr>
                <w:rFonts w:ascii="Arial" w:eastAsia="宋体" w:hAnsi="Arial" w:cs="Arial"/>
                <w:sz w:val="16"/>
                <w:szCs w:val="16"/>
              </w:rPr>
              <w:t>Value-at-Risk</w:t>
            </w:r>
          </w:p>
        </w:tc>
      </w:tr>
      <w:tr w:rsidR="00F925DD" w14:paraId="55570209" w14:textId="77777777">
        <w:tc>
          <w:tcPr>
            <w:tcW w:w="0" w:type="auto"/>
            <w:shd w:val="clear" w:color="auto" w:fill="auto"/>
            <w:tcMar>
              <w:top w:w="40" w:type="dxa"/>
              <w:left w:w="40" w:type="dxa"/>
              <w:bottom w:w="40" w:type="dxa"/>
              <w:right w:w="40" w:type="dxa"/>
            </w:tcMar>
            <w:vAlign w:val="center"/>
          </w:tcPr>
          <w:p w14:paraId="55570205" w14:textId="77777777" w:rsidR="00F925DD" w:rsidRDefault="00E705D7">
            <w:pPr>
              <w:textAlignment w:val="center"/>
              <w:rPr>
                <w:rFonts w:ascii="Times New Roman" w:hAnsi="Times New Roman"/>
                <w:sz w:val="16"/>
                <w:szCs w:val="16"/>
              </w:rPr>
            </w:pPr>
            <w:r>
              <w:rPr>
                <w:rFonts w:ascii="Arial" w:eastAsia="宋体" w:hAnsi="Arial" w:cs="Arial"/>
                <w:sz w:val="16"/>
                <w:szCs w:val="16"/>
              </w:rPr>
              <w:t>HQLA</w:t>
            </w:r>
            <w:r>
              <w:rPr>
                <w:rFonts w:ascii="Arial" w:eastAsia="宋体" w:hAnsi="Arial" w:cs="Arial"/>
                <w:sz w:val="10"/>
                <w:szCs w:val="10"/>
              </w:rPr>
              <w:t>(1)</w:t>
            </w:r>
          </w:p>
        </w:tc>
        <w:tc>
          <w:tcPr>
            <w:tcW w:w="0" w:type="auto"/>
            <w:shd w:val="clear" w:color="auto" w:fill="auto"/>
            <w:tcMar>
              <w:top w:w="40" w:type="dxa"/>
              <w:left w:w="40" w:type="dxa"/>
              <w:bottom w:w="40" w:type="dxa"/>
              <w:right w:w="40" w:type="dxa"/>
            </w:tcMar>
            <w:vAlign w:val="center"/>
          </w:tcPr>
          <w:p w14:paraId="55570206" w14:textId="77777777" w:rsidR="00F925DD" w:rsidRDefault="00E705D7">
            <w:pPr>
              <w:textAlignment w:val="center"/>
              <w:rPr>
                <w:rFonts w:ascii="Times New Roman" w:hAnsi="Times New Roman"/>
                <w:sz w:val="16"/>
                <w:szCs w:val="16"/>
              </w:rPr>
            </w:pPr>
            <w:r>
              <w:rPr>
                <w:rFonts w:ascii="Arial" w:eastAsia="宋体" w:hAnsi="Arial" w:cs="Arial"/>
                <w:sz w:val="16"/>
                <w:szCs w:val="16"/>
              </w:rPr>
              <w:t>High-quality liquid assets</w:t>
            </w:r>
          </w:p>
        </w:tc>
        <w:tc>
          <w:tcPr>
            <w:tcW w:w="0" w:type="auto"/>
            <w:shd w:val="clear" w:color="auto" w:fill="auto"/>
            <w:tcMar>
              <w:top w:w="40" w:type="dxa"/>
              <w:left w:w="40" w:type="dxa"/>
              <w:bottom w:w="40" w:type="dxa"/>
              <w:right w:w="40" w:type="dxa"/>
            </w:tcMar>
            <w:vAlign w:val="center"/>
          </w:tcPr>
          <w:p w14:paraId="55570207" w14:textId="77777777" w:rsidR="00F925DD" w:rsidRDefault="00E705D7">
            <w:pPr>
              <w:textAlignment w:val="center"/>
              <w:rPr>
                <w:rFonts w:ascii="Times New Roman" w:hAnsi="Times New Roman"/>
                <w:sz w:val="16"/>
                <w:szCs w:val="16"/>
              </w:rPr>
            </w:pPr>
            <w:r>
              <w:rPr>
                <w:rFonts w:ascii="Arial" w:eastAsia="宋体" w:hAnsi="Arial" w:cs="Arial"/>
                <w:sz w:val="16"/>
                <w:szCs w:val="16"/>
              </w:rPr>
              <w:t>VIE</w:t>
            </w:r>
          </w:p>
        </w:tc>
        <w:tc>
          <w:tcPr>
            <w:tcW w:w="0" w:type="auto"/>
            <w:shd w:val="clear" w:color="auto" w:fill="auto"/>
            <w:tcMar>
              <w:top w:w="40" w:type="dxa"/>
              <w:left w:w="40" w:type="dxa"/>
              <w:bottom w:w="40" w:type="dxa"/>
              <w:right w:w="40" w:type="dxa"/>
            </w:tcMar>
            <w:vAlign w:val="center"/>
          </w:tcPr>
          <w:p w14:paraId="55570208" w14:textId="77777777" w:rsidR="00F925DD" w:rsidRDefault="00E705D7">
            <w:pPr>
              <w:textAlignment w:val="center"/>
              <w:rPr>
                <w:rFonts w:ascii="Times New Roman" w:hAnsi="Times New Roman"/>
                <w:sz w:val="16"/>
                <w:szCs w:val="16"/>
              </w:rPr>
            </w:pPr>
            <w:r>
              <w:rPr>
                <w:rFonts w:ascii="Arial" w:eastAsia="宋体" w:hAnsi="Arial" w:cs="Arial"/>
                <w:sz w:val="16"/>
                <w:szCs w:val="16"/>
              </w:rPr>
              <w:t>Variable interest entity</w:t>
            </w:r>
          </w:p>
        </w:tc>
      </w:tr>
      <w:tr w:rsidR="00F925DD" w14:paraId="5557020E" w14:textId="77777777">
        <w:tc>
          <w:tcPr>
            <w:tcW w:w="0" w:type="auto"/>
            <w:shd w:val="clear" w:color="auto" w:fill="auto"/>
            <w:tcMar>
              <w:top w:w="40" w:type="dxa"/>
              <w:left w:w="40" w:type="dxa"/>
              <w:bottom w:w="40" w:type="dxa"/>
              <w:right w:w="40" w:type="dxa"/>
            </w:tcMar>
            <w:vAlign w:val="center"/>
          </w:tcPr>
          <w:p w14:paraId="5557020A" w14:textId="77777777" w:rsidR="00F925DD" w:rsidRDefault="00E705D7">
            <w:pPr>
              <w:textAlignment w:val="center"/>
              <w:rPr>
                <w:rFonts w:ascii="Times New Roman" w:hAnsi="Times New Roman"/>
                <w:sz w:val="16"/>
                <w:szCs w:val="16"/>
              </w:rPr>
            </w:pPr>
            <w:r>
              <w:rPr>
                <w:rFonts w:ascii="Arial" w:eastAsia="宋体" w:hAnsi="Arial" w:cs="Arial"/>
                <w:sz w:val="16"/>
                <w:szCs w:val="16"/>
              </w:rPr>
              <w:t>HRC</w:t>
            </w:r>
          </w:p>
        </w:tc>
        <w:tc>
          <w:tcPr>
            <w:tcW w:w="0" w:type="auto"/>
            <w:shd w:val="clear" w:color="auto" w:fill="auto"/>
            <w:tcMar>
              <w:top w:w="40" w:type="dxa"/>
              <w:left w:w="40" w:type="dxa"/>
              <w:bottom w:w="40" w:type="dxa"/>
              <w:right w:w="40" w:type="dxa"/>
            </w:tcMar>
            <w:vAlign w:val="center"/>
          </w:tcPr>
          <w:p w14:paraId="5557020B" w14:textId="77777777" w:rsidR="00F925DD" w:rsidRDefault="00E705D7">
            <w:pPr>
              <w:textAlignment w:val="center"/>
              <w:rPr>
                <w:rFonts w:ascii="Times New Roman" w:hAnsi="Times New Roman"/>
                <w:sz w:val="16"/>
                <w:szCs w:val="16"/>
              </w:rPr>
            </w:pPr>
            <w:r>
              <w:rPr>
                <w:rFonts w:ascii="Arial" w:eastAsia="宋体" w:hAnsi="Arial" w:cs="Arial"/>
                <w:sz w:val="16"/>
                <w:szCs w:val="16"/>
              </w:rPr>
              <w:t>Human Resources Committee</w:t>
            </w:r>
          </w:p>
        </w:tc>
        <w:tc>
          <w:tcPr>
            <w:tcW w:w="0" w:type="auto"/>
            <w:shd w:val="clear" w:color="auto" w:fill="auto"/>
            <w:tcMar>
              <w:top w:w="40" w:type="dxa"/>
              <w:left w:w="40" w:type="dxa"/>
              <w:bottom w:w="40" w:type="dxa"/>
              <w:right w:w="40" w:type="dxa"/>
            </w:tcMar>
            <w:vAlign w:val="center"/>
          </w:tcPr>
          <w:p w14:paraId="5557020C" w14:textId="77777777" w:rsidR="00F925DD" w:rsidRDefault="00E705D7">
            <w:pPr>
              <w:textAlignment w:val="center"/>
              <w:rPr>
                <w:rFonts w:ascii="Times New Roman" w:hAnsi="Times New Roman"/>
                <w:sz w:val="16"/>
                <w:szCs w:val="16"/>
              </w:rPr>
            </w:pPr>
            <w:r>
              <w:rPr>
                <w:rFonts w:ascii="Arial" w:eastAsia="宋体" w:hAnsi="Arial" w:cs="Arial"/>
                <w:sz w:val="16"/>
                <w:szCs w:val="16"/>
              </w:rPr>
              <w:t>WD</w:t>
            </w:r>
          </w:p>
        </w:tc>
        <w:tc>
          <w:tcPr>
            <w:tcW w:w="0" w:type="auto"/>
            <w:shd w:val="clear" w:color="auto" w:fill="auto"/>
            <w:tcMar>
              <w:top w:w="40" w:type="dxa"/>
              <w:left w:w="40" w:type="dxa"/>
              <w:bottom w:w="40" w:type="dxa"/>
              <w:right w:w="40" w:type="dxa"/>
            </w:tcMar>
            <w:vAlign w:val="center"/>
          </w:tcPr>
          <w:p w14:paraId="5557020D" w14:textId="77777777" w:rsidR="00F925DD" w:rsidRDefault="00E705D7">
            <w:pPr>
              <w:textAlignment w:val="center"/>
              <w:rPr>
                <w:rFonts w:ascii="Times New Roman" w:hAnsi="Times New Roman"/>
                <w:sz w:val="16"/>
                <w:szCs w:val="16"/>
              </w:rPr>
            </w:pPr>
            <w:r>
              <w:rPr>
                <w:rFonts w:ascii="Arial" w:eastAsia="宋体" w:hAnsi="Arial" w:cs="Arial"/>
                <w:sz w:val="16"/>
                <w:szCs w:val="16"/>
              </w:rPr>
              <w:t>Withdrawn</w:t>
            </w:r>
          </w:p>
        </w:tc>
      </w:tr>
      <w:tr w:rsidR="00F925DD" w14:paraId="55570213" w14:textId="77777777">
        <w:tc>
          <w:tcPr>
            <w:tcW w:w="0" w:type="auto"/>
            <w:shd w:val="clear" w:color="auto" w:fill="auto"/>
            <w:tcMar>
              <w:top w:w="40" w:type="dxa"/>
              <w:left w:w="40" w:type="dxa"/>
              <w:bottom w:w="40" w:type="dxa"/>
              <w:right w:w="40" w:type="dxa"/>
            </w:tcMar>
            <w:vAlign w:val="center"/>
          </w:tcPr>
          <w:p w14:paraId="5557020F" w14:textId="77777777" w:rsidR="00F925DD" w:rsidRDefault="00E705D7">
            <w:pPr>
              <w:textAlignment w:val="center"/>
              <w:rPr>
                <w:rFonts w:ascii="Times New Roman" w:hAnsi="Times New Roman"/>
                <w:sz w:val="16"/>
                <w:szCs w:val="16"/>
              </w:rPr>
            </w:pPr>
            <w:r>
              <w:rPr>
                <w:rFonts w:ascii="Arial" w:eastAsia="宋体" w:hAnsi="Arial" w:cs="Arial"/>
                <w:sz w:val="16"/>
                <w:szCs w:val="16"/>
              </w:rPr>
              <w:t>HTM</w:t>
            </w:r>
          </w:p>
        </w:tc>
        <w:tc>
          <w:tcPr>
            <w:tcW w:w="0" w:type="auto"/>
            <w:shd w:val="clear" w:color="auto" w:fill="auto"/>
            <w:tcMar>
              <w:top w:w="40" w:type="dxa"/>
              <w:left w:w="40" w:type="dxa"/>
              <w:bottom w:w="40" w:type="dxa"/>
              <w:right w:w="40" w:type="dxa"/>
            </w:tcMar>
            <w:vAlign w:val="center"/>
          </w:tcPr>
          <w:p w14:paraId="55570210" w14:textId="77777777" w:rsidR="00F925DD" w:rsidRDefault="00E705D7">
            <w:pPr>
              <w:textAlignment w:val="center"/>
              <w:rPr>
                <w:rFonts w:ascii="Times New Roman" w:hAnsi="Times New Roman"/>
                <w:sz w:val="16"/>
                <w:szCs w:val="16"/>
              </w:rPr>
            </w:pPr>
            <w:r>
              <w:rPr>
                <w:rFonts w:ascii="Arial" w:eastAsia="宋体" w:hAnsi="Arial" w:cs="Arial"/>
                <w:sz w:val="16"/>
                <w:szCs w:val="16"/>
              </w:rPr>
              <w:t>Held-to-maturity</w:t>
            </w:r>
          </w:p>
        </w:tc>
        <w:tc>
          <w:tcPr>
            <w:tcW w:w="0" w:type="auto"/>
            <w:shd w:val="clear" w:color="auto" w:fill="auto"/>
            <w:tcMar>
              <w:top w:w="40" w:type="dxa"/>
              <w:left w:w="40" w:type="dxa"/>
              <w:bottom w:w="40" w:type="dxa"/>
              <w:right w:w="40" w:type="dxa"/>
            </w:tcMar>
            <w:vAlign w:val="bottom"/>
          </w:tcPr>
          <w:p w14:paraId="555702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2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70214"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326"/>
        <w:gridCol w:w="2824"/>
        <w:gridCol w:w="3156"/>
      </w:tblGrid>
      <w:tr w:rsidR="00F925DD" w14:paraId="55570216" w14:textId="77777777">
        <w:tc>
          <w:tcPr>
            <w:tcW w:w="0" w:type="auto"/>
            <w:gridSpan w:val="3"/>
            <w:shd w:val="clear" w:color="auto" w:fill="auto"/>
            <w:vAlign w:val="center"/>
          </w:tcPr>
          <w:p w14:paraId="55570215" w14:textId="77777777" w:rsidR="00F925DD" w:rsidRDefault="00F925DD">
            <w:pPr>
              <w:rPr>
                <w:rFonts w:ascii="Times New Roman" w:hAnsi="Times New Roman"/>
                <w:sz w:val="20"/>
                <w:szCs w:val="20"/>
              </w:rPr>
            </w:pPr>
          </w:p>
        </w:tc>
      </w:tr>
      <w:tr w:rsidR="00F925DD" w14:paraId="5557021A" w14:textId="77777777">
        <w:tc>
          <w:tcPr>
            <w:tcW w:w="1400" w:type="pct"/>
            <w:shd w:val="clear" w:color="auto" w:fill="auto"/>
            <w:vAlign w:val="center"/>
          </w:tcPr>
          <w:p w14:paraId="55570217" w14:textId="77777777" w:rsidR="00F925DD" w:rsidRDefault="00F925DD">
            <w:pPr>
              <w:rPr>
                <w:rFonts w:ascii="Times New Roman" w:hAnsi="Times New Roman"/>
                <w:sz w:val="20"/>
                <w:szCs w:val="20"/>
              </w:rPr>
            </w:pPr>
          </w:p>
        </w:tc>
        <w:tc>
          <w:tcPr>
            <w:tcW w:w="1700" w:type="pct"/>
            <w:shd w:val="clear" w:color="auto" w:fill="auto"/>
            <w:vAlign w:val="center"/>
          </w:tcPr>
          <w:p w14:paraId="55570218" w14:textId="77777777" w:rsidR="00F925DD" w:rsidRDefault="00F925DD">
            <w:pPr>
              <w:rPr>
                <w:rFonts w:ascii="Times New Roman" w:hAnsi="Times New Roman"/>
                <w:sz w:val="20"/>
                <w:szCs w:val="20"/>
              </w:rPr>
            </w:pPr>
          </w:p>
        </w:tc>
        <w:tc>
          <w:tcPr>
            <w:tcW w:w="1900" w:type="pct"/>
            <w:shd w:val="clear" w:color="auto" w:fill="auto"/>
            <w:vAlign w:val="center"/>
          </w:tcPr>
          <w:p w14:paraId="55570219" w14:textId="77777777" w:rsidR="00F925DD" w:rsidRDefault="00F925DD">
            <w:pPr>
              <w:rPr>
                <w:rFonts w:ascii="Times New Roman" w:hAnsi="Times New Roman"/>
                <w:sz w:val="20"/>
                <w:szCs w:val="20"/>
              </w:rPr>
            </w:pPr>
          </w:p>
        </w:tc>
      </w:tr>
      <w:tr w:rsidR="00F925DD" w14:paraId="5557021E"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2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2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2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7021F" w14:textId="77777777" w:rsidR="00F925DD" w:rsidRDefault="00E705D7">
      <w:pPr>
        <w:spacing w:line="288" w:lineRule="auto"/>
        <w:rPr>
          <w:rFonts w:ascii="Times New Roman" w:hAnsi="Times New Roman"/>
          <w:sz w:val="20"/>
          <w:szCs w:val="20"/>
        </w:rPr>
      </w:pPr>
      <w:r>
        <w:rPr>
          <w:rFonts w:ascii="Arial" w:eastAsia="宋体" w:hAnsi="Arial" w:cs="Arial"/>
          <w:sz w:val="8"/>
          <w:szCs w:val="8"/>
        </w:rPr>
        <w:t>(1)</w:t>
      </w:r>
      <w:r>
        <w:rPr>
          <w:rFonts w:ascii="Arial" w:eastAsia="宋体" w:hAnsi="Arial" w:cs="Arial"/>
          <w:sz w:val="12"/>
          <w:szCs w:val="12"/>
        </w:rPr>
        <w:t xml:space="preserve"> As defined by the applicable U.S. regulations.</w:t>
      </w:r>
    </w:p>
    <w:p w14:paraId="55570220" w14:textId="77777777" w:rsidR="00F925DD" w:rsidRDefault="00F925DD">
      <w:pPr>
        <w:rPr>
          <w:rFonts w:ascii="Times New Roman" w:hAnsi="Times New Roman"/>
          <w:sz w:val="20"/>
          <w:szCs w:val="20"/>
        </w:rPr>
      </w:pPr>
    </w:p>
    <w:p w14:paraId="55570221"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178</w:t>
      </w:r>
    </w:p>
    <w:p w14:paraId="55570222" w14:textId="77777777" w:rsidR="00F925DD" w:rsidRDefault="00F925DD">
      <w:pPr>
        <w:spacing w:line="288" w:lineRule="auto"/>
        <w:ind w:firstLine="600"/>
        <w:jc w:val="center"/>
        <w:rPr>
          <w:rFonts w:ascii="Times New Roman" w:hAnsi="Times New Roman"/>
          <w:sz w:val="18"/>
          <w:szCs w:val="18"/>
        </w:rPr>
      </w:pPr>
    </w:p>
    <w:p w14:paraId="55570223" w14:textId="77777777" w:rsidR="00F925DD" w:rsidRDefault="00E705D7">
      <w:r>
        <w:rPr>
          <w:rFonts w:ascii="Times New Roman" w:hAnsi="Times New Roman"/>
          <w:sz w:val="18"/>
          <w:szCs w:val="18"/>
        </w:rPr>
        <w:pict w14:anchorId="555706EC">
          <v:rect id="_x0000_i1202" style="width:415.3pt;height:1.5pt" o:hralign="center" o:hrstd="t" o:hr="t" fillcolor="#a0a0a0" stroked="f"/>
        </w:pict>
      </w:r>
    </w:p>
    <w:p w14:paraId="55570224" w14:textId="77777777" w:rsidR="00F925DD" w:rsidRDefault="00F925DD">
      <w:pPr>
        <w:spacing w:line="288" w:lineRule="auto"/>
        <w:ind w:firstLine="600"/>
        <w:rPr>
          <w:rFonts w:ascii="Times New Roman" w:hAnsi="Times New Roman"/>
          <w:sz w:val="18"/>
          <w:szCs w:val="18"/>
        </w:rPr>
      </w:pPr>
    </w:p>
    <w:p w14:paraId="55570225" w14:textId="77777777" w:rsidR="00F925DD" w:rsidRDefault="00F925DD">
      <w:pPr>
        <w:spacing w:line="288" w:lineRule="auto"/>
        <w:ind w:firstLine="600"/>
        <w:jc w:val="center"/>
        <w:rPr>
          <w:rFonts w:ascii="Times New Roman" w:hAnsi="Times New Roman"/>
          <w:sz w:val="20"/>
          <w:szCs w:val="20"/>
        </w:rPr>
      </w:pPr>
    </w:p>
    <w:p w14:paraId="55570226" w14:textId="77777777" w:rsidR="00F925DD" w:rsidRDefault="00F925D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4153"/>
        <w:gridCol w:w="4153"/>
      </w:tblGrid>
      <w:tr w:rsidR="00F925DD" w14:paraId="55570228" w14:textId="77777777">
        <w:trPr>
          <w:jc w:val="center"/>
        </w:trPr>
        <w:tc>
          <w:tcPr>
            <w:tcW w:w="0" w:type="auto"/>
            <w:gridSpan w:val="2"/>
            <w:shd w:val="clear" w:color="auto" w:fill="auto"/>
            <w:vAlign w:val="center"/>
          </w:tcPr>
          <w:p w14:paraId="55570227" w14:textId="77777777" w:rsidR="00F925DD" w:rsidRDefault="00F925DD">
            <w:pPr>
              <w:rPr>
                <w:rFonts w:ascii="Times New Roman" w:hAnsi="Times New Roman"/>
                <w:sz w:val="20"/>
                <w:szCs w:val="20"/>
              </w:rPr>
            </w:pPr>
          </w:p>
        </w:tc>
      </w:tr>
      <w:tr w:rsidR="00F925DD" w14:paraId="5557022B" w14:textId="77777777">
        <w:trPr>
          <w:jc w:val="center"/>
        </w:trPr>
        <w:tc>
          <w:tcPr>
            <w:tcW w:w="2500" w:type="pct"/>
            <w:shd w:val="clear" w:color="auto" w:fill="auto"/>
            <w:vAlign w:val="center"/>
          </w:tcPr>
          <w:p w14:paraId="55570229" w14:textId="77777777" w:rsidR="00F925DD" w:rsidRDefault="00F925DD">
            <w:pPr>
              <w:rPr>
                <w:rFonts w:ascii="Times New Roman" w:hAnsi="Times New Roman"/>
                <w:sz w:val="20"/>
                <w:szCs w:val="20"/>
              </w:rPr>
            </w:pPr>
          </w:p>
        </w:tc>
        <w:tc>
          <w:tcPr>
            <w:tcW w:w="2500" w:type="pct"/>
            <w:shd w:val="clear" w:color="auto" w:fill="auto"/>
            <w:vAlign w:val="center"/>
          </w:tcPr>
          <w:p w14:paraId="5557022A" w14:textId="77777777" w:rsidR="00F925DD" w:rsidRDefault="00F925DD">
            <w:pPr>
              <w:rPr>
                <w:rFonts w:ascii="Times New Roman" w:hAnsi="Times New Roman"/>
                <w:sz w:val="20"/>
                <w:szCs w:val="20"/>
              </w:rPr>
            </w:pPr>
          </w:p>
        </w:tc>
      </w:tr>
      <w:tr w:rsidR="00F925DD" w14:paraId="5557022D" w14:textId="77777777">
        <w:trPr>
          <w:jc w:val="center"/>
        </w:trPr>
        <w:tc>
          <w:tcPr>
            <w:tcW w:w="0" w:type="auto"/>
            <w:gridSpan w:val="2"/>
            <w:tcBorders>
              <w:bottom w:val="single" w:sz="18" w:space="0" w:color="000000"/>
            </w:tcBorders>
            <w:shd w:val="clear" w:color="auto" w:fill="auto"/>
            <w:tcMar>
              <w:top w:w="40" w:type="dxa"/>
              <w:left w:w="40" w:type="dxa"/>
              <w:bottom w:w="40" w:type="dxa"/>
              <w:right w:w="40" w:type="dxa"/>
            </w:tcMar>
          </w:tcPr>
          <w:p w14:paraId="5557022C" w14:textId="77777777" w:rsidR="00F925DD" w:rsidRDefault="00E705D7">
            <w:pPr>
              <w:jc w:val="center"/>
              <w:textAlignment w:val="top"/>
              <w:rPr>
                <w:rFonts w:ascii="Times New Roman" w:hAnsi="Times New Roman"/>
                <w:sz w:val="20"/>
                <w:szCs w:val="20"/>
              </w:rPr>
            </w:pPr>
            <w:r>
              <w:rPr>
                <w:rFonts w:ascii="Arial" w:eastAsia="宋体" w:hAnsi="Arial" w:cs="Arial"/>
                <w:b/>
                <w:bCs/>
                <w:sz w:val="20"/>
                <w:szCs w:val="20"/>
              </w:rPr>
              <w:t>GLOSSARY</w:t>
            </w:r>
          </w:p>
        </w:tc>
      </w:tr>
      <w:tr w:rsidR="00F925DD" w14:paraId="55570230" w14:textId="77777777">
        <w:trPr>
          <w:jc w:val="center"/>
        </w:trPr>
        <w:tc>
          <w:tcPr>
            <w:tcW w:w="0" w:type="auto"/>
            <w:shd w:val="clear" w:color="auto" w:fill="auto"/>
            <w:tcMar>
              <w:top w:w="40" w:type="dxa"/>
              <w:left w:w="40" w:type="dxa"/>
              <w:bottom w:w="40" w:type="dxa"/>
              <w:right w:w="40" w:type="dxa"/>
            </w:tcMar>
            <w:vAlign w:val="bottom"/>
          </w:tcPr>
          <w:p w14:paraId="555702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2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234" w14:textId="77777777">
        <w:trPr>
          <w:jc w:val="center"/>
        </w:trPr>
        <w:tc>
          <w:tcPr>
            <w:tcW w:w="0" w:type="auto"/>
            <w:shd w:val="clear" w:color="auto" w:fill="auto"/>
            <w:tcMar>
              <w:top w:w="40" w:type="dxa"/>
              <w:left w:w="40" w:type="dxa"/>
              <w:bottom w:w="40" w:type="dxa"/>
              <w:right w:w="40" w:type="dxa"/>
            </w:tcMar>
          </w:tcPr>
          <w:p w14:paraId="55570231" w14:textId="77777777" w:rsidR="00F925DD" w:rsidRDefault="00E705D7">
            <w:pPr>
              <w:textAlignment w:val="top"/>
              <w:rPr>
                <w:rFonts w:ascii="Times New Roman" w:hAnsi="Times New Roman"/>
                <w:sz w:val="16"/>
                <w:szCs w:val="16"/>
              </w:rPr>
            </w:pPr>
            <w:r>
              <w:rPr>
                <w:rFonts w:ascii="Arial" w:eastAsia="宋体" w:hAnsi="Arial" w:cs="Arial"/>
                <w:b/>
                <w:bCs/>
                <w:sz w:val="16"/>
                <w:szCs w:val="16"/>
              </w:rPr>
              <w:t>Asset-backed securities:</w:t>
            </w:r>
            <w:r>
              <w:rPr>
                <w:rFonts w:ascii="Arial" w:eastAsia="宋体" w:hAnsi="Arial" w:cs="Arial"/>
                <w:sz w:val="16"/>
                <w:szCs w:val="16"/>
              </w:rPr>
              <w:t> A financial security backed by collateralized assets, other than real estate or mortgage backed securities.</w:t>
            </w:r>
            <w:r>
              <w:rPr>
                <w:rFonts w:ascii="Arial" w:eastAsia="宋体" w:hAnsi="Arial" w:cs="Arial"/>
                <w:sz w:val="16"/>
                <w:szCs w:val="16"/>
              </w:rPr>
              <w:br/>
            </w:r>
            <w:r>
              <w:rPr>
                <w:rFonts w:ascii="Arial" w:eastAsia="宋体" w:hAnsi="Arial" w:cs="Arial"/>
                <w:b/>
                <w:bCs/>
                <w:sz w:val="16"/>
                <w:szCs w:val="16"/>
              </w:rPr>
              <w:br/>
            </w:r>
            <w:r>
              <w:rPr>
                <w:rFonts w:ascii="Arial" w:eastAsia="宋体" w:hAnsi="Arial" w:cs="Arial"/>
                <w:b/>
                <w:bCs/>
                <w:sz w:val="16"/>
                <w:szCs w:val="16"/>
              </w:rPr>
              <w:t xml:space="preserve">Assets under custody and/or administration: </w:t>
            </w:r>
            <w:r>
              <w:rPr>
                <w:rFonts w:ascii="Arial" w:eastAsia="宋体" w:hAnsi="Arial" w:cs="Arial"/>
                <w:sz w:val="16"/>
                <w:szCs w:val="16"/>
              </w:rPr>
              <w:t xml:space="preserve">Assets that we hold directly or indirectly on behalf of clients under a safekeeping or custody arrangement or for which we provide administrative services for clients. To the extent that we provide more than one </w:t>
            </w:r>
            <w:r>
              <w:rPr>
                <w:rFonts w:ascii="Arial" w:eastAsia="宋体" w:hAnsi="Arial" w:cs="Arial"/>
                <w:sz w:val="16"/>
                <w:szCs w:val="16"/>
              </w:rPr>
              <w:t xml:space="preserve">AUC/A service (including back and middle office services) for a client’s assets, the value of the asset is only counted once in the total amount of AUC/A.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Assets under management:</w:t>
            </w:r>
            <w:r>
              <w:rPr>
                <w:rFonts w:ascii="Arial" w:eastAsia="宋体" w:hAnsi="Arial" w:cs="Arial"/>
                <w:sz w:val="16"/>
                <w:szCs w:val="16"/>
              </w:rPr>
              <w:t> The total market value of client assets for which we provide investment ma</w:t>
            </w:r>
            <w:r>
              <w:rPr>
                <w:rFonts w:ascii="Arial" w:eastAsia="宋体" w:hAnsi="Arial" w:cs="Arial"/>
                <w:sz w:val="16"/>
                <w:szCs w:val="16"/>
              </w:rPr>
              <w:t>nagement strategy services, advisory services and/or distribution services generating management fees based on a percentage of the assets’ market values. These client assets are not included on our balance sheet. Assets under management include managed ass</w:t>
            </w:r>
            <w:r>
              <w:rPr>
                <w:rFonts w:ascii="Arial" w:eastAsia="宋体" w:hAnsi="Arial" w:cs="Arial"/>
                <w:sz w:val="16"/>
                <w:szCs w:val="16"/>
              </w:rPr>
              <w:t>ets lost but not liquidated. Lost business occurs from time to time and it is difficult to predict the timing of client behavior in transitioning these assets as the timing can vary significantly.</w:t>
            </w:r>
          </w:p>
          <w:p w14:paraId="55570232" w14:textId="77777777" w:rsidR="00F925DD" w:rsidRDefault="00E705D7">
            <w:pPr>
              <w:spacing w:after="160"/>
              <w:textAlignment w:val="top"/>
              <w:rPr>
                <w:rFonts w:ascii="Times New Roman" w:hAnsi="Times New Roman"/>
                <w:sz w:val="16"/>
                <w:szCs w:val="16"/>
              </w:rPr>
            </w:pPr>
            <w:r>
              <w:rPr>
                <w:rFonts w:ascii="Arial" w:eastAsia="宋体" w:hAnsi="Arial" w:cs="Arial"/>
                <w:sz w:val="16"/>
                <w:szCs w:val="16"/>
              </w:rPr>
              <w:br/>
            </w:r>
            <w:r>
              <w:rPr>
                <w:rFonts w:ascii="Arial" w:eastAsia="宋体" w:hAnsi="Arial" w:cs="Arial"/>
                <w:b/>
                <w:bCs/>
                <w:sz w:val="16"/>
                <w:szCs w:val="16"/>
              </w:rPr>
              <w:t>Beacon:</w:t>
            </w:r>
            <w:r>
              <w:rPr>
                <w:rFonts w:ascii="Arial" w:eastAsia="宋体" w:hAnsi="Arial" w:cs="Arial"/>
                <w:sz w:val="16"/>
                <w:szCs w:val="16"/>
              </w:rPr>
              <w:t> A multi-year program, announced in October 2015, t</w:t>
            </w:r>
            <w:r>
              <w:rPr>
                <w:rFonts w:ascii="Arial" w:eastAsia="宋体" w:hAnsi="Arial" w:cs="Arial"/>
                <w:sz w:val="16"/>
                <w:szCs w:val="16"/>
              </w:rPr>
              <w:t>o create cost efficiencies through changes in our operational processes and to further digitize our processes and interfaces with our clients.</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Certificates of deposit:</w:t>
            </w:r>
            <w:r>
              <w:rPr>
                <w:rFonts w:ascii="Arial" w:eastAsia="宋体" w:hAnsi="Arial" w:cs="Arial"/>
                <w:sz w:val="16"/>
                <w:szCs w:val="16"/>
              </w:rPr>
              <w:t> A savings certificate with a fixed maturity date, specified fixed interest rate and can</w:t>
            </w:r>
            <w:r>
              <w:rPr>
                <w:rFonts w:ascii="Arial" w:eastAsia="宋体" w:hAnsi="Arial" w:cs="Arial"/>
                <w:sz w:val="16"/>
                <w:szCs w:val="16"/>
              </w:rPr>
              <w:t xml:space="preserve"> be issued in any denomination aside from minimum investment requirements. A CD restricts access to the funds until the maturity date of the investment.</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Collateralized loan obligations:</w:t>
            </w:r>
            <w:r>
              <w:rPr>
                <w:rFonts w:ascii="Arial" w:eastAsia="宋体" w:hAnsi="Arial" w:cs="Arial"/>
                <w:sz w:val="16"/>
                <w:szCs w:val="16"/>
              </w:rPr>
              <w:t> A security backed by a pool of debt, primarily senior secured leverag</w:t>
            </w:r>
            <w:r>
              <w:rPr>
                <w:rFonts w:ascii="Arial" w:eastAsia="宋体" w:hAnsi="Arial" w:cs="Arial"/>
                <w:sz w:val="16"/>
                <w:szCs w:val="16"/>
              </w:rPr>
              <w:t>ed loans. CLOs are similar to collateralized mortgage obligations, except for the different type of underlying loan. With a CLO, the investor receives scheduled debt payments from the underlying loans, assuming most of the risk in the event borrowers defau</w:t>
            </w:r>
            <w:r>
              <w:rPr>
                <w:rFonts w:ascii="Arial" w:eastAsia="宋体" w:hAnsi="Arial" w:cs="Arial"/>
                <w:sz w:val="16"/>
                <w:szCs w:val="16"/>
              </w:rPr>
              <w:t>lt, but is offered greater diversity and the potential for higher-than-average returns.</w:t>
            </w:r>
            <w:r>
              <w:rPr>
                <w:rFonts w:ascii="Arial" w:eastAsia="宋体" w:hAnsi="Arial" w:cs="Arial"/>
                <w:sz w:val="16"/>
                <w:szCs w:val="16"/>
              </w:rPr>
              <w:br/>
            </w:r>
            <w:r>
              <w:rPr>
                <w:rFonts w:ascii="Arial" w:eastAsia="宋体" w:hAnsi="Arial" w:cs="Arial"/>
                <w:b/>
                <w:bCs/>
                <w:sz w:val="16"/>
                <w:szCs w:val="16"/>
              </w:rPr>
              <w:br/>
              <w:t>Commercial real estate:</w:t>
            </w:r>
            <w:r>
              <w:rPr>
                <w:rFonts w:ascii="Arial" w:eastAsia="宋体" w:hAnsi="Arial" w:cs="Arial"/>
                <w:sz w:val="16"/>
                <w:szCs w:val="16"/>
              </w:rPr>
              <w:t> Property intended to generate profit from capital gains or rental income. CRE loans are term loans secured by commercial and multifamily proper</w:t>
            </w:r>
            <w:r>
              <w:rPr>
                <w:rFonts w:ascii="Arial" w:eastAsia="宋体" w:hAnsi="Arial" w:cs="Arial"/>
                <w:sz w:val="16"/>
                <w:szCs w:val="16"/>
              </w:rPr>
              <w:t>ties. We seek CRE loans with strong competitive positions in major domestic markets, stable cash flows, modest leverage and experienced institutional ownership.</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Deposit beta:</w:t>
            </w:r>
            <w:r>
              <w:rPr>
                <w:rFonts w:ascii="Arial" w:eastAsia="宋体" w:hAnsi="Arial" w:cs="Arial"/>
                <w:sz w:val="16"/>
                <w:szCs w:val="16"/>
              </w:rPr>
              <w:t> A measure of how much of an interest rate increase is expected to be passed on t</w:t>
            </w:r>
            <w:r>
              <w:rPr>
                <w:rFonts w:ascii="Arial" w:eastAsia="宋体" w:hAnsi="Arial" w:cs="Arial"/>
                <w:sz w:val="16"/>
                <w:szCs w:val="16"/>
              </w:rPr>
              <w:t>o client interest-bearing accounts, on average.</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Depot bank:</w:t>
            </w:r>
            <w:r>
              <w:rPr>
                <w:rFonts w:ascii="Arial" w:eastAsia="宋体" w:hAnsi="Arial" w:cs="Arial"/>
                <w:sz w:val="16"/>
                <w:szCs w:val="16"/>
              </w:rPr>
              <w:t xml:space="preserve"> A German term, specified by the country's law on investment companies, which essentially corresponds to 'custodian'. </w:t>
            </w:r>
            <w:r>
              <w:rPr>
                <w:rFonts w:ascii="Arial" w:eastAsia="宋体" w:hAnsi="Arial" w:cs="Arial"/>
                <w:sz w:val="16"/>
                <w:szCs w:val="16"/>
              </w:rPr>
              <w:br/>
            </w:r>
            <w:r>
              <w:rPr>
                <w:rFonts w:ascii="Arial" w:eastAsia="宋体" w:hAnsi="Arial" w:cs="Arial"/>
                <w:b/>
                <w:bCs/>
                <w:sz w:val="16"/>
                <w:szCs w:val="16"/>
              </w:rPr>
              <w:br/>
              <w:t>Doubtful:</w:t>
            </w:r>
            <w:r>
              <w:rPr>
                <w:rFonts w:ascii="Arial" w:eastAsia="宋体" w:hAnsi="Arial" w:cs="Arial"/>
                <w:sz w:val="16"/>
                <w:szCs w:val="16"/>
              </w:rPr>
              <w:t xml:space="preserve"> Doubtful loans and leases meet the same definition of substandard </w:t>
            </w:r>
            <w:r>
              <w:rPr>
                <w:rFonts w:ascii="Arial" w:eastAsia="宋体" w:hAnsi="Arial" w:cs="Arial"/>
                <w:sz w:val="16"/>
                <w:szCs w:val="16"/>
              </w:rPr>
              <w:t>loans and leases (i.e., well-defined weaknesses that jeopardize repayment with the possibility that we will sustain some loss) with the added characteristic that the weaknesses make collection or liquidation in full highly questionable and improbable.</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Eco</w:t>
            </w:r>
            <w:r>
              <w:rPr>
                <w:rFonts w:ascii="Arial" w:eastAsia="宋体" w:hAnsi="Arial" w:cs="Arial"/>
                <w:b/>
                <w:bCs/>
                <w:sz w:val="16"/>
                <w:szCs w:val="16"/>
              </w:rPr>
              <w:t>nomic value of equity:</w:t>
            </w:r>
            <w:r>
              <w:rPr>
                <w:rFonts w:ascii="Arial" w:eastAsia="宋体" w:hAnsi="Arial" w:cs="Arial"/>
                <w:sz w:val="16"/>
                <w:szCs w:val="16"/>
              </w:rPr>
              <w:t> A measure designed to estimate the fair value of assets, liabilities and off-balance sheet instruments based on a discounted cash flow model.</w:t>
            </w:r>
            <w:r>
              <w:rPr>
                <w:rFonts w:ascii="Arial" w:eastAsia="宋体" w:hAnsi="Arial" w:cs="Arial"/>
                <w:sz w:val="16"/>
                <w:szCs w:val="16"/>
              </w:rPr>
              <w:br/>
            </w:r>
            <w:r>
              <w:rPr>
                <w:rFonts w:ascii="Arial" w:eastAsia="宋体" w:hAnsi="Arial" w:cs="Arial"/>
                <w:b/>
                <w:bCs/>
                <w:sz w:val="16"/>
                <w:szCs w:val="16"/>
              </w:rPr>
              <w:br/>
              <w:t xml:space="preserve">Exchange-Traded Fund: </w:t>
            </w:r>
            <w:r>
              <w:rPr>
                <w:rFonts w:ascii="Arial" w:eastAsia="宋体" w:hAnsi="Arial" w:cs="Arial"/>
                <w:sz w:val="16"/>
                <w:szCs w:val="16"/>
              </w:rPr>
              <w:t xml:space="preserve">A type of exchange-traded investment product that offer </w:t>
            </w:r>
            <w:r>
              <w:rPr>
                <w:rFonts w:ascii="Arial" w:eastAsia="宋体" w:hAnsi="Arial" w:cs="Arial"/>
                <w:sz w:val="16"/>
                <w:szCs w:val="16"/>
              </w:rPr>
              <w:t>investors a way to pool their money in a fund that makes investments in stocks, bonds, or other assets and, in return, to receive an interest in that investment pool. ETF shares are traded on a national stock exchange and at market prices that may or may n</w:t>
            </w:r>
            <w:r>
              <w:rPr>
                <w:rFonts w:ascii="Arial" w:eastAsia="宋体" w:hAnsi="Arial" w:cs="Arial"/>
                <w:sz w:val="16"/>
                <w:szCs w:val="16"/>
              </w:rPr>
              <w:t>ot be the same as the net asset value.</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Exposure-at-default:</w:t>
            </w:r>
            <w:r>
              <w:rPr>
                <w:rFonts w:ascii="Arial" w:eastAsia="宋体" w:hAnsi="Arial" w:cs="Arial"/>
                <w:sz w:val="16"/>
                <w:szCs w:val="16"/>
              </w:rPr>
              <w:t> A measure used in the calculation of regulatory capital under Basel III. It can be defined as the expected amount of loss a bank may be exposed to upon default of an obligor.</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Global systemically</w:t>
            </w:r>
            <w:r>
              <w:rPr>
                <w:rFonts w:ascii="Arial" w:eastAsia="宋体" w:hAnsi="Arial" w:cs="Arial"/>
                <w:b/>
                <w:bCs/>
                <w:sz w:val="16"/>
                <w:szCs w:val="16"/>
              </w:rPr>
              <w:t xml:space="preserve"> important bank: </w:t>
            </w:r>
            <w:r>
              <w:rPr>
                <w:rFonts w:ascii="Arial" w:eastAsia="宋体" w:hAnsi="Arial" w:cs="Arial"/>
                <w:sz w:val="16"/>
                <w:szCs w:val="16"/>
              </w:rPr>
              <w:t>A financial institution whose distress or disorderly failure, because of its size, complexity and systemic interconnectedness, would cause significant disruption to the wider financial system and economic activity, which will be subject to</w:t>
            </w:r>
            <w:r>
              <w:rPr>
                <w:rFonts w:ascii="Arial" w:eastAsia="宋体" w:hAnsi="Arial" w:cs="Arial"/>
                <w:sz w:val="16"/>
                <w:szCs w:val="16"/>
              </w:rPr>
              <w:t xml:space="preserve"> additional capital requirements.</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Held-to-maturity investment securities:</w:t>
            </w:r>
            <w:r>
              <w:rPr>
                <w:rFonts w:ascii="Arial" w:eastAsia="宋体" w:hAnsi="Arial" w:cs="Arial"/>
                <w:sz w:val="16"/>
                <w:szCs w:val="16"/>
              </w:rPr>
              <w:t> We classify investments in debt securities as held-to-maturity only if we have the positive intent and ability to hold those securities to maturity. Investments in debt securities c</w:t>
            </w:r>
            <w:r>
              <w:rPr>
                <w:rFonts w:ascii="Arial" w:eastAsia="宋体" w:hAnsi="Arial" w:cs="Arial"/>
                <w:sz w:val="16"/>
                <w:szCs w:val="16"/>
              </w:rPr>
              <w:t>lassified as held-to-maturity are measured subsequently at amortized cost in the statement of financial position.</w:t>
            </w:r>
          </w:p>
        </w:tc>
        <w:tc>
          <w:tcPr>
            <w:tcW w:w="0" w:type="auto"/>
            <w:shd w:val="clear" w:color="auto" w:fill="auto"/>
            <w:tcMar>
              <w:top w:w="40" w:type="dxa"/>
              <w:left w:w="40" w:type="dxa"/>
              <w:bottom w:w="40" w:type="dxa"/>
              <w:right w:w="40" w:type="dxa"/>
            </w:tcMar>
          </w:tcPr>
          <w:p w14:paraId="55570233" w14:textId="77777777" w:rsidR="00F925DD" w:rsidRDefault="00E705D7">
            <w:pPr>
              <w:spacing w:after="160"/>
              <w:textAlignment w:val="top"/>
              <w:rPr>
                <w:rFonts w:ascii="Times New Roman" w:hAnsi="Times New Roman"/>
                <w:sz w:val="16"/>
                <w:szCs w:val="16"/>
              </w:rPr>
            </w:pPr>
            <w:r>
              <w:rPr>
                <w:rFonts w:ascii="Arial" w:eastAsia="宋体" w:hAnsi="Arial" w:cs="Arial"/>
                <w:b/>
                <w:bCs/>
                <w:sz w:val="16"/>
                <w:szCs w:val="16"/>
              </w:rPr>
              <w:t>High-quality liquid assets:</w:t>
            </w:r>
            <w:r>
              <w:rPr>
                <w:rFonts w:ascii="Arial" w:eastAsia="宋体" w:hAnsi="Arial" w:cs="Arial"/>
                <w:sz w:val="16"/>
                <w:szCs w:val="16"/>
              </w:rPr>
              <w:t> Cash or assets that can be converted into cash at little or no loss of value in private markets and are considered</w:t>
            </w:r>
            <w:r>
              <w:rPr>
                <w:rFonts w:ascii="Arial" w:eastAsia="宋体" w:hAnsi="Arial" w:cs="Arial"/>
                <w:sz w:val="16"/>
                <w:szCs w:val="16"/>
              </w:rPr>
              <w:t xml:space="preserve"> unencumbered.</w:t>
            </w:r>
            <w:r>
              <w:rPr>
                <w:rFonts w:ascii="Arial" w:eastAsia="宋体" w:hAnsi="Arial" w:cs="Arial"/>
                <w:sz w:val="16"/>
                <w:szCs w:val="16"/>
              </w:rPr>
              <w:br/>
            </w:r>
            <w:r>
              <w:rPr>
                <w:rFonts w:ascii="Arial" w:eastAsia="宋体" w:hAnsi="Arial" w:cs="Arial"/>
                <w:b/>
                <w:bCs/>
                <w:sz w:val="16"/>
                <w:szCs w:val="16"/>
              </w:rPr>
              <w:br/>
              <w:t xml:space="preserve">Investment grade: </w:t>
            </w:r>
            <w:r>
              <w:rPr>
                <w:rFonts w:ascii="Arial" w:eastAsia="宋体" w:hAnsi="Arial" w:cs="Arial"/>
                <w:sz w:val="16"/>
                <w:szCs w:val="16"/>
              </w:rPr>
              <w:t xml:space="preserve">A rating of loans and leases to counterparties with strong credit quality and low expected credit risk and probability of default. It applies to counterparties with a strong capacity to support the timely repayment of any </w:t>
            </w:r>
            <w:r>
              <w:rPr>
                <w:rFonts w:ascii="Arial" w:eastAsia="宋体" w:hAnsi="Arial" w:cs="Arial"/>
                <w:sz w:val="16"/>
                <w:szCs w:val="16"/>
              </w:rPr>
              <w:t>financial commitment.</w:t>
            </w:r>
            <w:r>
              <w:rPr>
                <w:rFonts w:ascii="Arial" w:eastAsia="宋体" w:hAnsi="Arial" w:cs="Arial"/>
                <w:sz w:val="16"/>
                <w:szCs w:val="16"/>
              </w:rPr>
              <w:br/>
            </w:r>
            <w:r>
              <w:rPr>
                <w:rFonts w:ascii="Arial" w:eastAsia="宋体" w:hAnsi="Arial" w:cs="Arial"/>
                <w:b/>
                <w:bCs/>
                <w:sz w:val="16"/>
                <w:szCs w:val="16"/>
              </w:rPr>
              <w:br/>
              <w:t>Liquidity coverage ratio:</w:t>
            </w:r>
            <w:r>
              <w:rPr>
                <w:rFonts w:ascii="Arial" w:eastAsia="宋体" w:hAnsi="Arial" w:cs="Arial"/>
                <w:sz w:val="16"/>
                <w:szCs w:val="16"/>
              </w:rPr>
              <w:t> The ratio of encumbered high-quality liquid assets divided by expected total net cash outflows over a 30-day stress period. A Basel III framework requirement for banks and bank holding companies to measure l</w:t>
            </w:r>
            <w:r>
              <w:rPr>
                <w:rFonts w:ascii="Arial" w:eastAsia="宋体" w:hAnsi="Arial" w:cs="Arial"/>
                <w:sz w:val="16"/>
                <w:szCs w:val="16"/>
              </w:rPr>
              <w:t>iquidity, it is designed to ensure that certain banking institutions, including us, maintain a minimum amount of unencumbered HQLA sufficient to withstand the net cash outflow under a hypothetical standardized acute liquidity stress scenario for a 30-day s</w:t>
            </w:r>
            <w:r>
              <w:rPr>
                <w:rFonts w:ascii="Arial" w:eastAsia="宋体" w:hAnsi="Arial" w:cs="Arial"/>
                <w:sz w:val="16"/>
                <w:szCs w:val="16"/>
              </w:rPr>
              <w:t xml:space="preserve">tress period. </w:t>
            </w:r>
            <w:r>
              <w:rPr>
                <w:rFonts w:ascii="Arial" w:eastAsia="宋体" w:hAnsi="Arial" w:cs="Arial"/>
                <w:sz w:val="16"/>
                <w:szCs w:val="16"/>
              </w:rPr>
              <w:br/>
            </w:r>
            <w:r>
              <w:rPr>
                <w:rFonts w:ascii="Arial" w:eastAsia="宋体" w:hAnsi="Arial" w:cs="Arial"/>
                <w:b/>
                <w:bCs/>
                <w:sz w:val="16"/>
                <w:szCs w:val="16"/>
              </w:rPr>
              <w:br/>
              <w:t>Net asset value:</w:t>
            </w:r>
            <w:r>
              <w:rPr>
                <w:rFonts w:ascii="Arial" w:eastAsia="宋体" w:hAnsi="Arial" w:cs="Arial"/>
                <w:sz w:val="16"/>
                <w:szCs w:val="16"/>
              </w:rPr>
              <w:t xml:space="preserve"> The amount of net assets attributable to each share/unit of the fund at a specific date or time.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Net stable funding ratio:</w:t>
            </w:r>
            <w:r>
              <w:rPr>
                <w:rFonts w:ascii="Arial" w:eastAsia="宋体" w:hAnsi="Arial" w:cs="Arial"/>
                <w:sz w:val="16"/>
                <w:szCs w:val="16"/>
              </w:rPr>
              <w:t> The ratio of the amount of available stable funding relative to the amount of required stable fund</w:t>
            </w:r>
            <w:r>
              <w:rPr>
                <w:rFonts w:ascii="Arial" w:eastAsia="宋体" w:hAnsi="Arial" w:cs="Arial"/>
                <w:sz w:val="16"/>
                <w:szCs w:val="16"/>
              </w:rPr>
              <w:t xml:space="preserve">ing. This ratio should be equal to at least 100% on an ongoing basis.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Other-than-temporary-impairment:</w:t>
            </w:r>
            <w:r>
              <w:rPr>
                <w:rFonts w:ascii="Arial" w:eastAsia="宋体" w:hAnsi="Arial" w:cs="Arial"/>
                <w:sz w:val="16"/>
                <w:szCs w:val="16"/>
              </w:rPr>
              <w:t> Impairment charge taken on a security whose fair value has fallen below its carrying value on balance sheet and its value is not expected to recover th</w:t>
            </w:r>
            <w:r>
              <w:rPr>
                <w:rFonts w:ascii="Arial" w:eastAsia="宋体" w:hAnsi="Arial" w:cs="Arial"/>
                <w:sz w:val="16"/>
                <w:szCs w:val="16"/>
              </w:rPr>
              <w:t>rough the holding period of the security.</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Probability of default:</w:t>
            </w:r>
            <w:r>
              <w:rPr>
                <w:rFonts w:ascii="Arial" w:eastAsia="宋体" w:hAnsi="Arial" w:cs="Arial"/>
                <w:sz w:val="16"/>
                <w:szCs w:val="16"/>
              </w:rPr>
              <w:t> A measure of the likelihood that a credit obligor will enter into default status.</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 xml:space="preserve">Qualified financial contracts: </w:t>
            </w:r>
            <w:r>
              <w:rPr>
                <w:rFonts w:ascii="Arial" w:eastAsia="宋体" w:hAnsi="Arial" w:cs="Arial"/>
                <w:sz w:val="16"/>
                <w:szCs w:val="16"/>
              </w:rPr>
              <w:t>Securities contracts, commodity contracts, forward contracts, repurchase ag</w:t>
            </w:r>
            <w:r>
              <w:rPr>
                <w:rFonts w:ascii="Arial" w:eastAsia="宋体" w:hAnsi="Arial" w:cs="Arial"/>
                <w:sz w:val="16"/>
                <w:szCs w:val="16"/>
              </w:rPr>
              <w:t>reements, swap agreements and any other contract determined by the FDIC to be a qualified financial contract.</w:t>
            </w:r>
            <w:r>
              <w:rPr>
                <w:rFonts w:ascii="Arial" w:eastAsia="宋体" w:hAnsi="Arial" w:cs="Arial"/>
                <w:sz w:val="16"/>
                <w:szCs w:val="16"/>
              </w:rPr>
              <w:br/>
            </w:r>
            <w:r>
              <w:rPr>
                <w:rFonts w:ascii="Arial" w:eastAsia="宋体" w:hAnsi="Arial" w:cs="Arial"/>
                <w:b/>
                <w:bCs/>
                <w:sz w:val="16"/>
                <w:szCs w:val="16"/>
              </w:rPr>
              <w:br/>
              <w:t>Risk-weighted assets:</w:t>
            </w:r>
            <w:r>
              <w:rPr>
                <w:rFonts w:ascii="Arial" w:eastAsia="宋体" w:hAnsi="Arial" w:cs="Arial"/>
                <w:sz w:val="16"/>
                <w:szCs w:val="16"/>
              </w:rPr>
              <w:t xml:space="preserve"> A measurement used to quantify risk inherent in our on and off-balance sheet assets by adjusting the asset value for risk. </w:t>
            </w:r>
            <w:r>
              <w:rPr>
                <w:rFonts w:ascii="Arial" w:eastAsia="宋体" w:hAnsi="Arial" w:cs="Arial"/>
                <w:sz w:val="16"/>
                <w:szCs w:val="16"/>
              </w:rPr>
              <w:t xml:space="preserve">RWA is used in the calculation of our risk-based capital ratios.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Special mention:</w:t>
            </w:r>
            <w:r>
              <w:rPr>
                <w:rFonts w:ascii="Arial" w:eastAsia="宋体" w:hAnsi="Arial" w:cs="Arial"/>
                <w:sz w:val="16"/>
                <w:szCs w:val="16"/>
              </w:rPr>
              <w:t> Loans and leases that consist of counterparties with potential weaknesses that, if uncorrected, may result in deterioration of repayment prospects.</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Speculative:</w:t>
            </w:r>
            <w:r>
              <w:rPr>
                <w:rFonts w:ascii="Arial" w:eastAsia="宋体" w:hAnsi="Arial" w:cs="Arial"/>
                <w:sz w:val="16"/>
                <w:szCs w:val="16"/>
              </w:rPr>
              <w:t xml:space="preserve"> Loans and </w:t>
            </w:r>
            <w:r>
              <w:rPr>
                <w:rFonts w:ascii="Arial" w:eastAsia="宋体" w:hAnsi="Arial" w:cs="Arial"/>
                <w:sz w:val="16"/>
                <w:szCs w:val="16"/>
              </w:rPr>
              <w:t>leases that consist of counterparties that face ongoing uncertainties or exposure to business, financial, or economic downturns. However, these counterparties may have financial flexibility or access to financial alternatives, which allow for financial com</w:t>
            </w:r>
            <w:r>
              <w:rPr>
                <w:rFonts w:ascii="Arial" w:eastAsia="宋体" w:hAnsi="Arial" w:cs="Arial"/>
                <w:sz w:val="16"/>
                <w:szCs w:val="16"/>
              </w:rPr>
              <w:t>mitments to be met.</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Substandard:</w:t>
            </w:r>
            <w:r>
              <w:rPr>
                <w:rFonts w:ascii="Arial" w:eastAsia="宋体" w:hAnsi="Arial" w:cs="Arial"/>
                <w:sz w:val="16"/>
                <w:szCs w:val="16"/>
              </w:rPr>
              <w:t xml:space="preserve"> Loans and leases that consist of counterparties with well-defined weakness that jeopardizes repayment with the possibility we will sustain some loss.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Supplementary leverage ratio:</w:t>
            </w:r>
            <w:r>
              <w:rPr>
                <w:rFonts w:ascii="Arial" w:eastAsia="宋体" w:hAnsi="Arial" w:cs="Arial"/>
                <w:sz w:val="16"/>
                <w:szCs w:val="16"/>
              </w:rPr>
              <w:t> The ratio of our tier 1 capital to our t</w:t>
            </w:r>
            <w:r>
              <w:rPr>
                <w:rFonts w:ascii="Arial" w:eastAsia="宋体" w:hAnsi="Arial" w:cs="Arial"/>
                <w:sz w:val="16"/>
                <w:szCs w:val="16"/>
              </w:rPr>
              <w:t>otal leverage exposure, which measures our capital adequacy relative to our on and off-balance sheet assets.</w:t>
            </w:r>
            <w:r>
              <w:rPr>
                <w:rFonts w:ascii="Arial" w:eastAsia="宋体" w:hAnsi="Arial" w:cs="Arial"/>
                <w:sz w:val="16"/>
                <w:szCs w:val="16"/>
              </w:rPr>
              <w:br/>
            </w:r>
            <w:r>
              <w:rPr>
                <w:rFonts w:ascii="Arial" w:eastAsia="宋体" w:hAnsi="Arial" w:cs="Arial"/>
                <w:b/>
                <w:bCs/>
                <w:sz w:val="16"/>
                <w:szCs w:val="16"/>
              </w:rPr>
              <w:br/>
              <w:t>Total loss-absorbing capacity:</w:t>
            </w:r>
            <w:r>
              <w:rPr>
                <w:rFonts w:ascii="Arial" w:eastAsia="宋体" w:hAnsi="Arial" w:cs="Arial"/>
                <w:sz w:val="16"/>
                <w:szCs w:val="16"/>
              </w:rPr>
              <w:t> The sum of our tier 1 regulatory capital plus eligible external long-term debt issued by us.</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Value-at-Risk:</w:t>
            </w:r>
            <w:r>
              <w:rPr>
                <w:rFonts w:ascii="Arial" w:eastAsia="宋体" w:hAnsi="Arial" w:cs="Arial"/>
                <w:sz w:val="16"/>
                <w:szCs w:val="16"/>
              </w:rPr>
              <w:t> Statis</w:t>
            </w:r>
            <w:r>
              <w:rPr>
                <w:rFonts w:ascii="Arial" w:eastAsia="宋体" w:hAnsi="Arial" w:cs="Arial"/>
                <w:sz w:val="16"/>
                <w:szCs w:val="16"/>
              </w:rPr>
              <w:t xml:space="preserve">tical model used to measure the potential loss in value of a portfolio that could occur in normal markets condition, over a defined holding period, within a certain confidence level. </w:t>
            </w:r>
            <w:r>
              <w:rPr>
                <w:rFonts w:ascii="Arial" w:eastAsia="宋体" w:hAnsi="Arial" w:cs="Arial"/>
                <w:sz w:val="16"/>
                <w:szCs w:val="16"/>
              </w:rPr>
              <w:br/>
            </w:r>
            <w:r>
              <w:rPr>
                <w:rFonts w:ascii="Arial" w:eastAsia="宋体" w:hAnsi="Arial" w:cs="Arial"/>
                <w:sz w:val="16"/>
                <w:szCs w:val="16"/>
              </w:rPr>
              <w:br/>
            </w:r>
            <w:r>
              <w:rPr>
                <w:rFonts w:ascii="Arial" w:eastAsia="宋体" w:hAnsi="Arial" w:cs="Arial"/>
                <w:b/>
                <w:bCs/>
                <w:sz w:val="16"/>
                <w:szCs w:val="16"/>
              </w:rPr>
              <w:t>Variable interest entity:</w:t>
            </w:r>
            <w:r>
              <w:rPr>
                <w:rFonts w:ascii="Arial" w:eastAsia="宋体" w:hAnsi="Arial" w:cs="Arial"/>
                <w:sz w:val="16"/>
                <w:szCs w:val="16"/>
              </w:rPr>
              <w:t> An entity that: (1) lacks enough equity inves</w:t>
            </w:r>
            <w:r>
              <w:rPr>
                <w:rFonts w:ascii="Arial" w:eastAsia="宋体" w:hAnsi="Arial" w:cs="Arial"/>
                <w:sz w:val="16"/>
                <w:szCs w:val="16"/>
              </w:rPr>
              <w:t>tment at risk to permit the entity to finance its activities without additional financial support from other parties; (2) has equity owners that lack the right to make significant decisions affecting the entity’s operations; and/or (3) has equity owners th</w:t>
            </w:r>
            <w:r>
              <w:rPr>
                <w:rFonts w:ascii="Arial" w:eastAsia="宋体" w:hAnsi="Arial" w:cs="Arial"/>
                <w:sz w:val="16"/>
                <w:szCs w:val="16"/>
              </w:rPr>
              <w:t>at do not have an obligation to absorb or the right to receive the entity’s losses or return.</w:t>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r>
              <w:rPr>
                <w:rFonts w:ascii="Arial" w:eastAsia="宋体" w:hAnsi="Arial" w:cs="Arial"/>
                <w:sz w:val="16"/>
                <w:szCs w:val="16"/>
              </w:rPr>
              <w:br/>
            </w:r>
          </w:p>
        </w:tc>
      </w:tr>
    </w:tbl>
    <w:p w14:paraId="55570235" w14:textId="77777777" w:rsidR="00F925DD" w:rsidRDefault="00F925DD">
      <w:pPr>
        <w:rPr>
          <w:rFonts w:ascii="Times New Roman" w:hAnsi="Times New Roman"/>
          <w:sz w:val="20"/>
          <w:szCs w:val="20"/>
        </w:rPr>
      </w:pPr>
    </w:p>
    <w:p w14:paraId="55570236"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179</w:t>
      </w:r>
    </w:p>
    <w:p w14:paraId="55570237" w14:textId="77777777" w:rsidR="00F925DD" w:rsidRDefault="00F925DD">
      <w:pPr>
        <w:spacing w:line="288" w:lineRule="auto"/>
        <w:ind w:firstLine="600"/>
        <w:jc w:val="center"/>
        <w:rPr>
          <w:rFonts w:ascii="Times New Roman" w:hAnsi="Times New Roman"/>
          <w:sz w:val="18"/>
          <w:szCs w:val="18"/>
        </w:rPr>
      </w:pPr>
    </w:p>
    <w:p w14:paraId="55570238" w14:textId="77777777" w:rsidR="00F925DD" w:rsidRDefault="00E705D7">
      <w:r>
        <w:rPr>
          <w:rFonts w:ascii="Times New Roman" w:hAnsi="Times New Roman"/>
          <w:sz w:val="18"/>
          <w:szCs w:val="18"/>
        </w:rPr>
        <w:pict w14:anchorId="555706ED">
          <v:rect id="_x0000_i1203" style="width:415.3pt;height:1.5pt" o:hralign="center" o:hrstd="t" o:hr="t" fillcolor="#a0a0a0" stroked="f"/>
        </w:pict>
      </w:r>
    </w:p>
    <w:p w14:paraId="55570239" w14:textId="77777777" w:rsidR="00F925DD" w:rsidRDefault="00F925DD">
      <w:pPr>
        <w:spacing w:line="288" w:lineRule="auto"/>
        <w:ind w:firstLine="600"/>
        <w:rPr>
          <w:rFonts w:ascii="Times New Roman" w:hAnsi="Times New Roman"/>
          <w:sz w:val="18"/>
          <w:szCs w:val="18"/>
        </w:rPr>
      </w:pPr>
    </w:p>
    <w:p w14:paraId="5557023A" w14:textId="77777777" w:rsidR="00F925DD" w:rsidRDefault="00F925DD">
      <w:pPr>
        <w:rPr>
          <w:rFonts w:ascii="Times New Roman" w:hAnsi="Times New Roman"/>
          <w:sz w:val="20"/>
          <w:szCs w:val="20"/>
        </w:rPr>
      </w:pPr>
    </w:p>
    <w:p w14:paraId="5557023B"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ITEM 9. CHANGES IN AND DISAGREEMENTS WITH ACCOUNTANTS ON ACCOUNTING AND FINANCIAL DISCLOSURE</w:t>
      </w:r>
    </w:p>
    <w:p w14:paraId="5557023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None.</w:t>
      </w:r>
    </w:p>
    <w:p w14:paraId="5557023D"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 xml:space="preserve">ITEM 9A. </w:t>
      </w:r>
      <w:r>
        <w:rPr>
          <w:rFonts w:ascii="Arial" w:eastAsia="宋体" w:hAnsi="Arial" w:cs="Arial"/>
          <w:b/>
          <w:bCs/>
          <w:sz w:val="20"/>
          <w:szCs w:val="20"/>
        </w:rPr>
        <w:t>CONTROLS AND PROCEDURES</w:t>
      </w:r>
    </w:p>
    <w:p w14:paraId="5557023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State Street has established and maintains disclosure controls and procedures that are designed to ensure that material information related to State Street and its subsidiaries on a consolidated basis required to be disclosed in its</w:t>
      </w:r>
      <w:r>
        <w:rPr>
          <w:rFonts w:ascii="Arial" w:eastAsia="宋体" w:hAnsi="Arial" w:cs="Arial"/>
          <w:sz w:val="20"/>
          <w:szCs w:val="20"/>
        </w:rPr>
        <w:t xml:space="preserve"> reports filed or submitted under the Securities Exchange Act of 1934 is recorded, processed, summarized, and reported within the time periods specified in the SEC's rules and forms, and that such information is accumulated and communicated to State Street</w:t>
      </w:r>
      <w:r>
        <w:rPr>
          <w:rFonts w:ascii="Arial" w:eastAsia="宋体" w:hAnsi="Arial" w:cs="Arial"/>
          <w:sz w:val="20"/>
          <w:szCs w:val="20"/>
        </w:rPr>
        <w:t>'s management, including its Chief Executive Officer and Chief Financial Officer, as appropriate, to allow timely decisions regarding required disclosure. For the year ended December 31, 2019, State Street's management carried out an evaluation, with the p</w:t>
      </w:r>
      <w:r>
        <w:rPr>
          <w:rFonts w:ascii="Arial" w:eastAsia="宋体" w:hAnsi="Arial" w:cs="Arial"/>
          <w:sz w:val="20"/>
          <w:szCs w:val="20"/>
        </w:rPr>
        <w:t>articipation of the Chief Executive Officer and Chief Financial Officer, of the effectiveness of the design and operation of State Street's disclosure controls and procedures. Based on the evaluation of these disclosure controls and procedures, the Chief E</w:t>
      </w:r>
      <w:r>
        <w:rPr>
          <w:rFonts w:ascii="Arial" w:eastAsia="宋体" w:hAnsi="Arial" w:cs="Arial"/>
          <w:sz w:val="20"/>
          <w:szCs w:val="20"/>
        </w:rPr>
        <w:t xml:space="preserve">xecutive Officer and Chief Financial Officer concluded that State Street's disclosure controls and procedures were effective as of December 31, 2019. </w:t>
      </w:r>
    </w:p>
    <w:p w14:paraId="5557023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State Street has also established and maintains internal control over financial reporting as a process de</w:t>
      </w:r>
      <w:r>
        <w:rPr>
          <w:rFonts w:ascii="Arial" w:eastAsia="宋体" w:hAnsi="Arial" w:cs="Arial"/>
          <w:sz w:val="20"/>
          <w:szCs w:val="20"/>
        </w:rPr>
        <w:t xml:space="preserve">signed to provide reasonable assurance regarding the reliability of financial reporting and the preparation of consolidated financial statements for external purposes in conformity with U.S. GAAP. In the ordinary course of business, State Street routinely </w:t>
      </w:r>
      <w:r>
        <w:rPr>
          <w:rFonts w:ascii="Arial" w:eastAsia="宋体" w:hAnsi="Arial" w:cs="Arial"/>
          <w:sz w:val="20"/>
          <w:szCs w:val="20"/>
        </w:rPr>
        <w:t xml:space="preserve">enhances its internal controls and procedures for financial reporting by either upgrading its current systems or implementing new systems. Changes have been made and may be made to State Street's internal controls and procedures for financial reporting as </w:t>
      </w:r>
      <w:r>
        <w:rPr>
          <w:rFonts w:ascii="Arial" w:eastAsia="宋体" w:hAnsi="Arial" w:cs="Arial"/>
          <w:sz w:val="20"/>
          <w:szCs w:val="20"/>
        </w:rPr>
        <w:t>a result of these efforts. During the quarter ended December 31, 2019, no change occurred in State Street's internal control over financial reporting that has materially affected, or is reasonably likely to materially affect, State Street's internal contro</w:t>
      </w:r>
      <w:r>
        <w:rPr>
          <w:rFonts w:ascii="Arial" w:eastAsia="宋体" w:hAnsi="Arial" w:cs="Arial"/>
          <w:sz w:val="20"/>
          <w:szCs w:val="20"/>
        </w:rPr>
        <w:t xml:space="preserve">l over financial reporting. </w:t>
      </w:r>
    </w:p>
    <w:p w14:paraId="55570240" w14:textId="77777777" w:rsidR="00F925DD" w:rsidRDefault="00F925DD">
      <w:pPr>
        <w:spacing w:line="288" w:lineRule="auto"/>
        <w:ind w:firstLine="600"/>
        <w:rPr>
          <w:rFonts w:ascii="Times New Roman" w:hAnsi="Times New Roman"/>
          <w:sz w:val="20"/>
          <w:szCs w:val="20"/>
        </w:rPr>
      </w:pPr>
    </w:p>
    <w:p w14:paraId="55570241" w14:textId="77777777" w:rsidR="00F925DD" w:rsidRDefault="00F925DD">
      <w:pPr>
        <w:rPr>
          <w:rFonts w:ascii="Times New Roman" w:hAnsi="Times New Roman"/>
          <w:sz w:val="20"/>
          <w:szCs w:val="20"/>
        </w:rPr>
      </w:pPr>
    </w:p>
    <w:p w14:paraId="55570242"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180</w:t>
      </w:r>
    </w:p>
    <w:p w14:paraId="55570243" w14:textId="77777777" w:rsidR="00F925DD" w:rsidRDefault="00F925DD">
      <w:pPr>
        <w:spacing w:line="288" w:lineRule="auto"/>
        <w:ind w:firstLine="600"/>
        <w:jc w:val="center"/>
        <w:rPr>
          <w:rFonts w:ascii="Times New Roman" w:hAnsi="Times New Roman"/>
          <w:sz w:val="18"/>
          <w:szCs w:val="18"/>
        </w:rPr>
      </w:pPr>
    </w:p>
    <w:p w14:paraId="55570244" w14:textId="77777777" w:rsidR="00F925DD" w:rsidRDefault="00E705D7">
      <w:r>
        <w:rPr>
          <w:rFonts w:ascii="Times New Roman" w:hAnsi="Times New Roman"/>
          <w:sz w:val="18"/>
          <w:szCs w:val="18"/>
        </w:rPr>
        <w:pict w14:anchorId="555706EE">
          <v:rect id="_x0000_i1204" style="width:415.3pt;height:1.5pt" o:hralign="center" o:hrstd="t" o:hr="t" fillcolor="#a0a0a0" stroked="f"/>
        </w:pict>
      </w:r>
    </w:p>
    <w:p w14:paraId="55570245" w14:textId="77777777" w:rsidR="00F925DD" w:rsidRDefault="00F925DD">
      <w:pPr>
        <w:spacing w:line="288" w:lineRule="auto"/>
        <w:ind w:firstLine="600"/>
        <w:rPr>
          <w:rFonts w:ascii="Times New Roman" w:hAnsi="Times New Roman"/>
          <w:sz w:val="18"/>
          <w:szCs w:val="18"/>
        </w:rPr>
      </w:pPr>
    </w:p>
    <w:p w14:paraId="55570246" w14:textId="77777777" w:rsidR="00F925DD" w:rsidRDefault="00F925DD">
      <w:pPr>
        <w:rPr>
          <w:rFonts w:ascii="Times New Roman" w:hAnsi="Times New Roman"/>
          <w:sz w:val="20"/>
          <w:szCs w:val="20"/>
        </w:rPr>
      </w:pPr>
    </w:p>
    <w:p w14:paraId="55570247" w14:textId="77777777" w:rsidR="00F925DD" w:rsidRDefault="00E705D7">
      <w:pPr>
        <w:spacing w:line="288" w:lineRule="auto"/>
        <w:rPr>
          <w:rFonts w:ascii="Times New Roman" w:hAnsi="Times New Roman"/>
          <w:sz w:val="20"/>
          <w:szCs w:val="20"/>
        </w:rPr>
      </w:pPr>
      <w:r>
        <w:rPr>
          <w:rFonts w:ascii="Arial" w:eastAsia="宋体" w:hAnsi="Arial" w:cs="Arial"/>
          <w:sz w:val="20"/>
          <w:szCs w:val="20"/>
        </w:rPr>
        <w:t>INTERNAL CONTROL OVER FINANCIAL REPORTING</w:t>
      </w:r>
    </w:p>
    <w:p w14:paraId="55570248" w14:textId="77777777" w:rsidR="00F925DD" w:rsidRDefault="00F925DD">
      <w:pPr>
        <w:spacing w:line="288" w:lineRule="auto"/>
        <w:ind w:firstLine="600"/>
        <w:rPr>
          <w:rFonts w:ascii="Times New Roman" w:hAnsi="Times New Roman"/>
          <w:sz w:val="20"/>
          <w:szCs w:val="20"/>
        </w:rPr>
      </w:pPr>
    </w:p>
    <w:p w14:paraId="55570249" w14:textId="77777777" w:rsidR="00F925DD" w:rsidRDefault="00E705D7">
      <w:pPr>
        <w:spacing w:line="288" w:lineRule="auto"/>
        <w:rPr>
          <w:rFonts w:ascii="Times New Roman" w:hAnsi="Times New Roman"/>
          <w:sz w:val="20"/>
          <w:szCs w:val="20"/>
        </w:rPr>
      </w:pPr>
      <w:r>
        <w:rPr>
          <w:rFonts w:ascii="Arial" w:eastAsia="宋体" w:hAnsi="Arial" w:cs="Arial"/>
          <w:b/>
          <w:bCs/>
          <w:color w:val="000000"/>
          <w:sz w:val="20"/>
          <w:szCs w:val="20"/>
        </w:rPr>
        <w:t>Management’s Report on Internal Control Over Financial Reporting</w:t>
      </w:r>
    </w:p>
    <w:p w14:paraId="5557024A"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management of State Street is responsible for establishing and </w:t>
      </w:r>
      <w:r>
        <w:rPr>
          <w:rFonts w:ascii="Arial" w:eastAsia="宋体" w:hAnsi="Arial" w:cs="Arial"/>
          <w:sz w:val="20"/>
          <w:szCs w:val="20"/>
        </w:rPr>
        <w:t>maintaining adequate internal control over financial reporting.</w:t>
      </w:r>
    </w:p>
    <w:p w14:paraId="5557024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State Street’s internal control over financial reporting is a process designed to provide reasonable assurance regarding the reliability of financial reporting and the preparation of financial</w:t>
      </w:r>
      <w:r>
        <w:rPr>
          <w:rFonts w:ascii="Arial" w:eastAsia="宋体" w:hAnsi="Arial" w:cs="Arial"/>
          <w:sz w:val="20"/>
          <w:szCs w:val="20"/>
        </w:rPr>
        <w:t xml:space="preserve"> statements for external purposes in accordance with accounting principles generally accepted in the United States of America. State Street’s internal control over financial reporting includes those policies and procedures that (i) pertain to the maintenan</w:t>
      </w:r>
      <w:r>
        <w:rPr>
          <w:rFonts w:ascii="Arial" w:eastAsia="宋体" w:hAnsi="Arial" w:cs="Arial"/>
          <w:sz w:val="20"/>
          <w:szCs w:val="20"/>
        </w:rPr>
        <w:t>ce of records that, in reasonable detail, accurately and fairly reflect the transactions and dispositions of the assets of State Street; (ii) provide reasonable assurance that transactions are recorded as necessary to permit preparation of financial statem</w:t>
      </w:r>
      <w:r>
        <w:rPr>
          <w:rFonts w:ascii="Arial" w:eastAsia="宋体" w:hAnsi="Arial" w:cs="Arial"/>
          <w:sz w:val="20"/>
          <w:szCs w:val="20"/>
        </w:rPr>
        <w:t>ents in accordance with accounting principles generally accepted in the United States of America, and that receipts and expenditures of State Street are being made only in accordance with authorizations of management and directors of State Street; and (iii</w:t>
      </w:r>
      <w:r>
        <w:rPr>
          <w:rFonts w:ascii="Arial" w:eastAsia="宋体" w:hAnsi="Arial" w:cs="Arial"/>
          <w:sz w:val="20"/>
          <w:szCs w:val="20"/>
        </w:rPr>
        <w:t xml:space="preserve">) provide reasonable assurance regarding prevention or timely detection of unauthorized acquisition, use, or disposition of State Street’s assets that could have a material effect on the financial statements.  </w:t>
      </w:r>
    </w:p>
    <w:p w14:paraId="5557024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Because of its inherent limitations, internal</w:t>
      </w:r>
      <w:r>
        <w:rPr>
          <w:rFonts w:ascii="Arial" w:eastAsia="宋体" w:hAnsi="Arial" w:cs="Arial"/>
          <w:sz w:val="20"/>
          <w:szCs w:val="20"/>
        </w:rPr>
        <w:t xml:space="preserve"> control over financial reporting may not prevent or detect misstatements. Also, projections of any evaluation of effectiveness to future periods are subject to the risk that controls may become inadequate because of changes in conditions, or that the degr</w:t>
      </w:r>
      <w:r>
        <w:rPr>
          <w:rFonts w:ascii="Arial" w:eastAsia="宋体" w:hAnsi="Arial" w:cs="Arial"/>
          <w:sz w:val="20"/>
          <w:szCs w:val="20"/>
        </w:rPr>
        <w:t xml:space="preserve">ee of compliance with the policies or procedures may deteriorate.  </w:t>
      </w:r>
    </w:p>
    <w:p w14:paraId="5557024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Management assessed the effectiveness of State Street’s internal control over financial reporting as of December 31, 2019 based on the framework set forth by the Committee of Sponsoring Or</w:t>
      </w:r>
      <w:r>
        <w:rPr>
          <w:rFonts w:ascii="Arial" w:eastAsia="宋体" w:hAnsi="Arial" w:cs="Arial"/>
          <w:sz w:val="20"/>
          <w:szCs w:val="20"/>
        </w:rPr>
        <w:t xml:space="preserve">ganizations of the Treadway Commission in </w:t>
      </w:r>
      <w:r>
        <w:rPr>
          <w:rFonts w:ascii="Arial" w:eastAsia="宋体" w:hAnsi="Arial" w:cs="Arial"/>
          <w:i/>
          <w:iCs/>
          <w:sz w:val="20"/>
          <w:szCs w:val="20"/>
        </w:rPr>
        <w:t>Internal Control - Integrated Framework (2013).</w:t>
      </w:r>
    </w:p>
    <w:p w14:paraId="5557024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Based on that assessment, management concluded that, as of December 31, 2019, State Street’s internal control over financial reporting is effective.  </w:t>
      </w:r>
    </w:p>
    <w:p w14:paraId="5557024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effectivene</w:t>
      </w:r>
      <w:r>
        <w:rPr>
          <w:rFonts w:ascii="Arial" w:eastAsia="宋体" w:hAnsi="Arial" w:cs="Arial"/>
          <w:sz w:val="20"/>
          <w:szCs w:val="20"/>
        </w:rPr>
        <w:t>ss of State Street’s internal control over financial reporting as of December 31, 2019 has been audited by Ernst &amp; Young LLP, an independent registered public accounting firm, as stated in their accompanying report, which follows this report.</w:t>
      </w:r>
    </w:p>
    <w:p w14:paraId="55570250" w14:textId="77777777" w:rsidR="00F925DD" w:rsidRDefault="00F925DD">
      <w:pPr>
        <w:spacing w:line="288" w:lineRule="auto"/>
        <w:ind w:firstLine="600"/>
        <w:jc w:val="both"/>
        <w:rPr>
          <w:rFonts w:ascii="Times New Roman" w:hAnsi="Times New Roman"/>
          <w:sz w:val="20"/>
          <w:szCs w:val="20"/>
        </w:rPr>
      </w:pPr>
    </w:p>
    <w:p w14:paraId="55570251" w14:textId="77777777" w:rsidR="00F925DD" w:rsidRDefault="00F925DD">
      <w:pPr>
        <w:spacing w:line="288" w:lineRule="auto"/>
        <w:ind w:firstLine="600"/>
        <w:rPr>
          <w:rFonts w:ascii="Times New Roman" w:hAnsi="Times New Roman"/>
          <w:sz w:val="20"/>
          <w:szCs w:val="20"/>
        </w:rPr>
      </w:pPr>
    </w:p>
    <w:p w14:paraId="55570252" w14:textId="77777777" w:rsidR="00F925DD" w:rsidRDefault="00F925DD">
      <w:pPr>
        <w:rPr>
          <w:rFonts w:ascii="Times New Roman" w:hAnsi="Times New Roman"/>
          <w:sz w:val="20"/>
          <w:szCs w:val="20"/>
        </w:rPr>
      </w:pPr>
    </w:p>
    <w:p w14:paraId="55570253"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w:t>
      </w:r>
      <w:r>
        <w:rPr>
          <w:rFonts w:ascii="Arial" w:eastAsia="宋体" w:hAnsi="Arial" w:cs="Arial"/>
          <w:sz w:val="18"/>
          <w:szCs w:val="18"/>
        </w:rPr>
        <w:t>et Corporation | 181</w:t>
      </w:r>
    </w:p>
    <w:p w14:paraId="55570254" w14:textId="77777777" w:rsidR="00F925DD" w:rsidRDefault="00F925DD">
      <w:pPr>
        <w:spacing w:line="288" w:lineRule="auto"/>
        <w:ind w:firstLine="600"/>
        <w:jc w:val="center"/>
        <w:rPr>
          <w:rFonts w:ascii="Times New Roman" w:hAnsi="Times New Roman"/>
          <w:sz w:val="18"/>
          <w:szCs w:val="18"/>
        </w:rPr>
      </w:pPr>
    </w:p>
    <w:p w14:paraId="55570255" w14:textId="77777777" w:rsidR="00F925DD" w:rsidRDefault="00E705D7">
      <w:r>
        <w:rPr>
          <w:rFonts w:ascii="Times New Roman" w:hAnsi="Times New Roman"/>
          <w:sz w:val="18"/>
          <w:szCs w:val="18"/>
        </w:rPr>
        <w:pict w14:anchorId="555706EF">
          <v:rect id="_x0000_i1205" style="width:415.3pt;height:1.5pt" o:hralign="center" o:hrstd="t" o:hr="t" fillcolor="#a0a0a0" stroked="f"/>
        </w:pict>
      </w:r>
    </w:p>
    <w:p w14:paraId="55570256" w14:textId="77777777" w:rsidR="00F925DD" w:rsidRDefault="00F925DD">
      <w:pPr>
        <w:spacing w:line="288" w:lineRule="auto"/>
        <w:ind w:firstLine="600"/>
        <w:rPr>
          <w:rFonts w:ascii="Times New Roman" w:hAnsi="Times New Roman"/>
          <w:sz w:val="18"/>
          <w:szCs w:val="18"/>
        </w:rPr>
      </w:pPr>
    </w:p>
    <w:p w14:paraId="55570257" w14:textId="77777777" w:rsidR="00F925DD" w:rsidRDefault="00F925DD">
      <w:pPr>
        <w:rPr>
          <w:rFonts w:ascii="Times New Roman" w:hAnsi="Times New Roman"/>
          <w:sz w:val="20"/>
          <w:szCs w:val="20"/>
        </w:rPr>
      </w:pPr>
    </w:p>
    <w:p w14:paraId="55570258"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 xml:space="preserve">Report of Ernst &amp; Young LLP, Independent Registered Public Accounting Firm </w:t>
      </w:r>
    </w:p>
    <w:p w14:paraId="55570259"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To the Shareholders and the Board of Directors of State Street Corporation</w:t>
      </w:r>
    </w:p>
    <w:p w14:paraId="5557025A"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Opinion on Internal Control over Financial Reporting</w:t>
      </w:r>
    </w:p>
    <w:p w14:paraId="5557025B"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 xml:space="preserve">We have audited State </w:t>
      </w:r>
      <w:r>
        <w:rPr>
          <w:rFonts w:ascii="Arial" w:eastAsia="宋体" w:hAnsi="Arial" w:cs="Arial"/>
          <w:sz w:val="20"/>
          <w:szCs w:val="20"/>
        </w:rPr>
        <w:t>Street Corporation’s (the “Corporation”) internal control over financial reporting as of December 31, 2019, based on criteria established in Internal Control-Integrated Framework issued by the Committee of Sponsoring Organizations of the Treadway Commissio</w:t>
      </w:r>
      <w:r>
        <w:rPr>
          <w:rFonts w:ascii="Arial" w:eastAsia="宋体" w:hAnsi="Arial" w:cs="Arial"/>
          <w:sz w:val="20"/>
          <w:szCs w:val="20"/>
        </w:rPr>
        <w:t>n (2013 framework) (the “COSO criteria”). In our opinion, the Corporation maintained, in all material respects, effective internal control over financial reporting as of December 31, 2019, based on the COSO criteria.</w:t>
      </w:r>
    </w:p>
    <w:p w14:paraId="5557025C"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We also have audited, in accordance wit</w:t>
      </w:r>
      <w:r>
        <w:rPr>
          <w:rFonts w:ascii="Arial" w:eastAsia="宋体" w:hAnsi="Arial" w:cs="Arial"/>
          <w:sz w:val="20"/>
          <w:szCs w:val="20"/>
        </w:rPr>
        <w:t>h the standards of the Public Company Accounting Oversight Board (United States) (“PCAOB”), the 2019 consolidated financial statements of the Corporation and our report dated February 20, 2020 expressed an unqualified opinion thereon.</w:t>
      </w:r>
    </w:p>
    <w:p w14:paraId="5557025D"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Basis for Opinion</w:t>
      </w:r>
    </w:p>
    <w:p w14:paraId="5557025E"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The</w:t>
      </w:r>
      <w:r>
        <w:rPr>
          <w:rFonts w:ascii="Arial" w:eastAsia="宋体" w:hAnsi="Arial" w:cs="Arial"/>
          <w:sz w:val="20"/>
          <w:szCs w:val="20"/>
        </w:rPr>
        <w:t xml:space="preserve"> Corporation’s management is responsible for maintaining effective internal control over financial reporting and for its assessment of the effectiveness of internal control over financial reporting included in the accompanying Management’s Report on Intern</w:t>
      </w:r>
      <w:r>
        <w:rPr>
          <w:rFonts w:ascii="Arial" w:eastAsia="宋体" w:hAnsi="Arial" w:cs="Arial"/>
          <w:sz w:val="20"/>
          <w:szCs w:val="20"/>
        </w:rPr>
        <w:t>al Control over Financial Reporting. Our responsibility is to express an opinion on the Corporation’s internal control over financial reporting based on our audit. We are a public accounting firm registered with the PCAOB and are required to be independent</w:t>
      </w:r>
      <w:r>
        <w:rPr>
          <w:rFonts w:ascii="Arial" w:eastAsia="宋体" w:hAnsi="Arial" w:cs="Arial"/>
          <w:sz w:val="20"/>
          <w:szCs w:val="20"/>
        </w:rPr>
        <w:t xml:space="preserve"> with respect to the Corporation in accordance with the U.S. federal securities laws and the applicable rules and regulations of the Securities and Exchange Commission and the PCAOB.</w:t>
      </w:r>
    </w:p>
    <w:p w14:paraId="5557025F"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We conducted our audit in accordance with the standards of the PCAOB. Tho</w:t>
      </w:r>
      <w:r>
        <w:rPr>
          <w:rFonts w:ascii="Arial" w:eastAsia="宋体" w:hAnsi="Arial" w:cs="Arial"/>
          <w:sz w:val="20"/>
          <w:szCs w:val="20"/>
        </w:rPr>
        <w:t xml:space="preserve">se standards require that we plan and perform the audit to obtain reasonable assurance about whether effective internal control over financial reporting was maintained in all material respects. </w:t>
      </w:r>
    </w:p>
    <w:p w14:paraId="55570260"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Our audit included obtaining an understanding of internal con</w:t>
      </w:r>
      <w:r>
        <w:rPr>
          <w:rFonts w:ascii="Arial" w:eastAsia="宋体" w:hAnsi="Arial" w:cs="Arial"/>
          <w:sz w:val="20"/>
          <w:szCs w:val="20"/>
        </w:rPr>
        <w:t>trol over financial reporting, assessing the risk that a material weakness exists, testing and evaluating the design and operating effectiveness of internal control based on the assessed risk, and performing such other procedures as we considered necessary</w:t>
      </w:r>
      <w:r>
        <w:rPr>
          <w:rFonts w:ascii="Arial" w:eastAsia="宋体" w:hAnsi="Arial" w:cs="Arial"/>
          <w:sz w:val="20"/>
          <w:szCs w:val="20"/>
        </w:rPr>
        <w:t xml:space="preserve"> in the circumstances. We believe that our audit provides a reasonable basis for our opinion.</w:t>
      </w:r>
    </w:p>
    <w:p w14:paraId="55570261"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Definition and Limitations of Internal Control Over Financial Reporting</w:t>
      </w:r>
    </w:p>
    <w:p w14:paraId="55570262"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A company’s internal control over financial reporting is a process designed to provide rea</w:t>
      </w:r>
      <w:r>
        <w:rPr>
          <w:rFonts w:ascii="Arial" w:eastAsia="宋体" w:hAnsi="Arial" w:cs="Arial"/>
          <w:sz w:val="20"/>
          <w:szCs w:val="20"/>
        </w:rPr>
        <w:t>sonable assurance regarding the reliability of financial reporting and the preparation of financial statements for external purposes in accordance with generally accepted accounting principles. A company’s internal control over financial reporting includes</w:t>
      </w:r>
      <w:r>
        <w:rPr>
          <w:rFonts w:ascii="Arial" w:eastAsia="宋体" w:hAnsi="Arial" w:cs="Arial"/>
          <w:sz w:val="20"/>
          <w:szCs w:val="20"/>
        </w:rPr>
        <w:t xml:space="preserve"> those policies and procedures that (1) pertain to the maintenance of records that, in reasonable detail, accurately and fairly reflect the transactions and dispositions of the assets of the company; (2) provide reasonable assurance that transactions are r</w:t>
      </w:r>
      <w:r>
        <w:rPr>
          <w:rFonts w:ascii="Arial" w:eastAsia="宋体" w:hAnsi="Arial" w:cs="Arial"/>
          <w:sz w:val="20"/>
          <w:szCs w:val="20"/>
        </w:rPr>
        <w:t>ecorded as necessary to permit preparation of financial statements in accordance with generally accepted accounting principles, and that receipts and expenditures of the company are being made only in accordance with authorizations of management and direct</w:t>
      </w:r>
      <w:r>
        <w:rPr>
          <w:rFonts w:ascii="Arial" w:eastAsia="宋体" w:hAnsi="Arial" w:cs="Arial"/>
          <w:sz w:val="20"/>
          <w:szCs w:val="20"/>
        </w:rPr>
        <w:t>ors of the company; and (3) provide reasonable assurance regarding prevention or timely detection of unauthorized acquisition, use, or disposition of the company’s assets that could have a material effect on the financial statements.</w:t>
      </w:r>
    </w:p>
    <w:p w14:paraId="55570263"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Because of its inheren</w:t>
      </w:r>
      <w:r>
        <w:rPr>
          <w:rFonts w:ascii="Arial" w:eastAsia="宋体" w:hAnsi="Arial" w:cs="Arial"/>
          <w:sz w:val="20"/>
          <w:szCs w:val="20"/>
        </w:rPr>
        <w:t>t limitations, internal control over financial reporting may not prevent or detect misstatements. Also, projections of any evaluation of effectiveness to future periods are subject to the risk that controls may become inadequate because of changes in condi</w:t>
      </w:r>
      <w:r>
        <w:rPr>
          <w:rFonts w:ascii="Arial" w:eastAsia="宋体" w:hAnsi="Arial" w:cs="Arial"/>
          <w:sz w:val="20"/>
          <w:szCs w:val="20"/>
        </w:rPr>
        <w:t>tions, or that the degree of compliance with the policies or procedures may deteriorate.</w:t>
      </w:r>
    </w:p>
    <w:p w14:paraId="55570264" w14:textId="77777777" w:rsidR="00F925DD" w:rsidRDefault="00F925DD">
      <w:pPr>
        <w:spacing w:line="288" w:lineRule="auto"/>
        <w:ind w:firstLine="600"/>
        <w:jc w:val="both"/>
        <w:rPr>
          <w:rFonts w:ascii="Times New Roman" w:hAnsi="Times New Roman"/>
          <w:sz w:val="20"/>
          <w:szCs w:val="20"/>
        </w:rPr>
      </w:pPr>
    </w:p>
    <w:p w14:paraId="55570265" w14:textId="77777777" w:rsidR="00F925DD" w:rsidRDefault="00F925DD">
      <w:pPr>
        <w:spacing w:line="288" w:lineRule="auto"/>
        <w:ind w:firstLine="600"/>
        <w:jc w:val="both"/>
        <w:rPr>
          <w:rFonts w:ascii="Times New Roman" w:hAnsi="Times New Roman"/>
          <w:sz w:val="20"/>
          <w:szCs w:val="20"/>
        </w:rPr>
      </w:pPr>
    </w:p>
    <w:p w14:paraId="55570266" w14:textId="77777777" w:rsidR="00F925DD" w:rsidRDefault="00F925DD">
      <w:pPr>
        <w:spacing w:line="288" w:lineRule="auto"/>
        <w:ind w:firstLine="600"/>
        <w:jc w:val="both"/>
        <w:rPr>
          <w:rFonts w:ascii="Times New Roman" w:hAnsi="Times New Roman"/>
          <w:sz w:val="20"/>
          <w:szCs w:val="20"/>
        </w:rPr>
      </w:pPr>
    </w:p>
    <w:p w14:paraId="55570267" w14:textId="77777777" w:rsidR="00F925DD" w:rsidRDefault="00E705D7">
      <w:pPr>
        <w:spacing w:line="288" w:lineRule="auto"/>
        <w:jc w:val="both"/>
        <w:rPr>
          <w:rFonts w:ascii="Times New Roman" w:hAnsi="Times New Roman"/>
          <w:sz w:val="20"/>
          <w:szCs w:val="20"/>
        </w:rPr>
      </w:pPr>
      <w:r>
        <w:rPr>
          <w:rFonts w:ascii="Arial" w:eastAsia="宋体" w:hAnsi="Arial" w:cs="Arial"/>
          <w:sz w:val="20"/>
          <w:szCs w:val="20"/>
        </w:rPr>
        <w:t>/s/ Ernst &amp; Young LLP</w:t>
      </w:r>
    </w:p>
    <w:p w14:paraId="55570268" w14:textId="77777777" w:rsidR="00F925DD" w:rsidRDefault="00E705D7">
      <w:pPr>
        <w:spacing w:line="288" w:lineRule="auto"/>
        <w:rPr>
          <w:rFonts w:ascii="Times New Roman" w:hAnsi="Times New Roman"/>
          <w:sz w:val="20"/>
          <w:szCs w:val="20"/>
        </w:rPr>
      </w:pPr>
      <w:r>
        <w:rPr>
          <w:rFonts w:ascii="Arial" w:eastAsia="宋体" w:hAnsi="Arial" w:cs="Arial"/>
          <w:sz w:val="20"/>
          <w:szCs w:val="20"/>
        </w:rPr>
        <w:t xml:space="preserve">Boston, Massachusetts </w:t>
      </w:r>
    </w:p>
    <w:p w14:paraId="55570269" w14:textId="77777777" w:rsidR="00F925DD" w:rsidRDefault="00E705D7">
      <w:pPr>
        <w:spacing w:line="288" w:lineRule="auto"/>
        <w:rPr>
          <w:rFonts w:ascii="Times New Roman" w:hAnsi="Times New Roman"/>
          <w:sz w:val="20"/>
          <w:szCs w:val="20"/>
        </w:rPr>
      </w:pPr>
      <w:r>
        <w:rPr>
          <w:rFonts w:ascii="Arial" w:eastAsia="宋体" w:hAnsi="Arial" w:cs="Arial"/>
          <w:sz w:val="20"/>
          <w:szCs w:val="20"/>
        </w:rPr>
        <w:t xml:space="preserve">February 20, 2020 </w:t>
      </w:r>
    </w:p>
    <w:p w14:paraId="5557026A" w14:textId="77777777" w:rsidR="00F925DD" w:rsidRDefault="00F925DD">
      <w:pPr>
        <w:spacing w:line="288" w:lineRule="auto"/>
        <w:ind w:firstLine="600"/>
        <w:rPr>
          <w:rFonts w:ascii="Times New Roman" w:hAnsi="Times New Roman"/>
          <w:sz w:val="20"/>
          <w:szCs w:val="20"/>
        </w:rPr>
      </w:pPr>
    </w:p>
    <w:p w14:paraId="5557026B" w14:textId="77777777" w:rsidR="00F925DD" w:rsidRDefault="00F925DD">
      <w:pPr>
        <w:rPr>
          <w:rFonts w:ascii="Times New Roman" w:hAnsi="Times New Roman"/>
          <w:sz w:val="20"/>
          <w:szCs w:val="20"/>
        </w:rPr>
      </w:pPr>
    </w:p>
    <w:p w14:paraId="5557026C"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182</w:t>
      </w:r>
    </w:p>
    <w:p w14:paraId="5557026D" w14:textId="77777777" w:rsidR="00F925DD" w:rsidRDefault="00F925DD">
      <w:pPr>
        <w:spacing w:line="288" w:lineRule="auto"/>
        <w:ind w:firstLine="600"/>
        <w:jc w:val="center"/>
        <w:rPr>
          <w:rFonts w:ascii="Times New Roman" w:hAnsi="Times New Roman"/>
          <w:sz w:val="18"/>
          <w:szCs w:val="18"/>
        </w:rPr>
      </w:pPr>
    </w:p>
    <w:p w14:paraId="5557026E" w14:textId="77777777" w:rsidR="00F925DD" w:rsidRDefault="00E705D7">
      <w:r>
        <w:rPr>
          <w:rFonts w:ascii="Times New Roman" w:hAnsi="Times New Roman"/>
          <w:sz w:val="18"/>
          <w:szCs w:val="18"/>
        </w:rPr>
        <w:pict w14:anchorId="555706F0">
          <v:rect id="_x0000_i1206" style="width:415.3pt;height:1.5pt" o:hralign="center" o:hrstd="t" o:hr="t" fillcolor="#a0a0a0" stroked="f"/>
        </w:pict>
      </w:r>
    </w:p>
    <w:p w14:paraId="5557026F" w14:textId="77777777" w:rsidR="00F925DD" w:rsidRDefault="00F925DD">
      <w:pPr>
        <w:spacing w:line="288" w:lineRule="auto"/>
        <w:ind w:firstLine="600"/>
        <w:rPr>
          <w:rFonts w:ascii="Times New Roman" w:hAnsi="Times New Roman"/>
          <w:sz w:val="18"/>
          <w:szCs w:val="18"/>
        </w:rPr>
      </w:pPr>
    </w:p>
    <w:p w14:paraId="55570270" w14:textId="77777777" w:rsidR="00F925DD" w:rsidRDefault="00F925DD">
      <w:pPr>
        <w:rPr>
          <w:rFonts w:ascii="Times New Roman" w:hAnsi="Times New Roman"/>
          <w:sz w:val="20"/>
          <w:szCs w:val="20"/>
        </w:rPr>
      </w:pPr>
    </w:p>
    <w:p w14:paraId="55570271"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ITEM 9B. OTHER INFORMATION</w:t>
      </w:r>
    </w:p>
    <w:p w14:paraId="5557027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None.</w:t>
      </w:r>
    </w:p>
    <w:p w14:paraId="55570273" w14:textId="77777777" w:rsidR="00F925DD" w:rsidRDefault="00F925DD">
      <w:pPr>
        <w:spacing w:line="288" w:lineRule="auto"/>
        <w:ind w:firstLine="600"/>
        <w:jc w:val="both"/>
        <w:rPr>
          <w:rFonts w:ascii="Times New Roman" w:hAnsi="Times New Roman"/>
          <w:sz w:val="20"/>
          <w:szCs w:val="20"/>
        </w:rPr>
      </w:pPr>
    </w:p>
    <w:p w14:paraId="55570274" w14:textId="77777777" w:rsidR="00F925DD" w:rsidRDefault="00E705D7">
      <w:pPr>
        <w:spacing w:line="288" w:lineRule="auto"/>
        <w:rPr>
          <w:rFonts w:ascii="Times New Roman" w:hAnsi="Times New Roman"/>
        </w:rPr>
      </w:pPr>
      <w:r>
        <w:rPr>
          <w:rFonts w:ascii="Arial" w:eastAsia="宋体" w:hAnsi="Arial" w:cs="Arial"/>
          <w:b/>
          <w:bCs/>
        </w:rPr>
        <w:t>PART III</w:t>
      </w:r>
    </w:p>
    <w:p w14:paraId="55570275"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 xml:space="preserve">ITEM 10. </w:t>
      </w:r>
      <w:r>
        <w:rPr>
          <w:rFonts w:ascii="Arial" w:eastAsia="宋体" w:hAnsi="Arial" w:cs="Arial"/>
          <w:b/>
          <w:bCs/>
          <w:sz w:val="20"/>
          <w:szCs w:val="20"/>
        </w:rPr>
        <w:t>DIRECTORS, EXECUTIVE OFFICERS AND CORPORATE GOVERNANCE</w:t>
      </w:r>
    </w:p>
    <w:p w14:paraId="5557027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Information concerning our directors will appear in our Proxy Statement for the 2020 Annual Meeting of Shareholders, to be filed pursuant to Regulation 14A on or before April 29, 2020, referred to as t</w:t>
      </w:r>
      <w:r>
        <w:rPr>
          <w:rFonts w:ascii="Arial" w:eastAsia="宋体" w:hAnsi="Arial" w:cs="Arial"/>
          <w:sz w:val="20"/>
          <w:szCs w:val="20"/>
        </w:rPr>
        <w:t>he 2020 Proxy Statement, under the caption "Election of Directors." Information concerning compliance with Section 16(a) of the Exchange Act, if required, will appear in our 2020 Proxy Statement under the caption "Delinquent Section 16(a) Reports." Informa</w:t>
      </w:r>
      <w:r>
        <w:rPr>
          <w:rFonts w:ascii="Arial" w:eastAsia="宋体" w:hAnsi="Arial" w:cs="Arial"/>
          <w:sz w:val="20"/>
          <w:szCs w:val="20"/>
        </w:rPr>
        <w:t xml:space="preserve">tion concerning our Code of Ethics for Senior Financial Officers and our Examining and Audit Committee will appear in our 2020 Proxy Statement under the caption "Corporate Governance at State Street." Such information is incorporated herein by reference. </w:t>
      </w:r>
    </w:p>
    <w:p w14:paraId="5557027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Information about our executive officers is included under Part I.</w:t>
      </w:r>
    </w:p>
    <w:p w14:paraId="55570278"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ITEM 11.     EXECUTIVE COMPENSATION</w:t>
      </w:r>
    </w:p>
    <w:p w14:paraId="55570279"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Information in response to this item will appear in our 2020 Proxy Statement under the captions "Executive Compensation" and "Non-Employee Director Compe</w:t>
      </w:r>
      <w:r>
        <w:rPr>
          <w:rFonts w:ascii="Arial" w:eastAsia="宋体" w:hAnsi="Arial" w:cs="Arial"/>
          <w:sz w:val="20"/>
          <w:szCs w:val="20"/>
        </w:rPr>
        <w:t>nsation." Such information is incorporated herein by reference.</w:t>
      </w:r>
    </w:p>
    <w:p w14:paraId="5557027A"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ITEM 12. SECURITY OWNERSHIP OF CERTAIN BENEFICIAL OWNERS AND MANAGEMENT AND RELATED STOCKHOLDER MATTERS</w:t>
      </w:r>
    </w:p>
    <w:p w14:paraId="5557027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Information concerning security ownership of certain beneficial owners and management will appear in our 2020 Proxy Statement under the caption “Security Ownership of Certain Beneficial Owners and Management.” Such information is incorporated herein by ref</w:t>
      </w:r>
      <w:r>
        <w:rPr>
          <w:rFonts w:ascii="Arial" w:eastAsia="宋体" w:hAnsi="Arial" w:cs="Arial"/>
          <w:sz w:val="20"/>
          <w:szCs w:val="20"/>
        </w:rPr>
        <w:t xml:space="preserve">erence. </w:t>
      </w:r>
    </w:p>
    <w:p w14:paraId="5557027C"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RELATED STOCKHOLDER MATTERS</w:t>
      </w:r>
    </w:p>
    <w:p w14:paraId="5557027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The following table presents the number of outstanding common stock awards, options, warrants and rights granted by State Street to participants in our equity compensation plans, as well as the number of securities avai</w:t>
      </w:r>
      <w:r>
        <w:rPr>
          <w:rFonts w:ascii="Arial" w:eastAsia="宋体" w:hAnsi="Arial" w:cs="Arial"/>
          <w:sz w:val="20"/>
          <w:szCs w:val="20"/>
        </w:rPr>
        <w:t>lable for future issuance under these plans, as of December 31, 2019. The table provides this information separately for equity compensation plans that have and have not been approved by shareholders. Shares presented in the table and in the footnotes foll</w:t>
      </w:r>
      <w:r>
        <w:rPr>
          <w:rFonts w:ascii="Arial" w:eastAsia="宋体" w:hAnsi="Arial" w:cs="Arial"/>
          <w:sz w:val="20"/>
          <w:szCs w:val="20"/>
        </w:rPr>
        <w:t>owing the table are stated in thousands of shares.</w:t>
      </w:r>
    </w:p>
    <w:tbl>
      <w:tblPr>
        <w:tblW w:w="5000" w:type="pct"/>
        <w:tblCellMar>
          <w:left w:w="0" w:type="dxa"/>
          <w:right w:w="0" w:type="dxa"/>
        </w:tblCellMar>
        <w:tblLook w:val="04A0" w:firstRow="1" w:lastRow="0" w:firstColumn="1" w:lastColumn="0" w:noHBand="0" w:noVBand="1"/>
      </w:tblPr>
      <w:tblGrid>
        <w:gridCol w:w="3451"/>
        <w:gridCol w:w="1291"/>
        <w:gridCol w:w="58"/>
        <w:gridCol w:w="277"/>
        <w:gridCol w:w="142"/>
        <w:gridCol w:w="1288"/>
        <w:gridCol w:w="85"/>
        <w:gridCol w:w="130"/>
        <w:gridCol w:w="1530"/>
        <w:gridCol w:w="54"/>
      </w:tblGrid>
      <w:tr w:rsidR="00F925DD" w14:paraId="5557027F" w14:textId="77777777">
        <w:tc>
          <w:tcPr>
            <w:tcW w:w="0" w:type="auto"/>
            <w:gridSpan w:val="10"/>
            <w:shd w:val="clear" w:color="auto" w:fill="auto"/>
            <w:vAlign w:val="center"/>
          </w:tcPr>
          <w:p w14:paraId="5557027E" w14:textId="77777777" w:rsidR="00F925DD" w:rsidRDefault="00F925DD">
            <w:pPr>
              <w:rPr>
                <w:rFonts w:ascii="Times New Roman" w:hAnsi="Times New Roman"/>
                <w:sz w:val="20"/>
                <w:szCs w:val="20"/>
              </w:rPr>
            </w:pPr>
          </w:p>
        </w:tc>
      </w:tr>
      <w:tr w:rsidR="00F925DD" w14:paraId="5557028A" w14:textId="77777777">
        <w:tc>
          <w:tcPr>
            <w:tcW w:w="2100" w:type="pct"/>
            <w:shd w:val="clear" w:color="auto" w:fill="auto"/>
            <w:vAlign w:val="center"/>
          </w:tcPr>
          <w:p w14:paraId="55570280" w14:textId="77777777" w:rsidR="00F925DD" w:rsidRDefault="00F925DD">
            <w:pPr>
              <w:rPr>
                <w:rFonts w:ascii="Times New Roman" w:hAnsi="Times New Roman"/>
                <w:sz w:val="20"/>
                <w:szCs w:val="20"/>
              </w:rPr>
            </w:pPr>
          </w:p>
        </w:tc>
        <w:tc>
          <w:tcPr>
            <w:tcW w:w="800" w:type="pct"/>
            <w:shd w:val="clear" w:color="auto" w:fill="auto"/>
            <w:vAlign w:val="center"/>
          </w:tcPr>
          <w:p w14:paraId="55570281" w14:textId="77777777" w:rsidR="00F925DD" w:rsidRDefault="00F925DD">
            <w:pPr>
              <w:rPr>
                <w:rFonts w:ascii="Times New Roman" w:hAnsi="Times New Roman"/>
                <w:sz w:val="20"/>
                <w:szCs w:val="20"/>
              </w:rPr>
            </w:pPr>
          </w:p>
        </w:tc>
        <w:tc>
          <w:tcPr>
            <w:tcW w:w="50" w:type="pct"/>
            <w:shd w:val="clear" w:color="auto" w:fill="auto"/>
            <w:vAlign w:val="center"/>
          </w:tcPr>
          <w:p w14:paraId="55570282" w14:textId="77777777" w:rsidR="00F925DD" w:rsidRDefault="00F925DD">
            <w:pPr>
              <w:rPr>
                <w:rFonts w:ascii="Times New Roman" w:hAnsi="Times New Roman"/>
                <w:sz w:val="20"/>
                <w:szCs w:val="20"/>
              </w:rPr>
            </w:pPr>
          </w:p>
        </w:tc>
        <w:tc>
          <w:tcPr>
            <w:tcW w:w="150" w:type="pct"/>
            <w:shd w:val="clear" w:color="auto" w:fill="auto"/>
            <w:vAlign w:val="center"/>
          </w:tcPr>
          <w:p w14:paraId="55570283" w14:textId="77777777" w:rsidR="00F925DD" w:rsidRDefault="00F925DD">
            <w:pPr>
              <w:rPr>
                <w:rFonts w:ascii="Times New Roman" w:hAnsi="Times New Roman"/>
                <w:sz w:val="20"/>
                <w:szCs w:val="20"/>
              </w:rPr>
            </w:pPr>
          </w:p>
        </w:tc>
        <w:tc>
          <w:tcPr>
            <w:tcW w:w="50" w:type="pct"/>
            <w:shd w:val="clear" w:color="auto" w:fill="auto"/>
            <w:vAlign w:val="center"/>
          </w:tcPr>
          <w:p w14:paraId="55570284" w14:textId="77777777" w:rsidR="00F925DD" w:rsidRDefault="00F925DD">
            <w:pPr>
              <w:rPr>
                <w:rFonts w:ascii="Times New Roman" w:hAnsi="Times New Roman"/>
                <w:sz w:val="20"/>
                <w:szCs w:val="20"/>
              </w:rPr>
            </w:pPr>
          </w:p>
        </w:tc>
        <w:tc>
          <w:tcPr>
            <w:tcW w:w="750" w:type="pct"/>
            <w:shd w:val="clear" w:color="auto" w:fill="auto"/>
            <w:vAlign w:val="center"/>
          </w:tcPr>
          <w:p w14:paraId="55570285" w14:textId="77777777" w:rsidR="00F925DD" w:rsidRDefault="00F925DD">
            <w:pPr>
              <w:rPr>
                <w:rFonts w:ascii="Times New Roman" w:hAnsi="Times New Roman"/>
                <w:sz w:val="20"/>
                <w:szCs w:val="20"/>
              </w:rPr>
            </w:pPr>
          </w:p>
        </w:tc>
        <w:tc>
          <w:tcPr>
            <w:tcW w:w="50" w:type="pct"/>
            <w:shd w:val="clear" w:color="auto" w:fill="auto"/>
            <w:vAlign w:val="center"/>
          </w:tcPr>
          <w:p w14:paraId="55570286" w14:textId="77777777" w:rsidR="00F925DD" w:rsidRDefault="00F925DD">
            <w:pPr>
              <w:rPr>
                <w:rFonts w:ascii="Times New Roman" w:hAnsi="Times New Roman"/>
                <w:sz w:val="20"/>
                <w:szCs w:val="20"/>
              </w:rPr>
            </w:pPr>
          </w:p>
        </w:tc>
        <w:tc>
          <w:tcPr>
            <w:tcW w:w="50" w:type="pct"/>
            <w:shd w:val="clear" w:color="auto" w:fill="auto"/>
            <w:vAlign w:val="center"/>
          </w:tcPr>
          <w:p w14:paraId="55570287" w14:textId="77777777" w:rsidR="00F925DD" w:rsidRDefault="00F925DD">
            <w:pPr>
              <w:rPr>
                <w:rFonts w:ascii="Times New Roman" w:hAnsi="Times New Roman"/>
                <w:sz w:val="20"/>
                <w:szCs w:val="20"/>
              </w:rPr>
            </w:pPr>
          </w:p>
        </w:tc>
        <w:tc>
          <w:tcPr>
            <w:tcW w:w="950" w:type="pct"/>
            <w:shd w:val="clear" w:color="auto" w:fill="auto"/>
            <w:vAlign w:val="center"/>
          </w:tcPr>
          <w:p w14:paraId="55570288" w14:textId="77777777" w:rsidR="00F925DD" w:rsidRDefault="00F925DD">
            <w:pPr>
              <w:rPr>
                <w:rFonts w:ascii="Times New Roman" w:hAnsi="Times New Roman"/>
                <w:sz w:val="20"/>
                <w:szCs w:val="20"/>
              </w:rPr>
            </w:pPr>
          </w:p>
        </w:tc>
        <w:tc>
          <w:tcPr>
            <w:tcW w:w="50" w:type="pct"/>
            <w:shd w:val="clear" w:color="auto" w:fill="auto"/>
            <w:vAlign w:val="center"/>
          </w:tcPr>
          <w:p w14:paraId="55570289" w14:textId="77777777" w:rsidR="00F925DD" w:rsidRDefault="00F925DD">
            <w:pPr>
              <w:rPr>
                <w:rFonts w:ascii="Times New Roman" w:hAnsi="Times New Roman"/>
                <w:sz w:val="20"/>
                <w:szCs w:val="20"/>
              </w:rPr>
            </w:pPr>
          </w:p>
        </w:tc>
      </w:tr>
      <w:tr w:rsidR="00F925DD" w14:paraId="555702A3" w14:textId="77777777">
        <w:tc>
          <w:tcPr>
            <w:tcW w:w="0" w:type="auto"/>
            <w:shd w:val="clear" w:color="auto" w:fill="auto"/>
            <w:tcMar>
              <w:top w:w="40" w:type="dxa"/>
              <w:left w:w="40" w:type="dxa"/>
              <w:bottom w:w="40" w:type="dxa"/>
              <w:right w:w="40" w:type="dxa"/>
            </w:tcMar>
            <w:vAlign w:val="bottom"/>
          </w:tcPr>
          <w:p w14:paraId="5557028B" w14:textId="77777777" w:rsidR="00F925DD" w:rsidRDefault="00E705D7">
            <w:pPr>
              <w:textAlignment w:val="bottom"/>
              <w:rPr>
                <w:rFonts w:ascii="Times New Roman" w:hAnsi="Times New Roman"/>
                <w:sz w:val="16"/>
                <w:szCs w:val="16"/>
              </w:rPr>
            </w:pPr>
            <w:r>
              <w:rPr>
                <w:rFonts w:ascii="Arial" w:eastAsia="宋体" w:hAnsi="Arial" w:cs="Arial"/>
                <w:b/>
                <w:bCs/>
                <w:sz w:val="16"/>
                <w:szCs w:val="16"/>
              </w:rPr>
              <w:t>(Shares in thousands)</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7028C"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(a)</w:t>
            </w:r>
          </w:p>
          <w:p w14:paraId="5557028D"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Number of securities</w:t>
            </w:r>
          </w:p>
          <w:p w14:paraId="5557028E"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to be issued</w:t>
            </w:r>
          </w:p>
          <w:p w14:paraId="5557028F"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upon exercise of</w:t>
            </w:r>
          </w:p>
          <w:p w14:paraId="55570290"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outstanding</w:t>
            </w:r>
          </w:p>
          <w:p w14:paraId="55570291"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options,</w:t>
            </w:r>
          </w:p>
          <w:p w14:paraId="55570292"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warrants and rights</w:t>
            </w:r>
          </w:p>
        </w:tc>
        <w:tc>
          <w:tcPr>
            <w:tcW w:w="0" w:type="auto"/>
            <w:shd w:val="clear" w:color="auto" w:fill="auto"/>
            <w:tcMar>
              <w:top w:w="40" w:type="dxa"/>
              <w:left w:w="40" w:type="dxa"/>
              <w:bottom w:w="40" w:type="dxa"/>
              <w:right w:w="40" w:type="dxa"/>
            </w:tcMar>
            <w:vAlign w:val="bottom"/>
          </w:tcPr>
          <w:p w14:paraId="555702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55570294"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(b)</w:t>
            </w:r>
          </w:p>
          <w:p w14:paraId="55570295"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Weighted-average</w:t>
            </w:r>
          </w:p>
          <w:p w14:paraId="55570296"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exercise price of</w:t>
            </w:r>
          </w:p>
          <w:p w14:paraId="55570297"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outstanding</w:t>
            </w:r>
          </w:p>
          <w:p w14:paraId="55570298"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options,</w:t>
            </w:r>
          </w:p>
          <w:p w14:paraId="55570299" w14:textId="77777777" w:rsidR="00F925DD" w:rsidRDefault="00E705D7">
            <w:pPr>
              <w:jc w:val="center"/>
              <w:textAlignment w:val="bottom"/>
              <w:rPr>
                <w:rFonts w:ascii="Times New Roman" w:hAnsi="Times New Roman"/>
                <w:sz w:val="16"/>
                <w:szCs w:val="16"/>
              </w:rPr>
            </w:pPr>
            <w:r>
              <w:rPr>
                <w:rFonts w:ascii="Arial" w:eastAsia="宋体" w:hAnsi="Arial" w:cs="Arial"/>
                <w:b/>
                <w:bCs/>
                <w:sz w:val="16"/>
                <w:szCs w:val="16"/>
              </w:rPr>
              <w:t>warrants and rights</w:t>
            </w:r>
            <w:r>
              <w:rPr>
                <w:rFonts w:ascii="Arial" w:eastAsia="宋体" w:hAnsi="Arial" w:cs="Arial"/>
                <w:b/>
                <w:bCs/>
                <w:sz w:val="10"/>
                <w:szCs w:val="10"/>
              </w:rPr>
              <w:t>(1)</w:t>
            </w:r>
          </w:p>
        </w:tc>
        <w:tc>
          <w:tcPr>
            <w:tcW w:w="0" w:type="auto"/>
            <w:shd w:val="clear" w:color="auto" w:fill="auto"/>
            <w:tcMar>
              <w:top w:w="40" w:type="dxa"/>
              <w:left w:w="40" w:type="dxa"/>
              <w:bottom w:w="40" w:type="dxa"/>
              <w:right w:w="40" w:type="dxa"/>
            </w:tcMar>
            <w:vAlign w:val="bottom"/>
          </w:tcPr>
          <w:p w14:paraId="555702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5557029B"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(c)</w:t>
            </w:r>
          </w:p>
          <w:p w14:paraId="5557029C"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Number of securities</w:t>
            </w:r>
          </w:p>
          <w:p w14:paraId="5557029D"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remaining available for</w:t>
            </w:r>
          </w:p>
          <w:p w14:paraId="5557029E"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future issuance under</w:t>
            </w:r>
          </w:p>
          <w:p w14:paraId="5557029F"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equity compensation</w:t>
            </w:r>
          </w:p>
          <w:p w14:paraId="555702A0"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plans (excluding</w:t>
            </w:r>
          </w:p>
          <w:p w14:paraId="555702A1"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securities reflected</w:t>
            </w:r>
          </w:p>
          <w:p w14:paraId="555702A2" w14:textId="77777777" w:rsidR="00F925DD" w:rsidRDefault="00E705D7">
            <w:pPr>
              <w:jc w:val="center"/>
              <w:textAlignment w:val="bottom"/>
              <w:rPr>
                <w:rFonts w:ascii="Times New Roman" w:hAnsi="Times New Roman"/>
                <w:sz w:val="15"/>
                <w:szCs w:val="15"/>
              </w:rPr>
            </w:pPr>
            <w:r>
              <w:rPr>
                <w:rFonts w:ascii="Arial" w:eastAsia="宋体" w:hAnsi="Arial" w:cs="Arial"/>
                <w:b/>
                <w:bCs/>
                <w:sz w:val="15"/>
                <w:szCs w:val="15"/>
              </w:rPr>
              <w:t>in column (a))</w:t>
            </w:r>
          </w:p>
        </w:tc>
      </w:tr>
      <w:tr w:rsidR="00F925DD" w14:paraId="555702AA" w14:textId="77777777">
        <w:tc>
          <w:tcPr>
            <w:tcW w:w="0" w:type="auto"/>
            <w:shd w:val="clear" w:color="auto" w:fill="auto"/>
            <w:tcMar>
              <w:top w:w="40" w:type="dxa"/>
              <w:left w:w="40" w:type="dxa"/>
              <w:bottom w:w="40" w:type="dxa"/>
              <w:right w:w="40" w:type="dxa"/>
            </w:tcMar>
            <w:vAlign w:val="bottom"/>
          </w:tcPr>
          <w:p w14:paraId="555702A4" w14:textId="77777777" w:rsidR="00F925DD" w:rsidRDefault="00E705D7">
            <w:pPr>
              <w:textAlignment w:val="bottom"/>
              <w:rPr>
                <w:rFonts w:ascii="Times New Roman" w:hAnsi="Times New Roman"/>
                <w:sz w:val="17"/>
                <w:szCs w:val="17"/>
              </w:rPr>
            </w:pPr>
            <w:r>
              <w:rPr>
                <w:rFonts w:ascii="Arial" w:eastAsia="宋体" w:hAnsi="Arial" w:cs="Arial"/>
                <w:b/>
                <w:bCs/>
                <w:sz w:val="17"/>
                <w:szCs w:val="17"/>
              </w:rPr>
              <w:t>Plan category:</w:t>
            </w:r>
          </w:p>
        </w:tc>
        <w:tc>
          <w:tcPr>
            <w:tcW w:w="0" w:type="auto"/>
            <w:gridSpan w:val="2"/>
            <w:shd w:val="clear" w:color="auto" w:fill="auto"/>
            <w:tcMar>
              <w:top w:w="40" w:type="dxa"/>
              <w:left w:w="40" w:type="dxa"/>
              <w:bottom w:w="40" w:type="dxa"/>
              <w:right w:w="40" w:type="dxa"/>
            </w:tcMar>
            <w:vAlign w:val="bottom"/>
          </w:tcPr>
          <w:p w14:paraId="555702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2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555702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2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555702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2B5" w14:textId="77777777">
        <w:tc>
          <w:tcPr>
            <w:tcW w:w="0" w:type="auto"/>
            <w:shd w:val="clear" w:color="auto" w:fill="CCEEFF"/>
            <w:tcMar>
              <w:top w:w="40" w:type="dxa"/>
              <w:left w:w="240" w:type="dxa"/>
              <w:bottom w:w="40" w:type="dxa"/>
              <w:right w:w="40" w:type="dxa"/>
            </w:tcMar>
            <w:vAlign w:val="bottom"/>
          </w:tcPr>
          <w:p w14:paraId="555702AB" w14:textId="77777777" w:rsidR="00F925DD" w:rsidRDefault="00E705D7">
            <w:pPr>
              <w:textAlignment w:val="bottom"/>
              <w:rPr>
                <w:rFonts w:ascii="Times New Roman" w:hAnsi="Times New Roman"/>
                <w:sz w:val="17"/>
                <w:szCs w:val="17"/>
              </w:rPr>
            </w:pPr>
            <w:r>
              <w:rPr>
                <w:rFonts w:ascii="Arial" w:eastAsia="宋体" w:hAnsi="Arial" w:cs="Arial"/>
                <w:sz w:val="17"/>
                <w:szCs w:val="17"/>
              </w:rPr>
              <w:t xml:space="preserve">Equity compensation plans approved by </w:t>
            </w:r>
            <w:r>
              <w:rPr>
                <w:rFonts w:ascii="Arial" w:eastAsia="宋体" w:hAnsi="Arial" w:cs="Arial"/>
                <w:sz w:val="17"/>
                <w:szCs w:val="17"/>
              </w:rPr>
              <w:t>shareholders</w:t>
            </w:r>
          </w:p>
        </w:tc>
        <w:tc>
          <w:tcPr>
            <w:tcW w:w="0" w:type="auto"/>
            <w:shd w:val="clear" w:color="auto" w:fill="CCEEFF"/>
            <w:tcMar>
              <w:top w:w="40" w:type="dxa"/>
              <w:left w:w="40" w:type="dxa"/>
              <w:bottom w:w="40" w:type="dxa"/>
            </w:tcMar>
            <w:vAlign w:val="bottom"/>
          </w:tcPr>
          <w:p w14:paraId="555702AC"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7,973</w:t>
            </w:r>
          </w:p>
        </w:tc>
        <w:tc>
          <w:tcPr>
            <w:tcW w:w="0" w:type="auto"/>
            <w:shd w:val="clear" w:color="auto" w:fill="CCEEFF"/>
            <w:vAlign w:val="bottom"/>
          </w:tcPr>
          <w:p w14:paraId="555702AD"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2AE" w14:textId="77777777" w:rsidR="00F925DD" w:rsidRDefault="00E705D7">
            <w:pPr>
              <w:textAlignment w:val="bottom"/>
              <w:rPr>
                <w:rFonts w:ascii="Times New Roman" w:hAnsi="Times New Roman"/>
                <w:sz w:val="18"/>
                <w:szCs w:val="18"/>
              </w:rPr>
            </w:pPr>
            <w:r>
              <w:rPr>
                <w:rFonts w:ascii="Arial" w:eastAsia="宋体" w:hAnsi="Arial" w:cs="Arial"/>
                <w:b/>
                <w:bCs/>
                <w:sz w:val="12"/>
                <w:szCs w:val="12"/>
              </w:rPr>
              <w:t>(2)</w:t>
            </w:r>
            <w:r>
              <w:rPr>
                <w:rFonts w:ascii="Arial" w:eastAsia="宋体" w:hAnsi="Arial" w:cs="Arial"/>
                <w:b/>
                <w:bCs/>
                <w:sz w:val="18"/>
                <w:szCs w:val="18"/>
              </w:rPr>
              <w:t> </w:t>
            </w:r>
          </w:p>
        </w:tc>
        <w:tc>
          <w:tcPr>
            <w:tcW w:w="0" w:type="auto"/>
            <w:shd w:val="clear" w:color="auto" w:fill="CCEEFF"/>
            <w:tcMar>
              <w:top w:w="40" w:type="dxa"/>
              <w:left w:w="40" w:type="dxa"/>
              <w:bottom w:w="40" w:type="dxa"/>
            </w:tcMar>
            <w:vAlign w:val="bottom"/>
          </w:tcPr>
          <w:p w14:paraId="555702AF" w14:textId="77777777" w:rsidR="00F925DD" w:rsidRDefault="00E705D7">
            <w:pPr>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tcMar>
              <w:top w:w="40" w:type="dxa"/>
              <w:bottom w:w="40" w:type="dxa"/>
            </w:tcMar>
            <w:vAlign w:val="bottom"/>
          </w:tcPr>
          <w:p w14:paraId="555702B0"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vAlign w:val="bottom"/>
          </w:tcPr>
          <w:p w14:paraId="555702B1"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2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555702B3"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21,343</w:t>
            </w:r>
          </w:p>
        </w:tc>
        <w:tc>
          <w:tcPr>
            <w:tcW w:w="0" w:type="auto"/>
            <w:shd w:val="clear" w:color="auto" w:fill="CCEEFF"/>
            <w:vAlign w:val="bottom"/>
          </w:tcPr>
          <w:p w14:paraId="555702B4" w14:textId="77777777" w:rsidR="00F925DD" w:rsidRDefault="00F925DD">
            <w:pPr>
              <w:textAlignment w:val="bottom"/>
              <w:rPr>
                <w:rFonts w:ascii="Times New Roman" w:hAnsi="Times New Roman"/>
                <w:sz w:val="20"/>
                <w:szCs w:val="20"/>
              </w:rPr>
            </w:pPr>
          </w:p>
        </w:tc>
      </w:tr>
      <w:tr w:rsidR="00F925DD" w14:paraId="555702BF" w14:textId="77777777">
        <w:tc>
          <w:tcPr>
            <w:tcW w:w="0" w:type="auto"/>
            <w:shd w:val="clear" w:color="auto" w:fill="auto"/>
            <w:tcMar>
              <w:top w:w="40" w:type="dxa"/>
              <w:left w:w="240" w:type="dxa"/>
              <w:bottom w:w="40" w:type="dxa"/>
              <w:right w:w="40" w:type="dxa"/>
            </w:tcMar>
            <w:vAlign w:val="bottom"/>
          </w:tcPr>
          <w:p w14:paraId="555702B6" w14:textId="77777777" w:rsidR="00F925DD" w:rsidRDefault="00E705D7">
            <w:pPr>
              <w:textAlignment w:val="bottom"/>
              <w:rPr>
                <w:rFonts w:ascii="Times New Roman" w:hAnsi="Times New Roman"/>
                <w:sz w:val="17"/>
                <w:szCs w:val="17"/>
              </w:rPr>
            </w:pPr>
            <w:r>
              <w:rPr>
                <w:rFonts w:ascii="Arial" w:eastAsia="宋体" w:hAnsi="Arial" w:cs="Arial"/>
                <w:sz w:val="17"/>
                <w:szCs w:val="17"/>
              </w:rPr>
              <w:t>Equity compensation plans not approved by shareholders</w:t>
            </w:r>
          </w:p>
        </w:tc>
        <w:tc>
          <w:tcPr>
            <w:tcW w:w="0" w:type="auto"/>
            <w:tcBorders>
              <w:bottom w:val="single" w:sz="8" w:space="0" w:color="000000"/>
            </w:tcBorders>
            <w:shd w:val="clear" w:color="auto" w:fill="auto"/>
            <w:tcMar>
              <w:top w:w="40" w:type="dxa"/>
              <w:left w:w="40" w:type="dxa"/>
              <w:bottom w:w="40" w:type="dxa"/>
            </w:tcMar>
            <w:vAlign w:val="bottom"/>
          </w:tcPr>
          <w:p w14:paraId="555702B7"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18</w:t>
            </w:r>
          </w:p>
        </w:tc>
        <w:tc>
          <w:tcPr>
            <w:tcW w:w="0" w:type="auto"/>
            <w:tcBorders>
              <w:bottom w:val="single" w:sz="8" w:space="0" w:color="000000"/>
            </w:tcBorders>
            <w:shd w:val="clear" w:color="auto" w:fill="auto"/>
            <w:vAlign w:val="bottom"/>
          </w:tcPr>
          <w:p w14:paraId="555702B8"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2B9" w14:textId="77777777" w:rsidR="00F925DD" w:rsidRDefault="00E705D7">
            <w:pPr>
              <w:textAlignment w:val="bottom"/>
              <w:rPr>
                <w:rFonts w:ascii="Times New Roman" w:hAnsi="Times New Roman"/>
                <w:sz w:val="18"/>
                <w:szCs w:val="18"/>
              </w:rPr>
            </w:pPr>
            <w:r>
              <w:rPr>
                <w:rFonts w:ascii="Arial" w:eastAsia="宋体" w:hAnsi="Arial" w:cs="Arial"/>
                <w:b/>
                <w:bCs/>
                <w:sz w:val="12"/>
                <w:szCs w:val="12"/>
              </w:rPr>
              <w:t>(3)</w:t>
            </w:r>
            <w:r>
              <w:rPr>
                <w:rFonts w:ascii="Arial" w:eastAsia="宋体" w:hAnsi="Arial" w:cs="Arial"/>
                <w:b/>
                <w:bCs/>
                <w:sz w:val="18"/>
                <w:szCs w:val="18"/>
              </w:rPr>
              <w:t> </w:t>
            </w:r>
          </w:p>
        </w:tc>
        <w:tc>
          <w:tcPr>
            <w:tcW w:w="0" w:type="auto"/>
            <w:gridSpan w:val="2"/>
            <w:shd w:val="clear" w:color="auto" w:fill="auto"/>
            <w:tcMar>
              <w:top w:w="40" w:type="dxa"/>
              <w:left w:w="40" w:type="dxa"/>
              <w:bottom w:w="40" w:type="dxa"/>
            </w:tcMar>
            <w:vAlign w:val="bottom"/>
          </w:tcPr>
          <w:p w14:paraId="555702BA"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auto"/>
            <w:vAlign w:val="bottom"/>
          </w:tcPr>
          <w:p w14:paraId="555702BB" w14:textId="77777777" w:rsidR="00F925DD" w:rsidRDefault="00F925D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555702B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555702BD"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tcBorders>
              <w:bottom w:val="single" w:sz="8" w:space="0" w:color="000000"/>
            </w:tcBorders>
            <w:shd w:val="clear" w:color="auto" w:fill="auto"/>
            <w:vAlign w:val="bottom"/>
          </w:tcPr>
          <w:p w14:paraId="555702BE" w14:textId="77777777" w:rsidR="00F925DD" w:rsidRDefault="00F925DD">
            <w:pPr>
              <w:textAlignment w:val="bottom"/>
              <w:rPr>
                <w:rFonts w:ascii="Times New Roman" w:hAnsi="Times New Roman"/>
                <w:sz w:val="20"/>
                <w:szCs w:val="20"/>
              </w:rPr>
            </w:pPr>
          </w:p>
        </w:tc>
      </w:tr>
      <w:tr w:rsidR="00F925DD" w14:paraId="555702C9" w14:textId="77777777">
        <w:tc>
          <w:tcPr>
            <w:tcW w:w="0" w:type="auto"/>
            <w:shd w:val="clear" w:color="auto" w:fill="CCEEFF"/>
            <w:tcMar>
              <w:top w:w="40" w:type="dxa"/>
              <w:left w:w="40" w:type="dxa"/>
              <w:bottom w:w="40" w:type="dxa"/>
              <w:right w:w="40" w:type="dxa"/>
            </w:tcMar>
            <w:vAlign w:val="bottom"/>
          </w:tcPr>
          <w:p w14:paraId="555702C0" w14:textId="77777777" w:rsidR="00F925DD" w:rsidRDefault="00E705D7">
            <w:pPr>
              <w:textAlignment w:val="bottom"/>
              <w:rPr>
                <w:rFonts w:ascii="Times New Roman" w:hAnsi="Times New Roman"/>
                <w:sz w:val="17"/>
                <w:szCs w:val="17"/>
              </w:rPr>
            </w:pPr>
            <w:r>
              <w:rPr>
                <w:rFonts w:ascii="Arial" w:eastAsia="宋体" w:hAnsi="Arial" w:cs="Arial"/>
                <w:sz w:val="17"/>
                <w:szCs w:val="17"/>
              </w:rPr>
              <w:t>Total</w:t>
            </w:r>
          </w:p>
        </w:tc>
        <w:tc>
          <w:tcPr>
            <w:tcW w:w="0" w:type="auto"/>
            <w:tcBorders>
              <w:bottom w:val="double" w:sz="6" w:space="0" w:color="000000"/>
            </w:tcBorders>
            <w:shd w:val="clear" w:color="auto" w:fill="CCEEFF"/>
            <w:tcMar>
              <w:top w:w="40" w:type="dxa"/>
              <w:left w:w="40" w:type="dxa"/>
              <w:bottom w:w="40" w:type="dxa"/>
            </w:tcMar>
            <w:vAlign w:val="bottom"/>
          </w:tcPr>
          <w:p w14:paraId="555702C1"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7,991</w:t>
            </w:r>
          </w:p>
        </w:tc>
        <w:tc>
          <w:tcPr>
            <w:tcW w:w="0" w:type="auto"/>
            <w:tcBorders>
              <w:bottom w:val="double" w:sz="6" w:space="0" w:color="000000"/>
            </w:tcBorders>
            <w:shd w:val="clear" w:color="auto" w:fill="CCEEFF"/>
            <w:vAlign w:val="bottom"/>
          </w:tcPr>
          <w:p w14:paraId="555702C2"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2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555702C4"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w:t>
            </w:r>
          </w:p>
        </w:tc>
        <w:tc>
          <w:tcPr>
            <w:tcW w:w="0" w:type="auto"/>
            <w:shd w:val="clear" w:color="auto" w:fill="CCEEFF"/>
            <w:vAlign w:val="bottom"/>
          </w:tcPr>
          <w:p w14:paraId="555702C5" w14:textId="77777777" w:rsidR="00F925DD" w:rsidRDefault="00F925D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555702C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555702C7" w14:textId="77777777" w:rsidR="00F925DD" w:rsidRDefault="00E705D7">
            <w:pPr>
              <w:jc w:val="right"/>
              <w:textAlignment w:val="bottom"/>
              <w:rPr>
                <w:rFonts w:ascii="Times New Roman" w:hAnsi="Times New Roman"/>
                <w:sz w:val="18"/>
                <w:szCs w:val="18"/>
              </w:rPr>
            </w:pPr>
            <w:r>
              <w:rPr>
                <w:rFonts w:ascii="Arial" w:eastAsia="宋体" w:hAnsi="Arial" w:cs="Arial"/>
                <w:b/>
                <w:bCs/>
                <w:sz w:val="18"/>
                <w:szCs w:val="18"/>
              </w:rPr>
              <w:t>21,343</w:t>
            </w:r>
          </w:p>
        </w:tc>
        <w:tc>
          <w:tcPr>
            <w:tcW w:w="0" w:type="auto"/>
            <w:tcBorders>
              <w:bottom w:val="double" w:sz="6" w:space="0" w:color="000000"/>
            </w:tcBorders>
            <w:shd w:val="clear" w:color="auto" w:fill="CCEEFF"/>
            <w:vAlign w:val="bottom"/>
          </w:tcPr>
          <w:p w14:paraId="555702C8" w14:textId="77777777" w:rsidR="00F925DD" w:rsidRDefault="00F925DD">
            <w:pPr>
              <w:textAlignment w:val="bottom"/>
              <w:rPr>
                <w:rFonts w:ascii="Times New Roman" w:hAnsi="Times New Roman"/>
                <w:sz w:val="20"/>
                <w:szCs w:val="20"/>
              </w:rPr>
            </w:pPr>
          </w:p>
        </w:tc>
      </w:tr>
    </w:tbl>
    <w:p w14:paraId="555702CA" w14:textId="77777777" w:rsidR="00F925DD" w:rsidRDefault="00F925DD">
      <w:pPr>
        <w:rPr>
          <w:vanish/>
        </w:rPr>
      </w:pPr>
    </w:p>
    <w:tbl>
      <w:tblPr>
        <w:tblW w:w="13660" w:type="dxa"/>
        <w:tblCellMar>
          <w:left w:w="0" w:type="dxa"/>
          <w:right w:w="0" w:type="dxa"/>
        </w:tblCellMar>
        <w:tblLook w:val="04A0" w:firstRow="1" w:lastRow="0" w:firstColumn="1" w:lastColumn="0" w:noHBand="0" w:noVBand="1"/>
      </w:tblPr>
      <w:tblGrid>
        <w:gridCol w:w="4514"/>
        <w:gridCol w:w="2808"/>
        <w:gridCol w:w="2487"/>
        <w:gridCol w:w="2367"/>
        <w:gridCol w:w="1484"/>
      </w:tblGrid>
      <w:tr w:rsidR="00F925DD" w14:paraId="555702CC" w14:textId="77777777">
        <w:tc>
          <w:tcPr>
            <w:tcW w:w="0" w:type="auto"/>
            <w:gridSpan w:val="5"/>
            <w:shd w:val="clear" w:color="auto" w:fill="auto"/>
            <w:vAlign w:val="center"/>
          </w:tcPr>
          <w:p w14:paraId="555702CB" w14:textId="77777777" w:rsidR="00F925DD" w:rsidRDefault="00F925DD">
            <w:pPr>
              <w:rPr>
                <w:rFonts w:ascii="Times New Roman" w:hAnsi="Times New Roman"/>
                <w:sz w:val="20"/>
                <w:szCs w:val="20"/>
              </w:rPr>
            </w:pPr>
          </w:p>
        </w:tc>
      </w:tr>
      <w:tr w:rsidR="00F925DD" w14:paraId="555702D2" w14:textId="77777777">
        <w:tc>
          <w:tcPr>
            <w:tcW w:w="4500" w:type="dxa"/>
            <w:shd w:val="clear" w:color="auto" w:fill="auto"/>
            <w:vAlign w:val="center"/>
          </w:tcPr>
          <w:p w14:paraId="555702CD" w14:textId="77777777" w:rsidR="00F925DD" w:rsidRDefault="00F925DD">
            <w:pPr>
              <w:rPr>
                <w:rFonts w:ascii="Times New Roman" w:hAnsi="Times New Roman"/>
                <w:sz w:val="20"/>
                <w:szCs w:val="20"/>
              </w:rPr>
            </w:pPr>
          </w:p>
        </w:tc>
        <w:tc>
          <w:tcPr>
            <w:tcW w:w="2800" w:type="dxa"/>
            <w:shd w:val="clear" w:color="auto" w:fill="auto"/>
            <w:vAlign w:val="center"/>
          </w:tcPr>
          <w:p w14:paraId="555702CE" w14:textId="77777777" w:rsidR="00F925DD" w:rsidRDefault="00F925DD">
            <w:pPr>
              <w:rPr>
                <w:rFonts w:ascii="Times New Roman" w:hAnsi="Times New Roman"/>
                <w:sz w:val="20"/>
                <w:szCs w:val="20"/>
              </w:rPr>
            </w:pPr>
          </w:p>
        </w:tc>
        <w:tc>
          <w:tcPr>
            <w:tcW w:w="2480" w:type="dxa"/>
            <w:shd w:val="clear" w:color="auto" w:fill="auto"/>
            <w:vAlign w:val="center"/>
          </w:tcPr>
          <w:p w14:paraId="555702CF" w14:textId="77777777" w:rsidR="00F925DD" w:rsidRDefault="00F925DD">
            <w:pPr>
              <w:rPr>
                <w:rFonts w:ascii="Times New Roman" w:hAnsi="Times New Roman"/>
                <w:sz w:val="20"/>
                <w:szCs w:val="20"/>
              </w:rPr>
            </w:pPr>
          </w:p>
        </w:tc>
        <w:tc>
          <w:tcPr>
            <w:tcW w:w="2360" w:type="dxa"/>
            <w:shd w:val="clear" w:color="auto" w:fill="auto"/>
            <w:vAlign w:val="center"/>
          </w:tcPr>
          <w:p w14:paraId="555702D0" w14:textId="77777777" w:rsidR="00F925DD" w:rsidRDefault="00F925DD">
            <w:pPr>
              <w:rPr>
                <w:rFonts w:ascii="Times New Roman" w:hAnsi="Times New Roman"/>
                <w:sz w:val="20"/>
                <w:szCs w:val="20"/>
              </w:rPr>
            </w:pPr>
          </w:p>
        </w:tc>
        <w:tc>
          <w:tcPr>
            <w:tcW w:w="1480" w:type="dxa"/>
            <w:shd w:val="clear" w:color="auto" w:fill="auto"/>
            <w:vAlign w:val="center"/>
          </w:tcPr>
          <w:p w14:paraId="555702D1" w14:textId="77777777" w:rsidR="00F925DD" w:rsidRDefault="00F925DD">
            <w:pPr>
              <w:rPr>
                <w:rFonts w:ascii="Times New Roman" w:hAnsi="Times New Roman"/>
                <w:sz w:val="20"/>
                <w:szCs w:val="20"/>
              </w:rPr>
            </w:pPr>
          </w:p>
        </w:tc>
      </w:tr>
      <w:tr w:rsidR="00F925DD" w14:paraId="555702D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2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2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2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2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2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702D9"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(1) </w:t>
      </w:r>
      <w:r>
        <w:rPr>
          <w:rFonts w:ascii="Arial" w:eastAsia="宋体" w:hAnsi="Arial" w:cs="Arial"/>
          <w:sz w:val="14"/>
          <w:szCs w:val="14"/>
        </w:rPr>
        <w:t xml:space="preserve">Excludes deferred stock awards and performance awards for which there is no </w:t>
      </w:r>
      <w:r>
        <w:rPr>
          <w:rFonts w:ascii="Arial" w:eastAsia="宋体" w:hAnsi="Arial" w:cs="Arial"/>
          <w:sz w:val="14"/>
          <w:szCs w:val="14"/>
        </w:rPr>
        <w:t>exercise price.</w:t>
      </w:r>
    </w:p>
    <w:p w14:paraId="555702DA"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(2) </w:t>
      </w:r>
      <w:r>
        <w:rPr>
          <w:rFonts w:ascii="Arial" w:eastAsia="宋体" w:hAnsi="Arial" w:cs="Arial"/>
          <w:sz w:val="14"/>
          <w:szCs w:val="14"/>
        </w:rPr>
        <w:t>Consists of 5,834 thousand shares subject to deferred stock awards, zero shares subject to stock options, zero stock appreciation rights and 2,139 thousand shares subject to performance awards (assuming payout at 100% for all awards, in</w:t>
      </w:r>
      <w:r>
        <w:rPr>
          <w:rFonts w:ascii="Arial" w:eastAsia="宋体" w:hAnsi="Arial" w:cs="Arial"/>
          <w:sz w:val="14"/>
          <w:szCs w:val="14"/>
        </w:rPr>
        <w:t>cluding awards for which performance is uncertain).</w:t>
      </w:r>
    </w:p>
    <w:p w14:paraId="555702DB" w14:textId="77777777" w:rsidR="00F925DD" w:rsidRDefault="00E705D7">
      <w:pPr>
        <w:spacing w:line="288" w:lineRule="auto"/>
        <w:jc w:val="both"/>
        <w:rPr>
          <w:rFonts w:ascii="Times New Roman" w:hAnsi="Times New Roman"/>
          <w:sz w:val="14"/>
          <w:szCs w:val="14"/>
        </w:rPr>
      </w:pPr>
      <w:r>
        <w:rPr>
          <w:rFonts w:ascii="Arial" w:eastAsia="宋体" w:hAnsi="Arial" w:cs="Arial"/>
          <w:sz w:val="10"/>
          <w:szCs w:val="10"/>
        </w:rPr>
        <w:t xml:space="preserve">(3) </w:t>
      </w:r>
      <w:r>
        <w:rPr>
          <w:rFonts w:ascii="Arial" w:eastAsia="宋体" w:hAnsi="Arial" w:cs="Arial"/>
          <w:sz w:val="14"/>
          <w:szCs w:val="14"/>
        </w:rPr>
        <w:t>Consists of shares subject to deferred stock awards.</w:t>
      </w:r>
    </w:p>
    <w:p w14:paraId="555702D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Individual directors who are not our employees have received stock awards and cash retainers, both of which may be deferred. Directors may elect to</w:t>
      </w:r>
      <w:r>
        <w:rPr>
          <w:rFonts w:ascii="Arial" w:eastAsia="宋体" w:hAnsi="Arial" w:cs="Arial"/>
          <w:sz w:val="20"/>
          <w:szCs w:val="20"/>
        </w:rPr>
        <w:t xml:space="preserve"> receive shares of our common stock in place of cash. If payment is in the form of common stock, the number of shares is determined by dividing the approved cash amount by the closing price on the date of the annual shareholders' meeting or date of grant, </w:t>
      </w:r>
      <w:r>
        <w:rPr>
          <w:rFonts w:ascii="Arial" w:eastAsia="宋体" w:hAnsi="Arial" w:cs="Arial"/>
          <w:sz w:val="20"/>
          <w:szCs w:val="20"/>
        </w:rPr>
        <w:t xml:space="preserve">if different. All deferred shares, whether stock awards or common stock received in place of cash retainers, are increased to reflect dividends paid on the common stock and, for certain directors, may include share amounts in respect of an accrual under a </w:t>
      </w:r>
      <w:r>
        <w:rPr>
          <w:rFonts w:ascii="Arial" w:eastAsia="宋体" w:hAnsi="Arial" w:cs="Arial"/>
          <w:sz w:val="20"/>
          <w:szCs w:val="20"/>
        </w:rPr>
        <w:t>terminated retirement plan.</w:t>
      </w:r>
    </w:p>
    <w:p w14:paraId="555702DD" w14:textId="77777777" w:rsidR="00F925DD" w:rsidRDefault="00F925DD">
      <w:pPr>
        <w:rPr>
          <w:rFonts w:ascii="Times New Roman" w:hAnsi="Times New Roman"/>
          <w:sz w:val="20"/>
          <w:szCs w:val="20"/>
        </w:rPr>
      </w:pPr>
    </w:p>
    <w:p w14:paraId="555702D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183</w:t>
      </w:r>
    </w:p>
    <w:p w14:paraId="555702DF" w14:textId="77777777" w:rsidR="00F925DD" w:rsidRDefault="00F925DD">
      <w:pPr>
        <w:spacing w:line="288" w:lineRule="auto"/>
        <w:ind w:firstLine="600"/>
        <w:jc w:val="center"/>
        <w:rPr>
          <w:rFonts w:ascii="Times New Roman" w:hAnsi="Times New Roman"/>
          <w:sz w:val="18"/>
          <w:szCs w:val="18"/>
        </w:rPr>
      </w:pPr>
    </w:p>
    <w:p w14:paraId="555702E0" w14:textId="77777777" w:rsidR="00F925DD" w:rsidRDefault="00E705D7">
      <w:r>
        <w:rPr>
          <w:rFonts w:ascii="Times New Roman" w:hAnsi="Times New Roman"/>
          <w:sz w:val="18"/>
          <w:szCs w:val="18"/>
        </w:rPr>
        <w:pict w14:anchorId="555706F1">
          <v:rect id="_x0000_i1207" style="width:415.3pt;height:1.5pt" o:hralign="center" o:hrstd="t" o:hr="t" fillcolor="#a0a0a0" stroked="f"/>
        </w:pict>
      </w:r>
    </w:p>
    <w:p w14:paraId="555702E1" w14:textId="77777777" w:rsidR="00F925DD" w:rsidRDefault="00F925DD">
      <w:pPr>
        <w:spacing w:line="288" w:lineRule="auto"/>
        <w:ind w:firstLine="600"/>
        <w:rPr>
          <w:rFonts w:ascii="Times New Roman" w:hAnsi="Times New Roman"/>
          <w:sz w:val="18"/>
          <w:szCs w:val="18"/>
        </w:rPr>
      </w:pPr>
    </w:p>
    <w:p w14:paraId="555702E2" w14:textId="77777777" w:rsidR="00F925DD" w:rsidRDefault="00F925DD">
      <w:pPr>
        <w:rPr>
          <w:rFonts w:ascii="Times New Roman" w:hAnsi="Times New Roman"/>
          <w:sz w:val="20"/>
          <w:szCs w:val="20"/>
        </w:rPr>
      </w:pPr>
    </w:p>
    <w:p w14:paraId="555702E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Pursuant to State Street’s Deferred Compensation Plan for Directors, non-employee directors may elect to defer the receipt of 0% or 100% of their (1) retainers, (2) meeting fees or (3) </w:t>
      </w:r>
      <w:r>
        <w:rPr>
          <w:rFonts w:ascii="Arial" w:eastAsia="宋体" w:hAnsi="Arial" w:cs="Arial"/>
          <w:sz w:val="20"/>
          <w:szCs w:val="20"/>
        </w:rPr>
        <w:t>annual equity grant award. Non-employee directors also may elect to receive their retainers in cash or shares of common stock. Non-employee directors who elect to defer the cash payment of their retainers or meeting fees may choose from four notional inves</w:t>
      </w:r>
      <w:r>
        <w:rPr>
          <w:rFonts w:ascii="Arial" w:eastAsia="宋体" w:hAnsi="Arial" w:cs="Arial"/>
          <w:sz w:val="20"/>
          <w:szCs w:val="20"/>
        </w:rPr>
        <w:t>tment fund returns for such deferred cash. Deferrals of common stock are adjusted to reflect the hypothetical reinvestment in additional shares of common stock for any dividends or distributions on State Street common stock. Deferred amounts will be paid (</w:t>
      </w:r>
      <w:r>
        <w:rPr>
          <w:rFonts w:ascii="Arial" w:eastAsia="宋体" w:hAnsi="Arial" w:cs="Arial"/>
          <w:sz w:val="20"/>
          <w:szCs w:val="20"/>
        </w:rPr>
        <w:t xml:space="preserve">a) as elected by the non-employee director, on either the date of their termination of service on the Board or on the earlier of such termination and a future date specified, and (b) in the form elected by the non-employee director as either a lump sum or </w:t>
      </w:r>
      <w:r>
        <w:rPr>
          <w:rFonts w:ascii="Arial" w:eastAsia="宋体" w:hAnsi="Arial" w:cs="Arial"/>
          <w:sz w:val="20"/>
          <w:szCs w:val="20"/>
        </w:rPr>
        <w:t>in installments over a two- to five-year period.</w:t>
      </w:r>
    </w:p>
    <w:p w14:paraId="555702E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Stock awards totaling 241,205 shares of common stock were outstanding as of December 31, 2019; awards made through June 30, 2003, totaling 18,324 shares outstanding as of December 31, 2019, have not been app</w:t>
      </w:r>
      <w:r>
        <w:rPr>
          <w:rFonts w:ascii="Arial" w:eastAsia="宋体" w:hAnsi="Arial" w:cs="Arial"/>
          <w:sz w:val="20"/>
          <w:szCs w:val="20"/>
        </w:rPr>
        <w:t>roved by shareholders. There are no other equity compensation plans under which our equity securities are authorized for issuance that have been adopted without shareholder approval. Awards of stock made or retainer shares paid to individual directors afte</w:t>
      </w:r>
      <w:r>
        <w:rPr>
          <w:rFonts w:ascii="Arial" w:eastAsia="宋体" w:hAnsi="Arial" w:cs="Arial"/>
          <w:sz w:val="20"/>
          <w:szCs w:val="20"/>
        </w:rPr>
        <w:t>r June 30, 2003 have been or will be made under our 1997, 2006 or 2017 Equity Incentive Plan, which were approved by shareholders.</w:t>
      </w:r>
    </w:p>
    <w:p w14:paraId="555702E5"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ITEM 13. CERTAIN RELATIONSHIPS AND RELATED TRANSACTIONS, AND DIRECTOR INDEPENDENCE</w:t>
      </w:r>
    </w:p>
    <w:p w14:paraId="555702E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Information concerning certain relationshi</w:t>
      </w:r>
      <w:r>
        <w:rPr>
          <w:rFonts w:ascii="Arial" w:eastAsia="宋体" w:hAnsi="Arial" w:cs="Arial"/>
          <w:sz w:val="20"/>
          <w:szCs w:val="20"/>
        </w:rPr>
        <w:t>ps and related transactions and director independence will appear in our 2020 Proxy Statement under the caption “Corporate Governance at State Street.” Such information is incorporated herein by reference.</w:t>
      </w:r>
    </w:p>
    <w:p w14:paraId="555702E7"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ITEM 14. PRINCIPAL ACCOUNTING FEES AND SERVICES</w:t>
      </w:r>
    </w:p>
    <w:p w14:paraId="555702E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In</w:t>
      </w:r>
      <w:r>
        <w:rPr>
          <w:rFonts w:ascii="Arial" w:eastAsia="宋体" w:hAnsi="Arial" w:cs="Arial"/>
          <w:sz w:val="20"/>
          <w:szCs w:val="20"/>
        </w:rPr>
        <w:t xml:space="preserve">formation concerning principal accounting fees and services and the Examining and Audit Committee's pre-approval policies and procedures will appear in our 2020 Proxy Statement under the caption “Examining and Audit Committee Matters.” Such information is </w:t>
      </w:r>
      <w:r>
        <w:rPr>
          <w:rFonts w:ascii="Arial" w:eastAsia="宋体" w:hAnsi="Arial" w:cs="Arial"/>
          <w:sz w:val="20"/>
          <w:szCs w:val="20"/>
        </w:rPr>
        <w:t>incorporated herein by reference.</w:t>
      </w:r>
    </w:p>
    <w:p w14:paraId="555702E9" w14:textId="77777777" w:rsidR="00F925DD" w:rsidRDefault="00E705D7">
      <w:pPr>
        <w:spacing w:line="288" w:lineRule="auto"/>
        <w:rPr>
          <w:rFonts w:ascii="Times New Roman" w:hAnsi="Times New Roman"/>
        </w:rPr>
      </w:pPr>
      <w:r>
        <w:rPr>
          <w:rFonts w:ascii="Arial" w:eastAsia="宋体" w:hAnsi="Arial" w:cs="Arial"/>
          <w:b/>
          <w:bCs/>
        </w:rPr>
        <w:t xml:space="preserve">PART IV. </w:t>
      </w:r>
    </w:p>
    <w:p w14:paraId="555702EA" w14:textId="77777777" w:rsidR="00F925DD" w:rsidRDefault="00E705D7">
      <w:pPr>
        <w:spacing w:line="288" w:lineRule="auto"/>
        <w:jc w:val="both"/>
        <w:rPr>
          <w:rFonts w:ascii="Times New Roman" w:hAnsi="Times New Roman"/>
          <w:sz w:val="20"/>
          <w:szCs w:val="20"/>
        </w:rPr>
      </w:pPr>
      <w:r>
        <w:rPr>
          <w:rFonts w:ascii="Arial" w:eastAsia="宋体" w:hAnsi="Arial" w:cs="Arial"/>
          <w:b/>
          <w:bCs/>
          <w:sz w:val="20"/>
          <w:szCs w:val="20"/>
        </w:rPr>
        <w:t>ITEM 15. EXHIBITS, FINANCIAL STATEMENT SCHEDULES</w:t>
      </w:r>
    </w:p>
    <w:p w14:paraId="555702E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(A)(1) FINANCIAL STATEMENTS </w:t>
      </w:r>
    </w:p>
    <w:p w14:paraId="555702EC"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following consolidated financial statements of State Street are included in Item 8 hereof: </w:t>
      </w:r>
    </w:p>
    <w:p w14:paraId="555702ED"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Report of Independent Registered Public Accounting Firm </w:t>
      </w:r>
    </w:p>
    <w:p w14:paraId="555702EE"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Consolidated Statement of Income - Years ended December 31, 2019, 2018 and 2017 </w:t>
      </w:r>
    </w:p>
    <w:p w14:paraId="555702EF"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Consolidated Statement of Comprehensive Income - Years ended December 31, 2019, 2018 and 2017 </w:t>
      </w:r>
    </w:p>
    <w:p w14:paraId="555702F0"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Consolidated Statement </w:t>
      </w:r>
      <w:r>
        <w:rPr>
          <w:rFonts w:ascii="Arial" w:eastAsia="宋体" w:hAnsi="Arial" w:cs="Arial"/>
          <w:sz w:val="20"/>
          <w:szCs w:val="20"/>
        </w:rPr>
        <w:t>of Condition - As of December 31, 2019 and 2018</w:t>
      </w:r>
    </w:p>
    <w:p w14:paraId="555702F1"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Consolidated Statement of Changes in Shareholders' Equity - Years ended December 31, 2019, 2018 and </w:t>
      </w:r>
    </w:p>
    <w:p w14:paraId="555702F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2017 </w:t>
      </w:r>
    </w:p>
    <w:p w14:paraId="555702F3"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Consolidated Statement of Cash Flows - Years ended December 31, 2019, 2018 and 2017</w:t>
      </w:r>
    </w:p>
    <w:p w14:paraId="555702F4"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Notes to Consolid</w:t>
      </w:r>
      <w:r>
        <w:rPr>
          <w:rFonts w:ascii="Arial" w:eastAsia="宋体" w:hAnsi="Arial" w:cs="Arial"/>
          <w:sz w:val="20"/>
          <w:szCs w:val="20"/>
        </w:rPr>
        <w:t xml:space="preserve">ated Financial Statements </w:t>
      </w:r>
    </w:p>
    <w:p w14:paraId="555702F5"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(A)(2) FINANCIAL STATEMENT SCHEDULES </w:t>
      </w:r>
    </w:p>
    <w:p w14:paraId="555702F6"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Certain schedules to the consolidated financial statements have been omitted if they were not required by Article 9 of Regulation S-X or if, under the related instructions, they were inapplic</w:t>
      </w:r>
      <w:r>
        <w:rPr>
          <w:rFonts w:ascii="Arial" w:eastAsia="宋体" w:hAnsi="Arial" w:cs="Arial"/>
          <w:sz w:val="20"/>
          <w:szCs w:val="20"/>
        </w:rPr>
        <w:t xml:space="preserve">able, or the information was contained elsewhere herein. </w:t>
      </w:r>
    </w:p>
    <w:p w14:paraId="555702F7"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(A)(3) EXHIBITS </w:t>
      </w:r>
    </w:p>
    <w:p w14:paraId="555702F8"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The exhibits listed in the Exhibit Index preceding the signature page in this Form 10-K are filed herewith or are incorporated herein by reference to other SEC filings. </w:t>
      </w:r>
    </w:p>
    <w:p w14:paraId="555702F9"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ITEM 16. FO</w:t>
      </w:r>
      <w:r>
        <w:rPr>
          <w:rFonts w:ascii="Arial" w:eastAsia="宋体" w:hAnsi="Arial" w:cs="Arial"/>
          <w:b/>
          <w:bCs/>
          <w:sz w:val="20"/>
          <w:szCs w:val="20"/>
        </w:rPr>
        <w:t>RM 10-K SUMMARY</w:t>
      </w:r>
    </w:p>
    <w:p w14:paraId="555702FA" w14:textId="77777777" w:rsidR="00F925DD" w:rsidRDefault="00E705D7">
      <w:pPr>
        <w:spacing w:line="288" w:lineRule="auto"/>
        <w:ind w:firstLine="600"/>
        <w:rPr>
          <w:rFonts w:ascii="Times New Roman" w:hAnsi="Times New Roman"/>
          <w:sz w:val="20"/>
          <w:szCs w:val="20"/>
        </w:rPr>
      </w:pPr>
      <w:r>
        <w:rPr>
          <w:rFonts w:ascii="Arial" w:eastAsia="宋体" w:hAnsi="Arial" w:cs="Arial"/>
          <w:sz w:val="20"/>
          <w:szCs w:val="20"/>
        </w:rPr>
        <w:t>Not applicable.</w:t>
      </w:r>
    </w:p>
    <w:p w14:paraId="555702FB" w14:textId="77777777" w:rsidR="00F925DD" w:rsidRDefault="00F925DD">
      <w:pPr>
        <w:spacing w:line="288" w:lineRule="auto"/>
        <w:ind w:firstLine="600"/>
        <w:rPr>
          <w:rFonts w:ascii="Times New Roman" w:hAnsi="Times New Roman"/>
          <w:sz w:val="20"/>
          <w:szCs w:val="20"/>
        </w:rPr>
      </w:pPr>
    </w:p>
    <w:p w14:paraId="555702FC" w14:textId="77777777" w:rsidR="00F925DD" w:rsidRDefault="00F925DD">
      <w:pPr>
        <w:spacing w:line="288" w:lineRule="auto"/>
        <w:rPr>
          <w:rFonts w:ascii="Times New Roman" w:hAnsi="Times New Roman"/>
          <w:sz w:val="20"/>
          <w:szCs w:val="20"/>
        </w:rPr>
      </w:pPr>
    </w:p>
    <w:p w14:paraId="555702FD" w14:textId="77777777" w:rsidR="00F925DD" w:rsidRDefault="00F925DD">
      <w:pPr>
        <w:rPr>
          <w:rFonts w:ascii="Times New Roman" w:hAnsi="Times New Roman"/>
          <w:sz w:val="20"/>
          <w:szCs w:val="20"/>
        </w:rPr>
      </w:pPr>
    </w:p>
    <w:p w14:paraId="555702F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184</w:t>
      </w:r>
    </w:p>
    <w:p w14:paraId="555702FF" w14:textId="77777777" w:rsidR="00F925DD" w:rsidRDefault="00F925DD">
      <w:pPr>
        <w:spacing w:line="288" w:lineRule="auto"/>
        <w:ind w:firstLine="600"/>
        <w:jc w:val="center"/>
        <w:rPr>
          <w:rFonts w:ascii="Times New Roman" w:hAnsi="Times New Roman"/>
          <w:sz w:val="18"/>
          <w:szCs w:val="18"/>
        </w:rPr>
      </w:pPr>
    </w:p>
    <w:p w14:paraId="55570300" w14:textId="77777777" w:rsidR="00F925DD" w:rsidRDefault="00E705D7">
      <w:r>
        <w:rPr>
          <w:rFonts w:ascii="Times New Roman" w:hAnsi="Times New Roman"/>
          <w:sz w:val="18"/>
          <w:szCs w:val="18"/>
        </w:rPr>
        <w:pict w14:anchorId="555706F2">
          <v:rect id="_x0000_i1208" style="width:415.3pt;height:1.5pt" o:hralign="center" o:hrstd="t" o:hr="t" fillcolor="#a0a0a0" stroked="f"/>
        </w:pict>
      </w:r>
    </w:p>
    <w:p w14:paraId="55570301" w14:textId="77777777" w:rsidR="00F925DD" w:rsidRDefault="00F925DD">
      <w:pPr>
        <w:spacing w:line="288" w:lineRule="auto"/>
        <w:ind w:firstLine="600"/>
        <w:rPr>
          <w:rFonts w:ascii="Times New Roman" w:hAnsi="Times New Roman"/>
          <w:sz w:val="18"/>
          <w:szCs w:val="18"/>
        </w:rPr>
      </w:pPr>
    </w:p>
    <w:p w14:paraId="55570302" w14:textId="77777777" w:rsidR="00F925DD" w:rsidRDefault="00F925DD">
      <w:pPr>
        <w:rPr>
          <w:rFonts w:ascii="Times New Roman" w:hAnsi="Times New Roman"/>
          <w:sz w:val="20"/>
          <w:szCs w:val="20"/>
        </w:rPr>
      </w:pPr>
    </w:p>
    <w:p w14:paraId="55570303"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EXHIBIT INDEX</w:t>
      </w:r>
    </w:p>
    <w:p w14:paraId="55570304" w14:textId="77777777" w:rsidR="00F925DD" w:rsidRDefault="00E705D7">
      <w:pPr>
        <w:spacing w:line="288" w:lineRule="auto"/>
        <w:jc w:val="center"/>
        <w:rPr>
          <w:rFonts w:ascii="Times New Roman" w:hAnsi="Times New Roman"/>
          <w:sz w:val="20"/>
          <w:szCs w:val="20"/>
        </w:rPr>
      </w:pPr>
      <w:r>
        <w:rPr>
          <w:rFonts w:ascii="Arial" w:eastAsia="宋体" w:hAnsi="Arial" w:cs="Arial"/>
          <w:sz w:val="20"/>
          <w:szCs w:val="20"/>
        </w:rPr>
        <w:t> </w:t>
      </w:r>
    </w:p>
    <w:tbl>
      <w:tblPr>
        <w:tblW w:w="5000" w:type="pct"/>
        <w:jc w:val="center"/>
        <w:tblCellMar>
          <w:left w:w="0" w:type="dxa"/>
          <w:right w:w="0" w:type="dxa"/>
        </w:tblCellMar>
        <w:tblLook w:val="04A0" w:firstRow="1" w:lastRow="0" w:firstColumn="1" w:lastColumn="0" w:noHBand="0" w:noVBand="1"/>
      </w:tblPr>
      <w:tblGrid>
        <w:gridCol w:w="150"/>
        <w:gridCol w:w="981"/>
        <w:gridCol w:w="130"/>
        <w:gridCol w:w="7045"/>
      </w:tblGrid>
      <w:tr w:rsidR="00F925DD" w14:paraId="55570306" w14:textId="77777777">
        <w:trPr>
          <w:jc w:val="center"/>
        </w:trPr>
        <w:tc>
          <w:tcPr>
            <w:tcW w:w="0" w:type="auto"/>
            <w:gridSpan w:val="4"/>
            <w:shd w:val="clear" w:color="auto" w:fill="auto"/>
            <w:vAlign w:val="center"/>
          </w:tcPr>
          <w:p w14:paraId="55570305" w14:textId="77777777" w:rsidR="00F925DD" w:rsidRDefault="00F925DD">
            <w:pPr>
              <w:rPr>
                <w:rFonts w:ascii="Times New Roman" w:hAnsi="Times New Roman"/>
                <w:sz w:val="20"/>
                <w:szCs w:val="20"/>
              </w:rPr>
            </w:pPr>
          </w:p>
        </w:tc>
      </w:tr>
      <w:tr w:rsidR="00F925DD" w14:paraId="5557030B" w14:textId="77777777">
        <w:trPr>
          <w:jc w:val="center"/>
        </w:trPr>
        <w:tc>
          <w:tcPr>
            <w:tcW w:w="100" w:type="pct"/>
            <w:shd w:val="clear" w:color="auto" w:fill="auto"/>
            <w:vAlign w:val="center"/>
          </w:tcPr>
          <w:p w14:paraId="55570307" w14:textId="77777777" w:rsidR="00F925DD" w:rsidRDefault="00F925DD">
            <w:pPr>
              <w:rPr>
                <w:rFonts w:ascii="Times New Roman" w:hAnsi="Times New Roman"/>
                <w:sz w:val="20"/>
                <w:szCs w:val="20"/>
              </w:rPr>
            </w:pPr>
          </w:p>
        </w:tc>
        <w:tc>
          <w:tcPr>
            <w:tcW w:w="600" w:type="pct"/>
            <w:shd w:val="clear" w:color="auto" w:fill="auto"/>
            <w:vAlign w:val="center"/>
          </w:tcPr>
          <w:p w14:paraId="55570308" w14:textId="77777777" w:rsidR="00F925DD" w:rsidRDefault="00F925DD">
            <w:pPr>
              <w:rPr>
                <w:rFonts w:ascii="Times New Roman" w:hAnsi="Times New Roman"/>
                <w:sz w:val="20"/>
                <w:szCs w:val="20"/>
              </w:rPr>
            </w:pPr>
          </w:p>
        </w:tc>
        <w:tc>
          <w:tcPr>
            <w:tcW w:w="50" w:type="pct"/>
            <w:shd w:val="clear" w:color="auto" w:fill="auto"/>
            <w:vAlign w:val="center"/>
          </w:tcPr>
          <w:p w14:paraId="55570309" w14:textId="77777777" w:rsidR="00F925DD" w:rsidRDefault="00F925DD">
            <w:pPr>
              <w:rPr>
                <w:rFonts w:ascii="Times New Roman" w:hAnsi="Times New Roman"/>
                <w:sz w:val="20"/>
                <w:szCs w:val="20"/>
              </w:rPr>
            </w:pPr>
          </w:p>
        </w:tc>
        <w:tc>
          <w:tcPr>
            <w:tcW w:w="4250" w:type="pct"/>
            <w:shd w:val="clear" w:color="auto" w:fill="auto"/>
            <w:vAlign w:val="center"/>
          </w:tcPr>
          <w:p w14:paraId="5557030A" w14:textId="77777777" w:rsidR="00F925DD" w:rsidRDefault="00F925DD">
            <w:pPr>
              <w:rPr>
                <w:rFonts w:ascii="Times New Roman" w:hAnsi="Times New Roman"/>
                <w:sz w:val="20"/>
                <w:szCs w:val="20"/>
              </w:rPr>
            </w:pPr>
          </w:p>
        </w:tc>
      </w:tr>
      <w:tr w:rsidR="00F925DD" w14:paraId="55570310" w14:textId="77777777">
        <w:trPr>
          <w:jc w:val="center"/>
        </w:trPr>
        <w:tc>
          <w:tcPr>
            <w:tcW w:w="0" w:type="auto"/>
            <w:shd w:val="clear" w:color="auto" w:fill="auto"/>
            <w:tcMar>
              <w:top w:w="40" w:type="dxa"/>
              <w:left w:w="40" w:type="dxa"/>
              <w:bottom w:w="40" w:type="dxa"/>
              <w:right w:w="40" w:type="dxa"/>
            </w:tcMar>
            <w:vAlign w:val="bottom"/>
          </w:tcPr>
          <w:p w14:paraId="555703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0D" w14:textId="77777777" w:rsidR="00F925DD" w:rsidRDefault="00E705D7">
            <w:pPr>
              <w:textAlignment w:val="center"/>
              <w:rPr>
                <w:rFonts w:ascii="Times New Roman" w:hAnsi="Times New Roman"/>
                <w:sz w:val="20"/>
                <w:szCs w:val="20"/>
              </w:rPr>
            </w:pPr>
            <w:hyperlink r:id="rId107" w:history="1">
              <w:r>
                <w:rPr>
                  <w:rStyle w:val="a5"/>
                  <w:rFonts w:ascii="Arial" w:eastAsia="宋体" w:hAnsi="Arial" w:cs="Arial"/>
                  <w:sz w:val="20"/>
                  <w:szCs w:val="20"/>
                </w:rPr>
                <w:t>3.1</w:t>
              </w:r>
            </w:hyperlink>
          </w:p>
        </w:tc>
        <w:tc>
          <w:tcPr>
            <w:tcW w:w="0" w:type="auto"/>
            <w:shd w:val="clear" w:color="auto" w:fill="auto"/>
            <w:tcMar>
              <w:top w:w="40" w:type="dxa"/>
              <w:left w:w="40" w:type="dxa"/>
              <w:bottom w:w="40" w:type="dxa"/>
              <w:right w:w="40" w:type="dxa"/>
            </w:tcMar>
            <w:vAlign w:val="bottom"/>
          </w:tcPr>
          <w:p w14:paraId="555703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0F" w14:textId="77777777" w:rsidR="00F925DD" w:rsidRDefault="00E705D7">
            <w:pPr>
              <w:textAlignment w:val="center"/>
              <w:rPr>
                <w:rFonts w:ascii="Times New Roman" w:hAnsi="Times New Roman"/>
                <w:sz w:val="20"/>
                <w:szCs w:val="20"/>
              </w:rPr>
            </w:pPr>
            <w:hyperlink r:id="rId108" w:history="1">
              <w:r>
                <w:rPr>
                  <w:rStyle w:val="a5"/>
                  <w:rFonts w:ascii="Arial" w:eastAsia="宋体" w:hAnsi="Arial" w:cs="Arial"/>
                  <w:sz w:val="20"/>
                  <w:szCs w:val="20"/>
                </w:rPr>
                <w:t>Restated Articles of Organization, as amended (filed as Exhibit 3.1 to State Street’s Quarterly Report on Form 10-Q (File No. 001-07511) for the quart</w:t>
              </w:r>
              <w:r>
                <w:rPr>
                  <w:rStyle w:val="a5"/>
                  <w:rFonts w:ascii="Arial" w:eastAsia="宋体" w:hAnsi="Arial" w:cs="Arial"/>
                  <w:sz w:val="20"/>
                  <w:szCs w:val="20"/>
                </w:rPr>
                <w:t>er ended September 30, 2018 filed with the SEC on October 31, 2018 and incorporated herein by reference)</w:t>
              </w:r>
            </w:hyperlink>
          </w:p>
        </w:tc>
      </w:tr>
      <w:tr w:rsidR="00F925DD" w14:paraId="55570315" w14:textId="77777777">
        <w:trPr>
          <w:jc w:val="center"/>
        </w:trPr>
        <w:tc>
          <w:tcPr>
            <w:tcW w:w="0" w:type="auto"/>
            <w:shd w:val="clear" w:color="auto" w:fill="auto"/>
            <w:tcMar>
              <w:top w:w="40" w:type="dxa"/>
              <w:left w:w="40" w:type="dxa"/>
              <w:bottom w:w="40" w:type="dxa"/>
              <w:right w:w="40" w:type="dxa"/>
            </w:tcMar>
            <w:vAlign w:val="bottom"/>
          </w:tcPr>
          <w:p w14:paraId="555703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1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1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1A" w14:textId="77777777">
        <w:trPr>
          <w:jc w:val="center"/>
        </w:trPr>
        <w:tc>
          <w:tcPr>
            <w:tcW w:w="0" w:type="auto"/>
            <w:shd w:val="clear" w:color="auto" w:fill="auto"/>
            <w:tcMar>
              <w:top w:w="40" w:type="dxa"/>
              <w:left w:w="40" w:type="dxa"/>
              <w:bottom w:w="40" w:type="dxa"/>
              <w:right w:w="40" w:type="dxa"/>
            </w:tcMar>
            <w:vAlign w:val="bottom"/>
          </w:tcPr>
          <w:p w14:paraId="555703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17" w14:textId="77777777" w:rsidR="00F925DD" w:rsidRDefault="00E705D7">
            <w:pPr>
              <w:textAlignment w:val="center"/>
              <w:rPr>
                <w:rFonts w:ascii="Times New Roman" w:hAnsi="Times New Roman"/>
                <w:sz w:val="20"/>
                <w:szCs w:val="20"/>
              </w:rPr>
            </w:pPr>
            <w:hyperlink r:id="rId109" w:history="1">
              <w:r>
                <w:rPr>
                  <w:rStyle w:val="a5"/>
                  <w:rFonts w:ascii="Arial" w:eastAsia="宋体" w:hAnsi="Arial" w:cs="Arial"/>
                  <w:sz w:val="20"/>
                  <w:szCs w:val="20"/>
                </w:rPr>
                <w:t>3.2</w:t>
              </w:r>
            </w:hyperlink>
          </w:p>
        </w:tc>
        <w:tc>
          <w:tcPr>
            <w:tcW w:w="0" w:type="auto"/>
            <w:shd w:val="clear" w:color="auto" w:fill="auto"/>
            <w:tcMar>
              <w:top w:w="40" w:type="dxa"/>
              <w:left w:w="40" w:type="dxa"/>
              <w:bottom w:w="40" w:type="dxa"/>
              <w:right w:w="40" w:type="dxa"/>
            </w:tcMar>
            <w:vAlign w:val="bottom"/>
          </w:tcPr>
          <w:p w14:paraId="555703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19" w14:textId="77777777" w:rsidR="00F925DD" w:rsidRDefault="00E705D7">
            <w:pPr>
              <w:textAlignment w:val="center"/>
              <w:rPr>
                <w:rFonts w:ascii="Times New Roman" w:hAnsi="Times New Roman"/>
                <w:sz w:val="20"/>
                <w:szCs w:val="20"/>
              </w:rPr>
            </w:pPr>
            <w:hyperlink r:id="rId110" w:history="1">
              <w:r>
                <w:rPr>
                  <w:rStyle w:val="a5"/>
                  <w:rFonts w:ascii="Arial" w:eastAsia="宋体" w:hAnsi="Arial" w:cs="Arial"/>
                  <w:sz w:val="20"/>
                  <w:szCs w:val="20"/>
                </w:rPr>
                <w:t xml:space="preserve">By-laws, as amended (filed as Exhibit 3.1 to </w:t>
              </w:r>
              <w:r>
                <w:rPr>
                  <w:rStyle w:val="a5"/>
                  <w:rFonts w:ascii="Arial" w:eastAsia="宋体" w:hAnsi="Arial" w:cs="Arial"/>
                  <w:sz w:val="20"/>
                  <w:szCs w:val="20"/>
                </w:rPr>
                <w:t>State Street's Current Report on Form 8-K (File No.001-07511) filed with the SEC on February 20, 2020 and incorporated herein by reference)</w:t>
              </w:r>
            </w:hyperlink>
          </w:p>
        </w:tc>
      </w:tr>
      <w:tr w:rsidR="00F925DD" w14:paraId="5557031F" w14:textId="77777777">
        <w:trPr>
          <w:jc w:val="center"/>
        </w:trPr>
        <w:tc>
          <w:tcPr>
            <w:tcW w:w="0" w:type="auto"/>
            <w:shd w:val="clear" w:color="auto" w:fill="auto"/>
            <w:tcMar>
              <w:top w:w="40" w:type="dxa"/>
              <w:left w:w="40" w:type="dxa"/>
              <w:bottom w:w="40" w:type="dxa"/>
              <w:right w:w="40" w:type="dxa"/>
            </w:tcMar>
            <w:vAlign w:val="bottom"/>
          </w:tcPr>
          <w:p w14:paraId="555703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1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1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24" w14:textId="77777777">
        <w:trPr>
          <w:jc w:val="center"/>
        </w:trPr>
        <w:tc>
          <w:tcPr>
            <w:tcW w:w="0" w:type="auto"/>
            <w:shd w:val="clear" w:color="auto" w:fill="auto"/>
            <w:tcMar>
              <w:top w:w="40" w:type="dxa"/>
              <w:left w:w="40" w:type="dxa"/>
              <w:bottom w:w="40" w:type="dxa"/>
              <w:right w:w="40" w:type="dxa"/>
            </w:tcMar>
            <w:vAlign w:val="bottom"/>
          </w:tcPr>
          <w:p w14:paraId="555703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321" w14:textId="77777777" w:rsidR="00F925DD" w:rsidRDefault="00E705D7">
            <w:pPr>
              <w:textAlignment w:val="top"/>
              <w:rPr>
                <w:rFonts w:ascii="Times New Roman" w:hAnsi="Times New Roman"/>
                <w:sz w:val="20"/>
                <w:szCs w:val="20"/>
              </w:rPr>
            </w:pPr>
            <w:hyperlink r:id="rId111" w:history="1">
              <w:r>
                <w:rPr>
                  <w:rStyle w:val="a5"/>
                  <w:rFonts w:ascii="Arial" w:eastAsia="宋体" w:hAnsi="Arial" w:cs="Arial"/>
                  <w:sz w:val="20"/>
                  <w:szCs w:val="20"/>
                </w:rPr>
                <w:t>4.1</w:t>
              </w:r>
            </w:hyperlink>
          </w:p>
        </w:tc>
        <w:tc>
          <w:tcPr>
            <w:tcW w:w="0" w:type="auto"/>
            <w:shd w:val="clear" w:color="auto" w:fill="auto"/>
            <w:tcMar>
              <w:top w:w="40" w:type="dxa"/>
              <w:left w:w="40" w:type="dxa"/>
              <w:bottom w:w="40" w:type="dxa"/>
              <w:right w:w="40" w:type="dxa"/>
            </w:tcMar>
            <w:vAlign w:val="bottom"/>
          </w:tcPr>
          <w:p w14:paraId="555703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323" w14:textId="77777777" w:rsidR="00F925DD" w:rsidRDefault="00E705D7">
            <w:pPr>
              <w:textAlignment w:val="top"/>
              <w:rPr>
                <w:rFonts w:ascii="Times New Roman" w:hAnsi="Times New Roman"/>
                <w:sz w:val="20"/>
                <w:szCs w:val="20"/>
              </w:rPr>
            </w:pPr>
            <w:hyperlink r:id="rId112" w:history="1">
              <w:r>
                <w:rPr>
                  <w:rStyle w:val="a5"/>
                  <w:rFonts w:ascii="Arial" w:eastAsia="宋体" w:hAnsi="Arial" w:cs="Arial"/>
                  <w:sz w:val="20"/>
                  <w:szCs w:val="20"/>
                </w:rPr>
                <w:t>Description of Securities Registe</w:t>
              </w:r>
              <w:r>
                <w:rPr>
                  <w:rStyle w:val="a5"/>
                  <w:rFonts w:ascii="Arial" w:eastAsia="宋体" w:hAnsi="Arial" w:cs="Arial"/>
                  <w:sz w:val="20"/>
                  <w:szCs w:val="20"/>
                </w:rPr>
                <w:t>red under Section 12 of the Exchange Act</w:t>
              </w:r>
            </w:hyperlink>
          </w:p>
        </w:tc>
      </w:tr>
      <w:tr w:rsidR="00F925DD" w14:paraId="55570329" w14:textId="77777777">
        <w:trPr>
          <w:jc w:val="center"/>
        </w:trPr>
        <w:tc>
          <w:tcPr>
            <w:tcW w:w="0" w:type="auto"/>
            <w:shd w:val="clear" w:color="auto" w:fill="auto"/>
            <w:tcMar>
              <w:top w:w="40" w:type="dxa"/>
              <w:left w:w="40" w:type="dxa"/>
              <w:bottom w:w="40" w:type="dxa"/>
              <w:right w:w="40" w:type="dxa"/>
            </w:tcMar>
            <w:vAlign w:val="bottom"/>
          </w:tcPr>
          <w:p w14:paraId="5557032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2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2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2E" w14:textId="77777777">
        <w:trPr>
          <w:jc w:val="center"/>
        </w:trPr>
        <w:tc>
          <w:tcPr>
            <w:tcW w:w="0" w:type="auto"/>
            <w:shd w:val="clear" w:color="auto" w:fill="auto"/>
            <w:tcMar>
              <w:top w:w="40" w:type="dxa"/>
              <w:left w:w="40" w:type="dxa"/>
              <w:bottom w:w="40" w:type="dxa"/>
              <w:right w:w="40" w:type="dxa"/>
            </w:tcMar>
            <w:vAlign w:val="bottom"/>
          </w:tcPr>
          <w:p w14:paraId="555703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2B" w14:textId="77777777" w:rsidR="00F925DD" w:rsidRDefault="00E705D7">
            <w:pPr>
              <w:textAlignment w:val="center"/>
              <w:rPr>
                <w:rFonts w:ascii="Times New Roman" w:hAnsi="Times New Roman"/>
                <w:sz w:val="20"/>
                <w:szCs w:val="20"/>
              </w:rPr>
            </w:pPr>
            <w:hyperlink r:id="rId113" w:history="1">
              <w:r>
                <w:rPr>
                  <w:rStyle w:val="a5"/>
                  <w:rFonts w:ascii="Arial" w:eastAsia="宋体" w:hAnsi="Arial" w:cs="Arial"/>
                  <w:sz w:val="20"/>
                  <w:szCs w:val="20"/>
                </w:rPr>
                <w:t>4.2</w:t>
              </w:r>
            </w:hyperlink>
          </w:p>
        </w:tc>
        <w:tc>
          <w:tcPr>
            <w:tcW w:w="0" w:type="auto"/>
            <w:shd w:val="clear" w:color="auto" w:fill="auto"/>
            <w:tcMar>
              <w:top w:w="40" w:type="dxa"/>
              <w:left w:w="40" w:type="dxa"/>
              <w:bottom w:w="40" w:type="dxa"/>
              <w:right w:w="40" w:type="dxa"/>
            </w:tcMar>
            <w:vAlign w:val="bottom"/>
          </w:tcPr>
          <w:p w14:paraId="555703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2D" w14:textId="77777777" w:rsidR="00F925DD" w:rsidRDefault="00E705D7">
            <w:pPr>
              <w:textAlignment w:val="center"/>
              <w:rPr>
                <w:rFonts w:ascii="Times New Roman" w:hAnsi="Times New Roman"/>
                <w:sz w:val="20"/>
                <w:szCs w:val="20"/>
              </w:rPr>
            </w:pPr>
            <w:hyperlink r:id="rId114" w:history="1">
              <w:r>
                <w:rPr>
                  <w:rStyle w:val="a5"/>
                  <w:rFonts w:ascii="Arial" w:eastAsia="宋体" w:hAnsi="Arial" w:cs="Arial"/>
                  <w:sz w:val="20"/>
                  <w:szCs w:val="20"/>
                </w:rPr>
                <w:t xml:space="preserve">Deposit Agreement, dated August 21, 2012, among State Street Corporation, American Stock Transfer &amp; Trust Company, LLC (as depositary), and the holders from time </w:t>
              </w:r>
              <w:r>
                <w:rPr>
                  <w:rStyle w:val="a5"/>
                  <w:rFonts w:ascii="Arial" w:eastAsia="宋体" w:hAnsi="Arial" w:cs="Arial"/>
                  <w:sz w:val="20"/>
                  <w:szCs w:val="20"/>
                </w:rPr>
                <w:t>to time of depositary receipts (filed as Exhibit 4.1 to State Street's Current Report on Form 8-K (File No. 001-07511) filed with the SEC on August 21, 2012 and incorporated herein by reference)</w:t>
              </w:r>
            </w:hyperlink>
          </w:p>
        </w:tc>
      </w:tr>
      <w:tr w:rsidR="00F925DD" w14:paraId="55570333" w14:textId="77777777">
        <w:trPr>
          <w:jc w:val="center"/>
        </w:trPr>
        <w:tc>
          <w:tcPr>
            <w:tcW w:w="0" w:type="auto"/>
            <w:shd w:val="clear" w:color="auto" w:fill="auto"/>
            <w:tcMar>
              <w:top w:w="40" w:type="dxa"/>
              <w:left w:w="40" w:type="dxa"/>
              <w:bottom w:w="40" w:type="dxa"/>
              <w:right w:w="40" w:type="dxa"/>
            </w:tcMar>
            <w:vAlign w:val="bottom"/>
          </w:tcPr>
          <w:p w14:paraId="555703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38" w14:textId="77777777">
        <w:trPr>
          <w:jc w:val="center"/>
        </w:trPr>
        <w:tc>
          <w:tcPr>
            <w:tcW w:w="0" w:type="auto"/>
            <w:shd w:val="clear" w:color="auto" w:fill="auto"/>
            <w:tcMar>
              <w:top w:w="40" w:type="dxa"/>
              <w:left w:w="40" w:type="dxa"/>
              <w:bottom w:w="40" w:type="dxa"/>
              <w:right w:w="40" w:type="dxa"/>
            </w:tcMar>
            <w:vAlign w:val="bottom"/>
          </w:tcPr>
          <w:p w14:paraId="5557033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35" w14:textId="77777777" w:rsidR="00F925DD" w:rsidRDefault="00E705D7">
            <w:pPr>
              <w:textAlignment w:val="center"/>
              <w:rPr>
                <w:rFonts w:ascii="Times New Roman" w:hAnsi="Times New Roman"/>
                <w:sz w:val="20"/>
                <w:szCs w:val="20"/>
              </w:rPr>
            </w:pPr>
            <w:hyperlink r:id="rId115" w:history="1">
              <w:r>
                <w:rPr>
                  <w:rStyle w:val="a5"/>
                  <w:rFonts w:ascii="Arial" w:eastAsia="宋体" w:hAnsi="Arial" w:cs="Arial"/>
                  <w:sz w:val="20"/>
                  <w:szCs w:val="20"/>
                </w:rPr>
                <w:t>4.3</w:t>
              </w:r>
            </w:hyperlink>
          </w:p>
        </w:tc>
        <w:tc>
          <w:tcPr>
            <w:tcW w:w="0" w:type="auto"/>
            <w:shd w:val="clear" w:color="auto" w:fill="auto"/>
            <w:tcMar>
              <w:top w:w="40" w:type="dxa"/>
              <w:left w:w="40" w:type="dxa"/>
              <w:bottom w:w="40" w:type="dxa"/>
              <w:right w:w="40" w:type="dxa"/>
            </w:tcMar>
            <w:vAlign w:val="bottom"/>
          </w:tcPr>
          <w:p w14:paraId="555703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37" w14:textId="77777777" w:rsidR="00F925DD" w:rsidRDefault="00E705D7">
            <w:pPr>
              <w:textAlignment w:val="center"/>
              <w:rPr>
                <w:rFonts w:ascii="Times New Roman" w:hAnsi="Times New Roman"/>
                <w:sz w:val="20"/>
                <w:szCs w:val="20"/>
              </w:rPr>
            </w:pPr>
            <w:hyperlink r:id="rId116" w:history="1">
              <w:r>
                <w:rPr>
                  <w:rStyle w:val="a5"/>
                  <w:rFonts w:ascii="Arial" w:eastAsia="宋体" w:hAnsi="Arial" w:cs="Arial"/>
                  <w:sz w:val="20"/>
                  <w:szCs w:val="20"/>
                </w:rPr>
                <w:t xml:space="preserve">Deposit Agreement, dated March 4, 2014, among State Street </w:t>
              </w:r>
              <w:r>
                <w:rPr>
                  <w:rStyle w:val="a5"/>
                  <w:rFonts w:ascii="Arial" w:eastAsia="宋体" w:hAnsi="Arial" w:cs="Arial"/>
                  <w:sz w:val="20"/>
                  <w:szCs w:val="20"/>
                </w:rPr>
                <w:t>Corporation, American Stock Transfer &amp; Trust Company, LLC (as depositary), and the holders from time to time of depositary receipts (filed as Exhibit 4.1 to State Street's Current Report on Form 8-K (File No. 001-07511) dated March 4, 2014 filed with the S</w:t>
              </w:r>
              <w:r>
                <w:rPr>
                  <w:rStyle w:val="a5"/>
                  <w:rFonts w:ascii="Arial" w:eastAsia="宋体" w:hAnsi="Arial" w:cs="Arial"/>
                  <w:sz w:val="20"/>
                  <w:szCs w:val="20"/>
                </w:rPr>
                <w:t>EC on March 4, 2014 and incorporated herein by reference)</w:t>
              </w:r>
            </w:hyperlink>
          </w:p>
        </w:tc>
      </w:tr>
      <w:tr w:rsidR="00F925DD" w14:paraId="5557033D" w14:textId="77777777">
        <w:trPr>
          <w:jc w:val="center"/>
        </w:trPr>
        <w:tc>
          <w:tcPr>
            <w:tcW w:w="0" w:type="auto"/>
            <w:shd w:val="clear" w:color="auto" w:fill="auto"/>
            <w:tcMar>
              <w:top w:w="40" w:type="dxa"/>
              <w:left w:w="40" w:type="dxa"/>
              <w:bottom w:w="40" w:type="dxa"/>
              <w:right w:w="40" w:type="dxa"/>
            </w:tcMar>
            <w:vAlign w:val="bottom"/>
          </w:tcPr>
          <w:p w14:paraId="555703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42" w14:textId="77777777">
        <w:trPr>
          <w:jc w:val="center"/>
        </w:trPr>
        <w:tc>
          <w:tcPr>
            <w:tcW w:w="0" w:type="auto"/>
            <w:shd w:val="clear" w:color="auto" w:fill="auto"/>
            <w:tcMar>
              <w:top w:w="40" w:type="dxa"/>
              <w:left w:w="40" w:type="dxa"/>
              <w:bottom w:w="40" w:type="dxa"/>
              <w:right w:w="40" w:type="dxa"/>
            </w:tcMar>
            <w:vAlign w:val="bottom"/>
          </w:tcPr>
          <w:p w14:paraId="555703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3F" w14:textId="77777777" w:rsidR="00F925DD" w:rsidRDefault="00E705D7">
            <w:pPr>
              <w:textAlignment w:val="center"/>
              <w:rPr>
                <w:rFonts w:ascii="Times New Roman" w:hAnsi="Times New Roman"/>
                <w:sz w:val="20"/>
                <w:szCs w:val="20"/>
              </w:rPr>
            </w:pPr>
            <w:hyperlink r:id="rId117" w:history="1">
              <w:r>
                <w:rPr>
                  <w:rStyle w:val="a5"/>
                  <w:rFonts w:ascii="Arial" w:eastAsia="宋体" w:hAnsi="Arial" w:cs="Arial"/>
                  <w:sz w:val="20"/>
                  <w:szCs w:val="20"/>
                </w:rPr>
                <w:t>4.4</w:t>
              </w:r>
            </w:hyperlink>
          </w:p>
        </w:tc>
        <w:tc>
          <w:tcPr>
            <w:tcW w:w="0" w:type="auto"/>
            <w:shd w:val="clear" w:color="auto" w:fill="auto"/>
            <w:tcMar>
              <w:top w:w="40" w:type="dxa"/>
              <w:left w:w="40" w:type="dxa"/>
              <w:bottom w:w="40" w:type="dxa"/>
              <w:right w:w="40" w:type="dxa"/>
            </w:tcMar>
            <w:vAlign w:val="bottom"/>
          </w:tcPr>
          <w:p w14:paraId="5557034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41" w14:textId="77777777" w:rsidR="00F925DD" w:rsidRDefault="00E705D7">
            <w:pPr>
              <w:textAlignment w:val="center"/>
              <w:rPr>
                <w:rFonts w:ascii="Times New Roman" w:hAnsi="Times New Roman"/>
                <w:sz w:val="20"/>
                <w:szCs w:val="20"/>
              </w:rPr>
            </w:pPr>
            <w:hyperlink r:id="rId118" w:history="1">
              <w:r>
                <w:rPr>
                  <w:rStyle w:val="a5"/>
                  <w:rFonts w:ascii="Arial" w:eastAsia="宋体" w:hAnsi="Arial" w:cs="Arial"/>
                  <w:sz w:val="20"/>
                  <w:szCs w:val="20"/>
                </w:rPr>
                <w:t>Deposit Agreement, dated November 25, 2014, among State Str</w:t>
              </w:r>
              <w:r>
                <w:rPr>
                  <w:rStyle w:val="a5"/>
                  <w:rFonts w:ascii="Arial" w:eastAsia="宋体" w:hAnsi="Arial" w:cs="Arial"/>
                  <w:sz w:val="20"/>
                  <w:szCs w:val="20"/>
                </w:rPr>
                <w:t>eet Corporation, American Stock Transfer &amp; Trust Company, LLC (as depositary) and the holders from time to time of depositary receipts (filed as Exhibit 4.1 to State Street's Current Report on Form 8-K (File No. 001-07511) dated November 25, 2014 filed wit</w:t>
              </w:r>
              <w:r>
                <w:rPr>
                  <w:rStyle w:val="a5"/>
                  <w:rFonts w:ascii="Arial" w:eastAsia="宋体" w:hAnsi="Arial" w:cs="Arial"/>
                  <w:sz w:val="20"/>
                  <w:szCs w:val="20"/>
                </w:rPr>
                <w:t>h the SEC on November 25, 2014 and incorporated herein by reference)</w:t>
              </w:r>
            </w:hyperlink>
          </w:p>
        </w:tc>
      </w:tr>
      <w:tr w:rsidR="00F925DD" w14:paraId="55570347" w14:textId="77777777">
        <w:trPr>
          <w:jc w:val="center"/>
        </w:trPr>
        <w:tc>
          <w:tcPr>
            <w:tcW w:w="0" w:type="auto"/>
            <w:shd w:val="clear" w:color="auto" w:fill="auto"/>
            <w:tcMar>
              <w:top w:w="40" w:type="dxa"/>
              <w:left w:w="40" w:type="dxa"/>
              <w:bottom w:w="40" w:type="dxa"/>
              <w:right w:w="40" w:type="dxa"/>
            </w:tcMar>
            <w:vAlign w:val="bottom"/>
          </w:tcPr>
          <w:p w14:paraId="5557034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4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4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4C" w14:textId="77777777">
        <w:trPr>
          <w:jc w:val="center"/>
        </w:trPr>
        <w:tc>
          <w:tcPr>
            <w:tcW w:w="0" w:type="auto"/>
            <w:shd w:val="clear" w:color="auto" w:fill="auto"/>
            <w:tcMar>
              <w:top w:w="40" w:type="dxa"/>
              <w:left w:w="40" w:type="dxa"/>
              <w:bottom w:w="40" w:type="dxa"/>
              <w:right w:w="40" w:type="dxa"/>
            </w:tcMar>
            <w:vAlign w:val="bottom"/>
          </w:tcPr>
          <w:p w14:paraId="555703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49" w14:textId="77777777" w:rsidR="00F925DD" w:rsidRDefault="00E705D7">
            <w:pPr>
              <w:textAlignment w:val="center"/>
              <w:rPr>
                <w:rFonts w:ascii="Times New Roman" w:hAnsi="Times New Roman"/>
                <w:sz w:val="20"/>
                <w:szCs w:val="20"/>
              </w:rPr>
            </w:pPr>
            <w:hyperlink r:id="rId119" w:history="1">
              <w:r>
                <w:rPr>
                  <w:rStyle w:val="a5"/>
                  <w:rFonts w:ascii="Arial" w:eastAsia="宋体" w:hAnsi="Arial" w:cs="Arial"/>
                  <w:sz w:val="20"/>
                  <w:szCs w:val="20"/>
                </w:rPr>
                <w:t>4.5</w:t>
              </w:r>
            </w:hyperlink>
          </w:p>
        </w:tc>
        <w:tc>
          <w:tcPr>
            <w:tcW w:w="0" w:type="auto"/>
            <w:shd w:val="clear" w:color="auto" w:fill="auto"/>
            <w:tcMar>
              <w:top w:w="40" w:type="dxa"/>
              <w:left w:w="40" w:type="dxa"/>
              <w:bottom w:w="40" w:type="dxa"/>
              <w:right w:w="40" w:type="dxa"/>
            </w:tcMar>
            <w:vAlign w:val="bottom"/>
          </w:tcPr>
          <w:p w14:paraId="555703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4B" w14:textId="77777777" w:rsidR="00F925DD" w:rsidRDefault="00E705D7">
            <w:pPr>
              <w:textAlignment w:val="center"/>
              <w:rPr>
                <w:rFonts w:ascii="Times New Roman" w:hAnsi="Times New Roman"/>
                <w:sz w:val="20"/>
                <w:szCs w:val="20"/>
              </w:rPr>
            </w:pPr>
            <w:hyperlink r:id="rId120" w:history="1">
              <w:r>
                <w:rPr>
                  <w:rStyle w:val="a5"/>
                  <w:rFonts w:ascii="Arial" w:eastAsia="宋体" w:hAnsi="Arial" w:cs="Arial"/>
                  <w:sz w:val="20"/>
                  <w:szCs w:val="20"/>
                </w:rPr>
                <w:t>Deposit Agreement dated May 21, 2015, among State Street Co</w:t>
              </w:r>
              <w:r>
                <w:rPr>
                  <w:rStyle w:val="a5"/>
                  <w:rFonts w:ascii="Arial" w:eastAsia="宋体" w:hAnsi="Arial" w:cs="Arial"/>
                  <w:sz w:val="20"/>
                  <w:szCs w:val="20"/>
                </w:rPr>
                <w:t>rporation, American Stock Transfer &amp; Trust Company, LLC (as depositary) and the holders from time to time of depositary receipts (filed as Exhibit 4.1 to State Street's Current Report on Form 8-K (File No. 001-7511) dated May 21, 2015 filed with the SEC on</w:t>
              </w:r>
              <w:r>
                <w:rPr>
                  <w:rStyle w:val="a5"/>
                  <w:rFonts w:ascii="Arial" w:eastAsia="宋体" w:hAnsi="Arial" w:cs="Arial"/>
                  <w:sz w:val="20"/>
                  <w:szCs w:val="20"/>
                </w:rPr>
                <w:t xml:space="preserve"> May 21, 2015 and incorporated herein by reference)</w:t>
              </w:r>
            </w:hyperlink>
          </w:p>
        </w:tc>
      </w:tr>
      <w:tr w:rsidR="00F925DD" w14:paraId="55570351" w14:textId="77777777">
        <w:trPr>
          <w:jc w:val="center"/>
        </w:trPr>
        <w:tc>
          <w:tcPr>
            <w:tcW w:w="0" w:type="auto"/>
            <w:shd w:val="clear" w:color="auto" w:fill="auto"/>
            <w:tcMar>
              <w:top w:w="40" w:type="dxa"/>
              <w:left w:w="40" w:type="dxa"/>
              <w:bottom w:w="40" w:type="dxa"/>
              <w:right w:w="40" w:type="dxa"/>
            </w:tcMar>
            <w:vAlign w:val="bottom"/>
          </w:tcPr>
          <w:p w14:paraId="5557034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5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56" w14:textId="77777777">
        <w:trPr>
          <w:jc w:val="center"/>
        </w:trPr>
        <w:tc>
          <w:tcPr>
            <w:tcW w:w="0" w:type="auto"/>
            <w:shd w:val="clear" w:color="auto" w:fill="auto"/>
            <w:tcMar>
              <w:top w:w="40" w:type="dxa"/>
              <w:left w:w="40" w:type="dxa"/>
              <w:bottom w:w="40" w:type="dxa"/>
              <w:right w:w="40" w:type="dxa"/>
            </w:tcMar>
            <w:vAlign w:val="bottom"/>
          </w:tcPr>
          <w:p w14:paraId="555703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53" w14:textId="77777777" w:rsidR="00F925DD" w:rsidRDefault="00E705D7">
            <w:pPr>
              <w:textAlignment w:val="center"/>
              <w:rPr>
                <w:rFonts w:ascii="Times New Roman" w:hAnsi="Times New Roman"/>
                <w:sz w:val="20"/>
                <w:szCs w:val="20"/>
              </w:rPr>
            </w:pPr>
            <w:hyperlink r:id="rId121" w:history="1">
              <w:r>
                <w:rPr>
                  <w:rStyle w:val="a5"/>
                  <w:rFonts w:ascii="Arial" w:eastAsia="宋体" w:hAnsi="Arial" w:cs="Arial"/>
                  <w:sz w:val="20"/>
                  <w:szCs w:val="20"/>
                </w:rPr>
                <w:t>4.6</w:t>
              </w:r>
            </w:hyperlink>
          </w:p>
        </w:tc>
        <w:tc>
          <w:tcPr>
            <w:tcW w:w="0" w:type="auto"/>
            <w:shd w:val="clear" w:color="auto" w:fill="auto"/>
            <w:tcMar>
              <w:top w:w="40" w:type="dxa"/>
              <w:left w:w="40" w:type="dxa"/>
              <w:bottom w:w="40" w:type="dxa"/>
              <w:right w:w="40" w:type="dxa"/>
            </w:tcMar>
            <w:vAlign w:val="bottom"/>
          </w:tcPr>
          <w:p w14:paraId="555703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55" w14:textId="77777777" w:rsidR="00F925DD" w:rsidRDefault="00E705D7">
            <w:pPr>
              <w:textAlignment w:val="center"/>
              <w:rPr>
                <w:rFonts w:ascii="Times New Roman" w:hAnsi="Times New Roman"/>
                <w:sz w:val="20"/>
                <w:szCs w:val="20"/>
              </w:rPr>
            </w:pPr>
            <w:hyperlink r:id="rId122" w:history="1">
              <w:r>
                <w:rPr>
                  <w:rStyle w:val="a5"/>
                  <w:rFonts w:ascii="Arial" w:eastAsia="宋体" w:hAnsi="Arial" w:cs="Arial"/>
                  <w:sz w:val="20"/>
                  <w:szCs w:val="20"/>
                </w:rPr>
                <w:t xml:space="preserve">Deposit Agreement dated April 11, 2016, among State Street Corporation, American Stock Transfer &amp; Trust Company, LLC (as depositary) and the holders from time to </w:t>
              </w:r>
              <w:r>
                <w:rPr>
                  <w:rStyle w:val="a5"/>
                  <w:rFonts w:ascii="Arial" w:eastAsia="宋体" w:hAnsi="Arial" w:cs="Arial"/>
                  <w:sz w:val="20"/>
                  <w:szCs w:val="20"/>
                </w:rPr>
                <w:t>time of depositary receipts (filed as Exhibit 4.1 to State Street's Current Report on Form 8-K (File No. 001-7511) dated April 11, 2016 filed with the SEC on April 11, 2016 and incorporated herein by reference)</w:t>
              </w:r>
            </w:hyperlink>
          </w:p>
        </w:tc>
      </w:tr>
      <w:tr w:rsidR="00F925DD" w14:paraId="5557035C" w14:textId="77777777">
        <w:trPr>
          <w:jc w:val="center"/>
        </w:trPr>
        <w:tc>
          <w:tcPr>
            <w:tcW w:w="0" w:type="auto"/>
            <w:shd w:val="clear" w:color="auto" w:fill="auto"/>
            <w:tcMar>
              <w:top w:w="40" w:type="dxa"/>
              <w:left w:w="40" w:type="dxa"/>
              <w:bottom w:w="40" w:type="dxa"/>
              <w:right w:w="40" w:type="dxa"/>
            </w:tcMar>
            <w:vAlign w:val="bottom"/>
          </w:tcPr>
          <w:p w14:paraId="555703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58" w14:textId="77777777" w:rsidR="00F925DD" w:rsidRDefault="00E705D7">
            <w:pPr>
              <w:textAlignment w:val="center"/>
              <w:rPr>
                <w:rFonts w:ascii="Times New Roman" w:hAnsi="Times New Roman"/>
                <w:sz w:val="20"/>
                <w:szCs w:val="20"/>
              </w:rPr>
            </w:pPr>
            <w:hyperlink r:id="rId123" w:history="1">
              <w:r>
                <w:rPr>
                  <w:rStyle w:val="a5"/>
                  <w:rFonts w:ascii="Arial" w:eastAsia="宋体" w:hAnsi="Arial" w:cs="Arial"/>
                  <w:sz w:val="20"/>
                  <w:szCs w:val="20"/>
                </w:rPr>
                <w:t>4.7</w:t>
              </w:r>
            </w:hyperlink>
          </w:p>
        </w:tc>
        <w:tc>
          <w:tcPr>
            <w:tcW w:w="0" w:type="auto"/>
            <w:shd w:val="clear" w:color="auto" w:fill="auto"/>
            <w:tcMar>
              <w:top w:w="40" w:type="dxa"/>
              <w:left w:w="40" w:type="dxa"/>
              <w:bottom w:w="40" w:type="dxa"/>
              <w:right w:w="40" w:type="dxa"/>
            </w:tcMar>
            <w:vAlign w:val="bottom"/>
          </w:tcPr>
          <w:p w14:paraId="555703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5A" w14:textId="77777777" w:rsidR="00F925DD" w:rsidRDefault="00E705D7">
            <w:pPr>
              <w:textAlignment w:val="center"/>
              <w:rPr>
                <w:rFonts w:ascii="Times New Roman" w:hAnsi="Times New Roman"/>
                <w:sz w:val="20"/>
                <w:szCs w:val="20"/>
              </w:rPr>
            </w:pPr>
            <w:hyperlink r:id="rId124" w:history="1">
              <w:r>
                <w:rPr>
                  <w:rStyle w:val="a5"/>
                  <w:rFonts w:ascii="Arial" w:eastAsia="宋体" w:hAnsi="Arial" w:cs="Arial"/>
                  <w:sz w:val="20"/>
                  <w:szCs w:val="20"/>
                </w:rPr>
                <w:t>Deposit Agreement dated September 27, 2018, among State Str</w:t>
              </w:r>
              <w:r>
                <w:rPr>
                  <w:rStyle w:val="a5"/>
                  <w:rFonts w:ascii="Arial" w:eastAsia="宋体" w:hAnsi="Arial" w:cs="Arial"/>
                  <w:sz w:val="20"/>
                  <w:szCs w:val="20"/>
                </w:rPr>
                <w:t>eet Corporation, American Stock Transfer &amp; Trust Company, LLC (as depositary) and the holders from time to time of the depositary receipts (filed as Exhibit 4.3 to State Street’s Current Report on Form 8-K (File No. 001-07511) filed with the SEC on Septemb</w:t>
              </w:r>
              <w:r>
                <w:rPr>
                  <w:rStyle w:val="a5"/>
                  <w:rFonts w:ascii="Arial" w:eastAsia="宋体" w:hAnsi="Arial" w:cs="Arial"/>
                  <w:sz w:val="20"/>
                  <w:szCs w:val="20"/>
                </w:rPr>
                <w:t>er 27, 2018 and incorporated herein by reference)</w:t>
              </w:r>
            </w:hyperlink>
          </w:p>
          <w:p w14:paraId="5557035B" w14:textId="77777777" w:rsidR="00F925DD" w:rsidRDefault="00F925DD">
            <w:pPr>
              <w:textAlignment w:val="center"/>
              <w:rPr>
                <w:rFonts w:ascii="Times New Roman" w:hAnsi="Times New Roman"/>
                <w:sz w:val="20"/>
                <w:szCs w:val="20"/>
              </w:rPr>
            </w:pPr>
          </w:p>
        </w:tc>
      </w:tr>
      <w:tr w:rsidR="00F925DD" w14:paraId="55570361" w14:textId="77777777">
        <w:trPr>
          <w:jc w:val="center"/>
        </w:trPr>
        <w:tc>
          <w:tcPr>
            <w:tcW w:w="0" w:type="auto"/>
            <w:shd w:val="clear" w:color="auto" w:fill="auto"/>
            <w:tcMar>
              <w:top w:w="40" w:type="dxa"/>
              <w:left w:w="40" w:type="dxa"/>
              <w:bottom w:w="40" w:type="dxa"/>
              <w:right w:w="40" w:type="dxa"/>
            </w:tcMar>
            <w:vAlign w:val="bottom"/>
          </w:tcPr>
          <w:p w14:paraId="555703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60" w14:textId="77777777" w:rsidR="00F925DD" w:rsidRDefault="00E705D7">
            <w:pPr>
              <w:textAlignment w:val="center"/>
              <w:rPr>
                <w:rFonts w:ascii="Times New Roman" w:hAnsi="Times New Roman"/>
                <w:sz w:val="20"/>
                <w:szCs w:val="20"/>
              </w:rPr>
            </w:pPr>
            <w:r>
              <w:rPr>
                <w:rFonts w:ascii="Arial" w:eastAsia="宋体" w:hAnsi="Arial" w:cs="Arial"/>
                <w:sz w:val="20"/>
                <w:szCs w:val="20"/>
              </w:rPr>
              <w:t xml:space="preserve">(Note: None of the instruments defining the rights of holders of State Street’s outstanding long-term debt are in respect of indebtedness in excess of 10% of the total assets of State Street and </w:t>
            </w:r>
            <w:r>
              <w:rPr>
                <w:rFonts w:ascii="Arial" w:eastAsia="宋体" w:hAnsi="Arial" w:cs="Arial"/>
                <w:sz w:val="20"/>
                <w:szCs w:val="20"/>
              </w:rPr>
              <w:t>its subsidiaries on a consolidated basis. State Street hereby agrees to furnish to the SEC upon request a copy of any other instrument with respect to long-term debt of State Street and its subsidiaries.)</w:t>
            </w:r>
          </w:p>
        </w:tc>
      </w:tr>
      <w:tr w:rsidR="00F925DD" w14:paraId="55570366" w14:textId="77777777">
        <w:trPr>
          <w:jc w:val="center"/>
        </w:trPr>
        <w:tc>
          <w:tcPr>
            <w:tcW w:w="0" w:type="auto"/>
            <w:shd w:val="clear" w:color="auto" w:fill="auto"/>
            <w:tcMar>
              <w:top w:w="40" w:type="dxa"/>
              <w:left w:w="40" w:type="dxa"/>
              <w:bottom w:w="40" w:type="dxa"/>
              <w:right w:w="40" w:type="dxa"/>
            </w:tcMar>
            <w:vAlign w:val="bottom"/>
          </w:tcPr>
          <w:p w14:paraId="555703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6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6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6C" w14:textId="77777777">
        <w:trPr>
          <w:jc w:val="center"/>
        </w:trPr>
        <w:tc>
          <w:tcPr>
            <w:tcW w:w="0" w:type="auto"/>
            <w:shd w:val="clear" w:color="auto" w:fill="auto"/>
            <w:tcMar>
              <w:top w:w="40" w:type="dxa"/>
              <w:left w:w="40" w:type="dxa"/>
              <w:bottom w:w="40" w:type="dxa"/>
              <w:right w:w="40" w:type="dxa"/>
            </w:tcMar>
            <w:vAlign w:val="bottom"/>
          </w:tcPr>
          <w:p w14:paraId="555703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68" w14:textId="77777777" w:rsidR="00F925DD" w:rsidRDefault="00E705D7">
            <w:pPr>
              <w:textAlignment w:val="center"/>
              <w:rPr>
                <w:rFonts w:ascii="Times New Roman" w:hAnsi="Times New Roman"/>
                <w:sz w:val="20"/>
                <w:szCs w:val="20"/>
              </w:rPr>
            </w:pPr>
            <w:hyperlink r:id="rId125" w:history="1">
              <w:r>
                <w:rPr>
                  <w:rStyle w:val="a5"/>
                  <w:rFonts w:ascii="Arial" w:eastAsia="宋体" w:hAnsi="Arial" w:cs="Arial"/>
                  <w:sz w:val="20"/>
                  <w:szCs w:val="20"/>
                </w:rPr>
                <w:t>10.1†</w:t>
              </w:r>
            </w:hyperlink>
          </w:p>
        </w:tc>
        <w:tc>
          <w:tcPr>
            <w:tcW w:w="0" w:type="auto"/>
            <w:shd w:val="clear" w:color="auto" w:fill="auto"/>
            <w:tcMar>
              <w:top w:w="40" w:type="dxa"/>
              <w:left w:w="40" w:type="dxa"/>
              <w:bottom w:w="40" w:type="dxa"/>
              <w:right w:w="40" w:type="dxa"/>
            </w:tcMar>
            <w:vAlign w:val="bottom"/>
          </w:tcPr>
          <w:p w14:paraId="555703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6A" w14:textId="77777777" w:rsidR="00F925DD" w:rsidRDefault="00E705D7">
            <w:pPr>
              <w:textAlignment w:val="center"/>
              <w:rPr>
                <w:rFonts w:ascii="Times New Roman" w:hAnsi="Times New Roman"/>
                <w:sz w:val="20"/>
                <w:szCs w:val="20"/>
              </w:rPr>
            </w:pPr>
            <w:hyperlink r:id="rId126" w:history="1">
              <w:r>
                <w:rPr>
                  <w:rStyle w:val="a5"/>
                  <w:rFonts w:ascii="Arial" w:eastAsia="宋体" w:hAnsi="Arial" w:cs="Arial"/>
                  <w:sz w:val="20"/>
                  <w:szCs w:val="20"/>
                </w:rPr>
                <w:t xml:space="preserve">State Street's Management Supplemental Retirement Plan, Amended and Restated, as amended (filed as Exhibit 10.5 to State Street’s Quarterly Report on </w:t>
              </w:r>
              <w:r>
                <w:rPr>
                  <w:rStyle w:val="a5"/>
                  <w:rFonts w:ascii="Arial" w:eastAsia="宋体" w:hAnsi="Arial" w:cs="Arial"/>
                  <w:sz w:val="20"/>
                  <w:szCs w:val="20"/>
                </w:rPr>
                <w:t>Form 10-Q (File No. 001-07511) for the quarter ended March 31, 2019 filed with the SEC on May 1, 2019 and incorporated herein by reference)</w:t>
              </w:r>
            </w:hyperlink>
          </w:p>
          <w:p w14:paraId="5557036B" w14:textId="77777777" w:rsidR="00F925DD" w:rsidRDefault="00F925DD">
            <w:pPr>
              <w:textAlignment w:val="center"/>
              <w:rPr>
                <w:rFonts w:ascii="Times New Roman" w:hAnsi="Times New Roman"/>
                <w:sz w:val="20"/>
                <w:szCs w:val="20"/>
              </w:rPr>
            </w:pPr>
          </w:p>
        </w:tc>
      </w:tr>
      <w:tr w:rsidR="00F925DD" w14:paraId="55570371" w14:textId="77777777">
        <w:trPr>
          <w:jc w:val="center"/>
        </w:trPr>
        <w:tc>
          <w:tcPr>
            <w:tcW w:w="0" w:type="auto"/>
            <w:shd w:val="clear" w:color="auto" w:fill="auto"/>
            <w:tcMar>
              <w:top w:w="40" w:type="dxa"/>
              <w:left w:w="40" w:type="dxa"/>
              <w:bottom w:w="40" w:type="dxa"/>
              <w:right w:w="40" w:type="dxa"/>
            </w:tcMar>
            <w:vAlign w:val="bottom"/>
          </w:tcPr>
          <w:p w14:paraId="555703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6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6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76" w14:textId="77777777">
        <w:trPr>
          <w:jc w:val="center"/>
        </w:trPr>
        <w:tc>
          <w:tcPr>
            <w:tcW w:w="0" w:type="auto"/>
            <w:shd w:val="clear" w:color="auto" w:fill="auto"/>
            <w:tcMar>
              <w:top w:w="40" w:type="dxa"/>
              <w:left w:w="40" w:type="dxa"/>
              <w:bottom w:w="40" w:type="dxa"/>
              <w:right w:w="40" w:type="dxa"/>
            </w:tcMar>
            <w:vAlign w:val="bottom"/>
          </w:tcPr>
          <w:p w14:paraId="555703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73" w14:textId="77777777" w:rsidR="00F925DD" w:rsidRDefault="00E705D7">
            <w:pPr>
              <w:textAlignment w:val="center"/>
              <w:rPr>
                <w:rFonts w:ascii="Times New Roman" w:hAnsi="Times New Roman"/>
                <w:sz w:val="20"/>
                <w:szCs w:val="20"/>
              </w:rPr>
            </w:pPr>
            <w:hyperlink r:id="rId127" w:history="1">
              <w:r>
                <w:rPr>
                  <w:rStyle w:val="a5"/>
                  <w:rFonts w:ascii="Arial" w:eastAsia="宋体" w:hAnsi="Arial" w:cs="Arial"/>
                  <w:sz w:val="20"/>
                  <w:szCs w:val="20"/>
                </w:rPr>
                <w:t>10.2†</w:t>
              </w:r>
            </w:hyperlink>
          </w:p>
        </w:tc>
        <w:tc>
          <w:tcPr>
            <w:tcW w:w="0" w:type="auto"/>
            <w:shd w:val="clear" w:color="auto" w:fill="auto"/>
            <w:tcMar>
              <w:top w:w="40" w:type="dxa"/>
              <w:left w:w="40" w:type="dxa"/>
              <w:bottom w:w="40" w:type="dxa"/>
              <w:right w:w="40" w:type="dxa"/>
            </w:tcMar>
            <w:vAlign w:val="bottom"/>
          </w:tcPr>
          <w:p w14:paraId="555703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75" w14:textId="77777777" w:rsidR="00F925DD" w:rsidRDefault="00E705D7">
            <w:pPr>
              <w:textAlignment w:val="center"/>
              <w:rPr>
                <w:rFonts w:ascii="Times New Roman" w:hAnsi="Times New Roman"/>
                <w:sz w:val="20"/>
                <w:szCs w:val="20"/>
              </w:rPr>
            </w:pPr>
            <w:hyperlink r:id="rId128" w:history="1">
              <w:r>
                <w:rPr>
                  <w:rStyle w:val="a5"/>
                  <w:rFonts w:ascii="Arial" w:eastAsia="宋体" w:hAnsi="Arial" w:cs="Arial"/>
                  <w:sz w:val="20"/>
                  <w:szCs w:val="20"/>
                </w:rPr>
                <w:t>State Street's Executive Supp</w:t>
              </w:r>
              <w:r>
                <w:rPr>
                  <w:rStyle w:val="a5"/>
                  <w:rFonts w:ascii="Arial" w:eastAsia="宋体" w:hAnsi="Arial" w:cs="Arial"/>
                  <w:sz w:val="20"/>
                  <w:szCs w:val="20"/>
                </w:rPr>
                <w:t>lemental Retirement Plan (formerly “State Street Supplemental Defined Benefit Pension Plan for Executive Officers”) Amended and Restated, as amended (filed as Exhibit 10.2 to State Street's Annual Report on Form 10-K (File No. 001-07511) for the year ended</w:t>
              </w:r>
              <w:r>
                <w:rPr>
                  <w:rStyle w:val="a5"/>
                  <w:rFonts w:ascii="Arial" w:eastAsia="宋体" w:hAnsi="Arial" w:cs="Arial"/>
                  <w:sz w:val="20"/>
                  <w:szCs w:val="20"/>
                </w:rPr>
                <w:t xml:space="preserve"> December 31, 2016 filed with the SEC on February 17, 2017 and incorporated herein by reference)</w:t>
              </w:r>
            </w:hyperlink>
          </w:p>
        </w:tc>
      </w:tr>
      <w:tr w:rsidR="00F925DD" w14:paraId="5557037B" w14:textId="77777777">
        <w:trPr>
          <w:jc w:val="center"/>
        </w:trPr>
        <w:tc>
          <w:tcPr>
            <w:tcW w:w="0" w:type="auto"/>
            <w:shd w:val="clear" w:color="auto" w:fill="auto"/>
            <w:tcMar>
              <w:top w:w="40" w:type="dxa"/>
              <w:left w:w="40" w:type="dxa"/>
              <w:bottom w:w="40" w:type="dxa"/>
              <w:right w:w="40" w:type="dxa"/>
            </w:tcMar>
            <w:vAlign w:val="bottom"/>
          </w:tcPr>
          <w:p w14:paraId="555703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7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82" w14:textId="77777777">
        <w:trPr>
          <w:jc w:val="center"/>
        </w:trPr>
        <w:tc>
          <w:tcPr>
            <w:tcW w:w="0" w:type="auto"/>
            <w:shd w:val="clear" w:color="auto" w:fill="auto"/>
            <w:tcMar>
              <w:top w:w="40" w:type="dxa"/>
              <w:left w:w="40" w:type="dxa"/>
              <w:bottom w:w="40" w:type="dxa"/>
              <w:right w:w="40" w:type="dxa"/>
            </w:tcMar>
            <w:vAlign w:val="bottom"/>
          </w:tcPr>
          <w:p w14:paraId="555703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7D" w14:textId="77777777" w:rsidR="00F925DD" w:rsidRDefault="00E705D7">
            <w:pPr>
              <w:textAlignment w:val="center"/>
              <w:rPr>
                <w:rFonts w:ascii="Times New Roman" w:hAnsi="Times New Roman"/>
                <w:sz w:val="20"/>
                <w:szCs w:val="20"/>
              </w:rPr>
            </w:pPr>
            <w:hyperlink r:id="rId129" w:history="1">
              <w:r>
                <w:rPr>
                  <w:rStyle w:val="a5"/>
                  <w:rFonts w:ascii="Arial" w:eastAsia="宋体" w:hAnsi="Arial" w:cs="Arial"/>
                  <w:sz w:val="20"/>
                  <w:szCs w:val="20"/>
                </w:rPr>
                <w:t>10.3†</w:t>
              </w:r>
            </w:hyperlink>
          </w:p>
        </w:tc>
        <w:tc>
          <w:tcPr>
            <w:tcW w:w="0" w:type="auto"/>
            <w:shd w:val="clear" w:color="auto" w:fill="auto"/>
            <w:tcMar>
              <w:top w:w="40" w:type="dxa"/>
              <w:left w:w="40" w:type="dxa"/>
              <w:bottom w:w="40" w:type="dxa"/>
              <w:right w:w="40" w:type="dxa"/>
            </w:tcMar>
            <w:vAlign w:val="bottom"/>
          </w:tcPr>
          <w:p w14:paraId="555703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7F" w14:textId="77777777" w:rsidR="00F925DD" w:rsidRDefault="00E705D7">
            <w:pPr>
              <w:textAlignment w:val="center"/>
              <w:rPr>
                <w:rFonts w:ascii="Times New Roman" w:hAnsi="Times New Roman"/>
                <w:sz w:val="20"/>
                <w:szCs w:val="20"/>
              </w:rPr>
            </w:pPr>
            <w:hyperlink r:id="rId130" w:history="1">
              <w:r>
                <w:rPr>
                  <w:rStyle w:val="a5"/>
                  <w:rFonts w:ascii="Arial" w:eastAsia="宋体" w:hAnsi="Arial" w:cs="Arial"/>
                  <w:sz w:val="20"/>
                  <w:szCs w:val="20"/>
                </w:rPr>
                <w:t>Supplemental Cash Incentive Plan, as amended, First and Secon</w:t>
              </w:r>
              <w:r>
                <w:rPr>
                  <w:rStyle w:val="a5"/>
                  <w:rFonts w:ascii="Arial" w:eastAsia="宋体" w:hAnsi="Arial" w:cs="Arial"/>
                  <w:sz w:val="20"/>
                  <w:szCs w:val="20"/>
                </w:rPr>
                <w:t>d Amendments thereto, and form of award agreement thereunder (filed as Exhibit 10.2 to State Street’s Quarterly Report on Form 10-Q (File No. 001-07511) for the quarter ended March 31, 2019 filed with the SEC on May 1, 2019 and incorporated herein by refer</w:t>
              </w:r>
              <w:r>
                <w:rPr>
                  <w:rStyle w:val="a5"/>
                  <w:rFonts w:ascii="Arial" w:eastAsia="宋体" w:hAnsi="Arial" w:cs="Arial"/>
                  <w:sz w:val="20"/>
                  <w:szCs w:val="20"/>
                </w:rPr>
                <w:t>ence)</w:t>
              </w:r>
            </w:hyperlink>
          </w:p>
          <w:p w14:paraId="55570380" w14:textId="77777777" w:rsidR="00F925DD" w:rsidRDefault="00F925DD">
            <w:pPr>
              <w:textAlignment w:val="center"/>
              <w:rPr>
                <w:rFonts w:ascii="Times New Roman" w:hAnsi="Times New Roman"/>
                <w:sz w:val="20"/>
                <w:szCs w:val="20"/>
              </w:rPr>
            </w:pPr>
          </w:p>
          <w:p w14:paraId="55570381" w14:textId="77777777" w:rsidR="00F925DD" w:rsidRDefault="00F925DD">
            <w:pPr>
              <w:textAlignment w:val="center"/>
              <w:rPr>
                <w:rFonts w:ascii="Times New Roman" w:hAnsi="Times New Roman"/>
                <w:sz w:val="20"/>
                <w:szCs w:val="20"/>
              </w:rPr>
            </w:pPr>
          </w:p>
        </w:tc>
      </w:tr>
      <w:tr w:rsidR="00F925DD" w14:paraId="55570387" w14:textId="77777777">
        <w:trPr>
          <w:jc w:val="center"/>
        </w:trPr>
        <w:tc>
          <w:tcPr>
            <w:tcW w:w="0" w:type="auto"/>
            <w:shd w:val="clear" w:color="auto" w:fill="auto"/>
            <w:tcMar>
              <w:top w:w="40" w:type="dxa"/>
              <w:left w:w="40" w:type="dxa"/>
              <w:bottom w:w="40" w:type="dxa"/>
              <w:right w:w="40" w:type="dxa"/>
            </w:tcMar>
            <w:vAlign w:val="bottom"/>
          </w:tcPr>
          <w:p w14:paraId="5557038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8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8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8C" w14:textId="77777777">
        <w:trPr>
          <w:jc w:val="center"/>
        </w:trPr>
        <w:tc>
          <w:tcPr>
            <w:tcW w:w="0" w:type="auto"/>
            <w:shd w:val="clear" w:color="auto" w:fill="auto"/>
            <w:tcMar>
              <w:top w:w="40" w:type="dxa"/>
              <w:left w:w="40" w:type="dxa"/>
              <w:bottom w:w="40" w:type="dxa"/>
              <w:right w:w="40" w:type="dxa"/>
            </w:tcMar>
            <w:vAlign w:val="bottom"/>
          </w:tcPr>
          <w:p w14:paraId="5557038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7038D" w14:textId="77777777" w:rsidR="00F925DD" w:rsidRDefault="00F925DD">
      <w:pPr>
        <w:rPr>
          <w:rFonts w:ascii="Times New Roman" w:hAnsi="Times New Roman"/>
          <w:sz w:val="20"/>
          <w:szCs w:val="20"/>
        </w:rPr>
      </w:pPr>
    </w:p>
    <w:p w14:paraId="5557038E"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185</w:t>
      </w:r>
    </w:p>
    <w:p w14:paraId="5557038F" w14:textId="77777777" w:rsidR="00F925DD" w:rsidRDefault="00F925DD">
      <w:pPr>
        <w:spacing w:line="288" w:lineRule="auto"/>
        <w:ind w:firstLine="600"/>
        <w:jc w:val="center"/>
        <w:rPr>
          <w:rFonts w:ascii="Times New Roman" w:hAnsi="Times New Roman"/>
          <w:sz w:val="18"/>
          <w:szCs w:val="18"/>
        </w:rPr>
      </w:pPr>
    </w:p>
    <w:p w14:paraId="55570390" w14:textId="77777777" w:rsidR="00F925DD" w:rsidRDefault="00E705D7">
      <w:r>
        <w:rPr>
          <w:rFonts w:ascii="Times New Roman" w:hAnsi="Times New Roman"/>
          <w:sz w:val="18"/>
          <w:szCs w:val="18"/>
        </w:rPr>
        <w:pict w14:anchorId="555706F3">
          <v:rect id="_x0000_i1209" style="width:415.3pt;height:1.5pt" o:hralign="center" o:hrstd="t" o:hr="t" fillcolor="#a0a0a0" stroked="f"/>
        </w:pict>
      </w:r>
    </w:p>
    <w:p w14:paraId="55570391" w14:textId="77777777" w:rsidR="00F925DD" w:rsidRDefault="00F925DD">
      <w:pPr>
        <w:spacing w:line="288" w:lineRule="auto"/>
        <w:ind w:firstLine="600"/>
        <w:rPr>
          <w:rFonts w:ascii="Times New Roman" w:hAnsi="Times New Roman"/>
          <w:sz w:val="18"/>
          <w:szCs w:val="18"/>
        </w:rPr>
      </w:pPr>
    </w:p>
    <w:p w14:paraId="55570392" w14:textId="77777777" w:rsidR="00F925DD" w:rsidRDefault="00F925D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50"/>
        <w:gridCol w:w="981"/>
        <w:gridCol w:w="130"/>
        <w:gridCol w:w="7045"/>
      </w:tblGrid>
      <w:tr w:rsidR="00F925DD" w14:paraId="55570394" w14:textId="77777777">
        <w:trPr>
          <w:jc w:val="center"/>
        </w:trPr>
        <w:tc>
          <w:tcPr>
            <w:tcW w:w="0" w:type="auto"/>
            <w:gridSpan w:val="4"/>
            <w:shd w:val="clear" w:color="auto" w:fill="auto"/>
            <w:vAlign w:val="center"/>
          </w:tcPr>
          <w:p w14:paraId="55570393" w14:textId="77777777" w:rsidR="00F925DD" w:rsidRDefault="00F925DD">
            <w:pPr>
              <w:rPr>
                <w:rFonts w:ascii="Times New Roman" w:hAnsi="Times New Roman"/>
                <w:sz w:val="20"/>
                <w:szCs w:val="20"/>
              </w:rPr>
            </w:pPr>
          </w:p>
        </w:tc>
      </w:tr>
      <w:tr w:rsidR="00F925DD" w14:paraId="55570399" w14:textId="77777777">
        <w:trPr>
          <w:jc w:val="center"/>
        </w:trPr>
        <w:tc>
          <w:tcPr>
            <w:tcW w:w="100" w:type="pct"/>
            <w:shd w:val="clear" w:color="auto" w:fill="auto"/>
            <w:vAlign w:val="center"/>
          </w:tcPr>
          <w:p w14:paraId="55570395" w14:textId="77777777" w:rsidR="00F925DD" w:rsidRDefault="00F925DD">
            <w:pPr>
              <w:rPr>
                <w:rFonts w:ascii="Times New Roman" w:hAnsi="Times New Roman"/>
                <w:sz w:val="20"/>
                <w:szCs w:val="20"/>
              </w:rPr>
            </w:pPr>
          </w:p>
        </w:tc>
        <w:tc>
          <w:tcPr>
            <w:tcW w:w="600" w:type="pct"/>
            <w:shd w:val="clear" w:color="auto" w:fill="auto"/>
            <w:vAlign w:val="center"/>
          </w:tcPr>
          <w:p w14:paraId="55570396" w14:textId="77777777" w:rsidR="00F925DD" w:rsidRDefault="00F925DD">
            <w:pPr>
              <w:rPr>
                <w:rFonts w:ascii="Times New Roman" w:hAnsi="Times New Roman"/>
                <w:sz w:val="20"/>
                <w:szCs w:val="20"/>
              </w:rPr>
            </w:pPr>
          </w:p>
        </w:tc>
        <w:tc>
          <w:tcPr>
            <w:tcW w:w="50" w:type="pct"/>
            <w:shd w:val="clear" w:color="auto" w:fill="auto"/>
            <w:vAlign w:val="center"/>
          </w:tcPr>
          <w:p w14:paraId="55570397" w14:textId="77777777" w:rsidR="00F925DD" w:rsidRDefault="00F925DD">
            <w:pPr>
              <w:rPr>
                <w:rFonts w:ascii="Times New Roman" w:hAnsi="Times New Roman"/>
                <w:sz w:val="20"/>
                <w:szCs w:val="20"/>
              </w:rPr>
            </w:pPr>
          </w:p>
        </w:tc>
        <w:tc>
          <w:tcPr>
            <w:tcW w:w="4250" w:type="pct"/>
            <w:shd w:val="clear" w:color="auto" w:fill="auto"/>
            <w:vAlign w:val="center"/>
          </w:tcPr>
          <w:p w14:paraId="55570398" w14:textId="77777777" w:rsidR="00F925DD" w:rsidRDefault="00F925DD">
            <w:pPr>
              <w:rPr>
                <w:rFonts w:ascii="Times New Roman" w:hAnsi="Times New Roman"/>
                <w:sz w:val="20"/>
                <w:szCs w:val="20"/>
              </w:rPr>
            </w:pPr>
          </w:p>
        </w:tc>
      </w:tr>
      <w:tr w:rsidR="00F925DD" w14:paraId="555703A2" w14:textId="77777777">
        <w:trPr>
          <w:jc w:val="center"/>
        </w:trPr>
        <w:tc>
          <w:tcPr>
            <w:tcW w:w="0" w:type="auto"/>
            <w:shd w:val="clear" w:color="auto" w:fill="auto"/>
            <w:tcMar>
              <w:top w:w="40" w:type="dxa"/>
              <w:left w:w="40" w:type="dxa"/>
              <w:bottom w:w="40" w:type="dxa"/>
              <w:right w:w="40" w:type="dxa"/>
            </w:tcMar>
            <w:vAlign w:val="bottom"/>
          </w:tcPr>
          <w:p w14:paraId="555703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9B" w14:textId="77777777" w:rsidR="00F925DD" w:rsidRDefault="00E705D7">
            <w:pPr>
              <w:textAlignment w:val="center"/>
              <w:rPr>
                <w:rFonts w:ascii="Times New Roman" w:hAnsi="Times New Roman"/>
                <w:sz w:val="20"/>
                <w:szCs w:val="20"/>
              </w:rPr>
            </w:pPr>
            <w:hyperlink r:id="rId131" w:history="1">
              <w:r>
                <w:rPr>
                  <w:rStyle w:val="a5"/>
                  <w:rFonts w:ascii="Arial" w:eastAsia="宋体" w:hAnsi="Arial" w:cs="Arial"/>
                  <w:sz w:val="20"/>
                  <w:szCs w:val="20"/>
                </w:rPr>
                <w:t>10.4†</w:t>
              </w:r>
            </w:hyperlink>
          </w:p>
        </w:tc>
        <w:tc>
          <w:tcPr>
            <w:tcW w:w="0" w:type="auto"/>
            <w:shd w:val="clear" w:color="auto" w:fill="auto"/>
            <w:tcMar>
              <w:top w:w="40" w:type="dxa"/>
              <w:left w:w="40" w:type="dxa"/>
              <w:bottom w:w="40" w:type="dxa"/>
              <w:right w:w="40" w:type="dxa"/>
            </w:tcMar>
            <w:vAlign w:val="bottom"/>
          </w:tcPr>
          <w:p w14:paraId="5557039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9D" w14:textId="77777777" w:rsidR="00F925DD" w:rsidRDefault="00E705D7">
            <w:pPr>
              <w:textAlignment w:val="center"/>
              <w:rPr>
                <w:rFonts w:ascii="Times New Roman" w:hAnsi="Times New Roman"/>
                <w:sz w:val="20"/>
                <w:szCs w:val="20"/>
              </w:rPr>
            </w:pPr>
            <w:hyperlink r:id="rId132" w:history="1">
              <w:r>
                <w:rPr>
                  <w:rStyle w:val="a5"/>
                  <w:rFonts w:ascii="Arial" w:eastAsia="宋体" w:hAnsi="Arial" w:cs="Arial"/>
                  <w:sz w:val="20"/>
                  <w:szCs w:val="20"/>
                </w:rPr>
                <w:t>State Street’s 2006 Equity Incentive Plan, as amended, and forms of award agreements thereunder (filed as Exhibit 10.8 to State Street's Annual Rep</w:t>
              </w:r>
              <w:r>
                <w:rPr>
                  <w:rStyle w:val="a5"/>
                  <w:rFonts w:ascii="Arial" w:eastAsia="宋体" w:hAnsi="Arial" w:cs="Arial"/>
                  <w:sz w:val="20"/>
                  <w:szCs w:val="20"/>
                </w:rPr>
                <w:t>ort on Form 10-K (File No. 001-07511) for the year ended December 31, 2014 and filed with the SEC on February 20, 2015 and incorporated herein by reference)</w:t>
              </w:r>
            </w:hyperlink>
          </w:p>
          <w:p w14:paraId="5557039E" w14:textId="77777777" w:rsidR="00F925DD" w:rsidRDefault="00F925DD">
            <w:pPr>
              <w:jc w:val="center"/>
              <w:textAlignment w:val="center"/>
              <w:rPr>
                <w:rFonts w:ascii="Times New Roman" w:hAnsi="Times New Roman"/>
                <w:sz w:val="20"/>
                <w:szCs w:val="20"/>
              </w:rPr>
            </w:pPr>
          </w:p>
          <w:p w14:paraId="5557039F" w14:textId="77777777" w:rsidR="00F925DD" w:rsidRDefault="00F925DD">
            <w:pPr>
              <w:jc w:val="center"/>
              <w:textAlignment w:val="center"/>
              <w:rPr>
                <w:rFonts w:ascii="Times New Roman" w:hAnsi="Times New Roman"/>
                <w:sz w:val="20"/>
                <w:szCs w:val="20"/>
              </w:rPr>
            </w:pPr>
          </w:p>
          <w:p w14:paraId="555703A0" w14:textId="77777777" w:rsidR="00F925DD" w:rsidRDefault="00F925DD">
            <w:pPr>
              <w:textAlignment w:val="center"/>
              <w:rPr>
                <w:rFonts w:ascii="Times New Roman" w:hAnsi="Times New Roman"/>
                <w:sz w:val="20"/>
                <w:szCs w:val="20"/>
              </w:rPr>
            </w:pPr>
          </w:p>
          <w:p w14:paraId="555703A1" w14:textId="77777777" w:rsidR="00F925DD" w:rsidRDefault="00F925DD">
            <w:pPr>
              <w:textAlignment w:val="center"/>
              <w:rPr>
                <w:rFonts w:ascii="Times New Roman" w:hAnsi="Times New Roman"/>
                <w:sz w:val="20"/>
                <w:szCs w:val="20"/>
              </w:rPr>
            </w:pPr>
          </w:p>
        </w:tc>
      </w:tr>
      <w:tr w:rsidR="00F925DD" w14:paraId="555703A7" w14:textId="77777777">
        <w:trPr>
          <w:jc w:val="center"/>
        </w:trPr>
        <w:tc>
          <w:tcPr>
            <w:tcW w:w="0" w:type="auto"/>
            <w:shd w:val="clear" w:color="auto" w:fill="auto"/>
            <w:tcMar>
              <w:top w:w="40" w:type="dxa"/>
              <w:left w:w="40" w:type="dxa"/>
              <w:bottom w:w="40" w:type="dxa"/>
              <w:right w:w="40" w:type="dxa"/>
            </w:tcMar>
            <w:vAlign w:val="bottom"/>
          </w:tcPr>
          <w:p w14:paraId="555703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AD" w14:textId="77777777">
        <w:trPr>
          <w:jc w:val="center"/>
        </w:trPr>
        <w:tc>
          <w:tcPr>
            <w:tcW w:w="0" w:type="auto"/>
            <w:shd w:val="clear" w:color="auto" w:fill="auto"/>
            <w:tcMar>
              <w:top w:w="40" w:type="dxa"/>
              <w:left w:w="40" w:type="dxa"/>
              <w:bottom w:w="40" w:type="dxa"/>
              <w:right w:w="40" w:type="dxa"/>
            </w:tcMar>
            <w:vAlign w:val="bottom"/>
          </w:tcPr>
          <w:p w14:paraId="555703A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A9" w14:textId="77777777" w:rsidR="00F925DD" w:rsidRDefault="00E705D7">
            <w:pPr>
              <w:textAlignment w:val="center"/>
              <w:rPr>
                <w:rFonts w:ascii="Times New Roman" w:hAnsi="Times New Roman"/>
                <w:sz w:val="20"/>
                <w:szCs w:val="20"/>
              </w:rPr>
            </w:pPr>
            <w:hyperlink r:id="rId133" w:history="1">
              <w:r>
                <w:rPr>
                  <w:rStyle w:val="a5"/>
                  <w:rFonts w:ascii="Arial" w:eastAsia="宋体" w:hAnsi="Arial" w:cs="Arial"/>
                  <w:sz w:val="20"/>
                  <w:szCs w:val="20"/>
                </w:rPr>
                <w:t>10.5†</w:t>
              </w:r>
            </w:hyperlink>
          </w:p>
        </w:tc>
        <w:tc>
          <w:tcPr>
            <w:tcW w:w="0" w:type="auto"/>
            <w:shd w:val="clear" w:color="auto" w:fill="auto"/>
            <w:tcMar>
              <w:top w:w="40" w:type="dxa"/>
              <w:left w:w="40" w:type="dxa"/>
              <w:bottom w:w="40" w:type="dxa"/>
              <w:right w:w="40" w:type="dxa"/>
            </w:tcMar>
            <w:vAlign w:val="bottom"/>
          </w:tcPr>
          <w:p w14:paraId="555703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AB" w14:textId="77777777" w:rsidR="00F925DD" w:rsidRDefault="00E705D7">
            <w:pPr>
              <w:textAlignment w:val="center"/>
              <w:rPr>
                <w:rFonts w:ascii="Times New Roman" w:hAnsi="Times New Roman"/>
                <w:sz w:val="20"/>
                <w:szCs w:val="20"/>
              </w:rPr>
            </w:pPr>
            <w:hyperlink r:id="rId134" w:history="1">
              <w:r>
                <w:rPr>
                  <w:rStyle w:val="a5"/>
                  <w:rFonts w:ascii="Arial" w:eastAsia="宋体" w:hAnsi="Arial" w:cs="Arial"/>
                  <w:sz w:val="20"/>
                  <w:szCs w:val="20"/>
                </w:rPr>
                <w:t>State Street's 2017 Stock Incenti</w:t>
              </w:r>
              <w:r>
                <w:rPr>
                  <w:rStyle w:val="a5"/>
                  <w:rFonts w:ascii="Arial" w:eastAsia="宋体" w:hAnsi="Arial" w:cs="Arial"/>
                  <w:sz w:val="20"/>
                  <w:szCs w:val="20"/>
                </w:rPr>
                <w:t>ve Plan, and forms of award agreements thereunder (filed as Exhibit 10.3 to State Street’s Quarterly Report on Form 10-Q (File No. 001-07511) for the quarter ended March 31, 2019 filed with the SEC on May 1, 2019 and incorporated herein by reference)</w:t>
              </w:r>
            </w:hyperlink>
          </w:p>
          <w:p w14:paraId="555703AC" w14:textId="77777777" w:rsidR="00F925DD" w:rsidRDefault="00F925DD">
            <w:pPr>
              <w:textAlignment w:val="center"/>
              <w:rPr>
                <w:rFonts w:ascii="Times New Roman" w:hAnsi="Times New Roman"/>
                <w:sz w:val="20"/>
                <w:szCs w:val="20"/>
              </w:rPr>
            </w:pPr>
          </w:p>
        </w:tc>
      </w:tr>
      <w:tr w:rsidR="00F925DD" w14:paraId="555703B2" w14:textId="77777777">
        <w:trPr>
          <w:jc w:val="center"/>
        </w:trPr>
        <w:tc>
          <w:tcPr>
            <w:tcW w:w="0" w:type="auto"/>
            <w:shd w:val="clear" w:color="auto" w:fill="auto"/>
            <w:tcMar>
              <w:top w:w="40" w:type="dxa"/>
              <w:left w:w="40" w:type="dxa"/>
              <w:bottom w:w="40" w:type="dxa"/>
              <w:right w:w="40" w:type="dxa"/>
            </w:tcMar>
            <w:vAlign w:val="bottom"/>
          </w:tcPr>
          <w:p w14:paraId="555703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B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B7" w14:textId="77777777">
        <w:trPr>
          <w:jc w:val="center"/>
        </w:trPr>
        <w:tc>
          <w:tcPr>
            <w:tcW w:w="0" w:type="auto"/>
            <w:shd w:val="clear" w:color="auto" w:fill="auto"/>
            <w:tcMar>
              <w:top w:w="40" w:type="dxa"/>
              <w:left w:w="40" w:type="dxa"/>
              <w:bottom w:w="40" w:type="dxa"/>
              <w:right w:w="40" w:type="dxa"/>
            </w:tcMar>
            <w:vAlign w:val="bottom"/>
          </w:tcPr>
          <w:p w14:paraId="555703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B4" w14:textId="77777777" w:rsidR="00F925DD" w:rsidRDefault="00E705D7">
            <w:pPr>
              <w:textAlignment w:val="center"/>
              <w:rPr>
                <w:rFonts w:ascii="Times New Roman" w:hAnsi="Times New Roman"/>
                <w:sz w:val="20"/>
                <w:szCs w:val="20"/>
              </w:rPr>
            </w:pPr>
            <w:hyperlink r:id="rId135" w:history="1">
              <w:r>
                <w:rPr>
                  <w:rStyle w:val="a5"/>
                  <w:rFonts w:ascii="Arial" w:eastAsia="宋体" w:hAnsi="Arial" w:cs="Arial"/>
                  <w:sz w:val="20"/>
                  <w:szCs w:val="20"/>
                </w:rPr>
                <w:t>10.6†</w:t>
              </w:r>
            </w:hyperlink>
          </w:p>
        </w:tc>
        <w:tc>
          <w:tcPr>
            <w:tcW w:w="0" w:type="auto"/>
            <w:shd w:val="clear" w:color="auto" w:fill="auto"/>
            <w:tcMar>
              <w:top w:w="40" w:type="dxa"/>
              <w:left w:w="40" w:type="dxa"/>
              <w:bottom w:w="40" w:type="dxa"/>
              <w:right w:w="40" w:type="dxa"/>
            </w:tcMar>
            <w:vAlign w:val="bottom"/>
          </w:tcPr>
          <w:p w14:paraId="555703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B6" w14:textId="77777777" w:rsidR="00F925DD" w:rsidRDefault="00E705D7">
            <w:pPr>
              <w:textAlignment w:val="center"/>
              <w:rPr>
                <w:rFonts w:ascii="Times New Roman" w:hAnsi="Times New Roman"/>
                <w:sz w:val="20"/>
                <w:szCs w:val="20"/>
              </w:rPr>
            </w:pPr>
            <w:hyperlink r:id="rId136" w:history="1">
              <w:r>
                <w:rPr>
                  <w:rStyle w:val="a5"/>
                  <w:rFonts w:ascii="Arial" w:eastAsia="宋体" w:hAnsi="Arial" w:cs="Arial"/>
                  <w:sz w:val="20"/>
                  <w:szCs w:val="20"/>
                </w:rPr>
                <w:t>State Street’s Management Supplemental Savings Plan, Amended and Restated, as amended (filed as Exhibit 10.10 to State Street's Annual Report on For</w:t>
              </w:r>
              <w:r>
                <w:rPr>
                  <w:rStyle w:val="a5"/>
                  <w:rFonts w:ascii="Arial" w:eastAsia="宋体" w:hAnsi="Arial" w:cs="Arial"/>
                  <w:sz w:val="20"/>
                  <w:szCs w:val="20"/>
                </w:rPr>
                <w:t>m 10-K (File No. 001-07511) for the year ended December 31, 2016 filed with the SEC on February 17, 2017 and incorporated herein by reference)</w:t>
              </w:r>
            </w:hyperlink>
          </w:p>
        </w:tc>
      </w:tr>
      <w:tr w:rsidR="00F925DD" w14:paraId="555703BD" w14:textId="77777777">
        <w:trPr>
          <w:jc w:val="center"/>
        </w:trPr>
        <w:tc>
          <w:tcPr>
            <w:tcW w:w="0" w:type="auto"/>
            <w:shd w:val="clear" w:color="auto" w:fill="auto"/>
            <w:tcMar>
              <w:top w:w="40" w:type="dxa"/>
              <w:left w:w="40" w:type="dxa"/>
              <w:bottom w:w="40" w:type="dxa"/>
              <w:right w:w="40" w:type="dxa"/>
            </w:tcMar>
            <w:vAlign w:val="bottom"/>
          </w:tcPr>
          <w:p w14:paraId="555703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B9" w14:textId="77777777" w:rsidR="00F925DD" w:rsidRDefault="00E705D7">
            <w:pPr>
              <w:textAlignment w:val="center"/>
              <w:rPr>
                <w:rFonts w:ascii="Times New Roman" w:hAnsi="Times New Roman"/>
                <w:sz w:val="20"/>
                <w:szCs w:val="20"/>
              </w:rPr>
            </w:pPr>
            <w:hyperlink r:id="rId137" w:history="1">
              <w:r>
                <w:rPr>
                  <w:rStyle w:val="a5"/>
                  <w:rFonts w:ascii="Arial" w:eastAsia="宋体" w:hAnsi="Arial" w:cs="Arial"/>
                  <w:sz w:val="20"/>
                  <w:szCs w:val="20"/>
                </w:rPr>
                <w:t>10.7†</w:t>
              </w:r>
            </w:hyperlink>
          </w:p>
        </w:tc>
        <w:tc>
          <w:tcPr>
            <w:tcW w:w="0" w:type="auto"/>
            <w:shd w:val="clear" w:color="auto" w:fill="auto"/>
            <w:tcMar>
              <w:top w:w="40" w:type="dxa"/>
              <w:left w:w="40" w:type="dxa"/>
              <w:bottom w:w="40" w:type="dxa"/>
              <w:right w:w="40" w:type="dxa"/>
            </w:tcMar>
            <w:vAlign w:val="bottom"/>
          </w:tcPr>
          <w:p w14:paraId="555703B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BB" w14:textId="77777777" w:rsidR="00F925DD" w:rsidRDefault="00E705D7">
            <w:pPr>
              <w:textAlignment w:val="center"/>
              <w:rPr>
                <w:rFonts w:ascii="Times New Roman" w:hAnsi="Times New Roman"/>
                <w:sz w:val="20"/>
                <w:szCs w:val="20"/>
              </w:rPr>
            </w:pPr>
            <w:hyperlink r:id="rId138" w:history="1">
              <w:r>
                <w:rPr>
                  <w:rStyle w:val="a5"/>
                  <w:rFonts w:ascii="Arial" w:eastAsia="宋体" w:hAnsi="Arial" w:cs="Arial"/>
                  <w:sz w:val="20"/>
                  <w:szCs w:val="20"/>
                </w:rPr>
                <w:t>Deferred Compensation Plan for Directors of State Street Corporation, Restated January 1, 2007, as amended (filed as Exhibit 10.12 to State Street's Annual Repo</w:t>
              </w:r>
              <w:r>
                <w:rPr>
                  <w:rStyle w:val="a5"/>
                  <w:rFonts w:ascii="Arial" w:eastAsia="宋体" w:hAnsi="Arial" w:cs="Arial"/>
                  <w:sz w:val="20"/>
                  <w:szCs w:val="20"/>
                </w:rPr>
                <w:t>rt on Form 10-K (File No. 001-07511) for the year ended December 31, 2011 filed with the SEC on February 27, 2012 and incorporated herein by reference)</w:t>
              </w:r>
            </w:hyperlink>
          </w:p>
          <w:p w14:paraId="555703BC" w14:textId="77777777" w:rsidR="00F925DD" w:rsidRDefault="00F925DD">
            <w:pPr>
              <w:textAlignment w:val="center"/>
              <w:rPr>
                <w:rFonts w:ascii="Times New Roman" w:hAnsi="Times New Roman"/>
                <w:sz w:val="20"/>
                <w:szCs w:val="20"/>
              </w:rPr>
            </w:pPr>
          </w:p>
        </w:tc>
      </w:tr>
      <w:tr w:rsidR="00F925DD" w14:paraId="555703C2" w14:textId="77777777">
        <w:trPr>
          <w:jc w:val="center"/>
        </w:trPr>
        <w:tc>
          <w:tcPr>
            <w:tcW w:w="0" w:type="auto"/>
            <w:shd w:val="clear" w:color="auto" w:fill="auto"/>
            <w:tcMar>
              <w:top w:w="40" w:type="dxa"/>
              <w:left w:w="40" w:type="dxa"/>
              <w:bottom w:w="40" w:type="dxa"/>
              <w:right w:w="40" w:type="dxa"/>
            </w:tcMar>
            <w:vAlign w:val="bottom"/>
          </w:tcPr>
          <w:p w14:paraId="555703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B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C8" w14:textId="77777777">
        <w:trPr>
          <w:jc w:val="center"/>
        </w:trPr>
        <w:tc>
          <w:tcPr>
            <w:tcW w:w="0" w:type="auto"/>
            <w:shd w:val="clear" w:color="auto" w:fill="auto"/>
            <w:tcMar>
              <w:top w:w="40" w:type="dxa"/>
              <w:left w:w="40" w:type="dxa"/>
              <w:bottom w:w="40" w:type="dxa"/>
              <w:right w:w="40" w:type="dxa"/>
            </w:tcMar>
            <w:vAlign w:val="bottom"/>
          </w:tcPr>
          <w:p w14:paraId="555703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C4" w14:textId="77777777" w:rsidR="00F925DD" w:rsidRDefault="00E705D7">
            <w:pPr>
              <w:textAlignment w:val="center"/>
              <w:rPr>
                <w:rFonts w:ascii="Times New Roman" w:hAnsi="Times New Roman"/>
                <w:sz w:val="20"/>
                <w:szCs w:val="20"/>
              </w:rPr>
            </w:pPr>
            <w:hyperlink r:id="rId139" w:history="1">
              <w:r>
                <w:rPr>
                  <w:rStyle w:val="a5"/>
                  <w:rFonts w:ascii="Arial" w:eastAsia="宋体" w:hAnsi="Arial" w:cs="Arial"/>
                  <w:sz w:val="20"/>
                  <w:szCs w:val="20"/>
                </w:rPr>
                <w:t>10.8†</w:t>
              </w:r>
            </w:hyperlink>
          </w:p>
        </w:tc>
        <w:tc>
          <w:tcPr>
            <w:tcW w:w="0" w:type="auto"/>
            <w:shd w:val="clear" w:color="auto" w:fill="auto"/>
            <w:tcMar>
              <w:top w:w="40" w:type="dxa"/>
              <w:left w:w="40" w:type="dxa"/>
              <w:bottom w:w="40" w:type="dxa"/>
              <w:right w:w="40" w:type="dxa"/>
            </w:tcMar>
            <w:vAlign w:val="bottom"/>
          </w:tcPr>
          <w:p w14:paraId="555703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C6" w14:textId="77777777" w:rsidR="00F925DD" w:rsidRDefault="00E705D7">
            <w:pPr>
              <w:textAlignment w:val="center"/>
              <w:rPr>
                <w:rFonts w:ascii="Times New Roman" w:hAnsi="Times New Roman"/>
                <w:sz w:val="20"/>
                <w:szCs w:val="20"/>
              </w:rPr>
            </w:pPr>
            <w:hyperlink r:id="rId140" w:history="1">
              <w:r>
                <w:rPr>
                  <w:rStyle w:val="a5"/>
                  <w:rFonts w:ascii="Arial" w:eastAsia="宋体" w:hAnsi="Arial" w:cs="Arial"/>
                  <w:sz w:val="20"/>
                  <w:szCs w:val="20"/>
                </w:rPr>
                <w:t>Deferred Compensation Plan for Directors of State Street Co</w:t>
              </w:r>
              <w:r>
                <w:rPr>
                  <w:rStyle w:val="a5"/>
                  <w:rFonts w:ascii="Arial" w:eastAsia="宋体" w:hAnsi="Arial" w:cs="Arial"/>
                  <w:sz w:val="20"/>
                  <w:szCs w:val="20"/>
                </w:rPr>
                <w:t>rporation, Restated January 1, 2008, as amended (filed as Exhibit 10.11 to State Street's Annual Report on Form 10-K (File No. 001-07511) for the year ended December 31, 2012 filed with the SEC on February 22, 2013 and incorporated herein by reference)</w:t>
              </w:r>
            </w:hyperlink>
          </w:p>
          <w:p w14:paraId="555703C7" w14:textId="77777777" w:rsidR="00F925DD" w:rsidRDefault="00F925DD">
            <w:pPr>
              <w:textAlignment w:val="center"/>
              <w:rPr>
                <w:rFonts w:ascii="Times New Roman" w:hAnsi="Times New Roman"/>
                <w:sz w:val="20"/>
                <w:szCs w:val="20"/>
              </w:rPr>
            </w:pPr>
          </w:p>
        </w:tc>
      </w:tr>
      <w:tr w:rsidR="00F925DD" w14:paraId="555703CD" w14:textId="77777777">
        <w:trPr>
          <w:jc w:val="center"/>
        </w:trPr>
        <w:tc>
          <w:tcPr>
            <w:tcW w:w="0" w:type="auto"/>
            <w:shd w:val="clear" w:color="auto" w:fill="auto"/>
            <w:tcMar>
              <w:top w:w="40" w:type="dxa"/>
              <w:left w:w="40" w:type="dxa"/>
              <w:bottom w:w="40" w:type="dxa"/>
              <w:right w:w="40" w:type="dxa"/>
            </w:tcMar>
            <w:vAlign w:val="bottom"/>
          </w:tcPr>
          <w:p w14:paraId="555703C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D2" w14:textId="77777777">
        <w:trPr>
          <w:jc w:val="center"/>
        </w:trPr>
        <w:tc>
          <w:tcPr>
            <w:tcW w:w="0" w:type="auto"/>
            <w:shd w:val="clear" w:color="auto" w:fill="auto"/>
            <w:tcMar>
              <w:top w:w="40" w:type="dxa"/>
              <w:left w:w="40" w:type="dxa"/>
              <w:bottom w:w="40" w:type="dxa"/>
              <w:right w:w="40" w:type="dxa"/>
            </w:tcMar>
            <w:vAlign w:val="bottom"/>
          </w:tcPr>
          <w:p w14:paraId="555703C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C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D8" w14:textId="77777777">
        <w:trPr>
          <w:jc w:val="center"/>
        </w:trPr>
        <w:tc>
          <w:tcPr>
            <w:tcW w:w="0" w:type="auto"/>
            <w:shd w:val="clear" w:color="auto" w:fill="auto"/>
            <w:tcMar>
              <w:top w:w="40" w:type="dxa"/>
              <w:left w:w="40" w:type="dxa"/>
              <w:bottom w:w="40" w:type="dxa"/>
              <w:right w:w="40" w:type="dxa"/>
            </w:tcMar>
            <w:vAlign w:val="bottom"/>
          </w:tcPr>
          <w:p w14:paraId="555703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D4" w14:textId="77777777" w:rsidR="00F925DD" w:rsidRDefault="00E705D7">
            <w:pPr>
              <w:textAlignment w:val="center"/>
              <w:rPr>
                <w:rFonts w:ascii="Times New Roman" w:hAnsi="Times New Roman"/>
                <w:sz w:val="20"/>
                <w:szCs w:val="20"/>
              </w:rPr>
            </w:pPr>
            <w:hyperlink r:id="rId141" w:history="1">
              <w:r>
                <w:rPr>
                  <w:rStyle w:val="a5"/>
                  <w:rFonts w:ascii="Arial" w:eastAsia="宋体" w:hAnsi="Arial" w:cs="Arial"/>
                  <w:sz w:val="20"/>
                  <w:szCs w:val="20"/>
                </w:rPr>
                <w:t>10.9†</w:t>
              </w:r>
            </w:hyperlink>
          </w:p>
        </w:tc>
        <w:tc>
          <w:tcPr>
            <w:tcW w:w="0" w:type="auto"/>
            <w:shd w:val="clear" w:color="auto" w:fill="auto"/>
            <w:tcMar>
              <w:top w:w="40" w:type="dxa"/>
              <w:left w:w="40" w:type="dxa"/>
              <w:bottom w:w="40" w:type="dxa"/>
              <w:right w:w="40" w:type="dxa"/>
            </w:tcMar>
            <w:vAlign w:val="bottom"/>
          </w:tcPr>
          <w:p w14:paraId="555703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D6" w14:textId="77777777" w:rsidR="00F925DD" w:rsidRDefault="00E705D7">
            <w:pPr>
              <w:textAlignment w:val="center"/>
              <w:rPr>
                <w:rFonts w:ascii="Times New Roman" w:hAnsi="Times New Roman"/>
                <w:sz w:val="20"/>
                <w:szCs w:val="20"/>
              </w:rPr>
            </w:pPr>
            <w:hyperlink r:id="rId142" w:history="1">
              <w:r>
                <w:rPr>
                  <w:rStyle w:val="a5"/>
                  <w:rFonts w:ascii="Arial" w:eastAsia="宋体" w:hAnsi="Arial" w:cs="Arial"/>
                  <w:sz w:val="20"/>
                  <w:szCs w:val="20"/>
                </w:rPr>
                <w:t>Deferred Compensation Plan for Directors of State Street Corporation, Restated January 1, 2019 (filed as Exhibit 10.13 to State Street's Annual Report</w:t>
              </w:r>
              <w:r>
                <w:rPr>
                  <w:rStyle w:val="a5"/>
                  <w:rFonts w:ascii="Arial" w:eastAsia="宋体" w:hAnsi="Arial" w:cs="Arial"/>
                  <w:sz w:val="20"/>
                  <w:szCs w:val="20"/>
                </w:rPr>
                <w:t xml:space="preserve"> on Form 10-K (File No. 001-07511) for the year ended December 31, 2018 filed with the SEC on February 21, 2019 and incorporated herein by reference)</w:t>
              </w:r>
            </w:hyperlink>
          </w:p>
          <w:p w14:paraId="555703D7" w14:textId="77777777" w:rsidR="00F925DD" w:rsidRDefault="00F925DD">
            <w:pPr>
              <w:textAlignment w:val="center"/>
              <w:rPr>
                <w:rFonts w:ascii="Times New Roman" w:hAnsi="Times New Roman"/>
                <w:sz w:val="20"/>
                <w:szCs w:val="20"/>
              </w:rPr>
            </w:pPr>
          </w:p>
        </w:tc>
      </w:tr>
      <w:tr w:rsidR="00F925DD" w14:paraId="555703DD" w14:textId="77777777">
        <w:trPr>
          <w:jc w:val="center"/>
        </w:trPr>
        <w:tc>
          <w:tcPr>
            <w:tcW w:w="0" w:type="auto"/>
            <w:shd w:val="clear" w:color="auto" w:fill="auto"/>
            <w:tcMar>
              <w:top w:w="40" w:type="dxa"/>
              <w:left w:w="40" w:type="dxa"/>
              <w:bottom w:w="40" w:type="dxa"/>
              <w:right w:w="40" w:type="dxa"/>
            </w:tcMar>
            <w:vAlign w:val="bottom"/>
          </w:tcPr>
          <w:p w14:paraId="555703D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D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E3" w14:textId="77777777">
        <w:trPr>
          <w:jc w:val="center"/>
        </w:trPr>
        <w:tc>
          <w:tcPr>
            <w:tcW w:w="0" w:type="auto"/>
            <w:shd w:val="clear" w:color="auto" w:fill="auto"/>
            <w:tcMar>
              <w:top w:w="40" w:type="dxa"/>
              <w:left w:w="40" w:type="dxa"/>
              <w:bottom w:w="40" w:type="dxa"/>
              <w:right w:w="40" w:type="dxa"/>
            </w:tcMar>
            <w:vAlign w:val="bottom"/>
          </w:tcPr>
          <w:p w14:paraId="555703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DF" w14:textId="77777777" w:rsidR="00F925DD" w:rsidRDefault="00E705D7">
            <w:pPr>
              <w:textAlignment w:val="center"/>
              <w:rPr>
                <w:rFonts w:ascii="Times New Roman" w:hAnsi="Times New Roman"/>
                <w:sz w:val="20"/>
                <w:szCs w:val="20"/>
              </w:rPr>
            </w:pPr>
            <w:hyperlink r:id="rId143" w:history="1">
              <w:r>
                <w:rPr>
                  <w:rStyle w:val="a5"/>
                  <w:rFonts w:ascii="Arial" w:eastAsia="宋体" w:hAnsi="Arial" w:cs="Arial"/>
                  <w:sz w:val="20"/>
                  <w:szCs w:val="20"/>
                </w:rPr>
                <w:t>10.10</w:t>
              </w:r>
            </w:hyperlink>
          </w:p>
        </w:tc>
        <w:tc>
          <w:tcPr>
            <w:tcW w:w="0" w:type="auto"/>
            <w:shd w:val="clear" w:color="auto" w:fill="auto"/>
            <w:tcMar>
              <w:top w:w="40" w:type="dxa"/>
              <w:left w:w="40" w:type="dxa"/>
              <w:bottom w:w="40" w:type="dxa"/>
              <w:right w:w="40" w:type="dxa"/>
            </w:tcMar>
            <w:vAlign w:val="bottom"/>
          </w:tcPr>
          <w:p w14:paraId="555703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E1" w14:textId="77777777" w:rsidR="00F925DD" w:rsidRDefault="00E705D7">
            <w:pPr>
              <w:textAlignment w:val="center"/>
              <w:rPr>
                <w:rFonts w:ascii="Times New Roman" w:hAnsi="Times New Roman"/>
                <w:sz w:val="20"/>
                <w:szCs w:val="20"/>
              </w:rPr>
            </w:pPr>
            <w:hyperlink r:id="rId144" w:history="1">
              <w:r>
                <w:rPr>
                  <w:rStyle w:val="a5"/>
                  <w:rFonts w:ascii="Arial" w:eastAsia="宋体" w:hAnsi="Arial" w:cs="Arial"/>
                  <w:sz w:val="20"/>
                  <w:szCs w:val="20"/>
                </w:rPr>
                <w:t>Deferred Prosecution Agreement dated January 17, 2017 between State Street Corporation and the U.S. Department of Justice and United States Attorney f</w:t>
              </w:r>
              <w:r>
                <w:rPr>
                  <w:rStyle w:val="a5"/>
                  <w:rFonts w:ascii="Arial" w:eastAsia="宋体" w:hAnsi="Arial" w:cs="Arial"/>
                  <w:sz w:val="20"/>
                  <w:szCs w:val="20"/>
                </w:rPr>
                <w:t>or the District of Massachusetts (filed as Exhibit 10.14 to State Street's Annual Report on Form 10-K (File No. 001-07511) for the year ended December 31, 2016 filed with the SEC on February 17, 2017 and incorporated herein by reference)</w:t>
              </w:r>
            </w:hyperlink>
          </w:p>
          <w:p w14:paraId="555703E2" w14:textId="77777777" w:rsidR="00F925DD" w:rsidRDefault="00F925DD">
            <w:pPr>
              <w:textAlignment w:val="center"/>
              <w:rPr>
                <w:rFonts w:ascii="Times New Roman" w:hAnsi="Times New Roman"/>
                <w:sz w:val="20"/>
                <w:szCs w:val="20"/>
              </w:rPr>
            </w:pPr>
          </w:p>
        </w:tc>
      </w:tr>
      <w:tr w:rsidR="00F925DD" w14:paraId="555703E8" w14:textId="77777777">
        <w:trPr>
          <w:jc w:val="center"/>
        </w:trPr>
        <w:tc>
          <w:tcPr>
            <w:tcW w:w="0" w:type="auto"/>
            <w:shd w:val="clear" w:color="auto" w:fill="auto"/>
            <w:tcMar>
              <w:top w:w="40" w:type="dxa"/>
              <w:left w:w="40" w:type="dxa"/>
              <w:bottom w:w="40" w:type="dxa"/>
              <w:right w:w="40" w:type="dxa"/>
            </w:tcMar>
            <w:vAlign w:val="bottom"/>
          </w:tcPr>
          <w:p w14:paraId="555703E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E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EF" w14:textId="77777777">
        <w:trPr>
          <w:jc w:val="center"/>
        </w:trPr>
        <w:tc>
          <w:tcPr>
            <w:tcW w:w="0" w:type="auto"/>
            <w:shd w:val="clear" w:color="auto" w:fill="auto"/>
            <w:tcMar>
              <w:top w:w="40" w:type="dxa"/>
              <w:left w:w="40" w:type="dxa"/>
              <w:bottom w:w="40" w:type="dxa"/>
              <w:right w:w="40" w:type="dxa"/>
            </w:tcMar>
            <w:vAlign w:val="bottom"/>
          </w:tcPr>
          <w:p w14:paraId="555703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EA" w14:textId="77777777" w:rsidR="00F925DD" w:rsidRDefault="00E705D7">
            <w:pPr>
              <w:textAlignment w:val="center"/>
              <w:rPr>
                <w:rFonts w:ascii="Times New Roman" w:hAnsi="Times New Roman"/>
                <w:sz w:val="20"/>
                <w:szCs w:val="20"/>
              </w:rPr>
            </w:pPr>
            <w:hyperlink r:id="rId145" w:history="1">
              <w:r>
                <w:rPr>
                  <w:rStyle w:val="a5"/>
                  <w:rFonts w:ascii="Arial" w:eastAsia="宋体" w:hAnsi="Arial" w:cs="Arial"/>
                  <w:sz w:val="20"/>
                  <w:szCs w:val="20"/>
                </w:rPr>
                <w:t>10.11†</w:t>
              </w:r>
            </w:hyperlink>
          </w:p>
        </w:tc>
        <w:tc>
          <w:tcPr>
            <w:tcW w:w="0" w:type="auto"/>
            <w:shd w:val="clear" w:color="auto" w:fill="auto"/>
            <w:tcMar>
              <w:top w:w="40" w:type="dxa"/>
              <w:left w:w="40" w:type="dxa"/>
              <w:bottom w:w="40" w:type="dxa"/>
              <w:right w:w="40" w:type="dxa"/>
            </w:tcMar>
            <w:vAlign w:val="bottom"/>
          </w:tcPr>
          <w:p w14:paraId="555703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EC" w14:textId="77777777" w:rsidR="00F925DD" w:rsidRDefault="00E705D7">
            <w:pPr>
              <w:textAlignment w:val="center"/>
              <w:rPr>
                <w:rFonts w:ascii="Times New Roman" w:hAnsi="Times New Roman"/>
                <w:sz w:val="20"/>
                <w:szCs w:val="20"/>
              </w:rPr>
            </w:pPr>
            <w:hyperlink r:id="rId146" w:history="1">
              <w:r>
                <w:rPr>
                  <w:rStyle w:val="a5"/>
                  <w:rFonts w:ascii="Arial" w:eastAsia="宋体" w:hAnsi="Arial" w:cs="Arial"/>
                  <w:sz w:val="20"/>
                  <w:szCs w:val="20"/>
                </w:rPr>
                <w:t>Description of compensation ar</w:t>
              </w:r>
              <w:r>
                <w:rPr>
                  <w:rStyle w:val="a5"/>
                  <w:rFonts w:ascii="Arial" w:eastAsia="宋体" w:hAnsi="Arial" w:cs="Arial"/>
                  <w:sz w:val="20"/>
                  <w:szCs w:val="20"/>
                </w:rPr>
                <w:t>rangements for non-employee directors</w:t>
              </w:r>
            </w:hyperlink>
          </w:p>
          <w:p w14:paraId="555703ED" w14:textId="77777777" w:rsidR="00F925DD" w:rsidRDefault="00F925DD">
            <w:pPr>
              <w:textAlignment w:val="center"/>
              <w:rPr>
                <w:rFonts w:ascii="Times New Roman" w:hAnsi="Times New Roman"/>
                <w:sz w:val="20"/>
                <w:szCs w:val="20"/>
              </w:rPr>
            </w:pPr>
          </w:p>
          <w:p w14:paraId="555703EE" w14:textId="77777777" w:rsidR="00F925DD" w:rsidRDefault="00F925DD">
            <w:pPr>
              <w:textAlignment w:val="center"/>
              <w:rPr>
                <w:rFonts w:ascii="Times New Roman" w:hAnsi="Times New Roman"/>
                <w:sz w:val="20"/>
                <w:szCs w:val="20"/>
              </w:rPr>
            </w:pPr>
          </w:p>
        </w:tc>
      </w:tr>
      <w:tr w:rsidR="00F925DD" w14:paraId="555703F4" w14:textId="77777777">
        <w:trPr>
          <w:jc w:val="center"/>
        </w:trPr>
        <w:tc>
          <w:tcPr>
            <w:tcW w:w="0" w:type="auto"/>
            <w:shd w:val="clear" w:color="auto" w:fill="auto"/>
            <w:tcMar>
              <w:top w:w="40" w:type="dxa"/>
              <w:left w:w="40" w:type="dxa"/>
              <w:bottom w:w="40" w:type="dxa"/>
              <w:right w:w="40" w:type="dxa"/>
            </w:tcMar>
            <w:vAlign w:val="bottom"/>
          </w:tcPr>
          <w:p w14:paraId="555703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3FB" w14:textId="77777777">
        <w:trPr>
          <w:jc w:val="center"/>
        </w:trPr>
        <w:tc>
          <w:tcPr>
            <w:tcW w:w="0" w:type="auto"/>
            <w:shd w:val="clear" w:color="auto" w:fill="auto"/>
            <w:tcMar>
              <w:top w:w="40" w:type="dxa"/>
              <w:left w:w="40" w:type="dxa"/>
              <w:bottom w:w="40" w:type="dxa"/>
              <w:right w:w="40" w:type="dxa"/>
            </w:tcMar>
            <w:vAlign w:val="bottom"/>
          </w:tcPr>
          <w:p w14:paraId="555703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F6" w14:textId="77777777" w:rsidR="00F925DD" w:rsidRDefault="00E705D7">
            <w:pPr>
              <w:textAlignment w:val="center"/>
              <w:rPr>
                <w:rFonts w:ascii="Times New Roman" w:hAnsi="Times New Roman"/>
                <w:sz w:val="20"/>
                <w:szCs w:val="20"/>
              </w:rPr>
            </w:pPr>
            <w:hyperlink r:id="rId147" w:history="1">
              <w:r>
                <w:rPr>
                  <w:rStyle w:val="a5"/>
                  <w:rFonts w:ascii="Arial" w:eastAsia="宋体" w:hAnsi="Arial" w:cs="Arial"/>
                  <w:sz w:val="20"/>
                  <w:szCs w:val="20"/>
                </w:rPr>
                <w:t>10.12†</w:t>
              </w:r>
            </w:hyperlink>
          </w:p>
        </w:tc>
        <w:tc>
          <w:tcPr>
            <w:tcW w:w="0" w:type="auto"/>
            <w:shd w:val="clear" w:color="auto" w:fill="auto"/>
            <w:tcMar>
              <w:top w:w="40" w:type="dxa"/>
              <w:left w:w="40" w:type="dxa"/>
              <w:bottom w:w="40" w:type="dxa"/>
              <w:right w:w="40" w:type="dxa"/>
            </w:tcMar>
            <w:vAlign w:val="bottom"/>
          </w:tcPr>
          <w:p w14:paraId="555703F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3F8" w14:textId="77777777" w:rsidR="00F925DD" w:rsidRDefault="00E705D7">
            <w:pPr>
              <w:textAlignment w:val="center"/>
              <w:rPr>
                <w:rFonts w:ascii="Times New Roman" w:hAnsi="Times New Roman"/>
                <w:sz w:val="20"/>
                <w:szCs w:val="20"/>
              </w:rPr>
            </w:pPr>
            <w:hyperlink r:id="rId148" w:history="1">
              <w:r>
                <w:rPr>
                  <w:rStyle w:val="a5"/>
                  <w:rFonts w:ascii="Arial" w:eastAsia="宋体" w:hAnsi="Arial" w:cs="Arial"/>
                  <w:sz w:val="20"/>
                  <w:szCs w:val="20"/>
                </w:rPr>
                <w:t>State Street’s Executive Compensation Trust Agreement dated June 1, 2002 (Rabbi Trust), as amended (filed as Exhibit 10.22 to State Street's Annual Re</w:t>
              </w:r>
              <w:r>
                <w:rPr>
                  <w:rStyle w:val="a5"/>
                  <w:rFonts w:ascii="Arial" w:eastAsia="宋体" w:hAnsi="Arial" w:cs="Arial"/>
                  <w:sz w:val="20"/>
                  <w:szCs w:val="20"/>
                </w:rPr>
                <w:t>port on Form 10-K (File No. 001-07511) for the year ended December 31, 2017 filed with the SEC on February 26, 2018 and incorporated herein by reference)</w:t>
              </w:r>
            </w:hyperlink>
          </w:p>
          <w:p w14:paraId="555703F9" w14:textId="77777777" w:rsidR="00F925DD" w:rsidRDefault="00F925DD">
            <w:pPr>
              <w:textAlignment w:val="center"/>
              <w:rPr>
                <w:rFonts w:ascii="Times New Roman" w:hAnsi="Times New Roman"/>
                <w:sz w:val="20"/>
                <w:szCs w:val="20"/>
              </w:rPr>
            </w:pPr>
          </w:p>
          <w:p w14:paraId="555703FA" w14:textId="77777777" w:rsidR="00F925DD" w:rsidRDefault="00F925DD">
            <w:pPr>
              <w:textAlignment w:val="center"/>
              <w:rPr>
                <w:rFonts w:ascii="Times New Roman" w:hAnsi="Times New Roman"/>
                <w:sz w:val="20"/>
                <w:szCs w:val="20"/>
              </w:rPr>
            </w:pPr>
          </w:p>
        </w:tc>
      </w:tr>
      <w:tr w:rsidR="00F925DD" w14:paraId="55570400" w14:textId="77777777">
        <w:trPr>
          <w:jc w:val="center"/>
        </w:trPr>
        <w:tc>
          <w:tcPr>
            <w:tcW w:w="0" w:type="auto"/>
            <w:shd w:val="clear" w:color="auto" w:fill="auto"/>
            <w:tcMar>
              <w:top w:w="40" w:type="dxa"/>
              <w:left w:w="40" w:type="dxa"/>
              <w:bottom w:w="40" w:type="dxa"/>
              <w:right w:w="40" w:type="dxa"/>
            </w:tcMar>
            <w:vAlign w:val="bottom"/>
          </w:tcPr>
          <w:p w14:paraId="555703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3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05" w14:textId="77777777">
        <w:trPr>
          <w:jc w:val="center"/>
        </w:trPr>
        <w:tc>
          <w:tcPr>
            <w:tcW w:w="0" w:type="auto"/>
            <w:shd w:val="clear" w:color="auto" w:fill="auto"/>
            <w:tcMar>
              <w:top w:w="40" w:type="dxa"/>
              <w:left w:w="40" w:type="dxa"/>
              <w:bottom w:w="40" w:type="dxa"/>
              <w:right w:w="40" w:type="dxa"/>
            </w:tcMar>
            <w:vAlign w:val="bottom"/>
          </w:tcPr>
          <w:p w14:paraId="5557040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0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0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0A" w14:textId="77777777">
        <w:trPr>
          <w:jc w:val="center"/>
        </w:trPr>
        <w:tc>
          <w:tcPr>
            <w:tcW w:w="0" w:type="auto"/>
            <w:shd w:val="clear" w:color="auto" w:fill="auto"/>
            <w:tcMar>
              <w:top w:w="40" w:type="dxa"/>
              <w:left w:w="40" w:type="dxa"/>
              <w:bottom w:w="40" w:type="dxa"/>
              <w:right w:w="40" w:type="dxa"/>
            </w:tcMar>
            <w:vAlign w:val="bottom"/>
          </w:tcPr>
          <w:p w14:paraId="5557040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07" w14:textId="77777777" w:rsidR="00F925DD" w:rsidRDefault="00E705D7">
            <w:pPr>
              <w:textAlignment w:val="center"/>
              <w:rPr>
                <w:rFonts w:ascii="Times New Roman" w:hAnsi="Times New Roman"/>
                <w:sz w:val="20"/>
                <w:szCs w:val="20"/>
              </w:rPr>
            </w:pPr>
            <w:hyperlink r:id="rId149" w:history="1">
              <w:r>
                <w:rPr>
                  <w:rStyle w:val="a5"/>
                  <w:rFonts w:ascii="Arial" w:eastAsia="宋体" w:hAnsi="Arial" w:cs="Arial"/>
                  <w:sz w:val="20"/>
                  <w:szCs w:val="20"/>
                </w:rPr>
                <w:t>10.13A†</w:t>
              </w:r>
            </w:hyperlink>
          </w:p>
        </w:tc>
        <w:tc>
          <w:tcPr>
            <w:tcW w:w="0" w:type="auto"/>
            <w:shd w:val="clear" w:color="auto" w:fill="auto"/>
            <w:tcMar>
              <w:top w:w="40" w:type="dxa"/>
              <w:left w:w="40" w:type="dxa"/>
              <w:bottom w:w="40" w:type="dxa"/>
              <w:right w:w="40" w:type="dxa"/>
            </w:tcMar>
            <w:vAlign w:val="bottom"/>
          </w:tcPr>
          <w:p w14:paraId="5557040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09" w14:textId="77777777" w:rsidR="00F925DD" w:rsidRDefault="00E705D7">
            <w:pPr>
              <w:textAlignment w:val="center"/>
              <w:rPr>
                <w:rFonts w:ascii="Times New Roman" w:hAnsi="Times New Roman"/>
                <w:sz w:val="20"/>
                <w:szCs w:val="20"/>
              </w:rPr>
            </w:pPr>
            <w:hyperlink r:id="rId150" w:history="1">
              <w:r>
                <w:rPr>
                  <w:rStyle w:val="a5"/>
                  <w:rFonts w:ascii="Arial" w:eastAsia="宋体" w:hAnsi="Arial" w:cs="Arial"/>
                  <w:sz w:val="20"/>
                  <w:szCs w:val="20"/>
                </w:rPr>
                <w:t xml:space="preserve">Form of Indemnification Agreement between State Street </w:t>
              </w:r>
              <w:r>
                <w:rPr>
                  <w:rStyle w:val="a5"/>
                  <w:rFonts w:ascii="Arial" w:eastAsia="宋体" w:hAnsi="Arial" w:cs="Arial"/>
                  <w:sz w:val="20"/>
                  <w:szCs w:val="20"/>
                </w:rPr>
                <w:t>Corporation and each of its directors (filed as Exhibit 10.18A to State Street's Annual Report on Form 10-K (File No. 001-07511) for the year ended December 31, 2013 filed with the SEC on February 21, 2014 and incorporated herein by reference)</w:t>
              </w:r>
            </w:hyperlink>
          </w:p>
        </w:tc>
      </w:tr>
      <w:tr w:rsidR="00F925DD" w14:paraId="5557040F" w14:textId="77777777">
        <w:trPr>
          <w:jc w:val="center"/>
        </w:trPr>
        <w:tc>
          <w:tcPr>
            <w:tcW w:w="0" w:type="auto"/>
            <w:shd w:val="clear" w:color="auto" w:fill="auto"/>
            <w:tcMar>
              <w:top w:w="40" w:type="dxa"/>
              <w:left w:w="40" w:type="dxa"/>
              <w:bottom w:w="40" w:type="dxa"/>
              <w:right w:w="40" w:type="dxa"/>
            </w:tcMar>
            <w:vAlign w:val="bottom"/>
          </w:tcPr>
          <w:p w14:paraId="5557040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0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0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14" w14:textId="77777777">
        <w:trPr>
          <w:jc w:val="center"/>
        </w:trPr>
        <w:tc>
          <w:tcPr>
            <w:tcW w:w="0" w:type="auto"/>
            <w:shd w:val="clear" w:color="auto" w:fill="auto"/>
            <w:tcMar>
              <w:top w:w="40" w:type="dxa"/>
              <w:left w:w="40" w:type="dxa"/>
              <w:bottom w:w="40" w:type="dxa"/>
              <w:right w:w="40" w:type="dxa"/>
            </w:tcMar>
            <w:vAlign w:val="bottom"/>
          </w:tcPr>
          <w:p w14:paraId="555704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11" w14:textId="77777777" w:rsidR="00F925DD" w:rsidRDefault="00E705D7">
            <w:pPr>
              <w:textAlignment w:val="center"/>
              <w:rPr>
                <w:rFonts w:ascii="Times New Roman" w:hAnsi="Times New Roman"/>
                <w:sz w:val="20"/>
                <w:szCs w:val="20"/>
              </w:rPr>
            </w:pPr>
            <w:hyperlink r:id="rId151" w:history="1">
              <w:r>
                <w:rPr>
                  <w:rStyle w:val="a5"/>
                  <w:rFonts w:ascii="Arial" w:eastAsia="宋体" w:hAnsi="Arial" w:cs="Arial"/>
                  <w:sz w:val="20"/>
                  <w:szCs w:val="20"/>
                </w:rPr>
                <w:t>10.13B†</w:t>
              </w:r>
            </w:hyperlink>
          </w:p>
        </w:tc>
        <w:tc>
          <w:tcPr>
            <w:tcW w:w="0" w:type="auto"/>
            <w:shd w:val="clear" w:color="auto" w:fill="auto"/>
            <w:tcMar>
              <w:top w:w="40" w:type="dxa"/>
              <w:left w:w="40" w:type="dxa"/>
              <w:bottom w:w="40" w:type="dxa"/>
              <w:right w:w="40" w:type="dxa"/>
            </w:tcMar>
            <w:vAlign w:val="bottom"/>
          </w:tcPr>
          <w:p w14:paraId="5557041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13" w14:textId="77777777" w:rsidR="00F925DD" w:rsidRDefault="00E705D7">
            <w:pPr>
              <w:textAlignment w:val="center"/>
              <w:rPr>
                <w:rFonts w:ascii="Times New Roman" w:hAnsi="Times New Roman"/>
                <w:sz w:val="20"/>
                <w:szCs w:val="20"/>
              </w:rPr>
            </w:pPr>
            <w:hyperlink r:id="rId152" w:history="1">
              <w:r>
                <w:rPr>
                  <w:rStyle w:val="a5"/>
                  <w:rFonts w:ascii="Arial" w:eastAsia="宋体" w:hAnsi="Arial" w:cs="Arial"/>
                  <w:sz w:val="20"/>
                  <w:szCs w:val="20"/>
                </w:rPr>
                <w:t>Form of Indemnification Agreement between State Str</w:t>
              </w:r>
              <w:r>
                <w:rPr>
                  <w:rStyle w:val="a5"/>
                  <w:rFonts w:ascii="Arial" w:eastAsia="宋体" w:hAnsi="Arial" w:cs="Arial"/>
                  <w:sz w:val="20"/>
                  <w:szCs w:val="20"/>
                </w:rPr>
                <w:t>eet Corporation and each of its executive officers (filed as Exhibit 10.18B to State Street's Annual Report on Form 10-K (File No. 001-07511) for the year ended December 31, 2013 filed with the SEC on February 21, 2014 and incorporated herein by reference)</w:t>
              </w:r>
            </w:hyperlink>
          </w:p>
        </w:tc>
      </w:tr>
      <w:tr w:rsidR="00F925DD" w14:paraId="55570419" w14:textId="77777777">
        <w:trPr>
          <w:jc w:val="center"/>
        </w:trPr>
        <w:tc>
          <w:tcPr>
            <w:tcW w:w="0" w:type="auto"/>
            <w:shd w:val="clear" w:color="auto" w:fill="auto"/>
            <w:tcMar>
              <w:top w:w="40" w:type="dxa"/>
              <w:left w:w="40" w:type="dxa"/>
              <w:bottom w:w="40" w:type="dxa"/>
              <w:right w:w="40" w:type="dxa"/>
            </w:tcMar>
            <w:vAlign w:val="bottom"/>
          </w:tcPr>
          <w:p w14:paraId="5557041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1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1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1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1E" w14:textId="77777777">
        <w:trPr>
          <w:jc w:val="center"/>
        </w:trPr>
        <w:tc>
          <w:tcPr>
            <w:tcW w:w="0" w:type="auto"/>
            <w:shd w:val="clear" w:color="auto" w:fill="auto"/>
            <w:tcMar>
              <w:top w:w="40" w:type="dxa"/>
              <w:left w:w="40" w:type="dxa"/>
              <w:bottom w:w="40" w:type="dxa"/>
              <w:right w:w="40" w:type="dxa"/>
            </w:tcMar>
            <w:vAlign w:val="bottom"/>
          </w:tcPr>
          <w:p w14:paraId="5557041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1B" w14:textId="77777777" w:rsidR="00F925DD" w:rsidRDefault="00E705D7">
            <w:pPr>
              <w:textAlignment w:val="center"/>
              <w:rPr>
                <w:rFonts w:ascii="Times New Roman" w:hAnsi="Times New Roman"/>
                <w:sz w:val="20"/>
                <w:szCs w:val="20"/>
              </w:rPr>
            </w:pPr>
            <w:hyperlink r:id="rId153" w:history="1">
              <w:r>
                <w:rPr>
                  <w:rStyle w:val="a5"/>
                  <w:rFonts w:ascii="Arial" w:eastAsia="宋体" w:hAnsi="Arial" w:cs="Arial"/>
                  <w:sz w:val="20"/>
                  <w:szCs w:val="20"/>
                </w:rPr>
                <w:t>10.13C†</w:t>
              </w:r>
            </w:hyperlink>
          </w:p>
        </w:tc>
        <w:tc>
          <w:tcPr>
            <w:tcW w:w="0" w:type="auto"/>
            <w:shd w:val="clear" w:color="auto" w:fill="auto"/>
            <w:tcMar>
              <w:top w:w="40" w:type="dxa"/>
              <w:left w:w="40" w:type="dxa"/>
              <w:bottom w:w="40" w:type="dxa"/>
              <w:right w:w="40" w:type="dxa"/>
            </w:tcMar>
            <w:vAlign w:val="bottom"/>
          </w:tcPr>
          <w:p w14:paraId="5557041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1D" w14:textId="77777777" w:rsidR="00F925DD" w:rsidRDefault="00E705D7">
            <w:pPr>
              <w:textAlignment w:val="center"/>
              <w:rPr>
                <w:rFonts w:ascii="Times New Roman" w:hAnsi="Times New Roman"/>
                <w:sz w:val="20"/>
                <w:szCs w:val="20"/>
              </w:rPr>
            </w:pPr>
            <w:hyperlink r:id="rId154" w:history="1">
              <w:r>
                <w:rPr>
                  <w:rStyle w:val="a5"/>
                  <w:rFonts w:ascii="Arial" w:eastAsia="宋体" w:hAnsi="Arial" w:cs="Arial"/>
                  <w:sz w:val="20"/>
                  <w:szCs w:val="20"/>
                </w:rPr>
                <w:t>Form of Indemnification Agreement between State Street Bank and Trust Company and each of its directors (filed as Exhibit 10.18C to State Street's Annual Report o</w:t>
              </w:r>
              <w:r>
                <w:rPr>
                  <w:rStyle w:val="a5"/>
                  <w:rFonts w:ascii="Arial" w:eastAsia="宋体" w:hAnsi="Arial" w:cs="Arial"/>
                  <w:sz w:val="20"/>
                  <w:szCs w:val="20"/>
                </w:rPr>
                <w:t>n Form 10-K (File No. 001-07511) for the year ended December 31, 2013 filed with the SEC on February 21, 2014 and incorporated herein by reference)</w:t>
              </w:r>
            </w:hyperlink>
          </w:p>
        </w:tc>
      </w:tr>
      <w:tr w:rsidR="00F925DD" w14:paraId="55570423" w14:textId="77777777">
        <w:trPr>
          <w:jc w:val="center"/>
        </w:trPr>
        <w:tc>
          <w:tcPr>
            <w:tcW w:w="0" w:type="auto"/>
            <w:shd w:val="clear" w:color="auto" w:fill="auto"/>
            <w:tcMar>
              <w:top w:w="40" w:type="dxa"/>
              <w:left w:w="40" w:type="dxa"/>
              <w:bottom w:w="40" w:type="dxa"/>
              <w:right w:w="40" w:type="dxa"/>
            </w:tcMar>
            <w:vAlign w:val="bottom"/>
          </w:tcPr>
          <w:p w14:paraId="555704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2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2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2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28" w14:textId="77777777">
        <w:trPr>
          <w:jc w:val="center"/>
        </w:trPr>
        <w:tc>
          <w:tcPr>
            <w:tcW w:w="0" w:type="auto"/>
            <w:shd w:val="clear" w:color="auto" w:fill="auto"/>
            <w:tcMar>
              <w:top w:w="40" w:type="dxa"/>
              <w:left w:w="40" w:type="dxa"/>
              <w:bottom w:w="40" w:type="dxa"/>
              <w:right w:w="40" w:type="dxa"/>
            </w:tcMar>
            <w:vAlign w:val="bottom"/>
          </w:tcPr>
          <w:p w14:paraId="5557042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25" w14:textId="77777777" w:rsidR="00F925DD" w:rsidRDefault="00E705D7">
            <w:pPr>
              <w:textAlignment w:val="center"/>
              <w:rPr>
                <w:rFonts w:ascii="Times New Roman" w:hAnsi="Times New Roman"/>
                <w:sz w:val="20"/>
                <w:szCs w:val="20"/>
              </w:rPr>
            </w:pPr>
            <w:hyperlink r:id="rId155" w:history="1">
              <w:r>
                <w:rPr>
                  <w:rStyle w:val="a5"/>
                  <w:rFonts w:ascii="Arial" w:eastAsia="宋体" w:hAnsi="Arial" w:cs="Arial"/>
                  <w:sz w:val="20"/>
                  <w:szCs w:val="20"/>
                </w:rPr>
                <w:t>10.13D†</w:t>
              </w:r>
            </w:hyperlink>
          </w:p>
        </w:tc>
        <w:tc>
          <w:tcPr>
            <w:tcW w:w="0" w:type="auto"/>
            <w:shd w:val="clear" w:color="auto" w:fill="auto"/>
            <w:tcMar>
              <w:top w:w="40" w:type="dxa"/>
              <w:left w:w="40" w:type="dxa"/>
              <w:bottom w:w="40" w:type="dxa"/>
              <w:right w:w="40" w:type="dxa"/>
            </w:tcMar>
            <w:vAlign w:val="bottom"/>
          </w:tcPr>
          <w:p w14:paraId="5557042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27" w14:textId="77777777" w:rsidR="00F925DD" w:rsidRDefault="00E705D7">
            <w:pPr>
              <w:textAlignment w:val="center"/>
              <w:rPr>
                <w:rFonts w:ascii="Times New Roman" w:hAnsi="Times New Roman"/>
                <w:sz w:val="20"/>
                <w:szCs w:val="20"/>
              </w:rPr>
            </w:pPr>
            <w:hyperlink r:id="rId156" w:history="1">
              <w:r>
                <w:rPr>
                  <w:rStyle w:val="a5"/>
                  <w:rFonts w:ascii="Arial" w:eastAsia="宋体" w:hAnsi="Arial" w:cs="Arial"/>
                  <w:sz w:val="20"/>
                  <w:szCs w:val="20"/>
                </w:rPr>
                <w:t>Form of Indemnification Agreement between State Street Bank and Trust Company and each of its executive officers (filed as Exhibit 10.18D to State Street's Annual</w:t>
              </w:r>
              <w:r>
                <w:rPr>
                  <w:rStyle w:val="a5"/>
                  <w:rFonts w:ascii="Arial" w:eastAsia="宋体" w:hAnsi="Arial" w:cs="Arial"/>
                  <w:sz w:val="20"/>
                  <w:szCs w:val="20"/>
                </w:rPr>
                <w:t xml:space="preserve"> Report on Form 10-K (File No. 001-07511) for the year ended December 31, 2013 filed with the SEC on February 21, 2014 and incorporated herein by reference)</w:t>
              </w:r>
            </w:hyperlink>
          </w:p>
        </w:tc>
      </w:tr>
      <w:tr w:rsidR="00F925DD" w14:paraId="5557042D" w14:textId="77777777">
        <w:trPr>
          <w:jc w:val="center"/>
        </w:trPr>
        <w:tc>
          <w:tcPr>
            <w:tcW w:w="0" w:type="auto"/>
            <w:shd w:val="clear" w:color="auto" w:fill="auto"/>
            <w:tcMar>
              <w:top w:w="40" w:type="dxa"/>
              <w:left w:w="40" w:type="dxa"/>
              <w:bottom w:w="40" w:type="dxa"/>
              <w:right w:w="40" w:type="dxa"/>
            </w:tcMar>
            <w:vAlign w:val="bottom"/>
          </w:tcPr>
          <w:p w14:paraId="5557042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2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2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2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32" w14:textId="77777777">
        <w:trPr>
          <w:jc w:val="center"/>
        </w:trPr>
        <w:tc>
          <w:tcPr>
            <w:tcW w:w="0" w:type="auto"/>
            <w:shd w:val="clear" w:color="auto" w:fill="auto"/>
            <w:tcMar>
              <w:top w:w="40" w:type="dxa"/>
              <w:left w:w="40" w:type="dxa"/>
              <w:bottom w:w="40" w:type="dxa"/>
              <w:right w:w="40" w:type="dxa"/>
            </w:tcMar>
            <w:vAlign w:val="bottom"/>
          </w:tcPr>
          <w:p w14:paraId="5557042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2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3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3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39" w14:textId="77777777">
        <w:trPr>
          <w:jc w:val="center"/>
        </w:trPr>
        <w:tc>
          <w:tcPr>
            <w:tcW w:w="0" w:type="auto"/>
            <w:shd w:val="clear" w:color="auto" w:fill="auto"/>
            <w:tcMar>
              <w:top w:w="40" w:type="dxa"/>
              <w:left w:w="40" w:type="dxa"/>
              <w:bottom w:w="40" w:type="dxa"/>
              <w:right w:w="40" w:type="dxa"/>
            </w:tcMar>
            <w:vAlign w:val="bottom"/>
          </w:tcPr>
          <w:p w14:paraId="5557043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34" w14:textId="77777777" w:rsidR="00F925DD" w:rsidRDefault="00E705D7">
            <w:pPr>
              <w:textAlignment w:val="center"/>
              <w:rPr>
                <w:rFonts w:ascii="Times New Roman" w:hAnsi="Times New Roman"/>
                <w:sz w:val="20"/>
                <w:szCs w:val="20"/>
              </w:rPr>
            </w:pPr>
            <w:hyperlink r:id="rId157" w:history="1">
              <w:r>
                <w:rPr>
                  <w:rStyle w:val="a5"/>
                  <w:rFonts w:ascii="Arial" w:eastAsia="宋体" w:hAnsi="Arial" w:cs="Arial"/>
                  <w:sz w:val="20"/>
                  <w:szCs w:val="20"/>
                </w:rPr>
                <w:t>10.14†</w:t>
              </w:r>
            </w:hyperlink>
          </w:p>
        </w:tc>
        <w:tc>
          <w:tcPr>
            <w:tcW w:w="0" w:type="auto"/>
            <w:shd w:val="clear" w:color="auto" w:fill="auto"/>
            <w:tcMar>
              <w:top w:w="40" w:type="dxa"/>
              <w:left w:w="40" w:type="dxa"/>
              <w:bottom w:w="40" w:type="dxa"/>
              <w:right w:w="40" w:type="dxa"/>
            </w:tcMar>
            <w:vAlign w:val="bottom"/>
          </w:tcPr>
          <w:p w14:paraId="555704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36" w14:textId="77777777" w:rsidR="00F925DD" w:rsidRDefault="00E705D7">
            <w:pPr>
              <w:textAlignment w:val="center"/>
              <w:rPr>
                <w:rFonts w:ascii="Times New Roman" w:hAnsi="Times New Roman"/>
                <w:sz w:val="20"/>
                <w:szCs w:val="20"/>
              </w:rPr>
            </w:pPr>
            <w:hyperlink r:id="rId158" w:history="1">
              <w:r>
                <w:rPr>
                  <w:rStyle w:val="a5"/>
                  <w:rFonts w:ascii="Arial" w:eastAsia="宋体" w:hAnsi="Arial" w:cs="Arial"/>
                  <w:sz w:val="20"/>
                  <w:szCs w:val="20"/>
                </w:rPr>
                <w:t>Form of amended and restated employment agreement entered into on December 13, 2018 with each of Joseph L. Hooley, Eric W. Aboaf, Jeff D. Conway, Kare</w:t>
              </w:r>
              <w:r>
                <w:rPr>
                  <w:rStyle w:val="a5"/>
                  <w:rFonts w:ascii="Arial" w:eastAsia="宋体" w:hAnsi="Arial" w:cs="Arial"/>
                  <w:sz w:val="20"/>
                  <w:szCs w:val="20"/>
                </w:rPr>
                <w:t>n C. Keenan and Ronald P. O’Hanley (filed as Exhibit 10.1 to State Street’s Quarterly Report on Form 10-Q (File No. 001-07511) for the quarter ended March 31, 2019 filed with the SEC on May 1, 2019 and incorporated herein by reference)</w:t>
              </w:r>
            </w:hyperlink>
          </w:p>
          <w:p w14:paraId="55570437" w14:textId="77777777" w:rsidR="00F925DD" w:rsidRDefault="00F925DD">
            <w:pPr>
              <w:textAlignment w:val="center"/>
              <w:rPr>
                <w:rFonts w:ascii="Times New Roman" w:hAnsi="Times New Roman"/>
                <w:sz w:val="20"/>
                <w:szCs w:val="20"/>
              </w:rPr>
            </w:pPr>
          </w:p>
          <w:p w14:paraId="55570438" w14:textId="77777777" w:rsidR="00F925DD" w:rsidRDefault="00F925DD">
            <w:pPr>
              <w:textAlignment w:val="center"/>
              <w:rPr>
                <w:rFonts w:ascii="Times New Roman" w:hAnsi="Times New Roman"/>
                <w:sz w:val="20"/>
                <w:szCs w:val="20"/>
              </w:rPr>
            </w:pPr>
          </w:p>
        </w:tc>
      </w:tr>
      <w:tr w:rsidR="00F925DD" w14:paraId="5557043E" w14:textId="77777777">
        <w:trPr>
          <w:jc w:val="center"/>
        </w:trPr>
        <w:tc>
          <w:tcPr>
            <w:tcW w:w="0" w:type="auto"/>
            <w:shd w:val="clear" w:color="auto" w:fill="auto"/>
            <w:tcMar>
              <w:top w:w="40" w:type="dxa"/>
              <w:left w:w="40" w:type="dxa"/>
              <w:bottom w:w="40" w:type="dxa"/>
              <w:right w:w="40" w:type="dxa"/>
            </w:tcMar>
            <w:vAlign w:val="bottom"/>
          </w:tcPr>
          <w:p w14:paraId="5557043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3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3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7043F" w14:textId="77777777" w:rsidR="00F925DD" w:rsidRDefault="00F925DD">
      <w:pPr>
        <w:rPr>
          <w:rFonts w:ascii="Times New Roman" w:hAnsi="Times New Roman"/>
          <w:sz w:val="20"/>
          <w:szCs w:val="20"/>
        </w:rPr>
      </w:pPr>
    </w:p>
    <w:p w14:paraId="55570440"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186</w:t>
      </w:r>
    </w:p>
    <w:p w14:paraId="55570441" w14:textId="77777777" w:rsidR="00F925DD" w:rsidRDefault="00F925DD">
      <w:pPr>
        <w:spacing w:line="288" w:lineRule="auto"/>
        <w:ind w:firstLine="600"/>
        <w:jc w:val="center"/>
        <w:rPr>
          <w:rFonts w:ascii="Times New Roman" w:hAnsi="Times New Roman"/>
          <w:sz w:val="18"/>
          <w:szCs w:val="18"/>
        </w:rPr>
      </w:pPr>
    </w:p>
    <w:p w14:paraId="55570442" w14:textId="77777777" w:rsidR="00F925DD" w:rsidRDefault="00E705D7">
      <w:r>
        <w:rPr>
          <w:rFonts w:ascii="Times New Roman" w:hAnsi="Times New Roman"/>
          <w:sz w:val="18"/>
          <w:szCs w:val="18"/>
        </w:rPr>
        <w:pict w14:anchorId="555706F4">
          <v:rect id="_x0000_i1210" style="width:415.3pt;height:1.5pt" o:hralign="center" o:hrstd="t" o:hr="t" fillcolor="#a0a0a0" stroked="f"/>
        </w:pict>
      </w:r>
    </w:p>
    <w:p w14:paraId="55570443" w14:textId="77777777" w:rsidR="00F925DD" w:rsidRDefault="00F925DD">
      <w:pPr>
        <w:spacing w:line="288" w:lineRule="auto"/>
        <w:ind w:firstLine="600"/>
        <w:rPr>
          <w:rFonts w:ascii="Times New Roman" w:hAnsi="Times New Roman"/>
          <w:sz w:val="18"/>
          <w:szCs w:val="18"/>
        </w:rPr>
      </w:pPr>
    </w:p>
    <w:p w14:paraId="55570444" w14:textId="77777777" w:rsidR="00F925DD" w:rsidRDefault="00F925D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58"/>
        <w:gridCol w:w="973"/>
        <w:gridCol w:w="130"/>
        <w:gridCol w:w="7045"/>
      </w:tblGrid>
      <w:tr w:rsidR="00F925DD" w14:paraId="55570446" w14:textId="77777777">
        <w:trPr>
          <w:jc w:val="center"/>
        </w:trPr>
        <w:tc>
          <w:tcPr>
            <w:tcW w:w="0" w:type="auto"/>
            <w:gridSpan w:val="4"/>
            <w:shd w:val="clear" w:color="auto" w:fill="auto"/>
            <w:vAlign w:val="center"/>
          </w:tcPr>
          <w:p w14:paraId="55570445" w14:textId="77777777" w:rsidR="00F925DD" w:rsidRDefault="00F925DD">
            <w:pPr>
              <w:rPr>
                <w:rFonts w:ascii="Times New Roman" w:hAnsi="Times New Roman"/>
                <w:sz w:val="20"/>
                <w:szCs w:val="20"/>
              </w:rPr>
            </w:pPr>
          </w:p>
        </w:tc>
      </w:tr>
      <w:tr w:rsidR="00F925DD" w14:paraId="5557044B" w14:textId="77777777">
        <w:trPr>
          <w:jc w:val="center"/>
        </w:trPr>
        <w:tc>
          <w:tcPr>
            <w:tcW w:w="100" w:type="pct"/>
            <w:shd w:val="clear" w:color="auto" w:fill="auto"/>
            <w:vAlign w:val="center"/>
          </w:tcPr>
          <w:p w14:paraId="55570447" w14:textId="77777777" w:rsidR="00F925DD" w:rsidRDefault="00F925DD">
            <w:pPr>
              <w:rPr>
                <w:rFonts w:ascii="Times New Roman" w:hAnsi="Times New Roman"/>
                <w:sz w:val="20"/>
                <w:szCs w:val="20"/>
              </w:rPr>
            </w:pPr>
          </w:p>
        </w:tc>
        <w:tc>
          <w:tcPr>
            <w:tcW w:w="600" w:type="pct"/>
            <w:shd w:val="clear" w:color="auto" w:fill="auto"/>
            <w:vAlign w:val="center"/>
          </w:tcPr>
          <w:p w14:paraId="55570448" w14:textId="77777777" w:rsidR="00F925DD" w:rsidRDefault="00F925DD">
            <w:pPr>
              <w:rPr>
                <w:rFonts w:ascii="Times New Roman" w:hAnsi="Times New Roman"/>
                <w:sz w:val="20"/>
                <w:szCs w:val="20"/>
              </w:rPr>
            </w:pPr>
          </w:p>
        </w:tc>
        <w:tc>
          <w:tcPr>
            <w:tcW w:w="50" w:type="pct"/>
            <w:shd w:val="clear" w:color="auto" w:fill="auto"/>
            <w:vAlign w:val="center"/>
          </w:tcPr>
          <w:p w14:paraId="55570449" w14:textId="77777777" w:rsidR="00F925DD" w:rsidRDefault="00F925DD">
            <w:pPr>
              <w:rPr>
                <w:rFonts w:ascii="Times New Roman" w:hAnsi="Times New Roman"/>
                <w:sz w:val="20"/>
                <w:szCs w:val="20"/>
              </w:rPr>
            </w:pPr>
          </w:p>
        </w:tc>
        <w:tc>
          <w:tcPr>
            <w:tcW w:w="4250" w:type="pct"/>
            <w:shd w:val="clear" w:color="auto" w:fill="auto"/>
            <w:vAlign w:val="center"/>
          </w:tcPr>
          <w:p w14:paraId="5557044A" w14:textId="77777777" w:rsidR="00F925DD" w:rsidRDefault="00F925DD">
            <w:pPr>
              <w:rPr>
                <w:rFonts w:ascii="Times New Roman" w:hAnsi="Times New Roman"/>
                <w:sz w:val="20"/>
                <w:szCs w:val="20"/>
              </w:rPr>
            </w:pPr>
          </w:p>
        </w:tc>
      </w:tr>
      <w:tr w:rsidR="00F925DD" w14:paraId="55570451" w14:textId="77777777">
        <w:trPr>
          <w:jc w:val="center"/>
        </w:trPr>
        <w:tc>
          <w:tcPr>
            <w:tcW w:w="0" w:type="auto"/>
            <w:shd w:val="clear" w:color="auto" w:fill="auto"/>
            <w:tcMar>
              <w:top w:w="40" w:type="dxa"/>
              <w:left w:w="40" w:type="dxa"/>
              <w:bottom w:w="40" w:type="dxa"/>
              <w:right w:w="40" w:type="dxa"/>
            </w:tcMar>
            <w:vAlign w:val="bottom"/>
          </w:tcPr>
          <w:p w14:paraId="5557044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4D" w14:textId="77777777" w:rsidR="00F925DD" w:rsidRDefault="00E705D7">
            <w:pPr>
              <w:textAlignment w:val="center"/>
              <w:rPr>
                <w:rFonts w:ascii="Times New Roman" w:hAnsi="Times New Roman"/>
                <w:sz w:val="20"/>
                <w:szCs w:val="20"/>
              </w:rPr>
            </w:pPr>
            <w:hyperlink r:id="rId159" w:history="1">
              <w:r>
                <w:rPr>
                  <w:rStyle w:val="a5"/>
                  <w:rFonts w:ascii="Arial" w:eastAsia="宋体" w:hAnsi="Arial" w:cs="Arial"/>
                  <w:sz w:val="20"/>
                  <w:szCs w:val="20"/>
                </w:rPr>
                <w:t>10.15†</w:t>
              </w:r>
            </w:hyperlink>
          </w:p>
        </w:tc>
        <w:tc>
          <w:tcPr>
            <w:tcW w:w="0" w:type="auto"/>
            <w:shd w:val="clear" w:color="auto" w:fill="auto"/>
            <w:tcMar>
              <w:top w:w="40" w:type="dxa"/>
              <w:left w:w="40" w:type="dxa"/>
              <w:bottom w:w="40" w:type="dxa"/>
              <w:right w:w="40" w:type="dxa"/>
            </w:tcMar>
            <w:vAlign w:val="bottom"/>
          </w:tcPr>
          <w:p w14:paraId="555704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4F" w14:textId="77777777" w:rsidR="00F925DD" w:rsidRDefault="00E705D7">
            <w:pPr>
              <w:textAlignment w:val="center"/>
              <w:rPr>
                <w:rFonts w:ascii="Times New Roman" w:hAnsi="Times New Roman"/>
                <w:sz w:val="20"/>
                <w:szCs w:val="20"/>
              </w:rPr>
            </w:pPr>
            <w:hyperlink r:id="rId160" w:history="1">
              <w:r>
                <w:rPr>
                  <w:rStyle w:val="a5"/>
                  <w:rFonts w:ascii="Arial" w:eastAsia="宋体" w:hAnsi="Arial" w:cs="Arial"/>
                  <w:sz w:val="20"/>
                  <w:szCs w:val="20"/>
                </w:rPr>
                <w:t>Terms of Employment for Jeffrey N. Carp dated November 11, 2005, as amended (filed as Exhibit 10.9 to State Street's Annual Report on Form 10-K (File No. 001-07511)</w:t>
              </w:r>
              <w:r>
                <w:rPr>
                  <w:rStyle w:val="a5"/>
                  <w:rFonts w:ascii="Arial" w:eastAsia="宋体" w:hAnsi="Arial" w:cs="Arial"/>
                  <w:sz w:val="20"/>
                  <w:szCs w:val="20"/>
                </w:rPr>
                <w:t xml:space="preserve"> for the year ended December 31, 2015 and filed with the SEC on February 19, 2016 and incorporated herein by reference)</w:t>
              </w:r>
            </w:hyperlink>
          </w:p>
          <w:p w14:paraId="55570450" w14:textId="77777777" w:rsidR="00F925DD" w:rsidRDefault="00F925DD">
            <w:pPr>
              <w:textAlignment w:val="center"/>
              <w:rPr>
                <w:rFonts w:ascii="Times New Roman" w:hAnsi="Times New Roman"/>
                <w:sz w:val="20"/>
                <w:szCs w:val="20"/>
              </w:rPr>
            </w:pPr>
          </w:p>
        </w:tc>
      </w:tr>
      <w:tr w:rsidR="00F925DD" w14:paraId="55570456" w14:textId="77777777">
        <w:trPr>
          <w:jc w:val="center"/>
        </w:trPr>
        <w:tc>
          <w:tcPr>
            <w:tcW w:w="0" w:type="auto"/>
            <w:shd w:val="clear" w:color="auto" w:fill="auto"/>
            <w:tcMar>
              <w:top w:w="40" w:type="dxa"/>
              <w:left w:w="40" w:type="dxa"/>
              <w:bottom w:w="40" w:type="dxa"/>
              <w:right w:w="40" w:type="dxa"/>
            </w:tcMar>
            <w:vAlign w:val="bottom"/>
          </w:tcPr>
          <w:p w14:paraId="555704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5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5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5B" w14:textId="77777777">
        <w:trPr>
          <w:jc w:val="center"/>
        </w:trPr>
        <w:tc>
          <w:tcPr>
            <w:tcW w:w="0" w:type="auto"/>
            <w:shd w:val="clear" w:color="auto" w:fill="auto"/>
            <w:tcMar>
              <w:top w:w="40" w:type="dxa"/>
              <w:left w:w="40" w:type="dxa"/>
              <w:bottom w:w="40" w:type="dxa"/>
              <w:right w:w="40" w:type="dxa"/>
            </w:tcMar>
            <w:vAlign w:val="bottom"/>
          </w:tcPr>
          <w:p w14:paraId="5557045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58" w14:textId="77777777" w:rsidR="00F925DD" w:rsidRDefault="00E705D7">
            <w:pPr>
              <w:textAlignment w:val="center"/>
              <w:rPr>
                <w:rFonts w:ascii="Times New Roman" w:hAnsi="Times New Roman"/>
                <w:sz w:val="20"/>
                <w:szCs w:val="20"/>
              </w:rPr>
            </w:pPr>
            <w:hyperlink r:id="rId161" w:history="1">
              <w:r>
                <w:rPr>
                  <w:rStyle w:val="a5"/>
                  <w:rFonts w:ascii="Arial" w:eastAsia="宋体" w:hAnsi="Arial" w:cs="Arial"/>
                  <w:sz w:val="20"/>
                  <w:szCs w:val="20"/>
                </w:rPr>
                <w:t>10.16†</w:t>
              </w:r>
            </w:hyperlink>
          </w:p>
        </w:tc>
        <w:tc>
          <w:tcPr>
            <w:tcW w:w="0" w:type="auto"/>
            <w:shd w:val="clear" w:color="auto" w:fill="auto"/>
            <w:tcMar>
              <w:top w:w="40" w:type="dxa"/>
              <w:left w:w="40" w:type="dxa"/>
              <w:bottom w:w="40" w:type="dxa"/>
              <w:right w:w="40" w:type="dxa"/>
            </w:tcMar>
            <w:vAlign w:val="bottom"/>
          </w:tcPr>
          <w:p w14:paraId="5557045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5A" w14:textId="77777777" w:rsidR="00F925DD" w:rsidRDefault="00E705D7">
            <w:pPr>
              <w:textAlignment w:val="center"/>
              <w:rPr>
                <w:rFonts w:ascii="Times New Roman" w:hAnsi="Times New Roman"/>
                <w:sz w:val="20"/>
                <w:szCs w:val="20"/>
              </w:rPr>
            </w:pPr>
            <w:hyperlink r:id="rId162" w:history="1">
              <w:r>
                <w:rPr>
                  <w:rStyle w:val="a5"/>
                  <w:rFonts w:ascii="Arial" w:eastAsia="宋体" w:hAnsi="Arial" w:cs="Arial"/>
                  <w:sz w:val="20"/>
                  <w:szCs w:val="20"/>
                </w:rPr>
                <w:t>Employment Letter Agreements entered into with Andrew Ericks</w:t>
              </w:r>
              <w:r>
                <w:rPr>
                  <w:rStyle w:val="a5"/>
                  <w:rFonts w:ascii="Arial" w:eastAsia="宋体" w:hAnsi="Arial" w:cs="Arial"/>
                  <w:sz w:val="20"/>
                  <w:szCs w:val="20"/>
                </w:rPr>
                <w:t>on dated August 21, 2012, November 19, 2012, and May 25, 2016 (filed as Exhibit 10.2 to State Street’s Quarterly Report on Form 10-Q (File No. 001-07511) for the quarter ended March 31, 2018 filed with the SEC on May 3, 2018 and incorporated herein by refe</w:t>
              </w:r>
              <w:r>
                <w:rPr>
                  <w:rStyle w:val="a5"/>
                  <w:rFonts w:ascii="Arial" w:eastAsia="宋体" w:hAnsi="Arial" w:cs="Arial"/>
                  <w:sz w:val="20"/>
                  <w:szCs w:val="20"/>
                </w:rPr>
                <w:t>rence)</w:t>
              </w:r>
            </w:hyperlink>
          </w:p>
        </w:tc>
      </w:tr>
      <w:tr w:rsidR="00F925DD" w14:paraId="55570460" w14:textId="77777777">
        <w:trPr>
          <w:jc w:val="center"/>
        </w:trPr>
        <w:tc>
          <w:tcPr>
            <w:tcW w:w="0" w:type="auto"/>
            <w:shd w:val="clear" w:color="auto" w:fill="auto"/>
            <w:tcMar>
              <w:top w:w="40" w:type="dxa"/>
              <w:left w:w="40" w:type="dxa"/>
              <w:bottom w:w="40" w:type="dxa"/>
              <w:right w:w="40" w:type="dxa"/>
            </w:tcMar>
            <w:vAlign w:val="bottom"/>
          </w:tcPr>
          <w:p w14:paraId="5557045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5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5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5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65" w14:textId="77777777">
        <w:trPr>
          <w:jc w:val="center"/>
        </w:trPr>
        <w:tc>
          <w:tcPr>
            <w:tcW w:w="0" w:type="auto"/>
            <w:shd w:val="clear" w:color="auto" w:fill="auto"/>
            <w:tcMar>
              <w:top w:w="40" w:type="dxa"/>
              <w:left w:w="40" w:type="dxa"/>
              <w:bottom w:w="40" w:type="dxa"/>
              <w:right w:w="40" w:type="dxa"/>
            </w:tcMar>
            <w:vAlign w:val="bottom"/>
          </w:tcPr>
          <w:p w14:paraId="5557046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62" w14:textId="77777777" w:rsidR="00F925DD" w:rsidRDefault="00E705D7">
            <w:pPr>
              <w:textAlignment w:val="center"/>
              <w:rPr>
                <w:rFonts w:ascii="Times New Roman" w:hAnsi="Times New Roman"/>
                <w:sz w:val="20"/>
                <w:szCs w:val="20"/>
              </w:rPr>
            </w:pPr>
            <w:hyperlink r:id="rId163" w:history="1">
              <w:r>
                <w:rPr>
                  <w:rStyle w:val="a5"/>
                  <w:rFonts w:ascii="Arial" w:eastAsia="宋体" w:hAnsi="Arial" w:cs="Arial"/>
                  <w:sz w:val="20"/>
                  <w:szCs w:val="20"/>
                </w:rPr>
                <w:t>10.17†</w:t>
              </w:r>
            </w:hyperlink>
          </w:p>
        </w:tc>
        <w:tc>
          <w:tcPr>
            <w:tcW w:w="0" w:type="auto"/>
            <w:shd w:val="clear" w:color="auto" w:fill="auto"/>
            <w:tcMar>
              <w:top w:w="40" w:type="dxa"/>
              <w:left w:w="40" w:type="dxa"/>
              <w:bottom w:w="40" w:type="dxa"/>
              <w:right w:w="40" w:type="dxa"/>
            </w:tcMar>
            <w:vAlign w:val="bottom"/>
          </w:tcPr>
          <w:p w14:paraId="5557046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64" w14:textId="77777777" w:rsidR="00F925DD" w:rsidRDefault="00E705D7">
            <w:pPr>
              <w:textAlignment w:val="center"/>
              <w:rPr>
                <w:rFonts w:ascii="Times New Roman" w:hAnsi="Times New Roman"/>
                <w:sz w:val="20"/>
                <w:szCs w:val="20"/>
              </w:rPr>
            </w:pPr>
            <w:hyperlink r:id="rId164" w:history="1">
              <w:r>
                <w:rPr>
                  <w:rStyle w:val="a5"/>
                  <w:rFonts w:ascii="Arial" w:eastAsia="宋体" w:hAnsi="Arial" w:cs="Arial"/>
                  <w:sz w:val="20"/>
                  <w:szCs w:val="20"/>
                </w:rPr>
                <w:t>Employment Letter Agreement entered into with Eric Aboaf dated September 22, 2016 (filed as Exhibit 10.1 to State Street's Current Report on Form 8-K (File No. 001-</w:t>
              </w:r>
              <w:r>
                <w:rPr>
                  <w:rStyle w:val="a5"/>
                  <w:rFonts w:ascii="Arial" w:eastAsia="宋体" w:hAnsi="Arial" w:cs="Arial"/>
                  <w:sz w:val="20"/>
                  <w:szCs w:val="20"/>
                </w:rPr>
                <w:t>07511) dated September 28, 2016 filed with the SEC on September 28, 2016 and incorporated herein by reference)</w:t>
              </w:r>
            </w:hyperlink>
          </w:p>
        </w:tc>
      </w:tr>
      <w:tr w:rsidR="00F925DD" w14:paraId="5557046A" w14:textId="77777777">
        <w:trPr>
          <w:jc w:val="center"/>
        </w:trPr>
        <w:tc>
          <w:tcPr>
            <w:tcW w:w="0" w:type="auto"/>
            <w:shd w:val="clear" w:color="auto" w:fill="auto"/>
            <w:tcMar>
              <w:top w:w="40" w:type="dxa"/>
              <w:left w:w="40" w:type="dxa"/>
              <w:bottom w:w="40" w:type="dxa"/>
              <w:right w:w="40" w:type="dxa"/>
            </w:tcMar>
            <w:vAlign w:val="bottom"/>
          </w:tcPr>
          <w:p w14:paraId="5557046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6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6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71" w14:textId="77777777">
        <w:trPr>
          <w:jc w:val="center"/>
        </w:trPr>
        <w:tc>
          <w:tcPr>
            <w:tcW w:w="0" w:type="auto"/>
            <w:shd w:val="clear" w:color="auto" w:fill="auto"/>
            <w:tcMar>
              <w:top w:w="40" w:type="dxa"/>
              <w:left w:w="40" w:type="dxa"/>
              <w:bottom w:w="40" w:type="dxa"/>
              <w:right w:w="40" w:type="dxa"/>
            </w:tcMar>
            <w:vAlign w:val="bottom"/>
          </w:tcPr>
          <w:p w14:paraId="5557046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6C" w14:textId="77777777" w:rsidR="00F925DD" w:rsidRDefault="00E705D7">
            <w:pPr>
              <w:textAlignment w:val="center"/>
              <w:rPr>
                <w:rFonts w:ascii="Times New Roman" w:hAnsi="Times New Roman"/>
                <w:sz w:val="20"/>
                <w:szCs w:val="20"/>
              </w:rPr>
            </w:pPr>
            <w:hyperlink r:id="rId165" w:history="1">
              <w:r>
                <w:rPr>
                  <w:rStyle w:val="a5"/>
                  <w:rFonts w:ascii="Arial" w:eastAsia="宋体" w:hAnsi="Arial" w:cs="Arial"/>
                  <w:sz w:val="20"/>
                  <w:szCs w:val="20"/>
                </w:rPr>
                <w:t>10.18†</w:t>
              </w:r>
            </w:hyperlink>
          </w:p>
        </w:tc>
        <w:tc>
          <w:tcPr>
            <w:tcW w:w="0" w:type="auto"/>
            <w:shd w:val="clear" w:color="auto" w:fill="auto"/>
            <w:tcMar>
              <w:top w:w="40" w:type="dxa"/>
              <w:left w:w="40" w:type="dxa"/>
              <w:bottom w:w="40" w:type="dxa"/>
              <w:right w:w="40" w:type="dxa"/>
            </w:tcMar>
            <w:vAlign w:val="bottom"/>
          </w:tcPr>
          <w:p w14:paraId="5557046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6E" w14:textId="77777777" w:rsidR="00F925DD" w:rsidRDefault="00E705D7">
            <w:pPr>
              <w:textAlignment w:val="center"/>
              <w:rPr>
                <w:rFonts w:ascii="Times New Roman" w:hAnsi="Times New Roman"/>
                <w:sz w:val="20"/>
                <w:szCs w:val="20"/>
              </w:rPr>
            </w:pPr>
            <w:hyperlink r:id="rId166" w:history="1">
              <w:r>
                <w:rPr>
                  <w:rStyle w:val="a5"/>
                  <w:rFonts w:ascii="Arial" w:eastAsia="宋体" w:hAnsi="Arial" w:cs="Arial"/>
                  <w:sz w:val="20"/>
                  <w:szCs w:val="20"/>
                </w:rPr>
                <w:t>Transition and Separation Agreement entered into with Jeff D. Conway dated March 20, 2019 (filed as Exhibit 10.4 to State Street’s Quarterly Report on</w:t>
              </w:r>
              <w:r>
                <w:rPr>
                  <w:rStyle w:val="a5"/>
                  <w:rFonts w:ascii="Arial" w:eastAsia="宋体" w:hAnsi="Arial" w:cs="Arial"/>
                  <w:sz w:val="20"/>
                  <w:szCs w:val="20"/>
                </w:rPr>
                <w:t xml:space="preserve"> Form 10-Q (File No. 001-07511) for the quarter ended March 31, 2019 filed with the SEC on May 1, 2019 and incorporated herein by reference)</w:t>
              </w:r>
            </w:hyperlink>
          </w:p>
          <w:p w14:paraId="5557046F" w14:textId="77777777" w:rsidR="00F925DD" w:rsidRDefault="00F925DD">
            <w:pPr>
              <w:textAlignment w:val="center"/>
              <w:rPr>
                <w:rFonts w:ascii="Times New Roman" w:hAnsi="Times New Roman"/>
                <w:sz w:val="20"/>
                <w:szCs w:val="20"/>
              </w:rPr>
            </w:pPr>
          </w:p>
          <w:p w14:paraId="55570470" w14:textId="77777777" w:rsidR="00F925DD" w:rsidRDefault="00F925DD">
            <w:pPr>
              <w:textAlignment w:val="center"/>
              <w:rPr>
                <w:rFonts w:ascii="Times New Roman" w:hAnsi="Times New Roman"/>
                <w:sz w:val="20"/>
                <w:szCs w:val="20"/>
              </w:rPr>
            </w:pPr>
          </w:p>
        </w:tc>
      </w:tr>
      <w:tr w:rsidR="00F925DD" w14:paraId="55570476" w14:textId="77777777">
        <w:trPr>
          <w:jc w:val="center"/>
        </w:trPr>
        <w:tc>
          <w:tcPr>
            <w:tcW w:w="0" w:type="auto"/>
            <w:shd w:val="clear" w:color="auto" w:fill="auto"/>
            <w:tcMar>
              <w:top w:w="40" w:type="dxa"/>
              <w:left w:w="40" w:type="dxa"/>
              <w:bottom w:w="40" w:type="dxa"/>
              <w:right w:w="40" w:type="dxa"/>
            </w:tcMar>
            <w:vAlign w:val="bottom"/>
          </w:tcPr>
          <w:p w14:paraId="555704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7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7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7C" w14:textId="77777777">
        <w:trPr>
          <w:jc w:val="center"/>
        </w:trPr>
        <w:tc>
          <w:tcPr>
            <w:tcW w:w="0" w:type="auto"/>
            <w:shd w:val="clear" w:color="auto" w:fill="auto"/>
            <w:tcMar>
              <w:top w:w="40" w:type="dxa"/>
              <w:left w:w="40" w:type="dxa"/>
              <w:bottom w:w="40" w:type="dxa"/>
              <w:right w:w="40" w:type="dxa"/>
            </w:tcMar>
            <w:vAlign w:val="bottom"/>
          </w:tcPr>
          <w:p w14:paraId="555704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78" w14:textId="77777777" w:rsidR="00F925DD" w:rsidRDefault="00E705D7">
            <w:pPr>
              <w:textAlignment w:val="center"/>
              <w:rPr>
                <w:rFonts w:ascii="Times New Roman" w:hAnsi="Times New Roman"/>
                <w:sz w:val="20"/>
                <w:szCs w:val="20"/>
              </w:rPr>
            </w:pPr>
            <w:hyperlink r:id="rId167" w:history="1">
              <w:r>
                <w:rPr>
                  <w:rStyle w:val="a5"/>
                  <w:rFonts w:ascii="Arial" w:eastAsia="宋体" w:hAnsi="Arial" w:cs="Arial"/>
                  <w:sz w:val="20"/>
                  <w:szCs w:val="20"/>
                </w:rPr>
                <w:t>10.19†</w:t>
              </w:r>
            </w:hyperlink>
          </w:p>
        </w:tc>
        <w:tc>
          <w:tcPr>
            <w:tcW w:w="0" w:type="auto"/>
            <w:shd w:val="clear" w:color="auto" w:fill="auto"/>
            <w:tcMar>
              <w:top w:w="40" w:type="dxa"/>
              <w:left w:w="40" w:type="dxa"/>
              <w:bottom w:w="40" w:type="dxa"/>
              <w:right w:w="40" w:type="dxa"/>
            </w:tcMar>
            <w:vAlign w:val="bottom"/>
          </w:tcPr>
          <w:p w14:paraId="5557047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7A" w14:textId="77777777" w:rsidR="00F925DD" w:rsidRDefault="00E705D7">
            <w:pPr>
              <w:textAlignment w:val="center"/>
              <w:rPr>
                <w:rFonts w:ascii="Times New Roman" w:hAnsi="Times New Roman"/>
                <w:sz w:val="20"/>
                <w:szCs w:val="20"/>
              </w:rPr>
            </w:pPr>
            <w:hyperlink r:id="rId168" w:history="1">
              <w:r>
                <w:rPr>
                  <w:rStyle w:val="a5"/>
                  <w:rFonts w:ascii="Arial" w:eastAsia="宋体" w:hAnsi="Arial" w:cs="Arial"/>
                  <w:sz w:val="20"/>
                  <w:szCs w:val="20"/>
                </w:rPr>
                <w:t>State Street Corporation Incentive Compensation Program, Effective January 1, 2019 (filed as Exhibit 10.24 to State Street's Annual Report on Form 10-</w:t>
              </w:r>
              <w:r>
                <w:rPr>
                  <w:rStyle w:val="a5"/>
                  <w:rFonts w:ascii="Arial" w:eastAsia="宋体" w:hAnsi="Arial" w:cs="Arial"/>
                  <w:sz w:val="20"/>
                  <w:szCs w:val="20"/>
                </w:rPr>
                <w:t>K (File No. 001-07511) for the year ended December 31, 2018 filed with the SEC on February 21, 2019 and incorporated herein by reference)</w:t>
              </w:r>
            </w:hyperlink>
          </w:p>
          <w:p w14:paraId="5557047B" w14:textId="77777777" w:rsidR="00F925DD" w:rsidRDefault="00F925DD">
            <w:pPr>
              <w:textAlignment w:val="center"/>
              <w:rPr>
                <w:rFonts w:ascii="Times New Roman" w:hAnsi="Times New Roman"/>
                <w:sz w:val="20"/>
                <w:szCs w:val="20"/>
              </w:rPr>
            </w:pPr>
          </w:p>
        </w:tc>
      </w:tr>
      <w:tr w:rsidR="00F925DD" w14:paraId="55570481" w14:textId="77777777">
        <w:trPr>
          <w:jc w:val="center"/>
        </w:trPr>
        <w:tc>
          <w:tcPr>
            <w:tcW w:w="0" w:type="auto"/>
            <w:shd w:val="clear" w:color="auto" w:fill="auto"/>
            <w:tcMar>
              <w:top w:w="40" w:type="dxa"/>
              <w:left w:w="40" w:type="dxa"/>
              <w:bottom w:w="40" w:type="dxa"/>
              <w:right w:w="40" w:type="dxa"/>
            </w:tcMar>
            <w:vAlign w:val="bottom"/>
          </w:tcPr>
          <w:p w14:paraId="5557047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7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8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88" w14:textId="77777777">
        <w:trPr>
          <w:jc w:val="center"/>
        </w:trPr>
        <w:tc>
          <w:tcPr>
            <w:tcW w:w="0" w:type="auto"/>
            <w:shd w:val="clear" w:color="auto" w:fill="auto"/>
            <w:tcMar>
              <w:top w:w="40" w:type="dxa"/>
              <w:left w:w="40" w:type="dxa"/>
              <w:bottom w:w="40" w:type="dxa"/>
              <w:right w:w="40" w:type="dxa"/>
            </w:tcMar>
            <w:vAlign w:val="bottom"/>
          </w:tcPr>
          <w:p w14:paraId="5557048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83" w14:textId="77777777" w:rsidR="00F925DD" w:rsidRDefault="00E705D7">
            <w:pPr>
              <w:textAlignment w:val="center"/>
              <w:rPr>
                <w:rFonts w:ascii="Times New Roman" w:hAnsi="Times New Roman"/>
                <w:sz w:val="20"/>
                <w:szCs w:val="20"/>
              </w:rPr>
            </w:pPr>
            <w:hyperlink r:id="rId169" w:history="1">
              <w:r>
                <w:rPr>
                  <w:rStyle w:val="a5"/>
                  <w:rFonts w:ascii="Arial" w:eastAsia="宋体" w:hAnsi="Arial" w:cs="Arial"/>
                  <w:sz w:val="20"/>
                  <w:szCs w:val="20"/>
                </w:rPr>
                <w:t>10.20†</w:t>
              </w:r>
            </w:hyperlink>
          </w:p>
        </w:tc>
        <w:tc>
          <w:tcPr>
            <w:tcW w:w="0" w:type="auto"/>
            <w:shd w:val="clear" w:color="auto" w:fill="auto"/>
            <w:tcMar>
              <w:top w:w="40" w:type="dxa"/>
              <w:left w:w="40" w:type="dxa"/>
              <w:bottom w:w="40" w:type="dxa"/>
              <w:right w:w="40" w:type="dxa"/>
            </w:tcMar>
            <w:vAlign w:val="bottom"/>
          </w:tcPr>
          <w:p w14:paraId="5557048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85" w14:textId="77777777" w:rsidR="00F925DD" w:rsidRDefault="00E705D7">
            <w:pPr>
              <w:textAlignment w:val="center"/>
              <w:rPr>
                <w:rFonts w:ascii="Times New Roman" w:hAnsi="Times New Roman"/>
                <w:sz w:val="20"/>
                <w:szCs w:val="20"/>
              </w:rPr>
            </w:pPr>
            <w:hyperlink r:id="rId170" w:history="1">
              <w:r>
                <w:rPr>
                  <w:rStyle w:val="a5"/>
                  <w:rFonts w:ascii="Arial" w:eastAsia="宋体" w:hAnsi="Arial" w:cs="Arial"/>
                  <w:sz w:val="20"/>
                  <w:szCs w:val="20"/>
                </w:rPr>
                <w:t>State Street Corporation Cash Aw</w:t>
              </w:r>
              <w:r>
                <w:rPr>
                  <w:rStyle w:val="a5"/>
                  <w:rFonts w:ascii="Arial" w:eastAsia="宋体" w:hAnsi="Arial" w:cs="Arial"/>
                  <w:sz w:val="20"/>
                  <w:szCs w:val="20"/>
                </w:rPr>
                <w:t>ard Plan, Effective January 1, 2019 (filed as Exhibit 10.25 to State Street's Annual Report on Form 10-K (File No. 001-07511) for the year ended December 31, 2018 filed with the SEC on February 21, 2019 and incorporated herein by reference)</w:t>
              </w:r>
            </w:hyperlink>
          </w:p>
          <w:p w14:paraId="55570486" w14:textId="77777777" w:rsidR="00F925DD" w:rsidRDefault="00F925DD">
            <w:pPr>
              <w:textAlignment w:val="center"/>
              <w:rPr>
                <w:rFonts w:ascii="Times New Roman" w:hAnsi="Times New Roman"/>
                <w:sz w:val="20"/>
                <w:szCs w:val="20"/>
              </w:rPr>
            </w:pPr>
          </w:p>
          <w:p w14:paraId="55570487" w14:textId="77777777" w:rsidR="00F925DD" w:rsidRDefault="00F925DD">
            <w:pPr>
              <w:textAlignment w:val="center"/>
              <w:rPr>
                <w:rFonts w:ascii="Times New Roman" w:hAnsi="Times New Roman"/>
                <w:sz w:val="20"/>
                <w:szCs w:val="20"/>
              </w:rPr>
            </w:pPr>
          </w:p>
        </w:tc>
      </w:tr>
      <w:tr w:rsidR="00F925DD" w14:paraId="5557048D" w14:textId="77777777">
        <w:trPr>
          <w:jc w:val="center"/>
        </w:trPr>
        <w:tc>
          <w:tcPr>
            <w:tcW w:w="0" w:type="auto"/>
            <w:shd w:val="clear" w:color="auto" w:fill="auto"/>
            <w:tcMar>
              <w:top w:w="40" w:type="dxa"/>
              <w:left w:w="40" w:type="dxa"/>
              <w:bottom w:w="40" w:type="dxa"/>
              <w:right w:w="40" w:type="dxa"/>
            </w:tcMar>
            <w:vAlign w:val="bottom"/>
          </w:tcPr>
          <w:p w14:paraId="5557048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8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8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8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92" w14:textId="77777777">
        <w:trPr>
          <w:jc w:val="center"/>
        </w:trPr>
        <w:tc>
          <w:tcPr>
            <w:tcW w:w="0" w:type="auto"/>
            <w:shd w:val="clear" w:color="auto" w:fill="auto"/>
            <w:tcMar>
              <w:top w:w="40" w:type="dxa"/>
              <w:left w:w="40" w:type="dxa"/>
              <w:bottom w:w="40" w:type="dxa"/>
              <w:right w:w="40" w:type="dxa"/>
            </w:tcMar>
            <w:vAlign w:val="bottom"/>
          </w:tcPr>
          <w:p w14:paraId="5557048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8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9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9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97" w14:textId="77777777">
        <w:trPr>
          <w:jc w:val="center"/>
        </w:trPr>
        <w:tc>
          <w:tcPr>
            <w:tcW w:w="0" w:type="auto"/>
            <w:shd w:val="clear" w:color="auto" w:fill="auto"/>
            <w:tcMar>
              <w:top w:w="40" w:type="dxa"/>
              <w:left w:w="40" w:type="dxa"/>
              <w:bottom w:w="40" w:type="dxa"/>
              <w:right w:w="40" w:type="dxa"/>
            </w:tcMar>
            <w:vAlign w:val="bottom"/>
          </w:tcPr>
          <w:p w14:paraId="5557049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94" w14:textId="77777777" w:rsidR="00F925DD" w:rsidRDefault="00E705D7">
            <w:pPr>
              <w:textAlignment w:val="center"/>
              <w:rPr>
                <w:rFonts w:ascii="Times New Roman" w:hAnsi="Times New Roman"/>
                <w:sz w:val="20"/>
                <w:szCs w:val="20"/>
              </w:rPr>
            </w:pPr>
            <w:hyperlink r:id="rId171" w:history="1">
              <w:r>
                <w:rPr>
                  <w:rStyle w:val="a5"/>
                  <w:rFonts w:ascii="Arial" w:eastAsia="宋体" w:hAnsi="Arial" w:cs="Arial"/>
                  <w:sz w:val="20"/>
                  <w:szCs w:val="20"/>
                </w:rPr>
                <w:t>21</w:t>
              </w:r>
            </w:hyperlink>
          </w:p>
        </w:tc>
        <w:tc>
          <w:tcPr>
            <w:tcW w:w="0" w:type="auto"/>
            <w:shd w:val="clear" w:color="auto" w:fill="auto"/>
            <w:tcMar>
              <w:top w:w="40" w:type="dxa"/>
              <w:left w:w="40" w:type="dxa"/>
              <w:bottom w:w="40" w:type="dxa"/>
              <w:right w:w="40" w:type="dxa"/>
            </w:tcMar>
            <w:vAlign w:val="bottom"/>
          </w:tcPr>
          <w:p w14:paraId="555704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96" w14:textId="77777777" w:rsidR="00F925DD" w:rsidRDefault="00E705D7">
            <w:pPr>
              <w:textAlignment w:val="center"/>
              <w:rPr>
                <w:rFonts w:ascii="Times New Roman" w:hAnsi="Times New Roman"/>
                <w:sz w:val="20"/>
                <w:szCs w:val="20"/>
              </w:rPr>
            </w:pPr>
            <w:hyperlink r:id="rId172" w:history="1">
              <w:r>
                <w:rPr>
                  <w:rStyle w:val="a5"/>
                  <w:rFonts w:ascii="Arial" w:eastAsia="宋体" w:hAnsi="Arial" w:cs="Arial"/>
                  <w:sz w:val="20"/>
                  <w:szCs w:val="20"/>
                </w:rPr>
                <w:t>Subsidiaries of State Street Corporation</w:t>
              </w:r>
            </w:hyperlink>
          </w:p>
        </w:tc>
      </w:tr>
      <w:tr w:rsidR="00F925DD" w14:paraId="5557049C" w14:textId="77777777">
        <w:trPr>
          <w:jc w:val="center"/>
        </w:trPr>
        <w:tc>
          <w:tcPr>
            <w:tcW w:w="0" w:type="auto"/>
            <w:shd w:val="clear" w:color="auto" w:fill="auto"/>
            <w:tcMar>
              <w:top w:w="40" w:type="dxa"/>
              <w:left w:w="40" w:type="dxa"/>
              <w:bottom w:w="40" w:type="dxa"/>
              <w:right w:w="40" w:type="dxa"/>
            </w:tcMar>
            <w:vAlign w:val="bottom"/>
          </w:tcPr>
          <w:p w14:paraId="5557049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9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A1" w14:textId="77777777">
        <w:trPr>
          <w:jc w:val="center"/>
        </w:trPr>
        <w:tc>
          <w:tcPr>
            <w:tcW w:w="0" w:type="auto"/>
            <w:shd w:val="clear" w:color="auto" w:fill="auto"/>
            <w:tcMar>
              <w:top w:w="40" w:type="dxa"/>
              <w:left w:w="40" w:type="dxa"/>
              <w:bottom w:w="40" w:type="dxa"/>
              <w:right w:w="40" w:type="dxa"/>
            </w:tcMar>
            <w:vAlign w:val="bottom"/>
          </w:tcPr>
          <w:p w14:paraId="5557049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9E" w14:textId="77777777" w:rsidR="00F925DD" w:rsidRDefault="00E705D7">
            <w:pPr>
              <w:textAlignment w:val="center"/>
              <w:rPr>
                <w:rFonts w:ascii="Times New Roman" w:hAnsi="Times New Roman"/>
                <w:sz w:val="20"/>
                <w:szCs w:val="20"/>
              </w:rPr>
            </w:pPr>
            <w:hyperlink r:id="rId173" w:history="1">
              <w:r>
                <w:rPr>
                  <w:rStyle w:val="a5"/>
                  <w:rFonts w:ascii="Arial" w:eastAsia="宋体" w:hAnsi="Arial" w:cs="Arial"/>
                  <w:sz w:val="20"/>
                  <w:szCs w:val="20"/>
                </w:rPr>
                <w:t>23</w:t>
              </w:r>
            </w:hyperlink>
          </w:p>
        </w:tc>
        <w:tc>
          <w:tcPr>
            <w:tcW w:w="0" w:type="auto"/>
            <w:shd w:val="clear" w:color="auto" w:fill="auto"/>
            <w:tcMar>
              <w:top w:w="40" w:type="dxa"/>
              <w:left w:w="40" w:type="dxa"/>
              <w:bottom w:w="40" w:type="dxa"/>
              <w:right w:w="40" w:type="dxa"/>
            </w:tcMar>
            <w:vAlign w:val="bottom"/>
          </w:tcPr>
          <w:p w14:paraId="555704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A0" w14:textId="77777777" w:rsidR="00F925DD" w:rsidRDefault="00E705D7">
            <w:pPr>
              <w:textAlignment w:val="center"/>
              <w:rPr>
                <w:rFonts w:ascii="Times New Roman" w:hAnsi="Times New Roman"/>
                <w:sz w:val="20"/>
                <w:szCs w:val="20"/>
              </w:rPr>
            </w:pPr>
            <w:hyperlink r:id="rId174" w:history="1">
              <w:r>
                <w:rPr>
                  <w:rStyle w:val="a5"/>
                  <w:rFonts w:ascii="Arial" w:eastAsia="宋体" w:hAnsi="Arial" w:cs="Arial"/>
                  <w:sz w:val="20"/>
                  <w:szCs w:val="20"/>
                </w:rPr>
                <w:t>Consent of Independent Registered Public Accounting Firm</w:t>
              </w:r>
            </w:hyperlink>
          </w:p>
        </w:tc>
      </w:tr>
      <w:tr w:rsidR="00F925DD" w14:paraId="555704A6" w14:textId="77777777">
        <w:trPr>
          <w:jc w:val="center"/>
        </w:trPr>
        <w:tc>
          <w:tcPr>
            <w:tcW w:w="0" w:type="auto"/>
            <w:shd w:val="clear" w:color="auto" w:fill="auto"/>
            <w:tcMar>
              <w:top w:w="40" w:type="dxa"/>
              <w:left w:w="40" w:type="dxa"/>
              <w:bottom w:w="40" w:type="dxa"/>
              <w:right w:w="40" w:type="dxa"/>
            </w:tcMar>
            <w:vAlign w:val="bottom"/>
          </w:tcPr>
          <w:p w14:paraId="555704A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AB" w14:textId="77777777">
        <w:trPr>
          <w:jc w:val="center"/>
        </w:trPr>
        <w:tc>
          <w:tcPr>
            <w:tcW w:w="0" w:type="auto"/>
            <w:shd w:val="clear" w:color="auto" w:fill="auto"/>
            <w:tcMar>
              <w:top w:w="40" w:type="dxa"/>
              <w:left w:w="40" w:type="dxa"/>
              <w:bottom w:w="40" w:type="dxa"/>
              <w:right w:w="40" w:type="dxa"/>
            </w:tcMar>
            <w:vAlign w:val="bottom"/>
          </w:tcPr>
          <w:p w14:paraId="555704A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A8" w14:textId="77777777" w:rsidR="00F925DD" w:rsidRDefault="00E705D7">
            <w:pPr>
              <w:textAlignment w:val="center"/>
              <w:rPr>
                <w:rFonts w:ascii="Times New Roman" w:hAnsi="Times New Roman"/>
                <w:sz w:val="20"/>
                <w:szCs w:val="20"/>
              </w:rPr>
            </w:pPr>
            <w:hyperlink r:id="rId175" w:history="1">
              <w:r>
                <w:rPr>
                  <w:rStyle w:val="a5"/>
                  <w:rFonts w:ascii="Arial" w:eastAsia="宋体" w:hAnsi="Arial" w:cs="Arial"/>
                  <w:sz w:val="20"/>
                  <w:szCs w:val="20"/>
                </w:rPr>
                <w:t>31.1</w:t>
              </w:r>
            </w:hyperlink>
          </w:p>
        </w:tc>
        <w:tc>
          <w:tcPr>
            <w:tcW w:w="0" w:type="auto"/>
            <w:shd w:val="clear" w:color="auto" w:fill="auto"/>
            <w:tcMar>
              <w:top w:w="40" w:type="dxa"/>
              <w:left w:w="40" w:type="dxa"/>
              <w:bottom w:w="40" w:type="dxa"/>
              <w:right w:w="40" w:type="dxa"/>
            </w:tcMar>
            <w:vAlign w:val="bottom"/>
          </w:tcPr>
          <w:p w14:paraId="555704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AA" w14:textId="77777777" w:rsidR="00F925DD" w:rsidRDefault="00E705D7">
            <w:pPr>
              <w:textAlignment w:val="center"/>
              <w:rPr>
                <w:rFonts w:ascii="Times New Roman" w:hAnsi="Times New Roman"/>
                <w:sz w:val="20"/>
                <w:szCs w:val="20"/>
              </w:rPr>
            </w:pPr>
            <w:hyperlink r:id="rId176" w:history="1">
              <w:r>
                <w:rPr>
                  <w:rStyle w:val="a5"/>
                  <w:rFonts w:ascii="Arial" w:eastAsia="宋体" w:hAnsi="Arial" w:cs="Arial"/>
                  <w:sz w:val="20"/>
                  <w:szCs w:val="20"/>
                </w:rPr>
                <w:t>Rule 13a-14(a)/15d-14(a) Certificati</w:t>
              </w:r>
              <w:r>
                <w:rPr>
                  <w:rStyle w:val="a5"/>
                  <w:rFonts w:ascii="Arial" w:eastAsia="宋体" w:hAnsi="Arial" w:cs="Arial"/>
                  <w:sz w:val="20"/>
                  <w:szCs w:val="20"/>
                </w:rPr>
                <w:t>on of Chairman, President and Chief Executive Officer</w:t>
              </w:r>
            </w:hyperlink>
          </w:p>
        </w:tc>
      </w:tr>
      <w:tr w:rsidR="00F925DD" w14:paraId="555704B0" w14:textId="77777777">
        <w:trPr>
          <w:jc w:val="center"/>
        </w:trPr>
        <w:tc>
          <w:tcPr>
            <w:tcW w:w="0" w:type="auto"/>
            <w:shd w:val="clear" w:color="auto" w:fill="auto"/>
            <w:tcMar>
              <w:top w:w="40" w:type="dxa"/>
              <w:left w:w="40" w:type="dxa"/>
              <w:bottom w:w="40" w:type="dxa"/>
              <w:right w:w="40" w:type="dxa"/>
            </w:tcMar>
            <w:vAlign w:val="bottom"/>
          </w:tcPr>
          <w:p w14:paraId="555704A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A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B5" w14:textId="77777777">
        <w:trPr>
          <w:jc w:val="center"/>
        </w:trPr>
        <w:tc>
          <w:tcPr>
            <w:tcW w:w="0" w:type="auto"/>
            <w:shd w:val="clear" w:color="auto" w:fill="auto"/>
            <w:tcMar>
              <w:top w:w="40" w:type="dxa"/>
              <w:left w:w="40" w:type="dxa"/>
              <w:bottom w:w="40" w:type="dxa"/>
              <w:right w:w="40" w:type="dxa"/>
            </w:tcMar>
            <w:vAlign w:val="bottom"/>
          </w:tcPr>
          <w:p w14:paraId="555704B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B2" w14:textId="77777777" w:rsidR="00F925DD" w:rsidRDefault="00E705D7">
            <w:pPr>
              <w:textAlignment w:val="center"/>
              <w:rPr>
                <w:rFonts w:ascii="Times New Roman" w:hAnsi="Times New Roman"/>
                <w:sz w:val="20"/>
                <w:szCs w:val="20"/>
              </w:rPr>
            </w:pPr>
            <w:hyperlink r:id="rId177" w:history="1">
              <w:r>
                <w:rPr>
                  <w:rStyle w:val="a5"/>
                  <w:rFonts w:ascii="Arial" w:eastAsia="宋体" w:hAnsi="Arial" w:cs="Arial"/>
                  <w:sz w:val="20"/>
                  <w:szCs w:val="20"/>
                </w:rPr>
                <w:t>31.2</w:t>
              </w:r>
            </w:hyperlink>
          </w:p>
        </w:tc>
        <w:tc>
          <w:tcPr>
            <w:tcW w:w="0" w:type="auto"/>
            <w:shd w:val="clear" w:color="auto" w:fill="auto"/>
            <w:tcMar>
              <w:top w:w="40" w:type="dxa"/>
              <w:left w:w="40" w:type="dxa"/>
              <w:bottom w:w="40" w:type="dxa"/>
              <w:right w:w="40" w:type="dxa"/>
            </w:tcMar>
            <w:vAlign w:val="bottom"/>
          </w:tcPr>
          <w:p w14:paraId="555704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B4" w14:textId="77777777" w:rsidR="00F925DD" w:rsidRDefault="00E705D7">
            <w:pPr>
              <w:textAlignment w:val="center"/>
              <w:rPr>
                <w:rFonts w:ascii="Times New Roman" w:hAnsi="Times New Roman"/>
                <w:sz w:val="20"/>
                <w:szCs w:val="20"/>
              </w:rPr>
            </w:pPr>
            <w:hyperlink r:id="rId178" w:history="1">
              <w:r>
                <w:rPr>
                  <w:rStyle w:val="a5"/>
                  <w:rFonts w:ascii="Arial" w:eastAsia="宋体" w:hAnsi="Arial" w:cs="Arial"/>
                  <w:sz w:val="20"/>
                  <w:szCs w:val="20"/>
                </w:rPr>
                <w:t>Rule 13a-14(a)/15d-14(a) Certificati</w:t>
              </w:r>
              <w:r>
                <w:rPr>
                  <w:rStyle w:val="a5"/>
                  <w:rFonts w:ascii="Arial" w:eastAsia="宋体" w:hAnsi="Arial" w:cs="Arial"/>
                  <w:sz w:val="20"/>
                  <w:szCs w:val="20"/>
                </w:rPr>
                <w:t>on of Chief Financial Officer</w:t>
              </w:r>
            </w:hyperlink>
          </w:p>
        </w:tc>
      </w:tr>
      <w:tr w:rsidR="00F925DD" w14:paraId="555704BA" w14:textId="77777777">
        <w:trPr>
          <w:jc w:val="center"/>
        </w:trPr>
        <w:tc>
          <w:tcPr>
            <w:tcW w:w="0" w:type="auto"/>
            <w:shd w:val="clear" w:color="auto" w:fill="auto"/>
            <w:tcMar>
              <w:top w:w="40" w:type="dxa"/>
              <w:left w:w="40" w:type="dxa"/>
              <w:bottom w:w="40" w:type="dxa"/>
              <w:right w:w="40" w:type="dxa"/>
            </w:tcMar>
            <w:vAlign w:val="bottom"/>
          </w:tcPr>
          <w:p w14:paraId="555704B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B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B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BF" w14:textId="77777777">
        <w:trPr>
          <w:jc w:val="center"/>
        </w:trPr>
        <w:tc>
          <w:tcPr>
            <w:tcW w:w="0" w:type="auto"/>
            <w:shd w:val="clear" w:color="auto" w:fill="auto"/>
            <w:tcMar>
              <w:top w:w="40" w:type="dxa"/>
              <w:left w:w="40" w:type="dxa"/>
              <w:bottom w:w="40" w:type="dxa"/>
              <w:right w:w="40" w:type="dxa"/>
            </w:tcMar>
            <w:vAlign w:val="bottom"/>
          </w:tcPr>
          <w:p w14:paraId="555704B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BC" w14:textId="77777777" w:rsidR="00F925DD" w:rsidRDefault="00E705D7">
            <w:pPr>
              <w:textAlignment w:val="center"/>
              <w:rPr>
                <w:rFonts w:ascii="Times New Roman" w:hAnsi="Times New Roman"/>
                <w:sz w:val="20"/>
                <w:szCs w:val="20"/>
              </w:rPr>
            </w:pPr>
            <w:hyperlink r:id="rId179" w:history="1">
              <w:r>
                <w:rPr>
                  <w:rStyle w:val="a5"/>
                  <w:rFonts w:ascii="Arial" w:eastAsia="宋体" w:hAnsi="Arial" w:cs="Arial"/>
                  <w:sz w:val="20"/>
                  <w:szCs w:val="20"/>
                </w:rPr>
                <w:t>32</w:t>
              </w:r>
            </w:hyperlink>
          </w:p>
        </w:tc>
        <w:tc>
          <w:tcPr>
            <w:tcW w:w="0" w:type="auto"/>
            <w:shd w:val="clear" w:color="auto" w:fill="auto"/>
            <w:tcMar>
              <w:top w:w="40" w:type="dxa"/>
              <w:left w:w="40" w:type="dxa"/>
              <w:bottom w:w="40" w:type="dxa"/>
              <w:right w:w="40" w:type="dxa"/>
            </w:tcMar>
            <w:vAlign w:val="bottom"/>
          </w:tcPr>
          <w:p w14:paraId="555704B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BE" w14:textId="77777777" w:rsidR="00F925DD" w:rsidRDefault="00E705D7">
            <w:pPr>
              <w:textAlignment w:val="center"/>
              <w:rPr>
                <w:rFonts w:ascii="Times New Roman" w:hAnsi="Times New Roman"/>
                <w:sz w:val="20"/>
                <w:szCs w:val="20"/>
              </w:rPr>
            </w:pPr>
            <w:hyperlink r:id="rId180" w:history="1">
              <w:r>
                <w:rPr>
                  <w:rStyle w:val="a5"/>
                  <w:rFonts w:ascii="Arial" w:eastAsia="宋体" w:hAnsi="Arial" w:cs="Arial"/>
                  <w:sz w:val="20"/>
                  <w:szCs w:val="20"/>
                </w:rPr>
                <w:t>Section 1350 Certifications</w:t>
              </w:r>
            </w:hyperlink>
          </w:p>
        </w:tc>
      </w:tr>
      <w:tr w:rsidR="00F925DD" w14:paraId="555704C4" w14:textId="77777777">
        <w:trPr>
          <w:jc w:val="center"/>
        </w:trPr>
        <w:tc>
          <w:tcPr>
            <w:tcW w:w="0" w:type="auto"/>
            <w:shd w:val="clear" w:color="auto" w:fill="auto"/>
            <w:tcMar>
              <w:top w:w="40" w:type="dxa"/>
              <w:left w:w="40" w:type="dxa"/>
              <w:bottom w:w="40" w:type="dxa"/>
              <w:right w:w="40" w:type="dxa"/>
            </w:tcMar>
            <w:vAlign w:val="bottom"/>
          </w:tcPr>
          <w:p w14:paraId="555704C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C9" w14:textId="77777777">
        <w:trPr>
          <w:jc w:val="center"/>
        </w:trPr>
        <w:tc>
          <w:tcPr>
            <w:tcW w:w="0" w:type="auto"/>
            <w:shd w:val="clear" w:color="auto" w:fill="auto"/>
            <w:tcMar>
              <w:top w:w="40" w:type="dxa"/>
              <w:left w:w="40" w:type="dxa"/>
              <w:bottom w:w="40" w:type="dxa"/>
              <w:right w:w="40" w:type="dxa"/>
            </w:tcMar>
            <w:vAlign w:val="bottom"/>
          </w:tcPr>
          <w:p w14:paraId="555704C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555704C6" w14:textId="77777777" w:rsidR="00F925DD" w:rsidRDefault="00E705D7">
            <w:pPr>
              <w:textAlignment w:val="center"/>
              <w:rPr>
                <w:rFonts w:ascii="Times New Roman" w:hAnsi="Times New Roman"/>
                <w:sz w:val="20"/>
                <w:szCs w:val="20"/>
              </w:rPr>
            </w:pPr>
            <w:r>
              <w:rPr>
                <w:rFonts w:ascii="Arial" w:eastAsia="宋体" w:hAnsi="Arial" w:cs="Arial"/>
                <w:sz w:val="20"/>
                <w:szCs w:val="20"/>
              </w:rPr>
              <w:t>101.INS</w:t>
            </w:r>
          </w:p>
        </w:tc>
        <w:tc>
          <w:tcPr>
            <w:tcW w:w="0" w:type="auto"/>
            <w:shd w:val="clear" w:color="auto" w:fill="auto"/>
            <w:tcMar>
              <w:top w:w="40" w:type="dxa"/>
              <w:left w:w="40" w:type="dxa"/>
              <w:bottom w:w="40" w:type="dxa"/>
              <w:right w:w="40" w:type="dxa"/>
            </w:tcMar>
            <w:vAlign w:val="bottom"/>
          </w:tcPr>
          <w:p w14:paraId="555704C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4C8" w14:textId="77777777" w:rsidR="00F925DD" w:rsidRDefault="00E705D7">
            <w:pPr>
              <w:textAlignment w:val="top"/>
              <w:rPr>
                <w:rFonts w:ascii="Times New Roman" w:hAnsi="Times New Roman"/>
                <w:sz w:val="20"/>
                <w:szCs w:val="20"/>
              </w:rPr>
            </w:pPr>
            <w:r>
              <w:rPr>
                <w:rFonts w:ascii="Arial" w:eastAsia="宋体" w:hAnsi="Arial" w:cs="Arial"/>
                <w:sz w:val="20"/>
                <w:szCs w:val="20"/>
              </w:rPr>
              <w:t xml:space="preserve">The instance document does not appear in the interactive data file because its XBRL tags are </w:t>
            </w:r>
            <w:r>
              <w:rPr>
                <w:rFonts w:ascii="Arial" w:eastAsia="宋体" w:hAnsi="Arial" w:cs="Arial"/>
                <w:sz w:val="20"/>
                <w:szCs w:val="20"/>
              </w:rPr>
              <w:t>embedded within the inline XBRL document</w:t>
            </w:r>
          </w:p>
        </w:tc>
      </w:tr>
      <w:tr w:rsidR="00F925DD" w14:paraId="555704CE" w14:textId="77777777">
        <w:trPr>
          <w:jc w:val="center"/>
        </w:trPr>
        <w:tc>
          <w:tcPr>
            <w:tcW w:w="0" w:type="auto"/>
            <w:shd w:val="clear" w:color="auto" w:fill="auto"/>
            <w:tcMar>
              <w:top w:w="40" w:type="dxa"/>
              <w:left w:w="40" w:type="dxa"/>
              <w:bottom w:w="40" w:type="dxa"/>
              <w:right w:w="40" w:type="dxa"/>
            </w:tcMar>
            <w:vAlign w:val="bottom"/>
          </w:tcPr>
          <w:p w14:paraId="555704C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C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C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D3" w14:textId="77777777">
        <w:trPr>
          <w:jc w:val="center"/>
        </w:trPr>
        <w:tc>
          <w:tcPr>
            <w:tcW w:w="0" w:type="auto"/>
            <w:shd w:val="clear" w:color="auto" w:fill="auto"/>
            <w:tcMar>
              <w:top w:w="40" w:type="dxa"/>
              <w:left w:w="40" w:type="dxa"/>
              <w:bottom w:w="40" w:type="dxa"/>
              <w:right w:w="40" w:type="dxa"/>
            </w:tcMar>
            <w:vAlign w:val="bottom"/>
          </w:tcPr>
          <w:p w14:paraId="555704CF" w14:textId="77777777" w:rsidR="00F925DD" w:rsidRDefault="00E705D7">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555704D0" w14:textId="77777777" w:rsidR="00F925DD" w:rsidRDefault="00E705D7">
            <w:pPr>
              <w:textAlignment w:val="bottom"/>
              <w:rPr>
                <w:rFonts w:ascii="Times New Roman" w:hAnsi="Times New Roman"/>
                <w:sz w:val="20"/>
                <w:szCs w:val="20"/>
              </w:rPr>
            </w:pPr>
            <w:r>
              <w:rPr>
                <w:rFonts w:ascii="Arial" w:eastAsia="宋体" w:hAnsi="Arial" w:cs="Arial"/>
                <w:sz w:val="20"/>
                <w:szCs w:val="20"/>
              </w:rPr>
              <w:t>101.SCH</w:t>
            </w:r>
          </w:p>
        </w:tc>
        <w:tc>
          <w:tcPr>
            <w:tcW w:w="0" w:type="auto"/>
            <w:shd w:val="clear" w:color="auto" w:fill="auto"/>
            <w:tcMar>
              <w:top w:w="40" w:type="dxa"/>
              <w:left w:w="40" w:type="dxa"/>
              <w:bottom w:w="40" w:type="dxa"/>
              <w:right w:w="40" w:type="dxa"/>
            </w:tcMar>
            <w:vAlign w:val="bottom"/>
          </w:tcPr>
          <w:p w14:paraId="555704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4D2" w14:textId="77777777" w:rsidR="00F925DD" w:rsidRDefault="00E705D7">
            <w:pPr>
              <w:textAlignment w:val="top"/>
              <w:rPr>
                <w:rFonts w:ascii="Times New Roman" w:hAnsi="Times New Roman"/>
                <w:sz w:val="20"/>
                <w:szCs w:val="20"/>
              </w:rPr>
            </w:pPr>
            <w:r>
              <w:rPr>
                <w:rFonts w:ascii="Arial" w:eastAsia="宋体" w:hAnsi="Arial" w:cs="Arial"/>
                <w:sz w:val="20"/>
                <w:szCs w:val="20"/>
              </w:rPr>
              <w:t>Inline XBRL Taxonomy Extension Schema Document</w:t>
            </w:r>
          </w:p>
        </w:tc>
      </w:tr>
      <w:tr w:rsidR="00F925DD" w14:paraId="555704D8" w14:textId="77777777">
        <w:trPr>
          <w:jc w:val="center"/>
        </w:trPr>
        <w:tc>
          <w:tcPr>
            <w:tcW w:w="0" w:type="auto"/>
            <w:shd w:val="clear" w:color="auto" w:fill="auto"/>
            <w:tcMar>
              <w:top w:w="40" w:type="dxa"/>
              <w:left w:w="40" w:type="dxa"/>
              <w:bottom w:w="40" w:type="dxa"/>
              <w:right w:w="40" w:type="dxa"/>
            </w:tcMar>
            <w:vAlign w:val="bottom"/>
          </w:tcPr>
          <w:p w14:paraId="555704D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D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D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DD" w14:textId="77777777">
        <w:trPr>
          <w:jc w:val="center"/>
        </w:trPr>
        <w:tc>
          <w:tcPr>
            <w:tcW w:w="0" w:type="auto"/>
            <w:shd w:val="clear" w:color="auto" w:fill="auto"/>
            <w:tcMar>
              <w:top w:w="40" w:type="dxa"/>
              <w:left w:w="40" w:type="dxa"/>
              <w:bottom w:w="40" w:type="dxa"/>
              <w:right w:w="40" w:type="dxa"/>
            </w:tcMar>
            <w:vAlign w:val="bottom"/>
          </w:tcPr>
          <w:p w14:paraId="555704D9" w14:textId="77777777" w:rsidR="00F925DD" w:rsidRDefault="00E705D7">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555704DA" w14:textId="77777777" w:rsidR="00F925DD" w:rsidRDefault="00E705D7">
            <w:pPr>
              <w:textAlignment w:val="bottom"/>
              <w:rPr>
                <w:rFonts w:ascii="Times New Roman" w:hAnsi="Times New Roman"/>
                <w:sz w:val="20"/>
                <w:szCs w:val="20"/>
              </w:rPr>
            </w:pPr>
            <w:r>
              <w:rPr>
                <w:rFonts w:ascii="Arial" w:eastAsia="宋体" w:hAnsi="Arial" w:cs="Arial"/>
                <w:sz w:val="20"/>
                <w:szCs w:val="20"/>
              </w:rPr>
              <w:t>101.CAL</w:t>
            </w:r>
          </w:p>
        </w:tc>
        <w:tc>
          <w:tcPr>
            <w:tcW w:w="0" w:type="auto"/>
            <w:shd w:val="clear" w:color="auto" w:fill="auto"/>
            <w:tcMar>
              <w:top w:w="40" w:type="dxa"/>
              <w:left w:w="40" w:type="dxa"/>
              <w:bottom w:w="40" w:type="dxa"/>
              <w:right w:w="40" w:type="dxa"/>
            </w:tcMar>
            <w:vAlign w:val="bottom"/>
          </w:tcPr>
          <w:p w14:paraId="555704D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4DC" w14:textId="77777777" w:rsidR="00F925DD" w:rsidRDefault="00E705D7">
            <w:pPr>
              <w:textAlignment w:val="top"/>
              <w:rPr>
                <w:rFonts w:ascii="Times New Roman" w:hAnsi="Times New Roman"/>
                <w:sz w:val="20"/>
                <w:szCs w:val="20"/>
              </w:rPr>
            </w:pPr>
            <w:r>
              <w:rPr>
                <w:rFonts w:ascii="Arial" w:eastAsia="宋体" w:hAnsi="Arial" w:cs="Arial"/>
                <w:sz w:val="20"/>
                <w:szCs w:val="20"/>
              </w:rPr>
              <w:t>Inline XBRL Taxonomy Calculation Linkbase Document</w:t>
            </w:r>
          </w:p>
        </w:tc>
      </w:tr>
      <w:tr w:rsidR="00F925DD" w14:paraId="555704E2" w14:textId="77777777">
        <w:trPr>
          <w:jc w:val="center"/>
        </w:trPr>
        <w:tc>
          <w:tcPr>
            <w:tcW w:w="0" w:type="auto"/>
            <w:shd w:val="clear" w:color="auto" w:fill="auto"/>
            <w:tcMar>
              <w:top w:w="40" w:type="dxa"/>
              <w:left w:w="40" w:type="dxa"/>
              <w:bottom w:w="40" w:type="dxa"/>
              <w:right w:w="40" w:type="dxa"/>
            </w:tcMar>
            <w:vAlign w:val="bottom"/>
          </w:tcPr>
          <w:p w14:paraId="555704D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E7" w14:textId="77777777">
        <w:trPr>
          <w:jc w:val="center"/>
        </w:trPr>
        <w:tc>
          <w:tcPr>
            <w:tcW w:w="0" w:type="auto"/>
            <w:shd w:val="clear" w:color="auto" w:fill="auto"/>
            <w:tcMar>
              <w:top w:w="40" w:type="dxa"/>
              <w:left w:w="40" w:type="dxa"/>
              <w:bottom w:w="40" w:type="dxa"/>
              <w:right w:w="40" w:type="dxa"/>
            </w:tcMar>
            <w:vAlign w:val="bottom"/>
          </w:tcPr>
          <w:p w14:paraId="555704E3" w14:textId="77777777" w:rsidR="00F925DD" w:rsidRDefault="00E705D7">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555704E4" w14:textId="77777777" w:rsidR="00F925DD" w:rsidRDefault="00E705D7">
            <w:pPr>
              <w:textAlignment w:val="bottom"/>
              <w:rPr>
                <w:rFonts w:ascii="Times New Roman" w:hAnsi="Times New Roman"/>
                <w:sz w:val="20"/>
                <w:szCs w:val="20"/>
              </w:rPr>
            </w:pPr>
            <w:r>
              <w:rPr>
                <w:rFonts w:ascii="Arial" w:eastAsia="宋体" w:hAnsi="Arial" w:cs="Arial"/>
                <w:sz w:val="20"/>
                <w:szCs w:val="20"/>
              </w:rPr>
              <w:t>101.DEF</w:t>
            </w:r>
          </w:p>
        </w:tc>
        <w:tc>
          <w:tcPr>
            <w:tcW w:w="0" w:type="auto"/>
            <w:shd w:val="clear" w:color="auto" w:fill="auto"/>
            <w:tcMar>
              <w:top w:w="40" w:type="dxa"/>
              <w:left w:w="40" w:type="dxa"/>
              <w:bottom w:w="40" w:type="dxa"/>
              <w:right w:w="40" w:type="dxa"/>
            </w:tcMar>
            <w:vAlign w:val="bottom"/>
          </w:tcPr>
          <w:p w14:paraId="555704E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4E6" w14:textId="77777777" w:rsidR="00F925DD" w:rsidRDefault="00E705D7">
            <w:pPr>
              <w:textAlignment w:val="top"/>
              <w:rPr>
                <w:rFonts w:ascii="Times New Roman" w:hAnsi="Times New Roman"/>
                <w:sz w:val="20"/>
                <w:szCs w:val="20"/>
              </w:rPr>
            </w:pPr>
            <w:r>
              <w:rPr>
                <w:rFonts w:ascii="Arial" w:eastAsia="宋体" w:hAnsi="Arial" w:cs="Arial"/>
                <w:sz w:val="20"/>
                <w:szCs w:val="20"/>
              </w:rPr>
              <w:t xml:space="preserve">Inline XBRL Taxonomy Extension Definition </w:t>
            </w:r>
            <w:r>
              <w:rPr>
                <w:rFonts w:ascii="Arial" w:eastAsia="宋体" w:hAnsi="Arial" w:cs="Arial"/>
                <w:sz w:val="20"/>
                <w:szCs w:val="20"/>
              </w:rPr>
              <w:t>Linkbase Document</w:t>
            </w:r>
          </w:p>
        </w:tc>
      </w:tr>
      <w:tr w:rsidR="00F925DD" w14:paraId="555704EC" w14:textId="77777777">
        <w:trPr>
          <w:jc w:val="center"/>
        </w:trPr>
        <w:tc>
          <w:tcPr>
            <w:tcW w:w="0" w:type="auto"/>
            <w:shd w:val="clear" w:color="auto" w:fill="auto"/>
            <w:tcMar>
              <w:top w:w="40" w:type="dxa"/>
              <w:left w:w="40" w:type="dxa"/>
              <w:bottom w:w="40" w:type="dxa"/>
              <w:right w:w="40" w:type="dxa"/>
            </w:tcMar>
            <w:vAlign w:val="bottom"/>
          </w:tcPr>
          <w:p w14:paraId="555704E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E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E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F1" w14:textId="77777777">
        <w:trPr>
          <w:jc w:val="center"/>
        </w:trPr>
        <w:tc>
          <w:tcPr>
            <w:tcW w:w="0" w:type="auto"/>
            <w:shd w:val="clear" w:color="auto" w:fill="auto"/>
            <w:tcMar>
              <w:top w:w="40" w:type="dxa"/>
              <w:left w:w="40" w:type="dxa"/>
              <w:bottom w:w="40" w:type="dxa"/>
              <w:right w:w="40" w:type="dxa"/>
            </w:tcMar>
            <w:vAlign w:val="bottom"/>
          </w:tcPr>
          <w:p w14:paraId="555704ED" w14:textId="77777777" w:rsidR="00F925DD" w:rsidRDefault="00E705D7">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555704EE" w14:textId="77777777" w:rsidR="00F925DD" w:rsidRDefault="00E705D7">
            <w:pPr>
              <w:textAlignment w:val="bottom"/>
              <w:rPr>
                <w:rFonts w:ascii="Times New Roman" w:hAnsi="Times New Roman"/>
                <w:sz w:val="20"/>
                <w:szCs w:val="20"/>
              </w:rPr>
            </w:pPr>
            <w:r>
              <w:rPr>
                <w:rFonts w:ascii="Arial" w:eastAsia="宋体" w:hAnsi="Arial" w:cs="Arial"/>
                <w:sz w:val="20"/>
                <w:szCs w:val="20"/>
              </w:rPr>
              <w:t>101.LAB</w:t>
            </w:r>
          </w:p>
        </w:tc>
        <w:tc>
          <w:tcPr>
            <w:tcW w:w="0" w:type="auto"/>
            <w:shd w:val="clear" w:color="auto" w:fill="auto"/>
            <w:tcMar>
              <w:top w:w="40" w:type="dxa"/>
              <w:left w:w="40" w:type="dxa"/>
              <w:bottom w:w="40" w:type="dxa"/>
              <w:right w:w="40" w:type="dxa"/>
            </w:tcMar>
            <w:vAlign w:val="bottom"/>
          </w:tcPr>
          <w:p w14:paraId="555704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4F0" w14:textId="77777777" w:rsidR="00F925DD" w:rsidRDefault="00E705D7">
            <w:pPr>
              <w:textAlignment w:val="top"/>
              <w:rPr>
                <w:rFonts w:ascii="Times New Roman" w:hAnsi="Times New Roman"/>
                <w:sz w:val="20"/>
                <w:szCs w:val="20"/>
              </w:rPr>
            </w:pPr>
            <w:r>
              <w:rPr>
                <w:rFonts w:ascii="Arial" w:eastAsia="宋体" w:hAnsi="Arial" w:cs="Arial"/>
                <w:sz w:val="20"/>
                <w:szCs w:val="20"/>
              </w:rPr>
              <w:t>Inline XBRL Taxonomy Label Linkbase Document</w:t>
            </w:r>
          </w:p>
        </w:tc>
      </w:tr>
      <w:tr w:rsidR="00F925DD" w14:paraId="555704F6" w14:textId="77777777">
        <w:trPr>
          <w:jc w:val="center"/>
        </w:trPr>
        <w:tc>
          <w:tcPr>
            <w:tcW w:w="0" w:type="auto"/>
            <w:shd w:val="clear" w:color="auto" w:fill="auto"/>
            <w:tcMar>
              <w:top w:w="40" w:type="dxa"/>
              <w:left w:w="40" w:type="dxa"/>
              <w:bottom w:w="40" w:type="dxa"/>
              <w:right w:w="40" w:type="dxa"/>
            </w:tcMar>
            <w:vAlign w:val="bottom"/>
          </w:tcPr>
          <w:p w14:paraId="555704F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F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F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F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4FB" w14:textId="77777777">
        <w:trPr>
          <w:jc w:val="center"/>
        </w:trPr>
        <w:tc>
          <w:tcPr>
            <w:tcW w:w="0" w:type="auto"/>
            <w:shd w:val="clear" w:color="auto" w:fill="auto"/>
            <w:tcMar>
              <w:top w:w="40" w:type="dxa"/>
              <w:left w:w="40" w:type="dxa"/>
              <w:bottom w:w="40" w:type="dxa"/>
              <w:right w:w="40" w:type="dxa"/>
            </w:tcMar>
            <w:vAlign w:val="bottom"/>
          </w:tcPr>
          <w:p w14:paraId="555704F7" w14:textId="77777777" w:rsidR="00F925DD" w:rsidRDefault="00E705D7">
            <w:pPr>
              <w:textAlignment w:val="bottom"/>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555704F8" w14:textId="77777777" w:rsidR="00F925DD" w:rsidRDefault="00E705D7">
            <w:pPr>
              <w:textAlignment w:val="bottom"/>
              <w:rPr>
                <w:rFonts w:ascii="Times New Roman" w:hAnsi="Times New Roman"/>
                <w:sz w:val="20"/>
                <w:szCs w:val="20"/>
              </w:rPr>
            </w:pPr>
            <w:r>
              <w:rPr>
                <w:rFonts w:ascii="Arial" w:eastAsia="宋体" w:hAnsi="Arial" w:cs="Arial"/>
                <w:sz w:val="20"/>
                <w:szCs w:val="20"/>
              </w:rPr>
              <w:t>101.PRE</w:t>
            </w:r>
          </w:p>
        </w:tc>
        <w:tc>
          <w:tcPr>
            <w:tcW w:w="0" w:type="auto"/>
            <w:shd w:val="clear" w:color="auto" w:fill="auto"/>
            <w:tcMar>
              <w:top w:w="40" w:type="dxa"/>
              <w:left w:w="40" w:type="dxa"/>
              <w:bottom w:w="40" w:type="dxa"/>
              <w:right w:w="40" w:type="dxa"/>
            </w:tcMar>
            <w:vAlign w:val="bottom"/>
          </w:tcPr>
          <w:p w14:paraId="555704F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4FA" w14:textId="77777777" w:rsidR="00F925DD" w:rsidRDefault="00E705D7">
            <w:pPr>
              <w:textAlignment w:val="top"/>
              <w:rPr>
                <w:rFonts w:ascii="Times New Roman" w:hAnsi="Times New Roman"/>
                <w:sz w:val="20"/>
                <w:szCs w:val="20"/>
              </w:rPr>
            </w:pPr>
            <w:r>
              <w:rPr>
                <w:rFonts w:ascii="Arial" w:eastAsia="宋体" w:hAnsi="Arial" w:cs="Arial"/>
                <w:sz w:val="20"/>
                <w:szCs w:val="20"/>
              </w:rPr>
              <w:t>Inline XBRL Taxonomy Presentation Linkbase Document</w:t>
            </w:r>
          </w:p>
        </w:tc>
      </w:tr>
      <w:tr w:rsidR="00F925DD" w14:paraId="55570500" w14:textId="77777777">
        <w:trPr>
          <w:jc w:val="center"/>
        </w:trPr>
        <w:tc>
          <w:tcPr>
            <w:tcW w:w="0" w:type="auto"/>
            <w:shd w:val="clear" w:color="auto" w:fill="auto"/>
            <w:tcMar>
              <w:top w:w="40" w:type="dxa"/>
              <w:left w:w="40" w:type="dxa"/>
              <w:bottom w:w="40" w:type="dxa"/>
              <w:right w:w="40" w:type="dxa"/>
            </w:tcMar>
            <w:vAlign w:val="bottom"/>
          </w:tcPr>
          <w:p w14:paraId="555704F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F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F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4F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505" w14:textId="77777777">
        <w:trPr>
          <w:jc w:val="center"/>
        </w:trPr>
        <w:tc>
          <w:tcPr>
            <w:tcW w:w="0" w:type="auto"/>
            <w:shd w:val="clear" w:color="auto" w:fill="auto"/>
            <w:tcMar>
              <w:top w:w="40" w:type="dxa"/>
              <w:left w:w="40" w:type="dxa"/>
              <w:bottom w:w="40" w:type="dxa"/>
              <w:right w:w="40" w:type="dxa"/>
            </w:tcMar>
            <w:vAlign w:val="center"/>
          </w:tcPr>
          <w:p w14:paraId="55570501" w14:textId="77777777" w:rsidR="00F925DD" w:rsidRDefault="00E705D7">
            <w:pPr>
              <w:textAlignment w:val="center"/>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center"/>
          </w:tcPr>
          <w:p w14:paraId="55570502" w14:textId="77777777" w:rsidR="00F925DD" w:rsidRDefault="00E705D7">
            <w:pPr>
              <w:textAlignment w:val="center"/>
              <w:rPr>
                <w:rFonts w:ascii="Times New Roman" w:hAnsi="Times New Roman"/>
                <w:sz w:val="20"/>
                <w:szCs w:val="20"/>
              </w:rPr>
            </w:pPr>
            <w:r>
              <w:rPr>
                <w:rFonts w:ascii="Arial" w:eastAsia="宋体" w:hAnsi="Arial" w:cs="Arial"/>
                <w:sz w:val="20"/>
                <w:szCs w:val="20"/>
              </w:rPr>
              <w:t>104</w:t>
            </w:r>
          </w:p>
        </w:tc>
        <w:tc>
          <w:tcPr>
            <w:tcW w:w="0" w:type="auto"/>
            <w:shd w:val="clear" w:color="auto" w:fill="auto"/>
            <w:tcMar>
              <w:top w:w="40" w:type="dxa"/>
              <w:left w:w="40" w:type="dxa"/>
              <w:bottom w:w="40" w:type="dxa"/>
              <w:right w:w="40" w:type="dxa"/>
            </w:tcMar>
            <w:vAlign w:val="bottom"/>
          </w:tcPr>
          <w:p w14:paraId="5557050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504" w14:textId="77777777" w:rsidR="00F925DD" w:rsidRDefault="00E705D7">
            <w:pPr>
              <w:textAlignment w:val="top"/>
              <w:rPr>
                <w:rFonts w:ascii="Times New Roman" w:hAnsi="Times New Roman"/>
                <w:sz w:val="20"/>
                <w:szCs w:val="20"/>
              </w:rPr>
            </w:pPr>
            <w:r>
              <w:rPr>
                <w:rFonts w:ascii="Arial" w:eastAsia="宋体" w:hAnsi="Arial" w:cs="Arial"/>
                <w:sz w:val="20"/>
                <w:szCs w:val="20"/>
              </w:rPr>
              <w:t xml:space="preserve">Cover Page Interactive Data File (formatted as Inline XBRL and included </w:t>
            </w:r>
            <w:r>
              <w:rPr>
                <w:rFonts w:ascii="Arial" w:eastAsia="宋体" w:hAnsi="Arial" w:cs="Arial"/>
                <w:sz w:val="20"/>
                <w:szCs w:val="20"/>
              </w:rPr>
              <w:t>within the Exhibit 101 attachments)</w:t>
            </w:r>
          </w:p>
        </w:tc>
      </w:tr>
    </w:tbl>
    <w:p w14:paraId="55570506" w14:textId="77777777" w:rsidR="00F925DD" w:rsidRDefault="00F925DD">
      <w:pPr>
        <w:rPr>
          <w:vanish/>
        </w:rPr>
      </w:pPr>
    </w:p>
    <w:tbl>
      <w:tblPr>
        <w:tblW w:w="5000" w:type="pct"/>
        <w:tblCellMar>
          <w:left w:w="0" w:type="dxa"/>
          <w:right w:w="0" w:type="dxa"/>
        </w:tblCellMar>
        <w:tblLook w:val="04A0" w:firstRow="1" w:lastRow="0" w:firstColumn="1" w:lastColumn="0" w:noHBand="0" w:noVBand="1"/>
      </w:tblPr>
      <w:tblGrid>
        <w:gridCol w:w="2243"/>
        <w:gridCol w:w="1661"/>
        <w:gridCol w:w="1661"/>
        <w:gridCol w:w="2741"/>
      </w:tblGrid>
      <w:tr w:rsidR="00F925DD" w14:paraId="55570508" w14:textId="77777777">
        <w:tc>
          <w:tcPr>
            <w:tcW w:w="0" w:type="auto"/>
            <w:gridSpan w:val="4"/>
            <w:shd w:val="clear" w:color="auto" w:fill="auto"/>
            <w:vAlign w:val="center"/>
          </w:tcPr>
          <w:p w14:paraId="55570507" w14:textId="77777777" w:rsidR="00F925DD" w:rsidRDefault="00F925DD">
            <w:pPr>
              <w:rPr>
                <w:rFonts w:ascii="Times New Roman" w:hAnsi="Times New Roman"/>
                <w:sz w:val="20"/>
                <w:szCs w:val="20"/>
              </w:rPr>
            </w:pPr>
          </w:p>
        </w:tc>
      </w:tr>
      <w:tr w:rsidR="00F925DD" w14:paraId="5557050D" w14:textId="77777777">
        <w:tc>
          <w:tcPr>
            <w:tcW w:w="1350" w:type="pct"/>
            <w:shd w:val="clear" w:color="auto" w:fill="auto"/>
            <w:vAlign w:val="center"/>
          </w:tcPr>
          <w:p w14:paraId="55570509" w14:textId="77777777" w:rsidR="00F925DD" w:rsidRDefault="00F925DD">
            <w:pPr>
              <w:rPr>
                <w:rFonts w:ascii="Times New Roman" w:hAnsi="Times New Roman"/>
                <w:sz w:val="20"/>
                <w:szCs w:val="20"/>
              </w:rPr>
            </w:pPr>
          </w:p>
        </w:tc>
        <w:tc>
          <w:tcPr>
            <w:tcW w:w="1000" w:type="pct"/>
            <w:shd w:val="clear" w:color="auto" w:fill="auto"/>
            <w:vAlign w:val="center"/>
          </w:tcPr>
          <w:p w14:paraId="5557050A" w14:textId="77777777" w:rsidR="00F925DD" w:rsidRDefault="00F925DD">
            <w:pPr>
              <w:rPr>
                <w:rFonts w:ascii="Times New Roman" w:hAnsi="Times New Roman"/>
                <w:sz w:val="20"/>
                <w:szCs w:val="20"/>
              </w:rPr>
            </w:pPr>
          </w:p>
        </w:tc>
        <w:tc>
          <w:tcPr>
            <w:tcW w:w="1000" w:type="pct"/>
            <w:shd w:val="clear" w:color="auto" w:fill="auto"/>
            <w:vAlign w:val="center"/>
          </w:tcPr>
          <w:p w14:paraId="5557050B" w14:textId="77777777" w:rsidR="00F925DD" w:rsidRDefault="00F925DD">
            <w:pPr>
              <w:rPr>
                <w:rFonts w:ascii="Times New Roman" w:hAnsi="Times New Roman"/>
                <w:sz w:val="20"/>
                <w:szCs w:val="20"/>
              </w:rPr>
            </w:pPr>
          </w:p>
        </w:tc>
        <w:tc>
          <w:tcPr>
            <w:tcW w:w="1650" w:type="pct"/>
            <w:shd w:val="clear" w:color="auto" w:fill="auto"/>
            <w:vAlign w:val="center"/>
          </w:tcPr>
          <w:p w14:paraId="5557050C" w14:textId="77777777" w:rsidR="00F925DD" w:rsidRDefault="00F925DD">
            <w:pPr>
              <w:rPr>
                <w:rFonts w:ascii="Times New Roman" w:hAnsi="Times New Roman"/>
                <w:sz w:val="20"/>
                <w:szCs w:val="20"/>
              </w:rPr>
            </w:pPr>
          </w:p>
        </w:tc>
      </w:tr>
      <w:tr w:rsidR="00F925DD" w14:paraId="55570512"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50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0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1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1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70513" w14:textId="77777777" w:rsidR="00F925DD" w:rsidRDefault="00F925DD">
      <w:pPr>
        <w:rPr>
          <w:vanish/>
        </w:rPr>
      </w:pPr>
    </w:p>
    <w:tbl>
      <w:tblPr>
        <w:tblW w:w="5000" w:type="pct"/>
        <w:jc w:val="center"/>
        <w:tblCellMar>
          <w:left w:w="0" w:type="dxa"/>
          <w:right w:w="0" w:type="dxa"/>
        </w:tblCellMar>
        <w:tblLook w:val="04A0" w:firstRow="1" w:lastRow="0" w:firstColumn="1" w:lastColumn="0" w:noHBand="0" w:noVBand="1"/>
      </w:tblPr>
      <w:tblGrid>
        <w:gridCol w:w="192"/>
        <w:gridCol w:w="130"/>
        <w:gridCol w:w="7984"/>
      </w:tblGrid>
      <w:tr w:rsidR="00F925DD" w14:paraId="55570515" w14:textId="77777777">
        <w:trPr>
          <w:jc w:val="center"/>
        </w:trPr>
        <w:tc>
          <w:tcPr>
            <w:tcW w:w="0" w:type="auto"/>
            <w:gridSpan w:val="3"/>
            <w:shd w:val="clear" w:color="auto" w:fill="auto"/>
            <w:vAlign w:val="center"/>
          </w:tcPr>
          <w:p w14:paraId="55570514" w14:textId="77777777" w:rsidR="00F925DD" w:rsidRDefault="00F925DD">
            <w:pPr>
              <w:rPr>
                <w:rFonts w:ascii="Times New Roman" w:hAnsi="Times New Roman"/>
                <w:sz w:val="20"/>
                <w:szCs w:val="20"/>
              </w:rPr>
            </w:pPr>
          </w:p>
        </w:tc>
      </w:tr>
      <w:tr w:rsidR="00F925DD" w14:paraId="55570519" w14:textId="77777777">
        <w:trPr>
          <w:jc w:val="center"/>
        </w:trPr>
        <w:tc>
          <w:tcPr>
            <w:tcW w:w="100" w:type="pct"/>
            <w:shd w:val="clear" w:color="auto" w:fill="auto"/>
            <w:vAlign w:val="center"/>
          </w:tcPr>
          <w:p w14:paraId="55570516" w14:textId="77777777" w:rsidR="00F925DD" w:rsidRDefault="00F925DD">
            <w:pPr>
              <w:rPr>
                <w:rFonts w:ascii="Times New Roman" w:hAnsi="Times New Roman"/>
                <w:sz w:val="20"/>
                <w:szCs w:val="20"/>
              </w:rPr>
            </w:pPr>
          </w:p>
        </w:tc>
        <w:tc>
          <w:tcPr>
            <w:tcW w:w="50" w:type="pct"/>
            <w:shd w:val="clear" w:color="auto" w:fill="auto"/>
            <w:vAlign w:val="center"/>
          </w:tcPr>
          <w:p w14:paraId="55570517" w14:textId="77777777" w:rsidR="00F925DD" w:rsidRDefault="00F925DD">
            <w:pPr>
              <w:rPr>
                <w:rFonts w:ascii="Times New Roman" w:hAnsi="Times New Roman"/>
                <w:sz w:val="20"/>
                <w:szCs w:val="20"/>
              </w:rPr>
            </w:pPr>
          </w:p>
        </w:tc>
        <w:tc>
          <w:tcPr>
            <w:tcW w:w="4850" w:type="pct"/>
            <w:shd w:val="clear" w:color="auto" w:fill="auto"/>
            <w:vAlign w:val="center"/>
          </w:tcPr>
          <w:p w14:paraId="55570518" w14:textId="77777777" w:rsidR="00F925DD" w:rsidRDefault="00F925DD">
            <w:pPr>
              <w:rPr>
                <w:rFonts w:ascii="Times New Roman" w:hAnsi="Times New Roman"/>
                <w:sz w:val="20"/>
                <w:szCs w:val="20"/>
              </w:rPr>
            </w:pPr>
          </w:p>
        </w:tc>
      </w:tr>
      <w:tr w:rsidR="00F925DD" w14:paraId="5557051D" w14:textId="77777777">
        <w:trPr>
          <w:jc w:val="center"/>
        </w:trPr>
        <w:tc>
          <w:tcPr>
            <w:tcW w:w="0" w:type="auto"/>
            <w:shd w:val="clear" w:color="auto" w:fill="auto"/>
            <w:tcMar>
              <w:top w:w="40" w:type="dxa"/>
              <w:left w:w="40" w:type="dxa"/>
              <w:bottom w:w="40" w:type="dxa"/>
              <w:right w:w="40" w:type="dxa"/>
            </w:tcMar>
          </w:tcPr>
          <w:p w14:paraId="5557051A" w14:textId="77777777" w:rsidR="00F925DD" w:rsidRDefault="00E705D7">
            <w:pPr>
              <w:jc w:val="right"/>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5557051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51C" w14:textId="77777777" w:rsidR="00F925DD" w:rsidRDefault="00E705D7">
            <w:pPr>
              <w:textAlignment w:val="top"/>
              <w:rPr>
                <w:rFonts w:ascii="Times New Roman" w:hAnsi="Times New Roman"/>
                <w:sz w:val="20"/>
                <w:szCs w:val="20"/>
              </w:rPr>
            </w:pPr>
            <w:r>
              <w:rPr>
                <w:rFonts w:ascii="Arial" w:eastAsia="宋体" w:hAnsi="Arial" w:cs="Arial"/>
                <w:sz w:val="20"/>
                <w:szCs w:val="20"/>
              </w:rPr>
              <w:t>Denotes management contract or compensatory plan or arrangement</w:t>
            </w:r>
          </w:p>
        </w:tc>
      </w:tr>
      <w:tr w:rsidR="00F925DD" w14:paraId="55570521" w14:textId="77777777">
        <w:trPr>
          <w:jc w:val="center"/>
        </w:trPr>
        <w:tc>
          <w:tcPr>
            <w:tcW w:w="0" w:type="auto"/>
            <w:shd w:val="clear" w:color="auto" w:fill="auto"/>
            <w:tcMar>
              <w:top w:w="40" w:type="dxa"/>
              <w:left w:w="40" w:type="dxa"/>
              <w:bottom w:w="40" w:type="dxa"/>
              <w:right w:w="40" w:type="dxa"/>
            </w:tcMar>
          </w:tcPr>
          <w:p w14:paraId="5557051E" w14:textId="77777777" w:rsidR="00F925DD" w:rsidRDefault="00E705D7">
            <w:pPr>
              <w:jc w:val="right"/>
              <w:textAlignment w:val="top"/>
              <w:rPr>
                <w:rFonts w:ascii="Times New Roman" w:hAnsi="Times New Roman"/>
                <w:sz w:val="20"/>
                <w:szCs w:val="20"/>
              </w:rPr>
            </w:pPr>
            <w:r>
              <w:rPr>
                <w:rFonts w:ascii="Arial" w:eastAsia="宋体" w:hAnsi="Arial" w:cs="Arial"/>
                <w:sz w:val="20"/>
                <w:szCs w:val="20"/>
              </w:rPr>
              <w:t>*</w:t>
            </w:r>
          </w:p>
        </w:tc>
        <w:tc>
          <w:tcPr>
            <w:tcW w:w="0" w:type="auto"/>
            <w:shd w:val="clear" w:color="auto" w:fill="auto"/>
            <w:tcMar>
              <w:top w:w="40" w:type="dxa"/>
              <w:left w:w="40" w:type="dxa"/>
              <w:bottom w:w="40" w:type="dxa"/>
              <w:right w:w="40" w:type="dxa"/>
            </w:tcMar>
            <w:vAlign w:val="bottom"/>
          </w:tcPr>
          <w:p w14:paraId="5557051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520" w14:textId="77777777" w:rsidR="00F925DD" w:rsidRDefault="00E705D7">
            <w:pPr>
              <w:textAlignment w:val="top"/>
              <w:rPr>
                <w:rFonts w:ascii="Times New Roman" w:hAnsi="Times New Roman"/>
                <w:sz w:val="20"/>
                <w:szCs w:val="20"/>
              </w:rPr>
            </w:pPr>
            <w:r>
              <w:rPr>
                <w:rFonts w:ascii="Arial" w:eastAsia="宋体" w:hAnsi="Arial" w:cs="Arial"/>
                <w:sz w:val="20"/>
                <w:szCs w:val="20"/>
              </w:rPr>
              <w:t>Submitted electronically herewith</w:t>
            </w:r>
          </w:p>
        </w:tc>
      </w:tr>
    </w:tbl>
    <w:p w14:paraId="55570522"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Attached as Exhibit 101 to this report are the following formatted in iXBRL </w:t>
      </w:r>
      <w:r>
        <w:rPr>
          <w:rFonts w:ascii="Arial" w:eastAsia="宋体" w:hAnsi="Arial" w:cs="Arial"/>
          <w:sz w:val="20"/>
          <w:szCs w:val="20"/>
        </w:rPr>
        <w:t>(Inline Extensible Business Reporting Language): (i) consolidated statement of income for the years ended December 31, 2019, 2018 and 2017, (ii) consolidated statement of comprehensive income for the years ended December 31, 2019, 2018 and 2017, (iii) cons</w:t>
      </w:r>
      <w:r>
        <w:rPr>
          <w:rFonts w:ascii="Arial" w:eastAsia="宋体" w:hAnsi="Arial" w:cs="Arial"/>
          <w:sz w:val="20"/>
          <w:szCs w:val="20"/>
        </w:rPr>
        <w:t>olidated statement of condition as of December 31, 2019 and December 31, 2018, (iv) consolidated statement of changes in shareholders' equity for the years ended December 31, 2019, 2018 and 2017, (v) consolidated statement of cash flows for the years ended</w:t>
      </w:r>
      <w:r>
        <w:rPr>
          <w:rFonts w:ascii="Arial" w:eastAsia="宋体" w:hAnsi="Arial" w:cs="Arial"/>
          <w:sz w:val="20"/>
          <w:szCs w:val="20"/>
        </w:rPr>
        <w:t xml:space="preserve"> December 31, 2019, 2018 and 2017, and (vi) notes to consolidated financial statements.</w:t>
      </w:r>
    </w:p>
    <w:p w14:paraId="55570523" w14:textId="77777777" w:rsidR="00F925DD" w:rsidRDefault="00F925DD">
      <w:pPr>
        <w:spacing w:line="288" w:lineRule="auto"/>
        <w:ind w:firstLine="600"/>
        <w:jc w:val="both"/>
        <w:rPr>
          <w:rFonts w:ascii="Times New Roman" w:hAnsi="Times New Roman"/>
          <w:sz w:val="20"/>
          <w:szCs w:val="20"/>
        </w:rPr>
      </w:pPr>
    </w:p>
    <w:p w14:paraId="55570524" w14:textId="77777777" w:rsidR="00F925DD" w:rsidRDefault="00F925DD">
      <w:pPr>
        <w:rPr>
          <w:rFonts w:ascii="Times New Roman" w:hAnsi="Times New Roman"/>
          <w:sz w:val="20"/>
          <w:szCs w:val="20"/>
        </w:rPr>
      </w:pPr>
    </w:p>
    <w:p w14:paraId="55570525"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187</w:t>
      </w:r>
    </w:p>
    <w:p w14:paraId="55570526" w14:textId="77777777" w:rsidR="00F925DD" w:rsidRDefault="00F925DD">
      <w:pPr>
        <w:spacing w:line="288" w:lineRule="auto"/>
        <w:ind w:firstLine="600"/>
        <w:jc w:val="center"/>
        <w:rPr>
          <w:rFonts w:ascii="Times New Roman" w:hAnsi="Times New Roman"/>
          <w:sz w:val="18"/>
          <w:szCs w:val="18"/>
        </w:rPr>
      </w:pPr>
    </w:p>
    <w:p w14:paraId="55570527" w14:textId="77777777" w:rsidR="00F925DD" w:rsidRDefault="00E705D7">
      <w:r>
        <w:rPr>
          <w:rFonts w:ascii="Times New Roman" w:hAnsi="Times New Roman"/>
          <w:sz w:val="18"/>
          <w:szCs w:val="18"/>
        </w:rPr>
        <w:pict w14:anchorId="555706F5">
          <v:rect id="_x0000_i1211" style="width:415.3pt;height:1.5pt" o:hralign="center" o:hrstd="t" o:hr="t" fillcolor="#a0a0a0" stroked="f"/>
        </w:pict>
      </w:r>
    </w:p>
    <w:p w14:paraId="55570528" w14:textId="77777777" w:rsidR="00F925DD" w:rsidRDefault="00F925DD">
      <w:pPr>
        <w:spacing w:line="288" w:lineRule="auto"/>
        <w:ind w:firstLine="600"/>
        <w:rPr>
          <w:rFonts w:ascii="Times New Roman" w:hAnsi="Times New Roman"/>
          <w:sz w:val="18"/>
          <w:szCs w:val="18"/>
        </w:rPr>
      </w:pPr>
    </w:p>
    <w:p w14:paraId="55570529" w14:textId="77777777" w:rsidR="00F925DD" w:rsidRDefault="00F925DD">
      <w:pPr>
        <w:rPr>
          <w:rFonts w:ascii="Times New Roman" w:hAnsi="Times New Roman"/>
          <w:sz w:val="20"/>
          <w:szCs w:val="20"/>
        </w:rPr>
      </w:pPr>
    </w:p>
    <w:p w14:paraId="5557052A" w14:textId="77777777" w:rsidR="00F925DD" w:rsidRDefault="00E705D7">
      <w:pPr>
        <w:spacing w:line="288" w:lineRule="auto"/>
        <w:ind w:firstLine="600"/>
        <w:jc w:val="center"/>
        <w:rPr>
          <w:rFonts w:ascii="Times New Roman" w:hAnsi="Times New Roman"/>
          <w:sz w:val="20"/>
          <w:szCs w:val="20"/>
        </w:rPr>
      </w:pPr>
      <w:r>
        <w:rPr>
          <w:rFonts w:ascii="Arial" w:eastAsia="宋体" w:hAnsi="Arial" w:cs="Arial"/>
          <w:b/>
          <w:bCs/>
          <w:sz w:val="20"/>
          <w:szCs w:val="20"/>
        </w:rPr>
        <w:t>SIGNATURES</w:t>
      </w:r>
    </w:p>
    <w:p w14:paraId="5557052B" w14:textId="77777777" w:rsidR="00F925DD" w:rsidRDefault="00E705D7">
      <w:pPr>
        <w:spacing w:line="288" w:lineRule="auto"/>
        <w:ind w:firstLine="600"/>
        <w:jc w:val="both"/>
        <w:rPr>
          <w:rFonts w:ascii="Times New Roman" w:hAnsi="Times New Roman"/>
          <w:sz w:val="20"/>
          <w:szCs w:val="20"/>
        </w:rPr>
      </w:pPr>
      <w:r>
        <w:rPr>
          <w:rFonts w:ascii="Arial" w:eastAsia="宋体" w:hAnsi="Arial" w:cs="Arial"/>
          <w:sz w:val="20"/>
          <w:szCs w:val="20"/>
        </w:rPr>
        <w:t xml:space="preserve">Pursuant to the requirement of Section 13 or 15(d) of the Securities Exchange Act of 1934, the registrant has duly </w:t>
      </w:r>
      <w:r>
        <w:rPr>
          <w:rFonts w:ascii="Arial" w:eastAsia="宋体" w:hAnsi="Arial" w:cs="Arial"/>
          <w:sz w:val="20"/>
          <w:szCs w:val="20"/>
        </w:rPr>
        <w:t>caused this report to be signed on its behalf by the undersigned, on February 20, 2020, hereunto duly authorized. </w:t>
      </w:r>
    </w:p>
    <w:tbl>
      <w:tblPr>
        <w:tblW w:w="5000" w:type="pct"/>
        <w:tblCellMar>
          <w:left w:w="0" w:type="dxa"/>
          <w:right w:w="0" w:type="dxa"/>
        </w:tblCellMar>
        <w:tblLook w:val="04A0" w:firstRow="1" w:lastRow="0" w:firstColumn="1" w:lastColumn="0" w:noHBand="0" w:noVBand="1"/>
      </w:tblPr>
      <w:tblGrid>
        <w:gridCol w:w="3987"/>
        <w:gridCol w:w="332"/>
        <w:gridCol w:w="3987"/>
      </w:tblGrid>
      <w:tr w:rsidR="00F925DD" w14:paraId="5557052D" w14:textId="77777777">
        <w:tc>
          <w:tcPr>
            <w:tcW w:w="0" w:type="auto"/>
            <w:gridSpan w:val="3"/>
            <w:shd w:val="clear" w:color="auto" w:fill="auto"/>
            <w:vAlign w:val="center"/>
          </w:tcPr>
          <w:p w14:paraId="5557052C" w14:textId="77777777" w:rsidR="00F925DD" w:rsidRDefault="00F925DD">
            <w:pPr>
              <w:rPr>
                <w:rFonts w:ascii="Times New Roman" w:hAnsi="Times New Roman"/>
                <w:sz w:val="20"/>
                <w:szCs w:val="20"/>
              </w:rPr>
            </w:pPr>
          </w:p>
        </w:tc>
      </w:tr>
      <w:tr w:rsidR="00F925DD" w14:paraId="55570531" w14:textId="77777777">
        <w:tc>
          <w:tcPr>
            <w:tcW w:w="2400" w:type="pct"/>
            <w:shd w:val="clear" w:color="auto" w:fill="auto"/>
            <w:vAlign w:val="center"/>
          </w:tcPr>
          <w:p w14:paraId="5557052E" w14:textId="77777777" w:rsidR="00F925DD" w:rsidRDefault="00F925DD">
            <w:pPr>
              <w:rPr>
                <w:rFonts w:ascii="Times New Roman" w:hAnsi="Times New Roman"/>
                <w:sz w:val="20"/>
                <w:szCs w:val="20"/>
              </w:rPr>
            </w:pPr>
          </w:p>
        </w:tc>
        <w:tc>
          <w:tcPr>
            <w:tcW w:w="200" w:type="pct"/>
            <w:shd w:val="clear" w:color="auto" w:fill="auto"/>
            <w:vAlign w:val="center"/>
          </w:tcPr>
          <w:p w14:paraId="5557052F" w14:textId="77777777" w:rsidR="00F925DD" w:rsidRDefault="00F925DD">
            <w:pPr>
              <w:rPr>
                <w:rFonts w:ascii="Times New Roman" w:hAnsi="Times New Roman"/>
                <w:sz w:val="20"/>
                <w:szCs w:val="20"/>
              </w:rPr>
            </w:pPr>
          </w:p>
        </w:tc>
        <w:tc>
          <w:tcPr>
            <w:tcW w:w="2400" w:type="pct"/>
            <w:shd w:val="clear" w:color="auto" w:fill="auto"/>
            <w:vAlign w:val="center"/>
          </w:tcPr>
          <w:p w14:paraId="55570530" w14:textId="77777777" w:rsidR="00F925DD" w:rsidRDefault="00F925DD">
            <w:pPr>
              <w:rPr>
                <w:rFonts w:ascii="Times New Roman" w:hAnsi="Times New Roman"/>
                <w:sz w:val="20"/>
                <w:szCs w:val="20"/>
              </w:rPr>
            </w:pPr>
          </w:p>
        </w:tc>
      </w:tr>
      <w:tr w:rsidR="00F925DD" w14:paraId="55570534" w14:textId="77777777">
        <w:tc>
          <w:tcPr>
            <w:tcW w:w="0" w:type="auto"/>
            <w:shd w:val="clear" w:color="auto" w:fill="auto"/>
            <w:tcMar>
              <w:top w:w="40" w:type="dxa"/>
              <w:left w:w="40" w:type="dxa"/>
              <w:bottom w:w="40" w:type="dxa"/>
              <w:right w:w="40" w:type="dxa"/>
            </w:tcMar>
            <w:vAlign w:val="bottom"/>
          </w:tcPr>
          <w:p w14:paraId="5557053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55570533" w14:textId="77777777" w:rsidR="00F925DD" w:rsidRDefault="00E705D7">
            <w:pPr>
              <w:textAlignment w:val="top"/>
              <w:rPr>
                <w:rFonts w:ascii="Times New Roman" w:hAnsi="Times New Roman"/>
                <w:sz w:val="20"/>
                <w:szCs w:val="20"/>
              </w:rPr>
            </w:pPr>
            <w:r>
              <w:rPr>
                <w:rFonts w:ascii="Arial" w:eastAsia="宋体" w:hAnsi="Arial" w:cs="Arial"/>
                <w:b/>
                <w:bCs/>
                <w:sz w:val="20"/>
                <w:szCs w:val="20"/>
              </w:rPr>
              <w:t>STATE STREET CORPORATION</w:t>
            </w:r>
          </w:p>
        </w:tc>
      </w:tr>
      <w:tr w:rsidR="00F925DD" w14:paraId="55570538" w14:textId="77777777">
        <w:tc>
          <w:tcPr>
            <w:tcW w:w="0" w:type="auto"/>
            <w:shd w:val="clear" w:color="auto" w:fill="auto"/>
            <w:tcMar>
              <w:top w:w="40" w:type="dxa"/>
              <w:left w:w="40" w:type="dxa"/>
              <w:bottom w:w="40" w:type="dxa"/>
              <w:right w:w="40" w:type="dxa"/>
            </w:tcMar>
            <w:vAlign w:val="bottom"/>
          </w:tcPr>
          <w:p w14:paraId="5557053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3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3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53C" w14:textId="77777777">
        <w:tc>
          <w:tcPr>
            <w:tcW w:w="0" w:type="auto"/>
            <w:shd w:val="clear" w:color="auto" w:fill="auto"/>
            <w:tcMar>
              <w:top w:w="40" w:type="dxa"/>
              <w:left w:w="40" w:type="dxa"/>
              <w:bottom w:w="40" w:type="dxa"/>
              <w:right w:w="40" w:type="dxa"/>
            </w:tcMar>
            <w:vAlign w:val="bottom"/>
          </w:tcPr>
          <w:p w14:paraId="5557053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53A" w14:textId="77777777" w:rsidR="00F925DD" w:rsidRDefault="00E705D7">
            <w:pPr>
              <w:textAlignment w:val="top"/>
              <w:rPr>
                <w:rFonts w:ascii="Times New Roman" w:hAnsi="Times New Roman"/>
                <w:sz w:val="20"/>
                <w:szCs w:val="20"/>
              </w:rPr>
            </w:pPr>
            <w:r>
              <w:rPr>
                <w:rFonts w:ascii="Arial" w:eastAsia="宋体" w:hAnsi="Arial" w:cs="Arial"/>
                <w:sz w:val="20"/>
                <w:szCs w:val="20"/>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3B" w14:textId="77777777" w:rsidR="00F925DD" w:rsidRDefault="00E705D7">
            <w:pPr>
              <w:textAlignment w:val="bottom"/>
              <w:rPr>
                <w:rFonts w:ascii="Times New Roman" w:hAnsi="Times New Roman"/>
                <w:sz w:val="20"/>
                <w:szCs w:val="20"/>
              </w:rPr>
            </w:pPr>
            <w:r>
              <w:rPr>
                <w:rFonts w:ascii="Arial" w:eastAsia="宋体" w:hAnsi="Arial" w:cs="Arial"/>
                <w:sz w:val="20"/>
                <w:szCs w:val="20"/>
              </w:rPr>
              <w:t>/s/ E</w:t>
            </w:r>
            <w:r>
              <w:rPr>
                <w:rFonts w:ascii="Arial" w:eastAsia="宋体" w:hAnsi="Arial" w:cs="Arial"/>
                <w:sz w:val="16"/>
                <w:szCs w:val="16"/>
              </w:rPr>
              <w:t>RIC</w:t>
            </w:r>
            <w:r>
              <w:rPr>
                <w:rFonts w:ascii="Arial" w:eastAsia="宋体" w:hAnsi="Arial" w:cs="Arial"/>
                <w:sz w:val="20"/>
                <w:szCs w:val="20"/>
              </w:rPr>
              <w:t> W. A</w:t>
            </w:r>
            <w:r>
              <w:rPr>
                <w:rFonts w:ascii="Arial" w:eastAsia="宋体" w:hAnsi="Arial" w:cs="Arial"/>
                <w:sz w:val="16"/>
                <w:szCs w:val="16"/>
              </w:rPr>
              <w:t>BOAF</w:t>
            </w:r>
            <w:r>
              <w:rPr>
                <w:rFonts w:ascii="Arial" w:eastAsia="宋体" w:hAnsi="Arial" w:cs="Arial"/>
                <w:sz w:val="14"/>
                <w:szCs w:val="14"/>
              </w:rPr>
              <w:t xml:space="preserve">         </w:t>
            </w:r>
          </w:p>
        </w:tc>
      </w:tr>
      <w:tr w:rsidR="00F925DD" w14:paraId="55570540" w14:textId="77777777">
        <w:tc>
          <w:tcPr>
            <w:tcW w:w="0" w:type="auto"/>
            <w:shd w:val="clear" w:color="auto" w:fill="auto"/>
            <w:tcMar>
              <w:top w:w="40" w:type="dxa"/>
              <w:left w:w="40" w:type="dxa"/>
              <w:bottom w:w="40" w:type="dxa"/>
              <w:right w:w="40" w:type="dxa"/>
            </w:tcMar>
            <w:vAlign w:val="bottom"/>
          </w:tcPr>
          <w:p w14:paraId="5557053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3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3F" w14:textId="77777777" w:rsidR="00F925DD" w:rsidRDefault="00E705D7">
            <w:pPr>
              <w:textAlignment w:val="bottom"/>
              <w:rPr>
                <w:rFonts w:ascii="Times New Roman" w:hAnsi="Times New Roman"/>
                <w:sz w:val="20"/>
                <w:szCs w:val="20"/>
              </w:rPr>
            </w:pPr>
            <w:r>
              <w:rPr>
                <w:rFonts w:ascii="Arial" w:eastAsia="宋体" w:hAnsi="Arial" w:cs="Arial"/>
                <w:sz w:val="20"/>
                <w:szCs w:val="20"/>
              </w:rPr>
              <w:t>ERIC W. ABOAF,</w:t>
            </w:r>
          </w:p>
        </w:tc>
      </w:tr>
      <w:tr w:rsidR="00F925DD" w14:paraId="55570545" w14:textId="77777777">
        <w:tc>
          <w:tcPr>
            <w:tcW w:w="0" w:type="auto"/>
            <w:shd w:val="clear" w:color="auto" w:fill="auto"/>
            <w:tcMar>
              <w:top w:w="40" w:type="dxa"/>
              <w:left w:w="40" w:type="dxa"/>
              <w:bottom w:w="40" w:type="dxa"/>
              <w:right w:w="40" w:type="dxa"/>
            </w:tcMar>
            <w:vAlign w:val="bottom"/>
          </w:tcPr>
          <w:p w14:paraId="5557054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4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43" w14:textId="77777777" w:rsidR="00F925DD" w:rsidRDefault="00E705D7">
            <w:pPr>
              <w:textAlignment w:val="bottom"/>
              <w:rPr>
                <w:rFonts w:ascii="Times New Roman" w:hAnsi="Times New Roman"/>
                <w:sz w:val="20"/>
                <w:szCs w:val="20"/>
              </w:rPr>
            </w:pPr>
            <w:r>
              <w:rPr>
                <w:rFonts w:ascii="Arial" w:eastAsia="宋体" w:hAnsi="Arial" w:cs="Arial"/>
                <w:sz w:val="20"/>
                <w:szCs w:val="20"/>
              </w:rPr>
              <w:t>Executive Vice President and</w:t>
            </w:r>
          </w:p>
          <w:p w14:paraId="55570544" w14:textId="77777777" w:rsidR="00F925DD" w:rsidRDefault="00E705D7">
            <w:pPr>
              <w:textAlignment w:val="bottom"/>
              <w:rPr>
                <w:rFonts w:ascii="Times New Roman" w:hAnsi="Times New Roman"/>
                <w:sz w:val="20"/>
                <w:szCs w:val="20"/>
              </w:rPr>
            </w:pPr>
            <w:r>
              <w:rPr>
                <w:rFonts w:ascii="Arial" w:eastAsia="宋体" w:hAnsi="Arial" w:cs="Arial"/>
                <w:sz w:val="20"/>
                <w:szCs w:val="20"/>
              </w:rPr>
              <w:t xml:space="preserve">Chief </w:t>
            </w:r>
            <w:r>
              <w:rPr>
                <w:rFonts w:ascii="Arial" w:eastAsia="宋体" w:hAnsi="Arial" w:cs="Arial"/>
                <w:sz w:val="20"/>
                <w:szCs w:val="20"/>
              </w:rPr>
              <w:t>Financial Officer</w:t>
            </w:r>
          </w:p>
        </w:tc>
      </w:tr>
      <w:tr w:rsidR="00F925DD" w14:paraId="55570549" w14:textId="77777777">
        <w:tc>
          <w:tcPr>
            <w:tcW w:w="0" w:type="auto"/>
            <w:shd w:val="clear" w:color="auto" w:fill="auto"/>
            <w:tcMar>
              <w:top w:w="40" w:type="dxa"/>
              <w:left w:w="40" w:type="dxa"/>
              <w:bottom w:w="40" w:type="dxa"/>
              <w:right w:w="40" w:type="dxa"/>
            </w:tcMar>
            <w:vAlign w:val="bottom"/>
          </w:tcPr>
          <w:p w14:paraId="5557054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4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4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54D" w14:textId="77777777">
        <w:tc>
          <w:tcPr>
            <w:tcW w:w="0" w:type="auto"/>
            <w:shd w:val="clear" w:color="auto" w:fill="auto"/>
            <w:tcMar>
              <w:top w:w="40" w:type="dxa"/>
              <w:left w:w="40" w:type="dxa"/>
              <w:bottom w:w="40" w:type="dxa"/>
              <w:right w:w="40" w:type="dxa"/>
            </w:tcMar>
            <w:vAlign w:val="bottom"/>
          </w:tcPr>
          <w:p w14:paraId="5557054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54B" w14:textId="77777777" w:rsidR="00F925DD" w:rsidRDefault="00E705D7">
            <w:pPr>
              <w:textAlignment w:val="top"/>
              <w:rPr>
                <w:rFonts w:ascii="Times New Roman" w:hAnsi="Times New Roman"/>
                <w:sz w:val="20"/>
                <w:szCs w:val="20"/>
              </w:rPr>
            </w:pPr>
            <w:r>
              <w:rPr>
                <w:rFonts w:ascii="Arial" w:eastAsia="宋体" w:hAnsi="Arial" w:cs="Arial"/>
                <w:sz w:val="20"/>
                <w:szCs w:val="20"/>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4C" w14:textId="77777777" w:rsidR="00F925DD" w:rsidRDefault="00E705D7">
            <w:pPr>
              <w:textAlignment w:val="bottom"/>
              <w:rPr>
                <w:rFonts w:ascii="Times New Roman" w:hAnsi="Times New Roman"/>
                <w:sz w:val="20"/>
                <w:szCs w:val="20"/>
              </w:rPr>
            </w:pPr>
            <w:r>
              <w:rPr>
                <w:rFonts w:ascii="Arial" w:eastAsia="宋体" w:hAnsi="Arial" w:cs="Arial"/>
                <w:sz w:val="20"/>
                <w:szCs w:val="20"/>
              </w:rPr>
              <w:t>/s/ I</w:t>
            </w:r>
            <w:r>
              <w:rPr>
                <w:rFonts w:ascii="Arial" w:eastAsia="宋体" w:hAnsi="Arial" w:cs="Arial"/>
                <w:sz w:val="16"/>
                <w:szCs w:val="16"/>
              </w:rPr>
              <w:t xml:space="preserve">AN </w:t>
            </w:r>
            <w:r>
              <w:rPr>
                <w:rFonts w:ascii="Arial" w:eastAsia="宋体" w:hAnsi="Arial" w:cs="Arial"/>
                <w:sz w:val="20"/>
                <w:szCs w:val="20"/>
              </w:rPr>
              <w:t>W. A</w:t>
            </w:r>
            <w:r>
              <w:rPr>
                <w:rFonts w:ascii="Arial" w:eastAsia="宋体" w:hAnsi="Arial" w:cs="Arial"/>
                <w:sz w:val="16"/>
                <w:szCs w:val="16"/>
              </w:rPr>
              <w:t>PPLEYARD</w:t>
            </w:r>
          </w:p>
        </w:tc>
      </w:tr>
      <w:tr w:rsidR="00F925DD" w14:paraId="55570551" w14:textId="77777777">
        <w:tc>
          <w:tcPr>
            <w:tcW w:w="0" w:type="auto"/>
            <w:shd w:val="clear" w:color="auto" w:fill="auto"/>
            <w:tcMar>
              <w:top w:w="40" w:type="dxa"/>
              <w:left w:w="40" w:type="dxa"/>
              <w:bottom w:w="40" w:type="dxa"/>
              <w:right w:w="40" w:type="dxa"/>
            </w:tcMar>
            <w:vAlign w:val="bottom"/>
          </w:tcPr>
          <w:p w14:paraId="5557054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4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50" w14:textId="77777777" w:rsidR="00F925DD" w:rsidRDefault="00E705D7">
            <w:pPr>
              <w:textAlignment w:val="bottom"/>
              <w:rPr>
                <w:rFonts w:ascii="Times New Roman" w:hAnsi="Times New Roman"/>
                <w:sz w:val="20"/>
                <w:szCs w:val="20"/>
              </w:rPr>
            </w:pPr>
            <w:r>
              <w:rPr>
                <w:rFonts w:ascii="Arial" w:eastAsia="宋体" w:hAnsi="Arial" w:cs="Arial"/>
                <w:sz w:val="20"/>
                <w:szCs w:val="20"/>
              </w:rPr>
              <w:t>IAN W. APPLEYARD,</w:t>
            </w:r>
          </w:p>
        </w:tc>
      </w:tr>
      <w:tr w:rsidR="00F925DD" w14:paraId="55570556" w14:textId="77777777">
        <w:tc>
          <w:tcPr>
            <w:tcW w:w="0" w:type="auto"/>
            <w:shd w:val="clear" w:color="auto" w:fill="auto"/>
            <w:tcMar>
              <w:top w:w="40" w:type="dxa"/>
              <w:left w:w="40" w:type="dxa"/>
              <w:bottom w:w="40" w:type="dxa"/>
              <w:right w:w="40" w:type="dxa"/>
            </w:tcMar>
            <w:vAlign w:val="bottom"/>
          </w:tcPr>
          <w:p w14:paraId="5557055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5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54" w14:textId="77777777" w:rsidR="00F925DD" w:rsidRDefault="00E705D7">
            <w:pPr>
              <w:textAlignment w:val="bottom"/>
              <w:rPr>
                <w:rFonts w:ascii="Times New Roman" w:hAnsi="Times New Roman"/>
                <w:sz w:val="20"/>
                <w:szCs w:val="20"/>
              </w:rPr>
            </w:pPr>
            <w:r>
              <w:rPr>
                <w:rFonts w:ascii="Arial" w:eastAsia="宋体" w:hAnsi="Arial" w:cs="Arial"/>
                <w:sz w:val="20"/>
                <w:szCs w:val="20"/>
              </w:rPr>
              <w:t xml:space="preserve">Executive Vice President, Global Controller and </w:t>
            </w:r>
          </w:p>
          <w:p w14:paraId="55570555" w14:textId="77777777" w:rsidR="00F925DD" w:rsidRDefault="00E705D7">
            <w:pPr>
              <w:textAlignment w:val="bottom"/>
              <w:rPr>
                <w:rFonts w:ascii="Times New Roman" w:hAnsi="Times New Roman"/>
                <w:sz w:val="20"/>
                <w:szCs w:val="20"/>
              </w:rPr>
            </w:pPr>
            <w:r>
              <w:rPr>
                <w:rFonts w:ascii="Arial" w:eastAsia="宋体" w:hAnsi="Arial" w:cs="Arial"/>
                <w:sz w:val="20"/>
                <w:szCs w:val="20"/>
              </w:rPr>
              <w:t>Chief Accounting Officer</w:t>
            </w:r>
          </w:p>
        </w:tc>
      </w:tr>
    </w:tbl>
    <w:p w14:paraId="55570557" w14:textId="77777777" w:rsidR="00F925DD" w:rsidRDefault="00E705D7">
      <w:pPr>
        <w:spacing w:line="288" w:lineRule="auto"/>
        <w:ind w:firstLine="600"/>
        <w:rPr>
          <w:rFonts w:ascii="Times New Roman" w:hAnsi="Times New Roman"/>
          <w:sz w:val="20"/>
          <w:szCs w:val="20"/>
        </w:rPr>
      </w:pPr>
      <w:r>
        <w:rPr>
          <w:rFonts w:ascii="Arial" w:eastAsia="宋体" w:hAnsi="Arial" w:cs="Arial"/>
          <w:sz w:val="20"/>
          <w:szCs w:val="20"/>
        </w:rPr>
        <w:t xml:space="preserve">Pursuant to the requirements of the Securities Exchange Act of 1934, this report has been </w:t>
      </w:r>
      <w:r>
        <w:rPr>
          <w:rFonts w:ascii="Arial" w:eastAsia="宋体" w:hAnsi="Arial" w:cs="Arial"/>
          <w:sz w:val="20"/>
          <w:szCs w:val="20"/>
        </w:rPr>
        <w:t>signed below on February 20, 2020 by the following persons on behalf of the registrant and in the capacities indicated.</w:t>
      </w:r>
    </w:p>
    <w:p w14:paraId="55570558"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OFFICERS:</w:t>
      </w:r>
    </w:p>
    <w:tbl>
      <w:tblPr>
        <w:tblW w:w="5000" w:type="pct"/>
        <w:tblCellMar>
          <w:left w:w="0" w:type="dxa"/>
          <w:right w:w="0" w:type="dxa"/>
        </w:tblCellMar>
        <w:tblLook w:val="04A0" w:firstRow="1" w:lastRow="0" w:firstColumn="1" w:lastColumn="0" w:noHBand="0" w:noVBand="1"/>
      </w:tblPr>
      <w:tblGrid>
        <w:gridCol w:w="3888"/>
        <w:gridCol w:w="316"/>
        <w:gridCol w:w="130"/>
        <w:gridCol w:w="3972"/>
      </w:tblGrid>
      <w:tr w:rsidR="00F925DD" w14:paraId="5557055A" w14:textId="77777777">
        <w:tc>
          <w:tcPr>
            <w:tcW w:w="0" w:type="auto"/>
            <w:gridSpan w:val="4"/>
            <w:shd w:val="clear" w:color="auto" w:fill="auto"/>
            <w:vAlign w:val="center"/>
          </w:tcPr>
          <w:p w14:paraId="55570559" w14:textId="77777777" w:rsidR="00F925DD" w:rsidRDefault="00F925DD">
            <w:pPr>
              <w:rPr>
                <w:rFonts w:ascii="Times New Roman" w:hAnsi="Times New Roman"/>
                <w:sz w:val="20"/>
                <w:szCs w:val="20"/>
              </w:rPr>
            </w:pPr>
          </w:p>
        </w:tc>
      </w:tr>
      <w:tr w:rsidR="00F925DD" w14:paraId="5557055F" w14:textId="77777777">
        <w:tc>
          <w:tcPr>
            <w:tcW w:w="2350" w:type="pct"/>
            <w:shd w:val="clear" w:color="auto" w:fill="auto"/>
            <w:vAlign w:val="center"/>
          </w:tcPr>
          <w:p w14:paraId="5557055B" w14:textId="77777777" w:rsidR="00F925DD" w:rsidRDefault="00F925DD">
            <w:pPr>
              <w:rPr>
                <w:rFonts w:ascii="Times New Roman" w:hAnsi="Times New Roman"/>
                <w:sz w:val="20"/>
                <w:szCs w:val="20"/>
              </w:rPr>
            </w:pPr>
          </w:p>
        </w:tc>
        <w:tc>
          <w:tcPr>
            <w:tcW w:w="200" w:type="pct"/>
            <w:shd w:val="clear" w:color="auto" w:fill="auto"/>
            <w:vAlign w:val="center"/>
          </w:tcPr>
          <w:p w14:paraId="5557055C" w14:textId="77777777" w:rsidR="00F925DD" w:rsidRDefault="00F925DD">
            <w:pPr>
              <w:rPr>
                <w:rFonts w:ascii="Times New Roman" w:hAnsi="Times New Roman"/>
                <w:sz w:val="20"/>
                <w:szCs w:val="20"/>
              </w:rPr>
            </w:pPr>
          </w:p>
        </w:tc>
        <w:tc>
          <w:tcPr>
            <w:tcW w:w="50" w:type="pct"/>
            <w:shd w:val="clear" w:color="auto" w:fill="auto"/>
            <w:vAlign w:val="center"/>
          </w:tcPr>
          <w:p w14:paraId="5557055D" w14:textId="77777777" w:rsidR="00F925DD" w:rsidRDefault="00F925DD">
            <w:pPr>
              <w:rPr>
                <w:rFonts w:ascii="Times New Roman" w:hAnsi="Times New Roman"/>
                <w:sz w:val="20"/>
                <w:szCs w:val="20"/>
              </w:rPr>
            </w:pPr>
          </w:p>
        </w:tc>
        <w:tc>
          <w:tcPr>
            <w:tcW w:w="2400" w:type="pct"/>
            <w:shd w:val="clear" w:color="auto" w:fill="auto"/>
            <w:vAlign w:val="center"/>
          </w:tcPr>
          <w:p w14:paraId="5557055E" w14:textId="77777777" w:rsidR="00F925DD" w:rsidRDefault="00F925DD">
            <w:pPr>
              <w:rPr>
                <w:rFonts w:ascii="Times New Roman" w:hAnsi="Times New Roman"/>
                <w:sz w:val="20"/>
                <w:szCs w:val="20"/>
              </w:rPr>
            </w:pPr>
          </w:p>
        </w:tc>
      </w:tr>
      <w:tr w:rsidR="00F925DD" w14:paraId="55570564"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560" w14:textId="77777777" w:rsidR="00F925DD" w:rsidRDefault="00E705D7">
            <w:pPr>
              <w:textAlignment w:val="bottom"/>
              <w:rPr>
                <w:rFonts w:ascii="Times New Roman" w:hAnsi="Times New Roman"/>
                <w:sz w:val="20"/>
                <w:szCs w:val="20"/>
              </w:rPr>
            </w:pPr>
            <w:r>
              <w:rPr>
                <w:rFonts w:ascii="Arial" w:eastAsia="宋体" w:hAnsi="Arial" w:cs="Arial"/>
                <w:sz w:val="20"/>
                <w:szCs w:val="20"/>
              </w:rPr>
              <w:t>/s/ R</w:t>
            </w:r>
            <w:r>
              <w:rPr>
                <w:rFonts w:ascii="Arial" w:eastAsia="宋体" w:hAnsi="Arial" w:cs="Arial"/>
                <w:sz w:val="16"/>
                <w:szCs w:val="16"/>
              </w:rPr>
              <w:t>ONALD</w:t>
            </w:r>
            <w:r>
              <w:rPr>
                <w:rFonts w:ascii="Arial" w:eastAsia="宋体" w:hAnsi="Arial" w:cs="Arial"/>
                <w:sz w:val="20"/>
                <w:szCs w:val="20"/>
              </w:rPr>
              <w:t> P. O'H</w:t>
            </w:r>
            <w:r>
              <w:rPr>
                <w:rFonts w:ascii="Arial" w:eastAsia="宋体" w:hAnsi="Arial" w:cs="Arial"/>
                <w:sz w:val="16"/>
                <w:szCs w:val="16"/>
              </w:rPr>
              <w:t>ANLEY</w:t>
            </w:r>
          </w:p>
        </w:tc>
        <w:tc>
          <w:tcPr>
            <w:tcW w:w="0" w:type="auto"/>
            <w:shd w:val="clear" w:color="auto" w:fill="auto"/>
            <w:tcMar>
              <w:top w:w="40" w:type="dxa"/>
              <w:left w:w="40" w:type="dxa"/>
              <w:bottom w:w="40" w:type="dxa"/>
              <w:right w:w="40" w:type="dxa"/>
            </w:tcMar>
            <w:vAlign w:val="bottom"/>
          </w:tcPr>
          <w:p w14:paraId="55570561"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6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63" w14:textId="77777777" w:rsidR="00F925DD" w:rsidRDefault="00E705D7">
            <w:pPr>
              <w:textAlignment w:val="bottom"/>
              <w:rPr>
                <w:rFonts w:ascii="Times New Roman" w:hAnsi="Times New Roman"/>
                <w:sz w:val="20"/>
                <w:szCs w:val="20"/>
              </w:rPr>
            </w:pPr>
            <w:r>
              <w:rPr>
                <w:rFonts w:ascii="Arial" w:eastAsia="宋体" w:hAnsi="Arial" w:cs="Arial"/>
                <w:sz w:val="20"/>
                <w:szCs w:val="20"/>
              </w:rPr>
              <w:t>/s/ E</w:t>
            </w:r>
            <w:r>
              <w:rPr>
                <w:rFonts w:ascii="Arial" w:eastAsia="宋体" w:hAnsi="Arial" w:cs="Arial"/>
                <w:sz w:val="16"/>
                <w:szCs w:val="16"/>
              </w:rPr>
              <w:t>RIC</w:t>
            </w:r>
            <w:r>
              <w:rPr>
                <w:rFonts w:ascii="Arial" w:eastAsia="宋体" w:hAnsi="Arial" w:cs="Arial"/>
                <w:sz w:val="20"/>
                <w:szCs w:val="20"/>
              </w:rPr>
              <w:t> W. A</w:t>
            </w:r>
            <w:r>
              <w:rPr>
                <w:rFonts w:ascii="Arial" w:eastAsia="宋体" w:hAnsi="Arial" w:cs="Arial"/>
                <w:sz w:val="16"/>
                <w:szCs w:val="16"/>
              </w:rPr>
              <w:t>BOAF</w:t>
            </w:r>
            <w:r>
              <w:rPr>
                <w:rFonts w:ascii="Arial" w:eastAsia="宋体" w:hAnsi="Arial" w:cs="Arial"/>
                <w:sz w:val="14"/>
                <w:szCs w:val="14"/>
              </w:rPr>
              <w:t xml:space="preserve">         </w:t>
            </w:r>
          </w:p>
        </w:tc>
      </w:tr>
      <w:tr w:rsidR="00F925DD" w14:paraId="55570569" w14:textId="77777777">
        <w:tc>
          <w:tcPr>
            <w:tcW w:w="0" w:type="auto"/>
            <w:shd w:val="clear" w:color="auto" w:fill="auto"/>
            <w:tcMar>
              <w:top w:w="40" w:type="dxa"/>
              <w:left w:w="40" w:type="dxa"/>
              <w:bottom w:w="40" w:type="dxa"/>
              <w:right w:w="40" w:type="dxa"/>
            </w:tcMar>
          </w:tcPr>
          <w:p w14:paraId="55570565" w14:textId="77777777" w:rsidR="00F925DD" w:rsidRDefault="00E705D7">
            <w:pPr>
              <w:textAlignment w:val="top"/>
              <w:rPr>
                <w:rFonts w:ascii="Times New Roman" w:hAnsi="Times New Roman"/>
                <w:sz w:val="20"/>
                <w:szCs w:val="20"/>
              </w:rPr>
            </w:pPr>
            <w:r>
              <w:rPr>
                <w:rFonts w:ascii="Arial" w:eastAsia="宋体" w:hAnsi="Arial" w:cs="Arial"/>
                <w:sz w:val="20"/>
                <w:szCs w:val="20"/>
              </w:rPr>
              <w:t>RONALD P. O'HANLEY,</w:t>
            </w:r>
          </w:p>
        </w:tc>
        <w:tc>
          <w:tcPr>
            <w:tcW w:w="0" w:type="auto"/>
            <w:shd w:val="clear" w:color="auto" w:fill="auto"/>
            <w:tcMar>
              <w:top w:w="40" w:type="dxa"/>
              <w:left w:w="40" w:type="dxa"/>
              <w:bottom w:w="40" w:type="dxa"/>
              <w:right w:w="40" w:type="dxa"/>
            </w:tcMar>
            <w:vAlign w:val="bottom"/>
          </w:tcPr>
          <w:p w14:paraId="55570566"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6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68" w14:textId="77777777" w:rsidR="00F925DD" w:rsidRDefault="00E705D7">
            <w:pPr>
              <w:textAlignment w:val="bottom"/>
              <w:rPr>
                <w:rFonts w:ascii="Times New Roman" w:hAnsi="Times New Roman"/>
                <w:sz w:val="20"/>
                <w:szCs w:val="20"/>
              </w:rPr>
            </w:pPr>
            <w:r>
              <w:rPr>
                <w:rFonts w:ascii="Arial" w:eastAsia="宋体" w:hAnsi="Arial" w:cs="Arial"/>
                <w:sz w:val="20"/>
                <w:szCs w:val="20"/>
              </w:rPr>
              <w:t>ERIC W. ABOAF,</w:t>
            </w:r>
          </w:p>
        </w:tc>
      </w:tr>
      <w:tr w:rsidR="00F925DD" w14:paraId="5557056F" w14:textId="77777777">
        <w:tc>
          <w:tcPr>
            <w:tcW w:w="0" w:type="auto"/>
            <w:shd w:val="clear" w:color="auto" w:fill="auto"/>
            <w:tcMar>
              <w:top w:w="40" w:type="dxa"/>
              <w:left w:w="40" w:type="dxa"/>
              <w:bottom w:w="40" w:type="dxa"/>
              <w:right w:w="40" w:type="dxa"/>
            </w:tcMar>
          </w:tcPr>
          <w:p w14:paraId="5557056A" w14:textId="77777777" w:rsidR="00F925DD" w:rsidRDefault="00E705D7">
            <w:pPr>
              <w:textAlignment w:val="top"/>
              <w:rPr>
                <w:rFonts w:ascii="Times New Roman" w:hAnsi="Times New Roman"/>
                <w:sz w:val="20"/>
                <w:szCs w:val="20"/>
              </w:rPr>
            </w:pPr>
            <w:r>
              <w:rPr>
                <w:rFonts w:ascii="Arial" w:eastAsia="宋体" w:hAnsi="Arial" w:cs="Arial"/>
                <w:sz w:val="20"/>
                <w:szCs w:val="20"/>
              </w:rPr>
              <w:t xml:space="preserve">Chairman, President and Chief Executive Officer </w:t>
            </w:r>
          </w:p>
        </w:tc>
        <w:tc>
          <w:tcPr>
            <w:tcW w:w="0" w:type="auto"/>
            <w:shd w:val="clear" w:color="auto" w:fill="auto"/>
            <w:tcMar>
              <w:top w:w="40" w:type="dxa"/>
              <w:left w:w="40" w:type="dxa"/>
              <w:bottom w:w="40" w:type="dxa"/>
              <w:right w:w="40" w:type="dxa"/>
            </w:tcMar>
            <w:vAlign w:val="bottom"/>
          </w:tcPr>
          <w:p w14:paraId="5557056B"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6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6D" w14:textId="77777777" w:rsidR="00F925DD" w:rsidRDefault="00E705D7">
            <w:pPr>
              <w:textAlignment w:val="bottom"/>
              <w:rPr>
                <w:rFonts w:ascii="Times New Roman" w:hAnsi="Times New Roman"/>
                <w:sz w:val="20"/>
                <w:szCs w:val="20"/>
              </w:rPr>
            </w:pPr>
            <w:r>
              <w:rPr>
                <w:rFonts w:ascii="Arial" w:eastAsia="宋体" w:hAnsi="Arial" w:cs="Arial"/>
                <w:sz w:val="20"/>
                <w:szCs w:val="20"/>
              </w:rPr>
              <w:t>Executive Vice President and</w:t>
            </w:r>
          </w:p>
          <w:p w14:paraId="5557056E" w14:textId="77777777" w:rsidR="00F925DD" w:rsidRDefault="00E705D7">
            <w:pPr>
              <w:textAlignment w:val="bottom"/>
              <w:rPr>
                <w:rFonts w:ascii="Times New Roman" w:hAnsi="Times New Roman"/>
                <w:sz w:val="20"/>
                <w:szCs w:val="20"/>
              </w:rPr>
            </w:pPr>
            <w:r>
              <w:rPr>
                <w:rFonts w:ascii="Arial" w:eastAsia="宋体" w:hAnsi="Arial" w:cs="Arial"/>
                <w:sz w:val="20"/>
                <w:szCs w:val="20"/>
              </w:rPr>
              <w:t>Chief Financial Officer</w:t>
            </w:r>
          </w:p>
        </w:tc>
      </w:tr>
      <w:tr w:rsidR="00F925DD" w14:paraId="55570574" w14:textId="77777777">
        <w:tc>
          <w:tcPr>
            <w:tcW w:w="0" w:type="auto"/>
            <w:shd w:val="clear" w:color="auto" w:fill="auto"/>
            <w:tcMar>
              <w:top w:w="40" w:type="dxa"/>
              <w:left w:w="40" w:type="dxa"/>
              <w:bottom w:w="40" w:type="dxa"/>
              <w:right w:w="40" w:type="dxa"/>
            </w:tcMar>
            <w:vAlign w:val="bottom"/>
          </w:tcPr>
          <w:p w14:paraId="5557057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7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7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7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579" w14:textId="77777777">
        <w:tc>
          <w:tcPr>
            <w:tcW w:w="0" w:type="auto"/>
            <w:shd w:val="clear" w:color="auto" w:fill="auto"/>
            <w:tcMar>
              <w:top w:w="40" w:type="dxa"/>
              <w:left w:w="40" w:type="dxa"/>
              <w:bottom w:w="40" w:type="dxa"/>
              <w:right w:w="40" w:type="dxa"/>
            </w:tcMar>
          </w:tcPr>
          <w:p w14:paraId="55570575" w14:textId="77777777" w:rsidR="00F925DD" w:rsidRDefault="00E705D7">
            <w:pPr>
              <w:textAlignment w:val="top"/>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76"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7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78" w14:textId="77777777" w:rsidR="00F925DD" w:rsidRDefault="00E705D7">
            <w:pPr>
              <w:textAlignment w:val="bottom"/>
              <w:rPr>
                <w:rFonts w:ascii="Times New Roman" w:hAnsi="Times New Roman"/>
                <w:sz w:val="20"/>
                <w:szCs w:val="20"/>
              </w:rPr>
            </w:pPr>
            <w:r>
              <w:rPr>
                <w:rFonts w:ascii="Arial" w:eastAsia="宋体" w:hAnsi="Arial" w:cs="Arial"/>
                <w:sz w:val="20"/>
                <w:szCs w:val="20"/>
              </w:rPr>
              <w:t>/s/ I</w:t>
            </w:r>
            <w:r>
              <w:rPr>
                <w:rFonts w:ascii="Arial" w:eastAsia="宋体" w:hAnsi="Arial" w:cs="Arial"/>
                <w:sz w:val="16"/>
                <w:szCs w:val="16"/>
              </w:rPr>
              <w:t xml:space="preserve">AN </w:t>
            </w:r>
            <w:r>
              <w:rPr>
                <w:rFonts w:ascii="Arial" w:eastAsia="宋体" w:hAnsi="Arial" w:cs="Arial"/>
                <w:sz w:val="20"/>
                <w:szCs w:val="20"/>
              </w:rPr>
              <w:t>W. A</w:t>
            </w:r>
            <w:r>
              <w:rPr>
                <w:rFonts w:ascii="Arial" w:eastAsia="宋体" w:hAnsi="Arial" w:cs="Arial"/>
                <w:sz w:val="16"/>
                <w:szCs w:val="16"/>
              </w:rPr>
              <w:t>PPLEYARD</w:t>
            </w:r>
          </w:p>
        </w:tc>
      </w:tr>
      <w:tr w:rsidR="00F925DD" w14:paraId="5557057E" w14:textId="77777777">
        <w:tc>
          <w:tcPr>
            <w:tcW w:w="0" w:type="auto"/>
            <w:shd w:val="clear" w:color="auto" w:fill="auto"/>
            <w:tcMar>
              <w:top w:w="40" w:type="dxa"/>
              <w:left w:w="40" w:type="dxa"/>
              <w:bottom w:w="40" w:type="dxa"/>
              <w:right w:w="40" w:type="dxa"/>
            </w:tcMar>
            <w:vAlign w:val="bottom"/>
          </w:tcPr>
          <w:p w14:paraId="5557057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7B"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7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7D" w14:textId="77777777" w:rsidR="00F925DD" w:rsidRDefault="00E705D7">
            <w:pPr>
              <w:textAlignment w:val="bottom"/>
              <w:rPr>
                <w:rFonts w:ascii="Times New Roman" w:hAnsi="Times New Roman"/>
                <w:sz w:val="20"/>
                <w:szCs w:val="20"/>
              </w:rPr>
            </w:pPr>
            <w:r>
              <w:rPr>
                <w:rFonts w:ascii="Arial" w:eastAsia="宋体" w:hAnsi="Arial" w:cs="Arial"/>
                <w:sz w:val="20"/>
                <w:szCs w:val="20"/>
              </w:rPr>
              <w:t>IAN W. APPLEYARD,</w:t>
            </w:r>
          </w:p>
        </w:tc>
      </w:tr>
      <w:tr w:rsidR="00F925DD" w14:paraId="55570584" w14:textId="77777777">
        <w:tc>
          <w:tcPr>
            <w:tcW w:w="0" w:type="auto"/>
            <w:shd w:val="clear" w:color="auto" w:fill="auto"/>
            <w:tcMar>
              <w:top w:w="40" w:type="dxa"/>
              <w:left w:w="40" w:type="dxa"/>
              <w:bottom w:w="40" w:type="dxa"/>
              <w:right w:w="40" w:type="dxa"/>
            </w:tcMar>
            <w:vAlign w:val="bottom"/>
          </w:tcPr>
          <w:p w14:paraId="5557057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80"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8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82" w14:textId="77777777" w:rsidR="00F925DD" w:rsidRDefault="00E705D7">
            <w:pPr>
              <w:textAlignment w:val="bottom"/>
              <w:rPr>
                <w:rFonts w:ascii="Times New Roman" w:hAnsi="Times New Roman"/>
                <w:sz w:val="20"/>
                <w:szCs w:val="20"/>
              </w:rPr>
            </w:pPr>
            <w:r>
              <w:rPr>
                <w:rFonts w:ascii="Arial" w:eastAsia="宋体" w:hAnsi="Arial" w:cs="Arial"/>
                <w:sz w:val="20"/>
                <w:szCs w:val="20"/>
              </w:rPr>
              <w:t xml:space="preserve">Executive Vice President, Global Controller and </w:t>
            </w:r>
          </w:p>
          <w:p w14:paraId="55570583" w14:textId="77777777" w:rsidR="00F925DD" w:rsidRDefault="00E705D7">
            <w:pPr>
              <w:textAlignment w:val="bottom"/>
              <w:rPr>
                <w:rFonts w:ascii="Times New Roman" w:hAnsi="Times New Roman"/>
                <w:sz w:val="20"/>
                <w:szCs w:val="20"/>
              </w:rPr>
            </w:pPr>
            <w:r>
              <w:rPr>
                <w:rFonts w:ascii="Arial" w:eastAsia="宋体" w:hAnsi="Arial" w:cs="Arial"/>
                <w:sz w:val="20"/>
                <w:szCs w:val="20"/>
              </w:rPr>
              <w:t>Chief Accounting Officer</w:t>
            </w:r>
          </w:p>
        </w:tc>
      </w:tr>
    </w:tbl>
    <w:p w14:paraId="55570585" w14:textId="77777777" w:rsidR="00F925DD" w:rsidRDefault="00F925DD">
      <w:pPr>
        <w:spacing w:line="288" w:lineRule="auto"/>
        <w:ind w:firstLine="600"/>
        <w:rPr>
          <w:rFonts w:ascii="Times New Roman" w:hAnsi="Times New Roman"/>
          <w:sz w:val="20"/>
          <w:szCs w:val="20"/>
        </w:rPr>
      </w:pPr>
    </w:p>
    <w:p w14:paraId="55570586" w14:textId="77777777" w:rsidR="00F925DD" w:rsidRDefault="00F925DD">
      <w:pPr>
        <w:spacing w:line="288" w:lineRule="auto"/>
        <w:ind w:firstLine="600"/>
        <w:rPr>
          <w:rFonts w:ascii="Times New Roman" w:hAnsi="Times New Roman"/>
          <w:sz w:val="20"/>
          <w:szCs w:val="20"/>
        </w:rPr>
      </w:pPr>
    </w:p>
    <w:p w14:paraId="55570587" w14:textId="77777777" w:rsidR="00F925DD" w:rsidRDefault="00F925DD">
      <w:pPr>
        <w:spacing w:line="288" w:lineRule="auto"/>
        <w:ind w:firstLine="600"/>
        <w:rPr>
          <w:rFonts w:ascii="Times New Roman" w:hAnsi="Times New Roman"/>
          <w:sz w:val="20"/>
          <w:szCs w:val="20"/>
        </w:rPr>
      </w:pPr>
    </w:p>
    <w:p w14:paraId="55570588" w14:textId="77777777" w:rsidR="00F925DD" w:rsidRDefault="00F925DD">
      <w:pPr>
        <w:spacing w:line="288" w:lineRule="auto"/>
        <w:ind w:firstLine="600"/>
        <w:rPr>
          <w:rFonts w:ascii="Times New Roman" w:hAnsi="Times New Roman"/>
          <w:sz w:val="20"/>
          <w:szCs w:val="20"/>
        </w:rPr>
      </w:pPr>
    </w:p>
    <w:p w14:paraId="55570589" w14:textId="77777777" w:rsidR="00F925DD" w:rsidRDefault="00F925DD">
      <w:pPr>
        <w:spacing w:line="288" w:lineRule="auto"/>
        <w:ind w:firstLine="600"/>
        <w:rPr>
          <w:rFonts w:ascii="Times New Roman" w:hAnsi="Times New Roman"/>
          <w:sz w:val="20"/>
          <w:szCs w:val="20"/>
        </w:rPr>
      </w:pPr>
    </w:p>
    <w:p w14:paraId="5557058A" w14:textId="77777777" w:rsidR="00F925DD" w:rsidRDefault="00F925DD">
      <w:pPr>
        <w:spacing w:line="288" w:lineRule="auto"/>
        <w:ind w:firstLine="600"/>
        <w:rPr>
          <w:rFonts w:ascii="Times New Roman" w:hAnsi="Times New Roman"/>
          <w:sz w:val="20"/>
          <w:szCs w:val="20"/>
        </w:rPr>
      </w:pPr>
    </w:p>
    <w:p w14:paraId="5557058B" w14:textId="77777777" w:rsidR="00F925DD" w:rsidRDefault="00F925DD">
      <w:pPr>
        <w:spacing w:line="288" w:lineRule="auto"/>
        <w:ind w:firstLine="600"/>
        <w:rPr>
          <w:rFonts w:ascii="Times New Roman" w:hAnsi="Times New Roman"/>
          <w:sz w:val="20"/>
          <w:szCs w:val="20"/>
        </w:rPr>
      </w:pPr>
    </w:p>
    <w:p w14:paraId="5557058C" w14:textId="77777777" w:rsidR="00F925DD" w:rsidRDefault="00E705D7">
      <w:pPr>
        <w:spacing w:line="288" w:lineRule="auto"/>
        <w:rPr>
          <w:rFonts w:ascii="Times New Roman" w:hAnsi="Times New Roman"/>
          <w:sz w:val="20"/>
          <w:szCs w:val="20"/>
        </w:rPr>
      </w:pPr>
      <w:r>
        <w:rPr>
          <w:rFonts w:ascii="Arial" w:eastAsia="宋体" w:hAnsi="Arial" w:cs="Arial"/>
          <w:b/>
          <w:bCs/>
          <w:sz w:val="20"/>
          <w:szCs w:val="20"/>
        </w:rPr>
        <w:t>DIRECTORS:</w:t>
      </w:r>
    </w:p>
    <w:tbl>
      <w:tblPr>
        <w:tblW w:w="5000" w:type="pct"/>
        <w:tblCellMar>
          <w:left w:w="0" w:type="dxa"/>
          <w:right w:w="0" w:type="dxa"/>
        </w:tblCellMar>
        <w:tblLook w:val="04A0" w:firstRow="1" w:lastRow="0" w:firstColumn="1" w:lastColumn="0" w:noHBand="0" w:noVBand="1"/>
      </w:tblPr>
      <w:tblGrid>
        <w:gridCol w:w="3888"/>
        <w:gridCol w:w="316"/>
        <w:gridCol w:w="130"/>
        <w:gridCol w:w="3972"/>
      </w:tblGrid>
      <w:tr w:rsidR="00F925DD" w14:paraId="5557058E" w14:textId="77777777">
        <w:tc>
          <w:tcPr>
            <w:tcW w:w="0" w:type="auto"/>
            <w:gridSpan w:val="4"/>
            <w:shd w:val="clear" w:color="auto" w:fill="auto"/>
            <w:vAlign w:val="center"/>
          </w:tcPr>
          <w:p w14:paraId="5557058D" w14:textId="77777777" w:rsidR="00F925DD" w:rsidRDefault="00F925DD">
            <w:pPr>
              <w:rPr>
                <w:rFonts w:ascii="Times New Roman" w:hAnsi="Times New Roman"/>
                <w:sz w:val="20"/>
                <w:szCs w:val="20"/>
              </w:rPr>
            </w:pPr>
          </w:p>
        </w:tc>
      </w:tr>
      <w:tr w:rsidR="00F925DD" w14:paraId="55570593" w14:textId="77777777">
        <w:tc>
          <w:tcPr>
            <w:tcW w:w="2350" w:type="pct"/>
            <w:shd w:val="clear" w:color="auto" w:fill="auto"/>
            <w:vAlign w:val="center"/>
          </w:tcPr>
          <w:p w14:paraId="5557058F" w14:textId="77777777" w:rsidR="00F925DD" w:rsidRDefault="00F925DD">
            <w:pPr>
              <w:rPr>
                <w:rFonts w:ascii="Times New Roman" w:hAnsi="Times New Roman"/>
                <w:sz w:val="20"/>
                <w:szCs w:val="20"/>
              </w:rPr>
            </w:pPr>
          </w:p>
        </w:tc>
        <w:tc>
          <w:tcPr>
            <w:tcW w:w="200" w:type="pct"/>
            <w:shd w:val="clear" w:color="auto" w:fill="auto"/>
            <w:vAlign w:val="center"/>
          </w:tcPr>
          <w:p w14:paraId="55570590" w14:textId="77777777" w:rsidR="00F925DD" w:rsidRDefault="00F925DD">
            <w:pPr>
              <w:rPr>
                <w:rFonts w:ascii="Times New Roman" w:hAnsi="Times New Roman"/>
                <w:sz w:val="20"/>
                <w:szCs w:val="20"/>
              </w:rPr>
            </w:pPr>
          </w:p>
        </w:tc>
        <w:tc>
          <w:tcPr>
            <w:tcW w:w="50" w:type="pct"/>
            <w:shd w:val="clear" w:color="auto" w:fill="auto"/>
            <w:vAlign w:val="center"/>
          </w:tcPr>
          <w:p w14:paraId="55570591" w14:textId="77777777" w:rsidR="00F925DD" w:rsidRDefault="00F925DD">
            <w:pPr>
              <w:rPr>
                <w:rFonts w:ascii="Times New Roman" w:hAnsi="Times New Roman"/>
                <w:sz w:val="20"/>
                <w:szCs w:val="20"/>
              </w:rPr>
            </w:pPr>
          </w:p>
        </w:tc>
        <w:tc>
          <w:tcPr>
            <w:tcW w:w="2400" w:type="pct"/>
            <w:shd w:val="clear" w:color="auto" w:fill="auto"/>
            <w:vAlign w:val="center"/>
          </w:tcPr>
          <w:p w14:paraId="55570592" w14:textId="77777777" w:rsidR="00F925DD" w:rsidRDefault="00F925DD">
            <w:pPr>
              <w:rPr>
                <w:rFonts w:ascii="Times New Roman" w:hAnsi="Times New Roman"/>
                <w:sz w:val="20"/>
                <w:szCs w:val="20"/>
              </w:rPr>
            </w:pPr>
          </w:p>
        </w:tc>
      </w:tr>
      <w:tr w:rsidR="00F925DD" w14:paraId="55570598" w14:textId="77777777">
        <w:tc>
          <w:tcPr>
            <w:tcW w:w="0" w:type="auto"/>
            <w:shd w:val="clear" w:color="auto" w:fill="auto"/>
            <w:tcMar>
              <w:top w:w="40" w:type="dxa"/>
              <w:left w:w="40" w:type="dxa"/>
              <w:bottom w:w="40" w:type="dxa"/>
              <w:right w:w="40" w:type="dxa"/>
            </w:tcMar>
            <w:vAlign w:val="bottom"/>
          </w:tcPr>
          <w:p w14:paraId="5557059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9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9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9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59D"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599" w14:textId="77777777" w:rsidR="00F925DD" w:rsidRDefault="00E705D7">
            <w:pPr>
              <w:textAlignment w:val="bottom"/>
              <w:rPr>
                <w:rFonts w:ascii="Times New Roman" w:hAnsi="Times New Roman"/>
                <w:sz w:val="20"/>
                <w:szCs w:val="20"/>
              </w:rPr>
            </w:pPr>
            <w:r>
              <w:rPr>
                <w:rFonts w:ascii="Arial" w:eastAsia="宋体" w:hAnsi="Arial" w:cs="Arial"/>
                <w:sz w:val="20"/>
                <w:szCs w:val="20"/>
              </w:rPr>
              <w:t>/s/ K</w:t>
            </w:r>
            <w:r>
              <w:rPr>
                <w:rFonts w:ascii="Arial" w:eastAsia="宋体" w:hAnsi="Arial" w:cs="Arial"/>
                <w:sz w:val="16"/>
                <w:szCs w:val="16"/>
              </w:rPr>
              <w:t>ENNETT</w:t>
            </w:r>
            <w:r>
              <w:rPr>
                <w:rFonts w:ascii="Arial" w:eastAsia="宋体" w:hAnsi="Arial" w:cs="Arial"/>
                <w:sz w:val="20"/>
                <w:szCs w:val="20"/>
              </w:rPr>
              <w:t> F. B</w:t>
            </w:r>
            <w:r>
              <w:rPr>
                <w:rFonts w:ascii="Arial" w:eastAsia="宋体" w:hAnsi="Arial" w:cs="Arial"/>
                <w:sz w:val="16"/>
                <w:szCs w:val="16"/>
              </w:rPr>
              <w:t>URNES</w:t>
            </w:r>
          </w:p>
        </w:tc>
        <w:tc>
          <w:tcPr>
            <w:tcW w:w="0" w:type="auto"/>
            <w:shd w:val="clear" w:color="auto" w:fill="auto"/>
            <w:tcMar>
              <w:top w:w="40" w:type="dxa"/>
              <w:left w:w="40" w:type="dxa"/>
              <w:bottom w:w="40" w:type="dxa"/>
              <w:right w:w="40" w:type="dxa"/>
            </w:tcMar>
            <w:vAlign w:val="bottom"/>
          </w:tcPr>
          <w:p w14:paraId="5557059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9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tcPr>
          <w:p w14:paraId="5557059C" w14:textId="77777777" w:rsidR="00F925DD" w:rsidRDefault="00E705D7">
            <w:pPr>
              <w:textAlignment w:val="top"/>
              <w:rPr>
                <w:rFonts w:ascii="Times New Roman" w:hAnsi="Times New Roman"/>
                <w:sz w:val="20"/>
                <w:szCs w:val="20"/>
              </w:rPr>
            </w:pPr>
            <w:r>
              <w:rPr>
                <w:rFonts w:ascii="Arial" w:eastAsia="宋体" w:hAnsi="Arial" w:cs="Arial"/>
                <w:sz w:val="20"/>
                <w:szCs w:val="20"/>
              </w:rPr>
              <w:t>/s/ R</w:t>
            </w:r>
            <w:r>
              <w:rPr>
                <w:rFonts w:ascii="Arial" w:eastAsia="宋体" w:hAnsi="Arial" w:cs="Arial"/>
                <w:sz w:val="16"/>
                <w:szCs w:val="16"/>
              </w:rPr>
              <w:t>ONALD</w:t>
            </w:r>
            <w:r>
              <w:rPr>
                <w:rFonts w:ascii="Arial" w:eastAsia="宋体" w:hAnsi="Arial" w:cs="Arial"/>
                <w:sz w:val="20"/>
                <w:szCs w:val="20"/>
              </w:rPr>
              <w:t> P. O'H</w:t>
            </w:r>
            <w:r>
              <w:rPr>
                <w:rFonts w:ascii="Arial" w:eastAsia="宋体" w:hAnsi="Arial" w:cs="Arial"/>
                <w:sz w:val="16"/>
                <w:szCs w:val="16"/>
              </w:rPr>
              <w:t>ANLEY</w:t>
            </w:r>
          </w:p>
        </w:tc>
      </w:tr>
      <w:tr w:rsidR="00F925DD" w14:paraId="555705A2" w14:textId="77777777">
        <w:tc>
          <w:tcPr>
            <w:tcW w:w="0" w:type="auto"/>
            <w:shd w:val="clear" w:color="auto" w:fill="auto"/>
            <w:tcMar>
              <w:top w:w="40" w:type="dxa"/>
              <w:left w:w="40" w:type="dxa"/>
              <w:bottom w:w="40" w:type="dxa"/>
              <w:right w:w="40" w:type="dxa"/>
            </w:tcMar>
          </w:tcPr>
          <w:p w14:paraId="5557059E" w14:textId="77777777" w:rsidR="00F925DD" w:rsidRDefault="00E705D7">
            <w:pPr>
              <w:textAlignment w:val="top"/>
              <w:rPr>
                <w:rFonts w:ascii="Times New Roman" w:hAnsi="Times New Roman"/>
                <w:sz w:val="20"/>
                <w:szCs w:val="20"/>
              </w:rPr>
            </w:pPr>
            <w:r>
              <w:rPr>
                <w:rFonts w:ascii="Arial" w:eastAsia="宋体" w:hAnsi="Arial" w:cs="Arial"/>
                <w:sz w:val="20"/>
                <w:szCs w:val="20"/>
              </w:rPr>
              <w:t>KENNETT F. BURNES</w:t>
            </w:r>
          </w:p>
        </w:tc>
        <w:tc>
          <w:tcPr>
            <w:tcW w:w="0" w:type="auto"/>
            <w:shd w:val="clear" w:color="auto" w:fill="auto"/>
            <w:tcMar>
              <w:top w:w="40" w:type="dxa"/>
              <w:left w:w="40" w:type="dxa"/>
              <w:bottom w:w="40" w:type="dxa"/>
              <w:right w:w="40" w:type="dxa"/>
            </w:tcMar>
            <w:vAlign w:val="bottom"/>
          </w:tcPr>
          <w:p w14:paraId="5557059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A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555705A1" w14:textId="77777777" w:rsidR="00F925DD" w:rsidRDefault="00E705D7">
            <w:pPr>
              <w:textAlignment w:val="top"/>
              <w:rPr>
                <w:rFonts w:ascii="Times New Roman" w:hAnsi="Times New Roman"/>
                <w:sz w:val="20"/>
                <w:szCs w:val="20"/>
              </w:rPr>
            </w:pPr>
            <w:r>
              <w:rPr>
                <w:rFonts w:ascii="Arial" w:eastAsia="宋体" w:hAnsi="Arial" w:cs="Arial"/>
                <w:sz w:val="20"/>
                <w:szCs w:val="20"/>
              </w:rPr>
              <w:t>RONALD P. O'HANLEY</w:t>
            </w:r>
          </w:p>
        </w:tc>
      </w:tr>
      <w:tr w:rsidR="00F925DD" w14:paraId="555705A7" w14:textId="77777777">
        <w:tc>
          <w:tcPr>
            <w:tcW w:w="0" w:type="auto"/>
            <w:shd w:val="clear" w:color="auto" w:fill="auto"/>
            <w:tcMar>
              <w:top w:w="40" w:type="dxa"/>
              <w:left w:w="40" w:type="dxa"/>
              <w:bottom w:w="40" w:type="dxa"/>
              <w:right w:w="40" w:type="dxa"/>
            </w:tcMar>
            <w:vAlign w:val="bottom"/>
          </w:tcPr>
          <w:p w14:paraId="555705A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A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A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A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5AC"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5A8" w14:textId="77777777" w:rsidR="00F925DD" w:rsidRDefault="00E705D7">
            <w:pPr>
              <w:textAlignment w:val="bottom"/>
              <w:rPr>
                <w:rFonts w:ascii="Times New Roman" w:hAnsi="Times New Roman"/>
                <w:sz w:val="20"/>
                <w:szCs w:val="20"/>
              </w:rPr>
            </w:pPr>
            <w:r>
              <w:rPr>
                <w:rFonts w:ascii="Arial" w:eastAsia="宋体" w:hAnsi="Arial" w:cs="Arial"/>
                <w:sz w:val="20"/>
                <w:szCs w:val="20"/>
              </w:rPr>
              <w:t>/s/ M</w:t>
            </w:r>
            <w:r>
              <w:rPr>
                <w:rFonts w:ascii="Arial" w:eastAsia="宋体" w:hAnsi="Arial" w:cs="Arial"/>
                <w:sz w:val="16"/>
                <w:szCs w:val="16"/>
              </w:rPr>
              <w:t>ARIE</w:t>
            </w:r>
            <w:r>
              <w:rPr>
                <w:rFonts w:ascii="Arial" w:eastAsia="宋体" w:hAnsi="Arial" w:cs="Arial"/>
                <w:sz w:val="20"/>
                <w:szCs w:val="20"/>
              </w:rPr>
              <w:t> A. C</w:t>
            </w:r>
            <w:r>
              <w:rPr>
                <w:rFonts w:ascii="Arial" w:eastAsia="宋体" w:hAnsi="Arial" w:cs="Arial"/>
                <w:sz w:val="16"/>
                <w:szCs w:val="16"/>
              </w:rPr>
              <w:t>HANDOHA</w:t>
            </w:r>
          </w:p>
        </w:tc>
        <w:tc>
          <w:tcPr>
            <w:tcW w:w="0" w:type="auto"/>
            <w:shd w:val="clear" w:color="auto" w:fill="auto"/>
            <w:tcMar>
              <w:top w:w="40" w:type="dxa"/>
              <w:left w:w="40" w:type="dxa"/>
              <w:bottom w:w="40" w:type="dxa"/>
              <w:right w:w="40" w:type="dxa"/>
            </w:tcMar>
            <w:vAlign w:val="bottom"/>
          </w:tcPr>
          <w:p w14:paraId="555705A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AA"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AB" w14:textId="77777777" w:rsidR="00F925DD" w:rsidRDefault="00E705D7">
            <w:pPr>
              <w:textAlignment w:val="bottom"/>
              <w:rPr>
                <w:rFonts w:ascii="Times New Roman" w:hAnsi="Times New Roman"/>
                <w:sz w:val="20"/>
                <w:szCs w:val="20"/>
              </w:rPr>
            </w:pPr>
            <w:r>
              <w:rPr>
                <w:rFonts w:ascii="Arial" w:eastAsia="宋体" w:hAnsi="Arial" w:cs="Arial"/>
                <w:sz w:val="20"/>
                <w:szCs w:val="20"/>
              </w:rPr>
              <w:t>/s/ S</w:t>
            </w:r>
            <w:r>
              <w:rPr>
                <w:rFonts w:ascii="Arial" w:eastAsia="宋体" w:hAnsi="Arial" w:cs="Arial"/>
                <w:sz w:val="16"/>
                <w:szCs w:val="16"/>
              </w:rPr>
              <w:t xml:space="preserve">ARA </w:t>
            </w:r>
            <w:r>
              <w:rPr>
                <w:rFonts w:ascii="Arial" w:eastAsia="宋体" w:hAnsi="Arial" w:cs="Arial"/>
                <w:sz w:val="20"/>
                <w:szCs w:val="20"/>
              </w:rPr>
              <w:t>M</w:t>
            </w:r>
            <w:r>
              <w:rPr>
                <w:rFonts w:ascii="Arial" w:eastAsia="宋体" w:hAnsi="Arial" w:cs="Arial"/>
                <w:sz w:val="16"/>
                <w:szCs w:val="16"/>
              </w:rPr>
              <w:t>ATHEW</w:t>
            </w:r>
          </w:p>
        </w:tc>
      </w:tr>
      <w:tr w:rsidR="00F925DD" w14:paraId="555705B1" w14:textId="77777777">
        <w:tc>
          <w:tcPr>
            <w:tcW w:w="0" w:type="auto"/>
            <w:shd w:val="clear" w:color="auto" w:fill="auto"/>
            <w:tcMar>
              <w:top w:w="40" w:type="dxa"/>
              <w:left w:w="40" w:type="dxa"/>
              <w:bottom w:w="40" w:type="dxa"/>
              <w:right w:w="40" w:type="dxa"/>
            </w:tcMar>
            <w:vAlign w:val="bottom"/>
          </w:tcPr>
          <w:p w14:paraId="555705AD" w14:textId="77777777" w:rsidR="00F925DD" w:rsidRDefault="00E705D7">
            <w:pPr>
              <w:textAlignment w:val="bottom"/>
              <w:rPr>
                <w:rFonts w:ascii="Times New Roman" w:hAnsi="Times New Roman"/>
                <w:sz w:val="20"/>
                <w:szCs w:val="20"/>
              </w:rPr>
            </w:pPr>
            <w:r>
              <w:rPr>
                <w:rFonts w:ascii="Arial" w:eastAsia="宋体" w:hAnsi="Arial" w:cs="Arial"/>
                <w:sz w:val="20"/>
                <w:szCs w:val="20"/>
              </w:rPr>
              <w:t>MARIE A. CHANDOHA</w:t>
            </w:r>
          </w:p>
        </w:tc>
        <w:tc>
          <w:tcPr>
            <w:tcW w:w="0" w:type="auto"/>
            <w:shd w:val="clear" w:color="auto" w:fill="auto"/>
            <w:tcMar>
              <w:top w:w="40" w:type="dxa"/>
              <w:left w:w="40" w:type="dxa"/>
              <w:bottom w:w="40" w:type="dxa"/>
              <w:right w:w="40" w:type="dxa"/>
            </w:tcMar>
            <w:vAlign w:val="bottom"/>
          </w:tcPr>
          <w:p w14:paraId="555705A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A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B0" w14:textId="77777777" w:rsidR="00F925DD" w:rsidRDefault="00E705D7">
            <w:pPr>
              <w:textAlignment w:val="bottom"/>
              <w:rPr>
                <w:rFonts w:ascii="Times New Roman" w:hAnsi="Times New Roman"/>
                <w:sz w:val="20"/>
                <w:szCs w:val="20"/>
              </w:rPr>
            </w:pPr>
            <w:r>
              <w:rPr>
                <w:rFonts w:ascii="Arial" w:eastAsia="宋体" w:hAnsi="Arial" w:cs="Arial"/>
                <w:sz w:val="20"/>
                <w:szCs w:val="20"/>
              </w:rPr>
              <w:t>SARA MATHEW</w:t>
            </w:r>
          </w:p>
        </w:tc>
      </w:tr>
      <w:tr w:rsidR="00F925DD" w14:paraId="555705B6" w14:textId="77777777">
        <w:tc>
          <w:tcPr>
            <w:tcW w:w="0" w:type="auto"/>
            <w:shd w:val="clear" w:color="auto" w:fill="auto"/>
            <w:tcMar>
              <w:top w:w="40" w:type="dxa"/>
              <w:left w:w="40" w:type="dxa"/>
              <w:bottom w:w="40" w:type="dxa"/>
              <w:right w:w="40" w:type="dxa"/>
            </w:tcMar>
            <w:vAlign w:val="bottom"/>
          </w:tcPr>
          <w:p w14:paraId="555705B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B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B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B5"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5B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5B7" w14:textId="77777777" w:rsidR="00F925DD" w:rsidRDefault="00E705D7">
            <w:pPr>
              <w:textAlignment w:val="bottom"/>
              <w:rPr>
                <w:rFonts w:ascii="Times New Roman" w:hAnsi="Times New Roman"/>
                <w:sz w:val="20"/>
                <w:szCs w:val="20"/>
              </w:rPr>
            </w:pPr>
            <w:r>
              <w:rPr>
                <w:rFonts w:ascii="Arial" w:eastAsia="宋体" w:hAnsi="Arial" w:cs="Arial"/>
                <w:sz w:val="20"/>
                <w:szCs w:val="20"/>
              </w:rPr>
              <w:t>/s/ P</w:t>
            </w:r>
            <w:r>
              <w:rPr>
                <w:rFonts w:ascii="Arial" w:eastAsia="宋体" w:hAnsi="Arial" w:cs="Arial"/>
                <w:sz w:val="16"/>
                <w:szCs w:val="16"/>
              </w:rPr>
              <w:t>ATRICK</w:t>
            </w:r>
            <w:r>
              <w:rPr>
                <w:rFonts w:ascii="Arial" w:eastAsia="宋体" w:hAnsi="Arial" w:cs="Arial"/>
                <w:sz w:val="20"/>
                <w:szCs w:val="20"/>
              </w:rPr>
              <w:t> </w:t>
            </w:r>
            <w:r>
              <w:rPr>
                <w:rFonts w:ascii="Arial" w:eastAsia="宋体" w:hAnsi="Arial" w:cs="Arial"/>
                <w:sz w:val="16"/>
                <w:szCs w:val="16"/>
              </w:rPr>
              <w:t>de</w:t>
            </w:r>
            <w:r>
              <w:rPr>
                <w:rFonts w:ascii="Arial" w:eastAsia="宋体" w:hAnsi="Arial" w:cs="Arial"/>
                <w:sz w:val="20"/>
                <w:szCs w:val="20"/>
              </w:rPr>
              <w:t> S</w:t>
            </w:r>
            <w:r>
              <w:rPr>
                <w:rFonts w:ascii="Arial" w:eastAsia="宋体" w:hAnsi="Arial" w:cs="Arial"/>
                <w:sz w:val="16"/>
                <w:szCs w:val="16"/>
              </w:rPr>
              <w:t>AINT</w:t>
            </w:r>
            <w:r>
              <w:rPr>
                <w:rFonts w:ascii="Arial" w:eastAsia="宋体" w:hAnsi="Arial" w:cs="Arial"/>
                <w:sz w:val="20"/>
                <w:szCs w:val="20"/>
              </w:rPr>
              <w:t>-A</w:t>
            </w:r>
            <w:r>
              <w:rPr>
                <w:rFonts w:ascii="Arial" w:eastAsia="宋体" w:hAnsi="Arial" w:cs="Arial"/>
                <w:sz w:val="16"/>
                <w:szCs w:val="16"/>
              </w:rPr>
              <w:t>IGNAN</w:t>
            </w:r>
          </w:p>
        </w:tc>
        <w:tc>
          <w:tcPr>
            <w:tcW w:w="0" w:type="auto"/>
            <w:shd w:val="clear" w:color="auto" w:fill="auto"/>
            <w:tcMar>
              <w:top w:w="40" w:type="dxa"/>
              <w:left w:w="40" w:type="dxa"/>
              <w:bottom w:w="40" w:type="dxa"/>
              <w:right w:w="40" w:type="dxa"/>
            </w:tcMar>
            <w:vAlign w:val="bottom"/>
          </w:tcPr>
          <w:p w14:paraId="555705B8"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B9"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BA" w14:textId="77777777" w:rsidR="00F925DD" w:rsidRDefault="00E705D7">
            <w:pPr>
              <w:textAlignment w:val="bottom"/>
              <w:rPr>
                <w:rFonts w:ascii="Times New Roman" w:hAnsi="Times New Roman"/>
                <w:sz w:val="20"/>
                <w:szCs w:val="20"/>
              </w:rPr>
            </w:pPr>
            <w:r>
              <w:rPr>
                <w:rFonts w:ascii="Arial" w:eastAsia="宋体" w:hAnsi="Arial" w:cs="Arial"/>
                <w:sz w:val="20"/>
                <w:szCs w:val="20"/>
              </w:rPr>
              <w:t>/s/ W</w:t>
            </w:r>
            <w:r>
              <w:rPr>
                <w:rFonts w:ascii="Arial" w:eastAsia="宋体" w:hAnsi="Arial" w:cs="Arial"/>
                <w:sz w:val="16"/>
                <w:szCs w:val="16"/>
              </w:rPr>
              <w:t>ILLIAM</w:t>
            </w:r>
            <w:r>
              <w:rPr>
                <w:rFonts w:ascii="Arial" w:eastAsia="宋体" w:hAnsi="Arial" w:cs="Arial"/>
                <w:sz w:val="20"/>
                <w:szCs w:val="20"/>
              </w:rPr>
              <w:t> L. M</w:t>
            </w:r>
            <w:r>
              <w:rPr>
                <w:rFonts w:ascii="Arial" w:eastAsia="宋体" w:hAnsi="Arial" w:cs="Arial"/>
                <w:sz w:val="16"/>
                <w:szCs w:val="16"/>
              </w:rPr>
              <w:t>EANEY</w:t>
            </w:r>
          </w:p>
        </w:tc>
      </w:tr>
      <w:tr w:rsidR="00F925DD" w14:paraId="555705C0" w14:textId="77777777">
        <w:tc>
          <w:tcPr>
            <w:tcW w:w="0" w:type="auto"/>
            <w:shd w:val="clear" w:color="auto" w:fill="auto"/>
            <w:tcMar>
              <w:top w:w="40" w:type="dxa"/>
              <w:left w:w="40" w:type="dxa"/>
              <w:bottom w:w="40" w:type="dxa"/>
              <w:right w:w="40" w:type="dxa"/>
            </w:tcMar>
            <w:vAlign w:val="bottom"/>
          </w:tcPr>
          <w:p w14:paraId="555705BC" w14:textId="77777777" w:rsidR="00F925DD" w:rsidRDefault="00E705D7">
            <w:pPr>
              <w:textAlignment w:val="bottom"/>
              <w:rPr>
                <w:rFonts w:ascii="Times New Roman" w:hAnsi="Times New Roman"/>
                <w:sz w:val="20"/>
                <w:szCs w:val="20"/>
              </w:rPr>
            </w:pPr>
            <w:r>
              <w:rPr>
                <w:rFonts w:ascii="Arial" w:eastAsia="宋体" w:hAnsi="Arial" w:cs="Arial"/>
                <w:sz w:val="20"/>
                <w:szCs w:val="20"/>
              </w:rPr>
              <w:t>PATRICK de SAINT-AIGNAN</w:t>
            </w:r>
          </w:p>
        </w:tc>
        <w:tc>
          <w:tcPr>
            <w:tcW w:w="0" w:type="auto"/>
            <w:shd w:val="clear" w:color="auto" w:fill="auto"/>
            <w:tcMar>
              <w:top w:w="40" w:type="dxa"/>
              <w:left w:w="40" w:type="dxa"/>
              <w:bottom w:w="40" w:type="dxa"/>
              <w:right w:w="40" w:type="dxa"/>
            </w:tcMar>
            <w:vAlign w:val="bottom"/>
          </w:tcPr>
          <w:p w14:paraId="555705BD"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B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BF" w14:textId="77777777" w:rsidR="00F925DD" w:rsidRDefault="00E705D7">
            <w:pPr>
              <w:textAlignment w:val="bottom"/>
              <w:rPr>
                <w:rFonts w:ascii="Times New Roman" w:hAnsi="Times New Roman"/>
                <w:sz w:val="20"/>
                <w:szCs w:val="20"/>
              </w:rPr>
            </w:pPr>
            <w:r>
              <w:rPr>
                <w:rFonts w:ascii="Arial" w:eastAsia="宋体" w:hAnsi="Arial" w:cs="Arial"/>
                <w:sz w:val="20"/>
                <w:szCs w:val="20"/>
              </w:rPr>
              <w:t>WILLIAM L. MEANEY</w:t>
            </w:r>
          </w:p>
        </w:tc>
      </w:tr>
      <w:tr w:rsidR="00F925DD" w14:paraId="555705C5" w14:textId="77777777">
        <w:tc>
          <w:tcPr>
            <w:tcW w:w="0" w:type="auto"/>
            <w:shd w:val="clear" w:color="auto" w:fill="auto"/>
            <w:tcMar>
              <w:top w:w="40" w:type="dxa"/>
              <w:left w:w="40" w:type="dxa"/>
              <w:bottom w:w="40" w:type="dxa"/>
              <w:right w:w="40" w:type="dxa"/>
            </w:tcMar>
            <w:vAlign w:val="bottom"/>
          </w:tcPr>
          <w:p w14:paraId="555705C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C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C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C4"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5CA"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5C6" w14:textId="77777777" w:rsidR="00F925DD" w:rsidRDefault="00E705D7">
            <w:pPr>
              <w:textAlignment w:val="bottom"/>
              <w:rPr>
                <w:rFonts w:ascii="Times New Roman" w:hAnsi="Times New Roman"/>
                <w:sz w:val="20"/>
                <w:szCs w:val="20"/>
              </w:rPr>
            </w:pPr>
            <w:r>
              <w:rPr>
                <w:rFonts w:ascii="Arial" w:eastAsia="宋体" w:hAnsi="Arial" w:cs="Arial"/>
                <w:sz w:val="20"/>
                <w:szCs w:val="20"/>
              </w:rPr>
              <w:t>/s/ L</w:t>
            </w:r>
            <w:r>
              <w:rPr>
                <w:rFonts w:ascii="Arial" w:eastAsia="宋体" w:hAnsi="Arial" w:cs="Arial"/>
                <w:sz w:val="16"/>
                <w:szCs w:val="16"/>
              </w:rPr>
              <w:t>YNN</w:t>
            </w:r>
            <w:r>
              <w:rPr>
                <w:rFonts w:ascii="Arial" w:eastAsia="宋体" w:hAnsi="Arial" w:cs="Arial"/>
                <w:sz w:val="20"/>
                <w:szCs w:val="20"/>
              </w:rPr>
              <w:t> A. D</w:t>
            </w:r>
            <w:r>
              <w:rPr>
                <w:rFonts w:ascii="Arial" w:eastAsia="宋体" w:hAnsi="Arial" w:cs="Arial"/>
                <w:sz w:val="16"/>
                <w:szCs w:val="16"/>
              </w:rPr>
              <w:t>UGLE</w:t>
            </w:r>
          </w:p>
        </w:tc>
        <w:tc>
          <w:tcPr>
            <w:tcW w:w="0" w:type="auto"/>
            <w:shd w:val="clear" w:color="auto" w:fill="auto"/>
            <w:tcMar>
              <w:top w:w="40" w:type="dxa"/>
              <w:left w:w="40" w:type="dxa"/>
              <w:bottom w:w="40" w:type="dxa"/>
              <w:right w:w="40" w:type="dxa"/>
            </w:tcMar>
            <w:vAlign w:val="bottom"/>
          </w:tcPr>
          <w:p w14:paraId="555705C7"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C8"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C9" w14:textId="77777777" w:rsidR="00F925DD" w:rsidRDefault="00E705D7">
            <w:pPr>
              <w:textAlignment w:val="bottom"/>
              <w:rPr>
                <w:rFonts w:ascii="Times New Roman" w:hAnsi="Times New Roman"/>
                <w:sz w:val="20"/>
                <w:szCs w:val="20"/>
              </w:rPr>
            </w:pPr>
            <w:r>
              <w:rPr>
                <w:rFonts w:ascii="Arial" w:eastAsia="宋体" w:hAnsi="Arial" w:cs="Arial"/>
                <w:sz w:val="20"/>
                <w:szCs w:val="20"/>
              </w:rPr>
              <w:t>/s/ S</w:t>
            </w:r>
            <w:r>
              <w:rPr>
                <w:rFonts w:ascii="Arial" w:eastAsia="宋体" w:hAnsi="Arial" w:cs="Arial"/>
                <w:sz w:val="16"/>
                <w:szCs w:val="16"/>
              </w:rPr>
              <w:t xml:space="preserve">EAN </w:t>
            </w:r>
            <w:r>
              <w:rPr>
                <w:rFonts w:ascii="Arial" w:eastAsia="宋体" w:hAnsi="Arial" w:cs="Arial"/>
                <w:sz w:val="20"/>
                <w:szCs w:val="20"/>
              </w:rPr>
              <w:t>O'S</w:t>
            </w:r>
            <w:r>
              <w:rPr>
                <w:rFonts w:ascii="Arial" w:eastAsia="宋体" w:hAnsi="Arial" w:cs="Arial"/>
                <w:sz w:val="16"/>
                <w:szCs w:val="16"/>
              </w:rPr>
              <w:t>ULLIVAN</w:t>
            </w:r>
          </w:p>
        </w:tc>
      </w:tr>
      <w:tr w:rsidR="00F925DD" w14:paraId="555705CF" w14:textId="77777777">
        <w:tc>
          <w:tcPr>
            <w:tcW w:w="0" w:type="auto"/>
            <w:shd w:val="clear" w:color="auto" w:fill="auto"/>
            <w:tcMar>
              <w:top w:w="40" w:type="dxa"/>
              <w:left w:w="40" w:type="dxa"/>
              <w:bottom w:w="40" w:type="dxa"/>
              <w:right w:w="40" w:type="dxa"/>
            </w:tcMar>
          </w:tcPr>
          <w:p w14:paraId="555705CB" w14:textId="77777777" w:rsidR="00F925DD" w:rsidRDefault="00E705D7">
            <w:pPr>
              <w:textAlignment w:val="top"/>
              <w:rPr>
                <w:rFonts w:ascii="Times New Roman" w:hAnsi="Times New Roman"/>
                <w:sz w:val="20"/>
                <w:szCs w:val="20"/>
              </w:rPr>
            </w:pPr>
            <w:r>
              <w:rPr>
                <w:rFonts w:ascii="Arial" w:eastAsia="宋体" w:hAnsi="Arial" w:cs="Arial"/>
                <w:sz w:val="20"/>
                <w:szCs w:val="20"/>
              </w:rPr>
              <w:t>LYNN A. DUGLE</w:t>
            </w:r>
          </w:p>
        </w:tc>
        <w:tc>
          <w:tcPr>
            <w:tcW w:w="0" w:type="auto"/>
            <w:shd w:val="clear" w:color="auto" w:fill="auto"/>
            <w:tcMar>
              <w:top w:w="40" w:type="dxa"/>
              <w:left w:w="40" w:type="dxa"/>
              <w:bottom w:w="40" w:type="dxa"/>
              <w:right w:w="40" w:type="dxa"/>
            </w:tcMar>
            <w:vAlign w:val="bottom"/>
          </w:tcPr>
          <w:p w14:paraId="555705CC"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CD"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CE" w14:textId="77777777" w:rsidR="00F925DD" w:rsidRDefault="00E705D7">
            <w:pPr>
              <w:textAlignment w:val="bottom"/>
              <w:rPr>
                <w:rFonts w:ascii="Times New Roman" w:hAnsi="Times New Roman"/>
                <w:sz w:val="20"/>
                <w:szCs w:val="20"/>
              </w:rPr>
            </w:pPr>
            <w:r>
              <w:rPr>
                <w:rFonts w:ascii="Arial" w:eastAsia="宋体" w:hAnsi="Arial" w:cs="Arial"/>
                <w:sz w:val="20"/>
                <w:szCs w:val="20"/>
              </w:rPr>
              <w:t>SEAN O'SULLIVAN</w:t>
            </w:r>
          </w:p>
        </w:tc>
      </w:tr>
      <w:tr w:rsidR="00F925DD" w14:paraId="555705D4" w14:textId="77777777">
        <w:tc>
          <w:tcPr>
            <w:tcW w:w="0" w:type="auto"/>
            <w:shd w:val="clear" w:color="auto" w:fill="auto"/>
            <w:tcMar>
              <w:top w:w="40" w:type="dxa"/>
              <w:left w:w="40" w:type="dxa"/>
              <w:bottom w:w="40" w:type="dxa"/>
              <w:right w:w="40" w:type="dxa"/>
            </w:tcMar>
            <w:vAlign w:val="bottom"/>
          </w:tcPr>
          <w:p w14:paraId="555705D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D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D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D3"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5D9"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5D5" w14:textId="77777777" w:rsidR="00F925DD" w:rsidRDefault="00E705D7">
            <w:pPr>
              <w:textAlignment w:val="bottom"/>
              <w:rPr>
                <w:rFonts w:ascii="Times New Roman" w:hAnsi="Times New Roman"/>
                <w:sz w:val="20"/>
                <w:szCs w:val="20"/>
              </w:rPr>
            </w:pPr>
            <w:r>
              <w:rPr>
                <w:rFonts w:ascii="Arial" w:eastAsia="宋体" w:hAnsi="Arial" w:cs="Arial"/>
                <w:sz w:val="20"/>
                <w:szCs w:val="20"/>
              </w:rPr>
              <w:t>/s/ A</w:t>
            </w:r>
            <w:r>
              <w:rPr>
                <w:rFonts w:ascii="Arial" w:eastAsia="宋体" w:hAnsi="Arial" w:cs="Arial"/>
                <w:sz w:val="16"/>
                <w:szCs w:val="16"/>
              </w:rPr>
              <w:t>MELIA</w:t>
            </w:r>
            <w:r>
              <w:rPr>
                <w:rFonts w:ascii="Arial" w:eastAsia="宋体" w:hAnsi="Arial" w:cs="Arial"/>
                <w:sz w:val="20"/>
                <w:szCs w:val="20"/>
              </w:rPr>
              <w:t> C. F</w:t>
            </w:r>
            <w:r>
              <w:rPr>
                <w:rFonts w:ascii="Arial" w:eastAsia="宋体" w:hAnsi="Arial" w:cs="Arial"/>
                <w:sz w:val="16"/>
                <w:szCs w:val="16"/>
              </w:rPr>
              <w:t>AWCETT</w:t>
            </w:r>
          </w:p>
        </w:tc>
        <w:tc>
          <w:tcPr>
            <w:tcW w:w="0" w:type="auto"/>
            <w:shd w:val="clear" w:color="auto" w:fill="auto"/>
            <w:tcMar>
              <w:top w:w="40" w:type="dxa"/>
              <w:left w:w="40" w:type="dxa"/>
              <w:bottom w:w="40" w:type="dxa"/>
              <w:right w:w="40" w:type="dxa"/>
            </w:tcMar>
            <w:vAlign w:val="bottom"/>
          </w:tcPr>
          <w:p w14:paraId="555705D6"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D7"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D8" w14:textId="77777777" w:rsidR="00F925DD" w:rsidRDefault="00E705D7">
            <w:pPr>
              <w:textAlignment w:val="bottom"/>
              <w:rPr>
                <w:rFonts w:ascii="Times New Roman" w:hAnsi="Times New Roman"/>
                <w:sz w:val="20"/>
                <w:szCs w:val="20"/>
              </w:rPr>
            </w:pPr>
            <w:r>
              <w:rPr>
                <w:rFonts w:ascii="Arial" w:eastAsia="宋体" w:hAnsi="Arial" w:cs="Arial"/>
                <w:sz w:val="20"/>
                <w:szCs w:val="20"/>
              </w:rPr>
              <w:t>/s/ R</w:t>
            </w:r>
            <w:r>
              <w:rPr>
                <w:rFonts w:ascii="Arial" w:eastAsia="宋体" w:hAnsi="Arial" w:cs="Arial"/>
                <w:sz w:val="16"/>
                <w:szCs w:val="16"/>
              </w:rPr>
              <w:t xml:space="preserve">ICHARD </w:t>
            </w:r>
            <w:r>
              <w:rPr>
                <w:rFonts w:ascii="Arial" w:eastAsia="宋体" w:hAnsi="Arial" w:cs="Arial"/>
                <w:sz w:val="20"/>
                <w:szCs w:val="20"/>
              </w:rPr>
              <w:t>P. S</w:t>
            </w:r>
            <w:r>
              <w:rPr>
                <w:rFonts w:ascii="Arial" w:eastAsia="宋体" w:hAnsi="Arial" w:cs="Arial"/>
                <w:sz w:val="16"/>
                <w:szCs w:val="16"/>
              </w:rPr>
              <w:t>ERGEL</w:t>
            </w:r>
          </w:p>
        </w:tc>
      </w:tr>
      <w:tr w:rsidR="00F925DD" w14:paraId="555705DE" w14:textId="77777777">
        <w:tc>
          <w:tcPr>
            <w:tcW w:w="0" w:type="auto"/>
            <w:shd w:val="clear" w:color="auto" w:fill="auto"/>
            <w:tcMar>
              <w:top w:w="40" w:type="dxa"/>
              <w:left w:w="40" w:type="dxa"/>
              <w:bottom w:w="40" w:type="dxa"/>
              <w:right w:w="40" w:type="dxa"/>
            </w:tcMar>
          </w:tcPr>
          <w:p w14:paraId="555705DA" w14:textId="77777777" w:rsidR="00F925DD" w:rsidRDefault="00E705D7">
            <w:pPr>
              <w:textAlignment w:val="top"/>
              <w:rPr>
                <w:rFonts w:ascii="Times New Roman" w:hAnsi="Times New Roman"/>
                <w:sz w:val="20"/>
                <w:szCs w:val="20"/>
              </w:rPr>
            </w:pPr>
            <w:r>
              <w:rPr>
                <w:rFonts w:ascii="Arial" w:eastAsia="宋体" w:hAnsi="Arial" w:cs="Arial"/>
                <w:sz w:val="20"/>
                <w:szCs w:val="20"/>
              </w:rPr>
              <w:t>AMELIA C. FAWCETT</w:t>
            </w:r>
          </w:p>
        </w:tc>
        <w:tc>
          <w:tcPr>
            <w:tcW w:w="0" w:type="auto"/>
            <w:shd w:val="clear" w:color="auto" w:fill="auto"/>
            <w:tcMar>
              <w:top w:w="40" w:type="dxa"/>
              <w:left w:w="40" w:type="dxa"/>
              <w:bottom w:w="40" w:type="dxa"/>
              <w:right w:w="40" w:type="dxa"/>
            </w:tcMar>
            <w:vAlign w:val="bottom"/>
          </w:tcPr>
          <w:p w14:paraId="555705DB"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DC"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DD" w14:textId="77777777" w:rsidR="00F925DD" w:rsidRDefault="00E705D7">
            <w:pPr>
              <w:textAlignment w:val="bottom"/>
              <w:rPr>
                <w:rFonts w:ascii="Times New Roman" w:hAnsi="Times New Roman"/>
                <w:sz w:val="20"/>
                <w:szCs w:val="20"/>
              </w:rPr>
            </w:pPr>
            <w:r>
              <w:rPr>
                <w:rFonts w:ascii="Arial" w:eastAsia="宋体" w:hAnsi="Arial" w:cs="Arial"/>
                <w:sz w:val="20"/>
                <w:szCs w:val="20"/>
              </w:rPr>
              <w:t>RICHARD P. SERGEL</w:t>
            </w:r>
          </w:p>
        </w:tc>
      </w:tr>
      <w:tr w:rsidR="00F925DD" w14:paraId="555705E3" w14:textId="77777777">
        <w:tc>
          <w:tcPr>
            <w:tcW w:w="0" w:type="auto"/>
            <w:shd w:val="clear" w:color="auto" w:fill="auto"/>
            <w:tcMar>
              <w:top w:w="40" w:type="dxa"/>
              <w:left w:w="40" w:type="dxa"/>
              <w:bottom w:w="40" w:type="dxa"/>
              <w:right w:w="40" w:type="dxa"/>
            </w:tcMar>
            <w:vAlign w:val="bottom"/>
          </w:tcPr>
          <w:p w14:paraId="555705D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E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E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E2"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r w:rsidR="00F925DD" w14:paraId="555705E8"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555705E4" w14:textId="77777777" w:rsidR="00F925DD" w:rsidRDefault="00E705D7">
            <w:pPr>
              <w:textAlignment w:val="bottom"/>
              <w:rPr>
                <w:rFonts w:ascii="Times New Roman" w:hAnsi="Times New Roman"/>
                <w:sz w:val="20"/>
                <w:szCs w:val="20"/>
              </w:rPr>
            </w:pPr>
            <w:r>
              <w:rPr>
                <w:rFonts w:ascii="Arial" w:eastAsia="宋体" w:hAnsi="Arial" w:cs="Arial"/>
                <w:sz w:val="20"/>
                <w:szCs w:val="20"/>
              </w:rPr>
              <w:t>/s/ W</w:t>
            </w:r>
            <w:r>
              <w:rPr>
                <w:rFonts w:ascii="Arial" w:eastAsia="宋体" w:hAnsi="Arial" w:cs="Arial"/>
                <w:sz w:val="16"/>
                <w:szCs w:val="16"/>
              </w:rPr>
              <w:t>ILLIAM</w:t>
            </w:r>
            <w:r>
              <w:rPr>
                <w:rFonts w:ascii="Arial" w:eastAsia="宋体" w:hAnsi="Arial" w:cs="Arial"/>
                <w:sz w:val="20"/>
                <w:szCs w:val="20"/>
              </w:rPr>
              <w:t> C. F</w:t>
            </w:r>
            <w:r>
              <w:rPr>
                <w:rFonts w:ascii="Arial" w:eastAsia="宋体" w:hAnsi="Arial" w:cs="Arial"/>
                <w:sz w:val="16"/>
                <w:szCs w:val="16"/>
              </w:rPr>
              <w:t>REDA</w:t>
            </w:r>
          </w:p>
        </w:tc>
        <w:tc>
          <w:tcPr>
            <w:tcW w:w="0" w:type="auto"/>
            <w:shd w:val="clear" w:color="auto" w:fill="auto"/>
            <w:tcMar>
              <w:top w:w="40" w:type="dxa"/>
              <w:left w:w="40" w:type="dxa"/>
              <w:bottom w:w="40" w:type="dxa"/>
              <w:right w:w="40" w:type="dxa"/>
            </w:tcMar>
            <w:vAlign w:val="bottom"/>
          </w:tcPr>
          <w:p w14:paraId="555705E5"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E6"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555705E7" w14:textId="77777777" w:rsidR="00F925DD" w:rsidRDefault="00E705D7">
            <w:pPr>
              <w:textAlignment w:val="bottom"/>
              <w:rPr>
                <w:rFonts w:ascii="Times New Roman" w:hAnsi="Times New Roman"/>
                <w:sz w:val="20"/>
                <w:szCs w:val="20"/>
              </w:rPr>
            </w:pPr>
            <w:r>
              <w:rPr>
                <w:rFonts w:ascii="Arial" w:eastAsia="宋体" w:hAnsi="Arial" w:cs="Arial"/>
                <w:sz w:val="20"/>
                <w:szCs w:val="20"/>
              </w:rPr>
              <w:t>/s/ G</w:t>
            </w:r>
            <w:r>
              <w:rPr>
                <w:rFonts w:ascii="Arial" w:eastAsia="宋体" w:hAnsi="Arial" w:cs="Arial"/>
                <w:sz w:val="16"/>
                <w:szCs w:val="16"/>
              </w:rPr>
              <w:t>REGORY</w:t>
            </w:r>
            <w:r>
              <w:rPr>
                <w:rFonts w:ascii="Arial" w:eastAsia="宋体" w:hAnsi="Arial" w:cs="Arial"/>
                <w:sz w:val="20"/>
                <w:szCs w:val="20"/>
              </w:rPr>
              <w:t> L. S</w:t>
            </w:r>
            <w:r>
              <w:rPr>
                <w:rFonts w:ascii="Arial" w:eastAsia="宋体" w:hAnsi="Arial" w:cs="Arial"/>
                <w:sz w:val="16"/>
                <w:szCs w:val="16"/>
              </w:rPr>
              <w:t>UMME</w:t>
            </w:r>
          </w:p>
        </w:tc>
      </w:tr>
      <w:tr w:rsidR="00F925DD" w14:paraId="555705ED" w14:textId="77777777">
        <w:tc>
          <w:tcPr>
            <w:tcW w:w="0" w:type="auto"/>
            <w:shd w:val="clear" w:color="auto" w:fill="auto"/>
            <w:tcMar>
              <w:top w:w="40" w:type="dxa"/>
              <w:left w:w="40" w:type="dxa"/>
              <w:bottom w:w="40" w:type="dxa"/>
              <w:right w:w="40" w:type="dxa"/>
            </w:tcMar>
          </w:tcPr>
          <w:p w14:paraId="555705E9" w14:textId="77777777" w:rsidR="00F925DD" w:rsidRDefault="00E705D7">
            <w:pPr>
              <w:textAlignment w:val="top"/>
              <w:rPr>
                <w:rFonts w:ascii="Times New Roman" w:hAnsi="Times New Roman"/>
                <w:sz w:val="20"/>
                <w:szCs w:val="20"/>
              </w:rPr>
            </w:pPr>
            <w:r>
              <w:rPr>
                <w:rFonts w:ascii="Arial" w:eastAsia="宋体" w:hAnsi="Arial" w:cs="Arial"/>
                <w:sz w:val="20"/>
                <w:szCs w:val="20"/>
              </w:rPr>
              <w:t>WILLIAM C. FREDA</w:t>
            </w:r>
          </w:p>
        </w:tc>
        <w:tc>
          <w:tcPr>
            <w:tcW w:w="0" w:type="auto"/>
            <w:shd w:val="clear" w:color="auto" w:fill="auto"/>
            <w:tcMar>
              <w:top w:w="40" w:type="dxa"/>
              <w:left w:w="40" w:type="dxa"/>
              <w:bottom w:w="40" w:type="dxa"/>
              <w:right w:w="40" w:type="dxa"/>
            </w:tcMar>
            <w:vAlign w:val="bottom"/>
          </w:tcPr>
          <w:p w14:paraId="555705EA" w14:textId="77777777" w:rsidR="00F925DD" w:rsidRDefault="00E705D7">
            <w:pPr>
              <w:textAlignment w:val="bottom"/>
              <w:rPr>
                <w:rFonts w:ascii="Times New Roman" w:hAnsi="Times New Roman"/>
                <w:sz w:val="20"/>
                <w:szCs w:val="20"/>
              </w:rPr>
            </w:pPr>
            <w:r>
              <w:rPr>
                <w:rFonts w:ascii="Arial" w:eastAsia="宋体" w:hAnsi="Arial" w:cs="Arial"/>
                <w:sz w:val="20"/>
                <w:szCs w:val="20"/>
              </w:rPr>
              <w:t> </w:t>
            </w:r>
          </w:p>
        </w:tc>
        <w:tc>
          <w:tcPr>
            <w:tcW w:w="0" w:type="auto"/>
            <w:shd w:val="clear" w:color="auto" w:fill="auto"/>
            <w:tcMar>
              <w:top w:w="40" w:type="dxa"/>
              <w:left w:w="40" w:type="dxa"/>
              <w:bottom w:w="40" w:type="dxa"/>
              <w:right w:w="40" w:type="dxa"/>
            </w:tcMar>
            <w:vAlign w:val="bottom"/>
          </w:tcPr>
          <w:p w14:paraId="555705EB"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EC" w14:textId="77777777" w:rsidR="00F925DD" w:rsidRDefault="00E705D7">
            <w:pPr>
              <w:textAlignment w:val="bottom"/>
              <w:rPr>
                <w:rFonts w:ascii="Times New Roman" w:hAnsi="Times New Roman"/>
                <w:sz w:val="20"/>
                <w:szCs w:val="20"/>
              </w:rPr>
            </w:pPr>
            <w:r>
              <w:rPr>
                <w:rFonts w:ascii="Arial" w:eastAsia="宋体" w:hAnsi="Arial" w:cs="Arial"/>
                <w:sz w:val="20"/>
                <w:szCs w:val="20"/>
              </w:rPr>
              <w:t>GREGORY L. SUMME</w:t>
            </w:r>
          </w:p>
        </w:tc>
      </w:tr>
      <w:tr w:rsidR="00F925DD" w14:paraId="555705F2" w14:textId="77777777">
        <w:tc>
          <w:tcPr>
            <w:tcW w:w="0" w:type="auto"/>
            <w:shd w:val="clear" w:color="auto" w:fill="auto"/>
            <w:tcMar>
              <w:top w:w="40" w:type="dxa"/>
              <w:left w:w="40" w:type="dxa"/>
              <w:bottom w:w="40" w:type="dxa"/>
              <w:right w:w="40" w:type="dxa"/>
            </w:tcMar>
            <w:vAlign w:val="bottom"/>
          </w:tcPr>
          <w:p w14:paraId="555705EE"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EF"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F0"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555705F1" w14:textId="77777777" w:rsidR="00F925DD" w:rsidRDefault="00E705D7">
            <w:pPr>
              <w:textAlignment w:val="bottom"/>
              <w:rPr>
                <w:rFonts w:ascii="Times New Roman" w:hAnsi="Times New Roman"/>
                <w:sz w:val="20"/>
                <w:szCs w:val="20"/>
              </w:rPr>
            </w:pPr>
            <w:r>
              <w:rPr>
                <w:rFonts w:ascii="Times New Roman" w:eastAsia="宋体" w:hAnsi="Times New Roman"/>
                <w:sz w:val="20"/>
                <w:szCs w:val="20"/>
              </w:rPr>
              <w:t> </w:t>
            </w:r>
          </w:p>
        </w:tc>
      </w:tr>
    </w:tbl>
    <w:p w14:paraId="555705F3" w14:textId="77777777" w:rsidR="00F925DD" w:rsidRDefault="00F925DD">
      <w:pPr>
        <w:rPr>
          <w:rFonts w:ascii="Times New Roman" w:hAnsi="Times New Roman"/>
          <w:sz w:val="20"/>
          <w:szCs w:val="20"/>
        </w:rPr>
      </w:pPr>
    </w:p>
    <w:p w14:paraId="555705F4" w14:textId="77777777" w:rsidR="00F925DD" w:rsidRDefault="00E705D7">
      <w:pPr>
        <w:spacing w:line="288" w:lineRule="auto"/>
        <w:ind w:firstLine="600"/>
        <w:jc w:val="right"/>
        <w:rPr>
          <w:rFonts w:ascii="Times New Roman" w:hAnsi="Times New Roman"/>
          <w:sz w:val="18"/>
          <w:szCs w:val="18"/>
        </w:rPr>
      </w:pPr>
      <w:r>
        <w:rPr>
          <w:rFonts w:ascii="Arial" w:eastAsia="宋体" w:hAnsi="Arial" w:cs="Arial"/>
          <w:sz w:val="18"/>
          <w:szCs w:val="18"/>
        </w:rPr>
        <w:t>State Street Corporation | 188</w:t>
      </w:r>
    </w:p>
    <w:p w14:paraId="555705F5" w14:textId="77777777" w:rsidR="00F925DD" w:rsidRDefault="00F925DD">
      <w:pPr>
        <w:spacing w:line="288" w:lineRule="auto"/>
        <w:ind w:firstLine="600"/>
        <w:jc w:val="center"/>
        <w:rPr>
          <w:rFonts w:ascii="Times New Roman" w:hAnsi="Times New Roman"/>
          <w:sz w:val="18"/>
          <w:szCs w:val="18"/>
        </w:rPr>
      </w:pPr>
    </w:p>
    <w:p w14:paraId="555705F6" w14:textId="77777777" w:rsidR="00F925DD" w:rsidRDefault="00E705D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55706F6" wp14:editId="555706F7">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5F8" w14:textId="77777777">
        <w:trPr>
          <w:tblCellSpacing w:w="15" w:type="dxa"/>
        </w:trPr>
        <w:tc>
          <w:tcPr>
            <w:tcW w:w="0" w:type="auto"/>
            <w:shd w:val="clear" w:color="auto" w:fill="auto"/>
            <w:vAlign w:val="center"/>
          </w:tcPr>
          <w:p w14:paraId="555705F7" w14:textId="77777777" w:rsidR="00F925DD" w:rsidRDefault="00F925DD">
            <w:pPr>
              <w:rPr>
                <w:rFonts w:ascii="宋体"/>
              </w:rPr>
            </w:pPr>
          </w:p>
        </w:tc>
      </w:tr>
    </w:tbl>
    <w:p w14:paraId="555705F9" w14:textId="77777777" w:rsidR="00F925DD" w:rsidRDefault="00F925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5FB" w14:textId="77777777">
        <w:trPr>
          <w:tblCellSpacing w:w="15" w:type="dxa"/>
        </w:trPr>
        <w:tc>
          <w:tcPr>
            <w:tcW w:w="0" w:type="auto"/>
            <w:shd w:val="clear" w:color="auto" w:fill="auto"/>
            <w:vAlign w:val="center"/>
          </w:tcPr>
          <w:p w14:paraId="555705FA" w14:textId="77777777" w:rsidR="00F925DD" w:rsidRDefault="00F925DD">
            <w:pPr>
              <w:rPr>
                <w:rFonts w:ascii="宋体"/>
              </w:rPr>
            </w:pPr>
          </w:p>
        </w:tc>
      </w:tr>
    </w:tbl>
    <w:p w14:paraId="555705FC" w14:textId="77777777" w:rsidR="00F925DD" w:rsidRDefault="00F925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5FE" w14:textId="77777777">
        <w:trPr>
          <w:tblCellSpacing w:w="15" w:type="dxa"/>
        </w:trPr>
        <w:tc>
          <w:tcPr>
            <w:tcW w:w="0" w:type="auto"/>
            <w:shd w:val="clear" w:color="auto" w:fill="auto"/>
            <w:vAlign w:val="center"/>
          </w:tcPr>
          <w:p w14:paraId="555705FD" w14:textId="77777777" w:rsidR="00F925DD" w:rsidRDefault="00F925DD">
            <w:pPr>
              <w:rPr>
                <w:rFonts w:ascii="宋体"/>
              </w:rPr>
            </w:pPr>
          </w:p>
        </w:tc>
      </w:tr>
    </w:tbl>
    <w:p w14:paraId="555705FF" w14:textId="77777777" w:rsidR="00F925DD" w:rsidRDefault="00F925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601" w14:textId="77777777">
        <w:trPr>
          <w:tblCellSpacing w:w="15" w:type="dxa"/>
        </w:trPr>
        <w:tc>
          <w:tcPr>
            <w:tcW w:w="0" w:type="auto"/>
            <w:shd w:val="clear" w:color="auto" w:fill="auto"/>
            <w:vAlign w:val="center"/>
          </w:tcPr>
          <w:p w14:paraId="55570600" w14:textId="77777777" w:rsidR="00F925DD" w:rsidRDefault="00F925DD">
            <w:pPr>
              <w:rPr>
                <w:rFonts w:ascii="宋体"/>
              </w:rPr>
            </w:pPr>
          </w:p>
        </w:tc>
      </w:tr>
    </w:tbl>
    <w:p w14:paraId="55570602" w14:textId="77777777" w:rsidR="00F925DD" w:rsidRDefault="00E705D7">
      <w:r>
        <w:rPr>
          <w:rFonts w:ascii="宋体" w:eastAsia="宋体" w:hAnsi="宋体" w:cs="宋体"/>
        </w:rPr>
        <w:t xml:space="preserve">Previous Next </w:t>
      </w:r>
    </w:p>
    <w:p w14:paraId="55570603" w14:textId="77777777" w:rsidR="00F925DD" w:rsidRDefault="00E705D7">
      <w:pPr>
        <w:pStyle w:val="a3"/>
      </w:pPr>
      <w:r>
        <w:t>Settings</w:t>
      </w:r>
    </w:p>
    <w:p w14:paraId="55570604" w14:textId="77777777" w:rsidR="00F925DD" w:rsidRDefault="00E705D7">
      <w:pPr>
        <w:pStyle w:val="Style4"/>
      </w:pPr>
      <w:r>
        <w:t>窗体顶端</w:t>
      </w:r>
    </w:p>
    <w:p w14:paraId="55570605" w14:textId="77777777" w:rsidR="00F925DD" w:rsidRDefault="00E705D7">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555706F8" wp14:editId="555706F9">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55570606" w14:textId="77777777" w:rsidR="00F925DD" w:rsidRDefault="00E705D7">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555706FA" wp14:editId="555706FB">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w:t>
      </w:r>
      <w:r>
        <w:rPr>
          <w:rFonts w:ascii="宋体" w:eastAsia="宋体" w:hAnsi="宋体" w:cs="宋体"/>
        </w:rPr>
        <w:t xml:space="preserve">le) of the viewer window. This setting will have no use on IE 10, or Safari. </w:t>
      </w:r>
    </w:p>
    <w:p w14:paraId="55570607" w14:textId="77777777" w:rsidR="00F925DD" w:rsidRDefault="00E705D7">
      <w:r>
        <w:pict w14:anchorId="555706FC">
          <v:rect id="_x0000_i1212" style="width:415.3pt;height:1.5pt" o:hralign="center" o:hrstd="t" o:hr="t" fillcolor="#a0a0a0" stroked="f"/>
        </w:pict>
      </w:r>
    </w:p>
    <w:p w14:paraId="55570608" w14:textId="77777777" w:rsidR="00F925DD" w:rsidRDefault="00E705D7">
      <w:r>
        <w:rPr>
          <w:rFonts w:ascii="宋体" w:eastAsia="宋体" w:hAnsi="宋体" w:cs="宋体"/>
        </w:rPr>
        <w:t xml:space="preserve">Tagged Data </w:t>
      </w:r>
    </w:p>
    <w:p w14:paraId="55570609" w14:textId="77777777" w:rsidR="00F925DD" w:rsidRDefault="00E705D7">
      <w:r>
        <w:rPr>
          <w:rFonts w:ascii="monospace" w:eastAsia="monospace" w:hAnsi="monospace" w:cs="monospace"/>
          <w:noProof/>
        </w:rPr>
        <mc:AlternateContent>
          <mc:Choice Requires="wps">
            <w:drawing>
              <wp:inline distT="0" distB="0" distL="114300" distR="114300" wp14:anchorId="555706FD" wp14:editId="555706FE">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5557060A" w14:textId="77777777" w:rsidR="00F925DD" w:rsidRDefault="00E705D7">
      <w:r>
        <w:rPr>
          <w:rFonts w:ascii="宋体" w:eastAsia="宋体" w:hAnsi="宋体" w:cs="宋体"/>
        </w:rPr>
        <w:t>Save</w:t>
      </w:r>
    </w:p>
    <w:p w14:paraId="5557060B" w14:textId="77777777" w:rsidR="00F925DD" w:rsidRDefault="00E705D7">
      <w:r>
        <w:rPr>
          <w:rFonts w:ascii="宋体" w:eastAsia="宋体" w:hAnsi="宋体" w:cs="宋体"/>
        </w:rPr>
        <w:t>Reset</w:t>
      </w:r>
    </w:p>
    <w:p w14:paraId="5557060C" w14:textId="77777777" w:rsidR="00F925DD" w:rsidRDefault="00E705D7">
      <w:r>
        <w:pict w14:anchorId="555706FF">
          <v:rect id="_x0000_i1213" style="width:415.3pt;height:1.5pt" o:hralign="center" o:hrstd="t" o:hr="t" fillcolor="#a0a0a0" stroked="f"/>
        </w:pict>
      </w:r>
    </w:p>
    <w:p w14:paraId="5557060D" w14:textId="77777777" w:rsidR="00F925DD" w:rsidRDefault="00E705D7">
      <w:r>
        <w:rPr>
          <w:rFonts w:ascii="宋体" w:eastAsia="宋体" w:hAnsi="宋体" w:cs="宋体"/>
        </w:rPr>
        <w:t xml:space="preserve">Search Results </w:t>
      </w:r>
    </w:p>
    <w:p w14:paraId="5557060E" w14:textId="77777777" w:rsidR="00F925DD" w:rsidRDefault="00E705D7">
      <w:r>
        <w:rPr>
          <w:rFonts w:ascii="monospace" w:eastAsia="monospace" w:hAnsi="monospace" w:cs="monospace"/>
          <w:noProof/>
        </w:rPr>
        <mc:AlternateContent>
          <mc:Choice Requires="wps">
            <w:drawing>
              <wp:inline distT="0" distB="0" distL="114300" distR="114300" wp14:anchorId="55570700" wp14:editId="55570701">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557060F" w14:textId="77777777" w:rsidR="00F925DD" w:rsidRDefault="00E705D7">
      <w:r>
        <w:rPr>
          <w:rFonts w:ascii="宋体" w:eastAsia="宋体" w:hAnsi="宋体" w:cs="宋体"/>
        </w:rPr>
        <w:t>Save</w:t>
      </w:r>
    </w:p>
    <w:p w14:paraId="55570610" w14:textId="77777777" w:rsidR="00F925DD" w:rsidRDefault="00E705D7">
      <w:r>
        <w:rPr>
          <w:rFonts w:ascii="宋体" w:eastAsia="宋体" w:hAnsi="宋体" w:cs="宋体"/>
        </w:rPr>
        <w:t>Reset</w:t>
      </w:r>
    </w:p>
    <w:p w14:paraId="55570611" w14:textId="77777777" w:rsidR="00F925DD" w:rsidRDefault="00E705D7">
      <w:r>
        <w:pict w14:anchorId="55570702">
          <v:rect id="_x0000_i1214" style="width:415.3pt;height:1.5pt" o:hralign="center" o:hrstd="t" o:hr="t" fillcolor="#a0a0a0" stroked="f"/>
        </w:pict>
      </w:r>
    </w:p>
    <w:p w14:paraId="55570612" w14:textId="77777777" w:rsidR="00F925DD" w:rsidRDefault="00E705D7">
      <w:r>
        <w:rPr>
          <w:rFonts w:ascii="宋体" w:eastAsia="宋体" w:hAnsi="宋体" w:cs="宋体"/>
        </w:rPr>
        <w:t xml:space="preserve">Selected Fact </w:t>
      </w:r>
    </w:p>
    <w:p w14:paraId="55570613" w14:textId="77777777" w:rsidR="00F925DD" w:rsidRDefault="00E705D7">
      <w:r>
        <w:rPr>
          <w:rFonts w:ascii="monospace" w:eastAsia="monospace" w:hAnsi="monospace" w:cs="monospace"/>
          <w:noProof/>
        </w:rPr>
        <mc:AlternateContent>
          <mc:Choice Requires="wps">
            <w:drawing>
              <wp:inline distT="0" distB="0" distL="114300" distR="114300" wp14:anchorId="55570703" wp14:editId="55570704">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5570614" w14:textId="77777777" w:rsidR="00F925DD" w:rsidRDefault="00E705D7">
      <w:r>
        <w:rPr>
          <w:rFonts w:ascii="宋体" w:eastAsia="宋体" w:hAnsi="宋体" w:cs="宋体"/>
        </w:rPr>
        <w:t>Save</w:t>
      </w:r>
    </w:p>
    <w:p w14:paraId="55570615" w14:textId="77777777" w:rsidR="00F925DD" w:rsidRDefault="00E705D7">
      <w:r>
        <w:rPr>
          <w:rFonts w:ascii="宋体" w:eastAsia="宋体" w:hAnsi="宋体" w:cs="宋体"/>
        </w:rPr>
        <w:t>Reset</w:t>
      </w:r>
    </w:p>
    <w:p w14:paraId="55570616" w14:textId="77777777" w:rsidR="00F925DD" w:rsidRDefault="00E705D7">
      <w:r>
        <w:pict w14:anchorId="55570705">
          <v:rect id="_x0000_i1215" style="width:415.3pt;height:1.5pt" o:hralign="center" o:hrstd="t" o:hr="t" fillcolor="#a0a0a0" stroked="f"/>
        </w:pict>
      </w:r>
    </w:p>
    <w:p w14:paraId="55570617" w14:textId="77777777" w:rsidR="00F925DD" w:rsidRDefault="00E705D7">
      <w:r>
        <w:rPr>
          <w:rFonts w:ascii="宋体" w:eastAsia="宋体" w:hAnsi="宋体" w:cs="宋体"/>
        </w:rPr>
        <w:t xml:space="preserve">Tag Shading (hover) </w:t>
      </w:r>
    </w:p>
    <w:p w14:paraId="55570618" w14:textId="77777777" w:rsidR="00F925DD" w:rsidRDefault="00E705D7">
      <w:r>
        <w:rPr>
          <w:rFonts w:ascii="monospace" w:eastAsia="monospace" w:hAnsi="monospace" w:cs="monospace"/>
          <w:noProof/>
        </w:rPr>
        <mc:AlternateContent>
          <mc:Choice Requires="wps">
            <w:drawing>
              <wp:inline distT="0" distB="0" distL="114300" distR="114300" wp14:anchorId="55570706" wp14:editId="55570707">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55570619" w14:textId="77777777" w:rsidR="00F925DD" w:rsidRDefault="00E705D7">
      <w:r>
        <w:rPr>
          <w:rFonts w:ascii="宋体" w:eastAsia="宋体" w:hAnsi="宋体" w:cs="宋体"/>
        </w:rPr>
        <w:t>Save</w:t>
      </w:r>
    </w:p>
    <w:p w14:paraId="5557061A" w14:textId="77777777" w:rsidR="00F925DD" w:rsidRDefault="00E705D7">
      <w:r>
        <w:rPr>
          <w:rFonts w:ascii="宋体" w:eastAsia="宋体" w:hAnsi="宋体" w:cs="宋体"/>
        </w:rPr>
        <w:t>Reset</w:t>
      </w:r>
    </w:p>
    <w:p w14:paraId="5557061B" w14:textId="77777777" w:rsidR="00F925DD" w:rsidRDefault="00E705D7">
      <w:pPr>
        <w:pStyle w:val="Style5"/>
      </w:pPr>
      <w:r>
        <w:t>窗体底端</w:t>
      </w:r>
    </w:p>
    <w:p w14:paraId="5557061C" w14:textId="77777777" w:rsidR="00F925DD" w:rsidRDefault="00E705D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5570708" wp14:editId="55570709">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61E" w14:textId="77777777">
        <w:trPr>
          <w:tblCellSpacing w:w="15" w:type="dxa"/>
        </w:trPr>
        <w:tc>
          <w:tcPr>
            <w:tcW w:w="0" w:type="auto"/>
            <w:shd w:val="clear" w:color="auto" w:fill="auto"/>
            <w:vAlign w:val="center"/>
          </w:tcPr>
          <w:p w14:paraId="5557061D" w14:textId="77777777" w:rsidR="00F925DD" w:rsidRDefault="00F925DD">
            <w:pPr>
              <w:rPr>
                <w:rFonts w:ascii="宋体"/>
              </w:rPr>
            </w:pPr>
          </w:p>
        </w:tc>
      </w:tr>
    </w:tbl>
    <w:p w14:paraId="5557061F" w14:textId="77777777" w:rsidR="00F925DD" w:rsidRDefault="00F925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621" w14:textId="77777777">
        <w:trPr>
          <w:tblCellSpacing w:w="15" w:type="dxa"/>
        </w:trPr>
        <w:tc>
          <w:tcPr>
            <w:tcW w:w="0" w:type="auto"/>
            <w:shd w:val="clear" w:color="auto" w:fill="auto"/>
            <w:vAlign w:val="center"/>
          </w:tcPr>
          <w:p w14:paraId="55570620" w14:textId="77777777" w:rsidR="00F925DD" w:rsidRDefault="00F925DD">
            <w:pPr>
              <w:rPr>
                <w:rFonts w:ascii="宋体"/>
              </w:rPr>
            </w:pPr>
          </w:p>
        </w:tc>
      </w:tr>
    </w:tbl>
    <w:p w14:paraId="55570622" w14:textId="77777777" w:rsidR="00F925DD" w:rsidRDefault="00F925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624" w14:textId="77777777">
        <w:trPr>
          <w:tblCellSpacing w:w="15" w:type="dxa"/>
        </w:trPr>
        <w:tc>
          <w:tcPr>
            <w:tcW w:w="0" w:type="auto"/>
            <w:shd w:val="clear" w:color="auto" w:fill="auto"/>
            <w:vAlign w:val="center"/>
          </w:tcPr>
          <w:p w14:paraId="55570623" w14:textId="77777777" w:rsidR="00F925DD" w:rsidRDefault="00F925DD">
            <w:pPr>
              <w:rPr>
                <w:rFonts w:ascii="宋体"/>
              </w:rPr>
            </w:pPr>
          </w:p>
        </w:tc>
      </w:tr>
    </w:tbl>
    <w:p w14:paraId="55570625" w14:textId="77777777" w:rsidR="00F925DD" w:rsidRDefault="00F925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627" w14:textId="77777777">
        <w:trPr>
          <w:tblCellSpacing w:w="15" w:type="dxa"/>
        </w:trPr>
        <w:tc>
          <w:tcPr>
            <w:tcW w:w="0" w:type="auto"/>
            <w:shd w:val="clear" w:color="auto" w:fill="auto"/>
            <w:vAlign w:val="center"/>
          </w:tcPr>
          <w:p w14:paraId="55570626" w14:textId="77777777" w:rsidR="00F925DD" w:rsidRDefault="00F925DD">
            <w:pPr>
              <w:rPr>
                <w:rFonts w:ascii="宋体"/>
              </w:rPr>
            </w:pPr>
          </w:p>
        </w:tc>
      </w:tr>
    </w:tbl>
    <w:p w14:paraId="55570628" w14:textId="77777777" w:rsidR="00F925DD" w:rsidRDefault="00E705D7">
      <w:r>
        <w:rPr>
          <w:rFonts w:ascii="宋体" w:eastAsia="宋体" w:hAnsi="宋体" w:cs="宋体"/>
        </w:rPr>
        <w:t xml:space="preserve">Previous Next </w:t>
      </w:r>
    </w:p>
    <w:p w14:paraId="55570629" w14:textId="77777777" w:rsidR="00F925DD" w:rsidRDefault="00E705D7">
      <w:pPr>
        <w:pStyle w:val="a3"/>
      </w:pPr>
      <w:r>
        <w:t xml:space="preserve">Nested Facts / </w:t>
      </w:r>
    </w:p>
    <w:p w14:paraId="5557062A" w14:textId="77777777" w:rsidR="00F925DD" w:rsidRDefault="00E705D7">
      <w:r>
        <w:rPr>
          <w:rFonts w:ascii="宋体" w:eastAsia="宋体" w:hAnsi="宋体" w:cs="宋体"/>
        </w:rPr>
        <w:t xml:space="preserve">Previous Next </w:t>
      </w:r>
    </w:p>
    <w:p w14:paraId="5557062B" w14:textId="77777777" w:rsidR="00F925DD" w:rsidRDefault="00E705D7">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5557070A" wp14:editId="5557070B">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62D" w14:textId="77777777">
        <w:trPr>
          <w:tblCellSpacing w:w="15" w:type="dxa"/>
        </w:trPr>
        <w:tc>
          <w:tcPr>
            <w:tcW w:w="0" w:type="auto"/>
            <w:shd w:val="clear" w:color="auto" w:fill="auto"/>
            <w:vAlign w:val="center"/>
          </w:tcPr>
          <w:p w14:paraId="5557062C" w14:textId="77777777" w:rsidR="00F925DD" w:rsidRDefault="00F925DD">
            <w:pPr>
              <w:rPr>
                <w:rFonts w:ascii="宋体"/>
              </w:rPr>
            </w:pPr>
          </w:p>
        </w:tc>
      </w:tr>
    </w:tbl>
    <w:p w14:paraId="5557062E" w14:textId="77777777" w:rsidR="00F925DD" w:rsidRDefault="00F925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630" w14:textId="77777777">
        <w:trPr>
          <w:tblCellSpacing w:w="15" w:type="dxa"/>
        </w:trPr>
        <w:tc>
          <w:tcPr>
            <w:tcW w:w="0" w:type="auto"/>
            <w:shd w:val="clear" w:color="auto" w:fill="auto"/>
            <w:vAlign w:val="center"/>
          </w:tcPr>
          <w:p w14:paraId="5557062F" w14:textId="77777777" w:rsidR="00F925DD" w:rsidRDefault="00F925DD">
            <w:pPr>
              <w:rPr>
                <w:rFonts w:ascii="宋体"/>
              </w:rPr>
            </w:pPr>
          </w:p>
        </w:tc>
      </w:tr>
    </w:tbl>
    <w:p w14:paraId="55570631" w14:textId="77777777" w:rsidR="00F925DD" w:rsidRDefault="00F925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633" w14:textId="77777777">
        <w:trPr>
          <w:tblCellSpacing w:w="15" w:type="dxa"/>
        </w:trPr>
        <w:tc>
          <w:tcPr>
            <w:tcW w:w="0" w:type="auto"/>
            <w:shd w:val="clear" w:color="auto" w:fill="auto"/>
            <w:vAlign w:val="center"/>
          </w:tcPr>
          <w:p w14:paraId="55570632" w14:textId="77777777" w:rsidR="00F925DD" w:rsidRDefault="00F925DD">
            <w:pPr>
              <w:rPr>
                <w:rFonts w:ascii="宋体"/>
              </w:rPr>
            </w:pPr>
          </w:p>
        </w:tc>
      </w:tr>
    </w:tbl>
    <w:p w14:paraId="55570634" w14:textId="77777777" w:rsidR="00F925DD" w:rsidRDefault="00F925D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25DD" w14:paraId="55570636" w14:textId="77777777">
        <w:trPr>
          <w:tblCellSpacing w:w="15" w:type="dxa"/>
        </w:trPr>
        <w:tc>
          <w:tcPr>
            <w:tcW w:w="0" w:type="auto"/>
            <w:shd w:val="clear" w:color="auto" w:fill="auto"/>
            <w:vAlign w:val="center"/>
          </w:tcPr>
          <w:p w14:paraId="55570635" w14:textId="77777777" w:rsidR="00F925DD" w:rsidRDefault="00F925DD">
            <w:pPr>
              <w:rPr>
                <w:rFonts w:ascii="宋体"/>
              </w:rPr>
            </w:pPr>
          </w:p>
        </w:tc>
      </w:tr>
    </w:tbl>
    <w:p w14:paraId="55570637" w14:textId="77777777" w:rsidR="00F925DD" w:rsidRDefault="00E705D7">
      <w:r>
        <w:rPr>
          <w:rFonts w:ascii="宋体" w:eastAsia="宋体" w:hAnsi="宋体" w:cs="宋体"/>
        </w:rPr>
        <w:t xml:space="preserve">Previous Next </w:t>
      </w:r>
    </w:p>
    <w:p w14:paraId="55570638" w14:textId="77777777" w:rsidR="00F925DD" w:rsidRDefault="00F925DD"/>
    <w:sectPr w:rsidR="00F925DD">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9AE2B" w14:textId="77777777" w:rsidR="00E705D7" w:rsidRDefault="00E705D7" w:rsidP="00E705D7">
      <w:r>
        <w:separator/>
      </w:r>
    </w:p>
  </w:endnote>
  <w:endnote w:type="continuationSeparator" w:id="0">
    <w:p w14:paraId="699B2434" w14:textId="77777777" w:rsidR="00E705D7" w:rsidRDefault="00E705D7" w:rsidP="00E70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663B5" w14:textId="77777777" w:rsidR="00E705D7" w:rsidRDefault="00E705D7" w:rsidP="00E705D7">
      <w:r>
        <w:separator/>
      </w:r>
    </w:p>
  </w:footnote>
  <w:footnote w:type="continuationSeparator" w:id="0">
    <w:p w14:paraId="69D43EAD" w14:textId="77777777" w:rsidR="00E705D7" w:rsidRDefault="00E705D7" w:rsidP="00E705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9F91D0A"/>
    <w:rsid w:val="99F91D0A"/>
    <w:rsid w:val="00E705D7"/>
    <w:rsid w:val="00F9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5668AE"/>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705D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705D7"/>
    <w:rPr>
      <w:rFonts w:asciiTheme="minorEastAsia" w:hAnsiTheme="minorEastAsia" w:cs="Times New Roman"/>
      <w:sz w:val="18"/>
      <w:szCs w:val="18"/>
    </w:rPr>
  </w:style>
  <w:style w:type="paragraph" w:styleId="a8">
    <w:name w:val="footer"/>
    <w:basedOn w:val="a"/>
    <w:link w:val="a9"/>
    <w:rsid w:val="00E705D7"/>
    <w:pPr>
      <w:tabs>
        <w:tab w:val="center" w:pos="4153"/>
        <w:tab w:val="right" w:pos="8306"/>
      </w:tabs>
      <w:snapToGrid w:val="0"/>
    </w:pPr>
    <w:rPr>
      <w:sz w:val="18"/>
      <w:szCs w:val="18"/>
    </w:rPr>
  </w:style>
  <w:style w:type="character" w:customStyle="1" w:styleId="a9">
    <w:name w:val="页脚 字符"/>
    <w:basedOn w:val="a0"/>
    <w:link w:val="a8"/>
    <w:rsid w:val="00E705D7"/>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93751/000119312514424354/d826284dex41.htm" TargetMode="External"/><Relationship Id="rId21" Type="http://schemas.openxmlformats.org/officeDocument/2006/relationships/hyperlink" Target="https://www.sec.gov/ix?doc=/Archives/edgar/data/93751/000009375120000684/stt-2019123110xk.htm" TargetMode="External"/><Relationship Id="rId42" Type="http://schemas.openxmlformats.org/officeDocument/2006/relationships/hyperlink" Target="https://www.sec.gov/ix?doc=/Archives/edgar/data/93751/000009375120000684/stt-2019123110xk.htm" TargetMode="External"/><Relationship Id="rId63" Type="http://schemas.openxmlformats.org/officeDocument/2006/relationships/hyperlink" Target="https://www.sec.gov/ix?doc=/Archives/edgar/data/93751/000009375120000684/stt-2019123110xk.htm" TargetMode="External"/><Relationship Id="rId84" Type="http://schemas.openxmlformats.org/officeDocument/2006/relationships/hyperlink" Target="https://www.sec.gov/ix?doc=/Archives/edgar/data/93751/000009375120000684/stt-2019123110xk.htm" TargetMode="External"/><Relationship Id="rId138" Type="http://schemas.openxmlformats.org/officeDocument/2006/relationships/hyperlink" Target="http://www.sec.gov/Archives/edgar/data/93751/000119312512079737/d262731dex1012.htm" TargetMode="External"/><Relationship Id="rId159" Type="http://schemas.openxmlformats.org/officeDocument/2006/relationships/hyperlink" Target="http://www.sec.gov/Archives/edgar/data/93751/000009375116000446/exhibit109.htm" TargetMode="External"/><Relationship Id="rId170" Type="http://schemas.openxmlformats.org/officeDocument/2006/relationships/hyperlink" Target="http://www.sec.gov/Archives/edgar/data/93751/000009375119000336/exhibit1025statestreetco.htm" TargetMode="External"/><Relationship Id="rId107" Type="http://schemas.openxmlformats.org/officeDocument/2006/relationships/hyperlink" Target="http://www.sec.gov/Archives/edgar/data/93751/000009375118000477/exhibit31articlesofcorpo.htm" TargetMode="External"/><Relationship Id="rId11" Type="http://schemas.openxmlformats.org/officeDocument/2006/relationships/hyperlink" Target="https://www.sec.gov/ix?doc=/Archives/edgar/data/93751/000009375120000684/stt-2019123110xk.htm" TargetMode="External"/><Relationship Id="rId32" Type="http://schemas.openxmlformats.org/officeDocument/2006/relationships/hyperlink" Target="https://www.sec.gov/ix?doc=/Archives/edgar/data/93751/000009375120000684/stt-2019123110xk.htm" TargetMode="External"/><Relationship Id="rId53" Type="http://schemas.openxmlformats.org/officeDocument/2006/relationships/hyperlink" Target="https://www.sec.gov/ix?doc=/Archives/edgar/data/93751/000009375120000684/stt-2019123110xk.htm" TargetMode="External"/><Relationship Id="rId74" Type="http://schemas.openxmlformats.org/officeDocument/2006/relationships/hyperlink" Target="https://www.sec.gov/ix?doc=/Archives/edgar/data/93751/000009375120000684/stt-2019123110xk.htm" TargetMode="External"/><Relationship Id="rId128" Type="http://schemas.openxmlformats.org/officeDocument/2006/relationships/hyperlink" Target="http://www.sec.gov/Archives/edgar/data/93751/000009375117000249/exhibit102executivesupplem.htm" TargetMode="External"/><Relationship Id="rId149" Type="http://schemas.openxmlformats.org/officeDocument/2006/relationships/hyperlink" Target="http://www.sec.gov/Archives/edgar/data/93751/000009375114000040/exhibit1018a.htm" TargetMode="External"/><Relationship Id="rId5" Type="http://schemas.openxmlformats.org/officeDocument/2006/relationships/endnotes" Target="endnotes.xml"/><Relationship Id="rId95" Type="http://schemas.openxmlformats.org/officeDocument/2006/relationships/hyperlink" Target="https://www.sec.gov/ix?doc=/Archives/edgar/data/93751/000009375120000684/stt-2019123110xk.htm" TargetMode="External"/><Relationship Id="rId160" Type="http://schemas.openxmlformats.org/officeDocument/2006/relationships/hyperlink" Target="http://www.sec.gov/Archives/edgar/data/93751/000009375116000446/exhibit109.htm" TargetMode="External"/><Relationship Id="rId181" Type="http://schemas.openxmlformats.org/officeDocument/2006/relationships/fontTable" Target="fontTable.xml"/><Relationship Id="rId22" Type="http://schemas.openxmlformats.org/officeDocument/2006/relationships/hyperlink" Target="https://www.sec.gov/ix?doc=/Archives/edgar/data/93751/000009375120000684/stt-2019123110xk.htm" TargetMode="External"/><Relationship Id="rId43" Type="http://schemas.openxmlformats.org/officeDocument/2006/relationships/hyperlink" Target="https://www.sec.gov/ix?doc=/Archives/edgar/data/93751/000009375120000684/stt-2019123110xk.htm" TargetMode="External"/><Relationship Id="rId64" Type="http://schemas.openxmlformats.org/officeDocument/2006/relationships/hyperlink" Target="https://www.sec.gov/ix?doc=/Archives/edgar/data/93751/000009375120000684/stt-2019123110xk.htm" TargetMode="External"/><Relationship Id="rId118" Type="http://schemas.openxmlformats.org/officeDocument/2006/relationships/hyperlink" Target="http://www.sec.gov/Archives/edgar/data/93751/000119312514424354/d826284dex41.htm" TargetMode="External"/><Relationship Id="rId139" Type="http://schemas.openxmlformats.org/officeDocument/2006/relationships/hyperlink" Target="http://www.sec.gov/Archives/edgar/data/93751/000009375113000040/exhibit1012.htm" TargetMode="External"/><Relationship Id="rId85" Type="http://schemas.openxmlformats.org/officeDocument/2006/relationships/hyperlink" Target="https://www.sec.gov/ix?doc=/Archives/edgar/data/93751/000009375120000684/stt-2019123110xk.htm" TargetMode="External"/><Relationship Id="rId150" Type="http://schemas.openxmlformats.org/officeDocument/2006/relationships/hyperlink" Target="http://www.sec.gov/Archives/edgar/data/93751/000009375114000040/exhibit1018a.htm" TargetMode="External"/><Relationship Id="rId171" Type="http://schemas.openxmlformats.org/officeDocument/2006/relationships/hyperlink" Target="https://www.sec.gov/Archives/edgar/data/93751/000009375120000684/exhibit21-december3120.htm" TargetMode="External"/><Relationship Id="rId12" Type="http://schemas.openxmlformats.org/officeDocument/2006/relationships/hyperlink" Target="https://www.sec.gov/ix?doc=/Archives/edgar/data/93751/000009375120000684/stt-2019123110xk.htm" TargetMode="External"/><Relationship Id="rId33" Type="http://schemas.openxmlformats.org/officeDocument/2006/relationships/hyperlink" Target="https://www.sec.gov/ix?doc=/Archives/edgar/data/93751/000009375120000684/stt-2019123110xk.htm" TargetMode="External"/><Relationship Id="rId108" Type="http://schemas.openxmlformats.org/officeDocument/2006/relationships/hyperlink" Target="http://www.sec.gov/Archives/edgar/data/93751/000009375118000477/exhibit31articlesofcorpo.htm" TargetMode="External"/><Relationship Id="rId129" Type="http://schemas.openxmlformats.org/officeDocument/2006/relationships/hyperlink" Target="http://www.sec.gov/Archives/edgar/data/93751/000009375119000387/exhibit102.htm" TargetMode="External"/><Relationship Id="rId54" Type="http://schemas.openxmlformats.org/officeDocument/2006/relationships/hyperlink" Target="https://www.sec.gov/ix?doc=/Archives/edgar/data/93751/000009375120000684/stt-2019123110xk.htm" TargetMode="External"/><Relationship Id="rId75" Type="http://schemas.openxmlformats.org/officeDocument/2006/relationships/hyperlink" Target="https://www.sec.gov/ix?doc=/Archives/edgar/data/93751/000009375120000684/stt-2019123110xk.htm" TargetMode="External"/><Relationship Id="rId96" Type="http://schemas.openxmlformats.org/officeDocument/2006/relationships/hyperlink" Target="https://www.sec.gov/ix?doc=/Archives/edgar/data/93751/000009375120000684/stt-2019123110xk.htm" TargetMode="External"/><Relationship Id="rId140" Type="http://schemas.openxmlformats.org/officeDocument/2006/relationships/hyperlink" Target="http://www.sec.gov/Archives/edgar/data/93751/000009375113000040/exhibit1012.htm" TargetMode="External"/><Relationship Id="rId161" Type="http://schemas.openxmlformats.org/officeDocument/2006/relationships/hyperlink" Target="http://www.sec.gov/Archives/edgar/data/93751/000009375118000364/exhibit102.htm" TargetMode="External"/><Relationship Id="rId182" Type="http://schemas.openxmlformats.org/officeDocument/2006/relationships/theme" Target="theme/theme1.xml"/><Relationship Id="rId6" Type="http://schemas.openxmlformats.org/officeDocument/2006/relationships/hyperlink" Target="https://www.sec.gov/ix?doc=/Archives/edgar/data/93751/000009375120000684/stt-2019123110xk.htm" TargetMode="External"/><Relationship Id="rId23" Type="http://schemas.openxmlformats.org/officeDocument/2006/relationships/hyperlink" Target="https://www.sec.gov/ix?doc=/Archives/edgar/data/93751/000009375120000684/stt-2019123110xk.htm" TargetMode="External"/><Relationship Id="rId119" Type="http://schemas.openxmlformats.org/officeDocument/2006/relationships/hyperlink" Target="http://www.sec.gov/Archives/edgar/data/93751/000119312515196645/d931837dex41.htm" TargetMode="External"/><Relationship Id="rId44" Type="http://schemas.openxmlformats.org/officeDocument/2006/relationships/hyperlink" Target="https://www.sec.gov/ix?doc=/Archives/edgar/data/93751/000009375120000684/stt-2019123110xk.htm" TargetMode="External"/><Relationship Id="rId60" Type="http://schemas.openxmlformats.org/officeDocument/2006/relationships/hyperlink" Target="https://www.sec.gov/ix?doc=/Archives/edgar/data/93751/000009375120000684/stt-2019123110xk.htm" TargetMode="External"/><Relationship Id="rId65" Type="http://schemas.openxmlformats.org/officeDocument/2006/relationships/hyperlink" Target="https://www.sec.gov/ix?doc=/Archives/edgar/data/93751/000009375120000684/stt-2019123110xk.htm" TargetMode="External"/><Relationship Id="rId81" Type="http://schemas.openxmlformats.org/officeDocument/2006/relationships/hyperlink" Target="https://www.sec.gov/ix?doc=/Archives/edgar/data/93751/000009375120000684/stt-2019123110xk.htm" TargetMode="External"/><Relationship Id="rId86" Type="http://schemas.openxmlformats.org/officeDocument/2006/relationships/hyperlink" Target="https://www.sec.gov/ix?doc=/Archives/edgar/data/93751/000009375120000684/stt-2019123110xk.htm" TargetMode="External"/><Relationship Id="rId130" Type="http://schemas.openxmlformats.org/officeDocument/2006/relationships/hyperlink" Target="http://www.sec.gov/Archives/edgar/data/93751/000009375119000387/exhibit102.htm" TargetMode="External"/><Relationship Id="rId135" Type="http://schemas.openxmlformats.org/officeDocument/2006/relationships/hyperlink" Target="http://www.sec.gov/Archives/edgar/data/93751/000009375117000249/exhibit1010managementsuppl.htm" TargetMode="External"/><Relationship Id="rId151" Type="http://schemas.openxmlformats.org/officeDocument/2006/relationships/hyperlink" Target="http://www.sec.gov/Archives/edgar/data/93751/000009375114000040/exhibit1018b.htm" TargetMode="External"/><Relationship Id="rId156" Type="http://schemas.openxmlformats.org/officeDocument/2006/relationships/hyperlink" Target="http://www.sec.gov/Archives/edgar/data/93751/000009375114000040/exhibit1018d.htm" TargetMode="External"/><Relationship Id="rId177" Type="http://schemas.openxmlformats.org/officeDocument/2006/relationships/hyperlink" Target="https://www.sec.gov/Archives/edgar/data/93751/000009375120000684/exhibit312-december312.htm" TargetMode="External"/><Relationship Id="rId172" Type="http://schemas.openxmlformats.org/officeDocument/2006/relationships/hyperlink" Target="https://www.sec.gov/Archives/edgar/data/93751/000009375120000684/exhibit21-december3120.htm" TargetMode="External"/><Relationship Id="rId13" Type="http://schemas.openxmlformats.org/officeDocument/2006/relationships/hyperlink" Target="https://www.sec.gov/ix?doc=/Archives/edgar/data/93751/000009375120000684/stt-2019123110xk.htm" TargetMode="External"/><Relationship Id="rId18" Type="http://schemas.openxmlformats.org/officeDocument/2006/relationships/hyperlink" Target="https://www.sec.gov/ix?doc=/Archives/edgar/data/93751/000009375120000684/stt-2019123110xk.htm" TargetMode="External"/><Relationship Id="rId39" Type="http://schemas.openxmlformats.org/officeDocument/2006/relationships/hyperlink" Target="https://www.sec.gov/ix?doc=/Archives/edgar/data/93751/000009375120000684/stt-2019123110xk.htm" TargetMode="External"/><Relationship Id="rId109" Type="http://schemas.openxmlformats.org/officeDocument/2006/relationships/hyperlink" Target="http://www.sec.gov/Archives/edgar/data/93751/000009375120000682/corpbylaws2202020v2.htm" TargetMode="External"/><Relationship Id="rId34" Type="http://schemas.openxmlformats.org/officeDocument/2006/relationships/hyperlink" Target="https://www.sec.gov/ix?doc=/Archives/edgar/data/93751/000009375120000684/stt-2019123110xk.htm" TargetMode="External"/><Relationship Id="rId50" Type="http://schemas.openxmlformats.org/officeDocument/2006/relationships/hyperlink" Target="https://www.sec.gov/ix?doc=/Archives/edgar/data/93751/000009375120000684/stt-2019123110xk.htm" TargetMode="External"/><Relationship Id="rId55" Type="http://schemas.openxmlformats.org/officeDocument/2006/relationships/hyperlink" Target="https://www.sec.gov/ix?doc=/Archives/edgar/data/93751/000009375120000684/stt-2019123110xk.htm" TargetMode="External"/><Relationship Id="rId76" Type="http://schemas.openxmlformats.org/officeDocument/2006/relationships/hyperlink" Target="https://www.sec.gov/ix?doc=/Archives/edgar/data/93751/000009375120000684/stt-2019123110xk.htm" TargetMode="External"/><Relationship Id="rId97" Type="http://schemas.openxmlformats.org/officeDocument/2006/relationships/hyperlink" Target="https://www.sec.gov/ix?doc=/Archives/edgar/data/93751/000009375120000684/stt-2019123110xk.htm" TargetMode="External"/><Relationship Id="rId104" Type="http://schemas.openxmlformats.org/officeDocument/2006/relationships/hyperlink" Target="https://www.sec.gov/ix?doc=/Archives/edgar/data/93751/000009375120000684/stt-2019123110xk.htm" TargetMode="External"/><Relationship Id="rId120" Type="http://schemas.openxmlformats.org/officeDocument/2006/relationships/hyperlink" Target="http://www.sec.gov/Archives/edgar/data/93751/000119312515196645/d931837dex41.htm" TargetMode="External"/><Relationship Id="rId125" Type="http://schemas.openxmlformats.org/officeDocument/2006/relationships/hyperlink" Target="http://www.sec.gov/Archives/edgar/data/93751/000009375119000387/exhibit105statestreetsma.htm" TargetMode="External"/><Relationship Id="rId141" Type="http://schemas.openxmlformats.org/officeDocument/2006/relationships/hyperlink" Target="http://www.sec.gov/Archives/edgar/data/93751/000009375119000336/exhibit1013deferredcompe.htm" TargetMode="External"/><Relationship Id="rId146" Type="http://schemas.openxmlformats.org/officeDocument/2006/relationships/hyperlink" Target="https://www.sec.gov/Archives/edgar/data/93751/000009375120000684/exhibit1011descriptionof.htm" TargetMode="External"/><Relationship Id="rId167" Type="http://schemas.openxmlformats.org/officeDocument/2006/relationships/hyperlink" Target="http://www.sec.gov/Archives/edgar/data/93751/000009375119000336/exhibit1024statestreetco.htm" TargetMode="External"/><Relationship Id="rId7" Type="http://schemas.openxmlformats.org/officeDocument/2006/relationships/hyperlink" Target="https://www.sec.gov/ix?doc=/Archives/edgar/data/93751/000009375120000684/stt-2019123110xk.htm" TargetMode="External"/><Relationship Id="rId71" Type="http://schemas.openxmlformats.org/officeDocument/2006/relationships/hyperlink" Target="https://www.sec.gov/ix?doc=/Archives/edgar/data/93751/000009375120000684/stt-2019123110xk.htm" TargetMode="External"/><Relationship Id="rId162" Type="http://schemas.openxmlformats.org/officeDocument/2006/relationships/hyperlink" Target="http://www.sec.gov/Archives/edgar/data/93751/000009375118000364/exhibit102.htm" TargetMode="External"/><Relationship Id="rId2" Type="http://schemas.openxmlformats.org/officeDocument/2006/relationships/settings" Target="settings.xml"/><Relationship Id="rId29" Type="http://schemas.openxmlformats.org/officeDocument/2006/relationships/hyperlink" Target="https://www.sec.gov/ix?doc=/Archives/edgar/data/93751/000009375120000684/stt-2019123110xk.htm" TargetMode="External"/><Relationship Id="rId24" Type="http://schemas.openxmlformats.org/officeDocument/2006/relationships/hyperlink" Target="https://www.sec.gov/ix?doc=/Archives/edgar/data/93751/000009375120000684/stt-2019123110xk.htm" TargetMode="External"/><Relationship Id="rId40" Type="http://schemas.openxmlformats.org/officeDocument/2006/relationships/hyperlink" Target="https://www.sec.gov/ix?doc=/Archives/edgar/data/93751/000009375120000684/stt-2019123110xk.htm" TargetMode="External"/><Relationship Id="rId45" Type="http://schemas.openxmlformats.org/officeDocument/2006/relationships/hyperlink" Target="https://www.sec.gov/ix?doc=/Archives/edgar/data/93751/000009375120000684/stt-2019123110xk.htm" TargetMode="External"/><Relationship Id="rId66" Type="http://schemas.openxmlformats.org/officeDocument/2006/relationships/hyperlink" Target="https://www.sec.gov/ix?doc=/Archives/edgar/data/93751/000009375120000684/stt-2019123110xk.htm" TargetMode="External"/><Relationship Id="rId87" Type="http://schemas.openxmlformats.org/officeDocument/2006/relationships/hyperlink" Target="https://www.sec.gov/ix?doc=/Archives/edgar/data/93751/000009375120000684/stt-2019123110xk.htm" TargetMode="External"/><Relationship Id="rId110" Type="http://schemas.openxmlformats.org/officeDocument/2006/relationships/hyperlink" Target="http://www.sec.gov/Archives/edgar/data/93751/000009375120000682/corpbylaws2202020v2.htm" TargetMode="External"/><Relationship Id="rId115" Type="http://schemas.openxmlformats.org/officeDocument/2006/relationships/hyperlink" Target="http://www.sec.gov/Archives/edgar/data/93751/000119312514081718/d684603dex41.htm" TargetMode="External"/><Relationship Id="rId131" Type="http://schemas.openxmlformats.org/officeDocument/2006/relationships/hyperlink" Target="http://www.sec.gov/Archives/edgar/data/93751/000009375115000042/exhibit1082006stockcompplan.htm" TargetMode="External"/><Relationship Id="rId136" Type="http://schemas.openxmlformats.org/officeDocument/2006/relationships/hyperlink" Target="http://www.sec.gov/Archives/edgar/data/93751/000009375117000249/exhibit1010managementsuppl.htm" TargetMode="External"/><Relationship Id="rId157" Type="http://schemas.openxmlformats.org/officeDocument/2006/relationships/hyperlink" Target="http://www.sec.gov/Archives/edgar/data/93751/000009375119000387/exhibit101mccocagreement.htm" TargetMode="External"/><Relationship Id="rId178" Type="http://schemas.openxmlformats.org/officeDocument/2006/relationships/hyperlink" Target="https://www.sec.gov/Archives/edgar/data/93751/000009375120000684/exhibit312-december312.htm" TargetMode="External"/><Relationship Id="rId61" Type="http://schemas.openxmlformats.org/officeDocument/2006/relationships/hyperlink" Target="https://www.sec.gov/ix?doc=/Archives/edgar/data/93751/000009375120000684/stt-2019123110xk.htm" TargetMode="External"/><Relationship Id="rId82" Type="http://schemas.openxmlformats.org/officeDocument/2006/relationships/hyperlink" Target="https://www.sec.gov/ix?doc=/Archives/edgar/data/93751/000009375120000684/stt-2019123110xk.htm" TargetMode="External"/><Relationship Id="rId152" Type="http://schemas.openxmlformats.org/officeDocument/2006/relationships/hyperlink" Target="http://www.sec.gov/Archives/edgar/data/93751/000009375114000040/exhibit1018b.htm" TargetMode="External"/><Relationship Id="rId173" Type="http://schemas.openxmlformats.org/officeDocument/2006/relationships/hyperlink" Target="https://www.sec.gov/Archives/edgar/data/93751/000009375120000684/exhibit23consentletter.htm" TargetMode="External"/><Relationship Id="rId19" Type="http://schemas.openxmlformats.org/officeDocument/2006/relationships/hyperlink" Target="https://www.sec.gov/ix?doc=/Archives/edgar/data/93751/000009375120000684/stt-2019123110xk.htm" TargetMode="External"/><Relationship Id="rId14" Type="http://schemas.openxmlformats.org/officeDocument/2006/relationships/hyperlink" Target="https://www.sec.gov/ix?doc=/Archives/edgar/data/93751/000009375120000684/stt-2019123110xk.htm" TargetMode="External"/><Relationship Id="rId30" Type="http://schemas.openxmlformats.org/officeDocument/2006/relationships/hyperlink" Target="https://www.sec.gov/ix?doc=/Archives/edgar/data/93751/000009375120000684/stt-2019123110xk.htm" TargetMode="External"/><Relationship Id="rId35" Type="http://schemas.openxmlformats.org/officeDocument/2006/relationships/hyperlink" Target="https://www.sec.gov/ix?doc=/Archives/edgar/data/93751/000009375120000684/stt-2019123110xk.htm" TargetMode="External"/><Relationship Id="rId56" Type="http://schemas.openxmlformats.org/officeDocument/2006/relationships/hyperlink" Target="https://www.sec.gov/ix?doc=/Archives/edgar/data/93751/000009375120000684/stt-2019123110xk.htm" TargetMode="External"/><Relationship Id="rId77" Type="http://schemas.openxmlformats.org/officeDocument/2006/relationships/hyperlink" Target="https://www.sec.gov/ix?doc=/Archives/edgar/data/93751/000009375120000684/stt-2019123110xk.htm" TargetMode="External"/><Relationship Id="rId100" Type="http://schemas.openxmlformats.org/officeDocument/2006/relationships/hyperlink" Target="https://www.sec.gov/ix?doc=/Archives/edgar/data/93751/000009375120000684/stt-2019123110xk.htm" TargetMode="External"/><Relationship Id="rId105" Type="http://schemas.openxmlformats.org/officeDocument/2006/relationships/hyperlink" Target="https://www.sec.gov/ix?doc=/Archives/edgar/data/93751/000009375120000684/stt-2019123110xk.htm" TargetMode="External"/><Relationship Id="rId126" Type="http://schemas.openxmlformats.org/officeDocument/2006/relationships/hyperlink" Target="http://www.sec.gov/Archives/edgar/data/93751/000009375119000387/exhibit105statestreetsma.htm" TargetMode="External"/><Relationship Id="rId147" Type="http://schemas.openxmlformats.org/officeDocument/2006/relationships/hyperlink" Target="http://www.sec.gov/Archives/edgar/data/93751/000009375118000308/ex1022rabbitrustagreemen.htm" TargetMode="External"/><Relationship Id="rId168" Type="http://schemas.openxmlformats.org/officeDocument/2006/relationships/hyperlink" Target="http://www.sec.gov/Archives/edgar/data/93751/000009375119000336/exhibit1024statestreetco.htm" TargetMode="External"/><Relationship Id="rId8" Type="http://schemas.openxmlformats.org/officeDocument/2006/relationships/hyperlink" Target="https://www.sec.gov/ix?doc=/Archives/edgar/data/93751/000009375120000684/stt-2019123110xk.htm" TargetMode="External"/><Relationship Id="rId51" Type="http://schemas.openxmlformats.org/officeDocument/2006/relationships/hyperlink" Target="https://www.sec.gov/ix?doc=/Archives/edgar/data/93751/000009375120000684/stt-2019123110xk.htm" TargetMode="External"/><Relationship Id="rId72" Type="http://schemas.openxmlformats.org/officeDocument/2006/relationships/hyperlink" Target="https://www.sec.gov/ix?doc=/Archives/edgar/data/93751/000009375120000684/stt-2019123110xk.htm" TargetMode="External"/><Relationship Id="rId93" Type="http://schemas.openxmlformats.org/officeDocument/2006/relationships/hyperlink" Target="http://www.sec.gov/Archives/edgar/data/93751/000009375119000336/stt-20181231_10k.htm" TargetMode="External"/><Relationship Id="rId98" Type="http://schemas.openxmlformats.org/officeDocument/2006/relationships/hyperlink" Target="https://www.sec.gov/ix?doc=/Archives/edgar/data/93751/000009375120000684/stt-2019123110xk.htm" TargetMode="External"/><Relationship Id="rId121" Type="http://schemas.openxmlformats.org/officeDocument/2006/relationships/hyperlink" Target="http://www.sec.gov/Archives/edgar/data/93751/000119312516536969/d147129dex41.htm" TargetMode="External"/><Relationship Id="rId142" Type="http://schemas.openxmlformats.org/officeDocument/2006/relationships/hyperlink" Target="http://www.sec.gov/Archives/edgar/data/93751/000009375119000336/exhibit1013deferredcompe.htm" TargetMode="External"/><Relationship Id="rId163" Type="http://schemas.openxmlformats.org/officeDocument/2006/relationships/hyperlink" Target="http://www.sec.gov/Archives/edgar/data/93751/000009375116000671/exhibit101.htm" TargetMode="External"/><Relationship Id="rId3" Type="http://schemas.openxmlformats.org/officeDocument/2006/relationships/webSettings" Target="webSettings.xml"/><Relationship Id="rId25" Type="http://schemas.openxmlformats.org/officeDocument/2006/relationships/hyperlink" Target="https://www.sec.gov/ix?doc=/Archives/edgar/data/93751/000009375120000684/stt-2019123110xk.htm" TargetMode="External"/><Relationship Id="rId46" Type="http://schemas.openxmlformats.org/officeDocument/2006/relationships/hyperlink" Target="https://www.sec.gov/ix?doc=/Archives/edgar/data/93751/000009375120000684/stt-2019123110xk.htm" TargetMode="External"/><Relationship Id="rId67" Type="http://schemas.openxmlformats.org/officeDocument/2006/relationships/hyperlink" Target="https://www.sec.gov/ix?doc=/Archives/edgar/data/93751/000009375120000684/stt-2019123110xk.htm" TargetMode="External"/><Relationship Id="rId116" Type="http://schemas.openxmlformats.org/officeDocument/2006/relationships/hyperlink" Target="http://www.sec.gov/Archives/edgar/data/93751/000119312514081718/d684603dex41.htm" TargetMode="External"/><Relationship Id="rId137" Type="http://schemas.openxmlformats.org/officeDocument/2006/relationships/hyperlink" Target="http://www.sec.gov/Archives/edgar/data/93751/000119312512079737/d262731dex1012.htm" TargetMode="External"/><Relationship Id="rId158" Type="http://schemas.openxmlformats.org/officeDocument/2006/relationships/hyperlink" Target="http://www.sec.gov/Archives/edgar/data/93751/000009375119000387/exhibit101mccocagreement.htm" TargetMode="External"/><Relationship Id="rId20" Type="http://schemas.openxmlformats.org/officeDocument/2006/relationships/hyperlink" Target="https://www.sec.gov/ix?doc=/Archives/edgar/data/93751/000009375120000684/stt-2019123110xk.htm" TargetMode="External"/><Relationship Id="rId41" Type="http://schemas.openxmlformats.org/officeDocument/2006/relationships/hyperlink" Target="https://www.sec.gov/ix?doc=/Archives/edgar/data/93751/000009375120000684/stt-2019123110xk.htm" TargetMode="External"/><Relationship Id="rId62" Type="http://schemas.openxmlformats.org/officeDocument/2006/relationships/hyperlink" Target="https://www.sec.gov/ix?doc=/Archives/edgar/data/93751/000009375120000684/stt-2019123110xk.htm" TargetMode="External"/><Relationship Id="rId83" Type="http://schemas.openxmlformats.org/officeDocument/2006/relationships/hyperlink" Target="https://www.sec.gov/ix?doc=/Archives/edgar/data/93751/000009375120000684/stt-2019123110xk.htm" TargetMode="External"/><Relationship Id="rId88" Type="http://schemas.openxmlformats.org/officeDocument/2006/relationships/hyperlink" Target="https://www.sec.gov/ix?doc=/Archives/edgar/data/93751/000009375120000684/stt-2019123110xk.htm" TargetMode="External"/><Relationship Id="rId111" Type="http://schemas.openxmlformats.org/officeDocument/2006/relationships/hyperlink" Target="https://www.sec.gov/Archives/edgar/data/93751/000009375120000684/exhibit41sttdescriptiono.htm" TargetMode="External"/><Relationship Id="rId132" Type="http://schemas.openxmlformats.org/officeDocument/2006/relationships/hyperlink" Target="http://www.sec.gov/Archives/edgar/data/93751/000009375115000042/exhibit1082006stockcompplan.htm" TargetMode="External"/><Relationship Id="rId153" Type="http://schemas.openxmlformats.org/officeDocument/2006/relationships/hyperlink" Target="http://www.sec.gov/Archives/edgar/data/93751/000009375114000040/exhibit1018c.htm" TargetMode="External"/><Relationship Id="rId174" Type="http://schemas.openxmlformats.org/officeDocument/2006/relationships/hyperlink" Target="https://www.sec.gov/Archives/edgar/data/93751/000009375120000684/exhibit23consentletter.htm" TargetMode="External"/><Relationship Id="rId179" Type="http://schemas.openxmlformats.org/officeDocument/2006/relationships/hyperlink" Target="https://www.sec.gov/Archives/edgar/data/93751/000009375120000684/exhibit32-december3120.htm" TargetMode="External"/><Relationship Id="rId15" Type="http://schemas.openxmlformats.org/officeDocument/2006/relationships/hyperlink" Target="https://www.sec.gov/ix?doc=/Archives/edgar/data/93751/000009375120000684/stt-2019123110xk.htm" TargetMode="External"/><Relationship Id="rId36" Type="http://schemas.openxmlformats.org/officeDocument/2006/relationships/hyperlink" Target="https://www.sec.gov/ix?doc=/Archives/edgar/data/93751/000009375120000684/stt-2019123110xk.htm" TargetMode="External"/><Relationship Id="rId57" Type="http://schemas.openxmlformats.org/officeDocument/2006/relationships/hyperlink" Target="https://www.sec.gov/ix?doc=/Archives/edgar/data/93751/000009375120000684/stt-2019123110xk.htm" TargetMode="External"/><Relationship Id="rId106" Type="http://schemas.openxmlformats.org/officeDocument/2006/relationships/hyperlink" Target="https://www.sec.gov/ix?doc=/Archives/edgar/data/93751/000009375120000684/stt-2019123110xk.htm" TargetMode="External"/><Relationship Id="rId127" Type="http://schemas.openxmlformats.org/officeDocument/2006/relationships/hyperlink" Target="http://www.sec.gov/Archives/edgar/data/93751/000009375117000249/exhibit102executivesupplem.htm" TargetMode="External"/><Relationship Id="rId10" Type="http://schemas.openxmlformats.org/officeDocument/2006/relationships/hyperlink" Target="https://www.sec.gov/ix?doc=/Archives/edgar/data/93751/000009375120000684/stt-2019123110xk.htm" TargetMode="External"/><Relationship Id="rId31" Type="http://schemas.openxmlformats.org/officeDocument/2006/relationships/hyperlink" Target="https://www.sec.gov/ix?doc=/Archives/edgar/data/93751/000009375120000684/stt-2019123110xk.htm" TargetMode="External"/><Relationship Id="rId52" Type="http://schemas.openxmlformats.org/officeDocument/2006/relationships/hyperlink" Target="https://www.sec.gov/ix?doc=/Archives/edgar/data/93751/000009375120000684/stt-2019123110xk.htm" TargetMode="External"/><Relationship Id="rId73" Type="http://schemas.openxmlformats.org/officeDocument/2006/relationships/hyperlink" Target="https://www.sec.gov/ix?doc=/Archives/edgar/data/93751/000009375120000684/stt-2019123110xk.htm" TargetMode="External"/><Relationship Id="rId78" Type="http://schemas.openxmlformats.org/officeDocument/2006/relationships/hyperlink" Target="https://www.sec.gov/ix?doc=/Archives/edgar/data/93751/000009375120000684/stt-2019123110xk.htm" TargetMode="External"/><Relationship Id="rId94" Type="http://schemas.openxmlformats.org/officeDocument/2006/relationships/hyperlink" Target="http://www.sec.gov/Archives/edgar/data/93751/000009375119000390/exhibit9922018form10-kitem.htm" TargetMode="External"/><Relationship Id="rId99" Type="http://schemas.openxmlformats.org/officeDocument/2006/relationships/hyperlink" Target="https://www.sec.gov/ix?doc=/Archives/edgar/data/93751/000009375120000684/stt-2019123110xk.htm" TargetMode="External"/><Relationship Id="rId101" Type="http://schemas.openxmlformats.org/officeDocument/2006/relationships/hyperlink" Target="https://www.sec.gov/ix?doc=/Archives/edgar/data/93751/000009375120000684/stt-2019123110xk.htm" TargetMode="External"/><Relationship Id="rId122" Type="http://schemas.openxmlformats.org/officeDocument/2006/relationships/hyperlink" Target="http://www.sec.gov/Archives/edgar/data/93751/000119312516536969/d147129dex41.htm" TargetMode="External"/><Relationship Id="rId143" Type="http://schemas.openxmlformats.org/officeDocument/2006/relationships/hyperlink" Target="http://www.sec.gov/Archives/edgar/data/93751/000009375117000249/exhibit1014dojprosecutio.htm" TargetMode="External"/><Relationship Id="rId148" Type="http://schemas.openxmlformats.org/officeDocument/2006/relationships/hyperlink" Target="http://www.sec.gov/Archives/edgar/data/93751/000009375118000308/ex1022rabbitrustagreemen.htm" TargetMode="External"/><Relationship Id="rId164" Type="http://schemas.openxmlformats.org/officeDocument/2006/relationships/hyperlink" Target="http://www.sec.gov/Archives/edgar/data/93751/000009375116000671/exhibit101.htm" TargetMode="External"/><Relationship Id="rId169" Type="http://schemas.openxmlformats.org/officeDocument/2006/relationships/hyperlink" Target="http://www.sec.gov/Archives/edgar/data/93751/000009375119000336/exhibit1025statestreetco.htm" TargetMode="External"/><Relationship Id="rId4" Type="http://schemas.openxmlformats.org/officeDocument/2006/relationships/footnotes" Target="footnotes.xml"/><Relationship Id="rId9" Type="http://schemas.openxmlformats.org/officeDocument/2006/relationships/hyperlink" Target="https://www.sec.gov/ix?doc=/Archives/edgar/data/93751/000009375120000684/stt-2019123110xk.htm" TargetMode="External"/><Relationship Id="rId180" Type="http://schemas.openxmlformats.org/officeDocument/2006/relationships/hyperlink" Target="https://www.sec.gov/Archives/edgar/data/93751/000009375120000684/exhibit32-december3120.htm" TargetMode="External"/><Relationship Id="rId26" Type="http://schemas.openxmlformats.org/officeDocument/2006/relationships/hyperlink" Target="https://www.sec.gov/ix?doc=/Archives/edgar/data/93751/000009375120000684/stt-2019123110xk.htm" TargetMode="External"/><Relationship Id="rId47" Type="http://schemas.openxmlformats.org/officeDocument/2006/relationships/hyperlink" Target="https://www.sec.gov/ix?doc=/Archives/edgar/data/93751/000009375120000684/stt-2019123110xk.htm" TargetMode="External"/><Relationship Id="rId68" Type="http://schemas.openxmlformats.org/officeDocument/2006/relationships/hyperlink" Target="https://www.sec.gov/ix?doc=/Archives/edgar/data/93751/000009375120000684/stt-2019123110xk.htm" TargetMode="External"/><Relationship Id="rId89" Type="http://schemas.openxmlformats.org/officeDocument/2006/relationships/hyperlink" Target="https://www.sec.gov/ix?doc=/Archives/edgar/data/93751/000009375120000684/stt-2019123110xk.htm" TargetMode="External"/><Relationship Id="rId112" Type="http://schemas.openxmlformats.org/officeDocument/2006/relationships/hyperlink" Target="https://www.sec.gov/Archives/edgar/data/93751/000009375120000684/exhibit41sttdescriptiono.htm" TargetMode="External"/><Relationship Id="rId133" Type="http://schemas.openxmlformats.org/officeDocument/2006/relationships/hyperlink" Target="http://www.sec.gov/Archives/edgar/data/93751/000009375119000387/exhibit103statestreet201.htm" TargetMode="External"/><Relationship Id="rId154" Type="http://schemas.openxmlformats.org/officeDocument/2006/relationships/hyperlink" Target="http://www.sec.gov/Archives/edgar/data/93751/000009375114000040/exhibit1018c.htm" TargetMode="External"/><Relationship Id="rId175" Type="http://schemas.openxmlformats.org/officeDocument/2006/relationships/hyperlink" Target="https://www.sec.gov/Archives/edgar/data/93751/000009375120000684/exhibit311-december312.htm" TargetMode="External"/><Relationship Id="rId16" Type="http://schemas.openxmlformats.org/officeDocument/2006/relationships/hyperlink" Target="https://www.sec.gov/ix?doc=/Archives/edgar/data/93751/000009375120000684/stt-2019123110xk.htm" TargetMode="External"/><Relationship Id="rId37" Type="http://schemas.openxmlformats.org/officeDocument/2006/relationships/hyperlink" Target="https://www.sec.gov/ix?doc=/Archives/edgar/data/93751/000009375120000684/stt-2019123110xk.htm" TargetMode="External"/><Relationship Id="rId58" Type="http://schemas.openxmlformats.org/officeDocument/2006/relationships/hyperlink" Target="https://www.sec.gov/ix?doc=/Archives/edgar/data/93751/000009375120000684/stt-2019123110xk.htm" TargetMode="External"/><Relationship Id="rId79" Type="http://schemas.openxmlformats.org/officeDocument/2006/relationships/hyperlink" Target="https://www.sec.gov/ix?doc=/Archives/edgar/data/93751/000009375120000684/stt-2019123110xk.htm" TargetMode="External"/><Relationship Id="rId102" Type="http://schemas.openxmlformats.org/officeDocument/2006/relationships/hyperlink" Target="https://www.sec.gov/ix?doc=/Archives/edgar/data/93751/000009375120000684/stt-2019123110xk.htm" TargetMode="External"/><Relationship Id="rId123" Type="http://schemas.openxmlformats.org/officeDocument/2006/relationships/hyperlink" Target="http://www.sec.gov/Archives/edgar/data/93751/000119312518285705/d622413dex43.htm" TargetMode="External"/><Relationship Id="rId144" Type="http://schemas.openxmlformats.org/officeDocument/2006/relationships/hyperlink" Target="http://www.sec.gov/Archives/edgar/data/93751/000009375117000249/exhibit1014dojprosecutio.htm" TargetMode="External"/><Relationship Id="rId90" Type="http://schemas.openxmlformats.org/officeDocument/2006/relationships/hyperlink" Target="https://www.sec.gov/ix?doc=/Archives/edgar/data/93751/000009375120000684/stt-2019123110xk.htm" TargetMode="External"/><Relationship Id="rId165" Type="http://schemas.openxmlformats.org/officeDocument/2006/relationships/hyperlink" Target="http://www.sec.gov/Archives/edgar/data/93751/000009375119000387/exhibit104conwaytransiti.htm" TargetMode="External"/><Relationship Id="rId27" Type="http://schemas.openxmlformats.org/officeDocument/2006/relationships/hyperlink" Target="https://www.sec.gov/ix?doc=/Archives/edgar/data/93751/000009375120000684/stt-2019123110xk.htm" TargetMode="External"/><Relationship Id="rId48" Type="http://schemas.openxmlformats.org/officeDocument/2006/relationships/hyperlink" Target="https://www.sec.gov/ix?doc=/Archives/edgar/data/93751/000009375120000684/stt-2019123110xk.htm" TargetMode="External"/><Relationship Id="rId69" Type="http://schemas.openxmlformats.org/officeDocument/2006/relationships/hyperlink" Target="https://www.sec.gov/ix?doc=/Archives/edgar/data/93751/000009375120000684/stt-2019123110xk.htm" TargetMode="External"/><Relationship Id="rId113" Type="http://schemas.openxmlformats.org/officeDocument/2006/relationships/hyperlink" Target="http://www.sec.gov/Archives/edgar/data/93751/000119312512362879/d399825dex41.htm" TargetMode="External"/><Relationship Id="rId134" Type="http://schemas.openxmlformats.org/officeDocument/2006/relationships/hyperlink" Target="http://www.sec.gov/Archives/edgar/data/93751/000009375119000387/exhibit103statestreet201.htm" TargetMode="External"/><Relationship Id="rId80" Type="http://schemas.openxmlformats.org/officeDocument/2006/relationships/hyperlink" Target="https://www.sec.gov/ix?doc=/Archives/edgar/data/93751/000009375120000684/stt-2019123110xk.htm" TargetMode="External"/><Relationship Id="rId155" Type="http://schemas.openxmlformats.org/officeDocument/2006/relationships/hyperlink" Target="http://www.sec.gov/Archives/edgar/data/93751/000009375114000040/exhibit1018d.htm" TargetMode="External"/><Relationship Id="rId176" Type="http://schemas.openxmlformats.org/officeDocument/2006/relationships/hyperlink" Target="https://www.sec.gov/Archives/edgar/data/93751/000009375120000684/exhibit311-december312.htm" TargetMode="External"/><Relationship Id="rId17" Type="http://schemas.openxmlformats.org/officeDocument/2006/relationships/hyperlink" Target="https://www.sec.gov/ix?doc=/Archives/edgar/data/93751/000009375120000684/stt-2019123110xk.htm" TargetMode="External"/><Relationship Id="rId38" Type="http://schemas.openxmlformats.org/officeDocument/2006/relationships/hyperlink" Target="https://www.sec.gov/ix?doc=/Archives/edgar/data/93751/000009375120000684/stt-2019123110xk.htm" TargetMode="External"/><Relationship Id="rId59" Type="http://schemas.openxmlformats.org/officeDocument/2006/relationships/hyperlink" Target="https://www.sec.gov/ix?doc=/Archives/edgar/data/93751/000009375120000684/stt-2019123110xk.htm" TargetMode="External"/><Relationship Id="rId103" Type="http://schemas.openxmlformats.org/officeDocument/2006/relationships/hyperlink" Target="https://www.sec.gov/ix?doc=/Archives/edgar/data/93751/000009375120000684/stt-2019123110xk.htm" TargetMode="External"/><Relationship Id="rId124" Type="http://schemas.openxmlformats.org/officeDocument/2006/relationships/hyperlink" Target="http://www.sec.gov/Archives/edgar/data/93751/000119312518285705/d622413dex43.htm" TargetMode="External"/><Relationship Id="rId70" Type="http://schemas.openxmlformats.org/officeDocument/2006/relationships/hyperlink" Target="https://www.sec.gov/ix?doc=/Archives/edgar/data/93751/000009375120000684/stt-2019123110xk.htm" TargetMode="External"/><Relationship Id="rId91" Type="http://schemas.openxmlformats.org/officeDocument/2006/relationships/hyperlink" Target="https://www.sec.gov/ix?doc=/Archives/edgar/data/93751/000009375120000684/stt-2019123110xk.htm" TargetMode="External"/><Relationship Id="rId145" Type="http://schemas.openxmlformats.org/officeDocument/2006/relationships/hyperlink" Target="https://www.sec.gov/Archives/edgar/data/93751/000009375120000684/exhibit1011descriptionof.htm" TargetMode="External"/><Relationship Id="rId166" Type="http://schemas.openxmlformats.org/officeDocument/2006/relationships/hyperlink" Target="http://www.sec.gov/Archives/edgar/data/93751/000009375119000387/exhibit104conwaytransiti.htm" TargetMode="External"/><Relationship Id="rId1" Type="http://schemas.openxmlformats.org/officeDocument/2006/relationships/styles" Target="styles.xml"/><Relationship Id="rId28" Type="http://schemas.openxmlformats.org/officeDocument/2006/relationships/hyperlink" Target="https://www.sec.gov/ix?doc=/Archives/edgar/data/93751/000009375120000684/stt-2019123110xk.htm" TargetMode="External"/><Relationship Id="rId49" Type="http://schemas.openxmlformats.org/officeDocument/2006/relationships/hyperlink" Target="https://www.sec.gov/ix?doc=/Archives/edgar/data/93751/000009375120000684/stt-2019123110xk.htm" TargetMode="External"/><Relationship Id="rId114" Type="http://schemas.openxmlformats.org/officeDocument/2006/relationships/hyperlink" Target="http://www.sec.gov/Archives/edgar/data/93751/000119312512362879/d399825dex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135871</Words>
  <Characters>774470</Characters>
  <Application>Microsoft Office Word</Application>
  <DocSecurity>0</DocSecurity>
  <Lines>6453</Lines>
  <Paragraphs>1817</Paragraphs>
  <ScaleCrop>false</ScaleCrop>
  <Company/>
  <LinksUpToDate>false</LinksUpToDate>
  <CharactersWithSpaces>908524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2023-02-11T23:59:00Z</dcterms:created>
  <dcterms:modified xsi:type="dcterms:W3CDTF">2023-02-13T11:31:00Z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F1DB77948980E30870BBE7633F49ED34</vt:lpwstr>
  </property>
</Properties>
</file>